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8D8A" w14:textId="77777777" w:rsidR="00F5289E" w:rsidRDefault="00F5289E"/>
    <w:p w14:paraId="3AFA96F0" w14:textId="77777777" w:rsidR="00F5289E" w:rsidRDefault="00C91173">
      <w:r>
        <w:rPr>
          <w:noProof/>
        </w:rPr>
        <mc:AlternateContent>
          <mc:Choice Requires="wps">
            <w:drawing>
              <wp:anchor distT="0" distB="0" distL="114300" distR="114300" simplePos="0" relativeHeight="251659264" behindDoc="0" locked="0" layoutInCell="1" allowOverlap="1" wp14:anchorId="57766969" wp14:editId="74B6CCE3">
                <wp:simplePos x="0" y="0"/>
                <wp:positionH relativeFrom="column">
                  <wp:posOffset>6057900</wp:posOffset>
                </wp:positionH>
                <wp:positionV relativeFrom="paragraph">
                  <wp:posOffset>-1905</wp:posOffset>
                </wp:positionV>
                <wp:extent cx="685800" cy="8122920"/>
                <wp:effectExtent l="0" t="0" r="0" b="0"/>
                <wp:wrapSquare wrapText="bothSides"/>
                <wp:docPr id="1" name="Rectangle 4"/>
                <wp:cNvGraphicFramePr/>
                <a:graphic xmlns:a="http://schemas.openxmlformats.org/drawingml/2006/main">
                  <a:graphicData uri="http://schemas.microsoft.com/office/word/2010/wordprocessingShape">
                    <wps:wsp>
                      <wps:cNvSpPr/>
                      <wps:spPr bwMode="auto">
                        <a:xfrm>
                          <a:off x="0" y="0"/>
                          <a:ext cx="685800" cy="8122920"/>
                        </a:xfrm>
                        <a:prstGeom prst="rect">
                          <a:avLst/>
                        </a:prstGeom>
                        <a:solidFill>
                          <a:srgbClr val="FFFFFF"/>
                        </a:solidFill>
                        <a:ln>
                          <a:noFill/>
                        </a:ln>
                      </wps:spPr>
                      <wps:txbx>
                        <w:txbxContent>
                          <w:p w14:paraId="52896E4E" w14:textId="5608915B" w:rsidR="00C91173" w:rsidRDefault="00C91173">
                            <w:pPr>
                              <w:spacing w:line="1100" w:lineRule="exact"/>
                              <w:jc w:val="center"/>
                              <w:rPr>
                                <w:rFonts w:ascii="仿宋_GB2312" w:eastAsia="仿宋_GB2312" w:hAnsi="Calibri"/>
                                <w:b/>
                                <w:sz w:val="44"/>
                                <w:szCs w:val="44"/>
                              </w:rPr>
                            </w:pPr>
                            <w:r>
                              <w:rPr>
                                <w:rFonts w:ascii="仿宋_GB2312" w:eastAsia="仿宋_GB2312" w:hint="eastAsia"/>
                                <w:b/>
                                <w:sz w:val="44"/>
                                <w:szCs w:val="44"/>
                              </w:rPr>
                              <w:t>河南农业大学教学大纲</w:t>
                            </w:r>
                            <w:r w:rsidR="00115630">
                              <w:rPr>
                                <w:rFonts w:ascii="仿宋_GB2312" w:eastAsia="仿宋_GB2312" w:hint="eastAsia"/>
                                <w:b/>
                                <w:sz w:val="44"/>
                                <w:szCs w:val="44"/>
                              </w:rPr>
                              <w:t xml:space="preserve"> </w:t>
                            </w:r>
                            <w:r w:rsidR="00115630">
                              <w:rPr>
                                <w:rFonts w:ascii="仿宋_GB2312" w:eastAsia="仿宋_GB2312"/>
                                <w:b/>
                                <w:sz w:val="44"/>
                                <w:szCs w:val="44"/>
                              </w:rPr>
                              <w:t xml:space="preserve">   </w:t>
                            </w:r>
                            <w:r>
                              <w:rPr>
                                <w:rFonts w:ascii="仿宋_GB2312" w:eastAsia="仿宋_GB2312" w:hint="eastAsia"/>
                                <w:b/>
                                <w:sz w:val="44"/>
                                <w:szCs w:val="44"/>
                              </w:rPr>
                              <w:t>园艺</w:t>
                            </w:r>
                            <w:r>
                              <w:rPr>
                                <w:rFonts w:ascii="仿宋_GB2312" w:eastAsia="仿宋_GB2312" w:hAnsi="Calibri" w:hint="eastAsia"/>
                                <w:b/>
                                <w:sz w:val="44"/>
                                <w:szCs w:val="44"/>
                              </w:rPr>
                              <w:t>学院（设施农业科学与工程）分册</w:t>
                            </w:r>
                          </w:p>
                          <w:p w14:paraId="7D598471" w14:textId="77777777" w:rsidR="00C91173" w:rsidRDefault="00C91173">
                            <w:pPr>
                              <w:rPr>
                                <w:b/>
                                <w:sz w:val="30"/>
                                <w:szCs w:val="30"/>
                              </w:rPr>
                            </w:pPr>
                            <w:r>
                              <w:rPr>
                                <w:rFonts w:hint="eastAsia"/>
                                <w:b/>
                                <w:sz w:val="30"/>
                                <w:szCs w:val="30"/>
                              </w:rPr>
                              <w:t xml:space="preserve">    </w:t>
                            </w:r>
                          </w:p>
                          <w:p w14:paraId="6E3AE8A5" w14:textId="77777777" w:rsidR="00C91173" w:rsidRDefault="00C91173">
                            <w:pPr>
                              <w:rPr>
                                <w:b/>
                                <w:sz w:val="30"/>
                                <w:szCs w:val="30"/>
                              </w:rPr>
                            </w:pPr>
                          </w:p>
                        </w:txbxContent>
                      </wps:txbx>
                      <wps:bodyPr rot="0" vert="eaVert" wrap="square" lIns="91440" tIns="45720" rIns="91440" bIns="45720" anchor="t" anchorCtr="0" upright="1">
                        <a:noAutofit/>
                      </wps:bodyPr>
                    </wps:wsp>
                  </a:graphicData>
                </a:graphic>
              </wp:anchor>
            </w:drawing>
          </mc:Choice>
          <mc:Fallback>
            <w:pict>
              <v:rect w14:anchorId="57766969" id="Rectangle 4" o:spid="_x0000_s1026" style="position:absolute;left:0;text-align:left;margin-left:477pt;margin-top:-.15pt;width:54pt;height:63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" stroked="f">
                <v:textbox style="layout-flow:vertical-ideographic">
                  <w:txbxContent>
                    <w:p w14:paraId="52896E4E" w14:textId="5608915B" w:rsidR="00C91173" w:rsidRDefault="00C91173">
                      <w:pPr>
                        <w:spacing w:line="1100" w:lineRule="exact"/>
                        <w:jc w:val="center"/>
                        <w:rPr>
                          <w:rFonts w:ascii="仿宋_GB2312" w:eastAsia="仿宋_GB2312" w:hAnsi="Calibri"/>
                          <w:b/>
                          <w:sz w:val="44"/>
                          <w:szCs w:val="44"/>
                        </w:rPr>
                      </w:pPr>
                      <w:r>
                        <w:rPr>
                          <w:rFonts w:ascii="仿宋_GB2312" w:eastAsia="仿宋_GB2312" w:hint="eastAsia"/>
                          <w:b/>
                          <w:sz w:val="44"/>
                          <w:szCs w:val="44"/>
                        </w:rPr>
                        <w:t>河南农业大学教学大纲</w:t>
                      </w:r>
                      <w:r w:rsidR="00115630">
                        <w:rPr>
                          <w:rFonts w:ascii="仿宋_GB2312" w:eastAsia="仿宋_GB2312" w:hint="eastAsia"/>
                          <w:b/>
                          <w:sz w:val="44"/>
                          <w:szCs w:val="44"/>
                        </w:rPr>
                        <w:t xml:space="preserve"> </w:t>
                      </w:r>
                      <w:r w:rsidR="00115630">
                        <w:rPr>
                          <w:rFonts w:ascii="仿宋_GB2312" w:eastAsia="仿宋_GB2312"/>
                          <w:b/>
                          <w:sz w:val="44"/>
                          <w:szCs w:val="44"/>
                        </w:rPr>
                        <w:t xml:space="preserve">   </w:t>
                      </w:r>
                      <w:r>
                        <w:rPr>
                          <w:rFonts w:ascii="仿宋_GB2312" w:eastAsia="仿宋_GB2312" w:hint="eastAsia"/>
                          <w:b/>
                          <w:sz w:val="44"/>
                          <w:szCs w:val="44"/>
                        </w:rPr>
                        <w:t>园艺</w:t>
                      </w:r>
                      <w:r>
                        <w:rPr>
                          <w:rFonts w:ascii="仿宋_GB2312" w:eastAsia="仿宋_GB2312" w:hAnsi="Calibri" w:hint="eastAsia"/>
                          <w:b/>
                          <w:sz w:val="44"/>
                          <w:szCs w:val="44"/>
                        </w:rPr>
                        <w:t>学院（设施农业科学与工程）分册</w:t>
                      </w:r>
                    </w:p>
                    <w:p w14:paraId="7D598471" w14:textId="77777777" w:rsidR="00C91173" w:rsidRDefault="00C91173">
                      <w:pPr>
                        <w:rPr>
                          <w:b/>
                          <w:sz w:val="30"/>
                          <w:szCs w:val="30"/>
                        </w:rPr>
                      </w:pPr>
                      <w:r>
                        <w:rPr>
                          <w:rFonts w:hint="eastAsia"/>
                          <w:b/>
                          <w:sz w:val="30"/>
                          <w:szCs w:val="30"/>
                        </w:rPr>
                        <w:t xml:space="preserve">    </w:t>
                      </w:r>
                    </w:p>
                    <w:p w14:paraId="6E3AE8A5" w14:textId="77777777" w:rsidR="00C91173" w:rsidRDefault="00C91173">
                      <w:pPr>
                        <w:rPr>
                          <w:b/>
                          <w:sz w:val="30"/>
                          <w:szCs w:val="30"/>
                        </w:rPr>
                      </w:pPr>
                    </w:p>
                  </w:txbxContent>
                </v:textbox>
                <w10:wrap type="square"/>
              </v:rect>
            </w:pict>
          </mc:Fallback>
        </mc:AlternateContent>
      </w:r>
    </w:p>
    <w:p w14:paraId="3A7D4AAE" w14:textId="77777777" w:rsidR="00F5289E" w:rsidRDefault="00F5289E"/>
    <w:p w14:paraId="73A6D8B6" w14:textId="77777777" w:rsidR="00F5289E" w:rsidRDefault="00F5289E"/>
    <w:p w14:paraId="62D4C6B6" w14:textId="77777777" w:rsidR="00F5289E" w:rsidRDefault="00F5289E"/>
    <w:p w14:paraId="17D8130E" w14:textId="77777777" w:rsidR="00F5289E" w:rsidRDefault="00F5289E"/>
    <w:p w14:paraId="575FB8E1" w14:textId="77777777" w:rsidR="00F5289E" w:rsidRDefault="00F5289E"/>
    <w:p w14:paraId="0E4483CE" w14:textId="77777777" w:rsidR="00F5289E" w:rsidRDefault="00F5289E"/>
    <w:p w14:paraId="7581372C" w14:textId="77777777" w:rsidR="00F5289E" w:rsidRDefault="00F5289E"/>
    <w:p w14:paraId="792E7BCE" w14:textId="77777777" w:rsidR="00F5289E" w:rsidRDefault="00F5289E"/>
    <w:p w14:paraId="0750928A" w14:textId="77777777" w:rsidR="00F5289E" w:rsidRDefault="00F5289E"/>
    <w:p w14:paraId="39125F9F" w14:textId="77777777" w:rsidR="00F5289E" w:rsidRDefault="00F5289E"/>
    <w:p w14:paraId="10EB260A" w14:textId="77777777" w:rsidR="00F5289E" w:rsidRDefault="00F5289E"/>
    <w:p w14:paraId="281F07DB" w14:textId="77777777" w:rsidR="00F5289E" w:rsidRDefault="00F5289E"/>
    <w:p w14:paraId="497D1534" w14:textId="77777777" w:rsidR="00F5289E" w:rsidRDefault="00F5289E"/>
    <w:p w14:paraId="5EA35204" w14:textId="77777777" w:rsidR="00F5289E" w:rsidRDefault="00F5289E"/>
    <w:p w14:paraId="3A8E5366" w14:textId="77777777" w:rsidR="00F5289E" w:rsidRDefault="00F5289E"/>
    <w:p w14:paraId="012231C5" w14:textId="77777777" w:rsidR="00F5289E" w:rsidRDefault="00F5289E"/>
    <w:p w14:paraId="17DC1182" w14:textId="77777777" w:rsidR="00F5289E" w:rsidRDefault="00F5289E"/>
    <w:p w14:paraId="709871E1" w14:textId="77777777" w:rsidR="00F5289E" w:rsidRDefault="00F5289E"/>
    <w:p w14:paraId="2355BF49" w14:textId="77777777" w:rsidR="00F5289E" w:rsidRDefault="00F5289E"/>
    <w:p w14:paraId="2B981D07" w14:textId="77777777" w:rsidR="00F5289E" w:rsidRDefault="00F5289E"/>
    <w:p w14:paraId="059E504A" w14:textId="77777777" w:rsidR="00F5289E" w:rsidRDefault="00F5289E"/>
    <w:p w14:paraId="257AE9F2" w14:textId="77777777" w:rsidR="00F5289E" w:rsidRDefault="00F5289E"/>
    <w:p w14:paraId="776DB231" w14:textId="77777777" w:rsidR="00F5289E" w:rsidRDefault="00F5289E"/>
    <w:p w14:paraId="4659F45E" w14:textId="77777777" w:rsidR="00F5289E" w:rsidRDefault="00F5289E"/>
    <w:p w14:paraId="040089A7" w14:textId="77777777" w:rsidR="00F5289E" w:rsidRDefault="00F5289E"/>
    <w:p w14:paraId="23AD746E" w14:textId="77777777" w:rsidR="00F5289E" w:rsidRDefault="00F5289E"/>
    <w:p w14:paraId="5058729B" w14:textId="77777777" w:rsidR="00F5289E" w:rsidRDefault="00F5289E"/>
    <w:p w14:paraId="6C318B8F" w14:textId="77777777" w:rsidR="00F5289E" w:rsidRDefault="00F5289E"/>
    <w:p w14:paraId="43C3D254" w14:textId="77777777" w:rsidR="00F5289E" w:rsidRDefault="00F5289E"/>
    <w:p w14:paraId="4A68B137" w14:textId="77777777" w:rsidR="00F5289E" w:rsidRDefault="00F5289E"/>
    <w:p w14:paraId="2D635682" w14:textId="77777777" w:rsidR="00F5289E" w:rsidRDefault="00F5289E"/>
    <w:p w14:paraId="56FA96A9" w14:textId="77777777" w:rsidR="00F5289E" w:rsidRDefault="00F5289E"/>
    <w:p w14:paraId="6672BEA3" w14:textId="77777777" w:rsidR="00F5289E" w:rsidRDefault="00F5289E"/>
    <w:p w14:paraId="5B086CF9" w14:textId="77777777" w:rsidR="00F5289E" w:rsidRDefault="00F5289E"/>
    <w:p w14:paraId="6D496CAA" w14:textId="77777777" w:rsidR="00F5289E" w:rsidRDefault="00F5289E"/>
    <w:p w14:paraId="34DA984A" w14:textId="77777777" w:rsidR="00F5289E" w:rsidRDefault="00F5289E"/>
    <w:p w14:paraId="41112354" w14:textId="77777777" w:rsidR="00F5289E" w:rsidRDefault="00F5289E"/>
    <w:p w14:paraId="49851C31" w14:textId="77777777" w:rsidR="00F5289E" w:rsidRDefault="00F5289E"/>
    <w:p w14:paraId="12975301" w14:textId="77777777" w:rsidR="00F5289E" w:rsidRDefault="00F5289E"/>
    <w:p w14:paraId="5258009D" w14:textId="77777777" w:rsidR="00F5289E" w:rsidRDefault="00F5289E"/>
    <w:p w14:paraId="151C6A2B" w14:textId="77777777" w:rsidR="00F5289E" w:rsidRDefault="00F5289E"/>
    <w:p w14:paraId="7E21B302" w14:textId="77777777" w:rsidR="00F5289E" w:rsidRDefault="00F5289E"/>
    <w:p w14:paraId="6DDD4730" w14:textId="77777777" w:rsidR="00F5289E" w:rsidRDefault="00C91173">
      <w:pPr>
        <w:pStyle w:val="af1"/>
        <w:snapToGrid w:val="0"/>
        <w:spacing w:before="0" w:beforeAutospacing="0" w:after="0" w:afterAutospacing="0"/>
        <w:jc w:val="both"/>
      </w:pPr>
      <w:r>
        <w:rPr>
          <w:noProof/>
        </w:rPr>
        <mc:AlternateContent>
          <mc:Choice Requires="wpg">
            <w:drawing>
              <wp:anchor distT="0" distB="0" distL="114300" distR="114300" simplePos="0" relativeHeight="251660288" behindDoc="0" locked="0" layoutInCell="1" allowOverlap="1" wp14:anchorId="23DF2850" wp14:editId="431A44AD">
                <wp:simplePos x="0" y="0"/>
                <wp:positionH relativeFrom="column">
                  <wp:posOffset>0</wp:posOffset>
                </wp:positionH>
                <wp:positionV relativeFrom="paragraph">
                  <wp:posOffset>0</wp:posOffset>
                </wp:positionV>
                <wp:extent cx="4208145" cy="834390"/>
                <wp:effectExtent l="0" t="0" r="0" b="0"/>
                <wp:wrapNone/>
                <wp:docPr id="7" name="组合 6"/>
                <wp:cNvGraphicFramePr/>
                <a:graphic xmlns:a="http://schemas.openxmlformats.org/drawingml/2006/main">
                  <a:graphicData uri="http://schemas.microsoft.com/office/word/2010/wordprocessingGroup">
                    <wpg:wgp>
                      <wpg:cNvGrpSpPr/>
                      <wpg:grpSpPr>
                        <a:xfrm>
                          <a:off x="0" y="0"/>
                          <a:ext cx="4208145" cy="834390"/>
                          <a:chOff x="2103" y="4204"/>
                          <a:chExt cx="6627" cy="1314"/>
                        </a:xfrm>
                      </wpg:grpSpPr>
                      <pic:pic xmlns:pic="http://schemas.openxmlformats.org/drawingml/2006/picture">
                        <pic:nvPicPr>
                          <pic:cNvPr id="5" name="图片 4" descr="农大标准组合10"/>
                          <pic:cNvPicPr/>
                        </pic:nvPicPr>
                        <pic:blipFill>
                          <a:blip r:embed="rId9"/>
                          <a:stretch>
                            <a:fillRect/>
                          </a:stretch>
                        </pic:blipFill>
                        <pic:spPr>
                          <a:xfrm>
                            <a:off x="3648" y="4432"/>
                            <a:ext cx="5083" cy="858"/>
                          </a:xfrm>
                          <a:prstGeom prst="rect">
                            <a:avLst/>
                          </a:prstGeom>
                        </pic:spPr>
                      </pic:pic>
                      <pic:pic xmlns:pic="http://schemas.openxmlformats.org/drawingml/2006/picture">
                        <pic:nvPicPr>
                          <pic:cNvPr id="6" name="图片 1" descr="校徽标准版"/>
                          <pic:cNvPicPr/>
                        </pic:nvPicPr>
                        <pic:blipFill>
                          <a:blip r:embed="rId10" cstate="print"/>
                          <a:srcRect/>
                          <a:stretch>
                            <a:fillRect/>
                          </a:stretch>
                        </pic:blipFill>
                        <pic:spPr>
                          <a:xfrm>
                            <a:off x="2103" y="4204"/>
                            <a:ext cx="1545" cy="1314"/>
                          </a:xfrm>
                          <a:prstGeom prst="rect">
                            <a:avLst/>
                          </a:prstGeom>
                          <a:noFill/>
                          <a:ln w="9525">
                            <a:noFill/>
                            <a:miter lim="800000"/>
                            <a:headEnd/>
                            <a:tailEnd/>
                          </a:ln>
                        </pic:spPr>
                      </pic:pic>
                    </wpg:wgp>
                  </a:graphicData>
                </a:graphic>
              </wp:anchor>
            </w:drawing>
          </mc:Choice>
          <mc:Fallback xmlns:wpsCustomData="http://www.wps.cn/officeDocument/2013/wpsCustomData">
            <w:pict>
              <v:group id="组合 6" o:spid="_x0000_s1026" o:spt="203" style="position:absolute;left:0pt;margin-left:0pt;margin-top:0pt;height:65.7pt;width:331.35pt;z-index:251660288;mso-width-relative:page;mso-height-relative:page;" coordorigin="2103,4204" coordsize="6627,1314" o:gfxdata="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">
                <o:lock v:ext="edit" aspectratio="f"/>
                <v:shape id="图片 4" o:spid="_x0000_s1026" o:spt="75" alt="农大标准组合10" type="#_x0000_t75" style="position:absolute;left:3648;top:4432;height:858;width:5083;" filled="f" o:preferrelative="t" stroked="f" coordsize="21600,21600" o:gfxdata="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eMlwi+AAAA2gAAAA8AAAAAAAAAAQAgAAAAOAAAAGRycy9kb3ducmV2&#10;LnhtbFBLAQIUABQAAAAIAIdO4kAzLwWeOwAAADkAAAAQAAAAAAAAAAEAIAAAACMBAABkcnMvc2hh&#10;cGV4bWwueG1sUEsFBgAAAAAGAAYAWwEAAM0DAAAAAA==&#10;">
                  <v:fill on="f" focussize="0,0"/>
                  <v:stroke on="f"/>
                  <v:imagedata r:id="rId11" o:title=""/>
                  <o:lock v:ext="edit" aspectratio="f"/>
                </v:shape>
                <v:shape id="图片 1" o:spid="_x0000_s1026" o:spt="75" alt="校徽标准版" type="#_x0000_t75" style="position:absolute;left:2103;top:4204;height:1314;width:1545;" filled="f" o:preferrelative="t" stroked="f" coordsize="21600,21600" o:gfxdata="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xZ2dm7AAAA2gAAAA8AAAAAAAAAAQAgAAAAOAAAAGRycy9kb3ducmV2Lnht&#10;bFBLAQIUABQAAAAIAIdO4kAzLwWeOwAAADkAAAAQAAAAAAAAAAEAIAAAACABAABkcnMvc2hhcGV4&#10;bWwueG1sUEsFBgAAAAAGAAYAWwEAAMoDAAAAAA==&#10;">
                  <v:fill on="f" focussize="0,0"/>
                  <v:stroke on="f" miterlimit="8" joinstyle="miter"/>
                  <v:imagedata r:id="rId12" o:title=""/>
                  <o:lock v:ext="edit" aspectratio="f"/>
                </v:shape>
              </v:group>
            </w:pict>
          </mc:Fallback>
        </mc:AlternateContent>
      </w:r>
    </w:p>
    <w:p w14:paraId="5D00F931" w14:textId="77777777" w:rsidR="00F5289E" w:rsidRDefault="00F5289E">
      <w:pPr>
        <w:snapToGrid w:val="0"/>
        <w:spacing w:line="360" w:lineRule="auto"/>
        <w:jc w:val="center"/>
        <w:rPr>
          <w:rFonts w:ascii="黑体" w:eastAsia="黑体" w:hAnsi="黑体"/>
          <w:b/>
          <w:sz w:val="72"/>
          <w:szCs w:val="72"/>
        </w:rPr>
      </w:pPr>
    </w:p>
    <w:p w14:paraId="0964B747" w14:textId="77777777" w:rsidR="00F5289E" w:rsidRDefault="00F5289E">
      <w:pPr>
        <w:snapToGrid w:val="0"/>
        <w:spacing w:line="360" w:lineRule="auto"/>
        <w:jc w:val="center"/>
        <w:rPr>
          <w:rFonts w:ascii="黑体" w:eastAsia="黑体" w:hAnsi="黑体"/>
          <w:b/>
          <w:sz w:val="52"/>
          <w:szCs w:val="52"/>
        </w:rPr>
      </w:pPr>
    </w:p>
    <w:p w14:paraId="77D7D689" w14:textId="77777777" w:rsidR="00F5289E" w:rsidRDefault="00C91173">
      <w:pPr>
        <w:snapToGrid w:val="0"/>
        <w:spacing w:line="360" w:lineRule="auto"/>
        <w:jc w:val="center"/>
        <w:rPr>
          <w:rFonts w:ascii="黑体" w:eastAsia="黑体" w:hAnsi="黑体"/>
          <w:b/>
          <w:sz w:val="72"/>
          <w:szCs w:val="72"/>
        </w:rPr>
      </w:pPr>
      <w:r>
        <w:rPr>
          <w:rFonts w:ascii="黑体" w:eastAsia="黑体" w:hAnsi="黑体" w:hint="eastAsia"/>
          <w:b/>
          <w:sz w:val="72"/>
          <w:szCs w:val="72"/>
        </w:rPr>
        <w:t>本科专业教学大纲</w:t>
      </w:r>
    </w:p>
    <w:p w14:paraId="029D0E14" w14:textId="77777777" w:rsidR="00115630" w:rsidRDefault="00C91173">
      <w:pPr>
        <w:snapToGrid w:val="0"/>
        <w:spacing w:line="360" w:lineRule="auto"/>
        <w:jc w:val="center"/>
        <w:rPr>
          <w:rFonts w:ascii="黑体" w:eastAsia="黑体" w:hAnsi="Calibri"/>
          <w:b/>
          <w:sz w:val="48"/>
          <w:szCs w:val="48"/>
          <w:lang w:eastAsia="zh-Hans"/>
        </w:rPr>
      </w:pPr>
      <w:r>
        <w:rPr>
          <w:rFonts w:ascii="黑体" w:eastAsia="黑体" w:hAnsi="Calibri" w:hint="eastAsia"/>
          <w:b/>
          <w:sz w:val="48"/>
          <w:szCs w:val="48"/>
        </w:rPr>
        <w:t>园艺学院</w:t>
      </w:r>
      <w:r>
        <w:rPr>
          <w:rFonts w:ascii="黑体" w:eastAsia="黑体" w:hAnsi="Calibri" w:hint="eastAsia"/>
          <w:b/>
          <w:sz w:val="48"/>
          <w:szCs w:val="48"/>
          <w:lang w:eastAsia="zh-Hans"/>
        </w:rPr>
        <w:t>（</w:t>
      </w:r>
      <w:r>
        <w:rPr>
          <w:rFonts w:ascii="黑体" w:eastAsia="黑体" w:hAnsi="Calibri" w:hint="eastAsia"/>
          <w:b/>
          <w:sz w:val="48"/>
          <w:szCs w:val="48"/>
        </w:rPr>
        <w:t>设施农业科学与工程专业</w:t>
      </w:r>
      <w:r>
        <w:rPr>
          <w:rFonts w:ascii="黑体" w:eastAsia="黑体" w:hAnsi="Calibri" w:hint="eastAsia"/>
          <w:b/>
          <w:sz w:val="48"/>
          <w:szCs w:val="48"/>
          <w:lang w:eastAsia="zh-Hans"/>
        </w:rPr>
        <w:t>）</w:t>
      </w:r>
    </w:p>
    <w:p w14:paraId="2E4E4B5E" w14:textId="5BE53131" w:rsidR="00F5289E" w:rsidRDefault="00C91173">
      <w:pPr>
        <w:snapToGrid w:val="0"/>
        <w:spacing w:line="360" w:lineRule="auto"/>
        <w:jc w:val="center"/>
        <w:rPr>
          <w:rFonts w:ascii="黑体" w:eastAsia="黑体" w:hAnsi="Calibri"/>
          <w:b/>
          <w:sz w:val="48"/>
          <w:szCs w:val="48"/>
        </w:rPr>
      </w:pPr>
      <w:r>
        <w:rPr>
          <w:rFonts w:ascii="黑体" w:eastAsia="黑体" w:hAnsi="Calibri" w:hint="eastAsia"/>
          <w:b/>
          <w:sz w:val="48"/>
          <w:szCs w:val="48"/>
        </w:rPr>
        <w:t>分册</w:t>
      </w:r>
    </w:p>
    <w:p w14:paraId="0CAE29E5" w14:textId="77777777" w:rsidR="00F5289E" w:rsidRDefault="00F5289E"/>
    <w:p w14:paraId="1089FA61" w14:textId="77777777" w:rsidR="00F5289E" w:rsidRDefault="00F5289E"/>
    <w:p w14:paraId="185719F5" w14:textId="77777777" w:rsidR="00F5289E" w:rsidRDefault="00F5289E"/>
    <w:p w14:paraId="608B80C0" w14:textId="77777777" w:rsidR="00F5289E" w:rsidRDefault="00F5289E"/>
    <w:p w14:paraId="62D74128" w14:textId="77777777" w:rsidR="00F5289E" w:rsidRDefault="00F5289E"/>
    <w:p w14:paraId="76EB7B96" w14:textId="77777777" w:rsidR="00F5289E" w:rsidRDefault="00F5289E"/>
    <w:p w14:paraId="42F12473" w14:textId="77777777" w:rsidR="00F5289E" w:rsidRDefault="00F5289E"/>
    <w:p w14:paraId="38102C77" w14:textId="77777777" w:rsidR="00F5289E" w:rsidRDefault="00F5289E"/>
    <w:p w14:paraId="5F869F27" w14:textId="77777777" w:rsidR="00F5289E" w:rsidRDefault="00F5289E"/>
    <w:p w14:paraId="4A9497C6" w14:textId="77777777" w:rsidR="00F5289E" w:rsidRDefault="00F5289E"/>
    <w:p w14:paraId="418F6364" w14:textId="77777777" w:rsidR="00F5289E" w:rsidRDefault="00F5289E"/>
    <w:p w14:paraId="34E4D2B6" w14:textId="77777777" w:rsidR="00F5289E" w:rsidRDefault="00F5289E"/>
    <w:p w14:paraId="497472B9" w14:textId="77777777" w:rsidR="00F5289E" w:rsidRDefault="00F5289E"/>
    <w:p w14:paraId="1361FE8C" w14:textId="77777777" w:rsidR="00F5289E" w:rsidRDefault="00F5289E"/>
    <w:p w14:paraId="316F0472" w14:textId="77777777" w:rsidR="00F5289E" w:rsidRDefault="00F5289E"/>
    <w:p w14:paraId="0B0A5D1D" w14:textId="77777777" w:rsidR="00F5289E" w:rsidRDefault="00F5289E"/>
    <w:p w14:paraId="27A2D0E4" w14:textId="77777777" w:rsidR="00F5289E" w:rsidRDefault="00F5289E"/>
    <w:p w14:paraId="2C348CE0" w14:textId="77777777" w:rsidR="00F5289E" w:rsidRDefault="00C91173">
      <w:pPr>
        <w:snapToGrid w:val="0"/>
        <w:spacing w:line="360" w:lineRule="auto"/>
        <w:jc w:val="center"/>
        <w:rPr>
          <w:rFonts w:ascii="黑体" w:eastAsia="黑体" w:hAnsi="Calibri"/>
          <w:b/>
          <w:sz w:val="32"/>
          <w:szCs w:val="32"/>
        </w:rPr>
      </w:pPr>
      <w:r>
        <w:rPr>
          <w:rFonts w:ascii="黑体" w:eastAsia="黑体" w:hAnsi="Calibri" w:hint="eastAsia"/>
          <w:b/>
          <w:sz w:val="32"/>
          <w:szCs w:val="32"/>
        </w:rPr>
        <w:t>园艺学院</w:t>
      </w:r>
    </w:p>
    <w:p w14:paraId="770D433D" w14:textId="77777777" w:rsidR="00F5289E" w:rsidRDefault="00C91173">
      <w:pPr>
        <w:snapToGrid w:val="0"/>
        <w:spacing w:line="360" w:lineRule="auto"/>
        <w:jc w:val="center"/>
        <w:rPr>
          <w:rFonts w:ascii="黑体" w:eastAsia="黑体" w:hAnsi="Calibri"/>
          <w:b/>
          <w:sz w:val="32"/>
          <w:szCs w:val="32"/>
        </w:rPr>
      </w:pPr>
      <w:r>
        <w:rPr>
          <w:rFonts w:ascii="黑体" w:eastAsia="黑体" w:hAnsi="Calibri" w:hint="eastAsia"/>
          <w:b/>
          <w:sz w:val="32"/>
          <w:szCs w:val="32"/>
        </w:rPr>
        <w:t>二O二三年</w:t>
      </w:r>
    </w:p>
    <w:p w14:paraId="52D98181" w14:textId="77777777" w:rsidR="00F5289E" w:rsidRDefault="00F5289E">
      <w:pPr>
        <w:snapToGrid w:val="0"/>
        <w:spacing w:line="360" w:lineRule="auto"/>
        <w:jc w:val="center"/>
        <w:rPr>
          <w:rFonts w:ascii="黑体" w:eastAsia="黑体" w:hAnsi="Calibri"/>
          <w:b/>
          <w:sz w:val="32"/>
          <w:szCs w:val="32"/>
        </w:rPr>
        <w:sectPr w:rsidR="00F5289E">
          <w:footerReference w:type="even" r:id="rId13"/>
          <w:footerReference w:type="default" r:id="rId14"/>
          <w:pgSz w:w="23814" w:h="16840" w:orient="landscape"/>
          <w:pgMar w:top="1418" w:right="1588" w:bottom="1588" w:left="1418" w:header="851" w:footer="851" w:gutter="0"/>
          <w:cols w:num="2" w:space="2520"/>
          <w:docGrid w:type="lines" w:linePitch="312"/>
        </w:sectPr>
      </w:pPr>
    </w:p>
    <w:p w14:paraId="7D4A25EC" w14:textId="77777777" w:rsidR="00F5289E" w:rsidRDefault="00C91173">
      <w:pPr>
        <w:spacing w:beforeLines="50" w:before="156" w:afterLines="50" w:after="156" w:line="400" w:lineRule="exact"/>
        <w:jc w:val="center"/>
        <w:rPr>
          <w:rFonts w:ascii="宋体" w:hAnsi="宋体"/>
          <w:b/>
          <w:bCs/>
          <w:sz w:val="32"/>
          <w:szCs w:val="32"/>
        </w:rPr>
      </w:pPr>
      <w:r>
        <w:rPr>
          <w:rFonts w:ascii="宋体" w:hAnsi="宋体" w:hint="eastAsia"/>
          <w:b/>
          <w:bCs/>
          <w:sz w:val="32"/>
          <w:szCs w:val="32"/>
        </w:rPr>
        <w:lastRenderedPageBreak/>
        <w:t>教学大纲目录</w:t>
      </w:r>
    </w:p>
    <w:p w14:paraId="209DDCCD" w14:textId="77777777" w:rsidR="00F5289E" w:rsidRDefault="00F5289E">
      <w:pPr>
        <w:spacing w:beforeLines="50" w:before="156" w:afterLines="50" w:after="156" w:line="400" w:lineRule="exact"/>
        <w:jc w:val="center"/>
        <w:rPr>
          <w:rFonts w:ascii="宋体" w:hAnsi="宋体"/>
          <w:b/>
          <w:bCs/>
          <w:sz w:val="30"/>
          <w:szCs w:val="21"/>
        </w:rPr>
      </w:pPr>
    </w:p>
    <w:p w14:paraId="4514DF35" w14:textId="237256FD" w:rsidR="00B60833" w:rsidRPr="00A30E53" w:rsidRDefault="00A30E53" w:rsidP="008F024B">
      <w:pPr>
        <w:pStyle w:val="TOC1"/>
        <w:tabs>
          <w:tab w:val="right" w:leader="dot" w:pos="8890"/>
        </w:tabs>
        <w:snapToGrid w:val="0"/>
        <w:spacing w:line="360" w:lineRule="auto"/>
        <w:jc w:val="center"/>
        <w:rPr>
          <w:noProof/>
          <w:color w:val="000000" w:themeColor="text1"/>
        </w:rPr>
      </w:pPr>
      <w:r>
        <w:rPr>
          <w:rFonts w:hint="eastAsia"/>
          <w:b/>
          <w:color w:val="000000" w:themeColor="text1"/>
          <w:sz w:val="24"/>
        </w:rPr>
        <w:t>第一篇</w:t>
      </w:r>
      <w:r>
        <w:rPr>
          <w:rFonts w:hint="eastAsia"/>
          <w:b/>
          <w:color w:val="000000" w:themeColor="text1"/>
          <w:sz w:val="24"/>
        </w:rPr>
        <w:t xml:space="preserve"> </w:t>
      </w:r>
      <w:r w:rsidRPr="00A30E53">
        <w:rPr>
          <w:b/>
          <w:color w:val="000000" w:themeColor="text1"/>
          <w:sz w:val="24"/>
        </w:rPr>
        <w:t>课程教学大纲</w:t>
      </w:r>
      <w:r w:rsidR="00C91173" w:rsidRPr="00A30E53">
        <w:rPr>
          <w:color w:val="000000" w:themeColor="text1"/>
        </w:rPr>
        <w:fldChar w:fldCharType="begin"/>
      </w:r>
      <w:r w:rsidRPr="00A30E53">
        <w:rPr>
          <w:color w:val="000000" w:themeColor="text1"/>
        </w:rPr>
        <w:instrText xml:space="preserve"> TOC \o "1-3" \h \z \u </w:instrText>
      </w:r>
      <w:r w:rsidR="00C91173" w:rsidRPr="00A30E53">
        <w:rPr>
          <w:color w:val="000000" w:themeColor="text1"/>
        </w:rPr>
        <w:fldChar w:fldCharType="separate"/>
      </w:r>
    </w:p>
    <w:p w14:paraId="4CC3DA4E" w14:textId="5CB6B8AE"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4" w:history="1">
        <w:r w:rsidR="00B60833" w:rsidRPr="00A30E53">
          <w:rPr>
            <w:rStyle w:val="afa"/>
            <w:noProof/>
            <w:color w:val="000000" w:themeColor="text1"/>
          </w:rPr>
          <w:t>传热学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w:t>
        </w:r>
        <w:r w:rsidR="00B60833" w:rsidRPr="00A30E53">
          <w:rPr>
            <w:noProof/>
            <w:webHidden/>
            <w:color w:val="000000" w:themeColor="text1"/>
          </w:rPr>
          <w:fldChar w:fldCharType="end"/>
        </w:r>
      </w:hyperlink>
    </w:p>
    <w:p w14:paraId="109ACB50" w14:textId="3CBB55C6"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5" w:history="1">
        <w:r w:rsidR="00B60833" w:rsidRPr="00A30E53">
          <w:rPr>
            <w:rStyle w:val="afa"/>
            <w:noProof/>
            <w:color w:val="000000" w:themeColor="text1"/>
          </w:rPr>
          <w:t>设施工程力学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9</w:t>
        </w:r>
        <w:r w:rsidR="00B60833" w:rsidRPr="00A30E53">
          <w:rPr>
            <w:noProof/>
            <w:webHidden/>
            <w:color w:val="000000" w:themeColor="text1"/>
          </w:rPr>
          <w:fldChar w:fldCharType="end"/>
        </w:r>
      </w:hyperlink>
    </w:p>
    <w:p w14:paraId="1D7681E6" w14:textId="2E90C380"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6" w:history="1">
        <w:r w:rsidR="00B60833" w:rsidRPr="00A30E53">
          <w:rPr>
            <w:rStyle w:val="afa"/>
            <w:noProof/>
            <w:color w:val="000000" w:themeColor="text1"/>
          </w:rPr>
          <w:t>分子生物学基础</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18</w:t>
        </w:r>
        <w:r w:rsidR="00B60833" w:rsidRPr="00A30E53">
          <w:rPr>
            <w:noProof/>
            <w:webHidden/>
            <w:color w:val="000000" w:themeColor="text1"/>
          </w:rPr>
          <w:fldChar w:fldCharType="end"/>
        </w:r>
      </w:hyperlink>
    </w:p>
    <w:p w14:paraId="6662131E" w14:textId="2444D601"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7" w:history="1">
        <w:r w:rsidR="00B60833" w:rsidRPr="00A30E53">
          <w:rPr>
            <w:rStyle w:val="afa"/>
            <w:noProof/>
            <w:color w:val="000000" w:themeColor="text1"/>
          </w:rPr>
          <w:t>现代园艺导论</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30</w:t>
        </w:r>
        <w:r w:rsidR="00B60833" w:rsidRPr="00A30E53">
          <w:rPr>
            <w:noProof/>
            <w:webHidden/>
            <w:color w:val="000000" w:themeColor="text1"/>
          </w:rPr>
          <w:fldChar w:fldCharType="end"/>
        </w:r>
      </w:hyperlink>
    </w:p>
    <w:p w14:paraId="5B845970" w14:textId="4DBEB447"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8" w:history="1">
        <w:r w:rsidR="00B60833" w:rsidRPr="00A30E53">
          <w:rPr>
            <w:rStyle w:val="afa"/>
            <w:noProof/>
            <w:color w:val="000000" w:themeColor="text1"/>
          </w:rPr>
          <w:t>农业设施工程学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39</w:t>
        </w:r>
        <w:r w:rsidR="00B60833" w:rsidRPr="00A30E53">
          <w:rPr>
            <w:noProof/>
            <w:webHidden/>
            <w:color w:val="000000" w:themeColor="text1"/>
          </w:rPr>
          <w:fldChar w:fldCharType="end"/>
        </w:r>
      </w:hyperlink>
    </w:p>
    <w:p w14:paraId="7F67FAF8" w14:textId="13DD32DE"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39" w:history="1">
        <w:r w:rsidR="00B60833" w:rsidRPr="00A30E53">
          <w:rPr>
            <w:rStyle w:val="afa"/>
            <w:noProof/>
            <w:color w:val="000000" w:themeColor="text1"/>
          </w:rPr>
          <w:t>设施环境与调控</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_Toc138606239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54</w:t>
        </w:r>
        <w:r w:rsidR="00B60833" w:rsidRPr="00A30E53">
          <w:rPr>
            <w:noProof/>
            <w:webHidden/>
            <w:color w:val="000000" w:themeColor="text1"/>
          </w:rPr>
          <w:fldChar w:fldCharType="end"/>
        </w:r>
      </w:hyperlink>
    </w:p>
    <w:p w14:paraId="531401C4" w14:textId="03502A1C"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0" w:history="1">
        <w:r w:rsidR="00B60833" w:rsidRPr="00A30E53">
          <w:rPr>
            <w:rStyle w:val="afa"/>
            <w:noProof/>
            <w:color w:val="000000" w:themeColor="text1"/>
          </w:rPr>
          <w:t>工厂化育苗原理与技术</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68</w:t>
        </w:r>
        <w:r w:rsidR="00B60833" w:rsidRPr="00A30E53">
          <w:rPr>
            <w:noProof/>
            <w:webHidden/>
            <w:color w:val="000000" w:themeColor="text1"/>
          </w:rPr>
          <w:fldChar w:fldCharType="end"/>
        </w:r>
      </w:hyperlink>
    </w:p>
    <w:p w14:paraId="419497D7" w14:textId="1167DAEA"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1" w:history="1">
        <w:r w:rsidR="00B60833" w:rsidRPr="00A30E53">
          <w:rPr>
            <w:rStyle w:val="afa"/>
            <w:noProof/>
            <w:color w:val="000000" w:themeColor="text1"/>
          </w:rPr>
          <w:t>设施蔬菜栽培学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80</w:t>
        </w:r>
        <w:r w:rsidR="00B60833" w:rsidRPr="00A30E53">
          <w:rPr>
            <w:noProof/>
            <w:webHidden/>
            <w:color w:val="000000" w:themeColor="text1"/>
          </w:rPr>
          <w:fldChar w:fldCharType="end"/>
        </w:r>
      </w:hyperlink>
    </w:p>
    <w:p w14:paraId="7C91F290" w14:textId="0E4D2D63"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2" w:history="1">
        <w:r w:rsidR="00B60833" w:rsidRPr="00A30E53">
          <w:rPr>
            <w:rStyle w:val="afa"/>
            <w:noProof/>
            <w:color w:val="000000" w:themeColor="text1"/>
          </w:rPr>
          <w:t>试验设计与统计分析</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99</w:t>
        </w:r>
        <w:r w:rsidR="00B60833" w:rsidRPr="00A30E53">
          <w:rPr>
            <w:noProof/>
            <w:webHidden/>
            <w:color w:val="000000" w:themeColor="text1"/>
          </w:rPr>
          <w:fldChar w:fldCharType="end"/>
        </w:r>
      </w:hyperlink>
    </w:p>
    <w:p w14:paraId="061367E4" w14:textId="5356EE70"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3" w:history="1">
        <w:r w:rsidR="00B60833" w:rsidRPr="00A30E53">
          <w:rPr>
            <w:rStyle w:val="afa"/>
            <w:noProof/>
            <w:color w:val="000000" w:themeColor="text1"/>
          </w:rPr>
          <w:t>无土栽培学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114</w:t>
        </w:r>
        <w:r w:rsidR="00B60833" w:rsidRPr="00A30E53">
          <w:rPr>
            <w:noProof/>
            <w:webHidden/>
            <w:color w:val="000000" w:themeColor="text1"/>
          </w:rPr>
          <w:fldChar w:fldCharType="end"/>
        </w:r>
      </w:hyperlink>
    </w:p>
    <w:p w14:paraId="318546C2" w14:textId="08A8B313"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4" w:history="1">
        <w:r w:rsidR="00B60833" w:rsidRPr="00A30E53">
          <w:rPr>
            <w:rStyle w:val="afa"/>
            <w:noProof/>
            <w:color w:val="000000" w:themeColor="text1"/>
          </w:rPr>
          <w:t>农业园区规划与管理</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126</w:t>
        </w:r>
        <w:r w:rsidR="00B60833" w:rsidRPr="00A30E53">
          <w:rPr>
            <w:noProof/>
            <w:webHidden/>
            <w:color w:val="000000" w:themeColor="text1"/>
          </w:rPr>
          <w:fldChar w:fldCharType="end"/>
        </w:r>
      </w:hyperlink>
    </w:p>
    <w:p w14:paraId="60F84B67" w14:textId="23A367BB"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5" w:history="1">
        <w:r w:rsidR="00B60833" w:rsidRPr="00A30E53">
          <w:rPr>
            <w:rStyle w:val="afa"/>
            <w:noProof/>
            <w:color w:val="000000" w:themeColor="text1"/>
          </w:rPr>
          <w:t>设施装备与智能化</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135</w:t>
        </w:r>
        <w:r w:rsidR="00B60833" w:rsidRPr="00A30E53">
          <w:rPr>
            <w:noProof/>
            <w:webHidden/>
            <w:color w:val="000000" w:themeColor="text1"/>
          </w:rPr>
          <w:fldChar w:fldCharType="end"/>
        </w:r>
      </w:hyperlink>
    </w:p>
    <w:p w14:paraId="3071A0D6" w14:textId="006ECB60"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6" w:history="1">
        <w:r w:rsidR="00B60833" w:rsidRPr="00A30E53">
          <w:rPr>
            <w:rStyle w:val="afa"/>
            <w:noProof/>
            <w:color w:val="000000" w:themeColor="text1"/>
          </w:rPr>
          <w:t>设施花卉栽培学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151</w:t>
        </w:r>
        <w:r w:rsidR="00B60833" w:rsidRPr="00A30E53">
          <w:rPr>
            <w:noProof/>
            <w:webHidden/>
            <w:color w:val="000000" w:themeColor="text1"/>
          </w:rPr>
          <w:fldChar w:fldCharType="end"/>
        </w:r>
      </w:hyperlink>
    </w:p>
    <w:p w14:paraId="1233F33C" w14:textId="0FB5DF05"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7" w:history="1">
        <w:r w:rsidR="00B60833" w:rsidRPr="00A30E53">
          <w:rPr>
            <w:rStyle w:val="afa"/>
            <w:noProof/>
            <w:color w:val="000000" w:themeColor="text1"/>
          </w:rPr>
          <w:t>设施果树栽培学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163</w:t>
        </w:r>
        <w:r w:rsidR="00B60833" w:rsidRPr="00A30E53">
          <w:rPr>
            <w:noProof/>
            <w:webHidden/>
            <w:color w:val="000000" w:themeColor="text1"/>
          </w:rPr>
          <w:fldChar w:fldCharType="end"/>
        </w:r>
      </w:hyperlink>
    </w:p>
    <w:p w14:paraId="6E06EED4" w14:textId="6C1F9A09"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8" w:history="1">
        <w:r w:rsidR="00B60833" w:rsidRPr="00A30E53">
          <w:rPr>
            <w:rStyle w:val="afa"/>
            <w:noProof/>
            <w:color w:val="000000" w:themeColor="text1"/>
          </w:rPr>
          <w:t>设施农业工程预概算</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172</w:t>
        </w:r>
        <w:r w:rsidR="00B60833" w:rsidRPr="00A30E53">
          <w:rPr>
            <w:noProof/>
            <w:webHidden/>
            <w:color w:val="000000" w:themeColor="text1"/>
          </w:rPr>
          <w:fldChar w:fldCharType="end"/>
        </w:r>
      </w:hyperlink>
    </w:p>
    <w:p w14:paraId="1B053766" w14:textId="2C0DE0BF"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49" w:history="1">
        <w:r w:rsidR="00B60833" w:rsidRPr="00A30E53">
          <w:rPr>
            <w:rStyle w:val="afa"/>
            <w:noProof/>
            <w:color w:val="000000" w:themeColor="text1"/>
          </w:rPr>
          <w:t>茶艺</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_Toc138606249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181</w:t>
        </w:r>
        <w:r w:rsidR="00B60833" w:rsidRPr="00A30E53">
          <w:rPr>
            <w:noProof/>
            <w:webHidden/>
            <w:color w:val="000000" w:themeColor="text1"/>
          </w:rPr>
          <w:fldChar w:fldCharType="end"/>
        </w:r>
      </w:hyperlink>
    </w:p>
    <w:p w14:paraId="322B0B9D" w14:textId="13001EAC"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0" w:history="1">
        <w:r w:rsidR="00B60833" w:rsidRPr="00A30E53">
          <w:rPr>
            <w:rStyle w:val="afa"/>
            <w:noProof/>
            <w:color w:val="000000" w:themeColor="text1"/>
          </w:rPr>
          <w:t>茶文化学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189</w:t>
        </w:r>
        <w:r w:rsidR="00B60833" w:rsidRPr="00A30E53">
          <w:rPr>
            <w:noProof/>
            <w:webHidden/>
            <w:color w:val="000000" w:themeColor="text1"/>
          </w:rPr>
          <w:fldChar w:fldCharType="end"/>
        </w:r>
      </w:hyperlink>
    </w:p>
    <w:p w14:paraId="38694B6B" w14:textId="13397CB4"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1" w:history="1">
        <w:r w:rsidR="00B60833" w:rsidRPr="00A30E53">
          <w:rPr>
            <w:rStyle w:val="afa"/>
            <w:noProof/>
            <w:color w:val="000000" w:themeColor="text1"/>
          </w:rPr>
          <w:t>葡萄酒文化</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195</w:t>
        </w:r>
        <w:r w:rsidR="00B60833" w:rsidRPr="00A30E53">
          <w:rPr>
            <w:noProof/>
            <w:webHidden/>
            <w:color w:val="000000" w:themeColor="text1"/>
          </w:rPr>
          <w:fldChar w:fldCharType="end"/>
        </w:r>
      </w:hyperlink>
    </w:p>
    <w:p w14:paraId="3A7F295A" w14:textId="6A51FCDC"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2" w:history="1">
        <w:r w:rsidR="00B60833" w:rsidRPr="00A30E53">
          <w:rPr>
            <w:rStyle w:val="afa"/>
            <w:noProof/>
            <w:color w:val="000000" w:themeColor="text1"/>
          </w:rPr>
          <w:t>智慧园艺</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201</w:t>
        </w:r>
        <w:r w:rsidR="00B60833" w:rsidRPr="00A30E53">
          <w:rPr>
            <w:noProof/>
            <w:webHidden/>
            <w:color w:val="000000" w:themeColor="text1"/>
          </w:rPr>
          <w:fldChar w:fldCharType="end"/>
        </w:r>
      </w:hyperlink>
    </w:p>
    <w:p w14:paraId="3B624799" w14:textId="500B934F"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3" w:history="1">
        <w:r w:rsidR="00B60833" w:rsidRPr="00A30E53">
          <w:rPr>
            <w:rStyle w:val="afa"/>
            <w:noProof/>
            <w:color w:val="000000" w:themeColor="text1"/>
          </w:rPr>
          <w:t>创意农业</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211</w:t>
        </w:r>
        <w:r w:rsidR="00B60833" w:rsidRPr="00A30E53">
          <w:rPr>
            <w:noProof/>
            <w:webHidden/>
            <w:color w:val="000000" w:themeColor="text1"/>
          </w:rPr>
          <w:fldChar w:fldCharType="end"/>
        </w:r>
      </w:hyperlink>
    </w:p>
    <w:p w14:paraId="4461939F" w14:textId="30386AE6"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4" w:history="1">
        <w:r w:rsidR="00B60833" w:rsidRPr="00A30E53">
          <w:rPr>
            <w:rStyle w:val="afa"/>
            <w:noProof/>
            <w:color w:val="000000" w:themeColor="text1"/>
          </w:rPr>
          <w:t>园艺产业创业案例</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218</w:t>
        </w:r>
        <w:r w:rsidR="00B60833" w:rsidRPr="00A30E53">
          <w:rPr>
            <w:noProof/>
            <w:webHidden/>
            <w:color w:val="000000" w:themeColor="text1"/>
          </w:rPr>
          <w:fldChar w:fldCharType="end"/>
        </w:r>
      </w:hyperlink>
    </w:p>
    <w:p w14:paraId="6E6908D6" w14:textId="18950A3D"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5" w:history="1">
        <w:r w:rsidR="00B60833" w:rsidRPr="00A30E53">
          <w:rPr>
            <w:rStyle w:val="afa"/>
            <w:noProof/>
            <w:color w:val="000000" w:themeColor="text1"/>
          </w:rPr>
          <w:t>园艺产品营销学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225</w:t>
        </w:r>
        <w:r w:rsidR="00B60833" w:rsidRPr="00A30E53">
          <w:rPr>
            <w:noProof/>
            <w:webHidden/>
            <w:color w:val="000000" w:themeColor="text1"/>
          </w:rPr>
          <w:fldChar w:fldCharType="end"/>
        </w:r>
      </w:hyperlink>
    </w:p>
    <w:p w14:paraId="4E84DDEC" w14:textId="7D5F1D1F"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6" w:history="1">
        <w:r w:rsidR="00B60833" w:rsidRPr="00A30E53">
          <w:rPr>
            <w:rStyle w:val="afa"/>
            <w:noProof/>
            <w:color w:val="000000" w:themeColor="text1"/>
          </w:rPr>
          <w:t>盆景学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232</w:t>
        </w:r>
        <w:r w:rsidR="00B60833" w:rsidRPr="00A30E53">
          <w:rPr>
            <w:noProof/>
            <w:webHidden/>
            <w:color w:val="000000" w:themeColor="text1"/>
          </w:rPr>
          <w:fldChar w:fldCharType="end"/>
        </w:r>
      </w:hyperlink>
    </w:p>
    <w:p w14:paraId="5A427B07" w14:textId="5A95178B"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7" w:history="1">
        <w:r w:rsidR="00B60833" w:rsidRPr="00A30E53">
          <w:rPr>
            <w:rStyle w:val="afa"/>
            <w:noProof/>
            <w:color w:val="000000" w:themeColor="text1"/>
          </w:rPr>
          <w:t>CAD</w:t>
        </w:r>
        <w:r w:rsidR="00B60833" w:rsidRPr="00A30E53">
          <w:rPr>
            <w:rStyle w:val="afa"/>
            <w:noProof/>
            <w:color w:val="000000" w:themeColor="text1"/>
          </w:rPr>
          <w:t>制图</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241</w:t>
        </w:r>
        <w:r w:rsidR="00B60833" w:rsidRPr="00A30E53">
          <w:rPr>
            <w:noProof/>
            <w:webHidden/>
            <w:color w:val="000000" w:themeColor="text1"/>
          </w:rPr>
          <w:fldChar w:fldCharType="end"/>
        </w:r>
      </w:hyperlink>
    </w:p>
    <w:p w14:paraId="4376A2A5" w14:textId="53FCAE55"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8" w:history="1">
        <w:r w:rsidR="00B60833" w:rsidRPr="00A30E53">
          <w:rPr>
            <w:rStyle w:val="afa"/>
            <w:noProof/>
            <w:color w:val="000000" w:themeColor="text1"/>
          </w:rPr>
          <w:t>园艺植物遗传育种学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248</w:t>
        </w:r>
        <w:r w:rsidR="00B60833" w:rsidRPr="00A30E53">
          <w:rPr>
            <w:noProof/>
            <w:webHidden/>
            <w:color w:val="000000" w:themeColor="text1"/>
          </w:rPr>
          <w:fldChar w:fldCharType="end"/>
        </w:r>
      </w:hyperlink>
    </w:p>
    <w:p w14:paraId="394A6B62" w14:textId="0E592E9E"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59" w:history="1">
        <w:r w:rsidR="00B60833" w:rsidRPr="00A30E53">
          <w:rPr>
            <w:rStyle w:val="afa"/>
            <w:noProof/>
            <w:color w:val="000000" w:themeColor="text1"/>
          </w:rPr>
          <w:t>园艺植物组织培养</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_Toc138606259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270</w:t>
        </w:r>
        <w:r w:rsidR="00B60833" w:rsidRPr="00A30E53">
          <w:rPr>
            <w:noProof/>
            <w:webHidden/>
            <w:color w:val="000000" w:themeColor="text1"/>
          </w:rPr>
          <w:fldChar w:fldCharType="end"/>
        </w:r>
      </w:hyperlink>
    </w:p>
    <w:p w14:paraId="77066777" w14:textId="48E2D518"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0" w:history="1">
        <w:r w:rsidR="00B60833" w:rsidRPr="00A30E53">
          <w:rPr>
            <w:rStyle w:val="afa"/>
            <w:noProof/>
            <w:color w:val="000000" w:themeColor="text1"/>
          </w:rPr>
          <w:t>园艺植物生物技术</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284</w:t>
        </w:r>
        <w:r w:rsidR="00B60833" w:rsidRPr="00A30E53">
          <w:rPr>
            <w:noProof/>
            <w:webHidden/>
            <w:color w:val="000000" w:themeColor="text1"/>
          </w:rPr>
          <w:fldChar w:fldCharType="end"/>
        </w:r>
      </w:hyperlink>
    </w:p>
    <w:p w14:paraId="4BBC2A67" w14:textId="7B4E1E8B"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1" w:history="1">
        <w:r w:rsidR="00B60833" w:rsidRPr="00A30E53">
          <w:rPr>
            <w:rStyle w:val="afa"/>
            <w:noProof/>
            <w:color w:val="000000" w:themeColor="text1"/>
          </w:rPr>
          <w:t>园艺专业外语</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293</w:t>
        </w:r>
        <w:r w:rsidR="00B60833" w:rsidRPr="00A30E53">
          <w:rPr>
            <w:noProof/>
            <w:webHidden/>
            <w:color w:val="000000" w:themeColor="text1"/>
          </w:rPr>
          <w:fldChar w:fldCharType="end"/>
        </w:r>
      </w:hyperlink>
    </w:p>
    <w:p w14:paraId="0CB39A19" w14:textId="59991FE1"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2" w:history="1">
        <w:r w:rsidR="00B60833" w:rsidRPr="00A30E53">
          <w:rPr>
            <w:rStyle w:val="afa"/>
            <w:noProof/>
            <w:color w:val="000000" w:themeColor="text1"/>
          </w:rPr>
          <w:t>生物信息学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300</w:t>
        </w:r>
        <w:r w:rsidR="00B60833" w:rsidRPr="00A30E53">
          <w:rPr>
            <w:noProof/>
            <w:webHidden/>
            <w:color w:val="000000" w:themeColor="text1"/>
          </w:rPr>
          <w:fldChar w:fldCharType="end"/>
        </w:r>
      </w:hyperlink>
    </w:p>
    <w:p w14:paraId="612B5B0A" w14:textId="6E3C5A91"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3" w:history="1">
        <w:r w:rsidR="00B60833" w:rsidRPr="00A30E53">
          <w:rPr>
            <w:rStyle w:val="afa"/>
            <w:noProof/>
            <w:color w:val="000000" w:themeColor="text1"/>
          </w:rPr>
          <w:t>园艺产品采后处理学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311</w:t>
        </w:r>
        <w:r w:rsidR="00B60833" w:rsidRPr="00A30E53">
          <w:rPr>
            <w:noProof/>
            <w:webHidden/>
            <w:color w:val="000000" w:themeColor="text1"/>
          </w:rPr>
          <w:fldChar w:fldCharType="end"/>
        </w:r>
      </w:hyperlink>
    </w:p>
    <w:p w14:paraId="5750840B" w14:textId="607C02A3"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4" w:history="1">
        <w:r w:rsidR="00B60833" w:rsidRPr="00A30E53">
          <w:rPr>
            <w:rStyle w:val="afa"/>
            <w:noProof/>
            <w:color w:val="000000" w:themeColor="text1"/>
          </w:rPr>
          <w:t>植物生长调节剂与利用</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324</w:t>
        </w:r>
        <w:r w:rsidR="00B60833" w:rsidRPr="00A30E53">
          <w:rPr>
            <w:noProof/>
            <w:webHidden/>
            <w:color w:val="000000" w:themeColor="text1"/>
          </w:rPr>
          <w:fldChar w:fldCharType="end"/>
        </w:r>
      </w:hyperlink>
    </w:p>
    <w:p w14:paraId="46E68C09" w14:textId="519E7258"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5" w:history="1">
        <w:r w:rsidR="00B60833" w:rsidRPr="00A30E53">
          <w:rPr>
            <w:rStyle w:val="afa"/>
            <w:noProof/>
            <w:color w:val="000000" w:themeColor="text1"/>
          </w:rPr>
          <w:t>文献检索与科技论文写作</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333</w:t>
        </w:r>
        <w:r w:rsidR="00B60833" w:rsidRPr="00A30E53">
          <w:rPr>
            <w:noProof/>
            <w:webHidden/>
            <w:color w:val="000000" w:themeColor="text1"/>
          </w:rPr>
          <w:fldChar w:fldCharType="end"/>
        </w:r>
      </w:hyperlink>
    </w:p>
    <w:p w14:paraId="159720A5" w14:textId="721D949D"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6" w:history="1">
        <w:r w:rsidR="00B60833" w:rsidRPr="00A30E53">
          <w:rPr>
            <w:rStyle w:val="afa"/>
            <w:noProof/>
            <w:color w:val="000000" w:themeColor="text1"/>
          </w:rPr>
          <w:t>园艺产品营养学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340</w:t>
        </w:r>
        <w:r w:rsidR="00B60833" w:rsidRPr="00A30E53">
          <w:rPr>
            <w:noProof/>
            <w:webHidden/>
            <w:color w:val="000000" w:themeColor="text1"/>
          </w:rPr>
          <w:fldChar w:fldCharType="end"/>
        </w:r>
      </w:hyperlink>
    </w:p>
    <w:p w14:paraId="61CC1894" w14:textId="3D472753"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7" w:history="1">
        <w:r w:rsidR="00B60833" w:rsidRPr="00A30E53">
          <w:rPr>
            <w:rStyle w:val="afa"/>
            <w:noProof/>
            <w:color w:val="000000" w:themeColor="text1"/>
          </w:rPr>
          <w:t>设施园艺研究进展</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352</w:t>
        </w:r>
        <w:r w:rsidR="00B60833" w:rsidRPr="00A30E53">
          <w:rPr>
            <w:noProof/>
            <w:webHidden/>
            <w:color w:val="000000" w:themeColor="text1"/>
          </w:rPr>
          <w:fldChar w:fldCharType="end"/>
        </w:r>
      </w:hyperlink>
    </w:p>
    <w:p w14:paraId="6DD7E045" w14:textId="73E66EAA" w:rsidR="00B60833" w:rsidRPr="00A30E53" w:rsidRDefault="00FD5ACC" w:rsidP="00A115EF">
      <w:pPr>
        <w:pStyle w:val="TOC1"/>
        <w:numPr>
          <w:ilvl w:val="0"/>
          <w:numId w:val="63"/>
        </w:numPr>
        <w:tabs>
          <w:tab w:val="right" w:leader="dot" w:pos="8890"/>
        </w:tabs>
        <w:rPr>
          <w:rFonts w:eastAsiaTheme="minorEastAsia"/>
          <w:noProof/>
          <w:color w:val="000000" w:themeColor="text1"/>
          <w:szCs w:val="22"/>
          <w14:ligatures w14:val="standardContextual"/>
        </w:rPr>
      </w:pPr>
      <w:hyperlink w:anchor="_Toc138606268" w:history="1">
        <w:r w:rsidR="00B60833" w:rsidRPr="00A30E53">
          <w:rPr>
            <w:rStyle w:val="afa"/>
            <w:noProof/>
            <w:color w:val="000000" w:themeColor="text1"/>
          </w:rPr>
          <w:t>设施园艺学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362</w:t>
        </w:r>
        <w:r w:rsidR="00B60833" w:rsidRPr="00A30E53">
          <w:rPr>
            <w:noProof/>
            <w:webHidden/>
            <w:color w:val="000000" w:themeColor="text1"/>
          </w:rPr>
          <w:fldChar w:fldCharType="end"/>
        </w:r>
      </w:hyperlink>
    </w:p>
    <w:p w14:paraId="0DC3B699" w14:textId="5D4A18E0" w:rsidR="00B60833" w:rsidRPr="00A30E53" w:rsidRDefault="00FD5ACC" w:rsidP="00A115EF">
      <w:pPr>
        <w:pStyle w:val="TOC1"/>
        <w:numPr>
          <w:ilvl w:val="0"/>
          <w:numId w:val="63"/>
        </w:numPr>
        <w:tabs>
          <w:tab w:val="right" w:leader="dot" w:pos="8890"/>
        </w:tabs>
        <w:rPr>
          <w:rStyle w:val="afa"/>
          <w:noProof/>
          <w:color w:val="000000" w:themeColor="text1"/>
        </w:rPr>
      </w:pPr>
      <w:hyperlink w:anchor="_Toc138606269" w:history="1">
        <w:r w:rsidR="00B60833" w:rsidRPr="00A30E53">
          <w:rPr>
            <w:rStyle w:val="afa"/>
            <w:noProof/>
            <w:color w:val="000000" w:themeColor="text1"/>
          </w:rPr>
          <w:t>无土栽培学</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_Toc138606269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373</w:t>
        </w:r>
        <w:r w:rsidR="00B60833" w:rsidRPr="00A30E53">
          <w:rPr>
            <w:noProof/>
            <w:webHidden/>
            <w:color w:val="000000" w:themeColor="text1"/>
          </w:rPr>
          <w:fldChar w:fldCharType="end"/>
        </w:r>
      </w:hyperlink>
    </w:p>
    <w:p w14:paraId="6D8B7E8A" w14:textId="02C0FE70" w:rsidR="00971A13" w:rsidRPr="00A30E53" w:rsidRDefault="00971A13" w:rsidP="009C7686">
      <w:pPr>
        <w:pStyle w:val="afd"/>
        <w:spacing w:line="360" w:lineRule="auto"/>
        <w:ind w:left="442" w:firstLineChars="0" w:firstLine="0"/>
        <w:jc w:val="center"/>
        <w:rPr>
          <w:noProof/>
          <w:color w:val="000000" w:themeColor="text1"/>
        </w:rPr>
      </w:pPr>
      <w:r w:rsidRPr="00A30E53">
        <w:rPr>
          <w:b/>
          <w:noProof/>
          <w:color w:val="000000" w:themeColor="text1"/>
          <w:sz w:val="24"/>
        </w:rPr>
        <w:t>第</w:t>
      </w:r>
      <w:r w:rsidR="009C7686">
        <w:rPr>
          <w:rFonts w:hint="eastAsia"/>
          <w:b/>
          <w:noProof/>
          <w:color w:val="000000" w:themeColor="text1"/>
          <w:sz w:val="24"/>
        </w:rPr>
        <w:t>二</w:t>
      </w:r>
      <w:r w:rsidRPr="00A30E53">
        <w:rPr>
          <w:b/>
          <w:noProof/>
          <w:color w:val="000000" w:themeColor="text1"/>
          <w:sz w:val="24"/>
        </w:rPr>
        <w:t>篇</w:t>
      </w:r>
      <w:r w:rsidRPr="00A30E53">
        <w:rPr>
          <w:b/>
          <w:noProof/>
          <w:color w:val="000000" w:themeColor="text1"/>
          <w:sz w:val="24"/>
        </w:rPr>
        <w:t xml:space="preserve"> </w:t>
      </w:r>
      <w:r w:rsidR="009C7686">
        <w:rPr>
          <w:rFonts w:hint="eastAsia"/>
          <w:b/>
          <w:noProof/>
          <w:color w:val="000000" w:themeColor="text1"/>
          <w:sz w:val="24"/>
        </w:rPr>
        <w:t>实习</w:t>
      </w:r>
      <w:r w:rsidRPr="00A30E53">
        <w:rPr>
          <w:b/>
          <w:noProof/>
          <w:color w:val="000000" w:themeColor="text1"/>
          <w:sz w:val="24"/>
        </w:rPr>
        <w:t>教学大纲</w:t>
      </w:r>
    </w:p>
    <w:p w14:paraId="2840C50E" w14:textId="3A28E19C" w:rsidR="00B60833" w:rsidRPr="00A30E53" w:rsidRDefault="00FD5ACC" w:rsidP="00A115EF">
      <w:pPr>
        <w:pStyle w:val="TOC1"/>
        <w:numPr>
          <w:ilvl w:val="0"/>
          <w:numId w:val="64"/>
        </w:numPr>
        <w:tabs>
          <w:tab w:val="right" w:leader="dot" w:pos="8890"/>
        </w:tabs>
        <w:rPr>
          <w:rStyle w:val="afa"/>
          <w:noProof/>
          <w:color w:val="000000" w:themeColor="text1"/>
        </w:rPr>
      </w:pPr>
      <w:hyperlink w:anchor="_Toc138606270" w:history="1">
        <w:r w:rsidR="00B60833" w:rsidRPr="00A30E53">
          <w:rPr>
            <w:rStyle w:val="afa"/>
            <w:noProof/>
            <w:color w:val="000000" w:themeColor="text1"/>
          </w:rPr>
          <w:t>设施农业科学与工程实习教学大纲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381</w:t>
        </w:r>
        <w:r w:rsidR="00B60833" w:rsidRPr="00A30E53">
          <w:rPr>
            <w:noProof/>
            <w:webHidden/>
            <w:color w:val="000000" w:themeColor="text1"/>
          </w:rPr>
          <w:fldChar w:fldCharType="end"/>
        </w:r>
      </w:hyperlink>
    </w:p>
    <w:p w14:paraId="46D09AC0" w14:textId="298F87D1" w:rsidR="00971A13" w:rsidRPr="00A30E53" w:rsidRDefault="00971A13" w:rsidP="009C7686">
      <w:pPr>
        <w:pStyle w:val="afd"/>
        <w:spacing w:line="360" w:lineRule="auto"/>
        <w:ind w:left="442" w:firstLineChars="0" w:firstLine="0"/>
        <w:jc w:val="center"/>
        <w:rPr>
          <w:noProof/>
          <w:color w:val="000000" w:themeColor="text1"/>
        </w:rPr>
      </w:pPr>
      <w:r w:rsidRPr="00A30E53">
        <w:rPr>
          <w:b/>
          <w:noProof/>
          <w:color w:val="000000" w:themeColor="text1"/>
          <w:sz w:val="24"/>
        </w:rPr>
        <w:lastRenderedPageBreak/>
        <w:t>第</w:t>
      </w:r>
      <w:r w:rsidR="009C7686">
        <w:rPr>
          <w:rFonts w:hint="eastAsia"/>
          <w:b/>
          <w:noProof/>
          <w:color w:val="000000" w:themeColor="text1"/>
          <w:sz w:val="24"/>
        </w:rPr>
        <w:t>三</w:t>
      </w:r>
      <w:r w:rsidRPr="00A30E53">
        <w:rPr>
          <w:b/>
          <w:noProof/>
          <w:color w:val="000000" w:themeColor="text1"/>
          <w:sz w:val="24"/>
        </w:rPr>
        <w:t>篇</w:t>
      </w:r>
      <w:r w:rsidRPr="00A30E53">
        <w:rPr>
          <w:b/>
          <w:noProof/>
          <w:color w:val="000000" w:themeColor="text1"/>
          <w:sz w:val="24"/>
        </w:rPr>
        <w:t xml:space="preserve"> </w:t>
      </w:r>
      <w:r w:rsidR="009C7686">
        <w:rPr>
          <w:rFonts w:hint="eastAsia"/>
          <w:b/>
          <w:noProof/>
          <w:color w:val="000000" w:themeColor="text1"/>
          <w:sz w:val="24"/>
        </w:rPr>
        <w:t>考核</w:t>
      </w:r>
      <w:r w:rsidRPr="00A30E53">
        <w:rPr>
          <w:b/>
          <w:noProof/>
          <w:color w:val="000000" w:themeColor="text1"/>
          <w:sz w:val="24"/>
        </w:rPr>
        <w:t>大纲</w:t>
      </w:r>
    </w:p>
    <w:p w14:paraId="57D469C6" w14:textId="0DF5FB75"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1" w:history="1">
        <w:r w:rsidR="00B60833" w:rsidRPr="00A30E53">
          <w:rPr>
            <w:rStyle w:val="afa"/>
            <w:noProof/>
            <w:color w:val="000000" w:themeColor="text1"/>
          </w:rPr>
          <w:t>传热学考核大纲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401</w:t>
        </w:r>
        <w:r w:rsidR="00B60833" w:rsidRPr="00A30E53">
          <w:rPr>
            <w:noProof/>
            <w:webHidden/>
            <w:color w:val="000000" w:themeColor="text1"/>
          </w:rPr>
          <w:fldChar w:fldCharType="end"/>
        </w:r>
      </w:hyperlink>
    </w:p>
    <w:p w14:paraId="0AEAB9E8" w14:textId="4710747A"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2" w:history="1">
        <w:r w:rsidR="00B60833" w:rsidRPr="00A30E53">
          <w:rPr>
            <w:rStyle w:val="afa"/>
            <w:noProof/>
            <w:color w:val="000000" w:themeColor="text1"/>
          </w:rPr>
          <w:t>设施工程力学考核大纲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408</w:t>
        </w:r>
        <w:r w:rsidR="00B60833" w:rsidRPr="00A30E53">
          <w:rPr>
            <w:noProof/>
            <w:webHidden/>
            <w:color w:val="000000" w:themeColor="text1"/>
          </w:rPr>
          <w:fldChar w:fldCharType="end"/>
        </w:r>
      </w:hyperlink>
    </w:p>
    <w:p w14:paraId="69EABF1D" w14:textId="11F7A4D4"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3" w:history="1">
        <w:r w:rsidR="00B60833" w:rsidRPr="00A30E53">
          <w:rPr>
            <w:rStyle w:val="afa"/>
            <w:noProof/>
            <w:color w:val="000000" w:themeColor="text1"/>
          </w:rPr>
          <w:t>分子生物学基础考核大纲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413</w:t>
        </w:r>
        <w:r w:rsidR="00B60833" w:rsidRPr="00A30E53">
          <w:rPr>
            <w:noProof/>
            <w:webHidden/>
            <w:color w:val="000000" w:themeColor="text1"/>
          </w:rPr>
          <w:fldChar w:fldCharType="end"/>
        </w:r>
      </w:hyperlink>
    </w:p>
    <w:p w14:paraId="6DB2A076" w14:textId="60C601FE"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4" w:history="1">
        <w:r w:rsidR="00B60833" w:rsidRPr="00A30E53">
          <w:rPr>
            <w:rStyle w:val="afa"/>
            <w:noProof/>
            <w:color w:val="000000" w:themeColor="text1"/>
          </w:rPr>
          <w:t>现代园艺导论考核大纲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420</w:t>
        </w:r>
        <w:r w:rsidR="00B60833" w:rsidRPr="00A30E53">
          <w:rPr>
            <w:noProof/>
            <w:webHidden/>
            <w:color w:val="000000" w:themeColor="text1"/>
          </w:rPr>
          <w:fldChar w:fldCharType="end"/>
        </w:r>
      </w:hyperlink>
    </w:p>
    <w:p w14:paraId="78C2C267" w14:textId="79317F25"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5" w:history="1">
        <w:r w:rsidR="00B60833" w:rsidRPr="00A30E53">
          <w:rPr>
            <w:rStyle w:val="afa"/>
            <w:noProof/>
            <w:color w:val="000000" w:themeColor="text1"/>
          </w:rPr>
          <w:t>农业设施工程学考核大纲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425</w:t>
        </w:r>
        <w:r w:rsidR="00B60833" w:rsidRPr="00A30E53">
          <w:rPr>
            <w:noProof/>
            <w:webHidden/>
            <w:color w:val="000000" w:themeColor="text1"/>
          </w:rPr>
          <w:fldChar w:fldCharType="end"/>
        </w:r>
      </w:hyperlink>
    </w:p>
    <w:p w14:paraId="62A8ED37" w14:textId="25A23C00"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6" w:history="1">
        <w:r w:rsidR="00B60833" w:rsidRPr="00A30E53">
          <w:rPr>
            <w:rStyle w:val="afa"/>
            <w:noProof/>
            <w:color w:val="000000" w:themeColor="text1"/>
          </w:rPr>
          <w:t>设施环境与调控考核大纲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431</w:t>
        </w:r>
        <w:r w:rsidR="00B60833" w:rsidRPr="00A30E53">
          <w:rPr>
            <w:noProof/>
            <w:webHidden/>
            <w:color w:val="000000" w:themeColor="text1"/>
          </w:rPr>
          <w:fldChar w:fldCharType="end"/>
        </w:r>
      </w:hyperlink>
    </w:p>
    <w:p w14:paraId="05A1444E" w14:textId="6A8A9F81"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7" w:history="1">
        <w:r w:rsidR="00B60833" w:rsidRPr="00A30E53">
          <w:rPr>
            <w:rStyle w:val="afa"/>
            <w:noProof/>
            <w:color w:val="000000" w:themeColor="text1"/>
          </w:rPr>
          <w:t>工厂化育苗原理与技术考核大纲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436</w:t>
        </w:r>
        <w:r w:rsidR="00B60833" w:rsidRPr="00A30E53">
          <w:rPr>
            <w:noProof/>
            <w:webHidden/>
            <w:color w:val="000000" w:themeColor="text1"/>
          </w:rPr>
          <w:fldChar w:fldCharType="end"/>
        </w:r>
      </w:hyperlink>
    </w:p>
    <w:p w14:paraId="16C61857" w14:textId="5EC07736"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8" w:history="1">
        <w:r w:rsidR="00B60833" w:rsidRPr="00A30E53">
          <w:rPr>
            <w:rStyle w:val="afa"/>
            <w:noProof/>
            <w:color w:val="000000" w:themeColor="text1"/>
          </w:rPr>
          <w:t>设施蔬菜栽培学考核大纲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443</w:t>
        </w:r>
        <w:r w:rsidR="00B60833" w:rsidRPr="00A30E53">
          <w:rPr>
            <w:noProof/>
            <w:webHidden/>
            <w:color w:val="000000" w:themeColor="text1"/>
          </w:rPr>
          <w:fldChar w:fldCharType="end"/>
        </w:r>
      </w:hyperlink>
    </w:p>
    <w:p w14:paraId="48A07754" w14:textId="5783279E"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79" w:history="1">
        <w:r w:rsidR="00B60833" w:rsidRPr="00A30E53">
          <w:rPr>
            <w:rStyle w:val="afa"/>
            <w:noProof/>
            <w:color w:val="000000" w:themeColor="text1"/>
          </w:rPr>
          <w:t>试验设计与统计分析考核大纲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_Toc138606279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453</w:t>
        </w:r>
        <w:r w:rsidR="00B60833" w:rsidRPr="00A30E53">
          <w:rPr>
            <w:noProof/>
            <w:webHidden/>
            <w:color w:val="000000" w:themeColor="text1"/>
          </w:rPr>
          <w:fldChar w:fldCharType="end"/>
        </w:r>
      </w:hyperlink>
    </w:p>
    <w:p w14:paraId="4F0EB46C" w14:textId="07FB4AE3"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0" w:history="1">
        <w:r w:rsidR="00B60833" w:rsidRPr="00A30E53">
          <w:rPr>
            <w:rStyle w:val="afa"/>
            <w:noProof/>
            <w:color w:val="000000" w:themeColor="text1"/>
          </w:rPr>
          <w:t>无土栽培学考核大纲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459</w:t>
        </w:r>
        <w:r w:rsidR="00B60833" w:rsidRPr="00A30E53">
          <w:rPr>
            <w:noProof/>
            <w:webHidden/>
            <w:color w:val="000000" w:themeColor="text1"/>
          </w:rPr>
          <w:fldChar w:fldCharType="end"/>
        </w:r>
      </w:hyperlink>
    </w:p>
    <w:p w14:paraId="022C6416" w14:textId="67E11FA3"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1" w:history="1">
        <w:r w:rsidR="00B60833" w:rsidRPr="00A30E53">
          <w:rPr>
            <w:rStyle w:val="afa"/>
            <w:noProof/>
            <w:color w:val="000000" w:themeColor="text1"/>
          </w:rPr>
          <w:t>农业园区规划与管理考核大纲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466</w:t>
        </w:r>
        <w:r w:rsidR="00B60833" w:rsidRPr="00A30E53">
          <w:rPr>
            <w:noProof/>
            <w:webHidden/>
            <w:color w:val="000000" w:themeColor="text1"/>
          </w:rPr>
          <w:fldChar w:fldCharType="end"/>
        </w:r>
      </w:hyperlink>
    </w:p>
    <w:p w14:paraId="7C085317" w14:textId="69291A52"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2" w:history="1">
        <w:r w:rsidR="00B60833" w:rsidRPr="00A30E53">
          <w:rPr>
            <w:rStyle w:val="afa"/>
            <w:noProof/>
            <w:color w:val="000000" w:themeColor="text1"/>
          </w:rPr>
          <w:t>设施装备与智能化考核大纲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472</w:t>
        </w:r>
        <w:r w:rsidR="00B60833" w:rsidRPr="00A30E53">
          <w:rPr>
            <w:noProof/>
            <w:webHidden/>
            <w:color w:val="000000" w:themeColor="text1"/>
          </w:rPr>
          <w:fldChar w:fldCharType="end"/>
        </w:r>
      </w:hyperlink>
    </w:p>
    <w:p w14:paraId="666894EA" w14:textId="7E7A0CF3"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3" w:history="1">
        <w:r w:rsidR="00B60833" w:rsidRPr="00A30E53">
          <w:rPr>
            <w:rStyle w:val="afa"/>
            <w:noProof/>
            <w:color w:val="000000" w:themeColor="text1"/>
          </w:rPr>
          <w:t>设施花卉栽培学考核大纲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480</w:t>
        </w:r>
        <w:r w:rsidR="00B60833" w:rsidRPr="00A30E53">
          <w:rPr>
            <w:noProof/>
            <w:webHidden/>
            <w:color w:val="000000" w:themeColor="text1"/>
          </w:rPr>
          <w:fldChar w:fldCharType="end"/>
        </w:r>
      </w:hyperlink>
    </w:p>
    <w:p w14:paraId="5525B3A4" w14:textId="2D86F98E"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4" w:history="1">
        <w:r w:rsidR="00B60833" w:rsidRPr="00A30E53">
          <w:rPr>
            <w:rStyle w:val="afa"/>
            <w:noProof/>
            <w:color w:val="000000" w:themeColor="text1"/>
          </w:rPr>
          <w:t>设施果树栽培学考核大纲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484</w:t>
        </w:r>
        <w:r w:rsidR="00B60833" w:rsidRPr="00A30E53">
          <w:rPr>
            <w:noProof/>
            <w:webHidden/>
            <w:color w:val="000000" w:themeColor="text1"/>
          </w:rPr>
          <w:fldChar w:fldCharType="end"/>
        </w:r>
      </w:hyperlink>
    </w:p>
    <w:p w14:paraId="2269843B" w14:textId="2FD0AC75"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5" w:history="1">
        <w:r w:rsidR="00B60833" w:rsidRPr="00A30E53">
          <w:rPr>
            <w:rStyle w:val="afa"/>
            <w:noProof/>
            <w:color w:val="000000" w:themeColor="text1"/>
          </w:rPr>
          <w:t>设施农业工程预概算考核大纲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490</w:t>
        </w:r>
        <w:r w:rsidR="00B60833" w:rsidRPr="00A30E53">
          <w:rPr>
            <w:noProof/>
            <w:webHidden/>
            <w:color w:val="000000" w:themeColor="text1"/>
          </w:rPr>
          <w:fldChar w:fldCharType="end"/>
        </w:r>
      </w:hyperlink>
    </w:p>
    <w:p w14:paraId="45028341" w14:textId="62D9664A"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6" w:history="1">
        <w:r w:rsidR="00B60833" w:rsidRPr="00A30E53">
          <w:rPr>
            <w:rStyle w:val="afa"/>
            <w:noProof/>
            <w:color w:val="000000" w:themeColor="text1"/>
          </w:rPr>
          <w:t>茶艺考核大纲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496</w:t>
        </w:r>
        <w:r w:rsidR="00B60833" w:rsidRPr="00A30E53">
          <w:rPr>
            <w:noProof/>
            <w:webHidden/>
            <w:color w:val="000000" w:themeColor="text1"/>
          </w:rPr>
          <w:fldChar w:fldCharType="end"/>
        </w:r>
      </w:hyperlink>
    </w:p>
    <w:p w14:paraId="0C723AD2" w14:textId="3A0EF322"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7" w:history="1">
        <w:r w:rsidR="00B60833" w:rsidRPr="00A30E53">
          <w:rPr>
            <w:rStyle w:val="afa"/>
            <w:noProof/>
            <w:color w:val="000000" w:themeColor="text1"/>
          </w:rPr>
          <w:t>茶文化学考核大纲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501</w:t>
        </w:r>
        <w:r w:rsidR="00B60833" w:rsidRPr="00A30E53">
          <w:rPr>
            <w:noProof/>
            <w:webHidden/>
            <w:color w:val="000000" w:themeColor="text1"/>
          </w:rPr>
          <w:fldChar w:fldCharType="end"/>
        </w:r>
      </w:hyperlink>
    </w:p>
    <w:p w14:paraId="1547347A" w14:textId="0846CBDA"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8" w:history="1">
        <w:r w:rsidR="00B60833" w:rsidRPr="00A30E53">
          <w:rPr>
            <w:rStyle w:val="afa"/>
            <w:noProof/>
            <w:color w:val="000000" w:themeColor="text1"/>
          </w:rPr>
          <w:t>葡萄酒文化考核大纲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506</w:t>
        </w:r>
        <w:r w:rsidR="00B60833" w:rsidRPr="00A30E53">
          <w:rPr>
            <w:noProof/>
            <w:webHidden/>
            <w:color w:val="000000" w:themeColor="text1"/>
          </w:rPr>
          <w:fldChar w:fldCharType="end"/>
        </w:r>
      </w:hyperlink>
    </w:p>
    <w:p w14:paraId="67B4E9E9" w14:textId="7206BEC1"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89" w:history="1">
        <w:r w:rsidR="00B60833" w:rsidRPr="00A30E53">
          <w:rPr>
            <w:rStyle w:val="afa"/>
            <w:noProof/>
            <w:color w:val="000000" w:themeColor="text1"/>
          </w:rPr>
          <w:t>智慧园艺考核大纲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_Toc138606289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510</w:t>
        </w:r>
        <w:r w:rsidR="00B60833" w:rsidRPr="00A30E53">
          <w:rPr>
            <w:noProof/>
            <w:webHidden/>
            <w:color w:val="000000" w:themeColor="text1"/>
          </w:rPr>
          <w:fldChar w:fldCharType="end"/>
        </w:r>
      </w:hyperlink>
    </w:p>
    <w:p w14:paraId="227E7553" w14:textId="728E85F8"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0" w:history="1">
        <w:r w:rsidR="00B60833" w:rsidRPr="00A30E53">
          <w:rPr>
            <w:rStyle w:val="afa"/>
            <w:noProof/>
            <w:color w:val="000000" w:themeColor="text1"/>
          </w:rPr>
          <w:t>创意农业考核大纲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515</w:t>
        </w:r>
        <w:r w:rsidR="00B60833" w:rsidRPr="00A30E53">
          <w:rPr>
            <w:noProof/>
            <w:webHidden/>
            <w:color w:val="000000" w:themeColor="text1"/>
          </w:rPr>
          <w:fldChar w:fldCharType="end"/>
        </w:r>
      </w:hyperlink>
    </w:p>
    <w:p w14:paraId="6867B748" w14:textId="502CAC64"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1" w:history="1">
        <w:r w:rsidR="00B60833" w:rsidRPr="00A30E53">
          <w:rPr>
            <w:rStyle w:val="afa"/>
            <w:noProof/>
            <w:color w:val="000000" w:themeColor="text1"/>
          </w:rPr>
          <w:t>园艺产业创业案例考核大纲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519</w:t>
        </w:r>
        <w:r w:rsidR="00B60833" w:rsidRPr="00A30E53">
          <w:rPr>
            <w:noProof/>
            <w:webHidden/>
            <w:color w:val="000000" w:themeColor="text1"/>
          </w:rPr>
          <w:fldChar w:fldCharType="end"/>
        </w:r>
      </w:hyperlink>
    </w:p>
    <w:p w14:paraId="6DEF45F5" w14:textId="5B250936"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2" w:history="1">
        <w:r w:rsidR="00B60833" w:rsidRPr="00A30E53">
          <w:rPr>
            <w:rStyle w:val="afa"/>
            <w:noProof/>
            <w:color w:val="000000" w:themeColor="text1"/>
          </w:rPr>
          <w:t>园艺产品营销学考核大纲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523</w:t>
        </w:r>
        <w:r w:rsidR="00B60833" w:rsidRPr="00A30E53">
          <w:rPr>
            <w:noProof/>
            <w:webHidden/>
            <w:color w:val="000000" w:themeColor="text1"/>
          </w:rPr>
          <w:fldChar w:fldCharType="end"/>
        </w:r>
      </w:hyperlink>
    </w:p>
    <w:p w14:paraId="0F5BAB10" w14:textId="2C52D703"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3" w:history="1">
        <w:r w:rsidR="00B60833" w:rsidRPr="00A30E53">
          <w:rPr>
            <w:rStyle w:val="afa"/>
            <w:noProof/>
            <w:color w:val="000000" w:themeColor="text1"/>
          </w:rPr>
          <w:t>盆景学考核大纲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528</w:t>
        </w:r>
        <w:r w:rsidR="00B60833" w:rsidRPr="00A30E53">
          <w:rPr>
            <w:noProof/>
            <w:webHidden/>
            <w:color w:val="000000" w:themeColor="text1"/>
          </w:rPr>
          <w:fldChar w:fldCharType="end"/>
        </w:r>
      </w:hyperlink>
    </w:p>
    <w:p w14:paraId="4ABE3D62" w14:textId="473285B6"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4" w:history="1">
        <w:r w:rsidR="00B60833" w:rsidRPr="00A30E53">
          <w:rPr>
            <w:rStyle w:val="afa"/>
            <w:noProof/>
            <w:color w:val="000000" w:themeColor="text1"/>
          </w:rPr>
          <w:t>CAD</w:t>
        </w:r>
        <w:r w:rsidR="00B60833" w:rsidRPr="00A30E53">
          <w:rPr>
            <w:rStyle w:val="afa"/>
            <w:noProof/>
            <w:color w:val="000000" w:themeColor="text1"/>
          </w:rPr>
          <w:t>制图考核大纲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534</w:t>
        </w:r>
        <w:r w:rsidR="00B60833" w:rsidRPr="00A30E53">
          <w:rPr>
            <w:noProof/>
            <w:webHidden/>
            <w:color w:val="000000" w:themeColor="text1"/>
          </w:rPr>
          <w:fldChar w:fldCharType="end"/>
        </w:r>
      </w:hyperlink>
    </w:p>
    <w:p w14:paraId="7F45B7C2" w14:textId="5A1DB0F1"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5" w:history="1">
        <w:r w:rsidR="00B60833" w:rsidRPr="00A30E53">
          <w:rPr>
            <w:rStyle w:val="afa"/>
            <w:noProof/>
            <w:color w:val="000000" w:themeColor="text1"/>
          </w:rPr>
          <w:t>园艺植物遗传育种学考核大纲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537</w:t>
        </w:r>
        <w:r w:rsidR="00B60833" w:rsidRPr="00A30E53">
          <w:rPr>
            <w:noProof/>
            <w:webHidden/>
            <w:color w:val="000000" w:themeColor="text1"/>
          </w:rPr>
          <w:fldChar w:fldCharType="end"/>
        </w:r>
      </w:hyperlink>
    </w:p>
    <w:p w14:paraId="30A7818B" w14:textId="3F301D95"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6" w:history="1">
        <w:r w:rsidR="00B60833" w:rsidRPr="00A30E53">
          <w:rPr>
            <w:rStyle w:val="afa"/>
            <w:noProof/>
            <w:color w:val="000000" w:themeColor="text1"/>
          </w:rPr>
          <w:t>园艺植物组织培养考核</w:t>
        </w:r>
        <w:r w:rsidR="00B60833" w:rsidRPr="00A30E53">
          <w:rPr>
            <w:rStyle w:val="afa"/>
            <w:noProof/>
            <w:color w:val="000000" w:themeColor="text1"/>
          </w:rPr>
          <w:t>大</w:t>
        </w:r>
        <w:r w:rsidR="00B60833" w:rsidRPr="00A30E53">
          <w:rPr>
            <w:rStyle w:val="afa"/>
            <w:noProof/>
            <w:color w:val="000000" w:themeColor="text1"/>
          </w:rPr>
          <w:t>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552</w:t>
        </w:r>
        <w:r w:rsidR="00B60833" w:rsidRPr="00A30E53">
          <w:rPr>
            <w:noProof/>
            <w:webHidden/>
            <w:color w:val="000000" w:themeColor="text1"/>
          </w:rPr>
          <w:fldChar w:fldCharType="end"/>
        </w:r>
      </w:hyperlink>
    </w:p>
    <w:p w14:paraId="252172E9" w14:textId="76134B89"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7" w:history="1">
        <w:r w:rsidR="00B60833" w:rsidRPr="00A30E53">
          <w:rPr>
            <w:rStyle w:val="afa"/>
            <w:noProof/>
            <w:color w:val="000000" w:themeColor="text1"/>
          </w:rPr>
          <w:t>园艺植物生物技术考</w:t>
        </w:r>
        <w:r w:rsidR="00B60833" w:rsidRPr="00A30E53">
          <w:rPr>
            <w:rStyle w:val="afa"/>
            <w:noProof/>
            <w:color w:val="000000" w:themeColor="text1"/>
          </w:rPr>
          <w:t>核</w:t>
        </w:r>
        <w:r w:rsidR="00B60833" w:rsidRPr="00A30E53">
          <w:rPr>
            <w:rStyle w:val="afa"/>
            <w:noProof/>
            <w:color w:val="000000" w:themeColor="text1"/>
          </w:rPr>
          <w:t>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_Toc138606297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559</w:t>
        </w:r>
        <w:r w:rsidR="00B60833" w:rsidRPr="00A30E53">
          <w:rPr>
            <w:noProof/>
            <w:webHidden/>
            <w:color w:val="000000" w:themeColor="text1"/>
          </w:rPr>
          <w:fldChar w:fldCharType="end"/>
        </w:r>
      </w:hyperlink>
    </w:p>
    <w:p w14:paraId="0F421E14" w14:textId="59EC04D2"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8" w:history="1">
        <w:r w:rsidR="00B60833" w:rsidRPr="00A30E53">
          <w:rPr>
            <w:rStyle w:val="afa"/>
            <w:noProof/>
            <w:color w:val="000000" w:themeColor="text1"/>
          </w:rPr>
          <w:t>园艺专业外语考核大纲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_Toc138606298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565</w:t>
        </w:r>
        <w:r w:rsidR="00B60833" w:rsidRPr="00A30E53">
          <w:rPr>
            <w:noProof/>
            <w:webHidden/>
            <w:color w:val="000000" w:themeColor="text1"/>
          </w:rPr>
          <w:fldChar w:fldCharType="end"/>
        </w:r>
      </w:hyperlink>
    </w:p>
    <w:p w14:paraId="7688990A" w14:textId="67B9A232"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299" w:history="1">
        <w:r w:rsidR="00B60833" w:rsidRPr="00A30E53">
          <w:rPr>
            <w:rStyle w:val="afa"/>
            <w:noProof/>
            <w:color w:val="000000" w:themeColor="text1"/>
          </w:rPr>
          <w:t>生物信息学考核大纲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_Toc138606299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571</w:t>
        </w:r>
        <w:r w:rsidR="00B60833" w:rsidRPr="00A30E53">
          <w:rPr>
            <w:noProof/>
            <w:webHidden/>
            <w:color w:val="000000" w:themeColor="text1"/>
          </w:rPr>
          <w:fldChar w:fldCharType="end"/>
        </w:r>
      </w:hyperlink>
    </w:p>
    <w:p w14:paraId="7164022D" w14:textId="5519DCA9"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0" w:history="1">
        <w:r w:rsidR="00B60833" w:rsidRPr="00A30E53">
          <w:rPr>
            <w:rStyle w:val="afa"/>
            <w:noProof/>
            <w:color w:val="000000" w:themeColor="text1"/>
          </w:rPr>
          <w:t>园艺产品采后处理学考核大纲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_Toc138606300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577</w:t>
        </w:r>
        <w:r w:rsidR="00B60833" w:rsidRPr="00A30E53">
          <w:rPr>
            <w:noProof/>
            <w:webHidden/>
            <w:color w:val="000000" w:themeColor="text1"/>
          </w:rPr>
          <w:fldChar w:fldCharType="end"/>
        </w:r>
      </w:hyperlink>
    </w:p>
    <w:p w14:paraId="24B467C5" w14:textId="2F088838"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1" w:history="1">
        <w:r w:rsidR="00B60833" w:rsidRPr="00A30E53">
          <w:rPr>
            <w:rStyle w:val="afa"/>
            <w:noProof/>
            <w:color w:val="000000" w:themeColor="text1"/>
          </w:rPr>
          <w:t>植物生长调节剂与利用考核大纲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_Toc138606301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584</w:t>
        </w:r>
        <w:r w:rsidR="00B60833" w:rsidRPr="00A30E53">
          <w:rPr>
            <w:noProof/>
            <w:webHidden/>
            <w:color w:val="000000" w:themeColor="text1"/>
          </w:rPr>
          <w:fldChar w:fldCharType="end"/>
        </w:r>
      </w:hyperlink>
    </w:p>
    <w:p w14:paraId="37FDA7F0" w14:textId="4BB283E4"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2" w:history="1">
        <w:r w:rsidR="00B60833" w:rsidRPr="00A30E53">
          <w:rPr>
            <w:rStyle w:val="afa"/>
            <w:noProof/>
            <w:color w:val="000000" w:themeColor="text1"/>
          </w:rPr>
          <w:t>文献检索与科技论文写作考核大纲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_Toc138606302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588</w:t>
        </w:r>
        <w:r w:rsidR="00B60833" w:rsidRPr="00A30E53">
          <w:rPr>
            <w:noProof/>
            <w:webHidden/>
            <w:color w:val="000000" w:themeColor="text1"/>
          </w:rPr>
          <w:fldChar w:fldCharType="end"/>
        </w:r>
      </w:hyperlink>
    </w:p>
    <w:p w14:paraId="192084F2" w14:textId="6E67AD22"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3" w:history="1">
        <w:r w:rsidR="00B60833" w:rsidRPr="00A30E53">
          <w:rPr>
            <w:rStyle w:val="afa"/>
            <w:noProof/>
            <w:color w:val="000000" w:themeColor="text1"/>
          </w:rPr>
          <w:t>园艺产品营养学考核大纲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_Toc138606303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593</w:t>
        </w:r>
        <w:r w:rsidR="00B60833" w:rsidRPr="00A30E53">
          <w:rPr>
            <w:noProof/>
            <w:webHidden/>
            <w:color w:val="000000" w:themeColor="text1"/>
          </w:rPr>
          <w:fldChar w:fldCharType="end"/>
        </w:r>
      </w:hyperlink>
    </w:p>
    <w:p w14:paraId="0F98FAD4" w14:textId="6B707CD5"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4" w:history="1">
        <w:r w:rsidR="00B60833" w:rsidRPr="00A30E53">
          <w:rPr>
            <w:rStyle w:val="afa"/>
            <w:noProof/>
            <w:color w:val="000000" w:themeColor="text1"/>
          </w:rPr>
          <w:t>设施园艺研究进展考核大纲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_Toc138606304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599</w:t>
        </w:r>
        <w:r w:rsidR="00B60833" w:rsidRPr="00A30E53">
          <w:rPr>
            <w:noProof/>
            <w:webHidden/>
            <w:color w:val="000000" w:themeColor="text1"/>
          </w:rPr>
          <w:fldChar w:fldCharType="end"/>
        </w:r>
      </w:hyperlink>
    </w:p>
    <w:p w14:paraId="7ADB525B" w14:textId="0F67C9FC"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5" w:history="1">
        <w:r w:rsidR="00B60833" w:rsidRPr="00A30E53">
          <w:rPr>
            <w:rStyle w:val="afa"/>
            <w:noProof/>
            <w:color w:val="000000" w:themeColor="text1"/>
          </w:rPr>
          <w:t>设施园艺学考核大纲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_Toc138606305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604</w:t>
        </w:r>
        <w:r w:rsidR="00B60833" w:rsidRPr="00A30E53">
          <w:rPr>
            <w:noProof/>
            <w:webHidden/>
            <w:color w:val="000000" w:themeColor="text1"/>
          </w:rPr>
          <w:fldChar w:fldCharType="end"/>
        </w:r>
      </w:hyperlink>
    </w:p>
    <w:p w14:paraId="4AF367DE" w14:textId="2C783B1E" w:rsidR="00B60833" w:rsidRPr="00A30E53" w:rsidRDefault="00FD5ACC" w:rsidP="00A115EF">
      <w:pPr>
        <w:pStyle w:val="TOC1"/>
        <w:numPr>
          <w:ilvl w:val="0"/>
          <w:numId w:val="65"/>
        </w:numPr>
        <w:tabs>
          <w:tab w:val="right" w:leader="dot" w:pos="8890"/>
        </w:tabs>
        <w:rPr>
          <w:rFonts w:eastAsiaTheme="minorEastAsia"/>
          <w:noProof/>
          <w:color w:val="000000" w:themeColor="text1"/>
          <w:szCs w:val="22"/>
          <w14:ligatures w14:val="standardContextual"/>
        </w:rPr>
      </w:pPr>
      <w:hyperlink w:anchor="_Toc138606306" w:history="1">
        <w:r w:rsidR="00B60833" w:rsidRPr="00A30E53">
          <w:rPr>
            <w:rStyle w:val="afa"/>
            <w:noProof/>
            <w:color w:val="000000" w:themeColor="text1"/>
          </w:rPr>
          <w:t>无土栽培学考核大纲</w:t>
        </w:r>
        <w:r w:rsidR="00B60833" w:rsidRPr="00A30E53">
          <w:rPr>
            <w:noProof/>
            <w:webHidden/>
            <w:color w:val="000000" w:themeColor="text1"/>
          </w:rPr>
          <w:tab/>
        </w:r>
        <w:r w:rsidR="00B60833" w:rsidRPr="00A30E53">
          <w:rPr>
            <w:noProof/>
            <w:webHidden/>
            <w:color w:val="000000" w:themeColor="text1"/>
          </w:rPr>
          <w:fldChar w:fldCharType="begin"/>
        </w:r>
        <w:r w:rsidR="00B60833" w:rsidRPr="00A30E53">
          <w:rPr>
            <w:noProof/>
            <w:webHidden/>
            <w:color w:val="000000" w:themeColor="text1"/>
          </w:rPr>
          <w:instrText xml:space="preserve"> PAGEREF _Toc138606306 \h </w:instrText>
        </w:r>
        <w:r w:rsidR="00B60833" w:rsidRPr="00A30E53">
          <w:rPr>
            <w:noProof/>
            <w:webHidden/>
            <w:color w:val="000000" w:themeColor="text1"/>
          </w:rPr>
        </w:r>
        <w:r w:rsidR="00B60833" w:rsidRPr="00A30E53">
          <w:rPr>
            <w:noProof/>
            <w:webHidden/>
            <w:color w:val="000000" w:themeColor="text1"/>
          </w:rPr>
          <w:fldChar w:fldCharType="separate"/>
        </w:r>
        <w:r w:rsidR="00671696">
          <w:rPr>
            <w:noProof/>
            <w:webHidden/>
            <w:color w:val="000000" w:themeColor="text1"/>
          </w:rPr>
          <w:t>609</w:t>
        </w:r>
        <w:r w:rsidR="00B60833" w:rsidRPr="00A30E53">
          <w:rPr>
            <w:noProof/>
            <w:webHidden/>
            <w:color w:val="000000" w:themeColor="text1"/>
          </w:rPr>
          <w:fldChar w:fldCharType="end"/>
        </w:r>
      </w:hyperlink>
    </w:p>
    <w:p w14:paraId="244E4EA9" w14:textId="77777777" w:rsidR="00F5289E" w:rsidRDefault="00C91173">
      <w:pPr>
        <w:tabs>
          <w:tab w:val="right" w:leader="dot" w:pos="8890"/>
        </w:tabs>
        <w:snapToGrid w:val="0"/>
        <w:spacing w:line="360" w:lineRule="auto"/>
        <w:jc w:val="center"/>
        <w:rPr>
          <w:rFonts w:ascii="宋体" w:hAnsi="宋体"/>
        </w:rPr>
      </w:pPr>
      <w:r w:rsidRPr="00A30E53">
        <w:rPr>
          <w:color w:val="000000" w:themeColor="text1"/>
        </w:rPr>
        <w:fldChar w:fldCharType="end"/>
      </w:r>
    </w:p>
    <w:p w14:paraId="6B2C78E4"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rPr>
      </w:pPr>
    </w:p>
    <w:p w14:paraId="2426B851" w14:textId="77777777" w:rsidR="00F5289E" w:rsidRDefault="00F5289E">
      <w:pPr>
        <w:widowControl/>
        <w:jc w:val="left"/>
        <w:rPr>
          <w:rFonts w:ascii="宋体" w:hAnsi="宋体" w:cs="Arial Unicode MS"/>
          <w:kern w:val="0"/>
          <w:sz w:val="24"/>
        </w:rPr>
        <w:sectPr w:rsidR="00F5289E">
          <w:pgSz w:w="11906" w:h="16838"/>
          <w:pgMar w:top="1418" w:right="1588" w:bottom="1588" w:left="1418" w:header="851" w:footer="992" w:gutter="0"/>
          <w:cols w:space="425"/>
          <w:docGrid w:type="lines" w:linePitch="312"/>
        </w:sectPr>
      </w:pPr>
    </w:p>
    <w:p w14:paraId="1458DD03" w14:textId="77777777" w:rsidR="005C191C" w:rsidRDefault="005C191C">
      <w:pPr>
        <w:widowControl/>
        <w:jc w:val="center"/>
        <w:rPr>
          <w:rFonts w:ascii="宋体" w:hAnsi="宋体" w:cs="Arial Unicode MS"/>
          <w:b/>
          <w:bCs/>
          <w:kern w:val="0"/>
          <w:sz w:val="72"/>
          <w:szCs w:val="72"/>
        </w:rPr>
      </w:pPr>
    </w:p>
    <w:p w14:paraId="5C3C4B2C" w14:textId="77777777" w:rsidR="005C191C" w:rsidRDefault="005C191C">
      <w:pPr>
        <w:widowControl/>
        <w:jc w:val="center"/>
        <w:rPr>
          <w:rFonts w:ascii="宋体" w:hAnsi="宋体" w:cs="Arial Unicode MS"/>
          <w:b/>
          <w:bCs/>
          <w:kern w:val="0"/>
          <w:sz w:val="72"/>
          <w:szCs w:val="72"/>
        </w:rPr>
      </w:pPr>
    </w:p>
    <w:p w14:paraId="390B9111" w14:textId="77777777" w:rsidR="005C191C" w:rsidRDefault="005C191C">
      <w:pPr>
        <w:widowControl/>
        <w:jc w:val="center"/>
        <w:rPr>
          <w:rFonts w:ascii="宋体" w:hAnsi="宋体" w:cs="Arial Unicode MS"/>
          <w:b/>
          <w:bCs/>
          <w:kern w:val="0"/>
          <w:sz w:val="72"/>
          <w:szCs w:val="72"/>
        </w:rPr>
      </w:pPr>
    </w:p>
    <w:p w14:paraId="7B53734D" w14:textId="77777777" w:rsidR="005C191C" w:rsidRDefault="005C191C">
      <w:pPr>
        <w:widowControl/>
        <w:jc w:val="center"/>
        <w:rPr>
          <w:rFonts w:ascii="宋体" w:hAnsi="宋体" w:cs="Arial Unicode MS"/>
          <w:b/>
          <w:bCs/>
          <w:kern w:val="0"/>
          <w:sz w:val="72"/>
          <w:szCs w:val="72"/>
        </w:rPr>
      </w:pPr>
    </w:p>
    <w:p w14:paraId="7C79CE11" w14:textId="0BC8F8A5" w:rsidR="00F5289E" w:rsidRDefault="00C91173">
      <w:pPr>
        <w:widowControl/>
        <w:jc w:val="center"/>
        <w:rPr>
          <w:rFonts w:ascii="宋体" w:hAnsi="宋体" w:cs="Arial Unicode MS"/>
          <w:b/>
          <w:bCs/>
          <w:kern w:val="0"/>
          <w:sz w:val="72"/>
          <w:szCs w:val="72"/>
        </w:rPr>
      </w:pPr>
      <w:r>
        <w:rPr>
          <w:rFonts w:ascii="宋体" w:hAnsi="宋体" w:cs="Arial Unicode MS" w:hint="eastAsia"/>
          <w:b/>
          <w:bCs/>
          <w:kern w:val="0"/>
          <w:sz w:val="72"/>
          <w:szCs w:val="72"/>
        </w:rPr>
        <w:t>第一篇 课程教学大纲</w:t>
      </w:r>
    </w:p>
    <w:p w14:paraId="67E36FCA"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sectPr w:rsidR="00F5289E">
          <w:pgSz w:w="11906" w:h="16838"/>
          <w:pgMar w:top="1418" w:right="1588" w:bottom="1588" w:left="1418" w:header="851" w:footer="992" w:gutter="0"/>
          <w:pgNumType w:start="1"/>
          <w:cols w:space="425"/>
          <w:docGrid w:type="lines" w:linePitch="312"/>
        </w:sectPr>
      </w:pPr>
    </w:p>
    <w:p w14:paraId="1B447DEA" w14:textId="77777777" w:rsidR="00F5289E" w:rsidRDefault="00C91173">
      <w:pPr>
        <w:pStyle w:val="1"/>
      </w:pPr>
      <w:bookmarkStart w:id="0" w:name="_Toc138606234"/>
      <w:r>
        <w:rPr>
          <w:rFonts w:hint="eastAsia"/>
        </w:rPr>
        <w:lastRenderedPageBreak/>
        <w:t>传热学</w:t>
      </w:r>
      <w:bookmarkEnd w:id="0"/>
    </w:p>
    <w:p w14:paraId="2D9F3235" w14:textId="77777777" w:rsidR="00F5289E" w:rsidRDefault="004156EB">
      <w:pPr>
        <w:snapToGrid w:val="0"/>
        <w:spacing w:line="360" w:lineRule="auto"/>
        <w:jc w:val="center"/>
        <w:rPr>
          <w:b/>
          <w:szCs w:val="21"/>
        </w:rPr>
      </w:pPr>
      <w:r>
        <w:rPr>
          <w:rFonts w:hint="eastAsia"/>
          <w:sz w:val="24"/>
        </w:rPr>
        <w:t>（</w:t>
      </w:r>
      <w:r>
        <w:rPr>
          <w:sz w:val="24"/>
        </w:rPr>
        <w:t>Heat transfer</w:t>
      </w:r>
      <w:r>
        <w:rPr>
          <w:rFonts w:hint="eastAsia"/>
          <w:sz w:val="24"/>
        </w:rPr>
        <w:t>）</w:t>
      </w:r>
    </w:p>
    <w:p w14:paraId="4F55D792"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369297E8" w14:textId="77777777">
        <w:tc>
          <w:tcPr>
            <w:tcW w:w="1666" w:type="pct"/>
          </w:tcPr>
          <w:p w14:paraId="2B3BDE59"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szCs w:val="21"/>
              </w:rPr>
              <w:t>19011127</w:t>
            </w:r>
          </w:p>
        </w:tc>
        <w:tc>
          <w:tcPr>
            <w:tcW w:w="1453" w:type="pct"/>
          </w:tcPr>
          <w:p w14:paraId="32CDBBCC"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hint="eastAsia"/>
                <w:szCs w:val="21"/>
              </w:rPr>
              <w:t>3</w:t>
            </w:r>
            <w:r>
              <w:rPr>
                <w:rFonts w:ascii="宋体" w:hAnsi="宋体"/>
                <w:szCs w:val="21"/>
              </w:rPr>
              <w:t>2</w:t>
            </w:r>
          </w:p>
        </w:tc>
        <w:tc>
          <w:tcPr>
            <w:tcW w:w="1881" w:type="pct"/>
          </w:tcPr>
          <w:p w14:paraId="19AA552E" w14:textId="51AD1D57"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szCs w:val="21"/>
              </w:rPr>
              <w:t>0</w:t>
            </w:r>
          </w:p>
        </w:tc>
      </w:tr>
      <w:tr w:rsidR="00F5289E" w14:paraId="78447C2C" w14:textId="77777777">
        <w:tc>
          <w:tcPr>
            <w:tcW w:w="1666" w:type="pct"/>
          </w:tcPr>
          <w:p w14:paraId="30DA8316"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hAnsi="宋体" w:hint="eastAsia"/>
                <w:bCs/>
                <w:kern w:val="0"/>
                <w:szCs w:val="21"/>
              </w:rPr>
              <w:t>必修</w:t>
            </w:r>
          </w:p>
        </w:tc>
        <w:tc>
          <w:tcPr>
            <w:tcW w:w="1453" w:type="pct"/>
          </w:tcPr>
          <w:p w14:paraId="49E3BABC"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szCs w:val="21"/>
              </w:rPr>
              <w:t>基础类</w:t>
            </w:r>
          </w:p>
        </w:tc>
        <w:tc>
          <w:tcPr>
            <w:tcW w:w="1881" w:type="pct"/>
          </w:tcPr>
          <w:p w14:paraId="407F8CAC"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w:t>
            </w:r>
            <w:r>
              <w:rPr>
                <w:rFonts w:ascii="宋体" w:hAnsi="宋体"/>
                <w:szCs w:val="21"/>
              </w:rPr>
              <w:t>3</w:t>
            </w:r>
            <w:r>
              <w:rPr>
                <w:rFonts w:ascii="宋体" w:hAnsi="宋体" w:hint="eastAsia"/>
                <w:szCs w:val="21"/>
              </w:rPr>
              <w:t>学期</w:t>
            </w:r>
          </w:p>
        </w:tc>
      </w:tr>
      <w:tr w:rsidR="00F5289E" w14:paraId="4CE46497" w14:textId="77777777">
        <w:tc>
          <w:tcPr>
            <w:tcW w:w="1666" w:type="pct"/>
          </w:tcPr>
          <w:p w14:paraId="765C8E14"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汪虎</w:t>
            </w:r>
          </w:p>
        </w:tc>
        <w:tc>
          <w:tcPr>
            <w:tcW w:w="1453" w:type="pct"/>
          </w:tcPr>
          <w:p w14:paraId="57C39D42"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汪虎 崔丹丹</w:t>
            </w:r>
          </w:p>
        </w:tc>
        <w:tc>
          <w:tcPr>
            <w:tcW w:w="1881" w:type="pct"/>
          </w:tcPr>
          <w:p w14:paraId="0674E0E5"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szCs w:val="21"/>
              </w:rPr>
              <w:t>中文</w:t>
            </w:r>
          </w:p>
        </w:tc>
      </w:tr>
      <w:tr w:rsidR="00F5289E" w14:paraId="57C86C3E" w14:textId="77777777">
        <w:tc>
          <w:tcPr>
            <w:tcW w:w="5000" w:type="pct"/>
            <w:gridSpan w:val="3"/>
          </w:tcPr>
          <w:p w14:paraId="70F3E5EB"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Pr>
                <w:rFonts w:ascii="宋体" w:hAnsi="宋体" w:hint="eastAsia"/>
                <w:bCs/>
                <w:szCs w:val="21"/>
              </w:rPr>
              <w:t>设施农业科学与工程</w:t>
            </w:r>
          </w:p>
        </w:tc>
      </w:tr>
      <w:tr w:rsidR="00F5289E" w14:paraId="558E7868" w14:textId="77777777">
        <w:tc>
          <w:tcPr>
            <w:tcW w:w="5000" w:type="pct"/>
            <w:gridSpan w:val="3"/>
          </w:tcPr>
          <w:p w14:paraId="3EED7ABD" w14:textId="77777777" w:rsidR="00F5289E" w:rsidRDefault="00C91173">
            <w:pPr>
              <w:spacing w:line="300" w:lineRule="auto"/>
              <w:rPr>
                <w:rFonts w:ascii="宋体" w:hAnsi="宋体"/>
                <w:bCs/>
                <w:szCs w:val="21"/>
              </w:rPr>
            </w:pPr>
            <w:r>
              <w:rPr>
                <w:rFonts w:ascii="宋体" w:hAnsi="宋体" w:hint="eastAsia"/>
                <w:b/>
                <w:bCs/>
                <w:szCs w:val="21"/>
              </w:rPr>
              <w:t>对先修的要求：</w:t>
            </w:r>
            <w:r>
              <w:rPr>
                <w:rFonts w:ascii="宋体" w:hAnsi="宋体" w:hint="eastAsia"/>
                <w:bCs/>
                <w:szCs w:val="21"/>
              </w:rPr>
              <w:t>先修主要课程：高等数学、工程力学；</w:t>
            </w:r>
          </w:p>
          <w:p w14:paraId="378A73EF" w14:textId="77777777" w:rsidR="00F5289E" w:rsidRDefault="00C91173">
            <w:pPr>
              <w:spacing w:line="300" w:lineRule="auto"/>
              <w:rPr>
                <w:rFonts w:ascii="宋体" w:hAnsi="宋体"/>
                <w:b/>
                <w:bCs/>
                <w:szCs w:val="21"/>
              </w:rPr>
            </w:pPr>
            <w:r>
              <w:rPr>
                <w:rFonts w:ascii="宋体" w:hAnsi="宋体"/>
                <w:bCs/>
                <w:szCs w:val="21"/>
              </w:rPr>
              <w:t>先修知识点：掌握微积分、质量和动量守恒定律和热力学方面的知识。</w:t>
            </w:r>
          </w:p>
        </w:tc>
      </w:tr>
      <w:tr w:rsidR="00F5289E" w14:paraId="112D8783" w14:textId="77777777">
        <w:tc>
          <w:tcPr>
            <w:tcW w:w="5000" w:type="pct"/>
            <w:gridSpan w:val="3"/>
          </w:tcPr>
          <w:p w14:paraId="55AE0CCA"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bCs/>
                <w:szCs w:val="21"/>
              </w:rPr>
              <w:t>为学生设施园艺学、设施工程力学、农业设施工程学课程的学习，提供一定的理论和方法，为学生毕业实习过程中理论和实践相结合奠定基础。</w:t>
            </w:r>
          </w:p>
        </w:tc>
      </w:tr>
      <w:tr w:rsidR="00F5289E" w14:paraId="0DB3CFC0" w14:textId="77777777">
        <w:tc>
          <w:tcPr>
            <w:tcW w:w="1666" w:type="pct"/>
          </w:tcPr>
          <w:p w14:paraId="1AB4762C"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崔丹丹</w:t>
            </w:r>
          </w:p>
        </w:tc>
        <w:tc>
          <w:tcPr>
            <w:tcW w:w="1453" w:type="pct"/>
          </w:tcPr>
          <w:p w14:paraId="182637B3"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汪虎</w:t>
            </w:r>
          </w:p>
        </w:tc>
        <w:tc>
          <w:tcPr>
            <w:tcW w:w="1881" w:type="pct"/>
          </w:tcPr>
          <w:p w14:paraId="0D338CF8"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szCs w:val="21"/>
              </w:rPr>
              <w:t>2023.05</w:t>
            </w:r>
          </w:p>
        </w:tc>
      </w:tr>
    </w:tbl>
    <w:p w14:paraId="4635C16E" w14:textId="77777777" w:rsidR="00F5289E" w:rsidRDefault="00F5289E">
      <w:pPr>
        <w:widowControl/>
        <w:snapToGrid w:val="0"/>
        <w:spacing w:line="360" w:lineRule="auto"/>
        <w:jc w:val="left"/>
        <w:rPr>
          <w:rFonts w:hAnsi="宋体"/>
          <w:b/>
          <w:bCs/>
          <w:kern w:val="0"/>
          <w:szCs w:val="21"/>
        </w:rPr>
      </w:pPr>
    </w:p>
    <w:p w14:paraId="174A7A25"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F3CA779" w14:textId="77777777" w:rsidR="00F5289E" w:rsidRDefault="00C91173">
      <w:pPr>
        <w:spacing w:line="360" w:lineRule="auto"/>
        <w:ind w:firstLineChars="200" w:firstLine="420"/>
        <w:rPr>
          <w:kern w:val="0"/>
          <w:szCs w:val="21"/>
        </w:rPr>
      </w:pPr>
      <w:r>
        <w:rPr>
          <w:rFonts w:hint="eastAsia"/>
          <w:kern w:val="0"/>
          <w:szCs w:val="21"/>
        </w:rPr>
        <w:t>温室大棚种植是我国现代农业发展的重要组成部分，大棚的热量传递和变化规律对于园艺作物的栽培和生产具有十分重要的意义。《传热学》是设施农业科学与工程专业的专业基础课程，能够为本专业的后续专业课程如设施园艺学、设施工程力学、农业设施工程学等课程提供一定的学习基础。本门课程主要讲授与热量传递相关的热传导、热对流和热辐射三大传热方式的概念、分类、原理、影响因素，热量计算方法以及强化原则，通过本课程的学习，应使学生了解不同传热方式的换热特点和基本规律，掌握分析工程传热问题的基本能力。课程重在提升学生的专业知识素养，拓宽学生的专业视野，能够为从事设施农业、农业设施工程设计建造的工程技术人员打下必要的专业基础。</w:t>
      </w:r>
    </w:p>
    <w:p w14:paraId="74F1921D"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727F5579"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了解传热学的发展历史和研究方法；了解多维导热、肋片导热及非稳态导热问题；了解对流换热的边界层微分方程组导出过程；了解外部强制对流换热、自然对流换热和相变对流换热的实验关联式；了解太阳辐射</w:t>
      </w:r>
      <w:r>
        <w:rPr>
          <w:rFonts w:hAnsi="宋体" w:hint="eastAsia"/>
          <w:kern w:val="0"/>
          <w:szCs w:val="21"/>
        </w:rPr>
        <w:t>、</w:t>
      </w:r>
      <w:r>
        <w:rPr>
          <w:rFonts w:hAnsi="宋体"/>
          <w:kern w:val="0"/>
          <w:szCs w:val="21"/>
        </w:rPr>
        <w:t>多表面系统的辐射传热和气体辐射。掌握一维稳态导热的分析解法</w:t>
      </w:r>
      <w:r>
        <w:rPr>
          <w:rFonts w:hAnsi="宋体" w:hint="eastAsia"/>
          <w:kern w:val="0"/>
          <w:szCs w:val="21"/>
        </w:rPr>
        <w:t>及</w:t>
      </w:r>
      <w:r>
        <w:rPr>
          <w:rFonts w:hAnsi="宋体"/>
          <w:kern w:val="0"/>
          <w:szCs w:val="21"/>
        </w:rPr>
        <w:t>非稳态导热的概念和导热特点；掌握对流换热的定义、影响因素、分类和换热特点，掌握边界层的概念和特点及其简化分析方法；掌握管内强制对流换热和相变对流换热的换热特点及常见的相似准则数</w:t>
      </w:r>
      <w:r>
        <w:rPr>
          <w:rFonts w:hAnsi="宋体" w:hint="eastAsia"/>
          <w:kern w:val="0"/>
          <w:szCs w:val="21"/>
        </w:rPr>
        <w:t>；</w:t>
      </w:r>
      <w:r>
        <w:rPr>
          <w:rFonts w:hAnsi="宋体"/>
          <w:kern w:val="0"/>
          <w:szCs w:val="21"/>
        </w:rPr>
        <w:t>掌握热辐射的概念及黑体辐射的基本定律；掌握两表面封闭系统的辐射传热。</w:t>
      </w:r>
      <w:r>
        <w:rPr>
          <w:rFonts w:hAnsi="宋体" w:hint="eastAsia"/>
          <w:bCs/>
          <w:color w:val="0000FF"/>
          <w:kern w:val="0"/>
          <w:szCs w:val="21"/>
        </w:rPr>
        <w:t xml:space="preserve"> </w:t>
      </w:r>
    </w:p>
    <w:p w14:paraId="19FEF560"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2.</w:t>
      </w:r>
      <w:r>
        <w:rPr>
          <w:rFonts w:hAnsi="宋体"/>
          <w:kern w:val="0"/>
          <w:szCs w:val="21"/>
        </w:rPr>
        <w:t>实验技能方面：</w:t>
      </w:r>
      <w:r>
        <w:rPr>
          <w:rFonts w:hAnsi="宋体" w:hint="eastAsia"/>
          <w:bCs/>
          <w:color w:val="000000" w:themeColor="text1"/>
          <w:kern w:val="0"/>
          <w:szCs w:val="21"/>
        </w:rPr>
        <w:t>课程未设置实验内容。</w:t>
      </w:r>
    </w:p>
    <w:p w14:paraId="6518256F"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6A61110D"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28D817FC" w14:textId="77777777" w:rsidR="00F5289E" w:rsidRDefault="00C91173">
      <w:pPr>
        <w:spacing w:line="360" w:lineRule="auto"/>
        <w:ind w:firstLineChars="200" w:firstLine="420"/>
        <w:rPr>
          <w:rFonts w:ascii="宋体" w:hAnsi="宋体" w:cs="宋体"/>
          <w:bCs/>
          <w:color w:val="0000FF"/>
          <w:kern w:val="0"/>
          <w:szCs w:val="21"/>
        </w:rPr>
      </w:pPr>
      <w:r>
        <w:rPr>
          <w:rFonts w:hAnsi="宋体" w:hint="eastAsia"/>
          <w:bCs/>
          <w:kern w:val="0"/>
          <w:szCs w:val="21"/>
        </w:rPr>
        <w:t>本门课程与理科专业所学不同的是缺少实验课，主要是通过理论课学习，拓宽学生的专业视野，提升专业知识素养。教学方法以讲授法为主，借助多媒体手段，采用图文与视频结合，通过与专业或生活相关的传热现象引入课程内容，激发学生的学习兴趣。同时在课程实施中，让学生从农业生产、专业、生活现象等角度出发，穿插小组讨论、分组比赛等环节，充分发散思维，起到以学促教、强化其对理论知识的理解和应用能力的教学效果。</w:t>
      </w:r>
    </w:p>
    <w:p w14:paraId="051CE67B"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226"/>
        <w:gridCol w:w="1672"/>
      </w:tblGrid>
      <w:tr w:rsidR="00F5289E" w14:paraId="4AA1DB55"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0C2BE8C"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22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A14CDB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6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B258D12"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2F86F90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E682605"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226" w:type="dxa"/>
            <w:tcBorders>
              <w:top w:val="single" w:sz="4" w:space="0" w:color="auto"/>
              <w:left w:val="single" w:sz="4" w:space="0" w:color="auto"/>
              <w:bottom w:val="single" w:sz="4" w:space="0" w:color="auto"/>
              <w:right w:val="single" w:sz="4" w:space="0" w:color="auto"/>
            </w:tcBorders>
            <w:vAlign w:val="center"/>
          </w:tcPr>
          <w:p w14:paraId="3C875500" w14:textId="77777777" w:rsidR="00F5289E" w:rsidRDefault="00C91173">
            <w:pPr>
              <w:spacing w:line="320" w:lineRule="exact"/>
              <w:rPr>
                <w:rFonts w:eastAsiaTheme="minorEastAsia" w:hAnsiTheme="minorEastAsia"/>
                <w:sz w:val="18"/>
                <w:szCs w:val="18"/>
              </w:rPr>
            </w:pPr>
            <w:r>
              <w:rPr>
                <w:rFonts w:eastAsiaTheme="minorEastAsia" w:hAnsiTheme="minorEastAsia" w:hint="eastAsia"/>
                <w:sz w:val="18"/>
                <w:szCs w:val="18"/>
              </w:rPr>
              <w:t>目标</w:t>
            </w:r>
            <w:r>
              <w:rPr>
                <w:rFonts w:eastAsiaTheme="minorEastAsia" w:hAnsiTheme="minorEastAsia" w:hint="eastAsia"/>
                <w:sz w:val="18"/>
                <w:szCs w:val="18"/>
              </w:rPr>
              <w:t>1</w:t>
            </w:r>
            <w:r>
              <w:rPr>
                <w:rFonts w:eastAsiaTheme="minorEastAsia" w:hAnsiTheme="minorEastAsia" w:hint="eastAsia"/>
                <w:sz w:val="18"/>
                <w:szCs w:val="18"/>
              </w:rPr>
              <w:t>：使学生能够对常见的社会生活和农业生产中的传热现象进行科学的解释和分析。</w:t>
            </w:r>
          </w:p>
        </w:tc>
        <w:tc>
          <w:tcPr>
            <w:tcW w:w="1672" w:type="dxa"/>
            <w:tcBorders>
              <w:top w:val="single" w:sz="4" w:space="0" w:color="auto"/>
              <w:left w:val="single" w:sz="4" w:space="0" w:color="auto"/>
              <w:bottom w:val="single" w:sz="4" w:space="0" w:color="auto"/>
              <w:right w:val="single" w:sz="4" w:space="0" w:color="auto"/>
            </w:tcBorders>
            <w:vAlign w:val="center"/>
          </w:tcPr>
          <w:p w14:paraId="2ED4A9E8" w14:textId="77777777" w:rsidR="00F5289E" w:rsidRDefault="00C91173">
            <w:pPr>
              <w:spacing w:line="320" w:lineRule="exact"/>
              <w:jc w:val="center"/>
              <w:rPr>
                <w:rFonts w:eastAsiaTheme="minorEastAsia"/>
                <w:sz w:val="18"/>
                <w:szCs w:val="18"/>
              </w:rPr>
            </w:pPr>
            <w:r>
              <w:rPr>
                <w:rFonts w:eastAsiaTheme="minorEastAsia" w:hint="eastAsia"/>
                <w:sz w:val="18"/>
                <w:szCs w:val="18"/>
              </w:rPr>
              <w:t>2</w:t>
            </w:r>
          </w:p>
        </w:tc>
      </w:tr>
      <w:tr w:rsidR="00F5289E" w14:paraId="6DB5316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80B7F64"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226" w:type="dxa"/>
            <w:tcBorders>
              <w:top w:val="single" w:sz="4" w:space="0" w:color="auto"/>
              <w:left w:val="single" w:sz="4" w:space="0" w:color="auto"/>
              <w:bottom w:val="single" w:sz="4" w:space="0" w:color="auto"/>
              <w:right w:val="single" w:sz="4" w:space="0" w:color="auto"/>
            </w:tcBorders>
            <w:vAlign w:val="center"/>
          </w:tcPr>
          <w:p w14:paraId="1C230BFA" w14:textId="77777777" w:rsidR="00F5289E" w:rsidRDefault="00C91173">
            <w:pPr>
              <w:spacing w:line="320" w:lineRule="exact"/>
              <w:rPr>
                <w:rFonts w:eastAsiaTheme="minorEastAsia" w:hAnsiTheme="minorEastAsia"/>
                <w:color w:val="0000FF"/>
                <w:sz w:val="18"/>
                <w:szCs w:val="18"/>
                <w:highlight w:val="yellow"/>
              </w:rPr>
            </w:pPr>
            <w:r>
              <w:rPr>
                <w:rFonts w:hint="eastAsia"/>
                <w:kern w:val="0"/>
                <w:sz w:val="18"/>
                <w:szCs w:val="21"/>
              </w:rPr>
              <w:t>目标</w:t>
            </w:r>
            <w:r>
              <w:rPr>
                <w:rFonts w:hint="eastAsia"/>
                <w:kern w:val="0"/>
                <w:sz w:val="18"/>
                <w:szCs w:val="21"/>
              </w:rPr>
              <w:t>2</w:t>
            </w:r>
            <w:r>
              <w:rPr>
                <w:rFonts w:hint="eastAsia"/>
                <w:kern w:val="0"/>
                <w:sz w:val="18"/>
                <w:szCs w:val="21"/>
              </w:rPr>
              <w:t>：使学生了解不同传热方式的换热特点和基本规律，拥有初步分析实际设施工程传热问题的基本能力。</w:t>
            </w:r>
          </w:p>
        </w:tc>
        <w:tc>
          <w:tcPr>
            <w:tcW w:w="1672" w:type="dxa"/>
            <w:tcBorders>
              <w:top w:val="single" w:sz="4" w:space="0" w:color="auto"/>
              <w:left w:val="single" w:sz="4" w:space="0" w:color="auto"/>
              <w:bottom w:val="single" w:sz="4" w:space="0" w:color="auto"/>
              <w:right w:val="single" w:sz="4" w:space="0" w:color="auto"/>
            </w:tcBorders>
            <w:vAlign w:val="center"/>
          </w:tcPr>
          <w:p w14:paraId="078F37D6" w14:textId="77777777" w:rsidR="00F5289E" w:rsidRDefault="00C91173">
            <w:pPr>
              <w:spacing w:line="320" w:lineRule="exact"/>
              <w:jc w:val="center"/>
              <w:rPr>
                <w:rFonts w:eastAsiaTheme="minorEastAsia"/>
                <w:sz w:val="18"/>
                <w:szCs w:val="18"/>
              </w:rPr>
            </w:pPr>
            <w:r>
              <w:rPr>
                <w:rFonts w:eastAsiaTheme="minorEastAsia" w:hint="eastAsia"/>
                <w:sz w:val="18"/>
                <w:szCs w:val="18"/>
              </w:rPr>
              <w:t>3</w:t>
            </w:r>
          </w:p>
          <w:p w14:paraId="1C5DC132"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p w14:paraId="53C95455" w14:textId="77777777" w:rsidR="00F5289E" w:rsidRDefault="00C91173">
            <w:pPr>
              <w:spacing w:line="320" w:lineRule="exact"/>
              <w:jc w:val="center"/>
              <w:rPr>
                <w:rFonts w:eastAsiaTheme="minorEastAsia"/>
                <w:color w:val="0000FF"/>
                <w:sz w:val="18"/>
                <w:szCs w:val="18"/>
              </w:rPr>
            </w:pPr>
            <w:r>
              <w:rPr>
                <w:rFonts w:eastAsiaTheme="minorEastAsia" w:hint="eastAsia"/>
                <w:sz w:val="18"/>
                <w:szCs w:val="18"/>
              </w:rPr>
              <w:t>5</w:t>
            </w:r>
          </w:p>
        </w:tc>
      </w:tr>
      <w:tr w:rsidR="00F5289E" w14:paraId="3E006A6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5B35CF54"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226" w:type="dxa"/>
            <w:tcBorders>
              <w:top w:val="single" w:sz="4" w:space="0" w:color="auto"/>
              <w:left w:val="single" w:sz="4" w:space="0" w:color="auto"/>
              <w:bottom w:val="single" w:sz="4" w:space="0" w:color="auto"/>
              <w:right w:val="single" w:sz="4" w:space="0" w:color="auto"/>
            </w:tcBorders>
            <w:vAlign w:val="center"/>
          </w:tcPr>
          <w:p w14:paraId="3A5FB44A" w14:textId="77777777" w:rsidR="00F5289E" w:rsidRDefault="00C91173">
            <w:pPr>
              <w:spacing w:line="320" w:lineRule="exact"/>
              <w:rPr>
                <w:rFonts w:eastAsiaTheme="minorEastAsia"/>
                <w:color w:val="0000FF"/>
                <w:sz w:val="18"/>
                <w:szCs w:val="18"/>
              </w:rPr>
            </w:pPr>
            <w:r>
              <w:rPr>
                <w:rFonts w:hint="eastAsia"/>
                <w:kern w:val="0"/>
                <w:sz w:val="18"/>
                <w:szCs w:val="21"/>
              </w:rPr>
              <w:t>目标</w:t>
            </w:r>
            <w:r>
              <w:rPr>
                <w:rFonts w:hint="eastAsia"/>
                <w:kern w:val="0"/>
                <w:sz w:val="18"/>
                <w:szCs w:val="21"/>
              </w:rPr>
              <w:t>3</w:t>
            </w:r>
            <w:r>
              <w:rPr>
                <w:rFonts w:hint="eastAsia"/>
                <w:kern w:val="0"/>
                <w:sz w:val="18"/>
                <w:szCs w:val="21"/>
              </w:rPr>
              <w:t>：提升学生的专业知识素养，为设施农业、农业设施工程建造提供传热学方面的基础。</w:t>
            </w:r>
          </w:p>
        </w:tc>
        <w:tc>
          <w:tcPr>
            <w:tcW w:w="1672" w:type="dxa"/>
            <w:tcBorders>
              <w:top w:val="single" w:sz="4" w:space="0" w:color="auto"/>
              <w:left w:val="single" w:sz="4" w:space="0" w:color="auto"/>
              <w:bottom w:val="single" w:sz="4" w:space="0" w:color="auto"/>
              <w:right w:val="single" w:sz="4" w:space="0" w:color="auto"/>
            </w:tcBorders>
            <w:vAlign w:val="center"/>
          </w:tcPr>
          <w:p w14:paraId="04944E82"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p>
          <w:p w14:paraId="4894799D" w14:textId="77777777" w:rsidR="00F5289E" w:rsidRDefault="00C91173">
            <w:pPr>
              <w:spacing w:line="320" w:lineRule="exact"/>
              <w:jc w:val="center"/>
              <w:rPr>
                <w:rFonts w:eastAsiaTheme="minorEastAsia"/>
                <w:sz w:val="18"/>
                <w:szCs w:val="18"/>
              </w:rPr>
            </w:pPr>
            <w:r>
              <w:rPr>
                <w:rFonts w:eastAsiaTheme="minorEastAsia" w:hint="eastAsia"/>
                <w:sz w:val="18"/>
                <w:szCs w:val="18"/>
              </w:rPr>
              <w:t>8</w:t>
            </w:r>
          </w:p>
          <w:p w14:paraId="030A5235" w14:textId="77777777" w:rsidR="00F5289E" w:rsidRDefault="00C91173">
            <w:pPr>
              <w:spacing w:line="320" w:lineRule="exact"/>
              <w:jc w:val="center"/>
              <w:rPr>
                <w:rFonts w:eastAsiaTheme="minorEastAsia"/>
                <w:sz w:val="18"/>
                <w:szCs w:val="18"/>
              </w:rPr>
            </w:pPr>
            <w:r>
              <w:rPr>
                <w:rFonts w:eastAsiaTheme="minorEastAsia" w:hint="eastAsia"/>
                <w:sz w:val="18"/>
                <w:szCs w:val="18"/>
              </w:rPr>
              <w:t>10</w:t>
            </w:r>
          </w:p>
        </w:tc>
      </w:tr>
    </w:tbl>
    <w:p w14:paraId="30FE151C" w14:textId="77777777" w:rsidR="00F5289E" w:rsidRDefault="00F5289E">
      <w:pPr>
        <w:spacing w:line="360" w:lineRule="auto"/>
        <w:ind w:firstLineChars="200" w:firstLine="420"/>
        <w:rPr>
          <w:rFonts w:hAnsi="宋体"/>
          <w:bCs/>
          <w:color w:val="0000FF"/>
          <w:kern w:val="0"/>
          <w:szCs w:val="21"/>
        </w:rPr>
      </w:pPr>
    </w:p>
    <w:p w14:paraId="1E7CA60C" w14:textId="77777777" w:rsidR="00F5289E" w:rsidRDefault="00C91173" w:rsidP="00A115EF">
      <w:pPr>
        <w:widowControl/>
        <w:numPr>
          <w:ilvl w:val="0"/>
          <w:numId w:val="1"/>
        </w:numPr>
        <w:snapToGrid w:val="0"/>
        <w:spacing w:line="360" w:lineRule="auto"/>
        <w:jc w:val="left"/>
        <w:rPr>
          <w:rFonts w:hAnsi="宋体"/>
          <w:b/>
          <w:bCs/>
          <w:kern w:val="0"/>
          <w:szCs w:val="21"/>
        </w:rPr>
      </w:pPr>
      <w:r>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F2B85D5" w14:textId="77777777">
        <w:trPr>
          <w:trHeight w:val="270"/>
        </w:trPr>
        <w:tc>
          <w:tcPr>
            <w:tcW w:w="2965" w:type="dxa"/>
            <w:tcBorders>
              <w:top w:val="nil"/>
              <w:left w:val="nil"/>
              <w:bottom w:val="nil"/>
              <w:right w:val="nil"/>
            </w:tcBorders>
            <w:vAlign w:val="center"/>
          </w:tcPr>
          <w:p w14:paraId="2EFAC9CA"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61C2365"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hint="eastAsia"/>
                <w:b/>
                <w:bCs/>
                <w:kern w:val="0"/>
                <w:szCs w:val="21"/>
              </w:rPr>
              <w:t>绪论</w:t>
            </w:r>
          </w:p>
        </w:tc>
        <w:tc>
          <w:tcPr>
            <w:tcW w:w="2966" w:type="dxa"/>
            <w:tcBorders>
              <w:top w:val="nil"/>
              <w:left w:val="nil"/>
              <w:bottom w:val="nil"/>
              <w:right w:val="nil"/>
            </w:tcBorders>
            <w:vAlign w:val="center"/>
          </w:tcPr>
          <w:p w14:paraId="6086D1CD"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33BA067C"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使学生初步了解传热学的概念、研究内容和研究方法；了解三种传热方式的概念、原理和计算方法；了解传热过程中的传热方式和传热系数的计算方法。</w:t>
      </w:r>
    </w:p>
    <w:p w14:paraId="02978F2E"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三种热量传递方式的热量计算所遵循的定律；传热过程和传热系数以及热阻的概念。</w:t>
      </w:r>
    </w:p>
    <w:p w14:paraId="0B5C79CF"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了解传热学的发展史和研究方法，理解三种热量传递方式的概念和特点；熟练掌握三种热量传递方式（热传导、热对流和热辐射）的定义、定律、方程和计算方法；掌握传热过程和热阻的概念和计算方法。</w:t>
      </w:r>
      <w:r>
        <w:rPr>
          <w:rFonts w:ascii="宋体" w:hAnsi="宋体"/>
        </w:rPr>
        <w:t xml:space="preserve"> </w:t>
      </w:r>
    </w:p>
    <w:p w14:paraId="75B9A01D"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通过图文结合的方式带领学生回顾传热学的发展史和研究方法，以及目前所常用的研究方法；结合生活中和专业中常见的实例，如晒被子和暖气片所涉及的传热学知识，夏季和冬季大棚的降温和加温措施等，讨论传热学知识在这些现象中的应用和原理。增强学生的兴趣；结合视频加深学生对三种传热方式的理解。</w:t>
      </w:r>
    </w:p>
    <w:p w14:paraId="6D4065EB" w14:textId="77777777" w:rsidR="00F5289E" w:rsidRDefault="00F5289E">
      <w:pPr>
        <w:widowControl/>
        <w:snapToGrid w:val="0"/>
        <w:spacing w:line="360" w:lineRule="auto"/>
        <w:rPr>
          <w:rFonts w:ascii="宋体" w:hAnsi="宋体"/>
          <w:bCs/>
        </w:rPr>
      </w:pPr>
    </w:p>
    <w:tbl>
      <w:tblPr>
        <w:tblStyle w:val="af6"/>
        <w:tblW w:w="8899" w:type="dxa"/>
        <w:tblInd w:w="4" w:type="dxa"/>
        <w:tblCellMar>
          <w:left w:w="0" w:type="dxa"/>
          <w:right w:w="0" w:type="dxa"/>
        </w:tblCellMar>
        <w:tblLook w:val="04A0" w:firstRow="1" w:lastRow="0" w:firstColumn="1" w:lastColumn="0" w:noHBand="0" w:noVBand="1"/>
      </w:tblPr>
      <w:tblGrid>
        <w:gridCol w:w="2831"/>
        <w:gridCol w:w="3261"/>
        <w:gridCol w:w="2807"/>
      </w:tblGrid>
      <w:tr w:rsidR="00F5289E" w14:paraId="13C613AF" w14:textId="77777777">
        <w:trPr>
          <w:trHeight w:val="270"/>
        </w:trPr>
        <w:tc>
          <w:tcPr>
            <w:tcW w:w="2831" w:type="dxa"/>
            <w:tcBorders>
              <w:top w:val="nil"/>
              <w:left w:val="nil"/>
              <w:bottom w:val="nil"/>
              <w:right w:val="nil"/>
            </w:tcBorders>
            <w:vAlign w:val="center"/>
          </w:tcPr>
          <w:p w14:paraId="5A92E0EE"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4FCBEE57"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bCs/>
                <w:kern w:val="0"/>
                <w:szCs w:val="21"/>
              </w:rPr>
              <w:t>导热基本定律及稳态导热</w:t>
            </w:r>
          </w:p>
        </w:tc>
        <w:tc>
          <w:tcPr>
            <w:tcW w:w="2807" w:type="dxa"/>
            <w:tcBorders>
              <w:top w:val="nil"/>
              <w:left w:val="nil"/>
              <w:bottom w:val="nil"/>
              <w:right w:val="nil"/>
            </w:tcBorders>
            <w:vAlign w:val="center"/>
          </w:tcPr>
          <w:p w14:paraId="5D835E50"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5</w:t>
            </w:r>
          </w:p>
        </w:tc>
      </w:tr>
    </w:tbl>
    <w:p w14:paraId="30EDD447" w14:textId="77777777" w:rsidR="00F5289E" w:rsidRDefault="00C91173">
      <w:pPr>
        <w:widowControl/>
        <w:snapToGrid w:val="0"/>
        <w:spacing w:line="360" w:lineRule="auto"/>
        <w:rPr>
          <w:rFonts w:ascii="宋体" w:hAnsi="宋体"/>
          <w:bCs/>
        </w:rPr>
      </w:pPr>
      <w:r>
        <w:rPr>
          <w:rFonts w:ascii="宋体" w:hAnsi="宋体" w:hint="eastAsia"/>
          <w:b/>
        </w:rPr>
        <w:lastRenderedPageBreak/>
        <w:t>教学目标：</w:t>
      </w:r>
      <w:r>
        <w:rPr>
          <w:rFonts w:ascii="宋体" w:hAnsi="宋体" w:hint="eastAsia"/>
          <w:bCs/>
        </w:rPr>
        <w:t>通过本章学习能够掌握导热问题的数学描写的原理，一维稳态导热问题的分析解法的应用；熟悉傅立叶定律及利用其解决基本的导热问题，掌握导热系数的意义及其影响因素；了解多维导热问题，肋片的导热原理。</w:t>
      </w:r>
    </w:p>
    <w:p w14:paraId="2EF56802" w14:textId="77777777" w:rsidR="00F5289E" w:rsidRDefault="00C91173">
      <w:pPr>
        <w:widowControl/>
        <w:snapToGrid w:val="0"/>
        <w:spacing w:line="360" w:lineRule="auto"/>
        <w:rPr>
          <w:rFonts w:ascii="宋体" w:hAnsi="宋体"/>
        </w:rPr>
      </w:pPr>
      <w:r>
        <w:rPr>
          <w:rFonts w:ascii="宋体" w:hAnsi="宋体" w:hint="eastAsia"/>
          <w:b/>
          <w:bCs/>
        </w:rPr>
        <w:t>教学重点和难点：</w:t>
      </w:r>
      <w:r>
        <w:rPr>
          <w:rFonts w:ascii="宋体" w:hAnsi="宋体" w:hint="eastAsia"/>
        </w:rPr>
        <w:t>本章重点主要在傅立叶定律的应用，导热问题的数学描写的原理和理解及一维稳态导热问题的分析解法。难点主要在肋片导热的分析和计算。</w:t>
      </w:r>
    </w:p>
    <w:p w14:paraId="17A3E1C1" w14:textId="77777777" w:rsidR="00F5289E" w:rsidRDefault="00C91173">
      <w:pPr>
        <w:widowControl/>
        <w:snapToGrid w:val="0"/>
        <w:spacing w:line="360" w:lineRule="auto"/>
        <w:rPr>
          <w:rFonts w:ascii="宋体" w:hAnsi="宋体"/>
          <w:b/>
        </w:rPr>
      </w:pPr>
      <w:r>
        <w:rPr>
          <w:rFonts w:ascii="宋体" w:hAnsi="宋体" w:hint="eastAsia"/>
          <w:b/>
        </w:rPr>
        <w:t>主要教学内容及要求：</w:t>
      </w:r>
      <w:r>
        <w:rPr>
          <w:rFonts w:hint="eastAsia"/>
          <w:kern w:val="0"/>
          <w:szCs w:val="21"/>
        </w:rPr>
        <w:t>掌握</w:t>
      </w:r>
      <w:r>
        <w:rPr>
          <w:kern w:val="0"/>
          <w:szCs w:val="21"/>
        </w:rPr>
        <w:t>温度场</w:t>
      </w:r>
      <w:r>
        <w:rPr>
          <w:rFonts w:hint="eastAsia"/>
          <w:kern w:val="0"/>
          <w:szCs w:val="21"/>
        </w:rPr>
        <w:t>和温度梯度的概念，</w:t>
      </w:r>
      <w:r>
        <w:rPr>
          <w:kern w:val="0"/>
          <w:szCs w:val="21"/>
        </w:rPr>
        <w:t>导热基本定律</w:t>
      </w:r>
      <w:r>
        <w:rPr>
          <w:rFonts w:hint="eastAsia"/>
          <w:kern w:val="0"/>
          <w:szCs w:val="21"/>
        </w:rPr>
        <w:t>的原理和使用条件及参数的意义；掌握</w:t>
      </w:r>
      <w:r>
        <w:rPr>
          <w:kern w:val="0"/>
          <w:szCs w:val="21"/>
        </w:rPr>
        <w:t>导热系数</w:t>
      </w:r>
      <w:r>
        <w:rPr>
          <w:rFonts w:hint="eastAsia"/>
          <w:kern w:val="0"/>
          <w:szCs w:val="21"/>
        </w:rPr>
        <w:t>的物理意义和影响因素；掌握</w:t>
      </w:r>
      <w:r>
        <w:rPr>
          <w:kern w:val="0"/>
          <w:szCs w:val="21"/>
        </w:rPr>
        <w:t>导热问题的数学描写</w:t>
      </w:r>
      <w:r>
        <w:rPr>
          <w:rFonts w:hint="eastAsia"/>
          <w:kern w:val="0"/>
          <w:szCs w:val="21"/>
        </w:rPr>
        <w:t>的组成及意义，熟悉</w:t>
      </w:r>
      <w:r>
        <w:rPr>
          <w:kern w:val="0"/>
          <w:szCs w:val="21"/>
        </w:rPr>
        <w:t>导热微分方程</w:t>
      </w:r>
      <w:r>
        <w:rPr>
          <w:rFonts w:hint="eastAsia"/>
          <w:kern w:val="0"/>
          <w:szCs w:val="21"/>
        </w:rPr>
        <w:t>一般形式的推导过程及依据原理；掌握不同前提条件下导热微分方程的化简和</w:t>
      </w:r>
      <w:r>
        <w:rPr>
          <w:kern w:val="0"/>
          <w:szCs w:val="21"/>
        </w:rPr>
        <w:t>定解条件</w:t>
      </w:r>
      <w:r>
        <w:rPr>
          <w:rFonts w:hint="eastAsia"/>
          <w:kern w:val="0"/>
          <w:szCs w:val="21"/>
        </w:rPr>
        <w:t>的分类及对应前提，熟悉初始条件和边界条件的含义；掌握三种边界条件的分类及应用；对于</w:t>
      </w:r>
      <w:r>
        <w:rPr>
          <w:kern w:val="0"/>
          <w:szCs w:val="21"/>
        </w:rPr>
        <w:t>典型一维稳态导热问题的分析解</w:t>
      </w:r>
      <w:r>
        <w:rPr>
          <w:rFonts w:hint="eastAsia"/>
          <w:kern w:val="0"/>
          <w:szCs w:val="21"/>
        </w:rPr>
        <w:t>，要求掌握串联热阻法的使用和热阻的影响因素；掌握</w:t>
      </w:r>
      <w:r>
        <w:rPr>
          <w:kern w:val="0"/>
          <w:szCs w:val="21"/>
        </w:rPr>
        <w:t>单层平壁</w:t>
      </w:r>
      <w:r>
        <w:rPr>
          <w:rFonts w:hint="eastAsia"/>
          <w:kern w:val="0"/>
          <w:szCs w:val="21"/>
        </w:rPr>
        <w:t>和</w:t>
      </w:r>
      <w:r>
        <w:rPr>
          <w:kern w:val="0"/>
          <w:szCs w:val="21"/>
        </w:rPr>
        <w:t>多层平壁</w:t>
      </w:r>
      <w:r>
        <w:rPr>
          <w:rFonts w:hint="eastAsia"/>
          <w:kern w:val="0"/>
          <w:szCs w:val="21"/>
        </w:rPr>
        <w:t>的导热计算；熟悉</w:t>
      </w:r>
      <w:r>
        <w:rPr>
          <w:kern w:val="0"/>
          <w:szCs w:val="21"/>
        </w:rPr>
        <w:t>单层圆筒壁</w:t>
      </w:r>
      <w:r>
        <w:rPr>
          <w:rFonts w:hint="eastAsia"/>
          <w:kern w:val="0"/>
          <w:szCs w:val="21"/>
        </w:rPr>
        <w:t>和</w:t>
      </w:r>
      <w:r>
        <w:rPr>
          <w:kern w:val="0"/>
          <w:szCs w:val="21"/>
        </w:rPr>
        <w:t>多层圆筒壁</w:t>
      </w:r>
      <w:r>
        <w:rPr>
          <w:rFonts w:hint="eastAsia"/>
          <w:kern w:val="0"/>
          <w:szCs w:val="21"/>
        </w:rPr>
        <w:t>的计算过程；对于</w:t>
      </w:r>
      <w:r>
        <w:rPr>
          <w:kern w:val="0"/>
          <w:szCs w:val="21"/>
        </w:rPr>
        <w:t>通过肋片的导热</w:t>
      </w:r>
      <w:r>
        <w:rPr>
          <w:rFonts w:hint="eastAsia"/>
          <w:kern w:val="0"/>
          <w:szCs w:val="21"/>
        </w:rPr>
        <w:t>，掌握</w:t>
      </w:r>
      <w:r>
        <w:rPr>
          <w:kern w:val="0"/>
          <w:szCs w:val="21"/>
        </w:rPr>
        <w:t>增大传热量措施</w:t>
      </w:r>
      <w:r>
        <w:rPr>
          <w:rFonts w:hint="eastAsia"/>
          <w:kern w:val="0"/>
          <w:szCs w:val="21"/>
        </w:rPr>
        <w:t>，熟悉应用</w:t>
      </w:r>
      <w:r>
        <w:rPr>
          <w:kern w:val="0"/>
          <w:szCs w:val="21"/>
        </w:rPr>
        <w:t>实例</w:t>
      </w:r>
      <w:r>
        <w:rPr>
          <w:rFonts w:hint="eastAsia"/>
          <w:kern w:val="0"/>
          <w:szCs w:val="21"/>
        </w:rPr>
        <w:t>和</w:t>
      </w:r>
      <w:r>
        <w:rPr>
          <w:kern w:val="0"/>
          <w:szCs w:val="21"/>
        </w:rPr>
        <w:t>基本概念</w:t>
      </w:r>
      <w:r>
        <w:rPr>
          <w:rFonts w:hint="eastAsia"/>
          <w:kern w:val="0"/>
          <w:szCs w:val="21"/>
        </w:rPr>
        <w:t>，了解</w:t>
      </w:r>
      <w:r>
        <w:rPr>
          <w:kern w:val="0"/>
          <w:szCs w:val="21"/>
        </w:rPr>
        <w:t>肋片导热</w:t>
      </w:r>
      <w:r>
        <w:rPr>
          <w:rFonts w:hint="eastAsia"/>
          <w:kern w:val="0"/>
          <w:szCs w:val="21"/>
        </w:rPr>
        <w:t>的计算。</w:t>
      </w:r>
    </w:p>
    <w:p w14:paraId="05187877" w14:textId="77777777" w:rsidR="00F5289E" w:rsidRDefault="00C91173" w:rsidP="00A115EF">
      <w:pPr>
        <w:widowControl/>
        <w:numPr>
          <w:ilvl w:val="0"/>
          <w:numId w:val="2"/>
        </w:numPr>
        <w:adjustRightInd w:val="0"/>
        <w:snapToGrid w:val="0"/>
        <w:spacing w:line="360" w:lineRule="auto"/>
        <w:jc w:val="left"/>
        <w:rPr>
          <w:rFonts w:ascii="宋体" w:hAnsi="宋体"/>
          <w:bCs/>
          <w:kern w:val="0"/>
          <w:szCs w:val="21"/>
        </w:rPr>
      </w:pPr>
      <w:r>
        <w:rPr>
          <w:rFonts w:ascii="宋体" w:hAnsi="宋体" w:hint="eastAsia"/>
          <w:bCs/>
          <w:kern w:val="0"/>
          <w:szCs w:val="21"/>
        </w:rPr>
        <w:t>导热基本定律</w:t>
      </w:r>
    </w:p>
    <w:p w14:paraId="16D22E6C" w14:textId="77777777" w:rsidR="00F5289E" w:rsidRDefault="00C91173" w:rsidP="00A115EF">
      <w:pPr>
        <w:widowControl/>
        <w:numPr>
          <w:ilvl w:val="0"/>
          <w:numId w:val="2"/>
        </w:numPr>
        <w:adjustRightInd w:val="0"/>
        <w:snapToGrid w:val="0"/>
        <w:spacing w:line="360" w:lineRule="auto"/>
        <w:jc w:val="left"/>
        <w:rPr>
          <w:rFonts w:ascii="宋体" w:hAnsi="宋体"/>
          <w:bCs/>
          <w:kern w:val="0"/>
          <w:szCs w:val="21"/>
        </w:rPr>
      </w:pPr>
      <w:r>
        <w:rPr>
          <w:rFonts w:ascii="宋体" w:hAnsi="宋体" w:hint="eastAsia"/>
          <w:bCs/>
          <w:kern w:val="0"/>
          <w:szCs w:val="21"/>
        </w:rPr>
        <w:t>导热问题的数学描写</w:t>
      </w:r>
    </w:p>
    <w:p w14:paraId="184B99C3" w14:textId="77777777" w:rsidR="00F5289E" w:rsidRDefault="00C91173" w:rsidP="00A115EF">
      <w:pPr>
        <w:widowControl/>
        <w:numPr>
          <w:ilvl w:val="0"/>
          <w:numId w:val="2"/>
        </w:numPr>
        <w:adjustRightInd w:val="0"/>
        <w:snapToGrid w:val="0"/>
        <w:spacing w:line="360" w:lineRule="auto"/>
        <w:jc w:val="left"/>
        <w:rPr>
          <w:rFonts w:ascii="宋体" w:hAnsi="宋体"/>
          <w:bCs/>
          <w:kern w:val="0"/>
          <w:szCs w:val="21"/>
        </w:rPr>
      </w:pPr>
      <w:r>
        <w:rPr>
          <w:rFonts w:ascii="宋体" w:hAnsi="宋体" w:hint="eastAsia"/>
          <w:bCs/>
          <w:kern w:val="0"/>
          <w:szCs w:val="21"/>
        </w:rPr>
        <w:t>典型一维稳态导热问题的分析解</w:t>
      </w:r>
    </w:p>
    <w:p w14:paraId="27568DFB" w14:textId="77777777" w:rsidR="00F5289E" w:rsidRDefault="00C91173" w:rsidP="00A115EF">
      <w:pPr>
        <w:widowControl/>
        <w:numPr>
          <w:ilvl w:val="0"/>
          <w:numId w:val="2"/>
        </w:numPr>
        <w:adjustRightInd w:val="0"/>
        <w:snapToGrid w:val="0"/>
        <w:spacing w:line="360" w:lineRule="auto"/>
        <w:jc w:val="left"/>
        <w:rPr>
          <w:rFonts w:ascii="宋体" w:hAnsi="宋体"/>
          <w:bCs/>
          <w:kern w:val="0"/>
          <w:szCs w:val="21"/>
        </w:rPr>
      </w:pPr>
      <w:r>
        <w:rPr>
          <w:rFonts w:ascii="宋体" w:hAnsi="宋体" w:hint="eastAsia"/>
          <w:bCs/>
          <w:kern w:val="0"/>
          <w:szCs w:val="21"/>
        </w:rPr>
        <w:t>通过肋片的导热</w:t>
      </w:r>
    </w:p>
    <w:p w14:paraId="3E919C3E" w14:textId="77777777" w:rsidR="00F5289E" w:rsidRDefault="00C91173" w:rsidP="00A115EF">
      <w:pPr>
        <w:widowControl/>
        <w:numPr>
          <w:ilvl w:val="0"/>
          <w:numId w:val="2"/>
        </w:numPr>
        <w:adjustRightInd w:val="0"/>
        <w:snapToGrid w:val="0"/>
        <w:spacing w:line="360" w:lineRule="auto"/>
        <w:jc w:val="left"/>
        <w:rPr>
          <w:rFonts w:ascii="宋体" w:hAnsi="宋体"/>
          <w:bCs/>
          <w:kern w:val="0"/>
          <w:szCs w:val="21"/>
        </w:rPr>
      </w:pPr>
      <w:r>
        <w:rPr>
          <w:rFonts w:ascii="宋体" w:hAnsi="宋体" w:hint="eastAsia"/>
          <w:bCs/>
          <w:kern w:val="0"/>
          <w:szCs w:val="21"/>
        </w:rPr>
        <w:t>通过接触面的导热</w:t>
      </w:r>
    </w:p>
    <w:p w14:paraId="7323C9FE" w14:textId="77777777" w:rsidR="00F5289E" w:rsidRDefault="00C91173">
      <w:pPr>
        <w:widowControl/>
        <w:adjustRightInd w:val="0"/>
        <w:snapToGrid w:val="0"/>
        <w:spacing w:line="360" w:lineRule="auto"/>
        <w:jc w:val="left"/>
        <w:rPr>
          <w:rFonts w:ascii="宋体" w:hAnsi="宋体"/>
          <w:kern w:val="0"/>
          <w:szCs w:val="21"/>
        </w:rPr>
      </w:pPr>
      <w:r>
        <w:rPr>
          <w:rFonts w:ascii="宋体" w:hAnsi="宋体" w:hint="eastAsia"/>
          <w:b/>
          <w:bCs/>
        </w:rPr>
        <w:t>教学组织与实施：</w:t>
      </w:r>
      <w:r>
        <w:rPr>
          <w:rFonts w:ascii="宋体" w:hAnsi="宋体" w:hint="eastAsia"/>
          <w:kern w:val="0"/>
          <w:szCs w:val="21"/>
        </w:rPr>
        <w:t>根据学生认知规律和接受特点，从最基础的傅立叶定律及其应用出发，到导热问题的数学描写中的导热微分方程和定解条件的确定，最终熟练掌握一维稳态导热问题的分析解法，采用采用图文并茂并结合教学视频的方式讲授本章内容；结合课堂作业和提问互动增强学生掌握重点内容。</w:t>
      </w:r>
    </w:p>
    <w:p w14:paraId="3F08FC73" w14:textId="77777777" w:rsidR="00F5289E" w:rsidRDefault="00F5289E">
      <w:pPr>
        <w:widowControl/>
        <w:adjustRightInd w:val="0"/>
        <w:snapToGrid w:val="0"/>
        <w:spacing w:line="276" w:lineRule="auto"/>
        <w:jc w:val="left"/>
        <w:rPr>
          <w:rFonts w:ascii="宋体" w:hAnsi="宋体"/>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8164041" w14:textId="77777777">
        <w:trPr>
          <w:trHeight w:val="270"/>
        </w:trPr>
        <w:tc>
          <w:tcPr>
            <w:tcW w:w="2965" w:type="dxa"/>
            <w:tcBorders>
              <w:top w:val="nil"/>
              <w:left w:val="nil"/>
              <w:bottom w:val="nil"/>
              <w:right w:val="nil"/>
            </w:tcBorders>
            <w:vAlign w:val="center"/>
          </w:tcPr>
          <w:p w14:paraId="56C9A64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0FC340E"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bCs/>
                <w:kern w:val="0"/>
                <w:szCs w:val="21"/>
              </w:rPr>
              <w:t>非稳态导热</w:t>
            </w:r>
          </w:p>
        </w:tc>
        <w:tc>
          <w:tcPr>
            <w:tcW w:w="2966" w:type="dxa"/>
            <w:tcBorders>
              <w:top w:val="nil"/>
              <w:left w:val="nil"/>
              <w:bottom w:val="nil"/>
              <w:right w:val="nil"/>
            </w:tcBorders>
            <w:vAlign w:val="center"/>
          </w:tcPr>
          <w:p w14:paraId="3665BD27"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3</w:t>
            </w:r>
          </w:p>
        </w:tc>
      </w:tr>
    </w:tbl>
    <w:p w14:paraId="08ABFB92" w14:textId="77777777" w:rsidR="00F5289E" w:rsidRDefault="00C91173">
      <w:pPr>
        <w:widowControl/>
        <w:snapToGrid w:val="0"/>
        <w:spacing w:line="360" w:lineRule="auto"/>
        <w:rPr>
          <w:rFonts w:ascii="宋体" w:hAnsi="宋体"/>
          <w:bCs/>
        </w:rPr>
      </w:pPr>
      <w:r>
        <w:rPr>
          <w:rFonts w:ascii="宋体" w:hAnsi="宋体" w:hint="eastAsia"/>
          <w:b/>
        </w:rPr>
        <w:t>教学目标：</w:t>
      </w:r>
      <w:r>
        <w:rPr>
          <w:rFonts w:ascii="宋体" w:hAnsi="宋体" w:hint="eastAsia"/>
          <w:bCs/>
        </w:rPr>
        <w:t>掌握非稳态导热的基本概念及特点，集中参数法的基本原理及应用；熟悉确定瞬时温度场的方法，能够分析典型的一维非稳态导热的简单问题；了解无限大物体非稳态导热的基本特点。</w:t>
      </w:r>
    </w:p>
    <w:p w14:paraId="48DED08D" w14:textId="77777777" w:rsidR="00F5289E" w:rsidRDefault="00C91173">
      <w:pPr>
        <w:widowControl/>
        <w:adjustRightInd w:val="0"/>
        <w:snapToGrid w:val="0"/>
        <w:spacing w:line="360" w:lineRule="auto"/>
        <w:jc w:val="left"/>
        <w:rPr>
          <w:kern w:val="0"/>
          <w:szCs w:val="21"/>
        </w:rPr>
      </w:pPr>
      <w:r>
        <w:rPr>
          <w:rFonts w:ascii="宋体" w:hAnsi="宋体" w:hint="eastAsia"/>
          <w:b/>
          <w:bCs/>
        </w:rPr>
        <w:t>教学重点和难点：</w:t>
      </w:r>
      <w:r>
        <w:rPr>
          <w:rFonts w:ascii="宋体" w:hAnsi="宋体" w:hint="eastAsia"/>
        </w:rPr>
        <w:t>重点掌握非稳态导热的基本概念及特点，集总参数法的基本原理及应用；难点在</w:t>
      </w:r>
      <w:r>
        <w:rPr>
          <w:kern w:val="0"/>
          <w:szCs w:val="21"/>
        </w:rPr>
        <w:t>长圆柱体及球的一维非稳态温度分布</w:t>
      </w:r>
      <w:r>
        <w:rPr>
          <w:rFonts w:hint="eastAsia"/>
          <w:kern w:val="0"/>
          <w:szCs w:val="21"/>
        </w:rPr>
        <w:t>的计算。</w:t>
      </w:r>
    </w:p>
    <w:p w14:paraId="26F39A20" w14:textId="77777777" w:rsidR="00F5289E" w:rsidRDefault="00C91173">
      <w:pPr>
        <w:widowControl/>
        <w:snapToGrid w:val="0"/>
        <w:spacing w:line="360" w:lineRule="auto"/>
        <w:rPr>
          <w:rFonts w:ascii="宋体" w:hAnsi="宋体"/>
        </w:rPr>
      </w:pPr>
      <w:r>
        <w:rPr>
          <w:rFonts w:ascii="宋体" w:hAnsi="宋体" w:hint="eastAsia"/>
          <w:b/>
          <w:bCs/>
        </w:rPr>
        <w:t>主要教学内容及要求：</w:t>
      </w:r>
      <w:r>
        <w:rPr>
          <w:rFonts w:ascii="宋体" w:hAnsi="宋体" w:hint="eastAsia"/>
        </w:rPr>
        <w:t>掌握非稳态导热的基本概念，包括定义、分类、分布特点、目的和方法及毕渥数；掌握集中参数法的定义，熟悉集中参数法中温度分布和导热量计算，</w:t>
      </w:r>
      <w:r>
        <w:rPr>
          <w:rFonts w:ascii="Cambria Math" w:hAnsi="Cambria Math" w:cs="Cambria Math"/>
        </w:rPr>
        <w:t>𝐵𝑖𝑣</w:t>
      </w:r>
      <w:r>
        <w:rPr>
          <w:rFonts w:ascii="MS Gothic" w:eastAsia="MS Gothic" w:hAnsi="MS Gothic" w:cs="MS Gothic" w:hint="eastAsia"/>
        </w:rPr>
        <w:t> </w:t>
      </w:r>
      <w:r>
        <w:rPr>
          <w:rFonts w:ascii="Cambria Math" w:hAnsi="Cambria Math" w:cs="Cambria Math"/>
        </w:rPr>
        <w:t>𝐹𝑜𝑣</w:t>
      </w:r>
      <w:r>
        <w:rPr>
          <w:rFonts w:ascii="宋体" w:hAnsi="宋体" w:hint="eastAsia"/>
        </w:rPr>
        <w:t>物理意义和集中参数法的应用条件；熟悉典型一维物体非稳态导热的分析解原理和温度场求解过程，了解非稳态导热的正规状况。</w:t>
      </w:r>
    </w:p>
    <w:p w14:paraId="6A6C7C7D" w14:textId="77777777" w:rsidR="00F5289E" w:rsidRDefault="00C91173">
      <w:pPr>
        <w:widowControl/>
        <w:adjustRightInd w:val="0"/>
        <w:snapToGrid w:val="0"/>
        <w:spacing w:line="360" w:lineRule="auto"/>
        <w:jc w:val="left"/>
        <w:rPr>
          <w:rFonts w:ascii="宋体" w:hAnsi="宋体"/>
          <w:bCs/>
          <w:kern w:val="0"/>
          <w:szCs w:val="21"/>
        </w:rPr>
      </w:pPr>
      <w:r>
        <w:rPr>
          <w:rFonts w:ascii="宋体" w:hAnsi="宋体" w:hint="eastAsia"/>
          <w:bCs/>
          <w:kern w:val="0"/>
          <w:szCs w:val="21"/>
        </w:rPr>
        <w:t>第一节 非稳态导热的基本概念</w:t>
      </w:r>
    </w:p>
    <w:p w14:paraId="5EF0B075" w14:textId="77777777" w:rsidR="00F5289E" w:rsidRDefault="00C91173">
      <w:pPr>
        <w:widowControl/>
        <w:adjustRightInd w:val="0"/>
        <w:snapToGrid w:val="0"/>
        <w:spacing w:line="360" w:lineRule="auto"/>
        <w:jc w:val="left"/>
        <w:rPr>
          <w:rFonts w:ascii="宋体" w:hAnsi="宋体"/>
          <w:bCs/>
          <w:kern w:val="0"/>
          <w:szCs w:val="21"/>
        </w:rPr>
      </w:pPr>
      <w:r>
        <w:rPr>
          <w:rFonts w:ascii="宋体" w:hAnsi="宋体" w:hint="eastAsia"/>
          <w:bCs/>
          <w:kern w:val="0"/>
          <w:szCs w:val="21"/>
        </w:rPr>
        <w:t>第二节 零维问题的分析法—集中参数法</w:t>
      </w:r>
    </w:p>
    <w:p w14:paraId="52AE6BAB" w14:textId="77777777" w:rsidR="00F5289E" w:rsidRDefault="00C91173">
      <w:pPr>
        <w:widowControl/>
        <w:snapToGrid w:val="0"/>
        <w:spacing w:line="360" w:lineRule="auto"/>
        <w:rPr>
          <w:rFonts w:ascii="宋体" w:hAnsi="宋体"/>
          <w:bCs/>
          <w:kern w:val="0"/>
          <w:szCs w:val="21"/>
        </w:rPr>
      </w:pPr>
      <w:r>
        <w:rPr>
          <w:rFonts w:ascii="宋体" w:hAnsi="宋体" w:hint="eastAsia"/>
          <w:bCs/>
          <w:kern w:val="0"/>
          <w:szCs w:val="21"/>
        </w:rPr>
        <w:t>第三节 典型一维物体非稳态导热的分析解</w:t>
      </w:r>
    </w:p>
    <w:p w14:paraId="08655FEF" w14:textId="77777777" w:rsidR="00F5289E" w:rsidRDefault="00C91173">
      <w:pPr>
        <w:widowControl/>
        <w:snapToGrid w:val="0"/>
        <w:spacing w:line="360" w:lineRule="auto"/>
        <w:rPr>
          <w:kern w:val="0"/>
          <w:szCs w:val="21"/>
        </w:rPr>
      </w:pPr>
      <w:r>
        <w:rPr>
          <w:rFonts w:ascii="宋体" w:hAnsi="宋体" w:hint="eastAsia"/>
          <w:b/>
          <w:bCs/>
        </w:rPr>
        <w:lastRenderedPageBreak/>
        <w:t>教学组织与实施：</w:t>
      </w:r>
      <w:r>
        <w:rPr>
          <w:kern w:val="0"/>
          <w:szCs w:val="21"/>
        </w:rPr>
        <w:t>非稳态导热是个具有实际意义的课题。本章首先简述非稳态导热的基本概念，然后由简单到复杂依次介绍零维问题、一维问题的导热微分方程的分析解法，采用图文并茂并结合视频演示实例，最后总结求解非稳态导热问题的一般策略以及应用实例。让学生在课堂中深刻理解</w:t>
      </w:r>
      <w:r>
        <w:rPr>
          <w:bCs/>
          <w:kern w:val="0"/>
          <w:szCs w:val="21"/>
        </w:rPr>
        <w:t>非稳态导热的特性及与稳态导热的差异</w:t>
      </w:r>
      <w:r>
        <w:rPr>
          <w:kern w:val="0"/>
          <w:szCs w:val="21"/>
        </w:rPr>
        <w:t>，并结合课堂作业和提问互动增强学生掌握重点内容。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40B26ED" w14:textId="77777777">
        <w:trPr>
          <w:trHeight w:val="270"/>
        </w:trPr>
        <w:tc>
          <w:tcPr>
            <w:tcW w:w="2965" w:type="dxa"/>
            <w:tcBorders>
              <w:top w:val="nil"/>
              <w:left w:val="nil"/>
              <w:bottom w:val="nil"/>
              <w:right w:val="nil"/>
            </w:tcBorders>
            <w:vAlign w:val="center"/>
          </w:tcPr>
          <w:p w14:paraId="341DFB0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D337BDA"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bCs/>
                <w:kern w:val="0"/>
                <w:szCs w:val="21"/>
              </w:rPr>
              <w:t>对流传热的理论基础</w:t>
            </w:r>
          </w:p>
        </w:tc>
        <w:tc>
          <w:tcPr>
            <w:tcW w:w="2966" w:type="dxa"/>
            <w:tcBorders>
              <w:top w:val="nil"/>
              <w:left w:val="nil"/>
              <w:bottom w:val="nil"/>
              <w:right w:val="nil"/>
            </w:tcBorders>
            <w:vAlign w:val="center"/>
          </w:tcPr>
          <w:p w14:paraId="3B234B4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4AE126E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了解对流传热问题的思路和数学描述，掌握对流传热的概念、影响因素和分类；了解对流传热的微分方程的导出，掌握边界层的概念、特点和意义；了解边界层微分方程组，掌握其简化思想和方法；了解相似原理，掌握相似特征数的导出方法。</w:t>
      </w:r>
    </w:p>
    <w:p w14:paraId="3A9ED086"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本章重点内容为对流传热的概述，对流传热问题的数学描述、边界层分析及边界层方程组、相似原理与量纲分析对方程组的简化。难点为对流换热的数学描写，速度边界层和热边界层的引入和方程组。</w:t>
      </w:r>
    </w:p>
    <w:p w14:paraId="79B285A2"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了解对流换热的研究方法；了解边界层微分方程组的导出和简化过程；理解边界层的物理意义，边界层微分方程组及其定解条件；掌握边界层的概念和特点，边界层方程组的简化分析方法；掌握相似原理的内容；熟练</w:t>
      </w:r>
      <w:r>
        <w:rPr>
          <w:rFonts w:ascii="宋体" w:hAnsi="宋体"/>
        </w:rPr>
        <w:t>掌握对流换热概念、特点、影响因素、分类和表面传热系数的方程式；熟练掌握相似特征数的导出方法；熟练掌握常用相似准则数的意义和公式。</w:t>
      </w:r>
    </w:p>
    <w:p w14:paraId="50BD99B4" w14:textId="77777777" w:rsidR="00F5289E" w:rsidRDefault="00C91173">
      <w:pPr>
        <w:pStyle w:val="a7"/>
        <w:snapToGrid w:val="0"/>
        <w:spacing w:line="360" w:lineRule="auto"/>
        <w:ind w:firstLineChars="0" w:firstLine="0"/>
        <w:rPr>
          <w:rFonts w:ascii="宋体" w:hAnsi="宋体"/>
        </w:rPr>
      </w:pPr>
      <w:r>
        <w:rPr>
          <w:rFonts w:ascii="宋体" w:hAnsi="宋体"/>
        </w:rPr>
        <w:t>第一节</w:t>
      </w:r>
      <w:r>
        <w:rPr>
          <w:rFonts w:ascii="宋体" w:hAnsi="宋体" w:hint="eastAsia"/>
        </w:rPr>
        <w:t xml:space="preserve"> </w:t>
      </w:r>
      <w:r>
        <w:rPr>
          <w:rFonts w:ascii="宋体" w:hAnsi="宋体"/>
        </w:rPr>
        <w:t>对流</w:t>
      </w:r>
      <w:r>
        <w:rPr>
          <w:rFonts w:ascii="宋体" w:hAnsi="宋体" w:hint="eastAsia"/>
        </w:rPr>
        <w:t>传热</w:t>
      </w:r>
      <w:r>
        <w:rPr>
          <w:rFonts w:ascii="宋体" w:hAnsi="宋体"/>
        </w:rPr>
        <w:t>概述</w:t>
      </w:r>
    </w:p>
    <w:p w14:paraId="14BE5FFE" w14:textId="77777777" w:rsidR="00F5289E" w:rsidRDefault="00C91173">
      <w:pPr>
        <w:pStyle w:val="a7"/>
        <w:snapToGrid w:val="0"/>
        <w:spacing w:line="360" w:lineRule="auto"/>
        <w:ind w:firstLineChars="0" w:firstLine="0"/>
        <w:rPr>
          <w:rFonts w:ascii="宋体" w:hAnsi="宋体"/>
        </w:rPr>
      </w:pPr>
      <w:r>
        <w:rPr>
          <w:rFonts w:ascii="宋体" w:hAnsi="宋体"/>
        </w:rPr>
        <w:t>第二节</w:t>
      </w:r>
      <w:r>
        <w:rPr>
          <w:rFonts w:ascii="宋体" w:hAnsi="宋体" w:hint="eastAsia"/>
        </w:rPr>
        <w:t xml:space="preserve"> 对流传热体的数学描写</w:t>
      </w:r>
    </w:p>
    <w:p w14:paraId="66753F54" w14:textId="77777777" w:rsidR="00F5289E" w:rsidRDefault="00C91173">
      <w:pPr>
        <w:pStyle w:val="a7"/>
        <w:snapToGrid w:val="0"/>
        <w:spacing w:line="360" w:lineRule="auto"/>
        <w:ind w:firstLineChars="0" w:firstLine="0"/>
        <w:rPr>
          <w:rFonts w:ascii="宋体" w:hAnsi="宋体"/>
        </w:rPr>
      </w:pPr>
      <w:r>
        <w:rPr>
          <w:rFonts w:ascii="宋体" w:hAnsi="宋体"/>
        </w:rPr>
        <w:t>第三节</w:t>
      </w:r>
      <w:r>
        <w:rPr>
          <w:rFonts w:ascii="宋体" w:hAnsi="宋体" w:hint="eastAsia"/>
        </w:rPr>
        <w:t xml:space="preserve"> 边界层分析及边界层方程组</w:t>
      </w:r>
    </w:p>
    <w:p w14:paraId="3B0B723A" w14:textId="77777777" w:rsidR="00F5289E" w:rsidRDefault="00C91173">
      <w:pPr>
        <w:pStyle w:val="a7"/>
        <w:snapToGrid w:val="0"/>
        <w:spacing w:line="360" w:lineRule="auto"/>
        <w:ind w:firstLineChars="0" w:firstLine="0"/>
        <w:rPr>
          <w:rFonts w:ascii="宋体" w:hAnsi="宋体"/>
        </w:rPr>
      </w:pPr>
      <w:r>
        <w:rPr>
          <w:rFonts w:ascii="宋体" w:hAnsi="宋体"/>
        </w:rPr>
        <w:t>第四节</w:t>
      </w:r>
      <w:r>
        <w:rPr>
          <w:rFonts w:ascii="宋体" w:hAnsi="宋体" w:hint="eastAsia"/>
        </w:rPr>
        <w:t xml:space="preserve"> 相似原理与量纲分析</w:t>
      </w:r>
    </w:p>
    <w:p w14:paraId="4129E673" w14:textId="77777777" w:rsidR="00F5289E" w:rsidRDefault="00C91173">
      <w:pPr>
        <w:pStyle w:val="a7"/>
        <w:snapToGrid w:val="0"/>
        <w:spacing w:line="360" w:lineRule="auto"/>
        <w:ind w:firstLineChars="0" w:firstLine="0"/>
        <w:rPr>
          <w:rFonts w:ascii="宋体" w:hAnsi="宋体"/>
        </w:rPr>
      </w:pPr>
      <w:r>
        <w:rPr>
          <w:rFonts w:ascii="宋体" w:hAnsi="宋体" w:hint="eastAsia"/>
        </w:rPr>
        <w:t>第五节 相似原理的应用</w:t>
      </w:r>
    </w:p>
    <w:p w14:paraId="7F7A9946"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首先通过专业中温室热平衡原理引入温室中不同的热量传递方式，以具体的二维、常物性、不可压缩的牛顿型流体的对流换热为例，将对流换热问题经过简化和假定，转变为数学描写，从而获得数值解和分析解的解题思路。接着以微分方程组的求解过程复杂和困难，引入边界层部分的研究内容，并利用数量级分析法、相似原理、量纲分析等方法，对所研究对流换热问题的方程组进行简化。结合生产中的温室加温实例，介绍相似原理在专业上的应用。</w:t>
      </w:r>
    </w:p>
    <w:p w14:paraId="1D5707EB" w14:textId="77777777" w:rsidR="00F5289E" w:rsidRDefault="00F5289E">
      <w:pPr>
        <w:widowControl/>
        <w:snapToGrid w:val="0"/>
        <w:spacing w:line="360" w:lineRule="auto"/>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E516531" w14:textId="77777777">
        <w:trPr>
          <w:trHeight w:val="270"/>
        </w:trPr>
        <w:tc>
          <w:tcPr>
            <w:tcW w:w="2965" w:type="dxa"/>
            <w:tcBorders>
              <w:top w:val="nil"/>
              <w:left w:val="nil"/>
              <w:bottom w:val="nil"/>
              <w:right w:val="nil"/>
            </w:tcBorders>
            <w:vAlign w:val="center"/>
          </w:tcPr>
          <w:p w14:paraId="2ED79505"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F7CA1B5"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bCs/>
                <w:kern w:val="0"/>
                <w:szCs w:val="21"/>
              </w:rPr>
              <w:t>单相对流换热</w:t>
            </w:r>
          </w:p>
        </w:tc>
        <w:tc>
          <w:tcPr>
            <w:tcW w:w="2966" w:type="dxa"/>
            <w:tcBorders>
              <w:top w:val="nil"/>
              <w:left w:val="nil"/>
              <w:bottom w:val="nil"/>
              <w:right w:val="nil"/>
            </w:tcBorders>
            <w:vAlign w:val="center"/>
          </w:tcPr>
          <w:p w14:paraId="0B545BC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53A3CD5C"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了解单相对流换热的分类依据，外部强制对流换热和自然对流换热的特点和实验关联式；掌握内部强制对流换热的特点和流动状态的判别依据，理解不同关联式的适用范围和特征量的选取。</w:t>
      </w:r>
    </w:p>
    <w:p w14:paraId="4E0A23FA"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本章重点内容为内部和外部强制对流换热，自然对流换热。难点为内部强制对流换热。</w:t>
      </w:r>
    </w:p>
    <w:p w14:paraId="76131AB0"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了解自然对流换热的分类和特点；理解外部强制流动的特点和关联式中的准则数含义；掌握不同关联式的适用范围；</w:t>
      </w:r>
      <w:r>
        <w:rPr>
          <w:rFonts w:ascii="宋体" w:hAnsi="宋体"/>
        </w:rPr>
        <w:t>熟练掌握</w:t>
      </w:r>
      <w:r>
        <w:rPr>
          <w:rFonts w:ascii="宋体" w:hAnsi="宋体" w:hint="eastAsia"/>
        </w:rPr>
        <w:t>内部和外部强制对流换热过程中，不同流动状</w:t>
      </w:r>
      <w:r>
        <w:rPr>
          <w:rFonts w:ascii="宋体" w:hAnsi="宋体" w:hint="eastAsia"/>
        </w:rPr>
        <w:lastRenderedPageBreak/>
        <w:t>态的判别依据</w:t>
      </w:r>
      <w:r>
        <w:rPr>
          <w:rFonts w:ascii="宋体" w:hAnsi="宋体"/>
        </w:rPr>
        <w:t>。</w:t>
      </w:r>
    </w:p>
    <w:p w14:paraId="55F3CF37" w14:textId="77777777" w:rsidR="00F5289E" w:rsidRDefault="00C91173">
      <w:pPr>
        <w:pStyle w:val="a7"/>
        <w:snapToGrid w:val="0"/>
        <w:spacing w:line="360" w:lineRule="auto"/>
        <w:ind w:firstLineChars="0" w:firstLine="0"/>
        <w:rPr>
          <w:rFonts w:ascii="宋体" w:hAnsi="宋体"/>
        </w:rPr>
      </w:pPr>
      <w:r>
        <w:rPr>
          <w:rFonts w:ascii="宋体" w:hAnsi="宋体"/>
        </w:rPr>
        <w:t>第一节</w:t>
      </w:r>
      <w:r>
        <w:rPr>
          <w:rFonts w:ascii="宋体" w:hAnsi="宋体" w:hint="eastAsia"/>
        </w:rPr>
        <w:t xml:space="preserve"> 内部强制对流换热</w:t>
      </w:r>
    </w:p>
    <w:p w14:paraId="056165CC" w14:textId="77777777" w:rsidR="00F5289E" w:rsidRDefault="00C91173">
      <w:pPr>
        <w:pStyle w:val="a7"/>
        <w:snapToGrid w:val="0"/>
        <w:spacing w:line="360" w:lineRule="auto"/>
        <w:ind w:firstLineChars="0" w:firstLine="0"/>
        <w:rPr>
          <w:rFonts w:ascii="宋体" w:hAnsi="宋体"/>
        </w:rPr>
      </w:pPr>
      <w:r>
        <w:rPr>
          <w:rFonts w:ascii="宋体" w:hAnsi="宋体"/>
        </w:rPr>
        <w:t>第二节</w:t>
      </w:r>
      <w:r>
        <w:rPr>
          <w:rFonts w:ascii="宋体" w:hAnsi="宋体" w:hint="eastAsia"/>
        </w:rPr>
        <w:t xml:space="preserve"> 外部强制对流换热</w:t>
      </w:r>
    </w:p>
    <w:p w14:paraId="048AFD68" w14:textId="77777777" w:rsidR="00F5289E" w:rsidRDefault="00C91173">
      <w:pPr>
        <w:pStyle w:val="a7"/>
        <w:snapToGrid w:val="0"/>
        <w:spacing w:line="360" w:lineRule="auto"/>
        <w:ind w:firstLineChars="0" w:firstLine="0"/>
        <w:rPr>
          <w:rFonts w:ascii="宋体" w:hAnsi="宋体"/>
        </w:rPr>
      </w:pPr>
      <w:r>
        <w:rPr>
          <w:rFonts w:ascii="宋体" w:hAnsi="宋体"/>
        </w:rPr>
        <w:t>第三节</w:t>
      </w:r>
      <w:r>
        <w:rPr>
          <w:rFonts w:ascii="宋体" w:hAnsi="宋体" w:hint="eastAsia"/>
        </w:rPr>
        <w:t xml:space="preserve"> 自然对流换热</w:t>
      </w:r>
    </w:p>
    <w:p w14:paraId="63283E65"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回顾对流换热的影响因素和分类，引入单相对流换热的不同类型，按照是否有外力、几何位置、流动状态等进行分类，着重学习与专业相关的管内强制流动和外部强制对流换热。通过图文展示和板书结合的形式，讲解外部流动和内部流动的区别，以及各部分的速度和温度特点。结合课堂例题强化学习内容的应用。在自然对流部分，通过温室管道和双层窗等实例，分析自然对流换热的特点。</w:t>
      </w:r>
    </w:p>
    <w:p w14:paraId="19EE8AB3" w14:textId="77777777" w:rsidR="00F5289E" w:rsidRDefault="00F5289E">
      <w:pPr>
        <w:widowControl/>
        <w:snapToGrid w:val="0"/>
        <w:spacing w:line="360" w:lineRule="auto"/>
        <w:rPr>
          <w:rFonts w:ascii="宋体" w:hAnsi="宋体"/>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A130AB0" w14:textId="77777777">
        <w:trPr>
          <w:trHeight w:val="270"/>
        </w:trPr>
        <w:tc>
          <w:tcPr>
            <w:tcW w:w="2965" w:type="dxa"/>
            <w:tcBorders>
              <w:top w:val="nil"/>
              <w:left w:val="nil"/>
              <w:bottom w:val="nil"/>
              <w:right w:val="nil"/>
            </w:tcBorders>
            <w:vAlign w:val="center"/>
          </w:tcPr>
          <w:p w14:paraId="6F4BBEFB"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7EA87B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相变对流传热</w:t>
            </w:r>
          </w:p>
        </w:tc>
        <w:tc>
          <w:tcPr>
            <w:tcW w:w="2966" w:type="dxa"/>
            <w:tcBorders>
              <w:top w:val="nil"/>
              <w:left w:val="nil"/>
              <w:bottom w:val="nil"/>
              <w:right w:val="nil"/>
            </w:tcBorders>
            <w:vAlign w:val="center"/>
          </w:tcPr>
          <w:p w14:paraId="0B662E8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778DFD7E"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了解凝结换热的产生条件，掌握其分类依据和换热特点；了解膜状凝结分析解的简化过程，掌握液膜不同流态的判别依据及其计算方法；了解膜状凝结的影响因素，理解其强化原理和方法；了解沸腾换热的汽化核心、大容器饱和沸腾曲线和影响因素，理解其强化原理和方法，掌握沸腾换热的概念和分类。</w:t>
      </w:r>
    </w:p>
    <w:p w14:paraId="1D42B8C5"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本章重点内容为凝结换热现象的定义，分类和换热特点；膜状凝结的分析解；沸腾换热的概念、分类和换热曲线。难点为膜状凝结的分析解。</w:t>
      </w:r>
    </w:p>
    <w:p w14:paraId="23B729EC"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了解相变对流换热的实验关联式；理解膜状凝结分析解的简化；掌握相变对流换热的类型、定义、换热特点和影响因素</w:t>
      </w:r>
      <w:r>
        <w:rPr>
          <w:rFonts w:ascii="宋体" w:hAnsi="宋体"/>
        </w:rPr>
        <w:t>。</w:t>
      </w:r>
    </w:p>
    <w:p w14:paraId="44CFF9BB" w14:textId="77777777" w:rsidR="00F5289E" w:rsidRDefault="00C91173">
      <w:pPr>
        <w:pStyle w:val="a7"/>
        <w:snapToGrid w:val="0"/>
        <w:spacing w:line="360" w:lineRule="auto"/>
        <w:ind w:firstLineChars="0" w:firstLine="0"/>
        <w:rPr>
          <w:rFonts w:ascii="宋体" w:hAnsi="宋体"/>
        </w:rPr>
      </w:pPr>
      <w:r>
        <w:rPr>
          <w:rFonts w:ascii="宋体" w:hAnsi="宋体"/>
        </w:rPr>
        <w:t>第一节</w:t>
      </w:r>
      <w:r>
        <w:rPr>
          <w:rFonts w:ascii="宋体" w:hAnsi="宋体" w:hint="eastAsia"/>
        </w:rPr>
        <w:t xml:space="preserve"> 凝结换热现象概述</w:t>
      </w:r>
    </w:p>
    <w:p w14:paraId="79AC6135" w14:textId="77777777" w:rsidR="00F5289E" w:rsidRDefault="00C91173">
      <w:pPr>
        <w:pStyle w:val="a7"/>
        <w:snapToGrid w:val="0"/>
        <w:spacing w:line="360" w:lineRule="auto"/>
        <w:ind w:firstLineChars="0" w:firstLine="0"/>
        <w:rPr>
          <w:rFonts w:ascii="宋体" w:hAnsi="宋体"/>
        </w:rPr>
      </w:pPr>
      <w:r>
        <w:rPr>
          <w:rFonts w:ascii="宋体" w:hAnsi="宋体"/>
        </w:rPr>
        <w:t>第二节</w:t>
      </w:r>
      <w:r>
        <w:rPr>
          <w:rFonts w:ascii="宋体" w:hAnsi="宋体" w:hint="eastAsia"/>
        </w:rPr>
        <w:t xml:space="preserve"> 膜状凝结分析解</w:t>
      </w:r>
    </w:p>
    <w:p w14:paraId="651A2C22" w14:textId="77777777" w:rsidR="00F5289E" w:rsidRDefault="00C91173">
      <w:pPr>
        <w:pStyle w:val="a7"/>
        <w:snapToGrid w:val="0"/>
        <w:spacing w:line="360" w:lineRule="auto"/>
        <w:ind w:firstLineChars="0" w:firstLine="0"/>
        <w:rPr>
          <w:rFonts w:ascii="宋体" w:hAnsi="宋体"/>
        </w:rPr>
      </w:pPr>
      <w:r>
        <w:rPr>
          <w:rFonts w:ascii="宋体" w:hAnsi="宋体"/>
        </w:rPr>
        <w:t>第三节</w:t>
      </w:r>
      <w:r>
        <w:rPr>
          <w:rFonts w:ascii="宋体" w:hAnsi="宋体" w:hint="eastAsia"/>
        </w:rPr>
        <w:t xml:space="preserve"> 膜状凝结的影响因素</w:t>
      </w:r>
    </w:p>
    <w:p w14:paraId="381BF430" w14:textId="77777777" w:rsidR="00F5289E" w:rsidRDefault="00C91173">
      <w:pPr>
        <w:pStyle w:val="a7"/>
        <w:snapToGrid w:val="0"/>
        <w:spacing w:line="360" w:lineRule="auto"/>
        <w:ind w:firstLineChars="0" w:firstLine="0"/>
        <w:rPr>
          <w:rFonts w:ascii="宋体" w:hAnsi="宋体"/>
        </w:rPr>
      </w:pPr>
      <w:r>
        <w:rPr>
          <w:rFonts w:ascii="宋体" w:hAnsi="宋体"/>
        </w:rPr>
        <w:t>第四节</w:t>
      </w:r>
      <w:r>
        <w:rPr>
          <w:rFonts w:ascii="宋体" w:hAnsi="宋体" w:hint="eastAsia"/>
        </w:rPr>
        <w:t xml:space="preserve"> 沸腾换热简介</w:t>
      </w:r>
    </w:p>
    <w:p w14:paraId="23739521" w14:textId="77777777" w:rsidR="00F5289E" w:rsidRDefault="00C91173">
      <w:pPr>
        <w:pStyle w:val="a7"/>
        <w:snapToGrid w:val="0"/>
        <w:spacing w:line="360" w:lineRule="auto"/>
        <w:ind w:firstLineChars="0" w:firstLine="0"/>
        <w:rPr>
          <w:rFonts w:ascii="宋体" w:hAnsi="宋体"/>
        </w:rPr>
      </w:pPr>
      <w:r>
        <w:rPr>
          <w:rFonts w:ascii="宋体" w:hAnsi="宋体"/>
        </w:rPr>
        <w:t>第五节</w:t>
      </w:r>
      <w:r>
        <w:rPr>
          <w:rFonts w:ascii="宋体" w:hAnsi="宋体" w:hint="eastAsia"/>
        </w:rPr>
        <w:t xml:space="preserve"> 沸腾换热的影响因素</w:t>
      </w:r>
    </w:p>
    <w:p w14:paraId="242CD59A"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首先回顾对流换热中相变对流换热的分类，引入本章的凝结和沸腾换热。在凝结换热中，以叶片与肥料的接触角大小，引入凝结换热分类的依据，进而深入理解不同凝结换热的特点，分析其影响因素，引导学生思考讨论膜状凝结过程的强化原则和实施方法。在沸腾换热部分，以生活中烧开水为例，引入沸腾换热的分类依据，加深学生对不同类型沸腾换热的了解。结合换热特点，理解强化沸腾换热的原则和方法。</w:t>
      </w:r>
    </w:p>
    <w:p w14:paraId="670B3AC7" w14:textId="77777777" w:rsidR="00F5289E" w:rsidRDefault="00F5289E">
      <w:pPr>
        <w:widowControl/>
        <w:snapToGrid w:val="0"/>
        <w:spacing w:line="360" w:lineRule="auto"/>
        <w:rPr>
          <w:rFonts w:ascii="宋体" w:hAnsi="宋体"/>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921E045" w14:textId="77777777">
        <w:trPr>
          <w:trHeight w:val="270"/>
        </w:trPr>
        <w:tc>
          <w:tcPr>
            <w:tcW w:w="2965" w:type="dxa"/>
            <w:tcBorders>
              <w:top w:val="nil"/>
              <w:left w:val="nil"/>
              <w:bottom w:val="nil"/>
              <w:right w:val="nil"/>
            </w:tcBorders>
            <w:vAlign w:val="center"/>
          </w:tcPr>
          <w:p w14:paraId="34DAC939"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8665CE2"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rFonts w:hint="eastAsia"/>
                <w:b/>
                <w:bCs/>
                <w:kern w:val="0"/>
                <w:szCs w:val="21"/>
              </w:rPr>
              <w:t xml:space="preserve">  </w:t>
            </w:r>
            <w:r>
              <w:rPr>
                <w:rFonts w:hint="eastAsia"/>
                <w:b/>
                <w:bCs/>
                <w:kern w:val="0"/>
                <w:szCs w:val="21"/>
              </w:rPr>
              <w:t>热辐射基本定理及物体的辐射特性</w:t>
            </w:r>
          </w:p>
        </w:tc>
        <w:tc>
          <w:tcPr>
            <w:tcW w:w="2966" w:type="dxa"/>
            <w:tcBorders>
              <w:top w:val="nil"/>
              <w:left w:val="nil"/>
              <w:bottom w:val="nil"/>
              <w:right w:val="nil"/>
            </w:tcBorders>
            <w:vAlign w:val="center"/>
          </w:tcPr>
          <w:p w14:paraId="1A06276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5</w:t>
            </w:r>
          </w:p>
        </w:tc>
      </w:tr>
    </w:tbl>
    <w:p w14:paraId="23A5B912" w14:textId="77777777" w:rsidR="00F5289E" w:rsidRDefault="00C91173">
      <w:pPr>
        <w:widowControl/>
        <w:snapToGrid w:val="0"/>
        <w:spacing w:line="360" w:lineRule="auto"/>
        <w:rPr>
          <w:rFonts w:ascii="宋体" w:hAnsi="宋体"/>
          <w:bCs/>
        </w:rPr>
      </w:pPr>
      <w:r>
        <w:rPr>
          <w:rFonts w:ascii="宋体" w:hAnsi="宋体" w:hint="eastAsia"/>
          <w:b/>
          <w:bCs/>
        </w:rPr>
        <w:lastRenderedPageBreak/>
        <w:t>教学目标：</w:t>
      </w:r>
      <w:r>
        <w:rPr>
          <w:rFonts w:ascii="宋体" w:hAnsi="宋体" w:hint="eastAsia"/>
          <w:bCs/>
        </w:rPr>
        <w:t>通过本章的学习，能够掌握掌握热辐射的基本概念及黑体辐射的基本定律，及三个定律的应用前提和规定的具体规律；熟悉实际固体和液体的辐射特性及实际物体的吸收比和基尔霍夫定律；了解太阳辐射的特性。</w:t>
      </w:r>
    </w:p>
    <w:p w14:paraId="27B9A0B6"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rPr>
        <w:t>重点掌握</w:t>
      </w:r>
      <w:r>
        <w:rPr>
          <w:rFonts w:ascii="宋体" w:hAnsi="宋体" w:hint="eastAsia"/>
          <w:bCs/>
        </w:rPr>
        <w:t>热辐射的基本概念及黑体辐射的三个基本定律的内涵及应用条件，各个参数所代表的意义；难点在于实际固体和液体的辐射量的计算。</w:t>
      </w:r>
    </w:p>
    <w:p w14:paraId="1757304D"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bCs/>
        </w:rPr>
        <w:t>能够掌握</w:t>
      </w:r>
      <w:r>
        <w:rPr>
          <w:rFonts w:ascii="宋体" w:hAnsi="宋体" w:hint="eastAsia"/>
        </w:rPr>
        <w:t>热辐射的基本概念及特点，电磁波谱的特性，热辐射中的吸收、反射和穿透过程及简单计算；掌握黑体辐射的基本定律，包括斯忒藩-玻尔兹曼定律、普朗克定律和维恩位移定律的表达式和内涵，各参数的意义；熟悉黑体辐射函数及立体角的概念和计算；掌握定向辐射强度的概念和特点，熟悉兰贝特定律的应用；熟悉I和Eb之间的关系；实际固体和液体的辐射特性学习过程中，熟悉实际物体的辐射力、实际物体的光谱辐射力和实际物体的定向辐射强度的含义及简单应用；熟悉实际固体的吸收比计算和基尔霍夫定律的简单应用，掌握灰体的概念及应用前提；掌握温室效应形成的原理；针对太阳辐射的学习，熟悉太阳常数的含义，太阳能的削弱的机理，能够举例太阳能的利用及原理；了解环境辐射相关内容。</w:t>
      </w:r>
    </w:p>
    <w:p w14:paraId="06E4A6B5" w14:textId="77777777" w:rsidR="00F5289E" w:rsidRDefault="00C91173" w:rsidP="00A115EF">
      <w:pPr>
        <w:widowControl/>
        <w:numPr>
          <w:ilvl w:val="0"/>
          <w:numId w:val="3"/>
        </w:numPr>
        <w:adjustRightInd w:val="0"/>
        <w:snapToGrid w:val="0"/>
        <w:spacing w:line="360" w:lineRule="auto"/>
        <w:jc w:val="left"/>
        <w:rPr>
          <w:rFonts w:ascii="宋体" w:hAnsi="宋体"/>
          <w:bCs/>
          <w:color w:val="262600"/>
        </w:rPr>
      </w:pPr>
      <w:r>
        <w:rPr>
          <w:rFonts w:ascii="宋体" w:hAnsi="宋体" w:hint="eastAsia"/>
          <w:bCs/>
          <w:kern w:val="0"/>
          <w:szCs w:val="21"/>
        </w:rPr>
        <w:t>热辐射的基本概念</w:t>
      </w:r>
    </w:p>
    <w:p w14:paraId="0CDC3218" w14:textId="77777777" w:rsidR="00F5289E" w:rsidRDefault="00C91173" w:rsidP="00A115EF">
      <w:pPr>
        <w:widowControl/>
        <w:numPr>
          <w:ilvl w:val="0"/>
          <w:numId w:val="3"/>
        </w:numPr>
        <w:adjustRightInd w:val="0"/>
        <w:snapToGrid w:val="0"/>
        <w:spacing w:line="360" w:lineRule="auto"/>
        <w:jc w:val="left"/>
        <w:rPr>
          <w:rFonts w:ascii="宋体" w:hAnsi="宋体"/>
          <w:bCs/>
          <w:color w:val="262600"/>
        </w:rPr>
      </w:pPr>
      <w:r>
        <w:rPr>
          <w:rFonts w:ascii="宋体" w:hAnsi="宋体" w:hint="eastAsia"/>
          <w:bCs/>
          <w:color w:val="262600"/>
        </w:rPr>
        <w:t>黑体辐射的基本定律</w:t>
      </w:r>
    </w:p>
    <w:p w14:paraId="767A6901" w14:textId="77777777" w:rsidR="00F5289E" w:rsidRDefault="00C91173" w:rsidP="00A115EF">
      <w:pPr>
        <w:widowControl/>
        <w:numPr>
          <w:ilvl w:val="0"/>
          <w:numId w:val="3"/>
        </w:numPr>
        <w:adjustRightInd w:val="0"/>
        <w:snapToGrid w:val="0"/>
        <w:spacing w:line="360" w:lineRule="auto"/>
        <w:jc w:val="left"/>
        <w:rPr>
          <w:rFonts w:ascii="宋体" w:hAnsi="宋体"/>
          <w:bCs/>
          <w:color w:val="262600"/>
        </w:rPr>
      </w:pPr>
      <w:r>
        <w:rPr>
          <w:rFonts w:ascii="宋体" w:hAnsi="宋体" w:hint="eastAsia"/>
          <w:bCs/>
          <w:color w:val="262600"/>
        </w:rPr>
        <w:t>实际固体和液体的辐射特性</w:t>
      </w:r>
    </w:p>
    <w:p w14:paraId="511B4499" w14:textId="77777777" w:rsidR="00F5289E" w:rsidRDefault="00C91173" w:rsidP="00A115EF">
      <w:pPr>
        <w:widowControl/>
        <w:numPr>
          <w:ilvl w:val="0"/>
          <w:numId w:val="3"/>
        </w:numPr>
        <w:adjustRightInd w:val="0"/>
        <w:snapToGrid w:val="0"/>
        <w:spacing w:line="360" w:lineRule="auto"/>
        <w:jc w:val="left"/>
        <w:rPr>
          <w:rFonts w:ascii="宋体" w:hAnsi="宋体"/>
          <w:bCs/>
          <w:kern w:val="0"/>
          <w:szCs w:val="21"/>
        </w:rPr>
      </w:pPr>
      <w:r>
        <w:rPr>
          <w:rFonts w:ascii="宋体" w:hAnsi="宋体" w:hint="eastAsia"/>
          <w:bCs/>
          <w:color w:val="262600"/>
        </w:rPr>
        <w:t>实际固体的吸收比和基尔霍夫定律</w:t>
      </w:r>
    </w:p>
    <w:p w14:paraId="1E237787" w14:textId="77777777" w:rsidR="00F5289E" w:rsidRDefault="00C91173" w:rsidP="00A115EF">
      <w:pPr>
        <w:widowControl/>
        <w:numPr>
          <w:ilvl w:val="0"/>
          <w:numId w:val="3"/>
        </w:numPr>
        <w:adjustRightInd w:val="0"/>
        <w:snapToGrid w:val="0"/>
        <w:spacing w:line="360" w:lineRule="auto"/>
        <w:jc w:val="left"/>
        <w:rPr>
          <w:rFonts w:ascii="宋体" w:hAnsi="宋体"/>
          <w:bCs/>
          <w:kern w:val="0"/>
          <w:szCs w:val="21"/>
        </w:rPr>
      </w:pPr>
      <w:r>
        <w:rPr>
          <w:rFonts w:ascii="宋体" w:hAnsi="宋体" w:hint="eastAsia"/>
          <w:bCs/>
          <w:color w:val="262600"/>
        </w:rPr>
        <w:t>太阳辐射</w:t>
      </w:r>
    </w:p>
    <w:p w14:paraId="51AD36A1"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本章是辐射传热的基础部分，着重从电磁辐射的观点讨论热辐射过程的基本特性，然后阐述热辐射的三个基本定律。在此基础上研究固体、液体的辐射特性，最后介绍环境太阳辐射的一些基本概念。通过课堂讲解，视频和图文资料展示和扩展，让学生们系统全面的掌握本章内容。</w:t>
      </w:r>
    </w:p>
    <w:p w14:paraId="7D15AE5A" w14:textId="77777777" w:rsidR="00F5289E" w:rsidRDefault="00F5289E">
      <w:pPr>
        <w:widowControl/>
        <w:snapToGrid w:val="0"/>
        <w:spacing w:line="360" w:lineRule="auto"/>
        <w:rPr>
          <w:rFonts w:ascii="宋体" w:hAnsi="宋体"/>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076CDEA" w14:textId="77777777">
        <w:trPr>
          <w:trHeight w:val="270"/>
        </w:trPr>
        <w:tc>
          <w:tcPr>
            <w:tcW w:w="2965" w:type="dxa"/>
            <w:tcBorders>
              <w:top w:val="nil"/>
              <w:left w:val="nil"/>
              <w:bottom w:val="nil"/>
              <w:right w:val="nil"/>
            </w:tcBorders>
            <w:vAlign w:val="center"/>
          </w:tcPr>
          <w:p w14:paraId="43CEBA2A"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CC8C6AE"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rFonts w:hint="eastAsia"/>
                <w:b/>
                <w:bCs/>
                <w:kern w:val="0"/>
                <w:szCs w:val="21"/>
              </w:rPr>
              <w:t xml:space="preserve">  </w:t>
            </w:r>
            <w:r>
              <w:rPr>
                <w:rFonts w:hint="eastAsia"/>
                <w:b/>
                <w:bCs/>
                <w:kern w:val="0"/>
                <w:szCs w:val="21"/>
              </w:rPr>
              <w:t>辐射传热的计算</w:t>
            </w:r>
          </w:p>
        </w:tc>
        <w:tc>
          <w:tcPr>
            <w:tcW w:w="2966" w:type="dxa"/>
            <w:tcBorders>
              <w:top w:val="nil"/>
              <w:left w:val="nil"/>
              <w:bottom w:val="nil"/>
              <w:right w:val="nil"/>
            </w:tcBorders>
            <w:vAlign w:val="center"/>
          </w:tcPr>
          <w:p w14:paraId="6D7AF0D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3</w:t>
            </w:r>
          </w:p>
        </w:tc>
      </w:tr>
    </w:tbl>
    <w:p w14:paraId="08C64115"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掌握角系数的定义、性质及计算及两表面封闭系统的辐射传热的计算；熟悉辐射传热的强化与削弱的原理和措施；了解多表面系统的辐射传热和气体辐射的特点。</w:t>
      </w:r>
    </w:p>
    <w:p w14:paraId="38BB8983" w14:textId="77777777" w:rsidR="00F5289E" w:rsidRDefault="00C91173">
      <w:pPr>
        <w:widowControl/>
        <w:snapToGrid w:val="0"/>
        <w:spacing w:line="360" w:lineRule="auto"/>
        <w:rPr>
          <w:rFonts w:ascii="宋体" w:hAnsi="宋体"/>
        </w:rPr>
      </w:pPr>
      <w:r>
        <w:rPr>
          <w:rFonts w:ascii="宋体" w:hAnsi="宋体" w:hint="eastAsia"/>
          <w:b/>
          <w:bCs/>
        </w:rPr>
        <w:t>教学重点和难点：</w:t>
      </w:r>
      <w:r>
        <w:rPr>
          <w:rFonts w:ascii="宋体" w:hAnsi="宋体" w:hint="eastAsia"/>
        </w:rPr>
        <w:t>重点掌握角系数的定义、性质及计算方法；以及不同类型的两黑体和两漫灰表面的封闭系统辐射传热的计算；难点在于多表面系统的辐射传热的计算。</w:t>
      </w:r>
    </w:p>
    <w:p w14:paraId="0D9739FD" w14:textId="77777777" w:rsidR="00F5289E" w:rsidRDefault="00C91173">
      <w:pPr>
        <w:widowControl/>
        <w:snapToGrid w:val="0"/>
        <w:spacing w:line="360" w:lineRule="auto"/>
        <w:rPr>
          <w:rFonts w:ascii="宋体" w:hAnsi="宋体"/>
          <w:bCs/>
        </w:rPr>
      </w:pPr>
      <w:r>
        <w:rPr>
          <w:rFonts w:ascii="宋体" w:hAnsi="宋体" w:hint="eastAsia"/>
          <w:b/>
        </w:rPr>
        <w:t>主要教学内容及要求：</w:t>
      </w:r>
      <w:r>
        <w:rPr>
          <w:rFonts w:ascii="宋体" w:hAnsi="宋体" w:hint="eastAsia"/>
          <w:bCs/>
        </w:rPr>
        <w:t>首先要掌握辐射传热中角系数的定义、性质和计算方法；两黑体表面组成的封闭系统的辐射换热量计算，两漫灰表面组成的封闭系统的三种特殊情形及换热量计算；熟悉多表面封闭系统网络法求解的原理和实施步骤；掌握气体辐射的特点和气体辐射的衰减规律，掌握平均射线程长的概念及了解其计算方法；掌握辐射传热的强化与削弱的原理和措施，及与辐射热阻调控的关系；熟悉遮热板的应用原理及应用实例。</w:t>
      </w:r>
    </w:p>
    <w:p w14:paraId="7D9858C0" w14:textId="77777777" w:rsidR="00F5289E" w:rsidRDefault="00C91173">
      <w:pPr>
        <w:widowControl/>
        <w:snapToGrid w:val="0"/>
        <w:spacing w:line="360" w:lineRule="auto"/>
        <w:rPr>
          <w:rFonts w:ascii="宋体" w:hAnsi="宋体"/>
          <w:bCs/>
          <w:color w:val="262600"/>
        </w:rPr>
      </w:pPr>
      <w:r>
        <w:rPr>
          <w:rFonts w:ascii="宋体" w:hAnsi="宋体" w:hint="eastAsia"/>
          <w:bCs/>
          <w:kern w:val="0"/>
          <w:szCs w:val="21"/>
        </w:rPr>
        <w:t>第一节 辐射传热的</w:t>
      </w:r>
      <w:r>
        <w:rPr>
          <w:rFonts w:ascii="宋体" w:hAnsi="宋体" w:hint="eastAsia"/>
          <w:bCs/>
          <w:color w:val="262600"/>
        </w:rPr>
        <w:t>角系数</w:t>
      </w:r>
    </w:p>
    <w:p w14:paraId="5891C6A5" w14:textId="77777777" w:rsidR="00F5289E" w:rsidRDefault="00C91173">
      <w:pPr>
        <w:widowControl/>
        <w:adjustRightInd w:val="0"/>
        <w:snapToGrid w:val="0"/>
        <w:spacing w:line="360" w:lineRule="auto"/>
        <w:jc w:val="left"/>
        <w:rPr>
          <w:rFonts w:ascii="宋体" w:hAnsi="宋体"/>
          <w:bCs/>
          <w:color w:val="262600"/>
        </w:rPr>
      </w:pPr>
      <w:r>
        <w:rPr>
          <w:rFonts w:ascii="宋体" w:hAnsi="宋体" w:hint="eastAsia"/>
          <w:bCs/>
          <w:color w:val="262600"/>
        </w:rPr>
        <w:lastRenderedPageBreak/>
        <w:t>第二节 两表面封闭系统的辐射传热</w:t>
      </w:r>
    </w:p>
    <w:p w14:paraId="6B7E7C62" w14:textId="77777777" w:rsidR="00F5289E" w:rsidRDefault="00C91173">
      <w:pPr>
        <w:widowControl/>
        <w:adjustRightInd w:val="0"/>
        <w:snapToGrid w:val="0"/>
        <w:spacing w:line="360" w:lineRule="auto"/>
        <w:jc w:val="left"/>
        <w:rPr>
          <w:rFonts w:ascii="宋体" w:hAnsi="宋体"/>
          <w:bCs/>
          <w:color w:val="262600"/>
        </w:rPr>
      </w:pPr>
      <w:r>
        <w:rPr>
          <w:rFonts w:ascii="宋体" w:hAnsi="宋体" w:hint="eastAsia"/>
          <w:bCs/>
          <w:color w:val="262600"/>
        </w:rPr>
        <w:t>第三节 多表面系统的辐射传热</w:t>
      </w:r>
    </w:p>
    <w:p w14:paraId="6E76B0A3" w14:textId="77777777" w:rsidR="00F5289E" w:rsidRDefault="00C91173">
      <w:pPr>
        <w:widowControl/>
        <w:adjustRightInd w:val="0"/>
        <w:snapToGrid w:val="0"/>
        <w:spacing w:line="360" w:lineRule="auto"/>
        <w:jc w:val="left"/>
        <w:rPr>
          <w:rFonts w:ascii="宋体" w:hAnsi="宋体"/>
          <w:bCs/>
          <w:color w:val="262600"/>
        </w:rPr>
      </w:pPr>
      <w:r>
        <w:rPr>
          <w:rFonts w:ascii="宋体" w:hAnsi="宋体" w:hint="eastAsia"/>
          <w:bCs/>
          <w:color w:val="262600"/>
        </w:rPr>
        <w:t>第四节 气体辐射</w:t>
      </w:r>
    </w:p>
    <w:p w14:paraId="5A6352ED" w14:textId="77777777" w:rsidR="00F5289E" w:rsidRDefault="00C91173" w:rsidP="00A115EF">
      <w:pPr>
        <w:pStyle w:val="afd"/>
        <w:widowControl/>
        <w:numPr>
          <w:ilvl w:val="0"/>
          <w:numId w:val="3"/>
        </w:numPr>
        <w:snapToGrid w:val="0"/>
        <w:spacing w:line="360" w:lineRule="auto"/>
        <w:ind w:firstLineChars="0"/>
        <w:rPr>
          <w:rFonts w:ascii="宋体" w:hAnsi="宋体"/>
          <w:bCs/>
          <w:color w:val="262600"/>
        </w:rPr>
      </w:pPr>
      <w:r>
        <w:rPr>
          <w:rFonts w:ascii="宋体" w:hAnsi="宋体" w:hint="eastAsia"/>
          <w:bCs/>
          <w:color w:val="262600"/>
        </w:rPr>
        <w:t>辐射传热的强化与削弱</w:t>
      </w:r>
    </w:p>
    <w:p w14:paraId="2F7135BA" w14:textId="77777777" w:rsidR="00F5289E" w:rsidRDefault="00C91173">
      <w:pPr>
        <w:widowControl/>
        <w:snapToGrid w:val="0"/>
        <w:spacing w:line="360" w:lineRule="auto"/>
        <w:rPr>
          <w:rFonts w:ascii="宋体" w:hAnsi="宋体"/>
          <w:kern w:val="0"/>
          <w:szCs w:val="21"/>
        </w:rPr>
      </w:pPr>
      <w:r>
        <w:rPr>
          <w:rFonts w:ascii="宋体" w:hAnsi="宋体" w:hint="eastAsia"/>
          <w:b/>
          <w:bCs/>
        </w:rPr>
        <w:t>教学组织与实施：</w:t>
      </w:r>
      <w:r>
        <w:rPr>
          <w:rFonts w:ascii="宋体" w:hAnsi="宋体"/>
          <w:kern w:val="0"/>
          <w:szCs w:val="21"/>
        </w:rPr>
        <w:t>本章首先介绍辐射传热计算的角系数的定义、性质及其计算方法，接着讨论由两个表面和多个表面组成的封闭腔内辐射传热的计算方法。利用多媒体设备，根据学生的理解程度对知识点进行讲解，结合具体案例分析辐射传热的计算。在此基础上，利用图片和视频举例介绍辐射传热的强化和削弱的方法。</w:t>
      </w:r>
    </w:p>
    <w:p w14:paraId="2526DC11" w14:textId="77777777" w:rsidR="00F5289E" w:rsidRDefault="00C91173">
      <w:pPr>
        <w:widowControl/>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5ED53431" w14:textId="77777777" w:rsidR="00F5289E" w:rsidRDefault="00C91173" w:rsidP="00A115EF">
      <w:pPr>
        <w:pStyle w:val="afd"/>
        <w:numPr>
          <w:ilvl w:val="0"/>
          <w:numId w:val="4"/>
        </w:numPr>
        <w:snapToGrid w:val="0"/>
        <w:spacing w:line="360" w:lineRule="auto"/>
        <w:ind w:firstLineChars="0"/>
        <w:rPr>
          <w:rFonts w:hAnsi="宋体"/>
          <w:color w:val="000000" w:themeColor="text1"/>
          <w:szCs w:val="21"/>
        </w:rPr>
      </w:pPr>
      <w:r>
        <w:rPr>
          <w:rFonts w:hAnsi="宋体"/>
          <w:color w:val="000000" w:themeColor="text1"/>
          <w:szCs w:val="21"/>
        </w:rPr>
        <w:t>在对流换热问题简化的过程中，</w:t>
      </w:r>
      <w:r>
        <w:rPr>
          <w:rFonts w:hAnsi="宋体" w:hint="eastAsia"/>
          <w:color w:val="000000" w:themeColor="text1"/>
          <w:szCs w:val="21"/>
        </w:rPr>
        <w:t>通过</w:t>
      </w:r>
      <w:r>
        <w:rPr>
          <w:rFonts w:hAnsi="宋体"/>
          <w:color w:val="000000" w:themeColor="text1"/>
          <w:szCs w:val="21"/>
        </w:rPr>
        <w:t>抓住问题的本质和主要矛盾、忽略次要因素的简化方法，引入矛盾分析法，引导学生在遇到和分析问题时，透过现象看本质。</w:t>
      </w:r>
    </w:p>
    <w:p w14:paraId="34402899" w14:textId="77777777" w:rsidR="00F5289E" w:rsidRDefault="00C91173" w:rsidP="00A115EF">
      <w:pPr>
        <w:pStyle w:val="afd"/>
        <w:numPr>
          <w:ilvl w:val="0"/>
          <w:numId w:val="4"/>
        </w:numPr>
        <w:snapToGrid w:val="0"/>
        <w:spacing w:line="360" w:lineRule="auto"/>
        <w:ind w:firstLineChars="0"/>
        <w:rPr>
          <w:rFonts w:hAnsi="宋体"/>
          <w:color w:val="000000" w:themeColor="text1"/>
          <w:szCs w:val="21"/>
        </w:rPr>
      </w:pPr>
      <w:r>
        <w:rPr>
          <w:rFonts w:hAnsi="宋体" w:hint="eastAsia"/>
          <w:color w:val="000000" w:themeColor="text1"/>
          <w:szCs w:val="21"/>
        </w:rPr>
        <w:t>在导热过程中，通过绝缘材料引入火箭或者航天器的例子；辐射换热过程中，引入卫星或者西北太阳能发电工程，延伸到我国改革开放以来迅猛发展的航天工业和基础建设，体现出我国综合国力的不断增强。</w:t>
      </w:r>
    </w:p>
    <w:p w14:paraId="1C624588" w14:textId="77777777" w:rsidR="00F5289E" w:rsidRDefault="00C91173" w:rsidP="00A115EF">
      <w:pPr>
        <w:pStyle w:val="afd"/>
        <w:numPr>
          <w:ilvl w:val="0"/>
          <w:numId w:val="4"/>
        </w:numPr>
        <w:snapToGrid w:val="0"/>
        <w:spacing w:line="360" w:lineRule="auto"/>
        <w:ind w:firstLineChars="0"/>
        <w:rPr>
          <w:rFonts w:hAnsi="宋体"/>
          <w:color w:val="000000" w:themeColor="text1"/>
          <w:szCs w:val="21"/>
        </w:rPr>
      </w:pPr>
      <w:r>
        <w:rPr>
          <w:rFonts w:hAnsi="宋体" w:hint="eastAsia"/>
          <w:color w:val="000000" w:themeColor="text1"/>
          <w:szCs w:val="21"/>
        </w:rPr>
        <w:t>在气体辐射过程中的温室效应部分，由于温室气体的增多导致地面辐射的热量被大气层中的温室气体吸收，使得地球表面温度常年增高。呼吁人类应该共同保护环境，从自我做起爱护环境。</w:t>
      </w:r>
    </w:p>
    <w:p w14:paraId="011244FB"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34ED0B1B"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04CFCDF3"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（1）理论课教材：</w:t>
      </w:r>
      <w:r>
        <w:rPr>
          <w:rFonts w:hAnsi="宋体" w:hint="eastAsia"/>
          <w:bCs/>
          <w:kern w:val="0"/>
          <w:szCs w:val="21"/>
        </w:rPr>
        <w:t>传热学（第五版）</w:t>
      </w:r>
      <w:r>
        <w:rPr>
          <w:rFonts w:hAnsi="宋体"/>
          <w:bCs/>
          <w:kern w:val="0"/>
          <w:szCs w:val="21"/>
        </w:rPr>
        <w:t>，陶文铨</w:t>
      </w:r>
      <w:r>
        <w:rPr>
          <w:rFonts w:hAnsi="宋体" w:hint="eastAsia"/>
          <w:bCs/>
          <w:kern w:val="0"/>
          <w:szCs w:val="21"/>
        </w:rPr>
        <w:t xml:space="preserve"> </w:t>
      </w:r>
      <w:r>
        <w:rPr>
          <w:rFonts w:hAnsi="宋体"/>
          <w:bCs/>
          <w:kern w:val="0"/>
          <w:szCs w:val="21"/>
        </w:rPr>
        <w:t>编著，高等教育出版社，</w:t>
      </w:r>
      <w:r>
        <w:rPr>
          <w:rFonts w:hAnsi="宋体"/>
          <w:bCs/>
          <w:kern w:val="0"/>
          <w:szCs w:val="21"/>
        </w:rPr>
        <w:t>2019</w:t>
      </w:r>
      <w:r>
        <w:rPr>
          <w:rFonts w:hAnsi="宋体"/>
          <w:bCs/>
          <w:kern w:val="0"/>
          <w:szCs w:val="21"/>
        </w:rPr>
        <w:t>年</w:t>
      </w:r>
    </w:p>
    <w:p w14:paraId="331C98AA"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6B19887C" w14:textId="77777777" w:rsidR="00F5289E" w:rsidRDefault="00C91173">
      <w:pPr>
        <w:snapToGrid w:val="0"/>
        <w:spacing w:line="360" w:lineRule="auto"/>
        <w:ind w:firstLineChars="200" w:firstLine="420"/>
        <w:rPr>
          <w:rFonts w:hAnsi="宋体"/>
          <w:bCs/>
          <w:color w:val="0000FF"/>
          <w:kern w:val="0"/>
          <w:szCs w:val="21"/>
        </w:rPr>
      </w:pPr>
      <w:r>
        <w:rPr>
          <w:rFonts w:hAnsi="宋体"/>
          <w:bCs/>
          <w:kern w:val="0"/>
          <w:szCs w:val="21"/>
        </w:rPr>
        <w:t>（</w:t>
      </w:r>
      <w:r>
        <w:rPr>
          <w:bCs/>
          <w:kern w:val="0"/>
          <w:szCs w:val="21"/>
        </w:rPr>
        <w:t>1</w:t>
      </w:r>
      <w:r>
        <w:rPr>
          <w:rFonts w:hAnsi="宋体"/>
          <w:bCs/>
          <w:kern w:val="0"/>
          <w:szCs w:val="21"/>
        </w:rPr>
        <w:t>）传热学基础（第二版）</w:t>
      </w:r>
      <w:r>
        <w:rPr>
          <w:rFonts w:hAnsi="宋体" w:hint="eastAsia"/>
          <w:bCs/>
          <w:kern w:val="0"/>
          <w:szCs w:val="21"/>
        </w:rPr>
        <w:t>.</w:t>
      </w:r>
      <w:r>
        <w:rPr>
          <w:rFonts w:hAnsi="宋体"/>
          <w:bCs/>
          <w:kern w:val="0"/>
          <w:szCs w:val="21"/>
        </w:rPr>
        <w:t xml:space="preserve"> </w:t>
      </w:r>
      <w:r>
        <w:rPr>
          <w:rFonts w:hAnsi="宋体"/>
          <w:bCs/>
          <w:kern w:val="0"/>
          <w:szCs w:val="21"/>
        </w:rPr>
        <w:t>杨世铭主编</w:t>
      </w:r>
      <w:r>
        <w:rPr>
          <w:rFonts w:hAnsi="宋体" w:hint="eastAsia"/>
          <w:bCs/>
          <w:kern w:val="0"/>
          <w:szCs w:val="21"/>
        </w:rPr>
        <w:t>.</w:t>
      </w:r>
      <w:r>
        <w:rPr>
          <w:rFonts w:hAnsi="宋体"/>
          <w:bCs/>
          <w:kern w:val="0"/>
          <w:szCs w:val="21"/>
        </w:rPr>
        <w:t xml:space="preserve"> </w:t>
      </w:r>
      <w:r>
        <w:rPr>
          <w:rFonts w:hAnsi="宋体"/>
          <w:bCs/>
          <w:kern w:val="0"/>
          <w:szCs w:val="21"/>
        </w:rPr>
        <w:t>高等教育出版社，</w:t>
      </w:r>
      <w:r>
        <w:rPr>
          <w:rFonts w:hAnsi="宋体" w:hint="eastAsia"/>
          <w:bCs/>
          <w:kern w:val="0"/>
          <w:szCs w:val="21"/>
        </w:rPr>
        <w:t>2</w:t>
      </w:r>
      <w:r>
        <w:rPr>
          <w:rFonts w:hAnsi="宋体"/>
          <w:bCs/>
          <w:kern w:val="0"/>
          <w:szCs w:val="21"/>
        </w:rPr>
        <w:t>003</w:t>
      </w:r>
      <w:r>
        <w:rPr>
          <w:rFonts w:hAnsi="宋体"/>
          <w:bCs/>
          <w:kern w:val="0"/>
          <w:szCs w:val="21"/>
        </w:rPr>
        <w:t>年</w:t>
      </w:r>
    </w:p>
    <w:p w14:paraId="4D95F39F"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w:t>
      </w:r>
      <w:r>
        <w:rPr>
          <w:rFonts w:hAnsi="宋体" w:hint="eastAsia"/>
          <w:bCs/>
          <w:kern w:val="0"/>
          <w:szCs w:val="21"/>
        </w:rPr>
        <w:t>2</w:t>
      </w:r>
      <w:r>
        <w:rPr>
          <w:rFonts w:hAnsi="宋体" w:hint="eastAsia"/>
          <w:bCs/>
          <w:kern w:val="0"/>
          <w:szCs w:val="21"/>
        </w:rPr>
        <w:t>）传热学（第七版），朱彤、安青松等主编，中国建筑工业出版社，</w:t>
      </w:r>
      <w:r>
        <w:rPr>
          <w:rFonts w:hAnsi="宋体" w:hint="eastAsia"/>
          <w:bCs/>
          <w:kern w:val="0"/>
          <w:szCs w:val="21"/>
        </w:rPr>
        <w:t>2020</w:t>
      </w:r>
      <w:r>
        <w:rPr>
          <w:rFonts w:hAnsi="宋体" w:hint="eastAsia"/>
          <w:bCs/>
          <w:kern w:val="0"/>
          <w:szCs w:val="21"/>
        </w:rPr>
        <w:t>年</w:t>
      </w:r>
    </w:p>
    <w:p w14:paraId="0CAFF2A8" w14:textId="77777777" w:rsidR="00F5289E" w:rsidRDefault="00C91173">
      <w:pPr>
        <w:widowControl/>
        <w:snapToGrid w:val="0"/>
        <w:spacing w:line="360" w:lineRule="auto"/>
        <w:ind w:firstLineChars="200" w:firstLine="420"/>
        <w:jc w:val="left"/>
        <w:rPr>
          <w:rFonts w:hAnsi="宋体"/>
          <w:bCs/>
          <w:color w:val="0000FF"/>
          <w:kern w:val="0"/>
          <w:szCs w:val="21"/>
        </w:rPr>
      </w:pPr>
      <w:r>
        <w:rPr>
          <w:rFonts w:hAnsi="宋体" w:hint="eastAsia"/>
          <w:bCs/>
          <w:kern w:val="0"/>
          <w:szCs w:val="21"/>
        </w:rPr>
        <w:t>（</w:t>
      </w:r>
      <w:r>
        <w:rPr>
          <w:rFonts w:hAnsi="宋体" w:hint="eastAsia"/>
          <w:bCs/>
          <w:kern w:val="0"/>
          <w:szCs w:val="21"/>
        </w:rPr>
        <w:t>3</w:t>
      </w:r>
      <w:r>
        <w:rPr>
          <w:rFonts w:hAnsi="宋体" w:hint="eastAsia"/>
          <w:bCs/>
          <w:kern w:val="0"/>
          <w:szCs w:val="21"/>
        </w:rPr>
        <w:t>）传热学（英文第</w:t>
      </w:r>
      <w:r>
        <w:rPr>
          <w:rFonts w:hAnsi="宋体" w:hint="eastAsia"/>
          <w:bCs/>
          <w:kern w:val="0"/>
          <w:szCs w:val="21"/>
        </w:rPr>
        <w:t>10</w:t>
      </w:r>
      <w:r>
        <w:rPr>
          <w:rFonts w:hAnsi="宋体" w:hint="eastAsia"/>
          <w:bCs/>
          <w:kern w:val="0"/>
          <w:szCs w:val="21"/>
        </w:rPr>
        <w:t>版译），</w:t>
      </w:r>
      <w:r>
        <w:rPr>
          <w:rFonts w:hAnsi="宋体" w:hint="eastAsia"/>
          <w:bCs/>
          <w:kern w:val="0"/>
          <w:szCs w:val="21"/>
        </w:rPr>
        <w:t>J. P. Holman</w:t>
      </w:r>
      <w:r>
        <w:rPr>
          <w:rFonts w:hAnsi="宋体" w:hint="eastAsia"/>
          <w:bCs/>
          <w:kern w:val="0"/>
          <w:szCs w:val="21"/>
        </w:rPr>
        <w:t>主编，马庆芳等译，机械工业出版社，</w:t>
      </w:r>
      <w:r>
        <w:rPr>
          <w:rFonts w:hAnsi="宋体" w:hint="eastAsia"/>
          <w:bCs/>
          <w:kern w:val="0"/>
          <w:szCs w:val="21"/>
        </w:rPr>
        <w:t>2011</w:t>
      </w:r>
      <w:r>
        <w:rPr>
          <w:rFonts w:hAnsi="宋体" w:hint="eastAsia"/>
          <w:bCs/>
          <w:kern w:val="0"/>
          <w:szCs w:val="21"/>
        </w:rPr>
        <w:t>年</w:t>
      </w:r>
    </w:p>
    <w:p w14:paraId="54FCCCFB"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01508AA3" w14:textId="77777777" w:rsidR="00F5289E" w:rsidRDefault="00C91173">
      <w:pPr>
        <w:snapToGrid w:val="0"/>
        <w:spacing w:line="360" w:lineRule="auto"/>
        <w:ind w:firstLineChars="200" w:firstLine="420"/>
        <w:rPr>
          <w:szCs w:val="21"/>
        </w:rPr>
      </w:pPr>
      <w:r>
        <w:rPr>
          <w:rFonts w:hAnsi="宋体"/>
          <w:szCs w:val="21"/>
        </w:rPr>
        <w:t>（</w:t>
      </w:r>
      <w:r>
        <w:rPr>
          <w:szCs w:val="21"/>
        </w:rPr>
        <w:t>1</w:t>
      </w:r>
      <w:r>
        <w:rPr>
          <w:rFonts w:hAnsi="宋体"/>
          <w:szCs w:val="21"/>
        </w:rPr>
        <w:t>）中国大学</w:t>
      </w:r>
      <w:r>
        <w:rPr>
          <w:rFonts w:hAnsi="宋体"/>
          <w:szCs w:val="21"/>
        </w:rPr>
        <w:t>MOOC</w:t>
      </w:r>
      <w:r>
        <w:rPr>
          <w:rFonts w:hAnsi="宋体"/>
          <w:szCs w:val="21"/>
        </w:rPr>
        <w:t>，</w:t>
      </w:r>
      <w:r>
        <w:rPr>
          <w:bCs/>
          <w:kern w:val="0"/>
          <w:szCs w:val="21"/>
        </w:rPr>
        <w:t>https://www.icourse163.org/</w:t>
      </w:r>
      <w:r>
        <w:rPr>
          <w:szCs w:val="21"/>
        </w:rPr>
        <w:t xml:space="preserve"> </w:t>
      </w:r>
    </w:p>
    <w:p w14:paraId="09E32D57" w14:textId="77777777" w:rsidR="00F5289E" w:rsidRDefault="00C91173">
      <w:pPr>
        <w:widowControl/>
        <w:snapToGrid w:val="0"/>
        <w:spacing w:line="360" w:lineRule="auto"/>
        <w:ind w:firstLineChars="200" w:firstLine="420"/>
        <w:jc w:val="left"/>
        <w:rPr>
          <w:color w:val="000000" w:themeColor="text1"/>
          <w:kern w:val="0"/>
        </w:rPr>
      </w:pPr>
      <w:r>
        <w:rPr>
          <w:rFonts w:hAnsi="宋体"/>
          <w:color w:val="000000" w:themeColor="text1"/>
          <w:szCs w:val="21"/>
        </w:rPr>
        <w:t>（</w:t>
      </w:r>
      <w:r>
        <w:rPr>
          <w:color w:val="000000" w:themeColor="text1"/>
          <w:szCs w:val="21"/>
        </w:rPr>
        <w:t>2</w:t>
      </w:r>
      <w:r>
        <w:rPr>
          <w:rFonts w:hAnsi="宋体"/>
          <w:color w:val="000000" w:themeColor="text1"/>
          <w:szCs w:val="21"/>
        </w:rPr>
        <w:t>）爱课程，</w:t>
      </w:r>
      <w:r>
        <w:rPr>
          <w:rFonts w:hAnsi="宋体"/>
          <w:color w:val="000000" w:themeColor="text1"/>
          <w:szCs w:val="21"/>
        </w:rPr>
        <w:t>https://www.icourses.cn/home/</w:t>
      </w:r>
    </w:p>
    <w:p w14:paraId="6B4F16D4" w14:textId="77777777" w:rsidR="00F5289E" w:rsidRDefault="00C91173">
      <w:pPr>
        <w:widowControl/>
        <w:snapToGrid w:val="0"/>
        <w:spacing w:line="360" w:lineRule="auto"/>
        <w:ind w:firstLineChars="200" w:firstLine="420"/>
        <w:jc w:val="left"/>
        <w:rPr>
          <w:color w:val="000000" w:themeColor="text1"/>
          <w:kern w:val="0"/>
        </w:rPr>
      </w:pPr>
      <w:r>
        <w:rPr>
          <w:rFonts w:hint="eastAsia"/>
          <w:color w:val="000000" w:themeColor="text1"/>
          <w:kern w:val="0"/>
        </w:rPr>
        <w:t>（</w:t>
      </w:r>
      <w:r>
        <w:rPr>
          <w:rFonts w:hint="eastAsia"/>
          <w:color w:val="000000" w:themeColor="text1"/>
          <w:kern w:val="0"/>
        </w:rPr>
        <w:t>3</w:t>
      </w:r>
      <w:r>
        <w:rPr>
          <w:rFonts w:hint="eastAsia"/>
          <w:color w:val="000000" w:themeColor="text1"/>
          <w:kern w:val="0"/>
        </w:rPr>
        <w:t>）传热学，西安交通大学，</w:t>
      </w:r>
      <w:r>
        <w:rPr>
          <w:kern w:val="0"/>
        </w:rPr>
        <w:t>https://www.icourse163.org/course/XJTU-1003741001</w:t>
      </w:r>
    </w:p>
    <w:p w14:paraId="542BBF82" w14:textId="77777777" w:rsidR="00F5289E" w:rsidRDefault="00C91173">
      <w:pPr>
        <w:widowControl/>
        <w:snapToGrid w:val="0"/>
        <w:spacing w:line="360" w:lineRule="auto"/>
        <w:ind w:firstLineChars="200" w:firstLine="420"/>
        <w:jc w:val="left"/>
        <w:rPr>
          <w:color w:val="000000" w:themeColor="text1"/>
          <w:kern w:val="0"/>
        </w:rPr>
      </w:pPr>
      <w:r>
        <w:rPr>
          <w:color w:val="000000" w:themeColor="text1"/>
          <w:kern w:val="0"/>
        </w:rPr>
        <w:t>（</w:t>
      </w:r>
      <w:r>
        <w:rPr>
          <w:rFonts w:hint="eastAsia"/>
          <w:color w:val="000000" w:themeColor="text1"/>
          <w:kern w:val="0"/>
        </w:rPr>
        <w:t>4</w:t>
      </w:r>
      <w:r>
        <w:rPr>
          <w:color w:val="000000" w:themeColor="text1"/>
          <w:kern w:val="0"/>
        </w:rPr>
        <w:t>）传热学，上海交通大学，</w:t>
      </w:r>
      <w:r>
        <w:rPr>
          <w:color w:val="000000" w:themeColor="text1"/>
          <w:kern w:val="0"/>
        </w:rPr>
        <w:t>https://www.icourse163.org/course/SJTU-1003763005</w:t>
      </w:r>
    </w:p>
    <w:p w14:paraId="2D5EC375"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277D2231"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《传热学基础》课程采用理论教学方案。</w:t>
      </w:r>
    </w:p>
    <w:p w14:paraId="06957E9B"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3026BAC1"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1.</w:t>
      </w:r>
      <w:r>
        <w:rPr>
          <w:rFonts w:hAnsi="宋体" w:hint="eastAsia"/>
          <w:b/>
          <w:bCs/>
          <w:kern w:val="0"/>
          <w:szCs w:val="21"/>
        </w:rPr>
        <w:t>过程性评价：</w:t>
      </w:r>
    </w:p>
    <w:p w14:paraId="58D74BAA" w14:textId="77777777" w:rsidR="00C61DCA" w:rsidRDefault="00C61DCA" w:rsidP="00C61DCA">
      <w:pPr>
        <w:widowControl/>
        <w:snapToGrid w:val="0"/>
        <w:spacing w:line="360" w:lineRule="auto"/>
        <w:ind w:firstLine="420"/>
        <w:jc w:val="left"/>
        <w:rPr>
          <w:rFonts w:hAnsi="宋体"/>
          <w:bCs/>
          <w:kern w:val="0"/>
          <w:szCs w:val="21"/>
        </w:rPr>
      </w:pPr>
      <w:r>
        <w:rPr>
          <w:rFonts w:hAnsi="宋体" w:hint="eastAsia"/>
          <w:kern w:val="0"/>
          <w:szCs w:val="21"/>
        </w:rPr>
        <w:lastRenderedPageBreak/>
        <w:t>本门课程采取多元化过程性考核评价方法，</w:t>
      </w:r>
      <w:r>
        <w:rPr>
          <w:rFonts w:hAnsi="宋体" w:hint="eastAsia"/>
          <w:bCs/>
          <w:kern w:val="0"/>
          <w:szCs w:val="21"/>
        </w:rPr>
        <w:t>包括</w:t>
      </w:r>
      <w:r w:rsidRPr="00430043">
        <w:rPr>
          <w:rFonts w:hAnsi="宋体" w:hint="eastAsia"/>
          <w:bCs/>
          <w:kern w:val="0"/>
          <w:szCs w:val="21"/>
        </w:rPr>
        <w:t>学生</w:t>
      </w:r>
      <w:r>
        <w:rPr>
          <w:rFonts w:hAnsi="宋体" w:hint="eastAsia"/>
          <w:kern w:val="0"/>
          <w:szCs w:val="21"/>
        </w:rPr>
        <w:t>课前预习、</w:t>
      </w:r>
      <w:r w:rsidRPr="00430043">
        <w:rPr>
          <w:rFonts w:hAnsi="宋体" w:hint="eastAsia"/>
          <w:bCs/>
          <w:kern w:val="0"/>
          <w:szCs w:val="21"/>
        </w:rPr>
        <w:t>课堂表现、课后作业、小组讨论情况等考评环节及内容。</w:t>
      </w:r>
      <w:r>
        <w:rPr>
          <w:rFonts w:hAnsi="宋体" w:hint="eastAsia"/>
          <w:kern w:val="0"/>
          <w:szCs w:val="21"/>
        </w:rPr>
        <w:t>这些共同组成过程性评价成绩，最终的</w:t>
      </w:r>
      <w:r>
        <w:rPr>
          <w:rFonts w:hAnsi="宋体"/>
          <w:bCs/>
          <w:kern w:val="0"/>
          <w:szCs w:val="21"/>
        </w:rPr>
        <w:t>平时成绩占比</w:t>
      </w:r>
      <w:r>
        <w:rPr>
          <w:rFonts w:hAnsi="宋体" w:hint="eastAsia"/>
          <w:bCs/>
          <w:kern w:val="0"/>
          <w:szCs w:val="21"/>
        </w:rPr>
        <w:t>5</w:t>
      </w:r>
      <w:r>
        <w:rPr>
          <w:rFonts w:hAnsi="宋体"/>
          <w:bCs/>
          <w:kern w:val="0"/>
          <w:szCs w:val="21"/>
        </w:rPr>
        <w:t>0%</w:t>
      </w:r>
      <w:r>
        <w:rPr>
          <w:rFonts w:hAnsi="宋体"/>
          <w:bCs/>
          <w:kern w:val="0"/>
          <w:szCs w:val="21"/>
        </w:rPr>
        <w:t>，由</w:t>
      </w:r>
      <w:r>
        <w:rPr>
          <w:rFonts w:hAnsi="宋体" w:hint="eastAsia"/>
          <w:bCs/>
          <w:kern w:val="0"/>
          <w:szCs w:val="21"/>
        </w:rPr>
        <w:t>考勤、课堂表现、课后作业、小组讨论和分组展示共同组成。</w:t>
      </w:r>
    </w:p>
    <w:p w14:paraId="567E9285" w14:textId="77777777" w:rsidR="00C61DCA" w:rsidRDefault="00C61DCA" w:rsidP="00C61DCA">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sidRPr="00430043">
        <w:rPr>
          <w:rFonts w:hAnsi="宋体" w:hint="eastAsia"/>
          <w:kern w:val="0"/>
          <w:szCs w:val="21"/>
        </w:rPr>
        <w:t>本门课程考试方法为闭卷，主要是卷面成绩。卷面成绩为期末卷面成绩，占总成绩的</w:t>
      </w:r>
      <w:r>
        <w:rPr>
          <w:rFonts w:hAnsi="宋体" w:hint="eastAsia"/>
          <w:bCs/>
          <w:kern w:val="0"/>
          <w:szCs w:val="21"/>
        </w:rPr>
        <w:t>5</w:t>
      </w:r>
      <w:r>
        <w:rPr>
          <w:rFonts w:hAnsi="宋体"/>
          <w:bCs/>
          <w:kern w:val="0"/>
          <w:szCs w:val="21"/>
        </w:rPr>
        <w:t>0%</w:t>
      </w:r>
      <w:r>
        <w:rPr>
          <w:rFonts w:hAnsi="宋体" w:hint="eastAsia"/>
          <w:bCs/>
          <w:kern w:val="0"/>
          <w:szCs w:val="21"/>
        </w:rPr>
        <w:t>。</w:t>
      </w:r>
    </w:p>
    <w:p w14:paraId="50C7E962" w14:textId="77777777" w:rsidR="00C61DCA" w:rsidRDefault="00C61DCA" w:rsidP="00C61DCA">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sidRPr="00430043">
        <w:rPr>
          <w:rFonts w:hAnsi="宋体" w:hint="eastAsia"/>
          <w:kern w:val="0"/>
          <w:szCs w:val="21"/>
        </w:rPr>
        <w:t>过程性评价主要考核学生的学习态度、辩证思维、分析解决问题能力。终结性评价主要</w:t>
      </w:r>
      <w:r w:rsidR="00216362">
        <w:rPr>
          <w:rFonts w:hAnsi="宋体" w:hint="eastAsia"/>
          <w:kern w:val="0"/>
          <w:szCs w:val="21"/>
        </w:rPr>
        <w:t>考验</w:t>
      </w:r>
      <w:r w:rsidRPr="00430043">
        <w:rPr>
          <w:rFonts w:hAnsi="宋体" w:hint="eastAsia"/>
          <w:kern w:val="0"/>
          <w:szCs w:val="21"/>
        </w:rPr>
        <w:t>学生对本科课程知识体系的掌握。</w:t>
      </w:r>
      <w:r>
        <w:rPr>
          <w:rFonts w:hAnsi="宋体" w:hint="eastAsia"/>
          <w:kern w:val="0"/>
          <w:szCs w:val="21"/>
        </w:rPr>
        <w:t>最终成绩组成为，</w:t>
      </w:r>
      <w:r>
        <w:rPr>
          <w:rFonts w:hAnsi="宋体"/>
          <w:bCs/>
          <w:kern w:val="0"/>
          <w:szCs w:val="21"/>
        </w:rPr>
        <w:t>总成绩</w:t>
      </w:r>
      <w:r>
        <w:rPr>
          <w:rFonts w:hAnsi="宋体" w:hint="eastAsia"/>
          <w:bCs/>
          <w:kern w:val="0"/>
          <w:szCs w:val="21"/>
        </w:rPr>
        <w:t>=</w:t>
      </w:r>
      <w:r>
        <w:rPr>
          <w:rFonts w:hAnsi="宋体"/>
          <w:bCs/>
          <w:kern w:val="0"/>
          <w:szCs w:val="21"/>
        </w:rPr>
        <w:t>50%</w:t>
      </w:r>
      <w:r>
        <w:rPr>
          <w:rFonts w:hAnsi="宋体"/>
          <w:bCs/>
          <w:kern w:val="0"/>
          <w:szCs w:val="21"/>
        </w:rPr>
        <w:t>平时成绩</w:t>
      </w:r>
      <w:r>
        <w:rPr>
          <w:rFonts w:hAnsi="宋体" w:hint="eastAsia"/>
          <w:bCs/>
          <w:kern w:val="0"/>
          <w:szCs w:val="21"/>
        </w:rPr>
        <w:t>+</w:t>
      </w:r>
      <w:r>
        <w:rPr>
          <w:rFonts w:hAnsi="宋体"/>
          <w:bCs/>
          <w:kern w:val="0"/>
          <w:szCs w:val="21"/>
        </w:rPr>
        <w:t>50%</w:t>
      </w:r>
      <w:r>
        <w:rPr>
          <w:rFonts w:hAnsi="宋体"/>
          <w:bCs/>
          <w:kern w:val="0"/>
          <w:szCs w:val="21"/>
        </w:rPr>
        <w:t>期末成绩</w:t>
      </w:r>
      <w:r>
        <w:rPr>
          <w:rFonts w:hAnsi="宋体" w:hint="eastAsia"/>
          <w:bCs/>
          <w:kern w:val="0"/>
          <w:szCs w:val="21"/>
        </w:rPr>
        <w:t>。</w:t>
      </w:r>
    </w:p>
    <w:p w14:paraId="2051321D" w14:textId="77777777" w:rsidR="00F5289E" w:rsidRDefault="00C91173">
      <w:pPr>
        <w:widowControl/>
        <w:jc w:val="left"/>
        <w:rPr>
          <w:b/>
          <w:sz w:val="28"/>
          <w:szCs w:val="28"/>
        </w:rPr>
      </w:pPr>
      <w:r>
        <w:rPr>
          <w:b/>
          <w:sz w:val="28"/>
          <w:szCs w:val="28"/>
        </w:rPr>
        <w:br w:type="page"/>
      </w:r>
    </w:p>
    <w:p w14:paraId="65FC5062" w14:textId="77777777" w:rsidR="00F5289E" w:rsidRDefault="00C91173">
      <w:pPr>
        <w:pStyle w:val="1"/>
      </w:pPr>
      <w:bookmarkStart w:id="1" w:name="_Toc138606235"/>
      <w:bookmarkStart w:id="2" w:name="_Toc489359078"/>
      <w:r>
        <w:rPr>
          <w:rFonts w:hint="eastAsia"/>
        </w:rPr>
        <w:lastRenderedPageBreak/>
        <w:t>设施</w:t>
      </w:r>
      <w:r>
        <w:t>工程力学</w:t>
      </w:r>
      <w:bookmarkEnd w:id="1"/>
    </w:p>
    <w:p w14:paraId="1BA4B53E" w14:textId="77777777" w:rsidR="00F5289E" w:rsidRDefault="004156EB">
      <w:pPr>
        <w:snapToGrid w:val="0"/>
        <w:spacing w:line="360" w:lineRule="auto"/>
        <w:jc w:val="center"/>
        <w:rPr>
          <w:sz w:val="24"/>
        </w:rPr>
      </w:pPr>
      <w:r>
        <w:rPr>
          <w:rFonts w:hint="eastAsia"/>
          <w:sz w:val="24"/>
        </w:rPr>
        <w:t>（</w:t>
      </w:r>
      <w:r>
        <w:rPr>
          <w:sz w:val="24"/>
        </w:rPr>
        <w:t>Protected Engineering Mechanics</w:t>
      </w:r>
      <w:r>
        <w:rPr>
          <w:rFonts w:hint="eastAsia"/>
          <w:sz w:val="24"/>
        </w:rPr>
        <w:t>）</w:t>
      </w:r>
    </w:p>
    <w:p w14:paraId="18C9C5BF" w14:textId="77777777" w:rsidR="00F5289E" w:rsidRDefault="00F5289E">
      <w:pPr>
        <w:snapToGrid w:val="0"/>
        <w:spacing w:line="360" w:lineRule="auto"/>
        <w:jc w:val="center"/>
        <w:rPr>
          <w:b/>
          <w:szCs w:val="21"/>
        </w:rPr>
      </w:pPr>
    </w:p>
    <w:p w14:paraId="0FB3E909"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3E594D96" w14:textId="77777777">
        <w:tc>
          <w:tcPr>
            <w:tcW w:w="1666" w:type="pct"/>
          </w:tcPr>
          <w:p w14:paraId="03FFBE0A" w14:textId="77777777" w:rsidR="00F5289E" w:rsidRDefault="00C91173">
            <w:pPr>
              <w:spacing w:line="300" w:lineRule="auto"/>
              <w:rPr>
                <w:b/>
                <w:bCs/>
                <w:szCs w:val="21"/>
              </w:rPr>
            </w:pPr>
            <w:r>
              <w:rPr>
                <w:b/>
                <w:bCs/>
                <w:szCs w:val="21"/>
              </w:rPr>
              <w:t>课程编号：</w:t>
            </w:r>
            <w:r>
              <w:rPr>
                <w:bCs/>
                <w:szCs w:val="21"/>
              </w:rPr>
              <w:t>19011128</w:t>
            </w:r>
          </w:p>
        </w:tc>
        <w:tc>
          <w:tcPr>
            <w:tcW w:w="1453" w:type="pct"/>
          </w:tcPr>
          <w:p w14:paraId="052A28DA" w14:textId="77777777" w:rsidR="00F5289E" w:rsidRDefault="00C91173">
            <w:pPr>
              <w:spacing w:line="300" w:lineRule="auto"/>
              <w:rPr>
                <w:b/>
                <w:bCs/>
                <w:szCs w:val="21"/>
              </w:rPr>
            </w:pPr>
            <w:r>
              <w:rPr>
                <w:b/>
                <w:bCs/>
                <w:szCs w:val="21"/>
              </w:rPr>
              <w:t>课程总学时：</w:t>
            </w:r>
            <w:r>
              <w:rPr>
                <w:bCs/>
                <w:szCs w:val="21"/>
              </w:rPr>
              <w:t>40</w:t>
            </w:r>
          </w:p>
        </w:tc>
        <w:tc>
          <w:tcPr>
            <w:tcW w:w="1881" w:type="pct"/>
          </w:tcPr>
          <w:p w14:paraId="3D6DF4E8" w14:textId="22B7FE42" w:rsidR="00F5289E" w:rsidRDefault="00C91173">
            <w:pPr>
              <w:spacing w:line="300" w:lineRule="auto"/>
              <w:rPr>
                <w:b/>
                <w:bCs/>
                <w:szCs w:val="21"/>
              </w:rPr>
            </w:pPr>
            <w:r>
              <w:rPr>
                <w:b/>
                <w:bCs/>
                <w:szCs w:val="21"/>
              </w:rPr>
              <w:t>实验学时：</w:t>
            </w:r>
            <w:r>
              <w:rPr>
                <w:bCs/>
                <w:szCs w:val="21"/>
              </w:rPr>
              <w:t>4</w:t>
            </w:r>
          </w:p>
        </w:tc>
      </w:tr>
      <w:tr w:rsidR="00F5289E" w14:paraId="224E9175" w14:textId="77777777">
        <w:tc>
          <w:tcPr>
            <w:tcW w:w="1666" w:type="pct"/>
          </w:tcPr>
          <w:p w14:paraId="03023D27" w14:textId="77777777" w:rsidR="00F5289E" w:rsidRDefault="00C91173">
            <w:pPr>
              <w:spacing w:line="300" w:lineRule="auto"/>
              <w:rPr>
                <w:b/>
                <w:bCs/>
                <w:szCs w:val="21"/>
              </w:rPr>
            </w:pPr>
            <w:r>
              <w:rPr>
                <w:b/>
                <w:bCs/>
                <w:szCs w:val="21"/>
              </w:rPr>
              <w:t>课程性质：</w:t>
            </w:r>
            <w:r>
              <w:rPr>
                <w:bCs/>
                <w:kern w:val="0"/>
                <w:szCs w:val="21"/>
              </w:rPr>
              <w:t>必修</w:t>
            </w:r>
          </w:p>
        </w:tc>
        <w:tc>
          <w:tcPr>
            <w:tcW w:w="1453" w:type="pct"/>
          </w:tcPr>
          <w:p w14:paraId="07F0A37D" w14:textId="77777777" w:rsidR="00F5289E" w:rsidRDefault="00C91173">
            <w:pPr>
              <w:spacing w:line="300" w:lineRule="auto"/>
              <w:rPr>
                <w:b/>
                <w:bCs/>
                <w:szCs w:val="21"/>
              </w:rPr>
            </w:pPr>
            <w:r>
              <w:rPr>
                <w:b/>
                <w:szCs w:val="21"/>
              </w:rPr>
              <w:t>课程属性</w:t>
            </w:r>
            <w:r>
              <w:rPr>
                <w:rFonts w:hint="eastAsia"/>
                <w:b/>
                <w:szCs w:val="21"/>
              </w:rPr>
              <w:t>：</w:t>
            </w:r>
            <w:r>
              <w:rPr>
                <w:bCs/>
                <w:kern w:val="0"/>
                <w:szCs w:val="21"/>
              </w:rPr>
              <w:t>基础类</w:t>
            </w:r>
          </w:p>
        </w:tc>
        <w:tc>
          <w:tcPr>
            <w:tcW w:w="1881" w:type="pct"/>
          </w:tcPr>
          <w:p w14:paraId="35BCAD3B" w14:textId="77777777" w:rsidR="00F5289E" w:rsidRDefault="00C91173">
            <w:pPr>
              <w:spacing w:line="300" w:lineRule="auto"/>
              <w:rPr>
                <w:b/>
                <w:bCs/>
                <w:szCs w:val="21"/>
              </w:rPr>
            </w:pPr>
            <w:r>
              <w:rPr>
                <w:b/>
                <w:bCs/>
                <w:szCs w:val="21"/>
              </w:rPr>
              <w:t>开设学期：</w:t>
            </w:r>
            <w:r>
              <w:rPr>
                <w:bCs/>
                <w:szCs w:val="21"/>
              </w:rPr>
              <w:t>第</w:t>
            </w:r>
            <w:r>
              <w:rPr>
                <w:bCs/>
                <w:szCs w:val="21"/>
              </w:rPr>
              <w:t>3</w:t>
            </w:r>
            <w:r>
              <w:rPr>
                <w:bCs/>
                <w:szCs w:val="21"/>
              </w:rPr>
              <w:t>学期</w:t>
            </w:r>
          </w:p>
        </w:tc>
      </w:tr>
      <w:tr w:rsidR="00F5289E" w14:paraId="62156645" w14:textId="77777777">
        <w:tc>
          <w:tcPr>
            <w:tcW w:w="1666" w:type="pct"/>
          </w:tcPr>
          <w:p w14:paraId="3B2F08AD" w14:textId="77777777" w:rsidR="00F5289E" w:rsidRDefault="00C91173">
            <w:pPr>
              <w:spacing w:line="300" w:lineRule="auto"/>
              <w:rPr>
                <w:b/>
                <w:bCs/>
                <w:szCs w:val="21"/>
              </w:rPr>
            </w:pPr>
            <w:r>
              <w:rPr>
                <w:b/>
                <w:bCs/>
                <w:szCs w:val="21"/>
              </w:rPr>
              <w:t>课程负责人：</w:t>
            </w:r>
            <w:r>
              <w:rPr>
                <w:bCs/>
                <w:szCs w:val="21"/>
              </w:rPr>
              <w:t>杜清洁</w:t>
            </w:r>
          </w:p>
        </w:tc>
        <w:tc>
          <w:tcPr>
            <w:tcW w:w="1453" w:type="pct"/>
          </w:tcPr>
          <w:p w14:paraId="166CA027" w14:textId="77777777" w:rsidR="00F5289E" w:rsidRDefault="00C91173">
            <w:pPr>
              <w:spacing w:line="300" w:lineRule="auto"/>
              <w:rPr>
                <w:b/>
                <w:bCs/>
                <w:szCs w:val="21"/>
              </w:rPr>
            </w:pPr>
            <w:r>
              <w:rPr>
                <w:b/>
                <w:bCs/>
                <w:szCs w:val="21"/>
              </w:rPr>
              <w:t>课程团队：</w:t>
            </w:r>
            <w:r>
              <w:rPr>
                <w:rFonts w:hint="eastAsia"/>
                <w:szCs w:val="21"/>
              </w:rPr>
              <w:t>杜清洁</w:t>
            </w:r>
            <w:r>
              <w:rPr>
                <w:bCs/>
                <w:kern w:val="0"/>
                <w:szCs w:val="21"/>
              </w:rPr>
              <w:t>、董晓星</w:t>
            </w:r>
          </w:p>
        </w:tc>
        <w:tc>
          <w:tcPr>
            <w:tcW w:w="1881" w:type="pct"/>
          </w:tcPr>
          <w:p w14:paraId="6048C0B2" w14:textId="77777777" w:rsidR="00F5289E" w:rsidRDefault="00C91173">
            <w:pPr>
              <w:spacing w:line="300" w:lineRule="auto"/>
              <w:rPr>
                <w:b/>
                <w:bCs/>
                <w:szCs w:val="21"/>
              </w:rPr>
            </w:pPr>
            <w:r>
              <w:rPr>
                <w:b/>
                <w:bCs/>
                <w:szCs w:val="21"/>
              </w:rPr>
              <w:t>授课语言：</w:t>
            </w:r>
            <w:r>
              <w:rPr>
                <w:bCs/>
                <w:szCs w:val="21"/>
              </w:rPr>
              <w:t>中文</w:t>
            </w:r>
          </w:p>
        </w:tc>
      </w:tr>
      <w:tr w:rsidR="00F5289E" w14:paraId="517486CD" w14:textId="77777777">
        <w:tc>
          <w:tcPr>
            <w:tcW w:w="5000" w:type="pct"/>
            <w:gridSpan w:val="3"/>
          </w:tcPr>
          <w:p w14:paraId="6A015DB3" w14:textId="77777777" w:rsidR="00F5289E" w:rsidRDefault="00C91173">
            <w:pPr>
              <w:spacing w:line="300" w:lineRule="auto"/>
              <w:ind w:rightChars="-81" w:right="-170"/>
              <w:rPr>
                <w:bCs/>
                <w:szCs w:val="21"/>
              </w:rPr>
            </w:pPr>
            <w:r>
              <w:rPr>
                <w:b/>
                <w:bCs/>
                <w:szCs w:val="21"/>
              </w:rPr>
              <w:t>适用专业：</w:t>
            </w:r>
            <w:r>
              <w:rPr>
                <w:bCs/>
                <w:szCs w:val="21"/>
              </w:rPr>
              <w:t>设施农业科学与工程</w:t>
            </w:r>
            <w:r>
              <w:rPr>
                <w:rFonts w:hint="eastAsia"/>
                <w:bCs/>
                <w:szCs w:val="21"/>
              </w:rPr>
              <w:t>；核心</w:t>
            </w:r>
          </w:p>
        </w:tc>
      </w:tr>
      <w:tr w:rsidR="00F5289E" w14:paraId="66157977" w14:textId="77777777">
        <w:tc>
          <w:tcPr>
            <w:tcW w:w="5000" w:type="pct"/>
            <w:gridSpan w:val="3"/>
          </w:tcPr>
          <w:p w14:paraId="7E643A17" w14:textId="77777777" w:rsidR="00F5289E" w:rsidRDefault="00C91173">
            <w:pPr>
              <w:spacing w:line="300" w:lineRule="auto"/>
              <w:rPr>
                <w:b/>
                <w:bCs/>
                <w:szCs w:val="21"/>
              </w:rPr>
            </w:pPr>
            <w:r>
              <w:rPr>
                <w:b/>
                <w:bCs/>
                <w:szCs w:val="21"/>
              </w:rPr>
              <w:t>对先修的要求：</w:t>
            </w:r>
            <w:r>
              <w:rPr>
                <w:bCs/>
                <w:szCs w:val="21"/>
              </w:rPr>
              <w:t>高等数学</w:t>
            </w:r>
          </w:p>
        </w:tc>
      </w:tr>
      <w:tr w:rsidR="00F5289E" w14:paraId="5095DC34" w14:textId="77777777">
        <w:tc>
          <w:tcPr>
            <w:tcW w:w="5000" w:type="pct"/>
            <w:gridSpan w:val="3"/>
          </w:tcPr>
          <w:p w14:paraId="60E1C6D6" w14:textId="77777777" w:rsidR="00F5289E" w:rsidRDefault="00C91173">
            <w:pPr>
              <w:spacing w:line="300" w:lineRule="auto"/>
              <w:rPr>
                <w:b/>
                <w:bCs/>
                <w:szCs w:val="21"/>
              </w:rPr>
            </w:pPr>
            <w:r>
              <w:rPr>
                <w:b/>
                <w:bCs/>
                <w:szCs w:val="21"/>
              </w:rPr>
              <w:t>对后续的支撑：</w:t>
            </w:r>
            <w:r>
              <w:rPr>
                <w:bCs/>
                <w:szCs w:val="21"/>
              </w:rPr>
              <w:t>农业设施工程学、设施环境与调控、设施装备与智能化</w:t>
            </w:r>
          </w:p>
        </w:tc>
      </w:tr>
      <w:tr w:rsidR="00F5289E" w14:paraId="12535643" w14:textId="77777777">
        <w:tc>
          <w:tcPr>
            <w:tcW w:w="1666" w:type="pct"/>
          </w:tcPr>
          <w:p w14:paraId="202D9647" w14:textId="77777777" w:rsidR="00F5289E" w:rsidRDefault="00C91173">
            <w:pPr>
              <w:spacing w:line="300" w:lineRule="auto"/>
              <w:rPr>
                <w:b/>
                <w:bCs/>
                <w:szCs w:val="21"/>
              </w:rPr>
            </w:pPr>
            <w:r>
              <w:rPr>
                <w:b/>
                <w:bCs/>
                <w:szCs w:val="21"/>
              </w:rPr>
              <w:t>主撰人：</w:t>
            </w:r>
            <w:r>
              <w:rPr>
                <w:rFonts w:hint="eastAsia"/>
                <w:szCs w:val="21"/>
              </w:rPr>
              <w:t>杜清洁</w:t>
            </w:r>
          </w:p>
        </w:tc>
        <w:tc>
          <w:tcPr>
            <w:tcW w:w="1453" w:type="pct"/>
          </w:tcPr>
          <w:p w14:paraId="0FEADE0A" w14:textId="77777777" w:rsidR="00F5289E" w:rsidRDefault="00C91173">
            <w:pPr>
              <w:spacing w:line="300" w:lineRule="auto"/>
              <w:rPr>
                <w:b/>
                <w:bCs/>
                <w:szCs w:val="21"/>
              </w:rPr>
            </w:pPr>
            <w:r>
              <w:rPr>
                <w:b/>
                <w:bCs/>
                <w:szCs w:val="21"/>
              </w:rPr>
              <w:t>审核人：</w:t>
            </w:r>
            <w:r>
              <w:rPr>
                <w:rFonts w:hint="eastAsia"/>
                <w:szCs w:val="21"/>
              </w:rPr>
              <w:t>董晓星</w:t>
            </w:r>
          </w:p>
        </w:tc>
        <w:tc>
          <w:tcPr>
            <w:tcW w:w="1881" w:type="pct"/>
          </w:tcPr>
          <w:p w14:paraId="4054DA9C" w14:textId="77777777" w:rsidR="00F5289E" w:rsidRDefault="00C91173">
            <w:pPr>
              <w:spacing w:line="300" w:lineRule="auto"/>
              <w:rPr>
                <w:b/>
                <w:bCs/>
                <w:szCs w:val="21"/>
              </w:rPr>
            </w:pPr>
            <w:r>
              <w:rPr>
                <w:b/>
                <w:bCs/>
                <w:szCs w:val="21"/>
              </w:rPr>
              <w:t>大纲制定（修订）日期：</w:t>
            </w:r>
            <w:r>
              <w:rPr>
                <w:rFonts w:hint="eastAsia"/>
                <w:szCs w:val="21"/>
              </w:rPr>
              <w:t>2</w:t>
            </w:r>
            <w:r>
              <w:rPr>
                <w:szCs w:val="21"/>
              </w:rPr>
              <w:t>023.0</w:t>
            </w:r>
            <w:r w:rsidR="004156EB">
              <w:rPr>
                <w:szCs w:val="21"/>
              </w:rPr>
              <w:t>5</w:t>
            </w:r>
          </w:p>
        </w:tc>
      </w:tr>
    </w:tbl>
    <w:p w14:paraId="2220F5AC" w14:textId="77777777" w:rsidR="00F5289E" w:rsidRDefault="00F5289E">
      <w:pPr>
        <w:widowControl/>
        <w:snapToGrid w:val="0"/>
        <w:spacing w:line="360" w:lineRule="auto"/>
        <w:jc w:val="left"/>
        <w:rPr>
          <w:b/>
          <w:bCs/>
          <w:kern w:val="0"/>
          <w:szCs w:val="21"/>
        </w:rPr>
      </w:pPr>
    </w:p>
    <w:p w14:paraId="657D9D33"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1F04A5F0" w14:textId="77777777" w:rsidR="00F5289E" w:rsidRDefault="00C91173">
      <w:pPr>
        <w:widowControl/>
        <w:snapToGrid w:val="0"/>
        <w:spacing w:line="360" w:lineRule="auto"/>
        <w:ind w:firstLineChars="200" w:firstLine="420"/>
        <w:jc w:val="left"/>
        <w:rPr>
          <w:kern w:val="0"/>
          <w:szCs w:val="21"/>
        </w:rPr>
      </w:pPr>
      <w:r>
        <w:rPr>
          <w:kern w:val="0"/>
          <w:szCs w:val="21"/>
        </w:rPr>
        <w:t>设施工程力学是是设施农业科学与工程专业的一门专业基础课，在培养学生进行园艺设施设计与建造方面占有重要的地位。本课程主要包括包括理论力学和材料力学两部分。理解静力学的基本概念，培养学生具有一般结构受力分析的基本能力；掌握平面一般力系的简化和平衡方程的求解。对材料力学的概念有明确的认识；能够计算杆件在荷载作用下的内力，并做相应的内力图；掌握基本杆件的强度、刚度的基本概念和基本计算能力。最终，培养学生能利用工程力学的基本概念判断分析结果正确与否的能力，使学生具备综合应用所学力学知识分析、解决园艺设施中力学相关问题的素质，并为后续课程的学习奠定坚实的基础。</w:t>
      </w:r>
    </w:p>
    <w:p w14:paraId="105EBE0F" w14:textId="77777777" w:rsidR="00F5289E" w:rsidRDefault="00C91173">
      <w:pPr>
        <w:widowControl/>
        <w:snapToGrid w:val="0"/>
        <w:spacing w:line="360" w:lineRule="auto"/>
        <w:jc w:val="left"/>
        <w:rPr>
          <w:kern w:val="0"/>
          <w:szCs w:val="21"/>
        </w:rPr>
      </w:pPr>
      <w:r>
        <w:rPr>
          <w:b/>
          <w:bCs/>
          <w:kern w:val="0"/>
          <w:szCs w:val="21"/>
        </w:rPr>
        <w:t>二、课程教学的基本要求</w:t>
      </w:r>
    </w:p>
    <w:p w14:paraId="1DADFF12" w14:textId="77777777" w:rsidR="00F5289E" w:rsidRDefault="00C91173">
      <w:pPr>
        <w:widowControl/>
        <w:snapToGrid w:val="0"/>
        <w:spacing w:line="360" w:lineRule="auto"/>
        <w:ind w:firstLineChars="200" w:firstLine="420"/>
        <w:rPr>
          <w:kern w:val="0"/>
          <w:szCs w:val="21"/>
        </w:rPr>
      </w:pPr>
      <w:r>
        <w:rPr>
          <w:kern w:val="0"/>
          <w:szCs w:val="21"/>
        </w:rPr>
        <w:t xml:space="preserve">1. </w:t>
      </w:r>
      <w:r>
        <w:rPr>
          <w:kern w:val="0"/>
          <w:szCs w:val="21"/>
        </w:rPr>
        <w:t>理论知识方面：对设施工程力学中的基本概念有明确的认识；掌握平衡物体的受力分析及受力图的画法，静力学的基本概念和公理。掌握基本力系，汇交力系合成与平衡的解析法；了解力矩的概念和合力矩定理；掌握力偶的概念、性质、力偶系的合成与平衡；了解常用园艺设施中材料的性能；结构的强度、刚度、稳定设计，组合变形研究思路。</w:t>
      </w:r>
    </w:p>
    <w:p w14:paraId="371F232A" w14:textId="77777777" w:rsidR="00F5289E" w:rsidRDefault="00C91173">
      <w:pPr>
        <w:widowControl/>
        <w:snapToGrid w:val="0"/>
        <w:spacing w:line="360" w:lineRule="auto"/>
        <w:ind w:firstLineChars="200" w:firstLine="420"/>
        <w:jc w:val="left"/>
        <w:rPr>
          <w:kern w:val="0"/>
          <w:szCs w:val="21"/>
        </w:rPr>
      </w:pPr>
      <w:r>
        <w:rPr>
          <w:kern w:val="0"/>
          <w:szCs w:val="21"/>
        </w:rPr>
        <w:t xml:space="preserve">2. </w:t>
      </w:r>
      <w:r>
        <w:rPr>
          <w:kern w:val="0"/>
          <w:szCs w:val="21"/>
        </w:rPr>
        <w:t>实验技能方面：掌握工程力学相关计算机软件的使用方法，能够建立任意体系的计算模型并做几何组成分析，具备运用相关软件开展设施结构力学分析和计算的能力。</w:t>
      </w:r>
    </w:p>
    <w:p w14:paraId="4094E2FE" w14:textId="77777777" w:rsidR="00F5289E" w:rsidRDefault="00C91173">
      <w:pPr>
        <w:widowControl/>
        <w:snapToGrid w:val="0"/>
        <w:spacing w:line="360" w:lineRule="auto"/>
        <w:jc w:val="left"/>
        <w:rPr>
          <w:b/>
          <w:bCs/>
          <w:kern w:val="0"/>
          <w:szCs w:val="21"/>
        </w:rPr>
      </w:pPr>
      <w:r>
        <w:rPr>
          <w:b/>
          <w:bCs/>
          <w:kern w:val="0"/>
          <w:szCs w:val="21"/>
        </w:rPr>
        <w:t>三、课程的教学设计</w:t>
      </w:r>
    </w:p>
    <w:p w14:paraId="2AD4F0DC" w14:textId="77777777" w:rsidR="00F5289E" w:rsidRDefault="00C91173">
      <w:pPr>
        <w:snapToGrid w:val="0"/>
        <w:spacing w:line="360" w:lineRule="auto"/>
        <w:ind w:firstLineChars="200" w:firstLine="420"/>
        <w:rPr>
          <w:bCs/>
          <w:kern w:val="0"/>
          <w:szCs w:val="21"/>
        </w:rPr>
      </w:pPr>
      <w:r>
        <w:rPr>
          <w:bCs/>
          <w:kern w:val="0"/>
          <w:szCs w:val="21"/>
        </w:rPr>
        <w:t xml:space="preserve">1. </w:t>
      </w:r>
      <w:r>
        <w:rPr>
          <w:bCs/>
          <w:kern w:val="0"/>
          <w:szCs w:val="21"/>
        </w:rPr>
        <w:t>教学设计说明</w:t>
      </w:r>
    </w:p>
    <w:p w14:paraId="4628DF72" w14:textId="77777777" w:rsidR="00F5289E" w:rsidRDefault="00C91173">
      <w:pPr>
        <w:snapToGrid w:val="0"/>
        <w:spacing w:line="360" w:lineRule="auto"/>
        <w:ind w:firstLineChars="200" w:firstLine="420"/>
        <w:rPr>
          <w:bCs/>
          <w:kern w:val="0"/>
          <w:szCs w:val="21"/>
        </w:rPr>
      </w:pPr>
      <w:r>
        <w:rPr>
          <w:bCs/>
          <w:kern w:val="0"/>
          <w:szCs w:val="21"/>
        </w:rPr>
        <w:t>培养学生的空间想象能力是本课程的核心任务。根据本课程特点，利用多媒体与板书结合，可使形体视频化、动态化；并结合分析、启发式教学，采用适度强化、逐渐推进的教学方式。在授课过程中，启用立体几何知识、形象知识库及已学过的知识点。并开展实现课下互动等，形成全方位的立化教学手段提升学生学习兴趣。</w:t>
      </w:r>
    </w:p>
    <w:p w14:paraId="2910E2BF" w14:textId="77777777" w:rsidR="00F5289E" w:rsidRDefault="00C91173">
      <w:pPr>
        <w:snapToGrid w:val="0"/>
        <w:spacing w:line="360" w:lineRule="auto"/>
        <w:ind w:firstLineChars="200" w:firstLine="420"/>
        <w:rPr>
          <w:bCs/>
          <w:color w:val="0000FF"/>
          <w:kern w:val="0"/>
          <w:szCs w:val="21"/>
        </w:rPr>
      </w:pPr>
      <w:r>
        <w:rPr>
          <w:bCs/>
          <w:kern w:val="0"/>
          <w:szCs w:val="21"/>
        </w:rPr>
        <w:t xml:space="preserve">2. </w:t>
      </w:r>
      <w:r>
        <w:rPr>
          <w:bCs/>
          <w:kern w:val="0"/>
          <w:szCs w:val="21"/>
        </w:rPr>
        <w:t>课程目标及对毕业要求的支撑</w:t>
      </w:r>
    </w:p>
    <w:tbl>
      <w:tblPr>
        <w:tblStyle w:val="af6"/>
        <w:tblW w:w="8997" w:type="dxa"/>
        <w:jc w:val="center"/>
        <w:tblLook w:val="04A0" w:firstRow="1" w:lastRow="0" w:firstColumn="1" w:lastColumn="0" w:noHBand="0" w:noVBand="1"/>
      </w:tblPr>
      <w:tblGrid>
        <w:gridCol w:w="1009"/>
        <w:gridCol w:w="6925"/>
        <w:gridCol w:w="1063"/>
      </w:tblGrid>
      <w:tr w:rsidR="00F5289E" w14:paraId="1D341776" w14:textId="77777777">
        <w:trPr>
          <w:trHeight w:val="347"/>
          <w:jc w:val="center"/>
        </w:trPr>
        <w:tc>
          <w:tcPr>
            <w:tcW w:w="10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7D7740F" w14:textId="77777777" w:rsidR="00F5289E" w:rsidRDefault="00C91173">
            <w:pPr>
              <w:snapToGrid w:val="0"/>
              <w:jc w:val="center"/>
              <w:rPr>
                <w:b/>
                <w:bCs/>
                <w:sz w:val="18"/>
                <w:szCs w:val="18"/>
              </w:rPr>
            </w:pPr>
            <w:r>
              <w:rPr>
                <w:b/>
                <w:bCs/>
                <w:sz w:val="18"/>
                <w:szCs w:val="18"/>
              </w:rPr>
              <w:lastRenderedPageBreak/>
              <w:t>序号</w:t>
            </w:r>
          </w:p>
        </w:tc>
        <w:tc>
          <w:tcPr>
            <w:tcW w:w="69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8C1F8A" w14:textId="77777777" w:rsidR="00F5289E" w:rsidRDefault="00C91173">
            <w:pPr>
              <w:snapToGrid w:val="0"/>
              <w:jc w:val="center"/>
              <w:rPr>
                <w:b/>
                <w:bCs/>
                <w:sz w:val="18"/>
                <w:szCs w:val="18"/>
              </w:rPr>
            </w:pPr>
            <w:r>
              <w:rPr>
                <w:b/>
                <w:bCs/>
                <w:sz w:val="18"/>
                <w:szCs w:val="18"/>
              </w:rPr>
              <w:t>课程目标</w:t>
            </w:r>
          </w:p>
        </w:tc>
        <w:tc>
          <w:tcPr>
            <w:tcW w:w="106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DA2E4E5" w14:textId="77777777" w:rsidR="00F5289E" w:rsidRDefault="00C91173">
            <w:pPr>
              <w:snapToGrid w:val="0"/>
              <w:jc w:val="center"/>
              <w:rPr>
                <w:b/>
                <w:bCs/>
                <w:sz w:val="18"/>
                <w:szCs w:val="18"/>
              </w:rPr>
            </w:pPr>
            <w:r>
              <w:rPr>
                <w:b/>
                <w:bCs/>
                <w:sz w:val="18"/>
                <w:szCs w:val="18"/>
              </w:rPr>
              <w:t>毕业要求</w:t>
            </w:r>
          </w:p>
        </w:tc>
      </w:tr>
      <w:tr w:rsidR="00F5289E" w14:paraId="2918655D" w14:textId="77777777">
        <w:trPr>
          <w:trHeight w:val="831"/>
          <w:jc w:val="center"/>
        </w:trPr>
        <w:tc>
          <w:tcPr>
            <w:tcW w:w="1009" w:type="dxa"/>
            <w:tcBorders>
              <w:top w:val="single" w:sz="4" w:space="0" w:color="auto"/>
              <w:left w:val="single" w:sz="4" w:space="0" w:color="auto"/>
              <w:bottom w:val="single" w:sz="4" w:space="0" w:color="auto"/>
              <w:right w:val="single" w:sz="4" w:space="0" w:color="auto"/>
            </w:tcBorders>
            <w:vAlign w:val="center"/>
          </w:tcPr>
          <w:p w14:paraId="7274BD7D" w14:textId="77777777" w:rsidR="00F5289E" w:rsidRDefault="00C91173">
            <w:pPr>
              <w:snapToGrid w:val="0"/>
              <w:jc w:val="center"/>
              <w:rPr>
                <w:rFonts w:eastAsiaTheme="minorEastAsia"/>
                <w:sz w:val="18"/>
                <w:szCs w:val="18"/>
              </w:rPr>
            </w:pPr>
            <w:r>
              <w:rPr>
                <w:rFonts w:eastAsiaTheme="minorEastAsia"/>
                <w:sz w:val="18"/>
                <w:szCs w:val="18"/>
              </w:rPr>
              <w:t>1</w:t>
            </w:r>
          </w:p>
        </w:tc>
        <w:tc>
          <w:tcPr>
            <w:tcW w:w="6925" w:type="dxa"/>
            <w:tcBorders>
              <w:top w:val="single" w:sz="4" w:space="0" w:color="auto"/>
              <w:left w:val="single" w:sz="4" w:space="0" w:color="auto"/>
              <w:bottom w:val="single" w:sz="4" w:space="0" w:color="auto"/>
              <w:right w:val="single" w:sz="4" w:space="0" w:color="auto"/>
            </w:tcBorders>
            <w:vAlign w:val="center"/>
          </w:tcPr>
          <w:p w14:paraId="03966A63" w14:textId="77777777" w:rsidR="00F5289E" w:rsidRDefault="00C91173">
            <w:pPr>
              <w:snapToGrid w:val="0"/>
              <w:jc w:val="left"/>
              <w:rPr>
                <w:rFonts w:eastAsiaTheme="minorEastAsia"/>
                <w:sz w:val="18"/>
                <w:szCs w:val="18"/>
              </w:rPr>
            </w:pPr>
            <w:r>
              <w:rPr>
                <w:bCs/>
                <w:sz w:val="18"/>
                <w:szCs w:val="18"/>
              </w:rPr>
              <w:t>掌握杆件应力变形分析、强度及刚度分析方法，具备杆件位移分析及强度刚度设计的能力。</w:t>
            </w:r>
          </w:p>
        </w:tc>
        <w:tc>
          <w:tcPr>
            <w:tcW w:w="1063" w:type="dxa"/>
            <w:tcBorders>
              <w:top w:val="single" w:sz="4" w:space="0" w:color="auto"/>
              <w:left w:val="single" w:sz="4" w:space="0" w:color="auto"/>
              <w:bottom w:val="single" w:sz="4" w:space="0" w:color="auto"/>
              <w:right w:val="single" w:sz="4" w:space="0" w:color="auto"/>
            </w:tcBorders>
            <w:vAlign w:val="center"/>
          </w:tcPr>
          <w:p w14:paraId="3C7C02C0" w14:textId="77777777" w:rsidR="00F5289E" w:rsidRDefault="00C91173">
            <w:pPr>
              <w:snapToGrid w:val="0"/>
              <w:jc w:val="center"/>
              <w:rPr>
                <w:rFonts w:eastAsiaTheme="minorEastAsia"/>
                <w:sz w:val="18"/>
                <w:szCs w:val="18"/>
              </w:rPr>
            </w:pPr>
            <w:r>
              <w:rPr>
                <w:rFonts w:eastAsiaTheme="minorEastAsia"/>
                <w:sz w:val="18"/>
                <w:szCs w:val="18"/>
              </w:rPr>
              <w:t>3</w:t>
            </w:r>
          </w:p>
          <w:p w14:paraId="7C824EB9" w14:textId="77777777" w:rsidR="00F5289E" w:rsidRDefault="00C91173">
            <w:pPr>
              <w:snapToGrid w:val="0"/>
              <w:jc w:val="center"/>
              <w:rPr>
                <w:rFonts w:eastAsiaTheme="minorEastAsia"/>
                <w:sz w:val="18"/>
                <w:szCs w:val="18"/>
              </w:rPr>
            </w:pPr>
            <w:r>
              <w:rPr>
                <w:rFonts w:eastAsiaTheme="minorEastAsia"/>
                <w:sz w:val="18"/>
                <w:szCs w:val="18"/>
              </w:rPr>
              <w:t>4</w:t>
            </w:r>
          </w:p>
          <w:p w14:paraId="2E12FA48" w14:textId="77777777" w:rsidR="00F5289E" w:rsidRDefault="00C91173">
            <w:pPr>
              <w:snapToGrid w:val="0"/>
              <w:jc w:val="center"/>
              <w:rPr>
                <w:rFonts w:eastAsiaTheme="minorEastAsia"/>
                <w:sz w:val="18"/>
                <w:szCs w:val="18"/>
              </w:rPr>
            </w:pPr>
            <w:r>
              <w:rPr>
                <w:rFonts w:eastAsiaTheme="minorEastAsia"/>
                <w:sz w:val="18"/>
                <w:szCs w:val="18"/>
              </w:rPr>
              <w:t>5</w:t>
            </w:r>
          </w:p>
        </w:tc>
      </w:tr>
      <w:tr w:rsidR="00F5289E" w14:paraId="54921BDC" w14:textId="77777777">
        <w:trPr>
          <w:trHeight w:val="831"/>
          <w:jc w:val="center"/>
        </w:trPr>
        <w:tc>
          <w:tcPr>
            <w:tcW w:w="1009" w:type="dxa"/>
            <w:tcBorders>
              <w:top w:val="single" w:sz="4" w:space="0" w:color="auto"/>
              <w:left w:val="single" w:sz="4" w:space="0" w:color="auto"/>
              <w:bottom w:val="single" w:sz="4" w:space="0" w:color="auto"/>
              <w:right w:val="single" w:sz="4" w:space="0" w:color="auto"/>
            </w:tcBorders>
            <w:vAlign w:val="center"/>
          </w:tcPr>
          <w:p w14:paraId="27F56605" w14:textId="77777777" w:rsidR="00F5289E" w:rsidRDefault="00C91173">
            <w:pPr>
              <w:snapToGrid w:val="0"/>
              <w:jc w:val="center"/>
              <w:rPr>
                <w:rFonts w:eastAsiaTheme="minorEastAsia"/>
                <w:sz w:val="18"/>
                <w:szCs w:val="18"/>
              </w:rPr>
            </w:pPr>
            <w:r>
              <w:rPr>
                <w:rFonts w:eastAsiaTheme="minorEastAsia"/>
                <w:sz w:val="18"/>
                <w:szCs w:val="18"/>
              </w:rPr>
              <w:t>2</w:t>
            </w:r>
          </w:p>
        </w:tc>
        <w:tc>
          <w:tcPr>
            <w:tcW w:w="6925" w:type="dxa"/>
            <w:tcBorders>
              <w:top w:val="single" w:sz="4" w:space="0" w:color="auto"/>
              <w:left w:val="single" w:sz="4" w:space="0" w:color="auto"/>
              <w:bottom w:val="single" w:sz="4" w:space="0" w:color="auto"/>
              <w:right w:val="single" w:sz="4" w:space="0" w:color="auto"/>
            </w:tcBorders>
            <w:vAlign w:val="center"/>
          </w:tcPr>
          <w:p w14:paraId="0C57A15D" w14:textId="77777777" w:rsidR="00F5289E" w:rsidRDefault="00C91173">
            <w:pPr>
              <w:snapToGrid w:val="0"/>
              <w:jc w:val="left"/>
              <w:rPr>
                <w:rFonts w:eastAsiaTheme="minorEastAsia"/>
                <w:sz w:val="18"/>
                <w:szCs w:val="18"/>
                <w:highlight w:val="yellow"/>
              </w:rPr>
            </w:pPr>
            <w:r>
              <w:rPr>
                <w:rFonts w:eastAsiaTheme="minorEastAsia"/>
                <w:sz w:val="18"/>
                <w:szCs w:val="18"/>
              </w:rPr>
              <w:t>深刻理解力、力矩、平衡、约束、约束力、力系等基本概念，掌握受力分析及力系简化的方法。</w:t>
            </w:r>
          </w:p>
        </w:tc>
        <w:tc>
          <w:tcPr>
            <w:tcW w:w="1063" w:type="dxa"/>
            <w:tcBorders>
              <w:top w:val="single" w:sz="4" w:space="0" w:color="auto"/>
              <w:left w:val="single" w:sz="4" w:space="0" w:color="auto"/>
              <w:bottom w:val="single" w:sz="4" w:space="0" w:color="auto"/>
              <w:right w:val="single" w:sz="4" w:space="0" w:color="auto"/>
            </w:tcBorders>
            <w:vAlign w:val="center"/>
          </w:tcPr>
          <w:p w14:paraId="18D63492" w14:textId="77777777" w:rsidR="00F5289E" w:rsidRDefault="00C91173">
            <w:pPr>
              <w:snapToGrid w:val="0"/>
              <w:jc w:val="center"/>
              <w:rPr>
                <w:rFonts w:eastAsiaTheme="minorEastAsia"/>
                <w:sz w:val="18"/>
                <w:szCs w:val="18"/>
              </w:rPr>
            </w:pPr>
            <w:r>
              <w:rPr>
                <w:rFonts w:eastAsiaTheme="minorEastAsia"/>
                <w:sz w:val="18"/>
                <w:szCs w:val="18"/>
              </w:rPr>
              <w:t>3</w:t>
            </w:r>
          </w:p>
          <w:p w14:paraId="6CAB78F6" w14:textId="77777777" w:rsidR="00F5289E" w:rsidRDefault="00C91173">
            <w:pPr>
              <w:snapToGrid w:val="0"/>
              <w:jc w:val="center"/>
              <w:rPr>
                <w:rFonts w:eastAsiaTheme="minorEastAsia"/>
                <w:sz w:val="18"/>
                <w:szCs w:val="18"/>
              </w:rPr>
            </w:pPr>
            <w:r>
              <w:rPr>
                <w:rFonts w:eastAsiaTheme="minorEastAsia"/>
                <w:sz w:val="18"/>
                <w:szCs w:val="18"/>
              </w:rPr>
              <w:t>4</w:t>
            </w:r>
          </w:p>
          <w:p w14:paraId="094C70DA" w14:textId="77777777" w:rsidR="00F5289E" w:rsidRDefault="00C91173">
            <w:pPr>
              <w:snapToGrid w:val="0"/>
              <w:jc w:val="center"/>
              <w:rPr>
                <w:rFonts w:eastAsiaTheme="minorEastAsia"/>
                <w:sz w:val="18"/>
                <w:szCs w:val="18"/>
              </w:rPr>
            </w:pPr>
            <w:r>
              <w:rPr>
                <w:rFonts w:eastAsiaTheme="minorEastAsia"/>
                <w:sz w:val="18"/>
                <w:szCs w:val="18"/>
              </w:rPr>
              <w:t>5</w:t>
            </w:r>
          </w:p>
        </w:tc>
      </w:tr>
      <w:tr w:rsidR="00F5289E" w14:paraId="67A2523A" w14:textId="77777777">
        <w:trPr>
          <w:trHeight w:val="831"/>
          <w:jc w:val="center"/>
        </w:trPr>
        <w:tc>
          <w:tcPr>
            <w:tcW w:w="1009" w:type="dxa"/>
            <w:tcBorders>
              <w:top w:val="single" w:sz="4" w:space="0" w:color="auto"/>
              <w:left w:val="single" w:sz="4" w:space="0" w:color="auto"/>
              <w:bottom w:val="single" w:sz="4" w:space="0" w:color="auto"/>
              <w:right w:val="single" w:sz="4" w:space="0" w:color="auto"/>
            </w:tcBorders>
            <w:vAlign w:val="center"/>
          </w:tcPr>
          <w:p w14:paraId="04439766" w14:textId="77777777" w:rsidR="00F5289E" w:rsidRDefault="00C91173">
            <w:pPr>
              <w:snapToGrid w:val="0"/>
              <w:jc w:val="center"/>
              <w:rPr>
                <w:rFonts w:eastAsiaTheme="minorEastAsia"/>
                <w:sz w:val="18"/>
                <w:szCs w:val="18"/>
              </w:rPr>
            </w:pPr>
            <w:r>
              <w:rPr>
                <w:rFonts w:eastAsiaTheme="minorEastAsia"/>
                <w:sz w:val="18"/>
                <w:szCs w:val="18"/>
              </w:rPr>
              <w:t>3</w:t>
            </w:r>
          </w:p>
        </w:tc>
        <w:tc>
          <w:tcPr>
            <w:tcW w:w="6925" w:type="dxa"/>
            <w:tcBorders>
              <w:top w:val="single" w:sz="4" w:space="0" w:color="auto"/>
              <w:left w:val="single" w:sz="4" w:space="0" w:color="auto"/>
              <w:bottom w:val="single" w:sz="4" w:space="0" w:color="auto"/>
              <w:right w:val="single" w:sz="4" w:space="0" w:color="auto"/>
            </w:tcBorders>
            <w:vAlign w:val="center"/>
          </w:tcPr>
          <w:p w14:paraId="3013DAAE" w14:textId="77777777" w:rsidR="00F5289E" w:rsidRDefault="00C91173">
            <w:pPr>
              <w:snapToGrid w:val="0"/>
              <w:jc w:val="left"/>
              <w:rPr>
                <w:rFonts w:eastAsiaTheme="minorEastAsia"/>
                <w:sz w:val="18"/>
                <w:szCs w:val="18"/>
              </w:rPr>
            </w:pPr>
            <w:r>
              <w:rPr>
                <w:rFonts w:eastAsiaTheme="minorEastAsia"/>
                <w:sz w:val="18"/>
                <w:szCs w:val="18"/>
              </w:rPr>
              <w:t>理解材料力学的基本概念，培养学生进行杆件内力分析的能力，具备查阅应用相关国家标准，进行杆件安全校核的能力。</w:t>
            </w:r>
          </w:p>
        </w:tc>
        <w:tc>
          <w:tcPr>
            <w:tcW w:w="1063" w:type="dxa"/>
            <w:tcBorders>
              <w:top w:val="single" w:sz="4" w:space="0" w:color="auto"/>
              <w:left w:val="single" w:sz="4" w:space="0" w:color="auto"/>
              <w:bottom w:val="single" w:sz="4" w:space="0" w:color="auto"/>
              <w:right w:val="single" w:sz="4" w:space="0" w:color="auto"/>
            </w:tcBorders>
            <w:vAlign w:val="center"/>
          </w:tcPr>
          <w:p w14:paraId="04B908A6" w14:textId="77777777" w:rsidR="00F5289E" w:rsidRDefault="00C91173">
            <w:pPr>
              <w:snapToGrid w:val="0"/>
              <w:jc w:val="center"/>
              <w:rPr>
                <w:rFonts w:eastAsiaTheme="minorEastAsia"/>
                <w:sz w:val="18"/>
                <w:szCs w:val="18"/>
              </w:rPr>
            </w:pPr>
            <w:r>
              <w:rPr>
                <w:rFonts w:eastAsiaTheme="minorEastAsia"/>
                <w:sz w:val="18"/>
                <w:szCs w:val="18"/>
              </w:rPr>
              <w:t>3</w:t>
            </w:r>
          </w:p>
          <w:p w14:paraId="498D8E10" w14:textId="77777777" w:rsidR="00F5289E" w:rsidRDefault="00C91173">
            <w:pPr>
              <w:snapToGrid w:val="0"/>
              <w:jc w:val="center"/>
              <w:rPr>
                <w:rFonts w:eastAsiaTheme="minorEastAsia"/>
                <w:sz w:val="18"/>
                <w:szCs w:val="18"/>
              </w:rPr>
            </w:pPr>
            <w:r>
              <w:rPr>
                <w:rFonts w:eastAsiaTheme="minorEastAsia"/>
                <w:sz w:val="18"/>
                <w:szCs w:val="18"/>
              </w:rPr>
              <w:t>4</w:t>
            </w:r>
          </w:p>
          <w:p w14:paraId="568FD9C6" w14:textId="77777777" w:rsidR="00F5289E" w:rsidRDefault="00C91173">
            <w:pPr>
              <w:snapToGrid w:val="0"/>
              <w:jc w:val="center"/>
              <w:rPr>
                <w:rFonts w:eastAsiaTheme="minorEastAsia"/>
                <w:sz w:val="18"/>
                <w:szCs w:val="18"/>
              </w:rPr>
            </w:pPr>
            <w:r>
              <w:rPr>
                <w:rFonts w:eastAsiaTheme="minorEastAsia"/>
                <w:sz w:val="18"/>
                <w:szCs w:val="18"/>
              </w:rPr>
              <w:t>5</w:t>
            </w:r>
          </w:p>
        </w:tc>
      </w:tr>
      <w:tr w:rsidR="00F5289E" w14:paraId="098963E1" w14:textId="77777777">
        <w:trPr>
          <w:trHeight w:val="831"/>
          <w:jc w:val="center"/>
        </w:trPr>
        <w:tc>
          <w:tcPr>
            <w:tcW w:w="1009" w:type="dxa"/>
            <w:tcBorders>
              <w:top w:val="single" w:sz="4" w:space="0" w:color="auto"/>
              <w:left w:val="single" w:sz="4" w:space="0" w:color="auto"/>
              <w:bottom w:val="single" w:sz="4" w:space="0" w:color="auto"/>
              <w:right w:val="single" w:sz="4" w:space="0" w:color="auto"/>
            </w:tcBorders>
            <w:vAlign w:val="center"/>
          </w:tcPr>
          <w:p w14:paraId="593957FB" w14:textId="77777777" w:rsidR="00F5289E" w:rsidRDefault="00C91173">
            <w:pPr>
              <w:snapToGrid w:val="0"/>
              <w:jc w:val="center"/>
              <w:rPr>
                <w:rFonts w:eastAsiaTheme="minorEastAsia"/>
                <w:sz w:val="18"/>
                <w:szCs w:val="18"/>
              </w:rPr>
            </w:pPr>
            <w:r>
              <w:rPr>
                <w:rFonts w:eastAsiaTheme="minorEastAsia"/>
                <w:sz w:val="18"/>
                <w:szCs w:val="18"/>
              </w:rPr>
              <w:t>4</w:t>
            </w:r>
          </w:p>
        </w:tc>
        <w:tc>
          <w:tcPr>
            <w:tcW w:w="6925" w:type="dxa"/>
            <w:tcBorders>
              <w:top w:val="single" w:sz="4" w:space="0" w:color="auto"/>
              <w:left w:val="single" w:sz="4" w:space="0" w:color="auto"/>
              <w:bottom w:val="single" w:sz="4" w:space="0" w:color="auto"/>
              <w:right w:val="single" w:sz="4" w:space="0" w:color="auto"/>
            </w:tcBorders>
            <w:vAlign w:val="center"/>
          </w:tcPr>
          <w:p w14:paraId="07F11B05" w14:textId="77777777" w:rsidR="00F5289E" w:rsidRDefault="00C91173">
            <w:pPr>
              <w:snapToGrid w:val="0"/>
              <w:rPr>
                <w:rFonts w:eastAsiaTheme="minorEastAsia"/>
                <w:sz w:val="18"/>
                <w:szCs w:val="18"/>
              </w:rPr>
            </w:pPr>
            <w:r>
              <w:rPr>
                <w:rFonts w:eastAsiaTheme="minorEastAsia"/>
                <w:sz w:val="18"/>
                <w:szCs w:val="18"/>
              </w:rPr>
              <w:t>具有执着探索的科学精神，具备良好的职业道德素质，拥有独立工作和努力学习的能力。</w:t>
            </w:r>
          </w:p>
        </w:tc>
        <w:tc>
          <w:tcPr>
            <w:tcW w:w="1063" w:type="dxa"/>
            <w:tcBorders>
              <w:top w:val="single" w:sz="4" w:space="0" w:color="auto"/>
              <w:left w:val="single" w:sz="4" w:space="0" w:color="auto"/>
              <w:bottom w:val="single" w:sz="4" w:space="0" w:color="auto"/>
              <w:right w:val="single" w:sz="4" w:space="0" w:color="auto"/>
            </w:tcBorders>
            <w:vAlign w:val="center"/>
          </w:tcPr>
          <w:p w14:paraId="47A63255" w14:textId="77777777" w:rsidR="00F5289E" w:rsidRDefault="00C91173">
            <w:pPr>
              <w:snapToGrid w:val="0"/>
              <w:jc w:val="center"/>
              <w:rPr>
                <w:rFonts w:eastAsiaTheme="minorEastAsia"/>
                <w:sz w:val="18"/>
                <w:szCs w:val="18"/>
              </w:rPr>
            </w:pPr>
            <w:r>
              <w:rPr>
                <w:rFonts w:eastAsiaTheme="minorEastAsia"/>
                <w:sz w:val="18"/>
                <w:szCs w:val="18"/>
              </w:rPr>
              <w:t>3</w:t>
            </w:r>
          </w:p>
          <w:p w14:paraId="4DE5C477" w14:textId="77777777" w:rsidR="00F5289E" w:rsidRDefault="00C91173">
            <w:pPr>
              <w:snapToGrid w:val="0"/>
              <w:jc w:val="center"/>
              <w:rPr>
                <w:rFonts w:eastAsiaTheme="minorEastAsia"/>
                <w:sz w:val="18"/>
                <w:szCs w:val="18"/>
              </w:rPr>
            </w:pPr>
            <w:r>
              <w:rPr>
                <w:rFonts w:eastAsiaTheme="minorEastAsia"/>
                <w:sz w:val="18"/>
                <w:szCs w:val="18"/>
              </w:rPr>
              <w:t>6</w:t>
            </w:r>
          </w:p>
          <w:p w14:paraId="02AEDE0E" w14:textId="77777777" w:rsidR="00F5289E" w:rsidRDefault="00C91173">
            <w:pPr>
              <w:snapToGrid w:val="0"/>
              <w:jc w:val="center"/>
              <w:rPr>
                <w:rFonts w:eastAsiaTheme="minorEastAsia"/>
                <w:sz w:val="18"/>
                <w:szCs w:val="18"/>
              </w:rPr>
            </w:pPr>
            <w:r>
              <w:rPr>
                <w:rFonts w:eastAsiaTheme="minorEastAsia"/>
                <w:sz w:val="18"/>
                <w:szCs w:val="18"/>
              </w:rPr>
              <w:t>10</w:t>
            </w:r>
          </w:p>
        </w:tc>
      </w:tr>
    </w:tbl>
    <w:p w14:paraId="76C96955" w14:textId="77777777" w:rsidR="00F5289E" w:rsidRDefault="00F5289E">
      <w:pPr>
        <w:snapToGrid w:val="0"/>
        <w:spacing w:line="360" w:lineRule="auto"/>
        <w:ind w:firstLineChars="200" w:firstLine="420"/>
        <w:rPr>
          <w:bCs/>
          <w:color w:val="0000FF"/>
          <w:kern w:val="0"/>
          <w:szCs w:val="21"/>
        </w:rPr>
      </w:pPr>
    </w:p>
    <w:p w14:paraId="27DAD45D" w14:textId="77777777" w:rsidR="00F5289E" w:rsidRDefault="00C91173">
      <w:pPr>
        <w:widowControl/>
        <w:snapToGrid w:val="0"/>
        <w:spacing w:line="360" w:lineRule="auto"/>
        <w:jc w:val="left"/>
        <w:rPr>
          <w:bCs/>
          <w:color w:val="0000FF"/>
          <w:kern w:val="0"/>
          <w:szCs w:val="21"/>
        </w:rPr>
      </w:pPr>
      <w:r>
        <w:rPr>
          <w:b/>
          <w:bCs/>
          <w:kern w:val="0"/>
          <w:szCs w:val="21"/>
        </w:rPr>
        <w:t>四、理论教学内容及学时分配（</w:t>
      </w:r>
      <w:r>
        <w:rPr>
          <w:b/>
          <w:bCs/>
          <w:kern w:val="0"/>
          <w:szCs w:val="21"/>
        </w:rPr>
        <w:t>36</w:t>
      </w:r>
      <w:r>
        <w:rPr>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77AB47CC" w14:textId="77777777" w:rsidTr="00C91173">
        <w:trPr>
          <w:trHeight w:val="270"/>
        </w:trPr>
        <w:tc>
          <w:tcPr>
            <w:tcW w:w="2965" w:type="dxa"/>
            <w:tcBorders>
              <w:top w:val="nil"/>
              <w:left w:val="nil"/>
              <w:bottom w:val="nil"/>
              <w:right w:val="nil"/>
            </w:tcBorders>
            <w:vAlign w:val="center"/>
          </w:tcPr>
          <w:p w14:paraId="1111AD1C"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E2ABCEC" w14:textId="77777777" w:rsidR="004156EB" w:rsidRDefault="004156EB" w:rsidP="00C91173">
            <w:pPr>
              <w:widowControl/>
              <w:snapToGrid w:val="0"/>
              <w:spacing w:line="360" w:lineRule="auto"/>
              <w:jc w:val="center"/>
              <w:rPr>
                <w:rFonts w:hAnsi="宋体"/>
                <w:b/>
                <w:bCs/>
                <w:kern w:val="0"/>
                <w:szCs w:val="21"/>
              </w:rPr>
            </w:pPr>
            <w:r>
              <w:rPr>
                <w:b/>
                <w:bCs/>
                <w:kern w:val="0"/>
                <w:szCs w:val="21"/>
              </w:rPr>
              <w:t>第一章</w:t>
            </w:r>
            <w:r>
              <w:rPr>
                <w:b/>
                <w:bCs/>
                <w:kern w:val="0"/>
                <w:szCs w:val="21"/>
              </w:rPr>
              <w:t xml:space="preserve">  </w:t>
            </w:r>
            <w:r>
              <w:rPr>
                <w:b/>
                <w:bCs/>
                <w:kern w:val="0"/>
                <w:szCs w:val="21"/>
              </w:rPr>
              <w:t>静力学基础</w:t>
            </w:r>
          </w:p>
        </w:tc>
        <w:tc>
          <w:tcPr>
            <w:tcW w:w="2966" w:type="dxa"/>
            <w:tcBorders>
              <w:top w:val="nil"/>
              <w:left w:val="nil"/>
              <w:bottom w:val="nil"/>
              <w:right w:val="nil"/>
            </w:tcBorders>
            <w:vAlign w:val="center"/>
          </w:tcPr>
          <w:p w14:paraId="789E9AF3"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0EE5021" w14:textId="77777777" w:rsidR="00F5289E" w:rsidRDefault="00C91173">
      <w:pPr>
        <w:widowControl/>
        <w:snapToGrid w:val="0"/>
        <w:spacing w:line="360" w:lineRule="auto"/>
        <w:rPr>
          <w:b/>
          <w:bCs/>
          <w:kern w:val="0"/>
          <w:szCs w:val="21"/>
        </w:rPr>
      </w:pPr>
      <w:r>
        <w:rPr>
          <w:b/>
          <w:bCs/>
        </w:rPr>
        <w:t>教学目标：</w:t>
      </w:r>
      <w:r>
        <w:rPr>
          <w:bCs/>
        </w:rPr>
        <w:t>了解平衡产生的原因，理解力、力矩、力偶、约束力等概念，掌握受力分析的方法。</w:t>
      </w:r>
    </w:p>
    <w:p w14:paraId="5184AE92" w14:textId="77777777" w:rsidR="00F5289E" w:rsidRDefault="00C91173">
      <w:pPr>
        <w:widowControl/>
        <w:snapToGrid w:val="0"/>
        <w:spacing w:line="360" w:lineRule="auto"/>
        <w:rPr>
          <w:b/>
          <w:bCs/>
          <w:kern w:val="0"/>
          <w:szCs w:val="21"/>
        </w:rPr>
      </w:pPr>
      <w:r>
        <w:rPr>
          <w:b/>
          <w:bCs/>
        </w:rPr>
        <w:t>教学重点和难点：</w:t>
      </w:r>
      <w:r>
        <w:rPr>
          <w:bCs/>
        </w:rPr>
        <w:t>力系、力矩、力偶的概念；物体的受力分析；合力矩定理、加减平衡力系原理。</w:t>
      </w:r>
    </w:p>
    <w:p w14:paraId="6A29F3CD"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p>
    <w:p w14:paraId="667ADFD4" w14:textId="77777777" w:rsidR="00F5289E" w:rsidRDefault="00C91173">
      <w:pPr>
        <w:snapToGrid w:val="0"/>
        <w:spacing w:line="360" w:lineRule="auto"/>
        <w:rPr>
          <w:b/>
          <w:bCs/>
        </w:rPr>
      </w:pPr>
      <w:r>
        <w:rPr>
          <w:b/>
          <w:bCs/>
        </w:rPr>
        <w:t>第一节</w:t>
      </w:r>
      <w:r>
        <w:rPr>
          <w:b/>
          <w:bCs/>
        </w:rPr>
        <w:t xml:space="preserve">  </w:t>
      </w:r>
      <w:r>
        <w:rPr>
          <w:b/>
          <w:bCs/>
        </w:rPr>
        <w:t>力和力矩（</w:t>
      </w:r>
      <w:r>
        <w:rPr>
          <w:b/>
          <w:bCs/>
        </w:rPr>
        <w:t>1</w:t>
      </w:r>
      <w:r>
        <w:rPr>
          <w:b/>
          <w:bCs/>
        </w:rPr>
        <w:t>学时）</w:t>
      </w:r>
    </w:p>
    <w:p w14:paraId="12E9B87C" w14:textId="77777777" w:rsidR="00F5289E" w:rsidRDefault="00C91173">
      <w:pPr>
        <w:pStyle w:val="a7"/>
        <w:snapToGrid w:val="0"/>
        <w:spacing w:line="360" w:lineRule="auto"/>
        <w:rPr>
          <w:rFonts w:ascii="Times New Roman"/>
        </w:rPr>
      </w:pPr>
      <w:r>
        <w:rPr>
          <w:rFonts w:ascii="Times New Roman"/>
        </w:rPr>
        <w:t>了解作用在刚体上的力的效应与力的可传性</w:t>
      </w:r>
    </w:p>
    <w:p w14:paraId="2B57392D" w14:textId="77777777" w:rsidR="00F5289E" w:rsidRDefault="00C91173">
      <w:pPr>
        <w:pStyle w:val="a7"/>
        <w:snapToGrid w:val="0"/>
        <w:spacing w:line="360" w:lineRule="auto"/>
        <w:rPr>
          <w:rFonts w:ascii="Times New Roman"/>
        </w:rPr>
      </w:pPr>
      <w:r>
        <w:rPr>
          <w:rFonts w:ascii="Times New Roman"/>
        </w:rPr>
        <w:t>理解力、力矩和力系的概念</w:t>
      </w:r>
    </w:p>
    <w:p w14:paraId="4C393BCE" w14:textId="77777777" w:rsidR="00F5289E" w:rsidRDefault="00C91173">
      <w:pPr>
        <w:pStyle w:val="a7"/>
        <w:snapToGrid w:val="0"/>
        <w:spacing w:line="360" w:lineRule="auto"/>
        <w:rPr>
          <w:rFonts w:ascii="Times New Roman"/>
        </w:rPr>
      </w:pPr>
      <w:r>
        <w:rPr>
          <w:rFonts w:ascii="Times New Roman"/>
        </w:rPr>
        <w:t>掌握合力矩定理</w:t>
      </w:r>
    </w:p>
    <w:p w14:paraId="4AB81A1D" w14:textId="77777777" w:rsidR="00F5289E" w:rsidRDefault="00C91173">
      <w:pPr>
        <w:snapToGrid w:val="0"/>
        <w:spacing w:line="360" w:lineRule="auto"/>
        <w:rPr>
          <w:b/>
          <w:bCs/>
        </w:rPr>
      </w:pPr>
      <w:r>
        <w:rPr>
          <w:b/>
          <w:bCs/>
        </w:rPr>
        <w:t>第二节</w:t>
      </w:r>
      <w:r>
        <w:rPr>
          <w:b/>
          <w:bCs/>
        </w:rPr>
        <w:t xml:space="preserve">  </w:t>
      </w:r>
      <w:r>
        <w:rPr>
          <w:b/>
          <w:bCs/>
        </w:rPr>
        <w:t>力偶及其性质（</w:t>
      </w:r>
      <w:r>
        <w:rPr>
          <w:b/>
          <w:bCs/>
        </w:rPr>
        <w:t>1</w:t>
      </w:r>
      <w:r>
        <w:rPr>
          <w:b/>
          <w:bCs/>
        </w:rPr>
        <w:t>学时）</w:t>
      </w:r>
    </w:p>
    <w:p w14:paraId="13CEA0EE" w14:textId="77777777" w:rsidR="00F5289E" w:rsidRDefault="00C91173">
      <w:pPr>
        <w:pStyle w:val="a7"/>
        <w:snapToGrid w:val="0"/>
        <w:spacing w:line="360" w:lineRule="auto"/>
        <w:rPr>
          <w:rFonts w:ascii="Times New Roman"/>
        </w:rPr>
      </w:pPr>
      <w:r>
        <w:rPr>
          <w:rFonts w:ascii="Times New Roman"/>
        </w:rPr>
        <w:t>了解力偶的概念</w:t>
      </w:r>
    </w:p>
    <w:p w14:paraId="79008E7E" w14:textId="77777777" w:rsidR="00F5289E" w:rsidRDefault="00C91173">
      <w:pPr>
        <w:pStyle w:val="a7"/>
        <w:snapToGrid w:val="0"/>
        <w:spacing w:line="360" w:lineRule="auto"/>
        <w:rPr>
          <w:rFonts w:ascii="Times New Roman"/>
        </w:rPr>
      </w:pPr>
      <w:r>
        <w:rPr>
          <w:rFonts w:ascii="Times New Roman"/>
        </w:rPr>
        <w:t>理解力偶的性质</w:t>
      </w:r>
    </w:p>
    <w:p w14:paraId="25677548" w14:textId="77777777" w:rsidR="00F5289E" w:rsidRDefault="00C91173">
      <w:pPr>
        <w:pStyle w:val="a7"/>
        <w:snapToGrid w:val="0"/>
        <w:spacing w:line="360" w:lineRule="auto"/>
        <w:rPr>
          <w:rFonts w:ascii="Times New Roman"/>
        </w:rPr>
      </w:pPr>
      <w:r>
        <w:rPr>
          <w:rFonts w:ascii="Times New Roman"/>
        </w:rPr>
        <w:t>理解力偶系及其合成</w:t>
      </w:r>
    </w:p>
    <w:p w14:paraId="0D0B083A" w14:textId="77777777" w:rsidR="00F5289E" w:rsidRDefault="00C91173">
      <w:pPr>
        <w:snapToGrid w:val="0"/>
        <w:spacing w:line="360" w:lineRule="auto"/>
        <w:rPr>
          <w:b/>
          <w:bCs/>
        </w:rPr>
      </w:pPr>
      <w:r>
        <w:rPr>
          <w:b/>
          <w:bCs/>
        </w:rPr>
        <w:t>第三节</w:t>
      </w:r>
      <w:r>
        <w:rPr>
          <w:b/>
          <w:bCs/>
        </w:rPr>
        <w:t xml:space="preserve">  </w:t>
      </w:r>
      <w:r>
        <w:rPr>
          <w:b/>
          <w:bCs/>
        </w:rPr>
        <w:t>约束和约束力（</w:t>
      </w:r>
      <w:r>
        <w:rPr>
          <w:b/>
          <w:bCs/>
        </w:rPr>
        <w:t>1</w:t>
      </w:r>
      <w:r>
        <w:rPr>
          <w:b/>
          <w:bCs/>
        </w:rPr>
        <w:t>学时）</w:t>
      </w:r>
    </w:p>
    <w:p w14:paraId="7B474DF7" w14:textId="77777777" w:rsidR="00F5289E" w:rsidRDefault="00C91173">
      <w:pPr>
        <w:pStyle w:val="a7"/>
        <w:snapToGrid w:val="0"/>
        <w:spacing w:line="360" w:lineRule="auto"/>
        <w:rPr>
          <w:rFonts w:ascii="Times New Roman"/>
        </w:rPr>
      </w:pPr>
      <w:r>
        <w:rPr>
          <w:rFonts w:ascii="Times New Roman"/>
        </w:rPr>
        <w:t>了解约束和约束力的概念</w:t>
      </w:r>
    </w:p>
    <w:p w14:paraId="79870612" w14:textId="77777777" w:rsidR="00F5289E" w:rsidRDefault="00C91173">
      <w:pPr>
        <w:pStyle w:val="a7"/>
        <w:snapToGrid w:val="0"/>
        <w:spacing w:line="360" w:lineRule="auto"/>
        <w:rPr>
          <w:rFonts w:ascii="Times New Roman"/>
        </w:rPr>
      </w:pPr>
      <w:r>
        <w:rPr>
          <w:rFonts w:ascii="Times New Roman"/>
        </w:rPr>
        <w:t>掌握约束力的方向</w:t>
      </w:r>
    </w:p>
    <w:p w14:paraId="4C00DECB" w14:textId="77777777" w:rsidR="00F5289E" w:rsidRDefault="00C91173">
      <w:pPr>
        <w:snapToGrid w:val="0"/>
        <w:spacing w:line="360" w:lineRule="auto"/>
        <w:rPr>
          <w:b/>
          <w:bCs/>
        </w:rPr>
      </w:pPr>
      <w:r>
        <w:rPr>
          <w:b/>
          <w:bCs/>
        </w:rPr>
        <w:t>第四节</w:t>
      </w:r>
      <w:r>
        <w:rPr>
          <w:rFonts w:hint="eastAsia"/>
          <w:b/>
          <w:bCs/>
        </w:rPr>
        <w:t xml:space="preserve"> </w:t>
      </w:r>
      <w:r>
        <w:rPr>
          <w:b/>
          <w:bCs/>
        </w:rPr>
        <w:t xml:space="preserve"> </w:t>
      </w:r>
      <w:r>
        <w:rPr>
          <w:b/>
          <w:bCs/>
        </w:rPr>
        <w:t>平衡的概念（</w:t>
      </w:r>
      <w:r>
        <w:rPr>
          <w:b/>
          <w:bCs/>
        </w:rPr>
        <w:t>0.5</w:t>
      </w:r>
      <w:r>
        <w:rPr>
          <w:b/>
          <w:bCs/>
        </w:rPr>
        <w:t>学时）</w:t>
      </w:r>
    </w:p>
    <w:p w14:paraId="586FEE22" w14:textId="77777777" w:rsidR="00F5289E" w:rsidRDefault="00C91173">
      <w:pPr>
        <w:pStyle w:val="a7"/>
        <w:snapToGrid w:val="0"/>
        <w:spacing w:line="360" w:lineRule="auto"/>
        <w:rPr>
          <w:rFonts w:ascii="Times New Roman"/>
        </w:rPr>
      </w:pPr>
      <w:r>
        <w:rPr>
          <w:rFonts w:ascii="Times New Roman"/>
        </w:rPr>
        <w:t>了解二力平衡的概念</w:t>
      </w:r>
    </w:p>
    <w:p w14:paraId="590F66C4" w14:textId="77777777" w:rsidR="00F5289E" w:rsidRDefault="00C91173">
      <w:pPr>
        <w:pStyle w:val="a7"/>
        <w:snapToGrid w:val="0"/>
        <w:spacing w:line="360" w:lineRule="auto"/>
        <w:rPr>
          <w:rFonts w:ascii="Times New Roman"/>
        </w:rPr>
      </w:pPr>
      <w:r>
        <w:rPr>
          <w:rFonts w:ascii="Times New Roman"/>
        </w:rPr>
        <w:t>理解二力构件的概念</w:t>
      </w:r>
    </w:p>
    <w:p w14:paraId="3EE653EE" w14:textId="77777777" w:rsidR="00F5289E" w:rsidRDefault="00C91173">
      <w:pPr>
        <w:pStyle w:val="a7"/>
        <w:snapToGrid w:val="0"/>
        <w:spacing w:line="360" w:lineRule="auto"/>
        <w:rPr>
          <w:rFonts w:ascii="Times New Roman"/>
        </w:rPr>
      </w:pPr>
      <w:r>
        <w:rPr>
          <w:rFonts w:ascii="Times New Roman"/>
        </w:rPr>
        <w:t>理解不平行的三力平衡条件</w:t>
      </w:r>
    </w:p>
    <w:p w14:paraId="252EAC6D" w14:textId="77777777" w:rsidR="00F5289E" w:rsidRDefault="00C91173">
      <w:pPr>
        <w:snapToGrid w:val="0"/>
        <w:spacing w:line="360" w:lineRule="auto"/>
        <w:rPr>
          <w:b/>
          <w:bCs/>
        </w:rPr>
      </w:pPr>
      <w:r>
        <w:rPr>
          <w:b/>
          <w:bCs/>
        </w:rPr>
        <w:t>第五节</w:t>
      </w:r>
      <w:r>
        <w:rPr>
          <w:rFonts w:hint="eastAsia"/>
          <w:b/>
          <w:bCs/>
        </w:rPr>
        <w:t xml:space="preserve"> </w:t>
      </w:r>
      <w:r>
        <w:rPr>
          <w:b/>
          <w:bCs/>
        </w:rPr>
        <w:t xml:space="preserve"> </w:t>
      </w:r>
      <w:r>
        <w:rPr>
          <w:b/>
          <w:bCs/>
        </w:rPr>
        <w:t>受力分析方法和过程（</w:t>
      </w:r>
      <w:r>
        <w:rPr>
          <w:b/>
          <w:bCs/>
        </w:rPr>
        <w:t>0.5</w:t>
      </w:r>
      <w:r>
        <w:rPr>
          <w:b/>
          <w:bCs/>
        </w:rPr>
        <w:t>学时）</w:t>
      </w:r>
    </w:p>
    <w:p w14:paraId="0A9998B5" w14:textId="77777777" w:rsidR="00F5289E" w:rsidRDefault="00C91173">
      <w:pPr>
        <w:pStyle w:val="a7"/>
        <w:snapToGrid w:val="0"/>
        <w:spacing w:line="360" w:lineRule="auto"/>
        <w:rPr>
          <w:rFonts w:ascii="Times New Roman"/>
        </w:rPr>
      </w:pPr>
      <w:r>
        <w:rPr>
          <w:rFonts w:ascii="Times New Roman"/>
        </w:rPr>
        <w:t>掌握受力分析的方法</w:t>
      </w:r>
    </w:p>
    <w:p w14:paraId="418419B1" w14:textId="77777777" w:rsidR="00F5289E" w:rsidRDefault="00C91173">
      <w:pPr>
        <w:pStyle w:val="a7"/>
        <w:snapToGrid w:val="0"/>
        <w:spacing w:line="360" w:lineRule="auto"/>
        <w:rPr>
          <w:rFonts w:ascii="Times New Roman"/>
        </w:rPr>
      </w:pPr>
      <w:r>
        <w:rPr>
          <w:rFonts w:ascii="Times New Roman"/>
        </w:rPr>
        <w:t>掌握力图绘制方法</w:t>
      </w:r>
    </w:p>
    <w:p w14:paraId="03DA6F26" w14:textId="77777777" w:rsidR="00F5289E" w:rsidRDefault="00C91173">
      <w:pPr>
        <w:pStyle w:val="a7"/>
        <w:snapToGrid w:val="0"/>
        <w:spacing w:line="360" w:lineRule="auto"/>
        <w:ind w:firstLineChars="0" w:firstLine="0"/>
        <w:rPr>
          <w:rFonts w:ascii="Times New Roman"/>
          <w:b/>
          <w:bCs/>
        </w:rPr>
      </w:pPr>
      <w:r>
        <w:rPr>
          <w:rFonts w:ascii="Times New Roman"/>
          <w:b/>
          <w:bCs/>
        </w:rPr>
        <w:t>教学组织与实施：</w:t>
      </w:r>
      <w:r>
        <w:rPr>
          <w:rFonts w:ascii="Times New Roman"/>
          <w:bCs/>
        </w:rPr>
        <w:t>采用班级集中授课，利用多媒体设备，根据学生身边的具体案例，剖析具体结构</w:t>
      </w:r>
      <w:r>
        <w:rPr>
          <w:rFonts w:ascii="Times New Roman"/>
          <w:bCs/>
        </w:rPr>
        <w:lastRenderedPageBreak/>
        <w:t>的力分布，帮助学生充分理解静力学的相关基本概念，掌握结构的受力分析方法。</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2F0EFF71" w14:textId="77777777" w:rsidTr="00C91173">
        <w:trPr>
          <w:trHeight w:val="270"/>
        </w:trPr>
        <w:tc>
          <w:tcPr>
            <w:tcW w:w="2965" w:type="dxa"/>
            <w:tcBorders>
              <w:top w:val="nil"/>
              <w:left w:val="nil"/>
              <w:bottom w:val="nil"/>
              <w:right w:val="nil"/>
            </w:tcBorders>
            <w:vAlign w:val="center"/>
          </w:tcPr>
          <w:p w14:paraId="6DE6C218"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8B102E3" w14:textId="77777777" w:rsidR="004156EB" w:rsidRDefault="004156EB" w:rsidP="00C91173">
            <w:pPr>
              <w:widowControl/>
              <w:snapToGrid w:val="0"/>
              <w:spacing w:line="360" w:lineRule="auto"/>
              <w:jc w:val="center"/>
              <w:rPr>
                <w:rFonts w:hAnsi="宋体"/>
                <w:b/>
                <w:bCs/>
                <w:kern w:val="0"/>
                <w:szCs w:val="21"/>
              </w:rPr>
            </w:pPr>
            <w:r>
              <w:rPr>
                <w:b/>
                <w:bCs/>
                <w:kern w:val="0"/>
                <w:szCs w:val="21"/>
              </w:rPr>
              <w:t>第二章</w:t>
            </w:r>
            <w:r>
              <w:rPr>
                <w:b/>
                <w:bCs/>
                <w:kern w:val="0"/>
                <w:szCs w:val="21"/>
              </w:rPr>
              <w:t xml:space="preserve">  </w:t>
            </w:r>
            <w:r>
              <w:rPr>
                <w:b/>
                <w:bCs/>
                <w:kern w:val="0"/>
                <w:szCs w:val="21"/>
              </w:rPr>
              <w:t>力系的简化</w:t>
            </w:r>
          </w:p>
        </w:tc>
        <w:tc>
          <w:tcPr>
            <w:tcW w:w="2966" w:type="dxa"/>
            <w:tcBorders>
              <w:top w:val="nil"/>
              <w:left w:val="nil"/>
              <w:bottom w:val="nil"/>
              <w:right w:val="nil"/>
            </w:tcBorders>
            <w:vAlign w:val="center"/>
          </w:tcPr>
          <w:p w14:paraId="49C89528"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6D6A58B5" w14:textId="77777777" w:rsidR="00F5289E" w:rsidRDefault="00C91173">
      <w:pPr>
        <w:widowControl/>
        <w:snapToGrid w:val="0"/>
        <w:spacing w:line="360" w:lineRule="auto"/>
        <w:rPr>
          <w:b/>
          <w:bCs/>
          <w:kern w:val="0"/>
          <w:szCs w:val="21"/>
        </w:rPr>
      </w:pPr>
      <w:r>
        <w:rPr>
          <w:b/>
          <w:bCs/>
        </w:rPr>
        <w:t>教学目标：</w:t>
      </w:r>
      <w:r>
        <w:rPr>
          <w:bCs/>
        </w:rPr>
        <w:t>通过本章的学习，让学生对力系的简化有深入了解，理解等效和简化的概念，掌握力系简化的方法。</w:t>
      </w:r>
    </w:p>
    <w:p w14:paraId="23D9FC9C" w14:textId="77777777" w:rsidR="00F5289E" w:rsidRDefault="00C91173">
      <w:pPr>
        <w:widowControl/>
        <w:snapToGrid w:val="0"/>
        <w:spacing w:line="360" w:lineRule="auto"/>
        <w:rPr>
          <w:b/>
          <w:bCs/>
          <w:kern w:val="0"/>
          <w:szCs w:val="21"/>
        </w:rPr>
      </w:pPr>
      <w:r>
        <w:rPr>
          <w:b/>
          <w:bCs/>
        </w:rPr>
        <w:t>教学重点和难点：</w:t>
      </w:r>
      <w:r>
        <w:rPr>
          <w:bCs/>
        </w:rPr>
        <w:t>力的平移定理、力系的简化方法；主矢和主矩的概念。</w:t>
      </w:r>
    </w:p>
    <w:p w14:paraId="7CBCB307"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p>
    <w:p w14:paraId="6E2D02E2" w14:textId="77777777" w:rsidR="00F5289E" w:rsidRDefault="00C91173">
      <w:pPr>
        <w:snapToGrid w:val="0"/>
        <w:spacing w:line="360" w:lineRule="auto"/>
        <w:rPr>
          <w:b/>
          <w:bCs/>
        </w:rPr>
      </w:pPr>
      <w:r>
        <w:rPr>
          <w:b/>
          <w:bCs/>
        </w:rPr>
        <w:t>第一节</w:t>
      </w:r>
      <w:r>
        <w:rPr>
          <w:b/>
          <w:bCs/>
        </w:rPr>
        <w:t xml:space="preserve">  </w:t>
      </w:r>
      <w:r>
        <w:rPr>
          <w:b/>
          <w:bCs/>
        </w:rPr>
        <w:t>力系等效与简化的概念（</w:t>
      </w:r>
      <w:r>
        <w:rPr>
          <w:b/>
          <w:bCs/>
        </w:rPr>
        <w:t>1</w:t>
      </w:r>
      <w:r>
        <w:rPr>
          <w:b/>
          <w:bCs/>
        </w:rPr>
        <w:t>学时）</w:t>
      </w:r>
    </w:p>
    <w:p w14:paraId="4FD4954E" w14:textId="77777777" w:rsidR="00F5289E" w:rsidRDefault="00C91173">
      <w:pPr>
        <w:pStyle w:val="a7"/>
        <w:snapToGrid w:val="0"/>
        <w:spacing w:line="360" w:lineRule="auto"/>
        <w:rPr>
          <w:rFonts w:ascii="Times New Roman"/>
        </w:rPr>
      </w:pPr>
      <w:r>
        <w:rPr>
          <w:rFonts w:ascii="Times New Roman"/>
        </w:rPr>
        <w:t>理解主矢和主矩的概念</w:t>
      </w:r>
    </w:p>
    <w:p w14:paraId="2970BF42" w14:textId="77777777" w:rsidR="00F5289E" w:rsidRDefault="00C91173">
      <w:pPr>
        <w:pStyle w:val="a7"/>
        <w:snapToGrid w:val="0"/>
        <w:spacing w:line="360" w:lineRule="auto"/>
        <w:rPr>
          <w:rFonts w:ascii="Times New Roman"/>
        </w:rPr>
      </w:pPr>
      <w:r>
        <w:rPr>
          <w:rFonts w:ascii="Times New Roman"/>
        </w:rPr>
        <w:t>理解等效的概念</w:t>
      </w:r>
    </w:p>
    <w:p w14:paraId="65660C5C" w14:textId="77777777" w:rsidR="00F5289E" w:rsidRDefault="00C91173">
      <w:pPr>
        <w:pStyle w:val="a7"/>
        <w:snapToGrid w:val="0"/>
        <w:spacing w:line="360" w:lineRule="auto"/>
        <w:rPr>
          <w:rFonts w:ascii="Times New Roman"/>
        </w:rPr>
      </w:pPr>
      <w:r>
        <w:rPr>
          <w:rFonts w:ascii="Times New Roman"/>
        </w:rPr>
        <w:t>理解力系简化的概念</w:t>
      </w:r>
    </w:p>
    <w:p w14:paraId="16F506E8" w14:textId="77777777" w:rsidR="00F5289E" w:rsidRDefault="00C91173">
      <w:pPr>
        <w:snapToGrid w:val="0"/>
        <w:spacing w:line="360" w:lineRule="auto"/>
        <w:rPr>
          <w:b/>
          <w:bCs/>
        </w:rPr>
      </w:pPr>
      <w:r>
        <w:rPr>
          <w:b/>
          <w:bCs/>
        </w:rPr>
        <w:t>第二节</w:t>
      </w:r>
      <w:r>
        <w:rPr>
          <w:b/>
          <w:bCs/>
        </w:rPr>
        <w:t xml:space="preserve">  </w:t>
      </w:r>
      <w:r>
        <w:rPr>
          <w:b/>
          <w:bCs/>
        </w:rPr>
        <w:t>力向一点平移定理（</w:t>
      </w:r>
      <w:r>
        <w:rPr>
          <w:b/>
          <w:bCs/>
        </w:rPr>
        <w:t>1</w:t>
      </w:r>
      <w:r>
        <w:rPr>
          <w:b/>
          <w:bCs/>
        </w:rPr>
        <w:t>学时）</w:t>
      </w:r>
    </w:p>
    <w:p w14:paraId="5116B1D2" w14:textId="77777777" w:rsidR="00F5289E" w:rsidRDefault="00C91173">
      <w:pPr>
        <w:pStyle w:val="a7"/>
        <w:snapToGrid w:val="0"/>
        <w:spacing w:line="360" w:lineRule="auto"/>
        <w:rPr>
          <w:rFonts w:ascii="Times New Roman"/>
        </w:rPr>
      </w:pPr>
      <w:r>
        <w:rPr>
          <w:rFonts w:ascii="Times New Roman"/>
        </w:rPr>
        <w:t>理解力向一点平移定理</w:t>
      </w:r>
    </w:p>
    <w:p w14:paraId="6EB0A053" w14:textId="77777777" w:rsidR="00F5289E" w:rsidRDefault="00C91173">
      <w:pPr>
        <w:snapToGrid w:val="0"/>
        <w:spacing w:line="360" w:lineRule="auto"/>
        <w:rPr>
          <w:b/>
          <w:bCs/>
        </w:rPr>
      </w:pPr>
      <w:r>
        <w:rPr>
          <w:b/>
          <w:bCs/>
        </w:rPr>
        <w:t>第三节</w:t>
      </w:r>
      <w:r>
        <w:rPr>
          <w:rFonts w:hint="eastAsia"/>
          <w:b/>
          <w:bCs/>
        </w:rPr>
        <w:t xml:space="preserve"> </w:t>
      </w:r>
      <w:r>
        <w:rPr>
          <w:b/>
          <w:bCs/>
        </w:rPr>
        <w:t xml:space="preserve"> </w:t>
      </w:r>
      <w:r>
        <w:rPr>
          <w:b/>
          <w:bCs/>
        </w:rPr>
        <w:t>平面力系的简化（</w:t>
      </w:r>
      <w:r>
        <w:rPr>
          <w:b/>
          <w:bCs/>
        </w:rPr>
        <w:t>1</w:t>
      </w:r>
      <w:r>
        <w:rPr>
          <w:b/>
          <w:bCs/>
        </w:rPr>
        <w:t>学时）</w:t>
      </w:r>
    </w:p>
    <w:p w14:paraId="09038498" w14:textId="77777777" w:rsidR="00F5289E" w:rsidRDefault="00C91173">
      <w:pPr>
        <w:pStyle w:val="a7"/>
        <w:snapToGrid w:val="0"/>
        <w:spacing w:line="360" w:lineRule="auto"/>
        <w:rPr>
          <w:rFonts w:ascii="Times New Roman"/>
        </w:rPr>
      </w:pPr>
      <w:r>
        <w:rPr>
          <w:rFonts w:ascii="Times New Roman"/>
        </w:rPr>
        <w:t>理解汇交力系的简化结果</w:t>
      </w:r>
    </w:p>
    <w:p w14:paraId="6702792F" w14:textId="77777777" w:rsidR="00F5289E" w:rsidRDefault="00C91173">
      <w:pPr>
        <w:pStyle w:val="a7"/>
        <w:snapToGrid w:val="0"/>
        <w:spacing w:line="360" w:lineRule="auto"/>
        <w:rPr>
          <w:rFonts w:ascii="Times New Roman"/>
        </w:rPr>
      </w:pPr>
      <w:r>
        <w:rPr>
          <w:rFonts w:ascii="Times New Roman"/>
        </w:rPr>
        <w:t>掌握一般力系的简化方法</w:t>
      </w:r>
    </w:p>
    <w:p w14:paraId="64EFE23A" w14:textId="77777777" w:rsidR="00F5289E" w:rsidRDefault="00C91173">
      <w:pPr>
        <w:snapToGrid w:val="0"/>
        <w:spacing w:line="360" w:lineRule="auto"/>
        <w:rPr>
          <w:b/>
          <w:bCs/>
        </w:rPr>
      </w:pPr>
      <w:r>
        <w:rPr>
          <w:b/>
          <w:bCs/>
        </w:rPr>
        <w:t>第四节</w:t>
      </w:r>
      <w:r>
        <w:rPr>
          <w:b/>
          <w:bCs/>
        </w:rPr>
        <w:t xml:space="preserve"> </w:t>
      </w:r>
      <w:r>
        <w:rPr>
          <w:b/>
          <w:bCs/>
        </w:rPr>
        <w:t>固定端约束的约束反力（</w:t>
      </w:r>
      <w:r>
        <w:rPr>
          <w:b/>
          <w:bCs/>
        </w:rPr>
        <w:t>1</w:t>
      </w:r>
      <w:r>
        <w:rPr>
          <w:b/>
          <w:bCs/>
        </w:rPr>
        <w:t>学时）</w:t>
      </w:r>
    </w:p>
    <w:p w14:paraId="61C6C953" w14:textId="77777777" w:rsidR="00F5289E" w:rsidRDefault="00C91173">
      <w:pPr>
        <w:pStyle w:val="a7"/>
        <w:snapToGrid w:val="0"/>
        <w:spacing w:line="360" w:lineRule="auto"/>
        <w:rPr>
          <w:rFonts w:ascii="Times New Roman"/>
        </w:rPr>
      </w:pPr>
      <w:r>
        <w:rPr>
          <w:rFonts w:ascii="Times New Roman"/>
        </w:rPr>
        <w:t>理解固定端约束</w:t>
      </w:r>
    </w:p>
    <w:p w14:paraId="22265177" w14:textId="77777777" w:rsidR="00F5289E" w:rsidRDefault="00C91173">
      <w:pPr>
        <w:pStyle w:val="a7"/>
        <w:snapToGrid w:val="0"/>
        <w:spacing w:line="360" w:lineRule="auto"/>
        <w:rPr>
          <w:rFonts w:ascii="Times New Roman"/>
        </w:rPr>
      </w:pPr>
      <w:r>
        <w:rPr>
          <w:rFonts w:ascii="Times New Roman"/>
        </w:rPr>
        <w:t>掌握固定端约束的约束反力的画法</w:t>
      </w:r>
    </w:p>
    <w:p w14:paraId="331013AE" w14:textId="77777777" w:rsidR="00F5289E" w:rsidRDefault="00C91173">
      <w:pPr>
        <w:pStyle w:val="a7"/>
        <w:snapToGrid w:val="0"/>
        <w:spacing w:line="360" w:lineRule="auto"/>
        <w:ind w:firstLineChars="0" w:firstLine="0"/>
        <w:rPr>
          <w:rFonts w:ascii="Times New Roman"/>
          <w:bCs/>
        </w:rPr>
      </w:pPr>
      <w:r>
        <w:rPr>
          <w:rFonts w:ascii="Times New Roman"/>
          <w:b/>
          <w:bCs/>
        </w:rPr>
        <w:t>教学组织与实施：</w:t>
      </w:r>
      <w:r>
        <w:rPr>
          <w:rFonts w:ascii="Times New Roman"/>
          <w:bCs/>
        </w:rPr>
        <w:t>以设施结构为导入，采用图文并茂的方式，分析展示设施内各个结构的受力情况；以小组合作学习的方式，共同分析设室内结构的受力情况并绘制受力分析图。</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20A83E11" w14:textId="77777777" w:rsidTr="00C91173">
        <w:trPr>
          <w:trHeight w:val="270"/>
        </w:trPr>
        <w:tc>
          <w:tcPr>
            <w:tcW w:w="2965" w:type="dxa"/>
            <w:tcBorders>
              <w:top w:val="nil"/>
              <w:left w:val="nil"/>
              <w:bottom w:val="nil"/>
              <w:right w:val="nil"/>
            </w:tcBorders>
            <w:vAlign w:val="center"/>
          </w:tcPr>
          <w:p w14:paraId="0ACFBEB3"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ED38D40" w14:textId="77777777" w:rsidR="004156EB" w:rsidRDefault="004156EB" w:rsidP="00C91173">
            <w:pPr>
              <w:widowControl/>
              <w:snapToGrid w:val="0"/>
              <w:spacing w:line="360" w:lineRule="auto"/>
              <w:jc w:val="center"/>
              <w:rPr>
                <w:rFonts w:hAnsi="宋体"/>
                <w:b/>
                <w:bCs/>
                <w:kern w:val="0"/>
                <w:szCs w:val="21"/>
              </w:rPr>
            </w:pPr>
            <w:r>
              <w:rPr>
                <w:b/>
                <w:bCs/>
                <w:kern w:val="0"/>
                <w:szCs w:val="21"/>
              </w:rPr>
              <w:t>第</w:t>
            </w:r>
            <w:r>
              <w:rPr>
                <w:rFonts w:hint="eastAsia"/>
                <w:b/>
                <w:bCs/>
                <w:kern w:val="0"/>
                <w:szCs w:val="21"/>
              </w:rPr>
              <w:t>三</w:t>
            </w:r>
            <w:r>
              <w:rPr>
                <w:b/>
                <w:bCs/>
                <w:kern w:val="0"/>
                <w:szCs w:val="21"/>
              </w:rPr>
              <w:t>章</w:t>
            </w:r>
            <w:r>
              <w:rPr>
                <w:b/>
                <w:bCs/>
                <w:kern w:val="0"/>
                <w:szCs w:val="21"/>
              </w:rPr>
              <w:t xml:space="preserve">  </w:t>
            </w:r>
            <w:r>
              <w:rPr>
                <w:b/>
                <w:bCs/>
                <w:kern w:val="0"/>
                <w:szCs w:val="21"/>
              </w:rPr>
              <w:t>静力学平衡问题</w:t>
            </w:r>
          </w:p>
        </w:tc>
        <w:tc>
          <w:tcPr>
            <w:tcW w:w="2966" w:type="dxa"/>
            <w:tcBorders>
              <w:top w:val="nil"/>
              <w:left w:val="nil"/>
              <w:bottom w:val="nil"/>
              <w:right w:val="nil"/>
            </w:tcBorders>
            <w:vAlign w:val="center"/>
          </w:tcPr>
          <w:p w14:paraId="74DEC13D"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7161E438" w14:textId="77777777" w:rsidR="00F5289E" w:rsidRDefault="00C91173">
      <w:pPr>
        <w:widowControl/>
        <w:snapToGrid w:val="0"/>
        <w:spacing w:line="360" w:lineRule="auto"/>
        <w:rPr>
          <w:b/>
          <w:bCs/>
          <w:kern w:val="0"/>
          <w:szCs w:val="21"/>
        </w:rPr>
      </w:pPr>
      <w:r>
        <w:rPr>
          <w:b/>
          <w:bCs/>
        </w:rPr>
        <w:t>教学目标：</w:t>
      </w:r>
      <w:r>
        <w:rPr>
          <w:bCs/>
        </w:rPr>
        <w:t>通过本章的学习，使学生了解工程构件静力学分析的方法，理解工程构件静定与超静定的概念，掌握平衡问题的解决方法。</w:t>
      </w:r>
    </w:p>
    <w:p w14:paraId="537D3493" w14:textId="77777777" w:rsidR="00F5289E" w:rsidRDefault="00C91173">
      <w:pPr>
        <w:widowControl/>
        <w:snapToGrid w:val="0"/>
        <w:spacing w:line="360" w:lineRule="auto"/>
        <w:rPr>
          <w:b/>
          <w:bCs/>
          <w:kern w:val="0"/>
          <w:szCs w:val="21"/>
        </w:rPr>
      </w:pPr>
      <w:r>
        <w:rPr>
          <w:b/>
          <w:bCs/>
        </w:rPr>
        <w:t>教学重点和难点：</w:t>
      </w:r>
      <w:r>
        <w:rPr>
          <w:bCs/>
        </w:rPr>
        <w:t>刚体系统平衡方程的建立；物体系的平衡计算时，研究对象、方程的选取和受力分析</w:t>
      </w:r>
    </w:p>
    <w:p w14:paraId="0556CB8A"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p>
    <w:p w14:paraId="6DCB2254" w14:textId="77777777" w:rsidR="00F5289E" w:rsidRDefault="00C91173">
      <w:pPr>
        <w:snapToGrid w:val="0"/>
        <w:spacing w:line="360" w:lineRule="auto"/>
        <w:rPr>
          <w:b/>
          <w:bCs/>
        </w:rPr>
      </w:pPr>
      <w:r>
        <w:rPr>
          <w:b/>
          <w:bCs/>
        </w:rPr>
        <w:t>第一节</w:t>
      </w:r>
      <w:r>
        <w:rPr>
          <w:rFonts w:hint="eastAsia"/>
          <w:b/>
          <w:bCs/>
        </w:rPr>
        <w:t xml:space="preserve"> </w:t>
      </w:r>
      <w:r>
        <w:rPr>
          <w:b/>
          <w:bCs/>
        </w:rPr>
        <w:t xml:space="preserve"> </w:t>
      </w:r>
      <w:r>
        <w:rPr>
          <w:b/>
          <w:bCs/>
        </w:rPr>
        <w:t>平面力系的平衡条件与平衡方程（</w:t>
      </w:r>
      <w:r>
        <w:rPr>
          <w:b/>
          <w:bCs/>
        </w:rPr>
        <w:t>2</w:t>
      </w:r>
      <w:r>
        <w:rPr>
          <w:b/>
          <w:bCs/>
        </w:rPr>
        <w:t>学时）</w:t>
      </w:r>
    </w:p>
    <w:p w14:paraId="24F0EF5F" w14:textId="77777777" w:rsidR="00F5289E" w:rsidRDefault="00C91173">
      <w:pPr>
        <w:pStyle w:val="a7"/>
        <w:snapToGrid w:val="0"/>
        <w:spacing w:line="360" w:lineRule="auto"/>
        <w:rPr>
          <w:rFonts w:ascii="Times New Roman"/>
        </w:rPr>
      </w:pPr>
      <w:r>
        <w:rPr>
          <w:rFonts w:ascii="Times New Roman"/>
        </w:rPr>
        <w:t>掌握平面一般力系的平衡方程</w:t>
      </w:r>
    </w:p>
    <w:p w14:paraId="4A1BD6EB" w14:textId="77777777" w:rsidR="00F5289E" w:rsidRDefault="00C91173">
      <w:pPr>
        <w:pStyle w:val="a7"/>
        <w:snapToGrid w:val="0"/>
        <w:spacing w:line="360" w:lineRule="auto"/>
        <w:rPr>
          <w:rFonts w:ascii="Times New Roman"/>
        </w:rPr>
      </w:pPr>
      <w:r>
        <w:rPr>
          <w:rFonts w:ascii="Times New Roman"/>
        </w:rPr>
        <w:t>了解汇交力系和力偶系的平衡方程</w:t>
      </w:r>
    </w:p>
    <w:p w14:paraId="2910D32F" w14:textId="77777777" w:rsidR="00F5289E" w:rsidRDefault="00C91173">
      <w:pPr>
        <w:snapToGrid w:val="0"/>
        <w:spacing w:line="360" w:lineRule="auto"/>
        <w:rPr>
          <w:b/>
          <w:bCs/>
        </w:rPr>
      </w:pPr>
      <w:r>
        <w:rPr>
          <w:b/>
          <w:bCs/>
        </w:rPr>
        <w:t>第二节</w:t>
      </w:r>
      <w:r>
        <w:rPr>
          <w:rFonts w:hint="eastAsia"/>
          <w:b/>
          <w:bCs/>
        </w:rPr>
        <w:t xml:space="preserve"> </w:t>
      </w:r>
      <w:r>
        <w:rPr>
          <w:b/>
          <w:bCs/>
        </w:rPr>
        <w:t xml:space="preserve"> </w:t>
      </w:r>
      <w:bookmarkStart w:id="3" w:name="_Hlk135684683"/>
      <w:r>
        <w:rPr>
          <w:b/>
          <w:bCs/>
        </w:rPr>
        <w:t>简单刚体系统的平衡问题</w:t>
      </w:r>
      <w:bookmarkEnd w:id="3"/>
      <w:r>
        <w:rPr>
          <w:b/>
          <w:bCs/>
        </w:rPr>
        <w:t>（</w:t>
      </w:r>
      <w:r>
        <w:rPr>
          <w:b/>
          <w:bCs/>
        </w:rPr>
        <w:t>2</w:t>
      </w:r>
      <w:r>
        <w:rPr>
          <w:b/>
          <w:bCs/>
        </w:rPr>
        <w:t>学时）</w:t>
      </w:r>
    </w:p>
    <w:p w14:paraId="05827570" w14:textId="77777777" w:rsidR="00F5289E" w:rsidRDefault="00C91173">
      <w:pPr>
        <w:pStyle w:val="a7"/>
        <w:snapToGrid w:val="0"/>
        <w:spacing w:line="360" w:lineRule="auto"/>
        <w:rPr>
          <w:rFonts w:ascii="Times New Roman"/>
        </w:rPr>
      </w:pPr>
      <w:r>
        <w:rPr>
          <w:rFonts w:ascii="Times New Roman"/>
        </w:rPr>
        <w:t>了解静定和静不定的概念</w:t>
      </w:r>
    </w:p>
    <w:p w14:paraId="78E00879" w14:textId="77777777" w:rsidR="00F5289E" w:rsidRDefault="00C91173">
      <w:pPr>
        <w:pStyle w:val="a7"/>
        <w:snapToGrid w:val="0"/>
        <w:spacing w:line="360" w:lineRule="auto"/>
        <w:rPr>
          <w:rFonts w:ascii="Times New Roman"/>
        </w:rPr>
      </w:pPr>
      <w:r>
        <w:rPr>
          <w:rFonts w:ascii="Times New Roman"/>
        </w:rPr>
        <w:t>掌握刚体系统平衡的计算方法</w:t>
      </w:r>
    </w:p>
    <w:p w14:paraId="45B21267" w14:textId="77777777" w:rsidR="00F5289E" w:rsidRDefault="00C91173">
      <w:pPr>
        <w:widowControl/>
        <w:snapToGrid w:val="0"/>
        <w:spacing w:line="360" w:lineRule="auto"/>
        <w:rPr>
          <w:bCs/>
        </w:rPr>
      </w:pPr>
      <w:r>
        <w:rPr>
          <w:b/>
          <w:bCs/>
        </w:rPr>
        <w:t>教学组织与实施：</w:t>
      </w:r>
      <w:r>
        <w:rPr>
          <w:bCs/>
        </w:rPr>
        <w:t>通过剖析设施结构单个构件的受力情况，让学生观察设施结构内具体构件，结合多媒体教学和教学视频，使学生充分掌握设施内工程构件的静力学平衡问题。</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36CDF3F7" w14:textId="77777777" w:rsidTr="00C91173">
        <w:trPr>
          <w:trHeight w:val="270"/>
        </w:trPr>
        <w:tc>
          <w:tcPr>
            <w:tcW w:w="2965" w:type="dxa"/>
            <w:tcBorders>
              <w:top w:val="nil"/>
              <w:left w:val="nil"/>
              <w:bottom w:val="nil"/>
              <w:right w:val="nil"/>
            </w:tcBorders>
            <w:vAlign w:val="center"/>
          </w:tcPr>
          <w:p w14:paraId="5B78CA6A"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3FA2BE9" w14:textId="77777777" w:rsidR="004156EB" w:rsidRDefault="004156EB" w:rsidP="00C91173">
            <w:pPr>
              <w:widowControl/>
              <w:snapToGrid w:val="0"/>
              <w:spacing w:line="360" w:lineRule="auto"/>
              <w:jc w:val="center"/>
              <w:rPr>
                <w:rFonts w:hAnsi="宋体"/>
                <w:b/>
                <w:bCs/>
                <w:kern w:val="0"/>
                <w:szCs w:val="21"/>
              </w:rPr>
            </w:pPr>
            <w:r>
              <w:rPr>
                <w:b/>
                <w:bCs/>
                <w:kern w:val="0"/>
                <w:szCs w:val="21"/>
              </w:rPr>
              <w:t>第四章</w:t>
            </w:r>
            <w:r>
              <w:rPr>
                <w:b/>
                <w:bCs/>
                <w:kern w:val="0"/>
                <w:szCs w:val="21"/>
              </w:rPr>
              <w:t xml:space="preserve">  </w:t>
            </w:r>
            <w:r>
              <w:rPr>
                <w:b/>
                <w:bCs/>
                <w:kern w:val="0"/>
                <w:szCs w:val="21"/>
              </w:rPr>
              <w:t>材料力学的基本概念</w:t>
            </w:r>
          </w:p>
        </w:tc>
        <w:tc>
          <w:tcPr>
            <w:tcW w:w="2966" w:type="dxa"/>
            <w:tcBorders>
              <w:top w:val="nil"/>
              <w:left w:val="nil"/>
              <w:bottom w:val="nil"/>
              <w:right w:val="nil"/>
            </w:tcBorders>
            <w:vAlign w:val="center"/>
          </w:tcPr>
          <w:p w14:paraId="6F735698"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16151031" w14:textId="77777777" w:rsidR="00F5289E" w:rsidRDefault="00C91173">
      <w:pPr>
        <w:widowControl/>
        <w:snapToGrid w:val="0"/>
        <w:spacing w:line="360" w:lineRule="auto"/>
        <w:rPr>
          <w:b/>
          <w:bCs/>
          <w:kern w:val="0"/>
          <w:szCs w:val="21"/>
        </w:rPr>
      </w:pPr>
      <w:r>
        <w:rPr>
          <w:b/>
          <w:bCs/>
        </w:rPr>
        <w:t>教学目标：</w:t>
      </w:r>
      <w:r>
        <w:rPr>
          <w:bCs/>
        </w:rPr>
        <w:t>使学生了解</w:t>
      </w:r>
      <w:bookmarkStart w:id="4" w:name="_Hlk135684735"/>
      <w:r>
        <w:rPr>
          <w:bCs/>
        </w:rPr>
        <w:t>静力学概念和原理在材料力学中的可用性和限制性</w:t>
      </w:r>
      <w:bookmarkEnd w:id="4"/>
      <w:r>
        <w:rPr>
          <w:bCs/>
        </w:rPr>
        <w:t>，理解</w:t>
      </w:r>
      <w:bookmarkStart w:id="5" w:name="_Hlk135684769"/>
      <w:r>
        <w:rPr>
          <w:bCs/>
        </w:rPr>
        <w:t>材料的三种基本假定及杆件受力与变形的基本形式</w:t>
      </w:r>
      <w:bookmarkEnd w:id="5"/>
      <w:r>
        <w:rPr>
          <w:bCs/>
        </w:rPr>
        <w:t>，掌握</w:t>
      </w:r>
      <w:bookmarkStart w:id="6" w:name="_Hlk135684779"/>
      <w:r>
        <w:rPr>
          <w:bCs/>
        </w:rPr>
        <w:t>杆件的应力分析方法</w:t>
      </w:r>
      <w:bookmarkEnd w:id="6"/>
      <w:r>
        <w:rPr>
          <w:bCs/>
        </w:rPr>
        <w:t>。</w:t>
      </w:r>
    </w:p>
    <w:p w14:paraId="411AE9E3" w14:textId="77777777" w:rsidR="00F5289E" w:rsidRDefault="00C91173">
      <w:pPr>
        <w:widowControl/>
        <w:snapToGrid w:val="0"/>
        <w:spacing w:line="360" w:lineRule="auto"/>
        <w:rPr>
          <w:bCs/>
        </w:rPr>
      </w:pPr>
      <w:r>
        <w:rPr>
          <w:b/>
          <w:bCs/>
        </w:rPr>
        <w:t>教学重点和难点：</w:t>
      </w:r>
      <w:r>
        <w:rPr>
          <w:bCs/>
        </w:rPr>
        <w:t>强度、刚度、稳定性的概念；弹性变形和塑性变形的概念；内力、截面法、的概念；材料的三种基本假定；截面法与杆件受力变形的基本形式。</w:t>
      </w:r>
    </w:p>
    <w:p w14:paraId="408B8B3F" w14:textId="77777777" w:rsidR="00F5289E" w:rsidRDefault="00C91173">
      <w:pPr>
        <w:snapToGrid w:val="0"/>
        <w:spacing w:line="360" w:lineRule="auto"/>
        <w:rPr>
          <w:b/>
          <w:bCs/>
        </w:rPr>
      </w:pPr>
      <w:r>
        <w:rPr>
          <w:b/>
          <w:bCs/>
        </w:rPr>
        <w:t>第一节</w:t>
      </w:r>
      <w:r>
        <w:rPr>
          <w:rFonts w:hint="eastAsia"/>
          <w:b/>
          <w:bCs/>
        </w:rPr>
        <w:t xml:space="preserve">  </w:t>
      </w:r>
      <w:r>
        <w:rPr>
          <w:b/>
          <w:bCs/>
        </w:rPr>
        <w:t>关于材料的基本假定</w:t>
      </w:r>
    </w:p>
    <w:p w14:paraId="4469CB4D" w14:textId="77777777" w:rsidR="00F5289E" w:rsidRDefault="00C91173">
      <w:pPr>
        <w:pStyle w:val="a7"/>
        <w:snapToGrid w:val="0"/>
        <w:spacing w:line="360" w:lineRule="auto"/>
        <w:rPr>
          <w:rFonts w:ascii="Times New Roman"/>
        </w:rPr>
      </w:pPr>
      <w:r>
        <w:rPr>
          <w:rFonts w:ascii="Times New Roman"/>
        </w:rPr>
        <w:t>了解</w:t>
      </w:r>
      <w:bookmarkStart w:id="7" w:name="_Hlk135689627"/>
      <w:r>
        <w:rPr>
          <w:rFonts w:ascii="Times New Roman"/>
        </w:rPr>
        <w:t>材料的基本假定</w:t>
      </w:r>
      <w:bookmarkEnd w:id="7"/>
    </w:p>
    <w:p w14:paraId="29A91387" w14:textId="77777777" w:rsidR="00F5289E" w:rsidRDefault="00C91173">
      <w:pPr>
        <w:snapToGrid w:val="0"/>
        <w:spacing w:line="360" w:lineRule="auto"/>
        <w:rPr>
          <w:b/>
          <w:bCs/>
        </w:rPr>
      </w:pPr>
      <w:r>
        <w:rPr>
          <w:b/>
          <w:bCs/>
        </w:rPr>
        <w:t>第二节</w:t>
      </w:r>
      <w:r>
        <w:rPr>
          <w:rFonts w:hint="eastAsia"/>
          <w:b/>
          <w:bCs/>
        </w:rPr>
        <w:t xml:space="preserve">  </w:t>
      </w:r>
      <w:r>
        <w:rPr>
          <w:b/>
          <w:bCs/>
        </w:rPr>
        <w:t>弹性杆件的内力和外力</w:t>
      </w:r>
    </w:p>
    <w:p w14:paraId="565EF19E" w14:textId="77777777" w:rsidR="00F5289E" w:rsidRDefault="00C91173">
      <w:pPr>
        <w:pStyle w:val="a7"/>
        <w:snapToGrid w:val="0"/>
        <w:spacing w:line="360" w:lineRule="auto"/>
        <w:rPr>
          <w:rFonts w:ascii="Times New Roman"/>
        </w:rPr>
      </w:pPr>
      <w:r>
        <w:rPr>
          <w:rFonts w:ascii="Times New Roman"/>
        </w:rPr>
        <w:t>理解</w:t>
      </w:r>
      <w:bookmarkStart w:id="8" w:name="_Hlk135689271"/>
      <w:r>
        <w:rPr>
          <w:rFonts w:ascii="Times New Roman"/>
        </w:rPr>
        <w:t>内力和外力的概念</w:t>
      </w:r>
      <w:bookmarkEnd w:id="8"/>
    </w:p>
    <w:p w14:paraId="1368107E" w14:textId="77777777" w:rsidR="00F5289E" w:rsidRDefault="00C91173">
      <w:pPr>
        <w:pStyle w:val="a7"/>
        <w:snapToGrid w:val="0"/>
        <w:spacing w:line="360" w:lineRule="auto"/>
        <w:rPr>
          <w:rFonts w:ascii="Times New Roman"/>
        </w:rPr>
      </w:pPr>
      <w:r>
        <w:rPr>
          <w:rFonts w:ascii="Times New Roman"/>
        </w:rPr>
        <w:t>掌握轴力、剪力、扭矩和弯矩的定义</w:t>
      </w:r>
    </w:p>
    <w:p w14:paraId="1A4D804D" w14:textId="77777777" w:rsidR="00F5289E" w:rsidRDefault="00C91173">
      <w:pPr>
        <w:snapToGrid w:val="0"/>
        <w:spacing w:line="360" w:lineRule="auto"/>
        <w:rPr>
          <w:b/>
          <w:bCs/>
        </w:rPr>
      </w:pPr>
      <w:r>
        <w:rPr>
          <w:b/>
          <w:bCs/>
        </w:rPr>
        <w:t>第三节</w:t>
      </w:r>
      <w:r>
        <w:rPr>
          <w:rFonts w:hint="eastAsia"/>
          <w:b/>
          <w:bCs/>
        </w:rPr>
        <w:t xml:space="preserve">  </w:t>
      </w:r>
      <w:r>
        <w:rPr>
          <w:b/>
          <w:bCs/>
        </w:rPr>
        <w:t>弹性体的受力和变形特点</w:t>
      </w:r>
    </w:p>
    <w:p w14:paraId="2A3FCB3D" w14:textId="77777777" w:rsidR="00F5289E" w:rsidRDefault="00C91173">
      <w:pPr>
        <w:pStyle w:val="a7"/>
        <w:snapToGrid w:val="0"/>
        <w:spacing w:line="360" w:lineRule="auto"/>
        <w:rPr>
          <w:rFonts w:ascii="Times New Roman"/>
        </w:rPr>
      </w:pPr>
      <w:r>
        <w:rPr>
          <w:rFonts w:ascii="Times New Roman"/>
        </w:rPr>
        <w:t>了解</w:t>
      </w:r>
      <w:bookmarkStart w:id="9" w:name="_Hlk135689642"/>
      <w:r>
        <w:rPr>
          <w:rFonts w:ascii="Times New Roman"/>
        </w:rPr>
        <w:t>弹性体的受力和变形特点</w:t>
      </w:r>
      <w:bookmarkEnd w:id="9"/>
    </w:p>
    <w:p w14:paraId="6C649EA7" w14:textId="77777777" w:rsidR="00F5289E" w:rsidRDefault="00C91173">
      <w:pPr>
        <w:pStyle w:val="a7"/>
        <w:snapToGrid w:val="0"/>
        <w:spacing w:line="360" w:lineRule="auto"/>
        <w:rPr>
          <w:rFonts w:ascii="Times New Roman"/>
        </w:rPr>
      </w:pPr>
      <w:r>
        <w:rPr>
          <w:rFonts w:ascii="Times New Roman"/>
        </w:rPr>
        <w:t>理解弹性体变形后各相邻部分之间的相互关系</w:t>
      </w:r>
    </w:p>
    <w:p w14:paraId="6B274F0C" w14:textId="77777777" w:rsidR="00F5289E" w:rsidRDefault="00C91173">
      <w:pPr>
        <w:snapToGrid w:val="0"/>
        <w:spacing w:line="360" w:lineRule="auto"/>
        <w:rPr>
          <w:b/>
          <w:bCs/>
        </w:rPr>
      </w:pPr>
      <w:r>
        <w:rPr>
          <w:b/>
          <w:bCs/>
        </w:rPr>
        <w:t>第四节</w:t>
      </w:r>
      <w:r>
        <w:rPr>
          <w:rFonts w:hint="eastAsia"/>
          <w:b/>
          <w:bCs/>
        </w:rPr>
        <w:t xml:space="preserve">  </w:t>
      </w:r>
      <w:r>
        <w:rPr>
          <w:b/>
          <w:bCs/>
        </w:rPr>
        <w:t>杆件横截面上的应力</w:t>
      </w:r>
    </w:p>
    <w:p w14:paraId="5E106C3B" w14:textId="77777777" w:rsidR="00F5289E" w:rsidRDefault="00C91173">
      <w:pPr>
        <w:pStyle w:val="a7"/>
        <w:snapToGrid w:val="0"/>
        <w:spacing w:line="360" w:lineRule="auto"/>
        <w:rPr>
          <w:rFonts w:ascii="Times New Roman"/>
        </w:rPr>
      </w:pPr>
      <w:r>
        <w:rPr>
          <w:rFonts w:ascii="Times New Roman"/>
        </w:rPr>
        <w:t>理解</w:t>
      </w:r>
      <w:bookmarkStart w:id="10" w:name="_Hlk135689607"/>
      <w:r>
        <w:rPr>
          <w:rFonts w:ascii="Times New Roman"/>
        </w:rPr>
        <w:t>正应力和切应力</w:t>
      </w:r>
      <w:bookmarkEnd w:id="10"/>
      <w:r>
        <w:rPr>
          <w:rFonts w:ascii="Times New Roman"/>
        </w:rPr>
        <w:t>的概念</w:t>
      </w:r>
    </w:p>
    <w:p w14:paraId="3714EA6D" w14:textId="77777777" w:rsidR="00F5289E" w:rsidRDefault="00C91173">
      <w:pPr>
        <w:pStyle w:val="a7"/>
        <w:snapToGrid w:val="0"/>
        <w:spacing w:line="360" w:lineRule="auto"/>
        <w:rPr>
          <w:rFonts w:ascii="Times New Roman"/>
        </w:rPr>
      </w:pPr>
      <w:r>
        <w:rPr>
          <w:rFonts w:ascii="Times New Roman"/>
        </w:rPr>
        <w:t>掌握正应力、切应力与内力分量之间的关系</w:t>
      </w:r>
    </w:p>
    <w:p w14:paraId="38722D04" w14:textId="77777777" w:rsidR="00F5289E" w:rsidRDefault="00C91173">
      <w:pPr>
        <w:snapToGrid w:val="0"/>
        <w:spacing w:line="360" w:lineRule="auto"/>
        <w:rPr>
          <w:b/>
          <w:bCs/>
        </w:rPr>
      </w:pPr>
      <w:r>
        <w:rPr>
          <w:b/>
          <w:bCs/>
        </w:rPr>
        <w:t>第五节</w:t>
      </w:r>
      <w:r>
        <w:rPr>
          <w:b/>
          <w:bCs/>
        </w:rPr>
        <w:t xml:space="preserve">  </w:t>
      </w:r>
      <w:r>
        <w:rPr>
          <w:b/>
          <w:bCs/>
        </w:rPr>
        <w:t>应力和应变</w:t>
      </w:r>
    </w:p>
    <w:p w14:paraId="0F35CEFE" w14:textId="77777777" w:rsidR="00F5289E" w:rsidRDefault="00C91173">
      <w:pPr>
        <w:pStyle w:val="a7"/>
        <w:snapToGrid w:val="0"/>
        <w:spacing w:line="360" w:lineRule="auto"/>
        <w:rPr>
          <w:rFonts w:ascii="Times New Roman"/>
        </w:rPr>
      </w:pPr>
      <w:r>
        <w:rPr>
          <w:rFonts w:ascii="Times New Roman"/>
        </w:rPr>
        <w:t>理解正应变和切应变的概念</w:t>
      </w:r>
    </w:p>
    <w:p w14:paraId="1E52A644" w14:textId="77777777" w:rsidR="00F5289E" w:rsidRDefault="00C91173">
      <w:pPr>
        <w:pStyle w:val="a7"/>
        <w:snapToGrid w:val="0"/>
        <w:spacing w:line="360" w:lineRule="auto"/>
        <w:rPr>
          <w:rFonts w:ascii="Times New Roman"/>
        </w:rPr>
      </w:pPr>
      <w:r>
        <w:rPr>
          <w:rFonts w:ascii="Times New Roman"/>
        </w:rPr>
        <w:t>掌握</w:t>
      </w:r>
      <w:bookmarkStart w:id="11" w:name="_Hlk135689671"/>
      <w:r>
        <w:rPr>
          <w:rFonts w:ascii="Times New Roman"/>
        </w:rPr>
        <w:t>应力和应变的关系</w:t>
      </w:r>
      <w:bookmarkEnd w:id="11"/>
    </w:p>
    <w:p w14:paraId="63C136D3" w14:textId="77777777" w:rsidR="00F5289E" w:rsidRDefault="00C91173">
      <w:pPr>
        <w:snapToGrid w:val="0"/>
        <w:spacing w:line="360" w:lineRule="auto"/>
        <w:rPr>
          <w:b/>
          <w:bCs/>
        </w:rPr>
      </w:pPr>
      <w:r>
        <w:rPr>
          <w:b/>
          <w:bCs/>
        </w:rPr>
        <w:t>第六节</w:t>
      </w:r>
      <w:r>
        <w:rPr>
          <w:rFonts w:hint="eastAsia"/>
          <w:b/>
          <w:bCs/>
        </w:rPr>
        <w:t xml:space="preserve"> </w:t>
      </w:r>
      <w:r>
        <w:rPr>
          <w:b/>
          <w:bCs/>
        </w:rPr>
        <w:t xml:space="preserve"> </w:t>
      </w:r>
      <w:r>
        <w:rPr>
          <w:b/>
          <w:bCs/>
        </w:rPr>
        <w:t>杆件变形的基本形式</w:t>
      </w:r>
    </w:p>
    <w:p w14:paraId="0661185E" w14:textId="77777777" w:rsidR="00F5289E" w:rsidRDefault="00C91173">
      <w:pPr>
        <w:pStyle w:val="a7"/>
        <w:snapToGrid w:val="0"/>
        <w:spacing w:line="360" w:lineRule="auto"/>
        <w:rPr>
          <w:rFonts w:ascii="Times New Roman"/>
        </w:rPr>
      </w:pPr>
      <w:r>
        <w:rPr>
          <w:rFonts w:ascii="Times New Roman"/>
        </w:rPr>
        <w:t>了解杆件变形的基本形式</w:t>
      </w:r>
    </w:p>
    <w:p w14:paraId="55F08E36" w14:textId="77777777" w:rsidR="00F5289E" w:rsidRDefault="00C91173">
      <w:pPr>
        <w:pStyle w:val="a7"/>
        <w:snapToGrid w:val="0"/>
        <w:spacing w:line="360" w:lineRule="auto"/>
        <w:rPr>
          <w:rFonts w:ascii="Times New Roman"/>
        </w:rPr>
      </w:pPr>
      <w:r>
        <w:rPr>
          <w:rFonts w:ascii="Times New Roman"/>
        </w:rPr>
        <w:t>理解组合受力与变形</w:t>
      </w:r>
    </w:p>
    <w:p w14:paraId="088C9313" w14:textId="77777777" w:rsidR="00F5289E" w:rsidRDefault="00C91173">
      <w:pPr>
        <w:widowControl/>
        <w:snapToGrid w:val="0"/>
        <w:spacing w:line="360" w:lineRule="auto"/>
        <w:rPr>
          <w:bCs/>
        </w:rPr>
      </w:pPr>
      <w:r>
        <w:rPr>
          <w:b/>
          <w:bCs/>
        </w:rPr>
        <w:t>教学组织与实施：</w:t>
      </w:r>
      <w:r>
        <w:rPr>
          <w:bCs/>
        </w:rPr>
        <w:t>根据学生认知规律和接受特点，对设施结构中的常用材料特性进行观察和分析，通过学生的切身感受，最终理解领会材料力学的相关概念，掌握设施内常用材料之间的性能区别和联系。</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4A115E69" w14:textId="77777777" w:rsidTr="00C91173">
        <w:trPr>
          <w:trHeight w:val="270"/>
        </w:trPr>
        <w:tc>
          <w:tcPr>
            <w:tcW w:w="2965" w:type="dxa"/>
            <w:tcBorders>
              <w:top w:val="nil"/>
              <w:left w:val="nil"/>
              <w:bottom w:val="nil"/>
              <w:right w:val="nil"/>
            </w:tcBorders>
            <w:vAlign w:val="center"/>
          </w:tcPr>
          <w:p w14:paraId="13F2F122"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A1965CA" w14:textId="77777777" w:rsidR="004156EB" w:rsidRDefault="004156EB" w:rsidP="00C91173">
            <w:pPr>
              <w:widowControl/>
              <w:snapToGrid w:val="0"/>
              <w:spacing w:line="360" w:lineRule="auto"/>
              <w:jc w:val="center"/>
              <w:rPr>
                <w:rFonts w:hAnsi="宋体"/>
                <w:b/>
                <w:bCs/>
                <w:kern w:val="0"/>
                <w:szCs w:val="21"/>
              </w:rPr>
            </w:pPr>
            <w:r>
              <w:rPr>
                <w:b/>
                <w:bCs/>
                <w:kern w:val="0"/>
                <w:szCs w:val="21"/>
              </w:rPr>
              <w:t>第</w:t>
            </w:r>
            <w:r>
              <w:rPr>
                <w:rFonts w:hint="eastAsia"/>
                <w:b/>
                <w:bCs/>
                <w:kern w:val="0"/>
                <w:szCs w:val="21"/>
              </w:rPr>
              <w:t>五</w:t>
            </w:r>
            <w:r>
              <w:rPr>
                <w:b/>
                <w:bCs/>
                <w:kern w:val="0"/>
                <w:szCs w:val="21"/>
              </w:rPr>
              <w:t>章</w:t>
            </w:r>
            <w:r>
              <w:rPr>
                <w:b/>
                <w:bCs/>
                <w:kern w:val="0"/>
                <w:szCs w:val="21"/>
              </w:rPr>
              <w:t xml:space="preserve">  </w:t>
            </w:r>
            <w:r>
              <w:rPr>
                <w:b/>
                <w:bCs/>
                <w:kern w:val="0"/>
                <w:szCs w:val="21"/>
              </w:rPr>
              <w:t>杆件的内力图</w:t>
            </w:r>
          </w:p>
        </w:tc>
        <w:tc>
          <w:tcPr>
            <w:tcW w:w="2966" w:type="dxa"/>
            <w:tcBorders>
              <w:top w:val="nil"/>
              <w:left w:val="nil"/>
              <w:bottom w:val="nil"/>
              <w:right w:val="nil"/>
            </w:tcBorders>
            <w:vAlign w:val="center"/>
          </w:tcPr>
          <w:p w14:paraId="6B62D850"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175FCAF9" w14:textId="77777777" w:rsidR="00F5289E" w:rsidRDefault="00C91173">
      <w:pPr>
        <w:widowControl/>
        <w:snapToGrid w:val="0"/>
        <w:spacing w:line="360" w:lineRule="auto"/>
        <w:rPr>
          <w:b/>
          <w:bCs/>
          <w:kern w:val="0"/>
          <w:szCs w:val="21"/>
        </w:rPr>
      </w:pPr>
      <w:r>
        <w:rPr>
          <w:b/>
          <w:bCs/>
        </w:rPr>
        <w:t>教学目标：</w:t>
      </w:r>
      <w:r>
        <w:rPr>
          <w:bCs/>
        </w:rPr>
        <w:t>使学生了解</w:t>
      </w:r>
      <w:bookmarkStart w:id="12" w:name="_Hlk135689733"/>
      <w:r>
        <w:rPr>
          <w:bCs/>
        </w:rPr>
        <w:t>剪力、弯矩与载荷集度之间的微分关系</w:t>
      </w:r>
      <w:bookmarkEnd w:id="12"/>
      <w:r>
        <w:rPr>
          <w:bCs/>
        </w:rPr>
        <w:t>，理解并掌握</w:t>
      </w:r>
      <w:bookmarkStart w:id="13" w:name="_Hlk135689754"/>
      <w:r>
        <w:rPr>
          <w:bCs/>
        </w:rPr>
        <w:t>轴力图、扭矩图、剪力图、弯矩图的分析与绘制方法</w:t>
      </w:r>
      <w:bookmarkEnd w:id="13"/>
      <w:r>
        <w:rPr>
          <w:bCs/>
        </w:rPr>
        <w:t>。</w:t>
      </w:r>
    </w:p>
    <w:p w14:paraId="50FA6A5A" w14:textId="77777777" w:rsidR="00F5289E" w:rsidRDefault="00C91173">
      <w:pPr>
        <w:widowControl/>
        <w:snapToGrid w:val="0"/>
        <w:spacing w:line="360" w:lineRule="auto"/>
        <w:rPr>
          <w:bCs/>
        </w:rPr>
      </w:pPr>
      <w:r>
        <w:rPr>
          <w:b/>
          <w:bCs/>
        </w:rPr>
        <w:t>教学重点和难点：</w:t>
      </w:r>
      <w:bookmarkStart w:id="14" w:name="_Hlk135689766"/>
      <w:r>
        <w:rPr>
          <w:bCs/>
        </w:rPr>
        <w:t>杆件截面内力的确定</w:t>
      </w:r>
      <w:bookmarkEnd w:id="14"/>
      <w:r>
        <w:rPr>
          <w:bCs/>
        </w:rPr>
        <w:t>；轴力图、扭矩图、剪力图、弯矩图的分析与绘制。</w:t>
      </w:r>
    </w:p>
    <w:p w14:paraId="31CEEBDE" w14:textId="77777777" w:rsidR="00F5289E" w:rsidRDefault="00C91173">
      <w:pPr>
        <w:snapToGrid w:val="0"/>
        <w:spacing w:line="360" w:lineRule="auto"/>
        <w:rPr>
          <w:b/>
          <w:bCs/>
        </w:rPr>
      </w:pPr>
      <w:r>
        <w:rPr>
          <w:b/>
          <w:bCs/>
        </w:rPr>
        <w:t>第一节</w:t>
      </w:r>
      <w:r>
        <w:rPr>
          <w:b/>
          <w:bCs/>
        </w:rPr>
        <w:t xml:space="preserve">  </w:t>
      </w:r>
      <w:r>
        <w:rPr>
          <w:b/>
          <w:bCs/>
        </w:rPr>
        <w:t>轴力与扭矩图</w:t>
      </w:r>
    </w:p>
    <w:p w14:paraId="6A3B7013" w14:textId="77777777" w:rsidR="00F5289E" w:rsidRDefault="00C91173">
      <w:pPr>
        <w:pStyle w:val="a7"/>
        <w:snapToGrid w:val="0"/>
        <w:spacing w:line="360" w:lineRule="auto"/>
        <w:rPr>
          <w:rFonts w:ascii="Times New Roman"/>
        </w:rPr>
      </w:pPr>
      <w:r>
        <w:rPr>
          <w:rFonts w:ascii="Times New Roman"/>
        </w:rPr>
        <w:t>了解杆件横截面上内力与外力的相依关系</w:t>
      </w:r>
    </w:p>
    <w:p w14:paraId="05476D3C" w14:textId="77777777" w:rsidR="00F5289E" w:rsidRDefault="00C91173">
      <w:pPr>
        <w:pStyle w:val="a7"/>
        <w:snapToGrid w:val="0"/>
        <w:spacing w:line="360" w:lineRule="auto"/>
        <w:rPr>
          <w:rFonts w:ascii="Times New Roman"/>
        </w:rPr>
      </w:pPr>
      <w:r>
        <w:rPr>
          <w:rFonts w:ascii="Times New Roman"/>
        </w:rPr>
        <w:t>理解</w:t>
      </w:r>
      <w:bookmarkStart w:id="15" w:name="_Hlk135689780"/>
      <w:r>
        <w:rPr>
          <w:rFonts w:ascii="Times New Roman"/>
        </w:rPr>
        <w:t>轴力与扭矩图</w:t>
      </w:r>
      <w:bookmarkEnd w:id="15"/>
      <w:r>
        <w:rPr>
          <w:rFonts w:ascii="Times New Roman"/>
        </w:rPr>
        <w:t>的概念</w:t>
      </w:r>
    </w:p>
    <w:p w14:paraId="20365298" w14:textId="77777777" w:rsidR="00F5289E" w:rsidRDefault="00C91173">
      <w:pPr>
        <w:snapToGrid w:val="0"/>
        <w:spacing w:line="360" w:lineRule="auto"/>
        <w:rPr>
          <w:b/>
          <w:bCs/>
        </w:rPr>
      </w:pPr>
      <w:r>
        <w:rPr>
          <w:b/>
          <w:bCs/>
        </w:rPr>
        <w:t>第二节</w:t>
      </w:r>
      <w:r>
        <w:rPr>
          <w:b/>
          <w:bCs/>
        </w:rPr>
        <w:t xml:space="preserve"> </w:t>
      </w:r>
      <w:bookmarkStart w:id="16" w:name="_Hlk135689850"/>
      <w:r>
        <w:rPr>
          <w:b/>
          <w:bCs/>
        </w:rPr>
        <w:t xml:space="preserve"> </w:t>
      </w:r>
      <w:r>
        <w:rPr>
          <w:b/>
          <w:bCs/>
        </w:rPr>
        <w:t>剪力图与弯矩图</w:t>
      </w:r>
      <w:bookmarkEnd w:id="16"/>
    </w:p>
    <w:p w14:paraId="5F0B42BF" w14:textId="77777777" w:rsidR="00F5289E" w:rsidRDefault="00C91173">
      <w:pPr>
        <w:pStyle w:val="a7"/>
        <w:snapToGrid w:val="0"/>
        <w:spacing w:line="360" w:lineRule="auto"/>
        <w:rPr>
          <w:rFonts w:ascii="Times New Roman"/>
        </w:rPr>
      </w:pPr>
      <w:r>
        <w:rPr>
          <w:rFonts w:ascii="Times New Roman"/>
        </w:rPr>
        <w:t>掌握剪力方程与弯矩方程</w:t>
      </w:r>
    </w:p>
    <w:p w14:paraId="4E0C75B3" w14:textId="77777777" w:rsidR="00F5289E" w:rsidRDefault="00C91173">
      <w:pPr>
        <w:pStyle w:val="a7"/>
        <w:snapToGrid w:val="0"/>
        <w:spacing w:line="360" w:lineRule="auto"/>
        <w:rPr>
          <w:rFonts w:ascii="Times New Roman"/>
        </w:rPr>
      </w:pPr>
      <w:r>
        <w:rPr>
          <w:rFonts w:ascii="Times New Roman"/>
        </w:rPr>
        <w:lastRenderedPageBreak/>
        <w:t>理解载荷集度、剪力、弯矩间关系</w:t>
      </w:r>
    </w:p>
    <w:p w14:paraId="4F0C2579" w14:textId="77777777" w:rsidR="00F5289E" w:rsidRDefault="00C91173">
      <w:pPr>
        <w:pStyle w:val="a7"/>
        <w:snapToGrid w:val="0"/>
        <w:spacing w:line="360" w:lineRule="auto"/>
        <w:rPr>
          <w:rFonts w:ascii="Times New Roman"/>
        </w:rPr>
      </w:pPr>
      <w:r>
        <w:rPr>
          <w:rFonts w:ascii="Times New Roman"/>
        </w:rPr>
        <w:t>掌握剪力图和弯矩图的绘制</w:t>
      </w:r>
    </w:p>
    <w:p w14:paraId="20067DCF" w14:textId="77777777" w:rsidR="00F5289E" w:rsidRDefault="00C91173">
      <w:pPr>
        <w:widowControl/>
        <w:snapToGrid w:val="0"/>
        <w:spacing w:line="360" w:lineRule="auto"/>
        <w:rPr>
          <w:bCs/>
        </w:rPr>
      </w:pPr>
      <w:r>
        <w:rPr>
          <w:b/>
          <w:bCs/>
        </w:rPr>
        <w:t>教学组织与实施：</w:t>
      </w:r>
      <w:r>
        <w:rPr>
          <w:bCs/>
        </w:rPr>
        <w:t>采用多媒体和板书相结合的教学手段，将杆件的受力情况进行分析，使学生能够对杆件的内力分布情况有直观的了解，并通过课堂作业和提问互动，增强学生对知识的兴趣，能够更好掌握重点知识点。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5B782E01" w14:textId="77777777" w:rsidTr="00C91173">
        <w:trPr>
          <w:trHeight w:val="270"/>
        </w:trPr>
        <w:tc>
          <w:tcPr>
            <w:tcW w:w="2965" w:type="dxa"/>
            <w:tcBorders>
              <w:top w:val="nil"/>
              <w:left w:val="nil"/>
              <w:bottom w:val="nil"/>
              <w:right w:val="nil"/>
            </w:tcBorders>
            <w:vAlign w:val="center"/>
          </w:tcPr>
          <w:p w14:paraId="3415226D"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9D67A3A" w14:textId="77777777" w:rsidR="004156EB" w:rsidRDefault="004156EB" w:rsidP="00C91173">
            <w:pPr>
              <w:widowControl/>
              <w:snapToGrid w:val="0"/>
              <w:spacing w:line="360" w:lineRule="auto"/>
              <w:jc w:val="center"/>
              <w:rPr>
                <w:rFonts w:hAnsi="宋体"/>
                <w:b/>
                <w:bCs/>
                <w:kern w:val="0"/>
                <w:szCs w:val="21"/>
              </w:rPr>
            </w:pPr>
            <w:r>
              <w:rPr>
                <w:b/>
                <w:bCs/>
                <w:kern w:val="0"/>
                <w:szCs w:val="21"/>
              </w:rPr>
              <w:t>第六章</w:t>
            </w:r>
            <w:r>
              <w:rPr>
                <w:b/>
                <w:bCs/>
                <w:kern w:val="0"/>
                <w:szCs w:val="21"/>
              </w:rPr>
              <w:t xml:space="preserve">  </w:t>
            </w:r>
            <w:r>
              <w:rPr>
                <w:b/>
                <w:bCs/>
                <w:kern w:val="0"/>
                <w:szCs w:val="21"/>
              </w:rPr>
              <w:t>拉压杆件的应力变形分析与强度设计</w:t>
            </w:r>
          </w:p>
        </w:tc>
        <w:tc>
          <w:tcPr>
            <w:tcW w:w="2966" w:type="dxa"/>
            <w:tcBorders>
              <w:top w:val="nil"/>
              <w:left w:val="nil"/>
              <w:bottom w:val="nil"/>
              <w:right w:val="nil"/>
            </w:tcBorders>
            <w:vAlign w:val="center"/>
          </w:tcPr>
          <w:p w14:paraId="241BD99D"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2C89D1A1" w14:textId="77777777" w:rsidR="00F5289E" w:rsidRDefault="00C91173">
      <w:pPr>
        <w:widowControl/>
        <w:snapToGrid w:val="0"/>
        <w:spacing w:line="360" w:lineRule="auto"/>
        <w:rPr>
          <w:b/>
          <w:bCs/>
          <w:kern w:val="0"/>
          <w:szCs w:val="21"/>
        </w:rPr>
      </w:pPr>
      <w:r>
        <w:rPr>
          <w:b/>
          <w:bCs/>
        </w:rPr>
        <w:t>教学目标：</w:t>
      </w:r>
      <w:r>
        <w:rPr>
          <w:bCs/>
        </w:rPr>
        <w:t>了解</w:t>
      </w:r>
      <w:bookmarkStart w:id="17" w:name="_Hlk135689976"/>
      <w:r>
        <w:rPr>
          <w:bCs/>
        </w:rPr>
        <w:t>拉压杆件的超静定问题</w:t>
      </w:r>
      <w:bookmarkEnd w:id="17"/>
      <w:r>
        <w:rPr>
          <w:bCs/>
        </w:rPr>
        <w:t>、理解</w:t>
      </w:r>
      <w:bookmarkStart w:id="18" w:name="_Hlk135689992"/>
      <w:r>
        <w:rPr>
          <w:bCs/>
        </w:rPr>
        <w:t>拉伸和压缩时材料的力学性能</w:t>
      </w:r>
      <w:bookmarkEnd w:id="18"/>
      <w:r>
        <w:rPr>
          <w:bCs/>
        </w:rPr>
        <w:t>，掌握</w:t>
      </w:r>
      <w:bookmarkStart w:id="19" w:name="_Hlk135689999"/>
      <w:r>
        <w:rPr>
          <w:bCs/>
        </w:rPr>
        <w:t>拉压杆件的强度设计方法</w:t>
      </w:r>
      <w:bookmarkEnd w:id="19"/>
      <w:r>
        <w:rPr>
          <w:bCs/>
        </w:rPr>
        <w:t>。</w:t>
      </w:r>
    </w:p>
    <w:p w14:paraId="3E3BCB3B" w14:textId="77777777" w:rsidR="00F5289E" w:rsidRDefault="00C91173">
      <w:pPr>
        <w:widowControl/>
        <w:snapToGrid w:val="0"/>
        <w:spacing w:line="360" w:lineRule="auto"/>
        <w:rPr>
          <w:bCs/>
        </w:rPr>
      </w:pPr>
      <w:r>
        <w:rPr>
          <w:b/>
          <w:bCs/>
        </w:rPr>
        <w:t>教学重点和难点：</w:t>
      </w:r>
      <w:r>
        <w:rPr>
          <w:bCs/>
        </w:rPr>
        <w:t>1.</w:t>
      </w:r>
      <w:r>
        <w:rPr>
          <w:bCs/>
        </w:rPr>
        <w:t>拉压杆件的强度设计；</w:t>
      </w:r>
      <w:r>
        <w:rPr>
          <w:bCs/>
        </w:rPr>
        <w:t>2.</w:t>
      </w:r>
      <w:r>
        <w:rPr>
          <w:bCs/>
        </w:rPr>
        <w:t>杆件材料的力学性能；</w:t>
      </w:r>
    </w:p>
    <w:p w14:paraId="16F063B0" w14:textId="77777777" w:rsidR="00F5289E" w:rsidRDefault="00C91173">
      <w:pPr>
        <w:snapToGrid w:val="0"/>
        <w:spacing w:line="360" w:lineRule="auto"/>
        <w:rPr>
          <w:b/>
          <w:bCs/>
        </w:rPr>
      </w:pPr>
      <w:r>
        <w:rPr>
          <w:b/>
          <w:bCs/>
        </w:rPr>
        <w:t>第一节</w:t>
      </w:r>
      <w:r>
        <w:rPr>
          <w:b/>
          <w:bCs/>
        </w:rPr>
        <w:t xml:space="preserve">  </w:t>
      </w:r>
      <w:r>
        <w:rPr>
          <w:b/>
          <w:bCs/>
        </w:rPr>
        <w:t>拉伸与压缩杆件的应力与变形</w:t>
      </w:r>
    </w:p>
    <w:p w14:paraId="1F2D14D5" w14:textId="77777777" w:rsidR="00F5289E" w:rsidRDefault="00C91173">
      <w:pPr>
        <w:pStyle w:val="a7"/>
        <w:snapToGrid w:val="0"/>
        <w:spacing w:line="360" w:lineRule="auto"/>
        <w:rPr>
          <w:rFonts w:ascii="Times New Roman"/>
        </w:rPr>
      </w:pPr>
      <w:r>
        <w:rPr>
          <w:rFonts w:ascii="Times New Roman"/>
        </w:rPr>
        <w:t>掌握拉杆的应力和变形计算</w:t>
      </w:r>
    </w:p>
    <w:p w14:paraId="1F84E435" w14:textId="77777777" w:rsidR="00F5289E" w:rsidRDefault="00C91173">
      <w:pPr>
        <w:snapToGrid w:val="0"/>
        <w:spacing w:line="360" w:lineRule="auto"/>
        <w:rPr>
          <w:b/>
          <w:bCs/>
        </w:rPr>
      </w:pPr>
      <w:r>
        <w:rPr>
          <w:b/>
          <w:bCs/>
        </w:rPr>
        <w:t>第二节</w:t>
      </w:r>
      <w:r>
        <w:rPr>
          <w:rFonts w:hint="eastAsia"/>
          <w:b/>
          <w:bCs/>
        </w:rPr>
        <w:t xml:space="preserve"> </w:t>
      </w:r>
      <w:r>
        <w:rPr>
          <w:b/>
          <w:bCs/>
        </w:rPr>
        <w:t xml:space="preserve"> </w:t>
      </w:r>
      <w:r>
        <w:rPr>
          <w:b/>
          <w:bCs/>
        </w:rPr>
        <w:t>拉伸与压缩杆件的强度设计</w:t>
      </w:r>
    </w:p>
    <w:p w14:paraId="48337AE7" w14:textId="77777777" w:rsidR="00F5289E" w:rsidRDefault="00C91173">
      <w:pPr>
        <w:pStyle w:val="a7"/>
        <w:snapToGrid w:val="0"/>
        <w:spacing w:line="360" w:lineRule="auto"/>
        <w:rPr>
          <w:rFonts w:ascii="Times New Roman"/>
        </w:rPr>
      </w:pPr>
      <w:r>
        <w:rPr>
          <w:rFonts w:ascii="Times New Roman"/>
        </w:rPr>
        <w:t>了解强度设计</w:t>
      </w:r>
    </w:p>
    <w:p w14:paraId="79FECBDA" w14:textId="77777777" w:rsidR="00F5289E" w:rsidRDefault="00C91173">
      <w:pPr>
        <w:pStyle w:val="a7"/>
        <w:snapToGrid w:val="0"/>
        <w:spacing w:line="360" w:lineRule="auto"/>
        <w:rPr>
          <w:rFonts w:ascii="Times New Roman"/>
        </w:rPr>
      </w:pPr>
      <w:r>
        <w:rPr>
          <w:rFonts w:ascii="Times New Roman"/>
        </w:rPr>
        <w:t>理解强度设计准则</w:t>
      </w:r>
    </w:p>
    <w:p w14:paraId="3EDF6587" w14:textId="77777777" w:rsidR="00F5289E" w:rsidRDefault="00C91173">
      <w:pPr>
        <w:snapToGrid w:val="0"/>
        <w:spacing w:line="360" w:lineRule="auto"/>
        <w:rPr>
          <w:b/>
          <w:bCs/>
        </w:rPr>
      </w:pPr>
      <w:r>
        <w:rPr>
          <w:b/>
          <w:bCs/>
        </w:rPr>
        <w:t>第三节</w:t>
      </w:r>
      <w:r>
        <w:rPr>
          <w:rFonts w:hint="eastAsia"/>
          <w:b/>
          <w:bCs/>
        </w:rPr>
        <w:t xml:space="preserve">  </w:t>
      </w:r>
      <w:r>
        <w:rPr>
          <w:b/>
          <w:bCs/>
        </w:rPr>
        <w:t>拉伸与压缩时材料的力学性能</w:t>
      </w:r>
    </w:p>
    <w:p w14:paraId="1B46C549" w14:textId="77777777" w:rsidR="00F5289E" w:rsidRDefault="00C91173">
      <w:pPr>
        <w:pStyle w:val="a7"/>
        <w:snapToGrid w:val="0"/>
        <w:spacing w:line="360" w:lineRule="auto"/>
        <w:rPr>
          <w:rFonts w:ascii="Times New Roman"/>
        </w:rPr>
      </w:pPr>
      <w:r>
        <w:rPr>
          <w:rFonts w:ascii="Times New Roman"/>
        </w:rPr>
        <w:t>掌握韧性材料拉伸时的力学性能</w:t>
      </w:r>
    </w:p>
    <w:p w14:paraId="050B41D0" w14:textId="77777777" w:rsidR="00F5289E" w:rsidRDefault="00C91173">
      <w:pPr>
        <w:pStyle w:val="a7"/>
        <w:snapToGrid w:val="0"/>
        <w:spacing w:line="360" w:lineRule="auto"/>
        <w:rPr>
          <w:rFonts w:ascii="Times New Roman"/>
        </w:rPr>
      </w:pPr>
      <w:r>
        <w:rPr>
          <w:rFonts w:ascii="Times New Roman"/>
        </w:rPr>
        <w:t>掌握脆性材料拉伸时的力学性能</w:t>
      </w:r>
    </w:p>
    <w:p w14:paraId="1BE87632" w14:textId="77777777" w:rsidR="00F5289E" w:rsidRDefault="00C91173">
      <w:pPr>
        <w:widowControl/>
        <w:snapToGrid w:val="0"/>
        <w:spacing w:line="360" w:lineRule="auto"/>
        <w:rPr>
          <w:bCs/>
        </w:rPr>
      </w:pPr>
      <w:r>
        <w:rPr>
          <w:b/>
          <w:bCs/>
        </w:rPr>
        <w:t>教学组织与实施：</w:t>
      </w:r>
      <w:r>
        <w:rPr>
          <w:bCs/>
        </w:rPr>
        <w:t>安排学生提前进行预习课本内容，上课前对学生进行提问，明确学生在预习过程当中的遇到问题，针对这些问题开始进行讲解，课后向学生布置作业，以了解学生对本章内容的掌握情况。</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4156EB" w14:paraId="6447FA14" w14:textId="77777777" w:rsidTr="00C91173">
        <w:trPr>
          <w:trHeight w:val="270"/>
        </w:trPr>
        <w:tc>
          <w:tcPr>
            <w:tcW w:w="2965" w:type="dxa"/>
            <w:tcBorders>
              <w:top w:val="nil"/>
              <w:left w:val="nil"/>
              <w:bottom w:val="nil"/>
              <w:right w:val="nil"/>
            </w:tcBorders>
            <w:vAlign w:val="center"/>
          </w:tcPr>
          <w:p w14:paraId="400B2764" w14:textId="77777777" w:rsidR="004156EB" w:rsidRDefault="004156EB"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6F30F42" w14:textId="77777777" w:rsidR="004156EB" w:rsidRDefault="004156EB" w:rsidP="00C91173">
            <w:pPr>
              <w:widowControl/>
              <w:snapToGrid w:val="0"/>
              <w:spacing w:line="360" w:lineRule="auto"/>
              <w:jc w:val="center"/>
              <w:rPr>
                <w:rFonts w:hAnsi="宋体"/>
                <w:b/>
                <w:bCs/>
                <w:kern w:val="0"/>
                <w:szCs w:val="21"/>
              </w:rPr>
            </w:pPr>
            <w:r>
              <w:rPr>
                <w:b/>
                <w:bCs/>
                <w:kern w:val="0"/>
                <w:szCs w:val="21"/>
              </w:rPr>
              <w:t>第七章</w:t>
            </w:r>
            <w:r>
              <w:rPr>
                <w:b/>
                <w:bCs/>
                <w:kern w:val="0"/>
                <w:szCs w:val="21"/>
              </w:rPr>
              <w:t xml:space="preserve">  </w:t>
            </w:r>
            <w:r>
              <w:rPr>
                <w:b/>
                <w:bCs/>
                <w:kern w:val="0"/>
                <w:szCs w:val="21"/>
              </w:rPr>
              <w:t>梁的强度问题</w:t>
            </w:r>
          </w:p>
        </w:tc>
        <w:tc>
          <w:tcPr>
            <w:tcW w:w="2966" w:type="dxa"/>
            <w:tcBorders>
              <w:top w:val="nil"/>
              <w:left w:val="nil"/>
              <w:bottom w:val="nil"/>
              <w:right w:val="nil"/>
            </w:tcBorders>
            <w:vAlign w:val="center"/>
          </w:tcPr>
          <w:p w14:paraId="359D07FB"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3851BF90" w14:textId="77777777" w:rsidR="00F5289E" w:rsidRDefault="00C91173">
      <w:pPr>
        <w:widowControl/>
        <w:snapToGrid w:val="0"/>
        <w:spacing w:line="360" w:lineRule="auto"/>
        <w:rPr>
          <w:b/>
          <w:bCs/>
          <w:kern w:val="0"/>
          <w:szCs w:val="21"/>
        </w:rPr>
      </w:pPr>
      <w:r>
        <w:rPr>
          <w:b/>
          <w:bCs/>
        </w:rPr>
        <w:t>教学目标：</w:t>
      </w:r>
      <w:r>
        <w:rPr>
          <w:bCs/>
        </w:rPr>
        <w:t>了解</w:t>
      </w:r>
      <w:bookmarkStart w:id="20" w:name="_Hlk135690106"/>
      <w:r>
        <w:rPr>
          <w:bCs/>
        </w:rPr>
        <w:t>斜弯曲</w:t>
      </w:r>
      <w:bookmarkEnd w:id="20"/>
      <w:r>
        <w:rPr>
          <w:bCs/>
        </w:rPr>
        <w:t>，理解</w:t>
      </w:r>
      <w:bookmarkStart w:id="21" w:name="_Hlk135690118"/>
      <w:r>
        <w:rPr>
          <w:bCs/>
        </w:rPr>
        <w:t>与应力分析相关的截面图形的几何性质</w:t>
      </w:r>
      <w:bookmarkEnd w:id="21"/>
      <w:r>
        <w:rPr>
          <w:bCs/>
        </w:rPr>
        <w:t>，掌握</w:t>
      </w:r>
      <w:bookmarkStart w:id="22" w:name="_Hlk135690126"/>
      <w:r>
        <w:rPr>
          <w:bCs/>
        </w:rPr>
        <w:t>平面弯曲时梁横截面上正应力分析方法及梁的强度计算方法</w:t>
      </w:r>
      <w:bookmarkEnd w:id="22"/>
      <w:r>
        <w:rPr>
          <w:bCs/>
        </w:rPr>
        <w:t>。</w:t>
      </w:r>
    </w:p>
    <w:p w14:paraId="332EB92D" w14:textId="77777777" w:rsidR="00F5289E" w:rsidRDefault="00C91173">
      <w:pPr>
        <w:widowControl/>
        <w:snapToGrid w:val="0"/>
        <w:spacing w:line="360" w:lineRule="auto"/>
        <w:rPr>
          <w:bCs/>
        </w:rPr>
      </w:pPr>
      <w:r>
        <w:rPr>
          <w:b/>
          <w:bCs/>
        </w:rPr>
        <w:t>教学重点和难点：</w:t>
      </w:r>
      <w:r>
        <w:rPr>
          <w:bCs/>
        </w:rPr>
        <w:t>与应力分析相关的截面图形的几何性质；梁的应力分析与强度设计；</w:t>
      </w:r>
    </w:p>
    <w:p w14:paraId="2282C03A" w14:textId="77777777" w:rsidR="00F5289E" w:rsidRDefault="00C91173">
      <w:pPr>
        <w:snapToGrid w:val="0"/>
        <w:spacing w:line="360" w:lineRule="auto"/>
        <w:rPr>
          <w:b/>
          <w:bCs/>
        </w:rPr>
      </w:pPr>
      <w:r>
        <w:rPr>
          <w:b/>
          <w:bCs/>
        </w:rPr>
        <w:t>第一节</w:t>
      </w:r>
      <w:r>
        <w:rPr>
          <w:rFonts w:hint="eastAsia"/>
          <w:b/>
          <w:bCs/>
        </w:rPr>
        <w:t xml:space="preserve"> </w:t>
      </w:r>
      <w:r>
        <w:rPr>
          <w:b/>
          <w:bCs/>
        </w:rPr>
        <w:t xml:space="preserve"> </w:t>
      </w:r>
      <w:r>
        <w:rPr>
          <w:b/>
          <w:bCs/>
        </w:rPr>
        <w:t>与应力分析相关的截面图形几何性质</w:t>
      </w:r>
    </w:p>
    <w:p w14:paraId="0D15327C" w14:textId="77777777" w:rsidR="00F5289E" w:rsidRDefault="00C91173">
      <w:pPr>
        <w:pStyle w:val="a7"/>
        <w:snapToGrid w:val="0"/>
        <w:spacing w:line="360" w:lineRule="auto"/>
        <w:rPr>
          <w:rFonts w:ascii="Times New Roman"/>
        </w:rPr>
      </w:pPr>
      <w:r>
        <w:rPr>
          <w:rFonts w:ascii="Times New Roman"/>
        </w:rPr>
        <w:t>了解工程中的弯曲构件</w:t>
      </w:r>
    </w:p>
    <w:p w14:paraId="013E887B" w14:textId="77777777" w:rsidR="00F5289E" w:rsidRDefault="00C91173">
      <w:pPr>
        <w:pStyle w:val="a7"/>
        <w:snapToGrid w:val="0"/>
        <w:spacing w:line="360" w:lineRule="auto"/>
        <w:rPr>
          <w:rFonts w:ascii="Times New Roman"/>
        </w:rPr>
      </w:pPr>
      <w:r>
        <w:rPr>
          <w:rFonts w:ascii="Times New Roman"/>
        </w:rPr>
        <w:t>理解</w:t>
      </w:r>
      <w:bookmarkStart w:id="23" w:name="_Hlk135690218"/>
      <w:r>
        <w:rPr>
          <w:rFonts w:ascii="Times New Roman"/>
        </w:rPr>
        <w:t>静矩、形心及其相互关系</w:t>
      </w:r>
      <w:bookmarkEnd w:id="23"/>
    </w:p>
    <w:p w14:paraId="57068A75" w14:textId="77777777" w:rsidR="00F5289E" w:rsidRDefault="00C91173">
      <w:pPr>
        <w:pStyle w:val="a7"/>
        <w:snapToGrid w:val="0"/>
        <w:spacing w:line="360" w:lineRule="auto"/>
        <w:rPr>
          <w:rFonts w:ascii="Times New Roman"/>
        </w:rPr>
      </w:pPr>
      <w:r>
        <w:rPr>
          <w:rFonts w:ascii="Times New Roman"/>
        </w:rPr>
        <w:t>掌握</w:t>
      </w:r>
      <w:bookmarkStart w:id="24" w:name="_Hlk135690229"/>
      <w:r>
        <w:rPr>
          <w:rFonts w:ascii="Times New Roman"/>
        </w:rPr>
        <w:t>惯性矩与惯性积的移轴定理和转轴定理</w:t>
      </w:r>
      <w:bookmarkEnd w:id="24"/>
    </w:p>
    <w:p w14:paraId="30FA980D" w14:textId="77777777" w:rsidR="00F5289E" w:rsidRDefault="00C91173">
      <w:pPr>
        <w:snapToGrid w:val="0"/>
        <w:spacing w:line="360" w:lineRule="auto"/>
        <w:rPr>
          <w:b/>
          <w:bCs/>
        </w:rPr>
      </w:pPr>
      <w:r>
        <w:rPr>
          <w:b/>
          <w:bCs/>
        </w:rPr>
        <w:t>第二节</w:t>
      </w:r>
      <w:r>
        <w:rPr>
          <w:b/>
          <w:bCs/>
        </w:rPr>
        <w:t xml:space="preserve"> </w:t>
      </w:r>
      <w:bookmarkStart w:id="25" w:name="_Hlk135690944"/>
      <w:r>
        <w:rPr>
          <w:b/>
          <w:bCs/>
        </w:rPr>
        <w:t xml:space="preserve"> </w:t>
      </w:r>
      <w:r>
        <w:rPr>
          <w:b/>
          <w:bCs/>
        </w:rPr>
        <w:t>平面弯曲时梁横截面上的正应力</w:t>
      </w:r>
      <w:bookmarkEnd w:id="25"/>
    </w:p>
    <w:p w14:paraId="18A7FF18" w14:textId="77777777" w:rsidR="00F5289E" w:rsidRDefault="00C91173">
      <w:pPr>
        <w:pStyle w:val="a7"/>
        <w:snapToGrid w:val="0"/>
        <w:spacing w:line="360" w:lineRule="auto"/>
        <w:rPr>
          <w:rFonts w:ascii="Times New Roman"/>
        </w:rPr>
      </w:pPr>
      <w:r>
        <w:rPr>
          <w:rFonts w:ascii="Times New Roman"/>
        </w:rPr>
        <w:t>理解平面弯曲与纯弯曲</w:t>
      </w:r>
    </w:p>
    <w:p w14:paraId="7FF2036C" w14:textId="77777777" w:rsidR="00F5289E" w:rsidRDefault="00C91173">
      <w:pPr>
        <w:pStyle w:val="a7"/>
        <w:snapToGrid w:val="0"/>
        <w:spacing w:line="360" w:lineRule="auto"/>
        <w:rPr>
          <w:rFonts w:ascii="Times New Roman"/>
        </w:rPr>
      </w:pPr>
      <w:r>
        <w:rPr>
          <w:rFonts w:ascii="Times New Roman"/>
        </w:rPr>
        <w:t>掌握</w:t>
      </w:r>
      <w:bookmarkStart w:id="26" w:name="_Hlk135690194"/>
      <w:r>
        <w:rPr>
          <w:rFonts w:ascii="Times New Roman"/>
        </w:rPr>
        <w:t>平面曲时梁横截面上正应力分析</w:t>
      </w:r>
      <w:bookmarkEnd w:id="26"/>
    </w:p>
    <w:p w14:paraId="027A3FEC" w14:textId="77777777" w:rsidR="00F5289E" w:rsidRDefault="00C91173">
      <w:pPr>
        <w:pStyle w:val="a7"/>
        <w:snapToGrid w:val="0"/>
        <w:spacing w:line="360" w:lineRule="auto"/>
        <w:rPr>
          <w:rFonts w:ascii="Times New Roman"/>
        </w:rPr>
      </w:pPr>
      <w:bookmarkStart w:id="27" w:name="_Hlk135690959"/>
      <w:r>
        <w:rPr>
          <w:rFonts w:ascii="Times New Roman"/>
        </w:rPr>
        <w:t>掌握梁的强度计算</w:t>
      </w:r>
      <w:bookmarkEnd w:id="27"/>
    </w:p>
    <w:p w14:paraId="26F2F39D" w14:textId="77777777" w:rsidR="00F5289E" w:rsidRDefault="00C91173">
      <w:pPr>
        <w:widowControl/>
        <w:snapToGrid w:val="0"/>
        <w:spacing w:line="360" w:lineRule="auto"/>
        <w:rPr>
          <w:bCs/>
        </w:rPr>
      </w:pPr>
      <w:bookmarkStart w:id="28" w:name="_Hlk135690779"/>
      <w:r>
        <w:rPr>
          <w:b/>
          <w:bCs/>
        </w:rPr>
        <w:lastRenderedPageBreak/>
        <w:t>教学组织与实施：</w:t>
      </w:r>
      <w:r>
        <w:rPr>
          <w:bCs/>
        </w:rPr>
        <w:t>课前预习中使用思考题以及各种类型题目的测试，了解学生对知识的掌握程度；利用超星教学平台，通过发布讨论、设置抢答等环节，做好与学生的互动。</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4156EB" w14:paraId="6819AA43" w14:textId="77777777" w:rsidTr="004156EB">
        <w:trPr>
          <w:trHeight w:val="270"/>
        </w:trPr>
        <w:tc>
          <w:tcPr>
            <w:tcW w:w="2831" w:type="dxa"/>
            <w:tcBorders>
              <w:top w:val="nil"/>
              <w:left w:val="nil"/>
              <w:bottom w:val="nil"/>
              <w:right w:val="nil"/>
            </w:tcBorders>
            <w:vAlign w:val="center"/>
          </w:tcPr>
          <w:p w14:paraId="51788E53" w14:textId="77777777" w:rsidR="004156EB" w:rsidRPr="004156EB" w:rsidRDefault="004156EB" w:rsidP="00C91173">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18F8F127" w14:textId="77777777" w:rsidR="004156EB" w:rsidRDefault="004156EB" w:rsidP="00C91173">
            <w:pPr>
              <w:widowControl/>
              <w:snapToGrid w:val="0"/>
              <w:spacing w:line="360" w:lineRule="auto"/>
              <w:jc w:val="center"/>
              <w:rPr>
                <w:rFonts w:hAnsi="宋体"/>
                <w:b/>
                <w:bCs/>
                <w:kern w:val="0"/>
                <w:szCs w:val="21"/>
              </w:rPr>
            </w:pPr>
            <w:r>
              <w:rPr>
                <w:b/>
                <w:bCs/>
                <w:kern w:val="0"/>
                <w:szCs w:val="21"/>
              </w:rPr>
              <w:t>第八章</w:t>
            </w:r>
            <w:r>
              <w:rPr>
                <w:b/>
                <w:bCs/>
                <w:kern w:val="0"/>
                <w:szCs w:val="21"/>
              </w:rPr>
              <w:t xml:space="preserve">  </w:t>
            </w:r>
            <w:r>
              <w:rPr>
                <w:b/>
                <w:bCs/>
                <w:kern w:val="0"/>
                <w:szCs w:val="21"/>
              </w:rPr>
              <w:t>梁的位移分析与刚度设计</w:t>
            </w:r>
          </w:p>
        </w:tc>
        <w:tc>
          <w:tcPr>
            <w:tcW w:w="2804" w:type="dxa"/>
            <w:tcBorders>
              <w:top w:val="nil"/>
              <w:left w:val="nil"/>
              <w:bottom w:val="nil"/>
              <w:right w:val="nil"/>
            </w:tcBorders>
            <w:vAlign w:val="center"/>
          </w:tcPr>
          <w:p w14:paraId="21482755"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bookmarkEnd w:id="28"/>
    <w:p w14:paraId="3BA5C9FF" w14:textId="77777777" w:rsidR="00F5289E" w:rsidRDefault="00C91173">
      <w:pPr>
        <w:widowControl/>
        <w:snapToGrid w:val="0"/>
        <w:spacing w:line="360" w:lineRule="auto"/>
        <w:rPr>
          <w:b/>
          <w:bCs/>
          <w:kern w:val="0"/>
          <w:szCs w:val="21"/>
        </w:rPr>
      </w:pPr>
      <w:r>
        <w:rPr>
          <w:b/>
          <w:bCs/>
        </w:rPr>
        <w:t>教学目标：</w:t>
      </w:r>
      <w:r>
        <w:rPr>
          <w:bCs/>
        </w:rPr>
        <w:t>了解</w:t>
      </w:r>
      <w:bookmarkStart w:id="29" w:name="_Hlk135690264"/>
      <w:r>
        <w:rPr>
          <w:bCs/>
        </w:rPr>
        <w:t>求解超静定问题的方法</w:t>
      </w:r>
      <w:bookmarkEnd w:id="29"/>
      <w:r>
        <w:rPr>
          <w:bCs/>
        </w:rPr>
        <w:t>，理解</w:t>
      </w:r>
      <w:bookmarkStart w:id="30" w:name="_Hlk135690279"/>
      <w:r>
        <w:rPr>
          <w:bCs/>
        </w:rPr>
        <w:t>挠度、转角、挠度曲线</w:t>
      </w:r>
      <w:bookmarkEnd w:id="30"/>
      <w:r>
        <w:rPr>
          <w:bCs/>
        </w:rPr>
        <w:t>等基本概念，掌握</w:t>
      </w:r>
      <w:bookmarkStart w:id="31" w:name="_Hlk135690297"/>
      <w:r>
        <w:rPr>
          <w:bCs/>
        </w:rPr>
        <w:t>小挠度微分方程、叠加法及其在刚度设计中的应用</w:t>
      </w:r>
      <w:bookmarkEnd w:id="31"/>
      <w:r>
        <w:rPr>
          <w:bCs/>
        </w:rPr>
        <w:t>。</w:t>
      </w:r>
    </w:p>
    <w:p w14:paraId="62430690" w14:textId="77777777" w:rsidR="00F5289E" w:rsidRDefault="00C91173">
      <w:pPr>
        <w:widowControl/>
        <w:snapToGrid w:val="0"/>
        <w:spacing w:line="360" w:lineRule="auto"/>
        <w:rPr>
          <w:bCs/>
        </w:rPr>
      </w:pPr>
      <w:r>
        <w:rPr>
          <w:b/>
          <w:bCs/>
        </w:rPr>
        <w:t>教学重点和难点：</w:t>
      </w:r>
      <w:r>
        <w:rPr>
          <w:bCs/>
        </w:rPr>
        <w:t>小挠度微分方程；叠加法</w:t>
      </w:r>
    </w:p>
    <w:p w14:paraId="405FB4BA" w14:textId="77777777" w:rsidR="00F5289E" w:rsidRDefault="00C91173">
      <w:pPr>
        <w:snapToGrid w:val="0"/>
        <w:spacing w:line="360" w:lineRule="auto"/>
        <w:rPr>
          <w:b/>
          <w:bCs/>
        </w:rPr>
      </w:pPr>
      <w:r>
        <w:rPr>
          <w:b/>
          <w:bCs/>
        </w:rPr>
        <w:t>第一节</w:t>
      </w:r>
      <w:r>
        <w:rPr>
          <w:b/>
          <w:bCs/>
        </w:rPr>
        <w:t xml:space="preserve">  </w:t>
      </w:r>
      <w:r>
        <w:rPr>
          <w:b/>
          <w:bCs/>
        </w:rPr>
        <w:t>小挠度微分方程及其积分</w:t>
      </w:r>
    </w:p>
    <w:p w14:paraId="32A52B6C" w14:textId="77777777" w:rsidR="00F5289E" w:rsidRDefault="00C91173">
      <w:pPr>
        <w:pStyle w:val="a7"/>
        <w:snapToGrid w:val="0"/>
        <w:spacing w:line="360" w:lineRule="auto"/>
        <w:rPr>
          <w:rFonts w:ascii="Times New Roman"/>
        </w:rPr>
      </w:pPr>
      <w:r>
        <w:rPr>
          <w:rFonts w:ascii="Times New Roman"/>
        </w:rPr>
        <w:t>理解</w:t>
      </w:r>
      <w:bookmarkStart w:id="32" w:name="_Hlk135690337"/>
      <w:r>
        <w:rPr>
          <w:rFonts w:ascii="Times New Roman"/>
        </w:rPr>
        <w:t>挠度、转角和挠度曲线</w:t>
      </w:r>
      <w:bookmarkEnd w:id="32"/>
    </w:p>
    <w:p w14:paraId="057F9EA3" w14:textId="77777777" w:rsidR="00F5289E" w:rsidRDefault="00C91173">
      <w:pPr>
        <w:pStyle w:val="a7"/>
        <w:snapToGrid w:val="0"/>
        <w:spacing w:line="360" w:lineRule="auto"/>
        <w:rPr>
          <w:rFonts w:ascii="Times New Roman"/>
        </w:rPr>
      </w:pPr>
      <w:r>
        <w:rPr>
          <w:rFonts w:ascii="Times New Roman"/>
        </w:rPr>
        <w:t>掌握</w:t>
      </w:r>
      <w:bookmarkStart w:id="33" w:name="_Hlk135690348"/>
      <w:r>
        <w:rPr>
          <w:rFonts w:ascii="Times New Roman"/>
        </w:rPr>
        <w:t>小挠度曲线微分方程的应用</w:t>
      </w:r>
      <w:bookmarkEnd w:id="33"/>
    </w:p>
    <w:p w14:paraId="0BF582DF" w14:textId="77777777" w:rsidR="00F5289E" w:rsidRDefault="00C91173">
      <w:pPr>
        <w:snapToGrid w:val="0"/>
        <w:spacing w:line="360" w:lineRule="auto"/>
        <w:rPr>
          <w:b/>
          <w:bCs/>
        </w:rPr>
      </w:pPr>
      <w:r>
        <w:rPr>
          <w:b/>
          <w:bCs/>
        </w:rPr>
        <w:t>第二节</w:t>
      </w:r>
      <w:r>
        <w:rPr>
          <w:rFonts w:hint="eastAsia"/>
          <w:b/>
          <w:bCs/>
        </w:rPr>
        <w:t xml:space="preserve"> </w:t>
      </w:r>
      <w:r>
        <w:rPr>
          <w:b/>
          <w:bCs/>
        </w:rPr>
        <w:t xml:space="preserve"> </w:t>
      </w:r>
      <w:r>
        <w:rPr>
          <w:b/>
          <w:bCs/>
        </w:rPr>
        <w:t>工程中的叠加法</w:t>
      </w:r>
    </w:p>
    <w:p w14:paraId="64AA6C91" w14:textId="77777777" w:rsidR="00F5289E" w:rsidRDefault="00C91173">
      <w:pPr>
        <w:pStyle w:val="a7"/>
        <w:snapToGrid w:val="0"/>
        <w:spacing w:line="360" w:lineRule="auto"/>
        <w:rPr>
          <w:rFonts w:ascii="Times New Roman"/>
        </w:rPr>
      </w:pPr>
      <w:r>
        <w:rPr>
          <w:rFonts w:ascii="Times New Roman"/>
        </w:rPr>
        <w:t>了解叠加法应用于间断性分布载荷作用的情形</w:t>
      </w:r>
    </w:p>
    <w:p w14:paraId="7913E26B" w14:textId="77777777" w:rsidR="00F5289E" w:rsidRDefault="00C91173">
      <w:pPr>
        <w:pStyle w:val="a7"/>
        <w:snapToGrid w:val="0"/>
        <w:spacing w:line="360" w:lineRule="auto"/>
        <w:rPr>
          <w:rFonts w:ascii="Times New Roman"/>
        </w:rPr>
      </w:pPr>
      <w:r>
        <w:rPr>
          <w:rFonts w:ascii="Times New Roman"/>
        </w:rPr>
        <w:t>掌握</w:t>
      </w:r>
      <w:bookmarkStart w:id="34" w:name="_Hlk135690309"/>
      <w:r>
        <w:rPr>
          <w:rFonts w:ascii="Times New Roman"/>
        </w:rPr>
        <w:t>叠加法应用于多个载荷作用的情形</w:t>
      </w:r>
      <w:bookmarkEnd w:id="34"/>
    </w:p>
    <w:p w14:paraId="0AE22AB8" w14:textId="77777777" w:rsidR="00F5289E" w:rsidRDefault="00C91173">
      <w:pPr>
        <w:snapToGrid w:val="0"/>
        <w:spacing w:line="360" w:lineRule="auto"/>
        <w:rPr>
          <w:b/>
          <w:bCs/>
        </w:rPr>
      </w:pPr>
      <w:r>
        <w:rPr>
          <w:b/>
          <w:bCs/>
        </w:rPr>
        <w:t>第三节</w:t>
      </w:r>
      <w:r>
        <w:rPr>
          <w:rFonts w:hint="eastAsia"/>
          <w:b/>
          <w:bCs/>
        </w:rPr>
        <w:t xml:space="preserve"> </w:t>
      </w:r>
      <w:r>
        <w:rPr>
          <w:b/>
          <w:bCs/>
        </w:rPr>
        <w:t xml:space="preserve"> </w:t>
      </w:r>
      <w:r>
        <w:rPr>
          <w:b/>
          <w:bCs/>
        </w:rPr>
        <w:t>简单的超静定梁</w:t>
      </w:r>
    </w:p>
    <w:p w14:paraId="218D9476" w14:textId="77777777" w:rsidR="00F5289E" w:rsidRDefault="00C91173">
      <w:pPr>
        <w:pStyle w:val="a7"/>
        <w:snapToGrid w:val="0"/>
        <w:spacing w:line="360" w:lineRule="auto"/>
        <w:rPr>
          <w:rFonts w:ascii="Times New Roman"/>
        </w:rPr>
      </w:pPr>
      <w:r>
        <w:rPr>
          <w:rFonts w:ascii="Times New Roman"/>
        </w:rPr>
        <w:t>了解变形和位移的关系</w:t>
      </w:r>
    </w:p>
    <w:p w14:paraId="4F852E82" w14:textId="77777777" w:rsidR="00F5289E" w:rsidRDefault="00C91173">
      <w:pPr>
        <w:pStyle w:val="a7"/>
        <w:snapToGrid w:val="0"/>
        <w:spacing w:line="360" w:lineRule="auto"/>
        <w:rPr>
          <w:rFonts w:ascii="Times New Roman"/>
        </w:rPr>
      </w:pPr>
      <w:r>
        <w:rPr>
          <w:rFonts w:ascii="Times New Roman"/>
        </w:rPr>
        <w:t>掌握求解超静定梁的基本方法</w:t>
      </w:r>
    </w:p>
    <w:p w14:paraId="4356218B" w14:textId="77777777" w:rsidR="00F5289E" w:rsidRDefault="00C91173">
      <w:pPr>
        <w:snapToGrid w:val="0"/>
        <w:spacing w:line="360" w:lineRule="auto"/>
        <w:rPr>
          <w:b/>
          <w:bCs/>
        </w:rPr>
      </w:pPr>
      <w:r>
        <w:rPr>
          <w:b/>
          <w:bCs/>
        </w:rPr>
        <w:t>第四节</w:t>
      </w:r>
      <w:r>
        <w:rPr>
          <w:rFonts w:hint="eastAsia"/>
          <w:b/>
          <w:bCs/>
        </w:rPr>
        <w:t xml:space="preserve"> </w:t>
      </w:r>
      <w:r>
        <w:rPr>
          <w:b/>
          <w:bCs/>
        </w:rPr>
        <w:t xml:space="preserve"> </w:t>
      </w:r>
      <w:bookmarkStart w:id="35" w:name="_Hlk135690326"/>
      <w:r>
        <w:rPr>
          <w:b/>
          <w:bCs/>
        </w:rPr>
        <w:t>梁的刚度设计</w:t>
      </w:r>
      <w:bookmarkEnd w:id="35"/>
    </w:p>
    <w:p w14:paraId="5A51B60C" w14:textId="77777777" w:rsidR="00F5289E" w:rsidRDefault="00C91173">
      <w:pPr>
        <w:pStyle w:val="a7"/>
        <w:snapToGrid w:val="0"/>
        <w:spacing w:line="360" w:lineRule="auto"/>
        <w:rPr>
          <w:rFonts w:ascii="Times New Roman"/>
        </w:rPr>
      </w:pPr>
      <w:r>
        <w:rPr>
          <w:rFonts w:ascii="Times New Roman"/>
        </w:rPr>
        <w:t>了解提高刚度的途径</w:t>
      </w:r>
    </w:p>
    <w:p w14:paraId="0BC1E16D" w14:textId="77777777" w:rsidR="00F5289E" w:rsidRDefault="00C91173">
      <w:pPr>
        <w:pStyle w:val="a7"/>
        <w:snapToGrid w:val="0"/>
        <w:spacing w:line="360" w:lineRule="auto"/>
        <w:rPr>
          <w:rFonts w:ascii="Times New Roman"/>
        </w:rPr>
      </w:pPr>
      <w:r>
        <w:rPr>
          <w:rFonts w:ascii="Times New Roman"/>
        </w:rPr>
        <w:t>掌握刚度设计准则</w:t>
      </w:r>
    </w:p>
    <w:p w14:paraId="27F1B7C4" w14:textId="77777777" w:rsidR="00F5289E" w:rsidRDefault="00C91173">
      <w:pPr>
        <w:widowControl/>
        <w:snapToGrid w:val="0"/>
        <w:spacing w:line="360" w:lineRule="auto"/>
        <w:rPr>
          <w:bCs/>
        </w:rPr>
      </w:pPr>
      <w:r>
        <w:rPr>
          <w:b/>
          <w:bCs/>
        </w:rPr>
        <w:t>教学组织与实施：</w:t>
      </w:r>
      <w:r>
        <w:rPr>
          <w:bCs/>
        </w:rPr>
        <w:t>以具体案例引入本章内容，采用引导式教学，在引入案例基础上，利用方法论中的辩证思维、抓主要矛盾以及逆向思维等方法引导学生分析问题，最后，归纳、总结。</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4156EB" w14:paraId="254DB97A" w14:textId="77777777" w:rsidTr="00C91173">
        <w:trPr>
          <w:trHeight w:val="270"/>
        </w:trPr>
        <w:tc>
          <w:tcPr>
            <w:tcW w:w="2831" w:type="dxa"/>
            <w:tcBorders>
              <w:top w:val="nil"/>
              <w:left w:val="nil"/>
              <w:bottom w:val="nil"/>
              <w:right w:val="nil"/>
            </w:tcBorders>
            <w:vAlign w:val="center"/>
          </w:tcPr>
          <w:p w14:paraId="7F239146" w14:textId="77777777" w:rsidR="004156EB" w:rsidRPr="004156EB" w:rsidRDefault="004156EB" w:rsidP="00C91173">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128917AE" w14:textId="77777777" w:rsidR="004156EB" w:rsidRDefault="004156EB" w:rsidP="00C91173">
            <w:pPr>
              <w:widowControl/>
              <w:snapToGrid w:val="0"/>
              <w:spacing w:line="360" w:lineRule="auto"/>
              <w:jc w:val="center"/>
              <w:rPr>
                <w:rFonts w:hAnsi="宋体"/>
                <w:b/>
                <w:bCs/>
                <w:kern w:val="0"/>
                <w:szCs w:val="21"/>
              </w:rPr>
            </w:pPr>
            <w:r>
              <w:rPr>
                <w:b/>
                <w:bCs/>
                <w:kern w:val="0"/>
                <w:szCs w:val="21"/>
              </w:rPr>
              <w:t>第九章</w:t>
            </w:r>
            <w:r>
              <w:rPr>
                <w:b/>
                <w:bCs/>
                <w:kern w:val="0"/>
                <w:szCs w:val="21"/>
              </w:rPr>
              <w:t xml:space="preserve">  </w:t>
            </w:r>
            <w:r>
              <w:rPr>
                <w:b/>
                <w:bCs/>
                <w:kern w:val="0"/>
                <w:szCs w:val="21"/>
              </w:rPr>
              <w:t>圆轴扭转时的应力变形分析与强度刚度设计</w:t>
            </w:r>
          </w:p>
        </w:tc>
        <w:tc>
          <w:tcPr>
            <w:tcW w:w="2804" w:type="dxa"/>
            <w:tcBorders>
              <w:top w:val="nil"/>
              <w:left w:val="nil"/>
              <w:bottom w:val="nil"/>
              <w:right w:val="nil"/>
            </w:tcBorders>
            <w:vAlign w:val="center"/>
          </w:tcPr>
          <w:p w14:paraId="305E1B65" w14:textId="77777777" w:rsidR="004156EB" w:rsidRDefault="004156EB" w:rsidP="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31D1313F" w14:textId="77777777" w:rsidR="00F5289E" w:rsidRDefault="00C91173">
      <w:pPr>
        <w:widowControl/>
        <w:snapToGrid w:val="0"/>
        <w:spacing w:line="360" w:lineRule="auto"/>
        <w:rPr>
          <w:b/>
          <w:bCs/>
          <w:kern w:val="0"/>
          <w:szCs w:val="21"/>
        </w:rPr>
      </w:pPr>
      <w:r>
        <w:rPr>
          <w:b/>
          <w:bCs/>
        </w:rPr>
        <w:t>教学目标：</w:t>
      </w:r>
      <w:r>
        <w:rPr>
          <w:bCs/>
        </w:rPr>
        <w:t>了解</w:t>
      </w:r>
      <w:bookmarkStart w:id="36" w:name="_Hlk135690426"/>
      <w:r>
        <w:rPr>
          <w:bCs/>
        </w:rPr>
        <w:t>矩形截面杆扭转时的切应力分析</w:t>
      </w:r>
      <w:bookmarkEnd w:id="36"/>
      <w:r>
        <w:rPr>
          <w:bCs/>
        </w:rPr>
        <w:t>，理解</w:t>
      </w:r>
      <w:bookmarkStart w:id="37" w:name="_Hlk135690433"/>
      <w:r>
        <w:rPr>
          <w:bCs/>
        </w:rPr>
        <w:t>切应力互等定理</w:t>
      </w:r>
      <w:bookmarkEnd w:id="37"/>
      <w:r>
        <w:rPr>
          <w:bCs/>
        </w:rPr>
        <w:t>，掌握</w:t>
      </w:r>
      <w:bookmarkStart w:id="38" w:name="_Hlk135690440"/>
      <w:r>
        <w:rPr>
          <w:bCs/>
        </w:rPr>
        <w:t>圆轴扭转时切应力分析的方法及强度与刚度设计准则</w:t>
      </w:r>
      <w:bookmarkEnd w:id="38"/>
      <w:r>
        <w:rPr>
          <w:bCs/>
        </w:rPr>
        <w:t>。</w:t>
      </w:r>
    </w:p>
    <w:p w14:paraId="415B1301" w14:textId="77777777" w:rsidR="00F5289E" w:rsidRDefault="00C91173">
      <w:pPr>
        <w:widowControl/>
        <w:snapToGrid w:val="0"/>
        <w:spacing w:line="360" w:lineRule="auto"/>
        <w:rPr>
          <w:b/>
          <w:bCs/>
          <w:kern w:val="0"/>
          <w:szCs w:val="21"/>
        </w:rPr>
      </w:pPr>
      <w:r>
        <w:rPr>
          <w:b/>
          <w:bCs/>
        </w:rPr>
        <w:t>教学重点和难点：</w:t>
      </w:r>
      <w:r>
        <w:rPr>
          <w:bCs/>
        </w:rPr>
        <w:t>切应力互等定理；圆轴的强度设计与刚度设计</w:t>
      </w:r>
    </w:p>
    <w:p w14:paraId="5DF4F463" w14:textId="77777777" w:rsidR="00F5289E" w:rsidRDefault="00C91173">
      <w:pPr>
        <w:snapToGrid w:val="0"/>
        <w:spacing w:line="360" w:lineRule="auto"/>
        <w:rPr>
          <w:b/>
          <w:bCs/>
        </w:rPr>
      </w:pPr>
      <w:r>
        <w:rPr>
          <w:b/>
          <w:bCs/>
        </w:rPr>
        <w:t>第一节</w:t>
      </w:r>
      <w:r>
        <w:rPr>
          <w:rFonts w:hint="eastAsia"/>
          <w:b/>
          <w:bCs/>
        </w:rPr>
        <w:t xml:space="preserve"> </w:t>
      </w:r>
      <w:r>
        <w:rPr>
          <w:b/>
          <w:bCs/>
        </w:rPr>
        <w:t xml:space="preserve"> </w:t>
      </w:r>
      <w:bookmarkStart w:id="39" w:name="_Hlk135690452"/>
      <w:r>
        <w:rPr>
          <w:b/>
          <w:bCs/>
        </w:rPr>
        <w:t>切应力互等定理</w:t>
      </w:r>
      <w:bookmarkEnd w:id="39"/>
    </w:p>
    <w:p w14:paraId="195070CE" w14:textId="77777777" w:rsidR="00F5289E" w:rsidRDefault="00C91173">
      <w:pPr>
        <w:pStyle w:val="a7"/>
        <w:snapToGrid w:val="0"/>
        <w:spacing w:line="360" w:lineRule="auto"/>
        <w:rPr>
          <w:rFonts w:ascii="Times New Roman"/>
        </w:rPr>
      </w:pPr>
      <w:r>
        <w:rPr>
          <w:rFonts w:ascii="Times New Roman"/>
        </w:rPr>
        <w:t>了解</w:t>
      </w:r>
      <w:bookmarkStart w:id="40" w:name="_Hlk135690465"/>
      <w:r>
        <w:rPr>
          <w:rFonts w:ascii="Times New Roman"/>
        </w:rPr>
        <w:t>圆轴扭转变形的概念</w:t>
      </w:r>
      <w:bookmarkEnd w:id="40"/>
    </w:p>
    <w:p w14:paraId="3E044576" w14:textId="77777777" w:rsidR="00F5289E" w:rsidRDefault="00C91173">
      <w:pPr>
        <w:pStyle w:val="a7"/>
        <w:snapToGrid w:val="0"/>
        <w:spacing w:line="360" w:lineRule="auto"/>
        <w:rPr>
          <w:rFonts w:ascii="Times New Roman"/>
        </w:rPr>
      </w:pPr>
      <w:r>
        <w:rPr>
          <w:rFonts w:ascii="Times New Roman"/>
        </w:rPr>
        <w:t>熟练掌握</w:t>
      </w:r>
      <w:bookmarkStart w:id="41" w:name="_Hlk135690487"/>
      <w:r>
        <w:rPr>
          <w:rFonts w:ascii="Times New Roman"/>
        </w:rPr>
        <w:t>切应力互等定理</w:t>
      </w:r>
      <w:bookmarkEnd w:id="41"/>
    </w:p>
    <w:p w14:paraId="44E9834D" w14:textId="77777777" w:rsidR="00F5289E" w:rsidRDefault="00C91173">
      <w:pPr>
        <w:snapToGrid w:val="0"/>
        <w:spacing w:line="360" w:lineRule="auto"/>
        <w:rPr>
          <w:b/>
          <w:bCs/>
        </w:rPr>
      </w:pPr>
      <w:r>
        <w:rPr>
          <w:b/>
          <w:bCs/>
        </w:rPr>
        <w:t>第二节</w:t>
      </w:r>
      <w:r>
        <w:rPr>
          <w:b/>
          <w:bCs/>
        </w:rPr>
        <w:t xml:space="preserve">  </w:t>
      </w:r>
      <w:r>
        <w:rPr>
          <w:b/>
          <w:bCs/>
        </w:rPr>
        <w:t>圆轴扭转时的切应力分析</w:t>
      </w:r>
    </w:p>
    <w:p w14:paraId="4D5F0D18" w14:textId="77777777" w:rsidR="00F5289E" w:rsidRDefault="00C91173">
      <w:pPr>
        <w:pStyle w:val="a7"/>
        <w:snapToGrid w:val="0"/>
        <w:spacing w:line="360" w:lineRule="auto"/>
        <w:rPr>
          <w:rFonts w:ascii="Times New Roman"/>
        </w:rPr>
      </w:pPr>
      <w:r>
        <w:rPr>
          <w:rFonts w:ascii="Times New Roman"/>
        </w:rPr>
        <w:t>理解弹性范围内切应力</w:t>
      </w:r>
      <w:r>
        <w:rPr>
          <w:rFonts w:ascii="Times New Roman"/>
        </w:rPr>
        <w:t>-</w:t>
      </w:r>
      <w:r>
        <w:rPr>
          <w:rFonts w:ascii="Times New Roman"/>
        </w:rPr>
        <w:t>切应变关系</w:t>
      </w:r>
    </w:p>
    <w:p w14:paraId="52862FAE" w14:textId="77777777" w:rsidR="00F5289E" w:rsidRDefault="00C91173">
      <w:pPr>
        <w:pStyle w:val="a7"/>
        <w:snapToGrid w:val="0"/>
        <w:spacing w:line="360" w:lineRule="auto"/>
        <w:rPr>
          <w:rFonts w:ascii="Times New Roman"/>
        </w:rPr>
      </w:pPr>
      <w:r>
        <w:rPr>
          <w:rFonts w:ascii="Times New Roman"/>
        </w:rPr>
        <w:t>掌握</w:t>
      </w:r>
      <w:bookmarkStart w:id="42" w:name="_Hlk135690511"/>
      <w:r>
        <w:rPr>
          <w:rFonts w:ascii="Times New Roman"/>
        </w:rPr>
        <w:t>切应力的计算公式</w:t>
      </w:r>
      <w:bookmarkEnd w:id="42"/>
    </w:p>
    <w:p w14:paraId="00DFF783" w14:textId="77777777" w:rsidR="00F5289E" w:rsidRDefault="00C91173">
      <w:pPr>
        <w:snapToGrid w:val="0"/>
        <w:spacing w:line="360" w:lineRule="auto"/>
        <w:rPr>
          <w:b/>
          <w:bCs/>
        </w:rPr>
      </w:pPr>
      <w:r>
        <w:rPr>
          <w:b/>
          <w:bCs/>
        </w:rPr>
        <w:t>第三节</w:t>
      </w:r>
      <w:r>
        <w:rPr>
          <w:b/>
          <w:bCs/>
        </w:rPr>
        <w:t xml:space="preserve">  </w:t>
      </w:r>
      <w:r>
        <w:rPr>
          <w:b/>
          <w:bCs/>
        </w:rPr>
        <w:t>承受扭转时圆轴的强度设计与刚度设计</w:t>
      </w:r>
    </w:p>
    <w:p w14:paraId="2B271324" w14:textId="77777777" w:rsidR="00F5289E" w:rsidRDefault="00C91173">
      <w:pPr>
        <w:pStyle w:val="a7"/>
        <w:snapToGrid w:val="0"/>
        <w:spacing w:line="360" w:lineRule="auto"/>
        <w:rPr>
          <w:rFonts w:ascii="Times New Roman"/>
        </w:rPr>
      </w:pPr>
      <w:r>
        <w:rPr>
          <w:rFonts w:ascii="Times New Roman"/>
        </w:rPr>
        <w:t>分析扭转破坏现象</w:t>
      </w:r>
    </w:p>
    <w:p w14:paraId="1516088D" w14:textId="77777777" w:rsidR="00F5289E" w:rsidRDefault="00C91173">
      <w:pPr>
        <w:pStyle w:val="a7"/>
        <w:snapToGrid w:val="0"/>
        <w:spacing w:line="360" w:lineRule="auto"/>
        <w:rPr>
          <w:rFonts w:ascii="Times New Roman"/>
        </w:rPr>
      </w:pPr>
      <w:r>
        <w:rPr>
          <w:rFonts w:ascii="Times New Roman"/>
        </w:rPr>
        <w:t>掌握</w:t>
      </w:r>
      <w:bookmarkStart w:id="43" w:name="_Hlk135690496"/>
      <w:r>
        <w:rPr>
          <w:rFonts w:ascii="Times New Roman"/>
        </w:rPr>
        <w:t>圆轴扭转时的强度与刚度计算</w:t>
      </w:r>
      <w:bookmarkEnd w:id="43"/>
    </w:p>
    <w:p w14:paraId="0952B83E" w14:textId="77777777" w:rsidR="00F5289E" w:rsidRDefault="00C91173">
      <w:pPr>
        <w:widowControl/>
        <w:snapToGrid w:val="0"/>
        <w:spacing w:line="360" w:lineRule="auto"/>
        <w:rPr>
          <w:b/>
          <w:bCs/>
        </w:rPr>
      </w:pPr>
      <w:r>
        <w:rPr>
          <w:b/>
          <w:bCs/>
        </w:rPr>
        <w:lastRenderedPageBreak/>
        <w:t>教学组织与实施：</w:t>
      </w:r>
      <w:r>
        <w:rPr>
          <w:bCs/>
        </w:rPr>
        <w:t>采用类比分析问题的方法，逐步引导学生将已学知识应用到相似场景，结合分组讨论与课中分享、学生互评的方式，利用课题互动，提升学生学习兴趣，提高教学效果。</w:t>
      </w:r>
    </w:p>
    <w:p w14:paraId="4572E865" w14:textId="77777777" w:rsidR="00F5289E" w:rsidRDefault="00C91173">
      <w:pPr>
        <w:widowControl/>
        <w:snapToGrid w:val="0"/>
        <w:spacing w:line="360" w:lineRule="auto"/>
        <w:jc w:val="left"/>
        <w:rPr>
          <w:bCs/>
          <w:kern w:val="0"/>
          <w:szCs w:val="21"/>
        </w:rPr>
      </w:pPr>
      <w:r>
        <w:rPr>
          <w:b/>
          <w:bCs/>
          <w:kern w:val="0"/>
          <w:szCs w:val="21"/>
        </w:rPr>
        <w:t>五、实验教学内容及学时分配（</w:t>
      </w:r>
      <w:r>
        <w:rPr>
          <w:b/>
          <w:bCs/>
          <w:kern w:val="0"/>
          <w:szCs w:val="21"/>
        </w:rPr>
        <w:t>4</w:t>
      </w:r>
      <w:r>
        <w:rPr>
          <w:b/>
          <w:bCs/>
          <w:kern w:val="0"/>
          <w:szCs w:val="21"/>
        </w:rPr>
        <w:t>学时）</w:t>
      </w:r>
    </w:p>
    <w:p w14:paraId="644A3FEC" w14:textId="77777777" w:rsidR="00F5289E" w:rsidRDefault="00C91173">
      <w:pPr>
        <w:snapToGrid w:val="0"/>
        <w:spacing w:line="360" w:lineRule="auto"/>
        <w:rPr>
          <w:b/>
          <w:bCs/>
          <w:szCs w:val="21"/>
        </w:rPr>
      </w:pPr>
      <w:r>
        <w:rPr>
          <w:b/>
          <w:szCs w:val="21"/>
        </w:rPr>
        <w:t>（一）</w:t>
      </w:r>
      <w:r>
        <w:rPr>
          <w:b/>
          <w:bCs/>
          <w:szCs w:val="21"/>
        </w:rPr>
        <w:t>实验课程简介</w:t>
      </w:r>
    </w:p>
    <w:p w14:paraId="0F831EFF" w14:textId="77777777" w:rsidR="00F5289E" w:rsidRDefault="00C91173">
      <w:pPr>
        <w:snapToGrid w:val="0"/>
        <w:spacing w:line="360" w:lineRule="auto"/>
        <w:ind w:firstLineChars="200" w:firstLine="420"/>
        <w:rPr>
          <w:bCs/>
          <w:szCs w:val="21"/>
        </w:rPr>
      </w:pPr>
      <w:r>
        <w:rPr>
          <w:bCs/>
          <w:szCs w:val="21"/>
        </w:rPr>
        <w:t>本实验课程是设施工程力学的重要内容，共</w:t>
      </w:r>
      <w:r>
        <w:rPr>
          <w:bCs/>
          <w:szCs w:val="21"/>
        </w:rPr>
        <w:t>4</w:t>
      </w:r>
      <w:r>
        <w:rPr>
          <w:bCs/>
          <w:szCs w:val="21"/>
        </w:rPr>
        <w:t>学时，分别设置了平面静定结构内力分析和塑料大棚结构受力分析等</w:t>
      </w:r>
      <w:r>
        <w:rPr>
          <w:bCs/>
          <w:szCs w:val="21"/>
        </w:rPr>
        <w:t>2</w:t>
      </w:r>
      <w:r>
        <w:rPr>
          <w:bCs/>
          <w:szCs w:val="21"/>
        </w:rPr>
        <w:t>个实验项目，培养学生积极思考、主动学习、自主动手和独立解决工程问题的研究能力和创新的意识。</w:t>
      </w:r>
    </w:p>
    <w:p w14:paraId="3448E372" w14:textId="77777777" w:rsidR="00F5289E" w:rsidRDefault="00C91173">
      <w:pPr>
        <w:snapToGrid w:val="0"/>
        <w:spacing w:line="360" w:lineRule="auto"/>
        <w:rPr>
          <w:b/>
          <w:bCs/>
          <w:szCs w:val="21"/>
        </w:rPr>
      </w:pPr>
      <w:r>
        <w:rPr>
          <w:b/>
          <w:bCs/>
          <w:szCs w:val="21"/>
        </w:rPr>
        <w:t>（二）实验教学目的和基本要求</w:t>
      </w:r>
    </w:p>
    <w:p w14:paraId="6B4A58D7" w14:textId="77777777" w:rsidR="00F5289E" w:rsidRDefault="00C91173">
      <w:pPr>
        <w:snapToGrid w:val="0"/>
        <w:spacing w:line="360" w:lineRule="auto"/>
        <w:ind w:firstLineChars="200" w:firstLine="420"/>
      </w:pPr>
      <w:r>
        <w:t>通过实验的教学，使学生加深对课堂讲授内容的理解，</w:t>
      </w:r>
      <w:bookmarkStart w:id="44" w:name="_Hlk135690640"/>
      <w:r>
        <w:t>学习并掌握工程力学计算机软件的使用方法，能够建立任意体系的计算模型并做几何组成分析，具备运用相关软件开展力学分析和计算的根本能力。</w:t>
      </w:r>
    </w:p>
    <w:bookmarkEnd w:id="44"/>
    <w:p w14:paraId="1E3F1470" w14:textId="77777777" w:rsidR="00F5289E" w:rsidRDefault="00C91173">
      <w:pPr>
        <w:snapToGrid w:val="0"/>
        <w:spacing w:line="360" w:lineRule="auto"/>
        <w:rPr>
          <w:b/>
        </w:rPr>
      </w:pPr>
      <w:r>
        <w:rPr>
          <w:b/>
        </w:rPr>
        <w:t>（三）实验安全操作规范</w:t>
      </w:r>
    </w:p>
    <w:p w14:paraId="74FFC88D" w14:textId="77777777" w:rsidR="00F5289E" w:rsidRDefault="00C91173">
      <w:pPr>
        <w:snapToGrid w:val="0"/>
        <w:spacing w:line="360" w:lineRule="auto"/>
        <w:ind w:firstLineChars="200" w:firstLine="420"/>
      </w:pPr>
      <w:r>
        <w:t>学生提前预习明确课程学习内容，上课前做好仪器设备的使用登记，在上课过程当中学生要严格遵照实验安全规程操作，正确操作仪器设备并记录好相关实验数据，实验结束后正确关闭设备仪器，摆放整齐。</w:t>
      </w:r>
    </w:p>
    <w:p w14:paraId="13BDCE73" w14:textId="77777777" w:rsidR="00F5289E" w:rsidRDefault="00C91173">
      <w:pPr>
        <w:snapToGrid w:val="0"/>
        <w:spacing w:line="360" w:lineRule="auto"/>
        <w:rPr>
          <w:b/>
          <w:bCs/>
          <w:szCs w:val="21"/>
        </w:rPr>
      </w:pPr>
      <w:r>
        <w:rPr>
          <w:b/>
          <w:bCs/>
          <w:szCs w:val="21"/>
        </w:rPr>
        <w:t>（四）实验项目名称与学时分配</w:t>
      </w:r>
    </w:p>
    <w:tbl>
      <w:tblPr>
        <w:tblStyle w:val="af6"/>
        <w:tblW w:w="9147" w:type="dxa"/>
        <w:jc w:val="center"/>
        <w:tblLook w:val="04A0" w:firstRow="1" w:lastRow="0" w:firstColumn="1" w:lastColumn="0" w:noHBand="0" w:noVBand="1"/>
      </w:tblPr>
      <w:tblGrid>
        <w:gridCol w:w="1112"/>
        <w:gridCol w:w="3134"/>
        <w:gridCol w:w="922"/>
        <w:gridCol w:w="1131"/>
        <w:gridCol w:w="1499"/>
        <w:gridCol w:w="1349"/>
      </w:tblGrid>
      <w:tr w:rsidR="00F5289E" w14:paraId="5DB2A730" w14:textId="77777777">
        <w:trPr>
          <w:trHeight w:val="388"/>
          <w:jc w:val="center"/>
        </w:trPr>
        <w:tc>
          <w:tcPr>
            <w:tcW w:w="1112" w:type="dxa"/>
            <w:shd w:val="clear" w:color="auto" w:fill="EEECE1" w:themeFill="background2"/>
            <w:vAlign w:val="center"/>
          </w:tcPr>
          <w:p w14:paraId="73A5C3C0" w14:textId="77777777" w:rsidR="00F5289E" w:rsidRDefault="00C91173">
            <w:pPr>
              <w:snapToGrid w:val="0"/>
              <w:jc w:val="center"/>
              <w:rPr>
                <w:b/>
                <w:bCs/>
                <w:sz w:val="18"/>
                <w:szCs w:val="18"/>
              </w:rPr>
            </w:pPr>
            <w:r>
              <w:rPr>
                <w:b/>
                <w:bCs/>
                <w:sz w:val="18"/>
                <w:szCs w:val="18"/>
              </w:rPr>
              <w:t>序号</w:t>
            </w:r>
          </w:p>
        </w:tc>
        <w:tc>
          <w:tcPr>
            <w:tcW w:w="3134" w:type="dxa"/>
            <w:shd w:val="clear" w:color="auto" w:fill="EEECE1" w:themeFill="background2"/>
            <w:vAlign w:val="center"/>
          </w:tcPr>
          <w:p w14:paraId="3953A2DF" w14:textId="77777777" w:rsidR="00F5289E" w:rsidRDefault="00C91173">
            <w:pPr>
              <w:snapToGrid w:val="0"/>
              <w:jc w:val="center"/>
              <w:rPr>
                <w:b/>
                <w:bCs/>
                <w:sz w:val="18"/>
                <w:szCs w:val="18"/>
              </w:rPr>
            </w:pPr>
            <w:r>
              <w:rPr>
                <w:b/>
                <w:bCs/>
                <w:sz w:val="18"/>
                <w:szCs w:val="18"/>
              </w:rPr>
              <w:t>实验名称</w:t>
            </w:r>
          </w:p>
        </w:tc>
        <w:tc>
          <w:tcPr>
            <w:tcW w:w="922" w:type="dxa"/>
            <w:shd w:val="clear" w:color="auto" w:fill="EEECE1" w:themeFill="background2"/>
            <w:vAlign w:val="center"/>
          </w:tcPr>
          <w:p w14:paraId="589C243F" w14:textId="77777777" w:rsidR="00F5289E" w:rsidRDefault="00C91173">
            <w:pPr>
              <w:snapToGrid w:val="0"/>
              <w:jc w:val="center"/>
              <w:rPr>
                <w:b/>
                <w:bCs/>
                <w:sz w:val="18"/>
                <w:szCs w:val="18"/>
              </w:rPr>
            </w:pPr>
            <w:r>
              <w:rPr>
                <w:b/>
                <w:bCs/>
                <w:sz w:val="18"/>
                <w:szCs w:val="18"/>
              </w:rPr>
              <w:t>学时</w:t>
            </w:r>
          </w:p>
        </w:tc>
        <w:tc>
          <w:tcPr>
            <w:tcW w:w="1131" w:type="dxa"/>
            <w:shd w:val="clear" w:color="auto" w:fill="EEECE1" w:themeFill="background2"/>
            <w:vAlign w:val="center"/>
          </w:tcPr>
          <w:p w14:paraId="7927598D" w14:textId="77777777" w:rsidR="00F5289E" w:rsidRDefault="00C91173">
            <w:pPr>
              <w:snapToGrid w:val="0"/>
              <w:jc w:val="center"/>
              <w:rPr>
                <w:b/>
                <w:bCs/>
                <w:sz w:val="18"/>
                <w:szCs w:val="18"/>
              </w:rPr>
            </w:pPr>
            <w:r>
              <w:rPr>
                <w:b/>
                <w:bCs/>
                <w:sz w:val="18"/>
                <w:szCs w:val="18"/>
              </w:rPr>
              <w:t>类型</w:t>
            </w:r>
          </w:p>
        </w:tc>
        <w:tc>
          <w:tcPr>
            <w:tcW w:w="1499" w:type="dxa"/>
            <w:shd w:val="clear" w:color="auto" w:fill="EEECE1" w:themeFill="background2"/>
            <w:vAlign w:val="center"/>
          </w:tcPr>
          <w:p w14:paraId="75A3802A" w14:textId="77777777" w:rsidR="00F5289E" w:rsidRDefault="00C91173">
            <w:pPr>
              <w:snapToGrid w:val="0"/>
              <w:jc w:val="center"/>
              <w:rPr>
                <w:b/>
                <w:bCs/>
                <w:sz w:val="18"/>
                <w:szCs w:val="18"/>
              </w:rPr>
            </w:pPr>
            <w:r>
              <w:rPr>
                <w:b/>
                <w:bCs/>
                <w:sz w:val="18"/>
                <w:szCs w:val="18"/>
              </w:rPr>
              <w:t>实验要求</w:t>
            </w:r>
          </w:p>
        </w:tc>
        <w:tc>
          <w:tcPr>
            <w:tcW w:w="1349" w:type="dxa"/>
            <w:shd w:val="clear" w:color="auto" w:fill="EEECE1" w:themeFill="background2"/>
            <w:vAlign w:val="center"/>
          </w:tcPr>
          <w:p w14:paraId="1C78B489" w14:textId="77777777" w:rsidR="00F5289E" w:rsidRDefault="00C91173">
            <w:pPr>
              <w:snapToGrid w:val="0"/>
              <w:jc w:val="center"/>
              <w:rPr>
                <w:b/>
                <w:bCs/>
                <w:sz w:val="18"/>
                <w:szCs w:val="18"/>
              </w:rPr>
            </w:pPr>
            <w:r>
              <w:rPr>
                <w:b/>
                <w:bCs/>
                <w:sz w:val="18"/>
                <w:szCs w:val="18"/>
              </w:rPr>
              <w:t>每组人数</w:t>
            </w:r>
          </w:p>
        </w:tc>
      </w:tr>
      <w:tr w:rsidR="00F5289E" w14:paraId="7A51E8E6" w14:textId="77777777">
        <w:trPr>
          <w:trHeight w:val="388"/>
          <w:jc w:val="center"/>
        </w:trPr>
        <w:tc>
          <w:tcPr>
            <w:tcW w:w="1112" w:type="dxa"/>
            <w:vAlign w:val="center"/>
          </w:tcPr>
          <w:p w14:paraId="29C4B7DA" w14:textId="77777777" w:rsidR="00F5289E" w:rsidRDefault="00C91173">
            <w:pPr>
              <w:snapToGrid w:val="0"/>
              <w:jc w:val="center"/>
              <w:rPr>
                <w:sz w:val="18"/>
                <w:szCs w:val="18"/>
              </w:rPr>
            </w:pPr>
            <w:r>
              <w:rPr>
                <w:sz w:val="18"/>
                <w:szCs w:val="18"/>
              </w:rPr>
              <w:t>1901112801</w:t>
            </w:r>
          </w:p>
        </w:tc>
        <w:tc>
          <w:tcPr>
            <w:tcW w:w="3134" w:type="dxa"/>
            <w:vAlign w:val="center"/>
          </w:tcPr>
          <w:p w14:paraId="7ACDF0BF" w14:textId="77777777" w:rsidR="00F5289E" w:rsidRDefault="00C91173">
            <w:pPr>
              <w:snapToGrid w:val="0"/>
              <w:jc w:val="center"/>
              <w:rPr>
                <w:sz w:val="18"/>
                <w:szCs w:val="18"/>
              </w:rPr>
            </w:pPr>
            <w:r>
              <w:rPr>
                <w:sz w:val="18"/>
                <w:szCs w:val="18"/>
              </w:rPr>
              <w:t>平面静定结构内力分析</w:t>
            </w:r>
          </w:p>
        </w:tc>
        <w:tc>
          <w:tcPr>
            <w:tcW w:w="922" w:type="dxa"/>
            <w:vAlign w:val="center"/>
          </w:tcPr>
          <w:p w14:paraId="4999C553" w14:textId="77777777" w:rsidR="00F5289E" w:rsidRDefault="00C91173">
            <w:pPr>
              <w:snapToGrid w:val="0"/>
              <w:jc w:val="center"/>
              <w:rPr>
                <w:sz w:val="18"/>
                <w:szCs w:val="18"/>
              </w:rPr>
            </w:pPr>
            <w:r>
              <w:rPr>
                <w:sz w:val="18"/>
                <w:szCs w:val="18"/>
              </w:rPr>
              <w:t>2</w:t>
            </w:r>
          </w:p>
        </w:tc>
        <w:tc>
          <w:tcPr>
            <w:tcW w:w="1131" w:type="dxa"/>
            <w:vAlign w:val="center"/>
          </w:tcPr>
          <w:p w14:paraId="2B33D765" w14:textId="77777777" w:rsidR="00F5289E" w:rsidRDefault="00C91173">
            <w:pPr>
              <w:snapToGrid w:val="0"/>
              <w:jc w:val="center"/>
              <w:rPr>
                <w:sz w:val="18"/>
                <w:szCs w:val="18"/>
              </w:rPr>
            </w:pPr>
            <w:r>
              <w:rPr>
                <w:sz w:val="18"/>
                <w:szCs w:val="18"/>
              </w:rPr>
              <w:t>设计性</w:t>
            </w:r>
          </w:p>
        </w:tc>
        <w:tc>
          <w:tcPr>
            <w:tcW w:w="1499" w:type="dxa"/>
            <w:vAlign w:val="center"/>
          </w:tcPr>
          <w:p w14:paraId="7EDB1A26" w14:textId="77777777" w:rsidR="00F5289E" w:rsidRDefault="00C91173">
            <w:pPr>
              <w:snapToGrid w:val="0"/>
              <w:jc w:val="center"/>
              <w:rPr>
                <w:sz w:val="18"/>
                <w:szCs w:val="18"/>
              </w:rPr>
            </w:pPr>
            <w:r>
              <w:rPr>
                <w:sz w:val="18"/>
                <w:szCs w:val="18"/>
              </w:rPr>
              <w:t>必做</w:t>
            </w:r>
          </w:p>
        </w:tc>
        <w:tc>
          <w:tcPr>
            <w:tcW w:w="1349" w:type="dxa"/>
            <w:vAlign w:val="center"/>
          </w:tcPr>
          <w:p w14:paraId="3687298D" w14:textId="77777777" w:rsidR="00F5289E" w:rsidRDefault="00C91173">
            <w:pPr>
              <w:snapToGrid w:val="0"/>
              <w:jc w:val="center"/>
              <w:rPr>
                <w:sz w:val="18"/>
                <w:szCs w:val="18"/>
              </w:rPr>
            </w:pPr>
            <w:r>
              <w:rPr>
                <w:sz w:val="18"/>
                <w:szCs w:val="18"/>
              </w:rPr>
              <w:t>3</w:t>
            </w:r>
          </w:p>
        </w:tc>
      </w:tr>
      <w:tr w:rsidR="00F5289E" w14:paraId="580633B8" w14:textId="77777777">
        <w:trPr>
          <w:trHeight w:val="388"/>
          <w:jc w:val="center"/>
        </w:trPr>
        <w:tc>
          <w:tcPr>
            <w:tcW w:w="1112" w:type="dxa"/>
            <w:vAlign w:val="center"/>
          </w:tcPr>
          <w:p w14:paraId="3360C83A" w14:textId="77777777" w:rsidR="00F5289E" w:rsidRDefault="00C91173">
            <w:pPr>
              <w:snapToGrid w:val="0"/>
              <w:jc w:val="center"/>
              <w:rPr>
                <w:sz w:val="18"/>
                <w:szCs w:val="18"/>
              </w:rPr>
            </w:pPr>
            <w:r>
              <w:rPr>
                <w:sz w:val="18"/>
                <w:szCs w:val="18"/>
              </w:rPr>
              <w:t>1901112802</w:t>
            </w:r>
          </w:p>
        </w:tc>
        <w:tc>
          <w:tcPr>
            <w:tcW w:w="3134" w:type="dxa"/>
            <w:vAlign w:val="center"/>
          </w:tcPr>
          <w:p w14:paraId="22EE1889" w14:textId="77777777" w:rsidR="00F5289E" w:rsidRDefault="00C91173">
            <w:pPr>
              <w:snapToGrid w:val="0"/>
              <w:jc w:val="center"/>
              <w:rPr>
                <w:sz w:val="18"/>
                <w:szCs w:val="18"/>
              </w:rPr>
            </w:pPr>
            <w:r>
              <w:rPr>
                <w:sz w:val="18"/>
                <w:szCs w:val="18"/>
              </w:rPr>
              <w:t>塑料大棚结构受力分析</w:t>
            </w:r>
          </w:p>
        </w:tc>
        <w:tc>
          <w:tcPr>
            <w:tcW w:w="922" w:type="dxa"/>
            <w:vAlign w:val="center"/>
          </w:tcPr>
          <w:p w14:paraId="233013D7" w14:textId="77777777" w:rsidR="00F5289E" w:rsidRDefault="00C91173">
            <w:pPr>
              <w:snapToGrid w:val="0"/>
              <w:jc w:val="center"/>
              <w:rPr>
                <w:sz w:val="18"/>
                <w:szCs w:val="18"/>
              </w:rPr>
            </w:pPr>
            <w:r>
              <w:rPr>
                <w:sz w:val="18"/>
                <w:szCs w:val="18"/>
              </w:rPr>
              <w:t>2</w:t>
            </w:r>
          </w:p>
        </w:tc>
        <w:tc>
          <w:tcPr>
            <w:tcW w:w="1131" w:type="dxa"/>
            <w:vAlign w:val="center"/>
          </w:tcPr>
          <w:p w14:paraId="0675F14E" w14:textId="77777777" w:rsidR="00F5289E" w:rsidRDefault="00C91173">
            <w:pPr>
              <w:snapToGrid w:val="0"/>
              <w:jc w:val="center"/>
              <w:rPr>
                <w:sz w:val="18"/>
                <w:szCs w:val="18"/>
              </w:rPr>
            </w:pPr>
            <w:r>
              <w:rPr>
                <w:sz w:val="18"/>
                <w:szCs w:val="18"/>
              </w:rPr>
              <w:t>综合性</w:t>
            </w:r>
          </w:p>
        </w:tc>
        <w:tc>
          <w:tcPr>
            <w:tcW w:w="1499" w:type="dxa"/>
            <w:vAlign w:val="center"/>
          </w:tcPr>
          <w:p w14:paraId="75B6FAC6" w14:textId="77777777" w:rsidR="00F5289E" w:rsidRDefault="00C91173">
            <w:pPr>
              <w:snapToGrid w:val="0"/>
              <w:jc w:val="center"/>
              <w:rPr>
                <w:sz w:val="18"/>
                <w:szCs w:val="18"/>
              </w:rPr>
            </w:pPr>
            <w:r>
              <w:rPr>
                <w:sz w:val="18"/>
                <w:szCs w:val="18"/>
              </w:rPr>
              <w:t>必做</w:t>
            </w:r>
          </w:p>
        </w:tc>
        <w:tc>
          <w:tcPr>
            <w:tcW w:w="1349" w:type="dxa"/>
            <w:vAlign w:val="center"/>
          </w:tcPr>
          <w:p w14:paraId="07BF7C0A" w14:textId="77777777" w:rsidR="00F5289E" w:rsidRDefault="00C91173">
            <w:pPr>
              <w:snapToGrid w:val="0"/>
              <w:jc w:val="center"/>
              <w:rPr>
                <w:sz w:val="18"/>
                <w:szCs w:val="18"/>
              </w:rPr>
            </w:pPr>
            <w:r>
              <w:rPr>
                <w:sz w:val="18"/>
                <w:szCs w:val="18"/>
              </w:rPr>
              <w:t>5</w:t>
            </w:r>
          </w:p>
        </w:tc>
      </w:tr>
    </w:tbl>
    <w:p w14:paraId="00FAFA81" w14:textId="77777777" w:rsidR="00F5289E" w:rsidRDefault="00F5289E">
      <w:pPr>
        <w:snapToGrid w:val="0"/>
        <w:spacing w:line="360" w:lineRule="auto"/>
        <w:rPr>
          <w:b/>
          <w:bCs/>
          <w:szCs w:val="21"/>
        </w:rPr>
      </w:pPr>
    </w:p>
    <w:p w14:paraId="3768E67A" w14:textId="77777777" w:rsidR="00F5289E" w:rsidRDefault="00C91173">
      <w:pPr>
        <w:snapToGrid w:val="0"/>
        <w:spacing w:line="360" w:lineRule="auto"/>
        <w:rPr>
          <w:b/>
          <w:bCs/>
          <w:szCs w:val="21"/>
        </w:rPr>
      </w:pPr>
      <w:r>
        <w:rPr>
          <w:b/>
          <w:bCs/>
          <w:szCs w:val="21"/>
        </w:rPr>
        <w:t>（五）实验方式及基本要求</w:t>
      </w:r>
    </w:p>
    <w:p w14:paraId="4E5EB854" w14:textId="77777777" w:rsidR="00F5289E" w:rsidRDefault="00C91173">
      <w:pPr>
        <w:snapToGrid w:val="0"/>
        <w:spacing w:line="360" w:lineRule="auto"/>
        <w:ind w:firstLineChars="200" w:firstLine="420"/>
        <w:rPr>
          <w:b/>
          <w:bCs/>
          <w:szCs w:val="21"/>
        </w:rPr>
      </w:pPr>
      <w:r>
        <w:rPr>
          <w:bCs/>
          <w:szCs w:val="21"/>
        </w:rPr>
        <w:t>根据实验教学内容的安排，实验一为设计类、实验二为综合类，每次实验结束后要求撰写实验报告。要求学生能够在给定条件下完成平面静定结构的内力分析，并且掌握塑料大棚结构各杆件的受力情况。</w:t>
      </w:r>
    </w:p>
    <w:p w14:paraId="22D243F0" w14:textId="77777777" w:rsidR="00F5289E" w:rsidRDefault="00C91173">
      <w:pPr>
        <w:snapToGrid w:val="0"/>
        <w:spacing w:line="360" w:lineRule="auto"/>
        <w:rPr>
          <w:b/>
          <w:szCs w:val="21"/>
        </w:rPr>
      </w:pPr>
      <w:r>
        <w:rPr>
          <w:b/>
          <w:bCs/>
          <w:szCs w:val="21"/>
        </w:rPr>
        <w:t>（六）</w:t>
      </w:r>
      <w:r>
        <w:rPr>
          <w:b/>
          <w:szCs w:val="21"/>
        </w:rPr>
        <w:t>实验内容安排</w:t>
      </w:r>
    </w:p>
    <w:p w14:paraId="7785045C" w14:textId="77777777" w:rsidR="00F5289E" w:rsidRDefault="00C91173">
      <w:pPr>
        <w:pStyle w:val="af1"/>
        <w:snapToGrid w:val="0"/>
        <w:spacing w:before="0" w:beforeAutospacing="0" w:after="0" w:afterAutospacing="0" w:line="360" w:lineRule="auto"/>
        <w:rPr>
          <w:rFonts w:ascii="Times New Roman" w:eastAsiaTheme="minorEastAsia" w:hAnsi="Times New Roman" w:cs="Times New Roman"/>
          <w:b/>
          <w:sz w:val="21"/>
          <w:szCs w:val="21"/>
        </w:rPr>
      </w:pPr>
      <w:r>
        <w:rPr>
          <w:rFonts w:ascii="微软雅黑" w:eastAsia="微软雅黑" w:hAnsi="微软雅黑" w:cs="微软雅黑" w:hint="eastAsia"/>
          <w:b/>
          <w:sz w:val="21"/>
          <w:szCs w:val="21"/>
        </w:rPr>
        <w:t>【实验一】</w:t>
      </w:r>
      <w:r>
        <w:rPr>
          <w:rFonts w:ascii="Times New Roman" w:eastAsiaTheme="minorEastAsia" w:hAnsi="Times New Roman" w:cs="Times New Roman"/>
          <w:b/>
          <w:sz w:val="21"/>
          <w:szCs w:val="21"/>
        </w:rPr>
        <w:t>平面静定结构受力分析</w:t>
      </w:r>
    </w:p>
    <w:p w14:paraId="450523C6" w14:textId="77777777" w:rsidR="00F5289E" w:rsidRDefault="00C91173">
      <w:pPr>
        <w:snapToGrid w:val="0"/>
        <w:spacing w:line="360" w:lineRule="auto"/>
        <w:ind w:firstLineChars="200" w:firstLine="422"/>
      </w:pPr>
      <w:r>
        <w:rPr>
          <w:b/>
          <w:szCs w:val="21"/>
        </w:rPr>
        <w:t xml:space="preserve">1. </w:t>
      </w:r>
      <w:r>
        <w:rPr>
          <w:b/>
          <w:szCs w:val="21"/>
        </w:rPr>
        <w:t>实验学时：</w:t>
      </w:r>
      <w:r>
        <w:rPr>
          <w:bCs/>
        </w:rPr>
        <w:t>2</w:t>
      </w:r>
      <w:r>
        <w:rPr>
          <w:bCs/>
        </w:rPr>
        <w:t>学时</w:t>
      </w:r>
    </w:p>
    <w:p w14:paraId="713A4190" w14:textId="77777777" w:rsidR="00F5289E" w:rsidRDefault="00C91173">
      <w:pPr>
        <w:snapToGrid w:val="0"/>
        <w:spacing w:line="360" w:lineRule="auto"/>
        <w:ind w:firstLineChars="200" w:firstLine="422"/>
        <w:rPr>
          <w:b/>
          <w:szCs w:val="21"/>
        </w:rPr>
      </w:pPr>
      <w:r>
        <w:rPr>
          <w:b/>
          <w:szCs w:val="21"/>
        </w:rPr>
        <w:t xml:space="preserve">2. </w:t>
      </w:r>
      <w:r>
        <w:rPr>
          <w:b/>
          <w:szCs w:val="21"/>
        </w:rPr>
        <w:t>实验目的：</w:t>
      </w:r>
      <w:r>
        <w:rPr>
          <w:bCs/>
        </w:rPr>
        <w:t>掌握杆件材料性质，支座位移，温度改变等参数的输入方法；计算给定平面钢架、桁架和连续梁的内力</w:t>
      </w:r>
      <w:r>
        <w:rPr>
          <w:b/>
          <w:szCs w:val="21"/>
        </w:rPr>
        <w:t>。</w:t>
      </w:r>
    </w:p>
    <w:p w14:paraId="62F21AF6" w14:textId="77777777" w:rsidR="00F5289E" w:rsidRDefault="00C91173">
      <w:pPr>
        <w:snapToGrid w:val="0"/>
        <w:spacing w:line="360" w:lineRule="auto"/>
        <w:ind w:firstLineChars="200" w:firstLine="422"/>
        <w:rPr>
          <w:bCs/>
        </w:rPr>
      </w:pPr>
      <w:r>
        <w:rPr>
          <w:b/>
          <w:szCs w:val="21"/>
        </w:rPr>
        <w:t xml:space="preserve">3. </w:t>
      </w:r>
      <w:r>
        <w:rPr>
          <w:b/>
          <w:szCs w:val="21"/>
        </w:rPr>
        <w:t>实验内容：</w:t>
      </w:r>
      <w:r>
        <w:rPr>
          <w:bCs/>
        </w:rPr>
        <w:t>对杆件和结点编号，选定局部坐标系和整体坐标系；根据题目已给数据，建立输入数据文件；运行程序，得到输出文件；手绘内力图。</w:t>
      </w:r>
    </w:p>
    <w:p w14:paraId="7D012DB3" w14:textId="77777777" w:rsidR="00F5289E" w:rsidRDefault="00C91173">
      <w:pPr>
        <w:snapToGrid w:val="0"/>
        <w:spacing w:line="360" w:lineRule="auto"/>
        <w:ind w:firstLineChars="200" w:firstLine="422"/>
        <w:rPr>
          <w:bCs/>
          <w:szCs w:val="21"/>
        </w:rPr>
      </w:pPr>
      <w:r>
        <w:rPr>
          <w:b/>
          <w:szCs w:val="21"/>
        </w:rPr>
        <w:t xml:space="preserve">4. </w:t>
      </w:r>
      <w:r>
        <w:rPr>
          <w:b/>
          <w:szCs w:val="21"/>
        </w:rPr>
        <w:t>实验要求：</w:t>
      </w:r>
      <w:r>
        <w:rPr>
          <w:bCs/>
        </w:rPr>
        <w:t>计算出给定平面钢架、桁架和连续梁的内力；绘制出上述结构内力图。</w:t>
      </w:r>
    </w:p>
    <w:p w14:paraId="3143202B" w14:textId="77777777" w:rsidR="00F5289E" w:rsidRDefault="00C91173">
      <w:pPr>
        <w:snapToGrid w:val="0"/>
        <w:spacing w:line="360" w:lineRule="auto"/>
        <w:ind w:firstLineChars="200" w:firstLine="422"/>
        <w:rPr>
          <w:bCs/>
        </w:rPr>
      </w:pPr>
      <w:r>
        <w:rPr>
          <w:b/>
          <w:szCs w:val="21"/>
        </w:rPr>
        <w:t xml:space="preserve">5. </w:t>
      </w:r>
      <w:r>
        <w:rPr>
          <w:b/>
          <w:szCs w:val="21"/>
        </w:rPr>
        <w:t>实验设备及器材：</w:t>
      </w:r>
      <w:r>
        <w:rPr>
          <w:bCs/>
        </w:rPr>
        <w:t>计算机、绘图板</w:t>
      </w:r>
    </w:p>
    <w:p w14:paraId="7735DA13" w14:textId="77777777" w:rsidR="00F5289E" w:rsidRDefault="00C91173">
      <w:pPr>
        <w:pStyle w:val="af1"/>
        <w:snapToGrid w:val="0"/>
        <w:spacing w:before="0" w:beforeAutospacing="0" w:after="0" w:afterAutospacing="0" w:line="360" w:lineRule="auto"/>
        <w:rPr>
          <w:rFonts w:ascii="Times New Roman" w:eastAsiaTheme="minorEastAsia" w:hAnsi="Times New Roman" w:cs="Times New Roman"/>
          <w:b/>
          <w:sz w:val="21"/>
          <w:szCs w:val="21"/>
        </w:rPr>
      </w:pPr>
      <w:r>
        <w:rPr>
          <w:rFonts w:ascii="微软雅黑" w:eastAsia="微软雅黑" w:hAnsi="微软雅黑" w:cs="微软雅黑" w:hint="eastAsia"/>
          <w:b/>
          <w:sz w:val="21"/>
          <w:szCs w:val="21"/>
        </w:rPr>
        <w:lastRenderedPageBreak/>
        <w:t>【实验</w:t>
      </w:r>
      <w:r>
        <w:rPr>
          <w:rFonts w:ascii="Times New Roman" w:eastAsiaTheme="minorEastAsia" w:hAnsi="Times New Roman" w:cs="Times New Roman"/>
          <w:b/>
          <w:sz w:val="21"/>
          <w:szCs w:val="21"/>
        </w:rPr>
        <w:t>二</w:t>
      </w:r>
      <w:r>
        <w:rPr>
          <w:rFonts w:ascii="微软雅黑" w:eastAsia="微软雅黑" w:hAnsi="微软雅黑" w:cs="微软雅黑" w:hint="eastAsia"/>
          <w:b/>
          <w:sz w:val="21"/>
          <w:szCs w:val="21"/>
        </w:rPr>
        <w:t>】</w:t>
      </w:r>
      <w:r>
        <w:rPr>
          <w:rFonts w:ascii="Times New Roman" w:eastAsiaTheme="minorEastAsia" w:hAnsi="Times New Roman" w:cs="Times New Roman"/>
          <w:b/>
          <w:sz w:val="21"/>
          <w:szCs w:val="21"/>
        </w:rPr>
        <w:t>塑料大棚结构受力分析</w:t>
      </w:r>
    </w:p>
    <w:p w14:paraId="67FBFD8A" w14:textId="77777777" w:rsidR="00F5289E" w:rsidRDefault="00C91173">
      <w:pPr>
        <w:snapToGrid w:val="0"/>
        <w:spacing w:line="360" w:lineRule="auto"/>
        <w:ind w:firstLineChars="200" w:firstLine="422"/>
      </w:pPr>
      <w:r>
        <w:rPr>
          <w:b/>
          <w:szCs w:val="21"/>
        </w:rPr>
        <w:t xml:space="preserve">1. </w:t>
      </w:r>
      <w:r>
        <w:rPr>
          <w:b/>
          <w:szCs w:val="21"/>
        </w:rPr>
        <w:t>实验学时：</w:t>
      </w:r>
      <w:r>
        <w:rPr>
          <w:bCs/>
        </w:rPr>
        <w:t>2</w:t>
      </w:r>
      <w:r>
        <w:rPr>
          <w:bCs/>
        </w:rPr>
        <w:t>学时</w:t>
      </w:r>
    </w:p>
    <w:p w14:paraId="493A940A" w14:textId="77777777" w:rsidR="00F5289E" w:rsidRDefault="00C91173">
      <w:pPr>
        <w:snapToGrid w:val="0"/>
        <w:spacing w:line="360" w:lineRule="auto"/>
        <w:ind w:firstLineChars="200" w:firstLine="422"/>
        <w:rPr>
          <w:bCs/>
        </w:rPr>
      </w:pPr>
      <w:r>
        <w:rPr>
          <w:b/>
          <w:szCs w:val="21"/>
        </w:rPr>
        <w:t xml:space="preserve">2. </w:t>
      </w:r>
      <w:r>
        <w:rPr>
          <w:b/>
          <w:szCs w:val="21"/>
        </w:rPr>
        <w:t>实验目的：</w:t>
      </w:r>
      <w:r>
        <w:rPr>
          <w:bCs/>
        </w:rPr>
        <w:t>掌握有限元模型的建立；基于结构力学分析，掌握设施结构优化方法。</w:t>
      </w:r>
    </w:p>
    <w:p w14:paraId="674E159A" w14:textId="77777777" w:rsidR="00F5289E" w:rsidRDefault="00C91173">
      <w:pPr>
        <w:snapToGrid w:val="0"/>
        <w:spacing w:line="360" w:lineRule="auto"/>
        <w:ind w:firstLineChars="200" w:firstLine="422"/>
        <w:rPr>
          <w:bCs/>
          <w:szCs w:val="21"/>
        </w:rPr>
      </w:pPr>
      <w:r>
        <w:rPr>
          <w:b/>
          <w:szCs w:val="21"/>
        </w:rPr>
        <w:t xml:space="preserve">3. </w:t>
      </w:r>
      <w:r>
        <w:rPr>
          <w:b/>
          <w:szCs w:val="21"/>
        </w:rPr>
        <w:t>实验内容：</w:t>
      </w:r>
      <w:r>
        <w:rPr>
          <w:bCs/>
        </w:rPr>
        <w:t>有限元模型建立，荷载的确定，荷载组合，进行塑料大棚结构力学分析。</w:t>
      </w:r>
    </w:p>
    <w:p w14:paraId="399FAA35" w14:textId="77777777" w:rsidR="00F5289E" w:rsidRDefault="00C91173">
      <w:pPr>
        <w:snapToGrid w:val="0"/>
        <w:spacing w:line="360" w:lineRule="auto"/>
        <w:ind w:firstLineChars="200" w:firstLine="422"/>
        <w:rPr>
          <w:bCs/>
        </w:rPr>
      </w:pPr>
      <w:r>
        <w:rPr>
          <w:b/>
          <w:szCs w:val="21"/>
        </w:rPr>
        <w:t xml:space="preserve">4. </w:t>
      </w:r>
      <w:r>
        <w:rPr>
          <w:b/>
          <w:szCs w:val="21"/>
        </w:rPr>
        <w:t>实验要求：</w:t>
      </w:r>
      <w:r>
        <w:rPr>
          <w:bCs/>
        </w:rPr>
        <w:t>通过有限元分析，对塑料大棚进行不同载荷下强度分析，并进行结构优化。</w:t>
      </w:r>
    </w:p>
    <w:p w14:paraId="3D51975C" w14:textId="77777777" w:rsidR="00F5289E" w:rsidRDefault="00C91173">
      <w:pPr>
        <w:snapToGrid w:val="0"/>
        <w:spacing w:line="360" w:lineRule="auto"/>
        <w:ind w:firstLineChars="200" w:firstLine="422"/>
        <w:rPr>
          <w:szCs w:val="21"/>
        </w:rPr>
      </w:pPr>
      <w:r>
        <w:rPr>
          <w:b/>
          <w:szCs w:val="21"/>
        </w:rPr>
        <w:t xml:space="preserve">5. </w:t>
      </w:r>
      <w:r>
        <w:rPr>
          <w:b/>
          <w:szCs w:val="21"/>
        </w:rPr>
        <w:t>实验设备及器材：</w:t>
      </w:r>
      <w:r>
        <w:rPr>
          <w:bCs/>
        </w:rPr>
        <w:t>计算机</w:t>
      </w:r>
    </w:p>
    <w:p w14:paraId="7E2871AB" w14:textId="77777777" w:rsidR="00F5289E" w:rsidRDefault="00C91173">
      <w:pPr>
        <w:snapToGrid w:val="0"/>
        <w:spacing w:line="360" w:lineRule="auto"/>
        <w:rPr>
          <w:bCs/>
          <w:color w:val="0000FF"/>
          <w:szCs w:val="21"/>
        </w:rPr>
      </w:pPr>
      <w:r>
        <w:rPr>
          <w:rFonts w:hint="eastAsia"/>
          <w:b/>
          <w:szCs w:val="21"/>
        </w:rPr>
        <w:t>（</w:t>
      </w:r>
      <w:r>
        <w:rPr>
          <w:b/>
          <w:szCs w:val="21"/>
        </w:rPr>
        <w:t>七</w:t>
      </w:r>
      <w:r>
        <w:rPr>
          <w:rFonts w:hint="eastAsia"/>
          <w:b/>
          <w:szCs w:val="21"/>
        </w:rPr>
        <w:t>）</w:t>
      </w:r>
      <w:r>
        <w:rPr>
          <w:b/>
          <w:bCs/>
          <w:szCs w:val="21"/>
        </w:rPr>
        <w:t>考核方式及成绩评定</w:t>
      </w:r>
    </w:p>
    <w:p w14:paraId="709DB7BC" w14:textId="77777777" w:rsidR="00F5289E" w:rsidRDefault="00C91173">
      <w:pPr>
        <w:snapToGrid w:val="0"/>
        <w:spacing w:line="360" w:lineRule="auto"/>
        <w:ind w:firstLineChars="200" w:firstLine="420"/>
        <w:rPr>
          <w:bCs/>
          <w:kern w:val="0"/>
          <w:szCs w:val="21"/>
        </w:rPr>
      </w:pPr>
      <w:r>
        <w:rPr>
          <w:bCs/>
          <w:kern w:val="0"/>
          <w:szCs w:val="21"/>
        </w:rPr>
        <w:t>采用撰写实验报告的方式进行考核，根据学生实验内容完成情况以及撰写的实验报告进行考核打分，分为优秀、良好、及格和不及格</w:t>
      </w:r>
      <w:r>
        <w:rPr>
          <w:bCs/>
          <w:kern w:val="0"/>
          <w:szCs w:val="21"/>
        </w:rPr>
        <w:t>4</w:t>
      </w:r>
      <w:r>
        <w:rPr>
          <w:bCs/>
          <w:kern w:val="0"/>
          <w:szCs w:val="21"/>
        </w:rPr>
        <w:t>个档次。</w:t>
      </w:r>
    </w:p>
    <w:p w14:paraId="6D9EA8FF" w14:textId="77777777" w:rsidR="00F5289E" w:rsidRDefault="00C91173">
      <w:pPr>
        <w:snapToGrid w:val="0"/>
        <w:spacing w:line="360" w:lineRule="auto"/>
        <w:rPr>
          <w:b/>
          <w:szCs w:val="21"/>
        </w:rPr>
      </w:pPr>
      <w:r>
        <w:rPr>
          <w:b/>
          <w:szCs w:val="21"/>
        </w:rPr>
        <w:t>六、课程思政</w:t>
      </w:r>
    </w:p>
    <w:p w14:paraId="7AC628A8" w14:textId="77777777" w:rsidR="00F5289E" w:rsidRDefault="00C91173">
      <w:pPr>
        <w:snapToGrid w:val="0"/>
        <w:spacing w:line="360" w:lineRule="auto"/>
        <w:ind w:firstLineChars="200" w:firstLine="420"/>
        <w:rPr>
          <w:bCs/>
          <w:kern w:val="0"/>
          <w:szCs w:val="21"/>
        </w:rPr>
      </w:pPr>
      <w:r>
        <w:rPr>
          <w:bCs/>
          <w:kern w:val="0"/>
          <w:szCs w:val="21"/>
        </w:rPr>
        <w:t>评价通过结合专业知识的讲解过程自然地融入思政元素：（</w:t>
      </w:r>
      <w:r>
        <w:rPr>
          <w:bCs/>
          <w:kern w:val="0"/>
          <w:szCs w:val="21"/>
        </w:rPr>
        <w:t>1</w:t>
      </w:r>
      <w:r>
        <w:rPr>
          <w:bCs/>
          <w:kern w:val="0"/>
          <w:szCs w:val="21"/>
        </w:rPr>
        <w:t>）以力学大师们的背景以及他们为祖国做出的贡献，树立为国家、社会在工程方面的发展做贡献的理想、信念和信心；通过中国传统建筑与超级建筑的案例引用，让学生树立民族自豪感，增强他们的爱国情怀；（</w:t>
      </w:r>
      <w:r>
        <w:rPr>
          <w:bCs/>
          <w:kern w:val="0"/>
          <w:szCs w:val="21"/>
        </w:rPr>
        <w:t>2</w:t>
      </w:r>
      <w:r>
        <w:rPr>
          <w:bCs/>
          <w:kern w:val="0"/>
          <w:szCs w:val="21"/>
        </w:rPr>
        <w:t>）穿插一些说文解字、国学经典、哲学理论等人文素材，倡导人文融通，增强学生的人文素养；（</w:t>
      </w:r>
      <w:r>
        <w:rPr>
          <w:bCs/>
          <w:kern w:val="0"/>
          <w:szCs w:val="21"/>
        </w:rPr>
        <w:t>3</w:t>
      </w:r>
      <w:r>
        <w:rPr>
          <w:bCs/>
          <w:kern w:val="0"/>
          <w:szCs w:val="21"/>
        </w:rPr>
        <w:t>）引入在工程中因为设计或者施工不当导致失效引起的生命与财产损失的血淋淋的案例，促使即将从事工程设计人员的学生们，做事要具有严谨的科学态度、扎实踏实的工匠精神，体现诚实守信的社会主义核心价值观；（</w:t>
      </w:r>
      <w:r>
        <w:rPr>
          <w:bCs/>
          <w:kern w:val="0"/>
          <w:szCs w:val="21"/>
        </w:rPr>
        <w:t>4</w:t>
      </w:r>
      <w:r>
        <w:rPr>
          <w:bCs/>
          <w:kern w:val="0"/>
          <w:szCs w:val="21"/>
        </w:rPr>
        <w:t>）实践环节会遇到设备问题、操作问题、实验结果与理论结果之间的差别等情况，需要学生不断查找、尝试、修正和总结，且分小组操作，可以锻炼学生的团结合作精神。</w:t>
      </w:r>
    </w:p>
    <w:p w14:paraId="1F12B623" w14:textId="77777777" w:rsidR="00F5289E" w:rsidRDefault="00C91173">
      <w:pPr>
        <w:widowControl/>
        <w:snapToGrid w:val="0"/>
        <w:spacing w:line="360" w:lineRule="auto"/>
        <w:jc w:val="left"/>
        <w:rPr>
          <w:kern w:val="0"/>
          <w:szCs w:val="21"/>
        </w:rPr>
      </w:pPr>
      <w:r>
        <w:rPr>
          <w:b/>
          <w:bCs/>
          <w:kern w:val="0"/>
          <w:szCs w:val="21"/>
        </w:rPr>
        <w:t>七、教材及教学参考书</w:t>
      </w:r>
    </w:p>
    <w:p w14:paraId="2BE20EFE" w14:textId="77777777" w:rsidR="00F5289E" w:rsidRDefault="00C91173">
      <w:pPr>
        <w:widowControl/>
        <w:snapToGrid w:val="0"/>
        <w:spacing w:line="360" w:lineRule="auto"/>
        <w:ind w:firstLineChars="200" w:firstLine="422"/>
        <w:jc w:val="left"/>
        <w:rPr>
          <w:b/>
          <w:bCs/>
          <w:kern w:val="0"/>
          <w:szCs w:val="21"/>
        </w:rPr>
      </w:pPr>
      <w:r>
        <w:rPr>
          <w:b/>
          <w:bCs/>
          <w:kern w:val="0"/>
          <w:szCs w:val="21"/>
        </w:rPr>
        <w:t xml:space="preserve">1. </w:t>
      </w:r>
      <w:r>
        <w:rPr>
          <w:b/>
          <w:bCs/>
          <w:kern w:val="0"/>
          <w:szCs w:val="21"/>
        </w:rPr>
        <w:t>选用教材：</w:t>
      </w:r>
    </w:p>
    <w:p w14:paraId="1A65FB8B" w14:textId="77777777" w:rsidR="00F5289E" w:rsidRDefault="00C91173">
      <w:pPr>
        <w:widowControl/>
        <w:snapToGrid w:val="0"/>
        <w:spacing w:line="360" w:lineRule="auto"/>
        <w:ind w:firstLineChars="200" w:firstLine="420"/>
        <w:jc w:val="left"/>
        <w:rPr>
          <w:bCs/>
          <w:kern w:val="0"/>
          <w:szCs w:val="21"/>
        </w:rPr>
      </w:pPr>
      <w:r>
        <w:rPr>
          <w:bCs/>
          <w:kern w:val="0"/>
          <w:szCs w:val="21"/>
        </w:rPr>
        <w:t>理论课教材：《工程力学》，刘荣梅、蔡新、范钦珊编著，机械工业出版社，</w:t>
      </w:r>
      <w:r>
        <w:rPr>
          <w:bCs/>
          <w:kern w:val="0"/>
          <w:szCs w:val="21"/>
        </w:rPr>
        <w:t>2018</w:t>
      </w:r>
      <w:r>
        <w:rPr>
          <w:bCs/>
          <w:kern w:val="0"/>
          <w:szCs w:val="21"/>
        </w:rPr>
        <w:t>年</w:t>
      </w:r>
    </w:p>
    <w:p w14:paraId="556FD218" w14:textId="77777777" w:rsidR="00F5289E" w:rsidRDefault="00C91173">
      <w:pPr>
        <w:widowControl/>
        <w:snapToGrid w:val="0"/>
        <w:spacing w:line="360" w:lineRule="auto"/>
        <w:ind w:firstLineChars="200" w:firstLine="422"/>
        <w:jc w:val="left"/>
        <w:rPr>
          <w:kern w:val="0"/>
          <w:szCs w:val="21"/>
        </w:rPr>
      </w:pPr>
      <w:r>
        <w:rPr>
          <w:b/>
          <w:bCs/>
          <w:kern w:val="0"/>
          <w:szCs w:val="21"/>
        </w:rPr>
        <w:t xml:space="preserve">2. </w:t>
      </w:r>
      <w:r>
        <w:rPr>
          <w:b/>
          <w:bCs/>
          <w:kern w:val="0"/>
          <w:szCs w:val="21"/>
        </w:rPr>
        <w:t>参考书：</w:t>
      </w:r>
    </w:p>
    <w:p w14:paraId="3DDBD150"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1</w:t>
      </w:r>
      <w:r>
        <w:rPr>
          <w:bCs/>
          <w:kern w:val="0"/>
          <w:szCs w:val="21"/>
        </w:rPr>
        <w:t>）《材料力学》．范钦珊主编．机械工业出版社</w:t>
      </w:r>
      <w:r>
        <w:rPr>
          <w:bCs/>
          <w:kern w:val="0"/>
          <w:szCs w:val="21"/>
        </w:rPr>
        <w:t>, 2011</w:t>
      </w:r>
      <w:r>
        <w:rPr>
          <w:bCs/>
          <w:kern w:val="0"/>
          <w:szCs w:val="21"/>
        </w:rPr>
        <w:t>年</w:t>
      </w:r>
    </w:p>
    <w:p w14:paraId="34F9C7CC"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2</w:t>
      </w:r>
      <w:r>
        <w:rPr>
          <w:bCs/>
          <w:kern w:val="0"/>
          <w:szCs w:val="21"/>
        </w:rPr>
        <w:t>）《材料力学》．申向东主编．中国水利水电出版社</w:t>
      </w:r>
      <w:r>
        <w:rPr>
          <w:bCs/>
          <w:kern w:val="0"/>
          <w:szCs w:val="21"/>
        </w:rPr>
        <w:t>, 2017</w:t>
      </w:r>
      <w:r>
        <w:rPr>
          <w:bCs/>
          <w:kern w:val="0"/>
          <w:szCs w:val="21"/>
        </w:rPr>
        <w:t>年</w:t>
      </w:r>
    </w:p>
    <w:p w14:paraId="6D72BFDD"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3</w:t>
      </w:r>
      <w:r>
        <w:rPr>
          <w:bCs/>
          <w:kern w:val="0"/>
          <w:szCs w:val="21"/>
        </w:rPr>
        <w:t>）《农业设施设计基础》．陈青云主编．中国农业出版社</w:t>
      </w:r>
      <w:r>
        <w:rPr>
          <w:bCs/>
          <w:kern w:val="0"/>
          <w:szCs w:val="21"/>
        </w:rPr>
        <w:t>, 2007</w:t>
      </w:r>
      <w:r>
        <w:rPr>
          <w:bCs/>
          <w:kern w:val="0"/>
          <w:szCs w:val="21"/>
        </w:rPr>
        <w:t>年</w:t>
      </w:r>
    </w:p>
    <w:p w14:paraId="66376A8F" w14:textId="77777777" w:rsidR="00F5289E" w:rsidRDefault="00C91173">
      <w:pPr>
        <w:widowControl/>
        <w:snapToGrid w:val="0"/>
        <w:spacing w:line="360" w:lineRule="auto"/>
        <w:ind w:firstLineChars="200" w:firstLine="422"/>
        <w:jc w:val="left"/>
        <w:rPr>
          <w:b/>
          <w:kern w:val="0"/>
          <w:szCs w:val="21"/>
        </w:rPr>
      </w:pPr>
      <w:r>
        <w:rPr>
          <w:b/>
          <w:kern w:val="0"/>
          <w:szCs w:val="21"/>
        </w:rPr>
        <w:t xml:space="preserve">3. </w:t>
      </w:r>
      <w:r>
        <w:rPr>
          <w:b/>
          <w:kern w:val="0"/>
          <w:szCs w:val="21"/>
        </w:rPr>
        <w:t>推荐网站（线上资源）：</w:t>
      </w:r>
    </w:p>
    <w:p w14:paraId="76FFD1BA" w14:textId="77777777" w:rsidR="00F5289E" w:rsidRDefault="00C91173">
      <w:pPr>
        <w:snapToGrid w:val="0"/>
        <w:spacing w:line="360" w:lineRule="auto"/>
        <w:ind w:firstLineChars="200" w:firstLine="420"/>
        <w:rPr>
          <w:szCs w:val="21"/>
        </w:rPr>
      </w:pPr>
      <w:r>
        <w:rPr>
          <w:szCs w:val="21"/>
        </w:rPr>
        <w:t>（</w:t>
      </w:r>
      <w:r>
        <w:rPr>
          <w:szCs w:val="21"/>
        </w:rPr>
        <w:t>1</w:t>
      </w:r>
      <w:r>
        <w:rPr>
          <w:szCs w:val="21"/>
        </w:rPr>
        <w:t>）</w:t>
      </w:r>
      <w:r>
        <w:rPr>
          <w:rFonts w:hint="eastAsia"/>
          <w:szCs w:val="21"/>
        </w:rPr>
        <w:t>机械工业出版社教育服务网</w:t>
      </w:r>
      <w:r>
        <w:rPr>
          <w:szCs w:val="21"/>
        </w:rPr>
        <w:t>，</w:t>
      </w:r>
      <w:r>
        <w:rPr>
          <w:szCs w:val="21"/>
        </w:rPr>
        <w:t>http://www.cmpedu.com</w:t>
      </w:r>
    </w:p>
    <w:p w14:paraId="4F1DCE58" w14:textId="77777777" w:rsidR="00F5289E" w:rsidRDefault="00C91173">
      <w:pPr>
        <w:widowControl/>
        <w:snapToGrid w:val="0"/>
        <w:spacing w:line="360" w:lineRule="auto"/>
        <w:ind w:firstLineChars="200" w:firstLine="420"/>
        <w:jc w:val="left"/>
        <w:rPr>
          <w:kern w:val="0"/>
        </w:rPr>
      </w:pPr>
      <w:r>
        <w:rPr>
          <w:szCs w:val="21"/>
        </w:rPr>
        <w:t>（</w:t>
      </w:r>
      <w:r>
        <w:rPr>
          <w:szCs w:val="21"/>
        </w:rPr>
        <w:t>2</w:t>
      </w:r>
      <w:r>
        <w:rPr>
          <w:szCs w:val="21"/>
        </w:rPr>
        <w:t>）</w:t>
      </w:r>
      <w:r>
        <w:rPr>
          <w:rFonts w:hint="eastAsia"/>
          <w:szCs w:val="21"/>
        </w:rPr>
        <w:t>中国大学</w:t>
      </w:r>
      <w:r>
        <w:rPr>
          <w:rFonts w:hint="eastAsia"/>
          <w:szCs w:val="21"/>
        </w:rPr>
        <w:t>MOO</w:t>
      </w:r>
      <w:r>
        <w:rPr>
          <w:szCs w:val="21"/>
        </w:rPr>
        <w:t>C</w:t>
      </w:r>
      <w:r>
        <w:rPr>
          <w:szCs w:val="21"/>
        </w:rPr>
        <w:t>，</w:t>
      </w:r>
      <w:r>
        <w:rPr>
          <w:szCs w:val="21"/>
        </w:rPr>
        <w:t>https://www.icourse163.org/course/HUST-1001515002</w:t>
      </w:r>
    </w:p>
    <w:p w14:paraId="4581F6E3" w14:textId="77777777" w:rsidR="00F5289E" w:rsidRDefault="00C91173">
      <w:pPr>
        <w:widowControl/>
        <w:snapToGrid w:val="0"/>
        <w:spacing w:line="360" w:lineRule="auto"/>
        <w:jc w:val="left"/>
        <w:rPr>
          <w:b/>
          <w:bCs/>
          <w:kern w:val="0"/>
          <w:szCs w:val="21"/>
        </w:rPr>
      </w:pPr>
      <w:r>
        <w:rPr>
          <w:b/>
          <w:bCs/>
          <w:kern w:val="0"/>
          <w:szCs w:val="21"/>
        </w:rPr>
        <w:t>八、教学条件</w:t>
      </w:r>
    </w:p>
    <w:p w14:paraId="25E9320A" w14:textId="77777777" w:rsidR="00F5289E" w:rsidRDefault="00C91173">
      <w:pPr>
        <w:snapToGrid w:val="0"/>
        <w:spacing w:line="360" w:lineRule="auto"/>
        <w:ind w:firstLineChars="200" w:firstLine="420"/>
        <w:rPr>
          <w:bCs/>
          <w:kern w:val="0"/>
          <w:szCs w:val="21"/>
        </w:rPr>
      </w:pPr>
      <w:r>
        <w:rPr>
          <w:bCs/>
          <w:kern w:val="0"/>
          <w:szCs w:val="21"/>
        </w:rPr>
        <w:t>本课程的核心任务是培养学生的空间想象能力，课程的具体实施需要具有多媒体的教室、良好的网络教学环境，以及具体的设施内结构材料作为教具，将抽象的力学概念具体化，便于学生深入的掌握和理解。此外，还需配备工程力学相关求解计算软件，进行有限元模型的建立和设施内结构构件的受力分析。</w:t>
      </w:r>
    </w:p>
    <w:p w14:paraId="7E317FB9" w14:textId="77777777" w:rsidR="00F5289E" w:rsidRDefault="00C91173">
      <w:pPr>
        <w:widowControl/>
        <w:snapToGrid w:val="0"/>
        <w:spacing w:line="360" w:lineRule="auto"/>
        <w:jc w:val="left"/>
        <w:rPr>
          <w:b/>
          <w:bCs/>
          <w:kern w:val="0"/>
          <w:szCs w:val="21"/>
        </w:rPr>
      </w:pPr>
      <w:r>
        <w:rPr>
          <w:b/>
          <w:bCs/>
          <w:kern w:val="0"/>
          <w:szCs w:val="21"/>
        </w:rPr>
        <w:lastRenderedPageBreak/>
        <w:t>九、教学考核评价</w:t>
      </w:r>
    </w:p>
    <w:p w14:paraId="4BFDD118" w14:textId="77777777" w:rsidR="00F5289E" w:rsidRDefault="00C91173">
      <w:pPr>
        <w:widowControl/>
        <w:snapToGrid w:val="0"/>
        <w:spacing w:line="360" w:lineRule="auto"/>
        <w:ind w:firstLine="420"/>
        <w:jc w:val="left"/>
        <w:rPr>
          <w:szCs w:val="21"/>
        </w:rPr>
      </w:pPr>
      <w:r>
        <w:rPr>
          <w:b/>
          <w:bCs/>
          <w:kern w:val="0"/>
          <w:szCs w:val="21"/>
        </w:rPr>
        <w:t xml:space="preserve">1. </w:t>
      </w:r>
      <w:r>
        <w:rPr>
          <w:b/>
          <w:bCs/>
          <w:kern w:val="0"/>
          <w:szCs w:val="21"/>
        </w:rPr>
        <w:t>过程性评价：</w:t>
      </w:r>
      <w:r>
        <w:rPr>
          <w:bCs/>
          <w:kern w:val="0"/>
          <w:szCs w:val="21"/>
        </w:rPr>
        <w:t>课程根据学生课堂表现、课后作业、小组讨论情况和实验课成绩进行过程性评价。其中，课堂表现占</w:t>
      </w:r>
      <w:r>
        <w:rPr>
          <w:bCs/>
          <w:kern w:val="0"/>
          <w:szCs w:val="21"/>
        </w:rPr>
        <w:t>20%</w:t>
      </w:r>
      <w:r>
        <w:rPr>
          <w:bCs/>
          <w:kern w:val="0"/>
          <w:szCs w:val="21"/>
        </w:rPr>
        <w:t>、课后作业占</w:t>
      </w:r>
      <w:r>
        <w:rPr>
          <w:bCs/>
          <w:kern w:val="0"/>
          <w:szCs w:val="21"/>
        </w:rPr>
        <w:t>20%</w:t>
      </w:r>
      <w:r>
        <w:rPr>
          <w:bCs/>
          <w:kern w:val="0"/>
          <w:szCs w:val="21"/>
        </w:rPr>
        <w:t>、小组讨论占</w:t>
      </w:r>
      <w:r>
        <w:rPr>
          <w:bCs/>
          <w:kern w:val="0"/>
          <w:szCs w:val="21"/>
        </w:rPr>
        <w:t>20%</w:t>
      </w:r>
      <w:r>
        <w:rPr>
          <w:bCs/>
          <w:kern w:val="0"/>
          <w:szCs w:val="21"/>
        </w:rPr>
        <w:t>和实验课程成绩占</w:t>
      </w:r>
      <w:r>
        <w:rPr>
          <w:bCs/>
          <w:kern w:val="0"/>
          <w:szCs w:val="21"/>
        </w:rPr>
        <w:t>20%</w:t>
      </w:r>
      <w:r>
        <w:rPr>
          <w:bCs/>
          <w:kern w:val="0"/>
          <w:szCs w:val="21"/>
        </w:rPr>
        <w:t>。</w:t>
      </w:r>
    </w:p>
    <w:p w14:paraId="634B6D58" w14:textId="77777777" w:rsidR="00F5289E" w:rsidRDefault="00C91173">
      <w:pPr>
        <w:widowControl/>
        <w:snapToGrid w:val="0"/>
        <w:spacing w:line="360" w:lineRule="auto"/>
        <w:ind w:firstLine="420"/>
        <w:jc w:val="left"/>
        <w:rPr>
          <w:b/>
          <w:bCs/>
          <w:kern w:val="0"/>
          <w:szCs w:val="21"/>
        </w:rPr>
      </w:pPr>
      <w:r>
        <w:rPr>
          <w:b/>
          <w:bCs/>
          <w:kern w:val="0"/>
          <w:szCs w:val="21"/>
        </w:rPr>
        <w:t xml:space="preserve">2. </w:t>
      </w:r>
      <w:r>
        <w:rPr>
          <w:b/>
          <w:bCs/>
          <w:kern w:val="0"/>
          <w:szCs w:val="21"/>
        </w:rPr>
        <w:t>终结性评价：</w:t>
      </w:r>
      <w:r>
        <w:t>本课程为考试课程，考试方式为闭卷。占综合成绩</w:t>
      </w:r>
      <w:r>
        <w:t>60%</w:t>
      </w:r>
      <w:r>
        <w:t>。</w:t>
      </w:r>
    </w:p>
    <w:p w14:paraId="5FAEAAD3" w14:textId="77777777" w:rsidR="00F5289E" w:rsidRDefault="00C91173">
      <w:pPr>
        <w:widowControl/>
        <w:snapToGrid w:val="0"/>
        <w:spacing w:line="360" w:lineRule="auto"/>
        <w:ind w:firstLine="420"/>
        <w:jc w:val="left"/>
      </w:pPr>
      <w:r>
        <w:rPr>
          <w:b/>
          <w:bCs/>
          <w:kern w:val="0"/>
          <w:szCs w:val="21"/>
        </w:rPr>
        <w:t xml:space="preserve">3. </w:t>
      </w:r>
      <w:r>
        <w:rPr>
          <w:b/>
          <w:bCs/>
          <w:kern w:val="0"/>
          <w:szCs w:val="21"/>
        </w:rPr>
        <w:t>课程综合评价：</w:t>
      </w:r>
      <w:r>
        <w:rPr>
          <w:bCs/>
          <w:kern w:val="0"/>
          <w:szCs w:val="21"/>
        </w:rPr>
        <w:t>该课程采用过程性考核和结果性考核相结合的方法，课程成绩可由平时成绩和期末考试成绩综合评定。综合课程成绩</w:t>
      </w:r>
      <w:r>
        <w:rPr>
          <w:bCs/>
          <w:kern w:val="0"/>
          <w:szCs w:val="21"/>
        </w:rPr>
        <w:t xml:space="preserve"> = </w:t>
      </w:r>
      <w:r>
        <w:rPr>
          <w:bCs/>
          <w:kern w:val="0"/>
          <w:szCs w:val="21"/>
        </w:rPr>
        <w:t>期末成绩</w:t>
      </w:r>
      <w:r>
        <w:rPr>
          <w:bCs/>
          <w:kern w:val="0"/>
          <w:szCs w:val="21"/>
        </w:rPr>
        <w:t>×60%</w:t>
      </w:r>
      <w:r>
        <w:rPr>
          <w:bCs/>
          <w:kern w:val="0"/>
          <w:szCs w:val="21"/>
        </w:rPr>
        <w:t>＋平时成绩</w:t>
      </w:r>
      <w:r>
        <w:rPr>
          <w:bCs/>
          <w:kern w:val="0"/>
          <w:szCs w:val="21"/>
        </w:rPr>
        <w:t>×40%</w:t>
      </w:r>
    </w:p>
    <w:p w14:paraId="4ADC4308" w14:textId="77777777" w:rsidR="00F5289E" w:rsidRDefault="00C91173">
      <w:pPr>
        <w:widowControl/>
        <w:jc w:val="left"/>
        <w:rPr>
          <w:rFonts w:ascii="宋体" w:hAnsi="宋体"/>
          <w:b/>
          <w:sz w:val="28"/>
          <w:szCs w:val="28"/>
        </w:rPr>
      </w:pPr>
      <w:r>
        <w:rPr>
          <w:rFonts w:ascii="宋体" w:hAnsi="宋体"/>
          <w:b/>
          <w:sz w:val="28"/>
          <w:szCs w:val="28"/>
        </w:rPr>
        <w:br w:type="page"/>
      </w:r>
    </w:p>
    <w:p w14:paraId="7F0476B3" w14:textId="77777777" w:rsidR="00F5289E" w:rsidRDefault="00C91173">
      <w:pPr>
        <w:pStyle w:val="1"/>
      </w:pPr>
      <w:bookmarkStart w:id="45" w:name="_Toc138606236"/>
      <w:r>
        <w:lastRenderedPageBreak/>
        <w:t>分子生物学基础</w:t>
      </w:r>
      <w:bookmarkEnd w:id="2"/>
      <w:bookmarkEnd w:id="45"/>
    </w:p>
    <w:p w14:paraId="694AA756" w14:textId="39FF2651" w:rsidR="00F5289E" w:rsidRPr="004156EB" w:rsidRDefault="00C91173">
      <w:pPr>
        <w:snapToGrid w:val="0"/>
        <w:spacing w:line="360" w:lineRule="auto"/>
        <w:jc w:val="center"/>
        <w:rPr>
          <w:sz w:val="24"/>
        </w:rPr>
      </w:pPr>
      <w:r w:rsidRPr="004156EB">
        <w:rPr>
          <w:sz w:val="24"/>
        </w:rPr>
        <w:t>（</w:t>
      </w:r>
      <w:r w:rsidRPr="004156EB">
        <w:rPr>
          <w:sz w:val="24"/>
        </w:rPr>
        <w:t>Molecular Biology</w:t>
      </w:r>
      <w:r w:rsidRPr="004156EB">
        <w:rPr>
          <w:sz w:val="24"/>
        </w:rPr>
        <w:t>）</w:t>
      </w:r>
    </w:p>
    <w:p w14:paraId="70028740" w14:textId="77777777" w:rsidR="00F5289E" w:rsidRDefault="00C91173">
      <w:pPr>
        <w:snapToGrid w:val="0"/>
        <w:spacing w:beforeLines="50" w:before="156" w:line="360" w:lineRule="auto"/>
        <w:jc w:val="center"/>
        <w:rPr>
          <w:b/>
          <w:szCs w:val="21"/>
        </w:rPr>
      </w:pPr>
      <w:r>
        <w:rPr>
          <w:b/>
          <w:szCs w:val="21"/>
        </w:rPr>
        <w:t>课程基本信息</w:t>
      </w:r>
    </w:p>
    <w:tbl>
      <w:tblPr>
        <w:tblW w:w="5000" w:type="pct"/>
        <w:tblLook w:val="04A0" w:firstRow="1" w:lastRow="0" w:firstColumn="1" w:lastColumn="0" w:noHBand="0" w:noVBand="1"/>
      </w:tblPr>
      <w:tblGrid>
        <w:gridCol w:w="2966"/>
        <w:gridCol w:w="73"/>
        <w:gridCol w:w="2278"/>
        <w:gridCol w:w="235"/>
        <w:gridCol w:w="3348"/>
      </w:tblGrid>
      <w:tr w:rsidR="00F5289E" w14:paraId="31368821" w14:textId="77777777">
        <w:tc>
          <w:tcPr>
            <w:tcW w:w="1666" w:type="pct"/>
          </w:tcPr>
          <w:p w14:paraId="2C0B8981" w14:textId="77777777" w:rsidR="00F5289E" w:rsidRDefault="00C91173">
            <w:pPr>
              <w:spacing w:line="300" w:lineRule="auto"/>
              <w:rPr>
                <w:rFonts w:ascii="宋体" w:hAnsi="宋体"/>
                <w:b/>
                <w:bCs/>
                <w:szCs w:val="21"/>
              </w:rPr>
            </w:pPr>
            <w:r>
              <w:rPr>
                <w:rFonts w:ascii="宋体" w:hAnsi="宋体"/>
                <w:b/>
                <w:bCs/>
                <w:szCs w:val="21"/>
              </w:rPr>
              <w:t>课程编号：</w:t>
            </w:r>
            <w:r>
              <w:rPr>
                <w:rFonts w:ascii="宋体" w:hAnsi="宋体"/>
                <w:szCs w:val="21"/>
              </w:rPr>
              <w:t>19011032</w:t>
            </w:r>
          </w:p>
        </w:tc>
        <w:tc>
          <w:tcPr>
            <w:tcW w:w="1453" w:type="pct"/>
            <w:gridSpan w:val="3"/>
          </w:tcPr>
          <w:p w14:paraId="51A6D907" w14:textId="77777777" w:rsidR="00F5289E" w:rsidRDefault="00C91173">
            <w:pPr>
              <w:spacing w:line="300" w:lineRule="auto"/>
              <w:rPr>
                <w:rFonts w:ascii="宋体" w:hAnsi="宋体"/>
                <w:b/>
                <w:bCs/>
                <w:szCs w:val="21"/>
              </w:rPr>
            </w:pPr>
            <w:r>
              <w:rPr>
                <w:rFonts w:ascii="宋体" w:hAnsi="宋体"/>
                <w:b/>
                <w:bCs/>
                <w:szCs w:val="21"/>
              </w:rPr>
              <w:t>课程总学时：</w:t>
            </w:r>
            <w:r>
              <w:rPr>
                <w:rFonts w:ascii="宋体" w:hAnsi="宋体"/>
                <w:szCs w:val="21"/>
              </w:rPr>
              <w:t>48</w:t>
            </w:r>
          </w:p>
        </w:tc>
        <w:tc>
          <w:tcPr>
            <w:tcW w:w="1881" w:type="pct"/>
          </w:tcPr>
          <w:p w14:paraId="08E0C01B" w14:textId="77777777" w:rsidR="00F5289E" w:rsidRDefault="00C91173">
            <w:pPr>
              <w:spacing w:line="300" w:lineRule="auto"/>
              <w:rPr>
                <w:rFonts w:ascii="宋体" w:hAnsi="宋体"/>
                <w:b/>
                <w:bCs/>
                <w:szCs w:val="21"/>
              </w:rPr>
            </w:pPr>
            <w:r>
              <w:rPr>
                <w:rFonts w:ascii="宋体" w:hAnsi="宋体"/>
                <w:b/>
                <w:bCs/>
                <w:szCs w:val="21"/>
              </w:rPr>
              <w:t>实验学时：</w:t>
            </w:r>
            <w:r>
              <w:rPr>
                <w:rFonts w:ascii="宋体" w:hAnsi="宋体"/>
                <w:szCs w:val="21"/>
              </w:rPr>
              <w:t>8</w:t>
            </w:r>
          </w:p>
        </w:tc>
      </w:tr>
      <w:tr w:rsidR="00F5289E" w14:paraId="2ECBDDFD" w14:textId="77777777">
        <w:tc>
          <w:tcPr>
            <w:tcW w:w="1666" w:type="pct"/>
          </w:tcPr>
          <w:p w14:paraId="141115EF" w14:textId="77777777" w:rsidR="00F5289E" w:rsidRDefault="00C91173">
            <w:pPr>
              <w:spacing w:line="300" w:lineRule="auto"/>
              <w:rPr>
                <w:rFonts w:ascii="宋体" w:hAnsi="宋体"/>
                <w:b/>
                <w:bCs/>
                <w:szCs w:val="21"/>
              </w:rPr>
            </w:pPr>
            <w:r>
              <w:rPr>
                <w:rFonts w:ascii="宋体" w:hAnsi="宋体"/>
                <w:b/>
                <w:bCs/>
                <w:szCs w:val="21"/>
              </w:rPr>
              <w:t>课程性质：</w:t>
            </w:r>
            <w:r>
              <w:rPr>
                <w:rFonts w:ascii="宋体" w:hAnsi="宋体"/>
                <w:szCs w:val="21"/>
              </w:rPr>
              <w:t>必修</w:t>
            </w:r>
          </w:p>
        </w:tc>
        <w:tc>
          <w:tcPr>
            <w:tcW w:w="1453" w:type="pct"/>
            <w:gridSpan w:val="3"/>
          </w:tcPr>
          <w:p w14:paraId="6E833149" w14:textId="77777777" w:rsidR="00F5289E" w:rsidRDefault="00C91173">
            <w:pPr>
              <w:spacing w:line="300" w:lineRule="auto"/>
              <w:rPr>
                <w:rFonts w:ascii="宋体" w:hAnsi="宋体"/>
                <w:b/>
                <w:bCs/>
                <w:szCs w:val="21"/>
              </w:rPr>
            </w:pPr>
            <w:r>
              <w:rPr>
                <w:rFonts w:ascii="宋体" w:hAnsi="宋体"/>
                <w:b/>
                <w:szCs w:val="21"/>
              </w:rPr>
              <w:t>课程属性：</w:t>
            </w:r>
            <w:r>
              <w:rPr>
                <w:rFonts w:ascii="宋体" w:hAnsi="宋体"/>
                <w:szCs w:val="21"/>
              </w:rPr>
              <w:t>基础类</w:t>
            </w:r>
          </w:p>
        </w:tc>
        <w:tc>
          <w:tcPr>
            <w:tcW w:w="1881" w:type="pct"/>
          </w:tcPr>
          <w:p w14:paraId="3A06B7F4" w14:textId="77777777" w:rsidR="00F5289E" w:rsidRDefault="00C91173">
            <w:pPr>
              <w:spacing w:line="300" w:lineRule="auto"/>
              <w:rPr>
                <w:rFonts w:ascii="宋体" w:hAnsi="宋体"/>
                <w:b/>
                <w:bCs/>
                <w:szCs w:val="21"/>
              </w:rPr>
            </w:pPr>
            <w:r>
              <w:rPr>
                <w:rFonts w:ascii="宋体" w:hAnsi="宋体"/>
                <w:b/>
                <w:bCs/>
                <w:szCs w:val="21"/>
              </w:rPr>
              <w:t>开设学期：</w:t>
            </w:r>
            <w:r>
              <w:rPr>
                <w:rFonts w:ascii="宋体" w:hAnsi="宋体"/>
                <w:szCs w:val="21"/>
              </w:rPr>
              <w:t>第5学期</w:t>
            </w:r>
          </w:p>
        </w:tc>
      </w:tr>
      <w:tr w:rsidR="00F5289E" w14:paraId="2A027ABA" w14:textId="77777777">
        <w:tc>
          <w:tcPr>
            <w:tcW w:w="5000" w:type="pct"/>
            <w:gridSpan w:val="5"/>
          </w:tcPr>
          <w:p w14:paraId="5E0FFE49" w14:textId="77777777" w:rsidR="00F5289E" w:rsidRDefault="00C91173">
            <w:pPr>
              <w:spacing w:line="300" w:lineRule="auto"/>
              <w:rPr>
                <w:b/>
                <w:bCs/>
                <w:szCs w:val="21"/>
              </w:rPr>
            </w:pPr>
            <w:r>
              <w:rPr>
                <w:rFonts w:ascii="宋体" w:hAnsi="宋体" w:hint="eastAsia"/>
                <w:b/>
                <w:bCs/>
                <w:szCs w:val="21"/>
              </w:rPr>
              <w:t>课程负责人：</w:t>
            </w:r>
            <w:r>
              <w:rPr>
                <w:rFonts w:ascii="宋体" w:hAnsi="宋体" w:hint="eastAsia"/>
                <w:szCs w:val="21"/>
              </w:rPr>
              <w:t>杨路明</w:t>
            </w:r>
            <w:r>
              <w:rPr>
                <w:rFonts w:ascii="宋体" w:hAnsi="宋体" w:hint="eastAsia"/>
                <w:b/>
                <w:bCs/>
                <w:szCs w:val="21"/>
              </w:rPr>
              <w:tab/>
              <w:t xml:space="preserve">      课程团队：</w:t>
            </w:r>
            <w:r>
              <w:rPr>
                <w:rFonts w:ascii="宋体" w:hAnsi="宋体" w:hint="eastAsia"/>
                <w:szCs w:val="21"/>
              </w:rPr>
              <w:t>杨路明</w:t>
            </w:r>
            <w:r>
              <w:rPr>
                <w:rFonts w:ascii="宋体" w:hAnsi="宋体"/>
                <w:szCs w:val="21"/>
              </w:rPr>
              <w:t xml:space="preserve"> </w:t>
            </w:r>
            <w:r>
              <w:rPr>
                <w:rFonts w:ascii="宋体" w:hAnsi="宋体" w:hint="eastAsia"/>
                <w:szCs w:val="21"/>
              </w:rPr>
              <w:t>李营</w:t>
            </w:r>
            <w:r>
              <w:rPr>
                <w:rFonts w:ascii="宋体" w:hAnsi="宋体"/>
                <w:szCs w:val="21"/>
              </w:rPr>
              <w:t xml:space="preserve"> </w:t>
            </w:r>
            <w:r>
              <w:rPr>
                <w:rFonts w:ascii="宋体" w:hAnsi="宋体" w:hint="eastAsia"/>
                <w:szCs w:val="21"/>
              </w:rPr>
              <w:t>杨森</w:t>
            </w:r>
            <w:r>
              <w:rPr>
                <w:rFonts w:ascii="宋体" w:hAnsi="宋体"/>
                <w:szCs w:val="21"/>
              </w:rPr>
              <w:t xml:space="preserve"> </w:t>
            </w:r>
            <w:r>
              <w:rPr>
                <w:rFonts w:ascii="宋体" w:hAnsi="宋体" w:hint="eastAsia"/>
                <w:szCs w:val="21"/>
              </w:rPr>
              <w:t>孙凯乐</w:t>
            </w:r>
            <w:r>
              <w:rPr>
                <w:rFonts w:ascii="宋体" w:hAnsi="宋体"/>
                <w:szCs w:val="21"/>
              </w:rPr>
              <w:t xml:space="preserve"> </w:t>
            </w:r>
            <w:r>
              <w:rPr>
                <w:rFonts w:ascii="宋体" w:hAnsi="宋体" w:hint="eastAsia"/>
                <w:szCs w:val="21"/>
              </w:rPr>
              <w:t>李翔</w:t>
            </w:r>
            <w:r>
              <w:rPr>
                <w:rFonts w:ascii="宋体" w:hAnsi="宋体"/>
                <w:szCs w:val="21"/>
              </w:rPr>
              <w:t xml:space="preserve"> </w:t>
            </w:r>
            <w:r>
              <w:rPr>
                <w:rFonts w:ascii="宋体" w:hAnsi="宋体" w:hint="eastAsia"/>
                <w:szCs w:val="21"/>
              </w:rPr>
              <w:t>安光辉</w:t>
            </w:r>
            <w:r>
              <w:rPr>
                <w:rFonts w:ascii="宋体" w:hAnsi="宋体"/>
                <w:b/>
                <w:bCs/>
                <w:szCs w:val="21"/>
              </w:rPr>
              <w:t xml:space="preserve"> </w:t>
            </w:r>
            <w:r>
              <w:rPr>
                <w:b/>
                <w:bCs/>
                <w:szCs w:val="21"/>
              </w:rPr>
              <w:t xml:space="preserve"> </w:t>
            </w:r>
          </w:p>
          <w:p w14:paraId="269B2C62"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szCs w:val="21"/>
              </w:rPr>
              <w:t>中文</w:t>
            </w:r>
            <w:r>
              <w:rPr>
                <w:rFonts w:ascii="宋体" w:hAnsi="宋体" w:hint="eastAsia"/>
                <w:b/>
                <w:bCs/>
                <w:szCs w:val="21"/>
              </w:rPr>
              <w:t xml:space="preserve"> </w:t>
            </w:r>
            <w:r>
              <w:rPr>
                <w:rFonts w:ascii="宋体" w:hAnsi="宋体"/>
                <w:b/>
                <w:bCs/>
                <w:szCs w:val="21"/>
              </w:rPr>
              <w:t xml:space="preserve">           适用专业：</w:t>
            </w:r>
            <w:r>
              <w:rPr>
                <w:rFonts w:ascii="宋体" w:hAnsi="宋体"/>
                <w:szCs w:val="21"/>
              </w:rPr>
              <w:t>园艺</w:t>
            </w:r>
            <w:r>
              <w:rPr>
                <w:rFonts w:ascii="宋体" w:hAnsi="宋体" w:hint="eastAsia"/>
                <w:szCs w:val="21"/>
              </w:rPr>
              <w:t xml:space="preserve">学，设施农业科学与工程，茶学 </w:t>
            </w:r>
            <w:r>
              <w:rPr>
                <w:rFonts w:ascii="宋体" w:hAnsi="宋体" w:hint="eastAsia"/>
                <w:b/>
                <w:bCs/>
                <w:szCs w:val="21"/>
              </w:rPr>
              <w:t xml:space="preserve">                     </w:t>
            </w:r>
          </w:p>
        </w:tc>
      </w:tr>
      <w:tr w:rsidR="00F5289E" w14:paraId="10FC51D1" w14:textId="77777777">
        <w:tc>
          <w:tcPr>
            <w:tcW w:w="5000" w:type="pct"/>
            <w:gridSpan w:val="5"/>
          </w:tcPr>
          <w:p w14:paraId="3C2B0437" w14:textId="77777777" w:rsidR="00F5289E" w:rsidRDefault="00C91173">
            <w:pPr>
              <w:spacing w:line="300" w:lineRule="auto"/>
              <w:rPr>
                <w:rFonts w:ascii="Arial" w:hAnsi="Arial" w:cs="Arial"/>
                <w:color w:val="333333"/>
                <w:szCs w:val="21"/>
                <w:shd w:val="clear" w:color="auto" w:fill="FFFFFF"/>
              </w:rPr>
            </w:pPr>
            <w:r>
              <w:rPr>
                <w:rFonts w:ascii="宋体" w:hAnsi="宋体" w:hint="eastAsia"/>
                <w:b/>
                <w:bCs/>
                <w:szCs w:val="21"/>
              </w:rPr>
              <w:t>对先修的要求</w:t>
            </w:r>
            <w:r>
              <w:rPr>
                <w:rFonts w:ascii="宋体" w:hAnsi="宋体"/>
                <w:b/>
                <w:bCs/>
                <w:szCs w:val="21"/>
              </w:rPr>
              <w:t>：</w:t>
            </w:r>
            <w:r>
              <w:rPr>
                <w:rFonts w:ascii="宋体" w:hAnsi="宋体" w:hint="eastAsia"/>
                <w:bCs/>
                <w:szCs w:val="21"/>
              </w:rPr>
              <w:t>要求学生前期通过对</w:t>
            </w:r>
            <w:r>
              <w:rPr>
                <w:rFonts w:ascii="宋体" w:hAnsi="宋体" w:hint="eastAsia"/>
                <w:szCs w:val="21"/>
              </w:rPr>
              <w:t>普通</w:t>
            </w:r>
            <w:r>
              <w:rPr>
                <w:rFonts w:ascii="宋体" w:hAnsi="宋体"/>
                <w:szCs w:val="21"/>
              </w:rPr>
              <w:t>化学</w:t>
            </w:r>
            <w:r>
              <w:rPr>
                <w:rFonts w:ascii="宋体" w:hAnsi="宋体" w:hint="eastAsia"/>
                <w:szCs w:val="21"/>
              </w:rPr>
              <w:t>、</w:t>
            </w:r>
            <w:r>
              <w:rPr>
                <w:rFonts w:ascii="宋体" w:hAnsi="宋体"/>
                <w:szCs w:val="21"/>
              </w:rPr>
              <w:t>有机化学</w:t>
            </w:r>
            <w:r>
              <w:rPr>
                <w:rFonts w:ascii="宋体" w:hAnsi="宋体" w:hint="eastAsia"/>
                <w:szCs w:val="21"/>
              </w:rPr>
              <w:t>、基础生物化学课程的学习，掌握</w:t>
            </w:r>
            <w:r>
              <w:rPr>
                <w:rFonts w:ascii="Arial" w:hAnsi="Arial" w:cs="Arial" w:hint="eastAsia"/>
                <w:color w:val="333333"/>
                <w:szCs w:val="21"/>
                <w:shd w:val="clear" w:color="auto" w:fill="FFFFFF"/>
              </w:rPr>
              <w:t>核酸化学、酶、糖类代谢、脂类代谢、蛋白质降解及氨基酸代谢、核酸降解及核苷酸代谢等内容，知晓各类大分子物质的代谢过程；通过对植物学、园艺植物遗传学课程的学习掌握植物不同组织器官发育过程、遗传的细胞学基础、遗传物质的分子基础、遗传学基本定律、细胞质遗传、遗传物质的变异、数量遗传与群体遗传、园林植物主要观赏性状的遗传等内容，知晓园艺植物的发育与遗传。</w:t>
            </w:r>
          </w:p>
          <w:p w14:paraId="594D993B" w14:textId="77777777" w:rsidR="00F5289E" w:rsidRDefault="00C91173">
            <w:pPr>
              <w:spacing w:line="300" w:lineRule="auto"/>
              <w:rPr>
                <w:rFonts w:ascii="宋体" w:hAnsi="宋体"/>
                <w:b/>
                <w:bCs/>
                <w:szCs w:val="21"/>
              </w:rPr>
            </w:pPr>
            <w:r>
              <w:rPr>
                <w:rFonts w:ascii="宋体" w:hAnsi="宋体" w:hint="eastAsia"/>
                <w:b/>
                <w:szCs w:val="21"/>
              </w:rPr>
              <w:t>对后续的支撑：</w:t>
            </w:r>
            <w:r>
              <w:rPr>
                <w:rFonts w:ascii="宋体" w:hAnsi="宋体" w:hint="eastAsia"/>
                <w:szCs w:val="21"/>
              </w:rPr>
              <w:t>后续通过对园艺植物生物技术、园艺产品采后处理学等课程的学习，进一步将分子生物学基础课程知识应用到植物</w:t>
            </w:r>
            <w:r>
              <w:rPr>
                <w:rFonts w:ascii="宋体" w:hAnsi="宋体" w:hint="eastAsia"/>
                <w:b/>
                <w:bCs/>
                <w:szCs w:val="21"/>
              </w:rPr>
              <w:t>基因编辑育种</w:t>
            </w:r>
            <w:r>
              <w:rPr>
                <w:rFonts w:ascii="宋体" w:hAnsi="宋体" w:hint="eastAsia"/>
                <w:szCs w:val="21"/>
              </w:rPr>
              <w:t>与采后处理中，实现理论知识与实践应用的结合。</w:t>
            </w:r>
          </w:p>
        </w:tc>
      </w:tr>
      <w:tr w:rsidR="00F5289E" w14:paraId="226B3CD1" w14:textId="77777777">
        <w:tc>
          <w:tcPr>
            <w:tcW w:w="1707" w:type="pct"/>
            <w:gridSpan w:val="2"/>
          </w:tcPr>
          <w:p w14:paraId="3ADB6930" w14:textId="77777777" w:rsidR="00F5289E" w:rsidRDefault="00C91173">
            <w:pPr>
              <w:spacing w:line="300" w:lineRule="auto"/>
              <w:rPr>
                <w:rFonts w:ascii="宋体" w:hAnsi="宋体"/>
                <w:szCs w:val="21"/>
              </w:rPr>
            </w:pPr>
            <w:r>
              <w:rPr>
                <w:rFonts w:ascii="宋体" w:hAnsi="宋体"/>
                <w:b/>
                <w:bCs/>
                <w:szCs w:val="21"/>
              </w:rPr>
              <w:t>主撰人：</w:t>
            </w:r>
            <w:r>
              <w:rPr>
                <w:rFonts w:ascii="宋体" w:hAnsi="宋体" w:hint="eastAsia"/>
                <w:szCs w:val="21"/>
              </w:rPr>
              <w:t>杨路明、李营、</w:t>
            </w:r>
          </w:p>
          <w:p w14:paraId="0E5F1B00" w14:textId="77777777" w:rsidR="00F5289E" w:rsidRDefault="00C91173">
            <w:pPr>
              <w:spacing w:line="300" w:lineRule="auto"/>
              <w:ind w:firstLineChars="400" w:firstLine="840"/>
              <w:rPr>
                <w:rFonts w:ascii="宋体" w:hAnsi="宋体"/>
                <w:szCs w:val="21"/>
              </w:rPr>
            </w:pPr>
            <w:r>
              <w:rPr>
                <w:rFonts w:ascii="宋体" w:hAnsi="宋体" w:hint="eastAsia"/>
                <w:szCs w:val="21"/>
              </w:rPr>
              <w:t>孙凯乐、杨森、</w:t>
            </w:r>
          </w:p>
          <w:p w14:paraId="719B8A31" w14:textId="77777777" w:rsidR="00F5289E" w:rsidRDefault="00C91173">
            <w:pPr>
              <w:spacing w:line="300" w:lineRule="auto"/>
              <w:ind w:firstLineChars="400" w:firstLine="840"/>
              <w:rPr>
                <w:rFonts w:ascii="宋体" w:hAnsi="宋体"/>
                <w:b/>
                <w:bCs/>
                <w:szCs w:val="21"/>
              </w:rPr>
            </w:pPr>
            <w:r>
              <w:rPr>
                <w:rFonts w:ascii="宋体" w:hAnsi="宋体" w:hint="eastAsia"/>
                <w:szCs w:val="21"/>
              </w:rPr>
              <w:t>李翔、安光辉</w:t>
            </w:r>
          </w:p>
        </w:tc>
        <w:tc>
          <w:tcPr>
            <w:tcW w:w="1280" w:type="pct"/>
          </w:tcPr>
          <w:p w14:paraId="771166AB" w14:textId="77777777" w:rsidR="00F5289E" w:rsidRDefault="00C91173">
            <w:pPr>
              <w:spacing w:line="300" w:lineRule="auto"/>
              <w:ind w:firstLineChars="200" w:firstLine="422"/>
              <w:rPr>
                <w:rFonts w:ascii="宋体" w:hAnsi="宋体"/>
                <w:b/>
                <w:bCs/>
                <w:szCs w:val="21"/>
              </w:rPr>
            </w:pPr>
            <w:r>
              <w:rPr>
                <w:rFonts w:ascii="宋体" w:hAnsi="宋体"/>
                <w:b/>
                <w:bCs/>
                <w:szCs w:val="21"/>
              </w:rPr>
              <w:t>审核人：</w:t>
            </w:r>
            <w:r>
              <w:rPr>
                <w:rFonts w:ascii="宋体" w:hAnsi="宋体" w:hint="eastAsia"/>
                <w:szCs w:val="21"/>
              </w:rPr>
              <w:t>杨路明</w:t>
            </w:r>
          </w:p>
        </w:tc>
        <w:tc>
          <w:tcPr>
            <w:tcW w:w="2013" w:type="pct"/>
            <w:gridSpan w:val="2"/>
          </w:tcPr>
          <w:p w14:paraId="719CAB79" w14:textId="77777777" w:rsidR="00F5289E" w:rsidRDefault="00C91173">
            <w:pPr>
              <w:spacing w:line="300" w:lineRule="auto"/>
              <w:rPr>
                <w:rFonts w:ascii="宋体" w:hAnsi="宋体"/>
                <w:b/>
                <w:bCs/>
                <w:szCs w:val="21"/>
              </w:rPr>
            </w:pPr>
            <w:r>
              <w:rPr>
                <w:rFonts w:ascii="宋体" w:hAnsi="宋体"/>
                <w:b/>
                <w:bCs/>
                <w:szCs w:val="21"/>
              </w:rPr>
              <w:t>大纲制定（修订）日期：</w:t>
            </w:r>
            <w:r>
              <w:rPr>
                <w:rFonts w:ascii="宋体" w:hAnsi="宋体"/>
                <w:szCs w:val="21"/>
              </w:rPr>
              <w:t>2023.05</w:t>
            </w:r>
          </w:p>
        </w:tc>
      </w:tr>
    </w:tbl>
    <w:p w14:paraId="0708DB25" w14:textId="77777777" w:rsidR="00F5289E" w:rsidRDefault="00C91173" w:rsidP="00A115EF">
      <w:pPr>
        <w:pStyle w:val="afd"/>
        <w:numPr>
          <w:ilvl w:val="0"/>
          <w:numId w:val="5"/>
        </w:numPr>
        <w:spacing w:line="360" w:lineRule="auto"/>
        <w:ind w:firstLineChars="0"/>
        <w:rPr>
          <w:kern w:val="0"/>
          <w:szCs w:val="21"/>
        </w:rPr>
      </w:pPr>
      <w:r>
        <w:rPr>
          <w:rFonts w:hAnsi="宋体"/>
          <w:b/>
          <w:bCs/>
          <w:kern w:val="0"/>
          <w:szCs w:val="21"/>
        </w:rPr>
        <w:t>课程的</w:t>
      </w:r>
      <w:r>
        <w:rPr>
          <w:rFonts w:hAnsi="宋体" w:hint="eastAsia"/>
          <w:b/>
          <w:bCs/>
          <w:kern w:val="0"/>
          <w:szCs w:val="21"/>
        </w:rPr>
        <w:t>教学理念、性质、目标和</w:t>
      </w:r>
      <w:r>
        <w:rPr>
          <w:rFonts w:hAnsi="宋体"/>
          <w:b/>
          <w:bCs/>
          <w:kern w:val="0"/>
          <w:szCs w:val="21"/>
        </w:rPr>
        <w:t>任务</w:t>
      </w:r>
    </w:p>
    <w:p w14:paraId="79CBDD46" w14:textId="77777777" w:rsidR="00F5289E" w:rsidRDefault="00C91173">
      <w:pPr>
        <w:spacing w:line="360" w:lineRule="auto"/>
        <w:ind w:firstLineChars="200" w:firstLine="420"/>
        <w:rPr>
          <w:kern w:val="0"/>
          <w:szCs w:val="21"/>
        </w:rPr>
      </w:pPr>
      <w:r>
        <w:rPr>
          <w:kern w:val="0"/>
          <w:szCs w:val="21"/>
        </w:rPr>
        <w:t>分子生物学是</w:t>
      </w:r>
      <w:r>
        <w:rPr>
          <w:rFonts w:hint="eastAsia"/>
          <w:kern w:val="0"/>
          <w:szCs w:val="21"/>
        </w:rPr>
        <w:t>园艺专业必修课程和</w:t>
      </w:r>
      <w:r>
        <w:rPr>
          <w:rFonts w:ascii="宋体" w:hAnsi="宋体" w:hint="eastAsia"/>
          <w:bCs/>
          <w:szCs w:val="21"/>
        </w:rPr>
        <w:t>基础课程，是</w:t>
      </w:r>
      <w:r>
        <w:rPr>
          <w:kern w:val="0"/>
          <w:szCs w:val="21"/>
        </w:rPr>
        <w:t>一门近年来发展迅速并且在生命科学领域里应用越来越广泛、影响越来越深远的一个学科。它渗透到生命科学的各个领域，特别是生命科学、医学、农学、园艺以及生物技术、生物工程等方面。本课程</w:t>
      </w:r>
      <w:r>
        <w:rPr>
          <w:rFonts w:hint="eastAsia"/>
          <w:kern w:val="0"/>
          <w:szCs w:val="21"/>
        </w:rPr>
        <w:t>主要</w:t>
      </w:r>
      <w:r>
        <w:rPr>
          <w:kern w:val="0"/>
          <w:szCs w:val="21"/>
        </w:rPr>
        <w:t>介绍分子生物学技术的基本原理和操作方法，并详述原核和真核生物表达系统的研究等。通过该课程的讲授，使学生系统掌握分子生物学基本理论、技术和方法，初步</w:t>
      </w:r>
      <w:r>
        <w:rPr>
          <w:rFonts w:hint="eastAsia"/>
          <w:kern w:val="0"/>
          <w:szCs w:val="21"/>
        </w:rPr>
        <w:t>了解</w:t>
      </w:r>
      <w:r>
        <w:rPr>
          <w:kern w:val="0"/>
          <w:szCs w:val="21"/>
        </w:rPr>
        <w:t>当今分子生物学的应用</w:t>
      </w:r>
      <w:r>
        <w:rPr>
          <w:rFonts w:hint="eastAsia"/>
          <w:kern w:val="0"/>
          <w:szCs w:val="21"/>
        </w:rPr>
        <w:t>与</w:t>
      </w:r>
      <w:r>
        <w:rPr>
          <w:kern w:val="0"/>
          <w:szCs w:val="21"/>
        </w:rPr>
        <w:t>发展趋势，为学习其</w:t>
      </w:r>
      <w:r>
        <w:rPr>
          <w:rFonts w:hint="eastAsia"/>
          <w:kern w:val="0"/>
          <w:szCs w:val="21"/>
        </w:rPr>
        <w:t>它</w:t>
      </w:r>
      <w:r>
        <w:rPr>
          <w:kern w:val="0"/>
          <w:szCs w:val="21"/>
        </w:rPr>
        <w:t>基础课程打下坚实的</w:t>
      </w:r>
      <w:r>
        <w:rPr>
          <w:rFonts w:hint="eastAsia"/>
          <w:kern w:val="0"/>
          <w:szCs w:val="21"/>
        </w:rPr>
        <w:t>理论</w:t>
      </w:r>
      <w:r>
        <w:rPr>
          <w:kern w:val="0"/>
          <w:szCs w:val="21"/>
        </w:rPr>
        <w:t>基础，</w:t>
      </w:r>
      <w:r>
        <w:rPr>
          <w:rFonts w:hint="eastAsia"/>
          <w:kern w:val="0"/>
          <w:szCs w:val="21"/>
        </w:rPr>
        <w:t>能</w:t>
      </w:r>
      <w:r>
        <w:rPr>
          <w:kern w:val="0"/>
          <w:szCs w:val="21"/>
        </w:rPr>
        <w:t>及时跟踪</w:t>
      </w:r>
      <w:r>
        <w:rPr>
          <w:rFonts w:hint="eastAsia"/>
          <w:kern w:val="0"/>
          <w:szCs w:val="21"/>
        </w:rPr>
        <w:t>最新</w:t>
      </w:r>
      <w:r>
        <w:rPr>
          <w:kern w:val="0"/>
          <w:szCs w:val="21"/>
        </w:rPr>
        <w:t>发展动向，培养掌握分子生物学理论和技术的园艺学专业本科人才。</w:t>
      </w:r>
    </w:p>
    <w:p w14:paraId="1CF4C789" w14:textId="77777777" w:rsidR="00F5289E" w:rsidRDefault="00C91173">
      <w:pPr>
        <w:widowControl/>
        <w:snapToGrid w:val="0"/>
        <w:spacing w:beforeLines="50" w:before="156" w:line="360" w:lineRule="auto"/>
        <w:jc w:val="left"/>
        <w:rPr>
          <w:kern w:val="0"/>
          <w:szCs w:val="21"/>
        </w:rPr>
      </w:pPr>
      <w:r>
        <w:rPr>
          <w:b/>
          <w:bCs/>
          <w:kern w:val="0"/>
          <w:szCs w:val="21"/>
        </w:rPr>
        <w:t>二、课程教学的基本要求</w:t>
      </w:r>
    </w:p>
    <w:p w14:paraId="7597850B" w14:textId="77777777" w:rsidR="00F5289E" w:rsidRDefault="00C91173">
      <w:pPr>
        <w:widowControl/>
        <w:adjustRightInd w:val="0"/>
        <w:snapToGrid w:val="0"/>
        <w:spacing w:line="360" w:lineRule="auto"/>
        <w:jc w:val="left"/>
        <w:rPr>
          <w:szCs w:val="21"/>
        </w:rPr>
      </w:pPr>
      <w:r>
        <w:rPr>
          <w:rFonts w:hint="eastAsia"/>
          <w:kern w:val="0"/>
          <w:szCs w:val="21"/>
        </w:rPr>
        <w:t xml:space="preserve">1. </w:t>
      </w:r>
      <w:r>
        <w:rPr>
          <w:kern w:val="0"/>
          <w:szCs w:val="21"/>
        </w:rPr>
        <w:t>理论知识方</w:t>
      </w:r>
      <w:r>
        <w:rPr>
          <w:szCs w:val="21"/>
        </w:rPr>
        <w:t>面：</w:t>
      </w:r>
    </w:p>
    <w:p w14:paraId="50D7F2A1"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1</w:t>
      </w:r>
      <w:r>
        <w:rPr>
          <w:rFonts w:hint="eastAsia"/>
          <w:kern w:val="0"/>
          <w:szCs w:val="21"/>
        </w:rPr>
        <w:t>）</w:t>
      </w:r>
      <w:r>
        <w:rPr>
          <w:kern w:val="0"/>
          <w:szCs w:val="21"/>
        </w:rPr>
        <w:t>、掌握分子生物学的概念、研究内容与特点。</w:t>
      </w:r>
    </w:p>
    <w:p w14:paraId="0783D93E"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2</w:t>
      </w:r>
      <w:r>
        <w:rPr>
          <w:rFonts w:hint="eastAsia"/>
          <w:kern w:val="0"/>
          <w:szCs w:val="21"/>
        </w:rPr>
        <w:t>）</w:t>
      </w:r>
      <w:r>
        <w:rPr>
          <w:kern w:val="0"/>
          <w:szCs w:val="21"/>
        </w:rPr>
        <w:t>、了解基因概念的演变，掌握基因的概念及</w:t>
      </w:r>
      <w:r>
        <w:rPr>
          <w:rFonts w:hint="eastAsia"/>
          <w:kern w:val="0"/>
          <w:szCs w:val="21"/>
        </w:rPr>
        <w:t>其</w:t>
      </w:r>
      <w:r>
        <w:rPr>
          <w:kern w:val="0"/>
          <w:szCs w:val="21"/>
        </w:rPr>
        <w:t>结构与功能。</w:t>
      </w:r>
    </w:p>
    <w:p w14:paraId="6831CF53"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3</w:t>
      </w:r>
      <w:r>
        <w:rPr>
          <w:rFonts w:hint="eastAsia"/>
          <w:kern w:val="0"/>
          <w:szCs w:val="21"/>
        </w:rPr>
        <w:t>）</w:t>
      </w:r>
      <w:r>
        <w:rPr>
          <w:kern w:val="0"/>
          <w:szCs w:val="21"/>
        </w:rPr>
        <w:t>、掌握原核生物与真核生物基因组的结构及特点。</w:t>
      </w:r>
    </w:p>
    <w:p w14:paraId="59EB9F02"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lastRenderedPageBreak/>
        <w:t>（</w:t>
      </w:r>
      <w:r>
        <w:rPr>
          <w:kern w:val="0"/>
          <w:szCs w:val="21"/>
        </w:rPr>
        <w:t>4</w:t>
      </w:r>
      <w:r>
        <w:rPr>
          <w:rFonts w:hint="eastAsia"/>
          <w:kern w:val="0"/>
          <w:szCs w:val="21"/>
        </w:rPr>
        <w:t>）</w:t>
      </w:r>
      <w:r>
        <w:rPr>
          <w:kern w:val="0"/>
          <w:szCs w:val="21"/>
        </w:rPr>
        <w:t>、掌握</w:t>
      </w:r>
      <w:r>
        <w:rPr>
          <w:kern w:val="0"/>
          <w:szCs w:val="21"/>
        </w:rPr>
        <w:t>DNA</w:t>
      </w:r>
      <w:r>
        <w:rPr>
          <w:kern w:val="0"/>
          <w:szCs w:val="21"/>
        </w:rPr>
        <w:t>复制的一般特点及过程，掌握基因突变和遗传重组的分子机制。</w:t>
      </w:r>
    </w:p>
    <w:p w14:paraId="3F3FF33B"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5</w:t>
      </w:r>
      <w:r>
        <w:rPr>
          <w:rFonts w:hint="eastAsia"/>
          <w:kern w:val="0"/>
          <w:szCs w:val="21"/>
        </w:rPr>
        <w:t>）</w:t>
      </w:r>
      <w:r>
        <w:rPr>
          <w:kern w:val="0"/>
          <w:szCs w:val="21"/>
        </w:rPr>
        <w:t>、理解转录的基本过程、机制，掌握真核</w:t>
      </w:r>
      <w:r>
        <w:rPr>
          <w:kern w:val="0"/>
          <w:szCs w:val="21"/>
        </w:rPr>
        <w:t>RNA</w:t>
      </w:r>
      <w:r>
        <w:rPr>
          <w:kern w:val="0"/>
          <w:szCs w:val="21"/>
        </w:rPr>
        <w:t>的转录后加工。</w:t>
      </w:r>
    </w:p>
    <w:p w14:paraId="136300AB"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6</w:t>
      </w:r>
      <w:r>
        <w:rPr>
          <w:rFonts w:hint="eastAsia"/>
          <w:kern w:val="0"/>
          <w:szCs w:val="21"/>
        </w:rPr>
        <w:t>）</w:t>
      </w:r>
      <w:r>
        <w:rPr>
          <w:kern w:val="0"/>
          <w:szCs w:val="21"/>
        </w:rPr>
        <w:t>、掌握蛋白质合成的生物学机制。</w:t>
      </w:r>
    </w:p>
    <w:p w14:paraId="581D589E"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7</w:t>
      </w:r>
      <w:r>
        <w:rPr>
          <w:rFonts w:hint="eastAsia"/>
          <w:kern w:val="0"/>
          <w:szCs w:val="21"/>
        </w:rPr>
        <w:t>）</w:t>
      </w:r>
      <w:r>
        <w:rPr>
          <w:kern w:val="0"/>
          <w:szCs w:val="21"/>
        </w:rPr>
        <w:t>、掌握原核基因表达调控模式和真核基因表达调控的一般规律，深刻理解基因表达的精细性和复杂性及高度可调控性。</w:t>
      </w:r>
    </w:p>
    <w:p w14:paraId="78DD7D96" w14:textId="77777777" w:rsidR="00F5289E" w:rsidRDefault="00C91173">
      <w:pPr>
        <w:widowControl/>
        <w:adjustRightInd w:val="0"/>
        <w:snapToGrid w:val="0"/>
        <w:spacing w:line="360" w:lineRule="auto"/>
        <w:ind w:firstLine="420"/>
        <w:jc w:val="left"/>
        <w:rPr>
          <w:kern w:val="0"/>
          <w:szCs w:val="21"/>
        </w:rPr>
      </w:pPr>
      <w:r>
        <w:rPr>
          <w:rFonts w:hint="eastAsia"/>
          <w:kern w:val="0"/>
          <w:szCs w:val="21"/>
        </w:rPr>
        <w:t>（</w:t>
      </w:r>
      <w:r>
        <w:rPr>
          <w:kern w:val="0"/>
          <w:szCs w:val="21"/>
        </w:rPr>
        <w:t>8</w:t>
      </w:r>
      <w:r>
        <w:rPr>
          <w:rFonts w:hint="eastAsia"/>
          <w:kern w:val="0"/>
          <w:szCs w:val="21"/>
        </w:rPr>
        <w:t>）</w:t>
      </w:r>
      <w:r>
        <w:rPr>
          <w:kern w:val="0"/>
          <w:szCs w:val="21"/>
        </w:rPr>
        <w:t>、结合当今快速发展的分子生物学技术讨论基因组学、转录组学、蛋白组学以及代谢组学的最新研究概况。</w:t>
      </w:r>
    </w:p>
    <w:p w14:paraId="6427DBAD" w14:textId="77777777" w:rsidR="00F5289E" w:rsidRDefault="00C91173">
      <w:pPr>
        <w:widowControl/>
        <w:adjustRightInd w:val="0"/>
        <w:snapToGrid w:val="0"/>
        <w:spacing w:line="360" w:lineRule="auto"/>
        <w:jc w:val="left"/>
        <w:rPr>
          <w:szCs w:val="21"/>
        </w:rPr>
      </w:pPr>
      <w:r>
        <w:rPr>
          <w:rFonts w:hint="eastAsia"/>
          <w:szCs w:val="21"/>
        </w:rPr>
        <w:t xml:space="preserve">2. </w:t>
      </w:r>
      <w:r>
        <w:rPr>
          <w:szCs w:val="21"/>
        </w:rPr>
        <w:t>实验技能方面：</w:t>
      </w:r>
    </w:p>
    <w:p w14:paraId="6823632C" w14:textId="77777777" w:rsidR="00F5289E" w:rsidRDefault="00C91173">
      <w:pPr>
        <w:widowControl/>
        <w:adjustRightInd w:val="0"/>
        <w:snapToGrid w:val="0"/>
        <w:spacing w:line="360" w:lineRule="auto"/>
        <w:ind w:firstLine="420"/>
        <w:jc w:val="left"/>
        <w:rPr>
          <w:szCs w:val="21"/>
        </w:rPr>
      </w:pPr>
      <w:r>
        <w:rPr>
          <w:rFonts w:hint="eastAsia"/>
          <w:szCs w:val="21"/>
        </w:rPr>
        <w:t>（</w:t>
      </w:r>
      <w:r>
        <w:rPr>
          <w:szCs w:val="21"/>
        </w:rPr>
        <w:t>1</w:t>
      </w:r>
      <w:r>
        <w:rPr>
          <w:rFonts w:hint="eastAsia"/>
          <w:szCs w:val="21"/>
        </w:rPr>
        <w:t>）</w:t>
      </w:r>
      <w:r>
        <w:rPr>
          <w:szCs w:val="21"/>
        </w:rPr>
        <w:t>、掌握质粒</w:t>
      </w:r>
      <w:r>
        <w:rPr>
          <w:szCs w:val="21"/>
        </w:rPr>
        <w:t>DNA</w:t>
      </w:r>
      <w:r>
        <w:rPr>
          <w:szCs w:val="21"/>
        </w:rPr>
        <w:t>的提取，以及酶切鉴定和检测方法。</w:t>
      </w:r>
    </w:p>
    <w:p w14:paraId="30A07B55" w14:textId="77777777" w:rsidR="00F5289E" w:rsidRDefault="00C91173">
      <w:pPr>
        <w:widowControl/>
        <w:adjustRightInd w:val="0"/>
        <w:snapToGrid w:val="0"/>
        <w:spacing w:line="360" w:lineRule="auto"/>
        <w:ind w:firstLine="420"/>
        <w:jc w:val="left"/>
        <w:rPr>
          <w:szCs w:val="21"/>
        </w:rPr>
      </w:pPr>
      <w:r>
        <w:rPr>
          <w:rFonts w:hint="eastAsia"/>
          <w:szCs w:val="21"/>
        </w:rPr>
        <w:t>（</w:t>
      </w:r>
      <w:r>
        <w:rPr>
          <w:szCs w:val="21"/>
        </w:rPr>
        <w:t>2</w:t>
      </w:r>
      <w:r>
        <w:rPr>
          <w:rFonts w:hint="eastAsia"/>
          <w:szCs w:val="21"/>
        </w:rPr>
        <w:t>）</w:t>
      </w:r>
      <w:r>
        <w:rPr>
          <w:szCs w:val="21"/>
        </w:rPr>
        <w:t>、掌握</w:t>
      </w:r>
      <w:r>
        <w:rPr>
          <w:szCs w:val="21"/>
        </w:rPr>
        <w:t>PCR</w:t>
      </w:r>
      <w:r>
        <w:rPr>
          <w:szCs w:val="21"/>
        </w:rPr>
        <w:t>技术检测</w:t>
      </w:r>
      <w:r>
        <w:rPr>
          <w:szCs w:val="21"/>
        </w:rPr>
        <w:t>SSR</w:t>
      </w:r>
      <w:r>
        <w:rPr>
          <w:szCs w:val="21"/>
        </w:rPr>
        <w:t>标记的方法。</w:t>
      </w:r>
    </w:p>
    <w:p w14:paraId="17A83862" w14:textId="77777777" w:rsidR="00F5289E" w:rsidRDefault="00C91173">
      <w:pPr>
        <w:widowControl/>
        <w:adjustRightInd w:val="0"/>
        <w:snapToGrid w:val="0"/>
        <w:spacing w:line="360" w:lineRule="auto"/>
        <w:ind w:firstLine="420"/>
        <w:jc w:val="left"/>
        <w:rPr>
          <w:szCs w:val="21"/>
        </w:rPr>
      </w:pPr>
      <w:r>
        <w:rPr>
          <w:rFonts w:hint="eastAsia"/>
          <w:szCs w:val="21"/>
        </w:rPr>
        <w:t>（</w:t>
      </w:r>
      <w:r>
        <w:rPr>
          <w:szCs w:val="21"/>
        </w:rPr>
        <w:t>3</w:t>
      </w:r>
      <w:r>
        <w:rPr>
          <w:rFonts w:hint="eastAsia"/>
          <w:szCs w:val="21"/>
        </w:rPr>
        <w:t>）</w:t>
      </w:r>
      <w:r>
        <w:rPr>
          <w:szCs w:val="21"/>
        </w:rPr>
        <w:t>、了解生命科学发展的方向与前沿，及其在有关领域的应用与前景。</w:t>
      </w:r>
    </w:p>
    <w:p w14:paraId="2B87CC8A" w14:textId="77777777" w:rsidR="00F5289E" w:rsidRDefault="00C91173">
      <w:pPr>
        <w:widowControl/>
        <w:adjustRightInd w:val="0"/>
        <w:snapToGrid w:val="0"/>
        <w:spacing w:line="360" w:lineRule="auto"/>
        <w:ind w:firstLine="420"/>
        <w:jc w:val="left"/>
        <w:rPr>
          <w:szCs w:val="21"/>
        </w:rPr>
      </w:pPr>
      <w:r>
        <w:rPr>
          <w:rFonts w:hint="eastAsia"/>
          <w:szCs w:val="21"/>
        </w:rPr>
        <w:t>（</w:t>
      </w:r>
      <w:r>
        <w:rPr>
          <w:szCs w:val="21"/>
        </w:rPr>
        <w:t>4</w:t>
      </w:r>
      <w:r>
        <w:rPr>
          <w:rFonts w:hint="eastAsia"/>
          <w:szCs w:val="21"/>
        </w:rPr>
        <w:t>）</w:t>
      </w:r>
      <w:r>
        <w:rPr>
          <w:szCs w:val="21"/>
        </w:rPr>
        <w:t>、在教师的指导下能设计和组合实验内容，对实验结果能进行综合判断分析和解释。</w:t>
      </w:r>
    </w:p>
    <w:p w14:paraId="13BE81CF" w14:textId="77777777" w:rsidR="00F5289E" w:rsidRDefault="00F5289E">
      <w:pPr>
        <w:widowControl/>
        <w:adjustRightInd w:val="0"/>
        <w:snapToGrid w:val="0"/>
        <w:spacing w:line="360" w:lineRule="auto"/>
        <w:ind w:firstLine="420"/>
        <w:jc w:val="left"/>
        <w:rPr>
          <w:szCs w:val="21"/>
        </w:rPr>
      </w:pPr>
    </w:p>
    <w:p w14:paraId="0E86941B"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5BEC823C" w14:textId="77777777" w:rsidR="00F5289E" w:rsidRDefault="00C91173">
      <w:pPr>
        <w:spacing w:line="360" w:lineRule="auto"/>
        <w:ind w:firstLineChars="200" w:firstLine="422"/>
        <w:rPr>
          <w:rFonts w:hAnsi="宋体"/>
          <w:b/>
          <w:kern w:val="0"/>
          <w:szCs w:val="21"/>
        </w:rPr>
      </w:pPr>
      <w:r>
        <w:rPr>
          <w:rFonts w:hAnsi="宋体"/>
          <w:b/>
          <w:kern w:val="0"/>
          <w:szCs w:val="21"/>
        </w:rPr>
        <w:t>1.</w:t>
      </w:r>
      <w:r>
        <w:rPr>
          <w:rFonts w:hAnsi="宋体" w:hint="eastAsia"/>
          <w:b/>
          <w:kern w:val="0"/>
          <w:szCs w:val="21"/>
        </w:rPr>
        <w:t>教学设计说明</w:t>
      </w:r>
    </w:p>
    <w:p w14:paraId="1B4D1B01" w14:textId="77777777" w:rsidR="00F5289E" w:rsidRDefault="00C91173">
      <w:pPr>
        <w:widowControl/>
        <w:snapToGrid w:val="0"/>
        <w:spacing w:line="360" w:lineRule="auto"/>
        <w:ind w:firstLine="420"/>
        <w:jc w:val="left"/>
        <w:rPr>
          <w:rFonts w:ascii="宋体" w:hAnsi="宋体" w:cs="宋体"/>
          <w:bCs/>
          <w:color w:val="000000" w:themeColor="text1"/>
          <w:kern w:val="0"/>
          <w:szCs w:val="21"/>
        </w:rPr>
      </w:pPr>
      <w:r>
        <w:rPr>
          <w:rFonts w:ascii="宋体" w:hAnsi="宋体"/>
          <w:color w:val="000000" w:themeColor="text1"/>
        </w:rPr>
        <w:t>21世纪是分子生物学迅速发展的时代，分子生物学已成为生命科学的领头羊，其理论与基本技术迅速渗透到生物与农业的许多领域，并且得到越来越广泛的发展应用，呈现出巨大的生命力。分子生物学是一门理论性和实践性很强的学科，理论知识抽象，内容多而且有一定的深度，学生较难理解。</w:t>
      </w:r>
      <w:r>
        <w:rPr>
          <w:rFonts w:ascii="宋体" w:hAnsi="宋体" w:hint="eastAsia"/>
          <w:color w:val="000000" w:themeColor="text1"/>
          <w:kern w:val="0"/>
          <w:szCs w:val="21"/>
        </w:rPr>
        <w:t>为了使学生系统掌握</w:t>
      </w:r>
      <w:r>
        <w:rPr>
          <w:color w:val="000000" w:themeColor="text1"/>
          <w:kern w:val="0"/>
          <w:szCs w:val="21"/>
        </w:rPr>
        <w:t>分子生物学技术的基本原理和操作方法</w:t>
      </w:r>
      <w:r>
        <w:rPr>
          <w:rFonts w:hint="eastAsia"/>
          <w:color w:val="000000" w:themeColor="text1"/>
          <w:kern w:val="0"/>
          <w:szCs w:val="21"/>
        </w:rPr>
        <w:t>，分子生物学课程组</w:t>
      </w:r>
      <w:r>
        <w:rPr>
          <w:rFonts w:ascii="宋体" w:hAnsi="宋体" w:hint="eastAsia"/>
          <w:color w:val="000000" w:themeColor="text1"/>
          <w:kern w:val="0"/>
          <w:szCs w:val="21"/>
        </w:rPr>
        <w:t>采用线上线下混合式教学的模式，其中线上内容包括</w:t>
      </w:r>
      <w:r>
        <w:rPr>
          <w:rFonts w:hint="eastAsia"/>
          <w:color w:val="000000" w:themeColor="text1"/>
          <w:kern w:val="0"/>
          <w:szCs w:val="21"/>
        </w:rPr>
        <w:t>小动画、微视频、文献资料和讨论等；</w:t>
      </w:r>
      <w:r>
        <w:rPr>
          <w:rFonts w:ascii="宋体" w:hAnsi="宋体" w:cs="宋体" w:hint="eastAsia"/>
          <w:bCs/>
          <w:color w:val="000000" w:themeColor="text1"/>
          <w:kern w:val="0"/>
          <w:szCs w:val="21"/>
        </w:rPr>
        <w:t>线下内容包括教师课堂讲授、小组讨论、翻转课堂和学生实验等。</w:t>
      </w:r>
    </w:p>
    <w:p w14:paraId="7811BBB8" w14:textId="77777777" w:rsidR="00F5289E" w:rsidRDefault="00C91173">
      <w:pPr>
        <w:spacing w:line="360" w:lineRule="auto"/>
        <w:ind w:firstLineChars="200" w:firstLine="420"/>
        <w:rPr>
          <w:rFonts w:ascii="宋体" w:hAnsi="宋体" w:cs="宋体"/>
          <w:bCs/>
          <w:color w:val="000000" w:themeColor="text1"/>
          <w:kern w:val="0"/>
          <w:szCs w:val="21"/>
        </w:rPr>
      </w:pPr>
      <w:r>
        <w:rPr>
          <w:rFonts w:ascii="宋体" w:hAnsi="宋体" w:hint="eastAsia"/>
          <w:color w:val="000000" w:themeColor="text1"/>
          <w:kern w:val="0"/>
          <w:szCs w:val="21"/>
        </w:rPr>
        <w:t>分子生物学的基本理论和基本概念，教师一方面可以通过A</w:t>
      </w:r>
      <w:r>
        <w:rPr>
          <w:rFonts w:ascii="宋体" w:hAnsi="宋体"/>
          <w:color w:val="000000" w:themeColor="text1"/>
          <w:kern w:val="0"/>
          <w:szCs w:val="21"/>
        </w:rPr>
        <w:t>PP</w:t>
      </w:r>
      <w:r>
        <w:rPr>
          <w:rFonts w:ascii="宋体" w:hAnsi="宋体" w:hint="eastAsia"/>
          <w:color w:val="000000" w:themeColor="text1"/>
          <w:kern w:val="0"/>
          <w:szCs w:val="21"/>
        </w:rPr>
        <w:t>或者课程微信群发布小动画、视频和PPT等教学资料，把理论讲透讲明，引导学生自己安排学习，强化基础理论知识；另一方面，在讨论区安排本节内容相关的最新科学进展作为讨论题目，让学生将知识外化，启发学生思维，培养学生思考问题、查阅资料和解决问题的能力。</w:t>
      </w:r>
      <w:r>
        <w:rPr>
          <w:rFonts w:ascii="宋体" w:hAnsi="宋体" w:cs="宋体" w:hint="eastAsia"/>
          <w:bCs/>
          <w:color w:val="000000" w:themeColor="text1"/>
          <w:kern w:val="0"/>
          <w:szCs w:val="21"/>
        </w:rPr>
        <w:t>线下教学有教师课堂讲授、小组讨论、翻转课堂和学生实验等。线下教学时，在学生学会基础概念和理论的基础上，设置各种情景和实验目标，让学生采用小组讨论的方法设计相关实验技术路线，加强对分子生物学基础理论知识的理解并能初步应用在实际生产中。</w:t>
      </w:r>
    </w:p>
    <w:p w14:paraId="5B5B7130" w14:textId="77777777" w:rsidR="00F5289E" w:rsidRDefault="00C91173">
      <w:pPr>
        <w:widowControl/>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本门课程的考核分为平时、期末和实验考核三个环节。平时成绩包括线上学习情况、课堂提问、小组讨论表现、作业和考勤；期末考试为闭卷；实验考核包括考勤、实验操作和实验报告。总成绩计算办法是：平时考核成绩占</w:t>
      </w:r>
      <w:r>
        <w:rPr>
          <w:rFonts w:ascii="宋体" w:hAnsi="宋体" w:cs="宋体"/>
          <w:color w:val="000000" w:themeColor="text1"/>
          <w:kern w:val="0"/>
          <w:szCs w:val="21"/>
        </w:rPr>
        <w:t>20%</w:t>
      </w:r>
      <w:r>
        <w:rPr>
          <w:rFonts w:ascii="宋体" w:hAnsi="宋体" w:cs="宋体" w:hint="eastAsia"/>
          <w:color w:val="000000" w:themeColor="text1"/>
          <w:kern w:val="0"/>
          <w:szCs w:val="21"/>
        </w:rPr>
        <w:t>，实验成绩占</w:t>
      </w:r>
      <w:r>
        <w:rPr>
          <w:rFonts w:ascii="宋体" w:hAnsi="宋体" w:cs="宋体"/>
          <w:color w:val="000000" w:themeColor="text1"/>
          <w:kern w:val="0"/>
          <w:szCs w:val="21"/>
        </w:rPr>
        <w:t>30</w:t>
      </w:r>
      <w:r>
        <w:rPr>
          <w:rFonts w:ascii="宋体" w:hAnsi="宋体" w:cs="宋体" w:hint="eastAsia"/>
          <w:color w:val="000000" w:themeColor="text1"/>
          <w:kern w:val="0"/>
          <w:szCs w:val="21"/>
        </w:rPr>
        <w:t>%，期末考试成绩占</w:t>
      </w:r>
      <w:r>
        <w:rPr>
          <w:rFonts w:ascii="宋体" w:hAnsi="宋体" w:cs="宋体"/>
          <w:color w:val="000000" w:themeColor="text1"/>
          <w:kern w:val="0"/>
          <w:szCs w:val="21"/>
        </w:rPr>
        <w:t>50%</w:t>
      </w:r>
      <w:r>
        <w:rPr>
          <w:rFonts w:ascii="宋体" w:hAnsi="宋体" w:cs="宋体" w:hint="eastAsia"/>
          <w:color w:val="000000" w:themeColor="text1"/>
          <w:kern w:val="0"/>
          <w:szCs w:val="21"/>
        </w:rPr>
        <w:t>。</w:t>
      </w:r>
    </w:p>
    <w:p w14:paraId="1A5F85C2" w14:textId="77777777" w:rsidR="00FE3AE6" w:rsidRDefault="00FE3AE6">
      <w:pPr>
        <w:widowControl/>
        <w:spacing w:line="360" w:lineRule="auto"/>
        <w:ind w:firstLineChars="200" w:firstLine="422"/>
        <w:jc w:val="left"/>
        <w:rPr>
          <w:rFonts w:hAnsi="宋体"/>
          <w:b/>
          <w:kern w:val="0"/>
          <w:szCs w:val="21"/>
        </w:rPr>
      </w:pPr>
    </w:p>
    <w:p w14:paraId="5E121547" w14:textId="1C62EE5F" w:rsidR="00F5289E" w:rsidRDefault="00C91173">
      <w:pPr>
        <w:widowControl/>
        <w:spacing w:line="360" w:lineRule="auto"/>
        <w:ind w:firstLineChars="200" w:firstLine="422"/>
        <w:jc w:val="left"/>
        <w:rPr>
          <w:rFonts w:hAnsi="宋体"/>
          <w:b/>
          <w:kern w:val="0"/>
          <w:szCs w:val="21"/>
        </w:rPr>
      </w:pPr>
      <w:r>
        <w:rPr>
          <w:rFonts w:hAnsi="宋体"/>
          <w:b/>
          <w:kern w:val="0"/>
          <w:szCs w:val="21"/>
        </w:rPr>
        <w:lastRenderedPageBreak/>
        <w:t>2.</w:t>
      </w:r>
      <w:r>
        <w:rPr>
          <w:rFonts w:hAnsi="宋体" w:hint="eastAsia"/>
          <w:b/>
          <w:kern w:val="0"/>
          <w:szCs w:val="21"/>
        </w:rPr>
        <w:t>课程目标及对毕业要求的支撑</w:t>
      </w:r>
    </w:p>
    <w:tbl>
      <w:tblPr>
        <w:tblStyle w:val="af6"/>
        <w:tblW w:w="7838" w:type="dxa"/>
        <w:jc w:val="center"/>
        <w:tblLook w:val="04A0" w:firstRow="1" w:lastRow="0" w:firstColumn="1" w:lastColumn="0" w:noHBand="0" w:noVBand="1"/>
      </w:tblPr>
      <w:tblGrid>
        <w:gridCol w:w="666"/>
        <w:gridCol w:w="6113"/>
        <w:gridCol w:w="1059"/>
      </w:tblGrid>
      <w:tr w:rsidR="00FE3AE6" w14:paraId="2F0A42DD" w14:textId="77777777" w:rsidTr="00C91173">
        <w:trPr>
          <w:trHeight w:val="403"/>
          <w:jc w:val="center"/>
        </w:trPr>
        <w:tc>
          <w:tcPr>
            <w:tcW w:w="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BCE6E45" w14:textId="77777777" w:rsidR="00FE3AE6" w:rsidRDefault="00FE3AE6" w:rsidP="00C91173">
            <w:pPr>
              <w:spacing w:line="320" w:lineRule="exact"/>
              <w:rPr>
                <w:rFonts w:ascii="宋体" w:hAnsi="宋体" w:cs="宋体"/>
                <w:b/>
                <w:bCs/>
                <w:kern w:val="0"/>
                <w:sz w:val="18"/>
                <w:szCs w:val="18"/>
              </w:rPr>
            </w:pPr>
            <w:r>
              <w:rPr>
                <w:rFonts w:ascii="宋体" w:hAnsi="宋体" w:cs="宋体" w:hint="eastAsia"/>
                <w:b/>
                <w:bCs/>
                <w:kern w:val="0"/>
                <w:sz w:val="18"/>
                <w:szCs w:val="18"/>
              </w:rPr>
              <w:t>序号</w:t>
            </w:r>
          </w:p>
        </w:tc>
        <w:tc>
          <w:tcPr>
            <w:tcW w:w="611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690CFB" w14:textId="77777777" w:rsidR="00FE3AE6" w:rsidRDefault="00FE3AE6" w:rsidP="00C91173">
            <w:pPr>
              <w:spacing w:line="320" w:lineRule="exact"/>
              <w:ind w:firstLine="361"/>
              <w:jc w:val="center"/>
              <w:rPr>
                <w:rFonts w:ascii="宋体" w:hAnsi="宋体" w:cs="宋体"/>
                <w:b/>
                <w:bCs/>
                <w:kern w:val="0"/>
                <w:sz w:val="18"/>
                <w:szCs w:val="18"/>
              </w:rPr>
            </w:pPr>
            <w:r>
              <w:rPr>
                <w:rFonts w:ascii="宋体" w:hAnsi="宋体" w:cs="宋体" w:hint="eastAsia"/>
                <w:b/>
                <w:bCs/>
                <w:kern w:val="0"/>
                <w:sz w:val="18"/>
                <w:szCs w:val="18"/>
              </w:rPr>
              <w:t>课程目标</w:t>
            </w:r>
          </w:p>
        </w:tc>
        <w:tc>
          <w:tcPr>
            <w:tcW w:w="10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23D0B4" w14:textId="77777777" w:rsidR="00FE3AE6" w:rsidRDefault="00FE3AE6" w:rsidP="00C91173">
            <w:pPr>
              <w:spacing w:line="320" w:lineRule="exact"/>
              <w:rPr>
                <w:rFonts w:ascii="宋体" w:hAnsi="宋体" w:cs="宋体"/>
                <w:b/>
                <w:bCs/>
                <w:kern w:val="0"/>
                <w:sz w:val="18"/>
                <w:szCs w:val="18"/>
              </w:rPr>
            </w:pPr>
            <w:r>
              <w:rPr>
                <w:rFonts w:ascii="宋体" w:hAnsi="宋体" w:cs="宋体" w:hint="eastAsia"/>
                <w:b/>
                <w:bCs/>
                <w:kern w:val="0"/>
                <w:sz w:val="18"/>
                <w:szCs w:val="18"/>
              </w:rPr>
              <w:t>毕业要求</w:t>
            </w:r>
          </w:p>
        </w:tc>
      </w:tr>
      <w:tr w:rsidR="00FE3AE6" w14:paraId="13309F76"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37B3D7FA"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1</w:t>
            </w:r>
          </w:p>
        </w:tc>
        <w:tc>
          <w:tcPr>
            <w:tcW w:w="6113" w:type="dxa"/>
            <w:tcBorders>
              <w:top w:val="single" w:sz="4" w:space="0" w:color="auto"/>
              <w:left w:val="single" w:sz="4" w:space="0" w:color="auto"/>
              <w:bottom w:val="single" w:sz="4" w:space="0" w:color="auto"/>
              <w:right w:val="single" w:sz="4" w:space="0" w:color="auto"/>
            </w:tcBorders>
            <w:vAlign w:val="center"/>
          </w:tcPr>
          <w:p w14:paraId="0971546F" w14:textId="77777777" w:rsidR="00FE3AE6" w:rsidRDefault="00FE3AE6" w:rsidP="00C91173">
            <w:pPr>
              <w:spacing w:line="320" w:lineRule="exact"/>
              <w:ind w:firstLineChars="200" w:firstLine="360"/>
              <w:jc w:val="left"/>
              <w:rPr>
                <w:rFonts w:hAnsiTheme="minorEastAsia"/>
                <w:kern w:val="0"/>
                <w:sz w:val="18"/>
                <w:szCs w:val="18"/>
              </w:rPr>
            </w:pPr>
            <w:r>
              <w:rPr>
                <w:rFonts w:eastAsiaTheme="minorEastAsia" w:hAnsiTheme="minorEastAsia" w:hint="eastAsia"/>
                <w:kern w:val="0"/>
                <w:sz w:val="18"/>
                <w:szCs w:val="18"/>
              </w:rPr>
              <w:t>树立牢固的专业思想，懂农业、爱农村、爱农民、立志服务“三农”，践行可持续发展理念。</w:t>
            </w:r>
          </w:p>
        </w:tc>
        <w:tc>
          <w:tcPr>
            <w:tcW w:w="1059" w:type="dxa"/>
            <w:tcBorders>
              <w:top w:val="single" w:sz="4" w:space="0" w:color="auto"/>
              <w:left w:val="single" w:sz="4" w:space="0" w:color="auto"/>
              <w:bottom w:val="single" w:sz="4" w:space="0" w:color="auto"/>
              <w:right w:val="single" w:sz="4" w:space="0" w:color="auto"/>
            </w:tcBorders>
            <w:vAlign w:val="center"/>
          </w:tcPr>
          <w:p w14:paraId="5BC0EC28"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2</w:t>
            </w:r>
          </w:p>
        </w:tc>
      </w:tr>
      <w:tr w:rsidR="00FE3AE6" w14:paraId="4F0C2BDE"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4B623F0B"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2</w:t>
            </w:r>
          </w:p>
        </w:tc>
        <w:tc>
          <w:tcPr>
            <w:tcW w:w="6113" w:type="dxa"/>
            <w:tcBorders>
              <w:top w:val="single" w:sz="4" w:space="0" w:color="auto"/>
              <w:left w:val="single" w:sz="4" w:space="0" w:color="auto"/>
              <w:bottom w:val="single" w:sz="4" w:space="0" w:color="auto"/>
              <w:right w:val="single" w:sz="4" w:space="0" w:color="auto"/>
            </w:tcBorders>
            <w:vAlign w:val="center"/>
          </w:tcPr>
          <w:p w14:paraId="13196649" w14:textId="77777777" w:rsidR="00FE3AE6" w:rsidRDefault="00FE3AE6" w:rsidP="00C91173">
            <w:pPr>
              <w:spacing w:line="320" w:lineRule="exact"/>
              <w:ind w:firstLine="360"/>
              <w:jc w:val="left"/>
              <w:rPr>
                <w:rFonts w:hAnsiTheme="minorEastAsia"/>
                <w:kern w:val="0"/>
                <w:sz w:val="18"/>
                <w:szCs w:val="18"/>
              </w:rPr>
            </w:pPr>
            <w:r>
              <w:rPr>
                <w:rFonts w:eastAsiaTheme="minorEastAsia" w:hint="eastAsia"/>
                <w:kern w:val="0"/>
                <w:sz w:val="18"/>
                <w:szCs w:val="18"/>
              </w:rPr>
              <w:t>使学生系统掌握分子生物学基本理论、技术和方法。掌握现代生物科学基础理论知识和原理，能够学以致用，具备将上述理学知识应用并解决园艺生产领域实际问题的素质和能力。</w:t>
            </w:r>
          </w:p>
        </w:tc>
        <w:tc>
          <w:tcPr>
            <w:tcW w:w="1059" w:type="dxa"/>
            <w:tcBorders>
              <w:top w:val="single" w:sz="4" w:space="0" w:color="auto"/>
              <w:left w:val="single" w:sz="4" w:space="0" w:color="auto"/>
              <w:bottom w:val="single" w:sz="4" w:space="0" w:color="auto"/>
              <w:right w:val="single" w:sz="4" w:space="0" w:color="auto"/>
            </w:tcBorders>
            <w:vAlign w:val="center"/>
          </w:tcPr>
          <w:p w14:paraId="5075B777"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4</w:t>
            </w:r>
          </w:p>
        </w:tc>
      </w:tr>
      <w:tr w:rsidR="00FE3AE6" w14:paraId="28841640"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20FBC31C"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3</w:t>
            </w:r>
          </w:p>
        </w:tc>
        <w:tc>
          <w:tcPr>
            <w:tcW w:w="6113" w:type="dxa"/>
            <w:tcBorders>
              <w:top w:val="single" w:sz="4" w:space="0" w:color="auto"/>
              <w:left w:val="single" w:sz="4" w:space="0" w:color="auto"/>
              <w:bottom w:val="single" w:sz="4" w:space="0" w:color="auto"/>
              <w:right w:val="single" w:sz="4" w:space="0" w:color="auto"/>
            </w:tcBorders>
            <w:vAlign w:val="center"/>
          </w:tcPr>
          <w:p w14:paraId="7578CC61" w14:textId="77777777" w:rsidR="00FE3AE6" w:rsidRDefault="00FE3AE6" w:rsidP="00C91173">
            <w:pPr>
              <w:spacing w:line="320" w:lineRule="exact"/>
              <w:ind w:firstLine="360"/>
              <w:jc w:val="left"/>
              <w:rPr>
                <w:kern w:val="0"/>
                <w:sz w:val="18"/>
                <w:szCs w:val="18"/>
              </w:rPr>
            </w:pPr>
            <w:r>
              <w:rPr>
                <w:rFonts w:eastAsiaTheme="minorEastAsia" w:hint="eastAsia"/>
                <w:kern w:val="0"/>
                <w:sz w:val="18"/>
                <w:szCs w:val="18"/>
              </w:rPr>
              <w:t>具备扎实的分子生物学基础知识，掌握本专业基础理论、专业知识和实验技能。了解当今分子生物学的应用与发展趋势，为学习其它基础课程打下坚实的理论基础，能及时跟踪最新发展动向。</w:t>
            </w:r>
          </w:p>
        </w:tc>
        <w:tc>
          <w:tcPr>
            <w:tcW w:w="1059" w:type="dxa"/>
            <w:tcBorders>
              <w:top w:val="single" w:sz="4" w:space="0" w:color="auto"/>
              <w:left w:val="single" w:sz="4" w:space="0" w:color="auto"/>
              <w:bottom w:val="single" w:sz="4" w:space="0" w:color="auto"/>
              <w:right w:val="single" w:sz="4" w:space="0" w:color="auto"/>
            </w:tcBorders>
            <w:vAlign w:val="center"/>
          </w:tcPr>
          <w:p w14:paraId="3645A2D2"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5</w:t>
            </w:r>
          </w:p>
        </w:tc>
      </w:tr>
      <w:tr w:rsidR="00FE3AE6" w14:paraId="7F2AD4C2"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6E56656C" w14:textId="77777777" w:rsidR="00FE3AE6" w:rsidRDefault="00FE3AE6" w:rsidP="00C91173">
            <w:pPr>
              <w:spacing w:line="320" w:lineRule="exact"/>
              <w:ind w:firstLine="360"/>
              <w:jc w:val="center"/>
              <w:rPr>
                <w:kern w:val="0"/>
                <w:sz w:val="18"/>
                <w:szCs w:val="18"/>
              </w:rPr>
            </w:pPr>
            <w:r>
              <w:rPr>
                <w:rFonts w:eastAsiaTheme="minorEastAsia" w:hint="eastAsia"/>
                <w:kern w:val="0"/>
                <w:sz w:val="18"/>
                <w:szCs w:val="18"/>
              </w:rPr>
              <w:t>4</w:t>
            </w:r>
          </w:p>
        </w:tc>
        <w:tc>
          <w:tcPr>
            <w:tcW w:w="6113" w:type="dxa"/>
            <w:tcBorders>
              <w:top w:val="single" w:sz="4" w:space="0" w:color="auto"/>
              <w:left w:val="single" w:sz="4" w:space="0" w:color="auto"/>
              <w:bottom w:val="single" w:sz="4" w:space="0" w:color="auto"/>
              <w:right w:val="single" w:sz="4" w:space="0" w:color="auto"/>
            </w:tcBorders>
            <w:vAlign w:val="center"/>
          </w:tcPr>
          <w:p w14:paraId="037DC7B7" w14:textId="77777777" w:rsidR="00FE3AE6" w:rsidRDefault="00FE3AE6" w:rsidP="00C91173">
            <w:pPr>
              <w:spacing w:line="320" w:lineRule="exact"/>
              <w:ind w:firstLine="360"/>
              <w:jc w:val="left"/>
              <w:rPr>
                <w:kern w:val="0"/>
                <w:sz w:val="18"/>
                <w:szCs w:val="18"/>
              </w:rPr>
            </w:pPr>
            <w:r>
              <w:rPr>
                <w:rFonts w:eastAsiaTheme="minorEastAsia" w:hint="eastAsia"/>
                <w:kern w:val="0"/>
                <w:sz w:val="18"/>
                <w:szCs w:val="18"/>
              </w:rPr>
              <w:t>具备从事园艺植物分子设计育种的能力，培养掌握分子生物学理论和技术的人才。</w:t>
            </w:r>
          </w:p>
        </w:tc>
        <w:tc>
          <w:tcPr>
            <w:tcW w:w="1059" w:type="dxa"/>
            <w:tcBorders>
              <w:top w:val="single" w:sz="4" w:space="0" w:color="auto"/>
              <w:left w:val="single" w:sz="4" w:space="0" w:color="auto"/>
              <w:bottom w:val="single" w:sz="4" w:space="0" w:color="auto"/>
              <w:right w:val="single" w:sz="4" w:space="0" w:color="auto"/>
            </w:tcBorders>
            <w:vAlign w:val="center"/>
          </w:tcPr>
          <w:p w14:paraId="0B63651E" w14:textId="77777777" w:rsidR="00FE3AE6" w:rsidRDefault="00FE3AE6" w:rsidP="00C91173">
            <w:pPr>
              <w:spacing w:line="320" w:lineRule="exact"/>
              <w:ind w:firstLine="360"/>
              <w:jc w:val="center"/>
              <w:rPr>
                <w:kern w:val="0"/>
                <w:sz w:val="18"/>
                <w:szCs w:val="18"/>
              </w:rPr>
            </w:pPr>
            <w:r>
              <w:rPr>
                <w:rFonts w:eastAsiaTheme="minorEastAsia" w:hint="eastAsia"/>
                <w:kern w:val="0"/>
                <w:sz w:val="18"/>
                <w:szCs w:val="18"/>
              </w:rPr>
              <w:t>6</w:t>
            </w:r>
          </w:p>
        </w:tc>
      </w:tr>
      <w:tr w:rsidR="00FE3AE6" w14:paraId="3195ED03"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293124C4" w14:textId="77777777" w:rsidR="00FE3AE6" w:rsidRDefault="00FE3AE6" w:rsidP="00C91173">
            <w:pPr>
              <w:spacing w:line="320" w:lineRule="exact"/>
              <w:ind w:firstLine="360"/>
              <w:jc w:val="center"/>
              <w:rPr>
                <w:kern w:val="0"/>
                <w:sz w:val="18"/>
                <w:szCs w:val="18"/>
              </w:rPr>
            </w:pPr>
            <w:r>
              <w:rPr>
                <w:rFonts w:eastAsiaTheme="minorEastAsia" w:hint="eastAsia"/>
                <w:kern w:val="0"/>
                <w:sz w:val="18"/>
                <w:szCs w:val="18"/>
              </w:rPr>
              <w:t>5</w:t>
            </w:r>
          </w:p>
        </w:tc>
        <w:tc>
          <w:tcPr>
            <w:tcW w:w="6113" w:type="dxa"/>
            <w:tcBorders>
              <w:top w:val="single" w:sz="4" w:space="0" w:color="auto"/>
              <w:left w:val="single" w:sz="4" w:space="0" w:color="auto"/>
              <w:bottom w:val="single" w:sz="4" w:space="0" w:color="auto"/>
              <w:right w:val="single" w:sz="4" w:space="0" w:color="auto"/>
            </w:tcBorders>
            <w:vAlign w:val="center"/>
          </w:tcPr>
          <w:p w14:paraId="5D5C4AA5" w14:textId="77777777" w:rsidR="00FE3AE6" w:rsidRDefault="00FE3AE6" w:rsidP="00C91173">
            <w:pPr>
              <w:spacing w:line="320" w:lineRule="exact"/>
              <w:ind w:firstLine="360"/>
              <w:jc w:val="left"/>
              <w:rPr>
                <w:kern w:val="0"/>
                <w:sz w:val="18"/>
                <w:szCs w:val="18"/>
              </w:rPr>
            </w:pPr>
            <w:r>
              <w:rPr>
                <w:rFonts w:eastAsiaTheme="minorEastAsia" w:hint="eastAsia"/>
                <w:kern w:val="0"/>
                <w:sz w:val="18"/>
                <w:szCs w:val="18"/>
              </w:rPr>
              <w:t>具有良好的创造性思维和开展科技创新、成果研发的能力，具有利用所学知识进行创新创业的能力。</w:t>
            </w:r>
          </w:p>
        </w:tc>
        <w:tc>
          <w:tcPr>
            <w:tcW w:w="1059" w:type="dxa"/>
            <w:tcBorders>
              <w:top w:val="single" w:sz="4" w:space="0" w:color="auto"/>
              <w:left w:val="single" w:sz="4" w:space="0" w:color="auto"/>
              <w:bottom w:val="single" w:sz="4" w:space="0" w:color="auto"/>
              <w:right w:val="single" w:sz="4" w:space="0" w:color="auto"/>
            </w:tcBorders>
            <w:vAlign w:val="center"/>
          </w:tcPr>
          <w:p w14:paraId="38A874CF" w14:textId="77777777" w:rsidR="00FE3AE6" w:rsidRDefault="00FE3AE6" w:rsidP="00C91173">
            <w:pPr>
              <w:spacing w:line="320" w:lineRule="exact"/>
              <w:ind w:firstLine="360"/>
              <w:jc w:val="center"/>
              <w:rPr>
                <w:kern w:val="0"/>
                <w:sz w:val="18"/>
                <w:szCs w:val="18"/>
              </w:rPr>
            </w:pPr>
            <w:r>
              <w:rPr>
                <w:rFonts w:eastAsiaTheme="minorEastAsia"/>
                <w:kern w:val="0"/>
                <w:sz w:val="18"/>
                <w:szCs w:val="18"/>
              </w:rPr>
              <w:t>7</w:t>
            </w:r>
          </w:p>
        </w:tc>
      </w:tr>
      <w:tr w:rsidR="00FE3AE6" w14:paraId="308E7961" w14:textId="77777777" w:rsidTr="00C91173">
        <w:trPr>
          <w:trHeight w:val="963"/>
          <w:jc w:val="center"/>
        </w:trPr>
        <w:tc>
          <w:tcPr>
            <w:tcW w:w="666" w:type="dxa"/>
            <w:tcBorders>
              <w:top w:val="single" w:sz="4" w:space="0" w:color="auto"/>
              <w:left w:val="single" w:sz="4" w:space="0" w:color="auto"/>
              <w:bottom w:val="single" w:sz="4" w:space="0" w:color="auto"/>
              <w:right w:val="single" w:sz="4" w:space="0" w:color="auto"/>
            </w:tcBorders>
            <w:vAlign w:val="center"/>
          </w:tcPr>
          <w:p w14:paraId="5FB24E53" w14:textId="77777777" w:rsidR="00FE3AE6" w:rsidRDefault="00FE3AE6" w:rsidP="00C91173">
            <w:pPr>
              <w:spacing w:line="320" w:lineRule="exact"/>
              <w:ind w:firstLine="360"/>
              <w:jc w:val="center"/>
              <w:rPr>
                <w:kern w:val="0"/>
                <w:sz w:val="18"/>
                <w:szCs w:val="18"/>
              </w:rPr>
            </w:pPr>
            <w:r>
              <w:rPr>
                <w:rFonts w:eastAsiaTheme="minorEastAsia" w:hint="eastAsia"/>
                <w:kern w:val="0"/>
                <w:sz w:val="18"/>
                <w:szCs w:val="18"/>
              </w:rPr>
              <w:t>6</w:t>
            </w:r>
          </w:p>
        </w:tc>
        <w:tc>
          <w:tcPr>
            <w:tcW w:w="6113" w:type="dxa"/>
            <w:tcBorders>
              <w:top w:val="single" w:sz="4" w:space="0" w:color="auto"/>
              <w:left w:val="single" w:sz="4" w:space="0" w:color="auto"/>
              <w:bottom w:val="single" w:sz="4" w:space="0" w:color="auto"/>
              <w:right w:val="single" w:sz="4" w:space="0" w:color="auto"/>
            </w:tcBorders>
            <w:vAlign w:val="center"/>
          </w:tcPr>
          <w:p w14:paraId="5673B5DF" w14:textId="77777777" w:rsidR="00FE3AE6" w:rsidRDefault="00FE3AE6" w:rsidP="00C91173">
            <w:pPr>
              <w:spacing w:line="320" w:lineRule="exact"/>
              <w:ind w:firstLine="360"/>
              <w:jc w:val="left"/>
              <w:rPr>
                <w:kern w:val="0"/>
                <w:sz w:val="18"/>
                <w:szCs w:val="18"/>
              </w:rPr>
            </w:pPr>
            <w:r>
              <w:rPr>
                <w:rFonts w:eastAsiaTheme="minorEastAsia" w:hint="eastAsia"/>
                <w:kern w:val="0"/>
                <w:sz w:val="18"/>
                <w:szCs w:val="18"/>
              </w:rPr>
              <w:t>具有较强的沟通表达和协调能力，并具有组织、管理与领导能力；具有较强的团队合作精神。</w:t>
            </w:r>
          </w:p>
        </w:tc>
        <w:tc>
          <w:tcPr>
            <w:tcW w:w="1059" w:type="dxa"/>
            <w:tcBorders>
              <w:top w:val="single" w:sz="4" w:space="0" w:color="auto"/>
              <w:left w:val="single" w:sz="4" w:space="0" w:color="auto"/>
              <w:bottom w:val="single" w:sz="4" w:space="0" w:color="auto"/>
              <w:right w:val="single" w:sz="4" w:space="0" w:color="auto"/>
            </w:tcBorders>
            <w:vAlign w:val="center"/>
          </w:tcPr>
          <w:p w14:paraId="3014FF2F" w14:textId="77777777" w:rsidR="00FE3AE6" w:rsidRDefault="00FE3AE6" w:rsidP="00C91173">
            <w:pPr>
              <w:spacing w:line="320" w:lineRule="exact"/>
              <w:ind w:firstLine="360"/>
              <w:jc w:val="center"/>
              <w:rPr>
                <w:kern w:val="0"/>
                <w:sz w:val="18"/>
                <w:szCs w:val="18"/>
              </w:rPr>
            </w:pPr>
            <w:r>
              <w:rPr>
                <w:rFonts w:eastAsiaTheme="minorEastAsia" w:hint="eastAsia"/>
                <w:kern w:val="0"/>
                <w:sz w:val="18"/>
                <w:szCs w:val="18"/>
              </w:rPr>
              <w:t>8</w:t>
            </w:r>
          </w:p>
        </w:tc>
      </w:tr>
    </w:tbl>
    <w:p w14:paraId="7A97C9D2" w14:textId="77777777" w:rsidR="00F5289E" w:rsidRDefault="00C91173">
      <w:pPr>
        <w:widowControl/>
        <w:snapToGrid w:val="0"/>
        <w:spacing w:beforeLines="50" w:before="156" w:line="360" w:lineRule="auto"/>
        <w:jc w:val="left"/>
        <w:rPr>
          <w:b/>
          <w:bCs/>
          <w:kern w:val="0"/>
          <w:szCs w:val="21"/>
        </w:rPr>
      </w:pPr>
      <w:r>
        <w:rPr>
          <w:rFonts w:hint="eastAsia"/>
          <w:b/>
          <w:bCs/>
          <w:kern w:val="0"/>
          <w:szCs w:val="21"/>
        </w:rPr>
        <w:t>四</w:t>
      </w:r>
      <w:r>
        <w:rPr>
          <w:b/>
          <w:bCs/>
          <w:kern w:val="0"/>
          <w:szCs w:val="21"/>
        </w:rPr>
        <w:t>、理论教学内容及学时分配（</w:t>
      </w:r>
      <w:r>
        <w:rPr>
          <w:b/>
          <w:bCs/>
          <w:kern w:val="0"/>
          <w:szCs w:val="21"/>
        </w:rPr>
        <w:t>40</w:t>
      </w:r>
      <w:r>
        <w:rPr>
          <w:b/>
          <w:bCs/>
          <w:kern w:val="0"/>
          <w:szCs w:val="21"/>
        </w:rPr>
        <w:t>学时）</w:t>
      </w:r>
    </w:p>
    <w:p w14:paraId="2C268343" w14:textId="77777777" w:rsidR="00F5289E" w:rsidRDefault="00C91173">
      <w:pPr>
        <w:widowControl/>
        <w:snapToGrid w:val="0"/>
        <w:spacing w:beforeLines="50" w:before="156" w:line="360" w:lineRule="auto"/>
        <w:jc w:val="right"/>
        <w:rPr>
          <w:kern w:val="0"/>
          <w:szCs w:val="21"/>
        </w:rPr>
      </w:pPr>
      <w:r>
        <w:rPr>
          <w:b/>
          <w:bCs/>
          <w:kern w:val="0"/>
          <w:szCs w:val="21"/>
        </w:rPr>
        <w:t>绪</w:t>
      </w:r>
      <w:r>
        <w:rPr>
          <w:b/>
          <w:bCs/>
          <w:kern w:val="0"/>
          <w:szCs w:val="21"/>
        </w:rPr>
        <w:t xml:space="preserve">  </w:t>
      </w:r>
      <w:r>
        <w:rPr>
          <w:b/>
          <w:bCs/>
          <w:kern w:val="0"/>
          <w:szCs w:val="21"/>
        </w:rPr>
        <w:t>论</w:t>
      </w:r>
      <w:r>
        <w:rPr>
          <w:b/>
          <w:bCs/>
          <w:kern w:val="0"/>
          <w:szCs w:val="21"/>
        </w:rPr>
        <w:t xml:space="preserve">                               </w:t>
      </w:r>
      <w:r>
        <w:rPr>
          <w:b/>
          <w:bCs/>
          <w:kern w:val="0"/>
          <w:szCs w:val="21"/>
        </w:rPr>
        <w:t>学时数：</w:t>
      </w:r>
      <w:r>
        <w:rPr>
          <w:b/>
          <w:bCs/>
          <w:kern w:val="0"/>
          <w:szCs w:val="21"/>
        </w:rPr>
        <w:t>2</w:t>
      </w:r>
    </w:p>
    <w:p w14:paraId="5C86727C" w14:textId="77777777" w:rsidR="00F5289E" w:rsidRDefault="00C91173">
      <w:pPr>
        <w:widowControl/>
        <w:snapToGrid w:val="0"/>
        <w:spacing w:line="360" w:lineRule="auto"/>
        <w:jc w:val="left"/>
        <w:rPr>
          <w:kern w:val="0"/>
          <w:szCs w:val="21"/>
        </w:rPr>
      </w:pPr>
      <w:r>
        <w:rPr>
          <w:rFonts w:ascii="宋体" w:hAnsi="宋体" w:hint="eastAsia"/>
          <w:b/>
          <w:bCs/>
        </w:rPr>
        <w:t>教学目标</w:t>
      </w:r>
      <w:r>
        <w:rPr>
          <w:b/>
          <w:bCs/>
          <w:szCs w:val="21"/>
        </w:rPr>
        <w:t>：</w:t>
      </w:r>
      <w:r>
        <w:rPr>
          <w:kern w:val="0"/>
          <w:szCs w:val="21"/>
        </w:rPr>
        <w:t>了解分子生物学的基本含义、发展简史及发展趋势，并结合其与农业科学的关系，</w:t>
      </w:r>
      <w:bookmarkStart w:id="46" w:name="OLE_LINK18"/>
      <w:r>
        <w:rPr>
          <w:kern w:val="0"/>
          <w:szCs w:val="21"/>
        </w:rPr>
        <w:t>理解分子生物学的研究内容</w:t>
      </w:r>
      <w:bookmarkEnd w:id="46"/>
      <w:r>
        <w:rPr>
          <w:kern w:val="0"/>
          <w:szCs w:val="21"/>
        </w:rPr>
        <w:t>。</w:t>
      </w:r>
    </w:p>
    <w:p w14:paraId="2CE2F463" w14:textId="77777777" w:rsidR="00F5289E" w:rsidRDefault="00C91173">
      <w:pPr>
        <w:widowControl/>
        <w:adjustRightInd w:val="0"/>
        <w:snapToGrid w:val="0"/>
        <w:spacing w:line="360" w:lineRule="auto"/>
        <w:jc w:val="left"/>
        <w:rPr>
          <w:b/>
          <w:bCs/>
          <w:szCs w:val="21"/>
        </w:rPr>
      </w:pPr>
      <w:r>
        <w:rPr>
          <w:b/>
          <w:bCs/>
          <w:szCs w:val="21"/>
        </w:rPr>
        <w:t>教学重点和难点：</w:t>
      </w:r>
      <w:r>
        <w:rPr>
          <w:kern w:val="0"/>
          <w:szCs w:val="21"/>
        </w:rPr>
        <w:t>理解分子生物学的研究内容及相关研究技术。</w:t>
      </w:r>
    </w:p>
    <w:p w14:paraId="19C63EAD" w14:textId="77777777" w:rsidR="00F5289E" w:rsidRDefault="00C91173">
      <w:pPr>
        <w:widowControl/>
        <w:adjustRightInd w:val="0"/>
        <w:snapToGrid w:val="0"/>
        <w:spacing w:line="360" w:lineRule="auto"/>
        <w:jc w:val="left"/>
        <w:rPr>
          <w:b/>
          <w:bCs/>
          <w:szCs w:val="21"/>
        </w:rPr>
      </w:pPr>
      <w:r>
        <w:rPr>
          <w:b/>
          <w:bCs/>
          <w:szCs w:val="21"/>
        </w:rPr>
        <w:t>主要教学内容及要求：</w:t>
      </w:r>
    </w:p>
    <w:p w14:paraId="655F3BFA" w14:textId="77777777" w:rsidR="00F5289E" w:rsidRDefault="00C91173" w:rsidP="00A115EF">
      <w:pPr>
        <w:widowControl/>
        <w:numPr>
          <w:ilvl w:val="0"/>
          <w:numId w:val="6"/>
        </w:numPr>
        <w:adjustRightInd w:val="0"/>
        <w:snapToGrid w:val="0"/>
        <w:spacing w:line="360" w:lineRule="auto"/>
        <w:jc w:val="left"/>
        <w:rPr>
          <w:kern w:val="0"/>
          <w:szCs w:val="21"/>
        </w:rPr>
      </w:pPr>
      <w:r>
        <w:rPr>
          <w:kern w:val="0"/>
          <w:szCs w:val="21"/>
        </w:rPr>
        <w:t>分子生物学的基本含义。</w:t>
      </w:r>
    </w:p>
    <w:p w14:paraId="118CCA74" w14:textId="77777777" w:rsidR="00F5289E" w:rsidRDefault="00C91173" w:rsidP="00A115EF">
      <w:pPr>
        <w:widowControl/>
        <w:numPr>
          <w:ilvl w:val="0"/>
          <w:numId w:val="6"/>
        </w:numPr>
        <w:adjustRightInd w:val="0"/>
        <w:snapToGrid w:val="0"/>
        <w:spacing w:line="360" w:lineRule="auto"/>
        <w:jc w:val="left"/>
        <w:rPr>
          <w:kern w:val="0"/>
          <w:szCs w:val="21"/>
        </w:rPr>
      </w:pPr>
      <w:r>
        <w:rPr>
          <w:kern w:val="0"/>
          <w:szCs w:val="21"/>
        </w:rPr>
        <w:t>分子生物学的主要研究内容：包括基因与基因组的结构与功能，</w:t>
      </w:r>
      <w:r>
        <w:rPr>
          <w:kern w:val="0"/>
          <w:szCs w:val="21"/>
        </w:rPr>
        <w:t>DNA</w:t>
      </w:r>
      <w:r>
        <w:rPr>
          <w:kern w:val="0"/>
          <w:szCs w:val="21"/>
        </w:rPr>
        <w:t>的生物合成、修复和重组，</w:t>
      </w:r>
      <w:r>
        <w:rPr>
          <w:kern w:val="0"/>
          <w:szCs w:val="21"/>
        </w:rPr>
        <w:t>RNA</w:t>
      </w:r>
      <w:r>
        <w:rPr>
          <w:kern w:val="0"/>
          <w:szCs w:val="21"/>
        </w:rPr>
        <w:t>的生物合成和转录产物的加工，蛋白质的生物合成，基因表达的调控，穿插介绍相关的研究技术。</w:t>
      </w:r>
    </w:p>
    <w:p w14:paraId="613F7571" w14:textId="77777777" w:rsidR="00F5289E" w:rsidRDefault="00C91173" w:rsidP="00A115EF">
      <w:pPr>
        <w:widowControl/>
        <w:numPr>
          <w:ilvl w:val="0"/>
          <w:numId w:val="6"/>
        </w:numPr>
        <w:adjustRightInd w:val="0"/>
        <w:snapToGrid w:val="0"/>
        <w:spacing w:line="360" w:lineRule="auto"/>
        <w:jc w:val="left"/>
        <w:rPr>
          <w:kern w:val="0"/>
          <w:szCs w:val="21"/>
        </w:rPr>
      </w:pPr>
      <w:r>
        <w:rPr>
          <w:kern w:val="0"/>
          <w:szCs w:val="21"/>
        </w:rPr>
        <w:t>分子生物学的发展简史和展望：人类对</w:t>
      </w:r>
      <w:r>
        <w:rPr>
          <w:kern w:val="0"/>
          <w:szCs w:val="21"/>
        </w:rPr>
        <w:t>DNA</w:t>
      </w:r>
      <w:r>
        <w:rPr>
          <w:kern w:val="0"/>
          <w:szCs w:val="21"/>
        </w:rPr>
        <w:t>和遗传信息传递的认识阶段，重组</w:t>
      </w:r>
      <w:r>
        <w:rPr>
          <w:kern w:val="0"/>
          <w:szCs w:val="21"/>
        </w:rPr>
        <w:t>DNA</w:t>
      </w:r>
      <w:r>
        <w:rPr>
          <w:kern w:val="0"/>
          <w:szCs w:val="21"/>
        </w:rPr>
        <w:t>技术的建立、发展和应用，结构基因学和功能基因学</w:t>
      </w:r>
      <w:r>
        <w:rPr>
          <w:rFonts w:hint="eastAsia"/>
          <w:kern w:val="0"/>
          <w:szCs w:val="21"/>
        </w:rPr>
        <w:t>等</w:t>
      </w:r>
      <w:r>
        <w:rPr>
          <w:kern w:val="0"/>
          <w:szCs w:val="21"/>
        </w:rPr>
        <w:t>的发展现状及发展趋势。</w:t>
      </w:r>
    </w:p>
    <w:p w14:paraId="5A895DD2" w14:textId="77777777" w:rsidR="00F5289E" w:rsidRDefault="00C91173" w:rsidP="00A115EF">
      <w:pPr>
        <w:widowControl/>
        <w:numPr>
          <w:ilvl w:val="0"/>
          <w:numId w:val="6"/>
        </w:numPr>
        <w:tabs>
          <w:tab w:val="left" w:pos="0"/>
        </w:tabs>
        <w:adjustRightInd w:val="0"/>
        <w:snapToGrid w:val="0"/>
        <w:spacing w:line="360" w:lineRule="auto"/>
        <w:jc w:val="left"/>
        <w:rPr>
          <w:kern w:val="0"/>
          <w:szCs w:val="21"/>
        </w:rPr>
      </w:pPr>
      <w:r>
        <w:rPr>
          <w:kern w:val="0"/>
          <w:szCs w:val="21"/>
        </w:rPr>
        <w:t>分子生物学与农业科学的关系。</w:t>
      </w:r>
    </w:p>
    <w:p w14:paraId="62E11F19" w14:textId="77777777" w:rsidR="00F5289E" w:rsidRDefault="00C91173">
      <w:pPr>
        <w:widowControl/>
        <w:adjustRightInd w:val="0"/>
        <w:snapToGrid w:val="0"/>
        <w:spacing w:line="360" w:lineRule="auto"/>
        <w:rPr>
          <w:b/>
          <w:kern w:val="0"/>
          <w:szCs w:val="21"/>
        </w:rPr>
      </w:pPr>
      <w:r>
        <w:rPr>
          <w:b/>
          <w:kern w:val="0"/>
          <w:szCs w:val="21"/>
        </w:rPr>
        <w:t>要求：</w:t>
      </w:r>
    </w:p>
    <w:p w14:paraId="7172EBCE" w14:textId="77777777" w:rsidR="00F5289E" w:rsidRDefault="00C91173">
      <w:pPr>
        <w:widowControl/>
        <w:adjustRightInd w:val="0"/>
        <w:snapToGrid w:val="0"/>
        <w:spacing w:line="360" w:lineRule="auto"/>
        <w:ind w:firstLineChars="200" w:firstLine="420"/>
        <w:rPr>
          <w:kern w:val="0"/>
          <w:szCs w:val="21"/>
        </w:rPr>
      </w:pPr>
      <w:r>
        <w:rPr>
          <w:kern w:val="0"/>
          <w:szCs w:val="21"/>
        </w:rPr>
        <w:t>了解</w:t>
      </w:r>
      <w:r>
        <w:rPr>
          <w:rFonts w:hint="eastAsia"/>
          <w:kern w:val="0"/>
          <w:szCs w:val="21"/>
        </w:rPr>
        <w:t>：</w:t>
      </w:r>
      <w:r>
        <w:rPr>
          <w:kern w:val="0"/>
          <w:szCs w:val="21"/>
        </w:rPr>
        <w:t>分子生物学的基本含义，分子生物学的发展和展望，分子生物学与农业科学的关系。</w:t>
      </w:r>
    </w:p>
    <w:p w14:paraId="60CD22FD" w14:textId="77777777" w:rsidR="00F5289E" w:rsidRDefault="00C91173">
      <w:pPr>
        <w:widowControl/>
        <w:adjustRightInd w:val="0"/>
        <w:snapToGrid w:val="0"/>
        <w:spacing w:line="360" w:lineRule="auto"/>
        <w:ind w:firstLineChars="200" w:firstLine="420"/>
        <w:rPr>
          <w:kern w:val="0"/>
          <w:szCs w:val="21"/>
        </w:rPr>
      </w:pPr>
      <w:r>
        <w:rPr>
          <w:kern w:val="0"/>
          <w:szCs w:val="21"/>
        </w:rPr>
        <w:t>理解</w:t>
      </w:r>
      <w:r>
        <w:rPr>
          <w:rFonts w:hint="eastAsia"/>
          <w:kern w:val="0"/>
          <w:szCs w:val="21"/>
        </w:rPr>
        <w:t>：</w:t>
      </w:r>
      <w:r>
        <w:rPr>
          <w:kern w:val="0"/>
          <w:szCs w:val="21"/>
        </w:rPr>
        <w:t>分子生物学的主要研究内容。</w:t>
      </w:r>
    </w:p>
    <w:p w14:paraId="38C42624" w14:textId="77777777" w:rsidR="00F5289E" w:rsidRDefault="00C91173">
      <w:pPr>
        <w:widowControl/>
        <w:adjustRightInd w:val="0"/>
        <w:snapToGrid w:val="0"/>
        <w:spacing w:line="360" w:lineRule="auto"/>
        <w:rPr>
          <w:b/>
          <w:bCs/>
          <w:szCs w:val="21"/>
        </w:rPr>
      </w:pPr>
      <w:r>
        <w:rPr>
          <w:rFonts w:hint="eastAsia"/>
          <w:b/>
          <w:bCs/>
          <w:szCs w:val="21"/>
        </w:rPr>
        <w:lastRenderedPageBreak/>
        <w:t>教学组织与实施：</w:t>
      </w:r>
    </w:p>
    <w:p w14:paraId="57F811F0" w14:textId="77777777" w:rsidR="00F5289E" w:rsidRDefault="00C91173">
      <w:pPr>
        <w:widowControl/>
        <w:adjustRightInd w:val="0"/>
        <w:snapToGrid w:val="0"/>
        <w:spacing w:line="360" w:lineRule="auto"/>
        <w:ind w:firstLine="420"/>
        <w:rPr>
          <w:bCs/>
          <w:szCs w:val="21"/>
        </w:rPr>
      </w:pPr>
      <w:r>
        <w:rPr>
          <w:rFonts w:hint="eastAsia"/>
          <w:bCs/>
          <w:szCs w:val="21"/>
        </w:rPr>
        <w:t>以班级授课的形式讲解分子生物学发展中的重要事件，并对里程碑式的发现通过小故事等形式进行重点讲解（</w:t>
      </w:r>
      <w:r>
        <w:rPr>
          <w:bCs/>
          <w:szCs w:val="21"/>
        </w:rPr>
        <w:t>2</w:t>
      </w:r>
      <w:r>
        <w:rPr>
          <w:rFonts w:hint="eastAsia"/>
          <w:bCs/>
          <w:szCs w:val="21"/>
        </w:rPr>
        <w:t>学时）。</w:t>
      </w:r>
    </w:p>
    <w:p w14:paraId="62D4FC60" w14:textId="77777777" w:rsidR="00F5289E" w:rsidRDefault="00F5289E">
      <w:pPr>
        <w:widowControl/>
        <w:adjustRightInd w:val="0"/>
        <w:snapToGrid w:val="0"/>
        <w:spacing w:line="360" w:lineRule="auto"/>
        <w:ind w:firstLine="420"/>
        <w:rPr>
          <w:bCs/>
          <w:szCs w:val="21"/>
        </w:rPr>
      </w:pPr>
    </w:p>
    <w:p w14:paraId="1FE2E710" w14:textId="77777777" w:rsidR="00F5289E" w:rsidRDefault="00C91173">
      <w:pPr>
        <w:widowControl/>
        <w:adjustRightInd w:val="0"/>
        <w:snapToGrid w:val="0"/>
        <w:spacing w:beforeLines="50" w:before="156" w:line="360" w:lineRule="auto"/>
        <w:jc w:val="right"/>
        <w:rPr>
          <w:kern w:val="0"/>
          <w:szCs w:val="21"/>
        </w:rPr>
      </w:pPr>
      <w:r>
        <w:rPr>
          <w:b/>
          <w:bCs/>
          <w:kern w:val="0"/>
          <w:szCs w:val="21"/>
        </w:rPr>
        <w:t>第一章</w:t>
      </w:r>
      <w:r>
        <w:rPr>
          <w:b/>
          <w:bCs/>
          <w:kern w:val="0"/>
          <w:szCs w:val="21"/>
        </w:rPr>
        <w:t xml:space="preserve">  </w:t>
      </w:r>
      <w:r>
        <w:rPr>
          <w:b/>
          <w:bCs/>
          <w:kern w:val="0"/>
          <w:szCs w:val="21"/>
        </w:rPr>
        <w:t>基因概念的演变与发展</w:t>
      </w:r>
      <w:r>
        <w:rPr>
          <w:b/>
          <w:bCs/>
          <w:kern w:val="0"/>
          <w:szCs w:val="21"/>
        </w:rPr>
        <w:t xml:space="preserve">                   </w:t>
      </w:r>
      <w:r>
        <w:rPr>
          <w:b/>
          <w:bCs/>
          <w:kern w:val="0"/>
          <w:szCs w:val="21"/>
        </w:rPr>
        <w:t>学时数：</w:t>
      </w:r>
      <w:r>
        <w:rPr>
          <w:b/>
          <w:bCs/>
          <w:kern w:val="0"/>
          <w:szCs w:val="21"/>
        </w:rPr>
        <w:t>2</w:t>
      </w:r>
    </w:p>
    <w:p w14:paraId="5EC711C6" w14:textId="77777777" w:rsidR="00F5289E" w:rsidRDefault="00C91173">
      <w:pPr>
        <w:widowControl/>
        <w:adjustRightInd w:val="0"/>
        <w:snapToGrid w:val="0"/>
        <w:spacing w:line="360" w:lineRule="auto"/>
        <w:rPr>
          <w:kern w:val="0"/>
          <w:szCs w:val="21"/>
        </w:rPr>
      </w:pPr>
      <w:r>
        <w:rPr>
          <w:rFonts w:hint="eastAsia"/>
          <w:b/>
          <w:bCs/>
          <w:szCs w:val="21"/>
        </w:rPr>
        <w:t>教学目标：</w:t>
      </w:r>
      <w:r>
        <w:rPr>
          <w:rFonts w:hint="eastAsia"/>
          <w:bCs/>
          <w:szCs w:val="21"/>
        </w:rPr>
        <w:t>掌握经典基因概念、基因概念的发展，熟悉</w:t>
      </w:r>
      <w:r>
        <w:rPr>
          <w:bCs/>
          <w:szCs w:val="21"/>
        </w:rPr>
        <w:t>DNA</w:t>
      </w:r>
      <w:r>
        <w:rPr>
          <w:rFonts w:hint="eastAsia"/>
          <w:bCs/>
          <w:szCs w:val="21"/>
        </w:rPr>
        <w:t>的分子结构及物理化学性质，了解间隔基因和跳跃基因的概念。</w:t>
      </w:r>
    </w:p>
    <w:p w14:paraId="1601C547" w14:textId="77777777" w:rsidR="00F5289E" w:rsidRDefault="00C91173">
      <w:pPr>
        <w:widowControl/>
        <w:adjustRightInd w:val="0"/>
        <w:snapToGrid w:val="0"/>
        <w:spacing w:line="360" w:lineRule="auto"/>
        <w:rPr>
          <w:b/>
          <w:bCs/>
          <w:szCs w:val="21"/>
        </w:rPr>
      </w:pPr>
      <w:r>
        <w:rPr>
          <w:rFonts w:hint="eastAsia"/>
          <w:b/>
          <w:bCs/>
          <w:szCs w:val="21"/>
        </w:rPr>
        <w:t>教学重点和难点：</w:t>
      </w:r>
      <w:r>
        <w:rPr>
          <w:rFonts w:hint="eastAsia"/>
          <w:bCs/>
          <w:szCs w:val="21"/>
        </w:rPr>
        <w:t>重点：经典基因概念；难点：拟等位基因与跳跃基因。</w:t>
      </w:r>
    </w:p>
    <w:p w14:paraId="5CFA014B" w14:textId="77777777" w:rsidR="00F5289E" w:rsidRDefault="00C91173">
      <w:pPr>
        <w:widowControl/>
        <w:adjustRightInd w:val="0"/>
        <w:snapToGrid w:val="0"/>
        <w:spacing w:line="360" w:lineRule="auto"/>
        <w:rPr>
          <w:b/>
          <w:bCs/>
          <w:szCs w:val="21"/>
        </w:rPr>
      </w:pPr>
      <w:r>
        <w:rPr>
          <w:rFonts w:hint="eastAsia"/>
          <w:b/>
          <w:bCs/>
          <w:szCs w:val="21"/>
        </w:rPr>
        <w:t>主要教学内容及要求：</w:t>
      </w:r>
    </w:p>
    <w:p w14:paraId="7E10858A" w14:textId="77777777" w:rsidR="00F5289E" w:rsidRDefault="00C91173" w:rsidP="00A115EF">
      <w:pPr>
        <w:widowControl/>
        <w:numPr>
          <w:ilvl w:val="0"/>
          <w:numId w:val="7"/>
        </w:numPr>
        <w:adjustRightInd w:val="0"/>
        <w:snapToGrid w:val="0"/>
        <w:spacing w:line="360" w:lineRule="auto"/>
        <w:rPr>
          <w:kern w:val="0"/>
          <w:szCs w:val="21"/>
        </w:rPr>
      </w:pPr>
      <w:r>
        <w:rPr>
          <w:kern w:val="0"/>
          <w:szCs w:val="21"/>
        </w:rPr>
        <w:t>早期</w:t>
      </w:r>
      <w:r>
        <w:rPr>
          <w:kern w:val="0"/>
          <w:szCs w:val="21"/>
        </w:rPr>
        <w:t>“</w:t>
      </w:r>
      <w:r>
        <w:rPr>
          <w:kern w:val="0"/>
          <w:szCs w:val="21"/>
        </w:rPr>
        <w:t>基因</w:t>
      </w:r>
      <w:r>
        <w:rPr>
          <w:kern w:val="0"/>
          <w:szCs w:val="21"/>
        </w:rPr>
        <w:t>”</w:t>
      </w:r>
      <w:r>
        <w:rPr>
          <w:kern w:val="0"/>
          <w:szCs w:val="21"/>
        </w:rPr>
        <w:t>概念的提出及发展。</w:t>
      </w:r>
    </w:p>
    <w:p w14:paraId="5AE00388" w14:textId="77777777" w:rsidR="00F5289E" w:rsidRDefault="00C91173" w:rsidP="00A115EF">
      <w:pPr>
        <w:widowControl/>
        <w:numPr>
          <w:ilvl w:val="0"/>
          <w:numId w:val="7"/>
        </w:numPr>
        <w:adjustRightInd w:val="0"/>
        <w:snapToGrid w:val="0"/>
        <w:spacing w:line="360" w:lineRule="auto"/>
        <w:rPr>
          <w:kern w:val="0"/>
          <w:szCs w:val="21"/>
        </w:rPr>
      </w:pPr>
      <w:r>
        <w:rPr>
          <w:kern w:val="0"/>
          <w:szCs w:val="21"/>
        </w:rPr>
        <w:t>基因概念的演变（经典基因概念、经典基因概念的第一次修正、拟等位基因概念、顺反子理论）。</w:t>
      </w:r>
    </w:p>
    <w:p w14:paraId="5EF450BF" w14:textId="77777777" w:rsidR="00F5289E" w:rsidRDefault="00C91173" w:rsidP="00A115EF">
      <w:pPr>
        <w:widowControl/>
        <w:numPr>
          <w:ilvl w:val="0"/>
          <w:numId w:val="7"/>
        </w:numPr>
        <w:adjustRightInd w:val="0"/>
        <w:snapToGrid w:val="0"/>
        <w:spacing w:line="360" w:lineRule="auto"/>
        <w:rPr>
          <w:kern w:val="0"/>
          <w:szCs w:val="21"/>
        </w:rPr>
      </w:pPr>
      <w:r>
        <w:rPr>
          <w:kern w:val="0"/>
          <w:szCs w:val="21"/>
        </w:rPr>
        <w:t>基因概念的多样性（生物进化的</w:t>
      </w:r>
      <w:r>
        <w:rPr>
          <w:kern w:val="0"/>
          <w:szCs w:val="21"/>
        </w:rPr>
        <w:t>C</w:t>
      </w:r>
      <w:r>
        <w:rPr>
          <w:kern w:val="0"/>
          <w:szCs w:val="21"/>
        </w:rPr>
        <w:t>值矛盾、重叠基因、重复基因、间隔基因、跳跃基因或转座子、假基因的概念）。</w:t>
      </w:r>
    </w:p>
    <w:p w14:paraId="5DCA8F25" w14:textId="77777777" w:rsidR="00F5289E" w:rsidRDefault="00C91173">
      <w:pPr>
        <w:widowControl/>
        <w:adjustRightInd w:val="0"/>
        <w:snapToGrid w:val="0"/>
        <w:spacing w:line="360" w:lineRule="auto"/>
        <w:rPr>
          <w:b/>
          <w:kern w:val="0"/>
          <w:szCs w:val="21"/>
        </w:rPr>
      </w:pPr>
      <w:r>
        <w:rPr>
          <w:b/>
          <w:kern w:val="0"/>
          <w:szCs w:val="21"/>
        </w:rPr>
        <w:t>要求：</w:t>
      </w:r>
    </w:p>
    <w:p w14:paraId="3EE25D87" w14:textId="77777777" w:rsidR="00F5289E" w:rsidRDefault="00C91173">
      <w:pPr>
        <w:widowControl/>
        <w:adjustRightInd w:val="0"/>
        <w:snapToGrid w:val="0"/>
        <w:spacing w:line="360" w:lineRule="auto"/>
        <w:ind w:firstLine="420"/>
        <w:rPr>
          <w:kern w:val="0"/>
          <w:szCs w:val="21"/>
        </w:rPr>
      </w:pPr>
      <w:r>
        <w:rPr>
          <w:kern w:val="0"/>
          <w:szCs w:val="21"/>
        </w:rPr>
        <w:t>了解：基因概念的发展历程、转座因子的研究进展，熟悉核酸的物理化学性质及原核生物的转座因子等。</w:t>
      </w:r>
    </w:p>
    <w:p w14:paraId="0D2ACAC7" w14:textId="77777777" w:rsidR="00F5289E" w:rsidRDefault="00C91173">
      <w:pPr>
        <w:widowControl/>
        <w:adjustRightInd w:val="0"/>
        <w:snapToGrid w:val="0"/>
        <w:spacing w:line="360" w:lineRule="auto"/>
        <w:ind w:firstLine="420"/>
        <w:rPr>
          <w:kern w:val="0"/>
          <w:szCs w:val="21"/>
        </w:rPr>
      </w:pPr>
      <w:r>
        <w:rPr>
          <w:kern w:val="0"/>
          <w:szCs w:val="21"/>
        </w:rPr>
        <w:t>掌握：基因的分子结构，</w:t>
      </w:r>
      <w:r>
        <w:rPr>
          <w:rFonts w:hint="eastAsia"/>
          <w:kern w:val="0"/>
          <w:szCs w:val="21"/>
        </w:rPr>
        <w:t>经典基因概念</w:t>
      </w:r>
      <w:r>
        <w:rPr>
          <w:kern w:val="0"/>
          <w:szCs w:val="21"/>
        </w:rPr>
        <w:t>，顺反子、重复序列、重叠基因、间隔基因、跳跃基因、假基因的概念。</w:t>
      </w:r>
    </w:p>
    <w:p w14:paraId="3DB1F9C1" w14:textId="77777777" w:rsidR="00F5289E" w:rsidRDefault="00C91173">
      <w:pPr>
        <w:widowControl/>
        <w:adjustRightInd w:val="0"/>
        <w:snapToGrid w:val="0"/>
        <w:spacing w:line="360" w:lineRule="auto"/>
        <w:rPr>
          <w:b/>
          <w:bCs/>
          <w:szCs w:val="21"/>
        </w:rPr>
      </w:pPr>
      <w:r>
        <w:rPr>
          <w:rFonts w:hint="eastAsia"/>
          <w:b/>
          <w:bCs/>
          <w:szCs w:val="21"/>
        </w:rPr>
        <w:t>教学组织与实施：</w:t>
      </w:r>
    </w:p>
    <w:p w14:paraId="6FC72333" w14:textId="77777777" w:rsidR="00F5289E" w:rsidRDefault="00C91173">
      <w:pPr>
        <w:widowControl/>
        <w:adjustRightInd w:val="0"/>
        <w:snapToGrid w:val="0"/>
        <w:spacing w:line="360" w:lineRule="auto"/>
        <w:ind w:firstLine="420"/>
        <w:rPr>
          <w:bCs/>
          <w:szCs w:val="21"/>
        </w:rPr>
      </w:pPr>
      <w:r>
        <w:rPr>
          <w:rFonts w:hint="eastAsia"/>
          <w:bCs/>
          <w:szCs w:val="21"/>
        </w:rPr>
        <w:t>以启发讨论的形式，让大家介绍一下自己对基因的理解与认识，然后以班级授课的形式系统介绍基因概念的</w:t>
      </w:r>
      <w:r>
        <w:rPr>
          <w:kern w:val="0"/>
          <w:szCs w:val="21"/>
        </w:rPr>
        <w:t>发展历程</w:t>
      </w:r>
      <w:r>
        <w:rPr>
          <w:rFonts w:hint="eastAsia"/>
          <w:kern w:val="0"/>
          <w:szCs w:val="21"/>
        </w:rPr>
        <w:t>，</w:t>
      </w:r>
      <w:r>
        <w:rPr>
          <w:rFonts w:hint="eastAsia"/>
          <w:bCs/>
          <w:szCs w:val="21"/>
        </w:rPr>
        <w:t>并对关键名词进行重点讲解，通过对相关科学家事迹的介绍，激发同学们投身科研的热情，加强思政教学。（</w:t>
      </w:r>
      <w:r>
        <w:rPr>
          <w:bCs/>
          <w:szCs w:val="21"/>
        </w:rPr>
        <w:t>2</w:t>
      </w:r>
      <w:r>
        <w:rPr>
          <w:rFonts w:hint="eastAsia"/>
          <w:bCs/>
          <w:szCs w:val="21"/>
        </w:rPr>
        <w:t>学时）。</w:t>
      </w:r>
    </w:p>
    <w:p w14:paraId="459E3D4F" w14:textId="77777777" w:rsidR="00F5289E" w:rsidRDefault="00F5289E">
      <w:pPr>
        <w:widowControl/>
        <w:adjustRightInd w:val="0"/>
        <w:snapToGrid w:val="0"/>
        <w:spacing w:line="360" w:lineRule="auto"/>
        <w:ind w:firstLine="420"/>
        <w:rPr>
          <w:bCs/>
          <w:szCs w:val="21"/>
        </w:rPr>
      </w:pPr>
    </w:p>
    <w:p w14:paraId="62A2DB2F" w14:textId="77777777" w:rsidR="00F5289E" w:rsidRDefault="00C91173">
      <w:pPr>
        <w:widowControl/>
        <w:adjustRightInd w:val="0"/>
        <w:snapToGrid w:val="0"/>
        <w:spacing w:beforeLines="50" w:before="156" w:line="360" w:lineRule="auto"/>
        <w:jc w:val="right"/>
        <w:rPr>
          <w:kern w:val="0"/>
          <w:szCs w:val="21"/>
        </w:rPr>
      </w:pPr>
      <w:r>
        <w:rPr>
          <w:b/>
          <w:bCs/>
          <w:kern w:val="0"/>
          <w:szCs w:val="21"/>
        </w:rPr>
        <w:t>第二章</w:t>
      </w:r>
      <w:r>
        <w:rPr>
          <w:b/>
          <w:bCs/>
          <w:kern w:val="0"/>
          <w:szCs w:val="21"/>
        </w:rPr>
        <w:t xml:space="preserve">  DNA</w:t>
      </w:r>
      <w:r>
        <w:rPr>
          <w:b/>
          <w:bCs/>
          <w:kern w:val="0"/>
          <w:szCs w:val="21"/>
        </w:rPr>
        <w:t>复制</w:t>
      </w:r>
      <w:r>
        <w:rPr>
          <w:b/>
          <w:bCs/>
          <w:kern w:val="0"/>
          <w:szCs w:val="21"/>
        </w:rPr>
        <w:t xml:space="preserve">                          </w:t>
      </w:r>
      <w:r>
        <w:rPr>
          <w:b/>
          <w:bCs/>
          <w:kern w:val="0"/>
          <w:szCs w:val="21"/>
        </w:rPr>
        <w:t>学时数：</w:t>
      </w:r>
      <w:r>
        <w:rPr>
          <w:b/>
          <w:bCs/>
          <w:kern w:val="0"/>
          <w:szCs w:val="21"/>
        </w:rPr>
        <w:t>4</w:t>
      </w:r>
    </w:p>
    <w:p w14:paraId="1CBF91F6" w14:textId="77777777" w:rsidR="00F5289E" w:rsidRDefault="00C91173">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w:t>
      </w:r>
      <w:r>
        <w:rPr>
          <w:kern w:val="0"/>
          <w:szCs w:val="21"/>
        </w:rPr>
        <w:t>DNA</w:t>
      </w:r>
      <w:r>
        <w:rPr>
          <w:kern w:val="0"/>
          <w:szCs w:val="21"/>
        </w:rPr>
        <w:t>复制的基本特征，真核生物</w:t>
      </w:r>
      <w:r>
        <w:rPr>
          <w:kern w:val="0"/>
          <w:szCs w:val="21"/>
        </w:rPr>
        <w:t>DNA</w:t>
      </w:r>
      <w:r>
        <w:rPr>
          <w:kern w:val="0"/>
          <w:szCs w:val="21"/>
        </w:rPr>
        <w:t>复制的特点，</w:t>
      </w:r>
      <w:r>
        <w:rPr>
          <w:kern w:val="0"/>
          <w:szCs w:val="21"/>
        </w:rPr>
        <w:t>DNA</w:t>
      </w:r>
      <w:r>
        <w:rPr>
          <w:kern w:val="0"/>
          <w:szCs w:val="21"/>
        </w:rPr>
        <w:t>复制的终止。</w:t>
      </w:r>
    </w:p>
    <w:p w14:paraId="7C4F55D1" w14:textId="77777777" w:rsidR="00F5289E" w:rsidRDefault="00C91173">
      <w:pPr>
        <w:widowControl/>
        <w:adjustRightInd w:val="0"/>
        <w:snapToGrid w:val="0"/>
        <w:spacing w:line="360" w:lineRule="auto"/>
        <w:rPr>
          <w:b/>
          <w:bCs/>
          <w:kern w:val="0"/>
          <w:szCs w:val="21"/>
        </w:rPr>
      </w:pPr>
      <w:r>
        <w:rPr>
          <w:b/>
          <w:bCs/>
          <w:szCs w:val="21"/>
        </w:rPr>
        <w:t>教学重点和难点：</w:t>
      </w:r>
      <w:r>
        <w:rPr>
          <w:kern w:val="0"/>
          <w:szCs w:val="21"/>
        </w:rPr>
        <w:t>DNA</w:t>
      </w:r>
      <w:r>
        <w:rPr>
          <w:kern w:val="0"/>
          <w:szCs w:val="21"/>
        </w:rPr>
        <w:t>复制的模式，真核生物</w:t>
      </w:r>
      <w:r>
        <w:rPr>
          <w:kern w:val="0"/>
          <w:szCs w:val="21"/>
        </w:rPr>
        <w:t xml:space="preserve">DNA </w:t>
      </w:r>
      <w:r>
        <w:rPr>
          <w:kern w:val="0"/>
          <w:szCs w:val="21"/>
        </w:rPr>
        <w:t>复制的特点，</w:t>
      </w:r>
      <w:r>
        <w:rPr>
          <w:kern w:val="0"/>
          <w:szCs w:val="21"/>
        </w:rPr>
        <w:t>DNA</w:t>
      </w:r>
      <w:r>
        <w:rPr>
          <w:kern w:val="0"/>
          <w:szCs w:val="21"/>
        </w:rPr>
        <w:t>复制的调控。</w:t>
      </w:r>
    </w:p>
    <w:p w14:paraId="0A9C2FC3" w14:textId="77777777" w:rsidR="00F5289E" w:rsidRDefault="00C91173">
      <w:pPr>
        <w:widowControl/>
        <w:adjustRightInd w:val="0"/>
        <w:snapToGrid w:val="0"/>
        <w:spacing w:line="360" w:lineRule="auto"/>
        <w:rPr>
          <w:b/>
          <w:bCs/>
          <w:szCs w:val="21"/>
        </w:rPr>
      </w:pPr>
      <w:r>
        <w:rPr>
          <w:b/>
          <w:bCs/>
          <w:szCs w:val="21"/>
        </w:rPr>
        <w:t>主要教学内容及要求：</w:t>
      </w:r>
    </w:p>
    <w:p w14:paraId="24E0F0A2" w14:textId="77777777" w:rsidR="00F5289E" w:rsidRDefault="00C91173" w:rsidP="00A115EF">
      <w:pPr>
        <w:widowControl/>
        <w:numPr>
          <w:ilvl w:val="0"/>
          <w:numId w:val="8"/>
        </w:numPr>
        <w:adjustRightInd w:val="0"/>
        <w:snapToGrid w:val="0"/>
        <w:spacing w:line="360" w:lineRule="auto"/>
        <w:rPr>
          <w:kern w:val="0"/>
          <w:szCs w:val="21"/>
        </w:rPr>
      </w:pPr>
      <w:r>
        <w:rPr>
          <w:kern w:val="0"/>
          <w:szCs w:val="21"/>
        </w:rPr>
        <w:t>DNA</w:t>
      </w:r>
      <w:r>
        <w:rPr>
          <w:kern w:val="0"/>
          <w:szCs w:val="21"/>
        </w:rPr>
        <w:t>复制的基本特征（</w:t>
      </w:r>
      <w:r>
        <w:rPr>
          <w:kern w:val="0"/>
          <w:szCs w:val="21"/>
        </w:rPr>
        <w:t>DNA</w:t>
      </w:r>
      <w:r>
        <w:rPr>
          <w:kern w:val="0"/>
          <w:szCs w:val="21"/>
        </w:rPr>
        <w:t>复制的基本特征和模式、线形</w:t>
      </w:r>
      <w:r>
        <w:rPr>
          <w:kern w:val="0"/>
          <w:szCs w:val="21"/>
        </w:rPr>
        <w:t>DNA</w:t>
      </w:r>
      <w:r>
        <w:rPr>
          <w:kern w:val="0"/>
          <w:szCs w:val="21"/>
        </w:rPr>
        <w:t>复制的方式）。</w:t>
      </w:r>
    </w:p>
    <w:p w14:paraId="647C3172" w14:textId="77777777" w:rsidR="00F5289E" w:rsidRDefault="00C91173" w:rsidP="00A115EF">
      <w:pPr>
        <w:widowControl/>
        <w:numPr>
          <w:ilvl w:val="0"/>
          <w:numId w:val="8"/>
        </w:numPr>
        <w:adjustRightInd w:val="0"/>
        <w:snapToGrid w:val="0"/>
        <w:spacing w:line="360" w:lineRule="auto"/>
        <w:rPr>
          <w:kern w:val="0"/>
          <w:szCs w:val="21"/>
        </w:rPr>
      </w:pPr>
      <w:r>
        <w:rPr>
          <w:kern w:val="0"/>
          <w:szCs w:val="21"/>
        </w:rPr>
        <w:t>真核生物</w:t>
      </w:r>
      <w:r>
        <w:rPr>
          <w:kern w:val="0"/>
          <w:szCs w:val="21"/>
        </w:rPr>
        <w:t>DNA</w:t>
      </w:r>
      <w:r>
        <w:rPr>
          <w:kern w:val="0"/>
          <w:szCs w:val="21"/>
        </w:rPr>
        <w:t>复制的特点（多复制子复制、真核生物避免</w:t>
      </w:r>
      <w:r>
        <w:rPr>
          <w:kern w:val="0"/>
          <w:szCs w:val="21"/>
        </w:rPr>
        <w:t>5’</w:t>
      </w:r>
      <w:r>
        <w:rPr>
          <w:kern w:val="0"/>
          <w:szCs w:val="21"/>
        </w:rPr>
        <w:t>端缩短的机制</w:t>
      </w:r>
      <w:r>
        <w:rPr>
          <w:kern w:val="0"/>
          <w:szCs w:val="21"/>
        </w:rPr>
        <w:t>—</w:t>
      </w:r>
      <w:r>
        <w:rPr>
          <w:kern w:val="0"/>
          <w:szCs w:val="21"/>
        </w:rPr>
        <w:t>端粒和端粒酶）。</w:t>
      </w:r>
    </w:p>
    <w:p w14:paraId="0B81BDE8" w14:textId="77777777" w:rsidR="00F5289E" w:rsidRDefault="00C91173" w:rsidP="00A115EF">
      <w:pPr>
        <w:widowControl/>
        <w:numPr>
          <w:ilvl w:val="0"/>
          <w:numId w:val="8"/>
        </w:numPr>
        <w:adjustRightInd w:val="0"/>
        <w:snapToGrid w:val="0"/>
        <w:spacing w:line="360" w:lineRule="auto"/>
        <w:rPr>
          <w:kern w:val="0"/>
          <w:szCs w:val="21"/>
        </w:rPr>
      </w:pPr>
      <w:r>
        <w:rPr>
          <w:kern w:val="0"/>
          <w:szCs w:val="21"/>
        </w:rPr>
        <w:t>DNA</w:t>
      </w:r>
      <w:r>
        <w:rPr>
          <w:kern w:val="0"/>
          <w:szCs w:val="21"/>
        </w:rPr>
        <w:t>复制的终止（</w:t>
      </w:r>
      <w:r>
        <w:rPr>
          <w:kern w:val="0"/>
          <w:szCs w:val="21"/>
        </w:rPr>
        <w:t>DNA</w:t>
      </w:r>
      <w:r>
        <w:rPr>
          <w:kern w:val="0"/>
          <w:szCs w:val="21"/>
        </w:rPr>
        <w:t>复制终止子的结构、</w:t>
      </w:r>
      <w:r>
        <w:rPr>
          <w:kern w:val="0"/>
          <w:szCs w:val="21"/>
        </w:rPr>
        <w:t>DNA</w:t>
      </w:r>
      <w:r>
        <w:rPr>
          <w:kern w:val="0"/>
          <w:szCs w:val="21"/>
        </w:rPr>
        <w:t>复制终止机制）。</w:t>
      </w:r>
    </w:p>
    <w:p w14:paraId="0B5F1872" w14:textId="77777777" w:rsidR="00F5289E" w:rsidRDefault="00C91173">
      <w:pPr>
        <w:widowControl/>
        <w:adjustRightInd w:val="0"/>
        <w:snapToGrid w:val="0"/>
        <w:spacing w:line="360" w:lineRule="auto"/>
        <w:jc w:val="left"/>
        <w:rPr>
          <w:b/>
          <w:kern w:val="0"/>
          <w:szCs w:val="21"/>
        </w:rPr>
      </w:pPr>
      <w:r>
        <w:rPr>
          <w:b/>
          <w:kern w:val="0"/>
          <w:szCs w:val="21"/>
        </w:rPr>
        <w:t>要求：</w:t>
      </w:r>
    </w:p>
    <w:p w14:paraId="5A397281" w14:textId="77777777" w:rsidR="00F5289E" w:rsidRDefault="00C91173">
      <w:pPr>
        <w:widowControl/>
        <w:adjustRightInd w:val="0"/>
        <w:snapToGrid w:val="0"/>
        <w:spacing w:line="360" w:lineRule="auto"/>
        <w:ind w:firstLine="420"/>
        <w:jc w:val="left"/>
        <w:rPr>
          <w:b/>
          <w:kern w:val="0"/>
          <w:szCs w:val="21"/>
        </w:rPr>
      </w:pPr>
      <w:r>
        <w:rPr>
          <w:kern w:val="0"/>
          <w:szCs w:val="21"/>
        </w:rPr>
        <w:t>了解：真核生物</w:t>
      </w:r>
      <w:r>
        <w:rPr>
          <w:kern w:val="0"/>
          <w:szCs w:val="21"/>
        </w:rPr>
        <w:t>DNA</w:t>
      </w:r>
      <w:r>
        <w:rPr>
          <w:kern w:val="0"/>
          <w:szCs w:val="21"/>
        </w:rPr>
        <w:t>复制的特点、线形</w:t>
      </w:r>
      <w:r>
        <w:rPr>
          <w:kern w:val="0"/>
          <w:szCs w:val="21"/>
        </w:rPr>
        <w:t>DNA</w:t>
      </w:r>
      <w:r>
        <w:rPr>
          <w:kern w:val="0"/>
          <w:szCs w:val="21"/>
        </w:rPr>
        <w:t>复制避免</w:t>
      </w:r>
      <w:r>
        <w:rPr>
          <w:kern w:val="0"/>
          <w:szCs w:val="21"/>
        </w:rPr>
        <w:t>5’</w:t>
      </w:r>
      <w:r>
        <w:rPr>
          <w:kern w:val="0"/>
          <w:szCs w:val="21"/>
        </w:rPr>
        <w:t>端缩短的方式。</w:t>
      </w:r>
    </w:p>
    <w:p w14:paraId="68EA9554" w14:textId="77777777" w:rsidR="00F5289E" w:rsidRDefault="00C91173">
      <w:pPr>
        <w:widowControl/>
        <w:adjustRightInd w:val="0"/>
        <w:snapToGrid w:val="0"/>
        <w:spacing w:line="360" w:lineRule="auto"/>
        <w:ind w:firstLine="420"/>
        <w:jc w:val="left"/>
        <w:rPr>
          <w:kern w:val="0"/>
          <w:szCs w:val="21"/>
        </w:rPr>
      </w:pPr>
      <w:r>
        <w:rPr>
          <w:kern w:val="0"/>
          <w:szCs w:val="21"/>
        </w:rPr>
        <w:lastRenderedPageBreak/>
        <w:t>掌握：原核生物和真核生物</w:t>
      </w:r>
      <w:r>
        <w:rPr>
          <w:kern w:val="0"/>
          <w:szCs w:val="21"/>
        </w:rPr>
        <w:t>DNA</w:t>
      </w:r>
      <w:r>
        <w:rPr>
          <w:kern w:val="0"/>
          <w:szCs w:val="21"/>
        </w:rPr>
        <w:t>复制的酶系统，</w:t>
      </w:r>
      <w:r>
        <w:rPr>
          <w:kern w:val="0"/>
          <w:szCs w:val="21"/>
        </w:rPr>
        <w:t>DNA</w:t>
      </w:r>
      <w:r>
        <w:rPr>
          <w:kern w:val="0"/>
          <w:szCs w:val="21"/>
        </w:rPr>
        <w:t>复制的模式：滚环复制、</w:t>
      </w:r>
      <w:r>
        <w:rPr>
          <w:kern w:val="0"/>
          <w:szCs w:val="21"/>
        </w:rPr>
        <w:t>D</w:t>
      </w:r>
      <w:r>
        <w:rPr>
          <w:kern w:val="0"/>
          <w:szCs w:val="21"/>
        </w:rPr>
        <w:t>环复制、</w:t>
      </w:r>
      <w:r>
        <w:rPr>
          <w:kern w:val="0"/>
          <w:szCs w:val="21"/>
        </w:rPr>
        <w:t>θ</w:t>
      </w:r>
      <w:r>
        <w:rPr>
          <w:kern w:val="0"/>
          <w:szCs w:val="21"/>
        </w:rPr>
        <w:t>环复制等。</w:t>
      </w:r>
    </w:p>
    <w:p w14:paraId="0A6FA8E3" w14:textId="77777777" w:rsidR="00F5289E" w:rsidRDefault="00C91173">
      <w:pPr>
        <w:widowControl/>
        <w:adjustRightInd w:val="0"/>
        <w:snapToGrid w:val="0"/>
        <w:spacing w:line="360" w:lineRule="auto"/>
        <w:ind w:firstLine="420"/>
        <w:jc w:val="left"/>
        <w:rPr>
          <w:kern w:val="0"/>
          <w:szCs w:val="21"/>
        </w:rPr>
      </w:pPr>
      <w:r>
        <w:rPr>
          <w:kern w:val="0"/>
          <w:szCs w:val="21"/>
        </w:rPr>
        <w:t>熟练掌握：</w:t>
      </w:r>
      <w:r>
        <w:rPr>
          <w:kern w:val="0"/>
          <w:szCs w:val="21"/>
        </w:rPr>
        <w:t>DNA</w:t>
      </w:r>
      <w:r>
        <w:rPr>
          <w:kern w:val="0"/>
          <w:szCs w:val="21"/>
        </w:rPr>
        <w:t>复制的方向、起点，细菌</w:t>
      </w:r>
      <w:r>
        <w:rPr>
          <w:kern w:val="0"/>
          <w:szCs w:val="21"/>
        </w:rPr>
        <w:t xml:space="preserve">DNA </w:t>
      </w:r>
      <w:r>
        <w:rPr>
          <w:kern w:val="0"/>
          <w:szCs w:val="21"/>
        </w:rPr>
        <w:t>复制过程，</w:t>
      </w:r>
      <w:r>
        <w:rPr>
          <w:kern w:val="0"/>
          <w:szCs w:val="21"/>
        </w:rPr>
        <w:t>DNA</w:t>
      </w:r>
      <w:r>
        <w:rPr>
          <w:kern w:val="0"/>
          <w:szCs w:val="21"/>
        </w:rPr>
        <w:t>复制中重要的酶和蛋白质。</w:t>
      </w:r>
    </w:p>
    <w:p w14:paraId="78AEB91E" w14:textId="77777777" w:rsidR="00F5289E" w:rsidRDefault="00C91173">
      <w:pPr>
        <w:widowControl/>
        <w:adjustRightInd w:val="0"/>
        <w:snapToGrid w:val="0"/>
        <w:spacing w:line="360" w:lineRule="auto"/>
        <w:jc w:val="left"/>
        <w:rPr>
          <w:rFonts w:ascii="宋体" w:hAnsi="宋体"/>
          <w:b/>
          <w:bCs/>
        </w:rPr>
      </w:pPr>
      <w:r>
        <w:rPr>
          <w:rFonts w:ascii="宋体" w:hAnsi="宋体" w:hint="eastAsia"/>
          <w:b/>
          <w:bCs/>
        </w:rPr>
        <w:t>教学组织与实施：</w:t>
      </w:r>
    </w:p>
    <w:p w14:paraId="6200BDFD" w14:textId="77777777" w:rsidR="00F5289E" w:rsidRDefault="00C91173">
      <w:pPr>
        <w:widowControl/>
        <w:adjustRightInd w:val="0"/>
        <w:snapToGrid w:val="0"/>
        <w:spacing w:line="360" w:lineRule="auto"/>
        <w:ind w:firstLineChars="196" w:firstLine="412"/>
        <w:jc w:val="left"/>
        <w:rPr>
          <w:kern w:val="0"/>
          <w:szCs w:val="21"/>
        </w:rPr>
      </w:pPr>
      <w:r>
        <w:rPr>
          <w:rFonts w:ascii="宋体" w:hAnsi="宋体"/>
          <w:bCs/>
        </w:rPr>
        <w:t>本章节</w:t>
      </w:r>
      <w:r>
        <w:rPr>
          <w:rFonts w:ascii="宋体" w:hAnsi="宋体" w:hint="eastAsia"/>
          <w:bCs/>
        </w:rPr>
        <w:t>主要涉及</w:t>
      </w:r>
      <w:r>
        <w:rPr>
          <w:rFonts w:ascii="宋体" w:hAnsi="宋体"/>
          <w:bCs/>
        </w:rPr>
        <w:t>DNA复制以及DNA</w:t>
      </w:r>
      <w:r>
        <w:rPr>
          <w:rFonts w:ascii="宋体" w:hAnsi="宋体" w:hint="eastAsia"/>
          <w:bCs/>
        </w:rPr>
        <w:t>复制</w:t>
      </w:r>
      <w:r>
        <w:rPr>
          <w:rFonts w:ascii="宋体" w:hAnsi="宋体"/>
          <w:bCs/>
        </w:rPr>
        <w:t>的调控，</w:t>
      </w:r>
      <w:r>
        <w:rPr>
          <w:rFonts w:ascii="宋体" w:hAnsi="宋体" w:hint="eastAsia"/>
          <w:bCs/>
        </w:rPr>
        <w:t>要求学生提前预习</w:t>
      </w:r>
      <w:r>
        <w:rPr>
          <w:rFonts w:ascii="宋体" w:hAnsi="宋体"/>
          <w:bCs/>
        </w:rPr>
        <w:t>课本本章节内容，充分利用互联网查阅相关知识，做好课前准备工作。课程教授</w:t>
      </w:r>
      <w:r>
        <w:rPr>
          <w:rFonts w:ascii="宋体" w:hAnsi="宋体" w:hint="eastAsia"/>
          <w:bCs/>
        </w:rPr>
        <w:t>方式</w:t>
      </w:r>
      <w:r>
        <w:rPr>
          <w:rFonts w:ascii="宋体" w:hAnsi="宋体"/>
          <w:bCs/>
        </w:rPr>
        <w:t>为</w:t>
      </w:r>
      <w:r>
        <w:rPr>
          <w:rFonts w:ascii="宋体" w:hAnsi="宋体" w:hint="eastAsia"/>
          <w:bCs/>
        </w:rPr>
        <w:t>教学</w:t>
      </w:r>
      <w:r>
        <w:rPr>
          <w:rFonts w:ascii="宋体" w:hAnsi="宋体"/>
          <w:bCs/>
        </w:rPr>
        <w:t>PPT结合微视频</w:t>
      </w:r>
      <w:r>
        <w:rPr>
          <w:rFonts w:ascii="宋体" w:hAnsi="宋体" w:hint="eastAsia"/>
          <w:bCs/>
        </w:rPr>
        <w:t>深入浅出</w:t>
      </w:r>
      <w:r>
        <w:rPr>
          <w:rFonts w:ascii="宋体" w:hAnsi="宋体"/>
          <w:bCs/>
        </w:rPr>
        <w:t>、生动形象的讲解疑点难点</w:t>
      </w:r>
      <w:r>
        <w:rPr>
          <w:rFonts w:ascii="宋体" w:hAnsi="宋体" w:hint="eastAsia"/>
          <w:bCs/>
        </w:rPr>
        <w:t>，</w:t>
      </w:r>
      <w:r>
        <w:rPr>
          <w:rFonts w:ascii="宋体" w:hAnsi="宋体"/>
          <w:bCs/>
        </w:rPr>
        <w:t>在教学过程中与学生进行充分的互动，活跃课堂气氛，加深对课堂知识的理解与认识。</w:t>
      </w:r>
    </w:p>
    <w:p w14:paraId="51858A1F" w14:textId="77777777" w:rsidR="00F5289E" w:rsidRDefault="00F5289E">
      <w:pPr>
        <w:widowControl/>
        <w:adjustRightInd w:val="0"/>
        <w:snapToGrid w:val="0"/>
        <w:spacing w:line="360" w:lineRule="auto"/>
        <w:ind w:firstLine="420"/>
        <w:jc w:val="left"/>
        <w:rPr>
          <w:kern w:val="0"/>
          <w:szCs w:val="21"/>
        </w:rPr>
      </w:pPr>
    </w:p>
    <w:p w14:paraId="0B10A0BB" w14:textId="77777777" w:rsidR="00F5289E" w:rsidRDefault="00C91173">
      <w:pPr>
        <w:widowControl/>
        <w:adjustRightInd w:val="0"/>
        <w:snapToGrid w:val="0"/>
        <w:spacing w:beforeLines="50" w:before="156" w:line="360" w:lineRule="auto"/>
        <w:jc w:val="right"/>
        <w:rPr>
          <w:kern w:val="0"/>
          <w:szCs w:val="21"/>
        </w:rPr>
      </w:pPr>
      <w:r>
        <w:rPr>
          <w:b/>
          <w:bCs/>
          <w:kern w:val="0"/>
          <w:szCs w:val="21"/>
        </w:rPr>
        <w:t>第三章</w:t>
      </w:r>
      <w:r>
        <w:rPr>
          <w:b/>
          <w:bCs/>
          <w:kern w:val="0"/>
          <w:szCs w:val="21"/>
        </w:rPr>
        <w:t xml:space="preserve">  RNA</w:t>
      </w:r>
      <w:r>
        <w:rPr>
          <w:b/>
          <w:bCs/>
          <w:kern w:val="0"/>
          <w:szCs w:val="21"/>
        </w:rPr>
        <w:t>的转录</w:t>
      </w:r>
      <w:r>
        <w:rPr>
          <w:b/>
          <w:bCs/>
          <w:kern w:val="0"/>
          <w:szCs w:val="21"/>
        </w:rPr>
        <w:t xml:space="preserve">                       </w:t>
      </w:r>
      <w:r>
        <w:rPr>
          <w:b/>
          <w:bCs/>
          <w:kern w:val="0"/>
          <w:szCs w:val="21"/>
        </w:rPr>
        <w:t>学时数：</w:t>
      </w:r>
      <w:r>
        <w:rPr>
          <w:b/>
          <w:bCs/>
          <w:kern w:val="0"/>
          <w:szCs w:val="21"/>
        </w:rPr>
        <w:t>6</w:t>
      </w:r>
    </w:p>
    <w:p w14:paraId="17F2D4C4" w14:textId="77777777" w:rsidR="00F5289E" w:rsidRDefault="00C91173">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掌握转录的基本概念和特点，转录反应体系的组成；原核生物转录的过程：起始</w:t>
      </w:r>
      <w:r>
        <w:rPr>
          <w:kern w:val="0"/>
          <w:szCs w:val="21"/>
        </w:rPr>
        <w:t>-</w:t>
      </w:r>
      <w:r>
        <w:rPr>
          <w:kern w:val="0"/>
          <w:szCs w:val="21"/>
        </w:rPr>
        <w:t>延伸</w:t>
      </w:r>
      <w:r>
        <w:rPr>
          <w:kern w:val="0"/>
          <w:szCs w:val="21"/>
        </w:rPr>
        <w:t>-</w:t>
      </w:r>
      <w:r>
        <w:rPr>
          <w:kern w:val="0"/>
          <w:szCs w:val="21"/>
        </w:rPr>
        <w:t>终止；不同前体</w:t>
      </w:r>
      <w:r>
        <w:rPr>
          <w:kern w:val="0"/>
          <w:szCs w:val="21"/>
        </w:rPr>
        <w:t>RNA</w:t>
      </w:r>
      <w:r>
        <w:rPr>
          <w:kern w:val="0"/>
          <w:szCs w:val="21"/>
        </w:rPr>
        <w:t>的具体剪接机制。</w:t>
      </w:r>
    </w:p>
    <w:p w14:paraId="59D92AD5" w14:textId="77777777" w:rsidR="00F5289E" w:rsidRDefault="00C91173">
      <w:pPr>
        <w:adjustRightInd w:val="0"/>
        <w:snapToGrid w:val="0"/>
        <w:spacing w:line="360" w:lineRule="auto"/>
        <w:rPr>
          <w:b/>
          <w:szCs w:val="21"/>
        </w:rPr>
      </w:pPr>
      <w:r>
        <w:rPr>
          <w:b/>
          <w:bCs/>
          <w:szCs w:val="21"/>
        </w:rPr>
        <w:t>教学重点和难点：</w:t>
      </w:r>
      <w:r>
        <w:rPr>
          <w:kern w:val="0"/>
          <w:szCs w:val="21"/>
        </w:rPr>
        <w:t>不同前体</w:t>
      </w:r>
      <w:r>
        <w:rPr>
          <w:kern w:val="0"/>
          <w:szCs w:val="21"/>
        </w:rPr>
        <w:t>RNA</w:t>
      </w:r>
      <w:r>
        <w:rPr>
          <w:kern w:val="0"/>
          <w:szCs w:val="21"/>
        </w:rPr>
        <w:t>的具体剪接机制</w:t>
      </w:r>
      <w:r>
        <w:rPr>
          <w:szCs w:val="21"/>
        </w:rPr>
        <w:t>；</w:t>
      </w:r>
      <w:r>
        <w:rPr>
          <w:kern w:val="0"/>
          <w:szCs w:val="21"/>
        </w:rPr>
        <w:t>真核生物转录起始和转录后的加工机制</w:t>
      </w:r>
      <w:r>
        <w:rPr>
          <w:szCs w:val="21"/>
        </w:rPr>
        <w:t>。</w:t>
      </w:r>
    </w:p>
    <w:p w14:paraId="7B4D2017" w14:textId="77777777" w:rsidR="00F5289E" w:rsidRDefault="00C91173">
      <w:pPr>
        <w:widowControl/>
        <w:adjustRightInd w:val="0"/>
        <w:snapToGrid w:val="0"/>
        <w:spacing w:line="360" w:lineRule="auto"/>
        <w:jc w:val="left"/>
        <w:rPr>
          <w:szCs w:val="21"/>
        </w:rPr>
      </w:pPr>
      <w:r>
        <w:rPr>
          <w:b/>
          <w:bCs/>
          <w:szCs w:val="21"/>
        </w:rPr>
        <w:t>主要教学内容及要求：</w:t>
      </w:r>
    </w:p>
    <w:p w14:paraId="58D51614" w14:textId="77777777" w:rsidR="00F5289E" w:rsidRDefault="00C91173" w:rsidP="00A115EF">
      <w:pPr>
        <w:widowControl/>
        <w:numPr>
          <w:ilvl w:val="0"/>
          <w:numId w:val="9"/>
        </w:numPr>
        <w:tabs>
          <w:tab w:val="left" w:pos="0"/>
        </w:tabs>
        <w:adjustRightInd w:val="0"/>
        <w:snapToGrid w:val="0"/>
        <w:spacing w:line="360" w:lineRule="auto"/>
        <w:rPr>
          <w:b/>
          <w:kern w:val="0"/>
          <w:szCs w:val="21"/>
        </w:rPr>
      </w:pPr>
      <w:r>
        <w:rPr>
          <w:kern w:val="0"/>
          <w:szCs w:val="21"/>
        </w:rPr>
        <w:t>RNA</w:t>
      </w:r>
      <w:r>
        <w:rPr>
          <w:kern w:val="0"/>
          <w:szCs w:val="21"/>
        </w:rPr>
        <w:t>转录的基本特征（转录的模板：有义链和反义链，不对称转录，转录的极性）。</w:t>
      </w:r>
    </w:p>
    <w:p w14:paraId="01BCE3B2"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转录起始（原核生物的启动子的结构，及其突变效应，真核生物的启动子的基本结构）。</w:t>
      </w:r>
    </w:p>
    <w:p w14:paraId="4677E2C1"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RNA</w:t>
      </w:r>
      <w:r>
        <w:rPr>
          <w:kern w:val="0"/>
          <w:szCs w:val="21"/>
        </w:rPr>
        <w:t>聚合酶（原核</w:t>
      </w:r>
      <w:r>
        <w:rPr>
          <w:kern w:val="0"/>
          <w:szCs w:val="21"/>
        </w:rPr>
        <w:t>RNA</w:t>
      </w:r>
      <w:r>
        <w:rPr>
          <w:kern w:val="0"/>
          <w:szCs w:val="21"/>
        </w:rPr>
        <w:t>聚合酶的组成及作用，真核生物</w:t>
      </w:r>
      <w:r>
        <w:rPr>
          <w:kern w:val="0"/>
          <w:szCs w:val="21"/>
        </w:rPr>
        <w:t>RNA</w:t>
      </w:r>
      <w:r>
        <w:rPr>
          <w:kern w:val="0"/>
          <w:szCs w:val="21"/>
        </w:rPr>
        <w:t>聚合酶的种类和转录起始）。</w:t>
      </w:r>
    </w:p>
    <w:p w14:paraId="0042DDB6"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转录因子及顺式作用元件（转录因子的种类，增强子，沉默子和绝缘子的结构和功能，反式作用因子常见的集中模体）。</w:t>
      </w:r>
    </w:p>
    <w:p w14:paraId="20404033"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转录延伸（原核生物的转录延伸的特点、转录延伸，真核生物的转录延伸）。</w:t>
      </w:r>
    </w:p>
    <w:p w14:paraId="5BEB9707"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转录终止（不依赖于</w:t>
      </w:r>
      <w:r>
        <w:rPr>
          <w:kern w:val="0"/>
          <w:szCs w:val="21"/>
        </w:rPr>
        <w:t>ρ</w:t>
      </w:r>
      <w:r>
        <w:rPr>
          <w:kern w:val="0"/>
          <w:szCs w:val="21"/>
        </w:rPr>
        <w:t>因子的终止子的结构与功能，依赖</w:t>
      </w:r>
      <w:r>
        <w:rPr>
          <w:kern w:val="0"/>
          <w:szCs w:val="21"/>
        </w:rPr>
        <w:t>ρ</w:t>
      </w:r>
      <w:r>
        <w:rPr>
          <w:kern w:val="0"/>
          <w:szCs w:val="21"/>
        </w:rPr>
        <w:t>因子的终止子的结构与功能，抗终止作用）。</w:t>
      </w:r>
    </w:p>
    <w:p w14:paraId="780DE019" w14:textId="77777777" w:rsidR="00F5289E" w:rsidRDefault="00C91173" w:rsidP="00A115EF">
      <w:pPr>
        <w:widowControl/>
        <w:numPr>
          <w:ilvl w:val="0"/>
          <w:numId w:val="9"/>
        </w:numPr>
        <w:tabs>
          <w:tab w:val="left" w:pos="0"/>
        </w:tabs>
        <w:adjustRightInd w:val="0"/>
        <w:snapToGrid w:val="0"/>
        <w:spacing w:line="360" w:lineRule="auto"/>
        <w:rPr>
          <w:kern w:val="0"/>
          <w:szCs w:val="21"/>
        </w:rPr>
      </w:pPr>
      <w:r>
        <w:rPr>
          <w:kern w:val="0"/>
          <w:szCs w:val="21"/>
        </w:rPr>
        <w:t>RNA</w:t>
      </w:r>
      <w:r>
        <w:rPr>
          <w:kern w:val="0"/>
          <w:szCs w:val="21"/>
        </w:rPr>
        <w:t>的加工（</w:t>
      </w:r>
      <w:r>
        <w:rPr>
          <w:kern w:val="0"/>
          <w:szCs w:val="21"/>
        </w:rPr>
        <w:t>RNA</w:t>
      </w:r>
      <w:r>
        <w:rPr>
          <w:kern w:val="0"/>
          <w:szCs w:val="21"/>
        </w:rPr>
        <w:t>加工的概念及加工的目的，真核生物</w:t>
      </w:r>
      <w:r>
        <w:rPr>
          <w:kern w:val="0"/>
          <w:szCs w:val="21"/>
        </w:rPr>
        <w:t>RNA</w:t>
      </w:r>
      <w:r>
        <w:rPr>
          <w:kern w:val="0"/>
          <w:szCs w:val="21"/>
        </w:rPr>
        <w:t>加工的过程）。</w:t>
      </w:r>
    </w:p>
    <w:p w14:paraId="475B2940" w14:textId="77777777" w:rsidR="00F5289E" w:rsidRDefault="00C91173">
      <w:pPr>
        <w:widowControl/>
        <w:adjustRightInd w:val="0"/>
        <w:snapToGrid w:val="0"/>
        <w:spacing w:line="360" w:lineRule="auto"/>
        <w:rPr>
          <w:b/>
          <w:kern w:val="0"/>
          <w:szCs w:val="21"/>
        </w:rPr>
      </w:pPr>
      <w:r>
        <w:rPr>
          <w:b/>
          <w:kern w:val="0"/>
          <w:szCs w:val="21"/>
        </w:rPr>
        <w:t>要求：</w:t>
      </w:r>
    </w:p>
    <w:p w14:paraId="0F4A53FF" w14:textId="77777777" w:rsidR="00F5289E" w:rsidRDefault="00C91173">
      <w:pPr>
        <w:widowControl/>
        <w:adjustRightInd w:val="0"/>
        <w:snapToGrid w:val="0"/>
        <w:spacing w:line="360" w:lineRule="auto"/>
        <w:ind w:firstLine="420"/>
        <w:rPr>
          <w:kern w:val="0"/>
          <w:szCs w:val="21"/>
        </w:rPr>
      </w:pPr>
      <w:r>
        <w:rPr>
          <w:kern w:val="0"/>
          <w:szCs w:val="21"/>
        </w:rPr>
        <w:t>了解：真核生物转录的过程，转录因子的种类和功能，不同前体</w:t>
      </w:r>
      <w:r>
        <w:rPr>
          <w:kern w:val="0"/>
          <w:szCs w:val="21"/>
        </w:rPr>
        <w:t>RNA</w:t>
      </w:r>
      <w:r>
        <w:rPr>
          <w:kern w:val="0"/>
          <w:szCs w:val="21"/>
        </w:rPr>
        <w:t>的具体剪接机制。</w:t>
      </w:r>
    </w:p>
    <w:p w14:paraId="318505A6" w14:textId="77777777" w:rsidR="00F5289E" w:rsidRDefault="00C91173">
      <w:pPr>
        <w:widowControl/>
        <w:adjustRightInd w:val="0"/>
        <w:snapToGrid w:val="0"/>
        <w:spacing w:line="360" w:lineRule="auto"/>
        <w:ind w:firstLine="420"/>
        <w:rPr>
          <w:kern w:val="0"/>
          <w:szCs w:val="21"/>
        </w:rPr>
      </w:pPr>
      <w:r>
        <w:rPr>
          <w:kern w:val="0"/>
          <w:szCs w:val="21"/>
        </w:rPr>
        <w:t>理解：真核生物转录起始，反式作用因子与</w:t>
      </w:r>
      <w:r>
        <w:rPr>
          <w:kern w:val="0"/>
          <w:szCs w:val="21"/>
        </w:rPr>
        <w:t>DNA</w:t>
      </w:r>
      <w:r>
        <w:rPr>
          <w:kern w:val="0"/>
          <w:szCs w:val="21"/>
        </w:rPr>
        <w:t>结合的常见的几种不同的模体，增强子和沉默子的结构和作用。</w:t>
      </w:r>
    </w:p>
    <w:p w14:paraId="57368AFE" w14:textId="77777777" w:rsidR="00F5289E" w:rsidRDefault="00C91173">
      <w:pPr>
        <w:widowControl/>
        <w:adjustRightInd w:val="0"/>
        <w:snapToGrid w:val="0"/>
        <w:spacing w:line="360" w:lineRule="auto"/>
        <w:ind w:firstLine="420"/>
        <w:rPr>
          <w:szCs w:val="21"/>
        </w:rPr>
      </w:pPr>
      <w:r>
        <w:rPr>
          <w:szCs w:val="21"/>
        </w:rPr>
        <w:t>掌握：转录反应体系的组成，转录的不对称性，原核和真核生物</w:t>
      </w:r>
      <w:r>
        <w:rPr>
          <w:szCs w:val="21"/>
        </w:rPr>
        <w:t>RNA</w:t>
      </w:r>
      <w:r>
        <w:rPr>
          <w:szCs w:val="21"/>
        </w:rPr>
        <w:t>聚合酶的种类和作用，及启动子的结构，转录的终止和终止子。</w:t>
      </w:r>
    </w:p>
    <w:p w14:paraId="627F1C5F" w14:textId="77777777" w:rsidR="00F5289E" w:rsidRDefault="00C91173">
      <w:pPr>
        <w:widowControl/>
        <w:adjustRightInd w:val="0"/>
        <w:snapToGrid w:val="0"/>
        <w:spacing w:line="360" w:lineRule="auto"/>
        <w:ind w:firstLine="420"/>
        <w:rPr>
          <w:szCs w:val="21"/>
        </w:rPr>
      </w:pPr>
      <w:r>
        <w:rPr>
          <w:kern w:val="0"/>
          <w:szCs w:val="21"/>
        </w:rPr>
        <w:t>熟练掌握：</w:t>
      </w:r>
      <w:r>
        <w:rPr>
          <w:szCs w:val="21"/>
        </w:rPr>
        <w:t>原核生物转录的过程：起始</w:t>
      </w:r>
      <w:r>
        <w:rPr>
          <w:szCs w:val="21"/>
        </w:rPr>
        <w:t>-</w:t>
      </w:r>
      <w:r>
        <w:rPr>
          <w:szCs w:val="21"/>
        </w:rPr>
        <w:t>延伸</w:t>
      </w:r>
      <w:r>
        <w:rPr>
          <w:szCs w:val="21"/>
        </w:rPr>
        <w:t>-</w:t>
      </w:r>
      <w:r>
        <w:rPr>
          <w:szCs w:val="21"/>
        </w:rPr>
        <w:t>终止，原核生物转录终止机制，真核生物</w:t>
      </w:r>
      <w:r>
        <w:rPr>
          <w:szCs w:val="21"/>
        </w:rPr>
        <w:t>mRNA</w:t>
      </w:r>
      <w:r>
        <w:rPr>
          <w:szCs w:val="21"/>
        </w:rPr>
        <w:t>转录后的加工机制。</w:t>
      </w:r>
    </w:p>
    <w:p w14:paraId="41704A25" w14:textId="77777777" w:rsidR="00F5289E" w:rsidRDefault="00C91173">
      <w:pPr>
        <w:widowControl/>
        <w:adjustRightInd w:val="0"/>
        <w:snapToGrid w:val="0"/>
        <w:spacing w:line="360" w:lineRule="auto"/>
        <w:rPr>
          <w:rFonts w:ascii="宋体" w:hAnsi="宋体"/>
          <w:b/>
          <w:bCs/>
        </w:rPr>
      </w:pPr>
      <w:r>
        <w:rPr>
          <w:rFonts w:ascii="宋体" w:hAnsi="宋体" w:hint="eastAsia"/>
          <w:b/>
          <w:bCs/>
        </w:rPr>
        <w:t>教学组织与实施：</w:t>
      </w:r>
    </w:p>
    <w:p w14:paraId="0BD93AEC" w14:textId="77777777" w:rsidR="00F5289E" w:rsidRDefault="00C91173">
      <w:pPr>
        <w:widowControl/>
        <w:adjustRightInd w:val="0"/>
        <w:snapToGrid w:val="0"/>
        <w:spacing w:line="360" w:lineRule="auto"/>
        <w:ind w:firstLineChars="245" w:firstLine="514"/>
        <w:rPr>
          <w:kern w:val="0"/>
          <w:szCs w:val="21"/>
        </w:rPr>
      </w:pPr>
      <w:r>
        <w:rPr>
          <w:rFonts w:ascii="宋体" w:hAnsi="宋体"/>
          <w:bCs/>
        </w:rPr>
        <w:lastRenderedPageBreak/>
        <w:t>本章节</w:t>
      </w:r>
      <w:r>
        <w:rPr>
          <w:rFonts w:ascii="宋体" w:hAnsi="宋体" w:hint="eastAsia"/>
          <w:bCs/>
        </w:rPr>
        <w:t>主要涉及</w:t>
      </w:r>
      <w:r>
        <w:rPr>
          <w:rFonts w:ascii="宋体" w:hAnsi="宋体"/>
          <w:bCs/>
        </w:rPr>
        <w:t>RNA</w:t>
      </w:r>
      <w:r>
        <w:rPr>
          <w:rFonts w:ascii="宋体" w:hAnsi="宋体" w:hint="eastAsia"/>
          <w:bCs/>
        </w:rPr>
        <w:t>的</w:t>
      </w:r>
      <w:r>
        <w:rPr>
          <w:rFonts w:ascii="宋体" w:hAnsi="宋体"/>
          <w:bCs/>
        </w:rPr>
        <w:t>转录过程</w:t>
      </w:r>
      <w:r>
        <w:rPr>
          <w:rFonts w:ascii="宋体" w:hAnsi="宋体" w:hint="eastAsia"/>
          <w:bCs/>
        </w:rPr>
        <w:t>。要求学生提前预习</w:t>
      </w:r>
      <w:r>
        <w:rPr>
          <w:rFonts w:ascii="宋体" w:hAnsi="宋体"/>
          <w:bCs/>
        </w:rPr>
        <w:t>课本本章节内容，充分利用互联网查阅相关知识，做好课前准备工作。课程教授</w:t>
      </w:r>
      <w:r>
        <w:rPr>
          <w:rFonts w:ascii="宋体" w:hAnsi="宋体" w:hint="eastAsia"/>
          <w:bCs/>
        </w:rPr>
        <w:t>方式</w:t>
      </w:r>
      <w:r>
        <w:rPr>
          <w:rFonts w:ascii="宋体" w:hAnsi="宋体"/>
          <w:bCs/>
        </w:rPr>
        <w:t>为</w:t>
      </w:r>
      <w:r>
        <w:rPr>
          <w:rFonts w:ascii="宋体" w:hAnsi="宋体" w:hint="eastAsia"/>
          <w:bCs/>
        </w:rPr>
        <w:t>教学</w:t>
      </w:r>
      <w:r>
        <w:rPr>
          <w:rFonts w:ascii="宋体" w:hAnsi="宋体"/>
          <w:bCs/>
        </w:rPr>
        <w:t>PPT结合微视频</w:t>
      </w:r>
      <w:r>
        <w:rPr>
          <w:rFonts w:ascii="宋体" w:hAnsi="宋体" w:hint="eastAsia"/>
          <w:bCs/>
        </w:rPr>
        <w:t>深入浅出</w:t>
      </w:r>
      <w:r>
        <w:rPr>
          <w:rFonts w:ascii="宋体" w:hAnsi="宋体"/>
          <w:bCs/>
        </w:rPr>
        <w:t>、生动形象的讲解疑点难点</w:t>
      </w:r>
      <w:r>
        <w:rPr>
          <w:rFonts w:ascii="宋体" w:hAnsi="宋体" w:hint="eastAsia"/>
          <w:bCs/>
        </w:rPr>
        <w:t>，</w:t>
      </w:r>
      <w:r>
        <w:rPr>
          <w:rFonts w:ascii="宋体" w:hAnsi="宋体"/>
          <w:bCs/>
        </w:rPr>
        <w:t>在教学过程中与学生进行充分的互动，活跃课堂气氛，加深对课堂知识的理解与认识。</w:t>
      </w:r>
    </w:p>
    <w:p w14:paraId="27B61C2B" w14:textId="77777777" w:rsidR="00F5289E" w:rsidRDefault="00F5289E">
      <w:pPr>
        <w:widowControl/>
        <w:adjustRightInd w:val="0"/>
        <w:snapToGrid w:val="0"/>
        <w:spacing w:line="360" w:lineRule="auto"/>
        <w:ind w:firstLine="420"/>
        <w:rPr>
          <w:szCs w:val="21"/>
        </w:rPr>
      </w:pPr>
    </w:p>
    <w:p w14:paraId="10636C73" w14:textId="77777777" w:rsidR="00F5289E" w:rsidRDefault="00C91173">
      <w:pPr>
        <w:widowControl/>
        <w:adjustRightInd w:val="0"/>
        <w:snapToGrid w:val="0"/>
        <w:spacing w:beforeLines="50" w:before="156" w:line="360" w:lineRule="auto"/>
        <w:jc w:val="right"/>
        <w:rPr>
          <w:kern w:val="0"/>
          <w:szCs w:val="21"/>
        </w:rPr>
      </w:pPr>
      <w:r>
        <w:rPr>
          <w:b/>
          <w:bCs/>
          <w:kern w:val="0"/>
          <w:szCs w:val="21"/>
        </w:rPr>
        <w:t>第四章</w:t>
      </w:r>
      <w:r>
        <w:rPr>
          <w:b/>
          <w:bCs/>
          <w:kern w:val="0"/>
          <w:szCs w:val="21"/>
        </w:rPr>
        <w:t xml:space="preserve">  </w:t>
      </w:r>
      <w:r>
        <w:rPr>
          <w:b/>
          <w:bCs/>
          <w:kern w:val="0"/>
          <w:szCs w:val="21"/>
        </w:rPr>
        <w:t>蛋白质的翻译</w:t>
      </w:r>
      <w:r>
        <w:rPr>
          <w:b/>
          <w:bCs/>
          <w:kern w:val="0"/>
          <w:szCs w:val="21"/>
        </w:rPr>
        <w:t xml:space="preserve">                        </w:t>
      </w:r>
      <w:r>
        <w:rPr>
          <w:b/>
          <w:bCs/>
          <w:kern w:val="0"/>
          <w:szCs w:val="21"/>
        </w:rPr>
        <w:t>学时数：</w:t>
      </w:r>
      <w:r>
        <w:rPr>
          <w:b/>
          <w:bCs/>
          <w:kern w:val="0"/>
          <w:szCs w:val="21"/>
        </w:rPr>
        <w:t>6</w:t>
      </w:r>
    </w:p>
    <w:p w14:paraId="51442E8D" w14:textId="77777777" w:rsidR="00F5289E" w:rsidRDefault="00C91173">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bCs/>
          <w:szCs w:val="21"/>
        </w:rPr>
        <w:t>掌握蛋白质合成的反应体系：</w:t>
      </w:r>
      <w:r>
        <w:rPr>
          <w:bCs/>
          <w:szCs w:val="21"/>
        </w:rPr>
        <w:t>mRNA</w:t>
      </w:r>
      <w:r>
        <w:rPr>
          <w:bCs/>
          <w:szCs w:val="21"/>
        </w:rPr>
        <w:t>、</w:t>
      </w:r>
      <w:r>
        <w:rPr>
          <w:bCs/>
          <w:szCs w:val="21"/>
        </w:rPr>
        <w:t>tRNA</w:t>
      </w:r>
      <w:r>
        <w:rPr>
          <w:bCs/>
          <w:szCs w:val="21"/>
        </w:rPr>
        <w:t>、核糖体、酶和各种因子；原核生物蛋白质合成的生物学机制：氨基酸的活化、翻译的起始、肽链的延伸、肽链的终止。</w:t>
      </w:r>
    </w:p>
    <w:p w14:paraId="3FBAA898" w14:textId="77777777" w:rsidR="00F5289E" w:rsidRDefault="00C91173">
      <w:pPr>
        <w:widowControl/>
        <w:adjustRightInd w:val="0"/>
        <w:snapToGrid w:val="0"/>
        <w:spacing w:line="360" w:lineRule="auto"/>
        <w:rPr>
          <w:kern w:val="0"/>
          <w:szCs w:val="21"/>
        </w:rPr>
      </w:pPr>
      <w:r>
        <w:rPr>
          <w:b/>
          <w:bCs/>
          <w:szCs w:val="21"/>
        </w:rPr>
        <w:t>教学重点和难点：</w:t>
      </w:r>
      <w:r>
        <w:rPr>
          <w:bCs/>
          <w:szCs w:val="21"/>
        </w:rPr>
        <w:t>原核生物蛋白质合成的生物学机制，蛋白质合成的反应体系，核糖体的组成、结构和功能。</w:t>
      </w:r>
    </w:p>
    <w:p w14:paraId="76E2B318" w14:textId="77777777" w:rsidR="00F5289E" w:rsidRDefault="00C91173">
      <w:pPr>
        <w:widowControl/>
        <w:adjustRightInd w:val="0"/>
        <w:snapToGrid w:val="0"/>
        <w:spacing w:line="360" w:lineRule="auto"/>
        <w:rPr>
          <w:kern w:val="0"/>
          <w:szCs w:val="21"/>
        </w:rPr>
      </w:pPr>
      <w:r>
        <w:rPr>
          <w:b/>
          <w:bCs/>
          <w:szCs w:val="21"/>
        </w:rPr>
        <w:t>主要教学内容及要求：</w:t>
      </w:r>
      <w:r>
        <w:rPr>
          <w:kern w:val="0"/>
          <w:szCs w:val="21"/>
        </w:rPr>
        <w:t>掌握原核生物蛋白质合成的生物学机制。</w:t>
      </w:r>
    </w:p>
    <w:p w14:paraId="71FDA4CA" w14:textId="77777777" w:rsidR="00F5289E" w:rsidRDefault="00C91173" w:rsidP="00A115EF">
      <w:pPr>
        <w:widowControl/>
        <w:numPr>
          <w:ilvl w:val="0"/>
          <w:numId w:val="10"/>
        </w:numPr>
        <w:adjustRightInd w:val="0"/>
        <w:snapToGrid w:val="0"/>
        <w:spacing w:line="360" w:lineRule="auto"/>
        <w:rPr>
          <w:kern w:val="0"/>
          <w:szCs w:val="21"/>
        </w:rPr>
      </w:pPr>
      <w:r>
        <w:rPr>
          <w:kern w:val="0"/>
          <w:szCs w:val="21"/>
        </w:rPr>
        <w:t>蛋白质合成的装备（</w:t>
      </w:r>
      <w:r>
        <w:rPr>
          <w:kern w:val="0"/>
          <w:szCs w:val="21"/>
        </w:rPr>
        <w:t>mRNA</w:t>
      </w:r>
      <w:r>
        <w:rPr>
          <w:kern w:val="0"/>
          <w:szCs w:val="21"/>
        </w:rPr>
        <w:t>的结构与功能、</w:t>
      </w:r>
      <w:r>
        <w:rPr>
          <w:kern w:val="0"/>
          <w:szCs w:val="21"/>
        </w:rPr>
        <w:t>tRNA</w:t>
      </w:r>
      <w:r>
        <w:rPr>
          <w:kern w:val="0"/>
          <w:szCs w:val="21"/>
        </w:rPr>
        <w:t>的结构与功能、</w:t>
      </w:r>
      <w:r>
        <w:rPr>
          <w:kern w:val="0"/>
          <w:szCs w:val="21"/>
        </w:rPr>
        <w:t>rRNA</w:t>
      </w:r>
      <w:r>
        <w:rPr>
          <w:kern w:val="0"/>
          <w:szCs w:val="21"/>
        </w:rPr>
        <w:t>与核糖体的结构与功能）。</w:t>
      </w:r>
    </w:p>
    <w:p w14:paraId="2AA7CA00" w14:textId="77777777" w:rsidR="00F5289E" w:rsidRDefault="00C91173" w:rsidP="00A115EF">
      <w:pPr>
        <w:widowControl/>
        <w:numPr>
          <w:ilvl w:val="0"/>
          <w:numId w:val="10"/>
        </w:numPr>
        <w:adjustRightInd w:val="0"/>
        <w:snapToGrid w:val="0"/>
        <w:spacing w:line="360" w:lineRule="auto"/>
        <w:rPr>
          <w:kern w:val="0"/>
          <w:szCs w:val="21"/>
        </w:rPr>
      </w:pPr>
      <w:r>
        <w:rPr>
          <w:kern w:val="0"/>
          <w:szCs w:val="21"/>
        </w:rPr>
        <w:t>遗传密码及其简并（三联体密码的特征，遗传密码简并的特点，摇摆假说，同工受体</w:t>
      </w:r>
      <w:r>
        <w:rPr>
          <w:kern w:val="0"/>
          <w:szCs w:val="21"/>
        </w:rPr>
        <w:t>tRNA</w:t>
      </w:r>
      <w:r>
        <w:rPr>
          <w:kern w:val="0"/>
          <w:szCs w:val="21"/>
        </w:rPr>
        <w:t>，密码子的利用率）。</w:t>
      </w:r>
    </w:p>
    <w:p w14:paraId="01FD3C25" w14:textId="77777777" w:rsidR="00F5289E" w:rsidRDefault="00C91173" w:rsidP="00A115EF">
      <w:pPr>
        <w:widowControl/>
        <w:numPr>
          <w:ilvl w:val="0"/>
          <w:numId w:val="10"/>
        </w:numPr>
        <w:adjustRightInd w:val="0"/>
        <w:snapToGrid w:val="0"/>
        <w:spacing w:line="360" w:lineRule="auto"/>
        <w:rPr>
          <w:kern w:val="0"/>
          <w:szCs w:val="21"/>
        </w:rPr>
      </w:pPr>
      <w:r>
        <w:rPr>
          <w:kern w:val="0"/>
          <w:szCs w:val="21"/>
        </w:rPr>
        <w:t>蛋白质的翻译（基本概念：多顺反子、开放阅读框、反密码子、氨酰</w:t>
      </w:r>
      <w:r>
        <w:rPr>
          <w:kern w:val="0"/>
          <w:szCs w:val="21"/>
        </w:rPr>
        <w:t>tRNA</w:t>
      </w:r>
      <w:r>
        <w:rPr>
          <w:kern w:val="0"/>
          <w:szCs w:val="21"/>
        </w:rPr>
        <w:t>合成酶、核糖体结合位点，原核生物多肽链的合成：氨基酸活化及氨酰</w:t>
      </w:r>
      <w:r>
        <w:rPr>
          <w:kern w:val="0"/>
          <w:szCs w:val="21"/>
        </w:rPr>
        <w:t>-tRNA</w:t>
      </w:r>
      <w:r>
        <w:rPr>
          <w:kern w:val="0"/>
          <w:szCs w:val="21"/>
        </w:rPr>
        <w:t>的表示方法，翻译的起始过程：起始因子的种类及作用，</w:t>
      </w:r>
      <w:r>
        <w:rPr>
          <w:kern w:val="0"/>
          <w:szCs w:val="21"/>
        </w:rPr>
        <w:t>SD</w:t>
      </w:r>
      <w:r>
        <w:rPr>
          <w:kern w:val="0"/>
          <w:szCs w:val="21"/>
        </w:rPr>
        <w:t>序列的结构、多肽链的延伸，及延伸因子的种类和作用、翻译的终止，及释放因子的作用、保证蛋白质翻译准确起始的机制）。</w:t>
      </w:r>
    </w:p>
    <w:p w14:paraId="6AF8F842" w14:textId="77777777" w:rsidR="00F5289E" w:rsidRDefault="00C91173">
      <w:pPr>
        <w:widowControl/>
        <w:adjustRightInd w:val="0"/>
        <w:snapToGrid w:val="0"/>
        <w:spacing w:line="360" w:lineRule="auto"/>
        <w:rPr>
          <w:b/>
          <w:kern w:val="0"/>
          <w:szCs w:val="21"/>
        </w:rPr>
      </w:pPr>
      <w:r>
        <w:rPr>
          <w:b/>
          <w:kern w:val="0"/>
          <w:szCs w:val="21"/>
        </w:rPr>
        <w:t>要求：</w:t>
      </w:r>
    </w:p>
    <w:p w14:paraId="6C58EB3F" w14:textId="77777777" w:rsidR="00F5289E" w:rsidRDefault="00C91173">
      <w:pPr>
        <w:widowControl/>
        <w:adjustRightInd w:val="0"/>
        <w:snapToGrid w:val="0"/>
        <w:spacing w:line="360" w:lineRule="auto"/>
        <w:ind w:firstLine="420"/>
        <w:rPr>
          <w:kern w:val="0"/>
          <w:szCs w:val="21"/>
        </w:rPr>
      </w:pPr>
      <w:r>
        <w:rPr>
          <w:szCs w:val="21"/>
        </w:rPr>
        <w:t>了解：</w:t>
      </w:r>
      <w:r>
        <w:rPr>
          <w:bCs/>
          <w:szCs w:val="21"/>
        </w:rPr>
        <w:t>保证蛋白质翻译准确起始的机制：</w:t>
      </w:r>
      <w:r>
        <w:rPr>
          <w:bCs/>
          <w:szCs w:val="21"/>
        </w:rPr>
        <w:t>tRNA</w:t>
      </w:r>
      <w:r>
        <w:rPr>
          <w:bCs/>
          <w:szCs w:val="21"/>
        </w:rPr>
        <w:t>的准确负载、反密码子对密码子的准确识读，蛋白质前体的加工和运输过程、蛋白质合成抑制剂。</w:t>
      </w:r>
    </w:p>
    <w:p w14:paraId="2A45B69D" w14:textId="77777777" w:rsidR="00F5289E" w:rsidRDefault="00C91173">
      <w:pPr>
        <w:widowControl/>
        <w:adjustRightInd w:val="0"/>
        <w:snapToGrid w:val="0"/>
        <w:spacing w:line="360" w:lineRule="auto"/>
        <w:ind w:firstLine="420"/>
        <w:rPr>
          <w:kern w:val="0"/>
          <w:szCs w:val="21"/>
        </w:rPr>
      </w:pPr>
      <w:r>
        <w:rPr>
          <w:kern w:val="0"/>
          <w:szCs w:val="21"/>
        </w:rPr>
        <w:t>理解：</w:t>
      </w:r>
      <w:r>
        <w:rPr>
          <w:kern w:val="0"/>
          <w:szCs w:val="21"/>
        </w:rPr>
        <w:t>mRNA</w:t>
      </w:r>
      <w:r>
        <w:rPr>
          <w:kern w:val="0"/>
          <w:szCs w:val="21"/>
        </w:rPr>
        <w:t>、</w:t>
      </w:r>
      <w:r>
        <w:rPr>
          <w:kern w:val="0"/>
          <w:szCs w:val="21"/>
        </w:rPr>
        <w:t>tRNA</w:t>
      </w:r>
      <w:r>
        <w:rPr>
          <w:kern w:val="0"/>
          <w:szCs w:val="21"/>
        </w:rPr>
        <w:t>的结构与功能，密码子的特点，原核生物翻译中各种因子的作用。</w:t>
      </w:r>
    </w:p>
    <w:p w14:paraId="4F7B8013" w14:textId="77777777" w:rsidR="00F5289E" w:rsidRDefault="00C91173">
      <w:pPr>
        <w:widowControl/>
        <w:adjustRightInd w:val="0"/>
        <w:snapToGrid w:val="0"/>
        <w:spacing w:line="360" w:lineRule="auto"/>
        <w:ind w:firstLine="420"/>
        <w:rPr>
          <w:kern w:val="0"/>
          <w:szCs w:val="21"/>
        </w:rPr>
      </w:pPr>
      <w:r>
        <w:rPr>
          <w:kern w:val="0"/>
          <w:szCs w:val="21"/>
        </w:rPr>
        <w:t>掌握：蛋白质合成的反应体系：</w:t>
      </w:r>
      <w:r>
        <w:rPr>
          <w:kern w:val="0"/>
          <w:szCs w:val="21"/>
        </w:rPr>
        <w:t>mRNA</w:t>
      </w:r>
      <w:r>
        <w:rPr>
          <w:kern w:val="0"/>
          <w:szCs w:val="21"/>
        </w:rPr>
        <w:t>、</w:t>
      </w:r>
      <w:r>
        <w:rPr>
          <w:kern w:val="0"/>
          <w:szCs w:val="21"/>
        </w:rPr>
        <w:t>tRNA</w:t>
      </w:r>
      <w:r>
        <w:rPr>
          <w:kern w:val="0"/>
          <w:szCs w:val="21"/>
        </w:rPr>
        <w:t>、核糖体、酶和各种因子，核糖体的组成，结构和功能，原核生物蛋白质合成的生物学机制：氨基酸的活化、翻译的起始、肽链的延伸、肽链的终止。</w:t>
      </w:r>
    </w:p>
    <w:p w14:paraId="4FED26FA" w14:textId="77777777" w:rsidR="00F5289E" w:rsidRDefault="00C91173">
      <w:pPr>
        <w:widowControl/>
        <w:adjustRightInd w:val="0"/>
        <w:snapToGrid w:val="0"/>
        <w:spacing w:line="360" w:lineRule="auto"/>
        <w:ind w:firstLine="420"/>
        <w:rPr>
          <w:kern w:val="0"/>
          <w:szCs w:val="21"/>
        </w:rPr>
      </w:pPr>
      <w:r>
        <w:rPr>
          <w:kern w:val="0"/>
          <w:szCs w:val="21"/>
        </w:rPr>
        <w:t>熟练掌握：原核生物蛋白质合成的生物学机制。</w:t>
      </w:r>
    </w:p>
    <w:p w14:paraId="57FD2900" w14:textId="77777777" w:rsidR="00F5289E" w:rsidRDefault="00C91173">
      <w:pPr>
        <w:widowControl/>
        <w:adjustRightInd w:val="0"/>
        <w:snapToGrid w:val="0"/>
        <w:spacing w:line="360" w:lineRule="auto"/>
        <w:rPr>
          <w:rFonts w:ascii="宋体" w:hAnsi="宋体"/>
          <w:b/>
          <w:bCs/>
        </w:rPr>
      </w:pPr>
      <w:r>
        <w:rPr>
          <w:rFonts w:ascii="宋体" w:hAnsi="宋体" w:hint="eastAsia"/>
          <w:b/>
          <w:bCs/>
        </w:rPr>
        <w:t>教学组织与实施：</w:t>
      </w:r>
    </w:p>
    <w:p w14:paraId="261AB939" w14:textId="77777777" w:rsidR="00F5289E" w:rsidRDefault="00C91173">
      <w:pPr>
        <w:widowControl/>
        <w:adjustRightInd w:val="0"/>
        <w:snapToGrid w:val="0"/>
        <w:spacing w:line="360" w:lineRule="auto"/>
        <w:ind w:firstLineChars="245" w:firstLine="514"/>
        <w:rPr>
          <w:rFonts w:hAnsi="Arial"/>
          <w:kern w:val="0"/>
          <w:szCs w:val="21"/>
        </w:rPr>
      </w:pPr>
      <w:r>
        <w:rPr>
          <w:rFonts w:ascii="宋体" w:hAnsi="宋体"/>
          <w:bCs/>
        </w:rPr>
        <w:t>本章节</w:t>
      </w:r>
      <w:r>
        <w:rPr>
          <w:rFonts w:ascii="宋体" w:hAnsi="宋体" w:hint="eastAsia"/>
          <w:bCs/>
        </w:rPr>
        <w:t>主要涉及蛋白质翻译</w:t>
      </w:r>
      <w:r>
        <w:rPr>
          <w:rFonts w:ascii="宋体" w:hAnsi="宋体"/>
          <w:bCs/>
        </w:rPr>
        <w:t>过程</w:t>
      </w:r>
      <w:r>
        <w:rPr>
          <w:rFonts w:ascii="宋体" w:hAnsi="宋体" w:hint="eastAsia"/>
          <w:bCs/>
        </w:rPr>
        <w:t>。要求学生提前预习</w:t>
      </w:r>
      <w:r>
        <w:rPr>
          <w:rFonts w:ascii="宋体" w:hAnsi="宋体"/>
          <w:bCs/>
        </w:rPr>
        <w:t>课本本章节内容，充分利用互联网查阅相关知识，做好课前准备工作。课程教授</w:t>
      </w:r>
      <w:r>
        <w:rPr>
          <w:rFonts w:ascii="宋体" w:hAnsi="宋体" w:hint="eastAsia"/>
          <w:bCs/>
        </w:rPr>
        <w:t>方式</w:t>
      </w:r>
      <w:r>
        <w:rPr>
          <w:rFonts w:ascii="宋体" w:hAnsi="宋体"/>
          <w:bCs/>
        </w:rPr>
        <w:t>为</w:t>
      </w:r>
      <w:r>
        <w:rPr>
          <w:rFonts w:ascii="宋体" w:hAnsi="宋体" w:hint="eastAsia"/>
          <w:bCs/>
        </w:rPr>
        <w:t>教学</w:t>
      </w:r>
      <w:r>
        <w:rPr>
          <w:rFonts w:ascii="宋体" w:hAnsi="宋体"/>
          <w:bCs/>
        </w:rPr>
        <w:t>PPT结合微视频</w:t>
      </w:r>
      <w:r>
        <w:rPr>
          <w:rFonts w:ascii="宋体" w:hAnsi="宋体" w:hint="eastAsia"/>
          <w:bCs/>
        </w:rPr>
        <w:t>深入浅出</w:t>
      </w:r>
      <w:r>
        <w:rPr>
          <w:rFonts w:ascii="宋体" w:hAnsi="宋体"/>
          <w:bCs/>
        </w:rPr>
        <w:t>、生动形象的讲解疑点难点</w:t>
      </w:r>
      <w:r>
        <w:rPr>
          <w:rFonts w:ascii="宋体" w:hAnsi="宋体" w:hint="eastAsia"/>
          <w:bCs/>
        </w:rPr>
        <w:t>，</w:t>
      </w:r>
      <w:r>
        <w:rPr>
          <w:rFonts w:ascii="宋体" w:hAnsi="宋体"/>
          <w:bCs/>
        </w:rPr>
        <w:t>在教学过程中与学生进行充分的互动，活跃课堂气氛，加深对课堂知识的理解与认识。</w:t>
      </w:r>
    </w:p>
    <w:p w14:paraId="6A407979" w14:textId="77777777" w:rsidR="00F5289E" w:rsidRDefault="00F5289E">
      <w:pPr>
        <w:widowControl/>
        <w:adjustRightInd w:val="0"/>
        <w:snapToGrid w:val="0"/>
        <w:spacing w:line="360" w:lineRule="auto"/>
        <w:ind w:firstLine="420"/>
        <w:rPr>
          <w:kern w:val="0"/>
          <w:szCs w:val="21"/>
        </w:rPr>
      </w:pPr>
    </w:p>
    <w:p w14:paraId="468118E2" w14:textId="77777777" w:rsidR="00F5289E" w:rsidRDefault="00C91173">
      <w:pPr>
        <w:widowControl/>
        <w:adjustRightInd w:val="0"/>
        <w:snapToGrid w:val="0"/>
        <w:spacing w:beforeLines="50" w:before="156" w:line="360" w:lineRule="auto"/>
        <w:jc w:val="right"/>
        <w:rPr>
          <w:kern w:val="0"/>
          <w:szCs w:val="21"/>
        </w:rPr>
      </w:pPr>
      <w:r>
        <w:rPr>
          <w:rFonts w:hint="eastAsia"/>
          <w:b/>
          <w:bCs/>
          <w:kern w:val="0"/>
          <w:szCs w:val="21"/>
        </w:rPr>
        <w:t>第五章</w:t>
      </w:r>
      <w:r>
        <w:rPr>
          <w:b/>
          <w:bCs/>
          <w:kern w:val="0"/>
          <w:szCs w:val="21"/>
        </w:rPr>
        <w:t xml:space="preserve">  </w:t>
      </w:r>
      <w:r>
        <w:rPr>
          <w:rFonts w:hint="eastAsia"/>
          <w:b/>
          <w:bCs/>
          <w:kern w:val="0"/>
          <w:szCs w:val="21"/>
        </w:rPr>
        <w:t>基因表达调控</w:t>
      </w:r>
      <w:r>
        <w:rPr>
          <w:b/>
          <w:bCs/>
          <w:kern w:val="0"/>
          <w:szCs w:val="21"/>
        </w:rPr>
        <w:t xml:space="preserve">                       </w:t>
      </w:r>
      <w:r>
        <w:rPr>
          <w:rFonts w:hint="eastAsia"/>
          <w:b/>
          <w:bCs/>
          <w:kern w:val="0"/>
          <w:szCs w:val="21"/>
        </w:rPr>
        <w:t>学时数：</w:t>
      </w:r>
      <w:r>
        <w:rPr>
          <w:b/>
          <w:bCs/>
          <w:kern w:val="0"/>
          <w:szCs w:val="21"/>
        </w:rPr>
        <w:t>6</w:t>
      </w:r>
    </w:p>
    <w:p w14:paraId="61A46E97" w14:textId="77777777" w:rsidR="00F5289E" w:rsidRDefault="00C91173">
      <w:pPr>
        <w:widowControl/>
        <w:adjustRightInd w:val="0"/>
        <w:snapToGrid w:val="0"/>
        <w:spacing w:line="360" w:lineRule="auto"/>
        <w:rPr>
          <w:kern w:val="0"/>
          <w:szCs w:val="21"/>
        </w:rPr>
      </w:pPr>
      <w:r>
        <w:rPr>
          <w:rFonts w:hint="eastAsia"/>
          <w:b/>
          <w:bCs/>
          <w:szCs w:val="21"/>
        </w:rPr>
        <w:lastRenderedPageBreak/>
        <w:t>教学目标：</w:t>
      </w:r>
      <w:r>
        <w:rPr>
          <w:rFonts w:hAnsi="宋体" w:hint="eastAsia"/>
          <w:bCs/>
          <w:szCs w:val="21"/>
        </w:rPr>
        <w:t>掌握</w:t>
      </w:r>
      <w:r>
        <w:rPr>
          <w:rFonts w:hAnsi="Arial" w:hint="eastAsia"/>
          <w:kern w:val="0"/>
          <w:szCs w:val="21"/>
        </w:rPr>
        <w:t>原核基因调控机制的类型与特点</w:t>
      </w:r>
      <w:r>
        <w:rPr>
          <w:rFonts w:hint="eastAsia"/>
          <w:kern w:val="0"/>
          <w:szCs w:val="21"/>
        </w:rPr>
        <w:t>（重点举例乳糖操纵子等）</w:t>
      </w:r>
      <w:r>
        <w:rPr>
          <w:rFonts w:hAnsi="Arial" w:hint="eastAsia"/>
          <w:kern w:val="0"/>
          <w:szCs w:val="21"/>
        </w:rPr>
        <w:t>；</w:t>
      </w:r>
      <w:r>
        <w:rPr>
          <w:rFonts w:hint="eastAsia"/>
          <w:kern w:val="0"/>
          <w:szCs w:val="21"/>
        </w:rPr>
        <w:t>真核生物基因表达调控及特殊类型（顺式作用元件和反式作用因子）。</w:t>
      </w:r>
    </w:p>
    <w:p w14:paraId="7C33848C" w14:textId="77777777" w:rsidR="00F5289E" w:rsidRDefault="00C91173">
      <w:pPr>
        <w:adjustRightInd w:val="0"/>
        <w:snapToGrid w:val="0"/>
        <w:spacing w:line="360" w:lineRule="auto"/>
        <w:rPr>
          <w:szCs w:val="21"/>
        </w:rPr>
      </w:pPr>
      <w:r>
        <w:rPr>
          <w:rFonts w:hint="eastAsia"/>
          <w:b/>
          <w:bCs/>
          <w:szCs w:val="21"/>
        </w:rPr>
        <w:t>教学重点和难点：</w:t>
      </w:r>
      <w:r>
        <w:rPr>
          <w:rFonts w:hint="eastAsia"/>
          <w:szCs w:val="21"/>
        </w:rPr>
        <w:t>真核生物转录后水平的调控</w:t>
      </w:r>
      <w:r>
        <w:rPr>
          <w:szCs w:val="21"/>
        </w:rPr>
        <w:t>—</w:t>
      </w:r>
      <w:r>
        <w:rPr>
          <w:rFonts w:hint="eastAsia"/>
          <w:kern w:val="0"/>
          <w:szCs w:val="21"/>
        </w:rPr>
        <w:t>顺式作用元件和反式作用因子</w:t>
      </w:r>
      <w:r>
        <w:rPr>
          <w:rFonts w:hint="eastAsia"/>
          <w:szCs w:val="21"/>
        </w:rPr>
        <w:t>，乳糖操纵子调控模型，真核生物转录后基因表达调控</w:t>
      </w:r>
      <w:r>
        <w:rPr>
          <w:szCs w:val="21"/>
        </w:rPr>
        <w:t>-mRNA</w:t>
      </w:r>
      <w:r>
        <w:rPr>
          <w:rFonts w:hint="eastAsia"/>
          <w:szCs w:val="21"/>
        </w:rPr>
        <w:t>的选择性剪接。</w:t>
      </w:r>
    </w:p>
    <w:p w14:paraId="5F70EC10" w14:textId="77777777" w:rsidR="00F5289E" w:rsidRDefault="00C91173">
      <w:pPr>
        <w:widowControl/>
        <w:adjustRightInd w:val="0"/>
        <w:snapToGrid w:val="0"/>
        <w:spacing w:line="360" w:lineRule="auto"/>
        <w:rPr>
          <w:kern w:val="0"/>
          <w:szCs w:val="21"/>
        </w:rPr>
      </w:pPr>
      <w:r>
        <w:rPr>
          <w:rFonts w:hint="eastAsia"/>
          <w:b/>
          <w:bCs/>
          <w:szCs w:val="21"/>
        </w:rPr>
        <w:t>主要教学内容及要求：</w:t>
      </w:r>
      <w:r>
        <w:rPr>
          <w:rFonts w:hint="eastAsia"/>
          <w:kern w:val="0"/>
          <w:szCs w:val="21"/>
        </w:rPr>
        <w:t>掌握原核基因调控机制的类型与特点，乳糖操纵子调控模型和色氨酸操纵子模型，熟悉真核生物转录后水平的调控及翻译水平的调控。</w:t>
      </w:r>
    </w:p>
    <w:p w14:paraId="0A1D0FBC" w14:textId="77777777" w:rsidR="00F5289E" w:rsidRDefault="00C91173" w:rsidP="00A115EF">
      <w:pPr>
        <w:widowControl/>
        <w:numPr>
          <w:ilvl w:val="0"/>
          <w:numId w:val="11"/>
        </w:numPr>
        <w:tabs>
          <w:tab w:val="left" w:pos="840"/>
        </w:tabs>
        <w:adjustRightInd w:val="0"/>
        <w:snapToGrid w:val="0"/>
        <w:spacing w:line="360" w:lineRule="auto"/>
        <w:rPr>
          <w:kern w:val="0"/>
          <w:szCs w:val="21"/>
        </w:rPr>
      </w:pPr>
      <w:r>
        <w:rPr>
          <w:rFonts w:hint="eastAsia"/>
          <w:kern w:val="0"/>
          <w:szCs w:val="21"/>
        </w:rPr>
        <w:t>原核生物基本表达调控的理论与模式（基因表达调控的基本概念：正调控、负调控、管家基因、奢侈基因，操纵子调控模型：操纵子的概念与结构、乳糖操纵子的阻遏蛋白负调控诱导及</w:t>
      </w:r>
      <w:r>
        <w:rPr>
          <w:kern w:val="0"/>
          <w:szCs w:val="21"/>
        </w:rPr>
        <w:t>CAP</w:t>
      </w:r>
      <w:r>
        <w:rPr>
          <w:rFonts w:hint="eastAsia"/>
          <w:kern w:val="0"/>
          <w:szCs w:val="21"/>
        </w:rPr>
        <w:t>正性调节及协调调节、色氨酸合成酶操纵子负控制阻遏模型级衰减子调控）。</w:t>
      </w:r>
    </w:p>
    <w:p w14:paraId="17F164AF" w14:textId="77777777" w:rsidR="00F5289E" w:rsidRDefault="00C91173" w:rsidP="00A115EF">
      <w:pPr>
        <w:widowControl/>
        <w:numPr>
          <w:ilvl w:val="0"/>
          <w:numId w:val="11"/>
        </w:numPr>
        <w:adjustRightInd w:val="0"/>
        <w:snapToGrid w:val="0"/>
        <w:spacing w:line="360" w:lineRule="auto"/>
        <w:rPr>
          <w:kern w:val="0"/>
          <w:szCs w:val="21"/>
        </w:rPr>
      </w:pPr>
      <w:r>
        <w:rPr>
          <w:rFonts w:hint="eastAsia"/>
          <w:kern w:val="0"/>
          <w:szCs w:val="21"/>
        </w:rPr>
        <w:t>转录水平的表达调控，包括顺式调控元件中的启动子，增强子，沉默子，反应元件。反式作用因子，转录因子的几种结构等。</w:t>
      </w:r>
    </w:p>
    <w:p w14:paraId="22B048B2" w14:textId="77777777" w:rsidR="00F5289E" w:rsidRDefault="00C91173" w:rsidP="00A115EF">
      <w:pPr>
        <w:widowControl/>
        <w:numPr>
          <w:ilvl w:val="0"/>
          <w:numId w:val="11"/>
        </w:numPr>
        <w:tabs>
          <w:tab w:val="left" w:pos="840"/>
        </w:tabs>
        <w:adjustRightInd w:val="0"/>
        <w:snapToGrid w:val="0"/>
        <w:spacing w:line="360" w:lineRule="auto"/>
        <w:rPr>
          <w:kern w:val="0"/>
          <w:szCs w:val="21"/>
        </w:rPr>
      </w:pPr>
      <w:r>
        <w:rPr>
          <w:rFonts w:hint="eastAsia"/>
          <w:kern w:val="0"/>
          <w:szCs w:val="21"/>
        </w:rPr>
        <w:t>转录后水平的调控（真核生物转录后</w:t>
      </w:r>
      <w:r>
        <w:rPr>
          <w:kern w:val="0"/>
          <w:szCs w:val="21"/>
        </w:rPr>
        <w:t>mRNA</w:t>
      </w:r>
      <w:r>
        <w:rPr>
          <w:rFonts w:hint="eastAsia"/>
          <w:kern w:val="0"/>
          <w:szCs w:val="21"/>
        </w:rPr>
        <w:t>的加工，</w:t>
      </w:r>
      <w:r>
        <w:rPr>
          <w:kern w:val="0"/>
          <w:szCs w:val="21"/>
        </w:rPr>
        <w:t>RNA</w:t>
      </w:r>
      <w:r>
        <w:rPr>
          <w:rFonts w:hint="eastAsia"/>
          <w:kern w:val="0"/>
          <w:szCs w:val="21"/>
        </w:rPr>
        <w:t>干涉：</w:t>
      </w:r>
      <w:r>
        <w:rPr>
          <w:kern w:val="0"/>
          <w:szCs w:val="21"/>
        </w:rPr>
        <w:t>RNAi</w:t>
      </w:r>
      <w:r>
        <w:rPr>
          <w:rFonts w:hint="eastAsia"/>
          <w:kern w:val="0"/>
          <w:szCs w:val="21"/>
        </w:rPr>
        <w:t>的定义、</w:t>
      </w:r>
      <w:r>
        <w:rPr>
          <w:kern w:val="0"/>
          <w:szCs w:val="21"/>
        </w:rPr>
        <w:t>RNAi</w:t>
      </w:r>
      <w:r>
        <w:rPr>
          <w:rFonts w:hint="eastAsia"/>
          <w:kern w:val="0"/>
          <w:szCs w:val="21"/>
        </w:rPr>
        <w:t>的发现与证实、</w:t>
      </w:r>
      <w:r>
        <w:rPr>
          <w:kern w:val="0"/>
          <w:szCs w:val="21"/>
        </w:rPr>
        <w:t>RNAi</w:t>
      </w:r>
      <w:r>
        <w:rPr>
          <w:rFonts w:hint="eastAsia"/>
          <w:kern w:val="0"/>
          <w:szCs w:val="21"/>
        </w:rPr>
        <w:t>的特征与分子机制，反义</w:t>
      </w:r>
      <w:r>
        <w:rPr>
          <w:kern w:val="0"/>
          <w:szCs w:val="21"/>
        </w:rPr>
        <w:t>RNA</w:t>
      </w:r>
      <w:r>
        <w:rPr>
          <w:rFonts w:hint="eastAsia"/>
          <w:kern w:val="0"/>
          <w:szCs w:val="21"/>
        </w:rPr>
        <w:t>：反义</w:t>
      </w:r>
      <w:r>
        <w:rPr>
          <w:kern w:val="0"/>
          <w:szCs w:val="21"/>
        </w:rPr>
        <w:t>RNA</w:t>
      </w:r>
      <w:r>
        <w:rPr>
          <w:rFonts w:hint="eastAsia"/>
          <w:kern w:val="0"/>
          <w:szCs w:val="21"/>
        </w:rPr>
        <w:t>的概念，反义</w:t>
      </w:r>
      <w:r>
        <w:rPr>
          <w:kern w:val="0"/>
          <w:szCs w:val="21"/>
        </w:rPr>
        <w:t>RNA</w:t>
      </w:r>
      <w:r>
        <w:rPr>
          <w:rFonts w:hint="eastAsia"/>
          <w:kern w:val="0"/>
          <w:szCs w:val="21"/>
        </w:rPr>
        <w:t>的作用机制）。</w:t>
      </w:r>
    </w:p>
    <w:p w14:paraId="5FE19434" w14:textId="77777777" w:rsidR="00F5289E" w:rsidRDefault="00C91173" w:rsidP="00A115EF">
      <w:pPr>
        <w:widowControl/>
        <w:numPr>
          <w:ilvl w:val="0"/>
          <w:numId w:val="11"/>
        </w:numPr>
        <w:tabs>
          <w:tab w:val="left" w:pos="840"/>
        </w:tabs>
        <w:adjustRightInd w:val="0"/>
        <w:snapToGrid w:val="0"/>
        <w:spacing w:line="360" w:lineRule="auto"/>
        <w:rPr>
          <w:kern w:val="0"/>
          <w:szCs w:val="21"/>
        </w:rPr>
      </w:pPr>
      <w:r>
        <w:rPr>
          <w:rFonts w:hint="eastAsia"/>
          <w:kern w:val="0"/>
          <w:szCs w:val="21"/>
        </w:rPr>
        <w:t>翻译水平的调控。</w:t>
      </w:r>
    </w:p>
    <w:p w14:paraId="6BFF69ED" w14:textId="77777777" w:rsidR="00F5289E" w:rsidRDefault="00C91173" w:rsidP="00A115EF">
      <w:pPr>
        <w:widowControl/>
        <w:numPr>
          <w:ilvl w:val="0"/>
          <w:numId w:val="11"/>
        </w:numPr>
        <w:tabs>
          <w:tab w:val="left" w:pos="840"/>
        </w:tabs>
        <w:adjustRightInd w:val="0"/>
        <w:snapToGrid w:val="0"/>
        <w:spacing w:line="360" w:lineRule="auto"/>
        <w:rPr>
          <w:kern w:val="0"/>
          <w:szCs w:val="21"/>
        </w:rPr>
      </w:pPr>
      <w:r>
        <w:rPr>
          <w:rFonts w:hint="eastAsia"/>
          <w:kern w:val="0"/>
          <w:szCs w:val="21"/>
        </w:rPr>
        <w:t>真核生物基因表达调控的特殊类型（真核生物</w:t>
      </w:r>
      <w:r>
        <w:rPr>
          <w:kern w:val="0"/>
          <w:szCs w:val="21"/>
        </w:rPr>
        <w:t>DNA</w:t>
      </w:r>
      <w:r>
        <w:rPr>
          <w:rFonts w:hint="eastAsia"/>
          <w:kern w:val="0"/>
          <w:szCs w:val="21"/>
        </w:rPr>
        <w:t>水平的调控，</w:t>
      </w:r>
      <w:r>
        <w:rPr>
          <w:kern w:val="0"/>
          <w:szCs w:val="21"/>
        </w:rPr>
        <w:t>mRNA</w:t>
      </w:r>
      <w:r>
        <w:rPr>
          <w:rFonts w:hint="eastAsia"/>
          <w:kern w:val="0"/>
          <w:szCs w:val="21"/>
        </w:rPr>
        <w:t>的结构对翻译水平的调控）。</w:t>
      </w:r>
    </w:p>
    <w:p w14:paraId="408F9D89" w14:textId="77777777" w:rsidR="00F5289E" w:rsidRDefault="00C91173" w:rsidP="00A115EF">
      <w:pPr>
        <w:widowControl/>
        <w:numPr>
          <w:ilvl w:val="0"/>
          <w:numId w:val="11"/>
        </w:numPr>
        <w:tabs>
          <w:tab w:val="left" w:pos="840"/>
        </w:tabs>
        <w:adjustRightInd w:val="0"/>
        <w:snapToGrid w:val="0"/>
        <w:spacing w:line="360" w:lineRule="auto"/>
        <w:rPr>
          <w:b/>
          <w:kern w:val="0"/>
          <w:szCs w:val="21"/>
        </w:rPr>
      </w:pPr>
      <w:r>
        <w:rPr>
          <w:rFonts w:hint="eastAsia"/>
          <w:kern w:val="0"/>
          <w:szCs w:val="21"/>
        </w:rPr>
        <w:t>举例说明基因表达调控的重要性：（</w:t>
      </w:r>
      <w:r>
        <w:rPr>
          <w:kern w:val="0"/>
          <w:szCs w:val="21"/>
        </w:rPr>
        <w:t>1</w:t>
      </w:r>
      <w:r>
        <w:rPr>
          <w:rFonts w:hint="eastAsia"/>
          <w:kern w:val="0"/>
          <w:szCs w:val="21"/>
        </w:rPr>
        <w:t>）基因调控与疾病（阐明癌基因、原癌基因、病毒癌基因、细胞癌基因和抑癌基因的概念，癌基因的激活方式。癌基因的诊断及发现）；（</w:t>
      </w:r>
      <w:r>
        <w:rPr>
          <w:kern w:val="0"/>
          <w:szCs w:val="21"/>
        </w:rPr>
        <w:t>2</w:t>
      </w:r>
      <w:r>
        <w:rPr>
          <w:rFonts w:hint="eastAsia"/>
          <w:kern w:val="0"/>
          <w:szCs w:val="21"/>
        </w:rPr>
        <w:t>）基因调控与植物发育（以植物组织器官发育为例，讲述植物调控的基因规律）。</w:t>
      </w:r>
    </w:p>
    <w:p w14:paraId="609B7519" w14:textId="77777777" w:rsidR="00F5289E" w:rsidRDefault="00C91173">
      <w:pPr>
        <w:pStyle w:val="afd"/>
        <w:widowControl/>
        <w:tabs>
          <w:tab w:val="left" w:pos="840"/>
        </w:tabs>
        <w:adjustRightInd w:val="0"/>
        <w:snapToGrid w:val="0"/>
        <w:spacing w:line="360" w:lineRule="auto"/>
        <w:ind w:left="360" w:firstLineChars="0" w:firstLine="0"/>
        <w:rPr>
          <w:b/>
          <w:kern w:val="0"/>
          <w:szCs w:val="21"/>
        </w:rPr>
      </w:pPr>
      <w:r>
        <w:rPr>
          <w:rFonts w:hint="eastAsia"/>
          <w:b/>
          <w:kern w:val="0"/>
          <w:szCs w:val="21"/>
        </w:rPr>
        <w:t>要求：</w:t>
      </w:r>
    </w:p>
    <w:p w14:paraId="46E8223D" w14:textId="77777777" w:rsidR="00F5289E" w:rsidRDefault="00C91173">
      <w:pPr>
        <w:pStyle w:val="afd"/>
        <w:widowControl/>
        <w:adjustRightInd w:val="0"/>
        <w:snapToGrid w:val="0"/>
        <w:spacing w:line="360" w:lineRule="auto"/>
        <w:ind w:left="360" w:firstLineChars="0" w:firstLine="0"/>
        <w:rPr>
          <w:kern w:val="0"/>
          <w:szCs w:val="21"/>
        </w:rPr>
      </w:pPr>
      <w:r>
        <w:rPr>
          <w:rFonts w:hint="eastAsia"/>
          <w:szCs w:val="21"/>
        </w:rPr>
        <w:t>了解</w:t>
      </w:r>
      <w:r>
        <w:rPr>
          <w:rFonts w:hint="eastAsia"/>
          <w:kern w:val="0"/>
          <w:szCs w:val="21"/>
        </w:rPr>
        <w:t>：基因表达的基本概念，翻译水平的调控。</w:t>
      </w:r>
    </w:p>
    <w:p w14:paraId="5276560D" w14:textId="77777777" w:rsidR="00F5289E" w:rsidRDefault="00C91173">
      <w:pPr>
        <w:pStyle w:val="afd"/>
        <w:widowControl/>
        <w:tabs>
          <w:tab w:val="left" w:pos="840"/>
        </w:tabs>
        <w:adjustRightInd w:val="0"/>
        <w:snapToGrid w:val="0"/>
        <w:spacing w:line="360" w:lineRule="auto"/>
        <w:ind w:left="360" w:firstLineChars="0" w:firstLine="0"/>
        <w:rPr>
          <w:kern w:val="0"/>
          <w:szCs w:val="21"/>
        </w:rPr>
      </w:pPr>
      <w:r>
        <w:rPr>
          <w:rFonts w:hint="eastAsia"/>
          <w:kern w:val="0"/>
          <w:szCs w:val="21"/>
        </w:rPr>
        <w:t>理解：真核生物基因表达调控及特殊类型。</w:t>
      </w:r>
    </w:p>
    <w:p w14:paraId="20D00D09" w14:textId="77777777" w:rsidR="00F5289E" w:rsidRDefault="00C91173">
      <w:pPr>
        <w:pStyle w:val="afd"/>
        <w:widowControl/>
        <w:tabs>
          <w:tab w:val="left" w:pos="840"/>
        </w:tabs>
        <w:adjustRightInd w:val="0"/>
        <w:snapToGrid w:val="0"/>
        <w:spacing w:line="360" w:lineRule="auto"/>
        <w:ind w:left="360" w:firstLineChars="0" w:firstLine="0"/>
        <w:rPr>
          <w:kern w:val="0"/>
          <w:szCs w:val="21"/>
        </w:rPr>
      </w:pPr>
      <w:r>
        <w:rPr>
          <w:rFonts w:hint="eastAsia"/>
          <w:kern w:val="0"/>
          <w:szCs w:val="21"/>
        </w:rPr>
        <w:t>掌握：真核生物转录后水平的调控</w:t>
      </w:r>
      <w:r>
        <w:rPr>
          <w:kern w:val="0"/>
          <w:szCs w:val="21"/>
        </w:rPr>
        <w:t>—RNAi</w:t>
      </w:r>
      <w:r>
        <w:rPr>
          <w:rFonts w:hint="eastAsia"/>
          <w:kern w:val="0"/>
          <w:szCs w:val="21"/>
        </w:rPr>
        <w:t>和反义</w:t>
      </w:r>
      <w:r>
        <w:rPr>
          <w:kern w:val="0"/>
          <w:szCs w:val="21"/>
        </w:rPr>
        <w:t>RNA</w:t>
      </w:r>
      <w:r>
        <w:rPr>
          <w:rFonts w:hint="eastAsia"/>
          <w:kern w:val="0"/>
          <w:szCs w:val="21"/>
        </w:rPr>
        <w:t>。</w:t>
      </w:r>
    </w:p>
    <w:p w14:paraId="6890E3B7" w14:textId="77777777" w:rsidR="00F5289E" w:rsidRDefault="00C91173">
      <w:pPr>
        <w:pStyle w:val="afd"/>
        <w:widowControl/>
        <w:adjustRightInd w:val="0"/>
        <w:snapToGrid w:val="0"/>
        <w:spacing w:line="360" w:lineRule="auto"/>
        <w:ind w:left="360" w:firstLineChars="0" w:firstLine="0"/>
        <w:rPr>
          <w:kern w:val="0"/>
          <w:szCs w:val="21"/>
        </w:rPr>
      </w:pPr>
      <w:r>
        <w:rPr>
          <w:rFonts w:hint="eastAsia"/>
          <w:kern w:val="0"/>
          <w:szCs w:val="21"/>
        </w:rPr>
        <w:t>熟练掌握：原核基因调控机制的类型与特点，乳糖操纵子调控模型，真核生物转录水平的调控</w:t>
      </w:r>
      <w:r>
        <w:rPr>
          <w:kern w:val="0"/>
          <w:szCs w:val="21"/>
        </w:rPr>
        <w:t>-</w:t>
      </w:r>
      <w:r>
        <w:rPr>
          <w:rFonts w:hint="eastAsia"/>
          <w:kern w:val="0"/>
          <w:szCs w:val="21"/>
        </w:rPr>
        <w:t>顺式作用元件和反式作用因子。</w:t>
      </w:r>
    </w:p>
    <w:p w14:paraId="197CCE55" w14:textId="77777777" w:rsidR="00F5289E" w:rsidRDefault="00C91173">
      <w:pPr>
        <w:widowControl/>
        <w:adjustRightInd w:val="0"/>
        <w:snapToGrid w:val="0"/>
        <w:spacing w:line="360" w:lineRule="auto"/>
        <w:rPr>
          <w:rFonts w:ascii="宋体" w:hAnsi="宋体"/>
          <w:b/>
          <w:bCs/>
        </w:rPr>
      </w:pPr>
      <w:bookmarkStart w:id="47" w:name="_Hlk38993094"/>
      <w:r>
        <w:rPr>
          <w:rFonts w:ascii="宋体" w:hAnsi="宋体" w:hint="eastAsia"/>
          <w:b/>
          <w:bCs/>
        </w:rPr>
        <w:t>教学组织与实施：</w:t>
      </w:r>
    </w:p>
    <w:p w14:paraId="1328A171" w14:textId="5DAB1B53" w:rsidR="00F5289E" w:rsidRPr="003E0A32" w:rsidRDefault="00C91173" w:rsidP="003E0A32">
      <w:pPr>
        <w:widowControl/>
        <w:adjustRightInd w:val="0"/>
        <w:snapToGrid w:val="0"/>
        <w:spacing w:line="360" w:lineRule="auto"/>
        <w:ind w:firstLineChars="196" w:firstLine="412"/>
        <w:rPr>
          <w:rFonts w:ascii="宋体" w:hAnsi="宋体"/>
          <w:bCs/>
        </w:rPr>
      </w:pPr>
      <w:r>
        <w:rPr>
          <w:rFonts w:ascii="宋体" w:hAnsi="宋体"/>
          <w:bCs/>
        </w:rPr>
        <w:t>本章节</w:t>
      </w:r>
      <w:r>
        <w:rPr>
          <w:rFonts w:ascii="宋体" w:hAnsi="宋体" w:hint="eastAsia"/>
          <w:bCs/>
        </w:rPr>
        <w:t>主要涉及基因表达调控内容。利用超星学习通班级群提前上传课件，要求学生提前预习章节内容，做好课前准备工作。以班级授课的形式讲授原核生物基因表达调控模式（</w:t>
      </w:r>
      <w:r>
        <w:rPr>
          <w:rFonts w:ascii="宋体" w:hAnsi="宋体"/>
          <w:bCs/>
        </w:rPr>
        <w:t>2</w:t>
      </w:r>
      <w:r>
        <w:rPr>
          <w:rFonts w:ascii="宋体" w:hAnsi="宋体" w:hint="eastAsia"/>
          <w:bCs/>
        </w:rPr>
        <w:t>学时）和真核生物基因的表达调控模式（</w:t>
      </w:r>
      <w:r>
        <w:rPr>
          <w:rFonts w:ascii="宋体" w:hAnsi="宋体"/>
          <w:bCs/>
        </w:rPr>
        <w:t>4</w:t>
      </w:r>
      <w:r>
        <w:rPr>
          <w:rFonts w:ascii="宋体" w:hAnsi="宋体" w:hint="eastAsia"/>
          <w:bCs/>
        </w:rPr>
        <w:t>学时），结合</w:t>
      </w:r>
      <w:r>
        <w:rPr>
          <w:rFonts w:ascii="宋体" w:hAnsi="宋体"/>
          <w:bCs/>
        </w:rPr>
        <w:t>PPT</w:t>
      </w:r>
      <w:r>
        <w:rPr>
          <w:rFonts w:ascii="宋体" w:hAnsi="宋体" w:hint="eastAsia"/>
          <w:bCs/>
        </w:rPr>
        <w:t>及模式视频，理论基础联系实际应用，深入浅出的讲授疑点难点。</w:t>
      </w:r>
      <w:r>
        <w:rPr>
          <w:rFonts w:ascii="宋体" w:hAnsi="宋体"/>
          <w:bCs/>
        </w:rPr>
        <w:t>在教学过程中</w:t>
      </w:r>
      <w:r>
        <w:rPr>
          <w:rFonts w:ascii="宋体" w:hAnsi="宋体" w:hint="eastAsia"/>
          <w:bCs/>
        </w:rPr>
        <w:t>设置提问及</w:t>
      </w:r>
      <w:r>
        <w:rPr>
          <w:rFonts w:ascii="宋体" w:hAnsi="宋体"/>
          <w:bCs/>
        </w:rPr>
        <w:t>互动</w:t>
      </w:r>
      <w:r>
        <w:rPr>
          <w:rFonts w:ascii="宋体" w:hAnsi="宋体" w:hint="eastAsia"/>
          <w:bCs/>
        </w:rPr>
        <w:t>环节</w:t>
      </w:r>
      <w:r>
        <w:rPr>
          <w:rFonts w:ascii="宋体" w:hAnsi="宋体"/>
          <w:bCs/>
        </w:rPr>
        <w:t>，活跃课堂气氛，</w:t>
      </w:r>
      <w:r>
        <w:rPr>
          <w:rFonts w:ascii="宋体" w:hAnsi="宋体" w:hint="eastAsia"/>
          <w:bCs/>
        </w:rPr>
        <w:t>调动学生积极性及专注性，</w:t>
      </w:r>
      <w:r>
        <w:rPr>
          <w:rFonts w:ascii="宋体" w:hAnsi="宋体"/>
          <w:bCs/>
        </w:rPr>
        <w:t>加深对课堂知识的理解与认识。</w:t>
      </w:r>
      <w:bookmarkEnd w:id="47"/>
    </w:p>
    <w:p w14:paraId="18C61C3B" w14:textId="77777777" w:rsidR="00F5289E" w:rsidRDefault="00C91173">
      <w:pPr>
        <w:widowControl/>
        <w:adjustRightInd w:val="0"/>
        <w:snapToGrid w:val="0"/>
        <w:spacing w:beforeLines="50" w:before="156" w:line="360" w:lineRule="auto"/>
        <w:jc w:val="right"/>
        <w:rPr>
          <w:kern w:val="0"/>
          <w:szCs w:val="21"/>
        </w:rPr>
      </w:pPr>
      <w:r>
        <w:rPr>
          <w:rFonts w:hint="eastAsia"/>
          <w:b/>
          <w:bCs/>
          <w:kern w:val="0"/>
          <w:szCs w:val="21"/>
        </w:rPr>
        <w:t>第六章</w:t>
      </w:r>
      <w:r>
        <w:rPr>
          <w:b/>
          <w:bCs/>
          <w:kern w:val="0"/>
          <w:szCs w:val="21"/>
        </w:rPr>
        <w:t xml:space="preserve">  </w:t>
      </w:r>
      <w:r>
        <w:rPr>
          <w:rFonts w:hint="eastAsia"/>
          <w:b/>
          <w:bCs/>
          <w:kern w:val="0"/>
          <w:szCs w:val="21"/>
        </w:rPr>
        <w:t>基因突变和遗传重组的分子机制</w:t>
      </w:r>
      <w:r>
        <w:rPr>
          <w:b/>
          <w:bCs/>
          <w:kern w:val="0"/>
          <w:szCs w:val="21"/>
        </w:rPr>
        <w:t xml:space="preserve">            </w:t>
      </w:r>
      <w:r>
        <w:rPr>
          <w:rFonts w:hint="eastAsia"/>
          <w:b/>
          <w:bCs/>
          <w:kern w:val="0"/>
          <w:szCs w:val="21"/>
        </w:rPr>
        <w:t>学时数：</w:t>
      </w:r>
      <w:r>
        <w:rPr>
          <w:b/>
          <w:bCs/>
          <w:kern w:val="0"/>
          <w:szCs w:val="21"/>
        </w:rPr>
        <w:t>4</w:t>
      </w:r>
    </w:p>
    <w:p w14:paraId="0335D569" w14:textId="77777777" w:rsidR="00F5289E" w:rsidRDefault="00C91173">
      <w:pPr>
        <w:widowControl/>
        <w:adjustRightInd w:val="0"/>
        <w:snapToGrid w:val="0"/>
        <w:spacing w:line="360" w:lineRule="auto"/>
        <w:rPr>
          <w:kern w:val="0"/>
          <w:szCs w:val="21"/>
        </w:rPr>
      </w:pPr>
      <w:r>
        <w:rPr>
          <w:rFonts w:hint="eastAsia"/>
          <w:b/>
          <w:bCs/>
          <w:szCs w:val="21"/>
        </w:rPr>
        <w:t>教学目标：</w:t>
      </w:r>
      <w:r>
        <w:rPr>
          <w:rFonts w:hint="eastAsia"/>
          <w:kern w:val="0"/>
          <w:szCs w:val="21"/>
        </w:rPr>
        <w:t>掌握基因突变的类型和导致因素，了解</w:t>
      </w:r>
      <w:r>
        <w:rPr>
          <w:kern w:val="0"/>
          <w:szCs w:val="21"/>
        </w:rPr>
        <w:t>DNA</w:t>
      </w:r>
      <w:r>
        <w:rPr>
          <w:rFonts w:hint="eastAsia"/>
          <w:kern w:val="0"/>
          <w:szCs w:val="21"/>
        </w:rPr>
        <w:t>损伤的修复机制和遗传重组的分子机制。</w:t>
      </w:r>
    </w:p>
    <w:p w14:paraId="4348C5AE" w14:textId="77777777" w:rsidR="00F5289E" w:rsidRDefault="00C91173">
      <w:pPr>
        <w:adjustRightInd w:val="0"/>
        <w:snapToGrid w:val="0"/>
        <w:spacing w:line="360" w:lineRule="auto"/>
        <w:rPr>
          <w:szCs w:val="21"/>
        </w:rPr>
      </w:pPr>
      <w:r>
        <w:rPr>
          <w:rFonts w:hint="eastAsia"/>
          <w:b/>
          <w:bCs/>
          <w:szCs w:val="21"/>
        </w:rPr>
        <w:lastRenderedPageBreak/>
        <w:t>教学重点和难点：重点：</w:t>
      </w:r>
      <w:r>
        <w:rPr>
          <w:rFonts w:hint="eastAsia"/>
          <w:kern w:val="0"/>
          <w:szCs w:val="21"/>
        </w:rPr>
        <w:t>基因突变的类型和</w:t>
      </w:r>
      <w:r>
        <w:rPr>
          <w:kern w:val="0"/>
          <w:szCs w:val="21"/>
        </w:rPr>
        <w:t>DNA</w:t>
      </w:r>
      <w:r>
        <w:rPr>
          <w:rFonts w:hint="eastAsia"/>
          <w:kern w:val="0"/>
          <w:szCs w:val="21"/>
        </w:rPr>
        <w:t>损伤的修复机制；</w:t>
      </w:r>
      <w:r>
        <w:rPr>
          <w:rFonts w:hint="eastAsia"/>
          <w:b/>
          <w:kern w:val="0"/>
          <w:szCs w:val="21"/>
        </w:rPr>
        <w:t>难点：</w:t>
      </w:r>
      <w:r>
        <w:rPr>
          <w:szCs w:val="21"/>
        </w:rPr>
        <w:t>DNA</w:t>
      </w:r>
      <w:r>
        <w:rPr>
          <w:rFonts w:hint="eastAsia"/>
          <w:szCs w:val="21"/>
        </w:rPr>
        <w:t>损伤的修复机制、</w:t>
      </w:r>
      <w:r>
        <w:rPr>
          <w:szCs w:val="21"/>
        </w:rPr>
        <w:t>DNA</w:t>
      </w:r>
      <w:r>
        <w:rPr>
          <w:rFonts w:hint="eastAsia"/>
          <w:szCs w:val="21"/>
        </w:rPr>
        <w:t>重组的机制。</w:t>
      </w:r>
    </w:p>
    <w:p w14:paraId="59D48851" w14:textId="77777777" w:rsidR="00F5289E" w:rsidRDefault="00C91173">
      <w:pPr>
        <w:adjustRightInd w:val="0"/>
        <w:snapToGrid w:val="0"/>
        <w:spacing w:line="360" w:lineRule="auto"/>
        <w:rPr>
          <w:kern w:val="0"/>
          <w:szCs w:val="21"/>
        </w:rPr>
      </w:pPr>
      <w:r>
        <w:rPr>
          <w:rFonts w:hint="eastAsia"/>
          <w:b/>
          <w:bCs/>
          <w:szCs w:val="21"/>
        </w:rPr>
        <w:t>主要教学内容及要求：</w:t>
      </w:r>
      <w:r>
        <w:rPr>
          <w:kern w:val="0"/>
          <w:szCs w:val="21"/>
        </w:rPr>
        <w:t>DNA</w:t>
      </w:r>
      <w:r>
        <w:rPr>
          <w:rFonts w:hint="eastAsia"/>
          <w:kern w:val="0"/>
          <w:szCs w:val="21"/>
        </w:rPr>
        <w:t>损伤的原因、类型，</w:t>
      </w:r>
      <w:r>
        <w:rPr>
          <w:kern w:val="0"/>
          <w:szCs w:val="21"/>
        </w:rPr>
        <w:t>DNA</w:t>
      </w:r>
      <w:r>
        <w:rPr>
          <w:rFonts w:hint="eastAsia"/>
          <w:kern w:val="0"/>
          <w:szCs w:val="21"/>
        </w:rPr>
        <w:t>修复的方式和重组机制。</w:t>
      </w:r>
    </w:p>
    <w:p w14:paraId="497E6FAE" w14:textId="77777777" w:rsidR="00F5289E" w:rsidRDefault="00C91173" w:rsidP="00A115EF">
      <w:pPr>
        <w:widowControl/>
        <w:numPr>
          <w:ilvl w:val="0"/>
          <w:numId w:val="12"/>
        </w:numPr>
        <w:adjustRightInd w:val="0"/>
        <w:snapToGrid w:val="0"/>
        <w:spacing w:line="360" w:lineRule="auto"/>
        <w:rPr>
          <w:kern w:val="0"/>
          <w:szCs w:val="21"/>
        </w:rPr>
      </w:pPr>
      <w:r>
        <w:rPr>
          <w:rFonts w:hint="eastAsia"/>
          <w:kern w:val="0"/>
          <w:szCs w:val="21"/>
        </w:rPr>
        <w:t>基因突变（基因突变的种类：自发突变、点突变、转换突变、颠换突变、错义突变、无义突变、同义突。</w:t>
      </w:r>
    </w:p>
    <w:p w14:paraId="128F4167" w14:textId="77777777" w:rsidR="00F5289E" w:rsidRDefault="00C91173" w:rsidP="00A115EF">
      <w:pPr>
        <w:widowControl/>
        <w:numPr>
          <w:ilvl w:val="0"/>
          <w:numId w:val="12"/>
        </w:numPr>
        <w:adjustRightInd w:val="0"/>
        <w:snapToGrid w:val="0"/>
        <w:spacing w:line="360" w:lineRule="auto"/>
        <w:rPr>
          <w:kern w:val="0"/>
          <w:szCs w:val="21"/>
        </w:rPr>
      </w:pPr>
      <w:r>
        <w:rPr>
          <w:rFonts w:hint="eastAsia"/>
          <w:kern w:val="0"/>
          <w:szCs w:val="21"/>
        </w:rPr>
        <w:t>生物体保证稳定遗传的机制（错配修复、尿嘧啶</w:t>
      </w:r>
      <w:r>
        <w:rPr>
          <w:kern w:val="0"/>
          <w:szCs w:val="21"/>
        </w:rPr>
        <w:t>-N-</w:t>
      </w:r>
      <w:r>
        <w:rPr>
          <w:rFonts w:hint="eastAsia"/>
          <w:kern w:val="0"/>
          <w:szCs w:val="21"/>
        </w:rPr>
        <w:t>糖苷酶修复系统、基因的回复突变）。</w:t>
      </w:r>
    </w:p>
    <w:p w14:paraId="1CCCC212" w14:textId="77777777" w:rsidR="00F5289E" w:rsidRDefault="00C91173" w:rsidP="00A115EF">
      <w:pPr>
        <w:widowControl/>
        <w:numPr>
          <w:ilvl w:val="0"/>
          <w:numId w:val="12"/>
        </w:numPr>
        <w:adjustRightInd w:val="0"/>
        <w:snapToGrid w:val="0"/>
        <w:spacing w:line="360" w:lineRule="auto"/>
        <w:rPr>
          <w:kern w:val="0"/>
          <w:szCs w:val="21"/>
        </w:rPr>
      </w:pPr>
      <w:r>
        <w:rPr>
          <w:rFonts w:hint="eastAsia"/>
          <w:kern w:val="0"/>
          <w:szCs w:val="21"/>
        </w:rPr>
        <w:t>基因重组交换的分子机制（同源重组的分子机制</w:t>
      </w:r>
      <w:r>
        <w:rPr>
          <w:kern w:val="0"/>
          <w:szCs w:val="21"/>
        </w:rPr>
        <w:t>—Holliday</w:t>
      </w:r>
      <w:r>
        <w:rPr>
          <w:rFonts w:hint="eastAsia"/>
          <w:kern w:val="0"/>
          <w:szCs w:val="21"/>
        </w:rPr>
        <w:t>模型、同源重组的酶类及交换热点）。</w:t>
      </w:r>
    </w:p>
    <w:p w14:paraId="763DE21C" w14:textId="77777777" w:rsidR="00F5289E" w:rsidRDefault="00C91173">
      <w:pPr>
        <w:pStyle w:val="afd"/>
        <w:widowControl/>
        <w:adjustRightInd w:val="0"/>
        <w:snapToGrid w:val="0"/>
        <w:spacing w:line="360" w:lineRule="auto"/>
        <w:ind w:left="360" w:firstLineChars="0" w:firstLine="0"/>
        <w:rPr>
          <w:b/>
          <w:kern w:val="0"/>
          <w:szCs w:val="21"/>
        </w:rPr>
      </w:pPr>
      <w:r>
        <w:rPr>
          <w:rFonts w:hint="eastAsia"/>
          <w:b/>
          <w:kern w:val="0"/>
          <w:szCs w:val="21"/>
        </w:rPr>
        <w:t>要求：</w:t>
      </w:r>
    </w:p>
    <w:p w14:paraId="3F184781" w14:textId="77777777" w:rsidR="00F5289E" w:rsidRDefault="00C91173">
      <w:pPr>
        <w:pStyle w:val="afd"/>
        <w:widowControl/>
        <w:adjustRightInd w:val="0"/>
        <w:snapToGrid w:val="0"/>
        <w:spacing w:line="360" w:lineRule="auto"/>
        <w:ind w:left="360" w:firstLineChars="0" w:firstLine="0"/>
        <w:rPr>
          <w:kern w:val="0"/>
          <w:szCs w:val="21"/>
        </w:rPr>
      </w:pPr>
      <w:r>
        <w:rPr>
          <w:rFonts w:hint="eastAsia"/>
          <w:kern w:val="0"/>
          <w:szCs w:val="21"/>
        </w:rPr>
        <w:t>了解：基因重组的概念及作用模型，大肠杆菌同源重组过程。</w:t>
      </w:r>
    </w:p>
    <w:p w14:paraId="217BF91B" w14:textId="77777777" w:rsidR="00F5289E" w:rsidRDefault="00C91173">
      <w:pPr>
        <w:pStyle w:val="afd"/>
        <w:widowControl/>
        <w:adjustRightInd w:val="0"/>
        <w:snapToGrid w:val="0"/>
        <w:spacing w:line="360" w:lineRule="auto"/>
        <w:ind w:left="360" w:firstLineChars="0" w:firstLine="0"/>
        <w:rPr>
          <w:kern w:val="0"/>
          <w:szCs w:val="21"/>
        </w:rPr>
      </w:pPr>
      <w:r>
        <w:rPr>
          <w:rFonts w:hint="eastAsia"/>
          <w:kern w:val="0"/>
          <w:szCs w:val="21"/>
        </w:rPr>
        <w:t>理解：基因突变产生的原因。</w:t>
      </w:r>
    </w:p>
    <w:p w14:paraId="2C104119" w14:textId="77777777" w:rsidR="00F5289E" w:rsidRDefault="00C91173">
      <w:pPr>
        <w:widowControl/>
        <w:adjustRightInd w:val="0"/>
        <w:snapToGrid w:val="0"/>
        <w:spacing w:line="360" w:lineRule="auto"/>
        <w:ind w:firstLineChars="200" w:firstLine="420"/>
        <w:rPr>
          <w:kern w:val="0"/>
          <w:szCs w:val="21"/>
        </w:rPr>
      </w:pPr>
      <w:r>
        <w:rPr>
          <w:rFonts w:hint="eastAsia"/>
          <w:kern w:val="0"/>
          <w:szCs w:val="21"/>
        </w:rPr>
        <w:t>掌握：</w:t>
      </w:r>
      <w:r>
        <w:rPr>
          <w:szCs w:val="21"/>
        </w:rPr>
        <w:t>DNA</w:t>
      </w:r>
      <w:r>
        <w:rPr>
          <w:rFonts w:hint="eastAsia"/>
          <w:szCs w:val="21"/>
        </w:rPr>
        <w:t>损伤的修复机制</w:t>
      </w:r>
      <w:r>
        <w:rPr>
          <w:rFonts w:hint="eastAsia"/>
          <w:kern w:val="0"/>
          <w:szCs w:val="21"/>
        </w:rPr>
        <w:t>。</w:t>
      </w:r>
    </w:p>
    <w:p w14:paraId="069E3015" w14:textId="77777777" w:rsidR="00F5289E" w:rsidRDefault="00C91173">
      <w:pPr>
        <w:pStyle w:val="afd"/>
        <w:widowControl/>
        <w:adjustRightInd w:val="0"/>
        <w:snapToGrid w:val="0"/>
        <w:spacing w:line="360" w:lineRule="auto"/>
        <w:ind w:left="360" w:firstLineChars="0" w:firstLine="0"/>
        <w:rPr>
          <w:kern w:val="0"/>
          <w:szCs w:val="21"/>
        </w:rPr>
      </w:pPr>
      <w:r>
        <w:rPr>
          <w:rFonts w:hint="eastAsia"/>
          <w:kern w:val="0"/>
          <w:szCs w:val="21"/>
        </w:rPr>
        <w:t>熟练掌握：基因突变的类型和</w:t>
      </w:r>
      <w:r>
        <w:rPr>
          <w:kern w:val="0"/>
          <w:szCs w:val="21"/>
        </w:rPr>
        <w:t>DNA</w:t>
      </w:r>
      <w:r>
        <w:rPr>
          <w:rFonts w:hint="eastAsia"/>
          <w:kern w:val="0"/>
          <w:szCs w:val="21"/>
        </w:rPr>
        <w:t>损伤的类型。</w:t>
      </w:r>
    </w:p>
    <w:p w14:paraId="7DA73A7D" w14:textId="77777777" w:rsidR="00F5289E" w:rsidRDefault="00C91173">
      <w:pPr>
        <w:pStyle w:val="afd"/>
        <w:widowControl/>
        <w:adjustRightInd w:val="0"/>
        <w:snapToGrid w:val="0"/>
        <w:spacing w:line="360" w:lineRule="auto"/>
        <w:ind w:left="360" w:firstLineChars="0" w:firstLine="0"/>
        <w:rPr>
          <w:rFonts w:ascii="宋体" w:hAnsi="宋体"/>
          <w:b/>
          <w:bCs/>
        </w:rPr>
      </w:pPr>
      <w:r>
        <w:rPr>
          <w:rFonts w:ascii="宋体" w:hAnsi="宋体" w:hint="eastAsia"/>
          <w:b/>
          <w:bCs/>
        </w:rPr>
        <w:t>教学组织与实施：</w:t>
      </w:r>
    </w:p>
    <w:p w14:paraId="137BDBB4" w14:textId="77777777" w:rsidR="00F5289E" w:rsidRDefault="00C91173">
      <w:pPr>
        <w:widowControl/>
        <w:adjustRightInd w:val="0"/>
        <w:snapToGrid w:val="0"/>
        <w:spacing w:line="360" w:lineRule="auto"/>
        <w:ind w:firstLineChars="200" w:firstLine="420"/>
        <w:rPr>
          <w:rFonts w:ascii="宋体" w:hAnsi="宋体"/>
          <w:bCs/>
        </w:rPr>
      </w:pPr>
      <w:r>
        <w:rPr>
          <w:rFonts w:ascii="宋体" w:hAnsi="宋体" w:hint="eastAsia"/>
          <w:bCs/>
        </w:rPr>
        <w:t>本章节主要涉及基因突变和遗传重组的分子机制。利用超星学习通提前上传课件，要求学生提前预习章节内容，做好课前准备工作。以班级授课的形式讲授基因突变（</w:t>
      </w:r>
      <w:r>
        <w:rPr>
          <w:rFonts w:ascii="宋体" w:hAnsi="宋体"/>
          <w:bCs/>
        </w:rPr>
        <w:t>2</w:t>
      </w:r>
      <w:r>
        <w:rPr>
          <w:rFonts w:ascii="宋体" w:hAnsi="宋体" w:hint="eastAsia"/>
          <w:bCs/>
        </w:rPr>
        <w:t>学时）和遗传重组的分子机制（</w:t>
      </w:r>
      <w:r>
        <w:rPr>
          <w:rFonts w:ascii="宋体" w:hAnsi="宋体"/>
          <w:bCs/>
        </w:rPr>
        <w:t>2</w:t>
      </w:r>
      <w:r>
        <w:rPr>
          <w:rFonts w:ascii="宋体" w:hAnsi="宋体" w:hint="eastAsia"/>
          <w:bCs/>
        </w:rPr>
        <w:t>学时），结合</w:t>
      </w:r>
      <w:r>
        <w:rPr>
          <w:rFonts w:ascii="宋体" w:hAnsi="宋体"/>
          <w:bCs/>
        </w:rPr>
        <w:t>PPT</w:t>
      </w:r>
      <w:r>
        <w:rPr>
          <w:rFonts w:ascii="宋体" w:hAnsi="宋体" w:hint="eastAsia"/>
          <w:bCs/>
        </w:rPr>
        <w:t>及现场提问，讲述理论基础的同时，列举实际应用范例，深入浅出的讲授疑点难点。在讲授物理诱变时，介绍我们国家的航天育种的发展与成就，激发同学们的民族自豪感。</w:t>
      </w:r>
    </w:p>
    <w:p w14:paraId="11A83979" w14:textId="77777777" w:rsidR="00F5289E" w:rsidRDefault="00F5289E">
      <w:pPr>
        <w:widowControl/>
        <w:adjustRightInd w:val="0"/>
        <w:snapToGrid w:val="0"/>
        <w:spacing w:line="360" w:lineRule="auto"/>
        <w:ind w:firstLineChars="245" w:firstLine="514"/>
        <w:rPr>
          <w:rFonts w:hAnsi="Arial"/>
          <w:kern w:val="0"/>
          <w:szCs w:val="21"/>
        </w:rPr>
      </w:pPr>
      <w:bookmarkStart w:id="48" w:name="_Hlk38993010"/>
    </w:p>
    <w:bookmarkEnd w:id="48"/>
    <w:p w14:paraId="7DB18975" w14:textId="77777777" w:rsidR="00F5289E" w:rsidRDefault="00C91173">
      <w:pPr>
        <w:widowControl/>
        <w:adjustRightInd w:val="0"/>
        <w:snapToGrid w:val="0"/>
        <w:spacing w:beforeLines="50" w:before="156" w:line="360" w:lineRule="auto"/>
        <w:jc w:val="right"/>
        <w:rPr>
          <w:kern w:val="0"/>
          <w:szCs w:val="21"/>
        </w:rPr>
      </w:pPr>
      <w:r>
        <w:rPr>
          <w:b/>
          <w:bCs/>
          <w:kern w:val="0"/>
          <w:szCs w:val="21"/>
        </w:rPr>
        <w:t>第七章</w:t>
      </w:r>
      <w:r>
        <w:rPr>
          <w:b/>
          <w:bCs/>
          <w:kern w:val="0"/>
          <w:szCs w:val="21"/>
        </w:rPr>
        <w:t xml:space="preserve">  </w:t>
      </w:r>
      <w:r>
        <w:rPr>
          <w:b/>
          <w:bCs/>
          <w:kern w:val="0"/>
          <w:szCs w:val="21"/>
        </w:rPr>
        <w:t>系统分子生物学</w:t>
      </w:r>
      <w:r>
        <w:rPr>
          <w:b/>
          <w:bCs/>
          <w:kern w:val="0"/>
          <w:szCs w:val="21"/>
        </w:rPr>
        <w:t xml:space="preserve">                       </w:t>
      </w:r>
      <w:r>
        <w:rPr>
          <w:b/>
          <w:bCs/>
          <w:kern w:val="0"/>
          <w:szCs w:val="21"/>
        </w:rPr>
        <w:t>学时数：</w:t>
      </w:r>
      <w:r>
        <w:rPr>
          <w:b/>
          <w:bCs/>
          <w:kern w:val="0"/>
          <w:szCs w:val="21"/>
        </w:rPr>
        <w:t>4</w:t>
      </w:r>
    </w:p>
    <w:p w14:paraId="1EF337AE" w14:textId="77777777" w:rsidR="00F5289E" w:rsidRDefault="00C91173">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掌握系统分子生物学的研究内容及其应用。</w:t>
      </w:r>
    </w:p>
    <w:p w14:paraId="73ABD085" w14:textId="77777777" w:rsidR="00F5289E" w:rsidRDefault="00C91173">
      <w:pPr>
        <w:widowControl/>
        <w:adjustRightInd w:val="0"/>
        <w:snapToGrid w:val="0"/>
        <w:spacing w:line="360" w:lineRule="auto"/>
        <w:rPr>
          <w:kern w:val="0"/>
          <w:szCs w:val="21"/>
        </w:rPr>
      </w:pPr>
      <w:r>
        <w:rPr>
          <w:b/>
          <w:bCs/>
          <w:szCs w:val="21"/>
        </w:rPr>
        <w:t>教学重点和难点：</w:t>
      </w:r>
      <w:r>
        <w:rPr>
          <w:rFonts w:hint="eastAsia"/>
          <w:b/>
          <w:bCs/>
          <w:szCs w:val="21"/>
        </w:rPr>
        <w:t>重点：</w:t>
      </w:r>
      <w:r>
        <w:rPr>
          <w:rFonts w:hint="eastAsia"/>
          <w:kern w:val="0"/>
          <w:szCs w:val="21"/>
        </w:rPr>
        <w:t>系统分子生物学的主要技术平台的研究内容及其应用；难点：分子标记的种类及原理。</w:t>
      </w:r>
    </w:p>
    <w:p w14:paraId="216B7501" w14:textId="77777777" w:rsidR="00F5289E" w:rsidRDefault="00C91173">
      <w:pPr>
        <w:widowControl/>
        <w:adjustRightInd w:val="0"/>
        <w:snapToGrid w:val="0"/>
        <w:spacing w:line="360" w:lineRule="auto"/>
        <w:rPr>
          <w:b/>
          <w:bCs/>
          <w:szCs w:val="21"/>
        </w:rPr>
      </w:pPr>
      <w:r>
        <w:rPr>
          <w:rFonts w:hint="eastAsia"/>
          <w:b/>
          <w:bCs/>
          <w:szCs w:val="21"/>
        </w:rPr>
        <w:t>主要教学内容及要求：</w:t>
      </w:r>
      <w:r>
        <w:rPr>
          <w:rFonts w:hint="eastAsia"/>
          <w:kern w:val="0"/>
          <w:szCs w:val="21"/>
        </w:rPr>
        <w:t>掌握系统分子生物学的研究内容及其应用，了解其发展趋势。</w:t>
      </w:r>
    </w:p>
    <w:p w14:paraId="3274766A" w14:textId="77777777" w:rsidR="00F5289E" w:rsidRDefault="00C91173" w:rsidP="00A115EF">
      <w:pPr>
        <w:widowControl/>
        <w:numPr>
          <w:ilvl w:val="0"/>
          <w:numId w:val="13"/>
        </w:numPr>
        <w:adjustRightInd w:val="0"/>
        <w:snapToGrid w:val="0"/>
        <w:spacing w:line="360" w:lineRule="auto"/>
        <w:rPr>
          <w:bCs/>
          <w:szCs w:val="21"/>
        </w:rPr>
      </w:pPr>
      <w:r>
        <w:rPr>
          <w:rFonts w:hint="eastAsia"/>
          <w:bCs/>
          <w:szCs w:val="21"/>
        </w:rPr>
        <w:t>系统分子生物学：系统分子生物学的主要技术平台、基本工作流程及应用。</w:t>
      </w:r>
    </w:p>
    <w:p w14:paraId="38EF8C30" w14:textId="77777777" w:rsidR="00F5289E" w:rsidRDefault="00C91173" w:rsidP="00A115EF">
      <w:pPr>
        <w:widowControl/>
        <w:numPr>
          <w:ilvl w:val="0"/>
          <w:numId w:val="13"/>
        </w:numPr>
        <w:adjustRightInd w:val="0"/>
        <w:snapToGrid w:val="0"/>
        <w:spacing w:line="360" w:lineRule="auto"/>
        <w:rPr>
          <w:bCs/>
          <w:szCs w:val="21"/>
        </w:rPr>
      </w:pPr>
      <w:r>
        <w:rPr>
          <w:rFonts w:hint="eastAsia"/>
          <w:bCs/>
          <w:szCs w:val="21"/>
        </w:rPr>
        <w:t>基因、基因组与基因组学：原核生物基因组、真核生物基因组及基因组计划研究概况。</w:t>
      </w:r>
    </w:p>
    <w:p w14:paraId="58E1D272" w14:textId="77777777" w:rsidR="00F5289E" w:rsidRDefault="00C91173" w:rsidP="00A115EF">
      <w:pPr>
        <w:widowControl/>
        <w:numPr>
          <w:ilvl w:val="0"/>
          <w:numId w:val="13"/>
        </w:numPr>
        <w:adjustRightInd w:val="0"/>
        <w:snapToGrid w:val="0"/>
        <w:spacing w:line="360" w:lineRule="auto"/>
        <w:rPr>
          <w:bCs/>
          <w:szCs w:val="21"/>
        </w:rPr>
      </w:pPr>
      <w:r>
        <w:rPr>
          <w:rFonts w:hint="eastAsia"/>
          <w:bCs/>
          <w:szCs w:val="21"/>
        </w:rPr>
        <w:t>转录组与转录组学：转录组与转录组学的定义、主要研究内容、研究方法及研究进展。</w:t>
      </w:r>
    </w:p>
    <w:p w14:paraId="6A53446A" w14:textId="77777777" w:rsidR="00F5289E" w:rsidRDefault="00C91173" w:rsidP="00A115EF">
      <w:pPr>
        <w:widowControl/>
        <w:numPr>
          <w:ilvl w:val="0"/>
          <w:numId w:val="13"/>
        </w:numPr>
        <w:adjustRightInd w:val="0"/>
        <w:snapToGrid w:val="0"/>
        <w:spacing w:line="360" w:lineRule="auto"/>
        <w:rPr>
          <w:bCs/>
          <w:szCs w:val="21"/>
        </w:rPr>
      </w:pPr>
      <w:r>
        <w:rPr>
          <w:rFonts w:hint="eastAsia"/>
          <w:bCs/>
          <w:szCs w:val="21"/>
        </w:rPr>
        <w:t>蛋白质组与蛋白质组学：蛋白质组与蛋白质组学的诞生、主要研究内容、技术路线及发展趋势。</w:t>
      </w:r>
    </w:p>
    <w:p w14:paraId="17749105" w14:textId="77777777" w:rsidR="00F5289E" w:rsidRDefault="00C91173" w:rsidP="00A115EF">
      <w:pPr>
        <w:widowControl/>
        <w:numPr>
          <w:ilvl w:val="0"/>
          <w:numId w:val="13"/>
        </w:numPr>
        <w:adjustRightInd w:val="0"/>
        <w:snapToGrid w:val="0"/>
        <w:spacing w:line="360" w:lineRule="auto"/>
        <w:rPr>
          <w:bCs/>
          <w:szCs w:val="21"/>
        </w:rPr>
      </w:pPr>
      <w:r>
        <w:rPr>
          <w:rFonts w:hint="eastAsia"/>
          <w:bCs/>
          <w:szCs w:val="21"/>
        </w:rPr>
        <w:t>代谢组与代谢组学：代谢组与代谢组学的诞生、应用及发展趋势。</w:t>
      </w:r>
    </w:p>
    <w:p w14:paraId="6DEC1F9E" w14:textId="77777777" w:rsidR="00F5289E" w:rsidRDefault="00C91173">
      <w:pPr>
        <w:widowControl/>
        <w:adjustRightInd w:val="0"/>
        <w:snapToGrid w:val="0"/>
        <w:spacing w:line="360" w:lineRule="auto"/>
        <w:rPr>
          <w:b/>
          <w:kern w:val="0"/>
          <w:szCs w:val="21"/>
        </w:rPr>
      </w:pPr>
      <w:r>
        <w:rPr>
          <w:rFonts w:hint="eastAsia"/>
          <w:b/>
          <w:kern w:val="0"/>
          <w:szCs w:val="21"/>
        </w:rPr>
        <w:t>要求：</w:t>
      </w:r>
    </w:p>
    <w:p w14:paraId="1685D016" w14:textId="77777777" w:rsidR="00F5289E" w:rsidRDefault="00C91173">
      <w:pPr>
        <w:widowControl/>
        <w:adjustRightInd w:val="0"/>
        <w:snapToGrid w:val="0"/>
        <w:spacing w:line="360" w:lineRule="auto"/>
        <w:ind w:firstLine="420"/>
        <w:rPr>
          <w:kern w:val="0"/>
          <w:szCs w:val="21"/>
        </w:rPr>
      </w:pPr>
      <w:r>
        <w:rPr>
          <w:rFonts w:hint="eastAsia"/>
          <w:kern w:val="0"/>
          <w:szCs w:val="21"/>
        </w:rPr>
        <w:t>了解：各种技术平台的定义及相应的发展趋势。</w:t>
      </w:r>
    </w:p>
    <w:p w14:paraId="268C8DD2" w14:textId="77777777" w:rsidR="00F5289E" w:rsidRDefault="00C91173">
      <w:pPr>
        <w:widowControl/>
        <w:adjustRightInd w:val="0"/>
        <w:snapToGrid w:val="0"/>
        <w:spacing w:line="360" w:lineRule="auto"/>
        <w:ind w:firstLine="420"/>
        <w:rPr>
          <w:kern w:val="0"/>
          <w:szCs w:val="21"/>
        </w:rPr>
      </w:pPr>
      <w:r>
        <w:rPr>
          <w:rFonts w:hint="eastAsia"/>
          <w:kern w:val="0"/>
          <w:szCs w:val="21"/>
        </w:rPr>
        <w:t>掌握：系统分子生物学的主要技术平台、基本工作流程及应用。</w:t>
      </w:r>
    </w:p>
    <w:p w14:paraId="7929831C" w14:textId="77777777" w:rsidR="00F5289E" w:rsidRDefault="00C91173">
      <w:pPr>
        <w:widowControl/>
        <w:adjustRightInd w:val="0"/>
        <w:snapToGrid w:val="0"/>
        <w:spacing w:line="360" w:lineRule="auto"/>
        <w:ind w:firstLine="420"/>
        <w:rPr>
          <w:kern w:val="0"/>
          <w:szCs w:val="21"/>
        </w:rPr>
      </w:pPr>
      <w:r>
        <w:rPr>
          <w:rFonts w:hint="eastAsia"/>
          <w:kern w:val="0"/>
          <w:szCs w:val="21"/>
        </w:rPr>
        <w:t>熟练掌握：系统分子生物学的研究内容及基因组、转录组、蛋白组、代谢组的概念。</w:t>
      </w:r>
    </w:p>
    <w:p w14:paraId="4897B07F" w14:textId="77777777" w:rsidR="00F5289E" w:rsidRDefault="00C91173">
      <w:pPr>
        <w:widowControl/>
        <w:adjustRightInd w:val="0"/>
        <w:snapToGrid w:val="0"/>
        <w:spacing w:line="360" w:lineRule="auto"/>
        <w:rPr>
          <w:b/>
          <w:bCs/>
        </w:rPr>
      </w:pPr>
      <w:r>
        <w:rPr>
          <w:rFonts w:hint="eastAsia"/>
          <w:b/>
          <w:bCs/>
        </w:rPr>
        <w:lastRenderedPageBreak/>
        <w:t>教学组织与实施：</w:t>
      </w:r>
    </w:p>
    <w:p w14:paraId="7E5AE48E" w14:textId="77777777" w:rsidR="00F5289E" w:rsidRDefault="00C91173">
      <w:pPr>
        <w:widowControl/>
        <w:adjustRightInd w:val="0"/>
        <w:snapToGrid w:val="0"/>
        <w:spacing w:line="360" w:lineRule="auto"/>
        <w:ind w:firstLineChars="200" w:firstLine="420"/>
      </w:pPr>
      <w:r>
        <w:rPr>
          <w:rFonts w:hint="eastAsia"/>
          <w:bCs/>
        </w:rPr>
        <w:t>利用超星学习通提前上传课件，要求学生提前预习章节内容，做好课前准备工作。以班级授课的形式进行讲授，结合</w:t>
      </w:r>
      <w:r>
        <w:rPr>
          <w:bCs/>
        </w:rPr>
        <w:t>PPT</w:t>
      </w:r>
      <w:r>
        <w:rPr>
          <w:rFonts w:hint="eastAsia"/>
          <w:bCs/>
        </w:rPr>
        <w:t>及现场提问，讲述理论基础的同时，列举实际应用范例，深入浅出的讲授疑点难点。介绍我们科学界在黄瓜、番茄等蔬菜基因组学方面的成就，激发同学们的自豪感和科研热情。</w:t>
      </w:r>
    </w:p>
    <w:p w14:paraId="7FFF156A" w14:textId="77777777" w:rsidR="00F5289E" w:rsidRDefault="00C91173">
      <w:pPr>
        <w:widowControl/>
        <w:adjustRightInd w:val="0"/>
        <w:snapToGrid w:val="0"/>
        <w:spacing w:beforeLines="50" w:before="156" w:line="360" w:lineRule="auto"/>
        <w:jc w:val="right"/>
        <w:rPr>
          <w:kern w:val="0"/>
          <w:szCs w:val="21"/>
        </w:rPr>
      </w:pPr>
      <w:r>
        <w:rPr>
          <w:b/>
          <w:bCs/>
          <w:kern w:val="0"/>
          <w:szCs w:val="21"/>
        </w:rPr>
        <w:t>第八章</w:t>
      </w:r>
      <w:r>
        <w:rPr>
          <w:b/>
          <w:bCs/>
          <w:kern w:val="0"/>
          <w:szCs w:val="21"/>
        </w:rPr>
        <w:t xml:space="preserve">  </w:t>
      </w:r>
      <w:r>
        <w:rPr>
          <w:b/>
          <w:bCs/>
          <w:kern w:val="0"/>
          <w:szCs w:val="21"/>
        </w:rPr>
        <w:t>分子生物学技术发展及其在农业科学中的应用</w:t>
      </w:r>
      <w:r>
        <w:rPr>
          <w:b/>
          <w:bCs/>
          <w:kern w:val="0"/>
          <w:szCs w:val="21"/>
        </w:rPr>
        <w:t xml:space="preserve">      </w:t>
      </w:r>
      <w:r>
        <w:rPr>
          <w:b/>
          <w:bCs/>
          <w:kern w:val="0"/>
          <w:szCs w:val="21"/>
        </w:rPr>
        <w:t>学时数：</w:t>
      </w:r>
      <w:r>
        <w:rPr>
          <w:b/>
          <w:bCs/>
          <w:kern w:val="0"/>
          <w:szCs w:val="21"/>
        </w:rPr>
        <w:t>6</w:t>
      </w:r>
    </w:p>
    <w:p w14:paraId="77E59132" w14:textId="77777777" w:rsidR="00F5289E" w:rsidRDefault="00C91173">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rFonts w:hint="eastAsia"/>
          <w:kern w:val="0"/>
          <w:szCs w:val="21"/>
        </w:rPr>
        <w:t>掌握各种分子生物学技术的原理、应用及其发展趋势。</w:t>
      </w:r>
    </w:p>
    <w:p w14:paraId="3D001796" w14:textId="77777777" w:rsidR="00F5289E" w:rsidRDefault="00C91173">
      <w:pPr>
        <w:widowControl/>
        <w:adjustRightInd w:val="0"/>
        <w:snapToGrid w:val="0"/>
        <w:spacing w:line="360" w:lineRule="auto"/>
        <w:rPr>
          <w:kern w:val="0"/>
          <w:szCs w:val="21"/>
        </w:rPr>
      </w:pPr>
      <w:r>
        <w:rPr>
          <w:b/>
          <w:bCs/>
          <w:szCs w:val="21"/>
        </w:rPr>
        <w:t>教学重点和难点：</w:t>
      </w:r>
      <w:r>
        <w:rPr>
          <w:rFonts w:hint="eastAsia"/>
          <w:kern w:val="0"/>
          <w:szCs w:val="21"/>
        </w:rPr>
        <w:t>各种分子生物学技术的原理及其应用</w:t>
      </w:r>
      <w:r>
        <w:rPr>
          <w:kern w:val="0"/>
          <w:szCs w:val="21"/>
        </w:rPr>
        <w:t>。</w:t>
      </w:r>
    </w:p>
    <w:p w14:paraId="4795A909" w14:textId="77777777" w:rsidR="00F5289E" w:rsidRDefault="00C91173">
      <w:pPr>
        <w:adjustRightInd w:val="0"/>
        <w:snapToGrid w:val="0"/>
        <w:spacing w:line="360" w:lineRule="auto"/>
        <w:rPr>
          <w:bCs/>
          <w:szCs w:val="21"/>
        </w:rPr>
      </w:pPr>
      <w:r>
        <w:rPr>
          <w:b/>
          <w:bCs/>
          <w:szCs w:val="21"/>
        </w:rPr>
        <w:t>主要教学内容及要求：</w:t>
      </w:r>
      <w:r>
        <w:rPr>
          <w:rFonts w:hint="eastAsia"/>
          <w:bCs/>
          <w:szCs w:val="21"/>
        </w:rPr>
        <w:t>DNA</w:t>
      </w:r>
      <w:r>
        <w:rPr>
          <w:rFonts w:hint="eastAsia"/>
          <w:bCs/>
          <w:szCs w:val="21"/>
        </w:rPr>
        <w:t>基本技术、</w:t>
      </w:r>
      <w:r>
        <w:rPr>
          <w:rFonts w:hint="eastAsia"/>
          <w:bCs/>
          <w:szCs w:val="21"/>
        </w:rPr>
        <w:t>RNA</w:t>
      </w:r>
      <w:r>
        <w:rPr>
          <w:rFonts w:hint="eastAsia"/>
          <w:bCs/>
          <w:szCs w:val="21"/>
        </w:rPr>
        <w:t>基本技术、蛋白质与蛋白质组学研究技术、载体构建技术、基因表达技术的发展及其在农业科学中的应用。</w:t>
      </w:r>
      <w:r>
        <w:rPr>
          <w:bCs/>
          <w:szCs w:val="21"/>
        </w:rPr>
        <w:t>。</w:t>
      </w:r>
    </w:p>
    <w:p w14:paraId="5382AC6A" w14:textId="77777777" w:rsidR="00F5289E" w:rsidRDefault="00C91173">
      <w:pPr>
        <w:adjustRightInd w:val="0"/>
        <w:snapToGrid w:val="0"/>
        <w:spacing w:line="360" w:lineRule="auto"/>
        <w:rPr>
          <w:b/>
          <w:szCs w:val="21"/>
        </w:rPr>
      </w:pPr>
      <w:r>
        <w:rPr>
          <w:b/>
          <w:bCs/>
          <w:szCs w:val="21"/>
        </w:rPr>
        <w:t>要求：</w:t>
      </w:r>
    </w:p>
    <w:p w14:paraId="571D38CC" w14:textId="77777777" w:rsidR="00F5289E" w:rsidRDefault="00C91173">
      <w:pPr>
        <w:widowControl/>
        <w:adjustRightInd w:val="0"/>
        <w:snapToGrid w:val="0"/>
        <w:spacing w:line="360" w:lineRule="auto"/>
        <w:ind w:firstLine="420"/>
        <w:rPr>
          <w:kern w:val="0"/>
          <w:szCs w:val="21"/>
        </w:rPr>
      </w:pPr>
      <w:r>
        <w:rPr>
          <w:kern w:val="0"/>
          <w:szCs w:val="21"/>
        </w:rPr>
        <w:t>了解：分子生物学技术的发展趋势。</w:t>
      </w:r>
    </w:p>
    <w:p w14:paraId="1718BF3B" w14:textId="77777777" w:rsidR="00F5289E" w:rsidRDefault="00C91173">
      <w:pPr>
        <w:widowControl/>
        <w:adjustRightInd w:val="0"/>
        <w:snapToGrid w:val="0"/>
        <w:spacing w:line="360" w:lineRule="auto"/>
        <w:ind w:firstLine="420"/>
        <w:rPr>
          <w:kern w:val="0"/>
          <w:szCs w:val="21"/>
        </w:rPr>
      </w:pPr>
      <w:r>
        <w:rPr>
          <w:kern w:val="0"/>
          <w:szCs w:val="21"/>
        </w:rPr>
        <w:t>掌握：分子生物学</w:t>
      </w:r>
      <w:r>
        <w:rPr>
          <w:rFonts w:hint="eastAsia"/>
          <w:kern w:val="0"/>
          <w:szCs w:val="21"/>
        </w:rPr>
        <w:t>相关</w:t>
      </w:r>
      <w:r>
        <w:rPr>
          <w:kern w:val="0"/>
          <w:szCs w:val="21"/>
        </w:rPr>
        <w:t>技术的原理。</w:t>
      </w:r>
    </w:p>
    <w:p w14:paraId="2B6CFB19" w14:textId="77777777" w:rsidR="00F5289E" w:rsidRDefault="00C91173">
      <w:pPr>
        <w:widowControl/>
        <w:adjustRightInd w:val="0"/>
        <w:snapToGrid w:val="0"/>
        <w:spacing w:line="360" w:lineRule="auto"/>
        <w:ind w:firstLine="420"/>
        <w:rPr>
          <w:kern w:val="0"/>
          <w:szCs w:val="21"/>
        </w:rPr>
      </w:pPr>
      <w:r>
        <w:rPr>
          <w:kern w:val="0"/>
          <w:szCs w:val="21"/>
        </w:rPr>
        <w:t>熟练掌握：</w:t>
      </w:r>
      <w:r>
        <w:rPr>
          <w:rFonts w:hint="eastAsia"/>
          <w:bCs/>
          <w:szCs w:val="21"/>
        </w:rPr>
        <w:t>模式植物、</w:t>
      </w:r>
      <w:r>
        <w:rPr>
          <w:rFonts w:hint="eastAsia"/>
          <w:bCs/>
          <w:szCs w:val="21"/>
        </w:rPr>
        <w:t>DNA</w:t>
      </w:r>
      <w:r>
        <w:rPr>
          <w:rFonts w:hint="eastAsia"/>
          <w:bCs/>
          <w:szCs w:val="21"/>
        </w:rPr>
        <w:t>技术、载体构建技术及基因表达技术等在农业科学中的应用。</w:t>
      </w:r>
    </w:p>
    <w:p w14:paraId="0EE9BE8F" w14:textId="77777777" w:rsidR="00F5289E" w:rsidRDefault="00C91173">
      <w:pPr>
        <w:widowControl/>
        <w:adjustRightInd w:val="0"/>
        <w:snapToGrid w:val="0"/>
        <w:spacing w:line="360" w:lineRule="auto"/>
        <w:rPr>
          <w:b/>
          <w:bCs/>
          <w:szCs w:val="21"/>
        </w:rPr>
      </w:pPr>
      <w:r>
        <w:rPr>
          <w:rFonts w:hint="eastAsia"/>
          <w:b/>
          <w:bCs/>
          <w:szCs w:val="21"/>
        </w:rPr>
        <w:t>教学组织与实施：</w:t>
      </w:r>
    </w:p>
    <w:p w14:paraId="38402A93" w14:textId="77777777" w:rsidR="00F5289E" w:rsidRDefault="00C91173">
      <w:pPr>
        <w:widowControl/>
        <w:adjustRightInd w:val="0"/>
        <w:snapToGrid w:val="0"/>
        <w:spacing w:line="360" w:lineRule="auto"/>
        <w:ind w:firstLine="420"/>
        <w:rPr>
          <w:bCs/>
          <w:szCs w:val="21"/>
        </w:rPr>
      </w:pPr>
      <w:r>
        <w:rPr>
          <w:rFonts w:hint="eastAsia"/>
          <w:bCs/>
          <w:szCs w:val="21"/>
        </w:rPr>
        <w:t>以班级授课的形式讲授分子生物学在农业科学中的应用中涉及的基本概念及特点（模式植物、报告基因、标记基因等）（</w:t>
      </w:r>
      <w:r>
        <w:rPr>
          <w:rFonts w:hint="eastAsia"/>
          <w:bCs/>
          <w:szCs w:val="21"/>
        </w:rPr>
        <w:t>4</w:t>
      </w:r>
      <w:r>
        <w:rPr>
          <w:rFonts w:hint="eastAsia"/>
          <w:bCs/>
          <w:szCs w:val="21"/>
        </w:rPr>
        <w:t>学时）。</w:t>
      </w:r>
    </w:p>
    <w:p w14:paraId="10AE0CD7" w14:textId="77777777" w:rsidR="00F5289E" w:rsidRDefault="00C91173">
      <w:pPr>
        <w:widowControl/>
        <w:adjustRightInd w:val="0"/>
        <w:snapToGrid w:val="0"/>
        <w:spacing w:line="360" w:lineRule="auto"/>
        <w:ind w:firstLine="420"/>
        <w:rPr>
          <w:bCs/>
          <w:szCs w:val="21"/>
        </w:rPr>
      </w:pPr>
      <w:r>
        <w:rPr>
          <w:rFonts w:hint="eastAsia"/>
          <w:bCs/>
          <w:szCs w:val="21"/>
        </w:rPr>
        <w:t>以小组协作学习的形式，让学生自己查阅教材及参考材料，然后各个小组分享信息，使学生掌握基因表达技术中</w:t>
      </w:r>
      <w:r>
        <w:rPr>
          <w:rFonts w:hint="eastAsia"/>
          <w:bCs/>
          <w:szCs w:val="21"/>
        </w:rPr>
        <w:t>RNAi</w:t>
      </w:r>
      <w:r>
        <w:rPr>
          <w:rFonts w:hint="eastAsia"/>
          <w:bCs/>
          <w:szCs w:val="21"/>
        </w:rPr>
        <w:t>与</w:t>
      </w:r>
      <w:r>
        <w:rPr>
          <w:rFonts w:hint="eastAsia"/>
          <w:bCs/>
          <w:szCs w:val="21"/>
        </w:rPr>
        <w:t>CRISPR</w:t>
      </w:r>
      <w:r>
        <w:rPr>
          <w:rFonts w:hint="eastAsia"/>
          <w:bCs/>
          <w:szCs w:val="21"/>
        </w:rPr>
        <w:t>的区别与相同点（</w:t>
      </w:r>
      <w:r>
        <w:rPr>
          <w:rFonts w:hint="eastAsia"/>
          <w:bCs/>
          <w:szCs w:val="21"/>
        </w:rPr>
        <w:t>1</w:t>
      </w:r>
      <w:r>
        <w:rPr>
          <w:rFonts w:hint="eastAsia"/>
          <w:bCs/>
          <w:szCs w:val="21"/>
        </w:rPr>
        <w:t>学时）。</w:t>
      </w:r>
    </w:p>
    <w:p w14:paraId="002F59DE" w14:textId="77777777" w:rsidR="00F5289E" w:rsidRDefault="00C91173">
      <w:pPr>
        <w:widowControl/>
        <w:adjustRightInd w:val="0"/>
        <w:snapToGrid w:val="0"/>
        <w:spacing w:line="360" w:lineRule="auto"/>
        <w:ind w:firstLine="420"/>
        <w:rPr>
          <w:bCs/>
          <w:szCs w:val="21"/>
        </w:rPr>
      </w:pPr>
      <w:r>
        <w:rPr>
          <w:rFonts w:hint="eastAsia"/>
          <w:bCs/>
          <w:szCs w:val="21"/>
        </w:rPr>
        <w:t>以辩论的形式，学生通过查阅相关资料后，选派代表分为正反两方针对园艺分子生物学中的相关技术展开辩论。话题</w:t>
      </w:r>
      <w:r>
        <w:rPr>
          <w:rFonts w:hint="eastAsia"/>
          <w:bCs/>
          <w:szCs w:val="21"/>
        </w:rPr>
        <w:t>:</w:t>
      </w:r>
      <w:r>
        <w:rPr>
          <w:rFonts w:hint="eastAsia"/>
          <w:bCs/>
          <w:szCs w:val="21"/>
        </w:rPr>
        <w:t>转基因</w:t>
      </w:r>
      <w:r>
        <w:rPr>
          <w:rFonts w:hint="eastAsia"/>
          <w:bCs/>
          <w:szCs w:val="21"/>
        </w:rPr>
        <w:t xml:space="preserve"> YES or No</w:t>
      </w:r>
      <w:r>
        <w:rPr>
          <w:rFonts w:hint="eastAsia"/>
          <w:bCs/>
          <w:szCs w:val="21"/>
        </w:rPr>
        <w:t>；</w:t>
      </w:r>
      <w:r>
        <w:rPr>
          <w:rFonts w:hint="eastAsia"/>
          <w:bCs/>
          <w:szCs w:val="21"/>
        </w:rPr>
        <w:t>RNAi</w:t>
      </w:r>
      <w:r>
        <w:rPr>
          <w:rFonts w:hint="eastAsia"/>
          <w:bCs/>
          <w:szCs w:val="21"/>
        </w:rPr>
        <w:t>好还是</w:t>
      </w:r>
      <w:r>
        <w:rPr>
          <w:rFonts w:hint="eastAsia"/>
          <w:bCs/>
          <w:szCs w:val="21"/>
        </w:rPr>
        <w:t>CRISPR</w:t>
      </w:r>
      <w:r>
        <w:rPr>
          <w:rFonts w:hint="eastAsia"/>
          <w:bCs/>
          <w:szCs w:val="21"/>
        </w:rPr>
        <w:t>好；等（</w:t>
      </w:r>
      <w:r>
        <w:rPr>
          <w:rFonts w:hint="eastAsia"/>
          <w:bCs/>
          <w:szCs w:val="21"/>
        </w:rPr>
        <w:t>1</w:t>
      </w:r>
      <w:r>
        <w:rPr>
          <w:rFonts w:hint="eastAsia"/>
          <w:bCs/>
          <w:szCs w:val="21"/>
        </w:rPr>
        <w:t>学时）。</w:t>
      </w:r>
    </w:p>
    <w:p w14:paraId="3397513F" w14:textId="77777777" w:rsidR="00F5289E" w:rsidRDefault="00F5289E">
      <w:pPr>
        <w:widowControl/>
        <w:adjustRightInd w:val="0"/>
        <w:snapToGrid w:val="0"/>
        <w:spacing w:line="360" w:lineRule="auto"/>
        <w:ind w:firstLine="420"/>
        <w:rPr>
          <w:bCs/>
          <w:szCs w:val="21"/>
        </w:rPr>
      </w:pPr>
    </w:p>
    <w:p w14:paraId="4F14AF2F" w14:textId="77777777" w:rsidR="00F5289E" w:rsidRDefault="00C91173">
      <w:pPr>
        <w:widowControl/>
        <w:snapToGrid w:val="0"/>
        <w:spacing w:beforeLines="50" w:before="156" w:line="360" w:lineRule="auto"/>
        <w:jc w:val="left"/>
        <w:rPr>
          <w:b/>
          <w:bCs/>
          <w:kern w:val="0"/>
          <w:szCs w:val="21"/>
        </w:rPr>
      </w:pPr>
      <w:r>
        <w:rPr>
          <w:rFonts w:hint="eastAsia"/>
          <w:b/>
          <w:bCs/>
          <w:kern w:val="0"/>
          <w:szCs w:val="21"/>
        </w:rPr>
        <w:t>五</w:t>
      </w:r>
      <w:r>
        <w:rPr>
          <w:b/>
          <w:bCs/>
          <w:kern w:val="0"/>
          <w:szCs w:val="21"/>
        </w:rPr>
        <w:t>、实验教学内容及学时分配（</w:t>
      </w:r>
      <w:r>
        <w:rPr>
          <w:b/>
          <w:bCs/>
          <w:kern w:val="0"/>
          <w:szCs w:val="21"/>
        </w:rPr>
        <w:t>8</w:t>
      </w:r>
      <w:r>
        <w:rPr>
          <w:b/>
          <w:bCs/>
          <w:kern w:val="0"/>
          <w:szCs w:val="21"/>
        </w:rPr>
        <w:t>学时）</w:t>
      </w:r>
    </w:p>
    <w:p w14:paraId="6791895F"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554FDF8C" w14:textId="77777777" w:rsidR="00F5289E" w:rsidRDefault="00C91173">
      <w:pPr>
        <w:adjustRightInd w:val="0"/>
        <w:snapToGrid w:val="0"/>
        <w:spacing w:line="360" w:lineRule="auto"/>
        <w:ind w:firstLineChars="200" w:firstLine="420"/>
        <w:rPr>
          <w:bCs/>
          <w:szCs w:val="21"/>
        </w:rPr>
      </w:pPr>
      <w:r>
        <w:rPr>
          <w:rFonts w:hAnsi="宋体" w:hint="eastAsia"/>
          <w:bCs/>
          <w:szCs w:val="21"/>
        </w:rPr>
        <w:t>设计</w:t>
      </w:r>
      <w:r>
        <w:rPr>
          <w:rFonts w:hAnsi="宋体" w:hint="eastAsia"/>
          <w:bCs/>
          <w:szCs w:val="21"/>
        </w:rPr>
        <w:t>4</w:t>
      </w:r>
      <w:r>
        <w:rPr>
          <w:rFonts w:hAnsi="宋体" w:hint="eastAsia"/>
          <w:bCs/>
          <w:szCs w:val="21"/>
        </w:rPr>
        <w:t>个实验，常见分子生物学仪器参观，讲解相关分子生物学仪器的操作方法和应用范围；提取质粒</w:t>
      </w:r>
      <w:r>
        <w:rPr>
          <w:rFonts w:hAnsi="宋体" w:hint="eastAsia"/>
          <w:bCs/>
          <w:szCs w:val="21"/>
        </w:rPr>
        <w:t>DNA</w:t>
      </w:r>
      <w:r>
        <w:rPr>
          <w:rFonts w:hAnsi="宋体" w:hint="eastAsia"/>
          <w:bCs/>
          <w:szCs w:val="21"/>
        </w:rPr>
        <w:t>及</w:t>
      </w:r>
      <w:r>
        <w:rPr>
          <w:rFonts w:hAnsi="宋体" w:hint="eastAsia"/>
          <w:bCs/>
          <w:szCs w:val="21"/>
        </w:rPr>
        <w:t>RNA</w:t>
      </w:r>
      <w:r>
        <w:rPr>
          <w:rFonts w:hAnsi="宋体" w:hint="eastAsia"/>
          <w:bCs/>
          <w:szCs w:val="21"/>
        </w:rPr>
        <w:t>并进行</w:t>
      </w:r>
      <w:r>
        <w:rPr>
          <w:szCs w:val="21"/>
        </w:rPr>
        <w:t>琼脂糖凝胶电泳</w:t>
      </w:r>
      <w:r>
        <w:rPr>
          <w:rFonts w:hAnsi="宋体" w:hint="eastAsia"/>
          <w:bCs/>
          <w:szCs w:val="21"/>
        </w:rPr>
        <w:t>检测，通过对其结果进行分析，介绍对实验常规材料的要求及应用；利用</w:t>
      </w:r>
      <w:r>
        <w:rPr>
          <w:rFonts w:hAnsi="宋体" w:hint="eastAsia"/>
          <w:bCs/>
          <w:szCs w:val="21"/>
        </w:rPr>
        <w:t>PCR</w:t>
      </w:r>
      <w:r>
        <w:rPr>
          <w:rFonts w:hAnsi="宋体" w:hint="eastAsia"/>
          <w:bCs/>
          <w:szCs w:val="21"/>
        </w:rPr>
        <w:t>技术检测</w:t>
      </w:r>
      <w:r>
        <w:rPr>
          <w:rFonts w:hAnsi="宋体" w:hint="eastAsia"/>
          <w:bCs/>
          <w:szCs w:val="21"/>
        </w:rPr>
        <w:t>SSR</w:t>
      </w:r>
      <w:r>
        <w:rPr>
          <w:rFonts w:hAnsi="宋体" w:hint="eastAsia"/>
          <w:bCs/>
          <w:szCs w:val="21"/>
        </w:rPr>
        <w:t>标记，增强学生对</w:t>
      </w:r>
      <w:r>
        <w:rPr>
          <w:rFonts w:hAnsi="宋体" w:hint="eastAsia"/>
          <w:bCs/>
          <w:szCs w:val="21"/>
        </w:rPr>
        <w:t>PCR</w:t>
      </w:r>
      <w:r>
        <w:rPr>
          <w:rFonts w:hAnsi="宋体" w:hint="eastAsia"/>
          <w:bCs/>
          <w:szCs w:val="21"/>
        </w:rPr>
        <w:t>技术的掌握以及对分子标记的感性认识。</w:t>
      </w:r>
    </w:p>
    <w:p w14:paraId="743FD61F"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5006626A" w14:textId="77777777" w:rsidR="00F5289E" w:rsidRDefault="00C91173">
      <w:pPr>
        <w:adjustRightInd w:val="0"/>
        <w:snapToGrid w:val="0"/>
        <w:spacing w:line="360" w:lineRule="auto"/>
        <w:ind w:firstLineChars="200" w:firstLine="420"/>
      </w:pPr>
      <w:r>
        <w:rPr>
          <w:rFonts w:hAnsi="宋体" w:hint="eastAsia"/>
          <w:bCs/>
          <w:szCs w:val="21"/>
        </w:rPr>
        <w:t>掌握分子生物学常用的实验技术及操作方法</w:t>
      </w:r>
      <w:r>
        <w:rPr>
          <w:rFonts w:hint="eastAsia"/>
        </w:rPr>
        <w:t>。</w:t>
      </w:r>
    </w:p>
    <w:p w14:paraId="1FFA5FCA"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（三）实验项目名称与学时分配</w:t>
      </w:r>
    </w:p>
    <w:p w14:paraId="57A29102" w14:textId="77777777" w:rsidR="00DF3F21" w:rsidRDefault="00DF3F21">
      <w:pPr>
        <w:snapToGrid w:val="0"/>
        <w:spacing w:afterLines="50" w:after="156" w:line="360" w:lineRule="auto"/>
        <w:rPr>
          <w:rFonts w:ascii="宋体" w:hAnsi="宋体"/>
          <w:b/>
          <w:bCs/>
          <w:szCs w:val="21"/>
        </w:rPr>
      </w:pPr>
    </w:p>
    <w:tbl>
      <w:tblPr>
        <w:tblStyle w:val="af6"/>
        <w:tblW w:w="9147" w:type="dxa"/>
        <w:jc w:val="center"/>
        <w:tblLook w:val="04A0" w:firstRow="1" w:lastRow="0" w:firstColumn="1" w:lastColumn="0" w:noHBand="0" w:noVBand="1"/>
      </w:tblPr>
      <w:tblGrid>
        <w:gridCol w:w="1112"/>
        <w:gridCol w:w="3134"/>
        <w:gridCol w:w="922"/>
        <w:gridCol w:w="1131"/>
        <w:gridCol w:w="1499"/>
        <w:gridCol w:w="1349"/>
      </w:tblGrid>
      <w:tr w:rsidR="00DF3F21" w14:paraId="5A7C5AC2" w14:textId="77777777" w:rsidTr="00C91173">
        <w:trPr>
          <w:trHeight w:val="388"/>
          <w:jc w:val="center"/>
        </w:trPr>
        <w:tc>
          <w:tcPr>
            <w:tcW w:w="1112" w:type="dxa"/>
            <w:shd w:val="clear" w:color="auto" w:fill="EEECE1" w:themeFill="background2"/>
            <w:vAlign w:val="center"/>
          </w:tcPr>
          <w:p w14:paraId="4277B1E9" w14:textId="77777777" w:rsidR="00DF3F21" w:rsidRDefault="00DF3F21" w:rsidP="00C91173">
            <w:pPr>
              <w:snapToGrid w:val="0"/>
              <w:jc w:val="center"/>
              <w:rPr>
                <w:b/>
                <w:bCs/>
                <w:sz w:val="18"/>
                <w:szCs w:val="18"/>
              </w:rPr>
            </w:pPr>
            <w:r>
              <w:rPr>
                <w:b/>
                <w:bCs/>
                <w:sz w:val="18"/>
                <w:szCs w:val="18"/>
              </w:rPr>
              <w:lastRenderedPageBreak/>
              <w:t>序号</w:t>
            </w:r>
          </w:p>
        </w:tc>
        <w:tc>
          <w:tcPr>
            <w:tcW w:w="3134" w:type="dxa"/>
            <w:shd w:val="clear" w:color="auto" w:fill="EEECE1" w:themeFill="background2"/>
            <w:vAlign w:val="center"/>
          </w:tcPr>
          <w:p w14:paraId="04F10D84" w14:textId="77777777" w:rsidR="00DF3F21" w:rsidRDefault="00DF3F21" w:rsidP="00C91173">
            <w:pPr>
              <w:snapToGrid w:val="0"/>
              <w:jc w:val="center"/>
              <w:rPr>
                <w:b/>
                <w:bCs/>
                <w:sz w:val="18"/>
                <w:szCs w:val="18"/>
              </w:rPr>
            </w:pPr>
            <w:r>
              <w:rPr>
                <w:b/>
                <w:bCs/>
                <w:sz w:val="18"/>
                <w:szCs w:val="18"/>
              </w:rPr>
              <w:t>实验名称</w:t>
            </w:r>
          </w:p>
        </w:tc>
        <w:tc>
          <w:tcPr>
            <w:tcW w:w="922" w:type="dxa"/>
            <w:shd w:val="clear" w:color="auto" w:fill="EEECE1" w:themeFill="background2"/>
            <w:vAlign w:val="center"/>
          </w:tcPr>
          <w:p w14:paraId="2EA03A93" w14:textId="77777777" w:rsidR="00DF3F21" w:rsidRDefault="00DF3F21" w:rsidP="00C91173">
            <w:pPr>
              <w:snapToGrid w:val="0"/>
              <w:jc w:val="center"/>
              <w:rPr>
                <w:b/>
                <w:bCs/>
                <w:sz w:val="18"/>
                <w:szCs w:val="18"/>
              </w:rPr>
            </w:pPr>
            <w:r>
              <w:rPr>
                <w:b/>
                <w:bCs/>
                <w:sz w:val="18"/>
                <w:szCs w:val="18"/>
              </w:rPr>
              <w:t>学时</w:t>
            </w:r>
          </w:p>
        </w:tc>
        <w:tc>
          <w:tcPr>
            <w:tcW w:w="1131" w:type="dxa"/>
            <w:shd w:val="clear" w:color="auto" w:fill="EEECE1" w:themeFill="background2"/>
            <w:vAlign w:val="center"/>
          </w:tcPr>
          <w:p w14:paraId="53F3E707" w14:textId="77777777" w:rsidR="00DF3F21" w:rsidRDefault="00DF3F21" w:rsidP="00C91173">
            <w:pPr>
              <w:snapToGrid w:val="0"/>
              <w:jc w:val="center"/>
              <w:rPr>
                <w:b/>
                <w:bCs/>
                <w:sz w:val="18"/>
                <w:szCs w:val="18"/>
              </w:rPr>
            </w:pPr>
            <w:r>
              <w:rPr>
                <w:b/>
                <w:bCs/>
                <w:sz w:val="18"/>
                <w:szCs w:val="18"/>
              </w:rPr>
              <w:t>类型</w:t>
            </w:r>
          </w:p>
        </w:tc>
        <w:tc>
          <w:tcPr>
            <w:tcW w:w="1499" w:type="dxa"/>
            <w:shd w:val="clear" w:color="auto" w:fill="EEECE1" w:themeFill="background2"/>
            <w:vAlign w:val="center"/>
          </w:tcPr>
          <w:p w14:paraId="4EF2D846" w14:textId="77777777" w:rsidR="00DF3F21" w:rsidRDefault="00DF3F21" w:rsidP="00C91173">
            <w:pPr>
              <w:snapToGrid w:val="0"/>
              <w:jc w:val="center"/>
              <w:rPr>
                <w:b/>
                <w:bCs/>
                <w:sz w:val="18"/>
                <w:szCs w:val="18"/>
              </w:rPr>
            </w:pPr>
            <w:r>
              <w:rPr>
                <w:b/>
                <w:bCs/>
                <w:sz w:val="18"/>
                <w:szCs w:val="18"/>
              </w:rPr>
              <w:t>实验要求</w:t>
            </w:r>
          </w:p>
        </w:tc>
        <w:tc>
          <w:tcPr>
            <w:tcW w:w="1349" w:type="dxa"/>
            <w:shd w:val="clear" w:color="auto" w:fill="EEECE1" w:themeFill="background2"/>
            <w:vAlign w:val="center"/>
          </w:tcPr>
          <w:p w14:paraId="555FE260" w14:textId="77777777" w:rsidR="00DF3F21" w:rsidRDefault="00DF3F21" w:rsidP="00C91173">
            <w:pPr>
              <w:snapToGrid w:val="0"/>
              <w:jc w:val="center"/>
              <w:rPr>
                <w:b/>
                <w:bCs/>
                <w:sz w:val="18"/>
                <w:szCs w:val="18"/>
              </w:rPr>
            </w:pPr>
            <w:r>
              <w:rPr>
                <w:b/>
                <w:bCs/>
                <w:sz w:val="18"/>
                <w:szCs w:val="18"/>
              </w:rPr>
              <w:t>每组人数</w:t>
            </w:r>
          </w:p>
        </w:tc>
      </w:tr>
      <w:tr w:rsidR="00DF3F21" w14:paraId="07E1E86B" w14:textId="77777777" w:rsidTr="00DF3F21">
        <w:trPr>
          <w:trHeight w:val="388"/>
          <w:jc w:val="center"/>
        </w:trPr>
        <w:tc>
          <w:tcPr>
            <w:tcW w:w="1112" w:type="dxa"/>
            <w:vAlign w:val="center"/>
          </w:tcPr>
          <w:p w14:paraId="6FB2B52B" w14:textId="5C63C1B9" w:rsidR="00DF3F21" w:rsidRDefault="00DF3F21" w:rsidP="00DF3F21">
            <w:pPr>
              <w:snapToGrid w:val="0"/>
              <w:jc w:val="center"/>
              <w:rPr>
                <w:sz w:val="18"/>
                <w:szCs w:val="18"/>
              </w:rPr>
            </w:pPr>
            <w:r w:rsidRPr="00B67EA3">
              <w:rPr>
                <w:sz w:val="18"/>
                <w:szCs w:val="18"/>
              </w:rPr>
              <w:t>1901103201</w:t>
            </w:r>
          </w:p>
        </w:tc>
        <w:tc>
          <w:tcPr>
            <w:tcW w:w="3134" w:type="dxa"/>
            <w:vAlign w:val="center"/>
          </w:tcPr>
          <w:p w14:paraId="35DD13A7" w14:textId="3255B584" w:rsidR="00DF3F21" w:rsidRDefault="00DF3F21" w:rsidP="00DF3F21">
            <w:pPr>
              <w:snapToGrid w:val="0"/>
              <w:jc w:val="center"/>
              <w:rPr>
                <w:sz w:val="18"/>
                <w:szCs w:val="18"/>
              </w:rPr>
            </w:pPr>
            <w:r w:rsidRPr="00B67EA3">
              <w:rPr>
                <w:rFonts w:hint="eastAsia"/>
                <w:kern w:val="0"/>
                <w:sz w:val="18"/>
                <w:szCs w:val="18"/>
              </w:rPr>
              <w:t>碱裂解法提取质粒</w:t>
            </w:r>
            <w:r w:rsidRPr="00B67EA3">
              <w:rPr>
                <w:kern w:val="0"/>
                <w:sz w:val="18"/>
                <w:szCs w:val="18"/>
              </w:rPr>
              <w:t>DNA</w:t>
            </w:r>
            <w:r w:rsidRPr="00B67EA3">
              <w:rPr>
                <w:rFonts w:hint="eastAsia"/>
                <w:kern w:val="0"/>
                <w:sz w:val="18"/>
                <w:szCs w:val="18"/>
              </w:rPr>
              <w:t>及琼脂糖凝胶电泳检测</w:t>
            </w:r>
          </w:p>
        </w:tc>
        <w:tc>
          <w:tcPr>
            <w:tcW w:w="922" w:type="dxa"/>
            <w:vAlign w:val="center"/>
          </w:tcPr>
          <w:p w14:paraId="7D47D032" w14:textId="251CD451" w:rsidR="00DF3F21" w:rsidRDefault="00DF3F21" w:rsidP="00DF3F21">
            <w:pPr>
              <w:snapToGrid w:val="0"/>
              <w:jc w:val="center"/>
              <w:rPr>
                <w:sz w:val="18"/>
                <w:szCs w:val="18"/>
              </w:rPr>
            </w:pPr>
            <w:r w:rsidRPr="00B67EA3">
              <w:rPr>
                <w:sz w:val="18"/>
                <w:szCs w:val="18"/>
              </w:rPr>
              <w:t>4</w:t>
            </w:r>
          </w:p>
        </w:tc>
        <w:tc>
          <w:tcPr>
            <w:tcW w:w="1131" w:type="dxa"/>
            <w:vAlign w:val="center"/>
          </w:tcPr>
          <w:p w14:paraId="470B08E6" w14:textId="3D7B466F" w:rsidR="00DF3F21" w:rsidRDefault="00DF3F21" w:rsidP="00DF3F21">
            <w:pPr>
              <w:snapToGrid w:val="0"/>
              <w:jc w:val="center"/>
              <w:rPr>
                <w:sz w:val="18"/>
                <w:szCs w:val="18"/>
              </w:rPr>
            </w:pPr>
            <w:r w:rsidRPr="00B67EA3">
              <w:rPr>
                <w:rFonts w:hint="eastAsia"/>
                <w:sz w:val="18"/>
                <w:szCs w:val="18"/>
              </w:rPr>
              <w:t>基础性</w:t>
            </w:r>
          </w:p>
        </w:tc>
        <w:tc>
          <w:tcPr>
            <w:tcW w:w="1499" w:type="dxa"/>
            <w:vAlign w:val="center"/>
          </w:tcPr>
          <w:p w14:paraId="0D61276A" w14:textId="5461C4B1" w:rsidR="00DF3F21" w:rsidRDefault="00DF3F21" w:rsidP="00DF3F21">
            <w:pPr>
              <w:snapToGrid w:val="0"/>
              <w:jc w:val="center"/>
              <w:rPr>
                <w:sz w:val="18"/>
                <w:szCs w:val="18"/>
              </w:rPr>
            </w:pPr>
            <w:r w:rsidRPr="00B67EA3">
              <w:rPr>
                <w:rFonts w:hint="eastAsia"/>
                <w:sz w:val="18"/>
                <w:szCs w:val="18"/>
              </w:rPr>
              <w:t>必做</w:t>
            </w:r>
          </w:p>
        </w:tc>
        <w:tc>
          <w:tcPr>
            <w:tcW w:w="1349" w:type="dxa"/>
            <w:vAlign w:val="center"/>
          </w:tcPr>
          <w:p w14:paraId="6331C866" w14:textId="21ADB93E" w:rsidR="00DF3F21" w:rsidRDefault="00DF3F21" w:rsidP="00DF3F21">
            <w:pPr>
              <w:snapToGrid w:val="0"/>
              <w:jc w:val="center"/>
              <w:rPr>
                <w:sz w:val="18"/>
                <w:szCs w:val="18"/>
              </w:rPr>
            </w:pPr>
            <w:r w:rsidRPr="00B67EA3">
              <w:rPr>
                <w:sz w:val="18"/>
                <w:szCs w:val="18"/>
              </w:rPr>
              <w:t>6</w:t>
            </w:r>
          </w:p>
        </w:tc>
      </w:tr>
      <w:tr w:rsidR="00DF3F21" w14:paraId="27DB63DA" w14:textId="77777777" w:rsidTr="00DF3F21">
        <w:trPr>
          <w:trHeight w:val="388"/>
          <w:jc w:val="center"/>
        </w:trPr>
        <w:tc>
          <w:tcPr>
            <w:tcW w:w="1112" w:type="dxa"/>
            <w:vAlign w:val="center"/>
          </w:tcPr>
          <w:p w14:paraId="009E11EA" w14:textId="7276B91D" w:rsidR="00DF3F21" w:rsidRDefault="00DF3F21" w:rsidP="00DF3F21">
            <w:pPr>
              <w:snapToGrid w:val="0"/>
              <w:jc w:val="center"/>
              <w:rPr>
                <w:sz w:val="18"/>
                <w:szCs w:val="18"/>
              </w:rPr>
            </w:pPr>
            <w:r w:rsidRPr="00B67EA3">
              <w:rPr>
                <w:sz w:val="18"/>
                <w:szCs w:val="18"/>
              </w:rPr>
              <w:t>1901103202</w:t>
            </w:r>
          </w:p>
        </w:tc>
        <w:tc>
          <w:tcPr>
            <w:tcW w:w="3134" w:type="dxa"/>
            <w:vAlign w:val="center"/>
          </w:tcPr>
          <w:p w14:paraId="4B21E498" w14:textId="0F0AAC27" w:rsidR="00DF3F21" w:rsidRDefault="00DF3F21" w:rsidP="00DF3F21">
            <w:pPr>
              <w:snapToGrid w:val="0"/>
              <w:jc w:val="center"/>
              <w:rPr>
                <w:sz w:val="18"/>
                <w:szCs w:val="18"/>
              </w:rPr>
            </w:pPr>
            <w:r w:rsidRPr="00B67EA3">
              <w:rPr>
                <w:rFonts w:hint="eastAsia"/>
                <w:sz w:val="18"/>
                <w:szCs w:val="18"/>
              </w:rPr>
              <w:t>利用</w:t>
            </w:r>
            <w:r w:rsidRPr="00B67EA3">
              <w:rPr>
                <w:sz w:val="18"/>
                <w:szCs w:val="18"/>
              </w:rPr>
              <w:t>PCR</w:t>
            </w:r>
            <w:r w:rsidRPr="00B67EA3">
              <w:rPr>
                <w:rFonts w:hint="eastAsia"/>
                <w:sz w:val="18"/>
                <w:szCs w:val="18"/>
              </w:rPr>
              <w:t>技术扩增</w:t>
            </w:r>
            <w:r w:rsidRPr="00B67EA3">
              <w:rPr>
                <w:sz w:val="18"/>
                <w:szCs w:val="18"/>
              </w:rPr>
              <w:t>SSR</w:t>
            </w:r>
            <w:r w:rsidRPr="00B67EA3">
              <w:rPr>
                <w:rFonts w:hint="eastAsia"/>
                <w:sz w:val="18"/>
                <w:szCs w:val="18"/>
              </w:rPr>
              <w:t>标记及聚丙烯酰胺凝胶电泳检测</w:t>
            </w:r>
          </w:p>
        </w:tc>
        <w:tc>
          <w:tcPr>
            <w:tcW w:w="922" w:type="dxa"/>
            <w:vAlign w:val="center"/>
          </w:tcPr>
          <w:p w14:paraId="6E4B89F6" w14:textId="38455B11" w:rsidR="00DF3F21" w:rsidRDefault="00DF3F21" w:rsidP="00DF3F21">
            <w:pPr>
              <w:snapToGrid w:val="0"/>
              <w:jc w:val="center"/>
              <w:rPr>
                <w:sz w:val="18"/>
                <w:szCs w:val="18"/>
              </w:rPr>
            </w:pPr>
            <w:r w:rsidRPr="00B67EA3">
              <w:rPr>
                <w:sz w:val="18"/>
                <w:szCs w:val="18"/>
              </w:rPr>
              <w:t>4</w:t>
            </w:r>
          </w:p>
        </w:tc>
        <w:tc>
          <w:tcPr>
            <w:tcW w:w="1131" w:type="dxa"/>
            <w:vAlign w:val="center"/>
          </w:tcPr>
          <w:p w14:paraId="62F89980" w14:textId="010B0504" w:rsidR="00DF3F21" w:rsidRDefault="00DF3F21" w:rsidP="00DF3F21">
            <w:pPr>
              <w:snapToGrid w:val="0"/>
              <w:jc w:val="center"/>
              <w:rPr>
                <w:sz w:val="18"/>
                <w:szCs w:val="18"/>
              </w:rPr>
            </w:pPr>
            <w:r w:rsidRPr="00B67EA3">
              <w:rPr>
                <w:sz w:val="18"/>
                <w:szCs w:val="18"/>
              </w:rPr>
              <w:t>设计性</w:t>
            </w:r>
          </w:p>
        </w:tc>
        <w:tc>
          <w:tcPr>
            <w:tcW w:w="1499" w:type="dxa"/>
            <w:vAlign w:val="center"/>
          </w:tcPr>
          <w:p w14:paraId="7625BC82" w14:textId="181ADFD6" w:rsidR="00DF3F21" w:rsidRDefault="00DF3F21" w:rsidP="00DF3F21">
            <w:pPr>
              <w:snapToGrid w:val="0"/>
              <w:jc w:val="center"/>
              <w:rPr>
                <w:sz w:val="18"/>
                <w:szCs w:val="18"/>
              </w:rPr>
            </w:pPr>
            <w:r w:rsidRPr="00B67EA3">
              <w:rPr>
                <w:sz w:val="18"/>
                <w:szCs w:val="18"/>
              </w:rPr>
              <w:t>必做</w:t>
            </w:r>
          </w:p>
        </w:tc>
        <w:tc>
          <w:tcPr>
            <w:tcW w:w="1349" w:type="dxa"/>
            <w:vAlign w:val="center"/>
          </w:tcPr>
          <w:p w14:paraId="20BDAE7B" w14:textId="18BE7C63" w:rsidR="00DF3F21" w:rsidRDefault="00DF3F21" w:rsidP="00DF3F21">
            <w:pPr>
              <w:snapToGrid w:val="0"/>
              <w:jc w:val="center"/>
              <w:rPr>
                <w:sz w:val="18"/>
                <w:szCs w:val="18"/>
              </w:rPr>
            </w:pPr>
            <w:r w:rsidRPr="00B67EA3">
              <w:rPr>
                <w:rFonts w:hint="eastAsia"/>
                <w:sz w:val="18"/>
                <w:szCs w:val="18"/>
              </w:rPr>
              <w:t>6</w:t>
            </w:r>
          </w:p>
        </w:tc>
      </w:tr>
    </w:tbl>
    <w:p w14:paraId="44486368" w14:textId="77777777" w:rsidR="00F5289E" w:rsidRDefault="00C91173">
      <w:pPr>
        <w:snapToGrid w:val="0"/>
        <w:spacing w:line="360" w:lineRule="auto"/>
        <w:rPr>
          <w:rFonts w:ascii="宋体" w:hAnsi="宋体"/>
          <w:b/>
          <w:bCs/>
          <w:szCs w:val="21"/>
        </w:rPr>
      </w:pPr>
      <w:r>
        <w:rPr>
          <w:rFonts w:ascii="宋体" w:hAnsi="宋体" w:hint="eastAsia"/>
          <w:b/>
          <w:bCs/>
          <w:szCs w:val="21"/>
        </w:rPr>
        <w:t>（四）实验方式及基本要求</w:t>
      </w:r>
    </w:p>
    <w:p w14:paraId="281A6AD1" w14:textId="77777777" w:rsidR="00F5289E" w:rsidRDefault="00C91173">
      <w:pPr>
        <w:adjustRightInd w:val="0"/>
        <w:snapToGrid w:val="0"/>
        <w:spacing w:line="360" w:lineRule="auto"/>
        <w:ind w:firstLineChars="200" w:firstLine="420"/>
        <w:rPr>
          <w:b/>
          <w:bCs/>
          <w:szCs w:val="21"/>
        </w:rPr>
      </w:pPr>
      <w:r>
        <w:rPr>
          <w:rFonts w:ascii="宋体" w:hAnsi="宋体" w:hint="eastAsia"/>
        </w:rPr>
        <w:t>老师讲解实验目的、实验原理、相关仪器和实验的操作及注意事项。学生分</w:t>
      </w:r>
      <w:r>
        <w:rPr>
          <w:rFonts w:hAnsi="宋体" w:hint="eastAsia"/>
          <w:bCs/>
          <w:szCs w:val="21"/>
        </w:rPr>
        <w:t>六人为一组，</w:t>
      </w:r>
      <w:r>
        <w:rPr>
          <w:rFonts w:ascii="宋体" w:hAnsi="宋体" w:hint="eastAsia"/>
        </w:rPr>
        <w:t>认真操作并记录实验现象，分析实验结果，按时交实验报告</w:t>
      </w:r>
      <w:r>
        <w:rPr>
          <w:rFonts w:hAnsi="宋体" w:hint="eastAsia"/>
          <w:bCs/>
          <w:szCs w:val="21"/>
        </w:rPr>
        <w:t>。</w:t>
      </w:r>
    </w:p>
    <w:p w14:paraId="1880AC32" w14:textId="77777777" w:rsidR="00F5289E" w:rsidRDefault="00C91173">
      <w:pPr>
        <w:snapToGrid w:val="0"/>
        <w:spacing w:line="360" w:lineRule="auto"/>
        <w:rPr>
          <w:rFonts w:ascii="宋体" w:hAnsi="宋体"/>
          <w:b/>
          <w:szCs w:val="21"/>
        </w:rPr>
      </w:pPr>
      <w:r>
        <w:rPr>
          <w:rFonts w:ascii="宋体" w:hAnsi="宋体" w:hint="eastAsia"/>
          <w:b/>
          <w:bCs/>
          <w:szCs w:val="21"/>
        </w:rPr>
        <w:t>（五）</w:t>
      </w:r>
      <w:r>
        <w:rPr>
          <w:rFonts w:ascii="宋体" w:hAnsi="宋体" w:hint="eastAsia"/>
          <w:b/>
          <w:szCs w:val="21"/>
        </w:rPr>
        <w:t>实验内容安排</w:t>
      </w:r>
    </w:p>
    <w:p w14:paraId="1B5AAC98"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w:t>
      </w:r>
      <w:r>
        <w:rPr>
          <w:b/>
          <w:sz w:val="21"/>
          <w:szCs w:val="21"/>
        </w:rPr>
        <w:t>碱裂解法提取质粒DNA及琼脂糖凝胶电泳检测</w:t>
      </w:r>
    </w:p>
    <w:p w14:paraId="009C0011" w14:textId="77777777" w:rsidR="00F5289E" w:rsidRDefault="00C91173">
      <w:pPr>
        <w:adjustRightInd w:val="0"/>
        <w:snapToGrid w:val="0"/>
        <w:spacing w:line="360" w:lineRule="auto"/>
        <w:ind w:firstLine="420"/>
        <w:rPr>
          <w:szCs w:val="21"/>
        </w:rPr>
      </w:pPr>
      <w:r>
        <w:rPr>
          <w:rFonts w:hint="eastAsia"/>
          <w:b/>
          <w:szCs w:val="21"/>
        </w:rPr>
        <w:t>1.</w:t>
      </w:r>
      <w:r>
        <w:rPr>
          <w:b/>
          <w:szCs w:val="21"/>
        </w:rPr>
        <w:t>实验学时：</w:t>
      </w:r>
      <w:r>
        <w:rPr>
          <w:bCs/>
          <w:szCs w:val="21"/>
        </w:rPr>
        <w:t>4</w:t>
      </w:r>
      <w:r>
        <w:rPr>
          <w:bCs/>
          <w:szCs w:val="21"/>
        </w:rPr>
        <w:t>个学时</w:t>
      </w:r>
    </w:p>
    <w:p w14:paraId="7BBB2C2B" w14:textId="77777777" w:rsidR="00F5289E" w:rsidRDefault="00C91173">
      <w:pPr>
        <w:adjustRightInd w:val="0"/>
        <w:snapToGrid w:val="0"/>
        <w:spacing w:line="360" w:lineRule="auto"/>
        <w:ind w:firstLine="420"/>
        <w:rPr>
          <w:bCs/>
          <w:szCs w:val="21"/>
        </w:rPr>
      </w:pPr>
      <w:r>
        <w:rPr>
          <w:rFonts w:hint="eastAsia"/>
          <w:b/>
          <w:szCs w:val="21"/>
        </w:rPr>
        <w:t>2.</w:t>
      </w:r>
      <w:r>
        <w:rPr>
          <w:b/>
          <w:szCs w:val="21"/>
        </w:rPr>
        <w:t>实验目的：</w:t>
      </w:r>
      <w:r>
        <w:rPr>
          <w:szCs w:val="21"/>
        </w:rPr>
        <w:t>掌握从大肠杆菌中制备质粒</w:t>
      </w:r>
      <w:r>
        <w:rPr>
          <w:szCs w:val="21"/>
        </w:rPr>
        <w:t>DNA</w:t>
      </w:r>
      <w:r>
        <w:rPr>
          <w:szCs w:val="21"/>
        </w:rPr>
        <w:t>的方法</w:t>
      </w:r>
      <w:r>
        <w:rPr>
          <w:rFonts w:hint="eastAsia"/>
          <w:szCs w:val="21"/>
        </w:rPr>
        <w:t>及琼脂糖</w:t>
      </w:r>
      <w:r>
        <w:rPr>
          <w:szCs w:val="21"/>
        </w:rPr>
        <w:t>凝胶电泳</w:t>
      </w:r>
      <w:r>
        <w:rPr>
          <w:rFonts w:hint="eastAsia"/>
          <w:szCs w:val="21"/>
        </w:rPr>
        <w:t>检测的相关操作</w:t>
      </w:r>
      <w:r>
        <w:rPr>
          <w:szCs w:val="21"/>
        </w:rPr>
        <w:t>。</w:t>
      </w:r>
    </w:p>
    <w:p w14:paraId="569A5CF7" w14:textId="77777777" w:rsidR="00F5289E" w:rsidRDefault="00C91173">
      <w:pPr>
        <w:adjustRightInd w:val="0"/>
        <w:snapToGrid w:val="0"/>
        <w:spacing w:line="360" w:lineRule="auto"/>
        <w:ind w:firstLine="420"/>
        <w:rPr>
          <w:szCs w:val="21"/>
        </w:rPr>
      </w:pPr>
      <w:r>
        <w:rPr>
          <w:rFonts w:hint="eastAsia"/>
          <w:b/>
          <w:szCs w:val="21"/>
        </w:rPr>
        <w:t>3.</w:t>
      </w:r>
      <w:r>
        <w:rPr>
          <w:b/>
          <w:szCs w:val="21"/>
        </w:rPr>
        <w:t>实验内容：</w:t>
      </w:r>
      <w:r>
        <w:rPr>
          <w:szCs w:val="21"/>
        </w:rPr>
        <w:t>用碱裂解液进行细胞裂解，染色体</w:t>
      </w:r>
      <w:r>
        <w:rPr>
          <w:szCs w:val="21"/>
        </w:rPr>
        <w:t>DNA</w:t>
      </w:r>
      <w:r>
        <w:rPr>
          <w:szCs w:val="21"/>
        </w:rPr>
        <w:t>和蛋白质变性，质粒</w:t>
      </w:r>
      <w:r>
        <w:rPr>
          <w:szCs w:val="21"/>
        </w:rPr>
        <w:t>DNA</w:t>
      </w:r>
      <w:r>
        <w:rPr>
          <w:szCs w:val="21"/>
        </w:rPr>
        <w:t>释放到上清中。碱性条件下碱基配对完全破坏，但是闭环的质粒</w:t>
      </w:r>
      <w:r>
        <w:rPr>
          <w:szCs w:val="21"/>
        </w:rPr>
        <w:t>DNA</w:t>
      </w:r>
      <w:r>
        <w:rPr>
          <w:szCs w:val="21"/>
        </w:rPr>
        <w:t>双链不会完全分离，因此加酸中和后质粒</w:t>
      </w:r>
      <w:r>
        <w:rPr>
          <w:szCs w:val="21"/>
        </w:rPr>
        <w:t>DNA</w:t>
      </w:r>
      <w:r>
        <w:rPr>
          <w:szCs w:val="21"/>
        </w:rPr>
        <w:t>复性而留在上清中。</w:t>
      </w:r>
      <w:r>
        <w:rPr>
          <w:szCs w:val="21"/>
        </w:rPr>
        <w:t xml:space="preserve"> </w:t>
      </w:r>
      <w:r>
        <w:rPr>
          <w:szCs w:val="21"/>
        </w:rPr>
        <w:t>而细菌蛋白、破裂的细胞壁和变性的染色体</w:t>
      </w:r>
      <w:r>
        <w:rPr>
          <w:szCs w:val="21"/>
        </w:rPr>
        <w:t>DNA</w:t>
      </w:r>
      <w:r>
        <w:rPr>
          <w:szCs w:val="21"/>
        </w:rPr>
        <w:t>会相互缠绕成大型复合物，从溶液中有效地沉淀下来。离心即从上清中得到复性的质粒</w:t>
      </w:r>
      <w:r>
        <w:rPr>
          <w:szCs w:val="21"/>
        </w:rPr>
        <w:t>DNA</w:t>
      </w:r>
      <w:r>
        <w:rPr>
          <w:szCs w:val="21"/>
        </w:rPr>
        <w:t>。</w:t>
      </w:r>
    </w:p>
    <w:p w14:paraId="7AED51F5" w14:textId="77777777" w:rsidR="00F5289E" w:rsidRDefault="00C91173">
      <w:pPr>
        <w:adjustRightInd w:val="0"/>
        <w:snapToGrid w:val="0"/>
        <w:spacing w:line="360" w:lineRule="auto"/>
        <w:ind w:firstLine="420"/>
        <w:rPr>
          <w:rFonts w:hAnsi="宋体"/>
          <w:szCs w:val="21"/>
        </w:rPr>
      </w:pPr>
      <w:r>
        <w:rPr>
          <w:rFonts w:hint="eastAsia"/>
          <w:b/>
          <w:szCs w:val="21"/>
        </w:rPr>
        <w:t>4.</w:t>
      </w:r>
      <w:r>
        <w:rPr>
          <w:rFonts w:hint="eastAsia"/>
          <w:b/>
          <w:szCs w:val="21"/>
        </w:rPr>
        <w:t>实验要求：</w:t>
      </w:r>
      <w:r>
        <w:rPr>
          <w:rFonts w:hAnsi="宋体" w:hint="eastAsia"/>
          <w:bCs/>
          <w:szCs w:val="21"/>
        </w:rPr>
        <w:t>以小组为单位，六人一组独立完成大肠杆菌质粒</w:t>
      </w:r>
      <w:r>
        <w:rPr>
          <w:rFonts w:hAnsi="宋体" w:hint="eastAsia"/>
          <w:bCs/>
          <w:szCs w:val="21"/>
        </w:rPr>
        <w:t>DNA</w:t>
      </w:r>
      <w:r>
        <w:rPr>
          <w:rFonts w:hAnsi="宋体" w:hint="eastAsia"/>
          <w:bCs/>
          <w:szCs w:val="21"/>
        </w:rPr>
        <w:t>的提取，以及琼脂糖凝胶的配置、电泳缓冲液的配置、点样、跑胶以及</w:t>
      </w:r>
      <w:r>
        <w:rPr>
          <w:szCs w:val="21"/>
        </w:rPr>
        <w:t>琼脂糖凝胶</w:t>
      </w:r>
      <w:r>
        <w:rPr>
          <w:rFonts w:hAnsi="宋体" w:hint="eastAsia"/>
          <w:szCs w:val="21"/>
        </w:rPr>
        <w:t>成像系统的操作，并独立完成实验报告，</w:t>
      </w:r>
      <w:r>
        <w:rPr>
          <w:rFonts w:hint="eastAsia"/>
          <w:szCs w:val="21"/>
        </w:rPr>
        <w:t>着重阐述</w:t>
      </w:r>
      <w:r>
        <w:rPr>
          <w:szCs w:val="21"/>
        </w:rPr>
        <w:t>质粒</w:t>
      </w:r>
      <w:r>
        <w:rPr>
          <w:szCs w:val="21"/>
        </w:rPr>
        <w:t>DNA</w:t>
      </w:r>
      <w:r>
        <w:rPr>
          <w:rFonts w:hint="eastAsia"/>
          <w:szCs w:val="21"/>
        </w:rPr>
        <w:t>以及</w:t>
      </w:r>
      <w:r>
        <w:rPr>
          <w:szCs w:val="21"/>
        </w:rPr>
        <w:t>琼脂糖凝胶</w:t>
      </w:r>
      <w:r>
        <w:rPr>
          <w:rFonts w:hint="eastAsia"/>
          <w:szCs w:val="21"/>
        </w:rPr>
        <w:t>电泳过程中遇到的问题和解决办法。</w:t>
      </w:r>
    </w:p>
    <w:p w14:paraId="7D6E2939" w14:textId="77777777" w:rsidR="00F5289E" w:rsidRDefault="00C91173">
      <w:pPr>
        <w:adjustRightInd w:val="0"/>
        <w:snapToGrid w:val="0"/>
        <w:spacing w:line="360" w:lineRule="auto"/>
        <w:ind w:firstLine="420"/>
        <w:rPr>
          <w:rFonts w:hAnsi="宋体"/>
          <w:szCs w:val="21"/>
        </w:rPr>
      </w:pPr>
      <w:r>
        <w:rPr>
          <w:rFonts w:hint="eastAsia"/>
          <w:b/>
          <w:szCs w:val="21"/>
        </w:rPr>
        <w:t>5.</w:t>
      </w:r>
      <w:r>
        <w:rPr>
          <w:b/>
          <w:szCs w:val="21"/>
        </w:rPr>
        <w:t>实验设备及器材：</w:t>
      </w:r>
      <w:r>
        <w:rPr>
          <w:szCs w:val="21"/>
        </w:rPr>
        <w:t>恒温培养箱，恒温摇床，台式离心机，高压灭菌锅，微量移液器</w:t>
      </w:r>
      <w:r>
        <w:rPr>
          <w:rFonts w:hint="eastAsia"/>
          <w:szCs w:val="21"/>
        </w:rPr>
        <w:t>，微波炉，</w:t>
      </w:r>
      <w:r>
        <w:rPr>
          <w:szCs w:val="21"/>
        </w:rPr>
        <w:t>琼脂糖凝胶</w:t>
      </w:r>
      <w:r>
        <w:rPr>
          <w:rFonts w:hAnsi="宋体" w:hint="eastAsia"/>
          <w:szCs w:val="21"/>
        </w:rPr>
        <w:t>电泳及成像系统。</w:t>
      </w:r>
    </w:p>
    <w:p w14:paraId="06306E6A"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w:t>
      </w:r>
      <w:r>
        <w:rPr>
          <w:b/>
          <w:sz w:val="21"/>
          <w:szCs w:val="21"/>
        </w:rPr>
        <w:t>利用PCR技术</w:t>
      </w:r>
      <w:r>
        <w:rPr>
          <w:rFonts w:hint="eastAsia"/>
          <w:b/>
          <w:sz w:val="21"/>
          <w:szCs w:val="21"/>
        </w:rPr>
        <w:t>扩增</w:t>
      </w:r>
      <w:r>
        <w:rPr>
          <w:b/>
          <w:sz w:val="21"/>
          <w:szCs w:val="21"/>
        </w:rPr>
        <w:t>SSR标记及聚丙烯酰胺凝胶电泳</w:t>
      </w:r>
      <w:r>
        <w:rPr>
          <w:rFonts w:hint="eastAsia"/>
          <w:b/>
          <w:sz w:val="21"/>
          <w:szCs w:val="21"/>
        </w:rPr>
        <w:t>检测</w:t>
      </w:r>
    </w:p>
    <w:p w14:paraId="0B0891FB" w14:textId="77777777" w:rsidR="00F5289E" w:rsidRDefault="00C91173">
      <w:pPr>
        <w:pStyle w:val="af1"/>
        <w:snapToGrid w:val="0"/>
        <w:spacing w:before="0" w:beforeAutospacing="0" w:after="0" w:afterAutospacing="0" w:line="360" w:lineRule="auto"/>
        <w:ind w:firstLineChars="200" w:firstLine="422"/>
        <w:rPr>
          <w:rFonts w:ascii="Times New Roman" w:eastAsia="宋体" w:hAnsi="Times New Roman" w:cs="Times New Roman"/>
          <w:kern w:val="2"/>
          <w:sz w:val="21"/>
          <w:szCs w:val="21"/>
        </w:rPr>
      </w:pPr>
      <w:r>
        <w:rPr>
          <w:rFonts w:ascii="Times New Roman" w:eastAsia="宋体" w:hAnsi="Times New Roman" w:cs="Times New Roman" w:hint="eastAsia"/>
          <w:b/>
          <w:kern w:val="2"/>
          <w:sz w:val="21"/>
          <w:szCs w:val="21"/>
        </w:rPr>
        <w:t>1.</w:t>
      </w:r>
      <w:r>
        <w:rPr>
          <w:rFonts w:ascii="Times New Roman" w:eastAsia="宋体" w:hAnsi="Times New Roman" w:cs="Times New Roman"/>
          <w:b/>
          <w:kern w:val="2"/>
          <w:sz w:val="21"/>
          <w:szCs w:val="21"/>
        </w:rPr>
        <w:t>实验学时</w:t>
      </w:r>
      <w:r>
        <w:rPr>
          <w:b/>
          <w:szCs w:val="21"/>
        </w:rPr>
        <w:t>：</w:t>
      </w:r>
      <w:r>
        <w:rPr>
          <w:rFonts w:ascii="Times New Roman" w:eastAsia="宋体" w:hAnsi="Times New Roman" w:cs="Times New Roman"/>
          <w:kern w:val="2"/>
          <w:sz w:val="21"/>
          <w:szCs w:val="21"/>
        </w:rPr>
        <w:t>4</w:t>
      </w:r>
      <w:r>
        <w:rPr>
          <w:rFonts w:ascii="Times New Roman" w:eastAsia="宋体" w:hAnsi="Times New Roman" w:cs="Times New Roman"/>
          <w:kern w:val="2"/>
          <w:sz w:val="21"/>
          <w:szCs w:val="21"/>
        </w:rPr>
        <w:t>个学时</w:t>
      </w:r>
    </w:p>
    <w:p w14:paraId="62D509DF" w14:textId="77777777" w:rsidR="00F5289E" w:rsidRDefault="00C91173">
      <w:pPr>
        <w:adjustRightInd w:val="0"/>
        <w:snapToGrid w:val="0"/>
        <w:spacing w:line="360" w:lineRule="auto"/>
        <w:ind w:firstLine="420"/>
        <w:rPr>
          <w:szCs w:val="21"/>
        </w:rPr>
      </w:pPr>
      <w:r>
        <w:rPr>
          <w:rFonts w:hint="eastAsia"/>
          <w:b/>
          <w:szCs w:val="21"/>
        </w:rPr>
        <w:t>2.</w:t>
      </w:r>
      <w:r>
        <w:rPr>
          <w:b/>
          <w:szCs w:val="21"/>
        </w:rPr>
        <w:t>实验目的</w:t>
      </w:r>
      <w:r>
        <w:rPr>
          <w:rFonts w:hint="eastAsia"/>
          <w:b/>
          <w:szCs w:val="21"/>
        </w:rPr>
        <w:t>：</w:t>
      </w:r>
      <w:r>
        <w:rPr>
          <w:rFonts w:hint="eastAsia"/>
          <w:szCs w:val="21"/>
        </w:rPr>
        <w:t>学习</w:t>
      </w:r>
      <w:r>
        <w:rPr>
          <w:szCs w:val="21"/>
        </w:rPr>
        <w:t>PCR</w:t>
      </w:r>
      <w:r>
        <w:rPr>
          <w:rFonts w:hint="eastAsia"/>
          <w:szCs w:val="21"/>
        </w:rPr>
        <w:t>技术扩增的原理，了解</w:t>
      </w:r>
      <w:r>
        <w:rPr>
          <w:rFonts w:hint="eastAsia"/>
          <w:szCs w:val="21"/>
        </w:rPr>
        <w:t>SSR</w:t>
      </w:r>
      <w:r>
        <w:rPr>
          <w:rFonts w:hint="eastAsia"/>
          <w:szCs w:val="21"/>
        </w:rPr>
        <w:t>标记的基本原理、</w:t>
      </w:r>
      <w:r>
        <w:rPr>
          <w:szCs w:val="21"/>
        </w:rPr>
        <w:t>实验技术</w:t>
      </w:r>
      <w:r>
        <w:rPr>
          <w:rFonts w:hint="eastAsia"/>
          <w:szCs w:val="21"/>
        </w:rPr>
        <w:t>及其在分子生物学中的应用</w:t>
      </w:r>
      <w:r>
        <w:rPr>
          <w:szCs w:val="21"/>
        </w:rPr>
        <w:t>。</w:t>
      </w:r>
    </w:p>
    <w:p w14:paraId="21E898FD" w14:textId="77777777" w:rsidR="00F5289E" w:rsidRDefault="00C91173">
      <w:pPr>
        <w:adjustRightInd w:val="0"/>
        <w:snapToGrid w:val="0"/>
        <w:spacing w:line="360" w:lineRule="auto"/>
        <w:ind w:firstLine="420"/>
        <w:rPr>
          <w:bCs/>
          <w:szCs w:val="21"/>
        </w:rPr>
      </w:pPr>
      <w:r>
        <w:rPr>
          <w:rFonts w:hint="eastAsia"/>
          <w:b/>
          <w:szCs w:val="21"/>
        </w:rPr>
        <w:t>3.</w:t>
      </w:r>
      <w:r>
        <w:rPr>
          <w:b/>
          <w:szCs w:val="21"/>
        </w:rPr>
        <w:t>实验内容</w:t>
      </w:r>
      <w:r>
        <w:rPr>
          <w:rFonts w:hint="eastAsia"/>
          <w:b/>
          <w:szCs w:val="21"/>
        </w:rPr>
        <w:t>：</w:t>
      </w:r>
      <w:r>
        <w:rPr>
          <w:bCs/>
          <w:szCs w:val="21"/>
        </w:rPr>
        <w:t>利用变性、引物复性及延伸的</w:t>
      </w:r>
      <w:r>
        <w:rPr>
          <w:rFonts w:hint="eastAsia"/>
          <w:bCs/>
          <w:szCs w:val="21"/>
        </w:rPr>
        <w:t>PCR</w:t>
      </w:r>
      <w:r>
        <w:rPr>
          <w:rFonts w:hint="eastAsia"/>
          <w:bCs/>
          <w:szCs w:val="21"/>
        </w:rPr>
        <w:t>扩增技术</w:t>
      </w:r>
      <w:r>
        <w:rPr>
          <w:bCs/>
          <w:szCs w:val="21"/>
        </w:rPr>
        <w:t>，扩增</w:t>
      </w:r>
      <w:r>
        <w:rPr>
          <w:rFonts w:hint="eastAsia"/>
          <w:bCs/>
          <w:szCs w:val="21"/>
        </w:rPr>
        <w:t>SSR</w:t>
      </w:r>
      <w:r>
        <w:rPr>
          <w:rFonts w:hint="eastAsia"/>
          <w:bCs/>
          <w:szCs w:val="21"/>
        </w:rPr>
        <w:t>标记在不同生态型甜瓜中表现</w:t>
      </w:r>
      <w:r>
        <w:rPr>
          <w:bCs/>
          <w:szCs w:val="21"/>
        </w:rPr>
        <w:t>。</w:t>
      </w:r>
    </w:p>
    <w:p w14:paraId="7341E7BE" w14:textId="77777777" w:rsidR="00F5289E" w:rsidRDefault="00C91173">
      <w:pPr>
        <w:adjustRightInd w:val="0"/>
        <w:snapToGrid w:val="0"/>
        <w:spacing w:line="360" w:lineRule="auto"/>
        <w:ind w:firstLine="420"/>
        <w:rPr>
          <w:bCs/>
          <w:szCs w:val="21"/>
        </w:rPr>
      </w:pPr>
      <w:r>
        <w:rPr>
          <w:rFonts w:hint="eastAsia"/>
          <w:b/>
          <w:szCs w:val="21"/>
        </w:rPr>
        <w:t>4.</w:t>
      </w:r>
      <w:r>
        <w:rPr>
          <w:rFonts w:hint="eastAsia"/>
          <w:b/>
          <w:szCs w:val="21"/>
        </w:rPr>
        <w:t>实验要求：</w:t>
      </w:r>
      <w:r>
        <w:rPr>
          <w:rFonts w:hAnsi="宋体" w:hint="eastAsia"/>
          <w:bCs/>
          <w:szCs w:val="21"/>
        </w:rPr>
        <w:t>以小组为单位，六人一组独立完成</w:t>
      </w:r>
      <w:r>
        <w:rPr>
          <w:rFonts w:hint="eastAsia"/>
          <w:bCs/>
          <w:szCs w:val="21"/>
        </w:rPr>
        <w:t>不同生态型甜瓜中的</w:t>
      </w:r>
      <w:r>
        <w:rPr>
          <w:rFonts w:hint="eastAsia"/>
          <w:bCs/>
          <w:szCs w:val="21"/>
        </w:rPr>
        <w:t>SSR</w:t>
      </w:r>
      <w:r>
        <w:rPr>
          <w:rFonts w:hint="eastAsia"/>
          <w:bCs/>
          <w:szCs w:val="21"/>
        </w:rPr>
        <w:t>片段的</w:t>
      </w:r>
      <w:r>
        <w:rPr>
          <w:rFonts w:hAnsi="宋体" w:hint="eastAsia"/>
          <w:bCs/>
          <w:szCs w:val="21"/>
        </w:rPr>
        <w:t>PCR</w:t>
      </w:r>
      <w:r>
        <w:rPr>
          <w:rFonts w:hAnsi="宋体" w:hint="eastAsia"/>
          <w:bCs/>
          <w:szCs w:val="21"/>
        </w:rPr>
        <w:t>扩增，并进行聚丙烯酰胺凝胶电泳检测</w:t>
      </w:r>
      <w:r>
        <w:rPr>
          <w:rFonts w:hint="eastAsia"/>
          <w:bCs/>
          <w:szCs w:val="21"/>
        </w:rPr>
        <w:t>不同生态型甜瓜中</w:t>
      </w:r>
      <w:r>
        <w:rPr>
          <w:rFonts w:hAnsi="宋体" w:hint="eastAsia"/>
          <w:bCs/>
          <w:szCs w:val="21"/>
        </w:rPr>
        <w:t>SSR</w:t>
      </w:r>
      <w:r>
        <w:rPr>
          <w:rFonts w:hAnsi="宋体" w:hint="eastAsia"/>
          <w:bCs/>
          <w:szCs w:val="21"/>
        </w:rPr>
        <w:t>的多态性。</w:t>
      </w:r>
      <w:r>
        <w:rPr>
          <w:rFonts w:hint="eastAsia"/>
          <w:szCs w:val="21"/>
        </w:rPr>
        <w:t>实验报告单独完成，并着重阐述</w:t>
      </w:r>
      <w:r>
        <w:rPr>
          <w:rFonts w:hint="eastAsia"/>
          <w:szCs w:val="21"/>
        </w:rPr>
        <w:t>PCR</w:t>
      </w:r>
      <w:r>
        <w:rPr>
          <w:rFonts w:hint="eastAsia"/>
          <w:szCs w:val="21"/>
        </w:rPr>
        <w:t>扩增过程中以及</w:t>
      </w:r>
      <w:r>
        <w:rPr>
          <w:rFonts w:hint="eastAsia"/>
          <w:szCs w:val="21"/>
        </w:rPr>
        <w:t>SSR</w:t>
      </w:r>
      <w:r>
        <w:rPr>
          <w:rFonts w:hint="eastAsia"/>
          <w:szCs w:val="21"/>
        </w:rPr>
        <w:t>标记</w:t>
      </w:r>
      <w:r>
        <w:rPr>
          <w:rFonts w:hAnsi="宋体" w:hint="eastAsia"/>
          <w:bCs/>
          <w:szCs w:val="21"/>
        </w:rPr>
        <w:t>聚丙烯酰胺凝胶电泳检测</w:t>
      </w:r>
      <w:r>
        <w:rPr>
          <w:rFonts w:hint="eastAsia"/>
          <w:szCs w:val="21"/>
        </w:rPr>
        <w:t>过程中遇到的问题及解决办法。</w:t>
      </w:r>
    </w:p>
    <w:p w14:paraId="426448F4" w14:textId="77777777" w:rsidR="00F5289E" w:rsidRDefault="00C91173">
      <w:pPr>
        <w:pStyle w:val="af1"/>
        <w:adjustRightInd w:val="0"/>
        <w:snapToGrid w:val="0"/>
        <w:spacing w:before="0" w:beforeAutospacing="0" w:after="0" w:afterAutospacing="0" w:line="360" w:lineRule="auto"/>
        <w:ind w:firstLine="420"/>
        <w:rPr>
          <w:rFonts w:ascii="Times New Roman" w:eastAsia="宋体" w:hAnsi="Times New Roman" w:cs="Times New Roman"/>
          <w:kern w:val="2"/>
          <w:sz w:val="21"/>
          <w:szCs w:val="21"/>
        </w:rPr>
      </w:pPr>
      <w:r>
        <w:rPr>
          <w:rFonts w:ascii="Times New Roman" w:eastAsiaTheme="minorEastAsia" w:hAnsi="Times New Roman" w:cs="Times New Roman" w:hint="eastAsia"/>
          <w:b/>
          <w:sz w:val="21"/>
          <w:szCs w:val="21"/>
        </w:rPr>
        <w:t>5.</w:t>
      </w:r>
      <w:r>
        <w:rPr>
          <w:rFonts w:ascii="Times New Roman" w:hAnsi="Times New Roman" w:cs="Times New Roman"/>
          <w:b/>
          <w:sz w:val="21"/>
          <w:szCs w:val="21"/>
        </w:rPr>
        <w:t>实验设备及器材：</w:t>
      </w:r>
      <w:r>
        <w:rPr>
          <w:rFonts w:ascii="Times New Roman" w:eastAsia="宋体" w:hAnsi="Times New Roman" w:cs="Times New Roman"/>
          <w:kern w:val="2"/>
          <w:sz w:val="21"/>
          <w:szCs w:val="21"/>
        </w:rPr>
        <w:t>PCR</w:t>
      </w:r>
      <w:r>
        <w:rPr>
          <w:rFonts w:ascii="Times New Roman" w:eastAsia="宋体" w:hAnsi="Times New Roman" w:cs="Times New Roman"/>
          <w:kern w:val="2"/>
          <w:sz w:val="21"/>
          <w:szCs w:val="21"/>
        </w:rPr>
        <w:t>仪，琼脂糖凝胶电泳系统，凝胶成像系统，微量移液器</w:t>
      </w:r>
      <w:r>
        <w:rPr>
          <w:rFonts w:ascii="Times New Roman" w:eastAsia="宋体" w:hAnsi="Times New Roman" w:cs="Times New Roman" w:hint="eastAsia"/>
          <w:kern w:val="2"/>
          <w:sz w:val="21"/>
          <w:szCs w:val="21"/>
        </w:rPr>
        <w:t>。</w:t>
      </w:r>
    </w:p>
    <w:p w14:paraId="1C4F85E5" w14:textId="77777777" w:rsidR="00F5289E" w:rsidRDefault="00C91173">
      <w:pPr>
        <w:snapToGrid w:val="0"/>
        <w:spacing w:line="360" w:lineRule="auto"/>
        <w:rPr>
          <w:rFonts w:ascii="宋体" w:hAnsi="宋体"/>
          <w:bCs/>
          <w:color w:val="0000FF"/>
          <w:szCs w:val="21"/>
        </w:rPr>
      </w:pPr>
      <w:r>
        <w:rPr>
          <w:rFonts w:ascii="宋体" w:hAnsi="宋体" w:hint="eastAsia"/>
          <w:b/>
          <w:szCs w:val="21"/>
        </w:rPr>
        <w:t xml:space="preserve"> (六)</w:t>
      </w:r>
      <w:r>
        <w:rPr>
          <w:rFonts w:ascii="宋体" w:hAnsi="宋体" w:hint="eastAsia"/>
          <w:b/>
          <w:bCs/>
          <w:szCs w:val="21"/>
        </w:rPr>
        <w:t>考核方式及成绩评定</w:t>
      </w:r>
    </w:p>
    <w:p w14:paraId="31D06015" w14:textId="77777777" w:rsidR="00F5289E" w:rsidRDefault="00C91173">
      <w:pPr>
        <w:adjustRightInd w:val="0"/>
        <w:snapToGrid w:val="0"/>
        <w:spacing w:line="360" w:lineRule="auto"/>
        <w:ind w:firstLineChars="200" w:firstLine="422"/>
        <w:rPr>
          <w:rFonts w:hAnsi="宋体"/>
          <w:bCs/>
          <w:szCs w:val="21"/>
        </w:rPr>
      </w:pPr>
      <w:r>
        <w:rPr>
          <w:rFonts w:hAnsi="宋体" w:hint="eastAsia"/>
          <w:b/>
          <w:bCs/>
          <w:szCs w:val="21"/>
        </w:rPr>
        <w:t>实验课成绩：</w:t>
      </w:r>
      <w:r>
        <w:rPr>
          <w:rFonts w:hAnsi="宋体" w:hint="eastAsia"/>
          <w:bCs/>
          <w:szCs w:val="21"/>
        </w:rPr>
        <w:t>实验报告（占</w:t>
      </w:r>
      <w:r>
        <w:rPr>
          <w:rFonts w:hAnsi="宋体" w:hint="eastAsia"/>
          <w:bCs/>
          <w:szCs w:val="21"/>
        </w:rPr>
        <w:t>60%</w:t>
      </w:r>
      <w:r>
        <w:rPr>
          <w:rFonts w:hAnsi="宋体" w:hint="eastAsia"/>
          <w:bCs/>
          <w:szCs w:val="21"/>
        </w:rPr>
        <w:t>）</w:t>
      </w:r>
      <w:r>
        <w:rPr>
          <w:rFonts w:hAnsi="宋体" w:hint="eastAsia"/>
          <w:bCs/>
          <w:szCs w:val="21"/>
        </w:rPr>
        <w:t xml:space="preserve">+ </w:t>
      </w:r>
      <w:r>
        <w:rPr>
          <w:rFonts w:hAnsi="宋体" w:hint="eastAsia"/>
          <w:bCs/>
          <w:szCs w:val="21"/>
        </w:rPr>
        <w:t>实验操作（占</w:t>
      </w:r>
      <w:r>
        <w:rPr>
          <w:rFonts w:hAnsi="宋体" w:hint="eastAsia"/>
          <w:bCs/>
          <w:szCs w:val="21"/>
        </w:rPr>
        <w:t>40%</w:t>
      </w:r>
      <w:r>
        <w:rPr>
          <w:rFonts w:hAnsi="宋体" w:hint="eastAsia"/>
          <w:bCs/>
          <w:szCs w:val="21"/>
        </w:rPr>
        <w:t>）。最后实验课成绩占课程总成绩的</w:t>
      </w:r>
      <w:r>
        <w:rPr>
          <w:rFonts w:hAnsi="宋体"/>
          <w:bCs/>
          <w:szCs w:val="21"/>
        </w:rPr>
        <w:t>30</w:t>
      </w:r>
      <w:r>
        <w:rPr>
          <w:rFonts w:hAnsi="宋体" w:hint="eastAsia"/>
          <w:bCs/>
          <w:szCs w:val="21"/>
        </w:rPr>
        <w:t>%</w:t>
      </w:r>
      <w:r>
        <w:rPr>
          <w:rFonts w:hAnsi="宋体" w:hint="eastAsia"/>
          <w:bCs/>
          <w:szCs w:val="21"/>
        </w:rPr>
        <w:t>。</w:t>
      </w:r>
    </w:p>
    <w:p w14:paraId="1595E54A" w14:textId="77777777" w:rsidR="00DF3F21" w:rsidRDefault="00DF3F21" w:rsidP="00DF3F21">
      <w:pPr>
        <w:widowControl/>
        <w:adjustRightInd w:val="0"/>
        <w:snapToGrid w:val="0"/>
        <w:spacing w:beforeLines="50" w:before="156" w:line="360" w:lineRule="auto"/>
        <w:jc w:val="left"/>
        <w:rPr>
          <w:b/>
          <w:bCs/>
          <w:kern w:val="0"/>
          <w:szCs w:val="21"/>
        </w:rPr>
      </w:pPr>
      <w:r w:rsidRPr="00E30529">
        <w:rPr>
          <w:rFonts w:hint="eastAsia"/>
          <w:b/>
          <w:bCs/>
          <w:kern w:val="0"/>
          <w:szCs w:val="21"/>
        </w:rPr>
        <w:lastRenderedPageBreak/>
        <w:t>六、课程思政</w:t>
      </w:r>
    </w:p>
    <w:p w14:paraId="48DE5CAB" w14:textId="186B32DF" w:rsidR="00DF3F21" w:rsidRPr="00DF3F21" w:rsidRDefault="00DF3F21" w:rsidP="00DF3F21">
      <w:pPr>
        <w:widowControl/>
        <w:adjustRightInd w:val="0"/>
        <w:snapToGrid w:val="0"/>
        <w:spacing w:beforeLines="50" w:before="156" w:line="360" w:lineRule="auto"/>
        <w:ind w:firstLineChars="200" w:firstLine="420"/>
        <w:jc w:val="left"/>
        <w:rPr>
          <w:b/>
          <w:bCs/>
          <w:kern w:val="0"/>
          <w:szCs w:val="21"/>
        </w:rPr>
      </w:pPr>
      <w:r w:rsidRPr="00681BFE">
        <w:rPr>
          <w:rFonts w:hAnsi="宋体" w:hint="eastAsia"/>
          <w:szCs w:val="21"/>
        </w:rPr>
        <w:t>坚持“实现立德树人根本任务”的大思政综合教育理念，在课程教学过程中将政治认同、家国情怀、文化素养、法治意识、道德修养等思想政治元素融入专业教育，隐性和显性教育相融合，知识育才和精神育才相结合。例如，绪论部分通过介绍园艺产品在人们生活中的地位、采后调控在园艺产业链中的重要作用，使学生潜移默化的了解本门课程的重要性，树立专业自信及三农情怀；在讲解园艺产品的采后生理章节时，有效融入我国园艺产品采后生理调控的最新研究进展，让学生更直观的了解我国的园艺产品采后分子生物学调控基础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专业自信和三农情怀等，实现高校“立德树人”的人才培养目标。</w:t>
      </w:r>
    </w:p>
    <w:p w14:paraId="0A1EFC5F" w14:textId="05C9F3E7" w:rsidR="00DF3F21" w:rsidRPr="00DF3F21" w:rsidRDefault="00DF3F21" w:rsidP="00DF3F21">
      <w:pPr>
        <w:widowControl/>
        <w:snapToGrid w:val="0"/>
        <w:spacing w:line="360" w:lineRule="auto"/>
        <w:jc w:val="left"/>
        <w:rPr>
          <w:kern w:val="0"/>
          <w:szCs w:val="21"/>
        </w:rPr>
      </w:pPr>
      <w:r>
        <w:rPr>
          <w:b/>
          <w:bCs/>
          <w:kern w:val="0"/>
          <w:szCs w:val="21"/>
        </w:rPr>
        <w:t>七、教材及教学参考书</w:t>
      </w:r>
    </w:p>
    <w:p w14:paraId="61C48DF9" w14:textId="77777777" w:rsidR="00DF3F21" w:rsidRPr="00B67EA3" w:rsidRDefault="00DF3F21" w:rsidP="00DF3F21">
      <w:pPr>
        <w:widowControl/>
        <w:adjustRightInd w:val="0"/>
        <w:snapToGrid w:val="0"/>
        <w:spacing w:line="360" w:lineRule="auto"/>
        <w:jc w:val="left"/>
        <w:rPr>
          <w:b/>
          <w:bCs/>
          <w:kern w:val="0"/>
          <w:szCs w:val="21"/>
        </w:rPr>
      </w:pPr>
      <w:r w:rsidRPr="00B67EA3">
        <w:rPr>
          <w:b/>
          <w:bCs/>
          <w:kern w:val="0"/>
          <w:szCs w:val="21"/>
        </w:rPr>
        <w:t>1</w:t>
      </w:r>
      <w:r w:rsidRPr="00B67EA3">
        <w:rPr>
          <w:rFonts w:hint="eastAsia"/>
          <w:b/>
          <w:bCs/>
          <w:kern w:val="0"/>
          <w:szCs w:val="21"/>
        </w:rPr>
        <w:t>．</w:t>
      </w:r>
      <w:r w:rsidRPr="00B67EA3">
        <w:rPr>
          <w:b/>
          <w:bCs/>
          <w:kern w:val="0"/>
          <w:szCs w:val="21"/>
        </w:rPr>
        <w:t>选用教材：</w:t>
      </w:r>
    </w:p>
    <w:p w14:paraId="4C876289" w14:textId="77777777" w:rsidR="00DF3F21" w:rsidRPr="00B67EA3" w:rsidRDefault="00DF3F21" w:rsidP="00DF3F21">
      <w:pPr>
        <w:widowControl/>
        <w:adjustRightInd w:val="0"/>
        <w:snapToGrid w:val="0"/>
        <w:spacing w:line="360" w:lineRule="auto"/>
        <w:jc w:val="left"/>
        <w:rPr>
          <w:bCs/>
          <w:kern w:val="0"/>
          <w:szCs w:val="21"/>
        </w:rPr>
      </w:pPr>
      <w:r w:rsidRPr="00B67EA3">
        <w:rPr>
          <w:bCs/>
          <w:kern w:val="0"/>
          <w:szCs w:val="21"/>
        </w:rPr>
        <w:t>（</w:t>
      </w:r>
      <w:r w:rsidRPr="00B67EA3">
        <w:rPr>
          <w:bCs/>
          <w:kern w:val="0"/>
          <w:szCs w:val="21"/>
        </w:rPr>
        <w:t>1</w:t>
      </w:r>
      <w:r w:rsidRPr="00B67EA3">
        <w:rPr>
          <w:bCs/>
          <w:kern w:val="0"/>
          <w:szCs w:val="21"/>
        </w:rPr>
        <w:t>）理论课教材：基础分子生物学，郑用琏</w:t>
      </w:r>
      <w:r w:rsidRPr="00B67EA3">
        <w:rPr>
          <w:bCs/>
          <w:kern w:val="0"/>
          <w:szCs w:val="21"/>
        </w:rPr>
        <w:t xml:space="preserve"> </w:t>
      </w:r>
      <w:r w:rsidRPr="00B67EA3">
        <w:rPr>
          <w:bCs/>
          <w:kern w:val="0"/>
          <w:szCs w:val="21"/>
        </w:rPr>
        <w:t>编著，高等教育出版社，</w:t>
      </w:r>
      <w:r w:rsidRPr="00B67EA3">
        <w:rPr>
          <w:bCs/>
          <w:kern w:val="0"/>
          <w:szCs w:val="21"/>
        </w:rPr>
        <w:t>2012</w:t>
      </w:r>
      <w:r w:rsidRPr="00B67EA3">
        <w:rPr>
          <w:bCs/>
          <w:kern w:val="0"/>
          <w:szCs w:val="21"/>
        </w:rPr>
        <w:t>年</w:t>
      </w:r>
    </w:p>
    <w:p w14:paraId="00DC1191" w14:textId="77777777" w:rsidR="00DF3F21" w:rsidRPr="00B67EA3" w:rsidRDefault="00DF3F21" w:rsidP="00DF3F21">
      <w:pPr>
        <w:widowControl/>
        <w:adjustRightInd w:val="0"/>
        <w:snapToGrid w:val="0"/>
        <w:spacing w:line="360" w:lineRule="auto"/>
        <w:jc w:val="left"/>
        <w:rPr>
          <w:bCs/>
          <w:kern w:val="0"/>
          <w:szCs w:val="21"/>
        </w:rPr>
      </w:pPr>
      <w:r w:rsidRPr="00B67EA3">
        <w:rPr>
          <w:rFonts w:hint="eastAsia"/>
          <w:szCs w:val="21"/>
        </w:rPr>
        <w:t>（</w:t>
      </w:r>
      <w:r w:rsidRPr="00B67EA3">
        <w:rPr>
          <w:szCs w:val="21"/>
        </w:rPr>
        <w:t>2</w:t>
      </w:r>
      <w:r w:rsidRPr="00B67EA3">
        <w:rPr>
          <w:rFonts w:hint="eastAsia"/>
          <w:szCs w:val="21"/>
        </w:rPr>
        <w:t>）实验课教材：</w:t>
      </w:r>
      <w:r w:rsidRPr="00B67EA3">
        <w:rPr>
          <w:rFonts w:hint="eastAsia"/>
          <w:bCs/>
          <w:szCs w:val="21"/>
        </w:rPr>
        <w:t>分子生物学及基因工程实验教程，刘箭</w:t>
      </w:r>
      <w:r w:rsidRPr="00B67EA3">
        <w:rPr>
          <w:bCs/>
          <w:szCs w:val="21"/>
        </w:rPr>
        <w:t xml:space="preserve"> </w:t>
      </w:r>
      <w:r w:rsidRPr="00B67EA3">
        <w:rPr>
          <w:rFonts w:hint="eastAsia"/>
          <w:bCs/>
          <w:szCs w:val="21"/>
        </w:rPr>
        <w:t>编著，科学出版社，</w:t>
      </w:r>
      <w:r w:rsidRPr="00B67EA3">
        <w:rPr>
          <w:bCs/>
          <w:szCs w:val="21"/>
        </w:rPr>
        <w:t>2012</w:t>
      </w:r>
      <w:r w:rsidRPr="00B67EA3">
        <w:rPr>
          <w:rFonts w:hint="eastAsia"/>
          <w:bCs/>
          <w:szCs w:val="21"/>
        </w:rPr>
        <w:t>年</w:t>
      </w:r>
    </w:p>
    <w:p w14:paraId="159A9B74" w14:textId="77777777" w:rsidR="00DF3F21" w:rsidRPr="00B67EA3" w:rsidRDefault="00DF3F21" w:rsidP="00DF3F21">
      <w:pPr>
        <w:widowControl/>
        <w:adjustRightInd w:val="0"/>
        <w:snapToGrid w:val="0"/>
        <w:spacing w:line="360" w:lineRule="auto"/>
        <w:jc w:val="left"/>
        <w:rPr>
          <w:kern w:val="0"/>
          <w:szCs w:val="21"/>
        </w:rPr>
      </w:pPr>
      <w:r w:rsidRPr="00B67EA3">
        <w:rPr>
          <w:b/>
          <w:bCs/>
          <w:kern w:val="0"/>
          <w:szCs w:val="21"/>
        </w:rPr>
        <w:t>2</w:t>
      </w:r>
      <w:r w:rsidRPr="00B67EA3">
        <w:rPr>
          <w:rFonts w:hint="eastAsia"/>
          <w:b/>
          <w:bCs/>
          <w:kern w:val="0"/>
          <w:szCs w:val="21"/>
        </w:rPr>
        <w:t>．</w:t>
      </w:r>
      <w:r w:rsidRPr="00B67EA3">
        <w:rPr>
          <w:b/>
          <w:bCs/>
          <w:kern w:val="0"/>
          <w:szCs w:val="21"/>
        </w:rPr>
        <w:t>参考书：</w:t>
      </w:r>
    </w:p>
    <w:p w14:paraId="674A7852" w14:textId="77777777" w:rsidR="00DF3F21" w:rsidRPr="00B67EA3" w:rsidRDefault="00DF3F21" w:rsidP="00DF3F21">
      <w:pPr>
        <w:adjustRightInd w:val="0"/>
        <w:snapToGrid w:val="0"/>
        <w:spacing w:line="360" w:lineRule="auto"/>
        <w:rPr>
          <w:bCs/>
          <w:kern w:val="0"/>
          <w:szCs w:val="21"/>
        </w:rPr>
      </w:pPr>
      <w:r w:rsidRPr="00B67EA3">
        <w:rPr>
          <w:bCs/>
          <w:kern w:val="0"/>
          <w:szCs w:val="21"/>
        </w:rPr>
        <w:t>（</w:t>
      </w:r>
      <w:r w:rsidRPr="00B67EA3">
        <w:rPr>
          <w:bCs/>
          <w:kern w:val="0"/>
          <w:szCs w:val="21"/>
        </w:rPr>
        <w:t>1</w:t>
      </w:r>
      <w:r w:rsidRPr="00B67EA3">
        <w:rPr>
          <w:bCs/>
          <w:kern w:val="0"/>
          <w:szCs w:val="21"/>
        </w:rPr>
        <w:t>）分子生物学</w:t>
      </w:r>
      <w:r w:rsidRPr="00B67EA3">
        <w:rPr>
          <w:b/>
          <w:bCs/>
          <w:kern w:val="0"/>
          <w:szCs w:val="21"/>
        </w:rPr>
        <w:t>．</w:t>
      </w:r>
      <w:r w:rsidRPr="00B67EA3">
        <w:rPr>
          <w:bCs/>
          <w:kern w:val="0"/>
          <w:szCs w:val="21"/>
        </w:rPr>
        <w:t>阎隆飞、张玉麟</w:t>
      </w:r>
      <w:r w:rsidRPr="00B67EA3">
        <w:rPr>
          <w:bCs/>
          <w:kern w:val="0"/>
          <w:szCs w:val="21"/>
        </w:rPr>
        <w:t xml:space="preserve"> </w:t>
      </w:r>
      <w:r w:rsidRPr="00B67EA3">
        <w:rPr>
          <w:bCs/>
          <w:kern w:val="0"/>
          <w:szCs w:val="21"/>
        </w:rPr>
        <w:t>主编</w:t>
      </w:r>
      <w:r w:rsidRPr="00B67EA3">
        <w:rPr>
          <w:rFonts w:hint="eastAsia"/>
          <w:b/>
          <w:bCs/>
          <w:kern w:val="0"/>
          <w:szCs w:val="21"/>
        </w:rPr>
        <w:t>．</w:t>
      </w:r>
      <w:r w:rsidRPr="00B67EA3">
        <w:rPr>
          <w:rFonts w:hint="eastAsia"/>
          <w:bCs/>
          <w:kern w:val="0"/>
          <w:szCs w:val="21"/>
        </w:rPr>
        <w:t>中国农业大学出版社，</w:t>
      </w:r>
      <w:r w:rsidRPr="00B67EA3">
        <w:rPr>
          <w:bCs/>
          <w:kern w:val="0"/>
          <w:szCs w:val="21"/>
        </w:rPr>
        <w:t>2001</w:t>
      </w:r>
      <w:r w:rsidRPr="00B67EA3">
        <w:rPr>
          <w:rFonts w:hint="eastAsia"/>
          <w:bCs/>
          <w:kern w:val="0"/>
          <w:szCs w:val="21"/>
        </w:rPr>
        <w:t>年</w:t>
      </w:r>
    </w:p>
    <w:p w14:paraId="2EF6DC8F" w14:textId="77777777" w:rsidR="00DF3F21" w:rsidRPr="00B67EA3" w:rsidRDefault="00DF3F21" w:rsidP="00DF3F21">
      <w:pPr>
        <w:adjustRightInd w:val="0"/>
        <w:snapToGrid w:val="0"/>
        <w:spacing w:line="360" w:lineRule="auto"/>
        <w:rPr>
          <w:bCs/>
          <w:kern w:val="0"/>
          <w:szCs w:val="21"/>
        </w:rPr>
      </w:pPr>
      <w:r w:rsidRPr="00B67EA3">
        <w:rPr>
          <w:rFonts w:hint="eastAsia"/>
          <w:bCs/>
          <w:kern w:val="0"/>
          <w:szCs w:val="21"/>
        </w:rPr>
        <w:t>（</w:t>
      </w:r>
      <w:r w:rsidRPr="00B67EA3">
        <w:rPr>
          <w:bCs/>
          <w:kern w:val="0"/>
          <w:szCs w:val="21"/>
        </w:rPr>
        <w:t>2</w:t>
      </w:r>
      <w:r w:rsidRPr="00B67EA3">
        <w:rPr>
          <w:rFonts w:hint="eastAsia"/>
          <w:bCs/>
          <w:kern w:val="0"/>
          <w:szCs w:val="21"/>
        </w:rPr>
        <w:t>）</w:t>
      </w:r>
      <w:r w:rsidRPr="00B67EA3">
        <w:rPr>
          <w:rFonts w:hint="eastAsia"/>
          <w:bCs/>
          <w:szCs w:val="21"/>
        </w:rPr>
        <w:t>分子克隆实验指南</w:t>
      </w:r>
      <w:r w:rsidRPr="00B67EA3">
        <w:rPr>
          <w:rFonts w:hint="eastAsia"/>
          <w:b/>
          <w:bCs/>
          <w:kern w:val="0"/>
          <w:szCs w:val="21"/>
        </w:rPr>
        <w:t>．</w:t>
      </w:r>
      <w:r w:rsidRPr="00B67EA3">
        <w:rPr>
          <w:rFonts w:hint="eastAsia"/>
          <w:bCs/>
          <w:kern w:val="0"/>
          <w:szCs w:val="21"/>
        </w:rPr>
        <w:t>黄培堂</w:t>
      </w:r>
      <w:r w:rsidRPr="00B67EA3">
        <w:rPr>
          <w:bCs/>
          <w:kern w:val="0"/>
          <w:szCs w:val="21"/>
        </w:rPr>
        <w:t xml:space="preserve"> </w:t>
      </w:r>
      <w:r w:rsidRPr="00B67EA3">
        <w:rPr>
          <w:rFonts w:hint="eastAsia"/>
          <w:bCs/>
          <w:kern w:val="0"/>
          <w:szCs w:val="21"/>
        </w:rPr>
        <w:t>等译</w:t>
      </w:r>
      <w:r w:rsidRPr="00B67EA3">
        <w:rPr>
          <w:rFonts w:hint="eastAsia"/>
          <w:b/>
          <w:bCs/>
          <w:kern w:val="0"/>
          <w:szCs w:val="21"/>
        </w:rPr>
        <w:t>．</w:t>
      </w:r>
      <w:r w:rsidRPr="00B67EA3">
        <w:rPr>
          <w:rFonts w:hint="eastAsia"/>
          <w:bCs/>
          <w:kern w:val="0"/>
          <w:szCs w:val="21"/>
        </w:rPr>
        <w:t>科学出版社，</w:t>
      </w:r>
      <w:r w:rsidRPr="00B67EA3">
        <w:rPr>
          <w:bCs/>
          <w:kern w:val="0"/>
          <w:szCs w:val="21"/>
        </w:rPr>
        <w:t>2002</w:t>
      </w:r>
      <w:r w:rsidRPr="00B67EA3">
        <w:rPr>
          <w:rFonts w:hint="eastAsia"/>
          <w:bCs/>
          <w:kern w:val="0"/>
          <w:szCs w:val="21"/>
        </w:rPr>
        <w:t>年</w:t>
      </w:r>
    </w:p>
    <w:p w14:paraId="4F78385C" w14:textId="77777777" w:rsidR="00DF3F21" w:rsidRPr="00B67EA3" w:rsidRDefault="00DF3F21" w:rsidP="00DF3F21">
      <w:pPr>
        <w:adjustRightInd w:val="0"/>
        <w:snapToGrid w:val="0"/>
        <w:spacing w:line="360" w:lineRule="auto"/>
        <w:rPr>
          <w:bCs/>
          <w:kern w:val="0"/>
          <w:szCs w:val="21"/>
        </w:rPr>
      </w:pPr>
      <w:r w:rsidRPr="00B67EA3">
        <w:rPr>
          <w:rFonts w:hint="eastAsia"/>
          <w:bCs/>
          <w:kern w:val="0"/>
          <w:szCs w:val="21"/>
        </w:rPr>
        <w:t>（</w:t>
      </w:r>
      <w:r w:rsidRPr="00B67EA3">
        <w:rPr>
          <w:bCs/>
          <w:kern w:val="0"/>
          <w:szCs w:val="21"/>
        </w:rPr>
        <w:t>3</w:t>
      </w:r>
      <w:r w:rsidRPr="00B67EA3">
        <w:rPr>
          <w:rFonts w:hint="eastAsia"/>
          <w:bCs/>
          <w:kern w:val="0"/>
          <w:szCs w:val="21"/>
        </w:rPr>
        <w:t>）分子生物学简明教程</w:t>
      </w:r>
      <w:r w:rsidRPr="00B67EA3">
        <w:rPr>
          <w:rFonts w:hint="eastAsia"/>
          <w:b/>
          <w:bCs/>
          <w:kern w:val="0"/>
          <w:szCs w:val="21"/>
        </w:rPr>
        <w:t>．</w:t>
      </w:r>
      <w:r w:rsidRPr="00B67EA3">
        <w:rPr>
          <w:rFonts w:hint="eastAsia"/>
          <w:bCs/>
          <w:kern w:val="0"/>
          <w:szCs w:val="21"/>
        </w:rPr>
        <w:t>刘永明</w:t>
      </w:r>
      <w:r w:rsidRPr="00B67EA3">
        <w:rPr>
          <w:bCs/>
          <w:kern w:val="0"/>
          <w:szCs w:val="21"/>
        </w:rPr>
        <w:t xml:space="preserve"> </w:t>
      </w:r>
      <w:r w:rsidRPr="00B67EA3">
        <w:rPr>
          <w:rFonts w:hint="eastAsia"/>
          <w:bCs/>
          <w:kern w:val="0"/>
          <w:szCs w:val="21"/>
        </w:rPr>
        <w:t>主编</w:t>
      </w:r>
      <w:r w:rsidRPr="00B67EA3">
        <w:rPr>
          <w:rFonts w:hint="eastAsia"/>
          <w:b/>
          <w:bCs/>
          <w:kern w:val="0"/>
          <w:szCs w:val="21"/>
        </w:rPr>
        <w:t>．</w:t>
      </w:r>
      <w:r w:rsidRPr="00B67EA3">
        <w:rPr>
          <w:rFonts w:hint="eastAsia"/>
          <w:bCs/>
          <w:kern w:val="0"/>
          <w:szCs w:val="21"/>
        </w:rPr>
        <w:t>化学工业出版社，</w:t>
      </w:r>
      <w:r w:rsidRPr="00B67EA3">
        <w:rPr>
          <w:bCs/>
          <w:kern w:val="0"/>
          <w:szCs w:val="21"/>
        </w:rPr>
        <w:t>2006</w:t>
      </w:r>
      <w:r w:rsidRPr="00B67EA3">
        <w:rPr>
          <w:rFonts w:hint="eastAsia"/>
          <w:bCs/>
          <w:kern w:val="0"/>
          <w:szCs w:val="21"/>
        </w:rPr>
        <w:t>年</w:t>
      </w:r>
    </w:p>
    <w:p w14:paraId="5216F62A" w14:textId="77777777" w:rsidR="00DF3F21" w:rsidRPr="00B67EA3" w:rsidRDefault="00DF3F21" w:rsidP="00DF3F21">
      <w:pPr>
        <w:adjustRightInd w:val="0"/>
        <w:snapToGrid w:val="0"/>
        <w:spacing w:line="360" w:lineRule="auto"/>
        <w:rPr>
          <w:bCs/>
          <w:kern w:val="0"/>
          <w:szCs w:val="21"/>
        </w:rPr>
      </w:pPr>
      <w:r w:rsidRPr="00B67EA3">
        <w:rPr>
          <w:rFonts w:hint="eastAsia"/>
          <w:bCs/>
          <w:kern w:val="0"/>
          <w:szCs w:val="21"/>
        </w:rPr>
        <w:t>（</w:t>
      </w:r>
      <w:r w:rsidRPr="00B67EA3">
        <w:rPr>
          <w:bCs/>
          <w:kern w:val="0"/>
          <w:szCs w:val="21"/>
        </w:rPr>
        <w:t>4</w:t>
      </w:r>
      <w:r w:rsidRPr="00B67EA3">
        <w:rPr>
          <w:rFonts w:hint="eastAsia"/>
          <w:bCs/>
          <w:kern w:val="0"/>
          <w:szCs w:val="21"/>
        </w:rPr>
        <w:t>）现代分子生物学（第二版）</w:t>
      </w:r>
      <w:r w:rsidRPr="00B67EA3">
        <w:rPr>
          <w:rFonts w:hint="eastAsia"/>
          <w:b/>
          <w:bCs/>
          <w:kern w:val="0"/>
          <w:szCs w:val="21"/>
        </w:rPr>
        <w:t>．</w:t>
      </w:r>
      <w:r w:rsidRPr="00B67EA3">
        <w:rPr>
          <w:rFonts w:hint="eastAsia"/>
          <w:bCs/>
          <w:kern w:val="0"/>
          <w:szCs w:val="21"/>
        </w:rPr>
        <w:t>朱玉贤、李毅</w:t>
      </w:r>
      <w:r w:rsidRPr="00B67EA3">
        <w:rPr>
          <w:bCs/>
          <w:kern w:val="0"/>
          <w:szCs w:val="21"/>
        </w:rPr>
        <w:t xml:space="preserve"> </w:t>
      </w:r>
      <w:r w:rsidRPr="00B67EA3">
        <w:rPr>
          <w:rFonts w:hint="eastAsia"/>
          <w:bCs/>
          <w:kern w:val="0"/>
          <w:szCs w:val="21"/>
        </w:rPr>
        <w:t>编著</w:t>
      </w:r>
      <w:r w:rsidRPr="00B67EA3">
        <w:rPr>
          <w:rFonts w:hint="eastAsia"/>
          <w:b/>
          <w:bCs/>
          <w:kern w:val="0"/>
          <w:szCs w:val="21"/>
        </w:rPr>
        <w:t>．</w:t>
      </w:r>
      <w:r w:rsidRPr="00B67EA3">
        <w:rPr>
          <w:rFonts w:hint="eastAsia"/>
          <w:bCs/>
          <w:kern w:val="0"/>
          <w:szCs w:val="21"/>
        </w:rPr>
        <w:t>高等教育出版社，</w:t>
      </w:r>
      <w:r w:rsidRPr="00B67EA3">
        <w:rPr>
          <w:bCs/>
          <w:kern w:val="0"/>
          <w:szCs w:val="21"/>
        </w:rPr>
        <w:t xml:space="preserve">2007 </w:t>
      </w:r>
      <w:r w:rsidRPr="00B67EA3">
        <w:rPr>
          <w:rFonts w:hint="eastAsia"/>
          <w:bCs/>
          <w:kern w:val="0"/>
          <w:szCs w:val="21"/>
        </w:rPr>
        <w:t>年</w:t>
      </w:r>
    </w:p>
    <w:p w14:paraId="55EE93CE" w14:textId="77777777" w:rsidR="00DF3F21" w:rsidRPr="00B67EA3" w:rsidRDefault="00DF3F21" w:rsidP="00DF3F21">
      <w:pPr>
        <w:adjustRightInd w:val="0"/>
        <w:snapToGrid w:val="0"/>
        <w:spacing w:line="360" w:lineRule="auto"/>
        <w:rPr>
          <w:bCs/>
          <w:kern w:val="0"/>
          <w:szCs w:val="21"/>
        </w:rPr>
      </w:pPr>
      <w:r w:rsidRPr="00B67EA3">
        <w:rPr>
          <w:rFonts w:hint="eastAsia"/>
          <w:bCs/>
          <w:kern w:val="0"/>
          <w:szCs w:val="21"/>
        </w:rPr>
        <w:t>（</w:t>
      </w:r>
      <w:r w:rsidRPr="00B67EA3">
        <w:rPr>
          <w:bCs/>
          <w:kern w:val="0"/>
          <w:szCs w:val="21"/>
        </w:rPr>
        <w:t>5</w:t>
      </w:r>
      <w:r w:rsidRPr="00B67EA3">
        <w:rPr>
          <w:rFonts w:hint="eastAsia"/>
          <w:bCs/>
          <w:kern w:val="0"/>
          <w:szCs w:val="21"/>
        </w:rPr>
        <w:t>）分子生物学</w:t>
      </w:r>
      <w:r w:rsidRPr="00B67EA3">
        <w:rPr>
          <w:rFonts w:hint="eastAsia"/>
          <w:b/>
          <w:bCs/>
          <w:kern w:val="0"/>
          <w:szCs w:val="21"/>
        </w:rPr>
        <w:t>．</w:t>
      </w:r>
      <w:r w:rsidRPr="00B67EA3">
        <w:rPr>
          <w:rFonts w:hint="eastAsia"/>
          <w:bCs/>
          <w:kern w:val="0"/>
          <w:szCs w:val="21"/>
        </w:rPr>
        <w:t>郜金荣、叶林柏</w:t>
      </w:r>
      <w:r w:rsidRPr="00B67EA3">
        <w:rPr>
          <w:bCs/>
          <w:kern w:val="0"/>
          <w:szCs w:val="21"/>
        </w:rPr>
        <w:t xml:space="preserve"> </w:t>
      </w:r>
      <w:r w:rsidRPr="00B67EA3">
        <w:rPr>
          <w:rFonts w:hint="eastAsia"/>
          <w:bCs/>
          <w:kern w:val="0"/>
          <w:szCs w:val="21"/>
        </w:rPr>
        <w:t>编著</w:t>
      </w:r>
      <w:r w:rsidRPr="00B67EA3">
        <w:rPr>
          <w:rFonts w:hint="eastAsia"/>
          <w:b/>
          <w:bCs/>
          <w:kern w:val="0"/>
          <w:szCs w:val="21"/>
        </w:rPr>
        <w:t>．</w:t>
      </w:r>
      <w:r w:rsidRPr="00B67EA3">
        <w:rPr>
          <w:rFonts w:hint="eastAsia"/>
          <w:bCs/>
          <w:kern w:val="0"/>
          <w:szCs w:val="21"/>
        </w:rPr>
        <w:t>武汉大学出版社，</w:t>
      </w:r>
      <w:r w:rsidRPr="00B67EA3">
        <w:rPr>
          <w:bCs/>
          <w:kern w:val="0"/>
          <w:szCs w:val="21"/>
        </w:rPr>
        <w:t>2007</w:t>
      </w:r>
      <w:r w:rsidRPr="00B67EA3">
        <w:rPr>
          <w:rFonts w:hint="eastAsia"/>
          <w:bCs/>
          <w:kern w:val="0"/>
          <w:szCs w:val="21"/>
        </w:rPr>
        <w:t>年</w:t>
      </w:r>
    </w:p>
    <w:p w14:paraId="3CA92AEA" w14:textId="77777777" w:rsidR="00DF3F21" w:rsidRPr="00B67EA3" w:rsidRDefault="00DF3F21" w:rsidP="00DF3F21">
      <w:pPr>
        <w:autoSpaceDE w:val="0"/>
        <w:autoSpaceDN w:val="0"/>
        <w:adjustRightInd w:val="0"/>
        <w:snapToGrid w:val="0"/>
        <w:spacing w:line="360" w:lineRule="auto"/>
        <w:ind w:left="630" w:hangingChars="300" w:hanging="630"/>
        <w:jc w:val="left"/>
        <w:rPr>
          <w:kern w:val="0"/>
          <w:szCs w:val="21"/>
        </w:rPr>
      </w:pPr>
      <w:r w:rsidRPr="00B67EA3">
        <w:rPr>
          <w:rFonts w:hint="eastAsia"/>
          <w:bCs/>
          <w:kern w:val="0"/>
          <w:szCs w:val="21"/>
        </w:rPr>
        <w:t>（</w:t>
      </w:r>
      <w:r w:rsidRPr="00B67EA3">
        <w:rPr>
          <w:bCs/>
          <w:kern w:val="0"/>
          <w:szCs w:val="21"/>
        </w:rPr>
        <w:t>6</w:t>
      </w:r>
      <w:r w:rsidRPr="00B67EA3">
        <w:rPr>
          <w:rFonts w:hint="eastAsia"/>
          <w:bCs/>
          <w:kern w:val="0"/>
          <w:szCs w:val="21"/>
        </w:rPr>
        <w:t>）</w:t>
      </w:r>
      <w:r w:rsidRPr="00B67EA3">
        <w:rPr>
          <w:kern w:val="0"/>
          <w:szCs w:val="21"/>
        </w:rPr>
        <w:t>Molecular Biology of the Cell</w:t>
      </w:r>
      <w:r w:rsidRPr="00B67EA3">
        <w:rPr>
          <w:rFonts w:hint="eastAsia"/>
          <w:b/>
          <w:bCs/>
          <w:kern w:val="0"/>
          <w:szCs w:val="21"/>
        </w:rPr>
        <w:t>．</w:t>
      </w:r>
      <w:r w:rsidRPr="00B67EA3">
        <w:rPr>
          <w:kern w:val="0"/>
          <w:szCs w:val="21"/>
        </w:rPr>
        <w:t xml:space="preserve">Bruce Alberts, Alexander Johnson, Julian Lewis, Martin Rafi Keith Roberts, and Peter </w:t>
      </w:r>
      <w:proofErr w:type="spellStart"/>
      <w:r w:rsidRPr="00B67EA3">
        <w:rPr>
          <w:kern w:val="0"/>
          <w:szCs w:val="21"/>
        </w:rPr>
        <w:t>Walte</w:t>
      </w:r>
      <w:proofErr w:type="spellEnd"/>
      <w:r w:rsidRPr="00B67EA3">
        <w:rPr>
          <w:rFonts w:hint="eastAsia"/>
          <w:b/>
          <w:bCs/>
          <w:kern w:val="0"/>
          <w:szCs w:val="21"/>
        </w:rPr>
        <w:t>．</w:t>
      </w:r>
      <w:r w:rsidRPr="00B67EA3">
        <w:rPr>
          <w:kern w:val="0"/>
          <w:szCs w:val="21"/>
        </w:rPr>
        <w:t>Published by Garland science, Taylor &amp; Francis Group, LLC</w:t>
      </w:r>
      <w:r w:rsidRPr="00B67EA3">
        <w:rPr>
          <w:rFonts w:hint="eastAsia"/>
          <w:kern w:val="0"/>
          <w:szCs w:val="21"/>
        </w:rPr>
        <w:t>，</w:t>
      </w:r>
      <w:r w:rsidRPr="00B67EA3">
        <w:rPr>
          <w:kern w:val="0"/>
          <w:szCs w:val="21"/>
        </w:rPr>
        <w:t>2008</w:t>
      </w:r>
    </w:p>
    <w:p w14:paraId="40E02E1F" w14:textId="77777777" w:rsidR="00DF3F21" w:rsidRPr="00B67EA3" w:rsidRDefault="00DF3F21" w:rsidP="00DF3F21">
      <w:pPr>
        <w:autoSpaceDE w:val="0"/>
        <w:autoSpaceDN w:val="0"/>
        <w:adjustRightInd w:val="0"/>
        <w:snapToGrid w:val="0"/>
        <w:spacing w:line="360" w:lineRule="auto"/>
        <w:jc w:val="left"/>
        <w:rPr>
          <w:bCs/>
          <w:kern w:val="0"/>
          <w:szCs w:val="21"/>
        </w:rPr>
      </w:pPr>
      <w:r w:rsidRPr="00B67EA3">
        <w:rPr>
          <w:rFonts w:hint="eastAsia"/>
          <w:bCs/>
          <w:kern w:val="0"/>
          <w:szCs w:val="21"/>
        </w:rPr>
        <w:t>（</w:t>
      </w:r>
      <w:r w:rsidRPr="00B67EA3">
        <w:rPr>
          <w:bCs/>
          <w:kern w:val="0"/>
          <w:szCs w:val="21"/>
        </w:rPr>
        <w:t>7</w:t>
      </w:r>
      <w:r w:rsidRPr="00B67EA3">
        <w:rPr>
          <w:rFonts w:hint="eastAsia"/>
          <w:bCs/>
          <w:kern w:val="0"/>
          <w:szCs w:val="21"/>
        </w:rPr>
        <w:t>）</w:t>
      </w:r>
      <w:r w:rsidRPr="00B67EA3">
        <w:rPr>
          <w:bCs/>
          <w:kern w:val="0"/>
          <w:szCs w:val="21"/>
        </w:rPr>
        <w:t xml:space="preserve">GENES </w:t>
      </w:r>
      <w:r w:rsidRPr="00B67EA3">
        <w:rPr>
          <w:rFonts w:ascii="宋体" w:hAnsi="宋体" w:cs="宋体" w:hint="eastAsia"/>
          <w:bCs/>
          <w:kern w:val="0"/>
          <w:szCs w:val="21"/>
        </w:rPr>
        <w:t>Ⅸ</w:t>
      </w:r>
      <w:r w:rsidRPr="00B67EA3">
        <w:rPr>
          <w:rFonts w:hint="eastAsia"/>
          <w:b/>
          <w:bCs/>
          <w:kern w:val="0"/>
          <w:szCs w:val="21"/>
        </w:rPr>
        <w:t>．</w:t>
      </w:r>
      <w:r w:rsidRPr="00B67EA3">
        <w:rPr>
          <w:bCs/>
          <w:kern w:val="0"/>
          <w:szCs w:val="21"/>
        </w:rPr>
        <w:t>Benjamin Lewin</w:t>
      </w:r>
      <w:r w:rsidRPr="00B67EA3">
        <w:rPr>
          <w:rFonts w:hint="eastAsia"/>
          <w:b/>
          <w:bCs/>
          <w:kern w:val="0"/>
          <w:szCs w:val="21"/>
        </w:rPr>
        <w:t>．</w:t>
      </w:r>
      <w:r w:rsidRPr="00B67EA3">
        <w:rPr>
          <w:bCs/>
          <w:kern w:val="0"/>
          <w:szCs w:val="21"/>
        </w:rPr>
        <w:t>Jones and Bartlett publishers</w:t>
      </w:r>
      <w:r w:rsidRPr="00B67EA3">
        <w:rPr>
          <w:rFonts w:hint="eastAsia"/>
          <w:bCs/>
          <w:kern w:val="0"/>
          <w:szCs w:val="21"/>
        </w:rPr>
        <w:t>，</w:t>
      </w:r>
      <w:r w:rsidRPr="00B67EA3">
        <w:rPr>
          <w:bCs/>
          <w:kern w:val="0"/>
          <w:szCs w:val="21"/>
        </w:rPr>
        <w:t>2008</w:t>
      </w:r>
    </w:p>
    <w:p w14:paraId="7356304D" w14:textId="77777777" w:rsidR="00DF3F21" w:rsidRPr="00B67EA3" w:rsidRDefault="00DF3F21" w:rsidP="00DF3F21">
      <w:pPr>
        <w:widowControl/>
        <w:adjustRightInd w:val="0"/>
        <w:snapToGrid w:val="0"/>
        <w:spacing w:line="360" w:lineRule="auto"/>
        <w:jc w:val="left"/>
        <w:rPr>
          <w:b/>
          <w:kern w:val="0"/>
          <w:szCs w:val="21"/>
        </w:rPr>
      </w:pPr>
      <w:r w:rsidRPr="00B67EA3">
        <w:rPr>
          <w:b/>
          <w:kern w:val="0"/>
          <w:szCs w:val="21"/>
        </w:rPr>
        <w:t>3</w:t>
      </w:r>
      <w:r w:rsidRPr="00B67EA3">
        <w:rPr>
          <w:rFonts w:hint="eastAsia"/>
          <w:b/>
          <w:kern w:val="0"/>
          <w:szCs w:val="21"/>
        </w:rPr>
        <w:t>．</w:t>
      </w:r>
      <w:r w:rsidRPr="00B67EA3">
        <w:rPr>
          <w:b/>
          <w:kern w:val="0"/>
          <w:szCs w:val="21"/>
        </w:rPr>
        <w:t>推荐网站：</w:t>
      </w:r>
    </w:p>
    <w:p w14:paraId="4C880065" w14:textId="77777777" w:rsidR="00DF3F21" w:rsidRPr="00B67EA3" w:rsidRDefault="00DF3F21" w:rsidP="00DF3F21">
      <w:pPr>
        <w:adjustRightInd w:val="0"/>
        <w:snapToGrid w:val="0"/>
        <w:spacing w:line="360" w:lineRule="auto"/>
        <w:rPr>
          <w:szCs w:val="21"/>
        </w:rPr>
      </w:pPr>
      <w:r w:rsidRPr="00B67EA3">
        <w:rPr>
          <w:szCs w:val="21"/>
        </w:rPr>
        <w:t>（</w:t>
      </w:r>
      <w:r w:rsidRPr="00B67EA3">
        <w:rPr>
          <w:szCs w:val="21"/>
        </w:rPr>
        <w:t>1</w:t>
      </w:r>
      <w:r w:rsidRPr="00B67EA3">
        <w:rPr>
          <w:szCs w:val="21"/>
        </w:rPr>
        <w:t>）美国国立生物技术信息中心，</w:t>
      </w:r>
      <w:r w:rsidRPr="00B67EA3">
        <w:rPr>
          <w:szCs w:val="21"/>
        </w:rPr>
        <w:t>https://www.ncbi.nlm.nih.gov/</w:t>
      </w:r>
    </w:p>
    <w:p w14:paraId="1883F770" w14:textId="77777777" w:rsidR="00DF3F21" w:rsidRPr="00B67EA3" w:rsidRDefault="00DF3F21" w:rsidP="00DF3F21">
      <w:pPr>
        <w:widowControl/>
        <w:adjustRightInd w:val="0"/>
        <w:snapToGrid w:val="0"/>
        <w:spacing w:line="360" w:lineRule="auto"/>
        <w:jc w:val="left"/>
        <w:rPr>
          <w:szCs w:val="21"/>
        </w:rPr>
      </w:pPr>
      <w:r w:rsidRPr="00B67EA3">
        <w:rPr>
          <w:rFonts w:hint="eastAsia"/>
          <w:szCs w:val="21"/>
        </w:rPr>
        <w:t>（</w:t>
      </w:r>
      <w:r w:rsidRPr="00B67EA3">
        <w:rPr>
          <w:szCs w:val="21"/>
        </w:rPr>
        <w:t>2</w:t>
      </w:r>
      <w:r w:rsidRPr="00B67EA3">
        <w:rPr>
          <w:rFonts w:hint="eastAsia"/>
          <w:szCs w:val="21"/>
        </w:rPr>
        <w:t>）欧洲分子生物学实验室的</w:t>
      </w:r>
      <w:r w:rsidRPr="00B67EA3">
        <w:rPr>
          <w:szCs w:val="21"/>
        </w:rPr>
        <w:t>DNA</w:t>
      </w:r>
      <w:r w:rsidRPr="00B67EA3">
        <w:rPr>
          <w:rFonts w:hint="eastAsia"/>
          <w:szCs w:val="21"/>
        </w:rPr>
        <w:t>和</w:t>
      </w:r>
      <w:r w:rsidRPr="00B67EA3">
        <w:rPr>
          <w:szCs w:val="21"/>
        </w:rPr>
        <w:t>RNA</w:t>
      </w:r>
      <w:r w:rsidRPr="00B67EA3">
        <w:rPr>
          <w:rFonts w:hint="eastAsia"/>
          <w:szCs w:val="21"/>
        </w:rPr>
        <w:t>数据库，</w:t>
      </w:r>
      <w:r w:rsidRPr="00B67EA3">
        <w:rPr>
          <w:szCs w:val="21"/>
        </w:rPr>
        <w:t>http://www.ebi.ac.uk/</w:t>
      </w:r>
    </w:p>
    <w:p w14:paraId="19B847E0" w14:textId="77777777" w:rsidR="00DF3F21" w:rsidRPr="00B67EA3" w:rsidRDefault="00DF3F21" w:rsidP="00DF3F21">
      <w:pPr>
        <w:widowControl/>
        <w:adjustRightInd w:val="0"/>
        <w:snapToGrid w:val="0"/>
        <w:spacing w:line="360" w:lineRule="auto"/>
        <w:jc w:val="left"/>
        <w:rPr>
          <w:szCs w:val="21"/>
        </w:rPr>
      </w:pPr>
      <w:r w:rsidRPr="00B67EA3">
        <w:rPr>
          <w:rFonts w:hint="eastAsia"/>
          <w:szCs w:val="21"/>
        </w:rPr>
        <w:t>（</w:t>
      </w:r>
      <w:r w:rsidRPr="00B67EA3">
        <w:rPr>
          <w:szCs w:val="21"/>
        </w:rPr>
        <w:t>3</w:t>
      </w:r>
      <w:r w:rsidRPr="00B67EA3">
        <w:rPr>
          <w:rFonts w:hint="eastAsia"/>
          <w:szCs w:val="21"/>
        </w:rPr>
        <w:t>）日本核酸数据库，</w:t>
      </w:r>
      <w:r w:rsidRPr="00B67EA3">
        <w:rPr>
          <w:szCs w:val="21"/>
        </w:rPr>
        <w:t>http://www.ddbj.nig.ac.jp/</w:t>
      </w:r>
    </w:p>
    <w:p w14:paraId="11DE1C79" w14:textId="34ED04BF" w:rsidR="00DF3F21" w:rsidRPr="00DF3F21" w:rsidRDefault="00DF3F21" w:rsidP="00DF3F21">
      <w:pPr>
        <w:widowControl/>
        <w:adjustRightInd w:val="0"/>
        <w:snapToGrid w:val="0"/>
        <w:spacing w:line="360" w:lineRule="auto"/>
        <w:jc w:val="left"/>
        <w:rPr>
          <w:szCs w:val="21"/>
        </w:rPr>
      </w:pPr>
      <w:r w:rsidRPr="00B67EA3">
        <w:rPr>
          <w:rFonts w:hint="eastAsia"/>
          <w:szCs w:val="21"/>
        </w:rPr>
        <w:t>（</w:t>
      </w:r>
      <w:r w:rsidRPr="00B67EA3">
        <w:rPr>
          <w:szCs w:val="21"/>
        </w:rPr>
        <w:t>4</w:t>
      </w:r>
      <w:r w:rsidRPr="00B67EA3">
        <w:rPr>
          <w:rFonts w:hint="eastAsia"/>
          <w:szCs w:val="21"/>
        </w:rPr>
        <w:t>）国家基因库，</w:t>
      </w:r>
      <w:r w:rsidRPr="00DF3F21">
        <w:rPr>
          <w:szCs w:val="21"/>
        </w:rPr>
        <w:t>https://www.cngb.org/</w:t>
      </w:r>
    </w:p>
    <w:p w14:paraId="10F6FCA4" w14:textId="77777777" w:rsidR="00DF3F21" w:rsidRPr="00B67EA3" w:rsidRDefault="00DF3F21" w:rsidP="00DF3F21">
      <w:pPr>
        <w:widowControl/>
        <w:snapToGrid w:val="0"/>
        <w:spacing w:line="360" w:lineRule="auto"/>
        <w:jc w:val="left"/>
        <w:rPr>
          <w:b/>
          <w:bCs/>
          <w:kern w:val="0"/>
          <w:szCs w:val="21"/>
        </w:rPr>
      </w:pPr>
      <w:r>
        <w:rPr>
          <w:rFonts w:hint="eastAsia"/>
          <w:b/>
          <w:bCs/>
          <w:kern w:val="0"/>
          <w:szCs w:val="21"/>
        </w:rPr>
        <w:t>八</w:t>
      </w:r>
      <w:r w:rsidRPr="00B67EA3">
        <w:rPr>
          <w:rFonts w:hint="eastAsia"/>
          <w:b/>
          <w:bCs/>
          <w:kern w:val="0"/>
          <w:szCs w:val="21"/>
        </w:rPr>
        <w:t>、教学条件</w:t>
      </w:r>
    </w:p>
    <w:p w14:paraId="2F0A2706" w14:textId="03DBE271" w:rsidR="00DF3F21" w:rsidRPr="00B67EA3" w:rsidRDefault="00DF3F21" w:rsidP="00DF3F21">
      <w:pPr>
        <w:snapToGrid w:val="0"/>
        <w:spacing w:line="360" w:lineRule="auto"/>
        <w:ind w:firstLineChars="200" w:firstLine="420"/>
        <w:rPr>
          <w:szCs w:val="21"/>
        </w:rPr>
      </w:pPr>
      <w:r w:rsidRPr="00B67EA3">
        <w:rPr>
          <w:rFonts w:hint="eastAsia"/>
          <w:szCs w:val="21"/>
        </w:rPr>
        <w:t>分子生物学理论课程采用多媒体辅助教学手段，在三号教学楼或工程楼教室完成；实验部分课程在园艺学院蔬菜系公共平台完成。实验室配备常用的实验教学仪器如：低温高速离心机、分光光度计、水浴锅、微波炉、摇床、冰箱、凝胶成像分析系统、电泳仪和电泳槽、垂直电泳槽和半干转</w:t>
      </w:r>
      <w:r w:rsidRPr="00B67EA3">
        <w:rPr>
          <w:rFonts w:hint="eastAsia"/>
          <w:szCs w:val="21"/>
        </w:rPr>
        <w:lastRenderedPageBreak/>
        <w:t>移装置等常用仪器，实验台上配备有常温低速小离心机、漩涡震荡仪、微量加样枪等基本设备。</w:t>
      </w:r>
    </w:p>
    <w:p w14:paraId="3387EDDE" w14:textId="77777777" w:rsidR="00DF3F21" w:rsidRPr="00B67EA3" w:rsidRDefault="00DF3F21" w:rsidP="00DF3F21">
      <w:pPr>
        <w:widowControl/>
        <w:snapToGrid w:val="0"/>
        <w:spacing w:line="360" w:lineRule="auto"/>
        <w:jc w:val="left"/>
        <w:rPr>
          <w:b/>
          <w:bCs/>
          <w:kern w:val="0"/>
          <w:szCs w:val="21"/>
        </w:rPr>
      </w:pPr>
      <w:r>
        <w:rPr>
          <w:rFonts w:hint="eastAsia"/>
          <w:b/>
          <w:bCs/>
          <w:kern w:val="0"/>
          <w:szCs w:val="21"/>
        </w:rPr>
        <w:t>九</w:t>
      </w:r>
      <w:r w:rsidRPr="00B67EA3">
        <w:rPr>
          <w:rFonts w:hint="eastAsia"/>
          <w:b/>
          <w:bCs/>
          <w:kern w:val="0"/>
          <w:szCs w:val="21"/>
        </w:rPr>
        <w:t>、教学考核评价</w:t>
      </w:r>
    </w:p>
    <w:p w14:paraId="00BD2B94" w14:textId="77777777" w:rsidR="00DF3F21" w:rsidRPr="009B0437" w:rsidRDefault="00DF3F21" w:rsidP="00DF3F21">
      <w:pPr>
        <w:widowControl/>
        <w:snapToGrid w:val="0"/>
        <w:spacing w:line="360" w:lineRule="auto"/>
        <w:ind w:firstLine="420"/>
        <w:jc w:val="left"/>
        <w:rPr>
          <w:color w:val="0000FF"/>
          <w:szCs w:val="21"/>
        </w:rPr>
      </w:pPr>
      <w:r w:rsidRPr="009B0437">
        <w:rPr>
          <w:b/>
          <w:bCs/>
          <w:kern w:val="0"/>
          <w:szCs w:val="21"/>
        </w:rPr>
        <w:t>1.</w:t>
      </w:r>
      <w:r w:rsidRPr="009B0437">
        <w:rPr>
          <w:rFonts w:hint="eastAsia"/>
          <w:b/>
          <w:bCs/>
          <w:kern w:val="0"/>
          <w:szCs w:val="21"/>
        </w:rPr>
        <w:t>过程性评价：</w:t>
      </w:r>
      <w:r w:rsidRPr="009B0437">
        <w:rPr>
          <w:rFonts w:hint="eastAsia"/>
        </w:rPr>
        <w:t>平时成绩（占总成绩百分之二十）：主要包括考勤、作业、听课状态、笔记完成情况给予成绩。</w:t>
      </w:r>
      <w:r w:rsidRPr="009B0437">
        <w:rPr>
          <w:color w:val="0000FF"/>
          <w:szCs w:val="21"/>
        </w:rPr>
        <w:t xml:space="preserve"> </w:t>
      </w:r>
    </w:p>
    <w:p w14:paraId="743D7CA4" w14:textId="77777777" w:rsidR="00DF3F21" w:rsidRPr="009B0437" w:rsidRDefault="00DF3F21" w:rsidP="00DF3F21">
      <w:pPr>
        <w:widowControl/>
        <w:snapToGrid w:val="0"/>
        <w:spacing w:line="360" w:lineRule="auto"/>
        <w:ind w:firstLine="420"/>
        <w:jc w:val="left"/>
        <w:rPr>
          <w:szCs w:val="21"/>
        </w:rPr>
      </w:pPr>
      <w:r w:rsidRPr="009B0437">
        <w:rPr>
          <w:rFonts w:hint="eastAsia"/>
          <w:szCs w:val="21"/>
        </w:rPr>
        <w:t>2</w:t>
      </w:r>
      <w:r w:rsidRPr="009B0437">
        <w:rPr>
          <w:szCs w:val="21"/>
        </w:rPr>
        <w:t>.</w:t>
      </w:r>
      <w:r w:rsidRPr="009B0437">
        <w:rPr>
          <w:rFonts w:hint="eastAsia"/>
          <w:b/>
          <w:bCs/>
          <w:szCs w:val="21"/>
        </w:rPr>
        <w:t>终结性评价</w:t>
      </w:r>
      <w:r w:rsidRPr="009B0437">
        <w:rPr>
          <w:rFonts w:hint="eastAsia"/>
          <w:szCs w:val="21"/>
        </w:rPr>
        <w:t>：实验报告、平时成绩占</w:t>
      </w:r>
      <w:r w:rsidRPr="009B0437">
        <w:rPr>
          <w:rFonts w:hint="eastAsia"/>
          <w:szCs w:val="21"/>
        </w:rPr>
        <w:t>5</w:t>
      </w:r>
      <w:r w:rsidRPr="009B0437">
        <w:rPr>
          <w:szCs w:val="21"/>
        </w:rPr>
        <w:t>0%</w:t>
      </w:r>
      <w:r w:rsidRPr="009B0437">
        <w:rPr>
          <w:rFonts w:hint="eastAsia"/>
          <w:szCs w:val="21"/>
        </w:rPr>
        <w:t>，期末考试成绩占</w:t>
      </w:r>
      <w:r w:rsidRPr="009B0437">
        <w:rPr>
          <w:rFonts w:hint="eastAsia"/>
          <w:szCs w:val="21"/>
        </w:rPr>
        <w:t>5</w:t>
      </w:r>
      <w:r w:rsidRPr="009B0437">
        <w:rPr>
          <w:szCs w:val="21"/>
        </w:rPr>
        <w:t>0%</w:t>
      </w:r>
      <w:r w:rsidRPr="009B0437">
        <w:rPr>
          <w:rFonts w:hint="eastAsia"/>
          <w:szCs w:val="21"/>
        </w:rPr>
        <w:t>。</w:t>
      </w:r>
    </w:p>
    <w:p w14:paraId="75E3A267" w14:textId="77777777" w:rsidR="00DF3F21" w:rsidRPr="00022B24" w:rsidRDefault="00DF3F21" w:rsidP="00DF3F21">
      <w:pPr>
        <w:widowControl/>
        <w:snapToGrid w:val="0"/>
        <w:spacing w:line="360" w:lineRule="auto"/>
        <w:ind w:firstLine="420"/>
        <w:jc w:val="left"/>
        <w:rPr>
          <w:color w:val="0000FF"/>
          <w:szCs w:val="21"/>
        </w:rPr>
      </w:pPr>
      <w:r w:rsidRPr="009B0437">
        <w:rPr>
          <w:rFonts w:hint="eastAsia"/>
          <w:szCs w:val="21"/>
        </w:rPr>
        <w:t>3</w:t>
      </w:r>
      <w:r w:rsidRPr="009B0437">
        <w:rPr>
          <w:szCs w:val="21"/>
        </w:rPr>
        <w:t>.</w:t>
      </w:r>
      <w:r w:rsidRPr="009B0437">
        <w:rPr>
          <w:rFonts w:hint="eastAsia"/>
          <w:b/>
          <w:bCs/>
          <w:szCs w:val="21"/>
        </w:rPr>
        <w:t>课程综合评价</w:t>
      </w:r>
      <w:r w:rsidRPr="009B0437">
        <w:rPr>
          <w:rFonts w:hint="eastAsia"/>
          <w:szCs w:val="21"/>
        </w:rPr>
        <w:t>：期末考试为闭卷</w:t>
      </w:r>
      <w:r w:rsidRPr="009B0437">
        <w:rPr>
          <w:rFonts w:hint="eastAsia"/>
          <w:color w:val="0000FF"/>
          <w:szCs w:val="21"/>
        </w:rPr>
        <w:t>，</w:t>
      </w:r>
      <w:r w:rsidRPr="009B0437">
        <w:rPr>
          <w:szCs w:val="21"/>
        </w:rPr>
        <w:t>卷面成绩</w:t>
      </w:r>
      <w:r w:rsidRPr="009B0437">
        <w:rPr>
          <w:szCs w:val="21"/>
        </w:rPr>
        <w:t>50%+</w:t>
      </w:r>
      <w:r w:rsidRPr="009B0437">
        <w:rPr>
          <w:szCs w:val="21"/>
        </w:rPr>
        <w:t>实验成绩</w:t>
      </w:r>
      <w:r w:rsidRPr="009B0437">
        <w:rPr>
          <w:szCs w:val="21"/>
        </w:rPr>
        <w:t>30%+</w:t>
      </w:r>
      <w:r w:rsidRPr="009B0437">
        <w:rPr>
          <w:szCs w:val="21"/>
        </w:rPr>
        <w:t>平时成绩</w:t>
      </w:r>
      <w:r w:rsidRPr="009B0437">
        <w:rPr>
          <w:szCs w:val="21"/>
        </w:rPr>
        <w:t>20%</w:t>
      </w:r>
      <w:r w:rsidRPr="009B0437">
        <w:rPr>
          <w:rFonts w:hint="eastAsia"/>
          <w:szCs w:val="21"/>
        </w:rPr>
        <w:t>。</w:t>
      </w:r>
    </w:p>
    <w:p w14:paraId="05B7201D" w14:textId="77777777" w:rsidR="00F5289E" w:rsidRDefault="00C91173">
      <w:pPr>
        <w:widowControl/>
        <w:jc w:val="left"/>
        <w:rPr>
          <w:b/>
          <w:sz w:val="28"/>
          <w:szCs w:val="28"/>
        </w:rPr>
      </w:pPr>
      <w:r>
        <w:rPr>
          <w:b/>
          <w:sz w:val="28"/>
          <w:szCs w:val="28"/>
        </w:rPr>
        <w:br w:type="page"/>
      </w:r>
    </w:p>
    <w:p w14:paraId="5D57BAB2" w14:textId="77777777" w:rsidR="00F5289E" w:rsidRDefault="00C91173">
      <w:pPr>
        <w:pStyle w:val="1"/>
        <w:rPr>
          <w:color w:val="0000FF"/>
        </w:rPr>
      </w:pPr>
      <w:bookmarkStart w:id="49" w:name="_Toc138606237"/>
      <w:r>
        <w:rPr>
          <w:rFonts w:hint="eastAsia"/>
        </w:rPr>
        <w:lastRenderedPageBreak/>
        <w:t>现代园艺导论</w:t>
      </w:r>
      <w:bookmarkEnd w:id="49"/>
    </w:p>
    <w:p w14:paraId="09A2276B" w14:textId="77777777" w:rsidR="00F5289E" w:rsidRDefault="00C91173">
      <w:pPr>
        <w:snapToGrid w:val="0"/>
        <w:spacing w:line="360" w:lineRule="auto"/>
        <w:jc w:val="center"/>
        <w:rPr>
          <w:rFonts w:hAnsi="宋体"/>
          <w:bCs/>
          <w:color w:val="000000" w:themeColor="text1"/>
          <w:kern w:val="0"/>
          <w:sz w:val="24"/>
        </w:rPr>
      </w:pPr>
      <w:r>
        <w:rPr>
          <w:rFonts w:hAnsi="宋体"/>
          <w:bCs/>
          <w:color w:val="000000" w:themeColor="text1"/>
          <w:kern w:val="0"/>
          <w:sz w:val="24"/>
        </w:rPr>
        <w:t>（</w:t>
      </w:r>
      <w:r>
        <w:rPr>
          <w:rFonts w:hAnsi="宋体" w:hint="eastAsia"/>
          <w:bCs/>
          <w:color w:val="000000" w:themeColor="text1"/>
          <w:kern w:val="0"/>
          <w:sz w:val="24"/>
        </w:rPr>
        <w:t>I</w:t>
      </w:r>
      <w:r>
        <w:rPr>
          <w:rFonts w:hAnsi="宋体"/>
          <w:bCs/>
          <w:color w:val="000000" w:themeColor="text1"/>
          <w:kern w:val="0"/>
          <w:sz w:val="24"/>
        </w:rPr>
        <w:t>ntroduction to Modern Horticulture</w:t>
      </w:r>
      <w:r>
        <w:rPr>
          <w:rFonts w:hAnsi="宋体"/>
          <w:bCs/>
          <w:color w:val="000000" w:themeColor="text1"/>
          <w:kern w:val="0"/>
          <w:sz w:val="24"/>
        </w:rPr>
        <w:t>）</w:t>
      </w:r>
    </w:p>
    <w:p w14:paraId="2CCEE4CD" w14:textId="77777777" w:rsidR="00F5289E" w:rsidRDefault="00F5289E">
      <w:pPr>
        <w:snapToGrid w:val="0"/>
        <w:spacing w:line="360" w:lineRule="auto"/>
        <w:jc w:val="center"/>
        <w:rPr>
          <w:rFonts w:hAnsi="宋体"/>
          <w:bCs/>
          <w:color w:val="0000FF"/>
          <w:kern w:val="0"/>
          <w:szCs w:val="21"/>
        </w:rPr>
      </w:pPr>
    </w:p>
    <w:p w14:paraId="182C5767"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04BC5B53" w14:textId="77777777">
        <w:tc>
          <w:tcPr>
            <w:tcW w:w="1666" w:type="pct"/>
          </w:tcPr>
          <w:p w14:paraId="7821D678" w14:textId="77777777" w:rsidR="00F5289E" w:rsidRDefault="00C91173">
            <w:pPr>
              <w:spacing w:line="300" w:lineRule="auto"/>
              <w:rPr>
                <w:rFonts w:ascii="宋体" w:hAnsi="宋体"/>
                <w:b/>
                <w:bCs/>
                <w:szCs w:val="21"/>
              </w:rPr>
            </w:pPr>
            <w:r>
              <w:rPr>
                <w:rFonts w:ascii="宋体" w:hAnsi="宋体" w:hint="eastAsia"/>
                <w:b/>
                <w:bCs/>
                <w:szCs w:val="21"/>
              </w:rPr>
              <w:t>课程编号：</w:t>
            </w:r>
            <w:r w:rsidRPr="004156EB">
              <w:rPr>
                <w:rFonts w:ascii="宋体" w:hAnsi="宋体" w:hint="eastAsia"/>
                <w:szCs w:val="21"/>
              </w:rPr>
              <w:t>1</w:t>
            </w:r>
            <w:r w:rsidRPr="004156EB">
              <w:rPr>
                <w:rFonts w:ascii="宋体" w:hAnsi="宋体"/>
                <w:szCs w:val="21"/>
              </w:rPr>
              <w:t>9011111</w:t>
            </w:r>
          </w:p>
        </w:tc>
        <w:tc>
          <w:tcPr>
            <w:tcW w:w="1453" w:type="pct"/>
          </w:tcPr>
          <w:p w14:paraId="452DA172"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4156EB">
              <w:rPr>
                <w:rFonts w:ascii="宋体" w:hAnsi="宋体" w:hint="eastAsia"/>
                <w:szCs w:val="21"/>
              </w:rPr>
              <w:t>2</w:t>
            </w:r>
            <w:r w:rsidRPr="004156EB">
              <w:rPr>
                <w:rFonts w:ascii="宋体" w:hAnsi="宋体"/>
                <w:szCs w:val="21"/>
              </w:rPr>
              <w:t>4</w:t>
            </w:r>
          </w:p>
        </w:tc>
        <w:tc>
          <w:tcPr>
            <w:tcW w:w="1881" w:type="pct"/>
          </w:tcPr>
          <w:p w14:paraId="029762F7" w14:textId="0B414659" w:rsidR="00F5289E" w:rsidRDefault="00C91173">
            <w:pPr>
              <w:spacing w:line="300" w:lineRule="auto"/>
              <w:rPr>
                <w:rFonts w:ascii="宋体" w:hAnsi="宋体"/>
                <w:b/>
                <w:bCs/>
                <w:szCs w:val="21"/>
              </w:rPr>
            </w:pPr>
            <w:r>
              <w:rPr>
                <w:rFonts w:ascii="宋体" w:hAnsi="宋体" w:hint="eastAsia"/>
                <w:b/>
                <w:bCs/>
                <w:szCs w:val="21"/>
              </w:rPr>
              <w:t>实验学时：</w:t>
            </w:r>
            <w:r w:rsidRPr="005E1242">
              <w:rPr>
                <w:szCs w:val="21"/>
              </w:rPr>
              <w:t>0</w:t>
            </w:r>
          </w:p>
        </w:tc>
      </w:tr>
      <w:tr w:rsidR="00F5289E" w14:paraId="2B579C07" w14:textId="77777777">
        <w:tc>
          <w:tcPr>
            <w:tcW w:w="1666" w:type="pct"/>
          </w:tcPr>
          <w:p w14:paraId="49083E78" w14:textId="77777777" w:rsidR="00F5289E" w:rsidRDefault="00C91173">
            <w:pPr>
              <w:spacing w:line="300" w:lineRule="auto"/>
              <w:rPr>
                <w:rFonts w:ascii="宋体" w:hAnsi="宋体"/>
                <w:b/>
                <w:bCs/>
                <w:szCs w:val="21"/>
              </w:rPr>
            </w:pPr>
            <w:r>
              <w:rPr>
                <w:rFonts w:ascii="宋体" w:hAnsi="宋体" w:hint="eastAsia"/>
                <w:b/>
                <w:bCs/>
                <w:szCs w:val="21"/>
              </w:rPr>
              <w:t>课程性质：</w:t>
            </w:r>
            <w:r w:rsidRPr="004156EB">
              <w:rPr>
                <w:rFonts w:ascii="宋体" w:hAnsi="宋体" w:hint="eastAsia"/>
                <w:szCs w:val="21"/>
              </w:rPr>
              <w:t>必修</w:t>
            </w:r>
          </w:p>
        </w:tc>
        <w:tc>
          <w:tcPr>
            <w:tcW w:w="1453" w:type="pct"/>
          </w:tcPr>
          <w:p w14:paraId="5C515EB8"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b/>
                <w:bCs/>
                <w:szCs w:val="21"/>
              </w:rPr>
              <w:t>:</w:t>
            </w:r>
            <w:r w:rsidRPr="004156EB">
              <w:rPr>
                <w:rFonts w:ascii="宋体" w:hAnsi="宋体" w:hint="eastAsia"/>
                <w:szCs w:val="21"/>
              </w:rPr>
              <w:t>专业类</w:t>
            </w:r>
          </w:p>
        </w:tc>
        <w:tc>
          <w:tcPr>
            <w:tcW w:w="1881" w:type="pct"/>
          </w:tcPr>
          <w:p w14:paraId="38ABA14B" w14:textId="77777777" w:rsidR="00F5289E" w:rsidRDefault="00C91173">
            <w:pPr>
              <w:spacing w:line="300" w:lineRule="auto"/>
              <w:rPr>
                <w:rFonts w:ascii="宋体" w:hAnsi="宋体"/>
                <w:b/>
                <w:bCs/>
                <w:szCs w:val="21"/>
              </w:rPr>
            </w:pPr>
            <w:r>
              <w:rPr>
                <w:rFonts w:ascii="宋体" w:hAnsi="宋体" w:hint="eastAsia"/>
                <w:b/>
                <w:bCs/>
                <w:szCs w:val="21"/>
              </w:rPr>
              <w:t>开设学期：</w:t>
            </w:r>
            <w:r w:rsidRPr="004156EB">
              <w:rPr>
                <w:rFonts w:ascii="宋体" w:hAnsi="宋体" w:hint="eastAsia"/>
                <w:szCs w:val="21"/>
              </w:rPr>
              <w:t xml:space="preserve">第 </w:t>
            </w:r>
            <w:r w:rsidRPr="004156EB">
              <w:rPr>
                <w:rFonts w:ascii="宋体" w:hAnsi="宋体"/>
                <w:szCs w:val="21"/>
              </w:rPr>
              <w:t>1</w:t>
            </w:r>
            <w:r w:rsidRPr="004156EB">
              <w:rPr>
                <w:rFonts w:ascii="宋体" w:hAnsi="宋体" w:hint="eastAsia"/>
                <w:szCs w:val="21"/>
              </w:rPr>
              <w:t xml:space="preserve"> 学期</w:t>
            </w:r>
          </w:p>
        </w:tc>
      </w:tr>
      <w:tr w:rsidR="00F5289E" w14:paraId="1BC23BC6" w14:textId="77777777">
        <w:tc>
          <w:tcPr>
            <w:tcW w:w="1666" w:type="pct"/>
          </w:tcPr>
          <w:p w14:paraId="5B0993F4"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4156EB">
              <w:rPr>
                <w:rFonts w:ascii="宋体" w:hAnsi="宋体" w:hint="eastAsia"/>
                <w:szCs w:val="21"/>
              </w:rPr>
              <w:t>郑先波</w:t>
            </w:r>
          </w:p>
        </w:tc>
        <w:tc>
          <w:tcPr>
            <w:tcW w:w="1453" w:type="pct"/>
          </w:tcPr>
          <w:p w14:paraId="197DE88F" w14:textId="77777777" w:rsidR="00F5289E" w:rsidRDefault="00C91173">
            <w:pPr>
              <w:spacing w:line="300" w:lineRule="auto"/>
              <w:rPr>
                <w:rFonts w:ascii="宋体" w:hAnsi="宋体"/>
                <w:b/>
                <w:bCs/>
                <w:szCs w:val="21"/>
              </w:rPr>
            </w:pPr>
            <w:r>
              <w:rPr>
                <w:rFonts w:ascii="宋体" w:hAnsi="宋体" w:hint="eastAsia"/>
                <w:b/>
                <w:bCs/>
                <w:szCs w:val="21"/>
              </w:rPr>
              <w:t>课程团队：</w:t>
            </w:r>
            <w:r w:rsidRPr="004156EB">
              <w:rPr>
                <w:rFonts w:ascii="宋体" w:hAnsi="宋体" w:hint="eastAsia"/>
                <w:szCs w:val="21"/>
              </w:rPr>
              <w:t>王吉庆、胡建斌</w:t>
            </w:r>
          </w:p>
        </w:tc>
        <w:tc>
          <w:tcPr>
            <w:tcW w:w="1881" w:type="pct"/>
          </w:tcPr>
          <w:p w14:paraId="0E4F8587" w14:textId="77777777" w:rsidR="00F5289E" w:rsidRDefault="00C91173">
            <w:pPr>
              <w:spacing w:line="300" w:lineRule="auto"/>
              <w:rPr>
                <w:rFonts w:ascii="宋体" w:hAnsi="宋体"/>
                <w:b/>
                <w:bCs/>
                <w:szCs w:val="21"/>
              </w:rPr>
            </w:pPr>
            <w:r>
              <w:rPr>
                <w:rFonts w:ascii="宋体" w:hAnsi="宋体" w:hint="eastAsia"/>
                <w:b/>
                <w:bCs/>
                <w:szCs w:val="21"/>
              </w:rPr>
              <w:t>授课语言：</w:t>
            </w:r>
            <w:r w:rsidRPr="004156EB">
              <w:rPr>
                <w:rFonts w:ascii="宋体" w:hAnsi="宋体" w:hint="eastAsia"/>
                <w:szCs w:val="21"/>
              </w:rPr>
              <w:t>中文</w:t>
            </w:r>
          </w:p>
        </w:tc>
      </w:tr>
      <w:tr w:rsidR="00F5289E" w14:paraId="7DB7EEC3" w14:textId="77777777">
        <w:tc>
          <w:tcPr>
            <w:tcW w:w="5000" w:type="pct"/>
            <w:gridSpan w:val="3"/>
          </w:tcPr>
          <w:p w14:paraId="057BE975"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sidRPr="004156EB">
              <w:rPr>
                <w:rFonts w:ascii="宋体" w:hAnsi="宋体" w:hint="eastAsia"/>
                <w:szCs w:val="21"/>
              </w:rPr>
              <w:t>植物生产类（园艺类）；核心</w:t>
            </w:r>
          </w:p>
        </w:tc>
      </w:tr>
      <w:tr w:rsidR="00F5289E" w14:paraId="512E9CFB" w14:textId="77777777">
        <w:tc>
          <w:tcPr>
            <w:tcW w:w="5000" w:type="pct"/>
            <w:gridSpan w:val="3"/>
          </w:tcPr>
          <w:p w14:paraId="144FB710" w14:textId="77777777" w:rsidR="00F5289E" w:rsidRDefault="00C91173">
            <w:pPr>
              <w:spacing w:line="300" w:lineRule="auto"/>
              <w:rPr>
                <w:rFonts w:ascii="宋体" w:hAnsi="宋体"/>
                <w:b/>
                <w:bCs/>
                <w:szCs w:val="21"/>
                <w:lang w:eastAsia="zh-Hans"/>
              </w:rPr>
            </w:pPr>
            <w:r>
              <w:rPr>
                <w:rFonts w:ascii="宋体" w:hAnsi="宋体" w:hint="eastAsia"/>
                <w:b/>
                <w:bCs/>
                <w:szCs w:val="21"/>
              </w:rPr>
              <w:t>对先修的要求：</w:t>
            </w:r>
            <w:r w:rsidRPr="004156EB">
              <w:rPr>
                <w:rFonts w:ascii="宋体" w:hAnsi="宋体" w:hint="eastAsia"/>
                <w:szCs w:val="21"/>
                <w:lang w:eastAsia="zh-Hans"/>
              </w:rPr>
              <w:t>无</w:t>
            </w:r>
          </w:p>
        </w:tc>
      </w:tr>
      <w:tr w:rsidR="00F5289E" w14:paraId="03FF984C" w14:textId="77777777">
        <w:tc>
          <w:tcPr>
            <w:tcW w:w="5000" w:type="pct"/>
            <w:gridSpan w:val="3"/>
          </w:tcPr>
          <w:p w14:paraId="04491D8F"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4156EB">
              <w:rPr>
                <w:rFonts w:ascii="宋体" w:hAnsi="宋体" w:hint="eastAsia"/>
                <w:szCs w:val="21"/>
              </w:rPr>
              <w:t>是园艺类专业的基础课程，对园艺专业、设施农业科学与工程专业和茶学专业的后续专业课程的学习是非常有帮助。</w:t>
            </w:r>
          </w:p>
        </w:tc>
      </w:tr>
      <w:tr w:rsidR="00F5289E" w14:paraId="39B79543" w14:textId="77777777">
        <w:tc>
          <w:tcPr>
            <w:tcW w:w="1666" w:type="pct"/>
          </w:tcPr>
          <w:p w14:paraId="7F824890" w14:textId="77777777" w:rsidR="00F5289E" w:rsidRDefault="00C91173">
            <w:pPr>
              <w:spacing w:line="300" w:lineRule="auto"/>
              <w:rPr>
                <w:rFonts w:ascii="宋体" w:hAnsi="宋体"/>
                <w:b/>
                <w:bCs/>
                <w:szCs w:val="21"/>
              </w:rPr>
            </w:pPr>
            <w:r>
              <w:rPr>
                <w:rFonts w:ascii="宋体" w:hAnsi="宋体" w:hint="eastAsia"/>
                <w:b/>
                <w:bCs/>
                <w:szCs w:val="21"/>
              </w:rPr>
              <w:t>主撰人：</w:t>
            </w:r>
            <w:r w:rsidRPr="004156EB">
              <w:rPr>
                <w:rFonts w:ascii="宋体" w:hAnsi="宋体" w:hint="eastAsia"/>
                <w:szCs w:val="21"/>
              </w:rPr>
              <w:t>郑先波</w:t>
            </w:r>
          </w:p>
        </w:tc>
        <w:tc>
          <w:tcPr>
            <w:tcW w:w="1453" w:type="pct"/>
          </w:tcPr>
          <w:p w14:paraId="4426BBEA" w14:textId="77777777" w:rsidR="00F5289E" w:rsidRDefault="00C91173">
            <w:pPr>
              <w:spacing w:line="300" w:lineRule="auto"/>
              <w:rPr>
                <w:rFonts w:ascii="宋体" w:hAnsi="宋体"/>
                <w:b/>
                <w:bCs/>
                <w:szCs w:val="21"/>
              </w:rPr>
            </w:pPr>
            <w:r>
              <w:rPr>
                <w:rFonts w:ascii="宋体" w:hAnsi="宋体" w:hint="eastAsia"/>
                <w:b/>
                <w:bCs/>
                <w:szCs w:val="21"/>
              </w:rPr>
              <w:t>审核人：</w:t>
            </w:r>
            <w:r w:rsidRPr="004156EB">
              <w:rPr>
                <w:rFonts w:ascii="宋体" w:hAnsi="宋体" w:hint="eastAsia"/>
                <w:szCs w:val="21"/>
              </w:rPr>
              <w:t>孙守如</w:t>
            </w:r>
          </w:p>
        </w:tc>
        <w:tc>
          <w:tcPr>
            <w:tcW w:w="1881" w:type="pct"/>
          </w:tcPr>
          <w:p w14:paraId="1D03E6BD"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4156EB">
              <w:rPr>
                <w:rFonts w:ascii="宋体" w:hAnsi="宋体" w:hint="eastAsia"/>
                <w:szCs w:val="21"/>
              </w:rPr>
              <w:t>2</w:t>
            </w:r>
            <w:r w:rsidRPr="004156EB">
              <w:rPr>
                <w:rFonts w:ascii="宋体" w:hAnsi="宋体"/>
                <w:szCs w:val="21"/>
              </w:rPr>
              <w:t>02</w:t>
            </w:r>
            <w:r w:rsidR="004156EB">
              <w:rPr>
                <w:rFonts w:ascii="宋体" w:hAnsi="宋体"/>
                <w:szCs w:val="21"/>
              </w:rPr>
              <w:t>3.05</w:t>
            </w:r>
          </w:p>
        </w:tc>
      </w:tr>
    </w:tbl>
    <w:p w14:paraId="52E5F272" w14:textId="77777777" w:rsidR="00F5289E" w:rsidRDefault="00F5289E">
      <w:pPr>
        <w:widowControl/>
        <w:snapToGrid w:val="0"/>
        <w:spacing w:line="360" w:lineRule="auto"/>
        <w:jc w:val="left"/>
        <w:rPr>
          <w:rFonts w:hAnsi="宋体"/>
          <w:b/>
          <w:bCs/>
          <w:kern w:val="0"/>
          <w:szCs w:val="21"/>
        </w:rPr>
      </w:pPr>
    </w:p>
    <w:p w14:paraId="5A92E7B7"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50D02B53" w14:textId="77777777" w:rsidR="00F5289E" w:rsidRDefault="00C91173">
      <w:pPr>
        <w:spacing w:line="360" w:lineRule="auto"/>
        <w:ind w:firstLine="420"/>
        <w:rPr>
          <w:rFonts w:hAnsi="宋体"/>
          <w:color w:val="000000" w:themeColor="text1"/>
          <w:kern w:val="0"/>
          <w:szCs w:val="21"/>
        </w:rPr>
      </w:pPr>
      <w:r>
        <w:rPr>
          <w:kern w:val="0"/>
          <w:szCs w:val="21"/>
        </w:rPr>
        <w:t> </w:t>
      </w:r>
      <w:r>
        <w:rPr>
          <w:rFonts w:hint="eastAsia"/>
          <w:kern w:val="0"/>
          <w:szCs w:val="21"/>
        </w:rPr>
        <w:t>《现代园艺导论》</w:t>
      </w:r>
      <w:r>
        <w:rPr>
          <w:rFonts w:hAnsi="宋体" w:hint="eastAsia"/>
          <w:color w:val="000000" w:themeColor="text1"/>
          <w:kern w:val="0"/>
          <w:szCs w:val="21"/>
        </w:rPr>
        <w:t>属植物生产类（园艺类）</w:t>
      </w:r>
      <w:r>
        <w:rPr>
          <w:rFonts w:hAnsi="宋体"/>
          <w:color w:val="000000" w:themeColor="text1"/>
          <w:kern w:val="0"/>
          <w:szCs w:val="21"/>
        </w:rPr>
        <w:t>专业核心课程，</w:t>
      </w:r>
      <w:r>
        <w:rPr>
          <w:rFonts w:hAnsi="宋体" w:hint="eastAsia"/>
          <w:color w:val="000000" w:themeColor="text1"/>
          <w:kern w:val="0"/>
          <w:szCs w:val="21"/>
        </w:rPr>
        <w:t>是</w:t>
      </w:r>
      <w:r>
        <w:rPr>
          <w:rFonts w:hAnsi="宋体"/>
          <w:color w:val="000000" w:themeColor="text1"/>
          <w:kern w:val="0"/>
          <w:szCs w:val="21"/>
        </w:rPr>
        <w:t>—</w:t>
      </w:r>
      <w:r>
        <w:rPr>
          <w:rFonts w:hAnsi="宋体" w:hint="eastAsia"/>
          <w:color w:val="000000" w:themeColor="text1"/>
          <w:kern w:val="0"/>
          <w:szCs w:val="21"/>
        </w:rPr>
        <w:t>门将果树学、蔬菜学、设施园艺学、茶学、观赏园艺学等相结合的交叉学科，同时也是一门应用性极强的学科。本课程</w:t>
      </w:r>
      <w:r>
        <w:rPr>
          <w:rFonts w:hAnsi="宋体"/>
          <w:color w:val="000000" w:themeColor="text1"/>
          <w:kern w:val="0"/>
          <w:szCs w:val="21"/>
        </w:rPr>
        <w:t>教学</w:t>
      </w:r>
      <w:r>
        <w:rPr>
          <w:rFonts w:hAnsi="宋体" w:hint="eastAsia"/>
          <w:color w:val="000000" w:themeColor="text1"/>
          <w:kern w:val="0"/>
          <w:szCs w:val="21"/>
        </w:rPr>
        <w:t>坚持</w:t>
      </w:r>
      <w:r>
        <w:rPr>
          <w:rFonts w:hAnsi="宋体"/>
          <w:color w:val="000000" w:themeColor="text1"/>
          <w:kern w:val="0"/>
          <w:szCs w:val="21"/>
        </w:rPr>
        <w:t>以“</w:t>
      </w:r>
      <w:r>
        <w:rPr>
          <w:rFonts w:hAnsi="宋体" w:hint="eastAsia"/>
          <w:color w:val="000000" w:themeColor="text1"/>
          <w:kern w:val="0"/>
          <w:szCs w:val="21"/>
        </w:rPr>
        <w:t>学生</w:t>
      </w:r>
      <w:r>
        <w:rPr>
          <w:rFonts w:hAnsi="宋体"/>
          <w:color w:val="000000" w:themeColor="text1"/>
          <w:kern w:val="0"/>
          <w:szCs w:val="21"/>
        </w:rPr>
        <w:t>全面发展</w:t>
      </w:r>
      <w:r>
        <w:rPr>
          <w:rFonts w:hAnsi="宋体" w:hint="eastAsia"/>
          <w:color w:val="000000" w:themeColor="text1"/>
          <w:kern w:val="0"/>
          <w:szCs w:val="21"/>
        </w:rPr>
        <w:t>为</w:t>
      </w:r>
      <w:r>
        <w:rPr>
          <w:rFonts w:hAnsi="宋体"/>
          <w:color w:val="000000" w:themeColor="text1"/>
          <w:kern w:val="0"/>
          <w:szCs w:val="21"/>
        </w:rPr>
        <w:t>中心”</w:t>
      </w:r>
      <w:r>
        <w:rPr>
          <w:rFonts w:hAnsi="宋体" w:hint="eastAsia"/>
          <w:color w:val="000000" w:themeColor="text1"/>
          <w:kern w:val="0"/>
          <w:szCs w:val="21"/>
        </w:rPr>
        <w:t>的</w:t>
      </w:r>
      <w:r>
        <w:rPr>
          <w:rFonts w:hAnsi="宋体"/>
          <w:color w:val="000000" w:themeColor="text1"/>
          <w:kern w:val="0"/>
          <w:szCs w:val="21"/>
        </w:rPr>
        <w:t>教学理念</w:t>
      </w:r>
      <w:r>
        <w:rPr>
          <w:rFonts w:hAnsi="宋体" w:hint="eastAsia"/>
          <w:color w:val="000000" w:themeColor="text1"/>
          <w:kern w:val="0"/>
          <w:szCs w:val="21"/>
        </w:rPr>
        <w:t>，不忘</w:t>
      </w:r>
      <w:r>
        <w:rPr>
          <w:rFonts w:hAnsi="宋体"/>
          <w:color w:val="000000" w:themeColor="text1"/>
          <w:kern w:val="0"/>
          <w:szCs w:val="21"/>
        </w:rPr>
        <w:t>初心，坚持立德树人</w:t>
      </w:r>
      <w:r>
        <w:rPr>
          <w:rFonts w:hAnsi="宋体" w:hint="eastAsia"/>
          <w:color w:val="000000" w:themeColor="text1"/>
          <w:kern w:val="0"/>
          <w:szCs w:val="21"/>
        </w:rPr>
        <w:t>。通过运用线上</w:t>
      </w:r>
      <w:r>
        <w:rPr>
          <w:rFonts w:hAnsi="宋体"/>
          <w:color w:val="000000" w:themeColor="text1"/>
          <w:kern w:val="0"/>
          <w:szCs w:val="21"/>
        </w:rPr>
        <w:t>线下的混合式教学</w:t>
      </w:r>
      <w:r>
        <w:rPr>
          <w:rFonts w:hAnsi="宋体" w:hint="eastAsia"/>
          <w:color w:val="000000" w:themeColor="text1"/>
          <w:kern w:val="0"/>
          <w:szCs w:val="21"/>
        </w:rPr>
        <w:t>及</w:t>
      </w:r>
      <w:r>
        <w:rPr>
          <w:rFonts w:hAnsi="宋体"/>
          <w:color w:val="000000" w:themeColor="text1"/>
          <w:kern w:val="0"/>
          <w:szCs w:val="21"/>
        </w:rPr>
        <w:t>翻转课堂的模式</w:t>
      </w:r>
      <w:r>
        <w:rPr>
          <w:rFonts w:hAnsi="宋体" w:hint="eastAsia"/>
          <w:color w:val="000000" w:themeColor="text1"/>
          <w:kern w:val="0"/>
          <w:szCs w:val="21"/>
        </w:rPr>
        <w:t>，并采用</w:t>
      </w:r>
      <w:r>
        <w:rPr>
          <w:rFonts w:hAnsi="宋体"/>
          <w:color w:val="000000" w:themeColor="text1"/>
          <w:kern w:val="0"/>
          <w:szCs w:val="21"/>
        </w:rPr>
        <w:t>“</w:t>
      </w:r>
      <w:r>
        <w:rPr>
          <w:rFonts w:hAnsi="宋体" w:hint="eastAsia"/>
          <w:color w:val="000000" w:themeColor="text1"/>
          <w:kern w:val="0"/>
          <w:szCs w:val="21"/>
        </w:rPr>
        <w:t>情景</w:t>
      </w:r>
      <w:r>
        <w:rPr>
          <w:rFonts w:hAnsi="宋体"/>
          <w:color w:val="000000" w:themeColor="text1"/>
          <w:kern w:val="0"/>
          <w:szCs w:val="21"/>
        </w:rPr>
        <w:t>教学法</w:t>
      </w:r>
      <w:r>
        <w:rPr>
          <w:rFonts w:hAnsi="宋体" w:hint="eastAsia"/>
          <w:color w:val="000000" w:themeColor="text1"/>
          <w:kern w:val="0"/>
          <w:szCs w:val="21"/>
        </w:rPr>
        <w:t>+</w:t>
      </w:r>
      <w:r>
        <w:rPr>
          <w:rFonts w:hAnsi="宋体" w:hint="eastAsia"/>
          <w:color w:val="000000" w:themeColor="text1"/>
          <w:kern w:val="0"/>
          <w:szCs w:val="21"/>
        </w:rPr>
        <w:t>启发式</w:t>
      </w:r>
      <w:r>
        <w:rPr>
          <w:rFonts w:hAnsi="宋体"/>
          <w:color w:val="000000" w:themeColor="text1"/>
          <w:kern w:val="0"/>
          <w:szCs w:val="21"/>
        </w:rPr>
        <w:t>探究法</w:t>
      </w:r>
      <w:r>
        <w:rPr>
          <w:rFonts w:hAnsi="宋体" w:hint="eastAsia"/>
          <w:color w:val="000000" w:themeColor="text1"/>
          <w:kern w:val="0"/>
          <w:szCs w:val="21"/>
        </w:rPr>
        <w:t>+</w:t>
      </w:r>
      <w:r>
        <w:rPr>
          <w:rFonts w:hAnsi="宋体" w:hint="eastAsia"/>
          <w:color w:val="000000" w:themeColor="text1"/>
          <w:kern w:val="0"/>
          <w:szCs w:val="21"/>
        </w:rPr>
        <w:t>分组讨论法</w:t>
      </w:r>
      <w:r>
        <w:rPr>
          <w:rFonts w:hAnsi="宋体" w:hint="eastAsia"/>
          <w:color w:val="000000" w:themeColor="text1"/>
          <w:kern w:val="0"/>
          <w:szCs w:val="21"/>
        </w:rPr>
        <w:t>+</w:t>
      </w:r>
      <w:r>
        <w:rPr>
          <w:rFonts w:hAnsi="宋体" w:hint="eastAsia"/>
          <w:color w:val="000000" w:themeColor="text1"/>
          <w:kern w:val="0"/>
          <w:szCs w:val="21"/>
        </w:rPr>
        <w:t>示范模仿法</w:t>
      </w:r>
      <w:r>
        <w:rPr>
          <w:rFonts w:hAnsi="宋体" w:hint="eastAsia"/>
          <w:color w:val="000000" w:themeColor="text1"/>
          <w:kern w:val="0"/>
          <w:szCs w:val="21"/>
        </w:rPr>
        <w:t>+</w:t>
      </w:r>
      <w:r>
        <w:rPr>
          <w:rFonts w:hAnsi="宋体" w:hint="eastAsia"/>
          <w:color w:val="000000" w:themeColor="text1"/>
          <w:kern w:val="0"/>
          <w:szCs w:val="21"/>
        </w:rPr>
        <w:t>任务</w:t>
      </w:r>
      <w:r>
        <w:rPr>
          <w:rFonts w:hAnsi="宋体"/>
          <w:color w:val="000000" w:themeColor="text1"/>
          <w:kern w:val="0"/>
          <w:szCs w:val="21"/>
        </w:rPr>
        <w:t>驱动</w:t>
      </w:r>
      <w:r>
        <w:rPr>
          <w:rFonts w:hAnsi="宋体" w:hint="eastAsia"/>
          <w:color w:val="000000" w:themeColor="text1"/>
          <w:kern w:val="0"/>
          <w:szCs w:val="21"/>
        </w:rPr>
        <w:t>法</w:t>
      </w:r>
      <w:r>
        <w:rPr>
          <w:rFonts w:hAnsi="宋体"/>
          <w:color w:val="000000" w:themeColor="text1"/>
          <w:kern w:val="0"/>
          <w:szCs w:val="21"/>
        </w:rPr>
        <w:t>”</w:t>
      </w:r>
      <w:r>
        <w:rPr>
          <w:rFonts w:hAnsi="宋体" w:hint="eastAsia"/>
          <w:color w:val="000000" w:themeColor="text1"/>
          <w:kern w:val="0"/>
          <w:szCs w:val="21"/>
        </w:rPr>
        <w:t>等</w:t>
      </w:r>
      <w:r>
        <w:rPr>
          <w:rFonts w:hAnsi="宋体"/>
          <w:color w:val="000000" w:themeColor="text1"/>
          <w:kern w:val="0"/>
          <w:szCs w:val="21"/>
        </w:rPr>
        <w:t>多种教学</w:t>
      </w:r>
      <w:r>
        <w:rPr>
          <w:rFonts w:hAnsi="宋体" w:hint="eastAsia"/>
          <w:color w:val="000000" w:themeColor="text1"/>
          <w:kern w:val="0"/>
          <w:szCs w:val="21"/>
        </w:rPr>
        <w:t>方法，</w:t>
      </w:r>
      <w:r>
        <w:rPr>
          <w:rFonts w:hAnsi="宋体"/>
          <w:color w:val="000000" w:themeColor="text1"/>
          <w:kern w:val="0"/>
          <w:szCs w:val="21"/>
        </w:rPr>
        <w:t>打造“</w:t>
      </w:r>
      <w:r>
        <w:rPr>
          <w:rFonts w:hAnsi="宋体" w:hint="eastAsia"/>
          <w:color w:val="000000" w:themeColor="text1"/>
          <w:kern w:val="0"/>
          <w:szCs w:val="21"/>
        </w:rPr>
        <w:t>学中做</w:t>
      </w:r>
      <w:r>
        <w:rPr>
          <w:rFonts w:hAnsi="宋体"/>
          <w:color w:val="000000" w:themeColor="text1"/>
          <w:kern w:val="0"/>
          <w:szCs w:val="21"/>
        </w:rPr>
        <w:t>、做中学”</w:t>
      </w:r>
      <w:r>
        <w:rPr>
          <w:rFonts w:hAnsi="宋体" w:hint="eastAsia"/>
          <w:color w:val="000000" w:themeColor="text1"/>
          <w:kern w:val="0"/>
          <w:szCs w:val="21"/>
        </w:rPr>
        <w:t>的学习环境。</w:t>
      </w:r>
      <w:r>
        <w:rPr>
          <w:rFonts w:hAnsi="宋体"/>
          <w:color w:val="000000" w:themeColor="text1"/>
          <w:kern w:val="0"/>
          <w:szCs w:val="21"/>
        </w:rPr>
        <w:t>不断创新教学方式，提高课程的吸引力和感染力，让学生从“要我学”变成“我要学”，培养学生的自学意识</w:t>
      </w:r>
      <w:r>
        <w:rPr>
          <w:rFonts w:hAnsi="宋体" w:hint="eastAsia"/>
          <w:color w:val="000000" w:themeColor="text1"/>
          <w:kern w:val="0"/>
          <w:szCs w:val="21"/>
        </w:rPr>
        <w:t>和</w:t>
      </w:r>
      <w:r>
        <w:rPr>
          <w:rFonts w:hAnsi="宋体"/>
          <w:color w:val="000000" w:themeColor="text1"/>
          <w:kern w:val="0"/>
          <w:szCs w:val="21"/>
        </w:rPr>
        <w:t>创新意识。</w:t>
      </w:r>
    </w:p>
    <w:p w14:paraId="5D1AF2CE" w14:textId="77777777" w:rsidR="00F5289E" w:rsidRDefault="00C91173">
      <w:pPr>
        <w:spacing w:line="360" w:lineRule="auto"/>
        <w:ind w:rightChars="-81" w:right="-170" w:firstLineChars="200" w:firstLine="420"/>
        <w:rPr>
          <w:kern w:val="0"/>
          <w:szCs w:val="21"/>
        </w:rPr>
      </w:pPr>
      <w:r>
        <w:rPr>
          <w:rFonts w:hint="eastAsia"/>
          <w:kern w:val="0"/>
          <w:szCs w:val="21"/>
        </w:rPr>
        <w:t>《现代园艺导论》</w:t>
      </w:r>
      <w:r>
        <w:rPr>
          <w:kern w:val="0"/>
          <w:szCs w:val="21"/>
        </w:rPr>
        <w:t xml:space="preserve"> </w:t>
      </w:r>
      <w:r>
        <w:rPr>
          <w:rFonts w:hint="eastAsia"/>
          <w:kern w:val="0"/>
          <w:szCs w:val="21"/>
        </w:rPr>
        <w:t>为植物生产类（园艺类）专业先修课程，开设的主要目的是向大一新生介绍园艺类专业、课程体系及就业和研究方向等。课程主要针对园艺植物的起源、利用、历史与文化、育种、采后、贸易、经营等方面的知识对学生进行介绍。本课程旨在让学生了解这些园艺类的知识，并对园艺类专业产生兴趣，这样他们在四年里将会迎来快乐的专业学习。</w:t>
      </w:r>
      <w:r>
        <w:rPr>
          <w:rFonts w:hint="eastAsia"/>
          <w:kern w:val="0"/>
          <w:szCs w:val="21"/>
        </w:rPr>
        <w:t xml:space="preserve"> </w:t>
      </w:r>
    </w:p>
    <w:p w14:paraId="6DE1B900" w14:textId="77777777" w:rsidR="00F5289E" w:rsidRDefault="00C91173">
      <w:pPr>
        <w:spacing w:line="360" w:lineRule="auto"/>
        <w:ind w:rightChars="-81" w:right="-170" w:firstLineChars="200" w:firstLine="420"/>
        <w:rPr>
          <w:kern w:val="0"/>
          <w:szCs w:val="21"/>
        </w:rPr>
      </w:pPr>
      <w:r>
        <w:rPr>
          <w:kern w:val="0"/>
          <w:szCs w:val="21"/>
        </w:rPr>
        <w:t> </w:t>
      </w:r>
      <w:r>
        <w:rPr>
          <w:rFonts w:hint="eastAsia"/>
          <w:kern w:val="0"/>
          <w:szCs w:val="21"/>
        </w:rPr>
        <w:t>《现代园艺导论》还针对园艺最新的研究进展向学生进行介绍，这样一方面可以让学生认识到园艺学是一门古老又新潮的学科，另一方面又可以激起学生对园艺学研究的积极性，为学生未来的择业和继续深造打下基础。</w:t>
      </w:r>
      <w:r>
        <w:rPr>
          <w:rFonts w:hint="eastAsia"/>
          <w:kern w:val="0"/>
          <w:szCs w:val="21"/>
        </w:rPr>
        <w:t xml:space="preserve"> </w:t>
      </w:r>
      <w:r>
        <w:rPr>
          <w:kern w:val="0"/>
          <w:szCs w:val="21"/>
        </w:rPr>
        <w:t xml:space="preserve"> </w:t>
      </w:r>
    </w:p>
    <w:p w14:paraId="078331FC"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4F21431F"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1.</w:t>
      </w:r>
      <w:r>
        <w:rPr>
          <w:rFonts w:hAnsi="宋体"/>
          <w:kern w:val="0"/>
          <w:szCs w:val="21"/>
        </w:rPr>
        <w:t>理论知识方面：</w:t>
      </w:r>
    </w:p>
    <w:p w14:paraId="4A18ED67" w14:textId="77777777" w:rsidR="00F5289E" w:rsidRDefault="00C91173">
      <w:pPr>
        <w:spacing w:line="360" w:lineRule="auto"/>
        <w:ind w:firstLine="420"/>
        <w:rPr>
          <w:rFonts w:hAnsi="宋体"/>
          <w:kern w:val="0"/>
          <w:szCs w:val="21"/>
        </w:rPr>
      </w:pPr>
      <w:r>
        <w:rPr>
          <w:rFonts w:hAnsi="宋体" w:hint="eastAsia"/>
          <w:kern w:val="0"/>
          <w:szCs w:val="21"/>
        </w:rPr>
        <w:t>通过本课程学习，要求学生掌握从事果园、菜园及茶园建设、栽培管理、采后处理、营销及文化传播等职业岗位工作所必须具备或掌握园艺学基本知识、基本原理和基本技能；能合理运用所</w:t>
      </w:r>
      <w:r>
        <w:rPr>
          <w:rFonts w:hAnsi="宋体" w:hint="eastAsia"/>
          <w:kern w:val="0"/>
          <w:szCs w:val="21"/>
        </w:rPr>
        <w:lastRenderedPageBreak/>
        <w:t>学知识和技能，稳定</w:t>
      </w:r>
      <w:r>
        <w:rPr>
          <w:rFonts w:hAnsi="宋体"/>
          <w:kern w:val="0"/>
          <w:szCs w:val="21"/>
        </w:rPr>
        <w:t>和</w:t>
      </w:r>
      <w:r>
        <w:rPr>
          <w:rFonts w:hAnsi="宋体" w:hint="eastAsia"/>
          <w:kern w:val="0"/>
          <w:szCs w:val="21"/>
        </w:rPr>
        <w:t>提高果、菜花、茶品质，降低生产成本；能总结和推广先进栽培技术，指导园艺的产业化经营和标准化，为实现园艺业高产、优质、高效服务；了解国内外园艺学科研动向。</w:t>
      </w:r>
    </w:p>
    <w:p w14:paraId="39586CE6"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2.</w:t>
      </w:r>
      <w:r>
        <w:rPr>
          <w:rFonts w:hAnsi="宋体"/>
          <w:kern w:val="0"/>
          <w:szCs w:val="21"/>
        </w:rPr>
        <w:t>实验技能方面：</w:t>
      </w:r>
    </w:p>
    <w:p w14:paraId="10567D4A"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通过查阅资料学习，能够初步了解园艺相关的实验技能。</w:t>
      </w:r>
    </w:p>
    <w:p w14:paraId="6111292B"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6A6533AE"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477C8AFA" w14:textId="77777777" w:rsidR="00F5289E" w:rsidRDefault="00C91173">
      <w:pPr>
        <w:widowControl/>
        <w:snapToGrid w:val="0"/>
        <w:spacing w:line="360" w:lineRule="auto"/>
        <w:ind w:firstLineChars="200" w:firstLine="420"/>
        <w:jc w:val="left"/>
        <w:rPr>
          <w:rFonts w:ascii="宋体" w:hAnsi="宋体"/>
          <w:szCs w:val="21"/>
        </w:rPr>
      </w:pPr>
      <w:r>
        <w:rPr>
          <w:rFonts w:ascii="宋体" w:hAnsi="宋体" w:hint="eastAsia"/>
          <w:szCs w:val="21"/>
        </w:rPr>
        <w:t>基于</w:t>
      </w:r>
      <w:r>
        <w:rPr>
          <w:rFonts w:ascii="宋体" w:hAnsi="宋体"/>
          <w:szCs w:val="21"/>
        </w:rPr>
        <w:t>新农科背景下，《</w:t>
      </w:r>
      <w:r>
        <w:rPr>
          <w:rFonts w:ascii="宋体" w:hAnsi="宋体" w:hint="eastAsia"/>
          <w:szCs w:val="21"/>
        </w:rPr>
        <w:t>现代园艺导论</w:t>
      </w:r>
      <w:r>
        <w:rPr>
          <w:rFonts w:ascii="宋体" w:hAnsi="宋体"/>
          <w:szCs w:val="21"/>
        </w:rPr>
        <w:t>》</w:t>
      </w:r>
      <w:r>
        <w:rPr>
          <w:rFonts w:ascii="宋体" w:hAnsi="宋体" w:hint="eastAsia"/>
          <w:szCs w:val="21"/>
        </w:rPr>
        <w:t>课程教学是紧紧围绕</w:t>
      </w:r>
      <w:r>
        <w:rPr>
          <w:rFonts w:ascii="宋体" w:hAnsi="宋体"/>
          <w:szCs w:val="21"/>
        </w:rPr>
        <w:t>教育部</w:t>
      </w:r>
      <w:r>
        <w:rPr>
          <w:rFonts w:ascii="宋体" w:hAnsi="宋体" w:hint="eastAsia"/>
          <w:szCs w:val="21"/>
        </w:rPr>
        <w:t>提出</w:t>
      </w:r>
      <w:r>
        <w:rPr>
          <w:rFonts w:ascii="宋体" w:hAnsi="宋体"/>
          <w:szCs w:val="21"/>
        </w:rPr>
        <w:t>的“</w:t>
      </w:r>
      <w:r>
        <w:rPr>
          <w:rFonts w:ascii="宋体" w:hAnsi="宋体" w:hint="eastAsia"/>
          <w:szCs w:val="21"/>
        </w:rPr>
        <w:t>两性一度</w:t>
      </w:r>
      <w:r>
        <w:rPr>
          <w:rFonts w:ascii="宋体" w:hAnsi="宋体"/>
          <w:szCs w:val="21"/>
        </w:rPr>
        <w:t>”</w:t>
      </w:r>
      <w:r>
        <w:rPr>
          <w:rFonts w:ascii="宋体" w:hAnsi="宋体" w:hint="eastAsia"/>
          <w:szCs w:val="21"/>
        </w:rPr>
        <w:t>新</w:t>
      </w:r>
      <w:r>
        <w:rPr>
          <w:rFonts w:ascii="宋体" w:hAnsi="宋体"/>
          <w:szCs w:val="21"/>
        </w:rPr>
        <w:t>要求</w:t>
      </w:r>
      <w:r>
        <w:rPr>
          <w:rFonts w:ascii="宋体" w:hAnsi="宋体" w:hint="eastAsia"/>
          <w:szCs w:val="21"/>
        </w:rPr>
        <w:t>而进行</w:t>
      </w:r>
      <w:r>
        <w:rPr>
          <w:rFonts w:ascii="宋体" w:hAnsi="宋体"/>
          <w:szCs w:val="21"/>
        </w:rPr>
        <w:t>设计的</w:t>
      </w:r>
      <w:r>
        <w:rPr>
          <w:rFonts w:ascii="宋体" w:hAnsi="宋体" w:hint="eastAsia"/>
          <w:szCs w:val="21"/>
        </w:rPr>
        <w:t>，</w:t>
      </w:r>
      <w:r>
        <w:rPr>
          <w:rFonts w:ascii="宋体" w:hAnsi="宋体"/>
          <w:szCs w:val="21"/>
        </w:rPr>
        <w:t>体现出</w:t>
      </w:r>
      <w:r>
        <w:rPr>
          <w:rFonts w:ascii="宋体" w:hAnsi="宋体" w:hint="eastAsia"/>
          <w:szCs w:val="21"/>
        </w:rPr>
        <w:t>“高阶性</w:t>
      </w:r>
      <w:r>
        <w:rPr>
          <w:rFonts w:ascii="宋体" w:hAnsi="宋体"/>
          <w:szCs w:val="21"/>
        </w:rPr>
        <w:t>、创新性和挑战度</w:t>
      </w:r>
      <w:r>
        <w:rPr>
          <w:rFonts w:ascii="宋体" w:hAnsi="宋体" w:hint="eastAsia"/>
          <w:szCs w:val="21"/>
        </w:rPr>
        <w:t>”</w:t>
      </w:r>
      <w:r>
        <w:rPr>
          <w:rFonts w:ascii="宋体" w:hAnsi="宋体"/>
          <w:szCs w:val="21"/>
        </w:rPr>
        <w:t>。</w:t>
      </w:r>
      <w:r>
        <w:rPr>
          <w:rFonts w:ascii="宋体" w:hAnsi="宋体" w:hint="eastAsia"/>
          <w:szCs w:val="21"/>
        </w:rPr>
        <w:t xml:space="preserve"> </w:t>
      </w:r>
    </w:p>
    <w:p w14:paraId="0FEC80D3" w14:textId="77777777" w:rsidR="00F5289E" w:rsidRDefault="00C91173">
      <w:pPr>
        <w:spacing w:line="360" w:lineRule="auto"/>
        <w:ind w:firstLineChars="200" w:firstLine="420"/>
        <w:rPr>
          <w:szCs w:val="21"/>
        </w:rPr>
      </w:pPr>
      <w:r>
        <w:rPr>
          <w:rFonts w:ascii="宋体" w:hAnsi="宋体" w:hint="eastAsia"/>
          <w:szCs w:val="21"/>
        </w:rPr>
        <w:t>在</w:t>
      </w:r>
      <w:r>
        <w:rPr>
          <w:rFonts w:ascii="宋体" w:hAnsi="宋体"/>
          <w:szCs w:val="21"/>
        </w:rPr>
        <w:t>教学目标</w:t>
      </w:r>
      <w:r>
        <w:rPr>
          <w:rFonts w:ascii="宋体" w:hAnsi="宋体" w:hint="eastAsia"/>
          <w:szCs w:val="21"/>
        </w:rPr>
        <w:t>达成</w:t>
      </w:r>
      <w:r>
        <w:rPr>
          <w:rFonts w:ascii="宋体" w:hAnsi="宋体"/>
          <w:szCs w:val="21"/>
        </w:rPr>
        <w:t>上</w:t>
      </w:r>
      <w:r>
        <w:rPr>
          <w:rFonts w:ascii="宋体" w:hAnsi="宋体" w:hint="eastAsia"/>
          <w:szCs w:val="21"/>
        </w:rPr>
        <w:t>，要求</w:t>
      </w:r>
      <w:r>
        <w:rPr>
          <w:rFonts w:ascii="宋体" w:hAnsi="宋体"/>
          <w:szCs w:val="21"/>
        </w:rPr>
        <w:t>完成知识、能力和素质三个维度的教学目标</w:t>
      </w:r>
      <w:r>
        <w:rPr>
          <w:rFonts w:ascii="宋体" w:hAnsi="宋体" w:hint="eastAsia"/>
          <w:szCs w:val="21"/>
        </w:rPr>
        <w:t>。首先</w:t>
      </w:r>
      <w:r>
        <w:rPr>
          <w:rFonts w:ascii="宋体" w:hAnsi="宋体"/>
          <w:szCs w:val="21"/>
        </w:rPr>
        <w:t>在知识目标达成上，要求同学们能够熟练掌握</w:t>
      </w:r>
      <w:r>
        <w:rPr>
          <w:rFonts w:ascii="宋体" w:hAnsi="宋体" w:hint="eastAsia"/>
          <w:szCs w:val="21"/>
        </w:rPr>
        <w:t>现代果园、菜园、茶园建设，栽培管理，采后处理，并能够不断</w:t>
      </w:r>
      <w:r>
        <w:rPr>
          <w:rFonts w:ascii="宋体" w:hAnsi="宋体"/>
          <w:szCs w:val="21"/>
        </w:rPr>
        <w:t>创新</w:t>
      </w:r>
      <w:r>
        <w:rPr>
          <w:rFonts w:ascii="宋体" w:hAnsi="宋体" w:hint="eastAsia"/>
          <w:szCs w:val="21"/>
        </w:rPr>
        <w:t>栽培管理</w:t>
      </w:r>
      <w:r>
        <w:rPr>
          <w:rFonts w:ascii="宋体" w:hAnsi="宋体"/>
          <w:szCs w:val="21"/>
        </w:rPr>
        <w:t>技术。</w:t>
      </w:r>
      <w:r>
        <w:rPr>
          <w:rFonts w:ascii="宋体" w:hAnsi="宋体" w:hint="eastAsia"/>
          <w:szCs w:val="21"/>
        </w:rPr>
        <w:t>在</w:t>
      </w:r>
      <w:r>
        <w:rPr>
          <w:rFonts w:ascii="宋体" w:hAnsi="宋体"/>
          <w:szCs w:val="21"/>
        </w:rPr>
        <w:t>能力目标达成上，要求同学们能运用</w:t>
      </w:r>
      <w:r>
        <w:rPr>
          <w:rFonts w:ascii="宋体" w:hAnsi="宋体" w:hint="eastAsia"/>
          <w:szCs w:val="21"/>
        </w:rPr>
        <w:t>创新</w:t>
      </w:r>
      <w:r>
        <w:rPr>
          <w:rFonts w:ascii="宋体" w:hAnsi="宋体"/>
          <w:szCs w:val="21"/>
        </w:rPr>
        <w:t>思维，</w:t>
      </w:r>
      <w:r>
        <w:rPr>
          <w:rFonts w:ascii="宋体" w:hAnsi="宋体" w:hint="eastAsia"/>
          <w:szCs w:val="21"/>
        </w:rPr>
        <w:t>提出现代园艺种植及采后处理中的新技术、新目标</w:t>
      </w:r>
      <w:r>
        <w:rPr>
          <w:szCs w:val="21"/>
        </w:rPr>
        <w:t>。</w:t>
      </w:r>
      <w:r>
        <w:rPr>
          <w:rFonts w:hint="eastAsia"/>
          <w:szCs w:val="21"/>
        </w:rPr>
        <w:t>在</w:t>
      </w:r>
      <w:r>
        <w:rPr>
          <w:szCs w:val="21"/>
        </w:rPr>
        <w:t>素质目标达成上，通过本课程的学习，</w:t>
      </w:r>
      <w:r>
        <w:rPr>
          <w:rFonts w:hint="eastAsia"/>
          <w:szCs w:val="21"/>
        </w:rPr>
        <w:t>要</w:t>
      </w:r>
      <w:r>
        <w:rPr>
          <w:szCs w:val="21"/>
        </w:rPr>
        <w:t>一方面增强同学们的民族自豪感和文化自信；另一方面培养学生懂得细节决定成败、个人发展与集体发展的认知观。</w:t>
      </w:r>
    </w:p>
    <w:p w14:paraId="7F16D69F" w14:textId="77777777" w:rsidR="00F5289E" w:rsidRDefault="00C91173">
      <w:pPr>
        <w:spacing w:line="360" w:lineRule="auto"/>
        <w:ind w:firstLineChars="200" w:firstLine="420"/>
        <w:rPr>
          <w:szCs w:val="21"/>
        </w:rPr>
      </w:pPr>
      <w:r>
        <w:rPr>
          <w:rFonts w:hint="eastAsia"/>
          <w:szCs w:val="21"/>
        </w:rPr>
        <w:t>在教学</w:t>
      </w:r>
      <w:r>
        <w:rPr>
          <w:szCs w:val="21"/>
        </w:rPr>
        <w:t>组织实施过程</w:t>
      </w:r>
      <w:r>
        <w:rPr>
          <w:rFonts w:hint="eastAsia"/>
          <w:szCs w:val="21"/>
        </w:rPr>
        <w:t>中，首先构建“</w:t>
      </w:r>
      <w:r>
        <w:rPr>
          <w:szCs w:val="21"/>
        </w:rPr>
        <w:t>线上</w:t>
      </w:r>
      <w:r>
        <w:rPr>
          <w:rFonts w:hint="eastAsia"/>
          <w:szCs w:val="21"/>
        </w:rPr>
        <w:t>+</w:t>
      </w:r>
      <w:r>
        <w:rPr>
          <w:rFonts w:hint="eastAsia"/>
          <w:szCs w:val="21"/>
        </w:rPr>
        <w:t>线下、</w:t>
      </w:r>
      <w:r>
        <w:rPr>
          <w:szCs w:val="21"/>
        </w:rPr>
        <w:t>校内</w:t>
      </w:r>
      <w:r>
        <w:rPr>
          <w:rFonts w:hint="eastAsia"/>
          <w:szCs w:val="21"/>
        </w:rPr>
        <w:t>+</w:t>
      </w:r>
      <w:r>
        <w:rPr>
          <w:rFonts w:hint="eastAsia"/>
          <w:szCs w:val="21"/>
        </w:rPr>
        <w:t>校外”</w:t>
      </w:r>
      <w:r>
        <w:rPr>
          <w:szCs w:val="21"/>
        </w:rPr>
        <w:t>立体化的教学资源</w:t>
      </w:r>
      <w:r>
        <w:rPr>
          <w:rFonts w:hint="eastAsia"/>
          <w:szCs w:val="21"/>
        </w:rPr>
        <w:t>，</w:t>
      </w:r>
      <w:r>
        <w:rPr>
          <w:szCs w:val="21"/>
        </w:rPr>
        <w:t>保障教学目标的实现</w:t>
      </w:r>
      <w:r>
        <w:rPr>
          <w:rFonts w:hint="eastAsia"/>
          <w:szCs w:val="21"/>
        </w:rPr>
        <w:t>。</w:t>
      </w:r>
      <w:r>
        <w:rPr>
          <w:szCs w:val="21"/>
        </w:rPr>
        <w:t>其次</w:t>
      </w:r>
      <w:r>
        <w:rPr>
          <w:rFonts w:hint="eastAsia"/>
          <w:szCs w:val="21"/>
        </w:rPr>
        <w:t>是</w:t>
      </w:r>
      <w:r>
        <w:rPr>
          <w:szCs w:val="21"/>
        </w:rPr>
        <w:t>采用线下线上相结合的混合式</w:t>
      </w:r>
      <w:r>
        <w:rPr>
          <w:rFonts w:hint="eastAsia"/>
          <w:szCs w:val="21"/>
        </w:rPr>
        <w:t>及</w:t>
      </w:r>
      <w:r>
        <w:rPr>
          <w:szCs w:val="21"/>
        </w:rPr>
        <w:t>翻转课堂教学</w:t>
      </w:r>
      <w:r>
        <w:rPr>
          <w:rFonts w:hint="eastAsia"/>
          <w:szCs w:val="21"/>
        </w:rPr>
        <w:t>模式，激发</w:t>
      </w:r>
      <w:r>
        <w:rPr>
          <w:szCs w:val="21"/>
        </w:rPr>
        <w:t>同学</w:t>
      </w:r>
      <w:r>
        <w:rPr>
          <w:rFonts w:hint="eastAsia"/>
          <w:szCs w:val="21"/>
        </w:rPr>
        <w:t>们</w:t>
      </w:r>
      <w:r>
        <w:rPr>
          <w:szCs w:val="21"/>
        </w:rPr>
        <w:t>的学习兴趣。再次是</w:t>
      </w:r>
      <w:r>
        <w:rPr>
          <w:rFonts w:hint="eastAsia"/>
          <w:szCs w:val="21"/>
        </w:rPr>
        <w:t>采用</w:t>
      </w:r>
      <w:r>
        <w:rPr>
          <w:szCs w:val="21"/>
        </w:rPr>
        <w:t>启发</w:t>
      </w:r>
      <w:r>
        <w:rPr>
          <w:rFonts w:hint="eastAsia"/>
          <w:szCs w:val="21"/>
        </w:rPr>
        <w:t>式</w:t>
      </w:r>
      <w:r>
        <w:rPr>
          <w:szCs w:val="21"/>
        </w:rPr>
        <w:t>、分组讨论式</w:t>
      </w:r>
      <w:r>
        <w:rPr>
          <w:rFonts w:hint="eastAsia"/>
          <w:szCs w:val="21"/>
        </w:rPr>
        <w:t>、</w:t>
      </w:r>
      <w:r>
        <w:rPr>
          <w:szCs w:val="21"/>
        </w:rPr>
        <w:t>任务驱动等</w:t>
      </w:r>
      <w:r>
        <w:rPr>
          <w:rFonts w:hint="eastAsia"/>
          <w:szCs w:val="21"/>
        </w:rPr>
        <w:t>多元化</w:t>
      </w:r>
      <w:r>
        <w:rPr>
          <w:szCs w:val="21"/>
        </w:rPr>
        <w:t>的教学方法，引导学生主动学习。</w:t>
      </w:r>
      <w:r>
        <w:rPr>
          <w:rFonts w:hint="eastAsia"/>
          <w:szCs w:val="21"/>
        </w:rPr>
        <w:t>最后采用互动讨论、布置作业</w:t>
      </w:r>
      <w:r>
        <w:rPr>
          <w:szCs w:val="21"/>
        </w:rPr>
        <w:t>、</w:t>
      </w:r>
      <w:r>
        <w:rPr>
          <w:rFonts w:hint="eastAsia"/>
          <w:szCs w:val="21"/>
        </w:rPr>
        <w:t>期中考试等过程性评价</w:t>
      </w:r>
      <w:r>
        <w:rPr>
          <w:szCs w:val="21"/>
        </w:rPr>
        <w:t>，</w:t>
      </w:r>
      <w:r>
        <w:rPr>
          <w:rFonts w:hint="eastAsia"/>
          <w:szCs w:val="21"/>
        </w:rPr>
        <w:t>及时发现阶段性教学效果。</w:t>
      </w:r>
    </w:p>
    <w:p w14:paraId="2A3485E7"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79CB0858"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01B760"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E4AA27"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760708F"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2E1E16EC"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D0C1578"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53A0A663" w14:textId="77777777" w:rsidR="00F5289E" w:rsidRDefault="00C91173">
            <w:pPr>
              <w:spacing w:line="320" w:lineRule="exact"/>
              <w:ind w:firstLineChars="200" w:firstLine="360"/>
              <w:rPr>
                <w:rFonts w:ascii="宋体" w:hAnsi="宋体"/>
                <w:color w:val="000000"/>
                <w:sz w:val="18"/>
                <w:szCs w:val="18"/>
              </w:rPr>
            </w:pPr>
            <w:r>
              <w:rPr>
                <w:rFonts w:ascii="宋体" w:hAnsi="宋体" w:hint="eastAsia"/>
                <w:color w:val="000000"/>
                <w:sz w:val="18"/>
                <w:szCs w:val="18"/>
              </w:rPr>
              <w:t>课程目标与毕业要求衔接一致。</w:t>
            </w:r>
            <w:r>
              <w:rPr>
                <w:rFonts w:ascii="宋体" w:hAnsi="宋体"/>
                <w:color w:val="000000"/>
                <w:sz w:val="18"/>
                <w:szCs w:val="18"/>
              </w:rPr>
              <w:t>课程目标</w:t>
            </w:r>
            <w:r>
              <w:rPr>
                <w:rFonts w:ascii="宋体" w:hAnsi="宋体" w:hint="eastAsia"/>
                <w:color w:val="000000"/>
                <w:sz w:val="18"/>
                <w:szCs w:val="18"/>
              </w:rPr>
              <w:t>首先培养学生正确的价值观和理想信念，要求同学们掌握本专业的基本知识和技能，具有宽阔的国际视野和大国三农的爱国情怀。</w:t>
            </w:r>
          </w:p>
        </w:tc>
        <w:tc>
          <w:tcPr>
            <w:tcW w:w="1052" w:type="dxa"/>
            <w:tcBorders>
              <w:top w:val="single" w:sz="4" w:space="0" w:color="auto"/>
              <w:left w:val="single" w:sz="4" w:space="0" w:color="auto"/>
              <w:bottom w:val="single" w:sz="4" w:space="0" w:color="auto"/>
              <w:right w:val="single" w:sz="4" w:space="0" w:color="auto"/>
            </w:tcBorders>
            <w:vAlign w:val="center"/>
          </w:tcPr>
          <w:p w14:paraId="551BFF4D"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1</w:t>
            </w:r>
            <w:r>
              <w:rPr>
                <w:rFonts w:ascii="宋体" w:hAnsi="宋体" w:hint="eastAsia"/>
                <w:color w:val="000000"/>
                <w:sz w:val="18"/>
                <w:szCs w:val="18"/>
              </w:rPr>
              <w:t>、2、8</w:t>
            </w:r>
          </w:p>
        </w:tc>
      </w:tr>
      <w:tr w:rsidR="00F5289E" w14:paraId="5B6E145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53622F6E"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78C264AD" w14:textId="77777777" w:rsidR="00F5289E" w:rsidRDefault="00C91173">
            <w:pPr>
              <w:spacing w:line="320" w:lineRule="exact"/>
              <w:rPr>
                <w:rFonts w:ascii="宋体" w:hAnsi="宋体"/>
                <w:color w:val="000000"/>
                <w:sz w:val="18"/>
                <w:szCs w:val="18"/>
              </w:rPr>
            </w:pPr>
            <w:r>
              <w:rPr>
                <w:rFonts w:ascii="宋体" w:hAnsi="宋体" w:hint="eastAsia"/>
                <w:color w:val="000000"/>
                <w:sz w:val="18"/>
                <w:szCs w:val="18"/>
              </w:rPr>
              <w:t>目标1：</w:t>
            </w:r>
            <w:r>
              <w:rPr>
                <w:rFonts w:ascii="宋体" w:hAnsi="宋体"/>
                <w:color w:val="000000"/>
                <w:sz w:val="18"/>
                <w:szCs w:val="18"/>
              </w:rPr>
              <w:t>知识与技能目标</w:t>
            </w:r>
          </w:p>
          <w:p w14:paraId="549D3942" w14:textId="77777777" w:rsidR="00F5289E" w:rsidRDefault="00C91173">
            <w:pPr>
              <w:spacing w:line="320" w:lineRule="exact"/>
              <w:ind w:firstLineChars="200" w:firstLine="360"/>
              <w:rPr>
                <w:rFonts w:ascii="宋体" w:hAnsi="宋体"/>
                <w:color w:val="000000"/>
                <w:sz w:val="18"/>
                <w:szCs w:val="18"/>
              </w:rPr>
            </w:pPr>
            <w:r>
              <w:rPr>
                <w:rFonts w:ascii="宋体" w:hAnsi="宋体" w:hint="eastAsia"/>
                <w:color w:val="000000"/>
                <w:sz w:val="18"/>
                <w:szCs w:val="18"/>
              </w:rPr>
              <w:t>了解园艺、园艺学、园艺业的概念、园艺作物的种类。了解园艺产品规模、供求关系分析，园艺产业的经济效益和社会效益等。全面了解高新技术在园艺业中的应用。</w:t>
            </w:r>
          </w:p>
        </w:tc>
        <w:tc>
          <w:tcPr>
            <w:tcW w:w="1052" w:type="dxa"/>
            <w:tcBorders>
              <w:top w:val="single" w:sz="4" w:space="0" w:color="auto"/>
              <w:left w:val="single" w:sz="4" w:space="0" w:color="auto"/>
              <w:bottom w:val="single" w:sz="4" w:space="0" w:color="auto"/>
              <w:right w:val="single" w:sz="4" w:space="0" w:color="auto"/>
            </w:tcBorders>
            <w:vAlign w:val="center"/>
          </w:tcPr>
          <w:p w14:paraId="2EAA6EEC"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3</w:t>
            </w:r>
            <w:r>
              <w:rPr>
                <w:rFonts w:ascii="宋体" w:hAnsi="宋体" w:hint="eastAsia"/>
                <w:color w:val="000000"/>
                <w:sz w:val="18"/>
                <w:szCs w:val="18"/>
              </w:rPr>
              <w:t>、4、7</w:t>
            </w:r>
          </w:p>
        </w:tc>
      </w:tr>
      <w:tr w:rsidR="00F5289E" w14:paraId="6A20069F"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90E7DA9"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2BF77724" w14:textId="77777777" w:rsidR="00F5289E" w:rsidRDefault="00C91173">
            <w:pPr>
              <w:spacing w:line="320" w:lineRule="exact"/>
              <w:rPr>
                <w:rFonts w:ascii="宋体" w:hAnsi="宋体"/>
                <w:color w:val="000000"/>
                <w:sz w:val="18"/>
                <w:szCs w:val="18"/>
              </w:rPr>
            </w:pPr>
            <w:r>
              <w:rPr>
                <w:rFonts w:ascii="宋体" w:hAnsi="宋体"/>
                <w:color w:val="000000"/>
                <w:sz w:val="18"/>
                <w:szCs w:val="18"/>
              </w:rPr>
              <w:t>目标</w:t>
            </w:r>
            <w:r>
              <w:rPr>
                <w:rFonts w:ascii="宋体" w:hAnsi="宋体" w:hint="eastAsia"/>
                <w:color w:val="000000"/>
                <w:sz w:val="18"/>
                <w:szCs w:val="18"/>
              </w:rPr>
              <w:t>2</w:t>
            </w:r>
            <w:r>
              <w:rPr>
                <w:rFonts w:ascii="宋体" w:hAnsi="宋体"/>
                <w:color w:val="000000"/>
                <w:sz w:val="18"/>
                <w:szCs w:val="18"/>
              </w:rPr>
              <w:t>：过程与方法目标</w:t>
            </w:r>
          </w:p>
          <w:p w14:paraId="4FA26323" w14:textId="77777777" w:rsidR="00F5289E" w:rsidRDefault="00C91173">
            <w:pPr>
              <w:pStyle w:val="a7"/>
              <w:snapToGrid w:val="0"/>
              <w:spacing w:line="320" w:lineRule="exact"/>
              <w:ind w:firstLine="360"/>
              <w:rPr>
                <w:rFonts w:ascii="宋体" w:hAnsi="宋体"/>
                <w:color w:val="000000"/>
                <w:sz w:val="18"/>
                <w:szCs w:val="18"/>
              </w:rPr>
            </w:pPr>
            <w:r>
              <w:rPr>
                <w:rFonts w:ascii="宋体" w:hAnsi="宋体"/>
                <w:color w:val="000000"/>
                <w:sz w:val="18"/>
                <w:szCs w:val="18"/>
              </w:rPr>
              <w:t>通过学生反思、师生交流</w:t>
            </w:r>
            <w:r>
              <w:rPr>
                <w:rFonts w:ascii="宋体" w:hAnsi="宋体" w:hint="eastAsia"/>
                <w:color w:val="000000"/>
                <w:sz w:val="18"/>
                <w:szCs w:val="18"/>
              </w:rPr>
              <w:t>、</w:t>
            </w:r>
            <w:r>
              <w:rPr>
                <w:rFonts w:ascii="宋体" w:hAnsi="宋体"/>
                <w:color w:val="000000"/>
                <w:sz w:val="18"/>
                <w:szCs w:val="18"/>
              </w:rPr>
              <w:t>项目实践</w:t>
            </w:r>
            <w:r>
              <w:rPr>
                <w:rFonts w:ascii="宋体" w:hAnsi="宋体" w:hint="eastAsia"/>
                <w:color w:val="000000"/>
                <w:sz w:val="18"/>
                <w:szCs w:val="18"/>
              </w:rPr>
              <w:t>和</w:t>
            </w:r>
            <w:r>
              <w:rPr>
                <w:rFonts w:ascii="宋体" w:hAnsi="宋体"/>
                <w:color w:val="000000"/>
                <w:sz w:val="18"/>
                <w:szCs w:val="18"/>
              </w:rPr>
              <w:t>拓展讨论，</w:t>
            </w:r>
            <w:r>
              <w:rPr>
                <w:rFonts w:ascii="宋体" w:hAnsi="宋体" w:hint="eastAsia"/>
                <w:color w:val="000000"/>
                <w:sz w:val="18"/>
                <w:szCs w:val="18"/>
              </w:rPr>
              <w:t>了解生物技术、信息技术在园艺产业中的应用，植物工厂，航天育种等。</w:t>
            </w:r>
          </w:p>
        </w:tc>
        <w:tc>
          <w:tcPr>
            <w:tcW w:w="1052" w:type="dxa"/>
            <w:tcBorders>
              <w:top w:val="single" w:sz="4" w:space="0" w:color="auto"/>
              <w:left w:val="single" w:sz="4" w:space="0" w:color="auto"/>
              <w:bottom w:val="single" w:sz="4" w:space="0" w:color="auto"/>
              <w:right w:val="single" w:sz="4" w:space="0" w:color="auto"/>
            </w:tcBorders>
            <w:vAlign w:val="center"/>
          </w:tcPr>
          <w:p w14:paraId="23C2255C" w14:textId="77777777" w:rsidR="00F5289E" w:rsidRDefault="00C91173">
            <w:pPr>
              <w:spacing w:line="320" w:lineRule="exact"/>
              <w:jc w:val="center"/>
              <w:rPr>
                <w:rFonts w:ascii="宋体" w:hAnsi="宋体"/>
                <w:color w:val="000000"/>
                <w:sz w:val="18"/>
                <w:szCs w:val="18"/>
              </w:rPr>
            </w:pPr>
            <w:r>
              <w:rPr>
                <w:rFonts w:ascii="宋体" w:hAnsi="宋体"/>
                <w:color w:val="000000"/>
                <w:sz w:val="18"/>
                <w:szCs w:val="18"/>
              </w:rPr>
              <w:t>5</w:t>
            </w:r>
          </w:p>
        </w:tc>
      </w:tr>
      <w:tr w:rsidR="00F5289E" w14:paraId="7BC65A2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9AAF78C" w14:textId="77777777" w:rsidR="00F5289E" w:rsidRDefault="00C91173">
            <w:pPr>
              <w:spacing w:line="320" w:lineRule="exact"/>
              <w:jc w:val="center"/>
              <w:rPr>
                <w:rFonts w:ascii="宋体" w:hAnsi="宋体"/>
                <w:color w:val="000000"/>
                <w:sz w:val="18"/>
                <w:szCs w:val="18"/>
              </w:rPr>
            </w:pPr>
            <w:r>
              <w:rPr>
                <w:rFonts w:ascii="宋体" w:hAnsi="宋体" w:hint="eastAsia"/>
                <w:color w:val="000000"/>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5EE7A461" w14:textId="77777777" w:rsidR="00F5289E" w:rsidRDefault="00C91173">
            <w:pPr>
              <w:spacing w:line="400" w:lineRule="exact"/>
              <w:rPr>
                <w:rFonts w:ascii="宋体" w:hAnsi="宋体"/>
                <w:color w:val="000000"/>
                <w:sz w:val="18"/>
                <w:szCs w:val="18"/>
              </w:rPr>
            </w:pPr>
            <w:r>
              <w:rPr>
                <w:rFonts w:ascii="宋体" w:hAnsi="宋体"/>
                <w:color w:val="000000"/>
                <w:sz w:val="18"/>
                <w:szCs w:val="18"/>
              </w:rPr>
              <w:t>目标</w:t>
            </w:r>
            <w:r>
              <w:rPr>
                <w:rFonts w:ascii="宋体" w:hAnsi="宋体" w:hint="eastAsia"/>
                <w:color w:val="000000"/>
                <w:sz w:val="18"/>
                <w:szCs w:val="18"/>
              </w:rPr>
              <w:t>3</w:t>
            </w:r>
            <w:r>
              <w:rPr>
                <w:rFonts w:ascii="宋体" w:hAnsi="宋体"/>
                <w:color w:val="000000"/>
                <w:sz w:val="18"/>
                <w:szCs w:val="18"/>
              </w:rPr>
              <w:t>：情感和价值观目标</w:t>
            </w:r>
          </w:p>
          <w:p w14:paraId="7799F401" w14:textId="77777777" w:rsidR="00F5289E" w:rsidRDefault="00C91173">
            <w:pPr>
              <w:spacing w:line="320" w:lineRule="exact"/>
              <w:ind w:firstLineChars="200" w:firstLine="360"/>
              <w:rPr>
                <w:rFonts w:ascii="宋体" w:hAnsi="宋体"/>
                <w:color w:val="000000"/>
                <w:sz w:val="18"/>
                <w:szCs w:val="18"/>
              </w:rPr>
            </w:pPr>
            <w:r>
              <w:rPr>
                <w:rFonts w:ascii="宋体" w:hAnsi="宋体" w:hint="eastAsia"/>
                <w:color w:val="000000"/>
                <w:sz w:val="18"/>
                <w:szCs w:val="18"/>
              </w:rPr>
              <w:t>培育学生守正创新理念，弘扬大国工匠精神。坚持“绿水青山就是金山银山”的</w:t>
            </w:r>
            <w:r>
              <w:rPr>
                <w:rFonts w:ascii="宋体" w:hAnsi="宋体"/>
                <w:color w:val="000000"/>
                <w:sz w:val="18"/>
                <w:szCs w:val="18"/>
              </w:rPr>
              <w:t>发展理念</w:t>
            </w:r>
            <w:r>
              <w:rPr>
                <w:rFonts w:ascii="宋体" w:hAnsi="宋体" w:hint="eastAsia"/>
                <w:color w:val="000000"/>
                <w:sz w:val="18"/>
                <w:szCs w:val="18"/>
              </w:rPr>
              <w:t xml:space="preserve">，培养学生的责任意识与家国情怀。 </w:t>
            </w:r>
          </w:p>
        </w:tc>
        <w:tc>
          <w:tcPr>
            <w:tcW w:w="1052" w:type="dxa"/>
            <w:tcBorders>
              <w:top w:val="single" w:sz="4" w:space="0" w:color="auto"/>
              <w:left w:val="single" w:sz="4" w:space="0" w:color="auto"/>
              <w:bottom w:val="single" w:sz="4" w:space="0" w:color="auto"/>
              <w:right w:val="single" w:sz="4" w:space="0" w:color="auto"/>
            </w:tcBorders>
            <w:vAlign w:val="center"/>
          </w:tcPr>
          <w:p w14:paraId="6832B13D" w14:textId="77777777" w:rsidR="00F5289E" w:rsidRDefault="00C91173">
            <w:pPr>
              <w:spacing w:line="320" w:lineRule="exact"/>
              <w:jc w:val="center"/>
              <w:rPr>
                <w:rFonts w:ascii="宋体" w:hAnsi="宋体"/>
                <w:color w:val="000000"/>
                <w:sz w:val="18"/>
                <w:szCs w:val="18"/>
              </w:rPr>
            </w:pPr>
            <w:r>
              <w:rPr>
                <w:rFonts w:ascii="宋体" w:hAnsi="宋体" w:hint="eastAsia"/>
                <w:color w:val="000000"/>
                <w:sz w:val="18"/>
                <w:szCs w:val="18"/>
              </w:rPr>
              <w:t>6、9、1</w:t>
            </w:r>
            <w:r>
              <w:rPr>
                <w:rFonts w:ascii="宋体" w:hAnsi="宋体"/>
                <w:color w:val="000000"/>
                <w:sz w:val="18"/>
                <w:szCs w:val="18"/>
              </w:rPr>
              <w:t>0</w:t>
            </w:r>
          </w:p>
        </w:tc>
      </w:tr>
    </w:tbl>
    <w:p w14:paraId="037CB68D" w14:textId="77777777" w:rsidR="00F5289E" w:rsidRDefault="00F5289E">
      <w:pPr>
        <w:spacing w:line="360" w:lineRule="auto"/>
        <w:ind w:firstLineChars="200" w:firstLine="420"/>
        <w:rPr>
          <w:rFonts w:hAnsi="宋体"/>
          <w:bCs/>
          <w:color w:val="0000FF"/>
          <w:kern w:val="0"/>
          <w:szCs w:val="21"/>
        </w:rPr>
      </w:pPr>
    </w:p>
    <w:p w14:paraId="6273FDC9" w14:textId="77777777" w:rsidR="00F5289E" w:rsidRDefault="00F5289E">
      <w:pPr>
        <w:spacing w:line="360" w:lineRule="auto"/>
        <w:ind w:firstLineChars="200" w:firstLine="420"/>
        <w:rPr>
          <w:rFonts w:hAnsi="宋体"/>
          <w:bCs/>
          <w:color w:val="0000FF"/>
          <w:kern w:val="0"/>
          <w:szCs w:val="21"/>
        </w:rPr>
      </w:pPr>
    </w:p>
    <w:p w14:paraId="16DBFB90"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24</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CB7C6DF" w14:textId="77777777">
        <w:trPr>
          <w:trHeight w:val="270"/>
        </w:trPr>
        <w:tc>
          <w:tcPr>
            <w:tcW w:w="2965" w:type="dxa"/>
            <w:tcBorders>
              <w:top w:val="nil"/>
              <w:left w:val="nil"/>
              <w:bottom w:val="nil"/>
              <w:right w:val="nil"/>
            </w:tcBorders>
            <w:vAlign w:val="center"/>
          </w:tcPr>
          <w:p w14:paraId="104E7A3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DB42F1B" w14:textId="77777777" w:rsidR="00F5289E" w:rsidRDefault="00C91173">
            <w:pPr>
              <w:widowControl/>
              <w:snapToGrid w:val="0"/>
              <w:spacing w:line="360" w:lineRule="auto"/>
              <w:jc w:val="center"/>
              <w:rPr>
                <w:rFonts w:hAnsi="宋体"/>
                <w:b/>
                <w:bCs/>
                <w:color w:val="000000" w:themeColor="text1"/>
                <w:kern w:val="0"/>
                <w:szCs w:val="21"/>
              </w:rPr>
            </w:pPr>
            <w:r>
              <w:rPr>
                <w:rFonts w:hAnsi="宋体"/>
                <w:b/>
                <w:bCs/>
                <w:color w:val="000000" w:themeColor="text1"/>
                <w:kern w:val="0"/>
                <w:szCs w:val="21"/>
              </w:rPr>
              <w:t>第一章</w:t>
            </w:r>
            <w:r>
              <w:rPr>
                <w:rFonts w:hint="eastAsia"/>
                <w:b/>
                <w:bCs/>
                <w:color w:val="000000" w:themeColor="text1"/>
                <w:kern w:val="0"/>
                <w:szCs w:val="21"/>
              </w:rPr>
              <w:t xml:space="preserve">  </w:t>
            </w:r>
            <w:r>
              <w:rPr>
                <w:rFonts w:hint="eastAsia"/>
                <w:b/>
                <w:color w:val="000000" w:themeColor="text1"/>
                <w:szCs w:val="21"/>
              </w:rPr>
              <w:t>园艺让生活更美好</w:t>
            </w:r>
          </w:p>
        </w:tc>
        <w:tc>
          <w:tcPr>
            <w:tcW w:w="2966" w:type="dxa"/>
            <w:tcBorders>
              <w:top w:val="nil"/>
              <w:left w:val="nil"/>
              <w:bottom w:val="nil"/>
              <w:right w:val="nil"/>
            </w:tcBorders>
            <w:vAlign w:val="center"/>
          </w:tcPr>
          <w:p w14:paraId="747FFA71"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b/>
                <w:bCs/>
                <w:color w:val="000000" w:themeColor="text1"/>
                <w:kern w:val="0"/>
                <w:szCs w:val="21"/>
              </w:rPr>
              <w:t>2</w:t>
            </w:r>
          </w:p>
        </w:tc>
      </w:tr>
    </w:tbl>
    <w:p w14:paraId="615542BC"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认识园艺</w:t>
      </w:r>
    </w:p>
    <w:p w14:paraId="1EEE0B87"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rPr>
        <w:t>教学目标：</w:t>
      </w:r>
      <w:r>
        <w:rPr>
          <w:rFonts w:ascii="宋体" w:hAnsi="宋体" w:hint="eastAsia"/>
          <w:color w:val="000000" w:themeColor="text1"/>
          <w:szCs w:val="20"/>
        </w:rPr>
        <w:t>让学生全面了解植物生产类（园艺类）专业学习和研究范畴，培养学生的三农情怀和人文素养。</w:t>
      </w:r>
    </w:p>
    <w:p w14:paraId="2D3CFCBB"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Ansi="宋体" w:hint="eastAsia"/>
          <w:kern w:val="0"/>
          <w:szCs w:val="21"/>
        </w:rPr>
        <w:t>园艺、园艺学、园艺业的概念、园艺作物的种类。</w:t>
      </w:r>
    </w:p>
    <w:p w14:paraId="17B85EBD"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认识园艺、园艺作物的种类和研究范畴。</w:t>
      </w:r>
    </w:p>
    <w:p w14:paraId="1717331B" w14:textId="77777777" w:rsidR="00F5289E" w:rsidRDefault="00C91173">
      <w:pPr>
        <w:pStyle w:val="a7"/>
        <w:snapToGrid w:val="0"/>
        <w:spacing w:line="360" w:lineRule="auto"/>
        <w:rPr>
          <w:rFonts w:ascii="宋体" w:hAnsi="宋体"/>
        </w:rPr>
      </w:pPr>
      <w:r>
        <w:rPr>
          <w:rFonts w:ascii="宋体" w:hAnsi="宋体" w:hint="eastAsia"/>
        </w:rPr>
        <w:t>了解：</w:t>
      </w:r>
      <w:r>
        <w:rPr>
          <w:rFonts w:hAnsi="宋体" w:hint="eastAsia"/>
          <w:kern w:val="0"/>
          <w:szCs w:val="21"/>
        </w:rPr>
        <w:t>园艺、园艺学、园艺业的概念、园艺作物的种类和园艺在农业中的地位</w:t>
      </w:r>
      <w:r>
        <w:rPr>
          <w:rFonts w:ascii="宋体" w:hAnsi="宋体" w:hint="eastAsia"/>
        </w:rPr>
        <w:t>。</w:t>
      </w:r>
    </w:p>
    <w:p w14:paraId="7010605B" w14:textId="77777777" w:rsidR="00F5289E" w:rsidRDefault="00C91173">
      <w:pPr>
        <w:widowControl/>
        <w:snapToGrid w:val="0"/>
        <w:spacing w:line="360" w:lineRule="auto"/>
        <w:rPr>
          <w:rFonts w:ascii="宋体" w:hAnsi="宋体"/>
          <w:szCs w:val="20"/>
        </w:rPr>
      </w:pPr>
      <w:r>
        <w:rPr>
          <w:rFonts w:ascii="宋体" w:hAnsi="宋体" w:hint="eastAsia"/>
          <w:b/>
          <w:bCs/>
        </w:rPr>
        <w:t>教学组织与实施：</w:t>
      </w:r>
      <w:r>
        <w:rPr>
          <w:rFonts w:ascii="宋体" w:hAnsi="宋体" w:hint="eastAsia"/>
          <w:szCs w:val="20"/>
        </w:rPr>
        <w:t>教师讲解为主，辅助以教学视频，并随时与学生开展互动让学生加深对</w:t>
      </w:r>
      <w:r>
        <w:rPr>
          <w:rFonts w:hAnsi="宋体" w:hint="eastAsia"/>
          <w:kern w:val="0"/>
          <w:szCs w:val="21"/>
        </w:rPr>
        <w:t>植物生产类（园艺类）专业</w:t>
      </w:r>
      <w:r>
        <w:rPr>
          <w:rFonts w:ascii="宋体" w:hAnsi="宋体" w:hint="eastAsia"/>
          <w:szCs w:val="20"/>
        </w:rPr>
        <w:t>的兴趣。</w:t>
      </w:r>
    </w:p>
    <w:p w14:paraId="3F4D8330" w14:textId="77777777" w:rsidR="00F5289E" w:rsidRDefault="00C91173">
      <w:pPr>
        <w:pStyle w:val="a7"/>
        <w:snapToGrid w:val="0"/>
        <w:spacing w:line="360" w:lineRule="auto"/>
        <w:ind w:firstLineChars="0" w:firstLine="0"/>
        <w:rPr>
          <w:rFonts w:hAnsi="宋体"/>
          <w:b/>
          <w:bCs/>
          <w:kern w:val="0"/>
          <w:szCs w:val="21"/>
        </w:rPr>
      </w:pPr>
      <w:r>
        <w:rPr>
          <w:rFonts w:hAnsi="宋体"/>
          <w:b/>
          <w:kern w:val="0"/>
          <w:szCs w:val="21"/>
        </w:rPr>
        <w:t>第</w:t>
      </w:r>
      <w:r>
        <w:rPr>
          <w:rFonts w:hAnsi="宋体" w:hint="eastAsia"/>
          <w:b/>
          <w:kern w:val="0"/>
          <w:szCs w:val="21"/>
        </w:rPr>
        <w:t>二</w:t>
      </w:r>
      <w:r>
        <w:rPr>
          <w:rFonts w:hAnsi="宋体"/>
          <w:b/>
          <w:kern w:val="0"/>
          <w:szCs w:val="21"/>
        </w:rPr>
        <w:t>节</w:t>
      </w:r>
      <w:r>
        <w:rPr>
          <w:rFonts w:hAnsi="宋体" w:hint="eastAsia"/>
          <w:b/>
          <w:kern w:val="0"/>
          <w:szCs w:val="21"/>
        </w:rPr>
        <w:t xml:space="preserve">  </w:t>
      </w:r>
      <w:r>
        <w:rPr>
          <w:rFonts w:hAnsi="宋体" w:hint="eastAsia"/>
          <w:b/>
          <w:bCs/>
          <w:kern w:val="0"/>
          <w:szCs w:val="21"/>
        </w:rPr>
        <w:t>园艺业的社会经济作用</w:t>
      </w:r>
    </w:p>
    <w:p w14:paraId="1BAE934B" w14:textId="77777777" w:rsidR="00F5289E" w:rsidRDefault="00C91173">
      <w:pPr>
        <w:snapToGrid w:val="0"/>
        <w:spacing w:line="360" w:lineRule="auto"/>
        <w:rPr>
          <w:b/>
          <w:bCs/>
        </w:rPr>
      </w:pPr>
      <w:r>
        <w:rPr>
          <w:rFonts w:ascii="宋体" w:hAnsi="宋体" w:hint="eastAsia"/>
          <w:b/>
          <w:bCs/>
        </w:rPr>
        <w:t>教学目标：</w:t>
      </w:r>
      <w:r>
        <w:rPr>
          <w:rFonts w:hAnsi="宋体" w:hint="eastAsia"/>
          <w:kern w:val="0"/>
          <w:szCs w:val="21"/>
        </w:rPr>
        <w:t>让学生了解园艺业的社会经济作用，树立专业信心，培养学生的理想信念和三农情怀。</w:t>
      </w:r>
    </w:p>
    <w:p w14:paraId="13556955" w14:textId="77777777" w:rsidR="00F5289E" w:rsidRDefault="00C91173">
      <w:pPr>
        <w:pStyle w:val="a7"/>
        <w:snapToGrid w:val="0"/>
        <w:spacing w:line="360" w:lineRule="auto"/>
        <w:ind w:firstLineChars="0" w:firstLine="0"/>
        <w:rPr>
          <w:rFonts w:hAnsi="宋体"/>
          <w:b/>
          <w:bCs/>
          <w:kern w:val="0"/>
          <w:szCs w:val="21"/>
        </w:rPr>
      </w:pPr>
      <w:r>
        <w:rPr>
          <w:rFonts w:ascii="宋体" w:hAnsi="宋体" w:hint="eastAsia"/>
          <w:b/>
          <w:bCs/>
        </w:rPr>
        <w:t>教学重点和难点：</w:t>
      </w:r>
      <w:r>
        <w:rPr>
          <w:rFonts w:hAnsi="宋体" w:hint="eastAsia"/>
          <w:kern w:val="0"/>
          <w:szCs w:val="21"/>
        </w:rPr>
        <w:t>园艺产品规模、供求关系分析，园艺产业的经济效益和社会效益等。</w:t>
      </w:r>
    </w:p>
    <w:p w14:paraId="4EB6A77D"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hAnsi="宋体" w:hint="eastAsia"/>
          <w:kern w:val="0"/>
          <w:szCs w:val="21"/>
        </w:rPr>
        <w:t>园艺产品规模、供求关系，园艺产业的经济效益、社会效益</w:t>
      </w:r>
      <w:r>
        <w:rPr>
          <w:rFonts w:ascii="宋体" w:hAnsi="宋体" w:hint="eastAsia"/>
        </w:rPr>
        <w:t>。</w:t>
      </w:r>
    </w:p>
    <w:p w14:paraId="5044366F" w14:textId="77777777" w:rsidR="00F5289E" w:rsidRDefault="00C91173">
      <w:pPr>
        <w:pStyle w:val="a7"/>
        <w:snapToGrid w:val="0"/>
        <w:spacing w:line="360" w:lineRule="auto"/>
        <w:rPr>
          <w:rFonts w:ascii="宋体" w:hAnsi="宋体"/>
        </w:rPr>
      </w:pPr>
      <w:r>
        <w:rPr>
          <w:rFonts w:ascii="宋体" w:hAnsi="宋体" w:hint="eastAsia"/>
        </w:rPr>
        <w:t>了解：</w:t>
      </w:r>
      <w:r>
        <w:rPr>
          <w:rFonts w:hAnsi="宋体" w:hint="eastAsia"/>
          <w:kern w:val="0"/>
          <w:szCs w:val="21"/>
        </w:rPr>
        <w:t>园艺产业的社会经济作用</w:t>
      </w:r>
      <w:r>
        <w:rPr>
          <w:rFonts w:ascii="宋体" w:hAnsi="宋体" w:hint="eastAsia"/>
        </w:rPr>
        <w:t>。</w:t>
      </w:r>
    </w:p>
    <w:p w14:paraId="63E919DD" w14:textId="77777777" w:rsidR="00F5289E" w:rsidRDefault="00C91173">
      <w:pPr>
        <w:widowControl/>
        <w:snapToGrid w:val="0"/>
        <w:spacing w:line="360" w:lineRule="auto"/>
        <w:rPr>
          <w:rFonts w:ascii="宋体" w:hAnsi="宋体"/>
          <w:szCs w:val="20"/>
        </w:rPr>
      </w:pPr>
      <w:r>
        <w:rPr>
          <w:rFonts w:ascii="宋体" w:hAnsi="宋体" w:hint="eastAsia"/>
          <w:b/>
          <w:bCs/>
        </w:rPr>
        <w:t>教学组织与实施：</w:t>
      </w:r>
      <w:r>
        <w:rPr>
          <w:rFonts w:ascii="宋体" w:hAnsi="宋体" w:hint="eastAsia"/>
          <w:szCs w:val="20"/>
        </w:rPr>
        <w:t>教师讲解为主，辅助以教学视频，并随时与学生开展互动让学生初步了解中国园艺业影响世界，从而加深对</w:t>
      </w:r>
      <w:r>
        <w:rPr>
          <w:rFonts w:hAnsi="宋体" w:hint="eastAsia"/>
          <w:kern w:val="0"/>
          <w:szCs w:val="21"/>
        </w:rPr>
        <w:t>植物生产类（园艺类）专业</w:t>
      </w:r>
      <w:r>
        <w:rPr>
          <w:rFonts w:ascii="宋体" w:hAnsi="宋体" w:hint="eastAsia"/>
          <w:szCs w:val="20"/>
        </w:rPr>
        <w:t>的兴趣。</w:t>
      </w:r>
    </w:p>
    <w:p w14:paraId="00920F73" w14:textId="77777777" w:rsidR="00F5289E" w:rsidRDefault="00C91173">
      <w:pPr>
        <w:pStyle w:val="a7"/>
        <w:snapToGrid w:val="0"/>
        <w:spacing w:line="360" w:lineRule="auto"/>
        <w:ind w:firstLineChars="0" w:firstLine="0"/>
        <w:rPr>
          <w:rFonts w:hAnsi="宋体"/>
          <w:b/>
          <w:bCs/>
          <w:kern w:val="0"/>
          <w:szCs w:val="21"/>
        </w:rPr>
      </w:pPr>
      <w:r>
        <w:rPr>
          <w:rFonts w:hAnsi="宋体"/>
          <w:b/>
          <w:kern w:val="0"/>
          <w:szCs w:val="21"/>
        </w:rPr>
        <w:t>第</w:t>
      </w:r>
      <w:r>
        <w:rPr>
          <w:rFonts w:hAnsi="宋体" w:hint="eastAsia"/>
          <w:b/>
          <w:kern w:val="0"/>
          <w:szCs w:val="21"/>
        </w:rPr>
        <w:t>三</w:t>
      </w:r>
      <w:r>
        <w:rPr>
          <w:rFonts w:hAnsi="宋体"/>
          <w:b/>
          <w:kern w:val="0"/>
          <w:szCs w:val="21"/>
        </w:rPr>
        <w:t>节</w:t>
      </w:r>
      <w:r>
        <w:rPr>
          <w:rFonts w:hAnsi="宋体" w:hint="eastAsia"/>
          <w:b/>
          <w:kern w:val="0"/>
          <w:szCs w:val="21"/>
        </w:rPr>
        <w:t xml:space="preserve"> </w:t>
      </w:r>
      <w:r>
        <w:rPr>
          <w:rFonts w:hAnsi="宋体" w:hint="eastAsia"/>
          <w:b/>
          <w:bCs/>
          <w:kern w:val="0"/>
          <w:szCs w:val="21"/>
        </w:rPr>
        <w:t>高新技术在园艺业中的应用</w:t>
      </w:r>
    </w:p>
    <w:p w14:paraId="7E677249" w14:textId="77777777" w:rsidR="00F5289E" w:rsidRDefault="00C91173">
      <w:pPr>
        <w:snapToGrid w:val="0"/>
        <w:spacing w:line="360" w:lineRule="auto"/>
        <w:rPr>
          <w:b/>
          <w:bCs/>
        </w:rPr>
      </w:pPr>
      <w:r>
        <w:rPr>
          <w:rFonts w:ascii="宋体" w:hAnsi="宋体" w:hint="eastAsia"/>
          <w:b/>
          <w:bCs/>
        </w:rPr>
        <w:t>教学目标：</w:t>
      </w:r>
      <w:r>
        <w:rPr>
          <w:rFonts w:hAnsi="宋体" w:hint="eastAsia"/>
          <w:kern w:val="0"/>
          <w:szCs w:val="21"/>
        </w:rPr>
        <w:t>让学生全面了解</w:t>
      </w:r>
      <w:r>
        <w:rPr>
          <w:rFonts w:ascii="宋体" w:hAnsi="宋体" w:hint="eastAsia"/>
          <w:szCs w:val="20"/>
        </w:rPr>
        <w:t>高新技术在园艺业中的应用，培养学生终身学习的习惯和开阔的国际视野</w:t>
      </w:r>
      <w:r>
        <w:rPr>
          <w:rFonts w:hAnsi="宋体" w:hint="eastAsia"/>
          <w:kern w:val="0"/>
          <w:szCs w:val="21"/>
        </w:rPr>
        <w:t>。</w:t>
      </w:r>
    </w:p>
    <w:p w14:paraId="61984D9C"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Ansi="宋体" w:hint="eastAsia"/>
          <w:kern w:val="0"/>
          <w:szCs w:val="21"/>
        </w:rPr>
        <w:t>高新技术包括空间技术、新能源、新材料、信息技术、生物技术等园艺产业中的应用。</w:t>
      </w:r>
    </w:p>
    <w:p w14:paraId="2AE63F0D" w14:textId="77777777" w:rsidR="00F5289E" w:rsidRDefault="00C91173">
      <w:pPr>
        <w:pStyle w:val="a7"/>
        <w:snapToGrid w:val="0"/>
        <w:spacing w:line="360" w:lineRule="auto"/>
        <w:ind w:firstLineChars="0" w:firstLine="0"/>
        <w:rPr>
          <w:rFonts w:ascii="Times New Roman" w:hAnsi="宋体"/>
          <w:kern w:val="0"/>
          <w:szCs w:val="21"/>
        </w:rPr>
      </w:pPr>
      <w:r>
        <w:rPr>
          <w:rFonts w:ascii="宋体" w:hAnsi="宋体" w:hint="eastAsia"/>
          <w:b/>
        </w:rPr>
        <w:t>主要教学内容及要求：</w:t>
      </w:r>
      <w:r>
        <w:rPr>
          <w:rFonts w:ascii="Times New Roman" w:hAnsi="宋体" w:hint="eastAsia"/>
          <w:kern w:val="0"/>
          <w:szCs w:val="21"/>
        </w:rPr>
        <w:t>生物技术、信息技术在园艺产业中的应用，植物工厂，航天育种等</w:t>
      </w:r>
      <w:r>
        <w:rPr>
          <w:rFonts w:hAnsi="宋体" w:hint="eastAsia"/>
          <w:kern w:val="0"/>
          <w:szCs w:val="21"/>
        </w:rPr>
        <w:t>。</w:t>
      </w:r>
    </w:p>
    <w:p w14:paraId="5E0DA658" w14:textId="77777777" w:rsidR="00F5289E" w:rsidRDefault="00C91173">
      <w:pPr>
        <w:pStyle w:val="a7"/>
        <w:snapToGrid w:val="0"/>
        <w:spacing w:line="360" w:lineRule="auto"/>
        <w:rPr>
          <w:rFonts w:ascii="宋体" w:hAnsi="宋体"/>
        </w:rPr>
      </w:pPr>
      <w:r>
        <w:rPr>
          <w:rFonts w:ascii="宋体" w:hAnsi="宋体" w:hint="eastAsia"/>
        </w:rPr>
        <w:t>了解：高新技术在园艺业中的应用。</w:t>
      </w:r>
    </w:p>
    <w:p w14:paraId="4CB368E4" w14:textId="77777777" w:rsidR="00F5289E" w:rsidRDefault="00C91173">
      <w:pPr>
        <w:widowControl/>
        <w:snapToGrid w:val="0"/>
        <w:spacing w:line="360" w:lineRule="auto"/>
        <w:rPr>
          <w:rFonts w:ascii="宋体" w:hAnsi="宋体"/>
          <w:szCs w:val="20"/>
        </w:rPr>
      </w:pPr>
      <w:r>
        <w:rPr>
          <w:rFonts w:ascii="宋体" w:hAnsi="宋体" w:hint="eastAsia"/>
          <w:b/>
          <w:bCs/>
        </w:rPr>
        <w:t>教学组织与实施：</w:t>
      </w:r>
      <w:r>
        <w:rPr>
          <w:rFonts w:ascii="宋体" w:hAnsi="宋体" w:hint="eastAsia"/>
          <w:szCs w:val="20"/>
        </w:rPr>
        <w:t>教师讲解为主，辅助以教学视频，并随时与学生开展互动让学生初步了解高新技术在园艺业中的应用，从而加深对</w:t>
      </w:r>
      <w:r>
        <w:rPr>
          <w:rFonts w:hAnsi="宋体" w:hint="eastAsia"/>
          <w:kern w:val="0"/>
          <w:szCs w:val="21"/>
        </w:rPr>
        <w:t>植物生产类（园艺类）专业</w:t>
      </w:r>
      <w:r>
        <w:rPr>
          <w:rFonts w:ascii="宋体" w:hAnsi="宋体" w:hint="eastAsia"/>
          <w:szCs w:val="20"/>
        </w:rPr>
        <w:t>的兴趣。</w:t>
      </w:r>
    </w:p>
    <w:p w14:paraId="19CBD463" w14:textId="77777777" w:rsidR="00F5289E" w:rsidRDefault="00C91173">
      <w:pPr>
        <w:pStyle w:val="a7"/>
        <w:snapToGrid w:val="0"/>
        <w:spacing w:line="360" w:lineRule="auto"/>
        <w:ind w:firstLineChars="0" w:firstLine="0"/>
        <w:rPr>
          <w:rFonts w:hAnsi="宋体"/>
          <w:b/>
          <w:bCs/>
          <w:kern w:val="0"/>
          <w:szCs w:val="21"/>
        </w:rPr>
      </w:pPr>
      <w:r>
        <w:rPr>
          <w:rFonts w:hAnsi="宋体"/>
          <w:b/>
          <w:kern w:val="0"/>
          <w:szCs w:val="21"/>
        </w:rPr>
        <w:t>第</w:t>
      </w:r>
      <w:r>
        <w:rPr>
          <w:rFonts w:hAnsi="宋体" w:hint="eastAsia"/>
          <w:b/>
          <w:kern w:val="0"/>
          <w:szCs w:val="21"/>
        </w:rPr>
        <w:t>四</w:t>
      </w:r>
      <w:r>
        <w:rPr>
          <w:rFonts w:hAnsi="宋体"/>
          <w:b/>
          <w:kern w:val="0"/>
          <w:szCs w:val="21"/>
        </w:rPr>
        <w:t>节</w:t>
      </w:r>
      <w:r>
        <w:rPr>
          <w:rFonts w:hAnsi="宋体" w:hint="eastAsia"/>
          <w:b/>
          <w:kern w:val="0"/>
          <w:szCs w:val="21"/>
        </w:rPr>
        <w:t xml:space="preserve"> </w:t>
      </w:r>
      <w:r>
        <w:rPr>
          <w:rFonts w:hAnsi="宋体" w:hint="eastAsia"/>
          <w:b/>
          <w:bCs/>
          <w:kern w:val="0"/>
          <w:szCs w:val="21"/>
        </w:rPr>
        <w:t>本科人才培养方案解读</w:t>
      </w:r>
    </w:p>
    <w:p w14:paraId="3B9FA079" w14:textId="77777777" w:rsidR="00F5289E" w:rsidRDefault="00C91173">
      <w:pPr>
        <w:snapToGrid w:val="0"/>
        <w:spacing w:line="360" w:lineRule="auto"/>
        <w:rPr>
          <w:kern w:val="0"/>
          <w:szCs w:val="21"/>
        </w:rPr>
      </w:pPr>
      <w:r>
        <w:rPr>
          <w:rFonts w:hint="eastAsia"/>
          <w:b/>
          <w:bCs/>
        </w:rPr>
        <w:t>教学目标：</w:t>
      </w:r>
      <w:r>
        <w:rPr>
          <w:rFonts w:hint="eastAsia"/>
          <w:kern w:val="0"/>
          <w:szCs w:val="21"/>
        </w:rPr>
        <w:t>让学生全面了解植物生产类（园艺类）专业总体思路与培养目标、培养标准、学时分配、最低学分要求、核心课程体系建设和实践环节设置等，</w:t>
      </w:r>
      <w:r>
        <w:rPr>
          <w:rFonts w:ascii="宋体" w:hAnsi="宋体" w:hint="eastAsia"/>
          <w:szCs w:val="20"/>
        </w:rPr>
        <w:t>引导学生树立终身学习的习惯</w:t>
      </w:r>
      <w:r>
        <w:rPr>
          <w:rFonts w:hint="eastAsia"/>
          <w:kern w:val="0"/>
          <w:szCs w:val="21"/>
        </w:rPr>
        <w:t>。</w:t>
      </w:r>
    </w:p>
    <w:p w14:paraId="75DC18DF" w14:textId="77777777" w:rsidR="00F5289E" w:rsidRDefault="00C91173">
      <w:pPr>
        <w:snapToGrid w:val="0"/>
        <w:spacing w:line="360" w:lineRule="auto"/>
        <w:rPr>
          <w:b/>
          <w:bCs/>
          <w:szCs w:val="21"/>
        </w:rPr>
      </w:pPr>
      <w:r>
        <w:rPr>
          <w:rFonts w:ascii="宋体" w:hint="eastAsia"/>
          <w:b/>
          <w:bCs/>
        </w:rPr>
        <w:t>教学重点和难点：</w:t>
      </w:r>
      <w:r>
        <w:rPr>
          <w:rFonts w:hint="eastAsia"/>
          <w:kern w:val="0"/>
          <w:szCs w:val="21"/>
        </w:rPr>
        <w:t>植物生产类（园艺类）专业核心课程体系建设和实践环节设置等</w:t>
      </w:r>
      <w:r>
        <w:rPr>
          <w:rFonts w:hint="eastAsia"/>
          <w:szCs w:val="21"/>
        </w:rPr>
        <w:t>。</w:t>
      </w:r>
    </w:p>
    <w:p w14:paraId="17B317D4"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hint="eastAsia"/>
          <w:kern w:val="0"/>
          <w:szCs w:val="21"/>
        </w:rPr>
        <w:t>生产类（园艺类）专业总体思路与培养目标、</w:t>
      </w:r>
      <w:r>
        <w:rPr>
          <w:rFonts w:ascii="Times New Roman" w:hint="eastAsia"/>
          <w:kern w:val="0"/>
          <w:szCs w:val="21"/>
        </w:rPr>
        <w:t>培养标准</w:t>
      </w:r>
      <w:r>
        <w:rPr>
          <w:rFonts w:hint="eastAsia"/>
          <w:kern w:val="0"/>
          <w:szCs w:val="21"/>
        </w:rPr>
        <w:t>、</w:t>
      </w:r>
      <w:r>
        <w:rPr>
          <w:rFonts w:ascii="Times New Roman" w:hint="eastAsia"/>
          <w:kern w:val="0"/>
          <w:szCs w:val="21"/>
        </w:rPr>
        <w:t>学时分配、最低学分要求</w:t>
      </w:r>
      <w:r>
        <w:rPr>
          <w:rFonts w:hint="eastAsia"/>
          <w:kern w:val="0"/>
          <w:szCs w:val="21"/>
        </w:rPr>
        <w:t>、</w:t>
      </w:r>
      <w:r>
        <w:rPr>
          <w:rFonts w:ascii="Times New Roman" w:hint="eastAsia"/>
          <w:kern w:val="0"/>
          <w:szCs w:val="21"/>
        </w:rPr>
        <w:t>核心课程体系建设</w:t>
      </w:r>
      <w:r>
        <w:rPr>
          <w:rFonts w:hint="eastAsia"/>
          <w:kern w:val="0"/>
          <w:szCs w:val="21"/>
        </w:rPr>
        <w:t>和</w:t>
      </w:r>
      <w:r>
        <w:rPr>
          <w:rFonts w:ascii="Times New Roman" w:hint="eastAsia"/>
          <w:kern w:val="0"/>
          <w:szCs w:val="21"/>
        </w:rPr>
        <w:t>实践环节设置</w:t>
      </w:r>
      <w:r>
        <w:rPr>
          <w:rFonts w:hint="eastAsia"/>
          <w:kern w:val="0"/>
          <w:szCs w:val="21"/>
        </w:rPr>
        <w:t>等</w:t>
      </w:r>
      <w:r>
        <w:rPr>
          <w:rFonts w:ascii="宋体" w:hAnsi="宋体" w:hint="eastAsia"/>
        </w:rPr>
        <w:t>。</w:t>
      </w:r>
    </w:p>
    <w:p w14:paraId="4CA5DA62" w14:textId="77777777" w:rsidR="00F5289E" w:rsidRDefault="00C91173">
      <w:pPr>
        <w:pStyle w:val="a7"/>
        <w:snapToGrid w:val="0"/>
        <w:spacing w:line="360" w:lineRule="auto"/>
        <w:rPr>
          <w:rFonts w:ascii="宋体" w:hAnsi="宋体"/>
        </w:rPr>
      </w:pPr>
      <w:r>
        <w:rPr>
          <w:rFonts w:ascii="宋体" w:hAnsi="宋体" w:hint="eastAsia"/>
        </w:rPr>
        <w:t>了解：</w:t>
      </w:r>
      <w:r>
        <w:rPr>
          <w:rFonts w:hint="eastAsia"/>
          <w:kern w:val="0"/>
          <w:szCs w:val="21"/>
        </w:rPr>
        <w:t>植物生产类（园艺类）专业后期如何分流到园艺专业、设施农业科与工程和茶学专业</w:t>
      </w:r>
      <w:r>
        <w:rPr>
          <w:rFonts w:ascii="宋体" w:hAnsi="宋体" w:hint="eastAsia"/>
        </w:rPr>
        <w:t>。</w:t>
      </w:r>
    </w:p>
    <w:p w14:paraId="11B7CE8D" w14:textId="77777777" w:rsidR="00F5289E" w:rsidRDefault="00C91173">
      <w:pPr>
        <w:snapToGrid w:val="0"/>
        <w:spacing w:line="360" w:lineRule="auto"/>
        <w:rPr>
          <w:szCs w:val="20"/>
        </w:rPr>
      </w:pPr>
      <w:r>
        <w:rPr>
          <w:rFonts w:hint="eastAsia"/>
          <w:b/>
          <w:bCs/>
        </w:rPr>
        <w:t>教学组织与实施：</w:t>
      </w:r>
      <w:r>
        <w:rPr>
          <w:rFonts w:hint="eastAsia"/>
          <w:szCs w:val="20"/>
        </w:rPr>
        <w:t>教师讲解为主，辅助以教学视频，并随时与学生开展互动让学生初步了解高新技术在园艺业中的应用，从而加深对</w:t>
      </w:r>
      <w:r>
        <w:rPr>
          <w:rFonts w:hint="eastAsia"/>
          <w:kern w:val="0"/>
          <w:szCs w:val="21"/>
        </w:rPr>
        <w:t>植物生产类（园艺类）专业</w:t>
      </w:r>
      <w:r>
        <w:rPr>
          <w:rFonts w:hint="eastAsia"/>
          <w:szCs w:val="20"/>
        </w:rPr>
        <w:t>的兴趣。</w:t>
      </w:r>
    </w:p>
    <w:p w14:paraId="537BAEBE" w14:textId="77777777" w:rsidR="00F5289E" w:rsidRDefault="00F5289E">
      <w:pPr>
        <w:widowControl/>
        <w:snapToGrid w:val="0"/>
        <w:spacing w:line="360" w:lineRule="auto"/>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7C61DC2" w14:textId="77777777">
        <w:trPr>
          <w:trHeight w:val="270"/>
        </w:trPr>
        <w:tc>
          <w:tcPr>
            <w:tcW w:w="2965" w:type="dxa"/>
            <w:tcBorders>
              <w:top w:val="nil"/>
              <w:left w:val="nil"/>
              <w:bottom w:val="nil"/>
              <w:right w:val="nil"/>
            </w:tcBorders>
            <w:vAlign w:val="center"/>
          </w:tcPr>
          <w:p w14:paraId="4AEB9FB7"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C5B1083"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color w:val="000000" w:themeColor="text1"/>
                <w:szCs w:val="21"/>
              </w:rPr>
              <w:t>设施农业是现代农业的引领产业</w:t>
            </w:r>
          </w:p>
        </w:tc>
        <w:tc>
          <w:tcPr>
            <w:tcW w:w="2966" w:type="dxa"/>
            <w:tcBorders>
              <w:top w:val="nil"/>
              <w:left w:val="nil"/>
              <w:bottom w:val="nil"/>
              <w:right w:val="nil"/>
            </w:tcBorders>
            <w:vAlign w:val="center"/>
          </w:tcPr>
          <w:p w14:paraId="5C95540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36708DAB" w14:textId="77777777" w:rsidR="00F5289E" w:rsidRDefault="00C91173">
      <w:pPr>
        <w:widowControl/>
        <w:spacing w:line="360" w:lineRule="auto"/>
        <w:rPr>
          <w:rFonts w:ascii="宋体" w:hAnsi="宋体" w:cstheme="minorEastAsia"/>
          <w:color w:val="353535"/>
          <w:kern w:val="0"/>
          <w:szCs w:val="21"/>
        </w:rPr>
      </w:pPr>
      <w:r>
        <w:rPr>
          <w:rFonts w:ascii="宋体" w:hAnsi="宋体" w:cstheme="minorEastAsia" w:hint="eastAsia"/>
          <w:b/>
          <w:bCs/>
          <w:color w:val="353535"/>
          <w:kern w:val="0"/>
          <w:szCs w:val="21"/>
        </w:rPr>
        <w:t>教学目标：</w:t>
      </w:r>
      <w:r>
        <w:rPr>
          <w:rFonts w:ascii="宋体" w:hAnsi="宋体" w:cstheme="minorEastAsia" w:hint="eastAsia"/>
          <w:color w:val="353535"/>
          <w:kern w:val="0"/>
          <w:szCs w:val="21"/>
        </w:rPr>
        <w:t>了解设施园艺</w:t>
      </w:r>
      <w:bookmarkStart w:id="50" w:name="_Hlk137969707"/>
      <w:r>
        <w:rPr>
          <w:rFonts w:ascii="宋体" w:hAnsi="宋体" w:cstheme="minorEastAsia" w:hint="eastAsia"/>
          <w:color w:val="353535"/>
          <w:kern w:val="0"/>
          <w:szCs w:val="21"/>
        </w:rPr>
        <w:t>的类型和特点</w:t>
      </w:r>
      <w:bookmarkEnd w:id="50"/>
      <w:r>
        <w:rPr>
          <w:rFonts w:ascii="宋体" w:hAnsi="宋体" w:cstheme="minorEastAsia" w:hint="eastAsia"/>
          <w:color w:val="353535"/>
          <w:kern w:val="0"/>
          <w:szCs w:val="21"/>
        </w:rPr>
        <w:t>；了解国外设施农业发展的现状和趋势，了解</w:t>
      </w:r>
      <w:bookmarkStart w:id="51" w:name="_Hlk137969782"/>
      <w:r>
        <w:rPr>
          <w:rFonts w:ascii="宋体" w:hAnsi="宋体" w:cstheme="minorEastAsia" w:hint="eastAsia"/>
          <w:color w:val="353535"/>
          <w:kern w:val="0"/>
          <w:szCs w:val="21"/>
        </w:rPr>
        <w:t>我国设施园艺取得的成就、产业存在的问题与发展趋势</w:t>
      </w:r>
      <w:bookmarkEnd w:id="51"/>
      <w:r>
        <w:rPr>
          <w:rFonts w:ascii="宋体" w:hAnsi="宋体" w:cstheme="minorEastAsia" w:hint="eastAsia"/>
          <w:color w:val="353535"/>
          <w:kern w:val="0"/>
          <w:szCs w:val="21"/>
        </w:rPr>
        <w:t>，</w:t>
      </w:r>
      <w:bookmarkStart w:id="52" w:name="_Hlk137969853"/>
      <w:r>
        <w:rPr>
          <w:rFonts w:ascii="宋体" w:hAnsi="宋体" w:cstheme="minorEastAsia" w:hint="eastAsia"/>
          <w:color w:val="353535"/>
          <w:kern w:val="0"/>
          <w:szCs w:val="21"/>
        </w:rPr>
        <w:t>了解设施园艺科学研究的热点与工程技术需要突破的重点</w:t>
      </w:r>
      <w:bookmarkEnd w:id="52"/>
      <w:r>
        <w:rPr>
          <w:rFonts w:ascii="宋体" w:hAnsi="宋体" w:cstheme="minorEastAsia" w:hint="eastAsia"/>
          <w:color w:val="353535"/>
          <w:kern w:val="0"/>
          <w:szCs w:val="21"/>
        </w:rPr>
        <w:t>。理解发展设施园艺的意义，掌握设施农业、设施园艺、设施产业的概念。</w:t>
      </w:r>
    </w:p>
    <w:p w14:paraId="16F7AC12" w14:textId="77777777" w:rsidR="00F5289E" w:rsidRDefault="00C91173">
      <w:pPr>
        <w:widowControl/>
        <w:spacing w:line="360" w:lineRule="auto"/>
        <w:rPr>
          <w:rFonts w:ascii="宋体" w:hAnsi="宋体" w:cstheme="minorEastAsia"/>
          <w:color w:val="353535"/>
          <w:kern w:val="0"/>
          <w:szCs w:val="21"/>
        </w:rPr>
      </w:pPr>
      <w:r>
        <w:rPr>
          <w:rFonts w:ascii="宋体" w:hAnsi="宋体" w:cstheme="minorEastAsia" w:hint="eastAsia"/>
          <w:b/>
          <w:bCs/>
          <w:color w:val="353535"/>
          <w:kern w:val="0"/>
          <w:szCs w:val="21"/>
        </w:rPr>
        <w:t>教学重点和难点：</w:t>
      </w:r>
      <w:r>
        <w:rPr>
          <w:rFonts w:ascii="宋体" w:hAnsi="宋体" w:cstheme="minorEastAsia" w:hint="eastAsia"/>
          <w:color w:val="353535"/>
          <w:kern w:val="0"/>
          <w:szCs w:val="21"/>
        </w:rPr>
        <w:t>本章重点内容为设施园艺的类型和特点，国外设施农业发展的现状和趋势；我国设施园艺产业存在的问题与发展趋势，我国设施园艺科学研究的热点与工程技术需要突破的重点。</w:t>
      </w:r>
    </w:p>
    <w:p w14:paraId="3690E4F0" w14:textId="77777777" w:rsidR="00F5289E" w:rsidRDefault="00C91173">
      <w:pPr>
        <w:widowControl/>
        <w:spacing w:line="360" w:lineRule="auto"/>
        <w:rPr>
          <w:rFonts w:ascii="宋体" w:hAnsi="宋体" w:cstheme="minorEastAsia"/>
          <w:b/>
          <w:bCs/>
          <w:szCs w:val="21"/>
        </w:rPr>
      </w:pPr>
      <w:r>
        <w:rPr>
          <w:rFonts w:ascii="宋体" w:hAnsi="宋体" w:cstheme="minorEastAsia" w:hint="eastAsia"/>
          <w:b/>
          <w:bCs/>
          <w:szCs w:val="21"/>
        </w:rPr>
        <w:t>主要教学内容及要求：</w:t>
      </w:r>
    </w:p>
    <w:p w14:paraId="6FABA014"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了解传统农业生产的局限性、设施园艺的生产类型和特点；</w:t>
      </w:r>
    </w:p>
    <w:p w14:paraId="262917C1"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了解国外园艺植物温室栽培，无土栽培和植物工厂生产情况；</w:t>
      </w:r>
    </w:p>
    <w:p w14:paraId="1180FD97"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了解世界设施园艺在设施覆盖材料、设施结构、栽培方式、生产手段和园艺植物病虫绿色防控等方面的发展的趋势；</w:t>
      </w:r>
    </w:p>
    <w:p w14:paraId="1C8D3F5B"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了解我国在设施结构、设施园艺栽培技术、设施园艺应用领域取得的成绩；</w:t>
      </w:r>
    </w:p>
    <w:p w14:paraId="71C4540E"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了解我国在设施结构，设施农业生产技术、科学研究、工程技术等方面存在的不足与发展的趋势。</w:t>
      </w:r>
    </w:p>
    <w:p w14:paraId="13D9A0AA"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理解</w:t>
      </w:r>
      <w:bookmarkStart w:id="53" w:name="_Hlk137972582"/>
      <w:r>
        <w:rPr>
          <w:rFonts w:ascii="宋体" w:hAnsi="宋体" w:cstheme="minorEastAsia" w:hint="eastAsia"/>
          <w:color w:val="353535"/>
          <w:kern w:val="0"/>
          <w:szCs w:val="21"/>
        </w:rPr>
        <w:t>发展设施园艺对充分利用农业资源、减轻劳动强度、保障食品安全的意义</w:t>
      </w:r>
      <w:bookmarkEnd w:id="53"/>
      <w:r>
        <w:rPr>
          <w:rFonts w:ascii="宋体" w:hAnsi="宋体" w:cstheme="minorEastAsia" w:hint="eastAsia"/>
          <w:color w:val="353535"/>
          <w:kern w:val="0"/>
          <w:szCs w:val="21"/>
        </w:rPr>
        <w:t>；</w:t>
      </w:r>
    </w:p>
    <w:p w14:paraId="1EF54BBD" w14:textId="77777777" w:rsidR="00F5289E" w:rsidRDefault="00C91173">
      <w:pPr>
        <w:widowControl/>
        <w:spacing w:line="360" w:lineRule="auto"/>
        <w:ind w:firstLine="422"/>
        <w:rPr>
          <w:rFonts w:ascii="宋体" w:hAnsi="宋体" w:cstheme="minorEastAsia"/>
          <w:color w:val="353535"/>
          <w:kern w:val="0"/>
          <w:szCs w:val="21"/>
        </w:rPr>
      </w:pPr>
      <w:r>
        <w:rPr>
          <w:rFonts w:ascii="宋体" w:hAnsi="宋体" w:cstheme="minorEastAsia" w:hint="eastAsia"/>
          <w:color w:val="353535"/>
          <w:kern w:val="0"/>
          <w:szCs w:val="21"/>
        </w:rPr>
        <w:t>掌握设施农业、设施园艺、设施园艺产业的概念。</w:t>
      </w:r>
    </w:p>
    <w:p w14:paraId="43674B0E" w14:textId="77777777" w:rsidR="00F5289E" w:rsidRDefault="00C91173">
      <w:pPr>
        <w:widowControl/>
        <w:spacing w:line="360" w:lineRule="auto"/>
        <w:rPr>
          <w:rFonts w:ascii="宋体" w:hAnsi="宋体"/>
          <w:kern w:val="0"/>
          <w:szCs w:val="21"/>
        </w:rPr>
      </w:pPr>
      <w:r>
        <w:rPr>
          <w:rFonts w:ascii="宋体" w:hAnsi="宋体" w:cstheme="minorEastAsia" w:hint="eastAsia"/>
          <w:b/>
          <w:bCs/>
          <w:szCs w:val="21"/>
        </w:rPr>
        <w:t>教学组织与实施：</w:t>
      </w:r>
      <w:r>
        <w:rPr>
          <w:rFonts w:ascii="宋体" w:hAnsi="宋体" w:hint="eastAsia"/>
          <w:kern w:val="0"/>
          <w:szCs w:val="21"/>
        </w:rPr>
        <w:t>通过</w:t>
      </w:r>
      <w:r>
        <w:rPr>
          <w:rFonts w:ascii="宋体" w:hAnsi="宋体"/>
          <w:kern w:val="0"/>
          <w:szCs w:val="21"/>
        </w:rPr>
        <w:t>在</w:t>
      </w:r>
      <w:r>
        <w:rPr>
          <w:rFonts w:ascii="宋体" w:hAnsi="宋体" w:hint="eastAsia"/>
          <w:kern w:val="0"/>
          <w:szCs w:val="21"/>
        </w:rPr>
        <w:t>超星</w:t>
      </w:r>
      <w:r>
        <w:rPr>
          <w:rFonts w:ascii="宋体" w:hAnsi="宋体"/>
          <w:kern w:val="0"/>
          <w:szCs w:val="21"/>
        </w:rPr>
        <w:t>学习通平台</w:t>
      </w:r>
      <w:r>
        <w:rPr>
          <w:rFonts w:ascii="宋体" w:hAnsi="宋体" w:hint="eastAsia"/>
          <w:kern w:val="0"/>
          <w:szCs w:val="21"/>
        </w:rPr>
        <w:t>上传视频</w:t>
      </w:r>
      <w:r>
        <w:rPr>
          <w:rFonts w:ascii="宋体" w:hAnsi="宋体"/>
          <w:kern w:val="0"/>
          <w:szCs w:val="21"/>
        </w:rPr>
        <w:t>资源、</w:t>
      </w:r>
      <w:r>
        <w:rPr>
          <w:rFonts w:ascii="宋体" w:hAnsi="宋体" w:hint="eastAsia"/>
          <w:kern w:val="0"/>
          <w:szCs w:val="21"/>
        </w:rPr>
        <w:t>PPT、</w:t>
      </w:r>
      <w:r>
        <w:rPr>
          <w:rFonts w:ascii="宋体" w:hAnsi="宋体"/>
          <w:kern w:val="0"/>
          <w:szCs w:val="21"/>
        </w:rPr>
        <w:t>讲义、在线测试题、作业等，</w:t>
      </w:r>
      <w:r>
        <w:rPr>
          <w:rFonts w:ascii="宋体" w:hAnsi="宋体" w:hint="eastAsia"/>
          <w:kern w:val="0"/>
          <w:szCs w:val="21"/>
        </w:rPr>
        <w:t>以任务</w:t>
      </w:r>
      <w:r>
        <w:rPr>
          <w:rFonts w:ascii="宋体" w:hAnsi="宋体"/>
          <w:kern w:val="0"/>
          <w:szCs w:val="21"/>
        </w:rPr>
        <w:t>驱动的</w:t>
      </w:r>
      <w:r>
        <w:rPr>
          <w:rFonts w:ascii="宋体" w:hAnsi="宋体" w:hint="eastAsia"/>
          <w:kern w:val="0"/>
          <w:szCs w:val="21"/>
        </w:rPr>
        <w:t>教学方法，</w:t>
      </w:r>
      <w:r>
        <w:rPr>
          <w:rFonts w:ascii="宋体" w:hAnsi="宋体" w:cstheme="minorEastAsia" w:hint="eastAsia"/>
          <w:szCs w:val="21"/>
        </w:rPr>
        <w:t>帮助同学们了解基本概念和基本知识；</w:t>
      </w:r>
      <w:r>
        <w:rPr>
          <w:rFonts w:ascii="宋体" w:hAnsi="宋体" w:cstheme="minorEastAsia" w:hint="eastAsia"/>
          <w:color w:val="353535"/>
          <w:kern w:val="0"/>
          <w:szCs w:val="21"/>
        </w:rPr>
        <w:t>以课堂讲授结合案例分析，对重点和难点知识进行讲述。</w:t>
      </w:r>
      <w:r>
        <w:rPr>
          <w:rFonts w:ascii="宋体" w:hAnsi="宋体" w:hint="eastAsia"/>
          <w:kern w:val="0"/>
          <w:szCs w:val="21"/>
        </w:rPr>
        <w:t>通过</w:t>
      </w:r>
      <w:r>
        <w:rPr>
          <w:rFonts w:ascii="宋体" w:hAnsi="宋体"/>
          <w:kern w:val="0"/>
          <w:szCs w:val="21"/>
        </w:rPr>
        <w:t>学习通平台大数据</w:t>
      </w:r>
      <w:r>
        <w:rPr>
          <w:rFonts w:ascii="宋体" w:hAnsi="宋体" w:hint="eastAsia"/>
          <w:kern w:val="0"/>
          <w:szCs w:val="21"/>
        </w:rPr>
        <w:t>统计</w:t>
      </w:r>
      <w:r>
        <w:rPr>
          <w:rFonts w:ascii="宋体" w:hAnsi="宋体"/>
          <w:kern w:val="0"/>
          <w:szCs w:val="21"/>
        </w:rPr>
        <w:t>结果，及时</w:t>
      </w:r>
      <w:r>
        <w:rPr>
          <w:rFonts w:ascii="宋体" w:hAnsi="宋体" w:hint="eastAsia"/>
          <w:kern w:val="0"/>
          <w:szCs w:val="21"/>
        </w:rPr>
        <w:t>反馈</w:t>
      </w:r>
      <w:r>
        <w:rPr>
          <w:rFonts w:ascii="宋体" w:hAnsi="宋体"/>
          <w:kern w:val="0"/>
          <w:szCs w:val="21"/>
        </w:rPr>
        <w:t>每位同学对</w:t>
      </w:r>
      <w:r>
        <w:rPr>
          <w:rFonts w:ascii="宋体" w:hAnsi="宋体" w:hint="eastAsia"/>
          <w:kern w:val="0"/>
          <w:szCs w:val="21"/>
        </w:rPr>
        <w:t>知识点</w:t>
      </w:r>
      <w:r>
        <w:rPr>
          <w:rFonts w:ascii="宋体" w:hAnsi="宋体"/>
          <w:kern w:val="0"/>
          <w:szCs w:val="21"/>
        </w:rPr>
        <w:t>的理解和掌握情况，</w:t>
      </w:r>
      <w:r>
        <w:rPr>
          <w:rFonts w:ascii="宋体" w:hAnsi="宋体" w:hint="eastAsia"/>
          <w:kern w:val="0"/>
          <w:szCs w:val="21"/>
        </w:rPr>
        <w:t>进一步</w:t>
      </w:r>
      <w:r>
        <w:rPr>
          <w:rFonts w:ascii="宋体" w:hAnsi="宋体"/>
          <w:kern w:val="0"/>
          <w:szCs w:val="21"/>
        </w:rPr>
        <w:t>提高教</w:t>
      </w:r>
      <w:r>
        <w:rPr>
          <w:rFonts w:ascii="宋体" w:hAnsi="宋体" w:hint="eastAsia"/>
          <w:kern w:val="0"/>
          <w:szCs w:val="21"/>
        </w:rPr>
        <w:t>与</w:t>
      </w:r>
      <w:r>
        <w:rPr>
          <w:rFonts w:ascii="宋体" w:hAnsi="宋体"/>
          <w:kern w:val="0"/>
          <w:szCs w:val="21"/>
        </w:rPr>
        <w:t>学</w:t>
      </w:r>
      <w:r>
        <w:rPr>
          <w:rFonts w:ascii="宋体" w:hAnsi="宋体" w:hint="eastAsia"/>
          <w:kern w:val="0"/>
          <w:szCs w:val="21"/>
        </w:rPr>
        <w:t>的</w:t>
      </w:r>
      <w:r>
        <w:rPr>
          <w:rFonts w:ascii="宋体" w:hAnsi="宋体"/>
          <w:kern w:val="0"/>
          <w:szCs w:val="21"/>
        </w:rPr>
        <w:t>效果</w:t>
      </w:r>
      <w:r>
        <w:rPr>
          <w:rFonts w:ascii="宋体" w:hAnsi="宋体" w:hint="eastAsia"/>
          <w:kern w:val="0"/>
          <w:szCs w:val="21"/>
        </w:rPr>
        <w:t>。</w:t>
      </w:r>
    </w:p>
    <w:p w14:paraId="6CB7372B" w14:textId="77777777" w:rsidR="00F5289E" w:rsidRDefault="00F5289E">
      <w:pPr>
        <w:widowControl/>
        <w:snapToGrid w:val="0"/>
        <w:spacing w:line="360" w:lineRule="auto"/>
        <w:jc w:val="left"/>
        <w:rPr>
          <w:rFonts w:hAnsi="宋体"/>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315502A" w14:textId="77777777">
        <w:trPr>
          <w:trHeight w:val="270"/>
        </w:trPr>
        <w:tc>
          <w:tcPr>
            <w:tcW w:w="2965" w:type="dxa"/>
            <w:tcBorders>
              <w:top w:val="nil"/>
              <w:left w:val="nil"/>
              <w:bottom w:val="nil"/>
              <w:right w:val="nil"/>
            </w:tcBorders>
            <w:vAlign w:val="center"/>
          </w:tcPr>
          <w:p w14:paraId="4BCC59B7"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99AAD4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color w:val="000000" w:themeColor="text1"/>
                <w:szCs w:val="21"/>
              </w:rPr>
              <w:t>茶之源流</w:t>
            </w:r>
          </w:p>
        </w:tc>
        <w:tc>
          <w:tcPr>
            <w:tcW w:w="2966" w:type="dxa"/>
            <w:tcBorders>
              <w:top w:val="nil"/>
              <w:left w:val="nil"/>
              <w:bottom w:val="nil"/>
              <w:right w:val="nil"/>
            </w:tcBorders>
            <w:vAlign w:val="center"/>
          </w:tcPr>
          <w:p w14:paraId="3DF74B6C"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73B1449B"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茶学专业简介</w:t>
      </w:r>
    </w:p>
    <w:p w14:paraId="72A1D6FB"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rPr>
        <w:t>教学目标：</w:t>
      </w:r>
      <w:r>
        <w:rPr>
          <w:rFonts w:hAnsi="宋体" w:hint="eastAsia"/>
          <w:kern w:val="0"/>
          <w:szCs w:val="21"/>
        </w:rPr>
        <w:t>让学生全面了解茶学专业学习和研究范畴</w:t>
      </w:r>
      <w:r>
        <w:rPr>
          <w:rFonts w:ascii="宋体" w:hAnsi="宋体" w:hint="eastAsia"/>
          <w:color w:val="000000" w:themeColor="text1"/>
          <w:szCs w:val="20"/>
        </w:rPr>
        <w:t>，培养学生的三农情怀和人文素养。</w:t>
      </w:r>
    </w:p>
    <w:p w14:paraId="45C151F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教学重点和难点：重点：</w:t>
      </w:r>
      <w:r>
        <w:rPr>
          <w:rFonts w:hAnsi="宋体" w:hint="eastAsia"/>
          <w:kern w:val="0"/>
          <w:szCs w:val="21"/>
        </w:rPr>
        <w:t>茶学专业的主要课程。</w:t>
      </w:r>
    </w:p>
    <w:p w14:paraId="24718702"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hint="eastAsia"/>
        </w:rPr>
        <w:t>茶学专业的学习内容和研究范畴。</w:t>
      </w:r>
    </w:p>
    <w:p w14:paraId="32552641" w14:textId="77777777" w:rsidR="00F5289E" w:rsidRDefault="00C91173">
      <w:pPr>
        <w:pStyle w:val="a7"/>
        <w:snapToGrid w:val="0"/>
        <w:spacing w:line="360" w:lineRule="auto"/>
        <w:rPr>
          <w:rFonts w:ascii="宋体" w:hAnsi="宋体"/>
        </w:rPr>
      </w:pPr>
      <w:r>
        <w:rPr>
          <w:rFonts w:ascii="宋体" w:hAnsi="宋体" w:hint="eastAsia"/>
        </w:rPr>
        <w:t>了解：茶学专业的学习内容和研究范畴。</w:t>
      </w:r>
    </w:p>
    <w:p w14:paraId="07A94CE1" w14:textId="77777777" w:rsidR="00F5289E" w:rsidRDefault="00C91173">
      <w:pPr>
        <w:widowControl/>
        <w:snapToGrid w:val="0"/>
        <w:spacing w:line="360" w:lineRule="auto"/>
        <w:rPr>
          <w:rFonts w:ascii="宋体" w:hAnsi="宋体"/>
          <w:szCs w:val="20"/>
        </w:rPr>
      </w:pPr>
      <w:r>
        <w:rPr>
          <w:rFonts w:ascii="宋体" w:hAnsi="宋体" w:hint="eastAsia"/>
          <w:b/>
          <w:bCs/>
        </w:rPr>
        <w:t>教学组织与实施：</w:t>
      </w:r>
      <w:r>
        <w:rPr>
          <w:rFonts w:ascii="宋体" w:hAnsi="宋体" w:hint="eastAsia"/>
          <w:szCs w:val="20"/>
        </w:rPr>
        <w:t>教师讲解为主，辅助以教学视频，并随时与学生开展互动让学生加深对茶学专业的兴趣。</w:t>
      </w:r>
    </w:p>
    <w:p w14:paraId="04F70F3C" w14:textId="77777777" w:rsidR="00F5289E" w:rsidRDefault="00C91173">
      <w:pPr>
        <w:snapToGrid w:val="0"/>
        <w:spacing w:line="360" w:lineRule="auto"/>
        <w:rPr>
          <w:rFonts w:ascii="宋体" w:hAnsi="宋体"/>
          <w:b/>
          <w:bCs/>
        </w:rPr>
      </w:pPr>
      <w:r>
        <w:rPr>
          <w:rFonts w:ascii="宋体" w:hAnsi="宋体"/>
          <w:b/>
          <w:bCs/>
        </w:rPr>
        <w:lastRenderedPageBreak/>
        <w:t>第</w:t>
      </w:r>
      <w:r>
        <w:rPr>
          <w:rFonts w:ascii="宋体" w:hAnsi="宋体" w:hint="eastAsia"/>
          <w:b/>
          <w:bCs/>
        </w:rPr>
        <w:t>二</w:t>
      </w:r>
      <w:r>
        <w:rPr>
          <w:rFonts w:ascii="宋体" w:hAnsi="宋体"/>
          <w:b/>
          <w:bCs/>
        </w:rPr>
        <w:t>节</w:t>
      </w:r>
      <w:r>
        <w:rPr>
          <w:rFonts w:ascii="宋体" w:hAnsi="宋体" w:hint="eastAsia"/>
          <w:b/>
          <w:bCs/>
        </w:rPr>
        <w:t xml:space="preserve">  茶叶简史</w:t>
      </w:r>
    </w:p>
    <w:p w14:paraId="15102CD1"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hAnsi="宋体" w:hint="eastAsia"/>
          <w:kern w:val="0"/>
          <w:szCs w:val="21"/>
        </w:rPr>
        <w:t>让学生了解世界茶叶的起源与发展。</w:t>
      </w:r>
    </w:p>
    <w:p w14:paraId="2894145C"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教学重点和难点：重点：</w:t>
      </w:r>
      <w:r>
        <w:rPr>
          <w:rFonts w:hAnsi="宋体" w:hint="eastAsia"/>
          <w:kern w:val="0"/>
          <w:szCs w:val="21"/>
        </w:rPr>
        <w:t>世界茶叶的起源与发展。</w:t>
      </w:r>
    </w:p>
    <w:p w14:paraId="53DDDD5F"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hAnsi="宋体" w:hint="eastAsia"/>
          <w:kern w:val="0"/>
          <w:szCs w:val="21"/>
        </w:rPr>
        <w:t>世界茶叶的起源与发展</w:t>
      </w:r>
      <w:r>
        <w:rPr>
          <w:rFonts w:ascii="宋体" w:hAnsi="宋体" w:hint="eastAsia"/>
        </w:rPr>
        <w:t>。</w:t>
      </w:r>
    </w:p>
    <w:p w14:paraId="01825816" w14:textId="77777777" w:rsidR="00F5289E" w:rsidRDefault="00C91173">
      <w:pPr>
        <w:pStyle w:val="a7"/>
        <w:snapToGrid w:val="0"/>
        <w:spacing w:line="360" w:lineRule="auto"/>
        <w:rPr>
          <w:rFonts w:ascii="宋体" w:hAnsi="宋体"/>
        </w:rPr>
      </w:pPr>
      <w:r>
        <w:rPr>
          <w:rFonts w:ascii="宋体" w:hAnsi="宋体" w:hint="eastAsia"/>
        </w:rPr>
        <w:t>了解：</w:t>
      </w:r>
      <w:r>
        <w:rPr>
          <w:rFonts w:hAnsi="宋体" w:hint="eastAsia"/>
          <w:kern w:val="0"/>
          <w:szCs w:val="21"/>
        </w:rPr>
        <w:t>世界茶叶的起源与发展</w:t>
      </w:r>
      <w:r>
        <w:rPr>
          <w:rFonts w:ascii="宋体" w:hAnsi="宋体" w:hint="eastAsia"/>
        </w:rPr>
        <w:t>。</w:t>
      </w:r>
    </w:p>
    <w:p w14:paraId="0079FDEA"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szCs w:val="20"/>
        </w:rPr>
        <w:t>教师讲解为主，辅助以教学视频，并随时与学生开展互动让学生初步了解中国茶叶影响世界，从而加深对茶学专业的兴趣。</w:t>
      </w:r>
    </w:p>
    <w:p w14:paraId="630EBD25"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三</w:t>
      </w:r>
      <w:r>
        <w:rPr>
          <w:rFonts w:ascii="宋体" w:hAnsi="宋体"/>
          <w:b/>
          <w:bCs/>
        </w:rPr>
        <w:t>节</w:t>
      </w:r>
      <w:r>
        <w:rPr>
          <w:rFonts w:ascii="宋体" w:hAnsi="宋体" w:hint="eastAsia"/>
          <w:b/>
          <w:bCs/>
        </w:rPr>
        <w:t xml:space="preserve">  茶叶文化</w:t>
      </w:r>
    </w:p>
    <w:p w14:paraId="477B1030"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hAnsi="宋体" w:hint="eastAsia"/>
          <w:kern w:val="0"/>
          <w:szCs w:val="21"/>
        </w:rPr>
        <w:t>让学生全面了解茶文化的范畴。</w:t>
      </w:r>
    </w:p>
    <w:p w14:paraId="5728E790"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教学重点和难点：重点：</w:t>
      </w:r>
      <w:r>
        <w:rPr>
          <w:rFonts w:hAnsi="宋体" w:hint="eastAsia"/>
          <w:kern w:val="0"/>
          <w:szCs w:val="21"/>
        </w:rPr>
        <w:t>茶文化的范畴。</w:t>
      </w:r>
    </w:p>
    <w:p w14:paraId="57486F41"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hAnsi="宋体" w:hint="eastAsia"/>
          <w:kern w:val="0"/>
          <w:szCs w:val="21"/>
        </w:rPr>
        <w:t>茶文化的范畴。</w:t>
      </w:r>
    </w:p>
    <w:p w14:paraId="10E0F8B1" w14:textId="77777777" w:rsidR="00F5289E" w:rsidRDefault="00C91173">
      <w:pPr>
        <w:pStyle w:val="a7"/>
        <w:snapToGrid w:val="0"/>
        <w:spacing w:line="360" w:lineRule="auto"/>
        <w:rPr>
          <w:rFonts w:ascii="宋体" w:hAnsi="宋体"/>
        </w:rPr>
      </w:pPr>
      <w:r>
        <w:rPr>
          <w:rFonts w:ascii="宋体" w:hAnsi="宋体" w:hint="eastAsia"/>
        </w:rPr>
        <w:t>了解：</w:t>
      </w:r>
      <w:r>
        <w:rPr>
          <w:rFonts w:hAnsi="宋体" w:hint="eastAsia"/>
          <w:kern w:val="0"/>
          <w:szCs w:val="21"/>
        </w:rPr>
        <w:t>茶文化的范畴</w:t>
      </w:r>
      <w:r>
        <w:rPr>
          <w:rFonts w:ascii="宋体" w:hAnsi="宋体" w:hint="eastAsia"/>
        </w:rPr>
        <w:t>。</w:t>
      </w:r>
    </w:p>
    <w:p w14:paraId="21B15D3E"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szCs w:val="20"/>
        </w:rPr>
        <w:t>教师讲解为主，辅助以教学视频，并随时与学生开展互动让学生初步了解中国茶文化，从而加深对茶学专业的兴趣。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47FDA9F" w14:textId="77777777">
        <w:trPr>
          <w:trHeight w:val="270"/>
        </w:trPr>
        <w:tc>
          <w:tcPr>
            <w:tcW w:w="2965" w:type="dxa"/>
            <w:tcBorders>
              <w:top w:val="nil"/>
              <w:left w:val="nil"/>
              <w:bottom w:val="nil"/>
              <w:right w:val="nil"/>
            </w:tcBorders>
            <w:vAlign w:val="center"/>
          </w:tcPr>
          <w:p w14:paraId="2C52DD2E"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1FBF665"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color w:val="000000" w:themeColor="text1"/>
                <w:szCs w:val="21"/>
              </w:rPr>
              <w:t>我国蔬菜产业现状及发展方向</w:t>
            </w:r>
          </w:p>
        </w:tc>
        <w:tc>
          <w:tcPr>
            <w:tcW w:w="2966" w:type="dxa"/>
            <w:tcBorders>
              <w:top w:val="nil"/>
              <w:left w:val="nil"/>
              <w:bottom w:val="nil"/>
              <w:right w:val="nil"/>
            </w:tcBorders>
            <w:vAlign w:val="center"/>
          </w:tcPr>
          <w:p w14:paraId="3A283B8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27F2E1ED" w14:textId="77777777" w:rsidR="00F5289E" w:rsidRDefault="00C91173">
      <w:pPr>
        <w:snapToGrid w:val="0"/>
        <w:spacing w:line="360" w:lineRule="auto"/>
        <w:rPr>
          <w:rFonts w:hAnsi="宋体"/>
          <w:kern w:val="0"/>
          <w:szCs w:val="21"/>
        </w:rPr>
      </w:pPr>
      <w:r>
        <w:rPr>
          <w:rFonts w:ascii="宋体" w:hAnsi="宋体" w:hint="eastAsia"/>
          <w:b/>
          <w:bCs/>
        </w:rPr>
        <w:t>教学目标：</w:t>
      </w:r>
      <w:r>
        <w:rPr>
          <w:kern w:val="0"/>
          <w:szCs w:val="21"/>
        </w:rPr>
        <w:t xml:space="preserve"> </w:t>
      </w:r>
      <w:r>
        <w:rPr>
          <w:rFonts w:hint="eastAsia"/>
          <w:kern w:val="0"/>
          <w:szCs w:val="21"/>
        </w:rPr>
        <w:t>蔬菜产业是农业中的重要组成部分。本章从世界、国内、河南三个层面介绍蔬菜出产业的发展现状，让学生初步了解蔬菜产业在农业和国民经济中的重要地位，激发学习兴趣，树立专业信心，培育学农爱农情怀。</w:t>
      </w:r>
    </w:p>
    <w:p w14:paraId="2BD2049C" w14:textId="77777777" w:rsidR="00F5289E" w:rsidRDefault="00C91173">
      <w:pPr>
        <w:snapToGrid w:val="0"/>
        <w:spacing w:line="360" w:lineRule="auto"/>
        <w:rPr>
          <w:rFonts w:hAnsi="宋体"/>
          <w:kern w:val="0"/>
          <w:szCs w:val="21"/>
          <w:highlight w:val="yellow"/>
        </w:rPr>
      </w:pPr>
      <w:r>
        <w:rPr>
          <w:rFonts w:ascii="宋体" w:hAnsi="宋体" w:hint="eastAsia"/>
          <w:b/>
          <w:bCs/>
        </w:rPr>
        <w:t>教学重点和难点：</w:t>
      </w:r>
      <w:r>
        <w:rPr>
          <w:rFonts w:ascii="宋体" w:hAnsi="宋体" w:cs="宋体" w:hint="eastAsia"/>
          <w:kern w:val="0"/>
          <w:szCs w:val="21"/>
        </w:rPr>
        <w:t>重点在于理解国内蔬菜生产区域、生产方式和产业现状，难点在于分析发现国内蔬菜产业不同环节的问题和堵点，分析其背后的科学问题和专业问题，利用专业知识提出解决这些问题的途径和方法</w:t>
      </w:r>
      <w:r>
        <w:rPr>
          <w:rFonts w:hAnsi="宋体" w:hint="eastAsia"/>
          <w:kern w:val="0"/>
          <w:szCs w:val="21"/>
        </w:rPr>
        <w:t>。</w:t>
      </w:r>
    </w:p>
    <w:p w14:paraId="3307A166" w14:textId="77777777" w:rsidR="00F5289E" w:rsidRDefault="00C91173">
      <w:pPr>
        <w:snapToGrid w:val="0"/>
        <w:spacing w:line="360" w:lineRule="auto"/>
        <w:rPr>
          <w:rFonts w:ascii="宋体" w:hAnsi="宋体"/>
          <w:b/>
          <w:bCs/>
        </w:rPr>
      </w:pPr>
      <w:r>
        <w:rPr>
          <w:rFonts w:ascii="宋体" w:hAnsi="宋体" w:hint="eastAsia"/>
          <w:b/>
          <w:bCs/>
        </w:rPr>
        <w:t>主要教学内容及要求：</w:t>
      </w:r>
    </w:p>
    <w:p w14:paraId="46C79FE5" w14:textId="77777777" w:rsidR="00F5289E" w:rsidRDefault="00C91173">
      <w:pPr>
        <w:widowControl/>
        <w:snapToGrid w:val="0"/>
        <w:spacing w:line="360" w:lineRule="auto"/>
        <w:ind w:firstLineChars="200" w:firstLine="420"/>
        <w:rPr>
          <w:kern w:val="0"/>
          <w:szCs w:val="21"/>
        </w:rPr>
      </w:pPr>
      <w:r>
        <w:rPr>
          <w:rFonts w:hint="eastAsia"/>
          <w:kern w:val="0"/>
          <w:szCs w:val="21"/>
        </w:rPr>
        <w:t>本章主要介绍我国蔬菜产业的规模、生产区域和基本特点，河南省蔬菜生产设施和技术进步和面临的发展瓶颈。</w:t>
      </w:r>
    </w:p>
    <w:p w14:paraId="734DE5DC"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国内蔬菜产业的生产布局和生产特点，理解蔬菜产业在农业生产中的作用和地位，以及蔬菜发展面临的问题，掌握现阶段蔬菜生产的基本方式和生产技术，熟练掌握园艺设施、栽培技术和新优品种在蔬菜生产中的重要意义。</w:t>
      </w:r>
    </w:p>
    <w:p w14:paraId="0E7828AE" w14:textId="77777777" w:rsidR="00F5289E" w:rsidRDefault="00C91173">
      <w:pPr>
        <w:snapToGrid w:val="0"/>
        <w:spacing w:line="360" w:lineRule="auto"/>
        <w:rPr>
          <w:kern w:val="0"/>
          <w:szCs w:val="21"/>
        </w:rPr>
      </w:pPr>
      <w:r>
        <w:rPr>
          <w:rFonts w:ascii="宋体" w:hAnsi="宋体" w:hint="eastAsia"/>
          <w:b/>
          <w:bCs/>
        </w:rPr>
        <w:t>教学组织与实施：</w:t>
      </w:r>
      <w:r>
        <w:rPr>
          <w:rFonts w:hAnsi="宋体" w:hint="eastAsia"/>
          <w:kern w:val="0"/>
          <w:szCs w:val="21"/>
        </w:rPr>
        <w:t>本章力求让学生全面了解国内外蔬菜产业的现状及问题。</w:t>
      </w:r>
      <w:r>
        <w:rPr>
          <w:rFonts w:ascii="宋体" w:hAnsi="宋体" w:hint="eastAsia"/>
        </w:rPr>
        <w:t>课程教学过程中，教师积极了解当前蔬菜产业中出现的新技术、新品种和新业态，分析栽培、设施、育种等专业知识在这</w:t>
      </w:r>
      <w:r>
        <w:rPr>
          <w:rFonts w:hint="eastAsia"/>
          <w:kern w:val="0"/>
          <w:szCs w:val="21"/>
        </w:rPr>
        <w:t>些实例中的作用，收集并展示相关的</w:t>
      </w:r>
      <w:r>
        <w:rPr>
          <w:rFonts w:ascii="宋体" w:hAnsi="宋体" w:hint="eastAsia"/>
        </w:rPr>
        <w:t>图片和数据，让授课内容更加丰富，从而</w:t>
      </w:r>
      <w:r>
        <w:rPr>
          <w:rFonts w:hint="eastAsia"/>
          <w:kern w:val="0"/>
          <w:szCs w:val="21"/>
        </w:rPr>
        <w:t>激发学生兴趣。本章未有教材，教师力求收集最新的数据资料，授课过程要与专业知识相结合，启发学生从专业知识中寻找答案，解决问题，增强对专业知识的运用能力。授课过程中，采取</w:t>
      </w:r>
      <w:r>
        <w:rPr>
          <w:rFonts w:hint="eastAsia"/>
          <w:kern w:val="0"/>
          <w:szCs w:val="21"/>
        </w:rPr>
        <w:t xml:space="preserve"> </w:t>
      </w:r>
      <w:r>
        <w:rPr>
          <w:rFonts w:hint="eastAsia"/>
          <w:kern w:val="0"/>
          <w:szCs w:val="21"/>
        </w:rPr>
        <w:t>“问”“答”“教”的方式，力求让更多的学生参与讨论，加深对问题的理解，增加对专业的认同感。</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88105CF" w14:textId="77777777">
        <w:trPr>
          <w:trHeight w:val="270"/>
        </w:trPr>
        <w:tc>
          <w:tcPr>
            <w:tcW w:w="2965" w:type="dxa"/>
            <w:tcBorders>
              <w:top w:val="nil"/>
              <w:left w:val="nil"/>
              <w:bottom w:val="nil"/>
              <w:right w:val="nil"/>
            </w:tcBorders>
            <w:vAlign w:val="center"/>
          </w:tcPr>
          <w:p w14:paraId="32BD4326"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1C5DB87"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color w:val="000000" w:themeColor="text1"/>
                <w:szCs w:val="21"/>
              </w:rPr>
              <w:t>蔬菜基因组与分子育种</w:t>
            </w:r>
          </w:p>
        </w:tc>
        <w:tc>
          <w:tcPr>
            <w:tcW w:w="2966" w:type="dxa"/>
            <w:tcBorders>
              <w:top w:val="nil"/>
              <w:left w:val="nil"/>
              <w:bottom w:val="nil"/>
              <w:right w:val="nil"/>
            </w:tcBorders>
            <w:vAlign w:val="center"/>
          </w:tcPr>
          <w:p w14:paraId="3E8391E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68C8CD8F"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cs="宋体" w:hint="eastAsia"/>
          <w:kern w:val="0"/>
          <w:szCs w:val="21"/>
        </w:rPr>
        <w:t>了解基因组的概念及基因组测序的过程和基本原理；了解当前蔬菜作物基因组测序进展及其应用领域；了解分子育种在蔬菜品种改良中的应用及其发展趋势；理解基因组与分子育种的研究内容。</w:t>
      </w:r>
    </w:p>
    <w:p w14:paraId="7A82CE59" w14:textId="77777777" w:rsidR="00F5289E" w:rsidRDefault="00C91173">
      <w:pPr>
        <w:widowControl/>
        <w:snapToGrid w:val="0"/>
        <w:spacing w:line="360" w:lineRule="auto"/>
        <w:jc w:val="left"/>
        <w:rPr>
          <w:rFonts w:hAnsi="宋体"/>
          <w:color w:val="0000FF"/>
          <w:kern w:val="0"/>
          <w:szCs w:val="21"/>
        </w:rPr>
      </w:pPr>
      <w:r>
        <w:rPr>
          <w:rFonts w:ascii="宋体" w:hAnsi="宋体" w:hint="eastAsia"/>
          <w:b/>
          <w:bCs/>
        </w:rPr>
        <w:t>教学重点和难点：</w:t>
      </w:r>
      <w:r>
        <w:rPr>
          <w:kern w:val="0"/>
          <w:szCs w:val="21"/>
        </w:rPr>
        <w:t>理解</w:t>
      </w:r>
      <w:r>
        <w:rPr>
          <w:rFonts w:hint="eastAsia"/>
          <w:kern w:val="0"/>
          <w:szCs w:val="21"/>
        </w:rPr>
        <w:t>基因组测序的原理及其在分子育种应用中的领域和内容。</w:t>
      </w:r>
    </w:p>
    <w:p w14:paraId="07331FA7" w14:textId="77777777" w:rsidR="00F5289E" w:rsidRDefault="00C91173">
      <w:pPr>
        <w:widowControl/>
        <w:snapToGrid w:val="0"/>
        <w:spacing w:line="360" w:lineRule="auto"/>
        <w:jc w:val="left"/>
        <w:rPr>
          <w:rFonts w:hAnsi="宋体"/>
          <w:color w:val="0000FF"/>
          <w:kern w:val="0"/>
          <w:szCs w:val="21"/>
        </w:rPr>
      </w:pPr>
      <w:r>
        <w:rPr>
          <w:rFonts w:ascii="宋体" w:hAnsi="宋体" w:hint="eastAsia"/>
          <w:b/>
        </w:rPr>
        <w:t>主要教学内容及要求：</w:t>
      </w:r>
    </w:p>
    <w:p w14:paraId="4F51EBC2" w14:textId="77777777" w:rsidR="00F5289E" w:rsidRDefault="00C91173" w:rsidP="00A115EF">
      <w:pPr>
        <w:widowControl/>
        <w:numPr>
          <w:ilvl w:val="0"/>
          <w:numId w:val="6"/>
        </w:numPr>
        <w:adjustRightInd w:val="0"/>
        <w:snapToGrid w:val="0"/>
        <w:spacing w:line="360" w:lineRule="auto"/>
        <w:jc w:val="left"/>
        <w:rPr>
          <w:kern w:val="0"/>
          <w:szCs w:val="21"/>
        </w:rPr>
      </w:pPr>
      <w:r>
        <w:rPr>
          <w:rFonts w:hint="eastAsia"/>
          <w:kern w:val="0"/>
          <w:szCs w:val="21"/>
        </w:rPr>
        <w:t>全基因组测序计划及其测序的原理。</w:t>
      </w:r>
    </w:p>
    <w:p w14:paraId="14CE641F" w14:textId="77777777" w:rsidR="00F5289E" w:rsidRDefault="00C91173" w:rsidP="00A115EF">
      <w:pPr>
        <w:widowControl/>
        <w:numPr>
          <w:ilvl w:val="0"/>
          <w:numId w:val="6"/>
        </w:numPr>
        <w:adjustRightInd w:val="0"/>
        <w:snapToGrid w:val="0"/>
        <w:spacing w:line="360" w:lineRule="auto"/>
        <w:jc w:val="left"/>
        <w:rPr>
          <w:kern w:val="0"/>
          <w:szCs w:val="21"/>
        </w:rPr>
      </w:pPr>
      <w:r>
        <w:rPr>
          <w:rFonts w:hint="eastAsia"/>
          <w:kern w:val="0"/>
          <w:szCs w:val="21"/>
        </w:rPr>
        <w:t>基因组学的研究内容和领域，蔬菜作物基因组测序进展及其研究领域。</w:t>
      </w:r>
    </w:p>
    <w:p w14:paraId="4CE3A94A" w14:textId="77777777" w:rsidR="00F5289E" w:rsidRDefault="00C91173" w:rsidP="00A115EF">
      <w:pPr>
        <w:widowControl/>
        <w:numPr>
          <w:ilvl w:val="0"/>
          <w:numId w:val="6"/>
        </w:numPr>
        <w:adjustRightInd w:val="0"/>
        <w:snapToGrid w:val="0"/>
        <w:spacing w:line="360" w:lineRule="auto"/>
        <w:jc w:val="left"/>
        <w:rPr>
          <w:kern w:val="0"/>
          <w:szCs w:val="21"/>
        </w:rPr>
      </w:pPr>
      <w:r>
        <w:rPr>
          <w:rFonts w:hint="eastAsia"/>
          <w:kern w:val="0"/>
          <w:szCs w:val="21"/>
        </w:rPr>
        <w:t>育种的主要过程及未来生物技术育种的发展方向和趋势。</w:t>
      </w:r>
    </w:p>
    <w:p w14:paraId="54E26648" w14:textId="77777777" w:rsidR="00F5289E" w:rsidRDefault="00C91173">
      <w:pPr>
        <w:pStyle w:val="afd"/>
        <w:widowControl/>
        <w:adjustRightInd w:val="0"/>
        <w:snapToGrid w:val="0"/>
        <w:spacing w:line="360" w:lineRule="auto"/>
        <w:ind w:left="360" w:firstLineChars="0" w:firstLine="0"/>
        <w:rPr>
          <w:b/>
          <w:kern w:val="0"/>
          <w:szCs w:val="21"/>
        </w:rPr>
      </w:pPr>
      <w:r>
        <w:rPr>
          <w:b/>
          <w:kern w:val="0"/>
          <w:szCs w:val="21"/>
        </w:rPr>
        <w:t>要求：</w:t>
      </w:r>
    </w:p>
    <w:p w14:paraId="0C7AAF4D" w14:textId="77777777" w:rsidR="00F5289E" w:rsidRDefault="00C91173">
      <w:pPr>
        <w:widowControl/>
        <w:adjustRightInd w:val="0"/>
        <w:snapToGrid w:val="0"/>
        <w:spacing w:line="360" w:lineRule="auto"/>
        <w:ind w:firstLineChars="200" w:firstLine="420"/>
        <w:jc w:val="left"/>
        <w:rPr>
          <w:kern w:val="0"/>
          <w:szCs w:val="21"/>
        </w:rPr>
      </w:pPr>
      <w:r>
        <w:rPr>
          <w:rFonts w:hint="eastAsia"/>
          <w:kern w:val="0"/>
          <w:szCs w:val="21"/>
        </w:rPr>
        <w:t>了解：全基因组测序计划及其原理；蔬菜作物全基因组测序研究进展；未来生物技术育种的发展趋势。</w:t>
      </w:r>
    </w:p>
    <w:p w14:paraId="59A3D9F7" w14:textId="77777777" w:rsidR="00F5289E" w:rsidRDefault="00C91173">
      <w:pPr>
        <w:pStyle w:val="a7"/>
        <w:tabs>
          <w:tab w:val="clear" w:pos="540"/>
        </w:tabs>
        <w:snapToGrid w:val="0"/>
        <w:spacing w:line="360" w:lineRule="auto"/>
        <w:ind w:left="360" w:firstLineChars="0" w:firstLine="0"/>
        <w:rPr>
          <w:rFonts w:ascii="宋体" w:hAnsi="宋体"/>
        </w:rPr>
      </w:pPr>
      <w:r>
        <w:rPr>
          <w:rFonts w:hint="eastAsia"/>
          <w:kern w:val="0"/>
          <w:szCs w:val="21"/>
        </w:rPr>
        <w:t>理解：基因组</w:t>
      </w:r>
      <w:r>
        <w:rPr>
          <w:kern w:val="0"/>
          <w:szCs w:val="21"/>
        </w:rPr>
        <w:t>学的主要研究内容</w:t>
      </w:r>
    </w:p>
    <w:p w14:paraId="7DEDAD05" w14:textId="77777777" w:rsidR="00F5289E" w:rsidRDefault="00C91173">
      <w:pPr>
        <w:widowControl/>
        <w:snapToGrid w:val="0"/>
        <w:spacing w:line="360" w:lineRule="auto"/>
        <w:jc w:val="left"/>
        <w:rPr>
          <w:kern w:val="0"/>
          <w:szCs w:val="21"/>
        </w:rPr>
      </w:pPr>
      <w:r>
        <w:rPr>
          <w:rFonts w:ascii="宋体" w:hAnsi="宋体" w:hint="eastAsia"/>
          <w:b/>
          <w:bCs/>
        </w:rPr>
        <w:t>教学组织与实施：</w:t>
      </w:r>
      <w:r>
        <w:rPr>
          <w:rFonts w:hint="eastAsia"/>
          <w:kern w:val="0"/>
          <w:szCs w:val="21"/>
        </w:rPr>
        <w:t>以班级授课的形式讲解基因组测序及分子育种发展中的重要事件，并对里程碑式的发现通过小故事或小视频等形式进行重点讲解。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2FD9496" w14:textId="77777777">
        <w:trPr>
          <w:trHeight w:val="270"/>
        </w:trPr>
        <w:tc>
          <w:tcPr>
            <w:tcW w:w="2965" w:type="dxa"/>
            <w:tcBorders>
              <w:top w:val="nil"/>
              <w:left w:val="nil"/>
              <w:bottom w:val="nil"/>
              <w:right w:val="nil"/>
            </w:tcBorders>
            <w:vAlign w:val="center"/>
          </w:tcPr>
          <w:p w14:paraId="2213A648"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6DEEF9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color w:val="000000" w:themeColor="text1"/>
                <w:szCs w:val="21"/>
              </w:rPr>
              <w:t>我国茶产业发展现状及研究新进展</w:t>
            </w:r>
          </w:p>
        </w:tc>
        <w:tc>
          <w:tcPr>
            <w:tcW w:w="2966" w:type="dxa"/>
            <w:tcBorders>
              <w:top w:val="nil"/>
              <w:left w:val="nil"/>
              <w:bottom w:val="nil"/>
              <w:right w:val="nil"/>
            </w:tcBorders>
            <w:vAlign w:val="center"/>
          </w:tcPr>
          <w:p w14:paraId="119A997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053A2719" w14:textId="77777777" w:rsidR="00F5289E" w:rsidRDefault="00C91173">
      <w:pPr>
        <w:snapToGrid w:val="0"/>
        <w:spacing w:line="360" w:lineRule="auto"/>
        <w:rPr>
          <w:rFonts w:hAnsi="宋体"/>
          <w:kern w:val="0"/>
          <w:szCs w:val="21"/>
        </w:rPr>
      </w:pPr>
      <w:r>
        <w:rPr>
          <w:rFonts w:ascii="宋体" w:hAnsi="宋体" w:hint="eastAsia"/>
          <w:b/>
          <w:bCs/>
        </w:rPr>
        <w:t>教学目标：</w:t>
      </w:r>
      <w:r>
        <w:rPr>
          <w:kern w:val="0"/>
          <w:szCs w:val="21"/>
        </w:rPr>
        <w:t xml:space="preserve"> </w:t>
      </w:r>
      <w:r>
        <w:rPr>
          <w:rFonts w:hint="eastAsia"/>
          <w:kern w:val="0"/>
          <w:szCs w:val="21"/>
        </w:rPr>
        <w:t>茶产业是农业中的重要组成部分。本章从世界、国内、河南三个层面介绍茶产业的发展现状，让学生初步了解茶产业在农业和国民经济中的重要地位，激发学习兴趣，树立专业信心，培育学农爱农情怀。</w:t>
      </w:r>
    </w:p>
    <w:p w14:paraId="22FA8D13" w14:textId="77777777" w:rsidR="00F5289E" w:rsidRDefault="00C91173">
      <w:pPr>
        <w:snapToGrid w:val="0"/>
        <w:spacing w:line="360" w:lineRule="auto"/>
        <w:rPr>
          <w:rFonts w:hAnsi="宋体"/>
          <w:kern w:val="0"/>
          <w:szCs w:val="21"/>
          <w:highlight w:val="yellow"/>
        </w:rPr>
      </w:pPr>
      <w:r>
        <w:rPr>
          <w:rFonts w:ascii="宋体" w:hAnsi="宋体" w:hint="eastAsia"/>
          <w:b/>
          <w:bCs/>
        </w:rPr>
        <w:t>教学重点和难点：</w:t>
      </w:r>
      <w:r>
        <w:rPr>
          <w:rFonts w:ascii="宋体" w:hAnsi="宋体" w:cs="宋体" w:hint="eastAsia"/>
          <w:kern w:val="0"/>
          <w:szCs w:val="21"/>
        </w:rPr>
        <w:t>重点在于理解国内茶叶种植区域、加工方式和产业现状，难点在于分析发现国内茶产业不同环节的问题和堵点，分析其背后的科学问题和专业问题，利用专业知识提出解决这些问题的途径和方法</w:t>
      </w:r>
      <w:r>
        <w:rPr>
          <w:rFonts w:hAnsi="宋体" w:hint="eastAsia"/>
          <w:kern w:val="0"/>
          <w:szCs w:val="21"/>
        </w:rPr>
        <w:t>。</w:t>
      </w:r>
    </w:p>
    <w:p w14:paraId="0102E514" w14:textId="77777777" w:rsidR="00F5289E" w:rsidRDefault="00C91173">
      <w:pPr>
        <w:snapToGrid w:val="0"/>
        <w:spacing w:line="360" w:lineRule="auto"/>
        <w:rPr>
          <w:rFonts w:ascii="宋体" w:hAnsi="宋体"/>
          <w:b/>
          <w:bCs/>
        </w:rPr>
      </w:pPr>
      <w:r>
        <w:rPr>
          <w:rFonts w:ascii="宋体" w:hAnsi="宋体" w:hint="eastAsia"/>
          <w:b/>
          <w:bCs/>
        </w:rPr>
        <w:t>主要教学内容及要求：</w:t>
      </w:r>
    </w:p>
    <w:p w14:paraId="671AD534" w14:textId="77777777" w:rsidR="00F5289E" w:rsidRDefault="00C91173">
      <w:pPr>
        <w:widowControl/>
        <w:snapToGrid w:val="0"/>
        <w:spacing w:line="360" w:lineRule="auto"/>
        <w:ind w:firstLineChars="200" w:firstLine="420"/>
        <w:rPr>
          <w:kern w:val="0"/>
          <w:szCs w:val="21"/>
        </w:rPr>
      </w:pPr>
      <w:r>
        <w:rPr>
          <w:rFonts w:hint="eastAsia"/>
          <w:kern w:val="0"/>
          <w:szCs w:val="21"/>
        </w:rPr>
        <w:t>本章主要介绍我国茶产业的规模、生产区域和基本特点，河南省茶产业生产中面临的发展瓶颈。</w:t>
      </w:r>
    </w:p>
    <w:p w14:paraId="0B721ACA"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国内茶产业的生产布局和生产特点，理解茶产业在农业生产中的作用和地位，以及茶产业发展面临的问题，掌握现阶段茶叶生产的基本方式和生产技术，熟练掌握现代生产技术在茶叶生产中的重要意义。</w:t>
      </w:r>
    </w:p>
    <w:p w14:paraId="337A6FBB" w14:textId="77777777" w:rsidR="00F5289E" w:rsidRDefault="00C91173">
      <w:pPr>
        <w:snapToGrid w:val="0"/>
        <w:spacing w:line="360" w:lineRule="auto"/>
        <w:rPr>
          <w:kern w:val="0"/>
          <w:szCs w:val="21"/>
        </w:rPr>
      </w:pPr>
      <w:r>
        <w:rPr>
          <w:rFonts w:ascii="宋体" w:hAnsi="宋体" w:hint="eastAsia"/>
          <w:b/>
          <w:bCs/>
        </w:rPr>
        <w:t>教学组织与实施：</w:t>
      </w:r>
      <w:r>
        <w:rPr>
          <w:rFonts w:hAnsi="宋体" w:hint="eastAsia"/>
          <w:kern w:val="0"/>
          <w:szCs w:val="21"/>
        </w:rPr>
        <w:t>本章力求让学生全面了解国内外茶产业的现状及问题。</w:t>
      </w:r>
      <w:r>
        <w:rPr>
          <w:rFonts w:ascii="宋体" w:hAnsi="宋体" w:hint="eastAsia"/>
        </w:rPr>
        <w:t>课程教学过程中，教师积极了解当前茶菜产业中出现的新技术、新品种和新业态，分析栽培、加工等专业知识在这</w:t>
      </w:r>
      <w:r>
        <w:rPr>
          <w:rFonts w:hint="eastAsia"/>
          <w:kern w:val="0"/>
          <w:szCs w:val="21"/>
        </w:rPr>
        <w:t>些实例中的作用，收集并展示相关的</w:t>
      </w:r>
      <w:r>
        <w:rPr>
          <w:rFonts w:ascii="宋体" w:hAnsi="宋体" w:hint="eastAsia"/>
        </w:rPr>
        <w:t>图片和数据，让授课内容更加丰富，从而</w:t>
      </w:r>
      <w:r>
        <w:rPr>
          <w:rFonts w:hint="eastAsia"/>
          <w:kern w:val="0"/>
          <w:szCs w:val="21"/>
        </w:rPr>
        <w:t>激发学生兴趣。本章未有教材，教师力求收集最新的数据资料，授课过程要与专业知识相结合，启发学生从专业知识中寻找答案，解决问题，增强对专业知识的运用能力。授课过程中，采取</w:t>
      </w:r>
      <w:r>
        <w:rPr>
          <w:rFonts w:hint="eastAsia"/>
          <w:kern w:val="0"/>
          <w:szCs w:val="21"/>
        </w:rPr>
        <w:t xml:space="preserve"> </w:t>
      </w:r>
      <w:r>
        <w:rPr>
          <w:rFonts w:hint="eastAsia"/>
          <w:kern w:val="0"/>
          <w:szCs w:val="21"/>
        </w:rPr>
        <w:t>“问”“答”“教”的方式，力求让</w:t>
      </w:r>
      <w:r>
        <w:rPr>
          <w:rFonts w:hint="eastAsia"/>
          <w:kern w:val="0"/>
          <w:szCs w:val="21"/>
        </w:rPr>
        <w:lastRenderedPageBreak/>
        <w:t>更多的学生参与讨论，加深对问题的理解，增加对专业的认同感。</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0A07F0A" w14:textId="77777777">
        <w:trPr>
          <w:trHeight w:val="270"/>
        </w:trPr>
        <w:tc>
          <w:tcPr>
            <w:tcW w:w="2965" w:type="dxa"/>
            <w:tcBorders>
              <w:top w:val="nil"/>
              <w:left w:val="nil"/>
              <w:bottom w:val="nil"/>
              <w:right w:val="nil"/>
            </w:tcBorders>
            <w:vAlign w:val="center"/>
          </w:tcPr>
          <w:p w14:paraId="7B1D232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7DBC281"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rFonts w:hint="eastAsia"/>
                <w:b/>
                <w:bCs/>
                <w:kern w:val="0"/>
                <w:szCs w:val="21"/>
              </w:rPr>
              <w:t xml:space="preserve">  </w:t>
            </w:r>
            <w:r>
              <w:rPr>
                <w:rFonts w:hint="eastAsia"/>
                <w:b/>
                <w:bCs/>
                <w:kern w:val="0"/>
                <w:szCs w:val="21"/>
              </w:rPr>
              <w:t>果树与美好人生</w:t>
            </w:r>
          </w:p>
        </w:tc>
        <w:tc>
          <w:tcPr>
            <w:tcW w:w="2966" w:type="dxa"/>
            <w:tcBorders>
              <w:top w:val="nil"/>
              <w:left w:val="nil"/>
              <w:bottom w:val="nil"/>
              <w:right w:val="nil"/>
            </w:tcBorders>
            <w:vAlign w:val="center"/>
          </w:tcPr>
          <w:p w14:paraId="34C18F3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28364361"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果树产业发展现状 </w:t>
      </w:r>
      <w:r>
        <w:rPr>
          <w:rFonts w:ascii="宋体" w:hAnsi="宋体"/>
          <w:b/>
          <w:bCs/>
        </w:rPr>
        <w:t xml:space="preserve"> </w:t>
      </w:r>
      <w:r>
        <w:rPr>
          <w:b/>
          <w:bCs/>
        </w:rPr>
        <w:t>0.5</w:t>
      </w:r>
      <w:r>
        <w:rPr>
          <w:b/>
          <w:bCs/>
        </w:rPr>
        <w:t>学时</w:t>
      </w:r>
    </w:p>
    <w:p w14:paraId="44C3A22D"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通过对我国及河南省果树产业发展现状的学习，为后续专业核心课程的学习奠定基础。</w:t>
      </w:r>
    </w:p>
    <w:p w14:paraId="203177B2" w14:textId="77777777" w:rsidR="00F5289E" w:rsidRDefault="00C91173">
      <w:pPr>
        <w:widowControl/>
        <w:snapToGrid w:val="0"/>
        <w:spacing w:line="360" w:lineRule="auto"/>
        <w:rPr>
          <w:rFonts w:hAnsi="宋体"/>
          <w:bCs/>
          <w:kern w:val="0"/>
          <w:szCs w:val="21"/>
        </w:rPr>
      </w:pPr>
      <w:r>
        <w:rPr>
          <w:rFonts w:ascii="宋体" w:hAnsi="宋体" w:hint="eastAsia"/>
          <w:b/>
          <w:bCs/>
        </w:rPr>
        <w:t>教学重点和难点：</w:t>
      </w:r>
      <w:r>
        <w:rPr>
          <w:rFonts w:ascii="宋体" w:hAnsi="宋体" w:hint="eastAsia"/>
          <w:bCs/>
        </w:rPr>
        <w:t>重点介绍我国水果产业发展现状、河南省果树产业发展特点及现状，果树新的栽培技术和模式为难点。</w:t>
      </w:r>
    </w:p>
    <w:p w14:paraId="24C9B3A5"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68FD7B75" w14:textId="77777777" w:rsidR="00F5289E" w:rsidRDefault="00C91173">
      <w:pPr>
        <w:pStyle w:val="a7"/>
        <w:snapToGrid w:val="0"/>
        <w:spacing w:line="360" w:lineRule="auto"/>
        <w:ind w:firstLine="422"/>
        <w:rPr>
          <w:rFonts w:ascii="宋体" w:hAnsi="宋体"/>
        </w:rPr>
      </w:pPr>
      <w:r>
        <w:rPr>
          <w:rFonts w:ascii="宋体" w:hAnsi="宋体" w:hint="eastAsia"/>
          <w:b/>
        </w:rPr>
        <w:t>了解：</w:t>
      </w:r>
      <w:r>
        <w:rPr>
          <w:rFonts w:ascii="宋体" w:hAnsi="宋体" w:hint="eastAsia"/>
        </w:rPr>
        <w:t>我国果树产业和河南省果树产业发展的现状。</w:t>
      </w:r>
    </w:p>
    <w:p w14:paraId="5F763262" w14:textId="77777777" w:rsidR="00F5289E" w:rsidRDefault="00C91173">
      <w:pPr>
        <w:pStyle w:val="a7"/>
        <w:snapToGrid w:val="0"/>
        <w:spacing w:line="360" w:lineRule="auto"/>
        <w:ind w:firstLine="422"/>
        <w:rPr>
          <w:rFonts w:ascii="宋体" w:hAnsi="宋体"/>
        </w:rPr>
      </w:pPr>
      <w:r>
        <w:rPr>
          <w:rFonts w:ascii="宋体" w:hAnsi="宋体" w:hint="eastAsia"/>
          <w:b/>
        </w:rPr>
        <w:t>理解：</w:t>
      </w:r>
      <w:r>
        <w:rPr>
          <w:rFonts w:ascii="宋体" w:hAnsi="宋体" w:hint="eastAsia"/>
        </w:rPr>
        <w:t>果树产业在我国农业经济中的重要作用。</w:t>
      </w:r>
    </w:p>
    <w:p w14:paraId="5477D59B"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课堂讲授方式结合大量图片资料和实例介绍我国果树产业和河南省果树产业发展的现状；引导学生思考果树产业的发展在农业产业中的重要作用，引导学生讨论果树产业发展中所了解的主要品种、栽培技术等</w:t>
      </w:r>
      <w:r>
        <w:rPr>
          <w:rFonts w:ascii="宋体" w:hAnsi="宋体" w:hint="eastAsia"/>
          <w:szCs w:val="20"/>
        </w:rPr>
        <w:t>。</w:t>
      </w:r>
    </w:p>
    <w:p w14:paraId="144A8CC1" w14:textId="77777777" w:rsidR="00F5289E" w:rsidRDefault="00C91173">
      <w:pPr>
        <w:widowControl/>
        <w:snapToGrid w:val="0"/>
        <w:spacing w:line="360" w:lineRule="auto"/>
        <w:jc w:val="left"/>
        <w:rPr>
          <w:rFonts w:hAnsi="宋体"/>
          <w:b/>
          <w:kern w:val="0"/>
          <w:szCs w:val="21"/>
        </w:rPr>
      </w:pPr>
      <w:r>
        <w:rPr>
          <w:rFonts w:hAnsi="宋体"/>
          <w:b/>
          <w:kern w:val="0"/>
          <w:szCs w:val="21"/>
        </w:rPr>
        <w:t>第</w:t>
      </w:r>
      <w:r>
        <w:rPr>
          <w:rFonts w:hAnsi="宋体" w:hint="eastAsia"/>
          <w:b/>
          <w:kern w:val="0"/>
          <w:szCs w:val="21"/>
        </w:rPr>
        <w:t>二</w:t>
      </w:r>
      <w:r>
        <w:rPr>
          <w:rFonts w:hAnsi="宋体"/>
          <w:b/>
          <w:kern w:val="0"/>
          <w:szCs w:val="21"/>
        </w:rPr>
        <w:t>节</w:t>
      </w:r>
      <w:r>
        <w:rPr>
          <w:rFonts w:hAnsi="宋体" w:hint="eastAsia"/>
          <w:b/>
          <w:kern w:val="0"/>
          <w:szCs w:val="21"/>
        </w:rPr>
        <w:t xml:space="preserve">  </w:t>
      </w:r>
      <w:r>
        <w:rPr>
          <w:rFonts w:hAnsi="宋体" w:hint="eastAsia"/>
          <w:b/>
          <w:kern w:val="0"/>
          <w:szCs w:val="21"/>
        </w:rPr>
        <w:t>果树与美好人生</w:t>
      </w:r>
      <w:r>
        <w:rPr>
          <w:b/>
          <w:kern w:val="0"/>
          <w:szCs w:val="21"/>
        </w:rPr>
        <w:t>    1.5</w:t>
      </w:r>
      <w:r>
        <w:rPr>
          <w:rFonts w:hAnsi="宋体"/>
          <w:b/>
          <w:kern w:val="0"/>
          <w:szCs w:val="21"/>
        </w:rPr>
        <w:t>学时</w:t>
      </w:r>
    </w:p>
    <w:p w14:paraId="0B067BBE"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通过对我国果树界两位院士—束怀瑞院士和邓秀新院士的人生经历、科研和育人成果的学习，树牢专业思想，确立人生目标。</w:t>
      </w:r>
    </w:p>
    <w:p w14:paraId="12C5E146" w14:textId="77777777" w:rsidR="00F5289E" w:rsidRDefault="00C91173">
      <w:pPr>
        <w:widowControl/>
        <w:snapToGrid w:val="0"/>
        <w:spacing w:line="360" w:lineRule="auto"/>
        <w:rPr>
          <w:rFonts w:hAnsi="宋体"/>
          <w:bCs/>
          <w:kern w:val="0"/>
          <w:szCs w:val="21"/>
        </w:rPr>
      </w:pPr>
      <w:r>
        <w:rPr>
          <w:rFonts w:ascii="宋体" w:hAnsi="宋体" w:hint="eastAsia"/>
          <w:b/>
          <w:bCs/>
        </w:rPr>
        <w:t>教学重点和难点：</w:t>
      </w:r>
      <w:r>
        <w:rPr>
          <w:rFonts w:ascii="宋体" w:hAnsi="宋体" w:hint="eastAsia"/>
          <w:bCs/>
        </w:rPr>
        <w:t>重点介绍束怀瑞院士和邓秀新院士在各自的研究领域（苹果和柑橘）取得的科研和育人成果，学生从中领悟美好人生的真谛是难点。</w:t>
      </w:r>
    </w:p>
    <w:p w14:paraId="4C5FE537"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15E93DF5" w14:textId="77777777" w:rsidR="00F5289E" w:rsidRDefault="00C91173">
      <w:pPr>
        <w:pStyle w:val="a7"/>
        <w:snapToGrid w:val="0"/>
        <w:spacing w:line="360" w:lineRule="auto"/>
        <w:rPr>
          <w:rFonts w:ascii="宋体" w:hAnsi="宋体"/>
        </w:rPr>
      </w:pPr>
      <w:r>
        <w:rPr>
          <w:rFonts w:ascii="宋体" w:hAnsi="宋体" w:hint="eastAsia"/>
        </w:rPr>
        <w:t>了解：束怀瑞院士在苹果栽培和育种中所取得的一系列成果；邓秀新院士在柑橘遗传育种尤其是在柑橘体细胞杂交育种中取得成果。</w:t>
      </w:r>
    </w:p>
    <w:p w14:paraId="2FFAA4B7" w14:textId="77777777" w:rsidR="00F5289E" w:rsidRDefault="00C91173">
      <w:pPr>
        <w:pStyle w:val="a7"/>
        <w:snapToGrid w:val="0"/>
        <w:spacing w:line="360" w:lineRule="auto"/>
        <w:rPr>
          <w:rFonts w:ascii="宋体" w:hAnsi="宋体"/>
        </w:rPr>
      </w:pPr>
      <w:r>
        <w:rPr>
          <w:rFonts w:ascii="宋体" w:hAnsi="宋体" w:hint="eastAsia"/>
        </w:rPr>
        <w:t>理解：专业学习的目的和意义；美好人生的真谛。</w:t>
      </w:r>
    </w:p>
    <w:p w14:paraId="3D8DC99C"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课堂讲授方式结合大量图片、视频资料和实例介绍两位院士在科研、教学和育人中所取得的成就；引导学生思考美好人生的真谛是什么，引导学生围绕“我为什么上大学”、“我的美好人生”开展讨论</w:t>
      </w:r>
      <w:r>
        <w:rPr>
          <w:rFonts w:ascii="宋体" w:hAnsi="宋体" w:hint="eastAsia"/>
          <w:szCs w:val="20"/>
        </w:rPr>
        <w:t>。</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11EEE5B" w14:textId="77777777">
        <w:trPr>
          <w:trHeight w:val="270"/>
        </w:trPr>
        <w:tc>
          <w:tcPr>
            <w:tcW w:w="2965" w:type="dxa"/>
            <w:tcBorders>
              <w:top w:val="nil"/>
              <w:left w:val="nil"/>
              <w:bottom w:val="nil"/>
              <w:right w:val="nil"/>
            </w:tcBorders>
            <w:vAlign w:val="center"/>
          </w:tcPr>
          <w:p w14:paraId="037C4A4E"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23B43A3"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rFonts w:hint="eastAsia"/>
                <w:b/>
                <w:bCs/>
                <w:kern w:val="0"/>
                <w:szCs w:val="21"/>
              </w:rPr>
              <w:t xml:space="preserve">  </w:t>
            </w:r>
            <w:r>
              <w:rPr>
                <w:rFonts w:hint="eastAsia"/>
                <w:b/>
                <w:bCs/>
                <w:szCs w:val="21"/>
              </w:rPr>
              <w:t>一株幼苗的由来</w:t>
            </w:r>
          </w:p>
        </w:tc>
        <w:tc>
          <w:tcPr>
            <w:tcW w:w="2966" w:type="dxa"/>
            <w:tcBorders>
              <w:top w:val="nil"/>
              <w:left w:val="nil"/>
              <w:bottom w:val="nil"/>
              <w:right w:val="nil"/>
            </w:tcBorders>
            <w:vAlign w:val="center"/>
          </w:tcPr>
          <w:p w14:paraId="469EB1FC"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2AAB02C9"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hint="eastAsia"/>
          <w:kern w:val="0"/>
          <w:szCs w:val="21"/>
        </w:rPr>
        <w:t>了解种苗对蔬菜产业的重要性。</w:t>
      </w:r>
    </w:p>
    <w:p w14:paraId="7D9697CE" w14:textId="77777777" w:rsidR="00F5289E" w:rsidRDefault="00C91173">
      <w:pPr>
        <w:widowControl/>
        <w:snapToGrid w:val="0"/>
        <w:spacing w:line="360" w:lineRule="auto"/>
        <w:rPr>
          <w:kern w:val="0"/>
          <w:szCs w:val="21"/>
        </w:rPr>
      </w:pPr>
      <w:r>
        <w:rPr>
          <w:rFonts w:ascii="宋体" w:hAnsi="宋体" w:hint="eastAsia"/>
          <w:b/>
          <w:bCs/>
        </w:rPr>
        <w:t>教学重点和难点：</w:t>
      </w:r>
      <w:r>
        <w:rPr>
          <w:rFonts w:hint="eastAsia"/>
          <w:kern w:val="0"/>
          <w:szCs w:val="21"/>
        </w:rPr>
        <w:t>种苗概念和内涵的确切把握。</w:t>
      </w:r>
    </w:p>
    <w:p w14:paraId="154AC249" w14:textId="77777777" w:rsidR="00F5289E" w:rsidRDefault="00C91173">
      <w:pPr>
        <w:pStyle w:val="a7"/>
        <w:snapToGrid w:val="0"/>
        <w:spacing w:line="360" w:lineRule="auto"/>
        <w:ind w:firstLineChars="0" w:firstLine="0"/>
        <w:rPr>
          <w:rFonts w:ascii="Times New Roman"/>
          <w:kern w:val="0"/>
          <w:szCs w:val="21"/>
        </w:rPr>
      </w:pPr>
      <w:r>
        <w:rPr>
          <w:rFonts w:ascii="宋体" w:hAnsi="宋体" w:hint="eastAsia"/>
          <w:b/>
        </w:rPr>
        <w:t>主要教学内容及要求：</w:t>
      </w:r>
      <w:r>
        <w:rPr>
          <w:rFonts w:ascii="Times New Roman" w:hint="eastAsia"/>
          <w:kern w:val="0"/>
          <w:szCs w:val="21"/>
        </w:rPr>
        <w:t>种子和种苗的内涵，种苗对产业的意义</w:t>
      </w:r>
    </w:p>
    <w:p w14:paraId="700C1527"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了解：种子、种苗对产业的作用。</w:t>
      </w:r>
    </w:p>
    <w:p w14:paraId="1A946092"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理解：种苗、种子质量、种苗质量的内涵。</w:t>
      </w:r>
    </w:p>
    <w:p w14:paraId="49498DFD"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掌握：工厂化育苗概念、现代育苗种类。</w:t>
      </w:r>
    </w:p>
    <w:p w14:paraId="25D911A8"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熟练掌握：为什么要为种苗换一条强大的根系；如何让种苗吃好、住好。</w:t>
      </w:r>
      <w:r>
        <w:rPr>
          <w:rFonts w:ascii="Times New Roman"/>
          <w:kern w:val="0"/>
          <w:szCs w:val="21"/>
        </w:rPr>
        <w:t xml:space="preserve"> </w:t>
      </w:r>
    </w:p>
    <w:p w14:paraId="13871F58" w14:textId="77777777" w:rsidR="00F5289E" w:rsidRDefault="00C91173">
      <w:pPr>
        <w:widowControl/>
        <w:snapToGrid w:val="0"/>
        <w:spacing w:line="360" w:lineRule="auto"/>
        <w:rPr>
          <w:kern w:val="0"/>
          <w:szCs w:val="21"/>
        </w:rPr>
      </w:pPr>
      <w:r>
        <w:rPr>
          <w:rFonts w:ascii="宋体" w:hAnsi="宋体" w:hint="eastAsia"/>
          <w:b/>
          <w:bCs/>
        </w:rPr>
        <w:lastRenderedPageBreak/>
        <w:t>教学组织与实施：</w:t>
      </w:r>
      <w:r>
        <w:rPr>
          <w:rFonts w:hint="eastAsia"/>
          <w:kern w:val="0"/>
          <w:szCs w:val="21"/>
        </w:rPr>
        <w:t>突出学生的中心地位，根据学生认知规律和接受特点，通过视频教学法，让同学们首先从感性上连接现代育苗技术，然后再引入本节教学；同时采用类比教学法，通过人民重视幼儿教育一样要重视种苗的培育，引入种苗对产业的重要性。</w:t>
      </w:r>
    </w:p>
    <w:p w14:paraId="41CA271E" w14:textId="77777777" w:rsidR="00F5289E" w:rsidRDefault="00F5289E">
      <w:pPr>
        <w:widowControl/>
        <w:snapToGrid w:val="0"/>
        <w:spacing w:line="360" w:lineRule="auto"/>
        <w:jc w:val="left"/>
        <w:rPr>
          <w:rFonts w:hAnsi="宋体"/>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EBD3916" w14:textId="77777777">
        <w:trPr>
          <w:trHeight w:val="270"/>
        </w:trPr>
        <w:tc>
          <w:tcPr>
            <w:tcW w:w="2965" w:type="dxa"/>
            <w:tcBorders>
              <w:top w:val="nil"/>
              <w:left w:val="nil"/>
              <w:bottom w:val="nil"/>
              <w:right w:val="nil"/>
            </w:tcBorders>
            <w:vAlign w:val="center"/>
          </w:tcPr>
          <w:p w14:paraId="034B93E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5769F67"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九</w:t>
            </w:r>
            <w:r>
              <w:rPr>
                <w:rFonts w:hAnsi="宋体"/>
                <w:b/>
                <w:bCs/>
                <w:kern w:val="0"/>
                <w:szCs w:val="21"/>
              </w:rPr>
              <w:t>章</w:t>
            </w:r>
            <w:r>
              <w:rPr>
                <w:rFonts w:hint="eastAsia"/>
                <w:b/>
                <w:bCs/>
                <w:kern w:val="0"/>
                <w:szCs w:val="21"/>
              </w:rPr>
              <w:t xml:space="preserve">  </w:t>
            </w:r>
            <w:r>
              <w:rPr>
                <w:rFonts w:hint="eastAsia"/>
                <w:b/>
                <w:bCs/>
                <w:szCs w:val="21"/>
              </w:rPr>
              <w:t>科技创新与园艺产业未来发展前景</w:t>
            </w:r>
          </w:p>
        </w:tc>
        <w:tc>
          <w:tcPr>
            <w:tcW w:w="2966" w:type="dxa"/>
            <w:tcBorders>
              <w:top w:val="nil"/>
              <w:left w:val="nil"/>
              <w:bottom w:val="nil"/>
              <w:right w:val="nil"/>
            </w:tcBorders>
            <w:vAlign w:val="center"/>
          </w:tcPr>
          <w:p w14:paraId="32CDDDA8"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8</w:t>
            </w:r>
          </w:p>
        </w:tc>
      </w:tr>
    </w:tbl>
    <w:p w14:paraId="5C43BB06" w14:textId="77777777" w:rsidR="00F5289E" w:rsidRDefault="00C91173">
      <w:pPr>
        <w:snapToGrid w:val="0"/>
        <w:spacing w:line="360" w:lineRule="auto"/>
        <w:rPr>
          <w:rFonts w:hAnsi="宋体"/>
          <w:kern w:val="0"/>
          <w:szCs w:val="21"/>
        </w:rPr>
      </w:pPr>
      <w:r>
        <w:rPr>
          <w:rFonts w:ascii="宋体" w:hAnsi="宋体" w:hint="eastAsia"/>
          <w:b/>
          <w:bCs/>
        </w:rPr>
        <w:t>教学目标：</w:t>
      </w:r>
      <w:r>
        <w:rPr>
          <w:rFonts w:hint="eastAsia"/>
          <w:kern w:val="0"/>
          <w:szCs w:val="21"/>
        </w:rPr>
        <w:t>邀请行业主管部门、企业家、科学家等，围绕果、菜、花、茶产业，从不同角度，向同学们介绍园艺产业未来发展趋势，以及科技创新在推进园艺产业高质量发展中的重要性。让学生更加了解园艺产业在农业和国民经济中的重要地位，激发学习兴趣，树立专业信心，培育学农爱农情怀。</w:t>
      </w:r>
    </w:p>
    <w:p w14:paraId="2D6AB5F3" w14:textId="77777777" w:rsidR="00F5289E" w:rsidRDefault="00C91173">
      <w:pPr>
        <w:widowControl/>
        <w:snapToGrid w:val="0"/>
        <w:spacing w:line="360" w:lineRule="auto"/>
        <w:jc w:val="left"/>
        <w:rPr>
          <w:kern w:val="0"/>
          <w:szCs w:val="21"/>
        </w:rPr>
      </w:pPr>
      <w:r>
        <w:rPr>
          <w:rFonts w:ascii="宋体" w:hAnsi="宋体" w:hint="eastAsia"/>
          <w:b/>
          <w:bCs/>
        </w:rPr>
        <w:t>教学重点和难点：</w:t>
      </w:r>
      <w:r>
        <w:rPr>
          <w:rFonts w:hint="eastAsia"/>
          <w:kern w:val="0"/>
          <w:szCs w:val="21"/>
        </w:rPr>
        <w:t>科技是如何赋能园艺产业高质量发展的，园艺产业在发展中还有哪些卡脖子的关键问题。</w:t>
      </w:r>
    </w:p>
    <w:p w14:paraId="71D3087C" w14:textId="77777777" w:rsidR="00F5289E" w:rsidRDefault="00C91173">
      <w:pPr>
        <w:widowControl/>
        <w:snapToGrid w:val="0"/>
        <w:spacing w:line="360" w:lineRule="auto"/>
        <w:jc w:val="left"/>
        <w:rPr>
          <w:kern w:val="0"/>
          <w:szCs w:val="21"/>
        </w:rPr>
      </w:pPr>
      <w:r>
        <w:rPr>
          <w:rFonts w:ascii="宋体" w:hAnsi="宋体" w:hint="eastAsia"/>
          <w:b/>
        </w:rPr>
        <w:t>主要教学内容及要求：</w:t>
      </w:r>
    </w:p>
    <w:p w14:paraId="47F97BC0"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了解：园艺业产业发展现状，未来发展趋势。</w:t>
      </w:r>
    </w:p>
    <w:p w14:paraId="490D5495" w14:textId="77777777" w:rsidR="00F5289E" w:rsidRDefault="00C91173">
      <w:pPr>
        <w:pStyle w:val="a7"/>
        <w:snapToGrid w:val="0"/>
        <w:spacing w:line="360" w:lineRule="auto"/>
        <w:rPr>
          <w:rFonts w:ascii="Times New Roman"/>
          <w:kern w:val="0"/>
          <w:szCs w:val="21"/>
        </w:rPr>
      </w:pPr>
      <w:r>
        <w:rPr>
          <w:rFonts w:ascii="Times New Roman" w:hint="eastAsia"/>
          <w:kern w:val="0"/>
          <w:szCs w:val="21"/>
        </w:rPr>
        <w:t>理解：园艺产业发展中已经解决的，未解决的，亟待解决的关键科学问题。</w:t>
      </w:r>
    </w:p>
    <w:p w14:paraId="1F72BE2F"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课堂讲授方式结合大量图片资料和实例介绍我国园艺产业和河南省园艺产业发展的现状；引导学生思考园艺产业的发展在农业产业中的重要作用，引导学生讨论园艺产业发展中所了解的主要品种、栽培技术等</w:t>
      </w:r>
      <w:r>
        <w:rPr>
          <w:rFonts w:ascii="宋体" w:hAnsi="宋体" w:hint="eastAsia"/>
          <w:szCs w:val="20"/>
        </w:rPr>
        <w:t>。</w:t>
      </w:r>
    </w:p>
    <w:p w14:paraId="0FF6D3B0" w14:textId="77777777" w:rsidR="00F5289E" w:rsidRDefault="00C91173">
      <w:pPr>
        <w:widowControl/>
        <w:snapToGrid w:val="0"/>
        <w:spacing w:line="360" w:lineRule="auto"/>
        <w:jc w:val="left"/>
        <w:rPr>
          <w:rFonts w:ascii="宋体" w:hAnsi="宋体"/>
          <w:b/>
          <w:szCs w:val="21"/>
        </w:rPr>
      </w:pPr>
      <w:r>
        <w:rPr>
          <w:rFonts w:hAnsi="宋体" w:hint="eastAsia"/>
          <w:b/>
          <w:bCs/>
          <w:kern w:val="0"/>
          <w:szCs w:val="21"/>
        </w:rPr>
        <w:t>五</w:t>
      </w:r>
      <w:r>
        <w:rPr>
          <w:rFonts w:hAnsi="宋体"/>
          <w:b/>
          <w:bCs/>
          <w:kern w:val="0"/>
          <w:szCs w:val="21"/>
        </w:rPr>
        <w:t>、</w:t>
      </w:r>
      <w:r>
        <w:rPr>
          <w:rFonts w:ascii="宋体" w:hAnsi="宋体" w:hint="eastAsia"/>
          <w:b/>
          <w:szCs w:val="21"/>
        </w:rPr>
        <w:t>课程思政</w:t>
      </w:r>
    </w:p>
    <w:p w14:paraId="0B23CCC6" w14:textId="77777777" w:rsidR="00F5289E" w:rsidRDefault="00C91173">
      <w:pPr>
        <w:spacing w:line="360" w:lineRule="auto"/>
        <w:ind w:firstLineChars="200" w:firstLine="420"/>
        <w:rPr>
          <w:color w:val="000000"/>
        </w:rPr>
      </w:pPr>
      <w:r>
        <w:rPr>
          <w:rFonts w:hint="eastAsia"/>
          <w:color w:val="000000"/>
        </w:rPr>
        <w:t>根据本校办学定位、专业特色和人才培养要求，课程思政建设方向和重点是培养学生的“大国三农”情怀和“生态文明”理念；课程思政建设目标是：培养学生“懂农业、爱农村，爱农民”，把论文写在祖国大地上，增强学生强农兴农、服务农业农村现代化、服务乡村全面振兴的使命感和责任感。</w:t>
      </w:r>
    </w:p>
    <w:p w14:paraId="7773867E" w14:textId="77777777" w:rsidR="00F5289E" w:rsidRDefault="00C91173">
      <w:pPr>
        <w:spacing w:line="360" w:lineRule="auto"/>
        <w:ind w:firstLineChars="200" w:firstLine="420"/>
        <w:rPr>
          <w:color w:val="000000"/>
        </w:rPr>
      </w:pPr>
      <w:r>
        <w:rPr>
          <w:rFonts w:hint="eastAsia"/>
          <w:color w:val="000000"/>
        </w:rPr>
        <w:t xml:space="preserve">1. </w:t>
      </w:r>
      <w:r>
        <w:rPr>
          <w:color w:val="000000"/>
        </w:rPr>
        <w:t>从我国水资源、肥料资源短缺和设施农业连作障碍，引导学生树立生态文明、绿色发展的理念。</w:t>
      </w:r>
    </w:p>
    <w:p w14:paraId="25FB8351" w14:textId="77777777" w:rsidR="00F5289E" w:rsidRDefault="00C91173">
      <w:pPr>
        <w:spacing w:line="360" w:lineRule="auto"/>
        <w:ind w:firstLineChars="200" w:firstLine="420"/>
        <w:rPr>
          <w:color w:val="000000"/>
        </w:rPr>
      </w:pPr>
      <w:r>
        <w:rPr>
          <w:rFonts w:hint="eastAsia"/>
          <w:color w:val="000000"/>
        </w:rPr>
        <w:t xml:space="preserve">2. </w:t>
      </w:r>
      <w:r>
        <w:rPr>
          <w:color w:val="000000"/>
        </w:rPr>
        <w:t>从发达国家设施农业发展现状、我国设施农业存在问题，</w:t>
      </w:r>
      <w:r>
        <w:rPr>
          <w:rFonts w:hint="eastAsia"/>
          <w:color w:val="000000"/>
        </w:rPr>
        <w:t>激发</w:t>
      </w:r>
      <w:r>
        <w:rPr>
          <w:color w:val="000000"/>
        </w:rPr>
        <w:t>学生强农兴农的使命感。</w:t>
      </w:r>
    </w:p>
    <w:p w14:paraId="3CE97180" w14:textId="77777777" w:rsidR="00F5289E" w:rsidRDefault="00C91173">
      <w:pPr>
        <w:spacing w:line="360" w:lineRule="auto"/>
        <w:ind w:firstLineChars="200" w:firstLine="420"/>
        <w:rPr>
          <w:color w:val="000000"/>
        </w:rPr>
      </w:pPr>
      <w:r>
        <w:rPr>
          <w:color w:val="000000"/>
        </w:rPr>
        <w:t>3</w:t>
      </w:r>
      <w:r>
        <w:rPr>
          <w:rFonts w:hint="eastAsia"/>
          <w:color w:val="000000"/>
        </w:rPr>
        <w:t xml:space="preserve">. </w:t>
      </w:r>
      <w:r>
        <w:rPr>
          <w:rFonts w:hint="eastAsia"/>
          <w:color w:val="000000"/>
        </w:rPr>
        <w:t>通过园艺院士吴明珠李天来、喻景权对园艺发展的科学贡献、借助校史搜集的知名专家、校友服务“三农”事迹，激发学生树立“大国三农”的情怀，增强服务农业农村现代化、服务乡村全面振兴的使命感。</w:t>
      </w:r>
    </w:p>
    <w:p w14:paraId="62B40261" w14:textId="77777777" w:rsidR="00F5289E" w:rsidRDefault="00C91173">
      <w:pPr>
        <w:widowControl/>
        <w:snapToGrid w:val="0"/>
        <w:spacing w:line="360" w:lineRule="auto"/>
        <w:jc w:val="left"/>
        <w:rPr>
          <w:kern w:val="0"/>
          <w:szCs w:val="21"/>
        </w:rPr>
      </w:pPr>
      <w:r>
        <w:rPr>
          <w:rFonts w:ascii="宋体" w:hAnsi="宋体" w:hint="eastAsia"/>
          <w:b/>
          <w:szCs w:val="21"/>
        </w:rPr>
        <w:t>六</w:t>
      </w:r>
      <w:r>
        <w:rPr>
          <w:rFonts w:hAnsi="宋体"/>
          <w:b/>
          <w:bCs/>
          <w:kern w:val="0"/>
          <w:szCs w:val="21"/>
        </w:rPr>
        <w:t>、教材</w:t>
      </w:r>
      <w:r>
        <w:rPr>
          <w:rFonts w:hAnsi="宋体" w:hint="eastAsia"/>
          <w:b/>
          <w:bCs/>
          <w:kern w:val="0"/>
          <w:szCs w:val="21"/>
        </w:rPr>
        <w:t>及教学参考书</w:t>
      </w:r>
    </w:p>
    <w:p w14:paraId="2ECC3D00"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6C4CE2D8"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 xml:space="preserve">园艺概论，徐强 </w:t>
      </w:r>
      <w:r>
        <w:rPr>
          <w:rFonts w:ascii="宋体" w:hAnsi="宋体"/>
          <w:bCs/>
          <w:kern w:val="0"/>
          <w:szCs w:val="21"/>
        </w:rPr>
        <w:t xml:space="preserve"> </w:t>
      </w:r>
      <w:r>
        <w:rPr>
          <w:rFonts w:ascii="宋体" w:hAnsi="宋体" w:hint="eastAsia"/>
          <w:bCs/>
          <w:kern w:val="0"/>
          <w:szCs w:val="21"/>
        </w:rPr>
        <w:t>何燕红主编，高等教育出版社，2</w:t>
      </w:r>
      <w:r>
        <w:rPr>
          <w:rFonts w:ascii="宋体" w:hAnsi="宋体"/>
          <w:bCs/>
          <w:kern w:val="0"/>
          <w:szCs w:val="21"/>
        </w:rPr>
        <w:t>023</w:t>
      </w:r>
      <w:r>
        <w:rPr>
          <w:rFonts w:ascii="宋体" w:hAnsi="宋体" w:hint="eastAsia"/>
          <w:bCs/>
          <w:kern w:val="0"/>
          <w:szCs w:val="21"/>
        </w:rPr>
        <w:t>年</w:t>
      </w:r>
    </w:p>
    <w:p w14:paraId="5CA75AFF"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lastRenderedPageBreak/>
        <w:t>2</w:t>
      </w:r>
      <w:r>
        <w:rPr>
          <w:rFonts w:hAnsi="宋体" w:hint="eastAsia"/>
          <w:b/>
          <w:bCs/>
          <w:kern w:val="0"/>
          <w:szCs w:val="21"/>
        </w:rPr>
        <w:t>.</w:t>
      </w:r>
      <w:r>
        <w:rPr>
          <w:rFonts w:hAnsi="宋体"/>
          <w:b/>
          <w:bCs/>
          <w:kern w:val="0"/>
          <w:szCs w:val="21"/>
        </w:rPr>
        <w:t>参考书：</w:t>
      </w:r>
    </w:p>
    <w:p w14:paraId="1B5AE372"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（1）园艺概论.</w:t>
      </w:r>
      <w:r>
        <w:rPr>
          <w:rFonts w:ascii="宋体" w:hAnsi="宋体"/>
          <w:bCs/>
          <w:kern w:val="0"/>
          <w:szCs w:val="21"/>
        </w:rPr>
        <w:t xml:space="preserve"> </w:t>
      </w:r>
      <w:r>
        <w:rPr>
          <w:rFonts w:ascii="宋体" w:hAnsi="宋体" w:hint="eastAsia"/>
          <w:bCs/>
          <w:kern w:val="0"/>
          <w:szCs w:val="21"/>
        </w:rPr>
        <w:t>程智慧主编.</w:t>
      </w:r>
      <w:r>
        <w:rPr>
          <w:rFonts w:ascii="宋体" w:hAnsi="宋体"/>
          <w:bCs/>
          <w:kern w:val="0"/>
          <w:szCs w:val="21"/>
        </w:rPr>
        <w:t xml:space="preserve"> </w:t>
      </w:r>
      <w:r>
        <w:rPr>
          <w:rFonts w:ascii="宋体" w:hAnsi="宋体" w:hint="eastAsia"/>
          <w:bCs/>
          <w:kern w:val="0"/>
          <w:szCs w:val="21"/>
        </w:rPr>
        <w:t>科学出版社，2</w:t>
      </w:r>
      <w:r>
        <w:rPr>
          <w:rFonts w:ascii="宋体" w:hAnsi="宋体"/>
          <w:bCs/>
          <w:kern w:val="0"/>
          <w:szCs w:val="21"/>
        </w:rPr>
        <w:t>016</w:t>
      </w:r>
      <w:r>
        <w:rPr>
          <w:rFonts w:ascii="宋体" w:hAnsi="宋体" w:hint="eastAsia"/>
          <w:bCs/>
          <w:kern w:val="0"/>
          <w:szCs w:val="21"/>
        </w:rPr>
        <w:t>年</w:t>
      </w:r>
    </w:p>
    <w:p w14:paraId="08D45B18" w14:textId="77777777" w:rsidR="00F5289E" w:rsidRDefault="00C91173">
      <w:pPr>
        <w:widowControl/>
        <w:snapToGrid w:val="0"/>
        <w:spacing w:line="360" w:lineRule="auto"/>
        <w:ind w:firstLineChars="200" w:firstLine="420"/>
        <w:jc w:val="left"/>
        <w:rPr>
          <w:kern w:val="0"/>
          <w:szCs w:val="21"/>
        </w:rPr>
      </w:pPr>
      <w:r>
        <w:rPr>
          <w:rFonts w:hint="eastAsia"/>
          <w:kern w:val="0"/>
          <w:szCs w:val="21"/>
        </w:rPr>
        <w:t>（</w:t>
      </w:r>
      <w:r>
        <w:rPr>
          <w:rFonts w:hint="eastAsia"/>
          <w:kern w:val="0"/>
          <w:szCs w:val="21"/>
        </w:rPr>
        <w:t>2</w:t>
      </w:r>
      <w:r>
        <w:rPr>
          <w:rFonts w:hint="eastAsia"/>
          <w:kern w:val="0"/>
          <w:szCs w:val="21"/>
        </w:rPr>
        <w:t>）观赏园艺概论</w:t>
      </w:r>
      <w:r>
        <w:rPr>
          <w:rFonts w:hint="eastAsia"/>
          <w:kern w:val="0"/>
          <w:szCs w:val="21"/>
        </w:rPr>
        <w:t>.</w:t>
      </w:r>
      <w:r>
        <w:rPr>
          <w:kern w:val="0"/>
          <w:szCs w:val="21"/>
        </w:rPr>
        <w:t xml:space="preserve"> </w:t>
      </w:r>
      <w:r>
        <w:rPr>
          <w:rFonts w:hint="eastAsia"/>
          <w:kern w:val="0"/>
          <w:szCs w:val="21"/>
        </w:rPr>
        <w:t>罗长维主编</w:t>
      </w:r>
      <w:r>
        <w:rPr>
          <w:rFonts w:hint="eastAsia"/>
          <w:kern w:val="0"/>
          <w:szCs w:val="21"/>
        </w:rPr>
        <w:t>.</w:t>
      </w:r>
      <w:r>
        <w:rPr>
          <w:kern w:val="0"/>
          <w:szCs w:val="21"/>
        </w:rPr>
        <w:t xml:space="preserve"> </w:t>
      </w:r>
      <w:r>
        <w:rPr>
          <w:rFonts w:hint="eastAsia"/>
          <w:kern w:val="0"/>
          <w:szCs w:val="21"/>
        </w:rPr>
        <w:t>中国林业出版社，</w:t>
      </w:r>
      <w:r>
        <w:rPr>
          <w:rFonts w:hint="eastAsia"/>
          <w:kern w:val="0"/>
          <w:szCs w:val="21"/>
        </w:rPr>
        <w:t>2</w:t>
      </w:r>
      <w:r>
        <w:rPr>
          <w:kern w:val="0"/>
          <w:szCs w:val="21"/>
        </w:rPr>
        <w:t>017</w:t>
      </w:r>
      <w:r>
        <w:rPr>
          <w:rFonts w:hint="eastAsia"/>
          <w:kern w:val="0"/>
          <w:szCs w:val="21"/>
        </w:rPr>
        <w:t>年</w:t>
      </w:r>
    </w:p>
    <w:p w14:paraId="55B7508E" w14:textId="77777777" w:rsidR="00F5289E" w:rsidRDefault="00C91173">
      <w:pPr>
        <w:widowControl/>
        <w:snapToGrid w:val="0"/>
        <w:spacing w:line="360" w:lineRule="auto"/>
        <w:ind w:firstLineChars="200" w:firstLine="420"/>
        <w:jc w:val="left"/>
        <w:rPr>
          <w:kern w:val="0"/>
          <w:szCs w:val="21"/>
        </w:rPr>
      </w:pPr>
      <w:r>
        <w:rPr>
          <w:rFonts w:hint="eastAsia"/>
          <w:kern w:val="0"/>
          <w:szCs w:val="21"/>
        </w:rPr>
        <w:t>（</w:t>
      </w:r>
      <w:r>
        <w:rPr>
          <w:rFonts w:hint="eastAsia"/>
          <w:kern w:val="0"/>
          <w:szCs w:val="21"/>
        </w:rPr>
        <w:t>3</w:t>
      </w:r>
      <w:r>
        <w:rPr>
          <w:rFonts w:hint="eastAsia"/>
          <w:kern w:val="0"/>
          <w:szCs w:val="21"/>
        </w:rPr>
        <w:t>）茶学概论</w:t>
      </w:r>
      <w:r>
        <w:rPr>
          <w:rFonts w:hint="eastAsia"/>
          <w:kern w:val="0"/>
          <w:szCs w:val="21"/>
        </w:rPr>
        <w:t>.</w:t>
      </w:r>
      <w:r>
        <w:rPr>
          <w:kern w:val="0"/>
          <w:szCs w:val="21"/>
        </w:rPr>
        <w:t xml:space="preserve"> </w:t>
      </w:r>
      <w:r>
        <w:rPr>
          <w:rFonts w:hint="eastAsia"/>
          <w:kern w:val="0"/>
          <w:szCs w:val="21"/>
        </w:rPr>
        <w:t>朱旗主编</w:t>
      </w:r>
      <w:r>
        <w:rPr>
          <w:rFonts w:hint="eastAsia"/>
          <w:kern w:val="0"/>
          <w:szCs w:val="21"/>
        </w:rPr>
        <w:t>.</w:t>
      </w:r>
      <w:r>
        <w:rPr>
          <w:kern w:val="0"/>
          <w:szCs w:val="21"/>
        </w:rPr>
        <w:t xml:space="preserve"> </w:t>
      </w:r>
      <w:r>
        <w:rPr>
          <w:rFonts w:hint="eastAsia"/>
          <w:kern w:val="0"/>
          <w:szCs w:val="21"/>
        </w:rPr>
        <w:t>中国农业出版社，</w:t>
      </w:r>
      <w:r>
        <w:rPr>
          <w:rFonts w:hint="eastAsia"/>
          <w:kern w:val="0"/>
          <w:szCs w:val="21"/>
        </w:rPr>
        <w:t>2</w:t>
      </w:r>
      <w:r>
        <w:rPr>
          <w:kern w:val="0"/>
          <w:szCs w:val="21"/>
        </w:rPr>
        <w:t>020</w:t>
      </w:r>
      <w:r>
        <w:rPr>
          <w:rFonts w:hint="eastAsia"/>
          <w:kern w:val="0"/>
          <w:szCs w:val="21"/>
        </w:rPr>
        <w:t>年</w:t>
      </w:r>
    </w:p>
    <w:p w14:paraId="749A3133"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5A5E54A8" w14:textId="77777777" w:rsidR="00F5289E" w:rsidRDefault="00C91173">
      <w:pPr>
        <w:snapToGrid w:val="0"/>
        <w:spacing w:line="360" w:lineRule="auto"/>
        <w:ind w:firstLineChars="200" w:firstLine="420"/>
        <w:rPr>
          <w:kern w:val="0"/>
          <w:szCs w:val="21"/>
        </w:rPr>
      </w:pPr>
      <w:r>
        <w:rPr>
          <w:rFonts w:hAnsi="宋体"/>
          <w:szCs w:val="21"/>
        </w:rPr>
        <w:t>（</w:t>
      </w:r>
      <w:r>
        <w:rPr>
          <w:kern w:val="0"/>
          <w:szCs w:val="21"/>
        </w:rPr>
        <w:t>1</w:t>
      </w:r>
      <w:r>
        <w:rPr>
          <w:kern w:val="0"/>
          <w:szCs w:val="21"/>
        </w:rPr>
        <w:t>）</w:t>
      </w:r>
      <w:r>
        <w:rPr>
          <w:rFonts w:hint="eastAsia"/>
          <w:kern w:val="0"/>
          <w:szCs w:val="21"/>
        </w:rPr>
        <w:t>中国园艺学会</w:t>
      </w:r>
      <w:r>
        <w:rPr>
          <w:kern w:val="0"/>
          <w:szCs w:val="21"/>
        </w:rPr>
        <w:t>，</w:t>
      </w:r>
      <w:r>
        <w:rPr>
          <w:rFonts w:hint="eastAsia"/>
          <w:kern w:val="0"/>
          <w:szCs w:val="21"/>
        </w:rPr>
        <w:t>h</w:t>
      </w:r>
      <w:r>
        <w:rPr>
          <w:kern w:val="0"/>
          <w:szCs w:val="21"/>
        </w:rPr>
        <w:t>ttps://www.cshs.org.cn</w:t>
      </w:r>
    </w:p>
    <w:p w14:paraId="6FE296DB" w14:textId="77777777" w:rsidR="00F5289E" w:rsidRDefault="00C91173">
      <w:pPr>
        <w:widowControl/>
        <w:snapToGrid w:val="0"/>
        <w:spacing w:line="360" w:lineRule="auto"/>
        <w:ind w:firstLineChars="200" w:firstLine="420"/>
        <w:jc w:val="left"/>
        <w:rPr>
          <w:kern w:val="0"/>
          <w:szCs w:val="21"/>
        </w:rPr>
      </w:pPr>
      <w:r>
        <w:rPr>
          <w:rFonts w:hint="eastAsia"/>
          <w:kern w:val="0"/>
          <w:szCs w:val="21"/>
        </w:rPr>
        <w:t>（</w:t>
      </w:r>
      <w:r>
        <w:rPr>
          <w:kern w:val="0"/>
          <w:szCs w:val="21"/>
        </w:rPr>
        <w:t>2</w:t>
      </w:r>
      <w:r>
        <w:rPr>
          <w:rFonts w:hint="eastAsia"/>
          <w:kern w:val="0"/>
          <w:szCs w:val="21"/>
        </w:rPr>
        <w:t>）华中农业大学公开课：园艺概论</w:t>
      </w:r>
    </w:p>
    <w:p w14:paraId="62C249FD"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529D679E" w14:textId="77777777" w:rsidR="00F5289E" w:rsidRDefault="00C91173">
      <w:pPr>
        <w:snapToGrid w:val="0"/>
        <w:spacing w:line="360" w:lineRule="auto"/>
        <w:ind w:firstLineChars="200" w:firstLine="420"/>
        <w:rPr>
          <w:kern w:val="0"/>
          <w:szCs w:val="21"/>
        </w:rPr>
      </w:pPr>
      <w:r>
        <w:rPr>
          <w:rFonts w:hint="eastAsia"/>
          <w:kern w:val="0"/>
          <w:szCs w:val="21"/>
        </w:rPr>
        <w:t>本课程师资大部分是学院二级学科负责人、省级现代农业岗位专家、教授和博导，还有来自行业主管部门领导、企业家及国内外知名园艺专家，师资力量阵容强大。教学场地除了学校的教室、实验室外，还有校外实践教学基地等，均可满足本课程教学需要。</w:t>
      </w:r>
    </w:p>
    <w:p w14:paraId="7B9D0A23"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529AD694"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1.</w:t>
      </w:r>
      <w:r>
        <w:rPr>
          <w:rFonts w:hAnsi="宋体" w:hint="eastAsia"/>
          <w:b/>
          <w:bCs/>
          <w:kern w:val="0"/>
          <w:szCs w:val="21"/>
        </w:rPr>
        <w:t>过程性评价：</w:t>
      </w:r>
    </w:p>
    <w:p w14:paraId="1926BAF8" w14:textId="77777777" w:rsidR="00F5289E" w:rsidRDefault="00C91173">
      <w:pPr>
        <w:widowControl/>
        <w:snapToGrid w:val="0"/>
        <w:spacing w:line="360" w:lineRule="auto"/>
        <w:ind w:firstLine="420"/>
        <w:jc w:val="left"/>
        <w:rPr>
          <w:color w:val="000000"/>
          <w:szCs w:val="21"/>
        </w:rPr>
      </w:pPr>
      <w:r>
        <w:rPr>
          <w:rFonts w:hint="eastAsia"/>
          <w:color w:val="000000"/>
          <w:szCs w:val="21"/>
        </w:rPr>
        <w:t>本课程注重过程性评价，将课前预习、课堂表现、线上学习（测验）、课后作业、、小组学习讨论和课程实验报告等学习过程全面纳入课程形成性评价体系。其中课程实验报告占</w:t>
      </w:r>
      <w:r>
        <w:rPr>
          <w:rFonts w:hint="eastAsia"/>
          <w:color w:val="000000"/>
          <w:szCs w:val="21"/>
        </w:rPr>
        <w:t>2</w:t>
      </w:r>
      <w:r>
        <w:rPr>
          <w:color w:val="000000"/>
          <w:szCs w:val="21"/>
        </w:rPr>
        <w:t>0</w:t>
      </w:r>
      <w:r>
        <w:rPr>
          <w:rFonts w:hint="eastAsia"/>
          <w:color w:val="000000"/>
          <w:szCs w:val="21"/>
        </w:rPr>
        <w:t>%</w:t>
      </w:r>
      <w:r>
        <w:rPr>
          <w:rFonts w:hint="eastAsia"/>
          <w:color w:val="000000"/>
          <w:szCs w:val="21"/>
        </w:rPr>
        <w:t>，其余占</w:t>
      </w:r>
      <w:r>
        <w:rPr>
          <w:rFonts w:hint="eastAsia"/>
          <w:color w:val="000000"/>
          <w:szCs w:val="21"/>
        </w:rPr>
        <w:t>2</w:t>
      </w:r>
      <w:r>
        <w:rPr>
          <w:color w:val="000000"/>
          <w:szCs w:val="21"/>
        </w:rPr>
        <w:t>0</w:t>
      </w:r>
      <w:r>
        <w:rPr>
          <w:rFonts w:hint="eastAsia"/>
          <w:color w:val="000000"/>
          <w:szCs w:val="21"/>
        </w:rPr>
        <w:t>%</w:t>
      </w:r>
      <w:r>
        <w:rPr>
          <w:rFonts w:hint="eastAsia"/>
          <w:color w:val="000000"/>
          <w:szCs w:val="21"/>
        </w:rPr>
        <w:t>。</w:t>
      </w:r>
    </w:p>
    <w:p w14:paraId="7DDF6F57"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2.</w:t>
      </w:r>
      <w:r>
        <w:rPr>
          <w:rFonts w:hAnsi="宋体" w:hint="eastAsia"/>
          <w:b/>
          <w:bCs/>
          <w:kern w:val="0"/>
          <w:szCs w:val="21"/>
        </w:rPr>
        <w:t>终结性评价：</w:t>
      </w:r>
    </w:p>
    <w:p w14:paraId="7FBF6618" w14:textId="77777777" w:rsidR="00F5289E" w:rsidRDefault="00C91173">
      <w:pPr>
        <w:widowControl/>
        <w:snapToGrid w:val="0"/>
        <w:spacing w:line="360" w:lineRule="auto"/>
        <w:ind w:firstLine="420"/>
        <w:jc w:val="left"/>
        <w:rPr>
          <w:color w:val="000000"/>
          <w:szCs w:val="21"/>
        </w:rPr>
      </w:pPr>
      <w:r>
        <w:rPr>
          <w:rFonts w:hint="eastAsia"/>
          <w:color w:val="000000"/>
          <w:szCs w:val="21"/>
        </w:rPr>
        <w:t>期末考试采取撰写课程论文的方式，占比</w:t>
      </w:r>
      <w:r>
        <w:rPr>
          <w:rFonts w:hint="eastAsia"/>
          <w:color w:val="000000"/>
          <w:szCs w:val="21"/>
        </w:rPr>
        <w:t>6</w:t>
      </w:r>
      <w:r>
        <w:rPr>
          <w:color w:val="000000"/>
          <w:szCs w:val="21"/>
        </w:rPr>
        <w:t>0</w:t>
      </w:r>
      <w:r>
        <w:rPr>
          <w:rFonts w:hint="eastAsia"/>
          <w:color w:val="000000"/>
          <w:szCs w:val="21"/>
        </w:rPr>
        <w:t>%</w:t>
      </w:r>
      <w:r>
        <w:rPr>
          <w:rFonts w:hint="eastAsia"/>
          <w:color w:val="000000"/>
          <w:szCs w:val="21"/>
        </w:rPr>
        <w:t>。</w:t>
      </w:r>
    </w:p>
    <w:p w14:paraId="6CBCB2E8"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p>
    <w:p w14:paraId="1E2868CB" w14:textId="77777777" w:rsidR="00F5289E" w:rsidRDefault="00C91173">
      <w:pPr>
        <w:adjustRightInd w:val="0"/>
        <w:snapToGrid w:val="0"/>
        <w:spacing w:line="360" w:lineRule="auto"/>
        <w:ind w:firstLineChars="200" w:firstLine="420"/>
        <w:rPr>
          <w:rFonts w:ascii="宋体" w:hAnsi="宋体"/>
          <w:color w:val="000000"/>
        </w:rPr>
      </w:pPr>
      <w:r>
        <w:rPr>
          <w:rFonts w:ascii="宋体" w:hAnsi="宋体" w:hint="eastAsia"/>
          <w:color w:val="000000"/>
        </w:rPr>
        <w:t>最终成绩的确定由三部分组成，卷面考试成绩、平时成绩与课程实验成绩。其中</w:t>
      </w:r>
      <w:r>
        <w:rPr>
          <w:rFonts w:hint="eastAsia"/>
          <w:color w:val="000000"/>
          <w:szCs w:val="21"/>
        </w:rPr>
        <w:t>课程论文</w:t>
      </w:r>
      <w:r>
        <w:rPr>
          <w:rFonts w:ascii="宋体" w:hAnsi="宋体" w:hint="eastAsia"/>
          <w:color w:val="000000"/>
        </w:rPr>
        <w:t>占60%，平时成绩占</w:t>
      </w:r>
      <w:r>
        <w:rPr>
          <w:rFonts w:ascii="宋体" w:hAnsi="宋体"/>
          <w:color w:val="000000"/>
        </w:rPr>
        <w:t>20</w:t>
      </w:r>
      <w:r>
        <w:rPr>
          <w:rFonts w:ascii="宋体" w:hAnsi="宋体" w:hint="eastAsia"/>
          <w:color w:val="000000"/>
        </w:rPr>
        <w:t>%，课程实验报告占2</w:t>
      </w:r>
      <w:r>
        <w:rPr>
          <w:rFonts w:ascii="宋体" w:hAnsi="宋体"/>
          <w:color w:val="000000"/>
        </w:rPr>
        <w:t>0</w:t>
      </w:r>
      <w:r>
        <w:rPr>
          <w:rFonts w:ascii="宋体" w:hAnsi="宋体" w:hint="eastAsia"/>
          <w:color w:val="000000"/>
        </w:rPr>
        <w:t>%。平时成绩由单元测验、课堂讨论、作业、实验报告等组成。</w:t>
      </w:r>
    </w:p>
    <w:p w14:paraId="0F48E6A0" w14:textId="77777777" w:rsidR="00F5289E" w:rsidRDefault="00C91173">
      <w:pPr>
        <w:widowControl/>
        <w:snapToGrid w:val="0"/>
        <w:spacing w:line="360" w:lineRule="auto"/>
        <w:ind w:firstLine="420"/>
        <w:jc w:val="left"/>
        <w:rPr>
          <w:rFonts w:ascii="宋体" w:hAnsi="宋体"/>
          <w:color w:val="000000"/>
        </w:rPr>
      </w:pPr>
      <w:r>
        <w:rPr>
          <w:rFonts w:ascii="宋体" w:hAnsi="宋体" w:hint="eastAsia"/>
          <w:color w:val="000000"/>
        </w:rPr>
        <w:t>对应课程目标中的1、</w:t>
      </w:r>
      <w:r>
        <w:rPr>
          <w:rFonts w:ascii="宋体" w:hAnsi="宋体"/>
          <w:color w:val="000000"/>
        </w:rPr>
        <w:t>2</w:t>
      </w:r>
      <w:r>
        <w:rPr>
          <w:rFonts w:ascii="宋体" w:hAnsi="宋体" w:hint="eastAsia"/>
          <w:color w:val="000000"/>
        </w:rPr>
        <w:t>、</w:t>
      </w:r>
      <w:r>
        <w:rPr>
          <w:rFonts w:ascii="宋体" w:hAnsi="宋体"/>
          <w:color w:val="000000"/>
        </w:rPr>
        <w:t>3</w:t>
      </w:r>
      <w:r>
        <w:rPr>
          <w:rFonts w:ascii="宋体" w:hAnsi="宋体" w:hint="eastAsia"/>
          <w:color w:val="000000"/>
        </w:rPr>
        <w:t>、</w:t>
      </w:r>
      <w:r>
        <w:rPr>
          <w:rFonts w:ascii="宋体" w:hAnsi="宋体"/>
          <w:color w:val="000000"/>
        </w:rPr>
        <w:t>4</w:t>
      </w:r>
      <w:r>
        <w:rPr>
          <w:rFonts w:ascii="宋体" w:hAnsi="宋体" w:hint="eastAsia"/>
          <w:color w:val="000000"/>
        </w:rPr>
        <w:t>。</w:t>
      </w:r>
    </w:p>
    <w:p w14:paraId="7AC44869" w14:textId="77777777" w:rsidR="00F5289E" w:rsidRDefault="00F5289E">
      <w:pPr>
        <w:widowControl/>
        <w:snapToGrid w:val="0"/>
        <w:spacing w:line="360" w:lineRule="auto"/>
        <w:ind w:firstLine="420"/>
        <w:jc w:val="left"/>
        <w:rPr>
          <w:rFonts w:ascii="宋体" w:hAnsi="宋体"/>
        </w:rPr>
      </w:pPr>
    </w:p>
    <w:p w14:paraId="571ADE80" w14:textId="77777777" w:rsidR="00F5289E" w:rsidRDefault="00C91173">
      <w:pPr>
        <w:widowControl/>
        <w:jc w:val="left"/>
        <w:rPr>
          <w:rFonts w:ascii="宋体" w:hAnsi="宋体"/>
          <w:b/>
          <w:sz w:val="28"/>
          <w:szCs w:val="28"/>
        </w:rPr>
      </w:pPr>
      <w:r>
        <w:rPr>
          <w:rFonts w:ascii="宋体" w:hAnsi="宋体"/>
          <w:b/>
          <w:sz w:val="28"/>
          <w:szCs w:val="28"/>
        </w:rPr>
        <w:br w:type="page"/>
      </w:r>
    </w:p>
    <w:p w14:paraId="3CD6C62B" w14:textId="77777777" w:rsidR="00F5289E" w:rsidRDefault="00C91173">
      <w:pPr>
        <w:pStyle w:val="1"/>
      </w:pPr>
      <w:bookmarkStart w:id="54" w:name="_Toc138606238"/>
      <w:r>
        <w:rPr>
          <w:rFonts w:hint="eastAsia"/>
        </w:rPr>
        <w:lastRenderedPageBreak/>
        <w:t>农业设施工程学</w:t>
      </w:r>
      <w:bookmarkEnd w:id="54"/>
    </w:p>
    <w:p w14:paraId="167D2828" w14:textId="77777777" w:rsidR="00F5289E" w:rsidRDefault="004156EB">
      <w:pPr>
        <w:snapToGrid w:val="0"/>
        <w:spacing w:line="360" w:lineRule="auto"/>
        <w:jc w:val="center"/>
        <w:rPr>
          <w:bCs/>
          <w:szCs w:val="21"/>
        </w:rPr>
      </w:pPr>
      <w:r>
        <w:rPr>
          <w:rFonts w:hint="eastAsia"/>
          <w:bCs/>
          <w:sz w:val="28"/>
          <w:szCs w:val="28"/>
        </w:rPr>
        <w:t>（</w:t>
      </w:r>
      <w:r>
        <w:rPr>
          <w:bCs/>
          <w:sz w:val="28"/>
          <w:szCs w:val="28"/>
        </w:rPr>
        <w:t>Protected Agriculture Engineering</w:t>
      </w:r>
      <w:r>
        <w:rPr>
          <w:rFonts w:hint="eastAsia"/>
          <w:bCs/>
          <w:sz w:val="28"/>
          <w:szCs w:val="28"/>
        </w:rPr>
        <w:t>）</w:t>
      </w:r>
    </w:p>
    <w:p w14:paraId="5A7A3369"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56A6FDC" w14:textId="77777777">
        <w:tc>
          <w:tcPr>
            <w:tcW w:w="1666" w:type="pct"/>
          </w:tcPr>
          <w:p w14:paraId="1D133BC8"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19011129h</w:t>
            </w:r>
          </w:p>
        </w:tc>
        <w:tc>
          <w:tcPr>
            <w:tcW w:w="1453" w:type="pct"/>
          </w:tcPr>
          <w:p w14:paraId="05E92C12"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hint="eastAsia"/>
                <w:szCs w:val="21"/>
              </w:rPr>
              <w:t>64</w:t>
            </w:r>
          </w:p>
        </w:tc>
        <w:tc>
          <w:tcPr>
            <w:tcW w:w="1881" w:type="pct"/>
          </w:tcPr>
          <w:p w14:paraId="5D4C5BCB" w14:textId="623470EA"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hint="eastAsia"/>
                <w:szCs w:val="21"/>
              </w:rPr>
              <w:t>10</w:t>
            </w:r>
          </w:p>
        </w:tc>
      </w:tr>
      <w:tr w:rsidR="00F5289E" w14:paraId="7EA0D157" w14:textId="77777777">
        <w:tc>
          <w:tcPr>
            <w:tcW w:w="1666" w:type="pct"/>
          </w:tcPr>
          <w:p w14:paraId="6F522116"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hAnsi="宋体" w:hint="eastAsia"/>
                <w:bCs/>
                <w:kern w:val="0"/>
                <w:szCs w:val="21"/>
              </w:rPr>
              <w:t>必修</w:t>
            </w:r>
          </w:p>
        </w:tc>
        <w:tc>
          <w:tcPr>
            <w:tcW w:w="1453" w:type="pct"/>
          </w:tcPr>
          <w:p w14:paraId="3CCC44D9" w14:textId="77777777" w:rsidR="00F5289E" w:rsidRDefault="00C91173">
            <w:pPr>
              <w:spacing w:line="300" w:lineRule="auto"/>
              <w:rPr>
                <w:rFonts w:ascii="宋体" w:hAnsi="宋体"/>
                <w:b/>
                <w:bCs/>
                <w:szCs w:val="21"/>
              </w:rPr>
            </w:pPr>
            <w:r>
              <w:rPr>
                <w:rFonts w:ascii="宋体" w:hAnsi="宋体" w:hint="eastAsia"/>
                <w:b/>
                <w:szCs w:val="21"/>
              </w:rPr>
              <w:t>课程属性:</w:t>
            </w:r>
            <w:r>
              <w:rPr>
                <w:rFonts w:hAnsi="宋体" w:hint="eastAsia"/>
                <w:bCs/>
                <w:kern w:val="0"/>
                <w:szCs w:val="21"/>
              </w:rPr>
              <w:t>专业类</w:t>
            </w:r>
          </w:p>
        </w:tc>
        <w:tc>
          <w:tcPr>
            <w:tcW w:w="1881" w:type="pct"/>
          </w:tcPr>
          <w:p w14:paraId="037A1C6A"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第4学期</w:t>
            </w:r>
          </w:p>
        </w:tc>
      </w:tr>
      <w:tr w:rsidR="00F5289E" w14:paraId="4A34D1D6" w14:textId="77777777">
        <w:tc>
          <w:tcPr>
            <w:tcW w:w="1666" w:type="pct"/>
          </w:tcPr>
          <w:p w14:paraId="7A8BF7B4"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董晓星</w:t>
            </w:r>
          </w:p>
        </w:tc>
        <w:tc>
          <w:tcPr>
            <w:tcW w:w="1453" w:type="pct"/>
          </w:tcPr>
          <w:p w14:paraId="66AAB364"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董晓星 国志信</w:t>
            </w:r>
          </w:p>
        </w:tc>
        <w:tc>
          <w:tcPr>
            <w:tcW w:w="1881" w:type="pct"/>
          </w:tcPr>
          <w:p w14:paraId="3DB0FF09" w14:textId="62133E09" w:rsidR="00F5289E" w:rsidRDefault="00C91173">
            <w:pPr>
              <w:spacing w:line="300" w:lineRule="auto"/>
              <w:rPr>
                <w:rFonts w:ascii="宋体" w:hAnsi="宋体"/>
                <w:b/>
                <w:bCs/>
                <w:szCs w:val="21"/>
              </w:rPr>
            </w:pPr>
            <w:r>
              <w:rPr>
                <w:rFonts w:ascii="宋体" w:hAnsi="宋体" w:hint="eastAsia"/>
                <w:b/>
                <w:bCs/>
                <w:szCs w:val="21"/>
              </w:rPr>
              <w:t>授课语言：</w:t>
            </w:r>
            <w:r w:rsidR="0088059B" w:rsidRPr="0088059B">
              <w:rPr>
                <w:rFonts w:ascii="宋体" w:hAnsi="宋体" w:hint="eastAsia"/>
                <w:szCs w:val="21"/>
              </w:rPr>
              <w:t>中文</w:t>
            </w:r>
          </w:p>
        </w:tc>
      </w:tr>
      <w:tr w:rsidR="00F5289E" w14:paraId="5899C117" w14:textId="77777777">
        <w:tc>
          <w:tcPr>
            <w:tcW w:w="5000" w:type="pct"/>
            <w:gridSpan w:val="3"/>
          </w:tcPr>
          <w:p w14:paraId="6762E937"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Pr>
                <w:rFonts w:hint="eastAsia"/>
              </w:rPr>
              <w:t>设施农业科学与工程；核心</w:t>
            </w:r>
          </w:p>
        </w:tc>
      </w:tr>
      <w:tr w:rsidR="00F5289E" w14:paraId="7DDFE83F" w14:textId="77777777">
        <w:tc>
          <w:tcPr>
            <w:tcW w:w="5000" w:type="pct"/>
            <w:gridSpan w:val="3"/>
          </w:tcPr>
          <w:p w14:paraId="1D916E97" w14:textId="77777777" w:rsidR="00F5289E" w:rsidRDefault="00C91173">
            <w:pPr>
              <w:spacing w:line="300" w:lineRule="auto"/>
              <w:rPr>
                <w:rFonts w:ascii="宋体" w:hAnsi="宋体"/>
              </w:rPr>
            </w:pPr>
            <w:r>
              <w:rPr>
                <w:rFonts w:ascii="宋体" w:hAnsi="宋体" w:hint="eastAsia"/>
                <w:b/>
                <w:bCs/>
                <w:szCs w:val="21"/>
              </w:rPr>
              <w:t>对先修的要求：</w:t>
            </w:r>
            <w:r>
              <w:rPr>
                <w:rFonts w:ascii="宋体" w:hAnsi="宋体" w:hint="eastAsia"/>
              </w:rPr>
              <w:t>先修主要课程：现代工程</w:t>
            </w:r>
            <w:r>
              <w:rPr>
                <w:rFonts w:ascii="宋体" w:hAnsi="宋体"/>
              </w:rPr>
              <w:t>图学、</w:t>
            </w:r>
            <w:r>
              <w:rPr>
                <w:rFonts w:ascii="宋体" w:hAnsi="宋体" w:hint="eastAsia"/>
              </w:rPr>
              <w:t>传热学、设施</w:t>
            </w:r>
            <w:r>
              <w:rPr>
                <w:rFonts w:ascii="宋体" w:hAnsi="宋体"/>
              </w:rPr>
              <w:t>工程力学、应用气象学</w:t>
            </w:r>
            <w:r>
              <w:rPr>
                <w:rFonts w:ascii="宋体" w:hAnsi="宋体" w:hint="eastAsia"/>
              </w:rPr>
              <w:t>；</w:t>
            </w:r>
          </w:p>
          <w:p w14:paraId="6F4C6B86" w14:textId="77777777" w:rsidR="00F5289E" w:rsidRDefault="00C91173">
            <w:pPr>
              <w:spacing w:line="300" w:lineRule="auto"/>
              <w:rPr>
                <w:rFonts w:ascii="宋体" w:hAnsi="宋体"/>
              </w:rPr>
            </w:pPr>
            <w:r>
              <w:rPr>
                <w:rFonts w:ascii="宋体" w:hAnsi="宋体" w:hint="eastAsia"/>
              </w:rPr>
              <w:t>先修知识点</w:t>
            </w:r>
            <w:r>
              <w:rPr>
                <w:rFonts w:ascii="宋体" w:hAnsi="宋体"/>
              </w:rPr>
              <w:t>：</w:t>
            </w:r>
            <w:r>
              <w:rPr>
                <w:rFonts w:ascii="宋体" w:hAnsi="宋体" w:hint="eastAsia"/>
              </w:rPr>
              <w:t>掌握建筑透视、结构内力计算和气候气象学方面的知识；</w:t>
            </w:r>
          </w:p>
          <w:p w14:paraId="61C5D742" w14:textId="77777777" w:rsidR="00F5289E" w:rsidRDefault="00C91173">
            <w:pPr>
              <w:spacing w:line="300" w:lineRule="auto"/>
              <w:rPr>
                <w:rFonts w:ascii="宋体" w:hAnsi="宋体"/>
                <w:b/>
                <w:bCs/>
                <w:szCs w:val="21"/>
              </w:rPr>
            </w:pPr>
            <w:r>
              <w:rPr>
                <w:rFonts w:ascii="宋体" w:hAnsi="宋体" w:hint="eastAsia"/>
              </w:rPr>
              <w:t>先修</w:t>
            </w:r>
            <w:r>
              <w:rPr>
                <w:rFonts w:ascii="宋体" w:hAnsi="宋体"/>
              </w:rPr>
              <w:t>能力和素质：</w:t>
            </w:r>
            <w:r>
              <w:rPr>
                <w:rFonts w:ascii="宋体" w:hAnsi="宋体" w:hint="eastAsia"/>
              </w:rPr>
              <w:t>具备空间想象和图形表达能力，</w:t>
            </w:r>
            <w:r>
              <w:rPr>
                <w:rFonts w:ascii="宋体" w:hAnsi="宋体"/>
              </w:rPr>
              <w:t>具有独立学习和思考</w:t>
            </w:r>
            <w:r>
              <w:rPr>
                <w:rFonts w:ascii="宋体" w:hAnsi="宋体" w:hint="eastAsia"/>
              </w:rPr>
              <w:t>的</w:t>
            </w:r>
            <w:r>
              <w:rPr>
                <w:rFonts w:ascii="宋体" w:hAnsi="宋体"/>
              </w:rPr>
              <w:t>能力</w:t>
            </w:r>
            <w:r>
              <w:rPr>
                <w:rFonts w:ascii="宋体" w:hAnsi="宋体" w:hint="eastAsia"/>
              </w:rPr>
              <w:t>。</w:t>
            </w:r>
          </w:p>
        </w:tc>
      </w:tr>
      <w:tr w:rsidR="00F5289E" w14:paraId="549B4973" w14:textId="77777777">
        <w:tc>
          <w:tcPr>
            <w:tcW w:w="5000" w:type="pct"/>
            <w:gridSpan w:val="3"/>
          </w:tcPr>
          <w:p w14:paraId="11DDC0F6" w14:textId="77777777" w:rsidR="00F5289E" w:rsidRDefault="00C91173">
            <w:pPr>
              <w:spacing w:line="300" w:lineRule="auto"/>
              <w:rPr>
                <w:rFonts w:ascii="宋体" w:hAnsi="宋体"/>
                <w:bCs/>
                <w:szCs w:val="21"/>
              </w:rPr>
            </w:pPr>
            <w:r>
              <w:rPr>
                <w:rFonts w:ascii="宋体" w:hAnsi="宋体" w:hint="eastAsia"/>
                <w:b/>
                <w:bCs/>
                <w:szCs w:val="21"/>
              </w:rPr>
              <w:t>对后续的支撑：</w:t>
            </w:r>
            <w:r>
              <w:rPr>
                <w:rFonts w:ascii="宋体" w:hAnsi="宋体" w:hint="eastAsia"/>
                <w:bCs/>
                <w:szCs w:val="21"/>
              </w:rPr>
              <w:t>设施农业工程预概算、生产实习。</w:t>
            </w:r>
          </w:p>
          <w:p w14:paraId="03404B74" w14:textId="77777777" w:rsidR="00F5289E" w:rsidRDefault="00C91173">
            <w:pPr>
              <w:spacing w:line="300" w:lineRule="auto"/>
              <w:rPr>
                <w:rFonts w:ascii="宋体" w:hAnsi="宋体"/>
                <w:b/>
                <w:bCs/>
                <w:szCs w:val="21"/>
              </w:rPr>
            </w:pPr>
            <w:r>
              <w:rPr>
                <w:rFonts w:ascii="宋体" w:hAnsi="宋体" w:hint="eastAsia"/>
                <w:bCs/>
                <w:szCs w:val="21"/>
              </w:rPr>
              <w:t>园艺设施设计方法与建造技术等是进行设施农业工程预算的基础，培养</w:t>
            </w:r>
            <w:r>
              <w:rPr>
                <w:rFonts w:ascii="宋体" w:hAnsi="宋体"/>
                <w:bCs/>
                <w:szCs w:val="21"/>
              </w:rPr>
              <w:t>学生的专业素养</w:t>
            </w:r>
            <w:r>
              <w:rPr>
                <w:rFonts w:ascii="宋体" w:hAnsi="宋体" w:hint="eastAsia"/>
                <w:bCs/>
                <w:szCs w:val="21"/>
              </w:rPr>
              <w:t>、综合应用和创新</w:t>
            </w:r>
            <w:r>
              <w:rPr>
                <w:rFonts w:ascii="宋体" w:hAnsi="宋体"/>
                <w:bCs/>
                <w:szCs w:val="21"/>
              </w:rPr>
              <w:t>能力。</w:t>
            </w:r>
          </w:p>
        </w:tc>
      </w:tr>
      <w:tr w:rsidR="00F5289E" w14:paraId="47C3984B" w14:textId="77777777">
        <w:tc>
          <w:tcPr>
            <w:tcW w:w="1666" w:type="pct"/>
          </w:tcPr>
          <w:p w14:paraId="645DB657"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董晓星</w:t>
            </w:r>
          </w:p>
        </w:tc>
        <w:tc>
          <w:tcPr>
            <w:tcW w:w="1453" w:type="pct"/>
          </w:tcPr>
          <w:p w14:paraId="7A291838"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国志信</w:t>
            </w:r>
          </w:p>
        </w:tc>
        <w:tc>
          <w:tcPr>
            <w:tcW w:w="1881" w:type="pct"/>
          </w:tcPr>
          <w:p w14:paraId="15931CC6"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2023.</w:t>
            </w:r>
            <w:r>
              <w:rPr>
                <w:rFonts w:ascii="宋体" w:hAnsi="宋体"/>
                <w:szCs w:val="21"/>
              </w:rPr>
              <w:t>0</w:t>
            </w:r>
            <w:r w:rsidR="004156EB">
              <w:rPr>
                <w:rFonts w:ascii="宋体" w:hAnsi="宋体"/>
                <w:szCs w:val="21"/>
              </w:rPr>
              <w:t>5</w:t>
            </w:r>
          </w:p>
        </w:tc>
      </w:tr>
    </w:tbl>
    <w:p w14:paraId="35B65036" w14:textId="77777777" w:rsidR="00F5289E" w:rsidRDefault="00F5289E">
      <w:pPr>
        <w:widowControl/>
        <w:snapToGrid w:val="0"/>
        <w:spacing w:line="360" w:lineRule="auto"/>
        <w:jc w:val="left"/>
        <w:rPr>
          <w:rFonts w:hAnsi="宋体"/>
          <w:b/>
          <w:bCs/>
          <w:kern w:val="0"/>
          <w:szCs w:val="21"/>
        </w:rPr>
      </w:pPr>
    </w:p>
    <w:p w14:paraId="2E2FEEBA"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7FE61781" w14:textId="77777777" w:rsidR="00F5289E" w:rsidRDefault="00C9117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农业设施工程学》是设施农业科学与工程专业的核心专业课，是实现设工专业人才培养目标的关键一环。课程内容主要包括园艺设施材料、类型、性能、设计、建造和应用的内容，系统阐述了不同园艺设施类型、特点和设计建造要点，是一门</w:t>
      </w:r>
      <w:r>
        <w:rPr>
          <w:rFonts w:asciiTheme="minorEastAsia" w:eastAsiaTheme="minorEastAsia" w:hAnsiTheme="minorEastAsia" w:cstheme="minorEastAsia" w:hint="eastAsia"/>
          <w:szCs w:val="21"/>
        </w:rPr>
        <w:t>涉及园艺学、建筑工程学、材料学和环境调节学等的跨学科综合性课程。通过课程学习，</w:t>
      </w:r>
      <w:r>
        <w:rPr>
          <w:rFonts w:asciiTheme="minorEastAsia" w:eastAsiaTheme="minorEastAsia" w:hAnsiTheme="minorEastAsia" w:cstheme="minorEastAsia" w:hint="eastAsia"/>
          <w:kern w:val="0"/>
          <w:szCs w:val="21"/>
        </w:rPr>
        <w:t>学生掌握农业设施的类型与性能、规划与设计、材料与施工的基本知识与理论，锻炼从事农业设施工程设计、建造的技能，探索发现当前园艺设施设计和应用的局限性，理解产业发展方向，提升自主学习、批判性思维和沟通协作的能力，具备大胆质疑、积极求真和勇于创新的科学素养，认识到农科学生的社会责任，为农业增效、农民增收和繁荣农村经济助力。课程将采用思维导图归纳法、情境教学法、项目教学法、混合式教学法等多种教学方法，</w:t>
      </w:r>
      <w:r>
        <w:rPr>
          <w:rFonts w:asciiTheme="minorEastAsia" w:eastAsiaTheme="minorEastAsia" w:hAnsiTheme="minorEastAsia" w:cstheme="minorEastAsia" w:hint="eastAsia"/>
          <w:szCs w:val="21"/>
        </w:rPr>
        <w:t>培养学生的高阶能力，增加课程的挑战度，</w:t>
      </w:r>
      <w:r>
        <w:rPr>
          <w:rFonts w:asciiTheme="minorEastAsia" w:eastAsiaTheme="minorEastAsia" w:hAnsiTheme="minorEastAsia" w:cstheme="minorEastAsia" w:hint="eastAsia"/>
          <w:kern w:val="0"/>
          <w:szCs w:val="21"/>
        </w:rPr>
        <w:t>实现以学生为中心、以教师为主导，</w:t>
      </w:r>
      <w:r>
        <w:rPr>
          <w:rFonts w:asciiTheme="minorEastAsia" w:eastAsiaTheme="minorEastAsia" w:hAnsiTheme="minorEastAsia" w:cstheme="minorEastAsia" w:hint="eastAsia"/>
          <w:szCs w:val="21"/>
        </w:rPr>
        <w:t>提升人才培养质量</w:t>
      </w:r>
      <w:r>
        <w:rPr>
          <w:rFonts w:asciiTheme="minorEastAsia" w:eastAsiaTheme="minorEastAsia" w:hAnsiTheme="minorEastAsia" w:cstheme="minorEastAsia" w:hint="eastAsia"/>
          <w:kern w:val="0"/>
          <w:szCs w:val="21"/>
        </w:rPr>
        <w:t>。</w:t>
      </w:r>
    </w:p>
    <w:p w14:paraId="3920AA12"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35295845"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rFonts w:hAnsi="宋体" w:hint="eastAsia"/>
          <w:kern w:val="0"/>
          <w:szCs w:val="21"/>
        </w:rPr>
        <w:t>通过课程学习，要求学生掌握园艺设施的类型及应用、园艺设施建造材料的特性、简易园艺设施、塑料大棚、日光温室和连栋温室的设计理论和方法，理解园艺设施的建造技术，了解园艺设施的发展方向。</w:t>
      </w:r>
    </w:p>
    <w:p w14:paraId="0E2C1FD8"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2.</w:t>
      </w:r>
      <w:r>
        <w:rPr>
          <w:rFonts w:hint="eastAsia"/>
          <w:kern w:val="0"/>
          <w:szCs w:val="21"/>
        </w:rPr>
        <w:t>实验技能方面：要求学生掌握电热温床的铺设方法、掌握塑料大棚、日光温室施工图的绘制，能够识读连栋温室的施工图。</w:t>
      </w:r>
    </w:p>
    <w:p w14:paraId="4DCE4D9A"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7E83E642"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25255F99" w14:textId="77777777" w:rsidR="00F5289E" w:rsidRDefault="00C91173">
      <w:pPr>
        <w:spacing w:line="360" w:lineRule="auto"/>
        <w:ind w:firstLineChars="200" w:firstLine="420"/>
        <w:jc w:val="left"/>
        <w:rPr>
          <w:rFonts w:eastAsiaTheme="majorEastAsia"/>
          <w:bCs/>
          <w:szCs w:val="21"/>
        </w:rPr>
      </w:pPr>
      <w:r>
        <w:rPr>
          <w:rFonts w:eastAsiaTheme="majorEastAsia"/>
          <w:bCs/>
          <w:szCs w:val="21"/>
        </w:rPr>
        <w:t>基于</w:t>
      </w:r>
      <w:r>
        <w:rPr>
          <w:rFonts w:eastAsiaTheme="majorEastAsia"/>
          <w:bCs/>
          <w:szCs w:val="21"/>
        </w:rPr>
        <w:t>OBE</w:t>
      </w:r>
      <w:r>
        <w:rPr>
          <w:rFonts w:eastAsiaTheme="majorEastAsia"/>
          <w:bCs/>
          <w:szCs w:val="21"/>
        </w:rPr>
        <w:t>教学理念，实现以学生发展为中心，培养学生的高阶能力，课程确定了产出目标如下：学生一方面应掌握专业知识和综合技能，为农业增效、农民增收和繁荣农村经济助力；另一方面要注重高阶素养的养成，具备面向未来的能力和良好的道德品质，两方面都要抓牢。将课堂教学从传统课堂注重知识点传授的</w:t>
      </w:r>
      <w:r>
        <w:rPr>
          <w:rFonts w:eastAsiaTheme="majorEastAsia"/>
          <w:bCs/>
          <w:szCs w:val="21"/>
        </w:rPr>
        <w:t>“</w:t>
      </w:r>
      <w:r>
        <w:rPr>
          <w:rFonts w:eastAsiaTheme="majorEastAsia"/>
          <w:bCs/>
          <w:szCs w:val="21"/>
        </w:rPr>
        <w:t>以教为中心</w:t>
      </w:r>
      <w:r>
        <w:rPr>
          <w:rFonts w:eastAsiaTheme="majorEastAsia"/>
          <w:bCs/>
          <w:szCs w:val="21"/>
        </w:rPr>
        <w:t>”</w:t>
      </w:r>
      <w:r>
        <w:rPr>
          <w:rFonts w:eastAsiaTheme="majorEastAsia"/>
          <w:bCs/>
          <w:szCs w:val="21"/>
        </w:rPr>
        <w:t>向</w:t>
      </w:r>
      <w:r>
        <w:rPr>
          <w:rFonts w:eastAsiaTheme="majorEastAsia"/>
          <w:bCs/>
          <w:szCs w:val="21"/>
        </w:rPr>
        <w:t>“</w:t>
      </w:r>
      <w:r>
        <w:rPr>
          <w:rFonts w:eastAsiaTheme="majorEastAsia"/>
          <w:bCs/>
          <w:szCs w:val="21"/>
        </w:rPr>
        <w:t>知识</w:t>
      </w:r>
      <w:r>
        <w:rPr>
          <w:rFonts w:eastAsiaTheme="majorEastAsia"/>
          <w:bCs/>
          <w:szCs w:val="21"/>
        </w:rPr>
        <w:t>+</w:t>
      </w:r>
      <w:r>
        <w:rPr>
          <w:rFonts w:eastAsiaTheme="majorEastAsia"/>
          <w:bCs/>
          <w:szCs w:val="21"/>
        </w:rPr>
        <w:t>综合技能</w:t>
      </w:r>
      <w:r>
        <w:rPr>
          <w:rFonts w:eastAsiaTheme="majorEastAsia"/>
          <w:bCs/>
          <w:szCs w:val="21"/>
        </w:rPr>
        <w:t>+</w:t>
      </w:r>
      <w:r>
        <w:rPr>
          <w:rFonts w:eastAsiaTheme="majorEastAsia"/>
          <w:bCs/>
          <w:szCs w:val="21"/>
        </w:rPr>
        <w:t>高阶素养</w:t>
      </w:r>
      <w:r>
        <w:rPr>
          <w:rFonts w:eastAsiaTheme="majorEastAsia"/>
          <w:bCs/>
          <w:szCs w:val="21"/>
        </w:rPr>
        <w:t>”</w:t>
      </w:r>
      <w:r>
        <w:rPr>
          <w:rFonts w:eastAsiaTheme="majorEastAsia"/>
          <w:bCs/>
          <w:szCs w:val="21"/>
        </w:rPr>
        <w:t>并重的</w:t>
      </w:r>
      <w:r>
        <w:rPr>
          <w:rFonts w:eastAsiaTheme="majorEastAsia"/>
          <w:bCs/>
          <w:szCs w:val="21"/>
        </w:rPr>
        <w:t>“</w:t>
      </w:r>
      <w:r>
        <w:rPr>
          <w:rFonts w:eastAsiaTheme="majorEastAsia"/>
          <w:bCs/>
          <w:szCs w:val="21"/>
        </w:rPr>
        <w:t>以学为中心</w:t>
      </w:r>
      <w:r>
        <w:rPr>
          <w:rFonts w:eastAsiaTheme="majorEastAsia"/>
          <w:bCs/>
          <w:szCs w:val="21"/>
        </w:rPr>
        <w:t>”</w:t>
      </w:r>
      <w:r>
        <w:rPr>
          <w:rFonts w:eastAsiaTheme="majorEastAsia"/>
          <w:bCs/>
          <w:szCs w:val="21"/>
        </w:rPr>
        <w:t>教学模式转变。</w:t>
      </w:r>
    </w:p>
    <w:p w14:paraId="25D14088" w14:textId="77777777" w:rsidR="00F5289E" w:rsidRDefault="00C91173">
      <w:pPr>
        <w:spacing w:line="360" w:lineRule="auto"/>
        <w:ind w:firstLineChars="200" w:firstLine="420"/>
        <w:jc w:val="left"/>
        <w:rPr>
          <w:rFonts w:eastAsiaTheme="majorEastAsia"/>
          <w:bCs/>
          <w:szCs w:val="21"/>
        </w:rPr>
      </w:pPr>
      <w:r>
        <w:rPr>
          <w:rFonts w:eastAsiaTheme="majorEastAsia"/>
          <w:bCs/>
          <w:szCs w:val="21"/>
        </w:rPr>
        <w:t>依据前述教学产出目标，反向进行课程体系设计和单元教学设计，形成了园艺设施材料、类型、设计、建造的教学内容体系。针对每一个教学单元内容，将学生知识和综合技能的获得作为教学设计明线，高阶素养的养成作为教学设计的暗线，组织教学内容。</w:t>
      </w:r>
    </w:p>
    <w:p w14:paraId="67A573FA" w14:textId="77777777" w:rsidR="00F5289E" w:rsidRDefault="00C91173">
      <w:pPr>
        <w:spacing w:line="360" w:lineRule="auto"/>
        <w:ind w:firstLineChars="200" w:firstLine="420"/>
        <w:rPr>
          <w:rFonts w:eastAsiaTheme="majorEastAsia"/>
          <w:szCs w:val="21"/>
        </w:rPr>
      </w:pPr>
      <w:r>
        <w:rPr>
          <w:rFonts w:eastAsiaTheme="majorEastAsia"/>
          <w:szCs w:val="21"/>
        </w:rPr>
        <w:t>课程将采用思维导图教学法、项目教学法和混合式教学法，开展以思维导图和项目化教学为抓手的线上线下混合式教学。该模式以思维导图和项目为驱动，结合已建成的在线课程，安排</w:t>
      </w:r>
      <w:r>
        <w:rPr>
          <w:rFonts w:eastAsiaTheme="majorEastAsia"/>
          <w:szCs w:val="21"/>
        </w:rPr>
        <w:t>35%</w:t>
      </w:r>
      <w:r>
        <w:rPr>
          <w:rFonts w:eastAsiaTheme="majorEastAsia"/>
          <w:szCs w:val="21"/>
        </w:rPr>
        <w:t>左右的学生课前线上自主学习时间，并进行线上测试，完成课前任务。线下面授主要进行疑难点讲评和情境问题的讨论，提高学生的课堂参与度，增强学生的课堂获得感。课后学生阅读文献，完成学习报告，让课堂</w:t>
      </w:r>
      <w:r>
        <w:rPr>
          <w:rFonts w:eastAsiaTheme="majorEastAsia"/>
          <w:szCs w:val="21"/>
        </w:rPr>
        <w:t>“</w:t>
      </w:r>
      <w:r>
        <w:rPr>
          <w:rFonts w:eastAsiaTheme="majorEastAsia"/>
          <w:szCs w:val="21"/>
        </w:rPr>
        <w:t>活</w:t>
      </w:r>
      <w:r>
        <w:rPr>
          <w:rFonts w:eastAsiaTheme="majorEastAsia"/>
          <w:szCs w:val="21"/>
        </w:rPr>
        <w:t>”</w:t>
      </w:r>
      <w:r>
        <w:rPr>
          <w:rFonts w:eastAsiaTheme="majorEastAsia"/>
          <w:szCs w:val="21"/>
        </w:rPr>
        <w:t>起来，学生</w:t>
      </w:r>
      <w:r>
        <w:rPr>
          <w:rFonts w:eastAsiaTheme="majorEastAsia"/>
          <w:szCs w:val="21"/>
        </w:rPr>
        <w:t>“</w:t>
      </w:r>
      <w:r>
        <w:rPr>
          <w:rFonts w:eastAsiaTheme="majorEastAsia"/>
          <w:szCs w:val="21"/>
        </w:rPr>
        <w:t>忙</w:t>
      </w:r>
      <w:r>
        <w:rPr>
          <w:rFonts w:eastAsiaTheme="majorEastAsia"/>
          <w:szCs w:val="21"/>
        </w:rPr>
        <w:t>”</w:t>
      </w:r>
      <w:r>
        <w:rPr>
          <w:rFonts w:eastAsiaTheme="majorEastAsia"/>
          <w:szCs w:val="21"/>
        </w:rPr>
        <w:t>起来。</w:t>
      </w:r>
    </w:p>
    <w:p w14:paraId="515F1E1A" w14:textId="77777777" w:rsidR="00F5289E" w:rsidRDefault="00C91173">
      <w:pPr>
        <w:spacing w:line="360" w:lineRule="auto"/>
        <w:ind w:firstLineChars="200" w:firstLine="420"/>
        <w:jc w:val="left"/>
        <w:rPr>
          <w:rFonts w:eastAsiaTheme="majorEastAsia"/>
          <w:szCs w:val="21"/>
        </w:rPr>
      </w:pPr>
      <w:r>
        <w:rPr>
          <w:rFonts w:eastAsiaTheme="majorEastAsia"/>
          <w:szCs w:val="21"/>
        </w:rPr>
        <w:t>课前，教师通过在线学习平台，明确给出学习任务，为学生打造个性化的学习空间，学生在课前先完成课程任务单的学习；课中面授课程主要进行疑难讲解，解决学生在课前学习过程和项目作业中存在的疑难点；开展情境教学活动，若知识点主要为行业和生产服务，则依据行业和生产中的实际问题做背景创设情境问题，引导学生利用已学习的知识解决情境问题，锻炼学生利用所学知识解决问题的综合能力。若知识点有发展性，与科研紧密相关，则依据科研背景和改良方向创设情境问题，引导学生反思当前所学习知识点的不足，发现存在的问题，思考解决办法，锻炼学生的批判性思维和创新能力。让学生在学习完知识点后，总结并反思当前所学内容的特点和不足，然后阅读相关文献或查阅资料，探索改进和解决方法，完成学习报告，提高课程的挑战度，并依托学生的学习报告举行温室创新改良大赛和温室模型设计制作大赛，进一步锻炼学生的实践和创新能力，让学生</w:t>
      </w:r>
      <w:r>
        <w:rPr>
          <w:rFonts w:eastAsiaTheme="majorEastAsia"/>
          <w:szCs w:val="21"/>
        </w:rPr>
        <w:t>“</w:t>
      </w:r>
      <w:r>
        <w:rPr>
          <w:rFonts w:eastAsiaTheme="majorEastAsia"/>
          <w:szCs w:val="21"/>
        </w:rPr>
        <w:t>忙</w:t>
      </w:r>
      <w:r>
        <w:rPr>
          <w:rFonts w:eastAsiaTheme="majorEastAsia"/>
          <w:szCs w:val="21"/>
        </w:rPr>
        <w:t>”</w:t>
      </w:r>
      <w:r>
        <w:rPr>
          <w:rFonts w:eastAsiaTheme="majorEastAsia"/>
          <w:szCs w:val="21"/>
        </w:rPr>
        <w:t>起来，实现人才培养质量的提升。</w:t>
      </w:r>
    </w:p>
    <w:p w14:paraId="4912B4F2" w14:textId="77777777" w:rsidR="00F5289E" w:rsidRDefault="00C91173">
      <w:pPr>
        <w:spacing w:line="360" w:lineRule="auto"/>
        <w:ind w:firstLineChars="200" w:firstLine="420"/>
        <w:jc w:val="left"/>
        <w:rPr>
          <w:rFonts w:eastAsiaTheme="majorEastAsia"/>
          <w:bCs/>
          <w:color w:val="0000FF"/>
          <w:kern w:val="0"/>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评价和终结性评价各占</w:t>
      </w:r>
      <w:r>
        <w:rPr>
          <w:rFonts w:eastAsiaTheme="majorEastAsia"/>
          <w:szCs w:val="21"/>
        </w:rPr>
        <w:t>50%</w:t>
      </w:r>
      <w:r>
        <w:rPr>
          <w:rFonts w:eastAsiaTheme="majorEastAsia"/>
          <w:szCs w:val="21"/>
        </w:rPr>
        <w:t>。过程</w:t>
      </w:r>
      <w:r>
        <w:rPr>
          <w:rFonts w:eastAsiaTheme="majorEastAsia" w:hint="eastAsia"/>
          <w:szCs w:val="21"/>
        </w:rPr>
        <w:t>性</w:t>
      </w:r>
      <w:r>
        <w:rPr>
          <w:rFonts w:eastAsiaTheme="majorEastAsia"/>
          <w:szCs w:val="21"/>
        </w:rPr>
        <w:t>评价计分点主要包括对课前学习、考勤、课堂测试、课堂讨论、单元测试、研究性学习报告、温室创新改良大赛、温室模型设计制作大赛的考评。学生在学习过程中的行为均被记录并评分，得出平时成绩，其中，课前学习、考勤、课堂测试、课堂讨论各占</w:t>
      </w:r>
      <w:r>
        <w:rPr>
          <w:rFonts w:eastAsiaTheme="majorEastAsia"/>
          <w:szCs w:val="21"/>
        </w:rPr>
        <w:t>5%</w:t>
      </w:r>
      <w:r>
        <w:rPr>
          <w:rFonts w:eastAsiaTheme="majorEastAsia"/>
          <w:szCs w:val="21"/>
        </w:rPr>
        <w:t>，实验报告和单元测试各占</w:t>
      </w:r>
      <w:r>
        <w:rPr>
          <w:rFonts w:eastAsiaTheme="majorEastAsia"/>
          <w:szCs w:val="21"/>
        </w:rPr>
        <w:t>15%</w:t>
      </w:r>
      <w:r>
        <w:rPr>
          <w:rFonts w:eastAsiaTheme="majorEastAsia"/>
          <w:szCs w:val="21"/>
        </w:rPr>
        <w:t>，研究性学习报告、温室创新改良大赛和温室模型设计制作大赛共占</w:t>
      </w:r>
      <w:r>
        <w:rPr>
          <w:rFonts w:eastAsiaTheme="majorEastAsia"/>
          <w:szCs w:val="21"/>
        </w:rPr>
        <w:t>50%</w:t>
      </w:r>
      <w:r>
        <w:rPr>
          <w:rFonts w:eastAsiaTheme="majorEastAsia"/>
          <w:szCs w:val="21"/>
        </w:rPr>
        <w:t>。终结性考核以产</w:t>
      </w:r>
      <w:r>
        <w:rPr>
          <w:rFonts w:eastAsiaTheme="majorEastAsia"/>
          <w:szCs w:val="21"/>
        </w:rPr>
        <w:lastRenderedPageBreak/>
        <w:t>业需要和行业要求为导向，设计具有综合性、开放性、延伸性的题目。</w:t>
      </w:r>
    </w:p>
    <w:p w14:paraId="6DB47829"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0DA808D1"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F72AB57"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D23F88E"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8033228"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7CDAE7FD"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0266FD11"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44071F10" w14:textId="77777777" w:rsidR="00F5289E" w:rsidRDefault="00C91173">
            <w:pPr>
              <w:spacing w:line="320" w:lineRule="exact"/>
              <w:jc w:val="left"/>
              <w:rPr>
                <w:rFonts w:eastAsiaTheme="minorEastAsia"/>
                <w:sz w:val="18"/>
                <w:szCs w:val="18"/>
              </w:rPr>
            </w:pPr>
            <w:r>
              <w:rPr>
                <w:rFonts w:eastAsiaTheme="minorEastAsia"/>
                <w:sz w:val="18"/>
                <w:szCs w:val="18"/>
              </w:rPr>
              <w:t>知识目标：学生能够掌握建筑工程材料和覆盖材料的特点，熟悉园艺设施的类型、性能和应用，</w:t>
            </w:r>
            <w:r>
              <w:rPr>
                <w:rFonts w:eastAsiaTheme="minorEastAsia"/>
                <w:sz w:val="18"/>
                <w:szCs w:val="18"/>
              </w:rPr>
              <w:t xml:space="preserve"> </w:t>
            </w:r>
            <w:r>
              <w:rPr>
                <w:rFonts w:eastAsiaTheme="minorEastAsia"/>
                <w:sz w:val="18"/>
                <w:szCs w:val="18"/>
              </w:rPr>
              <w:t>熟悉园艺设施场地选择和布局原则，掌握园艺设施设计理论，理解园艺设施的建造技术。</w:t>
            </w:r>
          </w:p>
        </w:tc>
        <w:tc>
          <w:tcPr>
            <w:tcW w:w="1052" w:type="dxa"/>
            <w:tcBorders>
              <w:top w:val="single" w:sz="4" w:space="0" w:color="auto"/>
              <w:left w:val="single" w:sz="4" w:space="0" w:color="auto"/>
              <w:bottom w:val="single" w:sz="4" w:space="0" w:color="auto"/>
              <w:right w:val="single" w:sz="4" w:space="0" w:color="auto"/>
            </w:tcBorders>
            <w:vAlign w:val="center"/>
          </w:tcPr>
          <w:p w14:paraId="603F70E5" w14:textId="77777777" w:rsidR="00F5289E" w:rsidRDefault="00C91173">
            <w:pPr>
              <w:spacing w:line="320" w:lineRule="exact"/>
              <w:jc w:val="center"/>
              <w:rPr>
                <w:rFonts w:eastAsiaTheme="minorEastAsia"/>
                <w:sz w:val="18"/>
                <w:szCs w:val="18"/>
              </w:rPr>
            </w:pPr>
            <w:r>
              <w:rPr>
                <w:rFonts w:eastAsiaTheme="minorEastAsia"/>
                <w:sz w:val="18"/>
                <w:szCs w:val="18"/>
              </w:rPr>
              <w:t>5</w:t>
            </w:r>
          </w:p>
        </w:tc>
      </w:tr>
      <w:tr w:rsidR="00F5289E" w14:paraId="2B1C2CD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502DD34"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09ECFD52" w14:textId="77777777" w:rsidR="00F5289E" w:rsidRDefault="00C91173">
            <w:pPr>
              <w:spacing w:line="320" w:lineRule="exact"/>
              <w:jc w:val="left"/>
              <w:rPr>
                <w:rFonts w:eastAsiaTheme="minorEastAsia"/>
                <w:sz w:val="18"/>
                <w:szCs w:val="18"/>
                <w:highlight w:val="yellow"/>
              </w:rPr>
            </w:pPr>
            <w:r>
              <w:rPr>
                <w:rFonts w:eastAsiaTheme="minorEastAsia"/>
                <w:sz w:val="18"/>
                <w:szCs w:val="18"/>
              </w:rPr>
              <w:t>技能目标：学生能够选择合适的工程材料和覆盖材料，掌握园艺设施设计和改良的方法，了解科学创新的途径，能够对园艺设施进行改良。</w:t>
            </w:r>
          </w:p>
        </w:tc>
        <w:tc>
          <w:tcPr>
            <w:tcW w:w="1052" w:type="dxa"/>
            <w:tcBorders>
              <w:top w:val="single" w:sz="4" w:space="0" w:color="auto"/>
              <w:left w:val="single" w:sz="4" w:space="0" w:color="auto"/>
              <w:bottom w:val="single" w:sz="4" w:space="0" w:color="auto"/>
              <w:right w:val="single" w:sz="4" w:space="0" w:color="auto"/>
            </w:tcBorders>
            <w:vAlign w:val="center"/>
          </w:tcPr>
          <w:p w14:paraId="63BED5C7" w14:textId="77777777" w:rsidR="00F5289E" w:rsidRDefault="00C91173">
            <w:pPr>
              <w:spacing w:line="320" w:lineRule="exact"/>
              <w:jc w:val="center"/>
              <w:rPr>
                <w:rFonts w:eastAsiaTheme="minorEastAsia"/>
                <w:sz w:val="18"/>
                <w:szCs w:val="18"/>
              </w:rPr>
            </w:pPr>
            <w:r>
              <w:rPr>
                <w:rFonts w:eastAsiaTheme="minorEastAsia"/>
                <w:sz w:val="18"/>
                <w:szCs w:val="18"/>
              </w:rPr>
              <w:t>4</w:t>
            </w:r>
          </w:p>
        </w:tc>
      </w:tr>
      <w:tr w:rsidR="00F5289E" w14:paraId="71C12D5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2F08C51"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1143EE53" w14:textId="77777777" w:rsidR="00F5289E" w:rsidRDefault="00C91173">
            <w:pPr>
              <w:spacing w:line="320" w:lineRule="exact"/>
              <w:jc w:val="left"/>
              <w:rPr>
                <w:rFonts w:eastAsiaTheme="minorEastAsia"/>
                <w:sz w:val="18"/>
                <w:szCs w:val="18"/>
              </w:rPr>
            </w:pPr>
            <w:r>
              <w:rPr>
                <w:rFonts w:eastAsiaTheme="minorEastAsia"/>
                <w:sz w:val="18"/>
                <w:szCs w:val="18"/>
              </w:rPr>
              <w:t>素养目标：增强</w:t>
            </w:r>
            <w:r>
              <w:rPr>
                <w:rFonts w:eastAsiaTheme="minorEastAsia" w:hint="eastAsia"/>
                <w:sz w:val="18"/>
                <w:szCs w:val="18"/>
              </w:rPr>
              <w:t>学生</w:t>
            </w:r>
            <w:r>
              <w:rPr>
                <w:rFonts w:eastAsiaTheme="minorEastAsia"/>
                <w:sz w:val="18"/>
                <w:szCs w:val="18"/>
              </w:rPr>
              <w:t>对园艺设施设计和改良的探索欲望，具备创新意识，团队协作能力。</w:t>
            </w:r>
          </w:p>
        </w:tc>
        <w:tc>
          <w:tcPr>
            <w:tcW w:w="1052" w:type="dxa"/>
            <w:tcBorders>
              <w:top w:val="single" w:sz="4" w:space="0" w:color="auto"/>
              <w:left w:val="single" w:sz="4" w:space="0" w:color="auto"/>
              <w:bottom w:val="single" w:sz="4" w:space="0" w:color="auto"/>
              <w:right w:val="single" w:sz="4" w:space="0" w:color="auto"/>
            </w:tcBorders>
            <w:vAlign w:val="center"/>
          </w:tcPr>
          <w:p w14:paraId="761A9308" w14:textId="77777777" w:rsidR="00F5289E" w:rsidRDefault="00C91173">
            <w:pPr>
              <w:spacing w:line="320" w:lineRule="exact"/>
              <w:jc w:val="center"/>
              <w:rPr>
                <w:rFonts w:eastAsiaTheme="minorEastAsia"/>
                <w:sz w:val="18"/>
                <w:szCs w:val="18"/>
              </w:rPr>
            </w:pPr>
            <w:r>
              <w:rPr>
                <w:rFonts w:eastAsiaTheme="minorEastAsia"/>
                <w:sz w:val="18"/>
                <w:szCs w:val="18"/>
              </w:rPr>
              <w:t>3</w:t>
            </w:r>
          </w:p>
          <w:p w14:paraId="7487928A" w14:textId="77777777" w:rsidR="00F5289E" w:rsidRDefault="00C91173">
            <w:pPr>
              <w:spacing w:line="320" w:lineRule="exact"/>
              <w:jc w:val="center"/>
              <w:rPr>
                <w:rFonts w:eastAsiaTheme="minorEastAsia"/>
                <w:sz w:val="18"/>
                <w:szCs w:val="18"/>
              </w:rPr>
            </w:pPr>
            <w:r>
              <w:rPr>
                <w:rFonts w:eastAsiaTheme="minorEastAsia"/>
                <w:sz w:val="18"/>
                <w:szCs w:val="18"/>
              </w:rPr>
              <w:t>6</w:t>
            </w:r>
          </w:p>
          <w:p w14:paraId="100DA30F" w14:textId="77777777" w:rsidR="00F5289E" w:rsidRDefault="00C91173">
            <w:pPr>
              <w:spacing w:line="320" w:lineRule="exact"/>
              <w:jc w:val="center"/>
              <w:rPr>
                <w:rFonts w:eastAsiaTheme="minorEastAsia"/>
                <w:sz w:val="18"/>
                <w:szCs w:val="18"/>
              </w:rPr>
            </w:pPr>
            <w:r>
              <w:rPr>
                <w:rFonts w:eastAsiaTheme="minorEastAsia" w:hint="eastAsia"/>
                <w:sz w:val="18"/>
                <w:szCs w:val="18"/>
              </w:rPr>
              <w:t>7</w:t>
            </w:r>
          </w:p>
          <w:p w14:paraId="763531B7" w14:textId="77777777" w:rsidR="00F5289E" w:rsidRDefault="00C91173">
            <w:pPr>
              <w:spacing w:line="320" w:lineRule="exact"/>
              <w:jc w:val="center"/>
              <w:rPr>
                <w:rFonts w:eastAsiaTheme="minorEastAsia"/>
                <w:sz w:val="18"/>
                <w:szCs w:val="18"/>
              </w:rPr>
            </w:pPr>
            <w:r>
              <w:rPr>
                <w:rFonts w:eastAsiaTheme="minorEastAsia" w:hint="eastAsia"/>
                <w:sz w:val="18"/>
                <w:szCs w:val="18"/>
              </w:rPr>
              <w:t>8</w:t>
            </w:r>
          </w:p>
        </w:tc>
      </w:tr>
      <w:tr w:rsidR="00F5289E" w14:paraId="1E31BF7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1AF475BD"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2F558A22" w14:textId="77777777" w:rsidR="00F5289E" w:rsidRDefault="00C91173">
            <w:pPr>
              <w:spacing w:line="320" w:lineRule="exact"/>
              <w:rPr>
                <w:rFonts w:eastAsiaTheme="minorEastAsia"/>
                <w:sz w:val="18"/>
                <w:szCs w:val="18"/>
              </w:rPr>
            </w:pPr>
            <w:r>
              <w:rPr>
                <w:rFonts w:eastAsiaTheme="minorEastAsia"/>
                <w:bCs/>
                <w:sz w:val="18"/>
                <w:szCs w:val="18"/>
              </w:rPr>
              <w:t>思政目标：</w:t>
            </w:r>
            <w:r>
              <w:rPr>
                <w:rFonts w:eastAsiaTheme="minorEastAsia" w:hint="eastAsia"/>
                <w:bCs/>
                <w:sz w:val="18"/>
                <w:szCs w:val="18"/>
              </w:rPr>
              <w:t>学生</w:t>
            </w:r>
            <w:r>
              <w:rPr>
                <w:rFonts w:eastAsiaTheme="minorEastAsia"/>
                <w:bCs/>
                <w:sz w:val="18"/>
                <w:szCs w:val="18"/>
              </w:rPr>
              <w:t>热爱祖国，</w:t>
            </w:r>
            <w:r>
              <w:rPr>
                <w:rFonts w:eastAsiaTheme="minorEastAsia"/>
                <w:sz w:val="18"/>
                <w:szCs w:val="18"/>
              </w:rPr>
              <w:t>具有社会责任感，立志服务</w:t>
            </w:r>
            <w:r>
              <w:rPr>
                <w:rFonts w:eastAsiaTheme="minorEastAsia"/>
                <w:sz w:val="18"/>
                <w:szCs w:val="18"/>
              </w:rPr>
              <w:t>“</w:t>
            </w:r>
            <w:r>
              <w:rPr>
                <w:rFonts w:eastAsiaTheme="minorEastAsia"/>
                <w:sz w:val="18"/>
                <w:szCs w:val="18"/>
              </w:rPr>
              <w:t>三农</w:t>
            </w:r>
            <w:r>
              <w:rPr>
                <w:rFonts w:eastAsiaTheme="minorEastAsia"/>
                <w:sz w:val="18"/>
                <w:szCs w:val="18"/>
              </w:rPr>
              <w:t>”</w:t>
            </w:r>
            <w:r>
              <w:rPr>
                <w:rFonts w:eastAsiaTheme="minorEastAsia"/>
                <w:sz w:val="18"/>
                <w:szCs w:val="18"/>
              </w:rPr>
              <w:t>，助力乡村振兴。</w:t>
            </w:r>
          </w:p>
        </w:tc>
        <w:tc>
          <w:tcPr>
            <w:tcW w:w="1052" w:type="dxa"/>
            <w:tcBorders>
              <w:top w:val="single" w:sz="4" w:space="0" w:color="auto"/>
              <w:left w:val="single" w:sz="4" w:space="0" w:color="auto"/>
              <w:bottom w:val="single" w:sz="4" w:space="0" w:color="auto"/>
              <w:right w:val="single" w:sz="4" w:space="0" w:color="auto"/>
            </w:tcBorders>
            <w:vAlign w:val="center"/>
          </w:tcPr>
          <w:p w14:paraId="7FA11636" w14:textId="77777777" w:rsidR="00F5289E" w:rsidRDefault="00C91173">
            <w:pPr>
              <w:spacing w:line="320" w:lineRule="exact"/>
              <w:jc w:val="center"/>
              <w:rPr>
                <w:rFonts w:eastAsiaTheme="minorEastAsia"/>
                <w:sz w:val="18"/>
                <w:szCs w:val="18"/>
              </w:rPr>
            </w:pPr>
            <w:r>
              <w:rPr>
                <w:rFonts w:eastAsiaTheme="minorEastAsia"/>
                <w:sz w:val="18"/>
                <w:szCs w:val="18"/>
              </w:rPr>
              <w:t>1</w:t>
            </w:r>
          </w:p>
          <w:p w14:paraId="61DE09FB" w14:textId="77777777" w:rsidR="00F5289E" w:rsidRDefault="00C91173">
            <w:pPr>
              <w:spacing w:line="320" w:lineRule="exact"/>
              <w:jc w:val="center"/>
              <w:rPr>
                <w:rFonts w:eastAsiaTheme="minorEastAsia"/>
                <w:sz w:val="18"/>
                <w:szCs w:val="18"/>
              </w:rPr>
            </w:pPr>
            <w:r>
              <w:rPr>
                <w:rFonts w:eastAsiaTheme="minorEastAsia"/>
                <w:sz w:val="18"/>
                <w:szCs w:val="18"/>
              </w:rPr>
              <w:t>2</w:t>
            </w:r>
          </w:p>
        </w:tc>
      </w:tr>
    </w:tbl>
    <w:p w14:paraId="758B3DE6" w14:textId="77777777" w:rsidR="00F5289E" w:rsidRDefault="00F5289E">
      <w:pPr>
        <w:spacing w:line="360" w:lineRule="auto"/>
        <w:ind w:firstLineChars="200" w:firstLine="420"/>
        <w:rPr>
          <w:rFonts w:hAnsi="宋体"/>
          <w:bCs/>
          <w:color w:val="0000FF"/>
          <w:kern w:val="0"/>
          <w:szCs w:val="21"/>
        </w:rPr>
      </w:pPr>
    </w:p>
    <w:p w14:paraId="79D2A28D"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54</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DDE8609" w14:textId="77777777">
        <w:trPr>
          <w:trHeight w:val="270"/>
        </w:trPr>
        <w:tc>
          <w:tcPr>
            <w:tcW w:w="2965" w:type="dxa"/>
            <w:tcBorders>
              <w:top w:val="nil"/>
              <w:left w:val="nil"/>
              <w:bottom w:val="nil"/>
              <w:right w:val="nil"/>
            </w:tcBorders>
            <w:vAlign w:val="center"/>
          </w:tcPr>
          <w:p w14:paraId="20B3011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E3ECC85"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1A38BE05"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CC8ADEF" w14:textId="77777777" w:rsidR="00F5289E" w:rsidRDefault="00C91173">
      <w:pPr>
        <w:widowControl/>
        <w:adjustRightInd w:val="0"/>
        <w:snapToGrid w:val="0"/>
        <w:spacing w:line="360" w:lineRule="auto"/>
        <w:rPr>
          <w:rFonts w:ascii="宋体" w:hAnsi="宋体" w:cs="宋体"/>
          <w:bCs/>
          <w:kern w:val="0"/>
          <w:szCs w:val="21"/>
        </w:rPr>
      </w:pPr>
      <w:r>
        <w:rPr>
          <w:rFonts w:ascii="宋体" w:hAnsi="宋体" w:cs="宋体" w:hint="eastAsia"/>
          <w:b/>
          <w:bCs/>
          <w:kern w:val="0"/>
          <w:szCs w:val="21"/>
        </w:rPr>
        <w:t>教学目标：</w:t>
      </w:r>
      <w:r>
        <w:rPr>
          <w:rFonts w:ascii="宋体" w:hAnsi="宋体" w:cs="宋体" w:hint="eastAsia"/>
          <w:bCs/>
          <w:kern w:val="0"/>
          <w:szCs w:val="21"/>
        </w:rPr>
        <w:t>通过学习，学生</w:t>
      </w:r>
      <w:r>
        <w:rPr>
          <w:rFonts w:ascii="宋体" w:hAnsi="宋体" w:cs="宋体" w:hint="eastAsia"/>
          <w:kern w:val="0"/>
          <w:szCs w:val="21"/>
        </w:rPr>
        <w:t>掌握</w:t>
      </w:r>
      <w:r>
        <w:rPr>
          <w:rFonts w:ascii="宋体" w:hAnsi="宋体" w:cs="宋体"/>
          <w:kern w:val="0"/>
          <w:szCs w:val="21"/>
        </w:rPr>
        <w:t>园艺设施</w:t>
      </w:r>
      <w:r>
        <w:rPr>
          <w:rFonts w:ascii="宋体" w:hAnsi="宋体" w:cs="宋体" w:hint="eastAsia"/>
          <w:kern w:val="0"/>
          <w:szCs w:val="21"/>
        </w:rPr>
        <w:t>的</w:t>
      </w:r>
      <w:r>
        <w:rPr>
          <w:rFonts w:ascii="宋体" w:hAnsi="宋体" w:cs="宋体"/>
          <w:kern w:val="0"/>
          <w:szCs w:val="21"/>
        </w:rPr>
        <w:t>概念、</w:t>
      </w:r>
      <w:r>
        <w:rPr>
          <w:rFonts w:ascii="宋体" w:hAnsi="宋体" w:cs="宋体" w:hint="eastAsia"/>
          <w:kern w:val="0"/>
          <w:szCs w:val="21"/>
        </w:rPr>
        <w:t>应用、</w:t>
      </w:r>
      <w:r>
        <w:rPr>
          <w:rFonts w:ascii="宋体" w:hAnsi="宋体" w:hint="eastAsia"/>
          <w:szCs w:val="21"/>
        </w:rPr>
        <w:t>作用、了解产业</w:t>
      </w:r>
      <w:r>
        <w:rPr>
          <w:rFonts w:ascii="宋体" w:hAnsi="宋体" w:cs="宋体" w:hint="eastAsia"/>
          <w:kern w:val="0"/>
          <w:szCs w:val="21"/>
        </w:rPr>
        <w:t>现状和发展方向。</w:t>
      </w:r>
    </w:p>
    <w:p w14:paraId="29C5792D" w14:textId="77777777" w:rsidR="00F5289E" w:rsidRDefault="00C91173">
      <w:pPr>
        <w:widowControl/>
        <w:adjustRightInd w:val="0"/>
        <w:snapToGrid w:val="0"/>
        <w:spacing w:line="360" w:lineRule="auto"/>
        <w:rPr>
          <w:rFonts w:ascii="宋体" w:hAnsi="宋体" w:cs="宋体"/>
          <w:kern w:val="0"/>
          <w:szCs w:val="21"/>
        </w:rPr>
      </w:pPr>
      <w:r>
        <w:rPr>
          <w:rFonts w:ascii="宋体" w:hAnsi="宋体" w:cs="宋体" w:hint="eastAsia"/>
          <w:b/>
          <w:bCs/>
          <w:kern w:val="0"/>
          <w:szCs w:val="21"/>
        </w:rPr>
        <w:t>教学重点和难点：</w:t>
      </w:r>
      <w:r>
        <w:rPr>
          <w:rFonts w:ascii="宋体" w:hAnsi="宋体" w:cs="宋体"/>
          <w:kern w:val="0"/>
          <w:szCs w:val="21"/>
        </w:rPr>
        <w:t>园艺设施生产技术变革</w:t>
      </w:r>
      <w:r>
        <w:rPr>
          <w:rFonts w:ascii="宋体" w:hAnsi="宋体" w:cs="宋体" w:hint="eastAsia"/>
          <w:kern w:val="0"/>
          <w:szCs w:val="21"/>
        </w:rPr>
        <w:t>。</w:t>
      </w:r>
    </w:p>
    <w:p w14:paraId="17C6748A" w14:textId="77777777" w:rsidR="00F5289E" w:rsidRDefault="00C91173">
      <w:pPr>
        <w:widowControl/>
        <w:tabs>
          <w:tab w:val="left" w:pos="360"/>
          <w:tab w:val="left" w:pos="540"/>
        </w:tabs>
        <w:adjustRightInd w:val="0"/>
        <w:snapToGrid w:val="0"/>
        <w:spacing w:line="360" w:lineRule="auto"/>
        <w:jc w:val="left"/>
        <w:rPr>
          <w:rFonts w:ascii="宋体" w:hAnsi="宋体" w:cs="宋体"/>
          <w:b/>
          <w:bCs/>
          <w:kern w:val="0"/>
          <w:szCs w:val="21"/>
        </w:rPr>
      </w:pPr>
      <w:r>
        <w:rPr>
          <w:rFonts w:ascii="宋体" w:hAnsi="宋体" w:cs="宋体" w:hint="eastAsia"/>
          <w:b/>
          <w:bCs/>
          <w:kern w:val="0"/>
          <w:szCs w:val="21"/>
        </w:rPr>
        <w:t>主要</w:t>
      </w:r>
      <w:r>
        <w:rPr>
          <w:rFonts w:ascii="宋体" w:hAnsi="宋体" w:cs="宋体"/>
          <w:b/>
          <w:bCs/>
          <w:kern w:val="0"/>
          <w:szCs w:val="21"/>
        </w:rPr>
        <w:t>教学内容</w:t>
      </w:r>
      <w:r>
        <w:rPr>
          <w:rFonts w:ascii="宋体" w:hAnsi="宋体" w:cs="宋体" w:hint="eastAsia"/>
          <w:b/>
          <w:bCs/>
          <w:kern w:val="0"/>
          <w:szCs w:val="21"/>
        </w:rPr>
        <w:t>和要求</w:t>
      </w:r>
      <w:r>
        <w:rPr>
          <w:rFonts w:ascii="宋体" w:hAnsi="宋体" w:cs="宋体"/>
          <w:b/>
          <w:bCs/>
          <w:kern w:val="0"/>
          <w:szCs w:val="21"/>
        </w:rPr>
        <w:t>：</w:t>
      </w:r>
    </w:p>
    <w:p w14:paraId="337186A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第一节 园艺设施的意义及发展史</w:t>
      </w:r>
    </w:p>
    <w:p w14:paraId="2547C18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一、园艺设施在农业生产上的地位</w:t>
      </w:r>
    </w:p>
    <w:p w14:paraId="4CD86AD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二、园艺设施的发展简史</w:t>
      </w:r>
    </w:p>
    <w:p w14:paraId="25871A7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第二节 园艺设施生产的现状与展望</w:t>
      </w:r>
    </w:p>
    <w:p w14:paraId="4B0FEE3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一、我国设施园艺的经营状况及特点</w:t>
      </w:r>
    </w:p>
    <w:p w14:paraId="3D32DF1E"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二、中国园艺设施发展现状</w:t>
      </w:r>
    </w:p>
    <w:p w14:paraId="63A656A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三、国外园艺设施发展状况与趋势</w:t>
      </w:r>
    </w:p>
    <w:p w14:paraId="7F56BC1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了解：园艺设施的生产技术变革及发展；国内外园艺设施发展简史；</w:t>
      </w:r>
    </w:p>
    <w:p w14:paraId="3D7BFCB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理解：设施园艺在农业生产和国民经济中的作用，国内外园艺设施现状及展望；</w:t>
      </w:r>
    </w:p>
    <w:p w14:paraId="589A609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掌握：设施园艺的概念与特点，园艺设施的概念。</w:t>
      </w:r>
    </w:p>
    <w:p w14:paraId="3577E9C7"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采用</w:t>
      </w:r>
      <w:r>
        <w:rPr>
          <w:rFonts w:ascii="宋体" w:hAnsi="宋体"/>
          <w:bCs/>
        </w:rPr>
        <w:t>倒置的学习</w:t>
      </w:r>
      <w:r>
        <w:rPr>
          <w:rFonts w:ascii="宋体" w:hAnsi="宋体" w:hint="eastAsia"/>
          <w:bCs/>
        </w:rPr>
        <w:t>模式，教师</w:t>
      </w:r>
      <w:r>
        <w:rPr>
          <w:rFonts w:ascii="宋体" w:hAnsi="宋体"/>
          <w:bCs/>
        </w:rPr>
        <w:t>讲授</w:t>
      </w:r>
      <w:r>
        <w:rPr>
          <w:rFonts w:ascii="宋体" w:hAnsi="宋体" w:hint="eastAsia"/>
          <w:bCs/>
        </w:rPr>
        <w:t>具体</w:t>
      </w:r>
      <w:r>
        <w:rPr>
          <w:rFonts w:ascii="宋体" w:hAnsi="宋体"/>
          <w:bCs/>
        </w:rPr>
        <w:t>内容，学生总结</w:t>
      </w:r>
      <w:r>
        <w:rPr>
          <w:rFonts w:ascii="宋体" w:hAnsi="宋体" w:hint="eastAsia"/>
          <w:bCs/>
        </w:rPr>
        <w:t>、</w:t>
      </w:r>
      <w:r>
        <w:rPr>
          <w:rFonts w:ascii="宋体" w:hAnsi="宋体"/>
          <w:bCs/>
        </w:rPr>
        <w:t>讨论、分享相应</w:t>
      </w:r>
      <w:r>
        <w:rPr>
          <w:rFonts w:ascii="宋体" w:hAnsi="宋体" w:hint="eastAsia"/>
          <w:bCs/>
        </w:rPr>
        <w:t>内容</w:t>
      </w:r>
      <w:r>
        <w:rPr>
          <w:rFonts w:ascii="宋体" w:hAnsi="宋体"/>
          <w:bCs/>
        </w:rPr>
        <w:t>的标题，调动学生积极性</w:t>
      </w:r>
      <w:r>
        <w:rPr>
          <w:rFonts w:ascii="宋体" w:hAnsi="宋体" w:hint="eastAsia"/>
          <w:bCs/>
        </w:rPr>
        <w:t>，</w:t>
      </w:r>
      <w:r>
        <w:rPr>
          <w:rFonts w:ascii="宋体" w:hAnsi="宋体"/>
          <w:bCs/>
        </w:rPr>
        <w:t>对课堂的关注度</w:t>
      </w:r>
      <w:r>
        <w:rPr>
          <w:rFonts w:ascii="宋体" w:hAnsi="宋体" w:hint="eastAsia"/>
          <w:bCs/>
        </w:rPr>
        <w:t>，</w:t>
      </w:r>
      <w:r>
        <w:rPr>
          <w:rFonts w:ascii="宋体" w:hAnsi="宋体"/>
          <w:bCs/>
        </w:rPr>
        <w:t>加深学生对所讲授知识的</w:t>
      </w:r>
      <w:r>
        <w:rPr>
          <w:rFonts w:ascii="宋体" w:hAnsi="宋体" w:hint="eastAsia"/>
          <w:bCs/>
        </w:rPr>
        <w:t>印象</w:t>
      </w:r>
      <w:r>
        <w:rPr>
          <w:rFonts w:ascii="宋体" w:hAnsi="宋体"/>
          <w:bCs/>
        </w:rPr>
        <w:t>和认可度。</w:t>
      </w:r>
    </w:p>
    <w:p w14:paraId="5450533B" w14:textId="77777777" w:rsidR="00F5289E" w:rsidRDefault="00C91173">
      <w:pPr>
        <w:widowControl/>
        <w:snapToGrid w:val="0"/>
        <w:spacing w:line="360" w:lineRule="auto"/>
        <w:rPr>
          <w:rFonts w:ascii="宋体" w:hAnsi="宋体"/>
          <w:b/>
          <w:bCs/>
        </w:rPr>
      </w:pPr>
      <w:r>
        <w:rPr>
          <w:rFonts w:ascii="宋体" w:hAnsi="宋体" w:hint="eastAsia"/>
          <w:bCs/>
        </w:rPr>
        <w:t>讨论设置</w:t>
      </w:r>
      <w:r>
        <w:rPr>
          <w:rFonts w:ascii="宋体" w:hAnsi="宋体"/>
          <w:bCs/>
        </w:rPr>
        <w:t>：</w:t>
      </w:r>
      <w:r>
        <w:rPr>
          <w:rFonts w:ascii="宋体" w:hAnsi="宋体" w:hint="eastAsia"/>
          <w:bCs/>
        </w:rPr>
        <w:t>你觉得</w:t>
      </w:r>
      <w:r>
        <w:rPr>
          <w:rFonts w:ascii="宋体" w:hAnsi="宋体"/>
          <w:bCs/>
        </w:rPr>
        <w:t>设施园艺在我国</w:t>
      </w:r>
      <w:r>
        <w:rPr>
          <w:rFonts w:ascii="宋体" w:hAnsi="宋体" w:hint="eastAsia"/>
          <w:bCs/>
        </w:rPr>
        <w:t>国民生活</w:t>
      </w:r>
      <w:r>
        <w:rPr>
          <w:rFonts w:ascii="宋体" w:hAnsi="宋体"/>
          <w:bCs/>
        </w:rPr>
        <w:t>和</w:t>
      </w:r>
      <w:r>
        <w:rPr>
          <w:rFonts w:ascii="宋体" w:hAnsi="宋体" w:hint="eastAsia"/>
          <w:bCs/>
        </w:rPr>
        <w:t>经济生产中</w:t>
      </w:r>
      <w:r>
        <w:rPr>
          <w:rFonts w:ascii="宋体" w:hAnsi="宋体"/>
          <w:bCs/>
        </w:rPr>
        <w:t>有什么作用？</w:t>
      </w:r>
      <w:r>
        <w:rPr>
          <w:rFonts w:ascii="宋体" w:hAnsi="宋体" w:hint="eastAsia"/>
          <w:bCs/>
        </w:rPr>
        <w:t>你觉得国外</w:t>
      </w:r>
      <w:r>
        <w:rPr>
          <w:rFonts w:ascii="宋体" w:hAnsi="宋体"/>
          <w:bCs/>
        </w:rPr>
        <w:t>的</w:t>
      </w:r>
      <w:r>
        <w:rPr>
          <w:rFonts w:ascii="宋体" w:hAnsi="宋体" w:hint="eastAsia"/>
          <w:bCs/>
        </w:rPr>
        <w:t>园艺设施</w:t>
      </w:r>
      <w:r>
        <w:rPr>
          <w:rFonts w:ascii="宋体" w:hAnsi="宋体"/>
          <w:bCs/>
        </w:rPr>
        <w:t>发展有什么特点呢？</w:t>
      </w:r>
      <w:r>
        <w:rPr>
          <w:rFonts w:ascii="宋体" w:hAnsi="宋体" w:hint="eastAsia"/>
          <w:bCs/>
        </w:rPr>
        <w:t>作为青年学生，你觉得</w:t>
      </w:r>
      <w:r>
        <w:rPr>
          <w:rFonts w:ascii="宋体" w:hAnsi="宋体"/>
          <w:bCs/>
        </w:rPr>
        <w:t>在设施园艺的发展</w:t>
      </w:r>
      <w:r>
        <w:rPr>
          <w:rFonts w:ascii="宋体" w:hAnsi="宋体" w:hint="eastAsia"/>
          <w:bCs/>
        </w:rPr>
        <w:t>中能做些</w:t>
      </w:r>
      <w:r>
        <w:rPr>
          <w:rFonts w:ascii="宋体" w:hAnsi="宋体"/>
          <w:bCs/>
        </w:rPr>
        <w:t>什么？</w:t>
      </w:r>
    </w:p>
    <w:p w14:paraId="2895D367" w14:textId="77777777" w:rsidR="00F5289E" w:rsidRDefault="00F5289E">
      <w:pPr>
        <w:widowControl/>
        <w:snapToGrid w:val="0"/>
        <w:spacing w:line="360" w:lineRule="auto"/>
        <w:rPr>
          <w:rFonts w:hAnsi="宋体"/>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9975ADD" w14:textId="77777777">
        <w:trPr>
          <w:trHeight w:val="270"/>
        </w:trPr>
        <w:tc>
          <w:tcPr>
            <w:tcW w:w="2965" w:type="dxa"/>
            <w:tcBorders>
              <w:top w:val="nil"/>
              <w:left w:val="nil"/>
              <w:bottom w:val="nil"/>
              <w:right w:val="nil"/>
            </w:tcBorders>
            <w:vAlign w:val="center"/>
          </w:tcPr>
          <w:p w14:paraId="16DBEF8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E8026F2"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ascii="宋体" w:hAnsi="宋体" w:hint="eastAsia"/>
                <w:b/>
                <w:bCs/>
              </w:rPr>
              <w:t xml:space="preserve">园艺设施建筑材料 </w:t>
            </w:r>
          </w:p>
        </w:tc>
        <w:tc>
          <w:tcPr>
            <w:tcW w:w="2966" w:type="dxa"/>
            <w:tcBorders>
              <w:top w:val="nil"/>
              <w:left w:val="nil"/>
              <w:bottom w:val="nil"/>
              <w:right w:val="nil"/>
            </w:tcBorders>
            <w:vAlign w:val="center"/>
          </w:tcPr>
          <w:p w14:paraId="6562C7C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5E8598E4"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骨架</w:t>
      </w:r>
      <w:r>
        <w:rPr>
          <w:rFonts w:ascii="宋体" w:hAnsi="宋体"/>
          <w:b/>
          <w:bCs/>
        </w:rPr>
        <w:t>材料</w:t>
      </w:r>
      <w:r>
        <w:rPr>
          <w:rFonts w:ascii="宋体" w:hAnsi="宋体" w:hint="eastAsia"/>
          <w:b/>
          <w:bCs/>
        </w:rPr>
        <w:t>（2</w:t>
      </w:r>
      <w:r>
        <w:rPr>
          <w:rFonts w:ascii="宋体" w:hAnsi="宋体"/>
          <w:b/>
          <w:bCs/>
        </w:rPr>
        <w:t>学时</w:t>
      </w:r>
      <w:r>
        <w:rPr>
          <w:rFonts w:ascii="宋体" w:hAnsi="宋体" w:hint="eastAsia"/>
          <w:b/>
          <w:bCs/>
        </w:rPr>
        <w:t>）</w:t>
      </w:r>
    </w:p>
    <w:p w14:paraId="46473D0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cs="Tahoma" w:hint="eastAsia"/>
          <w:szCs w:val="21"/>
          <w:shd w:val="clear" w:color="auto" w:fill="FFFFFF"/>
        </w:rPr>
        <w:t>通过学习，学生掌握各种骨架材料的类别、性能和规格，掌握骨架材料的连接方式和防腐方式，能够为不同的设施结构选择适宜的骨架材料。</w:t>
      </w:r>
    </w:p>
    <w:p w14:paraId="35FD9D26"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钢材的类型、规格、</w:t>
      </w:r>
      <w:r>
        <w:rPr>
          <w:rFonts w:ascii="宋体" w:hAnsi="宋体" w:cs="Tahoma" w:hint="eastAsia"/>
          <w:szCs w:val="21"/>
          <w:shd w:val="clear" w:color="auto" w:fill="FFFFFF"/>
        </w:rPr>
        <w:t>连接方式和防腐方式</w:t>
      </w:r>
      <w:r>
        <w:rPr>
          <w:rFonts w:ascii="宋体" w:hAnsi="宋体" w:hint="eastAsia"/>
        </w:rPr>
        <w:t>，钢材和铝合金的性能参数。</w:t>
      </w:r>
    </w:p>
    <w:p w14:paraId="5D827F96"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726593F3"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一、木材和竹材</w:t>
      </w:r>
    </w:p>
    <w:p w14:paraId="3DE9D82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二、钢材</w:t>
      </w:r>
    </w:p>
    <w:p w14:paraId="4F1601D8"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三、铝合金</w:t>
      </w:r>
    </w:p>
    <w:p w14:paraId="1A51A5B8"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了解：木材和竹材的特点、应用；</w:t>
      </w:r>
    </w:p>
    <w:p w14:paraId="494F4D0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掌握：钢材的防腐和连接方法；</w:t>
      </w:r>
    </w:p>
    <w:p w14:paraId="024BB0F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熟练掌握：钢材的分类、性能、应用，铝合金的性能和应用。</w:t>
      </w:r>
    </w:p>
    <w:p w14:paraId="2CD07A8D"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导图。课中教师</w:t>
      </w:r>
      <w:r>
        <w:rPr>
          <w:rFonts w:ascii="宋体" w:hAnsi="宋体"/>
          <w:bCs/>
        </w:rPr>
        <w:t>总结课前学习，引入课程，</w:t>
      </w:r>
      <w:r>
        <w:rPr>
          <w:rFonts w:ascii="宋体" w:hAnsi="宋体" w:hint="eastAsia"/>
          <w:bCs/>
        </w:rPr>
        <w:t>然后进行</w:t>
      </w:r>
      <w:r>
        <w:rPr>
          <w:rFonts w:ascii="宋体" w:hAnsi="宋体"/>
          <w:bCs/>
        </w:rPr>
        <w:t>思维导图讲评和分享，</w:t>
      </w:r>
      <w:r>
        <w:rPr>
          <w:rFonts w:ascii="宋体" w:hAnsi="宋体" w:hint="eastAsia"/>
          <w:bCs/>
        </w:rPr>
        <w:t>之后</w:t>
      </w:r>
      <w:r>
        <w:rPr>
          <w:rFonts w:ascii="宋体" w:hAnsi="宋体"/>
          <w:bCs/>
        </w:rPr>
        <w:t>进行课堂小测试</w:t>
      </w:r>
      <w:r>
        <w:rPr>
          <w:rFonts w:ascii="宋体" w:hAnsi="宋体" w:hint="eastAsia"/>
          <w:bCs/>
        </w:rPr>
        <w:t>。课后</w:t>
      </w:r>
      <w:r>
        <w:rPr>
          <w:rFonts w:ascii="宋体" w:hAnsi="宋体"/>
          <w:bCs/>
        </w:rPr>
        <w:t>，学生进行反思</w:t>
      </w:r>
      <w:r>
        <w:rPr>
          <w:rFonts w:ascii="宋体" w:hAnsi="宋体" w:hint="eastAsia"/>
          <w:bCs/>
        </w:rPr>
        <w:t>，完善</w:t>
      </w:r>
      <w:r>
        <w:rPr>
          <w:rFonts w:ascii="宋体" w:hAnsi="宋体"/>
          <w:bCs/>
        </w:rPr>
        <w:t>课前思维导图。</w:t>
      </w:r>
    </w:p>
    <w:p w14:paraId="54FA3B01"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砌筑材料（2</w:t>
      </w:r>
      <w:r>
        <w:rPr>
          <w:rFonts w:ascii="宋体" w:hAnsi="宋体"/>
          <w:b/>
          <w:bCs/>
        </w:rPr>
        <w:t>学时</w:t>
      </w:r>
      <w:r>
        <w:rPr>
          <w:rFonts w:ascii="宋体" w:hAnsi="宋体" w:hint="eastAsia"/>
          <w:b/>
          <w:bCs/>
        </w:rPr>
        <w:t>）</w:t>
      </w:r>
    </w:p>
    <w:p w14:paraId="1EB686A8"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cs="Tahoma" w:hint="eastAsia"/>
          <w:szCs w:val="21"/>
          <w:shd w:val="clear" w:color="auto" w:fill="FFFFFF"/>
        </w:rPr>
        <w:t>通过学习，学生掌握块体材料的的类别、规格和特点，掌握水泥和石灰的特性和技术参数，理解</w:t>
      </w:r>
      <w:r>
        <w:rPr>
          <w:rFonts w:ascii="宋体" w:hAnsi="宋体"/>
        </w:rPr>
        <w:t>砂浆</w:t>
      </w:r>
      <w:r>
        <w:rPr>
          <w:rFonts w:ascii="宋体" w:hAnsi="宋体" w:hint="eastAsia"/>
        </w:rPr>
        <w:t>和混凝土</w:t>
      </w:r>
      <w:r>
        <w:rPr>
          <w:rFonts w:ascii="宋体" w:hAnsi="宋体" w:cs="Tahoma" w:hint="eastAsia"/>
          <w:szCs w:val="21"/>
          <w:shd w:val="clear" w:color="auto" w:fill="FFFFFF"/>
        </w:rPr>
        <w:t>的技术参数和应用方式，能够为不同的设施结构选择适宜的建筑材料。</w:t>
      </w:r>
      <w:r>
        <w:rPr>
          <w:rFonts w:ascii="宋体" w:hAnsi="宋体" w:hint="eastAsia"/>
          <w:b/>
          <w:bCs/>
        </w:rPr>
        <w:t>教学重点和难点：</w:t>
      </w:r>
      <w:r>
        <w:rPr>
          <w:rFonts w:ascii="宋体" w:hAnsi="宋体" w:cs="Tahoma" w:hint="eastAsia"/>
          <w:szCs w:val="21"/>
          <w:shd w:val="clear" w:color="auto" w:fill="FFFFFF"/>
        </w:rPr>
        <w:t>块体材料的的类别、规格，水泥和石灰的特性，</w:t>
      </w:r>
      <w:r>
        <w:rPr>
          <w:rFonts w:ascii="宋体" w:hAnsi="宋体"/>
        </w:rPr>
        <w:t>砂浆</w:t>
      </w:r>
      <w:r>
        <w:rPr>
          <w:rFonts w:ascii="宋体" w:hAnsi="宋体" w:hint="eastAsia"/>
        </w:rPr>
        <w:t>和混凝土</w:t>
      </w:r>
      <w:r>
        <w:rPr>
          <w:rFonts w:ascii="宋体" w:hAnsi="宋体" w:cs="Tahoma" w:hint="eastAsia"/>
          <w:szCs w:val="21"/>
          <w:shd w:val="clear" w:color="auto" w:fill="FFFFFF"/>
        </w:rPr>
        <w:t>的技术参数和应用方式</w:t>
      </w:r>
      <w:r>
        <w:rPr>
          <w:rFonts w:ascii="宋体" w:hAnsi="宋体" w:hint="eastAsia"/>
        </w:rPr>
        <w:t>。</w:t>
      </w:r>
    </w:p>
    <w:p w14:paraId="5B58A715"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730EB87A"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一、块体材料（砖、石、砌块）</w:t>
      </w:r>
    </w:p>
    <w:p w14:paraId="16C8171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二、胶凝材料（水泥、石灰）</w:t>
      </w:r>
    </w:p>
    <w:p w14:paraId="152A56B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三、砂浆和混凝土</w:t>
      </w:r>
    </w:p>
    <w:p w14:paraId="144DC5B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了解：木材和竹材的特点、应用；</w:t>
      </w:r>
    </w:p>
    <w:p w14:paraId="06A77E90"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掌握：钢材的防腐和连接方法；</w:t>
      </w:r>
    </w:p>
    <w:p w14:paraId="62AF15CE"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熟练掌握：钢材的分类、性能、应用，铝合金的性能和应用。</w:t>
      </w:r>
    </w:p>
    <w:p w14:paraId="71E46237"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导图。课中教师</w:t>
      </w:r>
      <w:r>
        <w:rPr>
          <w:rFonts w:ascii="宋体" w:hAnsi="宋体"/>
          <w:bCs/>
        </w:rPr>
        <w:t>总结课前学习，引入课程，</w:t>
      </w:r>
      <w:r>
        <w:rPr>
          <w:rFonts w:ascii="宋体" w:hAnsi="宋体" w:hint="eastAsia"/>
          <w:bCs/>
        </w:rPr>
        <w:t>然后进行</w:t>
      </w:r>
      <w:r>
        <w:rPr>
          <w:rFonts w:ascii="宋体" w:hAnsi="宋体"/>
          <w:bCs/>
        </w:rPr>
        <w:t>思维导图讲评和分享，</w:t>
      </w:r>
      <w:r>
        <w:rPr>
          <w:rFonts w:ascii="宋体" w:hAnsi="宋体" w:hint="eastAsia"/>
          <w:bCs/>
        </w:rPr>
        <w:t>之后</w:t>
      </w:r>
      <w:r>
        <w:rPr>
          <w:rFonts w:ascii="宋体" w:hAnsi="宋体"/>
          <w:bCs/>
        </w:rPr>
        <w:t>进行课堂小测试</w:t>
      </w:r>
      <w:r>
        <w:rPr>
          <w:rFonts w:ascii="宋体" w:hAnsi="宋体" w:hint="eastAsia"/>
          <w:bCs/>
        </w:rPr>
        <w:t>。课后</w:t>
      </w:r>
      <w:r>
        <w:rPr>
          <w:rFonts w:ascii="宋体" w:hAnsi="宋体"/>
          <w:bCs/>
        </w:rPr>
        <w:t>，学生进行反思</w:t>
      </w:r>
      <w:r>
        <w:rPr>
          <w:rFonts w:ascii="宋体" w:hAnsi="宋体" w:hint="eastAsia"/>
          <w:bCs/>
        </w:rPr>
        <w:t>，完善</w:t>
      </w:r>
      <w:r>
        <w:rPr>
          <w:rFonts w:ascii="宋体" w:hAnsi="宋体"/>
          <w:bCs/>
        </w:rPr>
        <w:t>课前思维导图。</w:t>
      </w:r>
    </w:p>
    <w:p w14:paraId="6198C4C6" w14:textId="77777777" w:rsidR="00F5289E" w:rsidRDefault="00C91173">
      <w:pPr>
        <w:adjustRightInd w:val="0"/>
        <w:snapToGrid w:val="0"/>
        <w:spacing w:line="360" w:lineRule="auto"/>
        <w:rPr>
          <w:rFonts w:ascii="宋体" w:hAnsi="宋体"/>
          <w:b/>
          <w:bCs/>
        </w:rPr>
      </w:pPr>
      <w:r>
        <w:rPr>
          <w:rFonts w:ascii="宋体" w:hAnsi="宋体" w:hint="eastAsia"/>
          <w:b/>
          <w:bCs/>
        </w:rPr>
        <w:t>第三节 功能型材料 （2</w:t>
      </w:r>
      <w:r>
        <w:rPr>
          <w:rFonts w:ascii="宋体" w:hAnsi="宋体"/>
          <w:b/>
          <w:bCs/>
        </w:rPr>
        <w:t>学时</w:t>
      </w:r>
      <w:r>
        <w:rPr>
          <w:rFonts w:ascii="宋体" w:hAnsi="宋体" w:hint="eastAsia"/>
          <w:b/>
          <w:bCs/>
        </w:rPr>
        <w:t>）</w:t>
      </w:r>
    </w:p>
    <w:p w14:paraId="3CC1D63E" w14:textId="77777777" w:rsidR="00F5289E" w:rsidRDefault="00C91173">
      <w:pPr>
        <w:adjustRightInd w:val="0"/>
        <w:snapToGrid w:val="0"/>
        <w:spacing w:line="360" w:lineRule="auto"/>
        <w:rPr>
          <w:rFonts w:ascii="宋体" w:hAnsi="宋体"/>
        </w:rPr>
      </w:pPr>
      <w:r>
        <w:rPr>
          <w:rFonts w:ascii="宋体" w:hAnsi="宋体" w:hint="eastAsia"/>
          <w:b/>
          <w:bCs/>
        </w:rPr>
        <w:t>教学目标：</w:t>
      </w:r>
      <w:r>
        <w:rPr>
          <w:rFonts w:ascii="宋体" w:hAnsi="宋体" w:cs="Tahoma" w:hint="eastAsia"/>
          <w:szCs w:val="21"/>
          <w:shd w:val="clear" w:color="auto" w:fill="FFFFFF"/>
        </w:rPr>
        <w:t>通过学习，学生掌握防水材料的类型和特点、保温材料的类型和应用方式、农业设施生产对相变材料的要求，理解保温材料保温隔热的原理，理解相变材料的功能和应用原理，能够根据需要为设施选择合适的</w:t>
      </w:r>
      <w:r>
        <w:rPr>
          <w:rFonts w:ascii="宋体" w:hAnsi="宋体" w:hint="eastAsia"/>
        </w:rPr>
        <w:t>防水材料、保温材料、相变材料。</w:t>
      </w:r>
    </w:p>
    <w:p w14:paraId="7344DB17" w14:textId="77777777" w:rsidR="00F5289E" w:rsidRDefault="00C91173">
      <w:pPr>
        <w:widowControl/>
        <w:snapToGrid w:val="0"/>
        <w:spacing w:line="360" w:lineRule="auto"/>
        <w:rPr>
          <w:rFonts w:hAnsi="宋体"/>
          <w:b/>
          <w:bCs/>
          <w:kern w:val="0"/>
          <w:szCs w:val="21"/>
        </w:rPr>
      </w:pPr>
      <w:r>
        <w:rPr>
          <w:rFonts w:ascii="宋体" w:hAnsi="宋体" w:hint="eastAsia"/>
          <w:b/>
          <w:bCs/>
        </w:rPr>
        <w:lastRenderedPageBreak/>
        <w:t>教学重点和难点：</w:t>
      </w:r>
      <w:r>
        <w:rPr>
          <w:rFonts w:ascii="宋体" w:hAnsi="宋体" w:cs="Tahoma" w:hint="eastAsia"/>
          <w:szCs w:val="21"/>
          <w:shd w:val="clear" w:color="auto" w:fill="FFFFFF"/>
        </w:rPr>
        <w:t>防水材料的类型和特点、保温材料的类型和应用方式、农业设施生产对相变材料的要求，保温材料和相变材料的功能和原理</w:t>
      </w:r>
      <w:r>
        <w:rPr>
          <w:rFonts w:ascii="宋体" w:hAnsi="宋体" w:hint="eastAsia"/>
        </w:rPr>
        <w:t>。</w:t>
      </w:r>
    </w:p>
    <w:p w14:paraId="33960801"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1DBDD19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一、防水材料</w:t>
      </w:r>
    </w:p>
    <w:p w14:paraId="161DCB9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二、保温材料</w:t>
      </w:r>
    </w:p>
    <w:p w14:paraId="101956BA"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三、相变材料</w:t>
      </w:r>
    </w:p>
    <w:p w14:paraId="3720C762"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了解：相变材料的应用前景；</w:t>
      </w:r>
    </w:p>
    <w:p w14:paraId="7F8DBBB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理解：保温材料保温隔热的原理，相变材料的功能；</w:t>
      </w:r>
    </w:p>
    <w:p w14:paraId="7B672F6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掌握：农业设施生产对相变材料的要求；</w:t>
      </w:r>
    </w:p>
    <w:p w14:paraId="409246AE" w14:textId="77777777" w:rsidR="00F5289E" w:rsidRDefault="00C91173">
      <w:pPr>
        <w:adjustRightInd w:val="0"/>
        <w:snapToGrid w:val="0"/>
        <w:spacing w:line="360" w:lineRule="auto"/>
        <w:ind w:firstLineChars="200" w:firstLine="420"/>
      </w:pPr>
      <w:r>
        <w:rPr>
          <w:rFonts w:ascii="宋体" w:hAnsi="宋体" w:hint="eastAsia"/>
        </w:rPr>
        <w:t>熟练掌握：防水材料的类型和特点、保温材料的类型和应用方式。</w:t>
      </w:r>
    </w:p>
    <w:p w14:paraId="46AE46F8" w14:textId="77777777" w:rsidR="00F5289E" w:rsidRDefault="00C91173">
      <w:pPr>
        <w:widowControl/>
        <w:snapToGrid w:val="0"/>
        <w:spacing w:line="360" w:lineRule="auto"/>
        <w:rPr>
          <w:rFonts w:hAnsi="宋体"/>
          <w:b/>
          <w:bCs/>
          <w:kern w:val="0"/>
          <w:szCs w:val="21"/>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导图。课中教师</w:t>
      </w:r>
      <w:r>
        <w:rPr>
          <w:rFonts w:ascii="宋体" w:hAnsi="宋体"/>
          <w:bCs/>
        </w:rPr>
        <w:t>总结课前学习，引入课程，</w:t>
      </w:r>
      <w:r>
        <w:rPr>
          <w:rFonts w:ascii="宋体" w:hAnsi="宋体" w:hint="eastAsia"/>
          <w:bCs/>
        </w:rPr>
        <w:t>然后进行</w:t>
      </w:r>
      <w:r>
        <w:rPr>
          <w:rFonts w:ascii="宋体" w:hAnsi="宋体"/>
          <w:bCs/>
        </w:rPr>
        <w:t>思维导图讲评和分享，</w:t>
      </w:r>
      <w:r>
        <w:rPr>
          <w:rFonts w:ascii="宋体" w:hAnsi="宋体" w:hint="eastAsia"/>
          <w:bCs/>
        </w:rPr>
        <w:t>之后</w:t>
      </w:r>
      <w:r>
        <w:rPr>
          <w:rFonts w:ascii="宋体" w:hAnsi="宋体"/>
          <w:bCs/>
        </w:rPr>
        <w:t>进行课堂小测试</w:t>
      </w:r>
      <w:r>
        <w:rPr>
          <w:rFonts w:ascii="宋体" w:hAnsi="宋体" w:hint="eastAsia"/>
          <w:bCs/>
        </w:rPr>
        <w:t>。课后</w:t>
      </w:r>
      <w:r>
        <w:rPr>
          <w:rFonts w:ascii="宋体" w:hAnsi="宋体"/>
          <w:bCs/>
        </w:rPr>
        <w:t>，学生进行反思</w:t>
      </w:r>
      <w:r>
        <w:rPr>
          <w:rFonts w:ascii="宋体" w:hAnsi="宋体" w:hint="eastAsia"/>
          <w:bCs/>
        </w:rPr>
        <w:t>，完善</w:t>
      </w:r>
      <w:r>
        <w:rPr>
          <w:rFonts w:ascii="宋体" w:hAnsi="宋体"/>
          <w:bCs/>
        </w:rPr>
        <w:t>课前思维导图。</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B0D686C" w14:textId="77777777">
        <w:trPr>
          <w:trHeight w:val="270"/>
        </w:trPr>
        <w:tc>
          <w:tcPr>
            <w:tcW w:w="2965" w:type="dxa"/>
            <w:tcBorders>
              <w:top w:val="nil"/>
              <w:left w:val="nil"/>
              <w:bottom w:val="nil"/>
              <w:right w:val="nil"/>
            </w:tcBorders>
            <w:vAlign w:val="center"/>
          </w:tcPr>
          <w:p w14:paraId="26E5760E"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BEEC862"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ascii="宋体" w:hAnsi="宋体" w:hint="eastAsia"/>
                <w:b/>
                <w:bCs/>
              </w:rPr>
              <w:t xml:space="preserve">园艺设施覆盖材料 </w:t>
            </w:r>
          </w:p>
        </w:tc>
        <w:tc>
          <w:tcPr>
            <w:tcW w:w="2966" w:type="dxa"/>
            <w:tcBorders>
              <w:top w:val="nil"/>
              <w:left w:val="nil"/>
              <w:bottom w:val="nil"/>
              <w:right w:val="nil"/>
            </w:tcBorders>
            <w:vAlign w:val="center"/>
          </w:tcPr>
          <w:p w14:paraId="228A348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3C6BC11D"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园艺设施覆盖材料发展、分类及要求（1</w:t>
      </w:r>
      <w:r>
        <w:rPr>
          <w:rFonts w:ascii="宋体" w:hAnsi="宋体"/>
          <w:b/>
          <w:bCs/>
        </w:rPr>
        <w:t>学时</w:t>
      </w:r>
      <w:r>
        <w:rPr>
          <w:rFonts w:ascii="宋体" w:hAnsi="宋体" w:hint="eastAsia"/>
          <w:b/>
          <w:bCs/>
        </w:rPr>
        <w:t>）</w:t>
      </w:r>
    </w:p>
    <w:p w14:paraId="0CDC5320"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通过学习，学生掌握园艺设施覆盖材料的分类和要求，了解园艺设施覆盖材料发展历史，能够评价判断园艺设施覆盖材料是否满足生产需要。</w:t>
      </w:r>
    </w:p>
    <w:p w14:paraId="7B6DA114"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透明覆盖材料的分类和要求，半透明和不透明覆盖材料的要求</w:t>
      </w:r>
      <w:r>
        <w:rPr>
          <w:rFonts w:ascii="宋体" w:hAnsi="宋体" w:hint="eastAsia"/>
        </w:rPr>
        <w:t>。</w:t>
      </w:r>
    </w:p>
    <w:p w14:paraId="37C96DC8"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458572B0"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一、园艺设施覆盖材料发展历史</w:t>
      </w:r>
    </w:p>
    <w:p w14:paraId="2B8DAC65"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二、园艺设施覆盖材料的分类</w:t>
      </w:r>
    </w:p>
    <w:p w14:paraId="751B6C17"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三、设施园艺生产对覆盖材料的要求</w:t>
      </w:r>
    </w:p>
    <w:p w14:paraId="380EA08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了解：园艺设施覆盖材料发展历史；</w:t>
      </w:r>
    </w:p>
    <w:p w14:paraId="2431EDC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掌握：园艺设施覆盖材料的分类；</w:t>
      </w:r>
    </w:p>
    <w:p w14:paraId="2A7CD49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熟练掌握：设施园艺生产对覆盖材料的要求。</w:t>
      </w:r>
    </w:p>
    <w:p w14:paraId="11F4C67B"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w:t>
      </w:r>
      <w:r>
        <w:rPr>
          <w:rFonts w:ascii="宋体" w:hAnsi="宋体"/>
          <w:bCs/>
        </w:rPr>
        <w:t>，</w:t>
      </w:r>
      <w:r>
        <w:rPr>
          <w:rFonts w:ascii="宋体" w:hAnsi="宋体" w:hint="eastAsia"/>
          <w:bCs/>
        </w:rPr>
        <w:t>课上进行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w:t>
      </w:r>
    </w:p>
    <w:p w14:paraId="766F0870"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透明覆盖材料（3</w:t>
      </w:r>
      <w:r>
        <w:rPr>
          <w:rFonts w:ascii="宋体" w:hAnsi="宋体"/>
          <w:b/>
          <w:bCs/>
        </w:rPr>
        <w:t>学时</w:t>
      </w:r>
      <w:r>
        <w:rPr>
          <w:rFonts w:ascii="宋体" w:hAnsi="宋体" w:hint="eastAsia"/>
          <w:b/>
          <w:bCs/>
        </w:rPr>
        <w:t>）</w:t>
      </w:r>
    </w:p>
    <w:p w14:paraId="1CA3B3E4"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hint="eastAsia"/>
        </w:rPr>
        <w:t>通过学习，学生掌握塑料薄膜、塑料板材和玻璃的类型、性能和特点，能够为园艺设施选择适宜的覆盖材料</w:t>
      </w:r>
      <w:r>
        <w:rPr>
          <w:rFonts w:ascii="宋体" w:hAnsi="宋体" w:cs="Tahoma" w:hint="eastAsia"/>
          <w:szCs w:val="21"/>
          <w:shd w:val="clear" w:color="auto" w:fill="FFFFFF"/>
        </w:rPr>
        <w:t>。</w:t>
      </w:r>
    </w:p>
    <w:p w14:paraId="4F38E767"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塑料薄膜的类型和性能参数，塑料板材的特性、玻璃的性能。</w:t>
      </w:r>
    </w:p>
    <w:p w14:paraId="55122F63"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35B0C20E"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一、塑料薄膜</w:t>
      </w:r>
    </w:p>
    <w:p w14:paraId="59116BC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二、塑料板材</w:t>
      </w:r>
    </w:p>
    <w:p w14:paraId="0C6173B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lastRenderedPageBreak/>
        <w:t>三、玻璃</w:t>
      </w:r>
    </w:p>
    <w:p w14:paraId="11A0D79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理解：塑料薄膜、塑料板材和玻璃的特点；</w:t>
      </w:r>
    </w:p>
    <w:p w14:paraId="627BD130"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掌握：塑料薄膜的类型，玻璃的类型；</w:t>
      </w:r>
    </w:p>
    <w:p w14:paraId="4314F8A7"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熟练掌握：塑料薄膜、塑料板材和玻璃的性能参数。</w:t>
      </w:r>
    </w:p>
    <w:p w14:paraId="1693ECD2"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w:t>
      </w:r>
      <w:r>
        <w:rPr>
          <w:rFonts w:ascii="宋体" w:hAnsi="宋体"/>
          <w:bCs/>
        </w:rPr>
        <w:t>，</w:t>
      </w:r>
      <w:r>
        <w:rPr>
          <w:rFonts w:ascii="宋体" w:hAnsi="宋体" w:hint="eastAsia"/>
          <w:bCs/>
        </w:rPr>
        <w:t>课上进行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；之后进行</w:t>
      </w:r>
      <w:r>
        <w:rPr>
          <w:rFonts w:ascii="宋体" w:hAnsi="宋体"/>
          <w:bCs/>
        </w:rPr>
        <w:t>课堂情境教学</w:t>
      </w:r>
      <w:r>
        <w:rPr>
          <w:rFonts w:ascii="宋体" w:hAnsi="宋体" w:hint="eastAsia"/>
          <w:bCs/>
        </w:rPr>
        <w:t>。教学</w:t>
      </w:r>
      <w:r>
        <w:rPr>
          <w:rFonts w:ascii="宋体" w:hAnsi="宋体"/>
          <w:bCs/>
        </w:rPr>
        <w:t>情境：</w:t>
      </w:r>
      <w:r>
        <w:rPr>
          <w:rFonts w:ascii="宋体" w:hAnsi="宋体" w:hint="eastAsia"/>
          <w:bCs/>
        </w:rPr>
        <w:t>1.讨论“横向对比塑料薄膜、硬质塑料板材和玻璃的性能”，</w:t>
      </w:r>
      <w:r>
        <w:rPr>
          <w:rFonts w:ascii="宋体" w:hAnsi="宋体"/>
          <w:bCs/>
        </w:rPr>
        <w:t>2.</w:t>
      </w:r>
      <w:r>
        <w:rPr>
          <w:rFonts w:ascii="宋体" w:hAnsi="宋体" w:hint="eastAsia"/>
          <w:bCs/>
        </w:rPr>
        <w:t>讨论“新型透明覆盖材料的开发途径”。课后</w:t>
      </w:r>
      <w:r>
        <w:rPr>
          <w:rFonts w:ascii="宋体" w:hAnsi="宋体"/>
          <w:bCs/>
        </w:rPr>
        <w:t>，学生进行反思</w:t>
      </w:r>
      <w:r>
        <w:rPr>
          <w:rFonts w:ascii="宋体" w:hAnsi="宋体" w:hint="eastAsia"/>
          <w:bCs/>
        </w:rPr>
        <w:t>，完善</w:t>
      </w:r>
      <w:r>
        <w:rPr>
          <w:rFonts w:ascii="宋体" w:hAnsi="宋体"/>
          <w:bCs/>
        </w:rPr>
        <w:t>课前思维导图。</w:t>
      </w:r>
    </w:p>
    <w:p w14:paraId="43F0F913" w14:textId="77777777" w:rsidR="00F5289E" w:rsidRDefault="00C91173">
      <w:pPr>
        <w:adjustRightInd w:val="0"/>
        <w:snapToGrid w:val="0"/>
        <w:spacing w:line="360" w:lineRule="auto"/>
        <w:rPr>
          <w:rFonts w:ascii="宋体" w:hAnsi="宋体"/>
          <w:b/>
          <w:bCs/>
        </w:rPr>
      </w:pPr>
      <w:r>
        <w:rPr>
          <w:rFonts w:ascii="宋体" w:hAnsi="宋体" w:hint="eastAsia"/>
          <w:b/>
          <w:bCs/>
        </w:rPr>
        <w:t>第三节 半透明及不透明覆盖材料 （2</w:t>
      </w:r>
      <w:r>
        <w:rPr>
          <w:rFonts w:ascii="宋体" w:hAnsi="宋体"/>
          <w:b/>
          <w:bCs/>
        </w:rPr>
        <w:t>学时</w:t>
      </w:r>
      <w:r>
        <w:rPr>
          <w:rFonts w:ascii="宋体" w:hAnsi="宋体" w:hint="eastAsia"/>
          <w:b/>
          <w:bCs/>
        </w:rPr>
        <w:t>）</w:t>
      </w:r>
    </w:p>
    <w:p w14:paraId="0E901E01" w14:textId="77777777" w:rsidR="00F5289E" w:rsidRDefault="00C91173">
      <w:pPr>
        <w:adjustRightInd w:val="0"/>
        <w:snapToGrid w:val="0"/>
        <w:spacing w:line="360" w:lineRule="auto"/>
        <w:rPr>
          <w:rFonts w:ascii="宋体" w:hAnsi="宋体"/>
        </w:rPr>
      </w:pPr>
      <w:r>
        <w:rPr>
          <w:rFonts w:ascii="宋体" w:hAnsi="宋体" w:hint="eastAsia"/>
          <w:b/>
          <w:bCs/>
        </w:rPr>
        <w:t>教学目标：</w:t>
      </w:r>
      <w:r>
        <w:rPr>
          <w:rFonts w:ascii="宋体" w:hAnsi="宋体" w:cs="Tahoma" w:hint="eastAsia"/>
          <w:szCs w:val="21"/>
          <w:shd w:val="clear" w:color="auto" w:fill="FFFFFF"/>
        </w:rPr>
        <w:t>通过学习，学生掌握半透明及不透明覆盖材料的类型、特点、技术参数和应用方式，能够根据需要为设施选择适宜的</w:t>
      </w:r>
      <w:r>
        <w:rPr>
          <w:rFonts w:ascii="宋体" w:hAnsi="宋体" w:hint="eastAsia"/>
        </w:rPr>
        <w:t>半透明及不透明覆盖材料。</w:t>
      </w:r>
    </w:p>
    <w:p w14:paraId="49DBC68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遮阳网、防虫网和无纺布的类型、特点、技术参数和应用方式，保温被的类型和技术参数</w:t>
      </w:r>
      <w:r>
        <w:rPr>
          <w:rFonts w:ascii="宋体" w:hAnsi="宋体" w:hint="eastAsia"/>
        </w:rPr>
        <w:t>。</w:t>
      </w:r>
    </w:p>
    <w:p w14:paraId="0F5B4145"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3AE3B7F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一、遮阳网</w:t>
      </w:r>
    </w:p>
    <w:p w14:paraId="4D14D4D8"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二、无纺布</w:t>
      </w:r>
    </w:p>
    <w:p w14:paraId="33364E11"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三、防虫网</w:t>
      </w:r>
    </w:p>
    <w:p w14:paraId="455DB5B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四、保温被</w:t>
      </w:r>
    </w:p>
    <w:p w14:paraId="371141F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理解：遮阳网、防虫网、无纺布和保温被的特点；</w:t>
      </w:r>
    </w:p>
    <w:p w14:paraId="2C1D6133"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掌握：遮阳网、防虫网、无纺布和保温被的技术参数；</w:t>
      </w:r>
    </w:p>
    <w:p w14:paraId="7E26B6A4" w14:textId="77777777" w:rsidR="00F5289E" w:rsidRDefault="00C91173">
      <w:pPr>
        <w:adjustRightInd w:val="0"/>
        <w:snapToGrid w:val="0"/>
        <w:spacing w:line="360" w:lineRule="auto"/>
        <w:ind w:firstLineChars="200" w:firstLine="420"/>
      </w:pPr>
      <w:r>
        <w:rPr>
          <w:rFonts w:ascii="宋体" w:hAnsi="宋体" w:hint="eastAsia"/>
        </w:rPr>
        <w:t>熟练掌握：遮阳网、防虫网、无纺布和保温被的类型、特点和应用方式。</w:t>
      </w:r>
    </w:p>
    <w:p w14:paraId="2E39BEF8"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讨论活动相结合，学生课前</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w:t>
      </w:r>
      <w:r>
        <w:rPr>
          <w:rFonts w:ascii="宋体" w:hAnsi="宋体"/>
          <w:bCs/>
        </w:rPr>
        <w:t>，</w:t>
      </w:r>
      <w:r>
        <w:rPr>
          <w:rFonts w:ascii="宋体" w:hAnsi="宋体" w:hint="eastAsia"/>
          <w:bCs/>
        </w:rPr>
        <w:t>课上进行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；之后进行</w:t>
      </w:r>
      <w:r>
        <w:rPr>
          <w:rFonts w:ascii="宋体" w:hAnsi="宋体"/>
          <w:bCs/>
        </w:rPr>
        <w:t>课堂情境教学</w:t>
      </w:r>
      <w:r>
        <w:rPr>
          <w:rFonts w:ascii="宋体" w:hAnsi="宋体" w:hint="eastAsia"/>
          <w:bCs/>
        </w:rPr>
        <w:t>。教学</w:t>
      </w:r>
      <w:r>
        <w:rPr>
          <w:rFonts w:ascii="宋体" w:hAnsi="宋体"/>
          <w:bCs/>
        </w:rPr>
        <w:t>情境：</w:t>
      </w:r>
      <w:r>
        <w:rPr>
          <w:rFonts w:ascii="宋体" w:hAnsi="宋体" w:hint="eastAsia"/>
          <w:bCs/>
        </w:rPr>
        <w:t>这里有一个玻璃温室，请根据半透明覆盖材料的功能，为其选用适用的半透明覆盖材料</w:t>
      </w:r>
      <w:r>
        <w:rPr>
          <w:rFonts w:ascii="宋体" w:hAnsi="宋体"/>
          <w:bCs/>
        </w:rPr>
        <w:t>。</w:t>
      </w:r>
    </w:p>
    <w:tbl>
      <w:tblPr>
        <w:tblStyle w:val="af6"/>
        <w:tblW w:w="0" w:type="auto"/>
        <w:tblInd w:w="4" w:type="dxa"/>
        <w:tblCellMar>
          <w:left w:w="0" w:type="dxa"/>
          <w:right w:w="0" w:type="dxa"/>
        </w:tblCellMar>
        <w:tblLook w:val="04A0" w:firstRow="1" w:lastRow="0" w:firstColumn="1" w:lastColumn="0" w:noHBand="0" w:noVBand="1"/>
      </w:tblPr>
      <w:tblGrid>
        <w:gridCol w:w="1593"/>
        <w:gridCol w:w="5863"/>
        <w:gridCol w:w="1440"/>
      </w:tblGrid>
      <w:tr w:rsidR="00F5289E" w14:paraId="02DC0BDF" w14:textId="77777777">
        <w:trPr>
          <w:trHeight w:val="270"/>
        </w:trPr>
        <w:tc>
          <w:tcPr>
            <w:tcW w:w="1593" w:type="dxa"/>
            <w:tcBorders>
              <w:top w:val="nil"/>
              <w:left w:val="nil"/>
              <w:bottom w:val="nil"/>
              <w:right w:val="nil"/>
            </w:tcBorders>
            <w:vAlign w:val="center"/>
          </w:tcPr>
          <w:p w14:paraId="786000A3" w14:textId="77777777" w:rsidR="00F5289E" w:rsidRDefault="00F5289E">
            <w:pPr>
              <w:widowControl/>
              <w:snapToGrid w:val="0"/>
              <w:spacing w:line="360" w:lineRule="auto"/>
              <w:jc w:val="center"/>
              <w:rPr>
                <w:rFonts w:hAnsi="宋体"/>
                <w:b/>
                <w:bCs/>
                <w:kern w:val="0"/>
                <w:szCs w:val="21"/>
              </w:rPr>
            </w:pPr>
          </w:p>
        </w:tc>
        <w:tc>
          <w:tcPr>
            <w:tcW w:w="5863" w:type="dxa"/>
            <w:tcBorders>
              <w:top w:val="nil"/>
              <w:left w:val="nil"/>
              <w:bottom w:val="nil"/>
              <w:right w:val="nil"/>
            </w:tcBorders>
            <w:vAlign w:val="center"/>
          </w:tcPr>
          <w:p w14:paraId="16057789"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bCs/>
                <w:kern w:val="0"/>
                <w:szCs w:val="21"/>
              </w:rPr>
              <w:t>园艺设施的类型、性能与应用</w:t>
            </w:r>
            <w:r>
              <w:rPr>
                <w:rFonts w:ascii="宋体" w:hAnsi="宋体" w:hint="eastAsia"/>
                <w:b/>
                <w:bCs/>
              </w:rPr>
              <w:t xml:space="preserve"> </w:t>
            </w:r>
          </w:p>
        </w:tc>
        <w:tc>
          <w:tcPr>
            <w:tcW w:w="1440" w:type="dxa"/>
            <w:tcBorders>
              <w:top w:val="nil"/>
              <w:left w:val="nil"/>
              <w:bottom w:val="nil"/>
              <w:right w:val="nil"/>
            </w:tcBorders>
            <w:vAlign w:val="center"/>
          </w:tcPr>
          <w:p w14:paraId="6AC7823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4EC015FE"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简易保护设施的类型、</w:t>
      </w:r>
      <w:r>
        <w:rPr>
          <w:rFonts w:hint="eastAsia"/>
          <w:b/>
          <w:bCs/>
          <w:kern w:val="0"/>
          <w:szCs w:val="21"/>
        </w:rPr>
        <w:t>性能与应用</w:t>
      </w:r>
      <w:r>
        <w:rPr>
          <w:rFonts w:ascii="宋体" w:hAnsi="宋体" w:hint="eastAsia"/>
          <w:b/>
          <w:bCs/>
        </w:rPr>
        <w:t>（2</w:t>
      </w:r>
      <w:r>
        <w:rPr>
          <w:rFonts w:ascii="宋体" w:hAnsi="宋体"/>
          <w:b/>
          <w:bCs/>
        </w:rPr>
        <w:t>学时</w:t>
      </w:r>
      <w:r>
        <w:rPr>
          <w:rFonts w:ascii="宋体" w:hAnsi="宋体" w:hint="eastAsia"/>
          <w:b/>
          <w:bCs/>
        </w:rPr>
        <w:t>）</w:t>
      </w:r>
    </w:p>
    <w:p w14:paraId="3A18A305"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通过学习，学生了解近地面简易设施和简易覆盖设施的组成、性能，掌握地膜覆盖的类型和效应，能够在生产中正确选择并高效利用该类设施。</w:t>
      </w:r>
    </w:p>
    <w:p w14:paraId="5E32B6F4"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电热温床的组成和应用方式，地膜覆盖的类型和效应</w:t>
      </w:r>
      <w:r>
        <w:rPr>
          <w:rFonts w:ascii="宋体" w:hAnsi="宋体" w:hint="eastAsia"/>
        </w:rPr>
        <w:t>。</w:t>
      </w:r>
    </w:p>
    <w:p w14:paraId="5AA19B10"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04C68849"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一、近地面简易设施</w:t>
      </w:r>
    </w:p>
    <w:p w14:paraId="4F671955"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二、简易覆盖设施</w:t>
      </w:r>
    </w:p>
    <w:p w14:paraId="4143B04A"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三、地膜覆盖</w:t>
      </w:r>
    </w:p>
    <w:p w14:paraId="5CCEDBA0"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lastRenderedPageBreak/>
        <w:t>了解：砂田、风障畦、阳畦、秸秆覆盖、浮动覆盖的组成和、性能和应用方式；</w:t>
      </w:r>
    </w:p>
    <w:p w14:paraId="06CC73A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理解：地膜覆盖的效应；</w:t>
      </w:r>
    </w:p>
    <w:p w14:paraId="6C7E728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掌握：电热温床的组成和应用方式，地膜覆盖的类型。</w:t>
      </w:r>
    </w:p>
    <w:p w14:paraId="49FDD96D"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w:t>
      </w:r>
      <w:r>
        <w:rPr>
          <w:rFonts w:ascii="宋体" w:hAnsi="宋体" w:hint="eastAsia"/>
          <w:bCs/>
        </w:rPr>
        <w:t>开展教学活动。课前</w:t>
      </w:r>
      <w:r>
        <w:rPr>
          <w:rFonts w:ascii="宋体" w:hAnsi="宋体"/>
          <w:bCs/>
        </w:rPr>
        <w:t>学生</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导图。课上，首先进行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；之后进行</w:t>
      </w:r>
      <w:r>
        <w:rPr>
          <w:rFonts w:ascii="宋体" w:hAnsi="宋体"/>
          <w:bCs/>
        </w:rPr>
        <w:t>课堂情境教学</w:t>
      </w:r>
      <w:r>
        <w:rPr>
          <w:rFonts w:ascii="宋体" w:hAnsi="宋体" w:hint="eastAsia"/>
          <w:bCs/>
        </w:rPr>
        <w:t>。教学</w:t>
      </w:r>
      <w:r>
        <w:rPr>
          <w:rFonts w:ascii="宋体" w:hAnsi="宋体"/>
          <w:bCs/>
        </w:rPr>
        <w:t>情境：</w:t>
      </w:r>
      <w:r>
        <w:rPr>
          <w:rFonts w:ascii="宋体" w:hAnsi="宋体" w:hint="eastAsia"/>
          <w:bCs/>
        </w:rPr>
        <w:t>1.河南地区</w:t>
      </w:r>
      <w:r>
        <w:rPr>
          <w:rFonts w:ascii="宋体" w:hAnsi="宋体"/>
          <w:bCs/>
        </w:rPr>
        <w:t>早春</w:t>
      </w:r>
      <w:r>
        <w:rPr>
          <w:rFonts w:ascii="宋体" w:hAnsi="宋体" w:hint="eastAsia"/>
          <w:bCs/>
        </w:rPr>
        <w:t>小拱棚</w:t>
      </w:r>
      <w:r>
        <w:rPr>
          <w:rFonts w:ascii="宋体" w:hAnsi="宋体"/>
          <w:bCs/>
        </w:rPr>
        <w:t>内</w:t>
      </w:r>
      <w:r>
        <w:rPr>
          <w:rFonts w:ascii="宋体" w:hAnsi="宋体" w:hint="eastAsia"/>
          <w:bCs/>
        </w:rPr>
        <w:t>培育10亩</w:t>
      </w:r>
      <w:r>
        <w:rPr>
          <w:rFonts w:ascii="宋体" w:hAnsi="宋体"/>
          <w:bCs/>
        </w:rPr>
        <w:t>地的黄瓜</w:t>
      </w:r>
      <w:r>
        <w:rPr>
          <w:rFonts w:ascii="宋体" w:hAnsi="宋体" w:hint="eastAsia"/>
          <w:bCs/>
        </w:rPr>
        <w:t>苗</w:t>
      </w:r>
      <w:r>
        <w:rPr>
          <w:rFonts w:ascii="宋体" w:hAnsi="宋体"/>
          <w:bCs/>
        </w:rPr>
        <w:t>，电热</w:t>
      </w:r>
      <w:r>
        <w:rPr>
          <w:rFonts w:ascii="宋体" w:hAnsi="宋体" w:hint="eastAsia"/>
          <w:bCs/>
        </w:rPr>
        <w:t>温床设计</w:t>
      </w:r>
      <w:r>
        <w:rPr>
          <w:rFonts w:ascii="宋体" w:hAnsi="宋体"/>
          <w:bCs/>
        </w:rPr>
        <w:t>和铺设</w:t>
      </w:r>
      <w:r>
        <w:rPr>
          <w:rFonts w:ascii="宋体" w:hAnsi="宋体" w:hint="eastAsia"/>
          <w:bCs/>
        </w:rPr>
        <w:t>；2.早春茬</w:t>
      </w:r>
      <w:r>
        <w:rPr>
          <w:rFonts w:ascii="宋体" w:hAnsi="宋体"/>
          <w:bCs/>
        </w:rPr>
        <w:t>和秋冬茬番茄地膜覆盖</w:t>
      </w:r>
      <w:r>
        <w:rPr>
          <w:rFonts w:ascii="宋体" w:hAnsi="宋体" w:hint="eastAsia"/>
          <w:bCs/>
        </w:rPr>
        <w:t>方式</w:t>
      </w:r>
      <w:r>
        <w:rPr>
          <w:rFonts w:ascii="宋体" w:hAnsi="宋体"/>
          <w:bCs/>
        </w:rPr>
        <w:t>和地膜类型选用。</w:t>
      </w:r>
      <w:r>
        <w:rPr>
          <w:rFonts w:ascii="宋体" w:hAnsi="宋体" w:hint="eastAsia"/>
          <w:bCs/>
        </w:rPr>
        <w:t>课后</w:t>
      </w:r>
      <w:r>
        <w:rPr>
          <w:rFonts w:ascii="宋体" w:hAnsi="宋体"/>
          <w:bCs/>
        </w:rPr>
        <w:t>，学生进行反思</w:t>
      </w:r>
      <w:r>
        <w:rPr>
          <w:rFonts w:ascii="宋体" w:hAnsi="宋体" w:hint="eastAsia"/>
          <w:bCs/>
        </w:rPr>
        <w:t>，完善</w:t>
      </w:r>
      <w:r>
        <w:rPr>
          <w:rFonts w:ascii="宋体" w:hAnsi="宋体"/>
          <w:bCs/>
        </w:rPr>
        <w:t>课前思维导图。</w:t>
      </w:r>
    </w:p>
    <w:p w14:paraId="2A8AFFA5"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塑料拱棚的类型、</w:t>
      </w:r>
      <w:r>
        <w:rPr>
          <w:rFonts w:hint="eastAsia"/>
          <w:b/>
          <w:bCs/>
          <w:kern w:val="0"/>
          <w:szCs w:val="21"/>
        </w:rPr>
        <w:t>性能与应用</w:t>
      </w:r>
      <w:r>
        <w:rPr>
          <w:rFonts w:ascii="宋体" w:hAnsi="宋体" w:hint="eastAsia"/>
          <w:b/>
          <w:bCs/>
        </w:rPr>
        <w:t>（2</w:t>
      </w:r>
      <w:r>
        <w:rPr>
          <w:rFonts w:ascii="宋体" w:hAnsi="宋体"/>
          <w:b/>
          <w:bCs/>
        </w:rPr>
        <w:t>学时</w:t>
      </w:r>
      <w:r>
        <w:rPr>
          <w:rFonts w:ascii="宋体" w:hAnsi="宋体" w:hint="eastAsia"/>
          <w:b/>
          <w:bCs/>
        </w:rPr>
        <w:t>）</w:t>
      </w:r>
    </w:p>
    <w:p w14:paraId="317E16A3"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通过学习，学生理解塑料拱棚的类型和特点，掌握塑料拱棚的性能，能够在生产中正确选择塑料大棚类型并对其进行高效利用。</w:t>
      </w:r>
    </w:p>
    <w:p w14:paraId="4D373FCF"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塑料拱棚的类型和特点</w:t>
      </w:r>
      <w:r>
        <w:rPr>
          <w:rFonts w:ascii="宋体" w:hAnsi="宋体" w:hint="eastAsia"/>
        </w:rPr>
        <w:t>，</w:t>
      </w:r>
      <w:r>
        <w:rPr>
          <w:rFonts w:ascii="宋体" w:hAnsi="宋体" w:cs="Tahoma" w:hint="eastAsia"/>
          <w:szCs w:val="21"/>
          <w:shd w:val="clear" w:color="auto" w:fill="FFFFFF"/>
        </w:rPr>
        <w:t>塑料大棚的性能和应用</w:t>
      </w:r>
      <w:r>
        <w:rPr>
          <w:rFonts w:ascii="宋体" w:hAnsi="宋体" w:hint="eastAsia"/>
        </w:rPr>
        <w:t>。</w:t>
      </w:r>
    </w:p>
    <w:p w14:paraId="5B97C4CF"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6866268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一、小拱棚的类型和性能</w:t>
      </w:r>
    </w:p>
    <w:p w14:paraId="31E096AE"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二、塑料大棚的类型和特点</w:t>
      </w:r>
    </w:p>
    <w:p w14:paraId="10016D4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三、塑料大棚的性能</w:t>
      </w:r>
    </w:p>
    <w:p w14:paraId="21CADF8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理解：塑料大棚的特点；</w:t>
      </w:r>
    </w:p>
    <w:p w14:paraId="7EED9BC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掌握：塑料大棚的类型；</w:t>
      </w:r>
    </w:p>
    <w:p w14:paraId="7C7EE0E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熟练掌握：小拱棚和塑料大棚的性能和应用。</w:t>
      </w:r>
    </w:p>
    <w:p w14:paraId="2A882C88"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w:t>
      </w:r>
      <w:r>
        <w:rPr>
          <w:rFonts w:ascii="宋体" w:hAnsi="宋体" w:hint="eastAsia"/>
          <w:bCs/>
        </w:rPr>
        <w:t>开展教学活动。课前</w:t>
      </w:r>
      <w:r>
        <w:rPr>
          <w:rFonts w:ascii="宋体" w:hAnsi="宋体"/>
          <w:bCs/>
        </w:rPr>
        <w:t>学生</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导图。课上，首先进行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；之后进行</w:t>
      </w:r>
      <w:r>
        <w:rPr>
          <w:rFonts w:ascii="宋体" w:hAnsi="宋体"/>
          <w:bCs/>
        </w:rPr>
        <w:t>课堂情境教学</w:t>
      </w:r>
      <w:r>
        <w:rPr>
          <w:rFonts w:ascii="宋体" w:hAnsi="宋体" w:hint="eastAsia"/>
          <w:bCs/>
        </w:rPr>
        <w:t>。教学</w:t>
      </w:r>
      <w:r>
        <w:rPr>
          <w:rFonts w:ascii="宋体" w:hAnsi="宋体"/>
          <w:bCs/>
        </w:rPr>
        <w:t>情境：</w:t>
      </w:r>
      <w:r>
        <w:rPr>
          <w:rFonts w:ascii="宋体" w:hAnsi="宋体" w:hint="eastAsia"/>
          <w:bCs/>
        </w:rPr>
        <w:t>结合塑料大棚的性能，总结塑料大棚的应用茬口。</w:t>
      </w:r>
    </w:p>
    <w:p w14:paraId="4521330D" w14:textId="77777777" w:rsidR="00F5289E" w:rsidRDefault="00C91173">
      <w:pPr>
        <w:adjustRightInd w:val="0"/>
        <w:snapToGrid w:val="0"/>
        <w:spacing w:line="360" w:lineRule="auto"/>
        <w:rPr>
          <w:rFonts w:ascii="宋体" w:hAnsi="宋体"/>
          <w:b/>
          <w:bCs/>
        </w:rPr>
      </w:pPr>
      <w:r>
        <w:rPr>
          <w:rFonts w:ascii="宋体" w:hAnsi="宋体" w:hint="eastAsia"/>
          <w:b/>
          <w:bCs/>
        </w:rPr>
        <w:t>第三节 温室的类型、</w:t>
      </w:r>
      <w:r>
        <w:rPr>
          <w:rFonts w:hint="eastAsia"/>
          <w:b/>
          <w:bCs/>
          <w:kern w:val="0"/>
          <w:szCs w:val="21"/>
        </w:rPr>
        <w:t>性能与应用</w:t>
      </w:r>
      <w:r>
        <w:rPr>
          <w:rFonts w:ascii="宋体" w:hAnsi="宋体" w:hint="eastAsia"/>
          <w:b/>
          <w:bCs/>
        </w:rPr>
        <w:t xml:space="preserve"> （2</w:t>
      </w:r>
      <w:r>
        <w:rPr>
          <w:rFonts w:ascii="宋体" w:hAnsi="宋体"/>
          <w:b/>
          <w:bCs/>
        </w:rPr>
        <w:t>学时</w:t>
      </w:r>
      <w:r>
        <w:rPr>
          <w:rFonts w:ascii="宋体" w:hAnsi="宋体" w:hint="eastAsia"/>
          <w:b/>
          <w:bCs/>
        </w:rPr>
        <w:t>）</w:t>
      </w:r>
    </w:p>
    <w:p w14:paraId="25B044CE"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通过学习，学生理解温室的类型和特点，掌握温室的性能，了解植物工厂的特点和组成，能够在生产中正确选择温室类型并对其进行高效利用。</w:t>
      </w:r>
    </w:p>
    <w:p w14:paraId="764C4675"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日光温室</w:t>
      </w:r>
      <w:r>
        <w:rPr>
          <w:rFonts w:ascii="宋体" w:hAnsi="宋体" w:cs="Tahoma" w:hint="eastAsia"/>
          <w:szCs w:val="21"/>
          <w:shd w:val="clear" w:color="auto" w:fill="FFFFFF"/>
        </w:rPr>
        <w:t>的类型、特点、性能和应用，</w:t>
      </w:r>
      <w:r>
        <w:rPr>
          <w:rFonts w:ascii="宋体" w:hAnsi="宋体" w:hint="eastAsia"/>
        </w:rPr>
        <w:t>连栋温室</w:t>
      </w:r>
      <w:r>
        <w:rPr>
          <w:rFonts w:ascii="宋体" w:hAnsi="宋体" w:cs="Tahoma" w:hint="eastAsia"/>
          <w:szCs w:val="21"/>
          <w:shd w:val="clear" w:color="auto" w:fill="FFFFFF"/>
        </w:rPr>
        <w:t>的类型、特点、性能和应用</w:t>
      </w:r>
      <w:r>
        <w:rPr>
          <w:rFonts w:ascii="宋体" w:hAnsi="宋体" w:hint="eastAsia"/>
        </w:rPr>
        <w:t>。</w:t>
      </w:r>
    </w:p>
    <w:p w14:paraId="6737FC79"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69DDA577"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一、温室的分类</w:t>
      </w:r>
    </w:p>
    <w:p w14:paraId="7721BB91"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二、日光温室的特点、性能</w:t>
      </w:r>
      <w:r>
        <w:rPr>
          <w:rFonts w:ascii="宋体" w:hAnsi="宋体" w:cs="Tahoma" w:hint="eastAsia"/>
          <w:szCs w:val="21"/>
          <w:shd w:val="clear" w:color="auto" w:fill="FFFFFF"/>
        </w:rPr>
        <w:t>和应用</w:t>
      </w:r>
    </w:p>
    <w:p w14:paraId="642594BF" w14:textId="77777777" w:rsidR="00F5289E" w:rsidRDefault="00C91173">
      <w:pPr>
        <w:adjustRightInd w:val="0"/>
        <w:snapToGrid w:val="0"/>
        <w:spacing w:line="360" w:lineRule="auto"/>
        <w:ind w:firstLineChars="200" w:firstLine="420"/>
        <w:rPr>
          <w:rFonts w:ascii="宋体" w:hAnsi="宋体" w:cs="Tahoma"/>
          <w:szCs w:val="21"/>
          <w:shd w:val="clear" w:color="auto" w:fill="FFFFFF"/>
        </w:rPr>
      </w:pPr>
      <w:r>
        <w:rPr>
          <w:rFonts w:ascii="宋体" w:hAnsi="宋体" w:hint="eastAsia"/>
        </w:rPr>
        <w:t>三、连栋温室的特点、性能</w:t>
      </w:r>
      <w:r>
        <w:rPr>
          <w:rFonts w:ascii="宋体" w:hAnsi="宋体" w:cs="Tahoma" w:hint="eastAsia"/>
          <w:szCs w:val="21"/>
          <w:shd w:val="clear" w:color="auto" w:fill="FFFFFF"/>
        </w:rPr>
        <w:t>和应用</w:t>
      </w:r>
    </w:p>
    <w:p w14:paraId="10C852F5" w14:textId="77777777" w:rsidR="00F5289E" w:rsidRDefault="00C91173">
      <w:pPr>
        <w:adjustRightInd w:val="0"/>
        <w:snapToGrid w:val="0"/>
        <w:spacing w:line="360" w:lineRule="auto"/>
        <w:ind w:firstLineChars="200" w:firstLine="420"/>
        <w:rPr>
          <w:rFonts w:ascii="宋体" w:hAnsi="宋体" w:cs="Tahoma"/>
          <w:szCs w:val="21"/>
          <w:shd w:val="clear" w:color="auto" w:fill="FFFFFF"/>
        </w:rPr>
      </w:pPr>
      <w:r>
        <w:rPr>
          <w:rFonts w:hint="eastAsia"/>
          <w:bCs/>
        </w:rPr>
        <w:t>四、植物工厂</w:t>
      </w:r>
    </w:p>
    <w:p w14:paraId="7023463C" w14:textId="77777777" w:rsidR="00F5289E" w:rsidRDefault="00C91173">
      <w:pPr>
        <w:adjustRightInd w:val="0"/>
        <w:snapToGrid w:val="0"/>
        <w:spacing w:line="360" w:lineRule="auto"/>
        <w:ind w:firstLineChars="200" w:firstLine="420"/>
        <w:rPr>
          <w:rFonts w:ascii="宋体" w:hAnsi="宋体" w:cs="Tahoma"/>
          <w:szCs w:val="21"/>
          <w:shd w:val="clear" w:color="auto" w:fill="FFFFFF"/>
        </w:rPr>
      </w:pPr>
      <w:r>
        <w:rPr>
          <w:rFonts w:ascii="宋体" w:hAnsi="宋体" w:cs="Tahoma" w:hint="eastAsia"/>
          <w:szCs w:val="21"/>
          <w:shd w:val="clear" w:color="auto" w:fill="FFFFFF"/>
        </w:rPr>
        <w:t>了解：植物工厂的特点和组成</w:t>
      </w:r>
    </w:p>
    <w:p w14:paraId="144A65B5" w14:textId="77777777" w:rsidR="00F5289E" w:rsidRDefault="00C91173">
      <w:pPr>
        <w:adjustRightInd w:val="0"/>
        <w:snapToGrid w:val="0"/>
        <w:spacing w:line="360" w:lineRule="auto"/>
        <w:ind w:firstLineChars="200" w:firstLine="420"/>
        <w:rPr>
          <w:rFonts w:ascii="宋体" w:hAnsi="宋体" w:cs="宋体"/>
          <w:szCs w:val="21"/>
          <w:shd w:val="clear" w:color="auto" w:fill="FFFFFF"/>
        </w:rPr>
      </w:pPr>
      <w:r>
        <w:rPr>
          <w:rFonts w:ascii="宋体" w:hAnsi="宋体" w:cs="宋体" w:hint="eastAsia"/>
          <w:szCs w:val="21"/>
          <w:shd w:val="clear" w:color="auto" w:fill="FFFFFF"/>
        </w:rPr>
        <w:t>理解：</w:t>
      </w:r>
      <w:r>
        <w:rPr>
          <w:rFonts w:ascii="宋体" w:hAnsi="宋体" w:hint="eastAsia"/>
        </w:rPr>
        <w:t>日光温室和连栋温室的特点</w:t>
      </w:r>
      <w:r>
        <w:rPr>
          <w:rFonts w:ascii="宋体" w:hAnsi="宋体" w:cs="Tahoma" w:hint="eastAsia"/>
          <w:szCs w:val="21"/>
          <w:shd w:val="clear" w:color="auto" w:fill="FFFFFF"/>
        </w:rPr>
        <w:t>；</w:t>
      </w:r>
    </w:p>
    <w:p w14:paraId="052C989D" w14:textId="77777777" w:rsidR="00F5289E" w:rsidRDefault="00C91173">
      <w:pPr>
        <w:adjustRightInd w:val="0"/>
        <w:snapToGrid w:val="0"/>
        <w:spacing w:line="360" w:lineRule="auto"/>
        <w:ind w:firstLineChars="200" w:firstLine="420"/>
        <w:rPr>
          <w:rFonts w:ascii="宋体" w:hAnsi="宋体"/>
          <w:szCs w:val="21"/>
        </w:rPr>
      </w:pPr>
      <w:r>
        <w:rPr>
          <w:rFonts w:ascii="宋体" w:hAnsi="宋体" w:cs="宋体" w:hint="eastAsia"/>
          <w:szCs w:val="21"/>
          <w:shd w:val="clear" w:color="auto" w:fill="FFFFFF"/>
        </w:rPr>
        <w:t>掌握：</w:t>
      </w:r>
      <w:r>
        <w:rPr>
          <w:rFonts w:ascii="宋体" w:hAnsi="宋体" w:hint="eastAsia"/>
        </w:rPr>
        <w:t>日光温室和连栋温室的分类</w:t>
      </w:r>
      <w:r>
        <w:rPr>
          <w:rFonts w:ascii="宋体" w:hAnsi="宋体" w:hint="eastAsia"/>
          <w:szCs w:val="21"/>
        </w:rPr>
        <w:t>；</w:t>
      </w:r>
    </w:p>
    <w:p w14:paraId="1AE779EE" w14:textId="77777777" w:rsidR="00F5289E" w:rsidRDefault="00C91173">
      <w:pPr>
        <w:adjustRightInd w:val="0"/>
        <w:snapToGrid w:val="0"/>
        <w:spacing w:line="360" w:lineRule="auto"/>
        <w:ind w:firstLineChars="200" w:firstLine="420"/>
      </w:pPr>
      <w:r>
        <w:rPr>
          <w:rFonts w:ascii="宋体" w:hAnsi="宋体" w:hint="eastAsia"/>
          <w:bCs/>
          <w:szCs w:val="21"/>
        </w:rPr>
        <w:lastRenderedPageBreak/>
        <w:t>熟练</w:t>
      </w:r>
      <w:r>
        <w:rPr>
          <w:rFonts w:ascii="宋体" w:hAnsi="宋体"/>
          <w:bCs/>
          <w:szCs w:val="21"/>
        </w:rPr>
        <w:t>掌握：</w:t>
      </w:r>
      <w:r>
        <w:rPr>
          <w:rFonts w:ascii="宋体" w:hAnsi="宋体" w:hint="eastAsia"/>
        </w:rPr>
        <w:t>日光温室和连栋温室的性能</w:t>
      </w:r>
      <w:r>
        <w:rPr>
          <w:rFonts w:ascii="宋体" w:hAnsi="宋体" w:cs="Tahoma" w:hint="eastAsia"/>
          <w:szCs w:val="21"/>
          <w:shd w:val="clear" w:color="auto" w:fill="FFFFFF"/>
        </w:rPr>
        <w:t>和应用。</w:t>
      </w:r>
    </w:p>
    <w:p w14:paraId="3D3D7075"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bCs/>
        </w:rPr>
        <w:t>思维导图教学法</w:t>
      </w:r>
      <w:r>
        <w:rPr>
          <w:rFonts w:ascii="宋体" w:hAnsi="宋体" w:hint="eastAsia"/>
          <w:bCs/>
        </w:rPr>
        <w:t>、</w:t>
      </w:r>
      <w:r>
        <w:rPr>
          <w:rFonts w:ascii="宋体" w:hAnsi="宋体"/>
          <w:bCs/>
        </w:rPr>
        <w:t>课堂测试</w:t>
      </w:r>
      <w:r>
        <w:rPr>
          <w:rFonts w:ascii="宋体" w:hAnsi="宋体" w:hint="eastAsia"/>
          <w:bCs/>
        </w:rPr>
        <w:t>和</w:t>
      </w:r>
      <w:r>
        <w:rPr>
          <w:rFonts w:ascii="宋体" w:hAnsi="宋体"/>
          <w:bCs/>
        </w:rPr>
        <w:t>讨论活动相结合</w:t>
      </w:r>
      <w:r>
        <w:rPr>
          <w:rFonts w:ascii="宋体" w:hAnsi="宋体" w:hint="eastAsia"/>
          <w:bCs/>
        </w:rPr>
        <w:t>开展教学活动。课前</w:t>
      </w:r>
      <w:r>
        <w:rPr>
          <w:rFonts w:ascii="宋体" w:hAnsi="宋体"/>
          <w:bCs/>
        </w:rPr>
        <w:t>学生</w:t>
      </w:r>
      <w:r>
        <w:rPr>
          <w:rFonts w:ascii="宋体" w:hAnsi="宋体" w:hint="eastAsia"/>
          <w:bCs/>
        </w:rPr>
        <w:t>完成</w:t>
      </w:r>
      <w:r>
        <w:rPr>
          <w:rFonts w:ascii="宋体" w:hAnsi="宋体"/>
          <w:bCs/>
        </w:rPr>
        <w:t>线上学习，并</w:t>
      </w:r>
      <w:r>
        <w:rPr>
          <w:rFonts w:ascii="宋体" w:hAnsi="宋体" w:hint="eastAsia"/>
          <w:bCs/>
        </w:rPr>
        <w:t>总结</w:t>
      </w:r>
      <w:r>
        <w:rPr>
          <w:rFonts w:ascii="宋体" w:hAnsi="宋体"/>
          <w:bCs/>
        </w:rPr>
        <w:t>思维</w:t>
      </w:r>
      <w:r>
        <w:rPr>
          <w:rFonts w:ascii="宋体" w:hAnsi="宋体" w:hint="eastAsia"/>
          <w:bCs/>
        </w:rPr>
        <w:t>导图。课上，首先进行</w:t>
      </w:r>
      <w:r>
        <w:rPr>
          <w:rFonts w:ascii="宋体" w:hAnsi="宋体"/>
          <w:bCs/>
        </w:rPr>
        <w:t>思维导图讲评和分享，</w:t>
      </w:r>
      <w:r>
        <w:rPr>
          <w:rFonts w:ascii="宋体" w:hAnsi="宋体" w:hint="eastAsia"/>
          <w:bCs/>
        </w:rPr>
        <w:t>对</w:t>
      </w:r>
      <w:r>
        <w:rPr>
          <w:rFonts w:ascii="宋体" w:hAnsi="宋体"/>
          <w:bCs/>
        </w:rPr>
        <w:t>重点知识</w:t>
      </w:r>
      <w:r>
        <w:rPr>
          <w:rFonts w:ascii="宋体" w:hAnsi="宋体" w:hint="eastAsia"/>
          <w:bCs/>
        </w:rPr>
        <w:t>进行</w:t>
      </w:r>
      <w:r>
        <w:rPr>
          <w:rFonts w:ascii="宋体" w:hAnsi="宋体"/>
          <w:bCs/>
        </w:rPr>
        <w:t>讲解</w:t>
      </w:r>
      <w:r>
        <w:rPr>
          <w:rFonts w:ascii="宋体" w:hAnsi="宋体" w:hint="eastAsia"/>
          <w:bCs/>
        </w:rPr>
        <w:t>；然后</w:t>
      </w:r>
      <w:r>
        <w:rPr>
          <w:rFonts w:ascii="宋体" w:hAnsi="宋体"/>
          <w:bCs/>
        </w:rPr>
        <w:t>进行课堂小测试</w:t>
      </w:r>
      <w:r>
        <w:rPr>
          <w:rFonts w:ascii="宋体" w:hAnsi="宋体" w:hint="eastAsia"/>
          <w:bCs/>
        </w:rPr>
        <w:t>；之后进行</w:t>
      </w:r>
      <w:r>
        <w:rPr>
          <w:rFonts w:ascii="宋体" w:hAnsi="宋体"/>
          <w:bCs/>
        </w:rPr>
        <w:t>课堂情境教学</w:t>
      </w:r>
      <w:r>
        <w:rPr>
          <w:rFonts w:ascii="宋体" w:hAnsi="宋体" w:hint="eastAsia"/>
          <w:bCs/>
        </w:rPr>
        <w:t>。教学</w:t>
      </w:r>
      <w:r>
        <w:rPr>
          <w:rFonts w:ascii="宋体" w:hAnsi="宋体"/>
          <w:bCs/>
        </w:rPr>
        <w:t>情境：</w:t>
      </w:r>
      <w:r>
        <w:rPr>
          <w:rFonts w:ascii="宋体" w:hAnsi="宋体" w:hint="eastAsia"/>
          <w:bCs/>
        </w:rPr>
        <w:t>1.比较塑料</w:t>
      </w:r>
      <w:r>
        <w:rPr>
          <w:rFonts w:ascii="宋体" w:hAnsi="宋体"/>
          <w:bCs/>
        </w:rPr>
        <w:t>大棚、日光温室和</w:t>
      </w:r>
      <w:r>
        <w:rPr>
          <w:rFonts w:ascii="宋体" w:hAnsi="宋体" w:hint="eastAsia"/>
          <w:bCs/>
        </w:rPr>
        <w:t>连栋</w:t>
      </w:r>
      <w:r>
        <w:rPr>
          <w:rFonts w:ascii="宋体" w:hAnsi="宋体"/>
          <w:bCs/>
        </w:rPr>
        <w:t>温室性能，</w:t>
      </w:r>
      <w:r>
        <w:rPr>
          <w:rFonts w:ascii="宋体" w:hAnsi="宋体" w:hint="eastAsia"/>
          <w:bCs/>
        </w:rPr>
        <w:t>2.结合温室的性能，总结温室的应用茬口</w:t>
      </w:r>
      <w:r>
        <w:rPr>
          <w:rFonts w:ascii="宋体" w:hAnsi="宋体"/>
          <w:bCs/>
        </w:rPr>
        <w:t>。</w:t>
      </w:r>
      <w:r>
        <w:rPr>
          <w:rFonts w:ascii="宋体" w:hAnsi="宋体" w:hint="eastAsia"/>
          <w:bCs/>
        </w:rPr>
        <w:t>课后</w:t>
      </w:r>
      <w:r>
        <w:rPr>
          <w:rFonts w:ascii="宋体" w:hAnsi="宋体"/>
          <w:bCs/>
        </w:rPr>
        <w:t>，学生进行反思</w:t>
      </w:r>
      <w:r>
        <w:rPr>
          <w:rFonts w:ascii="宋体" w:hAnsi="宋体" w:hint="eastAsia"/>
          <w:bCs/>
        </w:rPr>
        <w:t>，完善</w:t>
      </w:r>
      <w:r>
        <w:rPr>
          <w:rFonts w:ascii="宋体" w:hAnsi="宋体"/>
          <w:bCs/>
        </w:rPr>
        <w:t>课前思维导图。</w:t>
      </w:r>
    </w:p>
    <w:tbl>
      <w:tblPr>
        <w:tblStyle w:val="af6"/>
        <w:tblW w:w="0" w:type="auto"/>
        <w:tblInd w:w="4" w:type="dxa"/>
        <w:tblCellMar>
          <w:left w:w="0" w:type="dxa"/>
          <w:right w:w="0" w:type="dxa"/>
        </w:tblCellMar>
        <w:tblLook w:val="04A0" w:firstRow="1" w:lastRow="0" w:firstColumn="1" w:lastColumn="0" w:noHBand="0" w:noVBand="1"/>
      </w:tblPr>
      <w:tblGrid>
        <w:gridCol w:w="1593"/>
        <w:gridCol w:w="5863"/>
        <w:gridCol w:w="1440"/>
      </w:tblGrid>
      <w:tr w:rsidR="00F5289E" w14:paraId="5551EBF7" w14:textId="77777777">
        <w:trPr>
          <w:trHeight w:val="270"/>
        </w:trPr>
        <w:tc>
          <w:tcPr>
            <w:tcW w:w="1593" w:type="dxa"/>
            <w:tcBorders>
              <w:top w:val="nil"/>
              <w:left w:val="nil"/>
              <w:bottom w:val="nil"/>
              <w:right w:val="nil"/>
            </w:tcBorders>
            <w:vAlign w:val="center"/>
          </w:tcPr>
          <w:p w14:paraId="79101FE7" w14:textId="77777777" w:rsidR="00F5289E" w:rsidRDefault="00F5289E">
            <w:pPr>
              <w:widowControl/>
              <w:snapToGrid w:val="0"/>
              <w:spacing w:line="360" w:lineRule="auto"/>
              <w:jc w:val="center"/>
              <w:rPr>
                <w:rFonts w:hAnsi="宋体"/>
                <w:b/>
                <w:bCs/>
                <w:kern w:val="0"/>
                <w:szCs w:val="21"/>
              </w:rPr>
            </w:pPr>
          </w:p>
        </w:tc>
        <w:tc>
          <w:tcPr>
            <w:tcW w:w="5863" w:type="dxa"/>
            <w:tcBorders>
              <w:top w:val="nil"/>
              <w:left w:val="nil"/>
              <w:bottom w:val="nil"/>
              <w:right w:val="nil"/>
            </w:tcBorders>
            <w:vAlign w:val="center"/>
          </w:tcPr>
          <w:p w14:paraId="7AA4D43B" w14:textId="77777777" w:rsidR="00F5289E" w:rsidRDefault="00C91173">
            <w:pPr>
              <w:widowControl/>
              <w:snapToGrid w:val="0"/>
              <w:spacing w:line="360" w:lineRule="auto"/>
              <w:jc w:val="center"/>
              <w:rPr>
                <w:rFonts w:hAnsi="宋体"/>
                <w:b/>
                <w:bCs/>
                <w:kern w:val="0"/>
                <w:szCs w:val="21"/>
              </w:rPr>
            </w:pPr>
            <w:r>
              <w:rPr>
                <w:rFonts w:ascii="宋体" w:hAnsi="宋体" w:hint="eastAsia"/>
                <w:b/>
                <w:bCs/>
              </w:rPr>
              <w:t xml:space="preserve">第五章 园艺设施规划与设计 </w:t>
            </w:r>
          </w:p>
        </w:tc>
        <w:tc>
          <w:tcPr>
            <w:tcW w:w="1440" w:type="dxa"/>
            <w:tcBorders>
              <w:top w:val="nil"/>
              <w:left w:val="nil"/>
              <w:bottom w:val="nil"/>
              <w:right w:val="nil"/>
            </w:tcBorders>
            <w:vAlign w:val="center"/>
          </w:tcPr>
          <w:p w14:paraId="206ECA4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28</w:t>
            </w:r>
          </w:p>
        </w:tc>
      </w:tr>
    </w:tbl>
    <w:p w14:paraId="42D64017"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园艺设施规划与布局（4</w:t>
      </w:r>
      <w:r>
        <w:rPr>
          <w:rFonts w:ascii="宋体" w:hAnsi="宋体"/>
          <w:b/>
          <w:bCs/>
        </w:rPr>
        <w:t>学时</w:t>
      </w:r>
      <w:r>
        <w:rPr>
          <w:rFonts w:ascii="宋体" w:hAnsi="宋体" w:hint="eastAsia"/>
          <w:b/>
          <w:bCs/>
        </w:rPr>
        <w:t>）</w:t>
      </w:r>
    </w:p>
    <w:p w14:paraId="306598A2"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宋体" w:hint="eastAsia"/>
          <w:szCs w:val="21"/>
          <w:shd w:val="clear" w:color="auto" w:fill="FFFFFF"/>
        </w:rPr>
        <w:t>通过学习，理解</w:t>
      </w:r>
      <w:r>
        <w:rPr>
          <w:rFonts w:hint="eastAsia"/>
        </w:rPr>
        <w:t>园艺设施建筑特点和要求、园艺设施场地规划要求，能够指导园艺设施总体规划，掌握园艺设施荷载类型和计算，了解园艺设施结构验算的理论</w:t>
      </w:r>
      <w:r>
        <w:rPr>
          <w:rFonts w:ascii="宋体" w:hAnsi="宋体" w:cs="Tahoma" w:hint="eastAsia"/>
          <w:szCs w:val="21"/>
          <w:shd w:val="clear" w:color="auto" w:fill="FFFFFF"/>
        </w:rPr>
        <w:t>。</w:t>
      </w:r>
    </w:p>
    <w:p w14:paraId="449D565E"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int="eastAsia"/>
        </w:rPr>
        <w:t>园艺设施建筑特点和要求、园艺设施荷载计算，园艺设施结构验算理论</w:t>
      </w:r>
      <w:r>
        <w:rPr>
          <w:rFonts w:ascii="宋体" w:hAnsi="宋体" w:hint="eastAsia"/>
        </w:rPr>
        <w:t>。</w:t>
      </w:r>
    </w:p>
    <w:p w14:paraId="630733FB"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26620A3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一、园艺设施建造特点与要求</w:t>
      </w:r>
    </w:p>
    <w:p w14:paraId="1A2F88C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二、场地的选择与布局</w:t>
      </w:r>
    </w:p>
    <w:p w14:paraId="2C9ED9C4"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三、园艺设施荷载</w:t>
      </w:r>
    </w:p>
    <w:p w14:paraId="6514F2C4" w14:textId="77777777" w:rsidR="00F5289E" w:rsidRDefault="00C91173">
      <w:pPr>
        <w:adjustRightInd w:val="0"/>
        <w:snapToGrid w:val="0"/>
        <w:spacing w:line="360" w:lineRule="auto"/>
        <w:rPr>
          <w:rFonts w:ascii="宋体" w:hAnsi="宋体" w:cs="宋体"/>
          <w:szCs w:val="21"/>
          <w:shd w:val="clear" w:color="auto" w:fill="FFFFFF"/>
        </w:rPr>
      </w:pPr>
      <w:r>
        <w:rPr>
          <w:rFonts w:ascii="宋体" w:hAnsi="宋体" w:cs="宋体" w:hint="eastAsia"/>
          <w:szCs w:val="21"/>
          <w:shd w:val="clear" w:color="auto" w:fill="FFFFFF"/>
        </w:rPr>
        <w:t>了解：</w:t>
      </w:r>
      <w:r>
        <w:rPr>
          <w:rFonts w:hint="eastAsia"/>
        </w:rPr>
        <w:t>园艺设施结构验算的理论</w:t>
      </w:r>
      <w:r>
        <w:rPr>
          <w:rFonts w:ascii="宋体" w:hAnsi="宋体" w:cs="宋体" w:hint="eastAsia"/>
          <w:szCs w:val="21"/>
          <w:shd w:val="clear" w:color="auto" w:fill="FFFFFF"/>
        </w:rPr>
        <w:t>；</w:t>
      </w:r>
    </w:p>
    <w:p w14:paraId="6FB23CBD" w14:textId="77777777" w:rsidR="00F5289E" w:rsidRDefault="00C91173">
      <w:pPr>
        <w:adjustRightInd w:val="0"/>
        <w:snapToGrid w:val="0"/>
        <w:spacing w:line="360" w:lineRule="auto"/>
        <w:rPr>
          <w:rFonts w:ascii="宋体" w:hAnsi="宋体"/>
          <w:szCs w:val="21"/>
        </w:rPr>
      </w:pPr>
      <w:r>
        <w:rPr>
          <w:rFonts w:ascii="宋体" w:hAnsi="宋体" w:cs="宋体" w:hint="eastAsia"/>
          <w:szCs w:val="21"/>
          <w:shd w:val="clear" w:color="auto" w:fill="FFFFFF"/>
        </w:rPr>
        <w:t>理解：</w:t>
      </w:r>
      <w:r>
        <w:rPr>
          <w:rFonts w:hint="eastAsia"/>
        </w:rPr>
        <w:t>园艺设施建筑特点和要求、园艺设施场地规划要求</w:t>
      </w:r>
      <w:r>
        <w:rPr>
          <w:rFonts w:ascii="宋体" w:hAnsi="宋体" w:hint="eastAsia"/>
          <w:szCs w:val="21"/>
        </w:rPr>
        <w:t>；</w:t>
      </w:r>
    </w:p>
    <w:p w14:paraId="23D12250" w14:textId="77777777" w:rsidR="00F5289E" w:rsidRDefault="00C91173">
      <w:pPr>
        <w:adjustRightInd w:val="0"/>
        <w:snapToGrid w:val="0"/>
        <w:spacing w:line="360" w:lineRule="auto"/>
      </w:pPr>
      <w:r>
        <w:rPr>
          <w:rFonts w:ascii="宋体" w:hAnsi="宋体"/>
          <w:bCs/>
          <w:szCs w:val="21"/>
        </w:rPr>
        <w:t>掌握：</w:t>
      </w:r>
      <w:r>
        <w:rPr>
          <w:rFonts w:hint="eastAsia"/>
        </w:rPr>
        <w:t>园艺设施荷载类型和计算</w:t>
      </w:r>
      <w:r>
        <w:rPr>
          <w:rFonts w:ascii="宋体" w:hAnsi="宋体"/>
          <w:szCs w:val="21"/>
        </w:rPr>
        <w:t>。</w:t>
      </w:r>
    </w:p>
    <w:p w14:paraId="291E1016"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015BD83D" w14:textId="77777777" w:rsidR="00F5289E" w:rsidRDefault="00F5289E">
      <w:pPr>
        <w:widowControl/>
        <w:snapToGrid w:val="0"/>
        <w:spacing w:line="360" w:lineRule="auto"/>
        <w:rPr>
          <w:rFonts w:ascii="宋体" w:hAnsi="宋体"/>
          <w:b/>
          <w:bCs/>
        </w:rPr>
      </w:pPr>
    </w:p>
    <w:p w14:paraId="3B835123"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塑料大棚的设计（4</w:t>
      </w:r>
      <w:r>
        <w:rPr>
          <w:rFonts w:ascii="宋体" w:hAnsi="宋体"/>
          <w:b/>
          <w:bCs/>
        </w:rPr>
        <w:t>学时</w:t>
      </w:r>
      <w:r>
        <w:rPr>
          <w:rFonts w:ascii="宋体" w:hAnsi="宋体" w:hint="eastAsia"/>
          <w:b/>
          <w:bCs/>
        </w:rPr>
        <w:t>）</w:t>
      </w:r>
    </w:p>
    <w:p w14:paraId="37CC6F4D"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通过学习，学生掌握塑料大棚的设计理论和方法，能够完成塑料大棚的设计，</w:t>
      </w:r>
      <w:r>
        <w:rPr>
          <w:rFonts w:ascii="宋体" w:hAnsi="宋体" w:hint="eastAsia"/>
        </w:rPr>
        <w:t>理解</w:t>
      </w:r>
      <w:r>
        <w:rPr>
          <w:rFonts w:hint="eastAsia"/>
        </w:rPr>
        <w:t>塑料大棚的发展方向</w:t>
      </w:r>
      <w:r>
        <w:rPr>
          <w:rFonts w:ascii="宋体" w:hAnsi="宋体" w:hint="eastAsia"/>
        </w:rPr>
        <w:t>。</w:t>
      </w:r>
    </w:p>
    <w:p w14:paraId="38D6BC2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塑料大棚的结构参数和</w:t>
      </w:r>
      <w:r>
        <w:rPr>
          <w:rFonts w:ascii="宋体" w:hAnsi="宋体" w:hint="eastAsia"/>
        </w:rPr>
        <w:t>结构构件的设计原则，</w:t>
      </w:r>
      <w:r>
        <w:rPr>
          <w:rFonts w:hint="eastAsia"/>
        </w:rPr>
        <w:t>塑料大棚的发展方向</w:t>
      </w:r>
      <w:r>
        <w:rPr>
          <w:rFonts w:ascii="宋体" w:hAnsi="宋体" w:hint="eastAsia"/>
        </w:rPr>
        <w:t>。</w:t>
      </w:r>
    </w:p>
    <w:p w14:paraId="20FC320E"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0619046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一、塑料大棚的结构参数</w:t>
      </w:r>
    </w:p>
    <w:p w14:paraId="08CB8C10"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二、塑料大棚的结构构件组成</w:t>
      </w:r>
    </w:p>
    <w:p w14:paraId="03C8F9B7"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三、钢筋焊接钢骨架塑料大棚的组成和特点</w:t>
      </w:r>
    </w:p>
    <w:p w14:paraId="502081E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四、装配式镀锌钢管塑料大棚的组成和特点</w:t>
      </w:r>
    </w:p>
    <w:p w14:paraId="0A252D87" w14:textId="77777777" w:rsidR="00F5289E" w:rsidRDefault="00C91173">
      <w:pPr>
        <w:adjustRightInd w:val="0"/>
        <w:snapToGrid w:val="0"/>
        <w:spacing w:line="360" w:lineRule="auto"/>
        <w:ind w:firstLineChars="200" w:firstLine="420"/>
      </w:pPr>
      <w:r>
        <w:rPr>
          <w:rFonts w:hint="eastAsia"/>
        </w:rPr>
        <w:t>五、塑料大棚的发展方向</w:t>
      </w:r>
    </w:p>
    <w:p w14:paraId="4F505202" w14:textId="77777777" w:rsidR="00F5289E" w:rsidRDefault="00C91173">
      <w:pPr>
        <w:adjustRightInd w:val="0"/>
        <w:snapToGrid w:val="0"/>
        <w:spacing w:line="360" w:lineRule="auto"/>
        <w:ind w:firstLineChars="200" w:firstLine="420"/>
        <w:rPr>
          <w:rFonts w:ascii="宋体" w:hAnsi="宋体" w:cs="宋体"/>
          <w:szCs w:val="21"/>
          <w:shd w:val="clear" w:color="auto" w:fill="FFFFFF"/>
        </w:rPr>
      </w:pPr>
      <w:r>
        <w:rPr>
          <w:rFonts w:ascii="宋体" w:hAnsi="宋体" w:cs="宋体" w:hint="eastAsia"/>
          <w:szCs w:val="21"/>
          <w:shd w:val="clear" w:color="auto" w:fill="FFFFFF"/>
        </w:rPr>
        <w:t>理解：</w:t>
      </w:r>
      <w:r>
        <w:rPr>
          <w:rFonts w:ascii="宋体" w:hAnsi="宋体" w:cs="Tahoma" w:hint="eastAsia"/>
          <w:szCs w:val="21"/>
          <w:shd w:val="clear" w:color="auto" w:fill="FFFFFF"/>
        </w:rPr>
        <w:t>塑料大棚结构参数的影响因素和结构构件的作用，</w:t>
      </w:r>
      <w:r>
        <w:rPr>
          <w:rFonts w:hint="eastAsia"/>
        </w:rPr>
        <w:t>塑料大棚的发展方向</w:t>
      </w:r>
      <w:r>
        <w:rPr>
          <w:rFonts w:ascii="宋体" w:hAnsi="宋体" w:cs="宋体" w:hint="eastAsia"/>
          <w:szCs w:val="21"/>
          <w:shd w:val="clear" w:color="auto" w:fill="FFFFFF"/>
        </w:rPr>
        <w:t>；</w:t>
      </w:r>
    </w:p>
    <w:p w14:paraId="5766F8E2" w14:textId="77777777" w:rsidR="00F5289E" w:rsidRDefault="00C91173">
      <w:pPr>
        <w:adjustRightInd w:val="0"/>
        <w:snapToGrid w:val="0"/>
        <w:spacing w:line="360" w:lineRule="auto"/>
        <w:ind w:firstLineChars="200" w:firstLine="420"/>
        <w:rPr>
          <w:rFonts w:ascii="宋体" w:hAnsi="宋体"/>
          <w:szCs w:val="21"/>
        </w:rPr>
      </w:pPr>
      <w:r>
        <w:rPr>
          <w:rFonts w:ascii="宋体" w:hAnsi="宋体" w:cs="宋体" w:hint="eastAsia"/>
          <w:szCs w:val="21"/>
          <w:shd w:val="clear" w:color="auto" w:fill="FFFFFF"/>
        </w:rPr>
        <w:t>掌握：</w:t>
      </w:r>
      <w:r>
        <w:rPr>
          <w:rFonts w:ascii="宋体" w:hAnsi="宋体" w:hint="eastAsia"/>
        </w:rPr>
        <w:t>钢筋焊接钢骨架塑料大棚和装配式镀锌钢管塑料大棚的结构参数和结构构件组成</w:t>
      </w:r>
      <w:r>
        <w:rPr>
          <w:rFonts w:ascii="宋体" w:hAnsi="宋体" w:hint="eastAsia"/>
          <w:szCs w:val="21"/>
        </w:rPr>
        <w:t>；</w:t>
      </w:r>
    </w:p>
    <w:p w14:paraId="2466CDFF" w14:textId="77777777" w:rsidR="00F5289E" w:rsidRDefault="00C91173">
      <w:pPr>
        <w:adjustRightInd w:val="0"/>
        <w:snapToGrid w:val="0"/>
        <w:spacing w:line="360" w:lineRule="auto"/>
        <w:ind w:firstLineChars="200" w:firstLine="420"/>
      </w:pPr>
      <w:r>
        <w:rPr>
          <w:rFonts w:ascii="宋体" w:hAnsi="宋体" w:hint="eastAsia"/>
          <w:bCs/>
          <w:szCs w:val="21"/>
        </w:rPr>
        <w:t>熟练</w:t>
      </w:r>
      <w:r>
        <w:rPr>
          <w:rFonts w:ascii="宋体" w:hAnsi="宋体"/>
          <w:bCs/>
          <w:szCs w:val="21"/>
        </w:rPr>
        <w:t>掌握：</w:t>
      </w:r>
      <w:r>
        <w:rPr>
          <w:rFonts w:ascii="宋体" w:hAnsi="宋体" w:cs="Tahoma" w:hint="eastAsia"/>
          <w:szCs w:val="21"/>
          <w:shd w:val="clear" w:color="auto" w:fill="FFFFFF"/>
        </w:rPr>
        <w:t>塑料大棚结构参数和结构构件的设计原则</w:t>
      </w:r>
      <w:r>
        <w:rPr>
          <w:rFonts w:ascii="宋体" w:hAnsi="宋体"/>
          <w:szCs w:val="21"/>
        </w:rPr>
        <w:t>。</w:t>
      </w:r>
    </w:p>
    <w:p w14:paraId="16F96597"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szCs w:val="21"/>
        </w:rPr>
        <w:t>项目教学法和课堂</w:t>
      </w:r>
      <w:r>
        <w:rPr>
          <w:rFonts w:ascii="宋体" w:hAnsi="宋体"/>
          <w:bCs/>
          <w:szCs w:val="21"/>
        </w:rPr>
        <w:t>讨论相结合，</w:t>
      </w:r>
      <w:r>
        <w:rPr>
          <w:rFonts w:ascii="宋体" w:hAnsi="宋体" w:hint="eastAsia"/>
          <w:bCs/>
          <w:szCs w:val="21"/>
        </w:rPr>
        <w:t>课前</w:t>
      </w:r>
      <w:r>
        <w:rPr>
          <w:rFonts w:ascii="宋体" w:hAnsi="宋体"/>
          <w:bCs/>
          <w:szCs w:val="21"/>
        </w:rPr>
        <w:t>学生</w:t>
      </w:r>
      <w:r>
        <w:rPr>
          <w:rFonts w:ascii="宋体" w:hAnsi="宋体" w:hint="eastAsia"/>
          <w:bCs/>
          <w:szCs w:val="21"/>
        </w:rPr>
        <w:t>进行</w:t>
      </w:r>
      <w:r>
        <w:rPr>
          <w:rFonts w:ascii="宋体" w:hAnsi="宋体"/>
          <w:bCs/>
          <w:szCs w:val="21"/>
        </w:rPr>
        <w:t>线上学习，并</w:t>
      </w:r>
      <w:r>
        <w:rPr>
          <w:rFonts w:ascii="宋体" w:hAnsi="宋体" w:hint="eastAsia"/>
          <w:bCs/>
          <w:szCs w:val="21"/>
        </w:rPr>
        <w:t>完成思考</w:t>
      </w:r>
      <w:r>
        <w:rPr>
          <w:rFonts w:ascii="宋体" w:hAnsi="宋体"/>
          <w:bCs/>
          <w:szCs w:val="21"/>
        </w:rPr>
        <w:t>题和项目作业，</w:t>
      </w:r>
      <w:r>
        <w:rPr>
          <w:rFonts w:ascii="宋体" w:hAnsi="宋体" w:hint="eastAsia"/>
          <w:bCs/>
          <w:szCs w:val="21"/>
        </w:rPr>
        <w:t>课上进行思考题讨论</w:t>
      </w:r>
      <w:r>
        <w:rPr>
          <w:rFonts w:ascii="宋体" w:hAnsi="宋体"/>
          <w:bCs/>
          <w:szCs w:val="21"/>
        </w:rPr>
        <w:t>和项目作业讲评</w:t>
      </w:r>
      <w:r>
        <w:rPr>
          <w:rFonts w:ascii="宋体" w:hAnsi="宋体" w:hint="eastAsia"/>
          <w:bCs/>
          <w:szCs w:val="21"/>
        </w:rPr>
        <w:t>，解决教学</w:t>
      </w:r>
      <w:r>
        <w:rPr>
          <w:rFonts w:ascii="宋体" w:hAnsi="宋体"/>
          <w:bCs/>
          <w:szCs w:val="21"/>
        </w:rPr>
        <w:t>重点</w:t>
      </w:r>
      <w:r>
        <w:rPr>
          <w:rFonts w:ascii="宋体" w:hAnsi="宋体" w:hint="eastAsia"/>
          <w:bCs/>
          <w:szCs w:val="21"/>
        </w:rPr>
        <w:t>内容；然后创设</w:t>
      </w:r>
      <w:r>
        <w:rPr>
          <w:rFonts w:ascii="宋体" w:hAnsi="宋体"/>
          <w:bCs/>
          <w:szCs w:val="21"/>
        </w:rPr>
        <w:t>情境，学生讨论并分享结</w:t>
      </w:r>
      <w:r>
        <w:rPr>
          <w:rFonts w:ascii="宋体" w:hAnsi="宋体"/>
          <w:bCs/>
          <w:szCs w:val="21"/>
        </w:rPr>
        <w:lastRenderedPageBreak/>
        <w:t>论。</w:t>
      </w:r>
      <w:r>
        <w:rPr>
          <w:rFonts w:ascii="宋体" w:hAnsi="宋体" w:hint="eastAsia"/>
          <w:bCs/>
          <w:szCs w:val="21"/>
        </w:rPr>
        <w:t>教学</w:t>
      </w:r>
      <w:r>
        <w:rPr>
          <w:rFonts w:ascii="宋体" w:hAnsi="宋体"/>
          <w:bCs/>
          <w:szCs w:val="21"/>
        </w:rPr>
        <w:t>情境：</w:t>
      </w:r>
      <w:r>
        <w:rPr>
          <w:rFonts w:ascii="宋体" w:hAnsi="宋体" w:hint="eastAsia"/>
          <w:bCs/>
          <w:szCs w:val="21"/>
        </w:rPr>
        <w:t>请同学们回忆塑料大棚的优缺点，塑料大棚该如何进行改良，提高其环境调控能力？课后学生复习</w:t>
      </w:r>
      <w:r>
        <w:rPr>
          <w:rFonts w:ascii="宋体" w:hAnsi="宋体"/>
          <w:bCs/>
          <w:szCs w:val="21"/>
        </w:rPr>
        <w:t>课前学习并阅读相关文献，</w:t>
      </w:r>
      <w:r>
        <w:rPr>
          <w:rFonts w:ascii="宋体" w:hAnsi="宋体" w:hint="eastAsia"/>
          <w:bCs/>
          <w:szCs w:val="21"/>
        </w:rPr>
        <w:t>探寻</w:t>
      </w:r>
      <w:r>
        <w:rPr>
          <w:rFonts w:ascii="宋体" w:hAnsi="宋体"/>
          <w:bCs/>
          <w:szCs w:val="21"/>
        </w:rPr>
        <w:t>解决问题的方法，</w:t>
      </w:r>
      <w:r>
        <w:rPr>
          <w:rFonts w:ascii="宋体" w:hAnsi="宋体" w:hint="eastAsia"/>
          <w:bCs/>
          <w:szCs w:val="21"/>
        </w:rPr>
        <w:t>完成</w:t>
      </w:r>
      <w:r>
        <w:rPr>
          <w:rFonts w:ascii="宋体" w:hAnsi="宋体"/>
          <w:bCs/>
          <w:szCs w:val="21"/>
        </w:rPr>
        <w:t>学习</w:t>
      </w:r>
      <w:r>
        <w:rPr>
          <w:rFonts w:ascii="宋体" w:hAnsi="宋体" w:hint="eastAsia"/>
          <w:bCs/>
          <w:szCs w:val="21"/>
        </w:rPr>
        <w:t>报告。</w:t>
      </w:r>
    </w:p>
    <w:p w14:paraId="78BAFCF0" w14:textId="77777777" w:rsidR="00F5289E" w:rsidRDefault="00C91173">
      <w:pPr>
        <w:adjustRightInd w:val="0"/>
        <w:snapToGrid w:val="0"/>
        <w:spacing w:line="360" w:lineRule="auto"/>
        <w:rPr>
          <w:rFonts w:ascii="宋体" w:hAnsi="宋体"/>
          <w:b/>
          <w:bCs/>
        </w:rPr>
      </w:pPr>
      <w:r>
        <w:rPr>
          <w:rFonts w:ascii="宋体" w:hAnsi="宋体" w:hint="eastAsia"/>
          <w:b/>
          <w:bCs/>
        </w:rPr>
        <w:t>第三节 日光温室设计 （8</w:t>
      </w:r>
      <w:r>
        <w:rPr>
          <w:rFonts w:ascii="宋体" w:hAnsi="宋体"/>
          <w:b/>
          <w:bCs/>
        </w:rPr>
        <w:t>学时</w:t>
      </w:r>
      <w:r>
        <w:rPr>
          <w:rFonts w:ascii="宋体" w:hAnsi="宋体" w:hint="eastAsia"/>
          <w:b/>
          <w:bCs/>
        </w:rPr>
        <w:t>）</w:t>
      </w:r>
    </w:p>
    <w:p w14:paraId="38866E09"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通过学习，学生掌握日光温室的设计理论和方法，能够完成日光温室的设计，</w:t>
      </w:r>
      <w:r>
        <w:rPr>
          <w:rFonts w:ascii="宋体" w:hAnsi="宋体" w:hint="eastAsia"/>
        </w:rPr>
        <w:t>理解</w:t>
      </w:r>
      <w:r>
        <w:rPr>
          <w:rFonts w:ascii="宋体" w:hAnsi="宋体" w:cs="Tahoma" w:hint="eastAsia"/>
          <w:szCs w:val="21"/>
          <w:shd w:val="clear" w:color="auto" w:fill="FFFFFF"/>
        </w:rPr>
        <w:t>日光温室</w:t>
      </w:r>
      <w:r>
        <w:rPr>
          <w:rFonts w:hint="eastAsia"/>
        </w:rPr>
        <w:t>的发展方向</w:t>
      </w:r>
      <w:r>
        <w:rPr>
          <w:rFonts w:ascii="宋体" w:hAnsi="宋体" w:cs="Tahoma" w:hint="eastAsia"/>
          <w:szCs w:val="21"/>
          <w:shd w:val="clear" w:color="auto" w:fill="FFFFFF"/>
        </w:rPr>
        <w:t>。</w:t>
      </w:r>
    </w:p>
    <w:p w14:paraId="18382A03"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int="eastAsia"/>
        </w:rPr>
        <w:t>日光温室剖面设计、保温蓄热设计和平面布局的理论和方法，日光温室的结构构件和安全性分析，日光温室的发展方向</w:t>
      </w:r>
      <w:r>
        <w:rPr>
          <w:rFonts w:ascii="宋体" w:hAnsi="宋体" w:hint="eastAsia"/>
        </w:rPr>
        <w:t>。</w:t>
      </w:r>
    </w:p>
    <w:p w14:paraId="3DB0674B"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3377768C" w14:textId="77777777" w:rsidR="00F5289E" w:rsidRDefault="00C91173">
      <w:pPr>
        <w:adjustRightInd w:val="0"/>
        <w:snapToGrid w:val="0"/>
        <w:spacing w:line="360" w:lineRule="auto"/>
        <w:ind w:firstLineChars="300" w:firstLine="630"/>
      </w:pPr>
      <w:r>
        <w:rPr>
          <w:rFonts w:hint="eastAsia"/>
        </w:rPr>
        <w:t>一、日光温室</w:t>
      </w:r>
      <w:r>
        <w:t>的基本结构和基本参数</w:t>
      </w:r>
    </w:p>
    <w:p w14:paraId="090BAB95" w14:textId="77777777" w:rsidR="00F5289E" w:rsidRDefault="00C91173">
      <w:pPr>
        <w:adjustRightInd w:val="0"/>
        <w:snapToGrid w:val="0"/>
        <w:spacing w:line="360" w:lineRule="auto"/>
        <w:ind w:firstLineChars="300" w:firstLine="630"/>
      </w:pPr>
      <w:r>
        <w:rPr>
          <w:rFonts w:hint="eastAsia"/>
        </w:rPr>
        <w:t>二、</w:t>
      </w:r>
      <w:r>
        <w:t>日光温室</w:t>
      </w:r>
      <w:r>
        <w:rPr>
          <w:rFonts w:hint="eastAsia"/>
        </w:rPr>
        <w:t>剖面</w:t>
      </w:r>
      <w:r>
        <w:t>设计</w:t>
      </w:r>
    </w:p>
    <w:p w14:paraId="1FC23AFD" w14:textId="77777777" w:rsidR="00F5289E" w:rsidRDefault="00C91173">
      <w:pPr>
        <w:adjustRightInd w:val="0"/>
        <w:snapToGrid w:val="0"/>
        <w:spacing w:line="360" w:lineRule="auto"/>
        <w:ind w:firstLineChars="300" w:firstLine="630"/>
      </w:pPr>
      <w:r>
        <w:rPr>
          <w:rFonts w:hint="eastAsia"/>
        </w:rPr>
        <w:t>三、日光温室保温蓄热设计</w:t>
      </w:r>
    </w:p>
    <w:p w14:paraId="795DB6CD" w14:textId="77777777" w:rsidR="00F5289E" w:rsidRDefault="00C91173">
      <w:pPr>
        <w:adjustRightInd w:val="0"/>
        <w:snapToGrid w:val="0"/>
        <w:spacing w:line="360" w:lineRule="auto"/>
        <w:ind w:firstLineChars="300" w:firstLine="630"/>
      </w:pPr>
      <w:r>
        <w:rPr>
          <w:rFonts w:hint="eastAsia"/>
        </w:rPr>
        <w:t>四、日光温室平面布局设计</w:t>
      </w:r>
    </w:p>
    <w:p w14:paraId="1B3ACDD6" w14:textId="77777777" w:rsidR="00F5289E" w:rsidRDefault="00C91173">
      <w:pPr>
        <w:adjustRightInd w:val="0"/>
        <w:snapToGrid w:val="0"/>
        <w:spacing w:line="360" w:lineRule="auto"/>
        <w:ind w:firstLineChars="300" w:firstLine="630"/>
      </w:pPr>
      <w:r>
        <w:rPr>
          <w:rFonts w:hint="eastAsia"/>
        </w:rPr>
        <w:t>五、日光温室简易设计和配套设备</w:t>
      </w:r>
    </w:p>
    <w:p w14:paraId="39F74BDB" w14:textId="77777777" w:rsidR="00F5289E" w:rsidRDefault="00C91173">
      <w:pPr>
        <w:adjustRightInd w:val="0"/>
        <w:snapToGrid w:val="0"/>
        <w:spacing w:line="360" w:lineRule="auto"/>
        <w:ind w:firstLineChars="300" w:firstLine="630"/>
      </w:pPr>
      <w:r>
        <w:rPr>
          <w:rFonts w:hint="eastAsia"/>
        </w:rPr>
        <w:t>六</w:t>
      </w:r>
      <w:r>
        <w:t>、</w:t>
      </w:r>
      <w:r>
        <w:rPr>
          <w:rFonts w:hint="eastAsia"/>
        </w:rPr>
        <w:t>日光温室结构安全设计</w:t>
      </w:r>
    </w:p>
    <w:p w14:paraId="5F25E47A" w14:textId="77777777" w:rsidR="00F5289E" w:rsidRDefault="00C91173">
      <w:pPr>
        <w:adjustRightInd w:val="0"/>
        <w:snapToGrid w:val="0"/>
        <w:spacing w:line="360" w:lineRule="auto"/>
        <w:ind w:firstLineChars="300" w:firstLine="630"/>
      </w:pPr>
      <w:r>
        <w:rPr>
          <w:rFonts w:hint="eastAsia"/>
        </w:rPr>
        <w:t>七、日光温室的发展方向</w:t>
      </w:r>
    </w:p>
    <w:p w14:paraId="4BBB06F1" w14:textId="77777777" w:rsidR="00F5289E" w:rsidRDefault="00C91173">
      <w:pPr>
        <w:adjustRightInd w:val="0"/>
        <w:snapToGrid w:val="0"/>
        <w:spacing w:line="360" w:lineRule="auto"/>
        <w:rPr>
          <w:rFonts w:ascii="宋体" w:hAnsi="宋体" w:cs="宋体"/>
          <w:szCs w:val="21"/>
          <w:shd w:val="clear" w:color="auto" w:fill="FFFFFF"/>
        </w:rPr>
      </w:pPr>
      <w:r>
        <w:rPr>
          <w:rFonts w:ascii="宋体" w:hAnsi="宋体" w:cs="宋体" w:hint="eastAsia"/>
          <w:szCs w:val="21"/>
          <w:shd w:val="clear" w:color="auto" w:fill="FFFFFF"/>
        </w:rPr>
        <w:t>理解：</w:t>
      </w:r>
      <w:r>
        <w:rPr>
          <w:rFonts w:hint="eastAsia"/>
        </w:rPr>
        <w:t>日光温室的发展方向</w:t>
      </w:r>
      <w:r>
        <w:rPr>
          <w:rFonts w:ascii="宋体" w:hAnsi="宋体" w:cs="Tahoma" w:hint="eastAsia"/>
          <w:szCs w:val="21"/>
          <w:shd w:val="clear" w:color="auto" w:fill="FFFFFF"/>
        </w:rPr>
        <w:t>；</w:t>
      </w:r>
    </w:p>
    <w:p w14:paraId="61063798" w14:textId="77777777" w:rsidR="00F5289E" w:rsidRDefault="00C91173">
      <w:pPr>
        <w:adjustRightInd w:val="0"/>
        <w:snapToGrid w:val="0"/>
        <w:spacing w:line="360" w:lineRule="auto"/>
      </w:pPr>
      <w:r>
        <w:rPr>
          <w:rFonts w:ascii="宋体" w:hAnsi="宋体" w:cs="宋体" w:hint="eastAsia"/>
          <w:szCs w:val="21"/>
          <w:shd w:val="clear" w:color="auto" w:fill="FFFFFF"/>
        </w:rPr>
        <w:t>掌握：</w:t>
      </w:r>
      <w:r>
        <w:rPr>
          <w:rFonts w:hint="eastAsia"/>
        </w:rPr>
        <w:t>日光温室结构参数和主要结构，日光温室的结构构件和安全性分析；</w:t>
      </w:r>
    </w:p>
    <w:p w14:paraId="468FBF93" w14:textId="77777777" w:rsidR="00F5289E" w:rsidRDefault="00C91173">
      <w:pPr>
        <w:adjustRightInd w:val="0"/>
        <w:snapToGrid w:val="0"/>
        <w:spacing w:line="360" w:lineRule="auto"/>
      </w:pPr>
      <w:r>
        <w:rPr>
          <w:rFonts w:ascii="宋体" w:hAnsi="宋体" w:hint="eastAsia"/>
          <w:bCs/>
          <w:szCs w:val="21"/>
        </w:rPr>
        <w:t>熟练</w:t>
      </w:r>
      <w:r>
        <w:rPr>
          <w:rFonts w:ascii="宋体" w:hAnsi="宋体"/>
          <w:bCs/>
          <w:szCs w:val="21"/>
        </w:rPr>
        <w:t>掌握：</w:t>
      </w:r>
      <w:r>
        <w:rPr>
          <w:rFonts w:hint="eastAsia"/>
        </w:rPr>
        <w:t>日光温室剖面设计、保温蓄热设计和平面布局的理论和方法</w:t>
      </w:r>
      <w:r>
        <w:rPr>
          <w:rFonts w:ascii="宋体" w:hAnsi="宋体" w:cs="Tahoma" w:hint="eastAsia"/>
          <w:szCs w:val="21"/>
          <w:shd w:val="clear" w:color="auto" w:fill="FFFFFF"/>
        </w:rPr>
        <w:t>。</w:t>
      </w:r>
    </w:p>
    <w:p w14:paraId="13B53FD3"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szCs w:val="21"/>
        </w:rPr>
        <w:t>项目教学法和课堂</w:t>
      </w:r>
      <w:r>
        <w:rPr>
          <w:rFonts w:ascii="宋体" w:hAnsi="宋体"/>
          <w:bCs/>
          <w:szCs w:val="21"/>
        </w:rPr>
        <w:t>讨论相结合，</w:t>
      </w:r>
      <w:r>
        <w:rPr>
          <w:rFonts w:ascii="宋体" w:hAnsi="宋体" w:hint="eastAsia"/>
          <w:bCs/>
          <w:szCs w:val="21"/>
        </w:rPr>
        <w:t>课前</w:t>
      </w:r>
      <w:r>
        <w:rPr>
          <w:rFonts w:ascii="宋体" w:hAnsi="宋体"/>
          <w:bCs/>
          <w:szCs w:val="21"/>
        </w:rPr>
        <w:t>学生</w:t>
      </w:r>
      <w:r>
        <w:rPr>
          <w:rFonts w:ascii="宋体" w:hAnsi="宋体" w:hint="eastAsia"/>
          <w:bCs/>
          <w:szCs w:val="21"/>
        </w:rPr>
        <w:t>进行</w:t>
      </w:r>
      <w:r>
        <w:rPr>
          <w:rFonts w:ascii="宋体" w:hAnsi="宋体"/>
          <w:bCs/>
          <w:szCs w:val="21"/>
        </w:rPr>
        <w:t>线上学习，并</w:t>
      </w:r>
      <w:r>
        <w:rPr>
          <w:rFonts w:ascii="宋体" w:hAnsi="宋体" w:hint="eastAsia"/>
          <w:bCs/>
          <w:szCs w:val="21"/>
        </w:rPr>
        <w:t>完成思考</w:t>
      </w:r>
      <w:r>
        <w:rPr>
          <w:rFonts w:ascii="宋体" w:hAnsi="宋体"/>
          <w:bCs/>
          <w:szCs w:val="21"/>
        </w:rPr>
        <w:t>题和项目作业，</w:t>
      </w:r>
      <w:r>
        <w:rPr>
          <w:rFonts w:ascii="宋体" w:hAnsi="宋体" w:hint="eastAsia"/>
          <w:bCs/>
          <w:szCs w:val="21"/>
        </w:rPr>
        <w:t>课上进行思考题讨论</w:t>
      </w:r>
      <w:r>
        <w:rPr>
          <w:rFonts w:ascii="宋体" w:hAnsi="宋体"/>
          <w:bCs/>
          <w:szCs w:val="21"/>
        </w:rPr>
        <w:t>和项目作业讲评</w:t>
      </w:r>
      <w:r>
        <w:rPr>
          <w:rFonts w:ascii="宋体" w:hAnsi="宋体" w:hint="eastAsia"/>
          <w:bCs/>
          <w:szCs w:val="21"/>
        </w:rPr>
        <w:t>，解决教学</w:t>
      </w:r>
      <w:r>
        <w:rPr>
          <w:rFonts w:ascii="宋体" w:hAnsi="宋体"/>
          <w:bCs/>
          <w:szCs w:val="21"/>
        </w:rPr>
        <w:t>重点</w:t>
      </w:r>
      <w:r>
        <w:rPr>
          <w:rFonts w:ascii="宋体" w:hAnsi="宋体" w:hint="eastAsia"/>
          <w:bCs/>
          <w:szCs w:val="21"/>
        </w:rPr>
        <w:t>内容；然后创设</w:t>
      </w:r>
      <w:r>
        <w:rPr>
          <w:rFonts w:ascii="宋体" w:hAnsi="宋体"/>
          <w:bCs/>
          <w:szCs w:val="21"/>
        </w:rPr>
        <w:t>情境，学生讨论并分享结论。</w:t>
      </w:r>
      <w:r>
        <w:rPr>
          <w:rFonts w:ascii="宋体" w:hAnsi="宋体" w:hint="eastAsia"/>
          <w:bCs/>
          <w:szCs w:val="21"/>
        </w:rPr>
        <w:t>教学</w:t>
      </w:r>
      <w:r>
        <w:rPr>
          <w:rFonts w:ascii="宋体" w:hAnsi="宋体"/>
          <w:bCs/>
          <w:szCs w:val="21"/>
        </w:rPr>
        <w:t>情境：</w:t>
      </w: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按照这样的方法，设计好了日光温室，生产中发现了几点问题：a.后屋面夏季遮荫严重；b.冬季采光不足，温室内存在弱光低温现象。你觉得是什么原因呢？你觉得应如何改进呢？2.</w:t>
      </w:r>
      <w:r>
        <w:rPr>
          <w:rFonts w:hint="eastAsia"/>
          <w:szCs w:val="21"/>
        </w:rPr>
        <w:t xml:space="preserve"> </w:t>
      </w:r>
      <w:r>
        <w:rPr>
          <w:rFonts w:ascii="宋体" w:hAnsi="宋体" w:cs="宋体" w:hint="eastAsia"/>
          <w:kern w:val="0"/>
          <w:szCs w:val="21"/>
        </w:rPr>
        <w:t>情境讨论：你觉得这些环保举措文件和政策，会对你刚才做出的保温蓄热设计方案的实施产生什么影响？带来哪些挑战？你觉得应如何应对这些挑战呢？3.小组活动：河南地区一个</w:t>
      </w:r>
      <w:r>
        <w:rPr>
          <w:rFonts w:ascii="宋体" w:hAnsi="宋体" w:cs="宋体"/>
          <w:kern w:val="0"/>
          <w:szCs w:val="21"/>
        </w:rPr>
        <w:t>180m×100m的</w:t>
      </w:r>
      <w:r>
        <w:rPr>
          <w:rFonts w:ascii="宋体" w:hAnsi="宋体" w:cs="宋体" w:hint="eastAsia"/>
          <w:kern w:val="0"/>
          <w:szCs w:val="21"/>
        </w:rPr>
        <w:t>场地，全部建设日光温室，试进行场地布局，并计算所设计方案的土地利用率。</w:t>
      </w:r>
      <w:r>
        <w:rPr>
          <w:rFonts w:ascii="宋体" w:hAnsi="宋体" w:hint="eastAsia"/>
          <w:bCs/>
          <w:szCs w:val="21"/>
        </w:rPr>
        <w:t>课后学生复习</w:t>
      </w:r>
      <w:r>
        <w:rPr>
          <w:rFonts w:ascii="宋体" w:hAnsi="宋体"/>
          <w:bCs/>
          <w:szCs w:val="21"/>
        </w:rPr>
        <w:t>课前学习并阅读相关文献，</w:t>
      </w:r>
      <w:r>
        <w:rPr>
          <w:rFonts w:ascii="宋体" w:hAnsi="宋体" w:hint="eastAsia"/>
          <w:bCs/>
          <w:szCs w:val="21"/>
        </w:rPr>
        <w:t>探寻</w:t>
      </w:r>
      <w:r>
        <w:rPr>
          <w:rFonts w:ascii="宋体" w:hAnsi="宋体"/>
          <w:bCs/>
          <w:szCs w:val="21"/>
        </w:rPr>
        <w:t>解决问题的方法，</w:t>
      </w:r>
      <w:r>
        <w:rPr>
          <w:rFonts w:ascii="宋体" w:hAnsi="宋体" w:hint="eastAsia"/>
          <w:bCs/>
          <w:szCs w:val="21"/>
        </w:rPr>
        <w:t>完成</w:t>
      </w:r>
      <w:r>
        <w:rPr>
          <w:rFonts w:ascii="宋体" w:hAnsi="宋体"/>
          <w:bCs/>
          <w:szCs w:val="21"/>
        </w:rPr>
        <w:t>学习</w:t>
      </w:r>
      <w:r>
        <w:rPr>
          <w:rFonts w:ascii="宋体" w:hAnsi="宋体" w:hint="eastAsia"/>
          <w:bCs/>
          <w:szCs w:val="21"/>
        </w:rPr>
        <w:t>报告。</w:t>
      </w:r>
    </w:p>
    <w:p w14:paraId="2B5E37D4" w14:textId="77777777" w:rsidR="00F5289E" w:rsidRDefault="00C91173">
      <w:pPr>
        <w:adjustRightInd w:val="0"/>
        <w:snapToGrid w:val="0"/>
        <w:spacing w:line="360" w:lineRule="auto"/>
        <w:rPr>
          <w:rFonts w:ascii="宋体" w:hAnsi="宋体"/>
          <w:b/>
          <w:bCs/>
        </w:rPr>
      </w:pPr>
      <w:r>
        <w:rPr>
          <w:rFonts w:ascii="宋体" w:hAnsi="宋体" w:hint="eastAsia"/>
          <w:b/>
          <w:bCs/>
        </w:rPr>
        <w:t>第四节 连栋温室设计 （8</w:t>
      </w:r>
      <w:r>
        <w:rPr>
          <w:rFonts w:ascii="宋体" w:hAnsi="宋体"/>
          <w:b/>
          <w:bCs/>
        </w:rPr>
        <w:t>学时</w:t>
      </w:r>
      <w:r>
        <w:rPr>
          <w:rFonts w:ascii="宋体" w:hAnsi="宋体" w:hint="eastAsia"/>
          <w:b/>
          <w:bCs/>
        </w:rPr>
        <w:t>）</w:t>
      </w:r>
    </w:p>
    <w:p w14:paraId="58908001"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通过学习，学生掌握连栋温室的建筑设计参数和设计原则，掌握连栋温室结构构件组成和设计原则，了解连栋温室的环境调控设备，能够完成连栋温室的方案设计，</w:t>
      </w:r>
      <w:r>
        <w:rPr>
          <w:rFonts w:ascii="宋体" w:hAnsi="宋体" w:hint="eastAsia"/>
        </w:rPr>
        <w:t>理解连栋温室</w:t>
      </w:r>
      <w:r>
        <w:rPr>
          <w:rFonts w:hint="eastAsia"/>
        </w:rPr>
        <w:t>的发展方向</w:t>
      </w:r>
      <w:r>
        <w:rPr>
          <w:rFonts w:ascii="宋体" w:hAnsi="宋体" w:cs="Tahoma" w:hint="eastAsia"/>
          <w:szCs w:val="21"/>
          <w:shd w:val="clear" w:color="auto" w:fill="FFFFFF"/>
        </w:rPr>
        <w:t>。</w:t>
      </w:r>
    </w:p>
    <w:p w14:paraId="3A8B84D9"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连栋温室的建筑设计参数和确定原则，连栋温室结构构件组成和设计原则，</w:t>
      </w:r>
      <w:r>
        <w:rPr>
          <w:rFonts w:hint="eastAsia"/>
        </w:rPr>
        <w:t>半封闭连栋温室的特点和组成</w:t>
      </w:r>
      <w:r>
        <w:rPr>
          <w:rFonts w:ascii="宋体" w:hAnsi="宋体" w:hint="eastAsia"/>
        </w:rPr>
        <w:t>。</w:t>
      </w:r>
    </w:p>
    <w:p w14:paraId="1574548C"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2ADC3EED" w14:textId="77777777" w:rsidR="00F5289E" w:rsidRDefault="00C91173">
      <w:pPr>
        <w:adjustRightInd w:val="0"/>
        <w:snapToGrid w:val="0"/>
        <w:spacing w:line="360" w:lineRule="auto"/>
        <w:ind w:firstLineChars="300" w:firstLine="630"/>
      </w:pPr>
      <w:r>
        <w:rPr>
          <w:rFonts w:hint="eastAsia"/>
        </w:rPr>
        <w:t>一、连栋温室建筑设计</w:t>
      </w:r>
    </w:p>
    <w:p w14:paraId="5E66C930" w14:textId="77777777" w:rsidR="00F5289E" w:rsidRDefault="00C91173">
      <w:pPr>
        <w:adjustRightInd w:val="0"/>
        <w:snapToGrid w:val="0"/>
        <w:spacing w:line="360" w:lineRule="auto"/>
        <w:ind w:firstLineChars="300" w:firstLine="630"/>
      </w:pPr>
      <w:r>
        <w:rPr>
          <w:rFonts w:hint="eastAsia"/>
        </w:rPr>
        <w:lastRenderedPageBreak/>
        <w:t>二、</w:t>
      </w:r>
      <w:r>
        <w:t>连栋</w:t>
      </w:r>
      <w:r>
        <w:rPr>
          <w:rFonts w:hint="eastAsia"/>
        </w:rPr>
        <w:t>温室结构构件组成和设计</w:t>
      </w:r>
    </w:p>
    <w:p w14:paraId="28410E08" w14:textId="77777777" w:rsidR="00F5289E" w:rsidRDefault="00C91173">
      <w:pPr>
        <w:adjustRightInd w:val="0"/>
        <w:snapToGrid w:val="0"/>
        <w:spacing w:line="360" w:lineRule="auto"/>
        <w:ind w:firstLineChars="300" w:firstLine="630"/>
      </w:pPr>
      <w:r>
        <w:rPr>
          <w:rFonts w:hint="eastAsia"/>
        </w:rPr>
        <w:t>三、连栋温室环境调控设备</w:t>
      </w:r>
    </w:p>
    <w:p w14:paraId="62C40958" w14:textId="77777777" w:rsidR="00F5289E" w:rsidRDefault="00C91173">
      <w:pPr>
        <w:adjustRightInd w:val="0"/>
        <w:snapToGrid w:val="0"/>
        <w:spacing w:line="360" w:lineRule="auto"/>
        <w:ind w:firstLineChars="300" w:firstLine="630"/>
      </w:pPr>
      <w:r>
        <w:rPr>
          <w:rFonts w:hint="eastAsia"/>
        </w:rPr>
        <w:t>四、半封闭连栋温室</w:t>
      </w:r>
    </w:p>
    <w:p w14:paraId="15A756E7" w14:textId="77777777" w:rsidR="00F5289E" w:rsidRDefault="00C91173">
      <w:pPr>
        <w:adjustRightInd w:val="0"/>
        <w:snapToGrid w:val="0"/>
        <w:spacing w:line="360" w:lineRule="auto"/>
        <w:rPr>
          <w:rFonts w:ascii="宋体" w:hAnsi="宋体" w:cs="宋体"/>
          <w:szCs w:val="21"/>
          <w:shd w:val="clear" w:color="auto" w:fill="FFFFFF"/>
        </w:rPr>
      </w:pPr>
      <w:r>
        <w:rPr>
          <w:rFonts w:ascii="宋体" w:hAnsi="宋体" w:cs="宋体" w:hint="eastAsia"/>
          <w:szCs w:val="21"/>
          <w:shd w:val="clear" w:color="auto" w:fill="FFFFFF"/>
        </w:rPr>
        <w:t>了解：</w:t>
      </w:r>
      <w:r>
        <w:rPr>
          <w:rFonts w:ascii="宋体" w:hAnsi="宋体" w:cs="Tahoma" w:hint="eastAsia"/>
          <w:szCs w:val="21"/>
          <w:shd w:val="clear" w:color="auto" w:fill="FFFFFF"/>
        </w:rPr>
        <w:t>连栋温室的环境调控设备</w:t>
      </w:r>
    </w:p>
    <w:p w14:paraId="4FBD9EE7" w14:textId="77777777" w:rsidR="00F5289E" w:rsidRDefault="00C91173">
      <w:pPr>
        <w:adjustRightInd w:val="0"/>
        <w:snapToGrid w:val="0"/>
        <w:spacing w:line="360" w:lineRule="auto"/>
        <w:rPr>
          <w:rFonts w:ascii="宋体" w:hAnsi="宋体" w:cs="宋体"/>
          <w:szCs w:val="21"/>
          <w:shd w:val="clear" w:color="auto" w:fill="FFFFFF"/>
        </w:rPr>
      </w:pPr>
      <w:r>
        <w:rPr>
          <w:rFonts w:ascii="宋体" w:hAnsi="宋体" w:cs="宋体" w:hint="eastAsia"/>
          <w:szCs w:val="21"/>
          <w:shd w:val="clear" w:color="auto" w:fill="FFFFFF"/>
        </w:rPr>
        <w:t>理解：</w:t>
      </w:r>
      <w:r>
        <w:rPr>
          <w:rFonts w:hint="eastAsia"/>
        </w:rPr>
        <w:t>半封闭连栋温室的特点和组成</w:t>
      </w:r>
      <w:r>
        <w:rPr>
          <w:rFonts w:ascii="宋体" w:hAnsi="宋体" w:cs="Tahoma" w:hint="eastAsia"/>
          <w:szCs w:val="21"/>
          <w:shd w:val="clear" w:color="auto" w:fill="FFFFFF"/>
        </w:rPr>
        <w:t>；</w:t>
      </w:r>
    </w:p>
    <w:p w14:paraId="3885EC98" w14:textId="77777777" w:rsidR="00F5289E" w:rsidRDefault="00C91173">
      <w:pPr>
        <w:adjustRightInd w:val="0"/>
        <w:snapToGrid w:val="0"/>
        <w:spacing w:line="360" w:lineRule="auto"/>
      </w:pPr>
      <w:r>
        <w:rPr>
          <w:rFonts w:ascii="宋体" w:hAnsi="宋体" w:cs="宋体" w:hint="eastAsia"/>
          <w:szCs w:val="21"/>
          <w:shd w:val="clear" w:color="auto" w:fill="FFFFFF"/>
        </w:rPr>
        <w:t>掌握：</w:t>
      </w:r>
      <w:r>
        <w:rPr>
          <w:rFonts w:ascii="宋体" w:hAnsi="宋体" w:cs="Tahoma" w:hint="eastAsia"/>
          <w:szCs w:val="21"/>
          <w:shd w:val="clear" w:color="auto" w:fill="FFFFFF"/>
        </w:rPr>
        <w:t>掌握连栋温室的建筑设计参数和结构构件组成</w:t>
      </w:r>
      <w:r>
        <w:rPr>
          <w:rFonts w:hint="eastAsia"/>
        </w:rPr>
        <w:t>；</w:t>
      </w:r>
    </w:p>
    <w:p w14:paraId="04D2538C" w14:textId="77777777" w:rsidR="00F5289E" w:rsidRDefault="00C91173">
      <w:pPr>
        <w:adjustRightInd w:val="0"/>
        <w:snapToGrid w:val="0"/>
        <w:spacing w:line="360" w:lineRule="auto"/>
      </w:pPr>
      <w:r>
        <w:rPr>
          <w:rFonts w:ascii="宋体" w:hAnsi="宋体" w:hint="eastAsia"/>
          <w:bCs/>
          <w:szCs w:val="21"/>
        </w:rPr>
        <w:t>熟练</w:t>
      </w:r>
      <w:r>
        <w:rPr>
          <w:rFonts w:ascii="宋体" w:hAnsi="宋体"/>
          <w:bCs/>
          <w:szCs w:val="21"/>
        </w:rPr>
        <w:t>掌握：</w:t>
      </w:r>
      <w:r>
        <w:rPr>
          <w:rFonts w:ascii="宋体" w:hAnsi="宋体" w:cs="Tahoma" w:hint="eastAsia"/>
          <w:szCs w:val="21"/>
          <w:shd w:val="clear" w:color="auto" w:fill="FFFFFF"/>
        </w:rPr>
        <w:t>掌握连栋温室建筑设计参数和结构构件的设计原则。</w:t>
      </w:r>
    </w:p>
    <w:p w14:paraId="13DBCA8C"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szCs w:val="21"/>
        </w:rPr>
        <w:t>项目教学法和课堂</w:t>
      </w:r>
      <w:r>
        <w:rPr>
          <w:rFonts w:ascii="宋体" w:hAnsi="宋体"/>
          <w:bCs/>
          <w:szCs w:val="21"/>
        </w:rPr>
        <w:t>讨论相结合，</w:t>
      </w:r>
      <w:r>
        <w:rPr>
          <w:rFonts w:ascii="宋体" w:hAnsi="宋体" w:hint="eastAsia"/>
          <w:bCs/>
          <w:szCs w:val="21"/>
        </w:rPr>
        <w:t>课前</w:t>
      </w:r>
      <w:r>
        <w:rPr>
          <w:rFonts w:ascii="宋体" w:hAnsi="宋体"/>
          <w:bCs/>
          <w:szCs w:val="21"/>
        </w:rPr>
        <w:t>学生</w:t>
      </w:r>
      <w:r>
        <w:rPr>
          <w:rFonts w:ascii="宋体" w:hAnsi="宋体" w:hint="eastAsia"/>
          <w:bCs/>
          <w:szCs w:val="21"/>
        </w:rPr>
        <w:t>进行</w:t>
      </w:r>
      <w:r>
        <w:rPr>
          <w:rFonts w:ascii="宋体" w:hAnsi="宋体"/>
          <w:bCs/>
          <w:szCs w:val="21"/>
        </w:rPr>
        <w:t>线上学习，并</w:t>
      </w:r>
      <w:r>
        <w:rPr>
          <w:rFonts w:ascii="宋体" w:hAnsi="宋体" w:hint="eastAsia"/>
          <w:bCs/>
          <w:szCs w:val="21"/>
        </w:rPr>
        <w:t>完成思考</w:t>
      </w:r>
      <w:r>
        <w:rPr>
          <w:rFonts w:ascii="宋体" w:hAnsi="宋体"/>
          <w:bCs/>
          <w:szCs w:val="21"/>
        </w:rPr>
        <w:t>题和项目作业，</w:t>
      </w:r>
      <w:r>
        <w:rPr>
          <w:rFonts w:ascii="宋体" w:hAnsi="宋体" w:hint="eastAsia"/>
          <w:bCs/>
          <w:szCs w:val="21"/>
        </w:rPr>
        <w:t>课上进行思考题讨论</w:t>
      </w:r>
      <w:r>
        <w:rPr>
          <w:rFonts w:ascii="宋体" w:hAnsi="宋体"/>
          <w:bCs/>
          <w:szCs w:val="21"/>
        </w:rPr>
        <w:t>和项目作业讲评</w:t>
      </w:r>
      <w:r>
        <w:rPr>
          <w:rFonts w:ascii="宋体" w:hAnsi="宋体" w:hint="eastAsia"/>
          <w:bCs/>
          <w:szCs w:val="21"/>
        </w:rPr>
        <w:t>，解决教学</w:t>
      </w:r>
      <w:r>
        <w:rPr>
          <w:rFonts w:ascii="宋体" w:hAnsi="宋体"/>
          <w:bCs/>
          <w:szCs w:val="21"/>
        </w:rPr>
        <w:t>重点</w:t>
      </w:r>
      <w:r>
        <w:rPr>
          <w:rFonts w:ascii="宋体" w:hAnsi="宋体" w:hint="eastAsia"/>
          <w:bCs/>
          <w:szCs w:val="21"/>
        </w:rPr>
        <w:t>内容；然后创设</w:t>
      </w:r>
      <w:r>
        <w:rPr>
          <w:rFonts w:ascii="宋体" w:hAnsi="宋体"/>
          <w:bCs/>
          <w:szCs w:val="21"/>
        </w:rPr>
        <w:t>情境，学生讨论并分享结论。</w:t>
      </w:r>
      <w:r>
        <w:rPr>
          <w:rFonts w:ascii="宋体" w:hAnsi="宋体" w:hint="eastAsia"/>
          <w:bCs/>
          <w:szCs w:val="21"/>
        </w:rPr>
        <w:t>教学</w:t>
      </w:r>
      <w:r>
        <w:rPr>
          <w:rFonts w:ascii="宋体" w:hAnsi="宋体"/>
          <w:bCs/>
          <w:szCs w:val="21"/>
        </w:rPr>
        <w:t>情境</w:t>
      </w:r>
      <w:r>
        <w:rPr>
          <w:rFonts w:ascii="宋体" w:hAnsi="宋体" w:cs="宋体" w:hint="eastAsia"/>
          <w:kern w:val="0"/>
          <w:szCs w:val="21"/>
        </w:rPr>
        <w:t>文洛型温室和拱圆形温室两种温室各有什么特点？文洛型温室的改良方向。</w:t>
      </w:r>
      <w:r>
        <w:rPr>
          <w:rFonts w:ascii="宋体" w:hAnsi="宋体" w:hint="eastAsia"/>
          <w:bCs/>
          <w:szCs w:val="21"/>
        </w:rPr>
        <w:t>课后学生复习</w:t>
      </w:r>
      <w:r>
        <w:rPr>
          <w:rFonts w:ascii="宋体" w:hAnsi="宋体"/>
          <w:bCs/>
          <w:szCs w:val="21"/>
        </w:rPr>
        <w:t>课前学习并阅读相关文献，</w:t>
      </w:r>
      <w:r>
        <w:rPr>
          <w:rFonts w:ascii="宋体" w:hAnsi="宋体" w:hint="eastAsia"/>
          <w:bCs/>
          <w:szCs w:val="21"/>
        </w:rPr>
        <w:t>探寻</w:t>
      </w:r>
      <w:r>
        <w:rPr>
          <w:rFonts w:ascii="宋体" w:hAnsi="宋体"/>
          <w:bCs/>
          <w:szCs w:val="21"/>
        </w:rPr>
        <w:t>解决问题的方法，</w:t>
      </w:r>
      <w:r>
        <w:rPr>
          <w:rFonts w:ascii="宋体" w:hAnsi="宋体" w:hint="eastAsia"/>
          <w:bCs/>
          <w:szCs w:val="21"/>
        </w:rPr>
        <w:t>完成</w:t>
      </w:r>
      <w:r>
        <w:rPr>
          <w:rFonts w:ascii="宋体" w:hAnsi="宋体"/>
          <w:bCs/>
          <w:szCs w:val="21"/>
        </w:rPr>
        <w:t>学习</w:t>
      </w:r>
      <w:r>
        <w:rPr>
          <w:rFonts w:ascii="宋体" w:hAnsi="宋体" w:hint="eastAsia"/>
          <w:bCs/>
          <w:szCs w:val="21"/>
        </w:rPr>
        <w:t>报告。</w:t>
      </w:r>
    </w:p>
    <w:p w14:paraId="71F62889" w14:textId="77777777" w:rsidR="00F5289E" w:rsidRDefault="00C91173">
      <w:pPr>
        <w:widowControl/>
        <w:snapToGrid w:val="0"/>
        <w:spacing w:line="360" w:lineRule="auto"/>
        <w:rPr>
          <w:rFonts w:ascii="宋体" w:hAnsi="宋体"/>
          <w:b/>
          <w:bCs/>
        </w:rPr>
      </w:pPr>
      <w:r>
        <w:rPr>
          <w:rFonts w:ascii="宋体" w:hAnsi="宋体" w:hint="eastAsia"/>
          <w:b/>
          <w:bCs/>
        </w:rPr>
        <w:t>第五节 园艺设施施工图识读 （4</w:t>
      </w:r>
      <w:r>
        <w:rPr>
          <w:rFonts w:ascii="宋体" w:hAnsi="宋体"/>
          <w:b/>
          <w:bCs/>
        </w:rPr>
        <w:t>学时</w:t>
      </w:r>
      <w:r>
        <w:rPr>
          <w:rFonts w:ascii="宋体" w:hAnsi="宋体" w:hint="eastAsia"/>
          <w:b/>
          <w:bCs/>
        </w:rPr>
        <w:t>）</w:t>
      </w:r>
    </w:p>
    <w:p w14:paraId="0B7DFB25"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Tahoma" w:hint="eastAsia"/>
          <w:szCs w:val="21"/>
          <w:shd w:val="clear" w:color="auto" w:fill="FFFFFF"/>
        </w:rPr>
        <w:t>通过学习，学生掌握园艺设施施工图的组成和绘图原则，能够识读园艺设施施工图，从施工图中提取设计信息。</w:t>
      </w:r>
    </w:p>
    <w:p w14:paraId="7B187927"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Tahoma" w:hint="eastAsia"/>
          <w:szCs w:val="21"/>
          <w:shd w:val="clear" w:color="auto" w:fill="FFFFFF"/>
        </w:rPr>
        <w:t>塑料大棚施工图识读、日光温室施工图识读</w:t>
      </w:r>
      <w:r>
        <w:rPr>
          <w:rFonts w:ascii="宋体" w:hAnsi="宋体" w:hint="eastAsia"/>
        </w:rPr>
        <w:t>。</w:t>
      </w:r>
    </w:p>
    <w:p w14:paraId="74ECCEA4"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3BC064FC" w14:textId="77777777" w:rsidR="00F5289E" w:rsidRDefault="00C91173">
      <w:pPr>
        <w:adjustRightInd w:val="0"/>
        <w:snapToGrid w:val="0"/>
        <w:spacing w:line="360" w:lineRule="auto"/>
        <w:ind w:firstLineChars="300" w:firstLine="630"/>
      </w:pPr>
      <w:r>
        <w:rPr>
          <w:rFonts w:hint="eastAsia"/>
        </w:rPr>
        <w:t>一、</w:t>
      </w:r>
      <w:r>
        <w:rPr>
          <w:rFonts w:ascii="宋体" w:hAnsi="宋体" w:cs="Tahoma" w:hint="eastAsia"/>
          <w:szCs w:val="21"/>
          <w:shd w:val="clear" w:color="auto" w:fill="FFFFFF"/>
        </w:rPr>
        <w:t>塑料大棚施工图识读</w:t>
      </w:r>
    </w:p>
    <w:p w14:paraId="5EEEF7AE" w14:textId="77777777" w:rsidR="00F5289E" w:rsidRDefault="00C91173">
      <w:pPr>
        <w:adjustRightInd w:val="0"/>
        <w:snapToGrid w:val="0"/>
        <w:spacing w:line="360" w:lineRule="auto"/>
        <w:ind w:firstLineChars="300" w:firstLine="630"/>
      </w:pPr>
      <w:r>
        <w:rPr>
          <w:rFonts w:hint="eastAsia"/>
        </w:rPr>
        <w:t>二、</w:t>
      </w:r>
      <w:r>
        <w:rPr>
          <w:rFonts w:ascii="宋体" w:hAnsi="宋体" w:cs="Tahoma" w:hint="eastAsia"/>
          <w:szCs w:val="21"/>
          <w:shd w:val="clear" w:color="auto" w:fill="FFFFFF"/>
        </w:rPr>
        <w:t>日光温室施工图识读</w:t>
      </w:r>
    </w:p>
    <w:p w14:paraId="10A0A9C7" w14:textId="77777777" w:rsidR="00F5289E" w:rsidRDefault="00C91173">
      <w:pPr>
        <w:adjustRightInd w:val="0"/>
        <w:snapToGrid w:val="0"/>
        <w:spacing w:line="360" w:lineRule="auto"/>
        <w:ind w:firstLineChars="300" w:firstLine="630"/>
      </w:pPr>
      <w:r>
        <w:rPr>
          <w:rFonts w:hint="eastAsia"/>
        </w:rPr>
        <w:t>三、连栋温室</w:t>
      </w:r>
      <w:r>
        <w:rPr>
          <w:rFonts w:ascii="宋体" w:hAnsi="宋体" w:cs="Tahoma" w:hint="eastAsia"/>
          <w:szCs w:val="21"/>
          <w:shd w:val="clear" w:color="auto" w:fill="FFFFFF"/>
        </w:rPr>
        <w:t>施工图识读</w:t>
      </w:r>
    </w:p>
    <w:p w14:paraId="7E9DE96B" w14:textId="77777777" w:rsidR="00F5289E" w:rsidRDefault="00C91173">
      <w:pPr>
        <w:adjustRightInd w:val="0"/>
        <w:snapToGrid w:val="0"/>
        <w:spacing w:line="360" w:lineRule="auto"/>
      </w:pPr>
      <w:r>
        <w:rPr>
          <w:rFonts w:ascii="宋体" w:hAnsi="宋体" w:cs="宋体" w:hint="eastAsia"/>
          <w:szCs w:val="21"/>
          <w:shd w:val="clear" w:color="auto" w:fill="FFFFFF"/>
        </w:rPr>
        <w:t>理解：</w:t>
      </w:r>
      <w:r>
        <w:rPr>
          <w:rFonts w:ascii="宋体" w:hAnsi="宋体" w:cs="Tahoma" w:hint="eastAsia"/>
          <w:szCs w:val="21"/>
          <w:shd w:val="clear" w:color="auto" w:fill="FFFFFF"/>
        </w:rPr>
        <w:t>塑料大棚施工图的组成和绘图原则，日光温室施工图的组成和绘图原则</w:t>
      </w:r>
      <w:r>
        <w:rPr>
          <w:rFonts w:hint="eastAsia"/>
        </w:rPr>
        <w:t>；</w:t>
      </w:r>
    </w:p>
    <w:p w14:paraId="0B109B92" w14:textId="77777777" w:rsidR="00F5289E" w:rsidRDefault="00C91173">
      <w:pPr>
        <w:adjustRightInd w:val="0"/>
        <w:snapToGrid w:val="0"/>
        <w:spacing w:line="360" w:lineRule="auto"/>
      </w:pPr>
      <w:r>
        <w:rPr>
          <w:rFonts w:ascii="宋体" w:hAnsi="宋体"/>
          <w:bCs/>
          <w:szCs w:val="21"/>
        </w:rPr>
        <w:t>掌握：</w:t>
      </w:r>
      <w:r>
        <w:rPr>
          <w:rFonts w:ascii="宋体" w:hAnsi="宋体" w:cs="Tahoma" w:hint="eastAsia"/>
          <w:szCs w:val="21"/>
          <w:shd w:val="clear" w:color="auto" w:fill="FFFFFF"/>
        </w:rPr>
        <w:t>识读园艺设施施工图。</w:t>
      </w:r>
    </w:p>
    <w:p w14:paraId="172CE085"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rPr>
        <w:t>利用线上平台上传塑料大棚、日光温室和连栋温室的施工图，课上设置讨论：你可以从该施工图中获取哪些设计信息？请在讨论区写出来。调动学生的参与课程，然后教师根据学生所答重点讲解学生遗漏的信息，并进行总结。</w:t>
      </w:r>
    </w:p>
    <w:tbl>
      <w:tblPr>
        <w:tblStyle w:val="af6"/>
        <w:tblW w:w="0" w:type="auto"/>
        <w:tblInd w:w="4" w:type="dxa"/>
        <w:tblCellMar>
          <w:left w:w="0" w:type="dxa"/>
          <w:right w:w="0" w:type="dxa"/>
        </w:tblCellMar>
        <w:tblLook w:val="04A0" w:firstRow="1" w:lastRow="0" w:firstColumn="1" w:lastColumn="0" w:noHBand="0" w:noVBand="1"/>
      </w:tblPr>
      <w:tblGrid>
        <w:gridCol w:w="1593"/>
        <w:gridCol w:w="5863"/>
        <w:gridCol w:w="1440"/>
      </w:tblGrid>
      <w:tr w:rsidR="00F5289E" w14:paraId="24E282B5" w14:textId="77777777">
        <w:trPr>
          <w:trHeight w:val="270"/>
        </w:trPr>
        <w:tc>
          <w:tcPr>
            <w:tcW w:w="1593" w:type="dxa"/>
            <w:tcBorders>
              <w:top w:val="nil"/>
              <w:left w:val="nil"/>
              <w:bottom w:val="nil"/>
              <w:right w:val="nil"/>
            </w:tcBorders>
            <w:vAlign w:val="center"/>
          </w:tcPr>
          <w:p w14:paraId="2FAE15CD" w14:textId="77777777" w:rsidR="00F5289E" w:rsidRDefault="00F5289E">
            <w:pPr>
              <w:widowControl/>
              <w:snapToGrid w:val="0"/>
              <w:spacing w:line="360" w:lineRule="auto"/>
              <w:jc w:val="center"/>
              <w:rPr>
                <w:rFonts w:hAnsi="宋体"/>
                <w:b/>
                <w:bCs/>
                <w:kern w:val="0"/>
                <w:szCs w:val="21"/>
              </w:rPr>
            </w:pPr>
          </w:p>
        </w:tc>
        <w:tc>
          <w:tcPr>
            <w:tcW w:w="5863" w:type="dxa"/>
            <w:tcBorders>
              <w:top w:val="nil"/>
              <w:left w:val="nil"/>
              <w:bottom w:val="nil"/>
              <w:right w:val="nil"/>
            </w:tcBorders>
            <w:vAlign w:val="center"/>
          </w:tcPr>
          <w:p w14:paraId="448717E3"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bCs/>
                <w:kern w:val="0"/>
                <w:szCs w:val="21"/>
              </w:rPr>
              <w:t>园艺设施建造</w:t>
            </w:r>
            <w:r>
              <w:rPr>
                <w:rFonts w:ascii="宋体" w:hAnsi="宋体" w:hint="eastAsia"/>
                <w:b/>
                <w:bCs/>
              </w:rPr>
              <w:t xml:space="preserve"> </w:t>
            </w:r>
          </w:p>
        </w:tc>
        <w:tc>
          <w:tcPr>
            <w:tcW w:w="1440" w:type="dxa"/>
            <w:tcBorders>
              <w:top w:val="nil"/>
              <w:left w:val="nil"/>
              <w:bottom w:val="nil"/>
              <w:right w:val="nil"/>
            </w:tcBorders>
            <w:vAlign w:val="center"/>
          </w:tcPr>
          <w:p w14:paraId="0DAC4512"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20BD11F4" w14:textId="77777777" w:rsidR="00F5289E" w:rsidRDefault="00C91173">
      <w:pPr>
        <w:widowControl/>
        <w:snapToGrid w:val="0"/>
        <w:spacing w:line="360" w:lineRule="auto"/>
        <w:rPr>
          <w:rFonts w:ascii="宋体" w:hAnsi="宋体" w:cs="Tahoma"/>
          <w:szCs w:val="21"/>
          <w:shd w:val="clear" w:color="auto" w:fill="FFFFFF"/>
        </w:rPr>
      </w:pPr>
      <w:r>
        <w:rPr>
          <w:rFonts w:ascii="宋体" w:hAnsi="宋体" w:hint="eastAsia"/>
          <w:b/>
          <w:bCs/>
        </w:rPr>
        <w:t>教学目标：</w:t>
      </w:r>
      <w:r>
        <w:rPr>
          <w:rFonts w:ascii="宋体" w:hAnsi="宋体" w:cs="宋体" w:hint="eastAsia"/>
          <w:szCs w:val="21"/>
          <w:shd w:val="clear" w:color="auto" w:fill="FFFFFF"/>
        </w:rPr>
        <w:t>学生</w:t>
      </w:r>
      <w:r>
        <w:rPr>
          <w:rFonts w:hint="eastAsia"/>
        </w:rPr>
        <w:t>掌握园艺设施建造及安装的程序、了解园艺设施建造技术要点。</w:t>
      </w:r>
    </w:p>
    <w:p w14:paraId="106679F6" w14:textId="77777777" w:rsidR="00F5289E" w:rsidRDefault="00C91173">
      <w:pPr>
        <w:adjustRightInd w:val="0"/>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覆膜方法、定位方法。</w:t>
      </w:r>
    </w:p>
    <w:p w14:paraId="46618E4F"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279D5287"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第一节 定位放线</w:t>
      </w:r>
    </w:p>
    <w:p w14:paraId="5973D91C"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第二节 土方工程和基础工程</w:t>
      </w:r>
    </w:p>
    <w:p w14:paraId="4C5CFFBB"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第三节 砌筑工程</w:t>
      </w:r>
    </w:p>
    <w:p w14:paraId="26CB8CBD"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第四节 金属工程</w:t>
      </w:r>
    </w:p>
    <w:p w14:paraId="69E30666"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第五节 覆膜</w:t>
      </w:r>
    </w:p>
    <w:p w14:paraId="45796BCB"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t>了解：定位放线、土方工程、基础工程、金属工程的技术要点</w:t>
      </w:r>
    </w:p>
    <w:p w14:paraId="5E29246F" w14:textId="77777777" w:rsidR="00F5289E" w:rsidRDefault="00C91173">
      <w:pPr>
        <w:adjustRightInd w:val="0"/>
        <w:snapToGrid w:val="0"/>
        <w:spacing w:line="360" w:lineRule="auto"/>
        <w:ind w:firstLineChars="200" w:firstLine="420"/>
        <w:rPr>
          <w:rFonts w:ascii="宋体" w:hAnsi="宋体"/>
        </w:rPr>
      </w:pPr>
      <w:r>
        <w:rPr>
          <w:rFonts w:ascii="宋体" w:hAnsi="宋体" w:hint="eastAsia"/>
        </w:rPr>
        <w:lastRenderedPageBreak/>
        <w:t>掌握：覆膜的技术要点、园艺设施建造及安装的程序</w:t>
      </w:r>
    </w:p>
    <w:p w14:paraId="6B67A06C"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课堂</w:t>
      </w:r>
      <w:r>
        <w:rPr>
          <w:rFonts w:ascii="宋体" w:hAnsi="宋体"/>
          <w:bCs/>
        </w:rPr>
        <w:t>讲授、</w:t>
      </w:r>
      <w:r>
        <w:rPr>
          <w:rFonts w:ascii="宋体" w:hAnsi="宋体" w:hint="eastAsia"/>
          <w:bCs/>
        </w:rPr>
        <w:t>课后</w:t>
      </w:r>
      <w:r>
        <w:rPr>
          <w:rFonts w:ascii="宋体" w:hAnsi="宋体"/>
          <w:bCs/>
        </w:rPr>
        <w:t>测试</w:t>
      </w:r>
      <w:r>
        <w:rPr>
          <w:rFonts w:ascii="宋体" w:hAnsi="宋体" w:hint="eastAsia"/>
          <w:bCs/>
        </w:rPr>
        <w:t>和</w:t>
      </w:r>
      <w:r>
        <w:rPr>
          <w:rFonts w:ascii="宋体" w:hAnsi="宋体"/>
          <w:bCs/>
        </w:rPr>
        <w:t>讨论活动相结合</w:t>
      </w:r>
      <w:r>
        <w:rPr>
          <w:rFonts w:ascii="宋体" w:hAnsi="宋体" w:hint="eastAsia"/>
          <w:bCs/>
        </w:rPr>
        <w:t>。</w:t>
      </w:r>
    </w:p>
    <w:p w14:paraId="018230DF" w14:textId="77777777" w:rsidR="00F5289E" w:rsidRDefault="00C91173">
      <w:pPr>
        <w:widowControl/>
        <w:snapToGrid w:val="0"/>
        <w:spacing w:line="360" w:lineRule="auto"/>
        <w:ind w:firstLineChars="200" w:firstLine="420"/>
        <w:rPr>
          <w:rFonts w:ascii="宋体" w:hAnsi="宋体"/>
          <w:bCs/>
        </w:rPr>
      </w:pPr>
      <w:r>
        <w:rPr>
          <w:rFonts w:ascii="宋体" w:hAnsi="宋体" w:hint="eastAsia"/>
          <w:bCs/>
        </w:rPr>
        <w:t>引入课程</w:t>
      </w:r>
      <w:r>
        <w:rPr>
          <w:rFonts w:ascii="宋体" w:hAnsi="宋体"/>
          <w:bCs/>
        </w:rPr>
        <w:t>：</w:t>
      </w:r>
      <w:r>
        <w:rPr>
          <w:rFonts w:ascii="宋体" w:hAnsi="宋体" w:hint="eastAsia"/>
          <w:bCs/>
        </w:rPr>
        <w:t>课堂活动</w:t>
      </w:r>
      <w:r>
        <w:rPr>
          <w:rFonts w:ascii="宋体" w:hAnsi="宋体"/>
          <w:bCs/>
        </w:rPr>
        <w:t>：</w:t>
      </w:r>
      <w:r>
        <w:rPr>
          <w:rFonts w:ascii="宋体" w:hAnsi="宋体" w:hint="eastAsia"/>
          <w:bCs/>
        </w:rPr>
        <w:t>学生讨论塑料大棚、日光温室、连栋温室的</w:t>
      </w:r>
      <w:r>
        <w:rPr>
          <w:rFonts w:ascii="宋体" w:hAnsi="宋体"/>
          <w:bCs/>
        </w:rPr>
        <w:t>建造程序和</w:t>
      </w:r>
      <w:r>
        <w:rPr>
          <w:rFonts w:ascii="宋体" w:hAnsi="宋体" w:hint="eastAsia"/>
          <w:bCs/>
        </w:rPr>
        <w:t>相应</w:t>
      </w:r>
      <w:r>
        <w:rPr>
          <w:rFonts w:ascii="宋体" w:hAnsi="宋体"/>
          <w:bCs/>
        </w:rPr>
        <w:t>顺序，</w:t>
      </w:r>
      <w:r>
        <w:rPr>
          <w:rFonts w:ascii="宋体" w:hAnsi="宋体" w:hint="eastAsia"/>
          <w:bCs/>
        </w:rPr>
        <w:t>教师总结，引出教学内容；</w:t>
      </w:r>
    </w:p>
    <w:p w14:paraId="7A998232" w14:textId="77777777" w:rsidR="00F5289E" w:rsidRDefault="00C91173">
      <w:pPr>
        <w:widowControl/>
        <w:snapToGrid w:val="0"/>
        <w:spacing w:line="360" w:lineRule="auto"/>
        <w:ind w:firstLineChars="200" w:firstLine="420"/>
        <w:rPr>
          <w:rFonts w:ascii="宋体" w:hAnsi="宋体"/>
          <w:bCs/>
        </w:rPr>
      </w:pPr>
      <w:r>
        <w:rPr>
          <w:rFonts w:ascii="宋体" w:hAnsi="宋体" w:hint="eastAsia"/>
          <w:bCs/>
        </w:rPr>
        <w:t>课程展开</w:t>
      </w:r>
      <w:r>
        <w:rPr>
          <w:rFonts w:ascii="宋体" w:hAnsi="宋体"/>
          <w:bCs/>
        </w:rPr>
        <w:t>：</w:t>
      </w:r>
      <w:r>
        <w:rPr>
          <w:rFonts w:ascii="宋体" w:hAnsi="宋体" w:hint="eastAsia"/>
          <w:bCs/>
        </w:rPr>
        <w:t>教师</w:t>
      </w:r>
      <w:r>
        <w:rPr>
          <w:rFonts w:ascii="宋体" w:hAnsi="宋体"/>
          <w:bCs/>
        </w:rPr>
        <w:t>讲授</w:t>
      </w:r>
      <w:r>
        <w:rPr>
          <w:rFonts w:ascii="宋体" w:hAnsi="宋体" w:hint="eastAsia"/>
          <w:bCs/>
        </w:rPr>
        <w:t>定位放线、土方工程、基础工程、砌筑工程、金属工程、覆膜</w:t>
      </w:r>
      <w:r>
        <w:rPr>
          <w:rFonts w:ascii="宋体" w:hAnsi="宋体"/>
          <w:bCs/>
        </w:rPr>
        <w:t>的</w:t>
      </w:r>
      <w:r>
        <w:rPr>
          <w:rFonts w:ascii="宋体" w:hAnsi="宋体" w:hint="eastAsia"/>
          <w:bCs/>
        </w:rPr>
        <w:t>技术要点；</w:t>
      </w:r>
    </w:p>
    <w:p w14:paraId="6E24B84A" w14:textId="77777777" w:rsidR="00F5289E" w:rsidRDefault="00C91173">
      <w:pPr>
        <w:widowControl/>
        <w:snapToGrid w:val="0"/>
        <w:spacing w:line="360" w:lineRule="auto"/>
        <w:ind w:firstLineChars="200" w:firstLine="420"/>
        <w:rPr>
          <w:rFonts w:ascii="宋体" w:hAnsi="宋体"/>
          <w:b/>
          <w:bCs/>
        </w:rPr>
      </w:pPr>
      <w:r>
        <w:rPr>
          <w:rFonts w:ascii="宋体" w:hAnsi="宋体" w:hint="eastAsia"/>
          <w:bCs/>
        </w:rPr>
        <w:t>课程总结</w:t>
      </w:r>
      <w:r>
        <w:rPr>
          <w:rFonts w:ascii="宋体" w:hAnsi="宋体"/>
          <w:bCs/>
        </w:rPr>
        <w:t>：</w:t>
      </w:r>
      <w:r>
        <w:rPr>
          <w:rFonts w:ascii="宋体" w:hAnsi="宋体" w:hint="eastAsia"/>
          <w:bCs/>
        </w:rPr>
        <w:t>按照</w:t>
      </w:r>
      <w:r>
        <w:rPr>
          <w:rFonts w:ascii="宋体" w:hAnsi="宋体"/>
          <w:bCs/>
        </w:rPr>
        <w:t>总结的</w:t>
      </w:r>
      <w:r>
        <w:rPr>
          <w:rFonts w:ascii="宋体" w:hAnsi="宋体" w:hint="eastAsia"/>
          <w:bCs/>
        </w:rPr>
        <w:t>建造工序，学生课后总结</w:t>
      </w:r>
      <w:r>
        <w:rPr>
          <w:rFonts w:ascii="宋体" w:hAnsi="宋体"/>
          <w:bCs/>
        </w:rPr>
        <w:t>思维</w:t>
      </w:r>
      <w:r>
        <w:rPr>
          <w:rFonts w:ascii="宋体" w:hAnsi="宋体" w:hint="eastAsia"/>
          <w:bCs/>
        </w:rPr>
        <w:t>导图。</w:t>
      </w:r>
    </w:p>
    <w:p w14:paraId="11BEEB7E"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hint="eastAsia"/>
          <w:b/>
          <w:bCs/>
          <w:kern w:val="0"/>
          <w:szCs w:val="21"/>
        </w:rPr>
        <w:t>10</w:t>
      </w:r>
      <w:r>
        <w:rPr>
          <w:rFonts w:hAnsi="宋体"/>
          <w:b/>
          <w:bCs/>
          <w:kern w:val="0"/>
          <w:szCs w:val="21"/>
        </w:rPr>
        <w:t>学时</w:t>
      </w:r>
      <w:r>
        <w:rPr>
          <w:rFonts w:hAnsi="宋体" w:hint="eastAsia"/>
          <w:b/>
          <w:bCs/>
          <w:kern w:val="0"/>
          <w:szCs w:val="21"/>
        </w:rPr>
        <w:t>）</w:t>
      </w:r>
    </w:p>
    <w:p w14:paraId="645CF6F2"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5D7A8844"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实验课程主要进行塑料大棚和日光温室的设计，首先进行方案设计、之后完成塑料大棚和日光温室的施工图绘制，综合应用所学的园艺设施建筑材料、园艺设施覆盖材料、塑料大棚和日光温室设计理论和方法，完成塑料大棚和日光温室的设计，对所学理论知识进行综合性的实践应用，具有较高的挑战度。</w:t>
      </w:r>
    </w:p>
    <w:p w14:paraId="40CA7730"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324B4827" w14:textId="77777777" w:rsidR="00F5289E" w:rsidRDefault="00C91173">
      <w:pPr>
        <w:snapToGrid w:val="0"/>
        <w:spacing w:line="360" w:lineRule="auto"/>
        <w:ind w:firstLineChars="200" w:firstLine="420"/>
      </w:pPr>
      <w:r>
        <w:rPr>
          <w:rFonts w:hint="eastAsia"/>
        </w:rPr>
        <w:t>设计塑料大棚和日光温室的结构参数、结构构件和配套设施，完成塑料大棚和日光温室的设计方案，按施工图绘制基本原则和要求，根据前期已完成的设计方案，绘制塑料大棚和日光温室的施工图，指导工程施工。</w:t>
      </w:r>
    </w:p>
    <w:p w14:paraId="0D1BC03C" w14:textId="77777777" w:rsidR="00F5289E" w:rsidRDefault="00C91173">
      <w:pPr>
        <w:snapToGrid w:val="0"/>
        <w:spacing w:line="360" w:lineRule="auto"/>
        <w:rPr>
          <w:b/>
        </w:rPr>
      </w:pPr>
      <w:r>
        <w:rPr>
          <w:rFonts w:hint="eastAsia"/>
          <w:b/>
        </w:rPr>
        <w:t>（三）实验安全操作规范</w:t>
      </w:r>
    </w:p>
    <w:p w14:paraId="7CAA7CE2" w14:textId="77777777" w:rsidR="00F5289E" w:rsidRDefault="00C91173">
      <w:pPr>
        <w:snapToGrid w:val="0"/>
        <w:spacing w:line="360" w:lineRule="auto"/>
        <w:ind w:firstLineChars="200" w:firstLine="420"/>
      </w:pPr>
      <w:r>
        <w:rPr>
          <w:rFonts w:hint="eastAsia"/>
        </w:rPr>
        <w:t>无</w:t>
      </w:r>
    </w:p>
    <w:p w14:paraId="3385E80F"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356"/>
        <w:gridCol w:w="2920"/>
        <w:gridCol w:w="876"/>
        <w:gridCol w:w="1067"/>
        <w:gridCol w:w="1404"/>
        <w:gridCol w:w="1267"/>
      </w:tblGrid>
      <w:tr w:rsidR="00F5289E" w14:paraId="3B78F445" w14:textId="77777777">
        <w:trPr>
          <w:jc w:val="center"/>
        </w:trPr>
        <w:tc>
          <w:tcPr>
            <w:tcW w:w="1356" w:type="dxa"/>
            <w:shd w:val="clear" w:color="auto" w:fill="EEECE1" w:themeFill="background2"/>
            <w:vAlign w:val="center"/>
          </w:tcPr>
          <w:p w14:paraId="332447F7"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018" w:type="dxa"/>
            <w:shd w:val="clear" w:color="auto" w:fill="EEECE1" w:themeFill="background2"/>
            <w:vAlign w:val="center"/>
          </w:tcPr>
          <w:p w14:paraId="11E99145"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896" w:type="dxa"/>
            <w:shd w:val="clear" w:color="auto" w:fill="EEECE1" w:themeFill="background2"/>
            <w:vAlign w:val="center"/>
          </w:tcPr>
          <w:p w14:paraId="4876C2EE"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095" w:type="dxa"/>
            <w:shd w:val="clear" w:color="auto" w:fill="EEECE1" w:themeFill="background2"/>
            <w:vAlign w:val="center"/>
          </w:tcPr>
          <w:p w14:paraId="0F210D84"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47" w:type="dxa"/>
            <w:shd w:val="clear" w:color="auto" w:fill="EEECE1" w:themeFill="background2"/>
            <w:vAlign w:val="center"/>
          </w:tcPr>
          <w:p w14:paraId="02102765"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04" w:type="dxa"/>
            <w:shd w:val="clear" w:color="auto" w:fill="EEECE1" w:themeFill="background2"/>
            <w:vAlign w:val="center"/>
          </w:tcPr>
          <w:p w14:paraId="40C40823"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1E2D034A" w14:textId="77777777">
        <w:trPr>
          <w:jc w:val="center"/>
        </w:trPr>
        <w:tc>
          <w:tcPr>
            <w:tcW w:w="1356" w:type="dxa"/>
            <w:vAlign w:val="center"/>
          </w:tcPr>
          <w:p w14:paraId="2A3FC579" w14:textId="77777777" w:rsidR="00F5289E" w:rsidRDefault="00C91173">
            <w:pPr>
              <w:jc w:val="center"/>
              <w:rPr>
                <w:sz w:val="18"/>
                <w:szCs w:val="18"/>
              </w:rPr>
            </w:pPr>
            <w:r>
              <w:rPr>
                <w:szCs w:val="21"/>
              </w:rPr>
              <w:t>19011129h01</w:t>
            </w:r>
          </w:p>
        </w:tc>
        <w:tc>
          <w:tcPr>
            <w:tcW w:w="3018" w:type="dxa"/>
            <w:vAlign w:val="center"/>
          </w:tcPr>
          <w:p w14:paraId="6B877498" w14:textId="77777777" w:rsidR="00F5289E" w:rsidRDefault="00C91173">
            <w:pPr>
              <w:rPr>
                <w:sz w:val="18"/>
                <w:szCs w:val="18"/>
              </w:rPr>
            </w:pPr>
            <w:r>
              <w:rPr>
                <w:rFonts w:hint="eastAsia"/>
                <w:szCs w:val="21"/>
              </w:rPr>
              <w:t>塑料大棚、日光温室方案设计</w:t>
            </w:r>
          </w:p>
        </w:tc>
        <w:tc>
          <w:tcPr>
            <w:tcW w:w="896" w:type="dxa"/>
            <w:vAlign w:val="center"/>
          </w:tcPr>
          <w:p w14:paraId="4690C98E" w14:textId="77777777" w:rsidR="00F5289E" w:rsidRDefault="00C91173">
            <w:pPr>
              <w:jc w:val="center"/>
              <w:rPr>
                <w:sz w:val="18"/>
                <w:szCs w:val="18"/>
              </w:rPr>
            </w:pPr>
            <w:r>
              <w:rPr>
                <w:rFonts w:hint="eastAsia"/>
                <w:sz w:val="18"/>
                <w:szCs w:val="18"/>
              </w:rPr>
              <w:t>2</w:t>
            </w:r>
          </w:p>
        </w:tc>
        <w:tc>
          <w:tcPr>
            <w:tcW w:w="1095" w:type="dxa"/>
            <w:vAlign w:val="center"/>
          </w:tcPr>
          <w:p w14:paraId="3B911A70" w14:textId="77777777" w:rsidR="00F5289E" w:rsidRDefault="00C91173">
            <w:pPr>
              <w:jc w:val="center"/>
              <w:rPr>
                <w:sz w:val="18"/>
                <w:szCs w:val="18"/>
              </w:rPr>
            </w:pPr>
            <w:r>
              <w:rPr>
                <w:rFonts w:hint="eastAsia"/>
                <w:sz w:val="18"/>
                <w:szCs w:val="18"/>
              </w:rPr>
              <w:t>综合性</w:t>
            </w:r>
          </w:p>
        </w:tc>
        <w:tc>
          <w:tcPr>
            <w:tcW w:w="1447" w:type="dxa"/>
            <w:vAlign w:val="center"/>
          </w:tcPr>
          <w:p w14:paraId="48B009F6" w14:textId="77777777" w:rsidR="00F5289E" w:rsidRDefault="00C91173">
            <w:pPr>
              <w:jc w:val="center"/>
              <w:rPr>
                <w:sz w:val="18"/>
                <w:szCs w:val="18"/>
              </w:rPr>
            </w:pPr>
            <w:r>
              <w:rPr>
                <w:rFonts w:hint="eastAsia"/>
                <w:sz w:val="18"/>
                <w:szCs w:val="18"/>
              </w:rPr>
              <w:t>必做</w:t>
            </w:r>
          </w:p>
        </w:tc>
        <w:tc>
          <w:tcPr>
            <w:tcW w:w="1304" w:type="dxa"/>
          </w:tcPr>
          <w:p w14:paraId="247B02F4" w14:textId="77777777" w:rsidR="00F5289E" w:rsidRDefault="00C91173">
            <w:pPr>
              <w:jc w:val="center"/>
              <w:rPr>
                <w:sz w:val="18"/>
                <w:szCs w:val="18"/>
              </w:rPr>
            </w:pPr>
            <w:r>
              <w:rPr>
                <w:rFonts w:hint="eastAsia"/>
                <w:sz w:val="18"/>
                <w:szCs w:val="18"/>
              </w:rPr>
              <w:t>1</w:t>
            </w:r>
          </w:p>
        </w:tc>
      </w:tr>
      <w:tr w:rsidR="00F5289E" w14:paraId="4E45E38F" w14:textId="77777777">
        <w:trPr>
          <w:jc w:val="center"/>
        </w:trPr>
        <w:tc>
          <w:tcPr>
            <w:tcW w:w="1356" w:type="dxa"/>
            <w:vAlign w:val="center"/>
          </w:tcPr>
          <w:p w14:paraId="3FE3EDA6" w14:textId="77777777" w:rsidR="00F5289E" w:rsidRDefault="00C91173">
            <w:pPr>
              <w:rPr>
                <w:sz w:val="18"/>
                <w:szCs w:val="18"/>
              </w:rPr>
            </w:pPr>
            <w:r>
              <w:rPr>
                <w:szCs w:val="21"/>
              </w:rPr>
              <w:t>19011129h0</w:t>
            </w:r>
            <w:r>
              <w:rPr>
                <w:rFonts w:hint="eastAsia"/>
                <w:szCs w:val="21"/>
              </w:rPr>
              <w:t>2</w:t>
            </w:r>
          </w:p>
        </w:tc>
        <w:tc>
          <w:tcPr>
            <w:tcW w:w="3018" w:type="dxa"/>
            <w:vAlign w:val="center"/>
          </w:tcPr>
          <w:p w14:paraId="2620C2E3" w14:textId="77777777" w:rsidR="00F5289E" w:rsidRDefault="00C91173">
            <w:pPr>
              <w:jc w:val="center"/>
              <w:rPr>
                <w:sz w:val="18"/>
                <w:szCs w:val="18"/>
              </w:rPr>
            </w:pPr>
            <w:r>
              <w:rPr>
                <w:rFonts w:hint="eastAsia"/>
                <w:szCs w:val="21"/>
              </w:rPr>
              <w:t>塑料大棚施工图设计</w:t>
            </w:r>
          </w:p>
        </w:tc>
        <w:tc>
          <w:tcPr>
            <w:tcW w:w="896" w:type="dxa"/>
            <w:vAlign w:val="center"/>
          </w:tcPr>
          <w:p w14:paraId="51E1402D" w14:textId="77777777" w:rsidR="00F5289E" w:rsidRDefault="00C91173">
            <w:pPr>
              <w:jc w:val="center"/>
              <w:rPr>
                <w:sz w:val="18"/>
                <w:szCs w:val="18"/>
              </w:rPr>
            </w:pPr>
            <w:r>
              <w:rPr>
                <w:rFonts w:hint="eastAsia"/>
                <w:sz w:val="18"/>
                <w:szCs w:val="18"/>
              </w:rPr>
              <w:t>4</w:t>
            </w:r>
          </w:p>
        </w:tc>
        <w:tc>
          <w:tcPr>
            <w:tcW w:w="1095" w:type="dxa"/>
            <w:vAlign w:val="center"/>
          </w:tcPr>
          <w:p w14:paraId="4967E3A7" w14:textId="77777777" w:rsidR="00F5289E" w:rsidRDefault="00C91173">
            <w:pPr>
              <w:jc w:val="center"/>
              <w:rPr>
                <w:sz w:val="18"/>
                <w:szCs w:val="18"/>
              </w:rPr>
            </w:pPr>
            <w:r>
              <w:rPr>
                <w:rFonts w:hint="eastAsia"/>
                <w:sz w:val="18"/>
                <w:szCs w:val="18"/>
              </w:rPr>
              <w:t>综合性</w:t>
            </w:r>
          </w:p>
        </w:tc>
        <w:tc>
          <w:tcPr>
            <w:tcW w:w="1447" w:type="dxa"/>
            <w:vAlign w:val="center"/>
          </w:tcPr>
          <w:p w14:paraId="31954753" w14:textId="77777777" w:rsidR="00F5289E" w:rsidRDefault="00C91173">
            <w:pPr>
              <w:jc w:val="center"/>
              <w:rPr>
                <w:sz w:val="18"/>
                <w:szCs w:val="18"/>
              </w:rPr>
            </w:pPr>
            <w:r>
              <w:rPr>
                <w:rFonts w:hint="eastAsia"/>
                <w:sz w:val="18"/>
                <w:szCs w:val="18"/>
              </w:rPr>
              <w:t>必做</w:t>
            </w:r>
          </w:p>
        </w:tc>
        <w:tc>
          <w:tcPr>
            <w:tcW w:w="1304" w:type="dxa"/>
          </w:tcPr>
          <w:p w14:paraId="46DE03D5" w14:textId="77777777" w:rsidR="00F5289E" w:rsidRDefault="00C91173">
            <w:pPr>
              <w:jc w:val="center"/>
              <w:rPr>
                <w:sz w:val="18"/>
                <w:szCs w:val="18"/>
              </w:rPr>
            </w:pPr>
            <w:r>
              <w:rPr>
                <w:rFonts w:hint="eastAsia"/>
                <w:sz w:val="18"/>
                <w:szCs w:val="18"/>
              </w:rPr>
              <w:t>1</w:t>
            </w:r>
          </w:p>
        </w:tc>
      </w:tr>
      <w:tr w:rsidR="00F5289E" w14:paraId="2B3958DF" w14:textId="77777777">
        <w:trPr>
          <w:jc w:val="center"/>
        </w:trPr>
        <w:tc>
          <w:tcPr>
            <w:tcW w:w="1356" w:type="dxa"/>
            <w:vAlign w:val="center"/>
          </w:tcPr>
          <w:p w14:paraId="6A37D557" w14:textId="77777777" w:rsidR="00F5289E" w:rsidRDefault="00C91173">
            <w:pPr>
              <w:rPr>
                <w:sz w:val="18"/>
                <w:szCs w:val="18"/>
              </w:rPr>
            </w:pPr>
            <w:r>
              <w:rPr>
                <w:szCs w:val="21"/>
              </w:rPr>
              <w:t>19011129h0</w:t>
            </w:r>
            <w:r>
              <w:rPr>
                <w:rFonts w:hint="eastAsia"/>
                <w:szCs w:val="21"/>
              </w:rPr>
              <w:t>3</w:t>
            </w:r>
          </w:p>
        </w:tc>
        <w:tc>
          <w:tcPr>
            <w:tcW w:w="3018" w:type="dxa"/>
            <w:vAlign w:val="center"/>
          </w:tcPr>
          <w:p w14:paraId="7B005620" w14:textId="77777777" w:rsidR="00F5289E" w:rsidRDefault="00C91173">
            <w:pPr>
              <w:jc w:val="center"/>
              <w:rPr>
                <w:sz w:val="18"/>
                <w:szCs w:val="18"/>
              </w:rPr>
            </w:pPr>
            <w:r>
              <w:rPr>
                <w:rFonts w:hint="eastAsia"/>
                <w:szCs w:val="21"/>
              </w:rPr>
              <w:t>日光温室施工图设计</w:t>
            </w:r>
          </w:p>
        </w:tc>
        <w:tc>
          <w:tcPr>
            <w:tcW w:w="896" w:type="dxa"/>
            <w:vAlign w:val="center"/>
          </w:tcPr>
          <w:p w14:paraId="56F4FC90" w14:textId="77777777" w:rsidR="00F5289E" w:rsidRDefault="00C91173">
            <w:pPr>
              <w:jc w:val="center"/>
              <w:rPr>
                <w:sz w:val="18"/>
                <w:szCs w:val="18"/>
              </w:rPr>
            </w:pPr>
            <w:r>
              <w:rPr>
                <w:rFonts w:hint="eastAsia"/>
                <w:sz w:val="18"/>
                <w:szCs w:val="18"/>
              </w:rPr>
              <w:t>4</w:t>
            </w:r>
          </w:p>
        </w:tc>
        <w:tc>
          <w:tcPr>
            <w:tcW w:w="1095" w:type="dxa"/>
            <w:vAlign w:val="center"/>
          </w:tcPr>
          <w:p w14:paraId="0F8A12BB" w14:textId="77777777" w:rsidR="00F5289E" w:rsidRDefault="00C91173">
            <w:pPr>
              <w:jc w:val="center"/>
              <w:rPr>
                <w:sz w:val="18"/>
                <w:szCs w:val="18"/>
              </w:rPr>
            </w:pPr>
            <w:r>
              <w:rPr>
                <w:rFonts w:hint="eastAsia"/>
                <w:sz w:val="18"/>
                <w:szCs w:val="18"/>
              </w:rPr>
              <w:t>综合性</w:t>
            </w:r>
          </w:p>
        </w:tc>
        <w:tc>
          <w:tcPr>
            <w:tcW w:w="1447" w:type="dxa"/>
            <w:vAlign w:val="center"/>
          </w:tcPr>
          <w:p w14:paraId="3EFD516C" w14:textId="77777777" w:rsidR="00F5289E" w:rsidRDefault="00C91173">
            <w:pPr>
              <w:jc w:val="center"/>
              <w:rPr>
                <w:sz w:val="18"/>
                <w:szCs w:val="18"/>
              </w:rPr>
            </w:pPr>
            <w:r>
              <w:rPr>
                <w:rFonts w:hint="eastAsia"/>
                <w:sz w:val="18"/>
                <w:szCs w:val="18"/>
              </w:rPr>
              <w:t>必做</w:t>
            </w:r>
          </w:p>
        </w:tc>
        <w:tc>
          <w:tcPr>
            <w:tcW w:w="1304" w:type="dxa"/>
          </w:tcPr>
          <w:p w14:paraId="17296CA3" w14:textId="77777777" w:rsidR="00F5289E" w:rsidRDefault="00C91173">
            <w:pPr>
              <w:jc w:val="center"/>
              <w:rPr>
                <w:sz w:val="18"/>
                <w:szCs w:val="18"/>
              </w:rPr>
            </w:pPr>
            <w:r>
              <w:rPr>
                <w:rFonts w:hint="eastAsia"/>
                <w:sz w:val="18"/>
                <w:szCs w:val="18"/>
              </w:rPr>
              <w:t>1</w:t>
            </w:r>
          </w:p>
        </w:tc>
      </w:tr>
    </w:tbl>
    <w:p w14:paraId="52132A91"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4454E86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塑料大棚和日光温室的结构参数、结构构件设计合理，配套设备完备，所选材料技术参数准确，符合实际需要，施工图图面清晰，符合施工图绘制借本原则和要求，设计内容完整。</w:t>
      </w:r>
    </w:p>
    <w:p w14:paraId="086558B8"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33094A62"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】塑料大棚、日光温室方案设计</w:t>
      </w:r>
    </w:p>
    <w:p w14:paraId="06776CA5"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2E8F9DA8" w14:textId="77777777" w:rsidR="00F5289E" w:rsidRDefault="00C91173">
      <w:pPr>
        <w:snapToGrid w:val="0"/>
        <w:spacing w:line="360" w:lineRule="auto"/>
        <w:ind w:firstLineChars="200" w:firstLine="422"/>
      </w:pPr>
      <w:r>
        <w:rPr>
          <w:rFonts w:hint="eastAsia"/>
          <w:b/>
          <w:szCs w:val="21"/>
        </w:rPr>
        <w:t>2.</w:t>
      </w:r>
      <w:r>
        <w:rPr>
          <w:rFonts w:hint="eastAsia"/>
          <w:b/>
          <w:szCs w:val="21"/>
        </w:rPr>
        <w:t>实验目的：</w:t>
      </w:r>
      <w:r>
        <w:rPr>
          <w:rFonts w:hint="eastAsia"/>
          <w:bCs/>
          <w:szCs w:val="21"/>
        </w:rPr>
        <w:t>通过</w:t>
      </w:r>
      <w:r>
        <w:rPr>
          <w:rFonts w:hint="eastAsia"/>
          <w:bCs/>
        </w:rPr>
        <w:t>设</w:t>
      </w:r>
      <w:r>
        <w:rPr>
          <w:rFonts w:hint="eastAsia"/>
        </w:rPr>
        <w:t>计塑料大棚和日光温室的方案，深入理解塑料大棚和日光温室的设计理论和方法，为绘制塑料大棚和日光温室施工图做准备。</w:t>
      </w:r>
    </w:p>
    <w:p w14:paraId="569FF3D9"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rPr>
        <w:t>设计塑料大棚和日光温室的结构参数、结构构件和配套设施，完成塑料大棚和日光温室的设计方案。</w:t>
      </w:r>
    </w:p>
    <w:p w14:paraId="515AA00D"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每位同学</w:t>
      </w:r>
      <w:r>
        <w:rPr>
          <w:rFonts w:hint="eastAsia"/>
        </w:rPr>
        <w:t>运用所</w:t>
      </w:r>
      <w:r>
        <w:rPr>
          <w:rFonts w:ascii="宋体" w:hAnsi="宋体" w:hint="eastAsia"/>
          <w:bCs/>
        </w:rPr>
        <w:t>学</w:t>
      </w:r>
      <w:r>
        <w:rPr>
          <w:rFonts w:hint="eastAsia"/>
        </w:rPr>
        <w:t>塑料大棚和日光温室的设计理论和方法，完成塑料大棚和日光</w:t>
      </w:r>
      <w:r>
        <w:rPr>
          <w:rFonts w:hint="eastAsia"/>
        </w:rPr>
        <w:lastRenderedPageBreak/>
        <w:t>温室的方案方案，包括确定塑料大棚和日光温室结构参数、结构构件、配套设备，选用合适的材料，给出相应的技术参数。同学之间进行互评。</w:t>
      </w:r>
    </w:p>
    <w:p w14:paraId="1CBAF2DC"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hint="eastAsia"/>
          <w:bCs/>
          <w:szCs w:val="21"/>
        </w:rPr>
        <w:t>无</w:t>
      </w:r>
    </w:p>
    <w:p w14:paraId="4B03971F"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二】塑料大棚</w:t>
      </w:r>
      <w:r>
        <w:rPr>
          <w:rFonts w:eastAsia="宋体" w:hint="eastAsia"/>
          <w:b/>
          <w:sz w:val="21"/>
          <w:szCs w:val="21"/>
        </w:rPr>
        <w:t>施工图</w:t>
      </w:r>
      <w:r>
        <w:rPr>
          <w:rFonts w:hint="eastAsia"/>
          <w:b/>
          <w:sz w:val="21"/>
          <w:szCs w:val="21"/>
        </w:rPr>
        <w:t>设计</w:t>
      </w:r>
    </w:p>
    <w:p w14:paraId="63C958C0"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4学时</w:t>
      </w:r>
    </w:p>
    <w:p w14:paraId="3E5EAB72"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通过绘制塑料大棚施工图，学生进一步掌握塑料大棚施工图的绘制要求和设计要点，独立完成塑料大棚施工图绘制。</w:t>
      </w:r>
    </w:p>
    <w:p w14:paraId="50E40B41"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rPr>
        <w:t>按施工图绘制基本原则和要求，根据前期已完成的设计方案，绘制塑料大棚的施工图，指导工程施工。</w:t>
      </w:r>
    </w:p>
    <w:p w14:paraId="5790AA75"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每位同学利用绘图工具或</w:t>
      </w:r>
      <w:r>
        <w:rPr>
          <w:rFonts w:hint="eastAsia"/>
          <w:bCs/>
          <w:szCs w:val="21"/>
        </w:rPr>
        <w:t>AutoCAD</w:t>
      </w:r>
      <w:r>
        <w:rPr>
          <w:rFonts w:hint="eastAsia"/>
          <w:bCs/>
          <w:szCs w:val="21"/>
        </w:rPr>
        <w:t>软件，</w:t>
      </w:r>
      <w:r>
        <w:rPr>
          <w:rFonts w:hint="eastAsia"/>
        </w:rPr>
        <w:t>按施工图绘制基本原则和要求，绘制一套塑料大棚施工图，包括平面图、立面图、剖面图和详图，详细展示自己的设计方案。</w:t>
      </w:r>
      <w:r>
        <w:rPr>
          <w:rFonts w:ascii="宋体" w:hAnsi="宋体" w:hint="eastAsia"/>
          <w:szCs w:val="21"/>
        </w:rPr>
        <w:t>要求图面清晰，符合施工图绘制基本原则和要求，设计内容完整。</w:t>
      </w:r>
    </w:p>
    <w:p w14:paraId="63E82F48"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无</w:t>
      </w:r>
    </w:p>
    <w:p w14:paraId="5D6AC2C2"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eastAsia="宋体" w:hint="eastAsia"/>
          <w:b/>
          <w:sz w:val="21"/>
          <w:szCs w:val="21"/>
        </w:rPr>
        <w:t>三</w:t>
      </w:r>
      <w:r>
        <w:rPr>
          <w:rFonts w:hint="eastAsia"/>
          <w:b/>
          <w:sz w:val="21"/>
          <w:szCs w:val="21"/>
        </w:rPr>
        <w:t>】</w:t>
      </w:r>
      <w:r>
        <w:rPr>
          <w:rFonts w:eastAsia="宋体" w:hint="eastAsia"/>
          <w:b/>
          <w:sz w:val="21"/>
          <w:szCs w:val="21"/>
        </w:rPr>
        <w:t>日光温室施工图</w:t>
      </w:r>
      <w:r>
        <w:rPr>
          <w:rFonts w:hint="eastAsia"/>
          <w:b/>
          <w:sz w:val="21"/>
          <w:szCs w:val="21"/>
        </w:rPr>
        <w:t>设计</w:t>
      </w:r>
    </w:p>
    <w:p w14:paraId="63BE7201"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4学时</w:t>
      </w:r>
    </w:p>
    <w:p w14:paraId="1C286EED"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通过绘制日光温室施工图，学生进一步掌握日光温室施工图的绘制要求和设计要点，独立完成日光温室施工图绘制。</w:t>
      </w:r>
    </w:p>
    <w:p w14:paraId="5634366A"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rPr>
        <w:t>按施工图绘制基本原则和要求，根据前期已完成的设计方案，绘制日光温室的施工图，指导工程施工。</w:t>
      </w:r>
    </w:p>
    <w:p w14:paraId="2C1862D1"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每位同学利用绘图工具或</w:t>
      </w:r>
      <w:r>
        <w:rPr>
          <w:rFonts w:hint="eastAsia"/>
          <w:bCs/>
          <w:szCs w:val="21"/>
        </w:rPr>
        <w:t>AutoCAD</w:t>
      </w:r>
      <w:r>
        <w:rPr>
          <w:rFonts w:hint="eastAsia"/>
          <w:bCs/>
          <w:szCs w:val="21"/>
        </w:rPr>
        <w:t>软件，</w:t>
      </w:r>
      <w:r>
        <w:rPr>
          <w:rFonts w:hint="eastAsia"/>
        </w:rPr>
        <w:t>按施工图绘制基本原则和要求，绘制一套日光温室施工图，包括平面图、立面图、剖面图和详图，详细展示自己的设计方案。</w:t>
      </w:r>
      <w:r>
        <w:rPr>
          <w:rFonts w:ascii="宋体" w:hAnsi="宋体" w:hint="eastAsia"/>
          <w:szCs w:val="21"/>
        </w:rPr>
        <w:t>要求图面清晰，符合施工图绘制基本原则和要求，设计内容完整。</w:t>
      </w:r>
    </w:p>
    <w:p w14:paraId="3E93AB64" w14:textId="77777777" w:rsidR="00F5289E" w:rsidRDefault="00C91173">
      <w:pPr>
        <w:snapToGrid w:val="0"/>
        <w:spacing w:line="360" w:lineRule="auto"/>
        <w:ind w:firstLineChars="200" w:firstLine="422"/>
        <w:rPr>
          <w:szCs w:val="21"/>
        </w:rPr>
      </w:pPr>
      <w:r>
        <w:rPr>
          <w:rFonts w:hint="eastAsia"/>
          <w:b/>
          <w:szCs w:val="21"/>
        </w:rPr>
        <w:t>5.</w:t>
      </w:r>
      <w:r>
        <w:rPr>
          <w:rFonts w:hint="eastAsia"/>
          <w:b/>
          <w:szCs w:val="21"/>
        </w:rPr>
        <w:t>实验设备及器材：无</w:t>
      </w:r>
    </w:p>
    <w:p w14:paraId="4222EF66" w14:textId="77777777" w:rsidR="00F5289E" w:rsidRDefault="00C91173">
      <w:pPr>
        <w:snapToGrid w:val="0"/>
        <w:spacing w:line="360" w:lineRule="auto"/>
        <w:rPr>
          <w:rFonts w:ascii="宋体" w:hAnsi="宋体"/>
          <w:bCs/>
          <w:color w:val="0000FF"/>
          <w:szCs w:val="21"/>
        </w:rPr>
      </w:pPr>
      <w:r>
        <w:rPr>
          <w:rFonts w:ascii="宋体" w:hAnsi="宋体" w:hint="eastAsia"/>
          <w:b/>
          <w:szCs w:val="21"/>
        </w:rPr>
        <w:t>(七)</w:t>
      </w:r>
      <w:r>
        <w:rPr>
          <w:rFonts w:ascii="宋体" w:hAnsi="宋体" w:hint="eastAsia"/>
          <w:b/>
          <w:bCs/>
          <w:szCs w:val="21"/>
        </w:rPr>
        <w:t>考核方式及成绩评定</w:t>
      </w:r>
    </w:p>
    <w:p w14:paraId="5146EE40" w14:textId="77777777" w:rsidR="00F5289E" w:rsidRDefault="00C91173">
      <w:pPr>
        <w:snapToGrid w:val="0"/>
        <w:spacing w:line="360" w:lineRule="auto"/>
        <w:ind w:firstLineChars="200" w:firstLine="420"/>
        <w:rPr>
          <w:rFonts w:ascii="宋体" w:hAnsi="宋体"/>
          <w:szCs w:val="21"/>
        </w:rPr>
      </w:pPr>
      <w:r>
        <w:rPr>
          <w:rFonts w:hAnsi="宋体" w:hint="eastAsia"/>
          <w:kern w:val="0"/>
          <w:szCs w:val="21"/>
        </w:rPr>
        <w:t>学生互评和教师评价共同评定成绩</w:t>
      </w:r>
      <w:r>
        <w:rPr>
          <w:rFonts w:eastAsiaTheme="majorEastAsia"/>
          <w:szCs w:val="21"/>
        </w:rPr>
        <w:t>。</w:t>
      </w:r>
    </w:p>
    <w:p w14:paraId="292EF10E"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08E27DD5" w14:textId="77777777" w:rsidR="00F5289E" w:rsidRDefault="00C91173">
      <w:pPr>
        <w:snapToGrid w:val="0"/>
        <w:spacing w:line="360" w:lineRule="auto"/>
        <w:ind w:firstLineChars="200" w:firstLine="420"/>
        <w:rPr>
          <w:rFonts w:ascii="宋体" w:hAnsi="宋体" w:cs="宋体"/>
          <w:bCs/>
          <w:kern w:val="0"/>
          <w:szCs w:val="21"/>
        </w:rPr>
      </w:pPr>
      <w:r>
        <w:rPr>
          <w:rFonts w:ascii="宋体" w:hAnsi="宋体" w:cs="宋体" w:hint="eastAsia"/>
          <w:bCs/>
          <w:kern w:val="0"/>
          <w:szCs w:val="21"/>
        </w:rPr>
        <w:t>本课程</w:t>
      </w:r>
      <w:r>
        <w:rPr>
          <w:rFonts w:ascii="宋体" w:hAnsi="宋体" w:cs="宋体"/>
          <w:bCs/>
          <w:kern w:val="0"/>
          <w:szCs w:val="21"/>
        </w:rPr>
        <w:t>从</w:t>
      </w:r>
      <w:r>
        <w:rPr>
          <w:rFonts w:ascii="宋体" w:hAnsi="宋体" w:cs="宋体" w:hint="eastAsia"/>
          <w:bCs/>
          <w:kern w:val="0"/>
          <w:szCs w:val="21"/>
        </w:rPr>
        <w:t>农业</w:t>
      </w:r>
      <w:r>
        <w:rPr>
          <w:rFonts w:ascii="宋体" w:hAnsi="宋体" w:cs="宋体"/>
          <w:bCs/>
          <w:kern w:val="0"/>
          <w:szCs w:val="21"/>
        </w:rPr>
        <w:t>对社会的贡献和</w:t>
      </w:r>
      <w:r>
        <w:rPr>
          <w:rFonts w:ascii="宋体" w:hAnsi="宋体" w:cs="宋体" w:hint="eastAsia"/>
          <w:bCs/>
          <w:kern w:val="0"/>
          <w:szCs w:val="21"/>
        </w:rPr>
        <w:t>我国实际</w:t>
      </w:r>
      <w:r>
        <w:rPr>
          <w:rFonts w:ascii="宋体" w:hAnsi="宋体" w:cs="宋体"/>
          <w:bCs/>
          <w:kern w:val="0"/>
          <w:szCs w:val="21"/>
        </w:rPr>
        <w:t>国情出发，</w:t>
      </w:r>
      <w:r>
        <w:rPr>
          <w:rFonts w:ascii="宋体" w:hAnsi="宋体" w:cs="宋体" w:hint="eastAsia"/>
          <w:bCs/>
          <w:kern w:val="0"/>
          <w:szCs w:val="21"/>
        </w:rPr>
        <w:t>使学生认识到</w:t>
      </w:r>
      <w:r>
        <w:rPr>
          <w:rFonts w:ascii="宋体" w:hAnsi="宋体" w:cs="宋体"/>
          <w:bCs/>
          <w:kern w:val="0"/>
          <w:szCs w:val="21"/>
        </w:rPr>
        <w:t>农业作为第一产业对</w:t>
      </w:r>
      <w:r>
        <w:rPr>
          <w:rFonts w:ascii="宋体" w:hAnsi="宋体" w:cs="宋体" w:hint="eastAsia"/>
          <w:bCs/>
          <w:kern w:val="0"/>
          <w:szCs w:val="21"/>
        </w:rPr>
        <w:t>国民</w:t>
      </w:r>
      <w:r>
        <w:rPr>
          <w:rFonts w:ascii="宋体" w:hAnsi="宋体" w:cs="宋体"/>
          <w:bCs/>
          <w:kern w:val="0"/>
          <w:szCs w:val="21"/>
        </w:rPr>
        <w:t>生产生活的重要性，</w:t>
      </w:r>
      <w:r>
        <w:rPr>
          <w:rFonts w:ascii="宋体" w:hAnsi="宋体" w:cs="宋体" w:hint="eastAsia"/>
          <w:bCs/>
          <w:kern w:val="0"/>
          <w:szCs w:val="21"/>
        </w:rPr>
        <w:t>感受到作为</w:t>
      </w:r>
      <w:r>
        <w:rPr>
          <w:rFonts w:ascii="宋体" w:hAnsi="宋体" w:cs="宋体"/>
          <w:bCs/>
          <w:kern w:val="0"/>
          <w:szCs w:val="21"/>
        </w:rPr>
        <w:t>一</w:t>
      </w:r>
      <w:r>
        <w:rPr>
          <w:rFonts w:ascii="宋体" w:hAnsi="宋体" w:cs="宋体" w:hint="eastAsia"/>
          <w:bCs/>
          <w:kern w:val="0"/>
          <w:szCs w:val="21"/>
        </w:rPr>
        <w:t>位农科</w:t>
      </w:r>
      <w:r>
        <w:rPr>
          <w:rFonts w:ascii="宋体" w:hAnsi="宋体" w:cs="宋体"/>
          <w:bCs/>
          <w:kern w:val="0"/>
          <w:szCs w:val="21"/>
        </w:rPr>
        <w:t>学生建设社会主义新农村</w:t>
      </w:r>
      <w:r>
        <w:rPr>
          <w:rFonts w:ascii="宋体" w:hAnsi="宋体" w:cs="宋体" w:hint="eastAsia"/>
          <w:bCs/>
          <w:kern w:val="0"/>
          <w:szCs w:val="21"/>
        </w:rPr>
        <w:t>和提升9亿</w:t>
      </w:r>
      <w:r>
        <w:rPr>
          <w:rFonts w:ascii="宋体" w:hAnsi="宋体" w:cs="宋体"/>
          <w:bCs/>
          <w:kern w:val="0"/>
          <w:szCs w:val="21"/>
        </w:rPr>
        <w:t>农民生活水平的神圣使命，</w:t>
      </w:r>
      <w:r>
        <w:rPr>
          <w:rFonts w:ascii="宋体" w:hAnsi="宋体" w:cs="宋体" w:hint="eastAsia"/>
          <w:bCs/>
          <w:kern w:val="0"/>
          <w:szCs w:val="21"/>
        </w:rPr>
        <w:t>才能激发其</w:t>
      </w:r>
      <w:r>
        <w:rPr>
          <w:rFonts w:ascii="宋体" w:hAnsi="宋体" w:cs="宋体"/>
          <w:bCs/>
          <w:kern w:val="0"/>
          <w:szCs w:val="21"/>
        </w:rPr>
        <w:t>对</w:t>
      </w:r>
      <w:r>
        <w:rPr>
          <w:rFonts w:ascii="宋体" w:hAnsi="宋体" w:cs="宋体" w:hint="eastAsia"/>
          <w:bCs/>
          <w:kern w:val="0"/>
          <w:szCs w:val="21"/>
        </w:rPr>
        <w:t>服务农业农村现代化、服务乡村全面振兴的责任感</w:t>
      </w:r>
      <w:r>
        <w:rPr>
          <w:rFonts w:ascii="宋体" w:hAnsi="宋体" w:cs="宋体"/>
          <w:bCs/>
          <w:kern w:val="0"/>
          <w:szCs w:val="21"/>
        </w:rPr>
        <w:t>与</w:t>
      </w:r>
      <w:r>
        <w:rPr>
          <w:rFonts w:ascii="宋体" w:hAnsi="宋体" w:cs="宋体" w:hint="eastAsia"/>
          <w:bCs/>
          <w:kern w:val="0"/>
          <w:szCs w:val="21"/>
        </w:rPr>
        <w:t>使命感，从而激起</w:t>
      </w:r>
      <w:r>
        <w:rPr>
          <w:rFonts w:ascii="宋体" w:hAnsi="宋体" w:cs="宋体"/>
          <w:bCs/>
          <w:kern w:val="0"/>
          <w:szCs w:val="21"/>
        </w:rPr>
        <w:t>学生将自己培养</w:t>
      </w:r>
      <w:r>
        <w:rPr>
          <w:rFonts w:ascii="宋体" w:hAnsi="宋体" w:cs="宋体" w:hint="eastAsia"/>
          <w:bCs/>
          <w:kern w:val="0"/>
          <w:szCs w:val="21"/>
        </w:rPr>
        <w:t>成为“懂农业、爱农村、爱农民”专业人才的</w:t>
      </w:r>
      <w:r>
        <w:rPr>
          <w:rFonts w:ascii="宋体" w:hAnsi="宋体" w:cs="宋体"/>
          <w:bCs/>
          <w:kern w:val="0"/>
          <w:szCs w:val="21"/>
        </w:rPr>
        <w:t>内在动力</w:t>
      </w:r>
      <w:r>
        <w:rPr>
          <w:rFonts w:ascii="宋体" w:hAnsi="宋体" w:cs="宋体" w:hint="eastAsia"/>
          <w:bCs/>
          <w:kern w:val="0"/>
          <w:szCs w:val="21"/>
        </w:rPr>
        <w:t>。从以下几方面进行了课程思政元素的挖掘，开展课程思政。</w:t>
      </w:r>
    </w:p>
    <w:p w14:paraId="7401FC63" w14:textId="77777777" w:rsidR="00F5289E" w:rsidRDefault="00C91173">
      <w:pPr>
        <w:spacing w:line="360" w:lineRule="auto"/>
        <w:ind w:firstLineChars="200" w:firstLine="420"/>
        <w:rPr>
          <w:rFonts w:ascii="宋体" w:hAnsi="宋体" w:cs="宋体"/>
          <w:bCs/>
          <w:kern w:val="0"/>
          <w:szCs w:val="21"/>
        </w:rPr>
      </w:pPr>
      <w:r>
        <w:rPr>
          <w:rFonts w:ascii="宋体" w:hAnsi="宋体" w:cs="宋体" w:hint="eastAsia"/>
          <w:bCs/>
          <w:kern w:val="0"/>
          <w:szCs w:val="21"/>
        </w:rPr>
        <w:t>以学生身边</w:t>
      </w:r>
      <w:r>
        <w:rPr>
          <w:rFonts w:ascii="宋体" w:hAnsi="宋体" w:cs="宋体"/>
          <w:bCs/>
          <w:kern w:val="0"/>
          <w:szCs w:val="21"/>
        </w:rPr>
        <w:t>的教师、优秀校友、</w:t>
      </w:r>
      <w:r>
        <w:rPr>
          <w:rFonts w:ascii="宋体" w:hAnsi="宋体" w:cs="宋体" w:hint="eastAsia"/>
          <w:bCs/>
          <w:kern w:val="0"/>
          <w:szCs w:val="21"/>
        </w:rPr>
        <w:t>产业</w:t>
      </w:r>
      <w:r>
        <w:rPr>
          <w:rFonts w:ascii="宋体" w:hAnsi="宋体" w:cs="宋体"/>
          <w:bCs/>
          <w:kern w:val="0"/>
          <w:szCs w:val="21"/>
        </w:rPr>
        <w:t>发展带头人</w:t>
      </w:r>
      <w:r>
        <w:rPr>
          <w:rFonts w:ascii="宋体" w:hAnsi="宋体" w:cs="宋体" w:hint="eastAsia"/>
          <w:bCs/>
          <w:kern w:val="0"/>
          <w:szCs w:val="21"/>
        </w:rPr>
        <w:t>的</w:t>
      </w:r>
      <w:r>
        <w:rPr>
          <w:rFonts w:ascii="宋体" w:hAnsi="宋体" w:cs="宋体"/>
          <w:bCs/>
          <w:kern w:val="0"/>
          <w:szCs w:val="21"/>
        </w:rPr>
        <w:t>故事</w:t>
      </w:r>
      <w:r>
        <w:rPr>
          <w:rFonts w:ascii="宋体" w:hAnsi="宋体" w:cs="宋体" w:hint="eastAsia"/>
          <w:bCs/>
          <w:kern w:val="0"/>
          <w:szCs w:val="21"/>
        </w:rPr>
        <w:t>为</w:t>
      </w:r>
      <w:r>
        <w:rPr>
          <w:rFonts w:ascii="宋体" w:hAnsi="宋体" w:cs="宋体"/>
          <w:bCs/>
          <w:kern w:val="0"/>
          <w:szCs w:val="21"/>
        </w:rPr>
        <w:t>学生树立榜样，</w:t>
      </w:r>
      <w:r>
        <w:rPr>
          <w:rFonts w:ascii="宋体" w:hAnsi="宋体" w:cs="宋体" w:hint="eastAsia"/>
          <w:bCs/>
          <w:kern w:val="0"/>
          <w:szCs w:val="21"/>
        </w:rPr>
        <w:t>让学生</w:t>
      </w:r>
      <w:r>
        <w:rPr>
          <w:rFonts w:ascii="宋体" w:hAnsi="宋体" w:cs="宋体"/>
          <w:bCs/>
          <w:kern w:val="0"/>
          <w:szCs w:val="21"/>
        </w:rPr>
        <w:t>感受到自己所学的知识</w:t>
      </w:r>
      <w:r>
        <w:rPr>
          <w:rFonts w:ascii="宋体" w:hAnsi="宋体" w:cs="宋体" w:hint="eastAsia"/>
          <w:bCs/>
          <w:kern w:val="0"/>
          <w:szCs w:val="21"/>
        </w:rPr>
        <w:t>能够</w:t>
      </w:r>
      <w:r>
        <w:rPr>
          <w:rFonts w:ascii="宋体" w:hAnsi="宋体" w:cs="宋体"/>
          <w:bCs/>
          <w:kern w:val="0"/>
          <w:szCs w:val="21"/>
        </w:rPr>
        <w:t>促进农业和农村的发展</w:t>
      </w:r>
      <w:r>
        <w:rPr>
          <w:rFonts w:ascii="宋体" w:hAnsi="宋体" w:cs="宋体" w:hint="eastAsia"/>
          <w:bCs/>
          <w:kern w:val="0"/>
          <w:szCs w:val="21"/>
        </w:rPr>
        <w:t>，改善</w:t>
      </w:r>
      <w:r>
        <w:rPr>
          <w:rFonts w:ascii="宋体" w:hAnsi="宋体" w:cs="宋体"/>
          <w:bCs/>
          <w:kern w:val="0"/>
          <w:szCs w:val="21"/>
        </w:rPr>
        <w:t>农民的生活，学生的认同感和使命感能够被有效激发</w:t>
      </w:r>
      <w:r>
        <w:rPr>
          <w:rFonts w:ascii="宋体" w:hAnsi="宋体" w:cs="宋体" w:hint="eastAsia"/>
          <w:bCs/>
          <w:kern w:val="0"/>
          <w:szCs w:val="21"/>
        </w:rPr>
        <w:t>，</w:t>
      </w:r>
      <w:r>
        <w:rPr>
          <w:rFonts w:ascii="宋体" w:hAnsi="宋体" w:cs="宋体" w:hint="eastAsia"/>
          <w:bCs/>
          <w:kern w:val="0"/>
          <w:szCs w:val="21"/>
        </w:rPr>
        <w:lastRenderedPageBreak/>
        <w:t>从而</w:t>
      </w:r>
      <w:r>
        <w:rPr>
          <w:rFonts w:ascii="宋体" w:hAnsi="宋体" w:cs="宋体"/>
          <w:bCs/>
          <w:kern w:val="0"/>
          <w:szCs w:val="21"/>
        </w:rPr>
        <w:t>引导学生立大志、</w:t>
      </w:r>
      <w:r>
        <w:rPr>
          <w:rFonts w:ascii="宋体" w:hAnsi="宋体" w:cs="宋体" w:hint="eastAsia"/>
          <w:bCs/>
          <w:kern w:val="0"/>
          <w:szCs w:val="21"/>
        </w:rPr>
        <w:t>存大爱</w:t>
      </w:r>
      <w:r>
        <w:rPr>
          <w:rFonts w:ascii="宋体" w:hAnsi="宋体" w:cs="宋体"/>
          <w:bCs/>
          <w:kern w:val="0"/>
          <w:szCs w:val="21"/>
        </w:rPr>
        <w:t>、</w:t>
      </w:r>
      <w:r>
        <w:rPr>
          <w:rFonts w:ascii="宋体" w:hAnsi="宋体" w:cs="宋体" w:hint="eastAsia"/>
          <w:bCs/>
          <w:kern w:val="0"/>
          <w:szCs w:val="21"/>
        </w:rPr>
        <w:t>担</w:t>
      </w:r>
      <w:r>
        <w:rPr>
          <w:rFonts w:ascii="宋体" w:hAnsi="宋体" w:cs="宋体"/>
          <w:bCs/>
          <w:kern w:val="0"/>
          <w:szCs w:val="21"/>
        </w:rPr>
        <w:t>大责</w:t>
      </w:r>
      <w:r>
        <w:rPr>
          <w:rFonts w:ascii="宋体" w:hAnsi="宋体" w:cs="宋体" w:hint="eastAsia"/>
          <w:bCs/>
          <w:kern w:val="0"/>
          <w:szCs w:val="21"/>
        </w:rPr>
        <w:t>。例如</w:t>
      </w:r>
      <w:r>
        <w:rPr>
          <w:rFonts w:ascii="宋体" w:hAnsi="宋体" w:cs="宋体"/>
          <w:bCs/>
          <w:kern w:val="0"/>
          <w:szCs w:val="21"/>
        </w:rPr>
        <w:t>，讲到农业设施工程学地膜覆盖一节时，</w:t>
      </w:r>
      <w:r>
        <w:rPr>
          <w:rFonts w:ascii="宋体" w:hAnsi="宋体" w:cs="宋体" w:hint="eastAsia"/>
          <w:bCs/>
          <w:kern w:val="0"/>
          <w:szCs w:val="21"/>
        </w:rPr>
        <w:t>向</w:t>
      </w:r>
      <w:r>
        <w:rPr>
          <w:rFonts w:ascii="宋体" w:hAnsi="宋体" w:cs="宋体"/>
          <w:bCs/>
          <w:kern w:val="0"/>
          <w:szCs w:val="21"/>
        </w:rPr>
        <w:t>学生介绍学院孙</w:t>
      </w:r>
      <w:r>
        <w:rPr>
          <w:rFonts w:ascii="宋体" w:hAnsi="宋体" w:cs="宋体" w:hint="eastAsia"/>
          <w:bCs/>
          <w:kern w:val="0"/>
          <w:szCs w:val="21"/>
        </w:rPr>
        <w:t>治强教授</w:t>
      </w:r>
      <w:r>
        <w:rPr>
          <w:rFonts w:ascii="宋体" w:hAnsi="宋体" w:cs="宋体"/>
          <w:bCs/>
          <w:kern w:val="0"/>
          <w:szCs w:val="21"/>
        </w:rPr>
        <w:t>在</w:t>
      </w:r>
      <w:r>
        <w:rPr>
          <w:rFonts w:ascii="宋体" w:hAnsi="宋体" w:cs="宋体" w:hint="eastAsia"/>
          <w:bCs/>
          <w:kern w:val="0"/>
          <w:szCs w:val="21"/>
        </w:rPr>
        <w:t>本科</w:t>
      </w:r>
      <w:r>
        <w:rPr>
          <w:rFonts w:ascii="宋体" w:hAnsi="宋体" w:cs="宋体"/>
          <w:bCs/>
          <w:kern w:val="0"/>
          <w:szCs w:val="21"/>
        </w:rPr>
        <w:t>求学时，</w:t>
      </w:r>
      <w:r>
        <w:rPr>
          <w:rFonts w:ascii="宋体" w:hAnsi="宋体" w:cs="宋体" w:hint="eastAsia"/>
          <w:bCs/>
          <w:kern w:val="0"/>
          <w:szCs w:val="21"/>
        </w:rPr>
        <w:t>课余时间</w:t>
      </w:r>
      <w:r>
        <w:rPr>
          <w:rFonts w:ascii="宋体" w:hAnsi="宋体" w:cs="宋体"/>
          <w:bCs/>
          <w:kern w:val="0"/>
          <w:szCs w:val="21"/>
        </w:rPr>
        <w:t>参与到</w:t>
      </w:r>
      <w:r>
        <w:rPr>
          <w:rFonts w:ascii="宋体" w:hAnsi="宋体" w:cs="宋体" w:hint="eastAsia"/>
          <w:bCs/>
          <w:kern w:val="0"/>
          <w:szCs w:val="21"/>
        </w:rPr>
        <w:t>地膜覆盖技术</w:t>
      </w:r>
      <w:r>
        <w:rPr>
          <w:rFonts w:ascii="宋体" w:hAnsi="宋体" w:cs="宋体"/>
          <w:bCs/>
          <w:kern w:val="0"/>
          <w:szCs w:val="21"/>
        </w:rPr>
        <w:t>在河南地区应用效果方面的研究工作中，</w:t>
      </w:r>
      <w:r>
        <w:rPr>
          <w:rFonts w:ascii="宋体" w:hAnsi="宋体" w:cs="宋体" w:hint="eastAsia"/>
          <w:bCs/>
          <w:kern w:val="0"/>
          <w:szCs w:val="21"/>
        </w:rPr>
        <w:t>本科阶段</w:t>
      </w:r>
      <w:r>
        <w:rPr>
          <w:rFonts w:ascii="宋体" w:hAnsi="宋体" w:cs="宋体"/>
          <w:bCs/>
          <w:kern w:val="0"/>
          <w:szCs w:val="21"/>
        </w:rPr>
        <w:t>即发表学术论文</w:t>
      </w:r>
      <w:r>
        <w:rPr>
          <w:rFonts w:ascii="宋体" w:hAnsi="宋体" w:cs="宋体" w:hint="eastAsia"/>
          <w:bCs/>
          <w:kern w:val="0"/>
          <w:szCs w:val="21"/>
        </w:rPr>
        <w:t>；后</w:t>
      </w:r>
      <w:r>
        <w:rPr>
          <w:rFonts w:ascii="宋体" w:hAnsi="宋体" w:cs="宋体"/>
          <w:bCs/>
          <w:kern w:val="0"/>
          <w:szCs w:val="21"/>
        </w:rPr>
        <w:t>投身于</w:t>
      </w:r>
      <w:r>
        <w:rPr>
          <w:rFonts w:ascii="宋体" w:hAnsi="宋体" w:cs="宋体" w:hint="eastAsia"/>
          <w:bCs/>
          <w:kern w:val="0"/>
          <w:szCs w:val="21"/>
        </w:rPr>
        <w:t>蔬菜产业</w:t>
      </w:r>
      <w:r>
        <w:rPr>
          <w:rFonts w:ascii="宋体" w:hAnsi="宋体" w:cs="宋体"/>
          <w:bCs/>
          <w:kern w:val="0"/>
          <w:szCs w:val="21"/>
        </w:rPr>
        <w:t>发展中，</w:t>
      </w:r>
      <w:r>
        <w:rPr>
          <w:rFonts w:ascii="宋体" w:hAnsi="宋体" w:cs="宋体" w:hint="eastAsia"/>
          <w:bCs/>
          <w:kern w:val="0"/>
          <w:szCs w:val="21"/>
        </w:rPr>
        <w:t>足迹</w:t>
      </w:r>
      <w:r>
        <w:rPr>
          <w:rFonts w:ascii="宋体" w:hAnsi="宋体" w:cs="宋体"/>
          <w:bCs/>
          <w:kern w:val="0"/>
          <w:szCs w:val="21"/>
        </w:rPr>
        <w:t>踏遍河南各个地区指导设施蔬菜生产</w:t>
      </w:r>
      <w:r>
        <w:rPr>
          <w:rFonts w:ascii="宋体" w:hAnsi="宋体" w:cs="宋体" w:hint="eastAsia"/>
          <w:bCs/>
          <w:kern w:val="0"/>
          <w:szCs w:val="21"/>
        </w:rPr>
        <w:t>，作为</w:t>
      </w:r>
      <w:r>
        <w:rPr>
          <w:rFonts w:ascii="宋体" w:hAnsi="宋体" w:cs="宋体"/>
          <w:bCs/>
          <w:kern w:val="0"/>
          <w:szCs w:val="21"/>
        </w:rPr>
        <w:t>国家大宗蔬菜体系的专家</w:t>
      </w:r>
      <w:r>
        <w:rPr>
          <w:rFonts w:ascii="宋体" w:hAnsi="宋体" w:cs="宋体" w:hint="eastAsia"/>
          <w:bCs/>
          <w:kern w:val="0"/>
          <w:szCs w:val="21"/>
        </w:rPr>
        <w:t>，在</w:t>
      </w:r>
      <w:r>
        <w:rPr>
          <w:rFonts w:ascii="宋体" w:hAnsi="宋体" w:cs="宋体"/>
          <w:bCs/>
          <w:kern w:val="0"/>
          <w:szCs w:val="21"/>
        </w:rPr>
        <w:t>100余个县市区开展设施园艺产业技术培训，</w:t>
      </w:r>
      <w:r>
        <w:rPr>
          <w:rFonts w:ascii="宋体" w:hAnsi="宋体" w:cs="宋体" w:hint="eastAsia"/>
          <w:bCs/>
          <w:kern w:val="0"/>
          <w:szCs w:val="21"/>
        </w:rPr>
        <w:t>指导建设</w:t>
      </w:r>
      <w:r>
        <w:rPr>
          <w:rFonts w:ascii="宋体" w:hAnsi="宋体" w:cs="宋体"/>
          <w:bCs/>
          <w:kern w:val="0"/>
          <w:szCs w:val="21"/>
        </w:rPr>
        <w:t>10余个集约化蔬菜育苗基地</w:t>
      </w:r>
      <w:r>
        <w:rPr>
          <w:rFonts w:ascii="宋体" w:hAnsi="宋体" w:cs="宋体" w:hint="eastAsia"/>
          <w:bCs/>
          <w:kern w:val="0"/>
          <w:szCs w:val="21"/>
        </w:rPr>
        <w:t>，协助地方建成</w:t>
      </w:r>
      <w:r>
        <w:rPr>
          <w:rFonts w:ascii="宋体" w:hAnsi="宋体" w:cs="宋体"/>
          <w:bCs/>
          <w:kern w:val="0"/>
          <w:szCs w:val="21"/>
        </w:rPr>
        <w:t>多个</w:t>
      </w:r>
      <w:r>
        <w:rPr>
          <w:rFonts w:ascii="宋体" w:hAnsi="宋体" w:cs="宋体" w:hint="eastAsia"/>
          <w:bCs/>
          <w:kern w:val="0"/>
          <w:szCs w:val="21"/>
        </w:rPr>
        <w:t>10万</w:t>
      </w:r>
      <w:r>
        <w:rPr>
          <w:rFonts w:ascii="宋体" w:hAnsi="宋体" w:cs="宋体"/>
          <w:bCs/>
          <w:kern w:val="0"/>
          <w:szCs w:val="21"/>
        </w:rPr>
        <w:t>亩以上的蔬菜生产基地</w:t>
      </w:r>
      <w:r>
        <w:rPr>
          <w:rFonts w:ascii="宋体" w:hAnsi="宋体" w:cs="宋体" w:hint="eastAsia"/>
          <w:bCs/>
          <w:kern w:val="0"/>
          <w:szCs w:val="21"/>
        </w:rPr>
        <w:t>和省内</w:t>
      </w:r>
      <w:r>
        <w:rPr>
          <w:rFonts w:ascii="宋体" w:hAnsi="宋体" w:cs="宋体"/>
          <w:bCs/>
          <w:kern w:val="0"/>
          <w:szCs w:val="21"/>
        </w:rPr>
        <w:t>百</w:t>
      </w:r>
      <w:r>
        <w:rPr>
          <w:rFonts w:ascii="宋体" w:hAnsi="宋体" w:cs="宋体" w:hint="eastAsia"/>
          <w:bCs/>
          <w:kern w:val="0"/>
          <w:szCs w:val="21"/>
        </w:rPr>
        <w:t>余</w:t>
      </w:r>
      <w:r>
        <w:rPr>
          <w:rFonts w:ascii="宋体" w:hAnsi="宋体" w:cs="宋体"/>
          <w:bCs/>
          <w:kern w:val="0"/>
          <w:szCs w:val="21"/>
        </w:rPr>
        <w:t>家现代农业示范园区，促进了当地农业的发展和现代农业技术的示范。</w:t>
      </w:r>
      <w:r>
        <w:rPr>
          <w:rFonts w:ascii="宋体" w:hAnsi="宋体" w:cs="宋体" w:hint="eastAsia"/>
          <w:bCs/>
          <w:kern w:val="0"/>
          <w:szCs w:val="21"/>
        </w:rPr>
        <w:t>以孙治强教授</w:t>
      </w:r>
      <w:r>
        <w:rPr>
          <w:rFonts w:ascii="宋体" w:hAnsi="宋体" w:cs="宋体"/>
          <w:bCs/>
          <w:kern w:val="0"/>
          <w:szCs w:val="21"/>
        </w:rPr>
        <w:t>求学阶段</w:t>
      </w:r>
      <w:r>
        <w:rPr>
          <w:rFonts w:ascii="宋体" w:hAnsi="宋体" w:cs="宋体" w:hint="eastAsia"/>
          <w:bCs/>
          <w:kern w:val="0"/>
          <w:szCs w:val="21"/>
        </w:rPr>
        <w:t>努力学习</w:t>
      </w:r>
      <w:r>
        <w:rPr>
          <w:rFonts w:ascii="宋体" w:hAnsi="宋体" w:cs="宋体"/>
          <w:bCs/>
          <w:kern w:val="0"/>
          <w:szCs w:val="21"/>
        </w:rPr>
        <w:t>、积极进取的</w:t>
      </w:r>
      <w:r>
        <w:rPr>
          <w:rFonts w:ascii="宋体" w:hAnsi="宋体" w:cs="宋体" w:hint="eastAsia"/>
          <w:bCs/>
          <w:kern w:val="0"/>
          <w:szCs w:val="21"/>
        </w:rPr>
        <w:t>事例</w:t>
      </w:r>
      <w:r>
        <w:rPr>
          <w:rFonts w:ascii="宋体" w:hAnsi="宋体" w:cs="宋体"/>
          <w:bCs/>
          <w:kern w:val="0"/>
          <w:szCs w:val="21"/>
        </w:rPr>
        <w:t>，</w:t>
      </w:r>
      <w:r>
        <w:rPr>
          <w:rFonts w:ascii="宋体" w:hAnsi="宋体" w:cs="宋体" w:hint="eastAsia"/>
          <w:bCs/>
          <w:kern w:val="0"/>
          <w:szCs w:val="21"/>
        </w:rPr>
        <w:t>引领</w:t>
      </w:r>
      <w:r>
        <w:rPr>
          <w:rFonts w:ascii="宋体" w:hAnsi="宋体" w:cs="宋体"/>
          <w:bCs/>
          <w:kern w:val="0"/>
          <w:szCs w:val="21"/>
        </w:rPr>
        <w:t>学生</w:t>
      </w:r>
      <w:r>
        <w:rPr>
          <w:rFonts w:ascii="宋体" w:hAnsi="宋体" w:cs="宋体" w:hint="eastAsia"/>
          <w:bCs/>
          <w:kern w:val="0"/>
          <w:szCs w:val="21"/>
        </w:rPr>
        <w:t>只争朝夕</w:t>
      </w:r>
      <w:r>
        <w:rPr>
          <w:rFonts w:ascii="宋体" w:hAnsi="宋体" w:cs="宋体"/>
          <w:bCs/>
          <w:kern w:val="0"/>
          <w:szCs w:val="21"/>
        </w:rPr>
        <w:t>、</w:t>
      </w:r>
      <w:r>
        <w:rPr>
          <w:rFonts w:ascii="宋体" w:hAnsi="宋体" w:cs="宋体" w:hint="eastAsia"/>
          <w:bCs/>
          <w:kern w:val="0"/>
          <w:szCs w:val="21"/>
        </w:rPr>
        <w:t>不负韶华，积极</w:t>
      </w:r>
      <w:r>
        <w:rPr>
          <w:rFonts w:ascii="宋体" w:hAnsi="宋体" w:cs="宋体"/>
          <w:bCs/>
          <w:kern w:val="0"/>
          <w:szCs w:val="21"/>
        </w:rPr>
        <w:t>参与</w:t>
      </w:r>
      <w:r>
        <w:rPr>
          <w:rFonts w:ascii="宋体" w:hAnsi="宋体" w:cs="宋体" w:hint="eastAsia"/>
          <w:bCs/>
          <w:kern w:val="0"/>
          <w:szCs w:val="21"/>
        </w:rPr>
        <w:t>学校</w:t>
      </w:r>
      <w:r>
        <w:rPr>
          <w:rFonts w:ascii="宋体" w:hAnsi="宋体" w:cs="宋体"/>
          <w:bCs/>
          <w:kern w:val="0"/>
          <w:szCs w:val="21"/>
        </w:rPr>
        <w:t>科研助理</w:t>
      </w:r>
      <w:r>
        <w:rPr>
          <w:rFonts w:ascii="宋体" w:hAnsi="宋体" w:cs="宋体" w:hint="eastAsia"/>
          <w:bCs/>
          <w:kern w:val="0"/>
          <w:szCs w:val="21"/>
        </w:rPr>
        <w:t>、大学生</w:t>
      </w:r>
      <w:r>
        <w:rPr>
          <w:rFonts w:ascii="宋体" w:hAnsi="宋体" w:cs="宋体"/>
          <w:bCs/>
          <w:kern w:val="0"/>
          <w:szCs w:val="21"/>
        </w:rPr>
        <w:t>创新创业训练计划</w:t>
      </w:r>
      <w:r>
        <w:rPr>
          <w:rFonts w:ascii="宋体" w:hAnsi="宋体" w:cs="宋体" w:hint="eastAsia"/>
          <w:bCs/>
          <w:kern w:val="0"/>
          <w:szCs w:val="21"/>
        </w:rPr>
        <w:t>、</w:t>
      </w:r>
      <w:r>
        <w:rPr>
          <w:rFonts w:ascii="宋体" w:hAnsi="宋体" w:cs="宋体"/>
          <w:bCs/>
          <w:kern w:val="0"/>
          <w:szCs w:val="21"/>
        </w:rPr>
        <w:t>暑期社会实践</w:t>
      </w:r>
      <w:r>
        <w:rPr>
          <w:rFonts w:ascii="宋体" w:hAnsi="宋体" w:cs="宋体" w:hint="eastAsia"/>
          <w:bCs/>
          <w:kern w:val="0"/>
          <w:szCs w:val="21"/>
        </w:rPr>
        <w:t>等有意义</w:t>
      </w:r>
      <w:r>
        <w:rPr>
          <w:rFonts w:ascii="宋体" w:hAnsi="宋体" w:cs="宋体"/>
          <w:bCs/>
          <w:kern w:val="0"/>
          <w:szCs w:val="21"/>
        </w:rPr>
        <w:t>的活动</w:t>
      </w:r>
      <w:r>
        <w:rPr>
          <w:rFonts w:ascii="宋体" w:hAnsi="宋体" w:cs="宋体" w:hint="eastAsia"/>
          <w:bCs/>
          <w:kern w:val="0"/>
          <w:szCs w:val="21"/>
        </w:rPr>
        <w:t>，</w:t>
      </w:r>
      <w:r>
        <w:rPr>
          <w:rFonts w:ascii="宋体" w:hAnsi="宋体" w:cs="宋体"/>
          <w:bCs/>
          <w:kern w:val="0"/>
          <w:szCs w:val="21"/>
        </w:rPr>
        <w:t>不要</w:t>
      </w:r>
      <w:r>
        <w:rPr>
          <w:rFonts w:ascii="宋体" w:hAnsi="宋体" w:cs="宋体" w:hint="eastAsia"/>
          <w:bCs/>
          <w:kern w:val="0"/>
          <w:szCs w:val="21"/>
        </w:rPr>
        <w:t>辜负</w:t>
      </w:r>
      <w:r>
        <w:rPr>
          <w:rFonts w:ascii="宋体" w:hAnsi="宋体" w:cs="宋体"/>
          <w:bCs/>
          <w:kern w:val="0"/>
          <w:szCs w:val="21"/>
        </w:rPr>
        <w:t>宝贵的青春时光</w:t>
      </w:r>
      <w:r>
        <w:rPr>
          <w:rFonts w:ascii="宋体" w:hAnsi="宋体" w:cs="宋体" w:hint="eastAsia"/>
          <w:bCs/>
          <w:kern w:val="0"/>
          <w:szCs w:val="21"/>
        </w:rPr>
        <w:t>。以孙治强教授</w:t>
      </w:r>
      <w:r>
        <w:rPr>
          <w:rFonts w:ascii="宋体" w:hAnsi="宋体" w:cs="宋体"/>
          <w:bCs/>
          <w:kern w:val="0"/>
          <w:szCs w:val="21"/>
        </w:rPr>
        <w:t>作为一名科研人员将</w:t>
      </w:r>
      <w:r>
        <w:rPr>
          <w:rFonts w:ascii="宋体" w:hAnsi="宋体" w:cs="宋体" w:hint="eastAsia"/>
          <w:bCs/>
          <w:kern w:val="0"/>
          <w:szCs w:val="21"/>
        </w:rPr>
        <w:t>论文写在</w:t>
      </w:r>
      <w:r>
        <w:rPr>
          <w:rFonts w:ascii="宋体" w:hAnsi="宋体" w:cs="宋体"/>
          <w:bCs/>
          <w:kern w:val="0"/>
          <w:szCs w:val="21"/>
        </w:rPr>
        <w:t>祖国大地上的情怀，</w:t>
      </w:r>
      <w:r>
        <w:rPr>
          <w:rFonts w:ascii="宋体" w:hAnsi="宋体" w:cs="宋体" w:hint="eastAsia"/>
          <w:bCs/>
          <w:kern w:val="0"/>
          <w:szCs w:val="21"/>
        </w:rPr>
        <w:t>激发学生</w:t>
      </w:r>
      <w:r>
        <w:rPr>
          <w:rFonts w:ascii="宋体" w:hAnsi="宋体" w:cs="宋体"/>
          <w:bCs/>
          <w:kern w:val="0"/>
          <w:szCs w:val="21"/>
        </w:rPr>
        <w:t>的</w:t>
      </w:r>
      <w:r>
        <w:rPr>
          <w:rFonts w:ascii="宋体" w:hAnsi="宋体" w:cs="宋体" w:hint="eastAsia"/>
          <w:bCs/>
          <w:kern w:val="0"/>
          <w:szCs w:val="21"/>
        </w:rPr>
        <w:t>专业</w:t>
      </w:r>
      <w:r>
        <w:rPr>
          <w:rFonts w:ascii="宋体" w:hAnsi="宋体" w:cs="宋体"/>
          <w:bCs/>
          <w:kern w:val="0"/>
          <w:szCs w:val="21"/>
        </w:rPr>
        <w:t>认同感和</w:t>
      </w:r>
      <w:r>
        <w:rPr>
          <w:rFonts w:ascii="宋体" w:hAnsi="宋体" w:cs="宋体" w:hint="eastAsia"/>
          <w:bCs/>
          <w:kern w:val="0"/>
          <w:szCs w:val="21"/>
        </w:rPr>
        <w:t>学校</w:t>
      </w:r>
      <w:r>
        <w:rPr>
          <w:rFonts w:ascii="宋体" w:hAnsi="宋体" w:cs="宋体"/>
          <w:bCs/>
          <w:kern w:val="0"/>
          <w:szCs w:val="21"/>
        </w:rPr>
        <w:t>自豪感，激励学生投身到</w:t>
      </w:r>
      <w:r>
        <w:rPr>
          <w:rFonts w:ascii="宋体" w:hAnsi="宋体" w:cs="宋体" w:hint="eastAsia"/>
          <w:bCs/>
          <w:kern w:val="0"/>
          <w:szCs w:val="21"/>
        </w:rPr>
        <w:t>设施农业</w:t>
      </w:r>
      <w:r>
        <w:rPr>
          <w:rFonts w:ascii="宋体" w:hAnsi="宋体" w:cs="宋体"/>
          <w:bCs/>
          <w:kern w:val="0"/>
          <w:szCs w:val="21"/>
        </w:rPr>
        <w:t>产业发展和</w:t>
      </w:r>
      <w:r>
        <w:rPr>
          <w:rFonts w:ascii="宋体" w:hAnsi="宋体" w:cs="宋体" w:hint="eastAsia"/>
          <w:bCs/>
          <w:kern w:val="0"/>
          <w:szCs w:val="21"/>
        </w:rPr>
        <w:t>乡村振兴的事业中</w:t>
      </w:r>
      <w:r>
        <w:rPr>
          <w:rFonts w:ascii="宋体" w:hAnsi="宋体" w:cs="宋体"/>
          <w:bCs/>
          <w:kern w:val="0"/>
          <w:szCs w:val="21"/>
        </w:rPr>
        <w:t>来。</w:t>
      </w:r>
    </w:p>
    <w:p w14:paraId="0B3C6205" w14:textId="77777777" w:rsidR="00F5289E" w:rsidRDefault="00C91173">
      <w:pPr>
        <w:spacing w:line="360" w:lineRule="auto"/>
        <w:ind w:firstLineChars="200" w:firstLine="420"/>
        <w:rPr>
          <w:rFonts w:ascii="宋体" w:hAnsi="宋体"/>
          <w:szCs w:val="21"/>
        </w:rPr>
      </w:pPr>
      <w:r>
        <w:rPr>
          <w:rFonts w:ascii="宋体" w:hAnsi="宋体" w:hint="eastAsia"/>
          <w:szCs w:val="21"/>
        </w:rPr>
        <w:t>结合</w:t>
      </w:r>
      <w:r>
        <w:rPr>
          <w:rFonts w:ascii="宋体" w:hAnsi="宋体"/>
          <w:szCs w:val="21"/>
        </w:rPr>
        <w:t>知识点，</w:t>
      </w:r>
      <w:r>
        <w:rPr>
          <w:rFonts w:ascii="宋体" w:hAnsi="宋体" w:hint="eastAsia"/>
          <w:szCs w:val="21"/>
        </w:rPr>
        <w:t>挖掘</w:t>
      </w:r>
      <w:r>
        <w:rPr>
          <w:rFonts w:ascii="宋体" w:hAnsi="宋体"/>
          <w:szCs w:val="21"/>
        </w:rPr>
        <w:t>学科发展历史，</w:t>
      </w:r>
      <w:r>
        <w:rPr>
          <w:rFonts w:ascii="宋体" w:hAnsi="宋体" w:hint="eastAsia"/>
          <w:szCs w:val="21"/>
        </w:rPr>
        <w:t>向学生们</w:t>
      </w:r>
      <w:r>
        <w:rPr>
          <w:rFonts w:ascii="宋体" w:hAnsi="宋体"/>
          <w:szCs w:val="21"/>
        </w:rPr>
        <w:t>展示</w:t>
      </w:r>
      <w:r>
        <w:rPr>
          <w:rFonts w:ascii="宋体" w:hAnsi="宋体" w:hint="eastAsia"/>
          <w:szCs w:val="21"/>
        </w:rPr>
        <w:t>相关科学家对</w:t>
      </w:r>
      <w:r>
        <w:rPr>
          <w:rFonts w:ascii="宋体" w:hAnsi="宋体"/>
          <w:szCs w:val="21"/>
        </w:rPr>
        <w:t>所讲</w:t>
      </w:r>
      <w:r>
        <w:rPr>
          <w:rFonts w:ascii="宋体" w:hAnsi="宋体" w:hint="eastAsia"/>
          <w:szCs w:val="21"/>
        </w:rPr>
        <w:t>内容</w:t>
      </w:r>
      <w:r>
        <w:rPr>
          <w:rFonts w:ascii="宋体" w:hAnsi="宋体"/>
          <w:szCs w:val="21"/>
        </w:rPr>
        <w:t>的贡献和</w:t>
      </w:r>
      <w:r>
        <w:rPr>
          <w:rFonts w:ascii="宋体" w:hAnsi="宋体" w:hint="eastAsia"/>
          <w:szCs w:val="21"/>
        </w:rPr>
        <w:t>探索进程中</w:t>
      </w:r>
      <w:r>
        <w:rPr>
          <w:rFonts w:ascii="宋体" w:hAnsi="宋体"/>
          <w:szCs w:val="21"/>
        </w:rPr>
        <w:t>的故事，</w:t>
      </w:r>
      <w:r>
        <w:rPr>
          <w:rFonts w:ascii="宋体" w:hAnsi="宋体" w:hint="eastAsia"/>
          <w:szCs w:val="21"/>
        </w:rPr>
        <w:t>学生们能够</w:t>
      </w:r>
      <w:r>
        <w:rPr>
          <w:rFonts w:ascii="宋体" w:hAnsi="宋体"/>
          <w:szCs w:val="21"/>
        </w:rPr>
        <w:t>感受到科学家们</w:t>
      </w:r>
      <w:r>
        <w:rPr>
          <w:rFonts w:ascii="宋体" w:hAnsi="宋体" w:hint="eastAsia"/>
          <w:szCs w:val="21"/>
        </w:rPr>
        <w:t>爱国、创新、求实、奉献、协同、育人的新时代科学家精神</w:t>
      </w:r>
      <w:r>
        <w:rPr>
          <w:rFonts w:ascii="宋体" w:hAnsi="宋体"/>
          <w:szCs w:val="21"/>
        </w:rPr>
        <w:t>，</w:t>
      </w:r>
      <w:r>
        <w:rPr>
          <w:rFonts w:ascii="宋体" w:hAnsi="宋体" w:hint="eastAsia"/>
          <w:szCs w:val="21"/>
        </w:rPr>
        <w:t>从而引导和激励学生</w:t>
      </w:r>
      <w:r>
        <w:rPr>
          <w:rFonts w:ascii="宋体" w:hAnsi="宋体"/>
          <w:szCs w:val="21"/>
        </w:rPr>
        <w:t>们</w:t>
      </w:r>
      <w:r>
        <w:rPr>
          <w:rFonts w:ascii="宋体" w:hAnsi="宋体" w:hint="eastAsia"/>
          <w:szCs w:val="21"/>
        </w:rPr>
        <w:t>学习先辈，将报国之志、爱国之情转化为实际行动，投身创新实践的工作中</w:t>
      </w:r>
      <w:r>
        <w:rPr>
          <w:rFonts w:ascii="宋体" w:hAnsi="宋体"/>
          <w:szCs w:val="21"/>
        </w:rPr>
        <w:t>去</w:t>
      </w:r>
      <w:r>
        <w:rPr>
          <w:rFonts w:ascii="宋体" w:hAnsi="宋体" w:hint="eastAsia"/>
          <w:szCs w:val="21"/>
        </w:rPr>
        <w:t>。例如</w:t>
      </w:r>
      <w:r>
        <w:rPr>
          <w:rFonts w:ascii="宋体" w:hAnsi="宋体"/>
          <w:szCs w:val="21"/>
        </w:rPr>
        <w:t>，</w:t>
      </w:r>
      <w:r>
        <w:rPr>
          <w:rFonts w:ascii="宋体" w:hAnsi="宋体" w:hint="eastAsia"/>
          <w:szCs w:val="21"/>
        </w:rPr>
        <w:t>在农业</w:t>
      </w:r>
      <w:r>
        <w:rPr>
          <w:rFonts w:ascii="宋体" w:hAnsi="宋体"/>
          <w:szCs w:val="21"/>
        </w:rPr>
        <w:t>设施工程学课程中前屋面角</w:t>
      </w:r>
      <w:r>
        <w:rPr>
          <w:rFonts w:ascii="宋体" w:hAnsi="宋体" w:hint="eastAsia"/>
          <w:szCs w:val="21"/>
        </w:rPr>
        <w:t>合理取值</w:t>
      </w:r>
      <w:r>
        <w:rPr>
          <w:rFonts w:ascii="宋体" w:hAnsi="宋体"/>
          <w:szCs w:val="21"/>
        </w:rPr>
        <w:t>的</w:t>
      </w:r>
      <w:r>
        <w:rPr>
          <w:rFonts w:ascii="宋体" w:hAnsi="宋体" w:hint="eastAsia"/>
          <w:szCs w:val="21"/>
        </w:rPr>
        <w:t>推导</w:t>
      </w:r>
      <w:r>
        <w:rPr>
          <w:rFonts w:ascii="宋体" w:hAnsi="宋体"/>
          <w:szCs w:val="21"/>
        </w:rPr>
        <w:t>过程，经过了</w:t>
      </w:r>
      <w:r>
        <w:rPr>
          <w:rFonts w:ascii="宋体" w:hAnsi="宋体" w:hint="eastAsia"/>
          <w:szCs w:val="21"/>
        </w:rPr>
        <w:t>几代</w:t>
      </w:r>
      <w:r>
        <w:rPr>
          <w:rFonts w:ascii="宋体" w:hAnsi="宋体"/>
          <w:szCs w:val="21"/>
        </w:rPr>
        <w:t>科技工作者</w:t>
      </w:r>
      <w:r>
        <w:rPr>
          <w:rFonts w:ascii="宋体" w:hAnsi="宋体" w:hint="eastAsia"/>
          <w:szCs w:val="21"/>
        </w:rPr>
        <w:t>的</w:t>
      </w:r>
      <w:r>
        <w:rPr>
          <w:rFonts w:ascii="宋体" w:hAnsi="宋体"/>
          <w:szCs w:val="21"/>
        </w:rPr>
        <w:t>探索，提出了合理采光</w:t>
      </w:r>
      <w:r>
        <w:rPr>
          <w:rFonts w:ascii="宋体" w:hAnsi="宋体" w:hint="eastAsia"/>
          <w:szCs w:val="21"/>
        </w:rPr>
        <w:t>理论。</w:t>
      </w:r>
      <w:r>
        <w:rPr>
          <w:rFonts w:ascii="宋体" w:hAnsi="宋体"/>
          <w:szCs w:val="21"/>
        </w:rPr>
        <w:t>在</w:t>
      </w:r>
      <w:r>
        <w:rPr>
          <w:rFonts w:ascii="宋体" w:hAnsi="宋体" w:hint="eastAsia"/>
          <w:szCs w:val="21"/>
        </w:rPr>
        <w:t>学习</w:t>
      </w:r>
      <w:r>
        <w:rPr>
          <w:rFonts w:ascii="宋体" w:hAnsi="宋体"/>
          <w:szCs w:val="21"/>
        </w:rPr>
        <w:t>中</w:t>
      </w:r>
      <w:r>
        <w:rPr>
          <w:rFonts w:ascii="宋体" w:hAnsi="宋体" w:hint="eastAsia"/>
          <w:szCs w:val="21"/>
        </w:rPr>
        <w:t>教师</w:t>
      </w:r>
      <w:r>
        <w:rPr>
          <w:rFonts w:ascii="宋体" w:hAnsi="宋体"/>
          <w:szCs w:val="21"/>
        </w:rPr>
        <w:t>点明</w:t>
      </w:r>
      <w:r>
        <w:rPr>
          <w:rFonts w:ascii="宋体" w:hAnsi="宋体" w:hint="eastAsia"/>
          <w:szCs w:val="21"/>
        </w:rPr>
        <w:t>探索真理</w:t>
      </w:r>
      <w:r>
        <w:rPr>
          <w:rFonts w:ascii="宋体" w:hAnsi="宋体"/>
          <w:szCs w:val="21"/>
        </w:rPr>
        <w:t>的</w:t>
      </w:r>
      <w:r>
        <w:rPr>
          <w:rFonts w:ascii="宋体" w:hAnsi="宋体" w:hint="eastAsia"/>
          <w:szCs w:val="21"/>
        </w:rPr>
        <w:t>过程</w:t>
      </w:r>
      <w:r>
        <w:rPr>
          <w:rFonts w:ascii="宋体" w:hAnsi="宋体"/>
          <w:szCs w:val="21"/>
        </w:rPr>
        <w:t>总是曲折而坎坷的，</w:t>
      </w:r>
      <w:r>
        <w:rPr>
          <w:rFonts w:ascii="宋体" w:hAnsi="宋体" w:hint="eastAsia"/>
          <w:szCs w:val="21"/>
        </w:rPr>
        <w:t>引导同学们认识</w:t>
      </w:r>
      <w:r>
        <w:rPr>
          <w:rFonts w:ascii="宋体" w:hAnsi="宋体"/>
          <w:szCs w:val="21"/>
        </w:rPr>
        <w:t>追求真理的途径是</w:t>
      </w:r>
      <w:r>
        <w:rPr>
          <w:rFonts w:ascii="宋体" w:hAnsi="宋体" w:hint="eastAsia"/>
          <w:szCs w:val="21"/>
        </w:rPr>
        <w:t>立足已有知识</w:t>
      </w:r>
      <w:r>
        <w:rPr>
          <w:rFonts w:ascii="宋体" w:hAnsi="宋体"/>
          <w:szCs w:val="21"/>
        </w:rPr>
        <w:t>-大胆质疑</w:t>
      </w:r>
      <w:r>
        <w:rPr>
          <w:rFonts w:ascii="宋体" w:hAnsi="宋体" w:hint="eastAsia"/>
          <w:szCs w:val="21"/>
        </w:rPr>
        <w:t>-探寻</w:t>
      </w:r>
      <w:r>
        <w:rPr>
          <w:rFonts w:ascii="宋体" w:hAnsi="宋体"/>
          <w:szCs w:val="21"/>
        </w:rPr>
        <w:t>方法-勇于实践</w:t>
      </w:r>
      <w:r>
        <w:rPr>
          <w:rFonts w:ascii="宋体" w:hAnsi="宋体" w:hint="eastAsia"/>
          <w:szCs w:val="21"/>
        </w:rPr>
        <w:t>，</w:t>
      </w:r>
      <w:r>
        <w:rPr>
          <w:rFonts w:ascii="宋体" w:hAnsi="宋体"/>
          <w:szCs w:val="21"/>
        </w:rPr>
        <w:t>向同学们宣传</w:t>
      </w:r>
      <w:r>
        <w:rPr>
          <w:rFonts w:ascii="宋体" w:hAnsi="宋体" w:hint="eastAsia"/>
          <w:szCs w:val="21"/>
        </w:rPr>
        <w:t>科学家们</w:t>
      </w:r>
      <w:r>
        <w:rPr>
          <w:rFonts w:ascii="宋体" w:hAnsi="宋体"/>
          <w:szCs w:val="21"/>
        </w:rPr>
        <w:t>不断求真和</w:t>
      </w:r>
      <w:r>
        <w:rPr>
          <w:rFonts w:ascii="宋体" w:hAnsi="宋体" w:hint="eastAsia"/>
          <w:szCs w:val="21"/>
        </w:rPr>
        <w:t>勇于</w:t>
      </w:r>
      <w:r>
        <w:rPr>
          <w:rFonts w:ascii="宋体" w:hAnsi="宋体"/>
          <w:szCs w:val="21"/>
        </w:rPr>
        <w:t>创新的</w:t>
      </w:r>
      <w:r>
        <w:rPr>
          <w:rFonts w:ascii="宋体" w:hAnsi="宋体" w:hint="eastAsia"/>
          <w:szCs w:val="21"/>
        </w:rPr>
        <w:t>精神</w:t>
      </w:r>
      <w:r>
        <w:rPr>
          <w:rFonts w:ascii="宋体" w:hAnsi="宋体"/>
          <w:szCs w:val="21"/>
        </w:rPr>
        <w:t>，</w:t>
      </w:r>
      <w:r>
        <w:rPr>
          <w:rFonts w:ascii="宋体" w:hAnsi="宋体" w:hint="eastAsia"/>
          <w:szCs w:val="21"/>
        </w:rPr>
        <w:t>加深</w:t>
      </w:r>
      <w:r>
        <w:rPr>
          <w:rFonts w:ascii="宋体" w:hAnsi="宋体"/>
          <w:szCs w:val="21"/>
        </w:rPr>
        <w:t>学生们的印象。</w:t>
      </w:r>
    </w:p>
    <w:p w14:paraId="26891DA1"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我国</w:t>
      </w:r>
      <w:r>
        <w:rPr>
          <w:rFonts w:ascii="宋体" w:hAnsi="宋体"/>
          <w:szCs w:val="21"/>
        </w:rPr>
        <w:t>经过</w:t>
      </w:r>
      <w:r>
        <w:rPr>
          <w:rFonts w:ascii="宋体" w:hAnsi="宋体" w:hint="eastAsia"/>
          <w:szCs w:val="21"/>
        </w:rPr>
        <w:t>70年</w:t>
      </w:r>
      <w:r>
        <w:rPr>
          <w:rFonts w:ascii="宋体" w:hAnsi="宋体"/>
          <w:szCs w:val="21"/>
        </w:rPr>
        <w:t>的发展，</w:t>
      </w:r>
      <w:r>
        <w:rPr>
          <w:rFonts w:ascii="宋体" w:hAnsi="宋体" w:hint="eastAsia"/>
          <w:szCs w:val="21"/>
        </w:rPr>
        <w:t>经济实力</w:t>
      </w:r>
      <w:r>
        <w:rPr>
          <w:rFonts w:ascii="宋体" w:hAnsi="宋体"/>
          <w:szCs w:val="21"/>
        </w:rPr>
        <w:t>和生产水平均已取得了长足进步，</w:t>
      </w:r>
      <w:r>
        <w:rPr>
          <w:rFonts w:ascii="宋体" w:hAnsi="宋体" w:hint="eastAsia"/>
          <w:szCs w:val="21"/>
        </w:rPr>
        <w:t>在</w:t>
      </w:r>
      <w:r>
        <w:rPr>
          <w:rFonts w:ascii="宋体" w:hAnsi="宋体"/>
          <w:szCs w:val="21"/>
        </w:rPr>
        <w:t>专业课程中</w:t>
      </w:r>
      <w:r>
        <w:rPr>
          <w:rFonts w:ascii="宋体" w:hAnsi="宋体" w:hint="eastAsia"/>
          <w:szCs w:val="21"/>
        </w:rPr>
        <w:t>应加强对国内相关行业</w:t>
      </w:r>
      <w:r>
        <w:rPr>
          <w:rFonts w:ascii="宋体" w:hAnsi="宋体"/>
          <w:szCs w:val="21"/>
        </w:rPr>
        <w:t>和技术发展</w:t>
      </w:r>
      <w:r>
        <w:rPr>
          <w:rFonts w:ascii="宋体" w:hAnsi="宋体" w:hint="eastAsia"/>
          <w:szCs w:val="21"/>
        </w:rPr>
        <w:t>的</w:t>
      </w:r>
      <w:r>
        <w:rPr>
          <w:rFonts w:ascii="宋体" w:hAnsi="宋体"/>
          <w:szCs w:val="21"/>
        </w:rPr>
        <w:t>宣传，</w:t>
      </w:r>
      <w:r>
        <w:rPr>
          <w:rFonts w:ascii="宋体" w:hAnsi="宋体" w:hint="eastAsia"/>
          <w:szCs w:val="21"/>
        </w:rPr>
        <w:t>让</w:t>
      </w:r>
      <w:r>
        <w:rPr>
          <w:rFonts w:ascii="宋体" w:hAnsi="宋体"/>
          <w:szCs w:val="21"/>
        </w:rPr>
        <w:t>学生感受到行业的发展和进步，</w:t>
      </w:r>
      <w:r>
        <w:rPr>
          <w:rFonts w:ascii="宋体" w:hAnsi="宋体" w:hint="eastAsia"/>
          <w:szCs w:val="21"/>
        </w:rPr>
        <w:t>增强</w:t>
      </w:r>
      <w:r>
        <w:rPr>
          <w:rFonts w:ascii="宋体" w:hAnsi="宋体"/>
          <w:szCs w:val="21"/>
        </w:rPr>
        <w:t>学生的民族</w:t>
      </w:r>
      <w:r>
        <w:rPr>
          <w:rFonts w:ascii="宋体" w:hAnsi="宋体" w:hint="eastAsia"/>
          <w:szCs w:val="21"/>
        </w:rPr>
        <w:t>自信心</w:t>
      </w:r>
      <w:r>
        <w:rPr>
          <w:rFonts w:ascii="宋体" w:hAnsi="宋体"/>
          <w:szCs w:val="21"/>
        </w:rPr>
        <w:t>和自豪感</w:t>
      </w:r>
      <w:r>
        <w:rPr>
          <w:rFonts w:ascii="宋体" w:hAnsi="宋体" w:hint="eastAsia"/>
          <w:szCs w:val="21"/>
        </w:rPr>
        <w:t>，</w:t>
      </w:r>
      <w:r>
        <w:rPr>
          <w:rFonts w:ascii="宋体" w:hAnsi="宋体"/>
          <w:szCs w:val="21"/>
        </w:rPr>
        <w:t>从而</w:t>
      </w:r>
      <w:r>
        <w:rPr>
          <w:rFonts w:ascii="宋体" w:hAnsi="宋体" w:hint="eastAsia"/>
          <w:szCs w:val="21"/>
        </w:rPr>
        <w:t>更加</w:t>
      </w:r>
      <w:r>
        <w:rPr>
          <w:rFonts w:ascii="宋体" w:hAnsi="宋体"/>
          <w:szCs w:val="21"/>
        </w:rPr>
        <w:t>自强不息，奋发向上。</w:t>
      </w:r>
      <w:r>
        <w:rPr>
          <w:rFonts w:ascii="宋体" w:hAnsi="宋体" w:hint="eastAsia"/>
          <w:szCs w:val="21"/>
        </w:rPr>
        <w:t>例如</w:t>
      </w:r>
      <w:r>
        <w:rPr>
          <w:rFonts w:ascii="宋体" w:hAnsi="宋体"/>
          <w:szCs w:val="21"/>
        </w:rPr>
        <w:t>，</w:t>
      </w:r>
      <w:r>
        <w:rPr>
          <w:rFonts w:ascii="宋体" w:hAnsi="宋体" w:hint="eastAsia"/>
          <w:szCs w:val="21"/>
        </w:rPr>
        <w:t>在农业</w:t>
      </w:r>
      <w:r>
        <w:rPr>
          <w:rFonts w:ascii="宋体" w:hAnsi="宋体"/>
          <w:szCs w:val="21"/>
        </w:rPr>
        <w:t>设施工程学课程中</w:t>
      </w:r>
      <w:r>
        <w:rPr>
          <w:rFonts w:ascii="宋体" w:hAnsi="宋体" w:hint="eastAsia"/>
          <w:szCs w:val="21"/>
        </w:rPr>
        <w:t>讲到</w:t>
      </w:r>
      <w:r>
        <w:rPr>
          <w:rFonts w:ascii="宋体" w:hAnsi="宋体"/>
          <w:szCs w:val="21"/>
        </w:rPr>
        <w:t>日光温室这种园艺设施时，</w:t>
      </w:r>
      <w:r>
        <w:rPr>
          <w:rFonts w:ascii="宋体" w:hAnsi="宋体" w:hint="eastAsia"/>
          <w:szCs w:val="21"/>
        </w:rPr>
        <w:t>强调它是</w:t>
      </w:r>
      <w:r>
        <w:rPr>
          <w:rFonts w:ascii="宋体" w:hAnsi="宋体"/>
          <w:szCs w:val="21"/>
        </w:rPr>
        <w:t>具有中国特色的温室类型，适合中国国情，对解决我国北方蔬菜周年供应发挥了</w:t>
      </w:r>
      <w:r>
        <w:rPr>
          <w:rFonts w:ascii="宋体" w:hAnsi="宋体" w:hint="eastAsia"/>
          <w:szCs w:val="21"/>
        </w:rPr>
        <w:t>重要</w:t>
      </w:r>
      <w:r>
        <w:rPr>
          <w:rFonts w:ascii="宋体" w:hAnsi="宋体"/>
          <w:szCs w:val="21"/>
        </w:rPr>
        <w:t>作用</w:t>
      </w:r>
      <w:r>
        <w:rPr>
          <w:rFonts w:ascii="宋体" w:hAnsi="宋体" w:hint="eastAsia"/>
          <w:szCs w:val="21"/>
        </w:rPr>
        <w:t>。也正是</w:t>
      </w:r>
      <w:r>
        <w:rPr>
          <w:rFonts w:ascii="宋体" w:hAnsi="宋体"/>
          <w:szCs w:val="21"/>
        </w:rPr>
        <w:t>因为</w:t>
      </w:r>
      <w:r>
        <w:rPr>
          <w:rFonts w:ascii="宋体" w:hAnsi="宋体" w:hint="eastAsia"/>
          <w:szCs w:val="21"/>
        </w:rPr>
        <w:t>适应</w:t>
      </w:r>
      <w:r>
        <w:rPr>
          <w:rFonts w:ascii="宋体" w:hAnsi="宋体"/>
          <w:szCs w:val="21"/>
        </w:rPr>
        <w:t>中国国情，得以蓬勃发展</w:t>
      </w:r>
      <w:r>
        <w:rPr>
          <w:rFonts w:ascii="宋体" w:hAnsi="宋体" w:hint="eastAsia"/>
          <w:szCs w:val="21"/>
        </w:rPr>
        <w:t>，</w:t>
      </w:r>
      <w:r>
        <w:rPr>
          <w:rFonts w:ascii="宋体" w:hAnsi="宋体"/>
          <w:szCs w:val="21"/>
        </w:rPr>
        <w:t>并不是外国的月亮一定圆。在农业设施工程学课程中常常存在</w:t>
      </w:r>
      <w:r>
        <w:rPr>
          <w:rFonts w:ascii="宋体" w:hAnsi="宋体" w:hint="eastAsia"/>
          <w:szCs w:val="21"/>
        </w:rPr>
        <w:t>会一些材料、设施和设备是从国外引进的情况，这时要引导学生正视这样的情况，引进国外的技术后要积极研究和实践，结合中国的国情，改良创新，获取自主的知识产权，并激励学生积极的投入到这样的工作中来。</w:t>
      </w:r>
    </w:p>
    <w:p w14:paraId="75426BB9" w14:textId="77777777" w:rsidR="00F5289E" w:rsidRDefault="00C91173">
      <w:pPr>
        <w:spacing w:line="360" w:lineRule="auto"/>
        <w:ind w:firstLineChars="200" w:firstLine="420"/>
        <w:rPr>
          <w:rFonts w:ascii="宋体" w:hAnsi="宋体"/>
          <w:szCs w:val="21"/>
        </w:rPr>
      </w:pPr>
      <w:r>
        <w:rPr>
          <w:rFonts w:ascii="宋体" w:hAnsi="宋体" w:hint="eastAsia"/>
          <w:szCs w:val="21"/>
        </w:rPr>
        <w:t>以</w:t>
      </w:r>
      <w:r>
        <w:rPr>
          <w:rFonts w:ascii="宋体" w:hAnsi="宋体"/>
          <w:szCs w:val="21"/>
        </w:rPr>
        <w:t>马克思</w:t>
      </w:r>
      <w:r>
        <w:rPr>
          <w:rFonts w:ascii="宋体" w:hAnsi="宋体" w:hint="eastAsia"/>
          <w:szCs w:val="21"/>
        </w:rPr>
        <w:t>主义</w:t>
      </w:r>
      <w:r>
        <w:rPr>
          <w:rFonts w:ascii="宋体" w:hAnsi="宋体"/>
          <w:szCs w:val="21"/>
        </w:rPr>
        <w:t>哲学观点审视学科的发展</w:t>
      </w:r>
      <w:r>
        <w:rPr>
          <w:rFonts w:ascii="宋体" w:hAnsi="宋体" w:hint="eastAsia"/>
          <w:szCs w:val="21"/>
        </w:rPr>
        <w:t>进程和知识点</w:t>
      </w:r>
      <w:r>
        <w:rPr>
          <w:rFonts w:ascii="宋体" w:hAnsi="宋体"/>
          <w:szCs w:val="21"/>
        </w:rPr>
        <w:t>内容，发现</w:t>
      </w:r>
      <w:r>
        <w:rPr>
          <w:rFonts w:ascii="宋体" w:hAnsi="宋体" w:hint="eastAsia"/>
          <w:szCs w:val="21"/>
        </w:rPr>
        <w:t>整体</w:t>
      </w:r>
      <w:r>
        <w:rPr>
          <w:rFonts w:ascii="宋体" w:hAnsi="宋体"/>
          <w:szCs w:val="21"/>
        </w:rPr>
        <w:t>与部分的关系、质变和量变</w:t>
      </w:r>
      <w:r>
        <w:rPr>
          <w:rFonts w:ascii="宋体" w:hAnsi="宋体" w:hint="eastAsia"/>
          <w:szCs w:val="21"/>
        </w:rPr>
        <w:t>、主要矛盾</w:t>
      </w:r>
      <w:r>
        <w:rPr>
          <w:rFonts w:ascii="宋体" w:hAnsi="宋体"/>
          <w:szCs w:val="21"/>
        </w:rPr>
        <w:t>和次要矛盾等马克思</w:t>
      </w:r>
      <w:r>
        <w:rPr>
          <w:rFonts w:ascii="宋体" w:hAnsi="宋体" w:hint="eastAsia"/>
          <w:szCs w:val="21"/>
        </w:rPr>
        <w:t>主义</w:t>
      </w:r>
      <w:r>
        <w:rPr>
          <w:rFonts w:ascii="宋体" w:hAnsi="宋体"/>
          <w:szCs w:val="21"/>
        </w:rPr>
        <w:t>世界观和方法论</w:t>
      </w:r>
      <w:r>
        <w:rPr>
          <w:rFonts w:ascii="宋体" w:hAnsi="宋体" w:hint="eastAsia"/>
          <w:szCs w:val="21"/>
        </w:rPr>
        <w:t>蕴含于</w:t>
      </w:r>
      <w:r>
        <w:rPr>
          <w:rFonts w:ascii="宋体" w:hAnsi="宋体"/>
          <w:szCs w:val="21"/>
        </w:rPr>
        <w:t>专业知识</w:t>
      </w:r>
      <w:r>
        <w:rPr>
          <w:rFonts w:ascii="宋体" w:hAnsi="宋体" w:hint="eastAsia"/>
          <w:szCs w:val="21"/>
        </w:rPr>
        <w:t>的探索</w:t>
      </w:r>
      <w:r>
        <w:rPr>
          <w:rFonts w:ascii="宋体" w:hAnsi="宋体"/>
          <w:szCs w:val="21"/>
        </w:rPr>
        <w:t>发展进程</w:t>
      </w:r>
      <w:r>
        <w:rPr>
          <w:rFonts w:ascii="宋体" w:hAnsi="宋体" w:hint="eastAsia"/>
          <w:szCs w:val="21"/>
        </w:rPr>
        <w:t>中</w:t>
      </w:r>
      <w:r>
        <w:rPr>
          <w:rFonts w:ascii="宋体" w:hAnsi="宋体"/>
          <w:szCs w:val="21"/>
        </w:rPr>
        <w:t>，都是马克思</w:t>
      </w:r>
      <w:r>
        <w:rPr>
          <w:rFonts w:ascii="宋体" w:hAnsi="宋体" w:hint="eastAsia"/>
          <w:szCs w:val="21"/>
        </w:rPr>
        <w:t>主义哲学</w:t>
      </w:r>
      <w:r>
        <w:rPr>
          <w:rFonts w:ascii="宋体" w:hAnsi="宋体"/>
          <w:szCs w:val="21"/>
        </w:rPr>
        <w:t>观点的实证和案例，</w:t>
      </w:r>
      <w:r>
        <w:rPr>
          <w:rFonts w:ascii="宋体" w:hAnsi="宋体" w:hint="eastAsia"/>
          <w:szCs w:val="21"/>
        </w:rPr>
        <w:t>将其</w:t>
      </w:r>
      <w:r>
        <w:rPr>
          <w:rFonts w:ascii="宋体" w:hAnsi="宋体"/>
          <w:szCs w:val="21"/>
        </w:rPr>
        <w:t>作为</w:t>
      </w:r>
      <w:r>
        <w:rPr>
          <w:rFonts w:ascii="宋体" w:hAnsi="宋体" w:hint="eastAsia"/>
          <w:szCs w:val="21"/>
        </w:rPr>
        <w:t>知识点</w:t>
      </w:r>
      <w:r>
        <w:rPr>
          <w:rFonts w:ascii="宋体" w:hAnsi="宋体"/>
          <w:szCs w:val="21"/>
        </w:rPr>
        <w:t>的点睛之笔，</w:t>
      </w:r>
      <w:r>
        <w:rPr>
          <w:rFonts w:ascii="宋体" w:hAnsi="宋体" w:hint="eastAsia"/>
          <w:szCs w:val="21"/>
        </w:rPr>
        <w:t>既可</w:t>
      </w:r>
      <w:r>
        <w:rPr>
          <w:rFonts w:ascii="宋体" w:hAnsi="宋体"/>
          <w:szCs w:val="21"/>
        </w:rPr>
        <w:t>清楚</w:t>
      </w:r>
      <w:r>
        <w:rPr>
          <w:rFonts w:ascii="宋体" w:hAnsi="宋体" w:hint="eastAsia"/>
          <w:szCs w:val="21"/>
        </w:rPr>
        <w:t>明了</w:t>
      </w:r>
      <w:r>
        <w:rPr>
          <w:rFonts w:ascii="宋体" w:hAnsi="宋体"/>
          <w:szCs w:val="21"/>
        </w:rPr>
        <w:t>的阐明知识点之间的关系和内涵，又能加深</w:t>
      </w:r>
      <w:r>
        <w:rPr>
          <w:rFonts w:ascii="宋体" w:hAnsi="宋体" w:hint="eastAsia"/>
          <w:szCs w:val="21"/>
        </w:rPr>
        <w:t>学生</w:t>
      </w:r>
      <w:r>
        <w:rPr>
          <w:rFonts w:ascii="宋体" w:hAnsi="宋体"/>
          <w:szCs w:val="21"/>
        </w:rPr>
        <w:t>对哲学理论的</w:t>
      </w:r>
      <w:r>
        <w:rPr>
          <w:rFonts w:ascii="宋体" w:hAnsi="宋体" w:hint="eastAsia"/>
          <w:szCs w:val="21"/>
        </w:rPr>
        <w:t>认知</w:t>
      </w:r>
      <w:r>
        <w:rPr>
          <w:rFonts w:ascii="宋体" w:hAnsi="宋体"/>
          <w:szCs w:val="21"/>
        </w:rPr>
        <w:t>和应用</w:t>
      </w:r>
      <w:r>
        <w:rPr>
          <w:rFonts w:ascii="宋体" w:hAnsi="宋体" w:hint="eastAsia"/>
          <w:szCs w:val="21"/>
        </w:rPr>
        <w:t>，帮助学生进一步</w:t>
      </w:r>
      <w:r>
        <w:rPr>
          <w:rFonts w:ascii="宋体" w:hAnsi="宋体"/>
          <w:szCs w:val="21"/>
        </w:rPr>
        <w:t>建立正确的世界观和方法论</w:t>
      </w:r>
      <w:r>
        <w:rPr>
          <w:rFonts w:ascii="宋体" w:hAnsi="宋体" w:hint="eastAsia"/>
          <w:szCs w:val="21"/>
        </w:rPr>
        <w:t>。例如，</w:t>
      </w:r>
      <w:r>
        <w:rPr>
          <w:rFonts w:ascii="宋体" w:hAnsi="宋体"/>
          <w:szCs w:val="21"/>
        </w:rPr>
        <w:t>在</w:t>
      </w:r>
      <w:r>
        <w:rPr>
          <w:rFonts w:ascii="宋体" w:hAnsi="宋体" w:hint="eastAsia"/>
          <w:szCs w:val="21"/>
        </w:rPr>
        <w:t>农业</w:t>
      </w:r>
      <w:r>
        <w:rPr>
          <w:rFonts w:ascii="宋体" w:hAnsi="宋体"/>
          <w:szCs w:val="21"/>
        </w:rPr>
        <w:t>设施工程学日光温室采光设计一节中，教材中所讲到的</w:t>
      </w:r>
      <w:r>
        <w:rPr>
          <w:rFonts w:ascii="宋体" w:hAnsi="宋体" w:hint="eastAsia"/>
          <w:szCs w:val="21"/>
        </w:rPr>
        <w:t>采光</w:t>
      </w:r>
      <w:r>
        <w:rPr>
          <w:rFonts w:ascii="宋体" w:hAnsi="宋体"/>
          <w:szCs w:val="21"/>
        </w:rPr>
        <w:t>设计理论是多方</w:t>
      </w:r>
      <w:r>
        <w:rPr>
          <w:rFonts w:ascii="宋体" w:hAnsi="宋体"/>
          <w:szCs w:val="21"/>
        </w:rPr>
        <w:lastRenderedPageBreak/>
        <w:t>权衡后得到的结果，具有一般的适应性，但是</w:t>
      </w:r>
      <w:r>
        <w:rPr>
          <w:rFonts w:ascii="宋体" w:hAnsi="宋体" w:hint="eastAsia"/>
          <w:szCs w:val="21"/>
        </w:rPr>
        <w:t>日光温室</w:t>
      </w:r>
      <w:r>
        <w:rPr>
          <w:rFonts w:ascii="宋体" w:hAnsi="宋体"/>
          <w:szCs w:val="21"/>
        </w:rPr>
        <w:t>在生产中</w:t>
      </w:r>
      <w:r>
        <w:rPr>
          <w:rFonts w:ascii="宋体" w:hAnsi="宋体" w:hint="eastAsia"/>
          <w:szCs w:val="21"/>
        </w:rPr>
        <w:t>仍存在低温</w:t>
      </w:r>
      <w:r>
        <w:rPr>
          <w:rFonts w:ascii="宋体" w:hAnsi="宋体"/>
          <w:szCs w:val="21"/>
        </w:rPr>
        <w:t>弱光、夏季后屋面遮荫等问题</w:t>
      </w:r>
      <w:r>
        <w:rPr>
          <w:rFonts w:ascii="宋体" w:hAnsi="宋体" w:hint="eastAsia"/>
          <w:szCs w:val="21"/>
        </w:rPr>
        <w:t>。</w:t>
      </w:r>
      <w:r>
        <w:rPr>
          <w:rFonts w:ascii="宋体" w:hAnsi="宋体"/>
          <w:szCs w:val="21"/>
        </w:rPr>
        <w:t>在教学中</w:t>
      </w:r>
      <w:r>
        <w:rPr>
          <w:rFonts w:ascii="宋体" w:hAnsi="宋体" w:hint="eastAsia"/>
          <w:szCs w:val="21"/>
        </w:rPr>
        <w:t>，既要</w:t>
      </w:r>
      <w:r>
        <w:rPr>
          <w:rFonts w:ascii="宋体" w:hAnsi="宋体"/>
          <w:szCs w:val="21"/>
        </w:rPr>
        <w:t>锻炼学生的批判性思维，</w:t>
      </w:r>
      <w:r>
        <w:rPr>
          <w:rFonts w:ascii="宋体" w:hAnsi="宋体" w:hint="eastAsia"/>
          <w:szCs w:val="21"/>
        </w:rPr>
        <w:t>让学生</w:t>
      </w:r>
      <w:r>
        <w:rPr>
          <w:rFonts w:ascii="宋体" w:hAnsi="宋体"/>
          <w:szCs w:val="21"/>
        </w:rPr>
        <w:t>认识到日光温室采光设计理论的局限性，</w:t>
      </w:r>
      <w:r>
        <w:rPr>
          <w:rFonts w:ascii="宋体" w:hAnsi="宋体" w:hint="eastAsia"/>
          <w:szCs w:val="21"/>
        </w:rPr>
        <w:t>又应</w:t>
      </w:r>
      <w:r>
        <w:rPr>
          <w:rFonts w:ascii="宋体" w:hAnsi="宋体"/>
          <w:szCs w:val="21"/>
        </w:rPr>
        <w:t>引导学生</w:t>
      </w:r>
      <w:r>
        <w:rPr>
          <w:rFonts w:ascii="宋体" w:hAnsi="宋体" w:hint="eastAsia"/>
          <w:szCs w:val="21"/>
        </w:rPr>
        <w:t>清楚当前设计理论</w:t>
      </w:r>
      <w:r>
        <w:rPr>
          <w:rFonts w:ascii="宋体" w:hAnsi="宋体"/>
          <w:szCs w:val="21"/>
        </w:rPr>
        <w:t>的普遍适应性</w:t>
      </w:r>
      <w:r>
        <w:rPr>
          <w:rFonts w:ascii="宋体" w:hAnsi="宋体" w:hint="eastAsia"/>
          <w:szCs w:val="21"/>
        </w:rPr>
        <w:t>。</w:t>
      </w:r>
      <w:r>
        <w:rPr>
          <w:rFonts w:ascii="宋体" w:hAnsi="宋体"/>
          <w:szCs w:val="21"/>
        </w:rPr>
        <w:t>利用</w:t>
      </w:r>
      <w:r>
        <w:rPr>
          <w:rFonts w:ascii="宋体" w:hAnsi="宋体" w:hint="eastAsia"/>
          <w:szCs w:val="21"/>
        </w:rPr>
        <w:t>全面</w:t>
      </w:r>
      <w:r>
        <w:rPr>
          <w:rFonts w:ascii="宋体" w:hAnsi="宋体"/>
          <w:szCs w:val="21"/>
        </w:rPr>
        <w:t>看待问题，抓住主要矛盾的</w:t>
      </w:r>
      <w:r>
        <w:rPr>
          <w:rFonts w:ascii="宋体" w:hAnsi="宋体" w:hint="eastAsia"/>
          <w:szCs w:val="21"/>
        </w:rPr>
        <w:t>马克思哲学</w:t>
      </w:r>
      <w:r>
        <w:rPr>
          <w:rFonts w:ascii="宋体" w:hAnsi="宋体"/>
          <w:szCs w:val="21"/>
        </w:rPr>
        <w:t>观点</w:t>
      </w:r>
      <w:r>
        <w:rPr>
          <w:rFonts w:ascii="宋体" w:hAnsi="宋体" w:hint="eastAsia"/>
          <w:szCs w:val="21"/>
        </w:rPr>
        <w:t>辩证</w:t>
      </w:r>
      <w:r>
        <w:rPr>
          <w:rFonts w:ascii="宋体" w:hAnsi="宋体"/>
          <w:szCs w:val="21"/>
        </w:rPr>
        <w:t>地来向学生</w:t>
      </w:r>
      <w:r>
        <w:rPr>
          <w:rFonts w:ascii="宋体" w:hAnsi="宋体" w:hint="eastAsia"/>
          <w:szCs w:val="21"/>
        </w:rPr>
        <w:t>解释说明</w:t>
      </w:r>
      <w:r>
        <w:rPr>
          <w:rFonts w:ascii="宋体" w:hAnsi="宋体"/>
          <w:szCs w:val="21"/>
        </w:rPr>
        <w:t>这一</w:t>
      </w:r>
      <w:r>
        <w:rPr>
          <w:rFonts w:ascii="宋体" w:hAnsi="宋体" w:hint="eastAsia"/>
          <w:szCs w:val="21"/>
        </w:rPr>
        <w:t>理论</w:t>
      </w:r>
      <w:r>
        <w:rPr>
          <w:rFonts w:ascii="宋体" w:hAnsi="宋体"/>
          <w:szCs w:val="21"/>
        </w:rPr>
        <w:t>，</w:t>
      </w:r>
      <w:r>
        <w:rPr>
          <w:rFonts w:ascii="宋体" w:hAnsi="宋体" w:hint="eastAsia"/>
          <w:szCs w:val="21"/>
        </w:rPr>
        <w:t>简单明了</w:t>
      </w:r>
      <w:r>
        <w:rPr>
          <w:rFonts w:ascii="宋体" w:hAnsi="宋体"/>
          <w:szCs w:val="21"/>
        </w:rPr>
        <w:t>，</w:t>
      </w:r>
      <w:r>
        <w:rPr>
          <w:rFonts w:ascii="宋体" w:hAnsi="宋体" w:hint="eastAsia"/>
          <w:szCs w:val="21"/>
        </w:rPr>
        <w:t>既</w:t>
      </w:r>
      <w:r>
        <w:rPr>
          <w:rFonts w:ascii="宋体" w:hAnsi="宋体"/>
          <w:szCs w:val="21"/>
        </w:rPr>
        <w:t>可达到思政育人的目的，又</w:t>
      </w:r>
      <w:r>
        <w:rPr>
          <w:rFonts w:ascii="宋体" w:hAnsi="宋体" w:hint="eastAsia"/>
          <w:szCs w:val="21"/>
        </w:rPr>
        <w:t>可提高</w:t>
      </w:r>
      <w:r>
        <w:rPr>
          <w:rFonts w:ascii="宋体" w:hAnsi="宋体"/>
          <w:szCs w:val="21"/>
        </w:rPr>
        <w:t>教学</w:t>
      </w:r>
      <w:r>
        <w:rPr>
          <w:rFonts w:ascii="宋体" w:hAnsi="宋体" w:hint="eastAsia"/>
          <w:szCs w:val="21"/>
        </w:rPr>
        <w:t>内容</w:t>
      </w:r>
      <w:r>
        <w:rPr>
          <w:rFonts w:ascii="宋体" w:hAnsi="宋体"/>
          <w:szCs w:val="21"/>
        </w:rPr>
        <w:t>的</w:t>
      </w:r>
      <w:r>
        <w:rPr>
          <w:rFonts w:ascii="宋体" w:hAnsi="宋体" w:hint="eastAsia"/>
          <w:szCs w:val="21"/>
        </w:rPr>
        <w:t>精准度</w:t>
      </w:r>
      <w:r>
        <w:rPr>
          <w:rFonts w:ascii="宋体" w:hAnsi="宋体"/>
          <w:szCs w:val="21"/>
        </w:rPr>
        <w:t>。</w:t>
      </w:r>
    </w:p>
    <w:p w14:paraId="102B87EE"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710A6257"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int="eastAsia"/>
        </w:rPr>
        <w:t xml:space="preserve"> </w:t>
      </w:r>
      <w:r>
        <w:rPr>
          <w:rFonts w:hAnsi="宋体" w:hint="eastAsia"/>
          <w:b/>
          <w:bCs/>
          <w:kern w:val="0"/>
          <w:szCs w:val="21"/>
        </w:rPr>
        <w:t>选用教材：</w:t>
      </w:r>
    </w:p>
    <w:p w14:paraId="366B9C3E"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（1）理论课教材：园艺设施工程学，吴凤芝主编，科学出版社，2012年</w:t>
      </w:r>
    </w:p>
    <w:p w14:paraId="5955BB15" w14:textId="77777777" w:rsidR="00F5289E" w:rsidRDefault="00C91173">
      <w:pPr>
        <w:widowControl/>
        <w:snapToGrid w:val="0"/>
        <w:spacing w:line="360" w:lineRule="auto"/>
        <w:ind w:firstLineChars="200" w:firstLine="420"/>
        <w:jc w:val="left"/>
        <w:rPr>
          <w:rFonts w:hAnsi="宋体"/>
          <w:bCs/>
          <w:color w:val="0000FF"/>
          <w:kern w:val="0"/>
          <w:szCs w:val="21"/>
        </w:rPr>
      </w:pPr>
      <w:r>
        <w:rPr>
          <w:rFonts w:ascii="宋体" w:hAnsi="宋体" w:hint="eastAsia"/>
        </w:rPr>
        <w:t>（2）实验课教材：</w:t>
      </w:r>
      <w:r>
        <w:rPr>
          <w:rFonts w:ascii="宋体" w:hAnsi="宋体" w:hint="eastAsia"/>
          <w:bCs/>
          <w:kern w:val="0"/>
          <w:szCs w:val="21"/>
        </w:rPr>
        <w:t>设施园艺学，张福墁主编，中国农业出版社，201</w:t>
      </w:r>
      <w:r>
        <w:rPr>
          <w:rFonts w:ascii="宋体" w:hAnsi="宋体"/>
          <w:bCs/>
          <w:kern w:val="0"/>
          <w:szCs w:val="21"/>
        </w:rPr>
        <w:t>0</w:t>
      </w:r>
      <w:r>
        <w:rPr>
          <w:rFonts w:ascii="宋体" w:hAnsi="宋体" w:hint="eastAsia"/>
          <w:bCs/>
          <w:kern w:val="0"/>
          <w:szCs w:val="21"/>
        </w:rPr>
        <w:t>年</w:t>
      </w:r>
    </w:p>
    <w:p w14:paraId="48F6F62F"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rPr>
        <w:t>（3）实习指导书：</w:t>
      </w:r>
      <w:r>
        <w:rPr>
          <w:rFonts w:ascii="宋体" w:hAnsi="宋体" w:hint="eastAsia"/>
          <w:bCs/>
          <w:kern w:val="0"/>
          <w:szCs w:val="21"/>
        </w:rPr>
        <w:t>设施园艺学，张福墁主编，中国农业出版社，201</w:t>
      </w:r>
      <w:r>
        <w:rPr>
          <w:rFonts w:ascii="宋体" w:hAnsi="宋体"/>
          <w:bCs/>
          <w:kern w:val="0"/>
          <w:szCs w:val="21"/>
        </w:rPr>
        <w:t>0</w:t>
      </w:r>
      <w:r>
        <w:rPr>
          <w:rFonts w:ascii="宋体" w:hAnsi="宋体" w:hint="eastAsia"/>
          <w:bCs/>
          <w:kern w:val="0"/>
          <w:szCs w:val="21"/>
        </w:rPr>
        <w:t>年</w:t>
      </w:r>
    </w:p>
    <w:p w14:paraId="454F55F2"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0FA0FBD6" w14:textId="77777777" w:rsidR="00F5289E" w:rsidRDefault="00C91173">
      <w:pPr>
        <w:widowControl/>
        <w:snapToGrid w:val="0"/>
        <w:spacing w:line="360" w:lineRule="auto"/>
        <w:ind w:firstLineChars="200" w:firstLine="420"/>
        <w:jc w:val="left"/>
        <w:rPr>
          <w:rFonts w:ascii="宋体" w:hAnsi="宋体"/>
          <w:bCs/>
          <w:kern w:val="0"/>
          <w:szCs w:val="21"/>
        </w:rPr>
      </w:pPr>
      <w:r>
        <w:rPr>
          <w:rFonts w:hAnsi="宋体"/>
          <w:bCs/>
          <w:kern w:val="0"/>
          <w:szCs w:val="21"/>
        </w:rPr>
        <w:t>（</w:t>
      </w:r>
      <w:r>
        <w:rPr>
          <w:bCs/>
          <w:kern w:val="0"/>
          <w:szCs w:val="21"/>
        </w:rPr>
        <w:t>1</w:t>
      </w:r>
      <w:r>
        <w:rPr>
          <w:rFonts w:hAnsi="宋体"/>
          <w:bCs/>
          <w:kern w:val="0"/>
          <w:szCs w:val="21"/>
        </w:rPr>
        <w:t>）</w:t>
      </w:r>
      <w:r>
        <w:rPr>
          <w:rFonts w:ascii="宋体" w:hAnsi="宋体" w:hint="eastAsia"/>
          <w:bCs/>
          <w:kern w:val="0"/>
          <w:szCs w:val="21"/>
        </w:rPr>
        <w:t>设施园艺学，李式军、郭世荣主编，中国农业出版社，2010年</w:t>
      </w:r>
    </w:p>
    <w:p w14:paraId="2DE9E8D5"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w:t>
      </w:r>
      <w:r>
        <w:rPr>
          <w:rFonts w:ascii="宋体" w:hAnsi="宋体"/>
          <w:bCs/>
          <w:kern w:val="0"/>
          <w:szCs w:val="21"/>
        </w:rPr>
        <w:t>2</w:t>
      </w:r>
      <w:r>
        <w:rPr>
          <w:rFonts w:ascii="宋体" w:hAnsi="宋体" w:hint="eastAsia"/>
          <w:bCs/>
          <w:kern w:val="0"/>
          <w:szCs w:val="21"/>
        </w:rPr>
        <w:t>）园艺设施设计与建造，胡晓辉主编，科学出版社，201</w:t>
      </w:r>
      <w:r>
        <w:rPr>
          <w:rFonts w:ascii="宋体" w:hAnsi="宋体"/>
          <w:bCs/>
          <w:kern w:val="0"/>
          <w:szCs w:val="21"/>
        </w:rPr>
        <w:t>6</w:t>
      </w:r>
      <w:r>
        <w:rPr>
          <w:rFonts w:ascii="宋体" w:hAnsi="宋体" w:hint="eastAsia"/>
          <w:bCs/>
          <w:kern w:val="0"/>
          <w:szCs w:val="21"/>
        </w:rPr>
        <w:t>年</w:t>
      </w:r>
    </w:p>
    <w:p w14:paraId="0195EDAD"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w:t>
      </w:r>
      <w:r>
        <w:rPr>
          <w:rFonts w:ascii="宋体" w:hAnsi="宋体"/>
          <w:bCs/>
          <w:kern w:val="0"/>
          <w:szCs w:val="21"/>
        </w:rPr>
        <w:t>3</w:t>
      </w:r>
      <w:r>
        <w:rPr>
          <w:rFonts w:ascii="宋体" w:hAnsi="宋体" w:hint="eastAsia"/>
          <w:bCs/>
          <w:kern w:val="0"/>
          <w:szCs w:val="21"/>
        </w:rPr>
        <w:t>）设施园艺学，张福墁主编，中国农业出版社，201</w:t>
      </w:r>
      <w:r>
        <w:rPr>
          <w:rFonts w:ascii="宋体" w:hAnsi="宋体"/>
          <w:bCs/>
          <w:kern w:val="0"/>
          <w:szCs w:val="21"/>
        </w:rPr>
        <w:t>0</w:t>
      </w:r>
      <w:r>
        <w:rPr>
          <w:rFonts w:ascii="宋体" w:hAnsi="宋体" w:hint="eastAsia"/>
          <w:bCs/>
          <w:kern w:val="0"/>
          <w:szCs w:val="21"/>
        </w:rPr>
        <w:t>年</w:t>
      </w:r>
    </w:p>
    <w:p w14:paraId="6FCBC576" w14:textId="77777777" w:rsidR="00F5289E" w:rsidRDefault="00C91173">
      <w:pPr>
        <w:widowControl/>
        <w:snapToGrid w:val="0"/>
        <w:spacing w:line="360" w:lineRule="auto"/>
        <w:ind w:firstLineChars="200" w:firstLine="422"/>
        <w:jc w:val="left"/>
        <w:rPr>
          <w:b/>
          <w:kern w:val="0"/>
          <w:szCs w:val="21"/>
        </w:rPr>
      </w:pPr>
      <w:r>
        <w:rPr>
          <w:rFonts w:hint="eastAsia"/>
          <w:b/>
          <w:kern w:val="0"/>
          <w:szCs w:val="21"/>
        </w:rPr>
        <w:t>3.</w:t>
      </w:r>
      <w:r>
        <w:rPr>
          <w:rFonts w:hint="eastAsia"/>
          <w:b/>
          <w:kern w:val="0"/>
          <w:szCs w:val="21"/>
        </w:rPr>
        <w:t>推荐网站：</w:t>
      </w:r>
    </w:p>
    <w:p w14:paraId="776321DF" w14:textId="77777777" w:rsidR="00F5289E" w:rsidRDefault="00C91173">
      <w:pPr>
        <w:widowControl/>
        <w:adjustRightInd w:val="0"/>
        <w:snapToGrid w:val="0"/>
        <w:spacing w:line="360" w:lineRule="auto"/>
        <w:ind w:firstLine="432"/>
        <w:jc w:val="left"/>
        <w:rPr>
          <w:rFonts w:eastAsiaTheme="minorEastAsia"/>
          <w:kern w:val="0"/>
          <w:szCs w:val="21"/>
        </w:rPr>
      </w:pPr>
      <w:r>
        <w:rPr>
          <w:rFonts w:ascii="宋体" w:hAnsi="宋体" w:hint="eastAsia"/>
          <w:szCs w:val="21"/>
        </w:rPr>
        <w:t>（1）</w:t>
      </w:r>
      <w:r>
        <w:rPr>
          <w:rFonts w:eastAsiaTheme="minorEastAsia"/>
          <w:kern w:val="0"/>
          <w:szCs w:val="21"/>
        </w:rPr>
        <w:t>中国温室网</w:t>
      </w:r>
      <w:r>
        <w:rPr>
          <w:rFonts w:eastAsiaTheme="minorEastAsia" w:hint="eastAsia"/>
          <w:kern w:val="0"/>
          <w:szCs w:val="21"/>
        </w:rPr>
        <w:t>，</w:t>
      </w:r>
      <w:r>
        <w:rPr>
          <w:rFonts w:eastAsiaTheme="minorEastAsia"/>
          <w:kern w:val="0"/>
          <w:szCs w:val="21"/>
        </w:rPr>
        <w:t>http://www.chinagreenhouse.com/</w:t>
      </w:r>
    </w:p>
    <w:p w14:paraId="311763DF" w14:textId="77777777" w:rsidR="00F5289E" w:rsidRDefault="00C91173">
      <w:pPr>
        <w:widowControl/>
        <w:adjustRightInd w:val="0"/>
        <w:snapToGrid w:val="0"/>
        <w:spacing w:line="360" w:lineRule="auto"/>
        <w:ind w:firstLineChars="200" w:firstLine="420"/>
        <w:jc w:val="left"/>
        <w:rPr>
          <w:rFonts w:ascii="宋体" w:hAnsi="宋体"/>
          <w:szCs w:val="21"/>
        </w:rPr>
      </w:pPr>
      <w:r>
        <w:rPr>
          <w:rFonts w:ascii="宋体" w:hAnsi="宋体" w:hint="eastAsia"/>
          <w:szCs w:val="21"/>
        </w:rPr>
        <w:t>（2）温室园艺资讯，微信公众号</w:t>
      </w:r>
    </w:p>
    <w:p w14:paraId="695F1F3A" w14:textId="77777777" w:rsidR="00F5289E" w:rsidRDefault="00C91173">
      <w:pPr>
        <w:widowControl/>
        <w:adjustRightInd w:val="0"/>
        <w:snapToGrid w:val="0"/>
        <w:spacing w:line="360" w:lineRule="auto"/>
        <w:ind w:firstLineChars="200" w:firstLine="420"/>
        <w:jc w:val="left"/>
        <w:rPr>
          <w:rFonts w:eastAsiaTheme="minorEastAsia"/>
          <w:kern w:val="0"/>
          <w:szCs w:val="21"/>
        </w:rPr>
      </w:pPr>
      <w:r>
        <w:rPr>
          <w:rFonts w:ascii="宋体" w:hAnsi="宋体" w:hint="eastAsia"/>
          <w:szCs w:val="21"/>
        </w:rPr>
        <w:t>（3）农业工程技术，微信公众号</w:t>
      </w:r>
    </w:p>
    <w:p w14:paraId="013DDD46"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3D5E7ACE"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szCs w:val="21"/>
        </w:rPr>
        <w:t>线上线下</w:t>
      </w:r>
      <w:r>
        <w:rPr>
          <w:rFonts w:ascii="宋体" w:hAnsi="宋体"/>
          <w:szCs w:val="21"/>
        </w:rPr>
        <w:t>混合式教学需要助教</w:t>
      </w:r>
      <w:r>
        <w:rPr>
          <w:rFonts w:ascii="宋体" w:hAnsi="宋体" w:hint="eastAsia"/>
          <w:szCs w:val="21"/>
        </w:rPr>
        <w:t>1</w:t>
      </w:r>
      <w:r>
        <w:rPr>
          <w:rFonts w:ascii="宋体" w:hAnsi="宋体"/>
          <w:szCs w:val="21"/>
        </w:rPr>
        <w:t>名，负责</w:t>
      </w:r>
      <w:r>
        <w:rPr>
          <w:rFonts w:ascii="宋体" w:hAnsi="宋体" w:hint="eastAsia"/>
          <w:szCs w:val="21"/>
        </w:rPr>
        <w:t>发送通知、课后答疑</w:t>
      </w:r>
      <w:r>
        <w:rPr>
          <w:rFonts w:ascii="宋体" w:hAnsi="宋体"/>
          <w:szCs w:val="21"/>
        </w:rPr>
        <w:t>、</w:t>
      </w:r>
      <w:r>
        <w:rPr>
          <w:rFonts w:ascii="宋体" w:hAnsi="宋体" w:hint="eastAsia"/>
          <w:szCs w:val="21"/>
        </w:rPr>
        <w:t>作业</w:t>
      </w:r>
      <w:r>
        <w:rPr>
          <w:rFonts w:ascii="宋体" w:hAnsi="宋体"/>
          <w:szCs w:val="21"/>
        </w:rPr>
        <w:t>整理等工作</w:t>
      </w:r>
      <w:r>
        <w:rPr>
          <w:rFonts w:ascii="宋体" w:hAnsi="宋体" w:hint="eastAsia"/>
          <w:szCs w:val="21"/>
        </w:rPr>
        <w:t>。园艺</w:t>
      </w:r>
      <w:r>
        <w:rPr>
          <w:rFonts w:ascii="宋体" w:hAnsi="宋体"/>
          <w:szCs w:val="21"/>
        </w:rPr>
        <w:t>设施设计和模型制作的</w:t>
      </w:r>
      <w:r>
        <w:rPr>
          <w:rFonts w:ascii="宋体" w:hAnsi="宋体" w:hint="eastAsia"/>
          <w:szCs w:val="21"/>
        </w:rPr>
        <w:t>实验</w:t>
      </w:r>
      <w:r>
        <w:rPr>
          <w:rFonts w:ascii="宋体" w:hAnsi="宋体"/>
          <w:szCs w:val="21"/>
        </w:rPr>
        <w:t>课程需要购买</w:t>
      </w:r>
      <w:r>
        <w:rPr>
          <w:rFonts w:ascii="宋体" w:hAnsi="宋体" w:hint="eastAsia"/>
          <w:szCs w:val="21"/>
        </w:rPr>
        <w:t>模型</w:t>
      </w:r>
      <w:r>
        <w:rPr>
          <w:rFonts w:ascii="宋体" w:hAnsi="宋体"/>
          <w:szCs w:val="21"/>
        </w:rPr>
        <w:t>制作</w:t>
      </w:r>
      <w:r>
        <w:rPr>
          <w:rFonts w:ascii="宋体" w:hAnsi="宋体" w:hint="eastAsia"/>
          <w:szCs w:val="21"/>
        </w:rPr>
        <w:t>所需</w:t>
      </w:r>
      <w:r>
        <w:rPr>
          <w:rFonts w:ascii="宋体" w:hAnsi="宋体"/>
          <w:szCs w:val="21"/>
        </w:rPr>
        <w:t>材料，</w:t>
      </w:r>
      <w:r>
        <w:rPr>
          <w:rFonts w:ascii="宋体" w:hAnsi="宋体" w:hint="eastAsia"/>
          <w:szCs w:val="21"/>
        </w:rPr>
        <w:t>每年</w:t>
      </w:r>
      <w:r>
        <w:rPr>
          <w:rFonts w:ascii="宋体" w:hAnsi="宋体"/>
          <w:szCs w:val="21"/>
        </w:rPr>
        <w:t>需要经费大约</w:t>
      </w:r>
      <w:r>
        <w:rPr>
          <w:rFonts w:ascii="宋体" w:hAnsi="宋体" w:hint="eastAsia"/>
          <w:szCs w:val="21"/>
        </w:rPr>
        <w:t>3000元</w:t>
      </w:r>
      <w:r>
        <w:rPr>
          <w:rFonts w:ascii="宋体" w:hAnsi="宋体"/>
          <w:szCs w:val="21"/>
        </w:rPr>
        <w:t>左右。</w:t>
      </w:r>
    </w:p>
    <w:p w14:paraId="6C9A0966"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6C678E2E"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1.</w:t>
      </w:r>
      <w:r>
        <w:rPr>
          <w:rFonts w:hAnsi="宋体" w:hint="eastAsia"/>
          <w:b/>
          <w:bCs/>
          <w:kern w:val="0"/>
          <w:szCs w:val="21"/>
        </w:rPr>
        <w:t>过程性评价：</w:t>
      </w:r>
      <w:r>
        <w:rPr>
          <w:rFonts w:eastAsiaTheme="majorEastAsia"/>
          <w:szCs w:val="21"/>
        </w:rPr>
        <w:t>过程</w:t>
      </w:r>
      <w:r>
        <w:rPr>
          <w:rFonts w:eastAsiaTheme="majorEastAsia" w:hint="eastAsia"/>
          <w:szCs w:val="21"/>
        </w:rPr>
        <w:t>性</w:t>
      </w:r>
      <w:r>
        <w:rPr>
          <w:rFonts w:eastAsiaTheme="majorEastAsia"/>
          <w:szCs w:val="21"/>
        </w:rPr>
        <w:t>评价</w:t>
      </w:r>
      <w:r>
        <w:rPr>
          <w:rFonts w:ascii="宋体" w:hAnsi="宋体" w:hint="eastAsia"/>
        </w:rPr>
        <w:t>占总成绩50%，</w:t>
      </w:r>
      <w:r>
        <w:rPr>
          <w:rFonts w:eastAsiaTheme="majorEastAsia"/>
          <w:szCs w:val="21"/>
        </w:rPr>
        <w:t>计分点主要包括对</w:t>
      </w:r>
      <w:r>
        <w:rPr>
          <w:rFonts w:eastAsiaTheme="majorEastAsia" w:hint="eastAsia"/>
          <w:szCs w:val="21"/>
        </w:rPr>
        <w:t>线上平台</w:t>
      </w:r>
      <w:r>
        <w:rPr>
          <w:rFonts w:eastAsiaTheme="majorEastAsia"/>
          <w:szCs w:val="21"/>
        </w:rPr>
        <w:t>学习、考勤、课堂测试、课堂讨论、单元测试、研究性学习报告、温室创新改良大赛、温室模型设计制作大赛的考评。学生在学习过程中的行为均被记录并评分，得出平时成绩，其中，</w:t>
      </w:r>
      <w:r>
        <w:rPr>
          <w:rFonts w:eastAsiaTheme="majorEastAsia" w:hint="eastAsia"/>
          <w:szCs w:val="21"/>
        </w:rPr>
        <w:t>线上平台</w:t>
      </w:r>
      <w:r>
        <w:rPr>
          <w:rFonts w:eastAsiaTheme="majorEastAsia"/>
          <w:szCs w:val="21"/>
        </w:rPr>
        <w:t>学习、考勤、课堂测试、课堂讨论各占</w:t>
      </w:r>
      <w:r>
        <w:rPr>
          <w:rFonts w:eastAsiaTheme="majorEastAsia"/>
          <w:szCs w:val="21"/>
        </w:rPr>
        <w:t>5%</w:t>
      </w:r>
      <w:r>
        <w:rPr>
          <w:rFonts w:eastAsiaTheme="majorEastAsia"/>
          <w:szCs w:val="21"/>
        </w:rPr>
        <w:t>，</w:t>
      </w:r>
      <w:r>
        <w:rPr>
          <w:rFonts w:eastAsiaTheme="majorEastAsia" w:hint="eastAsia"/>
          <w:szCs w:val="21"/>
        </w:rPr>
        <w:t>3</w:t>
      </w:r>
      <w:r>
        <w:rPr>
          <w:rFonts w:eastAsiaTheme="majorEastAsia" w:hint="eastAsia"/>
          <w:szCs w:val="21"/>
        </w:rPr>
        <w:t>次实验报告和图纸</w:t>
      </w:r>
      <w:r>
        <w:rPr>
          <w:rFonts w:eastAsiaTheme="majorEastAsia"/>
          <w:szCs w:val="21"/>
        </w:rPr>
        <w:t>占</w:t>
      </w:r>
      <w:r>
        <w:rPr>
          <w:rFonts w:eastAsiaTheme="majorEastAsia"/>
          <w:szCs w:val="21"/>
        </w:rPr>
        <w:t>15%</w:t>
      </w:r>
      <w:r>
        <w:rPr>
          <w:rFonts w:eastAsiaTheme="majorEastAsia" w:hint="eastAsia"/>
          <w:szCs w:val="21"/>
        </w:rPr>
        <w:t>，</w:t>
      </w:r>
      <w:r>
        <w:rPr>
          <w:rFonts w:eastAsiaTheme="majorEastAsia" w:hint="eastAsia"/>
          <w:szCs w:val="21"/>
        </w:rPr>
        <w:t>3</w:t>
      </w:r>
      <w:r>
        <w:rPr>
          <w:rFonts w:eastAsiaTheme="majorEastAsia" w:hint="eastAsia"/>
          <w:szCs w:val="21"/>
        </w:rPr>
        <w:t>次</w:t>
      </w:r>
      <w:r>
        <w:rPr>
          <w:rFonts w:eastAsiaTheme="majorEastAsia"/>
          <w:szCs w:val="21"/>
        </w:rPr>
        <w:t>单元测试占</w:t>
      </w:r>
      <w:r>
        <w:rPr>
          <w:rFonts w:eastAsiaTheme="majorEastAsia"/>
          <w:szCs w:val="21"/>
        </w:rPr>
        <w:t>15%</w:t>
      </w:r>
      <w:r>
        <w:rPr>
          <w:rFonts w:eastAsiaTheme="majorEastAsia"/>
          <w:szCs w:val="21"/>
        </w:rPr>
        <w:t>，研究性学习报告、温室创新改良大赛和温室模型设计制作大赛共占</w:t>
      </w:r>
      <w:r>
        <w:rPr>
          <w:rFonts w:eastAsiaTheme="majorEastAsia"/>
          <w:szCs w:val="21"/>
        </w:rPr>
        <w:t>50%</w:t>
      </w:r>
      <w:r>
        <w:rPr>
          <w:rFonts w:eastAsiaTheme="majorEastAsia"/>
          <w:szCs w:val="21"/>
        </w:rPr>
        <w:t>。</w:t>
      </w:r>
    </w:p>
    <w:p w14:paraId="5BC66BED" w14:textId="77777777" w:rsidR="00F5289E" w:rsidRDefault="00C91173">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ascii="宋体" w:hAnsi="宋体" w:hint="eastAsia"/>
        </w:rPr>
        <w:t>笔试闭卷；占总成绩50%。</w:t>
      </w:r>
    </w:p>
    <w:p w14:paraId="66274E9E" w14:textId="77777777" w:rsidR="00F5289E" w:rsidRDefault="00C91173">
      <w:pPr>
        <w:widowControl/>
        <w:tabs>
          <w:tab w:val="left" w:pos="6747"/>
        </w:tabs>
        <w:snapToGrid w:val="0"/>
        <w:spacing w:line="360" w:lineRule="auto"/>
        <w:ind w:firstLine="420"/>
        <w:jc w:val="left"/>
        <w:rPr>
          <w:rFonts w:hAnsi="宋体"/>
          <w:b/>
          <w:bCs/>
          <w:kern w:val="0"/>
          <w:szCs w:val="21"/>
        </w:rPr>
      </w:pPr>
      <w:r>
        <w:rPr>
          <w:rFonts w:hAnsi="宋体" w:hint="eastAsia"/>
          <w:b/>
          <w:bCs/>
          <w:kern w:val="0"/>
          <w:szCs w:val="21"/>
        </w:rPr>
        <w:t>3.</w:t>
      </w:r>
      <w:r>
        <w:rPr>
          <w:rFonts w:hAnsi="宋体" w:hint="eastAsia"/>
          <w:b/>
          <w:bCs/>
          <w:kern w:val="0"/>
          <w:szCs w:val="21"/>
        </w:rPr>
        <w:t>课程综合评价：</w:t>
      </w:r>
    </w:p>
    <w:p w14:paraId="0CFFF658" w14:textId="77777777" w:rsidR="00F5289E" w:rsidRDefault="00C91173">
      <w:pPr>
        <w:widowControl/>
        <w:tabs>
          <w:tab w:val="left" w:pos="6747"/>
        </w:tabs>
        <w:snapToGrid w:val="0"/>
        <w:spacing w:line="360" w:lineRule="auto"/>
        <w:ind w:firstLine="420"/>
        <w:jc w:val="left"/>
        <w:rPr>
          <w:rFonts w:ascii="宋体" w:hAnsi="宋体"/>
        </w:rPr>
      </w:pPr>
      <w:r>
        <w:rPr>
          <w:rFonts w:ascii="宋体" w:hAnsi="宋体" w:hint="eastAsia"/>
        </w:rPr>
        <w:t>总成绩=</w:t>
      </w:r>
      <w:r>
        <w:rPr>
          <w:rFonts w:ascii="宋体" w:hAnsi="宋体"/>
        </w:rPr>
        <w:t>5</w:t>
      </w:r>
      <w:r>
        <w:rPr>
          <w:rFonts w:ascii="宋体" w:hAnsi="宋体" w:hint="eastAsia"/>
        </w:rPr>
        <w:t>0%</w:t>
      </w:r>
      <w:r>
        <w:rPr>
          <w:rFonts w:eastAsiaTheme="majorEastAsia"/>
          <w:szCs w:val="21"/>
        </w:rPr>
        <w:t>过程</w:t>
      </w:r>
      <w:r>
        <w:rPr>
          <w:rFonts w:eastAsiaTheme="majorEastAsia" w:hint="eastAsia"/>
          <w:szCs w:val="21"/>
        </w:rPr>
        <w:t>性</w:t>
      </w:r>
      <w:r>
        <w:rPr>
          <w:rFonts w:eastAsiaTheme="majorEastAsia"/>
          <w:szCs w:val="21"/>
        </w:rPr>
        <w:t>评价</w:t>
      </w:r>
      <w:r>
        <w:rPr>
          <w:rFonts w:ascii="宋体" w:hAnsi="宋体" w:hint="eastAsia"/>
        </w:rPr>
        <w:t>成绩+</w:t>
      </w:r>
      <w:r>
        <w:rPr>
          <w:rFonts w:ascii="宋体" w:hAnsi="宋体"/>
        </w:rPr>
        <w:t>5</w:t>
      </w:r>
      <w:r>
        <w:rPr>
          <w:rFonts w:ascii="宋体" w:hAnsi="宋体" w:hint="eastAsia"/>
        </w:rPr>
        <w:t>0%终结性评价成绩，</w:t>
      </w:r>
    </w:p>
    <w:p w14:paraId="529A3382" w14:textId="77777777" w:rsidR="00F5289E" w:rsidRDefault="00C91173">
      <w:pPr>
        <w:widowControl/>
        <w:tabs>
          <w:tab w:val="left" w:pos="6747"/>
        </w:tabs>
        <w:snapToGrid w:val="0"/>
        <w:spacing w:line="360" w:lineRule="auto"/>
        <w:ind w:firstLine="420"/>
        <w:jc w:val="left"/>
        <w:rPr>
          <w:rFonts w:eastAsiaTheme="majorEastAsia"/>
          <w:szCs w:val="21"/>
        </w:rPr>
      </w:pPr>
      <w:r>
        <w:rPr>
          <w:rFonts w:ascii="宋体" w:hAnsi="宋体" w:hint="eastAsia"/>
        </w:rPr>
        <w:t>过程性评价中</w:t>
      </w:r>
      <w:r>
        <w:rPr>
          <w:rFonts w:eastAsiaTheme="majorEastAsia" w:hint="eastAsia"/>
          <w:szCs w:val="21"/>
        </w:rPr>
        <w:t>线上平台</w:t>
      </w:r>
      <w:r>
        <w:rPr>
          <w:rFonts w:eastAsiaTheme="majorEastAsia"/>
          <w:szCs w:val="21"/>
        </w:rPr>
        <w:t>学习、考勤、课堂测试、单元测试</w:t>
      </w:r>
      <w:r>
        <w:rPr>
          <w:rFonts w:eastAsiaTheme="majorEastAsia" w:hint="eastAsia"/>
          <w:szCs w:val="21"/>
        </w:rPr>
        <w:t>，终结性评价中对基本知识和基本理论的考核，对应于课程目标</w:t>
      </w:r>
      <w:r>
        <w:rPr>
          <w:rFonts w:eastAsiaTheme="majorEastAsia" w:hint="eastAsia"/>
          <w:szCs w:val="21"/>
        </w:rPr>
        <w:t>1</w:t>
      </w:r>
      <w:r>
        <w:rPr>
          <w:rFonts w:eastAsiaTheme="majorEastAsia" w:hint="eastAsia"/>
          <w:szCs w:val="21"/>
        </w:rPr>
        <w:t>；</w:t>
      </w:r>
    </w:p>
    <w:p w14:paraId="00B6DC25" w14:textId="77777777" w:rsidR="00F5289E" w:rsidRDefault="00C91173">
      <w:pPr>
        <w:widowControl/>
        <w:tabs>
          <w:tab w:val="left" w:pos="6747"/>
        </w:tabs>
        <w:snapToGrid w:val="0"/>
        <w:spacing w:line="360" w:lineRule="auto"/>
        <w:ind w:firstLine="420"/>
        <w:jc w:val="left"/>
        <w:rPr>
          <w:rFonts w:ascii="宋体" w:hAnsi="宋体"/>
        </w:rPr>
      </w:pPr>
      <w:r>
        <w:rPr>
          <w:rFonts w:ascii="宋体" w:hAnsi="宋体" w:hint="eastAsia"/>
        </w:rPr>
        <w:lastRenderedPageBreak/>
        <w:t>过程性评价中</w:t>
      </w:r>
      <w:r>
        <w:rPr>
          <w:rFonts w:eastAsiaTheme="majorEastAsia" w:hint="eastAsia"/>
          <w:szCs w:val="21"/>
        </w:rPr>
        <w:t>3</w:t>
      </w:r>
      <w:r>
        <w:rPr>
          <w:rFonts w:eastAsiaTheme="majorEastAsia" w:hint="eastAsia"/>
          <w:szCs w:val="21"/>
        </w:rPr>
        <w:t>次实验报告、</w:t>
      </w:r>
      <w:r>
        <w:rPr>
          <w:rFonts w:eastAsiaTheme="majorEastAsia"/>
          <w:szCs w:val="21"/>
        </w:rPr>
        <w:t>温室模型设计制作大赛</w:t>
      </w:r>
      <w:r>
        <w:rPr>
          <w:rFonts w:eastAsiaTheme="majorEastAsia" w:hint="eastAsia"/>
          <w:szCs w:val="21"/>
        </w:rPr>
        <w:t>，终结性评价中的设计类题目的考核，对应于课程目标</w:t>
      </w:r>
      <w:r>
        <w:rPr>
          <w:rFonts w:eastAsiaTheme="majorEastAsia" w:hint="eastAsia"/>
          <w:szCs w:val="21"/>
        </w:rPr>
        <w:t>2</w:t>
      </w:r>
      <w:r>
        <w:rPr>
          <w:rFonts w:eastAsiaTheme="majorEastAsia" w:hint="eastAsia"/>
          <w:szCs w:val="21"/>
        </w:rPr>
        <w:t>；</w:t>
      </w:r>
    </w:p>
    <w:p w14:paraId="022829B9" w14:textId="77777777" w:rsidR="00F5289E" w:rsidRDefault="00C91173">
      <w:pPr>
        <w:widowControl/>
        <w:tabs>
          <w:tab w:val="left" w:pos="6747"/>
        </w:tabs>
        <w:snapToGrid w:val="0"/>
        <w:spacing w:line="360" w:lineRule="auto"/>
        <w:ind w:firstLine="420"/>
        <w:jc w:val="left"/>
        <w:rPr>
          <w:rFonts w:ascii="宋体" w:hAnsi="宋体"/>
        </w:rPr>
      </w:pPr>
      <w:r>
        <w:rPr>
          <w:rFonts w:ascii="宋体" w:hAnsi="宋体" w:hint="eastAsia"/>
        </w:rPr>
        <w:t>过程性评价中课堂讨论、</w:t>
      </w:r>
      <w:r>
        <w:rPr>
          <w:rFonts w:eastAsiaTheme="majorEastAsia"/>
          <w:szCs w:val="21"/>
        </w:rPr>
        <w:t>研究性学习报告、温室创新改良大赛</w:t>
      </w:r>
      <w:r>
        <w:rPr>
          <w:rFonts w:eastAsiaTheme="majorEastAsia" w:hint="eastAsia"/>
          <w:szCs w:val="21"/>
        </w:rPr>
        <w:t>，终结性评价中的开放论述类题目，对应于课程目标</w:t>
      </w:r>
      <w:r>
        <w:rPr>
          <w:rFonts w:eastAsiaTheme="majorEastAsia" w:hint="eastAsia"/>
          <w:szCs w:val="21"/>
        </w:rPr>
        <w:t>3</w:t>
      </w:r>
      <w:r>
        <w:rPr>
          <w:rFonts w:eastAsiaTheme="majorEastAsia" w:hint="eastAsia"/>
          <w:szCs w:val="21"/>
        </w:rPr>
        <w:t>和</w:t>
      </w:r>
      <w:r>
        <w:rPr>
          <w:rFonts w:eastAsiaTheme="majorEastAsia" w:hint="eastAsia"/>
          <w:szCs w:val="21"/>
        </w:rPr>
        <w:t>4</w:t>
      </w:r>
      <w:r>
        <w:rPr>
          <w:rFonts w:eastAsiaTheme="majorEastAsia" w:hint="eastAsia"/>
          <w:szCs w:val="21"/>
        </w:rPr>
        <w:t>。</w:t>
      </w:r>
    </w:p>
    <w:p w14:paraId="59D54D1D" w14:textId="77777777" w:rsidR="00F5289E" w:rsidRDefault="00F5289E">
      <w:pPr>
        <w:widowControl/>
        <w:tabs>
          <w:tab w:val="left" w:pos="6747"/>
        </w:tabs>
        <w:snapToGrid w:val="0"/>
        <w:spacing w:line="360" w:lineRule="auto"/>
        <w:ind w:firstLine="420"/>
        <w:jc w:val="left"/>
        <w:rPr>
          <w:rFonts w:eastAsiaTheme="majorEastAsia"/>
          <w:szCs w:val="21"/>
        </w:rPr>
      </w:pPr>
    </w:p>
    <w:p w14:paraId="66FC2BA2" w14:textId="77777777" w:rsidR="00F5289E" w:rsidRDefault="00C91173">
      <w:pPr>
        <w:widowControl/>
        <w:jc w:val="left"/>
        <w:rPr>
          <w:b/>
          <w:sz w:val="28"/>
          <w:szCs w:val="28"/>
        </w:rPr>
      </w:pPr>
      <w:r>
        <w:rPr>
          <w:b/>
          <w:sz w:val="28"/>
          <w:szCs w:val="28"/>
        </w:rPr>
        <w:br w:type="page"/>
      </w:r>
    </w:p>
    <w:p w14:paraId="7322CC20" w14:textId="77777777" w:rsidR="00F5289E" w:rsidRDefault="00C91173">
      <w:pPr>
        <w:pStyle w:val="1"/>
      </w:pPr>
      <w:bookmarkStart w:id="55" w:name="_Toc138606239"/>
      <w:r>
        <w:lastRenderedPageBreak/>
        <w:t>设施环境与调控</w:t>
      </w:r>
      <w:bookmarkEnd w:id="55"/>
    </w:p>
    <w:p w14:paraId="18FDE582" w14:textId="77777777" w:rsidR="00F5289E" w:rsidRDefault="00C91173">
      <w:pPr>
        <w:widowControl/>
        <w:jc w:val="center"/>
        <w:rPr>
          <w:color w:val="000000"/>
          <w:sz w:val="24"/>
        </w:rPr>
      </w:pPr>
      <w:r>
        <w:rPr>
          <w:color w:val="000000"/>
          <w:sz w:val="24"/>
        </w:rPr>
        <w:t>（</w:t>
      </w:r>
      <w:r>
        <w:rPr>
          <w:color w:val="000000"/>
          <w:kern w:val="0"/>
          <w:sz w:val="24"/>
          <w:lang w:bidi="ar"/>
        </w:rPr>
        <w:t>Environment and Regulation of Facility Agriculture</w:t>
      </w:r>
      <w:r>
        <w:rPr>
          <w:color w:val="000000"/>
          <w:sz w:val="24"/>
        </w:rPr>
        <w:t>）</w:t>
      </w:r>
    </w:p>
    <w:p w14:paraId="5F5A65B2" w14:textId="77777777" w:rsidR="00F5289E" w:rsidRDefault="00F5289E">
      <w:pPr>
        <w:snapToGrid w:val="0"/>
        <w:spacing w:line="360" w:lineRule="auto"/>
        <w:jc w:val="center"/>
        <w:rPr>
          <w:b/>
          <w:szCs w:val="21"/>
        </w:rPr>
      </w:pPr>
    </w:p>
    <w:p w14:paraId="29FC43B8"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766"/>
        <w:gridCol w:w="3352"/>
      </w:tblGrid>
      <w:tr w:rsidR="00F5289E" w14:paraId="629BA729" w14:textId="77777777">
        <w:tc>
          <w:tcPr>
            <w:tcW w:w="1563" w:type="pct"/>
          </w:tcPr>
          <w:p w14:paraId="4DBEAC74" w14:textId="77777777" w:rsidR="00F5289E" w:rsidRDefault="00C91173">
            <w:pPr>
              <w:widowControl/>
              <w:jc w:val="left"/>
              <w:rPr>
                <w:b/>
                <w:bCs/>
                <w:szCs w:val="21"/>
              </w:rPr>
            </w:pPr>
            <w:r>
              <w:rPr>
                <w:b/>
                <w:bCs/>
                <w:szCs w:val="21"/>
              </w:rPr>
              <w:t>课程编号：</w:t>
            </w:r>
            <w:r>
              <w:rPr>
                <w:color w:val="000000"/>
                <w:kern w:val="0"/>
                <w:sz w:val="18"/>
                <w:szCs w:val="18"/>
                <w:lang w:bidi="ar"/>
              </w:rPr>
              <w:t>19011130h</w:t>
            </w:r>
          </w:p>
        </w:tc>
        <w:tc>
          <w:tcPr>
            <w:tcW w:w="1554" w:type="pct"/>
          </w:tcPr>
          <w:p w14:paraId="26EACA57" w14:textId="77777777" w:rsidR="00F5289E" w:rsidRDefault="00C91173">
            <w:pPr>
              <w:spacing w:line="300" w:lineRule="auto"/>
              <w:rPr>
                <w:b/>
                <w:bCs/>
                <w:szCs w:val="21"/>
              </w:rPr>
            </w:pPr>
            <w:r>
              <w:rPr>
                <w:b/>
                <w:bCs/>
                <w:szCs w:val="21"/>
              </w:rPr>
              <w:t>课程总学时：</w:t>
            </w:r>
            <w:r>
              <w:rPr>
                <w:szCs w:val="21"/>
              </w:rPr>
              <w:t>48</w:t>
            </w:r>
          </w:p>
        </w:tc>
        <w:tc>
          <w:tcPr>
            <w:tcW w:w="1881" w:type="pct"/>
          </w:tcPr>
          <w:p w14:paraId="18612A2C" w14:textId="5B60F441" w:rsidR="00F5289E" w:rsidRDefault="00C91173">
            <w:pPr>
              <w:spacing w:line="300" w:lineRule="auto"/>
              <w:rPr>
                <w:b/>
                <w:bCs/>
                <w:szCs w:val="21"/>
              </w:rPr>
            </w:pPr>
            <w:r>
              <w:rPr>
                <w:b/>
                <w:bCs/>
                <w:szCs w:val="21"/>
              </w:rPr>
              <w:t>实验学时：</w:t>
            </w:r>
            <w:r>
              <w:rPr>
                <w:szCs w:val="21"/>
              </w:rPr>
              <w:t>8</w:t>
            </w:r>
          </w:p>
        </w:tc>
      </w:tr>
      <w:tr w:rsidR="00F5289E" w14:paraId="127DD59A" w14:textId="77777777">
        <w:tc>
          <w:tcPr>
            <w:tcW w:w="1563" w:type="pct"/>
          </w:tcPr>
          <w:p w14:paraId="0868AD2F" w14:textId="77777777" w:rsidR="00F5289E" w:rsidRDefault="00C91173">
            <w:pPr>
              <w:spacing w:line="300" w:lineRule="auto"/>
              <w:rPr>
                <w:b/>
                <w:bCs/>
                <w:szCs w:val="21"/>
              </w:rPr>
            </w:pPr>
            <w:r>
              <w:rPr>
                <w:b/>
                <w:bCs/>
                <w:szCs w:val="21"/>
              </w:rPr>
              <w:t>课程性质：</w:t>
            </w:r>
            <w:r>
              <w:rPr>
                <w:bCs/>
                <w:color w:val="000000"/>
                <w:kern w:val="0"/>
                <w:szCs w:val="21"/>
              </w:rPr>
              <w:t>必修</w:t>
            </w:r>
          </w:p>
        </w:tc>
        <w:tc>
          <w:tcPr>
            <w:tcW w:w="1554" w:type="pct"/>
          </w:tcPr>
          <w:p w14:paraId="32C89D05" w14:textId="77777777" w:rsidR="00F5289E" w:rsidRDefault="00C91173">
            <w:pPr>
              <w:spacing w:line="300" w:lineRule="auto"/>
              <w:rPr>
                <w:b/>
                <w:bCs/>
                <w:szCs w:val="21"/>
              </w:rPr>
            </w:pPr>
            <w:r>
              <w:rPr>
                <w:b/>
                <w:szCs w:val="21"/>
              </w:rPr>
              <w:t>课程属</w:t>
            </w:r>
            <w:r>
              <w:rPr>
                <w:b/>
                <w:color w:val="000000"/>
                <w:szCs w:val="21"/>
              </w:rPr>
              <w:t>性</w:t>
            </w:r>
            <w:r>
              <w:rPr>
                <w:b/>
                <w:color w:val="000000"/>
                <w:szCs w:val="21"/>
              </w:rPr>
              <w:t>:</w:t>
            </w:r>
            <w:r>
              <w:rPr>
                <w:bCs/>
                <w:color w:val="000000"/>
                <w:kern w:val="0"/>
                <w:szCs w:val="21"/>
              </w:rPr>
              <w:t>专业类</w:t>
            </w:r>
          </w:p>
        </w:tc>
        <w:tc>
          <w:tcPr>
            <w:tcW w:w="1881" w:type="pct"/>
          </w:tcPr>
          <w:p w14:paraId="553CA474" w14:textId="77777777" w:rsidR="00F5289E" w:rsidRDefault="00C91173">
            <w:pPr>
              <w:spacing w:line="300" w:lineRule="auto"/>
              <w:rPr>
                <w:b/>
                <w:bCs/>
                <w:szCs w:val="21"/>
              </w:rPr>
            </w:pPr>
            <w:r>
              <w:rPr>
                <w:b/>
                <w:bCs/>
                <w:szCs w:val="21"/>
              </w:rPr>
              <w:t>开设学期：</w:t>
            </w:r>
            <w:r>
              <w:rPr>
                <w:szCs w:val="21"/>
              </w:rPr>
              <w:t>第</w:t>
            </w:r>
            <w:r>
              <w:rPr>
                <w:szCs w:val="21"/>
              </w:rPr>
              <w:t xml:space="preserve"> </w:t>
            </w:r>
            <w:r>
              <w:rPr>
                <w:rFonts w:hint="eastAsia"/>
                <w:szCs w:val="21"/>
              </w:rPr>
              <w:t>4</w:t>
            </w:r>
            <w:r>
              <w:rPr>
                <w:szCs w:val="21"/>
              </w:rPr>
              <w:t xml:space="preserve"> </w:t>
            </w:r>
            <w:r>
              <w:rPr>
                <w:szCs w:val="21"/>
              </w:rPr>
              <w:t>学期</w:t>
            </w:r>
          </w:p>
        </w:tc>
      </w:tr>
      <w:tr w:rsidR="00F5289E" w14:paraId="4DB83BCB" w14:textId="77777777">
        <w:tc>
          <w:tcPr>
            <w:tcW w:w="1563" w:type="pct"/>
          </w:tcPr>
          <w:p w14:paraId="00783829" w14:textId="77777777" w:rsidR="00F5289E" w:rsidRDefault="00C91173">
            <w:pPr>
              <w:spacing w:line="300" w:lineRule="auto"/>
              <w:rPr>
                <w:b/>
                <w:bCs/>
                <w:szCs w:val="21"/>
              </w:rPr>
            </w:pPr>
            <w:r>
              <w:rPr>
                <w:b/>
                <w:bCs/>
                <w:szCs w:val="21"/>
              </w:rPr>
              <w:t>课程负责人：</w:t>
            </w:r>
            <w:r>
              <w:rPr>
                <w:szCs w:val="21"/>
              </w:rPr>
              <w:t>李严曼</w:t>
            </w:r>
          </w:p>
        </w:tc>
        <w:tc>
          <w:tcPr>
            <w:tcW w:w="1554" w:type="pct"/>
          </w:tcPr>
          <w:p w14:paraId="1F0F2DC0" w14:textId="77777777" w:rsidR="00F5289E" w:rsidRDefault="00C91173">
            <w:pPr>
              <w:spacing w:line="300" w:lineRule="auto"/>
              <w:rPr>
                <w:b/>
                <w:bCs/>
                <w:szCs w:val="21"/>
              </w:rPr>
            </w:pPr>
            <w:r>
              <w:rPr>
                <w:b/>
                <w:bCs/>
                <w:szCs w:val="21"/>
              </w:rPr>
              <w:t>课程团队：</w:t>
            </w:r>
            <w:r>
              <w:rPr>
                <w:rFonts w:hint="eastAsia"/>
                <w:szCs w:val="21"/>
              </w:rPr>
              <w:t>李严曼，</w:t>
            </w:r>
            <w:r>
              <w:rPr>
                <w:szCs w:val="21"/>
              </w:rPr>
              <w:t>杜清洁，吴帼秀</w:t>
            </w:r>
          </w:p>
        </w:tc>
        <w:tc>
          <w:tcPr>
            <w:tcW w:w="1881" w:type="pct"/>
          </w:tcPr>
          <w:p w14:paraId="245AE2B7" w14:textId="77777777" w:rsidR="00F5289E" w:rsidRDefault="00C91173">
            <w:pPr>
              <w:spacing w:line="300" w:lineRule="auto"/>
              <w:rPr>
                <w:b/>
                <w:bCs/>
                <w:szCs w:val="21"/>
              </w:rPr>
            </w:pPr>
            <w:r>
              <w:rPr>
                <w:b/>
                <w:bCs/>
                <w:szCs w:val="21"/>
              </w:rPr>
              <w:t>授课语言：</w:t>
            </w:r>
            <w:r>
              <w:rPr>
                <w:szCs w:val="21"/>
              </w:rPr>
              <w:t>中文</w:t>
            </w:r>
          </w:p>
        </w:tc>
      </w:tr>
      <w:tr w:rsidR="00F5289E" w14:paraId="72CC1198" w14:textId="77777777">
        <w:tc>
          <w:tcPr>
            <w:tcW w:w="5000" w:type="pct"/>
            <w:gridSpan w:val="3"/>
          </w:tcPr>
          <w:p w14:paraId="2FDAAA82" w14:textId="77777777" w:rsidR="00F5289E" w:rsidRDefault="00C91173">
            <w:pPr>
              <w:spacing w:line="300" w:lineRule="auto"/>
              <w:ind w:rightChars="-81" w:right="-170"/>
              <w:rPr>
                <w:bCs/>
                <w:color w:val="0000FF"/>
                <w:szCs w:val="21"/>
              </w:rPr>
            </w:pPr>
            <w:r>
              <w:rPr>
                <w:b/>
                <w:bCs/>
                <w:szCs w:val="21"/>
              </w:rPr>
              <w:t>适用专业：</w:t>
            </w:r>
            <w:r>
              <w:rPr>
                <w:bCs/>
                <w:szCs w:val="21"/>
              </w:rPr>
              <w:t>设施农业科学与工程</w:t>
            </w:r>
            <w:r>
              <w:rPr>
                <w:bCs/>
                <w:color w:val="000000"/>
                <w:szCs w:val="21"/>
              </w:rPr>
              <w:t>；核心</w:t>
            </w:r>
          </w:p>
        </w:tc>
      </w:tr>
      <w:tr w:rsidR="00F5289E" w14:paraId="3DB50447" w14:textId="77777777">
        <w:tc>
          <w:tcPr>
            <w:tcW w:w="5000" w:type="pct"/>
            <w:gridSpan w:val="3"/>
          </w:tcPr>
          <w:p w14:paraId="19CBE24B" w14:textId="77777777" w:rsidR="00F5289E" w:rsidRDefault="00C91173">
            <w:pPr>
              <w:spacing w:line="300" w:lineRule="auto"/>
              <w:rPr>
                <w:b/>
                <w:bCs/>
                <w:szCs w:val="21"/>
              </w:rPr>
            </w:pPr>
            <w:r>
              <w:rPr>
                <w:b/>
                <w:bCs/>
                <w:szCs w:val="21"/>
              </w:rPr>
              <w:t>对先修的要求：</w:t>
            </w:r>
            <w:r>
              <w:rPr>
                <w:color w:val="000000"/>
                <w:szCs w:val="21"/>
              </w:rPr>
              <w:t>植物学、植物生理学、土壤肥料学、农业气象学、设施农业导论</w:t>
            </w:r>
          </w:p>
        </w:tc>
      </w:tr>
      <w:tr w:rsidR="00F5289E" w14:paraId="0343FA89" w14:textId="77777777">
        <w:tc>
          <w:tcPr>
            <w:tcW w:w="5000" w:type="pct"/>
            <w:gridSpan w:val="3"/>
          </w:tcPr>
          <w:p w14:paraId="6471F800" w14:textId="77777777" w:rsidR="00F5289E" w:rsidRDefault="00C91173">
            <w:pPr>
              <w:spacing w:line="300" w:lineRule="auto"/>
              <w:rPr>
                <w:b/>
                <w:bCs/>
                <w:szCs w:val="21"/>
              </w:rPr>
            </w:pPr>
            <w:r>
              <w:rPr>
                <w:b/>
                <w:bCs/>
                <w:szCs w:val="21"/>
              </w:rPr>
              <w:t>对后续的支撑：</w:t>
            </w:r>
            <w:r>
              <w:rPr>
                <w:bCs/>
                <w:szCs w:val="21"/>
              </w:rPr>
              <w:t>可以为学生后续从事园艺作物的设施栽培生产实习提供基础</w:t>
            </w:r>
          </w:p>
        </w:tc>
      </w:tr>
      <w:tr w:rsidR="00F5289E" w14:paraId="73CE4F53" w14:textId="77777777">
        <w:tc>
          <w:tcPr>
            <w:tcW w:w="1563" w:type="pct"/>
          </w:tcPr>
          <w:p w14:paraId="61EF07C6" w14:textId="77777777" w:rsidR="00F5289E" w:rsidRDefault="00C91173">
            <w:pPr>
              <w:spacing w:line="300" w:lineRule="auto"/>
              <w:rPr>
                <w:b/>
                <w:bCs/>
                <w:szCs w:val="21"/>
              </w:rPr>
            </w:pPr>
            <w:r>
              <w:rPr>
                <w:b/>
                <w:bCs/>
                <w:szCs w:val="21"/>
              </w:rPr>
              <w:t>主撰人：</w:t>
            </w:r>
            <w:r>
              <w:rPr>
                <w:szCs w:val="21"/>
              </w:rPr>
              <w:t>李严曼</w:t>
            </w:r>
          </w:p>
        </w:tc>
        <w:tc>
          <w:tcPr>
            <w:tcW w:w="1554" w:type="pct"/>
          </w:tcPr>
          <w:p w14:paraId="2A0A2501" w14:textId="77777777" w:rsidR="00F5289E" w:rsidRDefault="00C91173">
            <w:pPr>
              <w:spacing w:line="300" w:lineRule="auto"/>
              <w:rPr>
                <w:b/>
                <w:bCs/>
                <w:szCs w:val="21"/>
              </w:rPr>
            </w:pPr>
            <w:r>
              <w:rPr>
                <w:b/>
                <w:bCs/>
                <w:szCs w:val="21"/>
              </w:rPr>
              <w:t>审核人：</w:t>
            </w:r>
            <w:r>
              <w:rPr>
                <w:rFonts w:hint="eastAsia"/>
                <w:szCs w:val="21"/>
              </w:rPr>
              <w:t>杜清洁</w:t>
            </w:r>
          </w:p>
        </w:tc>
        <w:tc>
          <w:tcPr>
            <w:tcW w:w="1881" w:type="pct"/>
          </w:tcPr>
          <w:p w14:paraId="623A5B52" w14:textId="77777777" w:rsidR="00F5289E" w:rsidRDefault="00C91173">
            <w:pPr>
              <w:spacing w:line="300" w:lineRule="auto"/>
              <w:rPr>
                <w:b/>
                <w:bCs/>
                <w:szCs w:val="21"/>
              </w:rPr>
            </w:pPr>
            <w:r>
              <w:rPr>
                <w:b/>
                <w:bCs/>
                <w:szCs w:val="21"/>
              </w:rPr>
              <w:t>大纲制定（修订）日期：</w:t>
            </w:r>
            <w:r>
              <w:rPr>
                <w:szCs w:val="21"/>
              </w:rPr>
              <w:t>2023.05</w:t>
            </w:r>
          </w:p>
        </w:tc>
      </w:tr>
    </w:tbl>
    <w:p w14:paraId="4CC60AA1" w14:textId="77777777" w:rsidR="00F5289E" w:rsidRDefault="00F5289E">
      <w:pPr>
        <w:widowControl/>
        <w:snapToGrid w:val="0"/>
        <w:spacing w:line="360" w:lineRule="auto"/>
        <w:jc w:val="left"/>
        <w:rPr>
          <w:b/>
          <w:bCs/>
          <w:kern w:val="0"/>
          <w:szCs w:val="21"/>
        </w:rPr>
      </w:pPr>
    </w:p>
    <w:p w14:paraId="6492967B"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66A3DE46" w14:textId="77777777" w:rsidR="00F5289E" w:rsidRDefault="00C91173">
      <w:pPr>
        <w:spacing w:line="360" w:lineRule="auto"/>
        <w:ind w:firstLineChars="200" w:firstLine="420"/>
        <w:contextualSpacing/>
        <w:rPr>
          <w:color w:val="0000FF"/>
          <w:kern w:val="0"/>
          <w:szCs w:val="21"/>
        </w:rPr>
      </w:pPr>
      <w:r>
        <w:rPr>
          <w:szCs w:val="21"/>
        </w:rPr>
        <w:t>《设施环境与调控》是一门涉及多学科和综合性很强的课程，具有很强的理论性、实践性和应用性。该课程是设施农业科学与工程专业的专业核心课程，在设施专业知识构建和生产实践能力的培养中占有相当重要的地位。《设施环境与调控》是在研究设施内环境因子的变化规律和基本特征的基础上，结合园艺作物对环境的要求，研究如何采取经济有效的手段和设施，创造出适合园艺作物生长发育的环境条件。通过学习，要求学生掌握设施环境特性及调控技术等，具备将设施环境调控理论应用于生产实践的能力，为将来从事园艺植物设施栽培生产实践打下基础。</w:t>
      </w:r>
    </w:p>
    <w:p w14:paraId="37930B5B" w14:textId="77777777" w:rsidR="00F5289E" w:rsidRDefault="00C91173" w:rsidP="00A115EF">
      <w:pPr>
        <w:widowControl/>
        <w:numPr>
          <w:ilvl w:val="0"/>
          <w:numId w:val="14"/>
        </w:numPr>
        <w:snapToGrid w:val="0"/>
        <w:spacing w:line="360" w:lineRule="auto"/>
        <w:jc w:val="left"/>
        <w:rPr>
          <w:b/>
          <w:bCs/>
          <w:kern w:val="0"/>
          <w:szCs w:val="21"/>
        </w:rPr>
      </w:pPr>
      <w:r>
        <w:rPr>
          <w:b/>
          <w:bCs/>
          <w:kern w:val="0"/>
          <w:szCs w:val="21"/>
        </w:rPr>
        <w:t>课程教学的基本要求</w:t>
      </w:r>
    </w:p>
    <w:p w14:paraId="1F27796D" w14:textId="77777777" w:rsidR="00F5289E" w:rsidRDefault="00C91173">
      <w:pPr>
        <w:widowControl/>
        <w:spacing w:line="360" w:lineRule="auto"/>
        <w:jc w:val="left"/>
        <w:rPr>
          <w:kern w:val="0"/>
          <w:szCs w:val="21"/>
        </w:rPr>
      </w:pPr>
      <w:r>
        <w:rPr>
          <w:b/>
          <w:bCs/>
          <w:kern w:val="0"/>
          <w:szCs w:val="21"/>
        </w:rPr>
        <w:t>1.</w:t>
      </w:r>
      <w:r>
        <w:rPr>
          <w:b/>
          <w:bCs/>
          <w:kern w:val="0"/>
          <w:szCs w:val="21"/>
        </w:rPr>
        <w:t>理论知识方面</w:t>
      </w:r>
      <w:r>
        <w:rPr>
          <w:kern w:val="0"/>
          <w:szCs w:val="21"/>
        </w:rPr>
        <w:t>：</w:t>
      </w:r>
      <w:r>
        <w:rPr>
          <w:szCs w:val="21"/>
        </w:rPr>
        <w:t>通过课程学习，</w:t>
      </w:r>
      <w:r>
        <w:t>要求学生掌握园艺设施环境特点与调控技术等基础知识和方法。</w:t>
      </w:r>
      <w:r>
        <w:rPr>
          <w:bCs/>
          <w:color w:val="0000FF"/>
          <w:kern w:val="0"/>
          <w:szCs w:val="21"/>
        </w:rPr>
        <w:t xml:space="preserve"> </w:t>
      </w:r>
    </w:p>
    <w:p w14:paraId="486A1C7E" w14:textId="77777777" w:rsidR="00F5289E" w:rsidRDefault="00C91173">
      <w:pPr>
        <w:widowControl/>
        <w:spacing w:line="360" w:lineRule="auto"/>
        <w:jc w:val="left"/>
      </w:pPr>
      <w:r>
        <w:rPr>
          <w:b/>
          <w:bCs/>
          <w:kern w:val="0"/>
          <w:szCs w:val="21"/>
        </w:rPr>
        <w:t>2.</w:t>
      </w:r>
      <w:r>
        <w:rPr>
          <w:b/>
          <w:bCs/>
          <w:kern w:val="0"/>
          <w:szCs w:val="21"/>
        </w:rPr>
        <w:t>实验技能方面</w:t>
      </w:r>
      <w:r>
        <w:rPr>
          <w:kern w:val="0"/>
          <w:szCs w:val="21"/>
        </w:rPr>
        <w:t>：</w:t>
      </w:r>
      <w:r>
        <w:rPr>
          <w:color w:val="262600"/>
        </w:rPr>
        <w:t>掌握主要设施类型的环境变化规律，</w:t>
      </w:r>
      <w:r>
        <w:t>掌握设施环境参数的测定方法，能够运用基本理论和技术配置有关的环境设备和装置，指导和管理园艺设施生产。</w:t>
      </w:r>
    </w:p>
    <w:p w14:paraId="29D3FC12" w14:textId="77777777" w:rsidR="00F5289E" w:rsidRDefault="00C91173">
      <w:pPr>
        <w:widowControl/>
        <w:snapToGrid w:val="0"/>
        <w:spacing w:line="360" w:lineRule="auto"/>
        <w:jc w:val="left"/>
        <w:rPr>
          <w:b/>
          <w:bCs/>
          <w:kern w:val="0"/>
          <w:szCs w:val="21"/>
        </w:rPr>
      </w:pPr>
      <w:r>
        <w:rPr>
          <w:b/>
          <w:bCs/>
          <w:kern w:val="0"/>
          <w:szCs w:val="21"/>
        </w:rPr>
        <w:t>三、课程的教学设计</w:t>
      </w:r>
    </w:p>
    <w:p w14:paraId="447A0067" w14:textId="77777777" w:rsidR="00F5289E" w:rsidRDefault="00C91173">
      <w:pPr>
        <w:spacing w:line="360" w:lineRule="auto"/>
        <w:rPr>
          <w:b/>
          <w:kern w:val="0"/>
          <w:szCs w:val="21"/>
        </w:rPr>
      </w:pPr>
      <w:r>
        <w:rPr>
          <w:b/>
          <w:kern w:val="0"/>
          <w:szCs w:val="21"/>
        </w:rPr>
        <w:t>1.</w:t>
      </w:r>
      <w:r>
        <w:rPr>
          <w:b/>
          <w:kern w:val="0"/>
          <w:szCs w:val="21"/>
        </w:rPr>
        <w:t>教学设计说明</w:t>
      </w:r>
    </w:p>
    <w:p w14:paraId="176E3C4C" w14:textId="77777777" w:rsidR="00F5289E" w:rsidRDefault="00C91173">
      <w:pPr>
        <w:widowControl/>
        <w:spacing w:line="360" w:lineRule="auto"/>
        <w:ind w:firstLineChars="200" w:firstLine="420"/>
        <w:rPr>
          <w:szCs w:val="21"/>
        </w:rPr>
      </w:pPr>
      <w:r>
        <w:rPr>
          <w:kern w:val="0"/>
          <w:szCs w:val="21"/>
        </w:rPr>
        <w:t>在授课过程中，主要是以教师为主导、学生为主体，</w:t>
      </w:r>
      <w:r>
        <w:rPr>
          <w:szCs w:val="21"/>
        </w:rPr>
        <w:t>线上线下混合</w:t>
      </w:r>
      <w:r>
        <w:rPr>
          <w:kern w:val="0"/>
          <w:szCs w:val="21"/>
        </w:rPr>
        <w:t>开展相关的教学工作。</w:t>
      </w:r>
      <w:r>
        <w:rPr>
          <w:szCs w:val="21"/>
        </w:rPr>
        <w:t>严格按照教学计划的要求和进度开展教学活动，力求概念准确、表达完整、难易结合、重点突出的教学思想。为了提高教学效果，授课时采用互动对话、学生参与等启发式、热点问题讨论、案例分析等多种教学方法，最大程度地启发学生的主观能动性，加强对《设施环境与调控》基本理论的理解。</w:t>
      </w:r>
      <w:r>
        <w:rPr>
          <w:color w:val="000000"/>
        </w:rPr>
        <w:t>为了加强学生对于理论知识的灵活运用，让学生亲自动手测量设施内的环境因子，分析其分布特</w:t>
      </w:r>
      <w:r>
        <w:rPr>
          <w:color w:val="000000"/>
        </w:rPr>
        <w:lastRenderedPageBreak/>
        <w:t>点和变化规律，并根据实际情况阐述其形成原因。对于比较抽象的内容，在讲解完理论部分后，会采用播放视频的方式，生动形象的向学生展示，加深学生的理解。最后对于章节的重点和难点，会采用课堂小测试的方法了解学生的掌握情况</w:t>
      </w:r>
      <w:r>
        <w:rPr>
          <w:szCs w:val="21"/>
        </w:rPr>
        <w:t>。</w:t>
      </w:r>
    </w:p>
    <w:p w14:paraId="7B0BF105" w14:textId="77777777" w:rsidR="00F5289E" w:rsidRDefault="00C91173">
      <w:pPr>
        <w:spacing w:line="360" w:lineRule="auto"/>
        <w:ind w:firstLineChars="200" w:firstLine="422"/>
        <w:rPr>
          <w:bCs/>
          <w:color w:val="0000FF"/>
          <w:kern w:val="0"/>
          <w:szCs w:val="21"/>
        </w:rPr>
      </w:pPr>
      <w:r>
        <w:rPr>
          <w:b/>
          <w:kern w:val="0"/>
          <w:szCs w:val="21"/>
        </w:rPr>
        <w:t>2.</w:t>
      </w:r>
      <w:r>
        <w:rPr>
          <w:b/>
          <w:kern w:val="0"/>
          <w:szCs w:val="21"/>
        </w:rPr>
        <w:t>课程目标及对毕业要求的支撑</w:t>
      </w:r>
    </w:p>
    <w:tbl>
      <w:tblPr>
        <w:tblStyle w:val="af6"/>
        <w:tblW w:w="9177" w:type="dxa"/>
        <w:jc w:val="center"/>
        <w:tblLook w:val="04A0" w:firstRow="1" w:lastRow="0" w:firstColumn="1" w:lastColumn="0" w:noHBand="0" w:noVBand="1"/>
      </w:tblPr>
      <w:tblGrid>
        <w:gridCol w:w="777"/>
        <w:gridCol w:w="7068"/>
        <w:gridCol w:w="1332"/>
      </w:tblGrid>
      <w:tr w:rsidR="00F5289E" w14:paraId="2C03084B" w14:textId="77777777">
        <w:trPr>
          <w:trHeight w:val="403"/>
          <w:jc w:val="center"/>
        </w:trPr>
        <w:tc>
          <w:tcPr>
            <w:tcW w:w="777" w:type="dxa"/>
            <w:tcBorders>
              <w:top w:val="single" w:sz="4" w:space="0" w:color="auto"/>
              <w:left w:val="single" w:sz="4" w:space="0" w:color="auto"/>
              <w:bottom w:val="single" w:sz="4" w:space="0" w:color="auto"/>
              <w:right w:val="single" w:sz="4" w:space="0" w:color="auto"/>
            </w:tcBorders>
            <w:shd w:val="clear" w:color="auto" w:fill="EEECE1"/>
            <w:vAlign w:val="center"/>
          </w:tcPr>
          <w:p w14:paraId="142A3C9D" w14:textId="77777777" w:rsidR="00F5289E" w:rsidRDefault="00C91173">
            <w:pPr>
              <w:spacing w:line="320" w:lineRule="exact"/>
              <w:jc w:val="center"/>
              <w:rPr>
                <w:b/>
                <w:bCs/>
                <w:sz w:val="18"/>
                <w:szCs w:val="18"/>
              </w:rPr>
            </w:pPr>
            <w:r>
              <w:rPr>
                <w:b/>
                <w:bCs/>
                <w:sz w:val="18"/>
                <w:szCs w:val="18"/>
              </w:rPr>
              <w:t>序号</w:t>
            </w:r>
          </w:p>
        </w:tc>
        <w:tc>
          <w:tcPr>
            <w:tcW w:w="7068" w:type="dxa"/>
            <w:tcBorders>
              <w:top w:val="single" w:sz="4" w:space="0" w:color="auto"/>
              <w:left w:val="single" w:sz="4" w:space="0" w:color="auto"/>
              <w:bottom w:val="single" w:sz="4" w:space="0" w:color="auto"/>
              <w:right w:val="single" w:sz="4" w:space="0" w:color="auto"/>
            </w:tcBorders>
            <w:shd w:val="clear" w:color="auto" w:fill="EEECE1"/>
            <w:vAlign w:val="center"/>
          </w:tcPr>
          <w:p w14:paraId="336406D0" w14:textId="77777777" w:rsidR="00F5289E" w:rsidRDefault="00C91173">
            <w:pPr>
              <w:spacing w:line="320" w:lineRule="exact"/>
              <w:jc w:val="center"/>
              <w:rPr>
                <w:b/>
                <w:bCs/>
                <w:sz w:val="18"/>
                <w:szCs w:val="18"/>
              </w:rPr>
            </w:pPr>
            <w:r>
              <w:rPr>
                <w:b/>
                <w:bCs/>
                <w:sz w:val="18"/>
                <w:szCs w:val="18"/>
              </w:rPr>
              <w:t>课程目标</w:t>
            </w:r>
          </w:p>
        </w:tc>
        <w:tc>
          <w:tcPr>
            <w:tcW w:w="1332" w:type="dxa"/>
            <w:tcBorders>
              <w:top w:val="single" w:sz="4" w:space="0" w:color="auto"/>
              <w:left w:val="single" w:sz="4" w:space="0" w:color="auto"/>
              <w:bottom w:val="single" w:sz="4" w:space="0" w:color="auto"/>
              <w:right w:val="single" w:sz="4" w:space="0" w:color="auto"/>
            </w:tcBorders>
            <w:shd w:val="clear" w:color="auto" w:fill="EEECE1"/>
            <w:vAlign w:val="center"/>
          </w:tcPr>
          <w:p w14:paraId="1F6620BF" w14:textId="77777777" w:rsidR="00F5289E" w:rsidRDefault="00C91173">
            <w:pPr>
              <w:spacing w:line="320" w:lineRule="exact"/>
              <w:jc w:val="center"/>
              <w:rPr>
                <w:b/>
                <w:bCs/>
                <w:sz w:val="18"/>
                <w:szCs w:val="18"/>
              </w:rPr>
            </w:pPr>
            <w:r>
              <w:rPr>
                <w:b/>
                <w:bCs/>
                <w:sz w:val="18"/>
                <w:szCs w:val="18"/>
              </w:rPr>
              <w:t>毕业要求</w:t>
            </w:r>
          </w:p>
        </w:tc>
      </w:tr>
      <w:tr w:rsidR="00F5289E" w14:paraId="57E5D6D8" w14:textId="77777777">
        <w:trPr>
          <w:trHeight w:val="702"/>
          <w:jc w:val="center"/>
        </w:trPr>
        <w:tc>
          <w:tcPr>
            <w:tcW w:w="777" w:type="dxa"/>
            <w:tcBorders>
              <w:top w:val="single" w:sz="4" w:space="0" w:color="auto"/>
              <w:left w:val="single" w:sz="4" w:space="0" w:color="auto"/>
              <w:bottom w:val="single" w:sz="4" w:space="0" w:color="auto"/>
              <w:right w:val="single" w:sz="4" w:space="0" w:color="auto"/>
            </w:tcBorders>
            <w:vAlign w:val="center"/>
          </w:tcPr>
          <w:p w14:paraId="0B61F4F9" w14:textId="77777777" w:rsidR="00F5289E" w:rsidRDefault="00C91173">
            <w:pPr>
              <w:spacing w:line="320" w:lineRule="exact"/>
              <w:jc w:val="center"/>
              <w:rPr>
                <w:sz w:val="18"/>
                <w:szCs w:val="18"/>
              </w:rPr>
            </w:pPr>
            <w:r>
              <w:rPr>
                <w:sz w:val="18"/>
                <w:szCs w:val="18"/>
              </w:rPr>
              <w:t>1</w:t>
            </w:r>
          </w:p>
        </w:tc>
        <w:tc>
          <w:tcPr>
            <w:tcW w:w="7068" w:type="dxa"/>
            <w:tcBorders>
              <w:top w:val="single" w:sz="4" w:space="0" w:color="auto"/>
              <w:left w:val="single" w:sz="4" w:space="0" w:color="auto"/>
              <w:bottom w:val="single" w:sz="4" w:space="0" w:color="auto"/>
              <w:right w:val="single" w:sz="4" w:space="0" w:color="auto"/>
            </w:tcBorders>
            <w:vAlign w:val="center"/>
          </w:tcPr>
          <w:p w14:paraId="47FFB21F" w14:textId="77777777" w:rsidR="00F5289E" w:rsidRDefault="00C91173">
            <w:pPr>
              <w:spacing w:line="320" w:lineRule="exact"/>
              <w:jc w:val="left"/>
              <w:rPr>
                <w:sz w:val="18"/>
                <w:szCs w:val="18"/>
              </w:rPr>
            </w:pPr>
            <w:r>
              <w:rPr>
                <w:sz w:val="18"/>
                <w:szCs w:val="18"/>
              </w:rPr>
              <w:t>目标</w:t>
            </w:r>
            <w:r>
              <w:rPr>
                <w:sz w:val="18"/>
                <w:szCs w:val="18"/>
              </w:rPr>
              <w:t>1</w:t>
            </w:r>
            <w:r>
              <w:rPr>
                <w:sz w:val="18"/>
                <w:szCs w:val="18"/>
              </w:rPr>
              <w:t>：掌握设施园艺的经营特点，了解设施园艺在国民经济（农业）中的地位，我国设施园艺的发展历史和趋势，具备较强的责任心和社会责任感</w:t>
            </w:r>
          </w:p>
        </w:tc>
        <w:tc>
          <w:tcPr>
            <w:tcW w:w="1332" w:type="dxa"/>
            <w:tcBorders>
              <w:top w:val="single" w:sz="4" w:space="0" w:color="auto"/>
              <w:left w:val="single" w:sz="4" w:space="0" w:color="auto"/>
              <w:bottom w:val="single" w:sz="4" w:space="0" w:color="auto"/>
              <w:right w:val="single" w:sz="4" w:space="0" w:color="auto"/>
            </w:tcBorders>
            <w:vAlign w:val="center"/>
          </w:tcPr>
          <w:p w14:paraId="37613BE9" w14:textId="54FAE678" w:rsidR="00F5289E" w:rsidRPr="00CB488D" w:rsidRDefault="00306BC8">
            <w:pPr>
              <w:widowControl/>
              <w:jc w:val="center"/>
              <w:rPr>
                <w:kern w:val="0"/>
                <w:sz w:val="18"/>
                <w:szCs w:val="18"/>
                <w:lang w:bidi="ar"/>
              </w:rPr>
            </w:pPr>
            <w:r w:rsidRPr="00CB488D">
              <w:rPr>
                <w:rFonts w:hint="eastAsia"/>
                <w:kern w:val="0"/>
                <w:sz w:val="18"/>
                <w:szCs w:val="18"/>
                <w:lang w:bidi="ar"/>
              </w:rPr>
              <w:t>1</w:t>
            </w:r>
          </w:p>
          <w:p w14:paraId="28441BA8" w14:textId="62436621" w:rsidR="00F5289E" w:rsidRPr="00CB488D" w:rsidRDefault="00306BC8">
            <w:pPr>
              <w:widowControl/>
              <w:jc w:val="center"/>
              <w:rPr>
                <w:sz w:val="18"/>
                <w:szCs w:val="18"/>
              </w:rPr>
            </w:pPr>
            <w:r w:rsidRPr="00CB488D">
              <w:rPr>
                <w:rFonts w:hint="eastAsia"/>
                <w:sz w:val="18"/>
                <w:szCs w:val="18"/>
              </w:rPr>
              <w:t>2</w:t>
            </w:r>
          </w:p>
        </w:tc>
      </w:tr>
      <w:tr w:rsidR="00F5289E" w14:paraId="2FF61E3E" w14:textId="77777777">
        <w:trPr>
          <w:trHeight w:val="963"/>
          <w:jc w:val="center"/>
        </w:trPr>
        <w:tc>
          <w:tcPr>
            <w:tcW w:w="777" w:type="dxa"/>
            <w:tcBorders>
              <w:top w:val="single" w:sz="4" w:space="0" w:color="auto"/>
              <w:left w:val="single" w:sz="4" w:space="0" w:color="auto"/>
              <w:bottom w:val="single" w:sz="4" w:space="0" w:color="auto"/>
              <w:right w:val="single" w:sz="4" w:space="0" w:color="auto"/>
            </w:tcBorders>
            <w:vAlign w:val="center"/>
          </w:tcPr>
          <w:p w14:paraId="276FFC01" w14:textId="77777777" w:rsidR="00F5289E" w:rsidRDefault="00C91173">
            <w:pPr>
              <w:spacing w:line="320" w:lineRule="exact"/>
              <w:jc w:val="center"/>
              <w:rPr>
                <w:sz w:val="18"/>
                <w:szCs w:val="18"/>
              </w:rPr>
            </w:pPr>
            <w:r>
              <w:rPr>
                <w:sz w:val="18"/>
                <w:szCs w:val="18"/>
              </w:rPr>
              <w:t>2</w:t>
            </w:r>
          </w:p>
        </w:tc>
        <w:tc>
          <w:tcPr>
            <w:tcW w:w="7068" w:type="dxa"/>
            <w:tcBorders>
              <w:top w:val="single" w:sz="4" w:space="0" w:color="auto"/>
              <w:left w:val="single" w:sz="4" w:space="0" w:color="auto"/>
              <w:bottom w:val="single" w:sz="4" w:space="0" w:color="auto"/>
              <w:right w:val="single" w:sz="4" w:space="0" w:color="auto"/>
            </w:tcBorders>
            <w:vAlign w:val="center"/>
          </w:tcPr>
          <w:p w14:paraId="0E237C8C" w14:textId="77777777" w:rsidR="00F5289E" w:rsidRDefault="00C91173">
            <w:pPr>
              <w:spacing w:line="320" w:lineRule="exact"/>
              <w:jc w:val="left"/>
              <w:rPr>
                <w:sz w:val="18"/>
                <w:szCs w:val="18"/>
                <w:highlight w:val="yellow"/>
              </w:rPr>
            </w:pPr>
            <w:r>
              <w:rPr>
                <w:sz w:val="18"/>
                <w:szCs w:val="18"/>
              </w:rPr>
              <w:t>目标</w:t>
            </w:r>
            <w:r>
              <w:rPr>
                <w:sz w:val="18"/>
                <w:szCs w:val="18"/>
              </w:rPr>
              <w:t>2</w:t>
            </w:r>
            <w:r>
              <w:rPr>
                <w:sz w:val="18"/>
                <w:szCs w:val="18"/>
              </w:rPr>
              <w:t>：掌握设施栽培中的光、温、水、气体、土壤等的变化规律及其原理及调控技术，并为园艺设施生产提供指导，</w:t>
            </w:r>
            <w:r>
              <w:rPr>
                <w:bCs/>
                <w:sz w:val="18"/>
                <w:szCs w:val="18"/>
              </w:rPr>
              <w:t>在一定程度上提出相应的对策、建议或解决方案，</w:t>
            </w:r>
            <w:r>
              <w:rPr>
                <w:sz w:val="18"/>
                <w:szCs w:val="18"/>
              </w:rPr>
              <w:t>具备浓厚的</w:t>
            </w:r>
            <w:r>
              <w:rPr>
                <w:sz w:val="18"/>
                <w:szCs w:val="18"/>
              </w:rPr>
              <w:t>“</w:t>
            </w:r>
            <w:r>
              <w:rPr>
                <w:sz w:val="18"/>
                <w:szCs w:val="18"/>
              </w:rPr>
              <w:t>三农</w:t>
            </w:r>
            <w:r>
              <w:rPr>
                <w:sz w:val="18"/>
                <w:szCs w:val="18"/>
              </w:rPr>
              <w:t>”</w:t>
            </w:r>
            <w:r>
              <w:rPr>
                <w:sz w:val="18"/>
                <w:szCs w:val="18"/>
              </w:rPr>
              <w:t>情怀和自我学习意识。</w:t>
            </w:r>
          </w:p>
        </w:tc>
        <w:tc>
          <w:tcPr>
            <w:tcW w:w="1332" w:type="dxa"/>
            <w:tcBorders>
              <w:top w:val="single" w:sz="4" w:space="0" w:color="auto"/>
              <w:left w:val="single" w:sz="4" w:space="0" w:color="auto"/>
              <w:bottom w:val="single" w:sz="4" w:space="0" w:color="auto"/>
              <w:right w:val="single" w:sz="4" w:space="0" w:color="auto"/>
            </w:tcBorders>
            <w:vAlign w:val="center"/>
          </w:tcPr>
          <w:p w14:paraId="026DB398" w14:textId="262AC74B" w:rsidR="00F5289E" w:rsidRPr="00CB488D" w:rsidRDefault="00CB488D">
            <w:pPr>
              <w:widowControl/>
              <w:jc w:val="center"/>
              <w:rPr>
                <w:kern w:val="0"/>
                <w:sz w:val="18"/>
                <w:szCs w:val="18"/>
                <w:lang w:bidi="ar"/>
              </w:rPr>
            </w:pPr>
            <w:r w:rsidRPr="00CB488D">
              <w:rPr>
                <w:rFonts w:hint="eastAsia"/>
                <w:kern w:val="0"/>
                <w:sz w:val="18"/>
                <w:szCs w:val="18"/>
                <w:lang w:bidi="ar"/>
              </w:rPr>
              <w:t>2</w:t>
            </w:r>
          </w:p>
          <w:p w14:paraId="458F928E" w14:textId="508F16C8" w:rsidR="00F5289E" w:rsidRPr="00CB488D" w:rsidRDefault="00CB488D">
            <w:pPr>
              <w:widowControl/>
              <w:jc w:val="center"/>
              <w:rPr>
                <w:sz w:val="18"/>
                <w:szCs w:val="18"/>
              </w:rPr>
            </w:pPr>
            <w:r w:rsidRPr="00CB488D">
              <w:rPr>
                <w:rFonts w:hint="eastAsia"/>
                <w:sz w:val="18"/>
                <w:szCs w:val="18"/>
              </w:rPr>
              <w:t>3</w:t>
            </w:r>
          </w:p>
        </w:tc>
      </w:tr>
      <w:tr w:rsidR="00F5289E" w14:paraId="69D35B9B" w14:textId="77777777">
        <w:trPr>
          <w:trHeight w:val="963"/>
          <w:jc w:val="center"/>
        </w:trPr>
        <w:tc>
          <w:tcPr>
            <w:tcW w:w="777" w:type="dxa"/>
            <w:tcBorders>
              <w:top w:val="single" w:sz="4" w:space="0" w:color="auto"/>
              <w:left w:val="single" w:sz="4" w:space="0" w:color="auto"/>
              <w:bottom w:val="single" w:sz="4" w:space="0" w:color="auto"/>
              <w:right w:val="single" w:sz="4" w:space="0" w:color="auto"/>
            </w:tcBorders>
            <w:vAlign w:val="center"/>
          </w:tcPr>
          <w:p w14:paraId="0FF2F409" w14:textId="77777777" w:rsidR="00F5289E" w:rsidRDefault="00C91173">
            <w:pPr>
              <w:spacing w:line="320" w:lineRule="exact"/>
              <w:jc w:val="center"/>
              <w:rPr>
                <w:sz w:val="18"/>
                <w:szCs w:val="18"/>
              </w:rPr>
            </w:pPr>
            <w:r>
              <w:rPr>
                <w:sz w:val="18"/>
                <w:szCs w:val="18"/>
              </w:rPr>
              <w:t>3</w:t>
            </w:r>
          </w:p>
        </w:tc>
        <w:tc>
          <w:tcPr>
            <w:tcW w:w="7068" w:type="dxa"/>
            <w:tcBorders>
              <w:top w:val="single" w:sz="4" w:space="0" w:color="auto"/>
              <w:left w:val="single" w:sz="4" w:space="0" w:color="auto"/>
              <w:bottom w:val="single" w:sz="4" w:space="0" w:color="auto"/>
              <w:right w:val="single" w:sz="4" w:space="0" w:color="auto"/>
            </w:tcBorders>
            <w:vAlign w:val="center"/>
          </w:tcPr>
          <w:p w14:paraId="7688C9FE" w14:textId="77777777" w:rsidR="00F5289E" w:rsidRDefault="00C91173">
            <w:pPr>
              <w:spacing w:line="320" w:lineRule="exact"/>
              <w:jc w:val="left"/>
              <w:rPr>
                <w:sz w:val="18"/>
                <w:szCs w:val="18"/>
              </w:rPr>
            </w:pPr>
            <w:r>
              <w:rPr>
                <w:sz w:val="18"/>
                <w:szCs w:val="18"/>
              </w:rPr>
              <w:t>目标</w:t>
            </w:r>
            <w:r>
              <w:rPr>
                <w:sz w:val="18"/>
                <w:szCs w:val="18"/>
              </w:rPr>
              <w:t>3</w:t>
            </w:r>
            <w:r>
              <w:rPr>
                <w:sz w:val="18"/>
                <w:szCs w:val="18"/>
              </w:rPr>
              <w:t>：</w:t>
            </w:r>
            <w:r>
              <w:rPr>
                <w:bCs/>
                <w:sz w:val="18"/>
                <w:szCs w:val="18"/>
              </w:rPr>
              <w:t>了解我国南北方设施环境的调控策略，具备文献检索和资料查阅的能力。了解设施园艺科学及相应园艺产业链的发展动态。</w:t>
            </w:r>
          </w:p>
        </w:tc>
        <w:tc>
          <w:tcPr>
            <w:tcW w:w="1332" w:type="dxa"/>
            <w:tcBorders>
              <w:top w:val="single" w:sz="4" w:space="0" w:color="auto"/>
              <w:left w:val="single" w:sz="4" w:space="0" w:color="auto"/>
              <w:bottom w:val="single" w:sz="4" w:space="0" w:color="auto"/>
              <w:right w:val="single" w:sz="4" w:space="0" w:color="auto"/>
            </w:tcBorders>
            <w:vAlign w:val="center"/>
          </w:tcPr>
          <w:p w14:paraId="78BA1579" w14:textId="30904F1C" w:rsidR="00F5289E" w:rsidRPr="00CB488D" w:rsidRDefault="00CB488D">
            <w:pPr>
              <w:widowControl/>
              <w:jc w:val="center"/>
            </w:pPr>
            <w:r w:rsidRPr="00CB488D">
              <w:rPr>
                <w:rFonts w:hint="eastAsia"/>
              </w:rPr>
              <w:t>3</w:t>
            </w:r>
          </w:p>
          <w:p w14:paraId="15D6BB12" w14:textId="115E6B72" w:rsidR="00F5289E" w:rsidRPr="00CB488D" w:rsidRDefault="00CB488D">
            <w:pPr>
              <w:widowControl/>
              <w:jc w:val="center"/>
              <w:rPr>
                <w:sz w:val="18"/>
                <w:szCs w:val="18"/>
              </w:rPr>
            </w:pPr>
            <w:r w:rsidRPr="00CB488D">
              <w:rPr>
                <w:rFonts w:hint="eastAsia"/>
                <w:sz w:val="18"/>
                <w:szCs w:val="18"/>
              </w:rPr>
              <w:t>5</w:t>
            </w:r>
          </w:p>
        </w:tc>
      </w:tr>
      <w:tr w:rsidR="00F5289E" w14:paraId="2696035E" w14:textId="77777777">
        <w:trPr>
          <w:trHeight w:val="840"/>
          <w:jc w:val="center"/>
        </w:trPr>
        <w:tc>
          <w:tcPr>
            <w:tcW w:w="777" w:type="dxa"/>
            <w:tcBorders>
              <w:top w:val="single" w:sz="4" w:space="0" w:color="auto"/>
              <w:left w:val="single" w:sz="4" w:space="0" w:color="auto"/>
              <w:bottom w:val="single" w:sz="4" w:space="0" w:color="auto"/>
              <w:right w:val="single" w:sz="4" w:space="0" w:color="auto"/>
            </w:tcBorders>
            <w:vAlign w:val="center"/>
          </w:tcPr>
          <w:p w14:paraId="6C6E40BE" w14:textId="77777777" w:rsidR="00F5289E" w:rsidRDefault="00C91173">
            <w:pPr>
              <w:spacing w:line="320" w:lineRule="exact"/>
              <w:jc w:val="center"/>
              <w:rPr>
                <w:sz w:val="18"/>
                <w:szCs w:val="18"/>
              </w:rPr>
            </w:pPr>
            <w:r>
              <w:rPr>
                <w:sz w:val="18"/>
                <w:szCs w:val="18"/>
              </w:rPr>
              <w:t>4</w:t>
            </w:r>
          </w:p>
        </w:tc>
        <w:tc>
          <w:tcPr>
            <w:tcW w:w="7068" w:type="dxa"/>
            <w:tcBorders>
              <w:top w:val="single" w:sz="4" w:space="0" w:color="auto"/>
              <w:left w:val="single" w:sz="4" w:space="0" w:color="auto"/>
              <w:bottom w:val="single" w:sz="4" w:space="0" w:color="auto"/>
              <w:right w:val="single" w:sz="4" w:space="0" w:color="auto"/>
            </w:tcBorders>
            <w:vAlign w:val="center"/>
          </w:tcPr>
          <w:p w14:paraId="5CB6A764" w14:textId="77777777" w:rsidR="00F5289E" w:rsidRDefault="00C91173">
            <w:pPr>
              <w:spacing w:line="320" w:lineRule="exact"/>
              <w:rPr>
                <w:sz w:val="18"/>
                <w:szCs w:val="18"/>
              </w:rPr>
            </w:pPr>
            <w:r>
              <w:rPr>
                <w:bCs/>
                <w:sz w:val="18"/>
                <w:szCs w:val="18"/>
              </w:rPr>
              <w:t>目标</w:t>
            </w:r>
            <w:r>
              <w:rPr>
                <w:bCs/>
                <w:sz w:val="18"/>
                <w:szCs w:val="18"/>
              </w:rPr>
              <w:t>4</w:t>
            </w:r>
            <w:r>
              <w:rPr>
                <w:bCs/>
                <w:sz w:val="18"/>
                <w:szCs w:val="18"/>
              </w:rPr>
              <w:t>：</w:t>
            </w:r>
            <w:r>
              <w:rPr>
                <w:sz w:val="18"/>
                <w:szCs w:val="18"/>
              </w:rPr>
              <w:t>掌握设施环境参数的测定方法，以及环境调节设备的配置等，</w:t>
            </w:r>
            <w:r>
              <w:rPr>
                <w:bCs/>
                <w:sz w:val="18"/>
                <w:szCs w:val="18"/>
              </w:rPr>
              <w:t>具备团队协作意识和跨学科学习和合作能力。</w:t>
            </w:r>
          </w:p>
        </w:tc>
        <w:tc>
          <w:tcPr>
            <w:tcW w:w="1332" w:type="dxa"/>
            <w:tcBorders>
              <w:top w:val="single" w:sz="4" w:space="0" w:color="auto"/>
              <w:left w:val="single" w:sz="4" w:space="0" w:color="auto"/>
              <w:bottom w:val="single" w:sz="4" w:space="0" w:color="auto"/>
              <w:right w:val="single" w:sz="4" w:space="0" w:color="auto"/>
            </w:tcBorders>
            <w:vAlign w:val="center"/>
          </w:tcPr>
          <w:p w14:paraId="66409698" w14:textId="1CFEC0AE" w:rsidR="00F5289E" w:rsidRPr="00CB488D" w:rsidRDefault="00CB488D">
            <w:pPr>
              <w:widowControl/>
              <w:jc w:val="center"/>
              <w:rPr>
                <w:kern w:val="0"/>
                <w:sz w:val="18"/>
                <w:szCs w:val="18"/>
                <w:lang w:bidi="ar"/>
              </w:rPr>
            </w:pPr>
            <w:r w:rsidRPr="00CB488D">
              <w:rPr>
                <w:rFonts w:hint="eastAsia"/>
                <w:kern w:val="0"/>
                <w:sz w:val="18"/>
                <w:szCs w:val="18"/>
                <w:lang w:bidi="ar"/>
              </w:rPr>
              <w:t>5</w:t>
            </w:r>
          </w:p>
          <w:p w14:paraId="56DE3B4E" w14:textId="7C47AFD3" w:rsidR="00F5289E" w:rsidRPr="00CB488D" w:rsidRDefault="00CB488D">
            <w:pPr>
              <w:widowControl/>
              <w:jc w:val="center"/>
              <w:rPr>
                <w:sz w:val="18"/>
                <w:szCs w:val="18"/>
              </w:rPr>
            </w:pPr>
            <w:r w:rsidRPr="00CB488D">
              <w:rPr>
                <w:rFonts w:hint="eastAsia"/>
                <w:sz w:val="18"/>
                <w:szCs w:val="18"/>
              </w:rPr>
              <w:t>7</w:t>
            </w:r>
          </w:p>
        </w:tc>
      </w:tr>
    </w:tbl>
    <w:p w14:paraId="640BF36E" w14:textId="77777777" w:rsidR="00F5289E" w:rsidRDefault="00F5289E">
      <w:pPr>
        <w:widowControl/>
        <w:snapToGrid w:val="0"/>
        <w:spacing w:line="360" w:lineRule="auto"/>
        <w:jc w:val="left"/>
        <w:rPr>
          <w:b/>
          <w:bCs/>
          <w:kern w:val="0"/>
          <w:szCs w:val="21"/>
        </w:rPr>
      </w:pPr>
    </w:p>
    <w:p w14:paraId="3986AB56" w14:textId="77777777" w:rsidR="00F5289E" w:rsidRDefault="00C91173">
      <w:pPr>
        <w:widowControl/>
        <w:snapToGrid w:val="0"/>
        <w:spacing w:line="360" w:lineRule="auto"/>
        <w:jc w:val="left"/>
        <w:rPr>
          <w:bCs/>
          <w:color w:val="0000FF"/>
          <w:kern w:val="0"/>
          <w:szCs w:val="21"/>
        </w:rPr>
      </w:pPr>
      <w:r>
        <w:rPr>
          <w:b/>
          <w:bCs/>
          <w:kern w:val="0"/>
          <w:szCs w:val="21"/>
        </w:rPr>
        <w:t>四、理论教学内容及学时分配（</w:t>
      </w:r>
      <w:r>
        <w:rPr>
          <w:b/>
          <w:bCs/>
          <w:kern w:val="0"/>
          <w:szCs w:val="21"/>
        </w:rPr>
        <w:t>40</w:t>
      </w:r>
      <w:r>
        <w:rPr>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1579"/>
        <w:gridCol w:w="5059"/>
        <w:gridCol w:w="2258"/>
      </w:tblGrid>
      <w:tr w:rsidR="00F5289E" w14:paraId="7E56E297" w14:textId="77777777">
        <w:trPr>
          <w:trHeight w:val="90"/>
        </w:trPr>
        <w:tc>
          <w:tcPr>
            <w:tcW w:w="1579" w:type="dxa"/>
            <w:tcBorders>
              <w:top w:val="nil"/>
              <w:left w:val="nil"/>
              <w:bottom w:val="nil"/>
              <w:right w:val="nil"/>
            </w:tcBorders>
            <w:vAlign w:val="center"/>
          </w:tcPr>
          <w:p w14:paraId="7E67DD0D" w14:textId="77777777" w:rsidR="00F5289E" w:rsidRDefault="00F5289E">
            <w:pPr>
              <w:widowControl/>
              <w:snapToGrid w:val="0"/>
              <w:spacing w:line="360" w:lineRule="auto"/>
              <w:jc w:val="center"/>
              <w:rPr>
                <w:b/>
                <w:bCs/>
                <w:kern w:val="0"/>
                <w:szCs w:val="21"/>
              </w:rPr>
            </w:pPr>
          </w:p>
        </w:tc>
        <w:tc>
          <w:tcPr>
            <w:tcW w:w="5059" w:type="dxa"/>
            <w:tcBorders>
              <w:top w:val="nil"/>
              <w:left w:val="nil"/>
              <w:bottom w:val="nil"/>
              <w:right w:val="nil"/>
            </w:tcBorders>
            <w:vAlign w:val="center"/>
          </w:tcPr>
          <w:p w14:paraId="7198419E" w14:textId="77777777" w:rsidR="00F5289E" w:rsidRDefault="00C91173">
            <w:pPr>
              <w:widowControl/>
              <w:snapToGrid w:val="0"/>
              <w:spacing w:line="360" w:lineRule="auto"/>
              <w:jc w:val="center"/>
              <w:rPr>
                <w:b/>
                <w:bCs/>
                <w:kern w:val="0"/>
                <w:szCs w:val="21"/>
              </w:rPr>
            </w:pPr>
            <w:r>
              <w:rPr>
                <w:b/>
                <w:bCs/>
                <w:kern w:val="0"/>
                <w:szCs w:val="21"/>
              </w:rPr>
              <w:t>绪论</w:t>
            </w:r>
          </w:p>
        </w:tc>
        <w:tc>
          <w:tcPr>
            <w:tcW w:w="2258" w:type="dxa"/>
            <w:tcBorders>
              <w:top w:val="nil"/>
              <w:left w:val="nil"/>
              <w:bottom w:val="nil"/>
              <w:right w:val="nil"/>
            </w:tcBorders>
            <w:vAlign w:val="center"/>
          </w:tcPr>
          <w:p w14:paraId="791A3B03"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663FA879" w14:textId="77777777" w:rsidR="00F5289E" w:rsidRDefault="00C91173">
      <w:pPr>
        <w:widowControl/>
        <w:adjustRightInd w:val="0"/>
        <w:spacing w:line="360" w:lineRule="auto"/>
        <w:rPr>
          <w:b/>
          <w:bCs/>
          <w:kern w:val="0"/>
          <w:szCs w:val="21"/>
        </w:rPr>
      </w:pPr>
      <w:r>
        <w:rPr>
          <w:b/>
          <w:bCs/>
        </w:rPr>
        <w:t>教学目标：</w:t>
      </w:r>
      <w:r>
        <w:rPr>
          <w:szCs w:val="21"/>
        </w:rPr>
        <w:t>了解设施园艺研究的意义</w:t>
      </w:r>
      <w:r>
        <w:rPr>
          <w:bCs/>
          <w:szCs w:val="21"/>
        </w:rPr>
        <w:t>；掌握国内外</w:t>
      </w:r>
      <w:r>
        <w:rPr>
          <w:szCs w:val="21"/>
        </w:rPr>
        <w:t>设施园艺的发展现状</w:t>
      </w:r>
    </w:p>
    <w:p w14:paraId="332F2045" w14:textId="77777777" w:rsidR="00F5289E" w:rsidRDefault="00C91173">
      <w:pPr>
        <w:widowControl/>
        <w:adjustRightInd w:val="0"/>
        <w:spacing w:line="360" w:lineRule="auto"/>
        <w:rPr>
          <w:b/>
          <w:bCs/>
          <w:kern w:val="0"/>
          <w:szCs w:val="21"/>
        </w:rPr>
      </w:pPr>
      <w:r>
        <w:rPr>
          <w:b/>
          <w:bCs/>
        </w:rPr>
        <w:t>教学重点和难点：</w:t>
      </w:r>
      <w:r>
        <w:rPr>
          <w:spacing w:val="-2"/>
          <w:szCs w:val="21"/>
        </w:rPr>
        <w:t>设施园艺的概念、主要内容与特点；国内外设施园艺的利用现状及前景</w:t>
      </w:r>
      <w:r>
        <w:rPr>
          <w:color w:val="262600"/>
        </w:rPr>
        <w:t>。</w:t>
      </w:r>
    </w:p>
    <w:p w14:paraId="31F5C9A3" w14:textId="77777777" w:rsidR="00F5289E" w:rsidRDefault="00C91173">
      <w:pPr>
        <w:adjustRightInd w:val="0"/>
        <w:spacing w:line="360" w:lineRule="auto"/>
        <w:contextualSpacing/>
        <w:rPr>
          <w:b/>
        </w:rPr>
      </w:pPr>
      <w:r>
        <w:rPr>
          <w:b/>
        </w:rPr>
        <w:t>主要教学内容及要求：</w:t>
      </w:r>
    </w:p>
    <w:p w14:paraId="3D455280" w14:textId="77777777" w:rsidR="00F5289E" w:rsidRDefault="00C91173">
      <w:pPr>
        <w:adjustRightInd w:val="0"/>
        <w:spacing w:line="360" w:lineRule="auto"/>
        <w:contextualSpacing/>
        <w:rPr>
          <w:color w:val="000000"/>
        </w:rPr>
      </w:pPr>
      <w:r>
        <w:rPr>
          <w:bCs/>
          <w:szCs w:val="21"/>
        </w:rPr>
        <w:t>一</w:t>
      </w:r>
      <w:r>
        <w:rPr>
          <w:bCs/>
          <w:szCs w:val="21"/>
        </w:rPr>
        <w:t xml:space="preserve"> </w:t>
      </w:r>
      <w:r>
        <w:rPr>
          <w:bCs/>
          <w:szCs w:val="21"/>
        </w:rPr>
        <w:t>设施环境与调控研究内容</w:t>
      </w:r>
      <w:r>
        <w:rPr>
          <w:color w:val="000000"/>
        </w:rPr>
        <w:t>(</w:t>
      </w:r>
      <w:r>
        <w:rPr>
          <w:color w:val="000000"/>
        </w:rPr>
        <w:t>了解</w:t>
      </w:r>
      <w:r>
        <w:rPr>
          <w:color w:val="000000"/>
        </w:rPr>
        <w:t xml:space="preserve">)   </w:t>
      </w:r>
    </w:p>
    <w:p w14:paraId="277ABBA3" w14:textId="77777777" w:rsidR="00F5289E" w:rsidRDefault="00C91173">
      <w:pPr>
        <w:adjustRightInd w:val="0"/>
        <w:spacing w:line="360" w:lineRule="auto"/>
        <w:contextualSpacing/>
        <w:rPr>
          <w:bCs/>
          <w:szCs w:val="21"/>
        </w:rPr>
      </w:pPr>
      <w:r>
        <w:rPr>
          <w:bCs/>
          <w:szCs w:val="21"/>
        </w:rPr>
        <w:t>二</w:t>
      </w:r>
      <w:r>
        <w:rPr>
          <w:bCs/>
          <w:szCs w:val="21"/>
        </w:rPr>
        <w:t xml:space="preserve"> </w:t>
      </w:r>
      <w:r>
        <w:rPr>
          <w:bCs/>
          <w:szCs w:val="21"/>
        </w:rPr>
        <w:t>设施环境与调控在生产中的应用</w:t>
      </w:r>
      <w:r>
        <w:rPr>
          <w:color w:val="000000"/>
        </w:rPr>
        <w:t>(</w:t>
      </w:r>
      <w:r>
        <w:rPr>
          <w:color w:val="000000"/>
        </w:rPr>
        <w:t>了解</w:t>
      </w:r>
      <w:r>
        <w:rPr>
          <w:color w:val="000000"/>
        </w:rPr>
        <w:t>)</w:t>
      </w:r>
    </w:p>
    <w:p w14:paraId="2A7D2C77" w14:textId="77777777" w:rsidR="00F5289E" w:rsidRDefault="00C91173">
      <w:pPr>
        <w:adjustRightInd w:val="0"/>
        <w:spacing w:line="360" w:lineRule="auto"/>
        <w:contextualSpacing/>
      </w:pPr>
      <w:r>
        <w:t>三</w:t>
      </w:r>
      <w:r>
        <w:t xml:space="preserve"> </w:t>
      </w:r>
      <w:r>
        <w:t>设施</w:t>
      </w:r>
      <w:r>
        <w:rPr>
          <w:bCs/>
          <w:szCs w:val="21"/>
        </w:rPr>
        <w:t>环境与调控</w:t>
      </w:r>
      <w:r>
        <w:t>发展概述</w:t>
      </w:r>
      <w:r>
        <w:t xml:space="preserve"> </w:t>
      </w:r>
      <w:r>
        <w:rPr>
          <w:color w:val="000000"/>
        </w:rPr>
        <w:t>(</w:t>
      </w:r>
      <w:r>
        <w:rPr>
          <w:color w:val="000000"/>
        </w:rPr>
        <w:t>了解</w:t>
      </w:r>
      <w:r>
        <w:rPr>
          <w:color w:val="000000"/>
        </w:rPr>
        <w:t>)</w:t>
      </w:r>
      <w:r>
        <w:t xml:space="preserve">  </w:t>
      </w:r>
    </w:p>
    <w:p w14:paraId="1F1F9950" w14:textId="77777777" w:rsidR="00F5289E" w:rsidRDefault="00C91173">
      <w:pPr>
        <w:adjustRightInd w:val="0"/>
        <w:spacing w:line="360" w:lineRule="auto"/>
        <w:contextualSpacing/>
      </w:pPr>
      <w:r>
        <w:t>四</w:t>
      </w:r>
      <w:r>
        <w:t xml:space="preserve"> </w:t>
      </w:r>
      <w:r>
        <w:t>我国设施栽培存在的问题及发展趋势</w:t>
      </w:r>
      <w:r>
        <w:t xml:space="preserve"> </w:t>
      </w:r>
      <w:r>
        <w:rPr>
          <w:color w:val="000000"/>
        </w:rPr>
        <w:t>(</w:t>
      </w:r>
      <w:r>
        <w:rPr>
          <w:color w:val="000000"/>
        </w:rPr>
        <w:t>了解</w:t>
      </w:r>
      <w:r>
        <w:rPr>
          <w:color w:val="000000"/>
        </w:rPr>
        <w:t>)</w:t>
      </w:r>
      <w:r>
        <w:t xml:space="preserve">    </w:t>
      </w:r>
    </w:p>
    <w:p w14:paraId="1A4961DD" w14:textId="77777777" w:rsidR="00F5289E" w:rsidRDefault="00C91173">
      <w:pPr>
        <w:adjustRightInd w:val="0"/>
        <w:spacing w:line="360" w:lineRule="auto"/>
        <w:ind w:right="660"/>
        <w:contextualSpacing/>
        <w:rPr>
          <w:color w:val="262600"/>
        </w:rPr>
      </w:pPr>
      <w:r>
        <w:t>五</w:t>
      </w:r>
      <w:r>
        <w:t xml:space="preserve"> </w:t>
      </w:r>
      <w:r>
        <w:t>河南省的设施园艺概述</w:t>
      </w:r>
      <w:r>
        <w:rPr>
          <w:color w:val="000000"/>
        </w:rPr>
        <w:t>(</w:t>
      </w:r>
      <w:r>
        <w:rPr>
          <w:color w:val="000000"/>
        </w:rPr>
        <w:t>了解</w:t>
      </w:r>
      <w:r>
        <w:rPr>
          <w:color w:val="000000"/>
        </w:rPr>
        <w:t>)</w:t>
      </w:r>
    </w:p>
    <w:p w14:paraId="0C3C1FEC" w14:textId="77777777" w:rsidR="00F5289E" w:rsidRDefault="00C91173">
      <w:pPr>
        <w:widowControl/>
        <w:spacing w:line="360" w:lineRule="auto"/>
      </w:pPr>
      <w:r>
        <w:rPr>
          <w:b/>
          <w:bCs/>
        </w:rPr>
        <w:t>教学组织与实施：</w:t>
      </w:r>
      <w:r>
        <w:rPr>
          <w:color w:val="000000"/>
        </w:rPr>
        <w:t>多媒体讲授，</w:t>
      </w:r>
      <w:r>
        <w:t>教师为主导、学生为主体</w:t>
      </w:r>
      <w:r>
        <w:rPr>
          <w:color w:val="000000"/>
        </w:rPr>
        <w:t>。</w:t>
      </w:r>
    </w:p>
    <w:tbl>
      <w:tblPr>
        <w:tblStyle w:val="af6"/>
        <w:tblW w:w="0" w:type="auto"/>
        <w:tblInd w:w="4" w:type="dxa"/>
        <w:tblCellMar>
          <w:left w:w="0" w:type="dxa"/>
          <w:right w:w="0" w:type="dxa"/>
        </w:tblCellMar>
        <w:tblLook w:val="04A0" w:firstRow="1" w:lastRow="0" w:firstColumn="1" w:lastColumn="0" w:noHBand="0" w:noVBand="1"/>
      </w:tblPr>
      <w:tblGrid>
        <w:gridCol w:w="1565"/>
        <w:gridCol w:w="5100"/>
        <w:gridCol w:w="2231"/>
      </w:tblGrid>
      <w:tr w:rsidR="00F5289E" w14:paraId="37133824" w14:textId="77777777">
        <w:trPr>
          <w:trHeight w:val="270"/>
        </w:trPr>
        <w:tc>
          <w:tcPr>
            <w:tcW w:w="1565" w:type="dxa"/>
            <w:tcBorders>
              <w:top w:val="nil"/>
              <w:left w:val="nil"/>
              <w:bottom w:val="nil"/>
              <w:right w:val="nil"/>
            </w:tcBorders>
            <w:vAlign w:val="center"/>
          </w:tcPr>
          <w:p w14:paraId="79A162E5" w14:textId="77777777" w:rsidR="00F5289E" w:rsidRDefault="00F5289E">
            <w:pPr>
              <w:widowControl/>
              <w:snapToGrid w:val="0"/>
              <w:spacing w:line="360" w:lineRule="auto"/>
              <w:jc w:val="center"/>
              <w:rPr>
                <w:b/>
                <w:bCs/>
                <w:kern w:val="0"/>
                <w:szCs w:val="21"/>
              </w:rPr>
            </w:pPr>
          </w:p>
        </w:tc>
        <w:tc>
          <w:tcPr>
            <w:tcW w:w="5100" w:type="dxa"/>
            <w:tcBorders>
              <w:top w:val="nil"/>
              <w:left w:val="nil"/>
              <w:bottom w:val="nil"/>
              <w:right w:val="nil"/>
            </w:tcBorders>
            <w:vAlign w:val="center"/>
          </w:tcPr>
          <w:p w14:paraId="3F5BD3F1" w14:textId="77777777" w:rsidR="00F5289E" w:rsidRDefault="00C91173">
            <w:pPr>
              <w:widowControl/>
              <w:snapToGrid w:val="0"/>
              <w:spacing w:line="360" w:lineRule="auto"/>
              <w:jc w:val="center"/>
              <w:rPr>
                <w:b/>
                <w:bCs/>
                <w:kern w:val="0"/>
                <w:szCs w:val="21"/>
              </w:rPr>
            </w:pPr>
            <w:r>
              <w:rPr>
                <w:b/>
                <w:bCs/>
                <w:kern w:val="0"/>
                <w:szCs w:val="21"/>
              </w:rPr>
              <w:t>第一章</w:t>
            </w:r>
            <w:r>
              <w:rPr>
                <w:b/>
                <w:bCs/>
                <w:kern w:val="0"/>
                <w:szCs w:val="21"/>
              </w:rPr>
              <w:t xml:space="preserve">  </w:t>
            </w:r>
            <w:r>
              <w:rPr>
                <w:b/>
                <w:color w:val="262600"/>
              </w:rPr>
              <w:t>设施光照环境</w:t>
            </w:r>
            <w:r>
              <w:rPr>
                <w:rFonts w:hint="eastAsia"/>
                <w:b/>
                <w:color w:val="262600"/>
              </w:rPr>
              <w:t>特点与</w:t>
            </w:r>
            <w:r>
              <w:rPr>
                <w:b/>
                <w:color w:val="262600"/>
              </w:rPr>
              <w:t>调控技术</w:t>
            </w:r>
            <w:r>
              <w:rPr>
                <w:b/>
                <w:color w:val="262600"/>
              </w:rPr>
              <w:t xml:space="preserve"> </w:t>
            </w:r>
          </w:p>
        </w:tc>
        <w:tc>
          <w:tcPr>
            <w:tcW w:w="2231" w:type="dxa"/>
            <w:tcBorders>
              <w:top w:val="nil"/>
              <w:left w:val="nil"/>
              <w:bottom w:val="nil"/>
              <w:right w:val="nil"/>
            </w:tcBorders>
            <w:vAlign w:val="center"/>
          </w:tcPr>
          <w:p w14:paraId="40DE9BFE"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8</w:t>
            </w:r>
          </w:p>
        </w:tc>
      </w:tr>
    </w:tbl>
    <w:p w14:paraId="775D80E3" w14:textId="77777777" w:rsidR="00F5289E" w:rsidRDefault="00C91173">
      <w:pPr>
        <w:widowControl/>
        <w:spacing w:line="360" w:lineRule="auto"/>
        <w:rPr>
          <w:color w:val="262600"/>
        </w:rPr>
      </w:pPr>
      <w:r>
        <w:rPr>
          <w:b/>
          <w:bCs/>
        </w:rPr>
        <w:t>教学目标：</w:t>
      </w:r>
      <w:r>
        <w:rPr>
          <w:color w:val="262600"/>
        </w:rPr>
        <w:t>要求掌握设施内光照环境条件形成的原因和控制措施</w:t>
      </w:r>
    </w:p>
    <w:p w14:paraId="59266D10" w14:textId="77777777" w:rsidR="00F5289E" w:rsidRDefault="00C91173">
      <w:pPr>
        <w:widowControl/>
        <w:spacing w:line="360" w:lineRule="auto"/>
        <w:rPr>
          <w:b/>
          <w:bCs/>
          <w:kern w:val="0"/>
          <w:szCs w:val="21"/>
        </w:rPr>
      </w:pPr>
      <w:r>
        <w:rPr>
          <w:b/>
          <w:bCs/>
        </w:rPr>
        <w:t>教学重点和难点：</w:t>
      </w:r>
      <w:r>
        <w:rPr>
          <w:color w:val="262600"/>
        </w:rPr>
        <w:t>设施内光照环境的影响因素和调控措施。</w:t>
      </w:r>
    </w:p>
    <w:p w14:paraId="3232EE88" w14:textId="77777777" w:rsidR="00F5289E" w:rsidRDefault="00C91173">
      <w:pPr>
        <w:pStyle w:val="a7"/>
        <w:spacing w:line="360" w:lineRule="auto"/>
        <w:ind w:firstLineChars="0" w:firstLine="0"/>
        <w:rPr>
          <w:rFonts w:ascii="Times New Roman"/>
          <w:b/>
        </w:rPr>
      </w:pPr>
      <w:r>
        <w:rPr>
          <w:rFonts w:ascii="Times New Roman"/>
          <w:b/>
        </w:rPr>
        <w:t>主要教学内容及要求：</w:t>
      </w:r>
    </w:p>
    <w:p w14:paraId="66F5AA93" w14:textId="77777777" w:rsidR="00F5289E" w:rsidRDefault="00C91173">
      <w:pPr>
        <w:spacing w:line="360" w:lineRule="auto"/>
        <w:contextualSpacing/>
        <w:rPr>
          <w:b/>
          <w:bCs/>
        </w:rPr>
      </w:pPr>
      <w:r>
        <w:rPr>
          <w:b/>
          <w:bCs/>
        </w:rPr>
        <w:t>第一节</w:t>
      </w:r>
      <w:r>
        <w:rPr>
          <w:b/>
          <w:bCs/>
        </w:rPr>
        <w:t xml:space="preserve">  </w:t>
      </w:r>
      <w:r>
        <w:rPr>
          <w:b/>
          <w:color w:val="262600"/>
        </w:rPr>
        <w:t>设施光环境的特点及主要影响因素</w:t>
      </w:r>
      <w:r>
        <w:rPr>
          <w:b/>
          <w:bCs/>
        </w:rPr>
        <w:t>（</w:t>
      </w:r>
      <w:r>
        <w:rPr>
          <w:b/>
          <w:bCs/>
        </w:rPr>
        <w:t>3</w:t>
      </w:r>
      <w:r>
        <w:rPr>
          <w:b/>
          <w:bCs/>
        </w:rPr>
        <w:t>学时）</w:t>
      </w:r>
    </w:p>
    <w:p w14:paraId="799DBB11" w14:textId="77777777" w:rsidR="00F5289E" w:rsidRDefault="00C91173">
      <w:pPr>
        <w:spacing w:line="360" w:lineRule="auto"/>
        <w:contextualSpacing/>
        <w:rPr>
          <w:color w:val="262600"/>
        </w:rPr>
      </w:pPr>
      <w:r>
        <w:rPr>
          <w:color w:val="262600"/>
        </w:rPr>
        <w:lastRenderedPageBreak/>
        <w:t>一</w:t>
      </w:r>
      <w:r>
        <w:rPr>
          <w:color w:val="262600"/>
        </w:rPr>
        <w:t xml:space="preserve"> </w:t>
      </w:r>
      <w:r>
        <w:rPr>
          <w:color w:val="262600"/>
        </w:rPr>
        <w:t>光概述</w:t>
      </w:r>
    </w:p>
    <w:p w14:paraId="331E6A12" w14:textId="77777777" w:rsidR="00F5289E" w:rsidRDefault="00C91173">
      <w:pPr>
        <w:spacing w:line="360" w:lineRule="auto"/>
        <w:contextualSpacing/>
        <w:rPr>
          <w:color w:val="000000"/>
        </w:rPr>
      </w:pPr>
      <w:r>
        <w:rPr>
          <w:color w:val="262600"/>
        </w:rPr>
        <w:t>1</w:t>
      </w:r>
      <w:r>
        <w:rPr>
          <w:color w:val="262600"/>
        </w:rPr>
        <w:t>光的本质和定义</w:t>
      </w:r>
      <w:r>
        <w:rPr>
          <w:color w:val="000000"/>
        </w:rPr>
        <w:t>（了解）</w:t>
      </w:r>
    </w:p>
    <w:p w14:paraId="30D807C9" w14:textId="77777777" w:rsidR="00F5289E" w:rsidRDefault="00C91173">
      <w:pPr>
        <w:spacing w:line="360" w:lineRule="auto"/>
        <w:contextualSpacing/>
        <w:rPr>
          <w:color w:val="262600"/>
        </w:rPr>
      </w:pPr>
      <w:r>
        <w:rPr>
          <w:color w:val="262600"/>
        </w:rPr>
        <w:t>2</w:t>
      </w:r>
      <w:r>
        <w:rPr>
          <w:color w:val="262600"/>
        </w:rPr>
        <w:t>太阳辐射光谱</w:t>
      </w:r>
      <w:r>
        <w:rPr>
          <w:color w:val="000000"/>
        </w:rPr>
        <w:t>（了解</w:t>
      </w:r>
      <w:r>
        <w:rPr>
          <w:color w:val="000000"/>
        </w:rPr>
        <w:t>)</w:t>
      </w:r>
    </w:p>
    <w:p w14:paraId="6AAF7C4A" w14:textId="77777777" w:rsidR="00F5289E" w:rsidRDefault="00C91173">
      <w:pPr>
        <w:spacing w:line="360" w:lineRule="auto"/>
        <w:contextualSpacing/>
        <w:rPr>
          <w:color w:val="262600"/>
        </w:rPr>
      </w:pPr>
      <w:r>
        <w:rPr>
          <w:color w:val="262600"/>
        </w:rPr>
        <w:t>3</w:t>
      </w:r>
      <w:r>
        <w:rPr>
          <w:color w:val="262600"/>
        </w:rPr>
        <w:t>光的要素（光质、光照强度及度量、光周期）</w:t>
      </w:r>
      <w:r>
        <w:rPr>
          <w:color w:val="000000"/>
        </w:rPr>
        <w:t>（熟练掌握</w:t>
      </w:r>
      <w:r>
        <w:rPr>
          <w:color w:val="000000"/>
        </w:rPr>
        <w:t xml:space="preserve">) </w:t>
      </w:r>
    </w:p>
    <w:p w14:paraId="69400DA7" w14:textId="77777777" w:rsidR="00F5289E" w:rsidRDefault="00C91173">
      <w:pPr>
        <w:spacing w:line="360" w:lineRule="auto"/>
        <w:contextualSpacing/>
        <w:rPr>
          <w:color w:val="262600"/>
        </w:rPr>
      </w:pPr>
      <w:r>
        <w:rPr>
          <w:color w:val="262600"/>
        </w:rPr>
        <w:t>二</w:t>
      </w:r>
      <w:r>
        <w:rPr>
          <w:color w:val="262600"/>
        </w:rPr>
        <w:t xml:space="preserve"> </w:t>
      </w:r>
      <w:r>
        <w:rPr>
          <w:color w:val="262600"/>
        </w:rPr>
        <w:t>设施内的光环境特征</w:t>
      </w:r>
    </w:p>
    <w:p w14:paraId="5958B9A6" w14:textId="77777777" w:rsidR="00F5289E" w:rsidRDefault="00C91173">
      <w:pPr>
        <w:spacing w:line="360" w:lineRule="auto"/>
        <w:contextualSpacing/>
        <w:rPr>
          <w:color w:val="000000"/>
        </w:rPr>
      </w:pPr>
      <w:r>
        <w:rPr>
          <w:color w:val="262600"/>
        </w:rPr>
        <w:t>光强、光质、光分布、光照时数</w:t>
      </w:r>
      <w:r>
        <w:rPr>
          <w:color w:val="000000"/>
        </w:rPr>
        <w:t>（熟练掌握）</w:t>
      </w:r>
    </w:p>
    <w:p w14:paraId="3BD70A6B" w14:textId="77777777" w:rsidR="00F5289E" w:rsidRDefault="00C91173">
      <w:pPr>
        <w:spacing w:line="360" w:lineRule="auto"/>
        <w:contextualSpacing/>
        <w:rPr>
          <w:color w:val="262600"/>
        </w:rPr>
      </w:pPr>
      <w:r>
        <w:rPr>
          <w:color w:val="262600"/>
        </w:rPr>
        <w:t>三</w:t>
      </w:r>
      <w:r>
        <w:rPr>
          <w:color w:val="262600"/>
        </w:rPr>
        <w:t xml:space="preserve"> </w:t>
      </w:r>
      <w:r>
        <w:rPr>
          <w:color w:val="262600"/>
        </w:rPr>
        <w:t>设施内光照环境的影响因素</w:t>
      </w:r>
    </w:p>
    <w:p w14:paraId="43B7810A" w14:textId="77777777" w:rsidR="00F5289E" w:rsidRDefault="00C91173">
      <w:pPr>
        <w:spacing w:line="360" w:lineRule="auto"/>
        <w:contextualSpacing/>
        <w:rPr>
          <w:color w:val="262600"/>
        </w:rPr>
      </w:pPr>
      <w:r>
        <w:rPr>
          <w:color w:val="262600"/>
        </w:rPr>
        <w:t>室外光照、覆盖材料、温室的结构和栽培作物</w:t>
      </w:r>
      <w:r>
        <w:rPr>
          <w:color w:val="000000"/>
        </w:rPr>
        <w:t>（熟练掌握）</w:t>
      </w:r>
    </w:p>
    <w:p w14:paraId="71DE3220" w14:textId="77777777" w:rsidR="00F5289E" w:rsidRDefault="00C91173">
      <w:pPr>
        <w:spacing w:line="360" w:lineRule="auto"/>
        <w:contextualSpacing/>
        <w:rPr>
          <w:b/>
          <w:kern w:val="0"/>
          <w:szCs w:val="21"/>
        </w:rPr>
      </w:pPr>
      <w:r>
        <w:rPr>
          <w:b/>
          <w:bCs/>
          <w:color w:val="262600"/>
        </w:rPr>
        <w:t>第二节</w:t>
      </w:r>
      <w:r>
        <w:rPr>
          <w:color w:val="262600"/>
        </w:rPr>
        <w:t xml:space="preserve"> </w:t>
      </w:r>
      <w:r>
        <w:rPr>
          <w:b/>
          <w:bCs/>
          <w:color w:val="262600"/>
        </w:rPr>
        <w:t>作物对光照环境的要求</w:t>
      </w:r>
      <w:r>
        <w:rPr>
          <w:b/>
          <w:kern w:val="0"/>
          <w:szCs w:val="21"/>
        </w:rPr>
        <w:t> </w:t>
      </w:r>
      <w:r>
        <w:rPr>
          <w:b/>
          <w:kern w:val="0"/>
          <w:szCs w:val="21"/>
        </w:rPr>
        <w:t>（</w:t>
      </w:r>
      <w:r>
        <w:rPr>
          <w:b/>
          <w:kern w:val="0"/>
          <w:szCs w:val="21"/>
        </w:rPr>
        <w:t> 2</w:t>
      </w:r>
      <w:r>
        <w:rPr>
          <w:b/>
          <w:kern w:val="0"/>
          <w:szCs w:val="21"/>
        </w:rPr>
        <w:t>学时）</w:t>
      </w:r>
    </w:p>
    <w:p w14:paraId="7435D920" w14:textId="77777777" w:rsidR="00F5289E" w:rsidRDefault="00C91173">
      <w:pPr>
        <w:spacing w:line="360" w:lineRule="auto"/>
        <w:contextualSpacing/>
        <w:rPr>
          <w:color w:val="262600"/>
        </w:rPr>
      </w:pPr>
      <w:r>
        <w:rPr>
          <w:color w:val="262600"/>
        </w:rPr>
        <w:t>一</w:t>
      </w:r>
      <w:r>
        <w:rPr>
          <w:color w:val="262600"/>
        </w:rPr>
        <w:t xml:space="preserve"> </w:t>
      </w:r>
      <w:r>
        <w:rPr>
          <w:color w:val="262600"/>
        </w:rPr>
        <w:t>蔬菜作物对光强、光质和光周期的要求</w:t>
      </w:r>
      <w:r>
        <w:rPr>
          <w:color w:val="000000"/>
        </w:rPr>
        <w:t>（理解</w:t>
      </w:r>
      <w:r>
        <w:rPr>
          <w:color w:val="000000"/>
        </w:rPr>
        <w:t>)</w:t>
      </w:r>
    </w:p>
    <w:p w14:paraId="50D7A938" w14:textId="77777777" w:rsidR="00F5289E" w:rsidRDefault="00C91173">
      <w:pPr>
        <w:spacing w:line="360" w:lineRule="auto"/>
        <w:contextualSpacing/>
        <w:rPr>
          <w:color w:val="262600"/>
        </w:rPr>
      </w:pPr>
      <w:r>
        <w:rPr>
          <w:color w:val="262600"/>
        </w:rPr>
        <w:t>二</w:t>
      </w:r>
      <w:r>
        <w:rPr>
          <w:color w:val="262600"/>
        </w:rPr>
        <w:t xml:space="preserve"> </w:t>
      </w:r>
      <w:r>
        <w:rPr>
          <w:color w:val="262600"/>
        </w:rPr>
        <w:t>花卉作物对光强、光质和光周期的要求</w:t>
      </w:r>
      <w:r>
        <w:rPr>
          <w:color w:val="000000"/>
        </w:rPr>
        <w:t>（理解</w:t>
      </w:r>
      <w:r>
        <w:rPr>
          <w:color w:val="000000"/>
        </w:rPr>
        <w:t>)</w:t>
      </w:r>
    </w:p>
    <w:p w14:paraId="7C83A846" w14:textId="77777777" w:rsidR="00F5289E" w:rsidRDefault="00C91173">
      <w:pPr>
        <w:spacing w:line="360" w:lineRule="auto"/>
        <w:contextualSpacing/>
        <w:rPr>
          <w:color w:val="262600"/>
        </w:rPr>
      </w:pPr>
      <w:r>
        <w:rPr>
          <w:color w:val="262600"/>
        </w:rPr>
        <w:t>三</w:t>
      </w:r>
      <w:r>
        <w:rPr>
          <w:color w:val="262600"/>
        </w:rPr>
        <w:t xml:space="preserve"> </w:t>
      </w:r>
      <w:r>
        <w:rPr>
          <w:color w:val="262600"/>
        </w:rPr>
        <w:t>果树作物对光强、光质和光周期的要求</w:t>
      </w:r>
      <w:r>
        <w:rPr>
          <w:color w:val="000000"/>
        </w:rPr>
        <w:t>（理解</w:t>
      </w:r>
      <w:r>
        <w:rPr>
          <w:color w:val="000000"/>
        </w:rPr>
        <w:t>)</w:t>
      </w:r>
    </w:p>
    <w:p w14:paraId="61DB8AF3" w14:textId="77777777" w:rsidR="00F5289E" w:rsidRDefault="00C91173">
      <w:pPr>
        <w:spacing w:line="360" w:lineRule="auto"/>
        <w:contextualSpacing/>
        <w:rPr>
          <w:b/>
          <w:bCs/>
          <w:kern w:val="0"/>
          <w:szCs w:val="21"/>
        </w:rPr>
      </w:pPr>
      <w:r>
        <w:rPr>
          <w:b/>
          <w:bCs/>
          <w:color w:val="262600"/>
        </w:rPr>
        <w:t>第三节</w:t>
      </w:r>
      <w:r>
        <w:rPr>
          <w:b/>
          <w:bCs/>
          <w:color w:val="262600"/>
        </w:rPr>
        <w:t xml:space="preserve"> </w:t>
      </w:r>
      <w:r>
        <w:rPr>
          <w:b/>
          <w:bCs/>
          <w:color w:val="262600"/>
        </w:rPr>
        <w:t>光环境的调节技术</w:t>
      </w:r>
      <w:r>
        <w:rPr>
          <w:b/>
          <w:bCs/>
          <w:kern w:val="0"/>
          <w:szCs w:val="21"/>
        </w:rPr>
        <w:t> </w:t>
      </w:r>
      <w:r>
        <w:rPr>
          <w:b/>
          <w:bCs/>
          <w:kern w:val="0"/>
          <w:szCs w:val="21"/>
        </w:rPr>
        <w:t>（</w:t>
      </w:r>
      <w:r>
        <w:rPr>
          <w:b/>
          <w:bCs/>
          <w:kern w:val="0"/>
          <w:szCs w:val="21"/>
        </w:rPr>
        <w:t>3</w:t>
      </w:r>
      <w:r>
        <w:rPr>
          <w:b/>
          <w:bCs/>
          <w:kern w:val="0"/>
          <w:szCs w:val="21"/>
        </w:rPr>
        <w:t>学时）</w:t>
      </w:r>
    </w:p>
    <w:p w14:paraId="3E6E807E" w14:textId="77777777" w:rsidR="00F5289E" w:rsidRDefault="00C91173">
      <w:pPr>
        <w:spacing w:line="360" w:lineRule="auto"/>
        <w:contextualSpacing/>
      </w:pPr>
      <w:r>
        <w:rPr>
          <w:color w:val="262600"/>
        </w:rPr>
        <w:t>一</w:t>
      </w:r>
      <w:r>
        <w:rPr>
          <w:color w:val="262600"/>
        </w:rPr>
        <w:t xml:space="preserve"> </w:t>
      </w:r>
      <w:r>
        <w:t>光强</w:t>
      </w:r>
      <w:r>
        <w:t>/</w:t>
      </w:r>
      <w:r>
        <w:t>光量</w:t>
      </w:r>
      <w:r>
        <w:rPr>
          <w:color w:val="000000"/>
        </w:rPr>
        <w:t>（熟练掌握）</w:t>
      </w:r>
    </w:p>
    <w:p w14:paraId="3044310D" w14:textId="77777777" w:rsidR="00F5289E" w:rsidRDefault="00C91173">
      <w:pPr>
        <w:spacing w:line="360" w:lineRule="auto"/>
        <w:contextualSpacing/>
      </w:pPr>
      <w:r>
        <w:t>1</w:t>
      </w:r>
      <w:r>
        <w:t>改进结构</w:t>
      </w:r>
    </w:p>
    <w:p w14:paraId="431A79F1" w14:textId="77777777" w:rsidR="00F5289E" w:rsidRDefault="00C91173">
      <w:pPr>
        <w:spacing w:line="360" w:lineRule="auto"/>
        <w:contextualSpacing/>
      </w:pPr>
      <w:r>
        <w:t>2</w:t>
      </w:r>
      <w:r>
        <w:t>管理措施</w:t>
      </w:r>
    </w:p>
    <w:p w14:paraId="69C4F18F" w14:textId="77777777" w:rsidR="00F5289E" w:rsidRDefault="00C91173">
      <w:pPr>
        <w:spacing w:line="360" w:lineRule="auto"/>
        <w:contextualSpacing/>
      </w:pPr>
      <w:r>
        <w:t>3</w:t>
      </w:r>
      <w:r>
        <w:t>人工补光</w:t>
      </w:r>
    </w:p>
    <w:p w14:paraId="4373E114" w14:textId="77777777" w:rsidR="00F5289E" w:rsidRDefault="00C91173">
      <w:pPr>
        <w:spacing w:line="360" w:lineRule="auto"/>
        <w:contextualSpacing/>
      </w:pPr>
      <w:r>
        <w:t>4</w:t>
      </w:r>
      <w:r>
        <w:t>遮光</w:t>
      </w:r>
    </w:p>
    <w:p w14:paraId="4F8E85D8" w14:textId="77777777" w:rsidR="00F5289E" w:rsidRDefault="00C91173">
      <w:pPr>
        <w:spacing w:line="360" w:lineRule="auto"/>
        <w:contextualSpacing/>
      </w:pPr>
      <w:r>
        <w:t>二</w:t>
      </w:r>
      <w:r>
        <w:t xml:space="preserve"> </w:t>
      </w:r>
      <w:r>
        <w:t>光照长度</w:t>
      </w:r>
    </w:p>
    <w:p w14:paraId="29B1978C" w14:textId="77777777" w:rsidR="00F5289E" w:rsidRDefault="00C91173">
      <w:pPr>
        <w:spacing w:line="360" w:lineRule="auto"/>
        <w:contextualSpacing/>
      </w:pPr>
      <w:r>
        <w:t>短日照和长日照处理</w:t>
      </w:r>
      <w:r>
        <w:rPr>
          <w:color w:val="000000"/>
        </w:rPr>
        <w:t>（熟练掌握）</w:t>
      </w:r>
    </w:p>
    <w:p w14:paraId="1D0F94CD" w14:textId="77777777" w:rsidR="00F5289E" w:rsidRDefault="00C91173">
      <w:pPr>
        <w:spacing w:line="360" w:lineRule="auto"/>
        <w:contextualSpacing/>
        <w:rPr>
          <w:color w:val="0000FF"/>
          <w:szCs w:val="20"/>
        </w:rPr>
      </w:pPr>
      <w:r>
        <w:t>三</w:t>
      </w:r>
      <w:r>
        <w:t xml:space="preserve"> </w:t>
      </w:r>
      <w:r>
        <w:t>光质的调控</w:t>
      </w:r>
      <w:r>
        <w:rPr>
          <w:color w:val="000000"/>
        </w:rPr>
        <w:t>（理解</w:t>
      </w:r>
      <w:r>
        <w:rPr>
          <w:color w:val="000000"/>
        </w:rPr>
        <w:t>)</w:t>
      </w:r>
    </w:p>
    <w:p w14:paraId="79CC4620" w14:textId="77777777" w:rsidR="00F5289E" w:rsidRDefault="00C91173">
      <w:pPr>
        <w:widowControl/>
        <w:spacing w:line="360" w:lineRule="auto"/>
        <w:rPr>
          <w:color w:val="000000"/>
        </w:rPr>
      </w:pPr>
      <w:r>
        <w:rPr>
          <w:b/>
          <w:bCs/>
          <w:color w:val="000000"/>
        </w:rPr>
        <w:t>教学组织与实施：</w:t>
      </w:r>
      <w:r>
        <w:rPr>
          <w:color w:val="000000"/>
        </w:rPr>
        <w:t>多媒体讲授，</w:t>
      </w:r>
      <w:r>
        <w:t>教师为主导、学生为主体。为了提高教学效果，授课时采用课堂提问、热点讨论等多种教学方法</w:t>
      </w:r>
      <w:r>
        <w:rPr>
          <w:color w:val="000000"/>
        </w:rPr>
        <w:t>。为了加强学生对于理论知识的灵活运用，让学生亲自动手测量设施内的光照环境，分析其分布特点和变化规律，并根据实际情况阐述其形成原因。最后采用课堂小测试的方法了解学生对于重点难点知识点的掌握情况。</w:t>
      </w: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7DB81216" w14:textId="77777777">
        <w:trPr>
          <w:trHeight w:val="270"/>
        </w:trPr>
        <w:tc>
          <w:tcPr>
            <w:tcW w:w="2152" w:type="dxa"/>
            <w:tcBorders>
              <w:top w:val="nil"/>
              <w:left w:val="nil"/>
              <w:bottom w:val="nil"/>
              <w:right w:val="nil"/>
            </w:tcBorders>
            <w:vAlign w:val="center"/>
          </w:tcPr>
          <w:p w14:paraId="2CAB28AC"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3D440974" w14:textId="77777777" w:rsidR="00F5289E" w:rsidRDefault="00C91173">
            <w:pPr>
              <w:widowControl/>
              <w:snapToGrid w:val="0"/>
              <w:spacing w:line="360" w:lineRule="auto"/>
              <w:jc w:val="center"/>
              <w:rPr>
                <w:b/>
                <w:bCs/>
                <w:kern w:val="0"/>
                <w:szCs w:val="21"/>
              </w:rPr>
            </w:pPr>
            <w:r>
              <w:rPr>
                <w:b/>
                <w:bCs/>
                <w:kern w:val="0"/>
                <w:szCs w:val="21"/>
              </w:rPr>
              <w:t>第二章</w:t>
            </w:r>
            <w:r>
              <w:rPr>
                <w:b/>
                <w:bCs/>
                <w:kern w:val="0"/>
                <w:szCs w:val="21"/>
              </w:rPr>
              <w:t xml:space="preserve"> </w:t>
            </w:r>
            <w:r>
              <w:rPr>
                <w:b/>
                <w:color w:val="262600"/>
              </w:rPr>
              <w:t>设施温度环境</w:t>
            </w:r>
            <w:r>
              <w:rPr>
                <w:rFonts w:hint="eastAsia"/>
                <w:b/>
                <w:color w:val="262600"/>
              </w:rPr>
              <w:t>特点与</w:t>
            </w:r>
            <w:r>
              <w:rPr>
                <w:b/>
                <w:color w:val="262600"/>
              </w:rPr>
              <w:t>调控技术</w:t>
            </w:r>
          </w:p>
        </w:tc>
        <w:tc>
          <w:tcPr>
            <w:tcW w:w="2326" w:type="dxa"/>
            <w:tcBorders>
              <w:top w:val="nil"/>
              <w:left w:val="nil"/>
              <w:bottom w:val="nil"/>
              <w:right w:val="nil"/>
            </w:tcBorders>
            <w:vAlign w:val="center"/>
          </w:tcPr>
          <w:p w14:paraId="762B7F1A"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8</w:t>
            </w:r>
          </w:p>
        </w:tc>
      </w:tr>
    </w:tbl>
    <w:p w14:paraId="199AC9C2" w14:textId="77777777" w:rsidR="00F5289E" w:rsidRDefault="00C91173">
      <w:pPr>
        <w:adjustRightInd w:val="0"/>
        <w:spacing w:line="360" w:lineRule="auto"/>
        <w:rPr>
          <w:color w:val="000000"/>
        </w:rPr>
      </w:pPr>
      <w:r>
        <w:rPr>
          <w:b/>
          <w:bCs/>
          <w:color w:val="000000"/>
        </w:rPr>
        <w:t>教学目的</w:t>
      </w:r>
      <w:r>
        <w:rPr>
          <w:color w:val="000000"/>
        </w:rPr>
        <w:t>：通过学习，要求掌握设施内温度环境条件特征、形成的原因和控制措施。</w:t>
      </w:r>
    </w:p>
    <w:p w14:paraId="623AE361" w14:textId="77777777" w:rsidR="00F5289E" w:rsidRDefault="00C91173">
      <w:pPr>
        <w:adjustRightInd w:val="0"/>
        <w:spacing w:line="360" w:lineRule="auto"/>
        <w:rPr>
          <w:iCs/>
          <w:color w:val="000000"/>
        </w:rPr>
      </w:pPr>
      <w:r>
        <w:rPr>
          <w:b/>
          <w:bCs/>
          <w:color w:val="000000"/>
        </w:rPr>
        <w:t>教学重点和难点</w:t>
      </w:r>
      <w:r>
        <w:rPr>
          <w:color w:val="000000"/>
        </w:rPr>
        <w:t>：园艺设施内的保温、加温和降温措施</w:t>
      </w:r>
    </w:p>
    <w:p w14:paraId="0831DA28" w14:textId="77777777" w:rsidR="00F5289E" w:rsidRDefault="00C91173">
      <w:pPr>
        <w:pStyle w:val="a7"/>
        <w:spacing w:line="360" w:lineRule="auto"/>
        <w:ind w:rightChars="1383" w:right="2904" w:firstLineChars="0" w:firstLine="0"/>
        <w:jc w:val="left"/>
        <w:rPr>
          <w:rFonts w:ascii="Times New Roman"/>
          <w:b/>
        </w:rPr>
      </w:pPr>
      <w:r>
        <w:rPr>
          <w:rFonts w:ascii="Times New Roman"/>
          <w:b/>
        </w:rPr>
        <w:t>主要教学内容及要求：</w:t>
      </w:r>
    </w:p>
    <w:p w14:paraId="7B8AE2CE" w14:textId="77777777" w:rsidR="00F5289E" w:rsidRDefault="00C91173">
      <w:pPr>
        <w:spacing w:line="360" w:lineRule="auto"/>
        <w:contextualSpacing/>
        <w:rPr>
          <w:b/>
          <w:bCs/>
        </w:rPr>
      </w:pPr>
      <w:r>
        <w:rPr>
          <w:b/>
          <w:bCs/>
        </w:rPr>
        <w:lastRenderedPageBreak/>
        <w:t>第一节</w:t>
      </w:r>
      <w:r>
        <w:rPr>
          <w:b/>
          <w:bCs/>
        </w:rPr>
        <w:t xml:space="preserve">  </w:t>
      </w:r>
      <w:r>
        <w:rPr>
          <w:b/>
          <w:bCs/>
          <w:iCs/>
          <w:color w:val="262600"/>
        </w:rPr>
        <w:t>园艺设施内的温度条件特点及产生原因</w:t>
      </w:r>
      <w:r>
        <w:rPr>
          <w:b/>
          <w:bCs/>
        </w:rPr>
        <w:t>（</w:t>
      </w:r>
      <w:r>
        <w:rPr>
          <w:b/>
          <w:bCs/>
        </w:rPr>
        <w:t>2</w:t>
      </w:r>
      <w:r>
        <w:rPr>
          <w:b/>
          <w:bCs/>
        </w:rPr>
        <w:t>学时）</w:t>
      </w:r>
    </w:p>
    <w:p w14:paraId="1A2BF478" w14:textId="77777777" w:rsidR="00F5289E" w:rsidRDefault="00C91173">
      <w:pPr>
        <w:widowControl/>
        <w:spacing w:line="360" w:lineRule="auto"/>
      </w:pPr>
      <w:r>
        <w:t>一</w:t>
      </w:r>
      <w:r>
        <w:t xml:space="preserve"> </w:t>
      </w:r>
      <w:r>
        <w:t>热环境特征</w:t>
      </w:r>
      <w:r>
        <w:rPr>
          <w:color w:val="000000"/>
        </w:rPr>
        <w:t>（了解</w:t>
      </w:r>
      <w:r>
        <w:rPr>
          <w:color w:val="000000"/>
        </w:rPr>
        <w:t>)</w:t>
      </w:r>
    </w:p>
    <w:p w14:paraId="234E6E58" w14:textId="77777777" w:rsidR="00F5289E" w:rsidRDefault="00C91173">
      <w:pPr>
        <w:widowControl/>
        <w:spacing w:line="360" w:lineRule="auto"/>
      </w:pPr>
      <w:r>
        <w:t>二</w:t>
      </w:r>
      <w:r>
        <w:t xml:space="preserve"> </w:t>
      </w:r>
      <w:r>
        <w:t>园艺设施热收支平衡</w:t>
      </w:r>
    </w:p>
    <w:p w14:paraId="12EBFC24" w14:textId="77777777" w:rsidR="00F5289E" w:rsidRDefault="00C91173">
      <w:pPr>
        <w:widowControl/>
        <w:spacing w:line="360" w:lineRule="auto"/>
      </w:pPr>
      <w:r>
        <w:t>1</w:t>
      </w:r>
      <w:r>
        <w:t>温室的热平衡分析，设施的增温和保温的原理</w:t>
      </w:r>
      <w:r>
        <w:rPr>
          <w:color w:val="000000"/>
        </w:rPr>
        <w:t>（理解</w:t>
      </w:r>
      <w:r>
        <w:rPr>
          <w:color w:val="000000"/>
        </w:rPr>
        <w:t>)</w:t>
      </w:r>
    </w:p>
    <w:p w14:paraId="0234A036" w14:textId="77777777" w:rsidR="00F5289E" w:rsidRDefault="00C91173">
      <w:pPr>
        <w:widowControl/>
        <w:spacing w:line="360" w:lineRule="auto"/>
        <w:rPr>
          <w:b/>
          <w:bCs/>
        </w:rPr>
      </w:pPr>
      <w:r>
        <w:t>2</w:t>
      </w:r>
      <w:r>
        <w:t>园艺设施内的主要损热途径（贯流放热，换气放热，土壤失热）</w:t>
      </w:r>
      <w:r>
        <w:rPr>
          <w:color w:val="000000"/>
        </w:rPr>
        <w:t>（掌握</w:t>
      </w:r>
      <w:r>
        <w:rPr>
          <w:color w:val="000000"/>
        </w:rPr>
        <w:t>)</w:t>
      </w:r>
    </w:p>
    <w:p w14:paraId="37F2F4C2" w14:textId="77777777" w:rsidR="00F5289E" w:rsidRDefault="00C91173">
      <w:pPr>
        <w:widowControl/>
        <w:spacing w:line="360" w:lineRule="auto"/>
        <w:rPr>
          <w:b/>
          <w:kern w:val="0"/>
          <w:szCs w:val="21"/>
        </w:rPr>
      </w:pPr>
      <w:r>
        <w:rPr>
          <w:b/>
          <w:bCs/>
          <w:color w:val="000000"/>
          <w:szCs w:val="20"/>
        </w:rPr>
        <w:t>第二节</w:t>
      </w:r>
      <w:r>
        <w:rPr>
          <w:b/>
          <w:bCs/>
          <w:color w:val="0000FF"/>
          <w:szCs w:val="20"/>
        </w:rPr>
        <w:t xml:space="preserve"> </w:t>
      </w:r>
      <w:r>
        <w:rPr>
          <w:b/>
          <w:bCs/>
          <w:color w:val="262600"/>
        </w:rPr>
        <w:t>作物对温度环境的要求</w:t>
      </w:r>
      <w:r>
        <w:rPr>
          <w:b/>
          <w:kern w:val="0"/>
          <w:szCs w:val="21"/>
        </w:rPr>
        <w:t>（</w:t>
      </w:r>
      <w:r>
        <w:rPr>
          <w:b/>
          <w:kern w:val="0"/>
          <w:szCs w:val="21"/>
        </w:rPr>
        <w:t>3</w:t>
      </w:r>
      <w:r>
        <w:rPr>
          <w:b/>
          <w:kern w:val="0"/>
          <w:szCs w:val="21"/>
        </w:rPr>
        <w:t>学时）</w:t>
      </w:r>
    </w:p>
    <w:p w14:paraId="7EA498B5" w14:textId="77777777" w:rsidR="00F5289E" w:rsidRDefault="00C91173">
      <w:pPr>
        <w:spacing w:line="360" w:lineRule="auto"/>
      </w:pPr>
      <w:r>
        <w:t>一</w:t>
      </w:r>
      <w:r>
        <w:t xml:space="preserve"> </w:t>
      </w:r>
      <w:r>
        <w:t>蔬菜作物对温度的要求</w:t>
      </w:r>
    </w:p>
    <w:p w14:paraId="0B834D9F" w14:textId="77777777" w:rsidR="00F5289E" w:rsidRDefault="00C91173">
      <w:pPr>
        <w:widowControl/>
        <w:spacing w:line="360" w:lineRule="auto"/>
      </w:pPr>
      <w:r>
        <w:t>不同蔬菜种类对温度的基本要求，不同生育期对温度的要求，蔬菜对温周期的要求，花芽分化与温度，低温、高温危害，蔬菜对地温的要求</w:t>
      </w:r>
      <w:r>
        <w:rPr>
          <w:color w:val="000000"/>
        </w:rPr>
        <w:t>（了解</w:t>
      </w:r>
      <w:r>
        <w:rPr>
          <w:color w:val="000000"/>
        </w:rPr>
        <w:t>)</w:t>
      </w:r>
    </w:p>
    <w:p w14:paraId="47457599" w14:textId="77777777" w:rsidR="00F5289E" w:rsidRDefault="00C91173">
      <w:pPr>
        <w:spacing w:line="360" w:lineRule="auto"/>
      </w:pPr>
      <w:r>
        <w:t>二</w:t>
      </w:r>
      <w:r>
        <w:t xml:space="preserve"> </w:t>
      </w:r>
      <w:r>
        <w:t>花卉作物对温度的要求</w:t>
      </w:r>
    </w:p>
    <w:p w14:paraId="4EBD4832" w14:textId="77777777" w:rsidR="00F5289E" w:rsidRDefault="00C91173">
      <w:pPr>
        <w:widowControl/>
        <w:spacing w:line="360" w:lineRule="auto"/>
      </w:pPr>
      <w:r>
        <w:t>不同花卉种类对温度的要求；花卉对温周期的要求；低温、高温危害；花卉对地温的要求</w:t>
      </w:r>
      <w:r>
        <w:rPr>
          <w:color w:val="000000"/>
        </w:rPr>
        <w:t>（了解</w:t>
      </w:r>
      <w:r>
        <w:rPr>
          <w:color w:val="000000"/>
        </w:rPr>
        <w:t>)</w:t>
      </w:r>
    </w:p>
    <w:p w14:paraId="4E87894B" w14:textId="77777777" w:rsidR="00F5289E" w:rsidRDefault="00C91173">
      <w:pPr>
        <w:spacing w:line="360" w:lineRule="auto"/>
        <w:jc w:val="left"/>
      </w:pPr>
      <w:r>
        <w:t>三</w:t>
      </w:r>
      <w:r>
        <w:t xml:space="preserve"> </w:t>
      </w:r>
      <w:r>
        <w:t>果树作物对温度的要求</w:t>
      </w:r>
    </w:p>
    <w:p w14:paraId="40AAE800" w14:textId="77777777" w:rsidR="00F5289E" w:rsidRDefault="00C91173">
      <w:pPr>
        <w:widowControl/>
        <w:spacing w:line="360" w:lineRule="auto"/>
      </w:pPr>
      <w:r>
        <w:t>温度对果树地理分布的影响；果树根据温度需求分类；温度和果树花芽分化；低、高温危害</w:t>
      </w:r>
      <w:r>
        <w:rPr>
          <w:color w:val="000000"/>
        </w:rPr>
        <w:t>（了解</w:t>
      </w:r>
      <w:r>
        <w:rPr>
          <w:color w:val="000000"/>
        </w:rPr>
        <w:t>)</w:t>
      </w:r>
    </w:p>
    <w:p w14:paraId="77931519" w14:textId="77777777" w:rsidR="00F5289E" w:rsidRDefault="00C91173">
      <w:pPr>
        <w:widowControl/>
        <w:spacing w:line="360" w:lineRule="auto"/>
        <w:rPr>
          <w:b/>
          <w:kern w:val="0"/>
          <w:szCs w:val="21"/>
        </w:rPr>
      </w:pPr>
      <w:r>
        <w:rPr>
          <w:b/>
          <w:bCs/>
          <w:color w:val="262600"/>
        </w:rPr>
        <w:t>第三节</w:t>
      </w:r>
      <w:r>
        <w:rPr>
          <w:b/>
          <w:bCs/>
          <w:color w:val="262600"/>
        </w:rPr>
        <w:t xml:space="preserve"> </w:t>
      </w:r>
      <w:r>
        <w:rPr>
          <w:b/>
          <w:bCs/>
          <w:color w:val="262600"/>
        </w:rPr>
        <w:t>热环境的调节技术</w:t>
      </w:r>
      <w:r>
        <w:rPr>
          <w:b/>
          <w:kern w:val="0"/>
          <w:szCs w:val="21"/>
        </w:rPr>
        <w:t>（</w:t>
      </w:r>
      <w:r>
        <w:rPr>
          <w:b/>
          <w:kern w:val="0"/>
          <w:szCs w:val="21"/>
        </w:rPr>
        <w:t>3</w:t>
      </w:r>
      <w:r>
        <w:rPr>
          <w:b/>
          <w:kern w:val="0"/>
          <w:szCs w:val="21"/>
        </w:rPr>
        <w:t>学时）</w:t>
      </w:r>
    </w:p>
    <w:p w14:paraId="609D5CC3" w14:textId="77777777" w:rsidR="00F5289E" w:rsidRDefault="00C91173">
      <w:pPr>
        <w:spacing w:line="360" w:lineRule="auto"/>
        <w:contextualSpacing/>
        <w:rPr>
          <w:color w:val="262600"/>
        </w:rPr>
      </w:pPr>
      <w:r>
        <w:rPr>
          <w:color w:val="262600"/>
        </w:rPr>
        <w:t>一</w:t>
      </w:r>
      <w:r>
        <w:rPr>
          <w:color w:val="262600"/>
        </w:rPr>
        <w:t xml:space="preserve"> </w:t>
      </w:r>
      <w:r>
        <w:rPr>
          <w:color w:val="262600"/>
        </w:rPr>
        <w:t>保温技术</w:t>
      </w:r>
    </w:p>
    <w:p w14:paraId="0FFC8846" w14:textId="77777777" w:rsidR="00F5289E" w:rsidRDefault="00C91173">
      <w:pPr>
        <w:spacing w:line="360" w:lineRule="auto"/>
        <w:contextualSpacing/>
        <w:rPr>
          <w:color w:val="262600"/>
        </w:rPr>
      </w:pPr>
      <w:r>
        <w:t>多层覆盖、增大保温比、设置防寒沟等温度调控技术</w:t>
      </w:r>
      <w:r>
        <w:rPr>
          <w:color w:val="000000"/>
        </w:rPr>
        <w:t>（熟练掌握）</w:t>
      </w:r>
    </w:p>
    <w:p w14:paraId="66049A54" w14:textId="77777777" w:rsidR="00F5289E" w:rsidRDefault="00C91173">
      <w:pPr>
        <w:spacing w:line="360" w:lineRule="auto"/>
        <w:contextualSpacing/>
        <w:rPr>
          <w:color w:val="262600"/>
        </w:rPr>
      </w:pPr>
      <w:r>
        <w:rPr>
          <w:color w:val="262600"/>
        </w:rPr>
        <w:t>二</w:t>
      </w:r>
      <w:r>
        <w:rPr>
          <w:color w:val="262600"/>
        </w:rPr>
        <w:t xml:space="preserve"> </w:t>
      </w:r>
      <w:r>
        <w:rPr>
          <w:color w:val="262600"/>
        </w:rPr>
        <w:t>加温技术</w:t>
      </w:r>
    </w:p>
    <w:p w14:paraId="59A16B7F" w14:textId="77777777" w:rsidR="00F5289E" w:rsidRDefault="00C91173">
      <w:pPr>
        <w:tabs>
          <w:tab w:val="left" w:pos="720"/>
        </w:tabs>
        <w:spacing w:line="360" w:lineRule="auto"/>
        <w:contextualSpacing/>
        <w:rPr>
          <w:color w:val="000000"/>
        </w:rPr>
      </w:pPr>
      <w:r>
        <w:rPr>
          <w:color w:val="000000"/>
        </w:rPr>
        <w:t>采暖的设计原理与程序；采暖负荷的计算；采暖设备配置（掌握</w:t>
      </w:r>
      <w:r>
        <w:rPr>
          <w:color w:val="000000"/>
        </w:rPr>
        <w:t>)</w:t>
      </w:r>
    </w:p>
    <w:p w14:paraId="20A5BEF4" w14:textId="77777777" w:rsidR="00F5289E" w:rsidRDefault="00C91173">
      <w:pPr>
        <w:spacing w:line="360" w:lineRule="auto"/>
        <w:contextualSpacing/>
        <w:rPr>
          <w:color w:val="262600"/>
        </w:rPr>
      </w:pPr>
      <w:r>
        <w:rPr>
          <w:color w:val="262600"/>
        </w:rPr>
        <w:t>三</w:t>
      </w:r>
      <w:r>
        <w:rPr>
          <w:color w:val="262600"/>
        </w:rPr>
        <w:t xml:space="preserve"> </w:t>
      </w:r>
      <w:r>
        <w:rPr>
          <w:color w:val="262600"/>
        </w:rPr>
        <w:t>降温技术</w:t>
      </w:r>
    </w:p>
    <w:p w14:paraId="119B6BFD" w14:textId="77777777" w:rsidR="00F5289E" w:rsidRDefault="00C91173">
      <w:pPr>
        <w:spacing w:line="360" w:lineRule="auto"/>
        <w:contextualSpacing/>
        <w:rPr>
          <w:color w:val="262600"/>
        </w:rPr>
      </w:pPr>
      <w:r>
        <w:rPr>
          <w:color w:val="262600"/>
        </w:rPr>
        <w:t>遮光降温、蒸发降温、通风换气降温</w:t>
      </w:r>
      <w:r>
        <w:t>等温度调控技术</w:t>
      </w:r>
      <w:r>
        <w:rPr>
          <w:color w:val="000000"/>
        </w:rPr>
        <w:t>（熟练掌握）</w:t>
      </w:r>
    </w:p>
    <w:p w14:paraId="128A781E" w14:textId="77777777" w:rsidR="00F5289E" w:rsidRDefault="00C91173">
      <w:pPr>
        <w:widowControl/>
        <w:spacing w:line="360" w:lineRule="auto"/>
        <w:rPr>
          <w:color w:val="0000FF"/>
          <w:szCs w:val="20"/>
        </w:rPr>
      </w:pPr>
      <w:r>
        <w:rPr>
          <w:b/>
          <w:bCs/>
        </w:rPr>
        <w:t>教学组织与实施：</w:t>
      </w:r>
      <w:r>
        <w:rPr>
          <w:color w:val="000000"/>
        </w:rPr>
        <w:t>多媒体讲授，</w:t>
      </w:r>
      <w:r>
        <w:t>教师为主导、学生为主体。为了活跃课堂氛围，授课时采用课堂提问、热点问题讨论等多种教学方法增加与学生的互动</w:t>
      </w:r>
      <w:r>
        <w:rPr>
          <w:color w:val="000000"/>
        </w:rPr>
        <w:t>。为了充分加深学生对于采暖系统设计的理解，采用案例分析的方法，让学生亲自动手去计算。为了加强学生对于理论知识的灵活运用，让学生亲自动手测量设施内的温度环境，分析其分布特点和变化规律，并根据实际情况阐述其形成原因。</w:t>
      </w: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077FBC7E" w14:textId="77777777">
        <w:trPr>
          <w:trHeight w:val="270"/>
        </w:trPr>
        <w:tc>
          <w:tcPr>
            <w:tcW w:w="2152" w:type="dxa"/>
            <w:tcBorders>
              <w:top w:val="nil"/>
              <w:left w:val="nil"/>
              <w:bottom w:val="nil"/>
              <w:right w:val="nil"/>
            </w:tcBorders>
            <w:vAlign w:val="center"/>
          </w:tcPr>
          <w:p w14:paraId="652EDB02"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5194B9D6" w14:textId="77777777" w:rsidR="00F5289E" w:rsidRDefault="00C91173">
            <w:pPr>
              <w:widowControl/>
              <w:snapToGrid w:val="0"/>
              <w:spacing w:line="360" w:lineRule="auto"/>
              <w:jc w:val="center"/>
              <w:rPr>
                <w:b/>
                <w:bCs/>
                <w:kern w:val="0"/>
                <w:szCs w:val="21"/>
              </w:rPr>
            </w:pPr>
            <w:r>
              <w:rPr>
                <w:b/>
                <w:bCs/>
                <w:kern w:val="0"/>
                <w:szCs w:val="21"/>
              </w:rPr>
              <w:t>第三章</w:t>
            </w:r>
            <w:r>
              <w:rPr>
                <w:b/>
                <w:bCs/>
                <w:kern w:val="0"/>
                <w:szCs w:val="21"/>
              </w:rPr>
              <w:t xml:space="preserve"> </w:t>
            </w:r>
            <w:r>
              <w:rPr>
                <w:b/>
                <w:color w:val="262600"/>
              </w:rPr>
              <w:t>设施</w:t>
            </w:r>
            <w:r>
              <w:rPr>
                <w:rFonts w:hint="eastAsia"/>
                <w:b/>
                <w:color w:val="262600"/>
              </w:rPr>
              <w:t>水</w:t>
            </w:r>
            <w:r>
              <w:rPr>
                <w:b/>
                <w:color w:val="262600"/>
              </w:rPr>
              <w:t>环境</w:t>
            </w:r>
            <w:r>
              <w:rPr>
                <w:rFonts w:hint="eastAsia"/>
                <w:b/>
                <w:color w:val="262600"/>
              </w:rPr>
              <w:t>特点与</w:t>
            </w:r>
            <w:r>
              <w:rPr>
                <w:b/>
                <w:color w:val="262600"/>
              </w:rPr>
              <w:t>调控技术</w:t>
            </w:r>
          </w:p>
        </w:tc>
        <w:tc>
          <w:tcPr>
            <w:tcW w:w="2326" w:type="dxa"/>
            <w:tcBorders>
              <w:top w:val="nil"/>
              <w:left w:val="nil"/>
              <w:bottom w:val="nil"/>
              <w:right w:val="nil"/>
            </w:tcBorders>
            <w:vAlign w:val="center"/>
          </w:tcPr>
          <w:p w14:paraId="51AA25FA"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8</w:t>
            </w:r>
          </w:p>
        </w:tc>
      </w:tr>
    </w:tbl>
    <w:p w14:paraId="4A6EEAFD" w14:textId="77777777" w:rsidR="00F5289E" w:rsidRDefault="00C91173">
      <w:pPr>
        <w:spacing w:line="360" w:lineRule="auto"/>
        <w:rPr>
          <w:color w:val="262600"/>
        </w:rPr>
      </w:pPr>
      <w:r>
        <w:rPr>
          <w:b/>
          <w:bCs/>
          <w:color w:val="000000"/>
          <w:szCs w:val="21"/>
        </w:rPr>
        <w:t>教学目的：</w:t>
      </w:r>
      <w:r>
        <w:rPr>
          <w:bCs/>
          <w:color w:val="000000"/>
          <w:szCs w:val="21"/>
        </w:rPr>
        <w:t>通过学习，</w:t>
      </w:r>
      <w:r>
        <w:rPr>
          <w:color w:val="262600"/>
        </w:rPr>
        <w:t>要求掌握设施内空气湿度和土壤湿度条件形成的原因和控制措施。</w:t>
      </w:r>
    </w:p>
    <w:p w14:paraId="1C39D51D" w14:textId="77777777" w:rsidR="00F5289E" w:rsidRDefault="00C91173">
      <w:pPr>
        <w:spacing w:line="360" w:lineRule="auto"/>
        <w:rPr>
          <w:color w:val="000000"/>
          <w:szCs w:val="21"/>
        </w:rPr>
      </w:pPr>
      <w:r>
        <w:rPr>
          <w:b/>
          <w:bCs/>
          <w:color w:val="000000"/>
          <w:szCs w:val="21"/>
        </w:rPr>
        <w:t>教学重点和难点：</w:t>
      </w:r>
      <w:r>
        <w:rPr>
          <w:color w:val="000000"/>
          <w:szCs w:val="21"/>
        </w:rPr>
        <w:t>设施内土壤湿度和空气湿度的特点及调控措施；设施内微灌系统组成、类型及布置。</w:t>
      </w:r>
    </w:p>
    <w:p w14:paraId="71B16DE8" w14:textId="77777777" w:rsidR="00F5289E" w:rsidRDefault="00C91173">
      <w:pPr>
        <w:pStyle w:val="afc"/>
        <w:spacing w:line="360" w:lineRule="auto"/>
        <w:rPr>
          <w:rFonts w:ascii="Times New Roman" w:hAnsi="Times New Roman"/>
          <w:sz w:val="21"/>
          <w:szCs w:val="21"/>
        </w:rPr>
      </w:pPr>
      <w:r>
        <w:rPr>
          <w:rFonts w:ascii="Times New Roman" w:hAnsi="Times New Roman"/>
          <w:b/>
          <w:sz w:val="21"/>
          <w:szCs w:val="21"/>
        </w:rPr>
        <w:lastRenderedPageBreak/>
        <w:t>主要教学内容及要求</w:t>
      </w:r>
      <w:r>
        <w:rPr>
          <w:rFonts w:ascii="Times New Roman" w:hAnsi="Times New Roman"/>
          <w:b/>
          <w:bCs/>
          <w:sz w:val="21"/>
          <w:szCs w:val="21"/>
        </w:rPr>
        <w:t>：</w:t>
      </w:r>
    </w:p>
    <w:p w14:paraId="3ED25C36" w14:textId="77777777" w:rsidR="00F5289E" w:rsidRDefault="00C91173">
      <w:pPr>
        <w:pStyle w:val="afc"/>
        <w:spacing w:line="360" w:lineRule="auto"/>
        <w:contextualSpacing/>
        <w:rPr>
          <w:rFonts w:ascii="Times New Roman" w:hAnsi="Times New Roman"/>
          <w:b/>
          <w:color w:val="000000"/>
          <w:sz w:val="21"/>
          <w:szCs w:val="21"/>
        </w:rPr>
      </w:pPr>
      <w:r>
        <w:rPr>
          <w:rFonts w:ascii="Times New Roman" w:hAnsi="Times New Roman"/>
          <w:b/>
          <w:bCs/>
          <w:color w:val="000000"/>
          <w:sz w:val="21"/>
          <w:szCs w:val="21"/>
        </w:rPr>
        <w:t>第一节</w:t>
      </w:r>
      <w:r>
        <w:rPr>
          <w:rFonts w:ascii="Times New Roman" w:hAnsi="Times New Roman"/>
          <w:color w:val="000000"/>
          <w:sz w:val="21"/>
          <w:szCs w:val="21"/>
        </w:rPr>
        <w:t xml:space="preserve"> </w:t>
      </w:r>
      <w:r>
        <w:rPr>
          <w:rFonts w:ascii="Times New Roman" w:hAnsi="Times New Roman"/>
          <w:b/>
          <w:color w:val="000000"/>
          <w:sz w:val="21"/>
          <w:szCs w:val="21"/>
        </w:rPr>
        <w:t>设施内的水环境特点（</w:t>
      </w:r>
      <w:r>
        <w:rPr>
          <w:rFonts w:ascii="Times New Roman" w:hAnsi="Times New Roman"/>
          <w:b/>
          <w:color w:val="000000"/>
          <w:sz w:val="21"/>
          <w:szCs w:val="21"/>
        </w:rPr>
        <w:t>2</w:t>
      </w:r>
      <w:r>
        <w:rPr>
          <w:rFonts w:ascii="Times New Roman" w:hAnsi="Times New Roman"/>
          <w:b/>
          <w:color w:val="000000"/>
          <w:sz w:val="21"/>
          <w:szCs w:val="21"/>
        </w:rPr>
        <w:t>学时）</w:t>
      </w:r>
    </w:p>
    <w:p w14:paraId="27285212" w14:textId="77777777" w:rsidR="00F5289E" w:rsidRDefault="00C91173">
      <w:pPr>
        <w:widowControl/>
        <w:spacing w:line="360" w:lineRule="auto"/>
        <w:jc w:val="left"/>
        <w:rPr>
          <w:bCs/>
          <w:color w:val="000000"/>
          <w:szCs w:val="21"/>
        </w:rPr>
      </w:pPr>
      <w:r>
        <w:rPr>
          <w:bCs/>
          <w:color w:val="000000"/>
          <w:szCs w:val="21"/>
        </w:rPr>
        <w:t>一</w:t>
      </w:r>
      <w:r>
        <w:rPr>
          <w:bCs/>
          <w:color w:val="000000"/>
          <w:szCs w:val="21"/>
        </w:rPr>
        <w:t xml:space="preserve"> </w:t>
      </w:r>
      <w:r>
        <w:rPr>
          <w:bCs/>
          <w:color w:val="000000"/>
          <w:szCs w:val="21"/>
        </w:rPr>
        <w:t>设施内空气湿度特点及调节</w:t>
      </w:r>
    </w:p>
    <w:p w14:paraId="50E136D5" w14:textId="77777777" w:rsidR="00F5289E" w:rsidRDefault="00C91173">
      <w:pPr>
        <w:widowControl/>
        <w:spacing w:line="360" w:lineRule="auto"/>
        <w:jc w:val="left"/>
        <w:rPr>
          <w:color w:val="000000"/>
          <w:szCs w:val="21"/>
        </w:rPr>
      </w:pPr>
      <w:r>
        <w:rPr>
          <w:bCs/>
          <w:color w:val="000000"/>
          <w:szCs w:val="21"/>
        </w:rPr>
        <w:t>1</w:t>
      </w:r>
      <w:r>
        <w:rPr>
          <w:bCs/>
          <w:color w:val="000000"/>
          <w:szCs w:val="21"/>
        </w:rPr>
        <w:t>空气湿度的表示方法与测量</w:t>
      </w:r>
      <w:r>
        <w:rPr>
          <w:color w:val="000000"/>
          <w:szCs w:val="21"/>
        </w:rPr>
        <w:t>（了解</w:t>
      </w:r>
      <w:r>
        <w:rPr>
          <w:color w:val="000000"/>
          <w:szCs w:val="21"/>
        </w:rPr>
        <w:t>)</w:t>
      </w:r>
    </w:p>
    <w:p w14:paraId="6B016F5B" w14:textId="77777777" w:rsidR="00F5289E" w:rsidRDefault="00C91173">
      <w:pPr>
        <w:widowControl/>
        <w:spacing w:line="360" w:lineRule="auto"/>
        <w:jc w:val="left"/>
        <w:rPr>
          <w:bCs/>
          <w:color w:val="000000"/>
          <w:szCs w:val="21"/>
        </w:rPr>
      </w:pPr>
      <w:r>
        <w:rPr>
          <w:bCs/>
          <w:color w:val="000000"/>
          <w:szCs w:val="21"/>
        </w:rPr>
        <w:t>2</w:t>
      </w:r>
      <w:r>
        <w:rPr>
          <w:bCs/>
          <w:color w:val="000000"/>
          <w:szCs w:val="21"/>
        </w:rPr>
        <w:t>设施内的空气湿度特点</w:t>
      </w:r>
      <w:r>
        <w:rPr>
          <w:color w:val="000000"/>
          <w:szCs w:val="21"/>
        </w:rPr>
        <w:t>（理解</w:t>
      </w:r>
      <w:r>
        <w:rPr>
          <w:color w:val="000000"/>
          <w:szCs w:val="21"/>
        </w:rPr>
        <w:t>)</w:t>
      </w:r>
    </w:p>
    <w:p w14:paraId="3119D811" w14:textId="77777777" w:rsidR="00F5289E" w:rsidRDefault="00C91173">
      <w:pPr>
        <w:widowControl/>
        <w:spacing w:line="360" w:lineRule="auto"/>
        <w:jc w:val="left"/>
        <w:rPr>
          <w:bCs/>
          <w:color w:val="000000"/>
          <w:szCs w:val="21"/>
        </w:rPr>
      </w:pPr>
      <w:r>
        <w:rPr>
          <w:bCs/>
          <w:color w:val="000000"/>
          <w:szCs w:val="21"/>
        </w:rPr>
        <w:t>3</w:t>
      </w:r>
      <w:r>
        <w:rPr>
          <w:bCs/>
          <w:color w:val="000000"/>
          <w:szCs w:val="21"/>
        </w:rPr>
        <w:t>设施内空气湿度的调节与控制</w:t>
      </w:r>
      <w:r>
        <w:rPr>
          <w:color w:val="000000"/>
          <w:szCs w:val="21"/>
        </w:rPr>
        <w:t>（熟练掌握</w:t>
      </w:r>
      <w:r>
        <w:rPr>
          <w:color w:val="000000"/>
          <w:szCs w:val="21"/>
        </w:rPr>
        <w:t>)</w:t>
      </w:r>
    </w:p>
    <w:p w14:paraId="4782CE21" w14:textId="77777777" w:rsidR="00F5289E" w:rsidRDefault="00C91173">
      <w:pPr>
        <w:widowControl/>
        <w:spacing w:line="360" w:lineRule="auto"/>
        <w:jc w:val="left"/>
        <w:rPr>
          <w:bCs/>
          <w:color w:val="000000"/>
          <w:szCs w:val="21"/>
        </w:rPr>
      </w:pPr>
      <w:r>
        <w:rPr>
          <w:bCs/>
          <w:color w:val="000000"/>
          <w:szCs w:val="21"/>
        </w:rPr>
        <w:t>二</w:t>
      </w:r>
      <w:r>
        <w:rPr>
          <w:bCs/>
          <w:color w:val="000000"/>
          <w:szCs w:val="21"/>
        </w:rPr>
        <w:t xml:space="preserve"> </w:t>
      </w:r>
      <w:r>
        <w:rPr>
          <w:bCs/>
          <w:color w:val="000000"/>
          <w:szCs w:val="21"/>
        </w:rPr>
        <w:t>设施内土壤湿度特点及调节</w:t>
      </w:r>
    </w:p>
    <w:p w14:paraId="002AAC8C" w14:textId="77777777" w:rsidR="00F5289E" w:rsidRDefault="00C91173">
      <w:pPr>
        <w:widowControl/>
        <w:spacing w:line="360" w:lineRule="auto"/>
        <w:jc w:val="left"/>
        <w:rPr>
          <w:color w:val="000000"/>
          <w:szCs w:val="21"/>
        </w:rPr>
      </w:pPr>
      <w:r>
        <w:rPr>
          <w:bCs/>
          <w:color w:val="000000"/>
          <w:szCs w:val="21"/>
        </w:rPr>
        <w:t>1</w:t>
      </w:r>
      <w:r>
        <w:rPr>
          <w:bCs/>
          <w:color w:val="000000"/>
          <w:szCs w:val="21"/>
        </w:rPr>
        <w:t>土壤湿度的形成</w:t>
      </w:r>
      <w:r>
        <w:rPr>
          <w:color w:val="000000"/>
          <w:szCs w:val="21"/>
        </w:rPr>
        <w:t>（了解</w:t>
      </w:r>
      <w:r>
        <w:rPr>
          <w:color w:val="000000"/>
          <w:szCs w:val="21"/>
        </w:rPr>
        <w:t>)</w:t>
      </w:r>
    </w:p>
    <w:p w14:paraId="002A2133" w14:textId="77777777" w:rsidR="00F5289E" w:rsidRDefault="00C91173">
      <w:pPr>
        <w:widowControl/>
        <w:spacing w:line="360" w:lineRule="auto"/>
        <w:jc w:val="left"/>
        <w:rPr>
          <w:bCs/>
          <w:color w:val="000000"/>
          <w:szCs w:val="21"/>
        </w:rPr>
      </w:pPr>
      <w:r>
        <w:rPr>
          <w:bCs/>
          <w:color w:val="000000"/>
          <w:szCs w:val="21"/>
        </w:rPr>
        <w:t>2</w:t>
      </w:r>
      <w:r>
        <w:rPr>
          <w:bCs/>
          <w:color w:val="000000"/>
          <w:szCs w:val="21"/>
        </w:rPr>
        <w:t>园艺设施内土壤湿度的特点</w:t>
      </w:r>
      <w:r>
        <w:rPr>
          <w:color w:val="000000"/>
          <w:szCs w:val="21"/>
        </w:rPr>
        <w:t>（理解</w:t>
      </w:r>
      <w:r>
        <w:rPr>
          <w:color w:val="000000"/>
          <w:szCs w:val="21"/>
        </w:rPr>
        <w:t>)</w:t>
      </w:r>
    </w:p>
    <w:p w14:paraId="6B4846B1" w14:textId="77777777" w:rsidR="00F5289E" w:rsidRDefault="00C91173">
      <w:pPr>
        <w:widowControl/>
        <w:spacing w:line="360" w:lineRule="auto"/>
        <w:jc w:val="left"/>
        <w:rPr>
          <w:b/>
          <w:color w:val="000000"/>
          <w:szCs w:val="21"/>
        </w:rPr>
      </w:pPr>
      <w:r>
        <w:rPr>
          <w:bCs/>
          <w:color w:val="000000"/>
          <w:szCs w:val="21"/>
        </w:rPr>
        <w:t>3</w:t>
      </w:r>
      <w:r>
        <w:rPr>
          <w:bCs/>
          <w:color w:val="000000"/>
          <w:szCs w:val="21"/>
        </w:rPr>
        <w:t>园艺设施内土壤湿度的调节措施</w:t>
      </w:r>
      <w:r>
        <w:rPr>
          <w:color w:val="000000"/>
          <w:szCs w:val="21"/>
        </w:rPr>
        <w:t>（掌握</w:t>
      </w:r>
      <w:r>
        <w:rPr>
          <w:color w:val="000000"/>
          <w:szCs w:val="21"/>
        </w:rPr>
        <w:t>)</w:t>
      </w:r>
      <w:r>
        <w:rPr>
          <w:bCs/>
          <w:color w:val="000000"/>
          <w:szCs w:val="21"/>
        </w:rPr>
        <w:t xml:space="preserve"> </w:t>
      </w:r>
    </w:p>
    <w:p w14:paraId="4ECCE01C" w14:textId="77777777" w:rsidR="00F5289E" w:rsidRDefault="00C91173">
      <w:pPr>
        <w:widowControl/>
        <w:spacing w:line="360" w:lineRule="auto"/>
        <w:rPr>
          <w:b/>
          <w:color w:val="000000"/>
          <w:kern w:val="0"/>
          <w:szCs w:val="21"/>
        </w:rPr>
      </w:pPr>
      <w:r>
        <w:rPr>
          <w:b/>
          <w:bCs/>
          <w:color w:val="000000"/>
          <w:szCs w:val="21"/>
        </w:rPr>
        <w:t>第二节</w:t>
      </w:r>
      <w:r>
        <w:rPr>
          <w:color w:val="000000"/>
          <w:szCs w:val="21"/>
        </w:rPr>
        <w:t xml:space="preserve"> </w:t>
      </w:r>
      <w:r>
        <w:rPr>
          <w:b/>
          <w:color w:val="000000"/>
          <w:szCs w:val="21"/>
        </w:rPr>
        <w:t>作物对设施内水环境的要求</w:t>
      </w:r>
      <w:r>
        <w:rPr>
          <w:b/>
          <w:color w:val="000000"/>
          <w:kern w:val="0"/>
          <w:szCs w:val="21"/>
        </w:rPr>
        <w:t>（</w:t>
      </w:r>
      <w:r>
        <w:rPr>
          <w:b/>
          <w:color w:val="000000"/>
          <w:kern w:val="0"/>
          <w:szCs w:val="21"/>
        </w:rPr>
        <w:t>3</w:t>
      </w:r>
      <w:r>
        <w:rPr>
          <w:b/>
          <w:color w:val="000000"/>
          <w:kern w:val="0"/>
          <w:szCs w:val="21"/>
        </w:rPr>
        <w:t>学时）</w:t>
      </w:r>
    </w:p>
    <w:p w14:paraId="24BE7501" w14:textId="77777777" w:rsidR="00F5289E" w:rsidRDefault="00C91173">
      <w:pPr>
        <w:widowControl/>
        <w:spacing w:line="360" w:lineRule="auto"/>
        <w:jc w:val="left"/>
        <w:rPr>
          <w:bCs/>
          <w:szCs w:val="21"/>
        </w:rPr>
      </w:pPr>
      <w:r>
        <w:rPr>
          <w:bCs/>
          <w:szCs w:val="21"/>
        </w:rPr>
        <w:t>一</w:t>
      </w:r>
      <w:r>
        <w:rPr>
          <w:bCs/>
          <w:szCs w:val="21"/>
        </w:rPr>
        <w:t xml:space="preserve"> </w:t>
      </w:r>
      <w:r>
        <w:rPr>
          <w:bCs/>
          <w:szCs w:val="21"/>
        </w:rPr>
        <w:t>湿度环境对设施作物生长的影响</w:t>
      </w:r>
    </w:p>
    <w:p w14:paraId="399B713E" w14:textId="77777777" w:rsidR="00F5289E" w:rsidRDefault="00C91173">
      <w:pPr>
        <w:widowControl/>
        <w:spacing w:line="360" w:lineRule="auto"/>
        <w:rPr>
          <w:bCs/>
          <w:szCs w:val="21"/>
        </w:rPr>
      </w:pPr>
      <w:r>
        <w:rPr>
          <w:bCs/>
          <w:szCs w:val="21"/>
        </w:rPr>
        <w:t>1</w:t>
      </w:r>
      <w:r>
        <w:rPr>
          <w:bCs/>
          <w:szCs w:val="21"/>
        </w:rPr>
        <w:t>设施作物不同生长发育时期对水分条件的要求</w:t>
      </w:r>
      <w:r>
        <w:rPr>
          <w:color w:val="000000"/>
          <w:szCs w:val="21"/>
        </w:rPr>
        <w:t>（了解</w:t>
      </w:r>
      <w:r>
        <w:rPr>
          <w:color w:val="000000"/>
          <w:szCs w:val="21"/>
        </w:rPr>
        <w:t>)</w:t>
      </w:r>
    </w:p>
    <w:p w14:paraId="1B54351D" w14:textId="77777777" w:rsidR="00F5289E" w:rsidRDefault="00C91173">
      <w:pPr>
        <w:widowControl/>
        <w:spacing w:line="360" w:lineRule="auto"/>
        <w:rPr>
          <w:bCs/>
          <w:szCs w:val="21"/>
        </w:rPr>
      </w:pPr>
      <w:r>
        <w:rPr>
          <w:bCs/>
          <w:szCs w:val="21"/>
        </w:rPr>
        <w:t>2</w:t>
      </w:r>
      <w:r>
        <w:rPr>
          <w:bCs/>
          <w:szCs w:val="21"/>
        </w:rPr>
        <w:t>设施湿度环境与作物生长发育的关系</w:t>
      </w:r>
      <w:r>
        <w:rPr>
          <w:color w:val="000000"/>
          <w:szCs w:val="21"/>
        </w:rPr>
        <w:t>（了解</w:t>
      </w:r>
      <w:r>
        <w:rPr>
          <w:color w:val="000000"/>
          <w:szCs w:val="21"/>
        </w:rPr>
        <w:t>)</w:t>
      </w:r>
    </w:p>
    <w:p w14:paraId="088647FF" w14:textId="77777777" w:rsidR="00F5289E" w:rsidRDefault="00C91173">
      <w:pPr>
        <w:widowControl/>
        <w:spacing w:line="360" w:lineRule="auto"/>
        <w:rPr>
          <w:bCs/>
          <w:szCs w:val="21"/>
        </w:rPr>
      </w:pPr>
      <w:r>
        <w:rPr>
          <w:bCs/>
          <w:szCs w:val="21"/>
        </w:rPr>
        <w:t>二</w:t>
      </w:r>
      <w:r>
        <w:rPr>
          <w:bCs/>
          <w:szCs w:val="21"/>
        </w:rPr>
        <w:t xml:space="preserve"> </w:t>
      </w:r>
      <w:r>
        <w:rPr>
          <w:bCs/>
          <w:szCs w:val="21"/>
        </w:rPr>
        <w:t>设施蔬菜的需水特点及水分管理</w:t>
      </w:r>
    </w:p>
    <w:p w14:paraId="2284A66E" w14:textId="77777777" w:rsidR="00F5289E" w:rsidRDefault="00C91173">
      <w:pPr>
        <w:widowControl/>
        <w:spacing w:line="360" w:lineRule="auto"/>
        <w:rPr>
          <w:color w:val="000000"/>
          <w:szCs w:val="21"/>
        </w:rPr>
      </w:pPr>
      <w:r>
        <w:rPr>
          <w:bCs/>
          <w:szCs w:val="21"/>
        </w:rPr>
        <w:t>1</w:t>
      </w:r>
      <w:r>
        <w:rPr>
          <w:bCs/>
          <w:szCs w:val="21"/>
        </w:rPr>
        <w:t>根据需水特点的分类</w:t>
      </w:r>
      <w:r>
        <w:rPr>
          <w:color w:val="000000"/>
          <w:szCs w:val="21"/>
        </w:rPr>
        <w:t>（了解</w:t>
      </w:r>
      <w:r>
        <w:rPr>
          <w:color w:val="000000"/>
          <w:szCs w:val="21"/>
        </w:rPr>
        <w:t>)</w:t>
      </w:r>
    </w:p>
    <w:p w14:paraId="55F1848E" w14:textId="77777777" w:rsidR="00F5289E" w:rsidRDefault="00C91173">
      <w:pPr>
        <w:widowControl/>
        <w:spacing w:line="360" w:lineRule="auto"/>
        <w:rPr>
          <w:bCs/>
          <w:szCs w:val="21"/>
        </w:rPr>
      </w:pPr>
      <w:r>
        <w:rPr>
          <w:bCs/>
          <w:szCs w:val="21"/>
        </w:rPr>
        <w:t>2</w:t>
      </w:r>
      <w:r>
        <w:rPr>
          <w:bCs/>
          <w:szCs w:val="21"/>
        </w:rPr>
        <w:t>不同种类的蔬菜对空气相对湿度的要求</w:t>
      </w:r>
      <w:r>
        <w:rPr>
          <w:color w:val="000000"/>
          <w:szCs w:val="21"/>
        </w:rPr>
        <w:t>（了解</w:t>
      </w:r>
      <w:r>
        <w:rPr>
          <w:color w:val="000000"/>
          <w:szCs w:val="21"/>
        </w:rPr>
        <w:t>)</w:t>
      </w:r>
    </w:p>
    <w:p w14:paraId="2D771713" w14:textId="77777777" w:rsidR="00F5289E" w:rsidRDefault="00C91173">
      <w:pPr>
        <w:widowControl/>
        <w:spacing w:line="360" w:lineRule="auto"/>
        <w:rPr>
          <w:bCs/>
          <w:szCs w:val="21"/>
        </w:rPr>
      </w:pPr>
      <w:r>
        <w:rPr>
          <w:bCs/>
          <w:szCs w:val="21"/>
        </w:rPr>
        <w:t>二</w:t>
      </w:r>
      <w:r>
        <w:rPr>
          <w:bCs/>
          <w:szCs w:val="21"/>
        </w:rPr>
        <w:t xml:space="preserve"> </w:t>
      </w:r>
      <w:r>
        <w:rPr>
          <w:bCs/>
          <w:szCs w:val="21"/>
        </w:rPr>
        <w:t>设施花卉的需水特点及水分管理</w:t>
      </w:r>
    </w:p>
    <w:p w14:paraId="4CBD056D" w14:textId="77777777" w:rsidR="00F5289E" w:rsidRDefault="00C91173">
      <w:pPr>
        <w:widowControl/>
        <w:spacing w:line="360" w:lineRule="auto"/>
        <w:rPr>
          <w:bCs/>
          <w:szCs w:val="21"/>
        </w:rPr>
      </w:pPr>
      <w:r>
        <w:rPr>
          <w:bCs/>
          <w:szCs w:val="21"/>
        </w:rPr>
        <w:t>1</w:t>
      </w:r>
      <w:r>
        <w:rPr>
          <w:bCs/>
          <w:szCs w:val="21"/>
        </w:rPr>
        <w:t>不同发育时期需水特点</w:t>
      </w:r>
      <w:r>
        <w:rPr>
          <w:color w:val="000000"/>
          <w:szCs w:val="21"/>
        </w:rPr>
        <w:t>（了解</w:t>
      </w:r>
      <w:r>
        <w:rPr>
          <w:color w:val="000000"/>
          <w:szCs w:val="21"/>
        </w:rPr>
        <w:t>)</w:t>
      </w:r>
    </w:p>
    <w:p w14:paraId="0A85F20E" w14:textId="77777777" w:rsidR="00F5289E" w:rsidRDefault="00C91173">
      <w:pPr>
        <w:widowControl/>
        <w:spacing w:line="360" w:lineRule="auto"/>
        <w:rPr>
          <w:bCs/>
          <w:szCs w:val="21"/>
        </w:rPr>
      </w:pPr>
      <w:r>
        <w:rPr>
          <w:bCs/>
          <w:szCs w:val="21"/>
        </w:rPr>
        <w:t>2</w:t>
      </w:r>
      <w:r>
        <w:rPr>
          <w:bCs/>
          <w:szCs w:val="21"/>
        </w:rPr>
        <w:t>分类（旱生、水生、中生、湿生花卉）</w:t>
      </w:r>
      <w:r>
        <w:rPr>
          <w:color w:val="000000"/>
          <w:szCs w:val="21"/>
        </w:rPr>
        <w:t>（了解</w:t>
      </w:r>
      <w:r>
        <w:rPr>
          <w:color w:val="000000"/>
          <w:szCs w:val="21"/>
        </w:rPr>
        <w:t>)</w:t>
      </w:r>
    </w:p>
    <w:p w14:paraId="4FA3B330" w14:textId="77777777" w:rsidR="00F5289E" w:rsidRDefault="00C91173">
      <w:pPr>
        <w:widowControl/>
        <w:spacing w:line="360" w:lineRule="auto"/>
        <w:rPr>
          <w:bCs/>
          <w:szCs w:val="21"/>
        </w:rPr>
      </w:pPr>
      <w:r>
        <w:rPr>
          <w:bCs/>
          <w:szCs w:val="21"/>
        </w:rPr>
        <w:t>二</w:t>
      </w:r>
      <w:r>
        <w:rPr>
          <w:bCs/>
          <w:szCs w:val="21"/>
        </w:rPr>
        <w:t xml:space="preserve"> </w:t>
      </w:r>
      <w:r>
        <w:rPr>
          <w:bCs/>
          <w:szCs w:val="21"/>
        </w:rPr>
        <w:t>设施果树的需水特点及水分管理</w:t>
      </w:r>
    </w:p>
    <w:p w14:paraId="561E29CE" w14:textId="77777777" w:rsidR="00F5289E" w:rsidRDefault="00C91173">
      <w:pPr>
        <w:widowControl/>
        <w:spacing w:line="360" w:lineRule="auto"/>
        <w:rPr>
          <w:bCs/>
          <w:szCs w:val="21"/>
        </w:rPr>
      </w:pPr>
      <w:r>
        <w:rPr>
          <w:bCs/>
          <w:szCs w:val="21"/>
        </w:rPr>
        <w:t>1</w:t>
      </w:r>
      <w:r>
        <w:rPr>
          <w:bCs/>
          <w:szCs w:val="21"/>
        </w:rPr>
        <w:t>不同发育时期需水特点</w:t>
      </w:r>
      <w:r>
        <w:rPr>
          <w:color w:val="000000"/>
          <w:szCs w:val="21"/>
        </w:rPr>
        <w:t>（了解</w:t>
      </w:r>
      <w:r>
        <w:rPr>
          <w:color w:val="000000"/>
          <w:szCs w:val="21"/>
        </w:rPr>
        <w:t>)</w:t>
      </w:r>
    </w:p>
    <w:p w14:paraId="5E3696DB" w14:textId="77777777" w:rsidR="00F5289E" w:rsidRDefault="00C91173">
      <w:pPr>
        <w:widowControl/>
        <w:spacing w:line="360" w:lineRule="auto"/>
        <w:rPr>
          <w:b/>
          <w:szCs w:val="21"/>
        </w:rPr>
      </w:pPr>
      <w:r>
        <w:rPr>
          <w:bCs/>
          <w:szCs w:val="21"/>
        </w:rPr>
        <w:t>2</w:t>
      </w:r>
      <w:r>
        <w:rPr>
          <w:bCs/>
          <w:szCs w:val="21"/>
        </w:rPr>
        <w:t>不同果树需水特点</w:t>
      </w:r>
      <w:r>
        <w:rPr>
          <w:color w:val="000000"/>
          <w:szCs w:val="21"/>
        </w:rPr>
        <w:t>（了解</w:t>
      </w:r>
      <w:r>
        <w:rPr>
          <w:color w:val="000000"/>
          <w:szCs w:val="21"/>
        </w:rPr>
        <w:t>)</w:t>
      </w:r>
    </w:p>
    <w:p w14:paraId="6F463349" w14:textId="77777777" w:rsidR="00F5289E" w:rsidRDefault="00C91173">
      <w:pPr>
        <w:widowControl/>
        <w:spacing w:line="360" w:lineRule="auto"/>
        <w:rPr>
          <w:b/>
          <w:kern w:val="0"/>
          <w:szCs w:val="21"/>
        </w:rPr>
      </w:pPr>
      <w:r>
        <w:rPr>
          <w:b/>
          <w:bCs/>
          <w:color w:val="000000"/>
          <w:szCs w:val="21"/>
        </w:rPr>
        <w:t>第三节</w:t>
      </w:r>
      <w:r>
        <w:rPr>
          <w:b/>
          <w:bCs/>
          <w:color w:val="0000FF"/>
          <w:szCs w:val="21"/>
        </w:rPr>
        <w:t xml:space="preserve"> </w:t>
      </w:r>
      <w:r>
        <w:rPr>
          <w:b/>
          <w:bCs/>
          <w:color w:val="262600"/>
          <w:szCs w:val="21"/>
        </w:rPr>
        <w:t>水环境的调节技术及设备</w:t>
      </w:r>
      <w:r>
        <w:rPr>
          <w:b/>
          <w:kern w:val="0"/>
          <w:szCs w:val="21"/>
        </w:rPr>
        <w:t>（</w:t>
      </w:r>
      <w:r>
        <w:rPr>
          <w:b/>
          <w:kern w:val="0"/>
          <w:szCs w:val="21"/>
        </w:rPr>
        <w:t>3</w:t>
      </w:r>
      <w:r>
        <w:rPr>
          <w:b/>
          <w:kern w:val="0"/>
          <w:szCs w:val="21"/>
        </w:rPr>
        <w:t>学时）</w:t>
      </w:r>
    </w:p>
    <w:p w14:paraId="732A6EA7" w14:textId="77777777" w:rsidR="00F5289E" w:rsidRDefault="00C91173">
      <w:pPr>
        <w:widowControl/>
        <w:spacing w:line="360" w:lineRule="auto"/>
        <w:jc w:val="left"/>
        <w:rPr>
          <w:bCs/>
          <w:szCs w:val="21"/>
        </w:rPr>
      </w:pPr>
      <w:r>
        <w:rPr>
          <w:bCs/>
          <w:szCs w:val="21"/>
        </w:rPr>
        <w:t>一</w:t>
      </w:r>
      <w:r>
        <w:rPr>
          <w:bCs/>
          <w:szCs w:val="21"/>
        </w:rPr>
        <w:t xml:space="preserve"> </w:t>
      </w:r>
      <w:r>
        <w:rPr>
          <w:bCs/>
          <w:szCs w:val="21"/>
        </w:rPr>
        <w:t>设施灌溉系统的组成</w:t>
      </w:r>
    </w:p>
    <w:p w14:paraId="3DE3F5AD" w14:textId="77777777" w:rsidR="00F5289E" w:rsidRDefault="00C91173">
      <w:pPr>
        <w:widowControl/>
        <w:spacing w:line="360" w:lineRule="auto"/>
        <w:jc w:val="left"/>
        <w:rPr>
          <w:bCs/>
          <w:szCs w:val="21"/>
        </w:rPr>
      </w:pPr>
      <w:r>
        <w:rPr>
          <w:bCs/>
          <w:szCs w:val="21"/>
        </w:rPr>
        <w:t>水源、首部枢纽（水泵、动力机、肥料和化学药品注入设备、过滤设备、控制阀、进排气阀、流量压力量测仪表等）、供水管网和田间灌溉系统</w:t>
      </w:r>
      <w:r>
        <w:rPr>
          <w:color w:val="000000"/>
          <w:szCs w:val="21"/>
        </w:rPr>
        <w:t>（了解</w:t>
      </w:r>
      <w:r>
        <w:rPr>
          <w:color w:val="000000"/>
          <w:szCs w:val="21"/>
        </w:rPr>
        <w:t>)</w:t>
      </w:r>
    </w:p>
    <w:p w14:paraId="6D54D52C" w14:textId="77777777" w:rsidR="00F5289E" w:rsidRDefault="00C91173">
      <w:pPr>
        <w:widowControl/>
        <w:spacing w:line="360" w:lineRule="auto"/>
        <w:jc w:val="left"/>
        <w:rPr>
          <w:bCs/>
          <w:szCs w:val="21"/>
        </w:rPr>
      </w:pPr>
      <w:r>
        <w:rPr>
          <w:bCs/>
          <w:szCs w:val="21"/>
        </w:rPr>
        <w:t>二</w:t>
      </w:r>
      <w:r>
        <w:rPr>
          <w:bCs/>
          <w:szCs w:val="21"/>
        </w:rPr>
        <w:t xml:space="preserve"> </w:t>
      </w:r>
      <w:r>
        <w:rPr>
          <w:bCs/>
          <w:szCs w:val="21"/>
        </w:rPr>
        <w:t>设施灌溉系统主要类型</w:t>
      </w:r>
    </w:p>
    <w:p w14:paraId="6A82E554" w14:textId="77777777" w:rsidR="00F5289E" w:rsidRDefault="00C91173">
      <w:pPr>
        <w:widowControl/>
        <w:spacing w:line="360" w:lineRule="auto"/>
        <w:jc w:val="left"/>
        <w:rPr>
          <w:bCs/>
          <w:szCs w:val="21"/>
        </w:rPr>
      </w:pPr>
      <w:r>
        <w:rPr>
          <w:bCs/>
          <w:szCs w:val="21"/>
        </w:rPr>
        <w:t>管道灌溉系统，滴灌系统，微喷灌系统，喷雾灌溉系统，潮汐灌溉系统和水培灌溉系统</w:t>
      </w:r>
      <w:r>
        <w:rPr>
          <w:color w:val="000000"/>
          <w:szCs w:val="21"/>
        </w:rPr>
        <w:t>（掌握</w:t>
      </w:r>
      <w:r>
        <w:rPr>
          <w:color w:val="000000"/>
          <w:szCs w:val="21"/>
        </w:rPr>
        <w:t>)</w:t>
      </w:r>
    </w:p>
    <w:p w14:paraId="3AA4BA88" w14:textId="77777777" w:rsidR="00F5289E" w:rsidRDefault="00C91173">
      <w:pPr>
        <w:widowControl/>
        <w:spacing w:line="360" w:lineRule="auto"/>
        <w:jc w:val="left"/>
        <w:rPr>
          <w:bCs/>
          <w:szCs w:val="21"/>
        </w:rPr>
      </w:pPr>
      <w:r>
        <w:rPr>
          <w:bCs/>
          <w:szCs w:val="21"/>
        </w:rPr>
        <w:lastRenderedPageBreak/>
        <w:t>三</w:t>
      </w:r>
      <w:r>
        <w:rPr>
          <w:bCs/>
          <w:szCs w:val="21"/>
        </w:rPr>
        <w:t xml:space="preserve"> </w:t>
      </w:r>
      <w:r>
        <w:rPr>
          <w:bCs/>
          <w:szCs w:val="21"/>
        </w:rPr>
        <w:t>微灌技术</w:t>
      </w:r>
    </w:p>
    <w:p w14:paraId="5C94C647" w14:textId="77777777" w:rsidR="00F5289E" w:rsidRDefault="00C91173">
      <w:pPr>
        <w:widowControl/>
        <w:spacing w:line="360" w:lineRule="auto"/>
        <w:jc w:val="left"/>
        <w:rPr>
          <w:bCs/>
          <w:szCs w:val="21"/>
        </w:rPr>
      </w:pPr>
      <w:r>
        <w:rPr>
          <w:bCs/>
          <w:szCs w:val="21"/>
        </w:rPr>
        <w:t>微灌概念、微灌系统对灌水器的要求、滴灌（灌水器的分类、选择及布置）、微喷灌（微喷头的技术参数和种类及布置）</w:t>
      </w:r>
      <w:r>
        <w:rPr>
          <w:color w:val="000000"/>
          <w:szCs w:val="21"/>
        </w:rPr>
        <w:t>（掌握</w:t>
      </w:r>
      <w:r>
        <w:rPr>
          <w:color w:val="000000"/>
          <w:szCs w:val="21"/>
        </w:rPr>
        <w:t>)</w:t>
      </w:r>
    </w:p>
    <w:p w14:paraId="52876796" w14:textId="77777777" w:rsidR="00F5289E" w:rsidRDefault="00C91173">
      <w:pPr>
        <w:widowControl/>
        <w:spacing w:line="360" w:lineRule="auto"/>
        <w:jc w:val="left"/>
        <w:rPr>
          <w:bCs/>
          <w:szCs w:val="21"/>
        </w:rPr>
      </w:pPr>
      <w:r>
        <w:rPr>
          <w:bCs/>
          <w:szCs w:val="21"/>
        </w:rPr>
        <w:t>四</w:t>
      </w:r>
      <w:r>
        <w:rPr>
          <w:bCs/>
          <w:szCs w:val="21"/>
        </w:rPr>
        <w:t xml:space="preserve"> </w:t>
      </w:r>
      <w:r>
        <w:rPr>
          <w:bCs/>
          <w:szCs w:val="21"/>
        </w:rPr>
        <w:t>其他调节技术及设备</w:t>
      </w:r>
    </w:p>
    <w:p w14:paraId="2F9DBE82" w14:textId="77777777" w:rsidR="00F5289E" w:rsidRDefault="00C91173">
      <w:pPr>
        <w:widowControl/>
        <w:spacing w:line="360" w:lineRule="auto"/>
        <w:jc w:val="left"/>
        <w:rPr>
          <w:bCs/>
          <w:szCs w:val="21"/>
        </w:rPr>
      </w:pPr>
      <w:r>
        <w:rPr>
          <w:bCs/>
          <w:szCs w:val="21"/>
        </w:rPr>
        <w:t>地面灌溉技术、地膜覆盖灌溉技术、农艺节水技术</w:t>
      </w:r>
      <w:r>
        <w:rPr>
          <w:color w:val="000000"/>
          <w:szCs w:val="21"/>
        </w:rPr>
        <w:t>（掌握</w:t>
      </w:r>
      <w:r>
        <w:rPr>
          <w:color w:val="000000"/>
          <w:szCs w:val="21"/>
        </w:rPr>
        <w:t>)</w:t>
      </w:r>
    </w:p>
    <w:p w14:paraId="51A252F9" w14:textId="77777777" w:rsidR="00F5289E" w:rsidRDefault="00C91173">
      <w:pPr>
        <w:widowControl/>
        <w:spacing w:line="360" w:lineRule="auto"/>
        <w:rPr>
          <w:color w:val="0000FF"/>
          <w:szCs w:val="20"/>
        </w:rPr>
      </w:pPr>
      <w:r>
        <w:rPr>
          <w:b/>
          <w:bCs/>
          <w:szCs w:val="21"/>
        </w:rPr>
        <w:t>教学组织与实施：</w:t>
      </w:r>
      <w:r>
        <w:rPr>
          <w:color w:val="000000"/>
          <w:szCs w:val="21"/>
        </w:rPr>
        <w:t>多媒体讲授，</w:t>
      </w:r>
      <w:r>
        <w:rPr>
          <w:szCs w:val="21"/>
        </w:rPr>
        <w:t>教师为主导、学生为主体。为了活跃课堂氛围，授课时采用课堂提问、热点问题讨论等多种教学方法增加与学生的互动</w:t>
      </w:r>
      <w:r>
        <w:rPr>
          <w:color w:val="000000"/>
          <w:szCs w:val="21"/>
        </w:rPr>
        <w:t>。因为关于微灌系统部分比较抽象，所以为了让学生可以加深理解，会采用播放视频的方式，生动形象的向学生展示微灌系统的整个组成。为了加强学生对于理论知识的灵活运用，让学生亲自动手测量设施内的湿度环境，分析其分布特点和变化规律，并根据实际情况阐述其形成原因</w:t>
      </w:r>
      <w:r>
        <w:rPr>
          <w:color w:val="000000"/>
        </w:rPr>
        <w:t>。</w:t>
      </w:r>
    </w:p>
    <w:tbl>
      <w:tblPr>
        <w:tblStyle w:val="af6"/>
        <w:tblW w:w="0" w:type="auto"/>
        <w:tblInd w:w="4" w:type="dxa"/>
        <w:tblCellMar>
          <w:left w:w="0" w:type="dxa"/>
          <w:right w:w="0" w:type="dxa"/>
        </w:tblCellMar>
        <w:tblLook w:val="04A0" w:firstRow="1" w:lastRow="0" w:firstColumn="1" w:lastColumn="0" w:noHBand="0" w:noVBand="1"/>
      </w:tblPr>
      <w:tblGrid>
        <w:gridCol w:w="1565"/>
        <w:gridCol w:w="5100"/>
        <w:gridCol w:w="2231"/>
      </w:tblGrid>
      <w:tr w:rsidR="00F5289E" w14:paraId="4F49A2B9" w14:textId="77777777">
        <w:trPr>
          <w:trHeight w:val="270"/>
        </w:trPr>
        <w:tc>
          <w:tcPr>
            <w:tcW w:w="1565" w:type="dxa"/>
            <w:tcBorders>
              <w:top w:val="nil"/>
              <w:left w:val="nil"/>
              <w:bottom w:val="nil"/>
              <w:right w:val="nil"/>
            </w:tcBorders>
            <w:vAlign w:val="center"/>
          </w:tcPr>
          <w:p w14:paraId="5B55FAD0" w14:textId="77777777" w:rsidR="00F5289E" w:rsidRDefault="00F5289E">
            <w:pPr>
              <w:widowControl/>
              <w:snapToGrid w:val="0"/>
              <w:spacing w:line="360" w:lineRule="auto"/>
              <w:jc w:val="center"/>
              <w:rPr>
                <w:b/>
                <w:bCs/>
                <w:kern w:val="0"/>
                <w:szCs w:val="21"/>
              </w:rPr>
            </w:pPr>
          </w:p>
        </w:tc>
        <w:tc>
          <w:tcPr>
            <w:tcW w:w="5100" w:type="dxa"/>
            <w:tcBorders>
              <w:top w:val="nil"/>
              <w:left w:val="nil"/>
              <w:bottom w:val="nil"/>
              <w:right w:val="nil"/>
            </w:tcBorders>
            <w:vAlign w:val="center"/>
          </w:tcPr>
          <w:p w14:paraId="0C83EE09" w14:textId="77777777" w:rsidR="00F5289E" w:rsidRDefault="00C91173">
            <w:pPr>
              <w:widowControl/>
              <w:snapToGrid w:val="0"/>
              <w:spacing w:line="360" w:lineRule="auto"/>
              <w:jc w:val="center"/>
              <w:rPr>
                <w:b/>
                <w:bCs/>
                <w:kern w:val="0"/>
                <w:szCs w:val="21"/>
              </w:rPr>
            </w:pPr>
            <w:r>
              <w:rPr>
                <w:b/>
                <w:bCs/>
                <w:kern w:val="0"/>
                <w:szCs w:val="21"/>
              </w:rPr>
              <w:t>第四章</w:t>
            </w:r>
            <w:r>
              <w:rPr>
                <w:b/>
                <w:bCs/>
                <w:kern w:val="0"/>
                <w:szCs w:val="21"/>
              </w:rPr>
              <w:t xml:space="preserve">  </w:t>
            </w:r>
            <w:r>
              <w:rPr>
                <w:b/>
                <w:color w:val="262600"/>
              </w:rPr>
              <w:t>设施</w:t>
            </w:r>
            <w:r>
              <w:rPr>
                <w:rFonts w:hint="eastAsia"/>
                <w:b/>
                <w:color w:val="262600"/>
              </w:rPr>
              <w:t>气体</w:t>
            </w:r>
            <w:r>
              <w:rPr>
                <w:b/>
                <w:color w:val="262600"/>
              </w:rPr>
              <w:t>环境</w:t>
            </w:r>
            <w:r>
              <w:rPr>
                <w:rFonts w:hint="eastAsia"/>
                <w:b/>
                <w:color w:val="262600"/>
              </w:rPr>
              <w:t>特点与</w:t>
            </w:r>
            <w:r>
              <w:rPr>
                <w:b/>
                <w:color w:val="262600"/>
              </w:rPr>
              <w:t>调控技术</w:t>
            </w:r>
            <w:r>
              <w:rPr>
                <w:b/>
                <w:color w:val="262600"/>
              </w:rPr>
              <w:t xml:space="preserve"> </w:t>
            </w:r>
          </w:p>
        </w:tc>
        <w:tc>
          <w:tcPr>
            <w:tcW w:w="2231" w:type="dxa"/>
            <w:tcBorders>
              <w:top w:val="nil"/>
              <w:left w:val="nil"/>
              <w:bottom w:val="nil"/>
              <w:right w:val="nil"/>
            </w:tcBorders>
            <w:vAlign w:val="center"/>
          </w:tcPr>
          <w:p w14:paraId="3C4F7509"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6</w:t>
            </w:r>
          </w:p>
        </w:tc>
      </w:tr>
    </w:tbl>
    <w:p w14:paraId="56F485D9" w14:textId="77777777" w:rsidR="00F5289E" w:rsidRDefault="00C91173">
      <w:pPr>
        <w:spacing w:line="360" w:lineRule="auto"/>
        <w:rPr>
          <w:bCs/>
          <w:color w:val="000000"/>
          <w:szCs w:val="21"/>
        </w:rPr>
      </w:pPr>
      <w:r>
        <w:rPr>
          <w:b/>
          <w:bCs/>
          <w:color w:val="000000"/>
          <w:szCs w:val="21"/>
        </w:rPr>
        <w:t>教学目的：</w:t>
      </w:r>
      <w:r>
        <w:rPr>
          <w:bCs/>
          <w:color w:val="000000"/>
          <w:szCs w:val="21"/>
        </w:rPr>
        <w:t>通过学习，要求掌握设施内气体环境特点，通风换气设计原理，掌握园艺设施内二氧化碳气体施肥技术。</w:t>
      </w:r>
    </w:p>
    <w:p w14:paraId="7DBFAC39" w14:textId="77777777" w:rsidR="00F5289E" w:rsidRDefault="00C91173">
      <w:pPr>
        <w:spacing w:line="360" w:lineRule="auto"/>
        <w:rPr>
          <w:color w:val="000000"/>
          <w:szCs w:val="21"/>
        </w:rPr>
      </w:pPr>
      <w:r>
        <w:rPr>
          <w:b/>
          <w:bCs/>
          <w:color w:val="000000"/>
          <w:szCs w:val="21"/>
        </w:rPr>
        <w:t>教学重点和难点：</w:t>
      </w:r>
      <w:r>
        <w:rPr>
          <w:color w:val="000000"/>
          <w:szCs w:val="21"/>
        </w:rPr>
        <w:t>温室内气流的调控；二氧化碳施肥技术</w:t>
      </w:r>
    </w:p>
    <w:p w14:paraId="3D3EF11B" w14:textId="77777777" w:rsidR="00F5289E" w:rsidRDefault="00C91173">
      <w:pPr>
        <w:pStyle w:val="afc"/>
        <w:spacing w:line="360" w:lineRule="auto"/>
        <w:rPr>
          <w:rFonts w:ascii="Times New Roman" w:hAnsi="Times New Roman"/>
          <w:b/>
          <w:bCs/>
          <w:sz w:val="21"/>
          <w:szCs w:val="21"/>
        </w:rPr>
      </w:pPr>
      <w:r>
        <w:rPr>
          <w:rFonts w:ascii="Times New Roman" w:hAnsi="Times New Roman"/>
          <w:b/>
          <w:sz w:val="21"/>
          <w:szCs w:val="21"/>
        </w:rPr>
        <w:t>主要教学内容及要求</w:t>
      </w:r>
      <w:r>
        <w:rPr>
          <w:rFonts w:ascii="Times New Roman" w:hAnsi="Times New Roman"/>
          <w:b/>
          <w:bCs/>
          <w:sz w:val="21"/>
          <w:szCs w:val="21"/>
        </w:rPr>
        <w:t>：</w:t>
      </w:r>
    </w:p>
    <w:p w14:paraId="32B46FF4" w14:textId="77777777" w:rsidR="00F5289E" w:rsidRDefault="00C91173">
      <w:pPr>
        <w:widowControl/>
        <w:spacing w:line="360" w:lineRule="auto"/>
        <w:rPr>
          <w:b/>
          <w:kern w:val="0"/>
          <w:szCs w:val="21"/>
        </w:rPr>
      </w:pPr>
      <w:r>
        <w:rPr>
          <w:b/>
          <w:bCs/>
          <w:szCs w:val="20"/>
        </w:rPr>
        <w:t>第一节</w:t>
      </w:r>
      <w:r>
        <w:rPr>
          <w:b/>
          <w:bCs/>
          <w:color w:val="0000FF"/>
          <w:szCs w:val="20"/>
        </w:rPr>
        <w:t xml:space="preserve"> </w:t>
      </w:r>
      <w:r>
        <w:rPr>
          <w:b/>
          <w:bCs/>
          <w:color w:val="262600"/>
        </w:rPr>
        <w:t>设施气体环境特点及调控</w:t>
      </w:r>
      <w:r>
        <w:rPr>
          <w:b/>
          <w:kern w:val="0"/>
          <w:szCs w:val="21"/>
        </w:rPr>
        <w:t>（</w:t>
      </w:r>
      <w:r>
        <w:rPr>
          <w:b/>
          <w:kern w:val="0"/>
          <w:szCs w:val="21"/>
        </w:rPr>
        <w:t>3</w:t>
      </w:r>
      <w:r>
        <w:rPr>
          <w:b/>
          <w:kern w:val="0"/>
          <w:szCs w:val="21"/>
        </w:rPr>
        <w:t>学时）</w:t>
      </w:r>
    </w:p>
    <w:p w14:paraId="4F37A0A2" w14:textId="77777777" w:rsidR="00F5289E" w:rsidRDefault="00C91173">
      <w:pPr>
        <w:widowControl/>
        <w:spacing w:line="360" w:lineRule="auto"/>
        <w:jc w:val="left"/>
        <w:rPr>
          <w:color w:val="000000"/>
          <w:szCs w:val="20"/>
        </w:rPr>
      </w:pPr>
      <w:r>
        <w:rPr>
          <w:color w:val="000000"/>
          <w:szCs w:val="20"/>
        </w:rPr>
        <w:t>一</w:t>
      </w:r>
      <w:r>
        <w:rPr>
          <w:color w:val="000000"/>
          <w:szCs w:val="20"/>
        </w:rPr>
        <w:t xml:space="preserve"> </w:t>
      </w:r>
      <w:r>
        <w:rPr>
          <w:color w:val="000000"/>
          <w:szCs w:val="20"/>
        </w:rPr>
        <w:t>设施内气体环境特点</w:t>
      </w:r>
      <w:r>
        <w:rPr>
          <w:color w:val="000000"/>
          <w:szCs w:val="21"/>
        </w:rPr>
        <w:t>(</w:t>
      </w:r>
      <w:r>
        <w:rPr>
          <w:color w:val="000000"/>
          <w:szCs w:val="21"/>
        </w:rPr>
        <w:t>掌握</w:t>
      </w:r>
      <w:r>
        <w:rPr>
          <w:color w:val="000000"/>
          <w:szCs w:val="21"/>
        </w:rPr>
        <w:t xml:space="preserve">) </w:t>
      </w:r>
    </w:p>
    <w:p w14:paraId="241A3B26" w14:textId="77777777" w:rsidR="00F5289E" w:rsidRDefault="00C91173">
      <w:pPr>
        <w:widowControl/>
        <w:spacing w:line="360" w:lineRule="auto"/>
        <w:jc w:val="left"/>
        <w:rPr>
          <w:color w:val="000000"/>
          <w:szCs w:val="20"/>
        </w:rPr>
      </w:pPr>
      <w:r>
        <w:rPr>
          <w:color w:val="000000"/>
          <w:szCs w:val="20"/>
        </w:rPr>
        <w:t>二</w:t>
      </w:r>
      <w:r>
        <w:rPr>
          <w:color w:val="000000"/>
          <w:szCs w:val="20"/>
        </w:rPr>
        <w:t xml:space="preserve"> </w:t>
      </w:r>
      <w:r>
        <w:rPr>
          <w:color w:val="000000"/>
          <w:szCs w:val="20"/>
        </w:rPr>
        <w:t>设施内二氧化碳气体状况及其调控</w:t>
      </w:r>
      <w:r>
        <w:rPr>
          <w:color w:val="000000"/>
          <w:szCs w:val="21"/>
        </w:rPr>
        <w:t>(</w:t>
      </w:r>
      <w:r>
        <w:rPr>
          <w:color w:val="000000"/>
          <w:szCs w:val="21"/>
        </w:rPr>
        <w:t>熟练掌握</w:t>
      </w:r>
      <w:r>
        <w:rPr>
          <w:color w:val="000000"/>
          <w:szCs w:val="21"/>
        </w:rPr>
        <w:t xml:space="preserve">) </w:t>
      </w:r>
    </w:p>
    <w:p w14:paraId="1D5BE18C" w14:textId="77777777" w:rsidR="00F5289E" w:rsidRDefault="00C91173">
      <w:pPr>
        <w:widowControl/>
        <w:spacing w:line="360" w:lineRule="auto"/>
        <w:jc w:val="left"/>
        <w:rPr>
          <w:color w:val="000000"/>
          <w:szCs w:val="20"/>
        </w:rPr>
      </w:pPr>
      <w:r>
        <w:rPr>
          <w:color w:val="000000"/>
          <w:szCs w:val="20"/>
        </w:rPr>
        <w:t>CO2</w:t>
      </w:r>
      <w:r>
        <w:rPr>
          <w:color w:val="000000"/>
          <w:szCs w:val="20"/>
        </w:rPr>
        <w:t>与植物生长发育的关系；</w:t>
      </w:r>
      <w:r>
        <w:rPr>
          <w:color w:val="000000"/>
          <w:szCs w:val="20"/>
        </w:rPr>
        <w:t>CO2</w:t>
      </w:r>
      <w:r>
        <w:rPr>
          <w:color w:val="000000"/>
          <w:szCs w:val="20"/>
        </w:rPr>
        <w:t>来源；浓度变化规律；浓度影响因素；</w:t>
      </w:r>
      <w:r>
        <w:rPr>
          <w:color w:val="000000"/>
          <w:szCs w:val="21"/>
        </w:rPr>
        <w:t>二氧化碳施用方式和施用设备</w:t>
      </w:r>
    </w:p>
    <w:p w14:paraId="68E868EF" w14:textId="77777777" w:rsidR="00F5289E" w:rsidRDefault="00C91173">
      <w:pPr>
        <w:widowControl/>
        <w:spacing w:line="360" w:lineRule="auto"/>
        <w:jc w:val="left"/>
        <w:rPr>
          <w:color w:val="000000"/>
          <w:szCs w:val="20"/>
        </w:rPr>
      </w:pPr>
      <w:r>
        <w:rPr>
          <w:color w:val="000000"/>
          <w:szCs w:val="20"/>
        </w:rPr>
        <w:t>三</w:t>
      </w:r>
      <w:r>
        <w:rPr>
          <w:color w:val="000000"/>
          <w:szCs w:val="20"/>
        </w:rPr>
        <w:t xml:space="preserve"> </w:t>
      </w:r>
      <w:r>
        <w:rPr>
          <w:color w:val="000000"/>
          <w:szCs w:val="20"/>
        </w:rPr>
        <w:t>设施有害气体及其调控</w:t>
      </w:r>
      <w:r>
        <w:rPr>
          <w:color w:val="000000"/>
          <w:szCs w:val="21"/>
        </w:rPr>
        <w:t>(</w:t>
      </w:r>
      <w:r>
        <w:rPr>
          <w:color w:val="000000"/>
          <w:szCs w:val="21"/>
        </w:rPr>
        <w:t>理解</w:t>
      </w:r>
      <w:r>
        <w:rPr>
          <w:color w:val="000000"/>
          <w:szCs w:val="21"/>
        </w:rPr>
        <w:t>)</w:t>
      </w:r>
    </w:p>
    <w:p w14:paraId="370E980E" w14:textId="77777777" w:rsidR="00F5289E" w:rsidRDefault="00C91173">
      <w:pPr>
        <w:widowControl/>
        <w:spacing w:line="360" w:lineRule="auto"/>
        <w:jc w:val="left"/>
        <w:rPr>
          <w:color w:val="000000"/>
          <w:szCs w:val="20"/>
        </w:rPr>
      </w:pPr>
      <w:r>
        <w:t>设施容易出现的有害气体的种类、产生原因和防止措施</w:t>
      </w:r>
    </w:p>
    <w:p w14:paraId="45EC14E5" w14:textId="77777777" w:rsidR="00F5289E" w:rsidRDefault="00C91173">
      <w:pPr>
        <w:widowControl/>
        <w:spacing w:line="360" w:lineRule="auto"/>
        <w:rPr>
          <w:b/>
        </w:rPr>
      </w:pPr>
      <w:r>
        <w:rPr>
          <w:b/>
          <w:bCs/>
          <w:szCs w:val="20"/>
        </w:rPr>
        <w:t>第二节</w:t>
      </w:r>
      <w:r>
        <w:rPr>
          <w:b/>
          <w:bCs/>
          <w:szCs w:val="20"/>
        </w:rPr>
        <w:t xml:space="preserve"> </w:t>
      </w:r>
      <w:r>
        <w:rPr>
          <w:b/>
          <w:bCs/>
          <w:szCs w:val="20"/>
        </w:rPr>
        <w:t>设施内</w:t>
      </w:r>
      <w:r>
        <w:rPr>
          <w:b/>
          <w:bCs/>
        </w:rPr>
        <w:t>气流运动及其调控</w:t>
      </w:r>
      <w:r>
        <w:rPr>
          <w:b/>
          <w:bCs/>
          <w:kern w:val="0"/>
          <w:szCs w:val="21"/>
        </w:rPr>
        <w:t>（</w:t>
      </w:r>
      <w:r>
        <w:rPr>
          <w:b/>
          <w:bCs/>
          <w:kern w:val="0"/>
          <w:szCs w:val="21"/>
        </w:rPr>
        <w:t>3</w:t>
      </w:r>
      <w:r>
        <w:rPr>
          <w:b/>
          <w:bCs/>
          <w:kern w:val="0"/>
          <w:szCs w:val="21"/>
        </w:rPr>
        <w:t>学时）</w:t>
      </w:r>
    </w:p>
    <w:p w14:paraId="0CEA7DCB" w14:textId="77777777" w:rsidR="00F5289E" w:rsidRDefault="00C91173">
      <w:pPr>
        <w:widowControl/>
        <w:spacing w:line="360" w:lineRule="auto"/>
        <w:jc w:val="left"/>
        <w:rPr>
          <w:szCs w:val="20"/>
        </w:rPr>
      </w:pPr>
      <w:r>
        <w:rPr>
          <w:szCs w:val="20"/>
        </w:rPr>
        <w:t>一</w:t>
      </w:r>
      <w:r>
        <w:rPr>
          <w:szCs w:val="20"/>
        </w:rPr>
        <w:t xml:space="preserve">  </w:t>
      </w:r>
      <w:r>
        <w:rPr>
          <w:szCs w:val="20"/>
        </w:rPr>
        <w:t>气流运动与植物生长发育的关系</w:t>
      </w:r>
      <w:r>
        <w:rPr>
          <w:color w:val="000000"/>
          <w:szCs w:val="21"/>
        </w:rPr>
        <w:t>(</w:t>
      </w:r>
      <w:r>
        <w:rPr>
          <w:color w:val="000000"/>
          <w:szCs w:val="21"/>
        </w:rPr>
        <w:t>了解</w:t>
      </w:r>
      <w:r>
        <w:rPr>
          <w:color w:val="000000"/>
          <w:szCs w:val="21"/>
        </w:rPr>
        <w:t>)</w:t>
      </w:r>
    </w:p>
    <w:p w14:paraId="1AE89E1A" w14:textId="77777777" w:rsidR="00F5289E" w:rsidRDefault="00C91173">
      <w:pPr>
        <w:widowControl/>
        <w:spacing w:line="360" w:lineRule="auto"/>
        <w:jc w:val="left"/>
        <w:rPr>
          <w:szCs w:val="20"/>
        </w:rPr>
      </w:pPr>
      <w:r>
        <w:rPr>
          <w:szCs w:val="20"/>
        </w:rPr>
        <w:t>二</w:t>
      </w:r>
      <w:r>
        <w:rPr>
          <w:szCs w:val="20"/>
        </w:rPr>
        <w:t xml:space="preserve"> </w:t>
      </w:r>
      <w:r>
        <w:rPr>
          <w:szCs w:val="20"/>
        </w:rPr>
        <w:t>温室内气流的调控</w:t>
      </w:r>
      <w:r>
        <w:rPr>
          <w:color w:val="000000"/>
          <w:szCs w:val="21"/>
        </w:rPr>
        <w:t>(</w:t>
      </w:r>
      <w:r>
        <w:rPr>
          <w:color w:val="000000"/>
          <w:szCs w:val="21"/>
        </w:rPr>
        <w:t>掌握</w:t>
      </w:r>
      <w:r>
        <w:rPr>
          <w:color w:val="000000"/>
          <w:szCs w:val="21"/>
        </w:rPr>
        <w:t>)</w:t>
      </w:r>
    </w:p>
    <w:p w14:paraId="69061E9D" w14:textId="77777777" w:rsidR="00F5289E" w:rsidRDefault="00C91173">
      <w:pPr>
        <w:widowControl/>
        <w:spacing w:line="360" w:lineRule="auto"/>
        <w:jc w:val="left"/>
        <w:rPr>
          <w:szCs w:val="20"/>
        </w:rPr>
      </w:pPr>
      <w:r>
        <w:rPr>
          <w:szCs w:val="20"/>
        </w:rPr>
        <w:t>1</w:t>
      </w:r>
      <w:r>
        <w:rPr>
          <w:szCs w:val="20"/>
        </w:rPr>
        <w:t>温室内气流运动成因（自然通风和主动通风）</w:t>
      </w:r>
    </w:p>
    <w:p w14:paraId="2AD15EB4" w14:textId="77777777" w:rsidR="00F5289E" w:rsidRDefault="00C91173">
      <w:pPr>
        <w:widowControl/>
        <w:spacing w:line="360" w:lineRule="auto"/>
        <w:jc w:val="left"/>
        <w:rPr>
          <w:szCs w:val="20"/>
        </w:rPr>
      </w:pPr>
      <w:r>
        <w:rPr>
          <w:szCs w:val="20"/>
        </w:rPr>
        <w:t>2</w:t>
      </w:r>
      <w:r>
        <w:rPr>
          <w:szCs w:val="20"/>
        </w:rPr>
        <w:t>通风量的概念与通风设计的原则（温室必要通风量、温室设计通风量）</w:t>
      </w:r>
    </w:p>
    <w:p w14:paraId="3D2AE7EC" w14:textId="77777777" w:rsidR="00F5289E" w:rsidRDefault="00C91173">
      <w:pPr>
        <w:widowControl/>
        <w:spacing w:line="360" w:lineRule="auto"/>
        <w:jc w:val="left"/>
      </w:pPr>
      <w:r>
        <w:rPr>
          <w:szCs w:val="20"/>
        </w:rPr>
        <w:t>3</w:t>
      </w:r>
      <w:r>
        <w:rPr>
          <w:szCs w:val="20"/>
        </w:rPr>
        <w:t>通风方式（自然通风和强制通风的原理、设计原则、主要设备）</w:t>
      </w:r>
    </w:p>
    <w:p w14:paraId="32101BFB" w14:textId="77777777" w:rsidR="00F5289E" w:rsidRDefault="00C91173">
      <w:pPr>
        <w:widowControl/>
        <w:spacing w:line="360" w:lineRule="auto"/>
        <w:rPr>
          <w:color w:val="0000FF"/>
          <w:szCs w:val="20"/>
        </w:rPr>
      </w:pPr>
      <w:r>
        <w:rPr>
          <w:b/>
          <w:bCs/>
        </w:rPr>
        <w:lastRenderedPageBreak/>
        <w:t>教学组织与实施：</w:t>
      </w:r>
      <w:r>
        <w:rPr>
          <w:color w:val="000000"/>
        </w:rPr>
        <w:t>多媒体讲授，</w:t>
      </w:r>
      <w:r>
        <w:t>教师为主导、学生为主体。为了提高教学效果，授课时采用课堂提问、热点问题讨论等多种教学方法</w:t>
      </w:r>
      <w:r>
        <w:rPr>
          <w:color w:val="000000"/>
        </w:rPr>
        <w:t>。因为这部分知识点比较多，为了让学生可以将知识点串联和应用起来，在讲授完理论部分后采用一个综合例题的方法让学生将所学的知识综合运用起来。同时为了加强学生对于理论知识的灵活运用，让学生亲自动手测量设施内的二氧化碳在设施内的变化情况，并根据实际情况阐述其形成原因。</w:t>
      </w:r>
    </w:p>
    <w:tbl>
      <w:tblPr>
        <w:tblStyle w:val="af6"/>
        <w:tblpPr w:leftFromText="180" w:rightFromText="180" w:vertAnchor="text" w:horzAnchor="page" w:tblpX="1489" w:tblpY="166"/>
        <w:tblOverlap w:val="never"/>
        <w:tblW w:w="0" w:type="auto"/>
        <w:tblCellMar>
          <w:left w:w="0" w:type="dxa"/>
          <w:right w:w="0" w:type="dxa"/>
        </w:tblCellMar>
        <w:tblLook w:val="04A0" w:firstRow="1" w:lastRow="0" w:firstColumn="1" w:lastColumn="0" w:noHBand="0" w:noVBand="1"/>
      </w:tblPr>
      <w:tblGrid>
        <w:gridCol w:w="1565"/>
        <w:gridCol w:w="5100"/>
        <w:gridCol w:w="2231"/>
      </w:tblGrid>
      <w:tr w:rsidR="00F5289E" w14:paraId="19FFA53E" w14:textId="77777777">
        <w:trPr>
          <w:trHeight w:val="270"/>
        </w:trPr>
        <w:tc>
          <w:tcPr>
            <w:tcW w:w="1565" w:type="dxa"/>
            <w:tcBorders>
              <w:top w:val="nil"/>
              <w:left w:val="nil"/>
              <w:bottom w:val="nil"/>
              <w:right w:val="nil"/>
            </w:tcBorders>
            <w:vAlign w:val="center"/>
          </w:tcPr>
          <w:p w14:paraId="2F0E3E75" w14:textId="77777777" w:rsidR="00F5289E" w:rsidRDefault="00F5289E">
            <w:pPr>
              <w:widowControl/>
              <w:snapToGrid w:val="0"/>
              <w:spacing w:line="360" w:lineRule="auto"/>
              <w:jc w:val="center"/>
              <w:rPr>
                <w:b/>
                <w:bCs/>
                <w:kern w:val="0"/>
                <w:szCs w:val="21"/>
              </w:rPr>
            </w:pPr>
          </w:p>
        </w:tc>
        <w:tc>
          <w:tcPr>
            <w:tcW w:w="5100" w:type="dxa"/>
            <w:tcBorders>
              <w:top w:val="nil"/>
              <w:left w:val="nil"/>
              <w:bottom w:val="nil"/>
              <w:right w:val="nil"/>
            </w:tcBorders>
            <w:vAlign w:val="center"/>
          </w:tcPr>
          <w:p w14:paraId="507ED2EA" w14:textId="77777777" w:rsidR="00F5289E" w:rsidRDefault="00C91173">
            <w:pPr>
              <w:widowControl/>
              <w:snapToGrid w:val="0"/>
              <w:spacing w:line="360" w:lineRule="auto"/>
              <w:jc w:val="center"/>
              <w:rPr>
                <w:b/>
                <w:bCs/>
                <w:kern w:val="0"/>
                <w:szCs w:val="21"/>
              </w:rPr>
            </w:pPr>
            <w:r>
              <w:rPr>
                <w:b/>
                <w:bCs/>
                <w:kern w:val="0"/>
                <w:szCs w:val="21"/>
              </w:rPr>
              <w:t>第五章</w:t>
            </w:r>
            <w:r>
              <w:rPr>
                <w:b/>
                <w:bCs/>
                <w:kern w:val="0"/>
                <w:szCs w:val="21"/>
              </w:rPr>
              <w:t xml:space="preserve">  </w:t>
            </w:r>
            <w:r>
              <w:rPr>
                <w:b/>
                <w:color w:val="262600"/>
              </w:rPr>
              <w:t>设施</w:t>
            </w:r>
            <w:r>
              <w:rPr>
                <w:rFonts w:hint="eastAsia"/>
                <w:b/>
                <w:color w:val="262600"/>
              </w:rPr>
              <w:t>土壤</w:t>
            </w:r>
            <w:r>
              <w:rPr>
                <w:b/>
                <w:color w:val="262600"/>
              </w:rPr>
              <w:t>环境</w:t>
            </w:r>
            <w:r>
              <w:rPr>
                <w:rFonts w:hint="eastAsia"/>
                <w:b/>
                <w:color w:val="262600"/>
              </w:rPr>
              <w:t>特点与</w:t>
            </w:r>
            <w:r>
              <w:rPr>
                <w:b/>
                <w:color w:val="262600"/>
              </w:rPr>
              <w:t>调控技术</w:t>
            </w:r>
          </w:p>
        </w:tc>
        <w:tc>
          <w:tcPr>
            <w:tcW w:w="2231" w:type="dxa"/>
            <w:tcBorders>
              <w:top w:val="nil"/>
              <w:left w:val="nil"/>
              <w:bottom w:val="nil"/>
              <w:right w:val="nil"/>
            </w:tcBorders>
            <w:vAlign w:val="center"/>
          </w:tcPr>
          <w:p w14:paraId="2C6E2EA1"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8</w:t>
            </w:r>
          </w:p>
        </w:tc>
      </w:tr>
    </w:tbl>
    <w:p w14:paraId="7F72EB53" w14:textId="77777777" w:rsidR="00F5289E" w:rsidRDefault="00C91173">
      <w:pPr>
        <w:spacing w:line="360" w:lineRule="auto"/>
        <w:rPr>
          <w:color w:val="262600"/>
        </w:rPr>
      </w:pPr>
      <w:r>
        <w:rPr>
          <w:b/>
          <w:bCs/>
        </w:rPr>
        <w:t>教学目的</w:t>
      </w:r>
      <w:r>
        <w:rPr>
          <w:color w:val="262600"/>
        </w:rPr>
        <w:t>：通过学习，要求掌握设施内土壤环境条件特征和控制措施。</w:t>
      </w:r>
    </w:p>
    <w:p w14:paraId="76BACB01" w14:textId="77777777" w:rsidR="00F5289E" w:rsidRDefault="00C91173">
      <w:pPr>
        <w:spacing w:line="360" w:lineRule="auto"/>
        <w:rPr>
          <w:color w:val="262600"/>
        </w:rPr>
      </w:pPr>
      <w:r>
        <w:rPr>
          <w:b/>
          <w:bCs/>
        </w:rPr>
        <w:t>教学重点和难点</w:t>
      </w:r>
      <w:r>
        <w:rPr>
          <w:color w:val="262600"/>
        </w:rPr>
        <w:t>：设施内土壤连作障碍形成的原因和控制方法。</w:t>
      </w:r>
    </w:p>
    <w:p w14:paraId="770AEF4E" w14:textId="77777777" w:rsidR="00F5289E" w:rsidRDefault="00C91173">
      <w:pPr>
        <w:spacing w:line="360" w:lineRule="auto"/>
        <w:contextualSpacing/>
        <w:rPr>
          <w:b/>
        </w:rPr>
      </w:pPr>
      <w:r>
        <w:rPr>
          <w:b/>
          <w:bCs/>
          <w:szCs w:val="20"/>
        </w:rPr>
        <w:t>第一节</w:t>
      </w:r>
      <w:r>
        <w:rPr>
          <w:b/>
          <w:bCs/>
          <w:color w:val="0000FF"/>
          <w:szCs w:val="20"/>
        </w:rPr>
        <w:t xml:space="preserve"> </w:t>
      </w:r>
      <w:r>
        <w:rPr>
          <w:b/>
          <w:bCs/>
          <w:color w:val="262600"/>
        </w:rPr>
        <w:t>作物对土壤环境的要求</w:t>
      </w:r>
      <w:r>
        <w:rPr>
          <w:b/>
          <w:kern w:val="0"/>
          <w:szCs w:val="21"/>
        </w:rPr>
        <w:t>（</w:t>
      </w:r>
      <w:r>
        <w:rPr>
          <w:b/>
          <w:kern w:val="0"/>
          <w:szCs w:val="21"/>
        </w:rPr>
        <w:t>2</w:t>
      </w:r>
      <w:r>
        <w:rPr>
          <w:b/>
          <w:kern w:val="0"/>
          <w:szCs w:val="21"/>
        </w:rPr>
        <w:t>学时）</w:t>
      </w:r>
      <w:r>
        <w:rPr>
          <w:color w:val="000000"/>
          <w:szCs w:val="21"/>
        </w:rPr>
        <w:t>(</w:t>
      </w:r>
      <w:r>
        <w:rPr>
          <w:color w:val="000000"/>
          <w:szCs w:val="21"/>
        </w:rPr>
        <w:t>了解</w:t>
      </w:r>
      <w:r>
        <w:rPr>
          <w:color w:val="000000"/>
          <w:szCs w:val="21"/>
        </w:rPr>
        <w:t>)</w:t>
      </w:r>
    </w:p>
    <w:p w14:paraId="798B6C9B" w14:textId="77777777" w:rsidR="00F5289E" w:rsidRDefault="00C91173">
      <w:pPr>
        <w:spacing w:line="360" w:lineRule="auto"/>
        <w:contextualSpacing/>
        <w:rPr>
          <w:color w:val="262600"/>
        </w:rPr>
      </w:pPr>
      <w:r>
        <w:rPr>
          <w:color w:val="262600"/>
        </w:rPr>
        <w:t>一</w:t>
      </w:r>
      <w:r>
        <w:rPr>
          <w:color w:val="262600"/>
        </w:rPr>
        <w:t xml:space="preserve"> </w:t>
      </w:r>
      <w:r>
        <w:rPr>
          <w:color w:val="262600"/>
        </w:rPr>
        <w:t>花卉</w:t>
      </w:r>
      <w:r>
        <w:rPr>
          <w:bCs/>
          <w:color w:val="262600"/>
        </w:rPr>
        <w:t>作物对土壤环境的要求</w:t>
      </w:r>
    </w:p>
    <w:p w14:paraId="74D27E73" w14:textId="77777777" w:rsidR="00F5289E" w:rsidRDefault="00C91173">
      <w:pPr>
        <w:spacing w:line="360" w:lineRule="auto"/>
        <w:contextualSpacing/>
        <w:rPr>
          <w:bCs/>
          <w:color w:val="262600"/>
        </w:rPr>
      </w:pPr>
      <w:r>
        <w:rPr>
          <w:color w:val="262600"/>
        </w:rPr>
        <w:t>二</w:t>
      </w:r>
      <w:r>
        <w:rPr>
          <w:color w:val="262600"/>
        </w:rPr>
        <w:t xml:space="preserve"> </w:t>
      </w:r>
      <w:r>
        <w:rPr>
          <w:color w:val="262600"/>
        </w:rPr>
        <w:t>果树</w:t>
      </w:r>
      <w:r>
        <w:rPr>
          <w:bCs/>
          <w:color w:val="262600"/>
        </w:rPr>
        <w:t>作物对土壤环境的要求</w:t>
      </w:r>
    </w:p>
    <w:p w14:paraId="4A4A03A1" w14:textId="77777777" w:rsidR="00F5289E" w:rsidRDefault="00C91173">
      <w:pPr>
        <w:spacing w:line="360" w:lineRule="auto"/>
        <w:contextualSpacing/>
        <w:rPr>
          <w:bCs/>
          <w:color w:val="262600"/>
        </w:rPr>
      </w:pPr>
      <w:r>
        <w:rPr>
          <w:color w:val="262600"/>
        </w:rPr>
        <w:t>三</w:t>
      </w:r>
      <w:r>
        <w:rPr>
          <w:color w:val="262600"/>
        </w:rPr>
        <w:t xml:space="preserve"> </w:t>
      </w:r>
      <w:r>
        <w:rPr>
          <w:bCs/>
          <w:color w:val="262600"/>
        </w:rPr>
        <w:t>蔬菜作物对土壤环境的要求</w:t>
      </w:r>
      <w:r>
        <w:rPr>
          <w:bCs/>
          <w:color w:val="262600"/>
        </w:rPr>
        <w:t xml:space="preserve">                                                     </w:t>
      </w:r>
    </w:p>
    <w:p w14:paraId="147A0917" w14:textId="77777777" w:rsidR="00F5289E" w:rsidRDefault="00C91173">
      <w:pPr>
        <w:spacing w:line="360" w:lineRule="auto"/>
        <w:contextualSpacing/>
        <w:rPr>
          <w:b/>
          <w:kern w:val="0"/>
          <w:szCs w:val="21"/>
        </w:rPr>
      </w:pPr>
      <w:r>
        <w:rPr>
          <w:b/>
          <w:bCs/>
          <w:szCs w:val="20"/>
        </w:rPr>
        <w:t>第二节</w:t>
      </w:r>
      <w:r>
        <w:rPr>
          <w:b/>
          <w:bCs/>
          <w:color w:val="0000FF"/>
          <w:szCs w:val="20"/>
        </w:rPr>
        <w:t xml:space="preserve"> </w:t>
      </w:r>
      <w:r>
        <w:rPr>
          <w:b/>
          <w:bCs/>
          <w:color w:val="262600"/>
        </w:rPr>
        <w:t>作物对土壤环境的要求</w:t>
      </w:r>
      <w:r>
        <w:rPr>
          <w:b/>
          <w:kern w:val="0"/>
          <w:szCs w:val="21"/>
        </w:rPr>
        <w:t>（</w:t>
      </w:r>
      <w:r>
        <w:rPr>
          <w:b/>
          <w:kern w:val="0"/>
          <w:szCs w:val="21"/>
        </w:rPr>
        <w:t>3</w:t>
      </w:r>
      <w:r>
        <w:rPr>
          <w:b/>
          <w:kern w:val="0"/>
          <w:szCs w:val="21"/>
        </w:rPr>
        <w:t>学时）</w:t>
      </w:r>
      <w:r>
        <w:rPr>
          <w:color w:val="000000"/>
          <w:szCs w:val="21"/>
        </w:rPr>
        <w:t>(</w:t>
      </w:r>
      <w:r>
        <w:rPr>
          <w:color w:val="000000"/>
          <w:szCs w:val="21"/>
        </w:rPr>
        <w:t>熟练掌握</w:t>
      </w:r>
      <w:r>
        <w:rPr>
          <w:color w:val="000000"/>
          <w:szCs w:val="21"/>
        </w:rPr>
        <w:t>)</w:t>
      </w:r>
    </w:p>
    <w:p w14:paraId="28BB636A" w14:textId="77777777" w:rsidR="00F5289E" w:rsidRDefault="00C91173">
      <w:pPr>
        <w:spacing w:line="360" w:lineRule="auto"/>
        <w:contextualSpacing/>
        <w:rPr>
          <w:color w:val="262600"/>
        </w:rPr>
      </w:pPr>
      <w:r>
        <w:rPr>
          <w:bCs/>
          <w:color w:val="262600"/>
        </w:rPr>
        <w:t>一</w:t>
      </w:r>
      <w:r>
        <w:rPr>
          <w:bCs/>
          <w:color w:val="262600"/>
        </w:rPr>
        <w:t xml:space="preserve">  </w:t>
      </w:r>
      <w:r>
        <w:rPr>
          <w:bCs/>
          <w:color w:val="262600"/>
        </w:rPr>
        <w:t>设施土壤养分特征</w:t>
      </w:r>
    </w:p>
    <w:p w14:paraId="37E1ABDB" w14:textId="77777777" w:rsidR="00F5289E" w:rsidRDefault="00C91173">
      <w:pPr>
        <w:spacing w:line="360" w:lineRule="auto"/>
        <w:contextualSpacing/>
        <w:rPr>
          <w:color w:val="262600"/>
        </w:rPr>
      </w:pPr>
      <w:r>
        <w:rPr>
          <w:bCs/>
          <w:color w:val="262600"/>
        </w:rPr>
        <w:t>二</w:t>
      </w:r>
      <w:r>
        <w:rPr>
          <w:bCs/>
          <w:color w:val="262600"/>
        </w:rPr>
        <w:t xml:space="preserve">  </w:t>
      </w:r>
      <w:r>
        <w:rPr>
          <w:bCs/>
          <w:color w:val="262600"/>
        </w:rPr>
        <w:t>设施土壤</w:t>
      </w:r>
      <w:r>
        <w:rPr>
          <w:bCs/>
          <w:color w:val="262600"/>
        </w:rPr>
        <w:t>PH</w:t>
      </w:r>
      <w:r>
        <w:rPr>
          <w:bCs/>
          <w:color w:val="262600"/>
        </w:rPr>
        <w:t>值变化</w:t>
      </w:r>
    </w:p>
    <w:p w14:paraId="678ABBEF" w14:textId="77777777" w:rsidR="00F5289E" w:rsidRDefault="00C91173">
      <w:pPr>
        <w:spacing w:line="360" w:lineRule="auto"/>
        <w:contextualSpacing/>
        <w:rPr>
          <w:color w:val="262600"/>
        </w:rPr>
      </w:pPr>
      <w:r>
        <w:rPr>
          <w:bCs/>
          <w:color w:val="262600"/>
        </w:rPr>
        <w:t>三</w:t>
      </w:r>
      <w:r>
        <w:rPr>
          <w:bCs/>
          <w:color w:val="262600"/>
        </w:rPr>
        <w:t xml:space="preserve">  </w:t>
      </w:r>
      <w:r>
        <w:rPr>
          <w:bCs/>
          <w:color w:val="262600"/>
        </w:rPr>
        <w:t>设施土壤连作障碍</w:t>
      </w:r>
    </w:p>
    <w:p w14:paraId="5058B5B0" w14:textId="77777777" w:rsidR="00F5289E" w:rsidRDefault="00C91173">
      <w:pPr>
        <w:spacing w:line="360" w:lineRule="auto"/>
        <w:contextualSpacing/>
        <w:rPr>
          <w:color w:val="0000FF"/>
          <w:szCs w:val="20"/>
        </w:rPr>
      </w:pPr>
      <w:r>
        <w:rPr>
          <w:bCs/>
          <w:color w:val="262600"/>
        </w:rPr>
        <w:t>四</w:t>
      </w:r>
      <w:r>
        <w:rPr>
          <w:bCs/>
          <w:color w:val="262600"/>
        </w:rPr>
        <w:t xml:space="preserve">  </w:t>
      </w:r>
      <w:r>
        <w:rPr>
          <w:bCs/>
          <w:color w:val="262600"/>
        </w:rPr>
        <w:t>设施土壤生物环境特点</w:t>
      </w:r>
      <w:r>
        <w:rPr>
          <w:bCs/>
          <w:color w:val="262600"/>
        </w:rPr>
        <w:t xml:space="preserve">                                                                                                                                                                                               </w:t>
      </w:r>
    </w:p>
    <w:p w14:paraId="763EF00F" w14:textId="77777777" w:rsidR="00F5289E" w:rsidRDefault="00C91173">
      <w:pPr>
        <w:spacing w:line="360" w:lineRule="auto"/>
        <w:contextualSpacing/>
        <w:rPr>
          <w:b/>
          <w:kern w:val="0"/>
          <w:szCs w:val="21"/>
        </w:rPr>
      </w:pPr>
      <w:r>
        <w:rPr>
          <w:b/>
          <w:bCs/>
          <w:szCs w:val="20"/>
        </w:rPr>
        <w:t>第三节</w:t>
      </w:r>
      <w:r>
        <w:rPr>
          <w:b/>
          <w:bCs/>
          <w:color w:val="0000FF"/>
          <w:szCs w:val="20"/>
        </w:rPr>
        <w:t xml:space="preserve"> </w:t>
      </w:r>
      <w:r>
        <w:rPr>
          <w:b/>
          <w:bCs/>
          <w:color w:val="262600"/>
        </w:rPr>
        <w:t>设施土壤环境的调控</w:t>
      </w:r>
      <w:r>
        <w:rPr>
          <w:b/>
          <w:kern w:val="0"/>
          <w:szCs w:val="21"/>
        </w:rPr>
        <w:t>（</w:t>
      </w:r>
      <w:r>
        <w:rPr>
          <w:b/>
          <w:kern w:val="0"/>
          <w:szCs w:val="21"/>
        </w:rPr>
        <w:t>3</w:t>
      </w:r>
      <w:r>
        <w:rPr>
          <w:b/>
          <w:kern w:val="0"/>
          <w:szCs w:val="21"/>
        </w:rPr>
        <w:t>学时）</w:t>
      </w:r>
      <w:r>
        <w:rPr>
          <w:color w:val="000000"/>
          <w:szCs w:val="21"/>
        </w:rPr>
        <w:t>(</w:t>
      </w:r>
      <w:r>
        <w:rPr>
          <w:color w:val="000000"/>
          <w:szCs w:val="21"/>
        </w:rPr>
        <w:t>熟练掌握</w:t>
      </w:r>
      <w:r>
        <w:rPr>
          <w:color w:val="000000"/>
          <w:szCs w:val="21"/>
        </w:rPr>
        <w:t>)</w:t>
      </w:r>
    </w:p>
    <w:p w14:paraId="678C6875" w14:textId="77777777" w:rsidR="00F5289E" w:rsidRDefault="00C91173">
      <w:pPr>
        <w:spacing w:line="360" w:lineRule="auto"/>
        <w:contextualSpacing/>
        <w:rPr>
          <w:szCs w:val="20"/>
        </w:rPr>
      </w:pPr>
      <w:r>
        <w:t>合理施肥，合理灌溉，</w:t>
      </w:r>
      <w:r>
        <w:rPr>
          <w:szCs w:val="20"/>
        </w:rPr>
        <w:t>灌水洗盐，合理耕作，换土，栽培制度，土壤消毒，嫁接，无土栽培</w:t>
      </w:r>
    </w:p>
    <w:p w14:paraId="109037D5" w14:textId="77777777" w:rsidR="00F5289E" w:rsidRDefault="00C91173">
      <w:pPr>
        <w:widowControl/>
        <w:spacing w:line="360" w:lineRule="auto"/>
        <w:jc w:val="left"/>
        <w:rPr>
          <w:color w:val="000000"/>
        </w:rPr>
      </w:pPr>
      <w:r>
        <w:rPr>
          <w:b/>
          <w:bCs/>
        </w:rPr>
        <w:t>教学组织与实施：</w:t>
      </w:r>
      <w:r>
        <w:rPr>
          <w:color w:val="000000"/>
        </w:rPr>
        <w:t>多媒体讲授，</w:t>
      </w:r>
      <w:r>
        <w:t>教师为主导、学生为主体。为了提高教学效果，授课时采用课堂提问、热点问题讨论等多种教学方法</w:t>
      </w:r>
      <w:r>
        <w:rPr>
          <w:color w:val="000000"/>
        </w:rPr>
        <w:t>。为了巩固学生对于知识点的掌握，会采用播放一段小视频的方式向学生生动形象的展示连作障碍的成因和防治措施。对于参考书中难以理解的部分，会给学生讲解最新的一些参考文献，使学生对于这部分内容更加容易理解。</w:t>
      </w:r>
    </w:p>
    <w:p w14:paraId="07BAAC5E" w14:textId="77777777" w:rsidR="00F5289E" w:rsidRDefault="00C91173">
      <w:pPr>
        <w:widowControl/>
        <w:spacing w:line="360" w:lineRule="auto"/>
        <w:jc w:val="left"/>
        <w:rPr>
          <w:bCs/>
          <w:kern w:val="0"/>
          <w:szCs w:val="21"/>
        </w:rPr>
      </w:pPr>
      <w:r>
        <w:rPr>
          <w:b/>
          <w:bCs/>
          <w:kern w:val="0"/>
          <w:szCs w:val="21"/>
        </w:rPr>
        <w:t>五、实验教学内容及学时分配（</w:t>
      </w:r>
      <w:r>
        <w:rPr>
          <w:b/>
          <w:bCs/>
          <w:kern w:val="0"/>
          <w:szCs w:val="21"/>
        </w:rPr>
        <w:t>8</w:t>
      </w:r>
      <w:r>
        <w:rPr>
          <w:b/>
          <w:bCs/>
          <w:kern w:val="0"/>
          <w:szCs w:val="21"/>
        </w:rPr>
        <w:t>学时）</w:t>
      </w:r>
    </w:p>
    <w:p w14:paraId="1F73384A" w14:textId="77777777" w:rsidR="00F5289E" w:rsidRDefault="00C91173">
      <w:pPr>
        <w:spacing w:line="360" w:lineRule="auto"/>
        <w:rPr>
          <w:b/>
          <w:bCs/>
          <w:szCs w:val="21"/>
        </w:rPr>
      </w:pPr>
      <w:r>
        <w:rPr>
          <w:b/>
          <w:szCs w:val="21"/>
        </w:rPr>
        <w:t>（一）</w:t>
      </w:r>
      <w:r>
        <w:rPr>
          <w:b/>
          <w:bCs/>
          <w:szCs w:val="21"/>
        </w:rPr>
        <w:t>实验课程简介</w:t>
      </w:r>
    </w:p>
    <w:p w14:paraId="224333D2" w14:textId="77777777" w:rsidR="00F5289E" w:rsidRDefault="00C91173">
      <w:pPr>
        <w:widowControl/>
        <w:spacing w:line="360" w:lineRule="auto"/>
        <w:jc w:val="left"/>
        <w:rPr>
          <w:kern w:val="0"/>
          <w:szCs w:val="21"/>
        </w:rPr>
      </w:pPr>
      <w:r>
        <w:rPr>
          <w:kern w:val="0"/>
          <w:szCs w:val="21"/>
        </w:rPr>
        <w:t>《设施环境与调控》实验课是在学习理论课的基础上进行的一个实践性环节，其教学任务是让学生运用已学过的知识设计实验或进行验证性的实验，巩固和加深对课程中基本理论知识的理解，训练学生理论知识的运用能力、实验操作技能、实验数据的处理和分析能力。</w:t>
      </w:r>
      <w:r>
        <w:rPr>
          <w:kern w:val="0"/>
          <w:szCs w:val="21"/>
        </w:rPr>
        <w:t xml:space="preserve">  </w:t>
      </w:r>
    </w:p>
    <w:p w14:paraId="0727B6F7" w14:textId="77777777" w:rsidR="00F5289E" w:rsidRDefault="00C91173">
      <w:pPr>
        <w:spacing w:line="360" w:lineRule="auto"/>
        <w:rPr>
          <w:b/>
          <w:bCs/>
          <w:szCs w:val="21"/>
        </w:rPr>
      </w:pPr>
      <w:r>
        <w:rPr>
          <w:b/>
          <w:bCs/>
          <w:szCs w:val="21"/>
        </w:rPr>
        <w:t>（二）实验教学目的和基本要求</w:t>
      </w:r>
    </w:p>
    <w:p w14:paraId="19A2D3A3" w14:textId="77777777" w:rsidR="00F5289E" w:rsidRDefault="00C91173">
      <w:pPr>
        <w:spacing w:line="360" w:lineRule="auto"/>
        <w:ind w:firstLineChars="98" w:firstLine="206"/>
        <w:rPr>
          <w:b/>
          <w:bCs/>
          <w:szCs w:val="21"/>
        </w:rPr>
      </w:pPr>
      <w:r>
        <w:rPr>
          <w:kern w:val="0"/>
          <w:szCs w:val="21"/>
        </w:rPr>
        <w:lastRenderedPageBreak/>
        <w:t>本实验课配合理论教学，通过实验从实践中进一步学习，掌握和运用学过的基本理论；培养、训练学生的分析和解决问题的能力。</w:t>
      </w:r>
      <w:r>
        <w:rPr>
          <w:kern w:val="0"/>
          <w:szCs w:val="21"/>
        </w:rPr>
        <w:t xml:space="preserve"> </w:t>
      </w:r>
    </w:p>
    <w:p w14:paraId="169DC6A5" w14:textId="77777777" w:rsidR="00F5289E" w:rsidRDefault="00C91173">
      <w:pPr>
        <w:spacing w:line="360" w:lineRule="auto"/>
        <w:rPr>
          <w:b/>
        </w:rPr>
      </w:pPr>
      <w:r>
        <w:rPr>
          <w:b/>
        </w:rPr>
        <w:t>（三）实验安全操作规范</w:t>
      </w:r>
    </w:p>
    <w:p w14:paraId="3DDA64C9" w14:textId="77777777" w:rsidR="00F5289E" w:rsidRDefault="00C91173">
      <w:pPr>
        <w:spacing w:line="360" w:lineRule="auto"/>
        <w:ind w:firstLineChars="100" w:firstLine="210"/>
        <w:rPr>
          <w:color w:val="000000"/>
        </w:rPr>
      </w:pPr>
      <w:r>
        <w:rPr>
          <w:color w:val="000000"/>
        </w:rPr>
        <w:t>严格遵守纪律，按照说明规范操作试验仪器。</w:t>
      </w:r>
    </w:p>
    <w:p w14:paraId="7E593960" w14:textId="77777777" w:rsidR="00F5289E" w:rsidRDefault="00C91173">
      <w:pPr>
        <w:spacing w:line="360" w:lineRule="auto"/>
        <w:rPr>
          <w:b/>
          <w:bCs/>
          <w:szCs w:val="21"/>
        </w:rPr>
      </w:pPr>
      <w:r>
        <w:rPr>
          <w:b/>
          <w:bCs/>
          <w:szCs w:val="21"/>
        </w:rPr>
        <w:t>（四）实验项目名称与学时分配</w:t>
      </w:r>
    </w:p>
    <w:tbl>
      <w:tblPr>
        <w:tblStyle w:val="af6"/>
        <w:tblW w:w="0" w:type="auto"/>
        <w:jc w:val="center"/>
        <w:tblLook w:val="04A0" w:firstRow="1" w:lastRow="0" w:firstColumn="1" w:lastColumn="0" w:noHBand="0" w:noVBand="1"/>
      </w:tblPr>
      <w:tblGrid>
        <w:gridCol w:w="1206"/>
        <w:gridCol w:w="2979"/>
        <w:gridCol w:w="890"/>
        <w:gridCol w:w="1087"/>
        <w:gridCol w:w="1435"/>
        <w:gridCol w:w="1293"/>
      </w:tblGrid>
      <w:tr w:rsidR="00F5289E" w14:paraId="44DC4543" w14:textId="77777777">
        <w:trPr>
          <w:jc w:val="center"/>
        </w:trPr>
        <w:tc>
          <w:tcPr>
            <w:tcW w:w="904" w:type="dxa"/>
            <w:shd w:val="clear" w:color="auto" w:fill="EEECE1"/>
            <w:vAlign w:val="center"/>
          </w:tcPr>
          <w:p w14:paraId="3FFB0738" w14:textId="77777777" w:rsidR="00F5289E" w:rsidRDefault="00C91173">
            <w:pPr>
              <w:jc w:val="center"/>
              <w:rPr>
                <w:b/>
                <w:bCs/>
                <w:sz w:val="18"/>
                <w:szCs w:val="18"/>
              </w:rPr>
            </w:pPr>
            <w:r>
              <w:rPr>
                <w:b/>
                <w:bCs/>
                <w:sz w:val="18"/>
                <w:szCs w:val="18"/>
              </w:rPr>
              <w:t>序号</w:t>
            </w:r>
          </w:p>
        </w:tc>
        <w:tc>
          <w:tcPr>
            <w:tcW w:w="3109" w:type="dxa"/>
            <w:shd w:val="clear" w:color="auto" w:fill="EEECE1"/>
            <w:vAlign w:val="center"/>
          </w:tcPr>
          <w:p w14:paraId="1C50C630" w14:textId="77777777" w:rsidR="00F5289E" w:rsidRDefault="00C91173">
            <w:pPr>
              <w:jc w:val="center"/>
              <w:rPr>
                <w:b/>
                <w:bCs/>
                <w:sz w:val="18"/>
                <w:szCs w:val="18"/>
              </w:rPr>
            </w:pPr>
            <w:r>
              <w:rPr>
                <w:b/>
                <w:bCs/>
                <w:sz w:val="18"/>
                <w:szCs w:val="18"/>
              </w:rPr>
              <w:t>实验名称</w:t>
            </w:r>
          </w:p>
        </w:tc>
        <w:tc>
          <w:tcPr>
            <w:tcW w:w="915" w:type="dxa"/>
            <w:shd w:val="clear" w:color="auto" w:fill="EEECE1"/>
            <w:vAlign w:val="center"/>
          </w:tcPr>
          <w:p w14:paraId="61CFE6EB" w14:textId="77777777" w:rsidR="00F5289E" w:rsidRDefault="00C91173">
            <w:pPr>
              <w:jc w:val="center"/>
              <w:rPr>
                <w:b/>
                <w:bCs/>
                <w:sz w:val="18"/>
                <w:szCs w:val="18"/>
              </w:rPr>
            </w:pPr>
            <w:r>
              <w:rPr>
                <w:b/>
                <w:bCs/>
                <w:sz w:val="18"/>
                <w:szCs w:val="18"/>
              </w:rPr>
              <w:t>学时</w:t>
            </w:r>
          </w:p>
        </w:tc>
        <w:tc>
          <w:tcPr>
            <w:tcW w:w="1122" w:type="dxa"/>
            <w:shd w:val="clear" w:color="auto" w:fill="EEECE1"/>
            <w:vAlign w:val="center"/>
          </w:tcPr>
          <w:p w14:paraId="7FDAAA25" w14:textId="77777777" w:rsidR="00F5289E" w:rsidRDefault="00C91173">
            <w:pPr>
              <w:jc w:val="center"/>
              <w:rPr>
                <w:b/>
                <w:bCs/>
                <w:sz w:val="18"/>
                <w:szCs w:val="18"/>
              </w:rPr>
            </w:pPr>
            <w:r>
              <w:rPr>
                <w:b/>
                <w:bCs/>
                <w:sz w:val="18"/>
                <w:szCs w:val="18"/>
              </w:rPr>
              <w:t>类型</w:t>
            </w:r>
          </w:p>
        </w:tc>
        <w:tc>
          <w:tcPr>
            <w:tcW w:w="1487" w:type="dxa"/>
            <w:shd w:val="clear" w:color="auto" w:fill="EEECE1"/>
            <w:vAlign w:val="center"/>
          </w:tcPr>
          <w:p w14:paraId="02BE5969" w14:textId="77777777" w:rsidR="00F5289E" w:rsidRDefault="00C91173">
            <w:pPr>
              <w:jc w:val="center"/>
              <w:rPr>
                <w:b/>
                <w:bCs/>
                <w:sz w:val="18"/>
                <w:szCs w:val="18"/>
              </w:rPr>
            </w:pPr>
            <w:r>
              <w:rPr>
                <w:b/>
                <w:bCs/>
                <w:sz w:val="18"/>
                <w:szCs w:val="18"/>
              </w:rPr>
              <w:t>实验要求</w:t>
            </w:r>
          </w:p>
        </w:tc>
        <w:tc>
          <w:tcPr>
            <w:tcW w:w="1338" w:type="dxa"/>
            <w:shd w:val="clear" w:color="auto" w:fill="EEECE1"/>
            <w:vAlign w:val="center"/>
          </w:tcPr>
          <w:p w14:paraId="5B78D04F" w14:textId="77777777" w:rsidR="00F5289E" w:rsidRDefault="00C91173">
            <w:pPr>
              <w:jc w:val="center"/>
              <w:rPr>
                <w:b/>
                <w:bCs/>
                <w:sz w:val="18"/>
                <w:szCs w:val="18"/>
              </w:rPr>
            </w:pPr>
            <w:r>
              <w:rPr>
                <w:b/>
                <w:bCs/>
                <w:sz w:val="18"/>
                <w:szCs w:val="18"/>
              </w:rPr>
              <w:t>每组人数</w:t>
            </w:r>
          </w:p>
        </w:tc>
      </w:tr>
      <w:tr w:rsidR="00F5289E" w14:paraId="281B08BC" w14:textId="77777777">
        <w:trPr>
          <w:trHeight w:val="479"/>
          <w:jc w:val="center"/>
        </w:trPr>
        <w:tc>
          <w:tcPr>
            <w:tcW w:w="904" w:type="dxa"/>
            <w:vAlign w:val="center"/>
          </w:tcPr>
          <w:p w14:paraId="5159EEA9" w14:textId="77777777" w:rsidR="00F5289E" w:rsidRDefault="00C91173">
            <w:pPr>
              <w:jc w:val="center"/>
              <w:rPr>
                <w:sz w:val="18"/>
                <w:szCs w:val="18"/>
              </w:rPr>
            </w:pPr>
            <w:r>
              <w:rPr>
                <w:color w:val="000000"/>
                <w:kern w:val="0"/>
                <w:sz w:val="18"/>
                <w:szCs w:val="18"/>
                <w:lang w:bidi="ar"/>
              </w:rPr>
              <w:t>19011130h01</w:t>
            </w:r>
          </w:p>
        </w:tc>
        <w:tc>
          <w:tcPr>
            <w:tcW w:w="3109" w:type="dxa"/>
            <w:vAlign w:val="center"/>
          </w:tcPr>
          <w:p w14:paraId="0225A2A3" w14:textId="77777777" w:rsidR="00F5289E" w:rsidRDefault="00C91173">
            <w:pPr>
              <w:jc w:val="center"/>
              <w:rPr>
                <w:sz w:val="18"/>
                <w:szCs w:val="18"/>
              </w:rPr>
            </w:pPr>
            <w:r>
              <w:rPr>
                <w:kern w:val="0"/>
                <w:sz w:val="18"/>
                <w:szCs w:val="18"/>
              </w:rPr>
              <w:t>设施光照环境的观测</w:t>
            </w:r>
          </w:p>
        </w:tc>
        <w:tc>
          <w:tcPr>
            <w:tcW w:w="915" w:type="dxa"/>
            <w:vAlign w:val="center"/>
          </w:tcPr>
          <w:p w14:paraId="78DD0780" w14:textId="77777777" w:rsidR="00F5289E" w:rsidRDefault="00C91173">
            <w:pPr>
              <w:jc w:val="center"/>
              <w:rPr>
                <w:sz w:val="18"/>
                <w:szCs w:val="18"/>
              </w:rPr>
            </w:pPr>
            <w:r>
              <w:rPr>
                <w:sz w:val="18"/>
                <w:szCs w:val="18"/>
              </w:rPr>
              <w:t>2</w:t>
            </w:r>
          </w:p>
        </w:tc>
        <w:tc>
          <w:tcPr>
            <w:tcW w:w="1122" w:type="dxa"/>
            <w:vAlign w:val="center"/>
          </w:tcPr>
          <w:p w14:paraId="5275B3DC" w14:textId="77777777" w:rsidR="00F5289E" w:rsidRDefault="00C91173">
            <w:pPr>
              <w:jc w:val="center"/>
              <w:rPr>
                <w:sz w:val="18"/>
                <w:szCs w:val="18"/>
              </w:rPr>
            </w:pPr>
            <w:r>
              <w:rPr>
                <w:sz w:val="18"/>
                <w:szCs w:val="18"/>
              </w:rPr>
              <w:t>综合性</w:t>
            </w:r>
          </w:p>
        </w:tc>
        <w:tc>
          <w:tcPr>
            <w:tcW w:w="1487" w:type="dxa"/>
            <w:vAlign w:val="center"/>
          </w:tcPr>
          <w:p w14:paraId="0881E128" w14:textId="77777777" w:rsidR="00F5289E" w:rsidRDefault="00C91173">
            <w:pPr>
              <w:jc w:val="center"/>
              <w:rPr>
                <w:sz w:val="18"/>
                <w:szCs w:val="18"/>
              </w:rPr>
            </w:pPr>
            <w:r>
              <w:rPr>
                <w:sz w:val="18"/>
                <w:szCs w:val="18"/>
              </w:rPr>
              <w:t>必做</w:t>
            </w:r>
          </w:p>
        </w:tc>
        <w:tc>
          <w:tcPr>
            <w:tcW w:w="1338" w:type="dxa"/>
          </w:tcPr>
          <w:p w14:paraId="79A77406" w14:textId="77777777" w:rsidR="00F5289E" w:rsidRDefault="00C91173">
            <w:pPr>
              <w:jc w:val="center"/>
              <w:rPr>
                <w:sz w:val="18"/>
                <w:szCs w:val="18"/>
              </w:rPr>
            </w:pPr>
            <w:r>
              <w:rPr>
                <w:sz w:val="18"/>
                <w:szCs w:val="18"/>
              </w:rPr>
              <w:t>4-6</w:t>
            </w:r>
            <w:r>
              <w:rPr>
                <w:sz w:val="18"/>
                <w:szCs w:val="18"/>
              </w:rPr>
              <w:t>人</w:t>
            </w:r>
          </w:p>
        </w:tc>
      </w:tr>
      <w:tr w:rsidR="00F5289E" w14:paraId="6A64797E" w14:textId="77777777">
        <w:trPr>
          <w:trHeight w:val="452"/>
          <w:jc w:val="center"/>
        </w:trPr>
        <w:tc>
          <w:tcPr>
            <w:tcW w:w="904" w:type="dxa"/>
            <w:vAlign w:val="center"/>
          </w:tcPr>
          <w:p w14:paraId="302AE632" w14:textId="77777777" w:rsidR="00F5289E" w:rsidRDefault="00C91173">
            <w:pPr>
              <w:jc w:val="center"/>
              <w:rPr>
                <w:sz w:val="18"/>
                <w:szCs w:val="18"/>
              </w:rPr>
            </w:pPr>
            <w:r>
              <w:rPr>
                <w:color w:val="000000"/>
                <w:kern w:val="0"/>
                <w:sz w:val="18"/>
                <w:szCs w:val="18"/>
                <w:lang w:bidi="ar"/>
              </w:rPr>
              <w:t>19011130h02</w:t>
            </w:r>
          </w:p>
        </w:tc>
        <w:tc>
          <w:tcPr>
            <w:tcW w:w="3109" w:type="dxa"/>
            <w:vAlign w:val="center"/>
          </w:tcPr>
          <w:p w14:paraId="78CDD418" w14:textId="77777777" w:rsidR="00F5289E" w:rsidRDefault="00C91173">
            <w:pPr>
              <w:jc w:val="center"/>
              <w:rPr>
                <w:color w:val="0000FF"/>
                <w:sz w:val="18"/>
                <w:szCs w:val="18"/>
              </w:rPr>
            </w:pPr>
            <w:r>
              <w:rPr>
                <w:kern w:val="0"/>
                <w:sz w:val="18"/>
                <w:szCs w:val="18"/>
              </w:rPr>
              <w:t>设施温度环境的观测</w:t>
            </w:r>
          </w:p>
        </w:tc>
        <w:tc>
          <w:tcPr>
            <w:tcW w:w="915" w:type="dxa"/>
            <w:vAlign w:val="center"/>
          </w:tcPr>
          <w:p w14:paraId="0B4E84F3" w14:textId="77777777" w:rsidR="00F5289E" w:rsidRDefault="00C91173">
            <w:pPr>
              <w:jc w:val="center"/>
              <w:rPr>
                <w:sz w:val="18"/>
                <w:szCs w:val="18"/>
              </w:rPr>
            </w:pPr>
            <w:r>
              <w:rPr>
                <w:sz w:val="18"/>
                <w:szCs w:val="18"/>
              </w:rPr>
              <w:t>2</w:t>
            </w:r>
          </w:p>
        </w:tc>
        <w:tc>
          <w:tcPr>
            <w:tcW w:w="1122" w:type="dxa"/>
            <w:vAlign w:val="center"/>
          </w:tcPr>
          <w:p w14:paraId="5E4F04DD" w14:textId="77777777" w:rsidR="00F5289E" w:rsidRDefault="00C91173">
            <w:pPr>
              <w:jc w:val="center"/>
              <w:rPr>
                <w:sz w:val="18"/>
                <w:szCs w:val="18"/>
              </w:rPr>
            </w:pPr>
            <w:r>
              <w:rPr>
                <w:sz w:val="18"/>
                <w:szCs w:val="18"/>
              </w:rPr>
              <w:t>综合性</w:t>
            </w:r>
          </w:p>
        </w:tc>
        <w:tc>
          <w:tcPr>
            <w:tcW w:w="1487" w:type="dxa"/>
            <w:vAlign w:val="center"/>
          </w:tcPr>
          <w:p w14:paraId="187A8108" w14:textId="77777777" w:rsidR="00F5289E" w:rsidRDefault="00C91173">
            <w:pPr>
              <w:jc w:val="center"/>
              <w:rPr>
                <w:sz w:val="18"/>
                <w:szCs w:val="18"/>
              </w:rPr>
            </w:pPr>
            <w:r>
              <w:rPr>
                <w:sz w:val="18"/>
                <w:szCs w:val="18"/>
              </w:rPr>
              <w:t>必做</w:t>
            </w:r>
          </w:p>
        </w:tc>
        <w:tc>
          <w:tcPr>
            <w:tcW w:w="1338" w:type="dxa"/>
          </w:tcPr>
          <w:p w14:paraId="2EB4D537" w14:textId="77777777" w:rsidR="00F5289E" w:rsidRDefault="00C91173">
            <w:pPr>
              <w:jc w:val="center"/>
              <w:rPr>
                <w:sz w:val="18"/>
                <w:szCs w:val="18"/>
              </w:rPr>
            </w:pPr>
            <w:r>
              <w:rPr>
                <w:sz w:val="18"/>
                <w:szCs w:val="18"/>
              </w:rPr>
              <w:t>4-6</w:t>
            </w:r>
            <w:r>
              <w:rPr>
                <w:sz w:val="18"/>
                <w:szCs w:val="18"/>
              </w:rPr>
              <w:t>人</w:t>
            </w:r>
          </w:p>
        </w:tc>
      </w:tr>
      <w:tr w:rsidR="00F5289E" w14:paraId="4403F8F1" w14:textId="77777777">
        <w:trPr>
          <w:trHeight w:val="384"/>
          <w:jc w:val="center"/>
        </w:trPr>
        <w:tc>
          <w:tcPr>
            <w:tcW w:w="904" w:type="dxa"/>
            <w:vAlign w:val="center"/>
          </w:tcPr>
          <w:p w14:paraId="2B95C0CC" w14:textId="77777777" w:rsidR="00F5289E" w:rsidRDefault="00C91173">
            <w:pPr>
              <w:jc w:val="center"/>
              <w:rPr>
                <w:sz w:val="18"/>
                <w:szCs w:val="18"/>
              </w:rPr>
            </w:pPr>
            <w:r>
              <w:rPr>
                <w:color w:val="000000"/>
                <w:kern w:val="0"/>
                <w:sz w:val="18"/>
                <w:szCs w:val="18"/>
                <w:lang w:bidi="ar"/>
              </w:rPr>
              <w:t>19011130h03</w:t>
            </w:r>
          </w:p>
        </w:tc>
        <w:tc>
          <w:tcPr>
            <w:tcW w:w="3109" w:type="dxa"/>
            <w:vAlign w:val="center"/>
          </w:tcPr>
          <w:p w14:paraId="2B122CC6" w14:textId="77777777" w:rsidR="00F5289E" w:rsidRDefault="00C91173">
            <w:pPr>
              <w:jc w:val="center"/>
              <w:rPr>
                <w:sz w:val="18"/>
                <w:szCs w:val="18"/>
              </w:rPr>
            </w:pPr>
            <w:r>
              <w:rPr>
                <w:kern w:val="0"/>
                <w:sz w:val="18"/>
                <w:szCs w:val="18"/>
              </w:rPr>
              <w:t>设施湿度环境的观测</w:t>
            </w:r>
          </w:p>
        </w:tc>
        <w:tc>
          <w:tcPr>
            <w:tcW w:w="915" w:type="dxa"/>
            <w:vAlign w:val="center"/>
          </w:tcPr>
          <w:p w14:paraId="734C7986" w14:textId="77777777" w:rsidR="00F5289E" w:rsidRDefault="00C91173">
            <w:pPr>
              <w:jc w:val="center"/>
              <w:rPr>
                <w:sz w:val="18"/>
                <w:szCs w:val="18"/>
              </w:rPr>
            </w:pPr>
            <w:r>
              <w:rPr>
                <w:sz w:val="18"/>
                <w:szCs w:val="18"/>
              </w:rPr>
              <w:t>2</w:t>
            </w:r>
          </w:p>
        </w:tc>
        <w:tc>
          <w:tcPr>
            <w:tcW w:w="1122" w:type="dxa"/>
            <w:vAlign w:val="center"/>
          </w:tcPr>
          <w:p w14:paraId="57DF0277" w14:textId="77777777" w:rsidR="00F5289E" w:rsidRDefault="00C91173">
            <w:pPr>
              <w:jc w:val="center"/>
              <w:rPr>
                <w:sz w:val="18"/>
                <w:szCs w:val="18"/>
              </w:rPr>
            </w:pPr>
            <w:r>
              <w:rPr>
                <w:sz w:val="18"/>
                <w:szCs w:val="18"/>
              </w:rPr>
              <w:t>综合性</w:t>
            </w:r>
          </w:p>
        </w:tc>
        <w:tc>
          <w:tcPr>
            <w:tcW w:w="1487" w:type="dxa"/>
            <w:vAlign w:val="center"/>
          </w:tcPr>
          <w:p w14:paraId="216E6194" w14:textId="77777777" w:rsidR="00F5289E" w:rsidRDefault="00C91173">
            <w:pPr>
              <w:jc w:val="center"/>
              <w:rPr>
                <w:sz w:val="18"/>
                <w:szCs w:val="18"/>
              </w:rPr>
            </w:pPr>
            <w:r>
              <w:rPr>
                <w:sz w:val="18"/>
                <w:szCs w:val="18"/>
              </w:rPr>
              <w:t>必做</w:t>
            </w:r>
          </w:p>
        </w:tc>
        <w:tc>
          <w:tcPr>
            <w:tcW w:w="1338" w:type="dxa"/>
          </w:tcPr>
          <w:p w14:paraId="22A23625" w14:textId="77777777" w:rsidR="00F5289E" w:rsidRDefault="00C91173">
            <w:pPr>
              <w:jc w:val="center"/>
              <w:rPr>
                <w:sz w:val="18"/>
                <w:szCs w:val="18"/>
              </w:rPr>
            </w:pPr>
            <w:r>
              <w:rPr>
                <w:sz w:val="18"/>
                <w:szCs w:val="18"/>
              </w:rPr>
              <w:t>4-6</w:t>
            </w:r>
            <w:r>
              <w:rPr>
                <w:sz w:val="18"/>
                <w:szCs w:val="18"/>
              </w:rPr>
              <w:t>人</w:t>
            </w:r>
          </w:p>
        </w:tc>
      </w:tr>
      <w:tr w:rsidR="00F5289E" w14:paraId="60D472EC" w14:textId="77777777">
        <w:trPr>
          <w:trHeight w:val="237"/>
          <w:jc w:val="center"/>
        </w:trPr>
        <w:tc>
          <w:tcPr>
            <w:tcW w:w="904" w:type="dxa"/>
            <w:vAlign w:val="center"/>
          </w:tcPr>
          <w:p w14:paraId="677204AC" w14:textId="77777777" w:rsidR="00F5289E" w:rsidRDefault="00C91173">
            <w:pPr>
              <w:jc w:val="center"/>
              <w:rPr>
                <w:color w:val="000000"/>
                <w:kern w:val="0"/>
                <w:sz w:val="18"/>
                <w:szCs w:val="18"/>
                <w:lang w:bidi="ar"/>
              </w:rPr>
            </w:pPr>
            <w:r>
              <w:rPr>
                <w:color w:val="000000"/>
                <w:kern w:val="0"/>
                <w:sz w:val="18"/>
                <w:szCs w:val="18"/>
                <w:lang w:bidi="ar"/>
              </w:rPr>
              <w:t>19011130h04</w:t>
            </w:r>
          </w:p>
        </w:tc>
        <w:tc>
          <w:tcPr>
            <w:tcW w:w="3109" w:type="dxa"/>
            <w:vAlign w:val="center"/>
          </w:tcPr>
          <w:p w14:paraId="1C2A337F" w14:textId="77777777" w:rsidR="00F5289E" w:rsidRDefault="00C91173">
            <w:pPr>
              <w:spacing w:line="360" w:lineRule="auto"/>
              <w:jc w:val="center"/>
              <w:rPr>
                <w:sz w:val="18"/>
                <w:szCs w:val="18"/>
              </w:rPr>
            </w:pPr>
            <w:r>
              <w:rPr>
                <w:sz w:val="18"/>
                <w:szCs w:val="18"/>
              </w:rPr>
              <w:t>设施内二氧化碳的观测</w:t>
            </w:r>
          </w:p>
        </w:tc>
        <w:tc>
          <w:tcPr>
            <w:tcW w:w="915" w:type="dxa"/>
            <w:vAlign w:val="center"/>
          </w:tcPr>
          <w:p w14:paraId="1A065007" w14:textId="77777777" w:rsidR="00F5289E" w:rsidRDefault="00C91173">
            <w:pPr>
              <w:jc w:val="center"/>
              <w:rPr>
                <w:sz w:val="18"/>
                <w:szCs w:val="18"/>
              </w:rPr>
            </w:pPr>
            <w:r>
              <w:rPr>
                <w:sz w:val="18"/>
                <w:szCs w:val="18"/>
              </w:rPr>
              <w:t>2</w:t>
            </w:r>
          </w:p>
        </w:tc>
        <w:tc>
          <w:tcPr>
            <w:tcW w:w="1122" w:type="dxa"/>
            <w:vAlign w:val="center"/>
          </w:tcPr>
          <w:p w14:paraId="7F38DB8E" w14:textId="77777777" w:rsidR="00F5289E" w:rsidRDefault="00C91173">
            <w:pPr>
              <w:jc w:val="center"/>
              <w:rPr>
                <w:sz w:val="18"/>
                <w:szCs w:val="18"/>
              </w:rPr>
            </w:pPr>
            <w:r>
              <w:rPr>
                <w:sz w:val="18"/>
                <w:szCs w:val="18"/>
              </w:rPr>
              <w:t>综合性</w:t>
            </w:r>
          </w:p>
        </w:tc>
        <w:tc>
          <w:tcPr>
            <w:tcW w:w="1487" w:type="dxa"/>
            <w:vAlign w:val="center"/>
          </w:tcPr>
          <w:p w14:paraId="434BCD92" w14:textId="77777777" w:rsidR="00F5289E" w:rsidRDefault="00C91173">
            <w:pPr>
              <w:jc w:val="center"/>
              <w:rPr>
                <w:sz w:val="18"/>
                <w:szCs w:val="18"/>
              </w:rPr>
            </w:pPr>
            <w:r>
              <w:rPr>
                <w:sz w:val="18"/>
                <w:szCs w:val="18"/>
              </w:rPr>
              <w:t>必做</w:t>
            </w:r>
          </w:p>
        </w:tc>
        <w:tc>
          <w:tcPr>
            <w:tcW w:w="1338" w:type="dxa"/>
          </w:tcPr>
          <w:p w14:paraId="4E1A44F6" w14:textId="77777777" w:rsidR="00F5289E" w:rsidRDefault="00C91173">
            <w:pPr>
              <w:jc w:val="center"/>
              <w:rPr>
                <w:sz w:val="18"/>
                <w:szCs w:val="18"/>
              </w:rPr>
            </w:pPr>
            <w:r>
              <w:rPr>
                <w:sz w:val="18"/>
                <w:szCs w:val="18"/>
              </w:rPr>
              <w:t>4-6</w:t>
            </w:r>
            <w:r>
              <w:rPr>
                <w:sz w:val="18"/>
                <w:szCs w:val="18"/>
              </w:rPr>
              <w:t>人</w:t>
            </w:r>
          </w:p>
        </w:tc>
      </w:tr>
    </w:tbl>
    <w:p w14:paraId="5149B49B" w14:textId="77777777" w:rsidR="00F5289E" w:rsidRDefault="00C91173">
      <w:pPr>
        <w:spacing w:line="360" w:lineRule="auto"/>
        <w:rPr>
          <w:b/>
          <w:bCs/>
          <w:szCs w:val="21"/>
        </w:rPr>
      </w:pPr>
      <w:r>
        <w:rPr>
          <w:b/>
          <w:bCs/>
          <w:szCs w:val="21"/>
        </w:rPr>
        <w:t>（五）实验方式及基本要求</w:t>
      </w:r>
    </w:p>
    <w:p w14:paraId="13A2753A" w14:textId="77777777" w:rsidR="00F5289E" w:rsidRDefault="00C91173">
      <w:pPr>
        <w:spacing w:line="360" w:lineRule="auto"/>
        <w:rPr>
          <w:kern w:val="0"/>
          <w:szCs w:val="21"/>
        </w:rPr>
      </w:pPr>
      <w:r>
        <w:rPr>
          <w:kern w:val="0"/>
          <w:szCs w:val="21"/>
        </w:rPr>
        <w:t>实验方式：室外基地实验</w:t>
      </w:r>
    </w:p>
    <w:p w14:paraId="5A780085" w14:textId="77777777" w:rsidR="00F5289E" w:rsidRDefault="00C91173">
      <w:pPr>
        <w:spacing w:line="360" w:lineRule="auto"/>
        <w:rPr>
          <w:kern w:val="0"/>
          <w:szCs w:val="21"/>
        </w:rPr>
      </w:pPr>
      <w:r>
        <w:rPr>
          <w:kern w:val="0"/>
          <w:szCs w:val="21"/>
        </w:rPr>
        <w:t>基本要求：实验准备，拟定实验方案；记录整理实验数据；写出实验报告。</w:t>
      </w:r>
    </w:p>
    <w:p w14:paraId="48B8CEF9" w14:textId="77777777" w:rsidR="00F5289E" w:rsidRDefault="00C91173">
      <w:pPr>
        <w:spacing w:line="360" w:lineRule="auto"/>
        <w:rPr>
          <w:b/>
          <w:szCs w:val="21"/>
        </w:rPr>
      </w:pPr>
      <w:r>
        <w:rPr>
          <w:b/>
          <w:bCs/>
          <w:szCs w:val="21"/>
        </w:rPr>
        <w:t>（六）</w:t>
      </w:r>
      <w:r>
        <w:rPr>
          <w:b/>
          <w:szCs w:val="21"/>
        </w:rPr>
        <w:t>实验内容安排</w:t>
      </w:r>
    </w:p>
    <w:p w14:paraId="74E90C6E" w14:textId="77777777" w:rsidR="00F5289E" w:rsidRDefault="00C91173">
      <w:pPr>
        <w:pStyle w:val="af1"/>
        <w:spacing w:before="0" w:beforeAutospacing="0" w:after="0" w:afterAutospacing="0" w:line="360" w:lineRule="auto"/>
        <w:rPr>
          <w:rFonts w:ascii="Times New Roman" w:hAnsi="Times New Roman" w:cs="Times New Roman"/>
          <w:b/>
          <w:sz w:val="21"/>
          <w:szCs w:val="21"/>
        </w:rPr>
      </w:pPr>
      <w:r>
        <w:rPr>
          <w:rFonts w:ascii="Times New Roman" w:hAnsi="Times New Roman" w:cs="Times New Roman"/>
          <w:b/>
          <w:sz w:val="21"/>
          <w:szCs w:val="21"/>
        </w:rPr>
        <w:t>【实验一】</w:t>
      </w:r>
      <w:r w:rsidRPr="00612D5B">
        <w:rPr>
          <w:rFonts w:ascii="Times New Roman" w:hAnsi="Times New Roman" w:cs="Times New Roman"/>
          <w:b/>
          <w:sz w:val="21"/>
          <w:szCs w:val="21"/>
        </w:rPr>
        <w:t>设施内外光照环境的观测</w:t>
      </w:r>
    </w:p>
    <w:p w14:paraId="2B8EE055" w14:textId="77777777" w:rsidR="00F5289E" w:rsidRDefault="00C91173">
      <w:pPr>
        <w:spacing w:line="360" w:lineRule="auto"/>
      </w:pPr>
      <w:r>
        <w:rPr>
          <w:b/>
          <w:szCs w:val="21"/>
        </w:rPr>
        <w:t>1.</w:t>
      </w:r>
      <w:r>
        <w:rPr>
          <w:b/>
          <w:szCs w:val="21"/>
        </w:rPr>
        <w:t>实验学时：</w:t>
      </w:r>
      <w:r>
        <w:rPr>
          <w:bCs/>
          <w:color w:val="000000"/>
        </w:rPr>
        <w:t>2</w:t>
      </w:r>
    </w:p>
    <w:p w14:paraId="2340E6D6" w14:textId="77777777" w:rsidR="00F5289E" w:rsidRDefault="00C91173">
      <w:pPr>
        <w:spacing w:line="360" w:lineRule="auto"/>
        <w:rPr>
          <w:b/>
          <w:szCs w:val="21"/>
        </w:rPr>
      </w:pPr>
      <w:r>
        <w:rPr>
          <w:b/>
          <w:szCs w:val="21"/>
        </w:rPr>
        <w:t>2.</w:t>
      </w:r>
      <w:r>
        <w:rPr>
          <w:b/>
          <w:szCs w:val="21"/>
        </w:rPr>
        <w:t>实验目的：</w:t>
      </w:r>
      <w:r>
        <w:rPr>
          <w:szCs w:val="21"/>
        </w:rPr>
        <w:t>通过对几种设施内外光照进行观测，掌握各种设施内小气候的变化规律。</w:t>
      </w:r>
    </w:p>
    <w:p w14:paraId="0BE45DF0" w14:textId="77777777" w:rsidR="00F5289E" w:rsidRDefault="00C91173">
      <w:pPr>
        <w:spacing w:line="360" w:lineRule="auto"/>
        <w:rPr>
          <w:b/>
          <w:szCs w:val="21"/>
        </w:rPr>
      </w:pPr>
      <w:r>
        <w:rPr>
          <w:b/>
          <w:szCs w:val="21"/>
        </w:rPr>
        <w:t>3.</w:t>
      </w:r>
      <w:r>
        <w:rPr>
          <w:b/>
          <w:szCs w:val="21"/>
        </w:rPr>
        <w:t>实验内容：</w:t>
      </w:r>
      <w:r>
        <w:rPr>
          <w:bCs/>
          <w:szCs w:val="21"/>
        </w:rPr>
        <w:t>温室和大棚内</w:t>
      </w:r>
      <w:r>
        <w:rPr>
          <w:szCs w:val="21"/>
        </w:rPr>
        <w:t>外光照环境的观测</w:t>
      </w:r>
    </w:p>
    <w:p w14:paraId="52F46A85" w14:textId="77777777" w:rsidR="00F5289E" w:rsidRDefault="00C91173">
      <w:pPr>
        <w:widowControl/>
        <w:spacing w:line="360" w:lineRule="auto"/>
        <w:rPr>
          <w:b/>
          <w:szCs w:val="21"/>
        </w:rPr>
      </w:pPr>
      <w:r>
        <w:rPr>
          <w:b/>
          <w:bCs/>
          <w:szCs w:val="21"/>
        </w:rPr>
        <w:t>3.1</w:t>
      </w:r>
      <w:r>
        <w:rPr>
          <w:b/>
          <w:szCs w:val="21"/>
        </w:rPr>
        <w:t>实验</w:t>
      </w:r>
      <w:r>
        <w:rPr>
          <w:b/>
          <w:bCs/>
          <w:szCs w:val="21"/>
        </w:rPr>
        <w:t>方法和步骤</w:t>
      </w:r>
    </w:p>
    <w:p w14:paraId="05A76236" w14:textId="77777777" w:rsidR="00F5289E" w:rsidRDefault="00C91173">
      <w:pPr>
        <w:spacing w:line="360" w:lineRule="auto"/>
        <w:rPr>
          <w:b/>
          <w:szCs w:val="21"/>
        </w:rPr>
      </w:pPr>
      <w:r>
        <w:rPr>
          <w:b/>
          <w:szCs w:val="21"/>
        </w:rPr>
        <w:t>3.1.1</w:t>
      </w:r>
      <w:r>
        <w:rPr>
          <w:b/>
          <w:szCs w:val="21"/>
        </w:rPr>
        <w:t>观测点布置</w:t>
      </w:r>
      <w:r>
        <w:rPr>
          <w:b/>
          <w:szCs w:val="21"/>
        </w:rPr>
        <w:t xml:space="preserve">  </w:t>
      </w:r>
    </w:p>
    <w:p w14:paraId="016F68B2" w14:textId="77777777" w:rsidR="00F5289E" w:rsidRDefault="00C91173">
      <w:pPr>
        <w:spacing w:line="360" w:lineRule="auto"/>
        <w:ind w:firstLine="420"/>
        <w:rPr>
          <w:szCs w:val="21"/>
        </w:rPr>
      </w:pPr>
      <w:r>
        <w:rPr>
          <w:szCs w:val="21"/>
        </w:rPr>
        <w:t>水平测点按图</w:t>
      </w:r>
      <w:r>
        <w:rPr>
          <w:szCs w:val="21"/>
        </w:rPr>
        <w:t>1</w:t>
      </w:r>
      <w:r>
        <w:rPr>
          <w:szCs w:val="21"/>
        </w:rPr>
        <w:t>所示：左边为设施内，一般布置</w:t>
      </w:r>
      <w:r>
        <w:rPr>
          <w:szCs w:val="21"/>
        </w:rPr>
        <w:t>9</w:t>
      </w:r>
      <w:r>
        <w:rPr>
          <w:szCs w:val="21"/>
        </w:rPr>
        <w:t>个观测点，其中</w:t>
      </w:r>
      <w:r>
        <w:rPr>
          <w:szCs w:val="21"/>
        </w:rPr>
        <w:t>5</w:t>
      </w:r>
      <w:r>
        <w:rPr>
          <w:szCs w:val="21"/>
        </w:rPr>
        <w:t>点位于设施中央，其余各点以</w:t>
      </w:r>
      <w:r>
        <w:rPr>
          <w:szCs w:val="21"/>
        </w:rPr>
        <w:t>5</w:t>
      </w:r>
      <w:r>
        <w:rPr>
          <w:szCs w:val="21"/>
        </w:rPr>
        <w:t>点为中心在四周均匀分布；右边为设施外，它与</w:t>
      </w:r>
      <w:r>
        <w:rPr>
          <w:szCs w:val="21"/>
        </w:rPr>
        <w:t>5</w:t>
      </w:r>
      <w:r>
        <w:rPr>
          <w:szCs w:val="21"/>
        </w:rPr>
        <w:t>点相对应。</w:t>
      </w:r>
    </w:p>
    <w:p w14:paraId="2A10152F" w14:textId="77777777" w:rsidR="00F5289E" w:rsidRDefault="00C91173">
      <w:pPr>
        <w:spacing w:line="360" w:lineRule="auto"/>
        <w:ind w:firstLine="420"/>
        <w:jc w:val="center"/>
        <w:rPr>
          <w:szCs w:val="21"/>
        </w:rPr>
      </w:pPr>
      <w:r>
        <w:rPr>
          <w:noProof/>
          <w:szCs w:val="21"/>
        </w:rPr>
        <w:drawing>
          <wp:inline distT="0" distB="0" distL="0" distR="0" wp14:anchorId="61C982DA" wp14:editId="0AADD584">
            <wp:extent cx="2442210" cy="1367790"/>
            <wp:effectExtent l="0" t="0" r="0" b="3810"/>
            <wp:docPr id="17" name="图片 17" descr="HW045"/>
            <wp:cNvGraphicFramePr/>
            <a:graphic xmlns:a="http://schemas.openxmlformats.org/drawingml/2006/main">
              <a:graphicData uri="http://schemas.openxmlformats.org/drawingml/2006/picture">
                <pic:pic xmlns:pic="http://schemas.openxmlformats.org/drawingml/2006/picture">
                  <pic:nvPicPr>
                    <pic:cNvPr id="17" name="图片 17" descr="HW045"/>
                    <pic:cNvPicPr/>
                  </pic:nvPicPr>
                  <pic:blipFill>
                    <a:blip r:embed="rId15" cstate="print">
                      <a:grayscl/>
                      <a:lum bright="-24000" contrast="66000"/>
                      <a:extLst>
                        <a:ext uri="{28A0092B-C50C-407E-A947-70E740481C1C}">
                          <a14:useLocalDpi xmlns:a14="http://schemas.microsoft.com/office/drawing/2010/main" val="0"/>
                        </a:ext>
                      </a:extLst>
                    </a:blip>
                    <a:srcRect l="2995" t="4909" r="7246"/>
                    <a:stretch>
                      <a:fillRect/>
                    </a:stretch>
                  </pic:blipFill>
                  <pic:spPr>
                    <a:xfrm>
                      <a:off x="0" y="0"/>
                      <a:ext cx="2442210" cy="1367790"/>
                    </a:xfrm>
                    <a:prstGeom prst="rect">
                      <a:avLst/>
                    </a:prstGeom>
                    <a:noFill/>
                    <a:ln>
                      <a:noFill/>
                    </a:ln>
                    <a:effectLst/>
                  </pic:spPr>
                </pic:pic>
              </a:graphicData>
            </a:graphic>
          </wp:inline>
        </w:drawing>
      </w:r>
    </w:p>
    <w:p w14:paraId="46097F78" w14:textId="77777777" w:rsidR="00F5289E" w:rsidRDefault="00C91173">
      <w:pPr>
        <w:spacing w:line="360" w:lineRule="auto"/>
        <w:rPr>
          <w:b/>
          <w:szCs w:val="21"/>
        </w:rPr>
      </w:pPr>
      <w:r>
        <w:rPr>
          <w:b/>
          <w:szCs w:val="21"/>
        </w:rPr>
        <w:t xml:space="preserve">3.1.2 </w:t>
      </w:r>
      <w:r>
        <w:rPr>
          <w:b/>
          <w:szCs w:val="21"/>
        </w:rPr>
        <w:t>观测时间</w:t>
      </w:r>
      <w:r>
        <w:rPr>
          <w:b/>
          <w:szCs w:val="21"/>
        </w:rPr>
        <w:t xml:space="preserve">  </w:t>
      </w:r>
    </w:p>
    <w:p w14:paraId="756C0A4D" w14:textId="77777777" w:rsidR="00F5289E" w:rsidRDefault="00C91173">
      <w:pPr>
        <w:spacing w:line="360" w:lineRule="auto"/>
        <w:ind w:firstLineChars="200" w:firstLine="420"/>
        <w:rPr>
          <w:b/>
          <w:szCs w:val="21"/>
        </w:rPr>
      </w:pPr>
      <w:r>
        <w:rPr>
          <w:szCs w:val="21"/>
        </w:rPr>
        <w:t>总辐射、光合有效辐射、光照度在揭帘以后、盖帘之前时段内每隔</w:t>
      </w:r>
      <w:r>
        <w:rPr>
          <w:szCs w:val="21"/>
        </w:rPr>
        <w:t>1 h</w:t>
      </w:r>
      <w:r>
        <w:rPr>
          <w:szCs w:val="21"/>
        </w:rPr>
        <w:t>测一次，总辐射和光合有效辐射要在正午时再加测一次。</w:t>
      </w:r>
    </w:p>
    <w:p w14:paraId="4CD41D1D" w14:textId="77777777" w:rsidR="00F5289E" w:rsidRDefault="00C91173">
      <w:pPr>
        <w:spacing w:line="360" w:lineRule="auto"/>
        <w:rPr>
          <w:b/>
          <w:szCs w:val="21"/>
        </w:rPr>
      </w:pPr>
      <w:r>
        <w:rPr>
          <w:b/>
          <w:szCs w:val="21"/>
        </w:rPr>
        <w:lastRenderedPageBreak/>
        <w:t>3.1.3</w:t>
      </w:r>
      <w:r>
        <w:rPr>
          <w:b/>
          <w:szCs w:val="21"/>
        </w:rPr>
        <w:t>观测值</w:t>
      </w:r>
    </w:p>
    <w:p w14:paraId="006DC62B" w14:textId="77777777" w:rsidR="00F5289E" w:rsidRDefault="00C91173">
      <w:pPr>
        <w:spacing w:line="360" w:lineRule="auto"/>
        <w:rPr>
          <w:szCs w:val="21"/>
        </w:rPr>
      </w:pPr>
      <w:r>
        <w:rPr>
          <w:szCs w:val="21"/>
        </w:rPr>
        <w:t xml:space="preserve">    </w:t>
      </w:r>
      <w:r>
        <w:rPr>
          <w:szCs w:val="21"/>
        </w:rPr>
        <w:t>读取每组测一个项目，按每个水平测点顺序往返两次，同一点自上而下、自下而上也往返两次，取两次观测平均值。</w:t>
      </w:r>
    </w:p>
    <w:p w14:paraId="0E5810ED" w14:textId="77777777" w:rsidR="00F5289E" w:rsidRDefault="00C91173">
      <w:pPr>
        <w:spacing w:line="360" w:lineRule="auto"/>
        <w:rPr>
          <w:b/>
          <w:szCs w:val="21"/>
        </w:rPr>
      </w:pPr>
      <w:r>
        <w:rPr>
          <w:b/>
          <w:szCs w:val="21"/>
        </w:rPr>
        <w:t>3.1.4</w:t>
      </w:r>
      <w:r>
        <w:rPr>
          <w:b/>
          <w:szCs w:val="21"/>
        </w:rPr>
        <w:t>注意事项</w:t>
      </w:r>
      <w:r>
        <w:rPr>
          <w:b/>
          <w:szCs w:val="21"/>
        </w:rPr>
        <w:t xml:space="preserve">  </w:t>
      </w:r>
    </w:p>
    <w:p w14:paraId="638E1B81" w14:textId="77777777" w:rsidR="00F5289E" w:rsidRDefault="00C91173">
      <w:pPr>
        <w:spacing w:line="360" w:lineRule="auto"/>
        <w:rPr>
          <w:szCs w:val="21"/>
        </w:rPr>
      </w:pPr>
      <w:r>
        <w:rPr>
          <w:rFonts w:ascii="Cambria Math" w:hAnsi="Cambria Math" w:cs="Cambria Math"/>
          <w:szCs w:val="21"/>
        </w:rPr>
        <w:t>①</w:t>
      </w:r>
      <w:r>
        <w:rPr>
          <w:szCs w:val="21"/>
        </w:rPr>
        <w:t>测定前先画好记载表。</w:t>
      </w:r>
    </w:p>
    <w:p w14:paraId="5DC20D2C" w14:textId="77777777" w:rsidR="00F5289E" w:rsidRDefault="00C91173">
      <w:pPr>
        <w:spacing w:line="360" w:lineRule="auto"/>
        <w:rPr>
          <w:szCs w:val="21"/>
        </w:rPr>
      </w:pPr>
      <w:r>
        <w:rPr>
          <w:rFonts w:ascii="Cambria Math" w:hAnsi="Cambria Math" w:cs="Cambria Math"/>
          <w:szCs w:val="21"/>
        </w:rPr>
        <w:t>②</w:t>
      </w:r>
      <w:r>
        <w:rPr>
          <w:szCs w:val="21"/>
        </w:rPr>
        <w:t>仪器安装好以后必须校正和预测一次，没问题后再进行正式测定。</w:t>
      </w:r>
    </w:p>
    <w:p w14:paraId="78804951" w14:textId="77777777" w:rsidR="00F5289E" w:rsidRDefault="00C91173">
      <w:pPr>
        <w:spacing w:line="360" w:lineRule="auto"/>
        <w:rPr>
          <w:szCs w:val="21"/>
        </w:rPr>
      </w:pPr>
      <w:r>
        <w:rPr>
          <w:rFonts w:ascii="Cambria Math" w:hAnsi="Cambria Math" w:cs="Cambria Math"/>
          <w:szCs w:val="21"/>
        </w:rPr>
        <w:t>③</w:t>
      </w:r>
      <w:r>
        <w:rPr>
          <w:szCs w:val="21"/>
        </w:rPr>
        <w:t>测定时必须按气象观测要求进行，光照仪必须保持水平，不能与太阳光垂直，要防止水滴直接落到测量仪器上等。</w:t>
      </w:r>
    </w:p>
    <w:p w14:paraId="6C899DB0" w14:textId="77777777" w:rsidR="00F5289E" w:rsidRDefault="00C91173">
      <w:pPr>
        <w:spacing w:line="360" w:lineRule="auto"/>
        <w:rPr>
          <w:szCs w:val="21"/>
        </w:rPr>
      </w:pPr>
      <w:r>
        <w:rPr>
          <w:rFonts w:ascii="Cambria Math" w:hAnsi="Cambria Math" w:cs="Cambria Math"/>
          <w:szCs w:val="21"/>
        </w:rPr>
        <w:t>④</w:t>
      </w:r>
      <w:r>
        <w:rPr>
          <w:szCs w:val="21"/>
        </w:rPr>
        <w:t>测完后一定要校对数据，发现错误及时更正。</w:t>
      </w:r>
    </w:p>
    <w:p w14:paraId="76734D1D" w14:textId="77777777" w:rsidR="00F5289E" w:rsidRDefault="00C91173">
      <w:pPr>
        <w:spacing w:line="360" w:lineRule="auto"/>
        <w:rPr>
          <w:b/>
          <w:bCs/>
          <w:szCs w:val="21"/>
        </w:rPr>
      </w:pPr>
      <w:r>
        <w:rPr>
          <w:b/>
          <w:bCs/>
          <w:szCs w:val="21"/>
        </w:rPr>
        <w:t>3.2</w:t>
      </w:r>
      <w:r>
        <w:rPr>
          <w:b/>
          <w:bCs/>
          <w:szCs w:val="21"/>
        </w:rPr>
        <w:t>作业与思考题</w:t>
      </w:r>
    </w:p>
    <w:p w14:paraId="40624C31" w14:textId="77777777" w:rsidR="00F5289E" w:rsidRDefault="00C91173">
      <w:pPr>
        <w:spacing w:line="360" w:lineRule="auto"/>
        <w:rPr>
          <w:b/>
          <w:bCs/>
          <w:szCs w:val="21"/>
        </w:rPr>
      </w:pPr>
      <w:r>
        <w:rPr>
          <w:b/>
          <w:bCs/>
          <w:szCs w:val="21"/>
        </w:rPr>
        <w:t>3.2.1</w:t>
      </w:r>
      <w:r>
        <w:rPr>
          <w:b/>
          <w:bCs/>
          <w:szCs w:val="21"/>
        </w:rPr>
        <w:t>作业</w:t>
      </w:r>
    </w:p>
    <w:p w14:paraId="1611DAFB" w14:textId="77777777" w:rsidR="00F5289E" w:rsidRDefault="00C91173">
      <w:pPr>
        <w:spacing w:line="360" w:lineRule="auto"/>
        <w:rPr>
          <w:szCs w:val="21"/>
        </w:rPr>
      </w:pPr>
      <w:r>
        <w:rPr>
          <w:szCs w:val="21"/>
        </w:rPr>
        <w:t>绘出所选择的测量点，将三次观测数据的平均值填入设施内温度记录表。</w:t>
      </w:r>
    </w:p>
    <w:p w14:paraId="460A873B" w14:textId="77777777" w:rsidR="00F5289E" w:rsidRDefault="00C91173">
      <w:pPr>
        <w:spacing w:line="360" w:lineRule="auto"/>
        <w:rPr>
          <w:szCs w:val="21"/>
        </w:rPr>
      </w:pPr>
      <w:r>
        <w:rPr>
          <w:szCs w:val="21"/>
        </w:rPr>
        <w:t>表</w:t>
      </w:r>
      <w:r>
        <w:rPr>
          <w:szCs w:val="21"/>
        </w:rPr>
        <w:t xml:space="preserve">1 </w:t>
      </w:r>
      <w:r>
        <w:rPr>
          <w:szCs w:val="21"/>
        </w:rPr>
        <w:t>设施环境记录表</w:t>
      </w:r>
    </w:p>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5"/>
        <w:gridCol w:w="1373"/>
        <w:gridCol w:w="1440"/>
        <w:gridCol w:w="1184"/>
        <w:gridCol w:w="1176"/>
        <w:gridCol w:w="1284"/>
        <w:gridCol w:w="1595"/>
      </w:tblGrid>
      <w:tr w:rsidR="00F5289E" w14:paraId="6546F8C1" w14:textId="77777777">
        <w:trPr>
          <w:trHeight w:val="416"/>
          <w:jc w:val="center"/>
        </w:trPr>
        <w:tc>
          <w:tcPr>
            <w:tcW w:w="1025" w:type="dxa"/>
            <w:vMerge w:val="restart"/>
            <w:vAlign w:val="center"/>
          </w:tcPr>
          <w:p w14:paraId="1CF2B72E" w14:textId="77777777" w:rsidR="00F5289E" w:rsidRDefault="00C91173">
            <w:pPr>
              <w:spacing w:line="440" w:lineRule="exact"/>
              <w:jc w:val="center"/>
              <w:rPr>
                <w:sz w:val="18"/>
                <w:szCs w:val="18"/>
              </w:rPr>
            </w:pPr>
            <w:r>
              <w:rPr>
                <w:sz w:val="18"/>
                <w:szCs w:val="18"/>
              </w:rPr>
              <w:t>项目</w:t>
            </w:r>
          </w:p>
        </w:tc>
        <w:tc>
          <w:tcPr>
            <w:tcW w:w="6457" w:type="dxa"/>
            <w:gridSpan w:val="5"/>
            <w:tcBorders>
              <w:bottom w:val="nil"/>
              <w:right w:val="single" w:sz="4" w:space="0" w:color="auto"/>
            </w:tcBorders>
            <w:vAlign w:val="center"/>
          </w:tcPr>
          <w:p w14:paraId="266A23E6" w14:textId="77777777" w:rsidR="00F5289E" w:rsidRDefault="00C91173">
            <w:pPr>
              <w:spacing w:line="440" w:lineRule="exact"/>
              <w:jc w:val="center"/>
              <w:rPr>
                <w:sz w:val="18"/>
                <w:szCs w:val="18"/>
              </w:rPr>
            </w:pPr>
            <w:r>
              <w:rPr>
                <w:sz w:val="18"/>
                <w:szCs w:val="18"/>
              </w:rPr>
              <w:t>测量值（取三次结果的平均值）</w:t>
            </w:r>
          </w:p>
        </w:tc>
        <w:tc>
          <w:tcPr>
            <w:tcW w:w="1595" w:type="dxa"/>
            <w:vMerge w:val="restart"/>
            <w:tcBorders>
              <w:left w:val="single" w:sz="4" w:space="0" w:color="auto"/>
              <w:right w:val="single" w:sz="4" w:space="0" w:color="auto"/>
            </w:tcBorders>
            <w:vAlign w:val="center"/>
          </w:tcPr>
          <w:p w14:paraId="50EFED45" w14:textId="77777777" w:rsidR="00F5289E" w:rsidRDefault="00C91173">
            <w:pPr>
              <w:spacing w:line="440" w:lineRule="exact"/>
              <w:jc w:val="center"/>
              <w:rPr>
                <w:sz w:val="18"/>
                <w:szCs w:val="18"/>
              </w:rPr>
            </w:pPr>
            <w:r>
              <w:rPr>
                <w:sz w:val="18"/>
                <w:szCs w:val="18"/>
              </w:rPr>
              <w:t>室外测量值</w:t>
            </w:r>
          </w:p>
          <w:p w14:paraId="1F6E4B2E" w14:textId="77777777" w:rsidR="00F5289E" w:rsidRDefault="00C91173">
            <w:pPr>
              <w:spacing w:line="440" w:lineRule="exact"/>
              <w:jc w:val="center"/>
              <w:rPr>
                <w:sz w:val="18"/>
                <w:szCs w:val="18"/>
              </w:rPr>
            </w:pPr>
            <w:r>
              <w:rPr>
                <w:sz w:val="18"/>
                <w:szCs w:val="18"/>
              </w:rPr>
              <w:t>（三次平均值）</w:t>
            </w:r>
          </w:p>
        </w:tc>
      </w:tr>
      <w:tr w:rsidR="00F5289E" w14:paraId="6FD101F1" w14:textId="77777777">
        <w:trPr>
          <w:trHeight w:val="171"/>
          <w:jc w:val="center"/>
        </w:trPr>
        <w:tc>
          <w:tcPr>
            <w:tcW w:w="1025" w:type="dxa"/>
            <w:vMerge/>
            <w:tcBorders>
              <w:bottom w:val="single" w:sz="4" w:space="0" w:color="auto"/>
            </w:tcBorders>
            <w:vAlign w:val="center"/>
          </w:tcPr>
          <w:p w14:paraId="6EC1E42B" w14:textId="77777777" w:rsidR="00F5289E" w:rsidRDefault="00F5289E">
            <w:pPr>
              <w:spacing w:line="440" w:lineRule="exact"/>
              <w:jc w:val="center"/>
              <w:rPr>
                <w:sz w:val="18"/>
                <w:szCs w:val="18"/>
              </w:rPr>
            </w:pPr>
          </w:p>
        </w:tc>
        <w:tc>
          <w:tcPr>
            <w:tcW w:w="1373" w:type="dxa"/>
            <w:tcBorders>
              <w:top w:val="single" w:sz="4" w:space="0" w:color="auto"/>
              <w:bottom w:val="single" w:sz="4" w:space="0" w:color="auto"/>
              <w:right w:val="single" w:sz="4" w:space="0" w:color="auto"/>
            </w:tcBorders>
            <w:vAlign w:val="center"/>
          </w:tcPr>
          <w:p w14:paraId="1F5B4095" w14:textId="77777777" w:rsidR="00F5289E" w:rsidRDefault="00C91173">
            <w:pPr>
              <w:spacing w:line="440" w:lineRule="exact"/>
              <w:rPr>
                <w:sz w:val="18"/>
                <w:szCs w:val="18"/>
              </w:rPr>
            </w:pPr>
            <w:r>
              <w:rPr>
                <w:sz w:val="18"/>
                <w:szCs w:val="18"/>
              </w:rPr>
              <w:t>测量点</w:t>
            </w:r>
            <w:r>
              <w:rPr>
                <w:sz w:val="18"/>
                <w:szCs w:val="18"/>
              </w:rPr>
              <w:t>1</w:t>
            </w:r>
          </w:p>
        </w:tc>
        <w:tc>
          <w:tcPr>
            <w:tcW w:w="1440" w:type="dxa"/>
            <w:tcBorders>
              <w:top w:val="single" w:sz="4" w:space="0" w:color="auto"/>
              <w:bottom w:val="single" w:sz="4" w:space="0" w:color="auto"/>
              <w:right w:val="single" w:sz="4" w:space="0" w:color="auto"/>
            </w:tcBorders>
            <w:vAlign w:val="center"/>
          </w:tcPr>
          <w:p w14:paraId="0AC94A75" w14:textId="77777777" w:rsidR="00F5289E" w:rsidRDefault="00C91173">
            <w:pPr>
              <w:spacing w:line="440" w:lineRule="exact"/>
              <w:jc w:val="center"/>
              <w:rPr>
                <w:sz w:val="18"/>
                <w:szCs w:val="18"/>
              </w:rPr>
            </w:pPr>
            <w:r>
              <w:rPr>
                <w:sz w:val="18"/>
                <w:szCs w:val="18"/>
              </w:rPr>
              <w:t>测量点</w:t>
            </w:r>
            <w:r>
              <w:rPr>
                <w:sz w:val="18"/>
                <w:szCs w:val="18"/>
              </w:rPr>
              <w:t>2</w:t>
            </w:r>
          </w:p>
        </w:tc>
        <w:tc>
          <w:tcPr>
            <w:tcW w:w="1184" w:type="dxa"/>
            <w:tcBorders>
              <w:top w:val="single" w:sz="4" w:space="0" w:color="auto"/>
              <w:bottom w:val="single" w:sz="4" w:space="0" w:color="auto"/>
              <w:right w:val="single" w:sz="4" w:space="0" w:color="auto"/>
            </w:tcBorders>
            <w:vAlign w:val="center"/>
          </w:tcPr>
          <w:p w14:paraId="673A1210" w14:textId="77777777" w:rsidR="00F5289E" w:rsidRDefault="00C91173">
            <w:pPr>
              <w:spacing w:line="440" w:lineRule="exact"/>
              <w:jc w:val="center"/>
              <w:rPr>
                <w:sz w:val="18"/>
                <w:szCs w:val="18"/>
              </w:rPr>
            </w:pPr>
            <w:r>
              <w:rPr>
                <w:sz w:val="18"/>
                <w:szCs w:val="18"/>
              </w:rPr>
              <w:t>测量点</w:t>
            </w:r>
            <w:r>
              <w:rPr>
                <w:sz w:val="18"/>
                <w:szCs w:val="18"/>
              </w:rPr>
              <w:t>3</w:t>
            </w:r>
          </w:p>
        </w:tc>
        <w:tc>
          <w:tcPr>
            <w:tcW w:w="1176" w:type="dxa"/>
            <w:tcBorders>
              <w:top w:val="single" w:sz="4" w:space="0" w:color="auto"/>
              <w:bottom w:val="single" w:sz="4" w:space="0" w:color="auto"/>
              <w:right w:val="single" w:sz="4" w:space="0" w:color="auto"/>
            </w:tcBorders>
            <w:vAlign w:val="center"/>
          </w:tcPr>
          <w:p w14:paraId="39D3EC6B" w14:textId="77777777" w:rsidR="00F5289E" w:rsidRDefault="00C91173">
            <w:pPr>
              <w:spacing w:line="440" w:lineRule="exact"/>
              <w:jc w:val="center"/>
              <w:rPr>
                <w:sz w:val="18"/>
                <w:szCs w:val="18"/>
              </w:rPr>
            </w:pPr>
            <w:r>
              <w:rPr>
                <w:sz w:val="18"/>
                <w:szCs w:val="18"/>
              </w:rPr>
              <w:t>测量点</w:t>
            </w:r>
            <w:r>
              <w:rPr>
                <w:sz w:val="18"/>
                <w:szCs w:val="18"/>
              </w:rPr>
              <w:t>4</w:t>
            </w:r>
          </w:p>
        </w:tc>
        <w:tc>
          <w:tcPr>
            <w:tcW w:w="1284" w:type="dxa"/>
            <w:tcBorders>
              <w:bottom w:val="single" w:sz="4" w:space="0" w:color="000000"/>
              <w:right w:val="single" w:sz="4" w:space="0" w:color="auto"/>
            </w:tcBorders>
          </w:tcPr>
          <w:p w14:paraId="1221A156" w14:textId="77777777" w:rsidR="00F5289E" w:rsidRDefault="00C91173">
            <w:pPr>
              <w:spacing w:line="440" w:lineRule="exact"/>
              <w:ind w:firstLineChars="100" w:firstLine="180"/>
              <w:rPr>
                <w:sz w:val="18"/>
                <w:szCs w:val="18"/>
              </w:rPr>
            </w:pPr>
            <w:r>
              <w:rPr>
                <w:sz w:val="18"/>
                <w:szCs w:val="18"/>
              </w:rPr>
              <w:t>测量点</w:t>
            </w:r>
            <w:r>
              <w:rPr>
                <w:sz w:val="18"/>
                <w:szCs w:val="18"/>
              </w:rPr>
              <w:t>5</w:t>
            </w:r>
          </w:p>
        </w:tc>
        <w:tc>
          <w:tcPr>
            <w:tcW w:w="1595" w:type="dxa"/>
            <w:vMerge/>
            <w:tcBorders>
              <w:left w:val="single" w:sz="4" w:space="0" w:color="auto"/>
              <w:right w:val="single" w:sz="4" w:space="0" w:color="auto"/>
            </w:tcBorders>
            <w:vAlign w:val="center"/>
          </w:tcPr>
          <w:p w14:paraId="2F371944" w14:textId="77777777" w:rsidR="00F5289E" w:rsidRDefault="00F5289E">
            <w:pPr>
              <w:spacing w:line="440" w:lineRule="exact"/>
              <w:rPr>
                <w:sz w:val="18"/>
                <w:szCs w:val="18"/>
              </w:rPr>
            </w:pPr>
          </w:p>
        </w:tc>
      </w:tr>
      <w:tr w:rsidR="00F5289E" w14:paraId="64FB9CCF" w14:textId="77777777">
        <w:trPr>
          <w:trHeight w:val="389"/>
          <w:jc w:val="center"/>
        </w:trPr>
        <w:tc>
          <w:tcPr>
            <w:tcW w:w="1025" w:type="dxa"/>
            <w:vAlign w:val="center"/>
          </w:tcPr>
          <w:p w14:paraId="40447C41" w14:textId="77777777" w:rsidR="00F5289E" w:rsidRDefault="00C91173">
            <w:pPr>
              <w:spacing w:line="440" w:lineRule="exact"/>
              <w:jc w:val="center"/>
              <w:rPr>
                <w:sz w:val="18"/>
                <w:szCs w:val="18"/>
              </w:rPr>
            </w:pPr>
            <w:r>
              <w:rPr>
                <w:sz w:val="18"/>
                <w:szCs w:val="18"/>
              </w:rPr>
              <w:t>光照</w:t>
            </w:r>
            <w:r>
              <w:rPr>
                <w:sz w:val="18"/>
                <w:szCs w:val="18"/>
              </w:rPr>
              <w:t>lux</w:t>
            </w:r>
          </w:p>
        </w:tc>
        <w:tc>
          <w:tcPr>
            <w:tcW w:w="1373" w:type="dxa"/>
            <w:tcBorders>
              <w:right w:val="single" w:sz="4" w:space="0" w:color="auto"/>
            </w:tcBorders>
            <w:vAlign w:val="center"/>
          </w:tcPr>
          <w:p w14:paraId="1E5F8D47" w14:textId="77777777" w:rsidR="00F5289E" w:rsidRDefault="00F5289E">
            <w:pPr>
              <w:spacing w:line="440" w:lineRule="exact"/>
              <w:jc w:val="center"/>
              <w:rPr>
                <w:sz w:val="18"/>
                <w:szCs w:val="18"/>
              </w:rPr>
            </w:pPr>
          </w:p>
        </w:tc>
        <w:tc>
          <w:tcPr>
            <w:tcW w:w="1440" w:type="dxa"/>
            <w:tcBorders>
              <w:left w:val="single" w:sz="4" w:space="0" w:color="auto"/>
            </w:tcBorders>
            <w:vAlign w:val="center"/>
          </w:tcPr>
          <w:p w14:paraId="52BB9118" w14:textId="77777777" w:rsidR="00F5289E" w:rsidRDefault="00F5289E">
            <w:pPr>
              <w:spacing w:line="440" w:lineRule="exact"/>
              <w:jc w:val="center"/>
              <w:rPr>
                <w:sz w:val="18"/>
                <w:szCs w:val="18"/>
              </w:rPr>
            </w:pPr>
          </w:p>
        </w:tc>
        <w:tc>
          <w:tcPr>
            <w:tcW w:w="1184" w:type="dxa"/>
            <w:vAlign w:val="center"/>
          </w:tcPr>
          <w:p w14:paraId="00BA1752" w14:textId="77777777" w:rsidR="00F5289E" w:rsidRDefault="00F5289E">
            <w:pPr>
              <w:spacing w:line="440" w:lineRule="exact"/>
              <w:jc w:val="center"/>
              <w:rPr>
                <w:sz w:val="18"/>
                <w:szCs w:val="18"/>
              </w:rPr>
            </w:pPr>
          </w:p>
        </w:tc>
        <w:tc>
          <w:tcPr>
            <w:tcW w:w="1176" w:type="dxa"/>
            <w:vAlign w:val="center"/>
          </w:tcPr>
          <w:p w14:paraId="7E1D50D8" w14:textId="77777777" w:rsidR="00F5289E" w:rsidRDefault="00F5289E">
            <w:pPr>
              <w:spacing w:line="440" w:lineRule="exact"/>
              <w:jc w:val="center"/>
              <w:rPr>
                <w:sz w:val="18"/>
                <w:szCs w:val="18"/>
              </w:rPr>
            </w:pPr>
          </w:p>
        </w:tc>
        <w:tc>
          <w:tcPr>
            <w:tcW w:w="1284" w:type="dxa"/>
            <w:tcBorders>
              <w:right w:val="single" w:sz="4" w:space="0" w:color="auto"/>
            </w:tcBorders>
          </w:tcPr>
          <w:p w14:paraId="45B3672E" w14:textId="77777777" w:rsidR="00F5289E" w:rsidRDefault="00F5289E">
            <w:pPr>
              <w:spacing w:line="440" w:lineRule="exact"/>
              <w:jc w:val="center"/>
              <w:rPr>
                <w:sz w:val="18"/>
                <w:szCs w:val="18"/>
              </w:rPr>
            </w:pPr>
          </w:p>
        </w:tc>
        <w:tc>
          <w:tcPr>
            <w:tcW w:w="1595" w:type="dxa"/>
            <w:tcBorders>
              <w:top w:val="nil"/>
              <w:left w:val="single" w:sz="4" w:space="0" w:color="auto"/>
              <w:right w:val="single" w:sz="4" w:space="0" w:color="auto"/>
            </w:tcBorders>
            <w:vAlign w:val="center"/>
          </w:tcPr>
          <w:p w14:paraId="0E8A26B5" w14:textId="77777777" w:rsidR="00F5289E" w:rsidRDefault="00F5289E">
            <w:pPr>
              <w:spacing w:line="440" w:lineRule="exact"/>
              <w:jc w:val="center"/>
              <w:rPr>
                <w:sz w:val="18"/>
                <w:szCs w:val="18"/>
              </w:rPr>
            </w:pPr>
          </w:p>
        </w:tc>
      </w:tr>
    </w:tbl>
    <w:p w14:paraId="23BB8DBD" w14:textId="77777777" w:rsidR="00F5289E" w:rsidRDefault="00C91173">
      <w:pPr>
        <w:spacing w:line="360" w:lineRule="auto"/>
        <w:rPr>
          <w:szCs w:val="21"/>
        </w:rPr>
      </w:pPr>
      <w:r>
        <w:rPr>
          <w:b/>
          <w:bCs/>
          <w:szCs w:val="21"/>
        </w:rPr>
        <w:t>3.2.2</w:t>
      </w:r>
      <w:r>
        <w:rPr>
          <w:b/>
          <w:bCs/>
          <w:szCs w:val="21"/>
        </w:rPr>
        <w:t>思考题</w:t>
      </w:r>
    </w:p>
    <w:p w14:paraId="6D394BA6" w14:textId="77777777" w:rsidR="00F5289E" w:rsidRDefault="00C91173">
      <w:pPr>
        <w:spacing w:line="360" w:lineRule="auto"/>
        <w:rPr>
          <w:szCs w:val="21"/>
        </w:rPr>
      </w:pPr>
      <w:r>
        <w:rPr>
          <w:szCs w:val="21"/>
        </w:rPr>
        <w:t>分析设施内光照环境的变化规律，并阐述形成的原因。</w:t>
      </w:r>
    </w:p>
    <w:p w14:paraId="4A17FDCA" w14:textId="77777777" w:rsidR="00F5289E" w:rsidRDefault="00C91173">
      <w:pPr>
        <w:spacing w:line="360" w:lineRule="auto"/>
        <w:rPr>
          <w:bCs/>
          <w:szCs w:val="21"/>
        </w:rPr>
      </w:pPr>
      <w:r>
        <w:rPr>
          <w:b/>
          <w:szCs w:val="21"/>
        </w:rPr>
        <w:t>4.</w:t>
      </w:r>
      <w:r>
        <w:rPr>
          <w:b/>
          <w:szCs w:val="21"/>
        </w:rPr>
        <w:t>实验要求：</w:t>
      </w:r>
      <w:r>
        <w:rPr>
          <w:szCs w:val="21"/>
        </w:rPr>
        <w:t>要求学会设施内小气候的观测方法和测定仪器的使用</w:t>
      </w:r>
    </w:p>
    <w:p w14:paraId="15700A2C" w14:textId="77777777" w:rsidR="00F5289E" w:rsidRDefault="00C91173">
      <w:pPr>
        <w:spacing w:line="360" w:lineRule="auto"/>
        <w:rPr>
          <w:szCs w:val="21"/>
        </w:rPr>
      </w:pPr>
      <w:r>
        <w:rPr>
          <w:b/>
          <w:szCs w:val="21"/>
        </w:rPr>
        <w:t>5.</w:t>
      </w:r>
      <w:r>
        <w:rPr>
          <w:b/>
          <w:szCs w:val="21"/>
        </w:rPr>
        <w:t>实验设备及器材：</w:t>
      </w:r>
      <w:r>
        <w:rPr>
          <w:szCs w:val="21"/>
        </w:rPr>
        <w:t>总辐射表、光量子仪（测光合有效辐射）、照度计。</w:t>
      </w:r>
    </w:p>
    <w:p w14:paraId="06430105" w14:textId="77777777" w:rsidR="00F5289E" w:rsidRPr="00612D5B" w:rsidRDefault="00C91173">
      <w:pPr>
        <w:pStyle w:val="af1"/>
        <w:snapToGrid w:val="0"/>
        <w:spacing w:before="0" w:beforeAutospacing="0" w:after="0" w:afterAutospacing="0" w:line="360" w:lineRule="auto"/>
        <w:rPr>
          <w:rFonts w:ascii="Times New Roman" w:hAnsi="Times New Roman" w:cs="Times New Roman"/>
          <w:b/>
          <w:sz w:val="21"/>
          <w:szCs w:val="21"/>
        </w:rPr>
      </w:pPr>
      <w:r>
        <w:rPr>
          <w:rFonts w:ascii="Times New Roman" w:hAnsi="Times New Roman" w:cs="Times New Roman"/>
          <w:b/>
          <w:sz w:val="21"/>
          <w:szCs w:val="21"/>
        </w:rPr>
        <w:t>【实验二】</w:t>
      </w:r>
      <w:r w:rsidRPr="00612D5B">
        <w:rPr>
          <w:rFonts w:ascii="Times New Roman" w:hAnsi="Times New Roman" w:cs="Times New Roman"/>
          <w:b/>
          <w:sz w:val="21"/>
          <w:szCs w:val="21"/>
        </w:rPr>
        <w:t>设施内</w:t>
      </w:r>
      <w:r w:rsidRPr="00612D5B">
        <w:rPr>
          <w:rFonts w:ascii="Times New Roman" w:hAnsi="Times New Roman" w:cs="Times New Roman" w:hint="eastAsia"/>
          <w:b/>
          <w:sz w:val="21"/>
          <w:szCs w:val="21"/>
        </w:rPr>
        <w:t>外</w:t>
      </w:r>
      <w:r w:rsidRPr="00612D5B">
        <w:rPr>
          <w:rFonts w:ascii="Times New Roman" w:hAnsi="Times New Roman" w:cs="Times New Roman"/>
          <w:b/>
          <w:sz w:val="21"/>
          <w:szCs w:val="21"/>
        </w:rPr>
        <w:t>温度环境的观测</w:t>
      </w:r>
    </w:p>
    <w:p w14:paraId="538AD7C9" w14:textId="77777777" w:rsidR="00F5289E" w:rsidRDefault="00C91173">
      <w:pPr>
        <w:spacing w:line="360" w:lineRule="auto"/>
      </w:pPr>
      <w:r>
        <w:rPr>
          <w:b/>
          <w:szCs w:val="21"/>
        </w:rPr>
        <w:t>1.</w:t>
      </w:r>
      <w:r>
        <w:rPr>
          <w:b/>
          <w:szCs w:val="21"/>
        </w:rPr>
        <w:t>实验学时：</w:t>
      </w:r>
      <w:r>
        <w:rPr>
          <w:bCs/>
          <w:color w:val="000000"/>
        </w:rPr>
        <w:t>2</w:t>
      </w:r>
    </w:p>
    <w:p w14:paraId="108511FD" w14:textId="77777777" w:rsidR="00F5289E" w:rsidRDefault="00C91173">
      <w:pPr>
        <w:spacing w:line="360" w:lineRule="auto"/>
        <w:rPr>
          <w:b/>
          <w:szCs w:val="21"/>
        </w:rPr>
      </w:pPr>
      <w:r>
        <w:rPr>
          <w:b/>
          <w:szCs w:val="21"/>
        </w:rPr>
        <w:t>2.</w:t>
      </w:r>
      <w:r>
        <w:rPr>
          <w:b/>
          <w:szCs w:val="21"/>
        </w:rPr>
        <w:t>实验目的：</w:t>
      </w:r>
      <w:r>
        <w:rPr>
          <w:szCs w:val="21"/>
        </w:rPr>
        <w:t xml:space="preserve"> </w:t>
      </w:r>
      <w:r>
        <w:rPr>
          <w:szCs w:val="21"/>
        </w:rPr>
        <w:t>通过对几种设施内外温度进行观测，掌握各种设施内小气候的变化规律。</w:t>
      </w:r>
    </w:p>
    <w:p w14:paraId="5C0FD3D3" w14:textId="77777777" w:rsidR="00F5289E" w:rsidRDefault="00C91173">
      <w:pPr>
        <w:spacing w:line="360" w:lineRule="auto"/>
        <w:rPr>
          <w:b/>
          <w:szCs w:val="21"/>
        </w:rPr>
      </w:pPr>
      <w:r>
        <w:rPr>
          <w:b/>
          <w:szCs w:val="21"/>
        </w:rPr>
        <w:t>3.</w:t>
      </w:r>
      <w:r>
        <w:rPr>
          <w:b/>
          <w:szCs w:val="21"/>
        </w:rPr>
        <w:t>实验内容：</w:t>
      </w:r>
      <w:r>
        <w:rPr>
          <w:rFonts w:hint="eastAsia"/>
          <w:szCs w:val="21"/>
        </w:rPr>
        <w:t>温室和大棚内外</w:t>
      </w:r>
      <w:r>
        <w:rPr>
          <w:szCs w:val="21"/>
        </w:rPr>
        <w:t>温度环境的观测</w:t>
      </w:r>
    </w:p>
    <w:p w14:paraId="663E3957" w14:textId="77777777" w:rsidR="00F5289E" w:rsidRDefault="00C91173">
      <w:pPr>
        <w:widowControl/>
        <w:spacing w:line="360" w:lineRule="auto"/>
        <w:rPr>
          <w:b/>
          <w:szCs w:val="21"/>
        </w:rPr>
      </w:pPr>
      <w:r>
        <w:rPr>
          <w:b/>
          <w:bCs/>
          <w:szCs w:val="21"/>
        </w:rPr>
        <w:t>3.1</w:t>
      </w:r>
      <w:r>
        <w:rPr>
          <w:b/>
          <w:szCs w:val="21"/>
        </w:rPr>
        <w:t>实验</w:t>
      </w:r>
      <w:r>
        <w:rPr>
          <w:b/>
          <w:bCs/>
          <w:szCs w:val="21"/>
        </w:rPr>
        <w:t>方法和步骤</w:t>
      </w:r>
    </w:p>
    <w:p w14:paraId="7C2AA9D3" w14:textId="77777777" w:rsidR="00F5289E" w:rsidRDefault="00C91173">
      <w:pPr>
        <w:spacing w:line="360" w:lineRule="auto"/>
        <w:rPr>
          <w:b/>
          <w:szCs w:val="21"/>
        </w:rPr>
      </w:pPr>
      <w:r>
        <w:rPr>
          <w:b/>
          <w:szCs w:val="21"/>
        </w:rPr>
        <w:t>3.1.1</w:t>
      </w:r>
      <w:r>
        <w:rPr>
          <w:b/>
          <w:szCs w:val="21"/>
        </w:rPr>
        <w:t>观测点布置</w:t>
      </w:r>
      <w:r>
        <w:rPr>
          <w:b/>
          <w:szCs w:val="21"/>
        </w:rPr>
        <w:t xml:space="preserve">  </w:t>
      </w:r>
    </w:p>
    <w:p w14:paraId="0BC20116" w14:textId="77777777" w:rsidR="00F5289E" w:rsidRDefault="00C91173">
      <w:pPr>
        <w:spacing w:line="360" w:lineRule="auto"/>
        <w:rPr>
          <w:szCs w:val="21"/>
        </w:rPr>
      </w:pPr>
      <w:r>
        <w:rPr>
          <w:szCs w:val="21"/>
        </w:rPr>
        <w:t>水平测点按图</w:t>
      </w:r>
      <w:r>
        <w:rPr>
          <w:szCs w:val="21"/>
        </w:rPr>
        <w:t>1</w:t>
      </w:r>
      <w:r>
        <w:rPr>
          <w:szCs w:val="21"/>
        </w:rPr>
        <w:t>所示：左边为设施内，一般布置</w:t>
      </w:r>
      <w:r>
        <w:rPr>
          <w:szCs w:val="21"/>
        </w:rPr>
        <w:t>9</w:t>
      </w:r>
      <w:r>
        <w:rPr>
          <w:szCs w:val="21"/>
        </w:rPr>
        <w:t>个观测点，其中</w:t>
      </w:r>
      <w:r>
        <w:rPr>
          <w:szCs w:val="21"/>
        </w:rPr>
        <w:t>5</w:t>
      </w:r>
      <w:r>
        <w:rPr>
          <w:szCs w:val="21"/>
        </w:rPr>
        <w:t>点位于设施中央，其余各点以</w:t>
      </w:r>
      <w:r>
        <w:rPr>
          <w:szCs w:val="21"/>
        </w:rPr>
        <w:t>5</w:t>
      </w:r>
      <w:r>
        <w:rPr>
          <w:szCs w:val="21"/>
        </w:rPr>
        <w:t>点为中心在四周均匀分布；右边为设施外，它与</w:t>
      </w:r>
      <w:r>
        <w:rPr>
          <w:szCs w:val="21"/>
        </w:rPr>
        <w:t>5</w:t>
      </w:r>
      <w:r>
        <w:rPr>
          <w:szCs w:val="21"/>
        </w:rPr>
        <w:t>点相对应。</w:t>
      </w:r>
    </w:p>
    <w:p w14:paraId="2CB05F2B" w14:textId="77777777" w:rsidR="00F5289E" w:rsidRDefault="00C91173">
      <w:pPr>
        <w:jc w:val="center"/>
        <w:rPr>
          <w:szCs w:val="21"/>
        </w:rPr>
      </w:pPr>
      <w:r>
        <w:rPr>
          <w:noProof/>
          <w:szCs w:val="21"/>
        </w:rPr>
        <w:lastRenderedPageBreak/>
        <w:drawing>
          <wp:inline distT="0" distB="0" distL="0" distR="0" wp14:anchorId="49E4E725" wp14:editId="6D844723">
            <wp:extent cx="2230120" cy="1324610"/>
            <wp:effectExtent l="0" t="0" r="5080" b="0"/>
            <wp:docPr id="16" name="图片 16" descr="图片1"/>
            <wp:cNvGraphicFramePr/>
            <a:graphic xmlns:a="http://schemas.openxmlformats.org/drawingml/2006/main">
              <a:graphicData uri="http://schemas.openxmlformats.org/drawingml/2006/picture">
                <pic:pic xmlns:pic="http://schemas.openxmlformats.org/drawingml/2006/picture">
                  <pic:nvPicPr>
                    <pic:cNvPr id="16" name="图片 16" descr="图片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30120" cy="1324800"/>
                    </a:xfrm>
                    <a:prstGeom prst="rect">
                      <a:avLst/>
                    </a:prstGeom>
                    <a:noFill/>
                    <a:ln>
                      <a:noFill/>
                    </a:ln>
                  </pic:spPr>
                </pic:pic>
              </a:graphicData>
            </a:graphic>
          </wp:inline>
        </w:drawing>
      </w:r>
    </w:p>
    <w:p w14:paraId="053FB49D" w14:textId="77777777" w:rsidR="00F5289E" w:rsidRDefault="00C91173">
      <w:pPr>
        <w:spacing w:line="360" w:lineRule="auto"/>
        <w:rPr>
          <w:b/>
          <w:szCs w:val="21"/>
        </w:rPr>
      </w:pPr>
      <w:r>
        <w:rPr>
          <w:b/>
          <w:szCs w:val="21"/>
        </w:rPr>
        <w:t>3.1.2</w:t>
      </w:r>
      <w:r>
        <w:rPr>
          <w:b/>
          <w:szCs w:val="21"/>
        </w:rPr>
        <w:t>观测时间</w:t>
      </w:r>
      <w:r>
        <w:rPr>
          <w:b/>
          <w:szCs w:val="21"/>
        </w:rPr>
        <w:t xml:space="preserve">  </w:t>
      </w:r>
    </w:p>
    <w:p w14:paraId="7800A327" w14:textId="77777777" w:rsidR="00F5289E" w:rsidRDefault="00C91173">
      <w:pPr>
        <w:spacing w:line="360" w:lineRule="auto"/>
        <w:ind w:firstLine="480"/>
        <w:rPr>
          <w:szCs w:val="21"/>
        </w:rPr>
      </w:pPr>
      <w:r>
        <w:rPr>
          <w:szCs w:val="21"/>
        </w:rPr>
        <w:t>一天中每隔两小时测一次温度（气温和地温），一般在</w:t>
      </w:r>
      <w:r>
        <w:rPr>
          <w:szCs w:val="21"/>
        </w:rPr>
        <w:t>20</w:t>
      </w:r>
      <w:r>
        <w:rPr>
          <w:szCs w:val="21"/>
        </w:rPr>
        <w:t>：</w:t>
      </w:r>
      <w:r>
        <w:rPr>
          <w:szCs w:val="21"/>
        </w:rPr>
        <w:t>00</w:t>
      </w:r>
      <w:r>
        <w:rPr>
          <w:szCs w:val="21"/>
        </w:rPr>
        <w:t>，</w:t>
      </w:r>
      <w:r>
        <w:rPr>
          <w:szCs w:val="21"/>
        </w:rPr>
        <w:t>22</w:t>
      </w:r>
      <w:r>
        <w:rPr>
          <w:szCs w:val="21"/>
        </w:rPr>
        <w:t>：</w:t>
      </w:r>
      <w:r>
        <w:rPr>
          <w:szCs w:val="21"/>
        </w:rPr>
        <w:t>00</w:t>
      </w:r>
      <w:r>
        <w:rPr>
          <w:szCs w:val="21"/>
        </w:rPr>
        <w:t>，</w:t>
      </w:r>
      <w:r>
        <w:rPr>
          <w:szCs w:val="21"/>
        </w:rPr>
        <w:t>0</w:t>
      </w:r>
      <w:r>
        <w:rPr>
          <w:szCs w:val="21"/>
        </w:rPr>
        <w:t>：</w:t>
      </w:r>
      <w:r>
        <w:rPr>
          <w:szCs w:val="21"/>
        </w:rPr>
        <w:t>00</w:t>
      </w:r>
      <w:r>
        <w:rPr>
          <w:szCs w:val="21"/>
        </w:rPr>
        <w:t>，</w:t>
      </w:r>
      <w:r>
        <w:rPr>
          <w:szCs w:val="21"/>
        </w:rPr>
        <w:t>2</w:t>
      </w:r>
      <w:r>
        <w:rPr>
          <w:szCs w:val="21"/>
        </w:rPr>
        <w:t>：</w:t>
      </w:r>
      <w:r>
        <w:rPr>
          <w:szCs w:val="21"/>
        </w:rPr>
        <w:t>00</w:t>
      </w:r>
      <w:r>
        <w:rPr>
          <w:szCs w:val="21"/>
        </w:rPr>
        <w:t>，</w:t>
      </w:r>
      <w:r>
        <w:rPr>
          <w:szCs w:val="21"/>
        </w:rPr>
        <w:t>4</w:t>
      </w:r>
      <w:r>
        <w:rPr>
          <w:szCs w:val="21"/>
        </w:rPr>
        <w:t>：</w:t>
      </w:r>
      <w:r>
        <w:rPr>
          <w:szCs w:val="21"/>
        </w:rPr>
        <w:t>00</w:t>
      </w:r>
      <w:r>
        <w:rPr>
          <w:szCs w:val="21"/>
        </w:rPr>
        <w:t>，</w:t>
      </w:r>
      <w:r>
        <w:rPr>
          <w:szCs w:val="21"/>
        </w:rPr>
        <w:t>6</w:t>
      </w:r>
      <w:r>
        <w:rPr>
          <w:szCs w:val="21"/>
        </w:rPr>
        <w:t>：</w:t>
      </w:r>
      <w:r>
        <w:rPr>
          <w:szCs w:val="21"/>
        </w:rPr>
        <w:t>00</w:t>
      </w:r>
      <w:r>
        <w:rPr>
          <w:szCs w:val="21"/>
        </w:rPr>
        <w:t>，</w:t>
      </w:r>
      <w:r>
        <w:rPr>
          <w:szCs w:val="21"/>
        </w:rPr>
        <w:t>8</w:t>
      </w:r>
      <w:r>
        <w:rPr>
          <w:szCs w:val="21"/>
        </w:rPr>
        <w:t>：</w:t>
      </w:r>
      <w:r>
        <w:rPr>
          <w:szCs w:val="21"/>
        </w:rPr>
        <w:t>00</w:t>
      </w:r>
      <w:r>
        <w:rPr>
          <w:szCs w:val="21"/>
        </w:rPr>
        <w:t>，</w:t>
      </w:r>
      <w:r>
        <w:rPr>
          <w:szCs w:val="21"/>
        </w:rPr>
        <w:t>12</w:t>
      </w:r>
      <w:r>
        <w:rPr>
          <w:szCs w:val="21"/>
        </w:rPr>
        <w:t>：</w:t>
      </w:r>
      <w:r>
        <w:rPr>
          <w:szCs w:val="21"/>
        </w:rPr>
        <w:t>00</w:t>
      </w:r>
      <w:r>
        <w:rPr>
          <w:szCs w:val="21"/>
        </w:rPr>
        <w:t>，</w:t>
      </w:r>
      <w:r>
        <w:rPr>
          <w:szCs w:val="21"/>
        </w:rPr>
        <w:t>14</w:t>
      </w:r>
      <w:r>
        <w:rPr>
          <w:szCs w:val="21"/>
        </w:rPr>
        <w:t>：</w:t>
      </w:r>
      <w:r>
        <w:rPr>
          <w:szCs w:val="21"/>
        </w:rPr>
        <w:t>00</w:t>
      </w:r>
      <w:r>
        <w:rPr>
          <w:szCs w:val="21"/>
        </w:rPr>
        <w:t>，</w:t>
      </w:r>
      <w:r>
        <w:rPr>
          <w:szCs w:val="21"/>
        </w:rPr>
        <w:t>16</w:t>
      </w:r>
      <w:r>
        <w:rPr>
          <w:szCs w:val="21"/>
        </w:rPr>
        <w:t>：</w:t>
      </w:r>
      <w:r>
        <w:rPr>
          <w:szCs w:val="21"/>
        </w:rPr>
        <w:t>00</w:t>
      </w:r>
      <w:r>
        <w:rPr>
          <w:szCs w:val="21"/>
        </w:rPr>
        <w:t>，</w:t>
      </w:r>
      <w:r>
        <w:rPr>
          <w:szCs w:val="21"/>
        </w:rPr>
        <w:t>18</w:t>
      </w:r>
      <w:r>
        <w:rPr>
          <w:szCs w:val="21"/>
        </w:rPr>
        <w:t>：</w:t>
      </w:r>
      <w:r>
        <w:rPr>
          <w:szCs w:val="21"/>
        </w:rPr>
        <w:t>00</w:t>
      </w:r>
      <w:r>
        <w:rPr>
          <w:szCs w:val="21"/>
        </w:rPr>
        <w:t>共测</w:t>
      </w:r>
      <w:r>
        <w:rPr>
          <w:szCs w:val="21"/>
        </w:rPr>
        <w:t>11</w:t>
      </w:r>
      <w:r>
        <w:rPr>
          <w:szCs w:val="21"/>
        </w:rPr>
        <w:t>次，但设施揭盖前后最好各测一次。</w:t>
      </w:r>
    </w:p>
    <w:p w14:paraId="4B80113E" w14:textId="77777777" w:rsidR="00F5289E" w:rsidRDefault="00C91173">
      <w:pPr>
        <w:spacing w:line="360" w:lineRule="auto"/>
        <w:rPr>
          <w:b/>
          <w:szCs w:val="21"/>
        </w:rPr>
      </w:pPr>
      <w:r>
        <w:rPr>
          <w:b/>
          <w:szCs w:val="21"/>
        </w:rPr>
        <w:t>3.1.3</w:t>
      </w:r>
      <w:r>
        <w:rPr>
          <w:b/>
          <w:szCs w:val="21"/>
        </w:rPr>
        <w:t>观测值</w:t>
      </w:r>
    </w:p>
    <w:p w14:paraId="0B225DF4" w14:textId="77777777" w:rsidR="00F5289E" w:rsidRDefault="00C91173">
      <w:pPr>
        <w:spacing w:line="360" w:lineRule="auto"/>
        <w:rPr>
          <w:szCs w:val="21"/>
        </w:rPr>
      </w:pPr>
      <w:r>
        <w:rPr>
          <w:szCs w:val="21"/>
        </w:rPr>
        <w:t xml:space="preserve">    </w:t>
      </w:r>
      <w:r>
        <w:rPr>
          <w:szCs w:val="21"/>
        </w:rPr>
        <w:t>读取每组测一个项目，按每个水平测点顺序往返两次，同一点自上而下、自下而上也往返两次，取两次观测平均值。</w:t>
      </w:r>
    </w:p>
    <w:p w14:paraId="407B18BB" w14:textId="77777777" w:rsidR="00F5289E" w:rsidRDefault="00C91173">
      <w:pPr>
        <w:spacing w:line="360" w:lineRule="auto"/>
        <w:rPr>
          <w:b/>
          <w:szCs w:val="21"/>
        </w:rPr>
      </w:pPr>
      <w:r>
        <w:rPr>
          <w:b/>
          <w:szCs w:val="21"/>
        </w:rPr>
        <w:t>3.1.4</w:t>
      </w:r>
      <w:r>
        <w:rPr>
          <w:b/>
          <w:szCs w:val="21"/>
        </w:rPr>
        <w:t>注意事项</w:t>
      </w:r>
      <w:r>
        <w:rPr>
          <w:b/>
          <w:szCs w:val="21"/>
        </w:rPr>
        <w:t xml:space="preserve">  </w:t>
      </w:r>
    </w:p>
    <w:p w14:paraId="4D709586" w14:textId="77777777" w:rsidR="00F5289E" w:rsidRDefault="00C91173">
      <w:pPr>
        <w:spacing w:line="360" w:lineRule="auto"/>
        <w:rPr>
          <w:szCs w:val="21"/>
        </w:rPr>
      </w:pPr>
      <w:r>
        <w:rPr>
          <w:rFonts w:ascii="Cambria Math" w:hAnsi="Cambria Math" w:cs="Cambria Math"/>
          <w:szCs w:val="21"/>
        </w:rPr>
        <w:t>①</w:t>
      </w:r>
      <w:r>
        <w:rPr>
          <w:szCs w:val="21"/>
        </w:rPr>
        <w:t>测定前先画好记载表。</w:t>
      </w:r>
    </w:p>
    <w:p w14:paraId="73251C7A" w14:textId="77777777" w:rsidR="00F5289E" w:rsidRDefault="00C91173">
      <w:pPr>
        <w:spacing w:line="360" w:lineRule="auto"/>
        <w:rPr>
          <w:szCs w:val="21"/>
        </w:rPr>
      </w:pPr>
      <w:r>
        <w:rPr>
          <w:rFonts w:ascii="Cambria Math" w:hAnsi="Cambria Math" w:cs="Cambria Math"/>
          <w:szCs w:val="21"/>
        </w:rPr>
        <w:t>②</w:t>
      </w:r>
      <w:r>
        <w:rPr>
          <w:szCs w:val="21"/>
        </w:rPr>
        <w:t>测量仪器放置要远离加温设备。</w:t>
      </w:r>
    </w:p>
    <w:p w14:paraId="71C27C9D" w14:textId="77777777" w:rsidR="00F5289E" w:rsidRDefault="00C91173">
      <w:pPr>
        <w:spacing w:line="360" w:lineRule="auto"/>
        <w:rPr>
          <w:szCs w:val="21"/>
        </w:rPr>
      </w:pPr>
      <w:r>
        <w:rPr>
          <w:rFonts w:ascii="Cambria Math" w:hAnsi="Cambria Math" w:cs="Cambria Math"/>
          <w:szCs w:val="21"/>
        </w:rPr>
        <w:t>③</w:t>
      </w:r>
      <w:r>
        <w:rPr>
          <w:szCs w:val="21"/>
        </w:rPr>
        <w:t>仪器安装好以后必须校正和预测一次，没问题后再进行正式测定。</w:t>
      </w:r>
    </w:p>
    <w:p w14:paraId="4D337C75" w14:textId="77777777" w:rsidR="00F5289E" w:rsidRDefault="00C91173">
      <w:pPr>
        <w:spacing w:line="360" w:lineRule="auto"/>
        <w:rPr>
          <w:szCs w:val="21"/>
        </w:rPr>
      </w:pPr>
      <w:r>
        <w:rPr>
          <w:rFonts w:ascii="Cambria Math" w:hAnsi="Cambria Math" w:cs="Cambria Math"/>
          <w:szCs w:val="21"/>
        </w:rPr>
        <w:t>④</w:t>
      </w:r>
      <w:r>
        <w:rPr>
          <w:szCs w:val="21"/>
        </w:rPr>
        <w:t>测完后一定要校对数据，发现错误及时更正。</w:t>
      </w:r>
    </w:p>
    <w:p w14:paraId="4B3A8439" w14:textId="77777777" w:rsidR="00F5289E" w:rsidRDefault="00C91173">
      <w:pPr>
        <w:widowControl/>
        <w:spacing w:line="360" w:lineRule="auto"/>
        <w:rPr>
          <w:b/>
          <w:bCs/>
          <w:szCs w:val="21"/>
        </w:rPr>
      </w:pPr>
      <w:r>
        <w:rPr>
          <w:b/>
          <w:bCs/>
          <w:szCs w:val="21"/>
        </w:rPr>
        <w:t xml:space="preserve">3.2 </w:t>
      </w:r>
      <w:r>
        <w:rPr>
          <w:b/>
          <w:bCs/>
          <w:szCs w:val="21"/>
        </w:rPr>
        <w:t>作业与思考题</w:t>
      </w:r>
    </w:p>
    <w:p w14:paraId="1EEF51E1" w14:textId="77777777" w:rsidR="00F5289E" w:rsidRDefault="00C91173">
      <w:pPr>
        <w:spacing w:line="360" w:lineRule="auto"/>
        <w:rPr>
          <w:b/>
          <w:bCs/>
          <w:szCs w:val="21"/>
        </w:rPr>
      </w:pPr>
      <w:r>
        <w:rPr>
          <w:b/>
          <w:bCs/>
          <w:szCs w:val="21"/>
        </w:rPr>
        <w:t>3.2.1</w:t>
      </w:r>
      <w:r>
        <w:rPr>
          <w:b/>
          <w:bCs/>
          <w:szCs w:val="21"/>
        </w:rPr>
        <w:t>作业</w:t>
      </w:r>
    </w:p>
    <w:p w14:paraId="5E24F00A" w14:textId="77777777" w:rsidR="00F5289E" w:rsidRDefault="00C91173">
      <w:pPr>
        <w:spacing w:line="360" w:lineRule="auto"/>
        <w:rPr>
          <w:szCs w:val="21"/>
        </w:rPr>
      </w:pPr>
      <w:r>
        <w:rPr>
          <w:szCs w:val="21"/>
        </w:rPr>
        <w:t>绘出所选择的测量点，将三次观测数据的平均值填入设施内温度记录表。</w:t>
      </w:r>
    </w:p>
    <w:p w14:paraId="4A199E87" w14:textId="77777777" w:rsidR="00F5289E" w:rsidRDefault="00C91173">
      <w:pPr>
        <w:spacing w:line="440" w:lineRule="exact"/>
        <w:jc w:val="center"/>
        <w:rPr>
          <w:szCs w:val="21"/>
        </w:rPr>
      </w:pPr>
      <w:r>
        <w:rPr>
          <w:szCs w:val="21"/>
        </w:rPr>
        <w:t>表</w:t>
      </w:r>
      <w:r>
        <w:rPr>
          <w:szCs w:val="21"/>
        </w:rPr>
        <w:t xml:space="preserve">1 </w:t>
      </w:r>
      <w:r>
        <w:rPr>
          <w:szCs w:val="21"/>
        </w:rPr>
        <w:t>设施环境记录表</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
        <w:gridCol w:w="1268"/>
        <w:gridCol w:w="1434"/>
        <w:gridCol w:w="1184"/>
        <w:gridCol w:w="1184"/>
        <w:gridCol w:w="1417"/>
        <w:gridCol w:w="1630"/>
      </w:tblGrid>
      <w:tr w:rsidR="00F5289E" w14:paraId="597286BC" w14:textId="77777777">
        <w:trPr>
          <w:trHeight w:val="344"/>
          <w:jc w:val="center"/>
        </w:trPr>
        <w:tc>
          <w:tcPr>
            <w:tcW w:w="830" w:type="dxa"/>
            <w:vMerge w:val="restart"/>
            <w:vAlign w:val="center"/>
          </w:tcPr>
          <w:p w14:paraId="53E3744A" w14:textId="77777777" w:rsidR="00F5289E" w:rsidRDefault="00C91173">
            <w:pPr>
              <w:spacing w:line="440" w:lineRule="exact"/>
              <w:jc w:val="center"/>
              <w:rPr>
                <w:sz w:val="18"/>
                <w:szCs w:val="18"/>
              </w:rPr>
            </w:pPr>
            <w:r>
              <w:rPr>
                <w:sz w:val="18"/>
                <w:szCs w:val="18"/>
              </w:rPr>
              <w:t>项目</w:t>
            </w:r>
          </w:p>
        </w:tc>
        <w:tc>
          <w:tcPr>
            <w:tcW w:w="6487" w:type="dxa"/>
            <w:gridSpan w:val="5"/>
            <w:tcBorders>
              <w:bottom w:val="nil"/>
              <w:right w:val="single" w:sz="4" w:space="0" w:color="auto"/>
            </w:tcBorders>
            <w:vAlign w:val="center"/>
          </w:tcPr>
          <w:p w14:paraId="57F10D27" w14:textId="77777777" w:rsidR="00F5289E" w:rsidRDefault="00C91173">
            <w:pPr>
              <w:spacing w:line="440" w:lineRule="exact"/>
              <w:jc w:val="center"/>
              <w:rPr>
                <w:sz w:val="18"/>
                <w:szCs w:val="18"/>
              </w:rPr>
            </w:pPr>
            <w:r>
              <w:rPr>
                <w:sz w:val="18"/>
                <w:szCs w:val="18"/>
              </w:rPr>
              <w:t>测量值（取三次结果的平均值）</w:t>
            </w:r>
          </w:p>
        </w:tc>
        <w:tc>
          <w:tcPr>
            <w:tcW w:w="1630" w:type="dxa"/>
            <w:vMerge w:val="restart"/>
            <w:tcBorders>
              <w:left w:val="single" w:sz="4" w:space="0" w:color="auto"/>
              <w:right w:val="single" w:sz="4" w:space="0" w:color="auto"/>
            </w:tcBorders>
            <w:vAlign w:val="center"/>
          </w:tcPr>
          <w:p w14:paraId="55927BF1" w14:textId="77777777" w:rsidR="00F5289E" w:rsidRDefault="00C91173">
            <w:pPr>
              <w:spacing w:line="440" w:lineRule="exact"/>
              <w:jc w:val="center"/>
              <w:rPr>
                <w:sz w:val="18"/>
                <w:szCs w:val="18"/>
              </w:rPr>
            </w:pPr>
            <w:r>
              <w:rPr>
                <w:sz w:val="18"/>
                <w:szCs w:val="18"/>
              </w:rPr>
              <w:t>室外</w:t>
            </w:r>
          </w:p>
          <w:p w14:paraId="6FA9A02B" w14:textId="77777777" w:rsidR="00F5289E" w:rsidRDefault="00C91173">
            <w:pPr>
              <w:spacing w:line="440" w:lineRule="exact"/>
              <w:jc w:val="center"/>
              <w:rPr>
                <w:sz w:val="18"/>
                <w:szCs w:val="18"/>
              </w:rPr>
            </w:pPr>
            <w:r>
              <w:rPr>
                <w:sz w:val="18"/>
                <w:szCs w:val="18"/>
              </w:rPr>
              <w:t>（三次平均值）</w:t>
            </w:r>
          </w:p>
        </w:tc>
      </w:tr>
      <w:tr w:rsidR="00F5289E" w14:paraId="4ED854F8" w14:textId="77777777">
        <w:trPr>
          <w:trHeight w:val="308"/>
          <w:jc w:val="center"/>
        </w:trPr>
        <w:tc>
          <w:tcPr>
            <w:tcW w:w="830" w:type="dxa"/>
            <w:vMerge/>
            <w:tcBorders>
              <w:bottom w:val="single" w:sz="4" w:space="0" w:color="auto"/>
            </w:tcBorders>
            <w:vAlign w:val="center"/>
          </w:tcPr>
          <w:p w14:paraId="19A7B08B" w14:textId="77777777" w:rsidR="00F5289E" w:rsidRDefault="00F5289E">
            <w:pPr>
              <w:spacing w:line="440" w:lineRule="exact"/>
              <w:jc w:val="center"/>
              <w:rPr>
                <w:sz w:val="18"/>
                <w:szCs w:val="18"/>
              </w:rPr>
            </w:pPr>
          </w:p>
        </w:tc>
        <w:tc>
          <w:tcPr>
            <w:tcW w:w="1268" w:type="dxa"/>
            <w:tcBorders>
              <w:top w:val="single" w:sz="4" w:space="0" w:color="auto"/>
              <w:bottom w:val="single" w:sz="4" w:space="0" w:color="auto"/>
              <w:right w:val="single" w:sz="4" w:space="0" w:color="auto"/>
            </w:tcBorders>
            <w:vAlign w:val="center"/>
          </w:tcPr>
          <w:p w14:paraId="512C7A98" w14:textId="77777777" w:rsidR="00F5289E" w:rsidRDefault="00C91173">
            <w:pPr>
              <w:spacing w:line="440" w:lineRule="exact"/>
              <w:rPr>
                <w:sz w:val="18"/>
                <w:szCs w:val="18"/>
              </w:rPr>
            </w:pPr>
            <w:r>
              <w:rPr>
                <w:sz w:val="18"/>
                <w:szCs w:val="18"/>
              </w:rPr>
              <w:t>测量点</w:t>
            </w:r>
            <w:r>
              <w:rPr>
                <w:sz w:val="18"/>
                <w:szCs w:val="18"/>
              </w:rPr>
              <w:t>1</w:t>
            </w:r>
          </w:p>
        </w:tc>
        <w:tc>
          <w:tcPr>
            <w:tcW w:w="1434" w:type="dxa"/>
            <w:tcBorders>
              <w:top w:val="single" w:sz="4" w:space="0" w:color="auto"/>
              <w:bottom w:val="single" w:sz="4" w:space="0" w:color="auto"/>
              <w:right w:val="single" w:sz="4" w:space="0" w:color="auto"/>
            </w:tcBorders>
            <w:vAlign w:val="center"/>
          </w:tcPr>
          <w:p w14:paraId="3267F89B" w14:textId="77777777" w:rsidR="00F5289E" w:rsidRDefault="00C91173">
            <w:pPr>
              <w:spacing w:line="440" w:lineRule="exact"/>
              <w:jc w:val="center"/>
              <w:rPr>
                <w:sz w:val="18"/>
                <w:szCs w:val="18"/>
              </w:rPr>
            </w:pPr>
            <w:r>
              <w:rPr>
                <w:sz w:val="18"/>
                <w:szCs w:val="18"/>
              </w:rPr>
              <w:t>测量点</w:t>
            </w:r>
            <w:r>
              <w:rPr>
                <w:sz w:val="18"/>
                <w:szCs w:val="18"/>
              </w:rPr>
              <w:t>2</w:t>
            </w:r>
          </w:p>
        </w:tc>
        <w:tc>
          <w:tcPr>
            <w:tcW w:w="1184" w:type="dxa"/>
            <w:tcBorders>
              <w:top w:val="single" w:sz="4" w:space="0" w:color="auto"/>
              <w:bottom w:val="single" w:sz="4" w:space="0" w:color="auto"/>
              <w:right w:val="single" w:sz="4" w:space="0" w:color="auto"/>
            </w:tcBorders>
            <w:vAlign w:val="center"/>
          </w:tcPr>
          <w:p w14:paraId="59B90E8D" w14:textId="77777777" w:rsidR="00F5289E" w:rsidRDefault="00C91173">
            <w:pPr>
              <w:spacing w:line="440" w:lineRule="exact"/>
              <w:jc w:val="center"/>
              <w:rPr>
                <w:sz w:val="18"/>
                <w:szCs w:val="18"/>
              </w:rPr>
            </w:pPr>
            <w:r>
              <w:rPr>
                <w:sz w:val="18"/>
                <w:szCs w:val="18"/>
              </w:rPr>
              <w:t>测量点</w:t>
            </w:r>
            <w:r>
              <w:rPr>
                <w:sz w:val="18"/>
                <w:szCs w:val="18"/>
              </w:rPr>
              <w:t>3</w:t>
            </w:r>
          </w:p>
        </w:tc>
        <w:tc>
          <w:tcPr>
            <w:tcW w:w="1184" w:type="dxa"/>
            <w:tcBorders>
              <w:top w:val="single" w:sz="4" w:space="0" w:color="auto"/>
              <w:bottom w:val="single" w:sz="4" w:space="0" w:color="auto"/>
              <w:right w:val="single" w:sz="4" w:space="0" w:color="auto"/>
            </w:tcBorders>
            <w:vAlign w:val="center"/>
          </w:tcPr>
          <w:p w14:paraId="2B701290" w14:textId="77777777" w:rsidR="00F5289E" w:rsidRDefault="00C91173">
            <w:pPr>
              <w:spacing w:line="440" w:lineRule="exact"/>
              <w:jc w:val="center"/>
              <w:rPr>
                <w:sz w:val="18"/>
                <w:szCs w:val="18"/>
              </w:rPr>
            </w:pPr>
            <w:r>
              <w:rPr>
                <w:sz w:val="18"/>
                <w:szCs w:val="18"/>
              </w:rPr>
              <w:t>测量点</w:t>
            </w:r>
            <w:r>
              <w:rPr>
                <w:sz w:val="18"/>
                <w:szCs w:val="18"/>
              </w:rPr>
              <w:t>4</w:t>
            </w:r>
          </w:p>
        </w:tc>
        <w:tc>
          <w:tcPr>
            <w:tcW w:w="1417" w:type="dxa"/>
            <w:tcBorders>
              <w:bottom w:val="single" w:sz="4" w:space="0" w:color="000000"/>
              <w:right w:val="single" w:sz="4" w:space="0" w:color="auto"/>
            </w:tcBorders>
          </w:tcPr>
          <w:p w14:paraId="0584E1E7" w14:textId="77777777" w:rsidR="00F5289E" w:rsidRDefault="00C91173">
            <w:pPr>
              <w:spacing w:line="440" w:lineRule="exact"/>
              <w:ind w:firstLineChars="100" w:firstLine="180"/>
              <w:rPr>
                <w:sz w:val="18"/>
                <w:szCs w:val="18"/>
              </w:rPr>
            </w:pPr>
            <w:r>
              <w:rPr>
                <w:sz w:val="18"/>
                <w:szCs w:val="18"/>
              </w:rPr>
              <w:t>测量点</w:t>
            </w:r>
            <w:r>
              <w:rPr>
                <w:sz w:val="18"/>
                <w:szCs w:val="18"/>
              </w:rPr>
              <w:t>5</w:t>
            </w:r>
          </w:p>
        </w:tc>
        <w:tc>
          <w:tcPr>
            <w:tcW w:w="1630" w:type="dxa"/>
            <w:vMerge/>
            <w:tcBorders>
              <w:left w:val="single" w:sz="4" w:space="0" w:color="auto"/>
              <w:right w:val="single" w:sz="4" w:space="0" w:color="auto"/>
            </w:tcBorders>
            <w:vAlign w:val="center"/>
          </w:tcPr>
          <w:p w14:paraId="55DB0840" w14:textId="77777777" w:rsidR="00F5289E" w:rsidRDefault="00F5289E">
            <w:pPr>
              <w:spacing w:line="440" w:lineRule="exact"/>
              <w:rPr>
                <w:sz w:val="18"/>
                <w:szCs w:val="18"/>
              </w:rPr>
            </w:pPr>
          </w:p>
        </w:tc>
      </w:tr>
      <w:tr w:rsidR="00F5289E" w14:paraId="03963EE7" w14:textId="77777777">
        <w:trPr>
          <w:trHeight w:val="399"/>
          <w:jc w:val="center"/>
        </w:trPr>
        <w:tc>
          <w:tcPr>
            <w:tcW w:w="830" w:type="dxa"/>
            <w:vAlign w:val="center"/>
          </w:tcPr>
          <w:p w14:paraId="5C408024" w14:textId="77777777" w:rsidR="00F5289E" w:rsidRDefault="00C91173">
            <w:pPr>
              <w:spacing w:line="440" w:lineRule="exact"/>
              <w:jc w:val="center"/>
              <w:rPr>
                <w:sz w:val="18"/>
                <w:szCs w:val="18"/>
              </w:rPr>
            </w:pPr>
            <w:r>
              <w:rPr>
                <w:sz w:val="18"/>
                <w:szCs w:val="18"/>
              </w:rPr>
              <w:t>温度</w:t>
            </w:r>
            <w:r>
              <w:rPr>
                <w:sz w:val="18"/>
                <w:szCs w:val="18"/>
              </w:rPr>
              <w:t>℃</w:t>
            </w:r>
          </w:p>
        </w:tc>
        <w:tc>
          <w:tcPr>
            <w:tcW w:w="1268" w:type="dxa"/>
            <w:tcBorders>
              <w:right w:val="single" w:sz="4" w:space="0" w:color="auto"/>
            </w:tcBorders>
            <w:vAlign w:val="center"/>
          </w:tcPr>
          <w:p w14:paraId="3180BAF2" w14:textId="77777777" w:rsidR="00F5289E" w:rsidRDefault="00F5289E">
            <w:pPr>
              <w:spacing w:line="440" w:lineRule="exact"/>
              <w:jc w:val="center"/>
              <w:rPr>
                <w:sz w:val="18"/>
                <w:szCs w:val="18"/>
              </w:rPr>
            </w:pPr>
          </w:p>
        </w:tc>
        <w:tc>
          <w:tcPr>
            <w:tcW w:w="1434" w:type="dxa"/>
            <w:tcBorders>
              <w:left w:val="single" w:sz="4" w:space="0" w:color="auto"/>
              <w:right w:val="single" w:sz="4" w:space="0" w:color="auto"/>
            </w:tcBorders>
            <w:vAlign w:val="center"/>
          </w:tcPr>
          <w:p w14:paraId="3290B5E6" w14:textId="77777777" w:rsidR="00F5289E" w:rsidRDefault="00F5289E">
            <w:pPr>
              <w:spacing w:line="440" w:lineRule="exact"/>
              <w:jc w:val="center"/>
              <w:rPr>
                <w:sz w:val="18"/>
                <w:szCs w:val="18"/>
              </w:rPr>
            </w:pPr>
          </w:p>
        </w:tc>
        <w:tc>
          <w:tcPr>
            <w:tcW w:w="1184" w:type="dxa"/>
            <w:tcBorders>
              <w:top w:val="nil"/>
              <w:left w:val="single" w:sz="4" w:space="0" w:color="auto"/>
              <w:right w:val="single" w:sz="4" w:space="0" w:color="auto"/>
            </w:tcBorders>
            <w:vAlign w:val="center"/>
          </w:tcPr>
          <w:p w14:paraId="749F062D" w14:textId="77777777" w:rsidR="00F5289E" w:rsidRDefault="00F5289E">
            <w:pPr>
              <w:spacing w:line="440" w:lineRule="exact"/>
              <w:jc w:val="center"/>
              <w:rPr>
                <w:sz w:val="18"/>
                <w:szCs w:val="18"/>
              </w:rPr>
            </w:pPr>
          </w:p>
        </w:tc>
        <w:tc>
          <w:tcPr>
            <w:tcW w:w="1184" w:type="dxa"/>
            <w:tcBorders>
              <w:top w:val="nil"/>
              <w:left w:val="single" w:sz="4" w:space="0" w:color="auto"/>
            </w:tcBorders>
            <w:vAlign w:val="center"/>
          </w:tcPr>
          <w:p w14:paraId="13BCF372" w14:textId="77777777" w:rsidR="00F5289E" w:rsidRDefault="00F5289E">
            <w:pPr>
              <w:spacing w:line="440" w:lineRule="exact"/>
              <w:jc w:val="center"/>
              <w:rPr>
                <w:sz w:val="18"/>
                <w:szCs w:val="18"/>
              </w:rPr>
            </w:pPr>
          </w:p>
        </w:tc>
        <w:tc>
          <w:tcPr>
            <w:tcW w:w="1417" w:type="dxa"/>
            <w:tcBorders>
              <w:top w:val="nil"/>
              <w:right w:val="single" w:sz="4" w:space="0" w:color="auto"/>
            </w:tcBorders>
          </w:tcPr>
          <w:p w14:paraId="52D42312" w14:textId="77777777" w:rsidR="00F5289E" w:rsidRDefault="00F5289E">
            <w:pPr>
              <w:spacing w:line="440" w:lineRule="exact"/>
              <w:jc w:val="center"/>
              <w:rPr>
                <w:sz w:val="18"/>
                <w:szCs w:val="18"/>
              </w:rPr>
            </w:pPr>
          </w:p>
        </w:tc>
        <w:tc>
          <w:tcPr>
            <w:tcW w:w="1630" w:type="dxa"/>
            <w:tcBorders>
              <w:top w:val="single" w:sz="4" w:space="0" w:color="auto"/>
              <w:left w:val="single" w:sz="4" w:space="0" w:color="auto"/>
              <w:right w:val="single" w:sz="4" w:space="0" w:color="auto"/>
            </w:tcBorders>
            <w:vAlign w:val="center"/>
          </w:tcPr>
          <w:p w14:paraId="2F524E65" w14:textId="77777777" w:rsidR="00F5289E" w:rsidRDefault="00F5289E">
            <w:pPr>
              <w:spacing w:line="440" w:lineRule="exact"/>
              <w:jc w:val="center"/>
              <w:rPr>
                <w:sz w:val="18"/>
                <w:szCs w:val="18"/>
              </w:rPr>
            </w:pPr>
          </w:p>
        </w:tc>
      </w:tr>
    </w:tbl>
    <w:p w14:paraId="35F7DEF6" w14:textId="77777777" w:rsidR="00F5289E" w:rsidRDefault="00F5289E">
      <w:pPr>
        <w:spacing w:line="360" w:lineRule="auto"/>
        <w:rPr>
          <w:b/>
          <w:bCs/>
          <w:szCs w:val="21"/>
        </w:rPr>
      </w:pPr>
    </w:p>
    <w:p w14:paraId="0131624E" w14:textId="77777777" w:rsidR="00F5289E" w:rsidRDefault="00C91173">
      <w:pPr>
        <w:spacing w:line="360" w:lineRule="auto"/>
        <w:rPr>
          <w:szCs w:val="21"/>
        </w:rPr>
      </w:pPr>
      <w:r>
        <w:rPr>
          <w:b/>
          <w:bCs/>
          <w:szCs w:val="21"/>
        </w:rPr>
        <w:t>3.2.2</w:t>
      </w:r>
      <w:r>
        <w:rPr>
          <w:b/>
          <w:bCs/>
          <w:szCs w:val="21"/>
        </w:rPr>
        <w:t>思考题</w:t>
      </w:r>
    </w:p>
    <w:p w14:paraId="5E950321" w14:textId="77777777" w:rsidR="00F5289E" w:rsidRDefault="00C91173">
      <w:pPr>
        <w:spacing w:line="360" w:lineRule="auto"/>
        <w:rPr>
          <w:szCs w:val="21"/>
        </w:rPr>
      </w:pPr>
      <w:r>
        <w:rPr>
          <w:szCs w:val="21"/>
        </w:rPr>
        <w:t>分析设施内外温度（气温和地温）的变化规律，并阐述产生这种现象的原因。</w:t>
      </w:r>
    </w:p>
    <w:p w14:paraId="15A5FD0E" w14:textId="77777777" w:rsidR="00F5289E" w:rsidRDefault="00C91173" w:rsidP="00A115EF">
      <w:pPr>
        <w:numPr>
          <w:ilvl w:val="0"/>
          <w:numId w:val="15"/>
        </w:numPr>
        <w:spacing w:line="360" w:lineRule="auto"/>
        <w:rPr>
          <w:b/>
          <w:szCs w:val="21"/>
        </w:rPr>
      </w:pPr>
      <w:r>
        <w:rPr>
          <w:b/>
          <w:szCs w:val="21"/>
        </w:rPr>
        <w:t>实验要求：</w:t>
      </w:r>
    </w:p>
    <w:p w14:paraId="1BE9CEE4" w14:textId="77777777" w:rsidR="00F5289E" w:rsidRDefault="00C91173">
      <w:pPr>
        <w:spacing w:line="360" w:lineRule="auto"/>
        <w:rPr>
          <w:bCs/>
          <w:szCs w:val="21"/>
        </w:rPr>
      </w:pPr>
      <w:r>
        <w:rPr>
          <w:szCs w:val="21"/>
        </w:rPr>
        <w:t>要求学会设施内温度的观测方法和测定仪器的使用。</w:t>
      </w:r>
    </w:p>
    <w:p w14:paraId="73B2BB45" w14:textId="77777777" w:rsidR="00F5289E" w:rsidRDefault="00C91173" w:rsidP="00A115EF">
      <w:pPr>
        <w:numPr>
          <w:ilvl w:val="0"/>
          <w:numId w:val="15"/>
        </w:numPr>
        <w:spacing w:line="360" w:lineRule="auto"/>
        <w:rPr>
          <w:b/>
          <w:szCs w:val="21"/>
        </w:rPr>
      </w:pPr>
      <w:r>
        <w:rPr>
          <w:b/>
          <w:szCs w:val="21"/>
        </w:rPr>
        <w:t>实验设备及器材：</w:t>
      </w:r>
    </w:p>
    <w:p w14:paraId="2AC739FB" w14:textId="77777777" w:rsidR="00F5289E" w:rsidRDefault="00C91173">
      <w:pPr>
        <w:spacing w:line="360" w:lineRule="auto"/>
        <w:rPr>
          <w:szCs w:val="21"/>
        </w:rPr>
      </w:pPr>
      <w:r>
        <w:rPr>
          <w:rFonts w:ascii="Cambria Math" w:hAnsi="Cambria Math" w:cs="Cambria Math"/>
          <w:szCs w:val="21"/>
        </w:rPr>
        <w:t>①</w:t>
      </w:r>
      <w:r>
        <w:rPr>
          <w:szCs w:val="21"/>
        </w:rPr>
        <w:t>空气温湿度：</w:t>
      </w:r>
      <w:r>
        <w:rPr>
          <w:szCs w:val="21"/>
          <w:u w:val="single"/>
        </w:rPr>
        <w:t>干湿球温度表</w:t>
      </w:r>
      <w:r>
        <w:rPr>
          <w:szCs w:val="21"/>
        </w:rPr>
        <w:t>、</w:t>
      </w:r>
      <w:r>
        <w:rPr>
          <w:szCs w:val="21"/>
          <w:u w:val="single"/>
        </w:rPr>
        <w:t>最高最低温度表</w:t>
      </w:r>
      <w:r>
        <w:rPr>
          <w:szCs w:val="21"/>
        </w:rPr>
        <w:t>（最好用自动记录的温湿度表）</w:t>
      </w:r>
    </w:p>
    <w:p w14:paraId="38082C06" w14:textId="77777777" w:rsidR="00F5289E" w:rsidRDefault="00C91173">
      <w:pPr>
        <w:spacing w:line="360" w:lineRule="auto"/>
        <w:rPr>
          <w:b/>
          <w:szCs w:val="21"/>
        </w:rPr>
      </w:pPr>
      <w:r>
        <w:rPr>
          <w:rFonts w:ascii="Cambria Math" w:hAnsi="Cambria Math" w:cs="Cambria Math"/>
          <w:szCs w:val="21"/>
        </w:rPr>
        <w:lastRenderedPageBreak/>
        <w:t>②</w:t>
      </w:r>
      <w:r>
        <w:rPr>
          <w:szCs w:val="21"/>
        </w:rPr>
        <w:t>土温：</w:t>
      </w:r>
      <w:r>
        <w:rPr>
          <w:szCs w:val="21"/>
          <w:u w:val="single"/>
        </w:rPr>
        <w:t>曲管地温表</w:t>
      </w:r>
      <w:r>
        <w:rPr>
          <w:szCs w:val="21"/>
        </w:rPr>
        <w:t>（</w:t>
      </w:r>
      <w:r>
        <w:rPr>
          <w:szCs w:val="21"/>
        </w:rPr>
        <w:t>5</w:t>
      </w:r>
      <w:r>
        <w:rPr>
          <w:szCs w:val="21"/>
        </w:rPr>
        <w:t>、</w:t>
      </w:r>
      <w:r>
        <w:rPr>
          <w:szCs w:val="21"/>
        </w:rPr>
        <w:t>10</w:t>
      </w:r>
      <w:r>
        <w:rPr>
          <w:szCs w:val="21"/>
        </w:rPr>
        <w:t>、</w:t>
      </w:r>
      <w:r>
        <w:rPr>
          <w:szCs w:val="21"/>
        </w:rPr>
        <w:t>15</w:t>
      </w:r>
      <w:r>
        <w:rPr>
          <w:szCs w:val="21"/>
        </w:rPr>
        <w:t>、</w:t>
      </w:r>
      <w:r>
        <w:rPr>
          <w:szCs w:val="21"/>
        </w:rPr>
        <w:t>20cm</w:t>
      </w:r>
      <w:r>
        <w:rPr>
          <w:szCs w:val="21"/>
        </w:rPr>
        <w:t>）或热敏电阻地温表。</w:t>
      </w:r>
    </w:p>
    <w:p w14:paraId="2C8DB3DA" w14:textId="77777777" w:rsidR="00F5289E" w:rsidRDefault="00C91173">
      <w:pPr>
        <w:spacing w:line="360" w:lineRule="auto"/>
        <w:rPr>
          <w:szCs w:val="21"/>
        </w:rPr>
      </w:pPr>
      <w:r>
        <w:rPr>
          <w:b/>
          <w:szCs w:val="21"/>
        </w:rPr>
        <w:t>【实验三】</w:t>
      </w:r>
      <w:r>
        <w:rPr>
          <w:b/>
          <w:bCs/>
          <w:szCs w:val="21"/>
        </w:rPr>
        <w:t>设施内</w:t>
      </w:r>
      <w:r>
        <w:rPr>
          <w:rFonts w:hint="eastAsia"/>
          <w:b/>
          <w:bCs/>
          <w:szCs w:val="21"/>
        </w:rPr>
        <w:t>外</w:t>
      </w:r>
      <w:r>
        <w:rPr>
          <w:b/>
          <w:bCs/>
          <w:szCs w:val="21"/>
        </w:rPr>
        <w:t>湿度环境的观测</w:t>
      </w:r>
    </w:p>
    <w:p w14:paraId="53398B95" w14:textId="77777777" w:rsidR="00F5289E" w:rsidRDefault="00C91173">
      <w:pPr>
        <w:spacing w:line="360" w:lineRule="auto"/>
      </w:pPr>
      <w:r>
        <w:rPr>
          <w:b/>
          <w:szCs w:val="21"/>
        </w:rPr>
        <w:t>1.</w:t>
      </w:r>
      <w:r>
        <w:rPr>
          <w:b/>
          <w:szCs w:val="21"/>
        </w:rPr>
        <w:t>实验学时：</w:t>
      </w:r>
      <w:r>
        <w:rPr>
          <w:bCs/>
          <w:color w:val="000000"/>
        </w:rPr>
        <w:t>2</w:t>
      </w:r>
    </w:p>
    <w:p w14:paraId="61ACC7B7" w14:textId="77777777" w:rsidR="00F5289E" w:rsidRDefault="00C91173">
      <w:pPr>
        <w:spacing w:line="360" w:lineRule="auto"/>
        <w:rPr>
          <w:b/>
          <w:szCs w:val="21"/>
        </w:rPr>
      </w:pPr>
      <w:r>
        <w:rPr>
          <w:b/>
          <w:szCs w:val="21"/>
        </w:rPr>
        <w:t>2.</w:t>
      </w:r>
      <w:r>
        <w:rPr>
          <w:b/>
          <w:szCs w:val="21"/>
        </w:rPr>
        <w:t>实验目的：</w:t>
      </w:r>
      <w:r>
        <w:rPr>
          <w:szCs w:val="21"/>
        </w:rPr>
        <w:t xml:space="preserve"> </w:t>
      </w:r>
      <w:r>
        <w:rPr>
          <w:szCs w:val="21"/>
        </w:rPr>
        <w:t>通过对几种设施内外湿度进行观测，进一步掌握各种设施内湿度的变化规律。</w:t>
      </w:r>
    </w:p>
    <w:p w14:paraId="3C76A999" w14:textId="77777777" w:rsidR="00F5289E" w:rsidRDefault="00C91173">
      <w:pPr>
        <w:spacing w:line="360" w:lineRule="auto"/>
        <w:rPr>
          <w:b/>
          <w:szCs w:val="21"/>
        </w:rPr>
      </w:pPr>
      <w:r>
        <w:rPr>
          <w:b/>
          <w:szCs w:val="21"/>
        </w:rPr>
        <w:t>3.</w:t>
      </w:r>
      <w:r>
        <w:rPr>
          <w:b/>
          <w:szCs w:val="21"/>
        </w:rPr>
        <w:t>实验内容：</w:t>
      </w:r>
      <w:r>
        <w:rPr>
          <w:rFonts w:hint="eastAsia"/>
          <w:szCs w:val="21"/>
        </w:rPr>
        <w:t>温室和大棚内外</w:t>
      </w:r>
      <w:r>
        <w:rPr>
          <w:szCs w:val="21"/>
        </w:rPr>
        <w:t>湿度环境的观测</w:t>
      </w:r>
    </w:p>
    <w:p w14:paraId="2F551E90" w14:textId="77777777" w:rsidR="00F5289E" w:rsidRDefault="00C91173">
      <w:pPr>
        <w:widowControl/>
        <w:spacing w:line="360" w:lineRule="auto"/>
        <w:rPr>
          <w:b/>
          <w:szCs w:val="21"/>
        </w:rPr>
      </w:pPr>
      <w:r>
        <w:rPr>
          <w:b/>
          <w:bCs/>
          <w:szCs w:val="21"/>
        </w:rPr>
        <w:t>3.1</w:t>
      </w:r>
      <w:r>
        <w:rPr>
          <w:b/>
          <w:szCs w:val="21"/>
        </w:rPr>
        <w:t>实验</w:t>
      </w:r>
      <w:r>
        <w:rPr>
          <w:b/>
          <w:bCs/>
          <w:szCs w:val="21"/>
        </w:rPr>
        <w:t>方法和步骤</w:t>
      </w:r>
    </w:p>
    <w:p w14:paraId="6F8234D4" w14:textId="77777777" w:rsidR="00F5289E" w:rsidRDefault="00C91173">
      <w:pPr>
        <w:spacing w:line="360" w:lineRule="auto"/>
        <w:rPr>
          <w:b/>
          <w:szCs w:val="21"/>
        </w:rPr>
      </w:pPr>
      <w:r>
        <w:rPr>
          <w:b/>
          <w:szCs w:val="21"/>
        </w:rPr>
        <w:t>3.1.1</w:t>
      </w:r>
      <w:r>
        <w:rPr>
          <w:b/>
          <w:szCs w:val="21"/>
        </w:rPr>
        <w:t>观测点布置</w:t>
      </w:r>
      <w:r>
        <w:rPr>
          <w:b/>
          <w:szCs w:val="21"/>
        </w:rPr>
        <w:t xml:space="preserve">  </w:t>
      </w:r>
    </w:p>
    <w:p w14:paraId="7131A3E5" w14:textId="77777777" w:rsidR="00F5289E" w:rsidRDefault="00C91173">
      <w:pPr>
        <w:spacing w:line="360" w:lineRule="auto"/>
        <w:rPr>
          <w:b/>
          <w:szCs w:val="21"/>
        </w:rPr>
      </w:pPr>
      <w:r>
        <w:rPr>
          <w:szCs w:val="21"/>
        </w:rPr>
        <w:t>水平测点按图</w:t>
      </w:r>
      <w:r>
        <w:rPr>
          <w:szCs w:val="21"/>
        </w:rPr>
        <w:t>1</w:t>
      </w:r>
      <w:r>
        <w:rPr>
          <w:szCs w:val="21"/>
        </w:rPr>
        <w:t>所示：左边为设施内，一般布置</w:t>
      </w:r>
      <w:r>
        <w:rPr>
          <w:szCs w:val="21"/>
        </w:rPr>
        <w:t>9</w:t>
      </w:r>
      <w:r>
        <w:rPr>
          <w:szCs w:val="21"/>
        </w:rPr>
        <w:t>个观测点，其中</w:t>
      </w:r>
      <w:r>
        <w:rPr>
          <w:szCs w:val="21"/>
        </w:rPr>
        <w:t>5</w:t>
      </w:r>
      <w:r>
        <w:rPr>
          <w:szCs w:val="21"/>
        </w:rPr>
        <w:t>点位于设施中央，其余各点以</w:t>
      </w:r>
      <w:r>
        <w:rPr>
          <w:szCs w:val="21"/>
        </w:rPr>
        <w:t>5</w:t>
      </w:r>
      <w:r>
        <w:rPr>
          <w:szCs w:val="21"/>
        </w:rPr>
        <w:t>点为中心在四周均匀分布；右边为设施外，它与</w:t>
      </w:r>
      <w:r>
        <w:rPr>
          <w:szCs w:val="21"/>
        </w:rPr>
        <w:t>5</w:t>
      </w:r>
      <w:r>
        <w:rPr>
          <w:szCs w:val="21"/>
        </w:rPr>
        <w:t>点相对应。</w:t>
      </w:r>
    </w:p>
    <w:p w14:paraId="18698433" w14:textId="77777777" w:rsidR="00F5289E" w:rsidRDefault="00C91173">
      <w:pPr>
        <w:spacing w:line="360" w:lineRule="auto"/>
        <w:jc w:val="center"/>
        <w:rPr>
          <w:b/>
          <w:szCs w:val="21"/>
        </w:rPr>
      </w:pPr>
      <w:r>
        <w:rPr>
          <w:b/>
          <w:noProof/>
          <w:szCs w:val="21"/>
        </w:rPr>
        <w:drawing>
          <wp:inline distT="0" distB="0" distL="0" distR="0" wp14:anchorId="06A9FB9C" wp14:editId="422646BF">
            <wp:extent cx="2489200" cy="1478280"/>
            <wp:effectExtent l="0" t="0" r="0" b="0"/>
            <wp:docPr id="2" name="图片 3" descr="图片1"/>
            <wp:cNvGraphicFramePr/>
            <a:graphic xmlns:a="http://schemas.openxmlformats.org/drawingml/2006/main">
              <a:graphicData uri="http://schemas.openxmlformats.org/drawingml/2006/picture">
                <pic:pic xmlns:pic="http://schemas.openxmlformats.org/drawingml/2006/picture">
                  <pic:nvPicPr>
                    <pic:cNvPr id="2" name="图片 3" descr="图片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89200" cy="1478280"/>
                    </a:xfrm>
                    <a:prstGeom prst="rect">
                      <a:avLst/>
                    </a:prstGeom>
                    <a:noFill/>
                    <a:ln>
                      <a:noFill/>
                    </a:ln>
                  </pic:spPr>
                </pic:pic>
              </a:graphicData>
            </a:graphic>
          </wp:inline>
        </w:drawing>
      </w:r>
    </w:p>
    <w:p w14:paraId="230163AF" w14:textId="77777777" w:rsidR="00F5289E" w:rsidRDefault="00C91173">
      <w:pPr>
        <w:spacing w:line="440" w:lineRule="exact"/>
        <w:rPr>
          <w:b/>
          <w:szCs w:val="21"/>
        </w:rPr>
      </w:pPr>
      <w:r>
        <w:rPr>
          <w:b/>
          <w:szCs w:val="21"/>
        </w:rPr>
        <w:t>3.1.2</w:t>
      </w:r>
      <w:r>
        <w:rPr>
          <w:b/>
          <w:szCs w:val="21"/>
        </w:rPr>
        <w:t>观测时间</w:t>
      </w:r>
      <w:r>
        <w:rPr>
          <w:b/>
          <w:szCs w:val="21"/>
        </w:rPr>
        <w:t xml:space="preserve">  </w:t>
      </w:r>
    </w:p>
    <w:p w14:paraId="0759EB2C" w14:textId="77777777" w:rsidR="00F5289E" w:rsidRDefault="00C91173">
      <w:pPr>
        <w:spacing w:line="440" w:lineRule="exact"/>
        <w:ind w:firstLine="420"/>
        <w:rPr>
          <w:szCs w:val="21"/>
        </w:rPr>
      </w:pPr>
      <w:r>
        <w:rPr>
          <w:szCs w:val="21"/>
        </w:rPr>
        <w:t>一天中每隔两小时测一次空气湿度，一般在</w:t>
      </w:r>
      <w:r>
        <w:rPr>
          <w:szCs w:val="21"/>
        </w:rPr>
        <w:t>20</w:t>
      </w:r>
      <w:r>
        <w:rPr>
          <w:szCs w:val="21"/>
        </w:rPr>
        <w:t>：</w:t>
      </w:r>
      <w:r>
        <w:rPr>
          <w:szCs w:val="21"/>
        </w:rPr>
        <w:t>00</w:t>
      </w:r>
      <w:r>
        <w:rPr>
          <w:szCs w:val="21"/>
        </w:rPr>
        <w:t>，</w:t>
      </w:r>
      <w:r>
        <w:rPr>
          <w:szCs w:val="21"/>
        </w:rPr>
        <w:t>22</w:t>
      </w:r>
      <w:r>
        <w:rPr>
          <w:szCs w:val="21"/>
        </w:rPr>
        <w:t>：</w:t>
      </w:r>
      <w:r>
        <w:rPr>
          <w:szCs w:val="21"/>
        </w:rPr>
        <w:t>00</w:t>
      </w:r>
      <w:r>
        <w:rPr>
          <w:szCs w:val="21"/>
        </w:rPr>
        <w:t>，</w:t>
      </w:r>
      <w:r>
        <w:rPr>
          <w:szCs w:val="21"/>
        </w:rPr>
        <w:t>0</w:t>
      </w:r>
      <w:r>
        <w:rPr>
          <w:szCs w:val="21"/>
        </w:rPr>
        <w:t>：</w:t>
      </w:r>
      <w:r>
        <w:rPr>
          <w:szCs w:val="21"/>
        </w:rPr>
        <w:t>00</w:t>
      </w:r>
      <w:r>
        <w:rPr>
          <w:szCs w:val="21"/>
        </w:rPr>
        <w:t>，</w:t>
      </w:r>
      <w:r>
        <w:rPr>
          <w:szCs w:val="21"/>
        </w:rPr>
        <w:t>2</w:t>
      </w:r>
      <w:r>
        <w:rPr>
          <w:szCs w:val="21"/>
        </w:rPr>
        <w:t>：</w:t>
      </w:r>
      <w:r>
        <w:rPr>
          <w:szCs w:val="21"/>
        </w:rPr>
        <w:t>00</w:t>
      </w:r>
      <w:r>
        <w:rPr>
          <w:szCs w:val="21"/>
        </w:rPr>
        <w:t>，</w:t>
      </w:r>
      <w:r>
        <w:rPr>
          <w:szCs w:val="21"/>
        </w:rPr>
        <w:t>4</w:t>
      </w:r>
      <w:r>
        <w:rPr>
          <w:szCs w:val="21"/>
        </w:rPr>
        <w:t>：</w:t>
      </w:r>
      <w:r>
        <w:rPr>
          <w:szCs w:val="21"/>
        </w:rPr>
        <w:t>00</w:t>
      </w:r>
      <w:r>
        <w:rPr>
          <w:szCs w:val="21"/>
        </w:rPr>
        <w:t>，</w:t>
      </w:r>
      <w:r>
        <w:rPr>
          <w:szCs w:val="21"/>
        </w:rPr>
        <w:t>6</w:t>
      </w:r>
      <w:r>
        <w:rPr>
          <w:szCs w:val="21"/>
        </w:rPr>
        <w:t>：</w:t>
      </w:r>
      <w:r>
        <w:rPr>
          <w:szCs w:val="21"/>
        </w:rPr>
        <w:t>00</w:t>
      </w:r>
      <w:r>
        <w:rPr>
          <w:szCs w:val="21"/>
        </w:rPr>
        <w:t>，</w:t>
      </w:r>
      <w:r>
        <w:rPr>
          <w:szCs w:val="21"/>
        </w:rPr>
        <w:t>8</w:t>
      </w:r>
      <w:r>
        <w:rPr>
          <w:szCs w:val="21"/>
        </w:rPr>
        <w:t>：</w:t>
      </w:r>
      <w:r>
        <w:rPr>
          <w:szCs w:val="21"/>
        </w:rPr>
        <w:t>00</w:t>
      </w:r>
      <w:r>
        <w:rPr>
          <w:szCs w:val="21"/>
        </w:rPr>
        <w:t>，</w:t>
      </w:r>
      <w:r>
        <w:rPr>
          <w:szCs w:val="21"/>
        </w:rPr>
        <w:t>12</w:t>
      </w:r>
      <w:r>
        <w:rPr>
          <w:szCs w:val="21"/>
        </w:rPr>
        <w:t>：</w:t>
      </w:r>
      <w:r>
        <w:rPr>
          <w:szCs w:val="21"/>
        </w:rPr>
        <w:t>00</w:t>
      </w:r>
      <w:r>
        <w:rPr>
          <w:szCs w:val="21"/>
        </w:rPr>
        <w:t>，</w:t>
      </w:r>
      <w:r>
        <w:rPr>
          <w:szCs w:val="21"/>
        </w:rPr>
        <w:t>14</w:t>
      </w:r>
      <w:r>
        <w:rPr>
          <w:szCs w:val="21"/>
        </w:rPr>
        <w:t>：</w:t>
      </w:r>
      <w:r>
        <w:rPr>
          <w:szCs w:val="21"/>
        </w:rPr>
        <w:t>00</w:t>
      </w:r>
      <w:r>
        <w:rPr>
          <w:szCs w:val="21"/>
        </w:rPr>
        <w:t>，</w:t>
      </w:r>
      <w:r>
        <w:rPr>
          <w:szCs w:val="21"/>
        </w:rPr>
        <w:t>16</w:t>
      </w:r>
      <w:r>
        <w:rPr>
          <w:szCs w:val="21"/>
        </w:rPr>
        <w:t>：</w:t>
      </w:r>
      <w:r>
        <w:rPr>
          <w:szCs w:val="21"/>
        </w:rPr>
        <w:t>00</w:t>
      </w:r>
      <w:r>
        <w:rPr>
          <w:szCs w:val="21"/>
        </w:rPr>
        <w:t>，</w:t>
      </w:r>
      <w:r>
        <w:rPr>
          <w:szCs w:val="21"/>
        </w:rPr>
        <w:t>18</w:t>
      </w:r>
      <w:r>
        <w:rPr>
          <w:szCs w:val="21"/>
        </w:rPr>
        <w:t>：</w:t>
      </w:r>
      <w:r>
        <w:rPr>
          <w:szCs w:val="21"/>
        </w:rPr>
        <w:t>00</w:t>
      </w:r>
      <w:r>
        <w:rPr>
          <w:szCs w:val="21"/>
        </w:rPr>
        <w:t>共测</w:t>
      </w:r>
      <w:r>
        <w:rPr>
          <w:szCs w:val="21"/>
        </w:rPr>
        <w:t>11</w:t>
      </w:r>
      <w:r>
        <w:rPr>
          <w:szCs w:val="21"/>
        </w:rPr>
        <w:t>次，但设施揭盖前后最好各测一次。</w:t>
      </w:r>
    </w:p>
    <w:p w14:paraId="1F9FAC1C" w14:textId="77777777" w:rsidR="00F5289E" w:rsidRDefault="00C91173">
      <w:pPr>
        <w:spacing w:line="440" w:lineRule="exact"/>
        <w:rPr>
          <w:b/>
          <w:szCs w:val="21"/>
        </w:rPr>
      </w:pPr>
      <w:r>
        <w:rPr>
          <w:b/>
          <w:szCs w:val="21"/>
        </w:rPr>
        <w:t>3.1.3</w:t>
      </w:r>
      <w:r>
        <w:rPr>
          <w:b/>
          <w:szCs w:val="21"/>
        </w:rPr>
        <w:t>观测值</w:t>
      </w:r>
    </w:p>
    <w:p w14:paraId="4B9A7FB2" w14:textId="77777777" w:rsidR="00F5289E" w:rsidRDefault="00C91173">
      <w:pPr>
        <w:spacing w:line="440" w:lineRule="exact"/>
        <w:rPr>
          <w:szCs w:val="21"/>
        </w:rPr>
      </w:pPr>
      <w:r>
        <w:rPr>
          <w:szCs w:val="21"/>
        </w:rPr>
        <w:t xml:space="preserve">    </w:t>
      </w:r>
      <w:r>
        <w:rPr>
          <w:szCs w:val="21"/>
        </w:rPr>
        <w:t>读取每组测一个项目，按每个水平测点顺序往返两次，同一点自上而下、自下而上也往返两次，取两次观测平均值。</w:t>
      </w:r>
    </w:p>
    <w:p w14:paraId="01219B1F" w14:textId="77777777" w:rsidR="00F5289E" w:rsidRDefault="00C91173">
      <w:pPr>
        <w:spacing w:line="440" w:lineRule="exact"/>
        <w:rPr>
          <w:b/>
          <w:szCs w:val="21"/>
        </w:rPr>
      </w:pPr>
      <w:r>
        <w:rPr>
          <w:b/>
          <w:szCs w:val="21"/>
        </w:rPr>
        <w:t>3.1.4</w:t>
      </w:r>
      <w:r>
        <w:rPr>
          <w:b/>
          <w:szCs w:val="21"/>
        </w:rPr>
        <w:t>注意事项</w:t>
      </w:r>
      <w:r>
        <w:rPr>
          <w:b/>
          <w:szCs w:val="21"/>
        </w:rPr>
        <w:t xml:space="preserve">  </w:t>
      </w:r>
    </w:p>
    <w:p w14:paraId="0148A45F" w14:textId="77777777" w:rsidR="00F5289E" w:rsidRDefault="00C91173">
      <w:pPr>
        <w:spacing w:line="440" w:lineRule="exact"/>
        <w:rPr>
          <w:szCs w:val="21"/>
        </w:rPr>
      </w:pPr>
      <w:r>
        <w:rPr>
          <w:rFonts w:ascii="Cambria Math" w:hAnsi="Cambria Math" w:cs="Cambria Math"/>
          <w:szCs w:val="21"/>
        </w:rPr>
        <w:t>①</w:t>
      </w:r>
      <w:r>
        <w:rPr>
          <w:szCs w:val="21"/>
        </w:rPr>
        <w:t>测定前先画好记载表。</w:t>
      </w:r>
    </w:p>
    <w:p w14:paraId="5AD67527" w14:textId="77777777" w:rsidR="00F5289E" w:rsidRDefault="00C91173">
      <w:pPr>
        <w:spacing w:line="440" w:lineRule="exact"/>
        <w:rPr>
          <w:szCs w:val="21"/>
        </w:rPr>
      </w:pPr>
      <w:r>
        <w:rPr>
          <w:rFonts w:ascii="Cambria Math" w:hAnsi="Cambria Math" w:cs="Cambria Math"/>
          <w:szCs w:val="21"/>
        </w:rPr>
        <w:t>②</w:t>
      </w:r>
      <w:r>
        <w:rPr>
          <w:szCs w:val="21"/>
        </w:rPr>
        <w:t>仪器安装好以后必须校正和预测一次，没问题后再进行正式测定。</w:t>
      </w:r>
    </w:p>
    <w:p w14:paraId="705937AF" w14:textId="77777777" w:rsidR="00F5289E" w:rsidRDefault="00C91173">
      <w:pPr>
        <w:spacing w:line="440" w:lineRule="exact"/>
        <w:rPr>
          <w:szCs w:val="21"/>
        </w:rPr>
      </w:pPr>
      <w:r>
        <w:rPr>
          <w:rFonts w:ascii="Cambria Math" w:hAnsi="Cambria Math" w:cs="Cambria Math"/>
          <w:szCs w:val="21"/>
        </w:rPr>
        <w:t>③</w:t>
      </w:r>
      <w:r>
        <w:rPr>
          <w:szCs w:val="21"/>
        </w:rPr>
        <w:t>测定时必须按气象观测要求进行，湿度表一定要有防辐射罩，要防止水滴直接落到测量仪器上等。</w:t>
      </w:r>
    </w:p>
    <w:p w14:paraId="29BA365A" w14:textId="77777777" w:rsidR="00F5289E" w:rsidRDefault="00C91173">
      <w:pPr>
        <w:spacing w:line="440" w:lineRule="exact"/>
        <w:rPr>
          <w:szCs w:val="21"/>
        </w:rPr>
      </w:pPr>
      <w:r>
        <w:rPr>
          <w:rFonts w:ascii="Cambria Math" w:hAnsi="Cambria Math" w:cs="Cambria Math"/>
          <w:szCs w:val="21"/>
        </w:rPr>
        <w:t>④</w:t>
      </w:r>
      <w:r>
        <w:rPr>
          <w:szCs w:val="21"/>
        </w:rPr>
        <w:t>测完后一定要校对数据，发现错误及时更正。</w:t>
      </w:r>
    </w:p>
    <w:p w14:paraId="67C3E53F" w14:textId="77777777" w:rsidR="00F5289E" w:rsidRDefault="00C91173">
      <w:pPr>
        <w:widowControl/>
        <w:spacing w:line="440" w:lineRule="exact"/>
        <w:rPr>
          <w:b/>
          <w:bCs/>
          <w:szCs w:val="21"/>
        </w:rPr>
      </w:pPr>
      <w:r>
        <w:rPr>
          <w:b/>
          <w:bCs/>
          <w:szCs w:val="21"/>
        </w:rPr>
        <w:t xml:space="preserve">3.2 </w:t>
      </w:r>
      <w:r>
        <w:rPr>
          <w:b/>
          <w:bCs/>
          <w:szCs w:val="21"/>
        </w:rPr>
        <w:t>作业与思考题</w:t>
      </w:r>
    </w:p>
    <w:p w14:paraId="613E97D2" w14:textId="77777777" w:rsidR="00F5289E" w:rsidRDefault="00C91173">
      <w:pPr>
        <w:spacing w:line="440" w:lineRule="exact"/>
        <w:rPr>
          <w:b/>
          <w:bCs/>
          <w:szCs w:val="21"/>
        </w:rPr>
      </w:pPr>
      <w:r>
        <w:rPr>
          <w:b/>
          <w:bCs/>
          <w:szCs w:val="21"/>
        </w:rPr>
        <w:t>3.2.1</w:t>
      </w:r>
      <w:r>
        <w:rPr>
          <w:b/>
          <w:bCs/>
          <w:szCs w:val="21"/>
        </w:rPr>
        <w:t>作业</w:t>
      </w:r>
    </w:p>
    <w:p w14:paraId="39534FBF" w14:textId="77777777" w:rsidR="00F5289E" w:rsidRDefault="00C91173">
      <w:pPr>
        <w:spacing w:line="440" w:lineRule="exact"/>
        <w:rPr>
          <w:szCs w:val="21"/>
        </w:rPr>
      </w:pPr>
      <w:r>
        <w:rPr>
          <w:szCs w:val="21"/>
        </w:rPr>
        <w:t>绘出所选择的测量点，将三次观测数据的平均值填入设施内温度记录表</w:t>
      </w:r>
    </w:p>
    <w:p w14:paraId="4C2720E9" w14:textId="77777777" w:rsidR="00F5289E" w:rsidRDefault="00C91173">
      <w:pPr>
        <w:spacing w:line="440" w:lineRule="exact"/>
        <w:rPr>
          <w:szCs w:val="21"/>
        </w:rPr>
      </w:pPr>
      <w:r>
        <w:rPr>
          <w:szCs w:val="21"/>
        </w:rPr>
        <w:t>表</w:t>
      </w:r>
      <w:r>
        <w:rPr>
          <w:szCs w:val="21"/>
        </w:rPr>
        <w:t xml:space="preserve">1 </w:t>
      </w:r>
      <w:r>
        <w:rPr>
          <w:szCs w:val="21"/>
        </w:rPr>
        <w:t>设施环境记录表</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
        <w:gridCol w:w="1350"/>
        <w:gridCol w:w="1254"/>
        <w:gridCol w:w="1378"/>
        <w:gridCol w:w="1195"/>
        <w:gridCol w:w="908"/>
        <w:gridCol w:w="1483"/>
      </w:tblGrid>
      <w:tr w:rsidR="00F5289E" w14:paraId="373507D4" w14:textId="77777777">
        <w:trPr>
          <w:trHeight w:val="416"/>
          <w:jc w:val="center"/>
        </w:trPr>
        <w:tc>
          <w:tcPr>
            <w:tcW w:w="1045" w:type="dxa"/>
            <w:vMerge w:val="restart"/>
            <w:vAlign w:val="center"/>
          </w:tcPr>
          <w:p w14:paraId="14267246" w14:textId="77777777" w:rsidR="00F5289E" w:rsidRDefault="00C91173">
            <w:pPr>
              <w:spacing w:line="440" w:lineRule="exact"/>
              <w:jc w:val="center"/>
              <w:rPr>
                <w:sz w:val="18"/>
                <w:szCs w:val="18"/>
              </w:rPr>
            </w:pPr>
            <w:r>
              <w:rPr>
                <w:sz w:val="18"/>
                <w:szCs w:val="18"/>
              </w:rPr>
              <w:lastRenderedPageBreak/>
              <w:t>项目</w:t>
            </w:r>
          </w:p>
        </w:tc>
        <w:tc>
          <w:tcPr>
            <w:tcW w:w="6085" w:type="dxa"/>
            <w:gridSpan w:val="5"/>
            <w:tcBorders>
              <w:bottom w:val="nil"/>
              <w:right w:val="single" w:sz="4" w:space="0" w:color="auto"/>
            </w:tcBorders>
            <w:vAlign w:val="center"/>
          </w:tcPr>
          <w:p w14:paraId="21FAA2ED" w14:textId="77777777" w:rsidR="00F5289E" w:rsidRDefault="00C91173">
            <w:pPr>
              <w:spacing w:line="440" w:lineRule="exact"/>
              <w:jc w:val="center"/>
              <w:rPr>
                <w:sz w:val="18"/>
                <w:szCs w:val="18"/>
              </w:rPr>
            </w:pPr>
            <w:r>
              <w:rPr>
                <w:sz w:val="18"/>
                <w:szCs w:val="18"/>
              </w:rPr>
              <w:t>室内测量值（取三次结果的平均值）</w:t>
            </w:r>
          </w:p>
        </w:tc>
        <w:tc>
          <w:tcPr>
            <w:tcW w:w="1483" w:type="dxa"/>
            <w:vMerge w:val="restart"/>
            <w:tcBorders>
              <w:left w:val="single" w:sz="4" w:space="0" w:color="auto"/>
              <w:right w:val="single" w:sz="4" w:space="0" w:color="auto"/>
            </w:tcBorders>
            <w:vAlign w:val="center"/>
          </w:tcPr>
          <w:p w14:paraId="27491A1E" w14:textId="77777777" w:rsidR="00F5289E" w:rsidRDefault="00C91173">
            <w:pPr>
              <w:spacing w:line="440" w:lineRule="exact"/>
              <w:jc w:val="center"/>
              <w:rPr>
                <w:sz w:val="18"/>
                <w:szCs w:val="18"/>
              </w:rPr>
            </w:pPr>
            <w:r>
              <w:rPr>
                <w:sz w:val="18"/>
                <w:szCs w:val="18"/>
              </w:rPr>
              <w:t>室外测量值</w:t>
            </w:r>
          </w:p>
          <w:p w14:paraId="3A7BB755" w14:textId="77777777" w:rsidR="00F5289E" w:rsidRDefault="00C91173">
            <w:pPr>
              <w:spacing w:line="440" w:lineRule="exact"/>
              <w:jc w:val="center"/>
              <w:rPr>
                <w:sz w:val="18"/>
                <w:szCs w:val="18"/>
              </w:rPr>
            </w:pPr>
            <w:r>
              <w:rPr>
                <w:sz w:val="18"/>
                <w:szCs w:val="18"/>
              </w:rPr>
              <w:t>（三次平均值）</w:t>
            </w:r>
          </w:p>
        </w:tc>
      </w:tr>
      <w:tr w:rsidR="00F5289E" w14:paraId="2AFC7F9D" w14:textId="77777777">
        <w:trPr>
          <w:trHeight w:val="252"/>
          <w:jc w:val="center"/>
        </w:trPr>
        <w:tc>
          <w:tcPr>
            <w:tcW w:w="1045" w:type="dxa"/>
            <w:vMerge/>
            <w:tcBorders>
              <w:bottom w:val="single" w:sz="4" w:space="0" w:color="auto"/>
            </w:tcBorders>
            <w:vAlign w:val="center"/>
          </w:tcPr>
          <w:p w14:paraId="087A2297" w14:textId="77777777" w:rsidR="00F5289E" w:rsidRDefault="00F5289E">
            <w:pPr>
              <w:spacing w:line="440" w:lineRule="exact"/>
              <w:jc w:val="center"/>
              <w:rPr>
                <w:sz w:val="18"/>
                <w:szCs w:val="18"/>
              </w:rPr>
            </w:pPr>
          </w:p>
        </w:tc>
        <w:tc>
          <w:tcPr>
            <w:tcW w:w="1350" w:type="dxa"/>
            <w:tcBorders>
              <w:top w:val="single" w:sz="4" w:space="0" w:color="auto"/>
              <w:bottom w:val="single" w:sz="4" w:space="0" w:color="auto"/>
              <w:right w:val="single" w:sz="4" w:space="0" w:color="auto"/>
            </w:tcBorders>
            <w:vAlign w:val="center"/>
          </w:tcPr>
          <w:p w14:paraId="508DB4C6" w14:textId="77777777" w:rsidR="00F5289E" w:rsidRDefault="00C91173">
            <w:pPr>
              <w:spacing w:line="440" w:lineRule="exact"/>
              <w:rPr>
                <w:sz w:val="18"/>
                <w:szCs w:val="18"/>
              </w:rPr>
            </w:pPr>
            <w:r>
              <w:rPr>
                <w:sz w:val="18"/>
                <w:szCs w:val="18"/>
              </w:rPr>
              <w:t>测量点</w:t>
            </w:r>
            <w:r>
              <w:rPr>
                <w:sz w:val="18"/>
                <w:szCs w:val="18"/>
              </w:rPr>
              <w:t>1</w:t>
            </w:r>
          </w:p>
        </w:tc>
        <w:tc>
          <w:tcPr>
            <w:tcW w:w="1254" w:type="dxa"/>
            <w:tcBorders>
              <w:top w:val="single" w:sz="4" w:space="0" w:color="auto"/>
              <w:bottom w:val="single" w:sz="4" w:space="0" w:color="auto"/>
              <w:right w:val="single" w:sz="4" w:space="0" w:color="auto"/>
            </w:tcBorders>
            <w:vAlign w:val="center"/>
          </w:tcPr>
          <w:p w14:paraId="675CF96D" w14:textId="77777777" w:rsidR="00F5289E" w:rsidRDefault="00C91173">
            <w:pPr>
              <w:spacing w:line="440" w:lineRule="exact"/>
              <w:jc w:val="center"/>
              <w:rPr>
                <w:sz w:val="18"/>
                <w:szCs w:val="18"/>
              </w:rPr>
            </w:pPr>
            <w:r>
              <w:rPr>
                <w:sz w:val="18"/>
                <w:szCs w:val="18"/>
              </w:rPr>
              <w:t>测量点</w:t>
            </w:r>
            <w:r>
              <w:rPr>
                <w:sz w:val="18"/>
                <w:szCs w:val="18"/>
              </w:rPr>
              <w:t>2</w:t>
            </w:r>
          </w:p>
        </w:tc>
        <w:tc>
          <w:tcPr>
            <w:tcW w:w="1378" w:type="dxa"/>
            <w:tcBorders>
              <w:top w:val="single" w:sz="4" w:space="0" w:color="auto"/>
              <w:bottom w:val="single" w:sz="4" w:space="0" w:color="auto"/>
              <w:right w:val="single" w:sz="4" w:space="0" w:color="auto"/>
            </w:tcBorders>
            <w:vAlign w:val="center"/>
          </w:tcPr>
          <w:p w14:paraId="74D9C135" w14:textId="77777777" w:rsidR="00F5289E" w:rsidRDefault="00C91173">
            <w:pPr>
              <w:spacing w:line="440" w:lineRule="exact"/>
              <w:jc w:val="center"/>
              <w:rPr>
                <w:sz w:val="18"/>
                <w:szCs w:val="18"/>
              </w:rPr>
            </w:pPr>
            <w:r>
              <w:rPr>
                <w:sz w:val="18"/>
                <w:szCs w:val="18"/>
              </w:rPr>
              <w:t>测量点</w:t>
            </w:r>
            <w:r>
              <w:rPr>
                <w:sz w:val="18"/>
                <w:szCs w:val="18"/>
              </w:rPr>
              <w:t>3</w:t>
            </w:r>
          </w:p>
        </w:tc>
        <w:tc>
          <w:tcPr>
            <w:tcW w:w="1195" w:type="dxa"/>
            <w:tcBorders>
              <w:top w:val="single" w:sz="4" w:space="0" w:color="auto"/>
              <w:bottom w:val="single" w:sz="4" w:space="0" w:color="auto"/>
              <w:right w:val="single" w:sz="4" w:space="0" w:color="auto"/>
            </w:tcBorders>
            <w:vAlign w:val="center"/>
          </w:tcPr>
          <w:p w14:paraId="60D5FCB2" w14:textId="77777777" w:rsidR="00F5289E" w:rsidRDefault="00C91173">
            <w:pPr>
              <w:spacing w:line="440" w:lineRule="exact"/>
              <w:jc w:val="center"/>
              <w:rPr>
                <w:sz w:val="18"/>
                <w:szCs w:val="18"/>
              </w:rPr>
            </w:pPr>
            <w:r>
              <w:rPr>
                <w:sz w:val="18"/>
                <w:szCs w:val="18"/>
              </w:rPr>
              <w:t>测量点</w:t>
            </w:r>
            <w:r>
              <w:rPr>
                <w:sz w:val="18"/>
                <w:szCs w:val="18"/>
              </w:rPr>
              <w:t>4</w:t>
            </w:r>
          </w:p>
        </w:tc>
        <w:tc>
          <w:tcPr>
            <w:tcW w:w="908" w:type="dxa"/>
            <w:tcBorders>
              <w:bottom w:val="single" w:sz="4" w:space="0" w:color="000000"/>
              <w:right w:val="single" w:sz="4" w:space="0" w:color="auto"/>
            </w:tcBorders>
          </w:tcPr>
          <w:p w14:paraId="0C4C2EFB" w14:textId="77777777" w:rsidR="00F5289E" w:rsidRDefault="00C91173">
            <w:pPr>
              <w:spacing w:line="440" w:lineRule="exact"/>
              <w:rPr>
                <w:sz w:val="18"/>
                <w:szCs w:val="18"/>
              </w:rPr>
            </w:pPr>
            <w:r>
              <w:rPr>
                <w:sz w:val="18"/>
                <w:szCs w:val="18"/>
              </w:rPr>
              <w:t>测量点</w:t>
            </w:r>
            <w:r>
              <w:rPr>
                <w:sz w:val="18"/>
                <w:szCs w:val="18"/>
              </w:rPr>
              <w:t>5</w:t>
            </w:r>
          </w:p>
        </w:tc>
        <w:tc>
          <w:tcPr>
            <w:tcW w:w="1483" w:type="dxa"/>
            <w:vMerge/>
            <w:tcBorders>
              <w:left w:val="single" w:sz="4" w:space="0" w:color="auto"/>
              <w:right w:val="single" w:sz="4" w:space="0" w:color="auto"/>
            </w:tcBorders>
            <w:vAlign w:val="center"/>
          </w:tcPr>
          <w:p w14:paraId="61B2FF64" w14:textId="77777777" w:rsidR="00F5289E" w:rsidRDefault="00F5289E">
            <w:pPr>
              <w:spacing w:line="440" w:lineRule="exact"/>
              <w:rPr>
                <w:sz w:val="18"/>
                <w:szCs w:val="18"/>
              </w:rPr>
            </w:pPr>
          </w:p>
        </w:tc>
      </w:tr>
      <w:tr w:rsidR="00F5289E" w14:paraId="01377316" w14:textId="77777777">
        <w:trPr>
          <w:trHeight w:val="475"/>
          <w:jc w:val="center"/>
        </w:trPr>
        <w:tc>
          <w:tcPr>
            <w:tcW w:w="1045" w:type="dxa"/>
            <w:vAlign w:val="center"/>
          </w:tcPr>
          <w:p w14:paraId="33B86D2C" w14:textId="77777777" w:rsidR="00F5289E" w:rsidRDefault="00C91173">
            <w:pPr>
              <w:spacing w:line="440" w:lineRule="exact"/>
              <w:jc w:val="center"/>
              <w:rPr>
                <w:sz w:val="18"/>
                <w:szCs w:val="18"/>
              </w:rPr>
            </w:pPr>
            <w:r>
              <w:rPr>
                <w:sz w:val="18"/>
                <w:szCs w:val="18"/>
              </w:rPr>
              <w:t>湿度</w:t>
            </w:r>
            <w:r>
              <w:rPr>
                <w:sz w:val="18"/>
                <w:szCs w:val="18"/>
              </w:rPr>
              <w:t>%</w:t>
            </w:r>
          </w:p>
        </w:tc>
        <w:tc>
          <w:tcPr>
            <w:tcW w:w="1350" w:type="dxa"/>
            <w:tcBorders>
              <w:right w:val="single" w:sz="4" w:space="0" w:color="auto"/>
            </w:tcBorders>
            <w:vAlign w:val="center"/>
          </w:tcPr>
          <w:p w14:paraId="4541013C" w14:textId="77777777" w:rsidR="00F5289E" w:rsidRDefault="00F5289E">
            <w:pPr>
              <w:spacing w:line="440" w:lineRule="exact"/>
              <w:jc w:val="center"/>
              <w:rPr>
                <w:sz w:val="18"/>
                <w:szCs w:val="18"/>
              </w:rPr>
            </w:pPr>
          </w:p>
        </w:tc>
        <w:tc>
          <w:tcPr>
            <w:tcW w:w="1254" w:type="dxa"/>
            <w:tcBorders>
              <w:left w:val="single" w:sz="4" w:space="0" w:color="auto"/>
              <w:right w:val="single" w:sz="4" w:space="0" w:color="auto"/>
            </w:tcBorders>
            <w:vAlign w:val="center"/>
          </w:tcPr>
          <w:p w14:paraId="69D922E0" w14:textId="77777777" w:rsidR="00F5289E" w:rsidRDefault="00F5289E">
            <w:pPr>
              <w:spacing w:line="440" w:lineRule="exact"/>
              <w:jc w:val="center"/>
              <w:rPr>
                <w:sz w:val="18"/>
                <w:szCs w:val="18"/>
              </w:rPr>
            </w:pPr>
          </w:p>
        </w:tc>
        <w:tc>
          <w:tcPr>
            <w:tcW w:w="1378" w:type="dxa"/>
            <w:tcBorders>
              <w:top w:val="nil"/>
              <w:left w:val="single" w:sz="4" w:space="0" w:color="auto"/>
              <w:right w:val="single" w:sz="4" w:space="0" w:color="auto"/>
            </w:tcBorders>
            <w:vAlign w:val="center"/>
          </w:tcPr>
          <w:p w14:paraId="4A1BE189" w14:textId="77777777" w:rsidR="00F5289E" w:rsidRDefault="00F5289E">
            <w:pPr>
              <w:spacing w:line="440" w:lineRule="exact"/>
              <w:jc w:val="center"/>
              <w:rPr>
                <w:sz w:val="18"/>
                <w:szCs w:val="18"/>
              </w:rPr>
            </w:pPr>
          </w:p>
        </w:tc>
        <w:tc>
          <w:tcPr>
            <w:tcW w:w="1195" w:type="dxa"/>
            <w:tcBorders>
              <w:top w:val="nil"/>
              <w:left w:val="single" w:sz="4" w:space="0" w:color="auto"/>
            </w:tcBorders>
            <w:vAlign w:val="center"/>
          </w:tcPr>
          <w:p w14:paraId="2AA82FC5" w14:textId="77777777" w:rsidR="00F5289E" w:rsidRDefault="00F5289E">
            <w:pPr>
              <w:spacing w:line="440" w:lineRule="exact"/>
              <w:jc w:val="center"/>
              <w:rPr>
                <w:sz w:val="18"/>
                <w:szCs w:val="18"/>
              </w:rPr>
            </w:pPr>
          </w:p>
        </w:tc>
        <w:tc>
          <w:tcPr>
            <w:tcW w:w="908" w:type="dxa"/>
            <w:tcBorders>
              <w:top w:val="nil"/>
              <w:right w:val="single" w:sz="4" w:space="0" w:color="auto"/>
            </w:tcBorders>
          </w:tcPr>
          <w:p w14:paraId="113D5ABB" w14:textId="77777777" w:rsidR="00F5289E" w:rsidRDefault="00F5289E">
            <w:pPr>
              <w:spacing w:line="440" w:lineRule="exact"/>
              <w:jc w:val="center"/>
              <w:rPr>
                <w:sz w:val="18"/>
                <w:szCs w:val="18"/>
              </w:rPr>
            </w:pPr>
          </w:p>
        </w:tc>
        <w:tc>
          <w:tcPr>
            <w:tcW w:w="1483" w:type="dxa"/>
            <w:tcBorders>
              <w:top w:val="single" w:sz="4" w:space="0" w:color="auto"/>
              <w:left w:val="single" w:sz="4" w:space="0" w:color="auto"/>
              <w:right w:val="single" w:sz="4" w:space="0" w:color="auto"/>
            </w:tcBorders>
            <w:vAlign w:val="center"/>
          </w:tcPr>
          <w:p w14:paraId="79CE7A51" w14:textId="77777777" w:rsidR="00F5289E" w:rsidRDefault="00F5289E">
            <w:pPr>
              <w:spacing w:line="440" w:lineRule="exact"/>
              <w:jc w:val="center"/>
              <w:rPr>
                <w:sz w:val="18"/>
                <w:szCs w:val="18"/>
              </w:rPr>
            </w:pPr>
          </w:p>
        </w:tc>
      </w:tr>
    </w:tbl>
    <w:p w14:paraId="4746B7A2" w14:textId="77777777" w:rsidR="00F5289E" w:rsidRDefault="00F5289E">
      <w:pPr>
        <w:rPr>
          <w:szCs w:val="21"/>
        </w:rPr>
      </w:pPr>
    </w:p>
    <w:p w14:paraId="7EFF94DF" w14:textId="77777777" w:rsidR="00F5289E" w:rsidRDefault="00C91173">
      <w:pPr>
        <w:spacing w:line="360" w:lineRule="auto"/>
        <w:rPr>
          <w:b/>
          <w:bCs/>
          <w:szCs w:val="21"/>
        </w:rPr>
      </w:pPr>
      <w:r>
        <w:rPr>
          <w:b/>
          <w:bCs/>
          <w:szCs w:val="21"/>
        </w:rPr>
        <w:t>3.2.2</w:t>
      </w:r>
      <w:r>
        <w:rPr>
          <w:b/>
          <w:bCs/>
          <w:szCs w:val="21"/>
        </w:rPr>
        <w:t>思考题</w:t>
      </w:r>
    </w:p>
    <w:p w14:paraId="2DFF1E35" w14:textId="77777777" w:rsidR="00F5289E" w:rsidRDefault="00C91173">
      <w:pPr>
        <w:spacing w:line="360" w:lineRule="auto"/>
        <w:rPr>
          <w:b/>
          <w:szCs w:val="21"/>
        </w:rPr>
      </w:pPr>
      <w:r>
        <w:rPr>
          <w:szCs w:val="21"/>
        </w:rPr>
        <w:t>分析设施内外湿度的变化规律，并阐述产生这种变化的原因。</w:t>
      </w:r>
    </w:p>
    <w:p w14:paraId="2F36A003" w14:textId="77777777" w:rsidR="00F5289E" w:rsidRDefault="00C91173">
      <w:pPr>
        <w:spacing w:line="360" w:lineRule="auto"/>
        <w:rPr>
          <w:bCs/>
          <w:szCs w:val="21"/>
        </w:rPr>
      </w:pPr>
      <w:r>
        <w:rPr>
          <w:b/>
          <w:szCs w:val="21"/>
        </w:rPr>
        <w:t>4.</w:t>
      </w:r>
      <w:r>
        <w:rPr>
          <w:b/>
          <w:szCs w:val="21"/>
        </w:rPr>
        <w:t>实验要求：</w:t>
      </w:r>
      <w:r>
        <w:rPr>
          <w:szCs w:val="21"/>
        </w:rPr>
        <w:t>要求学会设施内湿度的观测方法和测定仪器的使用。。</w:t>
      </w:r>
    </w:p>
    <w:p w14:paraId="5DA554E0" w14:textId="77777777" w:rsidR="00F5289E" w:rsidRDefault="00C91173">
      <w:pPr>
        <w:spacing w:line="360" w:lineRule="auto"/>
        <w:rPr>
          <w:b/>
          <w:szCs w:val="21"/>
        </w:rPr>
      </w:pPr>
      <w:r>
        <w:rPr>
          <w:b/>
          <w:szCs w:val="21"/>
        </w:rPr>
        <w:t>5.</w:t>
      </w:r>
      <w:r>
        <w:rPr>
          <w:b/>
          <w:szCs w:val="21"/>
        </w:rPr>
        <w:t>实验设备及器材：</w:t>
      </w:r>
      <w:r>
        <w:rPr>
          <w:szCs w:val="21"/>
        </w:rPr>
        <w:t>通风干湿表，湿度计</w:t>
      </w:r>
    </w:p>
    <w:p w14:paraId="2AB601A6" w14:textId="77777777" w:rsidR="00F5289E" w:rsidRDefault="00C91173">
      <w:pPr>
        <w:pStyle w:val="af1"/>
        <w:spacing w:before="0" w:beforeAutospacing="0" w:after="0" w:afterAutospacing="0" w:line="360" w:lineRule="auto"/>
        <w:rPr>
          <w:rFonts w:ascii="Times New Roman" w:eastAsia="宋体" w:hAnsi="Times New Roman" w:cs="Times New Roman"/>
          <w:b/>
          <w:bCs/>
          <w:sz w:val="21"/>
          <w:szCs w:val="21"/>
        </w:rPr>
      </w:pPr>
      <w:r>
        <w:rPr>
          <w:rFonts w:ascii="Times New Roman" w:hAnsi="Times New Roman" w:cs="Times New Roman"/>
          <w:b/>
          <w:sz w:val="21"/>
          <w:szCs w:val="21"/>
        </w:rPr>
        <w:t>【实验四】</w:t>
      </w:r>
      <w:r>
        <w:rPr>
          <w:rFonts w:ascii="Times New Roman" w:eastAsia="宋体" w:hAnsi="Times New Roman" w:cs="Times New Roman"/>
          <w:b/>
          <w:bCs/>
          <w:sz w:val="21"/>
          <w:szCs w:val="21"/>
        </w:rPr>
        <w:t>设施内</w:t>
      </w:r>
      <w:r>
        <w:rPr>
          <w:rFonts w:ascii="Times New Roman" w:eastAsia="宋体" w:hAnsi="Times New Roman" w:cs="Times New Roman" w:hint="eastAsia"/>
          <w:b/>
          <w:bCs/>
          <w:sz w:val="21"/>
          <w:szCs w:val="21"/>
        </w:rPr>
        <w:t>外气体环境</w:t>
      </w:r>
      <w:r>
        <w:rPr>
          <w:rFonts w:ascii="Times New Roman" w:eastAsia="宋体" w:hAnsi="Times New Roman" w:cs="Times New Roman"/>
          <w:b/>
          <w:bCs/>
          <w:sz w:val="21"/>
          <w:szCs w:val="21"/>
        </w:rPr>
        <w:t>的观测</w:t>
      </w:r>
    </w:p>
    <w:p w14:paraId="236A02D7" w14:textId="77777777" w:rsidR="00F5289E" w:rsidRDefault="00C91173">
      <w:pPr>
        <w:spacing w:line="360" w:lineRule="auto"/>
      </w:pPr>
      <w:r>
        <w:rPr>
          <w:b/>
          <w:szCs w:val="21"/>
        </w:rPr>
        <w:t>1.</w:t>
      </w:r>
      <w:r>
        <w:rPr>
          <w:b/>
          <w:szCs w:val="21"/>
        </w:rPr>
        <w:t>实验学时：</w:t>
      </w:r>
      <w:r>
        <w:rPr>
          <w:bCs/>
          <w:color w:val="000000"/>
        </w:rPr>
        <w:t>2</w:t>
      </w:r>
    </w:p>
    <w:p w14:paraId="34FBBB29" w14:textId="77777777" w:rsidR="00F5289E" w:rsidRDefault="00C91173">
      <w:pPr>
        <w:spacing w:line="360" w:lineRule="auto"/>
        <w:rPr>
          <w:b/>
          <w:szCs w:val="21"/>
        </w:rPr>
      </w:pPr>
      <w:r>
        <w:rPr>
          <w:b/>
          <w:szCs w:val="21"/>
        </w:rPr>
        <w:t>2.</w:t>
      </w:r>
      <w:r>
        <w:rPr>
          <w:b/>
          <w:szCs w:val="21"/>
        </w:rPr>
        <w:t>实验目的：</w:t>
      </w:r>
      <w:r>
        <w:rPr>
          <w:szCs w:val="21"/>
        </w:rPr>
        <w:t xml:space="preserve"> </w:t>
      </w:r>
      <w:r>
        <w:rPr>
          <w:szCs w:val="21"/>
        </w:rPr>
        <w:t>通过对几种设施内二氧化碳等进行观测，进一步掌握各种设施内小气候的变化规律。</w:t>
      </w:r>
    </w:p>
    <w:p w14:paraId="3847F18E" w14:textId="77777777" w:rsidR="00F5289E" w:rsidRDefault="00C91173">
      <w:pPr>
        <w:spacing w:line="360" w:lineRule="auto"/>
        <w:rPr>
          <w:szCs w:val="21"/>
        </w:rPr>
      </w:pPr>
      <w:r>
        <w:rPr>
          <w:b/>
          <w:szCs w:val="21"/>
        </w:rPr>
        <w:t>3.</w:t>
      </w:r>
      <w:r>
        <w:rPr>
          <w:b/>
          <w:szCs w:val="21"/>
        </w:rPr>
        <w:t>实验内容：</w:t>
      </w:r>
      <w:r>
        <w:rPr>
          <w:rFonts w:hint="eastAsia"/>
          <w:szCs w:val="21"/>
        </w:rPr>
        <w:t>温室和大棚</w:t>
      </w:r>
      <w:r>
        <w:rPr>
          <w:szCs w:val="21"/>
        </w:rPr>
        <w:t>内</w:t>
      </w:r>
      <w:r>
        <w:rPr>
          <w:rFonts w:hint="eastAsia"/>
          <w:szCs w:val="21"/>
        </w:rPr>
        <w:t>外</w:t>
      </w:r>
      <w:r>
        <w:rPr>
          <w:szCs w:val="21"/>
        </w:rPr>
        <w:t>二氧化碳的观测</w:t>
      </w:r>
    </w:p>
    <w:p w14:paraId="3B0AB060" w14:textId="77777777" w:rsidR="00F5289E" w:rsidRDefault="00C91173">
      <w:pPr>
        <w:widowControl/>
        <w:spacing w:line="360" w:lineRule="auto"/>
        <w:rPr>
          <w:b/>
          <w:szCs w:val="21"/>
        </w:rPr>
      </w:pPr>
      <w:r>
        <w:rPr>
          <w:b/>
          <w:bCs/>
          <w:szCs w:val="21"/>
        </w:rPr>
        <w:t>3.1</w:t>
      </w:r>
      <w:r>
        <w:rPr>
          <w:b/>
          <w:szCs w:val="21"/>
        </w:rPr>
        <w:t>实验</w:t>
      </w:r>
      <w:r>
        <w:rPr>
          <w:b/>
          <w:bCs/>
          <w:szCs w:val="21"/>
        </w:rPr>
        <w:t>方法和步骤</w:t>
      </w:r>
    </w:p>
    <w:p w14:paraId="241D19E9" w14:textId="77777777" w:rsidR="00F5289E" w:rsidRDefault="00C91173">
      <w:pPr>
        <w:spacing w:line="360" w:lineRule="auto"/>
        <w:rPr>
          <w:b/>
          <w:szCs w:val="21"/>
        </w:rPr>
      </w:pPr>
      <w:r>
        <w:rPr>
          <w:b/>
          <w:szCs w:val="21"/>
        </w:rPr>
        <w:t>3.1.1</w:t>
      </w:r>
      <w:r>
        <w:rPr>
          <w:b/>
          <w:szCs w:val="21"/>
        </w:rPr>
        <w:t>观测点布置</w:t>
      </w:r>
      <w:r>
        <w:rPr>
          <w:b/>
          <w:szCs w:val="21"/>
        </w:rPr>
        <w:t xml:space="preserve">  </w:t>
      </w:r>
    </w:p>
    <w:p w14:paraId="0B77BA9E" w14:textId="77777777" w:rsidR="00F5289E" w:rsidRDefault="00C91173">
      <w:pPr>
        <w:spacing w:line="360" w:lineRule="auto"/>
        <w:rPr>
          <w:szCs w:val="21"/>
        </w:rPr>
      </w:pPr>
      <w:r>
        <w:rPr>
          <w:szCs w:val="21"/>
        </w:rPr>
        <w:t>水平测点按图</w:t>
      </w:r>
      <w:r>
        <w:rPr>
          <w:szCs w:val="21"/>
        </w:rPr>
        <w:t>1</w:t>
      </w:r>
      <w:r>
        <w:rPr>
          <w:szCs w:val="21"/>
        </w:rPr>
        <w:t>所示：左边为设施内，一般布置</w:t>
      </w:r>
      <w:r>
        <w:rPr>
          <w:szCs w:val="21"/>
        </w:rPr>
        <w:t>9</w:t>
      </w:r>
      <w:r>
        <w:rPr>
          <w:szCs w:val="21"/>
        </w:rPr>
        <w:t>个观测点，其中</w:t>
      </w:r>
      <w:r>
        <w:rPr>
          <w:szCs w:val="21"/>
        </w:rPr>
        <w:t>5</w:t>
      </w:r>
      <w:r>
        <w:rPr>
          <w:szCs w:val="21"/>
        </w:rPr>
        <w:t>点位于设施中央，其余各点以</w:t>
      </w:r>
      <w:r>
        <w:rPr>
          <w:szCs w:val="21"/>
        </w:rPr>
        <w:t>5</w:t>
      </w:r>
      <w:r>
        <w:rPr>
          <w:szCs w:val="21"/>
        </w:rPr>
        <w:t>点为中心在四周均匀分布；右边为设施外，它与</w:t>
      </w:r>
      <w:r>
        <w:rPr>
          <w:szCs w:val="21"/>
        </w:rPr>
        <w:t>5</w:t>
      </w:r>
      <w:r>
        <w:rPr>
          <w:szCs w:val="21"/>
        </w:rPr>
        <w:t>点相对应。</w:t>
      </w:r>
    </w:p>
    <w:p w14:paraId="0B3EF101" w14:textId="77777777" w:rsidR="00F5289E" w:rsidRDefault="00C91173">
      <w:pPr>
        <w:snapToGrid w:val="0"/>
        <w:spacing w:line="360" w:lineRule="auto"/>
        <w:jc w:val="center"/>
        <w:rPr>
          <w:b/>
          <w:szCs w:val="21"/>
        </w:rPr>
      </w:pPr>
      <w:r>
        <w:rPr>
          <w:b/>
          <w:noProof/>
          <w:szCs w:val="21"/>
        </w:rPr>
        <w:drawing>
          <wp:inline distT="0" distB="0" distL="0" distR="0" wp14:anchorId="5174D445" wp14:editId="0A002E77">
            <wp:extent cx="2448560" cy="1452880"/>
            <wp:effectExtent l="0" t="0" r="0" b="0"/>
            <wp:docPr id="3" name="图片 4" descr="图片1"/>
            <wp:cNvGraphicFramePr/>
            <a:graphic xmlns:a="http://schemas.openxmlformats.org/drawingml/2006/main">
              <a:graphicData uri="http://schemas.openxmlformats.org/drawingml/2006/picture">
                <pic:pic xmlns:pic="http://schemas.openxmlformats.org/drawingml/2006/picture">
                  <pic:nvPicPr>
                    <pic:cNvPr id="3" name="图片 4" descr="图片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8560" cy="1452880"/>
                    </a:xfrm>
                    <a:prstGeom prst="rect">
                      <a:avLst/>
                    </a:prstGeom>
                    <a:noFill/>
                    <a:ln>
                      <a:noFill/>
                    </a:ln>
                  </pic:spPr>
                </pic:pic>
              </a:graphicData>
            </a:graphic>
          </wp:inline>
        </w:drawing>
      </w:r>
    </w:p>
    <w:p w14:paraId="08B07049" w14:textId="77777777" w:rsidR="00F5289E" w:rsidRDefault="00C91173">
      <w:pPr>
        <w:spacing w:line="360" w:lineRule="auto"/>
        <w:rPr>
          <w:b/>
          <w:szCs w:val="21"/>
        </w:rPr>
      </w:pPr>
      <w:r>
        <w:rPr>
          <w:b/>
          <w:szCs w:val="21"/>
        </w:rPr>
        <w:t>3.1.2</w:t>
      </w:r>
      <w:r>
        <w:rPr>
          <w:b/>
          <w:szCs w:val="21"/>
        </w:rPr>
        <w:t>观测时间</w:t>
      </w:r>
      <w:r>
        <w:rPr>
          <w:b/>
          <w:szCs w:val="21"/>
        </w:rPr>
        <w:t xml:space="preserve">  </w:t>
      </w:r>
    </w:p>
    <w:p w14:paraId="73D0477B" w14:textId="77777777" w:rsidR="00F5289E" w:rsidRDefault="00C91173">
      <w:pPr>
        <w:spacing w:line="360" w:lineRule="auto"/>
        <w:rPr>
          <w:szCs w:val="21"/>
        </w:rPr>
      </w:pPr>
      <w:r>
        <w:rPr>
          <w:szCs w:val="21"/>
        </w:rPr>
        <w:t>一天中每隔两小时测一次，一般在</w:t>
      </w:r>
      <w:r>
        <w:rPr>
          <w:szCs w:val="21"/>
        </w:rPr>
        <w:t>20</w:t>
      </w:r>
      <w:r>
        <w:rPr>
          <w:szCs w:val="21"/>
        </w:rPr>
        <w:t>：</w:t>
      </w:r>
      <w:r>
        <w:rPr>
          <w:szCs w:val="21"/>
        </w:rPr>
        <w:t>00</w:t>
      </w:r>
      <w:r>
        <w:rPr>
          <w:szCs w:val="21"/>
        </w:rPr>
        <w:t>，</w:t>
      </w:r>
      <w:r>
        <w:rPr>
          <w:szCs w:val="21"/>
        </w:rPr>
        <w:t>22</w:t>
      </w:r>
      <w:r>
        <w:rPr>
          <w:szCs w:val="21"/>
        </w:rPr>
        <w:t>：</w:t>
      </w:r>
      <w:r>
        <w:rPr>
          <w:szCs w:val="21"/>
        </w:rPr>
        <w:t>00</w:t>
      </w:r>
      <w:r>
        <w:rPr>
          <w:szCs w:val="21"/>
        </w:rPr>
        <w:t>，</w:t>
      </w:r>
      <w:r>
        <w:rPr>
          <w:szCs w:val="21"/>
        </w:rPr>
        <w:t>0</w:t>
      </w:r>
      <w:r>
        <w:rPr>
          <w:szCs w:val="21"/>
        </w:rPr>
        <w:t>：</w:t>
      </w:r>
      <w:r>
        <w:rPr>
          <w:szCs w:val="21"/>
        </w:rPr>
        <w:t>00</w:t>
      </w:r>
      <w:r>
        <w:rPr>
          <w:szCs w:val="21"/>
        </w:rPr>
        <w:t>，</w:t>
      </w:r>
      <w:r>
        <w:rPr>
          <w:szCs w:val="21"/>
        </w:rPr>
        <w:t>2</w:t>
      </w:r>
      <w:r>
        <w:rPr>
          <w:szCs w:val="21"/>
        </w:rPr>
        <w:t>：</w:t>
      </w:r>
      <w:r>
        <w:rPr>
          <w:szCs w:val="21"/>
        </w:rPr>
        <w:t>00</w:t>
      </w:r>
      <w:r>
        <w:rPr>
          <w:szCs w:val="21"/>
        </w:rPr>
        <w:t>，</w:t>
      </w:r>
      <w:r>
        <w:rPr>
          <w:szCs w:val="21"/>
        </w:rPr>
        <w:t>4</w:t>
      </w:r>
      <w:r>
        <w:rPr>
          <w:szCs w:val="21"/>
        </w:rPr>
        <w:t>：</w:t>
      </w:r>
      <w:r>
        <w:rPr>
          <w:szCs w:val="21"/>
        </w:rPr>
        <w:t>00</w:t>
      </w:r>
      <w:r>
        <w:rPr>
          <w:szCs w:val="21"/>
        </w:rPr>
        <w:t>，</w:t>
      </w:r>
      <w:r>
        <w:rPr>
          <w:szCs w:val="21"/>
        </w:rPr>
        <w:t>6</w:t>
      </w:r>
      <w:r>
        <w:rPr>
          <w:szCs w:val="21"/>
        </w:rPr>
        <w:t>：</w:t>
      </w:r>
      <w:r>
        <w:rPr>
          <w:szCs w:val="21"/>
        </w:rPr>
        <w:t>00</w:t>
      </w:r>
      <w:r>
        <w:rPr>
          <w:szCs w:val="21"/>
        </w:rPr>
        <w:t>，</w:t>
      </w:r>
      <w:r>
        <w:rPr>
          <w:szCs w:val="21"/>
        </w:rPr>
        <w:t>8</w:t>
      </w:r>
      <w:r>
        <w:rPr>
          <w:szCs w:val="21"/>
        </w:rPr>
        <w:t>：</w:t>
      </w:r>
      <w:r>
        <w:rPr>
          <w:szCs w:val="21"/>
        </w:rPr>
        <w:t>00</w:t>
      </w:r>
      <w:r>
        <w:rPr>
          <w:szCs w:val="21"/>
        </w:rPr>
        <w:t>，</w:t>
      </w:r>
      <w:r>
        <w:rPr>
          <w:szCs w:val="21"/>
        </w:rPr>
        <w:t>12</w:t>
      </w:r>
      <w:r>
        <w:rPr>
          <w:szCs w:val="21"/>
        </w:rPr>
        <w:t>：</w:t>
      </w:r>
      <w:r>
        <w:rPr>
          <w:szCs w:val="21"/>
        </w:rPr>
        <w:t>00</w:t>
      </w:r>
      <w:r>
        <w:rPr>
          <w:szCs w:val="21"/>
        </w:rPr>
        <w:t>，</w:t>
      </w:r>
      <w:r>
        <w:rPr>
          <w:szCs w:val="21"/>
        </w:rPr>
        <w:t>14</w:t>
      </w:r>
      <w:r>
        <w:rPr>
          <w:szCs w:val="21"/>
        </w:rPr>
        <w:t>：</w:t>
      </w:r>
      <w:r>
        <w:rPr>
          <w:szCs w:val="21"/>
        </w:rPr>
        <w:t>00</w:t>
      </w:r>
      <w:r>
        <w:rPr>
          <w:szCs w:val="21"/>
        </w:rPr>
        <w:t>，</w:t>
      </w:r>
      <w:r>
        <w:rPr>
          <w:szCs w:val="21"/>
        </w:rPr>
        <w:t>16</w:t>
      </w:r>
      <w:r>
        <w:rPr>
          <w:szCs w:val="21"/>
        </w:rPr>
        <w:t>：</w:t>
      </w:r>
      <w:r>
        <w:rPr>
          <w:szCs w:val="21"/>
        </w:rPr>
        <w:t>00</w:t>
      </w:r>
      <w:r>
        <w:rPr>
          <w:szCs w:val="21"/>
        </w:rPr>
        <w:t>，</w:t>
      </w:r>
      <w:r>
        <w:rPr>
          <w:szCs w:val="21"/>
        </w:rPr>
        <w:t>18</w:t>
      </w:r>
      <w:r>
        <w:rPr>
          <w:szCs w:val="21"/>
        </w:rPr>
        <w:t>：</w:t>
      </w:r>
      <w:r>
        <w:rPr>
          <w:szCs w:val="21"/>
        </w:rPr>
        <w:t>00</w:t>
      </w:r>
      <w:r>
        <w:rPr>
          <w:szCs w:val="21"/>
        </w:rPr>
        <w:t>共测</w:t>
      </w:r>
      <w:r>
        <w:rPr>
          <w:szCs w:val="21"/>
        </w:rPr>
        <w:t>11</w:t>
      </w:r>
      <w:r>
        <w:rPr>
          <w:szCs w:val="21"/>
        </w:rPr>
        <w:t>次，但设施揭盖前后最好各测一次。</w:t>
      </w:r>
    </w:p>
    <w:p w14:paraId="185324E9" w14:textId="77777777" w:rsidR="00F5289E" w:rsidRDefault="00C91173">
      <w:pPr>
        <w:spacing w:line="360" w:lineRule="auto"/>
        <w:rPr>
          <w:b/>
          <w:szCs w:val="21"/>
        </w:rPr>
      </w:pPr>
      <w:r>
        <w:rPr>
          <w:b/>
          <w:szCs w:val="21"/>
        </w:rPr>
        <w:t>3.1.3</w:t>
      </w:r>
      <w:r>
        <w:rPr>
          <w:b/>
          <w:szCs w:val="21"/>
        </w:rPr>
        <w:t>观测值</w:t>
      </w:r>
    </w:p>
    <w:p w14:paraId="48BBAF6C" w14:textId="77777777" w:rsidR="00F5289E" w:rsidRDefault="00C91173">
      <w:pPr>
        <w:spacing w:line="360" w:lineRule="auto"/>
        <w:rPr>
          <w:szCs w:val="21"/>
        </w:rPr>
      </w:pPr>
      <w:r>
        <w:rPr>
          <w:szCs w:val="21"/>
        </w:rPr>
        <w:t>读取每组测一个项目，按每个水平测点顺序往返两次，同一点自上而下、自下而上也往返两次，取两次观测平均值。</w:t>
      </w:r>
    </w:p>
    <w:p w14:paraId="6345A596" w14:textId="77777777" w:rsidR="00F5289E" w:rsidRDefault="00C91173">
      <w:pPr>
        <w:spacing w:line="360" w:lineRule="auto"/>
        <w:rPr>
          <w:b/>
          <w:szCs w:val="21"/>
        </w:rPr>
      </w:pPr>
      <w:r>
        <w:rPr>
          <w:b/>
          <w:szCs w:val="21"/>
        </w:rPr>
        <w:t>3.1.4</w:t>
      </w:r>
      <w:r>
        <w:rPr>
          <w:b/>
          <w:szCs w:val="21"/>
        </w:rPr>
        <w:t>注意事项</w:t>
      </w:r>
      <w:r>
        <w:rPr>
          <w:b/>
          <w:szCs w:val="21"/>
        </w:rPr>
        <w:t xml:space="preserve">  </w:t>
      </w:r>
    </w:p>
    <w:p w14:paraId="01EE6627" w14:textId="77777777" w:rsidR="00F5289E" w:rsidRDefault="00C91173">
      <w:pPr>
        <w:spacing w:line="360" w:lineRule="auto"/>
        <w:rPr>
          <w:szCs w:val="21"/>
        </w:rPr>
      </w:pPr>
      <w:r>
        <w:rPr>
          <w:rFonts w:ascii="Cambria Math" w:hAnsi="Cambria Math" w:cs="Cambria Math"/>
          <w:szCs w:val="21"/>
        </w:rPr>
        <w:t>①</w:t>
      </w:r>
      <w:r>
        <w:rPr>
          <w:szCs w:val="21"/>
        </w:rPr>
        <w:t>测定前先画好记载表。</w:t>
      </w:r>
    </w:p>
    <w:p w14:paraId="31D1A6E8" w14:textId="77777777" w:rsidR="00F5289E" w:rsidRDefault="00C91173">
      <w:pPr>
        <w:spacing w:line="360" w:lineRule="auto"/>
        <w:rPr>
          <w:szCs w:val="21"/>
        </w:rPr>
      </w:pPr>
      <w:r>
        <w:rPr>
          <w:rFonts w:ascii="Cambria Math" w:hAnsi="Cambria Math" w:cs="Cambria Math"/>
          <w:szCs w:val="21"/>
        </w:rPr>
        <w:lastRenderedPageBreak/>
        <w:t>②</w:t>
      </w:r>
      <w:r>
        <w:rPr>
          <w:szCs w:val="21"/>
        </w:rPr>
        <w:t>仪器安装好以后必须校正和预测一次，没问题后再进行正式测定。</w:t>
      </w:r>
    </w:p>
    <w:p w14:paraId="52FCE9B9" w14:textId="77777777" w:rsidR="00F5289E" w:rsidRDefault="00C91173">
      <w:pPr>
        <w:spacing w:line="360" w:lineRule="auto"/>
        <w:rPr>
          <w:szCs w:val="21"/>
        </w:rPr>
      </w:pPr>
      <w:r>
        <w:rPr>
          <w:rFonts w:ascii="Cambria Math" w:hAnsi="Cambria Math" w:cs="Cambria Math"/>
          <w:szCs w:val="21"/>
        </w:rPr>
        <w:t>③</w:t>
      </w:r>
      <w:r>
        <w:rPr>
          <w:szCs w:val="21"/>
        </w:rPr>
        <w:t>测完后一定要校对数据，发现错误及时更正。</w:t>
      </w:r>
    </w:p>
    <w:p w14:paraId="4B9F4E13" w14:textId="77777777" w:rsidR="00F5289E" w:rsidRDefault="00C91173">
      <w:pPr>
        <w:spacing w:line="360" w:lineRule="auto"/>
        <w:rPr>
          <w:b/>
          <w:bCs/>
          <w:szCs w:val="21"/>
        </w:rPr>
      </w:pPr>
      <w:r>
        <w:rPr>
          <w:b/>
          <w:bCs/>
          <w:szCs w:val="21"/>
        </w:rPr>
        <w:t>3.2</w:t>
      </w:r>
      <w:r>
        <w:rPr>
          <w:b/>
          <w:bCs/>
          <w:szCs w:val="21"/>
        </w:rPr>
        <w:t>作业与思考题</w:t>
      </w:r>
    </w:p>
    <w:p w14:paraId="39831003" w14:textId="77777777" w:rsidR="00F5289E" w:rsidRDefault="00C91173">
      <w:pPr>
        <w:spacing w:line="360" w:lineRule="auto"/>
        <w:rPr>
          <w:b/>
          <w:bCs/>
          <w:szCs w:val="21"/>
        </w:rPr>
      </w:pPr>
      <w:r>
        <w:rPr>
          <w:b/>
          <w:bCs/>
          <w:szCs w:val="21"/>
        </w:rPr>
        <w:t>3.2.1</w:t>
      </w:r>
      <w:r>
        <w:rPr>
          <w:b/>
          <w:bCs/>
          <w:szCs w:val="21"/>
        </w:rPr>
        <w:t>作业</w:t>
      </w:r>
    </w:p>
    <w:p w14:paraId="740A0626" w14:textId="77777777" w:rsidR="00F5289E" w:rsidRDefault="00C91173">
      <w:pPr>
        <w:spacing w:line="360" w:lineRule="auto"/>
        <w:rPr>
          <w:szCs w:val="21"/>
        </w:rPr>
      </w:pPr>
      <w:r>
        <w:rPr>
          <w:szCs w:val="21"/>
        </w:rPr>
        <w:t>绘出所选择的测量点，将三次观测数据的平均值填入设施内温度记录表。</w:t>
      </w:r>
    </w:p>
    <w:p w14:paraId="3F9ACF73" w14:textId="77777777" w:rsidR="00F5289E" w:rsidRDefault="00C91173">
      <w:pPr>
        <w:spacing w:line="440" w:lineRule="exact"/>
        <w:jc w:val="center"/>
        <w:rPr>
          <w:szCs w:val="21"/>
        </w:rPr>
      </w:pPr>
      <w:r>
        <w:rPr>
          <w:szCs w:val="21"/>
        </w:rPr>
        <w:t>表</w:t>
      </w:r>
      <w:r>
        <w:rPr>
          <w:szCs w:val="21"/>
        </w:rPr>
        <w:t xml:space="preserve">1 </w:t>
      </w:r>
      <w:r>
        <w:rPr>
          <w:szCs w:val="21"/>
        </w:rPr>
        <w:t>设施环境记录表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1071"/>
        <w:gridCol w:w="1275"/>
        <w:gridCol w:w="1418"/>
        <w:gridCol w:w="1276"/>
        <w:gridCol w:w="1275"/>
        <w:gridCol w:w="1393"/>
      </w:tblGrid>
      <w:tr w:rsidR="00F5289E" w14:paraId="4C94BB45" w14:textId="77777777">
        <w:trPr>
          <w:trHeight w:val="416"/>
          <w:jc w:val="center"/>
        </w:trPr>
        <w:tc>
          <w:tcPr>
            <w:tcW w:w="873" w:type="dxa"/>
            <w:vMerge w:val="restart"/>
            <w:vAlign w:val="center"/>
          </w:tcPr>
          <w:p w14:paraId="31153B21" w14:textId="77777777" w:rsidR="00F5289E" w:rsidRDefault="00C91173">
            <w:pPr>
              <w:spacing w:line="440" w:lineRule="exact"/>
              <w:jc w:val="center"/>
              <w:rPr>
                <w:sz w:val="18"/>
                <w:szCs w:val="18"/>
              </w:rPr>
            </w:pPr>
            <w:r>
              <w:rPr>
                <w:sz w:val="18"/>
                <w:szCs w:val="18"/>
              </w:rPr>
              <w:t>项目</w:t>
            </w:r>
          </w:p>
        </w:tc>
        <w:tc>
          <w:tcPr>
            <w:tcW w:w="6315" w:type="dxa"/>
            <w:gridSpan w:val="5"/>
            <w:tcBorders>
              <w:bottom w:val="nil"/>
              <w:right w:val="single" w:sz="4" w:space="0" w:color="auto"/>
            </w:tcBorders>
            <w:vAlign w:val="center"/>
          </w:tcPr>
          <w:p w14:paraId="168A3E5A" w14:textId="77777777" w:rsidR="00F5289E" w:rsidRDefault="00C91173">
            <w:pPr>
              <w:spacing w:line="440" w:lineRule="exact"/>
              <w:jc w:val="center"/>
              <w:rPr>
                <w:sz w:val="18"/>
                <w:szCs w:val="18"/>
              </w:rPr>
            </w:pPr>
            <w:r>
              <w:rPr>
                <w:sz w:val="18"/>
                <w:szCs w:val="18"/>
              </w:rPr>
              <w:t>测量值（取三次结果的平均值）</w:t>
            </w:r>
          </w:p>
        </w:tc>
        <w:tc>
          <w:tcPr>
            <w:tcW w:w="1393" w:type="dxa"/>
            <w:vMerge w:val="restart"/>
            <w:tcBorders>
              <w:left w:val="single" w:sz="4" w:space="0" w:color="auto"/>
              <w:right w:val="single" w:sz="4" w:space="0" w:color="auto"/>
            </w:tcBorders>
            <w:vAlign w:val="center"/>
          </w:tcPr>
          <w:p w14:paraId="5086C29C" w14:textId="77777777" w:rsidR="00F5289E" w:rsidRDefault="00C91173">
            <w:pPr>
              <w:spacing w:line="440" w:lineRule="exact"/>
              <w:jc w:val="center"/>
              <w:rPr>
                <w:sz w:val="18"/>
                <w:szCs w:val="18"/>
              </w:rPr>
            </w:pPr>
            <w:r>
              <w:rPr>
                <w:sz w:val="18"/>
                <w:szCs w:val="18"/>
              </w:rPr>
              <w:t>室外测量值</w:t>
            </w:r>
          </w:p>
          <w:p w14:paraId="5CE4B230" w14:textId="77777777" w:rsidR="00F5289E" w:rsidRDefault="00C91173">
            <w:pPr>
              <w:spacing w:line="440" w:lineRule="exact"/>
              <w:jc w:val="center"/>
              <w:rPr>
                <w:sz w:val="18"/>
                <w:szCs w:val="18"/>
              </w:rPr>
            </w:pPr>
            <w:r>
              <w:rPr>
                <w:sz w:val="18"/>
                <w:szCs w:val="18"/>
              </w:rPr>
              <w:t>（三次平均值）</w:t>
            </w:r>
          </w:p>
        </w:tc>
      </w:tr>
      <w:tr w:rsidR="00F5289E" w14:paraId="44140193" w14:textId="77777777">
        <w:trPr>
          <w:trHeight w:val="252"/>
          <w:jc w:val="center"/>
        </w:trPr>
        <w:tc>
          <w:tcPr>
            <w:tcW w:w="873" w:type="dxa"/>
            <w:vMerge/>
            <w:tcBorders>
              <w:bottom w:val="single" w:sz="4" w:space="0" w:color="auto"/>
            </w:tcBorders>
            <w:vAlign w:val="center"/>
          </w:tcPr>
          <w:p w14:paraId="00E12C1F" w14:textId="77777777" w:rsidR="00F5289E" w:rsidRDefault="00F5289E">
            <w:pPr>
              <w:spacing w:line="440" w:lineRule="exact"/>
              <w:jc w:val="center"/>
              <w:rPr>
                <w:sz w:val="18"/>
                <w:szCs w:val="18"/>
              </w:rPr>
            </w:pPr>
          </w:p>
        </w:tc>
        <w:tc>
          <w:tcPr>
            <w:tcW w:w="1071" w:type="dxa"/>
            <w:tcBorders>
              <w:top w:val="single" w:sz="4" w:space="0" w:color="auto"/>
              <w:bottom w:val="single" w:sz="4" w:space="0" w:color="auto"/>
              <w:right w:val="single" w:sz="4" w:space="0" w:color="auto"/>
            </w:tcBorders>
            <w:vAlign w:val="center"/>
          </w:tcPr>
          <w:p w14:paraId="596663DF" w14:textId="77777777" w:rsidR="00F5289E" w:rsidRDefault="00C91173">
            <w:pPr>
              <w:spacing w:line="440" w:lineRule="exact"/>
              <w:rPr>
                <w:sz w:val="18"/>
                <w:szCs w:val="18"/>
              </w:rPr>
            </w:pPr>
            <w:r>
              <w:rPr>
                <w:sz w:val="18"/>
                <w:szCs w:val="18"/>
              </w:rPr>
              <w:t>测量点</w:t>
            </w:r>
            <w:r>
              <w:rPr>
                <w:sz w:val="18"/>
                <w:szCs w:val="18"/>
              </w:rPr>
              <w:t>1</w:t>
            </w:r>
          </w:p>
        </w:tc>
        <w:tc>
          <w:tcPr>
            <w:tcW w:w="1275" w:type="dxa"/>
            <w:tcBorders>
              <w:top w:val="single" w:sz="4" w:space="0" w:color="auto"/>
              <w:bottom w:val="single" w:sz="4" w:space="0" w:color="auto"/>
              <w:right w:val="single" w:sz="4" w:space="0" w:color="auto"/>
            </w:tcBorders>
            <w:vAlign w:val="center"/>
          </w:tcPr>
          <w:p w14:paraId="48124E36" w14:textId="77777777" w:rsidR="00F5289E" w:rsidRDefault="00C91173">
            <w:pPr>
              <w:spacing w:line="440" w:lineRule="exact"/>
              <w:jc w:val="center"/>
              <w:rPr>
                <w:sz w:val="18"/>
                <w:szCs w:val="18"/>
              </w:rPr>
            </w:pPr>
            <w:r>
              <w:rPr>
                <w:sz w:val="18"/>
                <w:szCs w:val="18"/>
              </w:rPr>
              <w:t>测量点</w:t>
            </w:r>
            <w:r>
              <w:rPr>
                <w:sz w:val="18"/>
                <w:szCs w:val="18"/>
              </w:rPr>
              <w:t>2</w:t>
            </w:r>
          </w:p>
        </w:tc>
        <w:tc>
          <w:tcPr>
            <w:tcW w:w="1418" w:type="dxa"/>
            <w:tcBorders>
              <w:top w:val="single" w:sz="4" w:space="0" w:color="auto"/>
              <w:bottom w:val="single" w:sz="4" w:space="0" w:color="auto"/>
              <w:right w:val="single" w:sz="4" w:space="0" w:color="auto"/>
            </w:tcBorders>
            <w:vAlign w:val="center"/>
          </w:tcPr>
          <w:p w14:paraId="014F37A7" w14:textId="77777777" w:rsidR="00F5289E" w:rsidRDefault="00C91173">
            <w:pPr>
              <w:spacing w:line="440" w:lineRule="exact"/>
              <w:jc w:val="center"/>
              <w:rPr>
                <w:sz w:val="18"/>
                <w:szCs w:val="18"/>
              </w:rPr>
            </w:pPr>
            <w:r>
              <w:rPr>
                <w:sz w:val="18"/>
                <w:szCs w:val="18"/>
              </w:rPr>
              <w:t>测量点</w:t>
            </w:r>
            <w:r>
              <w:rPr>
                <w:sz w:val="18"/>
                <w:szCs w:val="18"/>
              </w:rPr>
              <w:t>3</w:t>
            </w:r>
          </w:p>
        </w:tc>
        <w:tc>
          <w:tcPr>
            <w:tcW w:w="1276" w:type="dxa"/>
            <w:tcBorders>
              <w:top w:val="single" w:sz="4" w:space="0" w:color="auto"/>
              <w:bottom w:val="single" w:sz="4" w:space="0" w:color="auto"/>
              <w:right w:val="single" w:sz="4" w:space="0" w:color="auto"/>
            </w:tcBorders>
            <w:vAlign w:val="center"/>
          </w:tcPr>
          <w:p w14:paraId="5716A076" w14:textId="77777777" w:rsidR="00F5289E" w:rsidRDefault="00C91173">
            <w:pPr>
              <w:spacing w:line="440" w:lineRule="exact"/>
              <w:jc w:val="center"/>
              <w:rPr>
                <w:sz w:val="18"/>
                <w:szCs w:val="18"/>
              </w:rPr>
            </w:pPr>
            <w:r>
              <w:rPr>
                <w:sz w:val="18"/>
                <w:szCs w:val="18"/>
              </w:rPr>
              <w:t>测量点</w:t>
            </w:r>
            <w:r>
              <w:rPr>
                <w:sz w:val="18"/>
                <w:szCs w:val="18"/>
              </w:rPr>
              <w:t>4</w:t>
            </w:r>
          </w:p>
        </w:tc>
        <w:tc>
          <w:tcPr>
            <w:tcW w:w="1275" w:type="dxa"/>
            <w:tcBorders>
              <w:bottom w:val="single" w:sz="4" w:space="0" w:color="000000"/>
              <w:right w:val="single" w:sz="4" w:space="0" w:color="auto"/>
            </w:tcBorders>
          </w:tcPr>
          <w:p w14:paraId="1A16C1D0" w14:textId="77777777" w:rsidR="00F5289E" w:rsidRDefault="00C91173">
            <w:pPr>
              <w:spacing w:line="440" w:lineRule="exact"/>
              <w:ind w:firstLineChars="100" w:firstLine="180"/>
              <w:rPr>
                <w:sz w:val="18"/>
                <w:szCs w:val="18"/>
              </w:rPr>
            </w:pPr>
            <w:r>
              <w:rPr>
                <w:sz w:val="18"/>
                <w:szCs w:val="18"/>
              </w:rPr>
              <w:t>测量点</w:t>
            </w:r>
            <w:r>
              <w:rPr>
                <w:sz w:val="18"/>
                <w:szCs w:val="18"/>
              </w:rPr>
              <w:t>5</w:t>
            </w:r>
          </w:p>
        </w:tc>
        <w:tc>
          <w:tcPr>
            <w:tcW w:w="1393" w:type="dxa"/>
            <w:vMerge/>
            <w:tcBorders>
              <w:left w:val="single" w:sz="4" w:space="0" w:color="auto"/>
              <w:right w:val="single" w:sz="4" w:space="0" w:color="auto"/>
            </w:tcBorders>
            <w:vAlign w:val="center"/>
          </w:tcPr>
          <w:p w14:paraId="7615F990" w14:textId="77777777" w:rsidR="00F5289E" w:rsidRDefault="00F5289E">
            <w:pPr>
              <w:spacing w:line="440" w:lineRule="exact"/>
              <w:rPr>
                <w:sz w:val="18"/>
                <w:szCs w:val="18"/>
              </w:rPr>
            </w:pPr>
          </w:p>
        </w:tc>
      </w:tr>
      <w:tr w:rsidR="00F5289E" w14:paraId="2628A6CC" w14:textId="77777777">
        <w:trPr>
          <w:trHeight w:val="389"/>
          <w:jc w:val="center"/>
        </w:trPr>
        <w:tc>
          <w:tcPr>
            <w:tcW w:w="873" w:type="dxa"/>
            <w:vAlign w:val="center"/>
          </w:tcPr>
          <w:p w14:paraId="4E8D2C68" w14:textId="77777777" w:rsidR="00F5289E" w:rsidRDefault="00C91173">
            <w:pPr>
              <w:spacing w:line="440" w:lineRule="exact"/>
              <w:jc w:val="center"/>
              <w:rPr>
                <w:sz w:val="18"/>
                <w:szCs w:val="18"/>
              </w:rPr>
            </w:pPr>
            <w:r>
              <w:rPr>
                <w:sz w:val="18"/>
                <w:szCs w:val="18"/>
              </w:rPr>
              <w:t>浓度</w:t>
            </w:r>
          </w:p>
        </w:tc>
        <w:tc>
          <w:tcPr>
            <w:tcW w:w="1071" w:type="dxa"/>
            <w:tcBorders>
              <w:right w:val="single" w:sz="4" w:space="0" w:color="auto"/>
            </w:tcBorders>
            <w:vAlign w:val="center"/>
          </w:tcPr>
          <w:p w14:paraId="18ED80FA" w14:textId="77777777" w:rsidR="00F5289E" w:rsidRDefault="00F5289E">
            <w:pPr>
              <w:spacing w:line="440" w:lineRule="exact"/>
              <w:jc w:val="center"/>
              <w:rPr>
                <w:sz w:val="18"/>
                <w:szCs w:val="18"/>
              </w:rPr>
            </w:pPr>
          </w:p>
        </w:tc>
        <w:tc>
          <w:tcPr>
            <w:tcW w:w="1275" w:type="dxa"/>
            <w:tcBorders>
              <w:left w:val="single" w:sz="4" w:space="0" w:color="auto"/>
            </w:tcBorders>
            <w:vAlign w:val="center"/>
          </w:tcPr>
          <w:p w14:paraId="6A79BF93" w14:textId="77777777" w:rsidR="00F5289E" w:rsidRDefault="00F5289E">
            <w:pPr>
              <w:spacing w:line="440" w:lineRule="exact"/>
              <w:jc w:val="center"/>
              <w:rPr>
                <w:sz w:val="18"/>
                <w:szCs w:val="18"/>
              </w:rPr>
            </w:pPr>
          </w:p>
        </w:tc>
        <w:tc>
          <w:tcPr>
            <w:tcW w:w="1418" w:type="dxa"/>
            <w:vAlign w:val="center"/>
          </w:tcPr>
          <w:p w14:paraId="5BB7528D" w14:textId="77777777" w:rsidR="00F5289E" w:rsidRDefault="00F5289E">
            <w:pPr>
              <w:spacing w:line="440" w:lineRule="exact"/>
              <w:jc w:val="center"/>
              <w:rPr>
                <w:sz w:val="18"/>
                <w:szCs w:val="18"/>
              </w:rPr>
            </w:pPr>
          </w:p>
        </w:tc>
        <w:tc>
          <w:tcPr>
            <w:tcW w:w="1276" w:type="dxa"/>
            <w:vAlign w:val="center"/>
          </w:tcPr>
          <w:p w14:paraId="22E6D77F" w14:textId="77777777" w:rsidR="00F5289E" w:rsidRDefault="00F5289E">
            <w:pPr>
              <w:spacing w:line="440" w:lineRule="exact"/>
              <w:jc w:val="center"/>
              <w:rPr>
                <w:sz w:val="18"/>
                <w:szCs w:val="18"/>
              </w:rPr>
            </w:pPr>
          </w:p>
        </w:tc>
        <w:tc>
          <w:tcPr>
            <w:tcW w:w="1275" w:type="dxa"/>
            <w:tcBorders>
              <w:right w:val="single" w:sz="4" w:space="0" w:color="auto"/>
            </w:tcBorders>
          </w:tcPr>
          <w:p w14:paraId="0CE5E8AC" w14:textId="77777777" w:rsidR="00F5289E" w:rsidRDefault="00F5289E">
            <w:pPr>
              <w:spacing w:line="440" w:lineRule="exact"/>
              <w:jc w:val="center"/>
              <w:rPr>
                <w:sz w:val="18"/>
                <w:szCs w:val="18"/>
              </w:rPr>
            </w:pPr>
          </w:p>
        </w:tc>
        <w:tc>
          <w:tcPr>
            <w:tcW w:w="1393" w:type="dxa"/>
            <w:tcBorders>
              <w:top w:val="nil"/>
              <w:left w:val="single" w:sz="4" w:space="0" w:color="auto"/>
              <w:right w:val="single" w:sz="4" w:space="0" w:color="auto"/>
            </w:tcBorders>
            <w:vAlign w:val="center"/>
          </w:tcPr>
          <w:p w14:paraId="6B1BD78A" w14:textId="77777777" w:rsidR="00F5289E" w:rsidRDefault="00F5289E">
            <w:pPr>
              <w:spacing w:line="440" w:lineRule="exact"/>
              <w:jc w:val="center"/>
              <w:rPr>
                <w:sz w:val="18"/>
                <w:szCs w:val="18"/>
              </w:rPr>
            </w:pPr>
          </w:p>
        </w:tc>
      </w:tr>
    </w:tbl>
    <w:p w14:paraId="009395B0" w14:textId="77777777" w:rsidR="00F5289E" w:rsidRDefault="00C91173">
      <w:pPr>
        <w:spacing w:line="360" w:lineRule="auto"/>
        <w:rPr>
          <w:szCs w:val="21"/>
        </w:rPr>
      </w:pPr>
      <w:r>
        <w:rPr>
          <w:b/>
          <w:bCs/>
          <w:szCs w:val="21"/>
        </w:rPr>
        <w:t>3.2.2</w:t>
      </w:r>
      <w:r>
        <w:rPr>
          <w:b/>
          <w:bCs/>
          <w:szCs w:val="21"/>
        </w:rPr>
        <w:t>思考题</w:t>
      </w:r>
    </w:p>
    <w:p w14:paraId="38E22F8B" w14:textId="77777777" w:rsidR="00F5289E" w:rsidRDefault="00C91173">
      <w:pPr>
        <w:spacing w:line="360" w:lineRule="auto"/>
        <w:rPr>
          <w:szCs w:val="21"/>
        </w:rPr>
      </w:pPr>
      <w:r>
        <w:rPr>
          <w:szCs w:val="21"/>
        </w:rPr>
        <w:t>分析设施内二氧化碳环境的变化规律，并阐述形成的原因。</w:t>
      </w:r>
    </w:p>
    <w:p w14:paraId="5846C096" w14:textId="77777777" w:rsidR="00F5289E" w:rsidRDefault="00C91173">
      <w:pPr>
        <w:spacing w:line="360" w:lineRule="auto"/>
        <w:rPr>
          <w:bCs/>
          <w:szCs w:val="21"/>
        </w:rPr>
      </w:pPr>
      <w:r>
        <w:rPr>
          <w:b/>
          <w:szCs w:val="21"/>
        </w:rPr>
        <w:t>4.</w:t>
      </w:r>
      <w:r>
        <w:rPr>
          <w:b/>
          <w:szCs w:val="21"/>
        </w:rPr>
        <w:t>实验要求：</w:t>
      </w:r>
      <w:r>
        <w:rPr>
          <w:szCs w:val="21"/>
        </w:rPr>
        <w:t>要求学会设施内小气候的观测方法和测定仪器的使用。</w:t>
      </w:r>
    </w:p>
    <w:p w14:paraId="2D571EAC" w14:textId="77777777" w:rsidR="00F5289E" w:rsidRDefault="00C91173">
      <w:pPr>
        <w:spacing w:line="360" w:lineRule="auto"/>
        <w:rPr>
          <w:szCs w:val="21"/>
        </w:rPr>
      </w:pPr>
      <w:r>
        <w:rPr>
          <w:b/>
          <w:szCs w:val="21"/>
        </w:rPr>
        <w:t>5.</w:t>
      </w:r>
      <w:r>
        <w:rPr>
          <w:b/>
          <w:szCs w:val="21"/>
        </w:rPr>
        <w:t>实验设备及器材：</w:t>
      </w:r>
      <w:r>
        <w:rPr>
          <w:szCs w:val="21"/>
        </w:rPr>
        <w:t>二氧化碳分析仪</w:t>
      </w:r>
    </w:p>
    <w:p w14:paraId="024080B5" w14:textId="77777777" w:rsidR="00F5289E" w:rsidRDefault="00C91173" w:rsidP="00A115EF">
      <w:pPr>
        <w:numPr>
          <w:ilvl w:val="0"/>
          <w:numId w:val="16"/>
        </w:numPr>
        <w:spacing w:line="360" w:lineRule="auto"/>
        <w:rPr>
          <w:b/>
          <w:szCs w:val="21"/>
        </w:rPr>
      </w:pPr>
      <w:r>
        <w:rPr>
          <w:b/>
          <w:szCs w:val="21"/>
        </w:rPr>
        <w:t>课程思政</w:t>
      </w:r>
    </w:p>
    <w:p w14:paraId="7F965985" w14:textId="77777777" w:rsidR="00F5289E" w:rsidRDefault="00C91173" w:rsidP="00612D5B">
      <w:pPr>
        <w:spacing w:line="360" w:lineRule="auto"/>
        <w:ind w:firstLineChars="200" w:firstLine="420"/>
        <w:rPr>
          <w:szCs w:val="21"/>
        </w:rPr>
      </w:pPr>
      <w:r>
        <w:rPr>
          <w:bCs/>
          <w:szCs w:val="21"/>
        </w:rPr>
        <w:t>通过讲述</w:t>
      </w:r>
      <w:r>
        <w:rPr>
          <w:bCs/>
          <w:color w:val="000000"/>
          <w:kern w:val="0"/>
        </w:rPr>
        <w:t>我国设施园艺的发展历史，培养学生的爱国情怀；通过讲述我国设施园艺的现状，以及与荷兰</w:t>
      </w:r>
      <w:r>
        <w:t>、</w:t>
      </w:r>
      <w:r>
        <w:rPr>
          <w:bCs/>
          <w:color w:val="000000"/>
          <w:kern w:val="0"/>
        </w:rPr>
        <w:t>意大利等国家的差距，培养学生的行业使命和社会责任；通过对世界范围内设施园艺的发展现状的讲述，培养学生的国际视野；通过</w:t>
      </w:r>
      <w:r>
        <w:t>设施类型和发展历程的介绍，教学生要具备三农情怀和强烈的社会责任感；通过</w:t>
      </w:r>
      <w:r>
        <w:rPr>
          <w:bCs/>
          <w:color w:val="000000"/>
          <w:kern w:val="0"/>
        </w:rPr>
        <w:t>讲述设施园艺对人类生活的影响以及设施园艺在国民经济中重要地位，培养学生的三农情怀和乡村振兴责任感；通过</w:t>
      </w:r>
      <w:r>
        <w:rPr>
          <w:szCs w:val="21"/>
        </w:rPr>
        <w:t>设施环境特点及调控的讲述，以及经典案例的引入，培养学生的</w:t>
      </w:r>
      <w:r>
        <w:t>“</w:t>
      </w:r>
      <w:r>
        <w:t>三农</w:t>
      </w:r>
      <w:r>
        <w:t>”</w:t>
      </w:r>
      <w:r>
        <w:t>情怀和乡村振兴</w:t>
      </w:r>
      <w:r>
        <w:rPr>
          <w:szCs w:val="21"/>
        </w:rPr>
        <w:t>责任感。</w:t>
      </w:r>
    </w:p>
    <w:p w14:paraId="45F5453F" w14:textId="77777777" w:rsidR="00F5289E" w:rsidRDefault="00C91173">
      <w:pPr>
        <w:widowControl/>
        <w:spacing w:line="360" w:lineRule="auto"/>
        <w:jc w:val="left"/>
        <w:rPr>
          <w:kern w:val="0"/>
          <w:szCs w:val="21"/>
        </w:rPr>
      </w:pPr>
      <w:r>
        <w:rPr>
          <w:b/>
          <w:bCs/>
          <w:kern w:val="0"/>
          <w:szCs w:val="21"/>
        </w:rPr>
        <w:t>七、教材及教学参考书</w:t>
      </w:r>
    </w:p>
    <w:p w14:paraId="6D6E4B17" w14:textId="77777777" w:rsidR="00F5289E" w:rsidRDefault="00C91173">
      <w:pPr>
        <w:widowControl/>
        <w:spacing w:line="360" w:lineRule="auto"/>
        <w:jc w:val="left"/>
        <w:rPr>
          <w:b/>
          <w:bCs/>
          <w:kern w:val="0"/>
          <w:szCs w:val="21"/>
        </w:rPr>
      </w:pPr>
      <w:r>
        <w:rPr>
          <w:b/>
          <w:bCs/>
          <w:kern w:val="0"/>
          <w:szCs w:val="21"/>
        </w:rPr>
        <w:t>1.</w:t>
      </w:r>
      <w:r>
        <w:rPr>
          <w:b/>
          <w:bCs/>
          <w:kern w:val="0"/>
          <w:szCs w:val="21"/>
        </w:rPr>
        <w:t>选用教材：</w:t>
      </w:r>
    </w:p>
    <w:p w14:paraId="3B439CF4" w14:textId="77777777" w:rsidR="00F5289E" w:rsidRDefault="00C91173">
      <w:pPr>
        <w:widowControl/>
        <w:spacing w:line="360" w:lineRule="auto"/>
        <w:jc w:val="left"/>
        <w:rPr>
          <w:bCs/>
          <w:kern w:val="0"/>
          <w:szCs w:val="21"/>
        </w:rPr>
      </w:pPr>
      <w:r>
        <w:t>(1)</w:t>
      </w:r>
      <w:r>
        <w:rPr>
          <w:bCs/>
          <w:kern w:val="0"/>
          <w:szCs w:val="21"/>
        </w:rPr>
        <w:t>理论课教材：</w:t>
      </w:r>
    </w:p>
    <w:p w14:paraId="2BE91030" w14:textId="77777777" w:rsidR="00F5289E" w:rsidRDefault="00C91173">
      <w:pPr>
        <w:widowControl/>
        <w:spacing w:line="360" w:lineRule="auto"/>
        <w:jc w:val="left"/>
        <w:rPr>
          <w:kern w:val="0"/>
          <w:szCs w:val="21"/>
        </w:rPr>
      </w:pPr>
      <w:r>
        <w:rPr>
          <w:kern w:val="0"/>
          <w:szCs w:val="21"/>
        </w:rPr>
        <w:fldChar w:fldCharType="begin"/>
      </w:r>
      <w:r>
        <w:rPr>
          <w:kern w:val="0"/>
          <w:szCs w:val="21"/>
        </w:rPr>
        <w:instrText xml:space="preserve"> = 1 \* GB3 \* MERGEFORMAT </w:instrText>
      </w:r>
      <w:r>
        <w:rPr>
          <w:kern w:val="0"/>
          <w:szCs w:val="21"/>
        </w:rPr>
        <w:fldChar w:fldCharType="separate"/>
      </w:r>
      <w:r>
        <w:rPr>
          <w:rFonts w:ascii="Cambria Math" w:hAnsi="Cambria Math" w:cs="Cambria Math"/>
        </w:rPr>
        <w:t>①</w:t>
      </w:r>
      <w:r>
        <w:rPr>
          <w:kern w:val="0"/>
          <w:szCs w:val="21"/>
        </w:rPr>
        <w:fldChar w:fldCharType="end"/>
      </w:r>
      <w:r>
        <w:rPr>
          <w:kern w:val="0"/>
          <w:szCs w:val="21"/>
        </w:rPr>
        <w:t>设施农业环境工程学，邹志荣</w:t>
      </w:r>
      <w:r>
        <w:rPr>
          <w:kern w:val="0"/>
          <w:szCs w:val="21"/>
        </w:rPr>
        <w:t xml:space="preserve"> </w:t>
      </w:r>
      <w:r>
        <w:rPr>
          <w:kern w:val="0"/>
          <w:szCs w:val="21"/>
        </w:rPr>
        <w:t>邵孝候</w:t>
      </w:r>
      <w:r>
        <w:rPr>
          <w:kern w:val="0"/>
          <w:szCs w:val="21"/>
        </w:rPr>
        <w:t xml:space="preserve"> </w:t>
      </w:r>
      <w:r>
        <w:rPr>
          <w:kern w:val="0"/>
          <w:szCs w:val="21"/>
        </w:rPr>
        <w:t>主编，中国农业出版社，</w:t>
      </w:r>
      <w:r>
        <w:rPr>
          <w:kern w:val="0"/>
          <w:szCs w:val="21"/>
        </w:rPr>
        <w:t>2007</w:t>
      </w:r>
      <w:r>
        <w:rPr>
          <w:kern w:val="0"/>
          <w:szCs w:val="21"/>
        </w:rPr>
        <w:t>年；</w:t>
      </w:r>
    </w:p>
    <w:p w14:paraId="271EC938" w14:textId="77777777" w:rsidR="00F5289E" w:rsidRDefault="00C91173">
      <w:pPr>
        <w:widowControl/>
        <w:spacing w:line="360" w:lineRule="auto"/>
        <w:jc w:val="left"/>
        <w:rPr>
          <w:kern w:val="0"/>
          <w:szCs w:val="21"/>
        </w:rPr>
      </w:pPr>
      <w:r>
        <w:rPr>
          <w:kern w:val="0"/>
          <w:szCs w:val="21"/>
        </w:rPr>
        <w:fldChar w:fldCharType="begin"/>
      </w:r>
      <w:r>
        <w:rPr>
          <w:kern w:val="0"/>
          <w:szCs w:val="21"/>
        </w:rPr>
        <w:instrText xml:space="preserve"> = 2 \* GB3 \* MERGEFORMAT </w:instrText>
      </w:r>
      <w:r>
        <w:rPr>
          <w:kern w:val="0"/>
          <w:szCs w:val="21"/>
        </w:rPr>
        <w:fldChar w:fldCharType="separate"/>
      </w:r>
      <w:r>
        <w:rPr>
          <w:rFonts w:ascii="Cambria Math" w:hAnsi="Cambria Math" w:cs="Cambria Math"/>
        </w:rPr>
        <w:t>②</w:t>
      </w:r>
      <w:r>
        <w:rPr>
          <w:kern w:val="0"/>
          <w:szCs w:val="21"/>
        </w:rPr>
        <w:fldChar w:fldCharType="end"/>
      </w:r>
      <w:r>
        <w:rPr>
          <w:kern w:val="0"/>
          <w:szCs w:val="21"/>
        </w:rPr>
        <w:t>设施农业环境工程学第二版，邹志荣</w:t>
      </w:r>
      <w:r>
        <w:rPr>
          <w:kern w:val="0"/>
          <w:szCs w:val="21"/>
        </w:rPr>
        <w:t xml:space="preserve"> </w:t>
      </w:r>
      <w:r>
        <w:rPr>
          <w:kern w:val="0"/>
          <w:szCs w:val="21"/>
        </w:rPr>
        <w:t>李建明</w:t>
      </w:r>
      <w:r>
        <w:rPr>
          <w:kern w:val="0"/>
          <w:szCs w:val="21"/>
        </w:rPr>
        <w:t xml:space="preserve"> </w:t>
      </w:r>
      <w:r>
        <w:rPr>
          <w:kern w:val="0"/>
          <w:szCs w:val="21"/>
        </w:rPr>
        <w:t>主编，中国农业出版社，</w:t>
      </w:r>
      <w:r>
        <w:rPr>
          <w:kern w:val="0"/>
          <w:szCs w:val="21"/>
        </w:rPr>
        <w:t>2021</w:t>
      </w:r>
      <w:r>
        <w:rPr>
          <w:kern w:val="0"/>
          <w:szCs w:val="21"/>
        </w:rPr>
        <w:t>年</w:t>
      </w:r>
    </w:p>
    <w:p w14:paraId="631A43A1" w14:textId="77777777" w:rsidR="00F5289E" w:rsidRDefault="00C91173">
      <w:pPr>
        <w:widowControl/>
        <w:spacing w:line="360" w:lineRule="auto"/>
        <w:jc w:val="left"/>
        <w:rPr>
          <w:bCs/>
          <w:kern w:val="0"/>
          <w:szCs w:val="21"/>
        </w:rPr>
      </w:pPr>
      <w:r>
        <w:t>(2)</w:t>
      </w:r>
      <w:r>
        <w:t>实验课教材：</w:t>
      </w:r>
      <w:r>
        <w:rPr>
          <w:bCs/>
          <w:kern w:val="0"/>
          <w:szCs w:val="21"/>
        </w:rPr>
        <w:t>自编</w:t>
      </w:r>
    </w:p>
    <w:p w14:paraId="01A172F9" w14:textId="77777777" w:rsidR="00F5289E" w:rsidRDefault="00C91173">
      <w:pPr>
        <w:widowControl/>
        <w:spacing w:line="360" w:lineRule="auto"/>
        <w:jc w:val="left"/>
        <w:rPr>
          <w:bCs/>
          <w:kern w:val="0"/>
          <w:szCs w:val="21"/>
        </w:rPr>
      </w:pPr>
      <w:r>
        <w:t>(3)</w:t>
      </w:r>
      <w:r>
        <w:t>实习指导书：</w:t>
      </w:r>
      <w:r>
        <w:rPr>
          <w:bCs/>
          <w:kern w:val="0"/>
          <w:szCs w:val="21"/>
        </w:rPr>
        <w:t>自编</w:t>
      </w:r>
    </w:p>
    <w:p w14:paraId="29C47B1F" w14:textId="77777777" w:rsidR="00F5289E" w:rsidRDefault="00C91173">
      <w:pPr>
        <w:widowControl/>
        <w:spacing w:line="360" w:lineRule="auto"/>
        <w:jc w:val="left"/>
        <w:rPr>
          <w:kern w:val="0"/>
          <w:szCs w:val="21"/>
        </w:rPr>
      </w:pPr>
      <w:r>
        <w:rPr>
          <w:b/>
          <w:bCs/>
          <w:kern w:val="0"/>
          <w:szCs w:val="21"/>
        </w:rPr>
        <w:t>2.</w:t>
      </w:r>
      <w:r>
        <w:rPr>
          <w:b/>
          <w:bCs/>
          <w:kern w:val="0"/>
          <w:szCs w:val="21"/>
        </w:rPr>
        <w:t>参考书：</w:t>
      </w:r>
    </w:p>
    <w:p w14:paraId="71B424BC" w14:textId="77777777" w:rsidR="00F5289E" w:rsidRDefault="00C91173">
      <w:pPr>
        <w:spacing w:line="360" w:lineRule="auto"/>
        <w:rPr>
          <w:kern w:val="0"/>
          <w:szCs w:val="21"/>
        </w:rPr>
      </w:pPr>
      <w:r>
        <w:lastRenderedPageBreak/>
        <w:t>(1)</w:t>
      </w:r>
      <w:r>
        <w:rPr>
          <w:kern w:val="0"/>
          <w:szCs w:val="21"/>
        </w:rPr>
        <w:t>园艺设施工程学，吴凤芝主编，科学技术出版社，</w:t>
      </w:r>
      <w:r>
        <w:rPr>
          <w:kern w:val="0"/>
          <w:szCs w:val="21"/>
        </w:rPr>
        <w:t>2012</w:t>
      </w:r>
      <w:r>
        <w:rPr>
          <w:kern w:val="0"/>
          <w:szCs w:val="21"/>
        </w:rPr>
        <w:t>年</w:t>
      </w:r>
    </w:p>
    <w:p w14:paraId="26F228C9" w14:textId="77777777" w:rsidR="00F5289E" w:rsidRDefault="00C91173">
      <w:pPr>
        <w:spacing w:line="360" w:lineRule="auto"/>
        <w:rPr>
          <w:bCs/>
          <w:color w:val="0000FF"/>
          <w:kern w:val="0"/>
          <w:szCs w:val="21"/>
        </w:rPr>
      </w:pPr>
      <w:r>
        <w:t>(2)</w:t>
      </w:r>
      <w:r>
        <w:rPr>
          <w:kern w:val="0"/>
          <w:szCs w:val="21"/>
        </w:rPr>
        <w:t>设施园艺学，张福墁主编，中国农业大学出版社，</w:t>
      </w:r>
      <w:r>
        <w:rPr>
          <w:bCs/>
          <w:kern w:val="0"/>
          <w:szCs w:val="21"/>
        </w:rPr>
        <w:t>2010</w:t>
      </w:r>
      <w:r>
        <w:rPr>
          <w:bCs/>
          <w:kern w:val="0"/>
          <w:szCs w:val="21"/>
        </w:rPr>
        <w:t>年</w:t>
      </w:r>
    </w:p>
    <w:p w14:paraId="33137938" w14:textId="77777777" w:rsidR="00F5289E" w:rsidRDefault="00C91173">
      <w:pPr>
        <w:widowControl/>
        <w:spacing w:line="360" w:lineRule="auto"/>
        <w:jc w:val="left"/>
        <w:rPr>
          <w:bCs/>
          <w:kern w:val="0"/>
          <w:szCs w:val="21"/>
        </w:rPr>
      </w:pPr>
      <w:r>
        <w:t>(3)</w:t>
      </w:r>
      <w:r>
        <w:rPr>
          <w:bCs/>
          <w:kern w:val="0"/>
          <w:szCs w:val="21"/>
        </w:rPr>
        <w:t>园艺设施，张志轩主编，重庆大学出版社，</w:t>
      </w:r>
      <w:r>
        <w:rPr>
          <w:bCs/>
          <w:kern w:val="0"/>
          <w:szCs w:val="21"/>
        </w:rPr>
        <w:t>2014</w:t>
      </w:r>
      <w:r>
        <w:rPr>
          <w:bCs/>
          <w:kern w:val="0"/>
          <w:szCs w:val="21"/>
        </w:rPr>
        <w:t>年</w:t>
      </w:r>
    </w:p>
    <w:p w14:paraId="0D1E16CA" w14:textId="77777777" w:rsidR="00F5289E" w:rsidRDefault="00C91173">
      <w:pPr>
        <w:widowControl/>
        <w:spacing w:line="360" w:lineRule="auto"/>
        <w:jc w:val="left"/>
        <w:rPr>
          <w:bCs/>
          <w:kern w:val="0"/>
          <w:szCs w:val="21"/>
        </w:rPr>
      </w:pPr>
      <w:r>
        <w:t>(4)</w:t>
      </w:r>
      <w:r>
        <w:rPr>
          <w:bCs/>
          <w:kern w:val="0"/>
          <w:szCs w:val="21"/>
        </w:rPr>
        <w:t>园艺设施建造与环境调控，李青云主编，金盾出版社，</w:t>
      </w:r>
      <w:r>
        <w:rPr>
          <w:bCs/>
          <w:kern w:val="0"/>
          <w:szCs w:val="21"/>
        </w:rPr>
        <w:t>2008</w:t>
      </w:r>
      <w:r>
        <w:rPr>
          <w:bCs/>
          <w:kern w:val="0"/>
          <w:szCs w:val="21"/>
        </w:rPr>
        <w:t>年</w:t>
      </w:r>
    </w:p>
    <w:p w14:paraId="565CF4C2" w14:textId="77777777" w:rsidR="00F5289E" w:rsidRDefault="00C91173">
      <w:pPr>
        <w:widowControl/>
        <w:spacing w:line="360" w:lineRule="auto"/>
        <w:jc w:val="left"/>
        <w:rPr>
          <w:bCs/>
          <w:kern w:val="0"/>
          <w:szCs w:val="21"/>
        </w:rPr>
      </w:pPr>
      <w:r>
        <w:t>(5)</w:t>
      </w:r>
      <w:r>
        <w:rPr>
          <w:bCs/>
          <w:kern w:val="0"/>
          <w:szCs w:val="21"/>
        </w:rPr>
        <w:t>园艺设施学，邹志荣主编，中国农业出版社，</w:t>
      </w:r>
      <w:r>
        <w:rPr>
          <w:bCs/>
          <w:kern w:val="0"/>
          <w:szCs w:val="21"/>
        </w:rPr>
        <w:t>2002</w:t>
      </w:r>
      <w:r>
        <w:rPr>
          <w:bCs/>
          <w:kern w:val="0"/>
          <w:szCs w:val="21"/>
        </w:rPr>
        <w:t>年</w:t>
      </w:r>
    </w:p>
    <w:p w14:paraId="4726AB37" w14:textId="77777777" w:rsidR="00F5289E" w:rsidRDefault="00C91173">
      <w:pPr>
        <w:widowControl/>
        <w:spacing w:line="360" w:lineRule="auto"/>
        <w:jc w:val="left"/>
        <w:rPr>
          <w:bCs/>
          <w:kern w:val="0"/>
          <w:szCs w:val="21"/>
        </w:rPr>
      </w:pPr>
      <w:r>
        <w:t>(6)</w:t>
      </w:r>
      <w:r>
        <w:rPr>
          <w:bCs/>
          <w:kern w:val="0"/>
          <w:szCs w:val="21"/>
        </w:rPr>
        <w:t>园艺设施工程学，吴凤芝主编，科学出版社，</w:t>
      </w:r>
      <w:r>
        <w:rPr>
          <w:bCs/>
          <w:kern w:val="0"/>
          <w:szCs w:val="21"/>
        </w:rPr>
        <w:t>2012</w:t>
      </w:r>
      <w:r>
        <w:rPr>
          <w:bCs/>
          <w:kern w:val="0"/>
          <w:szCs w:val="21"/>
        </w:rPr>
        <w:t>年</w:t>
      </w:r>
    </w:p>
    <w:p w14:paraId="318336AC" w14:textId="77777777" w:rsidR="00F5289E" w:rsidRDefault="00C91173">
      <w:pPr>
        <w:widowControl/>
        <w:spacing w:line="360" w:lineRule="auto"/>
        <w:jc w:val="left"/>
        <w:rPr>
          <w:b/>
          <w:kern w:val="0"/>
          <w:szCs w:val="21"/>
        </w:rPr>
      </w:pPr>
      <w:r>
        <w:rPr>
          <w:b/>
          <w:kern w:val="0"/>
          <w:szCs w:val="21"/>
        </w:rPr>
        <w:t>3.</w:t>
      </w:r>
      <w:r>
        <w:rPr>
          <w:b/>
          <w:kern w:val="0"/>
          <w:szCs w:val="21"/>
        </w:rPr>
        <w:t>推荐网站（线上资源）：</w:t>
      </w:r>
    </w:p>
    <w:p w14:paraId="11D52839" w14:textId="77777777" w:rsidR="00F5289E" w:rsidRDefault="00C91173">
      <w:pPr>
        <w:widowControl/>
        <w:spacing w:line="360" w:lineRule="auto"/>
        <w:jc w:val="left"/>
      </w:pPr>
      <w:r>
        <w:t>(1)</w:t>
      </w:r>
      <w:r>
        <w:t>华中蔬菜网</w:t>
      </w:r>
      <w:r w:rsidRPr="004156EB">
        <w:t>www.hzshucai.com</w:t>
      </w:r>
    </w:p>
    <w:p w14:paraId="3974CDFA" w14:textId="77777777" w:rsidR="00F5289E" w:rsidRDefault="00C91173">
      <w:pPr>
        <w:widowControl/>
        <w:spacing w:line="360" w:lineRule="auto"/>
        <w:jc w:val="left"/>
      </w:pPr>
      <w:r>
        <w:t>(2)</w:t>
      </w:r>
      <w:r>
        <w:t>园艺设施学精品课程网</w:t>
      </w:r>
      <w:r>
        <w:t xml:space="preserve"> </w:t>
      </w:r>
      <w:r w:rsidRPr="004156EB">
        <w:t>http://netc.nwsuaf.edu.cn/yuanyi</w:t>
      </w:r>
    </w:p>
    <w:p w14:paraId="510EBD4C" w14:textId="77777777" w:rsidR="00F5289E" w:rsidRDefault="00C91173">
      <w:pPr>
        <w:widowControl/>
        <w:spacing w:line="360" w:lineRule="auto"/>
        <w:jc w:val="left"/>
        <w:rPr>
          <w:b/>
          <w:bCs/>
          <w:kern w:val="0"/>
          <w:szCs w:val="21"/>
        </w:rPr>
      </w:pPr>
      <w:r>
        <w:t>(3)</w:t>
      </w:r>
      <w:r>
        <w:t>中国温室网</w:t>
      </w:r>
      <w:r w:rsidRPr="004156EB">
        <w:t>http://chinagreenhouse.com</w:t>
      </w:r>
    </w:p>
    <w:p w14:paraId="3D80DF68" w14:textId="77777777" w:rsidR="00F5289E" w:rsidRDefault="00C91173">
      <w:pPr>
        <w:widowControl/>
        <w:spacing w:line="360" w:lineRule="auto"/>
        <w:jc w:val="left"/>
        <w:rPr>
          <w:b/>
          <w:bCs/>
          <w:kern w:val="0"/>
          <w:szCs w:val="21"/>
        </w:rPr>
      </w:pPr>
      <w:r>
        <w:rPr>
          <w:b/>
          <w:bCs/>
          <w:kern w:val="0"/>
          <w:szCs w:val="21"/>
        </w:rPr>
        <w:t>八、教学条件</w:t>
      </w:r>
    </w:p>
    <w:p w14:paraId="1407679C" w14:textId="77777777" w:rsidR="00F5289E" w:rsidRDefault="00C91173">
      <w:pPr>
        <w:spacing w:line="360" w:lineRule="auto"/>
        <w:rPr>
          <w:b/>
          <w:bCs/>
          <w:kern w:val="0"/>
          <w:szCs w:val="21"/>
        </w:rPr>
      </w:pPr>
      <w:r>
        <w:t>为了便于本课程相关实验的的开展需要总辐射表、光量子仪（测光合有效辐射）、照度计、干湿球温度表、最高最低温度表（最好用自动记录的温湿度表）通风干湿表、湿度计、曲管地温表（</w:t>
      </w:r>
      <w:r>
        <w:t>5</w:t>
      </w:r>
      <w:r>
        <w:t>、</w:t>
      </w:r>
      <w:r>
        <w:t>10</w:t>
      </w:r>
      <w:r>
        <w:t>、</w:t>
      </w:r>
      <w:r>
        <w:t>15</w:t>
      </w:r>
      <w:r>
        <w:t>、</w:t>
      </w:r>
      <w:r>
        <w:t>20cm</w:t>
      </w:r>
      <w:r>
        <w:t>）或热敏电阻地温表、红外线气体分析仪等小型的环境因子测量设备，同时还需要日光温室和塑料大棚等不同设施类型的实验场地。</w:t>
      </w:r>
    </w:p>
    <w:p w14:paraId="7B1E8271" w14:textId="77777777" w:rsidR="00F5289E" w:rsidRDefault="00C91173">
      <w:pPr>
        <w:widowControl/>
        <w:spacing w:line="360" w:lineRule="auto"/>
        <w:jc w:val="left"/>
        <w:rPr>
          <w:b/>
          <w:bCs/>
          <w:kern w:val="0"/>
          <w:szCs w:val="21"/>
        </w:rPr>
      </w:pPr>
      <w:r>
        <w:rPr>
          <w:b/>
          <w:bCs/>
          <w:kern w:val="0"/>
          <w:szCs w:val="21"/>
        </w:rPr>
        <w:t>九、教学考核评价</w:t>
      </w:r>
    </w:p>
    <w:p w14:paraId="5C7F20C9" w14:textId="77777777" w:rsidR="00F5289E" w:rsidRDefault="00C91173">
      <w:pPr>
        <w:widowControl/>
        <w:spacing w:line="360" w:lineRule="auto"/>
        <w:jc w:val="left"/>
        <w:rPr>
          <w:b/>
          <w:bCs/>
          <w:color w:val="000000"/>
          <w:kern w:val="0"/>
          <w:szCs w:val="21"/>
        </w:rPr>
      </w:pPr>
      <w:r>
        <w:rPr>
          <w:b/>
          <w:bCs/>
          <w:color w:val="000000"/>
          <w:kern w:val="0"/>
          <w:szCs w:val="21"/>
        </w:rPr>
        <w:t>1.</w:t>
      </w:r>
      <w:r>
        <w:rPr>
          <w:b/>
          <w:bCs/>
          <w:color w:val="000000"/>
          <w:kern w:val="0"/>
          <w:szCs w:val="21"/>
        </w:rPr>
        <w:t>过程性评价：</w:t>
      </w:r>
    </w:p>
    <w:p w14:paraId="1419A30D" w14:textId="77777777" w:rsidR="00F5289E" w:rsidRDefault="00C91173">
      <w:pPr>
        <w:widowControl/>
        <w:spacing w:line="360" w:lineRule="auto"/>
        <w:jc w:val="left"/>
        <w:rPr>
          <w:color w:val="000000"/>
        </w:rPr>
      </w:pPr>
      <w:r>
        <w:rPr>
          <w:color w:val="000000"/>
        </w:rPr>
        <w:t>课前预习、课堂表现、线上学习（测验）、课后作业、小组学习讨论、期中测试等学习过程全面纳入课程形成性评价体系作为平时成绩；</w:t>
      </w:r>
      <w:r>
        <w:rPr>
          <w:rFonts w:hint="eastAsia"/>
          <w:color w:val="000000"/>
        </w:rPr>
        <w:t>3</w:t>
      </w:r>
      <w:r>
        <w:rPr>
          <w:color w:val="000000"/>
        </w:rPr>
        <w:t>0-</w:t>
      </w:r>
      <w:r>
        <w:rPr>
          <w:rFonts w:hint="eastAsia"/>
          <w:color w:val="000000"/>
        </w:rPr>
        <w:t>4</w:t>
      </w:r>
      <w:r>
        <w:rPr>
          <w:color w:val="000000"/>
        </w:rPr>
        <w:t>0%</w:t>
      </w:r>
    </w:p>
    <w:p w14:paraId="3690F002" w14:textId="77777777" w:rsidR="00F5289E" w:rsidRDefault="00C91173" w:rsidP="00A115EF">
      <w:pPr>
        <w:widowControl/>
        <w:numPr>
          <w:ilvl w:val="0"/>
          <w:numId w:val="17"/>
        </w:numPr>
        <w:spacing w:line="360" w:lineRule="auto"/>
        <w:jc w:val="left"/>
        <w:rPr>
          <w:b/>
          <w:bCs/>
          <w:color w:val="000000"/>
          <w:kern w:val="0"/>
          <w:szCs w:val="21"/>
        </w:rPr>
      </w:pPr>
      <w:r>
        <w:rPr>
          <w:b/>
          <w:bCs/>
          <w:color w:val="000000"/>
          <w:kern w:val="0"/>
          <w:szCs w:val="21"/>
        </w:rPr>
        <w:t>终结性评价：</w:t>
      </w:r>
    </w:p>
    <w:p w14:paraId="71543EBC" w14:textId="77777777" w:rsidR="00F5289E" w:rsidRDefault="00C91173">
      <w:pPr>
        <w:widowControl/>
        <w:spacing w:line="360" w:lineRule="auto"/>
        <w:jc w:val="left"/>
        <w:rPr>
          <w:b/>
          <w:bCs/>
          <w:color w:val="000000"/>
          <w:kern w:val="0"/>
          <w:szCs w:val="21"/>
        </w:rPr>
      </w:pPr>
      <w:r>
        <w:rPr>
          <w:color w:val="000000"/>
        </w:rPr>
        <w:t>闭卷考试；</w:t>
      </w:r>
      <w:r>
        <w:rPr>
          <w:rFonts w:hint="eastAsia"/>
          <w:color w:val="000000"/>
        </w:rPr>
        <w:t>6</w:t>
      </w:r>
      <w:r>
        <w:rPr>
          <w:color w:val="000000"/>
        </w:rPr>
        <w:t>0-</w:t>
      </w:r>
      <w:r>
        <w:rPr>
          <w:rFonts w:hint="eastAsia"/>
          <w:color w:val="000000"/>
        </w:rPr>
        <w:t>7</w:t>
      </w:r>
      <w:r>
        <w:rPr>
          <w:color w:val="000000"/>
        </w:rPr>
        <w:t>0%</w:t>
      </w:r>
    </w:p>
    <w:p w14:paraId="47F7B379" w14:textId="77777777" w:rsidR="00F5289E" w:rsidRDefault="00C91173">
      <w:pPr>
        <w:widowControl/>
        <w:spacing w:line="360" w:lineRule="auto"/>
        <w:jc w:val="left"/>
        <w:rPr>
          <w:b/>
          <w:bCs/>
          <w:color w:val="000000"/>
          <w:kern w:val="0"/>
          <w:szCs w:val="21"/>
        </w:rPr>
      </w:pPr>
      <w:r>
        <w:rPr>
          <w:b/>
          <w:bCs/>
          <w:color w:val="000000"/>
          <w:kern w:val="0"/>
          <w:szCs w:val="21"/>
        </w:rPr>
        <w:t>3.</w:t>
      </w:r>
      <w:r>
        <w:rPr>
          <w:b/>
          <w:bCs/>
          <w:color w:val="000000"/>
          <w:kern w:val="0"/>
          <w:szCs w:val="21"/>
        </w:rPr>
        <w:t>课程综合评价：</w:t>
      </w:r>
    </w:p>
    <w:p w14:paraId="04AD087F" w14:textId="77777777" w:rsidR="00F5289E" w:rsidRDefault="00C91173">
      <w:pPr>
        <w:widowControl/>
        <w:spacing w:line="360" w:lineRule="auto"/>
        <w:jc w:val="left"/>
        <w:rPr>
          <w:bCs/>
          <w:color w:val="0000FF"/>
          <w:kern w:val="0"/>
          <w:szCs w:val="21"/>
        </w:rPr>
      </w:pPr>
      <w:r>
        <w:rPr>
          <w:color w:val="000000"/>
          <w:kern w:val="0"/>
          <w:szCs w:val="21"/>
        </w:rPr>
        <w:t>为了避免课程考核的片面性，</w:t>
      </w:r>
      <w:r>
        <w:rPr>
          <w:color w:val="000000"/>
          <w:szCs w:val="21"/>
        </w:rPr>
        <w:t>该课程最后的综合成绩中，平时成绩占</w:t>
      </w:r>
      <w:r>
        <w:rPr>
          <w:color w:val="000000"/>
          <w:szCs w:val="21"/>
        </w:rPr>
        <w:t>30-40%</w:t>
      </w:r>
      <w:r>
        <w:rPr>
          <w:color w:val="000000"/>
          <w:szCs w:val="21"/>
        </w:rPr>
        <w:t>，期末考试成绩占</w:t>
      </w:r>
      <w:r>
        <w:rPr>
          <w:color w:val="000000"/>
          <w:szCs w:val="21"/>
        </w:rPr>
        <w:t>60-70%</w:t>
      </w:r>
      <w:r>
        <w:rPr>
          <w:color w:val="000000"/>
          <w:szCs w:val="21"/>
        </w:rPr>
        <w:t>。而平时成绩的考核主要包括学生的出勤情况、上课回答问题情况、期中考试情况、实验报告完成情况等。而期末考试主要考核学生对基本理论知识、基本概念的掌握情况，同时还会包含一部分拔高题目，考核学生对所学知识的灵活运用情况。</w:t>
      </w:r>
    </w:p>
    <w:p w14:paraId="7D2B93F3"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pPr>
    </w:p>
    <w:p w14:paraId="0BD7CABD" w14:textId="77777777" w:rsidR="00F5289E" w:rsidRDefault="00C91173">
      <w:pPr>
        <w:pStyle w:val="af1"/>
        <w:widowControl w:val="0"/>
        <w:tabs>
          <w:tab w:val="right" w:leader="dot" w:pos="8820"/>
        </w:tabs>
        <w:snapToGrid w:val="0"/>
        <w:spacing w:before="0" w:beforeAutospacing="0" w:after="0" w:afterAutospacing="0" w:line="400" w:lineRule="exact"/>
        <w:rPr>
          <w:rFonts w:ascii="宋体" w:eastAsia="宋体" w:hAnsi="宋体"/>
          <w:sz w:val="21"/>
        </w:rPr>
      </w:pPr>
      <w:r>
        <w:rPr>
          <w:rFonts w:ascii="宋体" w:eastAsia="宋体" w:hAnsi="宋体"/>
          <w:sz w:val="21"/>
        </w:rPr>
        <w:br w:type="page"/>
      </w:r>
    </w:p>
    <w:p w14:paraId="70897911" w14:textId="77777777" w:rsidR="00F5289E" w:rsidRDefault="00C91173">
      <w:pPr>
        <w:pStyle w:val="1"/>
      </w:pPr>
      <w:bookmarkStart w:id="56" w:name="_Toc138606240"/>
      <w:r>
        <w:rPr>
          <w:rFonts w:hint="eastAsia"/>
        </w:rPr>
        <w:lastRenderedPageBreak/>
        <w:t>工厂化育苗原理与技术</w:t>
      </w:r>
      <w:bookmarkEnd w:id="56"/>
    </w:p>
    <w:p w14:paraId="64F67B28" w14:textId="77777777" w:rsidR="00F5289E" w:rsidRDefault="00D93479">
      <w:pPr>
        <w:snapToGrid w:val="0"/>
        <w:spacing w:line="360" w:lineRule="auto"/>
        <w:jc w:val="center"/>
        <w:rPr>
          <w:color w:val="000000" w:themeColor="text1"/>
          <w:sz w:val="24"/>
        </w:rPr>
      </w:pPr>
      <w:r>
        <w:rPr>
          <w:rFonts w:hint="eastAsia"/>
          <w:bCs/>
          <w:color w:val="000000" w:themeColor="text1"/>
          <w:sz w:val="24"/>
        </w:rPr>
        <w:t>（</w:t>
      </w:r>
      <w:r>
        <w:rPr>
          <w:bCs/>
          <w:color w:val="000000" w:themeColor="text1"/>
          <w:sz w:val="24"/>
        </w:rPr>
        <w:t>Principles and Technologies for Industrialized Seedling Production</w:t>
      </w:r>
      <w:r>
        <w:rPr>
          <w:rFonts w:hint="eastAsia"/>
          <w:bCs/>
          <w:color w:val="000000" w:themeColor="text1"/>
          <w:sz w:val="24"/>
        </w:rPr>
        <w:t>）</w:t>
      </w:r>
    </w:p>
    <w:p w14:paraId="5EDFA2A5" w14:textId="77777777" w:rsidR="00F5289E" w:rsidRDefault="00F5289E">
      <w:pPr>
        <w:snapToGrid w:val="0"/>
        <w:spacing w:line="360" w:lineRule="auto"/>
        <w:jc w:val="center"/>
        <w:rPr>
          <w:b/>
          <w:szCs w:val="21"/>
        </w:rPr>
      </w:pPr>
    </w:p>
    <w:p w14:paraId="446F6A1C"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6CAF3966" w14:textId="77777777">
        <w:tc>
          <w:tcPr>
            <w:tcW w:w="1666" w:type="pct"/>
          </w:tcPr>
          <w:p w14:paraId="014689AB"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课程编号：</w:t>
            </w:r>
            <w:r>
              <w:rPr>
                <w:rFonts w:ascii="宋体" w:hAnsi="宋体" w:hint="eastAsia"/>
                <w:color w:val="000000" w:themeColor="text1"/>
                <w:szCs w:val="21"/>
              </w:rPr>
              <w:t>1</w:t>
            </w:r>
            <w:r>
              <w:rPr>
                <w:rFonts w:ascii="宋体" w:hAnsi="宋体"/>
                <w:color w:val="000000" w:themeColor="text1"/>
                <w:szCs w:val="21"/>
              </w:rPr>
              <w:t>9011131</w:t>
            </w:r>
            <w:r>
              <w:rPr>
                <w:rFonts w:ascii="宋体" w:hAnsi="宋体" w:hint="eastAsia"/>
                <w:color w:val="000000" w:themeColor="text1"/>
                <w:szCs w:val="21"/>
              </w:rPr>
              <w:t>h</w:t>
            </w:r>
          </w:p>
        </w:tc>
        <w:tc>
          <w:tcPr>
            <w:tcW w:w="1453" w:type="pct"/>
          </w:tcPr>
          <w:p w14:paraId="0A1C2244" w14:textId="3A99A314"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课程总学时：</w:t>
            </w:r>
            <w:r>
              <w:rPr>
                <w:rFonts w:ascii="宋体" w:hAnsi="宋体" w:hint="eastAsia"/>
                <w:color w:val="000000" w:themeColor="text1"/>
                <w:szCs w:val="21"/>
              </w:rPr>
              <w:t>4</w:t>
            </w:r>
            <w:r>
              <w:rPr>
                <w:rFonts w:ascii="宋体" w:hAnsi="宋体"/>
                <w:color w:val="000000" w:themeColor="text1"/>
                <w:szCs w:val="21"/>
              </w:rPr>
              <w:t>0</w:t>
            </w:r>
          </w:p>
        </w:tc>
        <w:tc>
          <w:tcPr>
            <w:tcW w:w="1881" w:type="pct"/>
          </w:tcPr>
          <w:p w14:paraId="745B4692" w14:textId="7C2E882F"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实验学时：</w:t>
            </w:r>
            <w:r>
              <w:rPr>
                <w:rFonts w:ascii="宋体" w:hAnsi="宋体"/>
                <w:color w:val="000000" w:themeColor="text1"/>
                <w:szCs w:val="21"/>
              </w:rPr>
              <w:t>8</w:t>
            </w:r>
          </w:p>
        </w:tc>
      </w:tr>
      <w:tr w:rsidR="00F5289E" w14:paraId="5EDD483E" w14:textId="77777777">
        <w:tc>
          <w:tcPr>
            <w:tcW w:w="1666" w:type="pct"/>
          </w:tcPr>
          <w:p w14:paraId="1939E4EF"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课程性质：</w:t>
            </w:r>
            <w:r>
              <w:rPr>
                <w:rFonts w:hAnsi="宋体" w:hint="eastAsia"/>
                <w:bCs/>
                <w:color w:val="000000" w:themeColor="text1"/>
                <w:kern w:val="0"/>
                <w:szCs w:val="21"/>
              </w:rPr>
              <w:t>必修</w:t>
            </w:r>
          </w:p>
        </w:tc>
        <w:tc>
          <w:tcPr>
            <w:tcW w:w="1453" w:type="pct"/>
          </w:tcPr>
          <w:p w14:paraId="5D10676F" w14:textId="77777777" w:rsidR="00F5289E" w:rsidRDefault="00C91173">
            <w:pPr>
              <w:spacing w:line="300" w:lineRule="auto"/>
              <w:rPr>
                <w:rFonts w:ascii="宋体" w:hAnsi="宋体"/>
                <w:b/>
                <w:bCs/>
                <w:color w:val="000000" w:themeColor="text1"/>
                <w:szCs w:val="21"/>
              </w:rPr>
            </w:pPr>
            <w:r>
              <w:rPr>
                <w:rFonts w:ascii="宋体" w:hAnsi="宋体" w:hint="eastAsia"/>
                <w:b/>
                <w:color w:val="000000" w:themeColor="text1"/>
                <w:szCs w:val="21"/>
              </w:rPr>
              <w:t>课程属性:</w:t>
            </w:r>
            <w:r>
              <w:rPr>
                <w:rFonts w:ascii="宋体" w:hAnsi="宋体" w:hint="eastAsia"/>
                <w:color w:val="000000" w:themeColor="text1"/>
                <w:szCs w:val="21"/>
              </w:rPr>
              <w:t>专业类</w:t>
            </w:r>
          </w:p>
        </w:tc>
        <w:tc>
          <w:tcPr>
            <w:tcW w:w="1881" w:type="pct"/>
          </w:tcPr>
          <w:p w14:paraId="595CF985"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开设学期：</w:t>
            </w:r>
            <w:r>
              <w:rPr>
                <w:rFonts w:ascii="宋体" w:hAnsi="宋体" w:hint="eastAsia"/>
                <w:color w:val="000000" w:themeColor="text1"/>
                <w:szCs w:val="21"/>
              </w:rPr>
              <w:t>第</w:t>
            </w:r>
            <w:r>
              <w:rPr>
                <w:rFonts w:ascii="宋体" w:hAnsi="宋体"/>
                <w:color w:val="000000" w:themeColor="text1"/>
                <w:szCs w:val="21"/>
              </w:rPr>
              <w:t>4</w:t>
            </w:r>
            <w:r>
              <w:rPr>
                <w:rFonts w:ascii="宋体" w:hAnsi="宋体" w:hint="eastAsia"/>
                <w:color w:val="000000" w:themeColor="text1"/>
                <w:szCs w:val="21"/>
              </w:rPr>
              <w:t>学期</w:t>
            </w:r>
          </w:p>
        </w:tc>
      </w:tr>
      <w:tr w:rsidR="00F5289E" w14:paraId="648AD6F7" w14:textId="77777777">
        <w:tc>
          <w:tcPr>
            <w:tcW w:w="1666" w:type="pct"/>
          </w:tcPr>
          <w:p w14:paraId="6A296610"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课程负责人：</w:t>
            </w:r>
            <w:r>
              <w:rPr>
                <w:rFonts w:ascii="宋体" w:hAnsi="宋体" w:hint="eastAsia"/>
                <w:color w:val="000000" w:themeColor="text1"/>
                <w:szCs w:val="21"/>
              </w:rPr>
              <w:t>李阳</w:t>
            </w:r>
          </w:p>
        </w:tc>
        <w:tc>
          <w:tcPr>
            <w:tcW w:w="1453" w:type="pct"/>
          </w:tcPr>
          <w:p w14:paraId="513D5119"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课程团队：</w:t>
            </w:r>
            <w:r>
              <w:rPr>
                <w:rFonts w:ascii="宋体" w:hAnsi="宋体" w:hint="eastAsia"/>
                <w:color w:val="000000" w:themeColor="text1"/>
                <w:szCs w:val="21"/>
              </w:rPr>
              <w:t>李阳，李胜利，李猛，吴帼秀</w:t>
            </w:r>
          </w:p>
        </w:tc>
        <w:tc>
          <w:tcPr>
            <w:tcW w:w="1881" w:type="pct"/>
          </w:tcPr>
          <w:p w14:paraId="385D0B64" w14:textId="22733F0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授课语言：</w:t>
            </w:r>
            <w:r w:rsidR="00612D5B" w:rsidRPr="00612D5B">
              <w:rPr>
                <w:rFonts w:ascii="宋体" w:hAnsi="宋体" w:hint="eastAsia"/>
                <w:color w:val="000000" w:themeColor="text1"/>
                <w:szCs w:val="21"/>
              </w:rPr>
              <w:t>中文</w:t>
            </w:r>
          </w:p>
        </w:tc>
      </w:tr>
      <w:tr w:rsidR="00F5289E" w14:paraId="7EE59802" w14:textId="77777777">
        <w:tc>
          <w:tcPr>
            <w:tcW w:w="5000" w:type="pct"/>
            <w:gridSpan w:val="3"/>
          </w:tcPr>
          <w:p w14:paraId="3D65A131" w14:textId="77777777" w:rsidR="00F5289E" w:rsidRDefault="00C91173">
            <w:pPr>
              <w:spacing w:line="300" w:lineRule="auto"/>
              <w:ind w:rightChars="-81" w:right="-170"/>
              <w:rPr>
                <w:rFonts w:ascii="宋体" w:hAnsi="宋体"/>
                <w:bCs/>
                <w:color w:val="000000" w:themeColor="text1"/>
                <w:szCs w:val="21"/>
              </w:rPr>
            </w:pPr>
            <w:r>
              <w:rPr>
                <w:rFonts w:ascii="宋体" w:hAnsi="宋体" w:hint="eastAsia"/>
                <w:b/>
                <w:bCs/>
                <w:color w:val="000000" w:themeColor="text1"/>
                <w:szCs w:val="21"/>
              </w:rPr>
              <w:t>适用专业：</w:t>
            </w:r>
            <w:r>
              <w:rPr>
                <w:rFonts w:ascii="宋体" w:hAnsi="宋体" w:hint="eastAsia"/>
                <w:bCs/>
                <w:color w:val="000000" w:themeColor="text1"/>
                <w:szCs w:val="21"/>
              </w:rPr>
              <w:t>设施农业科学与工程；核心</w:t>
            </w:r>
          </w:p>
        </w:tc>
      </w:tr>
      <w:tr w:rsidR="00F5289E" w14:paraId="7364D4A8" w14:textId="77777777">
        <w:tc>
          <w:tcPr>
            <w:tcW w:w="5000" w:type="pct"/>
            <w:gridSpan w:val="3"/>
          </w:tcPr>
          <w:p w14:paraId="4905824E"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对先修的要求：</w:t>
            </w:r>
            <w:r>
              <w:rPr>
                <w:rFonts w:ascii="宋体" w:hAnsi="宋体" w:hint="eastAsia"/>
                <w:bCs/>
                <w:color w:val="000000" w:themeColor="text1"/>
                <w:szCs w:val="21"/>
              </w:rPr>
              <w:t>掌握基本的化学知识，了解常规的化学反应；了解植物对营养物质的吸收、运输、转化和利用等方面相关知识；掌握植物细胞、种子和植物组织的基本概念；掌握植物水分生理、矿质营养、光合作用和植物生长物质相关知识。对先修课程的要求：《分析化学》，《土壤肥料学》，《植物学》，《植物生理学》。</w:t>
            </w:r>
          </w:p>
        </w:tc>
      </w:tr>
      <w:tr w:rsidR="00F5289E" w14:paraId="57DDCD4D" w14:textId="77777777">
        <w:tc>
          <w:tcPr>
            <w:tcW w:w="5000" w:type="pct"/>
            <w:gridSpan w:val="3"/>
          </w:tcPr>
          <w:p w14:paraId="7E3F2790"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对后续的支撑：</w:t>
            </w:r>
            <w:r>
              <w:rPr>
                <w:rFonts w:ascii="宋体" w:hAnsi="宋体" w:hint="eastAsia"/>
                <w:bCs/>
                <w:color w:val="000000" w:themeColor="text1"/>
                <w:szCs w:val="21"/>
              </w:rPr>
              <w:t>（对后续《农业园区规划与管理》中育苗场的规划提供理论支撑，对《设施花卉栽培学》和《设施果树栽培学》中育苗技术方面起到引导学习作用。</w:t>
            </w:r>
          </w:p>
        </w:tc>
      </w:tr>
      <w:tr w:rsidR="00F5289E" w14:paraId="6DD8A14D" w14:textId="77777777">
        <w:tc>
          <w:tcPr>
            <w:tcW w:w="1666" w:type="pct"/>
          </w:tcPr>
          <w:p w14:paraId="7319E4E7"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主撰人：</w:t>
            </w:r>
            <w:r>
              <w:rPr>
                <w:rFonts w:ascii="宋体" w:hAnsi="宋体" w:hint="eastAsia"/>
                <w:color w:val="000000" w:themeColor="text1"/>
                <w:szCs w:val="21"/>
              </w:rPr>
              <w:t>李阳</w:t>
            </w:r>
          </w:p>
        </w:tc>
        <w:tc>
          <w:tcPr>
            <w:tcW w:w="1453" w:type="pct"/>
          </w:tcPr>
          <w:p w14:paraId="436F5B44"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审核人：</w:t>
            </w:r>
            <w:r>
              <w:rPr>
                <w:rFonts w:ascii="宋体" w:hAnsi="宋体" w:hint="eastAsia"/>
                <w:color w:val="000000" w:themeColor="text1"/>
                <w:szCs w:val="21"/>
              </w:rPr>
              <w:t>李胜利</w:t>
            </w:r>
          </w:p>
        </w:tc>
        <w:tc>
          <w:tcPr>
            <w:tcW w:w="1881" w:type="pct"/>
          </w:tcPr>
          <w:p w14:paraId="220D2888"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大纲制定（修订）日期：</w:t>
            </w:r>
            <w:r>
              <w:rPr>
                <w:rFonts w:ascii="宋体" w:hAnsi="宋体" w:hint="eastAsia"/>
                <w:color w:val="000000" w:themeColor="text1"/>
                <w:szCs w:val="21"/>
              </w:rPr>
              <w:t>2</w:t>
            </w:r>
            <w:r>
              <w:rPr>
                <w:rFonts w:ascii="宋体" w:hAnsi="宋体"/>
                <w:color w:val="000000" w:themeColor="text1"/>
                <w:szCs w:val="21"/>
              </w:rPr>
              <w:t>023.05</w:t>
            </w:r>
          </w:p>
        </w:tc>
      </w:tr>
    </w:tbl>
    <w:p w14:paraId="2AB0F425" w14:textId="77777777" w:rsidR="00F5289E" w:rsidRDefault="00F5289E">
      <w:pPr>
        <w:widowControl/>
        <w:snapToGrid w:val="0"/>
        <w:spacing w:line="360" w:lineRule="auto"/>
        <w:jc w:val="left"/>
        <w:rPr>
          <w:rFonts w:hAnsi="宋体"/>
          <w:b/>
          <w:bCs/>
          <w:kern w:val="0"/>
          <w:szCs w:val="21"/>
        </w:rPr>
      </w:pPr>
    </w:p>
    <w:p w14:paraId="6192FBF1"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5ED837D9"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《工厂化育苗原理与技术》是设施农业科学与工程专业的专业核心课程，同时也是园艺专业的选修课程，全学程共计</w:t>
      </w:r>
      <w:r>
        <w:rPr>
          <w:rFonts w:hint="eastAsia"/>
          <w:color w:val="000000" w:themeColor="text1"/>
          <w:kern w:val="0"/>
          <w:szCs w:val="21"/>
        </w:rPr>
        <w:t>4</w:t>
      </w:r>
      <w:r>
        <w:rPr>
          <w:color w:val="000000" w:themeColor="text1"/>
          <w:kern w:val="0"/>
          <w:szCs w:val="21"/>
        </w:rPr>
        <w:t>0</w:t>
      </w:r>
      <w:r>
        <w:rPr>
          <w:rFonts w:hint="eastAsia"/>
          <w:color w:val="000000" w:themeColor="text1"/>
          <w:kern w:val="0"/>
          <w:szCs w:val="21"/>
        </w:rPr>
        <w:t>学时，</w:t>
      </w:r>
      <w:r>
        <w:rPr>
          <w:rFonts w:hint="eastAsia"/>
          <w:color w:val="000000" w:themeColor="text1"/>
          <w:kern w:val="0"/>
          <w:szCs w:val="21"/>
        </w:rPr>
        <w:t>2</w:t>
      </w:r>
      <w:r>
        <w:rPr>
          <w:color w:val="000000" w:themeColor="text1"/>
          <w:kern w:val="0"/>
          <w:szCs w:val="21"/>
        </w:rPr>
        <w:t>.5</w:t>
      </w:r>
      <w:r>
        <w:rPr>
          <w:rFonts w:hint="eastAsia"/>
          <w:color w:val="000000" w:themeColor="text1"/>
          <w:kern w:val="0"/>
          <w:szCs w:val="21"/>
        </w:rPr>
        <w:t>学分。近年来以蔬菜和花卉穴盘育苗为代表的工厂化育苗技术发展迅速，所形成的种苗产业是我国设施农业应用的主要领域，工厂化育苗已成为我国园艺作物实现标准化生产的重要组成部分。本门课程主要讲授育苗基础知识、育苗设施与设备、育苗基质、育苗方式、育苗质量控制、主要园艺作物工厂化育苗技术、种苗的经营与管理等内容，培养适应现代种苗产业需要的专业素质和基本技能。课程重在拓宽学生的专业视野，强化园艺植物育苗方面的知识与技能，满足现代种苗产业兴起和快速发展对高素质专门人才的需求，实现宽口径培养人才的目标。</w:t>
      </w:r>
    </w:p>
    <w:p w14:paraId="27E35DDE"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本课程的核心学习结果目标基于产业需求及行业研究进展，核心目标是培养学生具备能够胜任园艺作物育苗企业工作的基本素质，也为学生的进一步深造打下坚实理论基础。课程采用“学、教、互动、实践、过程性考核”的教学模式，引导学生自主学习并提出思考，教师学生互动共同学习，实践环节通过技能竞赛形式进行考察，理论与实践相结合强化学习效果，并培养学生创新思维。</w:t>
      </w:r>
    </w:p>
    <w:p w14:paraId="5894E5EA"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63451ACC" w14:textId="77777777" w:rsidR="00F5289E" w:rsidRDefault="00C91173">
      <w:pPr>
        <w:widowControl/>
        <w:snapToGrid w:val="0"/>
        <w:spacing w:line="360" w:lineRule="auto"/>
        <w:ind w:firstLineChars="200" w:firstLine="420"/>
        <w:rPr>
          <w:kern w:val="0"/>
          <w:szCs w:val="21"/>
        </w:rPr>
      </w:pPr>
      <w:r>
        <w:rPr>
          <w:rFonts w:hint="eastAsia"/>
          <w:kern w:val="0"/>
          <w:szCs w:val="21"/>
        </w:rPr>
        <w:lastRenderedPageBreak/>
        <w:t>1.</w:t>
      </w:r>
      <w:r>
        <w:rPr>
          <w:rFonts w:hAnsi="宋体"/>
          <w:kern w:val="0"/>
          <w:szCs w:val="21"/>
        </w:rPr>
        <w:t>理论知识方面：</w:t>
      </w:r>
      <w:r>
        <w:rPr>
          <w:rFonts w:hAnsi="宋体" w:hint="eastAsia"/>
          <w:kern w:val="0"/>
          <w:szCs w:val="21"/>
        </w:rPr>
        <w:t>了解工厂化育苗的国内外最新研究进展和育苗产业发展态势，了解工厂化育苗的设施与设备，育苗基质；掌握工厂化育苗方式、育苗质量控制、主要园艺作物工厂化育苗技术、种苗的经营与管理等，使学生系统掌握集约化、工厂化育苗的相关理论和技术。</w:t>
      </w:r>
    </w:p>
    <w:p w14:paraId="6D21E750"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2.</w:t>
      </w:r>
      <w:r>
        <w:rPr>
          <w:rFonts w:hAnsi="宋体"/>
          <w:kern w:val="0"/>
          <w:szCs w:val="21"/>
        </w:rPr>
        <w:t>实验技能方面：</w:t>
      </w:r>
      <w:r>
        <w:rPr>
          <w:rFonts w:hAnsi="宋体" w:hint="eastAsia"/>
          <w:kern w:val="0"/>
          <w:szCs w:val="21"/>
        </w:rPr>
        <w:t>掌握识别不同种子形态特征及分类的方法；掌握种子质量检验技术；掌握不同种类育苗基质理化性质的测定；了解穴盘规格对蔬菜秧苗质量的影响；熟练掌握秧苗质量检验技术和果菜类蔬菜嫁接育苗技能。</w:t>
      </w:r>
    </w:p>
    <w:p w14:paraId="48B3D4C9"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35F6EC13"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5CCB7290"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与传统育苗相比，工厂化育苗在育苗方式、育苗技术、育苗环境控制、育苗设施上都有很大差异。基于本课程特点，学生不仅需要掌握传统农艺学知识外，还应对组织培养、园艺设施、环境控制设备及经营管理知识有较为深入的了解。作为一门交叉性课程，工厂化育苗原理与技术知识点范围广、知识点多，与前导课程内容前后关联性强。同时本门课程对实际操作能力有较高的要求，在熟练掌握基本理论知识的基础上，本门课程设置了多个实验环节，锻炼学生的动手操作能力。根据本课程特点，教学方法以讲授法为主，在课程实施中穿插进行小组讨论、具体案例分析、实地调研、嫁接技能竞赛等环节，使学生能够完成从理论到实践，以实践经验再重新巩固理论的教学过程。最后，课程将从实验成绩、技能竞赛和闭卷考试等环节多远评价学生对知识的掌握情况。</w:t>
      </w:r>
    </w:p>
    <w:p w14:paraId="03F6DA1B"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1A885749"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019DE7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B78CFA6"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4C311A3"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17EC824E"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B89406A"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5B792BDA" w14:textId="77777777" w:rsidR="00F5289E" w:rsidRDefault="00C91173">
            <w:pPr>
              <w:spacing w:line="320" w:lineRule="exact"/>
              <w:jc w:val="left"/>
              <w:rPr>
                <w:rFonts w:eastAsiaTheme="minorEastAsia" w:hAnsiTheme="minorEastAsia"/>
                <w:color w:val="000000" w:themeColor="text1"/>
                <w:sz w:val="18"/>
                <w:szCs w:val="18"/>
              </w:rPr>
            </w:pPr>
            <w:r>
              <w:rPr>
                <w:rFonts w:eastAsiaTheme="minorEastAsia" w:hint="eastAsia"/>
                <w:color w:val="000000" w:themeColor="text1"/>
                <w:sz w:val="18"/>
                <w:szCs w:val="18"/>
              </w:rPr>
              <w:t>目标</w:t>
            </w:r>
            <w:r>
              <w:rPr>
                <w:rFonts w:eastAsiaTheme="minorEastAsia" w:hint="eastAsia"/>
                <w:color w:val="000000" w:themeColor="text1"/>
                <w:sz w:val="18"/>
                <w:szCs w:val="18"/>
              </w:rPr>
              <w:t>1</w:t>
            </w:r>
            <w:r>
              <w:rPr>
                <w:rFonts w:eastAsiaTheme="minorEastAsia" w:hint="eastAsia"/>
                <w:color w:val="000000" w:themeColor="text1"/>
                <w:sz w:val="18"/>
                <w:szCs w:val="18"/>
              </w:rPr>
              <w:t>：使学生具备根据作物类型设计培养基的能力。</w:t>
            </w:r>
          </w:p>
        </w:tc>
        <w:tc>
          <w:tcPr>
            <w:tcW w:w="1052" w:type="dxa"/>
            <w:tcBorders>
              <w:top w:val="single" w:sz="4" w:space="0" w:color="auto"/>
              <w:left w:val="single" w:sz="4" w:space="0" w:color="auto"/>
              <w:bottom w:val="single" w:sz="4" w:space="0" w:color="auto"/>
              <w:right w:val="single" w:sz="4" w:space="0" w:color="auto"/>
            </w:tcBorders>
            <w:vAlign w:val="center"/>
          </w:tcPr>
          <w:p w14:paraId="52942216"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3</w:t>
            </w:r>
          </w:p>
        </w:tc>
      </w:tr>
      <w:tr w:rsidR="00F5289E" w14:paraId="07B321D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74FBBC8"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78E3D280" w14:textId="77777777" w:rsidR="00F5289E" w:rsidRDefault="00C91173">
            <w:pPr>
              <w:spacing w:line="320" w:lineRule="exact"/>
              <w:jc w:val="left"/>
              <w:rPr>
                <w:rFonts w:eastAsiaTheme="minorEastAsia" w:hAnsiTheme="minorEastAsia"/>
                <w:color w:val="000000" w:themeColor="text1"/>
                <w:sz w:val="18"/>
                <w:szCs w:val="18"/>
                <w:highlight w:val="yellow"/>
              </w:rPr>
            </w:pPr>
            <w:r>
              <w:rPr>
                <w:rFonts w:eastAsiaTheme="minorEastAsia" w:hAnsiTheme="minorEastAsia"/>
                <w:color w:val="000000" w:themeColor="text1"/>
                <w:sz w:val="18"/>
                <w:szCs w:val="18"/>
              </w:rPr>
              <w:t>目标</w:t>
            </w:r>
            <w:r>
              <w:rPr>
                <w:rFonts w:eastAsiaTheme="minorEastAsia"/>
                <w:color w:val="000000" w:themeColor="text1"/>
                <w:sz w:val="18"/>
                <w:szCs w:val="18"/>
              </w:rPr>
              <w:t>2</w:t>
            </w:r>
            <w:r>
              <w:rPr>
                <w:rFonts w:eastAsiaTheme="minorEastAsia" w:hAnsiTheme="minorEastAsia"/>
                <w:color w:val="000000" w:themeColor="text1"/>
                <w:sz w:val="18"/>
                <w:szCs w:val="18"/>
              </w:rPr>
              <w:t>：</w:t>
            </w:r>
            <w:r>
              <w:rPr>
                <w:rFonts w:eastAsiaTheme="minorEastAsia" w:hint="eastAsia"/>
                <w:color w:val="000000" w:themeColor="text1"/>
                <w:sz w:val="18"/>
                <w:szCs w:val="18"/>
              </w:rPr>
              <w:t>使学生具备工厂化育苗园区的基本规划设计能力。</w:t>
            </w:r>
          </w:p>
        </w:tc>
        <w:tc>
          <w:tcPr>
            <w:tcW w:w="1052" w:type="dxa"/>
            <w:tcBorders>
              <w:top w:val="single" w:sz="4" w:space="0" w:color="auto"/>
              <w:left w:val="single" w:sz="4" w:space="0" w:color="auto"/>
              <w:bottom w:val="single" w:sz="4" w:space="0" w:color="auto"/>
              <w:right w:val="single" w:sz="4" w:space="0" w:color="auto"/>
            </w:tcBorders>
            <w:vAlign w:val="center"/>
          </w:tcPr>
          <w:p w14:paraId="570F7973"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5</w:t>
            </w:r>
          </w:p>
        </w:tc>
      </w:tr>
      <w:tr w:rsidR="00F5289E" w14:paraId="6C4D37F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E2638FA"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1B64C309" w14:textId="77777777" w:rsidR="00F5289E" w:rsidRDefault="00C91173">
            <w:pPr>
              <w:spacing w:line="320" w:lineRule="exact"/>
              <w:jc w:val="left"/>
              <w:rPr>
                <w:rFonts w:eastAsiaTheme="minorEastAsia"/>
                <w:color w:val="000000" w:themeColor="text1"/>
                <w:sz w:val="18"/>
                <w:szCs w:val="18"/>
              </w:rPr>
            </w:pPr>
            <w:r>
              <w:rPr>
                <w:rFonts w:eastAsiaTheme="minorEastAsia" w:hAnsiTheme="minorEastAsia" w:hint="eastAsia"/>
                <w:color w:val="000000" w:themeColor="text1"/>
                <w:sz w:val="18"/>
                <w:szCs w:val="18"/>
              </w:rPr>
              <w:t>目标</w:t>
            </w:r>
            <w:r>
              <w:rPr>
                <w:rFonts w:eastAsiaTheme="minorEastAsia" w:hAnsiTheme="minorEastAsia" w:hint="eastAsia"/>
                <w:color w:val="000000" w:themeColor="text1"/>
                <w:sz w:val="18"/>
                <w:szCs w:val="18"/>
              </w:rPr>
              <w:t>3</w:t>
            </w:r>
            <w:r>
              <w:rPr>
                <w:rFonts w:eastAsiaTheme="minorEastAsia" w:hAnsiTheme="minorEastAsia" w:hint="eastAsia"/>
                <w:color w:val="000000" w:themeColor="text1"/>
                <w:sz w:val="18"/>
                <w:szCs w:val="18"/>
              </w:rPr>
              <w:t>：使学生掌握不同作物嫁接育的技术和嫁接设备的设计能力。</w:t>
            </w:r>
          </w:p>
        </w:tc>
        <w:tc>
          <w:tcPr>
            <w:tcW w:w="1052" w:type="dxa"/>
            <w:tcBorders>
              <w:top w:val="single" w:sz="4" w:space="0" w:color="auto"/>
              <w:left w:val="single" w:sz="4" w:space="0" w:color="auto"/>
              <w:bottom w:val="single" w:sz="4" w:space="0" w:color="auto"/>
              <w:right w:val="single" w:sz="4" w:space="0" w:color="auto"/>
            </w:tcBorders>
            <w:vAlign w:val="center"/>
          </w:tcPr>
          <w:p w14:paraId="039AFF9F"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6</w:t>
            </w:r>
          </w:p>
        </w:tc>
      </w:tr>
      <w:tr w:rsidR="00F5289E" w14:paraId="60B2B3EA"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968402A"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5F7271D5" w14:textId="77777777" w:rsidR="00F5289E" w:rsidRDefault="00C91173">
            <w:pPr>
              <w:spacing w:line="320" w:lineRule="exact"/>
              <w:rPr>
                <w:rFonts w:eastAsiaTheme="minorEastAsia"/>
                <w:color w:val="000000" w:themeColor="text1"/>
                <w:sz w:val="18"/>
                <w:szCs w:val="18"/>
              </w:rPr>
            </w:pPr>
            <w:r>
              <w:rPr>
                <w:rFonts w:hAnsi="宋体" w:hint="eastAsia"/>
                <w:bCs/>
                <w:color w:val="000000" w:themeColor="text1"/>
                <w:sz w:val="18"/>
                <w:szCs w:val="18"/>
              </w:rPr>
              <w:t>目标</w:t>
            </w:r>
            <w:r>
              <w:rPr>
                <w:rFonts w:hAnsi="宋体" w:hint="eastAsia"/>
                <w:bCs/>
                <w:color w:val="000000" w:themeColor="text1"/>
                <w:sz w:val="18"/>
                <w:szCs w:val="18"/>
              </w:rPr>
              <w:t>4</w:t>
            </w:r>
            <w:r>
              <w:rPr>
                <w:rFonts w:hAnsi="宋体" w:hint="eastAsia"/>
                <w:bCs/>
                <w:color w:val="000000" w:themeColor="text1"/>
                <w:sz w:val="18"/>
                <w:szCs w:val="18"/>
              </w:rPr>
              <w:t>：使学生具备开发新型节能环保型育苗基质的能力。</w:t>
            </w:r>
          </w:p>
        </w:tc>
        <w:tc>
          <w:tcPr>
            <w:tcW w:w="1052" w:type="dxa"/>
            <w:tcBorders>
              <w:top w:val="single" w:sz="4" w:space="0" w:color="auto"/>
              <w:left w:val="single" w:sz="4" w:space="0" w:color="auto"/>
              <w:bottom w:val="single" w:sz="4" w:space="0" w:color="auto"/>
              <w:right w:val="single" w:sz="4" w:space="0" w:color="auto"/>
            </w:tcBorders>
            <w:vAlign w:val="center"/>
          </w:tcPr>
          <w:p w14:paraId="4485EBC5"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1</w:t>
            </w:r>
            <w:r>
              <w:rPr>
                <w:rFonts w:eastAsiaTheme="minorEastAsia"/>
                <w:color w:val="000000" w:themeColor="text1"/>
                <w:sz w:val="18"/>
                <w:szCs w:val="18"/>
              </w:rPr>
              <w:t>0</w:t>
            </w:r>
          </w:p>
        </w:tc>
      </w:tr>
    </w:tbl>
    <w:p w14:paraId="42ACFF8F" w14:textId="77777777" w:rsidR="00F5289E" w:rsidRDefault="00F5289E">
      <w:pPr>
        <w:spacing w:line="360" w:lineRule="auto"/>
        <w:ind w:firstLineChars="200" w:firstLine="420"/>
        <w:rPr>
          <w:rFonts w:hAnsi="宋体"/>
          <w:bCs/>
          <w:color w:val="0000FF"/>
          <w:kern w:val="0"/>
          <w:szCs w:val="21"/>
        </w:rPr>
      </w:pPr>
    </w:p>
    <w:p w14:paraId="01D4EBD7" w14:textId="77777777" w:rsidR="00F5289E" w:rsidRDefault="00F5289E">
      <w:pPr>
        <w:spacing w:line="360" w:lineRule="auto"/>
        <w:ind w:firstLineChars="200" w:firstLine="420"/>
        <w:rPr>
          <w:rFonts w:hAnsi="宋体"/>
          <w:bCs/>
          <w:color w:val="0000FF"/>
          <w:kern w:val="0"/>
          <w:szCs w:val="21"/>
        </w:rPr>
      </w:pPr>
    </w:p>
    <w:p w14:paraId="6068573E" w14:textId="77777777" w:rsidR="00F5289E" w:rsidRDefault="00F5289E">
      <w:pPr>
        <w:spacing w:line="360" w:lineRule="auto"/>
        <w:ind w:firstLineChars="200" w:firstLine="420"/>
        <w:rPr>
          <w:rFonts w:hAnsi="宋体"/>
          <w:bCs/>
          <w:color w:val="0000FF"/>
          <w:kern w:val="0"/>
          <w:szCs w:val="21"/>
        </w:rPr>
      </w:pPr>
    </w:p>
    <w:p w14:paraId="1DE7D1F3" w14:textId="77777777" w:rsidR="00F5289E" w:rsidRDefault="00F5289E">
      <w:pPr>
        <w:spacing w:line="360" w:lineRule="auto"/>
        <w:ind w:firstLineChars="200" w:firstLine="420"/>
        <w:rPr>
          <w:rFonts w:hAnsi="宋体"/>
          <w:bCs/>
          <w:color w:val="0000FF"/>
          <w:kern w:val="0"/>
          <w:szCs w:val="21"/>
        </w:rPr>
      </w:pPr>
    </w:p>
    <w:p w14:paraId="616E1B63"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lastRenderedPageBreak/>
        <w:t>四</w:t>
      </w:r>
      <w:r>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1998156" w14:textId="77777777">
        <w:trPr>
          <w:trHeight w:val="270"/>
        </w:trPr>
        <w:tc>
          <w:tcPr>
            <w:tcW w:w="2965" w:type="dxa"/>
            <w:tcBorders>
              <w:top w:val="nil"/>
              <w:left w:val="nil"/>
              <w:bottom w:val="nil"/>
              <w:right w:val="nil"/>
            </w:tcBorders>
            <w:vAlign w:val="center"/>
          </w:tcPr>
          <w:p w14:paraId="581D831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F3A4F22"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7AFAC66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79036AB9"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rPr>
        <w:t>使学生初步了解工厂化育苗原理与技术的概念、任务；了解工厂化育苗在农业栽培生产中的重要地位；了解国内外工厂化育苗的发展现状及科研进展，明确工厂化育苗今后的发展趋势。</w:t>
      </w:r>
    </w:p>
    <w:p w14:paraId="13223B0A"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工厂化育苗与传统育苗的区别；与农业发达国家相比，我国工厂化育苗行业发展的现状、存在的问题及发展趋势。</w:t>
      </w:r>
    </w:p>
    <w:p w14:paraId="233FA901" w14:textId="77777777" w:rsidR="00F5289E" w:rsidRDefault="00C91173">
      <w:pPr>
        <w:widowControl/>
        <w:snapToGrid w:val="0"/>
        <w:spacing w:line="360" w:lineRule="auto"/>
        <w:rPr>
          <w:rFonts w:ascii="宋体" w:hAnsi="宋体"/>
          <w:b/>
        </w:rPr>
      </w:pPr>
      <w:r>
        <w:rPr>
          <w:rFonts w:ascii="宋体" w:hAnsi="宋体" w:hint="eastAsia"/>
          <w:b/>
        </w:rPr>
        <w:t>主要教学内容及要求：</w:t>
      </w:r>
      <w:r>
        <w:rPr>
          <w:rFonts w:ascii="宋体" w:hAnsi="宋体" w:hint="eastAsia"/>
          <w:bCs/>
        </w:rPr>
        <w:t>了解工厂化育苗的基本概念，与传统育苗的区别；了解国外工厂化育苗的历史与发展现状；掌握国内工厂化育苗的发展现状与不足；掌握国内工厂化育苗产业的发展趋势。</w:t>
      </w:r>
    </w:p>
    <w:p w14:paraId="5C4351F2" w14:textId="77777777" w:rsidR="00F5289E" w:rsidRDefault="00C91173">
      <w:pPr>
        <w:widowControl/>
        <w:snapToGrid w:val="0"/>
        <w:spacing w:line="360" w:lineRule="auto"/>
        <w:rPr>
          <w:rFonts w:hAnsi="宋体"/>
          <w:b/>
          <w:bCs/>
          <w:kern w:val="0"/>
          <w:szCs w:val="21"/>
        </w:rPr>
      </w:pPr>
      <w:r>
        <w:rPr>
          <w:rFonts w:ascii="宋体" w:hAnsi="宋体" w:hint="eastAsia"/>
          <w:b/>
          <w:bCs/>
        </w:rPr>
        <w:t>教学组织与实施：</w:t>
      </w:r>
      <w:r>
        <w:rPr>
          <w:rFonts w:ascii="宋体" w:hAnsi="宋体" w:hint="eastAsia"/>
        </w:rPr>
        <w:t>教师先带领学生回顾一下我国育苗方式的历史沿革，提出问题：以前传统的育苗方式存在什么问题，如何来解决这些问题？通过小组讨论让学生提出自己的想法，激发学生兴趣；然后教师向学生介绍工厂化育苗出现的背景及发展，介绍工厂化育苗技术的优势；最后，强调种苗在园艺生产中的重要性以及我国种苗市场的广阔前景，使学生对本门课程产生兴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A19A453" w14:textId="77777777">
        <w:trPr>
          <w:trHeight w:val="270"/>
        </w:trPr>
        <w:tc>
          <w:tcPr>
            <w:tcW w:w="2965" w:type="dxa"/>
            <w:tcBorders>
              <w:top w:val="nil"/>
              <w:left w:val="nil"/>
              <w:bottom w:val="nil"/>
              <w:right w:val="nil"/>
            </w:tcBorders>
            <w:vAlign w:val="center"/>
          </w:tcPr>
          <w:p w14:paraId="1DAB8EC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99218C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hint="eastAsia"/>
                <w:b/>
                <w:bCs/>
                <w:kern w:val="0"/>
                <w:szCs w:val="21"/>
              </w:rPr>
              <w:t>育苗基础知识</w:t>
            </w:r>
          </w:p>
        </w:tc>
        <w:tc>
          <w:tcPr>
            <w:tcW w:w="2966" w:type="dxa"/>
            <w:tcBorders>
              <w:top w:val="nil"/>
              <w:left w:val="nil"/>
              <w:bottom w:val="nil"/>
              <w:right w:val="nil"/>
            </w:tcBorders>
            <w:vAlign w:val="center"/>
          </w:tcPr>
          <w:p w14:paraId="54CE518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14C1AB31"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了解种子结构与萌发，掌握种子质量检验和质量控制技术；了解种子萌发的条件，掌</w:t>
      </w:r>
    </w:p>
    <w:p w14:paraId="64D142A0" w14:textId="77777777" w:rsidR="00F5289E" w:rsidRDefault="00C91173">
      <w:pPr>
        <w:widowControl/>
        <w:snapToGrid w:val="0"/>
        <w:spacing w:line="360" w:lineRule="auto"/>
        <w:rPr>
          <w:rFonts w:hAnsi="宋体"/>
          <w:b/>
          <w:bCs/>
          <w:kern w:val="0"/>
          <w:szCs w:val="21"/>
        </w:rPr>
      </w:pPr>
      <w:r>
        <w:rPr>
          <w:rFonts w:ascii="宋体" w:hAnsi="宋体" w:hint="eastAsia"/>
          <w:bCs/>
        </w:rPr>
        <w:t>握种子播前处理技术和播种育苗技术。</w:t>
      </w:r>
    </w:p>
    <w:p w14:paraId="4AF5ED6F"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本章重点内容为种子质量与播前处理技术、播种育苗关键技术。难点为种子质</w:t>
      </w:r>
    </w:p>
    <w:p w14:paraId="57A29816" w14:textId="77777777" w:rsidR="00F5289E" w:rsidRDefault="00C91173">
      <w:pPr>
        <w:widowControl/>
        <w:snapToGrid w:val="0"/>
        <w:spacing w:line="360" w:lineRule="auto"/>
        <w:rPr>
          <w:rFonts w:hAnsi="宋体"/>
          <w:b/>
          <w:bCs/>
          <w:kern w:val="0"/>
          <w:szCs w:val="21"/>
        </w:rPr>
      </w:pPr>
      <w:r>
        <w:rPr>
          <w:rFonts w:ascii="宋体" w:hAnsi="宋体" w:hint="eastAsia"/>
          <w:bCs/>
        </w:rPr>
        <w:t>量控制技术。</w:t>
      </w:r>
    </w:p>
    <w:p w14:paraId="13B158E4" w14:textId="77777777" w:rsidR="00F5289E" w:rsidRDefault="00C91173">
      <w:pPr>
        <w:widowControl/>
        <w:snapToGrid w:val="0"/>
        <w:spacing w:line="360" w:lineRule="auto"/>
        <w:rPr>
          <w:rFonts w:ascii="宋体" w:hAnsi="宋体"/>
          <w:bCs/>
        </w:rPr>
      </w:pPr>
      <w:r>
        <w:rPr>
          <w:rFonts w:ascii="宋体" w:hAnsi="宋体" w:hint="eastAsia"/>
          <w:b/>
        </w:rPr>
        <w:t>主要教学内容及要求：</w:t>
      </w:r>
      <w:r>
        <w:rPr>
          <w:rFonts w:ascii="宋体" w:hAnsi="宋体" w:hint="eastAsia"/>
          <w:bCs/>
        </w:rPr>
        <w:t>了解种子的发育结构和发育成熟过程，理解种子萌发所需要的环境条件，掌握种子质量检验和质量控制技术，熟练掌握种子播前处理技术和播种育苗关键技术。</w:t>
      </w:r>
    </w:p>
    <w:p w14:paraId="15ABCE97" w14:textId="77777777" w:rsidR="00F5289E" w:rsidRDefault="00C91173">
      <w:pPr>
        <w:widowControl/>
        <w:snapToGrid w:val="0"/>
        <w:spacing w:line="360" w:lineRule="auto"/>
        <w:rPr>
          <w:rFonts w:ascii="宋体" w:hAnsi="宋体"/>
          <w:bCs/>
        </w:rPr>
      </w:pPr>
      <w:r>
        <w:rPr>
          <w:rFonts w:ascii="宋体" w:hAnsi="宋体" w:hint="eastAsia"/>
          <w:bCs/>
        </w:rPr>
        <w:t>第一节 种子结构与萌发</w:t>
      </w:r>
    </w:p>
    <w:p w14:paraId="7B212D53" w14:textId="77777777" w:rsidR="00F5289E" w:rsidRDefault="00C91173">
      <w:pPr>
        <w:widowControl/>
        <w:snapToGrid w:val="0"/>
        <w:spacing w:line="360" w:lineRule="auto"/>
        <w:rPr>
          <w:rFonts w:ascii="宋体" w:hAnsi="宋体"/>
          <w:bCs/>
        </w:rPr>
      </w:pPr>
      <w:r>
        <w:rPr>
          <w:rFonts w:ascii="宋体" w:hAnsi="宋体" w:hint="eastAsia"/>
          <w:bCs/>
        </w:rPr>
        <w:t>第二节 种子质量和种子处理</w:t>
      </w:r>
    </w:p>
    <w:p w14:paraId="42D4CB61" w14:textId="77777777" w:rsidR="00F5289E" w:rsidRDefault="00C91173">
      <w:pPr>
        <w:snapToGrid w:val="0"/>
        <w:spacing w:line="360" w:lineRule="auto"/>
        <w:rPr>
          <w:rFonts w:ascii="宋体" w:hAnsi="宋体"/>
          <w:bCs/>
        </w:rPr>
      </w:pPr>
      <w:r>
        <w:rPr>
          <w:rFonts w:ascii="宋体" w:hAnsi="宋体" w:hint="eastAsia"/>
          <w:b/>
          <w:bCs/>
        </w:rPr>
        <w:t>教学组织与实施：</w:t>
      </w:r>
      <w:r>
        <w:rPr>
          <w:rFonts w:ascii="宋体" w:hAnsi="宋体" w:hint="eastAsia"/>
          <w:bCs/>
        </w:rPr>
        <w:t>首先带领学生回顾植物学课程中种子发育的相关知识，在回顾的过程中提出问题：如何判断种子是否成熟？什么样的种子是质量好的种子？利用延时拍摄视频向学生展示一粒种子如何发育成一株幼苗，使学生了解种子如何克服各种困境破土而出，引导学生领悟到人生也许克服重重困难。披荆斩棘才能成长。通过讲解种子筛选、种子播前处理、种子引发和催芽等技术手段提高工厂化育苗生产中种子的发芽率，使学生领会到只有勤于思考、掌握正确的方法才能获得成功。</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7856619" w14:textId="77777777">
        <w:trPr>
          <w:trHeight w:val="270"/>
        </w:trPr>
        <w:tc>
          <w:tcPr>
            <w:tcW w:w="2965" w:type="dxa"/>
            <w:tcBorders>
              <w:top w:val="nil"/>
              <w:left w:val="nil"/>
              <w:bottom w:val="nil"/>
              <w:right w:val="nil"/>
            </w:tcBorders>
            <w:vAlign w:val="center"/>
          </w:tcPr>
          <w:p w14:paraId="788B166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AE6BF1E"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bCs/>
                <w:kern w:val="0"/>
                <w:szCs w:val="21"/>
              </w:rPr>
              <w:t>植物组织培养</w:t>
            </w:r>
          </w:p>
        </w:tc>
        <w:tc>
          <w:tcPr>
            <w:tcW w:w="2966" w:type="dxa"/>
            <w:tcBorders>
              <w:top w:val="nil"/>
              <w:left w:val="nil"/>
              <w:bottom w:val="nil"/>
              <w:right w:val="nil"/>
            </w:tcBorders>
            <w:vAlign w:val="center"/>
          </w:tcPr>
          <w:p w14:paraId="513E8BC8"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3</w:t>
            </w:r>
          </w:p>
        </w:tc>
      </w:tr>
    </w:tbl>
    <w:p w14:paraId="03AAC33F"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了解植物组织培养的概念、发展简史与趋势和基础设备；掌握植物组织培养的理论技</w:t>
      </w:r>
    </w:p>
    <w:p w14:paraId="49110C85" w14:textId="77777777" w:rsidR="00F5289E" w:rsidRDefault="00C91173">
      <w:pPr>
        <w:widowControl/>
        <w:snapToGrid w:val="0"/>
        <w:spacing w:line="360" w:lineRule="auto"/>
        <w:rPr>
          <w:rFonts w:hAnsi="宋体"/>
          <w:b/>
          <w:bCs/>
          <w:kern w:val="0"/>
          <w:szCs w:val="21"/>
        </w:rPr>
      </w:pPr>
      <w:r>
        <w:rPr>
          <w:rFonts w:ascii="宋体" w:hAnsi="宋体" w:hint="eastAsia"/>
          <w:bCs/>
        </w:rPr>
        <w:t>术、基本方法与技术及其在农业中的应用。</w:t>
      </w:r>
    </w:p>
    <w:p w14:paraId="2E1A32D8"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本章重点内容为植物组织培养的基本方法与技术；难点为细胞全能性与器官发</w:t>
      </w:r>
    </w:p>
    <w:p w14:paraId="3E1D4ADB" w14:textId="77777777" w:rsidR="00F5289E" w:rsidRDefault="00C91173">
      <w:pPr>
        <w:widowControl/>
        <w:snapToGrid w:val="0"/>
        <w:spacing w:line="360" w:lineRule="auto"/>
        <w:rPr>
          <w:rFonts w:hAnsi="宋体"/>
          <w:b/>
          <w:bCs/>
          <w:kern w:val="0"/>
          <w:szCs w:val="21"/>
        </w:rPr>
      </w:pPr>
      <w:r>
        <w:rPr>
          <w:rFonts w:ascii="宋体" w:hAnsi="宋体" w:hint="eastAsia"/>
          <w:bCs/>
        </w:rPr>
        <w:t>生原理。</w:t>
      </w:r>
    </w:p>
    <w:p w14:paraId="04CD8ADB" w14:textId="77777777" w:rsidR="00F5289E" w:rsidRDefault="00C91173">
      <w:pPr>
        <w:widowControl/>
        <w:snapToGrid w:val="0"/>
        <w:spacing w:line="360" w:lineRule="auto"/>
        <w:rPr>
          <w:rFonts w:ascii="宋体" w:hAnsi="宋体"/>
          <w:bCs/>
        </w:rPr>
      </w:pPr>
      <w:r>
        <w:rPr>
          <w:rFonts w:ascii="宋体" w:hAnsi="宋体" w:hint="eastAsia"/>
          <w:b/>
        </w:rPr>
        <w:t>主要教学内容及要求：</w:t>
      </w:r>
      <w:r>
        <w:rPr>
          <w:rFonts w:ascii="宋体" w:hAnsi="宋体" w:hint="eastAsia"/>
          <w:bCs/>
        </w:rPr>
        <w:t>了解植物组织培养的概念、发展简史与趋势和基础设备，理解细胞全能性</w:t>
      </w:r>
    </w:p>
    <w:p w14:paraId="5C54981F" w14:textId="77777777" w:rsidR="00F5289E" w:rsidRDefault="00C91173">
      <w:pPr>
        <w:widowControl/>
        <w:snapToGrid w:val="0"/>
        <w:spacing w:line="360" w:lineRule="auto"/>
        <w:rPr>
          <w:rFonts w:ascii="宋体" w:hAnsi="宋体"/>
          <w:bCs/>
        </w:rPr>
      </w:pPr>
      <w:r>
        <w:rPr>
          <w:rFonts w:ascii="宋体" w:hAnsi="宋体" w:hint="eastAsia"/>
          <w:bCs/>
        </w:rPr>
        <w:t>与器官发生，掌握植物组织培养在农业中的应用，熟练掌握植物组织培养的基本方法与技术。</w:t>
      </w:r>
    </w:p>
    <w:p w14:paraId="345CCFAE" w14:textId="77777777" w:rsidR="00F5289E" w:rsidRDefault="00C91173">
      <w:pPr>
        <w:widowControl/>
        <w:snapToGrid w:val="0"/>
        <w:spacing w:line="360" w:lineRule="auto"/>
        <w:rPr>
          <w:rFonts w:ascii="宋体" w:hAnsi="宋体"/>
          <w:bCs/>
        </w:rPr>
      </w:pPr>
      <w:r>
        <w:rPr>
          <w:rFonts w:ascii="宋体" w:hAnsi="宋体" w:hint="eastAsia"/>
          <w:bCs/>
        </w:rPr>
        <w:lastRenderedPageBreak/>
        <w:t xml:space="preserve">第一节 </w:t>
      </w:r>
      <w:bookmarkStart w:id="57" w:name="_Hlk135149115"/>
      <w:r>
        <w:rPr>
          <w:rFonts w:ascii="宋体" w:hAnsi="宋体" w:hint="eastAsia"/>
          <w:bCs/>
        </w:rPr>
        <w:t>植物组织培养概述与发展趋势</w:t>
      </w:r>
      <w:bookmarkEnd w:id="57"/>
    </w:p>
    <w:p w14:paraId="679807B2" w14:textId="77777777" w:rsidR="00F5289E" w:rsidRDefault="00C91173">
      <w:pPr>
        <w:widowControl/>
        <w:snapToGrid w:val="0"/>
        <w:spacing w:line="360" w:lineRule="auto"/>
        <w:rPr>
          <w:rFonts w:ascii="宋体" w:hAnsi="宋体"/>
          <w:bCs/>
        </w:rPr>
      </w:pPr>
      <w:r>
        <w:rPr>
          <w:rFonts w:ascii="宋体" w:hAnsi="宋体" w:hint="eastAsia"/>
          <w:bCs/>
        </w:rPr>
        <w:t>第二节 细胞的全能性与器官发生</w:t>
      </w:r>
    </w:p>
    <w:p w14:paraId="4E6C2E6D" w14:textId="77777777" w:rsidR="00F5289E" w:rsidRDefault="00C91173">
      <w:pPr>
        <w:widowControl/>
        <w:snapToGrid w:val="0"/>
        <w:spacing w:line="360" w:lineRule="auto"/>
        <w:rPr>
          <w:rFonts w:ascii="宋体" w:hAnsi="宋体"/>
          <w:bCs/>
        </w:rPr>
      </w:pPr>
      <w:r>
        <w:rPr>
          <w:rFonts w:ascii="宋体" w:hAnsi="宋体" w:hint="eastAsia"/>
          <w:bCs/>
        </w:rPr>
        <w:t>第三节 植物组织培养的实验室与基本设备</w:t>
      </w:r>
    </w:p>
    <w:p w14:paraId="273DE19E" w14:textId="77777777" w:rsidR="00F5289E" w:rsidRDefault="00C91173">
      <w:pPr>
        <w:widowControl/>
        <w:snapToGrid w:val="0"/>
        <w:spacing w:line="360" w:lineRule="auto"/>
        <w:rPr>
          <w:rFonts w:ascii="宋体" w:hAnsi="宋体"/>
          <w:bCs/>
        </w:rPr>
      </w:pPr>
      <w:r>
        <w:rPr>
          <w:rFonts w:ascii="宋体" w:hAnsi="宋体" w:hint="eastAsia"/>
          <w:bCs/>
        </w:rPr>
        <w:t>第四节 植物组织培养的基本方法与技术</w:t>
      </w:r>
    </w:p>
    <w:p w14:paraId="0C0531F5" w14:textId="77777777" w:rsidR="00F5289E" w:rsidRDefault="00C91173">
      <w:pPr>
        <w:widowControl/>
        <w:snapToGrid w:val="0"/>
        <w:spacing w:line="360" w:lineRule="auto"/>
        <w:rPr>
          <w:rFonts w:ascii="宋体" w:hAnsi="宋体"/>
          <w:bCs/>
        </w:rPr>
      </w:pPr>
      <w:r>
        <w:rPr>
          <w:rFonts w:ascii="宋体" w:hAnsi="宋体" w:hint="eastAsia"/>
          <w:bCs/>
        </w:rPr>
        <w:t>第五节 植物组织培养在农业中的应用</w:t>
      </w:r>
    </w:p>
    <w:p w14:paraId="3E5A4963" w14:textId="77777777" w:rsidR="00F5289E" w:rsidRDefault="00C91173">
      <w:pPr>
        <w:snapToGrid w:val="0"/>
        <w:spacing w:line="360" w:lineRule="auto"/>
        <w:rPr>
          <w:rFonts w:ascii="宋体" w:hAnsi="宋体"/>
          <w:bCs/>
        </w:rPr>
      </w:pPr>
      <w:r>
        <w:rPr>
          <w:rFonts w:ascii="宋体" w:hAnsi="宋体" w:hint="eastAsia"/>
          <w:b/>
          <w:bCs/>
        </w:rPr>
        <w:t>教学组织与实施：</w:t>
      </w:r>
      <w:r>
        <w:rPr>
          <w:rFonts w:ascii="宋体" w:hAnsi="宋体" w:hint="eastAsia"/>
        </w:rPr>
        <w:t>以高中生物胡萝卜组织培养相关知识引入，以香蕉、草莓、马铃薯、人参、蝴蝶兰等为例，抛出问题：无种子或难以获得种子的作物如何实现工厂化育苗？</w:t>
      </w:r>
      <w:r>
        <w:rPr>
          <w:rFonts w:ascii="宋体" w:hAnsi="宋体" w:hint="eastAsia"/>
          <w:bCs/>
        </w:rPr>
        <w:t>在学生思考问题的基础上，提出实现的路径即为植物组织培养技术。随后简要概述植物组织培养的含义和发展趋势，以细胞学说和细胞全能性学说的形成过程贯穿其中，引导学生认识科学发展的一般规律和关于人生选择的重要性。通过最新的文献实例讲述细胞的全能性与器官发生的路径。在理论学习基础上，向学生介绍工厂化组织培养育苗所需要的设施与设备。通过图片对比的形式分别展示组织培养操作中正确和错误示例，提高学生对组织培养技术的掌握。最后，以翻转课堂的形式让学生分组汇报植物组织培养在农业中的应用。</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957284E" w14:textId="77777777">
        <w:trPr>
          <w:trHeight w:val="270"/>
        </w:trPr>
        <w:tc>
          <w:tcPr>
            <w:tcW w:w="2965" w:type="dxa"/>
            <w:tcBorders>
              <w:top w:val="nil"/>
              <w:left w:val="nil"/>
              <w:bottom w:val="nil"/>
              <w:right w:val="nil"/>
            </w:tcBorders>
            <w:vAlign w:val="center"/>
          </w:tcPr>
          <w:p w14:paraId="28BE3C7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521C752"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bCs/>
                <w:kern w:val="0"/>
                <w:szCs w:val="21"/>
              </w:rPr>
              <w:t>工厂化育苗设施与设备</w:t>
            </w:r>
          </w:p>
        </w:tc>
        <w:tc>
          <w:tcPr>
            <w:tcW w:w="2966" w:type="dxa"/>
            <w:tcBorders>
              <w:top w:val="nil"/>
              <w:left w:val="nil"/>
              <w:bottom w:val="nil"/>
              <w:right w:val="nil"/>
            </w:tcBorders>
            <w:vAlign w:val="center"/>
          </w:tcPr>
          <w:p w14:paraId="1BE84977"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3</w:t>
            </w:r>
          </w:p>
        </w:tc>
      </w:tr>
    </w:tbl>
    <w:p w14:paraId="5FB21C83"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掌握工厂化育苗的设施与设备及其应用，工厂化育苗的工艺流程。</w:t>
      </w:r>
    </w:p>
    <w:p w14:paraId="4EFCC82C"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本章重点内容为工厂化育苗的设施设备及其作用；难点为工厂化育苗工艺流程。</w:t>
      </w:r>
    </w:p>
    <w:p w14:paraId="5298201E"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了解工厂化育苗的主要设施；理解育苗温室环境控制系统；掌握育苗的生产设备和辅助设备；熟练掌握工厂化育苗的工艺流程。</w:t>
      </w:r>
    </w:p>
    <w:p w14:paraId="3114FA76" w14:textId="77777777" w:rsidR="00F5289E" w:rsidRDefault="00C91173">
      <w:pPr>
        <w:widowControl/>
        <w:snapToGrid w:val="0"/>
        <w:spacing w:line="360" w:lineRule="auto"/>
        <w:rPr>
          <w:rFonts w:ascii="宋体" w:hAnsi="宋体"/>
          <w:bCs/>
        </w:rPr>
      </w:pPr>
      <w:r>
        <w:rPr>
          <w:rFonts w:ascii="宋体" w:hAnsi="宋体" w:hint="eastAsia"/>
          <w:bCs/>
        </w:rPr>
        <w:t>第一节 工厂化育苗工艺流程</w:t>
      </w:r>
    </w:p>
    <w:p w14:paraId="0CD9595C" w14:textId="77777777" w:rsidR="00F5289E" w:rsidRDefault="00C91173">
      <w:pPr>
        <w:widowControl/>
        <w:snapToGrid w:val="0"/>
        <w:spacing w:line="360" w:lineRule="auto"/>
        <w:rPr>
          <w:rFonts w:ascii="宋体" w:hAnsi="宋体"/>
          <w:bCs/>
        </w:rPr>
      </w:pPr>
      <w:r>
        <w:rPr>
          <w:rFonts w:ascii="宋体" w:hAnsi="宋体" w:hint="eastAsia"/>
          <w:bCs/>
        </w:rPr>
        <w:t>第二节 工厂化育苗设施</w:t>
      </w:r>
    </w:p>
    <w:p w14:paraId="0945E5C2" w14:textId="77777777" w:rsidR="00F5289E" w:rsidRDefault="00C91173">
      <w:pPr>
        <w:widowControl/>
        <w:snapToGrid w:val="0"/>
        <w:spacing w:line="360" w:lineRule="auto"/>
        <w:rPr>
          <w:rFonts w:ascii="宋体" w:hAnsi="宋体"/>
          <w:bCs/>
        </w:rPr>
      </w:pPr>
      <w:r>
        <w:rPr>
          <w:rFonts w:ascii="宋体" w:hAnsi="宋体" w:hint="eastAsia"/>
          <w:bCs/>
        </w:rPr>
        <w:t>第三节 工厂化育苗设备</w:t>
      </w:r>
    </w:p>
    <w:p w14:paraId="598BF3F4" w14:textId="77777777" w:rsidR="00F5289E" w:rsidRDefault="00C91173">
      <w:pPr>
        <w:widowControl/>
        <w:snapToGrid w:val="0"/>
        <w:spacing w:line="360" w:lineRule="auto"/>
        <w:rPr>
          <w:rFonts w:ascii="宋体" w:hAnsi="宋体"/>
          <w:bCs/>
        </w:rPr>
      </w:pPr>
      <w:r>
        <w:rPr>
          <w:rFonts w:ascii="宋体" w:hAnsi="宋体" w:hint="eastAsia"/>
          <w:bCs/>
        </w:rPr>
        <w:t>第四节 育苗辅助设备</w:t>
      </w:r>
    </w:p>
    <w:p w14:paraId="691AC57C"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rPr>
        <w:t>以服装厂和食品厂等与育苗工厂类比，引入工厂化育苗也需要厂房（设施）和机器（设备）。以传统育苗和工厂化育苗进行对比介绍</w:t>
      </w:r>
      <w:r>
        <w:rPr>
          <w:rFonts w:ascii="宋体" w:hAnsi="宋体" w:hint="eastAsia"/>
          <w:bCs/>
        </w:rPr>
        <w:t>工厂化育苗生产工艺流程，突出工厂化育苗的先进性。将流程图按照育苗生产节点分类，提出问题：每个生产节点哪些设备和设备能够减低劳动强度并加快育苗进程？在此问题基础上，引出本节主要内容：育苗设施、育苗设备。育苗设施方面，以同期课程《农业设施工程学》为基础，从低级到高级介绍不同的育苗设施，强化专业教育，突出设工特色；育苗设备方面，分别从温、光、水、气、肥五方面讲述如何通过选择合适的设备对育苗设施内环境进行调控，讲述过程中可融入“科技强国”“环境与成才”等思政元素以及荀子《劝学》和《孟母三迁》等优秀国学文化。</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B2850A4" w14:textId="77777777">
        <w:trPr>
          <w:trHeight w:val="270"/>
        </w:trPr>
        <w:tc>
          <w:tcPr>
            <w:tcW w:w="2965" w:type="dxa"/>
            <w:tcBorders>
              <w:top w:val="nil"/>
              <w:left w:val="nil"/>
              <w:bottom w:val="nil"/>
              <w:right w:val="nil"/>
            </w:tcBorders>
            <w:vAlign w:val="center"/>
          </w:tcPr>
          <w:p w14:paraId="43170AD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6072641"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bCs/>
                <w:kern w:val="0"/>
                <w:szCs w:val="21"/>
              </w:rPr>
              <w:t>工厂化育苗方式</w:t>
            </w:r>
          </w:p>
        </w:tc>
        <w:tc>
          <w:tcPr>
            <w:tcW w:w="2966" w:type="dxa"/>
            <w:tcBorders>
              <w:top w:val="nil"/>
              <w:left w:val="nil"/>
              <w:bottom w:val="nil"/>
              <w:right w:val="nil"/>
            </w:tcBorders>
            <w:vAlign w:val="center"/>
          </w:tcPr>
          <w:p w14:paraId="3B53712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24AA5FE6"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了解不用育苗方式的定义和设施与设备；掌握不同方式育苗技术。</w:t>
      </w:r>
    </w:p>
    <w:p w14:paraId="372DB680"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本章重点内容为不同育苗方式及其特点；难点为不同方式育苗技术。</w:t>
      </w:r>
    </w:p>
    <w:p w14:paraId="6FBF0BF6" w14:textId="77777777" w:rsidR="00F5289E" w:rsidRDefault="00C91173">
      <w:pPr>
        <w:widowControl/>
        <w:snapToGrid w:val="0"/>
        <w:spacing w:line="360" w:lineRule="auto"/>
        <w:rPr>
          <w:rFonts w:ascii="宋体" w:hAnsi="宋体"/>
          <w:bCs/>
        </w:rPr>
      </w:pPr>
      <w:r>
        <w:rPr>
          <w:rFonts w:ascii="宋体" w:hAnsi="宋体" w:hint="eastAsia"/>
          <w:b/>
          <w:bCs/>
        </w:rPr>
        <w:lastRenderedPageBreak/>
        <w:t>主要教学内容及要求：</w:t>
      </w:r>
      <w:r>
        <w:rPr>
          <w:rFonts w:ascii="宋体" w:hAnsi="宋体" w:hint="eastAsia"/>
          <w:bCs/>
        </w:rPr>
        <w:t>了解不同育苗方式设施与设备；掌握不同方式育苗技术流程；掌握不同育苗方式特点；重点掌握不同方式育苗技术要点。</w:t>
      </w:r>
    </w:p>
    <w:p w14:paraId="0F3AD6CE" w14:textId="77777777" w:rsidR="00F5289E" w:rsidRDefault="00C91173">
      <w:pPr>
        <w:widowControl/>
        <w:snapToGrid w:val="0"/>
        <w:spacing w:line="360" w:lineRule="auto"/>
        <w:rPr>
          <w:rFonts w:ascii="宋体" w:hAnsi="宋体"/>
          <w:bCs/>
        </w:rPr>
      </w:pPr>
      <w:r>
        <w:rPr>
          <w:rFonts w:ascii="宋体" w:hAnsi="宋体" w:hint="eastAsia"/>
          <w:bCs/>
        </w:rPr>
        <w:t>第一节 穴盘育苗</w:t>
      </w:r>
    </w:p>
    <w:p w14:paraId="5F4F48D1" w14:textId="77777777" w:rsidR="00F5289E" w:rsidRDefault="00C91173">
      <w:pPr>
        <w:widowControl/>
        <w:snapToGrid w:val="0"/>
        <w:spacing w:line="360" w:lineRule="auto"/>
        <w:rPr>
          <w:rFonts w:ascii="宋体" w:hAnsi="宋体"/>
          <w:bCs/>
        </w:rPr>
      </w:pPr>
      <w:r>
        <w:rPr>
          <w:rFonts w:ascii="宋体" w:hAnsi="宋体" w:hint="eastAsia"/>
          <w:bCs/>
        </w:rPr>
        <w:t>第二节 水培育苗</w:t>
      </w:r>
    </w:p>
    <w:p w14:paraId="7FA96BAA" w14:textId="77777777" w:rsidR="00F5289E" w:rsidRDefault="00C91173">
      <w:pPr>
        <w:widowControl/>
        <w:snapToGrid w:val="0"/>
        <w:spacing w:line="360" w:lineRule="auto"/>
        <w:rPr>
          <w:rFonts w:ascii="宋体" w:hAnsi="宋体"/>
          <w:bCs/>
        </w:rPr>
      </w:pPr>
      <w:r>
        <w:rPr>
          <w:rFonts w:ascii="宋体" w:hAnsi="宋体" w:hint="eastAsia"/>
          <w:bCs/>
        </w:rPr>
        <w:t>第三节 容器育苗</w:t>
      </w:r>
    </w:p>
    <w:p w14:paraId="21944E9F" w14:textId="77777777" w:rsidR="00F5289E" w:rsidRDefault="00C91173">
      <w:pPr>
        <w:widowControl/>
        <w:snapToGrid w:val="0"/>
        <w:spacing w:line="360" w:lineRule="auto"/>
        <w:rPr>
          <w:rFonts w:ascii="宋体" w:hAnsi="宋体"/>
          <w:bCs/>
        </w:rPr>
      </w:pPr>
      <w:r>
        <w:rPr>
          <w:rFonts w:ascii="宋体" w:hAnsi="宋体" w:hint="eastAsia"/>
          <w:bCs/>
        </w:rPr>
        <w:t>第四节 其他育苗方式</w:t>
      </w:r>
    </w:p>
    <w:p w14:paraId="5198F8F6"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rPr>
        <w:t>教学组织与实施：</w:t>
      </w:r>
      <w:r>
        <w:rPr>
          <w:rFonts w:ascii="宋体" w:hAnsi="宋体" w:hint="eastAsia"/>
        </w:rPr>
        <w:t>以中国儒家经典典籍《春秋公羊传》引入传统农业生产以土地为基础的种植为引，再到中国南极科考中山站种出新鲜蔬菜为落脚点，启发学生思考农业种植是否具有不同的种植方式。再以图片的形式向学生展示数千年前国内外古人以水为介质种植农作物的模式，引申出基质栽培，水培，岩棉栽培等新型栽培模式，通过对图片的浏览提出问题：各种新型栽培模式是否能够应用与工厂化育苗？随后以应用的广泛程度分别讲解穴盘育苗、水培育苗、容器育苗、岩棉育苗、营养块育苗如何进行，各种育苗方式的优缺点及其适用场景。通过课程的学习启发学生打破惯性思维，创新育苗方式。</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1BE9EE6" w14:textId="77777777">
        <w:trPr>
          <w:trHeight w:val="270"/>
        </w:trPr>
        <w:tc>
          <w:tcPr>
            <w:tcW w:w="2965" w:type="dxa"/>
            <w:tcBorders>
              <w:top w:val="nil"/>
              <w:left w:val="nil"/>
              <w:bottom w:val="nil"/>
              <w:right w:val="nil"/>
            </w:tcBorders>
            <w:vAlign w:val="center"/>
          </w:tcPr>
          <w:p w14:paraId="7493CEFB"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5785650"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bCs/>
                <w:kern w:val="0"/>
                <w:szCs w:val="21"/>
              </w:rPr>
              <w:t>育苗基质与营养</w:t>
            </w:r>
          </w:p>
        </w:tc>
        <w:tc>
          <w:tcPr>
            <w:tcW w:w="2966" w:type="dxa"/>
            <w:tcBorders>
              <w:top w:val="nil"/>
              <w:left w:val="nil"/>
              <w:bottom w:val="nil"/>
              <w:right w:val="nil"/>
            </w:tcBorders>
            <w:vAlign w:val="center"/>
          </w:tcPr>
          <w:p w14:paraId="549420E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18E2AFC1"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了解基质的种类和理化性状指标；掌握育苗对基质要求及不同基质特性，育苗基质理化性状检测及复合基质组配。</w:t>
      </w:r>
    </w:p>
    <w:p w14:paraId="4B7D3C8E"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本章重点内容为育苗对基质要求及不同基质特性，育苗养分供应方式；难点为育苗基质理化性状检测及复合基质组配。</w:t>
      </w:r>
    </w:p>
    <w:p w14:paraId="1E88EB54"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了解基质的种类和理化性状指标；理解育苗养分供应方式；掌握育苗对基质要求及不同基质特性；熟练掌握育苗基质理化性状检测及复合基质组配。</w:t>
      </w:r>
    </w:p>
    <w:p w14:paraId="05B8C3E5" w14:textId="77777777" w:rsidR="00F5289E" w:rsidRDefault="00C91173">
      <w:pPr>
        <w:widowControl/>
        <w:snapToGrid w:val="0"/>
        <w:spacing w:line="360" w:lineRule="auto"/>
        <w:rPr>
          <w:rFonts w:ascii="宋体" w:hAnsi="宋体"/>
          <w:bCs/>
        </w:rPr>
      </w:pPr>
      <w:r>
        <w:rPr>
          <w:rFonts w:ascii="宋体" w:hAnsi="宋体" w:hint="eastAsia"/>
          <w:bCs/>
        </w:rPr>
        <w:t>第一节 育苗基质</w:t>
      </w:r>
    </w:p>
    <w:p w14:paraId="1C3FDB85" w14:textId="77777777" w:rsidR="00F5289E" w:rsidRDefault="00C91173">
      <w:pPr>
        <w:widowControl/>
        <w:snapToGrid w:val="0"/>
        <w:spacing w:line="360" w:lineRule="auto"/>
        <w:ind w:firstLineChars="200" w:firstLine="420"/>
        <w:rPr>
          <w:bCs/>
        </w:rPr>
      </w:pPr>
      <w:r>
        <w:rPr>
          <w:bCs/>
        </w:rPr>
        <w:t xml:space="preserve">1. </w:t>
      </w:r>
      <w:r>
        <w:rPr>
          <w:bCs/>
        </w:rPr>
        <w:t>育苗对基质理化性质的要求</w:t>
      </w:r>
    </w:p>
    <w:p w14:paraId="58D5410D" w14:textId="77777777" w:rsidR="00F5289E" w:rsidRDefault="00C91173">
      <w:pPr>
        <w:widowControl/>
        <w:snapToGrid w:val="0"/>
        <w:spacing w:line="360" w:lineRule="auto"/>
        <w:ind w:firstLineChars="200" w:firstLine="420"/>
        <w:rPr>
          <w:bCs/>
        </w:rPr>
      </w:pPr>
      <w:r>
        <w:rPr>
          <w:bCs/>
        </w:rPr>
        <w:t xml:space="preserve">2. </w:t>
      </w:r>
      <w:r>
        <w:rPr>
          <w:bCs/>
        </w:rPr>
        <w:t>育苗基质的种类</w:t>
      </w:r>
    </w:p>
    <w:p w14:paraId="082D715C" w14:textId="77777777" w:rsidR="00F5289E" w:rsidRDefault="00C91173">
      <w:pPr>
        <w:widowControl/>
        <w:snapToGrid w:val="0"/>
        <w:spacing w:line="360" w:lineRule="auto"/>
        <w:ind w:firstLineChars="200" w:firstLine="420"/>
        <w:rPr>
          <w:bCs/>
        </w:rPr>
      </w:pPr>
      <w:r>
        <w:rPr>
          <w:bCs/>
        </w:rPr>
        <w:t>3</w:t>
      </w:r>
      <w:r>
        <w:rPr>
          <w:bCs/>
        </w:rPr>
        <w:t>．育苗基质的配制</w:t>
      </w:r>
    </w:p>
    <w:p w14:paraId="52627D89" w14:textId="77777777" w:rsidR="00F5289E" w:rsidRDefault="00C91173">
      <w:pPr>
        <w:widowControl/>
        <w:snapToGrid w:val="0"/>
        <w:spacing w:line="360" w:lineRule="auto"/>
        <w:ind w:firstLineChars="200" w:firstLine="420"/>
        <w:rPr>
          <w:bCs/>
        </w:rPr>
      </w:pPr>
      <w:r>
        <w:rPr>
          <w:bCs/>
        </w:rPr>
        <w:t xml:space="preserve">4. </w:t>
      </w:r>
      <w:r>
        <w:rPr>
          <w:bCs/>
        </w:rPr>
        <w:t>育苗基质的消毒</w:t>
      </w:r>
    </w:p>
    <w:p w14:paraId="2776C391" w14:textId="77777777" w:rsidR="00F5289E" w:rsidRDefault="00C91173">
      <w:pPr>
        <w:widowControl/>
        <w:snapToGrid w:val="0"/>
        <w:spacing w:line="360" w:lineRule="auto"/>
        <w:rPr>
          <w:rFonts w:ascii="宋体" w:hAnsi="宋体"/>
          <w:bCs/>
        </w:rPr>
      </w:pPr>
      <w:r>
        <w:rPr>
          <w:rFonts w:ascii="宋体" w:hAnsi="宋体" w:hint="eastAsia"/>
          <w:bCs/>
        </w:rPr>
        <w:t>第二节 育苗营养的供应</w:t>
      </w:r>
    </w:p>
    <w:p w14:paraId="12396081" w14:textId="77777777" w:rsidR="00F5289E" w:rsidRDefault="00C91173">
      <w:pPr>
        <w:widowControl/>
        <w:snapToGrid w:val="0"/>
        <w:spacing w:line="360" w:lineRule="auto"/>
        <w:ind w:firstLineChars="200" w:firstLine="420"/>
        <w:rPr>
          <w:bCs/>
        </w:rPr>
      </w:pPr>
      <w:r>
        <w:rPr>
          <w:bCs/>
        </w:rPr>
        <w:t xml:space="preserve">1. </w:t>
      </w:r>
      <w:r>
        <w:rPr>
          <w:bCs/>
        </w:rPr>
        <w:t>幼苗对营养的需求特性</w:t>
      </w:r>
    </w:p>
    <w:p w14:paraId="3E37EBA3" w14:textId="77777777" w:rsidR="00F5289E" w:rsidRDefault="00C91173">
      <w:pPr>
        <w:widowControl/>
        <w:snapToGrid w:val="0"/>
        <w:spacing w:line="360" w:lineRule="auto"/>
        <w:ind w:firstLineChars="200" w:firstLine="420"/>
        <w:rPr>
          <w:bCs/>
        </w:rPr>
      </w:pPr>
      <w:r>
        <w:rPr>
          <w:bCs/>
        </w:rPr>
        <w:t xml:space="preserve">2. </w:t>
      </w:r>
      <w:r>
        <w:rPr>
          <w:bCs/>
        </w:rPr>
        <w:t>育苗过程中的营养供应方式</w:t>
      </w:r>
    </w:p>
    <w:p w14:paraId="02579D97"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color w:val="000000" w:themeColor="text1"/>
          <w:szCs w:val="20"/>
        </w:rPr>
        <w:t>教师首先向学生提出问题：传统作物栽培都在土壤中进行，为什么工厂化育苗不使用土壤作为栽培基质？通过这一问题，引导学生思考：土壤作为栽培基质在工厂化育苗中存在哪些限制性因素？针对这些因素如何克服？在学生思考的基础上，讲解工厂化育苗对育苗基质理化性质的特殊要求，哪些基质能够满足这些要求。此外，从环境保护和可持续发展的角度出发，介绍新型工厂化育苗基质在产业中的应用及最新的科学研究进展，如何通过技术手段将农业废弃物加工后作为育苗基质进行再利用，激发学生对科研的兴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CE8C998" w14:textId="77777777">
        <w:trPr>
          <w:trHeight w:val="270"/>
        </w:trPr>
        <w:tc>
          <w:tcPr>
            <w:tcW w:w="2965" w:type="dxa"/>
            <w:tcBorders>
              <w:top w:val="nil"/>
              <w:left w:val="nil"/>
              <w:bottom w:val="nil"/>
              <w:right w:val="nil"/>
            </w:tcBorders>
            <w:vAlign w:val="center"/>
          </w:tcPr>
          <w:p w14:paraId="7645675E"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F9B8639"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工厂化嫁接育苗</w:t>
            </w:r>
          </w:p>
        </w:tc>
        <w:tc>
          <w:tcPr>
            <w:tcW w:w="2966" w:type="dxa"/>
            <w:tcBorders>
              <w:top w:val="nil"/>
              <w:left w:val="nil"/>
              <w:bottom w:val="nil"/>
              <w:right w:val="nil"/>
            </w:tcBorders>
            <w:vAlign w:val="center"/>
          </w:tcPr>
          <w:p w14:paraId="6C791A0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098AD604"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了解嫁接育苗的意义与应用；掌握影响幼苗嫁接成活的因素和嫁接方法。</w:t>
      </w:r>
    </w:p>
    <w:p w14:paraId="2E410C6E"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：本章重点内容为影响幼苗嫁接成活的因素和嫁接方法；难点为提高嫁接成活率</w:t>
      </w:r>
    </w:p>
    <w:p w14:paraId="10869B8D" w14:textId="77777777" w:rsidR="00F5289E" w:rsidRDefault="00C91173">
      <w:pPr>
        <w:widowControl/>
        <w:snapToGrid w:val="0"/>
        <w:spacing w:line="360" w:lineRule="auto"/>
        <w:rPr>
          <w:rFonts w:ascii="宋体" w:hAnsi="宋体"/>
          <w:bCs/>
        </w:rPr>
      </w:pPr>
      <w:r>
        <w:rPr>
          <w:rFonts w:ascii="宋体" w:hAnsi="宋体" w:hint="eastAsia"/>
          <w:bCs/>
        </w:rPr>
        <w:t>的途径和方法。</w:t>
      </w:r>
    </w:p>
    <w:p w14:paraId="170A1D8F"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了解园艺植物嫁接育苗的意义与应用；理解嫁接育苗砧木选择的原则和条</w:t>
      </w:r>
    </w:p>
    <w:p w14:paraId="7A1CA64D" w14:textId="77777777" w:rsidR="00F5289E" w:rsidRDefault="00C91173">
      <w:pPr>
        <w:widowControl/>
        <w:snapToGrid w:val="0"/>
        <w:spacing w:line="360" w:lineRule="auto"/>
        <w:rPr>
          <w:rFonts w:ascii="宋体" w:hAnsi="宋体"/>
          <w:bCs/>
        </w:rPr>
      </w:pPr>
      <w:r>
        <w:rPr>
          <w:rFonts w:ascii="宋体" w:hAnsi="宋体" w:hint="eastAsia"/>
          <w:bCs/>
        </w:rPr>
        <w:t>件；掌握影响幼苗嫁接成活的因素；熟练掌握嫁接方法。</w:t>
      </w:r>
    </w:p>
    <w:p w14:paraId="3824D062" w14:textId="77777777" w:rsidR="00F5289E" w:rsidRDefault="00C91173">
      <w:pPr>
        <w:widowControl/>
        <w:snapToGrid w:val="0"/>
        <w:spacing w:line="360" w:lineRule="auto"/>
        <w:rPr>
          <w:rFonts w:ascii="宋体" w:hAnsi="宋体"/>
          <w:bCs/>
        </w:rPr>
      </w:pPr>
      <w:r>
        <w:rPr>
          <w:rFonts w:ascii="宋体" w:hAnsi="宋体" w:hint="eastAsia"/>
          <w:bCs/>
        </w:rPr>
        <w:t>第一节 嫁接育苗的意义和作用</w:t>
      </w:r>
    </w:p>
    <w:p w14:paraId="775B158B" w14:textId="77777777" w:rsidR="00F5289E" w:rsidRDefault="00C91173">
      <w:pPr>
        <w:widowControl/>
        <w:snapToGrid w:val="0"/>
        <w:spacing w:line="360" w:lineRule="auto"/>
        <w:rPr>
          <w:rFonts w:ascii="宋体" w:hAnsi="宋体"/>
          <w:bCs/>
        </w:rPr>
      </w:pPr>
      <w:r>
        <w:rPr>
          <w:rFonts w:ascii="宋体" w:hAnsi="宋体" w:hint="eastAsia"/>
          <w:bCs/>
        </w:rPr>
        <w:t>第二节 嫁接成活机理及其影响因素</w:t>
      </w:r>
    </w:p>
    <w:p w14:paraId="7C565C72" w14:textId="77777777" w:rsidR="00F5289E" w:rsidRDefault="00C91173">
      <w:pPr>
        <w:widowControl/>
        <w:snapToGrid w:val="0"/>
        <w:spacing w:line="360" w:lineRule="auto"/>
        <w:rPr>
          <w:rFonts w:ascii="宋体" w:hAnsi="宋体"/>
          <w:bCs/>
        </w:rPr>
      </w:pPr>
      <w:r>
        <w:rPr>
          <w:rFonts w:ascii="宋体" w:hAnsi="宋体" w:hint="eastAsia"/>
          <w:bCs/>
        </w:rPr>
        <w:t>第三节 蔬菜嫁接育苗方法</w:t>
      </w:r>
    </w:p>
    <w:p w14:paraId="1825716F" w14:textId="77777777" w:rsidR="00F5289E" w:rsidRDefault="00C91173">
      <w:pPr>
        <w:widowControl/>
        <w:snapToGrid w:val="0"/>
        <w:spacing w:line="360" w:lineRule="auto"/>
        <w:rPr>
          <w:rFonts w:ascii="宋体" w:hAnsi="宋体"/>
          <w:bCs/>
        </w:rPr>
      </w:pPr>
      <w:r>
        <w:rPr>
          <w:rFonts w:ascii="宋体" w:hAnsi="宋体" w:hint="eastAsia"/>
          <w:bCs/>
        </w:rPr>
        <w:t>第四节 果树与花卉嫁接育苗方法</w:t>
      </w:r>
    </w:p>
    <w:p w14:paraId="6F7D7814"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教师首先引用《周记》、《尔雅》、《氾胜之术》和《齐民要术》等中国古籍中对嫁接的记载描述，使学生对嫁接有初步的认识，同时也激发了学生的民族自豪感；随后抛出问题：为什么要花费看似多余的精力进行嫁接工作？随后讲述嫁接在园艺作物栽培种的具体作用与意义。最后通过视频演示的方式详细分解各种嫁接方式的操作要领及方法，结合嫁接育苗实验课程，使学生熟练掌握嫁接技术。</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78E33C9" w14:textId="77777777">
        <w:trPr>
          <w:trHeight w:val="270"/>
        </w:trPr>
        <w:tc>
          <w:tcPr>
            <w:tcW w:w="2965" w:type="dxa"/>
            <w:tcBorders>
              <w:top w:val="nil"/>
              <w:left w:val="nil"/>
              <w:bottom w:val="nil"/>
              <w:right w:val="nil"/>
            </w:tcBorders>
            <w:vAlign w:val="center"/>
          </w:tcPr>
          <w:p w14:paraId="3B747F6B"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F48F1E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rFonts w:hint="eastAsia"/>
                <w:b/>
                <w:bCs/>
                <w:kern w:val="0"/>
                <w:szCs w:val="21"/>
              </w:rPr>
              <w:t xml:space="preserve">  </w:t>
            </w:r>
            <w:r>
              <w:rPr>
                <w:rFonts w:hint="eastAsia"/>
                <w:b/>
                <w:bCs/>
                <w:kern w:val="0"/>
                <w:szCs w:val="21"/>
              </w:rPr>
              <w:t>工厂化育苗质量控制</w:t>
            </w:r>
          </w:p>
        </w:tc>
        <w:tc>
          <w:tcPr>
            <w:tcW w:w="2966" w:type="dxa"/>
            <w:tcBorders>
              <w:top w:val="nil"/>
              <w:left w:val="nil"/>
              <w:bottom w:val="nil"/>
              <w:right w:val="nil"/>
            </w:tcBorders>
            <w:vAlign w:val="center"/>
          </w:tcPr>
          <w:p w14:paraId="2C760AE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3565925E"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了解秧苗质量的概念及其控制的意义；掌握影响育苗质量的因素及其调控。</w:t>
      </w:r>
    </w:p>
    <w:p w14:paraId="14ACECA7"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本章重点内容为影响育苗质量的因素及其调控；难点为壮苗质量标准及其控制技术。</w:t>
      </w:r>
    </w:p>
    <w:p w14:paraId="48FF879A"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：了解影响育苗质量的环境条件和育苗过程中的病虫害控制；理解育苗质量标准；掌握影响育苗质量的因素和调控；熟练掌握秧苗质量控制关键技术。</w:t>
      </w:r>
    </w:p>
    <w:p w14:paraId="0E01FCFC" w14:textId="77777777" w:rsidR="00F5289E" w:rsidRDefault="00C91173">
      <w:pPr>
        <w:widowControl/>
        <w:snapToGrid w:val="0"/>
        <w:spacing w:line="360" w:lineRule="auto"/>
        <w:rPr>
          <w:rFonts w:ascii="宋体" w:hAnsi="宋体"/>
          <w:bCs/>
        </w:rPr>
      </w:pPr>
      <w:r>
        <w:rPr>
          <w:rFonts w:ascii="宋体" w:hAnsi="宋体" w:hint="eastAsia"/>
          <w:bCs/>
        </w:rPr>
        <w:t xml:space="preserve">第一节 </w:t>
      </w:r>
      <w:bookmarkStart w:id="58" w:name="_Hlk135233195"/>
      <w:r>
        <w:rPr>
          <w:rFonts w:ascii="宋体" w:hAnsi="宋体" w:hint="eastAsia"/>
          <w:bCs/>
        </w:rPr>
        <w:t>工厂化育苗的质量标准</w:t>
      </w:r>
      <w:bookmarkEnd w:id="58"/>
    </w:p>
    <w:p w14:paraId="7D530172" w14:textId="77777777" w:rsidR="00F5289E" w:rsidRDefault="00C91173">
      <w:pPr>
        <w:widowControl/>
        <w:snapToGrid w:val="0"/>
        <w:spacing w:line="360" w:lineRule="auto"/>
        <w:rPr>
          <w:rFonts w:ascii="宋体" w:hAnsi="宋体"/>
          <w:bCs/>
        </w:rPr>
      </w:pPr>
      <w:r>
        <w:rPr>
          <w:rFonts w:ascii="宋体" w:hAnsi="宋体" w:hint="eastAsia"/>
          <w:bCs/>
        </w:rPr>
        <w:t>第二节 环境条件对幼苗质量的影响及调控措施</w:t>
      </w:r>
    </w:p>
    <w:p w14:paraId="746B7191" w14:textId="77777777" w:rsidR="00F5289E" w:rsidRDefault="00C91173">
      <w:pPr>
        <w:widowControl/>
        <w:snapToGrid w:val="0"/>
        <w:spacing w:line="360" w:lineRule="auto"/>
        <w:rPr>
          <w:rFonts w:ascii="宋体" w:hAnsi="宋体"/>
          <w:bCs/>
        </w:rPr>
      </w:pPr>
      <w:r>
        <w:rPr>
          <w:rFonts w:ascii="宋体" w:hAnsi="宋体" w:hint="eastAsia"/>
          <w:bCs/>
        </w:rPr>
        <w:t xml:space="preserve">第三节 </w:t>
      </w:r>
      <w:bookmarkStart w:id="59" w:name="_Hlk135233841"/>
      <w:r>
        <w:rPr>
          <w:rFonts w:ascii="宋体" w:hAnsi="宋体" w:hint="eastAsia"/>
          <w:bCs/>
        </w:rPr>
        <w:t>育苗过程病虫害控制</w:t>
      </w:r>
      <w:bookmarkEnd w:id="59"/>
    </w:p>
    <w:p w14:paraId="58F0AAF4" w14:textId="77777777" w:rsidR="00F5289E" w:rsidRDefault="00C91173">
      <w:pPr>
        <w:widowControl/>
        <w:snapToGrid w:val="0"/>
        <w:spacing w:line="360" w:lineRule="auto"/>
        <w:rPr>
          <w:rFonts w:ascii="宋体" w:hAnsi="宋体"/>
          <w:bCs/>
        </w:rPr>
      </w:pPr>
      <w:r>
        <w:rPr>
          <w:rFonts w:ascii="宋体" w:hAnsi="宋体" w:hint="eastAsia"/>
          <w:bCs/>
        </w:rPr>
        <w:t>第四节 种苗的贮藏与运输</w:t>
      </w:r>
    </w:p>
    <w:p w14:paraId="23DB4668"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章内容是本门课程的核心部分。首先向同学们展示优质苗和劣质苗的图片，通过观察二者的差异，引入工厂化育苗的优劣评判需要统一的质量标准，进而详细介绍工厂化育苗质量标准的详细内容，此处引入“牢固树立规矩意识”的思政元素。随后分别讲解营养面积、温度、光照、水分、气体和营养元素对秧苗发育的影响，在此基础之上，引导学生回顾第四章内容，根据秧苗对环境因子的需求，如何利用工厂化育苗的相关设备调整设施内环境条件以适应秧苗的生长。育苗过程病虫害控制部分可设置为自学部分，以翻转课堂的形式进行小组汇报。最后，重点介绍</w:t>
      </w:r>
      <w:r>
        <w:rPr>
          <w:rFonts w:ascii="宋体" w:hAnsi="宋体" w:hint="eastAsia"/>
          <w:bCs/>
        </w:rPr>
        <w:t>种苗贮运过程中防止低温、伤热和风干的具体措施。</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F6C31F0" w14:textId="77777777">
        <w:trPr>
          <w:trHeight w:val="270"/>
        </w:trPr>
        <w:tc>
          <w:tcPr>
            <w:tcW w:w="2965" w:type="dxa"/>
            <w:tcBorders>
              <w:top w:val="nil"/>
              <w:left w:val="nil"/>
              <w:bottom w:val="nil"/>
              <w:right w:val="nil"/>
            </w:tcBorders>
            <w:vAlign w:val="center"/>
          </w:tcPr>
          <w:p w14:paraId="2E28CF9C"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EB1669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rFonts w:hint="eastAsia"/>
                <w:b/>
                <w:bCs/>
                <w:kern w:val="0"/>
                <w:szCs w:val="21"/>
              </w:rPr>
              <w:t xml:space="preserve">  </w:t>
            </w:r>
            <w:r>
              <w:rPr>
                <w:rFonts w:hint="eastAsia"/>
                <w:b/>
                <w:bCs/>
                <w:kern w:val="0"/>
                <w:szCs w:val="21"/>
              </w:rPr>
              <w:t>蔬菜工厂化育苗</w:t>
            </w:r>
          </w:p>
        </w:tc>
        <w:tc>
          <w:tcPr>
            <w:tcW w:w="2966" w:type="dxa"/>
            <w:tcBorders>
              <w:top w:val="nil"/>
              <w:left w:val="nil"/>
              <w:bottom w:val="nil"/>
              <w:right w:val="nil"/>
            </w:tcBorders>
            <w:vAlign w:val="center"/>
          </w:tcPr>
          <w:p w14:paraId="26BA982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54C4A43F"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了解蔬菜幼苗对环境条件的要求；掌握不同蔬菜的工厂化育苗技术。</w:t>
      </w:r>
    </w:p>
    <w:p w14:paraId="16DDD97C" w14:textId="77777777" w:rsidR="00F5289E" w:rsidRDefault="00C91173">
      <w:pPr>
        <w:widowControl/>
        <w:snapToGrid w:val="0"/>
        <w:spacing w:line="360" w:lineRule="auto"/>
        <w:rPr>
          <w:rFonts w:ascii="宋体" w:hAnsi="宋体"/>
          <w:bCs/>
        </w:rPr>
      </w:pPr>
      <w:r>
        <w:rPr>
          <w:rFonts w:ascii="宋体" w:hAnsi="宋体" w:hint="eastAsia"/>
          <w:b/>
          <w:bCs/>
        </w:rPr>
        <w:lastRenderedPageBreak/>
        <w:t>教学重点和难点：</w:t>
      </w:r>
      <w:r>
        <w:rPr>
          <w:rFonts w:ascii="宋体" w:hAnsi="宋体" w:hint="eastAsia"/>
          <w:bCs/>
        </w:rPr>
        <w:t>本章重点内容为不同蔬菜的穴盘育苗技术；难点为壮苗培育技术。</w:t>
      </w:r>
    </w:p>
    <w:p w14:paraId="57ED204B"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r>
        <w:rPr>
          <w:rFonts w:ascii="宋体" w:hAnsi="宋体" w:hint="eastAsia"/>
          <w:bCs/>
        </w:rPr>
        <w:t>了解不同蔬菜幼苗对环境条件的要求；理解不同蔬菜工厂化育苗技术；掌握壮苗培育技术；熟练掌握不同蔬菜幼苗的穴盘育苗和嫁接育苗技术。</w:t>
      </w:r>
    </w:p>
    <w:p w14:paraId="3EFCCA91" w14:textId="77777777" w:rsidR="00F5289E" w:rsidRDefault="00C91173">
      <w:pPr>
        <w:widowControl/>
        <w:snapToGrid w:val="0"/>
        <w:spacing w:line="360" w:lineRule="auto"/>
        <w:rPr>
          <w:rFonts w:ascii="宋体" w:hAnsi="宋体"/>
          <w:bCs/>
        </w:rPr>
      </w:pPr>
      <w:r>
        <w:rPr>
          <w:rFonts w:ascii="宋体" w:hAnsi="宋体" w:hint="eastAsia"/>
          <w:bCs/>
        </w:rPr>
        <w:t>第一节 瓜类蔬菜育苗技术</w:t>
      </w:r>
    </w:p>
    <w:p w14:paraId="02F3F70B" w14:textId="77777777" w:rsidR="00F5289E" w:rsidRDefault="00C91173">
      <w:pPr>
        <w:widowControl/>
        <w:snapToGrid w:val="0"/>
        <w:spacing w:line="360" w:lineRule="auto"/>
        <w:rPr>
          <w:rFonts w:ascii="宋体" w:hAnsi="宋体"/>
          <w:bCs/>
        </w:rPr>
      </w:pPr>
      <w:r>
        <w:rPr>
          <w:rFonts w:ascii="宋体" w:hAnsi="宋体" w:hint="eastAsia"/>
          <w:bCs/>
        </w:rPr>
        <w:t>第二节 茄果类蔬菜育苗技术</w:t>
      </w:r>
    </w:p>
    <w:p w14:paraId="645916B8" w14:textId="77777777" w:rsidR="00F5289E" w:rsidRDefault="00C91173">
      <w:pPr>
        <w:widowControl/>
        <w:snapToGrid w:val="0"/>
        <w:spacing w:line="360" w:lineRule="auto"/>
        <w:rPr>
          <w:rFonts w:ascii="宋体" w:hAnsi="宋体"/>
          <w:bCs/>
        </w:rPr>
      </w:pPr>
      <w:r>
        <w:rPr>
          <w:rFonts w:ascii="宋体" w:hAnsi="宋体" w:hint="eastAsia"/>
          <w:bCs/>
        </w:rPr>
        <w:t>第三节 其它蔬菜育苗技术</w:t>
      </w:r>
    </w:p>
    <w:p w14:paraId="48C973C0"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rPr>
        <w:t>教学组织与实施</w:t>
      </w:r>
      <w:r>
        <w:rPr>
          <w:rFonts w:ascii="宋体" w:hAnsi="宋体" w:hint="eastAsia"/>
          <w:b/>
          <w:bCs/>
          <w:color w:val="000000" w:themeColor="text1"/>
        </w:rPr>
        <w:t>：</w:t>
      </w:r>
      <w:r>
        <w:rPr>
          <w:rFonts w:ascii="宋体" w:hAnsi="宋体" w:hint="eastAsia"/>
          <w:color w:val="000000" w:themeColor="text1"/>
          <w:szCs w:val="20"/>
        </w:rPr>
        <w:t>教师首先以统计数据的形式向学生展示我国各种蔬菜的栽培面积及总产量，以此为据引出我国蔬菜工厂化育苗中需求量较大的蔬菜秧苗种类。随后以植物学分类为基础，分别介绍瓜类蔬菜、茄果类蔬菜和叶菜类蔬菜的工厂化育苗技术。以黄瓜、番茄这两种需求量较大的秧苗为例，详细讲解瓜类蔬菜和茄果类蔬菜育苗的穴盘育苗技术，包括播种技术、嫁接技术、水分管理、养分管理、病虫害防治及贮藏运输技术。设置翻转课堂，让同学们分组汇报其他蔬菜的育苗关键技术。</w:t>
      </w:r>
    </w:p>
    <w:tbl>
      <w:tblPr>
        <w:tblStyle w:val="af6"/>
        <w:tblW w:w="0" w:type="auto"/>
        <w:tblInd w:w="4" w:type="dxa"/>
        <w:tblCellMar>
          <w:left w:w="0" w:type="dxa"/>
          <w:right w:w="0" w:type="dxa"/>
        </w:tblCellMar>
        <w:tblLook w:val="04A0" w:firstRow="1" w:lastRow="0" w:firstColumn="1" w:lastColumn="0" w:noHBand="0" w:noVBand="1"/>
      </w:tblPr>
      <w:tblGrid>
        <w:gridCol w:w="2406"/>
        <w:gridCol w:w="4111"/>
        <w:gridCol w:w="2379"/>
      </w:tblGrid>
      <w:tr w:rsidR="00F5289E" w14:paraId="429DAA56" w14:textId="77777777">
        <w:trPr>
          <w:trHeight w:val="270"/>
        </w:trPr>
        <w:tc>
          <w:tcPr>
            <w:tcW w:w="2406" w:type="dxa"/>
            <w:tcBorders>
              <w:top w:val="nil"/>
              <w:left w:val="nil"/>
              <w:bottom w:val="nil"/>
              <w:right w:val="nil"/>
            </w:tcBorders>
            <w:vAlign w:val="center"/>
          </w:tcPr>
          <w:p w14:paraId="736A7499" w14:textId="77777777" w:rsidR="00F5289E" w:rsidRDefault="00F5289E">
            <w:pPr>
              <w:widowControl/>
              <w:snapToGrid w:val="0"/>
              <w:spacing w:line="360" w:lineRule="auto"/>
              <w:jc w:val="center"/>
              <w:rPr>
                <w:rFonts w:hAnsi="宋体"/>
                <w:b/>
                <w:bCs/>
                <w:kern w:val="0"/>
                <w:szCs w:val="21"/>
              </w:rPr>
            </w:pPr>
          </w:p>
        </w:tc>
        <w:tc>
          <w:tcPr>
            <w:tcW w:w="4111" w:type="dxa"/>
            <w:tcBorders>
              <w:top w:val="nil"/>
              <w:left w:val="nil"/>
              <w:bottom w:val="nil"/>
              <w:right w:val="nil"/>
            </w:tcBorders>
            <w:vAlign w:val="center"/>
          </w:tcPr>
          <w:p w14:paraId="5608085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九</w:t>
            </w:r>
            <w:r>
              <w:rPr>
                <w:rFonts w:hAnsi="宋体"/>
                <w:b/>
                <w:bCs/>
                <w:kern w:val="0"/>
                <w:szCs w:val="21"/>
              </w:rPr>
              <w:t>章</w:t>
            </w:r>
            <w:r>
              <w:rPr>
                <w:rFonts w:hint="eastAsia"/>
                <w:b/>
                <w:bCs/>
                <w:kern w:val="0"/>
                <w:szCs w:val="21"/>
              </w:rPr>
              <w:t xml:space="preserve">  </w:t>
            </w:r>
            <w:r>
              <w:rPr>
                <w:rFonts w:hint="eastAsia"/>
                <w:b/>
                <w:bCs/>
                <w:kern w:val="0"/>
                <w:szCs w:val="21"/>
              </w:rPr>
              <w:t>闭锁型育苗系统的科学原理与应用</w:t>
            </w:r>
          </w:p>
        </w:tc>
        <w:tc>
          <w:tcPr>
            <w:tcW w:w="2379" w:type="dxa"/>
            <w:tcBorders>
              <w:top w:val="nil"/>
              <w:left w:val="nil"/>
              <w:bottom w:val="nil"/>
              <w:right w:val="nil"/>
            </w:tcBorders>
            <w:vAlign w:val="center"/>
          </w:tcPr>
          <w:p w14:paraId="0D34EE1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359C8CDE"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使学生了解现存的工厂化育苗生产模式存在的问题，学习根据植物生长对环境的需求设计更加合理的育苗模式。</w:t>
      </w:r>
    </w:p>
    <w:p w14:paraId="51D50281"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本章重点内容为闭锁型育苗系统的硬件组成；难点为闭锁型育苗系统的运行模式。</w:t>
      </w:r>
    </w:p>
    <w:p w14:paraId="73CDF13E"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r>
        <w:rPr>
          <w:rFonts w:ascii="宋体" w:hAnsi="宋体" w:hint="eastAsia"/>
          <w:bCs/>
        </w:rPr>
        <w:t>了解闭锁型育苗系统的起源及发展历程，掌握闭锁型育苗系统的硬件构成，掌握闭锁型育苗系统的运行模式，了解闭锁型育苗系统的运行成本。</w:t>
      </w:r>
    </w:p>
    <w:p w14:paraId="3EACC452" w14:textId="77777777" w:rsidR="00F5289E" w:rsidRDefault="00C91173">
      <w:pPr>
        <w:widowControl/>
        <w:snapToGrid w:val="0"/>
        <w:spacing w:line="360" w:lineRule="auto"/>
        <w:rPr>
          <w:rFonts w:ascii="宋体" w:hAnsi="宋体"/>
          <w:bCs/>
        </w:rPr>
      </w:pPr>
      <w:r>
        <w:rPr>
          <w:rFonts w:ascii="宋体" w:hAnsi="宋体" w:hint="eastAsia"/>
          <w:bCs/>
        </w:rPr>
        <w:t>第一节 闭锁型育苗生产系统研究开发的背景</w:t>
      </w:r>
    </w:p>
    <w:p w14:paraId="04F44DBE" w14:textId="77777777" w:rsidR="00F5289E" w:rsidRDefault="00C91173">
      <w:pPr>
        <w:widowControl/>
        <w:snapToGrid w:val="0"/>
        <w:spacing w:line="360" w:lineRule="auto"/>
        <w:rPr>
          <w:rFonts w:ascii="宋体" w:hAnsi="宋体"/>
          <w:bCs/>
        </w:rPr>
      </w:pPr>
      <w:r>
        <w:rPr>
          <w:rFonts w:ascii="宋体" w:hAnsi="宋体" w:hint="eastAsia"/>
          <w:bCs/>
        </w:rPr>
        <w:t>第二节 闭锁型育苗生产系统的构成及原理</w:t>
      </w:r>
    </w:p>
    <w:p w14:paraId="2B571E3C" w14:textId="77777777" w:rsidR="00F5289E" w:rsidRDefault="00C91173">
      <w:pPr>
        <w:widowControl/>
        <w:snapToGrid w:val="0"/>
        <w:spacing w:line="360" w:lineRule="auto"/>
        <w:rPr>
          <w:rFonts w:ascii="宋体" w:hAnsi="宋体"/>
          <w:bCs/>
        </w:rPr>
      </w:pPr>
      <w:r>
        <w:rPr>
          <w:rFonts w:ascii="宋体" w:hAnsi="宋体" w:hint="eastAsia"/>
          <w:bCs/>
        </w:rPr>
        <w:t>第三节 闭锁型育苗生产系统的优势</w:t>
      </w:r>
    </w:p>
    <w:p w14:paraId="482F9DB7" w14:textId="77777777" w:rsidR="00F5289E" w:rsidRDefault="00C91173">
      <w:pPr>
        <w:widowControl/>
        <w:snapToGrid w:val="0"/>
        <w:spacing w:line="360" w:lineRule="auto"/>
        <w:rPr>
          <w:rFonts w:ascii="宋体" w:hAnsi="宋体"/>
          <w:bCs/>
        </w:rPr>
      </w:pPr>
      <w:r>
        <w:rPr>
          <w:rFonts w:ascii="宋体" w:hAnsi="宋体" w:hint="eastAsia"/>
          <w:bCs/>
        </w:rPr>
        <w:t>第四节 闭锁型育苗生产系统的经济性</w:t>
      </w:r>
    </w:p>
    <w:p w14:paraId="65C25EFA" w14:textId="77777777" w:rsidR="00F5289E" w:rsidRDefault="00C91173">
      <w:pPr>
        <w:widowControl/>
        <w:snapToGrid w:val="0"/>
        <w:spacing w:line="360" w:lineRule="auto"/>
        <w:rPr>
          <w:rFonts w:ascii="宋体" w:hAnsi="宋体"/>
          <w:bCs/>
        </w:rPr>
      </w:pPr>
      <w:r>
        <w:rPr>
          <w:rFonts w:ascii="宋体" w:hAnsi="宋体" w:hint="eastAsia"/>
          <w:bCs/>
        </w:rPr>
        <w:t>第五节 闭锁型育苗生产系统的创新思维及应用展望</w:t>
      </w:r>
    </w:p>
    <w:p w14:paraId="6CC2936E"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
          <w:bCs/>
          <w:color w:val="000000" w:themeColor="text1"/>
        </w:rPr>
        <w:t>：</w:t>
      </w:r>
      <w:r>
        <w:rPr>
          <w:rFonts w:ascii="宋体" w:hAnsi="宋体" w:hint="eastAsia"/>
          <w:color w:val="000000" w:themeColor="text1"/>
          <w:szCs w:val="20"/>
        </w:rPr>
        <w:t>教师首先以思维导图的形式带领学生回顾绪论和第1</w:t>
      </w:r>
      <w:r>
        <w:rPr>
          <w:rFonts w:ascii="宋体" w:hAnsi="宋体"/>
          <w:color w:val="000000" w:themeColor="text1"/>
          <w:szCs w:val="20"/>
        </w:rPr>
        <w:t>-8</w:t>
      </w:r>
      <w:r>
        <w:rPr>
          <w:rFonts w:ascii="宋体" w:hAnsi="宋体" w:hint="eastAsia"/>
          <w:color w:val="000000" w:themeColor="text1"/>
          <w:szCs w:val="20"/>
        </w:rPr>
        <w:t>章课程内容，一方面起到复习巩固的目的，另一方面也引导学生思考现行的工厂化种苗生产模式是否还有需要改进的方向。随后，将植物工厂的生产模式图和生产理念进行初步讲解，引导学生思考植物工厂与工厂化育苗的关系，是否有可借鉴的地方，通过学习通在线发帖的形式汇总学生思考结果，再有针对性的引入闭锁型育苗系统的概念。最后从满足植物生长所需要的温、光、水、肥、气五个方面有序讲解闭锁型育苗系统所必须的硬件以及该系统如何运行，使学生条例清晰的学习基本概念。通过与塑料大棚、日光温室和连栋温室这几种现存生产设施做成本对比，提出闭锁型育苗系统的优势。课程讲授结束后，要求学生根据本章学习内容拓展思维，开发闭锁型育苗系统在其他方面的应用，并以P</w:t>
      </w:r>
      <w:r>
        <w:rPr>
          <w:rFonts w:ascii="宋体" w:hAnsi="宋体"/>
          <w:color w:val="000000" w:themeColor="text1"/>
          <w:szCs w:val="20"/>
        </w:rPr>
        <w:t>PT</w:t>
      </w:r>
      <w:r>
        <w:rPr>
          <w:rFonts w:ascii="宋体" w:hAnsi="宋体" w:hint="eastAsia"/>
          <w:color w:val="000000" w:themeColor="text1"/>
          <w:szCs w:val="20"/>
        </w:rPr>
        <w:t>的形式完成作业。</w:t>
      </w:r>
    </w:p>
    <w:tbl>
      <w:tblPr>
        <w:tblStyle w:val="af6"/>
        <w:tblW w:w="0" w:type="auto"/>
        <w:tblInd w:w="4" w:type="dxa"/>
        <w:tblCellMar>
          <w:left w:w="0" w:type="dxa"/>
          <w:right w:w="0" w:type="dxa"/>
        </w:tblCellMar>
        <w:tblLook w:val="04A0" w:firstRow="1" w:lastRow="0" w:firstColumn="1" w:lastColumn="0" w:noHBand="0" w:noVBand="1"/>
      </w:tblPr>
      <w:tblGrid>
        <w:gridCol w:w="2690"/>
        <w:gridCol w:w="3240"/>
        <w:gridCol w:w="2966"/>
      </w:tblGrid>
      <w:tr w:rsidR="00F5289E" w14:paraId="7847EF04" w14:textId="77777777">
        <w:trPr>
          <w:trHeight w:val="270"/>
        </w:trPr>
        <w:tc>
          <w:tcPr>
            <w:tcW w:w="2690" w:type="dxa"/>
            <w:tcBorders>
              <w:top w:val="nil"/>
              <w:left w:val="nil"/>
              <w:bottom w:val="nil"/>
              <w:right w:val="nil"/>
            </w:tcBorders>
            <w:vAlign w:val="center"/>
          </w:tcPr>
          <w:p w14:paraId="7F9ED167" w14:textId="77777777" w:rsidR="00F5289E" w:rsidRDefault="00F5289E">
            <w:pPr>
              <w:widowControl/>
              <w:snapToGrid w:val="0"/>
              <w:spacing w:line="360" w:lineRule="auto"/>
              <w:jc w:val="center"/>
              <w:rPr>
                <w:rFonts w:hAnsi="宋体"/>
                <w:b/>
                <w:bCs/>
                <w:kern w:val="0"/>
                <w:szCs w:val="21"/>
              </w:rPr>
            </w:pPr>
          </w:p>
        </w:tc>
        <w:tc>
          <w:tcPr>
            <w:tcW w:w="3240" w:type="dxa"/>
            <w:tcBorders>
              <w:top w:val="nil"/>
              <w:left w:val="nil"/>
              <w:bottom w:val="nil"/>
              <w:right w:val="nil"/>
            </w:tcBorders>
            <w:vAlign w:val="center"/>
          </w:tcPr>
          <w:p w14:paraId="0AD452BC"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十</w:t>
            </w:r>
            <w:r>
              <w:rPr>
                <w:rFonts w:hAnsi="宋体"/>
                <w:b/>
                <w:bCs/>
                <w:kern w:val="0"/>
                <w:szCs w:val="21"/>
              </w:rPr>
              <w:t>章</w:t>
            </w:r>
            <w:r>
              <w:rPr>
                <w:rFonts w:hint="eastAsia"/>
                <w:b/>
                <w:bCs/>
                <w:kern w:val="0"/>
                <w:szCs w:val="21"/>
              </w:rPr>
              <w:t xml:space="preserve">  </w:t>
            </w:r>
            <w:r>
              <w:rPr>
                <w:rFonts w:hint="eastAsia"/>
                <w:b/>
                <w:bCs/>
                <w:kern w:val="0"/>
                <w:szCs w:val="21"/>
              </w:rPr>
              <w:t>工厂化育苗的经营与管理</w:t>
            </w:r>
          </w:p>
        </w:tc>
        <w:tc>
          <w:tcPr>
            <w:tcW w:w="2966" w:type="dxa"/>
            <w:tcBorders>
              <w:top w:val="nil"/>
              <w:left w:val="nil"/>
              <w:bottom w:val="nil"/>
              <w:right w:val="nil"/>
            </w:tcBorders>
            <w:vAlign w:val="center"/>
          </w:tcPr>
          <w:p w14:paraId="0E76A295"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7AA951D4"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了解种苗厂规划的概念、目的及原则；掌握种苗的规划和经营管理知识。</w:t>
      </w:r>
    </w:p>
    <w:p w14:paraId="4CB52914"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本章重点内容为育苗工厂规划设计和生产计划制定；难点为如何控制育苗经营成本。</w:t>
      </w:r>
    </w:p>
    <w:p w14:paraId="5CF5AFDE"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了解种苗厂规划的概念、目的及原则；理解种苗的销售与售后服务；掌握种苗工厂的成本核算方法；熟练掌握育苗工厂规划设计和生产计划制定。</w:t>
      </w:r>
    </w:p>
    <w:p w14:paraId="5868BC0D" w14:textId="77777777" w:rsidR="00F5289E" w:rsidRDefault="00C91173">
      <w:pPr>
        <w:widowControl/>
        <w:snapToGrid w:val="0"/>
        <w:spacing w:line="360" w:lineRule="auto"/>
        <w:rPr>
          <w:rFonts w:ascii="宋体" w:hAnsi="宋体"/>
          <w:bCs/>
        </w:rPr>
      </w:pPr>
      <w:r>
        <w:rPr>
          <w:rFonts w:ascii="宋体" w:hAnsi="宋体" w:hint="eastAsia"/>
          <w:bCs/>
        </w:rPr>
        <w:t>第一节 种苗厂的规划</w:t>
      </w:r>
    </w:p>
    <w:p w14:paraId="450327D9" w14:textId="77777777" w:rsidR="00F5289E" w:rsidRDefault="00C91173">
      <w:pPr>
        <w:widowControl/>
        <w:snapToGrid w:val="0"/>
        <w:spacing w:line="360" w:lineRule="auto"/>
        <w:rPr>
          <w:rFonts w:ascii="宋体" w:hAnsi="宋体"/>
          <w:bCs/>
        </w:rPr>
      </w:pPr>
      <w:r>
        <w:rPr>
          <w:rFonts w:ascii="宋体" w:hAnsi="宋体" w:hint="eastAsia"/>
          <w:bCs/>
        </w:rPr>
        <w:t>第二节 种苗厂的生产计划制订</w:t>
      </w:r>
    </w:p>
    <w:p w14:paraId="251C839B" w14:textId="77777777" w:rsidR="00F5289E" w:rsidRDefault="00C91173">
      <w:pPr>
        <w:widowControl/>
        <w:snapToGrid w:val="0"/>
        <w:spacing w:line="360" w:lineRule="auto"/>
        <w:rPr>
          <w:rFonts w:ascii="宋体" w:hAnsi="宋体"/>
          <w:bCs/>
        </w:rPr>
      </w:pPr>
      <w:r>
        <w:rPr>
          <w:rFonts w:ascii="宋体" w:hAnsi="宋体" w:hint="eastAsia"/>
          <w:bCs/>
        </w:rPr>
        <w:t>第三节 种苗生产的成本核算</w:t>
      </w:r>
    </w:p>
    <w:p w14:paraId="51F187A1" w14:textId="77777777" w:rsidR="00F5289E" w:rsidRDefault="00C91173">
      <w:pPr>
        <w:widowControl/>
        <w:snapToGrid w:val="0"/>
        <w:spacing w:line="360" w:lineRule="auto"/>
        <w:rPr>
          <w:rFonts w:ascii="宋体" w:hAnsi="宋体"/>
          <w:bCs/>
        </w:rPr>
      </w:pPr>
      <w:r>
        <w:rPr>
          <w:rFonts w:ascii="宋体" w:hAnsi="宋体" w:hint="eastAsia"/>
          <w:bCs/>
        </w:rPr>
        <w:t>第四节 种苗的销售与售后服务</w:t>
      </w:r>
    </w:p>
    <w:p w14:paraId="39ED1FC7"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
          <w:bCs/>
          <w:color w:val="000000" w:themeColor="text1"/>
        </w:rPr>
        <w:t>：</w:t>
      </w:r>
      <w:r>
        <w:rPr>
          <w:rFonts w:ascii="宋体" w:hAnsi="宋体" w:hint="eastAsia"/>
          <w:color w:val="000000" w:themeColor="text1"/>
          <w:szCs w:val="20"/>
        </w:rPr>
        <w:t>教师首先通过思维导图的形式将前八章的内容归纳总结，引导学生回顾工厂化育苗的全部知识，并向学生提出问题：你作为一个经营者，如何去投资经营一家育苗企业？并且根据本章知识模拟育苗企业投资收益，学生以小组的形式分别阐述各自观点，教师对每个小组的观点进行点评。随后根据学生观点中存在的不足有针对性的讲解如何进行一个种苗厂的规划、在种苗厂运行中如何合理有效的制订生产计划、种苗厂运行中的成本核算及资金管理。最后，以山东安信种苗股份有限公司为案例介绍种苗厂如何进行经营与管理。</w:t>
      </w:r>
    </w:p>
    <w:p w14:paraId="58E8EB89"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b/>
          <w:bCs/>
          <w:kern w:val="0"/>
          <w:szCs w:val="21"/>
        </w:rPr>
        <w:t>8</w:t>
      </w:r>
      <w:r>
        <w:rPr>
          <w:rFonts w:hAnsi="宋体"/>
          <w:b/>
          <w:bCs/>
          <w:kern w:val="0"/>
          <w:szCs w:val="21"/>
        </w:rPr>
        <w:t>学时</w:t>
      </w:r>
      <w:r>
        <w:rPr>
          <w:rFonts w:hAnsi="宋体" w:hint="eastAsia"/>
          <w:b/>
          <w:bCs/>
          <w:kern w:val="0"/>
          <w:szCs w:val="21"/>
        </w:rPr>
        <w:t>）</w:t>
      </w:r>
    </w:p>
    <w:p w14:paraId="7AA0C33A"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046E8DD2"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《工厂化育苗原理与技术实验》是设施农业科学与工程专业实践教学体系的重要组成部分，该课程针对《工厂化育苗原理与技术》课程内容体系，设立了</w:t>
      </w:r>
      <w:r>
        <w:rPr>
          <w:rFonts w:ascii="宋体" w:hAnsi="宋体"/>
          <w:bCs/>
          <w:color w:val="000000" w:themeColor="text1"/>
          <w:szCs w:val="21"/>
        </w:rPr>
        <w:t>5</w:t>
      </w:r>
      <w:r>
        <w:rPr>
          <w:rFonts w:ascii="宋体" w:hAnsi="宋体" w:hint="eastAsia"/>
          <w:bCs/>
          <w:color w:val="000000" w:themeColor="text1"/>
          <w:szCs w:val="21"/>
        </w:rPr>
        <w:t>个实验项目（其中</w:t>
      </w:r>
      <w:r>
        <w:rPr>
          <w:rFonts w:ascii="宋体" w:hAnsi="宋体"/>
          <w:bCs/>
          <w:color w:val="000000" w:themeColor="text1"/>
          <w:szCs w:val="21"/>
        </w:rPr>
        <w:t>1</w:t>
      </w:r>
      <w:r>
        <w:rPr>
          <w:rFonts w:ascii="宋体" w:hAnsi="宋体" w:hint="eastAsia"/>
          <w:bCs/>
          <w:color w:val="000000" w:themeColor="text1"/>
          <w:szCs w:val="21"/>
        </w:rPr>
        <w:t>个选做实验）包括：种子形态识别与测量、穴盘规格对蔬菜幼苗素质的影响、植物生长调节剂在工厂化育苗中的应用、瓜类蔬菜嫁接育苗技术、芽苗菜工厂化生产技术。每个实验之间环环相扣，学生在开展最后的种苗质量评价之前，要对不同种子适宜的发芽条件有基本的理论认知，之后按照嫁接育苗的要求播种砧木和接穗，再进行瓜类的不同嫁接方法实验，通过改变嫁接愈合环境和成活后的环境条件观察对种苗生长的影响，每次实验后学生都需要加强管理，才能和下一次的实验衔接，学生利用下课后的时间和周末时间到校内基地管理种苗并做好观察记录，全程参与种苗生产的全部环节。为了激发学生的实验参与积极性，由教师列出评分标准，再由学生推选学生代表相互打分，改变了以往实验考核单纯注重实验报告的局面，而以实验结果作为评分的主要依据，教师们最后对实验进行点评和总结，通过这种方式，激发了学生对育苗课程实验的热情和兴趣。设计的实验内容具有系统性、针对性、实用性强的特点，对培养学生理论与实践相结合、提高实际动手能力有重要作用。</w:t>
      </w:r>
    </w:p>
    <w:p w14:paraId="20436D9C"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55D0B59D" w14:textId="77777777" w:rsidR="00F5289E" w:rsidRDefault="00C91173">
      <w:pPr>
        <w:snapToGrid w:val="0"/>
        <w:spacing w:line="360" w:lineRule="auto"/>
        <w:ind w:firstLineChars="200" w:firstLine="420"/>
        <w:rPr>
          <w:color w:val="000000" w:themeColor="text1"/>
        </w:rPr>
      </w:pPr>
      <w:r>
        <w:rPr>
          <w:rFonts w:hint="eastAsia"/>
          <w:color w:val="000000" w:themeColor="text1"/>
        </w:rPr>
        <w:t>通过本课程实验教学，使学生掌握工厂化育苗过程中基本实践操作技能，掌握工厂化育苗研究必备的调查和测定方法，掌握种子基本的识别和判断能力。要求学生熟练掌握穴盘育苗、种子处理、种苗生长环境控制、蔬菜种苗嫁接和生长调节剂在种苗生产中应用的基本操作方法，熟悉试验</w:t>
      </w:r>
      <w:r>
        <w:rPr>
          <w:rFonts w:hint="eastAsia"/>
          <w:color w:val="000000" w:themeColor="text1"/>
        </w:rPr>
        <w:lastRenderedPageBreak/>
        <w:t>材料的处理方法、常用育苗相关仪器设备的调试和使用、常见药剂（品）的配制和育苗设施的管理等基本实验操作方法；通过实验教学与训练，培养学生综合运用基础课、专业基础课知识的能力，培养学生自主探求知识、独立分析问题和解决问题的能力。</w:t>
      </w:r>
    </w:p>
    <w:p w14:paraId="42D42DDD" w14:textId="77777777" w:rsidR="00F5289E" w:rsidRDefault="00C91173">
      <w:pPr>
        <w:snapToGrid w:val="0"/>
        <w:spacing w:line="360" w:lineRule="auto"/>
        <w:rPr>
          <w:b/>
        </w:rPr>
      </w:pPr>
      <w:r>
        <w:rPr>
          <w:rFonts w:hint="eastAsia"/>
          <w:b/>
        </w:rPr>
        <w:t>（三）实验安全操作规范</w:t>
      </w:r>
    </w:p>
    <w:p w14:paraId="60F04B5A" w14:textId="77777777" w:rsidR="00F5289E" w:rsidRDefault="00C91173">
      <w:pPr>
        <w:snapToGrid w:val="0"/>
        <w:spacing w:line="360" w:lineRule="auto"/>
        <w:ind w:firstLineChars="200" w:firstLine="420"/>
        <w:rPr>
          <w:color w:val="000000" w:themeColor="text1"/>
        </w:rPr>
      </w:pPr>
      <w:r>
        <w:rPr>
          <w:rFonts w:hint="eastAsia"/>
          <w:color w:val="000000" w:themeColor="text1"/>
        </w:rPr>
        <w:t>实验室不允许带食品和饮料；学生严格遵照实验安全规程操作；实验结束后，学生要正确关闭实验设备，并将设备摆放整齐，检查水、电、气等安全措施完善后才能离开实验室；要求学生清理实验设置附近的垃圾方可离开实验室。</w:t>
      </w:r>
    </w:p>
    <w:p w14:paraId="7D87B440"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195"/>
        <w:gridCol w:w="3470"/>
        <w:gridCol w:w="697"/>
        <w:gridCol w:w="1106"/>
        <w:gridCol w:w="1128"/>
        <w:gridCol w:w="1294"/>
      </w:tblGrid>
      <w:tr w:rsidR="00F5289E" w14:paraId="69CFAB1D" w14:textId="77777777">
        <w:trPr>
          <w:jc w:val="center"/>
        </w:trPr>
        <w:tc>
          <w:tcPr>
            <w:tcW w:w="1194" w:type="dxa"/>
            <w:shd w:val="clear" w:color="auto" w:fill="EEECE1" w:themeFill="background2"/>
            <w:vAlign w:val="center"/>
          </w:tcPr>
          <w:p w14:paraId="5A1B056B"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592" w:type="dxa"/>
            <w:shd w:val="clear" w:color="auto" w:fill="EEECE1" w:themeFill="background2"/>
            <w:vAlign w:val="center"/>
          </w:tcPr>
          <w:p w14:paraId="59ABB19C"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709" w:type="dxa"/>
            <w:shd w:val="clear" w:color="auto" w:fill="EEECE1" w:themeFill="background2"/>
            <w:vAlign w:val="center"/>
          </w:tcPr>
          <w:p w14:paraId="2AC9A269"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34" w:type="dxa"/>
            <w:shd w:val="clear" w:color="auto" w:fill="EEECE1" w:themeFill="background2"/>
            <w:vAlign w:val="center"/>
          </w:tcPr>
          <w:p w14:paraId="14686FD6"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157" w:type="dxa"/>
            <w:shd w:val="clear" w:color="auto" w:fill="EEECE1" w:themeFill="background2"/>
            <w:vAlign w:val="center"/>
          </w:tcPr>
          <w:p w14:paraId="0597287B"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0" w:type="dxa"/>
            <w:shd w:val="clear" w:color="auto" w:fill="EEECE1" w:themeFill="background2"/>
            <w:vAlign w:val="center"/>
          </w:tcPr>
          <w:p w14:paraId="12F8B1F4"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344B0B63" w14:textId="77777777">
        <w:trPr>
          <w:jc w:val="center"/>
        </w:trPr>
        <w:tc>
          <w:tcPr>
            <w:tcW w:w="1194" w:type="dxa"/>
            <w:vAlign w:val="center"/>
          </w:tcPr>
          <w:p w14:paraId="5EE470B1" w14:textId="77777777" w:rsidR="00F5289E" w:rsidRDefault="00C91173">
            <w:pPr>
              <w:jc w:val="center"/>
              <w:rPr>
                <w:sz w:val="18"/>
                <w:szCs w:val="18"/>
              </w:rPr>
            </w:pPr>
            <w:r>
              <w:rPr>
                <w:sz w:val="18"/>
                <w:szCs w:val="18"/>
              </w:rPr>
              <w:t>19011131h</w:t>
            </w:r>
            <w:r>
              <w:rPr>
                <w:rFonts w:hint="eastAsia"/>
                <w:sz w:val="18"/>
                <w:szCs w:val="18"/>
              </w:rPr>
              <w:t>01</w:t>
            </w:r>
          </w:p>
        </w:tc>
        <w:tc>
          <w:tcPr>
            <w:tcW w:w="3592" w:type="dxa"/>
            <w:vAlign w:val="center"/>
          </w:tcPr>
          <w:p w14:paraId="7CC42B7C" w14:textId="77777777" w:rsidR="00F5289E" w:rsidRDefault="00C91173">
            <w:pPr>
              <w:rPr>
                <w:sz w:val="18"/>
                <w:szCs w:val="18"/>
              </w:rPr>
            </w:pPr>
            <w:r>
              <w:rPr>
                <w:rFonts w:hint="eastAsia"/>
                <w:sz w:val="18"/>
                <w:szCs w:val="18"/>
              </w:rPr>
              <w:t>种子形态识别与测量</w:t>
            </w:r>
          </w:p>
        </w:tc>
        <w:tc>
          <w:tcPr>
            <w:tcW w:w="709" w:type="dxa"/>
            <w:vAlign w:val="center"/>
          </w:tcPr>
          <w:p w14:paraId="0CC5378D" w14:textId="77777777" w:rsidR="00F5289E" w:rsidRDefault="00C91173">
            <w:pPr>
              <w:jc w:val="center"/>
              <w:rPr>
                <w:sz w:val="18"/>
                <w:szCs w:val="18"/>
              </w:rPr>
            </w:pPr>
            <w:r>
              <w:rPr>
                <w:rFonts w:hint="eastAsia"/>
                <w:sz w:val="18"/>
                <w:szCs w:val="18"/>
              </w:rPr>
              <w:t>2</w:t>
            </w:r>
          </w:p>
        </w:tc>
        <w:tc>
          <w:tcPr>
            <w:tcW w:w="1134" w:type="dxa"/>
            <w:vAlign w:val="center"/>
          </w:tcPr>
          <w:p w14:paraId="04F0C74F" w14:textId="77777777" w:rsidR="00F5289E" w:rsidRDefault="00C91173">
            <w:pPr>
              <w:jc w:val="center"/>
              <w:rPr>
                <w:sz w:val="18"/>
                <w:szCs w:val="18"/>
              </w:rPr>
            </w:pPr>
            <w:r>
              <w:rPr>
                <w:rFonts w:hint="eastAsia"/>
                <w:sz w:val="18"/>
                <w:szCs w:val="18"/>
              </w:rPr>
              <w:t>基础性</w:t>
            </w:r>
          </w:p>
        </w:tc>
        <w:tc>
          <w:tcPr>
            <w:tcW w:w="1157" w:type="dxa"/>
            <w:vAlign w:val="center"/>
          </w:tcPr>
          <w:p w14:paraId="241AE630" w14:textId="77777777" w:rsidR="00F5289E" w:rsidRDefault="00C91173">
            <w:pPr>
              <w:jc w:val="center"/>
              <w:rPr>
                <w:sz w:val="18"/>
                <w:szCs w:val="18"/>
              </w:rPr>
            </w:pPr>
            <w:r>
              <w:rPr>
                <w:rFonts w:hint="eastAsia"/>
                <w:sz w:val="18"/>
                <w:szCs w:val="18"/>
              </w:rPr>
              <w:t>必做</w:t>
            </w:r>
          </w:p>
        </w:tc>
        <w:tc>
          <w:tcPr>
            <w:tcW w:w="1330" w:type="dxa"/>
          </w:tcPr>
          <w:p w14:paraId="36FD73AA" w14:textId="77777777" w:rsidR="00F5289E" w:rsidRDefault="00C91173">
            <w:pPr>
              <w:jc w:val="center"/>
              <w:rPr>
                <w:sz w:val="18"/>
                <w:szCs w:val="18"/>
              </w:rPr>
            </w:pPr>
            <w:r>
              <w:rPr>
                <w:rFonts w:hint="eastAsia"/>
                <w:sz w:val="18"/>
                <w:szCs w:val="18"/>
              </w:rPr>
              <w:t>5</w:t>
            </w:r>
          </w:p>
        </w:tc>
      </w:tr>
      <w:tr w:rsidR="00F5289E" w14:paraId="1CD2EBF1" w14:textId="77777777">
        <w:trPr>
          <w:jc w:val="center"/>
        </w:trPr>
        <w:tc>
          <w:tcPr>
            <w:tcW w:w="1194" w:type="dxa"/>
            <w:vAlign w:val="center"/>
          </w:tcPr>
          <w:p w14:paraId="3E00AB82" w14:textId="77777777" w:rsidR="00F5289E" w:rsidRDefault="00C91173">
            <w:pPr>
              <w:rPr>
                <w:sz w:val="18"/>
                <w:szCs w:val="18"/>
              </w:rPr>
            </w:pPr>
            <w:r>
              <w:rPr>
                <w:sz w:val="18"/>
                <w:szCs w:val="18"/>
              </w:rPr>
              <w:t>19011131h</w:t>
            </w:r>
            <w:r>
              <w:rPr>
                <w:rFonts w:hint="eastAsia"/>
                <w:sz w:val="18"/>
                <w:szCs w:val="18"/>
              </w:rPr>
              <w:t>0</w:t>
            </w:r>
            <w:r>
              <w:rPr>
                <w:sz w:val="18"/>
                <w:szCs w:val="18"/>
              </w:rPr>
              <w:t>2</w:t>
            </w:r>
          </w:p>
        </w:tc>
        <w:tc>
          <w:tcPr>
            <w:tcW w:w="3592" w:type="dxa"/>
            <w:vAlign w:val="center"/>
          </w:tcPr>
          <w:p w14:paraId="3AC06C33" w14:textId="77777777" w:rsidR="00F5289E" w:rsidRDefault="00C91173">
            <w:pPr>
              <w:rPr>
                <w:color w:val="0000FF"/>
                <w:sz w:val="18"/>
                <w:szCs w:val="18"/>
              </w:rPr>
            </w:pPr>
            <w:r>
              <w:rPr>
                <w:rFonts w:hint="eastAsia"/>
                <w:sz w:val="18"/>
                <w:szCs w:val="18"/>
              </w:rPr>
              <w:t>穴盘规格对蔬菜幼苗素质的影响</w:t>
            </w:r>
          </w:p>
        </w:tc>
        <w:tc>
          <w:tcPr>
            <w:tcW w:w="709" w:type="dxa"/>
            <w:vAlign w:val="center"/>
          </w:tcPr>
          <w:p w14:paraId="0303AF6E" w14:textId="77777777" w:rsidR="00F5289E" w:rsidRDefault="00C91173">
            <w:pPr>
              <w:jc w:val="center"/>
              <w:rPr>
                <w:sz w:val="18"/>
                <w:szCs w:val="18"/>
              </w:rPr>
            </w:pPr>
            <w:r>
              <w:rPr>
                <w:rFonts w:hint="eastAsia"/>
                <w:sz w:val="18"/>
                <w:szCs w:val="18"/>
              </w:rPr>
              <w:t>2</w:t>
            </w:r>
          </w:p>
        </w:tc>
        <w:tc>
          <w:tcPr>
            <w:tcW w:w="1134" w:type="dxa"/>
            <w:vAlign w:val="center"/>
          </w:tcPr>
          <w:p w14:paraId="3F6DCCB4" w14:textId="77777777" w:rsidR="00F5289E" w:rsidRDefault="00C91173">
            <w:pPr>
              <w:jc w:val="center"/>
              <w:rPr>
                <w:sz w:val="18"/>
                <w:szCs w:val="18"/>
              </w:rPr>
            </w:pPr>
            <w:r>
              <w:rPr>
                <w:rFonts w:hint="eastAsia"/>
                <w:sz w:val="18"/>
                <w:szCs w:val="18"/>
              </w:rPr>
              <w:t>综合性</w:t>
            </w:r>
          </w:p>
        </w:tc>
        <w:tc>
          <w:tcPr>
            <w:tcW w:w="1157" w:type="dxa"/>
            <w:vAlign w:val="center"/>
          </w:tcPr>
          <w:p w14:paraId="7252E2A4" w14:textId="77777777" w:rsidR="00F5289E" w:rsidRDefault="00C91173">
            <w:pPr>
              <w:jc w:val="center"/>
              <w:rPr>
                <w:sz w:val="18"/>
                <w:szCs w:val="18"/>
              </w:rPr>
            </w:pPr>
            <w:r>
              <w:rPr>
                <w:rFonts w:hint="eastAsia"/>
                <w:sz w:val="18"/>
                <w:szCs w:val="18"/>
              </w:rPr>
              <w:t>必做</w:t>
            </w:r>
          </w:p>
        </w:tc>
        <w:tc>
          <w:tcPr>
            <w:tcW w:w="1330" w:type="dxa"/>
          </w:tcPr>
          <w:p w14:paraId="70CDA8D5" w14:textId="77777777" w:rsidR="00F5289E" w:rsidRDefault="00C91173">
            <w:pPr>
              <w:jc w:val="center"/>
              <w:rPr>
                <w:sz w:val="18"/>
                <w:szCs w:val="18"/>
              </w:rPr>
            </w:pPr>
            <w:r>
              <w:rPr>
                <w:rFonts w:hint="eastAsia"/>
                <w:sz w:val="18"/>
                <w:szCs w:val="18"/>
              </w:rPr>
              <w:t>5</w:t>
            </w:r>
          </w:p>
        </w:tc>
      </w:tr>
      <w:tr w:rsidR="00F5289E" w14:paraId="0ABEFDA1" w14:textId="77777777">
        <w:trPr>
          <w:jc w:val="center"/>
        </w:trPr>
        <w:tc>
          <w:tcPr>
            <w:tcW w:w="1194" w:type="dxa"/>
            <w:vAlign w:val="center"/>
          </w:tcPr>
          <w:p w14:paraId="62B23A11" w14:textId="77777777" w:rsidR="00F5289E" w:rsidRDefault="00C91173">
            <w:pPr>
              <w:rPr>
                <w:sz w:val="18"/>
                <w:szCs w:val="18"/>
              </w:rPr>
            </w:pPr>
            <w:r>
              <w:rPr>
                <w:sz w:val="18"/>
                <w:szCs w:val="18"/>
              </w:rPr>
              <w:t>19011131h</w:t>
            </w:r>
            <w:r>
              <w:rPr>
                <w:rFonts w:hint="eastAsia"/>
                <w:sz w:val="18"/>
                <w:szCs w:val="18"/>
              </w:rPr>
              <w:t>0</w:t>
            </w:r>
            <w:r>
              <w:rPr>
                <w:sz w:val="18"/>
                <w:szCs w:val="18"/>
              </w:rPr>
              <w:t>3</w:t>
            </w:r>
          </w:p>
        </w:tc>
        <w:tc>
          <w:tcPr>
            <w:tcW w:w="3592" w:type="dxa"/>
            <w:vAlign w:val="center"/>
          </w:tcPr>
          <w:p w14:paraId="6A6A7CE2" w14:textId="77777777" w:rsidR="00F5289E" w:rsidRDefault="00C91173">
            <w:pPr>
              <w:rPr>
                <w:sz w:val="18"/>
                <w:szCs w:val="18"/>
              </w:rPr>
            </w:pPr>
            <w:r>
              <w:rPr>
                <w:rFonts w:hint="eastAsia"/>
                <w:sz w:val="18"/>
                <w:szCs w:val="18"/>
              </w:rPr>
              <w:t>植物生长调节剂在工厂化育苗中的应用</w:t>
            </w:r>
          </w:p>
        </w:tc>
        <w:tc>
          <w:tcPr>
            <w:tcW w:w="709" w:type="dxa"/>
            <w:vAlign w:val="center"/>
          </w:tcPr>
          <w:p w14:paraId="1245DAB9" w14:textId="77777777" w:rsidR="00F5289E" w:rsidRDefault="00C91173">
            <w:pPr>
              <w:jc w:val="center"/>
              <w:rPr>
                <w:sz w:val="18"/>
                <w:szCs w:val="18"/>
              </w:rPr>
            </w:pPr>
            <w:r>
              <w:rPr>
                <w:rFonts w:hint="eastAsia"/>
                <w:sz w:val="18"/>
                <w:szCs w:val="18"/>
              </w:rPr>
              <w:t>2</w:t>
            </w:r>
          </w:p>
        </w:tc>
        <w:tc>
          <w:tcPr>
            <w:tcW w:w="1134" w:type="dxa"/>
            <w:vAlign w:val="center"/>
          </w:tcPr>
          <w:p w14:paraId="1CE49EE9" w14:textId="77777777" w:rsidR="00F5289E" w:rsidRDefault="00C91173">
            <w:pPr>
              <w:jc w:val="center"/>
              <w:rPr>
                <w:sz w:val="18"/>
                <w:szCs w:val="18"/>
              </w:rPr>
            </w:pPr>
            <w:r>
              <w:rPr>
                <w:rFonts w:hint="eastAsia"/>
                <w:sz w:val="18"/>
                <w:szCs w:val="18"/>
              </w:rPr>
              <w:t>设计性</w:t>
            </w:r>
          </w:p>
        </w:tc>
        <w:tc>
          <w:tcPr>
            <w:tcW w:w="1157" w:type="dxa"/>
            <w:vAlign w:val="center"/>
          </w:tcPr>
          <w:p w14:paraId="09B110DD" w14:textId="77777777" w:rsidR="00F5289E" w:rsidRDefault="00C91173">
            <w:pPr>
              <w:jc w:val="center"/>
              <w:rPr>
                <w:sz w:val="18"/>
                <w:szCs w:val="18"/>
              </w:rPr>
            </w:pPr>
            <w:r>
              <w:rPr>
                <w:rFonts w:hint="eastAsia"/>
                <w:sz w:val="18"/>
                <w:szCs w:val="18"/>
              </w:rPr>
              <w:t>必做</w:t>
            </w:r>
          </w:p>
        </w:tc>
        <w:tc>
          <w:tcPr>
            <w:tcW w:w="1330" w:type="dxa"/>
            <w:vAlign w:val="center"/>
          </w:tcPr>
          <w:p w14:paraId="68E094F2" w14:textId="77777777" w:rsidR="00F5289E" w:rsidRDefault="00C91173">
            <w:pPr>
              <w:jc w:val="center"/>
              <w:rPr>
                <w:sz w:val="18"/>
                <w:szCs w:val="18"/>
              </w:rPr>
            </w:pPr>
            <w:r>
              <w:rPr>
                <w:rFonts w:hint="eastAsia"/>
                <w:sz w:val="18"/>
                <w:szCs w:val="18"/>
              </w:rPr>
              <w:t>5</w:t>
            </w:r>
          </w:p>
        </w:tc>
      </w:tr>
      <w:tr w:rsidR="00F5289E" w14:paraId="7F8A88A1" w14:textId="77777777">
        <w:trPr>
          <w:jc w:val="center"/>
        </w:trPr>
        <w:tc>
          <w:tcPr>
            <w:tcW w:w="1194" w:type="dxa"/>
            <w:vAlign w:val="center"/>
          </w:tcPr>
          <w:p w14:paraId="5C14CAAD" w14:textId="77777777" w:rsidR="00F5289E" w:rsidRDefault="00C91173">
            <w:pPr>
              <w:rPr>
                <w:sz w:val="18"/>
                <w:szCs w:val="18"/>
              </w:rPr>
            </w:pPr>
            <w:r>
              <w:rPr>
                <w:sz w:val="18"/>
                <w:szCs w:val="18"/>
              </w:rPr>
              <w:t>19011131h</w:t>
            </w:r>
            <w:r>
              <w:rPr>
                <w:rFonts w:hint="eastAsia"/>
                <w:sz w:val="18"/>
                <w:szCs w:val="18"/>
              </w:rPr>
              <w:t>0</w:t>
            </w:r>
            <w:r>
              <w:rPr>
                <w:sz w:val="18"/>
                <w:szCs w:val="18"/>
              </w:rPr>
              <w:t>4</w:t>
            </w:r>
          </w:p>
        </w:tc>
        <w:tc>
          <w:tcPr>
            <w:tcW w:w="3592" w:type="dxa"/>
            <w:vAlign w:val="center"/>
          </w:tcPr>
          <w:p w14:paraId="24B029BD" w14:textId="77777777" w:rsidR="00F5289E" w:rsidRDefault="00C91173">
            <w:pPr>
              <w:rPr>
                <w:sz w:val="18"/>
                <w:szCs w:val="18"/>
              </w:rPr>
            </w:pPr>
            <w:r>
              <w:rPr>
                <w:rFonts w:hint="eastAsia"/>
                <w:sz w:val="18"/>
                <w:szCs w:val="18"/>
              </w:rPr>
              <w:t>瓜类蔬菜嫁接育苗技术</w:t>
            </w:r>
          </w:p>
        </w:tc>
        <w:tc>
          <w:tcPr>
            <w:tcW w:w="709" w:type="dxa"/>
            <w:vAlign w:val="center"/>
          </w:tcPr>
          <w:p w14:paraId="153DF7CD" w14:textId="77777777" w:rsidR="00F5289E" w:rsidRDefault="00C91173">
            <w:pPr>
              <w:jc w:val="center"/>
              <w:rPr>
                <w:sz w:val="18"/>
                <w:szCs w:val="18"/>
              </w:rPr>
            </w:pPr>
            <w:r>
              <w:rPr>
                <w:rFonts w:hint="eastAsia"/>
                <w:sz w:val="18"/>
                <w:szCs w:val="18"/>
              </w:rPr>
              <w:t>2</w:t>
            </w:r>
          </w:p>
        </w:tc>
        <w:tc>
          <w:tcPr>
            <w:tcW w:w="1134" w:type="dxa"/>
            <w:vAlign w:val="center"/>
          </w:tcPr>
          <w:p w14:paraId="05583989" w14:textId="77777777" w:rsidR="00F5289E" w:rsidRDefault="00C91173">
            <w:pPr>
              <w:jc w:val="center"/>
              <w:rPr>
                <w:sz w:val="18"/>
                <w:szCs w:val="18"/>
              </w:rPr>
            </w:pPr>
            <w:r>
              <w:rPr>
                <w:rFonts w:hint="eastAsia"/>
                <w:sz w:val="18"/>
                <w:szCs w:val="18"/>
              </w:rPr>
              <w:t>基础性</w:t>
            </w:r>
          </w:p>
        </w:tc>
        <w:tc>
          <w:tcPr>
            <w:tcW w:w="1157" w:type="dxa"/>
            <w:vAlign w:val="center"/>
          </w:tcPr>
          <w:p w14:paraId="24A3E9E1" w14:textId="77777777" w:rsidR="00F5289E" w:rsidRDefault="00C91173">
            <w:pPr>
              <w:jc w:val="center"/>
              <w:rPr>
                <w:sz w:val="18"/>
                <w:szCs w:val="18"/>
              </w:rPr>
            </w:pPr>
            <w:r>
              <w:rPr>
                <w:rFonts w:hint="eastAsia"/>
                <w:sz w:val="18"/>
                <w:szCs w:val="18"/>
              </w:rPr>
              <w:t>必做</w:t>
            </w:r>
          </w:p>
        </w:tc>
        <w:tc>
          <w:tcPr>
            <w:tcW w:w="1330" w:type="dxa"/>
          </w:tcPr>
          <w:p w14:paraId="3F501D8D" w14:textId="77777777" w:rsidR="00F5289E" w:rsidRDefault="00C91173">
            <w:pPr>
              <w:jc w:val="center"/>
              <w:rPr>
                <w:sz w:val="18"/>
                <w:szCs w:val="18"/>
              </w:rPr>
            </w:pPr>
            <w:r>
              <w:rPr>
                <w:rFonts w:hint="eastAsia"/>
                <w:sz w:val="18"/>
                <w:szCs w:val="18"/>
              </w:rPr>
              <w:t>5</w:t>
            </w:r>
          </w:p>
        </w:tc>
      </w:tr>
      <w:tr w:rsidR="00F5289E" w14:paraId="27592CBE" w14:textId="77777777">
        <w:trPr>
          <w:jc w:val="center"/>
        </w:trPr>
        <w:tc>
          <w:tcPr>
            <w:tcW w:w="1194" w:type="dxa"/>
            <w:vAlign w:val="center"/>
          </w:tcPr>
          <w:p w14:paraId="00A8839A" w14:textId="77777777" w:rsidR="00F5289E" w:rsidRDefault="00C91173">
            <w:pPr>
              <w:rPr>
                <w:sz w:val="18"/>
                <w:szCs w:val="18"/>
              </w:rPr>
            </w:pPr>
            <w:r>
              <w:rPr>
                <w:sz w:val="18"/>
                <w:szCs w:val="18"/>
              </w:rPr>
              <w:t>19011131h</w:t>
            </w:r>
            <w:r>
              <w:rPr>
                <w:rFonts w:hint="eastAsia"/>
                <w:sz w:val="18"/>
                <w:szCs w:val="18"/>
              </w:rPr>
              <w:t>0</w:t>
            </w:r>
            <w:r>
              <w:rPr>
                <w:sz w:val="18"/>
                <w:szCs w:val="18"/>
              </w:rPr>
              <w:t>5</w:t>
            </w:r>
          </w:p>
        </w:tc>
        <w:tc>
          <w:tcPr>
            <w:tcW w:w="3592" w:type="dxa"/>
            <w:vAlign w:val="center"/>
          </w:tcPr>
          <w:p w14:paraId="5BCD48D7" w14:textId="77777777" w:rsidR="00F5289E" w:rsidRDefault="00C91173">
            <w:pPr>
              <w:rPr>
                <w:sz w:val="18"/>
                <w:szCs w:val="18"/>
              </w:rPr>
            </w:pPr>
            <w:r>
              <w:rPr>
                <w:rFonts w:hint="eastAsia"/>
                <w:sz w:val="18"/>
                <w:szCs w:val="18"/>
              </w:rPr>
              <w:t>芽苗菜工厂化生产技术</w:t>
            </w:r>
          </w:p>
        </w:tc>
        <w:tc>
          <w:tcPr>
            <w:tcW w:w="709" w:type="dxa"/>
            <w:vAlign w:val="center"/>
          </w:tcPr>
          <w:p w14:paraId="6D704C27" w14:textId="77777777" w:rsidR="00F5289E" w:rsidRDefault="00C91173">
            <w:pPr>
              <w:jc w:val="center"/>
              <w:rPr>
                <w:sz w:val="18"/>
                <w:szCs w:val="18"/>
              </w:rPr>
            </w:pPr>
            <w:r>
              <w:rPr>
                <w:rFonts w:hint="eastAsia"/>
                <w:sz w:val="18"/>
                <w:szCs w:val="18"/>
              </w:rPr>
              <w:t>2</w:t>
            </w:r>
          </w:p>
        </w:tc>
        <w:tc>
          <w:tcPr>
            <w:tcW w:w="1134" w:type="dxa"/>
            <w:vAlign w:val="center"/>
          </w:tcPr>
          <w:p w14:paraId="082656A1" w14:textId="77777777" w:rsidR="00F5289E" w:rsidRDefault="00C91173">
            <w:pPr>
              <w:jc w:val="center"/>
              <w:rPr>
                <w:sz w:val="18"/>
                <w:szCs w:val="18"/>
              </w:rPr>
            </w:pPr>
            <w:r>
              <w:rPr>
                <w:rFonts w:hint="eastAsia"/>
                <w:sz w:val="18"/>
                <w:szCs w:val="18"/>
              </w:rPr>
              <w:t>基础性</w:t>
            </w:r>
          </w:p>
        </w:tc>
        <w:tc>
          <w:tcPr>
            <w:tcW w:w="1157" w:type="dxa"/>
            <w:vAlign w:val="center"/>
          </w:tcPr>
          <w:p w14:paraId="41D605AD" w14:textId="77777777" w:rsidR="00F5289E" w:rsidRDefault="00C91173">
            <w:pPr>
              <w:jc w:val="center"/>
              <w:rPr>
                <w:sz w:val="18"/>
                <w:szCs w:val="18"/>
              </w:rPr>
            </w:pPr>
            <w:r>
              <w:rPr>
                <w:rFonts w:hint="eastAsia"/>
                <w:sz w:val="18"/>
                <w:szCs w:val="18"/>
              </w:rPr>
              <w:t>选做</w:t>
            </w:r>
          </w:p>
        </w:tc>
        <w:tc>
          <w:tcPr>
            <w:tcW w:w="1330" w:type="dxa"/>
          </w:tcPr>
          <w:p w14:paraId="4AA4979D" w14:textId="77777777" w:rsidR="00F5289E" w:rsidRDefault="00C91173">
            <w:pPr>
              <w:jc w:val="center"/>
              <w:rPr>
                <w:sz w:val="18"/>
                <w:szCs w:val="18"/>
              </w:rPr>
            </w:pPr>
            <w:r>
              <w:rPr>
                <w:rFonts w:hint="eastAsia"/>
                <w:sz w:val="18"/>
                <w:szCs w:val="18"/>
              </w:rPr>
              <w:t>5</w:t>
            </w:r>
          </w:p>
        </w:tc>
      </w:tr>
    </w:tbl>
    <w:p w14:paraId="23162C2C"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24A961D6"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实验分为室内试验和室外实验。室内实验种子观察方式为游标卡尺和显微镜的使用，要求具备合理使用仪器进行基本的测量和描述。室外试验为育苗和嫁接，要求能够掌握生长调节剂基本的配制和使用方法；嫁接实验要求掌握基本的嫁接技术，包括砧木和接穗的切削操作、砧木和接穗的固定以及嫁接后对光照、水分的管理。</w:t>
      </w:r>
    </w:p>
    <w:p w14:paraId="111B1E05"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585B6009"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】种子形态识别与测量</w:t>
      </w:r>
    </w:p>
    <w:p w14:paraId="44801847"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color w:val="000000" w:themeColor="text1"/>
        </w:rPr>
        <w:t>2学时。</w:t>
      </w:r>
    </w:p>
    <w:p w14:paraId="013041ED"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color w:val="000000" w:themeColor="text1"/>
        </w:rPr>
        <w:t>掌握种子形态特征的统计及描述</w:t>
      </w:r>
    </w:p>
    <w:p w14:paraId="335DC451"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color w:val="000000" w:themeColor="text1"/>
        </w:rPr>
        <w:t>通过观察不同科、属、中的蔬菜种子，对不同形态的种子进行测量和形态描绘，能够识别和判断种子的类型，掌握判断种子新、旧的基本能力。</w:t>
      </w:r>
    </w:p>
    <w:p w14:paraId="2F411924"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color w:val="000000" w:themeColor="text1"/>
        </w:rPr>
        <w:t>学生掌握分析天平、游标卡尺和体视显微镜的使用方法，并利用仪器对种子的形态和基本特征进行数据和图形的描述统计，成绩评定以实验报告呈现。</w:t>
      </w:r>
    </w:p>
    <w:p w14:paraId="6F6E4484"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color w:val="000000" w:themeColor="text1"/>
        </w:rPr>
        <w:t>分析天平，游标卡尺，体视显微镜。</w:t>
      </w:r>
    </w:p>
    <w:p w14:paraId="74477A9E" w14:textId="77777777" w:rsidR="00F5289E" w:rsidRDefault="00C91173">
      <w:pPr>
        <w:pStyle w:val="af1"/>
        <w:snapToGrid w:val="0"/>
        <w:spacing w:before="0" w:beforeAutospacing="0" w:after="0" w:afterAutospacing="0" w:line="360" w:lineRule="auto"/>
        <w:rPr>
          <w:rFonts w:eastAsiaTheme="minorEastAsia"/>
          <w:b/>
          <w:sz w:val="21"/>
          <w:szCs w:val="21"/>
        </w:rPr>
      </w:pPr>
      <w:r>
        <w:rPr>
          <w:rFonts w:hint="eastAsia"/>
          <w:b/>
          <w:sz w:val="21"/>
          <w:szCs w:val="21"/>
        </w:rPr>
        <w:t>【</w:t>
      </w:r>
      <w:r>
        <w:rPr>
          <w:b/>
          <w:sz w:val="21"/>
          <w:szCs w:val="21"/>
        </w:rPr>
        <w:t>实验</w:t>
      </w:r>
      <w:r>
        <w:rPr>
          <w:rFonts w:hint="eastAsia"/>
          <w:b/>
          <w:sz w:val="21"/>
          <w:szCs w:val="21"/>
        </w:rPr>
        <w:t>二】穴盘规格对蔬菜幼苗素质的影响</w:t>
      </w:r>
    </w:p>
    <w:p w14:paraId="7537EEF7"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color w:val="000000" w:themeColor="text1"/>
        </w:rPr>
        <w:t>2学时</w:t>
      </w:r>
    </w:p>
    <w:p w14:paraId="7DD76566"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color w:val="000000" w:themeColor="text1"/>
        </w:rPr>
        <w:t>学习和掌握主要蔬菜的穴盘斚技术，了解规格穴盘规格对不同蔬菜及不同苗龄种苗生长的影响。</w:t>
      </w:r>
    </w:p>
    <w:p w14:paraId="4B59FB02"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color w:val="000000" w:themeColor="text1"/>
        </w:rPr>
        <w:t>选择三种不同科的蔬菜作物，并分别利用不同规格的穴盘进行育苗试验，测定每种作物在不同穴盘培育出的种苗的形态特征。</w:t>
      </w:r>
    </w:p>
    <w:p w14:paraId="55FF466E" w14:textId="77777777" w:rsidR="00F5289E" w:rsidRDefault="00C91173">
      <w:pPr>
        <w:snapToGrid w:val="0"/>
        <w:spacing w:line="360" w:lineRule="auto"/>
        <w:ind w:firstLineChars="200" w:firstLine="422"/>
        <w:rPr>
          <w:rFonts w:ascii="宋体" w:hAnsi="宋体"/>
          <w:bCs/>
          <w:szCs w:val="21"/>
        </w:rPr>
      </w:pPr>
      <w:r>
        <w:rPr>
          <w:rFonts w:hint="eastAsia"/>
          <w:b/>
          <w:szCs w:val="21"/>
        </w:rPr>
        <w:lastRenderedPageBreak/>
        <w:t>4.</w:t>
      </w:r>
      <w:r>
        <w:rPr>
          <w:rFonts w:hint="eastAsia"/>
          <w:b/>
          <w:szCs w:val="21"/>
        </w:rPr>
        <w:t>实验要求：</w:t>
      </w:r>
      <w:r>
        <w:rPr>
          <w:rFonts w:ascii="宋体" w:hAnsi="宋体" w:hint="eastAsia"/>
          <w:bCs/>
          <w:color w:val="000000" w:themeColor="text1"/>
        </w:rPr>
        <w:t>了解目前市面常见穴盘的规格，通过实验观察穴盘规格对种苗生长的影响，具备根据不同类型蔬菜的形态特征及栽培目的对种苗形态和苗龄的需求，选择适宜穴盘进行育苗的基本能力。实验成绩是实验报告进行呈现。</w:t>
      </w:r>
    </w:p>
    <w:p w14:paraId="3D3DC779"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color w:val="000000" w:themeColor="text1"/>
        </w:rPr>
        <w:t>3</w:t>
      </w:r>
      <w:r>
        <w:rPr>
          <w:rFonts w:ascii="宋体" w:hAnsi="宋体"/>
          <w:bCs/>
          <w:color w:val="000000" w:themeColor="text1"/>
        </w:rPr>
        <w:t>2</w:t>
      </w:r>
      <w:r>
        <w:rPr>
          <w:rFonts w:ascii="宋体" w:hAnsi="宋体" w:hint="eastAsia"/>
          <w:bCs/>
          <w:color w:val="000000" w:themeColor="text1"/>
        </w:rPr>
        <w:t>孔、5</w:t>
      </w:r>
      <w:r>
        <w:rPr>
          <w:rFonts w:ascii="宋体" w:hAnsi="宋体"/>
          <w:bCs/>
          <w:color w:val="000000" w:themeColor="text1"/>
        </w:rPr>
        <w:t>0</w:t>
      </w:r>
      <w:r>
        <w:rPr>
          <w:rFonts w:ascii="宋体" w:hAnsi="宋体" w:hint="eastAsia"/>
          <w:bCs/>
          <w:color w:val="000000" w:themeColor="text1"/>
        </w:rPr>
        <w:t>孔、7</w:t>
      </w:r>
      <w:r>
        <w:rPr>
          <w:rFonts w:ascii="宋体" w:hAnsi="宋体"/>
          <w:bCs/>
          <w:color w:val="000000" w:themeColor="text1"/>
        </w:rPr>
        <w:t>2</w:t>
      </w:r>
      <w:r>
        <w:rPr>
          <w:rFonts w:ascii="宋体" w:hAnsi="宋体" w:hint="eastAsia"/>
          <w:bCs/>
          <w:color w:val="000000" w:themeColor="text1"/>
        </w:rPr>
        <w:t>孔、1</w:t>
      </w:r>
      <w:r>
        <w:rPr>
          <w:rFonts w:ascii="宋体" w:hAnsi="宋体"/>
          <w:bCs/>
          <w:color w:val="000000" w:themeColor="text1"/>
        </w:rPr>
        <w:t>28</w:t>
      </w:r>
      <w:r>
        <w:rPr>
          <w:rFonts w:ascii="宋体" w:hAnsi="宋体" w:hint="eastAsia"/>
          <w:bCs/>
          <w:color w:val="000000" w:themeColor="text1"/>
        </w:rPr>
        <w:t>孔、1</w:t>
      </w:r>
      <w:r>
        <w:rPr>
          <w:rFonts w:ascii="宋体" w:hAnsi="宋体"/>
          <w:bCs/>
          <w:color w:val="000000" w:themeColor="text1"/>
        </w:rPr>
        <w:t>44</w:t>
      </w:r>
      <w:r>
        <w:rPr>
          <w:rFonts w:ascii="宋体" w:hAnsi="宋体" w:hint="eastAsia"/>
          <w:bCs/>
          <w:color w:val="000000" w:themeColor="text1"/>
        </w:rPr>
        <w:t>孔、2</w:t>
      </w:r>
      <w:r>
        <w:rPr>
          <w:rFonts w:ascii="宋体" w:hAnsi="宋体"/>
          <w:bCs/>
          <w:color w:val="000000" w:themeColor="text1"/>
        </w:rPr>
        <w:t>88</w:t>
      </w:r>
      <w:r>
        <w:rPr>
          <w:rFonts w:ascii="宋体" w:hAnsi="宋体" w:hint="eastAsia"/>
          <w:bCs/>
          <w:color w:val="000000" w:themeColor="text1"/>
        </w:rPr>
        <w:t>孔穴盘，直尺，游标卡尺，叶绿素分析仪，叶面积仪，根系分析仪。</w:t>
      </w:r>
    </w:p>
    <w:p w14:paraId="061A3AD0"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三】植物生长调节剂在工厂化育苗中的应用</w:t>
      </w:r>
    </w:p>
    <w:p w14:paraId="374EE679"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color w:val="000000" w:themeColor="text1"/>
        </w:rPr>
        <w:t>2学时</w:t>
      </w:r>
    </w:p>
    <w:p w14:paraId="68EC908A"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color w:val="000000" w:themeColor="text1"/>
        </w:rPr>
        <w:t>植物生长调节剂的种类和剂型多样，作用效果不同，在工厂化育苗中经常用于调整种苗发育。本实验要求学生了解生长调节剂的种类的作用效果，掌握正确的使用方法。</w:t>
      </w:r>
    </w:p>
    <w:p w14:paraId="5671DD24"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color w:val="000000" w:themeColor="text1"/>
        </w:rPr>
        <w:t>以番茄和黄瓜为例，将其在穴盘培育至子叶展平后，开始用不同浓度的多效唑、缩节胺、赤霉素喷洒叶片，以清水为对照，观察生长调节剂对植株形态生长的影响。配置并分别利用不同规格的穴盘进行育苗试验，测定每种作物在不同穴盘培育出的种苗的形态特征。</w:t>
      </w:r>
    </w:p>
    <w:p w14:paraId="693D9434"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color w:val="000000" w:themeColor="text1"/>
        </w:rPr>
        <w:t>了解不同类型植物生长调节剂的作用效果，掌握其配制方法；掌握蔬菜幼苗形态的测定方法及相应的数据分析能力。实验成绩是实验报告和教师现在打分的形式呈现。</w:t>
      </w:r>
    </w:p>
    <w:p w14:paraId="7A6B7ED5"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color w:val="000000" w:themeColor="text1"/>
        </w:rPr>
        <w:t>穴盘，喷壶，草炭，蛭石，珍珠岩，直尺，游标卡尺，电子天平，叶面积仪，烧杯，容量瓶，烘箱。</w:t>
      </w:r>
    </w:p>
    <w:p w14:paraId="08ED9975"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四】瓜类蔬菜嫁接育苗技术</w:t>
      </w:r>
    </w:p>
    <w:p w14:paraId="1E24DC85"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color w:val="000000" w:themeColor="text1"/>
        </w:rPr>
        <w:t>2学时</w:t>
      </w:r>
    </w:p>
    <w:p w14:paraId="072CAAF1"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color w:val="000000" w:themeColor="text1"/>
        </w:rPr>
        <w:t>本实验通过具体操作，使学生掌握瓜类蔬菜的常用嫁接技术，提高应用技能。</w:t>
      </w:r>
    </w:p>
    <w:p w14:paraId="57A6A41C"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color w:val="000000" w:themeColor="text1"/>
        </w:rPr>
        <w:t>以黄瓜和南瓜为实验材料，南瓜种子播种2天后播种黄瓜种子，待接穗（黄瓜）子叶展平，砧木第一片真叶显露时开始嫁接。学生可选包括贴接、插接和双断根嫁接的方法进行嫁接，也可根据自己所学理论创新嫁接方法。嫁接完成后学生以小组为单位进行嫁接后管理，最终以成活率计算实验成绩。实验成绩以嫁接成活率及学生互评的形式呈现。</w:t>
      </w:r>
    </w:p>
    <w:p w14:paraId="2EF2A7BB"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color w:val="000000" w:themeColor="text1"/>
        </w:rPr>
        <w:t>掌握瓜类蔬菜嫁接的基本方法及操作技能，了解嫁接后种苗的管理。</w:t>
      </w:r>
    </w:p>
    <w:p w14:paraId="2E197771"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color w:val="000000" w:themeColor="text1"/>
        </w:rPr>
        <w:t>穴盘，喷壶，嫁接刀，嫁接针，嫁接夹，遮阳网，塑料薄膜。</w:t>
      </w:r>
    </w:p>
    <w:p w14:paraId="220800F8"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五】芽苗菜工厂化生产技术</w:t>
      </w:r>
    </w:p>
    <w:p w14:paraId="2819F88C"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color w:val="000000" w:themeColor="text1"/>
        </w:rPr>
        <w:t>2学时</w:t>
      </w:r>
    </w:p>
    <w:p w14:paraId="0760CD28"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color w:val="000000" w:themeColor="text1"/>
        </w:rPr>
        <w:t>通过实验了解以种子为材料、依靠种子本身贮藏营养生产芽苗菜的工艺流程和栽培技术。</w:t>
      </w:r>
    </w:p>
    <w:p w14:paraId="27AB3726"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color w:val="000000" w:themeColor="text1"/>
        </w:rPr>
        <w:t>选取市面常见的芽苗菜豌豆、萝卜、荞麦等为实验材料，首先筛选种子，去除虫蛀、破残、畸形、霉烂、不成熟种子和杂质。温水浸泡后捞出沥干，注意浸种容易不可用铁器，不能有油渍。选取底部具有排水孔的黑色塑料苗盘，底部铺设一层无纺布，将浸种后的种子播在苗盘上，随后覆盖湿润无纺布，待发芽后常规管理，没填喷水2</w:t>
      </w:r>
      <w:r>
        <w:rPr>
          <w:bCs/>
          <w:color w:val="000000" w:themeColor="text1"/>
        </w:rPr>
        <w:t>~</w:t>
      </w:r>
      <w:r>
        <w:rPr>
          <w:rFonts w:ascii="宋体" w:hAnsi="宋体"/>
          <w:bCs/>
          <w:color w:val="000000" w:themeColor="text1"/>
        </w:rPr>
        <w:t>3</w:t>
      </w:r>
      <w:r>
        <w:rPr>
          <w:rFonts w:ascii="宋体" w:hAnsi="宋体" w:hint="eastAsia"/>
          <w:bCs/>
          <w:color w:val="000000" w:themeColor="text1"/>
        </w:rPr>
        <w:t>次，根据不同种类芽苗菜出售标准及</w:t>
      </w:r>
      <w:r>
        <w:rPr>
          <w:rFonts w:ascii="宋体" w:hAnsi="宋体" w:hint="eastAsia"/>
          <w:bCs/>
          <w:color w:val="000000" w:themeColor="text1"/>
        </w:rPr>
        <w:lastRenderedPageBreak/>
        <w:t>时采收。</w:t>
      </w:r>
    </w:p>
    <w:p w14:paraId="6E6F6872"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color w:val="000000" w:themeColor="text1"/>
        </w:rPr>
        <w:t>掌握芽苗菜生产的工艺，了解市售芽苗菜的商品标准</w:t>
      </w:r>
    </w:p>
    <w:p w14:paraId="4306CDBB"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color w:val="000000" w:themeColor="text1"/>
        </w:rPr>
        <w:t>豌豆、萝卜、荞麦种子，无纺布，黑色塑料苗盘。</w:t>
      </w:r>
    </w:p>
    <w:p w14:paraId="770F638F" w14:textId="77777777" w:rsidR="00F5289E" w:rsidRDefault="00C91173">
      <w:pPr>
        <w:snapToGrid w:val="0"/>
        <w:spacing w:line="360" w:lineRule="auto"/>
        <w:rPr>
          <w:rFonts w:ascii="宋体" w:hAnsi="宋体"/>
          <w:bCs/>
          <w:color w:val="0000FF"/>
          <w:szCs w:val="21"/>
        </w:rPr>
      </w:pPr>
      <w:r>
        <w:rPr>
          <w:rFonts w:ascii="宋体" w:hAnsi="宋体" w:hint="eastAsia"/>
          <w:b/>
          <w:szCs w:val="21"/>
        </w:rPr>
        <w:t>(七)</w:t>
      </w:r>
      <w:r>
        <w:rPr>
          <w:rFonts w:ascii="宋体" w:hAnsi="宋体" w:hint="eastAsia"/>
          <w:b/>
          <w:bCs/>
          <w:szCs w:val="21"/>
        </w:rPr>
        <w:t>考核方式及成绩评定</w:t>
      </w:r>
    </w:p>
    <w:p w14:paraId="246B62FB" w14:textId="77777777" w:rsidR="00F5289E" w:rsidRDefault="00C91173">
      <w:pPr>
        <w:snapToGrid w:val="0"/>
        <w:spacing w:line="360" w:lineRule="auto"/>
        <w:ind w:firstLineChars="200" w:firstLine="420"/>
        <w:rPr>
          <w:rFonts w:ascii="宋体" w:hAnsi="宋体"/>
          <w:bCs/>
          <w:color w:val="000000" w:themeColor="text1"/>
        </w:rPr>
      </w:pPr>
      <w:r>
        <w:rPr>
          <w:rFonts w:ascii="宋体" w:hAnsi="宋体" w:hint="eastAsia"/>
          <w:bCs/>
          <w:color w:val="000000" w:themeColor="text1"/>
        </w:rPr>
        <w:t>成绩评定由实验报告成绩和实验成效两部分构成，其中实验成效部分由学生育苗出苗率和嫁接成活率决定。</w:t>
      </w:r>
    </w:p>
    <w:p w14:paraId="46C0FEBD"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74F98467"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工厂化育苗原理与技术课程从以提高中国农业现代化水平为己任这一理想和目标为切入点，在回顾工厂化育苗发展史的基础上，介绍了国内工作者几十年经过奋斗如何完成国内育苗产业从无到有、从有到优的过程，又通过分析国内外育苗产业形势，激发学生为实现乡村振兴、促进农民收入，直至实现中国农业现代化奋斗的激情和热情。</w:t>
      </w:r>
    </w:p>
    <w:p w14:paraId="23596B44"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工厂化育苗作为一门应用性学科，涉及园艺、历史、生态、经济、政治多方面。因此从历史重要时间、科学家故事、时代楷模、国家政策、法律法规等方面与客户层内容结合，以思政元素为引，阐述课程的科学理论。培养学生“大国三农”情怀，树立学生懂农、爱农、助农的理想。分别从课程的不同章节挖掘思政元素，开展课程思政。</w:t>
      </w:r>
    </w:p>
    <w:p w14:paraId="3874CF51"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工厂化育苗的概念，引入辩证思维，人与自然和谐相处，现代化的育苗产业能够抵御传统育苗生产中常遇到的灾害性气候和不利环境因素，通过主动控制环境条件提高育苗的机械化、智能化水平，同时介绍我国工厂化育苗短短几十年内的快速发展，加强理想信念教育，树立学生的民族自信心，培养爱国主义精神，使学生认识到自己所学所知可以在目前乡村振兴阶段可以在农业发展和农民致富方面大有所为。在育苗基础设施设备和工厂化育苗方式章节，以</w:t>
      </w:r>
      <w:r>
        <w:rPr>
          <w:rFonts w:ascii="宋体" w:hAnsi="宋体" w:hint="eastAsia"/>
          <w:bCs/>
        </w:rPr>
        <w:t>荀子《劝学》和《孟母三迁》等优秀国学文化为引，向学生阐明选择正确的道路是获得成功的前提，进而讲述</w:t>
      </w:r>
      <w:r>
        <w:rPr>
          <w:rFonts w:hAnsi="宋体" w:hint="eastAsia"/>
          <w:color w:val="000000" w:themeColor="text1"/>
          <w:szCs w:val="21"/>
        </w:rPr>
        <w:t>从温、光、水、气、肥五方面如何通过选择适宜的设备和育苗方式才能获得育苗的成功。在育苗基质与营养章节，强调我国科研工作者在新型环保型育苗基质研发所取得成就，向学生传到现代农业需要以环境保护为前提，尽可能的将农林废弃物变废为宝，以实现农业生产的生态可循环发展，并以此为自身的研究目标和奋斗方向，引导学生树立和践行“绿水青山就是金山银山”的理念。在嫁接育苗章节，首先引用中国汉代典籍中《氾胜之书》所描述的嫁接记载，向学生展示中国古人智慧，并树立民族自信心和自豪感，领略中国传统文化的博大精深，又利用“三人行必有我师”和“它山之石可以攻玉”这些受到广泛认知的中国智慧，将嫁接的意义传递给学生，引发学习兴趣。在工厂化育苗的经营与管理章节，通过讲述国内优秀育苗企业案例，培养其职业素养、科学精神和工匠精神，完成理论与实践的相结合，使学生认识到育苗在行业中的广阔前景，激发其投身农业事业的热情。</w:t>
      </w:r>
    </w:p>
    <w:p w14:paraId="7442386E"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2B7BC448"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4625BC6C"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ascii="宋体" w:hAnsi="宋体" w:hint="eastAsia"/>
          <w:bCs/>
          <w:color w:val="000000" w:themeColor="text1"/>
          <w:kern w:val="0"/>
          <w:szCs w:val="21"/>
        </w:rPr>
        <w:t>（1）理论课教材：</w:t>
      </w:r>
      <w:r>
        <w:rPr>
          <w:rFonts w:hAnsi="宋体" w:hint="eastAsia"/>
          <w:bCs/>
          <w:color w:val="000000" w:themeColor="text1"/>
          <w:kern w:val="0"/>
          <w:szCs w:val="21"/>
        </w:rPr>
        <w:t>工厂化育苗原理与技术</w:t>
      </w:r>
      <w:r>
        <w:rPr>
          <w:rFonts w:hAnsi="宋体"/>
          <w:bCs/>
          <w:color w:val="000000" w:themeColor="text1"/>
          <w:kern w:val="0"/>
          <w:szCs w:val="21"/>
        </w:rPr>
        <w:t>，</w:t>
      </w:r>
      <w:r>
        <w:rPr>
          <w:rFonts w:hAnsi="宋体" w:hint="eastAsia"/>
          <w:bCs/>
          <w:color w:val="000000" w:themeColor="text1"/>
          <w:kern w:val="0"/>
          <w:szCs w:val="21"/>
        </w:rPr>
        <w:t>别之龙，黄丹枫主编</w:t>
      </w:r>
      <w:r>
        <w:rPr>
          <w:rFonts w:hAnsi="宋体"/>
          <w:bCs/>
          <w:color w:val="000000" w:themeColor="text1"/>
          <w:kern w:val="0"/>
          <w:szCs w:val="21"/>
        </w:rPr>
        <w:t>，</w:t>
      </w:r>
      <w:r>
        <w:rPr>
          <w:rFonts w:hAnsi="宋体" w:hint="eastAsia"/>
          <w:bCs/>
          <w:color w:val="000000" w:themeColor="text1"/>
          <w:kern w:val="0"/>
          <w:szCs w:val="21"/>
        </w:rPr>
        <w:t>中国农业</w:t>
      </w:r>
      <w:r>
        <w:rPr>
          <w:rFonts w:hAnsi="宋体"/>
          <w:bCs/>
          <w:color w:val="000000" w:themeColor="text1"/>
          <w:kern w:val="0"/>
          <w:szCs w:val="21"/>
        </w:rPr>
        <w:t>出版社，</w:t>
      </w:r>
      <w:r>
        <w:rPr>
          <w:rFonts w:hAnsi="宋体"/>
          <w:bCs/>
          <w:color w:val="000000" w:themeColor="text1"/>
          <w:kern w:val="0"/>
          <w:szCs w:val="21"/>
        </w:rPr>
        <w:t>2019</w:t>
      </w:r>
      <w:r>
        <w:rPr>
          <w:rFonts w:hAnsi="宋体"/>
          <w:bCs/>
          <w:color w:val="000000" w:themeColor="text1"/>
          <w:kern w:val="0"/>
          <w:szCs w:val="21"/>
        </w:rPr>
        <w:t>年</w:t>
      </w:r>
    </w:p>
    <w:p w14:paraId="30BA52E7"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ascii="宋体" w:hAnsi="宋体" w:hint="eastAsia"/>
          <w:color w:val="000000" w:themeColor="text1"/>
        </w:rPr>
        <w:lastRenderedPageBreak/>
        <w:t>（2）实验课教材：</w:t>
      </w:r>
      <w:r>
        <w:rPr>
          <w:rFonts w:hAnsi="宋体" w:hint="eastAsia"/>
          <w:bCs/>
          <w:color w:val="000000" w:themeColor="text1"/>
          <w:kern w:val="0"/>
          <w:szCs w:val="21"/>
        </w:rPr>
        <w:t>工厂化育苗原理与技术</w:t>
      </w:r>
      <w:r>
        <w:rPr>
          <w:rFonts w:hAnsi="宋体"/>
          <w:bCs/>
          <w:color w:val="000000" w:themeColor="text1"/>
          <w:kern w:val="0"/>
          <w:szCs w:val="21"/>
        </w:rPr>
        <w:t>，</w:t>
      </w:r>
      <w:r>
        <w:rPr>
          <w:rFonts w:hAnsi="宋体" w:hint="eastAsia"/>
          <w:bCs/>
          <w:color w:val="000000" w:themeColor="text1"/>
          <w:kern w:val="0"/>
          <w:szCs w:val="21"/>
        </w:rPr>
        <w:t>别之龙，黄丹枫主编</w:t>
      </w:r>
      <w:r>
        <w:rPr>
          <w:rFonts w:hAnsi="宋体"/>
          <w:bCs/>
          <w:color w:val="000000" w:themeColor="text1"/>
          <w:kern w:val="0"/>
          <w:szCs w:val="21"/>
        </w:rPr>
        <w:t>，</w:t>
      </w:r>
      <w:r>
        <w:rPr>
          <w:rFonts w:hAnsi="宋体" w:hint="eastAsia"/>
          <w:bCs/>
          <w:color w:val="000000" w:themeColor="text1"/>
          <w:kern w:val="0"/>
          <w:szCs w:val="21"/>
        </w:rPr>
        <w:t>中国农业</w:t>
      </w:r>
      <w:r>
        <w:rPr>
          <w:rFonts w:hAnsi="宋体"/>
          <w:bCs/>
          <w:color w:val="000000" w:themeColor="text1"/>
          <w:kern w:val="0"/>
          <w:szCs w:val="21"/>
        </w:rPr>
        <w:t>出版社，</w:t>
      </w:r>
      <w:r>
        <w:rPr>
          <w:rFonts w:hAnsi="宋体"/>
          <w:bCs/>
          <w:color w:val="000000" w:themeColor="text1"/>
          <w:kern w:val="0"/>
          <w:szCs w:val="21"/>
        </w:rPr>
        <w:t>2019</w:t>
      </w:r>
      <w:r>
        <w:rPr>
          <w:rFonts w:hAnsi="宋体"/>
          <w:bCs/>
          <w:color w:val="000000" w:themeColor="text1"/>
          <w:kern w:val="0"/>
          <w:szCs w:val="21"/>
        </w:rPr>
        <w:t>年</w:t>
      </w:r>
    </w:p>
    <w:p w14:paraId="770B2F52"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ascii="宋体" w:hAnsi="宋体" w:hint="eastAsia"/>
          <w:color w:val="000000" w:themeColor="text1"/>
        </w:rPr>
        <w:t>（3）实习指导书：</w:t>
      </w:r>
      <w:r>
        <w:rPr>
          <w:rFonts w:hAnsi="宋体" w:hint="eastAsia"/>
          <w:bCs/>
          <w:color w:val="000000" w:themeColor="text1"/>
          <w:kern w:val="0"/>
          <w:szCs w:val="21"/>
        </w:rPr>
        <w:t>工厂化育苗原理与技术</w:t>
      </w:r>
      <w:r>
        <w:rPr>
          <w:rFonts w:hAnsi="宋体"/>
          <w:bCs/>
          <w:color w:val="000000" w:themeColor="text1"/>
          <w:kern w:val="0"/>
          <w:szCs w:val="21"/>
        </w:rPr>
        <w:t>，</w:t>
      </w:r>
      <w:r>
        <w:rPr>
          <w:rFonts w:hAnsi="宋体" w:hint="eastAsia"/>
          <w:bCs/>
          <w:color w:val="000000" w:themeColor="text1"/>
          <w:kern w:val="0"/>
          <w:szCs w:val="21"/>
        </w:rPr>
        <w:t>别之龙，黄丹枫主编</w:t>
      </w:r>
      <w:r>
        <w:rPr>
          <w:rFonts w:hAnsi="宋体"/>
          <w:bCs/>
          <w:color w:val="000000" w:themeColor="text1"/>
          <w:kern w:val="0"/>
          <w:szCs w:val="21"/>
        </w:rPr>
        <w:t>，</w:t>
      </w:r>
      <w:r>
        <w:rPr>
          <w:rFonts w:hAnsi="宋体" w:hint="eastAsia"/>
          <w:bCs/>
          <w:color w:val="000000" w:themeColor="text1"/>
          <w:kern w:val="0"/>
          <w:szCs w:val="21"/>
        </w:rPr>
        <w:t>中国农业</w:t>
      </w:r>
      <w:r>
        <w:rPr>
          <w:rFonts w:hAnsi="宋体"/>
          <w:bCs/>
          <w:color w:val="000000" w:themeColor="text1"/>
          <w:kern w:val="0"/>
          <w:szCs w:val="21"/>
        </w:rPr>
        <w:t>出版社，</w:t>
      </w:r>
      <w:r>
        <w:rPr>
          <w:rFonts w:hAnsi="宋体"/>
          <w:bCs/>
          <w:color w:val="000000" w:themeColor="text1"/>
          <w:kern w:val="0"/>
          <w:szCs w:val="21"/>
        </w:rPr>
        <w:t>2019</w:t>
      </w:r>
      <w:r>
        <w:rPr>
          <w:rFonts w:hAnsi="宋体"/>
          <w:bCs/>
          <w:color w:val="000000" w:themeColor="text1"/>
          <w:kern w:val="0"/>
          <w:szCs w:val="21"/>
        </w:rPr>
        <w:t>年</w:t>
      </w:r>
    </w:p>
    <w:p w14:paraId="032360F7" w14:textId="77777777" w:rsidR="00F5289E" w:rsidRDefault="00C91173">
      <w:pPr>
        <w:widowControl/>
        <w:snapToGrid w:val="0"/>
        <w:spacing w:line="360" w:lineRule="auto"/>
        <w:ind w:firstLineChars="200" w:firstLine="422"/>
        <w:jc w:val="left"/>
        <w:rPr>
          <w:color w:val="000000" w:themeColor="text1"/>
          <w:kern w:val="0"/>
          <w:szCs w:val="21"/>
        </w:rPr>
      </w:pPr>
      <w:r>
        <w:rPr>
          <w:b/>
          <w:bCs/>
          <w:color w:val="000000" w:themeColor="text1"/>
          <w:kern w:val="0"/>
          <w:szCs w:val="21"/>
        </w:rPr>
        <w:t>2</w:t>
      </w:r>
      <w:r>
        <w:rPr>
          <w:rFonts w:hAnsi="宋体" w:hint="eastAsia"/>
          <w:b/>
          <w:bCs/>
          <w:color w:val="000000" w:themeColor="text1"/>
          <w:kern w:val="0"/>
          <w:szCs w:val="21"/>
        </w:rPr>
        <w:t>.</w:t>
      </w:r>
      <w:r>
        <w:rPr>
          <w:rFonts w:hAnsi="宋体"/>
          <w:b/>
          <w:bCs/>
          <w:color w:val="000000" w:themeColor="text1"/>
          <w:kern w:val="0"/>
          <w:szCs w:val="21"/>
        </w:rPr>
        <w:t>参考书：</w:t>
      </w:r>
    </w:p>
    <w:p w14:paraId="7F4BA716"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bCs/>
          <w:color w:val="000000" w:themeColor="text1"/>
          <w:kern w:val="0"/>
          <w:szCs w:val="21"/>
        </w:rPr>
        <w:t>（</w:t>
      </w:r>
      <w:r>
        <w:rPr>
          <w:bCs/>
          <w:color w:val="000000" w:themeColor="text1"/>
          <w:kern w:val="0"/>
          <w:szCs w:val="21"/>
        </w:rPr>
        <w:t>1</w:t>
      </w:r>
      <w:r>
        <w:rPr>
          <w:rFonts w:hAnsi="宋体"/>
          <w:bCs/>
          <w:color w:val="000000" w:themeColor="text1"/>
          <w:kern w:val="0"/>
          <w:szCs w:val="21"/>
        </w:rPr>
        <w:t>）</w:t>
      </w:r>
      <w:r>
        <w:rPr>
          <w:rFonts w:hAnsi="宋体" w:hint="eastAsia"/>
          <w:bCs/>
          <w:color w:val="000000" w:themeColor="text1"/>
          <w:kern w:val="0"/>
          <w:szCs w:val="21"/>
        </w:rPr>
        <w:t>工厂化育苗．武春成，狄文伟主编．科学出版社</w:t>
      </w:r>
      <w:r>
        <w:rPr>
          <w:rFonts w:hAnsi="宋体" w:hint="eastAsia"/>
          <w:bCs/>
          <w:color w:val="000000" w:themeColor="text1"/>
          <w:kern w:val="0"/>
          <w:szCs w:val="21"/>
        </w:rPr>
        <w:t>,</w:t>
      </w:r>
      <w:r>
        <w:rPr>
          <w:rFonts w:hAnsi="宋体"/>
          <w:bCs/>
          <w:color w:val="000000" w:themeColor="text1"/>
          <w:kern w:val="0"/>
          <w:szCs w:val="21"/>
        </w:rPr>
        <w:t xml:space="preserve"> 2016</w:t>
      </w:r>
      <w:r>
        <w:rPr>
          <w:rFonts w:hAnsi="宋体" w:hint="eastAsia"/>
          <w:bCs/>
          <w:color w:val="000000" w:themeColor="text1"/>
          <w:kern w:val="0"/>
          <w:szCs w:val="21"/>
        </w:rPr>
        <w:t>年</w:t>
      </w:r>
    </w:p>
    <w:p w14:paraId="14560284"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bCs/>
          <w:color w:val="000000" w:themeColor="text1"/>
          <w:kern w:val="0"/>
          <w:szCs w:val="21"/>
        </w:rPr>
        <w:t>（</w:t>
      </w:r>
      <w:r>
        <w:rPr>
          <w:bCs/>
          <w:color w:val="000000" w:themeColor="text1"/>
          <w:kern w:val="0"/>
          <w:szCs w:val="21"/>
        </w:rPr>
        <w:t>2</w:t>
      </w:r>
      <w:r>
        <w:rPr>
          <w:rFonts w:hAnsi="宋体"/>
          <w:bCs/>
          <w:color w:val="000000" w:themeColor="text1"/>
          <w:kern w:val="0"/>
          <w:szCs w:val="21"/>
        </w:rPr>
        <w:t>）</w:t>
      </w:r>
      <w:r>
        <w:rPr>
          <w:rFonts w:hAnsi="宋体" w:hint="eastAsia"/>
          <w:bCs/>
          <w:color w:val="000000" w:themeColor="text1"/>
          <w:kern w:val="0"/>
          <w:szCs w:val="21"/>
        </w:rPr>
        <w:t>蔬菜工厂化嫁接育苗生产装备与技术．辜松主编．中国农业出版社</w:t>
      </w:r>
      <w:r>
        <w:rPr>
          <w:rFonts w:hAnsi="宋体" w:hint="eastAsia"/>
          <w:bCs/>
          <w:color w:val="000000" w:themeColor="text1"/>
          <w:kern w:val="0"/>
          <w:szCs w:val="21"/>
        </w:rPr>
        <w:t>, 2</w:t>
      </w:r>
      <w:r>
        <w:rPr>
          <w:rFonts w:hAnsi="宋体"/>
          <w:bCs/>
          <w:color w:val="000000" w:themeColor="text1"/>
          <w:kern w:val="0"/>
          <w:szCs w:val="21"/>
        </w:rPr>
        <w:t>006</w:t>
      </w:r>
      <w:r>
        <w:rPr>
          <w:rFonts w:hAnsi="宋体" w:hint="eastAsia"/>
          <w:bCs/>
          <w:color w:val="000000" w:themeColor="text1"/>
          <w:kern w:val="0"/>
          <w:szCs w:val="21"/>
        </w:rPr>
        <w:t>年</w:t>
      </w:r>
    </w:p>
    <w:p w14:paraId="42AB2E63"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w:t>
      </w:r>
      <w:r>
        <w:rPr>
          <w:rFonts w:hAnsi="宋体" w:hint="eastAsia"/>
          <w:bCs/>
          <w:color w:val="000000" w:themeColor="text1"/>
          <w:kern w:val="0"/>
          <w:szCs w:val="21"/>
        </w:rPr>
        <w:t>3</w:t>
      </w:r>
      <w:r>
        <w:rPr>
          <w:rFonts w:hAnsi="宋体" w:hint="eastAsia"/>
          <w:bCs/>
          <w:color w:val="000000" w:themeColor="text1"/>
          <w:kern w:val="0"/>
          <w:szCs w:val="21"/>
        </w:rPr>
        <w:t>）设施园艺学．高丽红主编．中国农业大学出版社</w:t>
      </w:r>
      <w:r>
        <w:rPr>
          <w:rFonts w:hAnsi="宋体" w:hint="eastAsia"/>
          <w:bCs/>
          <w:color w:val="000000" w:themeColor="text1"/>
          <w:kern w:val="0"/>
          <w:szCs w:val="21"/>
        </w:rPr>
        <w:t>, 2</w:t>
      </w:r>
      <w:r>
        <w:rPr>
          <w:rFonts w:hAnsi="宋体"/>
          <w:bCs/>
          <w:color w:val="000000" w:themeColor="text1"/>
          <w:kern w:val="0"/>
          <w:szCs w:val="21"/>
        </w:rPr>
        <w:t>021</w:t>
      </w:r>
      <w:r>
        <w:rPr>
          <w:rFonts w:hAnsi="宋体" w:hint="eastAsia"/>
          <w:bCs/>
          <w:color w:val="000000" w:themeColor="text1"/>
          <w:kern w:val="0"/>
          <w:szCs w:val="21"/>
        </w:rPr>
        <w:t>年</w:t>
      </w:r>
    </w:p>
    <w:p w14:paraId="3C1F5ACA" w14:textId="77777777" w:rsidR="00F5289E" w:rsidRDefault="00C91173">
      <w:pPr>
        <w:widowControl/>
        <w:snapToGrid w:val="0"/>
        <w:spacing w:line="360" w:lineRule="auto"/>
        <w:ind w:firstLineChars="200" w:firstLine="422"/>
        <w:jc w:val="left"/>
        <w:rPr>
          <w:b/>
          <w:color w:val="000000" w:themeColor="text1"/>
          <w:kern w:val="0"/>
          <w:szCs w:val="21"/>
        </w:rPr>
      </w:pPr>
      <w:r>
        <w:rPr>
          <w:b/>
          <w:color w:val="000000" w:themeColor="text1"/>
          <w:kern w:val="0"/>
          <w:szCs w:val="21"/>
        </w:rPr>
        <w:t>3.</w:t>
      </w:r>
      <w:r>
        <w:rPr>
          <w:b/>
          <w:color w:val="000000" w:themeColor="text1"/>
          <w:kern w:val="0"/>
          <w:szCs w:val="21"/>
        </w:rPr>
        <w:t>推荐网站</w:t>
      </w:r>
      <w:r>
        <w:rPr>
          <w:rFonts w:hint="eastAsia"/>
          <w:b/>
          <w:color w:val="000000" w:themeColor="text1"/>
          <w:kern w:val="0"/>
          <w:szCs w:val="21"/>
        </w:rPr>
        <w:t>（线上资源）</w:t>
      </w:r>
      <w:r>
        <w:rPr>
          <w:b/>
          <w:color w:val="000000" w:themeColor="text1"/>
          <w:kern w:val="0"/>
          <w:szCs w:val="21"/>
        </w:rPr>
        <w:t>：</w:t>
      </w:r>
    </w:p>
    <w:p w14:paraId="19EAD485" w14:textId="77777777" w:rsidR="00F5289E" w:rsidRDefault="00C91173">
      <w:pPr>
        <w:snapToGrid w:val="0"/>
        <w:spacing w:line="360" w:lineRule="auto"/>
        <w:ind w:firstLineChars="200" w:firstLine="420"/>
        <w:rPr>
          <w:color w:val="000000" w:themeColor="text1"/>
          <w:szCs w:val="21"/>
        </w:rPr>
      </w:pPr>
      <w:r>
        <w:rPr>
          <w:rFonts w:hAnsi="宋体"/>
          <w:color w:val="000000" w:themeColor="text1"/>
          <w:szCs w:val="21"/>
        </w:rPr>
        <w:t>（</w:t>
      </w:r>
      <w:r>
        <w:rPr>
          <w:color w:val="000000" w:themeColor="text1"/>
          <w:szCs w:val="21"/>
        </w:rPr>
        <w:t>1</w:t>
      </w:r>
      <w:r>
        <w:rPr>
          <w:rFonts w:hAnsi="宋体"/>
          <w:color w:val="000000" w:themeColor="text1"/>
          <w:szCs w:val="21"/>
        </w:rPr>
        <w:t>）</w:t>
      </w:r>
      <w:r>
        <w:rPr>
          <w:rFonts w:hAnsi="宋体" w:hint="eastAsia"/>
          <w:color w:val="000000" w:themeColor="text1"/>
          <w:szCs w:val="21"/>
        </w:rPr>
        <w:t>中国大学</w:t>
      </w:r>
      <w:r>
        <w:rPr>
          <w:rFonts w:hAnsi="宋体" w:hint="eastAsia"/>
          <w:color w:val="000000" w:themeColor="text1"/>
          <w:szCs w:val="21"/>
        </w:rPr>
        <w:t>MOOC</w:t>
      </w:r>
      <w:r>
        <w:rPr>
          <w:rFonts w:hAnsi="宋体" w:hint="eastAsia"/>
          <w:color w:val="000000" w:themeColor="text1"/>
          <w:szCs w:val="21"/>
        </w:rPr>
        <w:t>，</w:t>
      </w:r>
      <w:r>
        <w:rPr>
          <w:rFonts w:hAnsi="宋体" w:hint="eastAsia"/>
          <w:color w:val="000000" w:themeColor="text1"/>
          <w:szCs w:val="21"/>
        </w:rPr>
        <w:t>https://www.icourse163.org/</w:t>
      </w:r>
    </w:p>
    <w:p w14:paraId="60E7C3B0" w14:textId="77777777" w:rsidR="00F5289E" w:rsidRDefault="00C91173">
      <w:pPr>
        <w:widowControl/>
        <w:snapToGrid w:val="0"/>
        <w:spacing w:line="360" w:lineRule="auto"/>
        <w:ind w:firstLineChars="200" w:firstLine="420"/>
        <w:jc w:val="left"/>
        <w:rPr>
          <w:color w:val="000000" w:themeColor="text1"/>
          <w:kern w:val="0"/>
        </w:rPr>
      </w:pPr>
      <w:r>
        <w:rPr>
          <w:rFonts w:hAnsi="宋体"/>
          <w:color w:val="000000" w:themeColor="text1"/>
          <w:szCs w:val="21"/>
        </w:rPr>
        <w:t>（</w:t>
      </w:r>
      <w:r>
        <w:rPr>
          <w:color w:val="000000" w:themeColor="text1"/>
          <w:szCs w:val="21"/>
        </w:rPr>
        <w:t>2</w:t>
      </w:r>
      <w:r>
        <w:rPr>
          <w:rFonts w:hAnsi="宋体"/>
          <w:color w:val="000000" w:themeColor="text1"/>
          <w:szCs w:val="21"/>
        </w:rPr>
        <w:t>）</w:t>
      </w:r>
      <w:r>
        <w:rPr>
          <w:rFonts w:hAnsi="宋体" w:hint="eastAsia"/>
          <w:color w:val="000000" w:themeColor="text1"/>
          <w:szCs w:val="21"/>
        </w:rPr>
        <w:t>中国设施园艺信息网，</w:t>
      </w:r>
      <w:r>
        <w:rPr>
          <w:rFonts w:hAnsi="宋体" w:hint="eastAsia"/>
          <w:color w:val="000000" w:themeColor="text1"/>
          <w:szCs w:val="21"/>
        </w:rPr>
        <w:t>http://www.sheshiyuanyi.com/</w:t>
      </w:r>
    </w:p>
    <w:p w14:paraId="364B1AD1" w14:textId="77777777" w:rsidR="00F5289E" w:rsidRDefault="00C91173">
      <w:pPr>
        <w:widowControl/>
        <w:snapToGrid w:val="0"/>
        <w:spacing w:line="360" w:lineRule="auto"/>
        <w:ind w:firstLineChars="200" w:firstLine="420"/>
        <w:jc w:val="left"/>
        <w:rPr>
          <w:color w:val="000000" w:themeColor="text1"/>
          <w:szCs w:val="21"/>
        </w:rPr>
      </w:pPr>
      <w:r>
        <w:rPr>
          <w:rFonts w:hint="eastAsia"/>
          <w:color w:val="000000" w:themeColor="text1"/>
          <w:kern w:val="0"/>
        </w:rPr>
        <w:t>（</w:t>
      </w:r>
      <w:r>
        <w:rPr>
          <w:rFonts w:hint="eastAsia"/>
          <w:color w:val="000000" w:themeColor="text1"/>
          <w:kern w:val="0"/>
        </w:rPr>
        <w:t>3</w:t>
      </w:r>
      <w:r>
        <w:rPr>
          <w:rFonts w:hint="eastAsia"/>
          <w:color w:val="000000" w:themeColor="text1"/>
          <w:kern w:val="0"/>
        </w:rPr>
        <w:t>）</w:t>
      </w:r>
      <w:proofErr w:type="spellStart"/>
      <w:r>
        <w:rPr>
          <w:color w:val="000000" w:themeColor="text1"/>
          <w:szCs w:val="21"/>
        </w:rPr>
        <w:t>PlantTape</w:t>
      </w:r>
      <w:proofErr w:type="spellEnd"/>
      <w:r>
        <w:rPr>
          <w:color w:val="000000" w:themeColor="text1"/>
          <w:szCs w:val="21"/>
        </w:rPr>
        <w:t>，</w:t>
      </w:r>
      <w:r w:rsidRPr="004156EB">
        <w:rPr>
          <w:szCs w:val="21"/>
        </w:rPr>
        <w:t>https://www.planttape.com/</w:t>
      </w:r>
    </w:p>
    <w:p w14:paraId="7A50A2A2" w14:textId="77777777" w:rsidR="00F5289E" w:rsidRDefault="00C91173">
      <w:pPr>
        <w:widowControl/>
        <w:snapToGrid w:val="0"/>
        <w:spacing w:line="360" w:lineRule="auto"/>
        <w:ind w:firstLineChars="200" w:firstLine="420"/>
        <w:jc w:val="left"/>
        <w:rPr>
          <w:kern w:val="0"/>
        </w:rPr>
      </w:pPr>
      <w:r>
        <w:rPr>
          <w:rFonts w:hint="eastAsia"/>
          <w:szCs w:val="21"/>
        </w:rPr>
        <w:t>（</w:t>
      </w:r>
      <w:r>
        <w:rPr>
          <w:rFonts w:hint="eastAsia"/>
          <w:szCs w:val="21"/>
        </w:rPr>
        <w:t>4</w:t>
      </w:r>
      <w:r>
        <w:rPr>
          <w:rFonts w:hint="eastAsia"/>
          <w:szCs w:val="21"/>
        </w:rPr>
        <w:t>）美国维生种苗有限公司，</w:t>
      </w:r>
      <w:r>
        <w:rPr>
          <w:rFonts w:hint="eastAsia"/>
          <w:szCs w:val="21"/>
        </w:rPr>
        <w:t>http://www.speedling.com/</w:t>
      </w:r>
    </w:p>
    <w:p w14:paraId="027C1179"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6CB702BB"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工厂化育苗原理与技术》课程综合利用课堂实验、参观学习和生产实习为一体的综合教学方案。利用校内三区科教园区的日光温室和设施农业科学与工程实验室进行种子识别与处理、播种育苗、育苗基质测定和蔬菜嫁接育苗等综合性实验。校内实验完成后，以参观的形式分别到河南省农业科学院原阳育苗基地、郑州市蔬菜所和许昌鄢陵建业绿色基地学习，观摩学习省内大型育苗企业的种植技术与经营管理，充分培养学生从事工厂化育苗行业的兴趣。课程结束后，通过校企合作的方式，将一部分对工厂化育苗感兴趣的学生送至山东安信种苗股份有限公司，山东济南伟丽种苗、南街村豫禾种苗及三门峡思瑞达农业等优秀育苗企业进行生产实习，使学生充分掌握工厂化育苗技术，为我国工厂化育苗行业培养相关人才。</w:t>
      </w:r>
    </w:p>
    <w:p w14:paraId="43F0AD7B"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033C27AC" w14:textId="77777777" w:rsidR="00F5289E" w:rsidRDefault="00C91173">
      <w:pPr>
        <w:widowControl/>
        <w:snapToGrid w:val="0"/>
        <w:spacing w:line="360" w:lineRule="auto"/>
        <w:ind w:firstLine="420"/>
        <w:jc w:val="left"/>
        <w:rPr>
          <w:rFonts w:ascii="宋体" w:hAnsi="宋体"/>
          <w:szCs w:val="21"/>
        </w:rPr>
      </w:pPr>
      <w:r>
        <w:rPr>
          <w:rFonts w:hAnsi="宋体" w:hint="eastAsia"/>
          <w:b/>
          <w:bCs/>
          <w:kern w:val="0"/>
          <w:szCs w:val="21"/>
        </w:rPr>
        <w:t>1.</w:t>
      </w:r>
      <w:r>
        <w:rPr>
          <w:rFonts w:hAnsi="宋体" w:hint="eastAsia"/>
          <w:b/>
          <w:bCs/>
          <w:kern w:val="0"/>
          <w:szCs w:val="21"/>
        </w:rPr>
        <w:t>过程性评价：</w:t>
      </w:r>
      <w:r>
        <w:rPr>
          <w:rFonts w:hAnsi="宋体" w:hint="eastAsia"/>
          <w:kern w:val="0"/>
          <w:szCs w:val="21"/>
        </w:rPr>
        <w:t>本门课程采取多元化过程性考核评价方法，包括课前预习、课程表现、考勤、课后作业、阶段测评及讨论、实验报告等考评环节及内容，这些共同组成过程性评价成绩，占总成绩的</w:t>
      </w:r>
      <w:r>
        <w:rPr>
          <w:rFonts w:hAnsi="宋体" w:hint="eastAsia"/>
          <w:kern w:val="0"/>
          <w:szCs w:val="21"/>
        </w:rPr>
        <w:t>40%</w:t>
      </w:r>
      <w:r>
        <w:rPr>
          <w:rFonts w:hAnsi="宋体" w:hint="eastAsia"/>
          <w:kern w:val="0"/>
          <w:szCs w:val="21"/>
        </w:rPr>
        <w:t>。</w:t>
      </w:r>
    </w:p>
    <w:p w14:paraId="35CA98BF" w14:textId="77777777" w:rsidR="00F5289E" w:rsidRDefault="00C91173">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ascii="宋体" w:hAnsi="宋体" w:hint="eastAsia"/>
          <w:color w:val="000000" w:themeColor="text1"/>
        </w:rPr>
        <w:t>本门课程考试方法为闭卷，主要是卷面成绩。卷面成绩为期中、期末卷面成绩，试题增加非标准答案的开放性试题，占总成绩的60%。</w:t>
      </w:r>
    </w:p>
    <w:p w14:paraId="3852B81F"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Pr>
          <w:rFonts w:hAnsi="宋体" w:hint="eastAsia"/>
          <w:bCs/>
          <w:color w:val="000000" w:themeColor="text1"/>
          <w:kern w:val="0"/>
          <w:szCs w:val="21"/>
        </w:rPr>
        <w:t>过程性评价主要考核学生的学习态度、辩证思维、分析解决问题和实践操作能力。终结性评价主要考研学生对本科课程知识体系的掌握。</w:t>
      </w:r>
    </w:p>
    <w:p w14:paraId="586E5AD9"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bookmarkStart w:id="60" w:name="_Toc10901"/>
      <w:bookmarkStart w:id="61" w:name="_Toc31442"/>
    </w:p>
    <w:p w14:paraId="1CA00BA7" w14:textId="77777777" w:rsidR="00F5289E" w:rsidRDefault="00C91173">
      <w:pPr>
        <w:pStyle w:val="1"/>
      </w:pPr>
      <w:bookmarkStart w:id="62" w:name="_Toc138606241"/>
      <w:r>
        <w:rPr>
          <w:rFonts w:hint="eastAsia"/>
        </w:rPr>
        <w:lastRenderedPageBreak/>
        <w:t>设施蔬菜栽培学</w:t>
      </w:r>
      <w:bookmarkEnd w:id="60"/>
      <w:bookmarkEnd w:id="62"/>
    </w:p>
    <w:p w14:paraId="42EBD0D2" w14:textId="77777777" w:rsidR="00F5289E" w:rsidRDefault="00C91173">
      <w:pPr>
        <w:snapToGrid w:val="0"/>
        <w:spacing w:line="360" w:lineRule="auto"/>
        <w:jc w:val="center"/>
        <w:rPr>
          <w:sz w:val="24"/>
        </w:rPr>
      </w:pPr>
      <w:r>
        <w:rPr>
          <w:sz w:val="24"/>
        </w:rPr>
        <w:t>（</w:t>
      </w:r>
      <w:r>
        <w:rPr>
          <w:rFonts w:eastAsia="黑体"/>
          <w:bCs/>
          <w:kern w:val="36"/>
          <w:sz w:val="24"/>
        </w:rPr>
        <w:t>Protected Vegetable Culture</w:t>
      </w:r>
      <w:r>
        <w:rPr>
          <w:color w:val="000000"/>
          <w:sz w:val="24"/>
        </w:rPr>
        <w:t>）</w:t>
      </w:r>
    </w:p>
    <w:p w14:paraId="6BB6E93E" w14:textId="77777777" w:rsidR="00F5289E" w:rsidRDefault="00F5289E">
      <w:pPr>
        <w:snapToGrid w:val="0"/>
        <w:spacing w:line="360" w:lineRule="auto"/>
        <w:jc w:val="center"/>
        <w:rPr>
          <w:b/>
          <w:szCs w:val="21"/>
        </w:rPr>
      </w:pPr>
    </w:p>
    <w:p w14:paraId="631EF15F" w14:textId="77777777" w:rsidR="00F5289E" w:rsidRDefault="00C91173">
      <w:pPr>
        <w:snapToGrid w:val="0"/>
        <w:spacing w:line="360" w:lineRule="auto"/>
        <w:jc w:val="center"/>
        <w:rPr>
          <w:b/>
          <w:szCs w:val="21"/>
        </w:rPr>
      </w:pPr>
      <w:r>
        <w:rPr>
          <w:rFonts w:hint="eastAsia"/>
          <w:b/>
          <w:szCs w:val="21"/>
        </w:rPr>
        <w:t>课程基本信息</w:t>
      </w:r>
    </w:p>
    <w:tbl>
      <w:tblPr>
        <w:tblW w:w="8522" w:type="dxa"/>
        <w:tblLayout w:type="fixed"/>
        <w:tblLook w:val="04A0" w:firstRow="1" w:lastRow="0" w:firstColumn="1" w:lastColumn="0" w:noHBand="0" w:noVBand="1"/>
      </w:tblPr>
      <w:tblGrid>
        <w:gridCol w:w="2840"/>
        <w:gridCol w:w="2476"/>
        <w:gridCol w:w="1029"/>
        <w:gridCol w:w="2177"/>
      </w:tblGrid>
      <w:tr w:rsidR="00F5289E" w14:paraId="5868ADF2" w14:textId="77777777">
        <w:tc>
          <w:tcPr>
            <w:tcW w:w="2840" w:type="dxa"/>
          </w:tcPr>
          <w:p w14:paraId="351EC179"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课程编号：</w:t>
            </w:r>
            <w:r>
              <w:rPr>
                <w:rFonts w:asciiTheme="minorEastAsia" w:eastAsiaTheme="minorEastAsia" w:hAnsiTheme="minorEastAsia" w:cstheme="minorEastAsia" w:hint="eastAsia"/>
                <w:kern w:val="0"/>
                <w:szCs w:val="21"/>
              </w:rPr>
              <w:t>190110</w:t>
            </w:r>
            <w:r>
              <w:rPr>
                <w:rFonts w:asciiTheme="minorEastAsia" w:eastAsiaTheme="minorEastAsia" w:hAnsiTheme="minorEastAsia" w:cstheme="minorEastAsia"/>
                <w:kern w:val="0"/>
                <w:szCs w:val="21"/>
              </w:rPr>
              <w:t>32h</w:t>
            </w:r>
          </w:p>
        </w:tc>
        <w:tc>
          <w:tcPr>
            <w:tcW w:w="2476" w:type="dxa"/>
          </w:tcPr>
          <w:p w14:paraId="77F11160"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课程总学时：</w:t>
            </w:r>
            <w:r>
              <w:rPr>
                <w:rFonts w:asciiTheme="minorEastAsia" w:eastAsiaTheme="minorEastAsia" w:hAnsiTheme="minorEastAsia" w:cstheme="minorEastAsia"/>
                <w:kern w:val="0"/>
                <w:szCs w:val="21"/>
              </w:rPr>
              <w:t>64</w:t>
            </w:r>
          </w:p>
        </w:tc>
        <w:tc>
          <w:tcPr>
            <w:tcW w:w="3206" w:type="dxa"/>
            <w:gridSpan w:val="2"/>
          </w:tcPr>
          <w:p w14:paraId="76348895" w14:textId="77777777" w:rsidR="00F5289E" w:rsidRDefault="00C91173">
            <w:pPr>
              <w:spacing w:line="300" w:lineRule="auto"/>
              <w:ind w:firstLineChars="500" w:firstLine="1054"/>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实验学时：</w:t>
            </w:r>
            <w:r>
              <w:rPr>
                <w:rFonts w:asciiTheme="minorEastAsia" w:eastAsiaTheme="minorEastAsia" w:hAnsiTheme="minorEastAsia" w:cstheme="minorEastAsia" w:hint="eastAsia"/>
                <w:kern w:val="0"/>
                <w:szCs w:val="21"/>
              </w:rPr>
              <w:t>1</w:t>
            </w:r>
            <w:r>
              <w:rPr>
                <w:rFonts w:asciiTheme="minorEastAsia" w:eastAsiaTheme="minorEastAsia" w:hAnsiTheme="minorEastAsia" w:cstheme="minorEastAsia"/>
                <w:kern w:val="0"/>
                <w:szCs w:val="21"/>
              </w:rPr>
              <w:t>8</w:t>
            </w:r>
          </w:p>
        </w:tc>
      </w:tr>
      <w:tr w:rsidR="00F5289E" w14:paraId="6378EA72" w14:textId="77777777">
        <w:tc>
          <w:tcPr>
            <w:tcW w:w="2840" w:type="dxa"/>
          </w:tcPr>
          <w:p w14:paraId="42E5F375" w14:textId="77777777" w:rsidR="00F5289E" w:rsidRDefault="00C91173">
            <w:pPr>
              <w:spacing w:line="300" w:lineRule="auto"/>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
                <w:bCs/>
                <w:kern w:val="0"/>
                <w:szCs w:val="21"/>
              </w:rPr>
              <w:t>课程性质：</w:t>
            </w:r>
            <w:r>
              <w:rPr>
                <w:rFonts w:asciiTheme="minorEastAsia" w:eastAsiaTheme="minorEastAsia" w:hAnsiTheme="minorEastAsia" w:cstheme="minorEastAsia" w:hint="eastAsia"/>
                <w:kern w:val="0"/>
                <w:szCs w:val="21"/>
              </w:rPr>
              <w:t>必修</w:t>
            </w:r>
          </w:p>
          <w:p w14:paraId="0AB9A17B"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课程负责人：</w:t>
            </w:r>
            <w:r>
              <w:rPr>
                <w:rFonts w:asciiTheme="minorEastAsia" w:eastAsiaTheme="minorEastAsia" w:hAnsiTheme="minorEastAsia" w:cstheme="minorEastAsia" w:hint="eastAsia"/>
                <w:kern w:val="0"/>
                <w:szCs w:val="21"/>
              </w:rPr>
              <w:t>王吉庆</w:t>
            </w:r>
          </w:p>
        </w:tc>
        <w:tc>
          <w:tcPr>
            <w:tcW w:w="3505" w:type="dxa"/>
            <w:gridSpan w:val="2"/>
          </w:tcPr>
          <w:p w14:paraId="0E749439"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课程属性:</w:t>
            </w:r>
            <w:r>
              <w:rPr>
                <w:rFonts w:asciiTheme="minorEastAsia" w:eastAsiaTheme="minorEastAsia" w:hAnsiTheme="minorEastAsia" w:cstheme="minorEastAsia" w:hint="eastAsia"/>
                <w:kern w:val="0"/>
                <w:szCs w:val="21"/>
              </w:rPr>
              <w:t>专业课</w:t>
            </w:r>
          </w:p>
          <w:p w14:paraId="29670C73"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课程团队：</w:t>
            </w:r>
            <w:r>
              <w:rPr>
                <w:rFonts w:asciiTheme="minorEastAsia" w:eastAsiaTheme="minorEastAsia" w:hAnsiTheme="minorEastAsia" w:cstheme="minorEastAsia" w:hint="eastAsia"/>
                <w:kern w:val="0"/>
                <w:szCs w:val="21"/>
              </w:rPr>
              <w:t>李娟起、杜清洁、肖怀娟</w:t>
            </w:r>
          </w:p>
        </w:tc>
        <w:tc>
          <w:tcPr>
            <w:tcW w:w="2177" w:type="dxa"/>
          </w:tcPr>
          <w:p w14:paraId="71556507"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开设学期：</w:t>
            </w:r>
            <w:r>
              <w:rPr>
                <w:rFonts w:asciiTheme="minorEastAsia" w:eastAsiaTheme="minorEastAsia" w:hAnsiTheme="minorEastAsia" w:cstheme="minorEastAsia" w:hint="eastAsia"/>
                <w:kern w:val="0"/>
                <w:szCs w:val="21"/>
              </w:rPr>
              <w:t>第4学期</w:t>
            </w:r>
          </w:p>
          <w:p w14:paraId="7411A1CB"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授课语言：</w:t>
            </w:r>
            <w:r>
              <w:rPr>
                <w:rFonts w:asciiTheme="minorEastAsia" w:eastAsiaTheme="minorEastAsia" w:hAnsiTheme="minorEastAsia" w:cstheme="minorEastAsia" w:hint="eastAsia"/>
                <w:kern w:val="0"/>
                <w:szCs w:val="21"/>
              </w:rPr>
              <w:t>中文</w:t>
            </w:r>
          </w:p>
        </w:tc>
      </w:tr>
      <w:tr w:rsidR="00F5289E" w14:paraId="5D8F0059" w14:textId="77777777">
        <w:tc>
          <w:tcPr>
            <w:tcW w:w="8522" w:type="dxa"/>
            <w:gridSpan w:val="4"/>
          </w:tcPr>
          <w:p w14:paraId="30C70170"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适用专业：</w:t>
            </w:r>
            <w:r>
              <w:rPr>
                <w:rFonts w:asciiTheme="minorEastAsia" w:eastAsiaTheme="minorEastAsia" w:hAnsiTheme="minorEastAsia" w:cstheme="minorEastAsia" w:hint="eastAsia"/>
                <w:bCs/>
                <w:kern w:val="0"/>
                <w:szCs w:val="21"/>
              </w:rPr>
              <w:t>设施农业科学与工程；核心</w:t>
            </w:r>
          </w:p>
        </w:tc>
      </w:tr>
      <w:tr w:rsidR="00F5289E" w14:paraId="76262377" w14:textId="77777777">
        <w:tc>
          <w:tcPr>
            <w:tcW w:w="8522" w:type="dxa"/>
            <w:gridSpan w:val="4"/>
          </w:tcPr>
          <w:p w14:paraId="520D4E4B"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对先修的要求：</w:t>
            </w:r>
            <w:r>
              <w:rPr>
                <w:rFonts w:asciiTheme="minorEastAsia" w:eastAsiaTheme="minorEastAsia" w:hAnsiTheme="minorEastAsia" w:cstheme="minorEastAsia" w:hint="eastAsia"/>
                <w:bCs/>
                <w:kern w:val="0"/>
                <w:szCs w:val="21"/>
              </w:rPr>
              <w:t>具备学习本专业课程必备的植物生理生化、土壤肥料学、气象学、园艺设施学的基本知识和基本技能，先修的主要课程包括植物学、植物生理学、生物化学、气象学、农业设施工程学等课程。</w:t>
            </w:r>
          </w:p>
          <w:p w14:paraId="638165AA"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对后续的支撑：</w:t>
            </w:r>
            <w:r>
              <w:rPr>
                <w:rFonts w:asciiTheme="minorEastAsia" w:eastAsiaTheme="minorEastAsia" w:hAnsiTheme="minorEastAsia" w:cstheme="minorEastAsia" w:hint="eastAsia"/>
                <w:bCs/>
                <w:kern w:val="0"/>
                <w:szCs w:val="21"/>
              </w:rPr>
              <w:t>使学生具备学习本专业后续课程的基本知识和基本技能，后续课程包括无土栽培学、园艺植物病虫害防治、园艺产品营销学。</w:t>
            </w:r>
          </w:p>
        </w:tc>
      </w:tr>
      <w:tr w:rsidR="00F5289E" w14:paraId="203F0E6B" w14:textId="77777777">
        <w:tc>
          <w:tcPr>
            <w:tcW w:w="2840" w:type="dxa"/>
          </w:tcPr>
          <w:p w14:paraId="302B7DF9"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主撰人：</w:t>
            </w:r>
            <w:r>
              <w:rPr>
                <w:rFonts w:asciiTheme="minorEastAsia" w:eastAsiaTheme="minorEastAsia" w:hAnsiTheme="minorEastAsia" w:cstheme="minorEastAsia" w:hint="eastAsia"/>
                <w:kern w:val="0"/>
                <w:szCs w:val="21"/>
              </w:rPr>
              <w:t>李娟起</w:t>
            </w:r>
          </w:p>
        </w:tc>
        <w:tc>
          <w:tcPr>
            <w:tcW w:w="2476" w:type="dxa"/>
          </w:tcPr>
          <w:p w14:paraId="0F8C891C"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审核人：</w:t>
            </w:r>
            <w:r>
              <w:rPr>
                <w:rFonts w:asciiTheme="minorEastAsia" w:eastAsiaTheme="minorEastAsia" w:hAnsiTheme="minorEastAsia" w:cstheme="minorEastAsia" w:hint="eastAsia"/>
                <w:kern w:val="0"/>
                <w:szCs w:val="21"/>
              </w:rPr>
              <w:t>王吉庆</w:t>
            </w:r>
          </w:p>
        </w:tc>
        <w:tc>
          <w:tcPr>
            <w:tcW w:w="3206" w:type="dxa"/>
            <w:gridSpan w:val="2"/>
          </w:tcPr>
          <w:p w14:paraId="1D74ADDF" w14:textId="77777777" w:rsidR="00F5289E" w:rsidRDefault="00C91173">
            <w:pPr>
              <w:spacing w:line="30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大纲制定（修订）日期：</w:t>
            </w:r>
            <w:r>
              <w:rPr>
                <w:rFonts w:asciiTheme="minorEastAsia" w:eastAsiaTheme="minorEastAsia" w:hAnsiTheme="minorEastAsia" w:cstheme="minorEastAsia"/>
                <w:kern w:val="0"/>
                <w:szCs w:val="21"/>
              </w:rPr>
              <w:t>2023.05</w:t>
            </w:r>
          </w:p>
        </w:tc>
      </w:tr>
    </w:tbl>
    <w:p w14:paraId="2E18E082" w14:textId="77777777" w:rsidR="00F5289E" w:rsidRDefault="00F5289E">
      <w:pPr>
        <w:widowControl/>
        <w:snapToGrid w:val="0"/>
        <w:spacing w:line="360" w:lineRule="auto"/>
        <w:jc w:val="left"/>
        <w:rPr>
          <w:rFonts w:hAnsi="宋体"/>
          <w:b/>
          <w:bCs/>
          <w:kern w:val="0"/>
          <w:szCs w:val="21"/>
        </w:rPr>
      </w:pPr>
    </w:p>
    <w:p w14:paraId="0B69B991" w14:textId="77777777" w:rsidR="00F5289E" w:rsidRDefault="00C91173">
      <w:pPr>
        <w:widowControl/>
        <w:snapToGrid w:val="0"/>
        <w:spacing w:line="360" w:lineRule="auto"/>
        <w:jc w:val="left"/>
        <w:rPr>
          <w:rFonts w:eastAsiaTheme="minorEastAsia"/>
          <w:kern w:val="0"/>
          <w:szCs w:val="21"/>
        </w:rPr>
      </w:pPr>
      <w:r>
        <w:rPr>
          <w:rFonts w:hAnsi="宋体"/>
          <w:b/>
          <w:bCs/>
          <w:kern w:val="0"/>
          <w:szCs w:val="21"/>
        </w:rPr>
        <w:t>一、课程的</w:t>
      </w:r>
      <w:r>
        <w:rPr>
          <w:rFonts w:hAnsi="宋体" w:hint="eastAsia"/>
          <w:b/>
          <w:bCs/>
          <w:kern w:val="0"/>
          <w:szCs w:val="21"/>
        </w:rPr>
        <w:t>教学理念、</w:t>
      </w:r>
      <w:r>
        <w:rPr>
          <w:rFonts w:hAnsi="宋体"/>
          <w:b/>
          <w:bCs/>
          <w:kern w:val="0"/>
          <w:szCs w:val="21"/>
        </w:rPr>
        <w:t>性质、</w:t>
      </w:r>
      <w:r>
        <w:rPr>
          <w:rFonts w:hAnsi="宋体" w:hint="eastAsia"/>
          <w:b/>
          <w:bCs/>
          <w:kern w:val="0"/>
          <w:szCs w:val="21"/>
        </w:rPr>
        <w:t>目标</w:t>
      </w:r>
      <w:r>
        <w:rPr>
          <w:rFonts w:hAnsi="宋体"/>
          <w:b/>
          <w:bCs/>
          <w:kern w:val="0"/>
          <w:szCs w:val="21"/>
        </w:rPr>
        <w:t>和任务</w:t>
      </w:r>
    </w:p>
    <w:p w14:paraId="72009716" w14:textId="77777777" w:rsidR="00F5289E" w:rsidRDefault="00C91173">
      <w:pPr>
        <w:spacing w:line="360" w:lineRule="auto"/>
        <w:ind w:firstLine="390"/>
        <w:rPr>
          <w:rFonts w:ascii="宋体" w:hAnsi="宋体" w:cs="宋体"/>
          <w:bCs/>
          <w:kern w:val="0"/>
          <w:szCs w:val="21"/>
        </w:rPr>
      </w:pPr>
      <w:r>
        <w:rPr>
          <w:rFonts w:hint="eastAsia"/>
          <w:kern w:val="0"/>
          <w:szCs w:val="21"/>
        </w:rPr>
        <w:t>《设施蔬菜栽培学》</w:t>
      </w:r>
      <w:r>
        <w:rPr>
          <w:rFonts w:ascii="宋体" w:hAnsi="宋体" w:cs="宋体" w:hint="eastAsia"/>
          <w:bCs/>
          <w:kern w:val="0"/>
          <w:szCs w:val="21"/>
        </w:rPr>
        <w:t>是设施农业科学与工程专业的一门专业必修课，属核心课程。该课程以生物学和设施环境学知识为理论基础，讲述设施条件下蔬菜种植的理论与技术，属应用科学，旨在培养学生理论联系实际和专业实践操作技能及创新的意识。课程采用</w:t>
      </w:r>
      <w:r>
        <w:rPr>
          <w:rFonts w:hint="eastAsia"/>
        </w:rPr>
        <w:t>“学，教，做互动”的教学模式，强调“以学定教，以教导学，学中有做，做中有学，学、教、做互动”。</w:t>
      </w:r>
      <w:r>
        <w:rPr>
          <w:rFonts w:ascii="宋体" w:hAnsi="宋体" w:cs="宋体"/>
          <w:bCs/>
          <w:kern w:val="0"/>
          <w:szCs w:val="21"/>
        </w:rPr>
        <w:t>灵活运用</w:t>
      </w:r>
      <w:r>
        <w:rPr>
          <w:rFonts w:hint="eastAsia"/>
        </w:rPr>
        <w:t>启发式、探究式、讨论式、线上线下相结合等多样化混合式教学方法，激发学生的学习兴趣；学生在教师的引导下自主学习、分组讨论、参与实践，重视学生在学习中的主体地位。强化实践教学环节，各环节落实课程思政，培养学生树立“大国三农”情怀、生态文明和绿色发展理念。</w:t>
      </w:r>
    </w:p>
    <w:p w14:paraId="1BB115AA" w14:textId="77777777" w:rsidR="00F5289E" w:rsidRDefault="00C91173">
      <w:pPr>
        <w:spacing w:line="360" w:lineRule="auto"/>
        <w:ind w:firstLine="390"/>
        <w:rPr>
          <w:rFonts w:ascii="宋体" w:hAnsi="宋体" w:cs="宋体"/>
          <w:bCs/>
          <w:kern w:val="0"/>
          <w:szCs w:val="21"/>
        </w:rPr>
      </w:pPr>
      <w:r>
        <w:rPr>
          <w:rFonts w:ascii="宋体" w:hAnsi="宋体" w:cs="宋体"/>
          <w:bCs/>
          <w:kern w:val="0"/>
          <w:szCs w:val="21"/>
        </w:rPr>
        <w:t>本课程培养学生掌握蔬菜栽培生理生态、设施环境调控的基本理论、基本知识和栽培管理技术的基本操作技能，培养学生</w:t>
      </w:r>
      <w:r>
        <w:rPr>
          <w:rFonts w:ascii="宋体" w:hAnsi="宋体" w:cs="宋体" w:hint="eastAsia"/>
          <w:bCs/>
          <w:kern w:val="0"/>
          <w:szCs w:val="21"/>
        </w:rPr>
        <w:t>具有观察、发现、分析和解决蔬菜生产中存在问题的能力，具备从事蔬菜教学、科研、生产、企业管理、技术推广和产品营销工作应有的栽培学知识和能力。</w:t>
      </w:r>
    </w:p>
    <w:p w14:paraId="7398D92C" w14:textId="77777777" w:rsidR="00F5289E" w:rsidRDefault="00C91173">
      <w:pPr>
        <w:widowControl/>
        <w:snapToGrid w:val="0"/>
        <w:spacing w:beforeLines="50" w:before="156" w:afterLines="50" w:after="156" w:line="360" w:lineRule="auto"/>
        <w:jc w:val="left"/>
        <w:rPr>
          <w:rFonts w:hAnsi="宋体"/>
          <w:b/>
          <w:bCs/>
          <w:kern w:val="0"/>
          <w:szCs w:val="21"/>
        </w:rPr>
      </w:pPr>
      <w:r>
        <w:rPr>
          <w:rFonts w:hAnsi="宋体"/>
          <w:b/>
          <w:bCs/>
          <w:kern w:val="0"/>
          <w:szCs w:val="21"/>
        </w:rPr>
        <w:t>二、课程教学的基本要求</w:t>
      </w:r>
    </w:p>
    <w:p w14:paraId="49D05296" w14:textId="77777777" w:rsidR="00F5289E" w:rsidRDefault="00C91173">
      <w:pPr>
        <w:widowControl/>
        <w:snapToGrid w:val="0"/>
        <w:spacing w:line="360" w:lineRule="auto"/>
        <w:ind w:firstLineChars="200" w:firstLine="420"/>
        <w:jc w:val="left"/>
        <w:rPr>
          <w:rFonts w:ascii="宋体" w:hAnsi="宋体" w:cs="宋体"/>
          <w:bCs/>
          <w:kern w:val="0"/>
          <w:szCs w:val="21"/>
        </w:rPr>
      </w:pPr>
      <w:r>
        <w:rPr>
          <w:rFonts w:ascii="宋体" w:hAnsi="宋体"/>
          <w:kern w:val="0"/>
          <w:szCs w:val="21"/>
        </w:rPr>
        <w:t>1</w:t>
      </w:r>
      <w:r>
        <w:rPr>
          <w:rFonts w:ascii="宋体" w:hAnsi="宋体" w:hint="eastAsia"/>
          <w:kern w:val="0"/>
          <w:szCs w:val="21"/>
        </w:rPr>
        <w:t>.</w:t>
      </w:r>
      <w:r>
        <w:rPr>
          <w:rFonts w:ascii="宋体" w:hAnsi="宋体"/>
          <w:kern w:val="0"/>
          <w:szCs w:val="21"/>
        </w:rPr>
        <w:t>理论知识方面：</w:t>
      </w:r>
      <w:r>
        <w:rPr>
          <w:rFonts w:ascii="宋体" w:hAnsi="宋体" w:cs="宋体" w:hint="eastAsia"/>
          <w:bCs/>
          <w:kern w:val="0"/>
          <w:szCs w:val="21"/>
        </w:rPr>
        <w:t>了解蔬菜植物的起源和分类方法，了解蔬菜生长发育规律及对环境的要求；熟记蔬菜生长发育理论、生长相关理论、开花坐果理论、产量及品质形成理论、休眠理论，生物非生物胁迫理论，理解这些理论对栽培的指导意义；了解主要蔬菜生物学特性与栽培措施间的关系，理解“蔬菜—设施环境—栽培措施 ”之间的关系及调控的标准与方法</w:t>
      </w:r>
      <w:r>
        <w:rPr>
          <w:rFonts w:ascii="宋体" w:hAnsi="宋体" w:cs="宋体" w:hint="eastAsia"/>
          <w:kern w:val="0"/>
          <w:szCs w:val="21"/>
        </w:rPr>
        <w:t>。</w:t>
      </w:r>
    </w:p>
    <w:p w14:paraId="57FD2A05" w14:textId="77777777" w:rsidR="00F5289E" w:rsidRDefault="00C91173">
      <w:pPr>
        <w:widowControl/>
        <w:snapToGrid w:val="0"/>
        <w:spacing w:line="360" w:lineRule="auto"/>
        <w:ind w:firstLineChars="200" w:firstLine="420"/>
        <w:jc w:val="left"/>
        <w:rPr>
          <w:rFonts w:hAnsi="宋体"/>
          <w:kern w:val="0"/>
          <w:szCs w:val="21"/>
        </w:rPr>
      </w:pPr>
      <w:r>
        <w:rPr>
          <w:kern w:val="0"/>
          <w:szCs w:val="21"/>
        </w:rPr>
        <w:lastRenderedPageBreak/>
        <w:t>2</w:t>
      </w:r>
      <w:r>
        <w:rPr>
          <w:rFonts w:ascii="宋体" w:hAnsi="宋体" w:hint="eastAsia"/>
          <w:kern w:val="0"/>
          <w:szCs w:val="21"/>
        </w:rPr>
        <w:t>.</w:t>
      </w:r>
      <w:r>
        <w:rPr>
          <w:rFonts w:hAnsi="宋体"/>
          <w:kern w:val="0"/>
          <w:szCs w:val="21"/>
        </w:rPr>
        <w:t>实验技能方面：</w:t>
      </w:r>
      <w:r>
        <w:rPr>
          <w:rFonts w:hAnsi="宋体" w:hint="eastAsia"/>
          <w:kern w:val="0"/>
          <w:szCs w:val="21"/>
        </w:rPr>
        <w:t>掌握设施蔬菜建园、茬口安排及整地、育苗、定植、植株调整、保花保果和采收的方法；掌握蔬菜生长形态和生理指标、矿质营养及营养品质指标的测定方法</w:t>
      </w:r>
      <w:r>
        <w:rPr>
          <w:rFonts w:ascii="宋体" w:hAnsi="宋体" w:cs="宋体" w:hint="eastAsia"/>
          <w:bCs/>
          <w:kern w:val="0"/>
          <w:szCs w:val="21"/>
        </w:rPr>
        <w:t>。</w:t>
      </w:r>
    </w:p>
    <w:p w14:paraId="2641E061" w14:textId="77777777" w:rsidR="00F5289E" w:rsidRDefault="00C91173">
      <w:pPr>
        <w:widowControl/>
        <w:snapToGrid w:val="0"/>
        <w:spacing w:beforeLines="50" w:before="156" w:afterLines="50" w:after="156" w:line="360" w:lineRule="auto"/>
        <w:jc w:val="left"/>
        <w:rPr>
          <w:rFonts w:hAnsi="宋体"/>
          <w:b/>
          <w:bCs/>
          <w:kern w:val="0"/>
          <w:szCs w:val="21"/>
        </w:rPr>
      </w:pPr>
      <w:r>
        <w:rPr>
          <w:rFonts w:hAnsi="宋体" w:hint="eastAsia"/>
          <w:b/>
          <w:bCs/>
          <w:kern w:val="0"/>
          <w:szCs w:val="21"/>
        </w:rPr>
        <w:t>三</w:t>
      </w:r>
      <w:r>
        <w:rPr>
          <w:rFonts w:hAnsi="宋体"/>
          <w:b/>
          <w:bCs/>
          <w:kern w:val="0"/>
          <w:szCs w:val="21"/>
        </w:rPr>
        <w:t>、课程</w:t>
      </w:r>
      <w:r>
        <w:rPr>
          <w:rFonts w:hAnsi="宋体" w:hint="eastAsia"/>
          <w:b/>
          <w:bCs/>
          <w:kern w:val="0"/>
          <w:szCs w:val="21"/>
        </w:rPr>
        <w:t>的教学设计</w:t>
      </w:r>
    </w:p>
    <w:p w14:paraId="4849A58E" w14:textId="77777777" w:rsidR="00F5289E" w:rsidRDefault="00C91173">
      <w:pPr>
        <w:widowControl/>
        <w:snapToGrid w:val="0"/>
        <w:spacing w:beforeLines="50" w:before="156" w:afterLines="50" w:after="156" w:line="360" w:lineRule="auto"/>
        <w:ind w:firstLineChars="200" w:firstLine="420"/>
        <w:jc w:val="left"/>
        <w:rPr>
          <w:rFonts w:ascii="宋体" w:hAnsi="宋体" w:cs="宋体"/>
          <w:bCs/>
          <w:kern w:val="0"/>
          <w:szCs w:val="21"/>
        </w:rPr>
      </w:pPr>
      <w:r>
        <w:rPr>
          <w:rFonts w:ascii="宋体" w:hAnsi="宋体" w:cs="宋体" w:hint="eastAsia"/>
          <w:bCs/>
          <w:kern w:val="0"/>
          <w:szCs w:val="21"/>
        </w:rPr>
        <w:t>1</w:t>
      </w:r>
      <w:r>
        <w:rPr>
          <w:rFonts w:ascii="宋体" w:hAnsi="宋体" w:cs="宋体"/>
          <w:bCs/>
          <w:kern w:val="0"/>
          <w:szCs w:val="21"/>
        </w:rPr>
        <w:t>.</w:t>
      </w:r>
      <w:r>
        <w:rPr>
          <w:rFonts w:ascii="宋体" w:hAnsi="宋体" w:cs="宋体" w:hint="eastAsia"/>
          <w:bCs/>
          <w:kern w:val="0"/>
          <w:szCs w:val="21"/>
        </w:rPr>
        <w:t>教学设计说明</w:t>
      </w:r>
    </w:p>
    <w:p w14:paraId="4C611AE4" w14:textId="77777777" w:rsidR="00F5289E" w:rsidRDefault="00C91173">
      <w:pPr>
        <w:widowControl/>
        <w:snapToGrid w:val="0"/>
        <w:spacing w:beforeLines="50" w:before="156" w:afterLines="50" w:after="156" w:line="360" w:lineRule="auto"/>
        <w:ind w:firstLineChars="200" w:firstLine="420"/>
        <w:jc w:val="left"/>
        <w:rPr>
          <w:rFonts w:ascii="宋体" w:hAnsi="宋体" w:cs="宋体"/>
          <w:bCs/>
          <w:kern w:val="0"/>
          <w:szCs w:val="21"/>
        </w:rPr>
      </w:pPr>
      <w:r>
        <w:rPr>
          <w:rFonts w:ascii="宋体" w:hAnsi="宋体" w:cs="宋体" w:hint="eastAsia"/>
          <w:bCs/>
          <w:kern w:val="0"/>
          <w:szCs w:val="21"/>
        </w:rPr>
        <w:t>基于</w:t>
      </w:r>
      <w:r>
        <w:rPr>
          <w:rFonts w:ascii="宋体" w:hAnsi="宋体" w:cs="宋体"/>
          <w:bCs/>
          <w:kern w:val="0"/>
          <w:szCs w:val="21"/>
        </w:rPr>
        <w:t>新农科背景下，《</w:t>
      </w:r>
      <w:r>
        <w:rPr>
          <w:rFonts w:ascii="宋体" w:hAnsi="宋体" w:cs="宋体" w:hint="eastAsia"/>
          <w:bCs/>
          <w:kern w:val="0"/>
          <w:szCs w:val="21"/>
        </w:rPr>
        <w:t>设施蔬菜栽培学</w:t>
      </w:r>
      <w:r>
        <w:rPr>
          <w:rFonts w:ascii="宋体" w:hAnsi="宋体" w:cs="宋体"/>
          <w:bCs/>
          <w:kern w:val="0"/>
          <w:szCs w:val="21"/>
        </w:rPr>
        <w:t>》</w:t>
      </w:r>
      <w:r>
        <w:rPr>
          <w:rFonts w:ascii="宋体" w:hAnsi="宋体" w:cs="宋体" w:hint="eastAsia"/>
          <w:bCs/>
          <w:kern w:val="0"/>
          <w:szCs w:val="21"/>
        </w:rPr>
        <w:t>课程</w:t>
      </w:r>
      <w:r>
        <w:rPr>
          <w:rFonts w:ascii="宋体" w:hAnsi="宋体" w:cs="宋体"/>
          <w:bCs/>
          <w:kern w:val="0"/>
          <w:szCs w:val="21"/>
        </w:rPr>
        <w:t>教学</w:t>
      </w:r>
      <w:r>
        <w:rPr>
          <w:rFonts w:ascii="宋体" w:hAnsi="宋体" w:cs="宋体" w:hint="eastAsia"/>
          <w:bCs/>
          <w:kern w:val="0"/>
          <w:szCs w:val="21"/>
        </w:rPr>
        <w:t>是</w:t>
      </w:r>
      <w:r>
        <w:rPr>
          <w:rFonts w:ascii="宋体" w:hAnsi="宋体" w:cs="宋体"/>
          <w:bCs/>
          <w:kern w:val="0"/>
          <w:szCs w:val="21"/>
        </w:rPr>
        <w:t>紧紧围绕教育部提出的“</w:t>
      </w:r>
      <w:r>
        <w:rPr>
          <w:rFonts w:ascii="宋体" w:hAnsi="宋体" w:cs="宋体" w:hint="eastAsia"/>
          <w:bCs/>
          <w:kern w:val="0"/>
          <w:szCs w:val="21"/>
        </w:rPr>
        <w:t>两性</w:t>
      </w:r>
      <w:r>
        <w:rPr>
          <w:rFonts w:ascii="宋体" w:hAnsi="宋体" w:cs="宋体"/>
          <w:bCs/>
          <w:kern w:val="0"/>
          <w:szCs w:val="21"/>
        </w:rPr>
        <w:t>一度”</w:t>
      </w:r>
      <w:r>
        <w:rPr>
          <w:rFonts w:ascii="宋体" w:hAnsi="宋体" w:cs="宋体" w:hint="eastAsia"/>
          <w:bCs/>
          <w:kern w:val="0"/>
          <w:szCs w:val="21"/>
        </w:rPr>
        <w:t>新要求</w:t>
      </w:r>
      <w:r>
        <w:rPr>
          <w:rFonts w:ascii="宋体" w:hAnsi="宋体" w:cs="宋体"/>
          <w:bCs/>
          <w:kern w:val="0"/>
          <w:szCs w:val="21"/>
        </w:rPr>
        <w:t>而进行设计的，体现出“</w:t>
      </w:r>
      <w:r>
        <w:rPr>
          <w:rFonts w:ascii="宋体" w:hAnsi="宋体" w:cs="宋体" w:hint="eastAsia"/>
          <w:bCs/>
          <w:kern w:val="0"/>
          <w:szCs w:val="21"/>
        </w:rPr>
        <w:t>高阶</w:t>
      </w:r>
      <w:r>
        <w:rPr>
          <w:rFonts w:ascii="宋体" w:hAnsi="宋体" w:cs="宋体"/>
          <w:bCs/>
          <w:kern w:val="0"/>
          <w:szCs w:val="21"/>
        </w:rPr>
        <w:t>性、创新性和挑战度”</w:t>
      </w:r>
      <w:r>
        <w:rPr>
          <w:rFonts w:ascii="宋体" w:hAnsi="宋体" w:cs="宋体" w:hint="eastAsia"/>
          <w:bCs/>
          <w:kern w:val="0"/>
          <w:szCs w:val="21"/>
        </w:rPr>
        <w:t>。</w:t>
      </w:r>
    </w:p>
    <w:p w14:paraId="445182A8" w14:textId="77777777" w:rsidR="00F5289E" w:rsidRDefault="00C91173">
      <w:pPr>
        <w:widowControl/>
        <w:snapToGrid w:val="0"/>
        <w:spacing w:beforeLines="50" w:before="156" w:afterLines="50" w:after="156" w:line="360" w:lineRule="auto"/>
        <w:ind w:firstLineChars="200" w:firstLine="420"/>
        <w:jc w:val="left"/>
        <w:rPr>
          <w:rFonts w:ascii="宋体" w:hAnsi="宋体" w:cs="宋体"/>
          <w:bCs/>
          <w:kern w:val="0"/>
          <w:szCs w:val="21"/>
        </w:rPr>
      </w:pPr>
      <w:r>
        <w:rPr>
          <w:rFonts w:ascii="宋体" w:hAnsi="宋体" w:cs="宋体" w:hint="eastAsia"/>
          <w:bCs/>
          <w:kern w:val="0"/>
          <w:szCs w:val="21"/>
        </w:rPr>
        <w:t>在</w:t>
      </w:r>
      <w:r>
        <w:rPr>
          <w:rFonts w:ascii="宋体" w:hAnsi="宋体" w:cs="宋体"/>
          <w:bCs/>
          <w:kern w:val="0"/>
          <w:szCs w:val="21"/>
        </w:rPr>
        <w:t>教学目标达成上，要求完成知识、能力和素质三个维度的教学目标。</w:t>
      </w:r>
      <w:r>
        <w:rPr>
          <w:rFonts w:ascii="宋体" w:hAnsi="宋体" w:cs="宋体" w:hint="eastAsia"/>
          <w:bCs/>
          <w:kern w:val="0"/>
          <w:szCs w:val="21"/>
        </w:rPr>
        <w:t>首先</w:t>
      </w:r>
      <w:r>
        <w:rPr>
          <w:rFonts w:ascii="宋体" w:hAnsi="宋体" w:cs="宋体"/>
          <w:bCs/>
          <w:kern w:val="0"/>
          <w:szCs w:val="21"/>
        </w:rPr>
        <w:t>在知识目标</w:t>
      </w:r>
      <w:r>
        <w:rPr>
          <w:rFonts w:ascii="宋体" w:hAnsi="宋体" w:cs="宋体" w:hint="eastAsia"/>
          <w:bCs/>
          <w:kern w:val="0"/>
          <w:szCs w:val="21"/>
        </w:rPr>
        <w:t>达成</w:t>
      </w:r>
      <w:r>
        <w:rPr>
          <w:rFonts w:ascii="宋体" w:hAnsi="宋体" w:cs="宋体"/>
          <w:bCs/>
          <w:kern w:val="0"/>
          <w:szCs w:val="21"/>
        </w:rPr>
        <w:t>上，要求同学们能够熟练掌握</w:t>
      </w:r>
      <w:r>
        <w:rPr>
          <w:rFonts w:ascii="宋体" w:hAnsi="宋体" w:cs="宋体" w:hint="eastAsia"/>
          <w:bCs/>
          <w:kern w:val="0"/>
          <w:szCs w:val="21"/>
        </w:rPr>
        <w:t>从</w:t>
      </w:r>
      <w:r>
        <w:rPr>
          <w:rFonts w:ascii="宋体" w:hAnsi="宋体" w:cs="宋体"/>
          <w:bCs/>
          <w:kern w:val="0"/>
          <w:szCs w:val="21"/>
        </w:rPr>
        <w:t>“</w:t>
      </w:r>
      <w:r>
        <w:rPr>
          <w:rFonts w:ascii="宋体" w:hAnsi="宋体" w:cs="宋体" w:hint="eastAsia"/>
          <w:bCs/>
          <w:kern w:val="0"/>
          <w:szCs w:val="21"/>
        </w:rPr>
        <w:t>一粒</w:t>
      </w:r>
      <w:r>
        <w:rPr>
          <w:rFonts w:ascii="宋体" w:hAnsi="宋体" w:cs="宋体"/>
          <w:bCs/>
          <w:kern w:val="0"/>
          <w:szCs w:val="21"/>
        </w:rPr>
        <w:t>种子到</w:t>
      </w:r>
      <w:r>
        <w:rPr>
          <w:rFonts w:ascii="宋体" w:hAnsi="宋体" w:cs="宋体" w:hint="eastAsia"/>
          <w:bCs/>
          <w:kern w:val="0"/>
          <w:szCs w:val="21"/>
        </w:rPr>
        <w:t>产品</w:t>
      </w:r>
      <w:r>
        <w:rPr>
          <w:rFonts w:ascii="宋体" w:hAnsi="宋体" w:cs="宋体"/>
          <w:bCs/>
          <w:kern w:val="0"/>
          <w:szCs w:val="21"/>
        </w:rPr>
        <w:t>”</w:t>
      </w:r>
      <w:r>
        <w:rPr>
          <w:rFonts w:ascii="宋体" w:hAnsi="宋体" w:cs="宋体" w:hint="eastAsia"/>
          <w:bCs/>
          <w:kern w:val="0"/>
          <w:szCs w:val="21"/>
        </w:rPr>
        <w:t>的</w:t>
      </w:r>
      <w:r>
        <w:rPr>
          <w:rFonts w:ascii="宋体" w:hAnsi="宋体" w:cs="宋体"/>
          <w:bCs/>
          <w:kern w:val="0"/>
          <w:szCs w:val="21"/>
        </w:rPr>
        <w:t>全程实践操作技能，并掌握其中的</w:t>
      </w:r>
      <w:r>
        <w:rPr>
          <w:rFonts w:ascii="宋体" w:hAnsi="宋体" w:cs="宋体" w:hint="eastAsia"/>
          <w:bCs/>
          <w:kern w:val="0"/>
          <w:szCs w:val="21"/>
        </w:rPr>
        <w:t>栽培</w:t>
      </w:r>
      <w:r>
        <w:rPr>
          <w:rFonts w:ascii="宋体" w:hAnsi="宋体" w:cs="宋体"/>
          <w:bCs/>
          <w:kern w:val="0"/>
          <w:szCs w:val="21"/>
        </w:rPr>
        <w:t>原理</w:t>
      </w:r>
      <w:r>
        <w:rPr>
          <w:rFonts w:ascii="宋体" w:hAnsi="宋体" w:cs="宋体" w:hint="eastAsia"/>
          <w:bCs/>
          <w:kern w:val="0"/>
          <w:szCs w:val="21"/>
        </w:rPr>
        <w:t>。</w:t>
      </w:r>
      <w:r>
        <w:rPr>
          <w:rFonts w:ascii="宋体" w:hAnsi="宋体" w:cs="宋体"/>
          <w:bCs/>
          <w:kern w:val="0"/>
          <w:szCs w:val="21"/>
        </w:rPr>
        <w:t>在</w:t>
      </w:r>
      <w:r>
        <w:rPr>
          <w:rFonts w:ascii="宋体" w:hAnsi="宋体" w:cs="宋体" w:hint="eastAsia"/>
          <w:bCs/>
          <w:kern w:val="0"/>
          <w:szCs w:val="21"/>
        </w:rPr>
        <w:t>能力</w:t>
      </w:r>
      <w:r>
        <w:rPr>
          <w:rFonts w:ascii="宋体" w:hAnsi="宋体" w:cs="宋体"/>
          <w:bCs/>
          <w:kern w:val="0"/>
          <w:szCs w:val="21"/>
        </w:rPr>
        <w:t>目标达成上，</w:t>
      </w:r>
      <w:r>
        <w:rPr>
          <w:rFonts w:ascii="宋体" w:hAnsi="宋体" w:cs="宋体" w:hint="eastAsia"/>
          <w:bCs/>
          <w:kern w:val="0"/>
          <w:szCs w:val="21"/>
        </w:rPr>
        <w:t>培养</w:t>
      </w:r>
      <w:r>
        <w:rPr>
          <w:rFonts w:ascii="宋体" w:hAnsi="宋体" w:cs="宋体"/>
          <w:bCs/>
          <w:kern w:val="0"/>
          <w:szCs w:val="21"/>
        </w:rPr>
        <w:t>学生观察、发现、分析、解决问题</w:t>
      </w:r>
      <w:r>
        <w:rPr>
          <w:rFonts w:ascii="宋体" w:hAnsi="宋体" w:cs="宋体" w:hint="eastAsia"/>
          <w:bCs/>
          <w:kern w:val="0"/>
          <w:szCs w:val="21"/>
        </w:rPr>
        <w:t>的</w:t>
      </w:r>
      <w:r>
        <w:rPr>
          <w:rFonts w:ascii="宋体" w:hAnsi="宋体" w:cs="宋体"/>
          <w:bCs/>
          <w:kern w:val="0"/>
          <w:szCs w:val="21"/>
        </w:rPr>
        <w:t>能力</w:t>
      </w:r>
      <w:r>
        <w:rPr>
          <w:rFonts w:ascii="宋体" w:hAnsi="宋体" w:cs="宋体" w:hint="eastAsia"/>
          <w:bCs/>
          <w:kern w:val="0"/>
          <w:szCs w:val="21"/>
        </w:rPr>
        <w:t>，</w:t>
      </w:r>
      <w:r>
        <w:rPr>
          <w:rFonts w:ascii="宋体" w:hAnsi="宋体" w:cs="宋体"/>
          <w:bCs/>
          <w:kern w:val="0"/>
          <w:szCs w:val="21"/>
        </w:rPr>
        <w:t>能辩证看待</w:t>
      </w:r>
      <w:r>
        <w:rPr>
          <w:rFonts w:ascii="宋体" w:hAnsi="宋体" w:cs="宋体" w:hint="eastAsia"/>
          <w:bCs/>
          <w:kern w:val="0"/>
          <w:szCs w:val="21"/>
        </w:rPr>
        <w:t>栽培模式</w:t>
      </w:r>
      <w:r>
        <w:rPr>
          <w:rFonts w:ascii="宋体" w:hAnsi="宋体" w:cs="宋体"/>
          <w:bCs/>
          <w:kern w:val="0"/>
          <w:szCs w:val="21"/>
        </w:rPr>
        <w:t>的优点</w:t>
      </w:r>
      <w:r>
        <w:rPr>
          <w:rFonts w:ascii="宋体" w:hAnsi="宋体" w:cs="宋体" w:hint="eastAsia"/>
          <w:bCs/>
          <w:kern w:val="0"/>
          <w:szCs w:val="21"/>
        </w:rPr>
        <w:t>和</w:t>
      </w:r>
      <w:r>
        <w:rPr>
          <w:rFonts w:ascii="宋体" w:hAnsi="宋体" w:cs="宋体"/>
          <w:bCs/>
          <w:kern w:val="0"/>
          <w:szCs w:val="21"/>
        </w:rPr>
        <w:t>缺点</w:t>
      </w:r>
      <w:r>
        <w:rPr>
          <w:rFonts w:ascii="宋体" w:hAnsi="宋体" w:cs="宋体" w:hint="eastAsia"/>
          <w:bCs/>
          <w:kern w:val="0"/>
          <w:szCs w:val="21"/>
        </w:rPr>
        <w:t>，</w:t>
      </w:r>
      <w:r>
        <w:rPr>
          <w:rFonts w:ascii="宋体" w:hAnsi="宋体" w:cs="宋体"/>
          <w:bCs/>
          <w:kern w:val="0"/>
          <w:szCs w:val="21"/>
        </w:rPr>
        <w:t>结合学科前沿思考</w:t>
      </w:r>
      <w:r>
        <w:rPr>
          <w:rFonts w:ascii="宋体" w:hAnsi="宋体" w:cs="宋体" w:hint="eastAsia"/>
          <w:bCs/>
          <w:kern w:val="0"/>
          <w:szCs w:val="21"/>
        </w:rPr>
        <w:t>解决</w:t>
      </w:r>
      <w:r>
        <w:rPr>
          <w:rFonts w:ascii="宋体" w:hAnsi="宋体" w:cs="宋体"/>
          <w:bCs/>
          <w:kern w:val="0"/>
          <w:szCs w:val="21"/>
        </w:rPr>
        <w:t>问题的能力</w:t>
      </w:r>
      <w:r>
        <w:rPr>
          <w:rFonts w:ascii="宋体" w:hAnsi="宋体" w:cs="宋体" w:hint="eastAsia"/>
          <w:bCs/>
          <w:kern w:val="0"/>
          <w:szCs w:val="21"/>
        </w:rPr>
        <w:t>。</w:t>
      </w:r>
      <w:r>
        <w:rPr>
          <w:rFonts w:ascii="宋体" w:hAnsi="宋体" w:cs="宋体"/>
          <w:bCs/>
          <w:kern w:val="0"/>
          <w:szCs w:val="21"/>
        </w:rPr>
        <w:t>在</w:t>
      </w:r>
      <w:r>
        <w:rPr>
          <w:rFonts w:ascii="宋体" w:hAnsi="宋体" w:cs="宋体" w:hint="eastAsia"/>
          <w:bCs/>
          <w:kern w:val="0"/>
          <w:szCs w:val="21"/>
        </w:rPr>
        <w:t>素质</w:t>
      </w:r>
      <w:r>
        <w:rPr>
          <w:rFonts w:ascii="宋体" w:hAnsi="宋体" w:cs="宋体"/>
          <w:bCs/>
          <w:kern w:val="0"/>
          <w:szCs w:val="21"/>
        </w:rPr>
        <w:t>目标达成上，通过本课程的学习，</w:t>
      </w:r>
      <w:r>
        <w:rPr>
          <w:rFonts w:ascii="宋体" w:hAnsi="宋体" w:cs="宋体" w:hint="eastAsia"/>
          <w:bCs/>
          <w:kern w:val="0"/>
          <w:szCs w:val="21"/>
        </w:rPr>
        <w:t>培养</w:t>
      </w:r>
      <w:r>
        <w:rPr>
          <w:rFonts w:ascii="宋体" w:hAnsi="宋体" w:cs="宋体"/>
          <w:bCs/>
          <w:kern w:val="0"/>
          <w:szCs w:val="21"/>
        </w:rPr>
        <w:t>学生树立“</w:t>
      </w:r>
      <w:r>
        <w:rPr>
          <w:rFonts w:ascii="宋体" w:hAnsi="宋体" w:cs="宋体" w:hint="eastAsia"/>
          <w:bCs/>
          <w:kern w:val="0"/>
          <w:szCs w:val="21"/>
        </w:rPr>
        <w:t>大国</w:t>
      </w:r>
      <w:r>
        <w:rPr>
          <w:rFonts w:ascii="宋体" w:hAnsi="宋体" w:cs="宋体"/>
          <w:bCs/>
          <w:kern w:val="0"/>
          <w:szCs w:val="21"/>
        </w:rPr>
        <w:t>三农”</w:t>
      </w:r>
      <w:r>
        <w:rPr>
          <w:rFonts w:ascii="宋体" w:hAnsi="宋体" w:cs="宋体" w:hint="eastAsia"/>
          <w:bCs/>
          <w:kern w:val="0"/>
          <w:szCs w:val="21"/>
        </w:rPr>
        <w:t>情怀、</w:t>
      </w:r>
      <w:r>
        <w:rPr>
          <w:rFonts w:hint="eastAsia"/>
        </w:rPr>
        <w:t>生态文明和绿色发展理念</w:t>
      </w:r>
      <w:r>
        <w:rPr>
          <w:rFonts w:ascii="宋体" w:hAnsi="宋体" w:cs="宋体"/>
          <w:bCs/>
          <w:kern w:val="0"/>
          <w:szCs w:val="21"/>
        </w:rPr>
        <w:t>。</w:t>
      </w:r>
    </w:p>
    <w:p w14:paraId="060E3B1B" w14:textId="77777777" w:rsidR="00F5289E" w:rsidRDefault="00C91173">
      <w:pPr>
        <w:widowControl/>
        <w:snapToGrid w:val="0"/>
        <w:spacing w:beforeLines="50" w:before="156" w:afterLines="50" w:after="156" w:line="360" w:lineRule="auto"/>
        <w:ind w:firstLineChars="200" w:firstLine="420"/>
        <w:rPr>
          <w:rFonts w:ascii="宋体" w:hAnsi="宋体" w:cs="宋体"/>
          <w:bCs/>
          <w:kern w:val="0"/>
          <w:szCs w:val="21"/>
        </w:rPr>
      </w:pPr>
      <w:r>
        <w:rPr>
          <w:rFonts w:ascii="宋体" w:hAnsi="宋体" w:cs="宋体" w:hint="eastAsia"/>
          <w:bCs/>
          <w:kern w:val="0"/>
          <w:szCs w:val="21"/>
        </w:rPr>
        <w:t>在教学</w:t>
      </w:r>
      <w:r>
        <w:rPr>
          <w:rFonts w:ascii="宋体" w:hAnsi="宋体" w:cs="宋体"/>
          <w:bCs/>
          <w:kern w:val="0"/>
          <w:szCs w:val="21"/>
        </w:rPr>
        <w:t>组织实施过程中，</w:t>
      </w:r>
      <w:r>
        <w:rPr>
          <w:rFonts w:ascii="宋体" w:hAnsi="宋体" w:cs="宋体" w:hint="eastAsia"/>
          <w:bCs/>
          <w:kern w:val="0"/>
          <w:szCs w:val="21"/>
        </w:rPr>
        <w:t>基于“学</w:t>
      </w:r>
      <w:r>
        <w:rPr>
          <w:rFonts w:ascii="宋体" w:hAnsi="宋体" w:cs="宋体"/>
          <w:bCs/>
          <w:kern w:val="0"/>
          <w:szCs w:val="21"/>
        </w:rPr>
        <w:t>、教、做互动</w:t>
      </w:r>
      <w:r>
        <w:rPr>
          <w:rFonts w:ascii="宋体" w:hAnsi="宋体" w:cs="宋体" w:hint="eastAsia"/>
          <w:bCs/>
          <w:kern w:val="0"/>
          <w:szCs w:val="21"/>
        </w:rPr>
        <w:t>”的教学模式，</w:t>
      </w:r>
      <w:r>
        <w:rPr>
          <w:rFonts w:ascii="宋体" w:hAnsi="宋体" w:cs="宋体"/>
          <w:bCs/>
          <w:kern w:val="0"/>
          <w:szCs w:val="21"/>
        </w:rPr>
        <w:t>开展线上线下混合式教学。</w:t>
      </w:r>
      <w:r>
        <w:rPr>
          <w:rFonts w:ascii="宋体" w:hAnsi="宋体" w:cs="宋体" w:hint="eastAsia"/>
          <w:bCs/>
          <w:kern w:val="0"/>
          <w:szCs w:val="21"/>
        </w:rPr>
        <w:t>课前</w:t>
      </w:r>
      <w:r>
        <w:rPr>
          <w:rFonts w:ascii="宋体" w:hAnsi="宋体" w:cs="宋体"/>
          <w:bCs/>
          <w:kern w:val="0"/>
          <w:szCs w:val="21"/>
        </w:rPr>
        <w:t>，教师发布任务、以学定教、</w:t>
      </w:r>
      <w:r>
        <w:rPr>
          <w:rFonts w:ascii="宋体" w:hAnsi="宋体" w:cs="宋体" w:hint="eastAsia"/>
          <w:bCs/>
          <w:kern w:val="0"/>
          <w:szCs w:val="21"/>
        </w:rPr>
        <w:t>进行</w:t>
      </w:r>
      <w:r>
        <w:rPr>
          <w:rFonts w:ascii="宋体" w:hAnsi="宋体" w:cs="宋体"/>
          <w:bCs/>
          <w:kern w:val="0"/>
          <w:szCs w:val="21"/>
        </w:rPr>
        <w:t>准备，</w:t>
      </w:r>
      <w:r>
        <w:rPr>
          <w:rFonts w:ascii="宋体" w:hAnsi="宋体" w:cs="宋体" w:hint="eastAsia"/>
          <w:bCs/>
          <w:kern w:val="0"/>
          <w:szCs w:val="21"/>
        </w:rPr>
        <w:t>学生</w:t>
      </w:r>
      <w:r>
        <w:rPr>
          <w:rFonts w:ascii="宋体" w:hAnsi="宋体" w:cs="宋体"/>
          <w:bCs/>
          <w:kern w:val="0"/>
          <w:szCs w:val="21"/>
        </w:rPr>
        <w:t>自主学习，对知识进行理解；课中师生</w:t>
      </w:r>
      <w:r>
        <w:rPr>
          <w:rFonts w:ascii="宋体" w:hAnsi="宋体" w:cs="宋体" w:hint="eastAsia"/>
          <w:bCs/>
          <w:kern w:val="0"/>
          <w:szCs w:val="21"/>
        </w:rPr>
        <w:t>、</w:t>
      </w:r>
      <w:r>
        <w:rPr>
          <w:rFonts w:ascii="宋体" w:hAnsi="宋体" w:cs="宋体"/>
          <w:bCs/>
          <w:kern w:val="0"/>
          <w:szCs w:val="21"/>
        </w:rPr>
        <w:t>生生互动，突破难点；课后</w:t>
      </w:r>
      <w:r>
        <w:rPr>
          <w:rFonts w:ascii="宋体" w:hAnsi="宋体" w:cs="宋体" w:hint="eastAsia"/>
          <w:bCs/>
          <w:kern w:val="0"/>
          <w:szCs w:val="21"/>
        </w:rPr>
        <w:t>教师</w:t>
      </w:r>
      <w:r>
        <w:rPr>
          <w:rFonts w:ascii="宋体" w:hAnsi="宋体" w:cs="宋体"/>
          <w:bCs/>
          <w:kern w:val="0"/>
          <w:szCs w:val="21"/>
        </w:rPr>
        <w:t>推送拓展资料，线上线下答疑，拔高学生能力。</w:t>
      </w:r>
      <w:r>
        <w:rPr>
          <w:rFonts w:ascii="宋体" w:hAnsi="宋体" w:cs="宋体" w:hint="eastAsia"/>
          <w:bCs/>
          <w:kern w:val="0"/>
          <w:szCs w:val="21"/>
        </w:rPr>
        <w:t>以</w:t>
      </w:r>
      <w:r>
        <w:rPr>
          <w:rFonts w:ascii="宋体" w:hAnsi="宋体" w:cs="宋体"/>
          <w:bCs/>
          <w:kern w:val="0"/>
          <w:szCs w:val="21"/>
        </w:rPr>
        <w:t>学生为中心的全</w:t>
      </w:r>
      <w:r>
        <w:rPr>
          <w:rFonts w:ascii="宋体" w:hAnsi="宋体" w:cs="宋体" w:hint="eastAsia"/>
          <w:bCs/>
          <w:kern w:val="0"/>
          <w:szCs w:val="21"/>
        </w:rPr>
        <w:t>程</w:t>
      </w:r>
      <w:r>
        <w:rPr>
          <w:rFonts w:ascii="宋体" w:hAnsi="宋体" w:cs="宋体"/>
          <w:bCs/>
          <w:kern w:val="0"/>
          <w:szCs w:val="21"/>
        </w:rPr>
        <w:t>参与式学习，完成课程实验、</w:t>
      </w:r>
      <w:r>
        <w:rPr>
          <w:rFonts w:ascii="宋体" w:hAnsi="宋体" w:cs="宋体" w:hint="eastAsia"/>
          <w:bCs/>
          <w:kern w:val="0"/>
          <w:szCs w:val="21"/>
        </w:rPr>
        <w:t>校外参观</w:t>
      </w:r>
      <w:r>
        <w:rPr>
          <w:rFonts w:ascii="宋体" w:hAnsi="宋体" w:cs="宋体"/>
          <w:bCs/>
          <w:kern w:val="0"/>
          <w:szCs w:val="21"/>
        </w:rPr>
        <w:t>实习、嫁接大赛等实践环节，通过审评对比，及时反馈学生</w:t>
      </w:r>
      <w:r>
        <w:rPr>
          <w:rFonts w:ascii="宋体" w:hAnsi="宋体" w:cs="宋体" w:hint="eastAsia"/>
          <w:bCs/>
          <w:kern w:val="0"/>
          <w:szCs w:val="21"/>
        </w:rPr>
        <w:t>实践</w:t>
      </w:r>
      <w:r>
        <w:rPr>
          <w:rFonts w:ascii="宋体" w:hAnsi="宋体" w:cs="宋体"/>
          <w:bCs/>
          <w:kern w:val="0"/>
          <w:szCs w:val="21"/>
        </w:rPr>
        <w:t>操作的掌握情况。</w:t>
      </w:r>
    </w:p>
    <w:p w14:paraId="6AFE26A4" w14:textId="77777777" w:rsidR="00F5289E" w:rsidRDefault="00C91173">
      <w:pPr>
        <w:widowControl/>
        <w:snapToGrid w:val="0"/>
        <w:spacing w:beforeLines="50" w:before="156" w:afterLines="50" w:after="156" w:line="360" w:lineRule="auto"/>
        <w:ind w:firstLineChars="200" w:firstLine="420"/>
        <w:rPr>
          <w:rFonts w:ascii="宋体" w:hAnsi="宋体" w:cs="宋体"/>
          <w:bCs/>
          <w:kern w:val="0"/>
          <w:szCs w:val="21"/>
        </w:rPr>
      </w:pPr>
      <w:r>
        <w:rPr>
          <w:rFonts w:ascii="宋体" w:hAnsi="宋体" w:cs="宋体" w:hint="eastAsia"/>
          <w:bCs/>
          <w:kern w:val="0"/>
          <w:szCs w:val="21"/>
        </w:rPr>
        <w:t>2</w:t>
      </w:r>
      <w:r>
        <w:rPr>
          <w:rFonts w:ascii="宋体" w:hAnsi="宋体" w:cs="宋体"/>
          <w:bCs/>
          <w:kern w:val="0"/>
          <w:szCs w:val="21"/>
        </w:rPr>
        <w:t>.</w:t>
      </w:r>
      <w:r>
        <w:rPr>
          <w:rFonts w:ascii="宋体" w:hAnsi="宋体" w:cs="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509"/>
        <w:gridCol w:w="1389"/>
      </w:tblGrid>
      <w:tr w:rsidR="00F5289E" w14:paraId="6001A7A8"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31D4562" w14:textId="77777777" w:rsidR="00F5289E" w:rsidRDefault="00C91173">
            <w:pPr>
              <w:spacing w:line="320" w:lineRule="exact"/>
              <w:ind w:firstLine="361"/>
              <w:jc w:val="center"/>
              <w:rPr>
                <w:rFonts w:ascii="宋体" w:hAnsi="宋体" w:cs="宋体"/>
                <w:b/>
                <w:bCs/>
                <w:sz w:val="18"/>
                <w:szCs w:val="18"/>
              </w:rPr>
            </w:pPr>
            <w:r>
              <w:rPr>
                <w:rFonts w:ascii="宋体" w:hAnsi="宋体" w:cs="宋体" w:hint="eastAsia"/>
                <w:b/>
                <w:bCs/>
                <w:sz w:val="18"/>
                <w:szCs w:val="18"/>
              </w:rPr>
              <w:t>序号</w:t>
            </w:r>
          </w:p>
        </w:tc>
        <w:tc>
          <w:tcPr>
            <w:tcW w:w="65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4FB9859" w14:textId="77777777" w:rsidR="00F5289E" w:rsidRDefault="00C91173">
            <w:pPr>
              <w:spacing w:line="320" w:lineRule="exact"/>
              <w:ind w:firstLine="361"/>
              <w:jc w:val="center"/>
              <w:rPr>
                <w:rFonts w:ascii="宋体" w:hAnsi="宋体" w:cs="宋体"/>
                <w:b/>
                <w:bCs/>
                <w:sz w:val="18"/>
                <w:szCs w:val="18"/>
              </w:rPr>
            </w:pPr>
            <w:r>
              <w:rPr>
                <w:rFonts w:ascii="宋体" w:hAnsi="宋体" w:cs="宋体" w:hint="eastAsia"/>
                <w:b/>
                <w:bCs/>
                <w:sz w:val="18"/>
                <w:szCs w:val="18"/>
              </w:rPr>
              <w:t>课程目标</w:t>
            </w:r>
          </w:p>
        </w:tc>
        <w:tc>
          <w:tcPr>
            <w:tcW w:w="138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3103658" w14:textId="77777777" w:rsidR="00F5289E" w:rsidRDefault="00C91173">
            <w:pPr>
              <w:spacing w:line="320" w:lineRule="exact"/>
              <w:ind w:firstLine="361"/>
              <w:jc w:val="center"/>
              <w:rPr>
                <w:rFonts w:ascii="宋体" w:hAnsi="宋体" w:cs="宋体"/>
                <w:b/>
                <w:bCs/>
                <w:sz w:val="18"/>
                <w:szCs w:val="18"/>
              </w:rPr>
            </w:pPr>
            <w:r>
              <w:rPr>
                <w:rFonts w:ascii="宋体" w:hAnsi="宋体" w:cs="宋体" w:hint="eastAsia"/>
                <w:b/>
                <w:bCs/>
                <w:sz w:val="18"/>
                <w:szCs w:val="18"/>
              </w:rPr>
              <w:t>毕业要求</w:t>
            </w:r>
          </w:p>
        </w:tc>
      </w:tr>
      <w:tr w:rsidR="00F5289E" w14:paraId="6850E8F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A89C221" w14:textId="77777777" w:rsidR="00F5289E" w:rsidRDefault="00C91173">
            <w:pPr>
              <w:spacing w:line="320" w:lineRule="exact"/>
              <w:ind w:firstLine="360"/>
              <w:jc w:val="center"/>
              <w:rPr>
                <w:rFonts w:eastAsiaTheme="minorEastAsia"/>
                <w:sz w:val="18"/>
                <w:szCs w:val="18"/>
              </w:rPr>
            </w:pPr>
            <w:r>
              <w:rPr>
                <w:rFonts w:eastAsiaTheme="minorEastAsia"/>
                <w:sz w:val="18"/>
                <w:szCs w:val="18"/>
              </w:rPr>
              <w:t>1</w:t>
            </w:r>
          </w:p>
        </w:tc>
        <w:tc>
          <w:tcPr>
            <w:tcW w:w="6509" w:type="dxa"/>
            <w:tcBorders>
              <w:top w:val="single" w:sz="4" w:space="0" w:color="auto"/>
              <w:left w:val="single" w:sz="4" w:space="0" w:color="auto"/>
              <w:bottom w:val="single" w:sz="4" w:space="0" w:color="auto"/>
              <w:right w:val="single" w:sz="4" w:space="0" w:color="auto"/>
            </w:tcBorders>
            <w:vAlign w:val="center"/>
          </w:tcPr>
          <w:p w14:paraId="51E94D9E" w14:textId="77777777" w:rsidR="00F5289E" w:rsidRDefault="00C91173">
            <w:pPr>
              <w:spacing w:line="320" w:lineRule="exact"/>
              <w:ind w:firstLine="360"/>
              <w:jc w:val="left"/>
              <w:rPr>
                <w:rFonts w:eastAsiaTheme="minorEastAsia" w:hAnsiTheme="minorEastAsia"/>
                <w:sz w:val="18"/>
                <w:szCs w:val="18"/>
              </w:rPr>
            </w:pPr>
            <w:r>
              <w:rPr>
                <w:rFonts w:eastAsiaTheme="minorEastAsia" w:hint="eastAsia"/>
                <w:sz w:val="18"/>
                <w:szCs w:val="18"/>
              </w:rPr>
              <w:t>目标</w:t>
            </w:r>
            <w:r>
              <w:rPr>
                <w:rFonts w:eastAsiaTheme="minorEastAsia" w:hint="eastAsia"/>
                <w:sz w:val="18"/>
                <w:szCs w:val="18"/>
              </w:rPr>
              <w:t>1</w:t>
            </w:r>
            <w:r>
              <w:rPr>
                <w:rFonts w:eastAsiaTheme="minorEastAsia" w:hint="eastAsia"/>
                <w:sz w:val="18"/>
                <w:szCs w:val="18"/>
              </w:rPr>
              <w:t>：使学生具备设施条件下栽培植物的基本原理</w:t>
            </w:r>
          </w:p>
        </w:tc>
        <w:tc>
          <w:tcPr>
            <w:tcW w:w="1389" w:type="dxa"/>
            <w:tcBorders>
              <w:top w:val="single" w:sz="4" w:space="0" w:color="auto"/>
              <w:left w:val="single" w:sz="4" w:space="0" w:color="auto"/>
              <w:bottom w:val="single" w:sz="4" w:space="0" w:color="auto"/>
              <w:right w:val="single" w:sz="4" w:space="0" w:color="auto"/>
            </w:tcBorders>
            <w:vAlign w:val="center"/>
          </w:tcPr>
          <w:p w14:paraId="7E539A3C" w14:textId="77777777" w:rsidR="00F5289E" w:rsidRDefault="00C91173">
            <w:pPr>
              <w:spacing w:line="320" w:lineRule="exact"/>
              <w:ind w:firstLine="360"/>
              <w:jc w:val="center"/>
              <w:rPr>
                <w:rFonts w:eastAsiaTheme="minorEastAsia"/>
                <w:sz w:val="18"/>
                <w:szCs w:val="18"/>
              </w:rPr>
            </w:pPr>
            <w:r>
              <w:rPr>
                <w:rFonts w:eastAsiaTheme="minorEastAsia"/>
                <w:sz w:val="18"/>
                <w:szCs w:val="18"/>
              </w:rPr>
              <w:t>1</w:t>
            </w:r>
          </w:p>
        </w:tc>
      </w:tr>
      <w:tr w:rsidR="00F5289E" w14:paraId="6F359137"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0305CDE8" w14:textId="77777777" w:rsidR="00F5289E" w:rsidRDefault="00C91173">
            <w:pPr>
              <w:spacing w:line="320" w:lineRule="exact"/>
              <w:ind w:firstLine="360"/>
              <w:jc w:val="center"/>
              <w:rPr>
                <w:rFonts w:eastAsiaTheme="minorEastAsia"/>
                <w:sz w:val="18"/>
                <w:szCs w:val="18"/>
              </w:rPr>
            </w:pPr>
            <w:r>
              <w:rPr>
                <w:rFonts w:eastAsiaTheme="minorEastAsia"/>
                <w:sz w:val="18"/>
                <w:szCs w:val="18"/>
              </w:rPr>
              <w:t>2</w:t>
            </w:r>
          </w:p>
        </w:tc>
        <w:tc>
          <w:tcPr>
            <w:tcW w:w="6509" w:type="dxa"/>
            <w:tcBorders>
              <w:top w:val="single" w:sz="4" w:space="0" w:color="auto"/>
              <w:left w:val="single" w:sz="4" w:space="0" w:color="auto"/>
              <w:bottom w:val="single" w:sz="4" w:space="0" w:color="auto"/>
              <w:right w:val="single" w:sz="4" w:space="0" w:color="auto"/>
            </w:tcBorders>
            <w:vAlign w:val="center"/>
          </w:tcPr>
          <w:p w14:paraId="10B8FB06" w14:textId="77777777" w:rsidR="00F5289E" w:rsidRDefault="00C91173">
            <w:pPr>
              <w:spacing w:line="320" w:lineRule="exact"/>
              <w:ind w:firstLine="360"/>
              <w:jc w:val="left"/>
              <w:rPr>
                <w:rFonts w:eastAsiaTheme="minorEastAsia" w:hAnsiTheme="minorEastAsia"/>
                <w:sz w:val="18"/>
                <w:szCs w:val="18"/>
                <w:highlight w:val="yellow"/>
              </w:rPr>
            </w:pPr>
            <w:r>
              <w:rPr>
                <w:rFonts w:eastAsiaTheme="minorEastAsia" w:hAnsiTheme="minorEastAsia"/>
                <w:sz w:val="18"/>
                <w:szCs w:val="18"/>
              </w:rPr>
              <w:t>目标</w:t>
            </w:r>
            <w:r>
              <w:rPr>
                <w:rFonts w:eastAsiaTheme="minorEastAsia"/>
                <w:sz w:val="18"/>
                <w:szCs w:val="18"/>
              </w:rPr>
              <w:t>2</w:t>
            </w:r>
            <w:r>
              <w:rPr>
                <w:rFonts w:eastAsiaTheme="minorEastAsia" w:hAnsiTheme="minorEastAsia"/>
                <w:sz w:val="18"/>
                <w:szCs w:val="18"/>
              </w:rPr>
              <w:t>：</w:t>
            </w:r>
            <w:r>
              <w:rPr>
                <w:rFonts w:eastAsiaTheme="minorEastAsia" w:hAnsiTheme="minorEastAsia" w:hint="eastAsia"/>
                <w:sz w:val="18"/>
                <w:szCs w:val="18"/>
              </w:rPr>
              <w:t>通过课程学习，使学生具备对各类蔬菜栽培的实践技能</w:t>
            </w:r>
          </w:p>
        </w:tc>
        <w:tc>
          <w:tcPr>
            <w:tcW w:w="1389" w:type="dxa"/>
            <w:tcBorders>
              <w:top w:val="single" w:sz="4" w:space="0" w:color="auto"/>
              <w:left w:val="single" w:sz="4" w:space="0" w:color="auto"/>
              <w:bottom w:val="single" w:sz="4" w:space="0" w:color="auto"/>
              <w:right w:val="single" w:sz="4" w:space="0" w:color="auto"/>
            </w:tcBorders>
            <w:vAlign w:val="center"/>
          </w:tcPr>
          <w:p w14:paraId="2382E26F" w14:textId="77777777" w:rsidR="00F5289E" w:rsidRDefault="00C91173">
            <w:pPr>
              <w:spacing w:line="320" w:lineRule="exact"/>
              <w:ind w:firstLine="360"/>
              <w:jc w:val="center"/>
              <w:rPr>
                <w:rFonts w:eastAsiaTheme="minorEastAsia"/>
                <w:sz w:val="18"/>
                <w:szCs w:val="18"/>
              </w:rPr>
            </w:pPr>
            <w:r>
              <w:rPr>
                <w:rFonts w:eastAsiaTheme="minorEastAsia"/>
                <w:sz w:val="18"/>
                <w:szCs w:val="18"/>
              </w:rPr>
              <w:t>5</w:t>
            </w:r>
          </w:p>
        </w:tc>
      </w:tr>
      <w:tr w:rsidR="00F5289E" w14:paraId="0F4A2682"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510E376" w14:textId="77777777" w:rsidR="00F5289E" w:rsidRDefault="00C91173">
            <w:pPr>
              <w:spacing w:line="320" w:lineRule="exact"/>
              <w:ind w:firstLine="360"/>
              <w:jc w:val="center"/>
              <w:rPr>
                <w:rFonts w:eastAsiaTheme="minorEastAsia"/>
                <w:sz w:val="18"/>
                <w:szCs w:val="18"/>
              </w:rPr>
            </w:pPr>
            <w:r>
              <w:rPr>
                <w:rFonts w:eastAsiaTheme="minorEastAsia"/>
                <w:sz w:val="18"/>
                <w:szCs w:val="18"/>
              </w:rPr>
              <w:t>3</w:t>
            </w:r>
          </w:p>
        </w:tc>
        <w:tc>
          <w:tcPr>
            <w:tcW w:w="6509" w:type="dxa"/>
            <w:tcBorders>
              <w:top w:val="single" w:sz="4" w:space="0" w:color="auto"/>
              <w:left w:val="single" w:sz="4" w:space="0" w:color="auto"/>
              <w:bottom w:val="single" w:sz="4" w:space="0" w:color="auto"/>
              <w:right w:val="single" w:sz="4" w:space="0" w:color="auto"/>
            </w:tcBorders>
            <w:vAlign w:val="center"/>
          </w:tcPr>
          <w:p w14:paraId="23F32912" w14:textId="77777777" w:rsidR="00F5289E" w:rsidRDefault="00C91173">
            <w:pPr>
              <w:spacing w:line="320" w:lineRule="exact"/>
              <w:ind w:firstLine="360"/>
              <w:jc w:val="left"/>
              <w:rPr>
                <w:rFonts w:eastAsia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int="eastAsia"/>
                <w:sz w:val="18"/>
                <w:szCs w:val="18"/>
              </w:rPr>
              <w:t>通过课程学习，使学生具备发现问题、分析问题和解决问题的能力，培养学生“大国三农”情怀、</w:t>
            </w:r>
            <w:r>
              <w:rPr>
                <w:rFonts w:hint="eastAsia"/>
                <w:sz w:val="18"/>
                <w:szCs w:val="18"/>
              </w:rPr>
              <w:t>生态文明和绿色发展理念</w:t>
            </w:r>
            <w:r>
              <w:rPr>
                <w:rFonts w:eastAsiaTheme="minorEastAsia" w:hint="eastAsia"/>
                <w:sz w:val="18"/>
                <w:szCs w:val="18"/>
              </w:rPr>
              <w:t>。</w:t>
            </w:r>
          </w:p>
        </w:tc>
        <w:tc>
          <w:tcPr>
            <w:tcW w:w="1389" w:type="dxa"/>
            <w:tcBorders>
              <w:top w:val="single" w:sz="4" w:space="0" w:color="auto"/>
              <w:left w:val="single" w:sz="4" w:space="0" w:color="auto"/>
              <w:bottom w:val="single" w:sz="4" w:space="0" w:color="auto"/>
              <w:right w:val="single" w:sz="4" w:space="0" w:color="auto"/>
            </w:tcBorders>
            <w:vAlign w:val="center"/>
          </w:tcPr>
          <w:p w14:paraId="427B4D1D" w14:textId="77777777" w:rsidR="00F5289E" w:rsidRDefault="00C91173">
            <w:pPr>
              <w:spacing w:line="320" w:lineRule="exact"/>
              <w:ind w:firstLine="360"/>
              <w:jc w:val="center"/>
              <w:rPr>
                <w:rFonts w:eastAsiaTheme="minorEastAsia"/>
                <w:sz w:val="18"/>
                <w:szCs w:val="18"/>
              </w:rPr>
            </w:pPr>
            <w:r>
              <w:rPr>
                <w:rFonts w:eastAsiaTheme="minorEastAsia"/>
                <w:sz w:val="18"/>
                <w:szCs w:val="18"/>
              </w:rPr>
              <w:t>2</w:t>
            </w:r>
          </w:p>
        </w:tc>
      </w:tr>
    </w:tbl>
    <w:p w14:paraId="2AB3FBF4" w14:textId="77777777" w:rsidR="00F5289E" w:rsidRDefault="00C91173">
      <w:pPr>
        <w:widowControl/>
        <w:snapToGrid w:val="0"/>
        <w:spacing w:beforeLines="50" w:before="156" w:afterLines="50" w:after="156" w:line="360" w:lineRule="auto"/>
        <w:jc w:val="left"/>
        <w:rPr>
          <w:rFonts w:ascii="宋体" w:hAnsi="宋体" w:cs="宋体"/>
          <w:b/>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color w:val="000000"/>
          <w:kern w:val="0"/>
          <w:szCs w:val="21"/>
        </w:rPr>
        <w:t>4</w:t>
      </w:r>
      <w:r>
        <w:rPr>
          <w:rFonts w:hAnsi="宋体"/>
          <w:b/>
          <w:bCs/>
          <w:color w:val="000000"/>
          <w:kern w:val="0"/>
          <w:szCs w:val="21"/>
        </w:rPr>
        <w:t>6</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629A01C" w14:textId="77777777">
        <w:trPr>
          <w:trHeight w:val="270"/>
        </w:trPr>
        <w:tc>
          <w:tcPr>
            <w:tcW w:w="2965" w:type="dxa"/>
            <w:tcBorders>
              <w:top w:val="nil"/>
              <w:left w:val="nil"/>
              <w:bottom w:val="nil"/>
              <w:right w:val="nil"/>
            </w:tcBorders>
            <w:vAlign w:val="center"/>
          </w:tcPr>
          <w:p w14:paraId="55D5985B"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E42B74B"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607EA91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35F03A53"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教学目标</w:t>
      </w:r>
      <w:r>
        <w:rPr>
          <w:rFonts w:asciiTheme="minorEastAsia" w:eastAsiaTheme="minorEastAsia" w:hAnsiTheme="minorEastAsia" w:cstheme="minorEastAsia" w:hint="eastAsia"/>
          <w:color w:val="353535"/>
          <w:kern w:val="0"/>
          <w:szCs w:val="21"/>
        </w:rPr>
        <w:t>：使学生初步了解设施蔬菜栽培学的概念、任务；了解设施蔬菜与人民生活的密切关系，蔬菜生产在国民经济中的重要地位；了解国内外设施蔬菜生产和科研概况、我国设施蔬菜生产与</w:t>
      </w:r>
      <w:r>
        <w:rPr>
          <w:rFonts w:asciiTheme="minorEastAsia" w:eastAsiaTheme="minorEastAsia" w:hAnsiTheme="minorEastAsia" w:cstheme="minorEastAsia" w:hint="eastAsia"/>
          <w:color w:val="353535"/>
          <w:kern w:val="0"/>
          <w:szCs w:val="21"/>
        </w:rPr>
        <w:lastRenderedPageBreak/>
        <w:t>发达国家的差距，明确今后的任务和奋斗目标；激发学生热爱蔬菜事业、献身蔬菜科学和事业的热情。</w:t>
      </w:r>
    </w:p>
    <w:p w14:paraId="5BFA4835"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教学难点和重点</w:t>
      </w:r>
      <w:r>
        <w:rPr>
          <w:rFonts w:asciiTheme="minorEastAsia" w:eastAsiaTheme="minorEastAsia" w:hAnsiTheme="minorEastAsia" w:cstheme="minorEastAsia" w:hint="eastAsia"/>
          <w:color w:val="353535"/>
          <w:kern w:val="0"/>
          <w:szCs w:val="21"/>
        </w:rPr>
        <w:t>：蔬菜的概念及包括的范围、设施蔬菜栽培学的任务；我国设施蔬菜发展的现状、存在问题、发展趋势。</w:t>
      </w:r>
    </w:p>
    <w:p w14:paraId="2BB11317"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szCs w:val="21"/>
        </w:rPr>
        <w:t>主要教学内容及要求：</w:t>
      </w:r>
      <w:r>
        <w:rPr>
          <w:rFonts w:asciiTheme="minorEastAsia" w:eastAsiaTheme="minorEastAsia" w:hAnsiTheme="minorEastAsia" w:cstheme="minorEastAsia" w:hint="eastAsia"/>
          <w:color w:val="353535"/>
          <w:kern w:val="0"/>
          <w:szCs w:val="21"/>
        </w:rPr>
        <w:t>了解蔬菜、设施蔬菜栽培的概念，理解蔬菜与人们生活的关系，掌握设施蔬菜在国民经济中的地位和作用。了解设施蔬菜栽培的发展历史，现状，掌握设施蔬菜栽培存在的问题与发展趋势。</w:t>
      </w:r>
    </w:p>
    <w:p w14:paraId="43361A2B"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szCs w:val="21"/>
        </w:rPr>
        <w:t>教学组织与实施：</w:t>
      </w:r>
      <w:r>
        <w:rPr>
          <w:rFonts w:asciiTheme="minorEastAsia" w:eastAsiaTheme="minorEastAsia" w:hAnsiTheme="minorEastAsia" w:cstheme="minorEastAsia" w:hint="eastAsia"/>
          <w:color w:val="353535"/>
          <w:kern w:val="0"/>
          <w:szCs w:val="21"/>
        </w:rPr>
        <w:t>利用多媒体设备，对设施农业历史、现状和发展趋势等基本知识进行讲解；课前安排学生了解国内外设施农业现状、蔬菜与人们健康和国民经济发展的关系，课堂上就本课程的重要性及本专业前景的认识进行提问和讨论。</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57943B6C" w14:textId="77777777">
        <w:trPr>
          <w:trHeight w:val="270"/>
        </w:trPr>
        <w:tc>
          <w:tcPr>
            <w:tcW w:w="2831" w:type="dxa"/>
            <w:tcBorders>
              <w:top w:val="nil"/>
              <w:left w:val="nil"/>
              <w:bottom w:val="nil"/>
              <w:right w:val="nil"/>
            </w:tcBorders>
            <w:vAlign w:val="center"/>
          </w:tcPr>
          <w:p w14:paraId="0D96C209"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6B9E81A6"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第一章</w:t>
            </w:r>
            <w:r>
              <w:rPr>
                <w:rFonts w:hAnsi="宋体" w:hint="eastAsia"/>
                <w:b/>
                <w:bCs/>
                <w:kern w:val="0"/>
                <w:szCs w:val="21"/>
              </w:rPr>
              <w:t xml:space="preserve">  </w:t>
            </w:r>
            <w:r>
              <w:rPr>
                <w:rFonts w:hAnsi="宋体" w:hint="eastAsia"/>
                <w:b/>
                <w:bCs/>
                <w:kern w:val="0"/>
                <w:szCs w:val="21"/>
              </w:rPr>
              <w:t>设施蔬菜栽培生物学基础</w:t>
            </w:r>
          </w:p>
        </w:tc>
        <w:tc>
          <w:tcPr>
            <w:tcW w:w="2804" w:type="dxa"/>
            <w:tcBorders>
              <w:top w:val="nil"/>
              <w:left w:val="nil"/>
              <w:bottom w:val="nil"/>
              <w:right w:val="nil"/>
            </w:tcBorders>
            <w:vAlign w:val="center"/>
          </w:tcPr>
          <w:p w14:paraId="3AE0A7D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1</w:t>
            </w:r>
            <w:r>
              <w:rPr>
                <w:rFonts w:hAnsi="宋体"/>
                <w:b/>
                <w:bCs/>
                <w:kern w:val="0"/>
                <w:szCs w:val="21"/>
              </w:rPr>
              <w:t>2</w:t>
            </w:r>
          </w:p>
        </w:tc>
      </w:tr>
    </w:tbl>
    <w:p w14:paraId="6CB88748"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教学目标：</w:t>
      </w:r>
      <w:r>
        <w:rPr>
          <w:rFonts w:asciiTheme="minorEastAsia" w:eastAsiaTheme="minorEastAsia" w:hAnsiTheme="minorEastAsia" w:cstheme="minorEastAsia" w:hint="eastAsia"/>
          <w:color w:val="353535"/>
          <w:kern w:val="0"/>
          <w:szCs w:val="21"/>
        </w:rPr>
        <w:t>了解蔬菜的分类方法；理解蔬菜起源地环境条件与蔬菜栽培环境调控的关系；理解蔬菜植物生长发育与环境的相互关系，掌握产量形成、提高品质的原理及途径。</w:t>
      </w:r>
    </w:p>
    <w:p w14:paraId="7E2AC851"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教学重点和难点：</w:t>
      </w:r>
      <w:r>
        <w:rPr>
          <w:rFonts w:asciiTheme="minorEastAsia" w:eastAsiaTheme="minorEastAsia" w:hAnsiTheme="minorEastAsia" w:cstheme="minorEastAsia" w:hint="eastAsia"/>
          <w:color w:val="353535"/>
          <w:kern w:val="0"/>
          <w:szCs w:val="21"/>
        </w:rPr>
        <w:t>本章重点内容为蔬菜的种类、分类，一、二年生蔬菜的个体发育过程，蔬菜的生长相关性对栽培的指导作用，蔬菜对温、光、水、肥、气等环境条件的要求，影响蔬菜产量与品质的因素等。难点为蔬菜的分类、春化作用理论、光周期生态型、生长相关性对栽培指导作用、蔬菜个体发育与原产地环境条件的关系、产量形成理论等。</w:t>
      </w:r>
    </w:p>
    <w:p w14:paraId="4A53D2AC" w14:textId="77777777" w:rsidR="00F5289E" w:rsidRDefault="00C91173">
      <w:pPr>
        <w:widowControl/>
        <w:spacing w:line="360" w:lineRule="auto"/>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主要教学内容及要求：</w:t>
      </w:r>
    </w:p>
    <w:p w14:paraId="0CC5E515" w14:textId="77777777" w:rsidR="00F5289E" w:rsidRDefault="00C91173">
      <w:pPr>
        <w:widowControl/>
        <w:adjustRightInd w:val="0"/>
        <w:snapToGrid w:val="0"/>
        <w:spacing w:line="36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第一节蔬菜的分类 </w:t>
      </w:r>
      <w:r>
        <w:rPr>
          <w:rFonts w:asciiTheme="minorEastAsia" w:eastAsiaTheme="minorEastAsia" w:hAnsiTheme="minorEastAsia" w:cstheme="minorEastAsia" w:hint="eastAsia"/>
          <w:b/>
          <w:bCs/>
          <w:kern w:val="0"/>
          <w:szCs w:val="21"/>
        </w:rPr>
        <w:t xml:space="preserve"> </w:t>
      </w:r>
      <w:r>
        <w:rPr>
          <w:rFonts w:asciiTheme="minorEastAsia" w:eastAsiaTheme="minorEastAsia" w:hAnsiTheme="minorEastAsia" w:cstheme="minorEastAsia"/>
          <w:b/>
          <w:bCs/>
          <w:kern w:val="0"/>
          <w:szCs w:val="21"/>
        </w:rPr>
        <w:t>2</w:t>
      </w:r>
      <w:r>
        <w:rPr>
          <w:rFonts w:asciiTheme="minorEastAsia" w:eastAsiaTheme="minorEastAsia" w:hAnsiTheme="minorEastAsia" w:cstheme="minorEastAsia" w:hint="eastAsia"/>
          <w:b/>
          <w:bCs/>
          <w:kern w:val="0"/>
          <w:szCs w:val="21"/>
        </w:rPr>
        <w:t>.5学时</w:t>
      </w:r>
    </w:p>
    <w:p w14:paraId="1EF20CE1"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了解世界蔬菜种、栽培种、普遍栽培种的数量；</w:t>
      </w:r>
    </w:p>
    <w:p w14:paraId="46E4DAB2"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理解蔬菜三种分类方法的优缺点；</w:t>
      </w:r>
    </w:p>
    <w:p w14:paraId="54A6B907"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掌握蔬菜分类的方法，各类蔬菜植物学分类地位、食用产品器官；</w:t>
      </w:r>
    </w:p>
    <w:p w14:paraId="1B151DA2"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熟练掌握农业生物学分类法。</w:t>
      </w:r>
    </w:p>
    <w:p w14:paraId="141E8C66"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第二节蔬菜植物的起源 </w:t>
      </w:r>
      <w:r>
        <w:rPr>
          <w:rFonts w:asciiTheme="minorEastAsia" w:eastAsiaTheme="minorEastAsia" w:hAnsiTheme="minorEastAsia" w:cstheme="minorEastAsia" w:hint="eastAsia"/>
          <w:b/>
          <w:bCs/>
          <w:kern w:val="0"/>
          <w:szCs w:val="21"/>
        </w:rPr>
        <w:t>0.5学时</w:t>
      </w:r>
    </w:p>
    <w:p w14:paraId="72FCCF89"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了解世界蔬菜起源中心，我国蔬菜分布区域；</w:t>
      </w:r>
    </w:p>
    <w:p w14:paraId="67B2BA98"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理解遗传的稳定性与变异性的关系；</w:t>
      </w:r>
    </w:p>
    <w:p w14:paraId="4EAD54ED"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理解蔬菜起源地环境条件与蔬菜栽培设施环境条件相一致的原因；</w:t>
      </w:r>
    </w:p>
    <w:p w14:paraId="6A9FDDAA"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熟练掌握依据蔬菜植物起源地环境特点推断蔬菜对环境条件要求的方法。</w:t>
      </w:r>
    </w:p>
    <w:p w14:paraId="1207AD3C"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第三节蔬菜生长发育及生长相关性 </w:t>
      </w:r>
      <w:r>
        <w:rPr>
          <w:rFonts w:asciiTheme="minorEastAsia" w:eastAsiaTheme="minorEastAsia" w:hAnsiTheme="minorEastAsia" w:cstheme="minorEastAsia" w:hint="eastAsia"/>
          <w:b/>
          <w:bCs/>
          <w:kern w:val="0"/>
          <w:szCs w:val="21"/>
        </w:rPr>
        <w:t xml:space="preserve"> </w:t>
      </w:r>
      <w:r>
        <w:rPr>
          <w:rFonts w:asciiTheme="minorEastAsia" w:eastAsiaTheme="minorEastAsia" w:hAnsiTheme="minorEastAsia" w:cstheme="minorEastAsia"/>
          <w:b/>
          <w:bCs/>
          <w:kern w:val="0"/>
          <w:szCs w:val="21"/>
        </w:rPr>
        <w:t>4</w:t>
      </w:r>
      <w:r>
        <w:rPr>
          <w:rFonts w:asciiTheme="minorEastAsia" w:eastAsiaTheme="minorEastAsia" w:hAnsiTheme="minorEastAsia" w:cstheme="minorEastAsia" w:hint="eastAsia"/>
          <w:b/>
          <w:bCs/>
          <w:kern w:val="0"/>
          <w:szCs w:val="21"/>
        </w:rPr>
        <w:t>学时</w:t>
      </w:r>
    </w:p>
    <w:p w14:paraId="4B8D8E8B"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了解生长、发育的基本概念，理解生长、发育的区别与联系；</w:t>
      </w:r>
    </w:p>
    <w:p w14:paraId="10A249BC"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lastRenderedPageBreak/>
        <w:t>了解一年生、二年生和多年生蔬菜的生长发育过程，掌握不同生育阶段的生长特点及对栽培调控措施的要求；</w:t>
      </w:r>
    </w:p>
    <w:p w14:paraId="3CF35F9A"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了解蔬菜由营养生长向生殖生长转化的5大学说，掌握春化作用、光周期诱导学说的内涵、条件及对设施栽培、引种、繁种的指导作用</w:t>
      </w:r>
    </w:p>
    <w:p w14:paraId="5FA77A86"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了解蔬菜植物器官之间物质和能量的运输关系，理解其矛盾的对立性和统一性关系，熟练掌握依据蔬菜植物器官生长相关性指导蔬菜生产的方法。</w:t>
      </w:r>
    </w:p>
    <w:p w14:paraId="37144FE1"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第四节蔬菜植物对环境条件的要求 </w:t>
      </w:r>
      <w:r>
        <w:rPr>
          <w:rFonts w:asciiTheme="minorEastAsia" w:eastAsiaTheme="minorEastAsia" w:hAnsiTheme="minorEastAsia" w:cstheme="minorEastAsia" w:hint="eastAsia"/>
          <w:b/>
          <w:bCs/>
          <w:kern w:val="0"/>
          <w:szCs w:val="21"/>
        </w:rPr>
        <w:t xml:space="preserve"> 3学时</w:t>
      </w:r>
    </w:p>
    <w:p w14:paraId="2149457B"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了解不同蔬菜对温度、光照、水分、气体条件的要求，理解温度、光照、水分、气体及土壤微生物之间的相互关系，了解有害气体对蔬菜植物的危害性；</w:t>
      </w:r>
    </w:p>
    <w:p w14:paraId="12FB31E3"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理解设施环境条件时空变化与蔬菜植物对环境条件要求的差异与调控；</w:t>
      </w:r>
    </w:p>
    <w:p w14:paraId="49B59FC4"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了解蔬菜产品器官形成对环境条件的要求，掌握调控设施环境条件的途径和方法；</w:t>
      </w:r>
    </w:p>
    <w:p w14:paraId="57BEF4EC"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FF0000"/>
          <w:kern w:val="0"/>
          <w:szCs w:val="21"/>
        </w:rPr>
      </w:pPr>
      <w:r>
        <w:rPr>
          <w:rFonts w:asciiTheme="minorEastAsia" w:eastAsiaTheme="minorEastAsia" w:hAnsiTheme="minorEastAsia" w:cstheme="minorEastAsia" w:hint="eastAsia"/>
          <w:color w:val="353535"/>
          <w:kern w:val="0"/>
          <w:szCs w:val="21"/>
        </w:rPr>
        <w:t>熟练掌握设施CO</w:t>
      </w:r>
      <w:r>
        <w:rPr>
          <w:rFonts w:asciiTheme="minorEastAsia" w:eastAsiaTheme="minorEastAsia" w:hAnsiTheme="minorEastAsia" w:cstheme="minorEastAsia" w:hint="eastAsia"/>
          <w:color w:val="353535"/>
          <w:kern w:val="0"/>
          <w:szCs w:val="21"/>
          <w:vertAlign w:val="subscript"/>
        </w:rPr>
        <w:t>2</w:t>
      </w:r>
      <w:r>
        <w:rPr>
          <w:rFonts w:asciiTheme="minorEastAsia" w:eastAsiaTheme="minorEastAsia" w:hAnsiTheme="minorEastAsia" w:cstheme="minorEastAsia" w:hint="eastAsia"/>
          <w:color w:val="353535"/>
          <w:kern w:val="0"/>
          <w:szCs w:val="21"/>
        </w:rPr>
        <w:t>施肥的原理和方法，掌握预测、预防有害气体对设施蔬菜植物危害的方法。</w:t>
      </w:r>
    </w:p>
    <w:p w14:paraId="53C6EFF4"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第五节蔬菜的产量形成 </w:t>
      </w:r>
      <w:r>
        <w:rPr>
          <w:rFonts w:asciiTheme="minorEastAsia" w:eastAsiaTheme="minorEastAsia" w:hAnsiTheme="minorEastAsia" w:cstheme="minorEastAsia" w:hint="eastAsia"/>
          <w:b/>
          <w:bCs/>
          <w:kern w:val="0"/>
          <w:szCs w:val="21"/>
        </w:rPr>
        <w:t xml:space="preserve"> </w:t>
      </w:r>
      <w:r>
        <w:rPr>
          <w:rFonts w:asciiTheme="minorEastAsia" w:eastAsiaTheme="minorEastAsia" w:hAnsiTheme="minorEastAsia" w:cstheme="minorEastAsia"/>
          <w:b/>
          <w:bCs/>
          <w:kern w:val="0"/>
          <w:szCs w:val="21"/>
        </w:rPr>
        <w:t>1</w:t>
      </w:r>
      <w:r>
        <w:rPr>
          <w:rFonts w:asciiTheme="minorEastAsia" w:eastAsiaTheme="minorEastAsia" w:hAnsiTheme="minorEastAsia" w:cstheme="minorEastAsia" w:hint="eastAsia"/>
          <w:b/>
          <w:bCs/>
          <w:kern w:val="0"/>
          <w:szCs w:val="21"/>
        </w:rPr>
        <w:t>学时</w:t>
      </w:r>
    </w:p>
    <w:p w14:paraId="11F044E7"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了解蔬菜产量的含义，蔬菜产量构成的因素；</w:t>
      </w:r>
    </w:p>
    <w:p w14:paraId="498FFC8D"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理解叶面积指数及净同化率对产量形成的重要性；</w:t>
      </w:r>
    </w:p>
    <w:p w14:paraId="33D894A0"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掌握光合性能的概念及影响光合性能的因素；</w:t>
      </w:r>
    </w:p>
    <w:p w14:paraId="16CA8B14" w14:textId="77777777" w:rsidR="00F5289E" w:rsidRDefault="00C91173">
      <w:pPr>
        <w:widowControl/>
        <w:spacing w:line="360" w:lineRule="auto"/>
        <w:ind w:firstLineChars="200" w:firstLine="420"/>
        <w:jc w:val="left"/>
        <w:rPr>
          <w:rFonts w:asciiTheme="minorEastAsia" w:eastAsiaTheme="minorEastAsia" w:hAnsiTheme="minorEastAsia" w:cstheme="minorEastAsia"/>
          <w:b/>
          <w:bCs/>
          <w:color w:val="000000"/>
          <w:kern w:val="0"/>
          <w:szCs w:val="21"/>
        </w:rPr>
      </w:pPr>
      <w:r>
        <w:rPr>
          <w:rFonts w:asciiTheme="minorEastAsia" w:eastAsiaTheme="minorEastAsia" w:hAnsiTheme="minorEastAsia" w:cstheme="minorEastAsia" w:hint="eastAsia"/>
          <w:color w:val="000000"/>
          <w:kern w:val="0"/>
          <w:szCs w:val="21"/>
        </w:rPr>
        <w:t>熟练掌握提高光合性能的途径和方法。</w:t>
      </w:r>
    </w:p>
    <w:p w14:paraId="734646A5"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第六节  提高蔬菜品质的原理与技术 </w:t>
      </w:r>
      <w:r>
        <w:rPr>
          <w:rFonts w:asciiTheme="minorEastAsia" w:eastAsiaTheme="minorEastAsia" w:hAnsiTheme="minorEastAsia" w:cstheme="minorEastAsia" w:hint="eastAsia"/>
          <w:b/>
          <w:bCs/>
          <w:kern w:val="0"/>
          <w:szCs w:val="21"/>
        </w:rPr>
        <w:t xml:space="preserve"> </w:t>
      </w:r>
      <w:r>
        <w:rPr>
          <w:rFonts w:asciiTheme="minorEastAsia" w:eastAsiaTheme="minorEastAsia" w:hAnsiTheme="minorEastAsia" w:cstheme="minorEastAsia"/>
          <w:b/>
          <w:bCs/>
          <w:kern w:val="0"/>
          <w:szCs w:val="21"/>
        </w:rPr>
        <w:t>1</w:t>
      </w:r>
      <w:r>
        <w:rPr>
          <w:rFonts w:asciiTheme="minorEastAsia" w:eastAsiaTheme="minorEastAsia" w:hAnsiTheme="minorEastAsia" w:cstheme="minorEastAsia" w:hint="eastAsia"/>
          <w:b/>
          <w:bCs/>
          <w:kern w:val="0"/>
          <w:szCs w:val="21"/>
        </w:rPr>
        <w:t>学时</w:t>
      </w:r>
    </w:p>
    <w:p w14:paraId="6A11139C"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了解蔬菜产品质量安全等级的划分；</w:t>
      </w:r>
    </w:p>
    <w:p w14:paraId="2C2A48A0"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理解蔬菜品质的内涵；</w:t>
      </w:r>
    </w:p>
    <w:p w14:paraId="6D30ECC0"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掌握影响蔬菜品质的因素；</w:t>
      </w:r>
    </w:p>
    <w:p w14:paraId="08F77EA9"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熟练掌握提高蔬菜品质的途径和措施。</w:t>
      </w:r>
    </w:p>
    <w:p w14:paraId="19C2C515" w14:textId="77777777" w:rsidR="00F5289E" w:rsidRDefault="00C91173">
      <w:pPr>
        <w:widowControl/>
        <w:spacing w:line="360" w:lineRule="auto"/>
        <w:jc w:val="left"/>
        <w:rPr>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学习通平台</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基本概念和知识点的学习；</w:t>
      </w:r>
      <w:r>
        <w:rPr>
          <w:rFonts w:asciiTheme="minorEastAsia" w:eastAsiaTheme="minorEastAsia" w:hAnsiTheme="minorEastAsia" w:cstheme="minorEastAsia" w:hint="eastAsia"/>
          <w:color w:val="353535"/>
          <w:kern w:val="0"/>
          <w:szCs w:val="21"/>
        </w:rPr>
        <w:t>以讲解法和案例分析法为主，对重点和难点知识进行讲述；利用所学知识，对生产上设施蔬菜管理存在的问题提出改进建议。</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4AD3CB61" w14:textId="77777777">
        <w:trPr>
          <w:trHeight w:val="270"/>
        </w:trPr>
        <w:tc>
          <w:tcPr>
            <w:tcW w:w="2831" w:type="dxa"/>
            <w:tcBorders>
              <w:top w:val="nil"/>
              <w:left w:val="nil"/>
              <w:bottom w:val="nil"/>
              <w:right w:val="nil"/>
            </w:tcBorders>
            <w:vAlign w:val="center"/>
          </w:tcPr>
          <w:p w14:paraId="600F6622"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49CE0656"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第二章</w:t>
            </w:r>
            <w:r>
              <w:rPr>
                <w:rFonts w:hAnsi="宋体" w:hint="eastAsia"/>
                <w:b/>
                <w:bCs/>
                <w:kern w:val="0"/>
                <w:szCs w:val="21"/>
              </w:rPr>
              <w:t xml:space="preserve">  </w:t>
            </w:r>
            <w:r>
              <w:rPr>
                <w:rFonts w:hAnsi="宋体" w:hint="eastAsia"/>
                <w:b/>
                <w:bCs/>
                <w:kern w:val="0"/>
                <w:szCs w:val="21"/>
              </w:rPr>
              <w:t>设施蔬菜育苗</w:t>
            </w:r>
          </w:p>
        </w:tc>
        <w:tc>
          <w:tcPr>
            <w:tcW w:w="2804" w:type="dxa"/>
            <w:tcBorders>
              <w:top w:val="nil"/>
              <w:left w:val="nil"/>
              <w:bottom w:val="nil"/>
              <w:right w:val="nil"/>
            </w:tcBorders>
            <w:vAlign w:val="center"/>
          </w:tcPr>
          <w:p w14:paraId="7FD5DEDD"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3A2E3542" w14:textId="77777777" w:rsidR="00F5289E" w:rsidRDefault="00F5289E">
      <w:pPr>
        <w:widowControl/>
        <w:snapToGrid w:val="0"/>
        <w:spacing w:line="360" w:lineRule="auto"/>
        <w:jc w:val="right"/>
        <w:rPr>
          <w:rFonts w:hAnsi="宋体"/>
          <w:b/>
          <w:bCs/>
          <w:kern w:val="0"/>
          <w:szCs w:val="21"/>
        </w:rPr>
      </w:pPr>
    </w:p>
    <w:p w14:paraId="19BE09D5" w14:textId="77777777" w:rsidR="00F5289E" w:rsidRDefault="00C91173">
      <w:pPr>
        <w:widowControl/>
        <w:spacing w:line="360" w:lineRule="auto"/>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b/>
          <w:bCs/>
          <w:color w:val="353535"/>
          <w:kern w:val="0"/>
          <w:szCs w:val="21"/>
        </w:rPr>
        <w:lastRenderedPageBreak/>
        <w:t>教学目标：</w:t>
      </w:r>
      <w:r>
        <w:rPr>
          <w:rFonts w:asciiTheme="minorEastAsia" w:eastAsiaTheme="minorEastAsia" w:hAnsiTheme="minorEastAsia" w:cstheme="minorEastAsia" w:hint="eastAsia"/>
          <w:color w:val="353535"/>
          <w:kern w:val="0"/>
          <w:szCs w:val="21"/>
        </w:rPr>
        <w:t>了解蔬菜生产上“种子”内涵，了解种子质量评价的内容，了解蔬菜种子播前处理的内容，了解蔬菜穴盘育苗的设施和设备及基质材料；掌握种子质量评价的方法；熟练掌握种子播种培育蔬菜自根苗的穴盘育苗技术。</w:t>
      </w:r>
    </w:p>
    <w:p w14:paraId="2A8BF697"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教学重点和难点：</w:t>
      </w:r>
      <w:r>
        <w:rPr>
          <w:rFonts w:asciiTheme="minorEastAsia" w:eastAsiaTheme="minorEastAsia" w:hAnsiTheme="minorEastAsia" w:cstheme="minorEastAsia" w:hint="eastAsia"/>
          <w:color w:val="353535"/>
          <w:kern w:val="0"/>
          <w:szCs w:val="21"/>
        </w:rPr>
        <w:t>本章的重点难点是蔬菜种子播前处理技术、培育自根苗的水肥及环境条件调控技术。</w:t>
      </w:r>
    </w:p>
    <w:p w14:paraId="567FB9E6" w14:textId="77777777" w:rsidR="00F5289E" w:rsidRDefault="00C91173">
      <w:pPr>
        <w:pStyle w:val="13"/>
        <w:widowControl/>
        <w:spacing w:line="360" w:lineRule="auto"/>
        <w:ind w:firstLineChars="0" w:firstLine="0"/>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bCs/>
          <w:szCs w:val="21"/>
        </w:rPr>
        <w:t>主要教学内容及要求：</w:t>
      </w:r>
      <w:r>
        <w:rPr>
          <w:rFonts w:asciiTheme="minorEastAsia" w:eastAsiaTheme="minorEastAsia" w:hAnsiTheme="minorEastAsia" w:cstheme="minorEastAsia" w:hint="eastAsia"/>
          <w:kern w:val="0"/>
          <w:szCs w:val="21"/>
        </w:rPr>
        <w:t xml:space="preserve">第一节  蔬菜种子与播前处理 </w:t>
      </w:r>
      <w:r>
        <w:rPr>
          <w:rFonts w:asciiTheme="minorEastAsia" w:eastAsiaTheme="minorEastAsia" w:hAnsiTheme="minorEastAsia" w:cstheme="minorEastAsia" w:hint="eastAsia"/>
          <w:b/>
          <w:kern w:val="0"/>
          <w:szCs w:val="21"/>
        </w:rPr>
        <w:t>0.5学时</w:t>
      </w:r>
    </w:p>
    <w:p w14:paraId="7D0B8B7C"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了解种子的含义；</w:t>
      </w:r>
    </w:p>
    <w:p w14:paraId="3EF31992"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理解种子质量评价的内容；</w:t>
      </w:r>
    </w:p>
    <w:p w14:paraId="0F28C3E5"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掌握种子质量评价的方法。</w:t>
      </w:r>
    </w:p>
    <w:p w14:paraId="29EFD11B" w14:textId="77777777" w:rsidR="00F5289E" w:rsidRDefault="00C91173">
      <w:pPr>
        <w:widowControl/>
        <w:spacing w:line="360" w:lineRule="auto"/>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kern w:val="0"/>
          <w:szCs w:val="21"/>
        </w:rPr>
        <w:t xml:space="preserve">第二节 </w:t>
      </w:r>
      <w:r>
        <w:rPr>
          <w:rFonts w:hint="eastAsia"/>
          <w:sz w:val="24"/>
        </w:rPr>
        <w:t>种子播前处理</w:t>
      </w:r>
      <w:r>
        <w:rPr>
          <w:rFonts w:hint="eastAsia"/>
          <w:sz w:val="24"/>
        </w:rPr>
        <w:t xml:space="preserve">  </w:t>
      </w:r>
      <w:r>
        <w:rPr>
          <w:rFonts w:asciiTheme="minorEastAsia" w:eastAsiaTheme="minorEastAsia" w:hAnsiTheme="minorEastAsia" w:cstheme="minorEastAsia" w:hint="eastAsia"/>
          <w:b/>
          <w:kern w:val="0"/>
          <w:szCs w:val="21"/>
        </w:rPr>
        <w:t>1学时</w:t>
      </w:r>
    </w:p>
    <w:p w14:paraId="7035B306" w14:textId="77777777" w:rsidR="00F5289E" w:rsidRDefault="00C91173">
      <w:pPr>
        <w:widowControl/>
        <w:spacing w:line="360" w:lineRule="auto"/>
        <w:ind w:firstLine="422"/>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了解种子播前处理的内容；</w:t>
      </w:r>
    </w:p>
    <w:p w14:paraId="5721F28D" w14:textId="77777777" w:rsidR="00F5289E" w:rsidRDefault="00C91173">
      <w:pPr>
        <w:widowControl/>
        <w:spacing w:line="360" w:lineRule="auto"/>
        <w:ind w:firstLine="422"/>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理解种子播前处理的原理。</w:t>
      </w:r>
    </w:p>
    <w:p w14:paraId="4C62F159" w14:textId="77777777" w:rsidR="00F5289E" w:rsidRDefault="00C91173">
      <w:pPr>
        <w:widowControl/>
        <w:spacing w:line="360"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第三节 蔬菜穴盘育苗 </w:t>
      </w:r>
      <w:r>
        <w:rPr>
          <w:rFonts w:asciiTheme="minorEastAsia" w:eastAsiaTheme="minorEastAsia" w:hAnsiTheme="minorEastAsia" w:cstheme="minorEastAsia"/>
          <w:b/>
          <w:kern w:val="0"/>
          <w:szCs w:val="21"/>
        </w:rPr>
        <w:t>0.5</w:t>
      </w:r>
      <w:r>
        <w:rPr>
          <w:rFonts w:asciiTheme="minorEastAsia" w:eastAsiaTheme="minorEastAsia" w:hAnsiTheme="minorEastAsia" w:cstheme="minorEastAsia" w:hint="eastAsia"/>
          <w:b/>
          <w:kern w:val="0"/>
          <w:szCs w:val="21"/>
        </w:rPr>
        <w:t>学时</w:t>
      </w:r>
    </w:p>
    <w:p w14:paraId="0AD1D347"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了解育苗设施、设备及基质材料。</w:t>
      </w:r>
    </w:p>
    <w:p w14:paraId="2EA30C82" w14:textId="77777777" w:rsidR="00F5289E" w:rsidRDefault="00C91173">
      <w:pPr>
        <w:widowControl/>
        <w:spacing w:line="360" w:lineRule="auto"/>
        <w:ind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了解穴盘育苗工艺流程；</w:t>
      </w:r>
    </w:p>
    <w:p w14:paraId="4023962B" w14:textId="77777777" w:rsidR="00F5289E" w:rsidRDefault="00C91173">
      <w:pPr>
        <w:widowControl/>
        <w:spacing w:line="360" w:lineRule="auto"/>
        <w:ind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掌握穴盘育苗的操作技术；</w:t>
      </w:r>
    </w:p>
    <w:p w14:paraId="3044B947" w14:textId="77777777" w:rsidR="00F5289E" w:rsidRDefault="00C91173">
      <w:pPr>
        <w:widowControl/>
        <w:spacing w:line="360" w:lineRule="auto"/>
        <w:ind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熟练掌握穴盘育苗水分、温度、光照管理技术要点。</w:t>
      </w:r>
    </w:p>
    <w:p w14:paraId="5784A179" w14:textId="77777777" w:rsidR="00F5289E" w:rsidRDefault="00C91173">
      <w:pPr>
        <w:widowControl/>
        <w:spacing w:line="360"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基本概念和知识点的学习。</w:t>
      </w:r>
      <w:r>
        <w:rPr>
          <w:rFonts w:asciiTheme="minorEastAsia" w:eastAsiaTheme="minorEastAsia" w:hAnsiTheme="minorEastAsia" w:cstheme="minorEastAsia" w:hint="eastAsia"/>
          <w:kern w:val="0"/>
          <w:szCs w:val="21"/>
        </w:rPr>
        <w:t>通过视频了解瓜类和茄果类播种培育自根苗工艺流程，通过实验进行自根苗培育实际操作训练，调查出苗率、评价培育壮苗措施的效果。</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w:t>
      </w:r>
      <w:r>
        <w:rPr>
          <w:rFonts w:hint="eastAsia"/>
          <w:kern w:val="0"/>
          <w:szCs w:val="21"/>
        </w:rPr>
        <w:t>以赛促教</w:t>
      </w:r>
      <w:r>
        <w:rPr>
          <w:kern w:val="0"/>
          <w:szCs w:val="21"/>
        </w:rPr>
        <w:t>，提高教学效果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5EE8AB74" w14:textId="77777777">
        <w:trPr>
          <w:trHeight w:val="270"/>
        </w:trPr>
        <w:tc>
          <w:tcPr>
            <w:tcW w:w="2831" w:type="dxa"/>
            <w:tcBorders>
              <w:top w:val="nil"/>
              <w:left w:val="nil"/>
              <w:bottom w:val="nil"/>
              <w:right w:val="nil"/>
            </w:tcBorders>
            <w:vAlign w:val="center"/>
          </w:tcPr>
          <w:p w14:paraId="16338024"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50C7AF1B"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第三章</w:t>
            </w:r>
            <w:r>
              <w:rPr>
                <w:rFonts w:hAnsi="宋体" w:hint="eastAsia"/>
                <w:b/>
                <w:bCs/>
                <w:kern w:val="0"/>
                <w:szCs w:val="21"/>
              </w:rPr>
              <w:t xml:space="preserve">  </w:t>
            </w:r>
            <w:r>
              <w:rPr>
                <w:rFonts w:hAnsi="宋体" w:hint="eastAsia"/>
                <w:b/>
                <w:bCs/>
                <w:kern w:val="0"/>
                <w:szCs w:val="21"/>
              </w:rPr>
              <w:t>设施蔬菜栽培技术基础</w:t>
            </w:r>
          </w:p>
        </w:tc>
        <w:tc>
          <w:tcPr>
            <w:tcW w:w="2804" w:type="dxa"/>
            <w:tcBorders>
              <w:top w:val="nil"/>
              <w:left w:val="nil"/>
              <w:bottom w:val="nil"/>
              <w:right w:val="nil"/>
            </w:tcBorders>
            <w:vAlign w:val="center"/>
          </w:tcPr>
          <w:p w14:paraId="17958A55"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8</w:t>
            </w:r>
          </w:p>
        </w:tc>
      </w:tr>
    </w:tbl>
    <w:p w14:paraId="1F067369"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使学生了解设施蔬菜栽培的基本操作技术；掌握土壤耕作、地面覆盖、定植，肥水管理技术、植株调整技术、保花保果技术，草害防控技术、生长调节剂应用技术。</w:t>
      </w:r>
    </w:p>
    <w:p w14:paraId="558636B2" w14:textId="77777777" w:rsidR="00F5289E" w:rsidRDefault="00C91173">
      <w:pPr>
        <w:widowControl/>
        <w:adjustRightInd w:val="0"/>
        <w:snapToGrid w:val="0"/>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教学重点和难点：</w:t>
      </w:r>
      <w:r>
        <w:rPr>
          <w:rFonts w:asciiTheme="minorEastAsia" w:eastAsiaTheme="minorEastAsia" w:hAnsiTheme="minorEastAsia" w:cstheme="minorEastAsia" w:hint="eastAsia"/>
          <w:color w:val="353535"/>
          <w:kern w:val="0"/>
          <w:szCs w:val="21"/>
        </w:rPr>
        <w:t>本章重点是设施土壤耕作技术、定植技术、水肥一体化技术，营养诊断技术等。难点内容为精确灌水、施肥技术，植物营养诊断等。</w:t>
      </w:r>
    </w:p>
    <w:p w14:paraId="18ED234F" w14:textId="77777777" w:rsidR="00F5289E" w:rsidRDefault="00C91173">
      <w:pPr>
        <w:widowControl/>
        <w:adjustRightInd w:val="0"/>
        <w:snapToGrid w:val="0"/>
        <w:spacing w:line="360" w:lineRule="auto"/>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b/>
          <w:bCs/>
          <w:szCs w:val="21"/>
        </w:rPr>
        <w:t>主要教学内容及要求：</w:t>
      </w:r>
    </w:p>
    <w:p w14:paraId="5C703C9A"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第一节设施土壤耕作与整地 </w:t>
      </w:r>
      <w:r>
        <w:rPr>
          <w:rFonts w:asciiTheme="minorEastAsia" w:eastAsiaTheme="minorEastAsia" w:hAnsiTheme="minorEastAsia" w:cstheme="minorEastAsia" w:hint="eastAsia"/>
          <w:b/>
          <w:bCs/>
          <w:kern w:val="0"/>
          <w:szCs w:val="21"/>
        </w:rPr>
        <w:t xml:space="preserve"> 0.5学时</w:t>
      </w:r>
    </w:p>
    <w:p w14:paraId="58D1D4E8"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了解设施土壤养分状况与淋溶特点；</w:t>
      </w:r>
    </w:p>
    <w:p w14:paraId="04E1B6E1"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lastRenderedPageBreak/>
        <w:t>理解不同土壤耕作的适应性；</w:t>
      </w:r>
    </w:p>
    <w:p w14:paraId="62318D1C"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掌握清园、土壤消毒的方法；</w:t>
      </w:r>
    </w:p>
    <w:p w14:paraId="21FF4DEE"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熟练掌握整地、做垄的方法。</w:t>
      </w:r>
    </w:p>
    <w:p w14:paraId="5A5D665F"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第二节播种、定植、覆膜 </w:t>
      </w:r>
      <w:r>
        <w:rPr>
          <w:rFonts w:asciiTheme="minorEastAsia" w:eastAsiaTheme="minorEastAsia" w:hAnsiTheme="minorEastAsia" w:cstheme="minorEastAsia" w:hint="eastAsia"/>
          <w:b/>
          <w:bCs/>
          <w:kern w:val="0"/>
          <w:szCs w:val="21"/>
        </w:rPr>
        <w:t xml:space="preserve">  0.5学时</w:t>
      </w:r>
    </w:p>
    <w:p w14:paraId="4C2D2C38"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了解确定播种期、定植时期方法，定植水的浇法；</w:t>
      </w:r>
    </w:p>
    <w:p w14:paraId="7C0634C9"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了解定植季节与果菜类苗龄及定植深度的关系，预浇定植水、“坐窝水”、缓苗水的关系及适用条件，定植水与幼苗生长及温度条件的协同与拮抗关系；</w:t>
      </w:r>
    </w:p>
    <w:p w14:paraId="1523F80F"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掌握果菜、叶菜直播的方法，播种量的计算方法；</w:t>
      </w:r>
    </w:p>
    <w:p w14:paraId="1FF026CD" w14:textId="77777777" w:rsidR="00F5289E" w:rsidRDefault="00C91173">
      <w:pPr>
        <w:adjustRightInd w:val="0"/>
        <w:snapToGrid w:val="0"/>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熟练掌握果菜类定植的方法。</w:t>
      </w:r>
    </w:p>
    <w:p w14:paraId="5B0D47A9"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第三节施肥、灌溉  </w:t>
      </w:r>
      <w:r>
        <w:rPr>
          <w:rFonts w:asciiTheme="minorEastAsia" w:eastAsiaTheme="minorEastAsia" w:hAnsiTheme="minorEastAsia" w:cstheme="minorEastAsia" w:hint="eastAsia"/>
          <w:b/>
          <w:bCs/>
          <w:kern w:val="0"/>
          <w:szCs w:val="21"/>
        </w:rPr>
        <w:t>4学时</w:t>
      </w:r>
    </w:p>
    <w:p w14:paraId="2782F949" w14:textId="77777777" w:rsidR="00F5289E" w:rsidRDefault="00C91173">
      <w:pPr>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了解蔬菜目标产量与吸收肥料量的关系，生产上施肥灌溉现状，了解蔬菜不同生育期对矿质营养的吸收特点。土壤水分的表示方法、监测方法。不同生育期对水分的吸收特点。现代灌溉技术设备；</w:t>
      </w:r>
    </w:p>
    <w:p w14:paraId="66A225A8" w14:textId="77777777" w:rsidR="00F5289E" w:rsidRDefault="00C91173">
      <w:pPr>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理解土壤水分状况与地上部、地下部生长的关系；</w:t>
      </w:r>
    </w:p>
    <w:p w14:paraId="758B8A73" w14:textId="77777777" w:rsidR="00F5289E" w:rsidRDefault="00C91173">
      <w:pPr>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掌握底肥种类与施肥方法；</w:t>
      </w:r>
    </w:p>
    <w:p w14:paraId="054B579D" w14:textId="77777777" w:rsidR="00F5289E" w:rsidRDefault="00C91173">
      <w:pPr>
        <w:spacing w:line="360" w:lineRule="auto"/>
        <w:ind w:firstLine="43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熟练掌握蔬菜常见缺素症症状、原因及防治措施，蔬菜水肥一体化设备安装、精准灌溉施肥技术。</w:t>
      </w:r>
    </w:p>
    <w:p w14:paraId="366CE300"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第四节中耕、除草与培土</w:t>
      </w:r>
      <w:r>
        <w:rPr>
          <w:rFonts w:asciiTheme="minorEastAsia" w:eastAsiaTheme="minorEastAsia" w:hAnsiTheme="minorEastAsia" w:cstheme="minorEastAsia" w:hint="eastAsia"/>
          <w:b/>
          <w:bCs/>
          <w:kern w:val="0"/>
          <w:szCs w:val="21"/>
        </w:rPr>
        <w:t xml:space="preserve">  1学时</w:t>
      </w:r>
    </w:p>
    <w:p w14:paraId="0A4D3CFD" w14:textId="77777777" w:rsidR="00F5289E" w:rsidRDefault="00C91173">
      <w:pPr>
        <w:spacing w:line="360" w:lineRule="auto"/>
        <w:ind w:firstLine="431"/>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了解中耕、培土的意义。除草剂的种类、除草剂“漂移”危害；</w:t>
      </w:r>
    </w:p>
    <w:p w14:paraId="50295C0C" w14:textId="77777777" w:rsidR="00F5289E" w:rsidRDefault="00C91173">
      <w:pPr>
        <w:spacing w:line="360" w:lineRule="auto"/>
        <w:ind w:firstLine="431"/>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理解不同除草剂的除草机理；</w:t>
      </w:r>
    </w:p>
    <w:p w14:paraId="5DBD23A8" w14:textId="77777777" w:rsidR="00F5289E" w:rsidRDefault="00C91173">
      <w:pPr>
        <w:spacing w:line="360" w:lineRule="auto"/>
        <w:ind w:firstLine="431"/>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掌握中耕培土的标准和方法；</w:t>
      </w:r>
    </w:p>
    <w:p w14:paraId="3C0DC211" w14:textId="77777777" w:rsidR="00F5289E" w:rsidRDefault="00C91173">
      <w:pPr>
        <w:spacing w:line="360" w:lineRule="auto"/>
        <w:ind w:firstLine="431"/>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熟练掌握主要蔬菜苗期杂草化学防除技术。</w:t>
      </w:r>
    </w:p>
    <w:p w14:paraId="76DADE70"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第五节植株调整  </w:t>
      </w:r>
      <w:r>
        <w:rPr>
          <w:rFonts w:asciiTheme="minorEastAsia" w:eastAsiaTheme="minorEastAsia" w:hAnsiTheme="minorEastAsia" w:cstheme="minorEastAsia" w:hint="eastAsia"/>
          <w:b/>
          <w:bCs/>
          <w:kern w:val="0"/>
          <w:szCs w:val="21"/>
        </w:rPr>
        <w:t>2学时</w:t>
      </w:r>
    </w:p>
    <w:p w14:paraId="45946DD7"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了解蔬菜植株调整的概念、意义，了解蔬菜常用生长调节剂的种类及特性；</w:t>
      </w:r>
    </w:p>
    <w:p w14:paraId="6A46B462"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了解生长调节剂用于蔬菜保花保果、调节花芽分化、促进生长、促进萌芽的机理；</w:t>
      </w:r>
    </w:p>
    <w:p w14:paraId="3583074B"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掌握蔬菜植株调整摘心、打杈、摘叶、疏花、疏果、圧蔓、吊蔓、支架的常用方法；</w:t>
      </w:r>
    </w:p>
    <w:p w14:paraId="7EBB8D1A" w14:textId="77777777" w:rsidR="00F5289E" w:rsidRDefault="00C91173">
      <w:pPr>
        <w:widowControl/>
        <w:adjustRightInd w:val="0"/>
        <w:snapToGrid w:val="0"/>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熟练掌握蔬菜植株调的方法，生长调节剂用于蔬菜保花保果、促进花芽分化的方法。</w:t>
      </w:r>
    </w:p>
    <w:p w14:paraId="7C211BDF"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学习通平台</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基本概念和知识点的学习；</w:t>
      </w:r>
      <w:r>
        <w:rPr>
          <w:rFonts w:asciiTheme="minorEastAsia" w:eastAsiaTheme="minorEastAsia" w:hAnsiTheme="minorEastAsia" w:cstheme="minorEastAsia" w:hint="eastAsia"/>
          <w:color w:val="353535"/>
          <w:kern w:val="0"/>
          <w:szCs w:val="21"/>
        </w:rPr>
        <w:t>采用讲解和实践操作相结合的方法进行，突出蔬菜田间基本操作，在操作中讲要点、在演示中讲要点、学生在实际操作中</w:t>
      </w:r>
      <w:r>
        <w:rPr>
          <w:rFonts w:asciiTheme="minorEastAsia" w:eastAsiaTheme="minorEastAsia" w:hAnsiTheme="minorEastAsia" w:cstheme="minorEastAsia" w:hint="eastAsia"/>
          <w:color w:val="353535"/>
          <w:kern w:val="0"/>
          <w:szCs w:val="21"/>
        </w:rPr>
        <w:lastRenderedPageBreak/>
        <w:t>体会和掌握要点，将理论知识运用到实践，再从实践上升到理论。</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02130805" w14:textId="77777777">
        <w:trPr>
          <w:trHeight w:val="270"/>
        </w:trPr>
        <w:tc>
          <w:tcPr>
            <w:tcW w:w="2831" w:type="dxa"/>
            <w:tcBorders>
              <w:top w:val="nil"/>
              <w:left w:val="nil"/>
              <w:bottom w:val="nil"/>
              <w:right w:val="nil"/>
            </w:tcBorders>
            <w:vAlign w:val="center"/>
          </w:tcPr>
          <w:p w14:paraId="1D373CEA"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6B289D12"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第四章</w:t>
            </w:r>
            <w:r>
              <w:rPr>
                <w:rFonts w:hAnsi="宋体" w:hint="eastAsia"/>
                <w:b/>
                <w:bCs/>
                <w:kern w:val="0"/>
                <w:szCs w:val="21"/>
              </w:rPr>
              <w:t xml:space="preserve">  </w:t>
            </w:r>
            <w:r>
              <w:rPr>
                <w:rFonts w:hAnsi="宋体" w:hint="eastAsia"/>
                <w:b/>
                <w:bCs/>
                <w:kern w:val="0"/>
                <w:szCs w:val="21"/>
              </w:rPr>
              <w:t>设施蔬菜栽培制度</w:t>
            </w:r>
          </w:p>
        </w:tc>
        <w:tc>
          <w:tcPr>
            <w:tcW w:w="2804" w:type="dxa"/>
            <w:tcBorders>
              <w:top w:val="nil"/>
              <w:left w:val="nil"/>
              <w:bottom w:val="nil"/>
              <w:right w:val="nil"/>
            </w:tcBorders>
            <w:vAlign w:val="center"/>
          </w:tcPr>
          <w:p w14:paraId="101EA0F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F274FD4"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教学目标：</w:t>
      </w:r>
      <w:r>
        <w:rPr>
          <w:rFonts w:asciiTheme="minorEastAsia" w:eastAsiaTheme="minorEastAsia" w:hAnsiTheme="minorEastAsia" w:cstheme="minorEastAsia" w:hint="eastAsia"/>
          <w:color w:val="353535"/>
          <w:kern w:val="0"/>
          <w:szCs w:val="21"/>
        </w:rPr>
        <w:t>蔬菜生产的季节性与人们需要的经常性的矛盾，认识设施蔬菜在解决周年供应、提高蔬菜产量和品质中的作用。</w:t>
      </w:r>
    </w:p>
    <w:p w14:paraId="122E51B6"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教学重点和难点：</w:t>
      </w:r>
      <w:r>
        <w:rPr>
          <w:rFonts w:asciiTheme="minorEastAsia" w:eastAsiaTheme="minorEastAsia" w:hAnsiTheme="minorEastAsia" w:cstheme="minorEastAsia" w:hint="eastAsia"/>
          <w:color w:val="353535"/>
          <w:kern w:val="0"/>
          <w:szCs w:val="21"/>
        </w:rPr>
        <w:t>本章重点内容为蔬菜的种植制度、蔬菜淡旺季形成原因及解决途径、设施蔬菜的茬口安排等。难点内容为蔬菜的种植制度、设施蔬菜茬口安排等内容。</w:t>
      </w:r>
    </w:p>
    <w:p w14:paraId="1601677F" w14:textId="77777777" w:rsidR="00F5289E" w:rsidRDefault="00C91173">
      <w:pPr>
        <w:widowControl/>
        <w:spacing w:line="360" w:lineRule="auto"/>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b/>
          <w:bCs/>
          <w:szCs w:val="21"/>
        </w:rPr>
        <w:t>主要教学内容及要求：</w:t>
      </w:r>
    </w:p>
    <w:p w14:paraId="4EEC2557" w14:textId="77777777" w:rsidR="00F5289E" w:rsidRDefault="00C91173">
      <w:pPr>
        <w:widowControl/>
        <w:adjustRightInd w:val="0"/>
        <w:snapToGrid w:val="0"/>
        <w:spacing w:line="36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第一节设施蔬菜栽培的介质类型</w:t>
      </w:r>
      <w:r>
        <w:rPr>
          <w:rFonts w:asciiTheme="minorEastAsia" w:eastAsiaTheme="minorEastAsia" w:hAnsiTheme="minorEastAsia" w:cstheme="minorEastAsia"/>
          <w:b/>
          <w:bCs/>
          <w:kern w:val="0"/>
          <w:szCs w:val="21"/>
        </w:rPr>
        <w:t>0.5</w:t>
      </w:r>
      <w:r>
        <w:rPr>
          <w:rFonts w:asciiTheme="minorEastAsia" w:eastAsiaTheme="minorEastAsia" w:hAnsiTheme="minorEastAsia" w:cstheme="minorEastAsia" w:hint="eastAsia"/>
          <w:b/>
          <w:bCs/>
          <w:kern w:val="0"/>
          <w:szCs w:val="21"/>
        </w:rPr>
        <w:t>学时</w:t>
      </w:r>
    </w:p>
    <w:p w14:paraId="546148E8"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了解土壤栽培和无土栽培的类型；</w:t>
      </w:r>
    </w:p>
    <w:p w14:paraId="3336BF01"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理解各种栽培类型的优缺点。</w:t>
      </w:r>
    </w:p>
    <w:p w14:paraId="564A5138" w14:textId="77777777" w:rsidR="00F5289E" w:rsidRDefault="00C91173">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第二节 设施蔬菜栽培的设施类型 </w:t>
      </w:r>
      <w:r>
        <w:rPr>
          <w:rFonts w:asciiTheme="minorEastAsia" w:eastAsiaTheme="minorEastAsia" w:hAnsiTheme="minorEastAsia" w:cstheme="minorEastAsia"/>
          <w:b/>
          <w:bCs/>
          <w:kern w:val="0"/>
          <w:szCs w:val="21"/>
        </w:rPr>
        <w:t>0.5</w:t>
      </w:r>
      <w:r>
        <w:rPr>
          <w:rFonts w:asciiTheme="minorEastAsia" w:eastAsiaTheme="minorEastAsia" w:hAnsiTheme="minorEastAsia" w:cstheme="minorEastAsia" w:hint="eastAsia"/>
          <w:b/>
          <w:bCs/>
          <w:kern w:val="0"/>
          <w:szCs w:val="21"/>
        </w:rPr>
        <w:t>学时</w:t>
      </w:r>
    </w:p>
    <w:p w14:paraId="7C1AB299" w14:textId="77777777" w:rsidR="00F5289E" w:rsidRDefault="00C91173">
      <w:pPr>
        <w:spacing w:line="360" w:lineRule="auto"/>
        <w:ind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了解蔬菜栽培的设施类型；</w:t>
      </w:r>
    </w:p>
    <w:p w14:paraId="27428EF2" w14:textId="77777777" w:rsidR="00F5289E" w:rsidRDefault="00C91173">
      <w:pPr>
        <w:spacing w:line="360" w:lineRule="auto"/>
        <w:ind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理解各种设施类型的应用条件。</w:t>
      </w:r>
    </w:p>
    <w:p w14:paraId="3F729B07"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第三节设施蔬菜茬口安排</w:t>
      </w:r>
      <w:r>
        <w:rPr>
          <w:rFonts w:asciiTheme="minorEastAsia" w:eastAsiaTheme="minorEastAsia" w:hAnsiTheme="minorEastAsia" w:cstheme="minorEastAsia"/>
          <w:b/>
          <w:bCs/>
          <w:kern w:val="0"/>
          <w:szCs w:val="21"/>
        </w:rPr>
        <w:t>0.5</w:t>
      </w:r>
      <w:r>
        <w:rPr>
          <w:rFonts w:asciiTheme="minorEastAsia" w:eastAsiaTheme="minorEastAsia" w:hAnsiTheme="minorEastAsia" w:cstheme="minorEastAsia" w:hint="eastAsia"/>
          <w:b/>
          <w:bCs/>
          <w:kern w:val="0"/>
          <w:szCs w:val="21"/>
        </w:rPr>
        <w:t>学时</w:t>
      </w:r>
    </w:p>
    <w:p w14:paraId="2AB22F77"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了解设施蔬菜间作、复种现状及效果。栽培制度、轮作、间作、套作、连作、复种的概念；</w:t>
      </w:r>
    </w:p>
    <w:p w14:paraId="10D3AC7E"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理解设计设施蔬菜间套作及复种制度的原理；</w:t>
      </w:r>
    </w:p>
    <w:p w14:paraId="238D2375"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掌握设施蔬菜茬口</w:t>
      </w:r>
      <w:r>
        <w:rPr>
          <w:rFonts w:asciiTheme="minorEastAsia" w:eastAsiaTheme="minorEastAsia" w:hAnsiTheme="minorEastAsia" w:cstheme="minorEastAsia" w:hint="eastAsia"/>
          <w:szCs w:val="21"/>
        </w:rPr>
        <w:t>安排的原理与方法；</w:t>
      </w:r>
    </w:p>
    <w:p w14:paraId="7896167E"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熟练掌握优质设施蔬菜生产的季节与茬次。</w:t>
      </w:r>
    </w:p>
    <w:p w14:paraId="30E9DB8E" w14:textId="77777777" w:rsidR="00F5289E" w:rsidRDefault="00C91173">
      <w:pPr>
        <w:spacing w:line="360" w:lineRule="auto"/>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kern w:val="0"/>
          <w:szCs w:val="21"/>
        </w:rPr>
        <w:t xml:space="preserve">第四节 设施蔬菜立体栽培 </w:t>
      </w:r>
      <w:r>
        <w:rPr>
          <w:rFonts w:asciiTheme="minorEastAsia" w:eastAsiaTheme="minorEastAsia" w:hAnsiTheme="minorEastAsia" w:cstheme="minorEastAsia"/>
          <w:b/>
          <w:kern w:val="0"/>
          <w:szCs w:val="21"/>
        </w:rPr>
        <w:t>0.5</w:t>
      </w:r>
      <w:r>
        <w:rPr>
          <w:rFonts w:asciiTheme="minorEastAsia" w:eastAsiaTheme="minorEastAsia" w:hAnsiTheme="minorEastAsia" w:cstheme="minorEastAsia" w:hint="eastAsia"/>
          <w:b/>
          <w:kern w:val="0"/>
          <w:szCs w:val="21"/>
        </w:rPr>
        <w:t>学时</w:t>
      </w:r>
    </w:p>
    <w:p w14:paraId="1698B320" w14:textId="77777777" w:rsidR="00F5289E" w:rsidRDefault="00C91173">
      <w:pPr>
        <w:spacing w:line="360" w:lineRule="auto"/>
        <w:ind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了解立体栽培的类型与结构；</w:t>
      </w:r>
    </w:p>
    <w:p w14:paraId="7B1C929C" w14:textId="77777777" w:rsidR="00F5289E" w:rsidRDefault="00C91173">
      <w:pPr>
        <w:spacing w:line="360" w:lineRule="auto"/>
        <w:ind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理解立体栽培的应用方法。</w:t>
      </w:r>
    </w:p>
    <w:p w14:paraId="12316F86"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基本概念和知识点的学习，</w:t>
      </w:r>
      <w:r>
        <w:rPr>
          <w:rFonts w:asciiTheme="minorEastAsia" w:eastAsiaTheme="minorEastAsia" w:hAnsiTheme="minorEastAsia" w:cstheme="minorEastAsia" w:hint="eastAsia"/>
          <w:color w:val="353535"/>
          <w:kern w:val="0"/>
          <w:szCs w:val="21"/>
        </w:rPr>
        <w:t>以分组调查</w:t>
      </w:r>
      <w:r>
        <w:rPr>
          <w:rFonts w:asciiTheme="minorEastAsia" w:eastAsiaTheme="minorEastAsia" w:hAnsiTheme="minorEastAsia" w:cstheme="minorEastAsia"/>
          <w:color w:val="353535"/>
          <w:kern w:val="0"/>
          <w:szCs w:val="21"/>
        </w:rPr>
        <w:t>、讨论的方式，</w:t>
      </w:r>
      <w:r>
        <w:rPr>
          <w:rFonts w:asciiTheme="minorEastAsia" w:eastAsiaTheme="minorEastAsia" w:hAnsiTheme="minorEastAsia" w:cstheme="minorEastAsia" w:hint="eastAsia"/>
          <w:color w:val="353535"/>
          <w:kern w:val="0"/>
          <w:szCs w:val="21"/>
        </w:rPr>
        <w:t>栽培类型和种植制度调查为主，达成能力</w:t>
      </w:r>
      <w:r>
        <w:rPr>
          <w:rFonts w:asciiTheme="minorEastAsia" w:eastAsiaTheme="minorEastAsia" w:hAnsiTheme="minorEastAsia" w:cstheme="minorEastAsia"/>
          <w:color w:val="353535"/>
          <w:kern w:val="0"/>
          <w:szCs w:val="21"/>
        </w:rPr>
        <w:t>和素质目标。</w:t>
      </w:r>
      <w:r>
        <w:rPr>
          <w:rFonts w:asciiTheme="minorEastAsia" w:eastAsiaTheme="minorEastAsia" w:hAnsiTheme="minorEastAsia" w:cstheme="minorEastAsia" w:hint="eastAsia"/>
          <w:color w:val="353535"/>
          <w:kern w:val="0"/>
          <w:szCs w:val="21"/>
        </w:rPr>
        <w:t>突出调研实践出真知，学生根据调查情况完成《百亩蔬菜种植园规划实施方案》的撰写。</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w:t>
      </w:r>
      <w:r>
        <w:rPr>
          <w:rFonts w:hint="eastAsia"/>
          <w:kern w:val="0"/>
          <w:szCs w:val="21"/>
        </w:rPr>
        <w:t>和</w:t>
      </w:r>
      <w:r>
        <w:rPr>
          <w:kern w:val="0"/>
          <w:szCs w:val="21"/>
        </w:rPr>
        <w:t>学生课堂展示，及时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46ED28BA" w14:textId="77777777">
        <w:trPr>
          <w:trHeight w:val="270"/>
        </w:trPr>
        <w:tc>
          <w:tcPr>
            <w:tcW w:w="2831" w:type="dxa"/>
            <w:tcBorders>
              <w:top w:val="nil"/>
              <w:left w:val="nil"/>
              <w:bottom w:val="nil"/>
              <w:right w:val="nil"/>
            </w:tcBorders>
            <w:vAlign w:val="center"/>
          </w:tcPr>
          <w:p w14:paraId="0D901D1B"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6CB95BD7"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w:t>
            </w:r>
            <w:r>
              <w:rPr>
                <w:rFonts w:ascii="Cambria" w:hAnsi="Cambria" w:cs="Cambria" w:hint="eastAsia"/>
                <w:b/>
                <w:bCs/>
                <w:kern w:val="0"/>
                <w:szCs w:val="21"/>
              </w:rPr>
              <w:t>五</w:t>
            </w:r>
            <w:r>
              <w:rPr>
                <w:rFonts w:hAnsi="宋体" w:hint="eastAsia"/>
                <w:b/>
                <w:bCs/>
                <w:kern w:val="0"/>
                <w:szCs w:val="21"/>
              </w:rPr>
              <w:t>章</w:t>
            </w:r>
            <w:r>
              <w:rPr>
                <w:rFonts w:hAnsi="宋体" w:hint="eastAsia"/>
                <w:b/>
                <w:bCs/>
                <w:kern w:val="0"/>
                <w:szCs w:val="21"/>
              </w:rPr>
              <w:t xml:space="preserve">  </w:t>
            </w:r>
            <w:r>
              <w:rPr>
                <w:rFonts w:hAnsi="宋体" w:hint="eastAsia"/>
                <w:b/>
                <w:bCs/>
                <w:kern w:val="0"/>
                <w:szCs w:val="21"/>
              </w:rPr>
              <w:t>设施茄果类蔬菜栽培</w:t>
            </w:r>
          </w:p>
        </w:tc>
        <w:tc>
          <w:tcPr>
            <w:tcW w:w="2804" w:type="dxa"/>
            <w:tcBorders>
              <w:top w:val="nil"/>
              <w:left w:val="nil"/>
              <w:bottom w:val="nil"/>
              <w:right w:val="nil"/>
            </w:tcBorders>
            <w:vAlign w:val="center"/>
          </w:tcPr>
          <w:p w14:paraId="1E05287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134051D2"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了解茄果类蔬菜的起源与栽培历史、类型与品种；掌握植物学特征、对环境条件的要求及不同生育阶段的特点与栽培的关系；掌握</w:t>
      </w:r>
      <w:r>
        <w:rPr>
          <w:rFonts w:asciiTheme="minorEastAsia" w:eastAsiaTheme="minorEastAsia" w:hAnsiTheme="minorEastAsia" w:cstheme="minorEastAsia" w:hint="eastAsia"/>
          <w:kern w:val="0"/>
          <w:szCs w:val="21"/>
        </w:rPr>
        <w:t>主要栽培茬次</w:t>
      </w:r>
      <w:r>
        <w:rPr>
          <w:rFonts w:asciiTheme="minorEastAsia" w:eastAsiaTheme="minorEastAsia" w:hAnsiTheme="minorEastAsia" w:cstheme="minorEastAsia" w:hint="eastAsia"/>
          <w:color w:val="353535"/>
          <w:kern w:val="0"/>
          <w:szCs w:val="21"/>
        </w:rPr>
        <w:t>及栽培技术要点。</w:t>
      </w:r>
    </w:p>
    <w:p w14:paraId="258FAE7F"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lastRenderedPageBreak/>
        <w:t>教学重点和难点：</w:t>
      </w:r>
      <w:r>
        <w:rPr>
          <w:rFonts w:asciiTheme="minorEastAsia" w:eastAsiaTheme="minorEastAsia" w:hAnsiTheme="minorEastAsia" w:cstheme="minorEastAsia" w:hint="eastAsia"/>
          <w:color w:val="353535"/>
          <w:kern w:val="0"/>
          <w:szCs w:val="21"/>
        </w:rPr>
        <w:t>本章的重点是不同茄果类蔬菜生物学特性的特殊性及对栽培技术的要求、茄果类蔬菜分枝习性差异与整枝、整枝方式与产量品质的关系。难点是茄果类花芽分化特点对育苗技术的要求、开花坐果期的“徒长”特点与肥水管理、茄果类蔬菜落花落果的原因与克服。</w:t>
      </w:r>
    </w:p>
    <w:p w14:paraId="14260360" w14:textId="77777777" w:rsidR="00F5289E" w:rsidRDefault="00C91173">
      <w:pPr>
        <w:widowControl/>
        <w:spacing w:line="360" w:lineRule="auto"/>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b/>
          <w:bCs/>
          <w:szCs w:val="21"/>
        </w:rPr>
        <w:t>主要教学内容及要求：</w:t>
      </w:r>
    </w:p>
    <w:p w14:paraId="115C270F"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kern w:val="0"/>
          <w:szCs w:val="21"/>
        </w:rPr>
        <w:t xml:space="preserve">第一节设施番茄栽培 </w:t>
      </w:r>
      <w:r>
        <w:rPr>
          <w:rFonts w:asciiTheme="minorEastAsia" w:eastAsiaTheme="minorEastAsia" w:hAnsiTheme="minorEastAsia" w:cstheme="minorEastAsia"/>
          <w:b/>
          <w:bCs/>
          <w:color w:val="353535"/>
          <w:kern w:val="0"/>
          <w:szCs w:val="21"/>
        </w:rPr>
        <w:t>4</w:t>
      </w:r>
      <w:r>
        <w:rPr>
          <w:rFonts w:asciiTheme="minorEastAsia" w:eastAsiaTheme="minorEastAsia" w:hAnsiTheme="minorEastAsia" w:cstheme="minorEastAsia" w:hint="eastAsia"/>
          <w:b/>
          <w:bCs/>
          <w:color w:val="353535"/>
          <w:kern w:val="0"/>
          <w:szCs w:val="21"/>
        </w:rPr>
        <w:t>学时</w:t>
      </w:r>
    </w:p>
    <w:p w14:paraId="1753323C" w14:textId="77777777" w:rsidR="00F5289E" w:rsidRDefault="00C91173">
      <w:pPr>
        <w:spacing w:line="360" w:lineRule="auto"/>
        <w:ind w:firstLineChars="200" w:firstLine="420"/>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kern w:val="0"/>
          <w:szCs w:val="21"/>
        </w:rPr>
        <w:t>了解番茄</w:t>
      </w:r>
      <w:r>
        <w:rPr>
          <w:rFonts w:asciiTheme="minorEastAsia" w:eastAsiaTheme="minorEastAsia" w:hAnsiTheme="minorEastAsia" w:cstheme="minorEastAsia" w:hint="eastAsia"/>
          <w:color w:val="353535"/>
          <w:kern w:val="0"/>
          <w:szCs w:val="21"/>
        </w:rPr>
        <w:t>的起源与栽培历史、掌握植物学特征、对环境条件的要求及不同生育阶段的生长特点与栽培的关系；</w:t>
      </w:r>
    </w:p>
    <w:p w14:paraId="6DBADBB8"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了解番茄花芽分化的特点、掌握培育壮苗的技术措施；</w:t>
      </w:r>
    </w:p>
    <w:p w14:paraId="348C1D54"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color w:val="353535"/>
          <w:kern w:val="0"/>
          <w:szCs w:val="21"/>
        </w:rPr>
        <w:t>了解番茄的类型与品种，掌握设施番茄</w:t>
      </w:r>
      <w:r>
        <w:rPr>
          <w:rFonts w:asciiTheme="minorEastAsia" w:eastAsiaTheme="minorEastAsia" w:hAnsiTheme="minorEastAsia" w:cstheme="minorEastAsia" w:hint="eastAsia"/>
          <w:kern w:val="0"/>
          <w:szCs w:val="21"/>
        </w:rPr>
        <w:t>主要栽培茬次</w:t>
      </w:r>
      <w:r>
        <w:rPr>
          <w:rFonts w:asciiTheme="minorEastAsia" w:eastAsiaTheme="minorEastAsia" w:hAnsiTheme="minorEastAsia" w:cstheme="minorEastAsia" w:hint="eastAsia"/>
          <w:color w:val="353535"/>
          <w:kern w:val="0"/>
          <w:szCs w:val="21"/>
        </w:rPr>
        <w:t>；</w:t>
      </w:r>
    </w:p>
    <w:p w14:paraId="7E4DE02D"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熟练掌握番茄主要设施栽培茬次的栽培技术要点，包括：品种选择则、地膜覆盖的“两种定植方法”、两种生长类型番茄的整枝方法、保花保果技术等。</w:t>
      </w:r>
    </w:p>
    <w:p w14:paraId="0C9E1530" w14:textId="77777777" w:rsidR="00F5289E" w:rsidRDefault="00C91173">
      <w:pPr>
        <w:widowControl/>
        <w:spacing w:line="360" w:lineRule="auto"/>
        <w:jc w:val="left"/>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kern w:val="0"/>
          <w:szCs w:val="21"/>
        </w:rPr>
        <w:t>第二节设施茄子栽培</w:t>
      </w:r>
      <w:r>
        <w:rPr>
          <w:rFonts w:asciiTheme="minorEastAsia" w:eastAsiaTheme="minorEastAsia" w:hAnsiTheme="minorEastAsia" w:cstheme="minorEastAsia" w:hint="eastAsia"/>
          <w:b/>
          <w:bCs/>
          <w:color w:val="353535"/>
          <w:kern w:val="0"/>
          <w:szCs w:val="21"/>
        </w:rPr>
        <w:t xml:space="preserve">  1学时</w:t>
      </w:r>
    </w:p>
    <w:p w14:paraId="279F8936"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了解茄子品种类型，生物学特性，茄子的分枝习性与结果习性；</w:t>
      </w:r>
    </w:p>
    <w:p w14:paraId="2E5FADFE"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理解植株调整技术，保花保果的原理；</w:t>
      </w:r>
    </w:p>
    <w:p w14:paraId="27A2A6CB"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了解设施茄子栽培的主要茬次；</w:t>
      </w:r>
    </w:p>
    <w:p w14:paraId="25E57218" w14:textId="77777777" w:rsidR="00F5289E" w:rsidRDefault="00C91173">
      <w:pPr>
        <w:spacing w:line="360" w:lineRule="auto"/>
        <w:ind w:firstLine="42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掌握设施茄子主要茬次的栽培技术要点。</w:t>
      </w:r>
    </w:p>
    <w:p w14:paraId="6E56CCF8" w14:textId="77777777" w:rsidR="00F5289E" w:rsidRDefault="00C91173">
      <w:pPr>
        <w:widowControl/>
        <w:spacing w:line="360" w:lineRule="auto"/>
        <w:jc w:val="left"/>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kern w:val="0"/>
          <w:szCs w:val="21"/>
        </w:rPr>
        <w:t>第三节设施辣椒栽培</w:t>
      </w:r>
      <w:r>
        <w:rPr>
          <w:rFonts w:asciiTheme="minorEastAsia" w:eastAsiaTheme="minorEastAsia" w:hAnsiTheme="minorEastAsia" w:cstheme="minorEastAsia" w:hint="eastAsia"/>
          <w:b/>
          <w:bCs/>
          <w:color w:val="353535"/>
          <w:kern w:val="0"/>
          <w:szCs w:val="21"/>
        </w:rPr>
        <w:t xml:space="preserve">1学时 </w:t>
      </w:r>
    </w:p>
    <w:p w14:paraId="13024686"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了解辣（甜）椒品种类型，生物学特性，辣椒的分枝习性与结果习性；</w:t>
      </w:r>
    </w:p>
    <w:p w14:paraId="5958430B"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理解辣椒落花落果的原因；</w:t>
      </w:r>
    </w:p>
    <w:p w14:paraId="2A10D7F6"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了解设施辣（甜）椒栽培的主要茬次；</w:t>
      </w:r>
    </w:p>
    <w:p w14:paraId="6339BF79"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熟练掌握设施辣（甜）椒主要栽培茬次的栽培技术要点。</w:t>
      </w:r>
    </w:p>
    <w:p w14:paraId="39736D42" w14:textId="77777777" w:rsidR="00F5289E" w:rsidRDefault="00C91173">
      <w:pPr>
        <w:widowControl/>
        <w:spacing w:line="360"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w:t>
      </w:r>
      <w:r>
        <w:rPr>
          <w:rFonts w:asciiTheme="minorEastAsia" w:eastAsiaTheme="minorEastAsia" w:hAnsiTheme="minorEastAsia" w:cstheme="minorEastAsia"/>
          <w:szCs w:val="21"/>
        </w:rPr>
        <w:t>番茄</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茄子、辣椒起源、历史和栽培现状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516B2589" w14:textId="77777777">
        <w:trPr>
          <w:trHeight w:val="270"/>
        </w:trPr>
        <w:tc>
          <w:tcPr>
            <w:tcW w:w="2831" w:type="dxa"/>
            <w:tcBorders>
              <w:top w:val="nil"/>
              <w:left w:val="nil"/>
              <w:bottom w:val="nil"/>
              <w:right w:val="nil"/>
            </w:tcBorders>
            <w:vAlign w:val="center"/>
          </w:tcPr>
          <w:p w14:paraId="1C3350D3"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77B06BF1"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第六章</w:t>
            </w:r>
            <w:r>
              <w:rPr>
                <w:rFonts w:hAnsi="宋体" w:hint="eastAsia"/>
                <w:b/>
                <w:bCs/>
                <w:kern w:val="0"/>
                <w:szCs w:val="21"/>
              </w:rPr>
              <w:t xml:space="preserve">  </w:t>
            </w:r>
            <w:r>
              <w:rPr>
                <w:rFonts w:hAnsi="宋体" w:hint="eastAsia"/>
                <w:b/>
                <w:bCs/>
                <w:kern w:val="0"/>
                <w:szCs w:val="21"/>
              </w:rPr>
              <w:t>设施瓜类蔬菜栽培</w:t>
            </w:r>
          </w:p>
        </w:tc>
        <w:tc>
          <w:tcPr>
            <w:tcW w:w="2804" w:type="dxa"/>
            <w:tcBorders>
              <w:top w:val="nil"/>
              <w:left w:val="nil"/>
              <w:bottom w:val="nil"/>
              <w:right w:val="nil"/>
            </w:tcBorders>
            <w:vAlign w:val="center"/>
          </w:tcPr>
          <w:p w14:paraId="4629ECB8"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168BD8AE"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lastRenderedPageBreak/>
        <w:t>教学目标：</w:t>
      </w:r>
      <w:r>
        <w:rPr>
          <w:rFonts w:asciiTheme="minorEastAsia" w:eastAsiaTheme="minorEastAsia" w:hAnsiTheme="minorEastAsia" w:cstheme="minorEastAsia" w:hint="eastAsia"/>
          <w:color w:val="353535"/>
          <w:kern w:val="0"/>
          <w:szCs w:val="21"/>
        </w:rPr>
        <w:t>了解设施瓜类蔬菜的分类、共同特征、生物学特性的差异，了解果实生理成熟与商品成熟的概念，理解瓜类品质形成与环境的关系。了解瓜类设施栽培的主要茬次，掌握主要瓜类蔬菜主要茬次的栽培技术要点。</w:t>
      </w:r>
    </w:p>
    <w:p w14:paraId="0E0451DF"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color w:val="353535"/>
          <w:kern w:val="0"/>
          <w:szCs w:val="21"/>
        </w:rPr>
        <w:t>教学重点和难点：</w:t>
      </w:r>
      <w:r>
        <w:rPr>
          <w:rFonts w:asciiTheme="minorEastAsia" w:eastAsiaTheme="minorEastAsia" w:hAnsiTheme="minorEastAsia" w:cstheme="minorEastAsia" w:hint="eastAsia"/>
          <w:color w:val="353535"/>
          <w:kern w:val="0"/>
          <w:szCs w:val="21"/>
        </w:rPr>
        <w:t>本章的重点在于黄瓜、西葫芦、西瓜、甜瓜的品种资源、生物学特性及栽培技术。难点为黄瓜的性型分化及可塑性，甜瓜留瓜节位与叶面积关系，甜瓜、西瓜品质形成与环境条件控制的关系。</w:t>
      </w:r>
    </w:p>
    <w:p w14:paraId="56C59680" w14:textId="77777777" w:rsidR="00F5289E" w:rsidRDefault="00C91173">
      <w:pPr>
        <w:widowControl/>
        <w:spacing w:line="360" w:lineRule="auto"/>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b/>
          <w:bCs/>
          <w:szCs w:val="21"/>
        </w:rPr>
        <w:t>主要教学内容及要求：</w:t>
      </w:r>
    </w:p>
    <w:p w14:paraId="752B9911" w14:textId="77777777" w:rsidR="00F5289E" w:rsidRDefault="00C91173">
      <w:pPr>
        <w:widowControl/>
        <w:adjustRightInd w:val="0"/>
        <w:snapToGrid w:val="0"/>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kern w:val="0"/>
          <w:szCs w:val="21"/>
        </w:rPr>
        <w:t xml:space="preserve">第一节 设施黄瓜栽培 </w:t>
      </w:r>
      <w:r>
        <w:rPr>
          <w:rFonts w:asciiTheme="minorEastAsia" w:eastAsiaTheme="minorEastAsia" w:hAnsiTheme="minorEastAsia" w:cstheme="minorEastAsia" w:hint="eastAsia"/>
          <w:b/>
          <w:bCs/>
          <w:color w:val="353535"/>
          <w:kern w:val="0"/>
          <w:szCs w:val="21"/>
        </w:rPr>
        <w:t>2学时</w:t>
      </w:r>
    </w:p>
    <w:p w14:paraId="249C28F3"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了解黄瓜华南系、华北系品种资源；</w:t>
      </w:r>
    </w:p>
    <w:p w14:paraId="15DBAADA"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理解黄瓜生物学特性与起源地环境条件的关系，黄瓜花芽分化特点与调控措施；</w:t>
      </w:r>
    </w:p>
    <w:p w14:paraId="273625FE"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掌握黄瓜花芽分化调控措施，了解设施黄瓜栽培的主要茬次；</w:t>
      </w:r>
    </w:p>
    <w:p w14:paraId="635C4EF9"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掌握设施黄瓜主要茬次栽培的技术要点。</w:t>
      </w:r>
    </w:p>
    <w:p w14:paraId="674E8E28" w14:textId="77777777" w:rsidR="00F5289E" w:rsidRDefault="00C91173">
      <w:pPr>
        <w:widowControl/>
        <w:spacing w:line="360" w:lineRule="auto"/>
        <w:jc w:val="left"/>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kern w:val="0"/>
          <w:szCs w:val="21"/>
        </w:rPr>
        <w:t>第一节 设施西葫芦栽培</w:t>
      </w:r>
      <w:r>
        <w:rPr>
          <w:rFonts w:asciiTheme="minorEastAsia" w:eastAsiaTheme="minorEastAsia" w:hAnsiTheme="minorEastAsia" w:cstheme="minorEastAsia" w:hint="eastAsia"/>
          <w:b/>
          <w:bCs/>
          <w:color w:val="353535"/>
          <w:kern w:val="0"/>
          <w:szCs w:val="21"/>
        </w:rPr>
        <w:t xml:space="preserve">  0.5学时</w:t>
      </w:r>
    </w:p>
    <w:p w14:paraId="4BB07D5B"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了解西葫芦品种资源，生物学特性；</w:t>
      </w:r>
    </w:p>
    <w:p w14:paraId="4CC5EA51"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理解设施西葫芦嫁接及保花保果的生物学基础，</w:t>
      </w:r>
    </w:p>
    <w:p w14:paraId="5FBB1298"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掌握西葫芦设施栽培的主要茬次；</w:t>
      </w:r>
    </w:p>
    <w:p w14:paraId="26C54403"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熟练掌握设施西葫芦主要茬次的栽培技术要点。</w:t>
      </w:r>
    </w:p>
    <w:p w14:paraId="78CEE50D" w14:textId="77777777" w:rsidR="00F5289E" w:rsidRDefault="00C91173">
      <w:pPr>
        <w:widowControl/>
        <w:spacing w:line="360" w:lineRule="auto"/>
        <w:jc w:val="left"/>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kern w:val="0"/>
          <w:szCs w:val="21"/>
        </w:rPr>
        <w:t>第三节  设施甜瓜栽培</w:t>
      </w:r>
      <w:r>
        <w:rPr>
          <w:rFonts w:asciiTheme="minorEastAsia" w:eastAsiaTheme="minorEastAsia" w:hAnsiTheme="minorEastAsia" w:cstheme="minorEastAsia" w:hint="eastAsia"/>
          <w:b/>
          <w:bCs/>
          <w:color w:val="353535"/>
          <w:kern w:val="0"/>
          <w:szCs w:val="21"/>
        </w:rPr>
        <w:t xml:space="preserve">  1.5 学时 </w:t>
      </w:r>
    </w:p>
    <w:p w14:paraId="34362C3E"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了解甜瓜品种资源、生物学特性；</w:t>
      </w:r>
    </w:p>
    <w:p w14:paraId="1D4C1E91"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理解甜瓜品质形成对环境条件的要求；</w:t>
      </w:r>
    </w:p>
    <w:p w14:paraId="0C3D6490"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掌握设施甜瓜栽培的主要茬次；</w:t>
      </w:r>
    </w:p>
    <w:p w14:paraId="2A47B185"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熟练掌握设施甜瓜主要茬次的栽培技术要点。</w:t>
      </w:r>
    </w:p>
    <w:p w14:paraId="1B72008D" w14:textId="77777777" w:rsidR="00F5289E" w:rsidRDefault="00C91173">
      <w:pPr>
        <w:widowControl/>
        <w:spacing w:line="360" w:lineRule="auto"/>
        <w:jc w:val="left"/>
        <w:rPr>
          <w:rFonts w:asciiTheme="minorEastAsia" w:eastAsiaTheme="minorEastAsia" w:hAnsiTheme="minorEastAsia" w:cstheme="minorEastAsia"/>
          <w:b/>
          <w:bCs/>
          <w:color w:val="353535"/>
          <w:kern w:val="0"/>
          <w:szCs w:val="21"/>
        </w:rPr>
      </w:pPr>
      <w:r>
        <w:rPr>
          <w:rFonts w:asciiTheme="minorEastAsia" w:eastAsiaTheme="minorEastAsia" w:hAnsiTheme="minorEastAsia" w:cstheme="minorEastAsia" w:hint="eastAsia"/>
          <w:kern w:val="0"/>
          <w:szCs w:val="21"/>
        </w:rPr>
        <w:t>第四节  设施西瓜栽培</w:t>
      </w:r>
      <w:r>
        <w:rPr>
          <w:rFonts w:asciiTheme="minorEastAsia" w:eastAsiaTheme="minorEastAsia" w:hAnsiTheme="minorEastAsia" w:cstheme="minorEastAsia" w:hint="eastAsia"/>
          <w:b/>
          <w:bCs/>
          <w:color w:val="353535"/>
          <w:kern w:val="0"/>
          <w:szCs w:val="21"/>
        </w:rPr>
        <w:t xml:space="preserve">  </w:t>
      </w:r>
      <w:r>
        <w:rPr>
          <w:rFonts w:asciiTheme="minorEastAsia" w:eastAsiaTheme="minorEastAsia" w:hAnsiTheme="minorEastAsia" w:cstheme="minorEastAsia"/>
          <w:b/>
          <w:bCs/>
          <w:color w:val="353535"/>
          <w:kern w:val="0"/>
          <w:szCs w:val="21"/>
        </w:rPr>
        <w:t>2</w:t>
      </w:r>
      <w:r>
        <w:rPr>
          <w:rFonts w:asciiTheme="minorEastAsia" w:eastAsiaTheme="minorEastAsia" w:hAnsiTheme="minorEastAsia" w:cstheme="minorEastAsia" w:hint="eastAsia"/>
          <w:b/>
          <w:bCs/>
          <w:color w:val="353535"/>
          <w:kern w:val="0"/>
          <w:szCs w:val="21"/>
        </w:rPr>
        <w:t>学时</w:t>
      </w:r>
    </w:p>
    <w:p w14:paraId="7F8BF4C4" w14:textId="77777777" w:rsidR="00F5289E" w:rsidRDefault="00C91173">
      <w:pPr>
        <w:widowControl/>
        <w:spacing w:line="360" w:lineRule="auto"/>
        <w:ind w:firstLineChars="250" w:firstLine="525"/>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了解西瓜品种资源、生物学特性；</w:t>
      </w:r>
    </w:p>
    <w:p w14:paraId="3739F159" w14:textId="77777777" w:rsidR="00F5289E" w:rsidRDefault="00C91173">
      <w:pPr>
        <w:widowControl/>
        <w:spacing w:line="360" w:lineRule="auto"/>
        <w:ind w:firstLineChars="250" w:firstLine="525"/>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理解西瓜品质形成对环境条件的要求；</w:t>
      </w:r>
    </w:p>
    <w:p w14:paraId="44ECBDC5" w14:textId="77777777" w:rsidR="00F5289E" w:rsidRDefault="00C91173">
      <w:pPr>
        <w:widowControl/>
        <w:spacing w:line="360" w:lineRule="auto"/>
        <w:ind w:firstLineChars="250" w:firstLine="525"/>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掌握设施西瓜栽培的主要茬次；</w:t>
      </w:r>
    </w:p>
    <w:p w14:paraId="4939119F" w14:textId="77777777" w:rsidR="00F5289E" w:rsidRDefault="00C91173">
      <w:pPr>
        <w:widowControl/>
        <w:spacing w:line="360" w:lineRule="auto"/>
        <w:ind w:firstLineChars="250" w:firstLine="525"/>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熟练掌握设施西瓜主要茬次的栽培技术要点。</w:t>
      </w:r>
    </w:p>
    <w:p w14:paraId="2D65DF8C" w14:textId="77777777" w:rsidR="00F5289E" w:rsidRDefault="00C91173">
      <w:pPr>
        <w:widowControl/>
        <w:spacing w:line="360" w:lineRule="auto"/>
        <w:jc w:val="left"/>
        <w:rPr>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设施瓜类蔬菜</w:t>
      </w:r>
      <w:r>
        <w:rPr>
          <w:rFonts w:asciiTheme="minorEastAsia" w:eastAsiaTheme="minorEastAsia" w:hAnsiTheme="minorEastAsia" w:cstheme="minorEastAsia"/>
          <w:szCs w:val="21"/>
        </w:rPr>
        <w:t>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w:t>
      </w:r>
      <w:r>
        <w:rPr>
          <w:rFonts w:asciiTheme="minorEastAsia" w:eastAsiaTheme="minorEastAsia" w:hAnsiTheme="minorEastAsia" w:cstheme="minorEastAsia"/>
          <w:szCs w:val="21"/>
        </w:rPr>
        <w:lastRenderedPageBreak/>
        <w:t>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712742C7" w14:textId="77777777">
        <w:trPr>
          <w:trHeight w:val="270"/>
        </w:trPr>
        <w:tc>
          <w:tcPr>
            <w:tcW w:w="2831" w:type="dxa"/>
            <w:tcBorders>
              <w:top w:val="nil"/>
              <w:left w:val="nil"/>
              <w:bottom w:val="nil"/>
              <w:right w:val="nil"/>
            </w:tcBorders>
            <w:vAlign w:val="center"/>
          </w:tcPr>
          <w:p w14:paraId="383DCF15"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363E2E93"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第七章</w:t>
            </w:r>
            <w:r>
              <w:rPr>
                <w:rFonts w:hAnsi="宋体" w:hint="eastAsia"/>
                <w:b/>
                <w:bCs/>
                <w:kern w:val="0"/>
                <w:szCs w:val="21"/>
              </w:rPr>
              <w:t xml:space="preserve">  </w:t>
            </w:r>
            <w:r>
              <w:rPr>
                <w:rFonts w:hAnsi="宋体" w:hint="eastAsia"/>
                <w:b/>
                <w:bCs/>
                <w:kern w:val="0"/>
                <w:szCs w:val="21"/>
              </w:rPr>
              <w:t>设施</w:t>
            </w:r>
            <w:r>
              <w:rPr>
                <w:rFonts w:asciiTheme="minorEastAsia" w:eastAsiaTheme="minorEastAsia" w:hAnsiTheme="minorEastAsia" w:cstheme="minorEastAsia" w:hint="eastAsia"/>
                <w:b/>
                <w:bCs/>
                <w:kern w:val="0"/>
                <w:szCs w:val="21"/>
              </w:rPr>
              <w:t>薯芋类蔬菜栽培</w:t>
            </w:r>
          </w:p>
        </w:tc>
        <w:tc>
          <w:tcPr>
            <w:tcW w:w="2804" w:type="dxa"/>
            <w:tcBorders>
              <w:top w:val="nil"/>
              <w:left w:val="nil"/>
              <w:bottom w:val="nil"/>
              <w:right w:val="nil"/>
            </w:tcBorders>
            <w:vAlign w:val="center"/>
          </w:tcPr>
          <w:p w14:paraId="0A8D7DF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0A39AD67"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了解马铃薯营养价值，传统栽培方式、周年供应现状，了解马铃薯的类型，掌握设施马铃薯栽培关键技术。</w:t>
      </w:r>
    </w:p>
    <w:p w14:paraId="61BE0B7A" w14:textId="77777777" w:rsidR="00F5289E" w:rsidRDefault="00C91173">
      <w:pPr>
        <w:widowControl/>
        <w:spacing w:line="360" w:lineRule="auto"/>
        <w:jc w:val="left"/>
        <w:rPr>
          <w:rFonts w:asciiTheme="minorEastAsia" w:eastAsiaTheme="minorEastAsia" w:hAnsiTheme="minorEastAsia" w:cstheme="minorEastAsia"/>
          <w:color w:val="FF0000"/>
          <w:kern w:val="0"/>
          <w:szCs w:val="21"/>
        </w:rPr>
      </w:pPr>
      <w:r>
        <w:rPr>
          <w:rFonts w:asciiTheme="minorEastAsia" w:eastAsiaTheme="minorEastAsia" w:hAnsiTheme="minorEastAsia" w:cstheme="minorEastAsia" w:hint="eastAsia"/>
          <w:b/>
          <w:bCs/>
          <w:kern w:val="0"/>
          <w:szCs w:val="21"/>
        </w:rPr>
        <w:t>教学重点和难点：</w:t>
      </w:r>
      <w:r>
        <w:rPr>
          <w:rFonts w:asciiTheme="minorEastAsia" w:eastAsiaTheme="minorEastAsia" w:hAnsiTheme="minorEastAsia" w:cstheme="minorEastAsia" w:hint="eastAsia"/>
          <w:color w:val="353535"/>
          <w:kern w:val="0"/>
          <w:szCs w:val="21"/>
        </w:rPr>
        <w:t>本章的重点在于马铃薯生长周期的划分与栽培的关系，马铃薯栽培区对品种类型的要求。难点为马铃薯休眠打破及防治退化的措施。</w:t>
      </w:r>
    </w:p>
    <w:p w14:paraId="52CB36F6" w14:textId="77777777" w:rsidR="00F5289E" w:rsidRDefault="00C91173">
      <w:pPr>
        <w:widowControl/>
        <w:spacing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主要教学内容及要求：</w:t>
      </w:r>
    </w:p>
    <w:p w14:paraId="59086DEE"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了解马铃薯起源与栽培历史、营养含量，设施马铃薯栽培在马铃薯周年供应的作用，马铃薯类型与品种，植物学特征、生物学特性；</w:t>
      </w:r>
    </w:p>
    <w:p w14:paraId="336E3940"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理解马铃薯休眠与打破休眠的理论与方法，马铃薯退化原因；</w:t>
      </w:r>
    </w:p>
    <w:p w14:paraId="26971468"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掌握马铃薯栽培区对品种类型的要求，设施马铃薯栽培的主要季节与茬次，防止马铃薯退化的措施；</w:t>
      </w:r>
    </w:p>
    <w:p w14:paraId="0CF6B08D"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熟练掌握马铃薯催芽技术，设施马铃薯主要茬次的栽培技术。</w:t>
      </w:r>
    </w:p>
    <w:p w14:paraId="6EDFD1BC"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设施马铃薯</w:t>
      </w:r>
      <w:r>
        <w:rPr>
          <w:rFonts w:asciiTheme="minorEastAsia" w:eastAsiaTheme="minorEastAsia" w:hAnsiTheme="minorEastAsia" w:cstheme="minorEastAsia"/>
          <w:szCs w:val="21"/>
        </w:rPr>
        <w:t>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665A4C0A" w14:textId="77777777">
        <w:trPr>
          <w:trHeight w:val="270"/>
        </w:trPr>
        <w:tc>
          <w:tcPr>
            <w:tcW w:w="2831" w:type="dxa"/>
            <w:tcBorders>
              <w:top w:val="nil"/>
              <w:left w:val="nil"/>
              <w:bottom w:val="nil"/>
              <w:right w:val="nil"/>
            </w:tcBorders>
            <w:vAlign w:val="center"/>
          </w:tcPr>
          <w:p w14:paraId="1B7E0233"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4C271D64"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第七章</w:t>
            </w:r>
            <w:r>
              <w:rPr>
                <w:rFonts w:hAnsi="宋体" w:hint="eastAsia"/>
                <w:b/>
                <w:bCs/>
                <w:kern w:val="0"/>
                <w:szCs w:val="21"/>
              </w:rPr>
              <w:t xml:space="preserve">  </w:t>
            </w:r>
            <w:r>
              <w:rPr>
                <w:rFonts w:hAnsi="宋体" w:hint="eastAsia"/>
                <w:b/>
                <w:bCs/>
                <w:kern w:val="0"/>
                <w:szCs w:val="21"/>
              </w:rPr>
              <w:t>设施</w:t>
            </w:r>
            <w:r>
              <w:rPr>
                <w:rFonts w:asciiTheme="minorEastAsia" w:eastAsiaTheme="minorEastAsia" w:hAnsiTheme="minorEastAsia" w:cstheme="minorEastAsia" w:hint="eastAsia"/>
                <w:b/>
                <w:bCs/>
                <w:kern w:val="0"/>
                <w:szCs w:val="21"/>
              </w:rPr>
              <w:t>葱蒜类蔬菜栽培</w:t>
            </w:r>
          </w:p>
        </w:tc>
        <w:tc>
          <w:tcPr>
            <w:tcW w:w="2804" w:type="dxa"/>
            <w:tcBorders>
              <w:top w:val="nil"/>
              <w:left w:val="nil"/>
              <w:bottom w:val="nil"/>
              <w:right w:val="nil"/>
            </w:tcBorders>
            <w:vAlign w:val="center"/>
          </w:tcPr>
          <w:p w14:paraId="139F6E6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3123FC71"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了解韭菜营养价值，了解韭菜的类型、品种资源、生物学特性、栽培方式及栽培关键技术。</w:t>
      </w:r>
    </w:p>
    <w:p w14:paraId="4C98489A"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教学重点和难点：</w:t>
      </w:r>
      <w:r>
        <w:rPr>
          <w:rFonts w:asciiTheme="minorEastAsia" w:eastAsiaTheme="minorEastAsia" w:hAnsiTheme="minorEastAsia" w:cstheme="minorEastAsia" w:hint="eastAsia"/>
          <w:color w:val="353535"/>
          <w:kern w:val="0"/>
          <w:szCs w:val="21"/>
        </w:rPr>
        <w:t>本章的重点在于设施类型、茬次对韭菜类型品种的特殊要求、生物学特性及栽培技术。难点为韭菜分蘖和跳根的理解及对栽培的要求，韭菜养根与采收茎叶的关系对栽培措施的要求。</w:t>
      </w:r>
    </w:p>
    <w:p w14:paraId="092615B7" w14:textId="77777777" w:rsidR="00F5289E" w:rsidRDefault="00C91173">
      <w:pPr>
        <w:widowControl/>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主要教学内容及要求：</w:t>
      </w:r>
    </w:p>
    <w:p w14:paraId="151BB1D3"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了解韭菜的起源、营养价值，栽培现状，韭菜设施栽培的经济价值，韭菜生物学特征特性，不同类型的特点，韭菜分蘖与“跳根”等基本概念；</w:t>
      </w:r>
    </w:p>
    <w:p w14:paraId="6281A2CC"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理解韭菜栽培中调节养根与收获矛盾的原理；</w:t>
      </w:r>
    </w:p>
    <w:p w14:paraId="224F6053"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lastRenderedPageBreak/>
        <w:t>掌握叶用韭菜不同类型的特点及对栽培设施与茬次的适应性；</w:t>
      </w:r>
    </w:p>
    <w:p w14:paraId="5A2F1F6D" w14:textId="77777777" w:rsidR="00F5289E" w:rsidRDefault="00C91173">
      <w:pPr>
        <w:widowControl/>
        <w:spacing w:line="360" w:lineRule="auto"/>
        <w:ind w:firstLine="422"/>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熟练掌握设施韭菜春提早栽培的关键技术。</w:t>
      </w:r>
    </w:p>
    <w:p w14:paraId="5CD5792E" w14:textId="77777777" w:rsidR="00F5289E" w:rsidRDefault="00C91173">
      <w:pPr>
        <w:widowControl/>
        <w:spacing w:line="360"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设施韭菜</w:t>
      </w:r>
      <w:r>
        <w:rPr>
          <w:rFonts w:asciiTheme="minorEastAsia" w:eastAsiaTheme="minorEastAsia" w:hAnsiTheme="minorEastAsia" w:cstheme="minorEastAsia"/>
          <w:szCs w:val="21"/>
        </w:rPr>
        <w:t>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262D8359" w14:textId="77777777">
        <w:trPr>
          <w:trHeight w:val="270"/>
        </w:trPr>
        <w:tc>
          <w:tcPr>
            <w:tcW w:w="2831" w:type="dxa"/>
            <w:tcBorders>
              <w:top w:val="nil"/>
              <w:left w:val="nil"/>
              <w:bottom w:val="nil"/>
              <w:right w:val="nil"/>
            </w:tcBorders>
            <w:vAlign w:val="center"/>
          </w:tcPr>
          <w:p w14:paraId="0496B8B9"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253950F9"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第九章</w:t>
            </w:r>
            <w:r>
              <w:rPr>
                <w:rFonts w:hAnsi="宋体" w:hint="eastAsia"/>
                <w:b/>
                <w:bCs/>
                <w:kern w:val="0"/>
                <w:szCs w:val="21"/>
              </w:rPr>
              <w:t xml:space="preserve">  </w:t>
            </w:r>
            <w:r>
              <w:rPr>
                <w:rFonts w:hAnsi="宋体" w:hint="eastAsia"/>
                <w:b/>
                <w:bCs/>
                <w:kern w:val="0"/>
                <w:szCs w:val="21"/>
              </w:rPr>
              <w:t>设施绿叶</w:t>
            </w:r>
            <w:r>
              <w:rPr>
                <w:rFonts w:asciiTheme="minorEastAsia" w:eastAsiaTheme="minorEastAsia" w:hAnsiTheme="minorEastAsia" w:cstheme="minorEastAsia" w:hint="eastAsia"/>
                <w:b/>
                <w:bCs/>
                <w:kern w:val="0"/>
                <w:szCs w:val="21"/>
              </w:rPr>
              <w:t>蔬菜栽培</w:t>
            </w:r>
          </w:p>
        </w:tc>
        <w:tc>
          <w:tcPr>
            <w:tcW w:w="2804" w:type="dxa"/>
            <w:tcBorders>
              <w:top w:val="nil"/>
              <w:left w:val="nil"/>
              <w:bottom w:val="nil"/>
              <w:right w:val="nil"/>
            </w:tcBorders>
            <w:vAlign w:val="center"/>
          </w:tcPr>
          <w:p w14:paraId="22E42A0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3B14AC46"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了解绿叶菜营养价值及在蔬菜周年供应中的作用，掌握芹菜、莴苣设施栽培重要茬次及栽培技术要点。</w:t>
      </w:r>
    </w:p>
    <w:p w14:paraId="2321C316" w14:textId="77777777" w:rsidR="00F5289E" w:rsidRDefault="00C91173">
      <w:pPr>
        <w:widowControl/>
        <w:spacing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教学重点和难点：</w:t>
      </w:r>
      <w:r>
        <w:rPr>
          <w:rFonts w:asciiTheme="minorEastAsia" w:eastAsiaTheme="minorEastAsia" w:hAnsiTheme="minorEastAsia" w:cstheme="minorEastAsia" w:hint="eastAsia"/>
          <w:color w:val="353535"/>
          <w:kern w:val="0"/>
          <w:szCs w:val="21"/>
        </w:rPr>
        <w:t>本章的重点在于芹菜、莴苣育苗技术。难点为芹菜、莴苣夏季播种的催芽技术。</w:t>
      </w:r>
    </w:p>
    <w:p w14:paraId="6145EBAC" w14:textId="77777777" w:rsidR="00F5289E" w:rsidRDefault="00C91173">
      <w:pPr>
        <w:widowControl/>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 xml:space="preserve">主要教学内容及要求：                 </w:t>
      </w:r>
    </w:p>
    <w:p w14:paraId="526F06AA" w14:textId="77777777" w:rsidR="00F5289E" w:rsidRDefault="00C91173">
      <w:pPr>
        <w:widowControl/>
        <w:spacing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了解主要绿叶菜起源与栽培历史，营养含量，对周年供应的作用，重点了解芹菜、莴苣的类型，</w:t>
      </w:r>
      <w:r>
        <w:rPr>
          <w:rFonts w:asciiTheme="minorEastAsia" w:eastAsiaTheme="minorEastAsia" w:hAnsiTheme="minorEastAsia" w:cstheme="minorEastAsia" w:hint="eastAsia"/>
          <w:kern w:val="0"/>
          <w:szCs w:val="21"/>
        </w:rPr>
        <w:t>植物学特征、对环境条件的要求；</w:t>
      </w:r>
    </w:p>
    <w:p w14:paraId="085F9827"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color w:val="353535"/>
          <w:kern w:val="0"/>
          <w:szCs w:val="21"/>
        </w:rPr>
        <w:t>理解</w:t>
      </w:r>
      <w:r>
        <w:rPr>
          <w:rFonts w:asciiTheme="minorEastAsia" w:eastAsiaTheme="minorEastAsia" w:hAnsiTheme="minorEastAsia" w:cstheme="minorEastAsia" w:hint="eastAsia"/>
          <w:kern w:val="0"/>
          <w:szCs w:val="21"/>
        </w:rPr>
        <w:t>芹菜、</w:t>
      </w:r>
      <w:r>
        <w:rPr>
          <w:rFonts w:asciiTheme="minorEastAsia" w:eastAsiaTheme="minorEastAsia" w:hAnsiTheme="minorEastAsia" w:cstheme="minorEastAsia" w:hint="eastAsia"/>
          <w:color w:val="353535"/>
          <w:kern w:val="0"/>
          <w:szCs w:val="21"/>
        </w:rPr>
        <w:t>莴苣</w:t>
      </w:r>
      <w:r>
        <w:rPr>
          <w:rFonts w:asciiTheme="minorEastAsia" w:eastAsiaTheme="minorEastAsia" w:hAnsiTheme="minorEastAsia" w:cstheme="minorEastAsia" w:hint="eastAsia"/>
          <w:kern w:val="0"/>
          <w:szCs w:val="21"/>
        </w:rPr>
        <w:t>生物学特性与夏秋季育苗措施的关系；</w:t>
      </w:r>
    </w:p>
    <w:p w14:paraId="565CD553"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了解芹菜、</w:t>
      </w:r>
      <w:r>
        <w:rPr>
          <w:rFonts w:asciiTheme="minorEastAsia" w:eastAsiaTheme="minorEastAsia" w:hAnsiTheme="minorEastAsia" w:cstheme="minorEastAsia" w:hint="eastAsia"/>
          <w:color w:val="353535"/>
          <w:kern w:val="0"/>
          <w:szCs w:val="21"/>
        </w:rPr>
        <w:t>莴苣</w:t>
      </w:r>
      <w:r>
        <w:rPr>
          <w:rFonts w:asciiTheme="minorEastAsia" w:eastAsiaTheme="minorEastAsia" w:hAnsiTheme="minorEastAsia" w:cstheme="minorEastAsia" w:hint="eastAsia"/>
          <w:kern w:val="0"/>
          <w:szCs w:val="21"/>
        </w:rPr>
        <w:t>类型与品种及设施栽培的主要季节与茬次；</w:t>
      </w:r>
    </w:p>
    <w:p w14:paraId="4270C418"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熟练掌握芹菜、</w:t>
      </w:r>
      <w:r>
        <w:rPr>
          <w:rFonts w:asciiTheme="minorEastAsia" w:eastAsiaTheme="minorEastAsia" w:hAnsiTheme="minorEastAsia" w:cstheme="minorEastAsia" w:hint="eastAsia"/>
          <w:color w:val="353535"/>
          <w:kern w:val="0"/>
          <w:szCs w:val="21"/>
        </w:rPr>
        <w:t>莴苣</w:t>
      </w:r>
      <w:r>
        <w:rPr>
          <w:rFonts w:asciiTheme="minorEastAsia" w:eastAsiaTheme="minorEastAsia" w:hAnsiTheme="minorEastAsia" w:cstheme="minorEastAsia" w:hint="eastAsia"/>
          <w:kern w:val="0"/>
          <w:szCs w:val="21"/>
        </w:rPr>
        <w:t>设施秋茬栽培的技术要点。</w:t>
      </w:r>
    </w:p>
    <w:p w14:paraId="7B1F989E" w14:textId="77777777" w:rsidR="00F5289E" w:rsidRDefault="00C91173">
      <w:pPr>
        <w:widowControl/>
        <w:spacing w:line="360" w:lineRule="auto"/>
        <w:jc w:val="left"/>
        <w:rPr>
          <w:kern w:val="0"/>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设施芹菜、</w:t>
      </w:r>
      <w:r>
        <w:rPr>
          <w:rFonts w:asciiTheme="minorEastAsia" w:eastAsiaTheme="minorEastAsia" w:hAnsiTheme="minorEastAsia" w:cstheme="minorEastAsia"/>
          <w:szCs w:val="21"/>
        </w:rPr>
        <w:t>莴苣起源、历史和栽培现状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11B257D0" w14:textId="77777777">
        <w:trPr>
          <w:trHeight w:val="270"/>
        </w:trPr>
        <w:tc>
          <w:tcPr>
            <w:tcW w:w="2831" w:type="dxa"/>
            <w:tcBorders>
              <w:top w:val="nil"/>
              <w:left w:val="nil"/>
              <w:bottom w:val="nil"/>
              <w:right w:val="nil"/>
            </w:tcBorders>
            <w:vAlign w:val="center"/>
          </w:tcPr>
          <w:p w14:paraId="062EE5AE" w14:textId="77777777" w:rsidR="00F5289E" w:rsidRDefault="00F5289E">
            <w:pPr>
              <w:widowControl/>
              <w:snapToGrid w:val="0"/>
              <w:spacing w:line="360" w:lineRule="auto"/>
              <w:jc w:val="center"/>
              <w:rPr>
                <w:rFonts w:hAnsi="宋体"/>
                <w:b/>
                <w:bCs/>
                <w:kern w:val="0"/>
                <w:szCs w:val="21"/>
              </w:rPr>
            </w:pPr>
          </w:p>
        </w:tc>
        <w:tc>
          <w:tcPr>
            <w:tcW w:w="3261" w:type="dxa"/>
            <w:tcBorders>
              <w:top w:val="nil"/>
              <w:left w:val="nil"/>
              <w:bottom w:val="nil"/>
              <w:right w:val="nil"/>
            </w:tcBorders>
            <w:vAlign w:val="center"/>
          </w:tcPr>
          <w:p w14:paraId="502DF67D"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第十章</w:t>
            </w:r>
            <w:r>
              <w:rPr>
                <w:rFonts w:hAnsi="宋体" w:hint="eastAsia"/>
                <w:b/>
                <w:bCs/>
                <w:kern w:val="0"/>
                <w:szCs w:val="21"/>
              </w:rPr>
              <w:t xml:space="preserve">  </w:t>
            </w:r>
            <w:r>
              <w:rPr>
                <w:rFonts w:hAnsi="宋体" w:hint="eastAsia"/>
                <w:b/>
                <w:bCs/>
                <w:kern w:val="0"/>
                <w:szCs w:val="21"/>
              </w:rPr>
              <w:t>设施白菜</w:t>
            </w:r>
            <w:r>
              <w:rPr>
                <w:rFonts w:asciiTheme="minorEastAsia" w:eastAsiaTheme="minorEastAsia" w:hAnsiTheme="minorEastAsia" w:cstheme="minorEastAsia" w:hint="eastAsia"/>
                <w:b/>
                <w:bCs/>
                <w:kern w:val="0"/>
                <w:szCs w:val="21"/>
              </w:rPr>
              <w:t>类蔬菜栽培</w:t>
            </w:r>
          </w:p>
        </w:tc>
        <w:tc>
          <w:tcPr>
            <w:tcW w:w="2804" w:type="dxa"/>
            <w:tcBorders>
              <w:top w:val="nil"/>
              <w:left w:val="nil"/>
              <w:bottom w:val="nil"/>
              <w:right w:val="nil"/>
            </w:tcBorders>
            <w:vAlign w:val="center"/>
          </w:tcPr>
          <w:p w14:paraId="0E55EEA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01DF8ECC"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教学目标：</w:t>
      </w:r>
      <w:r>
        <w:rPr>
          <w:rFonts w:asciiTheme="minorEastAsia" w:eastAsiaTheme="minorEastAsia" w:hAnsiTheme="minorEastAsia" w:cstheme="minorEastAsia" w:hint="eastAsia"/>
          <w:color w:val="353535"/>
          <w:kern w:val="0"/>
          <w:szCs w:val="21"/>
        </w:rPr>
        <w:t>了解设施白菜类蔬菜的起源与栽培历史、营养价值、在周年供应中的现状；了解主要设施白菜类蔬菜的生物学特性、品种类型特点、掌握生物学特征特性与栽培的关系；掌握主要栽培茬次的定植、田间管理、肥水管理、温光管理等栽培技术要点。</w:t>
      </w:r>
    </w:p>
    <w:p w14:paraId="7875DF7A" w14:textId="77777777" w:rsidR="00F5289E" w:rsidRDefault="00C91173">
      <w:pPr>
        <w:widowControl/>
        <w:spacing w:line="360" w:lineRule="auto"/>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教学重点和难点：</w:t>
      </w:r>
      <w:r>
        <w:rPr>
          <w:rFonts w:asciiTheme="minorEastAsia" w:eastAsiaTheme="minorEastAsia" w:hAnsiTheme="minorEastAsia" w:cstheme="minorEastAsia" w:hint="eastAsia"/>
          <w:color w:val="353535"/>
          <w:kern w:val="0"/>
          <w:szCs w:val="21"/>
        </w:rPr>
        <w:t>本章的重点是设施白菜类蔬菜的生物学特性与栽培的关系、主要栽培茬次的品种选择、栽培关键技术要点。难点是“未熟抽苔”的原因与克服措施。</w:t>
      </w:r>
    </w:p>
    <w:p w14:paraId="5D0B5471" w14:textId="77777777" w:rsidR="00F5289E" w:rsidRDefault="00C91173">
      <w:pPr>
        <w:widowControl/>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主要教学内容及要求：</w:t>
      </w:r>
    </w:p>
    <w:p w14:paraId="16B34D0B"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lastRenderedPageBreak/>
        <w:t>了解白菜起源，进化，类型与品种，植物学特征、生物学特性，栽培季节与茬次；</w:t>
      </w:r>
    </w:p>
    <w:p w14:paraId="779F583D"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理解种子春化、“未熟抽薹”对生产的指导作用；</w:t>
      </w:r>
    </w:p>
    <w:p w14:paraId="370913AC"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掌握控制种子春化作物通过春化的措施；</w:t>
      </w:r>
    </w:p>
    <w:p w14:paraId="72447C88" w14:textId="77777777" w:rsidR="00F5289E" w:rsidRDefault="00C91173">
      <w:pPr>
        <w:widowControl/>
        <w:spacing w:line="360"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熟练掌握设施春茬大白菜栽培的技术要点。</w:t>
      </w:r>
    </w:p>
    <w:p w14:paraId="486A5F72" w14:textId="77777777" w:rsidR="00F5289E" w:rsidRDefault="00C91173">
      <w:pPr>
        <w:widowControl/>
        <w:spacing w:line="360"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教学组织与实施：</w:t>
      </w:r>
      <w:r>
        <w:rPr>
          <w:rFonts w:hint="eastAsia"/>
          <w:kern w:val="0"/>
          <w:szCs w:val="21"/>
        </w:rPr>
        <w:t>通过</w:t>
      </w:r>
      <w:r>
        <w:rPr>
          <w:kern w:val="0"/>
          <w:szCs w:val="21"/>
        </w:rPr>
        <w:t>在</w:t>
      </w:r>
      <w:r>
        <w:rPr>
          <w:rFonts w:hint="eastAsia"/>
          <w:kern w:val="0"/>
          <w:szCs w:val="21"/>
        </w:rPr>
        <w:t>超星</w:t>
      </w:r>
      <w:r>
        <w:rPr>
          <w:kern w:val="0"/>
          <w:szCs w:val="21"/>
        </w:rPr>
        <w:t>学习通</w:t>
      </w:r>
      <w:r>
        <w:rPr>
          <w:rFonts w:hint="eastAsia"/>
          <w:kern w:val="0"/>
          <w:szCs w:val="21"/>
        </w:rPr>
        <w:t>上传视频</w:t>
      </w:r>
      <w:r>
        <w:rPr>
          <w:kern w:val="0"/>
          <w:szCs w:val="21"/>
        </w:rPr>
        <w:t>资源、</w:t>
      </w:r>
      <w:r>
        <w:rPr>
          <w:rFonts w:hint="eastAsia"/>
          <w:kern w:val="0"/>
          <w:szCs w:val="21"/>
        </w:rPr>
        <w:t>PPT</w:t>
      </w:r>
      <w:r>
        <w:rPr>
          <w:rFonts w:hint="eastAsia"/>
          <w:kern w:val="0"/>
          <w:szCs w:val="21"/>
        </w:rPr>
        <w:t>、</w:t>
      </w:r>
      <w:r>
        <w:rPr>
          <w:kern w:val="0"/>
          <w:szCs w:val="21"/>
        </w:rPr>
        <w:t>讲义、在线测试题、作业等，</w:t>
      </w:r>
      <w:r>
        <w:rPr>
          <w:rFonts w:hint="eastAsia"/>
          <w:kern w:val="0"/>
          <w:szCs w:val="21"/>
        </w:rPr>
        <w:t>以任务</w:t>
      </w:r>
      <w:r>
        <w:rPr>
          <w:kern w:val="0"/>
          <w:szCs w:val="21"/>
        </w:rPr>
        <w:t>驱动的</w:t>
      </w:r>
      <w:r>
        <w:rPr>
          <w:rFonts w:hint="eastAsia"/>
          <w:kern w:val="0"/>
          <w:szCs w:val="21"/>
        </w:rPr>
        <w:t>教学方法，</w:t>
      </w:r>
      <w:r>
        <w:rPr>
          <w:rFonts w:asciiTheme="minorEastAsia" w:eastAsiaTheme="minorEastAsia" w:hAnsiTheme="minorEastAsia" w:cstheme="minorEastAsia" w:hint="eastAsia"/>
          <w:szCs w:val="21"/>
        </w:rPr>
        <w:t>帮助同学们</w:t>
      </w:r>
      <w:r>
        <w:rPr>
          <w:rFonts w:asciiTheme="minorEastAsia" w:eastAsiaTheme="minorEastAsia" w:hAnsiTheme="minorEastAsia" w:cstheme="minorEastAsia"/>
          <w:szCs w:val="21"/>
        </w:rPr>
        <w:t>快速掌握</w:t>
      </w:r>
      <w:r>
        <w:rPr>
          <w:rFonts w:asciiTheme="minorEastAsia" w:eastAsiaTheme="minorEastAsia" w:hAnsiTheme="minorEastAsia" w:cstheme="minorEastAsia" w:hint="eastAsia"/>
          <w:szCs w:val="21"/>
        </w:rPr>
        <w:t>设施大白菜</w:t>
      </w:r>
      <w:r>
        <w:rPr>
          <w:rFonts w:asciiTheme="minorEastAsia" w:eastAsiaTheme="minorEastAsia" w:hAnsiTheme="minorEastAsia" w:cstheme="minorEastAsia"/>
          <w:szCs w:val="21"/>
        </w:rPr>
        <w:t>的起源、历史和栽培现状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生物学特性及栽培关键技术等知识点内容；</w:t>
      </w:r>
      <w:r>
        <w:rPr>
          <w:rFonts w:asciiTheme="minorEastAsia" w:eastAsiaTheme="minorEastAsia" w:hAnsiTheme="minorEastAsia" w:cstheme="minorEastAsia" w:hint="eastAsia"/>
          <w:szCs w:val="21"/>
        </w:rPr>
        <w:t>以</w:t>
      </w:r>
      <w:r>
        <w:rPr>
          <w:rFonts w:asciiTheme="minorEastAsia" w:eastAsiaTheme="minorEastAsia" w:hAnsiTheme="minorEastAsia" w:cstheme="minorEastAsia"/>
          <w:szCs w:val="21"/>
        </w:rPr>
        <w:t>调查、分组讨论的形式，帮助同学们在达成知识目标的同时，达成能力和素质目标。</w:t>
      </w:r>
      <w:r>
        <w:rPr>
          <w:kern w:val="0"/>
          <w:szCs w:val="21"/>
        </w:rPr>
        <w:t>最后</w:t>
      </w:r>
      <w:r>
        <w:rPr>
          <w:rFonts w:hint="eastAsia"/>
          <w:kern w:val="0"/>
          <w:szCs w:val="21"/>
        </w:rPr>
        <w:t>通过</w:t>
      </w:r>
      <w:r>
        <w:rPr>
          <w:kern w:val="0"/>
          <w:szCs w:val="21"/>
        </w:rPr>
        <w:t>学习通平台大数据</w:t>
      </w:r>
      <w:r>
        <w:rPr>
          <w:rFonts w:hint="eastAsia"/>
          <w:kern w:val="0"/>
          <w:szCs w:val="21"/>
        </w:rPr>
        <w:t>统计</w:t>
      </w:r>
      <w:r>
        <w:rPr>
          <w:kern w:val="0"/>
          <w:szCs w:val="21"/>
        </w:rPr>
        <w:t>结果，及时</w:t>
      </w:r>
      <w:r>
        <w:rPr>
          <w:rFonts w:hint="eastAsia"/>
          <w:kern w:val="0"/>
          <w:szCs w:val="21"/>
        </w:rPr>
        <w:t>反馈</w:t>
      </w:r>
      <w:r>
        <w:rPr>
          <w:kern w:val="0"/>
          <w:szCs w:val="21"/>
        </w:rPr>
        <w:t>每位同学对这章节</w:t>
      </w:r>
      <w:r>
        <w:rPr>
          <w:rFonts w:hint="eastAsia"/>
          <w:kern w:val="0"/>
          <w:szCs w:val="21"/>
        </w:rPr>
        <w:t>课程</w:t>
      </w:r>
      <w:r>
        <w:rPr>
          <w:kern w:val="0"/>
          <w:szCs w:val="21"/>
        </w:rPr>
        <w:t>的理解和掌握情况，提高教学效果</w:t>
      </w:r>
      <w:r>
        <w:rPr>
          <w:rFonts w:hint="eastAsia"/>
          <w:kern w:val="0"/>
          <w:szCs w:val="21"/>
        </w:rPr>
        <w:t>。</w:t>
      </w:r>
    </w:p>
    <w:p w14:paraId="33DC83F0" w14:textId="77777777" w:rsidR="00F5289E" w:rsidRDefault="00C91173">
      <w:pPr>
        <w:widowControl/>
        <w:spacing w:line="360" w:lineRule="auto"/>
        <w:jc w:val="left"/>
        <w:rPr>
          <w:rFonts w:asciiTheme="minorEastAsia" w:eastAsiaTheme="minorEastAsia" w:hAnsiTheme="minorEastAsia" w:cstheme="minorEastAsia"/>
          <w:b/>
          <w:bCs/>
          <w:kern w:val="0"/>
          <w:szCs w:val="21"/>
        </w:rPr>
      </w:pPr>
      <w:r>
        <w:rPr>
          <w:rFonts w:hAnsi="宋体" w:hint="eastAsia"/>
          <w:b/>
          <w:bCs/>
          <w:kern w:val="0"/>
          <w:szCs w:val="21"/>
        </w:rPr>
        <w:t>五</w:t>
      </w:r>
      <w:r>
        <w:rPr>
          <w:rFonts w:hAnsi="宋体"/>
          <w:b/>
          <w:bCs/>
          <w:kern w:val="0"/>
          <w:szCs w:val="21"/>
        </w:rPr>
        <w:t>、</w:t>
      </w:r>
      <w:r>
        <w:rPr>
          <w:rFonts w:hAnsi="宋体" w:hint="eastAsia"/>
          <w:b/>
          <w:bCs/>
          <w:kern w:val="0"/>
          <w:szCs w:val="21"/>
        </w:rPr>
        <w:t>实</w:t>
      </w:r>
      <w:r>
        <w:rPr>
          <w:rFonts w:asciiTheme="minorEastAsia" w:eastAsiaTheme="minorEastAsia" w:hAnsiTheme="minorEastAsia" w:cstheme="minorEastAsia" w:hint="eastAsia"/>
          <w:b/>
          <w:bCs/>
          <w:kern w:val="0"/>
          <w:szCs w:val="21"/>
        </w:rPr>
        <w:t>验教学内容及学时分配 （</w:t>
      </w:r>
      <w:r>
        <w:rPr>
          <w:rFonts w:asciiTheme="minorEastAsia" w:eastAsiaTheme="minorEastAsia" w:hAnsiTheme="minorEastAsia" w:cstheme="minorEastAsia" w:hint="eastAsia"/>
          <w:b/>
          <w:bCs/>
          <w:color w:val="000000"/>
          <w:kern w:val="0"/>
          <w:szCs w:val="21"/>
        </w:rPr>
        <w:t>1</w:t>
      </w:r>
      <w:r>
        <w:rPr>
          <w:rFonts w:asciiTheme="minorEastAsia" w:eastAsiaTheme="minorEastAsia" w:hAnsiTheme="minorEastAsia" w:cstheme="minorEastAsia"/>
          <w:b/>
          <w:bCs/>
          <w:color w:val="000000"/>
          <w:kern w:val="0"/>
          <w:szCs w:val="21"/>
        </w:rPr>
        <w:t>8</w:t>
      </w:r>
      <w:r>
        <w:rPr>
          <w:rFonts w:asciiTheme="minorEastAsia" w:eastAsiaTheme="minorEastAsia" w:hAnsiTheme="minorEastAsia" w:cstheme="minorEastAsia" w:hint="eastAsia"/>
          <w:b/>
          <w:bCs/>
          <w:kern w:val="0"/>
          <w:szCs w:val="21"/>
        </w:rPr>
        <w:t>学时）</w:t>
      </w:r>
    </w:p>
    <w:p w14:paraId="2DBE5AC4" w14:textId="77777777" w:rsidR="00F5289E" w:rsidRDefault="00C91173">
      <w:pPr>
        <w:widowControl/>
        <w:spacing w:beforeLines="50" w:before="156" w:afterLines="50" w:after="156"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（一）实验课程简介</w:t>
      </w:r>
    </w:p>
    <w:p w14:paraId="7AACDD1A" w14:textId="77777777" w:rsidR="00F5289E" w:rsidRDefault="00C91173">
      <w:pPr>
        <w:spacing w:line="360" w:lineRule="auto"/>
        <w:ind w:firstLineChars="200" w:firstLine="420"/>
        <w:rPr>
          <w:rFonts w:ascii="宋体" w:hAnsi="宋体"/>
          <w:szCs w:val="21"/>
        </w:rPr>
      </w:pPr>
      <w:r>
        <w:rPr>
          <w:rFonts w:ascii="宋体" w:hAnsi="宋体" w:hint="eastAsia"/>
          <w:szCs w:val="21"/>
        </w:rPr>
        <w:t>《设施蔬菜栽培学实验》是设施农业科学与工程专业实践教学体系的重要组成部分，该课程针对《设施蔬菜栽培学》课程内容体系，设立了11个实验项目（其中6个选做实验）包括：育苗、整地、做垄与定植、植株调整、生长调节剂应用、</w:t>
      </w:r>
      <w:r>
        <w:rPr>
          <w:rFonts w:ascii="宋体" w:hAnsi="宋体" w:hint="eastAsia"/>
          <w:kern w:val="0"/>
          <w:sz w:val="20"/>
          <w:szCs w:val="21"/>
        </w:rPr>
        <w:t>叶绿素含量测定、蔬菜植株形态指标调查与测定、</w:t>
      </w:r>
      <w:r>
        <w:rPr>
          <w:rFonts w:ascii="宋体" w:hAnsi="宋体" w:hint="eastAsia"/>
          <w:szCs w:val="21"/>
        </w:rPr>
        <w:t>植株矿质营养测定、蔬菜产品营养品质测定等，包括了蔬菜生产过程中关键实践环节、</w:t>
      </w:r>
      <w:r>
        <w:rPr>
          <w:rFonts w:ascii="宋体" w:hAnsi="宋体" w:cs="宋体" w:hint="eastAsia"/>
          <w:bCs/>
          <w:kern w:val="0"/>
          <w:szCs w:val="21"/>
        </w:rPr>
        <w:t>蔬菜生理指标、矿质营养及品质指标测定的方法</w:t>
      </w:r>
      <w:r>
        <w:rPr>
          <w:rFonts w:ascii="宋体" w:hAnsi="宋体" w:hint="eastAsia"/>
          <w:szCs w:val="21"/>
        </w:rPr>
        <w:t>，涵盖了蔬菜栽培学基础理论验证、田间基本操作和栽培生理学研究必备的基本实践操作内容，设计的实验内容具有系统性、针对性、实用性强的特点，对培养学生理论与实践相结合、提高实际动手能力有重要作用。</w:t>
      </w:r>
    </w:p>
    <w:p w14:paraId="54AB2EB9" w14:textId="77777777" w:rsidR="00F5289E" w:rsidRDefault="00C91173">
      <w:pPr>
        <w:widowControl/>
        <w:spacing w:beforeLines="50" w:before="156" w:afterLines="50" w:after="156"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（二）实验教学目的和基本要求</w:t>
      </w:r>
    </w:p>
    <w:p w14:paraId="462C47D9" w14:textId="77777777" w:rsidR="00F5289E" w:rsidRDefault="00C91173">
      <w:pPr>
        <w:snapToGrid w:val="0"/>
        <w:spacing w:line="360" w:lineRule="auto"/>
        <w:ind w:firstLineChars="218" w:firstLine="458"/>
        <w:rPr>
          <w:rFonts w:ascii="宋体" w:hAnsi="宋体"/>
          <w:szCs w:val="21"/>
        </w:rPr>
      </w:pPr>
      <w:r>
        <w:rPr>
          <w:rFonts w:ascii="宋体" w:hAnsi="宋体" w:hint="eastAsia"/>
          <w:szCs w:val="21"/>
        </w:rPr>
        <w:t>通过本实验课教学，使学生掌握设施蔬菜栽培过程中基本实践操作技能，掌握蔬菜栽培科学研究必备的调查和测定方法，掌握蔬菜植株营养诊断和蔬菜产品品质分析的操作方法。要求学生熟练掌握播种育苗技术、整地、做垄定植、植株调整、保花保果的基本操作方法，熟悉试验材料的采集和处理方法，实验室常用栽培相关仪器设备的调试和使用，常见药剂（品）的配制等基本实验操作方法；通过实验教学与训练，培养学生综合运用基础课、专业基础课知识的能力，培养学生自主探求知识、独立分析问题和解决问题的能力。</w:t>
      </w:r>
    </w:p>
    <w:p w14:paraId="2BCD251A" w14:textId="77777777" w:rsidR="00F5289E" w:rsidRDefault="00C91173">
      <w:pPr>
        <w:snapToGrid w:val="0"/>
        <w:spacing w:line="360" w:lineRule="auto"/>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（三）实验安全操作规范</w:t>
      </w:r>
    </w:p>
    <w:p w14:paraId="7815250B" w14:textId="77777777" w:rsidR="00F5289E" w:rsidRDefault="00C91173">
      <w:pPr>
        <w:snapToGrid w:val="0"/>
        <w:spacing w:line="360" w:lineRule="auto"/>
        <w:ind w:firstLineChars="200" w:firstLine="420"/>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实验室不允许带食品和饮料；学生严格遵照实验安全规程操作；实验结束后，学生要正确关闭实验设备，并将设备摆放整齐，检查水、电、气等安全措施完善后才能离开实验室；要求学生清理实验设置附近的垃圾方可离开实验室。</w:t>
      </w:r>
    </w:p>
    <w:p w14:paraId="5E3B0597" w14:textId="77777777" w:rsidR="00F5289E" w:rsidRDefault="00C91173">
      <w:pPr>
        <w:widowControl/>
        <w:spacing w:afterLines="50" w:after="156"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lastRenderedPageBreak/>
        <w:t>（四）实验项目名称与学时分配</w:t>
      </w:r>
    </w:p>
    <w:tbl>
      <w:tblPr>
        <w:tblStyle w:val="af6"/>
        <w:tblW w:w="0" w:type="auto"/>
        <w:tblLook w:val="04A0" w:firstRow="1" w:lastRow="0" w:firstColumn="1" w:lastColumn="0" w:noHBand="0" w:noVBand="1"/>
      </w:tblPr>
      <w:tblGrid>
        <w:gridCol w:w="1566"/>
        <w:gridCol w:w="2657"/>
        <w:gridCol w:w="734"/>
        <w:gridCol w:w="992"/>
        <w:gridCol w:w="1177"/>
        <w:gridCol w:w="1170"/>
      </w:tblGrid>
      <w:tr w:rsidR="00F5289E" w14:paraId="2E0E14A9" w14:textId="77777777">
        <w:trPr>
          <w:trHeight w:val="221"/>
        </w:trPr>
        <w:tc>
          <w:tcPr>
            <w:tcW w:w="1566" w:type="dxa"/>
            <w:shd w:val="clear" w:color="auto" w:fill="EEECE1" w:themeFill="background2"/>
            <w:vAlign w:val="center"/>
          </w:tcPr>
          <w:p w14:paraId="19524F98" w14:textId="77777777" w:rsidR="00F5289E" w:rsidRDefault="00C91173">
            <w:pPr>
              <w:ind w:firstLine="361"/>
              <w:rPr>
                <w:rFonts w:ascii="宋体" w:hAnsi="宋体" w:cs="宋体"/>
                <w:b/>
                <w:bCs/>
                <w:sz w:val="18"/>
                <w:szCs w:val="18"/>
              </w:rPr>
            </w:pPr>
            <w:r>
              <w:rPr>
                <w:rFonts w:ascii="宋体" w:hAnsi="宋体" w:cs="宋体" w:hint="eastAsia"/>
                <w:b/>
                <w:bCs/>
                <w:sz w:val="18"/>
                <w:szCs w:val="18"/>
              </w:rPr>
              <w:t>序号</w:t>
            </w:r>
          </w:p>
        </w:tc>
        <w:tc>
          <w:tcPr>
            <w:tcW w:w="2657" w:type="dxa"/>
            <w:shd w:val="clear" w:color="auto" w:fill="EEECE1" w:themeFill="background2"/>
            <w:vAlign w:val="center"/>
          </w:tcPr>
          <w:p w14:paraId="05C4369D" w14:textId="77777777" w:rsidR="00F5289E" w:rsidRDefault="00C91173">
            <w:pPr>
              <w:ind w:firstLineChars="500" w:firstLine="904"/>
              <w:rPr>
                <w:rFonts w:ascii="宋体" w:hAnsi="宋体" w:cs="宋体"/>
                <w:b/>
                <w:bCs/>
                <w:sz w:val="18"/>
                <w:szCs w:val="18"/>
              </w:rPr>
            </w:pPr>
            <w:r>
              <w:rPr>
                <w:rFonts w:ascii="宋体" w:hAnsi="宋体" w:cs="宋体" w:hint="eastAsia"/>
                <w:b/>
                <w:bCs/>
                <w:sz w:val="18"/>
                <w:szCs w:val="18"/>
              </w:rPr>
              <w:t>实验名称</w:t>
            </w:r>
          </w:p>
        </w:tc>
        <w:tc>
          <w:tcPr>
            <w:tcW w:w="734" w:type="dxa"/>
            <w:shd w:val="clear" w:color="auto" w:fill="EEECE1" w:themeFill="background2"/>
            <w:vAlign w:val="center"/>
          </w:tcPr>
          <w:p w14:paraId="536FE7F2" w14:textId="77777777" w:rsidR="00F5289E" w:rsidRDefault="00C91173">
            <w:pPr>
              <w:jc w:val="left"/>
              <w:rPr>
                <w:rFonts w:ascii="宋体" w:hAnsi="宋体" w:cs="宋体"/>
                <w:b/>
                <w:bCs/>
                <w:sz w:val="18"/>
                <w:szCs w:val="18"/>
              </w:rPr>
            </w:pPr>
            <w:r>
              <w:rPr>
                <w:rFonts w:ascii="宋体" w:hAnsi="宋体" w:cs="宋体" w:hint="eastAsia"/>
                <w:b/>
                <w:bCs/>
                <w:sz w:val="18"/>
                <w:szCs w:val="18"/>
              </w:rPr>
              <w:t>学时</w:t>
            </w:r>
          </w:p>
        </w:tc>
        <w:tc>
          <w:tcPr>
            <w:tcW w:w="992" w:type="dxa"/>
            <w:shd w:val="clear" w:color="auto" w:fill="EEECE1" w:themeFill="background2"/>
            <w:vAlign w:val="center"/>
          </w:tcPr>
          <w:p w14:paraId="072210A0" w14:textId="77777777" w:rsidR="00F5289E" w:rsidRDefault="00C91173">
            <w:pPr>
              <w:rPr>
                <w:rFonts w:ascii="宋体" w:hAnsi="宋体" w:cs="宋体"/>
                <w:b/>
                <w:bCs/>
                <w:sz w:val="18"/>
                <w:szCs w:val="18"/>
              </w:rPr>
            </w:pPr>
            <w:r>
              <w:rPr>
                <w:rFonts w:ascii="宋体" w:hAnsi="宋体" w:cs="宋体" w:hint="eastAsia"/>
                <w:b/>
                <w:bCs/>
                <w:sz w:val="18"/>
                <w:szCs w:val="18"/>
              </w:rPr>
              <w:t>类型</w:t>
            </w:r>
          </w:p>
        </w:tc>
        <w:tc>
          <w:tcPr>
            <w:tcW w:w="1177" w:type="dxa"/>
            <w:shd w:val="clear" w:color="auto" w:fill="EEECE1" w:themeFill="background2"/>
            <w:vAlign w:val="center"/>
          </w:tcPr>
          <w:p w14:paraId="40E47835"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170" w:type="dxa"/>
            <w:shd w:val="clear" w:color="auto" w:fill="EEECE1" w:themeFill="background2"/>
            <w:vAlign w:val="center"/>
          </w:tcPr>
          <w:p w14:paraId="17E457EE"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5C306E02" w14:textId="77777777">
        <w:tc>
          <w:tcPr>
            <w:tcW w:w="1566" w:type="dxa"/>
          </w:tcPr>
          <w:p w14:paraId="6D3B7102"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1</w:t>
            </w:r>
          </w:p>
        </w:tc>
        <w:tc>
          <w:tcPr>
            <w:tcW w:w="2657" w:type="dxa"/>
          </w:tcPr>
          <w:p w14:paraId="1C6B3CDC" w14:textId="77777777" w:rsidR="00F5289E" w:rsidRDefault="00C91173">
            <w:pPr>
              <w:ind w:firstLineChars="350" w:firstLine="63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蔬菜播种育苗</w:t>
            </w:r>
          </w:p>
        </w:tc>
        <w:tc>
          <w:tcPr>
            <w:tcW w:w="734" w:type="dxa"/>
          </w:tcPr>
          <w:p w14:paraId="590A8363"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035F410A"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784EC876"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必做</w:t>
            </w:r>
          </w:p>
        </w:tc>
        <w:tc>
          <w:tcPr>
            <w:tcW w:w="1170" w:type="dxa"/>
          </w:tcPr>
          <w:p w14:paraId="016D610A"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r>
      <w:tr w:rsidR="00F5289E" w14:paraId="75E9168A" w14:textId="77777777">
        <w:tc>
          <w:tcPr>
            <w:tcW w:w="1566" w:type="dxa"/>
          </w:tcPr>
          <w:p w14:paraId="48F93777" w14:textId="77777777" w:rsidR="00F5289E" w:rsidRDefault="00C91173">
            <w:pPr>
              <w:rPr>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2</w:t>
            </w:r>
          </w:p>
        </w:tc>
        <w:tc>
          <w:tcPr>
            <w:tcW w:w="2657" w:type="dxa"/>
          </w:tcPr>
          <w:p w14:paraId="1BD1B563" w14:textId="77777777" w:rsidR="00F5289E" w:rsidRDefault="00C91173">
            <w:pPr>
              <w:rPr>
                <w:sz w:val="18"/>
                <w:szCs w:val="18"/>
              </w:rPr>
            </w:pPr>
            <w:r>
              <w:rPr>
                <w:rFonts w:asciiTheme="minorEastAsia" w:eastAsiaTheme="minorEastAsia" w:hAnsiTheme="minorEastAsia" w:cstheme="minorEastAsia" w:hint="eastAsia"/>
                <w:sz w:val="18"/>
                <w:szCs w:val="18"/>
              </w:rPr>
              <w:t>设施菜田整地、做垄与定植</w:t>
            </w:r>
          </w:p>
        </w:tc>
        <w:tc>
          <w:tcPr>
            <w:tcW w:w="734" w:type="dxa"/>
          </w:tcPr>
          <w:p w14:paraId="572852AE" w14:textId="77777777" w:rsidR="00F5289E" w:rsidRDefault="00C91173">
            <w:pPr>
              <w:rPr>
                <w:sz w:val="18"/>
                <w:szCs w:val="18"/>
              </w:rPr>
            </w:pPr>
            <w:r>
              <w:rPr>
                <w:rFonts w:asciiTheme="minorEastAsia" w:eastAsiaTheme="minorEastAsia" w:hAnsiTheme="minorEastAsia" w:cstheme="minorEastAsia" w:hint="eastAsia"/>
                <w:sz w:val="18"/>
                <w:szCs w:val="18"/>
              </w:rPr>
              <w:t>3</w:t>
            </w:r>
          </w:p>
        </w:tc>
        <w:tc>
          <w:tcPr>
            <w:tcW w:w="992" w:type="dxa"/>
          </w:tcPr>
          <w:p w14:paraId="40F8D47F" w14:textId="77777777" w:rsidR="00F5289E" w:rsidRDefault="00C91173">
            <w:pPr>
              <w:rPr>
                <w:sz w:val="18"/>
                <w:szCs w:val="18"/>
              </w:rPr>
            </w:pPr>
            <w:r>
              <w:rPr>
                <w:rFonts w:asciiTheme="minorEastAsia" w:eastAsiaTheme="minorEastAsia" w:hAnsiTheme="minorEastAsia" w:cstheme="minorEastAsia" w:hint="eastAsia"/>
                <w:sz w:val="18"/>
                <w:szCs w:val="18"/>
              </w:rPr>
              <w:t>基础性</w:t>
            </w:r>
          </w:p>
        </w:tc>
        <w:tc>
          <w:tcPr>
            <w:tcW w:w="1177" w:type="dxa"/>
          </w:tcPr>
          <w:p w14:paraId="24FCEC92" w14:textId="77777777" w:rsidR="00F5289E" w:rsidRDefault="00C91173">
            <w:pPr>
              <w:ind w:firstLine="360"/>
              <w:rPr>
                <w:sz w:val="18"/>
                <w:szCs w:val="18"/>
              </w:rPr>
            </w:pPr>
            <w:r>
              <w:rPr>
                <w:rFonts w:asciiTheme="minorEastAsia" w:eastAsiaTheme="minorEastAsia" w:hAnsiTheme="minorEastAsia" w:cstheme="minorEastAsia" w:hint="eastAsia"/>
                <w:sz w:val="18"/>
                <w:szCs w:val="18"/>
              </w:rPr>
              <w:t>必做</w:t>
            </w:r>
          </w:p>
        </w:tc>
        <w:tc>
          <w:tcPr>
            <w:tcW w:w="1170" w:type="dxa"/>
          </w:tcPr>
          <w:p w14:paraId="160C6E1D" w14:textId="77777777" w:rsidR="00F5289E" w:rsidRDefault="00C91173">
            <w:pPr>
              <w:ind w:firstLine="360"/>
              <w:rPr>
                <w:sz w:val="18"/>
                <w:szCs w:val="18"/>
              </w:rPr>
            </w:pP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sz w:val="18"/>
                <w:szCs w:val="18"/>
              </w:rPr>
              <w:t>0</w:t>
            </w:r>
          </w:p>
        </w:tc>
      </w:tr>
      <w:tr w:rsidR="00F5289E" w14:paraId="42AB25CC" w14:textId="77777777">
        <w:tc>
          <w:tcPr>
            <w:tcW w:w="1566" w:type="dxa"/>
          </w:tcPr>
          <w:p w14:paraId="0A129B54" w14:textId="77777777" w:rsidR="00F5289E" w:rsidRDefault="00C91173">
            <w:pPr>
              <w:rPr>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3</w:t>
            </w:r>
          </w:p>
        </w:tc>
        <w:tc>
          <w:tcPr>
            <w:tcW w:w="2657" w:type="dxa"/>
          </w:tcPr>
          <w:p w14:paraId="06DDAE46" w14:textId="77777777" w:rsidR="00F5289E" w:rsidRDefault="00C91173">
            <w:pPr>
              <w:ind w:firstLine="360"/>
              <w:rPr>
                <w:color w:val="0000FF"/>
                <w:sz w:val="18"/>
                <w:szCs w:val="18"/>
              </w:rPr>
            </w:pPr>
            <w:r>
              <w:rPr>
                <w:rFonts w:asciiTheme="minorEastAsia" w:eastAsiaTheme="minorEastAsia" w:hAnsiTheme="minorEastAsia" w:cstheme="minorEastAsia" w:hint="eastAsia"/>
                <w:sz w:val="18"/>
                <w:szCs w:val="18"/>
              </w:rPr>
              <w:t>蔬菜植株调整</w:t>
            </w:r>
          </w:p>
        </w:tc>
        <w:tc>
          <w:tcPr>
            <w:tcW w:w="734" w:type="dxa"/>
          </w:tcPr>
          <w:p w14:paraId="01737539" w14:textId="77777777" w:rsidR="00F5289E" w:rsidRDefault="00C91173">
            <w:pPr>
              <w:rPr>
                <w:sz w:val="18"/>
                <w:szCs w:val="18"/>
              </w:rPr>
            </w:pPr>
            <w:r>
              <w:rPr>
                <w:rFonts w:asciiTheme="minorEastAsia" w:eastAsiaTheme="minorEastAsia" w:hAnsiTheme="minorEastAsia" w:cstheme="minorEastAsia" w:hint="eastAsia"/>
                <w:sz w:val="18"/>
                <w:szCs w:val="18"/>
              </w:rPr>
              <w:t>2</w:t>
            </w:r>
          </w:p>
        </w:tc>
        <w:tc>
          <w:tcPr>
            <w:tcW w:w="992" w:type="dxa"/>
          </w:tcPr>
          <w:p w14:paraId="4564AB40" w14:textId="77777777" w:rsidR="00F5289E" w:rsidRDefault="00C91173">
            <w:pPr>
              <w:rPr>
                <w:sz w:val="18"/>
                <w:szCs w:val="18"/>
              </w:rPr>
            </w:pPr>
            <w:r>
              <w:rPr>
                <w:rFonts w:asciiTheme="minorEastAsia" w:eastAsiaTheme="minorEastAsia" w:hAnsiTheme="minorEastAsia" w:cstheme="minorEastAsia" w:hint="eastAsia"/>
                <w:sz w:val="18"/>
                <w:szCs w:val="18"/>
              </w:rPr>
              <w:t>基础性</w:t>
            </w:r>
          </w:p>
        </w:tc>
        <w:tc>
          <w:tcPr>
            <w:tcW w:w="1177" w:type="dxa"/>
          </w:tcPr>
          <w:p w14:paraId="420AA226" w14:textId="77777777" w:rsidR="00F5289E" w:rsidRDefault="00C91173">
            <w:pPr>
              <w:ind w:firstLine="360"/>
              <w:rPr>
                <w:sz w:val="18"/>
                <w:szCs w:val="18"/>
              </w:rPr>
            </w:pPr>
            <w:r>
              <w:rPr>
                <w:rFonts w:asciiTheme="minorEastAsia" w:eastAsiaTheme="minorEastAsia" w:hAnsiTheme="minorEastAsia" w:cstheme="minorEastAsia" w:hint="eastAsia"/>
                <w:sz w:val="18"/>
                <w:szCs w:val="18"/>
              </w:rPr>
              <w:t>必做</w:t>
            </w:r>
          </w:p>
        </w:tc>
        <w:tc>
          <w:tcPr>
            <w:tcW w:w="1170" w:type="dxa"/>
          </w:tcPr>
          <w:p w14:paraId="2CFB6053" w14:textId="77777777" w:rsidR="00F5289E" w:rsidRDefault="00C91173">
            <w:pPr>
              <w:ind w:firstLine="360"/>
              <w:rPr>
                <w:sz w:val="18"/>
                <w:szCs w:val="18"/>
              </w:rPr>
            </w:pP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sz w:val="18"/>
                <w:szCs w:val="18"/>
              </w:rPr>
              <w:t>0</w:t>
            </w:r>
          </w:p>
        </w:tc>
      </w:tr>
      <w:tr w:rsidR="00F5289E" w14:paraId="65822D9F" w14:textId="77777777">
        <w:tc>
          <w:tcPr>
            <w:tcW w:w="1566" w:type="dxa"/>
          </w:tcPr>
          <w:p w14:paraId="3AD5CE30" w14:textId="77777777" w:rsidR="00F5289E" w:rsidRDefault="00C91173">
            <w:pPr>
              <w:rPr>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4</w:t>
            </w:r>
          </w:p>
        </w:tc>
        <w:tc>
          <w:tcPr>
            <w:tcW w:w="2657" w:type="dxa"/>
          </w:tcPr>
          <w:p w14:paraId="3753E16D" w14:textId="77777777" w:rsidR="00F5289E" w:rsidRDefault="00C91173">
            <w:pPr>
              <w:rPr>
                <w:sz w:val="18"/>
                <w:szCs w:val="18"/>
              </w:rPr>
            </w:pPr>
            <w:r>
              <w:rPr>
                <w:rFonts w:asciiTheme="minorEastAsia" w:eastAsiaTheme="minorEastAsia" w:hAnsiTheme="minorEastAsia" w:cstheme="minorEastAsia" w:hint="eastAsia"/>
                <w:sz w:val="18"/>
                <w:szCs w:val="18"/>
              </w:rPr>
              <w:t>生长调节剂在蔬菜生产中应用</w:t>
            </w:r>
          </w:p>
        </w:tc>
        <w:tc>
          <w:tcPr>
            <w:tcW w:w="734" w:type="dxa"/>
          </w:tcPr>
          <w:p w14:paraId="27FBF235" w14:textId="77777777" w:rsidR="00F5289E" w:rsidRDefault="00C91173">
            <w:pPr>
              <w:tabs>
                <w:tab w:val="center" w:pos="489"/>
              </w:tabs>
              <w:rPr>
                <w:sz w:val="18"/>
                <w:szCs w:val="18"/>
              </w:rPr>
            </w:pPr>
            <w:r>
              <w:rPr>
                <w:rFonts w:asciiTheme="minorEastAsia" w:eastAsiaTheme="minorEastAsia" w:hAnsiTheme="minorEastAsia" w:cstheme="minorEastAsia" w:hint="eastAsia"/>
                <w:sz w:val="18"/>
                <w:szCs w:val="18"/>
              </w:rPr>
              <w:t>3</w:t>
            </w:r>
          </w:p>
        </w:tc>
        <w:tc>
          <w:tcPr>
            <w:tcW w:w="992" w:type="dxa"/>
          </w:tcPr>
          <w:p w14:paraId="0787AC68" w14:textId="77777777" w:rsidR="00F5289E" w:rsidRDefault="00C91173">
            <w:pPr>
              <w:rPr>
                <w:sz w:val="18"/>
                <w:szCs w:val="18"/>
              </w:rPr>
            </w:pPr>
            <w:r>
              <w:rPr>
                <w:rFonts w:asciiTheme="minorEastAsia" w:eastAsiaTheme="minorEastAsia" w:hAnsiTheme="minorEastAsia" w:cstheme="minorEastAsia" w:hint="eastAsia"/>
                <w:sz w:val="18"/>
                <w:szCs w:val="18"/>
              </w:rPr>
              <w:t>设计性</w:t>
            </w:r>
          </w:p>
        </w:tc>
        <w:tc>
          <w:tcPr>
            <w:tcW w:w="1177" w:type="dxa"/>
          </w:tcPr>
          <w:p w14:paraId="7AEDBA64" w14:textId="77777777" w:rsidR="00F5289E" w:rsidRDefault="00C91173">
            <w:pPr>
              <w:ind w:firstLine="360"/>
              <w:rPr>
                <w:sz w:val="18"/>
                <w:szCs w:val="18"/>
              </w:rPr>
            </w:pPr>
            <w:r>
              <w:rPr>
                <w:rFonts w:asciiTheme="minorEastAsia" w:eastAsiaTheme="minorEastAsia" w:hAnsiTheme="minorEastAsia" w:cstheme="minorEastAsia" w:hint="eastAsia"/>
                <w:sz w:val="18"/>
                <w:szCs w:val="18"/>
              </w:rPr>
              <w:t>必做</w:t>
            </w:r>
          </w:p>
        </w:tc>
        <w:tc>
          <w:tcPr>
            <w:tcW w:w="1170" w:type="dxa"/>
          </w:tcPr>
          <w:p w14:paraId="0D147967" w14:textId="77777777" w:rsidR="00F5289E" w:rsidRDefault="00C91173">
            <w:pPr>
              <w:tabs>
                <w:tab w:val="left" w:pos="408"/>
                <w:tab w:val="center" w:pos="657"/>
              </w:tabs>
              <w:ind w:firstLine="360"/>
              <w:jc w:val="left"/>
              <w:rPr>
                <w:sz w:val="18"/>
                <w:szCs w:val="18"/>
              </w:rPr>
            </w:pPr>
            <w:r>
              <w:rPr>
                <w:rFonts w:asciiTheme="minorEastAsia" w:eastAsiaTheme="minorEastAsia" w:hAnsiTheme="minorEastAsia" w:cstheme="minorEastAsia"/>
                <w:sz w:val="18"/>
                <w:szCs w:val="18"/>
              </w:rPr>
              <w:tab/>
            </w:r>
            <w:r>
              <w:rPr>
                <w:rFonts w:asciiTheme="minorEastAsia" w:eastAsiaTheme="minorEastAsia" w:hAnsiTheme="minorEastAsia" w:cstheme="minorEastAsia" w:hint="eastAsia"/>
                <w:sz w:val="18"/>
                <w:szCs w:val="18"/>
              </w:rPr>
              <w:t>5</w:t>
            </w:r>
          </w:p>
        </w:tc>
      </w:tr>
      <w:tr w:rsidR="00F5289E" w14:paraId="7A3DB1E3" w14:textId="77777777">
        <w:tc>
          <w:tcPr>
            <w:tcW w:w="1566" w:type="dxa"/>
          </w:tcPr>
          <w:p w14:paraId="4E1D185C"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5</w:t>
            </w:r>
          </w:p>
        </w:tc>
        <w:tc>
          <w:tcPr>
            <w:tcW w:w="2657" w:type="dxa"/>
          </w:tcPr>
          <w:p w14:paraId="4D3C54F7"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蔬菜植株形态指标调查与测定</w:t>
            </w:r>
          </w:p>
        </w:tc>
        <w:tc>
          <w:tcPr>
            <w:tcW w:w="734" w:type="dxa"/>
          </w:tcPr>
          <w:p w14:paraId="1E9475E1" w14:textId="77777777" w:rsidR="00F5289E" w:rsidRDefault="00C91173">
            <w:pPr>
              <w:tabs>
                <w:tab w:val="center" w:pos="489"/>
              </w:tabs>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407AECAA"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设计性</w:t>
            </w:r>
          </w:p>
        </w:tc>
        <w:tc>
          <w:tcPr>
            <w:tcW w:w="1177" w:type="dxa"/>
          </w:tcPr>
          <w:p w14:paraId="46D60AE0"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必做</w:t>
            </w:r>
          </w:p>
        </w:tc>
        <w:tc>
          <w:tcPr>
            <w:tcW w:w="1170" w:type="dxa"/>
          </w:tcPr>
          <w:p w14:paraId="1C6C1A67" w14:textId="77777777" w:rsidR="00F5289E" w:rsidRDefault="00C91173">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4288BB57" w14:textId="77777777">
        <w:tc>
          <w:tcPr>
            <w:tcW w:w="1566" w:type="dxa"/>
          </w:tcPr>
          <w:p w14:paraId="2BDE54D1"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w:t>
            </w:r>
            <w:r>
              <w:rPr>
                <w:rFonts w:asciiTheme="minorEastAsia" w:eastAsiaTheme="minorEastAsia" w:hAnsiTheme="minorEastAsia" w:cstheme="minorEastAsia" w:hint="eastAsia"/>
                <w:sz w:val="18"/>
                <w:szCs w:val="18"/>
              </w:rPr>
              <w:t>6</w:t>
            </w:r>
          </w:p>
        </w:tc>
        <w:tc>
          <w:tcPr>
            <w:tcW w:w="2657" w:type="dxa"/>
          </w:tcPr>
          <w:p w14:paraId="0B689971"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蔬菜叶绿素含量测定</w:t>
            </w:r>
          </w:p>
        </w:tc>
        <w:tc>
          <w:tcPr>
            <w:tcW w:w="734" w:type="dxa"/>
          </w:tcPr>
          <w:p w14:paraId="46D32A6A"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2E0EFE59"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10406E02"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必做</w:t>
            </w:r>
          </w:p>
        </w:tc>
        <w:tc>
          <w:tcPr>
            <w:tcW w:w="1170" w:type="dxa"/>
          </w:tcPr>
          <w:p w14:paraId="12C8F5C1" w14:textId="77777777" w:rsidR="00F5289E" w:rsidRDefault="00C91173">
            <w:pPr>
              <w:tabs>
                <w:tab w:val="center" w:pos="657"/>
              </w:tabs>
              <w:ind w:firstLine="360"/>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235C688C" w14:textId="77777777">
        <w:tc>
          <w:tcPr>
            <w:tcW w:w="1566" w:type="dxa"/>
          </w:tcPr>
          <w:p w14:paraId="1287C45C"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1h07</w:t>
            </w:r>
          </w:p>
        </w:tc>
        <w:tc>
          <w:tcPr>
            <w:tcW w:w="2657" w:type="dxa"/>
          </w:tcPr>
          <w:p w14:paraId="7D84C965"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蔬菜可溶性蛋白含量测定</w:t>
            </w:r>
          </w:p>
        </w:tc>
        <w:tc>
          <w:tcPr>
            <w:tcW w:w="734" w:type="dxa"/>
          </w:tcPr>
          <w:p w14:paraId="6A2F2EEF" w14:textId="77777777" w:rsidR="00F5289E" w:rsidRDefault="00C91173">
            <w:pPr>
              <w:tabs>
                <w:tab w:val="center" w:pos="489"/>
              </w:tabs>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2F2881C8"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4007B245"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必做</w:t>
            </w:r>
          </w:p>
        </w:tc>
        <w:tc>
          <w:tcPr>
            <w:tcW w:w="1170" w:type="dxa"/>
          </w:tcPr>
          <w:p w14:paraId="024EC807" w14:textId="77777777" w:rsidR="00F5289E" w:rsidRDefault="00C91173">
            <w:pPr>
              <w:tabs>
                <w:tab w:val="center" w:pos="657"/>
              </w:tabs>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742E378D" w14:textId="77777777">
        <w:tc>
          <w:tcPr>
            <w:tcW w:w="1566" w:type="dxa"/>
          </w:tcPr>
          <w:p w14:paraId="2B237896"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08</w:t>
            </w:r>
          </w:p>
        </w:tc>
        <w:tc>
          <w:tcPr>
            <w:tcW w:w="2657" w:type="dxa"/>
          </w:tcPr>
          <w:p w14:paraId="0AD5E60A" w14:textId="77777777" w:rsidR="00F5289E" w:rsidRDefault="00C91173">
            <w:pPr>
              <w:tabs>
                <w:tab w:val="center" w:pos="1400"/>
              </w:tabs>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蔬菜植株速效氮测定</w:t>
            </w:r>
          </w:p>
        </w:tc>
        <w:tc>
          <w:tcPr>
            <w:tcW w:w="734" w:type="dxa"/>
          </w:tcPr>
          <w:p w14:paraId="4AE6D56A"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14961DCD"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5E01F03A"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选做</w:t>
            </w:r>
          </w:p>
        </w:tc>
        <w:tc>
          <w:tcPr>
            <w:tcW w:w="1170" w:type="dxa"/>
          </w:tcPr>
          <w:p w14:paraId="0B69C81A"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0B88E807" w14:textId="77777777">
        <w:tc>
          <w:tcPr>
            <w:tcW w:w="1566" w:type="dxa"/>
          </w:tcPr>
          <w:p w14:paraId="2C161F93"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09</w:t>
            </w:r>
          </w:p>
        </w:tc>
        <w:tc>
          <w:tcPr>
            <w:tcW w:w="2657" w:type="dxa"/>
          </w:tcPr>
          <w:p w14:paraId="67C60DE9"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蔬菜植株速效磷测定</w:t>
            </w:r>
          </w:p>
        </w:tc>
        <w:tc>
          <w:tcPr>
            <w:tcW w:w="734" w:type="dxa"/>
          </w:tcPr>
          <w:p w14:paraId="341096BC"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7B738422"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19A10464"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选做</w:t>
            </w:r>
          </w:p>
        </w:tc>
        <w:tc>
          <w:tcPr>
            <w:tcW w:w="1170" w:type="dxa"/>
          </w:tcPr>
          <w:p w14:paraId="51322381"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4FF381C9" w14:textId="77777777">
        <w:tc>
          <w:tcPr>
            <w:tcW w:w="1566" w:type="dxa"/>
          </w:tcPr>
          <w:p w14:paraId="1E3A180E"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sz w:val="18"/>
                <w:szCs w:val="18"/>
              </w:rPr>
              <w:t>10</w:t>
            </w:r>
          </w:p>
        </w:tc>
        <w:tc>
          <w:tcPr>
            <w:tcW w:w="2657" w:type="dxa"/>
          </w:tcPr>
          <w:p w14:paraId="35B99DD0"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蔬菜植株速效钾测定</w:t>
            </w:r>
          </w:p>
        </w:tc>
        <w:tc>
          <w:tcPr>
            <w:tcW w:w="734" w:type="dxa"/>
          </w:tcPr>
          <w:p w14:paraId="2CE80E67"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5D7D5717"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2C82E6BF"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选做</w:t>
            </w:r>
          </w:p>
        </w:tc>
        <w:tc>
          <w:tcPr>
            <w:tcW w:w="1170" w:type="dxa"/>
          </w:tcPr>
          <w:p w14:paraId="34DAFB9D" w14:textId="77777777" w:rsidR="00F5289E" w:rsidRDefault="00C91173">
            <w:pPr>
              <w:tabs>
                <w:tab w:val="center" w:pos="657"/>
              </w:tabs>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42D3DCFB" w14:textId="77777777">
        <w:tc>
          <w:tcPr>
            <w:tcW w:w="1566" w:type="dxa"/>
          </w:tcPr>
          <w:p w14:paraId="4BC6EE5C"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sz w:val="18"/>
                <w:szCs w:val="18"/>
              </w:rPr>
              <w:t>1</w:t>
            </w:r>
          </w:p>
        </w:tc>
        <w:tc>
          <w:tcPr>
            <w:tcW w:w="2657" w:type="dxa"/>
          </w:tcPr>
          <w:p w14:paraId="29B3204E"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w:t>
            </w:r>
            <w:proofErr w:type="spellStart"/>
            <w:r>
              <w:rPr>
                <w:rFonts w:asciiTheme="minorEastAsia" w:eastAsiaTheme="minorEastAsia" w:hAnsiTheme="minorEastAsia" w:cstheme="minorEastAsia" w:hint="eastAsia"/>
                <w:sz w:val="18"/>
                <w:szCs w:val="18"/>
              </w:rPr>
              <w:t>Vc</w:t>
            </w:r>
            <w:proofErr w:type="spellEnd"/>
            <w:r>
              <w:rPr>
                <w:rFonts w:asciiTheme="minorEastAsia" w:eastAsiaTheme="minorEastAsia" w:hAnsiTheme="minorEastAsia" w:cstheme="minorEastAsia" w:hint="eastAsia"/>
                <w:sz w:val="18"/>
                <w:szCs w:val="18"/>
              </w:rPr>
              <w:t>含量测定</w:t>
            </w:r>
          </w:p>
        </w:tc>
        <w:tc>
          <w:tcPr>
            <w:tcW w:w="734" w:type="dxa"/>
          </w:tcPr>
          <w:p w14:paraId="57EB24DB"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72F1BB33"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3EA784F8" w14:textId="77777777" w:rsidR="00F5289E" w:rsidRDefault="00C91173">
            <w:pPr>
              <w:tabs>
                <w:tab w:val="center" w:pos="660"/>
              </w:tabs>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选做</w:t>
            </w:r>
          </w:p>
        </w:tc>
        <w:tc>
          <w:tcPr>
            <w:tcW w:w="1170" w:type="dxa"/>
          </w:tcPr>
          <w:p w14:paraId="3BA4F83C"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r>
      <w:tr w:rsidR="00F5289E" w14:paraId="29D34121" w14:textId="77777777">
        <w:tc>
          <w:tcPr>
            <w:tcW w:w="1566" w:type="dxa"/>
          </w:tcPr>
          <w:p w14:paraId="54D15216" w14:textId="77777777" w:rsidR="00F5289E" w:rsidRDefault="00C91173">
            <w:pP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1901102</w:t>
            </w:r>
            <w:r>
              <w:rPr>
                <w:rFonts w:asciiTheme="minorEastAsia" w:eastAsiaTheme="minorEastAsia" w:hAnsiTheme="minorEastAsia" w:cstheme="minorEastAsia"/>
                <w:bCs/>
                <w:sz w:val="18"/>
                <w:szCs w:val="18"/>
              </w:rPr>
              <w:t>1h</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sz w:val="18"/>
                <w:szCs w:val="18"/>
              </w:rPr>
              <w:t>2</w:t>
            </w:r>
          </w:p>
        </w:tc>
        <w:tc>
          <w:tcPr>
            <w:tcW w:w="2657" w:type="dxa"/>
          </w:tcPr>
          <w:p w14:paraId="7D470C13"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蔬菜可溶性糖含量测定</w:t>
            </w:r>
          </w:p>
        </w:tc>
        <w:tc>
          <w:tcPr>
            <w:tcW w:w="734" w:type="dxa"/>
          </w:tcPr>
          <w:p w14:paraId="29A73F4C"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92" w:type="dxa"/>
          </w:tcPr>
          <w:p w14:paraId="10340CF8" w14:textId="77777777" w:rsidR="00F5289E" w:rsidRDefault="00C91173">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基础性</w:t>
            </w:r>
          </w:p>
        </w:tc>
        <w:tc>
          <w:tcPr>
            <w:tcW w:w="1177" w:type="dxa"/>
          </w:tcPr>
          <w:p w14:paraId="37E24F13" w14:textId="77777777" w:rsidR="00F5289E" w:rsidRDefault="00C91173">
            <w:pPr>
              <w:ind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选做</w:t>
            </w:r>
          </w:p>
        </w:tc>
        <w:tc>
          <w:tcPr>
            <w:tcW w:w="1170" w:type="dxa"/>
          </w:tcPr>
          <w:p w14:paraId="00006299" w14:textId="77777777" w:rsidR="00F5289E" w:rsidRDefault="00C91173">
            <w:pPr>
              <w:tabs>
                <w:tab w:val="left" w:pos="372"/>
                <w:tab w:val="center" w:pos="657"/>
              </w:tabs>
              <w:ind w:firstLine="360"/>
              <w:jc w:val="left"/>
              <w:rPr>
                <w:rFonts w:asciiTheme="minorEastAsia" w:eastAsiaTheme="minorEastAsia" w:hAnsiTheme="minorEastAsia" w:cstheme="minorEastAsia"/>
                <w:sz w:val="18"/>
                <w:szCs w:val="18"/>
              </w:rPr>
            </w:pPr>
            <w:r>
              <w:rPr>
                <w:rFonts w:asciiTheme="minorEastAsia" w:eastAsiaTheme="minorEastAsia" w:hAnsiTheme="minorEastAsia" w:cstheme="minorEastAsia"/>
                <w:sz w:val="18"/>
                <w:szCs w:val="18"/>
              </w:rPr>
              <w:tab/>
            </w:r>
            <w:r>
              <w:rPr>
                <w:rFonts w:asciiTheme="minorEastAsia" w:eastAsiaTheme="minorEastAsia" w:hAnsiTheme="minorEastAsia" w:cstheme="minorEastAsia" w:hint="eastAsia"/>
                <w:sz w:val="18"/>
                <w:szCs w:val="18"/>
              </w:rPr>
              <w:t>5</w:t>
            </w:r>
          </w:p>
        </w:tc>
      </w:tr>
    </w:tbl>
    <w:p w14:paraId="287655A6" w14:textId="77777777" w:rsidR="00F5289E" w:rsidRDefault="00F5289E">
      <w:pPr>
        <w:widowControl/>
        <w:spacing w:afterLines="50" w:after="156" w:line="360" w:lineRule="auto"/>
        <w:jc w:val="left"/>
        <w:rPr>
          <w:rFonts w:asciiTheme="minorEastAsia" w:eastAsiaTheme="minorEastAsia" w:hAnsiTheme="minorEastAsia" w:cstheme="minorEastAsia"/>
          <w:b/>
          <w:bCs/>
          <w:kern w:val="0"/>
          <w:szCs w:val="21"/>
        </w:rPr>
      </w:pPr>
    </w:p>
    <w:p w14:paraId="5EC08D95"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（五）实验方式与基本要求</w:t>
      </w:r>
    </w:p>
    <w:p w14:paraId="1C04638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试验方式分室内实验和设施田间实验。学生在中心实验室完成生长调剂的配制、植株干物质测定、</w:t>
      </w:r>
      <w:r>
        <w:rPr>
          <w:rFonts w:ascii="宋体" w:hAnsi="宋体" w:hint="eastAsia"/>
          <w:kern w:val="0"/>
          <w:szCs w:val="21"/>
        </w:rPr>
        <w:t>叶绿素含量测定、</w:t>
      </w:r>
      <w:r>
        <w:rPr>
          <w:rFonts w:ascii="宋体" w:hAnsi="宋体" w:hint="eastAsia"/>
          <w:szCs w:val="21"/>
        </w:rPr>
        <w:t>蔬菜矿质营养成分测定、蔬菜营养品质成分测定实验内容。要求掌握生长素用于保花保果溶液的配制方法，掌握进行植物材料矿质营养分析材料预处理和相关仪器的操作使用方法，掌握进行蔬菜营养品质分析材料预处理和相关仪器的操作使用方法。学生在试验站温室、大棚内进行</w:t>
      </w:r>
      <w:r>
        <w:rPr>
          <w:rFonts w:ascii="宋体" w:hAnsi="宋体" w:hint="eastAsia"/>
          <w:kern w:val="0"/>
          <w:szCs w:val="21"/>
        </w:rPr>
        <w:t>整地、做垄、定植、植株调整、保花保果实践操作，掌握相关操作的技术标准和方法，</w:t>
      </w:r>
      <w:r>
        <w:rPr>
          <w:rFonts w:ascii="宋体" w:hAnsi="宋体" w:hint="eastAsia"/>
          <w:szCs w:val="21"/>
        </w:rPr>
        <w:t>设施田间实验使学生参与“从蔬菜种子到蔬菜产品”的全程实践操作。</w:t>
      </w:r>
    </w:p>
    <w:p w14:paraId="6F6ACFB6" w14:textId="77777777" w:rsidR="00F5289E" w:rsidRDefault="00C91173">
      <w:pPr>
        <w:adjustRightInd w:val="0"/>
        <w:snapToGrid w:val="0"/>
        <w:spacing w:beforeLines="50" w:before="156" w:afterLines="50" w:after="156" w:line="360" w:lineRule="auto"/>
        <w:ind w:right="1134"/>
        <w:rPr>
          <w:rFonts w:ascii="宋体" w:hAnsi="宋体"/>
          <w:b/>
          <w:szCs w:val="21"/>
        </w:rPr>
      </w:pPr>
      <w:r>
        <w:rPr>
          <w:rFonts w:ascii="宋体" w:hAnsi="宋体" w:hint="eastAsia"/>
          <w:b/>
          <w:szCs w:val="21"/>
        </w:rPr>
        <w:t>（六）实验内容安排</w:t>
      </w:r>
    </w:p>
    <w:p w14:paraId="6FAF769F" w14:textId="77777777" w:rsidR="00F5289E" w:rsidRDefault="00C91173">
      <w:pPr>
        <w:adjustRightInd w:val="0"/>
        <w:snapToGrid w:val="0"/>
        <w:spacing w:beforeLines="50" w:before="156" w:afterLines="50" w:after="156" w:line="360" w:lineRule="auto"/>
        <w:jc w:val="left"/>
        <w:rPr>
          <w:rFonts w:ascii="宋体" w:hAnsi="宋体"/>
          <w:b/>
          <w:bCs/>
          <w:kern w:val="0"/>
          <w:sz w:val="20"/>
          <w:szCs w:val="21"/>
        </w:rPr>
      </w:pPr>
      <w:r>
        <w:rPr>
          <w:rFonts w:ascii="宋体" w:hAnsi="宋体" w:hint="eastAsia"/>
          <w:b/>
          <w:bCs/>
          <w:szCs w:val="21"/>
        </w:rPr>
        <w:t>【实验一】蔬菜播种育苗</w:t>
      </w:r>
    </w:p>
    <w:p w14:paraId="39669531"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2F765424"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ascii="宋体" w:hAnsi="宋体" w:hint="eastAsia"/>
          <w:bCs/>
          <w:szCs w:val="21"/>
        </w:rPr>
        <w:t>掌握蔬菜种子播前处理技术、播种育苗技术方法。</w:t>
      </w:r>
    </w:p>
    <w:p w14:paraId="6986ACA9"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3.实验内容：</w:t>
      </w:r>
      <w:r>
        <w:rPr>
          <w:rFonts w:ascii="ˎ̥" w:hAnsi="ˎ̥" w:cs="宋体" w:hint="eastAsia"/>
          <w:bCs/>
          <w:kern w:val="0"/>
          <w:szCs w:val="21"/>
        </w:rPr>
        <w:t>种子温汤浸种、催芽、基质配比，穴盘育苗播种方法、育苗期水分管理，育</w:t>
      </w:r>
      <w:r>
        <w:rPr>
          <w:rFonts w:hint="eastAsia"/>
          <w:szCs w:val="21"/>
        </w:rPr>
        <w:t>苗期温湿度管理，育苗期光照管理。</w:t>
      </w:r>
    </w:p>
    <w:p w14:paraId="6E9AC973"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掌握蔬菜温汤浸种技术；掌握蔬菜催芽技术</w:t>
      </w:r>
      <w:r>
        <w:rPr>
          <w:rFonts w:ascii="ˎ̥" w:hAnsi="ˎ̥" w:cs="宋体" w:hint="eastAsia"/>
          <w:bCs/>
          <w:kern w:val="0"/>
          <w:szCs w:val="21"/>
        </w:rPr>
        <w:t>；掌握苗期温度管理要点。</w:t>
      </w:r>
    </w:p>
    <w:p w14:paraId="432F3CDC" w14:textId="77777777" w:rsidR="00F5289E" w:rsidRDefault="00C91173" w:rsidP="00521BAD">
      <w:pPr>
        <w:adjustRightInd w:val="0"/>
        <w:snapToGrid w:val="0"/>
        <w:spacing w:beforeLines="50" w:before="156" w:afterLines="50" w:after="156" w:line="360" w:lineRule="auto"/>
        <w:ind w:firstLineChars="200" w:firstLine="422"/>
        <w:jc w:val="left"/>
        <w:rPr>
          <w:rFonts w:ascii="宋体" w:hAnsi="宋体"/>
          <w:bCs/>
          <w:szCs w:val="21"/>
        </w:rPr>
      </w:pPr>
      <w:r>
        <w:rPr>
          <w:rFonts w:ascii="宋体" w:hAnsi="宋体" w:hint="eastAsia"/>
          <w:b/>
          <w:szCs w:val="21"/>
        </w:rPr>
        <w:t>5.实验设备及器材：</w:t>
      </w:r>
      <w:r>
        <w:rPr>
          <w:rFonts w:ascii="宋体" w:hAnsi="宋体" w:hint="eastAsia"/>
          <w:bCs/>
          <w:szCs w:val="21"/>
        </w:rPr>
        <w:t>茄果类种子、果类种子、纱布、塑料袋、棒状温度计、烧杯、电磁炉、十字花科种子</w:t>
      </w:r>
      <w:r>
        <w:rPr>
          <w:rFonts w:ascii="宋体" w:hAnsi="宋体" w:hint="eastAsia"/>
          <w:b/>
          <w:szCs w:val="21"/>
        </w:rPr>
        <w:t>、</w:t>
      </w:r>
      <w:r>
        <w:rPr>
          <w:rFonts w:ascii="宋体" w:hAnsi="宋体" w:hint="eastAsia"/>
          <w:bCs/>
          <w:szCs w:val="21"/>
        </w:rPr>
        <w:t>不同型号育苗穴盘、商品育苗基质、地膜、育苗温室。</w:t>
      </w:r>
    </w:p>
    <w:p w14:paraId="063E95F9" w14:textId="77777777" w:rsidR="00F5289E" w:rsidRDefault="00C91173">
      <w:pPr>
        <w:adjustRightInd w:val="0"/>
        <w:snapToGrid w:val="0"/>
        <w:spacing w:beforeLines="50" w:before="156" w:afterLines="50" w:after="156" w:line="360" w:lineRule="auto"/>
        <w:jc w:val="left"/>
        <w:rPr>
          <w:rFonts w:ascii="宋体" w:hAnsi="宋体"/>
          <w:b/>
          <w:bCs/>
          <w:kern w:val="0"/>
          <w:sz w:val="20"/>
          <w:szCs w:val="21"/>
        </w:rPr>
      </w:pPr>
      <w:r>
        <w:rPr>
          <w:rFonts w:ascii="宋体" w:hAnsi="宋体" w:hint="eastAsia"/>
          <w:b/>
          <w:bCs/>
          <w:szCs w:val="21"/>
        </w:rPr>
        <w:t>【实验二】设施菜田</w:t>
      </w:r>
      <w:r>
        <w:rPr>
          <w:rFonts w:ascii="宋体" w:hAnsi="宋体" w:hint="eastAsia"/>
          <w:b/>
          <w:bCs/>
          <w:kern w:val="0"/>
          <w:sz w:val="20"/>
          <w:szCs w:val="21"/>
        </w:rPr>
        <w:t>整地、做垄与定植</w:t>
      </w:r>
    </w:p>
    <w:p w14:paraId="2A0C20F7"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3学时</w:t>
      </w:r>
    </w:p>
    <w:p w14:paraId="2E595D5A"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lastRenderedPageBreak/>
        <w:t>2.实验目的：</w:t>
      </w:r>
      <w:r>
        <w:rPr>
          <w:rFonts w:ascii="宋体" w:hAnsi="宋体" w:hint="eastAsia"/>
          <w:bCs/>
          <w:szCs w:val="21"/>
        </w:rPr>
        <w:t>掌握设施土壤栽培整地、施底肥、做垄及地膜覆盖定植的方法。</w:t>
      </w:r>
    </w:p>
    <w:p w14:paraId="355F1352"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3.实验内容：</w:t>
      </w:r>
      <w:r>
        <w:rPr>
          <w:rFonts w:ascii="ˎ̥" w:hAnsi="ˎ̥" w:cs="宋体" w:hint="eastAsia"/>
          <w:bCs/>
          <w:kern w:val="0"/>
          <w:szCs w:val="21"/>
        </w:rPr>
        <w:t>掌握蔬菜播前、定植前土地施肥、耕作的方法，掌握做畦、做垄的方法，</w:t>
      </w:r>
      <w:r>
        <w:rPr>
          <w:rFonts w:hint="eastAsia"/>
          <w:szCs w:val="21"/>
        </w:rPr>
        <w:t>掌握常见蔬菜栽培地膜覆盖的定植方法，练习定植工具的使用。</w:t>
      </w:r>
    </w:p>
    <w:p w14:paraId="1B751186"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掌握常见蔬菜底肥使用类型及使用量；掌握果菜类做垄、做</w:t>
      </w:r>
      <w:r>
        <w:rPr>
          <w:rFonts w:ascii="ˎ̥" w:hAnsi="ˎ̥" w:cs="宋体" w:hint="eastAsia"/>
          <w:bCs/>
          <w:kern w:val="0"/>
          <w:szCs w:val="21"/>
        </w:rPr>
        <w:t>畦的方法；掌握先覆膜后定制，先定植后覆膜的定植方法。</w:t>
      </w:r>
    </w:p>
    <w:p w14:paraId="752E0842"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5.实验设备及器材：</w:t>
      </w:r>
      <w:r>
        <w:rPr>
          <w:rFonts w:ascii="宋体" w:hAnsi="宋体" w:hint="eastAsia"/>
          <w:bCs/>
          <w:szCs w:val="21"/>
        </w:rPr>
        <w:t>旋耕机、锄头、铁锹、线绳、有机肥、化肥、地膜、滴管设备、茄果类苗，瓜类苗。</w:t>
      </w:r>
    </w:p>
    <w:p w14:paraId="01FFD03B"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【实验三】蔬菜植株调整</w:t>
      </w:r>
    </w:p>
    <w:p w14:paraId="4DE40B79"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409908F6"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ascii="宋体" w:hAnsi="宋体" w:hint="eastAsia"/>
          <w:bCs/>
          <w:szCs w:val="21"/>
        </w:rPr>
        <w:t>了解蔬菜植株调整的原理、掌握蔬菜植株调整方法。</w:t>
      </w:r>
    </w:p>
    <w:p w14:paraId="49F99457" w14:textId="77777777" w:rsidR="00F5289E" w:rsidRDefault="00C91173">
      <w:pPr>
        <w:adjustRightInd w:val="0"/>
        <w:snapToGrid w:val="0"/>
        <w:spacing w:line="360" w:lineRule="auto"/>
        <w:ind w:firstLineChars="200" w:firstLine="422"/>
        <w:rPr>
          <w:szCs w:val="21"/>
        </w:rPr>
      </w:pPr>
      <w:r>
        <w:rPr>
          <w:rFonts w:ascii="宋体" w:hAnsi="宋体" w:hint="eastAsia"/>
          <w:b/>
          <w:szCs w:val="21"/>
        </w:rPr>
        <w:t>3.实验内容：</w:t>
      </w:r>
      <w:r>
        <w:rPr>
          <w:rFonts w:hint="eastAsia"/>
          <w:szCs w:val="21"/>
        </w:rPr>
        <w:t>以茄果类、瓜类为试验材料，进行茄果类、瓜类插架绑蔓、吊绳缠蔓、整枝、打杈、摘心、摘叶实践操作，进行不同整枝方法的比较</w:t>
      </w:r>
      <w:r>
        <w:rPr>
          <w:rFonts w:ascii="宋体" w:hAnsi="宋体" w:hint="eastAsia"/>
          <w:szCs w:val="21"/>
        </w:rPr>
        <w:t>。</w:t>
      </w:r>
    </w:p>
    <w:p w14:paraId="06BCB8AF"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（1）进行番茄、茄子、辣椒、甜瓜等蔬菜植株调整的实践操作；（2）比较不同整枝方法对植株生长和果实生长的影响。</w:t>
      </w:r>
    </w:p>
    <w:p w14:paraId="1105B458" w14:textId="77777777" w:rsidR="00F5289E" w:rsidRDefault="00C91173">
      <w:pPr>
        <w:adjustRightInd w:val="0"/>
        <w:snapToGrid w:val="0"/>
        <w:spacing w:line="360" w:lineRule="auto"/>
        <w:ind w:firstLineChars="150" w:firstLine="316"/>
        <w:rPr>
          <w:rFonts w:ascii="宋体" w:hAnsi="宋体"/>
          <w:szCs w:val="21"/>
        </w:rPr>
      </w:pPr>
      <w:r>
        <w:rPr>
          <w:rFonts w:ascii="宋体" w:hAnsi="宋体" w:hint="eastAsia"/>
          <w:b/>
          <w:szCs w:val="21"/>
        </w:rPr>
        <w:t xml:space="preserve"> 5.实验设备及器材：</w:t>
      </w:r>
      <w:r>
        <w:rPr>
          <w:rFonts w:ascii="宋体" w:hAnsi="宋体" w:hint="eastAsia"/>
          <w:bCs/>
          <w:szCs w:val="21"/>
        </w:rPr>
        <w:t>量筒、容量瓶、移液管、滴管、电子天平、烧杯、小型喷雾器、米尺、千分尺、田间用于实验的茄果类、瓜类栽培植物。</w:t>
      </w:r>
    </w:p>
    <w:p w14:paraId="22E4523C"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【实验四】生长调节剂在蔬菜上的应用</w:t>
      </w:r>
    </w:p>
    <w:p w14:paraId="2C339F77"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3学时</w:t>
      </w:r>
    </w:p>
    <w:p w14:paraId="53795FA3"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2.实验目的：</w:t>
      </w:r>
      <w:r>
        <w:rPr>
          <w:rFonts w:ascii="宋体" w:hAnsi="宋体" w:hint="eastAsia"/>
          <w:bCs/>
          <w:szCs w:val="21"/>
        </w:rPr>
        <w:t>了解生长调节剂保花保果、调节生长的原理；掌握蔬菜生产上常用生长调节的使用方法。</w:t>
      </w:r>
    </w:p>
    <w:p w14:paraId="7256CE06" w14:textId="77777777" w:rsidR="00F5289E" w:rsidRDefault="00C91173">
      <w:pPr>
        <w:adjustRightInd w:val="0"/>
        <w:snapToGrid w:val="0"/>
        <w:spacing w:line="360" w:lineRule="auto"/>
        <w:ind w:firstLineChars="196" w:firstLine="413"/>
        <w:rPr>
          <w:szCs w:val="21"/>
        </w:rPr>
      </w:pPr>
      <w:r>
        <w:rPr>
          <w:rFonts w:ascii="宋体" w:hAnsi="宋体" w:hint="eastAsia"/>
          <w:b/>
          <w:szCs w:val="21"/>
        </w:rPr>
        <w:t>3.实验内容：</w:t>
      </w:r>
      <w:r>
        <w:rPr>
          <w:rFonts w:ascii="宋体" w:hAnsi="宋体" w:hint="eastAsia"/>
          <w:szCs w:val="21"/>
        </w:rPr>
        <w:t>练习</w:t>
      </w:r>
      <w:r>
        <w:rPr>
          <w:rFonts w:hint="eastAsia"/>
          <w:szCs w:val="21"/>
        </w:rPr>
        <w:t>采用防落素保花保果、矮壮素防治幼苗徒长的方法；掌握防落素、矮壮素的使用浓度、溶液的配制方法，在蔬菜上的应用时期和注意事项，验证其效果。</w:t>
      </w:r>
    </w:p>
    <w:p w14:paraId="072AA5E8"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（1）采用防落素、防落素+赤霉素进行番茄保花保果的实际操作；（2）进行矮壮素、乙烯利防治幼苗徒长的实际操作。</w:t>
      </w:r>
    </w:p>
    <w:p w14:paraId="0A2B7426"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5.实验设备及器材：</w:t>
      </w:r>
      <w:r>
        <w:rPr>
          <w:rFonts w:ascii="宋体" w:hAnsi="宋体" w:hint="eastAsia"/>
          <w:bCs/>
          <w:szCs w:val="21"/>
        </w:rPr>
        <w:t>量筒、容量瓶、移液管、滴管、电子天平、烧杯、小型喷雾器、米尺，千分尺。</w:t>
      </w:r>
    </w:p>
    <w:p w14:paraId="4013987E"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【实验五】蔬菜植株形态指标调查与测定</w:t>
      </w:r>
    </w:p>
    <w:p w14:paraId="4ACDE693"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58137635"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ascii="宋体" w:hAnsi="宋体" w:hint="eastAsia"/>
          <w:bCs/>
          <w:szCs w:val="21"/>
        </w:rPr>
        <w:t>了解蔬菜植株形态指标的类别，掌握不同形态指标测定的标准和方法、熟悉相关形态指标现代测量仪器的使用方法。</w:t>
      </w:r>
    </w:p>
    <w:p w14:paraId="7DAAC32A" w14:textId="77777777" w:rsidR="00F5289E" w:rsidRDefault="00C91173">
      <w:pPr>
        <w:adjustRightInd w:val="0"/>
        <w:snapToGrid w:val="0"/>
        <w:spacing w:line="360" w:lineRule="auto"/>
        <w:ind w:firstLineChars="200" w:firstLine="422"/>
        <w:rPr>
          <w:szCs w:val="21"/>
        </w:rPr>
      </w:pPr>
      <w:r>
        <w:rPr>
          <w:rFonts w:ascii="宋体" w:hAnsi="宋体" w:hint="eastAsia"/>
          <w:b/>
          <w:szCs w:val="21"/>
        </w:rPr>
        <w:t>3.实验内容：</w:t>
      </w:r>
      <w:r>
        <w:rPr>
          <w:rFonts w:hint="eastAsia"/>
          <w:szCs w:val="21"/>
        </w:rPr>
        <w:t>以蔬菜幼苗、田间生长植株为试验材料，进行株高、茎粗、节间长、叶片数、叶</w:t>
      </w:r>
      <w:r>
        <w:rPr>
          <w:rFonts w:hint="eastAsia"/>
          <w:szCs w:val="21"/>
        </w:rPr>
        <w:lastRenderedPageBreak/>
        <w:t>片长、叶片宽、最大根长、根体积，地上部鲜重、地上部干重、地下部鲜重、地下部干重的测量和测定</w:t>
      </w:r>
      <w:r>
        <w:rPr>
          <w:rFonts w:ascii="宋体" w:hAnsi="宋体" w:hint="eastAsia"/>
          <w:szCs w:val="21"/>
        </w:rPr>
        <w:t>。</w:t>
      </w:r>
    </w:p>
    <w:p w14:paraId="1B0E2263"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（1）进行植株形态指标测量、测定的实践操作；（2）比较不同农业措施对蔬菜植株形态指标的影响。</w:t>
      </w:r>
    </w:p>
    <w:p w14:paraId="0849FAD2" w14:textId="77777777" w:rsidR="00F5289E" w:rsidRDefault="00C91173">
      <w:pPr>
        <w:adjustRightInd w:val="0"/>
        <w:snapToGrid w:val="0"/>
        <w:spacing w:line="360" w:lineRule="auto"/>
        <w:ind w:firstLineChars="150" w:firstLine="316"/>
        <w:rPr>
          <w:rFonts w:ascii="宋体" w:hAnsi="宋体"/>
          <w:szCs w:val="21"/>
        </w:rPr>
      </w:pPr>
      <w:r>
        <w:rPr>
          <w:rFonts w:ascii="宋体" w:hAnsi="宋体" w:hint="eastAsia"/>
          <w:b/>
          <w:szCs w:val="21"/>
        </w:rPr>
        <w:t xml:space="preserve"> 5.实验设备及器材：</w:t>
      </w:r>
      <w:r>
        <w:rPr>
          <w:rFonts w:ascii="宋体" w:hAnsi="宋体" w:hint="eastAsia"/>
          <w:bCs/>
          <w:szCs w:val="21"/>
        </w:rPr>
        <w:t>小型喷雾器、叶面肥、化学肥料、电子天平、米尺、千分尺、烘箱、叶面积仪、植物根系分析仪、田间用于实验的茄果类、瓜类蔬菜苗或栽培的植物。</w:t>
      </w:r>
    </w:p>
    <w:p w14:paraId="19280F60"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【实验六】蔬菜叶绿素含量测定</w:t>
      </w:r>
    </w:p>
    <w:p w14:paraId="30E29B7C"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0073B413"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hint="eastAsia"/>
        </w:rPr>
        <w:t>了解植物组织中叶绿素的分布及性质，掌握测定叶绿素含量的原理和方法</w:t>
      </w:r>
      <w:r>
        <w:rPr>
          <w:rFonts w:ascii="宋体" w:hAnsi="宋体" w:hint="eastAsia"/>
          <w:kern w:val="0"/>
          <w:sz w:val="20"/>
          <w:szCs w:val="21"/>
        </w:rPr>
        <w:t>。</w:t>
      </w:r>
    </w:p>
    <w:p w14:paraId="71CFF013" w14:textId="77777777" w:rsidR="00F5289E" w:rsidRDefault="00C91173">
      <w:pPr>
        <w:adjustRightInd w:val="0"/>
        <w:snapToGrid w:val="0"/>
        <w:spacing w:line="360" w:lineRule="auto"/>
        <w:ind w:firstLineChars="200" w:firstLine="422"/>
      </w:pPr>
      <w:r>
        <w:rPr>
          <w:rFonts w:ascii="宋体" w:hAnsi="宋体" w:hint="eastAsia"/>
          <w:b/>
          <w:szCs w:val="21"/>
        </w:rPr>
        <w:t>3.实验内容：</w:t>
      </w:r>
      <w:r>
        <w:rPr>
          <w:rFonts w:hint="eastAsia"/>
        </w:rPr>
        <w:t>（</w:t>
      </w:r>
      <w:r>
        <w:rPr>
          <w:rFonts w:hint="eastAsia"/>
        </w:rPr>
        <w:t>1</w:t>
      </w:r>
      <w:r>
        <w:rPr>
          <w:rFonts w:hint="eastAsia"/>
        </w:rPr>
        <w:t>）植物叶片乙醇研磨、过滤，提取叶绿素；（</w:t>
      </w:r>
      <w:r>
        <w:rPr>
          <w:rFonts w:hint="eastAsia"/>
        </w:rPr>
        <w:t>2</w:t>
      </w:r>
      <w:r>
        <w:rPr>
          <w:rFonts w:hint="eastAsia"/>
        </w:rPr>
        <w:t>）分光光度计测定提取液在</w:t>
      </w:r>
      <w:r>
        <w:rPr>
          <w:rFonts w:hint="eastAsia"/>
        </w:rPr>
        <w:t>645nm</w:t>
      </w:r>
      <w:r>
        <w:rPr>
          <w:rFonts w:hint="eastAsia"/>
        </w:rPr>
        <w:t>、</w:t>
      </w:r>
      <w:r>
        <w:rPr>
          <w:rFonts w:hint="eastAsia"/>
        </w:rPr>
        <w:t>663nm</w:t>
      </w:r>
      <w:r>
        <w:rPr>
          <w:rFonts w:hint="eastAsia"/>
        </w:rPr>
        <w:t>、</w:t>
      </w:r>
      <w:r>
        <w:rPr>
          <w:rFonts w:hint="eastAsia"/>
        </w:rPr>
        <w:t xml:space="preserve">652nm </w:t>
      </w:r>
      <w:r>
        <w:rPr>
          <w:rFonts w:hint="eastAsia"/>
        </w:rPr>
        <w:t>波长下的吸光值；（</w:t>
      </w:r>
      <w:r>
        <w:rPr>
          <w:rFonts w:hint="eastAsia"/>
        </w:rPr>
        <w:t>3</w:t>
      </w:r>
      <w:r>
        <w:rPr>
          <w:rFonts w:hint="eastAsia"/>
        </w:rPr>
        <w:t>）计算叶绿素</w:t>
      </w:r>
      <w:r>
        <w:rPr>
          <w:rFonts w:hint="eastAsia"/>
        </w:rPr>
        <w:t>a</w:t>
      </w:r>
      <w:r>
        <w:rPr>
          <w:rFonts w:hint="eastAsia"/>
        </w:rPr>
        <w:t>、叶绿素</w:t>
      </w:r>
      <w:r>
        <w:rPr>
          <w:rFonts w:hint="eastAsia"/>
        </w:rPr>
        <w:t xml:space="preserve">b </w:t>
      </w:r>
      <w:r>
        <w:rPr>
          <w:rFonts w:hint="eastAsia"/>
        </w:rPr>
        <w:t>和总叶绿素的含量。</w:t>
      </w:r>
    </w:p>
    <w:p w14:paraId="513A0B6E"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hint="eastAsia"/>
        </w:rPr>
        <w:t>（</w:t>
      </w:r>
      <w:r>
        <w:rPr>
          <w:rFonts w:hint="eastAsia"/>
        </w:rPr>
        <w:t>1</w:t>
      </w:r>
      <w:r>
        <w:rPr>
          <w:rFonts w:hint="eastAsia"/>
        </w:rPr>
        <w:t>）选取不同部位、不同年龄的叶片进行测定；（</w:t>
      </w:r>
      <w:r>
        <w:rPr>
          <w:rFonts w:hint="eastAsia"/>
        </w:rPr>
        <w:t>2</w:t>
      </w:r>
      <w:r>
        <w:rPr>
          <w:rFonts w:hint="eastAsia"/>
        </w:rPr>
        <w:t>）不同材料进行</w:t>
      </w:r>
      <w:r>
        <w:rPr>
          <w:rFonts w:hint="eastAsia"/>
        </w:rPr>
        <w:t>3</w:t>
      </w:r>
      <w:r>
        <w:rPr>
          <w:rFonts w:hint="eastAsia"/>
        </w:rPr>
        <w:t>次重复</w:t>
      </w:r>
      <w:r>
        <w:rPr>
          <w:rFonts w:ascii="宋体" w:hAnsi="宋体" w:hint="eastAsia"/>
          <w:bCs/>
          <w:szCs w:val="21"/>
        </w:rPr>
        <w:t>；（3）与叶绿素测定仪的测定值进行比较</w:t>
      </w:r>
      <w:r>
        <w:rPr>
          <w:rFonts w:hint="eastAsia"/>
        </w:rPr>
        <w:t>。</w:t>
      </w:r>
    </w:p>
    <w:p w14:paraId="3AD54A03"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5.实验设备及器材：</w:t>
      </w:r>
      <w:r>
        <w:rPr>
          <w:rFonts w:ascii="宋体" w:hAnsi="宋体" w:hint="eastAsia"/>
          <w:bCs/>
          <w:szCs w:val="21"/>
        </w:rPr>
        <w:t>绿素测定仪、分光光度计、电子顶载天平(感量0．01g)、研钵、棕色容量瓶、小漏斗、定量滤纸、吸水纸、擦境纸、滴管。 新鲜(或烘干)的植物叶片、96％乙醇(或80％丙酮)、石英砂、碳酸钙粉。</w:t>
      </w:r>
    </w:p>
    <w:p w14:paraId="238520C5"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【实验七】蔬菜可溶性蛋白含量测定</w:t>
      </w:r>
    </w:p>
    <w:p w14:paraId="4546EA93"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4CA1EE68"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2.实验目的：</w:t>
      </w:r>
      <w:r>
        <w:rPr>
          <w:rFonts w:ascii="宋体" w:hAnsi="宋体" w:hint="eastAsia"/>
          <w:bCs/>
          <w:szCs w:val="21"/>
        </w:rPr>
        <w:t>了解蔬菜</w:t>
      </w:r>
      <w:r>
        <w:rPr>
          <w:rFonts w:ascii="宋体" w:hAnsi="宋体" w:hint="eastAsia"/>
          <w:kern w:val="0"/>
          <w:szCs w:val="21"/>
        </w:rPr>
        <w:t>可溶性蛋白</w:t>
      </w:r>
      <w:r>
        <w:rPr>
          <w:rFonts w:ascii="宋体" w:hAnsi="宋体" w:hint="eastAsia"/>
          <w:bCs/>
          <w:szCs w:val="21"/>
        </w:rPr>
        <w:t>测定的原理，掌握蔬菜</w:t>
      </w:r>
      <w:r>
        <w:rPr>
          <w:rFonts w:ascii="宋体" w:hAnsi="宋体" w:hint="eastAsia"/>
          <w:kern w:val="0"/>
          <w:szCs w:val="21"/>
        </w:rPr>
        <w:t>可溶性蛋白</w:t>
      </w:r>
      <w:r>
        <w:rPr>
          <w:rFonts w:ascii="宋体" w:hAnsi="宋体" w:hint="eastAsia"/>
          <w:bCs/>
          <w:szCs w:val="21"/>
        </w:rPr>
        <w:t>的测定方法，练习实验测定的具体操作步骤。</w:t>
      </w:r>
    </w:p>
    <w:p w14:paraId="7B43DFEC" w14:textId="77777777" w:rsidR="00F5289E" w:rsidRDefault="00C91173">
      <w:pPr>
        <w:adjustRightInd w:val="0"/>
        <w:snapToGrid w:val="0"/>
        <w:spacing w:line="360" w:lineRule="auto"/>
        <w:ind w:firstLineChars="196" w:firstLine="413"/>
        <w:rPr>
          <w:rFonts w:ascii="宋体" w:hAnsi="宋体" w:cs="宋体"/>
          <w:sz w:val="28"/>
          <w:szCs w:val="28"/>
        </w:rPr>
      </w:pPr>
      <w:r>
        <w:rPr>
          <w:rFonts w:ascii="宋体" w:hAnsi="宋体" w:hint="eastAsia"/>
          <w:b/>
          <w:szCs w:val="21"/>
        </w:rPr>
        <w:t>3.实验内容：</w:t>
      </w:r>
      <w:r>
        <w:rPr>
          <w:rFonts w:ascii="宋体" w:hAnsi="宋体" w:hint="eastAsia"/>
          <w:szCs w:val="21"/>
        </w:rPr>
        <w:t>（1）</w:t>
      </w:r>
      <w:r>
        <w:rPr>
          <w:rFonts w:ascii="宋体" w:hAnsi="宋体" w:cs="宋体" w:hint="eastAsia"/>
          <w:szCs w:val="21"/>
        </w:rPr>
        <w:t>考马斯亮蓝溶液制备；</w:t>
      </w:r>
      <w:r>
        <w:rPr>
          <w:rFonts w:ascii="宋体" w:hAnsi="宋体" w:hint="eastAsia"/>
          <w:szCs w:val="21"/>
        </w:rPr>
        <w:t>（2）蛋白质标准曲线制作；（3）试样组织称量；</w:t>
      </w:r>
      <w:r>
        <w:rPr>
          <w:rFonts w:ascii="宋体" w:hAnsi="宋体" w:cs="宋体" w:hint="eastAsia"/>
          <w:szCs w:val="21"/>
        </w:rPr>
        <w:t>（4）蒸馏水研磨，低温（冰块）研磨；（5）离心，取上清液加考马斯亮蓝G-250试剂；（6）595nm下比色，记录吸光度值；（7）标准曲线查得蛋白质含量。</w:t>
      </w:r>
    </w:p>
    <w:p w14:paraId="75F26042"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4.实验要求：</w:t>
      </w:r>
      <w:r>
        <w:rPr>
          <w:rFonts w:ascii="宋体" w:hAnsi="宋体" w:hint="eastAsia"/>
          <w:szCs w:val="21"/>
        </w:rPr>
        <w:t>（1）</w:t>
      </w:r>
      <w:r>
        <w:rPr>
          <w:rFonts w:ascii="宋体" w:hAnsi="宋体" w:cs="宋体" w:hint="eastAsia"/>
          <w:szCs w:val="21"/>
        </w:rPr>
        <w:t>叶片材料一般取0.2g，冰块研磨；（2）8000r/min，4℃离心10min；（3）清液0.1ml加0.9ml蒸馏水，加5ml考马斯亮蓝G-250试剂，放置2min后在595nm下比色；（4）1ml蒸馏水加入5ml考马斯亮蓝为对照。</w:t>
      </w:r>
    </w:p>
    <w:p w14:paraId="6E63CA2C" w14:textId="77777777" w:rsidR="00F5289E" w:rsidRDefault="00C91173">
      <w:pPr>
        <w:adjustRightInd w:val="0"/>
        <w:snapToGrid w:val="0"/>
        <w:spacing w:line="360" w:lineRule="auto"/>
        <w:ind w:firstLineChars="196" w:firstLine="413"/>
        <w:rPr>
          <w:rFonts w:ascii="宋体" w:hAnsi="宋体"/>
          <w:szCs w:val="21"/>
        </w:rPr>
      </w:pPr>
      <w:r>
        <w:rPr>
          <w:rFonts w:ascii="宋体" w:hAnsi="宋体" w:hint="eastAsia"/>
          <w:b/>
          <w:szCs w:val="21"/>
        </w:rPr>
        <w:t>5.实验设备及器材：</w:t>
      </w:r>
      <w:r>
        <w:rPr>
          <w:rFonts w:ascii="宋体" w:hAnsi="宋体" w:hint="eastAsia"/>
          <w:szCs w:val="21"/>
        </w:rPr>
        <w:t>721 分光光度计， 量筒，研钵，烧杯，量瓶，移液管，具塞刻度试管；90%乙醇，85%磷酸，考马斯亮蓝 G-250，牛血清白蛋白。</w:t>
      </w:r>
    </w:p>
    <w:p w14:paraId="054FE01E"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【实验八】蔬菜植株速效氮测定</w:t>
      </w:r>
    </w:p>
    <w:p w14:paraId="64558230"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3F705A7B"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ascii="宋体" w:hAnsi="宋体" w:hint="eastAsia"/>
          <w:bCs/>
          <w:szCs w:val="21"/>
        </w:rPr>
        <w:t>掌握蔬菜植株内全氮的测定方法和相关仪器的操作方法，练习测定的具体操作</w:t>
      </w:r>
      <w:r>
        <w:rPr>
          <w:rFonts w:ascii="宋体" w:hAnsi="宋体" w:hint="eastAsia"/>
          <w:bCs/>
          <w:szCs w:val="21"/>
        </w:rPr>
        <w:lastRenderedPageBreak/>
        <w:t>步骤。</w:t>
      </w:r>
    </w:p>
    <w:p w14:paraId="544C01DD"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3.实验内容：</w:t>
      </w:r>
      <w:r>
        <w:rPr>
          <w:rFonts w:ascii="宋体" w:hAnsi="宋体" w:hint="eastAsia"/>
          <w:bCs/>
          <w:szCs w:val="21"/>
        </w:rPr>
        <w:t>（1）了解植株全氮测定的原理；（2）配制</w:t>
      </w:r>
      <w:r>
        <w:t>硫酸</w:t>
      </w:r>
      <w:r>
        <w:rPr>
          <w:rFonts w:hint="eastAsia"/>
        </w:rPr>
        <w:t>、</w:t>
      </w:r>
      <w:r>
        <w:t>氢氧化钠溶液</w:t>
      </w:r>
      <w:r>
        <w:rPr>
          <w:rFonts w:hint="eastAsia"/>
        </w:rPr>
        <w:t>、</w:t>
      </w:r>
      <w:r>
        <w:t>硼酸</w:t>
      </w:r>
      <w:r>
        <w:t>-</w:t>
      </w:r>
      <w:r>
        <w:t>指示剂混合液</w:t>
      </w:r>
      <w:r>
        <w:rPr>
          <w:rFonts w:hint="eastAsia"/>
        </w:rPr>
        <w:t>、</w:t>
      </w:r>
      <w:r>
        <w:t>混合指示剂</w:t>
      </w:r>
      <w:r>
        <w:rPr>
          <w:rFonts w:hint="eastAsia"/>
        </w:rPr>
        <w:t>、</w:t>
      </w:r>
      <w:r>
        <w:t>高酸钾溶液</w:t>
      </w:r>
      <w:r>
        <w:rPr>
          <w:rFonts w:hint="eastAsia"/>
        </w:rPr>
        <w:t>、</w:t>
      </w:r>
      <w:r>
        <w:t>还原铁粉</w:t>
      </w:r>
      <w:r>
        <w:rPr>
          <w:rFonts w:hint="eastAsia"/>
        </w:rPr>
        <w:t>；（</w:t>
      </w:r>
      <w:r>
        <w:rPr>
          <w:rFonts w:hint="eastAsia"/>
        </w:rPr>
        <w:t>3</w:t>
      </w:r>
      <w:r>
        <w:rPr>
          <w:rFonts w:hint="eastAsia"/>
        </w:rPr>
        <w:t>）称样；（</w:t>
      </w:r>
      <w:r>
        <w:rPr>
          <w:rFonts w:hint="eastAsia"/>
        </w:rPr>
        <w:t>4</w:t>
      </w:r>
      <w:r>
        <w:rPr>
          <w:rFonts w:hint="eastAsia"/>
        </w:rPr>
        <w:t>）样品的消煮；（</w:t>
      </w:r>
      <w:r>
        <w:rPr>
          <w:rFonts w:hint="eastAsia"/>
        </w:rPr>
        <w:t>5</w:t>
      </w:r>
      <w:r>
        <w:rPr>
          <w:rFonts w:hint="eastAsia"/>
        </w:rPr>
        <w:t>）凯氏定氮仪测定。</w:t>
      </w:r>
    </w:p>
    <w:p w14:paraId="02F06BAF" w14:textId="77777777" w:rsidR="00F5289E" w:rsidRDefault="00C91173">
      <w:pPr>
        <w:adjustRightInd w:val="0"/>
        <w:snapToGrid w:val="0"/>
        <w:spacing w:line="360" w:lineRule="auto"/>
        <w:ind w:firstLineChars="196" w:firstLine="413"/>
      </w:pPr>
      <w:r>
        <w:rPr>
          <w:rFonts w:ascii="宋体" w:hAnsi="宋体" w:hint="eastAsia"/>
          <w:b/>
          <w:szCs w:val="21"/>
        </w:rPr>
        <w:t>4.实验要求：</w:t>
      </w:r>
      <w:r>
        <w:rPr>
          <w:rFonts w:ascii="宋体" w:hAnsi="宋体" w:hint="eastAsia"/>
          <w:szCs w:val="21"/>
        </w:rPr>
        <w:t>（1）</w:t>
      </w:r>
      <w:r>
        <w:rPr>
          <w:rFonts w:hint="eastAsia"/>
        </w:rPr>
        <w:t>制取植株试样，粉碎过</w:t>
      </w:r>
      <w:r>
        <w:t>0.25mm</w:t>
      </w:r>
      <w:r>
        <w:t>筛</w:t>
      </w:r>
      <w:r>
        <w:rPr>
          <w:rFonts w:hint="eastAsia"/>
        </w:rPr>
        <w:t>；（</w:t>
      </w:r>
      <w:r>
        <w:rPr>
          <w:rFonts w:hint="eastAsia"/>
        </w:rPr>
        <w:t>2</w:t>
      </w:r>
      <w:r>
        <w:rPr>
          <w:rFonts w:hint="eastAsia"/>
        </w:rPr>
        <w:t>）三阶段消煮（一阶段</w:t>
      </w:r>
      <w:r>
        <w:rPr>
          <w:rFonts w:hint="eastAsia"/>
        </w:rPr>
        <w:t>180</w:t>
      </w:r>
      <w:r>
        <w:rPr>
          <w:rFonts w:hint="eastAsia"/>
        </w:rPr>
        <w:t>℃</w:t>
      </w:r>
      <w:r>
        <w:rPr>
          <w:rFonts w:hint="eastAsia"/>
        </w:rPr>
        <w:t>30min</w:t>
      </w:r>
      <w:r>
        <w:rPr>
          <w:rFonts w:hint="eastAsia"/>
        </w:rPr>
        <w:t>，二阶段</w:t>
      </w:r>
      <w:r>
        <w:rPr>
          <w:rFonts w:hint="eastAsia"/>
        </w:rPr>
        <w:t>280</w:t>
      </w:r>
      <w:r>
        <w:rPr>
          <w:rFonts w:hint="eastAsia"/>
        </w:rPr>
        <w:t>℃</w:t>
      </w:r>
      <w:r>
        <w:rPr>
          <w:rFonts w:hint="eastAsia"/>
        </w:rPr>
        <w:t>20min</w:t>
      </w:r>
      <w:r>
        <w:rPr>
          <w:rFonts w:hint="eastAsia"/>
        </w:rPr>
        <w:t>，三阶段</w:t>
      </w:r>
      <w:r>
        <w:rPr>
          <w:rFonts w:hint="eastAsia"/>
        </w:rPr>
        <w:t>400-440</w:t>
      </w:r>
      <w:r>
        <w:rPr>
          <w:rFonts w:hint="eastAsia"/>
        </w:rPr>
        <w:t>℃</w:t>
      </w:r>
      <w:r>
        <w:rPr>
          <w:rFonts w:hint="eastAsia"/>
        </w:rPr>
        <w:t>60-90min</w:t>
      </w:r>
      <w:r>
        <w:rPr>
          <w:rFonts w:hint="eastAsia"/>
        </w:rPr>
        <w:t>）；（</w:t>
      </w:r>
      <w:r>
        <w:rPr>
          <w:rFonts w:hint="eastAsia"/>
        </w:rPr>
        <w:t>3</w:t>
      </w:r>
      <w:r>
        <w:rPr>
          <w:rFonts w:hint="eastAsia"/>
        </w:rPr>
        <w:t>）重复三次，求</w:t>
      </w:r>
      <w:r>
        <w:t>算术平均值，保留小数点后三位</w:t>
      </w:r>
      <w:r>
        <w:rPr>
          <w:rFonts w:hint="eastAsia"/>
        </w:rPr>
        <w:t>；（</w:t>
      </w:r>
      <w:r>
        <w:rPr>
          <w:rFonts w:hint="eastAsia"/>
        </w:rPr>
        <w:t>4</w:t>
      </w:r>
      <w:r>
        <w:rPr>
          <w:rFonts w:hint="eastAsia"/>
        </w:rPr>
        <w:t>）判定</w:t>
      </w:r>
      <w:r>
        <w:t>平行测定结果</w:t>
      </w:r>
      <w:r>
        <w:rPr>
          <w:rFonts w:hint="eastAsia"/>
        </w:rPr>
        <w:t>的准确性。</w:t>
      </w:r>
    </w:p>
    <w:p w14:paraId="5C5FB75E" w14:textId="77777777" w:rsidR="00F5289E" w:rsidRDefault="00C91173">
      <w:pPr>
        <w:adjustRightInd w:val="0"/>
        <w:snapToGrid w:val="0"/>
        <w:spacing w:line="360" w:lineRule="auto"/>
        <w:ind w:firstLineChars="196" w:firstLine="413"/>
        <w:rPr>
          <w:rFonts w:ascii="宋体" w:hAnsi="宋体"/>
          <w:szCs w:val="21"/>
        </w:rPr>
      </w:pPr>
      <w:r>
        <w:rPr>
          <w:rFonts w:ascii="宋体" w:hAnsi="宋体" w:hint="eastAsia"/>
          <w:b/>
          <w:szCs w:val="21"/>
        </w:rPr>
        <w:t>5.实验设备及器材：</w:t>
      </w:r>
      <w:r>
        <w:t>样品粉碎机</w:t>
      </w:r>
      <w:r>
        <w:rPr>
          <w:rFonts w:hint="eastAsia"/>
        </w:rPr>
        <w:t>；</w:t>
      </w:r>
      <w:r>
        <w:t>玛瑙研钵</w:t>
      </w:r>
      <w:r>
        <w:rPr>
          <w:rFonts w:hint="eastAsia"/>
        </w:rPr>
        <w:t>（选用）</w:t>
      </w:r>
      <w:r>
        <w:t>；土壤筛：孔径</w:t>
      </w:r>
      <w:r>
        <w:t>1.0mm</w:t>
      </w:r>
      <w:r>
        <w:t>（</w:t>
      </w:r>
      <w:r>
        <w:t>18</w:t>
      </w:r>
      <w:r>
        <w:t>目）；</w:t>
      </w:r>
      <w:r>
        <w:t>0.25mm</w:t>
      </w:r>
      <w:r>
        <w:t>（</w:t>
      </w:r>
      <w:r>
        <w:t>60</w:t>
      </w:r>
      <w:r>
        <w:t>目）；分析天平</w:t>
      </w:r>
      <w:r>
        <w:rPr>
          <w:rFonts w:hint="eastAsia"/>
        </w:rPr>
        <w:t>；全自动凯式定氮仪；消解炉。</w:t>
      </w:r>
    </w:p>
    <w:p w14:paraId="5F0A8417"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【实验九】蔬菜植株速效磷测定</w:t>
      </w:r>
    </w:p>
    <w:p w14:paraId="317A4943"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3B596030"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2.实验目的：</w:t>
      </w:r>
      <w:r>
        <w:rPr>
          <w:rFonts w:ascii="宋体" w:hAnsi="宋体" w:hint="eastAsia"/>
          <w:bCs/>
          <w:szCs w:val="21"/>
        </w:rPr>
        <w:t>掌握蔬菜植株内速效磷的测定方法和相关仪器的操作方法，练习实验测定的具体操作步骤。</w:t>
      </w:r>
    </w:p>
    <w:p w14:paraId="6ECBEAE6"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3.实验内容：</w:t>
      </w:r>
      <w:r>
        <w:rPr>
          <w:rFonts w:ascii="宋体" w:hAnsi="宋体" w:hint="eastAsia"/>
          <w:bCs/>
          <w:szCs w:val="21"/>
        </w:rPr>
        <w:t>（1）测定样品的制取；（2）称样；（3）消煮；（4）标准曲线制作；（5）待测液取样、过滤或离心、加入指示剂、NaOH溶液中和、加入钒钼酸铵试剂、定容；（6）波长450nm分光光度计上比色；（7）结果计算。</w:t>
      </w:r>
    </w:p>
    <w:p w14:paraId="1FFF751D"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4.实验要求：</w:t>
      </w:r>
      <w:r>
        <w:rPr>
          <w:rFonts w:ascii="宋体" w:hAnsi="宋体" w:hint="eastAsia"/>
          <w:bCs/>
          <w:szCs w:val="21"/>
        </w:rPr>
        <w:t>掌握实验原理，每个处理至少重复三次；分光光度计以P标液0ug/ml调节仪器零点。</w:t>
      </w:r>
    </w:p>
    <w:p w14:paraId="263CA13E" w14:textId="77777777" w:rsidR="00F5289E" w:rsidRDefault="00C91173">
      <w:pPr>
        <w:adjustRightInd w:val="0"/>
        <w:snapToGrid w:val="0"/>
        <w:spacing w:line="360" w:lineRule="auto"/>
        <w:ind w:firstLineChars="196" w:firstLine="413"/>
        <w:rPr>
          <w:rFonts w:ascii="宋体" w:hAnsi="宋体"/>
          <w:szCs w:val="21"/>
        </w:rPr>
      </w:pPr>
      <w:r>
        <w:rPr>
          <w:rFonts w:ascii="宋体" w:hAnsi="宋体" w:hint="eastAsia"/>
          <w:b/>
          <w:szCs w:val="21"/>
        </w:rPr>
        <w:t>5.实验设备及器材：</w:t>
      </w:r>
      <w:r>
        <w:rPr>
          <w:rFonts w:ascii="宋体" w:hAnsi="宋体" w:hint="eastAsia"/>
          <w:bCs/>
          <w:szCs w:val="21"/>
        </w:rPr>
        <w:t>分光光度计、容量瓶、冰箱；试剂：2，6-二硝基酚指示剂、NaOH、钒钼酸铵、偏钒酸胺、浓硝酸、50ug/ml P标准溶液。</w:t>
      </w:r>
    </w:p>
    <w:p w14:paraId="7F029AD7"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【实验十】蔬菜植株速效钾测定</w:t>
      </w:r>
    </w:p>
    <w:p w14:paraId="21FB29B6"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3B7BEB7B"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2.实验目的：</w:t>
      </w:r>
      <w:r>
        <w:rPr>
          <w:rFonts w:ascii="宋体" w:hAnsi="宋体" w:hint="eastAsia"/>
          <w:bCs/>
          <w:szCs w:val="21"/>
        </w:rPr>
        <w:t>了解植株速效钾测定的原理，掌握蔬菜植株内速效钾的测定方法和火焰光度计的操作方法，练习实验测定的具体操作步骤。</w:t>
      </w:r>
    </w:p>
    <w:p w14:paraId="1C05A8A6" w14:textId="77777777" w:rsidR="00F5289E" w:rsidRDefault="00C91173">
      <w:pPr>
        <w:tabs>
          <w:tab w:val="left" w:pos="3437"/>
        </w:tabs>
        <w:adjustRightInd w:val="0"/>
        <w:snapToGrid w:val="0"/>
        <w:spacing w:line="360" w:lineRule="auto"/>
        <w:ind w:firstLineChars="200" w:firstLine="422"/>
        <w:rPr>
          <w:rFonts w:ascii="宋体" w:hAnsi="宋体"/>
          <w:bCs/>
          <w:szCs w:val="21"/>
        </w:rPr>
      </w:pPr>
      <w:r>
        <w:rPr>
          <w:rFonts w:ascii="宋体" w:hAnsi="宋体" w:hint="eastAsia"/>
          <w:b/>
          <w:szCs w:val="21"/>
        </w:rPr>
        <w:t>3.实验内容：</w:t>
      </w:r>
      <w:r>
        <w:rPr>
          <w:rFonts w:ascii="宋体" w:hAnsi="宋体" w:hint="eastAsia"/>
          <w:bCs/>
          <w:szCs w:val="21"/>
        </w:rPr>
        <w:t>（1）待测液的制备（同速效磷）；（2）标系的制作；（3）火焰光度计的调试；（4）标系数值测定与可用性判断；（5）火焰光度待定液测；（6）火焰光度用后清洗；（7）结果计算。</w:t>
      </w:r>
    </w:p>
    <w:p w14:paraId="2023AF6A"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（1）先测标系，再测待测液；（2）吸取过滤（定性滤纸）或离心过的待测液测定，若数值偏大，应稀释1倍后测定；（3）每个处理至少三次重复。</w:t>
      </w:r>
    </w:p>
    <w:p w14:paraId="140D3773"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5.实验设备及器材：</w:t>
      </w:r>
      <w:r>
        <w:rPr>
          <w:rFonts w:ascii="宋体" w:hAnsi="宋体" w:hint="eastAsia"/>
          <w:bCs/>
          <w:szCs w:val="21"/>
        </w:rPr>
        <w:t>容量瓶、火焰光度计、烧杯、100ug/ml K标液。</w:t>
      </w:r>
    </w:p>
    <w:p w14:paraId="5A14E442"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【实验十一】蔬菜</w:t>
      </w:r>
      <w:proofErr w:type="spellStart"/>
      <w:r>
        <w:rPr>
          <w:rFonts w:ascii="宋体" w:hAnsi="宋体" w:hint="eastAsia"/>
          <w:b/>
          <w:bCs/>
          <w:szCs w:val="21"/>
        </w:rPr>
        <w:t>Vc</w:t>
      </w:r>
      <w:proofErr w:type="spellEnd"/>
      <w:r>
        <w:rPr>
          <w:rFonts w:ascii="宋体" w:hAnsi="宋体" w:hint="eastAsia"/>
          <w:b/>
          <w:bCs/>
          <w:szCs w:val="21"/>
        </w:rPr>
        <w:t>含量测定</w:t>
      </w:r>
    </w:p>
    <w:p w14:paraId="6E859BA1"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16B05FA9"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2.实验目的：</w:t>
      </w:r>
      <w:r>
        <w:rPr>
          <w:rFonts w:ascii="宋体" w:hAnsi="宋体" w:hint="eastAsia"/>
          <w:bCs/>
          <w:szCs w:val="21"/>
        </w:rPr>
        <w:t>了解蔬菜</w:t>
      </w:r>
      <w:proofErr w:type="spellStart"/>
      <w:r>
        <w:rPr>
          <w:rFonts w:ascii="宋体" w:hAnsi="宋体" w:hint="eastAsia"/>
          <w:bCs/>
          <w:szCs w:val="21"/>
        </w:rPr>
        <w:t>Vc</w:t>
      </w:r>
      <w:proofErr w:type="spellEnd"/>
      <w:r>
        <w:rPr>
          <w:rFonts w:ascii="宋体" w:hAnsi="宋体" w:hint="eastAsia"/>
          <w:bCs/>
          <w:szCs w:val="21"/>
        </w:rPr>
        <w:t>测定的原理，掌握蔬菜</w:t>
      </w:r>
      <w:proofErr w:type="spellStart"/>
      <w:r>
        <w:rPr>
          <w:rFonts w:ascii="宋体" w:hAnsi="宋体" w:hint="eastAsia"/>
          <w:bCs/>
          <w:szCs w:val="21"/>
        </w:rPr>
        <w:t>Vc</w:t>
      </w:r>
      <w:proofErr w:type="spellEnd"/>
      <w:r>
        <w:rPr>
          <w:rFonts w:ascii="宋体" w:hAnsi="宋体" w:hint="eastAsia"/>
          <w:bCs/>
          <w:szCs w:val="21"/>
        </w:rPr>
        <w:t>的测定方法，练习实验测定的具体操作</w:t>
      </w:r>
      <w:r>
        <w:rPr>
          <w:rFonts w:ascii="宋体" w:hAnsi="宋体" w:hint="eastAsia"/>
          <w:bCs/>
          <w:szCs w:val="21"/>
        </w:rPr>
        <w:lastRenderedPageBreak/>
        <w:t>步骤。</w:t>
      </w:r>
    </w:p>
    <w:p w14:paraId="075286BA"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3.实验内容：</w:t>
      </w:r>
      <w:r>
        <w:rPr>
          <w:rFonts w:ascii="宋体" w:hAnsi="宋体" w:hint="eastAsia"/>
          <w:bCs/>
          <w:szCs w:val="21"/>
        </w:rPr>
        <w:t>（1）样品称量；（2）空白滴定；（3）染料标定；（4）样品滴定；（5）</w:t>
      </w:r>
      <w:proofErr w:type="spellStart"/>
      <w:r>
        <w:rPr>
          <w:rFonts w:ascii="宋体" w:hAnsi="宋体" w:hint="eastAsia"/>
          <w:bCs/>
          <w:szCs w:val="21"/>
        </w:rPr>
        <w:t>Vc</w:t>
      </w:r>
      <w:proofErr w:type="spellEnd"/>
      <w:r>
        <w:rPr>
          <w:rFonts w:ascii="宋体" w:hAnsi="宋体" w:hint="eastAsia"/>
          <w:bCs/>
          <w:szCs w:val="21"/>
        </w:rPr>
        <w:t>含量计算。</w:t>
      </w:r>
    </w:p>
    <w:p w14:paraId="0407471F" w14:textId="77777777" w:rsidR="00F5289E" w:rsidRDefault="00C91173">
      <w:pPr>
        <w:adjustRightInd w:val="0"/>
        <w:snapToGrid w:val="0"/>
        <w:spacing w:line="360" w:lineRule="auto"/>
        <w:ind w:firstLineChars="200" w:firstLine="422"/>
        <w:rPr>
          <w:rFonts w:ascii="宋体" w:hAnsi="宋体"/>
          <w:bCs/>
          <w:szCs w:val="21"/>
        </w:rPr>
      </w:pPr>
      <w:r>
        <w:rPr>
          <w:rFonts w:ascii="宋体" w:hAnsi="宋体" w:hint="eastAsia"/>
          <w:b/>
          <w:szCs w:val="21"/>
        </w:rPr>
        <w:t>4.实验要求：</w:t>
      </w:r>
      <w:r>
        <w:rPr>
          <w:rFonts w:ascii="宋体" w:hAnsi="宋体" w:hint="eastAsia"/>
          <w:bCs/>
          <w:szCs w:val="21"/>
        </w:rPr>
        <w:t>（1）一般样品称量10g，草酸研磨溶解；（2）空白滴定终点确定：取2%草酸10ml用2，6-D滴定至粉红色，30s内不褪色；（3）染料标定： 10ml标准抗坏血酸溶液用2，6-D滴定至粉红色，30s内不褪色；（4）样品滴定终点：10ml样品用2，6-D滴定至粉红色，30s内不褪色。</w:t>
      </w:r>
    </w:p>
    <w:p w14:paraId="2640108F" w14:textId="77777777" w:rsidR="00F5289E" w:rsidRDefault="00C91173">
      <w:pPr>
        <w:adjustRightInd w:val="0"/>
        <w:snapToGrid w:val="0"/>
        <w:spacing w:line="360" w:lineRule="auto"/>
        <w:ind w:firstLineChars="196" w:firstLine="413"/>
        <w:rPr>
          <w:rFonts w:ascii="宋体" w:hAnsi="宋体" w:cs="宋体"/>
          <w:szCs w:val="21"/>
        </w:rPr>
      </w:pPr>
      <w:r>
        <w:rPr>
          <w:rFonts w:ascii="宋体" w:hAnsi="宋体" w:hint="eastAsia"/>
          <w:b/>
          <w:szCs w:val="21"/>
        </w:rPr>
        <w:t>5.实验设备及器材：</w:t>
      </w:r>
      <w:r>
        <w:rPr>
          <w:rFonts w:ascii="宋体" w:hAnsi="宋体" w:hint="eastAsia"/>
          <w:bCs/>
          <w:szCs w:val="21"/>
        </w:rPr>
        <w:t>电子天平、研钵、量筒、烧杯、容量瓶、三角瓶、滴定管、棕色瓶、冰箱；试剂包括：</w:t>
      </w:r>
      <w:r>
        <w:rPr>
          <w:rFonts w:ascii="宋体" w:hAnsi="宋体" w:cs="宋体" w:hint="eastAsia"/>
          <w:szCs w:val="21"/>
        </w:rPr>
        <w:t>草酸、2，6-二氯酚靛酚、NaHCO</w:t>
      </w:r>
      <w:r>
        <w:rPr>
          <w:rFonts w:ascii="宋体" w:hAnsi="宋体" w:cs="宋体" w:hint="eastAsia"/>
          <w:szCs w:val="21"/>
          <w:vertAlign w:val="subscript"/>
        </w:rPr>
        <w:t>3</w:t>
      </w:r>
      <w:r>
        <w:rPr>
          <w:rFonts w:ascii="宋体" w:hAnsi="宋体" w:cs="宋体" w:hint="eastAsia"/>
          <w:szCs w:val="21"/>
        </w:rPr>
        <w:t>、抗坏血酸等。</w:t>
      </w:r>
    </w:p>
    <w:p w14:paraId="02C7FC72" w14:textId="77777777" w:rsidR="00F5289E" w:rsidRDefault="00C91173">
      <w:pPr>
        <w:adjustRightInd w:val="0"/>
        <w:snapToGrid w:val="0"/>
        <w:spacing w:beforeLines="50" w:before="156" w:afterLines="50" w:after="156" w:line="360" w:lineRule="auto"/>
        <w:jc w:val="left"/>
        <w:rPr>
          <w:rFonts w:ascii="宋体" w:hAnsi="宋体"/>
          <w:b/>
          <w:bCs/>
          <w:szCs w:val="21"/>
        </w:rPr>
      </w:pPr>
      <w:r>
        <w:rPr>
          <w:rFonts w:ascii="宋体" w:hAnsi="宋体" w:hint="eastAsia"/>
          <w:b/>
          <w:bCs/>
          <w:szCs w:val="21"/>
        </w:rPr>
        <w:t>【实验十二】蔬菜可溶性糖含量测定</w:t>
      </w:r>
    </w:p>
    <w:p w14:paraId="4D2C4142" w14:textId="77777777" w:rsidR="00F5289E" w:rsidRDefault="00C91173">
      <w:pPr>
        <w:adjustRightInd w:val="0"/>
        <w:snapToGrid w:val="0"/>
        <w:spacing w:line="360" w:lineRule="auto"/>
        <w:ind w:firstLineChars="196" w:firstLine="413"/>
        <w:rPr>
          <w:rFonts w:ascii="宋体" w:hAnsi="宋体"/>
        </w:rPr>
      </w:pPr>
      <w:r>
        <w:rPr>
          <w:rFonts w:ascii="宋体" w:hAnsi="宋体" w:hint="eastAsia"/>
          <w:b/>
          <w:szCs w:val="21"/>
        </w:rPr>
        <w:t>1.实验学时：</w:t>
      </w:r>
      <w:r>
        <w:rPr>
          <w:rFonts w:ascii="宋体" w:hAnsi="宋体" w:hint="eastAsia"/>
          <w:bCs/>
        </w:rPr>
        <w:t>2学时</w:t>
      </w:r>
    </w:p>
    <w:p w14:paraId="35D06263" w14:textId="77777777" w:rsidR="00F5289E" w:rsidRDefault="00C91173">
      <w:pPr>
        <w:adjustRightInd w:val="0"/>
        <w:snapToGrid w:val="0"/>
        <w:spacing w:line="360" w:lineRule="auto"/>
        <w:ind w:firstLineChars="196" w:firstLine="413"/>
        <w:rPr>
          <w:rFonts w:ascii="宋体" w:hAnsi="宋体"/>
          <w:bCs/>
          <w:szCs w:val="21"/>
        </w:rPr>
      </w:pPr>
      <w:r>
        <w:rPr>
          <w:rFonts w:ascii="宋体" w:hAnsi="宋体" w:hint="eastAsia"/>
          <w:b/>
          <w:szCs w:val="21"/>
        </w:rPr>
        <w:t>2.实验目的：</w:t>
      </w:r>
      <w:r>
        <w:rPr>
          <w:rFonts w:ascii="宋体" w:hAnsi="宋体" w:hint="eastAsia"/>
          <w:bCs/>
          <w:szCs w:val="21"/>
        </w:rPr>
        <w:t>了解蔬菜</w:t>
      </w:r>
      <w:r>
        <w:rPr>
          <w:rFonts w:ascii="宋体" w:hAnsi="宋体" w:hint="eastAsia"/>
          <w:kern w:val="0"/>
          <w:sz w:val="20"/>
          <w:szCs w:val="21"/>
        </w:rPr>
        <w:t>可溶性糖</w:t>
      </w:r>
      <w:r>
        <w:rPr>
          <w:rFonts w:ascii="宋体" w:hAnsi="宋体" w:hint="eastAsia"/>
          <w:bCs/>
          <w:szCs w:val="21"/>
        </w:rPr>
        <w:t>测定的原理，掌握蔬菜可溶性糖的测定方法，练习实验测定的具体操作步骤。</w:t>
      </w:r>
    </w:p>
    <w:p w14:paraId="165B3F8B" w14:textId="77777777" w:rsidR="00F5289E" w:rsidRDefault="00C91173">
      <w:pPr>
        <w:adjustRightInd w:val="0"/>
        <w:snapToGrid w:val="0"/>
        <w:spacing w:line="360" w:lineRule="auto"/>
        <w:ind w:firstLineChars="200" w:firstLine="422"/>
        <w:rPr>
          <w:rFonts w:ascii="宋体" w:hAnsi="宋体" w:cs="宋体"/>
          <w:szCs w:val="21"/>
        </w:rPr>
      </w:pPr>
      <w:r>
        <w:rPr>
          <w:rFonts w:ascii="宋体" w:hAnsi="宋体" w:hint="eastAsia"/>
          <w:b/>
          <w:szCs w:val="21"/>
        </w:rPr>
        <w:t>3.实验内容：</w:t>
      </w:r>
      <w:r>
        <w:rPr>
          <w:rFonts w:ascii="宋体" w:hAnsi="宋体" w:hint="eastAsia"/>
          <w:szCs w:val="21"/>
        </w:rPr>
        <w:t>（1）试样</w:t>
      </w:r>
      <w:r>
        <w:rPr>
          <w:rFonts w:ascii="宋体" w:hAnsi="宋体" w:cs="宋体" w:hint="eastAsia"/>
          <w:szCs w:val="21"/>
        </w:rPr>
        <w:t>称取；（2）试样加蒸馏水消煮；（3）过滤、定容；（4）蒽酮浓H</w:t>
      </w:r>
      <w:r>
        <w:rPr>
          <w:rFonts w:ascii="宋体" w:hAnsi="宋体" w:cs="宋体" w:hint="eastAsia"/>
          <w:szCs w:val="21"/>
          <w:vertAlign w:val="subscript"/>
        </w:rPr>
        <w:t>2</w:t>
      </w:r>
      <w:r>
        <w:rPr>
          <w:rFonts w:ascii="宋体" w:hAnsi="宋体" w:cs="宋体" w:hint="eastAsia"/>
          <w:szCs w:val="21"/>
        </w:rPr>
        <w:t>SO</w:t>
      </w:r>
      <w:r>
        <w:rPr>
          <w:rFonts w:ascii="宋体" w:hAnsi="宋体" w:cs="宋体" w:hint="eastAsia"/>
          <w:szCs w:val="21"/>
          <w:vertAlign w:val="subscript"/>
        </w:rPr>
        <w:t>4</w:t>
      </w:r>
      <w:r>
        <w:rPr>
          <w:rFonts w:ascii="宋体" w:hAnsi="宋体" w:cs="宋体" w:hint="eastAsia"/>
          <w:szCs w:val="21"/>
        </w:rPr>
        <w:t>反应；（5）沸水浴精确保温；（6）测吸光度；（7）含量计算。</w:t>
      </w:r>
    </w:p>
    <w:p w14:paraId="45A1673A" w14:textId="77777777" w:rsidR="00F5289E" w:rsidRDefault="00C91173">
      <w:pPr>
        <w:adjustRightInd w:val="0"/>
        <w:snapToGrid w:val="0"/>
        <w:spacing w:line="360" w:lineRule="auto"/>
        <w:ind w:firstLineChars="196" w:firstLine="413"/>
        <w:rPr>
          <w:rFonts w:ascii="宋体" w:hAnsi="宋体" w:cs="宋体"/>
          <w:szCs w:val="21"/>
        </w:rPr>
      </w:pPr>
      <w:r>
        <w:rPr>
          <w:rFonts w:ascii="宋体" w:hAnsi="宋体" w:hint="eastAsia"/>
          <w:b/>
          <w:szCs w:val="21"/>
        </w:rPr>
        <w:t>4.实验要求：（1）</w:t>
      </w:r>
      <w:r>
        <w:rPr>
          <w:rFonts w:ascii="宋体" w:hAnsi="宋体" w:cs="宋体" w:hint="eastAsia"/>
          <w:szCs w:val="21"/>
        </w:rPr>
        <w:t>称取果肉1g；（2）消煮30min；（3）沸水浴精确保温1min；（4）630nm波长比色。</w:t>
      </w:r>
    </w:p>
    <w:p w14:paraId="5C01EA98" w14:textId="77777777" w:rsidR="00F5289E" w:rsidRDefault="00C91173">
      <w:pPr>
        <w:adjustRightInd w:val="0"/>
        <w:snapToGrid w:val="0"/>
        <w:spacing w:line="360" w:lineRule="auto"/>
        <w:ind w:firstLineChars="196" w:firstLine="413"/>
      </w:pPr>
      <w:r>
        <w:rPr>
          <w:rFonts w:ascii="宋体" w:hAnsi="宋体" w:hint="eastAsia"/>
          <w:b/>
          <w:szCs w:val="21"/>
        </w:rPr>
        <w:t>5.实验设备及器材：721</w:t>
      </w:r>
      <w:r>
        <w:t>分光光度计，电炉，铝锅，电子天平，刻度试管，刻度吸管</w:t>
      </w:r>
      <w:r>
        <w:t xml:space="preserve"> 5ml 1 </w:t>
      </w:r>
      <w:r>
        <w:t>支、漏斗</w:t>
      </w:r>
      <w:r>
        <w:rPr>
          <w:rFonts w:hint="eastAsia"/>
        </w:rPr>
        <w:t>；</w:t>
      </w:r>
      <w:r>
        <w:t>蒽酮试剂</w:t>
      </w:r>
      <w:r>
        <w:rPr>
          <w:rFonts w:hint="eastAsia"/>
        </w:rPr>
        <w:t>、</w:t>
      </w:r>
      <w:r>
        <w:t>浓硫酸</w:t>
      </w:r>
      <w:r>
        <w:rPr>
          <w:rFonts w:hint="eastAsia"/>
        </w:rPr>
        <w:t>。</w:t>
      </w:r>
    </w:p>
    <w:p w14:paraId="5091B0D8"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（七）考核方式及成绩评定</w:t>
      </w:r>
    </w:p>
    <w:p w14:paraId="003A3054" w14:textId="77777777" w:rsidR="00F5289E" w:rsidRDefault="00C91173">
      <w:pPr>
        <w:widowControl/>
        <w:snapToGrid w:val="0"/>
        <w:spacing w:beforeLines="50" w:before="156" w:afterLines="50" w:after="156" w:line="360" w:lineRule="auto"/>
        <w:ind w:firstLineChars="200" w:firstLine="420"/>
        <w:jc w:val="left"/>
        <w:rPr>
          <w:rFonts w:ascii="宋体" w:hAnsi="宋体"/>
          <w:szCs w:val="21"/>
        </w:rPr>
      </w:pPr>
      <w:r>
        <w:rPr>
          <w:rFonts w:ascii="宋体" w:hAnsi="宋体" w:hint="eastAsia"/>
          <w:szCs w:val="21"/>
        </w:rPr>
        <w:t>采用平时考勤、课堂讨论、期中考试、期末考试、实习报告成绩，进行课程综合成绩评定。考核采用考查方式，对实验报告进行考查，采用百分制评分。</w:t>
      </w:r>
    </w:p>
    <w:p w14:paraId="535CC288" w14:textId="77777777" w:rsidR="00F5289E" w:rsidRDefault="00C91173">
      <w:pPr>
        <w:widowControl/>
        <w:snapToGrid w:val="0"/>
        <w:spacing w:beforeLines="50" w:before="156" w:afterLines="50" w:after="156" w:line="360" w:lineRule="auto"/>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六、课程思政</w:t>
      </w:r>
    </w:p>
    <w:p w14:paraId="289FC835" w14:textId="77777777" w:rsidR="00F5289E" w:rsidRDefault="00C91173">
      <w:pPr>
        <w:adjustRightInd w:val="0"/>
        <w:snapToGrid w:val="0"/>
        <w:spacing w:line="360" w:lineRule="auto"/>
        <w:ind w:firstLineChars="200" w:firstLine="420"/>
      </w:pPr>
      <w:r>
        <w:rPr>
          <w:rFonts w:hint="eastAsia"/>
        </w:rPr>
        <w:t>根据本校办学定位、专业特色和人才培养要求，课程思政建设方向和重点是培养学生的“大国三农”情怀和“生态文明”理念；课程思政建设目标是：培养学生“懂农业、爱农村，爱农民”，增强学生强农兴农、服务农业农村现代化、服务乡村全面振兴的使命感和责任感。</w:t>
      </w:r>
    </w:p>
    <w:p w14:paraId="14D0513A" w14:textId="77777777" w:rsidR="00F5289E" w:rsidRDefault="00C91173">
      <w:pPr>
        <w:adjustRightInd w:val="0"/>
        <w:snapToGrid w:val="0"/>
        <w:spacing w:line="360" w:lineRule="auto"/>
        <w:ind w:firstLineChars="150" w:firstLine="315"/>
      </w:pPr>
      <w:r>
        <w:rPr>
          <w:rFonts w:hint="eastAsia"/>
        </w:rPr>
        <w:t xml:space="preserve">1. </w:t>
      </w:r>
      <w:r>
        <w:t>从我国水资源、肥料资源短缺和设施农业连作障碍，引导学生树立生态文明、绿色发展的理念。</w:t>
      </w:r>
    </w:p>
    <w:p w14:paraId="16C8EBD9" w14:textId="77777777" w:rsidR="00F5289E" w:rsidRDefault="00C91173">
      <w:pPr>
        <w:adjustRightInd w:val="0"/>
        <w:snapToGrid w:val="0"/>
        <w:spacing w:line="360" w:lineRule="auto"/>
        <w:ind w:firstLineChars="150" w:firstLine="315"/>
      </w:pPr>
      <w:r>
        <w:rPr>
          <w:rFonts w:hint="eastAsia"/>
        </w:rPr>
        <w:t xml:space="preserve">2. </w:t>
      </w:r>
      <w:r>
        <w:t>从发达国家设施农业发展现状、我国设施农业存在问题，</w:t>
      </w:r>
      <w:r>
        <w:rPr>
          <w:rFonts w:hint="eastAsia"/>
        </w:rPr>
        <w:t>激发</w:t>
      </w:r>
      <w:r>
        <w:t>学生强农兴农的使命感。</w:t>
      </w:r>
    </w:p>
    <w:p w14:paraId="350CAC24" w14:textId="77777777" w:rsidR="00F5289E" w:rsidRDefault="00C91173">
      <w:pPr>
        <w:pStyle w:val="afd"/>
        <w:adjustRightInd w:val="0"/>
        <w:snapToGrid w:val="0"/>
        <w:spacing w:line="360" w:lineRule="auto"/>
        <w:ind w:left="360" w:firstLineChars="0" w:firstLine="0"/>
        <w:rPr>
          <w:rFonts w:ascii="宋体" w:hAnsi="宋体"/>
        </w:rPr>
      </w:pPr>
      <w:r>
        <w:rPr>
          <w:rFonts w:hint="eastAsia"/>
        </w:rPr>
        <w:t>3.</w:t>
      </w:r>
      <w:r>
        <w:rPr>
          <w:rFonts w:ascii="宋体" w:hAnsi="宋体" w:hint="eastAsia"/>
        </w:rPr>
        <w:t>“春化作用”延伸到“不经一番寒彻骨，哪得梅花扑鼻香”，使学生树立吃</w:t>
      </w:r>
    </w:p>
    <w:p w14:paraId="42349F6B" w14:textId="77777777" w:rsidR="00F5289E" w:rsidRDefault="00C91173">
      <w:pPr>
        <w:adjustRightInd w:val="0"/>
        <w:snapToGrid w:val="0"/>
        <w:spacing w:line="360" w:lineRule="auto"/>
      </w:pPr>
      <w:r>
        <w:rPr>
          <w:rFonts w:ascii="宋体" w:hAnsi="宋体" w:hint="eastAsia"/>
        </w:rPr>
        <w:t>苦耐劳的精神；在讲到“蔬菜作物生长相关性”内容时，类比到人与人之间的关系，培养学生树立“人人为我，我为人人”的高尚情操。</w:t>
      </w:r>
    </w:p>
    <w:p w14:paraId="77D4AA81" w14:textId="77777777" w:rsidR="00F5289E" w:rsidRDefault="00C91173">
      <w:pPr>
        <w:adjustRightInd w:val="0"/>
        <w:snapToGrid w:val="0"/>
        <w:spacing w:line="360" w:lineRule="auto"/>
        <w:ind w:firstLineChars="150" w:firstLine="315"/>
        <w:rPr>
          <w:rFonts w:ascii="宋体" w:hAnsi="宋体"/>
        </w:rPr>
      </w:pPr>
      <w:r>
        <w:rPr>
          <w:rFonts w:hint="eastAsia"/>
        </w:rPr>
        <w:lastRenderedPageBreak/>
        <w:t>4.</w:t>
      </w:r>
      <w:r>
        <w:rPr>
          <w:rFonts w:ascii="宋体" w:hAnsi="宋体" w:hint="eastAsia"/>
        </w:rPr>
        <w:t xml:space="preserve"> 挖掘中国古老农耕文明，讲好中国故事，增强“四个自信”。本团队从《吕氏春秋》、《氾胜之书》、《齐民要术》等农书中，挖掘与“蔬菜栽培学”相关的元素，丰富课程教学内容，弘扬中华农业文明，增强学生的“四个自信”。</w:t>
      </w:r>
    </w:p>
    <w:p w14:paraId="349E0083" w14:textId="77777777" w:rsidR="00F5289E" w:rsidRDefault="00C91173">
      <w:pPr>
        <w:adjustRightInd w:val="0"/>
        <w:snapToGrid w:val="0"/>
        <w:spacing w:line="360" w:lineRule="auto"/>
        <w:ind w:firstLineChars="150" w:firstLine="315"/>
      </w:pPr>
      <w:r>
        <w:rPr>
          <w:rFonts w:hint="eastAsia"/>
        </w:rPr>
        <w:t>5.</w:t>
      </w:r>
      <w:r>
        <w:rPr>
          <w:rFonts w:ascii="宋体" w:hAnsi="宋体" w:hint="eastAsia"/>
        </w:rPr>
        <w:t xml:space="preserve"> 通过西瓜院士吴明珠的事迹、借助于校史、知名专家、校友服务“三农”事迹，激发学生服务“大国三农”的情怀，</w:t>
      </w:r>
      <w:r>
        <w:rPr>
          <w:rFonts w:hint="eastAsia"/>
        </w:rPr>
        <w:t>增强学生服务农业农村现代化、服务乡村全面振兴的使命感。</w:t>
      </w:r>
    </w:p>
    <w:p w14:paraId="2C867FED" w14:textId="77777777" w:rsidR="00F5289E" w:rsidRDefault="00C91173">
      <w:pPr>
        <w:widowControl/>
        <w:snapToGrid w:val="0"/>
        <w:spacing w:beforeLines="50" w:before="156" w:afterLines="50" w:after="156" w:line="360" w:lineRule="auto"/>
        <w:jc w:val="left"/>
        <w:rPr>
          <w:rFonts w:ascii="宋体" w:hAnsi="宋体"/>
          <w:szCs w:val="21"/>
        </w:rPr>
      </w:pPr>
      <w:r>
        <w:rPr>
          <w:rFonts w:asciiTheme="minorEastAsia" w:eastAsiaTheme="minorEastAsia" w:hAnsiTheme="minorEastAsia" w:cstheme="minorEastAsia" w:hint="eastAsia"/>
          <w:b/>
          <w:bCs/>
          <w:kern w:val="0"/>
          <w:szCs w:val="21"/>
        </w:rPr>
        <w:t>七、教材及教学参考书</w:t>
      </w:r>
    </w:p>
    <w:p w14:paraId="3EE674E0" w14:textId="77777777" w:rsidR="00F5289E" w:rsidRDefault="00C91173">
      <w:pPr>
        <w:widowControl/>
        <w:snapToGrid w:val="0"/>
        <w:spacing w:line="360" w:lineRule="auto"/>
        <w:ind w:firstLineChars="196" w:firstLine="413"/>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1．选用教材：</w:t>
      </w:r>
    </w:p>
    <w:p w14:paraId="2A1E7DAF"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（1）理论课教材：</w:t>
      </w:r>
    </w:p>
    <w:p w14:paraId="6EC860E9" w14:textId="77777777" w:rsidR="00F5289E" w:rsidRDefault="00C91173">
      <w:pPr>
        <w:widowControl/>
        <w:snapToGrid w:val="0"/>
        <w:spacing w:line="360" w:lineRule="auto"/>
        <w:ind w:firstLineChars="200" w:firstLine="420"/>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设施蔬菜栽培学，李天来，中国农业出版社，201</w:t>
      </w:r>
      <w:r>
        <w:rPr>
          <w:rFonts w:asciiTheme="minorEastAsia" w:eastAsiaTheme="minorEastAsia" w:hAnsiTheme="minorEastAsia" w:cstheme="minorEastAsia"/>
          <w:bCs/>
          <w:kern w:val="0"/>
          <w:szCs w:val="21"/>
        </w:rPr>
        <w:t>8</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bCs/>
          <w:kern w:val="0"/>
          <w:szCs w:val="21"/>
        </w:rPr>
        <w:t>.</w:t>
      </w:r>
    </w:p>
    <w:p w14:paraId="183ACFA5"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（2）实验课教材：</w:t>
      </w:r>
    </w:p>
    <w:p w14:paraId="233CB04E"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设施蔬菜栽培学实践教学指导书，王久兴、宋士清 主编，中国农业科学技术出版社，2012年.</w:t>
      </w:r>
    </w:p>
    <w:p w14:paraId="6A445F20"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b/>
          <w:bCs/>
          <w:strike/>
          <w:color w:val="0000FF"/>
          <w:kern w:val="0"/>
          <w:szCs w:val="21"/>
        </w:rPr>
      </w:pPr>
      <w:r>
        <w:rPr>
          <w:rFonts w:asciiTheme="minorEastAsia" w:eastAsiaTheme="minorEastAsia" w:hAnsiTheme="minorEastAsia" w:cstheme="minorEastAsia" w:hint="eastAsia"/>
          <w:szCs w:val="21"/>
        </w:rPr>
        <w:t>设施蔬菜栽培学实验指导（第5次修订），河南农业大学设施蔬菜栽培课程组 编，2018年.</w:t>
      </w:r>
    </w:p>
    <w:p w14:paraId="5C0230B4"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bCs/>
          <w:kern w:val="0"/>
          <w:szCs w:val="21"/>
        </w:rPr>
      </w:pPr>
      <w:r>
        <w:rPr>
          <w:rFonts w:asciiTheme="minorEastAsia" w:eastAsiaTheme="minorEastAsia" w:hAnsiTheme="minorEastAsia" w:cstheme="minorEastAsia" w:hint="eastAsia"/>
          <w:bCs/>
          <w:kern w:val="0"/>
          <w:szCs w:val="21"/>
        </w:rPr>
        <w:t>（3）实习指导书：</w:t>
      </w:r>
    </w:p>
    <w:p w14:paraId="5B1360AD"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设施蔬菜栽培学实践教学指导书，王久兴、宋士清主编，中国农业科学技术出版社，2012年.</w:t>
      </w:r>
    </w:p>
    <w:p w14:paraId="1170AD49" w14:textId="77777777" w:rsidR="00F5289E" w:rsidRDefault="00C91173">
      <w:pPr>
        <w:widowControl/>
        <w:snapToGrid w:val="0"/>
        <w:spacing w:line="360" w:lineRule="auto"/>
        <w:ind w:firstLineChars="196" w:firstLine="413"/>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2．参考书：</w:t>
      </w:r>
    </w:p>
    <w:p w14:paraId="2AB4743B"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（1）设施植物栽培学. 钟凤林、林义章 编. 科学出版社，2018</w:t>
      </w:r>
    </w:p>
    <w:p w14:paraId="67DBC370"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（2）蔬菜栽培学总论（第三版）.喻景权、王秀峰．中国农业出版社.2014 年</w:t>
      </w:r>
    </w:p>
    <w:p w14:paraId="74E58EE1"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（3）中国蔬菜栽培学（第 2 版）.中国农业科学院蔬菜花卉研究所 编. 中国农业出版</w:t>
      </w:r>
    </w:p>
    <w:p w14:paraId="25A73CDC"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社.2010 年</w:t>
      </w:r>
    </w:p>
    <w:p w14:paraId="1BD685C9"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（4）蔬菜栽培学各论（第四版）．王秀峰．中国农业出版社，2011 年</w:t>
      </w:r>
    </w:p>
    <w:p w14:paraId="0FD73CE6"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（5）蔬菜栽培学总论．程智慧．科学出版社，2010 年</w:t>
      </w:r>
    </w:p>
    <w:p w14:paraId="4F4804F7"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（6）设施园艺学（第二版）.李式军、郭世荣 编. 中国农业出版社.2011 年</w:t>
      </w:r>
    </w:p>
    <w:p w14:paraId="18F36787"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（7）无土栽培学（第二版）.郭世荣 主编. 中国农业出版社.2011 年</w:t>
      </w:r>
    </w:p>
    <w:p w14:paraId="4CD759D1" w14:textId="77777777" w:rsidR="00F5289E" w:rsidRDefault="00C91173">
      <w:pPr>
        <w:widowControl/>
        <w:snapToGrid w:val="0"/>
        <w:spacing w:line="360" w:lineRule="auto"/>
        <w:ind w:firstLineChars="196" w:firstLine="413"/>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kern w:val="0"/>
          <w:szCs w:val="21"/>
        </w:rPr>
        <w:t>3．推荐网站：</w:t>
      </w:r>
    </w:p>
    <w:p w14:paraId="7C9D9478" w14:textId="77777777" w:rsidR="00F5289E" w:rsidRPr="004156EB" w:rsidRDefault="00C91173" w:rsidP="004156EB">
      <w:pPr>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（1）中国大学M</w:t>
      </w:r>
      <w:r>
        <w:rPr>
          <w:rFonts w:asciiTheme="minorEastAsia" w:eastAsiaTheme="minorEastAsia" w:hAnsiTheme="minorEastAsia" w:cstheme="minorEastAsia"/>
          <w:szCs w:val="21"/>
        </w:rPr>
        <w:t>OOC</w:t>
      </w:r>
      <w:r w:rsidR="004156EB">
        <w:rPr>
          <w:rFonts w:asciiTheme="minorEastAsia" w:eastAsiaTheme="minorEastAsia" w:hAnsiTheme="minorEastAsia" w:cstheme="minorEastAsia" w:hint="eastAsia"/>
          <w:szCs w:val="21"/>
        </w:rPr>
        <w:t>：</w:t>
      </w:r>
      <w:r w:rsidRPr="004156EB">
        <w:rPr>
          <w:rFonts w:eastAsiaTheme="minorEastAsia"/>
          <w:szCs w:val="21"/>
        </w:rPr>
        <w:t>https://www.icourse163.org/home.htm?userId=1406939447#/home/course</w:t>
      </w:r>
    </w:p>
    <w:p w14:paraId="4455AEDD" w14:textId="77777777" w:rsidR="00F5289E" w:rsidRPr="004156EB" w:rsidRDefault="00C91173" w:rsidP="004156EB">
      <w:pPr>
        <w:snapToGrid w:val="0"/>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（2）华中农业大学 设施园艺学精品课程</w:t>
      </w:r>
      <w:r w:rsidR="004156EB">
        <w:rPr>
          <w:rFonts w:asciiTheme="minorEastAsia" w:eastAsiaTheme="minorEastAsia" w:hAnsiTheme="minorEastAsia" w:cstheme="minorEastAsia" w:hint="eastAsia"/>
          <w:szCs w:val="21"/>
        </w:rPr>
        <w:t>：</w:t>
      </w:r>
      <w:r w:rsidRPr="004156EB">
        <w:rPr>
          <w:rFonts w:hint="eastAsia"/>
        </w:rPr>
        <w:t>http://nhjy.hzau.edu.cn/kech/ssyy/kcgs.html</w:t>
      </w:r>
    </w:p>
    <w:p w14:paraId="26222416" w14:textId="77777777" w:rsidR="00F5289E" w:rsidRPr="004156EB" w:rsidRDefault="00C91173">
      <w:pPr>
        <w:snapToGrid w:val="0"/>
        <w:spacing w:line="360" w:lineRule="auto"/>
        <w:ind w:firstLineChars="200" w:firstLine="420"/>
      </w:pPr>
      <w:r>
        <w:rPr>
          <w:rFonts w:asciiTheme="minorEastAsia" w:eastAsiaTheme="minorEastAsia" w:hAnsiTheme="minorEastAsia" w:cstheme="minorEastAsia" w:hint="eastAsia"/>
          <w:szCs w:val="21"/>
        </w:rPr>
        <w:t>（3）中国蔬菜网：</w:t>
      </w:r>
      <w:r w:rsidRPr="004156EB">
        <w:rPr>
          <w:rFonts w:hint="eastAsia"/>
        </w:rPr>
        <w:t>http://www.vegnet.com.cn/</w:t>
      </w:r>
    </w:p>
    <w:p w14:paraId="06CF24A1" w14:textId="77777777" w:rsidR="00F5289E" w:rsidRPr="004156EB" w:rsidRDefault="00C91173">
      <w:pPr>
        <w:snapToGrid w:val="0"/>
        <w:spacing w:line="360" w:lineRule="auto"/>
        <w:ind w:firstLineChars="200" w:firstLine="420"/>
      </w:pPr>
      <w:r>
        <w:rPr>
          <w:rFonts w:asciiTheme="minorEastAsia" w:eastAsiaTheme="minorEastAsia" w:hAnsiTheme="minorEastAsia" w:cstheme="minorEastAsia" w:hint="eastAsia"/>
          <w:szCs w:val="21"/>
        </w:rPr>
        <w:t>（4）中国寿光蔬菜网：</w:t>
      </w:r>
      <w:r>
        <w:fldChar w:fldCharType="begin"/>
      </w:r>
      <w:r>
        <w:instrText>HYPERLINK "http://www.shucai001.com/"</w:instrText>
      </w:r>
      <w:r>
        <w:fldChar w:fldCharType="separate"/>
      </w:r>
      <w:r w:rsidRPr="004156EB">
        <w:rPr>
          <w:rFonts w:hint="eastAsia"/>
        </w:rPr>
        <w:t>http://www.shucai001.com/</w:t>
      </w:r>
      <w:r>
        <w:fldChar w:fldCharType="end"/>
      </w:r>
    </w:p>
    <w:p w14:paraId="53BCF6A6" w14:textId="77777777" w:rsidR="00F5289E" w:rsidRPr="004156EB" w:rsidRDefault="00C91173" w:rsidP="004156EB">
      <w:pPr>
        <w:widowControl/>
        <w:snapToGrid w:val="0"/>
        <w:spacing w:line="360" w:lineRule="auto"/>
        <w:ind w:firstLineChars="200" w:firstLine="420"/>
        <w:jc w:val="left"/>
      </w:pPr>
      <w:r>
        <w:rPr>
          <w:rFonts w:asciiTheme="minorEastAsia" w:eastAsiaTheme="minorEastAsia" w:hAnsiTheme="minorEastAsia" w:cstheme="minorEastAsia" w:hint="eastAsia"/>
          <w:szCs w:val="21"/>
        </w:rPr>
        <w:t>（5）中国温室网，</w:t>
      </w:r>
      <w:r w:rsidRPr="004156EB">
        <w:rPr>
          <w:rFonts w:hint="eastAsia"/>
        </w:rPr>
        <w:t>http://www.cnwenshi.net/product/14-1-1.html</w:t>
      </w:r>
    </w:p>
    <w:p w14:paraId="134F270F" w14:textId="77777777" w:rsidR="00F5289E" w:rsidRPr="004156EB" w:rsidRDefault="00C91173">
      <w:pPr>
        <w:snapToGrid w:val="0"/>
        <w:spacing w:line="360" w:lineRule="auto"/>
        <w:ind w:leftChars="150" w:left="315" w:firstLineChars="50" w:firstLine="105"/>
        <w:jc w:val="left"/>
      </w:pPr>
      <w:r>
        <w:rPr>
          <w:rFonts w:asciiTheme="minorEastAsia" w:eastAsiaTheme="minorEastAsia" w:hAnsiTheme="minorEastAsia" w:cstheme="minorEastAsia" w:hint="eastAsia"/>
          <w:szCs w:val="21"/>
        </w:rPr>
        <w:t>（6）佛罗里达大学农业食品科学学院网：</w:t>
      </w:r>
      <w:r>
        <w:fldChar w:fldCharType="begin"/>
      </w:r>
      <w:r>
        <w:instrText>HYPERLINK "http://edis.ifas.ufl.edu/topics/agriculture/index.html"</w:instrText>
      </w:r>
      <w:r>
        <w:fldChar w:fldCharType="separate"/>
      </w:r>
      <w:r w:rsidRPr="004156EB">
        <w:rPr>
          <w:rFonts w:hint="eastAsia"/>
        </w:rPr>
        <w:t>http://edis.ifas.ufl.edu/topics/agriculture/index.html</w:t>
      </w:r>
      <w:r>
        <w:fldChar w:fldCharType="end"/>
      </w:r>
    </w:p>
    <w:p w14:paraId="5E9A1B60" w14:textId="77777777" w:rsidR="00F5289E" w:rsidRPr="004156EB" w:rsidRDefault="00C91173" w:rsidP="004156EB">
      <w:pPr>
        <w:widowControl/>
        <w:snapToGrid w:val="0"/>
        <w:spacing w:line="360" w:lineRule="auto"/>
        <w:ind w:firstLineChars="200" w:firstLine="420"/>
        <w:jc w:val="left"/>
      </w:pPr>
      <w:r>
        <w:rPr>
          <w:rFonts w:asciiTheme="minorEastAsia" w:eastAsiaTheme="minorEastAsia" w:hAnsiTheme="minorEastAsia" w:cstheme="minorEastAsia" w:hint="eastAsia"/>
          <w:szCs w:val="21"/>
        </w:rPr>
        <w:lastRenderedPageBreak/>
        <w:t>（7）密西西比州立大学技术推广网：</w:t>
      </w:r>
      <w:r>
        <w:fldChar w:fldCharType="begin"/>
      </w:r>
      <w:r>
        <w:instrText>HYPERLINK "http://extension.msstate.edu/agriculture/crops/commercial-horticulture"</w:instrText>
      </w:r>
      <w:r>
        <w:fldChar w:fldCharType="separate"/>
      </w:r>
      <w:r w:rsidRPr="004156EB">
        <w:rPr>
          <w:rFonts w:hint="eastAsia"/>
        </w:rPr>
        <w:t>http://extension.msstate.edu/agriculture/crops/commercial-horticulture</w:t>
      </w:r>
      <w:r>
        <w:fldChar w:fldCharType="end"/>
      </w:r>
    </w:p>
    <w:p w14:paraId="5919232A" w14:textId="77777777" w:rsidR="00F5289E" w:rsidRDefault="00C91173" w:rsidP="004156EB">
      <w:pPr>
        <w:widowControl/>
        <w:snapToGrid w:val="0"/>
        <w:spacing w:line="360" w:lineRule="auto"/>
        <w:ind w:firstLineChars="200" w:firstLine="422"/>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kern w:val="0"/>
          <w:szCs w:val="21"/>
        </w:rPr>
        <w:t>八、教学条件</w:t>
      </w:r>
    </w:p>
    <w:p w14:paraId="3466F4AD" w14:textId="77777777" w:rsidR="00F5289E" w:rsidRDefault="00C91173">
      <w:pPr>
        <w:widowControl/>
        <w:snapToGrid w:val="0"/>
        <w:spacing w:beforeLines="50" w:before="156" w:afterLines="50" w:after="156" w:line="360" w:lineRule="auto"/>
        <w:ind w:firstLineChars="200" w:firstLine="420"/>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本门课程具备教学经验丰富的教学团队，具备园艺植物栽培生态生理实验室条件。需配备多媒体教室、并具有通畅的网络环境；需具备日光温室、塑料大棚栽培设施；需具备观测设施环境气象条件的仪器；需具备测定设施土壤水分和盐分浓度的仪器；需具备精准灌溉施肥的设备。</w:t>
      </w:r>
    </w:p>
    <w:p w14:paraId="6CC55255" w14:textId="77777777" w:rsidR="00F5289E" w:rsidRDefault="00C91173">
      <w:pPr>
        <w:widowControl/>
        <w:snapToGrid w:val="0"/>
        <w:spacing w:beforeLines="50" w:before="156" w:afterLines="50" w:after="156" w:line="360" w:lineRule="auto"/>
        <w:jc w:val="left"/>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b/>
          <w:bCs/>
          <w:kern w:val="0"/>
          <w:szCs w:val="21"/>
        </w:rPr>
        <w:t>九、教学考核评价</w:t>
      </w:r>
    </w:p>
    <w:p w14:paraId="68F47DA3" w14:textId="77777777" w:rsidR="00F5289E" w:rsidRDefault="00C91173">
      <w:pPr>
        <w:spacing w:line="360" w:lineRule="auto"/>
        <w:ind w:firstLineChars="200" w:firstLine="422"/>
        <w:rPr>
          <w:rFonts w:asciiTheme="minorEastAsia" w:eastAsiaTheme="minorEastAsia" w:hAnsiTheme="minorEastAsia" w:cstheme="minorEastAsia"/>
          <w:b/>
          <w:bCs/>
          <w:kern w:val="0"/>
          <w:szCs w:val="21"/>
        </w:rPr>
      </w:pPr>
      <w:r>
        <w:rPr>
          <w:rFonts w:asciiTheme="minorEastAsia" w:eastAsiaTheme="minorEastAsia" w:hAnsiTheme="minorEastAsia" w:cstheme="minorEastAsia"/>
          <w:b/>
          <w:bCs/>
          <w:kern w:val="0"/>
          <w:szCs w:val="21"/>
        </w:rPr>
        <w:t>1</w:t>
      </w:r>
      <w:r>
        <w:rPr>
          <w:rFonts w:asciiTheme="minorEastAsia" w:eastAsiaTheme="minorEastAsia" w:hAnsiTheme="minorEastAsia" w:cstheme="minorEastAsia" w:hint="eastAsia"/>
          <w:b/>
          <w:bCs/>
          <w:kern w:val="0"/>
          <w:szCs w:val="21"/>
        </w:rPr>
        <w:t>.过程性评价</w:t>
      </w:r>
    </w:p>
    <w:p w14:paraId="0684D2AD" w14:textId="77777777" w:rsidR="00F5289E" w:rsidRDefault="00C91173">
      <w:pPr>
        <w:spacing w:line="360" w:lineRule="auto"/>
        <w:ind w:firstLineChars="200" w:firstLine="420"/>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本门课程采取多元化过程性考核评价方法，包括课前预习、课程表现、考勤、课后作业、阶段测评及讨论、实验报告等考评环节及内容，这些共同组成过程性评价成绩，占总成绩的40%。</w:t>
      </w:r>
    </w:p>
    <w:p w14:paraId="3092DF03" w14:textId="77777777" w:rsidR="00F5289E" w:rsidRDefault="00C91173">
      <w:pPr>
        <w:widowControl/>
        <w:snapToGrid w:val="0"/>
        <w:spacing w:line="360" w:lineRule="auto"/>
        <w:ind w:firstLineChars="200" w:firstLine="422"/>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b/>
          <w:bCs/>
          <w:kern w:val="0"/>
          <w:szCs w:val="21"/>
        </w:rPr>
        <w:t>2</w:t>
      </w:r>
      <w:r>
        <w:rPr>
          <w:rFonts w:asciiTheme="minorEastAsia" w:eastAsiaTheme="minorEastAsia" w:hAnsiTheme="minorEastAsia" w:cstheme="minorEastAsia" w:hint="eastAsia"/>
          <w:b/>
          <w:bCs/>
          <w:kern w:val="0"/>
          <w:szCs w:val="21"/>
        </w:rPr>
        <w:t>.终结性评价</w:t>
      </w:r>
    </w:p>
    <w:p w14:paraId="0D82375B" w14:textId="77777777" w:rsidR="00F5289E" w:rsidRDefault="00C91173">
      <w:pPr>
        <w:widowControl/>
        <w:spacing w:line="360" w:lineRule="auto"/>
        <w:ind w:firstLineChars="200" w:firstLine="420"/>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本门课程考试方法为闭卷，主要是卷面成绩。卷面成绩为期中、期末卷面成绩，试题增加非标准答案的开放性试题，占总成绩的6</w:t>
      </w:r>
      <w:r>
        <w:rPr>
          <w:rFonts w:asciiTheme="minorEastAsia" w:eastAsiaTheme="minorEastAsia" w:hAnsiTheme="minorEastAsia" w:cstheme="minorEastAsia"/>
          <w:color w:val="353535"/>
          <w:kern w:val="0"/>
          <w:szCs w:val="21"/>
        </w:rPr>
        <w:t>0%</w:t>
      </w:r>
      <w:r>
        <w:rPr>
          <w:rFonts w:asciiTheme="minorEastAsia" w:eastAsiaTheme="minorEastAsia" w:hAnsiTheme="minorEastAsia" w:cstheme="minorEastAsia" w:hint="eastAsia"/>
          <w:color w:val="353535"/>
          <w:kern w:val="0"/>
          <w:szCs w:val="21"/>
        </w:rPr>
        <w:t>。</w:t>
      </w:r>
    </w:p>
    <w:p w14:paraId="5792598D" w14:textId="77777777" w:rsidR="00F5289E" w:rsidRDefault="00C91173">
      <w:pPr>
        <w:widowControl/>
        <w:spacing w:line="360" w:lineRule="auto"/>
        <w:ind w:firstLineChars="200" w:firstLine="422"/>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3</w:t>
      </w:r>
      <w:r>
        <w:rPr>
          <w:rFonts w:asciiTheme="minorEastAsia" w:eastAsiaTheme="minorEastAsia" w:hAnsiTheme="minorEastAsia" w:cstheme="minorEastAsia"/>
          <w:b/>
          <w:bCs/>
          <w:kern w:val="0"/>
          <w:szCs w:val="21"/>
        </w:rPr>
        <w:t>.</w:t>
      </w:r>
      <w:r>
        <w:rPr>
          <w:rFonts w:asciiTheme="minorEastAsia" w:eastAsiaTheme="minorEastAsia" w:hAnsiTheme="minorEastAsia" w:cstheme="minorEastAsia" w:hint="eastAsia"/>
          <w:b/>
          <w:bCs/>
          <w:kern w:val="0"/>
          <w:szCs w:val="21"/>
        </w:rPr>
        <w:t>课程综合评价</w:t>
      </w:r>
    </w:p>
    <w:p w14:paraId="2482589B" w14:textId="77777777" w:rsidR="00F5289E" w:rsidRDefault="00C91173">
      <w:pPr>
        <w:spacing w:line="360" w:lineRule="auto"/>
        <w:ind w:firstLineChars="200" w:firstLine="420"/>
        <w:rPr>
          <w:rFonts w:asciiTheme="minorEastAsia" w:eastAsiaTheme="minorEastAsia" w:hAnsiTheme="minorEastAsia" w:cstheme="minorEastAsia"/>
          <w:color w:val="353535"/>
          <w:kern w:val="0"/>
          <w:szCs w:val="21"/>
        </w:rPr>
      </w:pPr>
      <w:r>
        <w:rPr>
          <w:rFonts w:asciiTheme="minorEastAsia" w:eastAsiaTheme="minorEastAsia" w:hAnsiTheme="minorEastAsia" w:cstheme="minorEastAsia" w:hint="eastAsia"/>
          <w:color w:val="353535"/>
          <w:kern w:val="0"/>
          <w:szCs w:val="21"/>
        </w:rPr>
        <w:t>过程性评价主要通过课程的学习，掌握栽培的实践技能，使学生具备发现问题、分析问题和解决问题的能力，培养学生“大国三农”情怀。终结性评价主要通过课程的学习，使学生具备设施蔬菜栽培学植物种植的基本原理。</w:t>
      </w:r>
    </w:p>
    <w:p w14:paraId="378DF8BE" w14:textId="77777777" w:rsidR="00F5289E" w:rsidRDefault="00C91173">
      <w:pPr>
        <w:widowControl/>
        <w:jc w:val="left"/>
        <w:rPr>
          <w:rFonts w:ascii="宋体" w:hAnsi="宋体"/>
          <w:b/>
          <w:sz w:val="28"/>
          <w:szCs w:val="28"/>
        </w:rPr>
      </w:pPr>
      <w:r>
        <w:rPr>
          <w:rFonts w:ascii="宋体" w:hAnsi="宋体"/>
          <w:b/>
          <w:sz w:val="28"/>
          <w:szCs w:val="28"/>
        </w:rPr>
        <w:br w:type="page"/>
      </w:r>
    </w:p>
    <w:p w14:paraId="5C8C60F8" w14:textId="77777777" w:rsidR="00F5289E" w:rsidRDefault="00C91173">
      <w:pPr>
        <w:pStyle w:val="1"/>
      </w:pPr>
      <w:bookmarkStart w:id="63" w:name="_Toc138606242"/>
      <w:r>
        <w:rPr>
          <w:rFonts w:hint="eastAsia"/>
        </w:rPr>
        <w:lastRenderedPageBreak/>
        <w:t>试验设计与统计分析</w:t>
      </w:r>
      <w:bookmarkEnd w:id="63"/>
    </w:p>
    <w:p w14:paraId="10710308" w14:textId="77777777" w:rsidR="00F5289E" w:rsidRDefault="00C91173">
      <w:pPr>
        <w:snapToGrid w:val="0"/>
        <w:spacing w:line="360" w:lineRule="auto"/>
        <w:jc w:val="center"/>
        <w:rPr>
          <w:color w:val="0000FF"/>
          <w:sz w:val="24"/>
        </w:rPr>
      </w:pPr>
      <w:r>
        <w:rPr>
          <w:rFonts w:hint="eastAsia"/>
          <w:sz w:val="24"/>
        </w:rPr>
        <w:t>（</w:t>
      </w:r>
      <w:r>
        <w:rPr>
          <w:rFonts w:hint="eastAsia"/>
          <w:sz w:val="24"/>
        </w:rPr>
        <w:t>Experimental Design and Statistical Analysis</w:t>
      </w:r>
      <w:r>
        <w:rPr>
          <w:rFonts w:hint="eastAsia"/>
          <w:sz w:val="24"/>
        </w:rPr>
        <w:t>）</w:t>
      </w:r>
    </w:p>
    <w:p w14:paraId="5A8E03D3" w14:textId="77777777" w:rsidR="00F5289E" w:rsidRDefault="00F5289E">
      <w:pPr>
        <w:snapToGrid w:val="0"/>
        <w:spacing w:line="360" w:lineRule="auto"/>
        <w:jc w:val="center"/>
        <w:rPr>
          <w:b/>
          <w:szCs w:val="21"/>
        </w:rPr>
      </w:pPr>
    </w:p>
    <w:p w14:paraId="15359F28" w14:textId="77777777" w:rsidR="00F5289E" w:rsidRDefault="00C91173">
      <w:pPr>
        <w:snapToGrid w:val="0"/>
        <w:spacing w:line="360" w:lineRule="auto"/>
        <w:jc w:val="center"/>
        <w:rPr>
          <w:b/>
          <w:szCs w:val="21"/>
        </w:rPr>
      </w:pPr>
      <w:r>
        <w:rPr>
          <w:rFonts w:hint="eastAsia"/>
          <w:b/>
          <w:szCs w:val="21"/>
        </w:rPr>
        <w:t>课程基本信息</w:t>
      </w:r>
    </w:p>
    <w:tbl>
      <w:tblPr>
        <w:tblStyle w:val="af6"/>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586"/>
        <w:gridCol w:w="3349"/>
      </w:tblGrid>
      <w:tr w:rsidR="00F5289E" w14:paraId="65D9FAAF" w14:textId="77777777">
        <w:tc>
          <w:tcPr>
            <w:tcW w:w="1734" w:type="pct"/>
          </w:tcPr>
          <w:p w14:paraId="45276B6B"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w:t>
            </w:r>
            <w:r>
              <w:rPr>
                <w:rFonts w:ascii="宋体" w:hAnsi="宋体"/>
                <w:szCs w:val="21"/>
              </w:rPr>
              <w:t>9011007</w:t>
            </w:r>
          </w:p>
        </w:tc>
        <w:tc>
          <w:tcPr>
            <w:tcW w:w="1423" w:type="pct"/>
          </w:tcPr>
          <w:p w14:paraId="1450AFF5"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szCs w:val="21"/>
              </w:rPr>
              <w:t>48</w:t>
            </w:r>
          </w:p>
        </w:tc>
        <w:tc>
          <w:tcPr>
            <w:tcW w:w="1843" w:type="pct"/>
          </w:tcPr>
          <w:p w14:paraId="767AF370" w14:textId="2B262CA5"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szCs w:val="21"/>
              </w:rPr>
              <w:t>16</w:t>
            </w:r>
          </w:p>
        </w:tc>
      </w:tr>
      <w:tr w:rsidR="00F5289E" w14:paraId="7E77AE27" w14:textId="77777777">
        <w:tc>
          <w:tcPr>
            <w:tcW w:w="1734" w:type="pct"/>
          </w:tcPr>
          <w:p w14:paraId="7672F419"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ascii="宋体" w:hAnsi="宋体" w:hint="eastAsia"/>
                <w:szCs w:val="21"/>
              </w:rPr>
              <w:t>必修</w:t>
            </w:r>
          </w:p>
        </w:tc>
        <w:tc>
          <w:tcPr>
            <w:tcW w:w="1423" w:type="pct"/>
          </w:tcPr>
          <w:p w14:paraId="330B4BD5"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szCs w:val="21"/>
              </w:rPr>
              <w:t>专业类</w:t>
            </w:r>
          </w:p>
        </w:tc>
        <w:tc>
          <w:tcPr>
            <w:tcW w:w="1843" w:type="pct"/>
          </w:tcPr>
          <w:p w14:paraId="536901D2"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w:t>
            </w:r>
            <w:r>
              <w:rPr>
                <w:rFonts w:ascii="宋体" w:hAnsi="宋体"/>
                <w:szCs w:val="21"/>
              </w:rPr>
              <w:t>5</w:t>
            </w:r>
            <w:r>
              <w:rPr>
                <w:rFonts w:ascii="宋体" w:hAnsi="宋体" w:hint="eastAsia"/>
                <w:szCs w:val="21"/>
              </w:rPr>
              <w:t>学期</w:t>
            </w:r>
          </w:p>
        </w:tc>
      </w:tr>
      <w:tr w:rsidR="00F5289E" w14:paraId="2C3C09BC" w14:textId="77777777">
        <w:tc>
          <w:tcPr>
            <w:tcW w:w="1734" w:type="pct"/>
          </w:tcPr>
          <w:p w14:paraId="5060F857"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宋尚伟</w:t>
            </w:r>
          </w:p>
        </w:tc>
        <w:tc>
          <w:tcPr>
            <w:tcW w:w="1423" w:type="pct"/>
          </w:tcPr>
          <w:p w14:paraId="33240A48"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朱华玉、万然、李志谦、张郎郎、薛东齐、侯楠、崔丹丹</w:t>
            </w:r>
          </w:p>
        </w:tc>
        <w:tc>
          <w:tcPr>
            <w:tcW w:w="1843" w:type="pct"/>
          </w:tcPr>
          <w:p w14:paraId="08AB3C7C"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szCs w:val="21"/>
              </w:rPr>
              <w:t>中文</w:t>
            </w:r>
          </w:p>
        </w:tc>
      </w:tr>
      <w:tr w:rsidR="00F5289E" w14:paraId="528607D4" w14:textId="77777777">
        <w:tc>
          <w:tcPr>
            <w:tcW w:w="4998" w:type="pct"/>
            <w:gridSpan w:val="3"/>
          </w:tcPr>
          <w:p w14:paraId="164E3CFA"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Pr>
                <w:rFonts w:ascii="宋体" w:hAnsi="宋体" w:hint="eastAsia"/>
                <w:szCs w:val="21"/>
              </w:rPr>
              <w:t>设施农业科学与工程</w:t>
            </w:r>
          </w:p>
        </w:tc>
      </w:tr>
      <w:tr w:rsidR="00F5289E" w14:paraId="12E9D4F7" w14:textId="77777777">
        <w:tc>
          <w:tcPr>
            <w:tcW w:w="4998" w:type="pct"/>
            <w:gridSpan w:val="3"/>
          </w:tcPr>
          <w:p w14:paraId="7AE73504" w14:textId="77777777" w:rsidR="00F5289E" w:rsidRDefault="00C91173">
            <w:pPr>
              <w:spacing w:line="300" w:lineRule="auto"/>
              <w:rPr>
                <w:rFonts w:ascii="宋体" w:hAnsi="宋体"/>
                <w:b/>
                <w:bCs/>
                <w:szCs w:val="21"/>
              </w:rPr>
            </w:pPr>
            <w:r>
              <w:rPr>
                <w:rFonts w:ascii="宋体" w:hAnsi="宋体" w:hint="eastAsia"/>
                <w:b/>
                <w:bCs/>
                <w:szCs w:val="21"/>
              </w:rPr>
              <w:t>对先修的要求：</w:t>
            </w:r>
            <w:r>
              <w:rPr>
                <w:rFonts w:ascii="宋体" w:hAnsi="宋体" w:hint="eastAsia"/>
                <w:szCs w:val="21"/>
              </w:rPr>
              <w:t>概率论与数理统计</w:t>
            </w:r>
          </w:p>
        </w:tc>
      </w:tr>
      <w:tr w:rsidR="00F5289E" w14:paraId="0452B2F7" w14:textId="77777777">
        <w:tc>
          <w:tcPr>
            <w:tcW w:w="4998" w:type="pct"/>
            <w:gridSpan w:val="3"/>
          </w:tcPr>
          <w:p w14:paraId="2F9BBA9C"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szCs w:val="21"/>
              </w:rPr>
              <w:t>为学生学习相关课程、参与科学研究、进行毕业实习提供必须的理论和方法</w:t>
            </w:r>
          </w:p>
        </w:tc>
      </w:tr>
      <w:tr w:rsidR="00F5289E" w14:paraId="3DD719D2" w14:textId="77777777">
        <w:tc>
          <w:tcPr>
            <w:tcW w:w="1734" w:type="pct"/>
          </w:tcPr>
          <w:p w14:paraId="73A85B5C"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万然 等</w:t>
            </w:r>
          </w:p>
        </w:tc>
        <w:tc>
          <w:tcPr>
            <w:tcW w:w="1423" w:type="pct"/>
          </w:tcPr>
          <w:p w14:paraId="1CC5CA04"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宋尚伟、朱华玉</w:t>
            </w:r>
          </w:p>
        </w:tc>
        <w:tc>
          <w:tcPr>
            <w:tcW w:w="1843" w:type="pct"/>
          </w:tcPr>
          <w:p w14:paraId="6AE3BD03"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w:t>
            </w:r>
            <w:r>
              <w:rPr>
                <w:rFonts w:ascii="宋体" w:hAnsi="宋体"/>
                <w:szCs w:val="21"/>
              </w:rPr>
              <w:t>023.05</w:t>
            </w:r>
          </w:p>
        </w:tc>
      </w:tr>
    </w:tbl>
    <w:p w14:paraId="00065F57" w14:textId="77777777" w:rsidR="00F5289E" w:rsidRDefault="00F5289E">
      <w:pPr>
        <w:widowControl/>
        <w:snapToGrid w:val="0"/>
        <w:spacing w:line="360" w:lineRule="auto"/>
        <w:jc w:val="left"/>
        <w:rPr>
          <w:rFonts w:hAnsi="宋体"/>
          <w:b/>
          <w:bCs/>
          <w:kern w:val="0"/>
          <w:szCs w:val="21"/>
        </w:rPr>
      </w:pPr>
    </w:p>
    <w:p w14:paraId="0F843C1D"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5F02DE28" w14:textId="77777777" w:rsidR="00F5289E" w:rsidRDefault="00C91173">
      <w:pPr>
        <w:adjustRightInd w:val="0"/>
        <w:snapToGrid w:val="0"/>
        <w:spacing w:line="360" w:lineRule="auto"/>
        <w:ind w:firstLineChars="200" w:firstLine="420"/>
        <w:jc w:val="left"/>
        <w:rPr>
          <w:rFonts w:cs="宋体"/>
          <w:bCs/>
          <w:kern w:val="0"/>
          <w:sz w:val="24"/>
        </w:rPr>
      </w:pPr>
      <w:bookmarkStart w:id="64" w:name="_Hlk136960463"/>
      <w:r>
        <w:rPr>
          <w:rFonts w:hint="eastAsia"/>
        </w:rPr>
        <w:t>《试验设计与统计分析》是设施农业科学与工程专业本科生必修专业课程，是进行科学研究的基础性工具。课程教学理念是坚持立德树人，突出学生的中心地位，充分利用线上线下资源，创新教学模式，丰富教学手段，激发学生自主学习的内生动力，培养学生创新思维的意识和能力。课程内容主要包括试验研究计划的拟定、试验设计的基本理论和常用的试验设计方法、抽样技术、描述统计和统计推断等。其设置目的在于培养和提高学生进行独立科学研究的能力。本课程的任务是通过线上线下理论讲授结合实验和实践等教学环节，使学生了解科学研究方法的一般知识，掌握根据园艺作物特点进行试验设计和取样调查研究的理论和方法，学会对常见试验结果进行科学的数据整理与分析，能够使用常见的计算工具和统计软件进行统计分析，并推断出正确结论，进而具备在设施园艺领域进行科学研究的能力。</w:t>
      </w:r>
    </w:p>
    <w:bookmarkEnd w:id="64"/>
    <w:p w14:paraId="0C117FD1"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166129AE" w14:textId="77777777" w:rsidR="00F5289E" w:rsidRDefault="00C91173">
      <w:pPr>
        <w:spacing w:line="360" w:lineRule="auto"/>
        <w:ind w:firstLineChars="200" w:firstLine="420"/>
        <w:rPr>
          <w:rFonts w:ascii="宋体" w:hAnsi="宋体" w:cs="宋体"/>
          <w:kern w:val="0"/>
          <w:sz w:val="24"/>
        </w:rPr>
      </w:pPr>
      <w:r>
        <w:rPr>
          <w:rFonts w:hint="eastAsia"/>
          <w:kern w:val="0"/>
          <w:szCs w:val="21"/>
        </w:rPr>
        <w:t>1.</w:t>
      </w:r>
      <w:r>
        <w:rPr>
          <w:rFonts w:hAnsi="宋体"/>
          <w:kern w:val="0"/>
          <w:szCs w:val="21"/>
        </w:rPr>
        <w:t>理论知识方面：</w:t>
      </w:r>
      <w:r>
        <w:rPr>
          <w:rFonts w:hint="eastAsia"/>
        </w:rPr>
        <w:t>了解科学研究的一般知识，初步掌握试验研究计划书的一般格式；理解设施园艺作物在研究上的特点，理解制订试验方案、进行试验设计时涉及的常用概念，熟练掌握常用的试验设计方法，掌握常用的取样技术；理解生物统计常用术语及资料特征数，掌握常见图表的格式与制作方法；理解正态分布和常用统计数分布的特点，掌握统计假设检验的原理、步骤，熟练掌握单个和两个样本平均数的统计假设检验方法；理解方差分析的基本原理与基本步骤并熟练应用于常见试验设计的统计分析；理解卡平方的概念及其应用方法；理解回归与相关的概念，掌握其分析的一般程序。</w:t>
      </w:r>
    </w:p>
    <w:p w14:paraId="2888A6E5"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lastRenderedPageBreak/>
        <w:t>2.</w:t>
      </w:r>
      <w:r>
        <w:rPr>
          <w:rFonts w:hAnsi="宋体"/>
          <w:kern w:val="0"/>
          <w:szCs w:val="21"/>
        </w:rPr>
        <w:t>实验技能方面：</w:t>
      </w:r>
      <w:r>
        <w:rPr>
          <w:rFonts w:hint="eastAsia"/>
        </w:rPr>
        <w:t>初步掌握设施园艺科学领域相关试验研究计划书的拟定方法，熟练掌握根据设施园艺作物特点制订相关试验方案、进行合理试验设计和科学取样的常用方法；掌握根据设施园艺试验结果资料制作次数分布图表和其他图表的格式和方法，以及计算相关资料特征数和描述资料特征的方法；掌握正态曲线下一定区间概率计算的方法；熟练掌握统计假设测验的原理、步骤与方法，对单个、两个样本平均数资料能够正确选择和应用</w:t>
      </w:r>
      <w:r>
        <w:rPr>
          <w:rFonts w:hint="eastAsia"/>
        </w:rPr>
        <w:t>u</w:t>
      </w:r>
      <w:r>
        <w:rPr>
          <w:rFonts w:hint="eastAsia"/>
        </w:rPr>
        <w:t>检验、</w:t>
      </w:r>
      <w:r>
        <w:rPr>
          <w:rFonts w:hint="eastAsia"/>
        </w:rPr>
        <w:t>F</w:t>
      </w:r>
      <w:r>
        <w:rPr>
          <w:rFonts w:hint="eastAsia"/>
        </w:rPr>
        <w:t>检验和</w:t>
      </w:r>
      <w:r>
        <w:rPr>
          <w:rFonts w:hint="eastAsia"/>
        </w:rPr>
        <w:t>t</w:t>
      </w:r>
      <w:r>
        <w:rPr>
          <w:rFonts w:hint="eastAsia"/>
        </w:rPr>
        <w:t>检验方法进行统计分析并进行合理推断；熟练掌握方差分析的基本步骤，</w:t>
      </w:r>
      <w:r>
        <w:rPr>
          <w:rFonts w:hint="eastAsia"/>
        </w:rPr>
        <w:t>LSD</w:t>
      </w:r>
      <w:r>
        <w:rPr>
          <w:rFonts w:hint="eastAsia"/>
        </w:rPr>
        <w:t>和</w:t>
      </w:r>
      <w:r>
        <w:rPr>
          <w:rFonts w:hint="eastAsia"/>
        </w:rPr>
        <w:t>SSR</w:t>
      </w:r>
      <w:r>
        <w:rPr>
          <w:rFonts w:hint="eastAsia"/>
        </w:rPr>
        <w:t>等多重比较分析的常用方法，以及用字母标记法表示均数间的差异显著性；掌握对常见试验结果进行方差分析的过程和方法以及对试验处理效应的分析；掌握适合性检验和独立性测验的方法；掌握直线回归与相关分析的一般程序和方法，如直线回归方程的计算及回归关系的统计假设测验，回归图的制作，相关系数计算和假设测验；能够应用常用统计软件对常见试验结果进行统计分析。</w:t>
      </w:r>
    </w:p>
    <w:p w14:paraId="1D7758E3"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0699D110"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55F6090F" w14:textId="77777777" w:rsidR="00F5289E" w:rsidRDefault="00C91173">
      <w:pPr>
        <w:spacing w:line="360" w:lineRule="auto"/>
        <w:ind w:firstLine="420"/>
      </w:pPr>
      <w:r>
        <w:rPr>
          <w:rFonts w:hint="eastAsia"/>
        </w:rPr>
        <w:t>课程教学设计的基本原则是立足经济社会发展现状与趋势，坚持立德树人，</w:t>
      </w:r>
      <w:r>
        <w:rPr>
          <w:rFonts w:ascii="宋体" w:hAnsi="宋体" w:cs="宋体"/>
          <w:kern w:val="0"/>
          <w:szCs w:val="21"/>
          <w:lang w:bidi="ar"/>
        </w:rPr>
        <w:t>适应创新型、复合型、应用型等多类型人才培养</w:t>
      </w:r>
      <w:r>
        <w:rPr>
          <w:rFonts w:ascii="宋体" w:hAnsi="宋体" w:cs="宋体" w:hint="eastAsia"/>
          <w:kern w:val="0"/>
          <w:szCs w:val="21"/>
          <w:lang w:bidi="ar"/>
        </w:rPr>
        <w:t>目标的</w:t>
      </w:r>
      <w:r>
        <w:rPr>
          <w:rFonts w:ascii="宋体" w:hAnsi="宋体" w:cs="宋体"/>
          <w:kern w:val="0"/>
          <w:szCs w:val="21"/>
          <w:lang w:bidi="ar"/>
        </w:rPr>
        <w:t>需要</w:t>
      </w:r>
      <w:r>
        <w:rPr>
          <w:rFonts w:ascii="宋体" w:hAnsi="宋体" w:cs="宋体" w:hint="eastAsia"/>
          <w:kern w:val="0"/>
          <w:sz w:val="24"/>
          <w:lang w:bidi="ar"/>
        </w:rPr>
        <w:t>。</w:t>
      </w:r>
      <w:r>
        <w:rPr>
          <w:rFonts w:hint="eastAsia"/>
        </w:rPr>
        <w:t>在教学内容组织、教学设计与教学实施的过程中突出学生的中心地位，结合设施园艺生产实际，根据课程特点和教学规律创新教学模式，充分利用线上线下资源，丰富教学手段与方法，激发学生的自主学习兴趣和内生动力，注重培养学生创新思维的意识和能力。根据教学目标合理安排和分配理论学时与实验学时，通过加强练习使学生加深对理论的理解，进而提高学生对试验设计与分析方法的应用能力。筛选并创建优质在线教学资源，充实学生多元学习需求，充分利用校内外教学平台开展线上线下混合式教学，提高教学效率和教学效果。建立全面合理的课程考核评价体系，强化过程性评价，设置多元化的评价指标，合理分配课程成绩的构成比例。</w:t>
      </w:r>
    </w:p>
    <w:p w14:paraId="5AC671C5"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890"/>
        <w:gridCol w:w="4350"/>
        <w:gridCol w:w="3657"/>
      </w:tblGrid>
      <w:tr w:rsidR="00F5289E" w14:paraId="25D1CB0D" w14:textId="77777777">
        <w:trPr>
          <w:trHeight w:val="403"/>
          <w:jc w:val="center"/>
        </w:trPr>
        <w:tc>
          <w:tcPr>
            <w:tcW w:w="8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A076CEF"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4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EAC28C"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36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E3657C4"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6126644E" w14:textId="77777777">
        <w:trPr>
          <w:trHeight w:val="963"/>
          <w:jc w:val="center"/>
        </w:trPr>
        <w:tc>
          <w:tcPr>
            <w:tcW w:w="890" w:type="dxa"/>
            <w:tcBorders>
              <w:top w:val="single" w:sz="4" w:space="0" w:color="auto"/>
              <w:left w:val="single" w:sz="4" w:space="0" w:color="auto"/>
              <w:bottom w:val="single" w:sz="4" w:space="0" w:color="auto"/>
              <w:right w:val="single" w:sz="4" w:space="0" w:color="auto"/>
            </w:tcBorders>
            <w:vAlign w:val="center"/>
          </w:tcPr>
          <w:p w14:paraId="7C678B2F"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4350" w:type="dxa"/>
            <w:tcBorders>
              <w:top w:val="single" w:sz="4" w:space="0" w:color="auto"/>
              <w:left w:val="single" w:sz="4" w:space="0" w:color="auto"/>
              <w:bottom w:val="single" w:sz="4" w:space="0" w:color="auto"/>
              <w:right w:val="single" w:sz="4" w:space="0" w:color="auto"/>
            </w:tcBorders>
            <w:vAlign w:val="center"/>
          </w:tcPr>
          <w:p w14:paraId="2B5385A2"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18"/>
              </w:rPr>
              <w:t>目标</w:t>
            </w:r>
            <w:r>
              <w:rPr>
                <w:rFonts w:eastAsiaTheme="minorEastAsia" w:hAnsiTheme="minorEastAsia" w:hint="eastAsia"/>
                <w:sz w:val="18"/>
                <w:szCs w:val="18"/>
              </w:rPr>
              <w:t>1</w:t>
            </w:r>
            <w:r>
              <w:rPr>
                <w:rFonts w:eastAsiaTheme="minorEastAsia" w:hAnsiTheme="minorEastAsia" w:hint="eastAsia"/>
                <w:sz w:val="18"/>
                <w:szCs w:val="18"/>
              </w:rPr>
              <w:t>：使学生具备分析研究现状、确定科学选题和拟定试验计划等从事科学研究的一般能力。</w:t>
            </w:r>
          </w:p>
        </w:tc>
        <w:tc>
          <w:tcPr>
            <w:tcW w:w="3657" w:type="dxa"/>
            <w:tcBorders>
              <w:top w:val="single" w:sz="4" w:space="0" w:color="auto"/>
              <w:left w:val="single" w:sz="4" w:space="0" w:color="auto"/>
              <w:bottom w:val="single" w:sz="4" w:space="0" w:color="auto"/>
              <w:right w:val="single" w:sz="4" w:space="0" w:color="auto"/>
            </w:tcBorders>
            <w:vAlign w:val="center"/>
          </w:tcPr>
          <w:p w14:paraId="3E3A5F8F" w14:textId="1EAABBA0" w:rsidR="00F5289E" w:rsidRDefault="00C91173" w:rsidP="00612D5B">
            <w:pPr>
              <w:spacing w:line="320" w:lineRule="exact"/>
              <w:jc w:val="center"/>
              <w:rPr>
                <w:rFonts w:eastAsiaTheme="minorEastAsia"/>
                <w:sz w:val="18"/>
                <w:szCs w:val="18"/>
              </w:rPr>
            </w:pPr>
            <w:r>
              <w:rPr>
                <w:rFonts w:eastAsiaTheme="minorEastAsia" w:hint="eastAsia"/>
                <w:sz w:val="18"/>
                <w:szCs w:val="18"/>
              </w:rPr>
              <w:t>2</w:t>
            </w:r>
          </w:p>
          <w:p w14:paraId="6070C445" w14:textId="44753559" w:rsidR="00F5289E" w:rsidRDefault="00C91173" w:rsidP="00612D5B">
            <w:pPr>
              <w:spacing w:line="320" w:lineRule="exact"/>
              <w:jc w:val="center"/>
              <w:rPr>
                <w:rFonts w:eastAsiaTheme="minorEastAsia"/>
                <w:sz w:val="18"/>
                <w:szCs w:val="18"/>
              </w:rPr>
            </w:pPr>
            <w:r>
              <w:rPr>
                <w:rFonts w:eastAsiaTheme="minorEastAsia" w:hint="eastAsia"/>
                <w:sz w:val="18"/>
                <w:szCs w:val="18"/>
              </w:rPr>
              <w:t>6</w:t>
            </w:r>
          </w:p>
        </w:tc>
      </w:tr>
      <w:tr w:rsidR="00F5289E" w14:paraId="7F3F4D26" w14:textId="77777777">
        <w:trPr>
          <w:trHeight w:val="963"/>
          <w:jc w:val="center"/>
        </w:trPr>
        <w:tc>
          <w:tcPr>
            <w:tcW w:w="890" w:type="dxa"/>
            <w:tcBorders>
              <w:top w:val="single" w:sz="4" w:space="0" w:color="auto"/>
              <w:left w:val="single" w:sz="4" w:space="0" w:color="auto"/>
              <w:bottom w:val="single" w:sz="4" w:space="0" w:color="auto"/>
              <w:right w:val="single" w:sz="4" w:space="0" w:color="auto"/>
            </w:tcBorders>
            <w:vAlign w:val="center"/>
          </w:tcPr>
          <w:p w14:paraId="18E2EAFE"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4350" w:type="dxa"/>
            <w:tcBorders>
              <w:top w:val="single" w:sz="4" w:space="0" w:color="auto"/>
              <w:left w:val="single" w:sz="4" w:space="0" w:color="auto"/>
              <w:bottom w:val="single" w:sz="4" w:space="0" w:color="auto"/>
              <w:right w:val="single" w:sz="4" w:space="0" w:color="auto"/>
            </w:tcBorders>
            <w:vAlign w:val="center"/>
          </w:tcPr>
          <w:p w14:paraId="545DBFE7" w14:textId="77777777" w:rsidR="00F5289E" w:rsidRDefault="00C91173">
            <w:pPr>
              <w:spacing w:line="320" w:lineRule="exact"/>
              <w:jc w:val="left"/>
              <w:rPr>
                <w:rFonts w:eastAsiaTheme="minorEastAsia" w:hAnsiTheme="minorEastAsia"/>
                <w:sz w:val="18"/>
                <w:szCs w:val="18"/>
              </w:rPr>
            </w:pPr>
            <w:r>
              <w:rPr>
                <w:rFonts w:eastAsiaTheme="minorEastAsia" w:hAnsiTheme="minorEastAsia"/>
                <w:sz w:val="18"/>
                <w:szCs w:val="18"/>
              </w:rPr>
              <w:t>目标</w:t>
            </w:r>
            <w:r>
              <w:rPr>
                <w:rFonts w:eastAsiaTheme="minorEastAsia"/>
                <w:sz w:val="18"/>
                <w:szCs w:val="18"/>
              </w:rPr>
              <w:t>2</w:t>
            </w:r>
            <w:r>
              <w:rPr>
                <w:rFonts w:eastAsiaTheme="minorEastAsia" w:hAnsiTheme="minorEastAsia"/>
                <w:sz w:val="18"/>
                <w:szCs w:val="18"/>
              </w:rPr>
              <w:t>：</w:t>
            </w:r>
            <w:r>
              <w:rPr>
                <w:rFonts w:eastAsiaTheme="minorEastAsia" w:hAnsiTheme="minorEastAsia" w:hint="eastAsia"/>
                <w:sz w:val="18"/>
                <w:szCs w:val="18"/>
              </w:rPr>
              <w:t>使学生具备结合园艺作物特点和生产实际，进行试验设计、试验实施和取样调查，开展科学研究的能力。</w:t>
            </w:r>
          </w:p>
        </w:tc>
        <w:tc>
          <w:tcPr>
            <w:tcW w:w="3657" w:type="dxa"/>
            <w:tcBorders>
              <w:top w:val="single" w:sz="4" w:space="0" w:color="auto"/>
              <w:left w:val="single" w:sz="4" w:space="0" w:color="auto"/>
              <w:bottom w:val="single" w:sz="4" w:space="0" w:color="auto"/>
              <w:right w:val="single" w:sz="4" w:space="0" w:color="auto"/>
            </w:tcBorders>
            <w:vAlign w:val="center"/>
          </w:tcPr>
          <w:p w14:paraId="2B97F283" w14:textId="02061554" w:rsidR="00F5289E" w:rsidRDefault="00C91173" w:rsidP="00612D5B">
            <w:pPr>
              <w:spacing w:line="320" w:lineRule="exact"/>
              <w:jc w:val="center"/>
              <w:rPr>
                <w:rFonts w:eastAsiaTheme="minorEastAsia"/>
                <w:sz w:val="18"/>
                <w:szCs w:val="18"/>
              </w:rPr>
            </w:pPr>
            <w:r>
              <w:rPr>
                <w:rFonts w:eastAsiaTheme="minorEastAsia" w:hint="eastAsia"/>
                <w:sz w:val="18"/>
                <w:szCs w:val="18"/>
              </w:rPr>
              <w:t>3</w:t>
            </w:r>
          </w:p>
        </w:tc>
      </w:tr>
      <w:tr w:rsidR="00F5289E" w14:paraId="7D7996A1" w14:textId="77777777">
        <w:trPr>
          <w:trHeight w:val="963"/>
          <w:jc w:val="center"/>
        </w:trPr>
        <w:tc>
          <w:tcPr>
            <w:tcW w:w="890" w:type="dxa"/>
            <w:tcBorders>
              <w:top w:val="single" w:sz="4" w:space="0" w:color="auto"/>
              <w:left w:val="single" w:sz="4" w:space="0" w:color="auto"/>
              <w:bottom w:val="single" w:sz="4" w:space="0" w:color="auto"/>
              <w:right w:val="single" w:sz="4" w:space="0" w:color="auto"/>
            </w:tcBorders>
            <w:vAlign w:val="center"/>
          </w:tcPr>
          <w:p w14:paraId="3A7FA889"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4350" w:type="dxa"/>
            <w:tcBorders>
              <w:top w:val="single" w:sz="4" w:space="0" w:color="auto"/>
              <w:left w:val="single" w:sz="4" w:space="0" w:color="auto"/>
              <w:bottom w:val="single" w:sz="4" w:space="0" w:color="auto"/>
              <w:right w:val="single" w:sz="4" w:space="0" w:color="auto"/>
            </w:tcBorders>
            <w:vAlign w:val="center"/>
          </w:tcPr>
          <w:p w14:paraId="4E7161D1" w14:textId="77777777" w:rsidR="00F5289E" w:rsidRDefault="00C91173">
            <w:pPr>
              <w:spacing w:line="320" w:lineRule="exact"/>
              <w:jc w:val="left"/>
              <w:rPr>
                <w:rFonts w:eastAsiaTheme="minorEastAsia" w:hAnsi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AnsiTheme="minorEastAsia" w:hint="eastAsia"/>
                <w:sz w:val="18"/>
                <w:szCs w:val="18"/>
              </w:rPr>
              <w:t>使学生具备使用常见计算工具、统计与作图软件进行科学整理和统计分析试验结果资料的能力。</w:t>
            </w:r>
          </w:p>
        </w:tc>
        <w:tc>
          <w:tcPr>
            <w:tcW w:w="3657" w:type="dxa"/>
            <w:tcBorders>
              <w:top w:val="single" w:sz="4" w:space="0" w:color="auto"/>
              <w:left w:val="single" w:sz="4" w:space="0" w:color="auto"/>
              <w:bottom w:val="single" w:sz="4" w:space="0" w:color="auto"/>
              <w:right w:val="single" w:sz="4" w:space="0" w:color="auto"/>
            </w:tcBorders>
            <w:vAlign w:val="center"/>
          </w:tcPr>
          <w:p w14:paraId="6EC264CB" w14:textId="447F8952" w:rsidR="00F5289E" w:rsidRDefault="00C91173" w:rsidP="00612D5B">
            <w:pPr>
              <w:spacing w:line="320" w:lineRule="exact"/>
              <w:jc w:val="center"/>
              <w:rPr>
                <w:rFonts w:eastAsiaTheme="minorEastAsia"/>
                <w:sz w:val="18"/>
                <w:szCs w:val="18"/>
              </w:rPr>
            </w:pPr>
            <w:r>
              <w:rPr>
                <w:rFonts w:eastAsiaTheme="minorEastAsia" w:hint="eastAsia"/>
                <w:sz w:val="18"/>
                <w:szCs w:val="18"/>
              </w:rPr>
              <w:t>3</w:t>
            </w:r>
          </w:p>
          <w:p w14:paraId="32A19FBB" w14:textId="677311D2" w:rsidR="00F5289E" w:rsidRDefault="00C91173" w:rsidP="00612D5B">
            <w:pPr>
              <w:spacing w:line="320" w:lineRule="exact"/>
              <w:jc w:val="center"/>
              <w:rPr>
                <w:rFonts w:eastAsiaTheme="minorEastAsia"/>
                <w:sz w:val="18"/>
                <w:szCs w:val="18"/>
              </w:rPr>
            </w:pPr>
            <w:r>
              <w:rPr>
                <w:rFonts w:eastAsiaTheme="minorEastAsia" w:hint="eastAsia"/>
                <w:sz w:val="18"/>
                <w:szCs w:val="18"/>
              </w:rPr>
              <w:t>4</w:t>
            </w:r>
          </w:p>
        </w:tc>
      </w:tr>
      <w:tr w:rsidR="00F5289E" w14:paraId="725EB777" w14:textId="77777777">
        <w:trPr>
          <w:trHeight w:val="963"/>
          <w:jc w:val="center"/>
        </w:trPr>
        <w:tc>
          <w:tcPr>
            <w:tcW w:w="890" w:type="dxa"/>
            <w:tcBorders>
              <w:top w:val="single" w:sz="4" w:space="0" w:color="auto"/>
              <w:left w:val="single" w:sz="4" w:space="0" w:color="auto"/>
              <w:bottom w:val="single" w:sz="4" w:space="0" w:color="auto"/>
              <w:right w:val="single" w:sz="4" w:space="0" w:color="auto"/>
            </w:tcBorders>
            <w:vAlign w:val="center"/>
          </w:tcPr>
          <w:p w14:paraId="3C94AC8E" w14:textId="77777777" w:rsidR="00F5289E" w:rsidRDefault="00C91173">
            <w:pPr>
              <w:spacing w:line="320" w:lineRule="exact"/>
              <w:jc w:val="center"/>
              <w:rPr>
                <w:rFonts w:eastAsiaTheme="minorEastAsia"/>
                <w:sz w:val="18"/>
                <w:szCs w:val="18"/>
              </w:rPr>
            </w:pPr>
            <w:r>
              <w:rPr>
                <w:rFonts w:eastAsiaTheme="minorEastAsia" w:hint="eastAsia"/>
                <w:sz w:val="18"/>
                <w:szCs w:val="18"/>
              </w:rPr>
              <w:lastRenderedPageBreak/>
              <w:t>4</w:t>
            </w:r>
          </w:p>
        </w:tc>
        <w:tc>
          <w:tcPr>
            <w:tcW w:w="4350" w:type="dxa"/>
            <w:tcBorders>
              <w:top w:val="single" w:sz="4" w:space="0" w:color="auto"/>
              <w:left w:val="single" w:sz="4" w:space="0" w:color="auto"/>
              <w:bottom w:val="single" w:sz="4" w:space="0" w:color="auto"/>
              <w:right w:val="single" w:sz="4" w:space="0" w:color="auto"/>
            </w:tcBorders>
            <w:vAlign w:val="center"/>
          </w:tcPr>
          <w:p w14:paraId="2EAC860C" w14:textId="77777777" w:rsidR="00F5289E" w:rsidRDefault="00C91173">
            <w:pPr>
              <w:spacing w:line="320" w:lineRule="exact"/>
              <w:rPr>
                <w:rFonts w:eastAsiaTheme="minorEastAsia"/>
                <w:sz w:val="18"/>
                <w:szCs w:val="18"/>
              </w:rPr>
            </w:pPr>
            <w:r>
              <w:rPr>
                <w:rFonts w:eastAsiaTheme="minorEastAsia" w:hint="eastAsia"/>
                <w:sz w:val="18"/>
                <w:szCs w:val="18"/>
              </w:rPr>
              <w:t>目标</w:t>
            </w:r>
            <w:r>
              <w:rPr>
                <w:rFonts w:eastAsiaTheme="minorEastAsia" w:hint="eastAsia"/>
                <w:sz w:val="18"/>
                <w:szCs w:val="18"/>
              </w:rPr>
              <w:t>4</w:t>
            </w:r>
            <w:r>
              <w:rPr>
                <w:rFonts w:eastAsiaTheme="minorEastAsia" w:hint="eastAsia"/>
                <w:sz w:val="18"/>
                <w:szCs w:val="18"/>
              </w:rPr>
              <w:t>：</w:t>
            </w:r>
            <w:r>
              <w:rPr>
                <w:rFonts w:eastAsiaTheme="minorEastAsia" w:hAnsiTheme="minorEastAsia" w:hint="eastAsia"/>
                <w:sz w:val="18"/>
                <w:szCs w:val="18"/>
              </w:rPr>
              <w:t>通过课程学习，</w:t>
            </w:r>
            <w:r>
              <w:rPr>
                <w:rFonts w:eastAsiaTheme="minorEastAsia" w:hint="eastAsia"/>
                <w:sz w:val="18"/>
                <w:szCs w:val="18"/>
              </w:rPr>
              <w:t>使学生具备较高的科学素养以及独立进行相关专业领域科学研究的基本能力。</w:t>
            </w:r>
          </w:p>
        </w:tc>
        <w:tc>
          <w:tcPr>
            <w:tcW w:w="3657" w:type="dxa"/>
            <w:tcBorders>
              <w:top w:val="single" w:sz="4" w:space="0" w:color="auto"/>
              <w:left w:val="single" w:sz="4" w:space="0" w:color="auto"/>
              <w:bottom w:val="single" w:sz="4" w:space="0" w:color="auto"/>
              <w:right w:val="single" w:sz="4" w:space="0" w:color="auto"/>
            </w:tcBorders>
            <w:vAlign w:val="center"/>
          </w:tcPr>
          <w:p w14:paraId="2B9F589F" w14:textId="48575205" w:rsidR="00F5289E" w:rsidRDefault="00C91173" w:rsidP="00612D5B">
            <w:pPr>
              <w:spacing w:line="320" w:lineRule="exact"/>
              <w:jc w:val="center"/>
              <w:rPr>
                <w:rFonts w:eastAsiaTheme="minorEastAsia"/>
                <w:sz w:val="18"/>
                <w:szCs w:val="18"/>
              </w:rPr>
            </w:pPr>
            <w:r>
              <w:rPr>
                <w:rFonts w:eastAsiaTheme="minorEastAsia" w:hint="eastAsia"/>
                <w:sz w:val="18"/>
                <w:szCs w:val="18"/>
              </w:rPr>
              <w:t>5</w:t>
            </w:r>
          </w:p>
          <w:p w14:paraId="1B179292" w14:textId="5B319651" w:rsidR="00F5289E" w:rsidRDefault="00C91173" w:rsidP="00612D5B">
            <w:pPr>
              <w:spacing w:line="320" w:lineRule="exact"/>
              <w:jc w:val="center"/>
              <w:rPr>
                <w:rFonts w:eastAsiaTheme="minorEastAsia"/>
                <w:sz w:val="18"/>
                <w:szCs w:val="18"/>
              </w:rPr>
            </w:pPr>
            <w:r>
              <w:rPr>
                <w:rFonts w:eastAsiaTheme="minorEastAsia" w:hint="eastAsia"/>
                <w:sz w:val="18"/>
                <w:szCs w:val="18"/>
              </w:rPr>
              <w:t>10</w:t>
            </w:r>
          </w:p>
        </w:tc>
      </w:tr>
    </w:tbl>
    <w:p w14:paraId="36B1348F" w14:textId="77777777" w:rsidR="00F5289E" w:rsidRDefault="00F5289E">
      <w:pPr>
        <w:spacing w:line="360" w:lineRule="auto"/>
        <w:rPr>
          <w:rFonts w:hAnsi="宋体"/>
          <w:bCs/>
          <w:color w:val="0000FF"/>
          <w:kern w:val="0"/>
          <w:szCs w:val="21"/>
        </w:rPr>
      </w:pPr>
    </w:p>
    <w:p w14:paraId="473A342E"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30E8DF0" w14:textId="77777777">
        <w:trPr>
          <w:trHeight w:val="270"/>
        </w:trPr>
        <w:tc>
          <w:tcPr>
            <w:tcW w:w="2965" w:type="dxa"/>
            <w:tcBorders>
              <w:top w:val="nil"/>
              <w:left w:val="nil"/>
              <w:bottom w:val="nil"/>
              <w:right w:val="nil"/>
            </w:tcBorders>
            <w:vAlign w:val="center"/>
          </w:tcPr>
          <w:p w14:paraId="1EF0A79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159643C"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2D66FD42" w14:textId="77777777" w:rsidR="00F5289E" w:rsidRDefault="00C91173" w:rsidP="00D93479">
            <w:pPr>
              <w:widowControl/>
              <w:snapToGrid w:val="0"/>
              <w:spacing w:line="360" w:lineRule="auto"/>
              <w:ind w:right="420"/>
              <w:jc w:val="center"/>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40681C89" w14:textId="77777777" w:rsidR="00F5289E" w:rsidRDefault="00C91173">
      <w:pPr>
        <w:spacing w:line="360" w:lineRule="auto"/>
      </w:pPr>
      <w:r>
        <w:rPr>
          <w:rFonts w:ascii="宋体" w:hAnsi="宋体" w:hint="eastAsia"/>
          <w:b/>
          <w:bCs/>
        </w:rPr>
        <w:t>教学目标：</w:t>
      </w:r>
      <w:r>
        <w:t>通过本章学习了解</w:t>
      </w:r>
      <w:r>
        <w:rPr>
          <w:rFonts w:hint="eastAsia"/>
        </w:rPr>
        <w:t>研究方法</w:t>
      </w:r>
      <w:r>
        <w:t>在</w:t>
      </w:r>
      <w:r>
        <w:rPr>
          <w:rFonts w:hint="eastAsia"/>
        </w:rPr>
        <w:t>设施</w:t>
      </w:r>
      <w:r>
        <w:t>农业科学研究中的地位和作用，</w:t>
      </w:r>
      <w:r>
        <w:rPr>
          <w:rFonts w:hint="eastAsia"/>
        </w:rPr>
        <w:t>了解科学研究的基本过程和方法，</w:t>
      </w:r>
      <w:r>
        <w:t>生物统计学的</w:t>
      </w:r>
      <w:r>
        <w:rPr>
          <w:rFonts w:hint="eastAsia"/>
        </w:rPr>
        <w:t>概念、作用和发展概况</w:t>
      </w:r>
      <w:r>
        <w:t>，</w:t>
      </w:r>
      <w:r>
        <w:rPr>
          <w:rFonts w:hint="eastAsia"/>
        </w:rPr>
        <w:t>科学研究的一般程序，研究课题选择的依据和途径，试验研究计划书的一般格式和拟定方法等</w:t>
      </w:r>
      <w:r>
        <w:t>。</w:t>
      </w:r>
      <w:r>
        <w:rPr>
          <w:rFonts w:hint="eastAsia"/>
        </w:rPr>
        <w:t>介绍本课程的教学安排及学习特点。</w:t>
      </w:r>
    </w:p>
    <w:p w14:paraId="751B8045"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教学重点是生物统计的概念和作用，科学研究的一般程序，试验研究计划书的一般格式；难点是计划书的拟定。</w:t>
      </w:r>
    </w:p>
    <w:p w14:paraId="3B14C25D" w14:textId="77777777" w:rsidR="00F5289E" w:rsidRDefault="00C91173">
      <w:pPr>
        <w:spacing w:line="360" w:lineRule="auto"/>
      </w:pPr>
      <w:r>
        <w:rPr>
          <w:rFonts w:ascii="宋体" w:hAnsi="宋体" w:hint="eastAsia"/>
          <w:b/>
          <w:bCs/>
        </w:rPr>
        <w:t>主要教学内容及要求：</w:t>
      </w:r>
      <w:r>
        <w:rPr>
          <w:rFonts w:hint="eastAsia"/>
        </w:rPr>
        <w:t>了解课程的性质、地位和要求，了解科学研究的基本过程和方法，了解生物统计的概念、作用和发展概况，试验研究计划书的一般格式和拟定方法，以及课程安排和学习方法等。</w:t>
      </w:r>
    </w:p>
    <w:p w14:paraId="267147D2" w14:textId="77777777" w:rsidR="00F5289E" w:rsidRDefault="00C91173">
      <w:pPr>
        <w:spacing w:line="360" w:lineRule="auto"/>
        <w:rPr>
          <w:rFonts w:ascii="宋体" w:hAnsi="宋体"/>
          <w:bCs/>
        </w:rPr>
      </w:pPr>
      <w:r>
        <w:rPr>
          <w:rFonts w:ascii="宋体" w:hAnsi="宋体" w:hint="eastAsia"/>
          <w:b/>
          <w:bCs/>
        </w:rPr>
        <w:t>教学组织与实施：</w:t>
      </w:r>
      <w:r>
        <w:rPr>
          <w:rFonts w:hint="eastAsia"/>
          <w:szCs w:val="22"/>
        </w:rPr>
        <w:t>主要</w:t>
      </w:r>
      <w:r>
        <w:rPr>
          <w:rFonts w:hint="eastAsia"/>
        </w:rPr>
        <w:t>采取课堂讲授方式，结合线上讨论设施园艺产业现状和问题，通过试验研究实例讲解课程的作用与计划书的制订。向学生介绍</w:t>
      </w:r>
      <w:r>
        <w:rPr>
          <w:rFonts w:ascii="宋体" w:hAnsi="宋体" w:hint="eastAsia"/>
          <w:bCs/>
        </w:rPr>
        <w:t>课程学习的特点，拟采用的教学模式，考试考核方法等。</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4C3100FC" w14:textId="77777777" w:rsidTr="00C91173">
        <w:trPr>
          <w:trHeight w:val="270"/>
        </w:trPr>
        <w:tc>
          <w:tcPr>
            <w:tcW w:w="2965" w:type="dxa"/>
            <w:tcBorders>
              <w:top w:val="nil"/>
              <w:left w:val="nil"/>
              <w:bottom w:val="nil"/>
              <w:right w:val="nil"/>
            </w:tcBorders>
            <w:vAlign w:val="center"/>
          </w:tcPr>
          <w:p w14:paraId="62DD1B8E"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776EF60" w14:textId="77777777" w:rsidR="00D93479" w:rsidRDefault="00D93479" w:rsidP="00C91173">
            <w:pPr>
              <w:widowControl/>
              <w:snapToGrid w:val="0"/>
              <w:spacing w:line="360" w:lineRule="auto"/>
              <w:jc w:val="center"/>
              <w:rPr>
                <w:rFonts w:hAnsi="宋体"/>
                <w:b/>
                <w:bCs/>
                <w:kern w:val="0"/>
                <w:szCs w:val="21"/>
              </w:rPr>
            </w:pPr>
            <w:r>
              <w:rPr>
                <w:rFonts w:hint="eastAsia"/>
                <w:b/>
                <w:bCs/>
              </w:rPr>
              <w:t>第一章</w:t>
            </w:r>
            <w:r>
              <w:rPr>
                <w:rFonts w:hint="eastAsia"/>
                <w:b/>
                <w:bCs/>
              </w:rPr>
              <w:t xml:space="preserve">  </w:t>
            </w:r>
            <w:r>
              <w:rPr>
                <w:rFonts w:hint="eastAsia"/>
                <w:b/>
                <w:bCs/>
              </w:rPr>
              <w:t>试验设计与实施</w:t>
            </w:r>
          </w:p>
        </w:tc>
        <w:tc>
          <w:tcPr>
            <w:tcW w:w="2966" w:type="dxa"/>
            <w:tcBorders>
              <w:top w:val="nil"/>
              <w:left w:val="nil"/>
              <w:bottom w:val="nil"/>
              <w:right w:val="nil"/>
            </w:tcBorders>
            <w:vAlign w:val="center"/>
          </w:tcPr>
          <w:p w14:paraId="08CA1915" w14:textId="77777777" w:rsidR="00D93479" w:rsidRDefault="00D93479" w:rsidP="00C91173">
            <w:pPr>
              <w:widowControl/>
              <w:snapToGrid w:val="0"/>
              <w:spacing w:line="360" w:lineRule="auto"/>
              <w:ind w:right="420"/>
              <w:jc w:val="center"/>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6</w:t>
            </w:r>
          </w:p>
        </w:tc>
      </w:tr>
    </w:tbl>
    <w:p w14:paraId="0EFFB2E5" w14:textId="77777777" w:rsidR="00F5289E" w:rsidRDefault="00C91173" w:rsidP="00A115EF">
      <w:pPr>
        <w:numPr>
          <w:ilvl w:val="0"/>
          <w:numId w:val="18"/>
        </w:numPr>
        <w:spacing w:line="360" w:lineRule="auto"/>
        <w:rPr>
          <w:b/>
          <w:bCs/>
          <w:szCs w:val="21"/>
        </w:rPr>
      </w:pPr>
      <w:r>
        <w:rPr>
          <w:rFonts w:hint="eastAsia"/>
          <w:b/>
          <w:bCs/>
          <w:szCs w:val="21"/>
        </w:rPr>
        <w:t>园艺作物试验的特点、方法、要求（</w:t>
      </w:r>
      <w:r>
        <w:rPr>
          <w:b/>
          <w:bCs/>
          <w:szCs w:val="21"/>
        </w:rPr>
        <w:t>0.5</w:t>
      </w:r>
      <w:r>
        <w:rPr>
          <w:rFonts w:hint="eastAsia"/>
          <w:b/>
          <w:bCs/>
          <w:szCs w:val="21"/>
        </w:rPr>
        <w:t>学时）</w:t>
      </w:r>
    </w:p>
    <w:p w14:paraId="027EAB86" w14:textId="77777777" w:rsidR="00F5289E" w:rsidRDefault="00C91173">
      <w:pPr>
        <w:spacing w:line="360" w:lineRule="auto"/>
      </w:pPr>
      <w:r>
        <w:rPr>
          <w:rFonts w:ascii="宋体" w:hAnsi="宋体" w:hint="eastAsia"/>
          <w:b/>
          <w:bCs/>
        </w:rPr>
        <w:t>教学目标：</w:t>
      </w:r>
      <w:r>
        <w:rPr>
          <w:rFonts w:hint="eastAsia"/>
        </w:rPr>
        <w:t>了解设施园艺植物的特点和试验研究方法，掌握田间试验的基本要求。</w:t>
      </w:r>
    </w:p>
    <w:p w14:paraId="5086ED39"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教学重点是设施园艺试验的基本要求。</w:t>
      </w:r>
    </w:p>
    <w:p w14:paraId="634790BA" w14:textId="77777777" w:rsidR="00F5289E" w:rsidRDefault="00C91173">
      <w:pPr>
        <w:spacing w:line="360" w:lineRule="auto"/>
      </w:pPr>
      <w:r>
        <w:rPr>
          <w:rFonts w:hint="eastAsia"/>
          <w:b/>
          <w:bCs/>
        </w:rPr>
        <w:t>主要教学内容及要求：</w:t>
      </w:r>
      <w:r>
        <w:rPr>
          <w:rFonts w:hint="eastAsia"/>
        </w:rPr>
        <w:t>了解设施园艺作物试验的特点、方法、要求，试验方案及种类。</w:t>
      </w:r>
    </w:p>
    <w:p w14:paraId="4B882B6D" w14:textId="77777777" w:rsidR="00F5289E" w:rsidRDefault="00C91173">
      <w:pPr>
        <w:spacing w:line="360" w:lineRule="auto"/>
      </w:pPr>
      <w:r>
        <w:rPr>
          <w:rFonts w:hint="eastAsia"/>
          <w:b/>
          <w:bCs/>
        </w:rPr>
        <w:t>教学组织与实施：</w:t>
      </w:r>
      <w:r>
        <w:rPr>
          <w:rFonts w:hint="eastAsia"/>
        </w:rPr>
        <w:t>采取课堂讲授、课堂实践和线上线下讨论相结合的方式进行。</w:t>
      </w:r>
    </w:p>
    <w:p w14:paraId="41F6D81A" w14:textId="77777777" w:rsidR="00F5289E" w:rsidRDefault="00C91173" w:rsidP="00A115EF">
      <w:pPr>
        <w:numPr>
          <w:ilvl w:val="0"/>
          <w:numId w:val="18"/>
        </w:numPr>
        <w:spacing w:line="360" w:lineRule="auto"/>
        <w:rPr>
          <w:b/>
          <w:bCs/>
          <w:szCs w:val="21"/>
        </w:rPr>
      </w:pPr>
      <w:r>
        <w:rPr>
          <w:rFonts w:hint="eastAsia"/>
          <w:b/>
          <w:bCs/>
          <w:szCs w:val="21"/>
        </w:rPr>
        <w:t>试验方案和种类（</w:t>
      </w:r>
      <w:r>
        <w:rPr>
          <w:b/>
          <w:bCs/>
          <w:szCs w:val="21"/>
        </w:rPr>
        <w:t>0.5</w:t>
      </w:r>
      <w:r>
        <w:rPr>
          <w:rFonts w:hint="eastAsia"/>
          <w:b/>
          <w:bCs/>
          <w:szCs w:val="21"/>
        </w:rPr>
        <w:t>学时）</w:t>
      </w:r>
    </w:p>
    <w:p w14:paraId="35CD3FAD" w14:textId="77777777" w:rsidR="00F5289E" w:rsidRDefault="00C91173">
      <w:pPr>
        <w:spacing w:line="360" w:lineRule="auto"/>
      </w:pPr>
      <w:r>
        <w:rPr>
          <w:rFonts w:ascii="宋体" w:hAnsi="宋体" w:hint="eastAsia"/>
          <w:b/>
          <w:bCs/>
        </w:rPr>
        <w:t>教学目标：</w:t>
      </w:r>
      <w:r>
        <w:rPr>
          <w:rFonts w:hint="eastAsia"/>
        </w:rPr>
        <w:t>理解试验设计中常见指标的概念，掌握制定设施园艺试验计划的要求，为相关试验设计奠定基础。</w:t>
      </w:r>
    </w:p>
    <w:p w14:paraId="1E10AEB6"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教学重点是设施园艺田间试验计划的要求，难点是理解试验计划中常见概念。</w:t>
      </w:r>
    </w:p>
    <w:p w14:paraId="010B2DF3" w14:textId="77777777" w:rsidR="00F5289E" w:rsidRDefault="00C91173">
      <w:pPr>
        <w:spacing w:line="360" w:lineRule="auto"/>
      </w:pPr>
      <w:r>
        <w:rPr>
          <w:rFonts w:hint="eastAsia"/>
          <w:b/>
          <w:bCs/>
        </w:rPr>
        <w:t>主要教学内容及要求：</w:t>
      </w:r>
      <w:r>
        <w:rPr>
          <w:rFonts w:hint="eastAsia"/>
        </w:rPr>
        <w:t>理解试验指标、因素、处理、水平、效应、互作、小区等概念，了解试验种类，掌握制定设施园艺试验计划的要求。</w:t>
      </w:r>
    </w:p>
    <w:p w14:paraId="24EE6EBD" w14:textId="77777777" w:rsidR="00F5289E" w:rsidRDefault="00C91173">
      <w:pPr>
        <w:spacing w:line="360" w:lineRule="auto"/>
      </w:pPr>
      <w:r>
        <w:rPr>
          <w:rFonts w:hint="eastAsia"/>
          <w:b/>
          <w:bCs/>
        </w:rPr>
        <w:t>教学组织与实施：</w:t>
      </w:r>
      <w:r>
        <w:rPr>
          <w:rFonts w:hint="eastAsia"/>
        </w:rPr>
        <w:t>采取课堂讲授、案例分析和讨论相结合的方式进行，使学生进一步理解设施园艺试验的特点和要求。</w:t>
      </w:r>
    </w:p>
    <w:p w14:paraId="6A1B099F" w14:textId="77777777" w:rsidR="00F5289E" w:rsidRDefault="00C91173" w:rsidP="00A115EF">
      <w:pPr>
        <w:numPr>
          <w:ilvl w:val="0"/>
          <w:numId w:val="18"/>
        </w:numPr>
        <w:spacing w:line="360" w:lineRule="auto"/>
        <w:rPr>
          <w:b/>
          <w:bCs/>
          <w:szCs w:val="21"/>
        </w:rPr>
      </w:pPr>
      <w:r>
        <w:rPr>
          <w:rFonts w:hint="eastAsia"/>
          <w:b/>
          <w:bCs/>
          <w:szCs w:val="21"/>
        </w:rPr>
        <w:lastRenderedPageBreak/>
        <w:t>试验误差及其控制（</w:t>
      </w:r>
      <w:r>
        <w:rPr>
          <w:b/>
          <w:bCs/>
          <w:szCs w:val="21"/>
        </w:rPr>
        <w:t>1.0</w:t>
      </w:r>
      <w:r>
        <w:rPr>
          <w:rFonts w:hint="eastAsia"/>
          <w:b/>
          <w:bCs/>
          <w:szCs w:val="21"/>
        </w:rPr>
        <w:t>学时）</w:t>
      </w:r>
    </w:p>
    <w:p w14:paraId="2A4D109C" w14:textId="77777777" w:rsidR="00F5289E" w:rsidRDefault="00C91173">
      <w:pPr>
        <w:spacing w:line="360" w:lineRule="auto"/>
      </w:pPr>
      <w:r>
        <w:rPr>
          <w:rFonts w:ascii="宋体" w:hAnsi="宋体" w:hint="eastAsia"/>
          <w:b/>
          <w:bCs/>
        </w:rPr>
        <w:t>教学目标：</w:t>
      </w:r>
      <w:r>
        <w:rPr>
          <w:rFonts w:hint="eastAsia"/>
        </w:rPr>
        <w:t>理解和掌握试验误差的来源及其控制途径。</w:t>
      </w:r>
    </w:p>
    <w:p w14:paraId="69830BC8"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教学重点是试验误差的来源及种类，难点根据误差来源不同，采取相应措施及设计方法来控制。</w:t>
      </w:r>
    </w:p>
    <w:p w14:paraId="6367F310" w14:textId="77777777" w:rsidR="00F5289E" w:rsidRDefault="00C91173">
      <w:pPr>
        <w:spacing w:line="360" w:lineRule="auto"/>
      </w:pPr>
      <w:r>
        <w:rPr>
          <w:rFonts w:hint="eastAsia"/>
          <w:b/>
          <w:bCs/>
        </w:rPr>
        <w:t>主要教学内容及要求：</w:t>
      </w:r>
      <w:r>
        <w:rPr>
          <w:rFonts w:hint="eastAsia"/>
        </w:rPr>
        <w:t>理解试验误差的概念与来源，了解试验误差的种类，掌握试验误差的控制途径与方法。</w:t>
      </w:r>
    </w:p>
    <w:p w14:paraId="25E48CDF" w14:textId="77777777" w:rsidR="00F5289E" w:rsidRDefault="00C91173">
      <w:pPr>
        <w:spacing w:line="360" w:lineRule="auto"/>
      </w:pPr>
      <w:r>
        <w:rPr>
          <w:rFonts w:hint="eastAsia"/>
          <w:b/>
          <w:bCs/>
        </w:rPr>
        <w:t>教学组织与实施：</w:t>
      </w:r>
      <w:r>
        <w:rPr>
          <w:rFonts w:hint="eastAsia"/>
        </w:rPr>
        <w:t>采取线上预习讨论、课堂讲授、案例分析和讨论相结合的方式进行，使学生明白试验误差对试验结果的影响，以及试验设计与实施过程中控制试验误差的重要性和主要途径。</w:t>
      </w:r>
    </w:p>
    <w:p w14:paraId="4BFD1B9B" w14:textId="77777777" w:rsidR="00F5289E" w:rsidRDefault="00C91173" w:rsidP="00A115EF">
      <w:pPr>
        <w:numPr>
          <w:ilvl w:val="0"/>
          <w:numId w:val="18"/>
        </w:numPr>
        <w:spacing w:line="360" w:lineRule="auto"/>
        <w:rPr>
          <w:b/>
          <w:bCs/>
          <w:szCs w:val="21"/>
        </w:rPr>
      </w:pPr>
      <w:r>
        <w:rPr>
          <w:rFonts w:hint="eastAsia"/>
          <w:b/>
          <w:bCs/>
          <w:szCs w:val="21"/>
        </w:rPr>
        <w:t>试验设计的原则和常用方法（</w:t>
      </w:r>
      <w:r>
        <w:rPr>
          <w:b/>
          <w:bCs/>
          <w:szCs w:val="21"/>
        </w:rPr>
        <w:t>3.5</w:t>
      </w:r>
      <w:r>
        <w:rPr>
          <w:rFonts w:hint="eastAsia"/>
          <w:b/>
          <w:bCs/>
          <w:szCs w:val="21"/>
        </w:rPr>
        <w:t>学时）</w:t>
      </w:r>
    </w:p>
    <w:p w14:paraId="4818E5EB" w14:textId="77777777" w:rsidR="00F5289E" w:rsidRDefault="00C91173">
      <w:pPr>
        <w:spacing w:line="360" w:lineRule="auto"/>
      </w:pPr>
      <w:r>
        <w:rPr>
          <w:rFonts w:ascii="宋体" w:hAnsi="宋体" w:hint="eastAsia"/>
          <w:b/>
          <w:bCs/>
        </w:rPr>
        <w:t>教学目标：</w:t>
      </w:r>
      <w:r>
        <w:rPr>
          <w:rFonts w:hint="eastAsia"/>
        </w:rPr>
        <w:t>理解和掌握试验设计的原则和进行试验设计的方法。</w:t>
      </w:r>
    </w:p>
    <w:p w14:paraId="7E3955B0" w14:textId="77777777" w:rsidR="00F5289E" w:rsidRDefault="00C91173">
      <w:pPr>
        <w:spacing w:line="360" w:lineRule="auto"/>
        <w:rPr>
          <w:rFonts w:ascii="宋体" w:hAnsi="宋体"/>
          <w:b/>
          <w:bCs/>
        </w:rPr>
      </w:pPr>
      <w:r>
        <w:rPr>
          <w:rFonts w:ascii="宋体" w:hAnsi="宋体" w:hint="eastAsia"/>
          <w:b/>
          <w:bCs/>
        </w:rPr>
        <w:t>教学重点和难点：</w:t>
      </w:r>
      <w:r>
        <w:rPr>
          <w:rFonts w:ascii="宋体" w:hAnsi="宋体" w:hint="eastAsia"/>
        </w:rPr>
        <w:t>教学重点是</w:t>
      </w:r>
      <w:r>
        <w:rPr>
          <w:rFonts w:hint="eastAsia"/>
        </w:rPr>
        <w:t>试验设计的基本原则和常用方法，取样技术等。难点是小区技术，局部控制方法的理解与灵活应用，裂区设计方法等。</w:t>
      </w:r>
    </w:p>
    <w:p w14:paraId="789941A9" w14:textId="77777777" w:rsidR="00F5289E" w:rsidRDefault="00C91173">
      <w:pPr>
        <w:spacing w:line="360" w:lineRule="auto"/>
      </w:pPr>
      <w:r>
        <w:rPr>
          <w:rFonts w:hint="eastAsia"/>
          <w:b/>
          <w:bCs/>
        </w:rPr>
        <w:t>主要教学内容及要求：</w:t>
      </w:r>
      <w:r>
        <w:rPr>
          <w:rFonts w:hint="eastAsia"/>
        </w:rPr>
        <w:t>理解试验设计的原则及其作用，掌握试验小区、重复与区组的概念及其设置方法；熟练掌握完全随机、随机区组、拉丁方和裂区设计等常用试验设计方法的特点及其应用。</w:t>
      </w:r>
    </w:p>
    <w:p w14:paraId="2A78F2FF" w14:textId="77777777" w:rsidR="00F5289E" w:rsidRDefault="00C91173">
      <w:pPr>
        <w:spacing w:line="360" w:lineRule="auto"/>
      </w:pPr>
      <w:r>
        <w:rPr>
          <w:rFonts w:hint="eastAsia"/>
          <w:b/>
          <w:bCs/>
        </w:rPr>
        <w:t>教学组织与实施：</w:t>
      </w:r>
      <w:r>
        <w:rPr>
          <w:rFonts w:hint="eastAsia"/>
        </w:rPr>
        <w:t>采取课堂讲授、试验练习和讨论相结合的方式进行。让学生针对对</w:t>
      </w:r>
      <w:r>
        <w:rPr>
          <w:rFonts w:ascii="宋体" w:hAnsi="宋体" w:hint="eastAsia"/>
        </w:rPr>
        <w:t>指定的试验条件用相应的设计方法</w:t>
      </w:r>
      <w:r>
        <w:rPr>
          <w:rFonts w:hint="eastAsia"/>
        </w:rPr>
        <w:t>进行试验设计，老师引导学生展示设计，对发现的问题进行讨论与点评。</w:t>
      </w:r>
    </w:p>
    <w:p w14:paraId="7D0EEB30" w14:textId="77777777" w:rsidR="00F5289E" w:rsidRDefault="00C91173">
      <w:pPr>
        <w:spacing w:line="360" w:lineRule="auto"/>
        <w:rPr>
          <w:b/>
          <w:bCs/>
          <w:szCs w:val="21"/>
        </w:rPr>
      </w:pPr>
      <w:r>
        <w:rPr>
          <w:rFonts w:hint="eastAsia"/>
          <w:b/>
          <w:bCs/>
          <w:szCs w:val="21"/>
        </w:rPr>
        <w:t>第五节</w:t>
      </w:r>
      <w:r>
        <w:rPr>
          <w:rFonts w:hint="eastAsia"/>
          <w:b/>
          <w:bCs/>
          <w:szCs w:val="21"/>
        </w:rPr>
        <w:t xml:space="preserve"> </w:t>
      </w:r>
      <w:r>
        <w:rPr>
          <w:rFonts w:hint="eastAsia"/>
          <w:b/>
          <w:bCs/>
          <w:szCs w:val="21"/>
        </w:rPr>
        <w:t>田间试验的实施与取样技术（</w:t>
      </w:r>
      <w:r>
        <w:rPr>
          <w:b/>
          <w:bCs/>
          <w:szCs w:val="21"/>
        </w:rPr>
        <w:t>0.5</w:t>
      </w:r>
      <w:r>
        <w:rPr>
          <w:rFonts w:hint="eastAsia"/>
          <w:b/>
          <w:bCs/>
          <w:szCs w:val="21"/>
        </w:rPr>
        <w:t>学时）</w:t>
      </w:r>
    </w:p>
    <w:p w14:paraId="40618660" w14:textId="77777777" w:rsidR="00F5289E" w:rsidRDefault="00C91173">
      <w:pPr>
        <w:spacing w:line="360" w:lineRule="auto"/>
      </w:pPr>
      <w:r>
        <w:rPr>
          <w:rFonts w:ascii="宋体" w:hAnsi="宋体" w:hint="eastAsia"/>
          <w:b/>
          <w:bCs/>
        </w:rPr>
        <w:t>教学目标：</w:t>
      </w:r>
      <w:r>
        <w:rPr>
          <w:rFonts w:ascii="宋体" w:hAnsi="宋体" w:hint="eastAsia"/>
        </w:rPr>
        <w:t>理解和掌握根据设施园艺作物的特点，试验实施的方法步骤及取样技术。</w:t>
      </w:r>
    </w:p>
    <w:p w14:paraId="786CE71D" w14:textId="77777777" w:rsidR="00F5289E" w:rsidRDefault="00C91173">
      <w:pPr>
        <w:spacing w:line="360" w:lineRule="auto"/>
      </w:pPr>
      <w:r>
        <w:rPr>
          <w:rFonts w:ascii="宋体" w:hAnsi="宋体" w:hint="eastAsia"/>
          <w:b/>
          <w:bCs/>
        </w:rPr>
        <w:t>教学重点和难点：</w:t>
      </w:r>
      <w:r>
        <w:rPr>
          <w:rFonts w:hint="eastAsia"/>
        </w:rPr>
        <w:t>教学重点是取样的要点和方法。</w:t>
      </w:r>
    </w:p>
    <w:p w14:paraId="04EB465D" w14:textId="77777777" w:rsidR="00F5289E" w:rsidRDefault="00C91173">
      <w:pPr>
        <w:spacing w:line="360" w:lineRule="auto"/>
      </w:pPr>
      <w:r>
        <w:rPr>
          <w:rFonts w:ascii="宋体" w:hAnsi="宋体" w:hint="eastAsia"/>
          <w:b/>
          <w:bCs/>
        </w:rPr>
        <w:t>主要教学内容及要求：</w:t>
      </w:r>
      <w:r>
        <w:rPr>
          <w:rFonts w:hint="eastAsia"/>
        </w:rPr>
        <w:t>了解</w:t>
      </w:r>
      <w:r>
        <w:rPr>
          <w:rFonts w:ascii="宋体" w:hAnsi="宋体" w:hint="eastAsia"/>
        </w:rPr>
        <w:t>设施园艺作物</w:t>
      </w:r>
      <w:r>
        <w:rPr>
          <w:rFonts w:hint="eastAsia"/>
        </w:rPr>
        <w:t>试验实施的过程，掌握根据</w:t>
      </w:r>
      <w:r>
        <w:rPr>
          <w:rFonts w:ascii="宋体" w:hAnsi="宋体" w:hint="eastAsia"/>
        </w:rPr>
        <w:t>设施园艺作物</w:t>
      </w:r>
      <w:r>
        <w:rPr>
          <w:rFonts w:hint="eastAsia"/>
        </w:rPr>
        <w:t>特点进行取样的方法。</w:t>
      </w:r>
    </w:p>
    <w:p w14:paraId="50F716F4"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结合本章前期讲解的设施园艺作物的特点，通过实例介绍相关试验实施的过程及注意事项，取样的方法及应用。</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2B9B4B71" w14:textId="77777777" w:rsidTr="00C91173">
        <w:trPr>
          <w:trHeight w:val="270"/>
        </w:trPr>
        <w:tc>
          <w:tcPr>
            <w:tcW w:w="2965" w:type="dxa"/>
            <w:tcBorders>
              <w:top w:val="nil"/>
              <w:left w:val="nil"/>
              <w:bottom w:val="nil"/>
              <w:right w:val="nil"/>
            </w:tcBorders>
            <w:vAlign w:val="center"/>
          </w:tcPr>
          <w:p w14:paraId="32387F2F"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3C74012C" w14:textId="77777777" w:rsidR="00D93479" w:rsidRDefault="00D93479" w:rsidP="00C91173">
            <w:pPr>
              <w:widowControl/>
              <w:snapToGrid w:val="0"/>
              <w:spacing w:line="360" w:lineRule="auto"/>
              <w:jc w:val="center"/>
              <w:rPr>
                <w:rFonts w:hAnsi="宋体"/>
                <w:b/>
                <w:bCs/>
                <w:kern w:val="0"/>
                <w:szCs w:val="21"/>
              </w:rPr>
            </w:pPr>
            <w:r>
              <w:rPr>
                <w:rFonts w:hint="eastAsia"/>
                <w:b/>
                <w:bCs/>
              </w:rPr>
              <w:t>第二章</w:t>
            </w:r>
            <w:r>
              <w:rPr>
                <w:rFonts w:hint="eastAsia"/>
                <w:b/>
                <w:bCs/>
              </w:rPr>
              <w:t xml:space="preserve">  </w:t>
            </w:r>
            <w:r>
              <w:rPr>
                <w:rFonts w:hint="eastAsia"/>
                <w:b/>
                <w:bCs/>
              </w:rPr>
              <w:t>描述统计</w:t>
            </w:r>
          </w:p>
        </w:tc>
        <w:tc>
          <w:tcPr>
            <w:tcW w:w="2966" w:type="dxa"/>
            <w:tcBorders>
              <w:top w:val="nil"/>
              <w:left w:val="nil"/>
              <w:bottom w:val="nil"/>
              <w:right w:val="nil"/>
            </w:tcBorders>
            <w:vAlign w:val="center"/>
          </w:tcPr>
          <w:p w14:paraId="495DB952"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3</w:t>
            </w:r>
          </w:p>
        </w:tc>
      </w:tr>
    </w:tbl>
    <w:p w14:paraId="7FAA00EB"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生物统计常用术语（</w:t>
      </w:r>
      <w:r>
        <w:rPr>
          <w:b/>
          <w:bCs/>
          <w:szCs w:val="21"/>
        </w:rPr>
        <w:t>0</w:t>
      </w:r>
      <w:r>
        <w:rPr>
          <w:rFonts w:hint="eastAsia"/>
          <w:b/>
          <w:bCs/>
          <w:szCs w:val="21"/>
        </w:rPr>
        <w:t>.5</w:t>
      </w:r>
      <w:r>
        <w:rPr>
          <w:rFonts w:hint="eastAsia"/>
          <w:b/>
          <w:bCs/>
          <w:szCs w:val="21"/>
        </w:rPr>
        <w:t>学时）</w:t>
      </w:r>
    </w:p>
    <w:p w14:paraId="37F23387" w14:textId="77777777" w:rsidR="00F5289E" w:rsidRDefault="00C91173">
      <w:pPr>
        <w:spacing w:line="360" w:lineRule="auto"/>
      </w:pPr>
      <w:r>
        <w:rPr>
          <w:rFonts w:ascii="宋体" w:hAnsi="宋体" w:hint="eastAsia"/>
          <w:b/>
          <w:bCs/>
        </w:rPr>
        <w:t>教学目标：</w:t>
      </w:r>
      <w:r>
        <w:rPr>
          <w:rFonts w:hint="eastAsia"/>
        </w:rPr>
        <w:t>掌握生物统计常用的术语。</w:t>
      </w:r>
    </w:p>
    <w:p w14:paraId="61AF9B22"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教学重点是生物统计常用术语，难点是试验结果资料的性质。</w:t>
      </w:r>
    </w:p>
    <w:p w14:paraId="28DF4012" w14:textId="77777777" w:rsidR="00F5289E" w:rsidRDefault="00C91173">
      <w:pPr>
        <w:spacing w:line="360" w:lineRule="auto"/>
      </w:pPr>
      <w:r>
        <w:rPr>
          <w:rFonts w:ascii="宋体" w:hAnsi="宋体" w:hint="eastAsia"/>
          <w:b/>
          <w:bCs/>
        </w:rPr>
        <w:t>主要教学内容及要求：</w:t>
      </w:r>
      <w:r>
        <w:rPr>
          <w:rFonts w:hint="eastAsia"/>
        </w:rPr>
        <w:t>掌握总体与样本、参数与统计数、变数与变量等常用生物统计学术语，理解不同性质的试验结果资料。</w:t>
      </w:r>
    </w:p>
    <w:p w14:paraId="17A9A86A" w14:textId="77777777" w:rsidR="00F5289E" w:rsidRDefault="00C91173">
      <w:pPr>
        <w:spacing w:line="360" w:lineRule="auto"/>
        <w:rPr>
          <w:rFonts w:ascii="宋体" w:hAnsi="宋体"/>
        </w:rPr>
      </w:pPr>
      <w:r>
        <w:rPr>
          <w:rFonts w:ascii="宋体" w:hAnsi="宋体" w:hint="eastAsia"/>
          <w:b/>
          <w:bCs/>
        </w:rPr>
        <w:lastRenderedPageBreak/>
        <w:t>教学组织与实施：</w:t>
      </w:r>
      <w:r>
        <w:rPr>
          <w:rFonts w:ascii="宋体" w:hAnsi="宋体" w:hint="eastAsia"/>
        </w:rPr>
        <w:t>本节新术语较多，采用课堂讲授、实例示范和线上讨论的方式，使学生建立试验设计与生物统计之间的联系，加深对生物统计术语的理解。</w:t>
      </w:r>
    </w:p>
    <w:p w14:paraId="62AEB4FC" w14:textId="77777777" w:rsidR="00F5289E" w:rsidRDefault="00C91173">
      <w:pPr>
        <w:spacing w:line="360" w:lineRule="auto"/>
        <w:rPr>
          <w:b/>
          <w:bCs/>
          <w:szCs w:val="21"/>
        </w:rPr>
      </w:pPr>
      <w:r>
        <w:rPr>
          <w:rFonts w:hint="eastAsia"/>
          <w:b/>
          <w:bCs/>
          <w:szCs w:val="21"/>
        </w:rPr>
        <w:t>第二节</w:t>
      </w:r>
      <w:r>
        <w:rPr>
          <w:rFonts w:hint="eastAsia"/>
          <w:b/>
          <w:bCs/>
          <w:szCs w:val="21"/>
        </w:rPr>
        <w:t xml:space="preserve"> </w:t>
      </w:r>
      <w:r>
        <w:rPr>
          <w:rFonts w:hint="eastAsia"/>
          <w:b/>
          <w:bCs/>
          <w:szCs w:val="21"/>
        </w:rPr>
        <w:t>次数分布（</w:t>
      </w:r>
      <w:r>
        <w:rPr>
          <w:rFonts w:hint="eastAsia"/>
          <w:b/>
          <w:bCs/>
          <w:szCs w:val="21"/>
        </w:rPr>
        <w:t>1</w:t>
      </w:r>
      <w:r>
        <w:rPr>
          <w:b/>
          <w:bCs/>
          <w:szCs w:val="21"/>
        </w:rPr>
        <w:t>.5</w:t>
      </w:r>
      <w:r>
        <w:rPr>
          <w:rFonts w:hint="eastAsia"/>
          <w:b/>
          <w:bCs/>
          <w:szCs w:val="21"/>
        </w:rPr>
        <w:t>学时）</w:t>
      </w:r>
      <w:r>
        <w:rPr>
          <w:rFonts w:hint="eastAsia"/>
          <w:b/>
          <w:bCs/>
          <w:szCs w:val="21"/>
        </w:rPr>
        <w:t xml:space="preserve">                            </w:t>
      </w:r>
    </w:p>
    <w:p w14:paraId="63621684" w14:textId="77777777" w:rsidR="00F5289E" w:rsidRDefault="00C91173">
      <w:pPr>
        <w:spacing w:line="360" w:lineRule="auto"/>
      </w:pPr>
      <w:r>
        <w:rPr>
          <w:rFonts w:ascii="宋体" w:hAnsi="宋体" w:hint="eastAsia"/>
          <w:b/>
          <w:bCs/>
        </w:rPr>
        <w:t>教学目标：</w:t>
      </w:r>
      <w:r>
        <w:rPr>
          <w:rFonts w:hint="eastAsia"/>
        </w:rPr>
        <w:t>学会次数分布等常见表、图的制作。</w:t>
      </w:r>
    </w:p>
    <w:p w14:paraId="4506A02B"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教学重点是连续性变数次数分布表和次数分布图的制作，难点是科技论文中常见图表的制作。</w:t>
      </w:r>
    </w:p>
    <w:p w14:paraId="2A3B5FC6" w14:textId="77777777" w:rsidR="00F5289E" w:rsidRDefault="00C91173">
      <w:pPr>
        <w:spacing w:line="360" w:lineRule="auto"/>
      </w:pPr>
      <w:r>
        <w:rPr>
          <w:rFonts w:ascii="宋体" w:hAnsi="宋体" w:hint="eastAsia"/>
          <w:b/>
          <w:bCs/>
        </w:rPr>
        <w:t>主要教学内容及要求：</w:t>
      </w:r>
      <w:r>
        <w:rPr>
          <w:rFonts w:ascii="宋体" w:hAnsi="宋体" w:hint="eastAsia"/>
        </w:rPr>
        <w:t>了解不同性质试验结果资料的整理方法，了解常见图表的一般格式，熟练</w:t>
      </w:r>
      <w:r>
        <w:rPr>
          <w:rFonts w:hint="eastAsia"/>
        </w:rPr>
        <w:t>掌握次数分布表和次数分布图的制作方法及关键步骤，掌握科技论文中常见图表的制作。</w:t>
      </w:r>
    </w:p>
    <w:p w14:paraId="42D5F3B7" w14:textId="77777777" w:rsidR="00F5289E" w:rsidRDefault="00C91173">
      <w:pPr>
        <w:spacing w:line="360" w:lineRule="auto"/>
        <w:rPr>
          <w:rFonts w:ascii="宋体" w:hAnsi="宋体"/>
          <w:b/>
          <w:bCs/>
        </w:rPr>
      </w:pPr>
      <w:r>
        <w:rPr>
          <w:rFonts w:ascii="宋体" w:hAnsi="宋体" w:hint="eastAsia"/>
          <w:b/>
          <w:bCs/>
        </w:rPr>
        <w:t>教学组织与实施：</w:t>
      </w:r>
      <w:r>
        <w:rPr>
          <w:rFonts w:ascii="宋体" w:hAnsi="宋体" w:hint="eastAsia"/>
        </w:rPr>
        <w:t>本节知识点较易掌握，通过课堂讲授、实例分析让学生理解次数分布表和分布图以及其他常见图表的制作步骤和方法，通过课后练习和上机实践让学生学会制作次数分布表和分布图。</w:t>
      </w:r>
    </w:p>
    <w:p w14:paraId="24F38395" w14:textId="77777777" w:rsidR="00F5289E" w:rsidRDefault="00C91173">
      <w:pPr>
        <w:spacing w:line="360" w:lineRule="auto"/>
        <w:rPr>
          <w:b/>
          <w:bCs/>
          <w:szCs w:val="21"/>
        </w:rPr>
      </w:pPr>
      <w:r>
        <w:rPr>
          <w:rFonts w:hint="eastAsia"/>
          <w:b/>
          <w:bCs/>
          <w:szCs w:val="21"/>
        </w:rPr>
        <w:t>第三节</w:t>
      </w:r>
      <w:r>
        <w:rPr>
          <w:rFonts w:hint="eastAsia"/>
          <w:b/>
          <w:bCs/>
          <w:szCs w:val="21"/>
        </w:rPr>
        <w:t xml:space="preserve"> </w:t>
      </w:r>
      <w:r>
        <w:rPr>
          <w:rFonts w:hint="eastAsia"/>
          <w:b/>
          <w:bCs/>
          <w:szCs w:val="21"/>
        </w:rPr>
        <w:t>资料的特征数（</w:t>
      </w:r>
      <w:r>
        <w:rPr>
          <w:rFonts w:hint="eastAsia"/>
          <w:b/>
          <w:bCs/>
          <w:szCs w:val="21"/>
        </w:rPr>
        <w:t>1</w:t>
      </w:r>
      <w:r>
        <w:rPr>
          <w:rFonts w:hint="eastAsia"/>
          <w:b/>
          <w:bCs/>
          <w:szCs w:val="21"/>
        </w:rPr>
        <w:t>学时）</w:t>
      </w:r>
    </w:p>
    <w:p w14:paraId="2D0BA546" w14:textId="77777777" w:rsidR="00F5289E" w:rsidRDefault="00C91173">
      <w:pPr>
        <w:spacing w:line="360" w:lineRule="auto"/>
        <w:rPr>
          <w:rFonts w:ascii="宋体" w:hAnsi="宋体"/>
        </w:rPr>
      </w:pPr>
      <w:r>
        <w:rPr>
          <w:rFonts w:ascii="宋体" w:hAnsi="宋体" w:hint="eastAsia"/>
          <w:b/>
          <w:bCs/>
        </w:rPr>
        <w:t>教学目标：</w:t>
      </w:r>
      <w:r>
        <w:rPr>
          <w:rFonts w:ascii="宋体" w:hAnsi="宋体" w:hint="eastAsia"/>
        </w:rPr>
        <w:t>学会资料特征数计算方法。</w:t>
      </w:r>
    </w:p>
    <w:p w14:paraId="32D04679" w14:textId="77777777" w:rsidR="00F5289E" w:rsidRDefault="00C91173">
      <w:pPr>
        <w:spacing w:line="360" w:lineRule="auto"/>
        <w:rPr>
          <w:rFonts w:ascii="宋体" w:hAnsi="宋体"/>
        </w:rPr>
      </w:pPr>
      <w:r>
        <w:rPr>
          <w:rFonts w:ascii="宋体" w:hAnsi="宋体" w:hint="eastAsia"/>
          <w:b/>
          <w:bCs/>
        </w:rPr>
        <w:t>教学重点和难点：</w:t>
      </w:r>
      <w:r>
        <w:rPr>
          <w:rFonts w:ascii="宋体" w:hAnsi="宋体" w:hint="eastAsia"/>
        </w:rPr>
        <w:t>教学重点是资料特征数的计算。</w:t>
      </w:r>
    </w:p>
    <w:p w14:paraId="7B2C53D7" w14:textId="77777777" w:rsidR="00F5289E" w:rsidRDefault="00C91173">
      <w:pPr>
        <w:spacing w:line="360" w:lineRule="auto"/>
        <w:rPr>
          <w:rFonts w:ascii="宋体" w:hAnsi="宋体"/>
        </w:rPr>
      </w:pPr>
      <w:r>
        <w:rPr>
          <w:rFonts w:ascii="宋体" w:hAnsi="宋体" w:hint="eastAsia"/>
          <w:b/>
          <w:bCs/>
        </w:rPr>
        <w:t>主要教学内容及要求：</w:t>
      </w:r>
      <w:r>
        <w:rPr>
          <w:rFonts w:ascii="宋体" w:hAnsi="宋体" w:hint="eastAsia"/>
        </w:rPr>
        <w:t>了解资料平均数和变异数种类，掌握常用特征数的种类、特点及计算方法等。</w:t>
      </w:r>
    </w:p>
    <w:p w14:paraId="6E994EAC"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本节计算公式较多，总体和样本特征数计算公式不同，易混淆。通过课堂讲授让学生理解不同平均数和变异数间的关系，通过课堂练习和上机实践让学生理解试验结果资料特征，学会对资料特征数的计算。</w:t>
      </w:r>
    </w:p>
    <w:p w14:paraId="0A6C0829" w14:textId="77777777" w:rsidR="00D93479" w:rsidRDefault="00D93479">
      <w:pPr>
        <w:spacing w:line="360" w:lineRule="auto"/>
        <w:rPr>
          <w:rFonts w:ascii="宋体" w:hAnsi="宋体"/>
        </w:rPr>
      </w:pPr>
    </w:p>
    <w:tbl>
      <w:tblPr>
        <w:tblStyle w:val="af6"/>
        <w:tblW w:w="0" w:type="auto"/>
        <w:tblInd w:w="4" w:type="dxa"/>
        <w:tblCellMar>
          <w:left w:w="0" w:type="dxa"/>
          <w:right w:w="0" w:type="dxa"/>
        </w:tblCellMar>
        <w:tblLook w:val="04A0" w:firstRow="1" w:lastRow="0" w:firstColumn="1" w:lastColumn="0" w:noHBand="0" w:noVBand="1"/>
      </w:tblPr>
      <w:tblGrid>
        <w:gridCol w:w="2831"/>
        <w:gridCol w:w="3402"/>
        <w:gridCol w:w="2663"/>
      </w:tblGrid>
      <w:tr w:rsidR="00D93479" w14:paraId="7B48577B" w14:textId="77777777" w:rsidTr="00D93479">
        <w:trPr>
          <w:trHeight w:val="270"/>
        </w:trPr>
        <w:tc>
          <w:tcPr>
            <w:tcW w:w="2831" w:type="dxa"/>
            <w:tcBorders>
              <w:top w:val="nil"/>
              <w:left w:val="nil"/>
              <w:bottom w:val="nil"/>
              <w:right w:val="nil"/>
            </w:tcBorders>
            <w:vAlign w:val="center"/>
          </w:tcPr>
          <w:p w14:paraId="6D81C11E" w14:textId="77777777" w:rsidR="00D93479" w:rsidRDefault="00D93479" w:rsidP="00C91173">
            <w:pPr>
              <w:widowControl/>
              <w:snapToGrid w:val="0"/>
              <w:spacing w:line="360" w:lineRule="auto"/>
              <w:jc w:val="center"/>
              <w:rPr>
                <w:rFonts w:hAnsi="宋体"/>
                <w:b/>
                <w:bCs/>
                <w:kern w:val="0"/>
                <w:szCs w:val="21"/>
              </w:rPr>
            </w:pPr>
          </w:p>
        </w:tc>
        <w:tc>
          <w:tcPr>
            <w:tcW w:w="3402" w:type="dxa"/>
            <w:tcBorders>
              <w:top w:val="nil"/>
              <w:left w:val="nil"/>
              <w:bottom w:val="nil"/>
              <w:right w:val="nil"/>
            </w:tcBorders>
            <w:vAlign w:val="center"/>
          </w:tcPr>
          <w:p w14:paraId="25DA8CE4" w14:textId="77777777" w:rsidR="00D93479" w:rsidRDefault="00D93479" w:rsidP="00C91173">
            <w:pPr>
              <w:widowControl/>
              <w:snapToGrid w:val="0"/>
              <w:spacing w:line="360" w:lineRule="auto"/>
              <w:jc w:val="center"/>
              <w:rPr>
                <w:rFonts w:hAnsi="宋体"/>
                <w:b/>
                <w:bCs/>
                <w:kern w:val="0"/>
                <w:szCs w:val="21"/>
              </w:rPr>
            </w:pPr>
            <w:r>
              <w:rPr>
                <w:rFonts w:hint="eastAsia"/>
                <w:b/>
                <w:bCs/>
              </w:rPr>
              <w:t>第三章</w:t>
            </w:r>
            <w:r>
              <w:rPr>
                <w:rFonts w:hint="eastAsia"/>
                <w:b/>
                <w:bCs/>
              </w:rPr>
              <w:t xml:space="preserve">  </w:t>
            </w:r>
            <w:r>
              <w:rPr>
                <w:rFonts w:hint="eastAsia"/>
                <w:b/>
                <w:bCs/>
              </w:rPr>
              <w:t>抽样分布和统计假设检验</w:t>
            </w:r>
          </w:p>
        </w:tc>
        <w:tc>
          <w:tcPr>
            <w:tcW w:w="2663" w:type="dxa"/>
            <w:tcBorders>
              <w:top w:val="nil"/>
              <w:left w:val="nil"/>
              <w:bottom w:val="nil"/>
              <w:right w:val="nil"/>
            </w:tcBorders>
            <w:vAlign w:val="center"/>
          </w:tcPr>
          <w:p w14:paraId="4C5BDD5F"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6</w:t>
            </w:r>
          </w:p>
        </w:tc>
      </w:tr>
    </w:tbl>
    <w:p w14:paraId="2150FEF3" w14:textId="77777777" w:rsidR="00F5289E" w:rsidRDefault="00F5289E">
      <w:pPr>
        <w:tabs>
          <w:tab w:val="left" w:pos="5940"/>
        </w:tabs>
        <w:spacing w:line="360" w:lineRule="auto"/>
        <w:jc w:val="right"/>
        <w:rPr>
          <w:b/>
          <w:bCs/>
        </w:rPr>
      </w:pPr>
    </w:p>
    <w:p w14:paraId="3B516E18"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概率和理论分布（</w:t>
      </w:r>
      <w:r>
        <w:rPr>
          <w:b/>
          <w:bCs/>
          <w:szCs w:val="21"/>
        </w:rPr>
        <w:t>1.0</w:t>
      </w:r>
      <w:r>
        <w:rPr>
          <w:rFonts w:hint="eastAsia"/>
          <w:b/>
          <w:bCs/>
          <w:szCs w:val="21"/>
        </w:rPr>
        <w:t>学时）</w:t>
      </w:r>
      <w:r>
        <w:rPr>
          <w:rFonts w:hint="eastAsia"/>
          <w:b/>
          <w:bCs/>
          <w:szCs w:val="21"/>
        </w:rPr>
        <w:t xml:space="preserve">                    </w:t>
      </w:r>
    </w:p>
    <w:p w14:paraId="3DF962F0" w14:textId="77777777" w:rsidR="00F5289E" w:rsidRDefault="00C91173">
      <w:pPr>
        <w:spacing w:line="360" w:lineRule="auto"/>
        <w:rPr>
          <w:rFonts w:ascii="宋体" w:hAnsi="宋体"/>
        </w:rPr>
      </w:pPr>
      <w:r>
        <w:rPr>
          <w:rFonts w:ascii="宋体" w:hAnsi="宋体" w:hint="eastAsia"/>
          <w:b/>
          <w:bCs/>
        </w:rPr>
        <w:t>教学目标：</w:t>
      </w:r>
      <w:r>
        <w:rPr>
          <w:rFonts w:ascii="宋体" w:hAnsi="宋体" w:hint="eastAsia"/>
        </w:rPr>
        <w:t>了解概率的概念和基本运算，二项分布和正态分布的特点；正态曲线下一定区间的概率计算。</w:t>
      </w:r>
    </w:p>
    <w:p w14:paraId="23557153" w14:textId="77777777" w:rsidR="00F5289E" w:rsidRDefault="00C91173">
      <w:pPr>
        <w:spacing w:line="360" w:lineRule="auto"/>
        <w:rPr>
          <w:rFonts w:ascii="宋体" w:hAnsi="宋体"/>
        </w:rPr>
      </w:pPr>
      <w:r>
        <w:rPr>
          <w:rFonts w:ascii="宋体" w:hAnsi="宋体" w:hint="eastAsia"/>
          <w:b/>
          <w:bCs/>
        </w:rPr>
        <w:t>教学重点和难点：</w:t>
      </w:r>
      <w:r>
        <w:rPr>
          <w:rFonts w:ascii="宋体" w:hAnsi="宋体" w:hint="eastAsia"/>
        </w:rPr>
        <w:t>教学重点是二项分布和正态分布的特点，难点是正态曲线下一定区间概率的计算方法。</w:t>
      </w:r>
    </w:p>
    <w:p w14:paraId="1FE9325B" w14:textId="77777777" w:rsidR="00F5289E" w:rsidRDefault="00C91173">
      <w:pPr>
        <w:spacing w:line="360" w:lineRule="auto"/>
        <w:rPr>
          <w:rFonts w:ascii="宋体" w:hAnsi="宋体"/>
        </w:rPr>
      </w:pPr>
      <w:r>
        <w:rPr>
          <w:rFonts w:ascii="宋体" w:hAnsi="宋体" w:hint="eastAsia"/>
          <w:b/>
          <w:bCs/>
        </w:rPr>
        <w:t>主要教学内容及要求：</w:t>
      </w:r>
      <w:r>
        <w:rPr>
          <w:rFonts w:ascii="宋体" w:hAnsi="宋体" w:hint="eastAsia"/>
        </w:rPr>
        <w:t>了解概率的概念和基本运算；了解二项分布和正态分布的特点，掌握正态曲线下一定区间概率的计算方法。</w:t>
      </w:r>
    </w:p>
    <w:p w14:paraId="503D7F2F" w14:textId="77777777" w:rsidR="00F5289E" w:rsidRDefault="00C91173">
      <w:pPr>
        <w:spacing w:line="360" w:lineRule="auto"/>
        <w:rPr>
          <w:rFonts w:ascii="宋体" w:hAnsi="宋体"/>
        </w:rPr>
      </w:pPr>
      <w:r>
        <w:rPr>
          <w:rFonts w:ascii="宋体" w:hAnsi="宋体" w:hint="eastAsia"/>
          <w:b/>
          <w:bCs/>
        </w:rPr>
        <w:lastRenderedPageBreak/>
        <w:t>教学组织与实施：</w:t>
      </w:r>
      <w:r>
        <w:rPr>
          <w:rFonts w:ascii="宋体" w:hAnsi="宋体" w:hint="eastAsia"/>
        </w:rPr>
        <w:t>本节内容理论性较强，小概率原理是进行统计假设检验的基础原理，通过线上课前学习与讨论，使学生回顾以往数理统计基础知识并通过种子发芽试验了解概率的应用；以种子发芽试验为例，通过课堂讲授和实例分析，使学生了解二项分布和正态分布的特点；进一步通过课堂实例演示、解析和课后练习，使学生掌握计算正态分布曲线下区间概率的计算。</w:t>
      </w:r>
    </w:p>
    <w:p w14:paraId="62451BC4" w14:textId="77777777" w:rsidR="00F5289E" w:rsidRDefault="00C91173">
      <w:pPr>
        <w:spacing w:line="360" w:lineRule="auto"/>
        <w:rPr>
          <w:b/>
          <w:bCs/>
          <w:szCs w:val="21"/>
        </w:rPr>
      </w:pPr>
      <w:r>
        <w:rPr>
          <w:rFonts w:hint="eastAsia"/>
          <w:b/>
          <w:bCs/>
          <w:szCs w:val="21"/>
        </w:rPr>
        <w:t>第二节</w:t>
      </w:r>
      <w:r>
        <w:rPr>
          <w:rFonts w:hint="eastAsia"/>
          <w:b/>
          <w:bCs/>
          <w:szCs w:val="21"/>
        </w:rPr>
        <w:t xml:space="preserve"> </w:t>
      </w:r>
      <w:r>
        <w:rPr>
          <w:rFonts w:hint="eastAsia"/>
          <w:b/>
          <w:bCs/>
          <w:szCs w:val="21"/>
        </w:rPr>
        <w:t>常用统计数的分布（</w:t>
      </w:r>
      <w:r>
        <w:rPr>
          <w:b/>
          <w:bCs/>
          <w:szCs w:val="21"/>
        </w:rPr>
        <w:t>1</w:t>
      </w:r>
      <w:r>
        <w:rPr>
          <w:rFonts w:hint="eastAsia"/>
          <w:b/>
          <w:bCs/>
          <w:szCs w:val="21"/>
        </w:rPr>
        <w:t>.</w:t>
      </w:r>
      <w:r>
        <w:rPr>
          <w:b/>
          <w:bCs/>
          <w:szCs w:val="21"/>
        </w:rPr>
        <w:t>5</w:t>
      </w:r>
      <w:r>
        <w:rPr>
          <w:rFonts w:hint="eastAsia"/>
          <w:b/>
          <w:bCs/>
          <w:szCs w:val="21"/>
        </w:rPr>
        <w:t>学时）</w:t>
      </w:r>
      <w:r>
        <w:rPr>
          <w:rFonts w:hint="eastAsia"/>
          <w:b/>
          <w:bCs/>
          <w:szCs w:val="21"/>
        </w:rPr>
        <w:t xml:space="preserve">             </w:t>
      </w:r>
    </w:p>
    <w:p w14:paraId="10472B69" w14:textId="77777777" w:rsidR="00F5289E" w:rsidRDefault="00C91173">
      <w:pPr>
        <w:spacing w:line="360" w:lineRule="auto"/>
        <w:rPr>
          <w:rFonts w:ascii="宋体" w:hAnsi="宋体"/>
        </w:rPr>
      </w:pPr>
      <w:r>
        <w:rPr>
          <w:rFonts w:ascii="宋体" w:hAnsi="宋体" w:hint="eastAsia"/>
          <w:b/>
          <w:bCs/>
        </w:rPr>
        <w:t>教学目标：</w:t>
      </w:r>
      <w:r>
        <w:rPr>
          <w:rFonts w:ascii="宋体" w:hAnsi="宋体" w:hint="eastAsia"/>
        </w:rPr>
        <w:t>掌握常用统计数的分布。</w:t>
      </w:r>
    </w:p>
    <w:p w14:paraId="155922A1" w14:textId="77777777" w:rsidR="00F5289E" w:rsidRDefault="00C91173">
      <w:pPr>
        <w:spacing w:line="360" w:lineRule="auto"/>
        <w:rPr>
          <w:rFonts w:ascii="宋体" w:hAnsi="宋体"/>
        </w:rPr>
      </w:pPr>
      <w:r>
        <w:rPr>
          <w:rFonts w:ascii="宋体" w:hAnsi="宋体" w:hint="eastAsia"/>
          <w:b/>
          <w:bCs/>
        </w:rPr>
        <w:t>教学重点和难点：</w:t>
      </w:r>
      <w:r>
        <w:rPr>
          <w:rFonts w:ascii="宋体" w:hAnsi="宋体" w:hint="eastAsia"/>
        </w:rPr>
        <w:t>教学重点是常用统计数的分布；难点是抽样分布与原总体分布的关系。</w:t>
      </w:r>
    </w:p>
    <w:p w14:paraId="179238E8" w14:textId="77777777" w:rsidR="00F5289E" w:rsidRDefault="00C91173">
      <w:pPr>
        <w:spacing w:line="360" w:lineRule="auto"/>
        <w:rPr>
          <w:rFonts w:ascii="宋体" w:hAnsi="宋体"/>
        </w:rPr>
      </w:pPr>
      <w:r>
        <w:rPr>
          <w:rFonts w:ascii="宋体" w:hAnsi="宋体" w:hint="eastAsia"/>
          <w:b/>
          <w:bCs/>
        </w:rPr>
        <w:t>主要教学内容及要求：</w:t>
      </w:r>
      <w:r>
        <w:rPr>
          <w:rFonts w:ascii="宋体" w:hAnsi="宋体" w:hint="eastAsia"/>
        </w:rPr>
        <w:t>了解样本平均数、平均数差数、t与卡平方等常用统计数的分布；掌握中心极限定理，理解原总体与样本统计数分布关系。</w:t>
      </w:r>
    </w:p>
    <w:p w14:paraId="5F9DDB85"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本节知识内容理论性强，是进行统计假设检验的理论基础，在课堂理论教学的基础上，让学生通过比较分析掌握不同常见统计数分布的特点，通过实例数据，计算统计数分布相关参数，加深对常用统计数分布的理解。</w:t>
      </w:r>
    </w:p>
    <w:p w14:paraId="45FB62D8" w14:textId="77777777" w:rsidR="00F5289E" w:rsidRDefault="00C91173">
      <w:pPr>
        <w:spacing w:line="360" w:lineRule="auto"/>
        <w:jc w:val="left"/>
        <w:rPr>
          <w:b/>
          <w:bCs/>
        </w:rPr>
      </w:pPr>
      <w:r>
        <w:rPr>
          <w:rFonts w:hint="eastAsia"/>
          <w:b/>
          <w:bCs/>
          <w:szCs w:val="21"/>
        </w:rPr>
        <w:t>第三节</w:t>
      </w:r>
      <w:r>
        <w:rPr>
          <w:rFonts w:hint="eastAsia"/>
          <w:b/>
          <w:bCs/>
          <w:szCs w:val="21"/>
        </w:rPr>
        <w:t xml:space="preserve"> </w:t>
      </w:r>
      <w:r>
        <w:rPr>
          <w:rFonts w:hint="eastAsia"/>
          <w:b/>
          <w:bCs/>
          <w:szCs w:val="21"/>
        </w:rPr>
        <w:t>统计假设检验（</w:t>
      </w:r>
      <w:r>
        <w:rPr>
          <w:b/>
          <w:bCs/>
          <w:szCs w:val="21"/>
        </w:rPr>
        <w:t>3.0</w:t>
      </w:r>
      <w:r>
        <w:rPr>
          <w:rFonts w:hint="eastAsia"/>
          <w:b/>
          <w:bCs/>
          <w:szCs w:val="21"/>
        </w:rPr>
        <w:t>学时）</w:t>
      </w:r>
    </w:p>
    <w:p w14:paraId="580BD707" w14:textId="77777777" w:rsidR="00F5289E" w:rsidRDefault="00C91173">
      <w:pPr>
        <w:spacing w:line="360" w:lineRule="auto"/>
        <w:rPr>
          <w:rFonts w:ascii="宋体" w:hAnsi="宋体"/>
        </w:rPr>
      </w:pPr>
      <w:r>
        <w:rPr>
          <w:rFonts w:ascii="宋体" w:hAnsi="宋体" w:hint="eastAsia"/>
          <w:b/>
          <w:bCs/>
        </w:rPr>
        <w:t>教学目标：</w:t>
      </w:r>
      <w:r>
        <w:rPr>
          <w:rFonts w:hint="eastAsia"/>
        </w:rPr>
        <w:t>理解和掌握统计假设检验的原理、步骤和方法</w:t>
      </w:r>
      <w:r>
        <w:rPr>
          <w:rFonts w:ascii="宋体" w:hAnsi="宋体" w:hint="eastAsia"/>
        </w:rPr>
        <w:t>。</w:t>
      </w:r>
    </w:p>
    <w:p w14:paraId="59450A39" w14:textId="77777777" w:rsidR="00F5289E" w:rsidRDefault="00C91173">
      <w:pPr>
        <w:spacing w:line="360" w:lineRule="auto"/>
        <w:rPr>
          <w:rFonts w:ascii="宋体" w:hAnsi="宋体"/>
        </w:rPr>
      </w:pPr>
      <w:r>
        <w:rPr>
          <w:rFonts w:ascii="宋体" w:hAnsi="宋体" w:hint="eastAsia"/>
          <w:b/>
          <w:bCs/>
        </w:rPr>
        <w:t>教学重点和难点：</w:t>
      </w:r>
      <w:r>
        <w:rPr>
          <w:rFonts w:ascii="宋体" w:hAnsi="宋体" w:hint="eastAsia"/>
        </w:rPr>
        <w:t>教学重点是统计假设检验的一般程序和方法，单个和两个样本平均数统计假设检验的方法。难点是统计假设检验的原理、几何意义与两类错误。</w:t>
      </w:r>
    </w:p>
    <w:p w14:paraId="48A60F03" w14:textId="77777777" w:rsidR="00F5289E" w:rsidRDefault="00C91173">
      <w:pPr>
        <w:spacing w:line="360" w:lineRule="auto"/>
        <w:rPr>
          <w:rFonts w:ascii="宋体" w:hAnsi="宋体"/>
        </w:rPr>
      </w:pPr>
      <w:r>
        <w:rPr>
          <w:rFonts w:ascii="宋体" w:hAnsi="宋体" w:hint="eastAsia"/>
          <w:b/>
          <w:bCs/>
        </w:rPr>
        <w:t>主要教学内容及要求：</w:t>
      </w:r>
      <w:r>
        <w:rPr>
          <w:rFonts w:ascii="宋体" w:hAnsi="宋体" w:hint="eastAsia"/>
        </w:rPr>
        <w:t>要求通过学习理解，掌握统计假设检验的原理、步骤和方法，熟练掌握对单个和两个样本平均数的统计假设检验。</w:t>
      </w:r>
    </w:p>
    <w:p w14:paraId="259ACBEB"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本节内容逻辑性强、理论性强，是理论分布与统计数分布在生物统计中实际应用；通过课前线上预习和讨论分析，由‘女士品茶’试验引入假设检验的概念进行课堂讲授，使学生更好的理解统计假设检验基本思想和原理；通过实际案例提问，借助翻转课堂形式，引导学生积极思考，进一步理解其一般程序和方法，掌握对具体试验结果资料进行假设检验的方法；最后通过线上讨论、课后练习和上机实践进一步巩固所学内容，学生能够使用统计假设检验进行合理的统计推断，正确分析试验处理效应。</w:t>
      </w:r>
    </w:p>
    <w:p w14:paraId="3E8DCA71" w14:textId="77777777" w:rsidR="00F5289E" w:rsidRDefault="00C91173">
      <w:pPr>
        <w:spacing w:line="360" w:lineRule="auto"/>
        <w:jc w:val="left"/>
        <w:rPr>
          <w:b/>
          <w:bCs/>
          <w:szCs w:val="21"/>
        </w:rPr>
      </w:pPr>
      <w:r>
        <w:rPr>
          <w:rFonts w:hint="eastAsia"/>
          <w:b/>
          <w:bCs/>
          <w:szCs w:val="21"/>
        </w:rPr>
        <w:t>第四节</w:t>
      </w:r>
      <w:r>
        <w:rPr>
          <w:rFonts w:hint="eastAsia"/>
          <w:b/>
          <w:bCs/>
          <w:szCs w:val="21"/>
        </w:rPr>
        <w:t xml:space="preserve"> </w:t>
      </w:r>
      <w:r>
        <w:rPr>
          <w:rFonts w:hint="eastAsia"/>
          <w:b/>
          <w:bCs/>
          <w:szCs w:val="21"/>
        </w:rPr>
        <w:t>参数的区间</w:t>
      </w:r>
      <w:r>
        <w:rPr>
          <w:b/>
          <w:bCs/>
          <w:szCs w:val="21"/>
        </w:rPr>
        <w:t>估计（</w:t>
      </w:r>
      <w:r>
        <w:rPr>
          <w:b/>
          <w:bCs/>
          <w:szCs w:val="21"/>
        </w:rPr>
        <w:t>0.5</w:t>
      </w:r>
      <w:r>
        <w:rPr>
          <w:b/>
          <w:bCs/>
          <w:szCs w:val="21"/>
        </w:rPr>
        <w:t>学时）</w:t>
      </w:r>
    </w:p>
    <w:p w14:paraId="609C233F" w14:textId="77777777" w:rsidR="00F5289E" w:rsidRDefault="00C91173">
      <w:pPr>
        <w:spacing w:line="360" w:lineRule="auto"/>
        <w:rPr>
          <w:rFonts w:ascii="宋体" w:hAnsi="宋体"/>
        </w:rPr>
      </w:pPr>
      <w:r>
        <w:rPr>
          <w:rFonts w:ascii="宋体" w:hAnsi="宋体" w:hint="eastAsia"/>
          <w:b/>
          <w:bCs/>
        </w:rPr>
        <w:t>教学目标：</w:t>
      </w:r>
      <w:r>
        <w:rPr>
          <w:rFonts w:ascii="宋体" w:hAnsi="宋体" w:hint="eastAsia"/>
        </w:rPr>
        <w:t>了解总体参数的区间估计。</w:t>
      </w:r>
    </w:p>
    <w:p w14:paraId="61010BB1" w14:textId="77777777" w:rsidR="00F5289E" w:rsidRDefault="00C91173">
      <w:pPr>
        <w:spacing w:line="360" w:lineRule="auto"/>
        <w:rPr>
          <w:rFonts w:ascii="宋体" w:hAnsi="宋体"/>
        </w:rPr>
      </w:pPr>
      <w:r>
        <w:rPr>
          <w:rFonts w:ascii="宋体" w:hAnsi="宋体" w:hint="eastAsia"/>
          <w:b/>
          <w:bCs/>
        </w:rPr>
        <w:t>教学重点：</w:t>
      </w:r>
      <w:r>
        <w:rPr>
          <w:rFonts w:ascii="宋体" w:hAnsi="宋体" w:hint="eastAsia"/>
        </w:rPr>
        <w:t>总体参数的区间估计。</w:t>
      </w:r>
    </w:p>
    <w:p w14:paraId="002A5D0C" w14:textId="77777777" w:rsidR="00F5289E" w:rsidRDefault="00C91173">
      <w:pPr>
        <w:spacing w:line="360" w:lineRule="auto"/>
        <w:rPr>
          <w:rFonts w:ascii="宋体" w:hAnsi="宋体"/>
        </w:rPr>
      </w:pPr>
      <w:r>
        <w:rPr>
          <w:rFonts w:ascii="宋体" w:hAnsi="宋体" w:hint="eastAsia"/>
          <w:b/>
          <w:bCs/>
        </w:rPr>
        <w:t>主要教学内容及要求：</w:t>
      </w:r>
      <w:r>
        <w:rPr>
          <w:rFonts w:ascii="宋体" w:hAnsi="宋体" w:hint="eastAsia"/>
        </w:rPr>
        <w:t>了解参数的区间估计。</w:t>
      </w:r>
    </w:p>
    <w:p w14:paraId="74403D5E"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通过本章学习和积累，学生对参数区间估计的概念和计算的理解相对容易一些，</w:t>
      </w:r>
      <w:r>
        <w:rPr>
          <w:rFonts w:ascii="宋体" w:hAnsi="宋体" w:hint="eastAsia"/>
        </w:rPr>
        <w:lastRenderedPageBreak/>
        <w:t>通过课堂讲授使学生了解区间估计及其相关术语，了解置信度下置信区间的计算和统计分析，通过课后练习和上机实践进一步巩固相关内容。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28D2FCDA" w14:textId="77777777" w:rsidTr="00C91173">
        <w:trPr>
          <w:trHeight w:val="270"/>
        </w:trPr>
        <w:tc>
          <w:tcPr>
            <w:tcW w:w="2965" w:type="dxa"/>
            <w:tcBorders>
              <w:top w:val="nil"/>
              <w:left w:val="nil"/>
              <w:bottom w:val="nil"/>
              <w:right w:val="nil"/>
            </w:tcBorders>
            <w:vAlign w:val="center"/>
          </w:tcPr>
          <w:p w14:paraId="5F7F3F33"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FA88017" w14:textId="77777777" w:rsidR="00D93479" w:rsidRDefault="00D93479" w:rsidP="00C91173">
            <w:pPr>
              <w:widowControl/>
              <w:snapToGrid w:val="0"/>
              <w:spacing w:line="360" w:lineRule="auto"/>
              <w:jc w:val="center"/>
              <w:rPr>
                <w:rFonts w:hAnsi="宋体"/>
                <w:b/>
                <w:bCs/>
                <w:kern w:val="0"/>
                <w:szCs w:val="21"/>
              </w:rPr>
            </w:pPr>
            <w:r>
              <w:rPr>
                <w:rFonts w:hint="eastAsia"/>
                <w:b/>
                <w:bCs/>
              </w:rPr>
              <w:t>第四章</w:t>
            </w:r>
            <w:r>
              <w:rPr>
                <w:rFonts w:hint="eastAsia"/>
                <w:b/>
                <w:bCs/>
              </w:rPr>
              <w:t xml:space="preserve">  </w:t>
            </w:r>
            <w:r>
              <w:rPr>
                <w:rFonts w:hint="eastAsia"/>
                <w:b/>
                <w:bCs/>
              </w:rPr>
              <w:t>方差分析</w:t>
            </w:r>
          </w:p>
        </w:tc>
        <w:tc>
          <w:tcPr>
            <w:tcW w:w="2966" w:type="dxa"/>
            <w:tcBorders>
              <w:top w:val="nil"/>
              <w:left w:val="nil"/>
              <w:bottom w:val="nil"/>
              <w:right w:val="nil"/>
            </w:tcBorders>
            <w:vAlign w:val="center"/>
          </w:tcPr>
          <w:p w14:paraId="6E46AFCB"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6</w:t>
            </w:r>
          </w:p>
        </w:tc>
      </w:tr>
    </w:tbl>
    <w:p w14:paraId="413B05A5"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方差分析的基本原理（</w:t>
      </w:r>
      <w:r>
        <w:rPr>
          <w:rFonts w:hint="eastAsia"/>
          <w:b/>
          <w:bCs/>
          <w:szCs w:val="21"/>
        </w:rPr>
        <w:t>3.5</w:t>
      </w:r>
      <w:r>
        <w:rPr>
          <w:rFonts w:hint="eastAsia"/>
          <w:b/>
          <w:bCs/>
          <w:szCs w:val="21"/>
        </w:rPr>
        <w:t>学时）</w:t>
      </w:r>
    </w:p>
    <w:p w14:paraId="10546B9A" w14:textId="77777777" w:rsidR="00F5289E" w:rsidRDefault="00C91173">
      <w:pPr>
        <w:spacing w:line="360" w:lineRule="auto"/>
      </w:pPr>
      <w:r>
        <w:rPr>
          <w:rFonts w:ascii="宋体" w:hAnsi="宋体" w:hint="eastAsia"/>
          <w:b/>
          <w:bCs/>
        </w:rPr>
        <w:t>教学目标：</w:t>
      </w:r>
      <w:r>
        <w:rPr>
          <w:rFonts w:hint="eastAsia"/>
        </w:rPr>
        <w:t>理解方差分析的基本原理，初步掌握方差分析的基本步骤，能够正确进行</w:t>
      </w:r>
      <w:r>
        <w:rPr>
          <w:rFonts w:hint="eastAsia"/>
        </w:rPr>
        <w:t>F</w:t>
      </w:r>
      <w:r>
        <w:rPr>
          <w:rFonts w:hint="eastAsia"/>
        </w:rPr>
        <w:t>检验和多重比较分析，学会均数间差异显著性的表示方法。</w:t>
      </w:r>
    </w:p>
    <w:p w14:paraId="11B0B290"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教学重点是方差分析的基本原理与过程。难点是用</w:t>
      </w:r>
      <w:r>
        <w:rPr>
          <w:rFonts w:hint="eastAsia"/>
        </w:rPr>
        <w:t>LSR</w:t>
      </w:r>
      <w:r>
        <w:rPr>
          <w:rFonts w:hint="eastAsia"/>
        </w:rPr>
        <w:t>进行多重比较的方法。</w:t>
      </w:r>
    </w:p>
    <w:p w14:paraId="42BEF9F5" w14:textId="77777777" w:rsidR="00F5289E" w:rsidRDefault="00C91173">
      <w:pPr>
        <w:spacing w:line="360" w:lineRule="auto"/>
      </w:pPr>
      <w:r>
        <w:rPr>
          <w:rFonts w:ascii="宋体" w:hAnsi="宋体" w:hint="eastAsia"/>
          <w:b/>
          <w:bCs/>
        </w:rPr>
        <w:t>主要教学内容及要求：</w:t>
      </w:r>
      <w:r>
        <w:rPr>
          <w:rFonts w:ascii="宋体" w:hAnsi="宋体" w:hint="eastAsia"/>
        </w:rPr>
        <w:t>理</w:t>
      </w:r>
      <w:r>
        <w:t>解方差分析的基本原理，初步掌握方差分析的基本步骤，包括平方和与自由度的分解，掌握</w:t>
      </w:r>
      <w:r>
        <w:t>F</w:t>
      </w:r>
      <w:r>
        <w:t>检验和</w:t>
      </w:r>
      <w:r>
        <w:t>LSD</w:t>
      </w:r>
      <w:r>
        <w:t>、</w:t>
      </w:r>
      <w:r>
        <w:t>SSR</w:t>
      </w:r>
      <w:r>
        <w:t>、</w:t>
      </w:r>
      <w:r>
        <w:t>q</w:t>
      </w:r>
      <w:r>
        <w:t>检验等多重比较分析的常用方法；学会用星号法和字母标记法表示均数的差异显著性。</w:t>
      </w:r>
    </w:p>
    <w:p w14:paraId="3387F5F6"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本节理论性强，方法复杂，一些知识比较难懂，课堂教学要适当放慢速度，分析过程要结合实例，可以板书推导为主、</w:t>
      </w:r>
      <w:r>
        <w:t>辅以</w:t>
      </w:r>
      <w:r>
        <w:t>PPT</w:t>
      </w:r>
      <w:r>
        <w:t>方式分步</w:t>
      </w:r>
      <w:r>
        <w:rPr>
          <w:rFonts w:ascii="宋体" w:hAnsi="宋体" w:hint="eastAsia"/>
        </w:rPr>
        <w:t>骤详细讲解。</w:t>
      </w:r>
    </w:p>
    <w:p w14:paraId="01F39C90" w14:textId="77777777" w:rsidR="00F5289E" w:rsidRDefault="00C91173">
      <w:pPr>
        <w:spacing w:line="360" w:lineRule="auto"/>
        <w:rPr>
          <w:b/>
          <w:bCs/>
          <w:szCs w:val="21"/>
        </w:rPr>
      </w:pPr>
      <w:r>
        <w:rPr>
          <w:rFonts w:hint="eastAsia"/>
          <w:b/>
          <w:bCs/>
          <w:szCs w:val="21"/>
        </w:rPr>
        <w:t>第二节</w:t>
      </w:r>
      <w:r>
        <w:rPr>
          <w:rFonts w:hint="eastAsia"/>
          <w:b/>
          <w:bCs/>
          <w:szCs w:val="21"/>
        </w:rPr>
        <w:t xml:space="preserve"> </w:t>
      </w:r>
      <w:r>
        <w:rPr>
          <w:rFonts w:hint="eastAsia"/>
          <w:b/>
          <w:bCs/>
          <w:szCs w:val="21"/>
        </w:rPr>
        <w:t>单向分组资料的方差分析（</w:t>
      </w:r>
      <w:r>
        <w:rPr>
          <w:rFonts w:hint="eastAsia"/>
          <w:b/>
          <w:bCs/>
          <w:szCs w:val="21"/>
        </w:rPr>
        <w:t>1</w:t>
      </w:r>
      <w:r>
        <w:rPr>
          <w:rFonts w:hint="eastAsia"/>
          <w:b/>
          <w:bCs/>
          <w:szCs w:val="21"/>
        </w:rPr>
        <w:t>学时）</w:t>
      </w:r>
      <w:r>
        <w:rPr>
          <w:rFonts w:hint="eastAsia"/>
          <w:b/>
          <w:bCs/>
          <w:szCs w:val="21"/>
        </w:rPr>
        <w:t xml:space="preserve">                            </w:t>
      </w:r>
    </w:p>
    <w:p w14:paraId="79C9EAA5" w14:textId="77777777" w:rsidR="00F5289E" w:rsidRDefault="00C91173">
      <w:pPr>
        <w:spacing w:line="360" w:lineRule="auto"/>
      </w:pPr>
      <w:r>
        <w:rPr>
          <w:rFonts w:ascii="宋体" w:hAnsi="宋体" w:hint="eastAsia"/>
          <w:b/>
          <w:bCs/>
        </w:rPr>
        <w:t>教学目标：</w:t>
      </w:r>
      <w:r>
        <w:rPr>
          <w:rFonts w:hint="eastAsia"/>
        </w:rPr>
        <w:t>进一步熟悉方差分析的基本原理和过程，掌握对单向分组资料进行方差分析的方法和步骤，掌握均数间差异显著性的表示方法。</w:t>
      </w:r>
    </w:p>
    <w:p w14:paraId="523BADD5"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教学重点是不同类型单向分组资料方差分析的方法。难点是系统分组资料的方差分析，尤其在进行</w:t>
      </w:r>
      <w:r>
        <w:rPr>
          <w:rFonts w:hint="eastAsia"/>
        </w:rPr>
        <w:t>F</w:t>
      </w:r>
      <w:r>
        <w:rPr>
          <w:rFonts w:hint="eastAsia"/>
        </w:rPr>
        <w:t>检验时对误差均方的理解等。</w:t>
      </w:r>
    </w:p>
    <w:p w14:paraId="5688B8E4" w14:textId="77777777" w:rsidR="00F5289E" w:rsidRDefault="00C91173">
      <w:pPr>
        <w:spacing w:line="360" w:lineRule="auto"/>
      </w:pPr>
      <w:r>
        <w:rPr>
          <w:rFonts w:ascii="宋体" w:hAnsi="宋体" w:hint="eastAsia"/>
          <w:b/>
          <w:bCs/>
        </w:rPr>
        <w:t>主要教学内容及要求：</w:t>
      </w:r>
      <w:r>
        <w:rPr>
          <w:rFonts w:hint="eastAsia"/>
        </w:rPr>
        <w:t>掌握对不同类型单向分组资料和系统分组资料进行方差分析的过程与方法；熟练掌握用星号法、字母法表示均数间的差异显著性。</w:t>
      </w:r>
    </w:p>
    <w:p w14:paraId="5629EDF9"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部分知识点比较难懂，或实操过程中容易出错。在理论学习后安排实验，让学生反复练习，直至完全掌握。部分内容可采用翻转课堂方式，鼓励同学讲授，引导同学发现和指出问题，通过课堂讨论提高学习积极性，加深对方法的理解。</w:t>
      </w:r>
    </w:p>
    <w:p w14:paraId="219B5FEC" w14:textId="77777777" w:rsidR="00F5289E" w:rsidRDefault="00C91173">
      <w:pPr>
        <w:spacing w:line="360" w:lineRule="auto"/>
        <w:rPr>
          <w:b/>
          <w:bCs/>
          <w:szCs w:val="21"/>
        </w:rPr>
      </w:pPr>
      <w:r>
        <w:rPr>
          <w:rFonts w:hint="eastAsia"/>
          <w:b/>
          <w:bCs/>
          <w:szCs w:val="21"/>
        </w:rPr>
        <w:t>第三节</w:t>
      </w:r>
      <w:r>
        <w:rPr>
          <w:rFonts w:hint="eastAsia"/>
          <w:b/>
          <w:bCs/>
          <w:szCs w:val="21"/>
        </w:rPr>
        <w:t xml:space="preserve"> </w:t>
      </w:r>
      <w:r>
        <w:rPr>
          <w:rFonts w:hint="eastAsia"/>
          <w:b/>
          <w:bCs/>
          <w:szCs w:val="21"/>
        </w:rPr>
        <w:t>两向分组资料的方差分析（</w:t>
      </w:r>
      <w:r>
        <w:rPr>
          <w:rFonts w:hint="eastAsia"/>
          <w:b/>
          <w:bCs/>
          <w:szCs w:val="21"/>
        </w:rPr>
        <w:t>1</w:t>
      </w:r>
      <w:r>
        <w:rPr>
          <w:rFonts w:hint="eastAsia"/>
          <w:b/>
          <w:bCs/>
          <w:szCs w:val="21"/>
        </w:rPr>
        <w:t>学时）</w:t>
      </w:r>
    </w:p>
    <w:p w14:paraId="60BB9AE1" w14:textId="77777777" w:rsidR="00F5289E" w:rsidRDefault="00C91173">
      <w:pPr>
        <w:spacing w:line="360" w:lineRule="auto"/>
      </w:pPr>
      <w:r>
        <w:rPr>
          <w:rFonts w:ascii="宋体" w:hAnsi="宋体" w:hint="eastAsia"/>
          <w:b/>
          <w:bCs/>
        </w:rPr>
        <w:t>教学目标：</w:t>
      </w:r>
      <w:r>
        <w:rPr>
          <w:rFonts w:hint="eastAsia"/>
        </w:rPr>
        <w:t>掌握对两向分组资料进行方差分析的方法步骤，能够正确解读和应用分析结果。</w:t>
      </w:r>
    </w:p>
    <w:p w14:paraId="183181C8"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教学重点是解释两向分组资料的产生、两向分组资料变异原因的来源以及方差分析的方法步骤。难点是对组内有重复观察值的两向分组资料进行方差分析的方法，以及对分析结果的正确理解和应用。</w:t>
      </w:r>
    </w:p>
    <w:p w14:paraId="3E4C998B" w14:textId="77777777" w:rsidR="00F5289E" w:rsidRDefault="00C91173">
      <w:pPr>
        <w:spacing w:line="360" w:lineRule="auto"/>
      </w:pPr>
      <w:r>
        <w:rPr>
          <w:rFonts w:ascii="宋体" w:hAnsi="宋体" w:hint="eastAsia"/>
          <w:b/>
          <w:bCs/>
        </w:rPr>
        <w:t>主要教学内容及要求：</w:t>
      </w:r>
      <w:r>
        <w:rPr>
          <w:rFonts w:ascii="宋体" w:hAnsi="宋体" w:hint="eastAsia"/>
        </w:rPr>
        <w:t>理解</w:t>
      </w:r>
      <w:r>
        <w:rPr>
          <w:rFonts w:hint="eastAsia"/>
        </w:rPr>
        <w:t>两向分组资料与部分试验设计方法的关联；学会对组内无重复观察值的两向分组资料与组内有重复观察值的两向分组资料进行变异原因的分解；理解各变异方向平方</w:t>
      </w:r>
      <w:r>
        <w:rPr>
          <w:rFonts w:hint="eastAsia"/>
        </w:rPr>
        <w:lastRenderedPageBreak/>
        <w:t>和与自由度之间的关系；掌握</w:t>
      </w:r>
      <w:r>
        <w:rPr>
          <w:rFonts w:hint="eastAsia"/>
        </w:rPr>
        <w:t>F</w:t>
      </w:r>
      <w:r>
        <w:rPr>
          <w:rFonts w:hint="eastAsia"/>
        </w:rPr>
        <w:t>检验和</w:t>
      </w:r>
      <w:r>
        <w:rPr>
          <w:rFonts w:hint="eastAsia"/>
        </w:rPr>
        <w:t>SSR</w:t>
      </w:r>
      <w:r>
        <w:rPr>
          <w:rFonts w:hint="eastAsia"/>
        </w:rPr>
        <w:t>多重比较方法；熟练掌握用字母标记法表示差异显著性；能够正确理解和应用分析结果。</w:t>
      </w:r>
    </w:p>
    <w:p w14:paraId="1BAB32B4" w14:textId="77777777" w:rsidR="00F5289E" w:rsidRDefault="00C91173">
      <w:pPr>
        <w:spacing w:line="360" w:lineRule="auto"/>
        <w:rPr>
          <w:b/>
          <w:bCs/>
          <w:szCs w:val="21"/>
        </w:rPr>
      </w:pPr>
      <w:r>
        <w:rPr>
          <w:rFonts w:ascii="宋体" w:hAnsi="宋体" w:hint="eastAsia"/>
          <w:b/>
          <w:bCs/>
        </w:rPr>
        <w:t>教学组织与实施：</w:t>
      </w:r>
      <w:r>
        <w:rPr>
          <w:rFonts w:ascii="宋体" w:hAnsi="宋体" w:hint="eastAsia"/>
        </w:rPr>
        <w:t xml:space="preserve">本节分析过程复杂，公式繁多，一些知识易于混淆，教学速度要适当放慢。由部分试验设计方法引导出两向分组数据资料；结合实例对关键知识点进行比对教学和演示；鼓励同学发现分析过程和计算公式应用的规律，通过学习提高学生观察能力，从而加深对方法的理解。  </w:t>
      </w:r>
      <w:r>
        <w:rPr>
          <w:rFonts w:hint="eastAsia"/>
          <w:szCs w:val="21"/>
        </w:rPr>
        <w:t xml:space="preserve"> </w:t>
      </w:r>
      <w:r>
        <w:rPr>
          <w:rFonts w:hint="eastAsia"/>
          <w:b/>
          <w:bCs/>
          <w:szCs w:val="21"/>
        </w:rPr>
        <w:t xml:space="preserve">                        </w:t>
      </w:r>
    </w:p>
    <w:p w14:paraId="11C4E8A1" w14:textId="77777777" w:rsidR="00F5289E" w:rsidRDefault="00C91173">
      <w:pPr>
        <w:spacing w:line="360" w:lineRule="auto"/>
        <w:rPr>
          <w:b/>
          <w:bCs/>
          <w:szCs w:val="21"/>
        </w:rPr>
      </w:pPr>
      <w:r>
        <w:rPr>
          <w:rFonts w:hint="eastAsia"/>
          <w:b/>
          <w:bCs/>
          <w:szCs w:val="21"/>
        </w:rPr>
        <w:t>第四节</w:t>
      </w:r>
      <w:r>
        <w:rPr>
          <w:rFonts w:hint="eastAsia"/>
          <w:b/>
          <w:bCs/>
          <w:szCs w:val="21"/>
        </w:rPr>
        <w:t xml:space="preserve"> </w:t>
      </w:r>
      <w:r>
        <w:rPr>
          <w:rFonts w:hint="eastAsia"/>
          <w:b/>
          <w:bCs/>
          <w:szCs w:val="21"/>
        </w:rPr>
        <w:t>方差分析的线性模型、基本假定和数据转换（</w:t>
      </w:r>
      <w:r>
        <w:rPr>
          <w:rFonts w:hint="eastAsia"/>
          <w:b/>
          <w:bCs/>
          <w:szCs w:val="21"/>
        </w:rPr>
        <w:t>0.5</w:t>
      </w:r>
      <w:r>
        <w:rPr>
          <w:rFonts w:hint="eastAsia"/>
          <w:b/>
          <w:bCs/>
          <w:szCs w:val="21"/>
        </w:rPr>
        <w:t>学时）</w:t>
      </w:r>
      <w:r>
        <w:rPr>
          <w:rFonts w:hint="eastAsia"/>
          <w:b/>
          <w:bCs/>
          <w:szCs w:val="21"/>
        </w:rPr>
        <w:t xml:space="preserve">                      </w:t>
      </w:r>
    </w:p>
    <w:p w14:paraId="4A1D15AB" w14:textId="77777777" w:rsidR="00F5289E" w:rsidRDefault="00C91173">
      <w:pPr>
        <w:spacing w:line="360" w:lineRule="auto"/>
      </w:pPr>
      <w:r>
        <w:rPr>
          <w:rFonts w:ascii="宋体" w:hAnsi="宋体" w:hint="eastAsia"/>
          <w:b/>
          <w:bCs/>
        </w:rPr>
        <w:t>教学目标：</w:t>
      </w:r>
      <w:r>
        <w:rPr>
          <w:rFonts w:ascii="宋体" w:hAnsi="宋体" w:hint="eastAsia"/>
        </w:rPr>
        <w:t>了</w:t>
      </w:r>
      <w:r>
        <w:rPr>
          <w:rFonts w:hint="eastAsia"/>
        </w:rPr>
        <w:t>解固定模型和随机模型的基本区别；了解方差分析对数据的基本要求，在试验数据不符合要求时能够进行相应的数据转换。</w:t>
      </w:r>
    </w:p>
    <w:p w14:paraId="58D52F44"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教学重点是固定模型和随机模型在试验设计思想上的区别，方差分析对数据的三个基本要求，以及常见的数据转换方法。难点是对随机模型的理解等。</w:t>
      </w:r>
    </w:p>
    <w:p w14:paraId="05831DFF" w14:textId="77777777" w:rsidR="00F5289E" w:rsidRDefault="00C91173">
      <w:pPr>
        <w:spacing w:line="360" w:lineRule="auto"/>
      </w:pPr>
      <w:r>
        <w:rPr>
          <w:rFonts w:ascii="宋体" w:hAnsi="宋体" w:hint="eastAsia"/>
          <w:b/>
          <w:bCs/>
        </w:rPr>
        <w:t>主要教学内容及要求：</w:t>
      </w:r>
      <w:r>
        <w:rPr>
          <w:rFonts w:hint="eastAsia"/>
        </w:rPr>
        <w:t>了解固定模型与随机模型的区别，能够在研究和分析时选择相应的方法；了解方差分析对可加性、随机性和同质性的要求；学会平方根转换、对数转换和反正弦转换的方法。</w:t>
      </w:r>
    </w:p>
    <w:p w14:paraId="12226E65"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本章理论性强，晦涩难懂。课堂教学要从实际应用出发，讲解清楚在学习和研究工作中如何正确地选择，通过实例帮助学生理解理论问题。</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534FF420" w14:textId="77777777" w:rsidTr="00C91173">
        <w:trPr>
          <w:trHeight w:val="270"/>
        </w:trPr>
        <w:tc>
          <w:tcPr>
            <w:tcW w:w="2965" w:type="dxa"/>
            <w:tcBorders>
              <w:top w:val="nil"/>
              <w:left w:val="nil"/>
              <w:bottom w:val="nil"/>
              <w:right w:val="nil"/>
            </w:tcBorders>
            <w:vAlign w:val="center"/>
          </w:tcPr>
          <w:p w14:paraId="4DF1D95B"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22C4888" w14:textId="77777777" w:rsidR="00D93479" w:rsidRDefault="00D93479" w:rsidP="00C91173">
            <w:pPr>
              <w:widowControl/>
              <w:snapToGrid w:val="0"/>
              <w:spacing w:line="360" w:lineRule="auto"/>
              <w:jc w:val="center"/>
              <w:rPr>
                <w:rFonts w:hAnsi="宋体"/>
                <w:b/>
                <w:bCs/>
                <w:kern w:val="0"/>
                <w:szCs w:val="21"/>
              </w:rPr>
            </w:pPr>
            <w:r>
              <w:rPr>
                <w:rFonts w:hint="eastAsia"/>
                <w:b/>
                <w:bCs/>
              </w:rPr>
              <w:t>第五章</w:t>
            </w:r>
            <w:r>
              <w:rPr>
                <w:rFonts w:hint="eastAsia"/>
                <w:b/>
                <w:bCs/>
              </w:rPr>
              <w:t xml:space="preserve"> </w:t>
            </w:r>
            <w:r>
              <w:rPr>
                <w:rFonts w:hint="eastAsia"/>
                <w:b/>
                <w:bCs/>
              </w:rPr>
              <w:t>常用试验设计结果的统计分析</w:t>
            </w:r>
          </w:p>
        </w:tc>
        <w:tc>
          <w:tcPr>
            <w:tcW w:w="2966" w:type="dxa"/>
            <w:tcBorders>
              <w:top w:val="nil"/>
              <w:left w:val="nil"/>
              <w:bottom w:val="nil"/>
              <w:right w:val="nil"/>
            </w:tcBorders>
            <w:vAlign w:val="center"/>
          </w:tcPr>
          <w:p w14:paraId="07E76665"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3D555BBF"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顺序排列设计试验结果的比较分析（</w:t>
      </w:r>
      <w:r>
        <w:rPr>
          <w:rFonts w:hint="eastAsia"/>
          <w:b/>
          <w:bCs/>
          <w:szCs w:val="21"/>
        </w:rPr>
        <w:t>0.5</w:t>
      </w:r>
      <w:r>
        <w:rPr>
          <w:rFonts w:hint="eastAsia"/>
          <w:b/>
          <w:bCs/>
          <w:szCs w:val="21"/>
        </w:rPr>
        <w:t>学时）</w:t>
      </w:r>
      <w:r>
        <w:rPr>
          <w:rFonts w:hint="eastAsia"/>
          <w:b/>
          <w:bCs/>
          <w:szCs w:val="21"/>
        </w:rPr>
        <w:t xml:space="preserve">                    </w:t>
      </w:r>
    </w:p>
    <w:p w14:paraId="0EAD8C5A" w14:textId="77777777" w:rsidR="00F5289E" w:rsidRDefault="00C91173">
      <w:pPr>
        <w:spacing w:line="360" w:lineRule="auto"/>
      </w:pPr>
      <w:r>
        <w:rPr>
          <w:rFonts w:ascii="宋体" w:hAnsi="宋体" w:hint="eastAsia"/>
          <w:b/>
          <w:bCs/>
        </w:rPr>
        <w:t>教学目标：</w:t>
      </w:r>
      <w:r>
        <w:rPr>
          <w:rFonts w:hint="eastAsia"/>
        </w:rPr>
        <w:t>掌握对顺序排列试验结果进行比较分析的方法。</w:t>
      </w:r>
    </w:p>
    <w:p w14:paraId="32EE03A1" w14:textId="77777777" w:rsidR="00F5289E" w:rsidRDefault="00C91173">
      <w:pPr>
        <w:spacing w:line="360" w:lineRule="auto"/>
      </w:pPr>
      <w:r>
        <w:rPr>
          <w:rFonts w:ascii="宋体" w:hAnsi="宋体" w:hint="eastAsia"/>
          <w:b/>
          <w:bCs/>
        </w:rPr>
        <w:t>教学重点和难点：</w:t>
      </w:r>
      <w:r>
        <w:rPr>
          <w:rFonts w:hint="eastAsia"/>
        </w:rPr>
        <w:t>教学重点是对对比法与间比法试验结果进行比较分析的方法。</w:t>
      </w:r>
    </w:p>
    <w:p w14:paraId="700E1466" w14:textId="77777777" w:rsidR="00F5289E" w:rsidRDefault="00C91173">
      <w:pPr>
        <w:spacing w:line="360" w:lineRule="auto"/>
      </w:pPr>
      <w:r>
        <w:rPr>
          <w:rFonts w:ascii="宋体" w:hAnsi="宋体" w:hint="eastAsia"/>
          <w:b/>
          <w:bCs/>
        </w:rPr>
        <w:t>主要教学内容及要求：</w:t>
      </w:r>
      <w:r>
        <w:rPr>
          <w:rFonts w:hint="eastAsia"/>
        </w:rPr>
        <w:t>掌握对顺序排列试验设计，包括对比法、间比法设计试验结果进行数据整理和比较分析的方法。</w:t>
      </w:r>
      <w:r>
        <w:rPr>
          <w:rFonts w:hint="eastAsia"/>
        </w:rPr>
        <w:t xml:space="preserve"> </w:t>
      </w:r>
    </w:p>
    <w:p w14:paraId="67316FE2" w14:textId="77777777" w:rsidR="00F5289E" w:rsidRDefault="00C91173">
      <w:pPr>
        <w:widowControl/>
        <w:snapToGrid w:val="0"/>
        <w:spacing w:line="360" w:lineRule="auto"/>
        <w:rPr>
          <w:b/>
          <w:bCs/>
          <w:szCs w:val="21"/>
        </w:rPr>
      </w:pPr>
      <w:r>
        <w:rPr>
          <w:rFonts w:ascii="宋体" w:hAnsi="宋体" w:hint="eastAsia"/>
          <w:b/>
          <w:bCs/>
        </w:rPr>
        <w:t>教学组织与实施：</w:t>
      </w:r>
      <w:r>
        <w:rPr>
          <w:rFonts w:ascii="宋体" w:hAnsi="宋体" w:hint="eastAsia"/>
        </w:rPr>
        <w:t>本节内容比较简单，主要通过实例了解对比法与间比法的设计特点，</w:t>
      </w:r>
      <w:r>
        <w:rPr>
          <w:rFonts w:hint="eastAsia"/>
        </w:rPr>
        <w:t>和对试验结果比较分析的方法。</w:t>
      </w:r>
    </w:p>
    <w:p w14:paraId="6E9E216B" w14:textId="77777777" w:rsidR="00F5289E" w:rsidRDefault="00C91173">
      <w:pPr>
        <w:spacing w:line="360" w:lineRule="auto"/>
        <w:rPr>
          <w:b/>
          <w:bCs/>
          <w:szCs w:val="21"/>
        </w:rPr>
      </w:pPr>
      <w:r>
        <w:rPr>
          <w:rFonts w:hint="eastAsia"/>
          <w:b/>
          <w:bCs/>
          <w:szCs w:val="21"/>
        </w:rPr>
        <w:t>第二节</w:t>
      </w:r>
      <w:r>
        <w:rPr>
          <w:rFonts w:hint="eastAsia"/>
          <w:b/>
          <w:bCs/>
          <w:szCs w:val="21"/>
        </w:rPr>
        <w:t xml:space="preserve"> </w:t>
      </w:r>
      <w:r>
        <w:rPr>
          <w:rFonts w:hint="eastAsia"/>
          <w:b/>
          <w:bCs/>
          <w:szCs w:val="21"/>
        </w:rPr>
        <w:t>随机排列设计试验结果的统计分析（</w:t>
      </w:r>
      <w:r>
        <w:rPr>
          <w:rFonts w:hint="eastAsia"/>
          <w:b/>
          <w:bCs/>
          <w:szCs w:val="21"/>
        </w:rPr>
        <w:t>3.5</w:t>
      </w:r>
      <w:r>
        <w:rPr>
          <w:rFonts w:hint="eastAsia"/>
          <w:b/>
          <w:bCs/>
          <w:szCs w:val="21"/>
        </w:rPr>
        <w:t>学时）</w:t>
      </w:r>
      <w:r>
        <w:rPr>
          <w:rFonts w:hint="eastAsia"/>
          <w:b/>
          <w:bCs/>
          <w:szCs w:val="21"/>
        </w:rPr>
        <w:t xml:space="preserve">             </w:t>
      </w:r>
    </w:p>
    <w:p w14:paraId="4374EA6D" w14:textId="77777777" w:rsidR="00F5289E" w:rsidRDefault="00C91173">
      <w:pPr>
        <w:spacing w:line="360" w:lineRule="auto"/>
      </w:pPr>
      <w:r>
        <w:rPr>
          <w:rFonts w:ascii="宋体" w:hAnsi="宋体" w:hint="eastAsia"/>
          <w:b/>
          <w:bCs/>
        </w:rPr>
        <w:t>教学目标：</w:t>
      </w:r>
      <w:r>
        <w:rPr>
          <w:rFonts w:hint="eastAsia"/>
        </w:rPr>
        <w:t>掌握对常见试验结果进行统计分析的方法。</w:t>
      </w:r>
    </w:p>
    <w:p w14:paraId="77522871"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教学重点是完全随机、随机区组、拉丁方等常见试验设计结果的统计分析方法。难点是对二因素随机区组和裂区试验设计结果的统计分析方法。</w:t>
      </w:r>
    </w:p>
    <w:p w14:paraId="25E676E1" w14:textId="77777777" w:rsidR="00F5289E" w:rsidRDefault="00C91173">
      <w:pPr>
        <w:spacing w:line="360" w:lineRule="auto"/>
      </w:pPr>
      <w:r>
        <w:rPr>
          <w:rFonts w:ascii="宋体" w:hAnsi="宋体" w:hint="eastAsia"/>
          <w:b/>
          <w:bCs/>
        </w:rPr>
        <w:t>主要教学内容及要求：</w:t>
      </w:r>
      <w:r>
        <w:rPr>
          <w:rFonts w:hint="eastAsia"/>
        </w:rPr>
        <w:t>熟练掌握对单因素完全随机、随机区组和拉丁方试验设计结果的统计分析方法；掌握二因素完全随机和随机区组设计试验结果的统计分析方法；了解对裂区设计试验结果的统计分析方法；了解缺区估计的方法；对比较复杂的试验结果能够参考同类例题进行分析。</w:t>
      </w:r>
      <w:r>
        <w:rPr>
          <w:rFonts w:hint="eastAsia"/>
        </w:rPr>
        <w:t xml:space="preserve"> </w:t>
      </w:r>
    </w:p>
    <w:p w14:paraId="156B6B16" w14:textId="77777777" w:rsidR="00F5289E" w:rsidRDefault="00C91173">
      <w:pPr>
        <w:spacing w:line="360" w:lineRule="auto"/>
        <w:rPr>
          <w:rFonts w:ascii="宋体" w:hAnsi="宋体"/>
        </w:rPr>
      </w:pPr>
      <w:r>
        <w:rPr>
          <w:rFonts w:ascii="宋体" w:hAnsi="宋体" w:hint="eastAsia"/>
          <w:b/>
          <w:bCs/>
        </w:rPr>
        <w:lastRenderedPageBreak/>
        <w:t>教学组织与实施：</w:t>
      </w:r>
      <w:r>
        <w:rPr>
          <w:rFonts w:ascii="宋体" w:hAnsi="宋体" w:hint="eastAsia"/>
        </w:rPr>
        <w:t>本节内容应用性强，在理论教学的基础上进行实验教学，让学生通过实例比较不同试验设计方法产生数据的特点；通过多次数据分析实践，加深对试验设计方法的理解；对计算难度大的内容，以统计软件分析实例的讲授方式为主，让学生通过多次数据分析理解和掌握对常见试验设计结果进行统计分析的方法。</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65BC7862" w14:textId="77777777" w:rsidTr="00C91173">
        <w:trPr>
          <w:trHeight w:val="270"/>
        </w:trPr>
        <w:tc>
          <w:tcPr>
            <w:tcW w:w="2965" w:type="dxa"/>
            <w:tcBorders>
              <w:top w:val="nil"/>
              <w:left w:val="nil"/>
              <w:bottom w:val="nil"/>
              <w:right w:val="nil"/>
            </w:tcBorders>
            <w:vAlign w:val="center"/>
          </w:tcPr>
          <w:p w14:paraId="54F7DA32"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37A9AA3" w14:textId="77777777" w:rsidR="00D93479" w:rsidRDefault="00D93479" w:rsidP="00C91173">
            <w:pPr>
              <w:widowControl/>
              <w:snapToGrid w:val="0"/>
              <w:spacing w:line="360" w:lineRule="auto"/>
              <w:jc w:val="center"/>
              <w:rPr>
                <w:rFonts w:hAnsi="宋体"/>
                <w:b/>
                <w:bCs/>
                <w:kern w:val="0"/>
                <w:szCs w:val="21"/>
              </w:rPr>
            </w:pPr>
            <w:r>
              <w:rPr>
                <w:rFonts w:hint="eastAsia"/>
                <w:b/>
                <w:bCs/>
              </w:rPr>
              <w:t>第六章</w:t>
            </w:r>
            <w:r>
              <w:rPr>
                <w:rFonts w:hint="eastAsia"/>
                <w:b/>
                <w:bCs/>
              </w:rPr>
              <w:t xml:space="preserve"> </w:t>
            </w:r>
            <w:r>
              <w:rPr>
                <w:rFonts w:hint="eastAsia"/>
                <w:b/>
                <w:bCs/>
              </w:rPr>
              <w:t>卡平方检验</w:t>
            </w:r>
          </w:p>
        </w:tc>
        <w:tc>
          <w:tcPr>
            <w:tcW w:w="2966" w:type="dxa"/>
            <w:tcBorders>
              <w:top w:val="nil"/>
              <w:left w:val="nil"/>
              <w:bottom w:val="nil"/>
              <w:right w:val="nil"/>
            </w:tcBorders>
            <w:vAlign w:val="center"/>
          </w:tcPr>
          <w:p w14:paraId="518B3D53"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0A6342A3"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卡平方的概念和分布（</w:t>
      </w:r>
      <w:r>
        <w:rPr>
          <w:rFonts w:hint="eastAsia"/>
          <w:b/>
          <w:bCs/>
          <w:szCs w:val="21"/>
        </w:rPr>
        <w:t>0</w:t>
      </w:r>
      <w:r>
        <w:rPr>
          <w:b/>
          <w:bCs/>
          <w:szCs w:val="21"/>
        </w:rPr>
        <w:t>.5</w:t>
      </w:r>
      <w:r>
        <w:rPr>
          <w:rFonts w:hint="eastAsia"/>
          <w:b/>
          <w:bCs/>
          <w:szCs w:val="21"/>
        </w:rPr>
        <w:t>学时）</w:t>
      </w:r>
      <w:r>
        <w:rPr>
          <w:rFonts w:hint="eastAsia"/>
          <w:b/>
          <w:bCs/>
          <w:szCs w:val="21"/>
        </w:rPr>
        <w:t xml:space="preserve">      </w:t>
      </w:r>
    </w:p>
    <w:p w14:paraId="1D00246F" w14:textId="77777777" w:rsidR="00F5289E" w:rsidRDefault="00C91173">
      <w:pPr>
        <w:spacing w:line="360" w:lineRule="auto"/>
      </w:pPr>
      <w:r>
        <w:rPr>
          <w:rFonts w:ascii="宋体" w:hAnsi="宋体" w:hint="eastAsia"/>
          <w:b/>
          <w:bCs/>
        </w:rPr>
        <w:t>教学目标：</w:t>
      </w:r>
      <w:r>
        <w:rPr>
          <w:rFonts w:ascii="宋体" w:hAnsi="宋体" w:hint="eastAsia"/>
          <w:bCs/>
        </w:rPr>
        <w:t>了解</w:t>
      </w:r>
      <w:r>
        <w:rPr>
          <w:rFonts w:hint="eastAsia"/>
        </w:rPr>
        <w:t>卡平方的概念及其分布。</w:t>
      </w:r>
    </w:p>
    <w:p w14:paraId="29827929"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教学重点和难点是卡平方概念的理解。</w:t>
      </w:r>
    </w:p>
    <w:p w14:paraId="0D6EF4A3" w14:textId="77777777" w:rsidR="00F5289E" w:rsidRDefault="00C91173">
      <w:pPr>
        <w:spacing w:line="360" w:lineRule="auto"/>
      </w:pPr>
      <w:r>
        <w:rPr>
          <w:rFonts w:ascii="宋体" w:hAnsi="宋体" w:hint="eastAsia"/>
          <w:b/>
          <w:bCs/>
        </w:rPr>
        <w:t>主要教学内容及要求：</w:t>
      </w:r>
      <w:r>
        <w:rPr>
          <w:rFonts w:hint="eastAsia"/>
        </w:rPr>
        <w:t>了解卡平方的概念，理解卡平方分布，掌握卡平方检验及其应用。</w:t>
      </w:r>
      <w:r>
        <w:rPr>
          <w:rFonts w:hint="eastAsia"/>
        </w:rPr>
        <w:t xml:space="preserve"> </w:t>
      </w:r>
    </w:p>
    <w:p w14:paraId="74ABC36A" w14:textId="77777777" w:rsidR="00F5289E" w:rsidRDefault="00C91173">
      <w:pPr>
        <w:spacing w:line="360" w:lineRule="auto"/>
        <w:rPr>
          <w:rFonts w:ascii="宋体" w:hAnsi="宋体"/>
          <w:b/>
          <w:bCs/>
        </w:rPr>
      </w:pPr>
      <w:r>
        <w:rPr>
          <w:rFonts w:ascii="宋体" w:hAnsi="宋体" w:hint="eastAsia"/>
          <w:b/>
          <w:bCs/>
        </w:rPr>
        <w:t>教学组织与实施：</w:t>
      </w:r>
      <w:r>
        <w:rPr>
          <w:rFonts w:ascii="宋体" w:hAnsi="宋体" w:hint="eastAsia"/>
        </w:rPr>
        <w:t>本节知识点相对易于理解，通过课堂讲授让学生理解卡平方的概念及其分布。</w:t>
      </w:r>
    </w:p>
    <w:p w14:paraId="7C74AE2B" w14:textId="77777777" w:rsidR="00F5289E" w:rsidRDefault="00C91173">
      <w:pPr>
        <w:spacing w:line="360" w:lineRule="auto"/>
        <w:rPr>
          <w:b/>
          <w:bCs/>
          <w:sz w:val="18"/>
          <w:szCs w:val="18"/>
        </w:rPr>
      </w:pPr>
      <w:r>
        <w:rPr>
          <w:rFonts w:hint="eastAsia"/>
          <w:b/>
          <w:bCs/>
          <w:szCs w:val="21"/>
        </w:rPr>
        <w:t>第二节</w:t>
      </w:r>
      <w:r>
        <w:rPr>
          <w:rFonts w:hint="eastAsia"/>
          <w:b/>
          <w:bCs/>
          <w:szCs w:val="21"/>
        </w:rPr>
        <w:t xml:space="preserve"> </w:t>
      </w:r>
      <w:r>
        <w:rPr>
          <w:rFonts w:hint="eastAsia"/>
          <w:b/>
          <w:bCs/>
          <w:szCs w:val="21"/>
        </w:rPr>
        <w:t>方差的同质性检验（</w:t>
      </w:r>
      <w:r>
        <w:rPr>
          <w:rFonts w:hint="eastAsia"/>
          <w:b/>
          <w:bCs/>
          <w:szCs w:val="21"/>
        </w:rPr>
        <w:t>0</w:t>
      </w:r>
      <w:r>
        <w:rPr>
          <w:b/>
          <w:bCs/>
          <w:szCs w:val="21"/>
        </w:rPr>
        <w:t>.5</w:t>
      </w:r>
      <w:r>
        <w:rPr>
          <w:rFonts w:hint="eastAsia"/>
          <w:b/>
          <w:bCs/>
          <w:szCs w:val="21"/>
        </w:rPr>
        <w:t>学时）</w:t>
      </w:r>
      <w:r>
        <w:rPr>
          <w:rFonts w:hint="eastAsia"/>
          <w:b/>
          <w:bCs/>
          <w:szCs w:val="21"/>
        </w:rPr>
        <w:t xml:space="preserve">                </w:t>
      </w:r>
    </w:p>
    <w:p w14:paraId="234AA0C8" w14:textId="77777777" w:rsidR="00F5289E" w:rsidRDefault="00C91173">
      <w:pPr>
        <w:spacing w:line="360" w:lineRule="auto"/>
      </w:pPr>
      <w:r>
        <w:rPr>
          <w:rFonts w:ascii="宋体" w:hAnsi="宋体" w:hint="eastAsia"/>
          <w:b/>
          <w:bCs/>
        </w:rPr>
        <w:t>教学目标：</w:t>
      </w:r>
      <w:r>
        <w:rPr>
          <w:rFonts w:hint="eastAsia"/>
        </w:rPr>
        <w:t>了解同质性检验的方法。</w:t>
      </w:r>
    </w:p>
    <w:p w14:paraId="0106E78F"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教学重点是同质性检验的方法。难点是对同质性检验的理解。</w:t>
      </w:r>
    </w:p>
    <w:p w14:paraId="00EE16B2" w14:textId="77777777" w:rsidR="00F5289E" w:rsidRDefault="00C91173">
      <w:pPr>
        <w:spacing w:line="360" w:lineRule="auto"/>
        <w:rPr>
          <w:rFonts w:ascii="宋体" w:hAnsi="宋体"/>
          <w:b/>
          <w:bCs/>
        </w:rPr>
      </w:pPr>
      <w:r>
        <w:rPr>
          <w:rFonts w:ascii="宋体" w:hAnsi="宋体" w:hint="eastAsia"/>
          <w:b/>
          <w:bCs/>
        </w:rPr>
        <w:t>主要教学内容及要求：</w:t>
      </w:r>
      <w:r>
        <w:rPr>
          <w:rFonts w:ascii="宋体" w:hAnsi="宋体" w:hint="eastAsia"/>
        </w:rPr>
        <w:t>了解两个方差和多个方差同质性检验的方法和步骤。</w:t>
      </w:r>
    </w:p>
    <w:p w14:paraId="48E9518E"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本节知识点相对简单，但计算公式较为复杂，通过课堂讲授和实例分析使学生明白卡平方应用于同质性检验进行推断的方法。</w:t>
      </w:r>
    </w:p>
    <w:p w14:paraId="39EA7DFA" w14:textId="77777777" w:rsidR="00F5289E" w:rsidRDefault="00C91173">
      <w:pPr>
        <w:spacing w:line="360" w:lineRule="auto"/>
        <w:jc w:val="left"/>
        <w:rPr>
          <w:b/>
          <w:bCs/>
          <w:szCs w:val="21"/>
        </w:rPr>
      </w:pPr>
      <w:r>
        <w:rPr>
          <w:rFonts w:hint="eastAsia"/>
          <w:b/>
          <w:bCs/>
          <w:szCs w:val="21"/>
        </w:rPr>
        <w:t>第三节</w:t>
      </w:r>
      <w:r>
        <w:rPr>
          <w:rFonts w:hint="eastAsia"/>
          <w:b/>
          <w:bCs/>
          <w:szCs w:val="21"/>
        </w:rPr>
        <w:t xml:space="preserve"> </w:t>
      </w:r>
      <w:r>
        <w:rPr>
          <w:rFonts w:hint="eastAsia"/>
          <w:b/>
          <w:bCs/>
          <w:szCs w:val="21"/>
        </w:rPr>
        <w:t>适合性检验（</w:t>
      </w:r>
      <w:r>
        <w:rPr>
          <w:b/>
          <w:bCs/>
          <w:szCs w:val="21"/>
        </w:rPr>
        <w:t>0.5</w:t>
      </w:r>
      <w:r>
        <w:rPr>
          <w:rFonts w:hint="eastAsia"/>
          <w:b/>
          <w:bCs/>
          <w:szCs w:val="21"/>
        </w:rPr>
        <w:t>学时）</w:t>
      </w:r>
      <w:r>
        <w:rPr>
          <w:rFonts w:hint="eastAsia"/>
          <w:b/>
          <w:bCs/>
          <w:szCs w:val="21"/>
        </w:rPr>
        <w:t xml:space="preserve">                              </w:t>
      </w:r>
    </w:p>
    <w:p w14:paraId="73EFB2B0" w14:textId="77777777" w:rsidR="00F5289E" w:rsidRDefault="00C91173">
      <w:pPr>
        <w:spacing w:line="360" w:lineRule="auto"/>
      </w:pPr>
      <w:r>
        <w:rPr>
          <w:rFonts w:ascii="宋体" w:hAnsi="宋体" w:hint="eastAsia"/>
          <w:b/>
          <w:bCs/>
        </w:rPr>
        <w:t>教学目标：</w:t>
      </w:r>
      <w:r>
        <w:rPr>
          <w:rFonts w:hint="eastAsia"/>
        </w:rPr>
        <w:t>掌握适合性检验的方法。</w:t>
      </w:r>
    </w:p>
    <w:p w14:paraId="4DA70618"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教学重点是适合性检验的方法。难点是对适合性检验的理解。</w:t>
      </w:r>
    </w:p>
    <w:p w14:paraId="1BA19FD0" w14:textId="77777777" w:rsidR="00F5289E" w:rsidRDefault="00C91173">
      <w:pPr>
        <w:spacing w:line="360" w:lineRule="auto"/>
      </w:pPr>
      <w:r>
        <w:rPr>
          <w:rFonts w:ascii="宋体" w:hAnsi="宋体" w:hint="eastAsia"/>
          <w:b/>
          <w:bCs/>
        </w:rPr>
        <w:t>主要教学内容及要求：</w:t>
      </w:r>
      <w:r>
        <w:rPr>
          <w:rFonts w:hint="eastAsia"/>
        </w:rPr>
        <w:t>理解卡平方应用于适合性检验要解决的问题，掌握两组资料和多组资料的适合性检验方法。</w:t>
      </w:r>
    </w:p>
    <w:p w14:paraId="227CA0EB"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本节知识点规律性强，在课堂讲授的基础上安排实验练习，对不同的次数资料分别进行适合性检验，使学生能够理解适合性检验和分析试验结果。</w:t>
      </w:r>
    </w:p>
    <w:p w14:paraId="22360D3F" w14:textId="77777777" w:rsidR="00F5289E" w:rsidRDefault="00C91173">
      <w:pPr>
        <w:widowControl/>
        <w:snapToGrid w:val="0"/>
        <w:spacing w:line="360" w:lineRule="auto"/>
        <w:rPr>
          <w:b/>
          <w:bCs/>
          <w:szCs w:val="21"/>
        </w:rPr>
      </w:pPr>
      <w:r>
        <w:rPr>
          <w:rFonts w:hint="eastAsia"/>
          <w:b/>
          <w:bCs/>
          <w:szCs w:val="21"/>
        </w:rPr>
        <w:t>第四节</w:t>
      </w:r>
      <w:r>
        <w:rPr>
          <w:rFonts w:hint="eastAsia"/>
          <w:b/>
          <w:bCs/>
          <w:szCs w:val="21"/>
        </w:rPr>
        <w:t xml:space="preserve"> </w:t>
      </w:r>
      <w:r>
        <w:rPr>
          <w:rFonts w:hint="eastAsia"/>
          <w:b/>
          <w:bCs/>
          <w:szCs w:val="21"/>
        </w:rPr>
        <w:t>独立性检验（</w:t>
      </w:r>
      <w:r>
        <w:rPr>
          <w:b/>
          <w:bCs/>
          <w:szCs w:val="21"/>
        </w:rPr>
        <w:t>0.5</w:t>
      </w:r>
      <w:r>
        <w:rPr>
          <w:rFonts w:hint="eastAsia"/>
          <w:b/>
          <w:bCs/>
          <w:szCs w:val="21"/>
        </w:rPr>
        <w:t>学时）</w:t>
      </w:r>
      <w:r>
        <w:rPr>
          <w:rFonts w:hint="eastAsia"/>
          <w:b/>
          <w:bCs/>
          <w:szCs w:val="21"/>
        </w:rPr>
        <w:t xml:space="preserve">                 </w:t>
      </w:r>
    </w:p>
    <w:p w14:paraId="0EA6F45E" w14:textId="77777777" w:rsidR="00F5289E" w:rsidRDefault="00C91173">
      <w:pPr>
        <w:spacing w:line="360" w:lineRule="auto"/>
      </w:pPr>
      <w:r>
        <w:rPr>
          <w:rFonts w:ascii="宋体" w:hAnsi="宋体" w:hint="eastAsia"/>
          <w:b/>
          <w:bCs/>
        </w:rPr>
        <w:t>教学目标：</w:t>
      </w:r>
      <w:r>
        <w:rPr>
          <w:rFonts w:hint="eastAsia"/>
        </w:rPr>
        <w:t>掌握独立性检验的方法。</w:t>
      </w:r>
    </w:p>
    <w:p w14:paraId="35F982C1"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教学重点是独立性检验的方法。难点是对独立性检验的理解。</w:t>
      </w:r>
    </w:p>
    <w:p w14:paraId="401A0054" w14:textId="77777777" w:rsidR="00F5289E" w:rsidRDefault="00C91173">
      <w:pPr>
        <w:spacing w:line="360" w:lineRule="auto"/>
      </w:pPr>
      <w:r>
        <w:rPr>
          <w:rFonts w:ascii="宋体" w:hAnsi="宋体" w:hint="eastAsia"/>
          <w:b/>
          <w:bCs/>
        </w:rPr>
        <w:t>主要教学内容及要求：</w:t>
      </w:r>
      <w:r>
        <w:rPr>
          <w:rFonts w:hint="eastAsia"/>
        </w:rPr>
        <w:t>理解卡平方应用于独立性检验要解决的问题，掌握两变数资料和多变数资料的独立性检验的方法。</w:t>
      </w:r>
    </w:p>
    <w:p w14:paraId="408B64AB"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本节知识点规律性强，在课堂讲授的基础上安排实验练习，对不同的次数资料分别进行独立性检验，使学生能够理解独立性检验和分析试验结果。</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D93479" w14:paraId="233C686E" w14:textId="77777777" w:rsidTr="00C91173">
        <w:trPr>
          <w:trHeight w:val="270"/>
        </w:trPr>
        <w:tc>
          <w:tcPr>
            <w:tcW w:w="2965" w:type="dxa"/>
            <w:tcBorders>
              <w:top w:val="nil"/>
              <w:left w:val="nil"/>
              <w:bottom w:val="nil"/>
              <w:right w:val="nil"/>
            </w:tcBorders>
            <w:vAlign w:val="center"/>
          </w:tcPr>
          <w:p w14:paraId="3EA1B8E8" w14:textId="77777777" w:rsidR="00D93479" w:rsidRDefault="00D93479" w:rsidP="00C91173">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D3F6C61" w14:textId="77777777" w:rsidR="00D93479" w:rsidRDefault="00D93479" w:rsidP="00C91173">
            <w:pPr>
              <w:widowControl/>
              <w:snapToGrid w:val="0"/>
              <w:spacing w:line="360" w:lineRule="auto"/>
              <w:jc w:val="center"/>
              <w:rPr>
                <w:rFonts w:hAnsi="宋体"/>
                <w:b/>
                <w:bCs/>
                <w:kern w:val="0"/>
                <w:szCs w:val="21"/>
              </w:rPr>
            </w:pPr>
            <w:r>
              <w:rPr>
                <w:rFonts w:hint="eastAsia"/>
                <w:b/>
                <w:bCs/>
              </w:rPr>
              <w:t>第七章</w:t>
            </w:r>
            <w:r>
              <w:rPr>
                <w:rFonts w:hint="eastAsia"/>
                <w:b/>
                <w:bCs/>
              </w:rPr>
              <w:t xml:space="preserve">  </w:t>
            </w:r>
            <w:r>
              <w:rPr>
                <w:rFonts w:hint="eastAsia"/>
                <w:b/>
                <w:bCs/>
              </w:rPr>
              <w:t>直线回归与相关</w:t>
            </w:r>
          </w:p>
        </w:tc>
        <w:tc>
          <w:tcPr>
            <w:tcW w:w="2966" w:type="dxa"/>
            <w:tcBorders>
              <w:top w:val="nil"/>
              <w:left w:val="nil"/>
              <w:bottom w:val="nil"/>
              <w:right w:val="nil"/>
            </w:tcBorders>
            <w:vAlign w:val="center"/>
          </w:tcPr>
          <w:p w14:paraId="652DA5BE" w14:textId="77777777" w:rsidR="00D93479" w:rsidRDefault="00D93479" w:rsidP="00D93479">
            <w:pPr>
              <w:widowControl/>
              <w:snapToGrid w:val="0"/>
              <w:spacing w:line="360" w:lineRule="auto"/>
              <w:ind w:right="420"/>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3</w:t>
            </w:r>
          </w:p>
        </w:tc>
      </w:tr>
    </w:tbl>
    <w:p w14:paraId="5F7F07D8" w14:textId="77777777" w:rsidR="00F5289E" w:rsidRDefault="00C91173">
      <w:pPr>
        <w:spacing w:line="360" w:lineRule="auto"/>
        <w:rPr>
          <w:b/>
          <w:bCs/>
          <w:szCs w:val="21"/>
        </w:rPr>
      </w:pPr>
      <w:r>
        <w:rPr>
          <w:rFonts w:hint="eastAsia"/>
          <w:b/>
          <w:bCs/>
          <w:szCs w:val="21"/>
        </w:rPr>
        <w:t>第一节</w:t>
      </w:r>
      <w:r>
        <w:rPr>
          <w:rFonts w:hint="eastAsia"/>
          <w:b/>
          <w:bCs/>
          <w:szCs w:val="21"/>
        </w:rPr>
        <w:t xml:space="preserve"> </w:t>
      </w:r>
      <w:r>
        <w:rPr>
          <w:rFonts w:hint="eastAsia"/>
          <w:b/>
          <w:bCs/>
          <w:szCs w:val="21"/>
        </w:rPr>
        <w:t>回归与相关的概念（</w:t>
      </w:r>
      <w:r>
        <w:rPr>
          <w:rFonts w:hint="eastAsia"/>
          <w:b/>
          <w:bCs/>
          <w:szCs w:val="21"/>
        </w:rPr>
        <w:t xml:space="preserve">0.5 </w:t>
      </w:r>
      <w:r>
        <w:rPr>
          <w:rFonts w:hint="eastAsia"/>
          <w:b/>
          <w:bCs/>
          <w:szCs w:val="21"/>
        </w:rPr>
        <w:t>学时）</w:t>
      </w:r>
      <w:r>
        <w:rPr>
          <w:rFonts w:hint="eastAsia"/>
          <w:b/>
          <w:bCs/>
          <w:szCs w:val="21"/>
        </w:rPr>
        <w:t xml:space="preserve">                                  </w:t>
      </w:r>
    </w:p>
    <w:p w14:paraId="275CD90A" w14:textId="77777777" w:rsidR="00F5289E" w:rsidRDefault="00C91173">
      <w:pPr>
        <w:spacing w:line="360" w:lineRule="auto"/>
      </w:pPr>
      <w:r>
        <w:rPr>
          <w:rFonts w:ascii="宋体" w:hAnsi="宋体" w:hint="eastAsia"/>
          <w:b/>
          <w:bCs/>
        </w:rPr>
        <w:t>教学目标：</w:t>
      </w:r>
      <w:r>
        <w:rPr>
          <w:rFonts w:hint="eastAsia"/>
        </w:rPr>
        <w:t>要求通过学习理解回归分析与相关分析的概念，掌握直线回归与相关分析的一般程序。</w:t>
      </w:r>
    </w:p>
    <w:p w14:paraId="2FFF19DE" w14:textId="77777777" w:rsidR="00F5289E" w:rsidRDefault="00C91173">
      <w:pPr>
        <w:spacing w:line="360" w:lineRule="auto"/>
      </w:pPr>
      <w:r>
        <w:rPr>
          <w:rFonts w:ascii="宋体" w:hAnsi="宋体" w:hint="eastAsia"/>
          <w:b/>
          <w:bCs/>
        </w:rPr>
        <w:t>教学重点和难点：</w:t>
      </w:r>
      <w:r>
        <w:rPr>
          <w:rFonts w:hint="eastAsia"/>
        </w:rPr>
        <w:t>教学重点是回归与相关的概念和任务，以及回归与相关分析的一般程序。</w:t>
      </w:r>
    </w:p>
    <w:p w14:paraId="68902D31" w14:textId="77777777" w:rsidR="00F5289E" w:rsidRDefault="00C91173">
      <w:pPr>
        <w:spacing w:line="360" w:lineRule="auto"/>
      </w:pPr>
      <w:r>
        <w:rPr>
          <w:rFonts w:ascii="宋体" w:hAnsi="宋体" w:hint="eastAsia"/>
          <w:b/>
          <w:bCs/>
        </w:rPr>
        <w:t>主要教学内容及要求：</w:t>
      </w:r>
      <w:r>
        <w:rPr>
          <w:rFonts w:ascii="宋体" w:hAnsi="宋体" w:hint="eastAsia"/>
        </w:rPr>
        <w:t>了解函数关系和统计关系；</w:t>
      </w:r>
      <w:r>
        <w:rPr>
          <w:rFonts w:ascii="宋体" w:hAnsi="宋体" w:hint="eastAsia"/>
          <w:bCs/>
        </w:rPr>
        <w:t>理解</w:t>
      </w:r>
      <w:r>
        <w:rPr>
          <w:rFonts w:hint="eastAsia"/>
        </w:rPr>
        <w:t>回归与相关的概念，领会回归分析与相关分析的任务；掌握散点图的制作方法；领会直线回归与相关分析的一般程序。</w:t>
      </w:r>
    </w:p>
    <w:p w14:paraId="7E229EF1" w14:textId="77777777" w:rsidR="00F5289E" w:rsidRDefault="00C91173">
      <w:pPr>
        <w:widowControl/>
        <w:snapToGrid w:val="0"/>
        <w:spacing w:line="360" w:lineRule="auto"/>
      </w:pPr>
      <w:r>
        <w:rPr>
          <w:rFonts w:ascii="宋体" w:hAnsi="宋体" w:hint="eastAsia"/>
          <w:b/>
          <w:bCs/>
        </w:rPr>
        <w:t>教学组织与实施：</w:t>
      </w:r>
      <w:r>
        <w:rPr>
          <w:rFonts w:ascii="宋体" w:hAnsi="宋体" w:hint="eastAsia"/>
        </w:rPr>
        <w:t>举例帮助学生理解回归与相关的概念，以及回归和相关分析的类型。通过以往研究的反面实例强化学生对严格遵循</w:t>
      </w:r>
      <w:r>
        <w:rPr>
          <w:rFonts w:hint="eastAsia"/>
        </w:rPr>
        <w:t>分析程序的认识</w:t>
      </w:r>
      <w:r>
        <w:rPr>
          <w:rFonts w:ascii="宋体" w:hAnsi="宋体" w:hint="eastAsia"/>
        </w:rPr>
        <w:t>。</w:t>
      </w:r>
    </w:p>
    <w:p w14:paraId="11388435" w14:textId="77777777" w:rsidR="00F5289E" w:rsidRDefault="00C91173">
      <w:pPr>
        <w:spacing w:line="360" w:lineRule="auto"/>
        <w:rPr>
          <w:b/>
          <w:bCs/>
          <w:szCs w:val="21"/>
        </w:rPr>
      </w:pPr>
      <w:r>
        <w:rPr>
          <w:rFonts w:hint="eastAsia"/>
          <w:b/>
          <w:bCs/>
          <w:szCs w:val="21"/>
        </w:rPr>
        <w:t>第二节</w:t>
      </w:r>
      <w:r>
        <w:rPr>
          <w:rFonts w:hint="eastAsia"/>
          <w:b/>
          <w:bCs/>
          <w:szCs w:val="21"/>
        </w:rPr>
        <w:t xml:space="preserve"> </w:t>
      </w:r>
      <w:r>
        <w:rPr>
          <w:rFonts w:hint="eastAsia"/>
          <w:b/>
          <w:bCs/>
          <w:szCs w:val="21"/>
        </w:rPr>
        <w:t>直线回归（</w:t>
      </w:r>
      <w:r>
        <w:rPr>
          <w:rFonts w:hint="eastAsia"/>
          <w:b/>
          <w:bCs/>
          <w:szCs w:val="21"/>
        </w:rPr>
        <w:t>1.5</w:t>
      </w:r>
      <w:r>
        <w:rPr>
          <w:rFonts w:hint="eastAsia"/>
          <w:b/>
          <w:bCs/>
          <w:szCs w:val="21"/>
        </w:rPr>
        <w:t>学时）</w:t>
      </w:r>
      <w:r>
        <w:rPr>
          <w:rFonts w:hint="eastAsia"/>
          <w:b/>
          <w:bCs/>
          <w:szCs w:val="21"/>
        </w:rPr>
        <w:t xml:space="preserve">                                          </w:t>
      </w:r>
    </w:p>
    <w:p w14:paraId="40349416" w14:textId="77777777" w:rsidR="00F5289E" w:rsidRDefault="00C91173">
      <w:pPr>
        <w:spacing w:line="360" w:lineRule="auto"/>
      </w:pPr>
      <w:r>
        <w:rPr>
          <w:rFonts w:ascii="宋体" w:hAnsi="宋体" w:hint="eastAsia"/>
          <w:b/>
          <w:bCs/>
        </w:rPr>
        <w:t>教学目标：</w:t>
      </w:r>
      <w:r>
        <w:rPr>
          <w:rFonts w:ascii="宋体" w:hAnsi="宋体" w:hint="eastAsia"/>
        </w:rPr>
        <w:t>通过学习</w:t>
      </w:r>
      <w:r>
        <w:rPr>
          <w:rFonts w:hint="eastAsia"/>
        </w:rPr>
        <w:t>掌握直线回归分析的步骤和方法。</w:t>
      </w:r>
    </w:p>
    <w:p w14:paraId="3C21D7A0"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教学重点是直线回归方程的计算、假设检验和回归图的制作。难点是对回归关系进行</w:t>
      </w:r>
      <w:r>
        <w:rPr>
          <w:rFonts w:hint="eastAsia"/>
        </w:rPr>
        <w:t>F</w:t>
      </w:r>
      <w:r>
        <w:rPr>
          <w:rFonts w:hint="eastAsia"/>
        </w:rPr>
        <w:t>检验和对回归系数进行</w:t>
      </w:r>
      <w:r>
        <w:rPr>
          <w:rFonts w:hint="eastAsia"/>
        </w:rPr>
        <w:t>t</w:t>
      </w:r>
      <w:r>
        <w:rPr>
          <w:rFonts w:hint="eastAsia"/>
        </w:rPr>
        <w:t>检验的方法。</w:t>
      </w:r>
    </w:p>
    <w:p w14:paraId="7959E179" w14:textId="77777777" w:rsidR="00F5289E" w:rsidRDefault="00C91173">
      <w:pPr>
        <w:spacing w:line="360" w:lineRule="auto"/>
      </w:pPr>
      <w:r>
        <w:rPr>
          <w:rFonts w:ascii="宋体" w:hAnsi="宋体" w:hint="eastAsia"/>
          <w:b/>
          <w:bCs/>
        </w:rPr>
        <w:t>主要教学内容及要求：</w:t>
      </w:r>
      <w:r>
        <w:rPr>
          <w:rFonts w:ascii="宋体" w:hAnsi="宋体" w:hint="eastAsia"/>
          <w:bCs/>
        </w:rPr>
        <w:t>理解</w:t>
      </w:r>
      <w:r>
        <w:rPr>
          <w:rFonts w:hint="eastAsia"/>
        </w:rPr>
        <w:t>回归分析的概念，掌握直线回归分析的一般程序和方法；掌握直线回归方程的计算及对回归关系检验的方法；掌握直线回归图的制作方法；能够利用回归方程或回归图进行预测计算。</w:t>
      </w:r>
      <w:r>
        <w:rPr>
          <w:rFonts w:hint="eastAsia"/>
        </w:rPr>
        <w:t xml:space="preserve">   </w:t>
      </w:r>
    </w:p>
    <w:p w14:paraId="082BE2AF" w14:textId="77777777" w:rsidR="00F5289E" w:rsidRDefault="00C91173">
      <w:pPr>
        <w:widowControl/>
        <w:snapToGrid w:val="0"/>
        <w:spacing w:line="360" w:lineRule="auto"/>
      </w:pPr>
      <w:r>
        <w:rPr>
          <w:rFonts w:ascii="宋体" w:hAnsi="宋体" w:hint="eastAsia"/>
          <w:b/>
          <w:bCs/>
        </w:rPr>
        <w:t>教学组织与实施：</w:t>
      </w:r>
      <w:r>
        <w:rPr>
          <w:rFonts w:ascii="宋体" w:hAnsi="宋体" w:hint="eastAsia"/>
        </w:rPr>
        <w:t>本节一些知识点较难理解，部分计算比较繁琐。教学中从实际应用角度出发，在理论讲解的基础上进行实验练习，力求学生掌握回归</w:t>
      </w:r>
      <w:r>
        <w:rPr>
          <w:rFonts w:hint="eastAsia"/>
        </w:rPr>
        <w:t>分析的一般程序和方法，</w:t>
      </w:r>
      <w:r>
        <w:rPr>
          <w:rFonts w:ascii="宋体" w:hAnsi="宋体" w:hint="eastAsia"/>
        </w:rPr>
        <w:t>及</w:t>
      </w:r>
      <w:r>
        <w:rPr>
          <w:rFonts w:hint="eastAsia"/>
        </w:rPr>
        <w:t>应用时需注意的问题</w:t>
      </w:r>
      <w:r>
        <w:rPr>
          <w:rFonts w:ascii="宋体" w:hAnsi="宋体" w:hint="eastAsia"/>
        </w:rPr>
        <w:t>。</w:t>
      </w:r>
    </w:p>
    <w:p w14:paraId="16A413A4" w14:textId="77777777" w:rsidR="00F5289E" w:rsidRDefault="00F5289E">
      <w:pPr>
        <w:spacing w:line="360" w:lineRule="auto"/>
        <w:rPr>
          <w:b/>
          <w:bCs/>
          <w:szCs w:val="21"/>
        </w:rPr>
      </w:pPr>
    </w:p>
    <w:p w14:paraId="2F9239AB" w14:textId="77777777" w:rsidR="00F5289E" w:rsidRDefault="00C91173">
      <w:pPr>
        <w:spacing w:line="360" w:lineRule="auto"/>
        <w:rPr>
          <w:b/>
          <w:bCs/>
          <w:szCs w:val="21"/>
        </w:rPr>
      </w:pPr>
      <w:r>
        <w:rPr>
          <w:rFonts w:hint="eastAsia"/>
          <w:b/>
          <w:bCs/>
          <w:szCs w:val="21"/>
        </w:rPr>
        <w:t>第三节</w:t>
      </w:r>
      <w:r>
        <w:rPr>
          <w:rFonts w:hint="eastAsia"/>
          <w:b/>
          <w:bCs/>
          <w:szCs w:val="21"/>
        </w:rPr>
        <w:t xml:space="preserve"> </w:t>
      </w:r>
      <w:r>
        <w:rPr>
          <w:rFonts w:hint="eastAsia"/>
          <w:b/>
          <w:bCs/>
          <w:szCs w:val="21"/>
        </w:rPr>
        <w:t>直线相关（</w:t>
      </w:r>
      <w:r>
        <w:rPr>
          <w:rFonts w:hint="eastAsia"/>
          <w:b/>
          <w:bCs/>
          <w:szCs w:val="21"/>
        </w:rPr>
        <w:t>1.0</w:t>
      </w:r>
      <w:r>
        <w:rPr>
          <w:rFonts w:hint="eastAsia"/>
          <w:b/>
          <w:bCs/>
          <w:szCs w:val="21"/>
        </w:rPr>
        <w:t>学时）</w:t>
      </w:r>
      <w:r>
        <w:rPr>
          <w:rFonts w:hint="eastAsia"/>
          <w:b/>
          <w:bCs/>
          <w:szCs w:val="21"/>
        </w:rPr>
        <w:t xml:space="preserve">                                         </w:t>
      </w:r>
    </w:p>
    <w:p w14:paraId="17BB2CB7" w14:textId="77777777" w:rsidR="00F5289E" w:rsidRDefault="00C91173">
      <w:pPr>
        <w:spacing w:line="360" w:lineRule="auto"/>
      </w:pPr>
      <w:r>
        <w:rPr>
          <w:rFonts w:ascii="宋体" w:hAnsi="宋体" w:hint="eastAsia"/>
          <w:b/>
          <w:bCs/>
        </w:rPr>
        <w:t>教学目标：</w:t>
      </w:r>
      <w:r>
        <w:rPr>
          <w:rFonts w:hint="eastAsia"/>
        </w:rPr>
        <w:t>学会相关系数的计算，掌握对相关关系进行假设检验的方法。</w:t>
      </w:r>
    </w:p>
    <w:p w14:paraId="02AF28EC" w14:textId="77777777" w:rsidR="00F5289E" w:rsidRDefault="00C91173">
      <w:pPr>
        <w:spacing w:line="360" w:lineRule="auto"/>
        <w:rPr>
          <w:rFonts w:ascii="宋体" w:hAnsi="宋体"/>
          <w:b/>
          <w:bCs/>
        </w:rPr>
      </w:pPr>
      <w:r>
        <w:rPr>
          <w:rFonts w:ascii="宋体" w:hAnsi="宋体" w:hint="eastAsia"/>
          <w:b/>
          <w:bCs/>
        </w:rPr>
        <w:t>教学重点和难点：</w:t>
      </w:r>
      <w:r>
        <w:rPr>
          <w:rFonts w:hint="eastAsia"/>
        </w:rPr>
        <w:t>教学重点是相关系数与决定系数的计算和对相关关系进行假设检验的方法。难点是对直线回归分析与相关分析之间关系的理解。</w:t>
      </w:r>
    </w:p>
    <w:p w14:paraId="14C1A14E" w14:textId="77777777" w:rsidR="00F5289E" w:rsidRDefault="00C91173">
      <w:pPr>
        <w:spacing w:line="360" w:lineRule="auto"/>
      </w:pPr>
      <w:r>
        <w:rPr>
          <w:rFonts w:ascii="宋体" w:hAnsi="宋体" w:hint="eastAsia"/>
          <w:b/>
          <w:bCs/>
        </w:rPr>
        <w:t>主要教学内容及要求：</w:t>
      </w:r>
      <w:r>
        <w:rPr>
          <w:rFonts w:hint="eastAsia"/>
        </w:rPr>
        <w:t>掌握相关系数计算和假设检验的方法；了解直线回归分析与相关分析的关系。</w:t>
      </w:r>
      <w:r>
        <w:rPr>
          <w:rFonts w:hint="eastAsia"/>
        </w:rPr>
        <w:t xml:space="preserve">   </w:t>
      </w:r>
    </w:p>
    <w:p w14:paraId="6355F053" w14:textId="77777777" w:rsidR="00F5289E" w:rsidRDefault="00C91173">
      <w:pPr>
        <w:widowControl/>
        <w:snapToGrid w:val="0"/>
        <w:spacing w:line="360" w:lineRule="auto"/>
      </w:pPr>
      <w:r>
        <w:rPr>
          <w:rFonts w:ascii="宋体" w:hAnsi="宋体" w:hint="eastAsia"/>
          <w:b/>
          <w:bCs/>
        </w:rPr>
        <w:t>教学组织与实施：</w:t>
      </w:r>
      <w:r>
        <w:rPr>
          <w:rFonts w:ascii="宋体" w:hAnsi="宋体" w:hint="eastAsia"/>
        </w:rPr>
        <w:t>主要通过实例进行理论讲解，在此基础上安排实验；通过案例教学使学生掌握</w:t>
      </w:r>
      <w:r>
        <w:rPr>
          <w:rFonts w:hint="eastAsia"/>
        </w:rPr>
        <w:t>分析应用时需注意的问题</w:t>
      </w:r>
      <w:r>
        <w:rPr>
          <w:rFonts w:ascii="宋体" w:hAnsi="宋体" w:hint="eastAsia"/>
        </w:rPr>
        <w:t>。</w:t>
      </w:r>
    </w:p>
    <w:p w14:paraId="72F17977" w14:textId="77777777" w:rsidR="00F5289E" w:rsidRDefault="00F5289E">
      <w:pPr>
        <w:spacing w:line="360" w:lineRule="auto"/>
        <w:ind w:left="2100"/>
        <w:jc w:val="left"/>
        <w:rPr>
          <w:rFonts w:hAnsi="宋体"/>
          <w:color w:val="0000FF"/>
          <w:kern w:val="0"/>
          <w:szCs w:val="21"/>
        </w:rPr>
      </w:pPr>
    </w:p>
    <w:p w14:paraId="34CDB7DA"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b/>
          <w:bCs/>
          <w:kern w:val="0"/>
          <w:szCs w:val="21"/>
        </w:rPr>
        <w:t>16</w:t>
      </w:r>
      <w:r>
        <w:rPr>
          <w:rFonts w:hAnsi="宋体"/>
          <w:b/>
          <w:bCs/>
          <w:kern w:val="0"/>
          <w:szCs w:val="21"/>
        </w:rPr>
        <w:t>学时</w:t>
      </w:r>
      <w:r>
        <w:rPr>
          <w:rFonts w:hAnsi="宋体" w:hint="eastAsia"/>
          <w:b/>
          <w:bCs/>
          <w:kern w:val="0"/>
          <w:szCs w:val="21"/>
        </w:rPr>
        <w:t>）</w:t>
      </w:r>
    </w:p>
    <w:p w14:paraId="5312F625"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1979BC04" w14:textId="77777777" w:rsidR="00F5289E" w:rsidRDefault="00C91173">
      <w:pPr>
        <w:snapToGrid w:val="0"/>
        <w:spacing w:line="360" w:lineRule="auto"/>
        <w:ind w:firstLine="420"/>
      </w:pPr>
      <w:r>
        <w:rPr>
          <w:rFonts w:hint="eastAsia"/>
        </w:rPr>
        <w:t>实验教学是《试验设计与统计分析》课程的重要组成部分，要求学生通过实验能够掌握根据园</w:t>
      </w:r>
      <w:r>
        <w:rPr>
          <w:rFonts w:hint="eastAsia"/>
        </w:rPr>
        <w:lastRenderedPageBreak/>
        <w:t>艺作物和常见试验环境进行试验设计和调查研究的方法，学会对常见试验结果进行科学的数据整理，能够使用常见的计算工具和统计软件进行统计分析，并推断出正确结论。</w:t>
      </w:r>
    </w:p>
    <w:p w14:paraId="6E2E9F5F"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0DA4E904" w14:textId="77777777" w:rsidR="00F5289E" w:rsidRDefault="00C91173">
      <w:pPr>
        <w:snapToGrid w:val="0"/>
        <w:spacing w:line="360" w:lineRule="auto"/>
        <w:rPr>
          <w:rFonts w:ascii="宋体" w:hAnsi="宋体"/>
          <w:bCs/>
          <w:szCs w:val="21"/>
        </w:rPr>
      </w:pPr>
      <w:r>
        <w:rPr>
          <w:rFonts w:hint="eastAsia"/>
          <w:b/>
        </w:rPr>
        <w:t>实验教学目的：</w:t>
      </w:r>
      <w:r>
        <w:rPr>
          <w:rFonts w:hint="eastAsia"/>
        </w:rPr>
        <w:t>通过实验教学，使学生加深对理论知识的理解，掌握常见的试验设计与统计分析方法，学会常用统计分析软件的使用与结果分析，学会如何将所学知识应用于</w:t>
      </w:r>
      <w:r>
        <w:rPr>
          <w:rFonts w:ascii="宋体" w:hAnsi="宋体" w:hint="eastAsia"/>
          <w:bCs/>
          <w:szCs w:val="21"/>
        </w:rPr>
        <w:t>科学研究工作。</w:t>
      </w:r>
    </w:p>
    <w:p w14:paraId="0A8BE857" w14:textId="77777777" w:rsidR="00F5289E" w:rsidRDefault="00C91173">
      <w:pPr>
        <w:snapToGrid w:val="0"/>
        <w:spacing w:line="360" w:lineRule="auto"/>
      </w:pPr>
      <w:r>
        <w:rPr>
          <w:rFonts w:ascii="宋体" w:hAnsi="宋体" w:hint="eastAsia"/>
          <w:b/>
          <w:bCs/>
          <w:szCs w:val="21"/>
        </w:rPr>
        <w:t>基本要求：</w:t>
      </w:r>
      <w:r>
        <w:rPr>
          <w:rFonts w:ascii="宋体" w:hAnsi="宋体" w:hint="eastAsia"/>
          <w:bCs/>
          <w:szCs w:val="21"/>
        </w:rPr>
        <w:t>通过团队分工协作或个人独立操作，</w:t>
      </w:r>
      <w:r>
        <w:rPr>
          <w:rFonts w:hint="eastAsia"/>
        </w:rPr>
        <w:t>结合实验提供的具体实例进行试验设计，对提供的试验结果进行数据整理与分析，做出正确的推断，并撰写步骤完整、条理清晰、表达规范、整洁美观的实验报告。</w:t>
      </w:r>
    </w:p>
    <w:p w14:paraId="345D19B0" w14:textId="77777777" w:rsidR="00F5289E" w:rsidRDefault="00C91173">
      <w:pPr>
        <w:snapToGrid w:val="0"/>
        <w:spacing w:line="360" w:lineRule="auto"/>
        <w:rPr>
          <w:b/>
        </w:rPr>
      </w:pPr>
      <w:r>
        <w:rPr>
          <w:rFonts w:hint="eastAsia"/>
          <w:b/>
        </w:rPr>
        <w:t>（三）实验安全操作规范</w:t>
      </w:r>
    </w:p>
    <w:p w14:paraId="72AF44BC" w14:textId="77777777" w:rsidR="00F5289E" w:rsidRDefault="00C91173">
      <w:pPr>
        <w:snapToGrid w:val="0"/>
        <w:spacing w:line="360" w:lineRule="auto"/>
        <w:ind w:firstLineChars="200" w:firstLine="420"/>
      </w:pPr>
      <w:r>
        <w:rPr>
          <w:rFonts w:hint="eastAsia"/>
        </w:rPr>
        <w:t>本课程部分实验在机房操作，要求学生遵守计算机机房安全操作规范。</w:t>
      </w:r>
    </w:p>
    <w:p w14:paraId="48ECCB4B"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111"/>
        <w:gridCol w:w="3022"/>
        <w:gridCol w:w="898"/>
        <w:gridCol w:w="1099"/>
        <w:gridCol w:w="1452"/>
        <w:gridCol w:w="1308"/>
      </w:tblGrid>
      <w:tr w:rsidR="00F5289E" w14:paraId="3454CE8A" w14:textId="77777777">
        <w:trPr>
          <w:jc w:val="center"/>
        </w:trPr>
        <w:tc>
          <w:tcPr>
            <w:tcW w:w="1070" w:type="dxa"/>
            <w:shd w:val="clear" w:color="auto" w:fill="EEECE1" w:themeFill="background2"/>
            <w:vAlign w:val="center"/>
          </w:tcPr>
          <w:p w14:paraId="3F3FE4C5"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109" w:type="dxa"/>
            <w:shd w:val="clear" w:color="auto" w:fill="EEECE1" w:themeFill="background2"/>
            <w:vAlign w:val="center"/>
          </w:tcPr>
          <w:p w14:paraId="11384252"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15" w:type="dxa"/>
            <w:shd w:val="clear" w:color="auto" w:fill="EEECE1" w:themeFill="background2"/>
            <w:vAlign w:val="center"/>
          </w:tcPr>
          <w:p w14:paraId="3654F4B8"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22" w:type="dxa"/>
            <w:shd w:val="clear" w:color="auto" w:fill="EEECE1" w:themeFill="background2"/>
            <w:vAlign w:val="center"/>
          </w:tcPr>
          <w:p w14:paraId="743D01C5"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87" w:type="dxa"/>
            <w:shd w:val="clear" w:color="auto" w:fill="EEECE1" w:themeFill="background2"/>
            <w:vAlign w:val="center"/>
          </w:tcPr>
          <w:p w14:paraId="6379D4FB"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8" w:type="dxa"/>
            <w:shd w:val="clear" w:color="auto" w:fill="EEECE1" w:themeFill="background2"/>
            <w:vAlign w:val="center"/>
          </w:tcPr>
          <w:p w14:paraId="53EC891C"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4ACE1FFB" w14:textId="77777777">
        <w:trPr>
          <w:jc w:val="center"/>
        </w:trPr>
        <w:tc>
          <w:tcPr>
            <w:tcW w:w="1070" w:type="dxa"/>
            <w:vAlign w:val="center"/>
          </w:tcPr>
          <w:p w14:paraId="53E538D6" w14:textId="0C71DA60" w:rsidR="00F5289E" w:rsidRDefault="00C91173" w:rsidP="00612D5B">
            <w:pPr>
              <w:jc w:val="center"/>
              <w:rPr>
                <w:sz w:val="18"/>
                <w:szCs w:val="18"/>
              </w:rPr>
            </w:pPr>
            <w:r>
              <w:rPr>
                <w:sz w:val="18"/>
                <w:szCs w:val="18"/>
              </w:rPr>
              <w:t>19011007</w:t>
            </w:r>
            <w:r w:rsidR="00612D5B">
              <w:rPr>
                <w:sz w:val="18"/>
                <w:szCs w:val="18"/>
              </w:rPr>
              <w:t>01</w:t>
            </w:r>
          </w:p>
        </w:tc>
        <w:tc>
          <w:tcPr>
            <w:tcW w:w="3109" w:type="dxa"/>
            <w:vAlign w:val="center"/>
          </w:tcPr>
          <w:p w14:paraId="1BC251F8" w14:textId="77777777" w:rsidR="00F5289E" w:rsidRDefault="00C91173">
            <w:pPr>
              <w:jc w:val="center"/>
              <w:rPr>
                <w:sz w:val="18"/>
                <w:szCs w:val="18"/>
              </w:rPr>
            </w:pPr>
            <w:r>
              <w:rPr>
                <w:rFonts w:hint="eastAsia"/>
                <w:sz w:val="18"/>
                <w:szCs w:val="18"/>
              </w:rPr>
              <w:t>试验计划的拟定</w:t>
            </w:r>
          </w:p>
        </w:tc>
        <w:tc>
          <w:tcPr>
            <w:tcW w:w="915" w:type="dxa"/>
            <w:vAlign w:val="center"/>
          </w:tcPr>
          <w:p w14:paraId="08CF63F9" w14:textId="77777777" w:rsidR="00F5289E" w:rsidRDefault="00C91173">
            <w:pPr>
              <w:jc w:val="center"/>
              <w:rPr>
                <w:sz w:val="18"/>
                <w:szCs w:val="18"/>
              </w:rPr>
            </w:pPr>
            <w:r>
              <w:rPr>
                <w:sz w:val="18"/>
                <w:szCs w:val="18"/>
              </w:rPr>
              <w:t>2</w:t>
            </w:r>
          </w:p>
        </w:tc>
        <w:tc>
          <w:tcPr>
            <w:tcW w:w="1122" w:type="dxa"/>
            <w:vAlign w:val="center"/>
          </w:tcPr>
          <w:p w14:paraId="173B08DF" w14:textId="77777777" w:rsidR="00F5289E" w:rsidRDefault="00C91173">
            <w:pPr>
              <w:jc w:val="center"/>
              <w:rPr>
                <w:sz w:val="18"/>
                <w:szCs w:val="18"/>
              </w:rPr>
            </w:pPr>
            <w:r>
              <w:rPr>
                <w:rFonts w:hint="eastAsia"/>
                <w:sz w:val="18"/>
                <w:szCs w:val="18"/>
              </w:rPr>
              <w:t>综合性</w:t>
            </w:r>
          </w:p>
        </w:tc>
        <w:tc>
          <w:tcPr>
            <w:tcW w:w="1487" w:type="dxa"/>
            <w:vAlign w:val="center"/>
          </w:tcPr>
          <w:p w14:paraId="4ED01C71" w14:textId="77777777" w:rsidR="00F5289E" w:rsidRDefault="00C91173">
            <w:pPr>
              <w:jc w:val="center"/>
              <w:rPr>
                <w:sz w:val="18"/>
                <w:szCs w:val="18"/>
              </w:rPr>
            </w:pPr>
            <w:r>
              <w:rPr>
                <w:rFonts w:hint="eastAsia"/>
                <w:sz w:val="18"/>
                <w:szCs w:val="18"/>
              </w:rPr>
              <w:t>选做</w:t>
            </w:r>
          </w:p>
        </w:tc>
        <w:tc>
          <w:tcPr>
            <w:tcW w:w="1338" w:type="dxa"/>
          </w:tcPr>
          <w:p w14:paraId="20DFF531" w14:textId="77777777" w:rsidR="00F5289E" w:rsidRDefault="00C91173">
            <w:pPr>
              <w:spacing w:line="480" w:lineRule="auto"/>
              <w:jc w:val="center"/>
              <w:rPr>
                <w:sz w:val="18"/>
                <w:szCs w:val="18"/>
              </w:rPr>
            </w:pPr>
            <w:r>
              <w:rPr>
                <w:sz w:val="18"/>
                <w:szCs w:val="18"/>
              </w:rPr>
              <w:t>6</w:t>
            </w:r>
            <w:r>
              <w:rPr>
                <w:rFonts w:hint="eastAsia"/>
                <w:sz w:val="18"/>
                <w:szCs w:val="18"/>
              </w:rPr>
              <w:t>-</w:t>
            </w:r>
            <w:r>
              <w:rPr>
                <w:sz w:val="18"/>
                <w:szCs w:val="18"/>
              </w:rPr>
              <w:t>8</w:t>
            </w:r>
          </w:p>
        </w:tc>
      </w:tr>
      <w:tr w:rsidR="00F5289E" w14:paraId="391B79E8" w14:textId="77777777">
        <w:trPr>
          <w:jc w:val="center"/>
        </w:trPr>
        <w:tc>
          <w:tcPr>
            <w:tcW w:w="1070" w:type="dxa"/>
            <w:vAlign w:val="center"/>
          </w:tcPr>
          <w:p w14:paraId="06FC64DE" w14:textId="12A8EDBA" w:rsidR="00F5289E" w:rsidRDefault="00612D5B">
            <w:pPr>
              <w:rPr>
                <w:sz w:val="18"/>
                <w:szCs w:val="18"/>
              </w:rPr>
            </w:pPr>
            <w:r>
              <w:rPr>
                <w:sz w:val="18"/>
                <w:szCs w:val="18"/>
              </w:rPr>
              <w:t>1901100702</w:t>
            </w:r>
          </w:p>
        </w:tc>
        <w:tc>
          <w:tcPr>
            <w:tcW w:w="3109" w:type="dxa"/>
            <w:vAlign w:val="center"/>
          </w:tcPr>
          <w:p w14:paraId="1BB65651" w14:textId="77777777" w:rsidR="00F5289E" w:rsidRDefault="00C91173">
            <w:pPr>
              <w:jc w:val="center"/>
              <w:rPr>
                <w:sz w:val="18"/>
                <w:szCs w:val="18"/>
              </w:rPr>
            </w:pPr>
            <w:r>
              <w:rPr>
                <w:rFonts w:hint="eastAsia"/>
                <w:sz w:val="18"/>
                <w:szCs w:val="18"/>
              </w:rPr>
              <w:t>数据资料的查找</w:t>
            </w:r>
          </w:p>
        </w:tc>
        <w:tc>
          <w:tcPr>
            <w:tcW w:w="915" w:type="dxa"/>
            <w:vAlign w:val="center"/>
          </w:tcPr>
          <w:p w14:paraId="3D1A27B6" w14:textId="77777777" w:rsidR="00F5289E" w:rsidRDefault="00C91173">
            <w:pPr>
              <w:jc w:val="center"/>
              <w:rPr>
                <w:sz w:val="18"/>
                <w:szCs w:val="18"/>
              </w:rPr>
            </w:pPr>
            <w:r>
              <w:rPr>
                <w:rFonts w:hint="eastAsia"/>
                <w:sz w:val="18"/>
                <w:szCs w:val="18"/>
              </w:rPr>
              <w:t>2</w:t>
            </w:r>
          </w:p>
        </w:tc>
        <w:tc>
          <w:tcPr>
            <w:tcW w:w="1122" w:type="dxa"/>
            <w:vAlign w:val="center"/>
          </w:tcPr>
          <w:p w14:paraId="2F723321" w14:textId="77777777" w:rsidR="00F5289E" w:rsidRDefault="00C91173">
            <w:pPr>
              <w:jc w:val="center"/>
              <w:rPr>
                <w:sz w:val="18"/>
                <w:szCs w:val="18"/>
              </w:rPr>
            </w:pPr>
            <w:r>
              <w:rPr>
                <w:rFonts w:hint="eastAsia"/>
                <w:sz w:val="18"/>
                <w:szCs w:val="18"/>
              </w:rPr>
              <w:t>应用性</w:t>
            </w:r>
          </w:p>
        </w:tc>
        <w:tc>
          <w:tcPr>
            <w:tcW w:w="1487" w:type="dxa"/>
            <w:vAlign w:val="center"/>
          </w:tcPr>
          <w:p w14:paraId="4B2053CD" w14:textId="77777777" w:rsidR="00F5289E" w:rsidRDefault="00C91173">
            <w:pPr>
              <w:jc w:val="center"/>
              <w:rPr>
                <w:sz w:val="18"/>
                <w:szCs w:val="18"/>
              </w:rPr>
            </w:pPr>
            <w:r>
              <w:rPr>
                <w:rFonts w:hint="eastAsia"/>
                <w:sz w:val="18"/>
                <w:szCs w:val="18"/>
              </w:rPr>
              <w:t>选做</w:t>
            </w:r>
          </w:p>
        </w:tc>
        <w:tc>
          <w:tcPr>
            <w:tcW w:w="1338" w:type="dxa"/>
          </w:tcPr>
          <w:p w14:paraId="323BBF02" w14:textId="77777777" w:rsidR="00F5289E" w:rsidRDefault="00C91173">
            <w:pPr>
              <w:spacing w:line="480" w:lineRule="auto"/>
              <w:jc w:val="center"/>
              <w:rPr>
                <w:sz w:val="18"/>
                <w:szCs w:val="18"/>
              </w:rPr>
            </w:pPr>
            <w:r>
              <w:rPr>
                <w:rFonts w:hint="eastAsia"/>
                <w:sz w:val="18"/>
                <w:szCs w:val="18"/>
              </w:rPr>
              <w:t>全班</w:t>
            </w:r>
          </w:p>
        </w:tc>
      </w:tr>
      <w:tr w:rsidR="00F5289E" w14:paraId="0B339656" w14:textId="77777777">
        <w:trPr>
          <w:jc w:val="center"/>
        </w:trPr>
        <w:tc>
          <w:tcPr>
            <w:tcW w:w="1070" w:type="dxa"/>
            <w:vAlign w:val="center"/>
          </w:tcPr>
          <w:p w14:paraId="71B62992" w14:textId="312D4388" w:rsidR="00F5289E" w:rsidRDefault="00612D5B" w:rsidP="00612D5B">
            <w:pPr>
              <w:jc w:val="center"/>
              <w:rPr>
                <w:sz w:val="18"/>
                <w:szCs w:val="18"/>
              </w:rPr>
            </w:pPr>
            <w:r>
              <w:rPr>
                <w:sz w:val="18"/>
                <w:szCs w:val="18"/>
              </w:rPr>
              <w:t>1901100703</w:t>
            </w:r>
          </w:p>
        </w:tc>
        <w:tc>
          <w:tcPr>
            <w:tcW w:w="3109" w:type="dxa"/>
            <w:vAlign w:val="center"/>
          </w:tcPr>
          <w:p w14:paraId="7465B90D" w14:textId="77777777" w:rsidR="00F5289E" w:rsidRDefault="00C91173">
            <w:pPr>
              <w:jc w:val="center"/>
              <w:rPr>
                <w:sz w:val="18"/>
                <w:szCs w:val="18"/>
              </w:rPr>
            </w:pPr>
            <w:r>
              <w:rPr>
                <w:rFonts w:hint="eastAsia"/>
                <w:sz w:val="18"/>
                <w:szCs w:val="18"/>
              </w:rPr>
              <w:t>试验设计</w:t>
            </w:r>
          </w:p>
        </w:tc>
        <w:tc>
          <w:tcPr>
            <w:tcW w:w="915" w:type="dxa"/>
            <w:vAlign w:val="center"/>
          </w:tcPr>
          <w:p w14:paraId="7D792107" w14:textId="77777777" w:rsidR="00F5289E" w:rsidRDefault="00C91173">
            <w:pPr>
              <w:jc w:val="center"/>
              <w:rPr>
                <w:sz w:val="18"/>
                <w:szCs w:val="18"/>
              </w:rPr>
            </w:pPr>
            <w:r>
              <w:rPr>
                <w:rFonts w:hint="eastAsia"/>
                <w:sz w:val="18"/>
                <w:szCs w:val="18"/>
              </w:rPr>
              <w:t>2</w:t>
            </w:r>
          </w:p>
        </w:tc>
        <w:tc>
          <w:tcPr>
            <w:tcW w:w="1122" w:type="dxa"/>
            <w:vAlign w:val="center"/>
          </w:tcPr>
          <w:p w14:paraId="2AF50CBE" w14:textId="77777777" w:rsidR="00F5289E" w:rsidRDefault="00C91173">
            <w:pPr>
              <w:jc w:val="center"/>
              <w:rPr>
                <w:sz w:val="18"/>
                <w:szCs w:val="18"/>
              </w:rPr>
            </w:pPr>
            <w:r>
              <w:rPr>
                <w:rFonts w:hint="eastAsia"/>
                <w:sz w:val="18"/>
                <w:szCs w:val="18"/>
              </w:rPr>
              <w:t>设计性</w:t>
            </w:r>
          </w:p>
        </w:tc>
        <w:tc>
          <w:tcPr>
            <w:tcW w:w="1487" w:type="dxa"/>
            <w:vAlign w:val="center"/>
          </w:tcPr>
          <w:p w14:paraId="15F6B0F7" w14:textId="77777777" w:rsidR="00F5289E" w:rsidRDefault="00C91173">
            <w:pPr>
              <w:jc w:val="center"/>
              <w:rPr>
                <w:sz w:val="18"/>
                <w:szCs w:val="18"/>
              </w:rPr>
            </w:pPr>
            <w:r>
              <w:rPr>
                <w:rFonts w:hint="eastAsia"/>
                <w:sz w:val="18"/>
                <w:szCs w:val="18"/>
              </w:rPr>
              <w:t>必做</w:t>
            </w:r>
          </w:p>
        </w:tc>
        <w:tc>
          <w:tcPr>
            <w:tcW w:w="1338" w:type="dxa"/>
          </w:tcPr>
          <w:p w14:paraId="33EFA256" w14:textId="77777777" w:rsidR="00F5289E" w:rsidRDefault="00C91173">
            <w:pPr>
              <w:spacing w:line="480" w:lineRule="auto"/>
              <w:jc w:val="center"/>
              <w:rPr>
                <w:sz w:val="18"/>
                <w:szCs w:val="18"/>
              </w:rPr>
            </w:pPr>
            <w:r>
              <w:rPr>
                <w:rFonts w:hint="eastAsia"/>
                <w:sz w:val="18"/>
                <w:szCs w:val="18"/>
              </w:rPr>
              <w:t>全班</w:t>
            </w:r>
          </w:p>
        </w:tc>
      </w:tr>
      <w:tr w:rsidR="00F5289E" w14:paraId="1EA286A8" w14:textId="77777777">
        <w:trPr>
          <w:jc w:val="center"/>
        </w:trPr>
        <w:tc>
          <w:tcPr>
            <w:tcW w:w="1070" w:type="dxa"/>
            <w:vAlign w:val="center"/>
          </w:tcPr>
          <w:p w14:paraId="0ACB8A76" w14:textId="64E07B1D" w:rsidR="00F5289E" w:rsidRDefault="00612D5B">
            <w:pPr>
              <w:jc w:val="center"/>
              <w:rPr>
                <w:sz w:val="18"/>
                <w:szCs w:val="18"/>
              </w:rPr>
            </w:pPr>
            <w:r>
              <w:rPr>
                <w:sz w:val="18"/>
                <w:szCs w:val="18"/>
              </w:rPr>
              <w:t>1901100704</w:t>
            </w:r>
          </w:p>
        </w:tc>
        <w:tc>
          <w:tcPr>
            <w:tcW w:w="3109" w:type="dxa"/>
            <w:vAlign w:val="center"/>
          </w:tcPr>
          <w:p w14:paraId="3D8B74FC" w14:textId="77777777" w:rsidR="00F5289E" w:rsidRDefault="00C91173">
            <w:pPr>
              <w:jc w:val="center"/>
              <w:rPr>
                <w:sz w:val="18"/>
                <w:szCs w:val="18"/>
              </w:rPr>
            </w:pPr>
            <w:r>
              <w:rPr>
                <w:rFonts w:hAnsi="宋体" w:hint="eastAsia"/>
                <w:sz w:val="18"/>
                <w:szCs w:val="18"/>
              </w:rPr>
              <w:t>描述统计与图表制作</w:t>
            </w:r>
          </w:p>
        </w:tc>
        <w:tc>
          <w:tcPr>
            <w:tcW w:w="915" w:type="dxa"/>
            <w:vAlign w:val="center"/>
          </w:tcPr>
          <w:p w14:paraId="2A13B027" w14:textId="77777777" w:rsidR="00F5289E" w:rsidRDefault="00C91173">
            <w:pPr>
              <w:jc w:val="center"/>
              <w:rPr>
                <w:sz w:val="18"/>
                <w:szCs w:val="18"/>
              </w:rPr>
            </w:pPr>
            <w:r>
              <w:rPr>
                <w:sz w:val="18"/>
                <w:szCs w:val="18"/>
              </w:rPr>
              <w:t>3</w:t>
            </w:r>
          </w:p>
        </w:tc>
        <w:tc>
          <w:tcPr>
            <w:tcW w:w="1122" w:type="dxa"/>
            <w:vAlign w:val="center"/>
          </w:tcPr>
          <w:p w14:paraId="5059A262" w14:textId="77777777" w:rsidR="00F5289E" w:rsidRDefault="00C91173">
            <w:pPr>
              <w:jc w:val="center"/>
              <w:rPr>
                <w:sz w:val="18"/>
                <w:szCs w:val="18"/>
              </w:rPr>
            </w:pPr>
            <w:r>
              <w:rPr>
                <w:rFonts w:hint="eastAsia"/>
                <w:sz w:val="18"/>
                <w:szCs w:val="18"/>
              </w:rPr>
              <w:t>应用性</w:t>
            </w:r>
          </w:p>
        </w:tc>
        <w:tc>
          <w:tcPr>
            <w:tcW w:w="1487" w:type="dxa"/>
            <w:vAlign w:val="center"/>
          </w:tcPr>
          <w:p w14:paraId="19B757C1" w14:textId="77777777" w:rsidR="00F5289E" w:rsidRDefault="00C91173">
            <w:pPr>
              <w:jc w:val="center"/>
              <w:rPr>
                <w:sz w:val="18"/>
                <w:szCs w:val="18"/>
              </w:rPr>
            </w:pPr>
            <w:r>
              <w:rPr>
                <w:rFonts w:hint="eastAsia"/>
                <w:sz w:val="18"/>
                <w:szCs w:val="18"/>
              </w:rPr>
              <w:t>必做</w:t>
            </w:r>
          </w:p>
        </w:tc>
        <w:tc>
          <w:tcPr>
            <w:tcW w:w="1338" w:type="dxa"/>
          </w:tcPr>
          <w:p w14:paraId="29AE4BE6" w14:textId="77777777" w:rsidR="00F5289E" w:rsidRDefault="00C91173">
            <w:pPr>
              <w:jc w:val="center"/>
              <w:rPr>
                <w:sz w:val="18"/>
                <w:szCs w:val="18"/>
              </w:rPr>
            </w:pPr>
            <w:r>
              <w:rPr>
                <w:rFonts w:hint="eastAsia"/>
                <w:sz w:val="18"/>
                <w:szCs w:val="18"/>
              </w:rPr>
              <w:t>全班</w:t>
            </w:r>
          </w:p>
        </w:tc>
      </w:tr>
      <w:tr w:rsidR="00F5289E" w14:paraId="297E16A9" w14:textId="77777777">
        <w:trPr>
          <w:jc w:val="center"/>
        </w:trPr>
        <w:tc>
          <w:tcPr>
            <w:tcW w:w="1070" w:type="dxa"/>
            <w:vAlign w:val="center"/>
          </w:tcPr>
          <w:p w14:paraId="1CABB764" w14:textId="35A185D6" w:rsidR="00F5289E" w:rsidRDefault="00612D5B">
            <w:pPr>
              <w:jc w:val="center"/>
              <w:rPr>
                <w:sz w:val="18"/>
                <w:szCs w:val="18"/>
              </w:rPr>
            </w:pPr>
            <w:r>
              <w:rPr>
                <w:sz w:val="18"/>
                <w:szCs w:val="18"/>
              </w:rPr>
              <w:t>1901100705</w:t>
            </w:r>
          </w:p>
        </w:tc>
        <w:tc>
          <w:tcPr>
            <w:tcW w:w="3109" w:type="dxa"/>
            <w:vAlign w:val="center"/>
          </w:tcPr>
          <w:p w14:paraId="02A73B38" w14:textId="77777777" w:rsidR="00F5289E" w:rsidRDefault="00C91173">
            <w:pPr>
              <w:jc w:val="center"/>
              <w:rPr>
                <w:sz w:val="18"/>
                <w:szCs w:val="18"/>
              </w:rPr>
            </w:pPr>
            <w:r>
              <w:rPr>
                <w:rFonts w:hAnsi="宋体" w:hint="eastAsia"/>
                <w:sz w:val="18"/>
                <w:szCs w:val="18"/>
              </w:rPr>
              <w:t>单个与</w:t>
            </w:r>
            <w:r>
              <w:rPr>
                <w:rFonts w:hAnsi="宋体"/>
                <w:sz w:val="18"/>
                <w:szCs w:val="18"/>
              </w:rPr>
              <w:t>两个样本平均数</w:t>
            </w:r>
            <w:r>
              <w:rPr>
                <w:rFonts w:hAnsi="宋体" w:hint="eastAsia"/>
                <w:sz w:val="18"/>
                <w:szCs w:val="18"/>
              </w:rPr>
              <w:t>的统计假设检验</w:t>
            </w:r>
          </w:p>
        </w:tc>
        <w:tc>
          <w:tcPr>
            <w:tcW w:w="915" w:type="dxa"/>
            <w:vAlign w:val="center"/>
          </w:tcPr>
          <w:p w14:paraId="6497762F" w14:textId="77777777" w:rsidR="00F5289E" w:rsidRDefault="00C91173">
            <w:pPr>
              <w:jc w:val="center"/>
              <w:rPr>
                <w:sz w:val="18"/>
                <w:szCs w:val="18"/>
              </w:rPr>
            </w:pPr>
            <w:r>
              <w:rPr>
                <w:sz w:val="18"/>
                <w:szCs w:val="18"/>
              </w:rPr>
              <w:t>3</w:t>
            </w:r>
          </w:p>
        </w:tc>
        <w:tc>
          <w:tcPr>
            <w:tcW w:w="1122" w:type="dxa"/>
            <w:vAlign w:val="center"/>
          </w:tcPr>
          <w:p w14:paraId="219DD4AD" w14:textId="77777777" w:rsidR="00F5289E" w:rsidRDefault="00C91173">
            <w:pPr>
              <w:jc w:val="center"/>
              <w:rPr>
                <w:sz w:val="18"/>
                <w:szCs w:val="18"/>
              </w:rPr>
            </w:pPr>
            <w:r>
              <w:rPr>
                <w:rFonts w:hint="eastAsia"/>
                <w:sz w:val="18"/>
                <w:szCs w:val="18"/>
              </w:rPr>
              <w:t>验证性</w:t>
            </w:r>
          </w:p>
        </w:tc>
        <w:tc>
          <w:tcPr>
            <w:tcW w:w="1487" w:type="dxa"/>
            <w:vAlign w:val="center"/>
          </w:tcPr>
          <w:p w14:paraId="3EF4B508" w14:textId="77777777" w:rsidR="00F5289E" w:rsidRDefault="00C91173">
            <w:pPr>
              <w:jc w:val="center"/>
              <w:rPr>
                <w:sz w:val="18"/>
                <w:szCs w:val="18"/>
              </w:rPr>
            </w:pPr>
            <w:r>
              <w:rPr>
                <w:rFonts w:hint="eastAsia"/>
                <w:sz w:val="18"/>
                <w:szCs w:val="18"/>
              </w:rPr>
              <w:t>必做</w:t>
            </w:r>
          </w:p>
        </w:tc>
        <w:tc>
          <w:tcPr>
            <w:tcW w:w="1338" w:type="dxa"/>
          </w:tcPr>
          <w:p w14:paraId="4CD1D8FC" w14:textId="77777777" w:rsidR="00F5289E" w:rsidRDefault="00C91173">
            <w:pPr>
              <w:spacing w:line="480" w:lineRule="auto"/>
              <w:jc w:val="center"/>
              <w:rPr>
                <w:sz w:val="18"/>
                <w:szCs w:val="18"/>
              </w:rPr>
            </w:pPr>
            <w:r>
              <w:rPr>
                <w:rFonts w:hint="eastAsia"/>
                <w:sz w:val="18"/>
                <w:szCs w:val="18"/>
              </w:rPr>
              <w:t>全班</w:t>
            </w:r>
          </w:p>
        </w:tc>
      </w:tr>
      <w:tr w:rsidR="00F5289E" w14:paraId="72F8023F" w14:textId="77777777">
        <w:trPr>
          <w:jc w:val="center"/>
        </w:trPr>
        <w:tc>
          <w:tcPr>
            <w:tcW w:w="1070" w:type="dxa"/>
            <w:vAlign w:val="center"/>
          </w:tcPr>
          <w:p w14:paraId="362776BF" w14:textId="39818703" w:rsidR="00F5289E" w:rsidRDefault="00612D5B">
            <w:pPr>
              <w:jc w:val="center"/>
              <w:rPr>
                <w:sz w:val="18"/>
                <w:szCs w:val="18"/>
              </w:rPr>
            </w:pPr>
            <w:r>
              <w:rPr>
                <w:sz w:val="18"/>
                <w:szCs w:val="18"/>
              </w:rPr>
              <w:t>1901100706</w:t>
            </w:r>
          </w:p>
        </w:tc>
        <w:tc>
          <w:tcPr>
            <w:tcW w:w="3109" w:type="dxa"/>
            <w:vAlign w:val="center"/>
          </w:tcPr>
          <w:p w14:paraId="230351FC" w14:textId="77777777" w:rsidR="00F5289E" w:rsidRDefault="00C91173">
            <w:pPr>
              <w:jc w:val="center"/>
              <w:rPr>
                <w:sz w:val="18"/>
                <w:szCs w:val="18"/>
              </w:rPr>
            </w:pPr>
            <w:r>
              <w:rPr>
                <w:rFonts w:hint="eastAsia"/>
                <w:sz w:val="18"/>
                <w:szCs w:val="18"/>
              </w:rPr>
              <w:t>常见试验设计结果资料的方差分析</w:t>
            </w:r>
          </w:p>
        </w:tc>
        <w:tc>
          <w:tcPr>
            <w:tcW w:w="915" w:type="dxa"/>
            <w:vAlign w:val="center"/>
          </w:tcPr>
          <w:p w14:paraId="516CE6CB" w14:textId="77777777" w:rsidR="00F5289E" w:rsidRDefault="00C91173">
            <w:pPr>
              <w:jc w:val="center"/>
              <w:rPr>
                <w:sz w:val="18"/>
                <w:szCs w:val="18"/>
              </w:rPr>
            </w:pPr>
            <w:r>
              <w:rPr>
                <w:sz w:val="18"/>
                <w:szCs w:val="18"/>
              </w:rPr>
              <w:t>3</w:t>
            </w:r>
          </w:p>
        </w:tc>
        <w:tc>
          <w:tcPr>
            <w:tcW w:w="1122" w:type="dxa"/>
            <w:vAlign w:val="center"/>
          </w:tcPr>
          <w:p w14:paraId="59DEE711" w14:textId="77777777" w:rsidR="00F5289E" w:rsidRDefault="00C91173">
            <w:pPr>
              <w:jc w:val="center"/>
              <w:rPr>
                <w:sz w:val="18"/>
                <w:szCs w:val="18"/>
              </w:rPr>
            </w:pPr>
            <w:r>
              <w:rPr>
                <w:rFonts w:hint="eastAsia"/>
                <w:sz w:val="18"/>
                <w:szCs w:val="18"/>
              </w:rPr>
              <w:t>应用性</w:t>
            </w:r>
          </w:p>
        </w:tc>
        <w:tc>
          <w:tcPr>
            <w:tcW w:w="1487" w:type="dxa"/>
            <w:vAlign w:val="center"/>
          </w:tcPr>
          <w:p w14:paraId="5753518A" w14:textId="77777777" w:rsidR="00F5289E" w:rsidRDefault="00C91173">
            <w:pPr>
              <w:jc w:val="center"/>
              <w:rPr>
                <w:sz w:val="18"/>
                <w:szCs w:val="18"/>
              </w:rPr>
            </w:pPr>
            <w:r>
              <w:rPr>
                <w:rFonts w:hint="eastAsia"/>
                <w:sz w:val="18"/>
                <w:szCs w:val="18"/>
              </w:rPr>
              <w:t>必做</w:t>
            </w:r>
          </w:p>
        </w:tc>
        <w:tc>
          <w:tcPr>
            <w:tcW w:w="1338" w:type="dxa"/>
          </w:tcPr>
          <w:p w14:paraId="326BF739" w14:textId="77777777" w:rsidR="00F5289E" w:rsidRDefault="00C91173">
            <w:pPr>
              <w:spacing w:line="480" w:lineRule="auto"/>
              <w:jc w:val="center"/>
              <w:rPr>
                <w:sz w:val="18"/>
                <w:szCs w:val="18"/>
              </w:rPr>
            </w:pPr>
            <w:r>
              <w:rPr>
                <w:rFonts w:hint="eastAsia"/>
                <w:sz w:val="18"/>
                <w:szCs w:val="18"/>
              </w:rPr>
              <w:t>全班</w:t>
            </w:r>
          </w:p>
        </w:tc>
      </w:tr>
      <w:tr w:rsidR="00F5289E" w14:paraId="39281AB7" w14:textId="77777777">
        <w:trPr>
          <w:jc w:val="center"/>
        </w:trPr>
        <w:tc>
          <w:tcPr>
            <w:tcW w:w="1070" w:type="dxa"/>
            <w:vAlign w:val="center"/>
          </w:tcPr>
          <w:p w14:paraId="21D7F2A0" w14:textId="66667141" w:rsidR="00F5289E" w:rsidRDefault="00612D5B">
            <w:pPr>
              <w:jc w:val="center"/>
              <w:rPr>
                <w:sz w:val="18"/>
                <w:szCs w:val="18"/>
              </w:rPr>
            </w:pPr>
            <w:r>
              <w:rPr>
                <w:sz w:val="18"/>
                <w:szCs w:val="18"/>
              </w:rPr>
              <w:t>1901100707</w:t>
            </w:r>
          </w:p>
        </w:tc>
        <w:tc>
          <w:tcPr>
            <w:tcW w:w="3109" w:type="dxa"/>
            <w:vAlign w:val="center"/>
          </w:tcPr>
          <w:p w14:paraId="748399EC" w14:textId="77777777" w:rsidR="00F5289E" w:rsidRDefault="00C91173">
            <w:pPr>
              <w:jc w:val="center"/>
              <w:rPr>
                <w:sz w:val="18"/>
                <w:szCs w:val="18"/>
              </w:rPr>
            </w:pPr>
            <w:r>
              <w:rPr>
                <w:rFonts w:hint="eastAsia"/>
                <w:sz w:val="18"/>
                <w:szCs w:val="18"/>
              </w:rPr>
              <w:t>卡平方检验</w:t>
            </w:r>
          </w:p>
        </w:tc>
        <w:tc>
          <w:tcPr>
            <w:tcW w:w="915" w:type="dxa"/>
            <w:vAlign w:val="center"/>
          </w:tcPr>
          <w:p w14:paraId="77B4DC9B" w14:textId="77777777" w:rsidR="00F5289E" w:rsidRDefault="00C91173">
            <w:pPr>
              <w:jc w:val="center"/>
              <w:rPr>
                <w:sz w:val="18"/>
                <w:szCs w:val="18"/>
              </w:rPr>
            </w:pPr>
            <w:r>
              <w:rPr>
                <w:sz w:val="18"/>
                <w:szCs w:val="18"/>
              </w:rPr>
              <w:t>1</w:t>
            </w:r>
          </w:p>
        </w:tc>
        <w:tc>
          <w:tcPr>
            <w:tcW w:w="1122" w:type="dxa"/>
            <w:vAlign w:val="center"/>
          </w:tcPr>
          <w:p w14:paraId="70801979" w14:textId="77777777" w:rsidR="00F5289E" w:rsidRDefault="00C91173">
            <w:pPr>
              <w:jc w:val="center"/>
              <w:rPr>
                <w:sz w:val="18"/>
                <w:szCs w:val="18"/>
              </w:rPr>
            </w:pPr>
            <w:r>
              <w:rPr>
                <w:rFonts w:hint="eastAsia"/>
                <w:sz w:val="18"/>
                <w:szCs w:val="18"/>
              </w:rPr>
              <w:t>验证性</w:t>
            </w:r>
          </w:p>
        </w:tc>
        <w:tc>
          <w:tcPr>
            <w:tcW w:w="1487" w:type="dxa"/>
            <w:vAlign w:val="center"/>
          </w:tcPr>
          <w:p w14:paraId="7D5E17D6" w14:textId="77777777" w:rsidR="00F5289E" w:rsidRDefault="00C91173">
            <w:pPr>
              <w:jc w:val="center"/>
              <w:rPr>
                <w:sz w:val="18"/>
                <w:szCs w:val="18"/>
              </w:rPr>
            </w:pPr>
            <w:r>
              <w:rPr>
                <w:rFonts w:hint="eastAsia"/>
                <w:sz w:val="18"/>
                <w:szCs w:val="18"/>
              </w:rPr>
              <w:t>选做</w:t>
            </w:r>
          </w:p>
        </w:tc>
        <w:tc>
          <w:tcPr>
            <w:tcW w:w="1338" w:type="dxa"/>
          </w:tcPr>
          <w:p w14:paraId="1DC567B4" w14:textId="77777777" w:rsidR="00F5289E" w:rsidRDefault="00C91173">
            <w:pPr>
              <w:spacing w:line="480" w:lineRule="auto"/>
              <w:jc w:val="center"/>
              <w:rPr>
                <w:sz w:val="18"/>
                <w:szCs w:val="18"/>
              </w:rPr>
            </w:pPr>
            <w:r>
              <w:rPr>
                <w:rFonts w:hint="eastAsia"/>
                <w:sz w:val="18"/>
                <w:szCs w:val="18"/>
              </w:rPr>
              <w:t>全班</w:t>
            </w:r>
          </w:p>
        </w:tc>
      </w:tr>
      <w:tr w:rsidR="00F5289E" w14:paraId="005D335D" w14:textId="77777777">
        <w:trPr>
          <w:jc w:val="center"/>
        </w:trPr>
        <w:tc>
          <w:tcPr>
            <w:tcW w:w="1070" w:type="dxa"/>
            <w:vAlign w:val="center"/>
          </w:tcPr>
          <w:p w14:paraId="5303E806" w14:textId="278C9A4B" w:rsidR="00F5289E" w:rsidRDefault="00612D5B">
            <w:pPr>
              <w:jc w:val="center"/>
              <w:rPr>
                <w:sz w:val="18"/>
                <w:szCs w:val="18"/>
              </w:rPr>
            </w:pPr>
            <w:r>
              <w:rPr>
                <w:sz w:val="18"/>
                <w:szCs w:val="18"/>
              </w:rPr>
              <w:t>1901100708</w:t>
            </w:r>
          </w:p>
        </w:tc>
        <w:tc>
          <w:tcPr>
            <w:tcW w:w="3109" w:type="dxa"/>
            <w:vAlign w:val="center"/>
          </w:tcPr>
          <w:p w14:paraId="57E90AA4" w14:textId="77777777" w:rsidR="00F5289E" w:rsidRDefault="00C91173">
            <w:pPr>
              <w:jc w:val="center"/>
              <w:rPr>
                <w:sz w:val="18"/>
                <w:szCs w:val="18"/>
              </w:rPr>
            </w:pPr>
            <w:r>
              <w:rPr>
                <w:rFonts w:hint="eastAsia"/>
                <w:sz w:val="18"/>
                <w:szCs w:val="18"/>
              </w:rPr>
              <w:t>相关与回归</w:t>
            </w:r>
          </w:p>
        </w:tc>
        <w:tc>
          <w:tcPr>
            <w:tcW w:w="915" w:type="dxa"/>
            <w:vAlign w:val="center"/>
          </w:tcPr>
          <w:p w14:paraId="224A14F7" w14:textId="77777777" w:rsidR="00F5289E" w:rsidRDefault="00C91173">
            <w:pPr>
              <w:jc w:val="center"/>
              <w:rPr>
                <w:sz w:val="18"/>
                <w:szCs w:val="18"/>
              </w:rPr>
            </w:pPr>
            <w:r>
              <w:rPr>
                <w:rFonts w:hint="eastAsia"/>
                <w:sz w:val="18"/>
                <w:szCs w:val="18"/>
              </w:rPr>
              <w:t>2</w:t>
            </w:r>
          </w:p>
        </w:tc>
        <w:tc>
          <w:tcPr>
            <w:tcW w:w="1122" w:type="dxa"/>
            <w:vAlign w:val="center"/>
          </w:tcPr>
          <w:p w14:paraId="0F1303FA" w14:textId="77777777" w:rsidR="00F5289E" w:rsidRDefault="00C91173">
            <w:pPr>
              <w:jc w:val="center"/>
              <w:rPr>
                <w:sz w:val="18"/>
                <w:szCs w:val="18"/>
              </w:rPr>
            </w:pPr>
            <w:r>
              <w:rPr>
                <w:rFonts w:hint="eastAsia"/>
                <w:sz w:val="18"/>
                <w:szCs w:val="18"/>
              </w:rPr>
              <w:t>验证性</w:t>
            </w:r>
          </w:p>
        </w:tc>
        <w:tc>
          <w:tcPr>
            <w:tcW w:w="1487" w:type="dxa"/>
            <w:vAlign w:val="center"/>
          </w:tcPr>
          <w:p w14:paraId="678C42CB" w14:textId="77777777" w:rsidR="00F5289E" w:rsidRDefault="00C91173">
            <w:pPr>
              <w:jc w:val="center"/>
              <w:rPr>
                <w:sz w:val="18"/>
                <w:szCs w:val="18"/>
              </w:rPr>
            </w:pPr>
            <w:r>
              <w:rPr>
                <w:rFonts w:hint="eastAsia"/>
                <w:sz w:val="18"/>
                <w:szCs w:val="18"/>
              </w:rPr>
              <w:t>必做</w:t>
            </w:r>
          </w:p>
        </w:tc>
        <w:tc>
          <w:tcPr>
            <w:tcW w:w="1338" w:type="dxa"/>
          </w:tcPr>
          <w:p w14:paraId="0AEB4FB3" w14:textId="77777777" w:rsidR="00F5289E" w:rsidRDefault="00C91173">
            <w:pPr>
              <w:spacing w:line="480" w:lineRule="auto"/>
              <w:jc w:val="center"/>
              <w:rPr>
                <w:sz w:val="18"/>
                <w:szCs w:val="18"/>
              </w:rPr>
            </w:pPr>
            <w:r>
              <w:rPr>
                <w:rFonts w:hint="eastAsia"/>
                <w:sz w:val="18"/>
                <w:szCs w:val="18"/>
              </w:rPr>
              <w:t>全班</w:t>
            </w:r>
          </w:p>
        </w:tc>
      </w:tr>
      <w:tr w:rsidR="00F5289E" w14:paraId="367262EA" w14:textId="77777777">
        <w:trPr>
          <w:jc w:val="center"/>
        </w:trPr>
        <w:tc>
          <w:tcPr>
            <w:tcW w:w="1070" w:type="dxa"/>
            <w:vAlign w:val="center"/>
          </w:tcPr>
          <w:p w14:paraId="0C2C0521" w14:textId="4294703E" w:rsidR="00F5289E" w:rsidRDefault="00612D5B">
            <w:pPr>
              <w:jc w:val="center"/>
              <w:rPr>
                <w:sz w:val="18"/>
                <w:szCs w:val="18"/>
              </w:rPr>
            </w:pPr>
            <w:r>
              <w:rPr>
                <w:sz w:val="18"/>
                <w:szCs w:val="18"/>
              </w:rPr>
              <w:t>1901100709</w:t>
            </w:r>
          </w:p>
        </w:tc>
        <w:tc>
          <w:tcPr>
            <w:tcW w:w="3109" w:type="dxa"/>
            <w:vAlign w:val="center"/>
          </w:tcPr>
          <w:p w14:paraId="0FCD80DD" w14:textId="77777777" w:rsidR="00F5289E" w:rsidRDefault="00C91173">
            <w:pPr>
              <w:jc w:val="center"/>
              <w:rPr>
                <w:sz w:val="18"/>
                <w:szCs w:val="18"/>
              </w:rPr>
            </w:pPr>
            <w:r>
              <w:rPr>
                <w:rFonts w:hint="eastAsia"/>
                <w:sz w:val="18"/>
                <w:szCs w:val="18"/>
              </w:rPr>
              <w:t>其他统计分析软件的应用</w:t>
            </w:r>
          </w:p>
        </w:tc>
        <w:tc>
          <w:tcPr>
            <w:tcW w:w="915" w:type="dxa"/>
            <w:vAlign w:val="center"/>
          </w:tcPr>
          <w:p w14:paraId="59D55AF5" w14:textId="77777777" w:rsidR="00F5289E" w:rsidRDefault="00C91173">
            <w:pPr>
              <w:jc w:val="center"/>
              <w:rPr>
                <w:sz w:val="18"/>
                <w:szCs w:val="18"/>
              </w:rPr>
            </w:pPr>
            <w:r>
              <w:rPr>
                <w:rFonts w:hint="eastAsia"/>
                <w:sz w:val="18"/>
                <w:szCs w:val="18"/>
              </w:rPr>
              <w:t>2</w:t>
            </w:r>
          </w:p>
        </w:tc>
        <w:tc>
          <w:tcPr>
            <w:tcW w:w="1122" w:type="dxa"/>
            <w:vAlign w:val="center"/>
          </w:tcPr>
          <w:p w14:paraId="690F4FA2" w14:textId="77777777" w:rsidR="00F5289E" w:rsidRDefault="00C91173">
            <w:pPr>
              <w:jc w:val="center"/>
              <w:rPr>
                <w:sz w:val="18"/>
                <w:szCs w:val="18"/>
              </w:rPr>
            </w:pPr>
            <w:r>
              <w:rPr>
                <w:rFonts w:hint="eastAsia"/>
                <w:sz w:val="18"/>
                <w:szCs w:val="18"/>
              </w:rPr>
              <w:t>应用性</w:t>
            </w:r>
          </w:p>
        </w:tc>
        <w:tc>
          <w:tcPr>
            <w:tcW w:w="1487" w:type="dxa"/>
            <w:vAlign w:val="center"/>
          </w:tcPr>
          <w:p w14:paraId="0B6EFC15" w14:textId="77777777" w:rsidR="00F5289E" w:rsidRDefault="00C91173">
            <w:pPr>
              <w:jc w:val="center"/>
              <w:rPr>
                <w:sz w:val="18"/>
                <w:szCs w:val="18"/>
              </w:rPr>
            </w:pPr>
            <w:r>
              <w:rPr>
                <w:rFonts w:hint="eastAsia"/>
                <w:sz w:val="18"/>
                <w:szCs w:val="18"/>
              </w:rPr>
              <w:t>选做</w:t>
            </w:r>
          </w:p>
        </w:tc>
        <w:tc>
          <w:tcPr>
            <w:tcW w:w="1338" w:type="dxa"/>
          </w:tcPr>
          <w:p w14:paraId="3BC95944" w14:textId="77777777" w:rsidR="00F5289E" w:rsidRDefault="00C91173">
            <w:pPr>
              <w:spacing w:line="480" w:lineRule="auto"/>
              <w:jc w:val="center"/>
              <w:rPr>
                <w:sz w:val="18"/>
                <w:szCs w:val="18"/>
              </w:rPr>
            </w:pPr>
            <w:r>
              <w:rPr>
                <w:rFonts w:hint="eastAsia"/>
                <w:sz w:val="18"/>
                <w:szCs w:val="18"/>
              </w:rPr>
              <w:t>全班</w:t>
            </w:r>
            <w:r>
              <w:rPr>
                <w:rFonts w:hint="eastAsia"/>
                <w:sz w:val="18"/>
                <w:szCs w:val="18"/>
              </w:rPr>
              <w:t xml:space="preserve"> </w:t>
            </w:r>
          </w:p>
        </w:tc>
      </w:tr>
    </w:tbl>
    <w:p w14:paraId="5D498359" w14:textId="77777777" w:rsidR="00F5289E" w:rsidRDefault="00F5289E">
      <w:pPr>
        <w:snapToGrid w:val="0"/>
        <w:spacing w:line="360" w:lineRule="auto"/>
        <w:rPr>
          <w:rFonts w:ascii="宋体" w:hAnsi="宋体"/>
          <w:bCs/>
          <w:color w:val="0000FF"/>
          <w:szCs w:val="21"/>
        </w:rPr>
      </w:pPr>
    </w:p>
    <w:p w14:paraId="6840CD17"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1908CA71" w14:textId="77777777" w:rsidR="00F5289E" w:rsidRDefault="00C91173">
      <w:pPr>
        <w:snapToGrid w:val="0"/>
        <w:spacing w:line="360" w:lineRule="auto"/>
        <w:ind w:firstLineChars="200" w:firstLine="420"/>
        <w:rPr>
          <w:rFonts w:ascii="宋体" w:hAnsi="宋体"/>
          <w:bCs/>
          <w:szCs w:val="21"/>
        </w:rPr>
      </w:pPr>
      <w:r>
        <w:rPr>
          <w:rFonts w:hint="eastAsia"/>
          <w:szCs w:val="21"/>
        </w:rPr>
        <w:t>本课程实验</w:t>
      </w:r>
      <w:r>
        <w:rPr>
          <w:szCs w:val="21"/>
        </w:rPr>
        <w:t>在多媒体教室或计算机机房</w:t>
      </w:r>
      <w:r>
        <w:rPr>
          <w:rFonts w:hint="eastAsia"/>
          <w:szCs w:val="21"/>
        </w:rPr>
        <w:t>实施并完成</w:t>
      </w:r>
      <w:r>
        <w:rPr>
          <w:szCs w:val="21"/>
        </w:rPr>
        <w:t>，</w:t>
      </w:r>
      <w:r>
        <w:rPr>
          <w:rFonts w:hint="eastAsia"/>
          <w:szCs w:val="21"/>
        </w:rPr>
        <w:t>利用统计</w:t>
      </w:r>
      <w:r>
        <w:rPr>
          <w:szCs w:val="21"/>
        </w:rPr>
        <w:t>计算器</w:t>
      </w:r>
      <w:r>
        <w:rPr>
          <w:rFonts w:hint="eastAsia"/>
          <w:szCs w:val="21"/>
        </w:rPr>
        <w:t>、</w:t>
      </w:r>
      <w:r>
        <w:rPr>
          <w:szCs w:val="21"/>
        </w:rPr>
        <w:t>计算</w:t>
      </w:r>
      <w:r>
        <w:rPr>
          <w:rFonts w:hint="eastAsia"/>
          <w:szCs w:val="21"/>
        </w:rPr>
        <w:t xml:space="preserve"> </w:t>
      </w:r>
      <w:r>
        <w:rPr>
          <w:szCs w:val="21"/>
        </w:rPr>
        <w:t>机</w:t>
      </w:r>
      <w:r>
        <w:rPr>
          <w:rFonts w:hint="eastAsia"/>
          <w:szCs w:val="21"/>
        </w:rPr>
        <w:t>等设备，应用统计相关等软件，</w:t>
      </w:r>
      <w:r>
        <w:rPr>
          <w:rFonts w:ascii="宋体" w:hAnsi="宋体" w:hint="eastAsia"/>
          <w:bCs/>
          <w:szCs w:val="21"/>
        </w:rPr>
        <w:t>独立或协作完成相关试验项目；</w:t>
      </w:r>
      <w:r>
        <w:rPr>
          <w:rFonts w:hint="eastAsia"/>
        </w:rPr>
        <w:t>科学合理进行数据整理与分析，获得正确的结果，并撰写步骤完整、条理清晰、表达规范、整洁美观的实验报告。</w:t>
      </w:r>
      <w:r>
        <w:rPr>
          <w:rFonts w:ascii="宋体" w:hAnsi="宋体" w:hint="eastAsia"/>
          <w:bCs/>
          <w:szCs w:val="21"/>
        </w:rPr>
        <w:t>线上实践、翻转课堂、课堂讨论、报告答辩等需要老师引导、点评。</w:t>
      </w:r>
    </w:p>
    <w:p w14:paraId="014B17CA"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38DC3F7B" w14:textId="77777777" w:rsidR="00F5289E" w:rsidRDefault="00C91173">
      <w:pPr>
        <w:pStyle w:val="af1"/>
        <w:snapToGrid w:val="0"/>
        <w:spacing w:before="0" w:beforeAutospacing="0" w:after="0" w:afterAutospacing="0" w:line="360" w:lineRule="auto"/>
        <w:rPr>
          <w:rFonts w:ascii="宋体" w:eastAsia="宋体" w:hAnsi="宋体" w:cs="宋体"/>
          <w:b/>
          <w:sz w:val="21"/>
          <w:szCs w:val="21"/>
        </w:rPr>
      </w:pPr>
      <w:r>
        <w:rPr>
          <w:rFonts w:ascii="宋体" w:eastAsia="宋体" w:hAnsi="宋体" w:cs="宋体" w:hint="eastAsia"/>
          <w:b/>
          <w:sz w:val="21"/>
          <w:szCs w:val="21"/>
        </w:rPr>
        <w:t>【实验</w:t>
      </w:r>
      <w:r>
        <w:rPr>
          <w:rFonts w:asciiTheme="minorEastAsia" w:eastAsiaTheme="minorEastAsia" w:hAnsiTheme="minorEastAsia" w:hint="eastAsia"/>
          <w:b/>
          <w:sz w:val="21"/>
          <w:szCs w:val="21"/>
        </w:rPr>
        <w:t>一</w:t>
      </w:r>
      <w:r>
        <w:rPr>
          <w:rFonts w:ascii="宋体" w:eastAsia="宋体" w:hAnsi="宋体" w:cs="宋体" w:hint="eastAsia"/>
          <w:b/>
          <w:sz w:val="21"/>
          <w:szCs w:val="21"/>
        </w:rPr>
        <w:t>】试验计划的拟定</w:t>
      </w:r>
    </w:p>
    <w:p w14:paraId="747C13C5" w14:textId="77777777" w:rsidR="00F5289E" w:rsidRDefault="00C91173">
      <w:pPr>
        <w:snapToGrid w:val="0"/>
        <w:spacing w:line="360" w:lineRule="auto"/>
        <w:ind w:firstLineChars="200" w:firstLine="422"/>
        <w:rPr>
          <w:bCs/>
        </w:rPr>
      </w:pPr>
      <w:r>
        <w:rPr>
          <w:b/>
          <w:szCs w:val="21"/>
        </w:rPr>
        <w:t>1.</w:t>
      </w:r>
      <w:r>
        <w:rPr>
          <w:b/>
          <w:szCs w:val="21"/>
        </w:rPr>
        <w:t>实验学时：</w:t>
      </w:r>
      <w:r>
        <w:rPr>
          <w:bCs/>
        </w:rPr>
        <w:t>2</w:t>
      </w:r>
    </w:p>
    <w:p w14:paraId="570F59D0" w14:textId="77777777" w:rsidR="00F5289E" w:rsidRDefault="00C91173">
      <w:pPr>
        <w:snapToGrid w:val="0"/>
        <w:spacing w:line="360" w:lineRule="auto"/>
        <w:ind w:firstLineChars="200" w:firstLine="422"/>
      </w:pPr>
      <w:r>
        <w:rPr>
          <w:b/>
          <w:szCs w:val="21"/>
        </w:rPr>
        <w:lastRenderedPageBreak/>
        <w:t>2.</w:t>
      </w:r>
      <w:r>
        <w:rPr>
          <w:b/>
          <w:szCs w:val="21"/>
        </w:rPr>
        <w:t>实验目的：</w:t>
      </w:r>
      <w:r>
        <w:t>掌握试验计划书的选题、资料收集及</w:t>
      </w:r>
      <w:r>
        <w:rPr>
          <w:rFonts w:hint="eastAsia"/>
        </w:rPr>
        <w:t>撰</w:t>
      </w:r>
      <w:r>
        <w:t>写。</w:t>
      </w:r>
    </w:p>
    <w:p w14:paraId="02F5541D" w14:textId="77777777" w:rsidR="00F5289E" w:rsidRDefault="00C91173">
      <w:pPr>
        <w:snapToGrid w:val="0"/>
        <w:spacing w:line="360" w:lineRule="auto"/>
        <w:ind w:firstLineChars="200" w:firstLine="422"/>
      </w:pPr>
      <w:r>
        <w:rPr>
          <w:b/>
          <w:szCs w:val="21"/>
        </w:rPr>
        <w:t>3.</w:t>
      </w:r>
      <w:r>
        <w:rPr>
          <w:b/>
          <w:szCs w:val="21"/>
        </w:rPr>
        <w:t>实验内容：</w:t>
      </w:r>
      <w:r>
        <w:rPr>
          <w:rFonts w:hint="eastAsia"/>
          <w:bCs/>
          <w:szCs w:val="21"/>
        </w:rPr>
        <w:t>完成选题、资料收集和试验计划书撰写，通过小组讨论评比和翻转课堂</w:t>
      </w:r>
      <w:r>
        <w:rPr>
          <w:bCs/>
          <w:szCs w:val="21"/>
        </w:rPr>
        <w:t>对</w:t>
      </w:r>
      <w:r>
        <w:rPr>
          <w:szCs w:val="21"/>
        </w:rPr>
        <w:t>其拟定的试验计划进行演示</w:t>
      </w:r>
      <w:r>
        <w:rPr>
          <w:rFonts w:hint="eastAsia"/>
          <w:szCs w:val="21"/>
        </w:rPr>
        <w:t>和答辩，</w:t>
      </w:r>
      <w:r>
        <w:rPr>
          <w:szCs w:val="21"/>
        </w:rPr>
        <w:t>指导教师进行点评</w:t>
      </w:r>
      <w:r>
        <w:t>。</w:t>
      </w:r>
    </w:p>
    <w:p w14:paraId="18A87DF5"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Ansi="宋体"/>
          <w:szCs w:val="21"/>
        </w:rPr>
        <w:t>计划书</w:t>
      </w:r>
      <w:r>
        <w:rPr>
          <w:rFonts w:hAnsi="宋体" w:hint="eastAsia"/>
          <w:szCs w:val="21"/>
        </w:rPr>
        <w:t>选题有实际意义，方案合理，设计正确，</w:t>
      </w:r>
      <w:r>
        <w:rPr>
          <w:rFonts w:hAnsi="宋体"/>
          <w:szCs w:val="21"/>
        </w:rPr>
        <w:t>格式规范，</w:t>
      </w:r>
      <w:r>
        <w:rPr>
          <w:rFonts w:hAnsi="宋体"/>
          <w:szCs w:val="21"/>
        </w:rPr>
        <w:t>PPT</w:t>
      </w:r>
      <w:r>
        <w:rPr>
          <w:rFonts w:hAnsi="宋体"/>
          <w:szCs w:val="21"/>
        </w:rPr>
        <w:t>制作简洁</w:t>
      </w:r>
      <w:r>
        <w:rPr>
          <w:rFonts w:hAnsi="宋体" w:hint="eastAsia"/>
          <w:szCs w:val="21"/>
        </w:rPr>
        <w:t>美观</w:t>
      </w:r>
      <w:r>
        <w:rPr>
          <w:rFonts w:hAnsi="宋体"/>
          <w:szCs w:val="21"/>
        </w:rPr>
        <w:t>，</w:t>
      </w:r>
      <w:r>
        <w:rPr>
          <w:rFonts w:hAnsi="宋体" w:hint="eastAsia"/>
          <w:szCs w:val="21"/>
        </w:rPr>
        <w:t>表达准确，</w:t>
      </w:r>
      <w:r>
        <w:rPr>
          <w:rFonts w:hAnsi="宋体"/>
          <w:szCs w:val="21"/>
        </w:rPr>
        <w:t>讲解清晰</w:t>
      </w:r>
      <w:r>
        <w:rPr>
          <w:rFonts w:hAnsi="宋体" w:hint="eastAsia"/>
          <w:szCs w:val="21"/>
        </w:rPr>
        <w:t>，组员协作完成答辩</w:t>
      </w:r>
      <w:r>
        <w:rPr>
          <w:rFonts w:hAnsi="宋体"/>
          <w:szCs w:val="21"/>
        </w:rPr>
        <w:t>。</w:t>
      </w:r>
    </w:p>
    <w:p w14:paraId="12F4D3EF"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多媒体</w:t>
      </w:r>
      <w:r>
        <w:rPr>
          <w:rFonts w:hint="eastAsia"/>
          <w:bCs/>
          <w:szCs w:val="21"/>
        </w:rPr>
        <w:t>、计算机等</w:t>
      </w:r>
      <w:r>
        <w:rPr>
          <w:bCs/>
          <w:szCs w:val="21"/>
        </w:rPr>
        <w:t>。</w:t>
      </w:r>
    </w:p>
    <w:p w14:paraId="55733D95"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二</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数据资料的查找</w:t>
      </w:r>
    </w:p>
    <w:p w14:paraId="410E5B17" w14:textId="77777777" w:rsidR="00F5289E" w:rsidRDefault="00C91173">
      <w:pPr>
        <w:snapToGrid w:val="0"/>
        <w:spacing w:line="360" w:lineRule="auto"/>
        <w:ind w:firstLineChars="200" w:firstLine="422"/>
        <w:rPr>
          <w:bCs/>
        </w:rPr>
      </w:pPr>
      <w:r>
        <w:rPr>
          <w:b/>
          <w:szCs w:val="21"/>
        </w:rPr>
        <w:t>1.</w:t>
      </w:r>
      <w:r>
        <w:rPr>
          <w:b/>
          <w:szCs w:val="21"/>
        </w:rPr>
        <w:t>实验学时：</w:t>
      </w:r>
      <w:r>
        <w:rPr>
          <w:bCs/>
        </w:rPr>
        <w:t>2</w:t>
      </w:r>
    </w:p>
    <w:p w14:paraId="5EC952A7" w14:textId="77777777" w:rsidR="00F5289E" w:rsidRDefault="00C91173">
      <w:pPr>
        <w:snapToGrid w:val="0"/>
        <w:spacing w:line="360" w:lineRule="auto"/>
        <w:ind w:firstLineChars="200" w:firstLine="422"/>
      </w:pPr>
      <w:r>
        <w:rPr>
          <w:b/>
          <w:szCs w:val="21"/>
        </w:rPr>
        <w:t>2.</w:t>
      </w:r>
      <w:r>
        <w:rPr>
          <w:b/>
          <w:szCs w:val="21"/>
        </w:rPr>
        <w:t>实验目的：</w:t>
      </w:r>
      <w:r>
        <w:rPr>
          <w:rFonts w:hint="eastAsia"/>
        </w:rPr>
        <w:t>熟悉常用数据库，</w:t>
      </w:r>
      <w:r>
        <w:t>掌握</w:t>
      </w:r>
      <w:r>
        <w:rPr>
          <w:rFonts w:hint="eastAsia"/>
        </w:rPr>
        <w:t>文献资料的检索方法</w:t>
      </w:r>
      <w:r>
        <w:t>。</w:t>
      </w:r>
    </w:p>
    <w:p w14:paraId="6C74AD94" w14:textId="77777777" w:rsidR="00F5289E" w:rsidRDefault="00C91173">
      <w:pPr>
        <w:snapToGrid w:val="0"/>
        <w:spacing w:line="360" w:lineRule="auto"/>
        <w:ind w:firstLineChars="200" w:firstLine="422"/>
      </w:pPr>
      <w:r>
        <w:rPr>
          <w:b/>
          <w:szCs w:val="21"/>
        </w:rPr>
        <w:t>3.</w:t>
      </w:r>
      <w:r>
        <w:rPr>
          <w:b/>
          <w:szCs w:val="21"/>
        </w:rPr>
        <w:t>实验内容：</w:t>
      </w:r>
      <w:r>
        <w:rPr>
          <w:rFonts w:hint="eastAsia"/>
          <w:szCs w:val="21"/>
        </w:rPr>
        <w:t>通过线上自学的方式了解常用数据库及文献资料的检索方法，完成文献资料的查找。</w:t>
      </w:r>
    </w:p>
    <w:p w14:paraId="5333E998"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Ansi="宋体" w:hint="eastAsia"/>
          <w:szCs w:val="21"/>
        </w:rPr>
        <w:t>通过不同数据库进行文献资料的检索，分析及筛选</w:t>
      </w:r>
      <w:r>
        <w:rPr>
          <w:rFonts w:hAnsi="宋体"/>
          <w:szCs w:val="21"/>
        </w:rPr>
        <w:t>。</w:t>
      </w:r>
    </w:p>
    <w:p w14:paraId="09955C8A"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多媒体</w:t>
      </w:r>
      <w:r>
        <w:rPr>
          <w:rFonts w:hint="eastAsia"/>
          <w:bCs/>
          <w:szCs w:val="21"/>
        </w:rPr>
        <w:t>、计算机等</w:t>
      </w:r>
      <w:r>
        <w:rPr>
          <w:bCs/>
          <w:szCs w:val="21"/>
        </w:rPr>
        <w:t>。</w:t>
      </w:r>
    </w:p>
    <w:p w14:paraId="420BD853"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三</w:t>
      </w:r>
      <w:r>
        <w:rPr>
          <w:rFonts w:ascii="Times New Roman" w:eastAsia="宋体" w:hAnsi="Times New Roman" w:cs="Times New Roman"/>
          <w:b/>
          <w:sz w:val="21"/>
          <w:szCs w:val="21"/>
        </w:rPr>
        <w:t>】试验设计</w:t>
      </w:r>
    </w:p>
    <w:p w14:paraId="5B76B8D9" w14:textId="77777777" w:rsidR="00F5289E" w:rsidRDefault="00C91173">
      <w:pPr>
        <w:snapToGrid w:val="0"/>
        <w:spacing w:line="360" w:lineRule="auto"/>
        <w:ind w:firstLineChars="200" w:firstLine="422"/>
        <w:rPr>
          <w:bCs/>
        </w:rPr>
      </w:pPr>
      <w:r>
        <w:rPr>
          <w:b/>
          <w:szCs w:val="21"/>
        </w:rPr>
        <w:t>1.</w:t>
      </w:r>
      <w:r>
        <w:rPr>
          <w:b/>
          <w:szCs w:val="21"/>
        </w:rPr>
        <w:t>实验学时：</w:t>
      </w:r>
      <w:r>
        <w:rPr>
          <w:bCs/>
        </w:rPr>
        <w:t>2</w:t>
      </w:r>
    </w:p>
    <w:p w14:paraId="749E4EB8" w14:textId="77777777" w:rsidR="00F5289E" w:rsidRDefault="00C91173">
      <w:pPr>
        <w:snapToGrid w:val="0"/>
        <w:spacing w:line="360" w:lineRule="auto"/>
        <w:ind w:firstLineChars="200" w:firstLine="422"/>
      </w:pPr>
      <w:r>
        <w:rPr>
          <w:b/>
          <w:szCs w:val="21"/>
        </w:rPr>
        <w:t>2.</w:t>
      </w:r>
      <w:r>
        <w:rPr>
          <w:b/>
          <w:szCs w:val="21"/>
        </w:rPr>
        <w:t>实验目的：</w:t>
      </w:r>
      <w:r>
        <w:t>学习和掌握常用试验设计方法在园艺作物</w:t>
      </w:r>
      <w:r>
        <w:rPr>
          <w:rFonts w:hint="eastAsia"/>
        </w:rPr>
        <w:t>研究</w:t>
      </w:r>
      <w:r>
        <w:t>中的应用。</w:t>
      </w:r>
    </w:p>
    <w:p w14:paraId="783EECA4"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szCs w:val="21"/>
        </w:rPr>
        <w:t>利用</w:t>
      </w:r>
      <w:r>
        <w:rPr>
          <w:rFonts w:hAnsi="宋体"/>
          <w:bCs/>
          <w:szCs w:val="21"/>
        </w:rPr>
        <w:t>对比法、完全随机、随机区组、拉丁方、裂区试验设计</w:t>
      </w:r>
      <w:r>
        <w:rPr>
          <w:rFonts w:hAnsi="宋体" w:hint="eastAsia"/>
          <w:bCs/>
          <w:szCs w:val="21"/>
        </w:rPr>
        <w:t>等</w:t>
      </w:r>
      <w:r>
        <w:rPr>
          <w:bCs/>
          <w:szCs w:val="21"/>
        </w:rPr>
        <w:t>常用试验设计方</w:t>
      </w:r>
      <w:r>
        <w:rPr>
          <w:rFonts w:hint="eastAsia"/>
          <w:bCs/>
          <w:szCs w:val="21"/>
        </w:rPr>
        <w:t>法进行</w:t>
      </w:r>
      <w:r>
        <w:rPr>
          <w:bCs/>
          <w:szCs w:val="21"/>
        </w:rPr>
        <w:t>设计</w:t>
      </w:r>
      <w:r>
        <w:rPr>
          <w:rFonts w:hint="eastAsia"/>
          <w:bCs/>
          <w:szCs w:val="21"/>
        </w:rPr>
        <w:t>，讨论实验报告中存在的问题</w:t>
      </w:r>
      <w:r>
        <w:rPr>
          <w:bCs/>
          <w:szCs w:val="21"/>
        </w:rPr>
        <w:t>。</w:t>
      </w:r>
    </w:p>
    <w:p w14:paraId="21093CE7" w14:textId="77777777" w:rsidR="00F5289E" w:rsidRDefault="00C91173">
      <w:pPr>
        <w:snapToGrid w:val="0"/>
        <w:spacing w:line="360" w:lineRule="auto"/>
        <w:ind w:firstLineChars="200" w:firstLine="422"/>
        <w:rPr>
          <w:rFonts w:hAnsi="宋体"/>
          <w:bCs/>
          <w:szCs w:val="21"/>
        </w:rPr>
      </w:pPr>
      <w:r>
        <w:rPr>
          <w:b/>
          <w:szCs w:val="21"/>
        </w:rPr>
        <w:t>4.</w:t>
      </w:r>
      <w:r>
        <w:rPr>
          <w:b/>
          <w:szCs w:val="21"/>
        </w:rPr>
        <w:t>实验要求：</w:t>
      </w:r>
      <w:r>
        <w:rPr>
          <w:rFonts w:hAnsi="宋体"/>
          <w:bCs/>
          <w:szCs w:val="21"/>
        </w:rPr>
        <w:t>根据实验内容提供的条件绘制试验小区排列图，独立完成实验报告</w:t>
      </w:r>
      <w:r>
        <w:rPr>
          <w:rFonts w:hAnsi="宋体" w:hint="eastAsia"/>
          <w:bCs/>
          <w:szCs w:val="21"/>
        </w:rPr>
        <w:t>，积极思考，主动参与</w:t>
      </w:r>
      <w:r>
        <w:rPr>
          <w:rFonts w:hAnsi="宋体"/>
          <w:bCs/>
          <w:szCs w:val="21"/>
        </w:rPr>
        <w:t>。</w:t>
      </w:r>
    </w:p>
    <w:p w14:paraId="7A721DFD" w14:textId="77777777" w:rsidR="00F5289E" w:rsidRDefault="00C91173">
      <w:pPr>
        <w:snapToGrid w:val="0"/>
        <w:spacing w:line="360" w:lineRule="auto"/>
        <w:ind w:firstLineChars="200" w:firstLine="422"/>
        <w:rPr>
          <w:rFonts w:ascii="宋体" w:hAnsi="宋体"/>
          <w:bCs/>
          <w:szCs w:val="21"/>
        </w:rPr>
      </w:pPr>
      <w:r>
        <w:rPr>
          <w:b/>
          <w:szCs w:val="21"/>
        </w:rPr>
        <w:t>5.</w:t>
      </w:r>
      <w:r>
        <w:rPr>
          <w:b/>
          <w:szCs w:val="21"/>
        </w:rPr>
        <w:t>实验设备及器材：</w:t>
      </w:r>
      <w:r>
        <w:rPr>
          <w:rFonts w:hint="eastAsia"/>
          <w:bCs/>
          <w:szCs w:val="21"/>
        </w:rPr>
        <w:t>多媒体、</w:t>
      </w:r>
      <w:r>
        <w:rPr>
          <w:bCs/>
          <w:szCs w:val="21"/>
        </w:rPr>
        <w:t>试验报告纸、直尺</w:t>
      </w:r>
      <w:r>
        <w:rPr>
          <w:rFonts w:hint="eastAsia"/>
          <w:bCs/>
          <w:szCs w:val="21"/>
        </w:rPr>
        <w:t>等</w:t>
      </w:r>
      <w:r>
        <w:rPr>
          <w:bCs/>
          <w:szCs w:val="21"/>
        </w:rPr>
        <w:t>。</w:t>
      </w:r>
    </w:p>
    <w:p w14:paraId="06F57C55" w14:textId="77777777" w:rsidR="00F5289E" w:rsidRDefault="00C91173">
      <w:pPr>
        <w:pStyle w:val="af1"/>
        <w:snapToGrid w:val="0"/>
        <w:spacing w:before="0" w:beforeAutospacing="0" w:after="0" w:afterAutospacing="0" w:line="360" w:lineRule="auto"/>
        <w:rPr>
          <w:rFonts w:ascii="宋体" w:eastAsia="宋体" w:hAnsi="宋体" w:cs="宋体"/>
          <w:b/>
          <w:sz w:val="21"/>
          <w:szCs w:val="21"/>
        </w:rPr>
      </w:pPr>
      <w:r>
        <w:rPr>
          <w:rFonts w:ascii="宋体" w:eastAsia="宋体" w:hAnsi="宋体" w:cs="宋体" w:hint="eastAsia"/>
          <w:b/>
          <w:sz w:val="21"/>
          <w:szCs w:val="21"/>
        </w:rPr>
        <w:t>【实验</w:t>
      </w:r>
      <w:r>
        <w:rPr>
          <w:rFonts w:asciiTheme="minorEastAsia" w:eastAsiaTheme="minorEastAsia" w:hAnsiTheme="minorEastAsia" w:hint="eastAsia"/>
          <w:b/>
          <w:sz w:val="21"/>
          <w:szCs w:val="21"/>
        </w:rPr>
        <w:t>四</w:t>
      </w:r>
      <w:r>
        <w:rPr>
          <w:rFonts w:ascii="宋体" w:eastAsia="宋体" w:hAnsi="宋体" w:cs="宋体" w:hint="eastAsia"/>
          <w:b/>
          <w:sz w:val="21"/>
          <w:szCs w:val="21"/>
        </w:rPr>
        <w:t>】描述统计与图表制作</w:t>
      </w:r>
    </w:p>
    <w:p w14:paraId="12AF8174" w14:textId="77777777" w:rsidR="00F5289E" w:rsidRDefault="00C91173">
      <w:pPr>
        <w:snapToGrid w:val="0"/>
        <w:spacing w:line="360" w:lineRule="auto"/>
        <w:ind w:firstLineChars="200" w:firstLine="422"/>
        <w:rPr>
          <w:bCs/>
        </w:rPr>
      </w:pPr>
      <w:r>
        <w:rPr>
          <w:b/>
          <w:szCs w:val="21"/>
        </w:rPr>
        <w:t>1.</w:t>
      </w:r>
      <w:r>
        <w:rPr>
          <w:b/>
          <w:szCs w:val="21"/>
        </w:rPr>
        <w:t>实验学时：</w:t>
      </w:r>
      <w:r>
        <w:rPr>
          <w:bCs/>
        </w:rPr>
        <w:t>3</w:t>
      </w:r>
    </w:p>
    <w:p w14:paraId="7205F7EF" w14:textId="77777777" w:rsidR="00F5289E" w:rsidRDefault="00C91173">
      <w:pPr>
        <w:snapToGrid w:val="0"/>
        <w:spacing w:line="360" w:lineRule="auto"/>
        <w:ind w:firstLineChars="200" w:firstLine="422"/>
      </w:pPr>
      <w:r>
        <w:rPr>
          <w:b/>
          <w:szCs w:val="21"/>
        </w:rPr>
        <w:t>2.</w:t>
      </w:r>
      <w:r>
        <w:rPr>
          <w:b/>
          <w:szCs w:val="21"/>
        </w:rPr>
        <w:t>实验目的：</w:t>
      </w:r>
      <w:r>
        <w:rPr>
          <w:rFonts w:hAnsi="宋体"/>
          <w:bCs/>
          <w:szCs w:val="21"/>
        </w:rPr>
        <w:t>了解和掌握试验数据的基本整理方法、</w:t>
      </w:r>
      <w:r>
        <w:rPr>
          <w:rFonts w:hAnsi="宋体"/>
          <w:szCs w:val="21"/>
        </w:rPr>
        <w:t>资料平均数和变异数的计算</w:t>
      </w:r>
      <w:r>
        <w:rPr>
          <w:rFonts w:hAnsi="宋体" w:hint="eastAsia"/>
          <w:szCs w:val="21"/>
        </w:rPr>
        <w:t>以及图表的一般格式和制作方法</w:t>
      </w:r>
      <w:r>
        <w:rPr>
          <w:rFonts w:hAnsi="宋体"/>
          <w:bCs/>
          <w:szCs w:val="21"/>
        </w:rPr>
        <w:t>。</w:t>
      </w:r>
    </w:p>
    <w:p w14:paraId="6A057FE3" w14:textId="77777777" w:rsidR="00F5289E" w:rsidRDefault="00C91173">
      <w:pPr>
        <w:snapToGrid w:val="0"/>
        <w:spacing w:line="360" w:lineRule="auto"/>
        <w:ind w:firstLineChars="200" w:firstLine="422"/>
      </w:pPr>
      <w:r>
        <w:rPr>
          <w:b/>
          <w:szCs w:val="21"/>
        </w:rPr>
        <w:t>3.</w:t>
      </w:r>
      <w:r>
        <w:rPr>
          <w:b/>
          <w:szCs w:val="21"/>
        </w:rPr>
        <w:t>实验内容：</w:t>
      </w:r>
      <w:r>
        <w:t>将连续性变数资料整理成次数分布表和次数分布图的方法；</w:t>
      </w:r>
      <w:r>
        <w:rPr>
          <w:rFonts w:hint="eastAsia"/>
        </w:rPr>
        <w:t>使用统计</w:t>
      </w:r>
      <w:r>
        <w:t>计算器</w:t>
      </w:r>
      <w:r>
        <w:rPr>
          <w:rFonts w:hint="eastAsia"/>
        </w:rPr>
        <w:t>及</w:t>
      </w:r>
      <w:r>
        <w:rPr>
          <w:rFonts w:hint="eastAsia"/>
        </w:rPr>
        <w:t>Excel</w:t>
      </w:r>
      <w:r>
        <w:rPr>
          <w:rFonts w:hint="eastAsia"/>
        </w:rPr>
        <w:t>软件进行</w:t>
      </w:r>
      <w:r>
        <w:t>平均数和标准差等资料特征数的计算</w:t>
      </w:r>
      <w:r>
        <w:rPr>
          <w:rFonts w:hint="eastAsia"/>
        </w:rPr>
        <w:t>；掌握图表的一般格式，通过作图软件完成一般图表制作。</w:t>
      </w:r>
    </w:p>
    <w:p w14:paraId="70080F3D"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int="eastAsia"/>
          <w:bCs/>
          <w:szCs w:val="21"/>
        </w:rPr>
        <w:t>掌握试验结果资料整理和图表制作的一般方法，</w:t>
      </w:r>
      <w:r>
        <w:rPr>
          <w:bCs/>
          <w:szCs w:val="21"/>
        </w:rPr>
        <w:t>实验步骤清晰，计算</w:t>
      </w:r>
      <w:r>
        <w:rPr>
          <w:rFonts w:hint="eastAsia"/>
          <w:bCs/>
          <w:szCs w:val="21"/>
        </w:rPr>
        <w:t>正</w:t>
      </w:r>
      <w:r>
        <w:rPr>
          <w:bCs/>
          <w:szCs w:val="21"/>
        </w:rPr>
        <w:t>确，书写工整，</w:t>
      </w:r>
      <w:r>
        <w:rPr>
          <w:rFonts w:hint="eastAsia"/>
          <w:bCs/>
          <w:szCs w:val="21"/>
        </w:rPr>
        <w:t>图表</w:t>
      </w:r>
      <w:r>
        <w:rPr>
          <w:bCs/>
          <w:szCs w:val="21"/>
        </w:rPr>
        <w:t>规范。</w:t>
      </w:r>
    </w:p>
    <w:p w14:paraId="003D86F5" w14:textId="77777777" w:rsidR="00F5289E" w:rsidRDefault="00C91173">
      <w:pPr>
        <w:snapToGrid w:val="0"/>
        <w:spacing w:line="360" w:lineRule="auto"/>
        <w:ind w:firstLineChars="200" w:firstLine="422"/>
        <w:rPr>
          <w:b/>
          <w:szCs w:val="21"/>
        </w:rPr>
      </w:pPr>
      <w:r>
        <w:rPr>
          <w:b/>
          <w:szCs w:val="21"/>
        </w:rPr>
        <w:t>5.</w:t>
      </w:r>
      <w:r>
        <w:rPr>
          <w:b/>
          <w:szCs w:val="21"/>
        </w:rPr>
        <w:t>实验设备及器材：</w:t>
      </w:r>
      <w:r>
        <w:rPr>
          <w:rFonts w:hint="eastAsia"/>
          <w:bCs/>
          <w:szCs w:val="21"/>
        </w:rPr>
        <w:t>计算机、统计</w:t>
      </w:r>
      <w:r>
        <w:rPr>
          <w:bCs/>
          <w:szCs w:val="21"/>
        </w:rPr>
        <w:t>计算器</w:t>
      </w:r>
      <w:r>
        <w:rPr>
          <w:rFonts w:hint="eastAsia"/>
          <w:bCs/>
          <w:szCs w:val="21"/>
        </w:rPr>
        <w:t>、</w:t>
      </w:r>
      <w:r>
        <w:rPr>
          <w:bCs/>
          <w:szCs w:val="21"/>
        </w:rPr>
        <w:t>试验报告纸、直尺。</w:t>
      </w:r>
    </w:p>
    <w:p w14:paraId="536F18C7" w14:textId="77777777" w:rsidR="00F5289E" w:rsidRDefault="00C91173">
      <w:pPr>
        <w:pStyle w:val="af1"/>
        <w:snapToGrid w:val="0"/>
        <w:spacing w:before="0" w:beforeAutospacing="0" w:after="0" w:afterAutospacing="0" w:line="360" w:lineRule="auto"/>
        <w:rPr>
          <w:rFonts w:ascii="宋体" w:eastAsia="宋体" w:hAnsi="宋体" w:cs="宋体"/>
          <w:b/>
          <w:sz w:val="21"/>
          <w:szCs w:val="21"/>
        </w:rPr>
      </w:pPr>
      <w:r>
        <w:rPr>
          <w:rFonts w:ascii="宋体" w:eastAsia="宋体" w:hAnsi="宋体" w:cs="宋体" w:hint="eastAsia"/>
          <w:b/>
          <w:sz w:val="21"/>
          <w:szCs w:val="21"/>
        </w:rPr>
        <w:t>【实验</w:t>
      </w:r>
      <w:r>
        <w:rPr>
          <w:rFonts w:asciiTheme="minorEastAsia" w:eastAsiaTheme="minorEastAsia" w:hAnsiTheme="minorEastAsia" w:hint="eastAsia"/>
          <w:b/>
          <w:sz w:val="21"/>
          <w:szCs w:val="21"/>
        </w:rPr>
        <w:t>五</w:t>
      </w:r>
      <w:r>
        <w:rPr>
          <w:rFonts w:ascii="宋体" w:eastAsia="宋体" w:hAnsi="宋体" w:cs="宋体" w:hint="eastAsia"/>
          <w:b/>
          <w:sz w:val="21"/>
          <w:szCs w:val="21"/>
        </w:rPr>
        <w:t>】</w:t>
      </w:r>
      <w:r>
        <w:rPr>
          <w:rFonts w:ascii="Times New Roman" w:eastAsia="宋体" w:hAnsi="Times New Roman" w:cs="Times New Roman"/>
          <w:b/>
          <w:sz w:val="21"/>
          <w:szCs w:val="21"/>
        </w:rPr>
        <w:t>单个与两个样本平均数的统计假设检验</w:t>
      </w:r>
    </w:p>
    <w:p w14:paraId="681677D6" w14:textId="77777777" w:rsidR="00F5289E" w:rsidRDefault="00C91173">
      <w:pPr>
        <w:snapToGrid w:val="0"/>
        <w:spacing w:line="360" w:lineRule="auto"/>
        <w:ind w:firstLineChars="200" w:firstLine="422"/>
        <w:rPr>
          <w:bCs/>
        </w:rPr>
      </w:pPr>
      <w:r>
        <w:rPr>
          <w:b/>
          <w:szCs w:val="21"/>
        </w:rPr>
        <w:t>1.</w:t>
      </w:r>
      <w:r>
        <w:rPr>
          <w:b/>
          <w:szCs w:val="21"/>
        </w:rPr>
        <w:t>实验学时：</w:t>
      </w:r>
      <w:r>
        <w:rPr>
          <w:bCs/>
        </w:rPr>
        <w:t>3</w:t>
      </w:r>
    </w:p>
    <w:p w14:paraId="41004A66" w14:textId="77777777" w:rsidR="00F5289E" w:rsidRDefault="00C91173">
      <w:pPr>
        <w:snapToGrid w:val="0"/>
        <w:spacing w:line="360" w:lineRule="auto"/>
        <w:ind w:firstLineChars="200" w:firstLine="422"/>
      </w:pPr>
      <w:r>
        <w:rPr>
          <w:b/>
          <w:szCs w:val="21"/>
        </w:rPr>
        <w:t>2.</w:t>
      </w:r>
      <w:r>
        <w:rPr>
          <w:b/>
          <w:szCs w:val="21"/>
        </w:rPr>
        <w:t>实验目的：</w:t>
      </w:r>
      <w:r>
        <w:t>掌握对单个样本和两个样本平均数进行统计假设检验的步骤和方法。</w:t>
      </w:r>
    </w:p>
    <w:p w14:paraId="4332F5FC" w14:textId="77777777" w:rsidR="00F5289E" w:rsidRDefault="00C91173">
      <w:pPr>
        <w:snapToGrid w:val="0"/>
        <w:spacing w:line="360" w:lineRule="auto"/>
        <w:ind w:firstLineChars="200" w:firstLine="422"/>
        <w:rPr>
          <w:bCs/>
          <w:szCs w:val="21"/>
        </w:rPr>
      </w:pPr>
      <w:r>
        <w:rPr>
          <w:b/>
          <w:szCs w:val="21"/>
        </w:rPr>
        <w:lastRenderedPageBreak/>
        <w:t>3.</w:t>
      </w:r>
      <w:r>
        <w:rPr>
          <w:b/>
          <w:szCs w:val="21"/>
        </w:rPr>
        <w:t>实验内容：</w:t>
      </w:r>
      <w:r>
        <w:t>对</w:t>
      </w:r>
      <w:r>
        <w:rPr>
          <w:rFonts w:hint="eastAsia"/>
        </w:rPr>
        <w:t>不同情形下</w:t>
      </w:r>
      <w:r>
        <w:t>单个样本和两个样本平均数进行统计假设检验</w:t>
      </w:r>
      <w:r>
        <w:rPr>
          <w:rFonts w:hint="eastAsia"/>
        </w:rPr>
        <w:t>，利用</w:t>
      </w:r>
      <w:r>
        <w:rPr>
          <w:rFonts w:hint="eastAsia"/>
        </w:rPr>
        <w:t>Excel</w:t>
      </w:r>
      <w:r>
        <w:rPr>
          <w:rFonts w:hint="eastAsia"/>
        </w:rPr>
        <w:t>等统计软件进行分析，得出合理推断</w:t>
      </w:r>
      <w:r>
        <w:rPr>
          <w:bCs/>
          <w:szCs w:val="21"/>
        </w:rPr>
        <w:t>。</w:t>
      </w:r>
    </w:p>
    <w:p w14:paraId="1513909A"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Ansi="宋体"/>
          <w:bCs/>
          <w:szCs w:val="21"/>
        </w:rPr>
        <w:t>理解和掌握</w:t>
      </w:r>
      <w:r>
        <w:rPr>
          <w:rFonts w:hAnsi="宋体" w:hint="eastAsia"/>
          <w:bCs/>
          <w:szCs w:val="21"/>
        </w:rPr>
        <w:t>不同情况下对单个和</w:t>
      </w:r>
      <w:r>
        <w:rPr>
          <w:rFonts w:hAnsi="宋体"/>
          <w:bCs/>
          <w:szCs w:val="21"/>
        </w:rPr>
        <w:t>两个样本平均数间差异</w:t>
      </w:r>
      <w:r>
        <w:rPr>
          <w:rFonts w:hAnsi="宋体" w:hint="eastAsia"/>
          <w:bCs/>
          <w:szCs w:val="21"/>
        </w:rPr>
        <w:t>进行</w:t>
      </w:r>
      <w:r>
        <w:rPr>
          <w:rFonts w:hAnsi="宋体"/>
          <w:bCs/>
          <w:szCs w:val="21"/>
        </w:rPr>
        <w:t>检验</w:t>
      </w:r>
      <w:r>
        <w:rPr>
          <w:rFonts w:hAnsi="宋体" w:hint="eastAsia"/>
          <w:bCs/>
          <w:szCs w:val="21"/>
        </w:rPr>
        <w:t>的</w:t>
      </w:r>
      <w:r>
        <w:rPr>
          <w:rFonts w:hAnsi="宋体"/>
          <w:bCs/>
          <w:szCs w:val="21"/>
        </w:rPr>
        <w:t>方法</w:t>
      </w:r>
      <w:r>
        <w:rPr>
          <w:rFonts w:hAnsi="宋体" w:hint="eastAsia"/>
          <w:bCs/>
          <w:szCs w:val="21"/>
        </w:rPr>
        <w:t>，</w:t>
      </w:r>
      <w:r>
        <w:rPr>
          <w:rFonts w:hAnsi="宋体"/>
          <w:bCs/>
          <w:szCs w:val="21"/>
        </w:rPr>
        <w:t>独立完成实验报告</w:t>
      </w:r>
      <w:r>
        <w:rPr>
          <w:rFonts w:hAnsi="宋体" w:hint="eastAsia"/>
          <w:bCs/>
          <w:szCs w:val="21"/>
        </w:rPr>
        <w:t>，</w:t>
      </w:r>
      <w:r>
        <w:rPr>
          <w:bCs/>
          <w:szCs w:val="21"/>
        </w:rPr>
        <w:t>实验步骤清晰，计算</w:t>
      </w:r>
      <w:r>
        <w:rPr>
          <w:rFonts w:hint="eastAsia"/>
          <w:bCs/>
          <w:szCs w:val="21"/>
        </w:rPr>
        <w:t>正</w:t>
      </w:r>
      <w:r>
        <w:rPr>
          <w:bCs/>
          <w:szCs w:val="21"/>
        </w:rPr>
        <w:t>确，</w:t>
      </w:r>
      <w:r>
        <w:rPr>
          <w:rFonts w:hint="eastAsia"/>
          <w:bCs/>
          <w:szCs w:val="21"/>
        </w:rPr>
        <w:t>推断合理，</w:t>
      </w:r>
      <w:r>
        <w:rPr>
          <w:bCs/>
          <w:szCs w:val="21"/>
        </w:rPr>
        <w:t>书写工整。</w:t>
      </w:r>
    </w:p>
    <w:p w14:paraId="2A9F256F" w14:textId="77777777" w:rsidR="00F5289E" w:rsidRDefault="00C91173">
      <w:pPr>
        <w:snapToGrid w:val="0"/>
        <w:spacing w:line="360" w:lineRule="auto"/>
        <w:ind w:firstLineChars="200" w:firstLine="422"/>
        <w:rPr>
          <w:b/>
          <w:szCs w:val="21"/>
        </w:rPr>
      </w:pPr>
      <w:r>
        <w:rPr>
          <w:b/>
          <w:szCs w:val="21"/>
        </w:rPr>
        <w:t>5.</w:t>
      </w:r>
      <w:r>
        <w:rPr>
          <w:b/>
          <w:szCs w:val="21"/>
        </w:rPr>
        <w:t>实验设备及器材：</w:t>
      </w:r>
      <w:r>
        <w:rPr>
          <w:rFonts w:hAnsi="宋体"/>
          <w:bCs/>
          <w:szCs w:val="21"/>
        </w:rPr>
        <w:t>计算机</w:t>
      </w:r>
      <w:r>
        <w:rPr>
          <w:rFonts w:hAnsi="宋体" w:hint="eastAsia"/>
          <w:bCs/>
          <w:szCs w:val="21"/>
        </w:rPr>
        <w:t>、</w:t>
      </w:r>
      <w:r>
        <w:rPr>
          <w:rFonts w:hint="eastAsia"/>
          <w:bCs/>
          <w:szCs w:val="21"/>
        </w:rPr>
        <w:t>统计</w:t>
      </w:r>
      <w:r>
        <w:rPr>
          <w:bCs/>
          <w:szCs w:val="21"/>
        </w:rPr>
        <w:t>计算器</w:t>
      </w:r>
      <w:r>
        <w:rPr>
          <w:rFonts w:hint="eastAsia"/>
          <w:bCs/>
          <w:szCs w:val="21"/>
        </w:rPr>
        <w:t>、</w:t>
      </w:r>
      <w:r>
        <w:rPr>
          <w:bCs/>
          <w:szCs w:val="21"/>
        </w:rPr>
        <w:t>试验报告纸</w:t>
      </w:r>
      <w:r>
        <w:rPr>
          <w:rFonts w:hint="eastAsia"/>
          <w:bCs/>
          <w:szCs w:val="21"/>
        </w:rPr>
        <w:t>等</w:t>
      </w:r>
      <w:r>
        <w:rPr>
          <w:bCs/>
          <w:szCs w:val="21"/>
        </w:rPr>
        <w:t>。</w:t>
      </w:r>
    </w:p>
    <w:p w14:paraId="366BE3B9" w14:textId="77777777" w:rsidR="00F5289E" w:rsidRDefault="00C91173">
      <w:pPr>
        <w:pStyle w:val="af1"/>
        <w:snapToGrid w:val="0"/>
        <w:spacing w:before="0" w:beforeAutospacing="0" w:after="0" w:afterAutospacing="0" w:line="360" w:lineRule="auto"/>
        <w:rPr>
          <w:rFonts w:ascii="宋体" w:eastAsia="宋体" w:hAnsi="宋体" w:cs="Times New Roman"/>
          <w:b/>
          <w:kern w:val="2"/>
          <w:sz w:val="21"/>
          <w:szCs w:val="21"/>
        </w:rPr>
      </w:pPr>
      <w:r>
        <w:rPr>
          <w:rFonts w:ascii="宋体" w:eastAsia="宋体" w:hAnsi="宋体" w:cs="Times New Roman" w:hint="eastAsia"/>
          <w:b/>
          <w:kern w:val="2"/>
          <w:sz w:val="21"/>
          <w:szCs w:val="21"/>
        </w:rPr>
        <w:t>【实验六】不</w:t>
      </w:r>
      <w:bookmarkStart w:id="65" w:name="OLE_LINK2"/>
      <w:bookmarkStart w:id="66" w:name="OLE_LINK1"/>
      <w:r>
        <w:rPr>
          <w:rFonts w:ascii="宋体" w:eastAsia="宋体" w:hAnsi="宋体" w:cs="Times New Roman" w:hint="eastAsia"/>
          <w:b/>
          <w:kern w:val="2"/>
          <w:sz w:val="21"/>
          <w:szCs w:val="21"/>
        </w:rPr>
        <w:t>同试验设计结果资料的方差分析</w:t>
      </w:r>
      <w:bookmarkEnd w:id="65"/>
      <w:bookmarkEnd w:id="66"/>
    </w:p>
    <w:p w14:paraId="640C0639"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bCs/>
        </w:rPr>
        <w:t>3</w:t>
      </w:r>
    </w:p>
    <w:p w14:paraId="3C57A6A1"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rPr>
        <w:t>进一步</w:t>
      </w:r>
      <w:r>
        <w:t>熟悉和掌握方差分析的步骤和方法</w:t>
      </w:r>
      <w:r>
        <w:rPr>
          <w:rFonts w:hint="eastAsia"/>
        </w:rPr>
        <w:t>；了解不同试验设计试验结果的特点和统计分析方法；熟练掌握利用统计分析软件进行方差分析。</w:t>
      </w:r>
    </w:p>
    <w:p w14:paraId="09A033E0"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t>对</w:t>
      </w:r>
      <w:r>
        <w:rPr>
          <w:szCs w:val="21"/>
        </w:rPr>
        <w:t>组内观察值数目相等的单向</w:t>
      </w:r>
      <w:r>
        <w:rPr>
          <w:rFonts w:hint="eastAsia"/>
          <w:szCs w:val="21"/>
        </w:rPr>
        <w:t>、双向</w:t>
      </w:r>
      <w:r>
        <w:rPr>
          <w:szCs w:val="21"/>
        </w:rPr>
        <w:t>分组资料进行方差分析</w:t>
      </w:r>
      <w:r>
        <w:rPr>
          <w:rFonts w:hint="eastAsia"/>
          <w:bCs/>
          <w:szCs w:val="21"/>
        </w:rPr>
        <w:t>，</w:t>
      </w:r>
      <w:r>
        <w:t>多重比较分别采用</w:t>
      </w:r>
      <w:r>
        <w:t>LSD</w:t>
      </w:r>
      <w:r>
        <w:t>法和</w:t>
      </w:r>
      <w:r>
        <w:t>SSR</w:t>
      </w:r>
      <w:r>
        <w:t>法，平均数差异显著性用标记字母法表示</w:t>
      </w:r>
      <w:r>
        <w:rPr>
          <w:rFonts w:hint="eastAsia"/>
        </w:rPr>
        <w:t>；</w:t>
      </w:r>
      <w:r>
        <w:t>利用</w:t>
      </w:r>
      <w:r>
        <w:rPr>
          <w:rFonts w:hint="eastAsia"/>
        </w:rPr>
        <w:t>Excel</w:t>
      </w:r>
      <w:r>
        <w:rPr>
          <w:rFonts w:hint="eastAsia"/>
        </w:rPr>
        <w:t>和</w:t>
      </w:r>
      <w:r>
        <w:t>SPSS</w:t>
      </w:r>
      <w:r>
        <w:t>软件对</w:t>
      </w:r>
      <w:r>
        <w:rPr>
          <w:rFonts w:hint="eastAsia"/>
        </w:rPr>
        <w:t>不同试验设计的试</w:t>
      </w:r>
      <w:r>
        <w:t>验结果进行分析</w:t>
      </w:r>
      <w:r>
        <w:rPr>
          <w:rFonts w:hint="eastAsia"/>
        </w:rPr>
        <w:t>和推断</w:t>
      </w:r>
      <w:r>
        <w:t>。</w:t>
      </w:r>
    </w:p>
    <w:p w14:paraId="61F2D37E" w14:textId="77777777" w:rsidR="00F5289E" w:rsidRDefault="00C91173">
      <w:pPr>
        <w:snapToGrid w:val="0"/>
        <w:spacing w:line="360" w:lineRule="auto"/>
        <w:ind w:firstLineChars="200" w:firstLine="422"/>
        <w:rPr>
          <w:bCs/>
          <w:szCs w:val="21"/>
        </w:rPr>
      </w:pPr>
      <w:r>
        <w:rPr>
          <w:rFonts w:hint="eastAsia"/>
          <w:b/>
          <w:szCs w:val="21"/>
        </w:rPr>
        <w:t>4.</w:t>
      </w:r>
      <w:r>
        <w:rPr>
          <w:rFonts w:hint="eastAsia"/>
          <w:b/>
          <w:szCs w:val="21"/>
        </w:rPr>
        <w:t>实验要求：</w:t>
      </w:r>
      <w:r>
        <w:rPr>
          <w:rFonts w:hAnsi="宋体"/>
          <w:bCs/>
          <w:szCs w:val="21"/>
        </w:rPr>
        <w:t>理解和掌握</w:t>
      </w:r>
      <w:r>
        <w:rPr>
          <w:rFonts w:hAnsi="宋体"/>
          <w:szCs w:val="21"/>
        </w:rPr>
        <w:t>方差分析的原理和基本步骤，</w:t>
      </w:r>
      <w:r>
        <w:rPr>
          <w:rFonts w:hAnsi="宋体" w:hint="eastAsia"/>
          <w:szCs w:val="21"/>
        </w:rPr>
        <w:t>掌握使用统计软件对</w:t>
      </w:r>
      <w:r>
        <w:rPr>
          <w:rFonts w:hAnsi="宋体" w:hint="eastAsia"/>
          <w:bCs/>
          <w:szCs w:val="21"/>
        </w:rPr>
        <w:t>不同试验设计结果资料的方差分析方法，</w:t>
      </w:r>
      <w:r>
        <w:rPr>
          <w:bCs/>
          <w:szCs w:val="21"/>
        </w:rPr>
        <w:t>实验</w:t>
      </w:r>
      <w:r>
        <w:rPr>
          <w:rFonts w:hint="eastAsia"/>
          <w:bCs/>
          <w:szCs w:val="21"/>
        </w:rPr>
        <w:t>报告</w:t>
      </w:r>
      <w:r>
        <w:rPr>
          <w:bCs/>
          <w:szCs w:val="21"/>
        </w:rPr>
        <w:t>步骤清晰，计算</w:t>
      </w:r>
      <w:r>
        <w:rPr>
          <w:rFonts w:hint="eastAsia"/>
          <w:bCs/>
          <w:szCs w:val="21"/>
        </w:rPr>
        <w:t>正</w:t>
      </w:r>
      <w:r>
        <w:rPr>
          <w:bCs/>
          <w:szCs w:val="21"/>
        </w:rPr>
        <w:t>确，书写工整</w:t>
      </w:r>
      <w:r>
        <w:rPr>
          <w:rFonts w:hint="eastAsia"/>
          <w:bCs/>
          <w:szCs w:val="21"/>
        </w:rPr>
        <w:t>；利用统计分析软件</w:t>
      </w:r>
      <w:r>
        <w:rPr>
          <w:bCs/>
          <w:szCs w:val="21"/>
        </w:rPr>
        <w:t>按要求导出分析结果，并做</w:t>
      </w:r>
      <w:r>
        <w:rPr>
          <w:rFonts w:hint="eastAsia"/>
          <w:bCs/>
          <w:szCs w:val="21"/>
        </w:rPr>
        <w:t>解读</w:t>
      </w:r>
      <w:r>
        <w:rPr>
          <w:bCs/>
          <w:szCs w:val="21"/>
        </w:rPr>
        <w:t>说明</w:t>
      </w:r>
      <w:r>
        <w:rPr>
          <w:rFonts w:hint="eastAsia"/>
          <w:bCs/>
          <w:szCs w:val="21"/>
        </w:rPr>
        <w:t>，得出合理推断</w:t>
      </w:r>
      <w:r>
        <w:rPr>
          <w:bCs/>
          <w:szCs w:val="21"/>
        </w:rPr>
        <w:t>。</w:t>
      </w:r>
    </w:p>
    <w:p w14:paraId="3BA86EAD"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bCs/>
          <w:szCs w:val="21"/>
        </w:rPr>
        <w:t>试验报告纸、直尺、</w:t>
      </w:r>
      <w:r>
        <w:rPr>
          <w:rFonts w:hint="eastAsia"/>
          <w:bCs/>
          <w:szCs w:val="21"/>
        </w:rPr>
        <w:t>统计</w:t>
      </w:r>
      <w:r>
        <w:rPr>
          <w:bCs/>
          <w:szCs w:val="21"/>
        </w:rPr>
        <w:t>计算器</w:t>
      </w:r>
      <w:r>
        <w:rPr>
          <w:rFonts w:hint="eastAsia"/>
          <w:bCs/>
          <w:szCs w:val="21"/>
        </w:rPr>
        <w:t>、</w:t>
      </w:r>
      <w:r>
        <w:rPr>
          <w:rFonts w:hAnsi="宋体"/>
          <w:bCs/>
          <w:szCs w:val="21"/>
        </w:rPr>
        <w:t>计算机</w:t>
      </w:r>
      <w:r>
        <w:rPr>
          <w:rFonts w:ascii="宋体" w:hAnsi="宋体" w:hint="eastAsia"/>
          <w:bCs/>
          <w:szCs w:val="21"/>
        </w:rPr>
        <w:t>。</w:t>
      </w:r>
    </w:p>
    <w:p w14:paraId="47AABDE3"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七</w:t>
      </w:r>
      <w:r>
        <w:rPr>
          <w:rFonts w:ascii="Times New Roman" w:eastAsia="宋体" w:hAnsi="Times New Roman" w:cs="Times New Roman"/>
          <w:b/>
          <w:sz w:val="21"/>
          <w:szCs w:val="21"/>
        </w:rPr>
        <w:t>】卡平方检验</w:t>
      </w:r>
    </w:p>
    <w:p w14:paraId="7C437B89" w14:textId="77777777" w:rsidR="00F5289E" w:rsidRDefault="00C91173">
      <w:pPr>
        <w:snapToGrid w:val="0"/>
        <w:spacing w:line="360" w:lineRule="auto"/>
        <w:ind w:firstLineChars="200" w:firstLine="422"/>
        <w:rPr>
          <w:bCs/>
        </w:rPr>
      </w:pPr>
      <w:r>
        <w:rPr>
          <w:b/>
          <w:szCs w:val="21"/>
        </w:rPr>
        <w:t>1.</w:t>
      </w:r>
      <w:r>
        <w:rPr>
          <w:b/>
          <w:szCs w:val="21"/>
        </w:rPr>
        <w:t>实验学时：</w:t>
      </w:r>
      <w:r>
        <w:rPr>
          <w:bCs/>
        </w:rPr>
        <w:t>1</w:t>
      </w:r>
    </w:p>
    <w:p w14:paraId="43E74150" w14:textId="77777777" w:rsidR="00F5289E" w:rsidRDefault="00C91173">
      <w:pPr>
        <w:snapToGrid w:val="0"/>
        <w:spacing w:line="360" w:lineRule="auto"/>
        <w:ind w:firstLineChars="200" w:firstLine="422"/>
      </w:pPr>
      <w:r>
        <w:rPr>
          <w:b/>
          <w:szCs w:val="21"/>
        </w:rPr>
        <w:t>2.</w:t>
      </w:r>
      <w:r>
        <w:rPr>
          <w:b/>
          <w:szCs w:val="21"/>
        </w:rPr>
        <w:t>实验目的：</w:t>
      </w:r>
      <w:r>
        <w:t>掌握</w:t>
      </w:r>
      <w:r>
        <w:rPr>
          <w:rFonts w:hint="eastAsia"/>
        </w:rPr>
        <w:t>卡</w:t>
      </w:r>
      <w:r>
        <w:t>平方检验的步骤，及其用于适合性检验</w:t>
      </w:r>
      <w:r>
        <w:rPr>
          <w:rFonts w:hint="eastAsia"/>
        </w:rPr>
        <w:t>、</w:t>
      </w:r>
      <w:r>
        <w:t>独立性检验</w:t>
      </w:r>
      <w:r>
        <w:rPr>
          <w:rFonts w:hint="eastAsia"/>
        </w:rPr>
        <w:t>和方差同质性检验</w:t>
      </w:r>
      <w:r>
        <w:t>的方法。</w:t>
      </w:r>
    </w:p>
    <w:p w14:paraId="19C16E5C" w14:textId="77777777" w:rsidR="00F5289E" w:rsidRDefault="00C91173">
      <w:pPr>
        <w:snapToGrid w:val="0"/>
        <w:spacing w:line="360" w:lineRule="auto"/>
        <w:ind w:firstLineChars="200" w:firstLine="422"/>
      </w:pPr>
      <w:r>
        <w:rPr>
          <w:b/>
          <w:szCs w:val="21"/>
        </w:rPr>
        <w:t>3.</w:t>
      </w:r>
      <w:r>
        <w:rPr>
          <w:b/>
          <w:szCs w:val="21"/>
        </w:rPr>
        <w:t>实验内容：</w:t>
      </w:r>
      <w:r>
        <w:rPr>
          <w:rFonts w:hint="eastAsia"/>
          <w:bCs/>
          <w:szCs w:val="21"/>
        </w:rPr>
        <w:t>对通过</w:t>
      </w:r>
      <w:r>
        <w:rPr>
          <w:bCs/>
        </w:rPr>
        <w:t>卡平方检验</w:t>
      </w:r>
      <w:r>
        <w:rPr>
          <w:rFonts w:hint="eastAsia"/>
          <w:bCs/>
          <w:szCs w:val="21"/>
        </w:rPr>
        <w:t>不同情形下的数据资料</w:t>
      </w:r>
      <w:r>
        <w:rPr>
          <w:rFonts w:hint="eastAsia"/>
          <w:bCs/>
        </w:rPr>
        <w:t>进行适合性、独立性和同质性分析</w:t>
      </w:r>
      <w:r>
        <w:rPr>
          <w:bCs/>
        </w:rPr>
        <w:t>。</w:t>
      </w:r>
    </w:p>
    <w:p w14:paraId="2CB38029"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int="eastAsia"/>
          <w:bCs/>
          <w:szCs w:val="21"/>
        </w:rPr>
        <w:t>掌握卡平方检验的步骤和应用，</w:t>
      </w:r>
      <w:r>
        <w:rPr>
          <w:bCs/>
          <w:szCs w:val="21"/>
        </w:rPr>
        <w:t>实验步骤清晰，计算</w:t>
      </w:r>
      <w:r>
        <w:rPr>
          <w:rFonts w:hint="eastAsia"/>
          <w:bCs/>
          <w:szCs w:val="21"/>
        </w:rPr>
        <w:t>正</w:t>
      </w:r>
      <w:r>
        <w:rPr>
          <w:bCs/>
          <w:szCs w:val="21"/>
        </w:rPr>
        <w:t>确，</w:t>
      </w:r>
      <w:r>
        <w:rPr>
          <w:rFonts w:hint="eastAsia"/>
          <w:bCs/>
          <w:szCs w:val="21"/>
        </w:rPr>
        <w:t>推断合理，</w:t>
      </w:r>
      <w:r>
        <w:rPr>
          <w:bCs/>
          <w:szCs w:val="21"/>
        </w:rPr>
        <w:t>书写工整。</w:t>
      </w:r>
    </w:p>
    <w:p w14:paraId="7D487C55" w14:textId="77777777" w:rsidR="00F5289E" w:rsidRDefault="00C91173">
      <w:pPr>
        <w:snapToGrid w:val="0"/>
        <w:spacing w:line="360" w:lineRule="auto"/>
        <w:ind w:firstLineChars="200" w:firstLine="422"/>
        <w:rPr>
          <w:b/>
          <w:szCs w:val="21"/>
        </w:rPr>
      </w:pPr>
      <w:r>
        <w:rPr>
          <w:b/>
          <w:szCs w:val="21"/>
        </w:rPr>
        <w:t>5.</w:t>
      </w:r>
      <w:r>
        <w:rPr>
          <w:b/>
          <w:szCs w:val="21"/>
        </w:rPr>
        <w:t>实验设备及器材：</w:t>
      </w:r>
      <w:r>
        <w:rPr>
          <w:bCs/>
          <w:szCs w:val="21"/>
        </w:rPr>
        <w:t>试验报告纸、直尺、</w:t>
      </w:r>
      <w:r>
        <w:rPr>
          <w:rFonts w:hint="eastAsia"/>
          <w:bCs/>
          <w:szCs w:val="21"/>
        </w:rPr>
        <w:t>统计</w:t>
      </w:r>
      <w:r>
        <w:rPr>
          <w:bCs/>
          <w:szCs w:val="21"/>
        </w:rPr>
        <w:t>计算器</w:t>
      </w:r>
      <w:r>
        <w:rPr>
          <w:rFonts w:hAnsi="宋体"/>
          <w:bCs/>
          <w:szCs w:val="21"/>
        </w:rPr>
        <w:t>或计算机</w:t>
      </w:r>
      <w:r>
        <w:rPr>
          <w:bCs/>
          <w:szCs w:val="21"/>
        </w:rPr>
        <w:t>。</w:t>
      </w:r>
    </w:p>
    <w:p w14:paraId="60D6C81B"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八</w:t>
      </w:r>
      <w:r>
        <w:rPr>
          <w:rFonts w:ascii="Times New Roman" w:eastAsia="宋体" w:hAnsi="Times New Roman" w:cs="Times New Roman"/>
          <w:b/>
          <w:sz w:val="21"/>
          <w:szCs w:val="21"/>
        </w:rPr>
        <w:t>】回归与相关分析</w:t>
      </w:r>
      <w:r>
        <w:rPr>
          <w:rFonts w:ascii="Times New Roman" w:eastAsia="宋体" w:hAnsi="Times New Roman" w:cs="Times New Roman"/>
          <w:b/>
          <w:sz w:val="21"/>
          <w:szCs w:val="21"/>
        </w:rPr>
        <w:t xml:space="preserve">   </w:t>
      </w:r>
    </w:p>
    <w:p w14:paraId="2AC79E22" w14:textId="77777777" w:rsidR="00F5289E" w:rsidRDefault="00C91173">
      <w:pPr>
        <w:snapToGrid w:val="0"/>
        <w:spacing w:line="360" w:lineRule="auto"/>
        <w:ind w:firstLineChars="200" w:firstLine="422"/>
        <w:rPr>
          <w:bCs/>
        </w:rPr>
      </w:pPr>
      <w:bookmarkStart w:id="67" w:name="_Hlk136958894"/>
      <w:r>
        <w:rPr>
          <w:b/>
          <w:szCs w:val="21"/>
        </w:rPr>
        <w:t>1.</w:t>
      </w:r>
      <w:r>
        <w:rPr>
          <w:b/>
          <w:szCs w:val="21"/>
        </w:rPr>
        <w:t>实验学时：</w:t>
      </w:r>
      <w:r>
        <w:rPr>
          <w:bCs/>
        </w:rPr>
        <w:t>2</w:t>
      </w:r>
    </w:p>
    <w:p w14:paraId="470A4E86" w14:textId="77777777" w:rsidR="00F5289E" w:rsidRDefault="00C91173">
      <w:pPr>
        <w:snapToGrid w:val="0"/>
        <w:spacing w:line="360" w:lineRule="auto"/>
        <w:ind w:firstLineChars="200" w:firstLine="422"/>
      </w:pPr>
      <w:r>
        <w:rPr>
          <w:b/>
          <w:szCs w:val="21"/>
        </w:rPr>
        <w:t>2.</w:t>
      </w:r>
      <w:r>
        <w:rPr>
          <w:b/>
          <w:szCs w:val="21"/>
        </w:rPr>
        <w:t>实验目的：</w:t>
      </w:r>
      <w:r>
        <w:t>掌握对两个变数进行直线相关与回归分析的程序和方法</w:t>
      </w:r>
      <w:r>
        <w:rPr>
          <w:rFonts w:hint="eastAsia"/>
        </w:rPr>
        <w:t>；学会利用</w:t>
      </w:r>
      <w:r>
        <w:rPr>
          <w:rFonts w:hint="eastAsia"/>
        </w:rPr>
        <w:t>Ex</w:t>
      </w:r>
      <w:r>
        <w:t>cel</w:t>
      </w:r>
      <w:r>
        <w:rPr>
          <w:rFonts w:hint="eastAsia"/>
        </w:rPr>
        <w:t>和</w:t>
      </w:r>
      <w:r>
        <w:rPr>
          <w:rFonts w:hint="eastAsia"/>
        </w:rPr>
        <w:t>S</w:t>
      </w:r>
      <w:r>
        <w:t>PSS</w:t>
      </w:r>
      <w:r>
        <w:rPr>
          <w:rFonts w:hint="eastAsia"/>
        </w:rPr>
        <w:t>统计软件进行相关与回归分析</w:t>
      </w:r>
      <w:r>
        <w:t>。</w:t>
      </w:r>
    </w:p>
    <w:p w14:paraId="71735227" w14:textId="77777777" w:rsidR="00F5289E" w:rsidRDefault="00C91173">
      <w:pPr>
        <w:snapToGrid w:val="0"/>
        <w:spacing w:line="360" w:lineRule="auto"/>
        <w:ind w:firstLineChars="200" w:firstLine="422"/>
      </w:pPr>
      <w:r>
        <w:rPr>
          <w:b/>
          <w:szCs w:val="21"/>
        </w:rPr>
        <w:t>3.</w:t>
      </w:r>
      <w:r>
        <w:rPr>
          <w:b/>
          <w:szCs w:val="21"/>
        </w:rPr>
        <w:t>实验内容：</w:t>
      </w:r>
      <w:r>
        <w:t>对两个变数进行直线相关与回归分析。</w:t>
      </w:r>
    </w:p>
    <w:p w14:paraId="70239C73"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Ansi="宋体"/>
          <w:bCs/>
          <w:szCs w:val="21"/>
        </w:rPr>
        <w:t>理解和掌握</w:t>
      </w:r>
      <w:r>
        <w:rPr>
          <w:rFonts w:hAnsi="宋体"/>
        </w:rPr>
        <w:t>直线相关和回归的步骤，</w:t>
      </w:r>
      <w:r>
        <w:rPr>
          <w:rFonts w:hAnsi="宋体"/>
          <w:szCs w:val="21"/>
        </w:rPr>
        <w:t>正确理解与准确表述</w:t>
      </w:r>
      <w:r>
        <w:rPr>
          <w:rFonts w:hAnsi="宋体" w:hint="eastAsia"/>
          <w:szCs w:val="21"/>
        </w:rPr>
        <w:t>统计</w:t>
      </w:r>
      <w:r>
        <w:rPr>
          <w:rFonts w:hAnsi="宋体"/>
          <w:szCs w:val="21"/>
        </w:rPr>
        <w:t>分析</w:t>
      </w:r>
      <w:r>
        <w:rPr>
          <w:rFonts w:hAnsi="宋体" w:hint="eastAsia"/>
          <w:szCs w:val="21"/>
        </w:rPr>
        <w:t>结果，</w:t>
      </w:r>
      <w:r>
        <w:rPr>
          <w:rFonts w:hAnsi="宋体"/>
          <w:szCs w:val="21"/>
        </w:rPr>
        <w:t>得到</w:t>
      </w:r>
      <w:r>
        <w:rPr>
          <w:rFonts w:hAnsi="宋体" w:hint="eastAsia"/>
          <w:szCs w:val="21"/>
        </w:rPr>
        <w:t>合理</w:t>
      </w:r>
      <w:r>
        <w:rPr>
          <w:rFonts w:hAnsi="宋体"/>
          <w:szCs w:val="21"/>
        </w:rPr>
        <w:t>的结论</w:t>
      </w:r>
      <w:r>
        <w:rPr>
          <w:rFonts w:hAnsi="宋体" w:hint="eastAsia"/>
          <w:bCs/>
          <w:szCs w:val="21"/>
        </w:rPr>
        <w:t>；</w:t>
      </w:r>
      <w:r>
        <w:rPr>
          <w:rFonts w:hAnsi="宋体"/>
          <w:bCs/>
          <w:szCs w:val="21"/>
        </w:rPr>
        <w:t>独立完成实验报告</w:t>
      </w:r>
      <w:r>
        <w:rPr>
          <w:rFonts w:hAnsi="宋体" w:hint="eastAsia"/>
          <w:bCs/>
          <w:szCs w:val="21"/>
        </w:rPr>
        <w:t>，</w:t>
      </w:r>
      <w:r>
        <w:rPr>
          <w:bCs/>
          <w:szCs w:val="21"/>
        </w:rPr>
        <w:t>实验步骤清晰，计算</w:t>
      </w:r>
      <w:r>
        <w:rPr>
          <w:rFonts w:hint="eastAsia"/>
          <w:bCs/>
          <w:szCs w:val="21"/>
        </w:rPr>
        <w:t>正</w:t>
      </w:r>
      <w:r>
        <w:rPr>
          <w:bCs/>
          <w:szCs w:val="21"/>
        </w:rPr>
        <w:t>确，书写工整。</w:t>
      </w:r>
    </w:p>
    <w:p w14:paraId="2135D267"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试验报告纸、直尺、</w:t>
      </w:r>
      <w:r>
        <w:rPr>
          <w:rFonts w:hint="eastAsia"/>
          <w:bCs/>
          <w:szCs w:val="21"/>
        </w:rPr>
        <w:t>统计</w:t>
      </w:r>
      <w:r>
        <w:rPr>
          <w:bCs/>
          <w:szCs w:val="21"/>
        </w:rPr>
        <w:t>计算器</w:t>
      </w:r>
      <w:r>
        <w:rPr>
          <w:rFonts w:hAnsi="宋体"/>
          <w:bCs/>
          <w:szCs w:val="21"/>
        </w:rPr>
        <w:t>或计算机</w:t>
      </w:r>
      <w:r>
        <w:rPr>
          <w:bCs/>
          <w:szCs w:val="21"/>
        </w:rPr>
        <w:t>。</w:t>
      </w:r>
      <w:bookmarkEnd w:id="67"/>
    </w:p>
    <w:p w14:paraId="28D57F2E"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九</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其他统计分析软件的应用</w:t>
      </w:r>
    </w:p>
    <w:p w14:paraId="217CBF4F" w14:textId="77777777" w:rsidR="00F5289E" w:rsidRDefault="00C91173">
      <w:pPr>
        <w:snapToGrid w:val="0"/>
        <w:spacing w:line="360" w:lineRule="auto"/>
        <w:ind w:firstLineChars="200" w:firstLine="422"/>
        <w:rPr>
          <w:bCs/>
        </w:rPr>
      </w:pPr>
      <w:r>
        <w:rPr>
          <w:b/>
          <w:szCs w:val="21"/>
        </w:rPr>
        <w:t>1.</w:t>
      </w:r>
      <w:r>
        <w:rPr>
          <w:b/>
          <w:szCs w:val="21"/>
        </w:rPr>
        <w:t>实验学时：</w:t>
      </w:r>
      <w:r>
        <w:rPr>
          <w:bCs/>
        </w:rPr>
        <w:t>2</w:t>
      </w:r>
    </w:p>
    <w:p w14:paraId="49C40AFF" w14:textId="77777777" w:rsidR="00F5289E" w:rsidRDefault="00C91173">
      <w:pPr>
        <w:snapToGrid w:val="0"/>
        <w:spacing w:line="360" w:lineRule="auto"/>
        <w:ind w:firstLineChars="200" w:firstLine="422"/>
      </w:pPr>
      <w:r>
        <w:rPr>
          <w:b/>
          <w:szCs w:val="21"/>
        </w:rPr>
        <w:t>2.</w:t>
      </w:r>
      <w:r>
        <w:rPr>
          <w:b/>
          <w:szCs w:val="21"/>
        </w:rPr>
        <w:t>实验目的</w:t>
      </w:r>
      <w:r>
        <w:rPr>
          <w:rFonts w:hint="eastAsia"/>
          <w:b/>
          <w:szCs w:val="21"/>
        </w:rPr>
        <w:t>：</w:t>
      </w:r>
      <w:r>
        <w:rPr>
          <w:rFonts w:hint="eastAsia"/>
          <w:szCs w:val="21"/>
        </w:rPr>
        <w:t>了解</w:t>
      </w:r>
      <w:r>
        <w:rPr>
          <w:rFonts w:hint="eastAsia"/>
        </w:rPr>
        <w:t>其他统计分析软件如</w:t>
      </w:r>
      <w:r>
        <w:rPr>
          <w:rFonts w:hint="eastAsia"/>
        </w:rPr>
        <w:t>R</w:t>
      </w:r>
      <w:r>
        <w:rPr>
          <w:rFonts w:hint="eastAsia"/>
        </w:rPr>
        <w:t>语言等，并学会利用这些统计分析软件进行统计分</w:t>
      </w:r>
      <w:r>
        <w:rPr>
          <w:rFonts w:hint="eastAsia"/>
        </w:rPr>
        <w:lastRenderedPageBreak/>
        <w:t>析</w:t>
      </w:r>
      <w:r>
        <w:t>。</w:t>
      </w:r>
    </w:p>
    <w:p w14:paraId="00E6B58D" w14:textId="77777777" w:rsidR="00F5289E" w:rsidRDefault="00C91173">
      <w:pPr>
        <w:snapToGrid w:val="0"/>
        <w:spacing w:line="360" w:lineRule="auto"/>
        <w:ind w:firstLineChars="200" w:firstLine="422"/>
      </w:pPr>
      <w:r>
        <w:rPr>
          <w:b/>
          <w:szCs w:val="21"/>
        </w:rPr>
        <w:t>3.</w:t>
      </w:r>
      <w:r>
        <w:rPr>
          <w:b/>
          <w:szCs w:val="21"/>
        </w:rPr>
        <w:t>实验内容：</w:t>
      </w:r>
      <w:r>
        <w:rPr>
          <w:rFonts w:hint="eastAsia"/>
          <w:szCs w:val="21"/>
        </w:rPr>
        <w:t>其他统计分析软件的学习</w:t>
      </w:r>
      <w:r>
        <w:t>。</w:t>
      </w:r>
    </w:p>
    <w:p w14:paraId="2DCF9EB1" w14:textId="77777777" w:rsidR="00F5289E" w:rsidRDefault="00C91173">
      <w:pPr>
        <w:snapToGrid w:val="0"/>
        <w:spacing w:line="360" w:lineRule="auto"/>
        <w:ind w:firstLineChars="200" w:firstLine="422"/>
        <w:rPr>
          <w:bCs/>
          <w:szCs w:val="21"/>
        </w:rPr>
      </w:pPr>
      <w:r>
        <w:rPr>
          <w:b/>
          <w:szCs w:val="21"/>
        </w:rPr>
        <w:t>4.</w:t>
      </w:r>
      <w:r>
        <w:rPr>
          <w:b/>
          <w:szCs w:val="21"/>
        </w:rPr>
        <w:t>实验要求：</w:t>
      </w:r>
      <w:r>
        <w:rPr>
          <w:rFonts w:hint="eastAsia"/>
          <w:szCs w:val="21"/>
        </w:rPr>
        <w:t>了解其他统计分析软件，初步掌握如何利用这些统计分析软件进行数据的整理与分析</w:t>
      </w:r>
      <w:r>
        <w:rPr>
          <w:bCs/>
          <w:szCs w:val="21"/>
        </w:rPr>
        <w:t>。</w:t>
      </w:r>
    </w:p>
    <w:p w14:paraId="1107B62F"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rFonts w:hAnsi="宋体"/>
          <w:bCs/>
          <w:szCs w:val="21"/>
        </w:rPr>
        <w:t>计算机</w:t>
      </w:r>
      <w:r>
        <w:rPr>
          <w:bCs/>
          <w:szCs w:val="21"/>
        </w:rPr>
        <w:t>。</w:t>
      </w:r>
    </w:p>
    <w:p w14:paraId="6FE4EBCC" w14:textId="77777777" w:rsidR="00F5289E" w:rsidRDefault="00C91173">
      <w:pPr>
        <w:snapToGrid w:val="0"/>
        <w:spacing w:line="360" w:lineRule="auto"/>
        <w:rPr>
          <w:rFonts w:ascii="宋体" w:hAnsi="宋体"/>
          <w:bCs/>
          <w:color w:val="0000FF"/>
          <w:szCs w:val="21"/>
        </w:rPr>
      </w:pPr>
      <w:r>
        <w:rPr>
          <w:rFonts w:ascii="宋体" w:hAnsi="宋体" w:hint="eastAsia"/>
          <w:b/>
          <w:szCs w:val="21"/>
        </w:rPr>
        <w:t>(七)</w:t>
      </w:r>
      <w:r>
        <w:rPr>
          <w:rFonts w:ascii="宋体" w:hAnsi="宋体" w:hint="eastAsia"/>
          <w:b/>
          <w:bCs/>
          <w:szCs w:val="21"/>
        </w:rPr>
        <w:t>考核方式及成绩评定</w:t>
      </w:r>
    </w:p>
    <w:p w14:paraId="3C36D494" w14:textId="77777777" w:rsidR="00F5289E" w:rsidRDefault="00C91173">
      <w:pPr>
        <w:snapToGrid w:val="0"/>
        <w:spacing w:line="360" w:lineRule="auto"/>
        <w:ind w:firstLineChars="200" w:firstLine="420"/>
        <w:rPr>
          <w:rFonts w:ascii="宋体" w:hAnsi="宋体"/>
          <w:bCs/>
        </w:rPr>
      </w:pPr>
      <w:r>
        <w:rPr>
          <w:rFonts w:ascii="宋体" w:hAnsi="宋体" w:hint="eastAsia"/>
          <w:bCs/>
        </w:rPr>
        <w:t>通过上机练习并提交实验报告的方式进行考核及成绩评定。</w:t>
      </w:r>
    </w:p>
    <w:p w14:paraId="1E85FD5F"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1555E38E" w14:textId="77777777" w:rsidR="00F5289E" w:rsidRDefault="00C91173">
      <w:pPr>
        <w:widowControl/>
        <w:snapToGrid w:val="0"/>
        <w:spacing w:line="360" w:lineRule="auto"/>
        <w:ind w:firstLineChars="200" w:firstLine="420"/>
        <w:rPr>
          <w:rFonts w:ascii="仿宋_GB2312" w:hAnsi="仿宋_GB2312" w:cs="仿宋_GB2312"/>
          <w:szCs w:val="32"/>
        </w:rPr>
      </w:pPr>
      <w:r>
        <w:rPr>
          <w:rFonts w:ascii="宋体" w:hAnsi="宋体" w:hint="eastAsia"/>
          <w:bCs/>
        </w:rPr>
        <w:t>在本课程教学过程中，通过提炼课程中蕴含的思政教育，在提高学生学习能力、研究能力和专业适应能力的同时培养学生的专业责任感和使命感，厚植三农情怀，</w:t>
      </w:r>
      <w:r>
        <w:rPr>
          <w:rFonts w:ascii="仿宋_GB2312" w:hAnsi="仿宋_GB2312" w:cs="仿宋_GB2312" w:hint="eastAsia"/>
          <w:szCs w:val="32"/>
        </w:rPr>
        <w:t>懂农业，爱农村，爱农民，立志服务三农，把科技论文写在祖国大地上。例如在第一章研究计划的拟定中，介绍选题的途径，分别以习近平总书记提出的“广大科技工作者要把论文写在祖国的大地上，把科技成果应用在实现现代化的伟大事业中。”号召启发学生理解以生产中存在的主要问题为研究课题，结合学院科研团队的研究课题，引导学生对园艺产业问题的理解，树立把论文写在祖国大地上的意识和信念，激发学生的专业兴趣。以中科院院长白春礼院士提出的“把美国卡脖子的清单变成我们科研任务清单”引导学生理解以科学技术发展中存在的主要问题为研究课题，增强专业责任和使命感。在课程最后设置思考题目：结合自己的专业，谈谈你认为园艺产业中的“卡脖子”问题有哪些？让学生自己了解专业中的产业问题，从而激发专业兴趣，进一步增强服务农业农村的使命感和责任感。</w:t>
      </w:r>
    </w:p>
    <w:p w14:paraId="1B07815A" w14:textId="77777777" w:rsidR="00F5289E" w:rsidRDefault="00C91173">
      <w:pPr>
        <w:widowControl/>
        <w:snapToGrid w:val="0"/>
        <w:spacing w:line="360" w:lineRule="auto"/>
        <w:ind w:firstLineChars="200" w:firstLine="420"/>
        <w:rPr>
          <w:rFonts w:ascii="宋体" w:hAnsi="宋体"/>
          <w:bCs/>
        </w:rPr>
      </w:pPr>
      <w:r>
        <w:rPr>
          <w:rFonts w:ascii="宋体" w:hAnsi="宋体" w:hint="eastAsia"/>
          <w:bCs/>
        </w:rPr>
        <w:t>通过严谨的统计分析过程，培养实事求是、求真务实的科学态度。例如在介绍田间试验的基本要求，即目的明确，代表性，正确性和可重演性时，通过国内外典型的反面案例（小保晴方子事件和韩春雨论文撤稿事件）让学生理解试验可重演性的重要性，同时，也让学生明白在科学研究中，要实事求是、求真务实，不急功近利，守住做人、做事的道德底线，不迷失自己，踏实做事，培养正确的科学素养。</w:t>
      </w:r>
    </w:p>
    <w:p w14:paraId="09FA071B" w14:textId="77777777" w:rsidR="00F5289E" w:rsidRDefault="00C91173">
      <w:pPr>
        <w:widowControl/>
        <w:snapToGrid w:val="0"/>
        <w:spacing w:line="360" w:lineRule="auto"/>
        <w:jc w:val="left"/>
        <w:rPr>
          <w:rFonts w:ascii="宋体" w:hAnsi="宋体"/>
          <w:color w:val="0000FF"/>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57EF4D21"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126EDF48" w14:textId="77777777" w:rsidR="00F5289E" w:rsidRDefault="00C91173">
      <w:pPr>
        <w:spacing w:line="360" w:lineRule="auto"/>
        <w:ind w:firstLineChars="200" w:firstLine="420"/>
        <w:rPr>
          <w:szCs w:val="21"/>
        </w:rPr>
      </w:pPr>
      <w:r>
        <w:rPr>
          <w:rFonts w:hint="eastAsia"/>
          <w:szCs w:val="21"/>
        </w:rPr>
        <w:t>（</w:t>
      </w:r>
      <w:r>
        <w:rPr>
          <w:rFonts w:hint="eastAsia"/>
          <w:szCs w:val="21"/>
        </w:rPr>
        <w:t>1</w:t>
      </w:r>
      <w:r>
        <w:rPr>
          <w:rFonts w:hint="eastAsia"/>
          <w:szCs w:val="21"/>
        </w:rPr>
        <w:t>）理论课教材：试验统计方法（第五版），盖钧镒等编著，中国农业出版社，</w:t>
      </w:r>
      <w:r>
        <w:rPr>
          <w:szCs w:val="21"/>
        </w:rPr>
        <w:t>2020</w:t>
      </w:r>
      <w:r>
        <w:rPr>
          <w:rFonts w:hint="eastAsia"/>
          <w:szCs w:val="21"/>
        </w:rPr>
        <w:t>年</w:t>
      </w:r>
    </w:p>
    <w:p w14:paraId="42787D09" w14:textId="77777777" w:rsidR="00F5289E" w:rsidRDefault="00C91173">
      <w:pPr>
        <w:spacing w:line="360" w:lineRule="auto"/>
        <w:ind w:firstLineChars="200" w:firstLine="420"/>
        <w:rPr>
          <w:szCs w:val="21"/>
        </w:rPr>
      </w:pPr>
      <w:r>
        <w:rPr>
          <w:rFonts w:hint="eastAsia"/>
          <w:szCs w:val="21"/>
        </w:rPr>
        <w:t>（</w:t>
      </w:r>
      <w:r>
        <w:rPr>
          <w:rFonts w:hint="eastAsia"/>
          <w:szCs w:val="21"/>
        </w:rPr>
        <w:t>2</w:t>
      </w:r>
      <w:r>
        <w:rPr>
          <w:rFonts w:hint="eastAsia"/>
          <w:szCs w:val="21"/>
        </w:rPr>
        <w:t>）实验课教材：</w:t>
      </w:r>
      <w:r>
        <w:rPr>
          <w:rStyle w:val="afb"/>
          <w:rFonts w:hint="eastAsia"/>
        </w:rPr>
        <w:t>试验设计与统计分析实验指导书，试验设计与统计分析课程组自编</w:t>
      </w:r>
    </w:p>
    <w:p w14:paraId="23619EBC"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73134B51" w14:textId="77777777" w:rsidR="00F5289E" w:rsidRDefault="00C91173">
      <w:pPr>
        <w:adjustRightInd w:val="0"/>
        <w:snapToGrid w:val="0"/>
        <w:spacing w:line="360" w:lineRule="auto"/>
        <w:ind w:firstLine="420"/>
        <w:rPr>
          <w:szCs w:val="21"/>
        </w:rPr>
      </w:pPr>
      <w:r>
        <w:rPr>
          <w:rFonts w:hint="eastAsia"/>
          <w:szCs w:val="21"/>
        </w:rPr>
        <w:t>（</w:t>
      </w:r>
      <w:r>
        <w:rPr>
          <w:rFonts w:hint="eastAsia"/>
          <w:szCs w:val="21"/>
        </w:rPr>
        <w:t>1</w:t>
      </w:r>
      <w:r>
        <w:rPr>
          <w:rFonts w:hint="eastAsia"/>
          <w:szCs w:val="21"/>
        </w:rPr>
        <w:t>）生物统计附试验设计（第六版），明道绪</w:t>
      </w:r>
      <w:r>
        <w:rPr>
          <w:rFonts w:hint="eastAsia"/>
          <w:szCs w:val="21"/>
        </w:rPr>
        <w:t xml:space="preserve"> </w:t>
      </w:r>
      <w:r>
        <w:rPr>
          <w:rFonts w:hint="eastAsia"/>
          <w:szCs w:val="21"/>
        </w:rPr>
        <w:t>刘永建主编，中国农业出版社，</w:t>
      </w:r>
      <w:r>
        <w:rPr>
          <w:rFonts w:hint="eastAsia"/>
          <w:szCs w:val="21"/>
        </w:rPr>
        <w:t>2019</w:t>
      </w:r>
      <w:r>
        <w:rPr>
          <w:rFonts w:hint="eastAsia"/>
          <w:szCs w:val="21"/>
        </w:rPr>
        <w:t>年</w:t>
      </w:r>
    </w:p>
    <w:p w14:paraId="463D4508" w14:textId="77777777" w:rsidR="00F5289E" w:rsidRDefault="00C91173">
      <w:pPr>
        <w:adjustRightInd w:val="0"/>
        <w:snapToGrid w:val="0"/>
        <w:spacing w:line="360" w:lineRule="auto"/>
        <w:ind w:firstLine="420"/>
        <w:rPr>
          <w:szCs w:val="21"/>
        </w:rPr>
      </w:pPr>
      <w:r>
        <w:rPr>
          <w:rFonts w:hint="eastAsia"/>
          <w:szCs w:val="21"/>
        </w:rPr>
        <w:t>（</w:t>
      </w:r>
      <w:r>
        <w:rPr>
          <w:rFonts w:hint="eastAsia"/>
          <w:szCs w:val="21"/>
        </w:rPr>
        <w:t>2</w:t>
      </w:r>
      <w:r>
        <w:rPr>
          <w:rFonts w:hint="eastAsia"/>
          <w:szCs w:val="21"/>
        </w:rPr>
        <w:t>）园艺植物研究法（第二版），廖明安等编著，中国农业出版社，</w:t>
      </w:r>
      <w:r>
        <w:rPr>
          <w:rFonts w:hint="eastAsia"/>
          <w:szCs w:val="21"/>
        </w:rPr>
        <w:t>2015</w:t>
      </w:r>
      <w:r>
        <w:rPr>
          <w:rFonts w:hint="eastAsia"/>
          <w:szCs w:val="21"/>
        </w:rPr>
        <w:t>年</w:t>
      </w:r>
    </w:p>
    <w:p w14:paraId="378E1F3F" w14:textId="77777777" w:rsidR="00F5289E" w:rsidRDefault="00C91173">
      <w:pPr>
        <w:adjustRightInd w:val="0"/>
        <w:snapToGrid w:val="0"/>
        <w:spacing w:line="360" w:lineRule="auto"/>
        <w:ind w:firstLine="420"/>
        <w:rPr>
          <w:szCs w:val="21"/>
        </w:rPr>
      </w:pPr>
      <w:r>
        <w:rPr>
          <w:rFonts w:hint="eastAsia"/>
          <w:szCs w:val="21"/>
        </w:rPr>
        <w:t>（</w:t>
      </w:r>
      <w:r>
        <w:rPr>
          <w:rFonts w:hint="eastAsia"/>
          <w:szCs w:val="21"/>
        </w:rPr>
        <w:t>3</w:t>
      </w:r>
      <w:r>
        <w:rPr>
          <w:rFonts w:hint="eastAsia"/>
          <w:szCs w:val="21"/>
        </w:rPr>
        <w:t>）田间试验与统计方法（第二版），宁海龙等编著，科学出版社，</w:t>
      </w:r>
      <w:r>
        <w:rPr>
          <w:rFonts w:hint="eastAsia"/>
          <w:szCs w:val="21"/>
        </w:rPr>
        <w:t>2020</w:t>
      </w:r>
      <w:r>
        <w:rPr>
          <w:rFonts w:hint="eastAsia"/>
          <w:szCs w:val="21"/>
        </w:rPr>
        <w:t>年</w:t>
      </w:r>
    </w:p>
    <w:p w14:paraId="62517778" w14:textId="77777777" w:rsidR="00F5289E" w:rsidRDefault="00C91173">
      <w:pPr>
        <w:adjustRightInd w:val="0"/>
        <w:snapToGrid w:val="0"/>
        <w:spacing w:line="360" w:lineRule="auto"/>
        <w:ind w:firstLine="420"/>
        <w:rPr>
          <w:szCs w:val="21"/>
        </w:rPr>
      </w:pPr>
      <w:r>
        <w:rPr>
          <w:rFonts w:hint="eastAsia"/>
          <w:szCs w:val="21"/>
        </w:rPr>
        <w:t>（</w:t>
      </w:r>
      <w:r>
        <w:rPr>
          <w:rFonts w:hint="eastAsia"/>
          <w:szCs w:val="21"/>
        </w:rPr>
        <w:t>4</w:t>
      </w:r>
      <w:r>
        <w:rPr>
          <w:rFonts w:hint="eastAsia"/>
          <w:szCs w:val="21"/>
        </w:rPr>
        <w:t>）生物统计学（第二版），</w:t>
      </w:r>
      <w:r>
        <w:fldChar w:fldCharType="begin"/>
      </w:r>
      <w:r>
        <w:instrText>HYPERLINK "https://book.jd.com/writer/%E5%BD%AD%E6%98%8E%E6%98%A5_1.html" \t "https://item.jd.com/_blank"</w:instrText>
      </w:r>
      <w:r>
        <w:fldChar w:fldCharType="separate"/>
      </w:r>
      <w:r>
        <w:rPr>
          <w:rFonts w:hint="eastAsia"/>
          <w:szCs w:val="21"/>
        </w:rPr>
        <w:t>彭明春</w:t>
      </w:r>
      <w:r>
        <w:rPr>
          <w:szCs w:val="21"/>
        </w:rPr>
        <w:fldChar w:fldCharType="end"/>
      </w:r>
      <w:r>
        <w:rPr>
          <w:rFonts w:hint="eastAsia"/>
          <w:szCs w:val="21"/>
        </w:rPr>
        <w:t>，</w:t>
      </w:r>
      <w:r>
        <w:fldChar w:fldCharType="begin"/>
      </w:r>
      <w:r>
        <w:instrText>HYPERLINK "https://book.jd.com/writer/%E9%99%88%E5%85%B6%E6%96%B0_1.html" \t "https://item.jd.com/_blank"</w:instrText>
      </w:r>
      <w:r>
        <w:fldChar w:fldCharType="separate"/>
      </w:r>
      <w:r>
        <w:rPr>
          <w:rFonts w:hint="eastAsia"/>
          <w:szCs w:val="21"/>
        </w:rPr>
        <w:t>陈其新</w:t>
      </w:r>
      <w:r>
        <w:rPr>
          <w:szCs w:val="21"/>
        </w:rPr>
        <w:fldChar w:fldCharType="end"/>
      </w:r>
      <w:r>
        <w:rPr>
          <w:rFonts w:hint="eastAsia"/>
          <w:szCs w:val="21"/>
        </w:rPr>
        <w:t>等编著，华中科技大学出版社，</w:t>
      </w:r>
      <w:r>
        <w:rPr>
          <w:rFonts w:hint="eastAsia"/>
          <w:szCs w:val="21"/>
        </w:rPr>
        <w:t>2022</w:t>
      </w:r>
      <w:r>
        <w:rPr>
          <w:rFonts w:hint="eastAsia"/>
          <w:szCs w:val="21"/>
        </w:rPr>
        <w:t>年</w:t>
      </w:r>
    </w:p>
    <w:p w14:paraId="6A6130A6" w14:textId="77777777" w:rsidR="00F5289E" w:rsidRDefault="00C91173">
      <w:pPr>
        <w:adjustRightInd w:val="0"/>
        <w:snapToGrid w:val="0"/>
        <w:spacing w:line="360" w:lineRule="auto"/>
        <w:ind w:firstLine="420"/>
        <w:rPr>
          <w:szCs w:val="21"/>
        </w:rPr>
      </w:pPr>
      <w:r>
        <w:rPr>
          <w:rFonts w:hint="eastAsia"/>
          <w:szCs w:val="21"/>
        </w:rPr>
        <w:t>（</w:t>
      </w:r>
      <w:r>
        <w:rPr>
          <w:rFonts w:hint="eastAsia"/>
          <w:szCs w:val="21"/>
        </w:rPr>
        <w:t>5</w:t>
      </w:r>
      <w:r>
        <w:rPr>
          <w:rFonts w:hint="eastAsia"/>
          <w:szCs w:val="21"/>
        </w:rPr>
        <w:t>）</w:t>
      </w:r>
      <w:r>
        <w:rPr>
          <w:szCs w:val="21"/>
        </w:rPr>
        <w:t>高级生物统计学</w:t>
      </w:r>
      <w:r>
        <w:rPr>
          <w:rFonts w:hint="eastAsia"/>
          <w:szCs w:val="21"/>
        </w:rPr>
        <w:t>，</w:t>
      </w:r>
      <w:hyperlink r:id="rId19" w:tgtFrame="https://item.jd.com/_blank" w:history="1">
        <w:r>
          <w:rPr>
            <w:rFonts w:hint="eastAsia"/>
            <w:szCs w:val="21"/>
          </w:rPr>
          <w:t>刘永建</w:t>
        </w:r>
      </w:hyperlink>
      <w:r>
        <w:rPr>
          <w:rFonts w:hint="eastAsia"/>
          <w:szCs w:val="21"/>
        </w:rPr>
        <w:t>著，科学出版社，</w:t>
      </w:r>
      <w:r>
        <w:rPr>
          <w:rFonts w:hint="eastAsia"/>
          <w:szCs w:val="21"/>
        </w:rPr>
        <w:t>2022</w:t>
      </w:r>
      <w:r>
        <w:rPr>
          <w:rFonts w:hint="eastAsia"/>
          <w:szCs w:val="21"/>
        </w:rPr>
        <w:t>年</w:t>
      </w:r>
    </w:p>
    <w:p w14:paraId="2D944C63" w14:textId="77777777" w:rsidR="00F5289E" w:rsidRDefault="00C91173">
      <w:pPr>
        <w:spacing w:line="360" w:lineRule="auto"/>
        <w:ind w:firstLine="420"/>
        <w:rPr>
          <w:b/>
          <w:kern w:val="0"/>
          <w:szCs w:val="21"/>
        </w:rPr>
      </w:pPr>
      <w:r>
        <w:rPr>
          <w:b/>
          <w:kern w:val="0"/>
          <w:szCs w:val="21"/>
        </w:rPr>
        <w:lastRenderedPageBreak/>
        <w:t>3.</w:t>
      </w:r>
      <w:r>
        <w:rPr>
          <w:b/>
          <w:kern w:val="0"/>
          <w:szCs w:val="21"/>
        </w:rPr>
        <w:t>推荐网站</w:t>
      </w:r>
      <w:r>
        <w:rPr>
          <w:rFonts w:hint="eastAsia"/>
          <w:b/>
          <w:kern w:val="0"/>
          <w:szCs w:val="21"/>
        </w:rPr>
        <w:t>（线上资源）</w:t>
      </w:r>
      <w:r>
        <w:rPr>
          <w:b/>
          <w:kern w:val="0"/>
          <w:szCs w:val="21"/>
        </w:rPr>
        <w:t>：</w:t>
      </w:r>
    </w:p>
    <w:p w14:paraId="2D434403" w14:textId="77777777" w:rsidR="00F5289E" w:rsidRDefault="00C91173">
      <w:pPr>
        <w:widowControl/>
        <w:snapToGrid w:val="0"/>
        <w:spacing w:line="360" w:lineRule="auto"/>
        <w:ind w:firstLine="420"/>
        <w:jc w:val="left"/>
        <w:rPr>
          <w:b/>
          <w:bCs/>
          <w:kern w:val="0"/>
          <w:szCs w:val="21"/>
        </w:rPr>
      </w:pPr>
      <w:r>
        <w:rPr>
          <w:szCs w:val="21"/>
        </w:rPr>
        <w:t>（</w:t>
      </w:r>
      <w:r>
        <w:rPr>
          <w:szCs w:val="21"/>
        </w:rPr>
        <w:t>1</w:t>
      </w:r>
      <w:r>
        <w:rPr>
          <w:szCs w:val="21"/>
        </w:rPr>
        <w:t>）中国统计网，</w:t>
      </w:r>
      <w:r>
        <w:rPr>
          <w:szCs w:val="21"/>
        </w:rPr>
        <w:t>http://www.itongji.cn/cms/article/index</w:t>
      </w:r>
    </w:p>
    <w:p w14:paraId="0894FCF6" w14:textId="77777777" w:rsidR="00F5289E" w:rsidRDefault="00C91173">
      <w:pPr>
        <w:widowControl/>
        <w:snapToGrid w:val="0"/>
        <w:spacing w:line="360" w:lineRule="auto"/>
        <w:ind w:firstLine="420"/>
        <w:jc w:val="left"/>
        <w:rPr>
          <w:b/>
          <w:bCs/>
          <w:kern w:val="0"/>
          <w:szCs w:val="21"/>
        </w:rPr>
      </w:pPr>
      <w:r>
        <w:rPr>
          <w:szCs w:val="21"/>
        </w:rPr>
        <w:t>（</w:t>
      </w:r>
      <w:r>
        <w:rPr>
          <w:szCs w:val="21"/>
        </w:rPr>
        <w:t>2</w:t>
      </w:r>
      <w:r>
        <w:rPr>
          <w:szCs w:val="21"/>
        </w:rPr>
        <w:t>）中国大学</w:t>
      </w:r>
      <w:r>
        <w:rPr>
          <w:szCs w:val="21"/>
        </w:rPr>
        <w:t>MOOC</w:t>
      </w:r>
      <w:r>
        <w:rPr>
          <w:szCs w:val="21"/>
        </w:rPr>
        <w:t>网，</w:t>
      </w:r>
      <w:r>
        <w:rPr>
          <w:szCs w:val="21"/>
        </w:rPr>
        <w:t>https://www.icourse163.org/</w:t>
      </w:r>
    </w:p>
    <w:p w14:paraId="56B922FC" w14:textId="77777777" w:rsidR="00F5289E" w:rsidRDefault="00C91173">
      <w:pPr>
        <w:widowControl/>
        <w:snapToGrid w:val="0"/>
        <w:spacing w:line="360" w:lineRule="auto"/>
        <w:ind w:firstLineChars="200" w:firstLine="420"/>
        <w:jc w:val="left"/>
        <w:rPr>
          <w:szCs w:val="21"/>
        </w:rPr>
      </w:pPr>
      <w:r>
        <w:rPr>
          <w:kern w:val="0"/>
        </w:rPr>
        <w:t>（</w:t>
      </w:r>
      <w:r>
        <w:rPr>
          <w:kern w:val="0"/>
        </w:rPr>
        <w:t>3</w:t>
      </w:r>
      <w:r>
        <w:rPr>
          <w:kern w:val="0"/>
        </w:rPr>
        <w:t>）超星学习通平台，</w:t>
      </w:r>
      <w:r>
        <w:rPr>
          <w:szCs w:val="21"/>
        </w:rPr>
        <w:t>http://henau.fanya.chaoxing.com/portal</w:t>
      </w:r>
    </w:p>
    <w:p w14:paraId="1780118A" w14:textId="77777777" w:rsidR="00F5289E" w:rsidRDefault="00C91173">
      <w:pPr>
        <w:widowControl/>
        <w:snapToGrid w:val="0"/>
        <w:spacing w:line="360" w:lineRule="auto"/>
        <w:ind w:firstLineChars="200" w:firstLine="420"/>
        <w:jc w:val="left"/>
        <w:rPr>
          <w:szCs w:val="21"/>
        </w:rPr>
      </w:pPr>
      <w:r>
        <w:rPr>
          <w:szCs w:val="21"/>
        </w:rPr>
        <w:t>（</w:t>
      </w:r>
      <w:r>
        <w:rPr>
          <w:szCs w:val="21"/>
        </w:rPr>
        <w:t>4</w:t>
      </w:r>
      <w:r>
        <w:rPr>
          <w:szCs w:val="21"/>
        </w:rPr>
        <w:t>）</w:t>
      </w:r>
      <w:r>
        <w:rPr>
          <w:szCs w:val="21"/>
        </w:rPr>
        <w:t>Excel</w:t>
      </w:r>
      <w:r>
        <w:rPr>
          <w:szCs w:val="21"/>
        </w:rPr>
        <w:t>，</w:t>
      </w:r>
      <w:r w:rsidRPr="00D93479">
        <w:rPr>
          <w:szCs w:val="21"/>
        </w:rPr>
        <w:t>https://www.microsoft.com</w:t>
      </w:r>
    </w:p>
    <w:p w14:paraId="272D9581" w14:textId="77777777" w:rsidR="00F5289E" w:rsidRDefault="00C91173">
      <w:pPr>
        <w:widowControl/>
        <w:snapToGrid w:val="0"/>
        <w:spacing w:line="360" w:lineRule="auto"/>
        <w:ind w:firstLineChars="800" w:firstLine="1680"/>
        <w:jc w:val="left"/>
        <w:rPr>
          <w:szCs w:val="21"/>
        </w:rPr>
      </w:pPr>
      <w:r>
        <w:rPr>
          <w:szCs w:val="21"/>
        </w:rPr>
        <w:t>https://www.microsoft.com/zh-cn/microsoft-365</w:t>
      </w:r>
    </w:p>
    <w:p w14:paraId="1ACD3C73" w14:textId="77777777" w:rsidR="00F5289E" w:rsidRDefault="00C91173">
      <w:pPr>
        <w:widowControl/>
        <w:snapToGrid w:val="0"/>
        <w:spacing w:line="360" w:lineRule="auto"/>
        <w:ind w:firstLineChars="200" w:firstLine="420"/>
        <w:jc w:val="left"/>
        <w:rPr>
          <w:szCs w:val="21"/>
        </w:rPr>
      </w:pPr>
      <w:r>
        <w:rPr>
          <w:szCs w:val="21"/>
        </w:rPr>
        <w:t>（</w:t>
      </w:r>
      <w:r>
        <w:rPr>
          <w:szCs w:val="21"/>
        </w:rPr>
        <w:t>5</w:t>
      </w:r>
      <w:r>
        <w:rPr>
          <w:szCs w:val="21"/>
        </w:rPr>
        <w:t>）</w:t>
      </w:r>
      <w:r>
        <w:rPr>
          <w:szCs w:val="21"/>
        </w:rPr>
        <w:t>SPSS</w:t>
      </w:r>
      <w:r>
        <w:rPr>
          <w:szCs w:val="21"/>
        </w:rPr>
        <w:t>，</w:t>
      </w:r>
      <w:r>
        <w:rPr>
          <w:szCs w:val="21"/>
        </w:rPr>
        <w:t>https://www.ibm.com/products/spss-statistics</w:t>
      </w:r>
    </w:p>
    <w:p w14:paraId="4E94BF4C" w14:textId="77777777" w:rsidR="00F5289E" w:rsidRDefault="00C91173">
      <w:pPr>
        <w:widowControl/>
        <w:snapToGrid w:val="0"/>
        <w:spacing w:line="360" w:lineRule="auto"/>
        <w:ind w:firstLineChars="200" w:firstLine="420"/>
        <w:jc w:val="left"/>
        <w:rPr>
          <w:szCs w:val="21"/>
        </w:rPr>
      </w:pPr>
      <w:r>
        <w:rPr>
          <w:szCs w:val="21"/>
        </w:rPr>
        <w:t>（</w:t>
      </w:r>
      <w:r>
        <w:rPr>
          <w:szCs w:val="21"/>
        </w:rPr>
        <w:t>6</w:t>
      </w:r>
      <w:r>
        <w:rPr>
          <w:szCs w:val="21"/>
        </w:rPr>
        <w:t>）</w:t>
      </w:r>
      <w:r>
        <w:rPr>
          <w:szCs w:val="21"/>
        </w:rPr>
        <w:t>Origin</w:t>
      </w:r>
      <w:r>
        <w:rPr>
          <w:szCs w:val="21"/>
        </w:rPr>
        <w:t>，</w:t>
      </w:r>
      <w:r>
        <w:rPr>
          <w:szCs w:val="21"/>
        </w:rPr>
        <w:t>https://www.originlab.com/</w:t>
      </w:r>
    </w:p>
    <w:p w14:paraId="3B7BB74D" w14:textId="77777777" w:rsidR="00F5289E" w:rsidRDefault="00C91173">
      <w:pPr>
        <w:widowControl/>
        <w:snapToGrid w:val="0"/>
        <w:spacing w:line="360" w:lineRule="auto"/>
        <w:ind w:firstLineChars="200" w:firstLine="420"/>
        <w:jc w:val="left"/>
        <w:rPr>
          <w:szCs w:val="21"/>
        </w:rPr>
      </w:pPr>
      <w:r>
        <w:rPr>
          <w:szCs w:val="21"/>
        </w:rPr>
        <w:t>（</w:t>
      </w:r>
      <w:r>
        <w:rPr>
          <w:szCs w:val="21"/>
        </w:rPr>
        <w:t>7</w:t>
      </w:r>
      <w:r>
        <w:rPr>
          <w:szCs w:val="21"/>
        </w:rPr>
        <w:t>）</w:t>
      </w:r>
      <w:r>
        <w:rPr>
          <w:szCs w:val="21"/>
        </w:rPr>
        <w:t>GraphPad Prism</w:t>
      </w:r>
      <w:r>
        <w:rPr>
          <w:szCs w:val="21"/>
        </w:rPr>
        <w:t>，</w:t>
      </w:r>
      <w:r>
        <w:rPr>
          <w:szCs w:val="21"/>
        </w:rPr>
        <w:t>https://www.graphpad-prism.cn/</w:t>
      </w:r>
    </w:p>
    <w:p w14:paraId="1433E602" w14:textId="77777777" w:rsidR="00F5289E" w:rsidRDefault="00C91173">
      <w:pPr>
        <w:widowControl/>
        <w:snapToGrid w:val="0"/>
        <w:spacing w:line="360" w:lineRule="auto"/>
        <w:ind w:firstLineChars="200" w:firstLine="420"/>
        <w:jc w:val="left"/>
        <w:rPr>
          <w:szCs w:val="21"/>
        </w:rPr>
      </w:pPr>
      <w:r>
        <w:rPr>
          <w:szCs w:val="21"/>
        </w:rPr>
        <w:t>（</w:t>
      </w:r>
      <w:r>
        <w:rPr>
          <w:szCs w:val="21"/>
        </w:rPr>
        <w:t>8</w:t>
      </w:r>
      <w:r>
        <w:rPr>
          <w:szCs w:val="21"/>
        </w:rPr>
        <w:t>）</w:t>
      </w:r>
      <w:r>
        <w:rPr>
          <w:szCs w:val="21"/>
        </w:rPr>
        <w:t>R</w:t>
      </w:r>
      <w:r>
        <w:rPr>
          <w:szCs w:val="21"/>
        </w:rPr>
        <w:t>，</w:t>
      </w:r>
      <w:r>
        <w:rPr>
          <w:szCs w:val="21"/>
        </w:rPr>
        <w:t>https://www.r-project.org/</w:t>
      </w:r>
    </w:p>
    <w:p w14:paraId="260B96D2" w14:textId="77777777" w:rsidR="00F5289E" w:rsidRDefault="00C91173">
      <w:pPr>
        <w:widowControl/>
        <w:snapToGrid w:val="0"/>
        <w:spacing w:line="360" w:lineRule="auto"/>
        <w:ind w:firstLineChars="200" w:firstLine="420"/>
        <w:jc w:val="left"/>
        <w:rPr>
          <w:szCs w:val="21"/>
        </w:rPr>
      </w:pPr>
      <w:r>
        <w:rPr>
          <w:szCs w:val="21"/>
        </w:rPr>
        <w:t>（</w:t>
      </w:r>
      <w:r>
        <w:rPr>
          <w:szCs w:val="21"/>
        </w:rPr>
        <w:t>9</w:t>
      </w:r>
      <w:r>
        <w:rPr>
          <w:szCs w:val="21"/>
        </w:rPr>
        <w:t>）</w:t>
      </w:r>
      <w:r>
        <w:rPr>
          <w:szCs w:val="21"/>
        </w:rPr>
        <w:t>Python</w:t>
      </w:r>
      <w:r>
        <w:rPr>
          <w:szCs w:val="21"/>
        </w:rPr>
        <w:t>，</w:t>
      </w:r>
      <w:r>
        <w:rPr>
          <w:szCs w:val="21"/>
        </w:rPr>
        <w:t>https://www.python.org/</w:t>
      </w:r>
    </w:p>
    <w:p w14:paraId="25A5C3B1"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63512920" w14:textId="77777777" w:rsidR="00F5289E" w:rsidRDefault="00C91173">
      <w:pPr>
        <w:snapToGrid w:val="0"/>
        <w:spacing w:line="360" w:lineRule="auto"/>
        <w:ind w:firstLineChars="200" w:firstLine="420"/>
        <w:rPr>
          <w:rFonts w:cs="宋体"/>
          <w:bCs/>
          <w:kern w:val="0"/>
          <w:szCs w:val="21"/>
        </w:rPr>
      </w:pPr>
      <w:r>
        <w:rPr>
          <w:rFonts w:cs="宋体" w:hint="eastAsia"/>
          <w:bCs/>
          <w:kern w:val="0"/>
          <w:szCs w:val="21"/>
        </w:rPr>
        <w:t xml:space="preserve">1. </w:t>
      </w:r>
      <w:r>
        <w:rPr>
          <w:rFonts w:cs="宋体" w:hint="eastAsia"/>
          <w:bCs/>
          <w:kern w:val="0"/>
          <w:szCs w:val="21"/>
        </w:rPr>
        <w:t>需要师资情况：每个课头需要教师</w:t>
      </w:r>
      <w:r>
        <w:rPr>
          <w:rFonts w:cs="宋体" w:hint="eastAsia"/>
          <w:bCs/>
          <w:kern w:val="0"/>
          <w:szCs w:val="21"/>
        </w:rPr>
        <w:t>2~3</w:t>
      </w:r>
      <w:r>
        <w:rPr>
          <w:rFonts w:cs="宋体" w:hint="eastAsia"/>
          <w:bCs/>
          <w:kern w:val="0"/>
          <w:szCs w:val="21"/>
        </w:rPr>
        <w:t>人，试验设计与统计分析课题组现有教师</w:t>
      </w:r>
      <w:r>
        <w:rPr>
          <w:rFonts w:cs="宋体"/>
          <w:bCs/>
          <w:kern w:val="0"/>
          <w:szCs w:val="21"/>
        </w:rPr>
        <w:t>8</w:t>
      </w:r>
      <w:r>
        <w:rPr>
          <w:rFonts w:cs="宋体" w:hint="eastAsia"/>
          <w:bCs/>
          <w:kern w:val="0"/>
          <w:szCs w:val="21"/>
        </w:rPr>
        <w:t>人，承担</w:t>
      </w:r>
      <w:r>
        <w:rPr>
          <w:rFonts w:cs="宋体" w:hint="eastAsia"/>
          <w:bCs/>
          <w:kern w:val="0"/>
          <w:szCs w:val="21"/>
        </w:rPr>
        <w:t>3</w:t>
      </w:r>
      <w:r>
        <w:rPr>
          <w:rFonts w:cs="宋体" w:hint="eastAsia"/>
          <w:bCs/>
          <w:kern w:val="0"/>
          <w:szCs w:val="21"/>
        </w:rPr>
        <w:t>个专业的《试验设计与统计分析》课程的授课任务。</w:t>
      </w:r>
    </w:p>
    <w:p w14:paraId="3BA3A9EF" w14:textId="77777777" w:rsidR="00F5289E" w:rsidRDefault="00C91173">
      <w:pPr>
        <w:snapToGrid w:val="0"/>
        <w:spacing w:line="360" w:lineRule="auto"/>
        <w:ind w:firstLineChars="200" w:firstLine="420"/>
        <w:rPr>
          <w:rFonts w:cs="宋体"/>
          <w:bCs/>
          <w:kern w:val="0"/>
          <w:szCs w:val="21"/>
        </w:rPr>
      </w:pPr>
      <w:r>
        <w:rPr>
          <w:rFonts w:cs="宋体" w:hint="eastAsia"/>
          <w:bCs/>
          <w:kern w:val="0"/>
          <w:szCs w:val="21"/>
        </w:rPr>
        <w:t xml:space="preserve">2. </w:t>
      </w:r>
      <w:r>
        <w:rPr>
          <w:rFonts w:cs="宋体" w:hint="eastAsia"/>
          <w:bCs/>
          <w:kern w:val="0"/>
          <w:szCs w:val="21"/>
        </w:rPr>
        <w:t>场地：多媒体教室和计算机室。</w:t>
      </w:r>
    </w:p>
    <w:p w14:paraId="10BB1297" w14:textId="77777777" w:rsidR="00F5289E" w:rsidRDefault="00C91173">
      <w:pPr>
        <w:snapToGrid w:val="0"/>
        <w:spacing w:line="360" w:lineRule="auto"/>
        <w:ind w:firstLineChars="200" w:firstLine="420"/>
        <w:rPr>
          <w:rFonts w:hAnsi="宋体"/>
          <w:b/>
          <w:bCs/>
          <w:kern w:val="0"/>
          <w:szCs w:val="21"/>
        </w:rPr>
      </w:pPr>
      <w:r>
        <w:rPr>
          <w:rFonts w:cs="宋体" w:hint="eastAsia"/>
          <w:bCs/>
          <w:kern w:val="0"/>
          <w:szCs w:val="21"/>
        </w:rPr>
        <w:t xml:space="preserve">3. </w:t>
      </w:r>
      <w:r>
        <w:rPr>
          <w:rFonts w:cs="宋体" w:hint="eastAsia"/>
          <w:bCs/>
          <w:kern w:val="0"/>
          <w:szCs w:val="21"/>
        </w:rPr>
        <w:t>实验条件：统计计算器、计算机及</w:t>
      </w:r>
      <w:r>
        <w:rPr>
          <w:rFonts w:cs="宋体" w:hint="eastAsia"/>
          <w:bCs/>
          <w:kern w:val="0"/>
          <w:szCs w:val="21"/>
        </w:rPr>
        <w:t>Excel</w:t>
      </w:r>
      <w:r>
        <w:rPr>
          <w:rFonts w:cs="宋体" w:hint="eastAsia"/>
          <w:bCs/>
          <w:kern w:val="0"/>
          <w:szCs w:val="21"/>
        </w:rPr>
        <w:t>、</w:t>
      </w:r>
      <w:r>
        <w:rPr>
          <w:rFonts w:cs="宋体" w:hint="eastAsia"/>
          <w:bCs/>
          <w:kern w:val="0"/>
          <w:szCs w:val="21"/>
        </w:rPr>
        <w:t>DPS</w:t>
      </w:r>
      <w:r>
        <w:rPr>
          <w:rFonts w:cs="宋体" w:hint="eastAsia"/>
          <w:bCs/>
          <w:kern w:val="0"/>
          <w:szCs w:val="21"/>
        </w:rPr>
        <w:t>、</w:t>
      </w:r>
      <w:r>
        <w:rPr>
          <w:rFonts w:cs="宋体" w:hint="eastAsia"/>
          <w:bCs/>
          <w:kern w:val="0"/>
          <w:szCs w:val="21"/>
        </w:rPr>
        <w:t>SPSS</w:t>
      </w:r>
      <w:r>
        <w:rPr>
          <w:rFonts w:cs="宋体" w:hint="eastAsia"/>
          <w:bCs/>
          <w:kern w:val="0"/>
          <w:szCs w:val="21"/>
        </w:rPr>
        <w:t>等相关统计软件。</w:t>
      </w:r>
    </w:p>
    <w:p w14:paraId="73C4D962"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61D47D16" w14:textId="77777777" w:rsidR="00F5289E" w:rsidRDefault="00C91173">
      <w:pPr>
        <w:snapToGrid w:val="0"/>
        <w:spacing w:line="360" w:lineRule="auto"/>
        <w:ind w:firstLineChars="200" w:firstLine="422"/>
        <w:rPr>
          <w:rFonts w:cs="宋体"/>
          <w:bCs/>
          <w:kern w:val="0"/>
          <w:szCs w:val="21"/>
        </w:rPr>
      </w:pPr>
      <w:r>
        <w:rPr>
          <w:rFonts w:hAnsi="宋体" w:hint="eastAsia"/>
          <w:b/>
          <w:bCs/>
          <w:kern w:val="0"/>
          <w:szCs w:val="21"/>
        </w:rPr>
        <w:t>1.</w:t>
      </w:r>
      <w:r>
        <w:rPr>
          <w:rFonts w:hAnsi="宋体" w:hint="eastAsia"/>
          <w:b/>
          <w:bCs/>
          <w:kern w:val="0"/>
          <w:szCs w:val="21"/>
        </w:rPr>
        <w:t>过程性评价：</w:t>
      </w:r>
      <w:r>
        <w:rPr>
          <w:rFonts w:cs="宋体" w:hint="eastAsia"/>
          <w:bCs/>
          <w:kern w:val="0"/>
          <w:szCs w:val="21"/>
        </w:rPr>
        <w:t>包含出勤、课堂表现（如翻转课堂及讨论的参与度、提出与回答问题的积极性和质量等）、线上学习练习与讨论、实验实践报告、期末综合考试等不同教学与实践环节以及阶段测评环节，采用多元化综合考核评价方法实时追踪学生学习效果；满分</w:t>
      </w:r>
      <w:r>
        <w:rPr>
          <w:rFonts w:cs="宋体" w:hint="eastAsia"/>
          <w:bCs/>
          <w:kern w:val="0"/>
          <w:szCs w:val="21"/>
        </w:rPr>
        <w:t>1</w:t>
      </w:r>
      <w:r>
        <w:rPr>
          <w:rFonts w:cs="宋体"/>
          <w:bCs/>
          <w:kern w:val="0"/>
          <w:szCs w:val="21"/>
        </w:rPr>
        <w:t>00</w:t>
      </w:r>
      <w:r>
        <w:rPr>
          <w:rFonts w:cs="宋体" w:hint="eastAsia"/>
          <w:bCs/>
          <w:kern w:val="0"/>
          <w:szCs w:val="21"/>
        </w:rPr>
        <w:t>。</w:t>
      </w:r>
    </w:p>
    <w:p w14:paraId="2FCF91D4" w14:textId="77777777" w:rsidR="00F5289E" w:rsidRDefault="00C91173">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hAnsi="宋体" w:hint="eastAsia"/>
          <w:kern w:val="0"/>
          <w:szCs w:val="21"/>
        </w:rPr>
        <w:t>期末考试采用</w:t>
      </w:r>
      <w:r>
        <w:rPr>
          <w:rFonts w:hAnsi="宋体" w:hint="eastAsia"/>
          <w:bCs/>
          <w:kern w:val="0"/>
          <w:szCs w:val="21"/>
        </w:rPr>
        <w:t>闭卷或有限开卷考试；满分</w:t>
      </w:r>
      <w:r>
        <w:rPr>
          <w:rFonts w:hAnsi="宋体" w:hint="eastAsia"/>
          <w:bCs/>
          <w:kern w:val="0"/>
          <w:szCs w:val="21"/>
        </w:rPr>
        <w:t>1</w:t>
      </w:r>
      <w:r>
        <w:rPr>
          <w:rFonts w:hAnsi="宋体"/>
          <w:bCs/>
          <w:kern w:val="0"/>
          <w:szCs w:val="21"/>
        </w:rPr>
        <w:t>00</w:t>
      </w:r>
      <w:r>
        <w:rPr>
          <w:rFonts w:hAnsi="宋体" w:hint="eastAsia"/>
          <w:bCs/>
          <w:kern w:val="0"/>
          <w:szCs w:val="21"/>
        </w:rPr>
        <w:t>。</w:t>
      </w:r>
    </w:p>
    <w:p w14:paraId="491A4DE1" w14:textId="77777777" w:rsidR="00F5289E" w:rsidRPr="00D93479" w:rsidRDefault="00C91173" w:rsidP="00D93479">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Pr>
          <w:rFonts w:hAnsi="宋体" w:hint="eastAsia"/>
          <w:kern w:val="0"/>
          <w:szCs w:val="21"/>
        </w:rPr>
        <w:t>由过程性评价和终结性评价共同构成；综合成绩</w:t>
      </w:r>
      <w:r>
        <w:rPr>
          <w:rFonts w:hAnsi="宋体" w:hint="eastAsia"/>
          <w:kern w:val="0"/>
          <w:szCs w:val="21"/>
        </w:rPr>
        <w:t>=</w:t>
      </w:r>
      <w:r>
        <w:rPr>
          <w:rFonts w:cs="宋体" w:hint="eastAsia"/>
          <w:kern w:val="0"/>
          <w:szCs w:val="21"/>
        </w:rPr>
        <w:t>过程性评价成绩×（</w:t>
      </w:r>
      <w:r>
        <w:rPr>
          <w:rFonts w:cs="宋体" w:hint="eastAsia"/>
          <w:kern w:val="0"/>
          <w:szCs w:val="21"/>
        </w:rPr>
        <w:t>4</w:t>
      </w:r>
      <w:r>
        <w:rPr>
          <w:rFonts w:cs="宋体"/>
          <w:kern w:val="0"/>
          <w:szCs w:val="21"/>
        </w:rPr>
        <w:t>0%</w:t>
      </w:r>
      <w:r>
        <w:rPr>
          <w:color w:val="000000"/>
          <w:szCs w:val="21"/>
        </w:rPr>
        <w:t>~</w:t>
      </w:r>
      <w:r>
        <w:rPr>
          <w:rFonts w:cs="宋体"/>
          <w:kern w:val="0"/>
          <w:szCs w:val="21"/>
        </w:rPr>
        <w:t>60%</w:t>
      </w:r>
      <w:r>
        <w:rPr>
          <w:rFonts w:cs="宋体" w:hint="eastAsia"/>
          <w:kern w:val="0"/>
          <w:szCs w:val="21"/>
        </w:rPr>
        <w:t>）</w:t>
      </w:r>
      <w:r>
        <w:rPr>
          <w:rFonts w:cs="宋体" w:hint="eastAsia"/>
          <w:kern w:val="0"/>
          <w:szCs w:val="21"/>
        </w:rPr>
        <w:t>+</w:t>
      </w:r>
      <w:r>
        <w:rPr>
          <w:rFonts w:cs="宋体" w:hint="eastAsia"/>
          <w:kern w:val="0"/>
          <w:szCs w:val="21"/>
        </w:rPr>
        <w:t>终结性评价成绩×（</w:t>
      </w:r>
      <w:r>
        <w:rPr>
          <w:rFonts w:cs="宋体" w:hint="eastAsia"/>
          <w:kern w:val="0"/>
          <w:szCs w:val="21"/>
        </w:rPr>
        <w:t>4</w:t>
      </w:r>
      <w:r>
        <w:rPr>
          <w:rFonts w:cs="宋体"/>
          <w:kern w:val="0"/>
          <w:szCs w:val="21"/>
        </w:rPr>
        <w:t>0%</w:t>
      </w:r>
      <w:r>
        <w:rPr>
          <w:color w:val="000000"/>
          <w:szCs w:val="21"/>
        </w:rPr>
        <w:t>~</w:t>
      </w:r>
      <w:r>
        <w:rPr>
          <w:rFonts w:cs="宋体"/>
          <w:kern w:val="0"/>
          <w:szCs w:val="21"/>
        </w:rPr>
        <w:t>60%</w:t>
      </w:r>
      <w:r>
        <w:rPr>
          <w:rFonts w:cs="宋体" w:hint="eastAsia"/>
          <w:kern w:val="0"/>
          <w:szCs w:val="21"/>
        </w:rPr>
        <w:t>），</w:t>
      </w:r>
      <w:r>
        <w:rPr>
          <w:rFonts w:hAnsi="宋体" w:hint="eastAsia"/>
          <w:kern w:val="0"/>
          <w:szCs w:val="21"/>
        </w:rPr>
        <w:t>满分</w:t>
      </w:r>
      <w:r>
        <w:rPr>
          <w:rFonts w:hAnsi="宋体" w:hint="eastAsia"/>
          <w:kern w:val="0"/>
          <w:szCs w:val="21"/>
        </w:rPr>
        <w:t>1</w:t>
      </w:r>
      <w:r>
        <w:rPr>
          <w:rFonts w:hAnsi="宋体"/>
          <w:kern w:val="0"/>
          <w:szCs w:val="21"/>
        </w:rPr>
        <w:t>00</w:t>
      </w:r>
      <w:r>
        <w:rPr>
          <w:rFonts w:hAnsi="宋体" w:hint="eastAsia"/>
          <w:kern w:val="0"/>
          <w:szCs w:val="21"/>
        </w:rPr>
        <w:t>分。</w:t>
      </w:r>
      <w:r>
        <w:rPr>
          <w:rFonts w:ascii="宋体" w:hAnsi="宋体"/>
          <w:b/>
          <w:sz w:val="28"/>
          <w:szCs w:val="28"/>
        </w:rPr>
        <w:br w:type="page"/>
      </w:r>
    </w:p>
    <w:p w14:paraId="112A7EBE" w14:textId="77777777" w:rsidR="00F5289E" w:rsidRDefault="00C91173">
      <w:pPr>
        <w:pStyle w:val="1"/>
      </w:pPr>
      <w:bookmarkStart w:id="68" w:name="_Toc138606243"/>
      <w:r>
        <w:rPr>
          <w:rFonts w:hint="eastAsia"/>
        </w:rPr>
        <w:lastRenderedPageBreak/>
        <w:t>无土栽培学</w:t>
      </w:r>
      <w:bookmarkEnd w:id="68"/>
    </w:p>
    <w:p w14:paraId="264CF5DF" w14:textId="77777777" w:rsidR="00F5289E" w:rsidRDefault="00C91173">
      <w:pPr>
        <w:snapToGrid w:val="0"/>
        <w:spacing w:line="360" w:lineRule="auto"/>
        <w:jc w:val="center"/>
        <w:rPr>
          <w:color w:val="000000" w:themeColor="text1"/>
          <w:sz w:val="24"/>
        </w:rPr>
      </w:pPr>
      <w:r>
        <w:rPr>
          <w:color w:val="000000" w:themeColor="text1"/>
          <w:sz w:val="24"/>
        </w:rPr>
        <w:t>（</w:t>
      </w:r>
      <w:r>
        <w:rPr>
          <w:rFonts w:hint="eastAsia"/>
          <w:color w:val="000000" w:themeColor="text1"/>
          <w:sz w:val="24"/>
        </w:rPr>
        <w:t>Soilless Culture</w:t>
      </w:r>
      <w:r>
        <w:rPr>
          <w:color w:val="000000" w:themeColor="text1"/>
          <w:sz w:val="24"/>
        </w:rPr>
        <w:t>）</w:t>
      </w:r>
    </w:p>
    <w:p w14:paraId="71814459" w14:textId="77777777" w:rsidR="00F5289E" w:rsidRDefault="00F5289E">
      <w:pPr>
        <w:snapToGrid w:val="0"/>
        <w:spacing w:line="360" w:lineRule="auto"/>
        <w:jc w:val="center"/>
        <w:rPr>
          <w:b/>
          <w:szCs w:val="21"/>
        </w:rPr>
      </w:pPr>
    </w:p>
    <w:p w14:paraId="07281075"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141D1E1B" w14:textId="77777777">
        <w:tc>
          <w:tcPr>
            <w:tcW w:w="1666" w:type="pct"/>
          </w:tcPr>
          <w:p w14:paraId="270C1160"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szCs w:val="21"/>
              </w:rPr>
              <w:t>19011133h</w:t>
            </w:r>
          </w:p>
        </w:tc>
        <w:tc>
          <w:tcPr>
            <w:tcW w:w="1453" w:type="pct"/>
          </w:tcPr>
          <w:p w14:paraId="1503648C"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szCs w:val="21"/>
              </w:rPr>
              <w:t>40</w:t>
            </w:r>
          </w:p>
        </w:tc>
        <w:tc>
          <w:tcPr>
            <w:tcW w:w="1881" w:type="pct"/>
          </w:tcPr>
          <w:p w14:paraId="3E350C14" w14:textId="2AB983C4"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szCs w:val="21"/>
              </w:rPr>
              <w:t>12</w:t>
            </w:r>
          </w:p>
        </w:tc>
      </w:tr>
      <w:tr w:rsidR="00F5289E" w14:paraId="12884076" w14:textId="77777777">
        <w:tc>
          <w:tcPr>
            <w:tcW w:w="1666" w:type="pct"/>
          </w:tcPr>
          <w:p w14:paraId="3C18A62F"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asciiTheme="minorEastAsia" w:eastAsiaTheme="minorEastAsia" w:hAnsiTheme="minorEastAsia" w:cstheme="minorEastAsia" w:hint="eastAsia"/>
                <w:color w:val="000000" w:themeColor="text1"/>
                <w:kern w:val="0"/>
                <w:szCs w:val="21"/>
              </w:rPr>
              <w:t>必修</w:t>
            </w:r>
          </w:p>
        </w:tc>
        <w:tc>
          <w:tcPr>
            <w:tcW w:w="1453" w:type="pct"/>
          </w:tcPr>
          <w:p w14:paraId="18AC31A4"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Theme="minorEastAsia" w:eastAsiaTheme="minorEastAsia" w:hAnsiTheme="minorEastAsia" w:cstheme="minorEastAsia" w:hint="eastAsia"/>
                <w:b/>
                <w:bCs/>
                <w:color w:val="000000" w:themeColor="text1"/>
                <w:kern w:val="0"/>
                <w:szCs w:val="21"/>
              </w:rPr>
              <w:t xml:space="preserve"> </w:t>
            </w:r>
            <w:r>
              <w:rPr>
                <w:rFonts w:asciiTheme="minorEastAsia" w:eastAsiaTheme="minorEastAsia" w:hAnsiTheme="minorEastAsia" w:cstheme="minorEastAsia" w:hint="eastAsia"/>
                <w:color w:val="000000" w:themeColor="text1"/>
                <w:kern w:val="0"/>
                <w:szCs w:val="21"/>
              </w:rPr>
              <w:t>专业类</w:t>
            </w:r>
          </w:p>
        </w:tc>
        <w:tc>
          <w:tcPr>
            <w:tcW w:w="1881" w:type="pct"/>
          </w:tcPr>
          <w:p w14:paraId="20F92EE1"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 xml:space="preserve">第 </w:t>
            </w:r>
            <w:r>
              <w:rPr>
                <w:rFonts w:ascii="宋体" w:hAnsi="宋体"/>
                <w:szCs w:val="21"/>
              </w:rPr>
              <w:t>5</w:t>
            </w:r>
            <w:r>
              <w:rPr>
                <w:rFonts w:ascii="宋体" w:hAnsi="宋体" w:hint="eastAsia"/>
                <w:szCs w:val="21"/>
              </w:rPr>
              <w:t xml:space="preserve"> 学期</w:t>
            </w:r>
          </w:p>
        </w:tc>
      </w:tr>
      <w:tr w:rsidR="00F5289E" w14:paraId="3D335E79" w14:textId="77777777">
        <w:tc>
          <w:tcPr>
            <w:tcW w:w="1666" w:type="pct"/>
          </w:tcPr>
          <w:p w14:paraId="101DB6BA"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吴帼秀</w:t>
            </w:r>
          </w:p>
        </w:tc>
        <w:tc>
          <w:tcPr>
            <w:tcW w:w="1453" w:type="pct"/>
          </w:tcPr>
          <w:p w14:paraId="5EF7B876"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吴帼秀、李胜利、李阳、李严曼</w:t>
            </w:r>
          </w:p>
        </w:tc>
        <w:tc>
          <w:tcPr>
            <w:tcW w:w="1881" w:type="pct"/>
          </w:tcPr>
          <w:p w14:paraId="606C7E3A" w14:textId="55DA524C" w:rsidR="00F5289E" w:rsidRDefault="00C91173">
            <w:pPr>
              <w:spacing w:line="300" w:lineRule="auto"/>
              <w:rPr>
                <w:rFonts w:ascii="宋体" w:hAnsi="宋体"/>
                <w:b/>
                <w:bCs/>
                <w:szCs w:val="21"/>
              </w:rPr>
            </w:pPr>
            <w:r>
              <w:rPr>
                <w:rFonts w:ascii="宋体" w:hAnsi="宋体" w:hint="eastAsia"/>
                <w:b/>
                <w:bCs/>
                <w:szCs w:val="21"/>
              </w:rPr>
              <w:t>授课语言：</w:t>
            </w:r>
            <w:r w:rsidR="00612D5B" w:rsidRPr="00612D5B">
              <w:rPr>
                <w:rFonts w:ascii="宋体" w:hAnsi="宋体" w:hint="eastAsia"/>
                <w:szCs w:val="21"/>
              </w:rPr>
              <w:t>中文</w:t>
            </w:r>
          </w:p>
        </w:tc>
      </w:tr>
      <w:tr w:rsidR="00F5289E" w14:paraId="287AF707" w14:textId="77777777">
        <w:tc>
          <w:tcPr>
            <w:tcW w:w="5000" w:type="pct"/>
            <w:gridSpan w:val="3"/>
          </w:tcPr>
          <w:p w14:paraId="76BC14E8"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Pr>
                <w:rFonts w:asciiTheme="minorEastAsia" w:eastAsiaTheme="minorEastAsia" w:hAnsiTheme="minorEastAsia" w:cstheme="minorEastAsia" w:hint="eastAsia"/>
                <w:color w:val="000000" w:themeColor="text1"/>
                <w:kern w:val="0"/>
                <w:szCs w:val="21"/>
              </w:rPr>
              <w:t>设施农业科学与工程（核心）</w:t>
            </w:r>
            <w:r>
              <w:rPr>
                <w:rFonts w:ascii="宋体" w:hAnsi="宋体"/>
                <w:bCs/>
                <w:color w:val="0000FF"/>
                <w:szCs w:val="21"/>
              </w:rPr>
              <w:t xml:space="preserve"> </w:t>
            </w:r>
          </w:p>
        </w:tc>
      </w:tr>
      <w:tr w:rsidR="00F5289E" w14:paraId="69811A8E" w14:textId="77777777">
        <w:tc>
          <w:tcPr>
            <w:tcW w:w="5000" w:type="pct"/>
            <w:gridSpan w:val="3"/>
          </w:tcPr>
          <w:p w14:paraId="10638D01" w14:textId="77777777" w:rsidR="00F5289E" w:rsidRDefault="00C91173">
            <w:pPr>
              <w:spacing w:line="300" w:lineRule="auto"/>
              <w:rPr>
                <w:rFonts w:ascii="宋体" w:hAnsi="宋体"/>
                <w:szCs w:val="21"/>
              </w:rPr>
            </w:pPr>
            <w:r>
              <w:rPr>
                <w:rFonts w:ascii="宋体" w:hAnsi="宋体" w:hint="eastAsia"/>
                <w:b/>
                <w:bCs/>
                <w:szCs w:val="21"/>
              </w:rPr>
              <w:t>对先修的要求：</w:t>
            </w:r>
            <w:r>
              <w:rPr>
                <w:rFonts w:ascii="宋体" w:hAnsi="宋体" w:hint="eastAsia"/>
                <w:szCs w:val="21"/>
              </w:rPr>
              <w:t>对</w:t>
            </w:r>
            <w:r>
              <w:rPr>
                <w:rFonts w:ascii="宋体" w:hAnsi="宋体"/>
                <w:szCs w:val="21"/>
              </w:rPr>
              <w:t>植物分类、生长特性</w:t>
            </w:r>
            <w:r>
              <w:rPr>
                <w:rFonts w:ascii="宋体" w:hAnsi="宋体" w:hint="eastAsia"/>
                <w:szCs w:val="21"/>
              </w:rPr>
              <w:t>、生命</w:t>
            </w:r>
            <w:r>
              <w:rPr>
                <w:rFonts w:ascii="宋体" w:hAnsi="宋体"/>
                <w:szCs w:val="21"/>
              </w:rPr>
              <w:t>活动等有基本的认知</w:t>
            </w:r>
            <w:r>
              <w:rPr>
                <w:rFonts w:ascii="宋体" w:hAnsi="宋体" w:hint="eastAsia"/>
                <w:szCs w:val="21"/>
              </w:rPr>
              <w:t>，对</w:t>
            </w:r>
            <w:r>
              <w:rPr>
                <w:rFonts w:ascii="宋体" w:hAnsi="宋体"/>
                <w:szCs w:val="21"/>
              </w:rPr>
              <w:t>园艺作物的分类、生长特性</w:t>
            </w:r>
            <w:r>
              <w:rPr>
                <w:rFonts w:ascii="宋体" w:hAnsi="宋体" w:hint="eastAsia"/>
                <w:szCs w:val="21"/>
              </w:rPr>
              <w:t>、</w:t>
            </w:r>
            <w:r>
              <w:rPr>
                <w:rFonts w:ascii="宋体" w:hAnsi="宋体"/>
                <w:szCs w:val="21"/>
              </w:rPr>
              <w:t>栽培基础</w:t>
            </w:r>
            <w:r>
              <w:rPr>
                <w:rFonts w:ascii="宋体" w:hAnsi="宋体" w:hint="eastAsia"/>
                <w:szCs w:val="21"/>
              </w:rPr>
              <w:t>、</w:t>
            </w:r>
            <w:r>
              <w:rPr>
                <w:rFonts w:ascii="宋体" w:hAnsi="宋体"/>
                <w:szCs w:val="21"/>
              </w:rPr>
              <w:t>设施结构有基本的了解</w:t>
            </w:r>
            <w:r>
              <w:rPr>
                <w:rFonts w:ascii="宋体" w:hAnsi="宋体" w:hint="eastAsia"/>
                <w:szCs w:val="21"/>
              </w:rPr>
              <w:t>。</w:t>
            </w:r>
          </w:p>
          <w:p w14:paraId="56252173" w14:textId="77777777" w:rsidR="00F5289E" w:rsidRDefault="00C91173">
            <w:pPr>
              <w:spacing w:line="300" w:lineRule="auto"/>
              <w:rPr>
                <w:rFonts w:ascii="宋体" w:hAnsi="宋体"/>
                <w:b/>
                <w:bCs/>
                <w:szCs w:val="21"/>
              </w:rPr>
            </w:pPr>
            <w:r>
              <w:rPr>
                <w:rFonts w:ascii="宋体" w:hAnsi="宋体" w:hint="eastAsia"/>
                <w:color w:val="000000" w:themeColor="text1"/>
                <w:szCs w:val="21"/>
              </w:rPr>
              <w:t>先修课程</w:t>
            </w:r>
            <w:r>
              <w:rPr>
                <w:rFonts w:asciiTheme="minorEastAsia" w:eastAsiaTheme="minorEastAsia" w:hAnsiTheme="minorEastAsia" w:cstheme="minorEastAsia" w:hint="eastAsia"/>
                <w:color w:val="000000" w:themeColor="text1"/>
                <w:kern w:val="0"/>
                <w:szCs w:val="21"/>
              </w:rPr>
              <w:t>：</w:t>
            </w:r>
            <w:r>
              <w:rPr>
                <w:rFonts w:asciiTheme="minorEastAsia" w:eastAsiaTheme="minorEastAsia" w:hAnsiTheme="minorEastAsia" w:cstheme="minorEastAsia" w:hint="eastAsia"/>
                <w:kern w:val="0"/>
                <w:szCs w:val="21"/>
              </w:rPr>
              <w:t>植物学、植物生理学、分析</w:t>
            </w:r>
            <w:r>
              <w:rPr>
                <w:rFonts w:asciiTheme="minorEastAsia" w:eastAsiaTheme="minorEastAsia" w:hAnsiTheme="minorEastAsia" w:cstheme="minorEastAsia"/>
                <w:kern w:val="0"/>
                <w:szCs w:val="21"/>
              </w:rPr>
              <w:t>化学、</w:t>
            </w:r>
            <w:r>
              <w:rPr>
                <w:rFonts w:asciiTheme="minorEastAsia" w:eastAsiaTheme="minorEastAsia" w:hAnsiTheme="minorEastAsia" w:cstheme="minorEastAsia" w:hint="eastAsia"/>
                <w:kern w:val="0"/>
                <w:szCs w:val="21"/>
              </w:rPr>
              <w:t>设施蔬菜栽培学、</w:t>
            </w:r>
            <w:r>
              <w:rPr>
                <w:rFonts w:hint="eastAsia"/>
              </w:rPr>
              <w:t>工厂化育苗原理</w:t>
            </w:r>
            <w:r>
              <w:t>与技术</w:t>
            </w:r>
            <w:r>
              <w:rPr>
                <w:rFonts w:asciiTheme="minorEastAsia" w:eastAsiaTheme="minorEastAsia" w:hAnsiTheme="minorEastAsia" w:cstheme="minorEastAsia" w:hint="eastAsia"/>
                <w:b/>
                <w:bCs/>
                <w:kern w:val="0"/>
                <w:szCs w:val="21"/>
              </w:rPr>
              <w:t>。</w:t>
            </w:r>
          </w:p>
        </w:tc>
      </w:tr>
      <w:tr w:rsidR="00F5289E" w14:paraId="19F4A957" w14:textId="77777777">
        <w:tc>
          <w:tcPr>
            <w:tcW w:w="5000" w:type="pct"/>
            <w:gridSpan w:val="3"/>
          </w:tcPr>
          <w:p w14:paraId="18E4BB5D"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Theme="minorEastAsia" w:eastAsiaTheme="minorEastAsia" w:hAnsiTheme="minorEastAsia" w:cstheme="minorEastAsia" w:hint="eastAsia"/>
                <w:kern w:val="0"/>
                <w:szCs w:val="21"/>
              </w:rPr>
              <w:t>无</w:t>
            </w:r>
          </w:p>
        </w:tc>
      </w:tr>
      <w:tr w:rsidR="00F5289E" w14:paraId="633BCA0C" w14:textId="77777777">
        <w:tc>
          <w:tcPr>
            <w:tcW w:w="1666" w:type="pct"/>
          </w:tcPr>
          <w:p w14:paraId="5A113E2E"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吴帼秀</w:t>
            </w:r>
          </w:p>
        </w:tc>
        <w:tc>
          <w:tcPr>
            <w:tcW w:w="1453" w:type="pct"/>
          </w:tcPr>
          <w:p w14:paraId="628B40CD"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b/>
                <w:bCs/>
                <w:szCs w:val="21"/>
              </w:rPr>
              <w:t xml:space="preserve"> </w:t>
            </w:r>
            <w:r>
              <w:rPr>
                <w:rFonts w:ascii="宋体" w:hAnsi="宋体" w:hint="eastAsia"/>
                <w:szCs w:val="21"/>
              </w:rPr>
              <w:t>李胜利</w:t>
            </w:r>
          </w:p>
        </w:tc>
        <w:tc>
          <w:tcPr>
            <w:tcW w:w="1881" w:type="pct"/>
          </w:tcPr>
          <w:p w14:paraId="1341ED5D"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202</w:t>
            </w:r>
            <w:r>
              <w:rPr>
                <w:rFonts w:ascii="宋体" w:hAnsi="宋体"/>
                <w:szCs w:val="21"/>
              </w:rPr>
              <w:t>3.05</w:t>
            </w:r>
          </w:p>
        </w:tc>
      </w:tr>
    </w:tbl>
    <w:p w14:paraId="07C31038" w14:textId="77777777" w:rsidR="00F5289E" w:rsidRDefault="00F5289E">
      <w:pPr>
        <w:widowControl/>
        <w:snapToGrid w:val="0"/>
        <w:spacing w:line="360" w:lineRule="auto"/>
        <w:jc w:val="left"/>
        <w:rPr>
          <w:rFonts w:hAnsi="宋体"/>
          <w:b/>
          <w:bCs/>
          <w:kern w:val="0"/>
          <w:szCs w:val="21"/>
        </w:rPr>
      </w:pPr>
    </w:p>
    <w:p w14:paraId="6151F05C"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F7EE638" w14:textId="77777777" w:rsidR="00F5289E" w:rsidRDefault="00C91173">
      <w:pPr>
        <w:spacing w:line="300" w:lineRule="auto"/>
        <w:ind w:rightChars="-81" w:right="-170" w:firstLine="285"/>
        <w:rPr>
          <w:rFonts w:ascii="宋体" w:hAnsi="宋体"/>
          <w:bCs/>
          <w:color w:val="000000" w:themeColor="text1"/>
          <w:szCs w:val="21"/>
        </w:rPr>
      </w:pPr>
      <w:r>
        <w:rPr>
          <w:rFonts w:ascii="宋体" w:hAnsi="宋体" w:hint="eastAsia"/>
          <w:b/>
          <w:bCs/>
          <w:color w:val="000000" w:themeColor="text1"/>
          <w:szCs w:val="21"/>
        </w:rPr>
        <w:t>理念</w:t>
      </w:r>
      <w:r>
        <w:rPr>
          <w:rFonts w:ascii="宋体" w:hAnsi="宋体"/>
          <w:b/>
          <w:bCs/>
          <w:color w:val="000000" w:themeColor="text1"/>
          <w:szCs w:val="21"/>
        </w:rPr>
        <w:t>：</w:t>
      </w:r>
      <w:r>
        <w:rPr>
          <w:rFonts w:ascii="宋体" w:hAnsi="宋体" w:hint="eastAsia"/>
          <w:bCs/>
          <w:color w:val="000000" w:themeColor="text1"/>
          <w:szCs w:val="21"/>
        </w:rPr>
        <w:t>以问题为导向，以实践为抓手，以育人为目标。</w:t>
      </w:r>
    </w:p>
    <w:p w14:paraId="6252C24A" w14:textId="77777777" w:rsidR="00F5289E" w:rsidRDefault="00C91173">
      <w:pPr>
        <w:spacing w:line="300" w:lineRule="auto"/>
        <w:ind w:rightChars="-81" w:right="-170" w:firstLine="285"/>
        <w:rPr>
          <w:rFonts w:ascii="宋体" w:hAnsi="宋体"/>
          <w:bCs/>
          <w:color w:val="000000" w:themeColor="text1"/>
          <w:szCs w:val="21"/>
        </w:rPr>
      </w:pPr>
      <w:r>
        <w:rPr>
          <w:rFonts w:ascii="宋体" w:hAnsi="宋体" w:hint="eastAsia"/>
          <w:b/>
          <w:bCs/>
          <w:color w:val="000000" w:themeColor="text1"/>
          <w:szCs w:val="21"/>
        </w:rPr>
        <w:t>性质</w:t>
      </w:r>
      <w:r>
        <w:rPr>
          <w:rFonts w:ascii="宋体" w:hAnsi="宋体"/>
          <w:b/>
          <w:bCs/>
          <w:color w:val="000000" w:themeColor="text1"/>
          <w:szCs w:val="21"/>
        </w:rPr>
        <w:t>：</w:t>
      </w:r>
      <w:r>
        <w:rPr>
          <w:rFonts w:ascii="宋体" w:hAnsi="宋体" w:hint="eastAsia"/>
          <w:bCs/>
          <w:color w:val="000000" w:themeColor="text1"/>
          <w:szCs w:val="21"/>
        </w:rPr>
        <w:t>《无土栽培学》是一门研究无土栽培技术原理、栽培方式和管理技术的一门综合性应用科学，是设施农业科学与工程专业的专业核心课程。</w:t>
      </w:r>
    </w:p>
    <w:p w14:paraId="1BF489D2" w14:textId="77777777" w:rsidR="00F5289E" w:rsidRDefault="00C91173">
      <w:pPr>
        <w:spacing w:line="300" w:lineRule="auto"/>
        <w:ind w:rightChars="-81" w:right="-170" w:firstLine="285"/>
        <w:rPr>
          <w:rFonts w:ascii="宋体" w:hAnsi="宋体"/>
          <w:b/>
          <w:bCs/>
          <w:color w:val="000000" w:themeColor="text1"/>
          <w:szCs w:val="21"/>
        </w:rPr>
      </w:pPr>
      <w:r>
        <w:rPr>
          <w:rFonts w:ascii="宋体" w:hAnsi="宋体" w:hint="eastAsia"/>
          <w:b/>
          <w:bCs/>
          <w:color w:val="000000" w:themeColor="text1"/>
          <w:szCs w:val="21"/>
        </w:rPr>
        <w:t>目标和</w:t>
      </w:r>
      <w:r>
        <w:rPr>
          <w:rFonts w:ascii="宋体" w:hAnsi="宋体"/>
          <w:b/>
          <w:bCs/>
          <w:color w:val="000000" w:themeColor="text1"/>
          <w:szCs w:val="21"/>
        </w:rPr>
        <w:t>任务</w:t>
      </w:r>
      <w:r>
        <w:rPr>
          <w:rFonts w:ascii="宋体" w:hAnsi="宋体" w:hint="eastAsia"/>
          <w:b/>
          <w:bCs/>
          <w:color w:val="000000" w:themeColor="text1"/>
          <w:szCs w:val="21"/>
        </w:rPr>
        <w:t>：</w:t>
      </w:r>
      <w:r>
        <w:rPr>
          <w:rFonts w:ascii="宋体" w:hAnsi="宋体" w:hint="eastAsia"/>
          <w:bCs/>
          <w:color w:val="000000" w:themeColor="text1"/>
          <w:szCs w:val="21"/>
        </w:rPr>
        <w:t>知识方面，认识植物在无土栽培条件下对养分、水分、氧气的需求规律，掌握营养液的配制及管理技术、固体基质的性质及选配原则、常用无土栽培生产设施与管理办法，常见无土栽培作物的种植管理方法。能力上：培养学生独立指导及从事蔬菜、花卉作物无土栽培生产的能力，加强学生熟练掌握现代化高新技术并将其有效应用于农业生产的潜能，最终使学生具备勇于探索、乐于创新、勤学务实、扎实肯干的素质，培养新时代“三农”人才，从而服务于乡村振兴。</w:t>
      </w:r>
    </w:p>
    <w:p w14:paraId="0F57F736"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3CB395C1" w14:textId="77777777" w:rsidR="00F5289E" w:rsidRDefault="00C91173">
      <w:pPr>
        <w:widowControl/>
        <w:snapToGrid w:val="0"/>
        <w:spacing w:line="360" w:lineRule="auto"/>
        <w:jc w:val="left"/>
        <w:rPr>
          <w:rFonts w:hAnsi="宋体"/>
          <w:color w:val="000000" w:themeColor="text1"/>
          <w:kern w:val="0"/>
          <w:szCs w:val="21"/>
        </w:rPr>
      </w:pPr>
      <w:r>
        <w:rPr>
          <w:kern w:val="0"/>
          <w:szCs w:val="21"/>
        </w:rPr>
        <w:t xml:space="preserve">    </w:t>
      </w:r>
      <w:r>
        <w:rPr>
          <w:rFonts w:hint="eastAsia"/>
          <w:color w:val="000000" w:themeColor="text1"/>
          <w:kern w:val="0"/>
          <w:szCs w:val="21"/>
        </w:rPr>
        <w:t xml:space="preserve">  1.</w:t>
      </w:r>
      <w:r>
        <w:rPr>
          <w:rFonts w:hAnsi="宋体"/>
          <w:color w:val="000000" w:themeColor="text1"/>
          <w:kern w:val="0"/>
          <w:szCs w:val="21"/>
        </w:rPr>
        <w:t>理论知识方面：</w:t>
      </w:r>
      <w:r>
        <w:rPr>
          <w:rFonts w:hAnsi="宋体" w:hint="eastAsia"/>
          <w:color w:val="000000" w:themeColor="text1"/>
          <w:kern w:val="0"/>
          <w:szCs w:val="21"/>
        </w:rPr>
        <w:t>掌握无土栽培营养液的配制及管理技术，固体基质的性质、作用及选用原则，常见水培、雾培、基质栽培的设施与管理及栽培技术，并了解无土栽培的应用领域及前景。</w:t>
      </w:r>
      <w:r>
        <w:rPr>
          <w:rFonts w:hAnsi="宋体" w:hint="eastAsia"/>
          <w:bCs/>
          <w:color w:val="000000" w:themeColor="text1"/>
          <w:kern w:val="0"/>
          <w:szCs w:val="21"/>
        </w:rPr>
        <w:t xml:space="preserve"> </w:t>
      </w:r>
    </w:p>
    <w:p w14:paraId="5084DD5C" w14:textId="77777777" w:rsidR="00F5289E" w:rsidRDefault="00C91173">
      <w:pPr>
        <w:widowControl/>
        <w:snapToGrid w:val="0"/>
        <w:spacing w:line="360" w:lineRule="auto"/>
        <w:jc w:val="left"/>
        <w:rPr>
          <w:rFonts w:hAnsi="宋体"/>
          <w:bCs/>
          <w:color w:val="000000" w:themeColor="text1"/>
          <w:kern w:val="0"/>
          <w:szCs w:val="21"/>
        </w:rPr>
      </w:pPr>
      <w:r>
        <w:rPr>
          <w:color w:val="000000" w:themeColor="text1"/>
          <w:kern w:val="0"/>
          <w:szCs w:val="21"/>
        </w:rPr>
        <w:t xml:space="preserve">    </w:t>
      </w:r>
      <w:r>
        <w:rPr>
          <w:rFonts w:hint="eastAsia"/>
          <w:color w:val="000000" w:themeColor="text1"/>
          <w:kern w:val="0"/>
          <w:szCs w:val="21"/>
        </w:rPr>
        <w:t xml:space="preserve">  2.</w:t>
      </w:r>
      <w:r>
        <w:rPr>
          <w:rFonts w:hAnsi="宋体"/>
          <w:color w:val="000000" w:themeColor="text1"/>
          <w:kern w:val="0"/>
          <w:szCs w:val="21"/>
        </w:rPr>
        <w:t>实验技能方面：</w:t>
      </w:r>
      <w:r>
        <w:rPr>
          <w:rFonts w:hAnsi="宋体" w:hint="eastAsia"/>
          <w:color w:val="000000" w:themeColor="text1"/>
          <w:kern w:val="0"/>
          <w:szCs w:val="21"/>
        </w:rPr>
        <w:t>能够配制无土栽培营养液及固体基质，设计简易无土栽培装置，掌握无土栽培的基本技术环节及管理技能，培养学生的管理、开发及设计的能力。</w:t>
      </w:r>
    </w:p>
    <w:p w14:paraId="142D00DF"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1D871473"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62284469"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hAnsi="宋体" w:hint="eastAsia"/>
          <w:bCs/>
          <w:color w:val="000000" w:themeColor="text1"/>
          <w:kern w:val="0"/>
          <w:szCs w:val="21"/>
        </w:rPr>
        <w:t>理论教学以问题为导向，采用线上线下混合式教学。教师在课前提出一个小问题，引导学生个性化自主学习。课中为知识内化阶段，教师利用翻转课堂等形式检验学习成果，解析重点难点问题，同时融入课程思政，升华主题。课后为知识迁移阶段，教师分析总结课堂教学过程并借助</w:t>
      </w:r>
      <w:r>
        <w:rPr>
          <w:rFonts w:hAnsi="宋体" w:hint="eastAsia"/>
          <w:bCs/>
          <w:color w:val="000000" w:themeColor="text1"/>
          <w:kern w:val="0"/>
          <w:szCs w:val="21"/>
        </w:rPr>
        <w:lastRenderedPageBreak/>
        <w:t>交流平台引导学生复习，同时组织开展课外实践，学生将所学知识迁移应用到实际情境中解决问题，达到对知识的深层应用。</w:t>
      </w:r>
    </w:p>
    <w:p w14:paraId="3DD558AC"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hAnsi="宋体" w:hint="eastAsia"/>
          <w:bCs/>
          <w:color w:val="000000" w:themeColor="text1"/>
          <w:kern w:val="0"/>
          <w:szCs w:val="21"/>
        </w:rPr>
        <w:t>实验教学以“项目教学法”为主，以学生为中心进行。将实验分为基础类实验和综合类实验，在教师指导下，学生完成项目，在此过程中，同学们不但熟练掌握了基本实验技能，而且在实践操作时发现生产中存在的问题，团队成员共同努力，通过查阅文献、咨询老师最终解决问题，收获喜悦。</w:t>
      </w:r>
    </w:p>
    <w:p w14:paraId="3CB780DF"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71B9BD09"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6D7C24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45F543"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CDEFDC1"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217E2D00"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D95FFFF"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7E8AD20B" w14:textId="77777777" w:rsidR="00F5289E" w:rsidRDefault="00C91173">
            <w:pPr>
              <w:spacing w:line="320" w:lineRule="exact"/>
              <w:jc w:val="left"/>
              <w:rPr>
                <w:rFonts w:eastAsiaTheme="minorEastAsia" w:hAnsiTheme="minorEastAsia"/>
                <w:color w:val="000000" w:themeColor="text1"/>
                <w:sz w:val="18"/>
                <w:szCs w:val="18"/>
              </w:rPr>
            </w:pPr>
            <w:r>
              <w:rPr>
                <w:rFonts w:eastAsiaTheme="minorEastAsia" w:hint="eastAsia"/>
                <w:color w:val="000000" w:themeColor="text1"/>
                <w:sz w:val="18"/>
                <w:szCs w:val="18"/>
              </w:rPr>
              <w:t>培养学生独立指导及从事蔬菜、花卉作物无土栽培生产的能力</w:t>
            </w:r>
          </w:p>
        </w:tc>
        <w:tc>
          <w:tcPr>
            <w:tcW w:w="1052" w:type="dxa"/>
            <w:tcBorders>
              <w:top w:val="single" w:sz="4" w:space="0" w:color="auto"/>
              <w:left w:val="single" w:sz="4" w:space="0" w:color="auto"/>
              <w:bottom w:val="single" w:sz="4" w:space="0" w:color="auto"/>
              <w:right w:val="single" w:sz="4" w:space="0" w:color="auto"/>
            </w:tcBorders>
            <w:vAlign w:val="center"/>
          </w:tcPr>
          <w:p w14:paraId="2EA8EC4E" w14:textId="5441722B" w:rsidR="00F5289E" w:rsidRDefault="00612D5B">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5</w:t>
            </w:r>
          </w:p>
        </w:tc>
      </w:tr>
      <w:tr w:rsidR="00F5289E" w14:paraId="35E1F45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0091297A"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5BF0E3F1" w14:textId="77777777" w:rsidR="00F5289E" w:rsidRDefault="00C91173">
            <w:pPr>
              <w:spacing w:line="320" w:lineRule="exact"/>
              <w:jc w:val="left"/>
              <w:rPr>
                <w:rFonts w:eastAsiaTheme="minorEastAsia" w:hAnsiTheme="minorEastAsia"/>
                <w:color w:val="000000" w:themeColor="text1"/>
                <w:sz w:val="18"/>
                <w:szCs w:val="18"/>
                <w:highlight w:val="yellow"/>
              </w:rPr>
            </w:pPr>
            <w:r>
              <w:rPr>
                <w:rFonts w:eastAsiaTheme="minorEastAsia" w:hAnsiTheme="minorEastAsia" w:hint="eastAsia"/>
                <w:color w:val="000000" w:themeColor="text1"/>
                <w:sz w:val="18"/>
                <w:szCs w:val="18"/>
              </w:rPr>
              <w:t>加强学生熟练掌握现代化高新技术并将其有效应用于农业生产的潜能</w:t>
            </w:r>
          </w:p>
        </w:tc>
        <w:tc>
          <w:tcPr>
            <w:tcW w:w="1052" w:type="dxa"/>
            <w:tcBorders>
              <w:top w:val="single" w:sz="4" w:space="0" w:color="auto"/>
              <w:left w:val="single" w:sz="4" w:space="0" w:color="auto"/>
              <w:bottom w:val="single" w:sz="4" w:space="0" w:color="auto"/>
              <w:right w:val="single" w:sz="4" w:space="0" w:color="auto"/>
            </w:tcBorders>
            <w:vAlign w:val="center"/>
          </w:tcPr>
          <w:p w14:paraId="43657E5A" w14:textId="4E126032" w:rsidR="00F5289E" w:rsidRDefault="00612D5B">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3</w:t>
            </w:r>
          </w:p>
          <w:p w14:paraId="27AD13EB" w14:textId="71AA70A4" w:rsidR="00F5289E" w:rsidRDefault="00612D5B">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4</w:t>
            </w:r>
          </w:p>
        </w:tc>
      </w:tr>
      <w:tr w:rsidR="00F5289E" w14:paraId="67C4CFDC"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8668804"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507CCAF5" w14:textId="77777777" w:rsidR="00F5289E" w:rsidRDefault="00C91173">
            <w:pPr>
              <w:spacing w:line="320" w:lineRule="exact"/>
              <w:jc w:val="left"/>
              <w:rPr>
                <w:rFonts w:eastAsiaTheme="minorEastAsia"/>
                <w:color w:val="000000" w:themeColor="text1"/>
                <w:sz w:val="18"/>
                <w:szCs w:val="18"/>
              </w:rPr>
            </w:pPr>
            <w:r>
              <w:rPr>
                <w:rFonts w:eastAsiaTheme="minorEastAsia" w:hAnsiTheme="minorEastAsia" w:hint="eastAsia"/>
                <w:color w:val="000000" w:themeColor="text1"/>
                <w:sz w:val="18"/>
                <w:szCs w:val="18"/>
              </w:rPr>
              <w:t>培养</w:t>
            </w:r>
            <w:r>
              <w:rPr>
                <w:rFonts w:eastAsiaTheme="minorEastAsia" w:hAnsiTheme="minorEastAsia"/>
                <w:color w:val="000000" w:themeColor="text1"/>
                <w:sz w:val="18"/>
                <w:szCs w:val="18"/>
              </w:rPr>
              <w:t>学生</w:t>
            </w:r>
            <w:r>
              <w:rPr>
                <w:rFonts w:eastAsiaTheme="minorEastAsia" w:hAnsiTheme="minorEastAsia" w:hint="eastAsia"/>
                <w:color w:val="000000" w:themeColor="text1"/>
                <w:sz w:val="18"/>
                <w:szCs w:val="18"/>
              </w:rPr>
              <w:t>勇于探索、乐于创新、勤学务实、扎实肯干的素质</w:t>
            </w:r>
          </w:p>
        </w:tc>
        <w:tc>
          <w:tcPr>
            <w:tcW w:w="1052" w:type="dxa"/>
            <w:tcBorders>
              <w:top w:val="single" w:sz="4" w:space="0" w:color="auto"/>
              <w:left w:val="single" w:sz="4" w:space="0" w:color="auto"/>
              <w:bottom w:val="single" w:sz="4" w:space="0" w:color="auto"/>
              <w:right w:val="single" w:sz="4" w:space="0" w:color="auto"/>
            </w:tcBorders>
            <w:vAlign w:val="center"/>
          </w:tcPr>
          <w:p w14:paraId="5E82FA1C" w14:textId="1B0F1BEC" w:rsidR="00F5289E" w:rsidRDefault="00612D5B">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6</w:t>
            </w:r>
          </w:p>
          <w:p w14:paraId="61C1ED98" w14:textId="3E1AAC15" w:rsidR="00F5289E" w:rsidRDefault="00612D5B">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8</w:t>
            </w:r>
          </w:p>
        </w:tc>
      </w:tr>
    </w:tbl>
    <w:p w14:paraId="04671D7E" w14:textId="77777777" w:rsidR="00F5289E" w:rsidRDefault="00F5289E">
      <w:pPr>
        <w:widowControl/>
        <w:snapToGrid w:val="0"/>
        <w:spacing w:line="360" w:lineRule="auto"/>
        <w:ind w:firstLineChars="200" w:firstLine="420"/>
        <w:jc w:val="left"/>
        <w:rPr>
          <w:rFonts w:hAnsi="宋体"/>
          <w:bCs/>
          <w:color w:val="000000" w:themeColor="text1"/>
          <w:kern w:val="0"/>
          <w:szCs w:val="21"/>
        </w:rPr>
      </w:pPr>
    </w:p>
    <w:p w14:paraId="02E313D7"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28</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2F0948F5" w14:textId="77777777">
        <w:trPr>
          <w:trHeight w:val="270"/>
        </w:trPr>
        <w:tc>
          <w:tcPr>
            <w:tcW w:w="2152" w:type="dxa"/>
            <w:tcBorders>
              <w:top w:val="nil"/>
              <w:left w:val="nil"/>
              <w:bottom w:val="nil"/>
              <w:right w:val="nil"/>
            </w:tcBorders>
            <w:vAlign w:val="center"/>
          </w:tcPr>
          <w:p w14:paraId="5C7CC0E6"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39010E53" w14:textId="77777777" w:rsidR="00F5289E" w:rsidRDefault="00C91173">
            <w:pPr>
              <w:widowControl/>
              <w:snapToGrid w:val="0"/>
              <w:spacing w:line="360" w:lineRule="auto"/>
              <w:jc w:val="center"/>
              <w:rPr>
                <w:b/>
                <w:bCs/>
                <w:kern w:val="0"/>
                <w:szCs w:val="21"/>
              </w:rPr>
            </w:pPr>
            <w:r>
              <w:rPr>
                <w:rFonts w:hint="eastAsia"/>
                <w:b/>
                <w:bCs/>
                <w:kern w:val="0"/>
                <w:szCs w:val="21"/>
              </w:rPr>
              <w:t>第一章</w:t>
            </w:r>
            <w:r>
              <w:rPr>
                <w:rFonts w:hint="eastAsia"/>
                <w:b/>
                <w:bCs/>
                <w:kern w:val="0"/>
                <w:szCs w:val="21"/>
              </w:rPr>
              <w:t xml:space="preserve"> </w:t>
            </w:r>
            <w:r>
              <w:rPr>
                <w:rFonts w:hint="eastAsia"/>
                <w:b/>
                <w:bCs/>
                <w:kern w:val="0"/>
                <w:szCs w:val="21"/>
              </w:rPr>
              <w:t>绪论</w:t>
            </w:r>
          </w:p>
        </w:tc>
        <w:tc>
          <w:tcPr>
            <w:tcW w:w="2326" w:type="dxa"/>
            <w:tcBorders>
              <w:top w:val="nil"/>
              <w:left w:val="nil"/>
              <w:bottom w:val="nil"/>
              <w:right w:val="nil"/>
            </w:tcBorders>
            <w:vAlign w:val="center"/>
          </w:tcPr>
          <w:p w14:paraId="788F5DAA"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2</w:t>
            </w:r>
          </w:p>
        </w:tc>
      </w:tr>
    </w:tbl>
    <w:p w14:paraId="12409EC5"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了解无土栽培的发展历史、现状及趋势，掌握无土栽培的概念、分类及特点。意识到掌握</w:t>
      </w:r>
      <w:r>
        <w:rPr>
          <w:rFonts w:ascii="宋体" w:hAnsi="宋体"/>
          <w:bCs/>
        </w:rPr>
        <w:t>无土栽培技术对现代农业发展的重要性。</w:t>
      </w:r>
    </w:p>
    <w:p w14:paraId="5417B525"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无土栽培的概念、优缺点及分类。</w:t>
      </w:r>
    </w:p>
    <w:p w14:paraId="2C8D3485" w14:textId="77777777" w:rsidR="00F5289E" w:rsidRDefault="00C91173">
      <w:pPr>
        <w:widowControl/>
        <w:snapToGrid w:val="0"/>
        <w:spacing w:line="360" w:lineRule="auto"/>
        <w:rPr>
          <w:rFonts w:hAnsi="宋体"/>
          <w:kern w:val="0"/>
          <w:szCs w:val="21"/>
        </w:rPr>
      </w:pPr>
      <w:r>
        <w:rPr>
          <w:rFonts w:ascii="宋体" w:hAnsi="宋体" w:hint="eastAsia"/>
          <w:b/>
          <w:bCs/>
        </w:rPr>
        <w:t>主要教学内容及要求：</w:t>
      </w:r>
      <w:r>
        <w:rPr>
          <w:rFonts w:hAnsi="宋体" w:hint="eastAsia"/>
          <w:kern w:val="0"/>
          <w:szCs w:val="21"/>
        </w:rPr>
        <w:t>了解无土栽培技术的发展历史及现状；理解无土栽培的未来趋势；掌握无土栽培的应用领域；熟练掌握无土栽培的分类与特点。</w:t>
      </w:r>
    </w:p>
    <w:p w14:paraId="40249142" w14:textId="77777777" w:rsidR="00F5289E" w:rsidRDefault="00C91173" w:rsidP="00A115EF">
      <w:pPr>
        <w:pStyle w:val="afd"/>
        <w:widowControl/>
        <w:numPr>
          <w:ilvl w:val="0"/>
          <w:numId w:val="19"/>
        </w:numPr>
        <w:snapToGrid w:val="0"/>
        <w:spacing w:line="360" w:lineRule="auto"/>
        <w:ind w:firstLineChars="0"/>
        <w:rPr>
          <w:rFonts w:hAnsi="宋体"/>
          <w:kern w:val="0"/>
          <w:szCs w:val="21"/>
        </w:rPr>
      </w:pPr>
      <w:r>
        <w:rPr>
          <w:rFonts w:hAnsi="宋体" w:hint="eastAsia"/>
          <w:kern w:val="0"/>
          <w:szCs w:val="21"/>
        </w:rPr>
        <w:t>无土栽培的分类与特点</w:t>
      </w:r>
    </w:p>
    <w:p w14:paraId="55E55AA1" w14:textId="77777777" w:rsidR="00F5289E" w:rsidRDefault="00C91173" w:rsidP="00A115EF">
      <w:pPr>
        <w:pStyle w:val="afd"/>
        <w:widowControl/>
        <w:numPr>
          <w:ilvl w:val="0"/>
          <w:numId w:val="19"/>
        </w:numPr>
        <w:snapToGrid w:val="0"/>
        <w:spacing w:line="360" w:lineRule="auto"/>
        <w:ind w:firstLineChars="0"/>
        <w:rPr>
          <w:rFonts w:hAnsi="宋体"/>
          <w:kern w:val="0"/>
          <w:szCs w:val="21"/>
        </w:rPr>
      </w:pPr>
      <w:r>
        <w:rPr>
          <w:rFonts w:hint="eastAsia"/>
          <w:bCs/>
          <w:kern w:val="0"/>
          <w:szCs w:val="21"/>
        </w:rPr>
        <w:t>无土栽培技术的发展历史</w:t>
      </w:r>
    </w:p>
    <w:p w14:paraId="5AD2C188" w14:textId="77777777" w:rsidR="00F5289E" w:rsidRDefault="00C91173" w:rsidP="00A115EF">
      <w:pPr>
        <w:pStyle w:val="afd"/>
        <w:widowControl/>
        <w:numPr>
          <w:ilvl w:val="0"/>
          <w:numId w:val="19"/>
        </w:numPr>
        <w:snapToGrid w:val="0"/>
        <w:spacing w:line="360" w:lineRule="auto"/>
        <w:ind w:firstLineChars="0"/>
        <w:rPr>
          <w:rFonts w:hAnsi="宋体"/>
          <w:kern w:val="0"/>
          <w:szCs w:val="21"/>
        </w:rPr>
      </w:pPr>
      <w:r>
        <w:rPr>
          <w:rFonts w:hint="eastAsia"/>
          <w:bCs/>
          <w:kern w:val="0"/>
          <w:szCs w:val="21"/>
        </w:rPr>
        <w:t>无土栽培的现状与展望</w:t>
      </w:r>
      <w:r>
        <w:rPr>
          <w:bCs/>
          <w:kern w:val="0"/>
          <w:szCs w:val="21"/>
        </w:rPr>
        <w:t>    </w:t>
      </w:r>
    </w:p>
    <w:p w14:paraId="62575F96"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4CFAEDE2"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你所</w:t>
      </w:r>
      <w:r>
        <w:rPr>
          <w:rFonts w:ascii="宋体" w:hAnsi="宋体"/>
          <w:bCs/>
        </w:rPr>
        <w:t>了解的无土栽培是什么样的?”,</w:t>
      </w:r>
      <w:r>
        <w:rPr>
          <w:rFonts w:ascii="宋体" w:hAnsi="宋体" w:hint="eastAsia"/>
          <w:bCs/>
        </w:rPr>
        <w:t>并</w:t>
      </w:r>
      <w:r>
        <w:rPr>
          <w:rFonts w:ascii="宋体" w:hAnsi="宋体"/>
          <w:bCs/>
        </w:rPr>
        <w:t>上传课件等学习资料，让学生进行自学。</w:t>
      </w:r>
    </w:p>
    <w:p w14:paraId="5184E29F" w14:textId="77777777" w:rsidR="00F5289E" w:rsidRDefault="00C91173">
      <w:pPr>
        <w:widowControl/>
        <w:snapToGrid w:val="0"/>
        <w:spacing w:line="360" w:lineRule="auto"/>
        <w:rPr>
          <w:rFonts w:ascii="宋体" w:hAnsi="宋体"/>
          <w:bCs/>
        </w:rPr>
      </w:pPr>
      <w:r>
        <w:rPr>
          <w:rFonts w:ascii="宋体" w:hAnsi="宋体"/>
          <w:bCs/>
        </w:rPr>
        <w:t>2.</w:t>
      </w:r>
      <w:r>
        <w:rPr>
          <w:rFonts w:ascii="宋体" w:hAnsi="宋体" w:hint="eastAsia"/>
          <w:bCs/>
        </w:rPr>
        <w:t>采用</w:t>
      </w:r>
      <w:r>
        <w:rPr>
          <w:rFonts w:ascii="宋体" w:hAnsi="宋体"/>
          <w:bCs/>
        </w:rPr>
        <w:t>导入课程等手段，使学生认识到本课程的地位</w:t>
      </w:r>
      <w:r>
        <w:rPr>
          <w:rFonts w:ascii="宋体" w:hAnsi="宋体" w:hint="eastAsia"/>
          <w:bCs/>
        </w:rPr>
        <w:t>、</w:t>
      </w:r>
      <w:r>
        <w:rPr>
          <w:rFonts w:ascii="宋体" w:hAnsi="宋体"/>
          <w:bCs/>
        </w:rPr>
        <w:t>对生产的意义，并检验课前自学情况。</w:t>
      </w:r>
    </w:p>
    <w:p w14:paraId="71F6E0B3" w14:textId="77777777" w:rsidR="00F5289E" w:rsidRDefault="00C91173">
      <w:pPr>
        <w:widowControl/>
        <w:snapToGrid w:val="0"/>
        <w:spacing w:line="360" w:lineRule="auto"/>
        <w:rPr>
          <w:rFonts w:ascii="宋体" w:hAnsi="宋体"/>
          <w:bCs/>
        </w:rPr>
      </w:pPr>
      <w:r>
        <w:rPr>
          <w:rFonts w:ascii="宋体" w:hAnsi="宋体"/>
          <w:bCs/>
        </w:rPr>
        <w:t>3.</w:t>
      </w:r>
      <w:r>
        <w:rPr>
          <w:rFonts w:ascii="宋体" w:hAnsi="宋体" w:hint="eastAsia"/>
          <w:bCs/>
        </w:rPr>
        <w:t xml:space="preserve"> 以</w:t>
      </w:r>
      <w:r>
        <w:rPr>
          <w:rFonts w:ascii="宋体" w:hAnsi="宋体"/>
          <w:bCs/>
        </w:rPr>
        <w:t>比较、归纳的方法</w:t>
      </w:r>
      <w:r>
        <w:rPr>
          <w:rFonts w:ascii="宋体" w:hAnsi="宋体" w:hint="eastAsia"/>
          <w:bCs/>
        </w:rPr>
        <w:t>总结</w:t>
      </w:r>
      <w:r>
        <w:rPr>
          <w:rFonts w:ascii="宋体" w:hAnsi="宋体"/>
          <w:bCs/>
        </w:rPr>
        <w:t>知识点，</w:t>
      </w:r>
      <w:r>
        <w:rPr>
          <w:rFonts w:ascii="宋体" w:hAnsi="宋体" w:hint="eastAsia"/>
          <w:bCs/>
        </w:rPr>
        <w:t>采用</w:t>
      </w:r>
      <w:r>
        <w:rPr>
          <w:rFonts w:ascii="宋体" w:hAnsi="宋体"/>
          <w:bCs/>
        </w:rPr>
        <w:t>多媒体教学，</w:t>
      </w:r>
      <w:r>
        <w:rPr>
          <w:rFonts w:ascii="宋体" w:hAnsi="宋体" w:hint="eastAsia"/>
          <w:bCs/>
        </w:rPr>
        <w:t>形象地</w:t>
      </w:r>
      <w:r>
        <w:rPr>
          <w:rFonts w:ascii="宋体" w:hAnsi="宋体"/>
          <w:bCs/>
        </w:rPr>
        <w:t>向学生展示、讲解</w:t>
      </w:r>
      <w:r>
        <w:rPr>
          <w:rFonts w:ascii="宋体" w:hAnsi="宋体" w:hint="eastAsia"/>
          <w:bCs/>
        </w:rPr>
        <w:t>重点</w:t>
      </w:r>
      <w:r>
        <w:rPr>
          <w:rFonts w:ascii="宋体" w:hAnsi="宋体"/>
          <w:bCs/>
        </w:rPr>
        <w:t>难点问题。</w:t>
      </w:r>
    </w:p>
    <w:p w14:paraId="2717254B" w14:textId="77777777" w:rsidR="00F5289E" w:rsidRDefault="00C91173">
      <w:pPr>
        <w:widowControl/>
        <w:snapToGrid w:val="0"/>
        <w:spacing w:line="360" w:lineRule="auto"/>
        <w:rPr>
          <w:rFonts w:ascii="宋体" w:hAnsi="宋体"/>
          <w:bCs/>
        </w:rPr>
      </w:pPr>
      <w:r>
        <w:rPr>
          <w:rFonts w:ascii="宋体" w:hAnsi="宋体"/>
          <w:bCs/>
        </w:rPr>
        <w:t>4.</w:t>
      </w:r>
      <w:r>
        <w:rPr>
          <w:rFonts w:ascii="宋体" w:hAnsi="宋体" w:hint="eastAsia"/>
          <w:bCs/>
        </w:rPr>
        <w:t>采用归纳</w:t>
      </w:r>
      <w:r>
        <w:rPr>
          <w:rFonts w:ascii="宋体" w:hAnsi="宋体"/>
          <w:bCs/>
        </w:rPr>
        <w:t>、提问</w:t>
      </w:r>
      <w:r>
        <w:rPr>
          <w:rFonts w:ascii="宋体" w:hAnsi="宋体" w:hint="eastAsia"/>
          <w:bCs/>
        </w:rPr>
        <w:t>的</w:t>
      </w:r>
      <w:r>
        <w:rPr>
          <w:rFonts w:ascii="宋体" w:hAnsi="宋体"/>
          <w:bCs/>
        </w:rPr>
        <w:t>形式，总结</w:t>
      </w:r>
      <w:r>
        <w:rPr>
          <w:rFonts w:ascii="宋体" w:hAnsi="宋体" w:hint="eastAsia"/>
          <w:bCs/>
        </w:rPr>
        <w:t>章节</w:t>
      </w:r>
      <w:r>
        <w:rPr>
          <w:rFonts w:ascii="宋体" w:hAnsi="宋体"/>
          <w:bCs/>
        </w:rPr>
        <w:t>知识点，引入课程思政，并引出下节学习</w:t>
      </w:r>
      <w:r>
        <w:rPr>
          <w:rFonts w:ascii="宋体" w:hAnsi="宋体" w:hint="eastAsia"/>
          <w:bCs/>
        </w:rPr>
        <w:t>内容</w:t>
      </w:r>
      <w:r>
        <w:rPr>
          <w:rFonts w:ascii="宋体" w:hAnsi="宋体"/>
          <w:bCs/>
        </w:rPr>
        <w:t>。</w:t>
      </w:r>
    </w:p>
    <w:p w14:paraId="3DFE883C" w14:textId="77777777" w:rsidR="00F5289E" w:rsidRDefault="00C91173">
      <w:pPr>
        <w:widowControl/>
        <w:wordWrap w:val="0"/>
        <w:snapToGrid w:val="0"/>
        <w:spacing w:line="360" w:lineRule="auto"/>
        <w:jc w:val="right"/>
        <w:rPr>
          <w:b/>
          <w:bCs/>
          <w:kern w:val="0"/>
          <w:szCs w:val="21"/>
        </w:rPr>
      </w:pPr>
      <w:r>
        <w:rPr>
          <w:b/>
          <w:bCs/>
          <w:kern w:val="0"/>
          <w:szCs w:val="21"/>
        </w:rPr>
        <w:t>   </w:t>
      </w:r>
    </w:p>
    <w:p w14:paraId="68BD4567" w14:textId="77777777" w:rsidR="00F5289E" w:rsidRDefault="00F5289E">
      <w:pPr>
        <w:widowControl/>
        <w:snapToGrid w:val="0"/>
        <w:spacing w:line="360" w:lineRule="auto"/>
        <w:jc w:val="right"/>
        <w:rPr>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53B09F2F" w14:textId="77777777">
        <w:trPr>
          <w:trHeight w:val="270"/>
        </w:trPr>
        <w:tc>
          <w:tcPr>
            <w:tcW w:w="2152" w:type="dxa"/>
            <w:tcBorders>
              <w:top w:val="nil"/>
              <w:left w:val="nil"/>
              <w:bottom w:val="nil"/>
              <w:right w:val="nil"/>
            </w:tcBorders>
            <w:vAlign w:val="center"/>
          </w:tcPr>
          <w:p w14:paraId="401C77EE"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1F31B470" w14:textId="77777777" w:rsidR="00F5289E" w:rsidRDefault="00C91173">
            <w:pPr>
              <w:widowControl/>
              <w:snapToGrid w:val="0"/>
              <w:spacing w:line="360" w:lineRule="auto"/>
              <w:jc w:val="center"/>
              <w:rPr>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b/>
                <w:bCs/>
                <w:kern w:val="0"/>
                <w:szCs w:val="21"/>
              </w:rPr>
              <w:t>    </w:t>
            </w:r>
            <w:r>
              <w:rPr>
                <w:rFonts w:ascii="宋体" w:hAnsi="宋体" w:hint="eastAsia"/>
                <w:b/>
                <w:bCs/>
              </w:rPr>
              <w:t>无土栽培</w:t>
            </w:r>
            <w:r>
              <w:rPr>
                <w:rFonts w:ascii="宋体" w:hAnsi="宋体"/>
                <w:b/>
                <w:bCs/>
              </w:rPr>
              <w:t>的理论基础</w:t>
            </w:r>
          </w:p>
        </w:tc>
        <w:tc>
          <w:tcPr>
            <w:tcW w:w="2326" w:type="dxa"/>
            <w:tcBorders>
              <w:top w:val="nil"/>
              <w:left w:val="nil"/>
              <w:bottom w:val="nil"/>
              <w:right w:val="nil"/>
            </w:tcBorders>
            <w:vAlign w:val="center"/>
          </w:tcPr>
          <w:p w14:paraId="50E3F165"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2</w:t>
            </w:r>
          </w:p>
        </w:tc>
      </w:tr>
    </w:tbl>
    <w:p w14:paraId="39D7B2B4"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理解</w:t>
      </w:r>
      <w:r>
        <w:rPr>
          <w:rFonts w:ascii="宋体" w:hAnsi="宋体"/>
          <w:bCs/>
        </w:rPr>
        <w:t>无土栽培的理论基础</w:t>
      </w:r>
      <w:r>
        <w:rPr>
          <w:rFonts w:ascii="宋体" w:hAnsi="宋体" w:hint="eastAsia"/>
          <w:bCs/>
        </w:rPr>
        <w:t>；</w:t>
      </w:r>
      <w:r>
        <w:rPr>
          <w:rFonts w:ascii="宋体" w:hAnsi="宋体"/>
          <w:bCs/>
        </w:rPr>
        <w:t>掌握根系吸水吸肥特性</w:t>
      </w:r>
      <w:r>
        <w:rPr>
          <w:rFonts w:ascii="宋体" w:hAnsi="宋体" w:hint="eastAsia"/>
          <w:bCs/>
        </w:rPr>
        <w:t>；了解各</w:t>
      </w:r>
      <w:r>
        <w:rPr>
          <w:rFonts w:ascii="宋体" w:hAnsi="宋体"/>
          <w:bCs/>
        </w:rPr>
        <w:t>营养元素的</w:t>
      </w:r>
      <w:r>
        <w:rPr>
          <w:rFonts w:ascii="宋体" w:hAnsi="宋体" w:hint="eastAsia"/>
          <w:bCs/>
        </w:rPr>
        <w:t>功能</w:t>
      </w:r>
      <w:r>
        <w:rPr>
          <w:rFonts w:ascii="宋体" w:hAnsi="宋体"/>
          <w:bCs/>
        </w:rPr>
        <w:t>。</w:t>
      </w:r>
    </w:p>
    <w:p w14:paraId="22EF7B0F"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bCs/>
        </w:rPr>
        <w:t>根系吸水吸肥特性</w:t>
      </w:r>
      <w:r>
        <w:rPr>
          <w:rFonts w:ascii="宋体" w:hAnsi="宋体" w:hint="eastAsia"/>
          <w:bCs/>
        </w:rPr>
        <w:t>；矿质营养</w:t>
      </w:r>
      <w:r>
        <w:rPr>
          <w:rFonts w:ascii="宋体" w:hAnsi="宋体"/>
          <w:bCs/>
        </w:rPr>
        <w:t>学说。</w:t>
      </w:r>
    </w:p>
    <w:p w14:paraId="5850B5DB" w14:textId="77777777" w:rsidR="00F5289E" w:rsidRDefault="00C91173">
      <w:pPr>
        <w:widowControl/>
        <w:snapToGrid w:val="0"/>
        <w:spacing w:line="360" w:lineRule="auto"/>
        <w:rPr>
          <w:rFonts w:ascii="宋体" w:hAnsi="宋体"/>
          <w:bCs/>
        </w:rPr>
      </w:pPr>
      <w:r>
        <w:rPr>
          <w:rFonts w:ascii="宋体" w:hAnsi="宋体" w:hint="eastAsia"/>
          <w:b/>
          <w:bCs/>
        </w:rPr>
        <w:t>主要教学内容及要求：</w:t>
      </w:r>
      <w:r>
        <w:rPr>
          <w:rFonts w:ascii="宋体" w:hAnsi="宋体" w:hint="eastAsia"/>
          <w:bCs/>
        </w:rPr>
        <w:t>理解无土</w:t>
      </w:r>
      <w:r>
        <w:rPr>
          <w:rFonts w:ascii="宋体" w:hAnsi="宋体"/>
          <w:bCs/>
        </w:rPr>
        <w:t>栽培的理论基础是矿质营养学说；</w:t>
      </w:r>
      <w:r>
        <w:rPr>
          <w:rFonts w:ascii="宋体" w:hAnsi="宋体" w:hint="eastAsia"/>
          <w:bCs/>
        </w:rPr>
        <w:t>掌握</w:t>
      </w:r>
      <w:r>
        <w:rPr>
          <w:rFonts w:ascii="宋体" w:hAnsi="宋体"/>
          <w:bCs/>
        </w:rPr>
        <w:t>根系对水分和养分的吸收过程和影响因素；了解植物必需营养元素的功能及缺乏所产生的功能障碍；了解表观吸收组成浓度在作物专用营养液配方研究中的</w:t>
      </w:r>
      <w:r>
        <w:rPr>
          <w:rFonts w:ascii="宋体" w:hAnsi="宋体" w:hint="eastAsia"/>
          <w:bCs/>
        </w:rPr>
        <w:t>原理</w:t>
      </w:r>
      <w:r>
        <w:rPr>
          <w:rFonts w:ascii="宋体" w:hAnsi="宋体"/>
          <w:bCs/>
        </w:rPr>
        <w:t>与技术。</w:t>
      </w:r>
    </w:p>
    <w:p w14:paraId="2B5D705F" w14:textId="77777777" w:rsidR="00F5289E" w:rsidRDefault="00C91173">
      <w:pPr>
        <w:widowControl/>
        <w:snapToGrid w:val="0"/>
        <w:spacing w:line="360" w:lineRule="auto"/>
        <w:rPr>
          <w:rFonts w:ascii="宋体" w:hAnsi="宋体"/>
          <w:bCs/>
        </w:rPr>
      </w:pPr>
      <w:r>
        <w:rPr>
          <w:rFonts w:ascii="宋体" w:hAnsi="宋体" w:hint="eastAsia"/>
          <w:bCs/>
        </w:rPr>
        <w:t xml:space="preserve"> </w:t>
      </w:r>
      <w:r>
        <w:rPr>
          <w:rFonts w:ascii="宋体" w:hAnsi="宋体"/>
          <w:bCs/>
        </w:rPr>
        <w:t xml:space="preserve">    </w:t>
      </w:r>
      <w:r>
        <w:rPr>
          <w:rFonts w:ascii="宋体" w:hAnsi="宋体" w:hint="eastAsia"/>
          <w:bCs/>
        </w:rPr>
        <w:t>第一节 植物</w:t>
      </w:r>
      <w:r>
        <w:rPr>
          <w:rFonts w:ascii="宋体" w:hAnsi="宋体"/>
          <w:bCs/>
        </w:rPr>
        <w:t>的矿质营养学说</w:t>
      </w:r>
    </w:p>
    <w:p w14:paraId="3AACAFDF" w14:textId="77777777" w:rsidR="00F5289E" w:rsidRDefault="00C91173">
      <w:pPr>
        <w:widowControl/>
        <w:snapToGrid w:val="0"/>
        <w:spacing w:line="360" w:lineRule="auto"/>
        <w:rPr>
          <w:rFonts w:ascii="宋体" w:hAnsi="宋体"/>
          <w:bCs/>
        </w:rPr>
      </w:pPr>
      <w:r>
        <w:rPr>
          <w:rFonts w:ascii="宋体" w:hAnsi="宋体"/>
          <w:bCs/>
        </w:rPr>
        <w:t xml:space="preserve">     </w:t>
      </w:r>
      <w:r>
        <w:rPr>
          <w:rFonts w:ascii="宋体" w:hAnsi="宋体" w:hint="eastAsia"/>
          <w:bCs/>
        </w:rPr>
        <w:t>第二节 植物对</w:t>
      </w:r>
      <w:r>
        <w:rPr>
          <w:rFonts w:ascii="宋体" w:hAnsi="宋体"/>
          <w:bCs/>
        </w:rPr>
        <w:t>矿质营养元素的吸收和利用</w:t>
      </w:r>
    </w:p>
    <w:p w14:paraId="0DE3E32B"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7A8EA456" w14:textId="77777777" w:rsidR="00F5289E" w:rsidRDefault="00C91173">
      <w:pPr>
        <w:widowControl/>
        <w:snapToGrid w:val="0"/>
        <w:spacing w:line="360" w:lineRule="auto"/>
        <w:rPr>
          <w:rFonts w:ascii="宋体" w:hAnsi="宋体"/>
          <w:bCs/>
        </w:rPr>
      </w:pPr>
      <w:r>
        <w:rPr>
          <w:rFonts w:ascii="宋体" w:hAnsi="宋体" w:hint="eastAsia"/>
          <w:bCs/>
        </w:rPr>
        <w:t>1.课前</w:t>
      </w:r>
      <w:r>
        <w:rPr>
          <w:rFonts w:ascii="宋体" w:hAnsi="宋体"/>
          <w:bCs/>
        </w:rPr>
        <w:t>在</w:t>
      </w:r>
      <w:r>
        <w:rPr>
          <w:rFonts w:ascii="宋体" w:hAnsi="宋体" w:hint="eastAsia"/>
          <w:bCs/>
        </w:rPr>
        <w:t>超星</w:t>
      </w:r>
      <w:r>
        <w:rPr>
          <w:rFonts w:ascii="宋体" w:hAnsi="宋体"/>
          <w:bCs/>
        </w:rPr>
        <w:t>学习通上</w:t>
      </w:r>
      <w:r>
        <w:rPr>
          <w:rFonts w:ascii="宋体" w:hAnsi="宋体" w:hint="eastAsia"/>
          <w:bCs/>
        </w:rPr>
        <w:t>上传</w:t>
      </w:r>
      <w:r>
        <w:rPr>
          <w:rFonts w:ascii="宋体" w:hAnsi="宋体"/>
          <w:bCs/>
        </w:rPr>
        <w:t>文献等学习资料，让学生自学，了解</w:t>
      </w:r>
      <w:r>
        <w:rPr>
          <w:rFonts w:ascii="宋体" w:hAnsi="宋体" w:hint="eastAsia"/>
          <w:bCs/>
        </w:rPr>
        <w:t>植物</w:t>
      </w:r>
      <w:r>
        <w:rPr>
          <w:rFonts w:ascii="宋体" w:hAnsi="宋体"/>
          <w:bCs/>
        </w:rPr>
        <w:t>营养相关的研究进展。</w:t>
      </w:r>
    </w:p>
    <w:p w14:paraId="4D436E87" w14:textId="77777777" w:rsidR="00F5289E" w:rsidRDefault="00C91173">
      <w:pPr>
        <w:widowControl/>
        <w:snapToGrid w:val="0"/>
        <w:spacing w:line="360" w:lineRule="auto"/>
        <w:rPr>
          <w:rFonts w:ascii="宋体" w:hAnsi="宋体"/>
          <w:bCs/>
        </w:rPr>
      </w:pPr>
      <w:r>
        <w:rPr>
          <w:rFonts w:ascii="宋体" w:hAnsi="宋体"/>
          <w:bCs/>
        </w:rPr>
        <w:t>2.</w:t>
      </w:r>
      <w:r>
        <w:rPr>
          <w:rFonts w:ascii="宋体" w:hAnsi="宋体" w:hint="eastAsia"/>
          <w:bCs/>
        </w:rPr>
        <w:t>课上</w:t>
      </w:r>
      <w:r>
        <w:rPr>
          <w:rFonts w:ascii="宋体" w:hAnsi="宋体"/>
          <w:bCs/>
        </w:rPr>
        <w:t>以讲解、</w:t>
      </w:r>
      <w:r>
        <w:rPr>
          <w:rFonts w:ascii="宋体" w:hAnsi="宋体" w:hint="eastAsia"/>
          <w:bCs/>
        </w:rPr>
        <w:t>拓展</w:t>
      </w:r>
      <w:r>
        <w:rPr>
          <w:rFonts w:ascii="宋体" w:hAnsi="宋体"/>
          <w:bCs/>
        </w:rPr>
        <w:t>、讨论等形式，了解</w:t>
      </w:r>
      <w:r>
        <w:rPr>
          <w:rFonts w:ascii="宋体" w:hAnsi="宋体" w:hint="eastAsia"/>
          <w:bCs/>
        </w:rPr>
        <w:t>学生</w:t>
      </w:r>
      <w:r>
        <w:rPr>
          <w:rFonts w:ascii="宋体" w:hAnsi="宋体"/>
          <w:bCs/>
        </w:rPr>
        <w:t>学习</w:t>
      </w:r>
      <w:r>
        <w:rPr>
          <w:rFonts w:ascii="宋体" w:hAnsi="宋体" w:hint="eastAsia"/>
          <w:bCs/>
        </w:rPr>
        <w:t>效果，</w:t>
      </w:r>
      <w:r>
        <w:rPr>
          <w:rFonts w:ascii="宋体" w:hAnsi="宋体"/>
          <w:bCs/>
        </w:rPr>
        <w:t>强化重点、难点的学习。</w:t>
      </w:r>
    </w:p>
    <w:p w14:paraId="2EF4117A" w14:textId="77777777" w:rsidR="00F5289E" w:rsidRDefault="00C91173">
      <w:pPr>
        <w:widowControl/>
        <w:snapToGrid w:val="0"/>
        <w:spacing w:line="360" w:lineRule="auto"/>
        <w:rPr>
          <w:rFonts w:ascii="宋体" w:hAnsi="宋体"/>
          <w:b/>
          <w:bCs/>
        </w:rPr>
      </w:pPr>
      <w:r>
        <w:rPr>
          <w:rFonts w:ascii="宋体" w:hAnsi="宋体"/>
          <w:bCs/>
        </w:rPr>
        <w:t>3.</w:t>
      </w:r>
      <w:r>
        <w:rPr>
          <w:rFonts w:ascii="宋体" w:hAnsi="宋体" w:hint="eastAsia"/>
          <w:bCs/>
        </w:rPr>
        <w:t>总结</w:t>
      </w:r>
      <w:r>
        <w:rPr>
          <w:rFonts w:ascii="宋体" w:hAnsi="宋体"/>
          <w:bCs/>
        </w:rPr>
        <w:t>、归纳知识点，理论联系</w:t>
      </w:r>
      <w:r>
        <w:rPr>
          <w:rFonts w:ascii="宋体" w:hAnsi="宋体" w:hint="eastAsia"/>
          <w:bCs/>
        </w:rPr>
        <w:t>实践</w:t>
      </w:r>
      <w:r>
        <w:rPr>
          <w:rFonts w:ascii="宋体" w:hAnsi="宋体"/>
          <w:bCs/>
        </w:rPr>
        <w:t>解决生产中存在的问题</w:t>
      </w:r>
      <w:r>
        <w:rPr>
          <w:rFonts w:ascii="宋体" w:hAnsi="宋体" w:hint="eastAsia"/>
          <w:bCs/>
        </w:rPr>
        <w:t>，</w:t>
      </w:r>
      <w:r>
        <w:rPr>
          <w:rFonts w:ascii="宋体" w:hAnsi="宋体"/>
          <w:bCs/>
        </w:rPr>
        <w:t>引出下节内容。</w:t>
      </w:r>
    </w:p>
    <w:p w14:paraId="644F4664" w14:textId="77777777" w:rsidR="00F5289E" w:rsidRDefault="00F5289E">
      <w:pPr>
        <w:widowControl/>
        <w:snapToGrid w:val="0"/>
        <w:spacing w:line="360" w:lineRule="auto"/>
        <w:rPr>
          <w:rFonts w:ascii="宋体" w:hAnsi="宋体"/>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380B0000" w14:textId="77777777">
        <w:trPr>
          <w:trHeight w:val="270"/>
        </w:trPr>
        <w:tc>
          <w:tcPr>
            <w:tcW w:w="2152" w:type="dxa"/>
            <w:tcBorders>
              <w:top w:val="nil"/>
              <w:left w:val="nil"/>
              <w:bottom w:val="nil"/>
              <w:right w:val="nil"/>
            </w:tcBorders>
            <w:vAlign w:val="center"/>
          </w:tcPr>
          <w:p w14:paraId="504C58B2"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1BF393DC" w14:textId="77777777" w:rsidR="00F5289E" w:rsidRDefault="00C91173">
            <w:pPr>
              <w:widowControl/>
              <w:snapToGrid w:val="0"/>
              <w:spacing w:line="360" w:lineRule="auto"/>
              <w:jc w:val="center"/>
              <w:rPr>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b/>
                <w:bCs/>
                <w:kern w:val="0"/>
                <w:szCs w:val="21"/>
              </w:rPr>
              <w:t>    </w:t>
            </w:r>
            <w:r>
              <w:rPr>
                <w:rFonts w:ascii="宋体" w:hAnsi="宋体" w:hint="eastAsia"/>
                <w:b/>
                <w:bCs/>
              </w:rPr>
              <w:t>营养液</w:t>
            </w:r>
          </w:p>
        </w:tc>
        <w:tc>
          <w:tcPr>
            <w:tcW w:w="2326" w:type="dxa"/>
            <w:tcBorders>
              <w:top w:val="nil"/>
              <w:left w:val="nil"/>
              <w:bottom w:val="nil"/>
              <w:right w:val="nil"/>
            </w:tcBorders>
            <w:vAlign w:val="center"/>
          </w:tcPr>
          <w:p w14:paraId="6A7C27AD"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6</w:t>
            </w:r>
          </w:p>
        </w:tc>
      </w:tr>
    </w:tbl>
    <w:p w14:paraId="190BC5E9" w14:textId="77777777" w:rsidR="00F5289E" w:rsidRDefault="00C91173">
      <w:pPr>
        <w:widowControl/>
        <w:snapToGrid w:val="0"/>
        <w:spacing w:line="360" w:lineRule="auto"/>
        <w:jc w:val="left"/>
        <w:rPr>
          <w:rFonts w:ascii="宋体" w:hAnsi="宋体"/>
          <w:bCs/>
        </w:rPr>
      </w:pPr>
      <w:r>
        <w:rPr>
          <w:rFonts w:ascii="宋体" w:hAnsi="宋体" w:hint="eastAsia"/>
          <w:b/>
          <w:bCs/>
        </w:rPr>
        <w:t>教学目的：</w:t>
      </w:r>
      <w:r>
        <w:rPr>
          <w:rFonts w:hAnsi="宋体" w:hint="eastAsia"/>
          <w:kern w:val="0"/>
          <w:szCs w:val="21"/>
        </w:rPr>
        <w:t>理解无土栽培的理论基础是矿质营养学说；</w:t>
      </w:r>
      <w:r>
        <w:rPr>
          <w:rFonts w:ascii="宋体" w:hAnsi="宋体" w:hint="eastAsia"/>
          <w:bCs/>
        </w:rPr>
        <w:t>掌握营养液的原料及其要求，掌握营养液的组成</w:t>
      </w:r>
      <w:r>
        <w:rPr>
          <w:rFonts w:ascii="宋体" w:hAnsi="宋体"/>
          <w:bCs/>
        </w:rPr>
        <w:t>、</w:t>
      </w:r>
      <w:r>
        <w:rPr>
          <w:rFonts w:ascii="宋体" w:hAnsi="宋体" w:hint="eastAsia"/>
          <w:bCs/>
        </w:rPr>
        <w:t>配制方法及管理技术。认识到</w:t>
      </w:r>
      <w:r>
        <w:rPr>
          <w:rFonts w:ascii="宋体" w:hAnsi="宋体"/>
          <w:bCs/>
        </w:rPr>
        <w:t>营养液在</w:t>
      </w:r>
      <w:r>
        <w:rPr>
          <w:rFonts w:ascii="宋体" w:hAnsi="宋体" w:hint="eastAsia"/>
          <w:bCs/>
        </w:rPr>
        <w:t>无土</w:t>
      </w:r>
      <w:r>
        <w:rPr>
          <w:rFonts w:ascii="宋体" w:hAnsi="宋体"/>
          <w:bCs/>
        </w:rPr>
        <w:t>栽培过程中的关键作用。</w:t>
      </w:r>
    </w:p>
    <w:p w14:paraId="73B4412D" w14:textId="77777777" w:rsidR="00F5289E" w:rsidRDefault="00C91173">
      <w:pPr>
        <w:widowControl/>
        <w:snapToGrid w:val="0"/>
        <w:spacing w:line="360" w:lineRule="auto"/>
        <w:jc w:val="left"/>
        <w:rPr>
          <w:rFonts w:ascii="宋体" w:hAnsi="宋体"/>
          <w:bCs/>
        </w:rPr>
      </w:pPr>
      <w:r>
        <w:rPr>
          <w:rFonts w:ascii="宋体" w:hAnsi="宋体" w:hint="eastAsia"/>
          <w:b/>
          <w:bCs/>
        </w:rPr>
        <w:t>教学重点和难点：</w:t>
      </w:r>
      <w:r>
        <w:rPr>
          <w:rFonts w:ascii="宋体" w:hAnsi="宋体" w:hint="eastAsia"/>
          <w:bCs/>
        </w:rPr>
        <w:t>营养液的组成原则和确定方法；营养液的配制及</w:t>
      </w:r>
      <w:r>
        <w:rPr>
          <w:rFonts w:ascii="宋体" w:hAnsi="宋体"/>
          <w:bCs/>
        </w:rPr>
        <w:t>管理技术</w:t>
      </w:r>
      <w:r>
        <w:rPr>
          <w:rFonts w:ascii="宋体" w:hAnsi="宋体" w:hint="eastAsia"/>
          <w:bCs/>
        </w:rPr>
        <w:t>。</w:t>
      </w:r>
    </w:p>
    <w:p w14:paraId="65354AC4"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了解营养液的变化规律、调控措施及其循环利用技术，了解营养液的多种配方；理解</w:t>
      </w:r>
      <w:r>
        <w:rPr>
          <w:rFonts w:ascii="宋体" w:hAnsi="宋体" w:hint="eastAsia"/>
        </w:rPr>
        <w:t>矿质营养学说与无土栽培的关系</w:t>
      </w:r>
      <w:r>
        <w:rPr>
          <w:rFonts w:ascii="宋体" w:hAnsi="宋体"/>
        </w:rPr>
        <w:t>，</w:t>
      </w:r>
      <w:r>
        <w:rPr>
          <w:rFonts w:ascii="宋体" w:hAnsi="宋体" w:hint="eastAsia"/>
          <w:bCs/>
        </w:rPr>
        <w:t>理解营养液对水质和化合物的要求及营养液原料的理化性质；掌握营养液的表示方法、组成原则和确定方法；熟练掌握营养液的配制方法及管理技术。</w:t>
      </w:r>
    </w:p>
    <w:p w14:paraId="48821EF0" w14:textId="77777777" w:rsidR="00F5289E" w:rsidRDefault="00C91173" w:rsidP="00A115EF">
      <w:pPr>
        <w:pStyle w:val="afd"/>
        <w:widowControl/>
        <w:numPr>
          <w:ilvl w:val="0"/>
          <w:numId w:val="20"/>
        </w:numPr>
        <w:snapToGrid w:val="0"/>
        <w:spacing w:line="360" w:lineRule="auto"/>
        <w:ind w:firstLineChars="0"/>
        <w:rPr>
          <w:rFonts w:ascii="宋体" w:hAnsi="宋体"/>
        </w:rPr>
      </w:pPr>
      <w:r>
        <w:rPr>
          <w:rFonts w:ascii="宋体" w:hAnsi="宋体" w:hint="eastAsia"/>
        </w:rPr>
        <w:t>植物的矿质营养学说与无土栽培</w:t>
      </w:r>
    </w:p>
    <w:p w14:paraId="42E9BFF1" w14:textId="77777777" w:rsidR="00F5289E" w:rsidRDefault="00C91173" w:rsidP="00A115EF">
      <w:pPr>
        <w:pStyle w:val="afd"/>
        <w:widowControl/>
        <w:numPr>
          <w:ilvl w:val="0"/>
          <w:numId w:val="20"/>
        </w:numPr>
        <w:snapToGrid w:val="0"/>
        <w:spacing w:line="360" w:lineRule="auto"/>
        <w:ind w:firstLineChars="0"/>
        <w:jc w:val="left"/>
        <w:rPr>
          <w:rFonts w:ascii="宋体" w:hAnsi="宋体"/>
          <w:bCs/>
        </w:rPr>
      </w:pPr>
      <w:r>
        <w:rPr>
          <w:rFonts w:ascii="宋体" w:hAnsi="宋体" w:hint="eastAsia"/>
          <w:bCs/>
        </w:rPr>
        <w:t>营养液的原料及其要求</w:t>
      </w:r>
    </w:p>
    <w:p w14:paraId="1C7569D4" w14:textId="77777777" w:rsidR="00F5289E" w:rsidRDefault="00C91173" w:rsidP="00A115EF">
      <w:pPr>
        <w:pStyle w:val="afd"/>
        <w:widowControl/>
        <w:numPr>
          <w:ilvl w:val="0"/>
          <w:numId w:val="20"/>
        </w:numPr>
        <w:snapToGrid w:val="0"/>
        <w:spacing w:line="360" w:lineRule="auto"/>
        <w:ind w:firstLineChars="0"/>
        <w:jc w:val="left"/>
        <w:rPr>
          <w:rFonts w:ascii="宋体" w:hAnsi="宋体"/>
          <w:bCs/>
        </w:rPr>
      </w:pPr>
      <w:r>
        <w:rPr>
          <w:rFonts w:ascii="宋体" w:hAnsi="宋体" w:hint="eastAsia"/>
          <w:bCs/>
        </w:rPr>
        <w:t>营养液的组成</w:t>
      </w:r>
    </w:p>
    <w:p w14:paraId="5F69A55B" w14:textId="77777777" w:rsidR="00F5289E" w:rsidRDefault="00C91173" w:rsidP="00A115EF">
      <w:pPr>
        <w:pStyle w:val="afd"/>
        <w:widowControl/>
        <w:numPr>
          <w:ilvl w:val="0"/>
          <w:numId w:val="20"/>
        </w:numPr>
        <w:snapToGrid w:val="0"/>
        <w:spacing w:line="360" w:lineRule="auto"/>
        <w:ind w:firstLineChars="0"/>
        <w:jc w:val="left"/>
        <w:rPr>
          <w:rFonts w:ascii="宋体" w:hAnsi="宋体"/>
          <w:bCs/>
        </w:rPr>
      </w:pPr>
      <w:r>
        <w:rPr>
          <w:rFonts w:ascii="宋体" w:hAnsi="宋体" w:hint="eastAsia"/>
          <w:bCs/>
        </w:rPr>
        <w:t>营养液的配制</w:t>
      </w:r>
    </w:p>
    <w:p w14:paraId="72F98EDD" w14:textId="77777777" w:rsidR="00F5289E" w:rsidRDefault="00C91173" w:rsidP="00A115EF">
      <w:pPr>
        <w:pStyle w:val="afd"/>
        <w:widowControl/>
        <w:numPr>
          <w:ilvl w:val="0"/>
          <w:numId w:val="20"/>
        </w:numPr>
        <w:snapToGrid w:val="0"/>
        <w:spacing w:line="360" w:lineRule="auto"/>
        <w:ind w:firstLineChars="0"/>
        <w:jc w:val="left"/>
        <w:rPr>
          <w:rFonts w:ascii="宋体" w:hAnsi="宋体"/>
          <w:bCs/>
        </w:rPr>
      </w:pPr>
      <w:r>
        <w:rPr>
          <w:rFonts w:ascii="宋体" w:hAnsi="宋体" w:hint="eastAsia"/>
          <w:bCs/>
        </w:rPr>
        <w:t>营养液的管理</w:t>
      </w:r>
    </w:p>
    <w:p w14:paraId="6AEAA952"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476EA480"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及问题</w:t>
      </w:r>
      <w:r>
        <w:rPr>
          <w:rFonts w:ascii="宋体" w:hAnsi="宋体"/>
          <w:bCs/>
        </w:rPr>
        <w:t>,</w:t>
      </w:r>
      <w:r>
        <w:rPr>
          <w:rFonts w:ascii="宋体" w:hAnsi="宋体" w:hint="eastAsia"/>
          <w:bCs/>
        </w:rPr>
        <w:t>并</w:t>
      </w:r>
      <w:r>
        <w:rPr>
          <w:rFonts w:ascii="宋体" w:hAnsi="宋体"/>
          <w:bCs/>
        </w:rPr>
        <w:t>上传课件等学习资料，让学生进行自学。</w:t>
      </w:r>
    </w:p>
    <w:p w14:paraId="7AA9AA1F" w14:textId="77777777" w:rsidR="00F5289E" w:rsidRDefault="00C91173">
      <w:pPr>
        <w:widowControl/>
        <w:snapToGrid w:val="0"/>
        <w:spacing w:line="360" w:lineRule="auto"/>
        <w:rPr>
          <w:rFonts w:ascii="宋体" w:hAnsi="宋体"/>
          <w:bCs/>
        </w:rPr>
      </w:pPr>
      <w:r>
        <w:rPr>
          <w:rFonts w:ascii="宋体" w:hAnsi="宋体" w:hint="eastAsia"/>
          <w:bCs/>
        </w:rPr>
        <w:t>2.采用引导法，</w:t>
      </w:r>
      <w:r>
        <w:rPr>
          <w:rFonts w:ascii="宋体" w:hAnsi="宋体"/>
          <w:bCs/>
        </w:rPr>
        <w:t>引出本章的学习内容，</w:t>
      </w:r>
      <w:r>
        <w:rPr>
          <w:rFonts w:ascii="宋体" w:hAnsi="宋体" w:hint="eastAsia"/>
          <w:bCs/>
        </w:rPr>
        <w:t>激发</w:t>
      </w:r>
      <w:r>
        <w:rPr>
          <w:rFonts w:ascii="宋体" w:hAnsi="宋体"/>
          <w:bCs/>
        </w:rPr>
        <w:t>学习兴趣，</w:t>
      </w:r>
      <w:r>
        <w:rPr>
          <w:rFonts w:ascii="宋体" w:hAnsi="宋体" w:hint="eastAsia"/>
          <w:bCs/>
        </w:rPr>
        <w:t>明确</w:t>
      </w:r>
      <w:r>
        <w:rPr>
          <w:rFonts w:ascii="宋体" w:hAnsi="宋体"/>
          <w:bCs/>
        </w:rPr>
        <w:t>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形象地</w:t>
      </w:r>
      <w:r>
        <w:rPr>
          <w:rFonts w:ascii="宋体" w:hAnsi="宋体"/>
          <w:bCs/>
        </w:rPr>
        <w:t>向学生展示、讲解</w:t>
      </w:r>
      <w:r>
        <w:rPr>
          <w:rFonts w:ascii="宋体" w:hAnsi="宋体" w:hint="eastAsia"/>
          <w:bCs/>
        </w:rPr>
        <w:t>知识点</w:t>
      </w:r>
      <w:r>
        <w:rPr>
          <w:rFonts w:ascii="宋体" w:hAnsi="宋体"/>
          <w:bCs/>
        </w:rPr>
        <w:t>，并结合具体的生产案例进行分析</w:t>
      </w:r>
      <w:r>
        <w:rPr>
          <w:rFonts w:ascii="宋体" w:hAnsi="宋体" w:hint="eastAsia"/>
          <w:bCs/>
        </w:rPr>
        <w:t>，有助于</w:t>
      </w:r>
      <w:r>
        <w:rPr>
          <w:rFonts w:ascii="宋体" w:hAnsi="宋体"/>
          <w:bCs/>
        </w:rPr>
        <w:t>学生发散思维，</w:t>
      </w:r>
      <w:r>
        <w:rPr>
          <w:rFonts w:ascii="宋体" w:hAnsi="宋体" w:hint="eastAsia"/>
          <w:bCs/>
        </w:rPr>
        <w:t>提高</w:t>
      </w:r>
      <w:r>
        <w:rPr>
          <w:rFonts w:ascii="宋体" w:hAnsi="宋体"/>
          <w:bCs/>
        </w:rPr>
        <w:t>学习兴趣及主动性</w:t>
      </w:r>
      <w:r>
        <w:rPr>
          <w:rFonts w:ascii="宋体" w:hAnsi="宋体" w:hint="eastAsia"/>
          <w:bCs/>
        </w:rPr>
        <w:t>。</w:t>
      </w:r>
    </w:p>
    <w:p w14:paraId="59F06F7B" w14:textId="77777777" w:rsidR="00F5289E" w:rsidRDefault="00C91173">
      <w:pPr>
        <w:widowControl/>
        <w:snapToGrid w:val="0"/>
        <w:spacing w:line="360" w:lineRule="auto"/>
        <w:rPr>
          <w:rFonts w:ascii="宋体" w:hAnsi="宋体"/>
          <w:b/>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的</w:t>
      </w:r>
      <w:r>
        <w:rPr>
          <w:rFonts w:ascii="宋体" w:hAnsi="宋体"/>
          <w:bCs/>
        </w:rPr>
        <w:t>形式，总结及检验学习效果</w:t>
      </w:r>
      <w:r>
        <w:rPr>
          <w:rFonts w:ascii="宋体" w:hAnsi="宋体" w:hint="eastAsia"/>
          <w:bCs/>
        </w:rPr>
        <w:t>；</w:t>
      </w:r>
      <w:r>
        <w:rPr>
          <w:rFonts w:ascii="宋体" w:hAnsi="宋体"/>
          <w:bCs/>
        </w:rPr>
        <w:t>提出问题，鼓励学生</w:t>
      </w:r>
      <w:r>
        <w:rPr>
          <w:rFonts w:ascii="宋体" w:hAnsi="宋体" w:hint="eastAsia"/>
          <w:bCs/>
        </w:rPr>
        <w:t>自主</w:t>
      </w:r>
      <w:r>
        <w:rPr>
          <w:rFonts w:ascii="宋体" w:hAnsi="宋体"/>
          <w:bCs/>
        </w:rPr>
        <w:t>学习，查阅相关资料，为下一章的学习做铺垫。</w:t>
      </w:r>
    </w:p>
    <w:p w14:paraId="77F1A436" w14:textId="77777777" w:rsidR="00F5289E" w:rsidRDefault="00F5289E">
      <w:pPr>
        <w:pStyle w:val="afd"/>
        <w:widowControl/>
        <w:snapToGrid w:val="0"/>
        <w:spacing w:line="360" w:lineRule="auto"/>
        <w:ind w:left="1245" w:firstLineChars="1000" w:firstLine="2108"/>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63559BAE" w14:textId="77777777">
        <w:trPr>
          <w:trHeight w:val="270"/>
        </w:trPr>
        <w:tc>
          <w:tcPr>
            <w:tcW w:w="2152" w:type="dxa"/>
            <w:tcBorders>
              <w:top w:val="nil"/>
              <w:left w:val="nil"/>
              <w:bottom w:val="nil"/>
              <w:right w:val="nil"/>
            </w:tcBorders>
            <w:vAlign w:val="center"/>
          </w:tcPr>
          <w:p w14:paraId="0C35A65A"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013B928E" w14:textId="77777777" w:rsidR="00F5289E" w:rsidRDefault="00C91173">
            <w:pPr>
              <w:widowControl/>
              <w:snapToGrid w:val="0"/>
              <w:spacing w:line="360" w:lineRule="auto"/>
              <w:jc w:val="center"/>
              <w:rPr>
                <w:b/>
                <w:bCs/>
                <w:kern w:val="0"/>
                <w:szCs w:val="21"/>
              </w:rPr>
            </w:pPr>
            <w:r>
              <w:rPr>
                <w:rFonts w:ascii="宋体" w:hAnsi="宋体" w:hint="eastAsia"/>
                <w:b/>
                <w:bCs/>
              </w:rPr>
              <w:t>第四章 水培和雾培设施与管理技术</w:t>
            </w:r>
          </w:p>
        </w:tc>
        <w:tc>
          <w:tcPr>
            <w:tcW w:w="2326" w:type="dxa"/>
            <w:tcBorders>
              <w:top w:val="nil"/>
              <w:left w:val="nil"/>
              <w:bottom w:val="nil"/>
              <w:right w:val="nil"/>
            </w:tcBorders>
            <w:vAlign w:val="center"/>
          </w:tcPr>
          <w:p w14:paraId="65720C7A"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4</w:t>
            </w:r>
          </w:p>
        </w:tc>
      </w:tr>
    </w:tbl>
    <w:p w14:paraId="66425513" w14:textId="77777777" w:rsidR="00F5289E" w:rsidRDefault="00C91173">
      <w:pPr>
        <w:widowControl/>
        <w:snapToGrid w:val="0"/>
        <w:spacing w:line="360" w:lineRule="auto"/>
        <w:jc w:val="left"/>
        <w:rPr>
          <w:rFonts w:ascii="宋体" w:hAnsi="宋体"/>
          <w:bCs/>
        </w:rPr>
      </w:pPr>
      <w:r>
        <w:rPr>
          <w:rFonts w:ascii="宋体" w:hAnsi="宋体" w:hint="eastAsia"/>
          <w:b/>
          <w:bCs/>
        </w:rPr>
        <w:t>教学目的：</w:t>
      </w:r>
      <w:r>
        <w:rPr>
          <w:rFonts w:ascii="宋体" w:hAnsi="宋体" w:hint="eastAsia"/>
          <w:bCs/>
        </w:rPr>
        <w:t>了解水培和雾培的应用现状，掌握主要的水培和雾培类型、特点及应用领域。</w:t>
      </w:r>
    </w:p>
    <w:p w14:paraId="19C6A534" w14:textId="77777777" w:rsidR="00F5289E" w:rsidRDefault="00C91173">
      <w:pPr>
        <w:widowControl/>
        <w:snapToGrid w:val="0"/>
        <w:spacing w:line="360" w:lineRule="auto"/>
        <w:jc w:val="left"/>
        <w:rPr>
          <w:rFonts w:ascii="宋体" w:hAnsi="宋体"/>
          <w:bCs/>
        </w:rPr>
      </w:pPr>
      <w:r>
        <w:rPr>
          <w:rFonts w:ascii="宋体" w:hAnsi="宋体" w:hint="eastAsia"/>
          <w:b/>
          <w:bCs/>
        </w:rPr>
        <w:t>教学重点和难点：</w:t>
      </w:r>
      <w:r>
        <w:rPr>
          <w:rFonts w:ascii="宋体" w:hAnsi="宋体" w:hint="eastAsia"/>
          <w:bCs/>
        </w:rPr>
        <w:t>主要水培和雾培类型的特征及组成结构，以及管理技术要点。</w:t>
      </w:r>
    </w:p>
    <w:p w14:paraId="74BC738F"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水培和雾培设施在现代农业生产中的应用情况及栽培管理技术要点；理解各种水培和雾培设施的区别；掌握水培和雾培设施的主要类型、基本特征及组成结构；熟练掌握深夜流水培技术、营养液膜水培技术及雾培技术。</w:t>
      </w:r>
    </w:p>
    <w:p w14:paraId="7CAA3393" w14:textId="77777777" w:rsidR="00F5289E" w:rsidRDefault="00C91173" w:rsidP="00A115EF">
      <w:pPr>
        <w:pStyle w:val="afd"/>
        <w:widowControl/>
        <w:numPr>
          <w:ilvl w:val="0"/>
          <w:numId w:val="21"/>
        </w:numPr>
        <w:snapToGrid w:val="0"/>
        <w:spacing w:line="360" w:lineRule="auto"/>
        <w:ind w:firstLineChars="0"/>
        <w:jc w:val="left"/>
        <w:rPr>
          <w:rFonts w:ascii="宋体" w:hAnsi="宋体"/>
          <w:bCs/>
        </w:rPr>
      </w:pPr>
      <w:r>
        <w:rPr>
          <w:rFonts w:ascii="宋体" w:hAnsi="宋体" w:hint="eastAsia"/>
          <w:bCs/>
        </w:rPr>
        <w:t>深夜流技术</w:t>
      </w:r>
    </w:p>
    <w:p w14:paraId="28898DB5" w14:textId="77777777" w:rsidR="00F5289E" w:rsidRDefault="00C91173" w:rsidP="00A115EF">
      <w:pPr>
        <w:pStyle w:val="afd"/>
        <w:widowControl/>
        <w:numPr>
          <w:ilvl w:val="0"/>
          <w:numId w:val="21"/>
        </w:numPr>
        <w:snapToGrid w:val="0"/>
        <w:spacing w:line="360" w:lineRule="auto"/>
        <w:ind w:firstLineChars="0"/>
        <w:jc w:val="left"/>
        <w:rPr>
          <w:rFonts w:ascii="宋体" w:hAnsi="宋体"/>
          <w:bCs/>
        </w:rPr>
      </w:pPr>
      <w:r>
        <w:rPr>
          <w:rFonts w:ascii="宋体" w:hAnsi="宋体" w:hint="eastAsia"/>
          <w:bCs/>
        </w:rPr>
        <w:t>营养液膜技术</w:t>
      </w:r>
    </w:p>
    <w:p w14:paraId="400E239C" w14:textId="77777777" w:rsidR="00F5289E" w:rsidRDefault="00C91173" w:rsidP="00A115EF">
      <w:pPr>
        <w:pStyle w:val="afd"/>
        <w:widowControl/>
        <w:numPr>
          <w:ilvl w:val="0"/>
          <w:numId w:val="21"/>
        </w:numPr>
        <w:snapToGrid w:val="0"/>
        <w:spacing w:line="360" w:lineRule="auto"/>
        <w:ind w:firstLineChars="0"/>
        <w:jc w:val="left"/>
        <w:rPr>
          <w:rFonts w:ascii="宋体" w:hAnsi="宋体"/>
          <w:bCs/>
        </w:rPr>
      </w:pPr>
      <w:r>
        <w:rPr>
          <w:rFonts w:ascii="宋体" w:hAnsi="宋体" w:hint="eastAsia"/>
          <w:bCs/>
        </w:rPr>
        <w:t>雾培技术</w:t>
      </w:r>
    </w:p>
    <w:p w14:paraId="7978DCC1" w14:textId="77777777" w:rsidR="00F5289E" w:rsidRDefault="00C91173" w:rsidP="00A115EF">
      <w:pPr>
        <w:pStyle w:val="afd"/>
        <w:widowControl/>
        <w:numPr>
          <w:ilvl w:val="0"/>
          <w:numId w:val="21"/>
        </w:numPr>
        <w:snapToGrid w:val="0"/>
        <w:spacing w:line="360" w:lineRule="auto"/>
        <w:ind w:firstLineChars="0"/>
        <w:jc w:val="left"/>
        <w:rPr>
          <w:rFonts w:ascii="宋体" w:hAnsi="宋体"/>
          <w:bCs/>
        </w:rPr>
      </w:pPr>
      <w:r>
        <w:rPr>
          <w:rFonts w:ascii="宋体" w:hAnsi="宋体" w:hint="eastAsia"/>
          <w:bCs/>
        </w:rPr>
        <w:t>其他水培技术</w:t>
      </w:r>
    </w:p>
    <w:p w14:paraId="2CB9C416" w14:textId="77777777" w:rsidR="00F5289E" w:rsidRDefault="00C91173">
      <w:pPr>
        <w:widowControl/>
        <w:snapToGrid w:val="0"/>
        <w:spacing w:line="360" w:lineRule="auto"/>
        <w:jc w:val="left"/>
        <w:rPr>
          <w:rFonts w:ascii="宋体" w:hAnsi="宋体"/>
          <w:b/>
          <w:bCs/>
        </w:rPr>
      </w:pPr>
      <w:r>
        <w:rPr>
          <w:rFonts w:ascii="宋体" w:hAnsi="宋体" w:hint="eastAsia"/>
          <w:b/>
          <w:bCs/>
        </w:rPr>
        <w:t>教学组织与实施：</w:t>
      </w:r>
    </w:p>
    <w:p w14:paraId="6DA45017"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发布问题及</w:t>
      </w:r>
      <w:r>
        <w:rPr>
          <w:rFonts w:ascii="宋体" w:hAnsi="宋体"/>
          <w:bCs/>
        </w:rPr>
        <w:t>讨论,</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53A162DD" w14:textId="77777777" w:rsidR="00F5289E" w:rsidRDefault="00C91173">
      <w:pPr>
        <w:widowControl/>
        <w:snapToGrid w:val="0"/>
        <w:spacing w:line="360" w:lineRule="auto"/>
        <w:jc w:val="left"/>
        <w:rPr>
          <w:rFonts w:ascii="宋体" w:hAnsi="宋体"/>
          <w:bCs/>
        </w:rPr>
      </w:pPr>
      <w:r>
        <w:rPr>
          <w:rFonts w:ascii="宋体" w:hAnsi="宋体"/>
          <w:bCs/>
        </w:rPr>
        <w:t>2.</w:t>
      </w:r>
      <w:r>
        <w:rPr>
          <w:rFonts w:ascii="宋体" w:hAnsi="宋体" w:hint="eastAsia"/>
          <w:bCs/>
        </w:rPr>
        <w:t>回顾旧知识</w:t>
      </w:r>
      <w:r>
        <w:rPr>
          <w:rFonts w:ascii="宋体" w:hAnsi="宋体"/>
          <w:bCs/>
        </w:rPr>
        <w:t>，</w:t>
      </w:r>
      <w:r>
        <w:rPr>
          <w:rFonts w:ascii="宋体" w:hAnsi="宋体" w:hint="eastAsia"/>
          <w:bCs/>
        </w:rPr>
        <w:t>并</w:t>
      </w:r>
      <w:r>
        <w:rPr>
          <w:rFonts w:ascii="宋体" w:hAnsi="宋体"/>
          <w:bCs/>
        </w:rPr>
        <w:t>通过</w:t>
      </w:r>
      <w:r>
        <w:rPr>
          <w:rFonts w:ascii="宋体" w:hAnsi="宋体" w:hint="eastAsia"/>
          <w:bCs/>
        </w:rPr>
        <w:t>观察</w:t>
      </w:r>
      <w:r>
        <w:rPr>
          <w:rFonts w:ascii="宋体" w:hAnsi="宋体"/>
          <w:bCs/>
        </w:rPr>
        <w:t>图片</w:t>
      </w:r>
      <w:r>
        <w:rPr>
          <w:rFonts w:ascii="宋体" w:hAnsi="宋体" w:hint="eastAsia"/>
          <w:bCs/>
        </w:rPr>
        <w:t>、</w:t>
      </w:r>
      <w:r>
        <w:rPr>
          <w:rFonts w:ascii="宋体" w:hAnsi="宋体"/>
          <w:bCs/>
        </w:rPr>
        <w:t>视频等</w:t>
      </w:r>
      <w:r>
        <w:rPr>
          <w:rFonts w:ascii="宋体" w:hAnsi="宋体" w:hint="eastAsia"/>
          <w:bCs/>
        </w:rPr>
        <w:t>形式直观</w:t>
      </w:r>
      <w:r>
        <w:rPr>
          <w:rFonts w:ascii="宋体" w:hAnsi="宋体"/>
          <w:bCs/>
        </w:rPr>
        <w:t>导入</w:t>
      </w:r>
      <w:r>
        <w:rPr>
          <w:rFonts w:ascii="宋体" w:hAnsi="宋体" w:hint="eastAsia"/>
          <w:bCs/>
        </w:rPr>
        <w:t>新的</w:t>
      </w:r>
      <w:r>
        <w:rPr>
          <w:rFonts w:ascii="宋体" w:hAnsi="宋体"/>
          <w:bCs/>
        </w:rPr>
        <w:t>学习内容，学习目标；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利用</w:t>
      </w:r>
      <w:r>
        <w:rPr>
          <w:rFonts w:ascii="宋体" w:hAnsi="宋体"/>
          <w:bCs/>
        </w:rPr>
        <w:t>生动的图片及具有代表性的视频文件</w:t>
      </w:r>
      <w:r>
        <w:rPr>
          <w:rFonts w:ascii="宋体" w:hAnsi="宋体" w:hint="eastAsia"/>
          <w:bCs/>
        </w:rPr>
        <w:t>形象地</w:t>
      </w:r>
      <w:r>
        <w:rPr>
          <w:rFonts w:ascii="宋体" w:hAnsi="宋体"/>
          <w:bCs/>
        </w:rPr>
        <w:t>向学生展示、讲解</w:t>
      </w:r>
      <w:r>
        <w:rPr>
          <w:rFonts w:ascii="宋体" w:hAnsi="宋体" w:hint="eastAsia"/>
          <w:bCs/>
        </w:rPr>
        <w:t>知识点</w:t>
      </w:r>
      <w:r>
        <w:rPr>
          <w:rFonts w:ascii="宋体" w:hAnsi="宋体"/>
          <w:bCs/>
        </w:rPr>
        <w:t>，</w:t>
      </w:r>
      <w:r>
        <w:rPr>
          <w:rFonts w:ascii="宋体" w:hAnsi="宋体" w:hint="eastAsia"/>
          <w:bCs/>
        </w:rPr>
        <w:t>同时</w:t>
      </w:r>
      <w:r>
        <w:rPr>
          <w:rFonts w:ascii="宋体" w:hAnsi="宋体"/>
          <w:bCs/>
        </w:rPr>
        <w:t>注重与学生的互动，并结合具体的生产案例进行分析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学习</w:t>
      </w:r>
      <w:r>
        <w:rPr>
          <w:rFonts w:ascii="宋体" w:hAnsi="宋体"/>
          <w:bCs/>
        </w:rPr>
        <w:t>过程中，鼓励学生发散思维，</w:t>
      </w:r>
      <w:r>
        <w:rPr>
          <w:rFonts w:ascii="宋体" w:hAnsi="宋体" w:hint="eastAsia"/>
          <w:bCs/>
        </w:rPr>
        <w:t>并以</w:t>
      </w:r>
      <w:r>
        <w:rPr>
          <w:rFonts w:ascii="宋体" w:hAnsi="宋体"/>
          <w:bCs/>
        </w:rPr>
        <w:t>讨论的形式</w:t>
      </w:r>
      <w:r>
        <w:rPr>
          <w:rFonts w:ascii="宋体" w:hAnsi="宋体" w:hint="eastAsia"/>
          <w:bCs/>
        </w:rPr>
        <w:t>强化学习</w:t>
      </w:r>
      <w:r>
        <w:rPr>
          <w:rFonts w:ascii="宋体" w:hAnsi="宋体"/>
          <w:bCs/>
        </w:rPr>
        <w:t>内容</w:t>
      </w:r>
      <w:r>
        <w:rPr>
          <w:rFonts w:ascii="宋体" w:hAnsi="宋体" w:hint="eastAsia"/>
          <w:bCs/>
        </w:rPr>
        <w:t>。</w:t>
      </w:r>
    </w:p>
    <w:p w14:paraId="715A9053" w14:textId="77777777" w:rsidR="00F5289E" w:rsidRDefault="00C91173">
      <w:pPr>
        <w:widowControl/>
        <w:snapToGrid w:val="0"/>
        <w:spacing w:line="360" w:lineRule="auto"/>
        <w:jc w:val="left"/>
        <w:rPr>
          <w:rFonts w:ascii="宋体" w:hAnsi="宋体"/>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及</w:t>
      </w:r>
      <w:r>
        <w:rPr>
          <w:rFonts w:ascii="宋体" w:hAnsi="宋体"/>
          <w:bCs/>
        </w:rPr>
        <w:t>回顾</w:t>
      </w:r>
      <w:r>
        <w:rPr>
          <w:rFonts w:ascii="宋体" w:hAnsi="宋体" w:hint="eastAsia"/>
          <w:bCs/>
        </w:rPr>
        <w:t>的</w:t>
      </w:r>
      <w:r>
        <w:rPr>
          <w:rFonts w:ascii="宋体" w:hAnsi="宋体"/>
          <w:bCs/>
        </w:rPr>
        <w:t>形式，总结</w:t>
      </w:r>
      <w:r>
        <w:rPr>
          <w:rFonts w:ascii="宋体" w:hAnsi="宋体" w:hint="eastAsia"/>
          <w:bCs/>
        </w:rPr>
        <w:t>和</w:t>
      </w:r>
      <w:r>
        <w:rPr>
          <w:rFonts w:ascii="宋体" w:hAnsi="宋体"/>
          <w:bCs/>
        </w:rPr>
        <w:t>检验学习效果。</w:t>
      </w:r>
    </w:p>
    <w:p w14:paraId="3A5FAA67" w14:textId="77777777" w:rsidR="00F5289E" w:rsidRDefault="00F5289E">
      <w:pPr>
        <w:pStyle w:val="afd"/>
        <w:widowControl/>
        <w:snapToGrid w:val="0"/>
        <w:spacing w:line="360" w:lineRule="auto"/>
        <w:ind w:left="1245" w:firstLineChars="1000" w:firstLine="2108"/>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00472E4A" w14:textId="77777777">
        <w:trPr>
          <w:trHeight w:val="270"/>
        </w:trPr>
        <w:tc>
          <w:tcPr>
            <w:tcW w:w="2152" w:type="dxa"/>
            <w:tcBorders>
              <w:top w:val="nil"/>
              <w:left w:val="nil"/>
              <w:bottom w:val="nil"/>
              <w:right w:val="nil"/>
            </w:tcBorders>
            <w:vAlign w:val="center"/>
          </w:tcPr>
          <w:p w14:paraId="0318FAC7"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70595119" w14:textId="77777777" w:rsidR="00F5289E" w:rsidRDefault="00C91173">
            <w:pPr>
              <w:widowControl/>
              <w:snapToGrid w:val="0"/>
              <w:spacing w:line="360" w:lineRule="auto"/>
              <w:jc w:val="center"/>
              <w:rPr>
                <w:b/>
                <w:bCs/>
                <w:kern w:val="0"/>
                <w:szCs w:val="21"/>
              </w:rPr>
            </w:pPr>
            <w:r>
              <w:rPr>
                <w:rFonts w:ascii="宋体" w:hAnsi="宋体" w:hint="eastAsia"/>
                <w:b/>
                <w:bCs/>
              </w:rPr>
              <w:t>第五章 固体基质</w:t>
            </w:r>
          </w:p>
        </w:tc>
        <w:tc>
          <w:tcPr>
            <w:tcW w:w="2326" w:type="dxa"/>
            <w:tcBorders>
              <w:top w:val="nil"/>
              <w:left w:val="nil"/>
              <w:bottom w:val="nil"/>
              <w:right w:val="nil"/>
            </w:tcBorders>
            <w:vAlign w:val="center"/>
          </w:tcPr>
          <w:p w14:paraId="2D891DC1"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4</w:t>
            </w:r>
          </w:p>
        </w:tc>
      </w:tr>
    </w:tbl>
    <w:p w14:paraId="45C770B3" w14:textId="77777777" w:rsidR="00F5289E" w:rsidRDefault="00C91173">
      <w:pPr>
        <w:widowControl/>
        <w:snapToGrid w:val="0"/>
        <w:spacing w:line="360" w:lineRule="auto"/>
        <w:rPr>
          <w:rFonts w:ascii="宋体" w:hAnsi="宋体"/>
          <w:bCs/>
        </w:rPr>
      </w:pPr>
      <w:r>
        <w:rPr>
          <w:rFonts w:ascii="宋体" w:hAnsi="宋体" w:hint="eastAsia"/>
          <w:b/>
          <w:bCs/>
        </w:rPr>
        <w:t>教学目的：</w:t>
      </w:r>
      <w:r>
        <w:rPr>
          <w:rFonts w:ascii="宋体" w:hAnsi="宋体" w:hint="eastAsia"/>
          <w:bCs/>
        </w:rPr>
        <w:t>了解常见无土栽培固体基质的种类及特性，能够根据基质的性质正确选择固体基质，并掌握配制植物生长所需混合基质的方法，基质</w:t>
      </w:r>
      <w:r>
        <w:rPr>
          <w:rFonts w:ascii="宋体" w:hAnsi="宋体"/>
          <w:bCs/>
        </w:rPr>
        <w:t>最新</w:t>
      </w:r>
      <w:r>
        <w:rPr>
          <w:rFonts w:ascii="宋体" w:hAnsi="宋体" w:hint="eastAsia"/>
          <w:bCs/>
        </w:rPr>
        <w:t>研究</w:t>
      </w:r>
      <w:r>
        <w:rPr>
          <w:rFonts w:ascii="宋体" w:hAnsi="宋体"/>
          <w:bCs/>
        </w:rPr>
        <w:t>进展。</w:t>
      </w:r>
    </w:p>
    <w:p w14:paraId="0F3B5621" w14:textId="77777777" w:rsidR="00F5289E" w:rsidRDefault="00C91173">
      <w:pPr>
        <w:widowControl/>
        <w:snapToGrid w:val="0"/>
        <w:spacing w:line="360" w:lineRule="auto"/>
        <w:jc w:val="left"/>
        <w:rPr>
          <w:rFonts w:ascii="宋体" w:hAnsi="宋体"/>
          <w:bCs/>
        </w:rPr>
      </w:pPr>
      <w:r>
        <w:rPr>
          <w:rFonts w:ascii="宋体" w:hAnsi="宋体" w:hint="eastAsia"/>
          <w:b/>
          <w:bCs/>
        </w:rPr>
        <w:t>教学重点和难点：</w:t>
      </w:r>
      <w:r>
        <w:rPr>
          <w:rFonts w:ascii="宋体" w:hAnsi="宋体" w:hint="eastAsia"/>
          <w:bCs/>
        </w:rPr>
        <w:t>植物对固体基质的要求，基质的选用原则及固体混合基质的配制方法；基质中的微生物及其</w:t>
      </w:r>
      <w:r>
        <w:rPr>
          <w:rFonts w:ascii="宋体" w:hAnsi="宋体"/>
          <w:bCs/>
        </w:rPr>
        <w:t>对植物生长发育的影响。</w:t>
      </w:r>
    </w:p>
    <w:p w14:paraId="7263DC58"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了解常用固体基质的种类；理解固体基质的作用、选用原则及固体基质的分类；掌握固体基质的消毒与再利用方法；熟练无土栽培中对固体基质的要求以及固体混合基质的配制方法；</w:t>
      </w:r>
      <w:r>
        <w:rPr>
          <w:rFonts w:ascii="宋体" w:hAnsi="宋体"/>
          <w:bCs/>
        </w:rPr>
        <w:t>了解</w:t>
      </w:r>
      <w:r>
        <w:rPr>
          <w:rFonts w:ascii="宋体" w:hAnsi="宋体" w:hint="eastAsia"/>
          <w:bCs/>
        </w:rPr>
        <w:t>基质</w:t>
      </w:r>
      <w:r>
        <w:rPr>
          <w:rFonts w:ascii="宋体" w:hAnsi="宋体"/>
          <w:bCs/>
        </w:rPr>
        <w:t>中微生物的作用。</w:t>
      </w:r>
    </w:p>
    <w:p w14:paraId="7C090A2F" w14:textId="77777777" w:rsidR="00F5289E" w:rsidRDefault="00C91173" w:rsidP="00A115EF">
      <w:pPr>
        <w:pStyle w:val="afd"/>
        <w:widowControl/>
        <w:numPr>
          <w:ilvl w:val="0"/>
          <w:numId w:val="22"/>
        </w:numPr>
        <w:snapToGrid w:val="0"/>
        <w:spacing w:line="360" w:lineRule="auto"/>
        <w:ind w:firstLineChars="0"/>
        <w:jc w:val="left"/>
        <w:rPr>
          <w:rFonts w:ascii="宋体" w:hAnsi="宋体"/>
          <w:bCs/>
        </w:rPr>
      </w:pPr>
      <w:r>
        <w:rPr>
          <w:rFonts w:ascii="宋体" w:hAnsi="宋体" w:hint="eastAsia"/>
          <w:bCs/>
        </w:rPr>
        <w:t>固体基质的种类与特性</w:t>
      </w:r>
    </w:p>
    <w:p w14:paraId="01D8B4C6" w14:textId="77777777" w:rsidR="00F5289E" w:rsidRDefault="00C91173" w:rsidP="00A115EF">
      <w:pPr>
        <w:pStyle w:val="afd"/>
        <w:widowControl/>
        <w:numPr>
          <w:ilvl w:val="0"/>
          <w:numId w:val="22"/>
        </w:numPr>
        <w:snapToGrid w:val="0"/>
        <w:spacing w:line="360" w:lineRule="auto"/>
        <w:ind w:firstLineChars="0"/>
        <w:jc w:val="left"/>
        <w:rPr>
          <w:rFonts w:ascii="宋体" w:hAnsi="宋体"/>
          <w:bCs/>
        </w:rPr>
      </w:pPr>
      <w:r>
        <w:rPr>
          <w:rFonts w:ascii="宋体" w:hAnsi="宋体" w:hint="eastAsia"/>
          <w:bCs/>
        </w:rPr>
        <w:t>固体基质的配制</w:t>
      </w:r>
    </w:p>
    <w:p w14:paraId="719BC19B" w14:textId="77777777" w:rsidR="00F5289E" w:rsidRDefault="00C91173" w:rsidP="00A115EF">
      <w:pPr>
        <w:pStyle w:val="afd"/>
        <w:widowControl/>
        <w:numPr>
          <w:ilvl w:val="0"/>
          <w:numId w:val="22"/>
        </w:numPr>
        <w:snapToGrid w:val="0"/>
        <w:spacing w:line="360" w:lineRule="auto"/>
        <w:ind w:firstLineChars="0"/>
        <w:jc w:val="left"/>
        <w:rPr>
          <w:rFonts w:ascii="宋体" w:hAnsi="宋体"/>
          <w:bCs/>
        </w:rPr>
      </w:pPr>
      <w:r>
        <w:rPr>
          <w:rFonts w:ascii="宋体" w:hAnsi="宋体" w:hint="eastAsia"/>
          <w:bCs/>
        </w:rPr>
        <w:t>新型无土</w:t>
      </w:r>
      <w:r>
        <w:rPr>
          <w:rFonts w:ascii="宋体" w:hAnsi="宋体"/>
          <w:bCs/>
        </w:rPr>
        <w:t>栽培</w:t>
      </w:r>
      <w:r>
        <w:rPr>
          <w:rFonts w:ascii="宋体" w:hAnsi="宋体" w:hint="eastAsia"/>
          <w:bCs/>
        </w:rPr>
        <w:t>基质</w:t>
      </w:r>
      <w:r>
        <w:rPr>
          <w:rFonts w:ascii="宋体" w:hAnsi="宋体"/>
          <w:bCs/>
        </w:rPr>
        <w:t>的研发</w:t>
      </w:r>
    </w:p>
    <w:p w14:paraId="7F5F418E" w14:textId="77777777" w:rsidR="00F5289E" w:rsidRDefault="00C91173" w:rsidP="00A115EF">
      <w:pPr>
        <w:pStyle w:val="afd"/>
        <w:widowControl/>
        <w:numPr>
          <w:ilvl w:val="0"/>
          <w:numId w:val="22"/>
        </w:numPr>
        <w:snapToGrid w:val="0"/>
        <w:spacing w:line="360" w:lineRule="auto"/>
        <w:ind w:firstLineChars="0"/>
        <w:jc w:val="left"/>
        <w:rPr>
          <w:rFonts w:ascii="宋体" w:hAnsi="宋体"/>
          <w:bCs/>
        </w:rPr>
      </w:pPr>
      <w:r>
        <w:rPr>
          <w:rFonts w:ascii="宋体" w:hAnsi="宋体" w:hint="eastAsia"/>
          <w:bCs/>
        </w:rPr>
        <w:t>基质中的微生物及其</w:t>
      </w:r>
      <w:r>
        <w:rPr>
          <w:rFonts w:ascii="宋体" w:hAnsi="宋体"/>
          <w:bCs/>
        </w:rPr>
        <w:t>对植物生长发育的影响</w:t>
      </w:r>
    </w:p>
    <w:p w14:paraId="0462EB3C"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61E72001"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及问题</w:t>
      </w:r>
      <w:r>
        <w:rPr>
          <w:rFonts w:ascii="宋体" w:hAnsi="宋体"/>
          <w:bCs/>
        </w:rPr>
        <w:t>,</w:t>
      </w:r>
      <w:r>
        <w:rPr>
          <w:rFonts w:ascii="宋体" w:hAnsi="宋体" w:hint="eastAsia"/>
          <w:bCs/>
        </w:rPr>
        <w:t>并</w:t>
      </w:r>
      <w:r>
        <w:rPr>
          <w:rFonts w:ascii="宋体" w:hAnsi="宋体"/>
          <w:bCs/>
        </w:rPr>
        <w:t>上传课件等学习资料，让学生进行自学。</w:t>
      </w:r>
    </w:p>
    <w:p w14:paraId="7AC3C3F1" w14:textId="77777777" w:rsidR="00F5289E" w:rsidRDefault="00C91173">
      <w:pPr>
        <w:widowControl/>
        <w:snapToGrid w:val="0"/>
        <w:spacing w:line="360" w:lineRule="auto"/>
        <w:rPr>
          <w:rFonts w:ascii="宋体" w:hAnsi="宋体"/>
          <w:bCs/>
        </w:rPr>
      </w:pPr>
      <w:r>
        <w:rPr>
          <w:rFonts w:ascii="宋体" w:hAnsi="宋体"/>
          <w:bCs/>
        </w:rPr>
        <w:lastRenderedPageBreak/>
        <w:t>2.</w:t>
      </w:r>
      <w:r>
        <w:rPr>
          <w:rFonts w:ascii="宋体" w:hAnsi="宋体" w:hint="eastAsia"/>
          <w:bCs/>
        </w:rPr>
        <w:t>回顾旧知识</w:t>
      </w:r>
      <w:r>
        <w:rPr>
          <w:rFonts w:ascii="宋体" w:hAnsi="宋体"/>
          <w:bCs/>
        </w:rPr>
        <w:t>，</w:t>
      </w:r>
      <w:r>
        <w:rPr>
          <w:rFonts w:ascii="宋体" w:hAnsi="宋体" w:hint="eastAsia"/>
          <w:bCs/>
        </w:rPr>
        <w:t>发现问题</w:t>
      </w:r>
      <w:r>
        <w:rPr>
          <w:rFonts w:ascii="宋体" w:hAnsi="宋体"/>
          <w:bCs/>
        </w:rPr>
        <w:t>，引出本章的学习内容，学习目标；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形象地</w:t>
      </w:r>
      <w:r>
        <w:rPr>
          <w:rFonts w:ascii="宋体" w:hAnsi="宋体"/>
          <w:bCs/>
        </w:rPr>
        <w:t>向学生展示、讲解</w:t>
      </w:r>
      <w:r>
        <w:rPr>
          <w:rFonts w:ascii="宋体" w:hAnsi="宋体" w:hint="eastAsia"/>
          <w:bCs/>
        </w:rPr>
        <w:t>知识点</w:t>
      </w:r>
      <w:r>
        <w:rPr>
          <w:rFonts w:ascii="宋体" w:hAnsi="宋体"/>
          <w:bCs/>
        </w:rPr>
        <w:t>，</w:t>
      </w:r>
      <w:r>
        <w:rPr>
          <w:rFonts w:ascii="宋体" w:hAnsi="宋体" w:hint="eastAsia"/>
          <w:bCs/>
        </w:rPr>
        <w:t>在</w:t>
      </w:r>
      <w:r>
        <w:rPr>
          <w:rFonts w:ascii="宋体" w:hAnsi="宋体"/>
          <w:bCs/>
        </w:rPr>
        <w:t>讲解的过程中</w:t>
      </w:r>
      <w:r>
        <w:rPr>
          <w:rFonts w:ascii="宋体" w:hAnsi="宋体" w:hint="eastAsia"/>
          <w:bCs/>
        </w:rPr>
        <w:t>灵活</w:t>
      </w:r>
      <w:r>
        <w:rPr>
          <w:rFonts w:ascii="宋体" w:hAnsi="宋体"/>
          <w:bCs/>
        </w:rPr>
        <w:t>设置问题，注重与学生的互动，并结合具体的生产案例进行分析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w:t>
      </w:r>
    </w:p>
    <w:p w14:paraId="4340DEE0" w14:textId="77777777" w:rsidR="00F5289E" w:rsidRDefault="00C91173">
      <w:pPr>
        <w:widowControl/>
        <w:snapToGrid w:val="0"/>
        <w:spacing w:line="360" w:lineRule="auto"/>
        <w:rPr>
          <w:rFonts w:ascii="宋体" w:hAnsi="宋体"/>
          <w:b/>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的</w:t>
      </w:r>
      <w:r>
        <w:rPr>
          <w:rFonts w:ascii="宋体" w:hAnsi="宋体"/>
          <w:bCs/>
        </w:rPr>
        <w:t>形式，总结及检验学习效果。</w:t>
      </w:r>
    </w:p>
    <w:p w14:paraId="2AB307A0" w14:textId="77777777" w:rsidR="00F5289E" w:rsidRDefault="00F5289E">
      <w:pPr>
        <w:pStyle w:val="afd"/>
        <w:widowControl/>
        <w:snapToGrid w:val="0"/>
        <w:spacing w:line="360" w:lineRule="auto"/>
        <w:ind w:left="1245" w:firstLineChars="750" w:firstLine="1581"/>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2266CE5F" w14:textId="77777777">
        <w:trPr>
          <w:trHeight w:val="270"/>
        </w:trPr>
        <w:tc>
          <w:tcPr>
            <w:tcW w:w="2152" w:type="dxa"/>
            <w:tcBorders>
              <w:top w:val="nil"/>
              <w:left w:val="nil"/>
              <w:bottom w:val="nil"/>
              <w:right w:val="nil"/>
            </w:tcBorders>
            <w:vAlign w:val="center"/>
          </w:tcPr>
          <w:p w14:paraId="31384D35"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57F6BA0D" w14:textId="77777777" w:rsidR="00F5289E" w:rsidRDefault="00C91173">
            <w:pPr>
              <w:widowControl/>
              <w:snapToGrid w:val="0"/>
              <w:spacing w:line="360" w:lineRule="auto"/>
              <w:jc w:val="center"/>
              <w:rPr>
                <w:b/>
                <w:bCs/>
                <w:kern w:val="0"/>
                <w:szCs w:val="21"/>
              </w:rPr>
            </w:pPr>
            <w:r>
              <w:rPr>
                <w:rFonts w:ascii="宋体" w:hAnsi="宋体" w:hint="eastAsia"/>
                <w:b/>
                <w:bCs/>
              </w:rPr>
              <w:t>第六章 固体基质栽培设施构成与管理技术</w:t>
            </w:r>
          </w:p>
        </w:tc>
        <w:tc>
          <w:tcPr>
            <w:tcW w:w="2326" w:type="dxa"/>
            <w:tcBorders>
              <w:top w:val="nil"/>
              <w:left w:val="nil"/>
              <w:bottom w:val="nil"/>
              <w:right w:val="nil"/>
            </w:tcBorders>
            <w:vAlign w:val="center"/>
          </w:tcPr>
          <w:p w14:paraId="2F4C6FB9"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4</w:t>
            </w:r>
          </w:p>
        </w:tc>
      </w:tr>
    </w:tbl>
    <w:p w14:paraId="5D07D4E6" w14:textId="77777777" w:rsidR="00F5289E" w:rsidRDefault="00C91173">
      <w:pPr>
        <w:widowControl/>
        <w:snapToGrid w:val="0"/>
        <w:spacing w:line="360" w:lineRule="auto"/>
        <w:jc w:val="left"/>
        <w:rPr>
          <w:rFonts w:ascii="宋体" w:hAnsi="宋体"/>
          <w:b/>
          <w:bCs/>
        </w:rPr>
      </w:pPr>
      <w:r>
        <w:rPr>
          <w:rFonts w:ascii="宋体" w:hAnsi="宋体" w:hint="eastAsia"/>
          <w:b/>
          <w:bCs/>
        </w:rPr>
        <w:t>教学目的：</w:t>
      </w:r>
      <w:r>
        <w:rPr>
          <w:rFonts w:ascii="宋体" w:hAnsi="宋体" w:hint="eastAsia"/>
          <w:bCs/>
        </w:rPr>
        <w:t>掌握固体基质栽培的种类及特点，了解基质栽培的技术要点。</w:t>
      </w:r>
    </w:p>
    <w:p w14:paraId="107F52D9" w14:textId="77777777" w:rsidR="00F5289E" w:rsidRDefault="00C91173">
      <w:pPr>
        <w:widowControl/>
        <w:snapToGrid w:val="0"/>
        <w:spacing w:line="360" w:lineRule="auto"/>
        <w:jc w:val="left"/>
        <w:rPr>
          <w:rFonts w:ascii="宋体" w:hAnsi="宋体"/>
          <w:b/>
          <w:bCs/>
        </w:rPr>
      </w:pPr>
      <w:r>
        <w:rPr>
          <w:rFonts w:ascii="宋体" w:hAnsi="宋体" w:hint="eastAsia"/>
          <w:b/>
          <w:bCs/>
        </w:rPr>
        <w:t>教学重点和难点：</w:t>
      </w:r>
      <w:r>
        <w:rPr>
          <w:rFonts w:ascii="宋体" w:hAnsi="宋体" w:hint="eastAsia"/>
          <w:bCs/>
        </w:rPr>
        <w:t>常见基质栽培设施结构特点，岩棉栽培床结构及供液和排液方式。</w:t>
      </w:r>
    </w:p>
    <w:p w14:paraId="7F9A19C2"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固体基质栽培管理技术要点；理解固体基质栽培与水培的区别；掌握固体基质设施的主要类型、特征及其结构，有机生态型无土栽培的特点及应用；熟悉掌握开放式和封闭式岩棉栽培床结构及供液和排液方式。</w:t>
      </w:r>
    </w:p>
    <w:p w14:paraId="55DB19E4" w14:textId="77777777" w:rsidR="00F5289E" w:rsidRDefault="00C91173" w:rsidP="00A115EF">
      <w:pPr>
        <w:pStyle w:val="afd"/>
        <w:widowControl/>
        <w:numPr>
          <w:ilvl w:val="0"/>
          <w:numId w:val="23"/>
        </w:numPr>
        <w:snapToGrid w:val="0"/>
        <w:spacing w:line="360" w:lineRule="auto"/>
        <w:ind w:firstLineChars="0"/>
        <w:jc w:val="left"/>
        <w:rPr>
          <w:rFonts w:ascii="宋体" w:hAnsi="宋体"/>
          <w:bCs/>
        </w:rPr>
      </w:pPr>
      <w:r>
        <w:rPr>
          <w:rFonts w:ascii="宋体" w:hAnsi="宋体" w:hint="eastAsia"/>
          <w:bCs/>
        </w:rPr>
        <w:t>袋培</w:t>
      </w:r>
    </w:p>
    <w:p w14:paraId="517D27C1" w14:textId="77777777" w:rsidR="00F5289E" w:rsidRDefault="00C91173" w:rsidP="00A115EF">
      <w:pPr>
        <w:pStyle w:val="afd"/>
        <w:widowControl/>
        <w:numPr>
          <w:ilvl w:val="0"/>
          <w:numId w:val="23"/>
        </w:numPr>
        <w:snapToGrid w:val="0"/>
        <w:spacing w:line="360" w:lineRule="auto"/>
        <w:ind w:firstLineChars="0"/>
        <w:jc w:val="left"/>
        <w:rPr>
          <w:rFonts w:ascii="宋体" w:hAnsi="宋体"/>
          <w:bCs/>
        </w:rPr>
      </w:pPr>
      <w:r>
        <w:rPr>
          <w:rFonts w:ascii="宋体" w:hAnsi="宋体" w:hint="eastAsia"/>
          <w:bCs/>
        </w:rPr>
        <w:t>槽培</w:t>
      </w:r>
    </w:p>
    <w:p w14:paraId="496AEE7B" w14:textId="77777777" w:rsidR="00F5289E" w:rsidRDefault="00C91173" w:rsidP="00A115EF">
      <w:pPr>
        <w:pStyle w:val="afd"/>
        <w:widowControl/>
        <w:numPr>
          <w:ilvl w:val="0"/>
          <w:numId w:val="23"/>
        </w:numPr>
        <w:snapToGrid w:val="0"/>
        <w:spacing w:line="360" w:lineRule="auto"/>
        <w:ind w:firstLineChars="0"/>
        <w:jc w:val="left"/>
        <w:rPr>
          <w:rFonts w:ascii="宋体" w:hAnsi="宋体"/>
          <w:bCs/>
        </w:rPr>
      </w:pPr>
      <w:r>
        <w:rPr>
          <w:rFonts w:ascii="宋体" w:hAnsi="宋体" w:hint="eastAsia"/>
          <w:bCs/>
        </w:rPr>
        <w:t>岩棉栽培</w:t>
      </w:r>
    </w:p>
    <w:p w14:paraId="264BB695" w14:textId="77777777" w:rsidR="00F5289E" w:rsidRDefault="00C91173" w:rsidP="00A115EF">
      <w:pPr>
        <w:pStyle w:val="afd"/>
        <w:widowControl/>
        <w:numPr>
          <w:ilvl w:val="0"/>
          <w:numId w:val="23"/>
        </w:numPr>
        <w:snapToGrid w:val="0"/>
        <w:spacing w:line="360" w:lineRule="auto"/>
        <w:ind w:firstLineChars="0"/>
        <w:jc w:val="left"/>
        <w:rPr>
          <w:rFonts w:ascii="宋体" w:hAnsi="宋体"/>
          <w:bCs/>
        </w:rPr>
      </w:pPr>
      <w:r>
        <w:rPr>
          <w:rFonts w:ascii="宋体" w:hAnsi="宋体" w:hint="eastAsia"/>
          <w:bCs/>
        </w:rPr>
        <w:t>其他基质栽培方式</w:t>
      </w:r>
    </w:p>
    <w:p w14:paraId="41A83A0F" w14:textId="77777777" w:rsidR="00F5289E" w:rsidRDefault="00C91173">
      <w:pPr>
        <w:widowControl/>
        <w:snapToGrid w:val="0"/>
        <w:spacing w:line="360" w:lineRule="auto"/>
        <w:jc w:val="left"/>
        <w:rPr>
          <w:rFonts w:ascii="宋体" w:hAnsi="宋体"/>
          <w:b/>
          <w:bCs/>
        </w:rPr>
      </w:pPr>
      <w:r>
        <w:rPr>
          <w:rFonts w:ascii="宋体" w:hAnsi="宋体" w:hint="eastAsia"/>
          <w:b/>
          <w:bCs/>
        </w:rPr>
        <w:t>教学组织与实施：</w:t>
      </w:r>
    </w:p>
    <w:p w14:paraId="6DC839AC"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发布问题及</w:t>
      </w:r>
      <w:r>
        <w:rPr>
          <w:rFonts w:ascii="宋体" w:hAnsi="宋体"/>
          <w:bCs/>
        </w:rPr>
        <w:t>讨论,</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35596EBA" w14:textId="77777777" w:rsidR="00F5289E" w:rsidRDefault="00C91173">
      <w:pPr>
        <w:widowControl/>
        <w:snapToGrid w:val="0"/>
        <w:spacing w:line="360" w:lineRule="auto"/>
        <w:jc w:val="left"/>
        <w:rPr>
          <w:rFonts w:ascii="宋体" w:hAnsi="宋体"/>
          <w:bCs/>
        </w:rPr>
      </w:pPr>
      <w:r>
        <w:rPr>
          <w:rFonts w:ascii="宋体" w:hAnsi="宋体"/>
          <w:bCs/>
        </w:rPr>
        <w:t>2.</w:t>
      </w:r>
      <w:r>
        <w:rPr>
          <w:rFonts w:ascii="宋体" w:hAnsi="宋体" w:hint="eastAsia"/>
          <w:bCs/>
        </w:rPr>
        <w:t>回顾旧知识</w:t>
      </w:r>
      <w:r>
        <w:rPr>
          <w:rFonts w:ascii="宋体" w:hAnsi="宋体"/>
          <w:bCs/>
        </w:rPr>
        <w:t>，</w:t>
      </w:r>
      <w:r>
        <w:rPr>
          <w:rFonts w:ascii="宋体" w:hAnsi="宋体" w:hint="eastAsia"/>
          <w:bCs/>
        </w:rPr>
        <w:t>设置</w:t>
      </w:r>
      <w:r>
        <w:rPr>
          <w:rFonts w:ascii="宋体" w:hAnsi="宋体"/>
          <w:bCs/>
        </w:rPr>
        <w:t>悬念，导入</w:t>
      </w:r>
      <w:r>
        <w:rPr>
          <w:rFonts w:ascii="宋体" w:hAnsi="宋体" w:hint="eastAsia"/>
          <w:bCs/>
        </w:rPr>
        <w:t>本章</w:t>
      </w:r>
      <w:r>
        <w:rPr>
          <w:rFonts w:ascii="宋体" w:hAnsi="宋体"/>
          <w:bCs/>
        </w:rPr>
        <w:t>学习内容，学习目标；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利用</w:t>
      </w:r>
      <w:r>
        <w:rPr>
          <w:rFonts w:ascii="宋体" w:hAnsi="宋体"/>
          <w:bCs/>
        </w:rPr>
        <w:t>生动的图片及具有代表性的视频文件</w:t>
      </w:r>
      <w:r>
        <w:rPr>
          <w:rFonts w:ascii="宋体" w:hAnsi="宋体" w:hint="eastAsia"/>
          <w:bCs/>
        </w:rPr>
        <w:t>形象地</w:t>
      </w:r>
      <w:r>
        <w:rPr>
          <w:rFonts w:ascii="宋体" w:hAnsi="宋体"/>
          <w:bCs/>
        </w:rPr>
        <w:t>向学生展示、讲解</w:t>
      </w:r>
      <w:r>
        <w:rPr>
          <w:rFonts w:ascii="宋体" w:hAnsi="宋体" w:hint="eastAsia"/>
          <w:bCs/>
        </w:rPr>
        <w:t>知识点</w:t>
      </w:r>
      <w:r>
        <w:rPr>
          <w:rFonts w:ascii="宋体" w:hAnsi="宋体"/>
          <w:bCs/>
        </w:rPr>
        <w:t>，</w:t>
      </w:r>
      <w:r>
        <w:rPr>
          <w:rFonts w:ascii="宋体" w:hAnsi="宋体" w:hint="eastAsia"/>
          <w:bCs/>
        </w:rPr>
        <w:t>同时</w:t>
      </w:r>
      <w:r>
        <w:rPr>
          <w:rFonts w:ascii="宋体" w:hAnsi="宋体"/>
          <w:bCs/>
        </w:rPr>
        <w:t>注重与学生的互动，并结合具体的生产案例进行分析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学习</w:t>
      </w:r>
      <w:r>
        <w:rPr>
          <w:rFonts w:ascii="宋体" w:hAnsi="宋体"/>
          <w:bCs/>
        </w:rPr>
        <w:t>过程中，鼓励学生发散思维，</w:t>
      </w:r>
      <w:r>
        <w:rPr>
          <w:rFonts w:ascii="宋体" w:hAnsi="宋体" w:hint="eastAsia"/>
          <w:bCs/>
        </w:rPr>
        <w:t>并以</w:t>
      </w:r>
      <w:r>
        <w:rPr>
          <w:rFonts w:ascii="宋体" w:hAnsi="宋体"/>
          <w:bCs/>
        </w:rPr>
        <w:t>讨论的形式</w:t>
      </w:r>
      <w:r>
        <w:rPr>
          <w:rFonts w:ascii="宋体" w:hAnsi="宋体" w:hint="eastAsia"/>
          <w:bCs/>
        </w:rPr>
        <w:t>强化学习</w:t>
      </w:r>
      <w:r>
        <w:rPr>
          <w:rFonts w:ascii="宋体" w:hAnsi="宋体"/>
          <w:bCs/>
        </w:rPr>
        <w:t>内容</w:t>
      </w:r>
      <w:r>
        <w:rPr>
          <w:rFonts w:ascii="宋体" w:hAnsi="宋体" w:hint="eastAsia"/>
          <w:bCs/>
        </w:rPr>
        <w:t>。</w:t>
      </w:r>
    </w:p>
    <w:p w14:paraId="42F99722" w14:textId="77777777" w:rsidR="00F5289E" w:rsidRDefault="00C91173">
      <w:pPr>
        <w:widowControl/>
        <w:snapToGrid w:val="0"/>
        <w:spacing w:line="360" w:lineRule="auto"/>
        <w:jc w:val="left"/>
        <w:rPr>
          <w:rFonts w:ascii="宋体" w:hAnsi="宋体"/>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及</w:t>
      </w:r>
      <w:r>
        <w:rPr>
          <w:rFonts w:ascii="宋体" w:hAnsi="宋体"/>
          <w:bCs/>
        </w:rPr>
        <w:t>回顾</w:t>
      </w:r>
      <w:r>
        <w:rPr>
          <w:rFonts w:ascii="宋体" w:hAnsi="宋体" w:hint="eastAsia"/>
          <w:bCs/>
        </w:rPr>
        <w:t>的</w:t>
      </w:r>
      <w:r>
        <w:rPr>
          <w:rFonts w:ascii="宋体" w:hAnsi="宋体"/>
          <w:bCs/>
        </w:rPr>
        <w:t>形式，总结</w:t>
      </w:r>
      <w:r>
        <w:rPr>
          <w:rFonts w:ascii="宋体" w:hAnsi="宋体" w:hint="eastAsia"/>
          <w:bCs/>
        </w:rPr>
        <w:t>和</w:t>
      </w:r>
      <w:r>
        <w:rPr>
          <w:rFonts w:ascii="宋体" w:hAnsi="宋体"/>
          <w:bCs/>
        </w:rPr>
        <w:t>检验学习效果。</w:t>
      </w:r>
    </w:p>
    <w:p w14:paraId="7C27CAB7" w14:textId="77777777" w:rsidR="00F5289E" w:rsidRDefault="00F5289E">
      <w:pPr>
        <w:pStyle w:val="afd"/>
        <w:widowControl/>
        <w:snapToGrid w:val="0"/>
        <w:spacing w:line="360" w:lineRule="auto"/>
        <w:ind w:left="1245" w:firstLineChars="750" w:firstLine="1581"/>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6A8C316A" w14:textId="77777777">
        <w:trPr>
          <w:trHeight w:val="270"/>
        </w:trPr>
        <w:tc>
          <w:tcPr>
            <w:tcW w:w="2152" w:type="dxa"/>
            <w:tcBorders>
              <w:top w:val="nil"/>
              <w:left w:val="nil"/>
              <w:bottom w:val="nil"/>
              <w:right w:val="nil"/>
            </w:tcBorders>
            <w:vAlign w:val="center"/>
          </w:tcPr>
          <w:p w14:paraId="1D98C6BE"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090D2F09" w14:textId="77777777" w:rsidR="00F5289E" w:rsidRDefault="00C91173">
            <w:pPr>
              <w:widowControl/>
              <w:snapToGrid w:val="0"/>
              <w:spacing w:line="360" w:lineRule="auto"/>
              <w:jc w:val="center"/>
              <w:rPr>
                <w:b/>
                <w:bCs/>
                <w:kern w:val="0"/>
                <w:szCs w:val="21"/>
              </w:rPr>
            </w:pPr>
            <w:r>
              <w:rPr>
                <w:rFonts w:ascii="宋体" w:hAnsi="宋体" w:hint="eastAsia"/>
                <w:b/>
                <w:bCs/>
              </w:rPr>
              <w:t>第七章 无土育苗技术</w:t>
            </w:r>
          </w:p>
        </w:tc>
        <w:tc>
          <w:tcPr>
            <w:tcW w:w="2326" w:type="dxa"/>
            <w:tcBorders>
              <w:top w:val="nil"/>
              <w:left w:val="nil"/>
              <w:bottom w:val="nil"/>
              <w:right w:val="nil"/>
            </w:tcBorders>
            <w:vAlign w:val="center"/>
          </w:tcPr>
          <w:p w14:paraId="59D20EBC"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1</w:t>
            </w:r>
          </w:p>
        </w:tc>
      </w:tr>
    </w:tbl>
    <w:p w14:paraId="1F5097A9" w14:textId="77777777" w:rsidR="00F5289E" w:rsidRDefault="00C91173">
      <w:pPr>
        <w:widowControl/>
        <w:snapToGrid w:val="0"/>
        <w:spacing w:line="360" w:lineRule="auto"/>
        <w:jc w:val="left"/>
        <w:rPr>
          <w:rFonts w:ascii="宋体" w:hAnsi="宋体"/>
          <w:bCs/>
        </w:rPr>
      </w:pPr>
      <w:r>
        <w:rPr>
          <w:rFonts w:ascii="宋体" w:hAnsi="宋体" w:hint="eastAsia"/>
          <w:b/>
          <w:bCs/>
        </w:rPr>
        <w:t>教学目的：</w:t>
      </w:r>
      <w:r>
        <w:rPr>
          <w:rFonts w:ascii="宋体" w:hAnsi="宋体" w:hint="eastAsia"/>
          <w:szCs w:val="21"/>
        </w:rPr>
        <w:t>了解无土育苗的概念、优点、操作与管理技术；掌握其主要方式、设施条件、养分管理要点。</w:t>
      </w:r>
    </w:p>
    <w:p w14:paraId="71D6F44D" w14:textId="77777777" w:rsidR="00F5289E" w:rsidRDefault="00C91173">
      <w:pPr>
        <w:widowControl/>
        <w:snapToGrid w:val="0"/>
        <w:spacing w:line="360" w:lineRule="auto"/>
        <w:jc w:val="left"/>
        <w:rPr>
          <w:rFonts w:ascii="宋体" w:hAnsi="宋体"/>
          <w:b/>
          <w:bCs/>
        </w:rPr>
      </w:pPr>
      <w:r>
        <w:rPr>
          <w:rFonts w:ascii="宋体" w:hAnsi="宋体" w:hint="eastAsia"/>
          <w:b/>
          <w:bCs/>
        </w:rPr>
        <w:t>教学重点和难点：</w:t>
      </w:r>
      <w:r>
        <w:rPr>
          <w:rFonts w:ascii="宋体" w:hAnsi="宋体" w:hint="eastAsia"/>
          <w:bCs/>
        </w:rPr>
        <w:t>穴盘无土育苗的工艺流程及其对基质的要求，基质养分、营养液的管理要点。</w:t>
      </w:r>
    </w:p>
    <w:p w14:paraId="5E6719DE"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了解无土育苗的主要设施设备及特点；理解无土育苗的几种主要方式及管理技术要点；掌握无土栽培与土壤育苗相比的优点，水培育苗的关键技术；熟练掌握无土育苗对育苗基质的要求及养分管理技术要点。</w:t>
      </w:r>
    </w:p>
    <w:p w14:paraId="34584911" w14:textId="77777777" w:rsidR="00F5289E" w:rsidRDefault="00C91173" w:rsidP="00A115EF">
      <w:pPr>
        <w:pStyle w:val="afd"/>
        <w:widowControl/>
        <w:numPr>
          <w:ilvl w:val="0"/>
          <w:numId w:val="24"/>
        </w:numPr>
        <w:snapToGrid w:val="0"/>
        <w:spacing w:line="360" w:lineRule="auto"/>
        <w:ind w:firstLineChars="0"/>
        <w:jc w:val="left"/>
        <w:rPr>
          <w:rFonts w:ascii="宋体" w:hAnsi="宋体"/>
          <w:bCs/>
        </w:rPr>
      </w:pPr>
      <w:r>
        <w:rPr>
          <w:rFonts w:ascii="宋体" w:hAnsi="宋体" w:hint="eastAsia"/>
          <w:bCs/>
        </w:rPr>
        <w:t>无土育苗的设施设备</w:t>
      </w:r>
    </w:p>
    <w:p w14:paraId="39F7EED6" w14:textId="77777777" w:rsidR="00F5289E" w:rsidRDefault="00C91173" w:rsidP="00A115EF">
      <w:pPr>
        <w:pStyle w:val="afd"/>
        <w:widowControl/>
        <w:numPr>
          <w:ilvl w:val="0"/>
          <w:numId w:val="24"/>
        </w:numPr>
        <w:snapToGrid w:val="0"/>
        <w:spacing w:line="360" w:lineRule="auto"/>
        <w:ind w:firstLineChars="0"/>
        <w:jc w:val="left"/>
        <w:rPr>
          <w:rFonts w:ascii="宋体" w:hAnsi="宋体"/>
          <w:bCs/>
        </w:rPr>
      </w:pPr>
      <w:r>
        <w:rPr>
          <w:rFonts w:ascii="宋体" w:hAnsi="宋体" w:hint="eastAsia"/>
          <w:bCs/>
        </w:rPr>
        <w:t>无土育苗的</w:t>
      </w:r>
      <w:r>
        <w:rPr>
          <w:rFonts w:ascii="宋体" w:hAnsi="宋体"/>
          <w:bCs/>
        </w:rPr>
        <w:t>操作技术及管理</w:t>
      </w:r>
    </w:p>
    <w:p w14:paraId="77926387" w14:textId="77777777" w:rsidR="00F5289E" w:rsidRDefault="00C91173">
      <w:pPr>
        <w:widowControl/>
        <w:snapToGrid w:val="0"/>
        <w:spacing w:line="360" w:lineRule="auto"/>
        <w:jc w:val="left"/>
        <w:rPr>
          <w:rFonts w:ascii="宋体" w:hAnsi="宋体"/>
          <w:bCs/>
        </w:rPr>
      </w:pPr>
      <w:r>
        <w:rPr>
          <w:rFonts w:ascii="宋体" w:hAnsi="宋体" w:hint="eastAsia"/>
          <w:b/>
          <w:bCs/>
        </w:rPr>
        <w:lastRenderedPageBreak/>
        <w:t>教学组织与实施：</w:t>
      </w:r>
      <w:r>
        <w:rPr>
          <w:rFonts w:ascii="宋体" w:hAnsi="宋体" w:hint="eastAsia"/>
          <w:bCs/>
        </w:rPr>
        <w:t>引出育苗</w:t>
      </w:r>
      <w:r>
        <w:rPr>
          <w:rFonts w:ascii="宋体" w:hAnsi="宋体"/>
          <w:bCs/>
        </w:rPr>
        <w:t>的重要性；</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利用</w:t>
      </w:r>
      <w:r>
        <w:rPr>
          <w:rFonts w:ascii="宋体" w:hAnsi="宋体"/>
          <w:bCs/>
        </w:rPr>
        <w:t>生动的图片及具有代表性的视频文件</w:t>
      </w:r>
      <w:r>
        <w:rPr>
          <w:rFonts w:ascii="宋体" w:hAnsi="宋体" w:hint="eastAsia"/>
          <w:bCs/>
        </w:rPr>
        <w:t>形象地</w:t>
      </w:r>
      <w:r>
        <w:rPr>
          <w:rFonts w:ascii="宋体" w:hAnsi="宋体"/>
          <w:bCs/>
        </w:rPr>
        <w:t>向学生展示</w:t>
      </w:r>
      <w:r>
        <w:rPr>
          <w:rFonts w:ascii="宋体" w:hAnsi="宋体" w:hint="eastAsia"/>
          <w:bCs/>
        </w:rPr>
        <w:t>产业的</w:t>
      </w:r>
      <w:r>
        <w:rPr>
          <w:rFonts w:ascii="宋体" w:hAnsi="宋体"/>
          <w:bCs/>
        </w:rPr>
        <w:t>发展情况，并结合具体的生产案例进行分析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及</w:t>
      </w:r>
      <w:r>
        <w:rPr>
          <w:rFonts w:ascii="宋体" w:hAnsi="宋体"/>
          <w:bCs/>
        </w:rPr>
        <w:t>回顾</w:t>
      </w:r>
      <w:r>
        <w:rPr>
          <w:rFonts w:ascii="宋体" w:hAnsi="宋体" w:hint="eastAsia"/>
          <w:bCs/>
        </w:rPr>
        <w:t>的</w:t>
      </w:r>
      <w:r>
        <w:rPr>
          <w:rFonts w:ascii="宋体" w:hAnsi="宋体"/>
          <w:bCs/>
        </w:rPr>
        <w:t>形式，总结</w:t>
      </w:r>
      <w:r>
        <w:rPr>
          <w:rFonts w:ascii="宋体" w:hAnsi="宋体" w:hint="eastAsia"/>
          <w:bCs/>
        </w:rPr>
        <w:t>和</w:t>
      </w:r>
      <w:r>
        <w:rPr>
          <w:rFonts w:ascii="宋体" w:hAnsi="宋体"/>
          <w:bCs/>
        </w:rPr>
        <w:t>检验学习效果。</w:t>
      </w:r>
    </w:p>
    <w:p w14:paraId="46011F70" w14:textId="77777777" w:rsidR="00F5289E" w:rsidRDefault="00F5289E">
      <w:pPr>
        <w:pStyle w:val="afd"/>
        <w:widowControl/>
        <w:snapToGrid w:val="0"/>
        <w:spacing w:line="360" w:lineRule="auto"/>
        <w:ind w:left="1245" w:firstLineChars="750" w:firstLine="1581"/>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12328384" w14:textId="77777777">
        <w:trPr>
          <w:trHeight w:val="270"/>
        </w:trPr>
        <w:tc>
          <w:tcPr>
            <w:tcW w:w="2152" w:type="dxa"/>
            <w:tcBorders>
              <w:top w:val="nil"/>
              <w:left w:val="nil"/>
              <w:bottom w:val="nil"/>
              <w:right w:val="nil"/>
            </w:tcBorders>
            <w:vAlign w:val="center"/>
          </w:tcPr>
          <w:p w14:paraId="341FED05"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47D4B0C8" w14:textId="77777777" w:rsidR="00F5289E" w:rsidRDefault="00C91173">
            <w:pPr>
              <w:widowControl/>
              <w:snapToGrid w:val="0"/>
              <w:spacing w:line="360" w:lineRule="auto"/>
              <w:jc w:val="center"/>
              <w:rPr>
                <w:b/>
                <w:bCs/>
                <w:kern w:val="0"/>
                <w:szCs w:val="21"/>
              </w:rPr>
            </w:pPr>
            <w:r>
              <w:rPr>
                <w:rFonts w:ascii="宋体" w:hAnsi="宋体" w:hint="eastAsia"/>
                <w:b/>
                <w:bCs/>
              </w:rPr>
              <w:t>第八章 蔬菜及</w:t>
            </w:r>
            <w:r>
              <w:rPr>
                <w:rFonts w:ascii="宋体" w:hAnsi="宋体"/>
                <w:b/>
                <w:bCs/>
              </w:rPr>
              <w:t>花卉</w:t>
            </w:r>
            <w:r>
              <w:rPr>
                <w:rFonts w:ascii="宋体" w:hAnsi="宋体" w:hint="eastAsia"/>
                <w:b/>
                <w:bCs/>
              </w:rPr>
              <w:t>无土栽培技术</w:t>
            </w:r>
          </w:p>
        </w:tc>
        <w:tc>
          <w:tcPr>
            <w:tcW w:w="2326" w:type="dxa"/>
            <w:tcBorders>
              <w:top w:val="nil"/>
              <w:left w:val="nil"/>
              <w:bottom w:val="nil"/>
              <w:right w:val="nil"/>
            </w:tcBorders>
            <w:vAlign w:val="center"/>
          </w:tcPr>
          <w:p w14:paraId="458ECBF0"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3</w:t>
            </w:r>
          </w:p>
        </w:tc>
      </w:tr>
    </w:tbl>
    <w:p w14:paraId="36EC23D0" w14:textId="77777777" w:rsidR="00F5289E" w:rsidRDefault="00C91173">
      <w:pPr>
        <w:widowControl/>
        <w:snapToGrid w:val="0"/>
        <w:spacing w:line="360" w:lineRule="auto"/>
        <w:jc w:val="left"/>
        <w:rPr>
          <w:rFonts w:ascii="宋体" w:hAnsi="宋体"/>
          <w:b/>
          <w:bCs/>
        </w:rPr>
      </w:pPr>
      <w:r>
        <w:rPr>
          <w:rFonts w:ascii="宋体" w:hAnsi="宋体" w:hint="eastAsia"/>
          <w:b/>
          <w:bCs/>
        </w:rPr>
        <w:t>教学目的：</w:t>
      </w:r>
      <w:r>
        <w:rPr>
          <w:rFonts w:ascii="宋体" w:hAnsi="宋体" w:hint="eastAsia"/>
          <w:bCs/>
        </w:rPr>
        <w:t>了解常见果菜类、叶菜类蔬菜的无土栽培形式，掌握其无土栽培关键技术。</w:t>
      </w:r>
    </w:p>
    <w:p w14:paraId="1C26B9A2" w14:textId="77777777" w:rsidR="00F5289E" w:rsidRDefault="00C91173">
      <w:pPr>
        <w:widowControl/>
        <w:snapToGrid w:val="0"/>
        <w:spacing w:line="360" w:lineRule="auto"/>
        <w:jc w:val="left"/>
        <w:rPr>
          <w:rFonts w:ascii="宋体" w:hAnsi="宋体"/>
          <w:b/>
          <w:bCs/>
        </w:rPr>
      </w:pPr>
      <w:r>
        <w:rPr>
          <w:rFonts w:ascii="宋体" w:hAnsi="宋体" w:hint="eastAsia"/>
          <w:b/>
          <w:bCs/>
        </w:rPr>
        <w:t>教学重点和难点：</w:t>
      </w:r>
      <w:r>
        <w:rPr>
          <w:rFonts w:ascii="宋体" w:hAnsi="宋体" w:hint="eastAsia"/>
          <w:bCs/>
        </w:rPr>
        <w:t>无土栽培方式的选择及基质、营养液的管理技术。</w:t>
      </w:r>
    </w:p>
    <w:p w14:paraId="14AC31E1"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了解常见果菜类</w:t>
      </w:r>
      <w:r>
        <w:rPr>
          <w:rFonts w:ascii="宋体" w:hAnsi="宋体"/>
          <w:bCs/>
        </w:rPr>
        <w:t>及叶菜类蔬菜</w:t>
      </w:r>
      <w:r>
        <w:rPr>
          <w:rFonts w:ascii="宋体" w:hAnsi="宋体" w:hint="eastAsia"/>
          <w:bCs/>
        </w:rPr>
        <w:t>无土栽培方式；理解选择不同无土栽培方式的原因；掌握果菜类蔬菜、叶菜类蔬菜的无土栽培关键管理技术；熟练掌握果菜类基质栽培技术、叶菜类水培技术。</w:t>
      </w:r>
    </w:p>
    <w:p w14:paraId="2D0236CB" w14:textId="77777777" w:rsidR="00F5289E" w:rsidRDefault="00C91173" w:rsidP="00A115EF">
      <w:pPr>
        <w:pStyle w:val="afd"/>
        <w:widowControl/>
        <w:numPr>
          <w:ilvl w:val="0"/>
          <w:numId w:val="25"/>
        </w:numPr>
        <w:snapToGrid w:val="0"/>
        <w:spacing w:line="360" w:lineRule="auto"/>
        <w:ind w:firstLineChars="0"/>
        <w:jc w:val="left"/>
        <w:rPr>
          <w:rFonts w:ascii="宋体" w:hAnsi="宋体"/>
          <w:bCs/>
        </w:rPr>
      </w:pPr>
      <w:r>
        <w:rPr>
          <w:rFonts w:ascii="宋体" w:hAnsi="宋体" w:hint="eastAsia"/>
          <w:bCs/>
        </w:rPr>
        <w:t>果菜类蔬菜无土栽培技术</w:t>
      </w:r>
    </w:p>
    <w:p w14:paraId="48FCCA1C" w14:textId="77777777" w:rsidR="00F5289E" w:rsidRDefault="00C91173" w:rsidP="00A115EF">
      <w:pPr>
        <w:pStyle w:val="afd"/>
        <w:widowControl/>
        <w:numPr>
          <w:ilvl w:val="0"/>
          <w:numId w:val="25"/>
        </w:numPr>
        <w:snapToGrid w:val="0"/>
        <w:spacing w:line="360" w:lineRule="auto"/>
        <w:ind w:firstLineChars="0"/>
        <w:jc w:val="left"/>
        <w:rPr>
          <w:rFonts w:ascii="宋体" w:hAnsi="宋体"/>
          <w:bCs/>
        </w:rPr>
      </w:pPr>
      <w:r>
        <w:rPr>
          <w:rFonts w:ascii="宋体" w:hAnsi="宋体" w:hint="eastAsia"/>
          <w:bCs/>
        </w:rPr>
        <w:t>叶菜类蔬菜无土栽培技术</w:t>
      </w:r>
    </w:p>
    <w:p w14:paraId="24E26F23" w14:textId="77777777" w:rsidR="00F5289E" w:rsidRDefault="00C91173">
      <w:pPr>
        <w:widowControl/>
        <w:snapToGrid w:val="0"/>
        <w:spacing w:line="360" w:lineRule="auto"/>
        <w:jc w:val="left"/>
        <w:rPr>
          <w:rFonts w:ascii="宋体" w:hAnsi="宋体"/>
          <w:b/>
          <w:bCs/>
        </w:rPr>
      </w:pPr>
      <w:r>
        <w:rPr>
          <w:rFonts w:ascii="宋体" w:hAnsi="宋体" w:hint="eastAsia"/>
          <w:b/>
          <w:bCs/>
        </w:rPr>
        <w:t>教学组织与实施：</w:t>
      </w:r>
    </w:p>
    <w:p w14:paraId="1DCE58D3"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发布问题“如何</w:t>
      </w:r>
      <w:r>
        <w:rPr>
          <w:rFonts w:ascii="宋体" w:hAnsi="宋体"/>
          <w:bCs/>
        </w:rPr>
        <w:t>进行</w:t>
      </w:r>
      <w:r>
        <w:rPr>
          <w:rFonts w:ascii="宋体" w:hAnsi="宋体" w:hint="eastAsia"/>
          <w:bCs/>
        </w:rPr>
        <w:t>生菜的</w:t>
      </w:r>
      <w:r>
        <w:rPr>
          <w:rFonts w:ascii="宋体" w:hAnsi="宋体"/>
          <w:bCs/>
        </w:rPr>
        <w:t>无土栽培</w:t>
      </w:r>
      <w:r>
        <w:rPr>
          <w:rFonts w:ascii="宋体" w:hAnsi="宋体" w:hint="eastAsia"/>
          <w:bCs/>
        </w:rPr>
        <w:t>”</w:t>
      </w:r>
      <w:r>
        <w:rPr>
          <w:rFonts w:ascii="宋体" w:hAnsi="宋体"/>
          <w:bCs/>
        </w:rPr>
        <w:t>,</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10325898" w14:textId="77777777" w:rsidR="00F5289E" w:rsidRDefault="00C91173">
      <w:pPr>
        <w:widowControl/>
        <w:snapToGrid w:val="0"/>
        <w:spacing w:line="360" w:lineRule="auto"/>
        <w:jc w:val="left"/>
        <w:rPr>
          <w:rFonts w:ascii="宋体" w:hAnsi="宋体"/>
          <w:bCs/>
        </w:rPr>
      </w:pPr>
      <w:r>
        <w:rPr>
          <w:rFonts w:ascii="宋体" w:hAnsi="宋体"/>
          <w:bCs/>
        </w:rPr>
        <w:t>2.导入</w:t>
      </w:r>
      <w:r>
        <w:rPr>
          <w:rFonts w:ascii="宋体" w:hAnsi="宋体" w:hint="eastAsia"/>
          <w:bCs/>
        </w:rPr>
        <w:t>本章</w:t>
      </w:r>
      <w:r>
        <w:rPr>
          <w:rFonts w:ascii="宋体" w:hAnsi="宋体"/>
          <w:bCs/>
        </w:rPr>
        <w:t>学习</w:t>
      </w:r>
      <w:r>
        <w:rPr>
          <w:rFonts w:ascii="宋体" w:hAnsi="宋体" w:hint="eastAsia"/>
          <w:bCs/>
        </w:rPr>
        <w:t>的</w:t>
      </w:r>
      <w:r>
        <w:rPr>
          <w:rFonts w:ascii="宋体" w:hAnsi="宋体"/>
          <w:bCs/>
        </w:rPr>
        <w:t>必要性，学习内容</w:t>
      </w:r>
      <w:r>
        <w:rPr>
          <w:rFonts w:ascii="宋体" w:hAnsi="宋体" w:hint="eastAsia"/>
          <w:bCs/>
        </w:rPr>
        <w:t>及</w:t>
      </w:r>
      <w:r>
        <w:rPr>
          <w:rFonts w:ascii="宋体" w:hAnsi="宋体"/>
          <w:bCs/>
        </w:rPr>
        <w:t>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利用</w:t>
      </w:r>
      <w:r>
        <w:rPr>
          <w:rFonts w:ascii="宋体" w:hAnsi="宋体"/>
          <w:bCs/>
        </w:rPr>
        <w:t>生动的图片及具有代表性的视频文件</w:t>
      </w:r>
      <w:r>
        <w:rPr>
          <w:rFonts w:ascii="宋体" w:hAnsi="宋体" w:hint="eastAsia"/>
          <w:bCs/>
        </w:rPr>
        <w:t>形象地</w:t>
      </w:r>
      <w:r>
        <w:rPr>
          <w:rFonts w:ascii="宋体" w:hAnsi="宋体"/>
          <w:bCs/>
        </w:rPr>
        <w:t>向学生展示、讲解</w:t>
      </w:r>
      <w:r>
        <w:rPr>
          <w:rFonts w:ascii="宋体" w:hAnsi="宋体" w:hint="eastAsia"/>
          <w:bCs/>
        </w:rPr>
        <w:t>知识点</w:t>
      </w:r>
      <w:r>
        <w:rPr>
          <w:rFonts w:ascii="宋体" w:hAnsi="宋体"/>
          <w:bCs/>
        </w:rPr>
        <w:t>，并结合具体的生产案例进行分析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w:t>
      </w:r>
      <w:r>
        <w:rPr>
          <w:rFonts w:ascii="宋体" w:hAnsi="宋体"/>
          <w:bCs/>
        </w:rPr>
        <w:t>加强学习效果；</w:t>
      </w:r>
      <w:r>
        <w:rPr>
          <w:rFonts w:ascii="宋体" w:hAnsi="宋体" w:hint="eastAsia"/>
          <w:bCs/>
        </w:rPr>
        <w:t>学习</w:t>
      </w:r>
      <w:r>
        <w:rPr>
          <w:rFonts w:ascii="宋体" w:hAnsi="宋体"/>
          <w:bCs/>
        </w:rPr>
        <w:t>过程中，鼓励学生发散思维，</w:t>
      </w:r>
      <w:r>
        <w:rPr>
          <w:rFonts w:ascii="宋体" w:hAnsi="宋体" w:hint="eastAsia"/>
          <w:bCs/>
        </w:rPr>
        <w:t>提出并</w:t>
      </w:r>
      <w:r>
        <w:rPr>
          <w:rFonts w:ascii="宋体" w:hAnsi="宋体"/>
          <w:bCs/>
        </w:rPr>
        <w:t>解决生产中</w:t>
      </w:r>
      <w:r>
        <w:rPr>
          <w:rFonts w:ascii="宋体" w:hAnsi="宋体" w:hint="eastAsia"/>
          <w:bCs/>
        </w:rPr>
        <w:t>存在</w:t>
      </w:r>
      <w:r>
        <w:rPr>
          <w:rFonts w:ascii="宋体" w:hAnsi="宋体"/>
          <w:bCs/>
        </w:rPr>
        <w:t>的问题</w:t>
      </w:r>
      <w:r>
        <w:rPr>
          <w:rFonts w:ascii="宋体" w:hAnsi="宋体" w:hint="eastAsia"/>
          <w:bCs/>
        </w:rPr>
        <w:t>。</w:t>
      </w:r>
    </w:p>
    <w:p w14:paraId="767D6CB2" w14:textId="77777777" w:rsidR="00F5289E" w:rsidRDefault="00C91173">
      <w:pPr>
        <w:widowControl/>
        <w:snapToGrid w:val="0"/>
        <w:spacing w:line="360" w:lineRule="auto"/>
        <w:jc w:val="left"/>
        <w:rPr>
          <w:rFonts w:ascii="宋体" w:hAnsi="宋体"/>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及</w:t>
      </w:r>
      <w:r>
        <w:rPr>
          <w:rFonts w:ascii="宋体" w:hAnsi="宋体"/>
          <w:bCs/>
        </w:rPr>
        <w:t>回顾</w:t>
      </w:r>
      <w:r>
        <w:rPr>
          <w:rFonts w:ascii="宋体" w:hAnsi="宋体" w:hint="eastAsia"/>
          <w:bCs/>
        </w:rPr>
        <w:t>的</w:t>
      </w:r>
      <w:r>
        <w:rPr>
          <w:rFonts w:ascii="宋体" w:hAnsi="宋体"/>
          <w:bCs/>
        </w:rPr>
        <w:t>形式，总结</w:t>
      </w:r>
      <w:r>
        <w:rPr>
          <w:rFonts w:ascii="宋体" w:hAnsi="宋体" w:hint="eastAsia"/>
          <w:bCs/>
        </w:rPr>
        <w:t>和</w:t>
      </w:r>
      <w:r>
        <w:rPr>
          <w:rFonts w:ascii="宋体" w:hAnsi="宋体"/>
          <w:bCs/>
        </w:rPr>
        <w:t>检验学习效果。</w:t>
      </w:r>
    </w:p>
    <w:p w14:paraId="44BFF2AF" w14:textId="77777777" w:rsidR="00F5289E" w:rsidRDefault="00F5289E">
      <w:pPr>
        <w:widowControl/>
        <w:snapToGrid w:val="0"/>
        <w:spacing w:line="360" w:lineRule="auto"/>
        <w:ind w:firstLineChars="1399" w:firstLine="2949"/>
        <w:jc w:val="left"/>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2152"/>
        <w:gridCol w:w="4418"/>
        <w:gridCol w:w="2326"/>
      </w:tblGrid>
      <w:tr w:rsidR="00F5289E" w14:paraId="3D5993B0" w14:textId="77777777">
        <w:trPr>
          <w:trHeight w:val="270"/>
        </w:trPr>
        <w:tc>
          <w:tcPr>
            <w:tcW w:w="2152" w:type="dxa"/>
            <w:tcBorders>
              <w:top w:val="nil"/>
              <w:left w:val="nil"/>
              <w:bottom w:val="nil"/>
              <w:right w:val="nil"/>
            </w:tcBorders>
            <w:vAlign w:val="center"/>
          </w:tcPr>
          <w:p w14:paraId="12CDED88" w14:textId="77777777" w:rsidR="00F5289E" w:rsidRDefault="00F5289E">
            <w:pPr>
              <w:widowControl/>
              <w:snapToGrid w:val="0"/>
              <w:spacing w:line="360" w:lineRule="auto"/>
              <w:jc w:val="center"/>
              <w:rPr>
                <w:b/>
                <w:bCs/>
                <w:kern w:val="0"/>
                <w:szCs w:val="21"/>
              </w:rPr>
            </w:pPr>
          </w:p>
        </w:tc>
        <w:tc>
          <w:tcPr>
            <w:tcW w:w="4418" w:type="dxa"/>
            <w:tcBorders>
              <w:top w:val="nil"/>
              <w:left w:val="nil"/>
              <w:bottom w:val="nil"/>
              <w:right w:val="nil"/>
            </w:tcBorders>
            <w:vAlign w:val="center"/>
          </w:tcPr>
          <w:p w14:paraId="011E389A" w14:textId="77777777" w:rsidR="00F5289E" w:rsidRDefault="00C91173">
            <w:pPr>
              <w:widowControl/>
              <w:snapToGrid w:val="0"/>
              <w:spacing w:line="360" w:lineRule="auto"/>
              <w:jc w:val="center"/>
              <w:rPr>
                <w:b/>
                <w:bCs/>
                <w:kern w:val="0"/>
                <w:szCs w:val="21"/>
              </w:rPr>
            </w:pPr>
            <w:r>
              <w:rPr>
                <w:rFonts w:ascii="宋体" w:hAnsi="宋体" w:hint="eastAsia"/>
                <w:b/>
                <w:bCs/>
              </w:rPr>
              <w:t>第九章 无土栽培技术的拓展应用</w:t>
            </w:r>
          </w:p>
        </w:tc>
        <w:tc>
          <w:tcPr>
            <w:tcW w:w="2326" w:type="dxa"/>
            <w:tcBorders>
              <w:top w:val="nil"/>
              <w:left w:val="nil"/>
              <w:bottom w:val="nil"/>
              <w:right w:val="nil"/>
            </w:tcBorders>
            <w:vAlign w:val="center"/>
          </w:tcPr>
          <w:p w14:paraId="7F6E1647" w14:textId="77777777" w:rsidR="00F5289E" w:rsidRDefault="00C91173">
            <w:pPr>
              <w:widowControl/>
              <w:snapToGrid w:val="0"/>
              <w:spacing w:line="360" w:lineRule="auto"/>
              <w:jc w:val="right"/>
              <w:rPr>
                <w:b/>
                <w:bCs/>
                <w:kern w:val="0"/>
                <w:szCs w:val="21"/>
              </w:rPr>
            </w:pPr>
            <w:r>
              <w:rPr>
                <w:b/>
                <w:bCs/>
                <w:kern w:val="0"/>
                <w:szCs w:val="21"/>
              </w:rPr>
              <w:t>学时数：</w:t>
            </w:r>
            <w:r>
              <w:rPr>
                <w:rFonts w:hint="eastAsia"/>
                <w:b/>
                <w:bCs/>
                <w:kern w:val="0"/>
                <w:szCs w:val="21"/>
              </w:rPr>
              <w:t>2</w:t>
            </w:r>
          </w:p>
        </w:tc>
      </w:tr>
    </w:tbl>
    <w:p w14:paraId="3083898D" w14:textId="77777777" w:rsidR="00F5289E" w:rsidRDefault="00C91173">
      <w:pPr>
        <w:widowControl/>
        <w:snapToGrid w:val="0"/>
        <w:spacing w:line="360" w:lineRule="auto"/>
        <w:jc w:val="left"/>
        <w:rPr>
          <w:rFonts w:ascii="宋体" w:hAnsi="宋体"/>
          <w:b/>
          <w:bCs/>
        </w:rPr>
      </w:pPr>
      <w:r>
        <w:rPr>
          <w:rFonts w:ascii="宋体" w:hAnsi="宋体" w:hint="eastAsia"/>
          <w:b/>
          <w:bCs/>
        </w:rPr>
        <w:t>教学目的：</w:t>
      </w:r>
      <w:r>
        <w:rPr>
          <w:rFonts w:ascii="宋体" w:hAnsi="宋体" w:hint="eastAsia"/>
          <w:bCs/>
        </w:rPr>
        <w:t>了解无土栽培技术在新领域中的应用，掌握家庭小型装置、屋顶绿化、观光农业的无土栽培关键技术。</w:t>
      </w:r>
    </w:p>
    <w:p w14:paraId="4140AC0E" w14:textId="77777777" w:rsidR="00F5289E" w:rsidRDefault="00C91173">
      <w:pPr>
        <w:widowControl/>
        <w:snapToGrid w:val="0"/>
        <w:spacing w:line="360" w:lineRule="auto"/>
        <w:jc w:val="left"/>
        <w:rPr>
          <w:rFonts w:ascii="宋体" w:hAnsi="宋体"/>
          <w:b/>
          <w:bCs/>
        </w:rPr>
      </w:pPr>
      <w:r>
        <w:rPr>
          <w:rFonts w:ascii="宋体" w:hAnsi="宋体" w:hint="eastAsia"/>
          <w:b/>
          <w:bCs/>
        </w:rPr>
        <w:t>教学重点和难点：</w:t>
      </w:r>
      <w:r>
        <w:rPr>
          <w:rFonts w:ascii="宋体" w:hAnsi="宋体" w:hint="eastAsia"/>
          <w:bCs/>
        </w:rPr>
        <w:t>观光型无土栽培类型及观光型作物树式栽培关键技术，家庭无土栽培的类型及特点。</w:t>
      </w:r>
    </w:p>
    <w:p w14:paraId="69157A03" w14:textId="77777777" w:rsidR="00F5289E" w:rsidRDefault="00C91173">
      <w:pPr>
        <w:widowControl/>
        <w:snapToGrid w:val="0"/>
        <w:spacing w:line="360" w:lineRule="auto"/>
        <w:jc w:val="left"/>
        <w:rPr>
          <w:rFonts w:ascii="宋体" w:hAnsi="宋体"/>
          <w:bCs/>
        </w:rPr>
      </w:pPr>
      <w:r>
        <w:rPr>
          <w:rFonts w:ascii="宋体" w:hAnsi="宋体" w:hint="eastAsia"/>
          <w:b/>
          <w:bCs/>
        </w:rPr>
        <w:t>主要教学内容及要求：</w:t>
      </w:r>
      <w:r>
        <w:rPr>
          <w:rFonts w:ascii="宋体" w:hAnsi="宋体" w:hint="eastAsia"/>
          <w:bCs/>
        </w:rPr>
        <w:t>了解屋顶绿化对建筑的要求及适宜屋顶绿化的无土栽培方式，植物工厂栽培系统的特点及存在的问题和发展的方向；理解观光型雾培技术、立柱栽培技术、管道栽培技术；掌握蔬菜树式栽培关键技术；熟练掌握家庭无土栽培的类型及特点。</w:t>
      </w:r>
    </w:p>
    <w:p w14:paraId="77F6B8A0" w14:textId="77777777" w:rsidR="00F5289E" w:rsidRDefault="00C91173" w:rsidP="00A115EF">
      <w:pPr>
        <w:pStyle w:val="afd"/>
        <w:widowControl/>
        <w:numPr>
          <w:ilvl w:val="0"/>
          <w:numId w:val="26"/>
        </w:numPr>
        <w:snapToGrid w:val="0"/>
        <w:spacing w:line="360" w:lineRule="auto"/>
        <w:ind w:firstLineChars="0"/>
        <w:jc w:val="left"/>
        <w:rPr>
          <w:rFonts w:ascii="宋体" w:hAnsi="宋体"/>
          <w:bCs/>
        </w:rPr>
      </w:pPr>
      <w:r>
        <w:rPr>
          <w:rFonts w:ascii="宋体" w:hAnsi="宋体" w:hint="eastAsia"/>
          <w:bCs/>
        </w:rPr>
        <w:t>家庭小型无土栽培技术</w:t>
      </w:r>
    </w:p>
    <w:p w14:paraId="4F15D5C6" w14:textId="77777777" w:rsidR="00F5289E" w:rsidRDefault="00C91173" w:rsidP="00A115EF">
      <w:pPr>
        <w:pStyle w:val="afd"/>
        <w:widowControl/>
        <w:numPr>
          <w:ilvl w:val="0"/>
          <w:numId w:val="26"/>
        </w:numPr>
        <w:snapToGrid w:val="0"/>
        <w:spacing w:line="360" w:lineRule="auto"/>
        <w:ind w:firstLineChars="0"/>
        <w:jc w:val="left"/>
        <w:rPr>
          <w:rFonts w:ascii="宋体" w:hAnsi="宋体"/>
          <w:bCs/>
        </w:rPr>
      </w:pPr>
      <w:r>
        <w:rPr>
          <w:rFonts w:ascii="宋体" w:hAnsi="宋体" w:hint="eastAsia"/>
          <w:bCs/>
        </w:rPr>
        <w:t>无土栽培技术在屋顶绿化中的应用</w:t>
      </w:r>
    </w:p>
    <w:p w14:paraId="13B6EC51" w14:textId="77777777" w:rsidR="00F5289E" w:rsidRDefault="00C91173" w:rsidP="00A115EF">
      <w:pPr>
        <w:pStyle w:val="afd"/>
        <w:widowControl/>
        <w:numPr>
          <w:ilvl w:val="0"/>
          <w:numId w:val="26"/>
        </w:numPr>
        <w:snapToGrid w:val="0"/>
        <w:spacing w:line="360" w:lineRule="auto"/>
        <w:ind w:firstLineChars="0"/>
        <w:jc w:val="left"/>
        <w:rPr>
          <w:rFonts w:ascii="宋体" w:hAnsi="宋体"/>
          <w:bCs/>
        </w:rPr>
      </w:pPr>
      <w:r>
        <w:rPr>
          <w:rFonts w:ascii="宋体" w:hAnsi="宋体" w:hint="eastAsia"/>
          <w:bCs/>
        </w:rPr>
        <w:t>观光型无土栽培技术</w:t>
      </w:r>
    </w:p>
    <w:p w14:paraId="6B949BAA" w14:textId="77777777" w:rsidR="00F5289E" w:rsidRDefault="00C91173">
      <w:pPr>
        <w:widowControl/>
        <w:snapToGrid w:val="0"/>
        <w:spacing w:line="360" w:lineRule="auto"/>
        <w:jc w:val="left"/>
        <w:rPr>
          <w:rFonts w:ascii="宋体" w:hAnsi="宋体"/>
          <w:b/>
          <w:bCs/>
        </w:rPr>
      </w:pPr>
      <w:r>
        <w:rPr>
          <w:rFonts w:ascii="宋体" w:hAnsi="宋体" w:hint="eastAsia"/>
          <w:b/>
          <w:bCs/>
        </w:rPr>
        <w:t>教学组织与实施：</w:t>
      </w:r>
    </w:p>
    <w:p w14:paraId="3F24CA76" w14:textId="77777777" w:rsidR="00F5289E" w:rsidRDefault="00C91173">
      <w:pPr>
        <w:widowControl/>
        <w:snapToGrid w:val="0"/>
        <w:spacing w:line="360" w:lineRule="auto"/>
        <w:rPr>
          <w:rFonts w:ascii="宋体" w:hAnsi="宋体"/>
          <w:bCs/>
        </w:rPr>
      </w:pPr>
      <w:r>
        <w:rPr>
          <w:rFonts w:ascii="宋体" w:hAnsi="宋体" w:hint="eastAsia"/>
          <w:bCs/>
        </w:rPr>
        <w:t>1.课前在超星</w:t>
      </w:r>
      <w:r>
        <w:rPr>
          <w:rFonts w:ascii="宋体" w:hAnsi="宋体"/>
          <w:bCs/>
        </w:rPr>
        <w:t>学习通上</w:t>
      </w:r>
      <w:r>
        <w:rPr>
          <w:rFonts w:ascii="宋体" w:hAnsi="宋体" w:hint="eastAsia"/>
          <w:bCs/>
        </w:rPr>
        <w:t>发布问题“你发现</w:t>
      </w:r>
      <w:r>
        <w:rPr>
          <w:rFonts w:ascii="宋体" w:hAnsi="宋体"/>
          <w:bCs/>
        </w:rPr>
        <w:t>了哪些新型无土栽培形式</w:t>
      </w:r>
      <w:r>
        <w:rPr>
          <w:rFonts w:ascii="宋体" w:hAnsi="宋体" w:hint="eastAsia"/>
          <w:bCs/>
        </w:rPr>
        <w:t>?</w:t>
      </w:r>
      <w:r>
        <w:rPr>
          <w:rFonts w:ascii="宋体" w:hAnsi="宋体"/>
          <w:bCs/>
        </w:rPr>
        <w:t>”,</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0177D488" w14:textId="77777777" w:rsidR="00F5289E" w:rsidRDefault="00C91173">
      <w:pPr>
        <w:widowControl/>
        <w:snapToGrid w:val="0"/>
        <w:spacing w:line="360" w:lineRule="auto"/>
        <w:jc w:val="left"/>
        <w:rPr>
          <w:rFonts w:ascii="宋体" w:hAnsi="宋体"/>
          <w:bCs/>
        </w:rPr>
      </w:pPr>
      <w:r>
        <w:rPr>
          <w:rFonts w:ascii="宋体" w:hAnsi="宋体" w:hint="eastAsia"/>
          <w:bCs/>
        </w:rPr>
        <w:lastRenderedPageBreak/>
        <w:t>2.以</w:t>
      </w:r>
      <w:r>
        <w:rPr>
          <w:rFonts w:ascii="宋体" w:hAnsi="宋体"/>
          <w:bCs/>
        </w:rPr>
        <w:t>图片、视频的形式导入</w:t>
      </w:r>
      <w:r>
        <w:rPr>
          <w:rFonts w:ascii="宋体" w:hAnsi="宋体" w:hint="eastAsia"/>
          <w:bCs/>
        </w:rPr>
        <w:t>本章的</w:t>
      </w:r>
      <w:r>
        <w:rPr>
          <w:rFonts w:ascii="宋体" w:hAnsi="宋体"/>
          <w:bCs/>
        </w:rPr>
        <w:t>学习内容</w:t>
      </w:r>
      <w:r>
        <w:rPr>
          <w:rFonts w:ascii="宋体" w:hAnsi="宋体" w:hint="eastAsia"/>
          <w:bCs/>
        </w:rPr>
        <w:t>及</w:t>
      </w:r>
      <w:r>
        <w:rPr>
          <w:rFonts w:ascii="宋体" w:hAnsi="宋体"/>
          <w:bCs/>
        </w:rPr>
        <w:t>学习目标；</w:t>
      </w:r>
      <w:r>
        <w:rPr>
          <w:rFonts w:ascii="宋体" w:hAnsi="宋体" w:hint="eastAsia"/>
          <w:bCs/>
        </w:rPr>
        <w:t>以</w:t>
      </w:r>
      <w:r>
        <w:rPr>
          <w:rFonts w:ascii="宋体" w:hAnsi="宋体"/>
          <w:bCs/>
        </w:rPr>
        <w:t>多媒体</w:t>
      </w:r>
      <w:r>
        <w:rPr>
          <w:rFonts w:ascii="宋体" w:hAnsi="宋体" w:hint="eastAsia"/>
          <w:bCs/>
        </w:rPr>
        <w:t>的形式</w:t>
      </w:r>
      <w:r>
        <w:rPr>
          <w:rFonts w:ascii="宋体" w:hAnsi="宋体"/>
          <w:bCs/>
        </w:rPr>
        <w:t>，</w:t>
      </w:r>
      <w:r>
        <w:rPr>
          <w:rFonts w:ascii="宋体" w:hAnsi="宋体" w:hint="eastAsia"/>
          <w:bCs/>
        </w:rPr>
        <w:t>利用</w:t>
      </w:r>
      <w:r>
        <w:rPr>
          <w:rFonts w:ascii="宋体" w:hAnsi="宋体"/>
          <w:bCs/>
        </w:rPr>
        <w:t>生动的图片及具有代表性的视频文件</w:t>
      </w:r>
      <w:r>
        <w:rPr>
          <w:rFonts w:ascii="宋体" w:hAnsi="宋体" w:hint="eastAsia"/>
          <w:bCs/>
        </w:rPr>
        <w:t>形象地</w:t>
      </w:r>
      <w:r>
        <w:rPr>
          <w:rFonts w:ascii="宋体" w:hAnsi="宋体"/>
          <w:bCs/>
        </w:rPr>
        <w:t>向学生展示</w:t>
      </w:r>
      <w:r>
        <w:rPr>
          <w:rFonts w:ascii="宋体" w:hAnsi="宋体" w:hint="eastAsia"/>
          <w:bCs/>
        </w:rPr>
        <w:t>无土栽培</w:t>
      </w:r>
      <w:r>
        <w:rPr>
          <w:rFonts w:ascii="宋体" w:hAnsi="宋体"/>
          <w:bCs/>
        </w:rPr>
        <w:t>的新领域，并结合具体的生产案例进行分析</w:t>
      </w:r>
      <w:r>
        <w:rPr>
          <w:rFonts w:ascii="宋体" w:hAnsi="宋体" w:hint="eastAsia"/>
          <w:bCs/>
        </w:rPr>
        <w:t>，提高</w:t>
      </w:r>
      <w:r>
        <w:rPr>
          <w:rFonts w:ascii="宋体" w:hAnsi="宋体"/>
          <w:bCs/>
        </w:rPr>
        <w:t>学习兴趣及主动性</w:t>
      </w:r>
      <w:r>
        <w:rPr>
          <w:rFonts w:ascii="宋体" w:hAnsi="宋体" w:hint="eastAsia"/>
          <w:bCs/>
        </w:rPr>
        <w:t>，</w:t>
      </w:r>
      <w:r>
        <w:rPr>
          <w:rFonts w:ascii="宋体" w:hAnsi="宋体"/>
          <w:bCs/>
        </w:rPr>
        <w:t>加强学习效果；</w:t>
      </w:r>
      <w:r>
        <w:rPr>
          <w:rFonts w:ascii="宋体" w:hAnsi="宋体" w:hint="eastAsia"/>
          <w:bCs/>
        </w:rPr>
        <w:t>学习</w:t>
      </w:r>
      <w:r>
        <w:rPr>
          <w:rFonts w:ascii="宋体" w:hAnsi="宋体"/>
          <w:bCs/>
        </w:rPr>
        <w:t>过程中，鼓励学生发散思维，</w:t>
      </w:r>
      <w:r>
        <w:rPr>
          <w:rFonts w:ascii="宋体" w:hAnsi="宋体" w:hint="eastAsia"/>
          <w:bCs/>
        </w:rPr>
        <w:t>提出并</w:t>
      </w:r>
      <w:r>
        <w:rPr>
          <w:rFonts w:ascii="宋体" w:hAnsi="宋体"/>
          <w:bCs/>
        </w:rPr>
        <w:t>解决生产中</w:t>
      </w:r>
      <w:r>
        <w:rPr>
          <w:rFonts w:ascii="宋体" w:hAnsi="宋体" w:hint="eastAsia"/>
          <w:bCs/>
        </w:rPr>
        <w:t>存在</w:t>
      </w:r>
      <w:r>
        <w:rPr>
          <w:rFonts w:ascii="宋体" w:hAnsi="宋体"/>
          <w:bCs/>
        </w:rPr>
        <w:t>的问题.</w:t>
      </w:r>
    </w:p>
    <w:p w14:paraId="6D2119B4" w14:textId="77777777" w:rsidR="00F5289E" w:rsidRDefault="00C91173">
      <w:pPr>
        <w:widowControl/>
        <w:snapToGrid w:val="0"/>
        <w:spacing w:line="360" w:lineRule="auto"/>
        <w:jc w:val="left"/>
        <w:rPr>
          <w:rFonts w:ascii="宋体" w:hAnsi="宋体"/>
          <w:bCs/>
        </w:rPr>
      </w:pPr>
      <w:r>
        <w:rPr>
          <w:rFonts w:ascii="宋体" w:hAnsi="宋体"/>
          <w:bCs/>
        </w:rPr>
        <w:t>3.</w:t>
      </w:r>
      <w:r>
        <w:rPr>
          <w:rFonts w:ascii="宋体" w:hAnsi="宋体" w:hint="eastAsia"/>
          <w:bCs/>
        </w:rPr>
        <w:t>最后归纳本章</w:t>
      </w:r>
      <w:r>
        <w:rPr>
          <w:rFonts w:ascii="宋体" w:hAnsi="宋体"/>
          <w:bCs/>
        </w:rPr>
        <w:t>知识点</w:t>
      </w:r>
      <w:r>
        <w:rPr>
          <w:rFonts w:ascii="宋体" w:hAnsi="宋体" w:hint="eastAsia"/>
          <w:bCs/>
        </w:rPr>
        <w:t>，强调</w:t>
      </w:r>
      <w:r>
        <w:rPr>
          <w:rFonts w:ascii="宋体" w:hAnsi="宋体"/>
          <w:bCs/>
        </w:rPr>
        <w:t>重点、难点，并以提问</w:t>
      </w:r>
      <w:r>
        <w:rPr>
          <w:rFonts w:ascii="宋体" w:hAnsi="宋体" w:hint="eastAsia"/>
          <w:bCs/>
        </w:rPr>
        <w:t>及</w:t>
      </w:r>
      <w:r>
        <w:rPr>
          <w:rFonts w:ascii="宋体" w:hAnsi="宋体"/>
          <w:bCs/>
        </w:rPr>
        <w:t>回顾</w:t>
      </w:r>
      <w:r>
        <w:rPr>
          <w:rFonts w:ascii="宋体" w:hAnsi="宋体" w:hint="eastAsia"/>
          <w:bCs/>
        </w:rPr>
        <w:t>的</w:t>
      </w:r>
      <w:r>
        <w:rPr>
          <w:rFonts w:ascii="宋体" w:hAnsi="宋体"/>
          <w:bCs/>
        </w:rPr>
        <w:t>形式，总结</w:t>
      </w:r>
      <w:r>
        <w:rPr>
          <w:rFonts w:ascii="宋体" w:hAnsi="宋体" w:hint="eastAsia"/>
          <w:bCs/>
        </w:rPr>
        <w:t>和</w:t>
      </w:r>
      <w:r>
        <w:rPr>
          <w:rFonts w:ascii="宋体" w:hAnsi="宋体"/>
          <w:bCs/>
        </w:rPr>
        <w:t>检验学习效果。</w:t>
      </w:r>
    </w:p>
    <w:p w14:paraId="29E4065B" w14:textId="77777777" w:rsidR="00F5289E" w:rsidRDefault="00C91173">
      <w:pPr>
        <w:widowControl/>
        <w:snapToGrid w:val="0"/>
        <w:spacing w:line="360" w:lineRule="auto"/>
        <w:jc w:val="left"/>
        <w:rPr>
          <w:rFonts w:hAnsi="宋体"/>
          <w:b/>
          <w:bCs/>
          <w:strike/>
          <w:color w:val="0000FF"/>
          <w:kern w:val="0"/>
          <w:szCs w:val="21"/>
        </w:rPr>
      </w:pPr>
      <w:r>
        <w:rPr>
          <w:rFonts w:hAnsi="宋体" w:hint="eastAsia"/>
          <w:b/>
          <w:bCs/>
          <w:kern w:val="0"/>
          <w:szCs w:val="21"/>
        </w:rPr>
        <w:t>五</w:t>
      </w:r>
      <w:r>
        <w:rPr>
          <w:rFonts w:hAnsi="宋体"/>
          <w:b/>
          <w:bCs/>
          <w:kern w:val="0"/>
          <w:szCs w:val="21"/>
        </w:rPr>
        <w:t>、实验教学内容及学时分配</w:t>
      </w:r>
      <w:r>
        <w:rPr>
          <w:b/>
          <w:bCs/>
          <w:kern w:val="0"/>
          <w:szCs w:val="21"/>
        </w:rPr>
        <w:t> </w:t>
      </w:r>
      <w:r>
        <w:rPr>
          <w:rFonts w:hAnsi="宋体" w:hint="eastAsia"/>
          <w:b/>
          <w:bCs/>
          <w:kern w:val="0"/>
          <w:szCs w:val="21"/>
        </w:rPr>
        <w:t>（</w:t>
      </w:r>
      <w:r>
        <w:rPr>
          <w:rFonts w:hAnsi="宋体"/>
          <w:b/>
          <w:bCs/>
          <w:kern w:val="0"/>
          <w:szCs w:val="21"/>
        </w:rPr>
        <w:t>12</w:t>
      </w:r>
      <w:r>
        <w:rPr>
          <w:rFonts w:hAnsi="宋体"/>
          <w:b/>
          <w:bCs/>
          <w:kern w:val="0"/>
          <w:szCs w:val="21"/>
        </w:rPr>
        <w:t>学时</w:t>
      </w:r>
      <w:r>
        <w:rPr>
          <w:rFonts w:hAnsi="宋体" w:hint="eastAsia"/>
          <w:b/>
          <w:bCs/>
          <w:kern w:val="0"/>
          <w:szCs w:val="21"/>
        </w:rPr>
        <w:t>）</w:t>
      </w:r>
      <w:r>
        <w:rPr>
          <w:rFonts w:hAnsi="宋体" w:hint="eastAsia"/>
          <w:bCs/>
          <w:kern w:val="0"/>
          <w:szCs w:val="21"/>
        </w:rPr>
        <w:t>（无实验的课程该项不列，序号顺延）</w:t>
      </w:r>
    </w:p>
    <w:p w14:paraId="2BD488BB" w14:textId="77777777" w:rsidR="00F5289E" w:rsidRDefault="00C91173">
      <w:pPr>
        <w:snapToGrid w:val="0"/>
        <w:spacing w:line="360" w:lineRule="auto"/>
        <w:rPr>
          <w:b/>
          <w:bCs/>
          <w:szCs w:val="21"/>
        </w:rPr>
      </w:pPr>
      <w:r>
        <w:rPr>
          <w:rFonts w:hAnsi="宋体"/>
          <w:b/>
          <w:szCs w:val="21"/>
        </w:rPr>
        <w:t>（一）</w:t>
      </w:r>
      <w:r>
        <w:rPr>
          <w:rFonts w:hAnsi="宋体"/>
          <w:b/>
          <w:bCs/>
          <w:szCs w:val="21"/>
        </w:rPr>
        <w:t>实验课程简介</w:t>
      </w:r>
    </w:p>
    <w:p w14:paraId="138E4634" w14:textId="77777777" w:rsidR="00F5289E" w:rsidRDefault="00C91173">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无土栽培学》是设施农业科学与工程专业的骨干课之一，是一门以课堂讲授为主结合课程实践的专业课程。该门课程以植物生理学和园艺作物栽培学为基础，结合设施环境调控技术，重点掌握现代无土栽培技术的核心技术（包括营养液及其配制管理、无土栽培基质类型及其应用），了解现代无土栽培技术的基本类型，掌握无土育苗技术及几种主要园艺作物的无土栽培技术。</w:t>
      </w:r>
    </w:p>
    <w:p w14:paraId="5427EB51" w14:textId="77777777" w:rsidR="00F5289E" w:rsidRDefault="00C91173">
      <w:pPr>
        <w:snapToGrid w:val="0"/>
        <w:spacing w:line="360" w:lineRule="auto"/>
        <w:rPr>
          <w:b/>
          <w:bCs/>
          <w:szCs w:val="21"/>
        </w:rPr>
      </w:pPr>
      <w:r>
        <w:rPr>
          <w:rFonts w:hAnsi="宋体"/>
          <w:b/>
          <w:bCs/>
          <w:szCs w:val="21"/>
        </w:rPr>
        <w:t>（二）实验教学目的和基本要求</w:t>
      </w:r>
    </w:p>
    <w:p w14:paraId="1A7B65A2" w14:textId="77777777" w:rsidR="00F5289E" w:rsidRDefault="00C91173">
      <w:pPr>
        <w:pStyle w:val="a7"/>
        <w:spacing w:line="300" w:lineRule="auto"/>
        <w:rPr>
          <w:rFonts w:asciiTheme="minorEastAsia" w:eastAsiaTheme="minorEastAsia" w:hAnsiTheme="minorEastAsia"/>
          <w:szCs w:val="24"/>
        </w:rPr>
      </w:pPr>
      <w:r>
        <w:rPr>
          <w:rFonts w:asciiTheme="minorEastAsia" w:eastAsiaTheme="minorEastAsia" w:hAnsiTheme="minorEastAsia" w:hint="eastAsia"/>
          <w:szCs w:val="24"/>
        </w:rPr>
        <w:t>通过本实验课程的学习使学生能够了解并掌握现代园艺生产技术，掌握有关无土栽培的基本技术环节，以便在其毕业后能够适应现代社会对人才的要求；培养学生的管理、开发及设计的能力。</w:t>
      </w:r>
    </w:p>
    <w:p w14:paraId="0AF6BE36" w14:textId="77777777" w:rsidR="00F5289E" w:rsidRDefault="00C91173">
      <w:pPr>
        <w:spacing w:line="360" w:lineRule="auto"/>
        <w:rPr>
          <w:rFonts w:asciiTheme="minorEastAsia" w:eastAsiaTheme="minorEastAsia" w:hAnsiTheme="minorEastAsia"/>
          <w:b/>
        </w:rPr>
      </w:pPr>
      <w:r>
        <w:rPr>
          <w:rFonts w:asciiTheme="minorEastAsia" w:eastAsiaTheme="minorEastAsia" w:hAnsiTheme="minorEastAsia" w:hint="eastAsia"/>
          <w:b/>
        </w:rPr>
        <w:t>（三）实验安全操作规范</w:t>
      </w:r>
    </w:p>
    <w:p w14:paraId="36EBE699" w14:textId="77777777" w:rsidR="00F5289E" w:rsidRDefault="00C91173">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学生</w:t>
      </w:r>
      <w:r>
        <w:rPr>
          <w:rFonts w:asciiTheme="minorEastAsia" w:eastAsiaTheme="minorEastAsia" w:hAnsiTheme="minorEastAsia"/>
        </w:rPr>
        <w:t>严格遵守实验室安全管理规范，</w:t>
      </w:r>
      <w:r>
        <w:rPr>
          <w:rFonts w:asciiTheme="minorEastAsia" w:eastAsiaTheme="minorEastAsia" w:hAnsiTheme="minorEastAsia" w:hint="eastAsia"/>
        </w:rPr>
        <w:t>在</w:t>
      </w:r>
      <w:r>
        <w:rPr>
          <w:rFonts w:asciiTheme="minorEastAsia" w:eastAsiaTheme="minorEastAsia" w:hAnsiTheme="minorEastAsia"/>
        </w:rPr>
        <w:t>老师的监督下正确操作及使用相关仪器设备、化学试剂，严谨</w:t>
      </w:r>
      <w:r>
        <w:rPr>
          <w:rFonts w:asciiTheme="minorEastAsia" w:eastAsiaTheme="minorEastAsia" w:hAnsiTheme="minorEastAsia" w:hint="eastAsia"/>
        </w:rPr>
        <w:t>不规范</w:t>
      </w:r>
      <w:r>
        <w:rPr>
          <w:rFonts w:asciiTheme="minorEastAsia" w:eastAsiaTheme="minorEastAsia" w:hAnsiTheme="minorEastAsia"/>
        </w:rPr>
        <w:t>操作，禁止</w:t>
      </w:r>
      <w:r>
        <w:rPr>
          <w:rFonts w:asciiTheme="minorEastAsia" w:eastAsiaTheme="minorEastAsia" w:hAnsiTheme="minorEastAsia" w:hint="eastAsia"/>
        </w:rPr>
        <w:t>将</w:t>
      </w:r>
      <w:r>
        <w:rPr>
          <w:rFonts w:asciiTheme="minorEastAsia" w:eastAsiaTheme="minorEastAsia" w:hAnsiTheme="minorEastAsia"/>
        </w:rPr>
        <w:t>药品</w:t>
      </w:r>
      <w:r>
        <w:rPr>
          <w:rFonts w:asciiTheme="minorEastAsia" w:eastAsiaTheme="minorEastAsia" w:hAnsiTheme="minorEastAsia" w:hint="eastAsia"/>
        </w:rPr>
        <w:t>带出</w:t>
      </w:r>
      <w:r>
        <w:rPr>
          <w:rFonts w:asciiTheme="minorEastAsia" w:eastAsiaTheme="minorEastAsia" w:hAnsiTheme="minorEastAsia"/>
        </w:rPr>
        <w:t>实验室</w:t>
      </w:r>
      <w:r>
        <w:rPr>
          <w:rFonts w:asciiTheme="minorEastAsia" w:eastAsiaTheme="minorEastAsia" w:hAnsiTheme="minorEastAsia" w:hint="eastAsia"/>
        </w:rPr>
        <w:t>。</w:t>
      </w:r>
    </w:p>
    <w:p w14:paraId="12FA5247" w14:textId="77777777" w:rsidR="00F5289E" w:rsidRDefault="00C91173">
      <w:pPr>
        <w:snapToGrid w:val="0"/>
        <w:spacing w:afterLines="50" w:after="156" w:line="360" w:lineRule="auto"/>
        <w:rPr>
          <w:rFonts w:hAnsi="宋体"/>
          <w:b/>
          <w:bCs/>
          <w:szCs w:val="21"/>
        </w:rPr>
      </w:pPr>
      <w:r>
        <w:rPr>
          <w:rFonts w:hAnsi="宋体"/>
          <w:b/>
          <w:bCs/>
          <w:szCs w:val="21"/>
        </w:rPr>
        <w:t>（</w:t>
      </w:r>
      <w:r>
        <w:rPr>
          <w:rFonts w:hAnsi="宋体" w:hint="eastAsia"/>
          <w:b/>
          <w:bCs/>
          <w:szCs w:val="21"/>
        </w:rPr>
        <w:t>四</w:t>
      </w:r>
      <w:r>
        <w:rPr>
          <w:rFonts w:hAnsi="宋体"/>
          <w:b/>
          <w:bCs/>
          <w:szCs w:val="21"/>
        </w:rPr>
        <w:t>）实验项目名称与学时分配</w:t>
      </w:r>
    </w:p>
    <w:tbl>
      <w:tblPr>
        <w:tblStyle w:val="af6"/>
        <w:tblW w:w="0" w:type="auto"/>
        <w:jc w:val="center"/>
        <w:tblLook w:val="04A0" w:firstRow="1" w:lastRow="0" w:firstColumn="1" w:lastColumn="0" w:noHBand="0" w:noVBand="1"/>
      </w:tblPr>
      <w:tblGrid>
        <w:gridCol w:w="1357"/>
        <w:gridCol w:w="2911"/>
        <w:gridCol w:w="877"/>
        <w:gridCol w:w="1069"/>
        <w:gridCol w:w="1407"/>
        <w:gridCol w:w="1269"/>
      </w:tblGrid>
      <w:tr w:rsidR="00F5289E" w14:paraId="5A43247E" w14:textId="77777777">
        <w:trPr>
          <w:jc w:val="center"/>
        </w:trPr>
        <w:tc>
          <w:tcPr>
            <w:tcW w:w="904" w:type="dxa"/>
            <w:shd w:val="clear" w:color="auto" w:fill="EEECE1" w:themeFill="background2"/>
            <w:vAlign w:val="center"/>
          </w:tcPr>
          <w:p w14:paraId="28332757"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109" w:type="dxa"/>
            <w:shd w:val="clear" w:color="auto" w:fill="EEECE1" w:themeFill="background2"/>
            <w:vAlign w:val="center"/>
          </w:tcPr>
          <w:p w14:paraId="4D78FB43"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15" w:type="dxa"/>
            <w:shd w:val="clear" w:color="auto" w:fill="EEECE1" w:themeFill="background2"/>
            <w:vAlign w:val="center"/>
          </w:tcPr>
          <w:p w14:paraId="354C1E32"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22" w:type="dxa"/>
            <w:shd w:val="clear" w:color="auto" w:fill="EEECE1" w:themeFill="background2"/>
            <w:vAlign w:val="center"/>
          </w:tcPr>
          <w:p w14:paraId="442F2A5F"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87" w:type="dxa"/>
            <w:shd w:val="clear" w:color="auto" w:fill="EEECE1" w:themeFill="background2"/>
            <w:vAlign w:val="center"/>
          </w:tcPr>
          <w:p w14:paraId="60795FEB"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8" w:type="dxa"/>
            <w:shd w:val="clear" w:color="auto" w:fill="EEECE1" w:themeFill="background2"/>
            <w:vAlign w:val="center"/>
          </w:tcPr>
          <w:p w14:paraId="2B61994F"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1835E4D8" w14:textId="77777777">
        <w:trPr>
          <w:jc w:val="center"/>
        </w:trPr>
        <w:tc>
          <w:tcPr>
            <w:tcW w:w="904" w:type="dxa"/>
            <w:vAlign w:val="center"/>
          </w:tcPr>
          <w:p w14:paraId="5CDBE9D6" w14:textId="77777777" w:rsidR="00F5289E" w:rsidRDefault="00C91173">
            <w:pPr>
              <w:jc w:val="center"/>
              <w:rPr>
                <w:sz w:val="18"/>
                <w:szCs w:val="18"/>
              </w:rPr>
            </w:pPr>
            <w:r>
              <w:rPr>
                <w:rFonts w:eastAsiaTheme="minorEastAsia"/>
                <w:bCs/>
                <w:color w:val="000000" w:themeColor="text1"/>
                <w:szCs w:val="21"/>
              </w:rPr>
              <w:t>19011133h01</w:t>
            </w:r>
          </w:p>
        </w:tc>
        <w:tc>
          <w:tcPr>
            <w:tcW w:w="3109" w:type="dxa"/>
            <w:vAlign w:val="center"/>
          </w:tcPr>
          <w:p w14:paraId="7BA69E71" w14:textId="77777777" w:rsidR="00F5289E" w:rsidRDefault="00C91173">
            <w:pPr>
              <w:jc w:val="center"/>
              <w:rPr>
                <w:rFonts w:eastAsiaTheme="minorEastAsia"/>
                <w:sz w:val="18"/>
                <w:szCs w:val="18"/>
              </w:rPr>
            </w:pPr>
            <w:r>
              <w:rPr>
                <w:rFonts w:eastAsiaTheme="minorEastAsia" w:hAnsiTheme="minorEastAsia"/>
                <w:color w:val="000000" w:themeColor="text1"/>
                <w:sz w:val="18"/>
                <w:szCs w:val="18"/>
              </w:rPr>
              <w:t>无土栽培营养液的配制</w:t>
            </w:r>
          </w:p>
        </w:tc>
        <w:tc>
          <w:tcPr>
            <w:tcW w:w="915" w:type="dxa"/>
            <w:vAlign w:val="center"/>
          </w:tcPr>
          <w:p w14:paraId="42193DE0" w14:textId="77777777" w:rsidR="00F5289E" w:rsidRDefault="00C91173">
            <w:pPr>
              <w:jc w:val="center"/>
              <w:rPr>
                <w:sz w:val="18"/>
                <w:szCs w:val="18"/>
              </w:rPr>
            </w:pPr>
            <w:r>
              <w:rPr>
                <w:sz w:val="18"/>
                <w:szCs w:val="18"/>
              </w:rPr>
              <w:t>2</w:t>
            </w:r>
          </w:p>
        </w:tc>
        <w:tc>
          <w:tcPr>
            <w:tcW w:w="1122" w:type="dxa"/>
            <w:vAlign w:val="center"/>
          </w:tcPr>
          <w:p w14:paraId="5D6798B5" w14:textId="77777777" w:rsidR="00F5289E" w:rsidRDefault="00C91173">
            <w:pPr>
              <w:jc w:val="center"/>
              <w:rPr>
                <w:sz w:val="18"/>
                <w:szCs w:val="18"/>
              </w:rPr>
            </w:pPr>
            <w:r>
              <w:rPr>
                <w:sz w:val="18"/>
                <w:szCs w:val="18"/>
              </w:rPr>
              <w:t>基础型</w:t>
            </w:r>
          </w:p>
        </w:tc>
        <w:tc>
          <w:tcPr>
            <w:tcW w:w="1487" w:type="dxa"/>
            <w:vAlign w:val="center"/>
          </w:tcPr>
          <w:p w14:paraId="6A5A4BE4" w14:textId="77777777" w:rsidR="00F5289E" w:rsidRDefault="00C91173">
            <w:pPr>
              <w:jc w:val="center"/>
              <w:rPr>
                <w:sz w:val="18"/>
                <w:szCs w:val="18"/>
              </w:rPr>
            </w:pPr>
            <w:r>
              <w:rPr>
                <w:sz w:val="18"/>
                <w:szCs w:val="18"/>
              </w:rPr>
              <w:t>必做</w:t>
            </w:r>
          </w:p>
        </w:tc>
        <w:tc>
          <w:tcPr>
            <w:tcW w:w="1338" w:type="dxa"/>
          </w:tcPr>
          <w:p w14:paraId="251E5880" w14:textId="77777777" w:rsidR="00F5289E" w:rsidRDefault="00C91173">
            <w:pPr>
              <w:jc w:val="center"/>
              <w:rPr>
                <w:sz w:val="18"/>
                <w:szCs w:val="18"/>
              </w:rPr>
            </w:pPr>
            <w:r>
              <w:rPr>
                <w:sz w:val="18"/>
                <w:szCs w:val="18"/>
              </w:rPr>
              <w:t>6</w:t>
            </w:r>
          </w:p>
        </w:tc>
      </w:tr>
      <w:tr w:rsidR="00F5289E" w14:paraId="7F8306B5" w14:textId="77777777">
        <w:trPr>
          <w:jc w:val="center"/>
        </w:trPr>
        <w:tc>
          <w:tcPr>
            <w:tcW w:w="904" w:type="dxa"/>
            <w:vAlign w:val="center"/>
          </w:tcPr>
          <w:p w14:paraId="6698EABD" w14:textId="77777777" w:rsidR="00F5289E" w:rsidRDefault="00C91173">
            <w:pPr>
              <w:jc w:val="center"/>
              <w:rPr>
                <w:sz w:val="18"/>
                <w:szCs w:val="18"/>
              </w:rPr>
            </w:pPr>
            <w:r>
              <w:rPr>
                <w:rFonts w:eastAsiaTheme="minorEastAsia"/>
                <w:bCs/>
                <w:color w:val="000000" w:themeColor="text1"/>
                <w:szCs w:val="21"/>
              </w:rPr>
              <w:t>19011133h02</w:t>
            </w:r>
          </w:p>
        </w:tc>
        <w:tc>
          <w:tcPr>
            <w:tcW w:w="3109" w:type="dxa"/>
            <w:vAlign w:val="center"/>
          </w:tcPr>
          <w:p w14:paraId="13723E50" w14:textId="77777777" w:rsidR="00F5289E" w:rsidRDefault="00C91173">
            <w:pPr>
              <w:jc w:val="center"/>
              <w:rPr>
                <w:rFonts w:eastAsiaTheme="minorEastAsia"/>
                <w:sz w:val="18"/>
                <w:szCs w:val="18"/>
              </w:rPr>
            </w:pPr>
            <w:r>
              <w:rPr>
                <w:rFonts w:eastAsiaTheme="minorEastAsia" w:hAnsiTheme="minorEastAsia" w:hint="eastAsia"/>
                <w:color w:val="000000" w:themeColor="text1"/>
                <w:sz w:val="18"/>
                <w:szCs w:val="18"/>
              </w:rPr>
              <w:t>基质理化性质测定及无土育苗技术</w:t>
            </w:r>
          </w:p>
        </w:tc>
        <w:tc>
          <w:tcPr>
            <w:tcW w:w="915" w:type="dxa"/>
            <w:vAlign w:val="center"/>
          </w:tcPr>
          <w:p w14:paraId="20CD3AE3" w14:textId="77777777" w:rsidR="00F5289E" w:rsidRDefault="00C91173">
            <w:pPr>
              <w:jc w:val="center"/>
              <w:rPr>
                <w:sz w:val="18"/>
                <w:szCs w:val="18"/>
              </w:rPr>
            </w:pPr>
            <w:r>
              <w:rPr>
                <w:sz w:val="18"/>
                <w:szCs w:val="18"/>
              </w:rPr>
              <w:t>2</w:t>
            </w:r>
          </w:p>
        </w:tc>
        <w:tc>
          <w:tcPr>
            <w:tcW w:w="1122" w:type="dxa"/>
            <w:vAlign w:val="center"/>
          </w:tcPr>
          <w:p w14:paraId="7C58D64D" w14:textId="77777777" w:rsidR="00F5289E" w:rsidRDefault="00C91173">
            <w:pPr>
              <w:jc w:val="center"/>
              <w:rPr>
                <w:sz w:val="18"/>
                <w:szCs w:val="18"/>
              </w:rPr>
            </w:pPr>
            <w:r>
              <w:rPr>
                <w:sz w:val="18"/>
                <w:szCs w:val="18"/>
              </w:rPr>
              <w:t>基础型</w:t>
            </w:r>
          </w:p>
        </w:tc>
        <w:tc>
          <w:tcPr>
            <w:tcW w:w="1487" w:type="dxa"/>
            <w:vAlign w:val="center"/>
          </w:tcPr>
          <w:p w14:paraId="77223EE1" w14:textId="77777777" w:rsidR="00F5289E" w:rsidRDefault="00C91173">
            <w:pPr>
              <w:jc w:val="center"/>
              <w:rPr>
                <w:sz w:val="18"/>
                <w:szCs w:val="18"/>
              </w:rPr>
            </w:pPr>
            <w:r>
              <w:rPr>
                <w:sz w:val="18"/>
                <w:szCs w:val="18"/>
              </w:rPr>
              <w:t>必做</w:t>
            </w:r>
          </w:p>
        </w:tc>
        <w:tc>
          <w:tcPr>
            <w:tcW w:w="1338" w:type="dxa"/>
          </w:tcPr>
          <w:p w14:paraId="77D34821" w14:textId="77777777" w:rsidR="00F5289E" w:rsidRDefault="00C91173">
            <w:pPr>
              <w:jc w:val="center"/>
              <w:rPr>
                <w:sz w:val="18"/>
                <w:szCs w:val="18"/>
              </w:rPr>
            </w:pPr>
            <w:r>
              <w:rPr>
                <w:sz w:val="18"/>
                <w:szCs w:val="18"/>
              </w:rPr>
              <w:t>6</w:t>
            </w:r>
          </w:p>
        </w:tc>
      </w:tr>
      <w:tr w:rsidR="00F5289E" w14:paraId="3DD5D58E" w14:textId="77777777">
        <w:trPr>
          <w:jc w:val="center"/>
        </w:trPr>
        <w:tc>
          <w:tcPr>
            <w:tcW w:w="904" w:type="dxa"/>
            <w:vAlign w:val="center"/>
          </w:tcPr>
          <w:p w14:paraId="60A53D2C" w14:textId="77777777" w:rsidR="00F5289E" w:rsidRDefault="00C91173">
            <w:pPr>
              <w:jc w:val="center"/>
              <w:rPr>
                <w:rFonts w:eastAsiaTheme="minorEastAsia"/>
                <w:bCs/>
                <w:color w:val="000000" w:themeColor="text1"/>
                <w:szCs w:val="21"/>
              </w:rPr>
            </w:pPr>
            <w:r>
              <w:rPr>
                <w:rFonts w:eastAsiaTheme="minorEastAsia"/>
                <w:bCs/>
                <w:color w:val="000000" w:themeColor="text1"/>
                <w:szCs w:val="21"/>
              </w:rPr>
              <w:t>19011133h03</w:t>
            </w:r>
          </w:p>
        </w:tc>
        <w:tc>
          <w:tcPr>
            <w:tcW w:w="3109" w:type="dxa"/>
            <w:vAlign w:val="center"/>
          </w:tcPr>
          <w:p w14:paraId="3E289EB8" w14:textId="77777777" w:rsidR="00F5289E" w:rsidRDefault="00C91173">
            <w:pPr>
              <w:jc w:val="center"/>
              <w:rPr>
                <w:rFonts w:eastAsiaTheme="minorEastAsia" w:hAnsiTheme="minorEastAsia"/>
                <w:color w:val="000000" w:themeColor="text1"/>
                <w:sz w:val="18"/>
                <w:szCs w:val="18"/>
              </w:rPr>
            </w:pPr>
            <w:r>
              <w:rPr>
                <w:rFonts w:eastAsiaTheme="minorEastAsia" w:hAnsiTheme="minorEastAsia" w:hint="eastAsia"/>
                <w:color w:val="000000" w:themeColor="text1"/>
                <w:sz w:val="18"/>
                <w:szCs w:val="18"/>
              </w:rPr>
              <w:t>无土</w:t>
            </w:r>
            <w:r>
              <w:rPr>
                <w:rFonts w:eastAsiaTheme="minorEastAsia" w:hAnsiTheme="minorEastAsia"/>
                <w:color w:val="000000" w:themeColor="text1"/>
                <w:sz w:val="18"/>
                <w:szCs w:val="18"/>
              </w:rPr>
              <w:t>栽培装置设计及制作</w:t>
            </w:r>
          </w:p>
        </w:tc>
        <w:tc>
          <w:tcPr>
            <w:tcW w:w="915" w:type="dxa"/>
            <w:vAlign w:val="center"/>
          </w:tcPr>
          <w:p w14:paraId="375DDB9A" w14:textId="77777777" w:rsidR="00F5289E" w:rsidRDefault="00C91173">
            <w:pPr>
              <w:jc w:val="center"/>
              <w:rPr>
                <w:sz w:val="18"/>
                <w:szCs w:val="18"/>
              </w:rPr>
            </w:pPr>
            <w:r>
              <w:rPr>
                <w:sz w:val="18"/>
                <w:szCs w:val="18"/>
              </w:rPr>
              <w:t>4</w:t>
            </w:r>
          </w:p>
        </w:tc>
        <w:tc>
          <w:tcPr>
            <w:tcW w:w="1122" w:type="dxa"/>
            <w:vAlign w:val="center"/>
          </w:tcPr>
          <w:p w14:paraId="26BE65DC" w14:textId="77777777" w:rsidR="00F5289E" w:rsidRDefault="00C91173">
            <w:pPr>
              <w:jc w:val="center"/>
              <w:rPr>
                <w:sz w:val="18"/>
                <w:szCs w:val="18"/>
              </w:rPr>
            </w:pPr>
            <w:r>
              <w:rPr>
                <w:rFonts w:hint="eastAsia"/>
                <w:sz w:val="18"/>
                <w:szCs w:val="18"/>
              </w:rPr>
              <w:t>设计性</w:t>
            </w:r>
          </w:p>
        </w:tc>
        <w:tc>
          <w:tcPr>
            <w:tcW w:w="1487" w:type="dxa"/>
            <w:vAlign w:val="center"/>
          </w:tcPr>
          <w:p w14:paraId="71566443" w14:textId="77777777" w:rsidR="00F5289E" w:rsidRDefault="00C91173">
            <w:pPr>
              <w:jc w:val="center"/>
              <w:rPr>
                <w:sz w:val="18"/>
                <w:szCs w:val="18"/>
              </w:rPr>
            </w:pPr>
            <w:r>
              <w:rPr>
                <w:rFonts w:hint="eastAsia"/>
                <w:sz w:val="18"/>
                <w:szCs w:val="18"/>
              </w:rPr>
              <w:t>必做</w:t>
            </w:r>
          </w:p>
        </w:tc>
        <w:tc>
          <w:tcPr>
            <w:tcW w:w="1338" w:type="dxa"/>
          </w:tcPr>
          <w:p w14:paraId="1A515926" w14:textId="77777777" w:rsidR="00F5289E" w:rsidRDefault="00C91173">
            <w:pPr>
              <w:jc w:val="center"/>
              <w:rPr>
                <w:sz w:val="18"/>
                <w:szCs w:val="18"/>
              </w:rPr>
            </w:pPr>
            <w:r>
              <w:rPr>
                <w:rFonts w:hint="eastAsia"/>
                <w:sz w:val="18"/>
                <w:szCs w:val="18"/>
              </w:rPr>
              <w:t>6</w:t>
            </w:r>
          </w:p>
        </w:tc>
      </w:tr>
      <w:tr w:rsidR="00F5289E" w14:paraId="473E8D52" w14:textId="77777777">
        <w:trPr>
          <w:jc w:val="center"/>
        </w:trPr>
        <w:tc>
          <w:tcPr>
            <w:tcW w:w="904" w:type="dxa"/>
            <w:vAlign w:val="center"/>
          </w:tcPr>
          <w:p w14:paraId="4F6E7EC1" w14:textId="77777777" w:rsidR="00F5289E" w:rsidRDefault="00C91173">
            <w:pPr>
              <w:jc w:val="center"/>
              <w:rPr>
                <w:sz w:val="18"/>
                <w:szCs w:val="18"/>
              </w:rPr>
            </w:pPr>
            <w:r>
              <w:rPr>
                <w:rFonts w:eastAsiaTheme="minorEastAsia"/>
                <w:bCs/>
                <w:color w:val="000000" w:themeColor="text1"/>
                <w:szCs w:val="21"/>
              </w:rPr>
              <w:t>19011133h04</w:t>
            </w:r>
          </w:p>
        </w:tc>
        <w:tc>
          <w:tcPr>
            <w:tcW w:w="3109" w:type="dxa"/>
            <w:vAlign w:val="center"/>
          </w:tcPr>
          <w:p w14:paraId="5D01879B" w14:textId="77777777" w:rsidR="00F5289E" w:rsidRDefault="00C91173">
            <w:pPr>
              <w:jc w:val="center"/>
              <w:rPr>
                <w:rFonts w:eastAsiaTheme="minorEastAsia"/>
                <w:sz w:val="18"/>
                <w:szCs w:val="18"/>
              </w:rPr>
            </w:pPr>
            <w:r>
              <w:rPr>
                <w:rFonts w:eastAsiaTheme="minorEastAsia" w:hAnsiTheme="minorEastAsia"/>
                <w:bCs/>
                <w:color w:val="000000" w:themeColor="text1"/>
                <w:kern w:val="0"/>
                <w:sz w:val="18"/>
                <w:szCs w:val="18"/>
              </w:rPr>
              <w:t>水培</w:t>
            </w:r>
            <w:r>
              <w:rPr>
                <w:rFonts w:eastAsiaTheme="minorEastAsia" w:hAnsiTheme="minorEastAsia" w:hint="eastAsia"/>
                <w:bCs/>
                <w:color w:val="000000" w:themeColor="text1"/>
                <w:kern w:val="0"/>
                <w:sz w:val="18"/>
                <w:szCs w:val="18"/>
              </w:rPr>
              <w:t>综合</w:t>
            </w:r>
            <w:r>
              <w:rPr>
                <w:rFonts w:eastAsiaTheme="minorEastAsia" w:hAnsiTheme="minorEastAsia"/>
                <w:bCs/>
                <w:color w:val="000000" w:themeColor="text1"/>
                <w:kern w:val="0"/>
                <w:sz w:val="18"/>
                <w:szCs w:val="18"/>
              </w:rPr>
              <w:t>实验</w:t>
            </w:r>
          </w:p>
        </w:tc>
        <w:tc>
          <w:tcPr>
            <w:tcW w:w="915" w:type="dxa"/>
            <w:vAlign w:val="center"/>
          </w:tcPr>
          <w:p w14:paraId="1EBC28D1" w14:textId="77777777" w:rsidR="00F5289E" w:rsidRDefault="00C91173">
            <w:pPr>
              <w:jc w:val="center"/>
              <w:rPr>
                <w:sz w:val="18"/>
                <w:szCs w:val="18"/>
              </w:rPr>
            </w:pPr>
            <w:r>
              <w:rPr>
                <w:sz w:val="18"/>
                <w:szCs w:val="18"/>
              </w:rPr>
              <w:t>4</w:t>
            </w:r>
          </w:p>
        </w:tc>
        <w:tc>
          <w:tcPr>
            <w:tcW w:w="1122" w:type="dxa"/>
            <w:vAlign w:val="center"/>
          </w:tcPr>
          <w:p w14:paraId="337695CB" w14:textId="77777777" w:rsidR="00F5289E" w:rsidRDefault="00C91173">
            <w:pPr>
              <w:jc w:val="center"/>
              <w:rPr>
                <w:sz w:val="18"/>
                <w:szCs w:val="18"/>
              </w:rPr>
            </w:pPr>
            <w:r>
              <w:rPr>
                <w:sz w:val="18"/>
                <w:szCs w:val="18"/>
              </w:rPr>
              <w:t>综合型</w:t>
            </w:r>
          </w:p>
        </w:tc>
        <w:tc>
          <w:tcPr>
            <w:tcW w:w="1487" w:type="dxa"/>
            <w:vAlign w:val="center"/>
          </w:tcPr>
          <w:p w14:paraId="675D6B9A" w14:textId="77777777" w:rsidR="00F5289E" w:rsidRDefault="00C91173">
            <w:pPr>
              <w:jc w:val="center"/>
              <w:rPr>
                <w:sz w:val="18"/>
                <w:szCs w:val="18"/>
              </w:rPr>
            </w:pPr>
            <w:r>
              <w:rPr>
                <w:sz w:val="18"/>
                <w:szCs w:val="18"/>
              </w:rPr>
              <w:t>必做</w:t>
            </w:r>
          </w:p>
        </w:tc>
        <w:tc>
          <w:tcPr>
            <w:tcW w:w="1338" w:type="dxa"/>
          </w:tcPr>
          <w:p w14:paraId="05F5F181" w14:textId="77777777" w:rsidR="00F5289E" w:rsidRDefault="00C91173">
            <w:pPr>
              <w:jc w:val="center"/>
              <w:rPr>
                <w:sz w:val="18"/>
                <w:szCs w:val="18"/>
              </w:rPr>
            </w:pPr>
            <w:r>
              <w:rPr>
                <w:sz w:val="18"/>
                <w:szCs w:val="18"/>
              </w:rPr>
              <w:t>6</w:t>
            </w:r>
          </w:p>
        </w:tc>
      </w:tr>
    </w:tbl>
    <w:p w14:paraId="45C06A1D" w14:textId="77777777" w:rsidR="00F5289E" w:rsidRDefault="00F5289E">
      <w:pPr>
        <w:snapToGrid w:val="0"/>
        <w:spacing w:line="360" w:lineRule="auto"/>
        <w:rPr>
          <w:rFonts w:hAnsi="宋体"/>
          <w:b/>
          <w:bCs/>
          <w:szCs w:val="21"/>
        </w:rPr>
      </w:pPr>
    </w:p>
    <w:p w14:paraId="01B3C6E3" w14:textId="77777777" w:rsidR="00F5289E" w:rsidRDefault="00C91173">
      <w:pPr>
        <w:snapToGrid w:val="0"/>
        <w:spacing w:line="360" w:lineRule="auto"/>
        <w:rPr>
          <w:b/>
          <w:bCs/>
          <w:szCs w:val="21"/>
        </w:rPr>
      </w:pPr>
      <w:r>
        <w:rPr>
          <w:rFonts w:hAnsi="宋体"/>
          <w:b/>
          <w:bCs/>
          <w:szCs w:val="21"/>
        </w:rPr>
        <w:t>（</w:t>
      </w:r>
      <w:r>
        <w:rPr>
          <w:rFonts w:hAnsi="宋体" w:hint="eastAsia"/>
          <w:b/>
          <w:bCs/>
          <w:szCs w:val="21"/>
        </w:rPr>
        <w:t>五</w:t>
      </w:r>
      <w:r>
        <w:rPr>
          <w:rFonts w:hAnsi="宋体"/>
          <w:b/>
          <w:bCs/>
          <w:szCs w:val="21"/>
        </w:rPr>
        <w:t>）实验方式及基本要求</w:t>
      </w:r>
    </w:p>
    <w:p w14:paraId="68E1989A" w14:textId="77777777" w:rsidR="00F5289E" w:rsidRDefault="00C91173">
      <w:pPr>
        <w:pStyle w:val="a7"/>
        <w:spacing w:line="360" w:lineRule="auto"/>
        <w:rPr>
          <w:rFonts w:ascii="Times New Roman" w:eastAsiaTheme="minorEastAsia"/>
          <w:szCs w:val="21"/>
        </w:rPr>
      </w:pPr>
      <w:r>
        <w:rPr>
          <w:rFonts w:ascii="Times New Roman" w:eastAsiaTheme="minorEastAsia" w:hAnsiTheme="minorEastAsia"/>
          <w:szCs w:val="21"/>
        </w:rPr>
        <w:t>实验分组进行，要求学生在实验前预习，教师提问检查预习情况，实验中注意安全，认真操作，做好原始记录，课后一周内完成实验报告。</w:t>
      </w:r>
    </w:p>
    <w:p w14:paraId="31A8373F" w14:textId="77777777" w:rsidR="00F5289E" w:rsidRDefault="00C91173">
      <w:pPr>
        <w:snapToGrid w:val="0"/>
        <w:spacing w:line="360" w:lineRule="auto"/>
        <w:rPr>
          <w:b/>
          <w:szCs w:val="21"/>
        </w:rPr>
      </w:pPr>
      <w:r>
        <w:rPr>
          <w:b/>
          <w:szCs w:val="21"/>
        </w:rPr>
        <w:t xml:space="preserve"> (</w:t>
      </w:r>
      <w:r>
        <w:rPr>
          <w:rFonts w:hAnsi="宋体" w:hint="eastAsia"/>
          <w:b/>
          <w:szCs w:val="21"/>
        </w:rPr>
        <w:t>六</w:t>
      </w:r>
      <w:r>
        <w:rPr>
          <w:b/>
          <w:szCs w:val="21"/>
        </w:rPr>
        <w:t xml:space="preserve">) </w:t>
      </w:r>
      <w:r>
        <w:rPr>
          <w:rFonts w:hAnsi="宋体"/>
          <w:b/>
          <w:szCs w:val="21"/>
        </w:rPr>
        <w:t>实验内容安排</w:t>
      </w:r>
    </w:p>
    <w:p w14:paraId="1D5C3A90" w14:textId="77777777" w:rsidR="00F5289E" w:rsidRDefault="00C91173">
      <w:pPr>
        <w:pStyle w:val="af1"/>
        <w:snapToGrid w:val="0"/>
        <w:spacing w:before="0" w:beforeAutospacing="0" w:after="0" w:afterAutospacing="0" w:line="360" w:lineRule="auto"/>
        <w:rPr>
          <w:rFonts w:ascii="Times New Roman" w:eastAsiaTheme="minorEastAsia" w:hAnsi="Times New Roman" w:cs="Times New Roman"/>
          <w:sz w:val="21"/>
          <w:szCs w:val="21"/>
        </w:rPr>
      </w:pPr>
      <w:r>
        <w:rPr>
          <w:rFonts w:ascii="Times New Roman" w:cs="Times New Roman"/>
          <w:sz w:val="21"/>
          <w:szCs w:val="21"/>
        </w:rPr>
        <w:t>【实验</w:t>
      </w:r>
      <w:r>
        <w:rPr>
          <w:rFonts w:ascii="Times New Roman" w:eastAsiaTheme="minorEastAsia" w:cs="Times New Roman"/>
          <w:sz w:val="21"/>
          <w:szCs w:val="21"/>
        </w:rPr>
        <w:t>一</w:t>
      </w:r>
      <w:r>
        <w:rPr>
          <w:rFonts w:ascii="Times New Roman" w:cs="Times New Roman"/>
          <w:sz w:val="21"/>
          <w:szCs w:val="21"/>
        </w:rPr>
        <w:t>】</w:t>
      </w:r>
      <w:r>
        <w:rPr>
          <w:rFonts w:ascii="Times New Roman" w:eastAsiaTheme="minorEastAsia" w:cs="Times New Roman"/>
          <w:sz w:val="21"/>
          <w:szCs w:val="21"/>
        </w:rPr>
        <w:t>无土栽培营养液的配制</w:t>
      </w:r>
    </w:p>
    <w:p w14:paraId="763F7582" w14:textId="77777777" w:rsidR="00F5289E" w:rsidRDefault="00C91173">
      <w:pPr>
        <w:snapToGrid w:val="0"/>
        <w:spacing w:line="360" w:lineRule="auto"/>
        <w:ind w:firstLineChars="196" w:firstLine="413"/>
        <w:rPr>
          <w:szCs w:val="21"/>
        </w:rPr>
      </w:pPr>
      <w:r>
        <w:rPr>
          <w:b/>
          <w:szCs w:val="21"/>
        </w:rPr>
        <w:t>1.</w:t>
      </w:r>
      <w:r>
        <w:rPr>
          <w:b/>
          <w:szCs w:val="21"/>
        </w:rPr>
        <w:t>实验学时：</w:t>
      </w:r>
      <w:r>
        <w:rPr>
          <w:bCs/>
          <w:szCs w:val="21"/>
        </w:rPr>
        <w:t>2</w:t>
      </w:r>
    </w:p>
    <w:p w14:paraId="7B8BFC33" w14:textId="77777777" w:rsidR="00F5289E" w:rsidRDefault="00C91173">
      <w:pPr>
        <w:pStyle w:val="a7"/>
        <w:spacing w:line="360" w:lineRule="auto"/>
        <w:ind w:firstLine="422"/>
        <w:rPr>
          <w:rFonts w:ascii="Times New Roman"/>
        </w:rPr>
      </w:pPr>
      <w:r>
        <w:rPr>
          <w:rFonts w:ascii="Times New Roman"/>
          <w:b/>
          <w:szCs w:val="21"/>
        </w:rPr>
        <w:t>2.</w:t>
      </w:r>
      <w:r>
        <w:rPr>
          <w:rFonts w:ascii="Times New Roman"/>
          <w:b/>
          <w:szCs w:val="21"/>
        </w:rPr>
        <w:t>实验目的：</w:t>
      </w:r>
      <w:r>
        <w:rPr>
          <w:rFonts w:ascii="Times New Roman"/>
        </w:rPr>
        <w:t>营养液管理是无土栽培的关键性技术，营养液配置则是基础。本实验运用所学理</w:t>
      </w:r>
      <w:r>
        <w:rPr>
          <w:rFonts w:ascii="Times New Roman"/>
        </w:rPr>
        <w:lastRenderedPageBreak/>
        <w:t>论知识，通过具体操作，掌握一种常用营养液的配制方法。</w:t>
      </w:r>
    </w:p>
    <w:p w14:paraId="44573A05" w14:textId="77777777" w:rsidR="00F5289E" w:rsidRDefault="00C91173">
      <w:pPr>
        <w:pStyle w:val="a7"/>
        <w:spacing w:line="360" w:lineRule="auto"/>
        <w:ind w:firstLine="422"/>
        <w:rPr>
          <w:rFonts w:ascii="Times New Roman"/>
          <w:b/>
          <w:szCs w:val="21"/>
        </w:rPr>
      </w:pPr>
      <w:r>
        <w:rPr>
          <w:rFonts w:ascii="Times New Roman"/>
          <w:b/>
          <w:szCs w:val="21"/>
        </w:rPr>
        <w:t>3.</w:t>
      </w:r>
      <w:r>
        <w:rPr>
          <w:rFonts w:ascii="Times New Roman"/>
          <w:b/>
          <w:szCs w:val="21"/>
        </w:rPr>
        <w:t>实验内容：</w:t>
      </w:r>
    </w:p>
    <w:p w14:paraId="6159B7A4" w14:textId="77777777" w:rsidR="00F5289E" w:rsidRDefault="00C91173">
      <w:pPr>
        <w:spacing w:line="360" w:lineRule="auto"/>
        <w:ind w:firstLineChars="225" w:firstLine="473"/>
        <w:rPr>
          <w:szCs w:val="21"/>
        </w:rPr>
      </w:pPr>
      <w:r>
        <w:rPr>
          <w:szCs w:val="21"/>
        </w:rPr>
        <w:t>1</w:t>
      </w:r>
      <w:r>
        <w:rPr>
          <w:rFonts w:hAnsi="宋体"/>
          <w:szCs w:val="21"/>
        </w:rPr>
        <w:t>．母液（浓缩液）配制：分成</w:t>
      </w:r>
      <w:r>
        <w:rPr>
          <w:szCs w:val="21"/>
        </w:rPr>
        <w:t>A</w:t>
      </w:r>
      <w:r>
        <w:rPr>
          <w:rFonts w:hAnsi="宋体"/>
          <w:szCs w:val="21"/>
        </w:rPr>
        <w:t>、</w:t>
      </w:r>
      <w:r>
        <w:rPr>
          <w:szCs w:val="21"/>
        </w:rPr>
        <w:t>B</w:t>
      </w:r>
      <w:r>
        <w:rPr>
          <w:rFonts w:hAnsi="宋体"/>
          <w:szCs w:val="21"/>
        </w:rPr>
        <w:t>、</w:t>
      </w:r>
      <w:r>
        <w:rPr>
          <w:szCs w:val="21"/>
        </w:rPr>
        <w:t>C</w:t>
      </w:r>
      <w:r>
        <w:rPr>
          <w:rFonts w:hAnsi="宋体"/>
          <w:szCs w:val="21"/>
        </w:rPr>
        <w:t>三个母液，</w:t>
      </w:r>
      <w:r>
        <w:rPr>
          <w:szCs w:val="21"/>
        </w:rPr>
        <w:t>A</w:t>
      </w:r>
      <w:r>
        <w:rPr>
          <w:rFonts w:hAnsi="宋体"/>
          <w:szCs w:val="21"/>
        </w:rPr>
        <w:t>液包括</w:t>
      </w:r>
      <w:r>
        <w:rPr>
          <w:szCs w:val="21"/>
        </w:rPr>
        <w:t>Ca(NO</w:t>
      </w:r>
      <w:r>
        <w:rPr>
          <w:spacing w:val="-20"/>
          <w:szCs w:val="21"/>
          <w:vertAlign w:val="subscript"/>
        </w:rPr>
        <w:t>3</w:t>
      </w:r>
      <w:r>
        <w:rPr>
          <w:szCs w:val="21"/>
        </w:rPr>
        <w:t>)</w:t>
      </w:r>
      <w:r>
        <w:rPr>
          <w:spacing w:val="-20"/>
          <w:szCs w:val="21"/>
          <w:vertAlign w:val="subscript"/>
        </w:rPr>
        <w:t>2</w:t>
      </w:r>
      <w:r>
        <w:rPr>
          <w:szCs w:val="21"/>
        </w:rPr>
        <w:t>·4H</w:t>
      </w:r>
      <w:r>
        <w:rPr>
          <w:spacing w:val="-20"/>
          <w:szCs w:val="21"/>
          <w:vertAlign w:val="subscript"/>
        </w:rPr>
        <w:t>2</w:t>
      </w:r>
      <w:r>
        <w:rPr>
          <w:szCs w:val="21"/>
        </w:rPr>
        <w:t xml:space="preserve">O </w:t>
      </w:r>
      <w:r>
        <w:rPr>
          <w:rFonts w:hAnsi="宋体"/>
          <w:szCs w:val="21"/>
        </w:rPr>
        <w:t>和</w:t>
      </w:r>
      <w:r>
        <w:rPr>
          <w:szCs w:val="21"/>
        </w:rPr>
        <w:t>KNO</w:t>
      </w:r>
      <w:r>
        <w:rPr>
          <w:spacing w:val="-20"/>
          <w:szCs w:val="21"/>
          <w:vertAlign w:val="subscript"/>
        </w:rPr>
        <w:t>3</w:t>
      </w:r>
      <w:r>
        <w:rPr>
          <w:szCs w:val="21"/>
        </w:rPr>
        <w:t xml:space="preserve"> </w:t>
      </w:r>
      <w:r>
        <w:rPr>
          <w:rFonts w:hAnsi="宋体"/>
          <w:szCs w:val="21"/>
        </w:rPr>
        <w:t>，浓缩</w:t>
      </w:r>
      <w:r>
        <w:rPr>
          <w:szCs w:val="21"/>
        </w:rPr>
        <w:t>200</w:t>
      </w:r>
      <w:r>
        <w:rPr>
          <w:rFonts w:hAnsi="宋体"/>
          <w:szCs w:val="21"/>
        </w:rPr>
        <w:t>倍；</w:t>
      </w:r>
      <w:r>
        <w:rPr>
          <w:szCs w:val="21"/>
        </w:rPr>
        <w:t>B</w:t>
      </w:r>
      <w:r>
        <w:rPr>
          <w:rFonts w:hAnsi="宋体"/>
          <w:szCs w:val="21"/>
        </w:rPr>
        <w:t>液包括</w:t>
      </w:r>
      <w:r>
        <w:rPr>
          <w:szCs w:val="21"/>
        </w:rPr>
        <w:t>NH</w:t>
      </w:r>
      <w:r>
        <w:rPr>
          <w:spacing w:val="-20"/>
          <w:szCs w:val="21"/>
          <w:vertAlign w:val="subscript"/>
        </w:rPr>
        <w:t>4</w:t>
      </w:r>
      <w:r>
        <w:rPr>
          <w:szCs w:val="21"/>
        </w:rPr>
        <w:t>H</w:t>
      </w:r>
      <w:r>
        <w:rPr>
          <w:spacing w:val="-20"/>
          <w:szCs w:val="21"/>
          <w:vertAlign w:val="subscript"/>
        </w:rPr>
        <w:t>2</w:t>
      </w:r>
      <w:r>
        <w:rPr>
          <w:szCs w:val="21"/>
        </w:rPr>
        <w:t>PO</w:t>
      </w:r>
      <w:r>
        <w:rPr>
          <w:spacing w:val="-20"/>
          <w:szCs w:val="21"/>
          <w:vertAlign w:val="subscript"/>
        </w:rPr>
        <w:t>4</w:t>
      </w:r>
      <w:r>
        <w:rPr>
          <w:rFonts w:hAnsi="宋体"/>
          <w:szCs w:val="21"/>
        </w:rPr>
        <w:t>和</w:t>
      </w:r>
      <w:r>
        <w:rPr>
          <w:szCs w:val="21"/>
        </w:rPr>
        <w:t>MgSO</w:t>
      </w:r>
      <w:r>
        <w:rPr>
          <w:spacing w:val="-20"/>
          <w:szCs w:val="21"/>
          <w:vertAlign w:val="subscript"/>
        </w:rPr>
        <w:t>4</w:t>
      </w:r>
      <w:r>
        <w:rPr>
          <w:szCs w:val="21"/>
        </w:rPr>
        <w:t>·7H</w:t>
      </w:r>
      <w:r>
        <w:rPr>
          <w:spacing w:val="-20"/>
          <w:szCs w:val="21"/>
          <w:vertAlign w:val="subscript"/>
        </w:rPr>
        <w:t>2</w:t>
      </w:r>
      <w:r>
        <w:rPr>
          <w:szCs w:val="21"/>
        </w:rPr>
        <w:t xml:space="preserve">O </w:t>
      </w:r>
      <w:r>
        <w:rPr>
          <w:rFonts w:hAnsi="宋体"/>
          <w:szCs w:val="21"/>
        </w:rPr>
        <w:t>，浓缩</w:t>
      </w:r>
      <w:r>
        <w:rPr>
          <w:szCs w:val="21"/>
        </w:rPr>
        <w:t>200</w:t>
      </w:r>
      <w:r>
        <w:rPr>
          <w:rFonts w:hAnsi="宋体"/>
          <w:szCs w:val="21"/>
        </w:rPr>
        <w:t>倍；</w:t>
      </w:r>
      <w:r>
        <w:rPr>
          <w:szCs w:val="21"/>
        </w:rPr>
        <w:t>C</w:t>
      </w:r>
      <w:r>
        <w:rPr>
          <w:rFonts w:hAnsi="宋体"/>
          <w:szCs w:val="21"/>
        </w:rPr>
        <w:t>液包括</w:t>
      </w:r>
      <w:r>
        <w:rPr>
          <w:szCs w:val="21"/>
        </w:rPr>
        <w:t>Na</w:t>
      </w:r>
      <w:r>
        <w:rPr>
          <w:spacing w:val="-20"/>
          <w:szCs w:val="21"/>
          <w:vertAlign w:val="subscript"/>
        </w:rPr>
        <w:t>2</w:t>
      </w:r>
      <w:r>
        <w:rPr>
          <w:szCs w:val="21"/>
        </w:rPr>
        <w:t>Fe-EDTA</w:t>
      </w:r>
      <w:r>
        <w:rPr>
          <w:rFonts w:hAnsi="宋体"/>
          <w:szCs w:val="21"/>
        </w:rPr>
        <w:t>和各微量元素，浓缩</w:t>
      </w:r>
      <w:r>
        <w:rPr>
          <w:szCs w:val="21"/>
        </w:rPr>
        <w:t>1000</w:t>
      </w:r>
      <w:r>
        <w:rPr>
          <w:rFonts w:hAnsi="宋体"/>
          <w:szCs w:val="21"/>
        </w:rPr>
        <w:t>倍。</w:t>
      </w:r>
    </w:p>
    <w:p w14:paraId="49E70903" w14:textId="77777777" w:rsidR="00F5289E" w:rsidRDefault="00C91173">
      <w:pPr>
        <w:spacing w:line="360" w:lineRule="auto"/>
        <w:ind w:firstLineChars="225" w:firstLine="473"/>
        <w:rPr>
          <w:szCs w:val="21"/>
        </w:rPr>
      </w:pPr>
      <w:r>
        <w:rPr>
          <w:szCs w:val="21"/>
        </w:rPr>
        <w:t>2</w:t>
      </w:r>
      <w:r>
        <w:rPr>
          <w:rFonts w:hAnsi="宋体"/>
          <w:szCs w:val="21"/>
        </w:rPr>
        <w:t>．按园试配方要求计算各母液化合物用量：按上述浓度要求配制</w:t>
      </w:r>
      <w:r>
        <w:rPr>
          <w:szCs w:val="21"/>
        </w:rPr>
        <w:t>1000 ml</w:t>
      </w:r>
      <w:r>
        <w:rPr>
          <w:rFonts w:hAnsi="宋体"/>
          <w:szCs w:val="21"/>
        </w:rPr>
        <w:t>母液，计算各化合物用量为：</w:t>
      </w:r>
    </w:p>
    <w:p w14:paraId="3F518A49" w14:textId="77777777" w:rsidR="00F5289E" w:rsidRDefault="00C91173">
      <w:pPr>
        <w:spacing w:line="360" w:lineRule="auto"/>
        <w:ind w:firstLineChars="150" w:firstLine="315"/>
        <w:rPr>
          <w:spacing w:val="-20"/>
          <w:szCs w:val="21"/>
        </w:rPr>
      </w:pPr>
      <w:r>
        <w:rPr>
          <w:szCs w:val="21"/>
        </w:rPr>
        <w:t>A</w:t>
      </w:r>
      <w:r>
        <w:rPr>
          <w:rFonts w:hAnsi="宋体"/>
          <w:szCs w:val="21"/>
        </w:rPr>
        <w:t>液</w:t>
      </w:r>
      <w:r>
        <w:rPr>
          <w:szCs w:val="21"/>
        </w:rPr>
        <w:t xml:space="preserve">  </w:t>
      </w:r>
      <w:r>
        <w:rPr>
          <w:spacing w:val="-20"/>
          <w:szCs w:val="21"/>
        </w:rPr>
        <w:t>Ca(NO</w:t>
      </w:r>
      <w:r>
        <w:rPr>
          <w:spacing w:val="-20"/>
          <w:szCs w:val="21"/>
          <w:vertAlign w:val="subscript"/>
        </w:rPr>
        <w:t>3</w:t>
      </w:r>
      <w:r>
        <w:rPr>
          <w:spacing w:val="-20"/>
          <w:szCs w:val="21"/>
        </w:rPr>
        <w:t>)</w:t>
      </w:r>
      <w:r>
        <w:rPr>
          <w:spacing w:val="-20"/>
          <w:szCs w:val="21"/>
          <w:vertAlign w:val="subscript"/>
        </w:rPr>
        <w:t>2</w:t>
      </w:r>
      <w:r>
        <w:rPr>
          <w:spacing w:val="-20"/>
          <w:szCs w:val="21"/>
        </w:rPr>
        <w:t>·4</w:t>
      </w:r>
      <w:r>
        <w:rPr>
          <w:szCs w:val="21"/>
        </w:rPr>
        <w:t xml:space="preserve"> H</w:t>
      </w:r>
      <w:r>
        <w:rPr>
          <w:spacing w:val="-20"/>
          <w:szCs w:val="21"/>
          <w:vertAlign w:val="subscript"/>
        </w:rPr>
        <w:t>2</w:t>
      </w:r>
      <w:r>
        <w:rPr>
          <w:szCs w:val="21"/>
        </w:rPr>
        <w:t>O</w:t>
      </w:r>
      <w:r>
        <w:rPr>
          <w:spacing w:val="-20"/>
          <w:szCs w:val="21"/>
        </w:rPr>
        <w:t xml:space="preserve">   189.00g     KNO</w:t>
      </w:r>
      <w:r>
        <w:rPr>
          <w:spacing w:val="-20"/>
          <w:szCs w:val="21"/>
          <w:vertAlign w:val="subscript"/>
        </w:rPr>
        <w:t>3</w:t>
      </w:r>
      <w:r>
        <w:rPr>
          <w:spacing w:val="-20"/>
          <w:szCs w:val="21"/>
        </w:rPr>
        <w:t xml:space="preserve">  161.80g </w:t>
      </w:r>
    </w:p>
    <w:p w14:paraId="3632F653" w14:textId="77777777" w:rsidR="00F5289E" w:rsidRDefault="00C91173">
      <w:pPr>
        <w:spacing w:line="360" w:lineRule="auto"/>
        <w:ind w:firstLineChars="150" w:firstLine="315"/>
        <w:rPr>
          <w:szCs w:val="21"/>
        </w:rPr>
      </w:pPr>
      <w:r>
        <w:rPr>
          <w:szCs w:val="21"/>
        </w:rPr>
        <w:t>B</w:t>
      </w:r>
      <w:r>
        <w:rPr>
          <w:rFonts w:hAnsi="宋体"/>
          <w:szCs w:val="21"/>
        </w:rPr>
        <w:t>液</w:t>
      </w:r>
      <w:r>
        <w:rPr>
          <w:szCs w:val="21"/>
        </w:rPr>
        <w:t xml:space="preserve">  NH</w:t>
      </w:r>
      <w:r>
        <w:rPr>
          <w:spacing w:val="-20"/>
          <w:szCs w:val="21"/>
          <w:vertAlign w:val="subscript"/>
        </w:rPr>
        <w:t>4</w:t>
      </w:r>
      <w:r>
        <w:rPr>
          <w:szCs w:val="21"/>
        </w:rPr>
        <w:t>H</w:t>
      </w:r>
      <w:r>
        <w:rPr>
          <w:spacing w:val="-20"/>
          <w:szCs w:val="21"/>
          <w:vertAlign w:val="subscript"/>
        </w:rPr>
        <w:t>2</w:t>
      </w:r>
      <w:r>
        <w:rPr>
          <w:szCs w:val="21"/>
        </w:rPr>
        <w:t>PO</w:t>
      </w:r>
      <w:r>
        <w:rPr>
          <w:spacing w:val="-20"/>
          <w:szCs w:val="21"/>
          <w:vertAlign w:val="subscript"/>
        </w:rPr>
        <w:t>4</w:t>
      </w:r>
      <w:r>
        <w:rPr>
          <w:szCs w:val="21"/>
        </w:rPr>
        <w:t xml:space="preserve">  30.60g    MgSO</w:t>
      </w:r>
      <w:r>
        <w:rPr>
          <w:spacing w:val="-20"/>
          <w:szCs w:val="21"/>
          <w:vertAlign w:val="subscript"/>
        </w:rPr>
        <w:t>4</w:t>
      </w:r>
      <w:r>
        <w:rPr>
          <w:szCs w:val="21"/>
        </w:rPr>
        <w:t>·7H</w:t>
      </w:r>
      <w:r>
        <w:rPr>
          <w:spacing w:val="-20"/>
          <w:szCs w:val="21"/>
          <w:vertAlign w:val="subscript"/>
        </w:rPr>
        <w:t>2</w:t>
      </w:r>
      <w:r>
        <w:rPr>
          <w:szCs w:val="21"/>
        </w:rPr>
        <w:t>O    98.60g</w:t>
      </w:r>
    </w:p>
    <w:p w14:paraId="5C20A5E4" w14:textId="77777777" w:rsidR="00F5289E" w:rsidRDefault="00C91173">
      <w:pPr>
        <w:spacing w:line="360" w:lineRule="auto"/>
        <w:ind w:leftChars="171" w:left="989" w:hangingChars="300" w:hanging="630"/>
        <w:rPr>
          <w:szCs w:val="21"/>
        </w:rPr>
      </w:pPr>
      <w:r>
        <w:rPr>
          <w:szCs w:val="21"/>
        </w:rPr>
        <w:t>C</w:t>
      </w:r>
      <w:r>
        <w:rPr>
          <w:rFonts w:hAnsi="宋体"/>
          <w:szCs w:val="21"/>
        </w:rPr>
        <w:t>液</w:t>
      </w:r>
      <w:r>
        <w:rPr>
          <w:szCs w:val="21"/>
        </w:rPr>
        <w:t xml:space="preserve">  Na</w:t>
      </w:r>
      <w:r>
        <w:rPr>
          <w:spacing w:val="-20"/>
          <w:szCs w:val="21"/>
          <w:vertAlign w:val="subscript"/>
        </w:rPr>
        <w:t>2</w:t>
      </w:r>
      <w:r>
        <w:rPr>
          <w:szCs w:val="21"/>
        </w:rPr>
        <w:t>Fe-EDTA  20.0g    H</w:t>
      </w:r>
      <w:r>
        <w:rPr>
          <w:spacing w:val="-20"/>
          <w:szCs w:val="21"/>
          <w:vertAlign w:val="subscript"/>
        </w:rPr>
        <w:t>3</w:t>
      </w:r>
      <w:r>
        <w:rPr>
          <w:szCs w:val="21"/>
        </w:rPr>
        <w:t>BO</w:t>
      </w:r>
      <w:r>
        <w:rPr>
          <w:spacing w:val="-20"/>
          <w:szCs w:val="21"/>
          <w:vertAlign w:val="subscript"/>
        </w:rPr>
        <w:t>3</w:t>
      </w:r>
      <w:r>
        <w:rPr>
          <w:szCs w:val="21"/>
        </w:rPr>
        <w:t xml:space="preserve">  2.86g    MnSO</w:t>
      </w:r>
      <w:r>
        <w:rPr>
          <w:spacing w:val="-20"/>
          <w:szCs w:val="21"/>
          <w:vertAlign w:val="subscript"/>
        </w:rPr>
        <w:t>4</w:t>
      </w:r>
      <w:r>
        <w:rPr>
          <w:szCs w:val="21"/>
        </w:rPr>
        <w:t>·4H</w:t>
      </w:r>
      <w:r>
        <w:rPr>
          <w:spacing w:val="-20"/>
          <w:szCs w:val="21"/>
          <w:vertAlign w:val="subscript"/>
        </w:rPr>
        <w:t>2</w:t>
      </w:r>
      <w:r>
        <w:rPr>
          <w:szCs w:val="21"/>
        </w:rPr>
        <w:t xml:space="preserve">O  2.13g </w:t>
      </w:r>
    </w:p>
    <w:p w14:paraId="6B891090" w14:textId="77777777" w:rsidR="00F5289E" w:rsidRDefault="00C91173">
      <w:pPr>
        <w:spacing w:line="360" w:lineRule="auto"/>
        <w:ind w:leftChars="399" w:left="1048" w:hangingChars="100" w:hanging="210"/>
        <w:rPr>
          <w:szCs w:val="21"/>
        </w:rPr>
      </w:pPr>
      <w:r>
        <w:rPr>
          <w:szCs w:val="21"/>
        </w:rPr>
        <w:t xml:space="preserve"> ZnSO</w:t>
      </w:r>
      <w:r>
        <w:rPr>
          <w:spacing w:val="-20"/>
          <w:szCs w:val="21"/>
          <w:vertAlign w:val="subscript"/>
        </w:rPr>
        <w:t>4</w:t>
      </w:r>
      <w:r>
        <w:rPr>
          <w:szCs w:val="21"/>
        </w:rPr>
        <w:t>·7H</w:t>
      </w:r>
      <w:r>
        <w:rPr>
          <w:spacing w:val="-20"/>
          <w:szCs w:val="21"/>
          <w:vertAlign w:val="subscript"/>
        </w:rPr>
        <w:t>2</w:t>
      </w:r>
      <w:r>
        <w:rPr>
          <w:szCs w:val="21"/>
        </w:rPr>
        <w:t>O  0.22g   CuSO</w:t>
      </w:r>
      <w:r>
        <w:rPr>
          <w:spacing w:val="-20"/>
          <w:szCs w:val="21"/>
          <w:vertAlign w:val="subscript"/>
        </w:rPr>
        <w:t>4</w:t>
      </w:r>
      <w:r>
        <w:rPr>
          <w:szCs w:val="21"/>
        </w:rPr>
        <w:t>·5H</w:t>
      </w:r>
      <w:r>
        <w:rPr>
          <w:spacing w:val="-20"/>
          <w:szCs w:val="21"/>
          <w:vertAlign w:val="subscript"/>
        </w:rPr>
        <w:t>2</w:t>
      </w:r>
      <w:r>
        <w:rPr>
          <w:szCs w:val="21"/>
        </w:rPr>
        <w:t xml:space="preserve">O  0.08g   </w:t>
      </w:r>
      <w:r>
        <w:rPr>
          <w:rFonts w:hAnsi="宋体"/>
          <w:szCs w:val="21"/>
        </w:rPr>
        <w:t>（</w:t>
      </w:r>
      <w:r>
        <w:rPr>
          <w:szCs w:val="21"/>
        </w:rPr>
        <w:t>NH</w:t>
      </w:r>
      <w:r>
        <w:rPr>
          <w:spacing w:val="-20"/>
          <w:szCs w:val="21"/>
          <w:vertAlign w:val="subscript"/>
        </w:rPr>
        <w:t>4</w:t>
      </w:r>
      <w:r>
        <w:rPr>
          <w:rFonts w:hAnsi="宋体"/>
          <w:szCs w:val="21"/>
        </w:rPr>
        <w:t>）</w:t>
      </w:r>
      <w:r>
        <w:rPr>
          <w:szCs w:val="21"/>
        </w:rPr>
        <w:t>6M</w:t>
      </w:r>
      <w:r>
        <w:rPr>
          <w:spacing w:val="-20"/>
          <w:szCs w:val="21"/>
          <w:vertAlign w:val="subscript"/>
        </w:rPr>
        <w:t>O7</w:t>
      </w:r>
      <w:r>
        <w:rPr>
          <w:szCs w:val="21"/>
        </w:rPr>
        <w:t>O</w:t>
      </w:r>
      <w:r>
        <w:rPr>
          <w:spacing w:val="-20"/>
          <w:szCs w:val="21"/>
          <w:vertAlign w:val="subscript"/>
        </w:rPr>
        <w:t>24</w:t>
      </w:r>
      <w:r>
        <w:rPr>
          <w:szCs w:val="21"/>
        </w:rPr>
        <w:t>·4H</w:t>
      </w:r>
      <w:r>
        <w:rPr>
          <w:spacing w:val="-20"/>
          <w:szCs w:val="21"/>
          <w:vertAlign w:val="subscript"/>
        </w:rPr>
        <w:t>2</w:t>
      </w:r>
      <w:r>
        <w:rPr>
          <w:szCs w:val="21"/>
        </w:rPr>
        <w:t>O  0.02g</w:t>
      </w:r>
    </w:p>
    <w:p w14:paraId="044D645E" w14:textId="77777777" w:rsidR="00F5289E" w:rsidRDefault="00C91173">
      <w:pPr>
        <w:spacing w:line="360" w:lineRule="auto"/>
        <w:ind w:firstLineChars="150" w:firstLine="315"/>
        <w:rPr>
          <w:szCs w:val="21"/>
        </w:rPr>
      </w:pPr>
      <w:r>
        <w:rPr>
          <w:szCs w:val="21"/>
        </w:rPr>
        <w:t>Na</w:t>
      </w:r>
      <w:r>
        <w:rPr>
          <w:spacing w:val="-20"/>
          <w:szCs w:val="21"/>
          <w:vertAlign w:val="subscript"/>
        </w:rPr>
        <w:t>2</w:t>
      </w:r>
      <w:r>
        <w:rPr>
          <w:szCs w:val="21"/>
        </w:rPr>
        <w:t>Fe-EDTA</w:t>
      </w:r>
      <w:r>
        <w:rPr>
          <w:rFonts w:hAnsi="宋体"/>
          <w:szCs w:val="21"/>
        </w:rPr>
        <w:t>也可用</w:t>
      </w:r>
      <w:r>
        <w:rPr>
          <w:szCs w:val="21"/>
        </w:rPr>
        <w:t>FeSO</w:t>
      </w:r>
      <w:r>
        <w:rPr>
          <w:spacing w:val="-20"/>
          <w:szCs w:val="21"/>
          <w:vertAlign w:val="subscript"/>
        </w:rPr>
        <w:t>4</w:t>
      </w:r>
      <w:r>
        <w:rPr>
          <w:szCs w:val="21"/>
        </w:rPr>
        <w:t>·7H</w:t>
      </w:r>
      <w:r>
        <w:rPr>
          <w:spacing w:val="-20"/>
          <w:szCs w:val="21"/>
          <w:vertAlign w:val="subscript"/>
        </w:rPr>
        <w:t>2</w:t>
      </w:r>
      <w:r>
        <w:rPr>
          <w:szCs w:val="21"/>
        </w:rPr>
        <w:t>O</w:t>
      </w:r>
      <w:r>
        <w:rPr>
          <w:rFonts w:hAnsi="宋体"/>
          <w:szCs w:val="21"/>
        </w:rPr>
        <w:t>和</w:t>
      </w:r>
      <w:r>
        <w:rPr>
          <w:szCs w:val="21"/>
        </w:rPr>
        <w:t>Na</w:t>
      </w:r>
      <w:r>
        <w:rPr>
          <w:spacing w:val="-20"/>
          <w:szCs w:val="21"/>
          <w:vertAlign w:val="subscript"/>
        </w:rPr>
        <w:t>2</w:t>
      </w:r>
      <w:r>
        <w:rPr>
          <w:szCs w:val="21"/>
        </w:rPr>
        <w:t>EDTA</w:t>
      </w:r>
      <w:r>
        <w:rPr>
          <w:rFonts w:hAnsi="宋体"/>
          <w:szCs w:val="21"/>
        </w:rPr>
        <w:t>自制代替。方法是按</w:t>
      </w:r>
      <w:r>
        <w:rPr>
          <w:szCs w:val="21"/>
        </w:rPr>
        <w:t>1000</w:t>
      </w:r>
      <w:r>
        <w:rPr>
          <w:rFonts w:hAnsi="宋体"/>
          <w:szCs w:val="21"/>
        </w:rPr>
        <w:t>倍母液取</w:t>
      </w:r>
      <w:r>
        <w:rPr>
          <w:szCs w:val="21"/>
        </w:rPr>
        <w:t>FeSO</w:t>
      </w:r>
      <w:r>
        <w:rPr>
          <w:spacing w:val="-20"/>
          <w:szCs w:val="21"/>
          <w:vertAlign w:val="subscript"/>
        </w:rPr>
        <w:t>4</w:t>
      </w:r>
      <w:r>
        <w:rPr>
          <w:szCs w:val="21"/>
        </w:rPr>
        <w:t>·7H</w:t>
      </w:r>
      <w:r>
        <w:rPr>
          <w:spacing w:val="-20"/>
          <w:szCs w:val="21"/>
          <w:vertAlign w:val="subscript"/>
        </w:rPr>
        <w:t>2</w:t>
      </w:r>
      <w:r>
        <w:rPr>
          <w:szCs w:val="21"/>
        </w:rPr>
        <w:t>O 13.9g</w:t>
      </w:r>
      <w:r>
        <w:rPr>
          <w:rFonts w:hAnsi="宋体"/>
          <w:szCs w:val="21"/>
        </w:rPr>
        <w:t>与</w:t>
      </w:r>
      <w:r>
        <w:rPr>
          <w:szCs w:val="21"/>
        </w:rPr>
        <w:t>Na</w:t>
      </w:r>
      <w:r>
        <w:rPr>
          <w:spacing w:val="-20"/>
          <w:szCs w:val="21"/>
          <w:vertAlign w:val="subscript"/>
        </w:rPr>
        <w:t>2</w:t>
      </w:r>
      <w:r>
        <w:rPr>
          <w:szCs w:val="21"/>
        </w:rPr>
        <w:t>EDTA 18.6g</w:t>
      </w:r>
      <w:r>
        <w:rPr>
          <w:rFonts w:hAnsi="宋体"/>
          <w:szCs w:val="21"/>
        </w:rPr>
        <w:t>混容即可。</w:t>
      </w:r>
    </w:p>
    <w:p w14:paraId="28102DF6" w14:textId="77777777" w:rsidR="00F5289E" w:rsidRDefault="00C91173">
      <w:pPr>
        <w:spacing w:line="360" w:lineRule="auto"/>
        <w:ind w:firstLineChars="225" w:firstLine="473"/>
        <w:rPr>
          <w:szCs w:val="21"/>
        </w:rPr>
      </w:pPr>
      <w:r>
        <w:rPr>
          <w:szCs w:val="21"/>
        </w:rPr>
        <w:t>3</w:t>
      </w:r>
      <w:r>
        <w:rPr>
          <w:rFonts w:hAnsi="宋体"/>
          <w:szCs w:val="21"/>
        </w:rPr>
        <w:t>．母液的配制：按上述计算结果，准确称取各化合物用量，按</w:t>
      </w:r>
      <w:r>
        <w:rPr>
          <w:szCs w:val="21"/>
        </w:rPr>
        <w:t>A</w:t>
      </w:r>
      <w:r>
        <w:rPr>
          <w:rFonts w:hAnsi="宋体"/>
          <w:szCs w:val="21"/>
        </w:rPr>
        <w:t>、</w:t>
      </w:r>
      <w:r>
        <w:rPr>
          <w:szCs w:val="21"/>
        </w:rPr>
        <w:t>B</w:t>
      </w:r>
      <w:r>
        <w:rPr>
          <w:rFonts w:hAnsi="宋体"/>
          <w:szCs w:val="21"/>
        </w:rPr>
        <w:t>、</w:t>
      </w:r>
      <w:r>
        <w:rPr>
          <w:szCs w:val="21"/>
        </w:rPr>
        <w:t>C</w:t>
      </w:r>
      <w:r>
        <w:rPr>
          <w:rFonts w:hAnsi="宋体"/>
          <w:szCs w:val="21"/>
        </w:rPr>
        <w:t>种类分别溶解，并定容至</w:t>
      </w:r>
      <w:r>
        <w:rPr>
          <w:szCs w:val="21"/>
        </w:rPr>
        <w:t>1000ml</w:t>
      </w:r>
      <w:r>
        <w:rPr>
          <w:rFonts w:hAnsi="宋体"/>
          <w:szCs w:val="21"/>
        </w:rPr>
        <w:t>，然后装入棕色瓶，并贴上标签，注明</w:t>
      </w:r>
      <w:r>
        <w:rPr>
          <w:szCs w:val="21"/>
        </w:rPr>
        <w:t>A</w:t>
      </w:r>
      <w:r>
        <w:rPr>
          <w:rFonts w:hAnsi="宋体"/>
          <w:szCs w:val="21"/>
        </w:rPr>
        <w:t>、</w:t>
      </w:r>
      <w:r>
        <w:rPr>
          <w:szCs w:val="21"/>
        </w:rPr>
        <w:t>B</w:t>
      </w:r>
      <w:r>
        <w:rPr>
          <w:rFonts w:hAnsi="宋体"/>
          <w:szCs w:val="21"/>
        </w:rPr>
        <w:t>、</w:t>
      </w:r>
      <w:r>
        <w:rPr>
          <w:szCs w:val="21"/>
        </w:rPr>
        <w:t>C</w:t>
      </w:r>
      <w:r>
        <w:rPr>
          <w:rFonts w:hAnsi="宋体"/>
          <w:szCs w:val="21"/>
        </w:rPr>
        <w:t>母液。</w:t>
      </w:r>
    </w:p>
    <w:p w14:paraId="0FBFF89B" w14:textId="77777777" w:rsidR="00F5289E" w:rsidRDefault="00C91173">
      <w:pPr>
        <w:spacing w:line="360" w:lineRule="auto"/>
        <w:ind w:firstLineChars="225" w:firstLine="473"/>
        <w:rPr>
          <w:szCs w:val="21"/>
        </w:rPr>
      </w:pPr>
      <w:r>
        <w:rPr>
          <w:szCs w:val="21"/>
        </w:rPr>
        <w:t>4</w:t>
      </w:r>
      <w:r>
        <w:rPr>
          <w:rFonts w:hAnsi="宋体"/>
          <w:szCs w:val="21"/>
        </w:rPr>
        <w:t>．工作营养液的配制：用上述母液配制</w:t>
      </w:r>
      <w:r>
        <w:rPr>
          <w:szCs w:val="21"/>
        </w:rPr>
        <w:t>50 L</w:t>
      </w:r>
      <w:r>
        <w:rPr>
          <w:rFonts w:hAnsi="宋体"/>
          <w:szCs w:val="21"/>
        </w:rPr>
        <w:t>的工作营养液。分别量取</w:t>
      </w:r>
      <w:r>
        <w:rPr>
          <w:szCs w:val="21"/>
        </w:rPr>
        <w:t>A</w:t>
      </w:r>
      <w:r>
        <w:rPr>
          <w:rFonts w:hAnsi="宋体"/>
          <w:szCs w:val="21"/>
        </w:rPr>
        <w:t>母液和</w:t>
      </w:r>
      <w:r>
        <w:rPr>
          <w:szCs w:val="21"/>
        </w:rPr>
        <w:t>B</w:t>
      </w:r>
      <w:r>
        <w:rPr>
          <w:rFonts w:hAnsi="宋体"/>
          <w:szCs w:val="21"/>
        </w:rPr>
        <w:t>母液各</w:t>
      </w:r>
      <w:r>
        <w:rPr>
          <w:szCs w:val="21"/>
        </w:rPr>
        <w:t>0.25 L</w:t>
      </w:r>
      <w:r>
        <w:rPr>
          <w:rFonts w:hAnsi="宋体"/>
          <w:szCs w:val="21"/>
        </w:rPr>
        <w:t>、</w:t>
      </w:r>
      <w:r>
        <w:rPr>
          <w:szCs w:val="21"/>
        </w:rPr>
        <w:t>C</w:t>
      </w:r>
      <w:r>
        <w:rPr>
          <w:rFonts w:hAnsi="宋体"/>
          <w:szCs w:val="21"/>
        </w:rPr>
        <w:t>母液</w:t>
      </w:r>
      <w:r>
        <w:rPr>
          <w:szCs w:val="21"/>
        </w:rPr>
        <w:t>0.05 L</w:t>
      </w:r>
      <w:r>
        <w:rPr>
          <w:rFonts w:hAnsi="宋体"/>
          <w:szCs w:val="21"/>
        </w:rPr>
        <w:t>，在加入各母液的过程中，务必防止出现沉淀。方法如下：①</w:t>
      </w:r>
      <w:r>
        <w:rPr>
          <w:szCs w:val="21"/>
        </w:rPr>
        <w:t xml:space="preserve"> </w:t>
      </w:r>
      <w:r>
        <w:rPr>
          <w:rFonts w:hAnsi="宋体"/>
          <w:szCs w:val="21"/>
        </w:rPr>
        <w:t>在贮液池内先放入相当于预配工作营养液体积</w:t>
      </w:r>
      <w:r>
        <w:rPr>
          <w:szCs w:val="21"/>
        </w:rPr>
        <w:t>40%</w:t>
      </w:r>
      <w:r>
        <w:rPr>
          <w:rFonts w:hAnsi="宋体"/>
          <w:szCs w:val="21"/>
        </w:rPr>
        <w:t>的水量，即</w:t>
      </w:r>
      <w:r>
        <w:rPr>
          <w:szCs w:val="21"/>
        </w:rPr>
        <w:t>20 L</w:t>
      </w:r>
      <w:r>
        <w:rPr>
          <w:rFonts w:hAnsi="宋体"/>
          <w:szCs w:val="21"/>
        </w:rPr>
        <w:t>水，再将量好的</w:t>
      </w:r>
      <w:r>
        <w:rPr>
          <w:szCs w:val="21"/>
        </w:rPr>
        <w:t>A</w:t>
      </w:r>
      <w:r>
        <w:rPr>
          <w:rFonts w:hAnsi="宋体"/>
          <w:szCs w:val="21"/>
        </w:rPr>
        <w:t>母液倒入其中。②</w:t>
      </w:r>
      <w:r>
        <w:rPr>
          <w:szCs w:val="21"/>
        </w:rPr>
        <w:t xml:space="preserve"> </w:t>
      </w:r>
      <w:r>
        <w:rPr>
          <w:rFonts w:hAnsi="宋体"/>
          <w:szCs w:val="21"/>
        </w:rPr>
        <w:t>将量好的</w:t>
      </w:r>
      <w:r>
        <w:rPr>
          <w:szCs w:val="21"/>
        </w:rPr>
        <w:t>B</w:t>
      </w:r>
      <w:r>
        <w:rPr>
          <w:rFonts w:hAnsi="宋体"/>
          <w:szCs w:val="21"/>
        </w:rPr>
        <w:t>母液慢慢倒入其中，并不断加水稀释，至达到总水量的</w:t>
      </w:r>
      <w:r>
        <w:rPr>
          <w:szCs w:val="21"/>
        </w:rPr>
        <w:t>80%</w:t>
      </w:r>
      <w:r>
        <w:rPr>
          <w:rFonts w:hAnsi="宋体"/>
          <w:szCs w:val="21"/>
        </w:rPr>
        <w:t>为止。③</w:t>
      </w:r>
      <w:r>
        <w:rPr>
          <w:szCs w:val="21"/>
        </w:rPr>
        <w:t xml:space="preserve"> </w:t>
      </w:r>
      <w:r>
        <w:rPr>
          <w:rFonts w:hAnsi="宋体"/>
          <w:szCs w:val="21"/>
        </w:rPr>
        <w:t>将</w:t>
      </w:r>
      <w:r>
        <w:rPr>
          <w:szCs w:val="21"/>
        </w:rPr>
        <w:t>C</w:t>
      </w:r>
      <w:r>
        <w:rPr>
          <w:rFonts w:hAnsi="宋体"/>
          <w:szCs w:val="21"/>
        </w:rPr>
        <w:t>母液按量加入其中。然后加足水量并不断搅拌。</w:t>
      </w:r>
    </w:p>
    <w:p w14:paraId="52B11BAA" w14:textId="77777777" w:rsidR="00F5289E" w:rsidRDefault="00C91173">
      <w:pPr>
        <w:pStyle w:val="af1"/>
        <w:snapToGrid w:val="0"/>
        <w:spacing w:before="0" w:beforeAutospacing="0" w:after="0" w:afterAutospacing="0" w:line="360" w:lineRule="auto"/>
        <w:ind w:firstLineChars="196" w:firstLine="413"/>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4.</w:t>
      </w:r>
      <w:r>
        <w:rPr>
          <w:rFonts w:ascii="Times New Roman" w:eastAsiaTheme="minorEastAsia" w:hAnsi="Times New Roman" w:cs="Times New Roman"/>
          <w:b/>
          <w:sz w:val="21"/>
          <w:szCs w:val="21"/>
        </w:rPr>
        <w:t>实验要求：</w:t>
      </w:r>
    </w:p>
    <w:p w14:paraId="6F7F1BED" w14:textId="77777777" w:rsidR="00F5289E" w:rsidRDefault="00C91173">
      <w:pPr>
        <w:spacing w:line="360" w:lineRule="auto"/>
        <w:ind w:firstLineChars="100" w:firstLine="210"/>
      </w:pPr>
      <w:r>
        <w:rPr>
          <w:rFonts w:hAnsi="宋体"/>
        </w:rPr>
        <w:t>（</w:t>
      </w:r>
      <w:r>
        <w:t>1</w:t>
      </w:r>
      <w:r>
        <w:rPr>
          <w:rFonts w:hAnsi="宋体"/>
        </w:rPr>
        <w:t>）根据营养液配方计算所需各种化合物的用量。</w:t>
      </w:r>
    </w:p>
    <w:p w14:paraId="7A5F44C3" w14:textId="77777777" w:rsidR="00F5289E" w:rsidRDefault="00C91173">
      <w:pPr>
        <w:spacing w:line="360" w:lineRule="auto"/>
        <w:ind w:firstLineChars="100" w:firstLine="210"/>
      </w:pPr>
      <w:r>
        <w:rPr>
          <w:rFonts w:hAnsi="宋体"/>
        </w:rPr>
        <w:t>（</w:t>
      </w:r>
      <w:r>
        <w:t>2</w:t>
      </w:r>
      <w:r>
        <w:rPr>
          <w:rFonts w:hAnsi="宋体"/>
        </w:rPr>
        <w:t>）按操作规程进行营养液的配制。</w:t>
      </w:r>
    </w:p>
    <w:p w14:paraId="33DDDBCF" w14:textId="77777777" w:rsidR="00F5289E" w:rsidRDefault="00C91173">
      <w:pPr>
        <w:pStyle w:val="af1"/>
        <w:snapToGrid w:val="0"/>
        <w:spacing w:before="0" w:beforeAutospacing="0" w:after="0" w:afterAutospacing="0" w:line="360" w:lineRule="auto"/>
        <w:ind w:firstLineChars="196" w:firstLine="413"/>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5.</w:t>
      </w:r>
      <w:r>
        <w:rPr>
          <w:rFonts w:ascii="Times New Roman" w:eastAsiaTheme="minorEastAsia" w:hAnsi="Times New Roman" w:cs="Times New Roman"/>
          <w:b/>
          <w:sz w:val="21"/>
          <w:szCs w:val="21"/>
        </w:rPr>
        <w:t>实验设备及器材：</w:t>
      </w:r>
    </w:p>
    <w:p w14:paraId="61466E7C" w14:textId="77777777" w:rsidR="00F5289E" w:rsidRDefault="00C91173">
      <w:pPr>
        <w:spacing w:line="360" w:lineRule="auto"/>
        <w:ind w:firstLineChars="225" w:firstLine="473"/>
        <w:rPr>
          <w:szCs w:val="21"/>
        </w:rPr>
      </w:pPr>
      <w:r>
        <w:rPr>
          <w:szCs w:val="21"/>
        </w:rPr>
        <w:t>1</w:t>
      </w:r>
      <w:r>
        <w:rPr>
          <w:rFonts w:hAnsi="宋体"/>
          <w:szCs w:val="21"/>
        </w:rPr>
        <w:t>．材料：以日本园试通用配方为例，准备下列大量和微量元素。</w:t>
      </w:r>
    </w:p>
    <w:p w14:paraId="66098687" w14:textId="77777777" w:rsidR="00F5289E" w:rsidRDefault="00C91173">
      <w:pPr>
        <w:spacing w:line="360" w:lineRule="auto"/>
        <w:ind w:firstLineChars="225" w:firstLine="473"/>
        <w:rPr>
          <w:szCs w:val="21"/>
        </w:rPr>
      </w:pPr>
      <w:r>
        <w:rPr>
          <w:rFonts w:hAnsi="宋体"/>
          <w:szCs w:val="21"/>
        </w:rPr>
        <w:t>（</w:t>
      </w:r>
      <w:r>
        <w:rPr>
          <w:szCs w:val="21"/>
        </w:rPr>
        <w:t>1</w:t>
      </w:r>
      <w:r>
        <w:rPr>
          <w:rFonts w:hAnsi="宋体"/>
          <w:szCs w:val="21"/>
        </w:rPr>
        <w:t>）</w:t>
      </w:r>
      <w:r>
        <w:rPr>
          <w:szCs w:val="21"/>
        </w:rPr>
        <w:t xml:space="preserve"> </w:t>
      </w:r>
      <w:r>
        <w:rPr>
          <w:rFonts w:hAnsi="宋体"/>
          <w:szCs w:val="21"/>
        </w:rPr>
        <w:t>大量元素</w:t>
      </w:r>
      <w:r>
        <w:rPr>
          <w:szCs w:val="21"/>
        </w:rPr>
        <w:t xml:space="preserve">  Ca(NO</w:t>
      </w:r>
      <w:r>
        <w:rPr>
          <w:szCs w:val="21"/>
          <w:vertAlign w:val="subscript"/>
        </w:rPr>
        <w:t>3</w:t>
      </w:r>
      <w:r>
        <w:rPr>
          <w:szCs w:val="21"/>
        </w:rPr>
        <w:t>)</w:t>
      </w:r>
      <w:r>
        <w:rPr>
          <w:szCs w:val="21"/>
          <w:vertAlign w:val="subscript"/>
        </w:rPr>
        <w:t>2</w:t>
      </w:r>
      <w:r>
        <w:rPr>
          <w:szCs w:val="21"/>
        </w:rPr>
        <w:t>·4H</w:t>
      </w:r>
      <w:r>
        <w:rPr>
          <w:szCs w:val="21"/>
          <w:vertAlign w:val="subscript"/>
        </w:rPr>
        <w:t>2</w:t>
      </w:r>
      <w:r>
        <w:rPr>
          <w:szCs w:val="21"/>
        </w:rPr>
        <w:t>O</w:t>
      </w:r>
      <w:r>
        <w:rPr>
          <w:rFonts w:hAnsi="宋体"/>
          <w:szCs w:val="21"/>
        </w:rPr>
        <w:t>、</w:t>
      </w:r>
      <w:r>
        <w:rPr>
          <w:szCs w:val="21"/>
        </w:rPr>
        <w:t>KNO</w:t>
      </w:r>
      <w:r>
        <w:rPr>
          <w:szCs w:val="21"/>
          <w:vertAlign w:val="subscript"/>
        </w:rPr>
        <w:t>3</w:t>
      </w:r>
      <w:r>
        <w:rPr>
          <w:rFonts w:hAnsi="宋体"/>
          <w:szCs w:val="21"/>
        </w:rPr>
        <w:t>、</w:t>
      </w:r>
      <w:r>
        <w:rPr>
          <w:szCs w:val="21"/>
        </w:rPr>
        <w:t>NH</w:t>
      </w:r>
      <w:r>
        <w:rPr>
          <w:szCs w:val="21"/>
          <w:vertAlign w:val="subscript"/>
        </w:rPr>
        <w:t>4</w:t>
      </w:r>
      <w:r>
        <w:rPr>
          <w:szCs w:val="21"/>
        </w:rPr>
        <w:t>H</w:t>
      </w:r>
      <w:r>
        <w:rPr>
          <w:szCs w:val="21"/>
          <w:vertAlign w:val="subscript"/>
        </w:rPr>
        <w:t>2</w:t>
      </w:r>
      <w:r>
        <w:rPr>
          <w:szCs w:val="21"/>
        </w:rPr>
        <w:t>PO</w:t>
      </w:r>
      <w:r>
        <w:rPr>
          <w:szCs w:val="21"/>
          <w:vertAlign w:val="subscript"/>
        </w:rPr>
        <w:t>4</w:t>
      </w:r>
      <w:r>
        <w:rPr>
          <w:rFonts w:hAnsi="宋体"/>
          <w:szCs w:val="21"/>
        </w:rPr>
        <w:t>、</w:t>
      </w:r>
      <w:r>
        <w:rPr>
          <w:szCs w:val="21"/>
        </w:rPr>
        <w:t>MgSO</w:t>
      </w:r>
      <w:r>
        <w:rPr>
          <w:szCs w:val="21"/>
          <w:vertAlign w:val="subscript"/>
        </w:rPr>
        <w:t>4</w:t>
      </w:r>
      <w:r>
        <w:rPr>
          <w:szCs w:val="21"/>
        </w:rPr>
        <w:t>·7H</w:t>
      </w:r>
      <w:r>
        <w:rPr>
          <w:szCs w:val="21"/>
          <w:vertAlign w:val="subscript"/>
        </w:rPr>
        <w:t>2</w:t>
      </w:r>
      <w:r>
        <w:rPr>
          <w:szCs w:val="21"/>
        </w:rPr>
        <w:t>O</w:t>
      </w:r>
    </w:p>
    <w:p w14:paraId="167AD012" w14:textId="77777777" w:rsidR="00F5289E" w:rsidRDefault="00C91173">
      <w:pPr>
        <w:spacing w:line="360" w:lineRule="auto"/>
        <w:ind w:firstLineChars="225" w:firstLine="473"/>
        <w:rPr>
          <w:szCs w:val="21"/>
        </w:rPr>
      </w:pPr>
      <w:r>
        <w:rPr>
          <w:rFonts w:hAnsi="宋体"/>
          <w:szCs w:val="21"/>
        </w:rPr>
        <w:t>（</w:t>
      </w:r>
      <w:r>
        <w:rPr>
          <w:szCs w:val="21"/>
        </w:rPr>
        <w:t>2</w:t>
      </w:r>
      <w:r>
        <w:rPr>
          <w:rFonts w:hAnsi="宋体"/>
          <w:szCs w:val="21"/>
        </w:rPr>
        <w:t>）</w:t>
      </w:r>
      <w:r>
        <w:rPr>
          <w:szCs w:val="21"/>
        </w:rPr>
        <w:t xml:space="preserve"> </w:t>
      </w:r>
      <w:r>
        <w:rPr>
          <w:rFonts w:hAnsi="宋体"/>
          <w:szCs w:val="21"/>
        </w:rPr>
        <w:t>微量元素</w:t>
      </w:r>
      <w:r>
        <w:rPr>
          <w:szCs w:val="21"/>
        </w:rPr>
        <w:t xml:space="preserve">  Na</w:t>
      </w:r>
      <w:r>
        <w:rPr>
          <w:szCs w:val="21"/>
          <w:vertAlign w:val="subscript"/>
        </w:rPr>
        <w:t>2</w:t>
      </w:r>
      <w:r>
        <w:rPr>
          <w:szCs w:val="21"/>
        </w:rPr>
        <w:t>Fe-EDTA</w:t>
      </w:r>
      <w:r>
        <w:rPr>
          <w:rFonts w:hAnsi="宋体"/>
          <w:szCs w:val="21"/>
        </w:rPr>
        <w:t>、</w:t>
      </w:r>
      <w:r>
        <w:rPr>
          <w:szCs w:val="21"/>
        </w:rPr>
        <w:t>H</w:t>
      </w:r>
      <w:r>
        <w:rPr>
          <w:szCs w:val="21"/>
          <w:vertAlign w:val="subscript"/>
        </w:rPr>
        <w:t>3</w:t>
      </w:r>
      <w:r>
        <w:rPr>
          <w:szCs w:val="21"/>
        </w:rPr>
        <w:t>BO</w:t>
      </w:r>
      <w:r>
        <w:rPr>
          <w:szCs w:val="21"/>
          <w:vertAlign w:val="subscript"/>
        </w:rPr>
        <w:t>3</w:t>
      </w:r>
      <w:r>
        <w:rPr>
          <w:rFonts w:hAnsi="宋体"/>
          <w:szCs w:val="21"/>
        </w:rPr>
        <w:t>、</w:t>
      </w:r>
      <w:r>
        <w:rPr>
          <w:szCs w:val="21"/>
        </w:rPr>
        <w:t>MnSO</w:t>
      </w:r>
      <w:r>
        <w:rPr>
          <w:szCs w:val="21"/>
          <w:vertAlign w:val="subscript"/>
        </w:rPr>
        <w:t>4</w:t>
      </w:r>
      <w:r>
        <w:rPr>
          <w:szCs w:val="21"/>
        </w:rPr>
        <w:t>·4H</w:t>
      </w:r>
      <w:r>
        <w:rPr>
          <w:szCs w:val="21"/>
          <w:vertAlign w:val="subscript"/>
        </w:rPr>
        <w:t>2</w:t>
      </w:r>
      <w:r>
        <w:rPr>
          <w:szCs w:val="21"/>
        </w:rPr>
        <w:t>O</w:t>
      </w:r>
      <w:r>
        <w:rPr>
          <w:rFonts w:hAnsi="宋体"/>
          <w:szCs w:val="21"/>
        </w:rPr>
        <w:t>、</w:t>
      </w:r>
      <w:r>
        <w:rPr>
          <w:szCs w:val="21"/>
        </w:rPr>
        <w:t>ZnSO</w:t>
      </w:r>
      <w:r>
        <w:rPr>
          <w:szCs w:val="21"/>
          <w:vertAlign w:val="subscript"/>
        </w:rPr>
        <w:t>4</w:t>
      </w:r>
      <w:r>
        <w:rPr>
          <w:szCs w:val="21"/>
        </w:rPr>
        <w:t>·7H</w:t>
      </w:r>
      <w:r>
        <w:rPr>
          <w:szCs w:val="21"/>
          <w:vertAlign w:val="subscript"/>
        </w:rPr>
        <w:t>2</w:t>
      </w:r>
      <w:r>
        <w:rPr>
          <w:szCs w:val="21"/>
        </w:rPr>
        <w:t>O</w:t>
      </w:r>
      <w:r>
        <w:rPr>
          <w:rFonts w:hAnsi="宋体"/>
          <w:szCs w:val="21"/>
        </w:rPr>
        <w:t>、</w:t>
      </w:r>
      <w:r>
        <w:rPr>
          <w:szCs w:val="21"/>
        </w:rPr>
        <w:t xml:space="preserve"> CuSO</w:t>
      </w:r>
      <w:r>
        <w:rPr>
          <w:szCs w:val="21"/>
          <w:vertAlign w:val="subscript"/>
        </w:rPr>
        <w:t>4</w:t>
      </w:r>
      <w:r>
        <w:rPr>
          <w:szCs w:val="21"/>
        </w:rPr>
        <w:t>·5H</w:t>
      </w:r>
      <w:r>
        <w:rPr>
          <w:szCs w:val="21"/>
          <w:vertAlign w:val="subscript"/>
        </w:rPr>
        <w:t>2</w:t>
      </w:r>
      <w:r>
        <w:rPr>
          <w:szCs w:val="21"/>
        </w:rPr>
        <w:t>O</w:t>
      </w:r>
      <w:r>
        <w:rPr>
          <w:rFonts w:hAnsi="宋体"/>
          <w:szCs w:val="21"/>
        </w:rPr>
        <w:t>、（</w:t>
      </w:r>
      <w:r>
        <w:rPr>
          <w:szCs w:val="21"/>
        </w:rPr>
        <w:t>NH</w:t>
      </w:r>
      <w:r>
        <w:rPr>
          <w:szCs w:val="21"/>
          <w:vertAlign w:val="subscript"/>
        </w:rPr>
        <w:t>4</w:t>
      </w:r>
      <w:r>
        <w:rPr>
          <w:rFonts w:hAnsi="宋体"/>
          <w:szCs w:val="21"/>
        </w:rPr>
        <w:t>）</w:t>
      </w:r>
      <w:r>
        <w:rPr>
          <w:szCs w:val="21"/>
          <w:vertAlign w:val="subscript"/>
        </w:rPr>
        <w:t>6</w:t>
      </w:r>
      <w:r>
        <w:rPr>
          <w:szCs w:val="21"/>
        </w:rPr>
        <w:t>M</w:t>
      </w:r>
      <w:r>
        <w:rPr>
          <w:szCs w:val="21"/>
          <w:vertAlign w:val="subscript"/>
        </w:rPr>
        <w:t>O7</w:t>
      </w:r>
      <w:r>
        <w:rPr>
          <w:szCs w:val="21"/>
        </w:rPr>
        <w:t>O</w:t>
      </w:r>
      <w:r>
        <w:rPr>
          <w:szCs w:val="21"/>
          <w:vertAlign w:val="subscript"/>
        </w:rPr>
        <w:t>24</w:t>
      </w:r>
      <w:r>
        <w:rPr>
          <w:szCs w:val="21"/>
        </w:rPr>
        <w:t>·4H</w:t>
      </w:r>
      <w:r>
        <w:rPr>
          <w:szCs w:val="21"/>
          <w:vertAlign w:val="subscript"/>
        </w:rPr>
        <w:t>2</w:t>
      </w:r>
      <w:r>
        <w:rPr>
          <w:szCs w:val="21"/>
        </w:rPr>
        <w:t>O</w:t>
      </w:r>
    </w:p>
    <w:p w14:paraId="008D1304" w14:textId="77777777" w:rsidR="00F5289E" w:rsidRDefault="00C91173">
      <w:pPr>
        <w:spacing w:line="360" w:lineRule="auto"/>
        <w:ind w:firstLineChars="225" w:firstLine="473"/>
        <w:rPr>
          <w:szCs w:val="21"/>
        </w:rPr>
      </w:pPr>
      <w:r>
        <w:rPr>
          <w:szCs w:val="21"/>
        </w:rPr>
        <w:t>2</w:t>
      </w:r>
      <w:r>
        <w:rPr>
          <w:rFonts w:hAnsi="宋体"/>
          <w:szCs w:val="21"/>
        </w:rPr>
        <w:t>．用具：百分之一和万分之一的电子天平、烧杯（</w:t>
      </w:r>
      <w:r>
        <w:rPr>
          <w:szCs w:val="21"/>
        </w:rPr>
        <w:t>100ml</w:t>
      </w:r>
      <w:r>
        <w:rPr>
          <w:rFonts w:hAnsi="宋体"/>
          <w:szCs w:val="21"/>
        </w:rPr>
        <w:t>、</w:t>
      </w:r>
      <w:r>
        <w:rPr>
          <w:szCs w:val="21"/>
        </w:rPr>
        <w:t>200ml</w:t>
      </w:r>
      <w:r>
        <w:rPr>
          <w:rFonts w:hAnsi="宋体"/>
          <w:szCs w:val="21"/>
        </w:rPr>
        <w:t>各</w:t>
      </w:r>
      <w:r>
        <w:rPr>
          <w:szCs w:val="21"/>
        </w:rPr>
        <w:t>1</w:t>
      </w:r>
      <w:r>
        <w:rPr>
          <w:rFonts w:hAnsi="宋体"/>
          <w:szCs w:val="21"/>
        </w:rPr>
        <w:t>个）、容量瓶（</w:t>
      </w:r>
      <w:r>
        <w:rPr>
          <w:szCs w:val="21"/>
        </w:rPr>
        <w:t>1000ml</w:t>
      </w:r>
      <w:r>
        <w:rPr>
          <w:rFonts w:hAnsi="宋体"/>
          <w:szCs w:val="21"/>
        </w:rPr>
        <w:t>）、玻璃棒、贮液瓶（</w:t>
      </w:r>
      <w:r>
        <w:rPr>
          <w:szCs w:val="21"/>
        </w:rPr>
        <w:t>3</w:t>
      </w:r>
      <w:r>
        <w:rPr>
          <w:rFonts w:hAnsi="宋体"/>
          <w:szCs w:val="21"/>
        </w:rPr>
        <w:t>个</w:t>
      </w:r>
      <w:r>
        <w:rPr>
          <w:szCs w:val="21"/>
        </w:rPr>
        <w:t>1000 ml</w:t>
      </w:r>
      <w:r>
        <w:rPr>
          <w:rFonts w:hAnsi="宋体"/>
          <w:szCs w:val="21"/>
        </w:rPr>
        <w:t>棕色瓶），记号笔、标签纸、贮液池（桶）等。</w:t>
      </w:r>
    </w:p>
    <w:p w14:paraId="3F1F3714" w14:textId="77777777" w:rsidR="00F5289E" w:rsidRDefault="00F5289E">
      <w:pPr>
        <w:pStyle w:val="af1"/>
        <w:snapToGrid w:val="0"/>
        <w:spacing w:before="0" w:beforeAutospacing="0" w:after="0" w:afterAutospacing="0" w:line="360" w:lineRule="auto"/>
        <w:ind w:firstLineChars="196" w:firstLine="412"/>
        <w:rPr>
          <w:rFonts w:ascii="Times New Roman" w:eastAsiaTheme="minorEastAsia" w:hAnsi="Times New Roman" w:cs="Times New Roman"/>
          <w:sz w:val="21"/>
          <w:szCs w:val="21"/>
        </w:rPr>
      </w:pPr>
    </w:p>
    <w:p w14:paraId="2B90BDB4" w14:textId="77777777" w:rsidR="00F5289E" w:rsidRDefault="00C91173">
      <w:pPr>
        <w:snapToGrid w:val="0"/>
        <w:spacing w:line="360" w:lineRule="auto"/>
        <w:rPr>
          <w:szCs w:val="21"/>
        </w:rPr>
      </w:pPr>
      <w:r>
        <w:rPr>
          <w:szCs w:val="21"/>
        </w:rPr>
        <w:t>【实验</w:t>
      </w:r>
      <w:r>
        <w:rPr>
          <w:rFonts w:hint="eastAsia"/>
          <w:szCs w:val="21"/>
        </w:rPr>
        <w:t>二</w:t>
      </w:r>
      <w:r>
        <w:rPr>
          <w:szCs w:val="21"/>
        </w:rPr>
        <w:t>】</w:t>
      </w:r>
      <w:r>
        <w:rPr>
          <w:rFonts w:hint="eastAsia"/>
          <w:szCs w:val="21"/>
        </w:rPr>
        <w:t>基质理化性质测定及无土育苗技术</w:t>
      </w:r>
    </w:p>
    <w:p w14:paraId="6ACA739C" w14:textId="77777777" w:rsidR="00F5289E" w:rsidRDefault="00C91173">
      <w:pPr>
        <w:snapToGrid w:val="0"/>
        <w:spacing w:line="360" w:lineRule="auto"/>
        <w:ind w:firstLineChars="200" w:firstLine="422"/>
        <w:rPr>
          <w:bCs/>
        </w:rPr>
      </w:pPr>
      <w:r>
        <w:rPr>
          <w:b/>
          <w:szCs w:val="21"/>
        </w:rPr>
        <w:t>1.</w:t>
      </w:r>
      <w:r>
        <w:rPr>
          <w:b/>
          <w:szCs w:val="21"/>
        </w:rPr>
        <w:t>实验学时：</w:t>
      </w:r>
      <w:r>
        <w:rPr>
          <w:bCs/>
        </w:rPr>
        <w:t>2</w:t>
      </w:r>
    </w:p>
    <w:p w14:paraId="73C223FA" w14:textId="77777777" w:rsidR="00F5289E" w:rsidRDefault="00C91173">
      <w:pPr>
        <w:spacing w:line="360" w:lineRule="auto"/>
        <w:ind w:firstLine="435"/>
      </w:pPr>
      <w:r>
        <w:rPr>
          <w:b/>
          <w:szCs w:val="21"/>
        </w:rPr>
        <w:t>2.</w:t>
      </w:r>
      <w:r>
        <w:rPr>
          <w:b/>
          <w:szCs w:val="21"/>
        </w:rPr>
        <w:t>实验目的：</w:t>
      </w:r>
      <w:r>
        <w:rPr>
          <w:rFonts w:hAnsi="宋体"/>
        </w:rPr>
        <w:t>学习无土栽培各类栽培基质理化特性测定的方法</w:t>
      </w:r>
      <w:r>
        <w:rPr>
          <w:rFonts w:hAnsi="宋体" w:hint="eastAsia"/>
        </w:rPr>
        <w:t>，</w:t>
      </w:r>
      <w:r>
        <w:rPr>
          <w:rFonts w:hint="eastAsia"/>
          <w:bCs/>
        </w:rPr>
        <w:t>了解常用无土育苗的设施与方法</w:t>
      </w:r>
      <w:r>
        <w:rPr>
          <w:rFonts w:hAnsi="宋体"/>
        </w:rPr>
        <w:t>。</w:t>
      </w:r>
    </w:p>
    <w:p w14:paraId="79EB14D8" w14:textId="77777777" w:rsidR="00F5289E" w:rsidRDefault="00C91173">
      <w:pPr>
        <w:pStyle w:val="a7"/>
        <w:spacing w:line="360" w:lineRule="auto"/>
        <w:ind w:firstLine="422"/>
        <w:rPr>
          <w:rFonts w:ascii="Times New Roman"/>
          <w:b/>
          <w:szCs w:val="21"/>
        </w:rPr>
      </w:pPr>
      <w:r>
        <w:rPr>
          <w:rFonts w:ascii="Times New Roman"/>
          <w:b/>
          <w:szCs w:val="21"/>
        </w:rPr>
        <w:t>3.</w:t>
      </w:r>
      <w:r>
        <w:rPr>
          <w:rFonts w:ascii="Times New Roman"/>
          <w:b/>
          <w:szCs w:val="21"/>
        </w:rPr>
        <w:t>实验内容：</w:t>
      </w:r>
    </w:p>
    <w:p w14:paraId="4A8B9961" w14:textId="77777777" w:rsidR="00F5289E" w:rsidRDefault="00C91173">
      <w:pPr>
        <w:spacing w:line="360" w:lineRule="auto"/>
        <w:ind w:firstLineChars="150" w:firstLine="316"/>
        <w:rPr>
          <w:b/>
        </w:rPr>
      </w:pPr>
      <w:r>
        <w:rPr>
          <w:rFonts w:hAnsi="宋体"/>
          <w:b/>
        </w:rPr>
        <w:t>无土栽培栽培基质理化特性测定的方法</w:t>
      </w:r>
      <w:r>
        <w:rPr>
          <w:rFonts w:hAnsi="宋体" w:hint="eastAsia"/>
          <w:b/>
        </w:rPr>
        <w:t>：沙子</w:t>
      </w:r>
      <w:r>
        <w:rPr>
          <w:rFonts w:hAnsi="宋体"/>
          <w:b/>
        </w:rPr>
        <w:t>、蛭石、珍珠岩等</w:t>
      </w:r>
    </w:p>
    <w:p w14:paraId="68880244" w14:textId="77777777" w:rsidR="00F5289E" w:rsidRDefault="00C91173">
      <w:pPr>
        <w:spacing w:line="360" w:lineRule="auto"/>
        <w:ind w:firstLineChars="150" w:firstLine="315"/>
      </w:pPr>
      <w:r>
        <w:t>（</w:t>
      </w:r>
      <w:r>
        <w:t>1</w:t>
      </w:r>
      <w:r>
        <w:t>）容重（</w:t>
      </w:r>
      <w:r>
        <w:t>g/cm</w:t>
      </w:r>
      <w:r>
        <w:rPr>
          <w:vertAlign w:val="subscript"/>
        </w:rPr>
        <w:t>3</w:t>
      </w:r>
      <w:r>
        <w:t>）</w:t>
      </w:r>
      <w:r>
        <w:t xml:space="preserve"> </w:t>
      </w:r>
      <w:r>
        <w:t>将自然状态（或生产状态）下的基质放入一已知体积的容器（烧杯或量筒）后倒出称基质重，用重量除以体积。</w:t>
      </w:r>
    </w:p>
    <w:p w14:paraId="44CBD759" w14:textId="77777777" w:rsidR="00F5289E" w:rsidRDefault="00C91173">
      <w:pPr>
        <w:spacing w:line="360" w:lineRule="auto"/>
        <w:ind w:firstLineChars="150" w:firstLine="315"/>
      </w:pPr>
      <w:r>
        <w:t>（</w:t>
      </w:r>
      <w:r>
        <w:t>2</w:t>
      </w:r>
      <w:r>
        <w:t>）总孔隙度（</w:t>
      </w:r>
      <w:r>
        <w:t>%</w:t>
      </w:r>
      <w:r>
        <w:t>）</w:t>
      </w:r>
      <w:r>
        <w:t xml:space="preserve"> </w:t>
      </w:r>
      <w:r>
        <w:t>指基质中包括大小孔隙（通气孔隙和持水孔隙）在内的所有孔隙的总和。以占有基质体积的百分比表示。</w:t>
      </w:r>
    </w:p>
    <w:p w14:paraId="5B1159B5" w14:textId="77777777" w:rsidR="00F5289E" w:rsidRDefault="00C91173">
      <w:pPr>
        <w:spacing w:line="360" w:lineRule="auto"/>
        <w:ind w:firstLine="480"/>
      </w:pPr>
      <w:r>
        <w:t>总孔隙度（</w:t>
      </w:r>
      <w:r>
        <w:t>%</w:t>
      </w:r>
      <w:r>
        <w:t>）</w:t>
      </w:r>
      <w:r>
        <w:t>=</w:t>
      </w:r>
      <w:r>
        <w:t>（</w:t>
      </w:r>
      <w:r>
        <w:t>1-</w:t>
      </w:r>
      <w:r>
        <w:t>容重</w:t>
      </w:r>
      <w:r>
        <w:t>/</w:t>
      </w:r>
      <w:r>
        <w:t>比重）</w:t>
      </w:r>
      <w:r>
        <w:t>×100</w:t>
      </w:r>
    </w:p>
    <w:p w14:paraId="43AB4F91" w14:textId="77777777" w:rsidR="00F5289E" w:rsidRDefault="00C91173">
      <w:pPr>
        <w:spacing w:line="360" w:lineRule="auto"/>
        <w:ind w:firstLineChars="150" w:firstLine="315"/>
      </w:pPr>
      <w:r>
        <w:t>（</w:t>
      </w:r>
      <w:r>
        <w:t>3</w:t>
      </w:r>
      <w:r>
        <w:t>）大小孔隙度</w:t>
      </w:r>
      <w:r>
        <w:t xml:space="preserve"> </w:t>
      </w:r>
      <w:r>
        <w:t>取一已知体积（</w:t>
      </w:r>
      <w:r>
        <w:t>V</w:t>
      </w:r>
      <w:r>
        <w:t>）的容器，加满待测的风干基质称重（</w:t>
      </w:r>
      <w:r>
        <w:t>W</w:t>
      </w:r>
      <w:r>
        <w:rPr>
          <w:vertAlign w:val="subscript"/>
        </w:rPr>
        <w:t>1</w:t>
      </w:r>
      <w:r>
        <w:t>），然后加入蒸馏水放入真空干燥器用真空泵抽气</w:t>
      </w:r>
      <w:r>
        <w:t>30min</w:t>
      </w:r>
      <w:r>
        <w:t>，再加满水称重（</w:t>
      </w:r>
      <w:r>
        <w:t>W</w:t>
      </w:r>
      <w:r>
        <w:rPr>
          <w:vertAlign w:val="subscript"/>
        </w:rPr>
        <w:t>2</w:t>
      </w:r>
      <w:r>
        <w:t>）后，将容器上口用一已知重量的湿润纱布（</w:t>
      </w:r>
      <w:r>
        <w:t>W</w:t>
      </w:r>
      <w:r>
        <w:rPr>
          <w:vertAlign w:val="subscript"/>
        </w:rPr>
        <w:t>3</w:t>
      </w:r>
      <w:r>
        <w:t>）包住，把容器倒置，让容器中的水分流出，放置</w:t>
      </w:r>
      <w:r>
        <w:t>2h</w:t>
      </w:r>
      <w:r>
        <w:t>左右，直至容器中没有水分渗出为止，称重（</w:t>
      </w:r>
      <w:r>
        <w:t>W</w:t>
      </w:r>
      <w:r>
        <w:rPr>
          <w:vertAlign w:val="subscript"/>
        </w:rPr>
        <w:t>4</w:t>
      </w:r>
      <w:r>
        <w:t>）</w:t>
      </w:r>
    </w:p>
    <w:p w14:paraId="1E184D36" w14:textId="77777777" w:rsidR="00F5289E" w:rsidRDefault="00C91173">
      <w:pPr>
        <w:spacing w:line="360" w:lineRule="auto"/>
        <w:ind w:firstLine="480"/>
      </w:pPr>
      <w:r>
        <w:t>大孔隙（</w:t>
      </w:r>
      <w:r>
        <w:t>%</w:t>
      </w:r>
      <w:r>
        <w:t>）</w:t>
      </w:r>
      <w:r>
        <w:t>=</w:t>
      </w:r>
      <w:r>
        <w:t>（</w:t>
      </w:r>
      <w:r>
        <w:t>W</w:t>
      </w:r>
      <w:r>
        <w:rPr>
          <w:vertAlign w:val="subscript"/>
        </w:rPr>
        <w:t>2</w:t>
      </w:r>
      <w:r>
        <w:t>+W</w:t>
      </w:r>
      <w:r>
        <w:rPr>
          <w:vertAlign w:val="subscript"/>
        </w:rPr>
        <w:t>3</w:t>
      </w:r>
      <w:r>
        <w:t>- W</w:t>
      </w:r>
      <w:r>
        <w:rPr>
          <w:vertAlign w:val="subscript"/>
        </w:rPr>
        <w:t>4</w:t>
      </w:r>
      <w:r>
        <w:t>）</w:t>
      </w:r>
      <w:r>
        <w:t>×100/V</w:t>
      </w:r>
    </w:p>
    <w:p w14:paraId="2556DACC" w14:textId="77777777" w:rsidR="00F5289E" w:rsidRDefault="00C91173">
      <w:pPr>
        <w:spacing w:line="360" w:lineRule="auto"/>
        <w:ind w:firstLine="480"/>
      </w:pPr>
      <w:r>
        <w:t>小孔隙（</w:t>
      </w:r>
      <w:r>
        <w:t>%</w:t>
      </w:r>
      <w:r>
        <w:t>）</w:t>
      </w:r>
      <w:r>
        <w:t>=</w:t>
      </w:r>
      <w:r>
        <w:t>（</w:t>
      </w:r>
      <w:r>
        <w:t>W</w:t>
      </w:r>
      <w:r>
        <w:rPr>
          <w:vertAlign w:val="subscript"/>
        </w:rPr>
        <w:t>4</w:t>
      </w:r>
      <w:r>
        <w:t>- W</w:t>
      </w:r>
      <w:r>
        <w:rPr>
          <w:vertAlign w:val="subscript"/>
        </w:rPr>
        <w:t>1-</w:t>
      </w:r>
      <w:r>
        <w:t xml:space="preserve"> W</w:t>
      </w:r>
      <w:r>
        <w:rPr>
          <w:vertAlign w:val="subscript"/>
        </w:rPr>
        <w:t>3</w:t>
      </w:r>
      <w:r>
        <w:t>）</w:t>
      </w:r>
      <w:r>
        <w:t>×100/V</w:t>
      </w:r>
    </w:p>
    <w:p w14:paraId="10149735" w14:textId="77777777" w:rsidR="00F5289E" w:rsidRDefault="00C91173">
      <w:pPr>
        <w:spacing w:line="360" w:lineRule="auto"/>
        <w:ind w:firstLineChars="150" w:firstLine="315"/>
      </w:pPr>
      <w:r>
        <w:t>（</w:t>
      </w:r>
      <w:r>
        <w:t>4</w:t>
      </w:r>
      <w:r>
        <w:t>）</w:t>
      </w:r>
      <w:r>
        <w:t>pH</w:t>
      </w:r>
      <w:r>
        <w:t>和电导率的测定</w:t>
      </w:r>
      <w:r>
        <w:t xml:space="preserve"> </w:t>
      </w:r>
      <w:r>
        <w:t>把电极插入与基质浸提液</w:t>
      </w:r>
      <w:r>
        <w:t>pH</w:t>
      </w:r>
      <w:r>
        <w:t>接近的缓冲液中，校正待用；取风干自然状态基质</w:t>
      </w:r>
      <w:r>
        <w:t>150ml</w:t>
      </w:r>
      <w:r>
        <w:t>，加入去离子蒸馏水</w:t>
      </w:r>
      <w:r>
        <w:t>750ml</w:t>
      </w:r>
      <w:r>
        <w:t>，振荡浸提</w:t>
      </w:r>
      <w:r>
        <w:t>10min</w:t>
      </w:r>
      <w:r>
        <w:t>，过滤，取其滤液用</w:t>
      </w:r>
      <w:r>
        <w:t>pH</w:t>
      </w:r>
      <w:r>
        <w:t>计测</w:t>
      </w:r>
      <w:r>
        <w:t>pH</w:t>
      </w:r>
      <w:r>
        <w:t>值、电导率仪来测电导率（</w:t>
      </w:r>
      <w:proofErr w:type="spellStart"/>
      <w:r>
        <w:t>ms</w:t>
      </w:r>
      <w:proofErr w:type="spellEnd"/>
      <w:r>
        <w:t>/cm</w:t>
      </w:r>
      <w:r>
        <w:t>）。</w:t>
      </w:r>
    </w:p>
    <w:p w14:paraId="00F99098" w14:textId="77777777" w:rsidR="00F5289E" w:rsidRDefault="00C91173">
      <w:pPr>
        <w:spacing w:line="360" w:lineRule="auto"/>
        <w:ind w:firstLineChars="150" w:firstLine="316"/>
        <w:rPr>
          <w:b/>
          <w:szCs w:val="21"/>
        </w:rPr>
      </w:pPr>
      <w:r>
        <w:rPr>
          <w:rFonts w:hint="eastAsia"/>
          <w:b/>
          <w:szCs w:val="21"/>
        </w:rPr>
        <w:t>无土育苗技术</w:t>
      </w:r>
    </w:p>
    <w:p w14:paraId="012CBD83" w14:textId="77777777" w:rsidR="00F5289E" w:rsidRDefault="00C91173">
      <w:pPr>
        <w:spacing w:line="360" w:lineRule="auto"/>
        <w:ind w:firstLineChars="150" w:firstLine="315"/>
        <w:rPr>
          <w:szCs w:val="21"/>
        </w:rPr>
      </w:pPr>
      <w:r>
        <w:rPr>
          <w:rFonts w:hint="eastAsia"/>
          <w:szCs w:val="21"/>
        </w:rPr>
        <w:t>（</w:t>
      </w:r>
      <w:r>
        <w:rPr>
          <w:rFonts w:hint="eastAsia"/>
          <w:szCs w:val="21"/>
        </w:rPr>
        <w:t>1</w:t>
      </w:r>
      <w:r>
        <w:rPr>
          <w:rFonts w:hint="eastAsia"/>
          <w:szCs w:val="21"/>
        </w:rPr>
        <w:t>）</w:t>
      </w:r>
      <w:r>
        <w:rPr>
          <w:rFonts w:hint="eastAsia"/>
          <w:szCs w:val="21"/>
        </w:rPr>
        <w:t xml:space="preserve"> </w:t>
      </w:r>
      <w:r>
        <w:rPr>
          <w:rFonts w:hint="eastAsia"/>
          <w:szCs w:val="21"/>
        </w:rPr>
        <w:t>混合基质的配制：按照草炭：蛭石</w:t>
      </w:r>
      <w:r>
        <w:rPr>
          <w:rFonts w:hint="eastAsia"/>
          <w:szCs w:val="21"/>
        </w:rPr>
        <w:t>=1</w:t>
      </w:r>
      <w:r>
        <w:rPr>
          <w:rFonts w:hint="eastAsia"/>
          <w:szCs w:val="21"/>
        </w:rPr>
        <w:t>：</w:t>
      </w:r>
      <w:r>
        <w:rPr>
          <w:rFonts w:hint="eastAsia"/>
          <w:szCs w:val="21"/>
        </w:rPr>
        <w:t>1</w:t>
      </w:r>
      <w:r>
        <w:rPr>
          <w:rFonts w:hint="eastAsia"/>
          <w:szCs w:val="21"/>
        </w:rPr>
        <w:t>（体积比），草炭：蛭石：珍珠岩</w:t>
      </w:r>
      <w:r>
        <w:rPr>
          <w:rFonts w:hint="eastAsia"/>
          <w:szCs w:val="21"/>
        </w:rPr>
        <w:t>=1</w:t>
      </w:r>
      <w:r>
        <w:rPr>
          <w:rFonts w:hint="eastAsia"/>
          <w:szCs w:val="21"/>
        </w:rPr>
        <w:t>：</w:t>
      </w:r>
      <w:r>
        <w:rPr>
          <w:rFonts w:hint="eastAsia"/>
          <w:szCs w:val="21"/>
        </w:rPr>
        <w:t>1</w:t>
      </w:r>
      <w:r>
        <w:rPr>
          <w:rFonts w:hint="eastAsia"/>
          <w:szCs w:val="21"/>
        </w:rPr>
        <w:t>：</w:t>
      </w:r>
      <w:r>
        <w:rPr>
          <w:rFonts w:hint="eastAsia"/>
          <w:szCs w:val="21"/>
        </w:rPr>
        <w:t>1</w:t>
      </w:r>
      <w:r>
        <w:rPr>
          <w:rFonts w:hint="eastAsia"/>
          <w:szCs w:val="21"/>
        </w:rPr>
        <w:t>，充分混合均匀。</w:t>
      </w:r>
    </w:p>
    <w:p w14:paraId="2C6EF71A" w14:textId="77777777" w:rsidR="00F5289E" w:rsidRDefault="00C91173">
      <w:pPr>
        <w:spacing w:line="360" w:lineRule="auto"/>
        <w:ind w:left="315"/>
        <w:rPr>
          <w:szCs w:val="21"/>
        </w:rPr>
      </w:pPr>
      <w:r>
        <w:rPr>
          <w:rFonts w:hint="eastAsia"/>
          <w:szCs w:val="21"/>
        </w:rPr>
        <w:t>（</w:t>
      </w:r>
      <w:r>
        <w:rPr>
          <w:rFonts w:hint="eastAsia"/>
          <w:szCs w:val="21"/>
        </w:rPr>
        <w:t>2</w:t>
      </w:r>
      <w:r>
        <w:rPr>
          <w:rFonts w:hint="eastAsia"/>
          <w:szCs w:val="21"/>
        </w:rPr>
        <w:t>）</w:t>
      </w:r>
      <w:r>
        <w:rPr>
          <w:rFonts w:hint="eastAsia"/>
          <w:szCs w:val="21"/>
        </w:rPr>
        <w:t xml:space="preserve">  </w:t>
      </w:r>
      <w:r>
        <w:rPr>
          <w:rFonts w:hint="eastAsia"/>
          <w:szCs w:val="21"/>
        </w:rPr>
        <w:t>基质的装盘：将混合基质装入穴盘内</w:t>
      </w:r>
    </w:p>
    <w:p w14:paraId="380A5B60" w14:textId="77777777" w:rsidR="00F5289E" w:rsidRDefault="00C91173" w:rsidP="00A115EF">
      <w:pPr>
        <w:pStyle w:val="afd"/>
        <w:numPr>
          <w:ilvl w:val="0"/>
          <w:numId w:val="27"/>
        </w:numPr>
        <w:spacing w:line="360" w:lineRule="auto"/>
        <w:ind w:firstLineChars="0"/>
        <w:rPr>
          <w:szCs w:val="21"/>
        </w:rPr>
      </w:pPr>
      <w:r>
        <w:rPr>
          <w:rFonts w:hint="eastAsia"/>
          <w:szCs w:val="21"/>
        </w:rPr>
        <w:t>喷湿基质</w:t>
      </w:r>
    </w:p>
    <w:p w14:paraId="0060428A" w14:textId="77777777" w:rsidR="00F5289E" w:rsidRDefault="00C91173" w:rsidP="00A115EF">
      <w:pPr>
        <w:pStyle w:val="afd"/>
        <w:numPr>
          <w:ilvl w:val="0"/>
          <w:numId w:val="27"/>
        </w:numPr>
        <w:spacing w:line="360" w:lineRule="auto"/>
        <w:ind w:firstLineChars="0"/>
        <w:rPr>
          <w:szCs w:val="21"/>
        </w:rPr>
      </w:pPr>
      <w:r>
        <w:rPr>
          <w:rFonts w:hint="eastAsia"/>
          <w:szCs w:val="21"/>
        </w:rPr>
        <w:t>压穴：用压穴器压穴</w:t>
      </w:r>
      <w:r>
        <w:rPr>
          <w:rFonts w:hint="eastAsia"/>
          <w:szCs w:val="21"/>
        </w:rPr>
        <w:t>1</w:t>
      </w:r>
      <w:r>
        <w:rPr>
          <w:rFonts w:hint="eastAsia"/>
          <w:szCs w:val="21"/>
        </w:rPr>
        <w:t>厘米，</w:t>
      </w:r>
    </w:p>
    <w:p w14:paraId="07E55D09" w14:textId="77777777" w:rsidR="00F5289E" w:rsidRDefault="00C91173" w:rsidP="00A115EF">
      <w:pPr>
        <w:pStyle w:val="afd"/>
        <w:numPr>
          <w:ilvl w:val="0"/>
          <w:numId w:val="27"/>
        </w:numPr>
        <w:spacing w:line="360" w:lineRule="auto"/>
        <w:ind w:firstLineChars="0"/>
        <w:jc w:val="left"/>
        <w:rPr>
          <w:szCs w:val="21"/>
        </w:rPr>
      </w:pPr>
      <w:r>
        <w:rPr>
          <w:rFonts w:hint="eastAsia"/>
          <w:szCs w:val="21"/>
        </w:rPr>
        <w:t>播种：每穴播</w:t>
      </w:r>
      <w:r>
        <w:rPr>
          <w:rFonts w:hint="eastAsia"/>
          <w:szCs w:val="21"/>
        </w:rPr>
        <w:t>1</w:t>
      </w:r>
      <w:r>
        <w:rPr>
          <w:rFonts w:hint="eastAsia"/>
          <w:szCs w:val="21"/>
        </w:rPr>
        <w:t>粒种子，岩绵，插花泥直接插孔播入</w:t>
      </w:r>
    </w:p>
    <w:p w14:paraId="052EDEE4" w14:textId="77777777" w:rsidR="00F5289E" w:rsidRDefault="00C91173" w:rsidP="00A115EF">
      <w:pPr>
        <w:numPr>
          <w:ilvl w:val="0"/>
          <w:numId w:val="27"/>
        </w:numPr>
        <w:spacing w:line="360" w:lineRule="auto"/>
        <w:rPr>
          <w:szCs w:val="21"/>
        </w:rPr>
      </w:pPr>
      <w:r>
        <w:rPr>
          <w:rFonts w:hint="eastAsia"/>
          <w:szCs w:val="21"/>
        </w:rPr>
        <w:t>覆盖基质：播种后上面覆盖约</w:t>
      </w:r>
      <w:r>
        <w:rPr>
          <w:rFonts w:hint="eastAsia"/>
          <w:szCs w:val="21"/>
        </w:rPr>
        <w:t>1</w:t>
      </w:r>
      <w:r>
        <w:rPr>
          <w:rFonts w:hint="eastAsia"/>
          <w:szCs w:val="21"/>
        </w:rPr>
        <w:t>厘米厚的蛭石，然后用刮板磨平</w:t>
      </w:r>
    </w:p>
    <w:p w14:paraId="722990A8" w14:textId="77777777" w:rsidR="00F5289E" w:rsidRDefault="00C91173" w:rsidP="00A115EF">
      <w:pPr>
        <w:numPr>
          <w:ilvl w:val="0"/>
          <w:numId w:val="27"/>
        </w:numPr>
        <w:spacing w:line="360" w:lineRule="auto"/>
        <w:rPr>
          <w:szCs w:val="21"/>
        </w:rPr>
      </w:pPr>
      <w:r>
        <w:rPr>
          <w:rFonts w:hint="eastAsia"/>
          <w:szCs w:val="21"/>
        </w:rPr>
        <w:t>喷水</w:t>
      </w:r>
    </w:p>
    <w:p w14:paraId="3F9F64AF" w14:textId="77777777" w:rsidR="00F5289E" w:rsidRDefault="00C91173" w:rsidP="00A115EF">
      <w:pPr>
        <w:numPr>
          <w:ilvl w:val="0"/>
          <w:numId w:val="27"/>
        </w:numPr>
        <w:spacing w:line="360" w:lineRule="auto"/>
        <w:rPr>
          <w:szCs w:val="21"/>
        </w:rPr>
      </w:pPr>
      <w:r>
        <w:rPr>
          <w:rFonts w:hint="eastAsia"/>
          <w:szCs w:val="21"/>
        </w:rPr>
        <w:lastRenderedPageBreak/>
        <w:t>覆盖薄膜</w:t>
      </w:r>
    </w:p>
    <w:p w14:paraId="60E676D9" w14:textId="77777777" w:rsidR="00F5289E" w:rsidRDefault="00C91173">
      <w:pPr>
        <w:pStyle w:val="af1"/>
        <w:snapToGrid w:val="0"/>
        <w:spacing w:before="0" w:beforeAutospacing="0" w:after="0" w:afterAutospacing="0" w:line="360" w:lineRule="auto"/>
        <w:ind w:firstLineChars="196" w:firstLine="413"/>
        <w:rPr>
          <w:rFonts w:ascii="Times New Roman" w:eastAsiaTheme="minorEastAsia" w:hAnsi="Times New Roman" w:cs="Times New Roman"/>
          <w:sz w:val="21"/>
          <w:szCs w:val="21"/>
        </w:rPr>
      </w:pPr>
      <w:r>
        <w:rPr>
          <w:rFonts w:ascii="Times New Roman" w:eastAsiaTheme="minorEastAsia" w:hAnsi="Times New Roman" w:cs="Times New Roman"/>
          <w:b/>
          <w:sz w:val="21"/>
          <w:szCs w:val="21"/>
        </w:rPr>
        <w:t>4.</w:t>
      </w:r>
      <w:r>
        <w:rPr>
          <w:rFonts w:ascii="Times New Roman" w:eastAsiaTheme="minorEastAsia" w:hAnsi="Times New Roman" w:cs="Times New Roman"/>
          <w:b/>
          <w:sz w:val="21"/>
          <w:szCs w:val="21"/>
        </w:rPr>
        <w:t>实验要求：</w:t>
      </w:r>
      <w:r>
        <w:rPr>
          <w:rFonts w:ascii="Times New Roman" w:eastAsiaTheme="minorEastAsia" w:hAnsi="Times New Roman" w:cs="Times New Roman"/>
          <w:sz w:val="21"/>
          <w:szCs w:val="21"/>
        </w:rPr>
        <w:t>通过具体操作，掌握常见固体基质的理化性状的测定方法，</w:t>
      </w:r>
      <w:r>
        <w:rPr>
          <w:rFonts w:ascii="Times New Roman" w:eastAsiaTheme="minorEastAsia" w:hAnsi="Times New Roman" w:cs="Times New Roman" w:hint="eastAsia"/>
          <w:sz w:val="21"/>
          <w:szCs w:val="21"/>
        </w:rPr>
        <w:t>观测幼苗出土及长势情况，查看基质水分情况，及时去掉覆盖的薄膜，幼苗出土后进行绿化。</w:t>
      </w:r>
      <w:r>
        <w:rPr>
          <w:rFonts w:ascii="Times New Roman" w:eastAsiaTheme="minorEastAsia" w:hAnsi="Times New Roman" w:cs="Times New Roman"/>
          <w:sz w:val="21"/>
          <w:szCs w:val="21"/>
        </w:rPr>
        <w:t>将测定结果写出实验报告。</w:t>
      </w:r>
    </w:p>
    <w:p w14:paraId="046A448B" w14:textId="77777777" w:rsidR="00F5289E" w:rsidRDefault="00C91173">
      <w:pPr>
        <w:pStyle w:val="af1"/>
        <w:snapToGrid w:val="0"/>
        <w:spacing w:before="0" w:beforeAutospacing="0" w:after="0" w:afterAutospacing="0" w:line="360" w:lineRule="auto"/>
        <w:ind w:firstLineChars="196" w:firstLine="413"/>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5.</w:t>
      </w:r>
      <w:r>
        <w:rPr>
          <w:rFonts w:ascii="Times New Roman" w:eastAsiaTheme="minorEastAsia" w:hAnsi="Times New Roman" w:cs="Times New Roman"/>
          <w:b/>
          <w:sz w:val="21"/>
          <w:szCs w:val="21"/>
        </w:rPr>
        <w:t>实验设备及器材：</w:t>
      </w:r>
    </w:p>
    <w:p w14:paraId="7BD43693" w14:textId="77777777" w:rsidR="00F5289E" w:rsidRDefault="00C91173">
      <w:pPr>
        <w:pStyle w:val="af1"/>
        <w:snapToGrid w:val="0"/>
        <w:spacing w:before="0" w:beforeAutospacing="0" w:after="0" w:afterAutospacing="0" w:line="360" w:lineRule="auto"/>
        <w:ind w:firstLineChars="196" w:firstLine="412"/>
        <w:rPr>
          <w:rFonts w:ascii="Times New Roman" w:eastAsiaTheme="minorEastAsia" w:hAnsi="Times New Roman" w:cs="Times New Roman"/>
          <w:sz w:val="21"/>
          <w:szCs w:val="21"/>
        </w:rPr>
      </w:pPr>
      <w:r>
        <w:rPr>
          <w:rFonts w:ascii="Times New Roman" w:eastAsiaTheme="minorEastAsia" w:hAnsi="Times New Roman" w:cs="Times New Roman"/>
          <w:sz w:val="21"/>
          <w:szCs w:val="21"/>
        </w:rPr>
        <w:t>天平（感量</w:t>
      </w:r>
      <w:r>
        <w:rPr>
          <w:rFonts w:ascii="Times New Roman" w:eastAsiaTheme="minorEastAsia" w:hAnsi="Times New Roman" w:cs="Times New Roman"/>
          <w:sz w:val="21"/>
          <w:szCs w:val="21"/>
        </w:rPr>
        <w:t>0.001g</w:t>
      </w:r>
      <w:r>
        <w:rPr>
          <w:rFonts w:ascii="Times New Roman" w:eastAsiaTheme="minorEastAsia" w:hAnsi="Times New Roman" w:cs="Times New Roman"/>
          <w:sz w:val="21"/>
          <w:szCs w:val="21"/>
        </w:rPr>
        <w:t>）、温度计（</w:t>
      </w:r>
      <w:r>
        <w:rPr>
          <w:rFonts w:ascii="Times New Roman" w:eastAsiaTheme="minorEastAsia" w:hAnsi="Times New Roman" w:cs="Times New Roman"/>
          <w:sz w:val="21"/>
          <w:szCs w:val="21"/>
        </w:rPr>
        <w:t>±0.1</w:t>
      </w:r>
      <w:r>
        <w:rPr>
          <w:rFonts w:ascii="Times New Roman" w:eastAsiaTheme="minorEastAsia" w:hAnsiTheme="minorEastAsia" w:cs="Times New Roman"/>
          <w:sz w:val="21"/>
          <w:szCs w:val="21"/>
        </w:rPr>
        <w:t>℃</w:t>
      </w:r>
      <w:r>
        <w:rPr>
          <w:rFonts w:ascii="Times New Roman" w:eastAsiaTheme="minorEastAsia" w:hAnsi="Times New Roman" w:cs="Times New Roman"/>
          <w:sz w:val="21"/>
          <w:szCs w:val="21"/>
        </w:rPr>
        <w:t>）、滤纸、纱布、烧杯（</w:t>
      </w:r>
      <w:r>
        <w:rPr>
          <w:rFonts w:ascii="Times New Roman" w:eastAsiaTheme="minorEastAsia" w:hAnsi="Times New Roman" w:cs="Times New Roman"/>
          <w:sz w:val="21"/>
          <w:szCs w:val="21"/>
        </w:rPr>
        <w:t>50ml</w:t>
      </w:r>
      <w:r>
        <w:rPr>
          <w:rFonts w:ascii="Times New Roman" w:eastAsiaTheme="minorEastAsia" w:hAnsi="Times New Roman" w:cs="Times New Roman"/>
          <w:sz w:val="21"/>
          <w:szCs w:val="21"/>
        </w:rPr>
        <w:t>）、量筒（</w:t>
      </w:r>
      <w:r>
        <w:rPr>
          <w:rFonts w:ascii="Times New Roman" w:eastAsiaTheme="minorEastAsia" w:hAnsi="Times New Roman" w:cs="Times New Roman"/>
          <w:sz w:val="21"/>
          <w:szCs w:val="21"/>
        </w:rPr>
        <w:t>50ml</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pH</w:t>
      </w:r>
      <w:r>
        <w:rPr>
          <w:rFonts w:ascii="Times New Roman" w:eastAsiaTheme="minorEastAsia" w:hAnsi="Times New Roman" w:cs="Times New Roman"/>
          <w:sz w:val="21"/>
          <w:szCs w:val="21"/>
        </w:rPr>
        <w:t>计、玻璃电极、饱和甘汞电极、电导率仪。</w:t>
      </w:r>
    </w:p>
    <w:p w14:paraId="173E9A71" w14:textId="77777777" w:rsidR="00F5289E" w:rsidRDefault="00C91173">
      <w:pPr>
        <w:snapToGrid w:val="0"/>
        <w:spacing w:line="360" w:lineRule="auto"/>
        <w:ind w:firstLineChars="200" w:firstLine="420"/>
        <w:rPr>
          <w:szCs w:val="21"/>
        </w:rPr>
      </w:pPr>
      <w:r>
        <w:rPr>
          <w:rFonts w:hint="eastAsia"/>
          <w:szCs w:val="21"/>
        </w:rPr>
        <w:t>草炭、蛭石、珍珠岩等材料；穴盘（</w:t>
      </w:r>
      <w:r>
        <w:rPr>
          <w:rFonts w:hint="eastAsia"/>
          <w:szCs w:val="21"/>
        </w:rPr>
        <w:t>72</w:t>
      </w:r>
      <w:r>
        <w:rPr>
          <w:rFonts w:hint="eastAsia"/>
          <w:szCs w:val="21"/>
        </w:rPr>
        <w:t>、</w:t>
      </w:r>
      <w:r>
        <w:rPr>
          <w:rFonts w:hint="eastAsia"/>
          <w:szCs w:val="21"/>
        </w:rPr>
        <w:t>128</w:t>
      </w:r>
      <w:r>
        <w:rPr>
          <w:rFonts w:hint="eastAsia"/>
          <w:szCs w:val="21"/>
        </w:rPr>
        <w:t>等穴孔）、塑料薄膜、撒水壶、生菜种子。</w:t>
      </w:r>
    </w:p>
    <w:p w14:paraId="57B7B066" w14:textId="77777777" w:rsidR="00F5289E" w:rsidRDefault="00C91173">
      <w:pPr>
        <w:snapToGrid w:val="0"/>
        <w:spacing w:line="360" w:lineRule="auto"/>
        <w:ind w:firstLineChars="200" w:firstLine="420"/>
        <w:rPr>
          <w:szCs w:val="21"/>
        </w:rPr>
      </w:pPr>
      <w:r>
        <w:rPr>
          <w:szCs w:val="21"/>
        </w:rPr>
        <w:t>【实验</w:t>
      </w:r>
      <w:r>
        <w:rPr>
          <w:rFonts w:hint="eastAsia"/>
          <w:szCs w:val="21"/>
        </w:rPr>
        <w:t>三</w:t>
      </w:r>
      <w:r>
        <w:rPr>
          <w:szCs w:val="21"/>
        </w:rPr>
        <w:t>】</w:t>
      </w:r>
      <w:r>
        <w:rPr>
          <w:rFonts w:hint="eastAsia"/>
          <w:szCs w:val="21"/>
        </w:rPr>
        <w:t>无土栽培装置设计及制作</w:t>
      </w:r>
    </w:p>
    <w:p w14:paraId="3CF7209B" w14:textId="77777777" w:rsidR="00F5289E" w:rsidRDefault="00C91173">
      <w:pPr>
        <w:snapToGrid w:val="0"/>
        <w:spacing w:line="360" w:lineRule="auto"/>
        <w:ind w:firstLineChars="200" w:firstLine="422"/>
        <w:rPr>
          <w:szCs w:val="21"/>
        </w:rPr>
      </w:pPr>
      <w:r>
        <w:rPr>
          <w:b/>
          <w:szCs w:val="21"/>
        </w:rPr>
        <w:t>1.</w:t>
      </w:r>
      <w:r>
        <w:rPr>
          <w:b/>
          <w:szCs w:val="21"/>
        </w:rPr>
        <w:t>实验学时：</w:t>
      </w:r>
      <w:r>
        <w:rPr>
          <w:szCs w:val="21"/>
        </w:rPr>
        <w:t>4</w:t>
      </w:r>
    </w:p>
    <w:p w14:paraId="6FAAB532"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color w:val="262600"/>
        </w:rPr>
      </w:pPr>
      <w:r>
        <w:rPr>
          <w:b/>
          <w:szCs w:val="21"/>
        </w:rPr>
        <w:t>2.</w:t>
      </w:r>
      <w:r>
        <w:rPr>
          <w:b/>
          <w:szCs w:val="21"/>
        </w:rPr>
        <w:t>实验目的：</w:t>
      </w:r>
      <w:r>
        <w:rPr>
          <w:rFonts w:ascii="宋体" w:hAnsi="宋体" w:hint="eastAsia"/>
          <w:bCs/>
        </w:rPr>
        <w:t>根据所</w:t>
      </w:r>
      <w:r>
        <w:rPr>
          <w:rFonts w:ascii="宋体" w:hAnsi="宋体"/>
          <w:bCs/>
        </w:rPr>
        <w:t>学理论知识及对生产中无土栽培存在问题的了解，</w:t>
      </w:r>
      <w:r>
        <w:rPr>
          <w:rFonts w:ascii="宋体" w:hAnsi="宋体" w:hint="eastAsia"/>
          <w:bCs/>
        </w:rPr>
        <w:t>以</w:t>
      </w:r>
      <w:r>
        <w:rPr>
          <w:rFonts w:ascii="宋体" w:hAnsi="宋体"/>
          <w:bCs/>
        </w:rPr>
        <w:t>小组为单位设计一套无土栽培装置</w:t>
      </w:r>
      <w:r>
        <w:rPr>
          <w:rFonts w:ascii="宋体" w:hAnsi="宋体" w:hint="eastAsia"/>
          <w:bCs/>
        </w:rPr>
        <w:t>，</w:t>
      </w:r>
      <w:r>
        <w:rPr>
          <w:rFonts w:ascii="宋体" w:hAnsi="宋体"/>
          <w:bCs/>
        </w:rPr>
        <w:t>达到以赛促学的目的</w:t>
      </w:r>
      <w:r>
        <w:rPr>
          <w:rFonts w:ascii="宋体" w:hAnsi="宋体" w:hint="eastAsia"/>
          <w:bCs/>
        </w:rPr>
        <w:t>，</w:t>
      </w:r>
      <w:r>
        <w:rPr>
          <w:rFonts w:ascii="宋体" w:hAnsi="宋体"/>
          <w:bCs/>
        </w:rPr>
        <w:t>培养学生的</w:t>
      </w:r>
      <w:r>
        <w:rPr>
          <w:rFonts w:ascii="宋体" w:hAnsi="宋体" w:hint="eastAsia"/>
          <w:bCs/>
        </w:rPr>
        <w:t>团队</w:t>
      </w:r>
      <w:r>
        <w:rPr>
          <w:rFonts w:ascii="宋体" w:hAnsi="宋体"/>
          <w:bCs/>
        </w:rPr>
        <w:t>合作精神</w:t>
      </w:r>
      <w:r>
        <w:rPr>
          <w:rFonts w:ascii="宋体" w:hAnsi="宋体" w:hint="eastAsia"/>
          <w:bCs/>
        </w:rPr>
        <w:t>、</w:t>
      </w:r>
      <w:r>
        <w:rPr>
          <w:rFonts w:ascii="宋体" w:hAnsi="宋体"/>
          <w:bCs/>
        </w:rPr>
        <w:t>创新意识、动手能力。</w:t>
      </w:r>
    </w:p>
    <w:p w14:paraId="02F625AC"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b/>
          <w:szCs w:val="21"/>
        </w:rPr>
      </w:pPr>
      <w:r>
        <w:rPr>
          <w:b/>
          <w:szCs w:val="21"/>
        </w:rPr>
        <w:t>3.</w:t>
      </w:r>
      <w:r>
        <w:rPr>
          <w:b/>
          <w:szCs w:val="21"/>
        </w:rPr>
        <w:t>实验内容：</w:t>
      </w:r>
    </w:p>
    <w:p w14:paraId="380FD72E"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szCs w:val="21"/>
        </w:rPr>
        <w:t>（</w:t>
      </w:r>
      <w:r>
        <w:rPr>
          <w:rFonts w:hint="eastAsia"/>
          <w:szCs w:val="21"/>
        </w:rPr>
        <w:t>1</w:t>
      </w:r>
      <w:r>
        <w:rPr>
          <w:rFonts w:hint="eastAsia"/>
          <w:szCs w:val="21"/>
        </w:rPr>
        <w:t>）</w:t>
      </w:r>
      <w:r>
        <w:rPr>
          <w:rFonts w:hint="eastAsia"/>
          <w:color w:val="262600"/>
        </w:rPr>
        <w:t>几个人为一个小组，自行设计一套无土栽培装置。该装置应该用到所学无土栽培的原理和技术，综合考虑营养、水分、氧气的供应以及自动化等。</w:t>
      </w:r>
    </w:p>
    <w:p w14:paraId="52BED32F" w14:textId="77777777" w:rsidR="00F5289E" w:rsidRDefault="00C91173">
      <w:pPr>
        <w:pStyle w:val="a7"/>
        <w:spacing w:line="360" w:lineRule="auto"/>
        <w:rPr>
          <w:rFonts w:ascii="Times New Roman"/>
          <w:b/>
          <w:szCs w:val="21"/>
        </w:rPr>
      </w:pPr>
      <w:r>
        <w:rPr>
          <w:rFonts w:ascii="Times New Roman" w:hint="eastAsia"/>
          <w:szCs w:val="21"/>
        </w:rPr>
        <w:t>（</w:t>
      </w:r>
      <w:r>
        <w:rPr>
          <w:rFonts w:ascii="Times New Roman" w:hint="eastAsia"/>
          <w:szCs w:val="21"/>
        </w:rPr>
        <w:t>2</w:t>
      </w:r>
      <w:r>
        <w:rPr>
          <w:rFonts w:ascii="Times New Roman" w:hint="eastAsia"/>
          <w:szCs w:val="21"/>
        </w:rPr>
        <w:t>）</w:t>
      </w:r>
      <w:r>
        <w:rPr>
          <w:rFonts w:ascii="宋体" w:hAnsi="宋体" w:hint="eastAsia"/>
          <w:bCs/>
        </w:rPr>
        <w:t>设计的</w:t>
      </w:r>
      <w:r>
        <w:rPr>
          <w:rFonts w:ascii="宋体" w:hAnsi="宋体"/>
          <w:bCs/>
        </w:rPr>
        <w:t>装置可适用于家庭、观光</w:t>
      </w:r>
      <w:r>
        <w:rPr>
          <w:rFonts w:ascii="宋体" w:hAnsi="宋体" w:hint="eastAsia"/>
          <w:bCs/>
        </w:rPr>
        <w:t>或是</w:t>
      </w:r>
      <w:r>
        <w:rPr>
          <w:rFonts w:ascii="宋体" w:hAnsi="宋体"/>
          <w:bCs/>
        </w:rPr>
        <w:t>生产</w:t>
      </w:r>
      <w:r>
        <w:rPr>
          <w:rFonts w:ascii="宋体" w:hAnsi="宋体" w:hint="eastAsia"/>
          <w:bCs/>
        </w:rPr>
        <w:t>；</w:t>
      </w:r>
      <w:r>
        <w:rPr>
          <w:rFonts w:ascii="宋体" w:hAnsi="宋体"/>
          <w:bCs/>
        </w:rPr>
        <w:t>设计合理，团队分工明确，并体现协作精神</w:t>
      </w:r>
      <w:r>
        <w:rPr>
          <w:rFonts w:ascii="宋体" w:hAnsi="宋体" w:hint="eastAsia"/>
          <w:bCs/>
        </w:rPr>
        <w:t>；</w:t>
      </w:r>
      <w:r>
        <w:rPr>
          <w:rFonts w:ascii="宋体" w:hAnsi="宋体"/>
          <w:bCs/>
        </w:rPr>
        <w:t>画出设计图，阐明设计思路</w:t>
      </w:r>
      <w:r>
        <w:rPr>
          <w:rFonts w:ascii="宋体" w:hAnsi="宋体" w:hint="eastAsia"/>
          <w:bCs/>
        </w:rPr>
        <w:t>、</w:t>
      </w:r>
      <w:r>
        <w:rPr>
          <w:rFonts w:ascii="宋体" w:hAnsi="宋体"/>
          <w:bCs/>
        </w:rPr>
        <w:t>运行过程</w:t>
      </w:r>
      <w:r>
        <w:rPr>
          <w:rFonts w:ascii="宋体" w:hAnsi="宋体" w:hint="eastAsia"/>
          <w:bCs/>
        </w:rPr>
        <w:t>及</w:t>
      </w:r>
      <w:r>
        <w:rPr>
          <w:rFonts w:ascii="宋体" w:hAnsi="宋体"/>
          <w:bCs/>
        </w:rPr>
        <w:t>创新性</w:t>
      </w:r>
      <w:r>
        <w:rPr>
          <w:rFonts w:ascii="宋体" w:hAnsi="宋体" w:hint="eastAsia"/>
          <w:bCs/>
        </w:rPr>
        <w:t>。</w:t>
      </w:r>
    </w:p>
    <w:p w14:paraId="7DB889E3"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color w:val="262600"/>
        </w:rPr>
      </w:pPr>
      <w:r>
        <w:rPr>
          <w:rFonts w:eastAsiaTheme="minorEastAsia"/>
          <w:b/>
          <w:szCs w:val="21"/>
        </w:rPr>
        <w:t>4.</w:t>
      </w:r>
      <w:r>
        <w:rPr>
          <w:rFonts w:eastAsiaTheme="minorEastAsia"/>
          <w:b/>
          <w:szCs w:val="21"/>
        </w:rPr>
        <w:t>实验要求：</w:t>
      </w:r>
      <w:r>
        <w:rPr>
          <w:rFonts w:eastAsiaTheme="minorEastAsia"/>
          <w:b/>
          <w:szCs w:val="21"/>
        </w:rPr>
        <w:t xml:space="preserve"> </w:t>
      </w:r>
      <w:r>
        <w:rPr>
          <w:rFonts w:hint="eastAsia"/>
          <w:color w:val="262600"/>
        </w:rPr>
        <w:t>实习结束，每个（组）将所做的装置进行展示，大家（学生和教师）集中评定成绩，根据装置的优劣和参与度评定成绩，分为及格、良好和优秀三个档次。</w:t>
      </w:r>
    </w:p>
    <w:p w14:paraId="2B8EC52C" w14:textId="77777777" w:rsidR="00F5289E" w:rsidRDefault="00C91173">
      <w:pPr>
        <w:snapToGrid w:val="0"/>
        <w:spacing w:line="360" w:lineRule="auto"/>
        <w:ind w:firstLineChars="200" w:firstLine="422"/>
        <w:rPr>
          <w:szCs w:val="21"/>
        </w:rPr>
      </w:pPr>
      <w:r>
        <w:rPr>
          <w:rFonts w:eastAsiaTheme="minorEastAsia"/>
          <w:b/>
          <w:szCs w:val="21"/>
        </w:rPr>
        <w:t>5.</w:t>
      </w:r>
      <w:r>
        <w:rPr>
          <w:rFonts w:eastAsiaTheme="minorEastAsia"/>
          <w:b/>
          <w:szCs w:val="21"/>
        </w:rPr>
        <w:t>实验设备及器材：</w:t>
      </w:r>
      <w:r>
        <w:rPr>
          <w:rFonts w:eastAsiaTheme="minorEastAsia" w:hint="eastAsia"/>
          <w:szCs w:val="21"/>
        </w:rPr>
        <w:t>硬质</w:t>
      </w:r>
      <w:r>
        <w:rPr>
          <w:rFonts w:eastAsiaTheme="minorEastAsia"/>
          <w:szCs w:val="21"/>
        </w:rPr>
        <w:t>塑料板、塑料盆、管子、水泵等</w:t>
      </w:r>
      <w:r>
        <w:rPr>
          <w:rFonts w:eastAsiaTheme="minorEastAsia" w:hint="eastAsia"/>
          <w:szCs w:val="21"/>
        </w:rPr>
        <w:t>。</w:t>
      </w:r>
    </w:p>
    <w:p w14:paraId="1F2EFEA1" w14:textId="77777777" w:rsidR="00F5289E" w:rsidRDefault="00C91173">
      <w:pPr>
        <w:snapToGrid w:val="0"/>
        <w:spacing w:line="360" w:lineRule="auto"/>
        <w:ind w:firstLineChars="200" w:firstLine="420"/>
        <w:rPr>
          <w:bCs/>
        </w:rPr>
      </w:pPr>
      <w:r>
        <w:rPr>
          <w:szCs w:val="21"/>
        </w:rPr>
        <w:t>【实验</w:t>
      </w:r>
      <w:r>
        <w:rPr>
          <w:rFonts w:hint="eastAsia"/>
          <w:szCs w:val="21"/>
        </w:rPr>
        <w:t>四</w:t>
      </w:r>
      <w:r>
        <w:rPr>
          <w:szCs w:val="21"/>
        </w:rPr>
        <w:t>】蔬菜水培实验</w:t>
      </w:r>
    </w:p>
    <w:p w14:paraId="68EB3190" w14:textId="77777777" w:rsidR="00F5289E" w:rsidRDefault="00C91173">
      <w:pPr>
        <w:snapToGrid w:val="0"/>
        <w:spacing w:line="360" w:lineRule="auto"/>
        <w:ind w:firstLineChars="200" w:firstLine="422"/>
        <w:rPr>
          <w:szCs w:val="21"/>
        </w:rPr>
      </w:pPr>
      <w:r>
        <w:rPr>
          <w:b/>
          <w:szCs w:val="21"/>
        </w:rPr>
        <w:t>1.</w:t>
      </w:r>
      <w:r>
        <w:rPr>
          <w:b/>
          <w:szCs w:val="21"/>
        </w:rPr>
        <w:t>实验学时：</w:t>
      </w:r>
      <w:r>
        <w:rPr>
          <w:szCs w:val="21"/>
        </w:rPr>
        <w:t>4</w:t>
      </w:r>
    </w:p>
    <w:p w14:paraId="21D961AB" w14:textId="77777777" w:rsidR="00F5289E" w:rsidRDefault="00C91173">
      <w:pPr>
        <w:pStyle w:val="a7"/>
        <w:spacing w:line="360" w:lineRule="auto"/>
        <w:ind w:firstLine="422"/>
        <w:rPr>
          <w:rFonts w:ascii="Times New Roman"/>
          <w:bCs/>
          <w:color w:val="111111"/>
          <w:sz w:val="20"/>
        </w:rPr>
      </w:pPr>
      <w:r>
        <w:rPr>
          <w:rFonts w:ascii="Times New Roman"/>
          <w:b/>
          <w:szCs w:val="21"/>
        </w:rPr>
        <w:t>2.</w:t>
      </w:r>
      <w:r>
        <w:rPr>
          <w:rFonts w:ascii="Times New Roman"/>
          <w:b/>
          <w:szCs w:val="21"/>
        </w:rPr>
        <w:t>实验目的：</w:t>
      </w:r>
      <w:r>
        <w:rPr>
          <w:rFonts w:ascii="Times New Roman" w:hint="eastAsia"/>
          <w:bCs/>
          <w:szCs w:val="21"/>
        </w:rPr>
        <w:t>掌握蔬菜</w:t>
      </w:r>
      <w:r>
        <w:rPr>
          <w:rFonts w:ascii="Times New Roman"/>
          <w:bCs/>
          <w:szCs w:val="21"/>
        </w:rPr>
        <w:t>水培定植技术、栽培管理技术、营养液调控技术</w:t>
      </w:r>
      <w:r>
        <w:rPr>
          <w:rFonts w:ascii="Times New Roman"/>
          <w:bCs/>
        </w:rPr>
        <w:t>。</w:t>
      </w:r>
    </w:p>
    <w:p w14:paraId="2B84965E" w14:textId="77777777" w:rsidR="00F5289E" w:rsidRDefault="00C91173">
      <w:pPr>
        <w:pStyle w:val="a7"/>
        <w:spacing w:line="360" w:lineRule="auto"/>
        <w:ind w:firstLine="422"/>
        <w:rPr>
          <w:rFonts w:ascii="Times New Roman"/>
          <w:b/>
          <w:szCs w:val="21"/>
        </w:rPr>
      </w:pPr>
      <w:r>
        <w:rPr>
          <w:rFonts w:ascii="Times New Roman"/>
          <w:b/>
          <w:szCs w:val="21"/>
        </w:rPr>
        <w:t>3.</w:t>
      </w:r>
      <w:r>
        <w:rPr>
          <w:rFonts w:ascii="Times New Roman"/>
          <w:b/>
          <w:szCs w:val="21"/>
        </w:rPr>
        <w:t>实验内容：</w:t>
      </w:r>
    </w:p>
    <w:p w14:paraId="1889654C" w14:textId="77777777" w:rsidR="00F5289E" w:rsidRDefault="00C91173">
      <w:pPr>
        <w:pStyle w:val="a7"/>
        <w:spacing w:line="360" w:lineRule="auto"/>
        <w:rPr>
          <w:rFonts w:ascii="Times New Roman"/>
          <w:szCs w:val="21"/>
        </w:rPr>
      </w:pPr>
      <w:r>
        <w:rPr>
          <w:rFonts w:ascii="Times New Roman"/>
          <w:szCs w:val="21"/>
        </w:rPr>
        <w:t>（</w:t>
      </w:r>
      <w:r>
        <w:rPr>
          <w:rFonts w:ascii="Times New Roman"/>
          <w:szCs w:val="21"/>
        </w:rPr>
        <w:t>1</w:t>
      </w:r>
      <w:r>
        <w:rPr>
          <w:rFonts w:ascii="Times New Roman"/>
          <w:szCs w:val="21"/>
        </w:rPr>
        <w:t>）叶菜类幼苗的培育</w:t>
      </w:r>
      <w:r>
        <w:rPr>
          <w:rFonts w:ascii="Times New Roman"/>
          <w:szCs w:val="21"/>
        </w:rPr>
        <w:t xml:space="preserve"> </w:t>
      </w:r>
      <w:r>
        <w:rPr>
          <w:rFonts w:ascii="Times New Roman"/>
          <w:szCs w:val="21"/>
        </w:rPr>
        <w:t>采用岩棉或海绵水培育苗，或穴盘育苗（参考实验四）。</w:t>
      </w:r>
    </w:p>
    <w:p w14:paraId="69FFE395" w14:textId="77777777" w:rsidR="00F5289E" w:rsidRDefault="00C91173">
      <w:pPr>
        <w:snapToGrid w:val="0"/>
        <w:spacing w:line="360" w:lineRule="auto"/>
        <w:ind w:firstLineChars="200" w:firstLine="420"/>
      </w:pPr>
      <w:r>
        <w:t>（</w:t>
      </w:r>
      <w:r>
        <w:t>2</w:t>
      </w:r>
      <w:r>
        <w:t>）水培槽的准备</w:t>
      </w:r>
      <w:r>
        <w:t xml:space="preserve"> </w:t>
      </w:r>
      <w:r>
        <w:rPr>
          <w:rFonts w:hint="eastAsia"/>
        </w:rPr>
        <w:t>实践教学</w:t>
      </w:r>
      <w:r>
        <w:t>基地的深水培槽、立体栽培槽</w:t>
      </w:r>
      <w:r>
        <w:rPr>
          <w:rFonts w:hint="eastAsia"/>
        </w:rPr>
        <w:t>和</w:t>
      </w:r>
      <w:r>
        <w:t>营养液膜栽培槽，对槽子进行清理、消毒。</w:t>
      </w:r>
    </w:p>
    <w:p w14:paraId="18CAB634" w14:textId="77777777" w:rsidR="00F5289E" w:rsidRDefault="00C91173">
      <w:pPr>
        <w:snapToGrid w:val="0"/>
        <w:spacing w:line="360" w:lineRule="auto"/>
        <w:ind w:firstLineChars="200" w:firstLine="420"/>
      </w:pPr>
      <w:r>
        <w:rPr>
          <w:rFonts w:hAnsi="宋体"/>
        </w:rPr>
        <w:t>（</w:t>
      </w:r>
      <w:r>
        <w:t>3</w:t>
      </w:r>
      <w:r>
        <w:rPr>
          <w:rFonts w:hAnsi="宋体"/>
        </w:rPr>
        <w:t>）配制营养液（参考实验</w:t>
      </w:r>
      <w:r>
        <w:rPr>
          <w:rFonts w:hAnsi="宋体" w:hint="eastAsia"/>
        </w:rPr>
        <w:t>一</w:t>
      </w:r>
      <w:r>
        <w:rPr>
          <w:rFonts w:hAnsi="宋体"/>
        </w:rPr>
        <w:t>）、准备定植板与定植杯。</w:t>
      </w:r>
    </w:p>
    <w:p w14:paraId="33BCB206" w14:textId="77777777" w:rsidR="00F5289E" w:rsidRDefault="00C91173">
      <w:pPr>
        <w:spacing w:line="360" w:lineRule="auto"/>
        <w:ind w:firstLineChars="200" w:firstLine="420"/>
      </w:pPr>
      <w:r>
        <w:rPr>
          <w:rFonts w:hAnsi="宋体"/>
        </w:rPr>
        <w:t>（</w:t>
      </w:r>
      <w:r>
        <w:t>4</w:t>
      </w:r>
      <w:r>
        <w:rPr>
          <w:rFonts w:hAnsi="宋体"/>
        </w:rPr>
        <w:t>）移苗</w:t>
      </w:r>
      <w:r>
        <w:t xml:space="preserve"> </w:t>
      </w:r>
      <w:r>
        <w:rPr>
          <w:rFonts w:hAnsi="宋体"/>
        </w:rPr>
        <w:t>将已育好的生菜幼苗除去根部基质后，用岩棉或海绵包住根茎部，移植带孔育苗钵内，并定植到定植板的定植孔中。要使育苗块触及槽底、叶片伸出定植板。</w:t>
      </w:r>
    </w:p>
    <w:p w14:paraId="69064E71" w14:textId="77777777" w:rsidR="00F5289E" w:rsidRDefault="00C91173">
      <w:pPr>
        <w:spacing w:line="360" w:lineRule="auto"/>
        <w:ind w:firstLineChars="200" w:firstLine="420"/>
      </w:pPr>
      <w:r>
        <w:rPr>
          <w:rFonts w:hAnsi="宋体"/>
        </w:rPr>
        <w:t>（</w:t>
      </w:r>
      <w:r>
        <w:t>5</w:t>
      </w:r>
      <w:r>
        <w:rPr>
          <w:rFonts w:hAnsi="宋体"/>
        </w:rPr>
        <w:t>）营养液的管理</w:t>
      </w:r>
      <w:r>
        <w:t xml:space="preserve">  </w:t>
      </w:r>
      <w:r>
        <w:rPr>
          <w:rFonts w:hAnsi="宋体"/>
        </w:rPr>
        <w:t>要认真定时或随时检查营养液的电导率、酸碱度和温度的变化及其溶解</w:t>
      </w:r>
      <w:r>
        <w:rPr>
          <w:rFonts w:hAnsi="宋体"/>
        </w:rPr>
        <w:lastRenderedPageBreak/>
        <w:t>氧的情况，并及时更换营养液，保证植株的正常生长。</w:t>
      </w:r>
    </w:p>
    <w:p w14:paraId="31FC4315" w14:textId="77777777" w:rsidR="00F5289E" w:rsidRDefault="00C91173">
      <w:pPr>
        <w:spacing w:line="360" w:lineRule="auto"/>
        <w:ind w:firstLine="435"/>
        <w:rPr>
          <w:szCs w:val="21"/>
        </w:rPr>
      </w:pPr>
      <w:r>
        <w:rPr>
          <w:rFonts w:eastAsiaTheme="minorEastAsia"/>
          <w:b/>
          <w:szCs w:val="21"/>
        </w:rPr>
        <w:t>4.</w:t>
      </w:r>
      <w:r>
        <w:rPr>
          <w:rFonts w:eastAsiaTheme="minorEastAsia"/>
          <w:b/>
          <w:szCs w:val="21"/>
        </w:rPr>
        <w:t>实验要求：</w:t>
      </w:r>
      <w:r>
        <w:rPr>
          <w:rFonts w:hAnsi="宋体"/>
          <w:szCs w:val="21"/>
        </w:rPr>
        <w:t>根据全班人数分成若干小组，每组按实验内容要求进行，</w:t>
      </w:r>
      <w:r>
        <w:rPr>
          <w:rFonts w:hint="eastAsia"/>
          <w:szCs w:val="21"/>
        </w:rPr>
        <w:t>保障植株日常</w:t>
      </w:r>
      <w:r>
        <w:rPr>
          <w:szCs w:val="21"/>
        </w:rPr>
        <w:t>管理，调查营养液管理及植株长势情况，</w:t>
      </w:r>
      <w:r>
        <w:rPr>
          <w:rFonts w:hAnsi="宋体"/>
          <w:szCs w:val="21"/>
        </w:rPr>
        <w:t>将调查结果写出实验报告。</w:t>
      </w:r>
    </w:p>
    <w:p w14:paraId="35A64409" w14:textId="77777777" w:rsidR="00F5289E" w:rsidRDefault="00C91173">
      <w:pPr>
        <w:spacing w:line="360" w:lineRule="auto"/>
        <w:ind w:firstLine="435"/>
        <w:rPr>
          <w:szCs w:val="21"/>
        </w:rPr>
      </w:pPr>
      <w:r>
        <w:rPr>
          <w:rFonts w:eastAsiaTheme="minorEastAsia"/>
          <w:b/>
          <w:szCs w:val="21"/>
        </w:rPr>
        <w:t>5.</w:t>
      </w:r>
      <w:r>
        <w:rPr>
          <w:rFonts w:eastAsiaTheme="minorEastAsia"/>
          <w:b/>
          <w:szCs w:val="21"/>
        </w:rPr>
        <w:t>实验设备及器材：</w:t>
      </w:r>
      <w:r>
        <w:rPr>
          <w:rFonts w:hAnsi="宋体"/>
        </w:rPr>
        <w:t>已育好待移植的生菜幼苗；</w:t>
      </w:r>
      <w:r>
        <w:rPr>
          <w:rFonts w:eastAsiaTheme="minorEastAsia"/>
          <w:szCs w:val="21"/>
        </w:rPr>
        <w:t>pH</w:t>
      </w:r>
      <w:r>
        <w:rPr>
          <w:rFonts w:eastAsiaTheme="minorEastAsia"/>
          <w:szCs w:val="21"/>
        </w:rPr>
        <w:t>计、电导率仪、温度计、溶氧仪等。</w:t>
      </w:r>
    </w:p>
    <w:p w14:paraId="468CEB14" w14:textId="77777777" w:rsidR="00F5289E" w:rsidRDefault="00C91173">
      <w:pPr>
        <w:snapToGrid w:val="0"/>
        <w:spacing w:line="360" w:lineRule="auto"/>
        <w:rPr>
          <w:b/>
          <w:bCs/>
          <w:szCs w:val="21"/>
        </w:rPr>
      </w:pPr>
      <w:r>
        <w:rPr>
          <w:rFonts w:hAnsi="宋体"/>
          <w:b/>
          <w:bCs/>
          <w:szCs w:val="21"/>
        </w:rPr>
        <w:t>（五）考核方式及成绩评定</w:t>
      </w:r>
    </w:p>
    <w:p w14:paraId="272347FE" w14:textId="77777777" w:rsidR="00F5289E" w:rsidRDefault="00C91173">
      <w:pPr>
        <w:pStyle w:val="a7"/>
        <w:spacing w:line="360" w:lineRule="auto"/>
        <w:rPr>
          <w:rFonts w:ascii="Times New Roman" w:eastAsia="仿宋_GB2312"/>
          <w:szCs w:val="21"/>
        </w:rPr>
      </w:pPr>
      <w:r>
        <w:rPr>
          <w:rFonts w:ascii="Times New Roman" w:eastAsiaTheme="minorEastAsia" w:hAnsiTheme="minorEastAsia"/>
          <w:szCs w:val="21"/>
        </w:rPr>
        <w:t>实验成绩以考核方式评定。考核内容包括出勤；实验过程的认真程度；实际操作能力；实验报告书写情况等。成绩采用百分制或优秀、良好、中等、及格、不及格五级记分制。</w:t>
      </w:r>
    </w:p>
    <w:p w14:paraId="0F8D9A11"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465C39E5" w14:textId="77777777" w:rsidR="00F5289E" w:rsidRDefault="00C91173">
      <w:pPr>
        <w:spacing w:beforeLines="50" w:before="156" w:line="360" w:lineRule="auto"/>
        <w:ind w:firstLineChars="1000" w:firstLine="2100"/>
        <w:rPr>
          <w:szCs w:val="21"/>
        </w:rPr>
      </w:pPr>
      <w:r>
        <w:rPr>
          <w:szCs w:val="21"/>
        </w:rPr>
        <w:t>表</w:t>
      </w:r>
      <w:r>
        <w:rPr>
          <w:szCs w:val="21"/>
        </w:rPr>
        <w:t xml:space="preserve"> </w:t>
      </w:r>
      <w:r>
        <w:rPr>
          <w:szCs w:val="21"/>
        </w:rPr>
        <w:t>无土栽培课程思政融入理论教学内容一览表</w:t>
      </w:r>
    </w:p>
    <w:tbl>
      <w:tblPr>
        <w:tblStyle w:val="af6"/>
        <w:tblW w:w="0" w:type="auto"/>
        <w:jc w:val="center"/>
        <w:tblLayout w:type="fixed"/>
        <w:tblLook w:val="04A0" w:firstRow="1" w:lastRow="0" w:firstColumn="1" w:lastColumn="0" w:noHBand="0" w:noVBand="1"/>
      </w:tblPr>
      <w:tblGrid>
        <w:gridCol w:w="1139"/>
        <w:gridCol w:w="2126"/>
        <w:gridCol w:w="4227"/>
      </w:tblGrid>
      <w:tr w:rsidR="00F5289E" w14:paraId="330F93A1" w14:textId="77777777">
        <w:trPr>
          <w:trHeight w:val="531"/>
          <w:jc w:val="center"/>
        </w:trPr>
        <w:tc>
          <w:tcPr>
            <w:tcW w:w="1139" w:type="dxa"/>
            <w:vAlign w:val="center"/>
          </w:tcPr>
          <w:p w14:paraId="5B25D71D" w14:textId="77777777" w:rsidR="00F5289E" w:rsidRDefault="00C91173">
            <w:pPr>
              <w:spacing w:beforeLines="50" w:before="156" w:line="360" w:lineRule="auto"/>
              <w:jc w:val="center"/>
              <w:rPr>
                <w:sz w:val="18"/>
                <w:szCs w:val="18"/>
              </w:rPr>
            </w:pPr>
            <w:r>
              <w:rPr>
                <w:sz w:val="18"/>
                <w:szCs w:val="18"/>
              </w:rPr>
              <w:t>标题</w:t>
            </w:r>
          </w:p>
        </w:tc>
        <w:tc>
          <w:tcPr>
            <w:tcW w:w="2126" w:type="dxa"/>
            <w:vAlign w:val="center"/>
          </w:tcPr>
          <w:p w14:paraId="55BA53F8" w14:textId="77777777" w:rsidR="00F5289E" w:rsidRDefault="00C91173">
            <w:pPr>
              <w:spacing w:beforeLines="50" w:before="156" w:line="360" w:lineRule="auto"/>
              <w:jc w:val="center"/>
              <w:rPr>
                <w:sz w:val="18"/>
                <w:szCs w:val="18"/>
              </w:rPr>
            </w:pPr>
            <w:r>
              <w:rPr>
                <w:sz w:val="18"/>
                <w:szCs w:val="18"/>
              </w:rPr>
              <w:t>课程内容</w:t>
            </w:r>
          </w:p>
        </w:tc>
        <w:tc>
          <w:tcPr>
            <w:tcW w:w="4227" w:type="dxa"/>
            <w:vAlign w:val="center"/>
          </w:tcPr>
          <w:p w14:paraId="6834222A" w14:textId="77777777" w:rsidR="00F5289E" w:rsidRDefault="00C91173">
            <w:pPr>
              <w:spacing w:beforeLines="50" w:before="156" w:line="360" w:lineRule="auto"/>
              <w:jc w:val="center"/>
              <w:rPr>
                <w:sz w:val="18"/>
                <w:szCs w:val="18"/>
              </w:rPr>
            </w:pPr>
            <w:r>
              <w:rPr>
                <w:sz w:val="18"/>
                <w:szCs w:val="18"/>
              </w:rPr>
              <w:t>思政内容</w:t>
            </w:r>
          </w:p>
        </w:tc>
      </w:tr>
      <w:tr w:rsidR="00F5289E" w14:paraId="6BE78415" w14:textId="77777777">
        <w:trPr>
          <w:trHeight w:val="1089"/>
          <w:jc w:val="center"/>
        </w:trPr>
        <w:tc>
          <w:tcPr>
            <w:tcW w:w="1139" w:type="dxa"/>
            <w:vAlign w:val="center"/>
          </w:tcPr>
          <w:p w14:paraId="779F5051" w14:textId="77777777" w:rsidR="00F5289E" w:rsidRDefault="00C91173">
            <w:pPr>
              <w:spacing w:beforeLines="50" w:before="156" w:line="360" w:lineRule="auto"/>
              <w:jc w:val="center"/>
              <w:rPr>
                <w:sz w:val="18"/>
                <w:szCs w:val="18"/>
              </w:rPr>
            </w:pPr>
            <w:r>
              <w:rPr>
                <w:sz w:val="18"/>
                <w:szCs w:val="18"/>
              </w:rPr>
              <w:t>绪论</w:t>
            </w:r>
            <w:r>
              <w:rPr>
                <w:sz w:val="18"/>
                <w:szCs w:val="18"/>
              </w:rPr>
              <w:t xml:space="preserve"> </w:t>
            </w:r>
          </w:p>
        </w:tc>
        <w:tc>
          <w:tcPr>
            <w:tcW w:w="2126" w:type="dxa"/>
            <w:vAlign w:val="center"/>
          </w:tcPr>
          <w:p w14:paraId="35D9228C" w14:textId="77777777" w:rsidR="00F5289E" w:rsidRDefault="00C91173">
            <w:pPr>
              <w:spacing w:beforeLines="50" w:before="156" w:line="360" w:lineRule="auto"/>
              <w:jc w:val="center"/>
              <w:rPr>
                <w:sz w:val="18"/>
                <w:szCs w:val="18"/>
              </w:rPr>
            </w:pPr>
            <w:r>
              <w:rPr>
                <w:sz w:val="18"/>
                <w:szCs w:val="18"/>
              </w:rPr>
              <w:t>无土栽培发展历史及现状</w:t>
            </w:r>
          </w:p>
        </w:tc>
        <w:tc>
          <w:tcPr>
            <w:tcW w:w="4227" w:type="dxa"/>
            <w:vAlign w:val="center"/>
          </w:tcPr>
          <w:p w14:paraId="660F16B8" w14:textId="77777777" w:rsidR="00F5289E" w:rsidRDefault="00C91173">
            <w:pPr>
              <w:spacing w:beforeLines="50" w:before="156" w:line="360" w:lineRule="auto"/>
              <w:rPr>
                <w:sz w:val="18"/>
                <w:szCs w:val="18"/>
              </w:rPr>
            </w:pPr>
            <w:r>
              <w:rPr>
                <w:sz w:val="18"/>
                <w:szCs w:val="18"/>
              </w:rPr>
              <w:t>为学生传输我国现代农业的迅速发展，使他们为日益强大的祖国、逐渐增强的科技力量和劳动人民智慧感到自豪。</w:t>
            </w:r>
          </w:p>
        </w:tc>
      </w:tr>
      <w:tr w:rsidR="00F5289E" w14:paraId="1ED26C8D" w14:textId="77777777">
        <w:trPr>
          <w:trHeight w:val="531"/>
          <w:jc w:val="center"/>
        </w:trPr>
        <w:tc>
          <w:tcPr>
            <w:tcW w:w="1139" w:type="dxa"/>
            <w:vAlign w:val="center"/>
          </w:tcPr>
          <w:p w14:paraId="2BC30168" w14:textId="77777777" w:rsidR="00F5289E" w:rsidRDefault="00C91173">
            <w:pPr>
              <w:spacing w:beforeLines="50" w:before="156" w:line="360" w:lineRule="auto"/>
              <w:jc w:val="center"/>
              <w:rPr>
                <w:sz w:val="18"/>
                <w:szCs w:val="18"/>
              </w:rPr>
            </w:pPr>
            <w:r>
              <w:rPr>
                <w:sz w:val="18"/>
                <w:szCs w:val="18"/>
              </w:rPr>
              <w:t>无土栽培的营养液</w:t>
            </w:r>
          </w:p>
        </w:tc>
        <w:tc>
          <w:tcPr>
            <w:tcW w:w="2126" w:type="dxa"/>
            <w:vAlign w:val="center"/>
          </w:tcPr>
          <w:p w14:paraId="7319BC48" w14:textId="77777777" w:rsidR="00F5289E" w:rsidRDefault="00C91173">
            <w:pPr>
              <w:spacing w:beforeLines="50" w:before="156" w:line="360" w:lineRule="auto"/>
              <w:jc w:val="center"/>
              <w:rPr>
                <w:sz w:val="18"/>
                <w:szCs w:val="18"/>
              </w:rPr>
            </w:pPr>
            <w:r>
              <w:rPr>
                <w:sz w:val="18"/>
                <w:szCs w:val="18"/>
              </w:rPr>
              <w:t>了解营养液的原料及性质、掌握营养液的配制方法及管理技术</w:t>
            </w:r>
          </w:p>
        </w:tc>
        <w:tc>
          <w:tcPr>
            <w:tcW w:w="4227" w:type="dxa"/>
            <w:vAlign w:val="center"/>
          </w:tcPr>
          <w:p w14:paraId="3D591DA1" w14:textId="77777777" w:rsidR="00F5289E" w:rsidRDefault="00C91173">
            <w:pPr>
              <w:spacing w:beforeLines="50" w:before="156" w:line="360" w:lineRule="auto"/>
              <w:rPr>
                <w:sz w:val="18"/>
                <w:szCs w:val="18"/>
              </w:rPr>
            </w:pPr>
            <w:r>
              <w:rPr>
                <w:sz w:val="18"/>
                <w:szCs w:val="18"/>
              </w:rPr>
              <w:t>栽培一棵蔬菜，就像培育一个人一样，需要充足的营养长身体，又需要外界助力进行抗性锻炼，待成才后，将其所有奉献给社会。</w:t>
            </w:r>
          </w:p>
        </w:tc>
      </w:tr>
      <w:tr w:rsidR="00F5289E" w14:paraId="1288921B" w14:textId="77777777">
        <w:trPr>
          <w:trHeight w:val="542"/>
          <w:jc w:val="center"/>
        </w:trPr>
        <w:tc>
          <w:tcPr>
            <w:tcW w:w="1139" w:type="dxa"/>
            <w:vAlign w:val="center"/>
          </w:tcPr>
          <w:p w14:paraId="099B2682" w14:textId="77777777" w:rsidR="00F5289E" w:rsidRDefault="00C91173">
            <w:pPr>
              <w:spacing w:beforeLines="50" w:before="156" w:line="360" w:lineRule="auto"/>
              <w:jc w:val="center"/>
              <w:rPr>
                <w:sz w:val="18"/>
                <w:szCs w:val="18"/>
              </w:rPr>
            </w:pPr>
            <w:r>
              <w:rPr>
                <w:sz w:val="18"/>
                <w:szCs w:val="18"/>
              </w:rPr>
              <w:t>无土栽培的固体基质</w:t>
            </w:r>
          </w:p>
        </w:tc>
        <w:tc>
          <w:tcPr>
            <w:tcW w:w="2126" w:type="dxa"/>
            <w:vAlign w:val="center"/>
          </w:tcPr>
          <w:p w14:paraId="2020EF11" w14:textId="77777777" w:rsidR="00F5289E" w:rsidRDefault="00C91173">
            <w:pPr>
              <w:spacing w:beforeLines="50" w:before="156" w:line="360" w:lineRule="auto"/>
              <w:jc w:val="center"/>
              <w:rPr>
                <w:sz w:val="18"/>
                <w:szCs w:val="18"/>
              </w:rPr>
            </w:pPr>
            <w:r>
              <w:rPr>
                <w:sz w:val="18"/>
                <w:szCs w:val="18"/>
              </w:rPr>
              <w:t>了解基质的种类及特点、基质的配制原则及方法</w:t>
            </w:r>
          </w:p>
        </w:tc>
        <w:tc>
          <w:tcPr>
            <w:tcW w:w="4227" w:type="dxa"/>
            <w:vAlign w:val="center"/>
          </w:tcPr>
          <w:p w14:paraId="2A802E9A" w14:textId="77777777" w:rsidR="00F5289E" w:rsidRDefault="00C91173">
            <w:pPr>
              <w:spacing w:beforeLines="50" w:before="156" w:line="360" w:lineRule="auto"/>
              <w:rPr>
                <w:sz w:val="18"/>
                <w:szCs w:val="18"/>
              </w:rPr>
            </w:pPr>
            <w:r>
              <w:rPr>
                <w:sz w:val="18"/>
                <w:szCs w:val="18"/>
              </w:rPr>
              <w:t>每一个人就像固体基质一样都有其独特的特点，只要我们善于发现并合理利用，就会成为发光的金子。</w:t>
            </w:r>
          </w:p>
        </w:tc>
      </w:tr>
      <w:tr w:rsidR="00F5289E" w14:paraId="552159B6" w14:textId="77777777">
        <w:trPr>
          <w:trHeight w:val="531"/>
          <w:jc w:val="center"/>
        </w:trPr>
        <w:tc>
          <w:tcPr>
            <w:tcW w:w="1139" w:type="dxa"/>
            <w:vAlign w:val="center"/>
          </w:tcPr>
          <w:p w14:paraId="1C59C637" w14:textId="77777777" w:rsidR="00F5289E" w:rsidRDefault="00C91173">
            <w:pPr>
              <w:spacing w:beforeLines="50" w:before="156" w:line="360" w:lineRule="auto"/>
              <w:jc w:val="center"/>
              <w:rPr>
                <w:sz w:val="18"/>
                <w:szCs w:val="18"/>
              </w:rPr>
            </w:pPr>
            <w:r>
              <w:rPr>
                <w:sz w:val="18"/>
                <w:szCs w:val="18"/>
              </w:rPr>
              <w:t>水培和雾培的生产设施与管理</w:t>
            </w:r>
          </w:p>
        </w:tc>
        <w:tc>
          <w:tcPr>
            <w:tcW w:w="2126" w:type="dxa"/>
            <w:vAlign w:val="center"/>
          </w:tcPr>
          <w:p w14:paraId="3B15EC7F" w14:textId="77777777" w:rsidR="00F5289E" w:rsidRDefault="00C91173">
            <w:pPr>
              <w:spacing w:beforeLines="50" w:before="156" w:line="360" w:lineRule="auto"/>
              <w:jc w:val="center"/>
              <w:rPr>
                <w:sz w:val="18"/>
                <w:szCs w:val="18"/>
              </w:rPr>
            </w:pPr>
            <w:r>
              <w:rPr>
                <w:sz w:val="18"/>
                <w:szCs w:val="18"/>
              </w:rPr>
              <w:t>掌握水培、雾培的主要类型、特征及结构，了解栽培管理技术要点</w:t>
            </w:r>
          </w:p>
        </w:tc>
        <w:tc>
          <w:tcPr>
            <w:tcW w:w="4227" w:type="dxa"/>
            <w:vAlign w:val="center"/>
          </w:tcPr>
          <w:p w14:paraId="531E86AC" w14:textId="77777777" w:rsidR="00F5289E" w:rsidRDefault="00C91173">
            <w:pPr>
              <w:spacing w:beforeLines="50" w:before="156" w:line="360" w:lineRule="auto"/>
              <w:rPr>
                <w:sz w:val="18"/>
                <w:szCs w:val="18"/>
              </w:rPr>
            </w:pPr>
            <w:r>
              <w:rPr>
                <w:sz w:val="18"/>
                <w:szCs w:val="18"/>
              </w:rPr>
              <w:t>在没有土壤的地方也可以栽培。面对任何困难，只要努力创造条件，都会找到解决的方法，而且可能会取得更好的效果。</w:t>
            </w:r>
          </w:p>
        </w:tc>
      </w:tr>
      <w:tr w:rsidR="00F5289E" w14:paraId="326B656B" w14:textId="77777777">
        <w:trPr>
          <w:trHeight w:val="860"/>
          <w:jc w:val="center"/>
        </w:trPr>
        <w:tc>
          <w:tcPr>
            <w:tcW w:w="1139" w:type="dxa"/>
            <w:vAlign w:val="center"/>
          </w:tcPr>
          <w:p w14:paraId="7B7B842A" w14:textId="77777777" w:rsidR="00F5289E" w:rsidRDefault="00C91173">
            <w:pPr>
              <w:spacing w:beforeLines="50" w:before="156" w:line="360" w:lineRule="auto"/>
              <w:jc w:val="center"/>
              <w:rPr>
                <w:sz w:val="18"/>
                <w:szCs w:val="18"/>
              </w:rPr>
            </w:pPr>
            <w:r>
              <w:rPr>
                <w:sz w:val="18"/>
                <w:szCs w:val="18"/>
              </w:rPr>
              <w:t>基质培生产设施与管理</w:t>
            </w:r>
          </w:p>
        </w:tc>
        <w:tc>
          <w:tcPr>
            <w:tcW w:w="2126" w:type="dxa"/>
            <w:vAlign w:val="center"/>
          </w:tcPr>
          <w:p w14:paraId="4C8A326C" w14:textId="77777777" w:rsidR="00F5289E" w:rsidRDefault="00C91173">
            <w:pPr>
              <w:spacing w:beforeLines="50" w:before="156" w:line="360" w:lineRule="auto"/>
              <w:jc w:val="center"/>
              <w:rPr>
                <w:sz w:val="18"/>
                <w:szCs w:val="18"/>
              </w:rPr>
            </w:pPr>
            <w:r>
              <w:rPr>
                <w:sz w:val="18"/>
                <w:szCs w:val="18"/>
              </w:rPr>
              <w:t>掌握基质培的主要类型、特征及结构，了解栽培管理技术要点</w:t>
            </w:r>
          </w:p>
        </w:tc>
        <w:tc>
          <w:tcPr>
            <w:tcW w:w="4227" w:type="dxa"/>
            <w:vAlign w:val="center"/>
          </w:tcPr>
          <w:p w14:paraId="6CBD3A1D" w14:textId="77777777" w:rsidR="00F5289E" w:rsidRDefault="00C91173">
            <w:pPr>
              <w:spacing w:beforeLines="50" w:before="156" w:line="360" w:lineRule="auto"/>
              <w:rPr>
                <w:sz w:val="18"/>
                <w:szCs w:val="18"/>
              </w:rPr>
            </w:pPr>
            <w:r>
              <w:rPr>
                <w:sz w:val="18"/>
                <w:szCs w:val="18"/>
              </w:rPr>
              <w:t>本着节约与废弃物再利用的原则，积极响应国家政策，发展绿色农业，减少浪费减少污染，坚持可持续发展。</w:t>
            </w:r>
          </w:p>
        </w:tc>
      </w:tr>
      <w:tr w:rsidR="00F5289E" w14:paraId="197CC2E1" w14:textId="77777777">
        <w:trPr>
          <w:trHeight w:val="531"/>
          <w:jc w:val="center"/>
        </w:trPr>
        <w:tc>
          <w:tcPr>
            <w:tcW w:w="1139" w:type="dxa"/>
            <w:vAlign w:val="center"/>
          </w:tcPr>
          <w:p w14:paraId="5D1E8F83" w14:textId="77777777" w:rsidR="00F5289E" w:rsidRDefault="00C91173">
            <w:pPr>
              <w:spacing w:beforeLines="50" w:before="156" w:line="360" w:lineRule="auto"/>
              <w:jc w:val="center"/>
              <w:rPr>
                <w:sz w:val="18"/>
                <w:szCs w:val="18"/>
              </w:rPr>
            </w:pPr>
            <w:r>
              <w:rPr>
                <w:sz w:val="18"/>
                <w:szCs w:val="18"/>
              </w:rPr>
              <w:t>蔬菜无土栽</w:t>
            </w:r>
            <w:r>
              <w:rPr>
                <w:sz w:val="18"/>
                <w:szCs w:val="18"/>
              </w:rPr>
              <w:lastRenderedPageBreak/>
              <w:t>培</w:t>
            </w:r>
          </w:p>
        </w:tc>
        <w:tc>
          <w:tcPr>
            <w:tcW w:w="2126" w:type="dxa"/>
            <w:vAlign w:val="center"/>
          </w:tcPr>
          <w:p w14:paraId="78748607" w14:textId="77777777" w:rsidR="00F5289E" w:rsidRDefault="00C91173">
            <w:pPr>
              <w:spacing w:beforeLines="50" w:before="156" w:line="360" w:lineRule="auto"/>
              <w:jc w:val="center"/>
              <w:rPr>
                <w:sz w:val="18"/>
                <w:szCs w:val="18"/>
              </w:rPr>
            </w:pPr>
            <w:r>
              <w:rPr>
                <w:sz w:val="18"/>
                <w:szCs w:val="18"/>
              </w:rPr>
              <w:lastRenderedPageBreak/>
              <w:t>掌握黄瓜、番茄、生菜</w:t>
            </w:r>
            <w:r>
              <w:rPr>
                <w:sz w:val="18"/>
                <w:szCs w:val="18"/>
              </w:rPr>
              <w:lastRenderedPageBreak/>
              <w:t>无土栽培方式及关键技术</w:t>
            </w:r>
          </w:p>
        </w:tc>
        <w:tc>
          <w:tcPr>
            <w:tcW w:w="4227" w:type="dxa"/>
            <w:vAlign w:val="center"/>
          </w:tcPr>
          <w:p w14:paraId="2946BAE6" w14:textId="77777777" w:rsidR="00F5289E" w:rsidRDefault="00C91173">
            <w:pPr>
              <w:spacing w:beforeLines="50" w:before="156" w:line="360" w:lineRule="auto"/>
              <w:rPr>
                <w:sz w:val="18"/>
                <w:szCs w:val="18"/>
              </w:rPr>
            </w:pPr>
            <w:r>
              <w:rPr>
                <w:sz w:val="18"/>
                <w:szCs w:val="18"/>
              </w:rPr>
              <w:lastRenderedPageBreak/>
              <w:t>树立正确的人生观、价值观，只要你有技术有能力，</w:t>
            </w:r>
            <w:r>
              <w:rPr>
                <w:sz w:val="18"/>
                <w:szCs w:val="18"/>
              </w:rPr>
              <w:lastRenderedPageBreak/>
              <w:t>在不同的阶段都要做好充分的准备，为长成大树积累力量。</w:t>
            </w:r>
          </w:p>
        </w:tc>
      </w:tr>
      <w:tr w:rsidR="00F5289E" w14:paraId="093A7904" w14:textId="77777777">
        <w:trPr>
          <w:trHeight w:val="1174"/>
          <w:jc w:val="center"/>
        </w:trPr>
        <w:tc>
          <w:tcPr>
            <w:tcW w:w="1139" w:type="dxa"/>
            <w:vAlign w:val="center"/>
          </w:tcPr>
          <w:p w14:paraId="624CE37D" w14:textId="77777777" w:rsidR="00F5289E" w:rsidRDefault="00C91173">
            <w:pPr>
              <w:spacing w:beforeLines="50" w:before="156" w:line="360" w:lineRule="auto"/>
              <w:jc w:val="center"/>
              <w:rPr>
                <w:sz w:val="18"/>
                <w:szCs w:val="18"/>
              </w:rPr>
            </w:pPr>
            <w:r>
              <w:rPr>
                <w:sz w:val="18"/>
                <w:szCs w:val="18"/>
              </w:rPr>
              <w:lastRenderedPageBreak/>
              <w:t>无土栽培的拓展应用</w:t>
            </w:r>
          </w:p>
        </w:tc>
        <w:tc>
          <w:tcPr>
            <w:tcW w:w="2126" w:type="dxa"/>
            <w:vAlign w:val="center"/>
          </w:tcPr>
          <w:p w14:paraId="3AC023A1" w14:textId="77777777" w:rsidR="00F5289E" w:rsidRDefault="00C91173">
            <w:pPr>
              <w:spacing w:beforeLines="50" w:before="156" w:line="360" w:lineRule="auto"/>
              <w:jc w:val="center"/>
              <w:rPr>
                <w:sz w:val="18"/>
                <w:szCs w:val="18"/>
              </w:rPr>
            </w:pPr>
            <w:r>
              <w:rPr>
                <w:sz w:val="18"/>
                <w:szCs w:val="18"/>
              </w:rPr>
              <w:t>掌握家庭型、观光型、树式无土栽培关键技术</w:t>
            </w:r>
          </w:p>
        </w:tc>
        <w:tc>
          <w:tcPr>
            <w:tcW w:w="4227" w:type="dxa"/>
            <w:vAlign w:val="center"/>
          </w:tcPr>
          <w:p w14:paraId="78239C92" w14:textId="77777777" w:rsidR="00F5289E" w:rsidRDefault="00C91173">
            <w:pPr>
              <w:spacing w:beforeLines="50" w:before="156" w:line="360" w:lineRule="auto"/>
              <w:rPr>
                <w:sz w:val="18"/>
                <w:szCs w:val="18"/>
              </w:rPr>
            </w:pPr>
            <w:r>
              <w:rPr>
                <w:sz w:val="18"/>
                <w:szCs w:val="18"/>
              </w:rPr>
              <w:t>感受现代农业的美妙，感受丰收的喜悦，为发展高产高效的农业奉献力量，为提高</w:t>
            </w:r>
            <w:r>
              <w:rPr>
                <w:sz w:val="18"/>
                <w:szCs w:val="18"/>
              </w:rPr>
              <w:t xml:space="preserve"> </w:t>
            </w:r>
            <w:r>
              <w:rPr>
                <w:sz w:val="18"/>
                <w:szCs w:val="18"/>
              </w:rPr>
              <w:t>人民生活水平出谋划策。</w:t>
            </w:r>
          </w:p>
        </w:tc>
      </w:tr>
    </w:tbl>
    <w:p w14:paraId="23413831" w14:textId="77777777" w:rsidR="00F5289E" w:rsidRDefault="00F5289E">
      <w:pPr>
        <w:widowControl/>
        <w:snapToGrid w:val="0"/>
        <w:spacing w:line="360" w:lineRule="auto"/>
        <w:jc w:val="left"/>
        <w:rPr>
          <w:rFonts w:ascii="宋体" w:hAnsi="宋体"/>
          <w:bCs/>
          <w:color w:val="0000FF"/>
          <w:szCs w:val="21"/>
        </w:rPr>
      </w:pPr>
    </w:p>
    <w:p w14:paraId="181569F3"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088E40F5"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545EBAE3" w14:textId="77777777" w:rsidR="00F5289E" w:rsidRDefault="00C91173">
      <w:pPr>
        <w:widowControl/>
        <w:snapToGrid w:val="0"/>
        <w:spacing w:line="360" w:lineRule="auto"/>
        <w:ind w:firstLineChars="200" w:firstLine="420"/>
        <w:jc w:val="left"/>
        <w:rPr>
          <w:rFonts w:eastAsiaTheme="minorEastAsia"/>
        </w:rPr>
      </w:pPr>
      <w:r>
        <w:rPr>
          <w:rFonts w:eastAsiaTheme="minorEastAsia"/>
          <w:bCs/>
          <w:kern w:val="0"/>
          <w:szCs w:val="21"/>
        </w:rPr>
        <w:t>（</w:t>
      </w:r>
      <w:r>
        <w:rPr>
          <w:rFonts w:eastAsiaTheme="minorEastAsia"/>
          <w:bCs/>
          <w:kern w:val="0"/>
          <w:szCs w:val="21"/>
        </w:rPr>
        <w:t>1</w:t>
      </w:r>
      <w:r>
        <w:rPr>
          <w:rFonts w:eastAsiaTheme="minorEastAsia"/>
          <w:bCs/>
          <w:kern w:val="0"/>
          <w:szCs w:val="21"/>
        </w:rPr>
        <w:t>）理论课教材：</w:t>
      </w:r>
      <w:r>
        <w:rPr>
          <w:rFonts w:eastAsiaTheme="minorEastAsia"/>
        </w:rPr>
        <w:t>《无土栽培学》，高丽红、别之龙主编，中国农业大学出版社，</w:t>
      </w:r>
      <w:r>
        <w:rPr>
          <w:rFonts w:eastAsiaTheme="minorEastAsia"/>
        </w:rPr>
        <w:t>2017</w:t>
      </w:r>
      <w:r>
        <w:rPr>
          <w:rFonts w:eastAsiaTheme="minorEastAsia"/>
        </w:rPr>
        <w:t>年</w:t>
      </w:r>
    </w:p>
    <w:p w14:paraId="51348608" w14:textId="77777777" w:rsidR="00F5289E" w:rsidRDefault="00C91173">
      <w:pPr>
        <w:widowControl/>
        <w:snapToGrid w:val="0"/>
        <w:spacing w:line="360" w:lineRule="auto"/>
        <w:ind w:firstLineChars="200" w:firstLine="420"/>
        <w:jc w:val="left"/>
        <w:rPr>
          <w:rFonts w:eastAsiaTheme="minorEastAsia"/>
        </w:rPr>
      </w:pPr>
      <w:r>
        <w:rPr>
          <w:rFonts w:eastAsiaTheme="minorEastAsia"/>
        </w:rPr>
        <w:t>（</w:t>
      </w:r>
      <w:r>
        <w:rPr>
          <w:rFonts w:eastAsiaTheme="minorEastAsia"/>
        </w:rPr>
        <w:t>2</w:t>
      </w:r>
      <w:r>
        <w:rPr>
          <w:rFonts w:eastAsiaTheme="minorEastAsia"/>
        </w:rPr>
        <w:t>）实验课教材：《无土栽培学》，高丽红、别之龙主编，中国农业大学出版社，</w:t>
      </w:r>
      <w:r>
        <w:rPr>
          <w:rFonts w:eastAsiaTheme="minorEastAsia"/>
        </w:rPr>
        <w:t>2017</w:t>
      </w:r>
      <w:r>
        <w:rPr>
          <w:rFonts w:eastAsiaTheme="minorEastAsia"/>
        </w:rPr>
        <w:t>年</w:t>
      </w:r>
    </w:p>
    <w:p w14:paraId="6706CC80" w14:textId="77777777" w:rsidR="00F5289E" w:rsidRDefault="00C91173">
      <w:pPr>
        <w:widowControl/>
        <w:snapToGrid w:val="0"/>
        <w:spacing w:line="360" w:lineRule="auto"/>
        <w:ind w:firstLineChars="200" w:firstLine="420"/>
        <w:jc w:val="left"/>
        <w:rPr>
          <w:rFonts w:eastAsiaTheme="minorEastAsia"/>
          <w:bCs/>
          <w:color w:val="0000FF"/>
          <w:kern w:val="0"/>
          <w:szCs w:val="21"/>
        </w:rPr>
      </w:pPr>
      <w:r>
        <w:rPr>
          <w:rFonts w:eastAsiaTheme="minorEastAsia"/>
        </w:rPr>
        <w:t>（</w:t>
      </w:r>
      <w:r>
        <w:rPr>
          <w:rFonts w:eastAsiaTheme="minorEastAsia"/>
        </w:rPr>
        <w:t>3</w:t>
      </w:r>
      <w:r>
        <w:rPr>
          <w:rFonts w:eastAsiaTheme="minorEastAsia"/>
        </w:rPr>
        <w:t>）实习指导书：</w:t>
      </w:r>
      <w:r>
        <w:rPr>
          <w:rFonts w:eastAsiaTheme="minorEastAsia"/>
          <w:bCs/>
          <w:color w:val="000000" w:themeColor="text1"/>
          <w:kern w:val="0"/>
          <w:szCs w:val="21"/>
        </w:rPr>
        <w:t>无</w:t>
      </w:r>
    </w:p>
    <w:p w14:paraId="0AE04469"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58AD37ED" w14:textId="77777777" w:rsidR="00F5289E" w:rsidRDefault="00C91173">
      <w:pPr>
        <w:snapToGrid w:val="0"/>
        <w:spacing w:line="276" w:lineRule="auto"/>
        <w:ind w:firstLineChars="200" w:firstLine="420"/>
        <w:rPr>
          <w:rFonts w:eastAsiaTheme="minorEastAsia"/>
        </w:rPr>
      </w:pPr>
      <w:r>
        <w:rPr>
          <w:rFonts w:eastAsiaTheme="minorEastAsia"/>
          <w:bCs/>
          <w:kern w:val="0"/>
          <w:szCs w:val="21"/>
        </w:rPr>
        <w:t>（</w:t>
      </w:r>
      <w:r>
        <w:rPr>
          <w:rFonts w:eastAsiaTheme="minorEastAsia"/>
          <w:bCs/>
          <w:kern w:val="0"/>
          <w:szCs w:val="21"/>
        </w:rPr>
        <w:t>1</w:t>
      </w:r>
      <w:r>
        <w:rPr>
          <w:rFonts w:eastAsiaTheme="minorEastAsia"/>
          <w:bCs/>
          <w:kern w:val="0"/>
          <w:szCs w:val="21"/>
        </w:rPr>
        <w:t>）</w:t>
      </w:r>
      <w:r>
        <w:rPr>
          <w:rFonts w:eastAsiaTheme="minorEastAsia"/>
        </w:rPr>
        <w:t>《无土栽培学》</w:t>
      </w:r>
      <w:r>
        <w:rPr>
          <w:rFonts w:eastAsiaTheme="minorEastAsia" w:hint="eastAsia"/>
        </w:rPr>
        <w:t>（</w:t>
      </w:r>
      <w:r>
        <w:rPr>
          <w:rFonts w:eastAsiaTheme="minorEastAsia"/>
        </w:rPr>
        <w:t>第二版），郭世荣，中国农业出版社，</w:t>
      </w:r>
      <w:r>
        <w:rPr>
          <w:rFonts w:eastAsiaTheme="minorEastAsia"/>
        </w:rPr>
        <w:t>2011</w:t>
      </w:r>
    </w:p>
    <w:p w14:paraId="08475964" w14:textId="77777777" w:rsidR="00F5289E" w:rsidRDefault="00C91173">
      <w:pPr>
        <w:spacing w:line="276" w:lineRule="auto"/>
        <w:ind w:firstLineChars="200" w:firstLine="420"/>
        <w:rPr>
          <w:rFonts w:eastAsiaTheme="minorEastAsia"/>
        </w:rPr>
      </w:pPr>
      <w:r>
        <w:rPr>
          <w:rFonts w:eastAsiaTheme="minorEastAsia"/>
          <w:bCs/>
          <w:kern w:val="0"/>
          <w:szCs w:val="21"/>
        </w:rPr>
        <w:t>（</w:t>
      </w:r>
      <w:r>
        <w:rPr>
          <w:rFonts w:eastAsiaTheme="minorEastAsia"/>
          <w:bCs/>
          <w:kern w:val="0"/>
          <w:szCs w:val="21"/>
        </w:rPr>
        <w:t>2</w:t>
      </w:r>
      <w:r>
        <w:rPr>
          <w:rFonts w:eastAsiaTheme="minorEastAsia"/>
          <w:bCs/>
          <w:kern w:val="0"/>
          <w:szCs w:val="21"/>
        </w:rPr>
        <w:t>）</w:t>
      </w:r>
      <w:r>
        <w:rPr>
          <w:rFonts w:eastAsiaTheme="minorEastAsia"/>
        </w:rPr>
        <w:t>《无土栽培学》</w:t>
      </w:r>
      <w:r>
        <w:rPr>
          <w:rFonts w:eastAsiaTheme="minorEastAsia" w:hint="eastAsia"/>
        </w:rPr>
        <w:t>（</w:t>
      </w:r>
      <w:r>
        <w:rPr>
          <w:rFonts w:eastAsiaTheme="minorEastAsia"/>
        </w:rPr>
        <w:t>第三版），郭世荣，中国农业出版社，</w:t>
      </w:r>
      <w:r>
        <w:rPr>
          <w:rFonts w:eastAsiaTheme="minorEastAsia"/>
        </w:rPr>
        <w:t xml:space="preserve">2018 </w:t>
      </w:r>
    </w:p>
    <w:p w14:paraId="343D0016" w14:textId="77777777" w:rsidR="00F5289E" w:rsidRDefault="00C91173">
      <w:pPr>
        <w:widowControl/>
        <w:snapToGrid w:val="0"/>
        <w:spacing w:line="360" w:lineRule="auto"/>
        <w:ind w:firstLineChars="200" w:firstLine="422"/>
        <w:jc w:val="left"/>
        <w:rPr>
          <w:b/>
          <w:kern w:val="0"/>
          <w:szCs w:val="21"/>
        </w:rPr>
      </w:pPr>
      <w:r>
        <w:rPr>
          <w:rFonts w:hint="eastAsia"/>
          <w:b/>
          <w:kern w:val="0"/>
          <w:szCs w:val="21"/>
        </w:rPr>
        <w:t>3.</w:t>
      </w:r>
      <w:r>
        <w:rPr>
          <w:rFonts w:hint="eastAsia"/>
          <w:b/>
          <w:kern w:val="0"/>
          <w:szCs w:val="21"/>
        </w:rPr>
        <w:t>推荐网站：</w:t>
      </w:r>
    </w:p>
    <w:p w14:paraId="23390CA8" w14:textId="77777777" w:rsidR="00F5289E" w:rsidRDefault="00C91173">
      <w:pPr>
        <w:snapToGrid w:val="0"/>
        <w:spacing w:line="360" w:lineRule="auto"/>
        <w:ind w:firstLineChars="200" w:firstLine="420"/>
        <w:rPr>
          <w:rFonts w:eastAsiaTheme="minorEastAsia"/>
          <w:szCs w:val="21"/>
        </w:rPr>
      </w:pPr>
      <w:r>
        <w:rPr>
          <w:rFonts w:eastAsiaTheme="minorEastAsia" w:hAnsiTheme="minorEastAsia"/>
          <w:szCs w:val="21"/>
        </w:rPr>
        <w:t>（</w:t>
      </w:r>
      <w:r>
        <w:rPr>
          <w:rFonts w:eastAsiaTheme="minorEastAsia"/>
          <w:szCs w:val="21"/>
        </w:rPr>
        <w:t>1</w:t>
      </w:r>
      <w:r>
        <w:rPr>
          <w:rFonts w:eastAsiaTheme="minorEastAsia" w:hAnsiTheme="minorEastAsia"/>
          <w:szCs w:val="21"/>
        </w:rPr>
        <w:t>）</w:t>
      </w:r>
      <w:r>
        <w:rPr>
          <w:rFonts w:eastAsiaTheme="minorEastAsia" w:hAnsiTheme="minorEastAsia" w:hint="eastAsia"/>
          <w:szCs w:val="21"/>
        </w:rPr>
        <w:t>中国设施农业信息网</w:t>
      </w:r>
      <w:r>
        <w:rPr>
          <w:rFonts w:eastAsiaTheme="minorEastAsia" w:hAnsiTheme="minorEastAsia"/>
          <w:szCs w:val="21"/>
        </w:rPr>
        <w:t>，</w:t>
      </w:r>
      <w:r>
        <w:rPr>
          <w:rFonts w:eastAsiaTheme="minorEastAsia" w:hAnsiTheme="minorEastAsia"/>
          <w:szCs w:val="21"/>
        </w:rPr>
        <w:t>http://www.camafa.net/</w:t>
      </w:r>
    </w:p>
    <w:p w14:paraId="5EA75981" w14:textId="77777777" w:rsidR="00F5289E" w:rsidRDefault="00C91173">
      <w:pPr>
        <w:widowControl/>
        <w:snapToGrid w:val="0"/>
        <w:spacing w:line="360" w:lineRule="auto"/>
        <w:ind w:firstLineChars="200" w:firstLine="420"/>
        <w:jc w:val="left"/>
        <w:rPr>
          <w:rFonts w:eastAsiaTheme="minorEastAsia"/>
          <w:kern w:val="0"/>
        </w:rPr>
      </w:pPr>
      <w:r>
        <w:rPr>
          <w:rFonts w:eastAsiaTheme="minorEastAsia" w:hAnsiTheme="minorEastAsia"/>
          <w:szCs w:val="21"/>
        </w:rPr>
        <w:t>（</w:t>
      </w:r>
      <w:r>
        <w:rPr>
          <w:rFonts w:eastAsiaTheme="minorEastAsia"/>
          <w:szCs w:val="21"/>
        </w:rPr>
        <w:t>2</w:t>
      </w:r>
      <w:r>
        <w:rPr>
          <w:rFonts w:eastAsiaTheme="minorEastAsia" w:hAnsiTheme="minorEastAsia"/>
          <w:szCs w:val="21"/>
        </w:rPr>
        <w:t>）</w:t>
      </w:r>
      <w:r>
        <w:rPr>
          <w:rFonts w:eastAsiaTheme="minorEastAsia" w:hAnsiTheme="minorEastAsia" w:hint="eastAsia"/>
          <w:szCs w:val="21"/>
        </w:rPr>
        <w:t>中国设施园艺信息网</w:t>
      </w:r>
      <w:r>
        <w:rPr>
          <w:rFonts w:eastAsiaTheme="minorEastAsia" w:hAnsiTheme="minorEastAsia"/>
          <w:szCs w:val="21"/>
        </w:rPr>
        <w:t>，</w:t>
      </w:r>
      <w:r>
        <w:rPr>
          <w:rFonts w:eastAsiaTheme="minorEastAsia" w:hAnsiTheme="minorEastAsia"/>
          <w:szCs w:val="21"/>
        </w:rPr>
        <w:t>http://www.sheshiyuanyi.com/</w:t>
      </w:r>
    </w:p>
    <w:p w14:paraId="552186D9" w14:textId="77777777" w:rsidR="00F5289E" w:rsidRDefault="00C91173">
      <w:pPr>
        <w:snapToGrid w:val="0"/>
        <w:spacing w:line="360" w:lineRule="auto"/>
        <w:ind w:firstLineChars="200" w:firstLine="420"/>
        <w:rPr>
          <w:rFonts w:eastAsiaTheme="minorEastAsia"/>
        </w:rPr>
      </w:pPr>
      <w:r>
        <w:rPr>
          <w:rFonts w:eastAsiaTheme="minorEastAsia" w:hint="eastAsia"/>
        </w:rPr>
        <w:t>（</w:t>
      </w:r>
      <w:r>
        <w:rPr>
          <w:rFonts w:eastAsiaTheme="minorEastAsia" w:hint="eastAsia"/>
        </w:rPr>
        <w:t>3</w:t>
      </w:r>
      <w:r>
        <w:rPr>
          <w:rFonts w:eastAsiaTheme="minorEastAsia" w:hint="eastAsia"/>
        </w:rPr>
        <w:t>）中国无土栽培技术网，</w:t>
      </w:r>
      <w:r w:rsidRPr="00D93479">
        <w:rPr>
          <w:rFonts w:eastAsiaTheme="minorEastAsia"/>
        </w:rPr>
        <w:t>http://www.china-sct.com/</w:t>
      </w:r>
    </w:p>
    <w:p w14:paraId="023F1CA3" w14:textId="77777777" w:rsidR="00F5289E" w:rsidRDefault="00C91173">
      <w:pPr>
        <w:snapToGrid w:val="0"/>
        <w:spacing w:line="360" w:lineRule="auto"/>
        <w:ind w:firstLineChars="200" w:firstLine="420"/>
        <w:rPr>
          <w:rFonts w:eastAsiaTheme="minorEastAsia"/>
        </w:rPr>
      </w:pPr>
      <w:r>
        <w:rPr>
          <w:rFonts w:eastAsiaTheme="minorEastAsia" w:hint="eastAsia"/>
        </w:rPr>
        <w:t>（</w:t>
      </w:r>
      <w:r>
        <w:rPr>
          <w:rFonts w:eastAsiaTheme="minorEastAsia" w:hint="eastAsia"/>
        </w:rPr>
        <w:t>4</w:t>
      </w:r>
      <w:r>
        <w:rPr>
          <w:rFonts w:eastAsiaTheme="minorEastAsia" w:hint="eastAsia"/>
        </w:rPr>
        <w:t>）中国</w:t>
      </w:r>
      <w:r>
        <w:rPr>
          <w:rFonts w:eastAsiaTheme="minorEastAsia"/>
        </w:rPr>
        <w:t>大学</w:t>
      </w:r>
      <w:r>
        <w:rPr>
          <w:rFonts w:eastAsiaTheme="minorEastAsia" w:hint="eastAsia"/>
        </w:rPr>
        <w:t>MOOC</w:t>
      </w:r>
      <w:r>
        <w:rPr>
          <w:rFonts w:eastAsiaTheme="minorEastAsia" w:hint="eastAsia"/>
        </w:rPr>
        <w:t>，</w:t>
      </w:r>
      <w:r>
        <w:rPr>
          <w:rFonts w:eastAsiaTheme="minorEastAsia"/>
        </w:rPr>
        <w:t>https://www.icourse163.org/</w:t>
      </w:r>
    </w:p>
    <w:p w14:paraId="4A3A389C"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369A96A3"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color w:val="000000" w:themeColor="text1"/>
          <w:szCs w:val="21"/>
        </w:rPr>
        <w:t>理论课</w:t>
      </w:r>
      <w:r>
        <w:rPr>
          <w:rFonts w:ascii="宋体" w:hAnsi="宋体"/>
          <w:color w:val="000000" w:themeColor="text1"/>
          <w:szCs w:val="21"/>
        </w:rPr>
        <w:t>学习需要多媒体</w:t>
      </w:r>
      <w:r>
        <w:rPr>
          <w:rFonts w:ascii="宋体" w:hAnsi="宋体" w:hint="eastAsia"/>
          <w:color w:val="000000" w:themeColor="text1"/>
          <w:szCs w:val="21"/>
        </w:rPr>
        <w:t>教室，室内</w:t>
      </w:r>
      <w:r>
        <w:rPr>
          <w:rFonts w:ascii="宋体" w:hAnsi="宋体"/>
          <w:color w:val="000000" w:themeColor="text1"/>
          <w:szCs w:val="21"/>
        </w:rPr>
        <w:t>实验课需</w:t>
      </w:r>
      <w:r>
        <w:rPr>
          <w:rFonts w:ascii="宋体" w:hAnsi="宋体" w:hint="eastAsia"/>
          <w:color w:val="000000" w:themeColor="text1"/>
          <w:szCs w:val="21"/>
        </w:rPr>
        <w:t>在</w:t>
      </w:r>
      <w:r>
        <w:rPr>
          <w:rFonts w:ascii="宋体" w:hAnsi="宋体"/>
          <w:color w:val="000000" w:themeColor="text1"/>
          <w:szCs w:val="21"/>
        </w:rPr>
        <w:t>生化实验室</w:t>
      </w:r>
      <w:r>
        <w:rPr>
          <w:rFonts w:ascii="宋体" w:hAnsi="宋体" w:hint="eastAsia"/>
          <w:color w:val="000000" w:themeColor="text1"/>
          <w:szCs w:val="21"/>
        </w:rPr>
        <w:t>进行</w:t>
      </w:r>
      <w:r>
        <w:rPr>
          <w:rFonts w:ascii="宋体" w:hAnsi="宋体"/>
          <w:color w:val="000000" w:themeColor="text1"/>
          <w:szCs w:val="21"/>
        </w:rPr>
        <w:t>，</w:t>
      </w:r>
      <w:r>
        <w:rPr>
          <w:rFonts w:ascii="宋体" w:hAnsi="宋体" w:hint="eastAsia"/>
          <w:color w:val="000000" w:themeColor="text1"/>
          <w:szCs w:val="21"/>
        </w:rPr>
        <w:t>配备</w:t>
      </w:r>
      <w:r>
        <w:rPr>
          <w:rFonts w:ascii="宋体" w:hAnsi="宋体"/>
          <w:color w:val="000000" w:themeColor="text1"/>
          <w:szCs w:val="21"/>
        </w:rPr>
        <w:t>基础实验试剂</w:t>
      </w:r>
      <w:r>
        <w:rPr>
          <w:rFonts w:ascii="宋体" w:hAnsi="宋体" w:hint="eastAsia"/>
          <w:color w:val="000000" w:themeColor="text1"/>
          <w:szCs w:val="21"/>
        </w:rPr>
        <w:t>，</w:t>
      </w:r>
      <w:r>
        <w:rPr>
          <w:rFonts w:ascii="宋体" w:hAnsi="宋体"/>
          <w:color w:val="000000" w:themeColor="text1"/>
          <w:szCs w:val="21"/>
        </w:rPr>
        <w:t>电导率仪、</w:t>
      </w:r>
      <w:r>
        <w:rPr>
          <w:rFonts w:ascii="宋体" w:hAnsi="宋体" w:hint="eastAsia"/>
          <w:color w:val="000000" w:themeColor="text1"/>
          <w:szCs w:val="21"/>
        </w:rPr>
        <w:t>pH计</w:t>
      </w:r>
      <w:r>
        <w:rPr>
          <w:rFonts w:ascii="宋体" w:hAnsi="宋体"/>
          <w:color w:val="000000" w:themeColor="text1"/>
          <w:szCs w:val="21"/>
        </w:rPr>
        <w:t>、溶氧仪等测量仪器</w:t>
      </w:r>
      <w:r>
        <w:rPr>
          <w:rFonts w:ascii="宋体" w:hAnsi="宋体" w:hint="eastAsia"/>
          <w:color w:val="000000" w:themeColor="text1"/>
          <w:szCs w:val="21"/>
        </w:rPr>
        <w:t>，除</w:t>
      </w:r>
      <w:r>
        <w:rPr>
          <w:rFonts w:ascii="宋体" w:hAnsi="宋体"/>
          <w:color w:val="000000" w:themeColor="text1"/>
          <w:szCs w:val="21"/>
        </w:rPr>
        <w:t>主讲老师外需实验员</w:t>
      </w:r>
      <w:r>
        <w:rPr>
          <w:rFonts w:ascii="宋体" w:hAnsi="宋体" w:hint="eastAsia"/>
          <w:color w:val="000000" w:themeColor="text1"/>
          <w:szCs w:val="21"/>
        </w:rPr>
        <w:t>1名</w:t>
      </w:r>
      <w:r>
        <w:rPr>
          <w:rFonts w:ascii="宋体" w:hAnsi="宋体"/>
          <w:color w:val="000000" w:themeColor="text1"/>
          <w:szCs w:val="21"/>
        </w:rPr>
        <w:t>，</w:t>
      </w:r>
      <w:r>
        <w:rPr>
          <w:rFonts w:ascii="宋体" w:hAnsi="宋体" w:hint="eastAsia"/>
          <w:color w:val="000000" w:themeColor="text1"/>
          <w:szCs w:val="21"/>
        </w:rPr>
        <w:t>室外</w:t>
      </w:r>
      <w:r>
        <w:rPr>
          <w:rFonts w:ascii="宋体" w:hAnsi="宋体"/>
          <w:color w:val="000000" w:themeColor="text1"/>
          <w:szCs w:val="21"/>
        </w:rPr>
        <w:t>实验课需在日光温室或大棚进行，并配备简易水培装置、育苗</w:t>
      </w:r>
      <w:r>
        <w:rPr>
          <w:rFonts w:ascii="宋体" w:hAnsi="宋体" w:hint="eastAsia"/>
          <w:color w:val="000000" w:themeColor="text1"/>
          <w:szCs w:val="21"/>
        </w:rPr>
        <w:t>装置</w:t>
      </w:r>
      <w:r>
        <w:rPr>
          <w:rFonts w:ascii="宋体" w:hAnsi="宋体"/>
          <w:color w:val="000000" w:themeColor="text1"/>
          <w:szCs w:val="21"/>
        </w:rPr>
        <w:t>。</w:t>
      </w:r>
    </w:p>
    <w:p w14:paraId="6391AD26" w14:textId="77777777" w:rsidR="00F5289E" w:rsidRDefault="00C91173">
      <w:pPr>
        <w:widowControl/>
        <w:snapToGrid w:val="0"/>
        <w:spacing w:line="360" w:lineRule="auto"/>
        <w:jc w:val="left"/>
        <w:rPr>
          <w:b/>
          <w:bCs/>
          <w:color w:val="000000" w:themeColor="text1"/>
          <w:kern w:val="0"/>
          <w:szCs w:val="21"/>
        </w:rPr>
      </w:pPr>
      <w:r>
        <w:rPr>
          <w:rFonts w:hint="eastAsia"/>
          <w:b/>
          <w:bCs/>
          <w:color w:val="000000" w:themeColor="text1"/>
          <w:kern w:val="0"/>
          <w:szCs w:val="21"/>
        </w:rPr>
        <w:t>九</w:t>
      </w:r>
      <w:r>
        <w:rPr>
          <w:b/>
          <w:bCs/>
          <w:color w:val="000000" w:themeColor="text1"/>
          <w:kern w:val="0"/>
          <w:szCs w:val="21"/>
        </w:rPr>
        <w:t>、教学考核评价</w:t>
      </w:r>
    </w:p>
    <w:p w14:paraId="66AC8503"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1.</w:t>
      </w:r>
      <w:r>
        <w:rPr>
          <w:rFonts w:hAnsi="宋体" w:hint="eastAsia"/>
          <w:b/>
          <w:bCs/>
          <w:kern w:val="0"/>
          <w:szCs w:val="21"/>
        </w:rPr>
        <w:t>过程性评价：</w:t>
      </w:r>
      <w:r>
        <w:rPr>
          <w:rFonts w:hAnsi="宋体" w:hint="eastAsia"/>
          <w:bCs/>
          <w:kern w:val="0"/>
          <w:szCs w:val="21"/>
        </w:rPr>
        <w:t>线上</w:t>
      </w:r>
      <w:r>
        <w:rPr>
          <w:rFonts w:hAnsi="宋体"/>
          <w:bCs/>
          <w:kern w:val="0"/>
          <w:szCs w:val="21"/>
        </w:rPr>
        <w:t>学习、课后作业、期中测试</w:t>
      </w:r>
      <w:r>
        <w:rPr>
          <w:rFonts w:hAnsi="宋体" w:hint="eastAsia"/>
          <w:bCs/>
          <w:kern w:val="0"/>
          <w:szCs w:val="21"/>
        </w:rPr>
        <w:t>、</w:t>
      </w:r>
      <w:r>
        <w:rPr>
          <w:rFonts w:hAnsi="宋体"/>
          <w:bCs/>
          <w:kern w:val="0"/>
          <w:szCs w:val="21"/>
        </w:rPr>
        <w:t>实验报告、考勤</w:t>
      </w:r>
      <w:r>
        <w:rPr>
          <w:rFonts w:hAnsi="宋体" w:hint="eastAsia"/>
          <w:bCs/>
          <w:kern w:val="0"/>
          <w:szCs w:val="21"/>
        </w:rPr>
        <w:t>、</w:t>
      </w:r>
      <w:r>
        <w:rPr>
          <w:rFonts w:hint="eastAsia"/>
          <w:color w:val="000000" w:themeColor="text1"/>
          <w:szCs w:val="21"/>
        </w:rPr>
        <w:t>无土栽培</w:t>
      </w:r>
      <w:r>
        <w:rPr>
          <w:color w:val="000000" w:themeColor="text1"/>
          <w:szCs w:val="21"/>
        </w:rPr>
        <w:t>装置设计比赛</w:t>
      </w:r>
      <w:r>
        <w:rPr>
          <w:rFonts w:hAnsi="宋体"/>
          <w:bCs/>
          <w:kern w:val="0"/>
          <w:szCs w:val="21"/>
        </w:rPr>
        <w:t>等</w:t>
      </w:r>
      <w:r>
        <w:rPr>
          <w:rFonts w:hAnsi="宋体" w:hint="eastAsia"/>
          <w:bCs/>
          <w:kern w:val="0"/>
          <w:szCs w:val="21"/>
        </w:rPr>
        <w:t>，</w:t>
      </w:r>
      <w:r>
        <w:rPr>
          <w:rFonts w:hAnsi="宋体"/>
          <w:bCs/>
          <w:kern w:val="0"/>
          <w:szCs w:val="21"/>
        </w:rPr>
        <w:t>占</w:t>
      </w:r>
      <w:r>
        <w:rPr>
          <w:rFonts w:hAnsi="宋体" w:hint="eastAsia"/>
          <w:bCs/>
          <w:kern w:val="0"/>
          <w:szCs w:val="21"/>
        </w:rPr>
        <w:t>40</w:t>
      </w:r>
      <w:r>
        <w:rPr>
          <w:rFonts w:hAnsi="宋体"/>
          <w:bCs/>
          <w:kern w:val="0"/>
          <w:szCs w:val="21"/>
        </w:rPr>
        <w:t>%</w:t>
      </w:r>
      <w:r>
        <w:rPr>
          <w:rFonts w:hAnsi="宋体"/>
          <w:bCs/>
          <w:kern w:val="0"/>
          <w:szCs w:val="21"/>
        </w:rPr>
        <w:t>。</w:t>
      </w:r>
    </w:p>
    <w:p w14:paraId="0377A7C0"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2.</w:t>
      </w:r>
      <w:r>
        <w:rPr>
          <w:rFonts w:hAnsi="宋体" w:hint="eastAsia"/>
          <w:b/>
          <w:bCs/>
          <w:kern w:val="0"/>
          <w:szCs w:val="21"/>
        </w:rPr>
        <w:t>终结性评价：</w:t>
      </w:r>
      <w:r>
        <w:rPr>
          <w:rFonts w:hAnsi="宋体" w:hint="eastAsia"/>
          <w:bCs/>
          <w:kern w:val="0"/>
          <w:szCs w:val="21"/>
        </w:rPr>
        <w:t>期末</w:t>
      </w:r>
      <w:r>
        <w:rPr>
          <w:rFonts w:hAnsi="宋体"/>
          <w:bCs/>
          <w:kern w:val="0"/>
          <w:szCs w:val="21"/>
        </w:rPr>
        <w:t>考试</w:t>
      </w:r>
      <w:r>
        <w:rPr>
          <w:rFonts w:hAnsi="宋体" w:hint="eastAsia"/>
          <w:bCs/>
          <w:kern w:val="0"/>
          <w:szCs w:val="21"/>
        </w:rPr>
        <w:t>，占</w:t>
      </w:r>
      <w:r>
        <w:rPr>
          <w:rFonts w:hAnsi="宋体" w:hint="eastAsia"/>
          <w:bCs/>
          <w:kern w:val="0"/>
          <w:szCs w:val="21"/>
        </w:rPr>
        <w:t>60</w:t>
      </w:r>
      <w:r>
        <w:rPr>
          <w:rFonts w:hAnsi="宋体"/>
          <w:bCs/>
          <w:kern w:val="0"/>
          <w:szCs w:val="21"/>
        </w:rPr>
        <w:t>%</w:t>
      </w:r>
      <w:r>
        <w:rPr>
          <w:rFonts w:ascii="宋体" w:hAnsi="宋体" w:hint="eastAsia"/>
          <w:color w:val="0000FF"/>
        </w:rPr>
        <w:t>。</w:t>
      </w:r>
    </w:p>
    <w:p w14:paraId="206B1431"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3.</w:t>
      </w:r>
      <w:r>
        <w:rPr>
          <w:rFonts w:hAnsi="宋体" w:hint="eastAsia"/>
          <w:b/>
          <w:bCs/>
          <w:kern w:val="0"/>
          <w:szCs w:val="21"/>
        </w:rPr>
        <w:t>课程综合评价：</w:t>
      </w:r>
    </w:p>
    <w:p w14:paraId="46F2726B" w14:textId="77777777" w:rsidR="00F5289E" w:rsidRDefault="00C91173">
      <w:pPr>
        <w:widowControl/>
        <w:snapToGrid w:val="0"/>
        <w:spacing w:line="360" w:lineRule="auto"/>
        <w:ind w:firstLine="420"/>
        <w:jc w:val="left"/>
        <w:rPr>
          <w:rFonts w:hAnsi="宋体"/>
          <w:bCs/>
          <w:color w:val="000000" w:themeColor="text1"/>
          <w:kern w:val="0"/>
          <w:szCs w:val="21"/>
        </w:rPr>
      </w:pPr>
      <w:r>
        <w:rPr>
          <w:rFonts w:hAnsi="宋体" w:hint="eastAsia"/>
          <w:bCs/>
          <w:color w:val="000000" w:themeColor="text1"/>
          <w:kern w:val="0"/>
          <w:szCs w:val="21"/>
        </w:rPr>
        <w:t>综合成绩</w:t>
      </w:r>
      <w:r>
        <w:rPr>
          <w:rFonts w:hAnsi="宋体" w:hint="eastAsia"/>
          <w:bCs/>
          <w:color w:val="000000" w:themeColor="text1"/>
          <w:kern w:val="0"/>
          <w:szCs w:val="21"/>
        </w:rPr>
        <w:t>=</w:t>
      </w:r>
      <w:r>
        <w:rPr>
          <w:rFonts w:hAnsi="宋体" w:hint="eastAsia"/>
          <w:bCs/>
          <w:color w:val="000000" w:themeColor="text1"/>
          <w:kern w:val="0"/>
          <w:szCs w:val="21"/>
        </w:rPr>
        <w:t>期末成绩</w:t>
      </w:r>
      <w:r>
        <w:rPr>
          <w:rFonts w:hAnsi="宋体" w:hint="eastAsia"/>
          <w:bCs/>
          <w:color w:val="000000" w:themeColor="text1"/>
          <w:kern w:val="0"/>
          <w:szCs w:val="21"/>
        </w:rPr>
        <w:t>*60%+</w:t>
      </w:r>
      <w:r>
        <w:rPr>
          <w:rFonts w:hAnsi="宋体" w:hint="eastAsia"/>
          <w:bCs/>
          <w:color w:val="000000" w:themeColor="text1"/>
          <w:kern w:val="0"/>
          <w:szCs w:val="21"/>
        </w:rPr>
        <w:t>平时成绩</w:t>
      </w:r>
      <w:r>
        <w:rPr>
          <w:rFonts w:hAnsi="宋体" w:hint="eastAsia"/>
          <w:bCs/>
          <w:color w:val="000000" w:themeColor="text1"/>
          <w:kern w:val="0"/>
          <w:szCs w:val="21"/>
        </w:rPr>
        <w:t>*40%</w:t>
      </w:r>
    </w:p>
    <w:p w14:paraId="5E1C4BCF" w14:textId="77777777" w:rsidR="00F5289E" w:rsidRDefault="00C91173">
      <w:pPr>
        <w:widowControl/>
        <w:snapToGrid w:val="0"/>
        <w:spacing w:line="360" w:lineRule="auto"/>
        <w:ind w:firstLine="420"/>
        <w:jc w:val="left"/>
        <w:rPr>
          <w:rFonts w:ascii="宋体" w:hAnsi="宋体"/>
          <w:color w:val="000000" w:themeColor="text1"/>
          <w:szCs w:val="21"/>
        </w:rPr>
      </w:pPr>
      <w:r>
        <w:rPr>
          <w:rFonts w:hAnsi="宋体" w:hint="eastAsia"/>
          <w:bCs/>
          <w:color w:val="000000" w:themeColor="text1"/>
          <w:kern w:val="0"/>
          <w:szCs w:val="21"/>
        </w:rPr>
        <w:t>掌握</w:t>
      </w:r>
      <w:r>
        <w:rPr>
          <w:rFonts w:hAnsi="宋体"/>
          <w:bCs/>
          <w:color w:val="000000" w:themeColor="text1"/>
          <w:kern w:val="0"/>
          <w:szCs w:val="21"/>
        </w:rPr>
        <w:t>基本理论知识及实验操作技能，了解本领域发展前沿</w:t>
      </w:r>
      <w:r>
        <w:rPr>
          <w:rFonts w:hAnsi="宋体" w:hint="eastAsia"/>
          <w:bCs/>
          <w:color w:val="000000" w:themeColor="text1"/>
          <w:kern w:val="0"/>
          <w:szCs w:val="21"/>
        </w:rPr>
        <w:t>，</w:t>
      </w:r>
      <w:r>
        <w:rPr>
          <w:rFonts w:hAnsi="宋体"/>
          <w:bCs/>
          <w:color w:val="000000" w:themeColor="text1"/>
          <w:kern w:val="0"/>
          <w:szCs w:val="21"/>
        </w:rPr>
        <w:t>能够发现并解决生产中的问题，具有一定的创新创造能力</w:t>
      </w:r>
      <w:r>
        <w:rPr>
          <w:rFonts w:hAnsi="宋体" w:hint="eastAsia"/>
          <w:bCs/>
          <w:color w:val="000000" w:themeColor="text1"/>
          <w:kern w:val="0"/>
          <w:szCs w:val="21"/>
        </w:rPr>
        <w:t>。</w:t>
      </w:r>
    </w:p>
    <w:p w14:paraId="7E953556" w14:textId="77777777" w:rsidR="00F5289E" w:rsidRDefault="00C91173">
      <w:pPr>
        <w:widowControl/>
        <w:jc w:val="left"/>
        <w:rPr>
          <w:rFonts w:ascii="宋体" w:hAnsi="宋体"/>
          <w:b/>
          <w:sz w:val="28"/>
          <w:szCs w:val="28"/>
        </w:rPr>
      </w:pPr>
      <w:r>
        <w:rPr>
          <w:rFonts w:ascii="宋体" w:hAnsi="宋体"/>
          <w:b/>
          <w:sz w:val="28"/>
          <w:szCs w:val="28"/>
        </w:rPr>
        <w:br w:type="page"/>
      </w:r>
    </w:p>
    <w:p w14:paraId="3D2C2F16" w14:textId="77777777" w:rsidR="00F5289E" w:rsidRDefault="00C91173">
      <w:pPr>
        <w:pStyle w:val="1"/>
      </w:pPr>
      <w:bookmarkStart w:id="69" w:name="_Toc138606244"/>
      <w:r>
        <w:rPr>
          <w:rFonts w:hint="eastAsia"/>
        </w:rPr>
        <w:lastRenderedPageBreak/>
        <w:t>农业园区规划与管理</w:t>
      </w:r>
      <w:bookmarkEnd w:id="61"/>
      <w:bookmarkEnd w:id="69"/>
    </w:p>
    <w:p w14:paraId="631728CB" w14:textId="77777777" w:rsidR="00F5289E" w:rsidRDefault="00C91173">
      <w:pPr>
        <w:snapToGrid w:val="0"/>
        <w:spacing w:line="360" w:lineRule="auto"/>
        <w:jc w:val="center"/>
        <w:rPr>
          <w:sz w:val="24"/>
        </w:rPr>
      </w:pPr>
      <w:r>
        <w:rPr>
          <w:sz w:val="24"/>
        </w:rPr>
        <w:t>（</w:t>
      </w:r>
      <w:r>
        <w:rPr>
          <w:iCs/>
          <w:sz w:val="24"/>
        </w:rPr>
        <w:t>Programming and Management of Agriculture Garden</w:t>
      </w:r>
      <w:r>
        <w:rPr>
          <w:sz w:val="24"/>
        </w:rPr>
        <w:t>）</w:t>
      </w:r>
    </w:p>
    <w:p w14:paraId="0A84F0BB" w14:textId="77777777" w:rsidR="00F5289E" w:rsidRDefault="00F5289E">
      <w:pPr>
        <w:snapToGrid w:val="0"/>
        <w:spacing w:line="360" w:lineRule="auto"/>
        <w:jc w:val="center"/>
        <w:rPr>
          <w:b/>
          <w:szCs w:val="21"/>
        </w:rPr>
      </w:pPr>
    </w:p>
    <w:p w14:paraId="2913E883" w14:textId="77777777" w:rsidR="00F5289E" w:rsidRDefault="00C91173">
      <w:pPr>
        <w:snapToGrid w:val="0"/>
        <w:spacing w:line="360" w:lineRule="auto"/>
        <w:jc w:val="center"/>
        <w:rPr>
          <w:b/>
          <w:szCs w:val="21"/>
        </w:rPr>
      </w:pPr>
      <w:r>
        <w:rPr>
          <w:rFonts w:hint="eastAsia"/>
          <w:b/>
          <w:szCs w:val="21"/>
        </w:rPr>
        <w:t>课程基本信息</w:t>
      </w:r>
    </w:p>
    <w:tbl>
      <w:tblPr>
        <w:tblW w:w="8522" w:type="dxa"/>
        <w:tblLayout w:type="fixed"/>
        <w:tblLook w:val="04A0" w:firstRow="1" w:lastRow="0" w:firstColumn="1" w:lastColumn="0" w:noHBand="0" w:noVBand="1"/>
      </w:tblPr>
      <w:tblGrid>
        <w:gridCol w:w="2840"/>
        <w:gridCol w:w="2476"/>
        <w:gridCol w:w="3206"/>
      </w:tblGrid>
      <w:tr w:rsidR="00F5289E" w14:paraId="1697E3DE" w14:textId="77777777">
        <w:tc>
          <w:tcPr>
            <w:tcW w:w="2840" w:type="dxa"/>
          </w:tcPr>
          <w:p w14:paraId="7BCBB45D" w14:textId="77777777" w:rsidR="00F5289E" w:rsidRDefault="00C91173">
            <w:pPr>
              <w:spacing w:line="360" w:lineRule="auto"/>
              <w:rPr>
                <w:rFonts w:ascii="宋体" w:hAnsi="宋体"/>
                <w:b/>
                <w:bCs/>
                <w:kern w:val="0"/>
                <w:szCs w:val="21"/>
              </w:rPr>
            </w:pPr>
            <w:r>
              <w:rPr>
                <w:rFonts w:ascii="宋体" w:hAnsi="宋体" w:hint="eastAsia"/>
                <w:b/>
                <w:bCs/>
                <w:kern w:val="0"/>
                <w:szCs w:val="21"/>
              </w:rPr>
              <w:t>课程编号：</w:t>
            </w:r>
            <w:r>
              <w:rPr>
                <w:rFonts w:ascii="宋体" w:hAnsi="宋体"/>
                <w:kern w:val="0"/>
                <w:szCs w:val="21"/>
              </w:rPr>
              <w:t>19011136h</w:t>
            </w:r>
          </w:p>
        </w:tc>
        <w:tc>
          <w:tcPr>
            <w:tcW w:w="2476" w:type="dxa"/>
          </w:tcPr>
          <w:p w14:paraId="50D35EA0" w14:textId="77777777" w:rsidR="00F5289E" w:rsidRDefault="00C91173">
            <w:pPr>
              <w:spacing w:line="360" w:lineRule="auto"/>
              <w:rPr>
                <w:rFonts w:ascii="宋体" w:hAnsi="宋体"/>
                <w:b/>
                <w:bCs/>
                <w:kern w:val="0"/>
                <w:szCs w:val="21"/>
              </w:rPr>
            </w:pPr>
            <w:r>
              <w:rPr>
                <w:rFonts w:ascii="宋体" w:hAnsi="宋体" w:hint="eastAsia"/>
                <w:b/>
                <w:bCs/>
                <w:kern w:val="0"/>
                <w:szCs w:val="21"/>
              </w:rPr>
              <w:t>课程总学时：</w:t>
            </w:r>
            <w:r>
              <w:rPr>
                <w:rFonts w:ascii="宋体" w:hAnsi="宋体"/>
                <w:kern w:val="0"/>
                <w:szCs w:val="21"/>
              </w:rPr>
              <w:t>48</w:t>
            </w:r>
          </w:p>
        </w:tc>
        <w:tc>
          <w:tcPr>
            <w:tcW w:w="3206" w:type="dxa"/>
          </w:tcPr>
          <w:p w14:paraId="57E2104B" w14:textId="48C69EC2" w:rsidR="00F5289E" w:rsidRDefault="00C91173">
            <w:pPr>
              <w:spacing w:line="360" w:lineRule="auto"/>
              <w:rPr>
                <w:rFonts w:ascii="宋体" w:hAnsi="宋体"/>
                <w:b/>
                <w:bCs/>
                <w:kern w:val="0"/>
                <w:szCs w:val="21"/>
              </w:rPr>
            </w:pPr>
            <w:r>
              <w:rPr>
                <w:rFonts w:ascii="宋体" w:hAnsi="宋体" w:hint="eastAsia"/>
                <w:b/>
                <w:bCs/>
                <w:kern w:val="0"/>
                <w:szCs w:val="21"/>
              </w:rPr>
              <w:t>实验学时：</w:t>
            </w:r>
            <w:r>
              <w:rPr>
                <w:rFonts w:ascii="宋体" w:hAnsi="宋体"/>
                <w:kern w:val="0"/>
                <w:szCs w:val="21"/>
              </w:rPr>
              <w:t>8</w:t>
            </w:r>
          </w:p>
        </w:tc>
      </w:tr>
      <w:tr w:rsidR="00F5289E" w14:paraId="110DA4CC" w14:textId="77777777">
        <w:tc>
          <w:tcPr>
            <w:tcW w:w="2840" w:type="dxa"/>
          </w:tcPr>
          <w:p w14:paraId="5C0D6E39" w14:textId="77777777" w:rsidR="00F5289E" w:rsidRDefault="00C91173">
            <w:pPr>
              <w:spacing w:line="360" w:lineRule="auto"/>
              <w:rPr>
                <w:rFonts w:ascii="宋体" w:hAnsi="宋体"/>
                <w:b/>
                <w:bCs/>
                <w:kern w:val="0"/>
                <w:szCs w:val="21"/>
              </w:rPr>
            </w:pPr>
            <w:r>
              <w:rPr>
                <w:rFonts w:ascii="宋体" w:hAnsi="宋体" w:hint="eastAsia"/>
                <w:b/>
                <w:bCs/>
                <w:kern w:val="0"/>
                <w:szCs w:val="21"/>
              </w:rPr>
              <w:t>课程性质：</w:t>
            </w:r>
            <w:r>
              <w:rPr>
                <w:rFonts w:ascii="宋体" w:hAnsi="宋体" w:hint="eastAsia"/>
                <w:kern w:val="0"/>
                <w:szCs w:val="21"/>
              </w:rPr>
              <w:t>必修</w:t>
            </w:r>
          </w:p>
        </w:tc>
        <w:tc>
          <w:tcPr>
            <w:tcW w:w="2476" w:type="dxa"/>
          </w:tcPr>
          <w:p w14:paraId="0A4A71DA" w14:textId="77777777" w:rsidR="00F5289E" w:rsidRDefault="00C91173">
            <w:pPr>
              <w:spacing w:line="360" w:lineRule="auto"/>
              <w:rPr>
                <w:rFonts w:ascii="宋体" w:hAnsi="宋体"/>
                <w:b/>
                <w:bCs/>
                <w:kern w:val="0"/>
                <w:szCs w:val="21"/>
              </w:rPr>
            </w:pPr>
            <w:r>
              <w:rPr>
                <w:rFonts w:ascii="宋体" w:hAnsi="宋体" w:hint="eastAsia"/>
                <w:b/>
                <w:bCs/>
                <w:kern w:val="0"/>
                <w:szCs w:val="21"/>
              </w:rPr>
              <w:t>课程属性:</w:t>
            </w:r>
            <w:r>
              <w:rPr>
                <w:rFonts w:ascii="宋体" w:hAnsi="宋体" w:hint="eastAsia"/>
                <w:kern w:val="0"/>
                <w:szCs w:val="21"/>
              </w:rPr>
              <w:t>专业类</w:t>
            </w:r>
          </w:p>
        </w:tc>
        <w:tc>
          <w:tcPr>
            <w:tcW w:w="3206" w:type="dxa"/>
          </w:tcPr>
          <w:p w14:paraId="64FE764F" w14:textId="77777777" w:rsidR="00F5289E" w:rsidRDefault="00C91173">
            <w:pPr>
              <w:spacing w:line="360" w:lineRule="auto"/>
              <w:rPr>
                <w:rFonts w:ascii="宋体" w:hAnsi="宋体"/>
                <w:b/>
                <w:bCs/>
                <w:kern w:val="0"/>
                <w:szCs w:val="21"/>
              </w:rPr>
            </w:pPr>
            <w:r>
              <w:rPr>
                <w:rFonts w:ascii="宋体" w:hAnsi="宋体" w:hint="eastAsia"/>
                <w:b/>
                <w:bCs/>
                <w:kern w:val="0"/>
                <w:szCs w:val="21"/>
              </w:rPr>
              <w:t>开设学期：</w:t>
            </w:r>
            <w:r>
              <w:rPr>
                <w:rFonts w:ascii="宋体" w:hAnsi="宋体" w:hint="eastAsia"/>
                <w:kern w:val="0"/>
                <w:szCs w:val="21"/>
              </w:rPr>
              <w:t>第5学期</w:t>
            </w:r>
          </w:p>
        </w:tc>
      </w:tr>
      <w:tr w:rsidR="00F5289E" w14:paraId="37990FF4" w14:textId="77777777">
        <w:tc>
          <w:tcPr>
            <w:tcW w:w="2840" w:type="dxa"/>
          </w:tcPr>
          <w:p w14:paraId="5377CF65" w14:textId="77777777" w:rsidR="00F5289E" w:rsidRDefault="00C91173">
            <w:pPr>
              <w:spacing w:line="360" w:lineRule="auto"/>
              <w:rPr>
                <w:rFonts w:ascii="宋体" w:hAnsi="宋体"/>
                <w:b/>
                <w:bCs/>
                <w:kern w:val="0"/>
                <w:szCs w:val="21"/>
              </w:rPr>
            </w:pPr>
            <w:r>
              <w:rPr>
                <w:rFonts w:ascii="宋体" w:hAnsi="宋体" w:hint="eastAsia"/>
                <w:b/>
                <w:bCs/>
                <w:kern w:val="0"/>
                <w:szCs w:val="21"/>
              </w:rPr>
              <w:t>课程负责人：</w:t>
            </w:r>
            <w:r>
              <w:rPr>
                <w:rFonts w:ascii="宋体" w:hAnsi="宋体" w:hint="eastAsia"/>
                <w:kern w:val="0"/>
                <w:szCs w:val="21"/>
              </w:rPr>
              <w:t>李胜利</w:t>
            </w:r>
          </w:p>
        </w:tc>
        <w:tc>
          <w:tcPr>
            <w:tcW w:w="2476" w:type="dxa"/>
          </w:tcPr>
          <w:p w14:paraId="365C32C1" w14:textId="77777777" w:rsidR="00F5289E" w:rsidRDefault="00C91173">
            <w:pPr>
              <w:spacing w:line="360" w:lineRule="auto"/>
              <w:rPr>
                <w:rFonts w:ascii="宋体" w:hAnsi="宋体"/>
                <w:b/>
                <w:bCs/>
                <w:kern w:val="0"/>
                <w:szCs w:val="21"/>
              </w:rPr>
            </w:pPr>
            <w:r>
              <w:rPr>
                <w:rFonts w:ascii="宋体" w:hAnsi="宋体" w:hint="eastAsia"/>
                <w:b/>
                <w:bCs/>
                <w:kern w:val="0"/>
                <w:szCs w:val="21"/>
              </w:rPr>
              <w:t>课程团队：</w:t>
            </w:r>
            <w:r>
              <w:rPr>
                <w:rFonts w:ascii="宋体" w:hAnsi="宋体" w:hint="eastAsia"/>
                <w:kern w:val="0"/>
                <w:szCs w:val="21"/>
              </w:rPr>
              <w:t>李胜利，李阳</w:t>
            </w:r>
          </w:p>
        </w:tc>
        <w:tc>
          <w:tcPr>
            <w:tcW w:w="3206" w:type="dxa"/>
          </w:tcPr>
          <w:p w14:paraId="0A13E085" w14:textId="07DA5D3A" w:rsidR="00F5289E" w:rsidRDefault="00C91173">
            <w:pPr>
              <w:spacing w:line="360" w:lineRule="auto"/>
              <w:rPr>
                <w:rFonts w:ascii="宋体" w:hAnsi="宋体"/>
                <w:b/>
                <w:bCs/>
                <w:kern w:val="0"/>
                <w:szCs w:val="21"/>
              </w:rPr>
            </w:pPr>
            <w:r>
              <w:rPr>
                <w:rFonts w:ascii="宋体" w:hAnsi="宋体" w:hint="eastAsia"/>
                <w:b/>
                <w:bCs/>
                <w:kern w:val="0"/>
                <w:szCs w:val="21"/>
              </w:rPr>
              <w:t>授课语言：</w:t>
            </w:r>
            <w:r w:rsidR="0088059B">
              <w:rPr>
                <w:rFonts w:ascii="宋体" w:hAnsi="宋体" w:hint="eastAsia"/>
                <w:kern w:val="0"/>
                <w:szCs w:val="21"/>
              </w:rPr>
              <w:t>中文</w:t>
            </w:r>
          </w:p>
        </w:tc>
      </w:tr>
      <w:tr w:rsidR="00F5289E" w14:paraId="2ABB0199" w14:textId="77777777">
        <w:tc>
          <w:tcPr>
            <w:tcW w:w="8522" w:type="dxa"/>
            <w:gridSpan w:val="3"/>
          </w:tcPr>
          <w:p w14:paraId="0605E1FB" w14:textId="77777777" w:rsidR="00F5289E" w:rsidRDefault="00C91173">
            <w:pPr>
              <w:spacing w:line="360" w:lineRule="auto"/>
              <w:rPr>
                <w:rFonts w:ascii="宋体" w:hAnsi="宋体"/>
                <w:b/>
                <w:bCs/>
                <w:kern w:val="0"/>
                <w:szCs w:val="21"/>
              </w:rPr>
            </w:pPr>
            <w:r>
              <w:rPr>
                <w:rFonts w:ascii="宋体" w:hAnsi="宋体" w:hint="eastAsia"/>
                <w:b/>
                <w:bCs/>
                <w:kern w:val="0"/>
                <w:szCs w:val="21"/>
              </w:rPr>
              <w:t>适用专业：</w:t>
            </w:r>
            <w:r>
              <w:rPr>
                <w:rFonts w:ascii="宋体" w:hAnsi="宋体" w:hint="eastAsia"/>
                <w:kern w:val="0"/>
                <w:szCs w:val="21"/>
              </w:rPr>
              <w:t>设施农业科学与工程；核心</w:t>
            </w:r>
          </w:p>
        </w:tc>
      </w:tr>
      <w:tr w:rsidR="00F5289E" w14:paraId="7C020242" w14:textId="77777777">
        <w:tc>
          <w:tcPr>
            <w:tcW w:w="8522" w:type="dxa"/>
            <w:gridSpan w:val="3"/>
          </w:tcPr>
          <w:p w14:paraId="633912E3" w14:textId="77777777" w:rsidR="00F5289E" w:rsidRDefault="00C91173">
            <w:pPr>
              <w:spacing w:line="360" w:lineRule="auto"/>
              <w:rPr>
                <w:rFonts w:ascii="宋体" w:hAnsi="宋体"/>
                <w:b/>
                <w:bCs/>
                <w:kern w:val="0"/>
                <w:szCs w:val="21"/>
              </w:rPr>
            </w:pPr>
            <w:r>
              <w:rPr>
                <w:rFonts w:ascii="宋体" w:hAnsi="宋体" w:hint="eastAsia"/>
                <w:b/>
                <w:bCs/>
                <w:kern w:val="0"/>
                <w:szCs w:val="21"/>
              </w:rPr>
              <w:t>对先修的要求：</w:t>
            </w:r>
            <w:r>
              <w:rPr>
                <w:rFonts w:ascii="宋体" w:hAnsi="宋体" w:hint="eastAsia"/>
                <w:kern w:val="0"/>
                <w:szCs w:val="21"/>
              </w:rPr>
              <w:t>先修主要课程：农业设施工程学，设施环境与调控，工厂化育苗原理与技术，设施蔬菜栽培学；</w:t>
            </w:r>
          </w:p>
          <w:p w14:paraId="1F96732C" w14:textId="77777777" w:rsidR="00F5289E" w:rsidRDefault="00C91173">
            <w:pPr>
              <w:spacing w:line="360" w:lineRule="auto"/>
              <w:rPr>
                <w:rFonts w:ascii="宋体" w:hAnsi="宋体"/>
                <w:kern w:val="0"/>
                <w:szCs w:val="21"/>
              </w:rPr>
            </w:pPr>
            <w:r>
              <w:rPr>
                <w:rFonts w:ascii="宋体" w:hAnsi="宋体" w:hint="eastAsia"/>
                <w:kern w:val="0"/>
                <w:szCs w:val="21"/>
              </w:rPr>
              <w:t>先修知识点：掌握温室设计建造、设施内环境调控技术设备以及蔬菜作物栽培管理技术。</w:t>
            </w:r>
          </w:p>
          <w:p w14:paraId="69CD1741" w14:textId="77777777" w:rsidR="00F5289E" w:rsidRDefault="00C91173">
            <w:pPr>
              <w:spacing w:line="360" w:lineRule="auto"/>
              <w:rPr>
                <w:rFonts w:ascii="宋体" w:hAnsi="宋体"/>
                <w:kern w:val="0"/>
                <w:szCs w:val="21"/>
              </w:rPr>
            </w:pPr>
            <w:r>
              <w:rPr>
                <w:rFonts w:ascii="宋体" w:hAnsi="宋体" w:hint="eastAsia"/>
                <w:kern w:val="0"/>
                <w:szCs w:val="21"/>
              </w:rPr>
              <w:t>先修能力和素质：具备温室设计的基本能力，掌握常见蔬菜栽培管理技术，有独立思考能力。</w:t>
            </w:r>
          </w:p>
        </w:tc>
      </w:tr>
      <w:tr w:rsidR="00F5289E" w14:paraId="45269298" w14:textId="77777777">
        <w:tc>
          <w:tcPr>
            <w:tcW w:w="8522" w:type="dxa"/>
            <w:gridSpan w:val="3"/>
          </w:tcPr>
          <w:p w14:paraId="741DA286" w14:textId="77777777" w:rsidR="00F5289E" w:rsidRDefault="00C91173">
            <w:pPr>
              <w:spacing w:line="360" w:lineRule="auto"/>
              <w:rPr>
                <w:rFonts w:ascii="宋体" w:hAnsi="宋体"/>
                <w:kern w:val="0"/>
                <w:szCs w:val="21"/>
              </w:rPr>
            </w:pPr>
            <w:r>
              <w:rPr>
                <w:rFonts w:ascii="宋体" w:hAnsi="宋体" w:hint="eastAsia"/>
                <w:b/>
                <w:bCs/>
                <w:kern w:val="0"/>
                <w:szCs w:val="21"/>
              </w:rPr>
              <w:t>对后续的支撑：</w:t>
            </w:r>
            <w:r>
              <w:rPr>
                <w:rFonts w:ascii="宋体" w:hAnsi="宋体" w:hint="eastAsia"/>
                <w:kern w:val="0"/>
                <w:szCs w:val="21"/>
              </w:rPr>
              <w:t>无土栽培学，设施农业工程预概算。</w:t>
            </w:r>
          </w:p>
          <w:p w14:paraId="2FF0D4F5" w14:textId="77777777" w:rsidR="00F5289E" w:rsidRDefault="00C91173">
            <w:pPr>
              <w:spacing w:line="360" w:lineRule="auto"/>
              <w:rPr>
                <w:rFonts w:ascii="宋体" w:hAnsi="宋体"/>
                <w:b/>
                <w:bCs/>
                <w:kern w:val="0"/>
                <w:szCs w:val="21"/>
              </w:rPr>
            </w:pPr>
            <w:r>
              <w:rPr>
                <w:rFonts w:ascii="宋体" w:hAnsi="宋体" w:hint="eastAsia"/>
                <w:kern w:val="0"/>
                <w:szCs w:val="21"/>
              </w:rPr>
              <w:t>园区规划是对现代农业园区的宏观布局，掌握本节课知识对园区的局部规划具有指导意义。</w:t>
            </w:r>
          </w:p>
        </w:tc>
      </w:tr>
      <w:tr w:rsidR="00F5289E" w14:paraId="1AE05DEB" w14:textId="77777777">
        <w:tc>
          <w:tcPr>
            <w:tcW w:w="2840" w:type="dxa"/>
          </w:tcPr>
          <w:p w14:paraId="73D2B804" w14:textId="77777777" w:rsidR="00F5289E" w:rsidRDefault="00C91173">
            <w:pPr>
              <w:spacing w:line="360" w:lineRule="auto"/>
              <w:rPr>
                <w:rFonts w:ascii="宋体" w:hAnsi="宋体"/>
                <w:b/>
                <w:bCs/>
                <w:kern w:val="0"/>
                <w:szCs w:val="21"/>
              </w:rPr>
            </w:pPr>
            <w:r>
              <w:rPr>
                <w:rFonts w:ascii="宋体" w:hAnsi="宋体" w:hint="eastAsia"/>
                <w:b/>
                <w:bCs/>
                <w:kern w:val="0"/>
                <w:szCs w:val="21"/>
              </w:rPr>
              <w:t>主撰人：</w:t>
            </w:r>
            <w:r>
              <w:rPr>
                <w:rFonts w:ascii="宋体" w:hAnsi="宋体" w:hint="eastAsia"/>
                <w:kern w:val="0"/>
                <w:szCs w:val="21"/>
              </w:rPr>
              <w:t>李胜利</w:t>
            </w:r>
          </w:p>
        </w:tc>
        <w:tc>
          <w:tcPr>
            <w:tcW w:w="2476" w:type="dxa"/>
          </w:tcPr>
          <w:p w14:paraId="75EA79BF" w14:textId="77777777" w:rsidR="00F5289E" w:rsidRDefault="00C91173">
            <w:pPr>
              <w:spacing w:line="360" w:lineRule="auto"/>
              <w:rPr>
                <w:rFonts w:ascii="宋体" w:hAnsi="宋体"/>
                <w:b/>
                <w:bCs/>
                <w:kern w:val="0"/>
                <w:szCs w:val="21"/>
              </w:rPr>
            </w:pPr>
            <w:r>
              <w:rPr>
                <w:rFonts w:ascii="宋体" w:hAnsi="宋体" w:hint="eastAsia"/>
                <w:b/>
                <w:bCs/>
                <w:kern w:val="0"/>
                <w:szCs w:val="21"/>
              </w:rPr>
              <w:t>审核人：</w:t>
            </w:r>
            <w:r>
              <w:rPr>
                <w:rFonts w:ascii="宋体" w:hAnsi="宋体" w:hint="eastAsia"/>
                <w:kern w:val="0"/>
                <w:szCs w:val="21"/>
              </w:rPr>
              <w:t>李阳</w:t>
            </w:r>
          </w:p>
        </w:tc>
        <w:tc>
          <w:tcPr>
            <w:tcW w:w="3206" w:type="dxa"/>
          </w:tcPr>
          <w:p w14:paraId="3F4D7DD0" w14:textId="77777777" w:rsidR="00F5289E" w:rsidRDefault="00C91173">
            <w:pPr>
              <w:spacing w:line="360" w:lineRule="auto"/>
              <w:rPr>
                <w:rFonts w:ascii="宋体" w:hAnsi="宋体"/>
                <w:b/>
                <w:bCs/>
                <w:kern w:val="0"/>
                <w:szCs w:val="21"/>
              </w:rPr>
            </w:pPr>
            <w:r>
              <w:rPr>
                <w:rFonts w:ascii="宋体" w:hAnsi="宋体" w:hint="eastAsia"/>
                <w:b/>
                <w:bCs/>
                <w:kern w:val="0"/>
                <w:szCs w:val="21"/>
              </w:rPr>
              <w:t>大纲制定（修订）日期：</w:t>
            </w:r>
            <w:r>
              <w:rPr>
                <w:rFonts w:ascii="宋体" w:hAnsi="宋体"/>
                <w:kern w:val="0"/>
                <w:szCs w:val="21"/>
              </w:rPr>
              <w:t>2023.</w:t>
            </w:r>
            <w:r>
              <w:rPr>
                <w:rFonts w:ascii="宋体" w:hAnsi="宋体" w:hint="eastAsia"/>
                <w:kern w:val="0"/>
                <w:szCs w:val="21"/>
              </w:rPr>
              <w:t>0</w:t>
            </w:r>
            <w:r>
              <w:rPr>
                <w:rFonts w:ascii="宋体" w:hAnsi="宋体"/>
                <w:kern w:val="0"/>
                <w:szCs w:val="21"/>
              </w:rPr>
              <w:t>5</w:t>
            </w:r>
          </w:p>
        </w:tc>
      </w:tr>
    </w:tbl>
    <w:p w14:paraId="2C7FD38B" w14:textId="77777777" w:rsidR="00F5289E" w:rsidRDefault="00C91173">
      <w:pPr>
        <w:widowControl/>
        <w:snapToGrid w:val="0"/>
        <w:spacing w:line="360" w:lineRule="auto"/>
        <w:jc w:val="left"/>
        <w:rPr>
          <w:kern w:val="0"/>
          <w:szCs w:val="21"/>
        </w:rPr>
      </w:pPr>
      <w:r>
        <w:rPr>
          <w:rFonts w:hAnsi="宋体"/>
          <w:b/>
          <w:bCs/>
          <w:kern w:val="0"/>
          <w:szCs w:val="21"/>
        </w:rPr>
        <w:t>一、课程的性质、</w:t>
      </w:r>
      <w:r>
        <w:rPr>
          <w:rFonts w:hAnsi="宋体" w:hint="eastAsia"/>
          <w:b/>
          <w:bCs/>
          <w:kern w:val="0"/>
          <w:szCs w:val="21"/>
        </w:rPr>
        <w:t>目的</w:t>
      </w:r>
      <w:r>
        <w:rPr>
          <w:rFonts w:hAnsi="宋体"/>
          <w:b/>
          <w:bCs/>
          <w:kern w:val="0"/>
          <w:szCs w:val="21"/>
        </w:rPr>
        <w:t>和任务</w:t>
      </w:r>
    </w:p>
    <w:p w14:paraId="301FEF01" w14:textId="20486E5C" w:rsidR="00F5289E" w:rsidRPr="00612D5B" w:rsidRDefault="00C91173" w:rsidP="00612D5B">
      <w:pPr>
        <w:spacing w:line="360" w:lineRule="auto"/>
        <w:ind w:firstLineChars="200" w:firstLine="420"/>
        <w:rPr>
          <w:iCs/>
          <w:color w:val="FF0000"/>
          <w:szCs w:val="21"/>
        </w:rPr>
      </w:pPr>
      <w:r>
        <w:rPr>
          <w:rFonts w:hint="eastAsia"/>
          <w:szCs w:val="21"/>
        </w:rPr>
        <w:t>《农业园区规划与管理》是设施农业科学与工程专业的核心课程之一，是一门以课堂讲授为主结合案例分析的专业课程。该门课程以要求学生在掌握农业园区的内涵、类型和基本特征之外，规范农业园区的规划和管理，对指导现代农业园区的建设和发展具有重要的意义。</w:t>
      </w:r>
    </w:p>
    <w:p w14:paraId="5420CC9C"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09564EF2" w14:textId="08A2D38A" w:rsidR="00F5289E" w:rsidRDefault="00C91173" w:rsidP="00612D5B">
      <w:pPr>
        <w:widowControl/>
        <w:snapToGrid w:val="0"/>
        <w:spacing w:line="360" w:lineRule="auto"/>
        <w:ind w:firstLineChars="200" w:firstLine="420"/>
        <w:jc w:val="left"/>
        <w:rPr>
          <w:kern w:val="0"/>
          <w:szCs w:val="21"/>
        </w:rPr>
      </w:pPr>
      <w:r>
        <w:rPr>
          <w:kern w:val="0"/>
          <w:szCs w:val="21"/>
        </w:rPr>
        <w:t>1</w:t>
      </w:r>
      <w:r>
        <w:rPr>
          <w:rFonts w:hAnsi="宋体"/>
          <w:kern w:val="0"/>
          <w:szCs w:val="21"/>
        </w:rPr>
        <w:t>、理论知识方面：</w:t>
      </w:r>
      <w:r>
        <w:rPr>
          <w:rFonts w:hint="eastAsia"/>
          <w:szCs w:val="21"/>
        </w:rPr>
        <w:t>该门课程要求学生在掌握相关的专业知识、农业园区的基本概念及其规划和管理的基本知识，了解现有的各类农业园区类型素材，掌握规划农业园区的方法及管理园区的基本内容。</w:t>
      </w:r>
    </w:p>
    <w:p w14:paraId="4F1F5E53" w14:textId="77777777" w:rsidR="00F5289E" w:rsidRDefault="00C91173">
      <w:pPr>
        <w:widowControl/>
        <w:snapToGrid w:val="0"/>
        <w:spacing w:line="360" w:lineRule="auto"/>
        <w:ind w:firstLine="260"/>
        <w:jc w:val="left"/>
        <w:rPr>
          <w:rFonts w:hAnsi="宋体"/>
          <w:kern w:val="0"/>
          <w:szCs w:val="21"/>
        </w:rPr>
      </w:pPr>
      <w:r>
        <w:rPr>
          <w:kern w:val="0"/>
          <w:szCs w:val="21"/>
        </w:rPr>
        <w:t>2</w:t>
      </w:r>
      <w:r>
        <w:rPr>
          <w:rFonts w:hAnsi="宋体"/>
          <w:kern w:val="0"/>
          <w:szCs w:val="21"/>
        </w:rPr>
        <w:t>、实验技能方面：掌握现代农业园区的调查方法</w:t>
      </w:r>
      <w:r>
        <w:rPr>
          <w:rFonts w:hAnsi="宋体" w:hint="eastAsia"/>
          <w:kern w:val="0"/>
          <w:szCs w:val="21"/>
        </w:rPr>
        <w:t>；</w:t>
      </w:r>
      <w:r>
        <w:rPr>
          <w:rFonts w:hAnsi="宋体"/>
          <w:kern w:val="0"/>
          <w:szCs w:val="21"/>
        </w:rPr>
        <w:t>掌握可行性研究报告的编写</w:t>
      </w:r>
      <w:r>
        <w:rPr>
          <w:rFonts w:hAnsi="宋体" w:hint="eastAsia"/>
          <w:kern w:val="0"/>
          <w:szCs w:val="21"/>
        </w:rPr>
        <w:t>；</w:t>
      </w:r>
      <w:r>
        <w:rPr>
          <w:rFonts w:hAnsi="宋体"/>
          <w:kern w:val="0"/>
          <w:szCs w:val="21"/>
        </w:rPr>
        <w:t>掌握设施园艺种植园区</w:t>
      </w:r>
      <w:r>
        <w:rPr>
          <w:rFonts w:hAnsi="宋体" w:hint="eastAsia"/>
          <w:kern w:val="0"/>
          <w:szCs w:val="21"/>
        </w:rPr>
        <w:t>、</w:t>
      </w:r>
      <w:r>
        <w:rPr>
          <w:rFonts w:hAnsi="宋体"/>
          <w:kern w:val="0"/>
          <w:szCs w:val="21"/>
        </w:rPr>
        <w:t>工厂化育苗场</w:t>
      </w:r>
      <w:r>
        <w:rPr>
          <w:rFonts w:hAnsi="宋体" w:hint="eastAsia"/>
          <w:kern w:val="0"/>
          <w:szCs w:val="21"/>
        </w:rPr>
        <w:t>、</w:t>
      </w:r>
      <w:r>
        <w:rPr>
          <w:rFonts w:hAnsi="宋体"/>
          <w:kern w:val="0"/>
          <w:szCs w:val="21"/>
        </w:rPr>
        <w:t>现代农产品物流园</w:t>
      </w:r>
      <w:r>
        <w:rPr>
          <w:rFonts w:hAnsi="宋体" w:hint="eastAsia"/>
          <w:kern w:val="0"/>
          <w:szCs w:val="21"/>
        </w:rPr>
        <w:t>、</w:t>
      </w:r>
      <w:r>
        <w:rPr>
          <w:rFonts w:hAnsi="宋体"/>
          <w:kern w:val="0"/>
          <w:szCs w:val="21"/>
        </w:rPr>
        <w:t>科普教育农园</w:t>
      </w:r>
      <w:r>
        <w:rPr>
          <w:rFonts w:hAnsi="宋体" w:hint="eastAsia"/>
          <w:kern w:val="0"/>
          <w:szCs w:val="21"/>
        </w:rPr>
        <w:t>和生态休闲采摘园的规划。</w:t>
      </w:r>
    </w:p>
    <w:p w14:paraId="017269C7"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1D509FAF"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390AAC61" w14:textId="77777777" w:rsidR="00F5289E" w:rsidRDefault="00C91173">
      <w:pPr>
        <w:widowControl/>
        <w:snapToGrid w:val="0"/>
        <w:spacing w:line="360" w:lineRule="auto"/>
        <w:ind w:firstLineChars="200" w:firstLine="420"/>
        <w:jc w:val="left"/>
        <w:rPr>
          <w:rFonts w:hAnsi="宋体"/>
          <w:color w:val="000000" w:themeColor="text1"/>
          <w:kern w:val="0"/>
          <w:szCs w:val="21"/>
        </w:rPr>
      </w:pPr>
      <w:r>
        <w:rPr>
          <w:rFonts w:hAnsi="宋体" w:hint="eastAsia"/>
          <w:color w:val="000000" w:themeColor="text1"/>
          <w:kern w:val="0"/>
          <w:szCs w:val="21"/>
        </w:rPr>
        <w:t>理论教学部分主要采用案例分析、讨论等方法进行教学。首先根据生产实际，引入需求，经过课程理论知识学习，能够满足生产所需。结合周边园区的案例分析，理论联系实际，培养学生思考、创新、解决问题的能力。课后留有思考题，有针对性的引导学生利用所学理论知识解决问题。</w:t>
      </w:r>
    </w:p>
    <w:p w14:paraId="6983E63B" w14:textId="77777777" w:rsidR="00F5289E" w:rsidRDefault="00C91173">
      <w:pPr>
        <w:widowControl/>
        <w:snapToGrid w:val="0"/>
        <w:spacing w:line="360" w:lineRule="auto"/>
        <w:ind w:firstLineChars="200" w:firstLine="420"/>
        <w:jc w:val="left"/>
        <w:rPr>
          <w:rFonts w:hAnsi="宋体"/>
          <w:color w:val="000000" w:themeColor="text1"/>
          <w:kern w:val="0"/>
          <w:szCs w:val="21"/>
        </w:rPr>
      </w:pPr>
      <w:r>
        <w:rPr>
          <w:rFonts w:hAnsi="宋体" w:hint="eastAsia"/>
          <w:color w:val="000000" w:themeColor="text1"/>
          <w:kern w:val="0"/>
          <w:szCs w:val="21"/>
        </w:rPr>
        <w:lastRenderedPageBreak/>
        <w:t>实验教学部分主要是利用“项目教学法”，通过团队合作的形式完成多种类型园区的设计与规划，培养学生思考、协作、创新的能力，将理论知识进行迁移，转化为实践应用能力。</w:t>
      </w:r>
    </w:p>
    <w:p w14:paraId="042457A1"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618" w:type="dxa"/>
        <w:jc w:val="center"/>
        <w:tblLook w:val="04A0" w:firstRow="1" w:lastRow="0" w:firstColumn="1" w:lastColumn="0" w:noHBand="0" w:noVBand="1"/>
      </w:tblPr>
      <w:tblGrid>
        <w:gridCol w:w="720"/>
        <w:gridCol w:w="5654"/>
        <w:gridCol w:w="2244"/>
      </w:tblGrid>
      <w:tr w:rsidR="00F5289E" w14:paraId="1D529763" w14:textId="77777777">
        <w:trPr>
          <w:trHeight w:val="403"/>
          <w:jc w:val="center"/>
        </w:trPr>
        <w:tc>
          <w:tcPr>
            <w:tcW w:w="720" w:type="dxa"/>
            <w:tcBorders>
              <w:top w:val="single" w:sz="4" w:space="0" w:color="auto"/>
              <w:left w:val="single" w:sz="4" w:space="0" w:color="auto"/>
              <w:bottom w:val="single" w:sz="4" w:space="0" w:color="auto"/>
              <w:right w:val="single" w:sz="4" w:space="0" w:color="auto"/>
            </w:tcBorders>
            <w:shd w:val="clear" w:color="auto" w:fill="EEECE1"/>
            <w:vAlign w:val="center"/>
          </w:tcPr>
          <w:p w14:paraId="01426813" w14:textId="77777777" w:rsidR="00F5289E" w:rsidRDefault="00C91173">
            <w:pPr>
              <w:spacing w:line="320" w:lineRule="exact"/>
              <w:jc w:val="center"/>
              <w:rPr>
                <w:rFonts w:ascii="宋体" w:hAnsi="宋体" w:cs="宋体"/>
                <w:b/>
                <w:bCs/>
                <w:szCs w:val="21"/>
              </w:rPr>
            </w:pPr>
            <w:r>
              <w:rPr>
                <w:rFonts w:ascii="宋体" w:hAnsi="宋体" w:cs="宋体" w:hint="eastAsia"/>
                <w:b/>
                <w:bCs/>
                <w:szCs w:val="21"/>
              </w:rPr>
              <w:t>序号</w:t>
            </w:r>
          </w:p>
        </w:tc>
        <w:tc>
          <w:tcPr>
            <w:tcW w:w="5654" w:type="dxa"/>
            <w:tcBorders>
              <w:top w:val="single" w:sz="4" w:space="0" w:color="auto"/>
              <w:left w:val="single" w:sz="4" w:space="0" w:color="auto"/>
              <w:bottom w:val="single" w:sz="4" w:space="0" w:color="auto"/>
              <w:right w:val="single" w:sz="4" w:space="0" w:color="auto"/>
            </w:tcBorders>
            <w:shd w:val="clear" w:color="auto" w:fill="EEECE1"/>
            <w:vAlign w:val="center"/>
          </w:tcPr>
          <w:p w14:paraId="6B9F574C" w14:textId="77777777" w:rsidR="00F5289E" w:rsidRDefault="00C91173">
            <w:pPr>
              <w:spacing w:line="320" w:lineRule="exact"/>
              <w:jc w:val="center"/>
              <w:rPr>
                <w:rFonts w:ascii="宋体" w:hAnsi="宋体" w:cs="宋体"/>
                <w:b/>
                <w:bCs/>
                <w:szCs w:val="21"/>
              </w:rPr>
            </w:pPr>
            <w:r>
              <w:rPr>
                <w:rFonts w:ascii="宋体" w:hAnsi="宋体" w:cs="宋体" w:hint="eastAsia"/>
                <w:b/>
                <w:bCs/>
                <w:szCs w:val="21"/>
              </w:rPr>
              <w:t>课程目标</w:t>
            </w:r>
          </w:p>
        </w:tc>
        <w:tc>
          <w:tcPr>
            <w:tcW w:w="2244" w:type="dxa"/>
            <w:tcBorders>
              <w:top w:val="single" w:sz="4" w:space="0" w:color="auto"/>
              <w:left w:val="single" w:sz="4" w:space="0" w:color="auto"/>
              <w:bottom w:val="single" w:sz="4" w:space="0" w:color="auto"/>
              <w:right w:val="single" w:sz="4" w:space="0" w:color="auto"/>
            </w:tcBorders>
            <w:shd w:val="clear" w:color="auto" w:fill="EEECE1"/>
            <w:vAlign w:val="center"/>
          </w:tcPr>
          <w:p w14:paraId="5AE4F9DE" w14:textId="77777777" w:rsidR="00F5289E" w:rsidRDefault="00C91173">
            <w:pPr>
              <w:spacing w:line="320" w:lineRule="exact"/>
              <w:jc w:val="center"/>
              <w:rPr>
                <w:rFonts w:ascii="宋体" w:hAnsi="宋体" w:cs="宋体"/>
                <w:b/>
                <w:bCs/>
                <w:szCs w:val="21"/>
              </w:rPr>
            </w:pPr>
            <w:r>
              <w:rPr>
                <w:rFonts w:ascii="宋体" w:hAnsi="宋体" w:cs="宋体" w:hint="eastAsia"/>
                <w:b/>
                <w:bCs/>
                <w:szCs w:val="21"/>
              </w:rPr>
              <w:t>毕业要求</w:t>
            </w:r>
          </w:p>
        </w:tc>
      </w:tr>
      <w:tr w:rsidR="00F5289E" w14:paraId="08E1C1F1" w14:textId="77777777">
        <w:trPr>
          <w:trHeight w:val="963"/>
          <w:jc w:val="center"/>
        </w:trPr>
        <w:tc>
          <w:tcPr>
            <w:tcW w:w="720" w:type="dxa"/>
            <w:tcBorders>
              <w:top w:val="single" w:sz="4" w:space="0" w:color="auto"/>
              <w:left w:val="single" w:sz="4" w:space="0" w:color="auto"/>
              <w:bottom w:val="single" w:sz="4" w:space="0" w:color="auto"/>
              <w:right w:val="single" w:sz="4" w:space="0" w:color="auto"/>
            </w:tcBorders>
            <w:vAlign w:val="center"/>
          </w:tcPr>
          <w:p w14:paraId="04866D5C" w14:textId="77777777" w:rsidR="00F5289E" w:rsidRDefault="00C91173">
            <w:pPr>
              <w:spacing w:line="320" w:lineRule="exact"/>
              <w:jc w:val="center"/>
              <w:rPr>
                <w:szCs w:val="21"/>
              </w:rPr>
            </w:pPr>
            <w:r>
              <w:rPr>
                <w:szCs w:val="21"/>
              </w:rPr>
              <w:t>1</w:t>
            </w:r>
          </w:p>
        </w:tc>
        <w:tc>
          <w:tcPr>
            <w:tcW w:w="5654" w:type="dxa"/>
            <w:tcBorders>
              <w:top w:val="single" w:sz="4" w:space="0" w:color="auto"/>
              <w:left w:val="single" w:sz="4" w:space="0" w:color="auto"/>
              <w:bottom w:val="single" w:sz="4" w:space="0" w:color="auto"/>
              <w:right w:val="single" w:sz="4" w:space="0" w:color="auto"/>
            </w:tcBorders>
            <w:vAlign w:val="center"/>
          </w:tcPr>
          <w:p w14:paraId="341E2555" w14:textId="77777777" w:rsidR="00F5289E" w:rsidRDefault="00C91173">
            <w:pPr>
              <w:spacing w:line="320" w:lineRule="exact"/>
              <w:jc w:val="left"/>
              <w:rPr>
                <w:rFonts w:hAnsi="宋体"/>
                <w:color w:val="000000"/>
                <w:szCs w:val="21"/>
              </w:rPr>
            </w:pPr>
            <w:r>
              <w:rPr>
                <w:rFonts w:hint="eastAsia"/>
                <w:color w:val="000000"/>
                <w:szCs w:val="21"/>
              </w:rPr>
              <w:t>培养学生独立进行各类型现代园区规划的能力</w:t>
            </w:r>
          </w:p>
        </w:tc>
        <w:tc>
          <w:tcPr>
            <w:tcW w:w="2244" w:type="dxa"/>
            <w:tcBorders>
              <w:top w:val="single" w:sz="4" w:space="0" w:color="auto"/>
              <w:left w:val="single" w:sz="4" w:space="0" w:color="auto"/>
              <w:bottom w:val="single" w:sz="4" w:space="0" w:color="auto"/>
              <w:right w:val="single" w:sz="4" w:space="0" w:color="auto"/>
            </w:tcBorders>
            <w:vAlign w:val="center"/>
          </w:tcPr>
          <w:p w14:paraId="038B0F97" w14:textId="195875E3" w:rsidR="00F5289E" w:rsidRDefault="00612D5B">
            <w:pPr>
              <w:spacing w:line="320" w:lineRule="exact"/>
              <w:jc w:val="center"/>
              <w:rPr>
                <w:color w:val="000000"/>
                <w:szCs w:val="21"/>
              </w:rPr>
            </w:pPr>
            <w:r>
              <w:rPr>
                <w:rFonts w:hint="eastAsia"/>
                <w:color w:val="000000"/>
                <w:szCs w:val="21"/>
              </w:rPr>
              <w:t>5</w:t>
            </w:r>
          </w:p>
        </w:tc>
      </w:tr>
      <w:tr w:rsidR="00F5289E" w14:paraId="18C7196F" w14:textId="77777777">
        <w:trPr>
          <w:trHeight w:val="963"/>
          <w:jc w:val="center"/>
        </w:trPr>
        <w:tc>
          <w:tcPr>
            <w:tcW w:w="720" w:type="dxa"/>
            <w:tcBorders>
              <w:top w:val="single" w:sz="4" w:space="0" w:color="auto"/>
              <w:left w:val="single" w:sz="4" w:space="0" w:color="auto"/>
              <w:bottom w:val="single" w:sz="4" w:space="0" w:color="auto"/>
              <w:right w:val="single" w:sz="4" w:space="0" w:color="auto"/>
            </w:tcBorders>
            <w:vAlign w:val="center"/>
          </w:tcPr>
          <w:p w14:paraId="57D9E2DC" w14:textId="77777777" w:rsidR="00F5289E" w:rsidRDefault="00C91173">
            <w:pPr>
              <w:spacing w:line="320" w:lineRule="exact"/>
              <w:jc w:val="center"/>
              <w:rPr>
                <w:szCs w:val="21"/>
              </w:rPr>
            </w:pPr>
            <w:r>
              <w:rPr>
                <w:szCs w:val="21"/>
              </w:rPr>
              <w:t>2</w:t>
            </w:r>
          </w:p>
        </w:tc>
        <w:tc>
          <w:tcPr>
            <w:tcW w:w="5654" w:type="dxa"/>
            <w:tcBorders>
              <w:top w:val="single" w:sz="4" w:space="0" w:color="auto"/>
              <w:left w:val="single" w:sz="4" w:space="0" w:color="auto"/>
              <w:bottom w:val="single" w:sz="4" w:space="0" w:color="auto"/>
              <w:right w:val="single" w:sz="4" w:space="0" w:color="auto"/>
            </w:tcBorders>
            <w:vAlign w:val="center"/>
          </w:tcPr>
          <w:p w14:paraId="5CE1077C" w14:textId="77777777" w:rsidR="00F5289E" w:rsidRDefault="00C91173">
            <w:pPr>
              <w:spacing w:line="320" w:lineRule="exact"/>
              <w:jc w:val="left"/>
              <w:rPr>
                <w:rFonts w:hAnsi="宋体"/>
                <w:color w:val="000000"/>
                <w:szCs w:val="21"/>
                <w:highlight w:val="yellow"/>
              </w:rPr>
            </w:pPr>
            <w:r>
              <w:rPr>
                <w:rFonts w:hAnsi="宋体" w:hint="eastAsia"/>
                <w:color w:val="000000"/>
                <w:szCs w:val="21"/>
              </w:rPr>
              <w:t>增强学生服务农业农村现代化、服务乡村全面振兴的使命感和责任感，培养知农爱农创新人才</w:t>
            </w:r>
          </w:p>
        </w:tc>
        <w:tc>
          <w:tcPr>
            <w:tcW w:w="2244" w:type="dxa"/>
            <w:tcBorders>
              <w:top w:val="single" w:sz="4" w:space="0" w:color="auto"/>
              <w:left w:val="single" w:sz="4" w:space="0" w:color="auto"/>
              <w:bottom w:val="single" w:sz="4" w:space="0" w:color="auto"/>
              <w:right w:val="single" w:sz="4" w:space="0" w:color="auto"/>
            </w:tcBorders>
            <w:vAlign w:val="center"/>
          </w:tcPr>
          <w:p w14:paraId="3FE8F9A9" w14:textId="66AC06DC" w:rsidR="00F5289E" w:rsidRDefault="00612D5B">
            <w:pPr>
              <w:spacing w:line="320" w:lineRule="exact"/>
              <w:jc w:val="center"/>
              <w:rPr>
                <w:color w:val="000000"/>
                <w:szCs w:val="21"/>
              </w:rPr>
            </w:pPr>
            <w:r>
              <w:rPr>
                <w:rFonts w:hint="eastAsia"/>
                <w:color w:val="000000"/>
                <w:szCs w:val="21"/>
              </w:rPr>
              <w:t>2</w:t>
            </w:r>
          </w:p>
          <w:p w14:paraId="67BEAB86" w14:textId="3462E862" w:rsidR="00F5289E" w:rsidRDefault="00612D5B">
            <w:pPr>
              <w:spacing w:line="320" w:lineRule="exact"/>
              <w:jc w:val="center"/>
              <w:rPr>
                <w:color w:val="000000"/>
                <w:szCs w:val="21"/>
              </w:rPr>
            </w:pPr>
            <w:r>
              <w:rPr>
                <w:rFonts w:hint="eastAsia"/>
                <w:color w:val="000000"/>
                <w:szCs w:val="21"/>
              </w:rPr>
              <w:t>3</w:t>
            </w:r>
          </w:p>
        </w:tc>
      </w:tr>
      <w:tr w:rsidR="00F5289E" w14:paraId="7A4C9F06" w14:textId="77777777">
        <w:trPr>
          <w:trHeight w:val="963"/>
          <w:jc w:val="center"/>
        </w:trPr>
        <w:tc>
          <w:tcPr>
            <w:tcW w:w="720" w:type="dxa"/>
            <w:tcBorders>
              <w:top w:val="single" w:sz="4" w:space="0" w:color="auto"/>
              <w:left w:val="single" w:sz="4" w:space="0" w:color="auto"/>
              <w:bottom w:val="single" w:sz="4" w:space="0" w:color="auto"/>
              <w:right w:val="single" w:sz="4" w:space="0" w:color="auto"/>
            </w:tcBorders>
            <w:vAlign w:val="center"/>
          </w:tcPr>
          <w:p w14:paraId="2927846D" w14:textId="77777777" w:rsidR="00F5289E" w:rsidRDefault="00C91173">
            <w:pPr>
              <w:spacing w:line="320" w:lineRule="exact"/>
              <w:jc w:val="center"/>
              <w:rPr>
                <w:szCs w:val="21"/>
              </w:rPr>
            </w:pPr>
            <w:r>
              <w:rPr>
                <w:szCs w:val="21"/>
              </w:rPr>
              <w:t>3</w:t>
            </w:r>
          </w:p>
        </w:tc>
        <w:tc>
          <w:tcPr>
            <w:tcW w:w="5654" w:type="dxa"/>
            <w:tcBorders>
              <w:top w:val="single" w:sz="4" w:space="0" w:color="auto"/>
              <w:left w:val="single" w:sz="4" w:space="0" w:color="auto"/>
              <w:bottom w:val="single" w:sz="4" w:space="0" w:color="auto"/>
              <w:right w:val="single" w:sz="4" w:space="0" w:color="auto"/>
            </w:tcBorders>
            <w:vAlign w:val="center"/>
          </w:tcPr>
          <w:p w14:paraId="6C101FEA" w14:textId="77777777" w:rsidR="00F5289E" w:rsidRDefault="00C91173">
            <w:pPr>
              <w:spacing w:line="320" w:lineRule="exact"/>
              <w:jc w:val="left"/>
              <w:rPr>
                <w:color w:val="000000"/>
                <w:szCs w:val="21"/>
              </w:rPr>
            </w:pPr>
            <w:r>
              <w:rPr>
                <w:rFonts w:hAnsi="宋体" w:hint="eastAsia"/>
                <w:color w:val="000000"/>
                <w:szCs w:val="21"/>
              </w:rPr>
              <w:t>善于发现生产中的问题，并培养</w:t>
            </w:r>
            <w:r>
              <w:rPr>
                <w:rFonts w:hAnsi="宋体"/>
                <w:color w:val="000000"/>
                <w:szCs w:val="21"/>
              </w:rPr>
              <w:t>学生</w:t>
            </w:r>
            <w:r>
              <w:rPr>
                <w:rFonts w:hAnsi="宋体" w:hint="eastAsia"/>
                <w:color w:val="000000"/>
                <w:szCs w:val="21"/>
              </w:rPr>
              <w:t>勇于探索与创新的素质</w:t>
            </w:r>
          </w:p>
        </w:tc>
        <w:tc>
          <w:tcPr>
            <w:tcW w:w="2244" w:type="dxa"/>
            <w:tcBorders>
              <w:top w:val="single" w:sz="4" w:space="0" w:color="auto"/>
              <w:left w:val="single" w:sz="4" w:space="0" w:color="auto"/>
              <w:bottom w:val="single" w:sz="4" w:space="0" w:color="auto"/>
              <w:right w:val="single" w:sz="4" w:space="0" w:color="auto"/>
            </w:tcBorders>
            <w:vAlign w:val="center"/>
          </w:tcPr>
          <w:p w14:paraId="41A53770" w14:textId="0D57D2AA" w:rsidR="00F5289E" w:rsidRDefault="00612D5B">
            <w:pPr>
              <w:spacing w:line="320" w:lineRule="exact"/>
              <w:jc w:val="center"/>
              <w:rPr>
                <w:color w:val="000000"/>
                <w:szCs w:val="21"/>
              </w:rPr>
            </w:pPr>
            <w:r>
              <w:rPr>
                <w:rFonts w:hint="eastAsia"/>
                <w:color w:val="000000"/>
                <w:szCs w:val="21"/>
              </w:rPr>
              <w:t>6</w:t>
            </w:r>
          </w:p>
        </w:tc>
      </w:tr>
    </w:tbl>
    <w:p w14:paraId="687D9320" w14:textId="77777777" w:rsidR="00F5289E" w:rsidRDefault="00F5289E">
      <w:pPr>
        <w:widowControl/>
        <w:snapToGrid w:val="0"/>
        <w:spacing w:line="360" w:lineRule="auto"/>
        <w:jc w:val="left"/>
        <w:rPr>
          <w:rFonts w:hAnsi="宋体"/>
          <w:b/>
          <w:bCs/>
          <w:strike/>
          <w:color w:val="0000FF"/>
          <w:kern w:val="0"/>
          <w:szCs w:val="21"/>
        </w:rPr>
      </w:pPr>
    </w:p>
    <w:p w14:paraId="34822CD6"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color w:val="000000" w:themeColor="text1"/>
          <w:kern w:val="0"/>
          <w:szCs w:val="21"/>
        </w:rPr>
        <w:t>4</w:t>
      </w:r>
      <w:r>
        <w:rPr>
          <w:rFonts w:hAnsi="宋体"/>
          <w:b/>
          <w:bCs/>
          <w:color w:val="000000" w:themeColor="text1"/>
          <w:kern w:val="0"/>
          <w:szCs w:val="21"/>
        </w:rPr>
        <w:t>0</w:t>
      </w:r>
      <w:r>
        <w:rPr>
          <w:rFonts w:hAnsi="宋体" w:hint="eastAsia"/>
          <w:b/>
          <w:bCs/>
          <w:kern w:val="0"/>
          <w:szCs w:val="21"/>
        </w:rPr>
        <w:t>学时）</w:t>
      </w:r>
    </w:p>
    <w:p w14:paraId="00FECB0A"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p w14:paraId="49BFE213" w14:textId="77777777" w:rsidR="00F5289E" w:rsidRDefault="00C91173">
      <w:pPr>
        <w:widowControl/>
        <w:snapToGrid w:val="0"/>
        <w:spacing w:line="360" w:lineRule="auto"/>
        <w:jc w:val="right"/>
        <w:rPr>
          <w:kern w:val="0"/>
          <w:szCs w:val="21"/>
        </w:rPr>
      </w:pPr>
      <w:r>
        <w:rPr>
          <w:rFonts w:hAnsi="宋体"/>
          <w:b/>
          <w:bCs/>
          <w:kern w:val="0"/>
          <w:szCs w:val="21"/>
        </w:rPr>
        <w:t>第一章</w:t>
      </w:r>
      <w:r>
        <w:rPr>
          <w:b/>
          <w:bCs/>
          <w:kern w:val="0"/>
          <w:szCs w:val="21"/>
        </w:rPr>
        <w:t>     </w:t>
      </w:r>
      <w:r>
        <w:rPr>
          <w:rFonts w:hint="eastAsia"/>
          <w:b/>
          <w:bCs/>
          <w:kern w:val="0"/>
          <w:szCs w:val="21"/>
        </w:rPr>
        <w:t>农业园区的概念、作用和类型</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color w:val="000000" w:themeColor="text1"/>
          <w:kern w:val="0"/>
          <w:szCs w:val="21"/>
        </w:rPr>
        <w:t>：</w:t>
      </w:r>
      <w:r>
        <w:rPr>
          <w:rFonts w:hAnsi="宋体"/>
          <w:b/>
          <w:bCs/>
          <w:color w:val="000000" w:themeColor="text1"/>
          <w:kern w:val="0"/>
          <w:szCs w:val="21"/>
        </w:rPr>
        <w:t>2</w:t>
      </w:r>
    </w:p>
    <w:p w14:paraId="6150C985" w14:textId="77777777" w:rsidR="00F5289E" w:rsidRDefault="00C91173">
      <w:pPr>
        <w:snapToGrid w:val="0"/>
        <w:spacing w:line="360" w:lineRule="auto"/>
        <w:rPr>
          <w:rFonts w:ascii="宋体" w:hAnsi="宋体"/>
          <w:b/>
          <w:bCs/>
          <w:szCs w:val="21"/>
        </w:rPr>
      </w:pPr>
      <w:r>
        <w:rPr>
          <w:rFonts w:ascii="宋体" w:hAnsi="宋体"/>
          <w:szCs w:val="21"/>
        </w:rPr>
        <w:t>第一节</w:t>
      </w:r>
      <w:r>
        <w:rPr>
          <w:rFonts w:ascii="宋体" w:hAnsi="宋体" w:hint="eastAsia"/>
          <w:szCs w:val="21"/>
        </w:rPr>
        <w:t xml:space="preserve">  农业园区的概念和类型</w:t>
      </w:r>
      <w:r>
        <w:rPr>
          <w:rFonts w:ascii="宋体" w:hAnsi="宋体"/>
          <w:szCs w:val="21"/>
        </w:rPr>
        <w:t> </w:t>
      </w:r>
      <w:r>
        <w:rPr>
          <w:rFonts w:ascii="宋体" w:hAnsi="宋体"/>
          <w:b/>
          <w:bCs/>
          <w:szCs w:val="21"/>
        </w:rPr>
        <w:t>    1学时</w:t>
      </w:r>
    </w:p>
    <w:p w14:paraId="734FD7B8"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了解农业园区的概念和特点</w:t>
      </w:r>
    </w:p>
    <w:p w14:paraId="591396F8"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农业园区的概念</w:t>
      </w:r>
    </w:p>
    <w:p w14:paraId="5F937BF0"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380689D8"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了解：农业园区的特点。</w:t>
      </w:r>
    </w:p>
    <w:p w14:paraId="6DE2ED45"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理解：农业园区的基本功能和类型。</w:t>
      </w:r>
    </w:p>
    <w:p w14:paraId="35B56D0C"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掌握：农业园区的概念。</w:t>
      </w:r>
    </w:p>
    <w:p w14:paraId="0C253E4E" w14:textId="77777777" w:rsidR="00F5289E" w:rsidRDefault="00C91173">
      <w:pPr>
        <w:widowControl/>
        <w:snapToGrid w:val="0"/>
        <w:spacing w:line="360" w:lineRule="auto"/>
        <w:jc w:val="left"/>
        <w:rPr>
          <w:b/>
          <w:kern w:val="0"/>
          <w:szCs w:val="21"/>
        </w:rPr>
      </w:pPr>
      <w:r>
        <w:rPr>
          <w:rFonts w:ascii="宋体" w:hAnsi="宋体"/>
          <w:szCs w:val="21"/>
        </w:rPr>
        <w:t>第</w:t>
      </w:r>
      <w:r>
        <w:rPr>
          <w:rFonts w:ascii="宋体" w:hAnsi="宋体" w:hint="eastAsia"/>
          <w:szCs w:val="21"/>
        </w:rPr>
        <w:t>二</w:t>
      </w:r>
      <w:r>
        <w:rPr>
          <w:rFonts w:ascii="宋体" w:hAnsi="宋体"/>
          <w:szCs w:val="21"/>
        </w:rPr>
        <w:t>节</w:t>
      </w:r>
      <w:r>
        <w:rPr>
          <w:rFonts w:ascii="宋体" w:hAnsi="宋体" w:hint="eastAsia"/>
          <w:szCs w:val="21"/>
        </w:rPr>
        <w:t xml:space="preserve">  农业园区的现状与发展趋势 </w:t>
      </w:r>
      <w:r>
        <w:rPr>
          <w:rFonts w:ascii="宋体" w:hAnsi="宋体"/>
          <w:szCs w:val="21"/>
        </w:rPr>
        <w:t>  </w:t>
      </w:r>
      <w:r>
        <w:rPr>
          <w:b/>
          <w:kern w:val="0"/>
          <w:szCs w:val="21"/>
        </w:rPr>
        <w:t xml:space="preserve">   1</w:t>
      </w:r>
      <w:r>
        <w:rPr>
          <w:rFonts w:hAnsi="宋体"/>
          <w:b/>
          <w:kern w:val="0"/>
          <w:szCs w:val="21"/>
        </w:rPr>
        <w:t>学时</w:t>
      </w:r>
    </w:p>
    <w:p w14:paraId="0BD3DAC1"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了解农业园区的现状与发展趋势</w:t>
      </w:r>
    </w:p>
    <w:p w14:paraId="597BDC3A"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农业园区建设与发展遇到的问题</w:t>
      </w:r>
    </w:p>
    <w:p w14:paraId="7FBC8D29"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7F8053E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了解：世界农业园区的发展现状和趋势。</w:t>
      </w:r>
    </w:p>
    <w:p w14:paraId="791FC86A"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理解：我国农业园区的发展现状。</w:t>
      </w:r>
    </w:p>
    <w:p w14:paraId="53588251"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掌握：农业园区遇到的问题。</w:t>
      </w:r>
    </w:p>
    <w:p w14:paraId="058C485A"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w:t>
      </w:r>
    </w:p>
    <w:p w14:paraId="71C05FE3"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采用多媒体教学，利用视频导入法引入教学内容，结合生产实际分析生产中存在的问题，并以讨论、答疑的形式解决问题。</w:t>
      </w:r>
    </w:p>
    <w:p w14:paraId="7C2B7455" w14:textId="77777777" w:rsidR="00F5289E" w:rsidRDefault="00F5289E">
      <w:pPr>
        <w:widowControl/>
        <w:snapToGrid w:val="0"/>
        <w:spacing w:line="360" w:lineRule="auto"/>
        <w:jc w:val="right"/>
        <w:rPr>
          <w:rFonts w:hAnsi="宋体"/>
          <w:b/>
          <w:bCs/>
          <w:kern w:val="0"/>
          <w:szCs w:val="21"/>
        </w:rPr>
      </w:pPr>
    </w:p>
    <w:p w14:paraId="2A1ADE3C" w14:textId="77777777" w:rsidR="00F5289E" w:rsidRDefault="00F5289E">
      <w:pPr>
        <w:widowControl/>
        <w:snapToGrid w:val="0"/>
        <w:spacing w:line="360" w:lineRule="auto"/>
        <w:jc w:val="right"/>
        <w:rPr>
          <w:rFonts w:hAnsi="宋体"/>
          <w:b/>
          <w:bCs/>
          <w:kern w:val="0"/>
          <w:szCs w:val="21"/>
        </w:rPr>
      </w:pPr>
    </w:p>
    <w:p w14:paraId="63CC794A" w14:textId="77777777" w:rsidR="00F5289E" w:rsidRDefault="00C91173">
      <w:pPr>
        <w:widowControl/>
        <w:snapToGrid w:val="0"/>
        <w:spacing w:line="360" w:lineRule="auto"/>
        <w:jc w:val="right"/>
        <w:rPr>
          <w:kern w:val="0"/>
          <w:szCs w:val="21"/>
        </w:rPr>
      </w:pPr>
      <w:r>
        <w:rPr>
          <w:rFonts w:hAnsi="宋体"/>
          <w:b/>
          <w:bCs/>
          <w:kern w:val="0"/>
          <w:szCs w:val="21"/>
        </w:rPr>
        <w:lastRenderedPageBreak/>
        <w:t>第</w:t>
      </w:r>
      <w:r>
        <w:rPr>
          <w:rFonts w:hAnsi="宋体" w:hint="eastAsia"/>
          <w:b/>
          <w:bCs/>
          <w:kern w:val="0"/>
          <w:szCs w:val="21"/>
        </w:rPr>
        <w:t>二</w:t>
      </w:r>
      <w:r>
        <w:rPr>
          <w:rFonts w:hAnsi="宋体"/>
          <w:b/>
          <w:bCs/>
          <w:kern w:val="0"/>
          <w:szCs w:val="21"/>
        </w:rPr>
        <w:t>章</w:t>
      </w:r>
      <w:r>
        <w:rPr>
          <w:b/>
          <w:bCs/>
          <w:kern w:val="0"/>
          <w:szCs w:val="21"/>
        </w:rPr>
        <w:t>     </w:t>
      </w:r>
      <w:r>
        <w:rPr>
          <w:rFonts w:hint="eastAsia"/>
          <w:b/>
          <w:bCs/>
          <w:kern w:val="0"/>
          <w:szCs w:val="21"/>
        </w:rPr>
        <w:t>农业园区规划内容和布局</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color w:val="000000" w:themeColor="text1"/>
          <w:kern w:val="0"/>
          <w:szCs w:val="21"/>
        </w:rPr>
        <w:t>6</w:t>
      </w:r>
    </w:p>
    <w:p w14:paraId="3655EF63" w14:textId="77777777" w:rsidR="00F5289E" w:rsidRDefault="00C91173">
      <w:pPr>
        <w:snapToGrid w:val="0"/>
        <w:spacing w:line="360" w:lineRule="auto"/>
        <w:rPr>
          <w:rFonts w:ascii="宋体" w:hAnsi="宋体"/>
          <w:b/>
          <w:bCs/>
          <w:szCs w:val="21"/>
        </w:rPr>
      </w:pPr>
      <w:r>
        <w:rPr>
          <w:rFonts w:ascii="宋体" w:hAnsi="宋体"/>
          <w:szCs w:val="21"/>
        </w:rPr>
        <w:t>第一节</w:t>
      </w:r>
      <w:r>
        <w:rPr>
          <w:rFonts w:ascii="宋体" w:hAnsi="宋体" w:hint="eastAsia"/>
          <w:szCs w:val="21"/>
        </w:rPr>
        <w:t xml:space="preserve">  农业园区规划的任务、原则和内容</w:t>
      </w:r>
      <w:r>
        <w:rPr>
          <w:rFonts w:ascii="宋体" w:hAnsi="宋体"/>
          <w:b/>
          <w:bCs/>
          <w:szCs w:val="21"/>
        </w:rPr>
        <w:t>     </w:t>
      </w:r>
      <w:r>
        <w:rPr>
          <w:rFonts w:ascii="宋体" w:hAnsi="宋体" w:hint="eastAsia"/>
          <w:b/>
          <w:bCs/>
          <w:szCs w:val="21"/>
        </w:rPr>
        <w:t>2</w:t>
      </w:r>
      <w:r>
        <w:rPr>
          <w:rFonts w:ascii="宋体" w:hAnsi="宋体"/>
          <w:b/>
          <w:bCs/>
          <w:szCs w:val="21"/>
        </w:rPr>
        <w:t>学时</w:t>
      </w:r>
    </w:p>
    <w:p w14:paraId="19CD8B33"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了解农业园区规划的任务、原则和内容</w:t>
      </w:r>
    </w:p>
    <w:p w14:paraId="7D61DC05"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农业园区规划的任务</w:t>
      </w:r>
    </w:p>
    <w:p w14:paraId="2E42AA5F"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4E8ED068"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了解：农业园区规划的工作特点。</w:t>
      </w:r>
    </w:p>
    <w:p w14:paraId="57DE141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理解：农业园区规划的原则。</w:t>
      </w:r>
    </w:p>
    <w:p w14:paraId="7DB50520"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掌握：农业园区规划的内容。</w:t>
      </w:r>
    </w:p>
    <w:p w14:paraId="24928FD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熟练掌握：农业园区规划的工作程序。</w:t>
      </w:r>
    </w:p>
    <w:p w14:paraId="25A5F936" w14:textId="77777777" w:rsidR="00F5289E" w:rsidRDefault="00C91173">
      <w:pPr>
        <w:widowControl/>
        <w:snapToGrid w:val="0"/>
        <w:spacing w:line="360" w:lineRule="auto"/>
        <w:jc w:val="left"/>
        <w:rPr>
          <w:b/>
          <w:kern w:val="0"/>
          <w:szCs w:val="21"/>
        </w:rPr>
      </w:pPr>
      <w:r>
        <w:rPr>
          <w:rFonts w:ascii="宋体" w:hAnsi="宋体"/>
          <w:szCs w:val="21"/>
        </w:rPr>
        <w:t>第</w:t>
      </w:r>
      <w:r>
        <w:rPr>
          <w:rFonts w:ascii="宋体" w:hAnsi="宋体" w:hint="eastAsia"/>
          <w:szCs w:val="21"/>
        </w:rPr>
        <w:t>二</w:t>
      </w:r>
      <w:r>
        <w:rPr>
          <w:rFonts w:ascii="宋体" w:hAnsi="宋体"/>
          <w:szCs w:val="21"/>
        </w:rPr>
        <w:t>节</w:t>
      </w:r>
      <w:r>
        <w:rPr>
          <w:rFonts w:ascii="宋体" w:hAnsi="宋体" w:hint="eastAsia"/>
          <w:szCs w:val="21"/>
        </w:rPr>
        <w:t xml:space="preserve">  农业园区区域规划的理论</w:t>
      </w:r>
      <w:r>
        <w:rPr>
          <w:rFonts w:hAnsi="宋体" w:hint="eastAsia"/>
          <w:b/>
          <w:kern w:val="0"/>
          <w:szCs w:val="21"/>
        </w:rPr>
        <w:t xml:space="preserve"> </w:t>
      </w:r>
      <w:r>
        <w:rPr>
          <w:b/>
          <w:kern w:val="0"/>
          <w:szCs w:val="21"/>
        </w:rPr>
        <w:t>     </w:t>
      </w:r>
      <w:r>
        <w:rPr>
          <w:rFonts w:hint="eastAsia"/>
          <w:b/>
          <w:kern w:val="0"/>
          <w:szCs w:val="21"/>
        </w:rPr>
        <w:t>2</w:t>
      </w:r>
      <w:r>
        <w:rPr>
          <w:rFonts w:hAnsi="宋体"/>
          <w:b/>
          <w:kern w:val="0"/>
          <w:szCs w:val="21"/>
        </w:rPr>
        <w:t>学时</w:t>
      </w:r>
    </w:p>
    <w:p w14:paraId="6B5663FB"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掌握农业园区区域规划的理论</w:t>
      </w:r>
    </w:p>
    <w:p w14:paraId="6C468C71"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相关理论的理解与应用。</w:t>
      </w:r>
    </w:p>
    <w:p w14:paraId="6986B96B"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70842D2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掌握：区域差异与分工协作理论、产业空间布局的区位理论、都市农业理论、专业化及关联理论的概念。。</w:t>
      </w:r>
    </w:p>
    <w:p w14:paraId="19C48DC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熟练掌握：上述4个理论在园区规划中的应用。</w:t>
      </w:r>
    </w:p>
    <w:p w14:paraId="2480D581" w14:textId="77777777" w:rsidR="00F5289E" w:rsidRDefault="00C91173">
      <w:pPr>
        <w:snapToGrid w:val="0"/>
        <w:spacing w:line="360" w:lineRule="auto"/>
        <w:rPr>
          <w:rFonts w:ascii="宋体" w:hAnsi="宋体"/>
          <w:b/>
          <w:bCs/>
          <w:szCs w:val="21"/>
        </w:rPr>
      </w:pPr>
      <w:r>
        <w:rPr>
          <w:rFonts w:ascii="宋体" w:hAnsi="宋体"/>
          <w:szCs w:val="21"/>
        </w:rPr>
        <w:t>第</w:t>
      </w:r>
      <w:r>
        <w:rPr>
          <w:rFonts w:ascii="宋体" w:hAnsi="宋体" w:hint="eastAsia"/>
          <w:szCs w:val="21"/>
        </w:rPr>
        <w:t>三</w:t>
      </w:r>
      <w:r>
        <w:rPr>
          <w:rFonts w:ascii="宋体" w:hAnsi="宋体"/>
          <w:szCs w:val="21"/>
        </w:rPr>
        <w:t>节</w:t>
      </w:r>
      <w:r>
        <w:rPr>
          <w:rFonts w:ascii="宋体" w:hAnsi="宋体" w:hint="eastAsia"/>
          <w:szCs w:val="21"/>
        </w:rPr>
        <w:t xml:space="preserve">  规划的调查研究与基础资料</w:t>
      </w:r>
      <w:r>
        <w:rPr>
          <w:rFonts w:ascii="宋体" w:hAnsi="宋体"/>
          <w:szCs w:val="21"/>
        </w:rPr>
        <w:t> </w:t>
      </w:r>
      <w:r>
        <w:rPr>
          <w:rFonts w:ascii="宋体" w:hAnsi="宋体"/>
          <w:b/>
          <w:bCs/>
          <w:szCs w:val="21"/>
        </w:rPr>
        <w:t>    </w:t>
      </w:r>
      <w:r>
        <w:rPr>
          <w:rFonts w:ascii="宋体" w:hAnsi="宋体" w:hint="eastAsia"/>
          <w:b/>
          <w:bCs/>
          <w:szCs w:val="21"/>
        </w:rPr>
        <w:t>2</w:t>
      </w:r>
      <w:r>
        <w:rPr>
          <w:rFonts w:ascii="宋体" w:hAnsi="宋体"/>
          <w:b/>
          <w:bCs/>
          <w:szCs w:val="21"/>
        </w:rPr>
        <w:t>学时</w:t>
      </w:r>
    </w:p>
    <w:p w14:paraId="7D8B7C25"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掌握园区调查研究和基础资料的分析方法</w:t>
      </w:r>
    </w:p>
    <w:p w14:paraId="6B267FD0"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基础资料的收集与分析</w:t>
      </w:r>
    </w:p>
    <w:p w14:paraId="3F024FD0"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56BCC52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了解：不同园区规划的层次及规划内容。</w:t>
      </w:r>
    </w:p>
    <w:p w14:paraId="22E3C31B"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理解：农业园区调查研究的工作方法。</w:t>
      </w:r>
    </w:p>
    <w:p w14:paraId="16C0B229"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掌握：基础资料的收集。</w:t>
      </w:r>
    </w:p>
    <w:p w14:paraId="797F9014"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熟练掌握：基础资料的分析。</w:t>
      </w:r>
    </w:p>
    <w:p w14:paraId="2DC75085"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多媒体教学，首先总结上节课内容，并引入新的问题，明确学习目标，以案例分析及调查研究的形式讲授知识点，激发学生学习兴趣，并以提问及讨论的形式检验学习效果，培养学生的思考能力，最后总结归纳，并设置思考题引导学生预习新的内容。</w:t>
      </w:r>
    </w:p>
    <w:p w14:paraId="5268BE87" w14:textId="77777777" w:rsidR="00F5289E" w:rsidRDefault="00F5289E">
      <w:pPr>
        <w:pStyle w:val="a7"/>
        <w:snapToGrid w:val="0"/>
        <w:spacing w:line="360" w:lineRule="auto"/>
        <w:ind w:rightChars="1383" w:right="2904" w:firstLineChars="0" w:firstLine="0"/>
        <w:jc w:val="left"/>
        <w:rPr>
          <w:rFonts w:ascii="宋体" w:hAnsi="宋体"/>
          <w:szCs w:val="21"/>
        </w:rPr>
      </w:pPr>
    </w:p>
    <w:p w14:paraId="1762346F" w14:textId="77777777" w:rsidR="00F5289E" w:rsidRDefault="00C91173">
      <w:pPr>
        <w:widowControl/>
        <w:wordWrap w:val="0"/>
        <w:snapToGrid w:val="0"/>
        <w:spacing w:line="360" w:lineRule="auto"/>
        <w:jc w:val="right"/>
        <w:rPr>
          <w:kern w:val="0"/>
          <w:szCs w:val="21"/>
        </w:rPr>
      </w:pPr>
      <w:r>
        <w:rPr>
          <w:b/>
          <w:bCs/>
          <w:kern w:val="0"/>
          <w:szCs w:val="21"/>
        </w:rPr>
        <w:t>    </w:t>
      </w:r>
      <w:r>
        <w:rPr>
          <w:rFonts w:hAnsi="宋体"/>
          <w:b/>
          <w:bCs/>
          <w:kern w:val="0"/>
          <w:szCs w:val="21"/>
        </w:rPr>
        <w:t>第</w:t>
      </w:r>
      <w:r>
        <w:rPr>
          <w:rFonts w:hAnsi="宋体" w:hint="eastAsia"/>
          <w:b/>
          <w:bCs/>
          <w:kern w:val="0"/>
          <w:szCs w:val="21"/>
        </w:rPr>
        <w:t>三</w:t>
      </w:r>
      <w:r>
        <w:rPr>
          <w:rFonts w:hAnsi="宋体"/>
          <w:b/>
          <w:bCs/>
          <w:kern w:val="0"/>
          <w:szCs w:val="21"/>
        </w:rPr>
        <w:t>章</w:t>
      </w:r>
      <w:r>
        <w:rPr>
          <w:b/>
          <w:bCs/>
          <w:kern w:val="0"/>
          <w:szCs w:val="21"/>
        </w:rPr>
        <w:t>     </w:t>
      </w:r>
      <w:r>
        <w:rPr>
          <w:rFonts w:hint="eastAsia"/>
          <w:b/>
          <w:bCs/>
          <w:kern w:val="0"/>
          <w:szCs w:val="21"/>
        </w:rPr>
        <w:t>农业园区的总体规划</w:t>
      </w:r>
      <w:r>
        <w:rPr>
          <w:b/>
          <w:bCs/>
          <w:kern w:val="0"/>
          <w:szCs w:val="21"/>
        </w:rPr>
        <w:t>                          </w:t>
      </w:r>
      <w:r>
        <w:rPr>
          <w:rFonts w:hAnsi="宋体"/>
          <w:b/>
          <w:bCs/>
          <w:kern w:val="0"/>
          <w:szCs w:val="21"/>
        </w:rPr>
        <w:t>学时</w:t>
      </w:r>
      <w:r>
        <w:rPr>
          <w:rFonts w:hAnsi="宋体" w:hint="eastAsia"/>
          <w:b/>
          <w:bCs/>
          <w:kern w:val="0"/>
          <w:szCs w:val="21"/>
        </w:rPr>
        <w:t>数：</w:t>
      </w:r>
      <w:r>
        <w:rPr>
          <w:rFonts w:hAnsi="宋体"/>
          <w:b/>
          <w:bCs/>
          <w:color w:val="000000" w:themeColor="text1"/>
          <w:kern w:val="0"/>
          <w:szCs w:val="21"/>
        </w:rPr>
        <w:t>10</w:t>
      </w:r>
    </w:p>
    <w:p w14:paraId="2D8255AD" w14:textId="77777777" w:rsidR="00F5289E" w:rsidRDefault="00C91173">
      <w:pPr>
        <w:snapToGrid w:val="0"/>
        <w:spacing w:line="360" w:lineRule="auto"/>
        <w:rPr>
          <w:rFonts w:ascii="宋体" w:hAnsi="宋体"/>
          <w:b/>
          <w:bCs/>
          <w:szCs w:val="21"/>
        </w:rPr>
      </w:pPr>
      <w:r>
        <w:rPr>
          <w:rFonts w:ascii="宋体" w:hAnsi="宋体"/>
          <w:szCs w:val="21"/>
        </w:rPr>
        <w:t>第一节</w:t>
      </w:r>
      <w:r>
        <w:rPr>
          <w:rFonts w:ascii="宋体" w:hAnsi="宋体" w:hint="eastAsia"/>
          <w:szCs w:val="21"/>
        </w:rPr>
        <w:t xml:space="preserve">  农业园区的现状分析与发展定位</w:t>
      </w:r>
      <w:r>
        <w:rPr>
          <w:rFonts w:ascii="宋体" w:hAnsi="宋体"/>
          <w:b/>
          <w:bCs/>
          <w:szCs w:val="21"/>
        </w:rPr>
        <w:t>     </w:t>
      </w:r>
      <w:r>
        <w:rPr>
          <w:rFonts w:ascii="宋体" w:hAnsi="宋体" w:hint="eastAsia"/>
          <w:b/>
          <w:bCs/>
          <w:szCs w:val="21"/>
        </w:rPr>
        <w:t>2</w:t>
      </w:r>
      <w:r>
        <w:rPr>
          <w:rFonts w:ascii="宋体" w:hAnsi="宋体"/>
          <w:b/>
          <w:bCs/>
          <w:szCs w:val="21"/>
        </w:rPr>
        <w:t>学时</w:t>
      </w:r>
    </w:p>
    <w:p w14:paraId="7C1D8F08"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掌握农业园区规划的现状分析和发展定位</w:t>
      </w:r>
    </w:p>
    <w:p w14:paraId="15052729"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农业园区规划的</w:t>
      </w:r>
      <w:r>
        <w:rPr>
          <w:rFonts w:hint="eastAsia"/>
          <w:szCs w:val="21"/>
        </w:rPr>
        <w:t>功能设置及项目构成</w:t>
      </w:r>
    </w:p>
    <w:p w14:paraId="01BC101D"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26C2CF3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优势和主要矛盾的分析</w:t>
      </w:r>
      <w:r>
        <w:rPr>
          <w:rFonts w:ascii="宋体" w:hAnsi="宋体" w:hint="eastAsia"/>
          <w:szCs w:val="21"/>
        </w:rPr>
        <w:t>。</w:t>
      </w:r>
    </w:p>
    <w:p w14:paraId="1A93A6E2"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lastRenderedPageBreak/>
        <w:t>理解：定位的原则。</w:t>
      </w:r>
    </w:p>
    <w:p w14:paraId="2D75DDE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农业园区规划的</w:t>
      </w:r>
      <w:r>
        <w:rPr>
          <w:rFonts w:hint="eastAsia"/>
          <w:szCs w:val="21"/>
        </w:rPr>
        <w:t>功能设置及项目构成</w:t>
      </w:r>
      <w:r>
        <w:rPr>
          <w:rFonts w:ascii="宋体" w:hAnsi="宋体" w:hint="eastAsia"/>
          <w:szCs w:val="21"/>
        </w:rPr>
        <w:t>。</w:t>
      </w:r>
    </w:p>
    <w:p w14:paraId="1DCFC549"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熟练掌握：农业园区规划的可行性分析。</w:t>
      </w:r>
    </w:p>
    <w:p w14:paraId="46D0427B" w14:textId="77777777" w:rsidR="00F5289E" w:rsidRDefault="00C91173">
      <w:pPr>
        <w:widowControl/>
        <w:snapToGrid w:val="0"/>
        <w:spacing w:line="360" w:lineRule="auto"/>
        <w:jc w:val="left"/>
        <w:rPr>
          <w:b/>
          <w:kern w:val="0"/>
          <w:szCs w:val="21"/>
        </w:rPr>
      </w:pPr>
      <w:r>
        <w:rPr>
          <w:rFonts w:hAnsi="宋体"/>
          <w:bCs/>
          <w:kern w:val="0"/>
          <w:szCs w:val="21"/>
        </w:rPr>
        <w:t>第</w:t>
      </w:r>
      <w:r>
        <w:rPr>
          <w:rFonts w:hAnsi="宋体" w:hint="eastAsia"/>
          <w:bCs/>
          <w:kern w:val="0"/>
          <w:szCs w:val="21"/>
        </w:rPr>
        <w:t>二</w:t>
      </w:r>
      <w:r>
        <w:rPr>
          <w:rFonts w:hAnsi="宋体"/>
          <w:bCs/>
          <w:kern w:val="0"/>
          <w:szCs w:val="21"/>
        </w:rPr>
        <w:t>节</w:t>
      </w:r>
      <w:r>
        <w:rPr>
          <w:rFonts w:hAnsi="宋体" w:hint="eastAsia"/>
          <w:bCs/>
          <w:kern w:val="0"/>
          <w:szCs w:val="21"/>
        </w:rPr>
        <w:t xml:space="preserve">  </w:t>
      </w:r>
      <w:r>
        <w:rPr>
          <w:rFonts w:hAnsi="宋体" w:hint="eastAsia"/>
          <w:bCs/>
          <w:kern w:val="0"/>
          <w:szCs w:val="21"/>
        </w:rPr>
        <w:t>农业园区总体规划的主要内容</w:t>
      </w:r>
      <w:r>
        <w:rPr>
          <w:rFonts w:hAnsi="宋体" w:hint="eastAsia"/>
          <w:bCs/>
          <w:kern w:val="0"/>
          <w:szCs w:val="21"/>
        </w:rPr>
        <w:t xml:space="preserve"> </w:t>
      </w:r>
      <w:r>
        <w:rPr>
          <w:b/>
          <w:kern w:val="0"/>
          <w:szCs w:val="21"/>
        </w:rPr>
        <w:t>     4</w:t>
      </w:r>
      <w:r>
        <w:rPr>
          <w:rFonts w:hAnsi="宋体"/>
          <w:b/>
          <w:kern w:val="0"/>
          <w:szCs w:val="21"/>
        </w:rPr>
        <w:t>学时</w:t>
      </w:r>
    </w:p>
    <w:p w14:paraId="3E935508"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掌握农业园区的总体规划方法</w:t>
      </w:r>
    </w:p>
    <w:p w14:paraId="3531E069"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功能区的规划。</w:t>
      </w:r>
    </w:p>
    <w:p w14:paraId="557AE114"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66199A4C"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总体规划的原则</w:t>
      </w:r>
      <w:r>
        <w:rPr>
          <w:rFonts w:ascii="宋体" w:hAnsi="宋体" w:hint="eastAsia"/>
          <w:szCs w:val="21"/>
        </w:rPr>
        <w:t>。</w:t>
      </w:r>
    </w:p>
    <w:p w14:paraId="7F41543C"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理解：总体规划的概念。</w:t>
      </w:r>
    </w:p>
    <w:p w14:paraId="084980F4"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景观分区规划、土地规划、道路系统等的规划</w:t>
      </w:r>
      <w:r>
        <w:rPr>
          <w:rFonts w:ascii="宋体" w:hAnsi="宋体" w:hint="eastAsia"/>
          <w:szCs w:val="21"/>
        </w:rPr>
        <w:t>。</w:t>
      </w:r>
    </w:p>
    <w:p w14:paraId="06E4CD90"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熟练掌握：功能分区的规划。</w:t>
      </w:r>
    </w:p>
    <w:p w14:paraId="12AEB447" w14:textId="77777777" w:rsidR="00F5289E" w:rsidRDefault="00C91173">
      <w:pPr>
        <w:snapToGrid w:val="0"/>
        <w:spacing w:line="360" w:lineRule="auto"/>
        <w:rPr>
          <w:rFonts w:ascii="宋体" w:hAnsi="宋体"/>
          <w:b/>
          <w:bCs/>
          <w:szCs w:val="21"/>
        </w:rPr>
      </w:pPr>
      <w:r>
        <w:rPr>
          <w:rFonts w:ascii="宋体" w:hAnsi="宋体"/>
          <w:szCs w:val="21"/>
        </w:rPr>
        <w:t>第</w:t>
      </w:r>
      <w:r>
        <w:rPr>
          <w:rFonts w:ascii="宋体" w:hAnsi="宋体" w:hint="eastAsia"/>
          <w:szCs w:val="21"/>
        </w:rPr>
        <w:t>三</w:t>
      </w:r>
      <w:r>
        <w:rPr>
          <w:rFonts w:ascii="宋体" w:hAnsi="宋体"/>
          <w:szCs w:val="21"/>
        </w:rPr>
        <w:t>节</w:t>
      </w:r>
      <w:r>
        <w:rPr>
          <w:rFonts w:ascii="宋体" w:hAnsi="宋体" w:hint="eastAsia"/>
          <w:szCs w:val="21"/>
        </w:rPr>
        <w:t xml:space="preserve">  可行性研究报告编制</w:t>
      </w:r>
      <w:r>
        <w:rPr>
          <w:rFonts w:ascii="宋体" w:hAnsi="宋体"/>
          <w:szCs w:val="21"/>
        </w:rPr>
        <w:t> </w:t>
      </w:r>
      <w:r>
        <w:rPr>
          <w:rFonts w:ascii="宋体" w:hAnsi="宋体"/>
          <w:b/>
          <w:bCs/>
          <w:szCs w:val="21"/>
        </w:rPr>
        <w:t>    2学时</w:t>
      </w:r>
    </w:p>
    <w:p w14:paraId="5346CCA7"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掌握可行性研究报告的编制方法</w:t>
      </w:r>
    </w:p>
    <w:p w14:paraId="5E25F9BC"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可行性研究包括的格式</w:t>
      </w:r>
    </w:p>
    <w:p w14:paraId="71EA7DAE"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4BE47AFD"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Ansi="宋体" w:hint="eastAsia"/>
          <w:kern w:val="0"/>
          <w:szCs w:val="21"/>
        </w:rPr>
        <w:t>可行性研究包括的用途</w:t>
      </w:r>
      <w:r>
        <w:rPr>
          <w:rFonts w:ascii="宋体" w:hAnsi="宋体" w:hint="eastAsia"/>
          <w:szCs w:val="21"/>
        </w:rPr>
        <w:t>。</w:t>
      </w:r>
    </w:p>
    <w:p w14:paraId="174F22A4"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w:t>
      </w:r>
      <w:r>
        <w:rPr>
          <w:rFonts w:hAnsi="宋体" w:hint="eastAsia"/>
          <w:kern w:val="0"/>
          <w:szCs w:val="21"/>
        </w:rPr>
        <w:t>可行性研究包括的概念</w:t>
      </w:r>
      <w:r>
        <w:rPr>
          <w:rFonts w:ascii="宋体" w:hAnsi="宋体" w:hint="eastAsia"/>
          <w:szCs w:val="21"/>
        </w:rPr>
        <w:t>。</w:t>
      </w:r>
    </w:p>
    <w:p w14:paraId="51F0A22D"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可行性研究包括的规范文本</w:t>
      </w:r>
      <w:r>
        <w:rPr>
          <w:rFonts w:ascii="宋体" w:hAnsi="宋体" w:hint="eastAsia"/>
          <w:szCs w:val="21"/>
        </w:rPr>
        <w:t>。</w:t>
      </w:r>
    </w:p>
    <w:p w14:paraId="178A85D2"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w:t>
      </w:r>
      <w:r>
        <w:rPr>
          <w:rFonts w:hAnsi="宋体" w:hint="eastAsia"/>
          <w:kern w:val="0"/>
          <w:szCs w:val="21"/>
        </w:rPr>
        <w:t>可行性研究包括的编制方法</w:t>
      </w:r>
      <w:r>
        <w:rPr>
          <w:rFonts w:ascii="宋体" w:hAnsi="宋体" w:hint="eastAsia"/>
          <w:szCs w:val="21"/>
        </w:rPr>
        <w:t>。</w:t>
      </w:r>
    </w:p>
    <w:p w14:paraId="383C8B3A" w14:textId="77777777" w:rsidR="00F5289E" w:rsidRDefault="00C91173">
      <w:pPr>
        <w:snapToGrid w:val="0"/>
        <w:spacing w:line="360" w:lineRule="auto"/>
        <w:rPr>
          <w:rFonts w:ascii="宋体" w:hAnsi="宋体"/>
          <w:b/>
          <w:bCs/>
          <w:szCs w:val="21"/>
        </w:rPr>
      </w:pPr>
      <w:r>
        <w:rPr>
          <w:rFonts w:ascii="宋体" w:hAnsi="宋体"/>
          <w:szCs w:val="21"/>
        </w:rPr>
        <w:t>第</w:t>
      </w:r>
      <w:r>
        <w:rPr>
          <w:rFonts w:ascii="宋体" w:hAnsi="宋体" w:hint="eastAsia"/>
          <w:szCs w:val="21"/>
        </w:rPr>
        <w:t>四</w:t>
      </w:r>
      <w:r>
        <w:rPr>
          <w:rFonts w:ascii="宋体" w:hAnsi="宋体"/>
          <w:szCs w:val="21"/>
        </w:rPr>
        <w:t>节</w:t>
      </w:r>
      <w:r>
        <w:rPr>
          <w:rFonts w:ascii="宋体" w:hAnsi="宋体" w:hint="eastAsia"/>
          <w:szCs w:val="21"/>
        </w:rPr>
        <w:t xml:space="preserve">  </w:t>
      </w:r>
      <w:r>
        <w:rPr>
          <w:rFonts w:hint="eastAsia"/>
          <w:szCs w:val="21"/>
        </w:rPr>
        <w:t>环境保护和保障体系规划</w:t>
      </w:r>
      <w:r>
        <w:rPr>
          <w:rFonts w:ascii="宋体" w:hAnsi="宋体"/>
          <w:szCs w:val="21"/>
        </w:rPr>
        <w:t>  </w:t>
      </w:r>
      <w:r>
        <w:rPr>
          <w:rFonts w:ascii="宋体" w:hAnsi="宋体"/>
          <w:b/>
          <w:bCs/>
          <w:szCs w:val="21"/>
        </w:rPr>
        <w:t xml:space="preserve">   </w:t>
      </w:r>
      <w:r>
        <w:rPr>
          <w:rFonts w:ascii="宋体" w:hAnsi="宋体" w:hint="eastAsia"/>
          <w:b/>
          <w:bCs/>
          <w:szCs w:val="21"/>
        </w:rPr>
        <w:t>2</w:t>
      </w:r>
      <w:r>
        <w:rPr>
          <w:rFonts w:ascii="宋体" w:hAnsi="宋体"/>
          <w:b/>
          <w:bCs/>
          <w:szCs w:val="21"/>
        </w:rPr>
        <w:t>学时</w:t>
      </w:r>
    </w:p>
    <w:p w14:paraId="05B603EB"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掌握环保和各种保障体系规划</w:t>
      </w:r>
    </w:p>
    <w:p w14:paraId="32C10BAA"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环境保护规划和风险保障体系规划</w:t>
      </w:r>
    </w:p>
    <w:p w14:paraId="32E94290"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39AB64E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了解：相关规划所包括的内容。</w:t>
      </w:r>
    </w:p>
    <w:p w14:paraId="7F4BD766"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w:t>
      </w:r>
      <w:r>
        <w:rPr>
          <w:rFonts w:hAnsi="宋体" w:hint="eastAsia"/>
          <w:kern w:val="0"/>
          <w:szCs w:val="21"/>
        </w:rPr>
        <w:t>相关规划的内涵</w:t>
      </w:r>
      <w:r>
        <w:rPr>
          <w:rFonts w:ascii="宋体" w:hAnsi="宋体" w:hint="eastAsia"/>
          <w:szCs w:val="21"/>
        </w:rPr>
        <w:t>。</w:t>
      </w:r>
    </w:p>
    <w:p w14:paraId="1B93553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环境保护规划</w:t>
      </w:r>
      <w:r>
        <w:rPr>
          <w:rFonts w:ascii="宋体" w:hAnsi="宋体" w:hint="eastAsia"/>
          <w:szCs w:val="21"/>
        </w:rPr>
        <w:t>。</w:t>
      </w:r>
    </w:p>
    <w:p w14:paraId="7E3843CA"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w:t>
      </w:r>
      <w:r>
        <w:rPr>
          <w:rFonts w:hAnsi="宋体" w:hint="eastAsia"/>
          <w:kern w:val="0"/>
          <w:szCs w:val="21"/>
        </w:rPr>
        <w:t>风险保障体系规划</w:t>
      </w:r>
      <w:r>
        <w:rPr>
          <w:rFonts w:ascii="宋体" w:hAnsi="宋体" w:hint="eastAsia"/>
          <w:szCs w:val="21"/>
        </w:rPr>
        <w:t>。</w:t>
      </w:r>
    </w:p>
    <w:p w14:paraId="4F8D9A69"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采用翻转课堂，以学生为中心，进行本章内容的学习，以达到激发学习兴趣，提高学习效率的效果。学生课前学习，课上分组以</w:t>
      </w:r>
      <w:proofErr w:type="spellStart"/>
      <w:r>
        <w:rPr>
          <w:rFonts w:hint="eastAsia"/>
          <w:kern w:val="0"/>
          <w:szCs w:val="21"/>
        </w:rPr>
        <w:t>p</w:t>
      </w:r>
      <w:r>
        <w:rPr>
          <w:kern w:val="0"/>
          <w:szCs w:val="21"/>
        </w:rPr>
        <w:t>pT</w:t>
      </w:r>
      <w:proofErr w:type="spellEnd"/>
      <w:r>
        <w:rPr>
          <w:rFonts w:hint="eastAsia"/>
          <w:kern w:val="0"/>
          <w:szCs w:val="21"/>
        </w:rPr>
        <w:t>的形式讲授知识点，教师最后进行点评，同时进行重点、难点解析及归纳总结。</w:t>
      </w:r>
    </w:p>
    <w:p w14:paraId="06699C11" w14:textId="77777777" w:rsidR="00F5289E" w:rsidRDefault="00F5289E">
      <w:pPr>
        <w:pStyle w:val="a7"/>
        <w:snapToGrid w:val="0"/>
        <w:spacing w:line="360" w:lineRule="auto"/>
        <w:ind w:rightChars="1383" w:right="2904" w:firstLineChars="0" w:firstLine="0"/>
        <w:jc w:val="left"/>
        <w:rPr>
          <w:rFonts w:ascii="宋体" w:hAnsi="宋体"/>
          <w:szCs w:val="21"/>
        </w:rPr>
      </w:pPr>
    </w:p>
    <w:p w14:paraId="1C94FD90" w14:textId="77777777" w:rsidR="00F5289E" w:rsidRDefault="00C91173">
      <w:pPr>
        <w:widowControl/>
        <w:wordWrap w:val="0"/>
        <w:snapToGrid w:val="0"/>
        <w:spacing w:line="360" w:lineRule="auto"/>
        <w:jc w:val="right"/>
        <w:rPr>
          <w:kern w:val="0"/>
          <w:szCs w:val="21"/>
        </w:rPr>
      </w:pPr>
      <w:r>
        <w:rPr>
          <w:b/>
          <w:bCs/>
          <w:kern w:val="0"/>
          <w:szCs w:val="21"/>
        </w:rPr>
        <w:t>    </w:t>
      </w:r>
      <w:r>
        <w:rPr>
          <w:rFonts w:hAnsi="宋体"/>
          <w:b/>
          <w:bCs/>
          <w:kern w:val="0"/>
          <w:szCs w:val="21"/>
        </w:rPr>
        <w:t>第</w:t>
      </w:r>
      <w:r>
        <w:rPr>
          <w:rFonts w:hAnsi="宋体" w:hint="eastAsia"/>
          <w:b/>
          <w:bCs/>
          <w:kern w:val="0"/>
          <w:szCs w:val="21"/>
        </w:rPr>
        <w:t>四</w:t>
      </w:r>
      <w:r>
        <w:rPr>
          <w:rFonts w:hAnsi="宋体"/>
          <w:b/>
          <w:bCs/>
          <w:kern w:val="0"/>
          <w:szCs w:val="21"/>
        </w:rPr>
        <w:t>章</w:t>
      </w:r>
      <w:r>
        <w:rPr>
          <w:b/>
          <w:bCs/>
          <w:kern w:val="0"/>
          <w:szCs w:val="21"/>
        </w:rPr>
        <w:t>     </w:t>
      </w:r>
      <w:r>
        <w:rPr>
          <w:rFonts w:hint="eastAsia"/>
          <w:b/>
          <w:bCs/>
          <w:kern w:val="0"/>
          <w:szCs w:val="21"/>
        </w:rPr>
        <w:t>农业产业园区的详细规划</w:t>
      </w:r>
      <w:r>
        <w:rPr>
          <w:b/>
          <w:bCs/>
          <w:kern w:val="0"/>
          <w:szCs w:val="21"/>
        </w:rPr>
        <w:t>                          </w:t>
      </w:r>
      <w:r>
        <w:rPr>
          <w:rFonts w:hAnsi="宋体"/>
          <w:b/>
          <w:bCs/>
          <w:kern w:val="0"/>
          <w:szCs w:val="21"/>
        </w:rPr>
        <w:t>学时</w:t>
      </w:r>
      <w:r>
        <w:rPr>
          <w:rFonts w:hAnsi="宋体" w:hint="eastAsia"/>
          <w:b/>
          <w:bCs/>
          <w:kern w:val="0"/>
          <w:szCs w:val="21"/>
        </w:rPr>
        <w:t>数：</w:t>
      </w:r>
      <w:r>
        <w:rPr>
          <w:rFonts w:hAnsi="宋体"/>
          <w:b/>
          <w:bCs/>
          <w:color w:val="000000" w:themeColor="text1"/>
          <w:kern w:val="0"/>
          <w:szCs w:val="21"/>
        </w:rPr>
        <w:t>10</w:t>
      </w:r>
    </w:p>
    <w:p w14:paraId="1AD0386F" w14:textId="77777777" w:rsidR="00F5289E" w:rsidRDefault="00C91173">
      <w:pPr>
        <w:snapToGrid w:val="0"/>
        <w:spacing w:line="360" w:lineRule="auto"/>
        <w:rPr>
          <w:rFonts w:ascii="宋体" w:hAnsi="宋体"/>
          <w:b/>
          <w:bCs/>
          <w:szCs w:val="21"/>
        </w:rPr>
      </w:pPr>
      <w:r>
        <w:rPr>
          <w:rFonts w:ascii="宋体" w:hAnsi="宋体"/>
          <w:szCs w:val="21"/>
        </w:rPr>
        <w:t>第一节</w:t>
      </w:r>
      <w:r>
        <w:rPr>
          <w:rFonts w:ascii="宋体" w:hAnsi="宋体" w:hint="eastAsia"/>
          <w:szCs w:val="21"/>
        </w:rPr>
        <w:t xml:space="preserve">  农业园区的建设条件分析及技术经济论证</w:t>
      </w:r>
      <w:r>
        <w:rPr>
          <w:rFonts w:ascii="宋体" w:hAnsi="宋体"/>
          <w:szCs w:val="21"/>
        </w:rPr>
        <w:t> </w:t>
      </w:r>
      <w:r>
        <w:rPr>
          <w:rFonts w:ascii="宋体" w:hAnsi="宋体"/>
          <w:b/>
          <w:bCs/>
          <w:szCs w:val="21"/>
        </w:rPr>
        <w:t>    </w:t>
      </w:r>
      <w:r>
        <w:rPr>
          <w:rFonts w:ascii="宋体" w:hAnsi="宋体" w:hint="eastAsia"/>
          <w:b/>
          <w:bCs/>
          <w:szCs w:val="21"/>
        </w:rPr>
        <w:t>2</w:t>
      </w:r>
      <w:r>
        <w:rPr>
          <w:rFonts w:ascii="宋体" w:hAnsi="宋体"/>
          <w:b/>
          <w:bCs/>
          <w:szCs w:val="21"/>
        </w:rPr>
        <w:t>学时</w:t>
      </w:r>
    </w:p>
    <w:p w14:paraId="4111B9DD"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掌握建设条件分析和技术经济论证方法</w:t>
      </w:r>
    </w:p>
    <w:p w14:paraId="60142E52" w14:textId="77777777" w:rsidR="00F5289E" w:rsidRDefault="00C91173">
      <w:pPr>
        <w:widowControl/>
        <w:snapToGrid w:val="0"/>
        <w:spacing w:line="360" w:lineRule="auto"/>
        <w:rPr>
          <w:rFonts w:hAnsi="宋体"/>
          <w:b/>
          <w:bCs/>
          <w:kern w:val="0"/>
          <w:szCs w:val="21"/>
        </w:rPr>
      </w:pPr>
      <w:r>
        <w:rPr>
          <w:rFonts w:ascii="宋体" w:hAnsi="宋体" w:hint="eastAsia"/>
          <w:b/>
          <w:bCs/>
          <w:szCs w:val="21"/>
        </w:rPr>
        <w:lastRenderedPageBreak/>
        <w:t>教学重点和难点：</w:t>
      </w:r>
      <w:r>
        <w:rPr>
          <w:rFonts w:hAnsi="宋体" w:hint="eastAsia"/>
          <w:kern w:val="0"/>
          <w:szCs w:val="21"/>
        </w:rPr>
        <w:t>技术经济论证的经济指标</w:t>
      </w:r>
    </w:p>
    <w:p w14:paraId="0141F43B"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5A433940"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了解：园区建设的社会和经济条件。</w:t>
      </w:r>
    </w:p>
    <w:p w14:paraId="5FF82078"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理解：经济论证的内容。</w:t>
      </w:r>
    </w:p>
    <w:p w14:paraId="4D028731"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技术经济指标</w:t>
      </w:r>
      <w:r>
        <w:rPr>
          <w:rFonts w:ascii="宋体" w:hAnsi="宋体" w:hint="eastAsia"/>
          <w:szCs w:val="21"/>
        </w:rPr>
        <w:t>。</w:t>
      </w:r>
    </w:p>
    <w:p w14:paraId="75093658"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熟练掌握：技术经济论文的关键环节。</w:t>
      </w:r>
    </w:p>
    <w:p w14:paraId="7D76BC1C" w14:textId="77777777" w:rsidR="00F5289E" w:rsidRDefault="00C91173">
      <w:pPr>
        <w:widowControl/>
        <w:snapToGrid w:val="0"/>
        <w:spacing w:line="360" w:lineRule="auto"/>
        <w:jc w:val="left"/>
        <w:rPr>
          <w:b/>
          <w:kern w:val="0"/>
          <w:szCs w:val="21"/>
        </w:rPr>
      </w:pPr>
      <w:r>
        <w:rPr>
          <w:rFonts w:ascii="宋体" w:hAnsi="宋体"/>
          <w:szCs w:val="21"/>
        </w:rPr>
        <w:t>第</w:t>
      </w:r>
      <w:r>
        <w:rPr>
          <w:rFonts w:ascii="宋体" w:hAnsi="宋体" w:hint="eastAsia"/>
          <w:szCs w:val="21"/>
        </w:rPr>
        <w:t>二</w:t>
      </w:r>
      <w:r>
        <w:rPr>
          <w:rFonts w:ascii="宋体" w:hAnsi="宋体"/>
          <w:szCs w:val="21"/>
        </w:rPr>
        <w:t>节</w:t>
      </w:r>
      <w:r>
        <w:rPr>
          <w:rFonts w:ascii="宋体" w:hAnsi="宋体" w:hint="eastAsia"/>
          <w:szCs w:val="21"/>
        </w:rPr>
        <w:t xml:space="preserve">  农业园区产业规划的内容与特点</w:t>
      </w:r>
      <w:r>
        <w:rPr>
          <w:rFonts w:hAnsi="宋体" w:hint="eastAsia"/>
          <w:b/>
          <w:kern w:val="0"/>
          <w:szCs w:val="21"/>
        </w:rPr>
        <w:t xml:space="preserve"> </w:t>
      </w:r>
      <w:r>
        <w:rPr>
          <w:b/>
          <w:kern w:val="0"/>
          <w:szCs w:val="21"/>
        </w:rPr>
        <w:t>     </w:t>
      </w:r>
      <w:r>
        <w:rPr>
          <w:rFonts w:hint="eastAsia"/>
          <w:b/>
          <w:kern w:val="0"/>
          <w:szCs w:val="21"/>
        </w:rPr>
        <w:t>2</w:t>
      </w:r>
      <w:r>
        <w:rPr>
          <w:rFonts w:hAnsi="宋体"/>
          <w:b/>
          <w:kern w:val="0"/>
          <w:szCs w:val="21"/>
        </w:rPr>
        <w:t>学时</w:t>
      </w:r>
    </w:p>
    <w:p w14:paraId="4F1B7EF9"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掌握农业园区产业规划的内容</w:t>
      </w:r>
    </w:p>
    <w:p w14:paraId="6CE2F996"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农业园区相关的产业及特点。</w:t>
      </w:r>
    </w:p>
    <w:p w14:paraId="5A8DD53E"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0E3A9F24"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产业规划的原则</w:t>
      </w:r>
      <w:r>
        <w:rPr>
          <w:rFonts w:ascii="宋体" w:hAnsi="宋体" w:hint="eastAsia"/>
          <w:szCs w:val="21"/>
        </w:rPr>
        <w:t>。</w:t>
      </w:r>
    </w:p>
    <w:p w14:paraId="79F7E5F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理解：农业园区相关产业。</w:t>
      </w:r>
    </w:p>
    <w:p w14:paraId="363E3648"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相关产业的特点及用途</w:t>
      </w:r>
      <w:r>
        <w:rPr>
          <w:rFonts w:ascii="宋体" w:hAnsi="宋体" w:hint="eastAsia"/>
          <w:szCs w:val="21"/>
        </w:rPr>
        <w:t>。</w:t>
      </w:r>
    </w:p>
    <w:p w14:paraId="0BB5443F"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熟练掌握：不同产业在农业园区规划中的科学应用。</w:t>
      </w:r>
    </w:p>
    <w:p w14:paraId="4407E16E" w14:textId="77777777" w:rsidR="00F5289E" w:rsidRDefault="00C91173">
      <w:pPr>
        <w:widowControl/>
        <w:snapToGrid w:val="0"/>
        <w:spacing w:line="360" w:lineRule="auto"/>
        <w:jc w:val="left"/>
        <w:rPr>
          <w:b/>
          <w:kern w:val="0"/>
          <w:szCs w:val="21"/>
        </w:rPr>
      </w:pPr>
      <w:r>
        <w:rPr>
          <w:rFonts w:ascii="宋体" w:hAnsi="宋体"/>
          <w:szCs w:val="21"/>
        </w:rPr>
        <w:t>第</w:t>
      </w:r>
      <w:r>
        <w:rPr>
          <w:rFonts w:ascii="宋体" w:hAnsi="宋体" w:hint="eastAsia"/>
          <w:szCs w:val="21"/>
        </w:rPr>
        <w:t>三</w:t>
      </w:r>
      <w:r>
        <w:rPr>
          <w:rFonts w:ascii="宋体" w:hAnsi="宋体"/>
          <w:szCs w:val="21"/>
        </w:rPr>
        <w:t>节</w:t>
      </w:r>
      <w:r>
        <w:rPr>
          <w:rFonts w:ascii="宋体" w:hAnsi="宋体" w:hint="eastAsia"/>
          <w:szCs w:val="21"/>
        </w:rPr>
        <w:t xml:space="preserve">  农业园区的产业详细规划</w:t>
      </w:r>
      <w:r>
        <w:rPr>
          <w:rFonts w:hAnsi="宋体" w:hint="eastAsia"/>
          <w:b/>
          <w:kern w:val="0"/>
          <w:szCs w:val="21"/>
        </w:rPr>
        <w:t xml:space="preserve"> </w:t>
      </w:r>
      <w:r>
        <w:rPr>
          <w:b/>
          <w:kern w:val="0"/>
          <w:szCs w:val="21"/>
        </w:rPr>
        <w:t>     </w:t>
      </w:r>
      <w:r>
        <w:rPr>
          <w:rFonts w:hint="eastAsia"/>
          <w:b/>
          <w:kern w:val="0"/>
          <w:szCs w:val="21"/>
        </w:rPr>
        <w:t xml:space="preserve">     </w:t>
      </w:r>
      <w:r>
        <w:rPr>
          <w:b/>
          <w:kern w:val="0"/>
          <w:szCs w:val="21"/>
        </w:rPr>
        <w:t>4</w:t>
      </w:r>
      <w:r>
        <w:rPr>
          <w:rFonts w:hAnsi="宋体"/>
          <w:b/>
          <w:kern w:val="0"/>
          <w:szCs w:val="21"/>
        </w:rPr>
        <w:t>学时</w:t>
      </w:r>
    </w:p>
    <w:p w14:paraId="7D6009CE"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掌握各类产业园的详细规划</w:t>
      </w:r>
    </w:p>
    <w:p w14:paraId="686523A9"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各类产业园的功能分区。</w:t>
      </w:r>
    </w:p>
    <w:p w14:paraId="0B16061B"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66F4E903"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服务设施规划设计方法</w:t>
      </w:r>
      <w:r>
        <w:rPr>
          <w:rFonts w:ascii="宋体" w:hAnsi="宋体" w:hint="eastAsia"/>
          <w:szCs w:val="21"/>
        </w:rPr>
        <w:t>。</w:t>
      </w:r>
    </w:p>
    <w:p w14:paraId="5C9C0290"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理解：道路系统规划相关的原则。</w:t>
      </w:r>
    </w:p>
    <w:p w14:paraId="681B2C6C"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生态餐厅和果树标准园的详细规划</w:t>
      </w:r>
      <w:r>
        <w:rPr>
          <w:rFonts w:ascii="宋体" w:hAnsi="宋体" w:hint="eastAsia"/>
          <w:szCs w:val="21"/>
        </w:rPr>
        <w:t>。</w:t>
      </w:r>
    </w:p>
    <w:p w14:paraId="75840A7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熟练掌握：工厂化育苗中心、蔬菜标准园和物流配送中心的详细规划。</w:t>
      </w:r>
    </w:p>
    <w:p w14:paraId="65927243" w14:textId="77777777" w:rsidR="00F5289E" w:rsidRDefault="00C91173">
      <w:pPr>
        <w:snapToGrid w:val="0"/>
        <w:spacing w:line="360" w:lineRule="auto"/>
        <w:rPr>
          <w:rFonts w:ascii="宋体" w:hAnsi="宋体"/>
          <w:b/>
          <w:bCs/>
          <w:szCs w:val="21"/>
        </w:rPr>
      </w:pPr>
      <w:r>
        <w:rPr>
          <w:rFonts w:ascii="宋体" w:hAnsi="宋体"/>
          <w:szCs w:val="21"/>
        </w:rPr>
        <w:t>第</w:t>
      </w:r>
      <w:r>
        <w:rPr>
          <w:rFonts w:ascii="宋体" w:hAnsi="宋体" w:hint="eastAsia"/>
          <w:szCs w:val="21"/>
        </w:rPr>
        <w:t>四</w:t>
      </w:r>
      <w:r>
        <w:rPr>
          <w:rFonts w:ascii="宋体" w:hAnsi="宋体"/>
          <w:szCs w:val="21"/>
        </w:rPr>
        <w:t>节</w:t>
      </w:r>
      <w:r>
        <w:rPr>
          <w:rFonts w:ascii="宋体" w:hAnsi="宋体" w:hint="eastAsia"/>
          <w:szCs w:val="21"/>
        </w:rPr>
        <w:t xml:space="preserve">  投资估算及效益分析</w:t>
      </w:r>
      <w:r>
        <w:rPr>
          <w:rFonts w:ascii="宋体" w:hAnsi="宋体"/>
          <w:szCs w:val="21"/>
        </w:rPr>
        <w:t> </w:t>
      </w:r>
      <w:r>
        <w:rPr>
          <w:rFonts w:ascii="宋体" w:hAnsi="宋体"/>
          <w:b/>
          <w:bCs/>
          <w:szCs w:val="21"/>
        </w:rPr>
        <w:t>    </w:t>
      </w:r>
      <w:r>
        <w:rPr>
          <w:rFonts w:ascii="宋体" w:hAnsi="宋体" w:hint="eastAsia"/>
          <w:b/>
          <w:bCs/>
          <w:szCs w:val="21"/>
        </w:rPr>
        <w:t>1</w:t>
      </w:r>
      <w:r>
        <w:rPr>
          <w:rFonts w:ascii="宋体" w:hAnsi="宋体"/>
          <w:b/>
          <w:bCs/>
          <w:szCs w:val="21"/>
        </w:rPr>
        <w:t>学时</w:t>
      </w:r>
    </w:p>
    <w:p w14:paraId="3E365812"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掌握园区投资估算及效益分析方法。</w:t>
      </w:r>
    </w:p>
    <w:p w14:paraId="45DD7B50"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投资估算及效益分析的依据。</w:t>
      </w:r>
    </w:p>
    <w:p w14:paraId="5CD07E8F"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45940D44"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园区投资估算及效益分析方法</w:t>
      </w:r>
      <w:r>
        <w:rPr>
          <w:rFonts w:ascii="宋体" w:hAnsi="宋体" w:hint="eastAsia"/>
          <w:szCs w:val="21"/>
        </w:rPr>
        <w:t>。</w:t>
      </w:r>
    </w:p>
    <w:p w14:paraId="5BCDB0F5" w14:textId="77777777" w:rsidR="00F5289E" w:rsidRDefault="00C91173">
      <w:pPr>
        <w:snapToGrid w:val="0"/>
        <w:spacing w:line="360" w:lineRule="auto"/>
        <w:rPr>
          <w:rFonts w:ascii="宋体" w:hAnsi="宋体"/>
          <w:b/>
          <w:bCs/>
          <w:szCs w:val="21"/>
        </w:rPr>
      </w:pPr>
      <w:r>
        <w:rPr>
          <w:rFonts w:ascii="宋体" w:hAnsi="宋体"/>
          <w:szCs w:val="21"/>
        </w:rPr>
        <w:t>第</w:t>
      </w:r>
      <w:r>
        <w:rPr>
          <w:rFonts w:ascii="宋体" w:hAnsi="宋体" w:hint="eastAsia"/>
          <w:szCs w:val="21"/>
        </w:rPr>
        <w:t>五</w:t>
      </w:r>
      <w:r>
        <w:rPr>
          <w:rFonts w:ascii="宋体" w:hAnsi="宋体"/>
          <w:szCs w:val="21"/>
        </w:rPr>
        <w:t>节</w:t>
      </w:r>
      <w:r>
        <w:rPr>
          <w:rFonts w:ascii="宋体" w:hAnsi="宋体" w:hint="eastAsia"/>
          <w:szCs w:val="21"/>
        </w:rPr>
        <w:t xml:space="preserve">  规划的文件和图纸</w:t>
      </w:r>
      <w:r>
        <w:rPr>
          <w:rFonts w:ascii="宋体" w:hAnsi="宋体"/>
          <w:szCs w:val="21"/>
        </w:rPr>
        <w:t> </w:t>
      </w:r>
      <w:r>
        <w:rPr>
          <w:rFonts w:ascii="宋体" w:hAnsi="宋体"/>
          <w:b/>
          <w:bCs/>
          <w:szCs w:val="21"/>
        </w:rPr>
        <w:t>    </w:t>
      </w:r>
      <w:r>
        <w:rPr>
          <w:rFonts w:ascii="宋体" w:hAnsi="宋体" w:hint="eastAsia"/>
          <w:b/>
          <w:bCs/>
          <w:szCs w:val="21"/>
        </w:rPr>
        <w:t>1</w:t>
      </w:r>
      <w:r>
        <w:rPr>
          <w:rFonts w:ascii="宋体" w:hAnsi="宋体"/>
          <w:b/>
          <w:bCs/>
          <w:szCs w:val="21"/>
        </w:rPr>
        <w:t>学时</w:t>
      </w:r>
    </w:p>
    <w:p w14:paraId="7D0A9D3D"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掌握规划成果的表现形式</w:t>
      </w:r>
    </w:p>
    <w:p w14:paraId="1B3F1F21"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规划图件的表达</w:t>
      </w:r>
    </w:p>
    <w:p w14:paraId="5F99F31A"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30101C8A"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了解：规划成果所包含的内容。</w:t>
      </w:r>
    </w:p>
    <w:p w14:paraId="7523A9C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w:t>
      </w:r>
      <w:r>
        <w:rPr>
          <w:rFonts w:hAnsi="宋体" w:hint="eastAsia"/>
          <w:kern w:val="0"/>
          <w:szCs w:val="21"/>
        </w:rPr>
        <w:t>规划图件各种规划图的概念</w:t>
      </w:r>
      <w:r>
        <w:rPr>
          <w:rFonts w:ascii="宋体" w:hAnsi="宋体" w:hint="eastAsia"/>
          <w:szCs w:val="21"/>
        </w:rPr>
        <w:t>。</w:t>
      </w:r>
    </w:p>
    <w:p w14:paraId="74353AB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lastRenderedPageBreak/>
        <w:t>掌握：</w:t>
      </w:r>
      <w:r>
        <w:rPr>
          <w:rFonts w:hAnsi="宋体" w:hint="eastAsia"/>
          <w:kern w:val="0"/>
          <w:szCs w:val="21"/>
        </w:rPr>
        <w:t>各种图件所表达的内容</w:t>
      </w:r>
      <w:r>
        <w:rPr>
          <w:rFonts w:ascii="宋体" w:hAnsi="宋体" w:hint="eastAsia"/>
          <w:szCs w:val="21"/>
        </w:rPr>
        <w:t>。</w:t>
      </w:r>
    </w:p>
    <w:p w14:paraId="391A6F66"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熟练掌握：功能分区图的设计。</w:t>
      </w:r>
    </w:p>
    <w:p w14:paraId="46306BB4"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采用案例教学法，针对产业园区的特征、需求、问题展开讨论及分析。不断提出生产中存在的问题引导学生思考、发散思维，指导学生独立设计规划产业园区，培养他们的创新能力。</w:t>
      </w:r>
    </w:p>
    <w:p w14:paraId="4AA0B574" w14:textId="77777777" w:rsidR="00F5289E" w:rsidRDefault="00F5289E">
      <w:pPr>
        <w:widowControl/>
        <w:snapToGrid w:val="0"/>
        <w:spacing w:line="360" w:lineRule="auto"/>
        <w:jc w:val="left"/>
        <w:rPr>
          <w:kern w:val="0"/>
          <w:szCs w:val="21"/>
        </w:rPr>
      </w:pPr>
    </w:p>
    <w:p w14:paraId="125DED8C" w14:textId="77777777" w:rsidR="00F5289E" w:rsidRDefault="00C91173">
      <w:pPr>
        <w:widowControl/>
        <w:snapToGrid w:val="0"/>
        <w:spacing w:line="360" w:lineRule="auto"/>
        <w:jc w:val="right"/>
        <w:rPr>
          <w:kern w:val="0"/>
          <w:szCs w:val="21"/>
        </w:rPr>
      </w:pPr>
      <w:r>
        <w:rPr>
          <w:b/>
          <w:bCs/>
          <w:kern w:val="0"/>
          <w:szCs w:val="21"/>
        </w:rPr>
        <w:t>    </w:t>
      </w:r>
      <w:r>
        <w:rPr>
          <w:rFonts w:hAnsi="宋体"/>
          <w:b/>
          <w:bCs/>
          <w:kern w:val="0"/>
          <w:szCs w:val="21"/>
        </w:rPr>
        <w:t>第</w:t>
      </w:r>
      <w:r>
        <w:rPr>
          <w:rFonts w:hAnsi="宋体" w:hint="eastAsia"/>
          <w:b/>
          <w:bCs/>
          <w:kern w:val="0"/>
          <w:szCs w:val="21"/>
        </w:rPr>
        <w:t>五</w:t>
      </w:r>
      <w:r>
        <w:rPr>
          <w:rFonts w:hAnsi="宋体"/>
          <w:b/>
          <w:bCs/>
          <w:kern w:val="0"/>
          <w:szCs w:val="21"/>
        </w:rPr>
        <w:t>章</w:t>
      </w:r>
      <w:r>
        <w:rPr>
          <w:b/>
          <w:bCs/>
          <w:kern w:val="0"/>
          <w:szCs w:val="21"/>
        </w:rPr>
        <w:t>     </w:t>
      </w:r>
      <w:r>
        <w:rPr>
          <w:rFonts w:hint="eastAsia"/>
          <w:b/>
          <w:bCs/>
          <w:kern w:val="0"/>
          <w:szCs w:val="21"/>
        </w:rPr>
        <w:t>生态休闲类园区的详细规划</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color w:val="000000" w:themeColor="text1"/>
          <w:kern w:val="0"/>
          <w:szCs w:val="21"/>
        </w:rPr>
        <w:t>：</w:t>
      </w:r>
      <w:r>
        <w:rPr>
          <w:rFonts w:hAnsi="宋体" w:hint="eastAsia"/>
          <w:b/>
          <w:bCs/>
          <w:color w:val="000000" w:themeColor="text1"/>
          <w:kern w:val="0"/>
          <w:szCs w:val="21"/>
        </w:rPr>
        <w:t>8</w:t>
      </w:r>
    </w:p>
    <w:p w14:paraId="386ED57F" w14:textId="77777777" w:rsidR="00F5289E" w:rsidRDefault="00C91173">
      <w:pPr>
        <w:snapToGrid w:val="0"/>
        <w:spacing w:line="360" w:lineRule="auto"/>
        <w:rPr>
          <w:rFonts w:ascii="宋体" w:hAnsi="宋体"/>
          <w:b/>
          <w:bCs/>
          <w:szCs w:val="21"/>
        </w:rPr>
      </w:pPr>
      <w:r>
        <w:rPr>
          <w:rFonts w:ascii="宋体" w:hAnsi="宋体"/>
          <w:szCs w:val="21"/>
        </w:rPr>
        <w:t>第一节</w:t>
      </w:r>
      <w:r>
        <w:rPr>
          <w:rFonts w:ascii="宋体" w:hAnsi="宋体" w:hint="eastAsia"/>
          <w:szCs w:val="21"/>
        </w:rPr>
        <w:t xml:space="preserve">  生态休闲农业园区的概念与类型</w:t>
      </w:r>
      <w:r>
        <w:rPr>
          <w:rFonts w:ascii="宋体" w:hAnsi="宋体"/>
          <w:szCs w:val="21"/>
        </w:rPr>
        <w:t> </w:t>
      </w:r>
      <w:r>
        <w:rPr>
          <w:rFonts w:ascii="宋体" w:hAnsi="宋体"/>
          <w:b/>
          <w:bCs/>
          <w:szCs w:val="21"/>
        </w:rPr>
        <w:t>    </w:t>
      </w:r>
      <w:r>
        <w:rPr>
          <w:rFonts w:ascii="宋体" w:hAnsi="宋体" w:hint="eastAsia"/>
          <w:b/>
          <w:bCs/>
          <w:szCs w:val="21"/>
        </w:rPr>
        <w:t>2</w:t>
      </w:r>
      <w:r>
        <w:rPr>
          <w:rFonts w:ascii="宋体" w:hAnsi="宋体"/>
          <w:b/>
          <w:bCs/>
          <w:szCs w:val="21"/>
        </w:rPr>
        <w:t>学时</w:t>
      </w:r>
    </w:p>
    <w:p w14:paraId="0F01477A"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掌握什么是生态休闲园区</w:t>
      </w:r>
    </w:p>
    <w:p w14:paraId="3F1FBABC"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生态休闲园区的功能</w:t>
      </w:r>
    </w:p>
    <w:p w14:paraId="3F4B869A"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4F77A6A6"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了解：生态休闲园区的类型。</w:t>
      </w:r>
    </w:p>
    <w:p w14:paraId="3C410CF1"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理解：生态休闲园区的相关概念。</w:t>
      </w:r>
    </w:p>
    <w:p w14:paraId="269A3CD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生态休闲园区的功能和规划原则</w:t>
      </w:r>
      <w:r>
        <w:rPr>
          <w:rFonts w:ascii="宋体" w:hAnsi="宋体" w:hint="eastAsia"/>
          <w:szCs w:val="21"/>
        </w:rPr>
        <w:t>。</w:t>
      </w:r>
    </w:p>
    <w:p w14:paraId="061CBBEE" w14:textId="77777777" w:rsidR="00F5289E" w:rsidRDefault="00C91173">
      <w:pPr>
        <w:widowControl/>
        <w:snapToGrid w:val="0"/>
        <w:spacing w:line="360" w:lineRule="auto"/>
        <w:jc w:val="left"/>
        <w:rPr>
          <w:b/>
          <w:kern w:val="0"/>
          <w:szCs w:val="21"/>
        </w:rPr>
      </w:pPr>
      <w:r>
        <w:rPr>
          <w:rFonts w:ascii="宋体" w:hAnsi="宋体"/>
          <w:szCs w:val="21"/>
        </w:rPr>
        <w:t>第</w:t>
      </w:r>
      <w:r>
        <w:rPr>
          <w:rFonts w:ascii="宋体" w:hAnsi="宋体" w:hint="eastAsia"/>
          <w:szCs w:val="21"/>
        </w:rPr>
        <w:t>二</w:t>
      </w:r>
      <w:r>
        <w:rPr>
          <w:rFonts w:ascii="宋体" w:hAnsi="宋体"/>
          <w:szCs w:val="21"/>
        </w:rPr>
        <w:t>节</w:t>
      </w:r>
      <w:r>
        <w:rPr>
          <w:rFonts w:ascii="宋体" w:hAnsi="宋体" w:hint="eastAsia"/>
          <w:szCs w:val="21"/>
        </w:rPr>
        <w:t xml:space="preserve">  农业休闲农业园区规划的相关理论与要点 </w:t>
      </w:r>
      <w:r>
        <w:rPr>
          <w:b/>
          <w:kern w:val="0"/>
          <w:szCs w:val="21"/>
        </w:rPr>
        <w:t>     </w:t>
      </w:r>
      <w:r>
        <w:rPr>
          <w:rFonts w:hint="eastAsia"/>
          <w:b/>
          <w:kern w:val="0"/>
          <w:szCs w:val="21"/>
        </w:rPr>
        <w:t>2</w:t>
      </w:r>
      <w:r>
        <w:rPr>
          <w:rFonts w:hAnsi="宋体"/>
          <w:b/>
          <w:kern w:val="0"/>
          <w:szCs w:val="21"/>
        </w:rPr>
        <w:t>学时</w:t>
      </w:r>
    </w:p>
    <w:p w14:paraId="1762594D"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掌握相关理论</w:t>
      </w:r>
    </w:p>
    <w:p w14:paraId="3308AF86"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生态休闲农业园区规划的相关理论。</w:t>
      </w:r>
    </w:p>
    <w:p w14:paraId="6F426545"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6133EDB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生态休闲农业园区的呈现形式</w:t>
      </w:r>
      <w:r>
        <w:rPr>
          <w:rFonts w:ascii="宋体" w:hAnsi="宋体" w:hint="eastAsia"/>
          <w:szCs w:val="21"/>
        </w:rPr>
        <w:t>。</w:t>
      </w:r>
    </w:p>
    <w:p w14:paraId="20347E99"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理解：生态休闲农业园区规划的要点。</w:t>
      </w:r>
    </w:p>
    <w:p w14:paraId="18E96EA1"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规划的相关理论</w:t>
      </w:r>
      <w:r>
        <w:rPr>
          <w:rFonts w:ascii="宋体" w:hAnsi="宋体" w:hint="eastAsia"/>
          <w:szCs w:val="21"/>
        </w:rPr>
        <w:t>。</w:t>
      </w:r>
    </w:p>
    <w:p w14:paraId="4E45CF0F"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熟练掌握：相关理论不同休闲农业园区规划中的科学应用。</w:t>
      </w:r>
    </w:p>
    <w:p w14:paraId="6725519B" w14:textId="77777777" w:rsidR="00F5289E" w:rsidRDefault="00C91173">
      <w:pPr>
        <w:widowControl/>
        <w:snapToGrid w:val="0"/>
        <w:spacing w:line="360" w:lineRule="auto"/>
        <w:jc w:val="left"/>
        <w:rPr>
          <w:b/>
          <w:kern w:val="0"/>
          <w:szCs w:val="21"/>
        </w:rPr>
      </w:pPr>
      <w:r>
        <w:rPr>
          <w:rFonts w:hAnsi="宋体"/>
          <w:bCs/>
          <w:kern w:val="0"/>
          <w:szCs w:val="21"/>
        </w:rPr>
        <w:t>第</w:t>
      </w:r>
      <w:r>
        <w:rPr>
          <w:rFonts w:hAnsi="宋体" w:hint="eastAsia"/>
          <w:bCs/>
          <w:kern w:val="0"/>
          <w:szCs w:val="21"/>
        </w:rPr>
        <w:t>三</w:t>
      </w:r>
      <w:r>
        <w:rPr>
          <w:rFonts w:hAnsi="宋体"/>
          <w:bCs/>
          <w:kern w:val="0"/>
          <w:szCs w:val="21"/>
        </w:rPr>
        <w:t>节</w:t>
      </w:r>
      <w:r>
        <w:rPr>
          <w:rFonts w:hAnsi="宋体" w:hint="eastAsia"/>
          <w:bCs/>
          <w:kern w:val="0"/>
          <w:szCs w:val="21"/>
        </w:rPr>
        <w:t xml:space="preserve">  </w:t>
      </w:r>
      <w:r>
        <w:rPr>
          <w:rFonts w:hAnsi="宋体" w:hint="eastAsia"/>
          <w:bCs/>
          <w:kern w:val="0"/>
          <w:szCs w:val="21"/>
        </w:rPr>
        <w:t>生态休闲农业园区的规划布局</w:t>
      </w:r>
      <w:r>
        <w:rPr>
          <w:rFonts w:hAnsi="宋体" w:hint="eastAsia"/>
          <w:bCs/>
          <w:kern w:val="0"/>
          <w:szCs w:val="21"/>
        </w:rPr>
        <w:t xml:space="preserve"> </w:t>
      </w:r>
      <w:r>
        <w:rPr>
          <w:bCs/>
          <w:kern w:val="0"/>
          <w:szCs w:val="21"/>
        </w:rPr>
        <w:t> </w:t>
      </w:r>
      <w:r>
        <w:rPr>
          <w:b/>
          <w:kern w:val="0"/>
          <w:szCs w:val="21"/>
        </w:rPr>
        <w:t>    </w:t>
      </w:r>
      <w:r>
        <w:rPr>
          <w:rFonts w:hint="eastAsia"/>
          <w:b/>
          <w:kern w:val="0"/>
          <w:szCs w:val="21"/>
        </w:rPr>
        <w:t>4</w:t>
      </w:r>
      <w:r>
        <w:rPr>
          <w:rFonts w:hAnsi="宋体"/>
          <w:b/>
          <w:kern w:val="0"/>
          <w:szCs w:val="21"/>
        </w:rPr>
        <w:t>学时</w:t>
      </w:r>
    </w:p>
    <w:p w14:paraId="1DB89B60"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掌握生态休闲农业园区的规划布局</w:t>
      </w:r>
    </w:p>
    <w:p w14:paraId="4E2D7336"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生态休闲农园的规划方法。</w:t>
      </w:r>
    </w:p>
    <w:p w14:paraId="40A9C771"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4C55184F"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理解：生态休闲农业园区规划布局。</w:t>
      </w:r>
    </w:p>
    <w:p w14:paraId="77927BDE"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不同类型生态休闲农园的规划侧重点</w:t>
      </w:r>
      <w:r>
        <w:rPr>
          <w:rFonts w:ascii="宋体" w:hAnsi="宋体" w:hint="eastAsia"/>
          <w:szCs w:val="21"/>
        </w:rPr>
        <w:t>。</w:t>
      </w:r>
    </w:p>
    <w:p w14:paraId="49A6E670"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熟练掌握：科普教育农园、采摘园等的规划要点。</w:t>
      </w:r>
    </w:p>
    <w:p w14:paraId="22E33B05"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采用案例教学法，针对休闲园区的特征、需求、问题展开讨论及分析。不断提出生产中存在的问题引导学生思考、发散思维，指导学生独立设计规划产业园区，培养他们的创新能力。</w:t>
      </w:r>
    </w:p>
    <w:p w14:paraId="025BEA9D" w14:textId="77777777" w:rsidR="00F5289E" w:rsidRDefault="00F5289E">
      <w:pPr>
        <w:pStyle w:val="a7"/>
        <w:snapToGrid w:val="0"/>
        <w:spacing w:line="360" w:lineRule="auto"/>
        <w:ind w:rightChars="1383" w:right="2904" w:firstLineChars="0" w:firstLine="0"/>
        <w:jc w:val="left"/>
        <w:rPr>
          <w:rFonts w:ascii="宋体" w:hAnsi="宋体"/>
          <w:szCs w:val="21"/>
        </w:rPr>
      </w:pPr>
    </w:p>
    <w:p w14:paraId="1B443A91" w14:textId="77777777" w:rsidR="00F5289E" w:rsidRDefault="00C91173">
      <w:pPr>
        <w:widowControl/>
        <w:wordWrap w:val="0"/>
        <w:snapToGrid w:val="0"/>
        <w:spacing w:line="360" w:lineRule="auto"/>
        <w:jc w:val="right"/>
        <w:rPr>
          <w:kern w:val="0"/>
          <w:szCs w:val="21"/>
        </w:rPr>
      </w:pPr>
      <w:r>
        <w:rPr>
          <w:b/>
          <w:bCs/>
          <w:kern w:val="0"/>
          <w:szCs w:val="21"/>
        </w:rPr>
        <w:t>    </w:t>
      </w:r>
      <w:r>
        <w:rPr>
          <w:rFonts w:hAnsi="宋体"/>
          <w:b/>
          <w:bCs/>
          <w:kern w:val="0"/>
          <w:szCs w:val="21"/>
        </w:rPr>
        <w:t>第</w:t>
      </w:r>
      <w:r>
        <w:rPr>
          <w:rFonts w:hAnsi="宋体" w:hint="eastAsia"/>
          <w:b/>
          <w:bCs/>
          <w:kern w:val="0"/>
          <w:szCs w:val="21"/>
        </w:rPr>
        <w:t>六</w:t>
      </w:r>
      <w:r>
        <w:rPr>
          <w:rFonts w:hAnsi="宋体"/>
          <w:b/>
          <w:bCs/>
          <w:kern w:val="0"/>
          <w:szCs w:val="21"/>
        </w:rPr>
        <w:t>章</w:t>
      </w:r>
      <w:r>
        <w:rPr>
          <w:b/>
          <w:bCs/>
          <w:kern w:val="0"/>
          <w:szCs w:val="21"/>
        </w:rPr>
        <w:t>     </w:t>
      </w:r>
      <w:r>
        <w:rPr>
          <w:rFonts w:hint="eastAsia"/>
          <w:b/>
          <w:bCs/>
          <w:kern w:val="0"/>
          <w:szCs w:val="21"/>
        </w:rPr>
        <w:t>农业园区的管理</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color w:val="000000" w:themeColor="text1"/>
          <w:kern w:val="0"/>
          <w:szCs w:val="21"/>
        </w:rPr>
        <w:t>4</w:t>
      </w:r>
    </w:p>
    <w:p w14:paraId="238782A1" w14:textId="77777777" w:rsidR="00F5289E" w:rsidRDefault="00C91173">
      <w:pPr>
        <w:snapToGrid w:val="0"/>
        <w:spacing w:line="360" w:lineRule="auto"/>
        <w:rPr>
          <w:rFonts w:ascii="宋体" w:hAnsi="宋体"/>
          <w:b/>
          <w:bCs/>
          <w:szCs w:val="21"/>
        </w:rPr>
      </w:pPr>
      <w:r>
        <w:rPr>
          <w:rFonts w:ascii="宋体" w:hAnsi="宋体"/>
          <w:b/>
          <w:bCs/>
          <w:szCs w:val="21"/>
        </w:rPr>
        <w:lastRenderedPageBreak/>
        <w:t>第一节</w:t>
      </w:r>
      <w:r>
        <w:rPr>
          <w:rFonts w:ascii="宋体" w:hAnsi="宋体" w:hint="eastAsia"/>
          <w:b/>
          <w:bCs/>
          <w:szCs w:val="21"/>
        </w:rPr>
        <w:t xml:space="preserve">  农业园区的战略管理和组织领导</w:t>
      </w:r>
      <w:r>
        <w:rPr>
          <w:rFonts w:ascii="宋体" w:hAnsi="宋体"/>
          <w:b/>
          <w:bCs/>
          <w:szCs w:val="21"/>
        </w:rPr>
        <w:t>     </w:t>
      </w:r>
      <w:r>
        <w:rPr>
          <w:rFonts w:ascii="宋体" w:hAnsi="宋体" w:hint="eastAsia"/>
          <w:b/>
          <w:bCs/>
          <w:szCs w:val="21"/>
        </w:rPr>
        <w:t>1</w:t>
      </w:r>
      <w:r>
        <w:rPr>
          <w:rFonts w:ascii="宋体" w:hAnsi="宋体"/>
          <w:b/>
          <w:bCs/>
          <w:szCs w:val="21"/>
        </w:rPr>
        <w:t>学时</w:t>
      </w:r>
    </w:p>
    <w:p w14:paraId="20AB1C94"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掌握农业园区的战略管理和组织领导</w:t>
      </w:r>
    </w:p>
    <w:p w14:paraId="5F74152F"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农业园区的战略管理</w:t>
      </w:r>
    </w:p>
    <w:p w14:paraId="035D877E"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362390F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了解：农业园区的组织结构。</w:t>
      </w:r>
    </w:p>
    <w:p w14:paraId="0D7D234F" w14:textId="77777777" w:rsidR="00F5289E" w:rsidRDefault="00C91173">
      <w:pPr>
        <w:pStyle w:val="a7"/>
        <w:snapToGrid w:val="0"/>
        <w:spacing w:line="360" w:lineRule="auto"/>
        <w:ind w:rightChars="1383" w:right="2904"/>
        <w:jc w:val="left"/>
        <w:rPr>
          <w:rFonts w:ascii="宋体" w:hAnsi="宋体"/>
          <w:b/>
          <w:bCs/>
          <w:szCs w:val="21"/>
        </w:rPr>
      </w:pPr>
      <w:r>
        <w:rPr>
          <w:rFonts w:ascii="宋体" w:hAnsi="宋体" w:hint="eastAsia"/>
          <w:szCs w:val="21"/>
        </w:rPr>
        <w:t>理解：农业园区的战略管理。</w:t>
      </w:r>
    </w:p>
    <w:p w14:paraId="14C03D6E" w14:textId="77777777" w:rsidR="00F5289E" w:rsidRDefault="00C91173">
      <w:pPr>
        <w:widowControl/>
        <w:snapToGrid w:val="0"/>
        <w:spacing w:line="360" w:lineRule="auto"/>
        <w:jc w:val="left"/>
        <w:rPr>
          <w:b/>
          <w:kern w:val="0"/>
          <w:szCs w:val="21"/>
        </w:rPr>
      </w:pPr>
      <w:r>
        <w:rPr>
          <w:rFonts w:hAnsi="宋体"/>
          <w:b/>
          <w:kern w:val="0"/>
          <w:szCs w:val="21"/>
        </w:rPr>
        <w:t>第</w:t>
      </w:r>
      <w:r>
        <w:rPr>
          <w:rFonts w:hAnsi="宋体" w:hint="eastAsia"/>
          <w:b/>
          <w:kern w:val="0"/>
          <w:szCs w:val="21"/>
        </w:rPr>
        <w:t>二</w:t>
      </w:r>
      <w:r>
        <w:rPr>
          <w:rFonts w:hAnsi="宋体"/>
          <w:b/>
          <w:kern w:val="0"/>
          <w:szCs w:val="21"/>
        </w:rPr>
        <w:t>节</w:t>
      </w:r>
      <w:r>
        <w:rPr>
          <w:rFonts w:hAnsi="宋体" w:hint="eastAsia"/>
          <w:b/>
          <w:kern w:val="0"/>
          <w:szCs w:val="21"/>
        </w:rPr>
        <w:t xml:space="preserve">  </w:t>
      </w:r>
      <w:r>
        <w:rPr>
          <w:rFonts w:hAnsi="宋体" w:hint="eastAsia"/>
          <w:b/>
          <w:kern w:val="0"/>
          <w:szCs w:val="21"/>
        </w:rPr>
        <w:t>农业园区的管理</w:t>
      </w:r>
      <w:r>
        <w:rPr>
          <w:rFonts w:hAnsi="宋体" w:hint="eastAsia"/>
          <w:b/>
          <w:kern w:val="0"/>
          <w:szCs w:val="21"/>
        </w:rPr>
        <w:t xml:space="preserve"> </w:t>
      </w:r>
      <w:r>
        <w:rPr>
          <w:b/>
          <w:kern w:val="0"/>
          <w:szCs w:val="21"/>
        </w:rPr>
        <w:t>     </w:t>
      </w:r>
      <w:r>
        <w:rPr>
          <w:rFonts w:hint="eastAsia"/>
          <w:b/>
          <w:kern w:val="0"/>
          <w:szCs w:val="21"/>
        </w:rPr>
        <w:t>3</w:t>
      </w:r>
      <w:r>
        <w:rPr>
          <w:rFonts w:hAnsi="宋体"/>
          <w:b/>
          <w:kern w:val="0"/>
          <w:szCs w:val="21"/>
        </w:rPr>
        <w:t>学时</w:t>
      </w:r>
    </w:p>
    <w:p w14:paraId="2E01737D"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教学目的：</w:t>
      </w:r>
      <w:r>
        <w:rPr>
          <w:rFonts w:hAnsi="宋体" w:hint="eastAsia"/>
          <w:kern w:val="0"/>
          <w:szCs w:val="21"/>
        </w:rPr>
        <w:t>掌握农业园区的管理方法</w:t>
      </w:r>
    </w:p>
    <w:p w14:paraId="08B843AD" w14:textId="77777777" w:rsidR="00F5289E" w:rsidRDefault="00C91173">
      <w:pPr>
        <w:widowControl/>
        <w:snapToGrid w:val="0"/>
        <w:spacing w:line="360" w:lineRule="auto"/>
        <w:rPr>
          <w:rFonts w:hAnsi="宋体"/>
          <w:b/>
          <w:bCs/>
          <w:kern w:val="0"/>
          <w:szCs w:val="21"/>
        </w:rPr>
      </w:pPr>
      <w:r>
        <w:rPr>
          <w:rFonts w:ascii="宋体" w:hAnsi="宋体" w:hint="eastAsia"/>
          <w:b/>
          <w:bCs/>
          <w:szCs w:val="21"/>
        </w:rPr>
        <w:t>教学重点和难点：</w:t>
      </w:r>
      <w:r>
        <w:rPr>
          <w:rFonts w:hAnsi="宋体" w:hint="eastAsia"/>
          <w:kern w:val="0"/>
          <w:szCs w:val="21"/>
        </w:rPr>
        <w:t>农业园区的生产管理、技术管理和营销管理。</w:t>
      </w:r>
    </w:p>
    <w:p w14:paraId="2008FF58" w14:textId="77777777" w:rsidR="00F5289E" w:rsidRDefault="00C91173">
      <w:pPr>
        <w:widowControl/>
        <w:snapToGrid w:val="0"/>
        <w:spacing w:line="360" w:lineRule="auto"/>
        <w:rPr>
          <w:rFonts w:hAnsi="宋体"/>
          <w:kern w:val="0"/>
          <w:szCs w:val="21"/>
        </w:rPr>
      </w:pPr>
      <w:r>
        <w:rPr>
          <w:rFonts w:ascii="宋体" w:hAnsi="宋体" w:hint="eastAsia"/>
          <w:b/>
          <w:bCs/>
          <w:szCs w:val="21"/>
        </w:rPr>
        <w:t>主要教学内容及要求：</w:t>
      </w:r>
    </w:p>
    <w:p w14:paraId="14388EFD"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了解：</w:t>
      </w:r>
      <w:r>
        <w:rPr>
          <w:rFonts w:hint="eastAsia"/>
          <w:szCs w:val="21"/>
        </w:rPr>
        <w:t>农业园区的管理方法</w:t>
      </w:r>
      <w:r>
        <w:rPr>
          <w:rFonts w:ascii="宋体" w:hAnsi="宋体" w:hint="eastAsia"/>
          <w:szCs w:val="21"/>
        </w:rPr>
        <w:t>。</w:t>
      </w:r>
    </w:p>
    <w:p w14:paraId="58D24657"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理解：农业园区管理的重点。</w:t>
      </w:r>
    </w:p>
    <w:p w14:paraId="15E16DEC"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掌握：</w:t>
      </w:r>
      <w:r>
        <w:rPr>
          <w:rFonts w:hAnsi="宋体" w:hint="eastAsia"/>
          <w:kern w:val="0"/>
          <w:szCs w:val="21"/>
        </w:rPr>
        <w:t>农业园区的要素管理</w:t>
      </w:r>
      <w:r>
        <w:rPr>
          <w:rFonts w:ascii="宋体" w:hAnsi="宋体" w:hint="eastAsia"/>
          <w:szCs w:val="21"/>
        </w:rPr>
        <w:t>。</w:t>
      </w:r>
    </w:p>
    <w:p w14:paraId="0442A2F2" w14:textId="77777777" w:rsidR="00F5289E" w:rsidRDefault="00C91173">
      <w:pPr>
        <w:pStyle w:val="a7"/>
        <w:snapToGrid w:val="0"/>
        <w:spacing w:line="360" w:lineRule="auto"/>
        <w:ind w:rightChars="1383" w:right="2904"/>
        <w:jc w:val="left"/>
        <w:rPr>
          <w:rFonts w:ascii="宋体" w:hAnsi="宋体"/>
          <w:szCs w:val="21"/>
        </w:rPr>
      </w:pPr>
      <w:r>
        <w:rPr>
          <w:rFonts w:ascii="宋体" w:hAnsi="宋体" w:hint="eastAsia"/>
          <w:szCs w:val="21"/>
        </w:rPr>
        <w:t>熟练掌握：</w:t>
      </w:r>
      <w:r>
        <w:rPr>
          <w:rFonts w:hAnsi="宋体" w:hint="eastAsia"/>
          <w:kern w:val="0"/>
          <w:szCs w:val="21"/>
        </w:rPr>
        <w:t>生产管理、技术管理和营销管理方法</w:t>
      </w:r>
      <w:r>
        <w:rPr>
          <w:rFonts w:ascii="宋体" w:hAnsi="宋体" w:hint="eastAsia"/>
          <w:szCs w:val="21"/>
        </w:rPr>
        <w:t>。</w:t>
      </w:r>
    </w:p>
    <w:p w14:paraId="0B71D7D6" w14:textId="77777777" w:rsidR="00F5289E" w:rsidRDefault="00C91173">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采用案例教学法，强调园区管理的重要性，总结归纳管理要点，结合生产实际进行分析，使学生能够切身体会到关键所在，培养学生严谨、扎实的学习及工作态度。</w:t>
      </w:r>
    </w:p>
    <w:p w14:paraId="2971EFE1"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五</w:t>
      </w:r>
      <w:r>
        <w:rPr>
          <w:rFonts w:hAnsi="宋体"/>
          <w:b/>
          <w:bCs/>
          <w:kern w:val="0"/>
          <w:szCs w:val="21"/>
        </w:rPr>
        <w:t>、实验教学内容及学时分配</w:t>
      </w:r>
      <w:r>
        <w:rPr>
          <w:b/>
          <w:bCs/>
          <w:kern w:val="0"/>
          <w:szCs w:val="21"/>
        </w:rPr>
        <w:t> </w:t>
      </w:r>
      <w:r>
        <w:rPr>
          <w:rFonts w:hAnsi="宋体" w:hint="eastAsia"/>
          <w:b/>
          <w:bCs/>
          <w:kern w:val="0"/>
          <w:szCs w:val="21"/>
        </w:rPr>
        <w:t>（</w:t>
      </w:r>
      <w:r>
        <w:rPr>
          <w:rFonts w:hAnsi="宋体"/>
          <w:b/>
          <w:bCs/>
          <w:color w:val="000000" w:themeColor="text1"/>
          <w:kern w:val="0"/>
          <w:szCs w:val="21"/>
        </w:rPr>
        <w:t>8</w:t>
      </w:r>
      <w:r>
        <w:rPr>
          <w:rFonts w:hAnsi="宋体"/>
          <w:b/>
          <w:bCs/>
          <w:kern w:val="0"/>
          <w:szCs w:val="21"/>
        </w:rPr>
        <w:t>学时</w:t>
      </w:r>
      <w:r>
        <w:rPr>
          <w:rFonts w:hAnsi="宋体" w:hint="eastAsia"/>
          <w:b/>
          <w:bCs/>
          <w:kern w:val="0"/>
          <w:szCs w:val="21"/>
        </w:rPr>
        <w:t>）</w:t>
      </w:r>
    </w:p>
    <w:p w14:paraId="130C5AFD"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5C0B63FD" w14:textId="77777777" w:rsidR="00F5289E" w:rsidRDefault="00C91173">
      <w:pPr>
        <w:snapToGrid w:val="0"/>
        <w:spacing w:line="360" w:lineRule="auto"/>
        <w:ind w:firstLineChars="200" w:firstLine="420"/>
        <w:rPr>
          <w:rFonts w:ascii="宋体" w:hAnsi="宋体"/>
          <w:bCs/>
          <w:szCs w:val="21"/>
        </w:rPr>
      </w:pPr>
      <w:r>
        <w:rPr>
          <w:rFonts w:ascii="宋体" w:hAnsi="宋体" w:cs="宋体" w:hint="eastAsia"/>
          <w:color w:val="363636"/>
          <w:kern w:val="0"/>
          <w:szCs w:val="21"/>
        </w:rPr>
        <w:t>培养理论与实际结合的能力，学习现代农业产业园区规划编制过程与方法；培养不同类型现代农业园区规划设计的基本步骤和基本技能；培养写作能力和产业规划与项目的策划能力。</w:t>
      </w:r>
    </w:p>
    <w:p w14:paraId="3C07D713"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13D2B88A" w14:textId="77777777" w:rsidR="00F5289E" w:rsidRDefault="00C91173">
      <w:pPr>
        <w:snapToGrid w:val="0"/>
        <w:spacing w:line="360" w:lineRule="auto"/>
        <w:ind w:firstLineChars="200" w:firstLine="420"/>
        <w:rPr>
          <w:szCs w:val="21"/>
        </w:rPr>
      </w:pPr>
      <w:r>
        <w:rPr>
          <w:rFonts w:hint="eastAsia"/>
          <w:szCs w:val="21"/>
        </w:rPr>
        <w:t xml:space="preserve">1. </w:t>
      </w:r>
      <w:r>
        <w:rPr>
          <w:rFonts w:hint="eastAsia"/>
          <w:szCs w:val="21"/>
        </w:rPr>
        <w:t>掌握农业园区设计书的编制方法；</w:t>
      </w:r>
    </w:p>
    <w:p w14:paraId="15FE484C" w14:textId="77777777" w:rsidR="00F5289E" w:rsidRDefault="00C91173">
      <w:pPr>
        <w:snapToGrid w:val="0"/>
        <w:spacing w:line="360" w:lineRule="auto"/>
        <w:ind w:firstLineChars="200" w:firstLine="420"/>
        <w:rPr>
          <w:szCs w:val="21"/>
        </w:rPr>
      </w:pPr>
      <w:r>
        <w:rPr>
          <w:rFonts w:hint="eastAsia"/>
          <w:szCs w:val="21"/>
        </w:rPr>
        <w:t xml:space="preserve">2. </w:t>
      </w:r>
      <w:r>
        <w:rPr>
          <w:rFonts w:hint="eastAsia"/>
          <w:szCs w:val="21"/>
        </w:rPr>
        <w:t>能结合实际条件对不同类型现代农业园区进行规划。</w:t>
      </w:r>
    </w:p>
    <w:p w14:paraId="57284DFF" w14:textId="77777777" w:rsidR="00F5289E" w:rsidRDefault="00C91173">
      <w:pPr>
        <w:snapToGrid w:val="0"/>
        <w:spacing w:line="360" w:lineRule="auto"/>
        <w:rPr>
          <w:b/>
          <w:szCs w:val="21"/>
        </w:rPr>
      </w:pPr>
      <w:r>
        <w:rPr>
          <w:rFonts w:hint="eastAsia"/>
          <w:b/>
          <w:szCs w:val="21"/>
        </w:rPr>
        <w:t>（三）实验安全操作规范</w:t>
      </w:r>
    </w:p>
    <w:p w14:paraId="404506EE" w14:textId="77777777" w:rsidR="00F5289E" w:rsidRDefault="00C91173">
      <w:pPr>
        <w:spacing w:line="360" w:lineRule="auto"/>
        <w:ind w:firstLineChars="200" w:firstLine="420"/>
        <w:rPr>
          <w:rFonts w:ascii="宋体" w:hAnsi="宋体"/>
          <w:szCs w:val="21"/>
        </w:rPr>
      </w:pPr>
      <w:r>
        <w:rPr>
          <w:rFonts w:ascii="宋体" w:hAnsi="宋体" w:hint="eastAsia"/>
          <w:szCs w:val="21"/>
        </w:rPr>
        <w:t>学生</w:t>
      </w:r>
      <w:r>
        <w:rPr>
          <w:rFonts w:ascii="宋体" w:hAnsi="宋体"/>
          <w:szCs w:val="21"/>
        </w:rPr>
        <w:t>严格遵守实验室安全管理规范，</w:t>
      </w:r>
      <w:r>
        <w:rPr>
          <w:rFonts w:ascii="宋体" w:hAnsi="宋体" w:hint="eastAsia"/>
          <w:szCs w:val="21"/>
        </w:rPr>
        <w:t>在</w:t>
      </w:r>
      <w:r>
        <w:rPr>
          <w:rFonts w:ascii="宋体" w:hAnsi="宋体"/>
          <w:szCs w:val="21"/>
        </w:rPr>
        <w:t>老师的监督下</w:t>
      </w:r>
      <w:r>
        <w:rPr>
          <w:rFonts w:ascii="宋体" w:hAnsi="宋体" w:hint="eastAsia"/>
          <w:szCs w:val="21"/>
        </w:rPr>
        <w:t>完成项目的设计及汇报，分工明确，团队协作。</w:t>
      </w:r>
    </w:p>
    <w:p w14:paraId="3327A364"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206"/>
        <w:gridCol w:w="2709"/>
        <w:gridCol w:w="839"/>
        <w:gridCol w:w="1015"/>
        <w:gridCol w:w="1327"/>
        <w:gridCol w:w="1200"/>
      </w:tblGrid>
      <w:tr w:rsidR="00F5289E" w14:paraId="6E882506" w14:textId="77777777">
        <w:trPr>
          <w:jc w:val="center"/>
        </w:trPr>
        <w:tc>
          <w:tcPr>
            <w:tcW w:w="1206" w:type="dxa"/>
            <w:shd w:val="clear" w:color="auto" w:fill="EEECE1"/>
            <w:vAlign w:val="center"/>
          </w:tcPr>
          <w:p w14:paraId="12B3FF62"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2709" w:type="dxa"/>
            <w:shd w:val="clear" w:color="auto" w:fill="EEECE1"/>
            <w:vAlign w:val="center"/>
          </w:tcPr>
          <w:p w14:paraId="1E591417"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839" w:type="dxa"/>
            <w:shd w:val="clear" w:color="auto" w:fill="EEECE1"/>
            <w:vAlign w:val="center"/>
          </w:tcPr>
          <w:p w14:paraId="5A6486C1"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015" w:type="dxa"/>
            <w:shd w:val="clear" w:color="auto" w:fill="EEECE1"/>
            <w:vAlign w:val="center"/>
          </w:tcPr>
          <w:p w14:paraId="5D927021"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327" w:type="dxa"/>
            <w:shd w:val="clear" w:color="auto" w:fill="EEECE1"/>
            <w:vAlign w:val="center"/>
          </w:tcPr>
          <w:p w14:paraId="55E48FE8"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200" w:type="dxa"/>
            <w:shd w:val="clear" w:color="auto" w:fill="EEECE1"/>
            <w:vAlign w:val="center"/>
          </w:tcPr>
          <w:p w14:paraId="3C71A307"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1A9865C1" w14:textId="77777777">
        <w:trPr>
          <w:jc w:val="center"/>
        </w:trPr>
        <w:tc>
          <w:tcPr>
            <w:tcW w:w="1206" w:type="dxa"/>
            <w:vAlign w:val="center"/>
          </w:tcPr>
          <w:p w14:paraId="78013D14" w14:textId="77777777" w:rsidR="00F5289E" w:rsidRDefault="00C91173">
            <w:pPr>
              <w:jc w:val="center"/>
              <w:rPr>
                <w:sz w:val="18"/>
                <w:szCs w:val="18"/>
              </w:rPr>
            </w:pPr>
            <w:r>
              <w:rPr>
                <w:sz w:val="18"/>
                <w:szCs w:val="18"/>
              </w:rPr>
              <w:t>19011136h01</w:t>
            </w:r>
          </w:p>
        </w:tc>
        <w:tc>
          <w:tcPr>
            <w:tcW w:w="2709" w:type="dxa"/>
            <w:vAlign w:val="center"/>
          </w:tcPr>
          <w:p w14:paraId="629129AA" w14:textId="77777777" w:rsidR="00F5289E" w:rsidRDefault="00C91173">
            <w:pPr>
              <w:jc w:val="center"/>
              <w:rPr>
                <w:color w:val="000000" w:themeColor="text1"/>
                <w:sz w:val="18"/>
                <w:szCs w:val="18"/>
              </w:rPr>
            </w:pPr>
            <w:r>
              <w:rPr>
                <w:rFonts w:hint="eastAsia"/>
                <w:color w:val="000000" w:themeColor="text1"/>
                <w:sz w:val="18"/>
                <w:szCs w:val="18"/>
              </w:rPr>
              <w:t>设施蔬菜标准园的规划</w:t>
            </w:r>
          </w:p>
        </w:tc>
        <w:tc>
          <w:tcPr>
            <w:tcW w:w="839" w:type="dxa"/>
            <w:vAlign w:val="center"/>
          </w:tcPr>
          <w:p w14:paraId="75F85345" w14:textId="77777777" w:rsidR="00F5289E" w:rsidRDefault="00C91173">
            <w:pPr>
              <w:jc w:val="center"/>
              <w:rPr>
                <w:sz w:val="18"/>
                <w:szCs w:val="18"/>
              </w:rPr>
            </w:pPr>
            <w:r>
              <w:rPr>
                <w:sz w:val="18"/>
                <w:szCs w:val="18"/>
              </w:rPr>
              <w:t>2</w:t>
            </w:r>
          </w:p>
        </w:tc>
        <w:tc>
          <w:tcPr>
            <w:tcW w:w="1015" w:type="dxa"/>
            <w:vAlign w:val="center"/>
          </w:tcPr>
          <w:p w14:paraId="529F6937" w14:textId="77777777" w:rsidR="00F5289E" w:rsidRDefault="00C91173">
            <w:pPr>
              <w:jc w:val="center"/>
              <w:rPr>
                <w:sz w:val="18"/>
                <w:szCs w:val="18"/>
              </w:rPr>
            </w:pPr>
            <w:r>
              <w:rPr>
                <w:rFonts w:hint="eastAsia"/>
                <w:sz w:val="18"/>
                <w:szCs w:val="18"/>
              </w:rPr>
              <w:t>综合性</w:t>
            </w:r>
          </w:p>
        </w:tc>
        <w:tc>
          <w:tcPr>
            <w:tcW w:w="1327" w:type="dxa"/>
            <w:vAlign w:val="center"/>
          </w:tcPr>
          <w:p w14:paraId="4894333A" w14:textId="77777777" w:rsidR="00F5289E" w:rsidRDefault="00C91173">
            <w:pPr>
              <w:jc w:val="center"/>
              <w:rPr>
                <w:sz w:val="18"/>
                <w:szCs w:val="18"/>
              </w:rPr>
            </w:pPr>
            <w:r>
              <w:rPr>
                <w:rFonts w:hint="eastAsia"/>
                <w:sz w:val="18"/>
                <w:szCs w:val="18"/>
              </w:rPr>
              <w:t>必做</w:t>
            </w:r>
          </w:p>
        </w:tc>
        <w:tc>
          <w:tcPr>
            <w:tcW w:w="1200" w:type="dxa"/>
          </w:tcPr>
          <w:p w14:paraId="787E2683" w14:textId="77777777" w:rsidR="00F5289E" w:rsidRDefault="00C91173">
            <w:pPr>
              <w:jc w:val="center"/>
              <w:rPr>
                <w:sz w:val="18"/>
                <w:szCs w:val="18"/>
              </w:rPr>
            </w:pPr>
            <w:r>
              <w:rPr>
                <w:rFonts w:hint="eastAsia"/>
                <w:sz w:val="18"/>
                <w:szCs w:val="18"/>
              </w:rPr>
              <w:t>5</w:t>
            </w:r>
          </w:p>
        </w:tc>
      </w:tr>
      <w:tr w:rsidR="00F5289E" w14:paraId="2C513A85" w14:textId="77777777">
        <w:trPr>
          <w:jc w:val="center"/>
        </w:trPr>
        <w:tc>
          <w:tcPr>
            <w:tcW w:w="1206" w:type="dxa"/>
            <w:vAlign w:val="center"/>
          </w:tcPr>
          <w:p w14:paraId="638461D2" w14:textId="77777777" w:rsidR="00F5289E" w:rsidRDefault="00C91173">
            <w:pPr>
              <w:rPr>
                <w:sz w:val="18"/>
                <w:szCs w:val="18"/>
              </w:rPr>
            </w:pPr>
            <w:r>
              <w:rPr>
                <w:sz w:val="18"/>
                <w:szCs w:val="18"/>
              </w:rPr>
              <w:t>19011136h02</w:t>
            </w:r>
          </w:p>
        </w:tc>
        <w:tc>
          <w:tcPr>
            <w:tcW w:w="2709" w:type="dxa"/>
            <w:vAlign w:val="center"/>
          </w:tcPr>
          <w:p w14:paraId="68A9A4C8" w14:textId="77777777" w:rsidR="00F5289E" w:rsidRDefault="00C91173">
            <w:pPr>
              <w:jc w:val="center"/>
              <w:rPr>
                <w:color w:val="000000" w:themeColor="text1"/>
                <w:sz w:val="18"/>
                <w:szCs w:val="18"/>
              </w:rPr>
            </w:pPr>
            <w:r>
              <w:rPr>
                <w:rFonts w:hint="eastAsia"/>
                <w:color w:val="000000" w:themeColor="text1"/>
                <w:sz w:val="18"/>
                <w:szCs w:val="18"/>
              </w:rPr>
              <w:t>现代农产品物流园的规划</w:t>
            </w:r>
          </w:p>
        </w:tc>
        <w:tc>
          <w:tcPr>
            <w:tcW w:w="839" w:type="dxa"/>
            <w:vAlign w:val="center"/>
          </w:tcPr>
          <w:p w14:paraId="4F237149" w14:textId="77777777" w:rsidR="00F5289E" w:rsidRDefault="00C91173">
            <w:pPr>
              <w:jc w:val="center"/>
              <w:rPr>
                <w:sz w:val="18"/>
                <w:szCs w:val="18"/>
              </w:rPr>
            </w:pPr>
            <w:r>
              <w:rPr>
                <w:sz w:val="18"/>
                <w:szCs w:val="18"/>
              </w:rPr>
              <w:t>2</w:t>
            </w:r>
          </w:p>
        </w:tc>
        <w:tc>
          <w:tcPr>
            <w:tcW w:w="1015" w:type="dxa"/>
            <w:vAlign w:val="center"/>
          </w:tcPr>
          <w:p w14:paraId="1DBDD530" w14:textId="77777777" w:rsidR="00F5289E" w:rsidRDefault="00C91173">
            <w:pPr>
              <w:jc w:val="center"/>
              <w:rPr>
                <w:sz w:val="18"/>
                <w:szCs w:val="18"/>
              </w:rPr>
            </w:pPr>
            <w:r>
              <w:rPr>
                <w:rFonts w:hint="eastAsia"/>
                <w:sz w:val="18"/>
                <w:szCs w:val="18"/>
              </w:rPr>
              <w:t>综合性</w:t>
            </w:r>
          </w:p>
        </w:tc>
        <w:tc>
          <w:tcPr>
            <w:tcW w:w="1327" w:type="dxa"/>
            <w:vAlign w:val="center"/>
          </w:tcPr>
          <w:p w14:paraId="16A859D9" w14:textId="77777777" w:rsidR="00F5289E" w:rsidRDefault="00C91173">
            <w:pPr>
              <w:jc w:val="center"/>
              <w:rPr>
                <w:sz w:val="18"/>
                <w:szCs w:val="18"/>
              </w:rPr>
            </w:pPr>
            <w:r>
              <w:rPr>
                <w:rFonts w:hint="eastAsia"/>
                <w:sz w:val="18"/>
                <w:szCs w:val="18"/>
              </w:rPr>
              <w:t>必做</w:t>
            </w:r>
          </w:p>
        </w:tc>
        <w:tc>
          <w:tcPr>
            <w:tcW w:w="1200" w:type="dxa"/>
          </w:tcPr>
          <w:p w14:paraId="538B9147" w14:textId="77777777" w:rsidR="00F5289E" w:rsidRDefault="00C91173">
            <w:pPr>
              <w:jc w:val="center"/>
              <w:rPr>
                <w:sz w:val="18"/>
                <w:szCs w:val="18"/>
              </w:rPr>
            </w:pPr>
            <w:r>
              <w:rPr>
                <w:sz w:val="18"/>
                <w:szCs w:val="18"/>
              </w:rPr>
              <w:t>5</w:t>
            </w:r>
          </w:p>
        </w:tc>
      </w:tr>
      <w:tr w:rsidR="00F5289E" w14:paraId="74BBDE64" w14:textId="77777777">
        <w:trPr>
          <w:jc w:val="center"/>
        </w:trPr>
        <w:tc>
          <w:tcPr>
            <w:tcW w:w="1206" w:type="dxa"/>
            <w:vAlign w:val="center"/>
          </w:tcPr>
          <w:p w14:paraId="433EBF1B" w14:textId="77777777" w:rsidR="00F5289E" w:rsidRDefault="00C91173">
            <w:pPr>
              <w:rPr>
                <w:sz w:val="18"/>
                <w:szCs w:val="18"/>
              </w:rPr>
            </w:pPr>
            <w:r>
              <w:rPr>
                <w:sz w:val="18"/>
                <w:szCs w:val="18"/>
              </w:rPr>
              <w:t>19011136h03</w:t>
            </w:r>
          </w:p>
        </w:tc>
        <w:tc>
          <w:tcPr>
            <w:tcW w:w="2709" w:type="dxa"/>
            <w:vAlign w:val="center"/>
          </w:tcPr>
          <w:p w14:paraId="593650E3" w14:textId="77777777" w:rsidR="00F5289E" w:rsidRDefault="00C91173">
            <w:pPr>
              <w:jc w:val="center"/>
              <w:rPr>
                <w:color w:val="000000" w:themeColor="text1"/>
                <w:sz w:val="18"/>
                <w:szCs w:val="18"/>
              </w:rPr>
            </w:pPr>
            <w:r>
              <w:rPr>
                <w:rFonts w:hint="eastAsia"/>
                <w:color w:val="000000" w:themeColor="text1"/>
                <w:sz w:val="18"/>
                <w:szCs w:val="18"/>
              </w:rPr>
              <w:t>生态休闲采摘园的规划</w:t>
            </w:r>
          </w:p>
        </w:tc>
        <w:tc>
          <w:tcPr>
            <w:tcW w:w="839" w:type="dxa"/>
            <w:vAlign w:val="center"/>
          </w:tcPr>
          <w:p w14:paraId="13CA0BC1" w14:textId="77777777" w:rsidR="00F5289E" w:rsidRDefault="00C91173">
            <w:pPr>
              <w:jc w:val="center"/>
              <w:rPr>
                <w:sz w:val="18"/>
                <w:szCs w:val="18"/>
              </w:rPr>
            </w:pPr>
            <w:r>
              <w:rPr>
                <w:rFonts w:hint="eastAsia"/>
                <w:sz w:val="18"/>
                <w:szCs w:val="18"/>
              </w:rPr>
              <w:t>4</w:t>
            </w:r>
          </w:p>
        </w:tc>
        <w:tc>
          <w:tcPr>
            <w:tcW w:w="1015" w:type="dxa"/>
            <w:vAlign w:val="center"/>
          </w:tcPr>
          <w:p w14:paraId="4931A52F" w14:textId="77777777" w:rsidR="00F5289E" w:rsidRDefault="00C91173">
            <w:pPr>
              <w:jc w:val="center"/>
              <w:rPr>
                <w:sz w:val="18"/>
                <w:szCs w:val="18"/>
              </w:rPr>
            </w:pPr>
            <w:r>
              <w:rPr>
                <w:rFonts w:hint="eastAsia"/>
                <w:sz w:val="18"/>
                <w:szCs w:val="18"/>
              </w:rPr>
              <w:t>综合性</w:t>
            </w:r>
          </w:p>
        </w:tc>
        <w:tc>
          <w:tcPr>
            <w:tcW w:w="1327" w:type="dxa"/>
            <w:vAlign w:val="center"/>
          </w:tcPr>
          <w:p w14:paraId="109ACD26" w14:textId="77777777" w:rsidR="00F5289E" w:rsidRDefault="00C91173">
            <w:pPr>
              <w:jc w:val="center"/>
              <w:rPr>
                <w:sz w:val="18"/>
                <w:szCs w:val="18"/>
              </w:rPr>
            </w:pPr>
            <w:r>
              <w:rPr>
                <w:rFonts w:hint="eastAsia"/>
                <w:sz w:val="18"/>
                <w:szCs w:val="18"/>
              </w:rPr>
              <w:t>必做</w:t>
            </w:r>
          </w:p>
        </w:tc>
        <w:tc>
          <w:tcPr>
            <w:tcW w:w="1200" w:type="dxa"/>
          </w:tcPr>
          <w:p w14:paraId="1DBCF2D0" w14:textId="77777777" w:rsidR="00F5289E" w:rsidRDefault="00C91173">
            <w:pPr>
              <w:jc w:val="center"/>
              <w:rPr>
                <w:sz w:val="18"/>
                <w:szCs w:val="18"/>
              </w:rPr>
            </w:pPr>
            <w:r>
              <w:rPr>
                <w:sz w:val="18"/>
                <w:szCs w:val="18"/>
              </w:rPr>
              <w:t>5</w:t>
            </w:r>
          </w:p>
        </w:tc>
      </w:tr>
    </w:tbl>
    <w:p w14:paraId="664F9172" w14:textId="77777777" w:rsidR="00F5289E" w:rsidRDefault="00F5289E">
      <w:pPr>
        <w:snapToGrid w:val="0"/>
        <w:spacing w:line="360" w:lineRule="auto"/>
        <w:rPr>
          <w:rFonts w:ascii="宋体" w:hAnsi="宋体"/>
          <w:b/>
          <w:bCs/>
          <w:szCs w:val="21"/>
        </w:rPr>
      </w:pPr>
    </w:p>
    <w:p w14:paraId="158BAAA4"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2A1E2275" w14:textId="77777777" w:rsidR="00F5289E" w:rsidRDefault="00C91173">
      <w:pPr>
        <w:snapToGrid w:val="0"/>
        <w:spacing w:line="360" w:lineRule="auto"/>
        <w:ind w:firstLineChars="200" w:firstLine="420"/>
        <w:rPr>
          <w:rFonts w:ascii="宋体" w:hAnsi="宋体"/>
          <w:b/>
          <w:bCs/>
          <w:szCs w:val="21"/>
        </w:rPr>
      </w:pPr>
      <w:r>
        <w:rPr>
          <w:rFonts w:ascii="宋体" w:hAnsi="宋体" w:hint="eastAsia"/>
          <w:bCs/>
          <w:szCs w:val="21"/>
        </w:rPr>
        <w:t>给出限制性条件，由学生自己收集素材，查阅资料，结合案例，完成规划及设计书的编制。</w:t>
      </w:r>
    </w:p>
    <w:p w14:paraId="611CA3EA" w14:textId="77777777" w:rsidR="00F5289E" w:rsidRDefault="00C91173">
      <w:pPr>
        <w:snapToGrid w:val="0"/>
        <w:spacing w:line="360" w:lineRule="auto"/>
        <w:rPr>
          <w:rFonts w:ascii="宋体" w:hAnsi="宋体"/>
          <w:b/>
          <w:szCs w:val="21"/>
        </w:rPr>
      </w:pPr>
      <w:r>
        <w:rPr>
          <w:rFonts w:ascii="宋体" w:hAnsi="宋体" w:hint="eastAsia"/>
          <w:b/>
          <w:szCs w:val="21"/>
        </w:rPr>
        <w:lastRenderedPageBreak/>
        <w:t>(六)实验内容安排</w:t>
      </w:r>
    </w:p>
    <w:p w14:paraId="22C937CE"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ascii="宋体" w:eastAsia="宋体" w:hAnsi="宋体" w:cs="宋体" w:hint="eastAsia"/>
          <w:b/>
          <w:sz w:val="21"/>
          <w:szCs w:val="21"/>
        </w:rPr>
        <w:t>一</w:t>
      </w:r>
      <w:r>
        <w:rPr>
          <w:rFonts w:hint="eastAsia"/>
          <w:b/>
          <w:sz w:val="21"/>
          <w:szCs w:val="21"/>
        </w:rPr>
        <w:t>】设施</w:t>
      </w:r>
      <w:r>
        <w:rPr>
          <w:b/>
          <w:sz w:val="21"/>
          <w:szCs w:val="21"/>
        </w:rPr>
        <w:t>蔬菜标准园的规划</w:t>
      </w:r>
    </w:p>
    <w:p w14:paraId="1C6E8D9D"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r>
        <w:rPr>
          <w:rFonts w:ascii="宋体" w:hAnsi="宋体" w:hint="eastAsia"/>
          <w:bCs/>
        </w:rPr>
        <w:t>学时</w:t>
      </w:r>
    </w:p>
    <w:p w14:paraId="583B8737"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cs="宋体" w:hint="eastAsia"/>
          <w:color w:val="363636"/>
          <w:kern w:val="0"/>
          <w:szCs w:val="21"/>
        </w:rPr>
        <w:t>掌握设施蔬菜标准园功能分区和科学布局。并赋予功能区内具体内容，绘制出设施蔬菜标准园总平面图。要求规划内容具体，规划方案可行，可操作性强。达到产业发展与景观美观的目标要求。</w:t>
      </w:r>
    </w:p>
    <w:p w14:paraId="7EBF383F"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cs="宋体" w:hint="eastAsia"/>
          <w:color w:val="363636"/>
          <w:kern w:val="0"/>
          <w:szCs w:val="21"/>
        </w:rPr>
        <w:t>借鉴某一具体的国家级蔬菜标准园（毛庄绿源现代农业生产基地），根据蔬菜标准园的特点与要求，进行整体布局的规划、功能分区及各功能区的具体规划与设计。</w:t>
      </w:r>
    </w:p>
    <w:p w14:paraId="08DDBEFA"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cs="宋体" w:hint="eastAsia"/>
          <w:color w:val="363636"/>
          <w:kern w:val="0"/>
          <w:szCs w:val="21"/>
        </w:rPr>
        <w:t>培养理论与实际结合的能力，以园区产业规划原理为指导，规划设施蔬菜标准园，培养规划设计的基本步骤和基本技能，培养规划能力与写作能力。</w:t>
      </w:r>
    </w:p>
    <w:p w14:paraId="3DF43A7D"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电脑及相关软件，制图工具。</w:t>
      </w:r>
    </w:p>
    <w:p w14:paraId="5D7493B1" w14:textId="77777777" w:rsidR="00F5289E" w:rsidRDefault="00F5289E">
      <w:pPr>
        <w:snapToGrid w:val="0"/>
        <w:spacing w:line="360" w:lineRule="auto"/>
        <w:rPr>
          <w:b/>
          <w:szCs w:val="21"/>
        </w:rPr>
      </w:pPr>
    </w:p>
    <w:p w14:paraId="5C52D5AD"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ascii="宋体" w:eastAsia="宋体" w:hAnsi="宋体" w:cs="宋体" w:hint="eastAsia"/>
          <w:b/>
          <w:sz w:val="21"/>
          <w:szCs w:val="21"/>
        </w:rPr>
        <w:t>二</w:t>
      </w:r>
      <w:r>
        <w:rPr>
          <w:rFonts w:hint="eastAsia"/>
          <w:b/>
          <w:sz w:val="21"/>
          <w:szCs w:val="21"/>
        </w:rPr>
        <w:t>】</w:t>
      </w:r>
      <w:r>
        <w:rPr>
          <w:b/>
          <w:sz w:val="21"/>
          <w:szCs w:val="21"/>
        </w:rPr>
        <w:t>现代农产品物流园的规划</w:t>
      </w:r>
    </w:p>
    <w:p w14:paraId="70DC28A8"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r>
        <w:rPr>
          <w:rFonts w:ascii="宋体" w:hAnsi="宋体" w:hint="eastAsia"/>
          <w:bCs/>
        </w:rPr>
        <w:t>学时</w:t>
      </w:r>
    </w:p>
    <w:p w14:paraId="4910BAEE"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cs="宋体" w:hint="eastAsia"/>
          <w:color w:val="363636"/>
          <w:kern w:val="0"/>
          <w:szCs w:val="21"/>
        </w:rPr>
        <w:t>掌握现代农产品物流园的物流流程、功能分区和科学布局。并赋予功能区内具体内容，绘制出现代农产品物流园总平面图。要求规划内容具体，规划方案可行，可操作性强。达到物流便捷与景观美观的目标要求。</w:t>
      </w:r>
    </w:p>
    <w:p w14:paraId="21E006B8"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cs="宋体" w:hint="eastAsia"/>
          <w:color w:val="363636"/>
          <w:kern w:val="0"/>
          <w:szCs w:val="21"/>
        </w:rPr>
        <w:t>借鉴某一具体的农产品物流园（寿光农产品物流园），根据物流园的特点与要求，进行整体布局的规划、功能分区及各功能区的具体规划与设计。</w:t>
      </w:r>
    </w:p>
    <w:p w14:paraId="2A6E748C"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cs="宋体" w:hint="eastAsia"/>
          <w:color w:val="363636"/>
          <w:kern w:val="0"/>
          <w:szCs w:val="21"/>
        </w:rPr>
        <w:t>培养理论与实际结合的能力，以园区规划原理为指导，规划现代农产品物流园，培养规划设计的基本步骤和基本技能，培养规划能力与写作能力。</w:t>
      </w:r>
    </w:p>
    <w:p w14:paraId="6A79DF12"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电脑及相关软件，制图工具。</w:t>
      </w:r>
    </w:p>
    <w:p w14:paraId="606FA8ED" w14:textId="77777777" w:rsidR="00F5289E" w:rsidRDefault="00F5289E">
      <w:pPr>
        <w:snapToGrid w:val="0"/>
        <w:spacing w:line="360" w:lineRule="auto"/>
        <w:rPr>
          <w:b/>
          <w:szCs w:val="21"/>
        </w:rPr>
      </w:pPr>
    </w:p>
    <w:p w14:paraId="36B081D0"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ascii="宋体" w:eastAsia="宋体" w:hAnsi="宋体" w:cs="宋体" w:hint="eastAsia"/>
          <w:b/>
          <w:sz w:val="21"/>
          <w:szCs w:val="21"/>
        </w:rPr>
        <w:t>三</w:t>
      </w:r>
      <w:r>
        <w:rPr>
          <w:rFonts w:hint="eastAsia"/>
          <w:b/>
          <w:sz w:val="21"/>
          <w:szCs w:val="21"/>
        </w:rPr>
        <w:t>】</w:t>
      </w:r>
      <w:r>
        <w:rPr>
          <w:rFonts w:ascii="Times New Roman" w:eastAsia="宋体" w:hAnsi="Times New Roman" w:cs="Times New Roman" w:hint="eastAsia"/>
          <w:b/>
          <w:kern w:val="2"/>
          <w:sz w:val="21"/>
          <w:szCs w:val="21"/>
        </w:rPr>
        <w:t>生态</w:t>
      </w:r>
      <w:r>
        <w:rPr>
          <w:rFonts w:ascii="Times New Roman" w:eastAsia="宋体" w:hAnsi="Times New Roman" w:cs="Times New Roman"/>
          <w:b/>
          <w:kern w:val="2"/>
          <w:sz w:val="21"/>
          <w:szCs w:val="21"/>
        </w:rPr>
        <w:t>休闲采摘园的规划</w:t>
      </w:r>
    </w:p>
    <w:p w14:paraId="2C70C9C0"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4学时</w:t>
      </w:r>
    </w:p>
    <w:p w14:paraId="7DF8A5A2"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cs="宋体" w:hint="eastAsia"/>
          <w:color w:val="363636"/>
          <w:kern w:val="0"/>
          <w:szCs w:val="21"/>
        </w:rPr>
        <w:t>掌握生态休闲采摘园的功能定位、功能分区和科学布局。并赋予功能区内具体内容，绘制出生态休闲采摘园总平面图。要求规划内容具体，规划方案可行，可操作性强。达到采摘体验、观光休闲与景观美观的目标要求。</w:t>
      </w:r>
    </w:p>
    <w:p w14:paraId="46F744B7"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cs="宋体" w:hint="eastAsia"/>
          <w:color w:val="363636"/>
          <w:kern w:val="0"/>
          <w:szCs w:val="21"/>
        </w:rPr>
        <w:t>借鉴某一具体的生态采摘园，根据采摘园的特点与要求，以瓜果或者蔬菜为主线进行整体布局的规划、功能分区及各功能区的具体规划与设计。</w:t>
      </w:r>
    </w:p>
    <w:p w14:paraId="17140CE8"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cs="宋体" w:hint="eastAsia"/>
          <w:color w:val="363636"/>
          <w:kern w:val="0"/>
          <w:szCs w:val="21"/>
        </w:rPr>
        <w:t>培养理论与实际结合的能力，以园区规划原理为指导，规划生态休闲采摘园，培养规划设计的基本步骤和基本技能，培养规划能力与写作能力。</w:t>
      </w:r>
    </w:p>
    <w:p w14:paraId="773FCD63"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电脑及相关软件，制图工具。</w:t>
      </w:r>
    </w:p>
    <w:p w14:paraId="65B73624" w14:textId="77777777" w:rsidR="00F5289E" w:rsidRDefault="00C91173">
      <w:pPr>
        <w:snapToGrid w:val="0"/>
        <w:spacing w:line="360" w:lineRule="auto"/>
        <w:rPr>
          <w:rFonts w:ascii="宋体" w:hAnsi="宋体"/>
          <w:b/>
          <w:bCs/>
          <w:szCs w:val="21"/>
        </w:rPr>
      </w:pPr>
      <w:r>
        <w:rPr>
          <w:rFonts w:ascii="宋体" w:hAnsi="宋体" w:hint="eastAsia"/>
          <w:b/>
          <w:bCs/>
          <w:szCs w:val="21"/>
        </w:rPr>
        <w:lastRenderedPageBreak/>
        <w:t>（七）考核方式及成绩评定</w:t>
      </w:r>
    </w:p>
    <w:p w14:paraId="40A4E190"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根据编制的规划及设计书给出成绩。</w:t>
      </w:r>
    </w:p>
    <w:p w14:paraId="106E2D07"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6DC2259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在课程思政教学中更要加强生态文明教育，引导学生树立和践行绿水青山就是金山银山的理念。要注重培养学生的“大国三农”情怀，引导学生以强农兴农为己任，“懂农业、爱农村、爱农民”，树立把论文写在祖国大地上的意识和信念，增强学生服务农业农村现代化、服务乡村全面振兴的使命感和责任感，培养知农爱农创新人才。如在进行园区规划设计及管理的过程中，就如同精心建造、呵护自己的家园，需要知识储备做支撑，并以严谨、科学的态度去完成，只有踏实付出了才能收获坚固不可摧的家园；利用所学知识建设家乡及其他需要发展的地区，设计建造符合当地区域发展的产业园区，响应国家政策，带动乡村振兴，为当地百姓带去更多的就业机会，将园艺技术应用于农业农村现代化，为国家发展贡献自己的力量。</w:t>
      </w:r>
    </w:p>
    <w:p w14:paraId="4C2990C3" w14:textId="77777777" w:rsidR="00F5289E" w:rsidRDefault="00C91173">
      <w:pPr>
        <w:snapToGrid w:val="0"/>
        <w:spacing w:line="360" w:lineRule="auto"/>
        <w:rPr>
          <w:rFonts w:ascii="宋体" w:hAnsi="宋体"/>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71A36094" w14:textId="77777777" w:rsidR="00F5289E" w:rsidRDefault="00C91173">
      <w:pPr>
        <w:adjustRightInd w:val="0"/>
        <w:snapToGrid w:val="0"/>
        <w:spacing w:line="360" w:lineRule="auto"/>
        <w:rPr>
          <w:b/>
          <w:bCs/>
          <w:kern w:val="0"/>
        </w:rPr>
      </w:pPr>
      <w:r>
        <w:rPr>
          <w:rFonts w:hint="eastAsia"/>
          <w:b/>
          <w:bCs/>
          <w:kern w:val="0"/>
        </w:rPr>
        <w:t>1</w:t>
      </w:r>
      <w:r>
        <w:rPr>
          <w:rFonts w:hint="eastAsia"/>
          <w:b/>
          <w:bCs/>
          <w:kern w:val="0"/>
        </w:rPr>
        <w:t>、选用教材：</w:t>
      </w:r>
    </w:p>
    <w:p w14:paraId="23BD0282" w14:textId="77777777" w:rsidR="00F5289E" w:rsidRDefault="00C91173">
      <w:pPr>
        <w:adjustRightInd w:val="0"/>
        <w:snapToGrid w:val="0"/>
        <w:spacing w:line="360" w:lineRule="auto"/>
        <w:rPr>
          <w:kern w:val="0"/>
        </w:rPr>
      </w:pPr>
      <w:r>
        <w:rPr>
          <w:rFonts w:hint="eastAsia"/>
          <w:kern w:val="0"/>
        </w:rPr>
        <w:t>（</w:t>
      </w:r>
      <w:r>
        <w:rPr>
          <w:rFonts w:hint="eastAsia"/>
          <w:kern w:val="0"/>
        </w:rPr>
        <w:t>1</w:t>
      </w:r>
      <w:r>
        <w:rPr>
          <w:rFonts w:hint="eastAsia"/>
          <w:kern w:val="0"/>
        </w:rPr>
        <w:t>）理论课教材：农业园区规划与管理</w:t>
      </w:r>
      <w:r>
        <w:rPr>
          <w:rFonts w:hint="eastAsia"/>
          <w:kern w:val="0"/>
        </w:rPr>
        <w:t xml:space="preserve">. </w:t>
      </w:r>
      <w:r>
        <w:rPr>
          <w:rFonts w:hint="eastAsia"/>
          <w:kern w:val="0"/>
        </w:rPr>
        <w:t>邹志荣主编</w:t>
      </w:r>
      <w:r>
        <w:rPr>
          <w:rFonts w:hint="eastAsia"/>
          <w:kern w:val="0"/>
        </w:rPr>
        <w:t xml:space="preserve">.  </w:t>
      </w:r>
      <w:r>
        <w:rPr>
          <w:rFonts w:hint="eastAsia"/>
          <w:kern w:val="0"/>
        </w:rPr>
        <w:t>中国农业出版社</w:t>
      </w:r>
      <w:r>
        <w:rPr>
          <w:rFonts w:hint="eastAsia"/>
          <w:kern w:val="0"/>
        </w:rPr>
        <w:t>. 2007.7</w:t>
      </w:r>
    </w:p>
    <w:p w14:paraId="2515E8B4" w14:textId="77777777" w:rsidR="00F5289E" w:rsidRDefault="00C91173">
      <w:pPr>
        <w:adjustRightInd w:val="0"/>
        <w:snapToGrid w:val="0"/>
        <w:spacing w:line="360" w:lineRule="auto"/>
        <w:rPr>
          <w:kern w:val="0"/>
        </w:rPr>
      </w:pPr>
      <w:r>
        <w:rPr>
          <w:rFonts w:hint="eastAsia"/>
          <w:kern w:val="0"/>
        </w:rPr>
        <w:t>（</w:t>
      </w:r>
      <w:r>
        <w:rPr>
          <w:rFonts w:hint="eastAsia"/>
          <w:kern w:val="0"/>
        </w:rPr>
        <w:t>2</w:t>
      </w:r>
      <w:r>
        <w:rPr>
          <w:rFonts w:hint="eastAsia"/>
          <w:kern w:val="0"/>
        </w:rPr>
        <w:t>）实验课教材：农业园区规划与管理</w:t>
      </w:r>
      <w:r>
        <w:rPr>
          <w:rFonts w:hint="eastAsia"/>
          <w:kern w:val="0"/>
        </w:rPr>
        <w:t xml:space="preserve">. </w:t>
      </w:r>
      <w:r>
        <w:rPr>
          <w:rFonts w:hint="eastAsia"/>
          <w:kern w:val="0"/>
        </w:rPr>
        <w:t>邹志荣主编</w:t>
      </w:r>
      <w:r>
        <w:rPr>
          <w:rFonts w:hint="eastAsia"/>
          <w:kern w:val="0"/>
        </w:rPr>
        <w:t xml:space="preserve">.  </w:t>
      </w:r>
      <w:r>
        <w:rPr>
          <w:rFonts w:hint="eastAsia"/>
          <w:kern w:val="0"/>
        </w:rPr>
        <w:t>中国农业出版社</w:t>
      </w:r>
      <w:r>
        <w:rPr>
          <w:rFonts w:hint="eastAsia"/>
          <w:kern w:val="0"/>
        </w:rPr>
        <w:t>. 2007.7</w:t>
      </w:r>
    </w:p>
    <w:p w14:paraId="548D1310" w14:textId="77777777" w:rsidR="00F5289E" w:rsidRDefault="00C91173">
      <w:pPr>
        <w:adjustRightInd w:val="0"/>
        <w:snapToGrid w:val="0"/>
        <w:spacing w:line="360" w:lineRule="auto"/>
        <w:rPr>
          <w:kern w:val="0"/>
        </w:rPr>
      </w:pPr>
      <w:r>
        <w:rPr>
          <w:rFonts w:hint="eastAsia"/>
          <w:kern w:val="0"/>
        </w:rPr>
        <w:t>（</w:t>
      </w:r>
      <w:r>
        <w:rPr>
          <w:rFonts w:hint="eastAsia"/>
          <w:kern w:val="0"/>
        </w:rPr>
        <w:t>3</w:t>
      </w:r>
      <w:r>
        <w:rPr>
          <w:rFonts w:hint="eastAsia"/>
          <w:kern w:val="0"/>
        </w:rPr>
        <w:t>）实习指导书：农业园区规划与管理</w:t>
      </w:r>
      <w:r>
        <w:rPr>
          <w:rFonts w:hint="eastAsia"/>
          <w:kern w:val="0"/>
        </w:rPr>
        <w:t xml:space="preserve">. </w:t>
      </w:r>
      <w:r>
        <w:rPr>
          <w:rFonts w:hint="eastAsia"/>
          <w:kern w:val="0"/>
        </w:rPr>
        <w:t>邹志荣主编</w:t>
      </w:r>
      <w:r>
        <w:rPr>
          <w:rFonts w:hint="eastAsia"/>
          <w:kern w:val="0"/>
        </w:rPr>
        <w:t xml:space="preserve">.  </w:t>
      </w:r>
      <w:r>
        <w:rPr>
          <w:rFonts w:hint="eastAsia"/>
          <w:kern w:val="0"/>
        </w:rPr>
        <w:t>中国农业出版社</w:t>
      </w:r>
      <w:r>
        <w:rPr>
          <w:rFonts w:hint="eastAsia"/>
          <w:kern w:val="0"/>
        </w:rPr>
        <w:t>. 2007.7</w:t>
      </w:r>
    </w:p>
    <w:p w14:paraId="43212634" w14:textId="77777777" w:rsidR="00F5289E" w:rsidRDefault="00C91173">
      <w:pPr>
        <w:adjustRightInd w:val="0"/>
        <w:snapToGrid w:val="0"/>
        <w:spacing w:line="360" w:lineRule="auto"/>
        <w:rPr>
          <w:b/>
          <w:bCs/>
          <w:kern w:val="0"/>
        </w:rPr>
      </w:pPr>
      <w:r>
        <w:rPr>
          <w:rFonts w:hint="eastAsia"/>
          <w:b/>
          <w:bCs/>
          <w:kern w:val="0"/>
        </w:rPr>
        <w:t>2</w:t>
      </w:r>
      <w:r>
        <w:rPr>
          <w:rFonts w:hint="eastAsia"/>
          <w:b/>
          <w:bCs/>
          <w:kern w:val="0"/>
        </w:rPr>
        <w:t>、参考书：</w:t>
      </w:r>
    </w:p>
    <w:p w14:paraId="69C3671D" w14:textId="77777777" w:rsidR="00F5289E" w:rsidRDefault="00C91173">
      <w:pPr>
        <w:adjustRightInd w:val="0"/>
        <w:snapToGrid w:val="0"/>
        <w:spacing w:line="360" w:lineRule="auto"/>
        <w:rPr>
          <w:kern w:val="0"/>
        </w:rPr>
      </w:pPr>
      <w:r>
        <w:rPr>
          <w:rFonts w:hint="eastAsia"/>
          <w:kern w:val="0"/>
        </w:rPr>
        <w:t>（</w:t>
      </w:r>
      <w:r>
        <w:rPr>
          <w:rFonts w:hint="eastAsia"/>
          <w:kern w:val="0"/>
        </w:rPr>
        <w:t>1</w:t>
      </w:r>
      <w:r>
        <w:rPr>
          <w:rFonts w:hint="eastAsia"/>
          <w:kern w:val="0"/>
        </w:rPr>
        <w:t>）现代农业园区规划与案例分析</w:t>
      </w:r>
      <w:r>
        <w:rPr>
          <w:rFonts w:hint="eastAsia"/>
          <w:kern w:val="0"/>
        </w:rPr>
        <w:t>.</w:t>
      </w:r>
      <w:r>
        <w:rPr>
          <w:rFonts w:hint="eastAsia"/>
          <w:kern w:val="0"/>
        </w:rPr>
        <w:t>张天柱</w:t>
      </w:r>
      <w:r>
        <w:rPr>
          <w:rFonts w:hint="eastAsia"/>
          <w:kern w:val="0"/>
        </w:rPr>
        <w:t xml:space="preserve"> </w:t>
      </w:r>
      <w:r>
        <w:rPr>
          <w:rFonts w:hint="eastAsia"/>
          <w:kern w:val="0"/>
        </w:rPr>
        <w:t>主编</w:t>
      </w:r>
      <w:r>
        <w:rPr>
          <w:rFonts w:hint="eastAsia"/>
          <w:kern w:val="0"/>
        </w:rPr>
        <w:t>.</w:t>
      </w:r>
      <w:r>
        <w:rPr>
          <w:rFonts w:hint="eastAsia"/>
          <w:kern w:val="0"/>
        </w:rPr>
        <w:t>中国轻工业出版社</w:t>
      </w:r>
      <w:r>
        <w:rPr>
          <w:rFonts w:hint="eastAsia"/>
          <w:kern w:val="0"/>
        </w:rPr>
        <w:t>.2008</w:t>
      </w:r>
      <w:r>
        <w:rPr>
          <w:rFonts w:hint="eastAsia"/>
          <w:kern w:val="0"/>
        </w:rPr>
        <w:t>年</w:t>
      </w:r>
    </w:p>
    <w:p w14:paraId="0857B5A8" w14:textId="77777777" w:rsidR="00F5289E" w:rsidRDefault="00C91173">
      <w:pPr>
        <w:adjustRightInd w:val="0"/>
        <w:snapToGrid w:val="0"/>
        <w:spacing w:line="360" w:lineRule="auto"/>
        <w:rPr>
          <w:kern w:val="0"/>
        </w:rPr>
      </w:pPr>
      <w:r>
        <w:rPr>
          <w:rFonts w:hint="eastAsia"/>
          <w:kern w:val="0"/>
        </w:rPr>
        <w:t>（</w:t>
      </w:r>
      <w:r>
        <w:rPr>
          <w:rFonts w:hint="eastAsia"/>
          <w:kern w:val="0"/>
        </w:rPr>
        <w:t>2</w:t>
      </w:r>
      <w:r>
        <w:rPr>
          <w:rFonts w:hint="eastAsia"/>
          <w:kern w:val="0"/>
        </w:rPr>
        <w:t>）休闲农业园区规划设计</w:t>
      </w:r>
      <w:r>
        <w:rPr>
          <w:rFonts w:hint="eastAsia"/>
          <w:kern w:val="0"/>
        </w:rPr>
        <w:t>.</w:t>
      </w:r>
      <w:r>
        <w:rPr>
          <w:rFonts w:hint="eastAsia"/>
          <w:kern w:val="0"/>
        </w:rPr>
        <w:t>郭焕成，吕明伟，任国柱</w:t>
      </w:r>
      <w:r>
        <w:rPr>
          <w:rFonts w:hint="eastAsia"/>
          <w:kern w:val="0"/>
        </w:rPr>
        <w:t xml:space="preserve"> </w:t>
      </w:r>
      <w:r>
        <w:rPr>
          <w:rFonts w:hint="eastAsia"/>
          <w:kern w:val="0"/>
        </w:rPr>
        <w:t>著</w:t>
      </w:r>
      <w:r>
        <w:rPr>
          <w:rFonts w:hint="eastAsia"/>
          <w:kern w:val="0"/>
        </w:rPr>
        <w:t>.</w:t>
      </w:r>
      <w:r>
        <w:rPr>
          <w:rFonts w:hint="eastAsia"/>
          <w:kern w:val="0"/>
        </w:rPr>
        <w:t>中国建筑工业出版社</w:t>
      </w:r>
      <w:r>
        <w:rPr>
          <w:rFonts w:hint="eastAsia"/>
          <w:kern w:val="0"/>
        </w:rPr>
        <w:t>.2007</w:t>
      </w:r>
      <w:r>
        <w:rPr>
          <w:rFonts w:hint="eastAsia"/>
          <w:kern w:val="0"/>
        </w:rPr>
        <w:t>年</w:t>
      </w:r>
      <w:r>
        <w:rPr>
          <w:rFonts w:hint="eastAsia"/>
          <w:kern w:val="0"/>
        </w:rPr>
        <w:t xml:space="preserve"> </w:t>
      </w:r>
    </w:p>
    <w:p w14:paraId="27E093A6" w14:textId="77777777" w:rsidR="00F5289E" w:rsidRDefault="00C91173">
      <w:pPr>
        <w:adjustRightInd w:val="0"/>
        <w:snapToGrid w:val="0"/>
        <w:spacing w:line="360" w:lineRule="auto"/>
        <w:rPr>
          <w:kern w:val="0"/>
        </w:rPr>
      </w:pPr>
      <w:r>
        <w:rPr>
          <w:rFonts w:hint="eastAsia"/>
          <w:kern w:val="0"/>
        </w:rPr>
        <w:t>（</w:t>
      </w:r>
      <w:r>
        <w:rPr>
          <w:rFonts w:hint="eastAsia"/>
          <w:kern w:val="0"/>
        </w:rPr>
        <w:t>3</w:t>
      </w:r>
      <w:r>
        <w:rPr>
          <w:rFonts w:hint="eastAsia"/>
          <w:kern w:val="0"/>
        </w:rPr>
        <w:t>）农业园区规划设计</w:t>
      </w:r>
      <w:r>
        <w:rPr>
          <w:rFonts w:hint="eastAsia"/>
          <w:kern w:val="0"/>
        </w:rPr>
        <w:t>.</w:t>
      </w:r>
      <w:r>
        <w:rPr>
          <w:rFonts w:hint="eastAsia"/>
          <w:kern w:val="0"/>
        </w:rPr>
        <w:t>王树进</w:t>
      </w:r>
      <w:r>
        <w:rPr>
          <w:rFonts w:hint="eastAsia"/>
          <w:kern w:val="0"/>
        </w:rPr>
        <w:t xml:space="preserve"> </w:t>
      </w:r>
      <w:r>
        <w:rPr>
          <w:rFonts w:hint="eastAsia"/>
          <w:kern w:val="0"/>
        </w:rPr>
        <w:t>编著</w:t>
      </w:r>
      <w:r>
        <w:rPr>
          <w:rFonts w:hint="eastAsia"/>
          <w:kern w:val="0"/>
        </w:rPr>
        <w:t>.</w:t>
      </w:r>
      <w:r>
        <w:rPr>
          <w:rFonts w:hint="eastAsia"/>
          <w:kern w:val="0"/>
        </w:rPr>
        <w:t>科学出版社</w:t>
      </w:r>
      <w:r>
        <w:rPr>
          <w:rFonts w:hint="eastAsia"/>
          <w:kern w:val="0"/>
        </w:rPr>
        <w:t>.2011</w:t>
      </w:r>
      <w:r>
        <w:rPr>
          <w:rFonts w:hint="eastAsia"/>
          <w:kern w:val="0"/>
        </w:rPr>
        <w:t>年</w:t>
      </w:r>
    </w:p>
    <w:p w14:paraId="6D8D01D2" w14:textId="77777777" w:rsidR="00F5289E" w:rsidRDefault="00C91173">
      <w:pPr>
        <w:adjustRightInd w:val="0"/>
        <w:snapToGrid w:val="0"/>
        <w:spacing w:line="360" w:lineRule="auto"/>
        <w:rPr>
          <w:kern w:val="0"/>
        </w:rPr>
      </w:pPr>
      <w:r>
        <w:rPr>
          <w:rFonts w:hint="eastAsia"/>
          <w:kern w:val="0"/>
        </w:rPr>
        <w:t>（</w:t>
      </w:r>
      <w:r>
        <w:rPr>
          <w:rFonts w:hint="eastAsia"/>
          <w:kern w:val="0"/>
        </w:rPr>
        <w:t>4</w:t>
      </w:r>
      <w:r>
        <w:rPr>
          <w:rFonts w:hint="eastAsia"/>
          <w:kern w:val="0"/>
        </w:rPr>
        <w:t>）现代农业园区规划与管理</w:t>
      </w:r>
      <w:r>
        <w:rPr>
          <w:rFonts w:hint="eastAsia"/>
          <w:kern w:val="0"/>
        </w:rPr>
        <w:t>.</w:t>
      </w:r>
      <w:r>
        <w:rPr>
          <w:rFonts w:hint="eastAsia"/>
          <w:kern w:val="0"/>
        </w:rPr>
        <w:t>蔡</w:t>
      </w:r>
      <w:r>
        <w:rPr>
          <w:rFonts w:hint="eastAsia"/>
          <w:kern w:val="0"/>
        </w:rPr>
        <w:t xml:space="preserve"> </w:t>
      </w:r>
      <w:r>
        <w:rPr>
          <w:rFonts w:hint="eastAsia"/>
          <w:kern w:val="0"/>
        </w:rPr>
        <w:t>飞著</w:t>
      </w:r>
      <w:r>
        <w:rPr>
          <w:rFonts w:hint="eastAsia"/>
          <w:kern w:val="0"/>
        </w:rPr>
        <w:t>.</w:t>
      </w:r>
      <w:r>
        <w:rPr>
          <w:rFonts w:hint="eastAsia"/>
          <w:kern w:val="0"/>
        </w:rPr>
        <w:t>西北工业大学出版社</w:t>
      </w:r>
      <w:r>
        <w:rPr>
          <w:rFonts w:hint="eastAsia"/>
          <w:kern w:val="0"/>
        </w:rPr>
        <w:t>.2015</w:t>
      </w:r>
      <w:r>
        <w:rPr>
          <w:rFonts w:hint="eastAsia"/>
          <w:kern w:val="0"/>
        </w:rPr>
        <w:t>年</w:t>
      </w:r>
    </w:p>
    <w:p w14:paraId="558BD02C" w14:textId="77777777" w:rsidR="00F5289E" w:rsidRDefault="00C91173">
      <w:pPr>
        <w:adjustRightInd w:val="0"/>
        <w:snapToGrid w:val="0"/>
        <w:spacing w:line="360" w:lineRule="auto"/>
        <w:rPr>
          <w:b/>
          <w:bCs/>
          <w:kern w:val="0"/>
        </w:rPr>
      </w:pPr>
      <w:r>
        <w:rPr>
          <w:rFonts w:hint="eastAsia"/>
          <w:b/>
          <w:bCs/>
          <w:kern w:val="0"/>
        </w:rPr>
        <w:t>3</w:t>
      </w:r>
      <w:r>
        <w:rPr>
          <w:rFonts w:hint="eastAsia"/>
          <w:b/>
          <w:bCs/>
          <w:kern w:val="0"/>
        </w:rPr>
        <w:t>、推荐网站：</w:t>
      </w:r>
    </w:p>
    <w:p w14:paraId="6FBDFDA0" w14:textId="77777777" w:rsidR="00F5289E" w:rsidRDefault="00C91173">
      <w:pPr>
        <w:adjustRightInd w:val="0"/>
        <w:snapToGrid w:val="0"/>
        <w:spacing w:line="360" w:lineRule="auto"/>
        <w:rPr>
          <w:kern w:val="0"/>
        </w:rPr>
      </w:pPr>
      <w:r>
        <w:rPr>
          <w:rFonts w:hint="eastAsia"/>
          <w:kern w:val="0"/>
        </w:rPr>
        <w:t>（</w:t>
      </w:r>
      <w:r>
        <w:rPr>
          <w:rFonts w:hint="eastAsia"/>
          <w:kern w:val="0"/>
        </w:rPr>
        <w:t>1</w:t>
      </w:r>
      <w:r>
        <w:rPr>
          <w:rFonts w:hint="eastAsia"/>
          <w:kern w:val="0"/>
        </w:rPr>
        <w:t>）网站名，网址：优鲜农业保鲜规划，微信号</w:t>
      </w:r>
      <w:proofErr w:type="spellStart"/>
      <w:r>
        <w:rPr>
          <w:rFonts w:hint="eastAsia"/>
          <w:kern w:val="0"/>
        </w:rPr>
        <w:t>cdufresh</w:t>
      </w:r>
      <w:proofErr w:type="spellEnd"/>
    </w:p>
    <w:p w14:paraId="66B7D490" w14:textId="77777777" w:rsidR="00F5289E" w:rsidRDefault="00C91173">
      <w:pPr>
        <w:adjustRightInd w:val="0"/>
        <w:snapToGrid w:val="0"/>
        <w:spacing w:line="360" w:lineRule="auto"/>
        <w:rPr>
          <w:kern w:val="0"/>
        </w:rPr>
      </w:pPr>
      <w:r>
        <w:rPr>
          <w:rFonts w:hint="eastAsia"/>
          <w:kern w:val="0"/>
        </w:rPr>
        <w:t>（</w:t>
      </w:r>
      <w:r>
        <w:rPr>
          <w:rFonts w:hint="eastAsia"/>
          <w:kern w:val="0"/>
        </w:rPr>
        <w:t>2</w:t>
      </w:r>
      <w:r>
        <w:rPr>
          <w:rFonts w:hint="eastAsia"/>
          <w:kern w:val="0"/>
        </w:rPr>
        <w:t>）网站名，网址</w:t>
      </w:r>
      <w:r>
        <w:rPr>
          <w:rFonts w:hint="eastAsia"/>
          <w:kern w:val="0"/>
        </w:rPr>
        <w:t xml:space="preserve"> </w:t>
      </w:r>
      <w:r>
        <w:rPr>
          <w:rFonts w:hint="eastAsia"/>
          <w:kern w:val="0"/>
        </w:rPr>
        <w:t>：南京休闲农业，微信号</w:t>
      </w:r>
      <w:proofErr w:type="spellStart"/>
      <w:r>
        <w:rPr>
          <w:rFonts w:hint="eastAsia"/>
          <w:kern w:val="0"/>
        </w:rPr>
        <w:t>njxxny</w:t>
      </w:r>
      <w:proofErr w:type="spellEnd"/>
    </w:p>
    <w:p w14:paraId="356298D1"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228D511C" w14:textId="77777777" w:rsidR="00F5289E" w:rsidRDefault="00C91173">
      <w:pPr>
        <w:widowControl/>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理论课及实验部分均</w:t>
      </w:r>
      <w:r>
        <w:rPr>
          <w:rFonts w:ascii="宋体" w:hAnsi="宋体"/>
          <w:color w:val="000000" w:themeColor="text1"/>
          <w:szCs w:val="21"/>
        </w:rPr>
        <w:t>需要多媒体</w:t>
      </w:r>
      <w:r>
        <w:rPr>
          <w:rFonts w:ascii="宋体" w:hAnsi="宋体" w:hint="eastAsia"/>
          <w:color w:val="000000" w:themeColor="text1"/>
          <w:szCs w:val="21"/>
        </w:rPr>
        <w:t>教室。</w:t>
      </w:r>
    </w:p>
    <w:p w14:paraId="226D6814"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5A3E96FD"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1.</w:t>
      </w:r>
      <w:r>
        <w:rPr>
          <w:rFonts w:hAnsi="宋体" w:hint="eastAsia"/>
          <w:b/>
          <w:bCs/>
          <w:kern w:val="0"/>
          <w:szCs w:val="21"/>
        </w:rPr>
        <w:t>过程性评价：</w:t>
      </w:r>
      <w:r>
        <w:rPr>
          <w:rFonts w:hAnsi="宋体"/>
          <w:bCs/>
          <w:kern w:val="0"/>
          <w:szCs w:val="21"/>
        </w:rPr>
        <w:t>课后作业、</w:t>
      </w:r>
      <w:r>
        <w:rPr>
          <w:rFonts w:hAnsi="宋体" w:hint="eastAsia"/>
          <w:bCs/>
          <w:kern w:val="0"/>
          <w:szCs w:val="21"/>
        </w:rPr>
        <w:t>课堂表现、</w:t>
      </w:r>
      <w:r>
        <w:rPr>
          <w:rFonts w:hAnsi="宋体"/>
          <w:bCs/>
          <w:kern w:val="0"/>
          <w:szCs w:val="21"/>
        </w:rPr>
        <w:t>实验报告、考勤等</w:t>
      </w:r>
      <w:r>
        <w:rPr>
          <w:rFonts w:hAnsi="宋体" w:hint="eastAsia"/>
          <w:bCs/>
          <w:kern w:val="0"/>
          <w:szCs w:val="21"/>
        </w:rPr>
        <w:t>，</w:t>
      </w:r>
      <w:r>
        <w:rPr>
          <w:rFonts w:hAnsi="宋体"/>
          <w:bCs/>
          <w:kern w:val="0"/>
          <w:szCs w:val="21"/>
        </w:rPr>
        <w:t>占</w:t>
      </w:r>
      <w:r>
        <w:rPr>
          <w:rFonts w:hAnsi="宋体" w:hint="eastAsia"/>
          <w:bCs/>
          <w:kern w:val="0"/>
          <w:szCs w:val="21"/>
        </w:rPr>
        <w:t>40</w:t>
      </w:r>
      <w:r>
        <w:rPr>
          <w:rFonts w:hAnsi="宋体"/>
          <w:bCs/>
          <w:kern w:val="0"/>
          <w:szCs w:val="21"/>
        </w:rPr>
        <w:t>%</w:t>
      </w:r>
      <w:r>
        <w:rPr>
          <w:rFonts w:hAnsi="宋体"/>
          <w:bCs/>
          <w:kern w:val="0"/>
          <w:szCs w:val="21"/>
        </w:rPr>
        <w:t>。</w:t>
      </w:r>
    </w:p>
    <w:p w14:paraId="2E334BF1" w14:textId="77777777" w:rsidR="00F5289E" w:rsidRDefault="00C91173">
      <w:pPr>
        <w:widowControl/>
        <w:snapToGrid w:val="0"/>
        <w:spacing w:line="360" w:lineRule="auto"/>
        <w:ind w:firstLine="420"/>
        <w:jc w:val="left"/>
        <w:rPr>
          <w:b/>
          <w:bCs/>
          <w:color w:val="000000" w:themeColor="text1"/>
          <w:kern w:val="0"/>
          <w:szCs w:val="21"/>
        </w:rPr>
      </w:pPr>
      <w:r>
        <w:rPr>
          <w:rFonts w:hAnsi="宋体" w:hint="eastAsia"/>
          <w:b/>
          <w:bCs/>
          <w:kern w:val="0"/>
          <w:szCs w:val="21"/>
        </w:rPr>
        <w:t>2.</w:t>
      </w:r>
      <w:r>
        <w:rPr>
          <w:rFonts w:hAnsi="宋体" w:hint="eastAsia"/>
          <w:b/>
          <w:bCs/>
          <w:kern w:val="0"/>
          <w:szCs w:val="21"/>
        </w:rPr>
        <w:t>终结性评价：</w:t>
      </w:r>
      <w:r>
        <w:rPr>
          <w:rFonts w:ascii="宋体" w:hAnsi="宋体" w:hint="eastAsia"/>
          <w:color w:val="000000" w:themeColor="text1"/>
        </w:rPr>
        <w:t>设计作品大赛，占</w:t>
      </w:r>
      <w:r>
        <w:rPr>
          <w:color w:val="000000" w:themeColor="text1"/>
        </w:rPr>
        <w:t>60%</w:t>
      </w:r>
      <w:r>
        <w:rPr>
          <w:color w:val="000000" w:themeColor="text1"/>
        </w:rPr>
        <w:t>。</w:t>
      </w:r>
    </w:p>
    <w:p w14:paraId="00F522D6" w14:textId="77777777" w:rsidR="00F5289E" w:rsidRDefault="00C91173">
      <w:pPr>
        <w:widowControl/>
        <w:snapToGrid w:val="0"/>
        <w:spacing w:line="360" w:lineRule="auto"/>
        <w:ind w:firstLine="420"/>
        <w:jc w:val="left"/>
        <w:rPr>
          <w:rFonts w:hAnsi="宋体"/>
          <w:bCs/>
          <w:color w:val="000000"/>
          <w:kern w:val="0"/>
          <w:szCs w:val="21"/>
        </w:rPr>
      </w:pPr>
      <w:r>
        <w:rPr>
          <w:rFonts w:hAnsi="宋体" w:hint="eastAsia"/>
          <w:b/>
          <w:bCs/>
          <w:kern w:val="0"/>
          <w:szCs w:val="21"/>
        </w:rPr>
        <w:t>3.</w:t>
      </w:r>
      <w:r>
        <w:rPr>
          <w:rFonts w:hAnsi="宋体" w:hint="eastAsia"/>
          <w:b/>
          <w:bCs/>
          <w:kern w:val="0"/>
          <w:szCs w:val="21"/>
        </w:rPr>
        <w:t>课程综合评价：</w:t>
      </w:r>
      <w:r>
        <w:rPr>
          <w:rFonts w:hAnsi="宋体" w:hint="eastAsia"/>
          <w:bCs/>
          <w:color w:val="000000"/>
          <w:kern w:val="0"/>
          <w:szCs w:val="21"/>
        </w:rPr>
        <w:t>综合成绩</w:t>
      </w:r>
      <w:r>
        <w:rPr>
          <w:rFonts w:hAnsi="宋体" w:hint="eastAsia"/>
          <w:bCs/>
          <w:color w:val="000000"/>
          <w:kern w:val="0"/>
          <w:szCs w:val="21"/>
        </w:rPr>
        <w:t>=</w:t>
      </w:r>
      <w:r>
        <w:rPr>
          <w:rFonts w:hAnsi="宋体" w:hint="eastAsia"/>
          <w:bCs/>
          <w:color w:val="000000"/>
          <w:kern w:val="0"/>
          <w:szCs w:val="21"/>
        </w:rPr>
        <w:t>期末成绩</w:t>
      </w:r>
      <w:r>
        <w:rPr>
          <w:rFonts w:hAnsi="宋体" w:hint="eastAsia"/>
          <w:bCs/>
          <w:color w:val="000000"/>
          <w:kern w:val="0"/>
          <w:szCs w:val="21"/>
        </w:rPr>
        <w:t>*60%+</w:t>
      </w:r>
      <w:r>
        <w:rPr>
          <w:rFonts w:hAnsi="宋体" w:hint="eastAsia"/>
          <w:bCs/>
          <w:color w:val="000000"/>
          <w:kern w:val="0"/>
          <w:szCs w:val="21"/>
        </w:rPr>
        <w:t>平时成绩</w:t>
      </w:r>
      <w:r>
        <w:rPr>
          <w:rFonts w:hAnsi="宋体" w:hint="eastAsia"/>
          <w:bCs/>
          <w:color w:val="000000"/>
          <w:kern w:val="0"/>
          <w:szCs w:val="21"/>
        </w:rPr>
        <w:t>*40%</w:t>
      </w:r>
    </w:p>
    <w:p w14:paraId="3A561FEE" w14:textId="06C5449C" w:rsidR="00F5289E" w:rsidRPr="00F63B33" w:rsidRDefault="00C91173" w:rsidP="00F63B33">
      <w:pPr>
        <w:widowControl/>
        <w:snapToGrid w:val="0"/>
        <w:spacing w:line="360" w:lineRule="auto"/>
        <w:ind w:firstLine="420"/>
        <w:jc w:val="left"/>
        <w:rPr>
          <w:rFonts w:ascii="宋体" w:hAnsi="宋体"/>
          <w:color w:val="000000"/>
          <w:szCs w:val="21"/>
        </w:rPr>
      </w:pPr>
      <w:r>
        <w:rPr>
          <w:rFonts w:hAnsi="宋体" w:hint="eastAsia"/>
          <w:bCs/>
          <w:color w:val="000000"/>
          <w:kern w:val="0"/>
          <w:szCs w:val="21"/>
        </w:rPr>
        <w:t>掌握</w:t>
      </w:r>
      <w:r>
        <w:rPr>
          <w:rFonts w:hAnsi="宋体"/>
          <w:bCs/>
          <w:color w:val="000000"/>
          <w:kern w:val="0"/>
          <w:szCs w:val="21"/>
        </w:rPr>
        <w:t>基本理论知识，了解本领域发展前沿</w:t>
      </w:r>
      <w:r>
        <w:rPr>
          <w:rFonts w:hAnsi="宋体" w:hint="eastAsia"/>
          <w:bCs/>
          <w:color w:val="000000"/>
          <w:kern w:val="0"/>
          <w:szCs w:val="21"/>
        </w:rPr>
        <w:t>，</w:t>
      </w:r>
      <w:r>
        <w:rPr>
          <w:rFonts w:hAnsi="宋体"/>
          <w:bCs/>
          <w:color w:val="000000"/>
          <w:kern w:val="0"/>
          <w:szCs w:val="21"/>
        </w:rPr>
        <w:t>能够</w:t>
      </w:r>
      <w:r>
        <w:rPr>
          <w:rFonts w:hAnsi="宋体" w:hint="eastAsia"/>
          <w:bCs/>
          <w:color w:val="000000"/>
          <w:kern w:val="0"/>
          <w:szCs w:val="21"/>
        </w:rPr>
        <w:t>从事规划并管理农业园区的相关工作</w:t>
      </w:r>
      <w:r>
        <w:rPr>
          <w:rFonts w:hAnsi="宋体"/>
          <w:bCs/>
          <w:color w:val="000000"/>
          <w:kern w:val="0"/>
          <w:szCs w:val="21"/>
        </w:rPr>
        <w:t>，具有一定的</w:t>
      </w:r>
      <w:r>
        <w:rPr>
          <w:rFonts w:hAnsi="宋体" w:hint="eastAsia"/>
          <w:bCs/>
          <w:color w:val="000000"/>
          <w:kern w:val="0"/>
          <w:szCs w:val="21"/>
        </w:rPr>
        <w:t>独立思考、</w:t>
      </w:r>
      <w:r>
        <w:rPr>
          <w:rFonts w:hAnsi="宋体"/>
          <w:bCs/>
          <w:color w:val="000000"/>
          <w:kern w:val="0"/>
          <w:szCs w:val="21"/>
        </w:rPr>
        <w:t>创新创造能力</w:t>
      </w:r>
      <w:r>
        <w:rPr>
          <w:rFonts w:hAnsi="宋体" w:hint="eastAsia"/>
          <w:bCs/>
          <w:color w:val="000000"/>
          <w:kern w:val="0"/>
          <w:szCs w:val="21"/>
        </w:rPr>
        <w:t>。</w:t>
      </w:r>
      <w:r>
        <w:rPr>
          <w:rFonts w:ascii="宋体" w:hAnsi="宋体" w:cs="Arial Unicode MS"/>
          <w:b/>
          <w:bCs/>
          <w:kern w:val="0"/>
          <w:sz w:val="72"/>
          <w:szCs w:val="72"/>
        </w:rPr>
        <w:br w:type="page"/>
      </w:r>
    </w:p>
    <w:p w14:paraId="1513B219" w14:textId="77777777" w:rsidR="00F5289E" w:rsidRDefault="00C91173" w:rsidP="00E73F67">
      <w:pPr>
        <w:pStyle w:val="1"/>
        <w:rPr>
          <w:szCs w:val="28"/>
        </w:rPr>
      </w:pPr>
      <w:bookmarkStart w:id="70" w:name="_Toc9790"/>
      <w:bookmarkStart w:id="71" w:name="_Toc138606245"/>
      <w:bookmarkStart w:id="72" w:name="_Hlk137762335"/>
      <w:bookmarkStart w:id="73" w:name="_Toc15865"/>
      <w:r>
        <w:rPr>
          <w:rFonts w:hint="eastAsia"/>
        </w:rPr>
        <w:lastRenderedPageBreak/>
        <w:t>设施</w:t>
      </w:r>
      <w:bookmarkEnd w:id="70"/>
      <w:r>
        <w:rPr>
          <w:rFonts w:hint="eastAsia"/>
        </w:rPr>
        <w:t>装备与智能化</w:t>
      </w:r>
      <w:bookmarkEnd w:id="71"/>
    </w:p>
    <w:bookmarkEnd w:id="72"/>
    <w:p w14:paraId="2FA42B3F" w14:textId="77777777" w:rsidR="00F5289E" w:rsidRDefault="00C91173" w:rsidP="00E73F67">
      <w:pPr>
        <w:shd w:val="solid" w:color="FFFFFF" w:fill="auto"/>
        <w:autoSpaceDN w:val="0"/>
        <w:spacing w:line="360" w:lineRule="auto"/>
        <w:jc w:val="center"/>
        <w:rPr>
          <w:bCs/>
          <w:iCs/>
          <w:sz w:val="24"/>
          <w:shd w:val="clear" w:color="auto" w:fill="FFFFFF"/>
        </w:rPr>
      </w:pPr>
      <w:r>
        <w:rPr>
          <w:bCs/>
          <w:iCs/>
          <w:sz w:val="24"/>
        </w:rPr>
        <w:t>（</w:t>
      </w:r>
      <w:r>
        <w:rPr>
          <w:rFonts w:hint="eastAsia"/>
          <w:bCs/>
          <w:iCs/>
          <w:sz w:val="24"/>
        </w:rPr>
        <w:t>Facility</w:t>
      </w:r>
      <w:r>
        <w:rPr>
          <w:bCs/>
          <w:iCs/>
          <w:sz w:val="24"/>
        </w:rPr>
        <w:t xml:space="preserve"> Equipment and Intellectualization</w:t>
      </w:r>
      <w:r>
        <w:rPr>
          <w:rFonts w:hint="eastAsia"/>
          <w:bCs/>
          <w:iCs/>
          <w:sz w:val="24"/>
        </w:rPr>
        <w:t>）</w:t>
      </w:r>
    </w:p>
    <w:p w14:paraId="481BD246" w14:textId="77777777" w:rsidR="00F5289E" w:rsidRDefault="00F5289E">
      <w:pPr>
        <w:shd w:val="solid" w:color="FFFFFF" w:fill="auto"/>
        <w:autoSpaceDN w:val="0"/>
        <w:spacing w:line="360" w:lineRule="auto"/>
        <w:ind w:right="369"/>
        <w:jc w:val="center"/>
        <w:rPr>
          <w:b/>
          <w:bCs/>
          <w:iCs/>
          <w:sz w:val="24"/>
        </w:rPr>
      </w:pPr>
    </w:p>
    <w:p w14:paraId="6E5E9EB8" w14:textId="77777777" w:rsidR="00F5289E" w:rsidRDefault="00C91173">
      <w:pPr>
        <w:snapToGrid w:val="0"/>
        <w:spacing w:line="360" w:lineRule="auto"/>
        <w:jc w:val="center"/>
        <w:rPr>
          <w:b/>
          <w:szCs w:val="21"/>
        </w:rPr>
      </w:pPr>
      <w:r>
        <w:rPr>
          <w:b/>
          <w:szCs w:val="21"/>
        </w:rPr>
        <w:t>课程基本信息</w:t>
      </w:r>
    </w:p>
    <w:p w14:paraId="3EFBEA23" w14:textId="77777777" w:rsidR="00F5289E" w:rsidRDefault="00F5289E">
      <w:pPr>
        <w:snapToGrid w:val="0"/>
        <w:spacing w:line="360" w:lineRule="auto"/>
        <w:jc w:val="center"/>
        <w:rPr>
          <w:b/>
          <w:szCs w:val="21"/>
        </w:rPr>
      </w:pPr>
    </w:p>
    <w:tbl>
      <w:tblPr>
        <w:tblW w:w="0" w:type="auto"/>
        <w:tblLayout w:type="fixed"/>
        <w:tblLook w:val="04A0" w:firstRow="1" w:lastRow="0" w:firstColumn="1" w:lastColumn="0" w:noHBand="0" w:noVBand="1"/>
      </w:tblPr>
      <w:tblGrid>
        <w:gridCol w:w="3038"/>
        <w:gridCol w:w="2649"/>
        <w:gridCol w:w="3429"/>
      </w:tblGrid>
      <w:tr w:rsidR="00F5289E" w14:paraId="0DB70B11" w14:textId="77777777">
        <w:tc>
          <w:tcPr>
            <w:tcW w:w="3038" w:type="dxa"/>
          </w:tcPr>
          <w:p w14:paraId="61520CC4" w14:textId="77777777" w:rsidR="00F5289E" w:rsidRDefault="00C91173">
            <w:pPr>
              <w:spacing w:line="300" w:lineRule="auto"/>
              <w:rPr>
                <w:b/>
                <w:bCs/>
                <w:szCs w:val="21"/>
              </w:rPr>
            </w:pPr>
            <w:r>
              <w:rPr>
                <w:b/>
                <w:bCs/>
                <w:szCs w:val="21"/>
              </w:rPr>
              <w:t>课程编号：</w:t>
            </w:r>
            <w:r>
              <w:rPr>
                <w:rFonts w:hint="eastAsia"/>
                <w:color w:val="000000" w:themeColor="text1"/>
                <w:szCs w:val="21"/>
              </w:rPr>
              <w:t>1</w:t>
            </w:r>
            <w:r>
              <w:rPr>
                <w:color w:val="000000" w:themeColor="text1"/>
                <w:szCs w:val="21"/>
              </w:rPr>
              <w:t>9011137h</w:t>
            </w:r>
          </w:p>
        </w:tc>
        <w:tc>
          <w:tcPr>
            <w:tcW w:w="2649" w:type="dxa"/>
          </w:tcPr>
          <w:p w14:paraId="23C0A30E" w14:textId="77777777" w:rsidR="00F5289E" w:rsidRDefault="00C91173">
            <w:pPr>
              <w:spacing w:line="300" w:lineRule="auto"/>
              <w:rPr>
                <w:b/>
                <w:bCs/>
                <w:szCs w:val="21"/>
              </w:rPr>
            </w:pPr>
            <w:r>
              <w:rPr>
                <w:b/>
                <w:bCs/>
                <w:szCs w:val="21"/>
              </w:rPr>
              <w:t>课程总学时：</w:t>
            </w:r>
            <w:r>
              <w:rPr>
                <w:color w:val="000000" w:themeColor="text1"/>
                <w:szCs w:val="21"/>
              </w:rPr>
              <w:t>32</w:t>
            </w:r>
          </w:p>
        </w:tc>
        <w:tc>
          <w:tcPr>
            <w:tcW w:w="3429" w:type="dxa"/>
          </w:tcPr>
          <w:p w14:paraId="303C207C" w14:textId="77777777" w:rsidR="00F5289E" w:rsidRDefault="00C91173">
            <w:pPr>
              <w:spacing w:line="300" w:lineRule="auto"/>
              <w:rPr>
                <w:b/>
                <w:bCs/>
                <w:szCs w:val="21"/>
              </w:rPr>
            </w:pPr>
            <w:r>
              <w:rPr>
                <w:b/>
                <w:bCs/>
                <w:szCs w:val="21"/>
              </w:rPr>
              <w:t>实验学时：</w:t>
            </w:r>
            <w:r>
              <w:rPr>
                <w:color w:val="000000" w:themeColor="text1"/>
                <w:szCs w:val="21"/>
              </w:rPr>
              <w:t>0</w:t>
            </w:r>
          </w:p>
        </w:tc>
      </w:tr>
      <w:tr w:rsidR="00F5289E" w14:paraId="3D99E334" w14:textId="77777777">
        <w:tc>
          <w:tcPr>
            <w:tcW w:w="3038" w:type="dxa"/>
          </w:tcPr>
          <w:p w14:paraId="423052BC" w14:textId="77777777" w:rsidR="00F5289E" w:rsidRDefault="00C91173">
            <w:pPr>
              <w:spacing w:line="300" w:lineRule="auto"/>
              <w:rPr>
                <w:b/>
                <w:bCs/>
                <w:color w:val="FF0000"/>
                <w:szCs w:val="21"/>
              </w:rPr>
            </w:pPr>
            <w:r>
              <w:rPr>
                <w:b/>
                <w:bCs/>
                <w:szCs w:val="21"/>
              </w:rPr>
              <w:t>课程性质：</w:t>
            </w:r>
            <w:r>
              <w:rPr>
                <w:rFonts w:hint="eastAsia"/>
                <w:color w:val="000000" w:themeColor="text1"/>
                <w:szCs w:val="21"/>
              </w:rPr>
              <w:t>必修</w:t>
            </w:r>
          </w:p>
        </w:tc>
        <w:tc>
          <w:tcPr>
            <w:tcW w:w="2649" w:type="dxa"/>
          </w:tcPr>
          <w:p w14:paraId="52E2BBAE" w14:textId="77777777" w:rsidR="00F5289E" w:rsidRDefault="00C91173">
            <w:pPr>
              <w:spacing w:line="300" w:lineRule="auto"/>
              <w:rPr>
                <w:b/>
                <w:bCs/>
                <w:color w:val="FF0000"/>
                <w:szCs w:val="21"/>
              </w:rPr>
            </w:pPr>
            <w:r>
              <w:rPr>
                <w:b/>
                <w:szCs w:val="21"/>
              </w:rPr>
              <w:t>课程属性</w:t>
            </w:r>
            <w:r>
              <w:rPr>
                <w:b/>
                <w:szCs w:val="21"/>
              </w:rPr>
              <w:t xml:space="preserve">: </w:t>
            </w:r>
            <w:r>
              <w:rPr>
                <w:rFonts w:hint="eastAsia"/>
                <w:color w:val="000000" w:themeColor="text1"/>
                <w:szCs w:val="21"/>
              </w:rPr>
              <w:t>专业类</w:t>
            </w:r>
          </w:p>
        </w:tc>
        <w:tc>
          <w:tcPr>
            <w:tcW w:w="3429" w:type="dxa"/>
          </w:tcPr>
          <w:p w14:paraId="5F46E3B1" w14:textId="77777777" w:rsidR="00F5289E" w:rsidRDefault="00C91173">
            <w:pPr>
              <w:spacing w:line="300" w:lineRule="auto"/>
              <w:rPr>
                <w:b/>
                <w:bCs/>
                <w:szCs w:val="21"/>
              </w:rPr>
            </w:pPr>
            <w:r>
              <w:rPr>
                <w:b/>
                <w:bCs/>
                <w:szCs w:val="21"/>
              </w:rPr>
              <w:t>开设学期：</w:t>
            </w:r>
            <w:r>
              <w:rPr>
                <w:color w:val="000000" w:themeColor="text1"/>
                <w:szCs w:val="21"/>
              </w:rPr>
              <w:t>第</w:t>
            </w:r>
            <w:r>
              <w:rPr>
                <w:rFonts w:hint="eastAsia"/>
                <w:color w:val="000000" w:themeColor="text1"/>
                <w:szCs w:val="21"/>
              </w:rPr>
              <w:t>5</w:t>
            </w:r>
            <w:r>
              <w:rPr>
                <w:color w:val="000000" w:themeColor="text1"/>
                <w:szCs w:val="21"/>
              </w:rPr>
              <w:t>学期</w:t>
            </w:r>
          </w:p>
        </w:tc>
      </w:tr>
    </w:tbl>
    <w:p w14:paraId="53AE1CED" w14:textId="77777777" w:rsidR="00F5289E" w:rsidRDefault="00F5289E">
      <w:pPr>
        <w:rPr>
          <w:vanish/>
        </w:rPr>
      </w:pPr>
    </w:p>
    <w:tbl>
      <w:tblPr>
        <w:tblW w:w="9116" w:type="dxa"/>
        <w:tblBorders>
          <w:insideH w:val="single" w:sz="4" w:space="0" w:color="auto"/>
          <w:insideV w:val="single" w:sz="4" w:space="0" w:color="auto"/>
        </w:tblBorders>
        <w:tblLayout w:type="fixed"/>
        <w:tblLook w:val="04A0" w:firstRow="1" w:lastRow="0" w:firstColumn="1" w:lastColumn="0" w:noHBand="0" w:noVBand="1"/>
      </w:tblPr>
      <w:tblGrid>
        <w:gridCol w:w="3038"/>
        <w:gridCol w:w="2740"/>
        <w:gridCol w:w="3338"/>
      </w:tblGrid>
      <w:tr w:rsidR="00F5289E" w14:paraId="458EA545" w14:textId="77777777">
        <w:tc>
          <w:tcPr>
            <w:tcW w:w="3038" w:type="dxa"/>
            <w:tcBorders>
              <w:top w:val="nil"/>
              <w:left w:val="nil"/>
              <w:bottom w:val="nil"/>
              <w:right w:val="nil"/>
            </w:tcBorders>
          </w:tcPr>
          <w:p w14:paraId="5998A489" w14:textId="77777777" w:rsidR="00F5289E" w:rsidRDefault="00C91173">
            <w:pPr>
              <w:spacing w:line="300" w:lineRule="auto"/>
              <w:rPr>
                <w:rFonts w:ascii="宋体" w:eastAsia="Times New Roman" w:hAnsi="宋体"/>
                <w:b/>
                <w:bCs/>
                <w:szCs w:val="21"/>
              </w:rPr>
            </w:pPr>
            <w:proofErr w:type="spellStart"/>
            <w:r>
              <w:rPr>
                <w:rFonts w:ascii="宋体" w:eastAsia="Times New Roman" w:hAnsi="宋体" w:hint="eastAsia"/>
                <w:b/>
                <w:bCs/>
              </w:rPr>
              <w:t>课程负责人</w:t>
            </w:r>
            <w:proofErr w:type="spellEnd"/>
            <w:r>
              <w:rPr>
                <w:rFonts w:ascii="宋体" w:eastAsia="Times New Roman" w:hAnsi="宋体" w:hint="eastAsia"/>
                <w:b/>
                <w:bCs/>
              </w:rPr>
              <w:t>：</w:t>
            </w:r>
            <w:r>
              <w:rPr>
                <w:rFonts w:ascii="宋体" w:hAnsi="宋体" w:cs="宋体" w:hint="eastAsia"/>
                <w:color w:val="000000" w:themeColor="text1"/>
              </w:rPr>
              <w:t>国志信</w:t>
            </w:r>
          </w:p>
        </w:tc>
        <w:tc>
          <w:tcPr>
            <w:tcW w:w="2740" w:type="dxa"/>
            <w:tcBorders>
              <w:top w:val="nil"/>
              <w:left w:val="nil"/>
              <w:bottom w:val="nil"/>
              <w:right w:val="nil"/>
            </w:tcBorders>
          </w:tcPr>
          <w:p w14:paraId="4FECFFF3" w14:textId="77777777" w:rsidR="00F5289E" w:rsidRDefault="00C91173">
            <w:pPr>
              <w:spacing w:line="300" w:lineRule="auto"/>
              <w:jc w:val="left"/>
              <w:rPr>
                <w:rFonts w:ascii="宋体" w:hAnsi="宋体"/>
                <w:b/>
                <w:bCs/>
              </w:rPr>
            </w:pPr>
            <w:proofErr w:type="spellStart"/>
            <w:r>
              <w:rPr>
                <w:rFonts w:ascii="宋体" w:eastAsia="Times New Roman" w:hAnsi="宋体" w:hint="eastAsia"/>
                <w:b/>
                <w:bCs/>
              </w:rPr>
              <w:t>课程团队</w:t>
            </w:r>
            <w:proofErr w:type="spellEnd"/>
            <w:r>
              <w:rPr>
                <w:rFonts w:ascii="宋体" w:eastAsia="Times New Roman" w:hAnsi="宋体" w:hint="eastAsia"/>
                <w:b/>
                <w:bCs/>
              </w:rPr>
              <w:t>：</w:t>
            </w:r>
            <w:r>
              <w:rPr>
                <w:rFonts w:ascii="宋体" w:hAnsi="宋体" w:cs="宋体" w:hint="eastAsia"/>
                <w:color w:val="000000" w:themeColor="text1"/>
              </w:rPr>
              <w:t>国志信，董韩</w:t>
            </w:r>
          </w:p>
        </w:tc>
        <w:tc>
          <w:tcPr>
            <w:tcW w:w="3338" w:type="dxa"/>
            <w:tcBorders>
              <w:top w:val="nil"/>
              <w:left w:val="nil"/>
              <w:bottom w:val="nil"/>
              <w:right w:val="nil"/>
            </w:tcBorders>
          </w:tcPr>
          <w:p w14:paraId="5223E17F" w14:textId="77777777" w:rsidR="00F5289E" w:rsidRDefault="00C91173">
            <w:pPr>
              <w:spacing w:line="300" w:lineRule="auto"/>
              <w:jc w:val="left"/>
              <w:rPr>
                <w:rFonts w:ascii="宋体" w:eastAsia="Times New Roman" w:hAnsi="宋体"/>
                <w:b/>
                <w:bCs/>
              </w:rPr>
            </w:pPr>
            <w:proofErr w:type="spellStart"/>
            <w:r>
              <w:rPr>
                <w:rFonts w:ascii="宋体" w:eastAsia="Times New Roman" w:hAnsi="宋体" w:hint="eastAsia"/>
                <w:b/>
                <w:bCs/>
              </w:rPr>
              <w:t>授课语言</w:t>
            </w:r>
            <w:proofErr w:type="spellEnd"/>
            <w:r>
              <w:rPr>
                <w:rFonts w:ascii="宋体" w:eastAsia="Times New Roman" w:hAnsi="宋体" w:hint="eastAsia"/>
                <w:b/>
                <w:bCs/>
              </w:rPr>
              <w:t>：</w:t>
            </w:r>
            <w:r>
              <w:rPr>
                <w:rFonts w:ascii="宋体" w:hAnsi="宋体" w:cs="宋体" w:hint="eastAsia"/>
                <w:color w:val="000000" w:themeColor="text1"/>
              </w:rPr>
              <w:t>中文</w:t>
            </w:r>
          </w:p>
        </w:tc>
      </w:tr>
    </w:tbl>
    <w:p w14:paraId="0C6723A2" w14:textId="77777777" w:rsidR="00F5289E" w:rsidRDefault="00F5289E">
      <w:pPr>
        <w:rPr>
          <w:vanish/>
        </w:rPr>
      </w:pPr>
    </w:p>
    <w:tbl>
      <w:tblPr>
        <w:tblW w:w="9116" w:type="dxa"/>
        <w:tblLayout w:type="fixed"/>
        <w:tblLook w:val="04A0" w:firstRow="1" w:lastRow="0" w:firstColumn="1" w:lastColumn="0" w:noHBand="0" w:noVBand="1"/>
      </w:tblPr>
      <w:tblGrid>
        <w:gridCol w:w="3038"/>
        <w:gridCol w:w="2649"/>
        <w:gridCol w:w="3429"/>
      </w:tblGrid>
      <w:tr w:rsidR="00F5289E" w14:paraId="7341F783" w14:textId="77777777">
        <w:tc>
          <w:tcPr>
            <w:tcW w:w="9116" w:type="dxa"/>
            <w:gridSpan w:val="3"/>
          </w:tcPr>
          <w:p w14:paraId="6BCEAFFA" w14:textId="77777777" w:rsidR="00F5289E" w:rsidRDefault="00C91173">
            <w:pPr>
              <w:spacing w:line="300" w:lineRule="auto"/>
              <w:rPr>
                <w:b/>
                <w:bCs/>
                <w:szCs w:val="21"/>
              </w:rPr>
            </w:pPr>
            <w:r>
              <w:rPr>
                <w:b/>
                <w:bCs/>
                <w:szCs w:val="21"/>
              </w:rPr>
              <w:t>适用专业：</w:t>
            </w:r>
            <w:r>
              <w:rPr>
                <w:rFonts w:hint="eastAsia"/>
                <w:color w:val="000000" w:themeColor="text1"/>
                <w:szCs w:val="21"/>
              </w:rPr>
              <w:t>设施园艺学</w:t>
            </w:r>
          </w:p>
        </w:tc>
      </w:tr>
      <w:tr w:rsidR="00F5289E" w14:paraId="0A9F9B82" w14:textId="77777777">
        <w:tc>
          <w:tcPr>
            <w:tcW w:w="9116" w:type="dxa"/>
            <w:gridSpan w:val="3"/>
          </w:tcPr>
          <w:p w14:paraId="44C159CC" w14:textId="77777777" w:rsidR="00F5289E" w:rsidRDefault="00C91173">
            <w:pPr>
              <w:rPr>
                <w:b/>
                <w:bCs/>
                <w:szCs w:val="21"/>
              </w:rPr>
            </w:pPr>
            <w:r>
              <w:rPr>
                <w:rFonts w:ascii="宋体" w:hAnsi="宋体" w:hint="eastAsia"/>
                <w:b/>
                <w:bCs/>
              </w:rPr>
              <w:t>对先修的要求：</w:t>
            </w:r>
            <w:r>
              <w:rPr>
                <w:rFonts w:ascii="宋体" w:hAnsi="宋体" w:hint="eastAsia"/>
                <w:color w:val="000000" w:themeColor="text1"/>
              </w:rPr>
              <w:t>设施园艺学</w:t>
            </w:r>
            <w:r>
              <w:rPr>
                <w:color w:val="000000" w:themeColor="text1"/>
                <w:szCs w:val="21"/>
              </w:rPr>
              <w:t>、植物生理学</w:t>
            </w:r>
          </w:p>
          <w:p w14:paraId="489EAEAA" w14:textId="77777777" w:rsidR="00F5289E" w:rsidRDefault="00C91173">
            <w:pPr>
              <w:spacing w:line="300" w:lineRule="auto"/>
              <w:rPr>
                <w:b/>
                <w:bCs/>
                <w:szCs w:val="21"/>
              </w:rPr>
            </w:pPr>
            <w:r>
              <w:rPr>
                <w:rFonts w:hint="eastAsia"/>
                <w:b/>
                <w:bCs/>
                <w:szCs w:val="21"/>
              </w:rPr>
              <w:t>对后续的支撑：</w:t>
            </w:r>
            <w:r>
              <w:rPr>
                <w:rFonts w:hint="eastAsia"/>
                <w:color w:val="000000" w:themeColor="text1"/>
                <w:szCs w:val="21"/>
              </w:rPr>
              <w:t xml:space="preserve"> </w:t>
            </w:r>
            <w:r>
              <w:rPr>
                <w:rFonts w:hint="eastAsia"/>
                <w:color w:val="000000" w:themeColor="text1"/>
                <w:szCs w:val="21"/>
              </w:rPr>
              <w:t>对后续的《智慧园艺》、《创意农业》等选修课程中的育苗设施、栽培设施类型及管理技术要点提供理论和技术支撑。</w:t>
            </w:r>
          </w:p>
        </w:tc>
      </w:tr>
      <w:tr w:rsidR="00F5289E" w14:paraId="04B944CD" w14:textId="77777777">
        <w:tc>
          <w:tcPr>
            <w:tcW w:w="3038" w:type="dxa"/>
          </w:tcPr>
          <w:p w14:paraId="281D8559" w14:textId="77777777" w:rsidR="00F5289E" w:rsidRDefault="00C91173">
            <w:pPr>
              <w:spacing w:line="300" w:lineRule="auto"/>
              <w:rPr>
                <w:b/>
                <w:bCs/>
                <w:szCs w:val="21"/>
              </w:rPr>
            </w:pPr>
            <w:r>
              <w:rPr>
                <w:b/>
                <w:bCs/>
                <w:szCs w:val="21"/>
              </w:rPr>
              <w:t>主撰人：</w:t>
            </w:r>
            <w:r>
              <w:rPr>
                <w:rFonts w:hint="eastAsia"/>
                <w:color w:val="000000" w:themeColor="text1"/>
                <w:szCs w:val="21"/>
              </w:rPr>
              <w:t>董韩</w:t>
            </w:r>
          </w:p>
        </w:tc>
        <w:tc>
          <w:tcPr>
            <w:tcW w:w="2649" w:type="dxa"/>
          </w:tcPr>
          <w:p w14:paraId="0F9166E0" w14:textId="77777777" w:rsidR="00F5289E" w:rsidRDefault="00C91173">
            <w:pPr>
              <w:spacing w:line="300" w:lineRule="auto"/>
              <w:rPr>
                <w:b/>
                <w:bCs/>
                <w:szCs w:val="21"/>
              </w:rPr>
            </w:pPr>
            <w:r>
              <w:rPr>
                <w:b/>
                <w:bCs/>
                <w:szCs w:val="21"/>
              </w:rPr>
              <w:t>审核人：</w:t>
            </w:r>
            <w:r>
              <w:rPr>
                <w:rFonts w:hint="eastAsia"/>
                <w:color w:val="000000" w:themeColor="text1"/>
                <w:szCs w:val="21"/>
              </w:rPr>
              <w:t>国志信</w:t>
            </w:r>
          </w:p>
        </w:tc>
        <w:tc>
          <w:tcPr>
            <w:tcW w:w="3429" w:type="dxa"/>
          </w:tcPr>
          <w:p w14:paraId="5824540C" w14:textId="77777777" w:rsidR="00F5289E" w:rsidRDefault="00C91173">
            <w:pPr>
              <w:spacing w:line="300" w:lineRule="auto"/>
              <w:rPr>
                <w:b/>
                <w:bCs/>
                <w:szCs w:val="21"/>
              </w:rPr>
            </w:pPr>
            <w:r>
              <w:rPr>
                <w:b/>
                <w:bCs/>
                <w:szCs w:val="21"/>
              </w:rPr>
              <w:t>大纲制定（修订）日期</w:t>
            </w:r>
            <w:r>
              <w:rPr>
                <w:rFonts w:hint="eastAsia"/>
                <w:b/>
                <w:bCs/>
                <w:szCs w:val="21"/>
              </w:rPr>
              <w:t>：</w:t>
            </w:r>
            <w:r>
              <w:rPr>
                <w:color w:val="000000" w:themeColor="text1"/>
                <w:szCs w:val="21"/>
              </w:rPr>
              <w:t>2023.05</w:t>
            </w:r>
          </w:p>
        </w:tc>
      </w:tr>
    </w:tbl>
    <w:p w14:paraId="52912A4A" w14:textId="77777777" w:rsidR="00F5289E" w:rsidRDefault="00F5289E">
      <w:pPr>
        <w:widowControl/>
        <w:snapToGrid w:val="0"/>
        <w:spacing w:line="360" w:lineRule="auto"/>
        <w:jc w:val="left"/>
        <w:rPr>
          <w:b/>
          <w:bCs/>
          <w:kern w:val="0"/>
          <w:szCs w:val="21"/>
        </w:rPr>
      </w:pPr>
    </w:p>
    <w:p w14:paraId="26102D1B" w14:textId="77777777" w:rsidR="00F5289E" w:rsidRDefault="00C91173">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14:paraId="559F1E94" w14:textId="77777777" w:rsidR="00F5289E" w:rsidRDefault="00C91173">
      <w:pPr>
        <w:spacing w:line="360" w:lineRule="auto"/>
        <w:ind w:firstLineChars="200" w:firstLine="420"/>
        <w:rPr>
          <w:color w:val="262600"/>
        </w:rPr>
      </w:pPr>
      <w:r>
        <w:rPr>
          <w:color w:val="262600"/>
        </w:rPr>
        <w:t>《</w:t>
      </w:r>
      <w:r>
        <w:rPr>
          <w:rFonts w:hint="eastAsia"/>
          <w:color w:val="262600"/>
        </w:rPr>
        <w:t>设施装备与智能化</w:t>
      </w:r>
      <w:r>
        <w:rPr>
          <w:color w:val="262600"/>
        </w:rPr>
        <w:t>》是园艺作物设施生产的一门基础理论与应用技术相结合的科学。</w:t>
      </w:r>
      <w:r>
        <w:rPr>
          <w:rFonts w:hint="eastAsia"/>
          <w:color w:val="262600"/>
        </w:rPr>
        <w:t>是</w:t>
      </w:r>
      <w:r>
        <w:rPr>
          <w:color w:val="262600"/>
        </w:rPr>
        <w:t>一门集</w:t>
      </w:r>
      <w:r>
        <w:rPr>
          <w:rFonts w:hint="eastAsia"/>
          <w:color w:val="262600"/>
        </w:rPr>
        <w:t>现代</w:t>
      </w:r>
      <w:r>
        <w:rPr>
          <w:color w:val="262600"/>
        </w:rPr>
        <w:t>园艺科学、环境工程科学、信息技术科学和现代农业经济科学等为一体的多学科交叉的综合学科领域。</w:t>
      </w:r>
      <w:r>
        <w:rPr>
          <w:rFonts w:hint="eastAsia"/>
          <w:color w:val="262600"/>
        </w:rPr>
        <w:t>是设施农业与工程专业的专业深化类课程。通过课堂教学，使学生能了解设施农业装备及信息化的基本概念和特点，了解设施农业装备与信息化产业在农业及农业现代化中的地位及作用，了解国内外设施农业装备与信息发展概况和趋势；学习设施农业机械化生产的类型、种类、性能和基础理论；掌握整地、播种、育苗、移栽、植保、灌溉、采收、物流等机械化装备的类型、结构与性能；掌握植保无人机、智慧灌溉、水肥一体化、智慧农业、农业机器人、植物工厂等的概念、类型和技术要点；能够灵活运用设施农业装备的基本理论，能够因地制宜选用合适的农机、农艺和农业技术、实现我国设施农业的机械化、智能化、自动化、信息化发展；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为学生将从事园艺作物设施栽培生产实践打下基础。</w:t>
      </w:r>
    </w:p>
    <w:p w14:paraId="5464EF54" w14:textId="77777777" w:rsidR="00F5289E" w:rsidRDefault="00C91173">
      <w:pPr>
        <w:spacing w:line="360" w:lineRule="auto"/>
        <w:ind w:firstLineChars="200" w:firstLine="420"/>
        <w:rPr>
          <w:color w:val="262600"/>
        </w:rPr>
      </w:pPr>
      <w:r>
        <w:rPr>
          <w:rFonts w:hint="eastAsia"/>
          <w:color w:val="262600"/>
        </w:rPr>
        <w:t>本课程立足“乡村振兴”举措和“科技兴农”战略，迫踪都市现代智慧农业发展重点，</w:t>
      </w:r>
      <w:r>
        <w:rPr>
          <w:rFonts w:hint="eastAsia"/>
          <w:color w:val="262600"/>
        </w:rPr>
        <w:t xml:space="preserve"> </w:t>
      </w:r>
      <w:r>
        <w:rPr>
          <w:rFonts w:hint="eastAsia"/>
          <w:color w:val="262600"/>
        </w:rPr>
        <w:t>面向智能温室生产与管理领域，坚持立德树人根本任务，培养德、智、体、美、劳全面发展，具有一定</w:t>
      </w:r>
      <w:r>
        <w:rPr>
          <w:rFonts w:hint="eastAsia"/>
          <w:color w:val="262600"/>
        </w:rPr>
        <w:lastRenderedPageBreak/>
        <w:t>的科学文化水平，具备“政治素质、职业道德、爱农情怀、工匠精神”</w:t>
      </w:r>
      <w:r>
        <w:rPr>
          <w:rFonts w:hint="eastAsia"/>
          <w:color w:val="262600"/>
        </w:rPr>
        <w:t xml:space="preserve"> </w:t>
      </w:r>
      <w:r>
        <w:rPr>
          <w:rFonts w:hint="eastAsia"/>
          <w:color w:val="262600"/>
        </w:rPr>
        <w:t>有较强的专业应用能力、就业能力和可持续发展能力，掌握设施园艺装备与信息化的专业知识和技术技能，面向智能温室生产技术管理、智能温室生产机械化装备与信息技术、智能温室系统集成与应用等岗位群，能够从事设施园艺智慧化、数字化生产方案、智能温室生产经营、装备组装调试、管理运维、创新设计等工作的有文化、懂技术、善经营、会管理的新型复合农业人才。</w:t>
      </w:r>
    </w:p>
    <w:p w14:paraId="3F3E4202" w14:textId="77777777" w:rsidR="00F5289E" w:rsidRDefault="00C91173">
      <w:pPr>
        <w:spacing w:line="400" w:lineRule="exact"/>
        <w:rPr>
          <w:kern w:val="0"/>
          <w:szCs w:val="21"/>
        </w:rPr>
      </w:pPr>
      <w:r>
        <w:rPr>
          <w:b/>
          <w:bCs/>
          <w:kern w:val="0"/>
          <w:szCs w:val="21"/>
        </w:rPr>
        <w:t>二、课程教学的基本要求</w:t>
      </w:r>
    </w:p>
    <w:p w14:paraId="52770E0F" w14:textId="77777777" w:rsidR="00F5289E" w:rsidRDefault="00C91173">
      <w:pPr>
        <w:spacing w:line="400" w:lineRule="exact"/>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w:t>
      </w:r>
      <w:r>
        <w:rPr>
          <w:rFonts w:ascii="宋体" w:hAnsi="宋体"/>
          <w:kern w:val="0"/>
          <w:szCs w:val="21"/>
        </w:rPr>
        <w:t>理论知识方面：</w:t>
      </w:r>
    </w:p>
    <w:p w14:paraId="3C632C4B" w14:textId="77777777" w:rsidR="00F5289E" w:rsidRDefault="00C91173">
      <w:pPr>
        <w:spacing w:line="400" w:lineRule="exact"/>
        <w:ind w:firstLineChars="200" w:firstLine="420"/>
        <w:rPr>
          <w:rFonts w:ascii="宋体" w:hAnsi="宋体"/>
          <w:color w:val="262600"/>
        </w:rPr>
      </w:pPr>
      <w:r>
        <w:rPr>
          <w:rFonts w:ascii="宋体" w:hAnsi="宋体"/>
          <w:color w:val="262600"/>
        </w:rPr>
        <w:t>（1）了解设施</w:t>
      </w:r>
      <w:r>
        <w:rPr>
          <w:rFonts w:ascii="宋体" w:hAnsi="宋体" w:hint="eastAsia"/>
          <w:color w:val="262600"/>
        </w:rPr>
        <w:t>农业装备</w:t>
      </w:r>
      <w:r>
        <w:rPr>
          <w:rFonts w:ascii="宋体" w:hAnsi="宋体"/>
          <w:color w:val="262600"/>
        </w:rPr>
        <w:t>及</w:t>
      </w:r>
      <w:r>
        <w:rPr>
          <w:rFonts w:ascii="宋体" w:hAnsi="宋体" w:hint="eastAsia"/>
          <w:color w:val="262600"/>
        </w:rPr>
        <w:t>智能化</w:t>
      </w:r>
      <w:r>
        <w:rPr>
          <w:rFonts w:ascii="宋体" w:hAnsi="宋体"/>
          <w:color w:val="262600"/>
        </w:rPr>
        <w:t>的基本概念和特点，了解设施</w:t>
      </w:r>
      <w:r>
        <w:rPr>
          <w:rFonts w:ascii="宋体" w:hAnsi="宋体" w:hint="eastAsia"/>
          <w:color w:val="262600"/>
        </w:rPr>
        <w:t>农业装备与智能化</w:t>
      </w:r>
      <w:r>
        <w:rPr>
          <w:rFonts w:ascii="宋体" w:hAnsi="宋体"/>
          <w:color w:val="262600"/>
        </w:rPr>
        <w:t>产业在农业及农业现代化中的地位及作用，了解国内外设施</w:t>
      </w:r>
      <w:r>
        <w:rPr>
          <w:rFonts w:ascii="宋体" w:hAnsi="宋体" w:hint="eastAsia"/>
          <w:color w:val="262600"/>
        </w:rPr>
        <w:t>农业装备与信息</w:t>
      </w:r>
      <w:r>
        <w:rPr>
          <w:rFonts w:ascii="宋体" w:hAnsi="宋体"/>
          <w:color w:val="262600"/>
        </w:rPr>
        <w:t>发展概况和趋势。</w:t>
      </w:r>
    </w:p>
    <w:p w14:paraId="43A700BA" w14:textId="77777777" w:rsidR="00F5289E" w:rsidRDefault="00C91173">
      <w:pPr>
        <w:spacing w:line="360" w:lineRule="auto"/>
        <w:ind w:firstLineChars="200" w:firstLine="420"/>
        <w:rPr>
          <w:rFonts w:ascii="宋体" w:hAnsi="宋体"/>
          <w:color w:val="262600"/>
        </w:rPr>
      </w:pPr>
      <w:r>
        <w:rPr>
          <w:rFonts w:ascii="宋体" w:hAnsi="宋体"/>
          <w:color w:val="262600"/>
        </w:rPr>
        <w:t>（2）学习设施</w:t>
      </w:r>
      <w:r>
        <w:rPr>
          <w:rFonts w:ascii="宋体" w:hAnsi="宋体" w:hint="eastAsia"/>
          <w:color w:val="262600"/>
        </w:rPr>
        <w:t>农业机械化生产的类型、种类、性能和</w:t>
      </w:r>
      <w:r>
        <w:rPr>
          <w:rFonts w:ascii="宋体" w:hAnsi="宋体"/>
          <w:color w:val="262600"/>
        </w:rPr>
        <w:t>基础理论，掌握</w:t>
      </w:r>
      <w:r>
        <w:rPr>
          <w:rFonts w:ascii="宋体" w:hAnsi="宋体" w:hint="eastAsia"/>
          <w:color w:val="262600"/>
        </w:rPr>
        <w:t>整地、播种、育苗、移栽、植保、灌溉、采收、物流等机械化装备的类型、</w:t>
      </w:r>
      <w:r>
        <w:rPr>
          <w:rFonts w:ascii="宋体" w:hAnsi="宋体"/>
          <w:color w:val="262600"/>
        </w:rPr>
        <w:t>结构与性能，掌握</w:t>
      </w:r>
      <w:r>
        <w:rPr>
          <w:rFonts w:ascii="宋体" w:hAnsi="宋体" w:hint="eastAsia"/>
          <w:color w:val="262600"/>
        </w:rPr>
        <w:t>植保无人机、智慧灌溉、水肥一体化、智慧农业、农业机器人、植物工厂等的概念、类型和技术要点</w:t>
      </w:r>
      <w:r>
        <w:rPr>
          <w:rFonts w:ascii="宋体" w:hAnsi="宋体"/>
          <w:color w:val="262600"/>
        </w:rPr>
        <w:t>；能够灵活运用设施</w:t>
      </w:r>
      <w:r>
        <w:rPr>
          <w:rFonts w:ascii="宋体" w:hAnsi="宋体" w:hint="eastAsia"/>
          <w:color w:val="262600"/>
        </w:rPr>
        <w:t>农业装备的</w:t>
      </w:r>
      <w:r>
        <w:rPr>
          <w:rFonts w:ascii="宋体" w:hAnsi="宋体"/>
          <w:color w:val="262600"/>
        </w:rPr>
        <w:t>基本理论，能够因地制宜选用合适的</w:t>
      </w:r>
      <w:r>
        <w:rPr>
          <w:rFonts w:ascii="宋体" w:hAnsi="宋体" w:hint="eastAsia"/>
          <w:color w:val="262600"/>
        </w:rPr>
        <w:t>农机、农艺和农业技术、实现我国设施农业的机械化、智能化、自动化、信息化发展</w:t>
      </w:r>
      <w:r>
        <w:rPr>
          <w:rFonts w:ascii="宋体" w:hAnsi="宋体"/>
          <w:color w:val="262600"/>
        </w:rPr>
        <w:t>。</w:t>
      </w:r>
    </w:p>
    <w:p w14:paraId="78D3C459" w14:textId="77777777" w:rsidR="00F5289E" w:rsidRDefault="00C91173">
      <w:pPr>
        <w:spacing w:line="360" w:lineRule="auto"/>
        <w:ind w:firstLineChars="200" w:firstLine="420"/>
        <w:rPr>
          <w:rFonts w:ascii="宋体" w:hAnsi="宋体"/>
          <w:color w:val="262600"/>
        </w:rPr>
      </w:pPr>
      <w:r>
        <w:rPr>
          <w:rFonts w:ascii="宋体" w:hAnsi="宋体"/>
          <w:color w:val="262600"/>
        </w:rPr>
        <w:t>（3）</w:t>
      </w:r>
      <w:r>
        <w:rPr>
          <w:rFonts w:ascii="宋体" w:hAnsi="宋体" w:hint="eastAsia"/>
          <w:color w:val="262600"/>
        </w:rPr>
        <w:t>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w:t>
      </w:r>
    </w:p>
    <w:p w14:paraId="6F206FEF" w14:textId="77777777" w:rsidR="00F5289E" w:rsidRDefault="00C91173">
      <w:pPr>
        <w:spacing w:line="360" w:lineRule="auto"/>
        <w:ind w:firstLineChars="200" w:firstLine="420"/>
        <w:rPr>
          <w:rFonts w:ascii="宋体" w:hAnsi="宋体"/>
          <w:color w:val="262600"/>
        </w:rPr>
      </w:pPr>
      <w:r>
        <w:rPr>
          <w:rFonts w:ascii="宋体" w:hAnsi="宋体"/>
          <w:color w:val="262600"/>
        </w:rPr>
        <w:t>（4）了解设施</w:t>
      </w:r>
      <w:r>
        <w:rPr>
          <w:rFonts w:ascii="宋体" w:hAnsi="宋体" w:hint="eastAsia"/>
          <w:color w:val="262600"/>
        </w:rPr>
        <w:t>农业装备与信息化的</w:t>
      </w:r>
      <w:r>
        <w:rPr>
          <w:rFonts w:ascii="宋体" w:hAnsi="宋体"/>
          <w:color w:val="262600"/>
        </w:rPr>
        <w:t>新技术，掌握设施</w:t>
      </w:r>
      <w:r>
        <w:rPr>
          <w:rFonts w:ascii="宋体" w:hAnsi="宋体" w:hint="eastAsia"/>
          <w:color w:val="262600"/>
        </w:rPr>
        <w:t>农业装备与信息化</w:t>
      </w:r>
      <w:r>
        <w:rPr>
          <w:rFonts w:ascii="宋体" w:hAnsi="宋体"/>
          <w:color w:val="262600"/>
        </w:rPr>
        <w:t>发展的新成果、新动态和新理念。</w:t>
      </w:r>
    </w:p>
    <w:p w14:paraId="4A73095A" w14:textId="77777777" w:rsidR="00F5289E" w:rsidRDefault="00C91173">
      <w:pPr>
        <w:widowControl/>
        <w:snapToGrid w:val="0"/>
        <w:spacing w:line="360" w:lineRule="auto"/>
        <w:jc w:val="left"/>
        <w:rPr>
          <w:rFonts w:hAnsi="宋体"/>
          <w:b/>
          <w:bCs/>
          <w:kern w:val="0"/>
          <w:szCs w:val="21"/>
        </w:rPr>
      </w:pPr>
      <w:r>
        <w:rPr>
          <w:rFonts w:ascii="宋体" w:hAnsi="宋体"/>
          <w:b/>
          <w:bCs/>
          <w:kern w:val="0"/>
          <w:szCs w:val="21"/>
        </w:rPr>
        <w:t>三、</w:t>
      </w:r>
      <w:r>
        <w:rPr>
          <w:rFonts w:ascii="宋体" w:hAnsi="宋体" w:hint="eastAsia"/>
          <w:b/>
          <w:bCs/>
          <w:kern w:val="0"/>
          <w:szCs w:val="21"/>
        </w:rPr>
        <w:t>课程的教学设计</w:t>
      </w:r>
    </w:p>
    <w:p w14:paraId="3A3AA055" w14:textId="77777777" w:rsidR="00F5289E" w:rsidRDefault="00C91173">
      <w:pPr>
        <w:autoSpaceDE w:val="0"/>
        <w:spacing w:line="360" w:lineRule="auto"/>
        <w:ind w:firstLineChars="200" w:firstLine="420"/>
        <w:rPr>
          <w:rFonts w:ascii="宋体" w:hAnsi="宋体"/>
          <w:bCs/>
          <w:color w:val="000000" w:themeColor="text1"/>
          <w:kern w:val="0"/>
          <w:szCs w:val="21"/>
        </w:rPr>
      </w:pPr>
      <w:r>
        <w:rPr>
          <w:rFonts w:ascii="宋体" w:hAnsi="宋体" w:hint="eastAsia"/>
          <w:bCs/>
          <w:color w:val="000000" w:themeColor="text1"/>
          <w:kern w:val="0"/>
          <w:szCs w:val="21"/>
        </w:rPr>
        <w:t>1.教学设计说明</w:t>
      </w:r>
    </w:p>
    <w:p w14:paraId="7625A029" w14:textId="77777777" w:rsidR="00F5289E" w:rsidRDefault="00C91173">
      <w:pPr>
        <w:spacing w:line="360" w:lineRule="auto"/>
        <w:ind w:firstLineChars="200" w:firstLine="420"/>
        <w:rPr>
          <w:rFonts w:ascii="宋体" w:hAnsi="宋体"/>
          <w:color w:val="262600"/>
        </w:rPr>
      </w:pPr>
      <w:r>
        <w:rPr>
          <w:rFonts w:ascii="宋体" w:hAnsi="宋体" w:hint="eastAsia"/>
          <w:color w:val="262600"/>
        </w:rPr>
        <w:t>课程组按照课程实验教学大纲要求，建立完善的课堂教学体系。采用“理论教学、案例分析、视频演示、分组汇报、交流讨论”的教学模式。通过理论教学让同学们充分了解我国设施农业装备与智能化的现状和发展特点及发展路径和发展趋势，使学生系统掌握课程理论知识，培养学生系统分析问题的能力；通过案例分析、视频演示让同学们更加直观地学习到我国设施农业先进装备的类型和技术特点；通过文献查阅、调查与分组汇报和交流讨论，使学生系统掌握课程理论知识，培养学生系统分析问题、交流合作、开拓创新的能力，培养学生们的兴趣。在保证实现培养目标的前提下，突破以知识传授为中心的教学模式，探索以能力培养为主线的教学模式，采用精讲多实践、视频演示、分组汇报的理念和方法，形成大班集中讲授，小班分组讨论学习的课程讲授体系，</w:t>
      </w:r>
      <w:r>
        <w:rPr>
          <w:rFonts w:ascii="宋体" w:hAnsi="宋体" w:hint="eastAsia"/>
          <w:color w:val="262600"/>
        </w:rPr>
        <w:lastRenderedPageBreak/>
        <w:t>注重提高学生专业学习兴趣，全面培养学生独立获取知识的能力、观察问题、发现问题、思考问题、解决问题的能力。科学制定实践教学方案，规范设置教学环节，高质量、多形式开展课内实践教学，创新创业教育改革成效显著。</w:t>
      </w:r>
    </w:p>
    <w:p w14:paraId="1C7E4972" w14:textId="77777777" w:rsidR="00F5289E" w:rsidRDefault="00C91173">
      <w:pPr>
        <w:spacing w:line="360" w:lineRule="auto"/>
        <w:ind w:firstLineChars="200" w:firstLine="420"/>
        <w:rPr>
          <w:rFonts w:ascii="宋体" w:hAnsi="宋体"/>
          <w:color w:val="000000" w:themeColor="text1"/>
        </w:rPr>
      </w:pPr>
      <w:r>
        <w:rPr>
          <w:rFonts w:ascii="宋体" w:hAnsi="宋体" w:hint="eastAsia"/>
          <w:color w:val="000000" w:themeColor="text1"/>
        </w:rPr>
        <w:t>2.课程目标及对毕业要求的支撑</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337"/>
        <w:gridCol w:w="1561"/>
      </w:tblGrid>
      <w:tr w:rsidR="00F5289E" w14:paraId="3C94E2CA" w14:textId="77777777">
        <w:trPr>
          <w:trHeight w:val="403"/>
          <w:jc w:val="center"/>
        </w:trPr>
        <w:tc>
          <w:tcPr>
            <w:tcW w:w="811" w:type="dxa"/>
            <w:tcBorders>
              <w:top w:val="single" w:sz="4" w:space="0" w:color="auto"/>
              <w:left w:val="single" w:sz="4" w:space="0" w:color="auto"/>
              <w:bottom w:val="single" w:sz="4" w:space="0" w:color="auto"/>
              <w:right w:val="single" w:sz="4" w:space="0" w:color="auto"/>
            </w:tcBorders>
            <w:shd w:val="clear" w:color="auto" w:fill="EEECE1"/>
            <w:vAlign w:val="center"/>
          </w:tcPr>
          <w:p w14:paraId="33D45A54" w14:textId="77777777" w:rsidR="00F5289E" w:rsidRDefault="00C91173">
            <w:pPr>
              <w:spacing w:line="360" w:lineRule="auto"/>
              <w:rPr>
                <w:b/>
                <w:bCs/>
                <w:color w:val="000000" w:themeColor="text1"/>
              </w:rPr>
            </w:pPr>
            <w:r>
              <w:rPr>
                <w:rFonts w:hint="eastAsia"/>
                <w:b/>
                <w:bCs/>
                <w:color w:val="000000" w:themeColor="text1"/>
              </w:rPr>
              <w:t>序号</w:t>
            </w:r>
          </w:p>
        </w:tc>
        <w:tc>
          <w:tcPr>
            <w:tcW w:w="6337" w:type="dxa"/>
            <w:tcBorders>
              <w:top w:val="single" w:sz="4" w:space="0" w:color="auto"/>
              <w:left w:val="nil"/>
              <w:bottom w:val="single" w:sz="4" w:space="0" w:color="auto"/>
              <w:right w:val="single" w:sz="4" w:space="0" w:color="auto"/>
            </w:tcBorders>
            <w:shd w:val="clear" w:color="auto" w:fill="EEECE1"/>
            <w:vAlign w:val="center"/>
          </w:tcPr>
          <w:p w14:paraId="749A2007" w14:textId="77777777" w:rsidR="00F5289E" w:rsidRDefault="00C91173">
            <w:pPr>
              <w:spacing w:line="360" w:lineRule="auto"/>
              <w:ind w:firstLineChars="200" w:firstLine="422"/>
              <w:rPr>
                <w:b/>
                <w:bCs/>
                <w:color w:val="000000" w:themeColor="text1"/>
              </w:rPr>
            </w:pPr>
            <w:r>
              <w:rPr>
                <w:rFonts w:hint="eastAsia"/>
                <w:b/>
                <w:bCs/>
                <w:color w:val="000000" w:themeColor="text1"/>
              </w:rPr>
              <w:t>课程目标</w:t>
            </w:r>
          </w:p>
        </w:tc>
        <w:tc>
          <w:tcPr>
            <w:tcW w:w="1561" w:type="dxa"/>
            <w:tcBorders>
              <w:top w:val="single" w:sz="4" w:space="0" w:color="auto"/>
              <w:left w:val="nil"/>
              <w:bottom w:val="single" w:sz="4" w:space="0" w:color="auto"/>
              <w:right w:val="single" w:sz="4" w:space="0" w:color="auto"/>
            </w:tcBorders>
            <w:shd w:val="clear" w:color="auto" w:fill="EEECE1"/>
            <w:vAlign w:val="center"/>
          </w:tcPr>
          <w:p w14:paraId="57CBB2BD" w14:textId="77777777" w:rsidR="00F5289E" w:rsidRDefault="00C91173">
            <w:pPr>
              <w:spacing w:line="360" w:lineRule="auto"/>
              <w:ind w:firstLineChars="200" w:firstLine="422"/>
              <w:rPr>
                <w:b/>
                <w:bCs/>
                <w:color w:val="000000" w:themeColor="text1"/>
              </w:rPr>
            </w:pPr>
            <w:r>
              <w:rPr>
                <w:rFonts w:hint="eastAsia"/>
                <w:b/>
                <w:bCs/>
                <w:color w:val="000000" w:themeColor="text1"/>
              </w:rPr>
              <w:t>毕业要求</w:t>
            </w:r>
          </w:p>
        </w:tc>
      </w:tr>
      <w:tr w:rsidR="00F5289E" w14:paraId="472EE5B7"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36CD28F7" w14:textId="77777777" w:rsidR="00F5289E" w:rsidRDefault="00C91173">
            <w:pPr>
              <w:spacing w:line="360" w:lineRule="auto"/>
              <w:ind w:firstLineChars="200" w:firstLine="420"/>
              <w:rPr>
                <w:color w:val="000000" w:themeColor="text1"/>
              </w:rPr>
            </w:pPr>
            <w:r>
              <w:rPr>
                <w:color w:val="000000" w:themeColor="text1"/>
              </w:rPr>
              <w:t>1</w:t>
            </w:r>
          </w:p>
        </w:tc>
        <w:tc>
          <w:tcPr>
            <w:tcW w:w="6337" w:type="dxa"/>
            <w:tcBorders>
              <w:top w:val="single" w:sz="4" w:space="0" w:color="auto"/>
              <w:left w:val="single" w:sz="4" w:space="0" w:color="auto"/>
              <w:bottom w:val="single" w:sz="4" w:space="0" w:color="auto"/>
              <w:right w:val="single" w:sz="4" w:space="0" w:color="auto"/>
            </w:tcBorders>
            <w:vAlign w:val="center"/>
          </w:tcPr>
          <w:p w14:paraId="77A94D71" w14:textId="77777777" w:rsidR="00F5289E" w:rsidRDefault="00C91173">
            <w:pPr>
              <w:spacing w:line="320" w:lineRule="exact"/>
              <w:jc w:val="left"/>
              <w:rPr>
                <w:color w:val="000000" w:themeColor="text1"/>
                <w:sz w:val="18"/>
                <w:szCs w:val="18"/>
              </w:rPr>
            </w:pPr>
            <w:r>
              <w:rPr>
                <w:rFonts w:ascii="宋体" w:hAnsi="宋体"/>
                <w:color w:val="000000" w:themeColor="text1"/>
                <w:sz w:val="18"/>
                <w:szCs w:val="18"/>
              </w:rPr>
              <w:t>目标</w:t>
            </w:r>
            <w:r>
              <w:rPr>
                <w:color w:val="000000" w:themeColor="text1"/>
                <w:sz w:val="18"/>
                <w:szCs w:val="18"/>
              </w:rPr>
              <w:t>1</w:t>
            </w:r>
            <w:r>
              <w:rPr>
                <w:rFonts w:ascii="宋体" w:hAnsi="宋体"/>
                <w:color w:val="000000" w:themeColor="text1"/>
                <w:sz w:val="18"/>
                <w:szCs w:val="18"/>
              </w:rPr>
              <w:t>：通过课程的学习，使学生具备</w:t>
            </w:r>
            <w:r>
              <w:rPr>
                <w:rFonts w:ascii="宋体" w:hAnsi="宋体" w:hint="eastAsia"/>
                <w:color w:val="000000" w:themeColor="text1"/>
                <w:sz w:val="18"/>
                <w:szCs w:val="18"/>
              </w:rPr>
              <w:t>懂农业、爱农村、爱农民，立志服务“三农”，</w:t>
            </w:r>
            <w:r>
              <w:rPr>
                <w:rFonts w:ascii="宋体" w:hAnsi="宋体"/>
                <w:color w:val="000000" w:themeColor="text1"/>
                <w:sz w:val="18"/>
                <w:szCs w:val="18"/>
              </w:rPr>
              <w:t>解决园艺生产领域实际问题的素质和能力</w:t>
            </w:r>
            <w:r>
              <w:rPr>
                <w:rFonts w:ascii="宋体" w:hAnsi="宋体" w:hint="eastAsia"/>
                <w:color w:val="000000" w:themeColor="text1"/>
                <w:sz w:val="18"/>
                <w:szCs w:val="18"/>
              </w:rPr>
              <w:t>，践行可持续发展理念</w:t>
            </w:r>
            <w:r>
              <w:rPr>
                <w:rFonts w:ascii="宋体" w:hAnsi="宋体"/>
                <w:color w:val="000000" w:themeColor="text1"/>
                <w:sz w:val="18"/>
                <w:szCs w:val="18"/>
              </w:rPr>
              <w:t>。</w:t>
            </w:r>
          </w:p>
        </w:tc>
        <w:tc>
          <w:tcPr>
            <w:tcW w:w="1561" w:type="dxa"/>
            <w:tcBorders>
              <w:top w:val="single" w:sz="4" w:space="0" w:color="auto"/>
              <w:left w:val="nil"/>
              <w:bottom w:val="single" w:sz="4" w:space="0" w:color="auto"/>
              <w:right w:val="single" w:sz="4" w:space="0" w:color="auto"/>
            </w:tcBorders>
            <w:vAlign w:val="center"/>
          </w:tcPr>
          <w:p w14:paraId="350CCD5B" w14:textId="77777777" w:rsidR="00F5289E" w:rsidRDefault="00C91173">
            <w:pPr>
              <w:spacing w:line="320" w:lineRule="exact"/>
              <w:jc w:val="center"/>
              <w:rPr>
                <w:rFonts w:eastAsia="DengXian"/>
                <w:color w:val="000000" w:themeColor="text1"/>
                <w:sz w:val="18"/>
                <w:szCs w:val="18"/>
              </w:rPr>
            </w:pPr>
            <w:r>
              <w:rPr>
                <w:rFonts w:eastAsia="DengXian"/>
                <w:color w:val="000000" w:themeColor="text1"/>
                <w:sz w:val="18"/>
                <w:szCs w:val="18"/>
              </w:rPr>
              <w:t>2</w:t>
            </w:r>
          </w:p>
        </w:tc>
      </w:tr>
      <w:tr w:rsidR="00F5289E" w14:paraId="4AA7C1A3"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6D2F6629" w14:textId="77777777" w:rsidR="00F5289E" w:rsidRDefault="00C91173">
            <w:pPr>
              <w:spacing w:line="360" w:lineRule="auto"/>
              <w:ind w:firstLineChars="200" w:firstLine="420"/>
              <w:rPr>
                <w:color w:val="000000" w:themeColor="text1"/>
              </w:rPr>
            </w:pPr>
            <w:r>
              <w:rPr>
                <w:color w:val="000000" w:themeColor="text1"/>
              </w:rPr>
              <w:t>2</w:t>
            </w:r>
          </w:p>
        </w:tc>
        <w:tc>
          <w:tcPr>
            <w:tcW w:w="6337" w:type="dxa"/>
            <w:tcBorders>
              <w:top w:val="single" w:sz="4" w:space="0" w:color="auto"/>
              <w:left w:val="single" w:sz="4" w:space="0" w:color="auto"/>
              <w:bottom w:val="single" w:sz="4" w:space="0" w:color="auto"/>
              <w:right w:val="single" w:sz="4" w:space="0" w:color="auto"/>
            </w:tcBorders>
            <w:vAlign w:val="center"/>
          </w:tcPr>
          <w:p w14:paraId="4E6F1413" w14:textId="77777777" w:rsidR="00F5289E" w:rsidRDefault="00C91173">
            <w:pPr>
              <w:spacing w:line="320" w:lineRule="exact"/>
              <w:jc w:val="left"/>
              <w:rPr>
                <w:color w:val="000000" w:themeColor="text1"/>
                <w:sz w:val="18"/>
                <w:szCs w:val="18"/>
                <w:highlight w:val="yellow"/>
              </w:rPr>
            </w:pPr>
            <w:r>
              <w:rPr>
                <w:rFonts w:ascii="宋体" w:hAnsi="宋体"/>
                <w:color w:val="000000" w:themeColor="text1"/>
                <w:sz w:val="18"/>
                <w:szCs w:val="18"/>
              </w:rPr>
              <w:t>目标</w:t>
            </w:r>
            <w:r>
              <w:rPr>
                <w:color w:val="000000" w:themeColor="text1"/>
                <w:sz w:val="18"/>
                <w:szCs w:val="18"/>
              </w:rPr>
              <w:t>2</w:t>
            </w:r>
            <w:r>
              <w:rPr>
                <w:rFonts w:ascii="宋体" w:hAnsi="宋体"/>
                <w:color w:val="000000" w:themeColor="text1"/>
                <w:sz w:val="18"/>
                <w:szCs w:val="18"/>
              </w:rPr>
              <w:t>：通过课程学习，使学生</w:t>
            </w:r>
            <w:r>
              <w:rPr>
                <w:rFonts w:ascii="宋体" w:hAnsi="宋体" w:hint="eastAsia"/>
                <w:color w:val="000000" w:themeColor="text1"/>
                <w:sz w:val="18"/>
                <w:szCs w:val="18"/>
              </w:rPr>
              <w:t>掌握设施栽培管理、设施环境调控等理论知识和基本技能，具备利用所学知识进行创新创业能力。</w:t>
            </w:r>
          </w:p>
        </w:tc>
        <w:tc>
          <w:tcPr>
            <w:tcW w:w="1561" w:type="dxa"/>
            <w:tcBorders>
              <w:top w:val="single" w:sz="4" w:space="0" w:color="auto"/>
              <w:left w:val="nil"/>
              <w:bottom w:val="single" w:sz="4" w:space="0" w:color="auto"/>
              <w:right w:val="single" w:sz="4" w:space="0" w:color="auto"/>
            </w:tcBorders>
            <w:vAlign w:val="center"/>
          </w:tcPr>
          <w:p w14:paraId="16620D5F" w14:textId="77777777" w:rsidR="00F5289E" w:rsidRDefault="00C91173">
            <w:pPr>
              <w:spacing w:line="320" w:lineRule="exact"/>
              <w:jc w:val="center"/>
              <w:rPr>
                <w:rFonts w:eastAsia="DengXian"/>
                <w:color w:val="000000" w:themeColor="text1"/>
                <w:sz w:val="18"/>
                <w:szCs w:val="18"/>
              </w:rPr>
            </w:pPr>
            <w:r>
              <w:rPr>
                <w:rFonts w:eastAsia="DengXian"/>
                <w:color w:val="000000" w:themeColor="text1"/>
                <w:sz w:val="18"/>
                <w:szCs w:val="18"/>
              </w:rPr>
              <w:t>5</w:t>
            </w:r>
          </w:p>
        </w:tc>
      </w:tr>
      <w:tr w:rsidR="00F5289E" w14:paraId="6307D8B9"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20BC7909" w14:textId="77777777" w:rsidR="00F5289E" w:rsidRDefault="00C91173">
            <w:pPr>
              <w:spacing w:line="360" w:lineRule="auto"/>
              <w:ind w:firstLineChars="200" w:firstLine="420"/>
              <w:rPr>
                <w:color w:val="000000" w:themeColor="text1"/>
              </w:rPr>
            </w:pPr>
            <w:r>
              <w:rPr>
                <w:color w:val="000000" w:themeColor="text1"/>
              </w:rPr>
              <w:t>3</w:t>
            </w:r>
          </w:p>
        </w:tc>
        <w:tc>
          <w:tcPr>
            <w:tcW w:w="6337" w:type="dxa"/>
            <w:tcBorders>
              <w:top w:val="single" w:sz="4" w:space="0" w:color="auto"/>
              <w:left w:val="single" w:sz="4" w:space="0" w:color="auto"/>
              <w:bottom w:val="single" w:sz="4" w:space="0" w:color="auto"/>
              <w:right w:val="single" w:sz="4" w:space="0" w:color="auto"/>
            </w:tcBorders>
            <w:vAlign w:val="center"/>
          </w:tcPr>
          <w:p w14:paraId="797C1A8B" w14:textId="77777777" w:rsidR="00F5289E" w:rsidRDefault="00C91173">
            <w:pPr>
              <w:spacing w:line="320" w:lineRule="exact"/>
              <w:jc w:val="left"/>
              <w:rPr>
                <w:color w:val="000000" w:themeColor="text1"/>
                <w:sz w:val="18"/>
                <w:szCs w:val="18"/>
              </w:rPr>
            </w:pPr>
            <w:r>
              <w:rPr>
                <w:rFonts w:ascii="宋体" w:hAnsi="宋体"/>
                <w:color w:val="000000" w:themeColor="text1"/>
                <w:sz w:val="18"/>
                <w:szCs w:val="18"/>
              </w:rPr>
              <w:t>目标</w:t>
            </w:r>
            <w:r>
              <w:rPr>
                <w:color w:val="000000" w:themeColor="text1"/>
                <w:sz w:val="18"/>
                <w:szCs w:val="18"/>
              </w:rPr>
              <w:t>3</w:t>
            </w:r>
            <w:r>
              <w:rPr>
                <w:rFonts w:ascii="宋体" w:hAnsi="宋体"/>
                <w:color w:val="000000" w:themeColor="text1"/>
                <w:sz w:val="18"/>
                <w:szCs w:val="18"/>
              </w:rPr>
              <w:t>：通过课程</w:t>
            </w:r>
            <w:r>
              <w:rPr>
                <w:rFonts w:ascii="宋体" w:hAnsi="宋体" w:hint="eastAsia"/>
                <w:color w:val="000000" w:themeColor="text1"/>
                <w:sz w:val="18"/>
                <w:szCs w:val="18"/>
              </w:rPr>
              <w:t>学习</w:t>
            </w:r>
            <w:r>
              <w:rPr>
                <w:rFonts w:ascii="宋体" w:hAnsi="宋体"/>
                <w:color w:val="000000" w:themeColor="text1"/>
                <w:sz w:val="18"/>
                <w:szCs w:val="18"/>
              </w:rPr>
              <w:t>，使学生</w:t>
            </w:r>
            <w:r>
              <w:rPr>
                <w:rFonts w:ascii="宋体" w:hAnsi="宋体" w:hint="eastAsia"/>
                <w:color w:val="000000" w:themeColor="text1"/>
                <w:sz w:val="18"/>
                <w:szCs w:val="18"/>
              </w:rPr>
              <w:t>具备较强的沟通表达和协调能力；具有较强的团队合作精神。</w:t>
            </w:r>
          </w:p>
        </w:tc>
        <w:tc>
          <w:tcPr>
            <w:tcW w:w="1561" w:type="dxa"/>
            <w:tcBorders>
              <w:top w:val="single" w:sz="4" w:space="0" w:color="auto"/>
              <w:left w:val="nil"/>
              <w:bottom w:val="single" w:sz="4" w:space="0" w:color="auto"/>
              <w:right w:val="single" w:sz="4" w:space="0" w:color="auto"/>
            </w:tcBorders>
            <w:vAlign w:val="center"/>
          </w:tcPr>
          <w:p w14:paraId="29134341" w14:textId="77777777" w:rsidR="00F5289E" w:rsidRDefault="00C91173">
            <w:pPr>
              <w:spacing w:line="320" w:lineRule="exact"/>
              <w:jc w:val="center"/>
              <w:rPr>
                <w:rFonts w:eastAsia="DengXian"/>
                <w:color w:val="000000" w:themeColor="text1"/>
                <w:sz w:val="18"/>
                <w:szCs w:val="18"/>
              </w:rPr>
            </w:pPr>
            <w:r>
              <w:rPr>
                <w:rFonts w:eastAsia="DengXian"/>
                <w:color w:val="000000" w:themeColor="text1"/>
                <w:sz w:val="18"/>
                <w:szCs w:val="18"/>
              </w:rPr>
              <w:t>6</w:t>
            </w:r>
          </w:p>
        </w:tc>
      </w:tr>
    </w:tbl>
    <w:p w14:paraId="32E275A9" w14:textId="77777777" w:rsidR="00F5289E" w:rsidRDefault="00C91173">
      <w:pPr>
        <w:spacing w:line="360" w:lineRule="auto"/>
        <w:rPr>
          <w:b/>
          <w:bCs/>
          <w:color w:val="262600"/>
        </w:rPr>
      </w:pPr>
      <w:r>
        <w:rPr>
          <w:rFonts w:hint="eastAsia"/>
          <w:b/>
          <w:bCs/>
          <w:color w:val="262600"/>
        </w:rPr>
        <w:t>四</w:t>
      </w:r>
      <w:r>
        <w:rPr>
          <w:b/>
          <w:bCs/>
          <w:color w:val="262600"/>
        </w:rPr>
        <w:t>、理论教学内容及学时分配（</w:t>
      </w:r>
      <w:r>
        <w:rPr>
          <w:b/>
          <w:bCs/>
          <w:color w:val="262600"/>
        </w:rPr>
        <w:t>32</w:t>
      </w:r>
      <w:r>
        <w:rPr>
          <w:b/>
          <w:bCs/>
          <w:color w:val="262600"/>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E19E4C8" w14:textId="77777777">
        <w:trPr>
          <w:trHeight w:val="270"/>
        </w:trPr>
        <w:tc>
          <w:tcPr>
            <w:tcW w:w="2965" w:type="dxa"/>
            <w:tcBorders>
              <w:top w:val="nil"/>
              <w:left w:val="nil"/>
              <w:bottom w:val="nil"/>
              <w:right w:val="nil"/>
            </w:tcBorders>
            <w:vAlign w:val="center"/>
          </w:tcPr>
          <w:p w14:paraId="34C8A911"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110AAE65"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一</w:t>
            </w:r>
            <w:r>
              <w:rPr>
                <w:rFonts w:hAnsi="宋体"/>
                <w:b/>
                <w:bCs/>
                <w:szCs w:val="21"/>
              </w:rPr>
              <w:t>章</w:t>
            </w:r>
            <w:r>
              <w:rPr>
                <w:rFonts w:hint="eastAsia"/>
                <w:b/>
                <w:bCs/>
                <w:szCs w:val="21"/>
              </w:rPr>
              <w:t xml:space="preserve">  </w:t>
            </w:r>
            <w:r>
              <w:rPr>
                <w:rFonts w:hint="eastAsia"/>
                <w:b/>
                <w:bCs/>
                <w:szCs w:val="21"/>
              </w:rPr>
              <w:t>绪论</w:t>
            </w:r>
          </w:p>
        </w:tc>
        <w:tc>
          <w:tcPr>
            <w:tcW w:w="2966" w:type="dxa"/>
            <w:tcBorders>
              <w:top w:val="nil"/>
              <w:left w:val="nil"/>
              <w:bottom w:val="nil"/>
              <w:right w:val="nil"/>
            </w:tcBorders>
            <w:vAlign w:val="center"/>
          </w:tcPr>
          <w:p w14:paraId="61D11B87"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326AA539" w14:textId="77777777" w:rsidR="00F5289E" w:rsidRDefault="00C91173">
      <w:pPr>
        <w:spacing w:line="360" w:lineRule="auto"/>
        <w:rPr>
          <w:color w:val="262600"/>
        </w:rPr>
      </w:pPr>
      <w:r>
        <w:rPr>
          <w:b/>
          <w:bCs/>
        </w:rPr>
        <w:t>教学</w:t>
      </w:r>
      <w:r>
        <w:rPr>
          <w:rFonts w:hint="eastAsia"/>
          <w:b/>
          <w:bCs/>
        </w:rPr>
        <w:t>目标</w:t>
      </w:r>
      <w:r>
        <w:rPr>
          <w:color w:val="262600"/>
        </w:rPr>
        <w:t>：</w:t>
      </w:r>
    </w:p>
    <w:p w14:paraId="40514A02" w14:textId="77777777" w:rsidR="00F5289E" w:rsidRDefault="00C91173">
      <w:pPr>
        <w:spacing w:line="360" w:lineRule="auto"/>
        <w:rPr>
          <w:color w:val="262600"/>
        </w:rPr>
      </w:pPr>
      <w:r>
        <w:rPr>
          <w:rFonts w:hint="eastAsia"/>
          <w:color w:val="262600"/>
        </w:rPr>
        <w:t>1.</w:t>
      </w:r>
      <w:r>
        <w:rPr>
          <w:rFonts w:hint="eastAsia"/>
          <w:color w:val="262600"/>
        </w:rPr>
        <w:t>掌握设施智能化装备、农业信息化等相关概念和主要内容；</w:t>
      </w:r>
    </w:p>
    <w:p w14:paraId="09910173" w14:textId="77777777" w:rsidR="00F5289E" w:rsidRDefault="00C91173">
      <w:pPr>
        <w:spacing w:line="360" w:lineRule="auto"/>
        <w:rPr>
          <w:color w:val="262600"/>
        </w:rPr>
      </w:pPr>
      <w:r>
        <w:rPr>
          <w:rFonts w:hint="eastAsia"/>
          <w:color w:val="262600"/>
        </w:rPr>
        <w:t>2.</w:t>
      </w:r>
      <w:r>
        <w:rPr>
          <w:rFonts w:hint="eastAsia"/>
          <w:color w:val="262600"/>
        </w:rPr>
        <w:t>熟悉国际国内设施农业装备和信息化的现状、发展趋势</w:t>
      </w:r>
    </w:p>
    <w:p w14:paraId="1AF160A3" w14:textId="77777777" w:rsidR="00F5289E" w:rsidRDefault="00C91173">
      <w:pPr>
        <w:spacing w:line="360" w:lineRule="auto"/>
        <w:rPr>
          <w:color w:val="262600"/>
        </w:rPr>
      </w:pPr>
      <w:r>
        <w:rPr>
          <w:rFonts w:hint="eastAsia"/>
          <w:color w:val="262600"/>
        </w:rPr>
        <w:t>3.</w:t>
      </w:r>
      <w:r>
        <w:rPr>
          <w:rFonts w:hint="eastAsia"/>
          <w:color w:val="262600"/>
        </w:rPr>
        <w:t>了解发展设施农业装备与信息化的目的和作用及国家关于农业智能化装备和农业信息化的政策</w:t>
      </w:r>
    </w:p>
    <w:p w14:paraId="3915081C" w14:textId="77777777" w:rsidR="00F5289E" w:rsidRDefault="00C91173">
      <w:pPr>
        <w:spacing w:line="360" w:lineRule="auto"/>
        <w:rPr>
          <w:b/>
          <w:bCs/>
          <w:color w:val="FF0000"/>
        </w:rPr>
      </w:pPr>
      <w:r>
        <w:rPr>
          <w:rFonts w:hint="eastAsia"/>
          <w:b/>
          <w:bCs/>
        </w:rPr>
        <w:t>教学重点和难点</w:t>
      </w:r>
      <w:r>
        <w:rPr>
          <w:rFonts w:hint="eastAsia"/>
        </w:rPr>
        <w:t>：</w:t>
      </w:r>
      <w:r>
        <w:rPr>
          <w:rFonts w:hint="eastAsia"/>
          <w:color w:val="262600"/>
        </w:rPr>
        <w:t>设施智能化装备、农业信息化等相关</w:t>
      </w:r>
      <w:r>
        <w:rPr>
          <w:color w:val="262600"/>
        </w:rPr>
        <w:t>概念和发展趋势</w:t>
      </w:r>
    </w:p>
    <w:p w14:paraId="76E4EB2B" w14:textId="77777777" w:rsidR="00F5289E" w:rsidRDefault="00C91173">
      <w:pPr>
        <w:spacing w:line="360" w:lineRule="auto"/>
        <w:rPr>
          <w:color w:val="262600"/>
        </w:rPr>
      </w:pPr>
      <w:r>
        <w:rPr>
          <w:rFonts w:hint="eastAsia"/>
          <w:b/>
          <w:bCs/>
        </w:rPr>
        <w:t>主要教学内容及要求</w:t>
      </w:r>
      <w:r>
        <w:rPr>
          <w:rFonts w:hint="eastAsia"/>
        </w:rPr>
        <w:t>：</w:t>
      </w:r>
      <w:r>
        <w:rPr>
          <w:rFonts w:hint="eastAsia"/>
          <w:color w:val="262600"/>
        </w:rPr>
        <w:t xml:space="preserve"> </w:t>
      </w:r>
    </w:p>
    <w:p w14:paraId="471EB806" w14:textId="77777777" w:rsidR="00F5289E" w:rsidRDefault="00C91173">
      <w:pPr>
        <w:spacing w:line="360" w:lineRule="auto"/>
        <w:rPr>
          <w:rFonts w:ascii="宋体" w:hAnsi="宋体"/>
          <w:color w:val="262600"/>
        </w:rPr>
      </w:pPr>
      <w:r>
        <w:rPr>
          <w:rFonts w:ascii="宋体" w:hAnsi="宋体" w:hint="eastAsia"/>
          <w:color w:val="262600"/>
        </w:rPr>
        <w:t>1.设施智能化装备、农业信息化概念及发展目的</w:t>
      </w:r>
    </w:p>
    <w:p w14:paraId="00868B23" w14:textId="77777777" w:rsidR="00F5289E" w:rsidRDefault="00C91173">
      <w:pPr>
        <w:spacing w:line="360" w:lineRule="auto"/>
        <w:rPr>
          <w:rFonts w:ascii="宋体" w:hAnsi="宋体"/>
          <w:color w:val="262600"/>
        </w:rPr>
      </w:pPr>
      <w:r>
        <w:rPr>
          <w:rFonts w:ascii="宋体" w:hAnsi="宋体" w:hint="eastAsia"/>
          <w:color w:val="262600"/>
        </w:rPr>
        <w:t>2.国际国内设施农业装备和信息化的现状和发展趋势</w:t>
      </w:r>
    </w:p>
    <w:p w14:paraId="44945FBB" w14:textId="77777777" w:rsidR="00F5289E" w:rsidRDefault="00C91173">
      <w:pPr>
        <w:spacing w:line="360" w:lineRule="auto"/>
        <w:rPr>
          <w:rFonts w:ascii="宋体" w:hAnsi="宋体"/>
          <w:color w:val="262600"/>
        </w:rPr>
      </w:pPr>
      <w:r>
        <w:rPr>
          <w:rFonts w:ascii="宋体" w:hAnsi="宋体" w:hint="eastAsia"/>
          <w:color w:val="262600"/>
        </w:rPr>
        <w:t>3.设施农业每个发展阶段的理解（机械化、自动化、信息化、智能化）</w:t>
      </w:r>
    </w:p>
    <w:p w14:paraId="0B29749C" w14:textId="77777777" w:rsidR="00F5289E" w:rsidRDefault="00C91173">
      <w:pPr>
        <w:spacing w:line="360" w:lineRule="auto"/>
        <w:rPr>
          <w:rFonts w:ascii="宋体" w:hAnsi="宋体"/>
          <w:color w:val="262600"/>
        </w:rPr>
      </w:pPr>
      <w:r>
        <w:rPr>
          <w:rFonts w:ascii="宋体" w:hAnsi="宋体" w:hint="eastAsia"/>
          <w:color w:val="262600"/>
        </w:rPr>
        <w:t>第一章 绪论</w:t>
      </w:r>
    </w:p>
    <w:p w14:paraId="506B4449" w14:textId="77777777" w:rsidR="00F5289E" w:rsidRDefault="00C91173">
      <w:pPr>
        <w:spacing w:line="360" w:lineRule="auto"/>
        <w:rPr>
          <w:rFonts w:ascii="宋体" w:hAnsi="宋体"/>
          <w:color w:val="262600"/>
        </w:rPr>
      </w:pPr>
      <w:r>
        <w:rPr>
          <w:rFonts w:ascii="宋体" w:hAnsi="宋体" w:hint="eastAsia"/>
          <w:color w:val="262600"/>
        </w:rPr>
        <w:t>1 设施农业智能化相关概念</w:t>
      </w:r>
    </w:p>
    <w:p w14:paraId="3E278687" w14:textId="77777777" w:rsidR="00F5289E" w:rsidRDefault="00C91173">
      <w:pPr>
        <w:spacing w:line="360" w:lineRule="auto"/>
        <w:rPr>
          <w:rFonts w:ascii="宋体" w:hAnsi="宋体"/>
          <w:color w:val="262600"/>
        </w:rPr>
      </w:pPr>
      <w:r>
        <w:rPr>
          <w:rFonts w:ascii="宋体" w:hAnsi="宋体" w:hint="eastAsia"/>
          <w:color w:val="262600"/>
        </w:rPr>
        <w:t>2 设施农业智能化装备分类</w:t>
      </w:r>
    </w:p>
    <w:p w14:paraId="0D60B300" w14:textId="77777777" w:rsidR="00F5289E" w:rsidRDefault="00C91173">
      <w:pPr>
        <w:spacing w:line="360" w:lineRule="auto"/>
        <w:rPr>
          <w:rFonts w:ascii="宋体" w:hAnsi="宋体"/>
          <w:color w:val="262600"/>
        </w:rPr>
      </w:pPr>
      <w:r>
        <w:rPr>
          <w:rFonts w:ascii="宋体" w:hAnsi="宋体" w:hint="eastAsia"/>
          <w:color w:val="262600"/>
        </w:rPr>
        <w:t>3 农业信息化概念及主要内容</w:t>
      </w:r>
    </w:p>
    <w:p w14:paraId="51BFC531" w14:textId="77777777" w:rsidR="00F5289E" w:rsidRDefault="00C91173">
      <w:pPr>
        <w:spacing w:line="360" w:lineRule="auto"/>
        <w:rPr>
          <w:rFonts w:ascii="宋体" w:hAnsi="宋体"/>
          <w:color w:val="262600"/>
        </w:rPr>
      </w:pPr>
      <w:r>
        <w:rPr>
          <w:rFonts w:ascii="宋体" w:hAnsi="宋体" w:hint="eastAsia"/>
          <w:color w:val="262600"/>
        </w:rPr>
        <w:t>4 设施农业装备发展现状及趋势</w:t>
      </w:r>
    </w:p>
    <w:p w14:paraId="44FCB980" w14:textId="77777777" w:rsidR="00F5289E" w:rsidRDefault="00C91173">
      <w:pPr>
        <w:rPr>
          <w:rFonts w:ascii="宋体" w:hAnsi="宋体"/>
          <w:szCs w:val="21"/>
        </w:rPr>
      </w:pPr>
      <w:r>
        <w:rPr>
          <w:rFonts w:ascii="宋体" w:hAnsi="宋体" w:hint="eastAsia"/>
          <w:b/>
          <w:bCs/>
          <w:szCs w:val="21"/>
        </w:rPr>
        <w:t>教学组织与实施：</w:t>
      </w:r>
    </w:p>
    <w:p w14:paraId="2E652F07" w14:textId="77777777" w:rsidR="00F5289E" w:rsidRDefault="00C91173">
      <w:pPr>
        <w:spacing w:line="360" w:lineRule="auto"/>
        <w:ind w:firstLineChars="200" w:firstLine="420"/>
        <w:rPr>
          <w:rFonts w:ascii="宋体" w:hAnsi="宋体"/>
          <w:color w:val="262600"/>
        </w:rPr>
      </w:pPr>
      <w:r>
        <w:rPr>
          <w:rFonts w:ascii="宋体" w:hAnsi="宋体" w:hint="eastAsia"/>
          <w:color w:val="262600"/>
        </w:rPr>
        <w:t>以案例分析、数据图例分析法为主，小组讨论为辅；采用图文并茂并结合教学视频的方式展示</w:t>
      </w:r>
      <w:r>
        <w:rPr>
          <w:rFonts w:ascii="宋体" w:hAnsi="宋体" w:hint="eastAsia"/>
          <w:color w:val="262600"/>
        </w:rPr>
        <w:lastRenderedPageBreak/>
        <w:t>设施农业装备和信息化的概念、发展现状；综合考虑学生前期的学习基础，指导学生讨论分析设施农业装备与信息化的发展前景和经营特点；同时注重通过学生亲眼观察、亲身的体会，后期课程实习过程中安排学生进行基地调研。</w:t>
      </w:r>
    </w:p>
    <w:tbl>
      <w:tblPr>
        <w:tblStyle w:val="af6"/>
        <w:tblW w:w="8896" w:type="dxa"/>
        <w:tblInd w:w="4" w:type="dxa"/>
        <w:tblCellMar>
          <w:left w:w="0" w:type="dxa"/>
          <w:right w:w="0" w:type="dxa"/>
        </w:tblCellMar>
        <w:tblLook w:val="04A0" w:firstRow="1" w:lastRow="0" w:firstColumn="1" w:lastColumn="0" w:noHBand="0" w:noVBand="1"/>
      </w:tblPr>
      <w:tblGrid>
        <w:gridCol w:w="2965"/>
        <w:gridCol w:w="2965"/>
        <w:gridCol w:w="2966"/>
      </w:tblGrid>
      <w:tr w:rsidR="00F5289E" w14:paraId="490E73FD" w14:textId="77777777">
        <w:trPr>
          <w:trHeight w:val="270"/>
        </w:trPr>
        <w:tc>
          <w:tcPr>
            <w:tcW w:w="2965" w:type="dxa"/>
            <w:tcBorders>
              <w:top w:val="nil"/>
              <w:left w:val="nil"/>
              <w:bottom w:val="nil"/>
              <w:right w:val="nil"/>
            </w:tcBorders>
            <w:vAlign w:val="center"/>
          </w:tcPr>
          <w:p w14:paraId="7AC9FCFA" w14:textId="77777777" w:rsidR="00F5289E" w:rsidRDefault="00F5289E">
            <w:pPr>
              <w:widowControl/>
              <w:snapToGrid w:val="0"/>
              <w:spacing w:line="360" w:lineRule="auto"/>
              <w:jc w:val="center"/>
              <w:rPr>
                <w:rFonts w:hAnsi="宋体"/>
                <w:b/>
                <w:bCs/>
                <w:szCs w:val="21"/>
              </w:rPr>
            </w:pPr>
            <w:bookmarkStart w:id="74" w:name="_Hlk137763219"/>
          </w:p>
        </w:tc>
        <w:tc>
          <w:tcPr>
            <w:tcW w:w="2965" w:type="dxa"/>
            <w:tcBorders>
              <w:top w:val="nil"/>
              <w:left w:val="nil"/>
              <w:bottom w:val="nil"/>
              <w:right w:val="nil"/>
            </w:tcBorders>
            <w:vAlign w:val="center"/>
          </w:tcPr>
          <w:p w14:paraId="31FAF011" w14:textId="77777777" w:rsidR="00F5289E" w:rsidRDefault="00C91173">
            <w:pPr>
              <w:widowControl/>
              <w:snapToGrid w:val="0"/>
              <w:spacing w:line="360" w:lineRule="auto"/>
              <w:rPr>
                <w:rFonts w:hAnsi="宋体"/>
                <w:b/>
                <w:bCs/>
                <w:szCs w:val="21"/>
              </w:rPr>
            </w:pPr>
            <w:r>
              <w:rPr>
                <w:rFonts w:hAnsi="宋体"/>
                <w:b/>
                <w:bCs/>
                <w:szCs w:val="21"/>
              </w:rPr>
              <w:t>第</w:t>
            </w:r>
            <w:r>
              <w:rPr>
                <w:rFonts w:hAnsi="宋体" w:hint="eastAsia"/>
                <w:b/>
                <w:bCs/>
                <w:szCs w:val="21"/>
              </w:rPr>
              <w:t>二</w:t>
            </w:r>
            <w:r>
              <w:rPr>
                <w:rFonts w:hAnsi="宋体"/>
                <w:b/>
                <w:bCs/>
                <w:szCs w:val="21"/>
              </w:rPr>
              <w:t>章</w:t>
            </w:r>
            <w:r>
              <w:rPr>
                <w:rFonts w:hint="eastAsia"/>
                <w:b/>
                <w:bCs/>
                <w:szCs w:val="21"/>
              </w:rPr>
              <w:t xml:space="preserve">  </w:t>
            </w:r>
            <w:r>
              <w:rPr>
                <w:rFonts w:hint="eastAsia"/>
                <w:b/>
                <w:bCs/>
                <w:szCs w:val="21"/>
              </w:rPr>
              <w:t>设施蔬菜机械化发展</w:t>
            </w:r>
          </w:p>
        </w:tc>
        <w:tc>
          <w:tcPr>
            <w:tcW w:w="2966" w:type="dxa"/>
            <w:tcBorders>
              <w:top w:val="nil"/>
              <w:left w:val="nil"/>
              <w:bottom w:val="nil"/>
              <w:right w:val="nil"/>
            </w:tcBorders>
            <w:vAlign w:val="center"/>
          </w:tcPr>
          <w:p w14:paraId="02D88FBA"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4</w:t>
            </w:r>
          </w:p>
        </w:tc>
      </w:tr>
    </w:tbl>
    <w:bookmarkEnd w:id="74"/>
    <w:p w14:paraId="4A848B33" w14:textId="77777777" w:rsidR="00F5289E" w:rsidRDefault="00C91173">
      <w:pPr>
        <w:spacing w:line="360" w:lineRule="auto"/>
        <w:rPr>
          <w:rFonts w:ascii="宋体" w:hAnsi="宋体"/>
          <w:color w:val="262600"/>
        </w:rPr>
      </w:pPr>
      <w:r>
        <w:rPr>
          <w:rFonts w:ascii="宋体" w:hAnsi="宋体" w:hint="eastAsia"/>
          <w:color w:val="262600"/>
        </w:rPr>
        <w:t>1.了解设施蔬菜生产机械化发展过程中存在的主要问题；</w:t>
      </w:r>
    </w:p>
    <w:p w14:paraId="59DD0FA6" w14:textId="77777777" w:rsidR="00F5289E" w:rsidRDefault="00C91173">
      <w:pPr>
        <w:spacing w:line="360" w:lineRule="auto"/>
        <w:rPr>
          <w:rFonts w:ascii="宋体" w:hAnsi="宋体"/>
          <w:color w:val="262600"/>
        </w:rPr>
      </w:pPr>
      <w:r>
        <w:rPr>
          <w:rFonts w:ascii="宋体" w:hAnsi="宋体" w:hint="eastAsia"/>
          <w:color w:val="262600"/>
        </w:rPr>
        <w:t>2.熟悉日光温室和塑料大棚蔬菜生产过程中现有的机械装备；</w:t>
      </w:r>
    </w:p>
    <w:p w14:paraId="10AE3145" w14:textId="77777777" w:rsidR="00F5289E" w:rsidRDefault="00C91173">
      <w:pPr>
        <w:spacing w:line="360" w:lineRule="auto"/>
        <w:rPr>
          <w:rFonts w:ascii="宋体" w:hAnsi="宋体"/>
          <w:color w:val="262600"/>
        </w:rPr>
      </w:pPr>
      <w:r>
        <w:rPr>
          <w:rFonts w:ascii="宋体" w:hAnsi="宋体" w:hint="eastAsia"/>
          <w:color w:val="262600"/>
        </w:rPr>
        <w:t>3.掌握发展设施机械化生产的方法。</w:t>
      </w:r>
    </w:p>
    <w:p w14:paraId="05A4CF01" w14:textId="77777777" w:rsidR="00F5289E" w:rsidRDefault="00C91173">
      <w:pPr>
        <w:spacing w:line="360" w:lineRule="auto"/>
        <w:rPr>
          <w:rFonts w:ascii="宋体" w:hAnsi="宋体"/>
          <w:color w:val="262600"/>
        </w:rPr>
      </w:pPr>
      <w:r>
        <w:rPr>
          <w:rFonts w:ascii="宋体" w:hAnsi="宋体"/>
          <w:b/>
          <w:bCs/>
        </w:rPr>
        <w:t>教学重点和难点</w:t>
      </w:r>
      <w:r>
        <w:rPr>
          <w:rFonts w:ascii="宋体" w:hAnsi="宋体"/>
          <w:color w:val="262600"/>
        </w:rPr>
        <w:t>：</w:t>
      </w:r>
      <w:r>
        <w:rPr>
          <w:rFonts w:ascii="宋体" w:hAnsi="宋体" w:hint="eastAsia"/>
          <w:color w:val="262600"/>
        </w:rPr>
        <w:t>设施蔬菜生产机械化发展过程中存在的主要问题；日光温室和塑料大棚蔬菜生产过程中现有的机械装备；设施蔬菜机械化生产的技术体系。</w:t>
      </w:r>
    </w:p>
    <w:p w14:paraId="1EA60FEA"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63BD4079" w14:textId="77777777" w:rsidR="00F5289E" w:rsidRDefault="00C91173">
      <w:pPr>
        <w:spacing w:line="360" w:lineRule="auto"/>
        <w:rPr>
          <w:rFonts w:ascii="宋体" w:hAnsi="宋体" w:cs="宋体"/>
          <w:color w:val="262600"/>
        </w:rPr>
      </w:pPr>
      <w:r>
        <w:rPr>
          <w:rFonts w:ascii="宋体" w:hAnsi="宋体" w:cs="宋体" w:hint="eastAsia"/>
          <w:color w:val="262600"/>
        </w:rPr>
        <w:t>1.限制设施蔬菜机械化发展的原因及目前存在问题；</w:t>
      </w:r>
    </w:p>
    <w:p w14:paraId="6E5F5232" w14:textId="77777777" w:rsidR="00F5289E" w:rsidRDefault="00C91173">
      <w:pPr>
        <w:spacing w:line="360" w:lineRule="auto"/>
        <w:rPr>
          <w:rFonts w:ascii="宋体" w:hAnsi="宋体" w:cs="宋体"/>
          <w:color w:val="262600"/>
        </w:rPr>
      </w:pPr>
      <w:r>
        <w:rPr>
          <w:rFonts w:ascii="宋体" w:hAnsi="宋体" w:cs="宋体" w:hint="eastAsia"/>
          <w:color w:val="262600"/>
        </w:rPr>
        <w:t>2.掌握构建设施蔬菜机械化生产技术的方法；</w:t>
      </w:r>
    </w:p>
    <w:p w14:paraId="59E14C1D" w14:textId="77777777" w:rsidR="00F5289E" w:rsidRDefault="00C91173">
      <w:pPr>
        <w:spacing w:line="360" w:lineRule="auto"/>
        <w:rPr>
          <w:rFonts w:ascii="宋体" w:hAnsi="宋体" w:cs="宋体"/>
          <w:color w:val="262600"/>
        </w:rPr>
      </w:pPr>
      <w:r>
        <w:rPr>
          <w:rFonts w:ascii="宋体" w:hAnsi="宋体" w:cs="宋体" w:hint="eastAsia"/>
          <w:color w:val="262600"/>
        </w:rPr>
        <w:t>3.日光温室和塑料大棚在发展蔬菜机械化发展过程中的异同点。</w:t>
      </w:r>
    </w:p>
    <w:p w14:paraId="3331C96E" w14:textId="77777777" w:rsidR="00F5289E" w:rsidRDefault="00C91173">
      <w:pPr>
        <w:spacing w:line="360" w:lineRule="auto"/>
        <w:rPr>
          <w:rFonts w:ascii="宋体" w:hAnsi="宋体" w:cs="宋体"/>
          <w:b/>
          <w:bCs/>
          <w:color w:val="262600"/>
        </w:rPr>
      </w:pPr>
      <w:r>
        <w:rPr>
          <w:rFonts w:ascii="宋体" w:hAnsi="宋体" w:cs="宋体" w:hint="eastAsia"/>
          <w:b/>
          <w:bCs/>
          <w:color w:val="262600"/>
        </w:rPr>
        <w:t>第二章 设施蔬菜机械化发展及趋势</w:t>
      </w:r>
    </w:p>
    <w:p w14:paraId="18095316" w14:textId="77777777" w:rsidR="00F5289E" w:rsidRDefault="00C91173">
      <w:pPr>
        <w:spacing w:line="360" w:lineRule="auto"/>
        <w:rPr>
          <w:rFonts w:ascii="宋体" w:hAnsi="宋体" w:cs="宋体"/>
          <w:color w:val="262600"/>
        </w:rPr>
      </w:pPr>
      <w:r>
        <w:rPr>
          <w:rFonts w:ascii="宋体" w:hAnsi="宋体" w:cs="宋体" w:hint="eastAsia"/>
          <w:color w:val="262600"/>
        </w:rPr>
        <w:t>1.设施蔬菜机械化发展存在的问题及产生原因；</w:t>
      </w:r>
    </w:p>
    <w:p w14:paraId="38C52977" w14:textId="77777777" w:rsidR="00F5289E" w:rsidRDefault="00C91173">
      <w:pPr>
        <w:spacing w:line="360" w:lineRule="auto"/>
        <w:rPr>
          <w:rFonts w:ascii="宋体" w:hAnsi="宋体" w:cs="宋体"/>
          <w:color w:val="262600"/>
        </w:rPr>
      </w:pPr>
      <w:r>
        <w:rPr>
          <w:rFonts w:ascii="宋体" w:hAnsi="宋体" w:cs="宋体" w:hint="eastAsia"/>
          <w:color w:val="262600"/>
        </w:rPr>
        <w:t>2.构建机械化生产模式的方法</w:t>
      </w:r>
    </w:p>
    <w:p w14:paraId="7ED49617" w14:textId="77777777" w:rsidR="00F5289E" w:rsidRDefault="00C91173">
      <w:pPr>
        <w:spacing w:line="360" w:lineRule="auto"/>
        <w:rPr>
          <w:rFonts w:ascii="宋体" w:hAnsi="宋体" w:cs="宋体"/>
          <w:color w:val="262600"/>
        </w:rPr>
      </w:pPr>
      <w:r>
        <w:rPr>
          <w:rFonts w:ascii="宋体" w:hAnsi="宋体" w:cs="宋体" w:hint="eastAsia"/>
          <w:color w:val="262600"/>
        </w:rPr>
        <w:t>3.设施蔬菜机械化实践案例解析</w:t>
      </w:r>
    </w:p>
    <w:p w14:paraId="3C8EE4B8" w14:textId="77777777" w:rsidR="00F5289E" w:rsidRDefault="00C91173">
      <w:pPr>
        <w:rPr>
          <w:rFonts w:ascii="宋体" w:hAnsi="宋体"/>
          <w:szCs w:val="21"/>
        </w:rPr>
      </w:pPr>
      <w:r>
        <w:rPr>
          <w:rFonts w:ascii="宋体" w:hAnsi="宋体" w:hint="eastAsia"/>
          <w:b/>
          <w:bCs/>
          <w:szCs w:val="21"/>
        </w:rPr>
        <w:t>教学组织与实施：</w:t>
      </w:r>
    </w:p>
    <w:p w14:paraId="50E94421" w14:textId="77777777" w:rsidR="00F5289E" w:rsidRDefault="00C91173">
      <w:pPr>
        <w:spacing w:line="360" w:lineRule="auto"/>
        <w:ind w:firstLineChars="200" w:firstLine="420"/>
        <w:rPr>
          <w:rFonts w:ascii="宋体" w:hAnsi="宋体"/>
          <w:color w:val="262600"/>
        </w:rPr>
      </w:pPr>
      <w:r>
        <w:rPr>
          <w:rFonts w:ascii="宋体" w:hAnsi="宋体" w:hint="eastAsia"/>
          <w:color w:val="262600"/>
        </w:rPr>
        <w:t>根据学生认知规律和接受特点，首先指导学生讨论与总结限制设施蔬菜机械化发展的原因及目前存在问题，其次，结合设施结构特点，从设施蔬菜生产系统的角度，提出进行“农艺-农机-设施”深度融合的构建设施蔬菜机械化发展的模式，最后展示目前在设施中发展机械化所做出的一些成果，采用图文并茂并结合教学视频的方式讲授本章内容；结合课堂作业和提问互动增强学生掌握重点内容。</w:t>
      </w:r>
    </w:p>
    <w:p w14:paraId="1FE7854D" w14:textId="77777777" w:rsidR="00F5289E" w:rsidRDefault="00F5289E">
      <w:pPr>
        <w:spacing w:line="360" w:lineRule="auto"/>
        <w:ind w:firstLineChars="200" w:firstLine="420"/>
        <w:rPr>
          <w:rFonts w:ascii="宋体" w:hAnsi="宋体"/>
          <w:color w:val="262600"/>
        </w:rPr>
      </w:pPr>
    </w:p>
    <w:tbl>
      <w:tblPr>
        <w:tblStyle w:val="af6"/>
        <w:tblW w:w="8896" w:type="dxa"/>
        <w:tblInd w:w="4" w:type="dxa"/>
        <w:tblCellMar>
          <w:left w:w="0" w:type="dxa"/>
          <w:right w:w="0" w:type="dxa"/>
        </w:tblCellMar>
        <w:tblLook w:val="04A0" w:firstRow="1" w:lastRow="0" w:firstColumn="1" w:lastColumn="0" w:noHBand="0" w:noVBand="1"/>
      </w:tblPr>
      <w:tblGrid>
        <w:gridCol w:w="2690"/>
        <w:gridCol w:w="3402"/>
        <w:gridCol w:w="2804"/>
      </w:tblGrid>
      <w:tr w:rsidR="00F5289E" w14:paraId="791F60B6" w14:textId="77777777" w:rsidTr="00F63B33">
        <w:trPr>
          <w:trHeight w:val="270"/>
        </w:trPr>
        <w:tc>
          <w:tcPr>
            <w:tcW w:w="2690" w:type="dxa"/>
            <w:tcBorders>
              <w:top w:val="nil"/>
              <w:left w:val="nil"/>
              <w:bottom w:val="nil"/>
              <w:right w:val="nil"/>
            </w:tcBorders>
            <w:vAlign w:val="center"/>
          </w:tcPr>
          <w:p w14:paraId="0FF19040" w14:textId="77777777" w:rsidR="00F5289E" w:rsidRDefault="00F5289E">
            <w:pPr>
              <w:widowControl/>
              <w:snapToGrid w:val="0"/>
              <w:spacing w:line="360" w:lineRule="auto"/>
              <w:jc w:val="center"/>
              <w:rPr>
                <w:rFonts w:hAnsi="宋体"/>
                <w:b/>
                <w:bCs/>
                <w:szCs w:val="21"/>
              </w:rPr>
            </w:pPr>
          </w:p>
        </w:tc>
        <w:tc>
          <w:tcPr>
            <w:tcW w:w="3402" w:type="dxa"/>
            <w:tcBorders>
              <w:top w:val="nil"/>
              <w:left w:val="nil"/>
              <w:bottom w:val="nil"/>
              <w:right w:val="nil"/>
            </w:tcBorders>
            <w:vAlign w:val="center"/>
          </w:tcPr>
          <w:p w14:paraId="4137A058"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三</w:t>
            </w:r>
            <w:r>
              <w:rPr>
                <w:rFonts w:hAnsi="宋体"/>
                <w:b/>
                <w:bCs/>
                <w:szCs w:val="21"/>
              </w:rPr>
              <w:t>章</w:t>
            </w:r>
            <w:r>
              <w:rPr>
                <w:rFonts w:hint="eastAsia"/>
                <w:b/>
                <w:bCs/>
                <w:szCs w:val="21"/>
              </w:rPr>
              <w:t xml:space="preserve">  </w:t>
            </w:r>
            <w:r>
              <w:rPr>
                <w:rFonts w:hint="eastAsia"/>
                <w:b/>
                <w:bCs/>
                <w:szCs w:val="21"/>
              </w:rPr>
              <w:t>设施整地与播种机械化装备</w:t>
            </w:r>
          </w:p>
        </w:tc>
        <w:tc>
          <w:tcPr>
            <w:tcW w:w="2804" w:type="dxa"/>
            <w:tcBorders>
              <w:top w:val="nil"/>
              <w:left w:val="nil"/>
              <w:bottom w:val="nil"/>
              <w:right w:val="nil"/>
            </w:tcBorders>
            <w:vAlign w:val="center"/>
          </w:tcPr>
          <w:p w14:paraId="0E0F398C"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43CE1071" w14:textId="77777777" w:rsidR="00F5289E" w:rsidRDefault="00C91173">
      <w:pPr>
        <w:spacing w:line="360" w:lineRule="auto"/>
        <w:rPr>
          <w:color w:val="262600"/>
        </w:rPr>
      </w:pPr>
      <w:r>
        <w:rPr>
          <w:b/>
          <w:bCs/>
        </w:rPr>
        <w:t>教学</w:t>
      </w:r>
      <w:r>
        <w:rPr>
          <w:rFonts w:hint="eastAsia"/>
          <w:b/>
          <w:bCs/>
        </w:rPr>
        <w:t>目标</w:t>
      </w:r>
      <w:r>
        <w:rPr>
          <w:color w:val="262600"/>
        </w:rPr>
        <w:t>：</w:t>
      </w:r>
    </w:p>
    <w:p w14:paraId="53598F4C" w14:textId="77777777" w:rsidR="00F5289E" w:rsidRDefault="00C91173">
      <w:pPr>
        <w:spacing w:line="360" w:lineRule="auto"/>
        <w:rPr>
          <w:rFonts w:ascii="宋体" w:hAnsi="宋体"/>
          <w:color w:val="262600"/>
        </w:rPr>
      </w:pPr>
      <w:r>
        <w:rPr>
          <w:rFonts w:ascii="宋体" w:hAnsi="宋体" w:hint="eastAsia"/>
          <w:color w:val="262600"/>
        </w:rPr>
        <w:t>1.了解设施园艺整地的目的，机械类型、工作原理；常见播种机械的分类、结构和技术要点；</w:t>
      </w:r>
    </w:p>
    <w:p w14:paraId="2DDB450E" w14:textId="77777777" w:rsidR="00F5289E" w:rsidRDefault="00C91173">
      <w:pPr>
        <w:spacing w:line="360" w:lineRule="auto"/>
        <w:rPr>
          <w:rFonts w:ascii="宋体" w:hAnsi="宋体"/>
          <w:color w:val="262600"/>
        </w:rPr>
      </w:pPr>
      <w:r>
        <w:rPr>
          <w:rFonts w:ascii="宋体" w:hAnsi="宋体" w:hint="eastAsia"/>
          <w:color w:val="262600"/>
        </w:rPr>
        <w:t>2.掌握和熟悉常见整地播种机械的作业特点。</w:t>
      </w:r>
    </w:p>
    <w:p w14:paraId="4FF4F9E2" w14:textId="77777777" w:rsidR="00F5289E" w:rsidRDefault="00C91173">
      <w:pPr>
        <w:spacing w:line="360" w:lineRule="auto"/>
        <w:rPr>
          <w:rFonts w:ascii="宋体" w:hAnsi="宋体"/>
          <w:color w:val="262600"/>
        </w:rPr>
      </w:pPr>
      <w:r>
        <w:rPr>
          <w:rFonts w:ascii="宋体" w:hAnsi="宋体"/>
          <w:b/>
          <w:bCs/>
        </w:rPr>
        <w:t>教学重点和难点</w:t>
      </w:r>
      <w:r>
        <w:rPr>
          <w:rFonts w:ascii="宋体" w:hAnsi="宋体"/>
          <w:color w:val="262600"/>
        </w:rPr>
        <w:t>：各种</w:t>
      </w:r>
      <w:r>
        <w:rPr>
          <w:rFonts w:ascii="宋体" w:hAnsi="宋体" w:hint="eastAsia"/>
          <w:color w:val="262600"/>
        </w:rPr>
        <w:t>耕整地机械和播种机械的作业特点和技术要求</w:t>
      </w:r>
    </w:p>
    <w:p w14:paraId="04233E1A"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57122D9B" w14:textId="77777777" w:rsidR="00F5289E" w:rsidRDefault="00C91173">
      <w:pPr>
        <w:spacing w:line="360" w:lineRule="auto"/>
        <w:rPr>
          <w:rFonts w:ascii="宋体" w:hAnsi="宋体"/>
          <w:color w:val="262600"/>
        </w:rPr>
      </w:pPr>
      <w:r>
        <w:rPr>
          <w:rFonts w:ascii="宋体" w:hAnsi="宋体" w:hint="eastAsia"/>
          <w:color w:val="262600"/>
        </w:rPr>
        <w:lastRenderedPageBreak/>
        <w:t>1.整地播种机械的目的和分类方法；</w:t>
      </w:r>
    </w:p>
    <w:p w14:paraId="6F6C7C0E" w14:textId="77777777" w:rsidR="00F5289E" w:rsidRDefault="00C91173">
      <w:pPr>
        <w:spacing w:line="360" w:lineRule="auto"/>
        <w:rPr>
          <w:rFonts w:ascii="宋体" w:hAnsi="宋体"/>
          <w:color w:val="262600"/>
        </w:rPr>
      </w:pPr>
      <w:r>
        <w:rPr>
          <w:rFonts w:ascii="宋体" w:hAnsi="宋体" w:hint="eastAsia"/>
          <w:color w:val="262600"/>
        </w:rPr>
        <w:t>2.整地播种机械的作业特点；</w:t>
      </w:r>
    </w:p>
    <w:p w14:paraId="2FE022BE" w14:textId="77777777" w:rsidR="00F5289E" w:rsidRDefault="00C91173">
      <w:pPr>
        <w:spacing w:line="360" w:lineRule="auto"/>
        <w:rPr>
          <w:rFonts w:ascii="宋体" w:hAnsi="宋体"/>
          <w:color w:val="262600"/>
        </w:rPr>
      </w:pPr>
      <w:r>
        <w:rPr>
          <w:rFonts w:ascii="宋体" w:hAnsi="宋体" w:hint="eastAsia"/>
          <w:color w:val="262600"/>
        </w:rPr>
        <w:t>3.自走式旋耕机与拖拉机驱动的旋耕机相比的结构特点。</w:t>
      </w:r>
    </w:p>
    <w:p w14:paraId="44A19E07" w14:textId="77777777" w:rsidR="00F5289E" w:rsidRDefault="00C91173">
      <w:pPr>
        <w:spacing w:line="360" w:lineRule="auto"/>
        <w:rPr>
          <w:rFonts w:ascii="宋体" w:hAnsi="宋体"/>
          <w:b/>
          <w:bCs/>
          <w:color w:val="262600"/>
        </w:rPr>
      </w:pPr>
      <w:r>
        <w:rPr>
          <w:rFonts w:ascii="宋体" w:hAnsi="宋体" w:hint="eastAsia"/>
          <w:b/>
          <w:bCs/>
          <w:color w:val="262600"/>
        </w:rPr>
        <w:t>第三章 整地与播种机械化装备</w:t>
      </w:r>
    </w:p>
    <w:p w14:paraId="07384591" w14:textId="77777777" w:rsidR="00F5289E" w:rsidRDefault="00C91173">
      <w:pPr>
        <w:spacing w:line="360" w:lineRule="auto"/>
        <w:rPr>
          <w:rFonts w:ascii="宋体" w:hAnsi="宋体"/>
          <w:color w:val="262600"/>
        </w:rPr>
      </w:pPr>
      <w:r>
        <w:rPr>
          <w:rFonts w:ascii="宋体" w:hAnsi="宋体" w:hint="eastAsia"/>
          <w:color w:val="262600"/>
        </w:rPr>
        <w:t xml:space="preserve">第一节 整地的目的和技术要求 </w:t>
      </w:r>
    </w:p>
    <w:p w14:paraId="14D1890C" w14:textId="77777777" w:rsidR="00F5289E" w:rsidRDefault="00C91173">
      <w:pPr>
        <w:spacing w:line="360" w:lineRule="auto"/>
        <w:rPr>
          <w:rFonts w:ascii="宋体" w:hAnsi="宋体"/>
          <w:color w:val="262600"/>
        </w:rPr>
      </w:pPr>
      <w:r>
        <w:rPr>
          <w:rFonts w:ascii="宋体" w:hAnsi="宋体" w:hint="eastAsia"/>
          <w:color w:val="262600"/>
        </w:rPr>
        <w:t>第二节 整地与播种机械化装备作业特点、结构</w:t>
      </w:r>
    </w:p>
    <w:p w14:paraId="45833BC5" w14:textId="77777777" w:rsidR="00F5289E" w:rsidRDefault="00C91173">
      <w:pPr>
        <w:spacing w:line="360" w:lineRule="auto"/>
        <w:rPr>
          <w:rFonts w:ascii="宋体" w:hAnsi="宋体"/>
          <w:color w:val="262600"/>
        </w:rPr>
      </w:pPr>
      <w:r>
        <w:rPr>
          <w:rFonts w:ascii="宋体" w:hAnsi="宋体" w:hint="eastAsia"/>
          <w:color w:val="262600"/>
        </w:rPr>
        <w:t>第三节 整地与播种机械化装备现状及分类</w:t>
      </w:r>
    </w:p>
    <w:p w14:paraId="5698C710" w14:textId="77777777" w:rsidR="00F5289E" w:rsidRDefault="00C91173">
      <w:pPr>
        <w:rPr>
          <w:rFonts w:ascii="宋体" w:hAnsi="宋体"/>
          <w:szCs w:val="21"/>
        </w:rPr>
      </w:pPr>
      <w:r>
        <w:rPr>
          <w:rFonts w:ascii="宋体" w:hAnsi="宋体" w:hint="eastAsia"/>
          <w:b/>
          <w:bCs/>
          <w:szCs w:val="21"/>
        </w:rPr>
        <w:t>教学组织与实施：</w:t>
      </w:r>
    </w:p>
    <w:p w14:paraId="3E198A21" w14:textId="77777777" w:rsidR="00F5289E" w:rsidRDefault="00C91173">
      <w:pPr>
        <w:spacing w:line="360" w:lineRule="auto"/>
        <w:ind w:firstLineChars="200" w:firstLine="420"/>
        <w:rPr>
          <w:rFonts w:ascii="宋体" w:hAnsi="宋体"/>
          <w:color w:val="262600"/>
        </w:rPr>
      </w:pPr>
      <w:r>
        <w:rPr>
          <w:rFonts w:ascii="宋体" w:hAnsi="宋体" w:hint="eastAsia"/>
          <w:color w:val="262600"/>
        </w:rPr>
        <w:t>根据设施园艺整地的目的，机械类型、工作原理；常见播种机械的分类、结构和技术要点；采用</w:t>
      </w:r>
      <w:r>
        <w:rPr>
          <w:rFonts w:ascii="宋体" w:hAnsi="宋体"/>
          <w:color w:val="262600"/>
        </w:rPr>
        <w:t>图文并茂并结合</w:t>
      </w:r>
      <w:r>
        <w:rPr>
          <w:rFonts w:ascii="宋体" w:hAnsi="宋体" w:hint="eastAsia"/>
          <w:color w:val="262600"/>
        </w:rPr>
        <w:t>视频</w:t>
      </w:r>
      <w:r>
        <w:rPr>
          <w:rFonts w:ascii="宋体" w:hAnsi="宋体"/>
          <w:color w:val="262600"/>
        </w:rPr>
        <w:t>演示</w:t>
      </w:r>
      <w:r>
        <w:rPr>
          <w:rFonts w:ascii="宋体" w:hAnsi="宋体" w:hint="eastAsia"/>
          <w:color w:val="262600"/>
        </w:rPr>
        <w:t>，</w:t>
      </w:r>
      <w:r>
        <w:rPr>
          <w:rFonts w:ascii="宋体" w:hAnsi="宋体"/>
          <w:color w:val="262600"/>
        </w:rPr>
        <w:t>让学生在课堂中观察、体会不同</w:t>
      </w:r>
      <w:r>
        <w:rPr>
          <w:rFonts w:ascii="宋体" w:hAnsi="宋体" w:hint="eastAsia"/>
          <w:color w:val="262600"/>
        </w:rPr>
        <w:t>整地、播种机械</w:t>
      </w:r>
      <w:r>
        <w:rPr>
          <w:rFonts w:ascii="宋体" w:hAnsi="宋体"/>
          <w:color w:val="262600"/>
        </w:rPr>
        <w:t>的特性区别，最终</w:t>
      </w:r>
      <w:r>
        <w:rPr>
          <w:rFonts w:ascii="宋体" w:hAnsi="宋体" w:hint="eastAsia"/>
          <w:color w:val="262600"/>
        </w:rPr>
        <w:t>掌握和熟悉常见整地播种机械的作业特点，结合</w:t>
      </w:r>
      <w:r>
        <w:rPr>
          <w:rFonts w:ascii="宋体" w:hAnsi="宋体"/>
          <w:color w:val="262600"/>
        </w:rPr>
        <w:t>课堂作业和提问</w:t>
      </w:r>
      <w:r>
        <w:rPr>
          <w:rFonts w:ascii="宋体" w:hAnsi="宋体" w:hint="eastAsia"/>
          <w:color w:val="262600"/>
        </w:rPr>
        <w:t>互动</w:t>
      </w:r>
      <w:r>
        <w:rPr>
          <w:rFonts w:ascii="宋体" w:hAnsi="宋体"/>
          <w:color w:val="262600"/>
        </w:rPr>
        <w:t>增强学生</w:t>
      </w:r>
      <w:r>
        <w:rPr>
          <w:rFonts w:ascii="宋体" w:hAnsi="宋体" w:hint="eastAsia"/>
          <w:color w:val="262600"/>
        </w:rPr>
        <w:t>掌握</w:t>
      </w:r>
      <w:r>
        <w:rPr>
          <w:rFonts w:ascii="宋体" w:hAnsi="宋体"/>
          <w:color w:val="262600"/>
        </w:rPr>
        <w:t>重点内容</w:t>
      </w:r>
      <w:r>
        <w:rPr>
          <w:rFonts w:ascii="宋体" w:hAnsi="宋体" w:hint="eastAsia"/>
          <w:color w:val="262600"/>
        </w:rPr>
        <w:t>。</w:t>
      </w:r>
    </w:p>
    <w:tbl>
      <w:tblPr>
        <w:tblStyle w:val="af6"/>
        <w:tblW w:w="0" w:type="auto"/>
        <w:tblInd w:w="4" w:type="dxa"/>
        <w:tblCellMar>
          <w:left w:w="0" w:type="dxa"/>
          <w:right w:w="0" w:type="dxa"/>
        </w:tblCellMar>
        <w:tblLook w:val="04A0" w:firstRow="1" w:lastRow="0" w:firstColumn="1" w:lastColumn="0" w:noHBand="0" w:noVBand="1"/>
      </w:tblPr>
      <w:tblGrid>
        <w:gridCol w:w="2690"/>
        <w:gridCol w:w="3402"/>
        <w:gridCol w:w="2804"/>
      </w:tblGrid>
      <w:tr w:rsidR="00F5289E" w14:paraId="3BF78E32" w14:textId="77777777" w:rsidTr="00F63B33">
        <w:trPr>
          <w:trHeight w:val="270"/>
        </w:trPr>
        <w:tc>
          <w:tcPr>
            <w:tcW w:w="2690" w:type="dxa"/>
            <w:tcBorders>
              <w:top w:val="nil"/>
              <w:left w:val="nil"/>
              <w:bottom w:val="nil"/>
              <w:right w:val="nil"/>
            </w:tcBorders>
            <w:vAlign w:val="center"/>
          </w:tcPr>
          <w:p w14:paraId="74D4DB3E" w14:textId="77777777" w:rsidR="00F5289E" w:rsidRDefault="00F5289E">
            <w:pPr>
              <w:widowControl/>
              <w:snapToGrid w:val="0"/>
              <w:spacing w:line="360" w:lineRule="auto"/>
              <w:jc w:val="center"/>
              <w:rPr>
                <w:rFonts w:hAnsi="宋体"/>
                <w:b/>
                <w:bCs/>
                <w:szCs w:val="21"/>
              </w:rPr>
            </w:pPr>
            <w:bookmarkStart w:id="75" w:name="_Hlk137763063"/>
          </w:p>
        </w:tc>
        <w:tc>
          <w:tcPr>
            <w:tcW w:w="3402" w:type="dxa"/>
            <w:tcBorders>
              <w:top w:val="nil"/>
              <w:left w:val="nil"/>
              <w:bottom w:val="nil"/>
              <w:right w:val="nil"/>
            </w:tcBorders>
            <w:vAlign w:val="center"/>
          </w:tcPr>
          <w:p w14:paraId="24EBCFC3"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四</w:t>
            </w:r>
            <w:r>
              <w:rPr>
                <w:rFonts w:hAnsi="宋体"/>
                <w:b/>
                <w:bCs/>
                <w:szCs w:val="21"/>
              </w:rPr>
              <w:t>章</w:t>
            </w:r>
            <w:r>
              <w:rPr>
                <w:rFonts w:hint="eastAsia"/>
                <w:b/>
                <w:bCs/>
                <w:szCs w:val="21"/>
              </w:rPr>
              <w:t xml:space="preserve">  </w:t>
            </w:r>
            <w:r>
              <w:rPr>
                <w:rFonts w:hint="eastAsia"/>
                <w:b/>
                <w:bCs/>
                <w:szCs w:val="21"/>
              </w:rPr>
              <w:t>设施育苗移栽与机械化装备</w:t>
            </w:r>
          </w:p>
        </w:tc>
        <w:tc>
          <w:tcPr>
            <w:tcW w:w="2804" w:type="dxa"/>
            <w:tcBorders>
              <w:top w:val="nil"/>
              <w:left w:val="nil"/>
              <w:bottom w:val="nil"/>
              <w:right w:val="nil"/>
            </w:tcBorders>
            <w:vAlign w:val="center"/>
          </w:tcPr>
          <w:p w14:paraId="058E3799"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bookmarkEnd w:id="75"/>
    <w:p w14:paraId="2316F50C" w14:textId="77777777" w:rsidR="00F5289E" w:rsidRDefault="00C91173">
      <w:pPr>
        <w:spacing w:line="360" w:lineRule="auto"/>
        <w:rPr>
          <w:color w:val="262600"/>
        </w:rPr>
      </w:pPr>
      <w:r>
        <w:rPr>
          <w:b/>
          <w:bCs/>
        </w:rPr>
        <w:t>教学目</w:t>
      </w:r>
      <w:r>
        <w:rPr>
          <w:rFonts w:hint="eastAsia"/>
          <w:b/>
          <w:bCs/>
        </w:rPr>
        <w:t>标</w:t>
      </w:r>
      <w:r>
        <w:rPr>
          <w:color w:val="262600"/>
        </w:rPr>
        <w:t>：</w:t>
      </w:r>
      <w:r>
        <w:rPr>
          <w:rFonts w:hint="eastAsia"/>
          <w:color w:val="262600"/>
        </w:rPr>
        <w:t>掌握移苗定植机械化装备的概念、意义、方法；掌握移苗定植机械化装备的特点和类型；了解我国移苗定植机械化装备技术水平概况、存在问题及发展方向；分析我国移苗定植机械化装备应用案例。</w:t>
      </w:r>
    </w:p>
    <w:p w14:paraId="42C3A1E1" w14:textId="77777777" w:rsidR="00F5289E" w:rsidRDefault="00C91173">
      <w:pPr>
        <w:spacing w:line="360" w:lineRule="auto"/>
        <w:rPr>
          <w:color w:val="262600"/>
        </w:rPr>
      </w:pPr>
      <w:r>
        <w:rPr>
          <w:b/>
          <w:bCs/>
        </w:rPr>
        <w:t>教学重点和难点</w:t>
      </w:r>
      <w:r>
        <w:rPr>
          <w:color w:val="262600"/>
        </w:rPr>
        <w:t>：</w:t>
      </w:r>
      <w:r>
        <w:rPr>
          <w:rFonts w:hint="eastAsia"/>
          <w:color w:val="262600"/>
        </w:rPr>
        <w:t>移苗定植机械化装备的技术要求、种类、特点、类型及结构组成；熟练掌握蔬菜移栽机和嫁接机械的使用。</w:t>
      </w:r>
    </w:p>
    <w:p w14:paraId="66260A61" w14:textId="77777777" w:rsidR="00F5289E" w:rsidRDefault="00C91173">
      <w:pPr>
        <w:spacing w:line="360" w:lineRule="auto"/>
        <w:rPr>
          <w:color w:val="262600"/>
        </w:rPr>
      </w:pPr>
      <w:r>
        <w:rPr>
          <w:b/>
          <w:bCs/>
        </w:rPr>
        <w:t>主要教学内容及要求</w:t>
      </w:r>
      <w:r>
        <w:rPr>
          <w:color w:val="262600"/>
        </w:rPr>
        <w:t>：</w:t>
      </w:r>
      <w:r>
        <w:rPr>
          <w:rFonts w:hint="eastAsia"/>
          <w:color w:val="262600"/>
        </w:rPr>
        <w:t>了解设施育苗移栽机械装备的概念、意义、特点及与露地机械的区别；掌握移苗定植机械化装备的特点和类型；了解我国移苗定植机械化装备技术水平概况、存在问题及发展方向。</w:t>
      </w:r>
    </w:p>
    <w:p w14:paraId="5C691CAE" w14:textId="77777777" w:rsidR="00F5289E" w:rsidRDefault="00C91173">
      <w:pPr>
        <w:spacing w:line="360" w:lineRule="auto"/>
        <w:rPr>
          <w:rFonts w:ascii="宋体" w:hAnsi="宋体"/>
          <w:b/>
          <w:color w:val="262600"/>
        </w:rPr>
      </w:pPr>
      <w:r>
        <w:rPr>
          <w:rFonts w:ascii="宋体" w:hAnsi="宋体" w:hint="eastAsia"/>
          <w:b/>
          <w:color w:val="262600"/>
        </w:rPr>
        <w:t>育苗移苗定植装备：</w:t>
      </w:r>
    </w:p>
    <w:p w14:paraId="477E1933" w14:textId="77777777" w:rsidR="00F5289E" w:rsidRDefault="00C91173">
      <w:pPr>
        <w:spacing w:line="360" w:lineRule="auto"/>
        <w:rPr>
          <w:rFonts w:ascii="宋体" w:hAnsi="宋体"/>
          <w:color w:val="262600"/>
        </w:rPr>
      </w:pPr>
      <w:r>
        <w:rPr>
          <w:rFonts w:ascii="宋体" w:hAnsi="宋体"/>
          <w:color w:val="262600"/>
        </w:rPr>
        <w:t>1．育苗移苗机械化装备的概念、意义、方法</w:t>
      </w:r>
    </w:p>
    <w:p w14:paraId="4B999923" w14:textId="77777777" w:rsidR="00F5289E" w:rsidRDefault="00C91173">
      <w:pPr>
        <w:spacing w:line="360" w:lineRule="auto"/>
        <w:rPr>
          <w:rFonts w:ascii="宋体" w:hAnsi="宋体"/>
          <w:color w:val="262600"/>
        </w:rPr>
      </w:pPr>
      <w:r>
        <w:rPr>
          <w:rFonts w:ascii="宋体" w:hAnsi="宋体"/>
          <w:color w:val="262600"/>
        </w:rPr>
        <w:t>2. 育苗移栽机械装备常见种类、结构、特点及工作原理</w:t>
      </w:r>
    </w:p>
    <w:p w14:paraId="5E94A4DC" w14:textId="77777777" w:rsidR="00F5289E" w:rsidRDefault="00C91173">
      <w:pPr>
        <w:spacing w:line="360" w:lineRule="auto"/>
        <w:rPr>
          <w:rFonts w:ascii="宋体" w:hAnsi="宋体"/>
          <w:color w:val="262600"/>
        </w:rPr>
      </w:pPr>
      <w:r>
        <w:rPr>
          <w:rFonts w:ascii="宋体" w:hAnsi="宋体"/>
          <w:color w:val="262600"/>
        </w:rPr>
        <w:t>3. 育苗移栽机械装备技术水平概况、存在问题及发展趋势</w:t>
      </w:r>
    </w:p>
    <w:p w14:paraId="07858143" w14:textId="77777777" w:rsidR="00F5289E" w:rsidRDefault="00C91173">
      <w:pPr>
        <w:rPr>
          <w:szCs w:val="21"/>
        </w:rPr>
      </w:pPr>
      <w:r>
        <w:rPr>
          <w:rFonts w:ascii="宋体" w:hAnsi="宋体" w:hint="eastAsia"/>
          <w:b/>
          <w:bCs/>
          <w:szCs w:val="21"/>
        </w:rPr>
        <w:t>教学组织与实施：</w:t>
      </w:r>
    </w:p>
    <w:p w14:paraId="27BCAC0D" w14:textId="77777777" w:rsidR="00F5289E" w:rsidRDefault="00C91173">
      <w:pPr>
        <w:spacing w:line="360" w:lineRule="auto"/>
        <w:ind w:firstLineChars="200" w:firstLine="420"/>
        <w:rPr>
          <w:color w:val="262600"/>
        </w:rPr>
      </w:pPr>
      <w:r>
        <w:rPr>
          <w:rFonts w:hint="eastAsia"/>
          <w:color w:val="262600"/>
        </w:rPr>
        <w:t>以讲解法、案例分析法为主；采用图文并茂并</w:t>
      </w:r>
      <w:r>
        <w:rPr>
          <w:color w:val="262600"/>
        </w:rPr>
        <w:t>结合教学视频</w:t>
      </w:r>
      <w:r>
        <w:rPr>
          <w:rFonts w:hint="eastAsia"/>
          <w:color w:val="262600"/>
        </w:rPr>
        <w:t>的方式展示国内外机械化育苗移栽机械</w:t>
      </w:r>
      <w:r>
        <w:rPr>
          <w:color w:val="262600"/>
        </w:rPr>
        <w:t>的流程、优秀</w:t>
      </w:r>
      <w:r>
        <w:rPr>
          <w:rFonts w:hint="eastAsia"/>
          <w:color w:val="262600"/>
        </w:rPr>
        <w:t>育苗</w:t>
      </w:r>
      <w:r>
        <w:rPr>
          <w:color w:val="262600"/>
        </w:rPr>
        <w:t>企业园区</w:t>
      </w:r>
      <w:r>
        <w:rPr>
          <w:rFonts w:hint="eastAsia"/>
          <w:color w:val="262600"/>
        </w:rPr>
        <w:t>设施机械化育苗移栽</w:t>
      </w:r>
      <w:r>
        <w:rPr>
          <w:color w:val="262600"/>
        </w:rPr>
        <w:t>管理技术要点</w:t>
      </w:r>
      <w:r>
        <w:rPr>
          <w:rFonts w:hint="eastAsia"/>
          <w:color w:val="262600"/>
        </w:rPr>
        <w:t>；结合课堂提问</w:t>
      </w:r>
      <w:r>
        <w:rPr>
          <w:color w:val="262600"/>
        </w:rPr>
        <w:t>互动</w:t>
      </w:r>
      <w:r>
        <w:rPr>
          <w:rFonts w:hint="eastAsia"/>
          <w:color w:val="262600"/>
        </w:rPr>
        <w:t>培养</w:t>
      </w:r>
      <w:r>
        <w:rPr>
          <w:color w:val="262600"/>
        </w:rPr>
        <w:t>学生专业学习兴趣。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2BA4959" w14:textId="77777777">
        <w:trPr>
          <w:trHeight w:val="270"/>
        </w:trPr>
        <w:tc>
          <w:tcPr>
            <w:tcW w:w="2965" w:type="dxa"/>
            <w:tcBorders>
              <w:top w:val="nil"/>
              <w:left w:val="nil"/>
              <w:bottom w:val="nil"/>
              <w:right w:val="nil"/>
            </w:tcBorders>
            <w:vAlign w:val="center"/>
          </w:tcPr>
          <w:p w14:paraId="0C2137DB"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71688AD2"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五</w:t>
            </w:r>
            <w:r>
              <w:rPr>
                <w:rFonts w:hAnsi="宋体"/>
                <w:b/>
                <w:bCs/>
                <w:szCs w:val="21"/>
              </w:rPr>
              <w:t>章</w:t>
            </w:r>
            <w:r>
              <w:rPr>
                <w:rFonts w:hint="eastAsia"/>
                <w:b/>
                <w:bCs/>
                <w:szCs w:val="21"/>
              </w:rPr>
              <w:t xml:space="preserve">  </w:t>
            </w:r>
            <w:r>
              <w:rPr>
                <w:rFonts w:hint="eastAsia"/>
                <w:b/>
                <w:bCs/>
                <w:szCs w:val="21"/>
              </w:rPr>
              <w:t>设施节水灌溉与施肥机械化装备</w:t>
            </w:r>
          </w:p>
        </w:tc>
        <w:tc>
          <w:tcPr>
            <w:tcW w:w="2966" w:type="dxa"/>
            <w:tcBorders>
              <w:top w:val="nil"/>
              <w:left w:val="nil"/>
              <w:bottom w:val="nil"/>
              <w:right w:val="nil"/>
            </w:tcBorders>
            <w:vAlign w:val="center"/>
          </w:tcPr>
          <w:p w14:paraId="52A29851"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7F9CA0B6" w14:textId="77777777" w:rsidR="00F5289E" w:rsidRDefault="00C91173">
      <w:pPr>
        <w:spacing w:line="360" w:lineRule="auto"/>
      </w:pPr>
      <w:r>
        <w:rPr>
          <w:b/>
          <w:bCs/>
        </w:rPr>
        <w:lastRenderedPageBreak/>
        <w:t>教学</w:t>
      </w:r>
      <w:r>
        <w:rPr>
          <w:rFonts w:hint="eastAsia"/>
          <w:b/>
          <w:bCs/>
        </w:rPr>
        <w:t>目标</w:t>
      </w:r>
      <w:r>
        <w:t>：</w:t>
      </w:r>
      <w:r>
        <w:rPr>
          <w:rFonts w:hint="eastAsia"/>
        </w:rPr>
        <w:t>掌握节水灌溉、施肥机械化的概念、意义、方法；掌握我国节水灌溉与施肥机械化装备分类、结构及技术水平概况、存在问题及发展方向；分析我国节水灌溉与施肥机械化装备应用案例。</w:t>
      </w:r>
    </w:p>
    <w:p w14:paraId="36CE6DF7" w14:textId="77777777" w:rsidR="00F5289E" w:rsidRDefault="00C91173">
      <w:pPr>
        <w:spacing w:line="360" w:lineRule="auto"/>
      </w:pPr>
      <w:r>
        <w:rPr>
          <w:b/>
          <w:bCs/>
        </w:rPr>
        <w:t>教学重点和难点</w:t>
      </w:r>
      <w:r>
        <w:t>：</w:t>
      </w:r>
      <w:r>
        <w:rPr>
          <w:rFonts w:hint="eastAsia"/>
        </w:rPr>
        <w:t>节水灌溉与施肥机械化装备的特点和</w:t>
      </w:r>
      <w:r>
        <w:t>关键技术</w:t>
      </w:r>
    </w:p>
    <w:p w14:paraId="285D5C59" w14:textId="77777777" w:rsidR="00F5289E" w:rsidRDefault="00C91173">
      <w:pPr>
        <w:spacing w:line="360" w:lineRule="auto"/>
      </w:pPr>
      <w:r>
        <w:rPr>
          <w:b/>
          <w:bCs/>
        </w:rPr>
        <w:t>主要教学内容及要求</w:t>
      </w:r>
      <w:r>
        <w:t>：</w:t>
      </w:r>
      <w:r>
        <w:rPr>
          <w:rFonts w:hint="eastAsia"/>
        </w:rPr>
        <w:t>了解</w:t>
      </w:r>
      <w:r>
        <w:t>设施</w:t>
      </w:r>
      <w:r>
        <w:rPr>
          <w:rFonts w:hint="eastAsia"/>
        </w:rPr>
        <w:t>节水灌溉的发展</w:t>
      </w:r>
      <w:r>
        <w:t>概况，掌握</w:t>
      </w:r>
      <w:r>
        <w:rPr>
          <w:rFonts w:hint="eastAsia"/>
        </w:rPr>
        <w:t>智慧灌溉、水肥一体化</w:t>
      </w:r>
      <w:r>
        <w:t>的概念、关键设备及</w:t>
      </w:r>
      <w:r>
        <w:rPr>
          <w:rFonts w:hint="eastAsia"/>
        </w:rPr>
        <w:t>技术体系</w:t>
      </w:r>
      <w:r>
        <w:t>，熟练掌握</w:t>
      </w:r>
      <w:r>
        <w:rPr>
          <w:rFonts w:hint="eastAsia"/>
        </w:rPr>
        <w:t>设施节水灌溉和施肥机械化装备的发展现状和趋势。</w:t>
      </w:r>
    </w:p>
    <w:p w14:paraId="20AC7DFA" w14:textId="77777777" w:rsidR="00F5289E" w:rsidRDefault="00C91173">
      <w:pPr>
        <w:spacing w:line="360" w:lineRule="auto"/>
        <w:rPr>
          <w:b/>
        </w:rPr>
      </w:pPr>
      <w:r>
        <w:rPr>
          <w:rFonts w:hint="eastAsia"/>
          <w:b/>
        </w:rPr>
        <w:t>节水灌溉与施肥机械化装备：</w:t>
      </w:r>
    </w:p>
    <w:p w14:paraId="1469A9C7" w14:textId="77777777" w:rsidR="00F5289E" w:rsidRDefault="00C91173">
      <w:pPr>
        <w:spacing w:line="360" w:lineRule="auto"/>
        <w:rPr>
          <w:rFonts w:ascii="宋体" w:hAnsi="宋体"/>
        </w:rPr>
      </w:pPr>
      <w:r>
        <w:rPr>
          <w:rFonts w:ascii="宋体" w:hAnsi="宋体" w:hint="eastAsia"/>
        </w:rPr>
        <w:t xml:space="preserve">1．节水灌溉的定义和方式 </w:t>
      </w:r>
    </w:p>
    <w:p w14:paraId="34A2F57C" w14:textId="77777777" w:rsidR="00F5289E" w:rsidRDefault="00C91173">
      <w:pPr>
        <w:spacing w:line="360" w:lineRule="auto"/>
        <w:rPr>
          <w:rFonts w:ascii="宋体" w:hAnsi="宋体"/>
        </w:rPr>
      </w:pPr>
      <w:r>
        <w:rPr>
          <w:rFonts w:ascii="宋体" w:hAnsi="宋体" w:hint="eastAsia"/>
        </w:rPr>
        <w:t>2.</w:t>
      </w:r>
      <w:r>
        <w:rPr>
          <w:rFonts w:ascii="宋体" w:hAnsi="宋体"/>
        </w:rPr>
        <w:t xml:space="preserve"> </w:t>
      </w:r>
      <w:r>
        <w:rPr>
          <w:rFonts w:ascii="宋体" w:hAnsi="宋体" w:hint="eastAsia"/>
        </w:rPr>
        <w:t xml:space="preserve">设施灌溉系统的组成和工作原理 </w:t>
      </w:r>
    </w:p>
    <w:p w14:paraId="6AB066BE" w14:textId="77777777" w:rsidR="00F5289E" w:rsidRDefault="00C91173">
      <w:pPr>
        <w:spacing w:line="360" w:lineRule="auto"/>
        <w:rPr>
          <w:rFonts w:ascii="宋体" w:hAnsi="宋体"/>
        </w:rPr>
      </w:pPr>
      <w:r>
        <w:rPr>
          <w:rFonts w:ascii="宋体" w:hAnsi="宋体"/>
        </w:rPr>
        <w:t xml:space="preserve">3. </w:t>
      </w:r>
      <w:r>
        <w:rPr>
          <w:rFonts w:ascii="宋体" w:hAnsi="宋体" w:hint="eastAsia"/>
        </w:rPr>
        <w:t>智慧灌溉、水肥一体化的概念和技术特点</w:t>
      </w:r>
    </w:p>
    <w:p w14:paraId="0C6278EB" w14:textId="77777777" w:rsidR="00F5289E" w:rsidRDefault="00C91173">
      <w:pPr>
        <w:rPr>
          <w:rFonts w:ascii="宋体" w:hAnsi="宋体"/>
          <w:szCs w:val="21"/>
        </w:rPr>
      </w:pPr>
      <w:r>
        <w:rPr>
          <w:rFonts w:ascii="宋体" w:hAnsi="宋体" w:hint="eastAsia"/>
          <w:b/>
          <w:bCs/>
          <w:szCs w:val="21"/>
        </w:rPr>
        <w:t>教学组织与实施：</w:t>
      </w:r>
    </w:p>
    <w:p w14:paraId="38C58672" w14:textId="77777777" w:rsidR="00F5289E" w:rsidRDefault="00C91173">
      <w:pPr>
        <w:spacing w:line="360" w:lineRule="auto"/>
        <w:ind w:firstLineChars="200" w:firstLine="420"/>
        <w:rPr>
          <w:rFonts w:ascii="宋体" w:hAnsi="宋体"/>
          <w:color w:val="262600"/>
        </w:rPr>
      </w:pPr>
      <w:r>
        <w:rPr>
          <w:rFonts w:ascii="宋体" w:hAnsi="宋体" w:hint="eastAsia"/>
          <w:color w:val="262600"/>
        </w:rPr>
        <w:t>以讲解法、案例分析法为主；采用图文并茂并</w:t>
      </w:r>
      <w:r>
        <w:rPr>
          <w:rFonts w:ascii="宋体" w:hAnsi="宋体"/>
          <w:color w:val="262600"/>
        </w:rPr>
        <w:t>结合教学视频</w:t>
      </w:r>
      <w:r>
        <w:rPr>
          <w:rFonts w:ascii="宋体" w:hAnsi="宋体" w:hint="eastAsia"/>
          <w:color w:val="262600"/>
        </w:rPr>
        <w:t>的方式展示工厂化育苗</w:t>
      </w:r>
      <w:r>
        <w:rPr>
          <w:rFonts w:ascii="宋体" w:hAnsi="宋体"/>
          <w:color w:val="262600"/>
        </w:rPr>
        <w:t>的流程、优秀</w:t>
      </w:r>
      <w:r>
        <w:rPr>
          <w:rFonts w:ascii="宋体" w:hAnsi="宋体" w:hint="eastAsia"/>
          <w:color w:val="262600"/>
        </w:rPr>
        <w:t>育苗</w:t>
      </w:r>
      <w:r>
        <w:rPr>
          <w:rFonts w:ascii="宋体" w:hAnsi="宋体"/>
          <w:color w:val="262600"/>
        </w:rPr>
        <w:t>企业园区管理技术要点</w:t>
      </w:r>
      <w:r>
        <w:rPr>
          <w:rFonts w:ascii="宋体" w:hAnsi="宋体" w:hint="eastAsia"/>
          <w:color w:val="262600"/>
        </w:rPr>
        <w:t>；结合课堂提问</w:t>
      </w:r>
      <w:r>
        <w:rPr>
          <w:rFonts w:ascii="宋体" w:hAnsi="宋体"/>
          <w:color w:val="262600"/>
        </w:rPr>
        <w:t>互动</w:t>
      </w:r>
      <w:r>
        <w:rPr>
          <w:rFonts w:ascii="宋体" w:hAnsi="宋体" w:hint="eastAsia"/>
          <w:color w:val="262600"/>
        </w:rPr>
        <w:t>培养</w:t>
      </w:r>
      <w:r>
        <w:rPr>
          <w:rFonts w:ascii="宋体" w:hAnsi="宋体"/>
          <w:color w:val="262600"/>
        </w:rPr>
        <w:t>学生专业学习兴趣。</w:t>
      </w:r>
      <w:r>
        <w:rPr>
          <w:rFonts w:ascii="宋体" w:hAnsi="宋体" w:hint="eastAsia"/>
          <w:color w:val="262600"/>
        </w:rPr>
        <w:t>并结合</w:t>
      </w:r>
      <w:r>
        <w:rPr>
          <w:rFonts w:ascii="宋体" w:hAnsi="宋体"/>
          <w:color w:val="262600"/>
        </w:rPr>
        <w:t>后期实验实地教学让学生熟练掌握穴盘育苗</w:t>
      </w:r>
      <w:r>
        <w:rPr>
          <w:rFonts w:ascii="宋体" w:hAnsi="宋体" w:hint="eastAsia"/>
          <w:color w:val="262600"/>
        </w:rPr>
        <w:t>技术</w:t>
      </w:r>
      <w:r>
        <w:rPr>
          <w:rFonts w:ascii="宋体" w:hAnsi="宋体"/>
          <w:color w:val="262600"/>
        </w:rPr>
        <w:t>。</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F01D292" w14:textId="77777777">
        <w:trPr>
          <w:trHeight w:val="270"/>
        </w:trPr>
        <w:tc>
          <w:tcPr>
            <w:tcW w:w="2965" w:type="dxa"/>
            <w:tcBorders>
              <w:top w:val="nil"/>
              <w:left w:val="nil"/>
              <w:bottom w:val="nil"/>
              <w:right w:val="nil"/>
            </w:tcBorders>
            <w:vAlign w:val="center"/>
          </w:tcPr>
          <w:p w14:paraId="0CC38A4D"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449D5901"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六</w:t>
            </w:r>
            <w:r>
              <w:rPr>
                <w:rFonts w:hAnsi="宋体"/>
                <w:b/>
                <w:bCs/>
                <w:szCs w:val="21"/>
              </w:rPr>
              <w:t>章</w:t>
            </w:r>
            <w:r>
              <w:rPr>
                <w:rFonts w:hint="eastAsia"/>
                <w:b/>
                <w:bCs/>
                <w:szCs w:val="21"/>
              </w:rPr>
              <w:t xml:space="preserve">  </w:t>
            </w:r>
            <w:r>
              <w:rPr>
                <w:rFonts w:hint="eastAsia"/>
                <w:b/>
                <w:bCs/>
                <w:szCs w:val="21"/>
              </w:rPr>
              <w:t>植物保护机械化装备</w:t>
            </w:r>
          </w:p>
        </w:tc>
        <w:tc>
          <w:tcPr>
            <w:tcW w:w="2966" w:type="dxa"/>
            <w:tcBorders>
              <w:top w:val="nil"/>
              <w:left w:val="nil"/>
              <w:bottom w:val="nil"/>
              <w:right w:val="nil"/>
            </w:tcBorders>
            <w:vAlign w:val="center"/>
          </w:tcPr>
          <w:p w14:paraId="636C5B92"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13F7FF69" w14:textId="77777777" w:rsidR="00F5289E" w:rsidRDefault="00C91173">
      <w:pPr>
        <w:spacing w:line="360" w:lineRule="auto"/>
        <w:rPr>
          <w:color w:val="262600"/>
        </w:rPr>
      </w:pPr>
      <w:bookmarkStart w:id="76" w:name="_Hlk137572558"/>
      <w:r>
        <w:rPr>
          <w:b/>
          <w:bCs/>
        </w:rPr>
        <w:t>教学目</w:t>
      </w:r>
      <w:r>
        <w:rPr>
          <w:rFonts w:hint="eastAsia"/>
          <w:b/>
          <w:bCs/>
        </w:rPr>
        <w:t>标</w:t>
      </w:r>
      <w:r>
        <w:rPr>
          <w:color w:val="262600"/>
        </w:rPr>
        <w:t>：</w:t>
      </w:r>
    </w:p>
    <w:p w14:paraId="2C0E26DA" w14:textId="77777777" w:rsidR="00F5289E" w:rsidRDefault="00C91173">
      <w:pPr>
        <w:spacing w:line="360" w:lineRule="auto"/>
        <w:rPr>
          <w:rFonts w:ascii="宋体" w:hAnsi="宋体"/>
          <w:color w:val="262600"/>
        </w:rPr>
      </w:pPr>
      <w:r>
        <w:rPr>
          <w:rFonts w:ascii="宋体" w:hAnsi="宋体" w:hint="eastAsia"/>
          <w:color w:val="262600"/>
        </w:rPr>
        <w:t>1.掌握植物保护的概念、意义、方法；</w:t>
      </w:r>
    </w:p>
    <w:p w14:paraId="35F54C84" w14:textId="77777777" w:rsidR="00F5289E" w:rsidRDefault="00C91173">
      <w:pPr>
        <w:spacing w:line="360" w:lineRule="auto"/>
        <w:rPr>
          <w:rFonts w:ascii="宋体" w:hAnsi="宋体"/>
          <w:color w:val="262600"/>
        </w:rPr>
      </w:pPr>
      <w:r>
        <w:rPr>
          <w:rFonts w:ascii="宋体" w:hAnsi="宋体" w:hint="eastAsia"/>
          <w:color w:val="262600"/>
        </w:rPr>
        <w:t>2.掌握机械化学防治的方法和分类；</w:t>
      </w:r>
    </w:p>
    <w:p w14:paraId="1E853D32" w14:textId="77777777" w:rsidR="00F5289E" w:rsidRDefault="00C91173">
      <w:pPr>
        <w:spacing w:line="360" w:lineRule="auto"/>
        <w:rPr>
          <w:rFonts w:ascii="宋体" w:hAnsi="宋体"/>
          <w:color w:val="262600"/>
        </w:rPr>
      </w:pPr>
      <w:r>
        <w:rPr>
          <w:rFonts w:ascii="宋体" w:hAnsi="宋体" w:hint="eastAsia"/>
          <w:color w:val="262600"/>
        </w:rPr>
        <w:t>3.熟悉植保机械的概念、类型，工作原理与应用；</w:t>
      </w:r>
    </w:p>
    <w:p w14:paraId="78896773" w14:textId="77777777" w:rsidR="00F5289E" w:rsidRDefault="00C91173">
      <w:pPr>
        <w:spacing w:line="360" w:lineRule="auto"/>
        <w:rPr>
          <w:rFonts w:ascii="宋体" w:hAnsi="宋体"/>
          <w:color w:val="262600"/>
        </w:rPr>
      </w:pPr>
      <w:r>
        <w:rPr>
          <w:rFonts w:ascii="宋体" w:hAnsi="宋体" w:hint="eastAsia"/>
          <w:color w:val="262600"/>
        </w:rPr>
        <w:t>4.了解无人机植保机械在我国的应用和发展现状；</w:t>
      </w:r>
    </w:p>
    <w:p w14:paraId="4A52A123" w14:textId="77777777" w:rsidR="00F5289E" w:rsidRDefault="00C91173">
      <w:pPr>
        <w:spacing w:line="360" w:lineRule="auto"/>
        <w:rPr>
          <w:rFonts w:ascii="宋体" w:hAnsi="宋体"/>
          <w:color w:val="262600"/>
        </w:rPr>
      </w:pPr>
      <w:r>
        <w:rPr>
          <w:rFonts w:ascii="宋体" w:hAnsi="宋体" w:hint="eastAsia"/>
          <w:color w:val="262600"/>
        </w:rPr>
        <w:t>5.掌握我国土壤消毒的概念、分类和方法；</w:t>
      </w:r>
    </w:p>
    <w:p w14:paraId="5EFC8704" w14:textId="77777777" w:rsidR="00F5289E" w:rsidRDefault="00C91173">
      <w:pPr>
        <w:spacing w:line="360" w:lineRule="auto"/>
        <w:rPr>
          <w:rFonts w:ascii="宋体" w:hAnsi="宋体"/>
          <w:color w:val="262600"/>
        </w:rPr>
      </w:pPr>
      <w:r>
        <w:rPr>
          <w:rFonts w:ascii="宋体" w:hAnsi="宋体" w:hint="eastAsia"/>
          <w:color w:val="262600"/>
        </w:rPr>
        <w:t>6.熟悉我国和国外植保机械化技术水平现状、存在问题及发展方向。</w:t>
      </w:r>
    </w:p>
    <w:p w14:paraId="18D4935A" w14:textId="77777777" w:rsidR="00F5289E" w:rsidRDefault="00C91173">
      <w:pPr>
        <w:tabs>
          <w:tab w:val="left" w:pos="4770"/>
        </w:tabs>
        <w:spacing w:line="360" w:lineRule="auto"/>
        <w:rPr>
          <w:color w:val="262600"/>
        </w:rPr>
      </w:pPr>
      <w:r>
        <w:rPr>
          <w:b/>
          <w:bCs/>
        </w:rPr>
        <w:t>教学重点和难点</w:t>
      </w:r>
      <w:r>
        <w:rPr>
          <w:color w:val="262600"/>
        </w:rPr>
        <w:t xml:space="preserve">: </w:t>
      </w:r>
      <w:r>
        <w:rPr>
          <w:rFonts w:hint="eastAsia"/>
          <w:color w:val="262600"/>
        </w:rPr>
        <w:t>掌握植物保护的概念、意义、方法、机械化学防治的方法和分析、国内外国外植保机械化技术水平现状、存在问题及发展方向。</w:t>
      </w:r>
    </w:p>
    <w:p w14:paraId="2E259094"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72285009" w14:textId="77777777" w:rsidR="00F5289E" w:rsidRDefault="00C91173">
      <w:pPr>
        <w:spacing w:line="360" w:lineRule="auto"/>
        <w:rPr>
          <w:rFonts w:ascii="宋体" w:hAnsi="宋体"/>
          <w:color w:val="262600"/>
        </w:rPr>
      </w:pPr>
      <w:r>
        <w:rPr>
          <w:rFonts w:ascii="宋体" w:hAnsi="宋体" w:hint="eastAsia"/>
          <w:color w:val="262600"/>
        </w:rPr>
        <w:t>1.植物保护的概念、意义、方法；</w:t>
      </w:r>
    </w:p>
    <w:p w14:paraId="0F93540C" w14:textId="77777777" w:rsidR="00F5289E" w:rsidRDefault="00C91173">
      <w:pPr>
        <w:spacing w:line="360" w:lineRule="auto"/>
        <w:rPr>
          <w:rFonts w:ascii="宋体" w:hAnsi="宋体"/>
          <w:color w:val="262600"/>
        </w:rPr>
      </w:pPr>
      <w:r>
        <w:rPr>
          <w:rFonts w:ascii="宋体" w:hAnsi="宋体" w:hint="eastAsia"/>
          <w:color w:val="262600"/>
        </w:rPr>
        <w:t>2.掌握植保机械的概念、类型，工作原理与应用，土壤消毒的概念和类型；</w:t>
      </w:r>
    </w:p>
    <w:p w14:paraId="220BFDB1" w14:textId="77777777" w:rsidR="00F5289E" w:rsidRDefault="00C91173">
      <w:pPr>
        <w:spacing w:line="360" w:lineRule="auto"/>
        <w:rPr>
          <w:rFonts w:ascii="宋体" w:hAnsi="宋体"/>
          <w:color w:val="262600"/>
        </w:rPr>
      </w:pPr>
      <w:r>
        <w:rPr>
          <w:rFonts w:ascii="宋体" w:hAnsi="宋体" w:hint="eastAsia"/>
          <w:color w:val="262600"/>
        </w:rPr>
        <w:t>3.熟悉我国和国外植保机械化技术水平现状、存在问题及发展方向；</w:t>
      </w:r>
    </w:p>
    <w:p w14:paraId="41104505" w14:textId="77777777" w:rsidR="00F5289E" w:rsidRDefault="00C91173">
      <w:pPr>
        <w:spacing w:line="360" w:lineRule="auto"/>
        <w:rPr>
          <w:rFonts w:ascii="宋体" w:hAnsi="宋体"/>
          <w:color w:val="262600"/>
        </w:rPr>
      </w:pPr>
      <w:r>
        <w:rPr>
          <w:rFonts w:ascii="宋体" w:hAnsi="宋体" w:hint="eastAsia"/>
          <w:color w:val="262600"/>
        </w:rPr>
        <w:t>4.熟悉我国土壤消毒机械的技术水平现状、存在问题及发展方向。</w:t>
      </w:r>
    </w:p>
    <w:p w14:paraId="2834A2DD" w14:textId="77777777" w:rsidR="00F5289E" w:rsidRDefault="00C91173">
      <w:pPr>
        <w:spacing w:line="360" w:lineRule="auto"/>
        <w:rPr>
          <w:rFonts w:ascii="宋体" w:hAnsi="宋体"/>
          <w:b/>
          <w:color w:val="262600"/>
        </w:rPr>
      </w:pPr>
      <w:r>
        <w:rPr>
          <w:rFonts w:ascii="宋体" w:hAnsi="宋体" w:hint="eastAsia"/>
          <w:b/>
          <w:color w:val="262600"/>
        </w:rPr>
        <w:t>第六章 植物保护机械装备</w:t>
      </w:r>
    </w:p>
    <w:p w14:paraId="0658CE28" w14:textId="77777777" w:rsidR="00F5289E" w:rsidRDefault="00C91173">
      <w:pPr>
        <w:spacing w:line="360" w:lineRule="auto"/>
        <w:rPr>
          <w:rFonts w:ascii="宋体" w:hAnsi="宋体"/>
          <w:color w:val="262600"/>
        </w:rPr>
      </w:pPr>
      <w:r>
        <w:rPr>
          <w:rFonts w:ascii="宋体" w:hAnsi="宋体" w:hint="eastAsia"/>
          <w:color w:val="262600"/>
        </w:rPr>
        <w:lastRenderedPageBreak/>
        <w:t>（一）植物保护的意义</w:t>
      </w:r>
    </w:p>
    <w:p w14:paraId="17E98E27" w14:textId="77777777" w:rsidR="00F5289E" w:rsidRDefault="00C91173">
      <w:pPr>
        <w:spacing w:line="360" w:lineRule="auto"/>
        <w:rPr>
          <w:rFonts w:ascii="宋体" w:hAnsi="宋体"/>
          <w:color w:val="262600"/>
        </w:rPr>
      </w:pPr>
      <w:r>
        <w:rPr>
          <w:rFonts w:ascii="宋体" w:hAnsi="宋体" w:hint="eastAsia"/>
          <w:color w:val="262600"/>
        </w:rPr>
        <w:t>（二）植物保护的方法</w:t>
      </w:r>
    </w:p>
    <w:p w14:paraId="75FF3BCA" w14:textId="77777777" w:rsidR="00F5289E" w:rsidRDefault="00C91173">
      <w:pPr>
        <w:spacing w:line="360" w:lineRule="auto"/>
        <w:rPr>
          <w:rFonts w:ascii="宋体" w:hAnsi="宋体"/>
          <w:color w:val="262600"/>
        </w:rPr>
      </w:pPr>
      <w:r>
        <w:rPr>
          <w:rFonts w:ascii="宋体" w:hAnsi="宋体" w:hint="eastAsia"/>
          <w:color w:val="262600"/>
        </w:rPr>
        <w:t>（三）机械化学防治方法</w:t>
      </w:r>
    </w:p>
    <w:p w14:paraId="5BA5BB7A" w14:textId="77777777" w:rsidR="00F5289E" w:rsidRDefault="00C91173">
      <w:pPr>
        <w:spacing w:line="360" w:lineRule="auto"/>
        <w:rPr>
          <w:rFonts w:ascii="宋体" w:hAnsi="宋体"/>
          <w:color w:val="262600"/>
        </w:rPr>
      </w:pPr>
      <w:r>
        <w:rPr>
          <w:rFonts w:ascii="宋体" w:hAnsi="宋体" w:hint="eastAsia"/>
          <w:color w:val="262600"/>
        </w:rPr>
        <w:t>（四）植保机械的定义与类型</w:t>
      </w:r>
    </w:p>
    <w:p w14:paraId="00162458" w14:textId="77777777" w:rsidR="00F5289E" w:rsidRDefault="00C91173">
      <w:pPr>
        <w:spacing w:line="360" w:lineRule="auto"/>
        <w:rPr>
          <w:rFonts w:ascii="宋体" w:hAnsi="宋体"/>
          <w:color w:val="262600"/>
        </w:rPr>
      </w:pPr>
      <w:r>
        <w:rPr>
          <w:rFonts w:ascii="宋体" w:hAnsi="宋体" w:hint="eastAsia"/>
          <w:color w:val="262600"/>
        </w:rPr>
        <w:t>（五）我国植保机械品种结构及技术水平概况</w:t>
      </w:r>
    </w:p>
    <w:p w14:paraId="6C7D0275" w14:textId="77777777" w:rsidR="00F5289E" w:rsidRDefault="00C91173">
      <w:pPr>
        <w:spacing w:line="360" w:lineRule="auto"/>
        <w:rPr>
          <w:rFonts w:ascii="宋体" w:hAnsi="宋体"/>
          <w:color w:val="262600"/>
        </w:rPr>
      </w:pPr>
      <w:r>
        <w:rPr>
          <w:rFonts w:ascii="宋体" w:hAnsi="宋体" w:hint="eastAsia"/>
          <w:color w:val="262600"/>
        </w:rPr>
        <w:t>（六）国外植保机械的现状及发展趋势</w:t>
      </w:r>
    </w:p>
    <w:p w14:paraId="12D42F14" w14:textId="77777777" w:rsidR="00F5289E" w:rsidRDefault="00C91173">
      <w:pPr>
        <w:spacing w:line="360" w:lineRule="auto"/>
        <w:rPr>
          <w:rFonts w:ascii="宋体" w:hAnsi="宋体"/>
          <w:color w:val="262600"/>
        </w:rPr>
      </w:pPr>
      <w:r>
        <w:rPr>
          <w:rFonts w:ascii="宋体" w:hAnsi="宋体" w:hint="eastAsia"/>
          <w:color w:val="262600"/>
        </w:rPr>
        <w:t>（七）土壤消毒装备</w:t>
      </w:r>
    </w:p>
    <w:p w14:paraId="711EDB05" w14:textId="77777777" w:rsidR="00F5289E" w:rsidRDefault="00C91173">
      <w:pPr>
        <w:spacing w:line="360" w:lineRule="auto"/>
        <w:rPr>
          <w:rFonts w:ascii="宋体" w:hAnsi="宋体"/>
          <w:color w:val="262600"/>
        </w:rPr>
      </w:pPr>
      <w:r>
        <w:rPr>
          <w:rFonts w:ascii="宋体" w:hAnsi="宋体" w:hint="eastAsia"/>
          <w:color w:val="262600"/>
        </w:rPr>
        <w:t>1.土壤连作障碍和土传病害的 类型</w:t>
      </w:r>
    </w:p>
    <w:p w14:paraId="47C536F7" w14:textId="77777777" w:rsidR="00F5289E" w:rsidRDefault="00C91173">
      <w:pPr>
        <w:spacing w:line="360" w:lineRule="auto"/>
        <w:rPr>
          <w:rFonts w:ascii="宋体" w:hAnsi="宋体"/>
          <w:color w:val="262600"/>
        </w:rPr>
      </w:pPr>
      <w:r>
        <w:rPr>
          <w:rFonts w:ascii="宋体" w:hAnsi="宋体" w:hint="eastAsia"/>
          <w:color w:val="262600"/>
        </w:rPr>
        <w:t>2.土壤消毒的定义</w:t>
      </w:r>
    </w:p>
    <w:p w14:paraId="73DA8E26" w14:textId="77777777" w:rsidR="00F5289E" w:rsidRDefault="00C91173">
      <w:pPr>
        <w:spacing w:line="360" w:lineRule="auto"/>
        <w:rPr>
          <w:rFonts w:ascii="宋体" w:hAnsi="宋体"/>
          <w:color w:val="262600"/>
        </w:rPr>
      </w:pPr>
      <w:r>
        <w:rPr>
          <w:rFonts w:ascii="宋体" w:hAnsi="宋体" w:hint="eastAsia"/>
          <w:color w:val="262600"/>
        </w:rPr>
        <w:t>3.土壤消毒的方法</w:t>
      </w:r>
    </w:p>
    <w:p w14:paraId="228C41A4" w14:textId="77777777" w:rsidR="00F5289E" w:rsidRDefault="00C91173">
      <w:pPr>
        <w:spacing w:line="360" w:lineRule="auto"/>
        <w:rPr>
          <w:rFonts w:ascii="宋体" w:hAnsi="宋体"/>
          <w:color w:val="262600"/>
        </w:rPr>
      </w:pPr>
      <w:r>
        <w:rPr>
          <w:rFonts w:ascii="宋体" w:hAnsi="宋体" w:hint="eastAsia"/>
          <w:color w:val="262600"/>
        </w:rPr>
        <w:t>4.土壤消毒设备的定义和类型</w:t>
      </w:r>
    </w:p>
    <w:p w14:paraId="79BEF18A" w14:textId="77777777" w:rsidR="00F5289E" w:rsidRDefault="00C91173">
      <w:pPr>
        <w:spacing w:line="360" w:lineRule="auto"/>
        <w:rPr>
          <w:rFonts w:ascii="宋体" w:hAnsi="宋体"/>
          <w:color w:val="262600"/>
        </w:rPr>
      </w:pPr>
      <w:r>
        <w:rPr>
          <w:rFonts w:ascii="宋体" w:hAnsi="宋体" w:hint="eastAsia"/>
          <w:color w:val="262600"/>
        </w:rPr>
        <w:t>5.国内研究土壤连作障碍的专家团队和成果</w:t>
      </w:r>
    </w:p>
    <w:p w14:paraId="2D45277B"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为该课程的重点内容，根据学生前期的对园艺学、设施园艺学的学习基础，从植物保护和土壤消毒的定义、分类、类型和发展现状等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0930988" w14:textId="77777777">
        <w:trPr>
          <w:trHeight w:val="270"/>
        </w:trPr>
        <w:tc>
          <w:tcPr>
            <w:tcW w:w="2965" w:type="dxa"/>
            <w:tcBorders>
              <w:top w:val="nil"/>
              <w:left w:val="nil"/>
              <w:bottom w:val="nil"/>
              <w:right w:val="nil"/>
            </w:tcBorders>
            <w:vAlign w:val="center"/>
          </w:tcPr>
          <w:p w14:paraId="51086656"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4A4AC41D"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七</w:t>
            </w:r>
            <w:r>
              <w:rPr>
                <w:rFonts w:hAnsi="宋体"/>
                <w:b/>
                <w:bCs/>
                <w:szCs w:val="21"/>
              </w:rPr>
              <w:t>章</w:t>
            </w:r>
            <w:r>
              <w:rPr>
                <w:rFonts w:hint="eastAsia"/>
                <w:b/>
                <w:bCs/>
                <w:szCs w:val="21"/>
              </w:rPr>
              <w:t xml:space="preserve">  </w:t>
            </w:r>
            <w:r>
              <w:rPr>
                <w:rFonts w:hint="eastAsia"/>
                <w:b/>
                <w:bCs/>
                <w:szCs w:val="21"/>
              </w:rPr>
              <w:t>收获机械化装备</w:t>
            </w:r>
          </w:p>
        </w:tc>
        <w:tc>
          <w:tcPr>
            <w:tcW w:w="2966" w:type="dxa"/>
            <w:tcBorders>
              <w:top w:val="nil"/>
              <w:left w:val="nil"/>
              <w:bottom w:val="nil"/>
              <w:right w:val="nil"/>
            </w:tcBorders>
            <w:vAlign w:val="center"/>
          </w:tcPr>
          <w:p w14:paraId="31526254"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4</w:t>
            </w:r>
          </w:p>
        </w:tc>
      </w:tr>
    </w:tbl>
    <w:bookmarkEnd w:id="76"/>
    <w:p w14:paraId="63E17827" w14:textId="77777777" w:rsidR="00F5289E" w:rsidRDefault="00C91173">
      <w:pPr>
        <w:spacing w:line="360" w:lineRule="auto"/>
        <w:rPr>
          <w:color w:val="262600"/>
        </w:rPr>
      </w:pPr>
      <w:r>
        <w:rPr>
          <w:b/>
          <w:bCs/>
        </w:rPr>
        <w:t>教学目</w:t>
      </w:r>
      <w:r>
        <w:rPr>
          <w:rFonts w:hint="eastAsia"/>
          <w:b/>
          <w:bCs/>
        </w:rPr>
        <w:t>标</w:t>
      </w:r>
      <w:r>
        <w:rPr>
          <w:color w:val="262600"/>
        </w:rPr>
        <w:t>：</w:t>
      </w:r>
    </w:p>
    <w:p w14:paraId="5BCB5086" w14:textId="77777777" w:rsidR="00F5289E" w:rsidRDefault="00C91173">
      <w:pPr>
        <w:spacing w:line="360" w:lineRule="auto"/>
        <w:rPr>
          <w:rFonts w:ascii="宋体" w:hAnsi="宋体"/>
          <w:color w:val="262600"/>
        </w:rPr>
      </w:pPr>
      <w:r>
        <w:rPr>
          <w:rFonts w:ascii="宋体" w:hAnsi="宋体" w:hint="eastAsia"/>
          <w:color w:val="262600"/>
        </w:rPr>
        <w:t>1.掌握设施园艺收获的意义和必要性；</w:t>
      </w:r>
    </w:p>
    <w:p w14:paraId="21DD1526" w14:textId="77777777" w:rsidR="00F5289E" w:rsidRDefault="00C91173">
      <w:pPr>
        <w:spacing w:line="360" w:lineRule="auto"/>
        <w:rPr>
          <w:rFonts w:ascii="宋体" w:hAnsi="宋体"/>
          <w:color w:val="262600"/>
        </w:rPr>
      </w:pPr>
      <w:r>
        <w:rPr>
          <w:rFonts w:ascii="宋体" w:hAnsi="宋体" w:hint="eastAsia"/>
          <w:color w:val="262600"/>
        </w:rPr>
        <w:t>2.了解设施园艺收获机械结构、工作原理和分类；</w:t>
      </w:r>
    </w:p>
    <w:p w14:paraId="39811EEF" w14:textId="77777777" w:rsidR="00F5289E" w:rsidRDefault="00C91173">
      <w:pPr>
        <w:spacing w:line="360" w:lineRule="auto"/>
        <w:rPr>
          <w:rFonts w:ascii="宋体" w:hAnsi="宋体"/>
          <w:color w:val="262600"/>
        </w:rPr>
      </w:pPr>
      <w:r>
        <w:rPr>
          <w:rFonts w:ascii="宋体" w:hAnsi="宋体" w:hint="eastAsia"/>
          <w:color w:val="262600"/>
        </w:rPr>
        <w:t>3.熟悉我国蔬菜、水果、茶叶收获机械的发展现状、存在问题和前景；</w:t>
      </w:r>
    </w:p>
    <w:p w14:paraId="298C7F48" w14:textId="77777777" w:rsidR="00F5289E" w:rsidRDefault="00C91173">
      <w:pPr>
        <w:spacing w:line="360" w:lineRule="auto"/>
        <w:rPr>
          <w:rFonts w:ascii="宋体" w:hAnsi="宋体"/>
          <w:color w:val="262600"/>
        </w:rPr>
      </w:pPr>
      <w:r>
        <w:rPr>
          <w:rFonts w:ascii="宋体" w:hAnsi="宋体" w:hint="eastAsia"/>
          <w:color w:val="262600"/>
        </w:rPr>
        <w:t>4.掌握蔬菜的分类和蔬菜收获机械的定义和类型；</w:t>
      </w:r>
    </w:p>
    <w:p w14:paraId="0DFBB970" w14:textId="77777777" w:rsidR="00F5289E" w:rsidRDefault="00C91173">
      <w:pPr>
        <w:spacing w:line="360" w:lineRule="auto"/>
        <w:rPr>
          <w:rFonts w:ascii="宋体" w:hAnsi="宋体"/>
          <w:color w:val="262600"/>
        </w:rPr>
      </w:pPr>
      <w:r>
        <w:rPr>
          <w:rFonts w:ascii="宋体" w:hAnsi="宋体" w:hint="eastAsia"/>
          <w:color w:val="262600"/>
        </w:rPr>
        <w:t>5.重点掌握叶类蔬菜收获的意义、分类和存在困境、关键技术环节、收获方式和性能指标体系；</w:t>
      </w:r>
    </w:p>
    <w:p w14:paraId="0D05ADB8" w14:textId="77777777" w:rsidR="00F5289E" w:rsidRDefault="00C91173">
      <w:pPr>
        <w:spacing w:line="360" w:lineRule="auto"/>
        <w:rPr>
          <w:rFonts w:ascii="宋体" w:hAnsi="宋体"/>
          <w:color w:val="262600"/>
        </w:rPr>
      </w:pPr>
      <w:r>
        <w:rPr>
          <w:rFonts w:ascii="宋体" w:hAnsi="宋体" w:hint="eastAsia"/>
          <w:color w:val="262600"/>
        </w:rPr>
        <w:t>6.了解茶叶机械化装备发展现状和意义；</w:t>
      </w:r>
    </w:p>
    <w:p w14:paraId="2DE62FE1" w14:textId="77777777" w:rsidR="00F5289E" w:rsidRDefault="00C91173">
      <w:pPr>
        <w:spacing w:line="360" w:lineRule="auto"/>
        <w:rPr>
          <w:rFonts w:ascii="宋体" w:hAnsi="宋体"/>
          <w:color w:val="262600"/>
        </w:rPr>
      </w:pPr>
      <w:r>
        <w:rPr>
          <w:rFonts w:ascii="宋体" w:hAnsi="宋体" w:hint="eastAsia"/>
          <w:color w:val="262600"/>
        </w:rPr>
        <w:t>7.熟悉蔬菜国内外收获机器人研究现状；</w:t>
      </w:r>
    </w:p>
    <w:p w14:paraId="72C7A1E1" w14:textId="77777777" w:rsidR="00F5289E" w:rsidRDefault="00C91173">
      <w:pPr>
        <w:spacing w:line="360" w:lineRule="auto"/>
        <w:rPr>
          <w:rFonts w:ascii="宋体" w:hAnsi="宋体"/>
          <w:color w:val="262600"/>
        </w:rPr>
      </w:pPr>
      <w:r>
        <w:rPr>
          <w:rFonts w:ascii="宋体" w:hAnsi="宋体" w:hint="eastAsia"/>
          <w:color w:val="262600"/>
        </w:rPr>
        <w:t>8.了解常见农作物收获机械类型。</w:t>
      </w:r>
    </w:p>
    <w:p w14:paraId="6F9A1817" w14:textId="77777777" w:rsidR="00F5289E" w:rsidRDefault="00C91173">
      <w:pPr>
        <w:tabs>
          <w:tab w:val="left" w:pos="4770"/>
        </w:tabs>
        <w:spacing w:line="360" w:lineRule="auto"/>
        <w:rPr>
          <w:color w:val="262600"/>
        </w:rPr>
      </w:pPr>
      <w:r>
        <w:rPr>
          <w:b/>
          <w:bCs/>
        </w:rPr>
        <w:t>教学重点和难点</w:t>
      </w:r>
      <w:r>
        <w:rPr>
          <w:color w:val="262600"/>
        </w:rPr>
        <w:t xml:space="preserve">: </w:t>
      </w:r>
      <w:r>
        <w:rPr>
          <w:rFonts w:hint="eastAsia"/>
          <w:color w:val="262600"/>
        </w:rPr>
        <w:t>掌握设施园艺收获的意义和必要性；掌握蔬菜的分类和蔬菜收获机械的定义和类型；掌握蔬菜的分类和蔬菜收获机械的定义和类型；叶类蔬菜收获的意义、分类和存在困境、关键技术环节、收获方式和性能指标体系；熟悉我国蔬菜、水果、茶叶收获机械的发展现状、存在问题和前景；熟悉蔬菜国内外收获机器人</w:t>
      </w:r>
    </w:p>
    <w:p w14:paraId="059B252B" w14:textId="77777777" w:rsidR="00F5289E" w:rsidRDefault="00C91173">
      <w:pPr>
        <w:tabs>
          <w:tab w:val="left" w:pos="4770"/>
        </w:tabs>
        <w:spacing w:line="360" w:lineRule="auto"/>
        <w:rPr>
          <w:color w:val="262600"/>
        </w:rPr>
      </w:pPr>
      <w:r>
        <w:rPr>
          <w:b/>
          <w:bCs/>
        </w:rPr>
        <w:t>主要教学内容及要求</w:t>
      </w:r>
      <w:r>
        <w:rPr>
          <w:color w:val="262600"/>
        </w:rPr>
        <w:t>：</w:t>
      </w:r>
    </w:p>
    <w:p w14:paraId="2BED8B02" w14:textId="77777777" w:rsidR="00F5289E" w:rsidRDefault="00C91173">
      <w:pPr>
        <w:tabs>
          <w:tab w:val="left" w:pos="4770"/>
        </w:tabs>
        <w:spacing w:line="360" w:lineRule="auto"/>
        <w:rPr>
          <w:rFonts w:ascii="宋体" w:hAnsi="宋体"/>
          <w:b/>
          <w:color w:val="262600"/>
        </w:rPr>
      </w:pPr>
      <w:r>
        <w:rPr>
          <w:rFonts w:ascii="宋体" w:hAnsi="宋体"/>
          <w:b/>
          <w:color w:val="262600"/>
        </w:rPr>
        <w:lastRenderedPageBreak/>
        <w:t>第七章 收获机械装备</w:t>
      </w:r>
    </w:p>
    <w:p w14:paraId="52FAA1E5" w14:textId="77777777" w:rsidR="00F5289E" w:rsidRDefault="00C91173">
      <w:pPr>
        <w:tabs>
          <w:tab w:val="left" w:pos="4770"/>
        </w:tabs>
        <w:spacing w:line="360" w:lineRule="auto"/>
        <w:rPr>
          <w:rFonts w:ascii="宋体" w:hAnsi="宋体"/>
          <w:color w:val="262600"/>
        </w:rPr>
      </w:pPr>
      <w:r>
        <w:rPr>
          <w:rFonts w:ascii="宋体" w:hAnsi="宋体"/>
          <w:color w:val="262600"/>
        </w:rPr>
        <w:t>第一节   蔬菜收获机械</w:t>
      </w:r>
    </w:p>
    <w:p w14:paraId="7421A3AF" w14:textId="77777777" w:rsidR="00F5289E" w:rsidRDefault="00C91173">
      <w:pPr>
        <w:tabs>
          <w:tab w:val="left" w:pos="4770"/>
        </w:tabs>
        <w:spacing w:line="360" w:lineRule="auto"/>
        <w:rPr>
          <w:rFonts w:ascii="宋体" w:hAnsi="宋体"/>
          <w:color w:val="262600"/>
        </w:rPr>
      </w:pPr>
      <w:r>
        <w:rPr>
          <w:rFonts w:ascii="宋体" w:hAnsi="宋体"/>
          <w:color w:val="262600"/>
        </w:rPr>
        <w:t>（一）我国蔬菜发展现状、存在问题</w:t>
      </w:r>
    </w:p>
    <w:p w14:paraId="49915414" w14:textId="77777777" w:rsidR="00F5289E" w:rsidRDefault="00C91173">
      <w:pPr>
        <w:tabs>
          <w:tab w:val="left" w:pos="4770"/>
        </w:tabs>
        <w:spacing w:line="360" w:lineRule="auto"/>
        <w:rPr>
          <w:rFonts w:ascii="宋体" w:hAnsi="宋体"/>
          <w:color w:val="262600"/>
        </w:rPr>
      </w:pPr>
      <w:r>
        <w:rPr>
          <w:rFonts w:ascii="宋体" w:hAnsi="宋体"/>
          <w:color w:val="262600"/>
        </w:rPr>
        <w:t>（二）蔬菜分类和蔬菜收获机械的概念</w:t>
      </w:r>
    </w:p>
    <w:p w14:paraId="6753657F" w14:textId="77777777" w:rsidR="00F5289E" w:rsidRDefault="00C91173">
      <w:pPr>
        <w:tabs>
          <w:tab w:val="left" w:pos="4770"/>
        </w:tabs>
        <w:spacing w:line="360" w:lineRule="auto"/>
        <w:rPr>
          <w:rFonts w:ascii="宋体" w:hAnsi="宋体"/>
          <w:color w:val="262600"/>
        </w:rPr>
      </w:pPr>
      <w:r>
        <w:rPr>
          <w:rFonts w:ascii="宋体" w:hAnsi="宋体"/>
          <w:color w:val="262600"/>
        </w:rPr>
        <w:t>（三）蔬菜收获机械的分类及机械结构、工作原理</w:t>
      </w:r>
    </w:p>
    <w:p w14:paraId="05699800" w14:textId="77777777" w:rsidR="00F5289E" w:rsidRDefault="00C91173">
      <w:pPr>
        <w:tabs>
          <w:tab w:val="left" w:pos="4770"/>
        </w:tabs>
        <w:spacing w:line="360" w:lineRule="auto"/>
        <w:rPr>
          <w:rFonts w:ascii="宋体" w:hAnsi="宋体"/>
          <w:color w:val="262600"/>
        </w:rPr>
      </w:pPr>
      <w:r>
        <w:rPr>
          <w:rFonts w:ascii="宋体" w:hAnsi="宋体"/>
          <w:color w:val="262600"/>
        </w:rPr>
        <w:t>1.根菜类收获机械概念、分类和研究现状</w:t>
      </w:r>
    </w:p>
    <w:p w14:paraId="3EF8E9D4" w14:textId="77777777" w:rsidR="00F5289E" w:rsidRDefault="00C91173">
      <w:pPr>
        <w:tabs>
          <w:tab w:val="left" w:pos="4770"/>
        </w:tabs>
        <w:spacing w:line="360" w:lineRule="auto"/>
        <w:rPr>
          <w:rFonts w:ascii="宋体" w:hAnsi="宋体"/>
          <w:color w:val="262600"/>
        </w:rPr>
      </w:pPr>
      <w:r>
        <w:rPr>
          <w:rFonts w:ascii="宋体" w:hAnsi="宋体"/>
          <w:color w:val="262600"/>
        </w:rPr>
        <w:t>2.果菜类收获机械概念、分类和研究现状</w:t>
      </w:r>
    </w:p>
    <w:p w14:paraId="6E2F3BD6" w14:textId="77777777" w:rsidR="00F5289E" w:rsidRDefault="00C91173">
      <w:pPr>
        <w:tabs>
          <w:tab w:val="left" w:pos="4770"/>
        </w:tabs>
        <w:spacing w:line="360" w:lineRule="auto"/>
        <w:rPr>
          <w:rFonts w:ascii="宋体" w:hAnsi="宋体"/>
          <w:color w:val="262600"/>
        </w:rPr>
      </w:pPr>
      <w:r>
        <w:rPr>
          <w:rFonts w:ascii="宋体" w:hAnsi="宋体"/>
          <w:color w:val="262600"/>
        </w:rPr>
        <w:t>3.叶菜类收获机械概念、分类和研究现状</w:t>
      </w:r>
    </w:p>
    <w:p w14:paraId="25176812" w14:textId="77777777" w:rsidR="00F5289E" w:rsidRDefault="00C91173">
      <w:pPr>
        <w:tabs>
          <w:tab w:val="left" w:pos="4770"/>
        </w:tabs>
        <w:spacing w:line="360" w:lineRule="auto"/>
        <w:rPr>
          <w:rFonts w:ascii="宋体" w:hAnsi="宋体"/>
          <w:color w:val="262600"/>
        </w:rPr>
      </w:pPr>
      <w:r>
        <w:rPr>
          <w:rFonts w:ascii="宋体" w:hAnsi="宋体"/>
          <w:color w:val="262600"/>
        </w:rPr>
        <w:t>（1）叶类蔬菜分类</w:t>
      </w:r>
    </w:p>
    <w:p w14:paraId="0E00409A" w14:textId="77777777" w:rsidR="00F5289E" w:rsidRDefault="00C91173">
      <w:pPr>
        <w:tabs>
          <w:tab w:val="left" w:pos="4770"/>
        </w:tabs>
        <w:spacing w:line="360" w:lineRule="auto"/>
        <w:rPr>
          <w:rFonts w:ascii="宋体" w:hAnsi="宋体"/>
          <w:color w:val="262600"/>
        </w:rPr>
      </w:pPr>
      <w:r>
        <w:rPr>
          <w:rFonts w:ascii="宋体" w:hAnsi="宋体"/>
          <w:color w:val="262600"/>
        </w:rPr>
        <w:t>（2）我国叶类蔬菜收获困境</w:t>
      </w:r>
    </w:p>
    <w:p w14:paraId="3ABB010E" w14:textId="77777777" w:rsidR="00F5289E" w:rsidRDefault="00C91173">
      <w:pPr>
        <w:tabs>
          <w:tab w:val="left" w:pos="4770"/>
        </w:tabs>
        <w:spacing w:line="360" w:lineRule="auto"/>
        <w:rPr>
          <w:rFonts w:ascii="宋体" w:hAnsi="宋体"/>
          <w:color w:val="262600"/>
        </w:rPr>
      </w:pPr>
      <w:r>
        <w:rPr>
          <w:rFonts w:ascii="宋体" w:hAnsi="宋体"/>
          <w:color w:val="262600"/>
        </w:rPr>
        <w:t>（3）叶菜类蔬菜机械化关键环节、影响因素</w:t>
      </w:r>
    </w:p>
    <w:p w14:paraId="332436E6" w14:textId="77777777" w:rsidR="00F5289E" w:rsidRDefault="00C91173">
      <w:pPr>
        <w:tabs>
          <w:tab w:val="left" w:pos="4770"/>
        </w:tabs>
        <w:spacing w:line="360" w:lineRule="auto"/>
        <w:rPr>
          <w:rFonts w:ascii="宋体" w:hAnsi="宋体"/>
          <w:color w:val="262600"/>
        </w:rPr>
      </w:pPr>
      <w:r>
        <w:rPr>
          <w:rFonts w:ascii="宋体" w:hAnsi="宋体"/>
          <w:color w:val="262600"/>
        </w:rPr>
        <w:t>（4）叶菜类蔬菜的机械收获方式</w:t>
      </w:r>
    </w:p>
    <w:p w14:paraId="0F5AF3F8" w14:textId="77777777" w:rsidR="00F5289E" w:rsidRDefault="00C91173">
      <w:pPr>
        <w:tabs>
          <w:tab w:val="left" w:pos="4770"/>
        </w:tabs>
        <w:spacing w:line="360" w:lineRule="auto"/>
        <w:rPr>
          <w:rFonts w:ascii="宋体" w:hAnsi="宋体"/>
          <w:color w:val="262600"/>
        </w:rPr>
      </w:pPr>
      <w:r>
        <w:rPr>
          <w:rFonts w:ascii="宋体" w:hAnsi="宋体"/>
          <w:color w:val="262600"/>
        </w:rPr>
        <w:t>（5）叶菜收获机械性能指标体系</w:t>
      </w:r>
    </w:p>
    <w:p w14:paraId="2F4E1F7A" w14:textId="77777777" w:rsidR="00F5289E" w:rsidRDefault="00C91173">
      <w:pPr>
        <w:tabs>
          <w:tab w:val="left" w:pos="4770"/>
        </w:tabs>
        <w:spacing w:line="360" w:lineRule="auto"/>
        <w:rPr>
          <w:rFonts w:ascii="宋体" w:hAnsi="宋体"/>
          <w:color w:val="262600"/>
        </w:rPr>
      </w:pPr>
      <w:r>
        <w:rPr>
          <w:rFonts w:ascii="宋体" w:hAnsi="宋体"/>
          <w:color w:val="262600"/>
        </w:rPr>
        <w:t>（6）我国现有叶菜类蔬菜类型及发展前景</w:t>
      </w:r>
    </w:p>
    <w:p w14:paraId="631A4F81" w14:textId="77777777" w:rsidR="00F5289E" w:rsidRDefault="00C91173">
      <w:pPr>
        <w:tabs>
          <w:tab w:val="left" w:pos="4770"/>
        </w:tabs>
        <w:spacing w:line="360" w:lineRule="auto"/>
        <w:rPr>
          <w:rFonts w:ascii="宋体" w:hAnsi="宋体"/>
          <w:color w:val="262600"/>
        </w:rPr>
      </w:pPr>
      <w:r>
        <w:rPr>
          <w:rFonts w:ascii="宋体" w:hAnsi="宋体"/>
          <w:color w:val="262600"/>
        </w:rPr>
        <w:t>4.我国自主研发的蔬菜收获机械及应用</w:t>
      </w:r>
    </w:p>
    <w:p w14:paraId="0368ECF2" w14:textId="77777777" w:rsidR="00F5289E" w:rsidRDefault="00C91173">
      <w:pPr>
        <w:tabs>
          <w:tab w:val="left" w:pos="4770"/>
        </w:tabs>
        <w:spacing w:line="360" w:lineRule="auto"/>
        <w:rPr>
          <w:rFonts w:ascii="宋体" w:hAnsi="宋体"/>
          <w:color w:val="262600"/>
        </w:rPr>
      </w:pPr>
      <w:r>
        <w:rPr>
          <w:rFonts w:ascii="宋体" w:hAnsi="宋体"/>
          <w:color w:val="262600"/>
        </w:rPr>
        <w:t>5.我国蔬菜收获机械发展现状、存在问题及发展方向</w:t>
      </w:r>
    </w:p>
    <w:p w14:paraId="6B56B4A9" w14:textId="77777777" w:rsidR="00F5289E" w:rsidRDefault="00C91173">
      <w:pPr>
        <w:tabs>
          <w:tab w:val="left" w:pos="4770"/>
        </w:tabs>
        <w:spacing w:line="360" w:lineRule="auto"/>
        <w:rPr>
          <w:rFonts w:ascii="宋体" w:hAnsi="宋体"/>
          <w:color w:val="262600"/>
        </w:rPr>
      </w:pPr>
      <w:r>
        <w:rPr>
          <w:rFonts w:ascii="宋体" w:hAnsi="宋体" w:hint="eastAsia"/>
          <w:color w:val="262600"/>
        </w:rPr>
        <w:t>第二节   果品收获机械</w:t>
      </w:r>
    </w:p>
    <w:p w14:paraId="785DB2CC" w14:textId="77777777" w:rsidR="00F5289E" w:rsidRDefault="00C91173">
      <w:pPr>
        <w:tabs>
          <w:tab w:val="left" w:pos="4770"/>
        </w:tabs>
        <w:spacing w:line="360" w:lineRule="auto"/>
        <w:rPr>
          <w:rFonts w:ascii="宋体" w:hAnsi="宋体"/>
          <w:color w:val="262600"/>
        </w:rPr>
      </w:pPr>
      <w:r>
        <w:rPr>
          <w:rFonts w:ascii="宋体" w:hAnsi="宋体" w:hint="eastAsia"/>
          <w:color w:val="262600"/>
        </w:rPr>
        <w:t>（一）果园机械化装备发展现状和存在问题</w:t>
      </w:r>
    </w:p>
    <w:p w14:paraId="3DA1429B" w14:textId="77777777" w:rsidR="00F5289E" w:rsidRDefault="00C91173">
      <w:pPr>
        <w:tabs>
          <w:tab w:val="left" w:pos="4770"/>
        </w:tabs>
        <w:spacing w:line="360" w:lineRule="auto"/>
        <w:rPr>
          <w:rFonts w:ascii="宋体" w:hAnsi="宋体"/>
          <w:color w:val="262600"/>
        </w:rPr>
      </w:pPr>
      <w:r>
        <w:rPr>
          <w:rFonts w:ascii="宋体" w:hAnsi="宋体" w:hint="eastAsia"/>
          <w:color w:val="262600"/>
        </w:rPr>
        <w:t>（二）果实收获机械概念、分类和特点</w:t>
      </w:r>
    </w:p>
    <w:p w14:paraId="6E850FF2" w14:textId="77777777" w:rsidR="00F5289E" w:rsidRDefault="00C91173">
      <w:pPr>
        <w:tabs>
          <w:tab w:val="left" w:pos="4770"/>
        </w:tabs>
        <w:spacing w:line="360" w:lineRule="auto"/>
        <w:rPr>
          <w:rFonts w:ascii="宋体" w:hAnsi="宋体"/>
          <w:color w:val="262600"/>
        </w:rPr>
      </w:pPr>
      <w:r>
        <w:rPr>
          <w:rFonts w:ascii="宋体" w:hAnsi="宋体" w:hint="eastAsia"/>
          <w:color w:val="262600"/>
        </w:rPr>
        <w:t>1.果园植保机械</w:t>
      </w:r>
    </w:p>
    <w:p w14:paraId="01C19660" w14:textId="77777777" w:rsidR="00F5289E" w:rsidRDefault="00C91173">
      <w:pPr>
        <w:tabs>
          <w:tab w:val="left" w:pos="4770"/>
        </w:tabs>
        <w:spacing w:line="360" w:lineRule="auto"/>
        <w:rPr>
          <w:rFonts w:ascii="宋体" w:hAnsi="宋体"/>
          <w:color w:val="262600"/>
        </w:rPr>
      </w:pPr>
      <w:r>
        <w:rPr>
          <w:rFonts w:ascii="宋体" w:hAnsi="宋体" w:hint="eastAsia"/>
          <w:color w:val="262600"/>
        </w:rPr>
        <w:t>2.果园收获机械</w:t>
      </w:r>
    </w:p>
    <w:p w14:paraId="7AB2A43B" w14:textId="77777777" w:rsidR="00F5289E" w:rsidRDefault="00C91173">
      <w:pPr>
        <w:tabs>
          <w:tab w:val="left" w:pos="4770"/>
        </w:tabs>
        <w:spacing w:line="360" w:lineRule="auto"/>
        <w:rPr>
          <w:rFonts w:ascii="宋体" w:hAnsi="宋体"/>
          <w:color w:val="262600"/>
        </w:rPr>
      </w:pPr>
      <w:r>
        <w:rPr>
          <w:rFonts w:ascii="宋体" w:hAnsi="宋体" w:hint="eastAsia"/>
          <w:color w:val="262600"/>
        </w:rPr>
        <w:t>3.果园运输机械</w:t>
      </w:r>
    </w:p>
    <w:p w14:paraId="325376F4" w14:textId="77777777" w:rsidR="00F5289E" w:rsidRDefault="00C91173">
      <w:pPr>
        <w:tabs>
          <w:tab w:val="left" w:pos="4770"/>
        </w:tabs>
        <w:spacing w:line="360" w:lineRule="auto"/>
        <w:rPr>
          <w:rFonts w:ascii="宋体" w:hAnsi="宋体"/>
          <w:color w:val="262600"/>
        </w:rPr>
      </w:pPr>
      <w:r>
        <w:rPr>
          <w:rFonts w:ascii="宋体" w:hAnsi="宋体" w:hint="eastAsia"/>
          <w:color w:val="262600"/>
        </w:rPr>
        <w:t>（三）国内外收获机器人研究现状</w:t>
      </w:r>
    </w:p>
    <w:p w14:paraId="47074170" w14:textId="77777777" w:rsidR="00F5289E" w:rsidRDefault="00C91173">
      <w:pPr>
        <w:tabs>
          <w:tab w:val="left" w:pos="4770"/>
        </w:tabs>
        <w:spacing w:line="360" w:lineRule="auto"/>
        <w:rPr>
          <w:rFonts w:ascii="宋体" w:hAnsi="宋体"/>
          <w:color w:val="262600"/>
        </w:rPr>
      </w:pPr>
      <w:r>
        <w:rPr>
          <w:rFonts w:ascii="宋体" w:hAnsi="宋体" w:hint="eastAsia"/>
          <w:color w:val="262600"/>
        </w:rPr>
        <w:t>（四）果园采摘机械的发展趋势</w:t>
      </w:r>
    </w:p>
    <w:p w14:paraId="7C663482" w14:textId="77777777" w:rsidR="00F5289E" w:rsidRDefault="00C91173">
      <w:pPr>
        <w:tabs>
          <w:tab w:val="left" w:pos="4770"/>
        </w:tabs>
        <w:spacing w:line="360" w:lineRule="auto"/>
        <w:rPr>
          <w:rFonts w:ascii="宋体" w:hAnsi="宋体"/>
          <w:color w:val="262600"/>
        </w:rPr>
      </w:pPr>
      <w:r>
        <w:rPr>
          <w:rFonts w:ascii="宋体" w:hAnsi="宋体" w:hint="eastAsia"/>
          <w:color w:val="262600"/>
        </w:rPr>
        <w:t>第三节 茶叶收获机械</w:t>
      </w:r>
    </w:p>
    <w:p w14:paraId="77F962B9" w14:textId="77777777" w:rsidR="00F5289E" w:rsidRDefault="00C91173">
      <w:pPr>
        <w:tabs>
          <w:tab w:val="left" w:pos="4770"/>
        </w:tabs>
        <w:spacing w:line="360" w:lineRule="auto"/>
        <w:rPr>
          <w:rFonts w:ascii="宋体" w:hAnsi="宋体"/>
          <w:color w:val="262600"/>
        </w:rPr>
      </w:pPr>
      <w:r>
        <w:rPr>
          <w:rFonts w:ascii="宋体" w:hAnsi="宋体" w:hint="eastAsia"/>
          <w:color w:val="262600"/>
        </w:rPr>
        <w:t>（一）茶叶机械化装备发展现状和意义</w:t>
      </w:r>
    </w:p>
    <w:p w14:paraId="354D4B05" w14:textId="77777777" w:rsidR="00F5289E" w:rsidRDefault="00C91173">
      <w:pPr>
        <w:tabs>
          <w:tab w:val="left" w:pos="4770"/>
        </w:tabs>
        <w:spacing w:line="360" w:lineRule="auto"/>
        <w:rPr>
          <w:rFonts w:ascii="宋体" w:hAnsi="宋体"/>
          <w:color w:val="262600"/>
        </w:rPr>
      </w:pPr>
      <w:r>
        <w:rPr>
          <w:rFonts w:ascii="宋体" w:hAnsi="宋体" w:hint="eastAsia"/>
          <w:color w:val="262600"/>
        </w:rPr>
        <w:t>（二）农业农村部：关于加大对茶叶采摘机械化及管理智能化的建议</w:t>
      </w:r>
    </w:p>
    <w:p w14:paraId="7143C360" w14:textId="77777777" w:rsidR="00F5289E" w:rsidRDefault="00C91173">
      <w:pPr>
        <w:tabs>
          <w:tab w:val="left" w:pos="4770"/>
        </w:tabs>
        <w:spacing w:line="360" w:lineRule="auto"/>
        <w:rPr>
          <w:rFonts w:ascii="宋体" w:hAnsi="宋体"/>
          <w:color w:val="262600"/>
        </w:rPr>
      </w:pPr>
      <w:r>
        <w:rPr>
          <w:rFonts w:ascii="宋体" w:hAnsi="宋体" w:hint="eastAsia"/>
          <w:color w:val="262600"/>
        </w:rPr>
        <w:t>（三）国内外收获机器人研究现状和特点</w:t>
      </w:r>
    </w:p>
    <w:p w14:paraId="4FAB1B6E" w14:textId="77777777" w:rsidR="00F5289E" w:rsidRDefault="00C91173">
      <w:pPr>
        <w:tabs>
          <w:tab w:val="left" w:pos="4770"/>
        </w:tabs>
        <w:spacing w:line="360" w:lineRule="auto"/>
        <w:rPr>
          <w:rFonts w:ascii="宋体" w:hAnsi="宋体"/>
          <w:color w:val="262600"/>
        </w:rPr>
      </w:pPr>
      <w:r>
        <w:rPr>
          <w:rFonts w:ascii="宋体" w:hAnsi="宋体" w:hint="eastAsia"/>
          <w:color w:val="262600"/>
        </w:rPr>
        <w:t>（四）果园采摘机械的发展趋势</w:t>
      </w:r>
    </w:p>
    <w:p w14:paraId="724837FB" w14:textId="77777777" w:rsidR="00F5289E" w:rsidRDefault="00C91173">
      <w:pPr>
        <w:tabs>
          <w:tab w:val="left" w:pos="4770"/>
        </w:tabs>
        <w:spacing w:line="360" w:lineRule="auto"/>
        <w:rPr>
          <w:rFonts w:ascii="宋体" w:hAnsi="宋体"/>
          <w:color w:val="262600"/>
        </w:rPr>
      </w:pPr>
      <w:r>
        <w:rPr>
          <w:rFonts w:ascii="宋体" w:hAnsi="宋体" w:hint="eastAsia"/>
          <w:color w:val="262600"/>
        </w:rPr>
        <w:lastRenderedPageBreak/>
        <w:t>1.果园环境标准化、信息化</w:t>
      </w:r>
    </w:p>
    <w:p w14:paraId="57987D09" w14:textId="77777777" w:rsidR="00F5289E" w:rsidRDefault="00C91173">
      <w:pPr>
        <w:tabs>
          <w:tab w:val="left" w:pos="4770"/>
        </w:tabs>
        <w:spacing w:line="360" w:lineRule="auto"/>
        <w:rPr>
          <w:rFonts w:ascii="宋体" w:hAnsi="宋体"/>
          <w:color w:val="262600"/>
        </w:rPr>
      </w:pPr>
      <w:r>
        <w:rPr>
          <w:rFonts w:ascii="宋体" w:hAnsi="宋体" w:hint="eastAsia"/>
          <w:color w:val="262600"/>
        </w:rPr>
        <w:t>2.果园作用装备自动化、智能化</w:t>
      </w:r>
    </w:p>
    <w:p w14:paraId="1001AEFE" w14:textId="77777777" w:rsidR="00F5289E" w:rsidRDefault="00C91173">
      <w:pPr>
        <w:tabs>
          <w:tab w:val="left" w:pos="4770"/>
        </w:tabs>
        <w:spacing w:line="360" w:lineRule="auto"/>
        <w:rPr>
          <w:rFonts w:ascii="宋体" w:hAnsi="宋体"/>
          <w:color w:val="262600"/>
        </w:rPr>
      </w:pPr>
      <w:r>
        <w:rPr>
          <w:rFonts w:ascii="宋体" w:hAnsi="宋体" w:hint="eastAsia"/>
          <w:color w:val="262600"/>
        </w:rPr>
        <w:t>第四节 农作物收获机械</w:t>
      </w:r>
    </w:p>
    <w:p w14:paraId="2BA30F41"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为该课程的重点内容，根据学生前期的对园艺学、设施园艺学的学习基础，从设施园艺收获的意义和必要性入手，让学生充分了解设施园艺收获机械结构、工作原理和分类；熟悉我国蔬菜、水果、茶叶收获机械的发展现状、存在问题和前景；掌握蔬菜的分类和蔬菜收获机械的定义和类型；重点掌握叶类蔬菜收获的意义、分类和存在困境、关键技术环节、收获方式和性能指标体系；熟悉蔬菜国内外收获机器人研究现状；植物保护和土壤消毒的定义、分类、类型和发展现状等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92FE759" w14:textId="77777777">
        <w:trPr>
          <w:trHeight w:val="270"/>
        </w:trPr>
        <w:tc>
          <w:tcPr>
            <w:tcW w:w="2965" w:type="dxa"/>
            <w:tcBorders>
              <w:top w:val="nil"/>
              <w:left w:val="nil"/>
              <w:bottom w:val="nil"/>
              <w:right w:val="nil"/>
            </w:tcBorders>
            <w:vAlign w:val="center"/>
          </w:tcPr>
          <w:p w14:paraId="298D074F"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225E1B3F"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八</w:t>
            </w:r>
            <w:r>
              <w:rPr>
                <w:rFonts w:hAnsi="宋体"/>
                <w:b/>
                <w:bCs/>
                <w:szCs w:val="21"/>
              </w:rPr>
              <w:t>章</w:t>
            </w:r>
            <w:r>
              <w:rPr>
                <w:rFonts w:hint="eastAsia"/>
                <w:b/>
                <w:bCs/>
                <w:szCs w:val="21"/>
              </w:rPr>
              <w:t xml:space="preserve">  </w:t>
            </w:r>
            <w:r>
              <w:rPr>
                <w:rFonts w:hint="eastAsia"/>
                <w:b/>
                <w:bCs/>
                <w:szCs w:val="21"/>
              </w:rPr>
              <w:t>专题讨论农业机器人和植物工厂</w:t>
            </w:r>
          </w:p>
        </w:tc>
        <w:tc>
          <w:tcPr>
            <w:tcW w:w="2966" w:type="dxa"/>
            <w:tcBorders>
              <w:top w:val="nil"/>
              <w:left w:val="nil"/>
              <w:bottom w:val="nil"/>
              <w:right w:val="nil"/>
            </w:tcBorders>
            <w:vAlign w:val="center"/>
          </w:tcPr>
          <w:p w14:paraId="0F48068C"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6</w:t>
            </w:r>
          </w:p>
        </w:tc>
      </w:tr>
    </w:tbl>
    <w:p w14:paraId="1DCB2DE8" w14:textId="77777777" w:rsidR="00F5289E" w:rsidRDefault="00C91173">
      <w:pPr>
        <w:spacing w:line="360" w:lineRule="auto"/>
        <w:rPr>
          <w:color w:val="262600"/>
        </w:rPr>
      </w:pPr>
      <w:r>
        <w:rPr>
          <w:b/>
          <w:bCs/>
        </w:rPr>
        <w:t>教学目</w:t>
      </w:r>
      <w:r>
        <w:rPr>
          <w:rFonts w:hint="eastAsia"/>
          <w:b/>
          <w:bCs/>
        </w:rPr>
        <w:t>标</w:t>
      </w:r>
      <w:r>
        <w:rPr>
          <w:color w:val="262600"/>
        </w:rPr>
        <w:t>：</w:t>
      </w:r>
    </w:p>
    <w:p w14:paraId="16ACD854" w14:textId="77777777" w:rsidR="00F5289E" w:rsidRDefault="00C91173">
      <w:pPr>
        <w:spacing w:line="360" w:lineRule="auto"/>
        <w:rPr>
          <w:color w:val="262600"/>
        </w:rPr>
      </w:pPr>
      <w:r>
        <w:rPr>
          <w:rFonts w:hint="eastAsia"/>
          <w:color w:val="262600"/>
        </w:rPr>
        <w:t xml:space="preserve">1. </w:t>
      </w:r>
      <w:r>
        <w:rPr>
          <w:rFonts w:hint="eastAsia"/>
          <w:color w:val="262600"/>
        </w:rPr>
        <w:t>掌握我国农业机器人和植物工厂的概念和分类；</w:t>
      </w:r>
    </w:p>
    <w:p w14:paraId="7FF3C715" w14:textId="77777777" w:rsidR="00F5289E" w:rsidRDefault="00C91173">
      <w:pPr>
        <w:spacing w:line="360" w:lineRule="auto"/>
        <w:rPr>
          <w:color w:val="262600"/>
        </w:rPr>
      </w:pPr>
      <w:r>
        <w:rPr>
          <w:rFonts w:hint="eastAsia"/>
          <w:color w:val="262600"/>
        </w:rPr>
        <w:t xml:space="preserve">2. </w:t>
      </w:r>
      <w:r>
        <w:rPr>
          <w:rFonts w:hint="eastAsia"/>
          <w:color w:val="262600"/>
        </w:rPr>
        <w:t>熟悉我国农业机器人和植物工厂发展现状、存在问题和前景。</w:t>
      </w:r>
    </w:p>
    <w:p w14:paraId="46297627" w14:textId="77777777" w:rsidR="00F5289E" w:rsidRDefault="00C91173">
      <w:pPr>
        <w:tabs>
          <w:tab w:val="left" w:pos="4770"/>
        </w:tabs>
        <w:spacing w:line="360" w:lineRule="auto"/>
        <w:rPr>
          <w:color w:val="262600"/>
        </w:rPr>
      </w:pPr>
      <w:r>
        <w:rPr>
          <w:b/>
          <w:bCs/>
        </w:rPr>
        <w:t>教学重点和难点</w:t>
      </w:r>
      <w:r>
        <w:rPr>
          <w:color w:val="262600"/>
        </w:rPr>
        <w:t xml:space="preserve">: </w:t>
      </w:r>
      <w:r>
        <w:rPr>
          <w:rFonts w:hint="eastAsia"/>
          <w:color w:val="262600"/>
        </w:rPr>
        <w:t>指导学生搜集资料和讲解点评我农业机器人和植物工厂的概念和分类，分析我国农业机器人和植物工厂发展现状、存在问题和前景。</w:t>
      </w:r>
    </w:p>
    <w:p w14:paraId="3FA68405" w14:textId="77777777" w:rsidR="00F5289E" w:rsidRDefault="00C91173">
      <w:pPr>
        <w:tabs>
          <w:tab w:val="left" w:pos="4770"/>
        </w:tabs>
        <w:spacing w:line="360" w:lineRule="auto"/>
        <w:rPr>
          <w:color w:val="262600"/>
        </w:rPr>
      </w:pPr>
      <w:r>
        <w:rPr>
          <w:b/>
          <w:bCs/>
        </w:rPr>
        <w:t>主要教学内容及要求</w:t>
      </w:r>
      <w:r>
        <w:rPr>
          <w:color w:val="262600"/>
        </w:rPr>
        <w:t>：</w:t>
      </w:r>
    </w:p>
    <w:p w14:paraId="72238316" w14:textId="77777777" w:rsidR="00F5289E" w:rsidRDefault="00C91173">
      <w:pPr>
        <w:tabs>
          <w:tab w:val="left" w:pos="4770"/>
        </w:tabs>
        <w:spacing w:line="360" w:lineRule="auto"/>
        <w:rPr>
          <w:b/>
          <w:color w:val="262600"/>
        </w:rPr>
      </w:pPr>
      <w:r>
        <w:rPr>
          <w:rFonts w:hint="eastAsia"/>
          <w:b/>
          <w:color w:val="262600"/>
        </w:rPr>
        <w:t>第八章</w:t>
      </w:r>
      <w:r>
        <w:rPr>
          <w:rFonts w:hint="eastAsia"/>
          <w:b/>
          <w:color w:val="262600"/>
        </w:rPr>
        <w:t xml:space="preserve"> </w:t>
      </w:r>
      <w:r>
        <w:rPr>
          <w:rFonts w:hint="eastAsia"/>
          <w:b/>
          <w:color w:val="262600"/>
        </w:rPr>
        <w:t>专题讨论</w:t>
      </w:r>
      <w:r>
        <w:rPr>
          <w:rFonts w:hint="eastAsia"/>
          <w:b/>
          <w:color w:val="262600"/>
        </w:rPr>
        <w:t xml:space="preserve"> </w:t>
      </w:r>
      <w:r>
        <w:rPr>
          <w:rFonts w:hint="eastAsia"/>
          <w:b/>
          <w:color w:val="262600"/>
        </w:rPr>
        <w:t>农业机器人和植物工厂</w:t>
      </w:r>
    </w:p>
    <w:p w14:paraId="5768E9F0" w14:textId="77777777" w:rsidR="00F5289E" w:rsidRDefault="00C91173">
      <w:pPr>
        <w:tabs>
          <w:tab w:val="left" w:pos="4770"/>
        </w:tabs>
        <w:spacing w:line="360" w:lineRule="auto"/>
        <w:rPr>
          <w:color w:val="262600"/>
        </w:rPr>
      </w:pPr>
      <w:r>
        <w:rPr>
          <w:rFonts w:hint="eastAsia"/>
          <w:color w:val="262600"/>
        </w:rPr>
        <w:t>第一节</w:t>
      </w:r>
      <w:r>
        <w:rPr>
          <w:rFonts w:hint="eastAsia"/>
          <w:color w:val="262600"/>
        </w:rPr>
        <w:t xml:space="preserve">   </w:t>
      </w:r>
      <w:r>
        <w:rPr>
          <w:rFonts w:hint="eastAsia"/>
          <w:color w:val="262600"/>
        </w:rPr>
        <w:t>农业机器人</w:t>
      </w:r>
    </w:p>
    <w:p w14:paraId="6EE37B45" w14:textId="77777777" w:rsidR="00F5289E" w:rsidRDefault="00C91173">
      <w:pPr>
        <w:tabs>
          <w:tab w:val="left" w:pos="4770"/>
        </w:tabs>
        <w:spacing w:line="360" w:lineRule="auto"/>
        <w:rPr>
          <w:color w:val="262600"/>
        </w:rPr>
      </w:pPr>
      <w:r>
        <w:rPr>
          <w:rFonts w:hint="eastAsia"/>
          <w:color w:val="262600"/>
        </w:rPr>
        <w:t>第二节</w:t>
      </w:r>
      <w:r>
        <w:rPr>
          <w:rFonts w:hint="eastAsia"/>
          <w:color w:val="262600"/>
        </w:rPr>
        <w:t xml:space="preserve">   </w:t>
      </w:r>
      <w:r>
        <w:rPr>
          <w:rFonts w:hint="eastAsia"/>
          <w:color w:val="262600"/>
        </w:rPr>
        <w:t>植物工厂</w:t>
      </w:r>
    </w:p>
    <w:p w14:paraId="27FCF32A"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本章为专题讨论课程，以小组为单位论述分组汇报我国农业机器人和植物工厂的发展现状、特点、存在问题和应用前景，学生分为16组自选题目（1.农业机器人 2.植物工厂 3.对现代农业机械的认知、见闻和建议），进行分组汇报，通过学生自主查阅、分组汇报，汇报形势以PPT为主，视频为辅，随后进行同学们进行交流讨论，让学生们更加系统了解我国设施农业机械化发展的现状，我国农业机器人和植物工厂的发展现状、特点、存在问题和应用前景，锻炼学生们能力，最后老师进行</w:t>
      </w:r>
      <w:proofErr w:type="spellStart"/>
      <w:r>
        <w:rPr>
          <w:rFonts w:ascii="宋体" w:hAnsi="宋体" w:hint="eastAsia"/>
          <w:szCs w:val="21"/>
        </w:rPr>
        <w:t>PPT</w:t>
      </w:r>
      <w:proofErr w:type="spellEnd"/>
      <w:r>
        <w:rPr>
          <w:rFonts w:ascii="宋体" w:hAnsi="宋体" w:hint="eastAsia"/>
          <w:szCs w:val="21"/>
        </w:rPr>
        <w:t>汇报讲解总结和梳理，使得学生们全面的掌握本章内容。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C55A8EF" w14:textId="77777777">
        <w:trPr>
          <w:trHeight w:val="270"/>
        </w:trPr>
        <w:tc>
          <w:tcPr>
            <w:tcW w:w="2965" w:type="dxa"/>
            <w:tcBorders>
              <w:top w:val="nil"/>
              <w:left w:val="nil"/>
              <w:bottom w:val="nil"/>
              <w:right w:val="nil"/>
            </w:tcBorders>
            <w:vAlign w:val="center"/>
          </w:tcPr>
          <w:p w14:paraId="2E0957B8"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3776EFEE"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九</w:t>
            </w:r>
            <w:r>
              <w:rPr>
                <w:rFonts w:hAnsi="宋体"/>
                <w:b/>
                <w:bCs/>
                <w:szCs w:val="21"/>
              </w:rPr>
              <w:t>章</w:t>
            </w:r>
            <w:r>
              <w:rPr>
                <w:rFonts w:hint="eastAsia"/>
                <w:b/>
                <w:bCs/>
                <w:szCs w:val="21"/>
              </w:rPr>
              <w:t xml:space="preserve">  </w:t>
            </w:r>
            <w:r>
              <w:rPr>
                <w:rFonts w:hint="eastAsia"/>
                <w:b/>
                <w:bCs/>
                <w:szCs w:val="21"/>
              </w:rPr>
              <w:t>农业生产信息化技术</w:t>
            </w:r>
          </w:p>
        </w:tc>
        <w:tc>
          <w:tcPr>
            <w:tcW w:w="2966" w:type="dxa"/>
            <w:tcBorders>
              <w:top w:val="nil"/>
              <w:left w:val="nil"/>
              <w:bottom w:val="nil"/>
              <w:right w:val="nil"/>
            </w:tcBorders>
            <w:vAlign w:val="center"/>
          </w:tcPr>
          <w:p w14:paraId="68DF5F3D"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5D3EC9BD" w14:textId="77777777" w:rsidR="00F5289E" w:rsidRDefault="00C91173">
      <w:pPr>
        <w:spacing w:line="360" w:lineRule="auto"/>
        <w:rPr>
          <w:rFonts w:ascii="宋体" w:hAnsi="宋体"/>
          <w:color w:val="262600"/>
        </w:rPr>
      </w:pPr>
      <w:r>
        <w:rPr>
          <w:rFonts w:ascii="宋体" w:hAnsi="宋体"/>
          <w:b/>
          <w:bCs/>
        </w:rPr>
        <w:t>教学目</w:t>
      </w:r>
      <w:r>
        <w:rPr>
          <w:rFonts w:ascii="宋体" w:hAnsi="宋体" w:hint="eastAsia"/>
          <w:b/>
          <w:bCs/>
        </w:rPr>
        <w:t>标</w:t>
      </w:r>
      <w:r>
        <w:rPr>
          <w:rFonts w:ascii="宋体" w:hAnsi="宋体"/>
          <w:color w:val="262600"/>
        </w:rPr>
        <w:t>：</w:t>
      </w:r>
    </w:p>
    <w:p w14:paraId="4CCE4D99" w14:textId="77777777" w:rsidR="00F5289E" w:rsidRDefault="00C91173">
      <w:pPr>
        <w:spacing w:line="360" w:lineRule="auto"/>
        <w:rPr>
          <w:rFonts w:ascii="宋体" w:hAnsi="宋体"/>
          <w:color w:val="262600"/>
        </w:rPr>
      </w:pPr>
      <w:r>
        <w:rPr>
          <w:rFonts w:ascii="宋体" w:hAnsi="宋体" w:hint="eastAsia"/>
          <w:color w:val="262600"/>
        </w:rPr>
        <w:t>1.掌握农业信息化的概念、目的和特征；</w:t>
      </w:r>
    </w:p>
    <w:p w14:paraId="2183BCAD" w14:textId="77777777" w:rsidR="00F5289E" w:rsidRDefault="00C91173">
      <w:pPr>
        <w:spacing w:line="360" w:lineRule="auto"/>
        <w:rPr>
          <w:rFonts w:ascii="宋体" w:hAnsi="宋体"/>
          <w:color w:val="262600"/>
        </w:rPr>
      </w:pPr>
      <w:r>
        <w:rPr>
          <w:rFonts w:ascii="宋体" w:hAnsi="宋体" w:hint="eastAsia"/>
          <w:color w:val="262600"/>
        </w:rPr>
        <w:t>2.熟悉农业信息化的现状和发展方向；</w:t>
      </w:r>
    </w:p>
    <w:p w14:paraId="55EA075F" w14:textId="77777777" w:rsidR="00F5289E" w:rsidRDefault="00C91173">
      <w:pPr>
        <w:spacing w:line="360" w:lineRule="auto"/>
        <w:rPr>
          <w:rFonts w:ascii="宋体" w:hAnsi="宋体"/>
          <w:color w:val="262600"/>
        </w:rPr>
      </w:pPr>
      <w:r>
        <w:rPr>
          <w:rFonts w:ascii="宋体" w:hAnsi="宋体" w:hint="eastAsia"/>
          <w:color w:val="262600"/>
        </w:rPr>
        <w:lastRenderedPageBreak/>
        <w:t>3.掌握农业专家系统的概念、结构、特点与应用；</w:t>
      </w:r>
    </w:p>
    <w:p w14:paraId="0E29AF24" w14:textId="77777777" w:rsidR="00F5289E" w:rsidRDefault="00C91173">
      <w:pPr>
        <w:spacing w:line="360" w:lineRule="auto"/>
        <w:rPr>
          <w:rFonts w:ascii="宋体" w:hAnsi="宋体"/>
          <w:color w:val="262600"/>
        </w:rPr>
      </w:pPr>
      <w:r>
        <w:rPr>
          <w:rFonts w:ascii="宋体" w:hAnsi="宋体" w:hint="eastAsia"/>
          <w:color w:val="262600"/>
        </w:rPr>
        <w:t>4.了解国内研究农业信息化的专家和团队</w:t>
      </w:r>
    </w:p>
    <w:p w14:paraId="7030B392"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1765CA6C" w14:textId="77777777" w:rsidR="00F5289E" w:rsidRDefault="00C91173">
      <w:pPr>
        <w:tabs>
          <w:tab w:val="left" w:pos="4770"/>
        </w:tabs>
        <w:spacing w:line="360" w:lineRule="auto"/>
        <w:rPr>
          <w:rFonts w:ascii="宋体" w:hAnsi="宋体"/>
          <w:color w:val="262600"/>
        </w:rPr>
      </w:pPr>
      <w:r>
        <w:rPr>
          <w:rFonts w:ascii="宋体" w:hAnsi="宋体" w:hint="eastAsia"/>
          <w:color w:val="262600"/>
        </w:rPr>
        <w:t>1.掌握农业信息化的概念、目的、特征和内涵；</w:t>
      </w:r>
    </w:p>
    <w:p w14:paraId="371357BE" w14:textId="77777777" w:rsidR="00F5289E" w:rsidRDefault="00C91173">
      <w:pPr>
        <w:tabs>
          <w:tab w:val="left" w:pos="4770"/>
        </w:tabs>
        <w:spacing w:line="360" w:lineRule="auto"/>
        <w:rPr>
          <w:rFonts w:ascii="宋体" w:hAnsi="宋体"/>
          <w:color w:val="262600"/>
        </w:rPr>
      </w:pPr>
      <w:r>
        <w:rPr>
          <w:rFonts w:ascii="宋体" w:hAnsi="宋体" w:hint="eastAsia"/>
          <w:color w:val="262600"/>
        </w:rPr>
        <w:t>2.掌握农业专家系统的概念、结构、特点与应用；</w:t>
      </w:r>
    </w:p>
    <w:p w14:paraId="7C19EAF0" w14:textId="77777777" w:rsidR="00F5289E" w:rsidRDefault="00C91173">
      <w:pPr>
        <w:tabs>
          <w:tab w:val="left" w:pos="4770"/>
        </w:tabs>
        <w:spacing w:line="360" w:lineRule="auto"/>
        <w:rPr>
          <w:rFonts w:ascii="宋体" w:hAnsi="宋体"/>
          <w:color w:val="262600"/>
        </w:rPr>
      </w:pPr>
      <w:r>
        <w:rPr>
          <w:rFonts w:ascii="宋体" w:hAnsi="宋体" w:hint="eastAsia"/>
          <w:color w:val="262600"/>
        </w:rPr>
        <w:t>3.熟悉农业信息化的现状和发展方向。</w:t>
      </w:r>
    </w:p>
    <w:p w14:paraId="0956EE01"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66F556BB" w14:textId="77777777" w:rsidR="00F5289E" w:rsidRDefault="00C91173">
      <w:pPr>
        <w:spacing w:line="360" w:lineRule="auto"/>
        <w:rPr>
          <w:rFonts w:ascii="宋体" w:hAnsi="宋体"/>
          <w:color w:val="262600"/>
        </w:rPr>
      </w:pPr>
      <w:r>
        <w:rPr>
          <w:rFonts w:ascii="宋体" w:hAnsi="宋体" w:hint="eastAsia"/>
          <w:color w:val="262600"/>
        </w:rPr>
        <w:t>植物农业信息化的概念、目的、特征和内涵；掌握农业专家系统的概念、结构、特点与应用；熟悉国内外农业信息化的现状和发展方向。</w:t>
      </w:r>
    </w:p>
    <w:p w14:paraId="6D0D30E0" w14:textId="77777777" w:rsidR="00F5289E" w:rsidRDefault="00C91173">
      <w:pPr>
        <w:spacing w:line="360" w:lineRule="auto"/>
        <w:rPr>
          <w:rFonts w:ascii="宋体" w:hAnsi="宋体"/>
          <w:b/>
          <w:kern w:val="0"/>
          <w:sz w:val="22"/>
          <w:szCs w:val="21"/>
        </w:rPr>
      </w:pPr>
      <w:r>
        <w:rPr>
          <w:rFonts w:ascii="宋体" w:hAnsi="宋体" w:hint="eastAsia"/>
          <w:b/>
          <w:color w:val="262600"/>
        </w:rPr>
        <w:t>第九章 农业生产信息化技术</w:t>
      </w:r>
    </w:p>
    <w:p w14:paraId="2E1905A0" w14:textId="77777777" w:rsidR="00F5289E" w:rsidRDefault="00C91173">
      <w:pPr>
        <w:spacing w:line="360" w:lineRule="auto"/>
        <w:rPr>
          <w:rFonts w:ascii="宋体" w:hAnsi="宋体"/>
          <w:color w:val="262600"/>
        </w:rPr>
      </w:pPr>
      <w:r>
        <w:rPr>
          <w:rFonts w:ascii="宋体" w:hAnsi="宋体" w:hint="eastAsia"/>
          <w:color w:val="262600"/>
        </w:rPr>
        <w:t>第一节 农业信息化技术、 农业专家系统农业信息化</w:t>
      </w:r>
    </w:p>
    <w:p w14:paraId="10F99588" w14:textId="77777777" w:rsidR="00F5289E" w:rsidRDefault="00C91173">
      <w:pPr>
        <w:spacing w:line="360" w:lineRule="auto"/>
        <w:rPr>
          <w:rFonts w:ascii="宋体" w:hAnsi="宋体"/>
          <w:color w:val="262600"/>
        </w:rPr>
      </w:pPr>
      <w:r>
        <w:rPr>
          <w:rFonts w:ascii="宋体" w:hAnsi="宋体"/>
          <w:color w:val="262600"/>
        </w:rPr>
        <w:t>1.农业信息化的概念</w:t>
      </w:r>
    </w:p>
    <w:p w14:paraId="51EA440B" w14:textId="77777777" w:rsidR="00F5289E" w:rsidRDefault="00C91173">
      <w:pPr>
        <w:spacing w:line="360" w:lineRule="auto"/>
        <w:rPr>
          <w:rFonts w:ascii="宋体" w:hAnsi="宋体"/>
          <w:szCs w:val="21"/>
        </w:rPr>
      </w:pPr>
      <w:r>
        <w:rPr>
          <w:rFonts w:ascii="宋体" w:hAnsi="宋体"/>
          <w:szCs w:val="21"/>
        </w:rPr>
        <w:t>2.农业信息化的目的</w:t>
      </w:r>
    </w:p>
    <w:p w14:paraId="23413855" w14:textId="77777777" w:rsidR="00F5289E" w:rsidRDefault="00C91173">
      <w:pPr>
        <w:spacing w:line="360" w:lineRule="auto"/>
        <w:rPr>
          <w:rFonts w:ascii="宋体" w:hAnsi="宋体"/>
          <w:szCs w:val="21"/>
        </w:rPr>
      </w:pPr>
      <w:r>
        <w:rPr>
          <w:rFonts w:ascii="宋体" w:hAnsi="宋体"/>
          <w:szCs w:val="21"/>
        </w:rPr>
        <w:t>3.农业信息化的特征</w:t>
      </w:r>
    </w:p>
    <w:p w14:paraId="181AE2A8" w14:textId="77777777" w:rsidR="00F5289E" w:rsidRDefault="00C91173">
      <w:pPr>
        <w:spacing w:line="360" w:lineRule="auto"/>
        <w:rPr>
          <w:rFonts w:ascii="宋体" w:hAnsi="宋体"/>
          <w:szCs w:val="21"/>
        </w:rPr>
      </w:pPr>
      <w:r>
        <w:rPr>
          <w:rFonts w:ascii="宋体" w:hAnsi="宋体"/>
          <w:szCs w:val="21"/>
        </w:rPr>
        <w:t>4.农业信息化的内涵</w:t>
      </w:r>
    </w:p>
    <w:p w14:paraId="5A760F56" w14:textId="77777777" w:rsidR="00F5289E" w:rsidRDefault="00C91173">
      <w:pPr>
        <w:spacing w:line="360" w:lineRule="auto"/>
        <w:rPr>
          <w:rFonts w:ascii="宋体" w:hAnsi="宋体"/>
          <w:szCs w:val="21"/>
        </w:rPr>
      </w:pPr>
      <w:r>
        <w:rPr>
          <w:rFonts w:ascii="宋体" w:hAnsi="宋体"/>
          <w:szCs w:val="21"/>
        </w:rPr>
        <w:t>5.农业信息化发展现状和促进农业信息化的举措</w:t>
      </w:r>
    </w:p>
    <w:p w14:paraId="7E373AF1" w14:textId="77777777" w:rsidR="00F5289E" w:rsidRDefault="00C91173">
      <w:pPr>
        <w:spacing w:line="360" w:lineRule="auto"/>
        <w:rPr>
          <w:rFonts w:ascii="宋体" w:hAnsi="宋体"/>
          <w:szCs w:val="21"/>
        </w:rPr>
      </w:pPr>
      <w:r>
        <w:rPr>
          <w:rFonts w:ascii="宋体" w:hAnsi="宋体"/>
          <w:szCs w:val="21"/>
        </w:rPr>
        <w:t>6.国家关于农业信息化的政策</w:t>
      </w:r>
    </w:p>
    <w:p w14:paraId="27DD348D" w14:textId="77777777" w:rsidR="00F5289E" w:rsidRDefault="00C91173">
      <w:pPr>
        <w:spacing w:line="360" w:lineRule="auto"/>
        <w:rPr>
          <w:rFonts w:ascii="宋体" w:hAnsi="宋体"/>
          <w:szCs w:val="21"/>
        </w:rPr>
      </w:pPr>
      <w:r>
        <w:rPr>
          <w:rFonts w:ascii="宋体" w:hAnsi="宋体"/>
          <w:szCs w:val="21"/>
        </w:rPr>
        <w:t>7.农业专家系统概念和内容</w:t>
      </w:r>
    </w:p>
    <w:p w14:paraId="6C35C895" w14:textId="77777777" w:rsidR="00F5289E" w:rsidRDefault="00C91173">
      <w:pPr>
        <w:spacing w:line="360" w:lineRule="auto"/>
        <w:rPr>
          <w:rFonts w:ascii="宋体" w:hAnsi="宋体"/>
          <w:szCs w:val="21"/>
        </w:rPr>
      </w:pPr>
      <w:r>
        <w:rPr>
          <w:rFonts w:ascii="宋体" w:hAnsi="宋体" w:hint="eastAsia"/>
          <w:szCs w:val="21"/>
        </w:rPr>
        <w:t>农业信息化技术、 农业专家系统农业信息化</w:t>
      </w:r>
    </w:p>
    <w:p w14:paraId="665CE148" w14:textId="77777777" w:rsidR="00F5289E" w:rsidRDefault="00C91173">
      <w:pPr>
        <w:spacing w:line="360" w:lineRule="auto"/>
        <w:rPr>
          <w:rFonts w:ascii="宋体" w:hAnsi="宋体"/>
          <w:szCs w:val="21"/>
        </w:rPr>
      </w:pPr>
      <w:r>
        <w:rPr>
          <w:rFonts w:ascii="宋体" w:hAnsi="宋体" w:hint="eastAsia"/>
          <w:szCs w:val="21"/>
        </w:rPr>
        <w:t>（一）农业信息化的概念</w:t>
      </w:r>
    </w:p>
    <w:p w14:paraId="143B6964" w14:textId="77777777" w:rsidR="00F5289E" w:rsidRDefault="00C91173">
      <w:pPr>
        <w:spacing w:line="360" w:lineRule="auto"/>
        <w:rPr>
          <w:rFonts w:ascii="宋体" w:hAnsi="宋体"/>
          <w:szCs w:val="21"/>
        </w:rPr>
      </w:pPr>
      <w:r>
        <w:rPr>
          <w:rFonts w:ascii="宋体" w:hAnsi="宋体" w:hint="eastAsia"/>
          <w:szCs w:val="21"/>
        </w:rPr>
        <w:t>（二）农业信息化的目的</w:t>
      </w:r>
    </w:p>
    <w:p w14:paraId="4646D9D3" w14:textId="77777777" w:rsidR="00F5289E" w:rsidRDefault="00C91173">
      <w:pPr>
        <w:spacing w:line="360" w:lineRule="auto"/>
        <w:rPr>
          <w:rFonts w:ascii="宋体" w:hAnsi="宋体"/>
          <w:color w:val="262600"/>
        </w:rPr>
      </w:pPr>
      <w:r>
        <w:rPr>
          <w:rFonts w:ascii="宋体" w:hAnsi="宋体" w:hint="eastAsia"/>
          <w:color w:val="262600"/>
        </w:rPr>
        <w:t>1.农业现代化需要完善信息技术为支撑</w:t>
      </w:r>
    </w:p>
    <w:p w14:paraId="271F4BD8" w14:textId="77777777" w:rsidR="00F5289E" w:rsidRDefault="00C91173">
      <w:pPr>
        <w:spacing w:line="360" w:lineRule="auto"/>
        <w:rPr>
          <w:rFonts w:ascii="宋体" w:hAnsi="宋体"/>
          <w:color w:val="262600"/>
        </w:rPr>
      </w:pPr>
      <w:r>
        <w:rPr>
          <w:rFonts w:ascii="宋体" w:hAnsi="宋体" w:hint="eastAsia"/>
          <w:color w:val="262600"/>
        </w:rPr>
        <w:t>2.农民收入实现增长</w:t>
      </w:r>
    </w:p>
    <w:p w14:paraId="76AD6F4A" w14:textId="77777777" w:rsidR="00F5289E" w:rsidRDefault="00C91173">
      <w:pPr>
        <w:spacing w:line="360" w:lineRule="auto"/>
        <w:rPr>
          <w:rFonts w:ascii="宋体" w:hAnsi="宋体"/>
          <w:color w:val="262600"/>
        </w:rPr>
      </w:pPr>
      <w:r>
        <w:rPr>
          <w:rFonts w:ascii="宋体" w:hAnsi="宋体" w:hint="eastAsia"/>
          <w:color w:val="262600"/>
        </w:rPr>
        <w:t>3.农业信息化有效缩小差距</w:t>
      </w:r>
    </w:p>
    <w:p w14:paraId="76935135" w14:textId="77777777" w:rsidR="00F5289E" w:rsidRDefault="00C91173">
      <w:pPr>
        <w:spacing w:line="360" w:lineRule="auto"/>
        <w:rPr>
          <w:rFonts w:ascii="宋体" w:hAnsi="宋体"/>
          <w:szCs w:val="21"/>
        </w:rPr>
      </w:pPr>
      <w:r>
        <w:rPr>
          <w:rFonts w:ascii="宋体" w:hAnsi="宋体" w:hint="eastAsia"/>
          <w:szCs w:val="21"/>
        </w:rPr>
        <w:t>（三）农业信息化的特征</w:t>
      </w:r>
    </w:p>
    <w:p w14:paraId="0C9F4AAE" w14:textId="77777777" w:rsidR="00F5289E" w:rsidRDefault="00C91173">
      <w:pPr>
        <w:spacing w:line="360" w:lineRule="auto"/>
        <w:rPr>
          <w:rFonts w:ascii="宋体" w:hAnsi="宋体"/>
          <w:szCs w:val="21"/>
        </w:rPr>
      </w:pPr>
      <w:r>
        <w:rPr>
          <w:rFonts w:ascii="宋体" w:hAnsi="宋体"/>
          <w:szCs w:val="21"/>
        </w:rPr>
        <w:t>1.网络化</w:t>
      </w:r>
    </w:p>
    <w:p w14:paraId="5600A264" w14:textId="77777777" w:rsidR="00F5289E" w:rsidRDefault="00C91173">
      <w:pPr>
        <w:spacing w:line="360" w:lineRule="auto"/>
        <w:rPr>
          <w:rFonts w:ascii="宋体" w:hAnsi="宋体"/>
          <w:szCs w:val="21"/>
        </w:rPr>
      </w:pPr>
      <w:r>
        <w:rPr>
          <w:rFonts w:ascii="宋体" w:hAnsi="宋体"/>
          <w:szCs w:val="21"/>
        </w:rPr>
        <w:t>2.综合化</w:t>
      </w:r>
    </w:p>
    <w:p w14:paraId="7162C478" w14:textId="77777777" w:rsidR="00F5289E" w:rsidRDefault="00C91173">
      <w:pPr>
        <w:spacing w:line="360" w:lineRule="auto"/>
        <w:rPr>
          <w:rFonts w:ascii="宋体" w:hAnsi="宋体"/>
          <w:szCs w:val="21"/>
        </w:rPr>
      </w:pPr>
      <w:r>
        <w:rPr>
          <w:rFonts w:ascii="宋体" w:hAnsi="宋体"/>
          <w:szCs w:val="21"/>
        </w:rPr>
        <w:t>3.全程化</w:t>
      </w:r>
    </w:p>
    <w:p w14:paraId="7518303E"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（四）农业信息化的内涵</w:t>
      </w:r>
    </w:p>
    <w:p w14:paraId="3BFFB615"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1.农业生产过程的信息化</w:t>
      </w:r>
    </w:p>
    <w:p w14:paraId="5BF90B55"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lastRenderedPageBreak/>
        <w:t>2.农产品流通过程的信息化</w:t>
      </w:r>
    </w:p>
    <w:p w14:paraId="7C34B58F"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3.农业管理过程的信息化</w:t>
      </w:r>
    </w:p>
    <w:p w14:paraId="0D262E8E"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（五）农业信息化发展现状和促进农业信息化的举措</w:t>
      </w:r>
    </w:p>
    <w:p w14:paraId="0CD4BDF4"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（六）国家关于农业信息化的政策</w:t>
      </w:r>
    </w:p>
    <w:p w14:paraId="5887EE3D"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（七）农业专家系统概念和内容</w:t>
      </w:r>
    </w:p>
    <w:p w14:paraId="71CB87A1"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 xml:space="preserve">1.农业专家系统概述 </w:t>
      </w:r>
    </w:p>
    <w:p w14:paraId="281F13CA"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 xml:space="preserve">2.产前决策专家系统技术 </w:t>
      </w:r>
    </w:p>
    <w:p w14:paraId="4B47003A"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 xml:space="preserve">3.施肥管理专家系统技术 </w:t>
      </w:r>
    </w:p>
    <w:p w14:paraId="7DE094B9" w14:textId="77777777" w:rsidR="00F5289E" w:rsidRDefault="00C91173">
      <w:pPr>
        <w:widowControl/>
        <w:adjustRightInd w:val="0"/>
        <w:snapToGrid w:val="0"/>
        <w:spacing w:line="360" w:lineRule="auto"/>
        <w:jc w:val="left"/>
        <w:rPr>
          <w:rFonts w:ascii="宋体" w:hAnsi="宋体"/>
          <w:szCs w:val="21"/>
        </w:rPr>
      </w:pPr>
      <w:r>
        <w:rPr>
          <w:rFonts w:ascii="宋体" w:hAnsi="宋体"/>
          <w:szCs w:val="21"/>
        </w:rPr>
        <w:t xml:space="preserve">4.病虫害防治专家系统技术 </w:t>
      </w:r>
    </w:p>
    <w:p w14:paraId="2BB66D60" w14:textId="77777777" w:rsidR="00F5289E" w:rsidRDefault="00C91173">
      <w:pPr>
        <w:spacing w:line="360" w:lineRule="auto"/>
        <w:rPr>
          <w:rFonts w:ascii="宋体" w:hAnsi="宋体"/>
          <w:szCs w:val="21"/>
        </w:rPr>
      </w:pPr>
      <w:r>
        <w:rPr>
          <w:rFonts w:ascii="宋体" w:hAnsi="宋体"/>
          <w:szCs w:val="21"/>
        </w:rPr>
        <w:t>5.节水灌溉专家系统技术</w:t>
      </w:r>
    </w:p>
    <w:p w14:paraId="108ED292"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根据学生前期的对园艺学、设施园艺学的学习基础，从农业信息化的概念、目的、特征和内涵、农业专家系统的概念、结构、特点与应用；让学生们熟悉国内外农业信息化的现状和发展方向，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0EA149A" w14:textId="77777777">
        <w:trPr>
          <w:trHeight w:val="270"/>
        </w:trPr>
        <w:tc>
          <w:tcPr>
            <w:tcW w:w="2965" w:type="dxa"/>
            <w:tcBorders>
              <w:top w:val="nil"/>
              <w:left w:val="nil"/>
              <w:bottom w:val="nil"/>
              <w:right w:val="nil"/>
            </w:tcBorders>
            <w:vAlign w:val="center"/>
          </w:tcPr>
          <w:p w14:paraId="5230E495"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38BE1526"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九</w:t>
            </w:r>
            <w:r>
              <w:rPr>
                <w:rFonts w:hAnsi="宋体"/>
                <w:b/>
                <w:bCs/>
                <w:szCs w:val="21"/>
              </w:rPr>
              <w:t>章</w:t>
            </w:r>
            <w:r>
              <w:rPr>
                <w:rFonts w:hint="eastAsia"/>
                <w:b/>
                <w:bCs/>
                <w:szCs w:val="21"/>
              </w:rPr>
              <w:t xml:space="preserve">  </w:t>
            </w:r>
            <w:r>
              <w:rPr>
                <w:rFonts w:hint="eastAsia"/>
                <w:b/>
                <w:bCs/>
                <w:szCs w:val="21"/>
              </w:rPr>
              <w:t>农业生产信息化技术——设施农业控制技术远程诊断技术</w:t>
            </w:r>
          </w:p>
        </w:tc>
        <w:tc>
          <w:tcPr>
            <w:tcW w:w="2966" w:type="dxa"/>
            <w:tcBorders>
              <w:top w:val="nil"/>
              <w:left w:val="nil"/>
              <w:bottom w:val="nil"/>
              <w:right w:val="nil"/>
            </w:tcBorders>
            <w:vAlign w:val="center"/>
          </w:tcPr>
          <w:p w14:paraId="6F3E37A8"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6F25396D" w14:textId="77777777" w:rsidR="00F5289E" w:rsidRDefault="00C91173">
      <w:pPr>
        <w:spacing w:line="360" w:lineRule="auto"/>
        <w:rPr>
          <w:color w:val="262600"/>
        </w:rPr>
      </w:pPr>
      <w:r>
        <w:rPr>
          <w:b/>
          <w:bCs/>
        </w:rPr>
        <w:t>教学目</w:t>
      </w:r>
      <w:r>
        <w:rPr>
          <w:rFonts w:hint="eastAsia"/>
          <w:b/>
          <w:bCs/>
        </w:rPr>
        <w:t>标</w:t>
      </w:r>
      <w:r>
        <w:rPr>
          <w:color w:val="262600"/>
        </w:rPr>
        <w:t>：</w:t>
      </w:r>
    </w:p>
    <w:p w14:paraId="0218F081" w14:textId="77777777" w:rsidR="00F5289E" w:rsidRDefault="00C91173">
      <w:pPr>
        <w:spacing w:line="360" w:lineRule="auto"/>
        <w:rPr>
          <w:rFonts w:ascii="宋体" w:hAnsi="宋体"/>
          <w:color w:val="262600"/>
        </w:rPr>
      </w:pPr>
      <w:r>
        <w:rPr>
          <w:rFonts w:ascii="宋体" w:hAnsi="宋体"/>
          <w:color w:val="262600"/>
        </w:rPr>
        <w:t>1.掌握设施农业控制技术和远程诊断技术的组成、技术要求和应用</w:t>
      </w:r>
    </w:p>
    <w:p w14:paraId="11CF398B" w14:textId="77777777" w:rsidR="00F5289E" w:rsidRDefault="00C91173">
      <w:pPr>
        <w:spacing w:line="360" w:lineRule="auto"/>
        <w:rPr>
          <w:rFonts w:ascii="宋体" w:hAnsi="宋体"/>
          <w:color w:val="262600"/>
        </w:rPr>
      </w:pPr>
      <w:r>
        <w:rPr>
          <w:rFonts w:ascii="宋体" w:hAnsi="宋体"/>
          <w:color w:val="262600"/>
        </w:rPr>
        <w:t>2.熟悉设施农业控制技术和远程诊断技术发展现状；</w:t>
      </w:r>
    </w:p>
    <w:p w14:paraId="55DF3136" w14:textId="77777777" w:rsidR="00F5289E" w:rsidRDefault="00C91173">
      <w:pPr>
        <w:spacing w:line="360" w:lineRule="auto"/>
        <w:rPr>
          <w:rFonts w:ascii="宋体" w:hAnsi="宋体"/>
          <w:color w:val="262600"/>
        </w:rPr>
      </w:pPr>
      <w:r>
        <w:rPr>
          <w:rFonts w:ascii="宋体" w:hAnsi="宋体"/>
          <w:color w:val="262600"/>
        </w:rPr>
        <w:t>3.了解设施农业控制技术和远程诊断技术应用案例。</w:t>
      </w:r>
    </w:p>
    <w:p w14:paraId="6E6FB96F"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4F29C8D7" w14:textId="77777777" w:rsidR="00F5289E" w:rsidRDefault="00C91173">
      <w:pPr>
        <w:spacing w:line="360" w:lineRule="auto"/>
        <w:rPr>
          <w:rFonts w:ascii="宋体" w:hAnsi="宋体"/>
          <w:color w:val="262600"/>
        </w:rPr>
      </w:pPr>
      <w:r>
        <w:rPr>
          <w:rFonts w:ascii="宋体" w:hAnsi="宋体" w:hint="eastAsia"/>
          <w:color w:val="262600"/>
        </w:rPr>
        <w:t>掌握设施农业控制技术和远程诊断技术的组成、技术要求和应用；了解设施农业控制技术和远程诊断技术发展现状；设施农业控制技术和远程诊断技术应用案例。</w:t>
      </w:r>
    </w:p>
    <w:p w14:paraId="110AC124" w14:textId="77777777" w:rsidR="00F5289E" w:rsidRDefault="00C91173">
      <w:pPr>
        <w:spacing w:line="360" w:lineRule="auto"/>
        <w:rPr>
          <w:color w:val="262600"/>
        </w:rPr>
      </w:pPr>
      <w:r>
        <w:rPr>
          <w:b/>
          <w:bCs/>
        </w:rPr>
        <w:t>主要教学内容及要求</w:t>
      </w:r>
      <w:r>
        <w:rPr>
          <w:color w:val="262600"/>
        </w:rPr>
        <w:t>：</w:t>
      </w:r>
    </w:p>
    <w:p w14:paraId="64A03E2B" w14:textId="77777777" w:rsidR="00F5289E" w:rsidRDefault="00C91173">
      <w:pPr>
        <w:spacing w:line="360" w:lineRule="auto"/>
        <w:rPr>
          <w:color w:val="262600"/>
        </w:rPr>
      </w:pPr>
      <w:r>
        <w:rPr>
          <w:rFonts w:hint="eastAsia"/>
          <w:color w:val="262600"/>
        </w:rPr>
        <w:t>设施农业控制技术和远程诊断技术的组成、技术要求和应用；设施农业控制技术和远程诊断技术发展现状；设施农业控制技术和远程诊断技术应用案例农业信息化的概念、目的、特征和内涵、现状和发展方向。</w:t>
      </w:r>
    </w:p>
    <w:p w14:paraId="727DEB62" w14:textId="77777777" w:rsidR="00F5289E" w:rsidRDefault="00C91173">
      <w:pPr>
        <w:spacing w:line="360" w:lineRule="auto"/>
        <w:rPr>
          <w:b/>
          <w:color w:val="262600"/>
          <w:szCs w:val="21"/>
        </w:rPr>
      </w:pPr>
      <w:r>
        <w:rPr>
          <w:b/>
          <w:color w:val="262600"/>
          <w:szCs w:val="21"/>
        </w:rPr>
        <w:t>第九章</w:t>
      </w:r>
      <w:r>
        <w:rPr>
          <w:b/>
          <w:color w:val="262600"/>
          <w:szCs w:val="21"/>
        </w:rPr>
        <w:t xml:space="preserve"> </w:t>
      </w:r>
      <w:r>
        <w:rPr>
          <w:b/>
          <w:color w:val="262600"/>
          <w:szCs w:val="21"/>
        </w:rPr>
        <w:t>农业信息化概述</w:t>
      </w:r>
    </w:p>
    <w:p w14:paraId="63BC00CA" w14:textId="77777777" w:rsidR="00F5289E" w:rsidRDefault="00C91173">
      <w:pPr>
        <w:spacing w:line="360" w:lineRule="auto"/>
        <w:rPr>
          <w:rFonts w:eastAsia="微软雅黑"/>
          <w:b/>
          <w:kern w:val="0"/>
          <w:szCs w:val="21"/>
        </w:rPr>
      </w:pPr>
      <w:r>
        <w:rPr>
          <w:b/>
          <w:color w:val="262600"/>
          <w:szCs w:val="21"/>
        </w:rPr>
        <w:t>第二节</w:t>
      </w:r>
      <w:r>
        <w:rPr>
          <w:b/>
          <w:color w:val="262600"/>
          <w:szCs w:val="21"/>
        </w:rPr>
        <w:t xml:space="preserve"> </w:t>
      </w:r>
      <w:r>
        <w:rPr>
          <w:b/>
          <w:color w:val="262600"/>
          <w:szCs w:val="21"/>
        </w:rPr>
        <w:t>农业生产信息化技术</w:t>
      </w:r>
      <w:r>
        <w:rPr>
          <w:b/>
          <w:color w:val="262600"/>
          <w:szCs w:val="21"/>
        </w:rPr>
        <w:t xml:space="preserve"> </w:t>
      </w:r>
      <w:r>
        <w:rPr>
          <w:b/>
          <w:color w:val="262600"/>
          <w:szCs w:val="21"/>
        </w:rPr>
        <w:t>设施农业控制技术和远程诊断技术</w:t>
      </w:r>
    </w:p>
    <w:p w14:paraId="3E773EB1" w14:textId="77777777" w:rsidR="00F5289E" w:rsidRDefault="00C91173">
      <w:pPr>
        <w:spacing w:line="360" w:lineRule="auto"/>
        <w:rPr>
          <w:color w:val="262600"/>
          <w:szCs w:val="21"/>
        </w:rPr>
      </w:pPr>
      <w:r>
        <w:rPr>
          <w:color w:val="262600"/>
          <w:szCs w:val="21"/>
        </w:rPr>
        <w:t>（一）设施农业控制技术和远程诊断技术概念</w:t>
      </w:r>
    </w:p>
    <w:p w14:paraId="7FACE90F" w14:textId="77777777" w:rsidR="00F5289E" w:rsidRDefault="00C91173">
      <w:pPr>
        <w:spacing w:line="360" w:lineRule="auto"/>
        <w:rPr>
          <w:color w:val="262600"/>
          <w:szCs w:val="21"/>
        </w:rPr>
      </w:pPr>
      <w:r>
        <w:rPr>
          <w:color w:val="262600"/>
          <w:szCs w:val="21"/>
        </w:rPr>
        <w:lastRenderedPageBreak/>
        <w:t>（二）农业远程诊断系统的组成和主要技术</w:t>
      </w:r>
    </w:p>
    <w:p w14:paraId="2775DFB5" w14:textId="77777777" w:rsidR="00F5289E" w:rsidRDefault="00C91173">
      <w:pPr>
        <w:spacing w:line="360" w:lineRule="auto"/>
        <w:rPr>
          <w:color w:val="262600"/>
          <w:szCs w:val="21"/>
        </w:rPr>
      </w:pPr>
      <w:r>
        <w:rPr>
          <w:color w:val="262600"/>
          <w:szCs w:val="21"/>
        </w:rPr>
        <w:t>（三）设施农业控制技术和远程诊断技术应用案例</w:t>
      </w:r>
    </w:p>
    <w:p w14:paraId="7013F4F3" w14:textId="77777777" w:rsidR="00F5289E" w:rsidRDefault="00C91173">
      <w:pPr>
        <w:spacing w:line="360" w:lineRule="auto"/>
        <w:rPr>
          <w:color w:val="262600"/>
          <w:szCs w:val="21"/>
        </w:rPr>
      </w:pPr>
      <w:r>
        <w:rPr>
          <w:color w:val="262600"/>
          <w:szCs w:val="21"/>
        </w:rPr>
        <w:t>（四）设施农业控制技术和远程诊断技术发展现状</w:t>
      </w:r>
    </w:p>
    <w:p w14:paraId="48A8F215" w14:textId="77777777" w:rsidR="00F5289E" w:rsidRDefault="00C91173">
      <w:pPr>
        <w:widowControl/>
        <w:snapToGrid w:val="0"/>
        <w:spacing w:line="360" w:lineRule="auto"/>
        <w:rPr>
          <w:szCs w:val="21"/>
        </w:rPr>
      </w:pPr>
      <w:r>
        <w:rPr>
          <w:b/>
          <w:bCs/>
          <w:szCs w:val="21"/>
        </w:rPr>
        <w:t>教学组织与实施：</w:t>
      </w:r>
      <w:r>
        <w:rPr>
          <w:szCs w:val="21"/>
        </w:rPr>
        <w:t>根据学生前期的对园艺学、设施园艺学的学习基础，从设施农业控制技术和远程诊断技术定义、类型、特点和发展现状等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BEDC544" w14:textId="77777777">
        <w:trPr>
          <w:trHeight w:val="270"/>
        </w:trPr>
        <w:tc>
          <w:tcPr>
            <w:tcW w:w="2965" w:type="dxa"/>
            <w:tcBorders>
              <w:top w:val="nil"/>
              <w:left w:val="nil"/>
              <w:bottom w:val="nil"/>
              <w:right w:val="nil"/>
            </w:tcBorders>
            <w:vAlign w:val="center"/>
          </w:tcPr>
          <w:p w14:paraId="145BE75F"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24C7F5E4"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十</w:t>
            </w:r>
            <w:r>
              <w:rPr>
                <w:rFonts w:hAnsi="宋体"/>
                <w:b/>
                <w:bCs/>
                <w:szCs w:val="21"/>
              </w:rPr>
              <w:t>章</w:t>
            </w:r>
            <w:r>
              <w:rPr>
                <w:rFonts w:hint="eastAsia"/>
                <w:b/>
                <w:bCs/>
                <w:szCs w:val="21"/>
              </w:rPr>
              <w:t xml:space="preserve">  </w:t>
            </w:r>
            <w:r>
              <w:rPr>
                <w:rFonts w:hint="eastAsia"/>
                <w:b/>
                <w:bCs/>
                <w:szCs w:val="21"/>
              </w:rPr>
              <w:t>智慧农业</w:t>
            </w:r>
          </w:p>
        </w:tc>
        <w:tc>
          <w:tcPr>
            <w:tcW w:w="2966" w:type="dxa"/>
            <w:tcBorders>
              <w:top w:val="nil"/>
              <w:left w:val="nil"/>
              <w:bottom w:val="nil"/>
              <w:right w:val="nil"/>
            </w:tcBorders>
            <w:vAlign w:val="center"/>
          </w:tcPr>
          <w:p w14:paraId="2630DF28"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2BB5A356" w14:textId="77777777" w:rsidR="00F5289E" w:rsidRDefault="00C91173">
      <w:pPr>
        <w:spacing w:line="360" w:lineRule="auto"/>
        <w:rPr>
          <w:color w:val="262600"/>
        </w:rPr>
      </w:pPr>
      <w:r>
        <w:rPr>
          <w:b/>
          <w:bCs/>
        </w:rPr>
        <w:t>教学目</w:t>
      </w:r>
      <w:r>
        <w:rPr>
          <w:rFonts w:hint="eastAsia"/>
          <w:b/>
          <w:bCs/>
        </w:rPr>
        <w:t>标</w:t>
      </w:r>
      <w:r>
        <w:rPr>
          <w:color w:val="262600"/>
        </w:rPr>
        <w:t>：</w:t>
      </w:r>
    </w:p>
    <w:p w14:paraId="7247E7B7" w14:textId="77777777" w:rsidR="00F5289E" w:rsidRDefault="00C91173">
      <w:pPr>
        <w:tabs>
          <w:tab w:val="left" w:pos="4770"/>
        </w:tabs>
        <w:spacing w:line="360" w:lineRule="auto"/>
        <w:rPr>
          <w:rFonts w:ascii="宋体" w:hAnsi="宋体"/>
          <w:color w:val="262600"/>
        </w:rPr>
      </w:pPr>
      <w:r>
        <w:rPr>
          <w:rFonts w:ascii="宋体" w:hAnsi="宋体"/>
          <w:color w:val="262600"/>
        </w:rPr>
        <w:t>1.掌握智慧农业的基本内涵与特征、建设内容和发展的基本路径；</w:t>
      </w:r>
    </w:p>
    <w:p w14:paraId="4B9150A4" w14:textId="77777777" w:rsidR="00F5289E" w:rsidRDefault="00C91173">
      <w:pPr>
        <w:tabs>
          <w:tab w:val="left" w:pos="4770"/>
        </w:tabs>
        <w:spacing w:line="360" w:lineRule="auto"/>
        <w:rPr>
          <w:rFonts w:ascii="宋体" w:hAnsi="宋体"/>
          <w:color w:val="262600"/>
        </w:rPr>
      </w:pPr>
      <w:r>
        <w:rPr>
          <w:rFonts w:ascii="宋体" w:hAnsi="宋体"/>
          <w:color w:val="262600"/>
        </w:rPr>
        <w:t>2.了解智慧农业的误区与壁垒；</w:t>
      </w:r>
    </w:p>
    <w:p w14:paraId="20CF727B" w14:textId="77777777" w:rsidR="00F5289E" w:rsidRDefault="00C91173">
      <w:pPr>
        <w:tabs>
          <w:tab w:val="left" w:pos="4770"/>
        </w:tabs>
        <w:spacing w:line="360" w:lineRule="auto"/>
        <w:rPr>
          <w:rFonts w:ascii="宋体" w:hAnsi="宋体"/>
          <w:color w:val="262600"/>
        </w:rPr>
      </w:pPr>
      <w:r>
        <w:rPr>
          <w:rFonts w:ascii="宋体" w:hAnsi="宋体"/>
          <w:color w:val="262600"/>
        </w:rPr>
        <w:t>3.了解互联网+农业的概念和必然性；</w:t>
      </w:r>
    </w:p>
    <w:p w14:paraId="5167966C" w14:textId="77777777" w:rsidR="00F5289E" w:rsidRDefault="00C91173">
      <w:pPr>
        <w:tabs>
          <w:tab w:val="left" w:pos="4770"/>
        </w:tabs>
        <w:spacing w:line="360" w:lineRule="auto"/>
        <w:rPr>
          <w:rFonts w:ascii="宋体" w:hAnsi="宋体"/>
          <w:color w:val="262600"/>
        </w:rPr>
      </w:pPr>
      <w:r>
        <w:rPr>
          <w:rFonts w:ascii="宋体" w:hAnsi="宋体"/>
          <w:color w:val="262600"/>
        </w:rPr>
        <w:t>4.熟悉智慧农业的建议依据和必要性。</w:t>
      </w:r>
    </w:p>
    <w:p w14:paraId="0E02A0DA"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15E18917" w14:textId="77777777" w:rsidR="00F5289E" w:rsidRDefault="00C91173">
      <w:pPr>
        <w:spacing w:line="360" w:lineRule="auto"/>
        <w:rPr>
          <w:rFonts w:ascii="宋体" w:hAnsi="宋体"/>
          <w:color w:val="262600"/>
        </w:rPr>
      </w:pPr>
      <w:r>
        <w:rPr>
          <w:rFonts w:ascii="宋体" w:hAnsi="宋体"/>
          <w:color w:val="262600"/>
        </w:rPr>
        <w:t>掌握智慧农业的基本内涵与特征、建设内容和发展的基本路径；熟悉智慧农业的建议依据和必要性，存在问题和发展方向。</w:t>
      </w:r>
    </w:p>
    <w:p w14:paraId="0854EC2F"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3CF57CB9" w14:textId="77777777" w:rsidR="00F5289E" w:rsidRDefault="00C91173">
      <w:pPr>
        <w:spacing w:line="360" w:lineRule="auto"/>
        <w:rPr>
          <w:rFonts w:ascii="宋体" w:hAnsi="宋体"/>
          <w:b/>
          <w:color w:val="262600"/>
        </w:rPr>
      </w:pPr>
      <w:r>
        <w:rPr>
          <w:rFonts w:ascii="宋体" w:hAnsi="宋体"/>
          <w:color w:val="262600"/>
        </w:rPr>
        <w:t>智慧农业的基本内涵与特征、建设内容和发展的基本路径；我国智慧农业的建议依据和必要性，存在问题和发展方向。</w:t>
      </w:r>
    </w:p>
    <w:p w14:paraId="30BEA125" w14:textId="77777777" w:rsidR="00F5289E" w:rsidRDefault="00C91173">
      <w:pPr>
        <w:spacing w:line="360" w:lineRule="auto"/>
        <w:rPr>
          <w:b/>
          <w:color w:val="262600"/>
        </w:rPr>
      </w:pPr>
      <w:r>
        <w:rPr>
          <w:b/>
          <w:color w:val="262600"/>
        </w:rPr>
        <w:t>第十章</w:t>
      </w:r>
      <w:r>
        <w:rPr>
          <w:b/>
          <w:color w:val="262600"/>
        </w:rPr>
        <w:t xml:space="preserve"> </w:t>
      </w:r>
      <w:r>
        <w:rPr>
          <w:b/>
          <w:color w:val="262600"/>
        </w:rPr>
        <w:t>智慧农业</w:t>
      </w:r>
    </w:p>
    <w:p w14:paraId="1C38DD6A" w14:textId="77777777" w:rsidR="00F5289E" w:rsidRDefault="00C91173">
      <w:pPr>
        <w:spacing w:line="360" w:lineRule="auto"/>
        <w:rPr>
          <w:color w:val="262600"/>
        </w:rPr>
      </w:pPr>
      <w:r>
        <w:rPr>
          <w:color w:val="262600"/>
        </w:rPr>
        <w:t>一、农业发展形态</w:t>
      </w:r>
    </w:p>
    <w:p w14:paraId="4C92DE3C" w14:textId="77777777" w:rsidR="00F5289E" w:rsidRDefault="00C91173">
      <w:pPr>
        <w:spacing w:line="360" w:lineRule="auto"/>
        <w:rPr>
          <w:color w:val="262600"/>
        </w:rPr>
      </w:pPr>
      <w:r>
        <w:rPr>
          <w:color w:val="262600"/>
        </w:rPr>
        <w:t>二、国外智慧农业发展现状</w:t>
      </w:r>
    </w:p>
    <w:p w14:paraId="39647C83" w14:textId="77777777" w:rsidR="00F5289E" w:rsidRDefault="00C91173">
      <w:pPr>
        <w:spacing w:line="360" w:lineRule="auto"/>
        <w:rPr>
          <w:color w:val="262600"/>
        </w:rPr>
      </w:pPr>
      <w:r>
        <w:rPr>
          <w:color w:val="262600"/>
        </w:rPr>
        <w:t>三、智慧农业建设依据</w:t>
      </w:r>
    </w:p>
    <w:p w14:paraId="5F0989D3" w14:textId="77777777" w:rsidR="00F5289E" w:rsidRDefault="00C91173">
      <w:pPr>
        <w:spacing w:line="360" w:lineRule="auto"/>
        <w:rPr>
          <w:color w:val="262600"/>
        </w:rPr>
      </w:pPr>
      <w:r>
        <w:rPr>
          <w:color w:val="262600"/>
        </w:rPr>
        <w:t>四、智慧农业概念和发展现状</w:t>
      </w:r>
    </w:p>
    <w:p w14:paraId="0BF9547F" w14:textId="77777777" w:rsidR="00F5289E" w:rsidRDefault="00C91173">
      <w:pPr>
        <w:spacing w:line="360" w:lineRule="auto"/>
        <w:rPr>
          <w:rFonts w:ascii="宋体" w:hAnsi="宋体"/>
          <w:color w:val="262600"/>
        </w:rPr>
      </w:pPr>
      <w:r>
        <w:rPr>
          <w:rFonts w:ascii="宋体" w:hAnsi="宋体"/>
          <w:color w:val="262600"/>
        </w:rPr>
        <w:t>1.互联网+农业的概念和必然性</w:t>
      </w:r>
    </w:p>
    <w:p w14:paraId="772B54BD" w14:textId="77777777" w:rsidR="00F5289E" w:rsidRDefault="00C91173">
      <w:pPr>
        <w:spacing w:line="360" w:lineRule="auto"/>
        <w:rPr>
          <w:rFonts w:ascii="宋体" w:hAnsi="宋体"/>
          <w:color w:val="262600"/>
        </w:rPr>
      </w:pPr>
      <w:r>
        <w:rPr>
          <w:rFonts w:ascii="宋体" w:hAnsi="宋体"/>
          <w:color w:val="262600"/>
        </w:rPr>
        <w:t>2.智慧农业与大数据结合</w:t>
      </w:r>
    </w:p>
    <w:p w14:paraId="545ED73C" w14:textId="77777777" w:rsidR="00F5289E" w:rsidRDefault="00C91173">
      <w:pPr>
        <w:spacing w:line="360" w:lineRule="auto"/>
        <w:rPr>
          <w:rFonts w:ascii="宋体" w:hAnsi="宋体"/>
          <w:color w:val="262600"/>
        </w:rPr>
      </w:pPr>
      <w:r>
        <w:rPr>
          <w:rFonts w:ascii="宋体" w:hAnsi="宋体"/>
          <w:color w:val="262600"/>
        </w:rPr>
        <w:t>3.智慧农业建设的目标、思路和建设内容和基本路径</w:t>
      </w:r>
    </w:p>
    <w:p w14:paraId="55740D4F" w14:textId="77777777" w:rsidR="00F5289E" w:rsidRDefault="00C91173">
      <w:pPr>
        <w:spacing w:line="360" w:lineRule="auto"/>
        <w:rPr>
          <w:rFonts w:ascii="宋体" w:hAnsi="宋体"/>
          <w:color w:val="262600"/>
        </w:rPr>
      </w:pPr>
      <w:r>
        <w:rPr>
          <w:rFonts w:ascii="宋体" w:hAnsi="宋体"/>
          <w:color w:val="262600"/>
        </w:rPr>
        <w:t>4.智慧农业案例分析</w:t>
      </w:r>
    </w:p>
    <w:p w14:paraId="602F7AD8"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为重点课程，从智慧农业的基本内涵与特征、建设内容和发展的基本路径，研究现状和发展前景及经典案例等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BE2549A" w14:textId="77777777">
        <w:trPr>
          <w:trHeight w:val="270"/>
        </w:trPr>
        <w:tc>
          <w:tcPr>
            <w:tcW w:w="2965" w:type="dxa"/>
            <w:tcBorders>
              <w:top w:val="nil"/>
              <w:left w:val="nil"/>
              <w:bottom w:val="nil"/>
              <w:right w:val="nil"/>
            </w:tcBorders>
            <w:vAlign w:val="center"/>
          </w:tcPr>
          <w:p w14:paraId="1888A6EF"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4D78D8F8"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十一</w:t>
            </w:r>
            <w:r>
              <w:rPr>
                <w:rFonts w:hAnsi="宋体"/>
                <w:b/>
                <w:bCs/>
                <w:szCs w:val="21"/>
              </w:rPr>
              <w:t>章</w:t>
            </w:r>
            <w:r>
              <w:rPr>
                <w:rFonts w:hint="eastAsia"/>
                <w:b/>
                <w:bCs/>
                <w:szCs w:val="21"/>
              </w:rPr>
              <w:t xml:space="preserve">  </w:t>
            </w:r>
            <w:r>
              <w:rPr>
                <w:rFonts w:hint="eastAsia"/>
                <w:b/>
                <w:bCs/>
                <w:szCs w:val="21"/>
              </w:rPr>
              <w:t>农业推广信息服务</w:t>
            </w:r>
          </w:p>
        </w:tc>
        <w:tc>
          <w:tcPr>
            <w:tcW w:w="2966" w:type="dxa"/>
            <w:tcBorders>
              <w:top w:val="nil"/>
              <w:left w:val="nil"/>
              <w:bottom w:val="nil"/>
              <w:right w:val="nil"/>
            </w:tcBorders>
            <w:vAlign w:val="center"/>
          </w:tcPr>
          <w:p w14:paraId="30287A23"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54D46126" w14:textId="77777777" w:rsidR="00F5289E" w:rsidRDefault="00C91173">
      <w:pPr>
        <w:spacing w:line="360" w:lineRule="auto"/>
        <w:rPr>
          <w:color w:val="262600"/>
        </w:rPr>
      </w:pPr>
      <w:r>
        <w:rPr>
          <w:b/>
          <w:bCs/>
        </w:rPr>
        <w:t>教学目</w:t>
      </w:r>
      <w:r>
        <w:rPr>
          <w:rFonts w:hint="eastAsia"/>
          <w:b/>
          <w:bCs/>
        </w:rPr>
        <w:t>标</w:t>
      </w:r>
      <w:r>
        <w:rPr>
          <w:color w:val="262600"/>
        </w:rPr>
        <w:t>：</w:t>
      </w:r>
    </w:p>
    <w:p w14:paraId="729FDA66" w14:textId="77777777" w:rsidR="00F5289E" w:rsidRDefault="00C91173">
      <w:pPr>
        <w:tabs>
          <w:tab w:val="left" w:pos="4770"/>
        </w:tabs>
        <w:spacing w:line="360" w:lineRule="auto"/>
        <w:rPr>
          <w:rFonts w:ascii="宋体" w:hAnsi="宋体"/>
          <w:color w:val="262600"/>
        </w:rPr>
      </w:pPr>
      <w:r>
        <w:rPr>
          <w:rFonts w:ascii="宋体" w:hAnsi="宋体"/>
          <w:color w:val="262600"/>
        </w:rPr>
        <w:t>1.掌握农业信息和农业信息化的含义、农业推广信息系统的相关概念；</w:t>
      </w:r>
    </w:p>
    <w:p w14:paraId="798A74F6" w14:textId="77777777" w:rsidR="00F5289E" w:rsidRDefault="00C91173">
      <w:pPr>
        <w:tabs>
          <w:tab w:val="left" w:pos="4770"/>
        </w:tabs>
        <w:spacing w:line="360" w:lineRule="auto"/>
        <w:rPr>
          <w:rFonts w:ascii="宋体" w:hAnsi="宋体"/>
          <w:color w:val="262600"/>
        </w:rPr>
      </w:pPr>
      <w:r>
        <w:rPr>
          <w:rFonts w:ascii="宋体" w:hAnsi="宋体"/>
          <w:color w:val="262600"/>
        </w:rPr>
        <w:t>2.了解农业信息的种类和内容、农业信息的来源与特性、农业信息化和信息农业；</w:t>
      </w:r>
    </w:p>
    <w:p w14:paraId="4FB5EF96" w14:textId="77777777" w:rsidR="00F5289E" w:rsidRDefault="00C91173">
      <w:pPr>
        <w:tabs>
          <w:tab w:val="left" w:pos="4770"/>
        </w:tabs>
        <w:spacing w:line="360" w:lineRule="auto"/>
        <w:rPr>
          <w:rFonts w:ascii="宋体" w:hAnsi="宋体"/>
          <w:color w:val="262600"/>
        </w:rPr>
      </w:pPr>
      <w:r>
        <w:rPr>
          <w:rFonts w:ascii="宋体" w:hAnsi="宋体"/>
          <w:color w:val="262600"/>
        </w:rPr>
        <w:t>3.掌握农业推广信息系统的利用途径、农业推广信息系统的应用技术</w:t>
      </w:r>
    </w:p>
    <w:p w14:paraId="11B52ED4" w14:textId="77777777" w:rsidR="00F5289E" w:rsidRDefault="00C91173">
      <w:pPr>
        <w:tabs>
          <w:tab w:val="left" w:pos="4770"/>
        </w:tabs>
        <w:spacing w:line="360" w:lineRule="auto"/>
        <w:rPr>
          <w:rFonts w:ascii="宋体" w:hAnsi="宋体"/>
          <w:color w:val="262600"/>
        </w:rPr>
      </w:pPr>
      <w:r>
        <w:rPr>
          <w:rFonts w:ascii="宋体" w:hAnsi="宋体"/>
          <w:color w:val="262600"/>
        </w:rPr>
        <w:t>4.探讨提高农业推广信息服务质量的基本途径</w:t>
      </w:r>
    </w:p>
    <w:p w14:paraId="6ED22C9E" w14:textId="77777777" w:rsidR="00F5289E" w:rsidRDefault="00C91173">
      <w:pPr>
        <w:tabs>
          <w:tab w:val="left" w:pos="4770"/>
        </w:tabs>
        <w:spacing w:line="360" w:lineRule="auto"/>
        <w:rPr>
          <w:rFonts w:ascii="宋体" w:hAnsi="宋体"/>
          <w:color w:val="262600"/>
        </w:rPr>
      </w:pPr>
      <w:r>
        <w:rPr>
          <w:rFonts w:ascii="宋体" w:hAnsi="宋体"/>
          <w:color w:val="262600"/>
        </w:rPr>
        <w:t>5.掌握提高促进农业推广信息服务的理论知识和实践技能。</w:t>
      </w:r>
    </w:p>
    <w:p w14:paraId="10068CAF"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664FBC9C" w14:textId="77777777" w:rsidR="00F5289E" w:rsidRDefault="00C91173">
      <w:pPr>
        <w:spacing w:line="360" w:lineRule="auto"/>
        <w:rPr>
          <w:rFonts w:ascii="宋体" w:hAnsi="宋体"/>
          <w:color w:val="262600"/>
        </w:rPr>
      </w:pPr>
      <w:r>
        <w:rPr>
          <w:rFonts w:ascii="宋体" w:hAnsi="宋体" w:hint="eastAsia"/>
          <w:color w:val="262600"/>
        </w:rPr>
        <w:t>掌握农业信息和农业信息化的含义、农业推广信息系统的相关概念；掌握农业推广信息系统的利用途径、农业推广信息系统的应用技术。</w:t>
      </w:r>
    </w:p>
    <w:p w14:paraId="1C039EDD" w14:textId="77777777" w:rsidR="00F5289E" w:rsidRDefault="00C91173">
      <w:pPr>
        <w:spacing w:line="360" w:lineRule="auto"/>
        <w:rPr>
          <w:rFonts w:ascii="宋体" w:hAnsi="宋体"/>
          <w:color w:val="262600"/>
        </w:rPr>
      </w:pPr>
      <w:r>
        <w:rPr>
          <w:rFonts w:ascii="宋体" w:hAnsi="宋体"/>
          <w:b/>
          <w:bCs/>
        </w:rPr>
        <w:t>主要教学内容及要求</w:t>
      </w:r>
      <w:r>
        <w:rPr>
          <w:rFonts w:ascii="宋体" w:hAnsi="宋体"/>
          <w:color w:val="262600"/>
        </w:rPr>
        <w:t>：</w:t>
      </w:r>
    </w:p>
    <w:p w14:paraId="51F2573B" w14:textId="77777777" w:rsidR="00F5289E" w:rsidRDefault="00C91173">
      <w:pPr>
        <w:spacing w:line="360" w:lineRule="auto"/>
        <w:rPr>
          <w:rFonts w:ascii="宋体" w:hAnsi="宋体"/>
          <w:b/>
          <w:color w:val="262600"/>
        </w:rPr>
      </w:pPr>
      <w:r>
        <w:rPr>
          <w:rFonts w:ascii="宋体" w:hAnsi="宋体" w:hint="eastAsia"/>
          <w:color w:val="262600"/>
        </w:rPr>
        <w:t>农业推广信息化、农业信息化、农业信息的基本概念、系统及应用技术。</w:t>
      </w:r>
    </w:p>
    <w:p w14:paraId="59094F32" w14:textId="77777777" w:rsidR="00F5289E" w:rsidRDefault="00C91173">
      <w:pPr>
        <w:spacing w:line="360" w:lineRule="auto"/>
        <w:rPr>
          <w:rFonts w:ascii="宋体" w:hAnsi="宋体"/>
          <w:b/>
          <w:color w:val="262600"/>
        </w:rPr>
      </w:pPr>
      <w:r>
        <w:rPr>
          <w:rFonts w:ascii="宋体" w:hAnsi="宋体" w:hint="eastAsia"/>
          <w:b/>
          <w:color w:val="262600"/>
        </w:rPr>
        <w:t>第十一章 农业推广信息服务</w:t>
      </w:r>
    </w:p>
    <w:p w14:paraId="5530060F" w14:textId="77777777" w:rsidR="00F5289E" w:rsidRDefault="00C91173">
      <w:pPr>
        <w:spacing w:line="360" w:lineRule="auto"/>
        <w:rPr>
          <w:rFonts w:ascii="宋体" w:hAnsi="宋体"/>
          <w:color w:val="262600"/>
        </w:rPr>
      </w:pPr>
      <w:r>
        <w:rPr>
          <w:rFonts w:ascii="宋体" w:hAnsi="宋体" w:hint="eastAsia"/>
          <w:color w:val="262600"/>
        </w:rPr>
        <w:t>一、农业推广信息概述</w:t>
      </w:r>
    </w:p>
    <w:p w14:paraId="2E653F92" w14:textId="77777777" w:rsidR="00F5289E" w:rsidRDefault="00C91173">
      <w:pPr>
        <w:spacing w:line="360" w:lineRule="auto"/>
        <w:rPr>
          <w:rFonts w:ascii="宋体" w:hAnsi="宋体"/>
          <w:color w:val="262600"/>
        </w:rPr>
      </w:pPr>
      <w:r>
        <w:rPr>
          <w:rFonts w:ascii="宋体" w:hAnsi="宋体" w:hint="eastAsia"/>
          <w:color w:val="262600"/>
        </w:rPr>
        <w:t>二、农业信息化和信息农业</w:t>
      </w:r>
    </w:p>
    <w:p w14:paraId="7D44A0DF" w14:textId="77777777" w:rsidR="00F5289E" w:rsidRDefault="00C91173">
      <w:pPr>
        <w:spacing w:line="360" w:lineRule="auto"/>
        <w:rPr>
          <w:rFonts w:ascii="宋体" w:hAnsi="宋体"/>
          <w:color w:val="262600"/>
        </w:rPr>
      </w:pPr>
      <w:r>
        <w:rPr>
          <w:rFonts w:ascii="宋体" w:hAnsi="宋体" w:hint="eastAsia"/>
          <w:color w:val="262600"/>
        </w:rPr>
        <w:t>三、农业推广信息系统</w:t>
      </w:r>
    </w:p>
    <w:p w14:paraId="4CDC8D3D" w14:textId="77777777" w:rsidR="00F5289E" w:rsidRDefault="00C91173">
      <w:pPr>
        <w:spacing w:line="360" w:lineRule="auto"/>
        <w:rPr>
          <w:color w:val="262600"/>
        </w:rPr>
      </w:pPr>
      <w:r>
        <w:rPr>
          <w:rFonts w:hint="eastAsia"/>
          <w:color w:val="262600"/>
        </w:rPr>
        <w:t>四、农业推广信息服务</w:t>
      </w:r>
    </w:p>
    <w:p w14:paraId="44232B4F"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本章从农业推广信息概述、农业信息化和信息农业内容、农业推广信息系统、农业推广服务等方面，通过课堂讲解，视频资料分享，课下查阅、课上分组讨论的讲授体系，让学生们系统全面的掌握本章内容。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831"/>
        <w:gridCol w:w="3261"/>
        <w:gridCol w:w="2804"/>
      </w:tblGrid>
      <w:tr w:rsidR="00F5289E" w14:paraId="4231F822" w14:textId="77777777" w:rsidTr="00F63B33">
        <w:trPr>
          <w:trHeight w:val="270"/>
        </w:trPr>
        <w:tc>
          <w:tcPr>
            <w:tcW w:w="2831" w:type="dxa"/>
            <w:tcBorders>
              <w:top w:val="nil"/>
              <w:left w:val="nil"/>
              <w:bottom w:val="nil"/>
              <w:right w:val="nil"/>
            </w:tcBorders>
            <w:vAlign w:val="center"/>
          </w:tcPr>
          <w:p w14:paraId="144160DA" w14:textId="77777777" w:rsidR="00F5289E" w:rsidRDefault="00F5289E">
            <w:pPr>
              <w:widowControl/>
              <w:snapToGrid w:val="0"/>
              <w:spacing w:line="360" w:lineRule="auto"/>
              <w:jc w:val="center"/>
              <w:rPr>
                <w:rFonts w:hAnsi="宋体"/>
                <w:b/>
                <w:bCs/>
                <w:szCs w:val="21"/>
              </w:rPr>
            </w:pPr>
          </w:p>
        </w:tc>
        <w:tc>
          <w:tcPr>
            <w:tcW w:w="3261" w:type="dxa"/>
            <w:tcBorders>
              <w:top w:val="nil"/>
              <w:left w:val="nil"/>
              <w:bottom w:val="nil"/>
              <w:right w:val="nil"/>
            </w:tcBorders>
            <w:vAlign w:val="center"/>
          </w:tcPr>
          <w:p w14:paraId="2B2D34EF"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十二</w:t>
            </w:r>
            <w:r>
              <w:rPr>
                <w:rFonts w:hAnsi="宋体"/>
                <w:b/>
                <w:bCs/>
                <w:szCs w:val="21"/>
              </w:rPr>
              <w:t>章</w:t>
            </w:r>
            <w:r>
              <w:rPr>
                <w:rFonts w:hint="eastAsia"/>
                <w:b/>
                <w:bCs/>
                <w:szCs w:val="21"/>
              </w:rPr>
              <w:t xml:space="preserve">  </w:t>
            </w:r>
            <w:r>
              <w:rPr>
                <w:rFonts w:hint="eastAsia"/>
                <w:b/>
                <w:bCs/>
                <w:szCs w:val="21"/>
              </w:rPr>
              <w:t>农业经营与管理信息化</w:t>
            </w:r>
          </w:p>
        </w:tc>
        <w:tc>
          <w:tcPr>
            <w:tcW w:w="2804" w:type="dxa"/>
            <w:tcBorders>
              <w:top w:val="nil"/>
              <w:left w:val="nil"/>
              <w:bottom w:val="nil"/>
              <w:right w:val="nil"/>
            </w:tcBorders>
            <w:vAlign w:val="center"/>
          </w:tcPr>
          <w:p w14:paraId="00546EF9"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12091A9B" w14:textId="77777777" w:rsidR="00F5289E" w:rsidRDefault="00C91173">
      <w:pPr>
        <w:spacing w:line="360" w:lineRule="auto"/>
        <w:rPr>
          <w:color w:val="262600"/>
        </w:rPr>
      </w:pPr>
      <w:r>
        <w:rPr>
          <w:b/>
          <w:bCs/>
        </w:rPr>
        <w:t>教学目</w:t>
      </w:r>
      <w:r>
        <w:rPr>
          <w:rFonts w:hint="eastAsia"/>
          <w:b/>
          <w:bCs/>
        </w:rPr>
        <w:t>标</w:t>
      </w:r>
      <w:r>
        <w:rPr>
          <w:color w:val="262600"/>
        </w:rPr>
        <w:t>：</w:t>
      </w:r>
    </w:p>
    <w:p w14:paraId="024E5D8A" w14:textId="77777777" w:rsidR="00F5289E" w:rsidRDefault="00C91173">
      <w:pPr>
        <w:tabs>
          <w:tab w:val="left" w:pos="4770"/>
        </w:tabs>
        <w:spacing w:line="360" w:lineRule="auto"/>
        <w:rPr>
          <w:rFonts w:ascii="宋体" w:hAnsi="宋体"/>
          <w:color w:val="262600"/>
        </w:rPr>
      </w:pPr>
      <w:r>
        <w:rPr>
          <w:rFonts w:ascii="宋体" w:hAnsi="宋体"/>
          <w:color w:val="262600"/>
        </w:rPr>
        <w:t>1.掌握农业经营、管理信息化的概念和提升水平的相关措施；</w:t>
      </w:r>
    </w:p>
    <w:p w14:paraId="13673793" w14:textId="77777777" w:rsidR="00F5289E" w:rsidRDefault="00C91173">
      <w:pPr>
        <w:tabs>
          <w:tab w:val="left" w:pos="4770"/>
        </w:tabs>
        <w:spacing w:line="360" w:lineRule="auto"/>
        <w:rPr>
          <w:rFonts w:ascii="宋体" w:hAnsi="宋体"/>
          <w:color w:val="262600"/>
        </w:rPr>
      </w:pPr>
      <w:r>
        <w:rPr>
          <w:rFonts w:ascii="宋体" w:hAnsi="宋体"/>
          <w:color w:val="262600"/>
        </w:rPr>
        <w:t>2.了解电子商务在促进农业经营信息化中的作用；</w:t>
      </w:r>
    </w:p>
    <w:p w14:paraId="79CBBDF8" w14:textId="77777777" w:rsidR="00F5289E" w:rsidRDefault="00C91173">
      <w:pPr>
        <w:tabs>
          <w:tab w:val="left" w:pos="4770"/>
        </w:tabs>
        <w:spacing w:line="360" w:lineRule="auto"/>
        <w:rPr>
          <w:rFonts w:ascii="宋体" w:hAnsi="宋体"/>
          <w:color w:val="262600"/>
        </w:rPr>
      </w:pPr>
      <w:r>
        <w:rPr>
          <w:rFonts w:ascii="宋体" w:hAnsi="宋体"/>
          <w:color w:val="262600"/>
        </w:rPr>
        <w:t>3.熟悉农业农村政务管理信息化、社会管理信息化的发展现状和趋势。</w:t>
      </w:r>
    </w:p>
    <w:p w14:paraId="1843D373"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7D139C18" w14:textId="77777777" w:rsidR="00F5289E" w:rsidRDefault="00C91173">
      <w:pPr>
        <w:spacing w:line="360" w:lineRule="auto"/>
        <w:rPr>
          <w:color w:val="262600"/>
        </w:rPr>
      </w:pPr>
      <w:r>
        <w:rPr>
          <w:rFonts w:hint="eastAsia"/>
          <w:color w:val="262600"/>
        </w:rPr>
        <w:t>掌握农业经营、管理信息化的概念和提升水平的相关措施；掌握农业农村政务管理信息化、社会管理信息化的发展现状和趋势掌握农业信息和农业信息化的含义、农业推广信息系统的相关概念。</w:t>
      </w:r>
    </w:p>
    <w:p w14:paraId="74584332" w14:textId="77777777" w:rsidR="00F5289E" w:rsidRDefault="00C91173">
      <w:pPr>
        <w:spacing w:line="360" w:lineRule="auto"/>
        <w:rPr>
          <w:color w:val="262600"/>
        </w:rPr>
      </w:pPr>
      <w:r>
        <w:rPr>
          <w:b/>
          <w:bCs/>
        </w:rPr>
        <w:t>主要教学内容及要求</w:t>
      </w:r>
      <w:r>
        <w:rPr>
          <w:color w:val="262600"/>
        </w:rPr>
        <w:t>：</w:t>
      </w:r>
    </w:p>
    <w:p w14:paraId="7916C661" w14:textId="77777777" w:rsidR="00F5289E" w:rsidRDefault="00C91173">
      <w:pPr>
        <w:spacing w:line="360" w:lineRule="auto"/>
        <w:rPr>
          <w:b/>
          <w:color w:val="262600"/>
        </w:rPr>
      </w:pPr>
      <w:r>
        <w:rPr>
          <w:rFonts w:hint="eastAsia"/>
          <w:b/>
          <w:color w:val="262600"/>
        </w:rPr>
        <w:t>第十二章</w:t>
      </w:r>
      <w:r>
        <w:rPr>
          <w:rFonts w:hint="eastAsia"/>
          <w:b/>
          <w:color w:val="262600"/>
        </w:rPr>
        <w:t xml:space="preserve"> </w:t>
      </w:r>
      <w:r>
        <w:rPr>
          <w:rFonts w:hint="eastAsia"/>
          <w:b/>
          <w:color w:val="262600"/>
        </w:rPr>
        <w:t>农业经营与管理信息化</w:t>
      </w:r>
    </w:p>
    <w:p w14:paraId="79C562C2" w14:textId="77777777" w:rsidR="00F5289E" w:rsidRDefault="00C91173">
      <w:pPr>
        <w:spacing w:line="360" w:lineRule="auto"/>
        <w:rPr>
          <w:color w:val="262600"/>
        </w:rPr>
      </w:pPr>
      <w:r>
        <w:rPr>
          <w:rFonts w:hint="eastAsia"/>
          <w:color w:val="262600"/>
        </w:rPr>
        <w:lastRenderedPageBreak/>
        <w:t>（一）农业经营、管理信息化的概念和提升水平的相关措施</w:t>
      </w:r>
    </w:p>
    <w:p w14:paraId="246A9F7E" w14:textId="77777777" w:rsidR="00F5289E" w:rsidRDefault="00C91173">
      <w:pPr>
        <w:spacing w:line="360" w:lineRule="auto"/>
        <w:rPr>
          <w:color w:val="262600"/>
        </w:rPr>
      </w:pPr>
      <w:r>
        <w:rPr>
          <w:rFonts w:hint="eastAsia"/>
          <w:color w:val="262600"/>
        </w:rPr>
        <w:t>（二）电子商务的概念及农业经营信息化的作用</w:t>
      </w:r>
    </w:p>
    <w:p w14:paraId="297577B9" w14:textId="77777777" w:rsidR="00F5289E" w:rsidRDefault="00C91173">
      <w:pPr>
        <w:spacing w:line="360" w:lineRule="auto"/>
        <w:rPr>
          <w:color w:val="262600"/>
        </w:rPr>
      </w:pPr>
      <w:r>
        <w:rPr>
          <w:rFonts w:hint="eastAsia"/>
          <w:color w:val="262600"/>
        </w:rPr>
        <w:t>（三）农业农村政务管理信息化、社会管理信息化的发展现状、趋势和政策</w:t>
      </w:r>
    </w:p>
    <w:p w14:paraId="1A7EAA9C"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本章从农业经营与管理信息化方面，通过课堂讲解，视频资料分享，课下查阅、课上分组讨论的讲授体系，让学生们系统全面的掌握本章内容。</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F136D08" w14:textId="77777777">
        <w:trPr>
          <w:trHeight w:val="270"/>
        </w:trPr>
        <w:tc>
          <w:tcPr>
            <w:tcW w:w="2965" w:type="dxa"/>
            <w:tcBorders>
              <w:top w:val="nil"/>
              <w:left w:val="nil"/>
              <w:bottom w:val="nil"/>
              <w:right w:val="nil"/>
            </w:tcBorders>
            <w:vAlign w:val="center"/>
          </w:tcPr>
          <w:p w14:paraId="0863D135" w14:textId="77777777" w:rsidR="00F5289E" w:rsidRDefault="00F5289E">
            <w:pPr>
              <w:widowControl/>
              <w:snapToGrid w:val="0"/>
              <w:spacing w:line="360" w:lineRule="auto"/>
              <w:jc w:val="center"/>
              <w:rPr>
                <w:rFonts w:hAnsi="宋体"/>
                <w:b/>
                <w:bCs/>
                <w:szCs w:val="21"/>
              </w:rPr>
            </w:pPr>
          </w:p>
        </w:tc>
        <w:tc>
          <w:tcPr>
            <w:tcW w:w="2965" w:type="dxa"/>
            <w:tcBorders>
              <w:top w:val="nil"/>
              <w:left w:val="nil"/>
              <w:bottom w:val="nil"/>
              <w:right w:val="nil"/>
            </w:tcBorders>
            <w:vAlign w:val="center"/>
          </w:tcPr>
          <w:p w14:paraId="785D8A02" w14:textId="77777777" w:rsidR="00F5289E" w:rsidRDefault="00C91173">
            <w:pPr>
              <w:widowControl/>
              <w:snapToGrid w:val="0"/>
              <w:spacing w:line="360" w:lineRule="auto"/>
              <w:jc w:val="center"/>
              <w:rPr>
                <w:rFonts w:hAnsi="宋体"/>
                <w:b/>
                <w:bCs/>
                <w:szCs w:val="21"/>
              </w:rPr>
            </w:pPr>
            <w:r>
              <w:rPr>
                <w:rFonts w:hAnsi="宋体"/>
                <w:b/>
                <w:bCs/>
                <w:szCs w:val="21"/>
              </w:rPr>
              <w:t>第</w:t>
            </w:r>
            <w:r>
              <w:rPr>
                <w:rFonts w:hAnsi="宋体" w:hint="eastAsia"/>
                <w:b/>
                <w:bCs/>
                <w:szCs w:val="21"/>
              </w:rPr>
              <w:t>十三</w:t>
            </w:r>
            <w:r>
              <w:rPr>
                <w:rFonts w:hAnsi="宋体"/>
                <w:b/>
                <w:bCs/>
                <w:szCs w:val="21"/>
              </w:rPr>
              <w:t>章</w:t>
            </w:r>
            <w:r>
              <w:rPr>
                <w:rFonts w:hint="eastAsia"/>
                <w:b/>
                <w:bCs/>
                <w:szCs w:val="21"/>
              </w:rPr>
              <w:t xml:space="preserve">  </w:t>
            </w:r>
            <w:r>
              <w:rPr>
                <w:rFonts w:hint="eastAsia"/>
                <w:b/>
                <w:bCs/>
                <w:szCs w:val="21"/>
              </w:rPr>
              <w:t>农业数字化理论与案例分析</w:t>
            </w:r>
          </w:p>
        </w:tc>
        <w:tc>
          <w:tcPr>
            <w:tcW w:w="2966" w:type="dxa"/>
            <w:tcBorders>
              <w:top w:val="nil"/>
              <w:left w:val="nil"/>
              <w:bottom w:val="nil"/>
              <w:right w:val="nil"/>
            </w:tcBorders>
            <w:vAlign w:val="center"/>
          </w:tcPr>
          <w:p w14:paraId="378471ED" w14:textId="77777777" w:rsidR="00F5289E" w:rsidRDefault="00C91173">
            <w:pPr>
              <w:widowControl/>
              <w:snapToGrid w:val="0"/>
              <w:spacing w:line="360" w:lineRule="auto"/>
              <w:jc w:val="right"/>
              <w:rPr>
                <w:rFonts w:hAnsi="宋体"/>
                <w:b/>
                <w:bCs/>
                <w:szCs w:val="21"/>
              </w:rPr>
            </w:pPr>
            <w:r>
              <w:rPr>
                <w:rFonts w:hAnsi="宋体"/>
                <w:b/>
                <w:bCs/>
                <w:szCs w:val="21"/>
              </w:rPr>
              <w:t>学时</w:t>
            </w:r>
            <w:r>
              <w:rPr>
                <w:rFonts w:hAnsi="宋体" w:hint="eastAsia"/>
                <w:b/>
                <w:bCs/>
                <w:szCs w:val="21"/>
              </w:rPr>
              <w:t>数：</w:t>
            </w:r>
            <w:r>
              <w:rPr>
                <w:rFonts w:hAnsi="宋体"/>
                <w:b/>
                <w:bCs/>
                <w:szCs w:val="21"/>
              </w:rPr>
              <w:t>2</w:t>
            </w:r>
          </w:p>
        </w:tc>
      </w:tr>
    </w:tbl>
    <w:p w14:paraId="574AC73D" w14:textId="77777777" w:rsidR="00F5289E" w:rsidRDefault="00C91173">
      <w:pPr>
        <w:spacing w:line="360" w:lineRule="auto"/>
        <w:rPr>
          <w:color w:val="262600"/>
        </w:rPr>
      </w:pPr>
      <w:r>
        <w:rPr>
          <w:b/>
          <w:bCs/>
        </w:rPr>
        <w:t>教学目</w:t>
      </w:r>
      <w:r>
        <w:rPr>
          <w:rFonts w:hint="eastAsia"/>
          <w:b/>
          <w:bCs/>
        </w:rPr>
        <w:t>标</w:t>
      </w:r>
      <w:r>
        <w:rPr>
          <w:color w:val="262600"/>
        </w:rPr>
        <w:t>：</w:t>
      </w:r>
    </w:p>
    <w:p w14:paraId="6ACA4866" w14:textId="77777777" w:rsidR="00F5289E" w:rsidRDefault="00C91173">
      <w:pPr>
        <w:tabs>
          <w:tab w:val="left" w:pos="4770"/>
        </w:tabs>
        <w:spacing w:line="360" w:lineRule="auto"/>
        <w:rPr>
          <w:rFonts w:ascii="宋体" w:hAnsi="宋体"/>
          <w:color w:val="262600"/>
        </w:rPr>
      </w:pPr>
      <w:r>
        <w:rPr>
          <w:rFonts w:ascii="宋体" w:hAnsi="宋体" w:hint="eastAsia"/>
          <w:color w:val="262600"/>
        </w:rPr>
        <w:t>1</w:t>
      </w:r>
      <w:r>
        <w:rPr>
          <w:rFonts w:ascii="宋体" w:hAnsi="宋体"/>
          <w:color w:val="262600"/>
        </w:rPr>
        <w:t>.</w:t>
      </w:r>
      <w:r>
        <w:rPr>
          <w:rFonts w:ascii="宋体" w:hAnsi="宋体" w:hint="eastAsia"/>
          <w:color w:val="262600"/>
        </w:rPr>
        <w:t>掌握农业数字化基本内涵与特征；</w:t>
      </w:r>
    </w:p>
    <w:p w14:paraId="6D4857B4" w14:textId="77777777" w:rsidR="00F5289E" w:rsidRDefault="00C91173">
      <w:pPr>
        <w:tabs>
          <w:tab w:val="left" w:pos="4770"/>
        </w:tabs>
        <w:spacing w:line="360" w:lineRule="auto"/>
        <w:rPr>
          <w:rFonts w:ascii="宋体" w:hAnsi="宋体"/>
          <w:color w:val="262600"/>
        </w:rPr>
      </w:pPr>
      <w:r>
        <w:rPr>
          <w:rFonts w:ascii="宋体" w:hAnsi="宋体" w:hint="eastAsia"/>
          <w:color w:val="262600"/>
        </w:rPr>
        <w:t>2</w:t>
      </w:r>
      <w:r>
        <w:rPr>
          <w:rFonts w:ascii="宋体" w:hAnsi="宋体"/>
          <w:color w:val="262600"/>
        </w:rPr>
        <w:t>.</w:t>
      </w:r>
      <w:r>
        <w:rPr>
          <w:rFonts w:ascii="宋体" w:hAnsi="宋体" w:hint="eastAsia"/>
          <w:color w:val="262600"/>
        </w:rPr>
        <w:t>了解国内外农业数字化现状、我国农业数字化的政策、存在问题和发展前景；</w:t>
      </w:r>
    </w:p>
    <w:p w14:paraId="0B598EE7" w14:textId="77777777" w:rsidR="00F5289E" w:rsidRDefault="00C91173">
      <w:pPr>
        <w:tabs>
          <w:tab w:val="left" w:pos="4770"/>
        </w:tabs>
        <w:spacing w:line="360" w:lineRule="auto"/>
        <w:rPr>
          <w:rFonts w:ascii="宋体" w:hAnsi="宋体"/>
          <w:color w:val="262600"/>
        </w:rPr>
      </w:pPr>
      <w:r>
        <w:rPr>
          <w:rFonts w:ascii="宋体" w:hAnsi="宋体" w:hint="eastAsia"/>
          <w:color w:val="262600"/>
        </w:rPr>
        <w:t>3</w:t>
      </w:r>
      <w:r>
        <w:rPr>
          <w:rFonts w:ascii="宋体" w:hAnsi="宋体"/>
          <w:color w:val="262600"/>
        </w:rPr>
        <w:t>.</w:t>
      </w:r>
      <w:r>
        <w:rPr>
          <w:rFonts w:ascii="宋体" w:hAnsi="宋体" w:hint="eastAsia"/>
          <w:color w:val="262600"/>
        </w:rPr>
        <w:t>熟悉农业数字化的具体应用和案例分析。</w:t>
      </w:r>
    </w:p>
    <w:p w14:paraId="05CBE6CC" w14:textId="77777777" w:rsidR="00F5289E" w:rsidRDefault="00C91173">
      <w:pPr>
        <w:tabs>
          <w:tab w:val="left" w:pos="4770"/>
        </w:tabs>
        <w:spacing w:line="360" w:lineRule="auto"/>
        <w:rPr>
          <w:rFonts w:ascii="宋体" w:hAnsi="宋体"/>
          <w:color w:val="262600"/>
        </w:rPr>
      </w:pPr>
      <w:r>
        <w:rPr>
          <w:rFonts w:ascii="宋体" w:hAnsi="宋体"/>
          <w:b/>
          <w:bCs/>
        </w:rPr>
        <w:t>教学重点和难点</w:t>
      </w:r>
      <w:r>
        <w:rPr>
          <w:rFonts w:ascii="宋体" w:hAnsi="宋体"/>
          <w:color w:val="262600"/>
        </w:rPr>
        <w:t xml:space="preserve">: </w:t>
      </w:r>
    </w:p>
    <w:p w14:paraId="7A61E065" w14:textId="77777777" w:rsidR="00F5289E" w:rsidRDefault="00C91173">
      <w:pPr>
        <w:spacing w:line="360" w:lineRule="auto"/>
        <w:rPr>
          <w:color w:val="262600"/>
        </w:rPr>
      </w:pPr>
      <w:r>
        <w:rPr>
          <w:rFonts w:hint="eastAsia"/>
          <w:color w:val="262600"/>
        </w:rPr>
        <w:t>掌握农业数字化基本内涵与特征概念和特征和具体应用技案例分析；了解国内外农业数字化现状、我国农业数字化的政策、存在问题和发展前景。</w:t>
      </w:r>
    </w:p>
    <w:p w14:paraId="17EA7D0D" w14:textId="77777777" w:rsidR="00F5289E" w:rsidRDefault="00C91173">
      <w:pPr>
        <w:spacing w:line="360" w:lineRule="auto"/>
        <w:rPr>
          <w:color w:val="262600"/>
        </w:rPr>
      </w:pPr>
      <w:r>
        <w:rPr>
          <w:b/>
          <w:bCs/>
        </w:rPr>
        <w:t>主要教学内容及要求</w:t>
      </w:r>
      <w:r>
        <w:rPr>
          <w:color w:val="262600"/>
        </w:rPr>
        <w:t>：</w:t>
      </w:r>
    </w:p>
    <w:p w14:paraId="19CC2707" w14:textId="77777777" w:rsidR="00F5289E" w:rsidRDefault="00C91173">
      <w:pPr>
        <w:spacing w:line="360" w:lineRule="auto"/>
        <w:rPr>
          <w:b/>
          <w:color w:val="262600"/>
        </w:rPr>
      </w:pPr>
      <w:r>
        <w:rPr>
          <w:rFonts w:hint="eastAsia"/>
          <w:b/>
          <w:color w:val="262600"/>
        </w:rPr>
        <w:t>第十三章</w:t>
      </w:r>
      <w:r>
        <w:rPr>
          <w:rFonts w:hint="eastAsia"/>
          <w:b/>
          <w:color w:val="262600"/>
        </w:rPr>
        <w:t xml:space="preserve"> </w:t>
      </w:r>
      <w:r>
        <w:rPr>
          <w:rFonts w:hint="eastAsia"/>
          <w:b/>
          <w:color w:val="262600"/>
        </w:rPr>
        <w:t>农业数字化理论与案例分析</w:t>
      </w:r>
    </w:p>
    <w:p w14:paraId="48020013" w14:textId="77777777" w:rsidR="00F5289E" w:rsidRDefault="00C91173">
      <w:pPr>
        <w:spacing w:line="360" w:lineRule="auto"/>
        <w:rPr>
          <w:color w:val="262600"/>
        </w:rPr>
      </w:pPr>
      <w:r>
        <w:rPr>
          <w:rFonts w:hint="eastAsia"/>
          <w:color w:val="262600"/>
        </w:rPr>
        <w:t>一、农业数字化基本概念与特征</w:t>
      </w:r>
    </w:p>
    <w:p w14:paraId="0FC9AC27" w14:textId="77777777" w:rsidR="00F5289E" w:rsidRDefault="00C91173">
      <w:pPr>
        <w:spacing w:line="360" w:lineRule="auto"/>
        <w:rPr>
          <w:color w:val="262600"/>
        </w:rPr>
      </w:pPr>
      <w:r>
        <w:rPr>
          <w:rFonts w:hint="eastAsia"/>
          <w:color w:val="262600"/>
        </w:rPr>
        <w:t>二、国内外农业数字化现状（政策、存在问题和发展前景）</w:t>
      </w:r>
    </w:p>
    <w:p w14:paraId="46DE0013" w14:textId="77777777" w:rsidR="00F5289E" w:rsidRDefault="00C91173">
      <w:pPr>
        <w:spacing w:line="360" w:lineRule="auto"/>
        <w:rPr>
          <w:color w:val="262600"/>
        </w:rPr>
      </w:pPr>
      <w:r>
        <w:rPr>
          <w:rFonts w:hint="eastAsia"/>
          <w:color w:val="262600"/>
        </w:rPr>
        <w:t>三、农业数字化应用</w:t>
      </w:r>
    </w:p>
    <w:p w14:paraId="4DB5C3AD" w14:textId="77777777" w:rsidR="00F5289E" w:rsidRDefault="00C91173">
      <w:pPr>
        <w:spacing w:line="360" w:lineRule="auto"/>
        <w:rPr>
          <w:color w:val="262600"/>
        </w:rPr>
      </w:pPr>
      <w:r>
        <w:rPr>
          <w:rFonts w:hint="eastAsia"/>
          <w:color w:val="262600"/>
        </w:rPr>
        <w:t>四、农业数字化经典案列分析</w:t>
      </w:r>
    </w:p>
    <w:p w14:paraId="51209778"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本章从农业数字化基本内涵与特征入手，结合国内外农业数字化具体应用和案例分析，通过课堂讲解，视频资料分享，课下查阅、课上分组讨论的讲授体系，让学生们系统全面的掌握本章内容。</w:t>
      </w:r>
    </w:p>
    <w:p w14:paraId="6A5FA557" w14:textId="77777777" w:rsidR="00F5289E" w:rsidRDefault="00F5289E">
      <w:pPr>
        <w:widowControl/>
        <w:snapToGrid w:val="0"/>
        <w:spacing w:line="360" w:lineRule="auto"/>
        <w:jc w:val="left"/>
      </w:pPr>
    </w:p>
    <w:p w14:paraId="7256F722" w14:textId="77777777" w:rsidR="00F5289E" w:rsidRDefault="00C91173">
      <w:pPr>
        <w:rPr>
          <w:rFonts w:ascii="宋体" w:hAnsi="宋体"/>
          <w:b/>
          <w:bCs/>
          <w:color w:val="000000" w:themeColor="text1"/>
          <w:kern w:val="0"/>
          <w:szCs w:val="21"/>
        </w:rPr>
      </w:pPr>
      <w:r>
        <w:rPr>
          <w:rFonts w:ascii="宋体" w:hAnsi="宋体" w:hint="eastAsia"/>
          <w:b/>
          <w:bCs/>
          <w:color w:val="000000" w:themeColor="text1"/>
          <w:kern w:val="0"/>
          <w:szCs w:val="21"/>
        </w:rPr>
        <w:t>六、课程思政</w:t>
      </w:r>
    </w:p>
    <w:p w14:paraId="0D53CF36" w14:textId="77777777" w:rsidR="00F5289E" w:rsidRDefault="00C91173">
      <w:pPr>
        <w:spacing w:line="360" w:lineRule="auto"/>
        <w:ind w:firstLineChars="200" w:firstLine="420"/>
        <w:rPr>
          <w:bCs/>
          <w:color w:val="000000" w:themeColor="text1"/>
          <w:kern w:val="0"/>
          <w:szCs w:val="21"/>
        </w:rPr>
      </w:pPr>
      <w:r>
        <w:rPr>
          <w:bCs/>
          <w:color w:val="000000" w:themeColor="text1"/>
          <w:kern w:val="0"/>
          <w:szCs w:val="21"/>
        </w:rPr>
        <w:t>根据该课程的特点，结合设施装备与智能化的主要内容，在理论教学的各个环节，融入思政教育元素，培养适应国家、中原地区和河南地方经济发展需要，具备扎实的自然科学、人文社会科学知识的新时代高级复合型人才。具体目标如下：</w:t>
      </w:r>
    </w:p>
    <w:p w14:paraId="634107D5" w14:textId="77777777" w:rsidR="00F5289E" w:rsidRDefault="00C91173">
      <w:pPr>
        <w:spacing w:line="360" w:lineRule="auto"/>
        <w:ind w:firstLineChars="200" w:firstLine="420"/>
        <w:rPr>
          <w:rFonts w:ascii="宋体" w:hAnsi="宋体"/>
          <w:bCs/>
          <w:color w:val="000000" w:themeColor="text1"/>
          <w:kern w:val="0"/>
          <w:szCs w:val="21"/>
        </w:rPr>
      </w:pPr>
      <w:r>
        <w:rPr>
          <w:rFonts w:ascii="宋体" w:hAnsi="宋体"/>
          <w:bCs/>
          <w:color w:val="000000" w:themeColor="text1"/>
          <w:kern w:val="0"/>
          <w:szCs w:val="21"/>
        </w:rPr>
        <w:t>（1）了解设施园艺在国民经济和人民生活中的重要地位和作用，掌握国内设施农业装备与智能化的发展历史、现状及未来前景，引导学生厚植爱国主义情怀，增强学生服务农业农村现代化和服务乡村振兴的使命感和责任感，通过科技与技术、信息与计算机技术振兴农业发展。</w:t>
      </w:r>
    </w:p>
    <w:p w14:paraId="50D65F94" w14:textId="77777777" w:rsidR="00F5289E" w:rsidRDefault="00C91173">
      <w:pPr>
        <w:spacing w:line="360" w:lineRule="auto"/>
        <w:ind w:firstLineChars="200" w:firstLine="420"/>
        <w:rPr>
          <w:rFonts w:ascii="宋体" w:hAnsi="宋体"/>
          <w:bCs/>
          <w:color w:val="000000" w:themeColor="text1"/>
          <w:kern w:val="0"/>
          <w:szCs w:val="21"/>
        </w:rPr>
      </w:pPr>
      <w:r>
        <w:rPr>
          <w:rFonts w:ascii="宋体" w:hAnsi="宋体"/>
          <w:bCs/>
          <w:color w:val="000000" w:themeColor="text1"/>
          <w:kern w:val="0"/>
          <w:szCs w:val="21"/>
        </w:rPr>
        <w:lastRenderedPageBreak/>
        <w:t>（2）通过对设施农业装备与智能化的发展历史和新中国成立以来中国设施园艺产业取得巨大成就的介绍，培养学生对“四个自信”的认知，即使同学们坚信在中国共产党领导下，中国设施园艺产业将会更加迈向智慧化、智能化、信息化、自动化、机械化、绿色化、高效化发展，繁荣，人民生活也会更加美好。</w:t>
      </w:r>
    </w:p>
    <w:p w14:paraId="4B1D8B81" w14:textId="77777777" w:rsidR="00F5289E" w:rsidRDefault="00C91173">
      <w:pPr>
        <w:spacing w:line="360" w:lineRule="auto"/>
        <w:ind w:firstLineChars="200" w:firstLine="420"/>
        <w:rPr>
          <w:rFonts w:ascii="宋体" w:hAnsi="宋体"/>
          <w:bCs/>
          <w:color w:val="000000" w:themeColor="text1"/>
          <w:kern w:val="0"/>
          <w:szCs w:val="21"/>
        </w:rPr>
      </w:pPr>
      <w:r>
        <w:rPr>
          <w:rFonts w:ascii="宋体" w:hAnsi="宋体"/>
          <w:bCs/>
          <w:color w:val="000000" w:themeColor="text1"/>
          <w:kern w:val="0"/>
          <w:szCs w:val="21"/>
        </w:rPr>
        <w:t>（3）了解设施农业装备从无到有、从简单到复杂、从初级到高级，种类越来越丰富，功能越来越齐全的发展规律，引导学生养成求真崇实、敢于探索、勇于创新、多与交叉学科相融合，坚定执着的科学精神和精益求精的大国工匠精神。</w:t>
      </w:r>
    </w:p>
    <w:p w14:paraId="477DAC6E" w14:textId="77777777" w:rsidR="00F5289E" w:rsidRDefault="00C91173">
      <w:pPr>
        <w:spacing w:line="360" w:lineRule="auto"/>
        <w:ind w:firstLineChars="200" w:firstLine="420"/>
        <w:rPr>
          <w:rFonts w:ascii="宋体" w:hAnsi="宋体"/>
          <w:bCs/>
          <w:color w:val="000000" w:themeColor="text1"/>
          <w:kern w:val="0"/>
          <w:szCs w:val="21"/>
        </w:rPr>
      </w:pPr>
      <w:r>
        <w:rPr>
          <w:rFonts w:ascii="宋体" w:hAnsi="宋体"/>
          <w:bCs/>
          <w:color w:val="000000" w:themeColor="text1"/>
          <w:kern w:val="0"/>
          <w:szCs w:val="21"/>
        </w:rPr>
        <w:t>（4）设施农业装备与智能化的学习，理论与小组讨论、案例分析、视频、PPT等相融合，分组讨论章节以小组为单元、合作形式展开，注重学生沟通表达和协调能力、组织协调能力、团队合作精神的培养，使学生在实操过程中体会专业精神、团队精神、创新意识、纪律意识和集体荣誉感。</w:t>
      </w:r>
    </w:p>
    <w:p w14:paraId="3B4CC643" w14:textId="77777777" w:rsidR="00F5289E" w:rsidRDefault="00F5289E">
      <w:pPr>
        <w:ind w:firstLineChars="200" w:firstLine="420"/>
        <w:rPr>
          <w:bCs/>
          <w:color w:val="000000" w:themeColor="text1"/>
          <w:kern w:val="0"/>
          <w:szCs w:val="21"/>
        </w:rPr>
      </w:pPr>
    </w:p>
    <w:p w14:paraId="0B5ECB10" w14:textId="77777777" w:rsidR="00F5289E" w:rsidRDefault="00C91173">
      <w:pPr>
        <w:rPr>
          <w:color w:val="000000" w:themeColor="text1"/>
          <w:szCs w:val="21"/>
        </w:rPr>
      </w:pPr>
      <w:r>
        <w:rPr>
          <w:rFonts w:ascii="宋体" w:hAnsi="宋体" w:hint="eastAsia"/>
          <w:b/>
          <w:bCs/>
          <w:color w:val="000000" w:themeColor="text1"/>
          <w:kern w:val="0"/>
          <w:szCs w:val="21"/>
        </w:rPr>
        <w:t>七</w:t>
      </w:r>
      <w:r>
        <w:rPr>
          <w:rFonts w:ascii="宋体" w:hAnsi="宋体"/>
          <w:b/>
          <w:bCs/>
          <w:color w:val="000000" w:themeColor="text1"/>
          <w:kern w:val="0"/>
          <w:szCs w:val="21"/>
        </w:rPr>
        <w:t>、使用教材</w:t>
      </w:r>
      <w:r>
        <w:rPr>
          <w:rFonts w:ascii="宋体" w:hAnsi="宋体" w:hint="eastAsia"/>
          <w:color w:val="000000" w:themeColor="text1"/>
          <w:szCs w:val="21"/>
        </w:rPr>
        <w:t>（教材的选用应符合教育部和学校教材选用规定，教学资源丰富多样，体现思想性、科学性与时代性）</w:t>
      </w:r>
    </w:p>
    <w:p w14:paraId="4EA0ECAB" w14:textId="77777777" w:rsidR="00F5289E" w:rsidRDefault="00C91173">
      <w:pPr>
        <w:widowControl/>
        <w:snapToGrid w:val="0"/>
        <w:spacing w:line="360" w:lineRule="auto"/>
        <w:ind w:firstLineChars="200" w:firstLine="422"/>
        <w:jc w:val="left"/>
        <w:rPr>
          <w:rFonts w:ascii="宋体" w:hAnsi="宋体"/>
          <w:b/>
          <w:bCs/>
          <w:color w:val="000000" w:themeColor="text1"/>
          <w:kern w:val="0"/>
          <w:szCs w:val="21"/>
        </w:rPr>
      </w:pPr>
      <w:r>
        <w:rPr>
          <w:rFonts w:ascii="宋体" w:hAnsi="宋体"/>
          <w:b/>
          <w:bCs/>
          <w:color w:val="000000" w:themeColor="text1"/>
          <w:kern w:val="0"/>
          <w:szCs w:val="21"/>
        </w:rPr>
        <w:t>1.选用教材：</w:t>
      </w:r>
    </w:p>
    <w:p w14:paraId="0EA43D62"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（1）理论课教材：设施农业装备，王双喜主编，中国农业出版社，2010年。</w:t>
      </w:r>
    </w:p>
    <w:p w14:paraId="4DD3833C"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（2）理论课教材：中国农业农村信息化发展报告（2020），李道亮主编，机械工业出版社，2010年。</w:t>
      </w:r>
    </w:p>
    <w:p w14:paraId="465E7C33" w14:textId="77777777" w:rsidR="00F5289E" w:rsidRDefault="00C91173">
      <w:pPr>
        <w:widowControl/>
        <w:snapToGrid w:val="0"/>
        <w:spacing w:line="360" w:lineRule="auto"/>
        <w:ind w:firstLineChars="200" w:firstLine="422"/>
        <w:jc w:val="left"/>
        <w:rPr>
          <w:rFonts w:ascii="宋体" w:hAnsi="宋体"/>
          <w:b/>
          <w:bCs/>
          <w:color w:val="000000" w:themeColor="text1"/>
          <w:kern w:val="0"/>
          <w:szCs w:val="21"/>
        </w:rPr>
      </w:pPr>
      <w:r>
        <w:rPr>
          <w:rFonts w:ascii="宋体" w:hAnsi="宋体"/>
          <w:b/>
          <w:bCs/>
          <w:color w:val="000000" w:themeColor="text1"/>
          <w:kern w:val="0"/>
          <w:szCs w:val="21"/>
        </w:rPr>
        <w:t>2.参考书：</w:t>
      </w:r>
    </w:p>
    <w:p w14:paraId="31CF7D7B"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（1）园艺设施学，邹志荣主编，中国农业出版社，2001年。</w:t>
      </w:r>
    </w:p>
    <w:p w14:paraId="000DA012"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（2）设施农业装备，王双喜主编，中国农业大学出版社，2010年。</w:t>
      </w:r>
    </w:p>
    <w:p w14:paraId="25C2717D"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（3）设施农业环境工程学，邹志荣 邵孝侯主编，中国农业出版社，2008年。</w:t>
      </w:r>
    </w:p>
    <w:p w14:paraId="2F887C90"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（4）农业装备智能控制系统发展动态研究，应向伟主编，科学技术文献出版社，2017年。</w:t>
      </w:r>
    </w:p>
    <w:p w14:paraId="221F719D"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3．推荐网站：</w:t>
      </w:r>
    </w:p>
    <w:p w14:paraId="2B564A96"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（1）http://www.wenshiyuanyi.com:81/CN/volumn/home.shtml</w:t>
      </w:r>
    </w:p>
    <w:p w14:paraId="287818F6"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温室园艺、设施园艺学、设施园艺信息学公众号</w:t>
      </w:r>
    </w:p>
    <w:p w14:paraId="22625F40"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（2）园艺设施学精品课程网，http://netc.nwsuaf.edu.cn/yuanyi</w:t>
      </w:r>
    </w:p>
    <w:p w14:paraId="32ECD179" w14:textId="77777777" w:rsidR="00F5289E" w:rsidRDefault="00C91173">
      <w:pPr>
        <w:widowControl/>
        <w:snapToGrid w:val="0"/>
        <w:spacing w:line="360" w:lineRule="auto"/>
        <w:ind w:firstLineChars="200" w:firstLine="420"/>
        <w:jc w:val="left"/>
        <w:rPr>
          <w:rFonts w:ascii="宋体" w:hAnsi="宋体"/>
          <w:kern w:val="0"/>
          <w:szCs w:val="21"/>
        </w:rPr>
      </w:pPr>
      <w:r>
        <w:rPr>
          <w:rFonts w:ascii="宋体" w:hAnsi="宋体"/>
          <w:kern w:val="0"/>
          <w:szCs w:val="21"/>
        </w:rPr>
        <w:t>（3）中国温室网，http://chinagreenhouse.com</w:t>
      </w:r>
    </w:p>
    <w:p w14:paraId="422CE3C7" w14:textId="77777777" w:rsidR="00F5289E" w:rsidRDefault="00F5289E">
      <w:pPr>
        <w:widowControl/>
        <w:snapToGrid w:val="0"/>
        <w:spacing w:line="360" w:lineRule="auto"/>
        <w:ind w:firstLineChars="200" w:firstLine="420"/>
        <w:jc w:val="left"/>
        <w:rPr>
          <w:rFonts w:ascii="宋体" w:hAnsi="宋体"/>
          <w:color w:val="FF0000"/>
          <w:kern w:val="0"/>
          <w:szCs w:val="21"/>
        </w:rPr>
      </w:pPr>
    </w:p>
    <w:p w14:paraId="4F2B1472" w14:textId="77777777" w:rsidR="00F5289E" w:rsidRDefault="00C91173">
      <w:pPr>
        <w:widowControl/>
        <w:snapToGrid w:val="0"/>
        <w:spacing w:line="360" w:lineRule="auto"/>
        <w:jc w:val="left"/>
        <w:rPr>
          <w:rFonts w:ascii="宋体" w:hAnsi="宋体"/>
          <w:b/>
          <w:bCs/>
          <w:kern w:val="0"/>
          <w:szCs w:val="21"/>
        </w:rPr>
      </w:pPr>
      <w:r>
        <w:rPr>
          <w:rFonts w:ascii="宋体" w:hAnsi="宋体" w:hint="eastAsia"/>
          <w:b/>
          <w:bCs/>
          <w:kern w:val="0"/>
          <w:szCs w:val="21"/>
        </w:rPr>
        <w:t>八</w:t>
      </w:r>
      <w:r>
        <w:rPr>
          <w:rFonts w:ascii="宋体" w:hAnsi="宋体"/>
          <w:b/>
          <w:bCs/>
          <w:kern w:val="0"/>
          <w:szCs w:val="21"/>
        </w:rPr>
        <w:t>、</w:t>
      </w:r>
      <w:r>
        <w:rPr>
          <w:rFonts w:ascii="宋体" w:hAnsi="宋体" w:hint="eastAsia"/>
          <w:b/>
          <w:bCs/>
          <w:kern w:val="0"/>
          <w:szCs w:val="21"/>
        </w:rPr>
        <w:t>教学条件</w:t>
      </w:r>
    </w:p>
    <w:p w14:paraId="42BC3A5F"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《设施装备与智能化》课程</w:t>
      </w:r>
      <w:r>
        <w:rPr>
          <w:rFonts w:ascii="宋体" w:hAnsi="宋体"/>
          <w:color w:val="000000" w:themeColor="text1"/>
          <w:szCs w:val="21"/>
        </w:rPr>
        <w:t>一直</w:t>
      </w:r>
      <w:r>
        <w:rPr>
          <w:rFonts w:ascii="宋体" w:hAnsi="宋体" w:hint="eastAsia"/>
          <w:color w:val="000000" w:themeColor="text1"/>
          <w:szCs w:val="21"/>
        </w:rPr>
        <w:t>采用“理论教学、案例分析、视频演示、分组汇报、交流讨论”的教学模式。通过理论教学让同学们充分了解我国设施农业装备与智能化的现状和发展特点及发展路径和发展趋势；通过案例分析、视频演示让同学们更加直观地学习到我国设施农业先进装备的类型和技术特点；通过文献查阅、调查与分组汇报和交流讨论，使学生系统掌握课程理论知识，</w:t>
      </w:r>
      <w:r>
        <w:rPr>
          <w:rFonts w:ascii="宋体" w:hAnsi="宋体" w:hint="eastAsia"/>
          <w:color w:val="000000" w:themeColor="text1"/>
          <w:szCs w:val="21"/>
        </w:rPr>
        <w:lastRenderedPageBreak/>
        <w:t>培养学生系统分析问题、交流合作、开拓创新、发现问题和解决问题的能力。</w:t>
      </w:r>
    </w:p>
    <w:p w14:paraId="0535F645" w14:textId="77777777" w:rsidR="00306BC8" w:rsidRDefault="00306BC8" w:rsidP="00306BC8">
      <w:pPr>
        <w:widowControl/>
        <w:snapToGrid w:val="0"/>
        <w:spacing w:line="360" w:lineRule="auto"/>
        <w:jc w:val="left"/>
        <w:rPr>
          <w:rFonts w:ascii="宋体" w:hAnsi="宋体"/>
          <w:b/>
          <w:bCs/>
          <w:color w:val="000000"/>
          <w:kern w:val="0"/>
          <w:szCs w:val="21"/>
        </w:rPr>
      </w:pPr>
      <w:r>
        <w:rPr>
          <w:rFonts w:ascii="宋体" w:hAnsi="宋体" w:hint="eastAsia"/>
          <w:b/>
          <w:bCs/>
          <w:color w:val="000000"/>
          <w:kern w:val="0"/>
        </w:rPr>
        <w:t>九、教学考核评价</w:t>
      </w:r>
    </w:p>
    <w:p w14:paraId="02356AB8" w14:textId="77777777" w:rsidR="00306BC8" w:rsidRDefault="00306BC8" w:rsidP="00306BC8">
      <w:pPr>
        <w:snapToGrid w:val="0"/>
        <w:spacing w:line="360" w:lineRule="auto"/>
        <w:ind w:firstLineChars="200" w:firstLine="422"/>
        <w:rPr>
          <w:rFonts w:ascii="宋体" w:hAnsi="宋体"/>
        </w:rPr>
      </w:pPr>
      <w:r>
        <w:rPr>
          <w:rFonts w:ascii="宋体" w:hAnsi="宋体" w:hint="eastAsia"/>
          <w:b/>
          <w:bCs/>
          <w:kern w:val="0"/>
        </w:rPr>
        <w:t>1.过程性评价：</w:t>
      </w:r>
      <w:r>
        <w:rPr>
          <w:rFonts w:ascii="宋体" w:hAnsi="宋体" w:hint="eastAsia"/>
        </w:rPr>
        <w:t>过程性评价占总成绩40%，计分点主要包括对课堂表现、课堂测试、小</w:t>
      </w:r>
      <w:r>
        <w:rPr>
          <w:rFonts w:ascii="宋体" w:hAnsi="宋体" w:hint="eastAsia"/>
          <w:color w:val="000000"/>
        </w:rPr>
        <w:t>考勤、课后作业</w:t>
      </w:r>
      <w:r>
        <w:rPr>
          <w:rFonts w:ascii="宋体" w:hAnsi="宋体" w:hint="eastAsia"/>
        </w:rPr>
        <w:t>的考评。学生在学习过程中的行为均被记录并评分，得出平时成绩，其中，</w:t>
      </w:r>
      <w:r>
        <w:rPr>
          <w:rFonts w:ascii="宋体" w:hAnsi="宋体" w:hint="eastAsia"/>
          <w:color w:val="000000"/>
        </w:rPr>
        <w:t>课堂表现、PPT汇报、小组交流讨论、考勤、课后作业各占8%</w:t>
      </w:r>
      <w:r>
        <w:rPr>
          <w:rFonts w:ascii="宋体" w:hAnsi="宋体" w:hint="eastAsia"/>
        </w:rPr>
        <w:t>。</w:t>
      </w:r>
    </w:p>
    <w:p w14:paraId="564BCA6B" w14:textId="77777777" w:rsidR="00306BC8" w:rsidRDefault="00306BC8" w:rsidP="00306BC8">
      <w:pPr>
        <w:widowControl/>
        <w:snapToGrid w:val="0"/>
        <w:spacing w:line="360" w:lineRule="auto"/>
        <w:ind w:firstLine="420"/>
        <w:jc w:val="left"/>
        <w:rPr>
          <w:rFonts w:ascii="宋体" w:hAnsi="宋体"/>
          <w:b/>
          <w:bCs/>
          <w:color w:val="0000FF"/>
          <w:kern w:val="0"/>
        </w:rPr>
      </w:pPr>
      <w:r>
        <w:rPr>
          <w:rFonts w:ascii="宋体" w:hAnsi="宋体" w:hint="eastAsia"/>
          <w:b/>
          <w:bCs/>
          <w:kern w:val="0"/>
        </w:rPr>
        <w:t>2.终结性评价：</w:t>
      </w:r>
      <w:r>
        <w:rPr>
          <w:rFonts w:ascii="宋体" w:hAnsi="宋体" w:hint="eastAsia"/>
        </w:rPr>
        <w:t>笔试闭卷；占总成绩60%。</w:t>
      </w:r>
    </w:p>
    <w:p w14:paraId="34A13FD8" w14:textId="77777777" w:rsidR="00306BC8" w:rsidRDefault="00306BC8" w:rsidP="00306BC8">
      <w:pPr>
        <w:widowControl/>
        <w:snapToGrid w:val="0"/>
        <w:spacing w:line="360" w:lineRule="auto"/>
        <w:ind w:firstLine="420"/>
        <w:jc w:val="left"/>
        <w:rPr>
          <w:rFonts w:ascii="宋体" w:hAnsi="宋体"/>
          <w:b/>
          <w:bCs/>
          <w:kern w:val="0"/>
        </w:rPr>
      </w:pPr>
      <w:r>
        <w:rPr>
          <w:rFonts w:ascii="宋体" w:hAnsi="宋体" w:hint="eastAsia"/>
          <w:b/>
          <w:bCs/>
          <w:kern w:val="0"/>
        </w:rPr>
        <w:t>3.课程综合评价：</w:t>
      </w:r>
    </w:p>
    <w:p w14:paraId="291B0B33" w14:textId="77777777" w:rsidR="00306BC8" w:rsidRDefault="00306BC8" w:rsidP="00306BC8">
      <w:pPr>
        <w:widowControl/>
        <w:snapToGrid w:val="0"/>
        <w:spacing w:line="360" w:lineRule="auto"/>
        <w:ind w:firstLine="420"/>
        <w:jc w:val="left"/>
        <w:rPr>
          <w:rFonts w:ascii="宋体" w:hAnsi="宋体"/>
        </w:rPr>
      </w:pPr>
      <w:r>
        <w:rPr>
          <w:rFonts w:ascii="宋体" w:hAnsi="宋体" w:hint="eastAsia"/>
        </w:rPr>
        <w:t>总成绩=40%过程性评价成绩+60%终结性评价成绩</w:t>
      </w:r>
    </w:p>
    <w:p w14:paraId="0D89732E" w14:textId="77777777" w:rsidR="00306BC8" w:rsidRDefault="00306BC8" w:rsidP="00306BC8">
      <w:pPr>
        <w:widowControl/>
        <w:snapToGrid w:val="0"/>
        <w:spacing w:line="360" w:lineRule="auto"/>
        <w:ind w:firstLine="420"/>
        <w:jc w:val="left"/>
        <w:rPr>
          <w:rFonts w:ascii="宋体" w:hAnsi="宋体"/>
        </w:rPr>
      </w:pPr>
      <w:r>
        <w:rPr>
          <w:rFonts w:ascii="宋体" w:hAnsi="宋体" w:hint="eastAsia"/>
        </w:rPr>
        <w:t>过程性评价中课堂表现、课堂测试、</w:t>
      </w:r>
      <w:r>
        <w:rPr>
          <w:rFonts w:ascii="宋体" w:hAnsi="宋体" w:hint="eastAsia"/>
          <w:color w:val="000000"/>
        </w:rPr>
        <w:t>考勤、课后作业，</w:t>
      </w:r>
      <w:r>
        <w:rPr>
          <w:rFonts w:ascii="宋体" w:hAnsi="宋体" w:hint="eastAsia"/>
        </w:rPr>
        <w:t>终结性评价中对基本知识和基本理论的考核，对应于课程目标1和2；</w:t>
      </w:r>
    </w:p>
    <w:p w14:paraId="33512858" w14:textId="649313D8" w:rsidR="00F5289E" w:rsidRPr="00306BC8" w:rsidRDefault="00306BC8" w:rsidP="00306BC8">
      <w:pPr>
        <w:widowControl/>
        <w:snapToGrid w:val="0"/>
        <w:spacing w:line="360" w:lineRule="auto"/>
        <w:ind w:firstLine="420"/>
        <w:jc w:val="left"/>
        <w:rPr>
          <w:rFonts w:ascii="宋体" w:hAnsi="宋体"/>
        </w:rPr>
      </w:pPr>
      <w:r>
        <w:rPr>
          <w:rFonts w:ascii="宋体" w:hAnsi="宋体" w:hint="eastAsia"/>
        </w:rPr>
        <w:t>过程性评价中PPT汇报、小组交流讨论、终结性评价中的开放论述类题目，对应于课程目标1，2和3。</w:t>
      </w:r>
    </w:p>
    <w:p w14:paraId="4B857C4E" w14:textId="77777777" w:rsidR="00F5289E" w:rsidRDefault="00C91173">
      <w:pPr>
        <w:widowControl/>
        <w:jc w:val="left"/>
        <w:rPr>
          <w:b/>
          <w:sz w:val="28"/>
          <w:szCs w:val="28"/>
        </w:rPr>
      </w:pPr>
      <w:r>
        <w:rPr>
          <w:b/>
          <w:sz w:val="28"/>
          <w:szCs w:val="28"/>
        </w:rPr>
        <w:br w:type="page"/>
      </w:r>
    </w:p>
    <w:p w14:paraId="5AFE88FC" w14:textId="77777777" w:rsidR="00F5289E" w:rsidRDefault="00C91173">
      <w:pPr>
        <w:pStyle w:val="1"/>
      </w:pPr>
      <w:bookmarkStart w:id="77" w:name="_Toc138606246"/>
      <w:r>
        <w:lastRenderedPageBreak/>
        <w:t>设施花卉栽培学</w:t>
      </w:r>
      <w:bookmarkEnd w:id="73"/>
      <w:bookmarkEnd w:id="77"/>
    </w:p>
    <w:p w14:paraId="71DA24C7" w14:textId="77777777" w:rsidR="00F5289E" w:rsidRDefault="00C91173">
      <w:pPr>
        <w:snapToGrid w:val="0"/>
        <w:spacing w:line="360" w:lineRule="auto"/>
        <w:jc w:val="center"/>
        <w:rPr>
          <w:sz w:val="24"/>
        </w:rPr>
      </w:pPr>
      <w:r>
        <w:rPr>
          <w:sz w:val="24"/>
        </w:rPr>
        <w:t>（</w:t>
      </w:r>
      <w:r>
        <w:rPr>
          <w:rFonts w:hint="eastAsia"/>
          <w:iCs/>
          <w:sz w:val="24"/>
        </w:rPr>
        <w:t>Protected</w:t>
      </w:r>
      <w:r>
        <w:rPr>
          <w:iCs/>
          <w:sz w:val="24"/>
        </w:rPr>
        <w:t xml:space="preserve"> Floriculture</w:t>
      </w:r>
      <w:r>
        <w:rPr>
          <w:sz w:val="24"/>
        </w:rPr>
        <w:t>）</w:t>
      </w:r>
    </w:p>
    <w:p w14:paraId="58C1E273"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2F1D77A9" w14:textId="77777777">
        <w:tc>
          <w:tcPr>
            <w:tcW w:w="1666" w:type="pct"/>
          </w:tcPr>
          <w:p w14:paraId="21192EDF" w14:textId="77777777" w:rsidR="00F5289E" w:rsidRDefault="00C91173">
            <w:pPr>
              <w:spacing w:line="300" w:lineRule="auto"/>
              <w:rPr>
                <w:b/>
                <w:bCs/>
                <w:color w:val="000000" w:themeColor="text1"/>
                <w:szCs w:val="21"/>
              </w:rPr>
            </w:pPr>
            <w:r>
              <w:rPr>
                <w:b/>
                <w:bCs/>
                <w:color w:val="000000" w:themeColor="text1"/>
                <w:szCs w:val="21"/>
              </w:rPr>
              <w:t>课程编号：</w:t>
            </w:r>
            <w:r>
              <w:rPr>
                <w:color w:val="000000" w:themeColor="text1"/>
                <w:kern w:val="0"/>
                <w:sz w:val="20"/>
                <w:szCs w:val="21"/>
              </w:rPr>
              <w:t>19011156h</w:t>
            </w:r>
          </w:p>
        </w:tc>
        <w:tc>
          <w:tcPr>
            <w:tcW w:w="1453" w:type="pct"/>
          </w:tcPr>
          <w:p w14:paraId="5E27D35D" w14:textId="77777777" w:rsidR="00F5289E" w:rsidRDefault="00C91173">
            <w:pPr>
              <w:spacing w:line="300" w:lineRule="auto"/>
              <w:rPr>
                <w:b/>
                <w:bCs/>
                <w:color w:val="000000" w:themeColor="text1"/>
                <w:szCs w:val="21"/>
              </w:rPr>
            </w:pPr>
            <w:r>
              <w:rPr>
                <w:b/>
                <w:bCs/>
                <w:color w:val="000000" w:themeColor="text1"/>
                <w:szCs w:val="21"/>
              </w:rPr>
              <w:t>课程总学时：</w:t>
            </w:r>
            <w:r>
              <w:rPr>
                <w:color w:val="000000" w:themeColor="text1"/>
                <w:szCs w:val="21"/>
              </w:rPr>
              <w:t>32</w:t>
            </w:r>
          </w:p>
        </w:tc>
        <w:tc>
          <w:tcPr>
            <w:tcW w:w="1881" w:type="pct"/>
          </w:tcPr>
          <w:p w14:paraId="38E47306" w14:textId="50136067" w:rsidR="00F5289E" w:rsidRDefault="00C91173">
            <w:pPr>
              <w:spacing w:line="300" w:lineRule="auto"/>
              <w:rPr>
                <w:b/>
                <w:bCs/>
                <w:color w:val="000000" w:themeColor="text1"/>
                <w:szCs w:val="21"/>
              </w:rPr>
            </w:pPr>
            <w:r>
              <w:rPr>
                <w:b/>
                <w:bCs/>
                <w:color w:val="000000" w:themeColor="text1"/>
                <w:szCs w:val="21"/>
              </w:rPr>
              <w:t>实验学时：</w:t>
            </w:r>
            <w:r>
              <w:rPr>
                <w:color w:val="000000" w:themeColor="text1"/>
                <w:szCs w:val="21"/>
              </w:rPr>
              <w:t>8</w:t>
            </w:r>
          </w:p>
        </w:tc>
      </w:tr>
      <w:tr w:rsidR="00F5289E" w14:paraId="05161624" w14:textId="77777777">
        <w:tc>
          <w:tcPr>
            <w:tcW w:w="1666" w:type="pct"/>
          </w:tcPr>
          <w:p w14:paraId="18845701" w14:textId="77777777" w:rsidR="00F5289E" w:rsidRDefault="00C91173">
            <w:pPr>
              <w:spacing w:line="300" w:lineRule="auto"/>
              <w:rPr>
                <w:b/>
                <w:bCs/>
                <w:color w:val="000000" w:themeColor="text1"/>
                <w:szCs w:val="21"/>
              </w:rPr>
            </w:pPr>
            <w:r>
              <w:rPr>
                <w:b/>
                <w:bCs/>
                <w:color w:val="000000" w:themeColor="text1"/>
                <w:szCs w:val="21"/>
              </w:rPr>
              <w:t>课程性质：</w:t>
            </w:r>
            <w:r>
              <w:rPr>
                <w:bCs/>
                <w:color w:val="000000" w:themeColor="text1"/>
                <w:kern w:val="0"/>
                <w:szCs w:val="21"/>
              </w:rPr>
              <w:t>必修</w:t>
            </w:r>
          </w:p>
        </w:tc>
        <w:tc>
          <w:tcPr>
            <w:tcW w:w="1453" w:type="pct"/>
          </w:tcPr>
          <w:p w14:paraId="280A7537" w14:textId="77777777" w:rsidR="00F5289E" w:rsidRDefault="00C91173">
            <w:pPr>
              <w:spacing w:line="300" w:lineRule="auto"/>
              <w:rPr>
                <w:b/>
                <w:bCs/>
                <w:color w:val="000000" w:themeColor="text1"/>
                <w:szCs w:val="21"/>
              </w:rPr>
            </w:pPr>
            <w:r>
              <w:rPr>
                <w:b/>
                <w:color w:val="000000" w:themeColor="text1"/>
                <w:szCs w:val="21"/>
              </w:rPr>
              <w:t>课程属性</w:t>
            </w:r>
            <w:r>
              <w:rPr>
                <w:b/>
                <w:color w:val="000000" w:themeColor="text1"/>
                <w:szCs w:val="21"/>
              </w:rPr>
              <w:t>:</w:t>
            </w:r>
            <w:r>
              <w:rPr>
                <w:color w:val="000000" w:themeColor="text1"/>
                <w:szCs w:val="21"/>
              </w:rPr>
              <w:t>专业类</w:t>
            </w:r>
          </w:p>
        </w:tc>
        <w:tc>
          <w:tcPr>
            <w:tcW w:w="1881" w:type="pct"/>
          </w:tcPr>
          <w:p w14:paraId="343F8D22" w14:textId="77777777" w:rsidR="00F5289E" w:rsidRDefault="00C91173">
            <w:pPr>
              <w:spacing w:line="300" w:lineRule="auto"/>
              <w:rPr>
                <w:b/>
                <w:bCs/>
                <w:color w:val="000000" w:themeColor="text1"/>
                <w:szCs w:val="21"/>
              </w:rPr>
            </w:pPr>
            <w:r>
              <w:rPr>
                <w:b/>
                <w:bCs/>
                <w:color w:val="000000" w:themeColor="text1"/>
                <w:szCs w:val="21"/>
              </w:rPr>
              <w:t>开设学期：</w:t>
            </w:r>
            <w:r>
              <w:rPr>
                <w:color w:val="000000" w:themeColor="text1"/>
                <w:szCs w:val="21"/>
              </w:rPr>
              <w:t>第</w:t>
            </w:r>
            <w:r>
              <w:rPr>
                <w:color w:val="000000" w:themeColor="text1"/>
                <w:szCs w:val="21"/>
              </w:rPr>
              <w:t xml:space="preserve"> 5</w:t>
            </w:r>
            <w:r>
              <w:rPr>
                <w:color w:val="000000" w:themeColor="text1"/>
                <w:szCs w:val="21"/>
              </w:rPr>
              <w:t>学期</w:t>
            </w:r>
          </w:p>
        </w:tc>
      </w:tr>
      <w:tr w:rsidR="00F5289E" w14:paraId="02E1E205" w14:textId="77777777">
        <w:tc>
          <w:tcPr>
            <w:tcW w:w="1666" w:type="pct"/>
          </w:tcPr>
          <w:p w14:paraId="3B5C0CD0" w14:textId="77777777" w:rsidR="00F5289E" w:rsidRDefault="00C91173">
            <w:pPr>
              <w:spacing w:line="300" w:lineRule="auto"/>
              <w:rPr>
                <w:b/>
                <w:bCs/>
                <w:color w:val="000000" w:themeColor="text1"/>
                <w:szCs w:val="21"/>
              </w:rPr>
            </w:pPr>
            <w:r>
              <w:rPr>
                <w:b/>
                <w:bCs/>
                <w:color w:val="000000" w:themeColor="text1"/>
                <w:szCs w:val="21"/>
              </w:rPr>
              <w:t>课程负责人：</w:t>
            </w:r>
            <w:r>
              <w:rPr>
                <w:color w:val="000000" w:themeColor="text1"/>
                <w:szCs w:val="21"/>
              </w:rPr>
              <w:t>豆峻岭</w:t>
            </w:r>
          </w:p>
        </w:tc>
        <w:tc>
          <w:tcPr>
            <w:tcW w:w="1453" w:type="pct"/>
          </w:tcPr>
          <w:p w14:paraId="55646812" w14:textId="77777777" w:rsidR="00F5289E" w:rsidRDefault="00C91173">
            <w:pPr>
              <w:rPr>
                <w:b/>
                <w:bCs/>
                <w:color w:val="000000" w:themeColor="text1"/>
                <w:szCs w:val="21"/>
              </w:rPr>
            </w:pPr>
            <w:r>
              <w:rPr>
                <w:b/>
                <w:bCs/>
                <w:color w:val="000000" w:themeColor="text1"/>
                <w:szCs w:val="21"/>
              </w:rPr>
              <w:t>课程团队：</w:t>
            </w:r>
            <w:r>
              <w:rPr>
                <w:color w:val="000000" w:themeColor="text1"/>
                <w:szCs w:val="21"/>
              </w:rPr>
              <w:t>豆峻岭，薛东齐，高艳娜，王永，孟更</w:t>
            </w:r>
          </w:p>
        </w:tc>
        <w:tc>
          <w:tcPr>
            <w:tcW w:w="1881" w:type="pct"/>
          </w:tcPr>
          <w:p w14:paraId="07F95295" w14:textId="7FF887A9" w:rsidR="00F5289E" w:rsidRDefault="00C91173">
            <w:pPr>
              <w:spacing w:line="300" w:lineRule="auto"/>
              <w:rPr>
                <w:b/>
                <w:bCs/>
                <w:color w:val="000000" w:themeColor="text1"/>
                <w:szCs w:val="21"/>
              </w:rPr>
            </w:pPr>
            <w:r>
              <w:rPr>
                <w:b/>
                <w:bCs/>
                <w:color w:val="000000" w:themeColor="text1"/>
                <w:szCs w:val="21"/>
              </w:rPr>
              <w:t>授课语言：</w:t>
            </w:r>
            <w:r w:rsidR="0088059B" w:rsidRPr="0088059B">
              <w:rPr>
                <w:rFonts w:hint="eastAsia"/>
                <w:color w:val="000000" w:themeColor="text1"/>
                <w:szCs w:val="21"/>
              </w:rPr>
              <w:t>中文</w:t>
            </w:r>
          </w:p>
        </w:tc>
      </w:tr>
      <w:tr w:rsidR="00F5289E" w14:paraId="10C324A2" w14:textId="77777777">
        <w:tc>
          <w:tcPr>
            <w:tcW w:w="5000" w:type="pct"/>
            <w:gridSpan w:val="3"/>
          </w:tcPr>
          <w:p w14:paraId="2EA87CA9" w14:textId="77777777" w:rsidR="00F5289E" w:rsidRDefault="00C91173">
            <w:pPr>
              <w:spacing w:line="300" w:lineRule="auto"/>
              <w:ind w:rightChars="-81" w:right="-170"/>
              <w:rPr>
                <w:bCs/>
                <w:color w:val="0000FF"/>
                <w:szCs w:val="21"/>
              </w:rPr>
            </w:pPr>
            <w:r>
              <w:rPr>
                <w:b/>
                <w:bCs/>
                <w:szCs w:val="21"/>
              </w:rPr>
              <w:t>适用专业：</w:t>
            </w:r>
            <w:r>
              <w:rPr>
                <w:szCs w:val="21"/>
              </w:rPr>
              <w:t>设施农业科学与工程；核心</w:t>
            </w:r>
          </w:p>
        </w:tc>
      </w:tr>
      <w:tr w:rsidR="00F5289E" w14:paraId="0DF0815A" w14:textId="77777777">
        <w:tc>
          <w:tcPr>
            <w:tcW w:w="5000" w:type="pct"/>
            <w:gridSpan w:val="3"/>
          </w:tcPr>
          <w:p w14:paraId="29611F0A" w14:textId="77777777" w:rsidR="00F5289E" w:rsidRDefault="00C91173">
            <w:pPr>
              <w:spacing w:line="300" w:lineRule="auto"/>
              <w:rPr>
                <w:b/>
                <w:bCs/>
                <w:szCs w:val="21"/>
              </w:rPr>
            </w:pPr>
            <w:r>
              <w:rPr>
                <w:b/>
                <w:bCs/>
                <w:szCs w:val="21"/>
              </w:rPr>
              <w:t>对先修的要求：</w:t>
            </w:r>
            <w:r>
              <w:rPr>
                <w:szCs w:val="21"/>
              </w:rPr>
              <w:t>要求学生掌握植物生理学、气象学、土壤肥料学、作物病虫害防治学的基础知识，拥有简单查阅资料和总结应用的能力。</w:t>
            </w:r>
          </w:p>
        </w:tc>
      </w:tr>
      <w:tr w:rsidR="00F5289E" w14:paraId="16FA0076" w14:textId="77777777">
        <w:tc>
          <w:tcPr>
            <w:tcW w:w="5000" w:type="pct"/>
            <w:gridSpan w:val="3"/>
          </w:tcPr>
          <w:p w14:paraId="5E9F0E71" w14:textId="77777777" w:rsidR="00F5289E" w:rsidRDefault="00C91173">
            <w:pPr>
              <w:spacing w:line="300" w:lineRule="auto"/>
              <w:rPr>
                <w:szCs w:val="21"/>
              </w:rPr>
            </w:pPr>
            <w:r>
              <w:rPr>
                <w:szCs w:val="21"/>
              </w:rPr>
              <w:t>对后续的支撑：对后续园艺产品营销学、分子生物学提供基础知识，提升学生对园艺专业更深层次的认识。</w:t>
            </w:r>
            <w:r>
              <w:rPr>
                <w:rFonts w:hint="eastAsia"/>
                <w:szCs w:val="21"/>
              </w:rPr>
              <w:t>同时</w:t>
            </w:r>
            <w:r>
              <w:rPr>
                <w:szCs w:val="21"/>
              </w:rPr>
              <w:t>对第</w:t>
            </w:r>
            <w:r>
              <w:rPr>
                <w:szCs w:val="21"/>
              </w:rPr>
              <w:t>6</w:t>
            </w:r>
            <w:r>
              <w:rPr>
                <w:szCs w:val="21"/>
              </w:rPr>
              <w:t>学期开展的为期</w:t>
            </w:r>
            <w:r>
              <w:rPr>
                <w:szCs w:val="21"/>
              </w:rPr>
              <w:t>19</w:t>
            </w:r>
            <w:r>
              <w:rPr>
                <w:szCs w:val="21"/>
              </w:rPr>
              <w:t>周的毕业（生产）实习奠定技术基础。</w:t>
            </w:r>
          </w:p>
        </w:tc>
      </w:tr>
      <w:tr w:rsidR="00F5289E" w14:paraId="32F9E826" w14:textId="77777777">
        <w:tc>
          <w:tcPr>
            <w:tcW w:w="1666" w:type="pct"/>
          </w:tcPr>
          <w:p w14:paraId="0FF06891" w14:textId="77777777" w:rsidR="00F5289E" w:rsidRDefault="00C91173">
            <w:pPr>
              <w:spacing w:line="300" w:lineRule="auto"/>
              <w:rPr>
                <w:b/>
                <w:bCs/>
                <w:szCs w:val="21"/>
              </w:rPr>
            </w:pPr>
            <w:r>
              <w:rPr>
                <w:b/>
                <w:bCs/>
                <w:szCs w:val="21"/>
              </w:rPr>
              <w:t>主撰人：</w:t>
            </w:r>
            <w:r>
              <w:rPr>
                <w:szCs w:val="21"/>
              </w:rPr>
              <w:t>豆峻岭</w:t>
            </w:r>
          </w:p>
        </w:tc>
        <w:tc>
          <w:tcPr>
            <w:tcW w:w="1453" w:type="pct"/>
          </w:tcPr>
          <w:p w14:paraId="14E830E9" w14:textId="77777777" w:rsidR="00F5289E" w:rsidRDefault="00C91173">
            <w:pPr>
              <w:spacing w:line="300" w:lineRule="auto"/>
              <w:rPr>
                <w:b/>
                <w:bCs/>
                <w:szCs w:val="21"/>
              </w:rPr>
            </w:pPr>
            <w:r>
              <w:rPr>
                <w:b/>
                <w:bCs/>
                <w:szCs w:val="21"/>
              </w:rPr>
              <w:t>审核人：</w:t>
            </w:r>
            <w:r>
              <w:rPr>
                <w:rFonts w:hint="eastAsia"/>
                <w:szCs w:val="21"/>
              </w:rPr>
              <w:t>薛东齐</w:t>
            </w:r>
          </w:p>
        </w:tc>
        <w:tc>
          <w:tcPr>
            <w:tcW w:w="1881" w:type="pct"/>
          </w:tcPr>
          <w:p w14:paraId="2AA910E5" w14:textId="77777777" w:rsidR="00F5289E" w:rsidRDefault="00C91173">
            <w:pPr>
              <w:spacing w:line="300" w:lineRule="auto"/>
              <w:rPr>
                <w:b/>
                <w:bCs/>
                <w:szCs w:val="21"/>
              </w:rPr>
            </w:pPr>
            <w:r>
              <w:rPr>
                <w:b/>
                <w:bCs/>
                <w:szCs w:val="21"/>
              </w:rPr>
              <w:t>大纲制定（修订）日期：</w:t>
            </w:r>
            <w:r>
              <w:rPr>
                <w:szCs w:val="21"/>
              </w:rPr>
              <w:t>202</w:t>
            </w:r>
            <w:r w:rsidR="00E73F67">
              <w:rPr>
                <w:szCs w:val="21"/>
              </w:rPr>
              <w:t>3.05</w:t>
            </w:r>
          </w:p>
        </w:tc>
      </w:tr>
    </w:tbl>
    <w:p w14:paraId="384BD42B" w14:textId="77777777" w:rsidR="00F5289E" w:rsidRDefault="00F5289E">
      <w:pPr>
        <w:widowControl/>
        <w:snapToGrid w:val="0"/>
        <w:spacing w:line="360" w:lineRule="auto"/>
        <w:jc w:val="left"/>
        <w:rPr>
          <w:b/>
          <w:bCs/>
          <w:kern w:val="0"/>
          <w:szCs w:val="21"/>
        </w:rPr>
      </w:pPr>
    </w:p>
    <w:p w14:paraId="501751B5"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29A66FA9" w14:textId="77777777" w:rsidR="00F5289E" w:rsidRDefault="00C91173">
      <w:pPr>
        <w:spacing w:line="360" w:lineRule="auto"/>
        <w:ind w:firstLineChars="200" w:firstLine="420"/>
        <w:rPr>
          <w:bCs/>
          <w:color w:val="0000FF"/>
          <w:szCs w:val="21"/>
        </w:rPr>
      </w:pPr>
      <w:r>
        <w:t> </w:t>
      </w:r>
      <w:r>
        <w:t>设施花卉栽培学是设施农业科学与工程专业的专业课和核心课。设施花卉栽培学是研究花卉的分类、生物学特性、繁殖方法、栽培技术、经营管理与应用的科学，综合性很强。本课程以学生为中心，充分调动学生的学习自觉性，使学生能将理论知识内化并应用于实践。通过设施花卉栽培学的学习，学生可以掌握花卉产业化生产和经营管理及其园林应用的基础理论和实践技能。设施花卉栽培学主要通过课堂教学与翻转课堂的教学方式，促进学生自主学习，理论知识与实践相结合，同时有效融入思政元素，培养学生知农爱农、强农兴农的意识，使得学生今后从事本专业相关工作时有良好的理论基础。</w:t>
      </w:r>
    </w:p>
    <w:p w14:paraId="7116773D" w14:textId="77777777" w:rsidR="00F5289E" w:rsidRDefault="00C91173">
      <w:pPr>
        <w:widowControl/>
        <w:snapToGrid w:val="0"/>
        <w:spacing w:line="360" w:lineRule="auto"/>
        <w:jc w:val="left"/>
        <w:rPr>
          <w:kern w:val="0"/>
          <w:szCs w:val="21"/>
        </w:rPr>
      </w:pPr>
      <w:r>
        <w:rPr>
          <w:b/>
          <w:bCs/>
          <w:kern w:val="0"/>
          <w:szCs w:val="21"/>
        </w:rPr>
        <w:t>二、课程教学的基本要求</w:t>
      </w:r>
    </w:p>
    <w:p w14:paraId="05E95EFE" w14:textId="77777777" w:rsidR="00F5289E" w:rsidRDefault="00C91173">
      <w:pPr>
        <w:widowControl/>
        <w:snapToGrid w:val="0"/>
        <w:spacing w:line="360" w:lineRule="auto"/>
        <w:jc w:val="left"/>
        <w:rPr>
          <w:kern w:val="0"/>
          <w:szCs w:val="21"/>
        </w:rPr>
      </w:pPr>
      <w:r>
        <w:rPr>
          <w:kern w:val="0"/>
          <w:szCs w:val="21"/>
        </w:rPr>
        <w:t>     1</w:t>
      </w:r>
      <w:r>
        <w:rPr>
          <w:kern w:val="0"/>
          <w:szCs w:val="21"/>
        </w:rPr>
        <w:t>、理论知识方面：</w:t>
      </w:r>
      <w:r>
        <w:t>要求学生掌握花卉分类的原理与方法、花卉种质资源及其分布特点、花卉的生态习性及花卉生长发育基本规律、花卉繁殖、栽培的原理及花卉应用的基本原则等。</w:t>
      </w:r>
    </w:p>
    <w:p w14:paraId="64EDE540" w14:textId="77777777" w:rsidR="00F5289E" w:rsidRDefault="00C91173">
      <w:pPr>
        <w:widowControl/>
        <w:snapToGrid w:val="0"/>
        <w:spacing w:line="360" w:lineRule="auto"/>
        <w:jc w:val="left"/>
      </w:pPr>
      <w:r>
        <w:rPr>
          <w:kern w:val="0"/>
          <w:szCs w:val="21"/>
        </w:rPr>
        <w:t>      2</w:t>
      </w:r>
      <w:r>
        <w:rPr>
          <w:kern w:val="0"/>
          <w:szCs w:val="21"/>
        </w:rPr>
        <w:t>、实验技能方面：</w:t>
      </w:r>
      <w:r>
        <w:t>要求学生熟练识别</w:t>
      </w:r>
      <w:r>
        <w:t>100</w:t>
      </w:r>
      <w:r>
        <w:t>～</w:t>
      </w:r>
      <w:r>
        <w:t>200</w:t>
      </w:r>
      <w:r>
        <w:t>种花卉，掌握各类花卉繁殖栽培的方法和步骤，能够根据不同的园林应用形式选择不同的花卉，并采用不同的栽培养护措施。</w:t>
      </w:r>
    </w:p>
    <w:p w14:paraId="1580C42F" w14:textId="77777777" w:rsidR="00F5289E" w:rsidRDefault="00C91173">
      <w:pPr>
        <w:widowControl/>
        <w:snapToGrid w:val="0"/>
        <w:spacing w:line="360" w:lineRule="auto"/>
        <w:jc w:val="left"/>
        <w:rPr>
          <w:b/>
          <w:bCs/>
          <w:kern w:val="0"/>
          <w:szCs w:val="21"/>
        </w:rPr>
      </w:pPr>
      <w:r>
        <w:rPr>
          <w:b/>
          <w:bCs/>
          <w:kern w:val="0"/>
          <w:szCs w:val="21"/>
        </w:rPr>
        <w:t>三、课程的教学设计</w:t>
      </w:r>
    </w:p>
    <w:p w14:paraId="07F30330" w14:textId="77777777" w:rsidR="00F5289E" w:rsidRDefault="00C91173">
      <w:pPr>
        <w:spacing w:line="360" w:lineRule="auto"/>
        <w:ind w:firstLineChars="200" w:firstLine="420"/>
        <w:rPr>
          <w:bCs/>
          <w:kern w:val="0"/>
          <w:szCs w:val="21"/>
        </w:rPr>
      </w:pPr>
      <w:r>
        <w:rPr>
          <w:bCs/>
          <w:kern w:val="0"/>
          <w:szCs w:val="21"/>
        </w:rPr>
        <w:t>1.</w:t>
      </w:r>
      <w:r>
        <w:rPr>
          <w:bCs/>
          <w:kern w:val="0"/>
          <w:szCs w:val="21"/>
        </w:rPr>
        <w:t>教学设计说明</w:t>
      </w:r>
    </w:p>
    <w:p w14:paraId="10CE0030" w14:textId="77777777" w:rsidR="00F5289E" w:rsidRDefault="00C91173">
      <w:pPr>
        <w:snapToGrid w:val="0"/>
        <w:spacing w:line="360" w:lineRule="auto"/>
        <w:ind w:firstLineChars="200" w:firstLine="420"/>
        <w:rPr>
          <w:kern w:val="0"/>
          <w:szCs w:val="21"/>
        </w:rPr>
      </w:pPr>
      <w:r>
        <w:rPr>
          <w:kern w:val="0"/>
          <w:szCs w:val="21"/>
        </w:rPr>
        <w:t>《设施花卉栽培学》</w:t>
      </w:r>
      <w:r>
        <w:t>培养学生掌握花卉产业化生产和经营管理及其园林应用的基础理论和实践技能。</w:t>
      </w:r>
      <w:r>
        <w:rPr>
          <w:kern w:val="0"/>
          <w:szCs w:val="21"/>
        </w:rPr>
        <w:t>为了达成教学目标，《设施花卉栽培学》设置</w:t>
      </w:r>
      <w:r>
        <w:t>理论</w:t>
      </w:r>
      <w:r>
        <w:rPr>
          <w:kern w:val="0"/>
          <w:szCs w:val="21"/>
        </w:rPr>
        <w:t>教学、实验和实习。对一般性知识点，</w:t>
      </w:r>
      <w:r>
        <w:t>要求学生进行课前预习，课堂讲授完成；对知识点采用启发式的教学方法讲授，并介绍相关的课外知识及学科进展。对重要的知识点，要求学生进行课前预习，课堂讲授完成；对主要知识点采用</w:t>
      </w:r>
      <w:r>
        <w:rPr>
          <w:kern w:val="0"/>
          <w:szCs w:val="21"/>
        </w:rPr>
        <w:t>启</w:t>
      </w:r>
      <w:r>
        <w:rPr>
          <w:kern w:val="0"/>
          <w:szCs w:val="21"/>
        </w:rPr>
        <w:lastRenderedPageBreak/>
        <w:t>发式、讨论式的教学方法讲授，同时介绍相关的研究进展，并采用课堂提问加深学生对知识点的记忆，及培养学生运用知识点的思路。通过实验和实习教学，加强花卉植物的识别特征，常见花卉的习性和观赏特点、花卉的园林应用类型、繁殖方法及栽培管理要点等知识的应用。最终使学生能够识别</w:t>
      </w:r>
      <w:r>
        <w:rPr>
          <w:kern w:val="0"/>
          <w:szCs w:val="21"/>
        </w:rPr>
        <w:t>150</w:t>
      </w:r>
      <w:r>
        <w:rPr>
          <w:kern w:val="0"/>
          <w:szCs w:val="21"/>
        </w:rPr>
        <w:t>种以上生产及花卉市场常见的园林植物；掌握</w:t>
      </w:r>
      <w:r>
        <w:rPr>
          <w:kern w:val="0"/>
          <w:szCs w:val="21"/>
        </w:rPr>
        <w:t>60</w:t>
      </w:r>
      <w:r>
        <w:rPr>
          <w:kern w:val="0"/>
          <w:szCs w:val="21"/>
        </w:rPr>
        <w:t>种以上常见观赏植物的识别要点、生态习性、观赏特性、栽培技术等；并培养学生运用工具书正确鉴定观赏植物。</w:t>
      </w:r>
    </w:p>
    <w:p w14:paraId="49E9EA4F" w14:textId="77777777" w:rsidR="00F5289E" w:rsidRDefault="00C91173">
      <w:pPr>
        <w:snapToGrid w:val="0"/>
        <w:spacing w:line="360" w:lineRule="auto"/>
        <w:ind w:firstLineChars="200" w:firstLine="420"/>
        <w:rPr>
          <w:kern w:val="0"/>
          <w:szCs w:val="21"/>
        </w:rPr>
      </w:pPr>
      <w:r>
        <w:rPr>
          <w:kern w:val="0"/>
          <w:szCs w:val="21"/>
        </w:rPr>
        <w:t>理论课采用闭卷考试进行考核；总成绩＝考试成绩</w:t>
      </w:r>
      <w:r>
        <w:rPr>
          <w:kern w:val="0"/>
          <w:szCs w:val="21"/>
        </w:rPr>
        <w:t>×60%+</w:t>
      </w:r>
      <w:r>
        <w:rPr>
          <w:kern w:val="0"/>
          <w:szCs w:val="21"/>
        </w:rPr>
        <w:t>平时成绩</w:t>
      </w:r>
      <w:r>
        <w:rPr>
          <w:kern w:val="0"/>
          <w:szCs w:val="21"/>
        </w:rPr>
        <w:t>×40%</w:t>
      </w:r>
      <w:r>
        <w:rPr>
          <w:kern w:val="0"/>
          <w:szCs w:val="21"/>
        </w:rPr>
        <w:t>。实验教学以考核方式进行成绩评定，实验成绩占课程总成绩的</w:t>
      </w:r>
      <w:r>
        <w:rPr>
          <w:kern w:val="0"/>
          <w:szCs w:val="21"/>
        </w:rPr>
        <w:t>10%</w:t>
      </w:r>
      <w:r>
        <w:rPr>
          <w:kern w:val="0"/>
          <w:szCs w:val="21"/>
        </w:rPr>
        <w:t>，其成绩登记到期末总成绩单上。教学实习以考核方式进行成绩评定。实验和实习成绩评定根据报告确定，分为优秀（</w:t>
      </w:r>
      <w:r>
        <w:rPr>
          <w:kern w:val="0"/>
          <w:szCs w:val="21"/>
        </w:rPr>
        <w:t>90~100</w:t>
      </w:r>
      <w:r>
        <w:rPr>
          <w:kern w:val="0"/>
          <w:szCs w:val="21"/>
        </w:rPr>
        <w:t>分）、良好（</w:t>
      </w:r>
      <w:r>
        <w:rPr>
          <w:kern w:val="0"/>
          <w:szCs w:val="21"/>
        </w:rPr>
        <w:t>80~90</w:t>
      </w:r>
      <w:r>
        <w:rPr>
          <w:kern w:val="0"/>
          <w:szCs w:val="21"/>
        </w:rPr>
        <w:t>分）、中等（</w:t>
      </w:r>
      <w:r>
        <w:rPr>
          <w:kern w:val="0"/>
          <w:szCs w:val="21"/>
        </w:rPr>
        <w:t>70~80</w:t>
      </w:r>
      <w:r>
        <w:rPr>
          <w:kern w:val="0"/>
          <w:szCs w:val="21"/>
        </w:rPr>
        <w:t>分）、及格（</w:t>
      </w:r>
      <w:r>
        <w:rPr>
          <w:kern w:val="0"/>
          <w:szCs w:val="21"/>
        </w:rPr>
        <w:t>60~70</w:t>
      </w:r>
      <w:r>
        <w:rPr>
          <w:kern w:val="0"/>
          <w:szCs w:val="21"/>
        </w:rPr>
        <w:t>分）和不及格（</w:t>
      </w:r>
      <w:r>
        <w:rPr>
          <w:kern w:val="0"/>
          <w:szCs w:val="21"/>
        </w:rPr>
        <w:t>60</w:t>
      </w:r>
      <w:r>
        <w:rPr>
          <w:kern w:val="0"/>
          <w:szCs w:val="21"/>
        </w:rPr>
        <w:t>分以下）五个等次。</w:t>
      </w:r>
    </w:p>
    <w:p w14:paraId="2DCEAD5F" w14:textId="77777777" w:rsidR="00F5289E" w:rsidRDefault="00C91173">
      <w:pPr>
        <w:spacing w:line="360" w:lineRule="auto"/>
        <w:ind w:firstLineChars="200" w:firstLine="420"/>
        <w:rPr>
          <w:bCs/>
          <w:color w:val="0000FF"/>
          <w:kern w:val="0"/>
          <w:szCs w:val="21"/>
        </w:rPr>
      </w:pPr>
      <w:r>
        <w:rPr>
          <w:bCs/>
          <w:kern w:val="0"/>
          <w:szCs w:val="21"/>
        </w:rPr>
        <w:t>2.</w:t>
      </w:r>
      <w:r>
        <w:rPr>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5373"/>
        <w:gridCol w:w="2525"/>
      </w:tblGrid>
      <w:tr w:rsidR="00F5289E" w14:paraId="6CCF8AE6"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CDDD2BA" w14:textId="77777777" w:rsidR="00F5289E" w:rsidRDefault="00C91173">
            <w:pPr>
              <w:spacing w:line="320" w:lineRule="exact"/>
              <w:jc w:val="center"/>
              <w:rPr>
                <w:b/>
                <w:bCs/>
                <w:sz w:val="18"/>
                <w:szCs w:val="18"/>
              </w:rPr>
            </w:pPr>
            <w:r>
              <w:rPr>
                <w:b/>
                <w:bCs/>
                <w:sz w:val="18"/>
                <w:szCs w:val="18"/>
              </w:rPr>
              <w:t>序号</w:t>
            </w:r>
          </w:p>
        </w:tc>
        <w:tc>
          <w:tcPr>
            <w:tcW w:w="5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4EA12C6" w14:textId="77777777" w:rsidR="00F5289E" w:rsidRDefault="00C91173">
            <w:pPr>
              <w:spacing w:line="320" w:lineRule="exact"/>
              <w:jc w:val="center"/>
              <w:rPr>
                <w:b/>
                <w:bCs/>
                <w:sz w:val="18"/>
                <w:szCs w:val="18"/>
              </w:rPr>
            </w:pPr>
            <w:r>
              <w:rPr>
                <w:b/>
                <w:bCs/>
                <w:sz w:val="18"/>
                <w:szCs w:val="18"/>
              </w:rPr>
              <w:t>课程目标</w:t>
            </w:r>
          </w:p>
        </w:tc>
        <w:tc>
          <w:tcPr>
            <w:tcW w:w="252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2DEEA4D" w14:textId="77777777" w:rsidR="00F5289E" w:rsidRDefault="00C91173">
            <w:pPr>
              <w:spacing w:line="320" w:lineRule="exact"/>
              <w:jc w:val="center"/>
              <w:rPr>
                <w:b/>
                <w:bCs/>
                <w:sz w:val="18"/>
                <w:szCs w:val="18"/>
              </w:rPr>
            </w:pPr>
            <w:r>
              <w:rPr>
                <w:b/>
                <w:bCs/>
                <w:sz w:val="18"/>
                <w:szCs w:val="18"/>
              </w:rPr>
              <w:t>毕业要求</w:t>
            </w:r>
          </w:p>
        </w:tc>
      </w:tr>
      <w:tr w:rsidR="00F5289E" w14:paraId="4F7F775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1108E5D"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5373" w:type="dxa"/>
            <w:tcBorders>
              <w:top w:val="single" w:sz="4" w:space="0" w:color="auto"/>
              <w:left w:val="single" w:sz="4" w:space="0" w:color="auto"/>
              <w:bottom w:val="single" w:sz="4" w:space="0" w:color="auto"/>
              <w:right w:val="single" w:sz="4" w:space="0" w:color="auto"/>
            </w:tcBorders>
            <w:vAlign w:val="center"/>
          </w:tcPr>
          <w:p w14:paraId="23328CE2" w14:textId="77777777" w:rsidR="00F5289E" w:rsidRDefault="00C91173">
            <w:pPr>
              <w:spacing w:line="320" w:lineRule="exact"/>
              <w:jc w:val="left"/>
              <w:rPr>
                <w:rFonts w:eastAsiaTheme="minorEastAsia"/>
                <w:sz w:val="18"/>
                <w:szCs w:val="18"/>
              </w:rPr>
            </w:pPr>
            <w:r>
              <w:rPr>
                <w:rFonts w:eastAsiaTheme="minorEastAsia" w:hint="eastAsia"/>
                <w:sz w:val="18"/>
                <w:szCs w:val="18"/>
              </w:rPr>
              <w:t>目标</w:t>
            </w:r>
            <w:r>
              <w:rPr>
                <w:rFonts w:eastAsiaTheme="minorEastAsia" w:hint="eastAsia"/>
                <w:sz w:val="18"/>
                <w:szCs w:val="18"/>
              </w:rPr>
              <w:t>1</w:t>
            </w:r>
            <w:r>
              <w:rPr>
                <w:rFonts w:eastAsiaTheme="minorEastAsia" w:hint="eastAsia"/>
                <w:sz w:val="18"/>
                <w:szCs w:val="18"/>
              </w:rPr>
              <w:t>：了解中国花卉产业的发展前景，激发学生的专业兴趣，培养具有良好职业道德、创新精神和社会责任感的三农人才。</w:t>
            </w:r>
          </w:p>
        </w:tc>
        <w:tc>
          <w:tcPr>
            <w:tcW w:w="2525" w:type="dxa"/>
            <w:tcBorders>
              <w:top w:val="single" w:sz="4" w:space="0" w:color="auto"/>
              <w:left w:val="single" w:sz="4" w:space="0" w:color="auto"/>
              <w:bottom w:val="single" w:sz="4" w:space="0" w:color="auto"/>
              <w:right w:val="single" w:sz="4" w:space="0" w:color="auto"/>
            </w:tcBorders>
            <w:vAlign w:val="center"/>
          </w:tcPr>
          <w:p w14:paraId="655380C2" w14:textId="24C2A236" w:rsidR="00F5289E" w:rsidRDefault="00F63B33" w:rsidP="00F63B33">
            <w:pPr>
              <w:spacing w:line="320" w:lineRule="exact"/>
              <w:jc w:val="center"/>
              <w:rPr>
                <w:rFonts w:eastAsiaTheme="minorEastAsia"/>
                <w:sz w:val="18"/>
                <w:szCs w:val="18"/>
              </w:rPr>
            </w:pPr>
            <w:r>
              <w:rPr>
                <w:rFonts w:eastAsiaTheme="minorEastAsia" w:hint="eastAsia"/>
                <w:sz w:val="18"/>
                <w:szCs w:val="18"/>
              </w:rPr>
              <w:t>2</w:t>
            </w:r>
          </w:p>
        </w:tc>
      </w:tr>
      <w:tr w:rsidR="00F5289E" w14:paraId="64EBFF1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811BE16"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5373" w:type="dxa"/>
            <w:tcBorders>
              <w:top w:val="single" w:sz="4" w:space="0" w:color="auto"/>
              <w:left w:val="single" w:sz="4" w:space="0" w:color="auto"/>
              <w:bottom w:val="single" w:sz="4" w:space="0" w:color="auto"/>
              <w:right w:val="single" w:sz="4" w:space="0" w:color="auto"/>
            </w:tcBorders>
            <w:vAlign w:val="center"/>
          </w:tcPr>
          <w:p w14:paraId="0BB63367" w14:textId="77777777" w:rsidR="00F5289E" w:rsidRDefault="00C91173">
            <w:pPr>
              <w:spacing w:line="320" w:lineRule="exact"/>
              <w:jc w:val="left"/>
              <w:rPr>
                <w:rFonts w:eastAsiaTheme="minorEastAsia"/>
                <w:sz w:val="18"/>
                <w:szCs w:val="18"/>
                <w:highlight w:val="yellow"/>
              </w:rPr>
            </w:pPr>
            <w:r>
              <w:rPr>
                <w:rFonts w:eastAsiaTheme="minorEastAsia" w:hint="eastAsia"/>
                <w:sz w:val="18"/>
                <w:szCs w:val="18"/>
              </w:rPr>
              <w:t>目标</w:t>
            </w:r>
            <w:r>
              <w:rPr>
                <w:rFonts w:eastAsiaTheme="minorEastAsia" w:hint="eastAsia"/>
                <w:sz w:val="18"/>
                <w:szCs w:val="18"/>
              </w:rPr>
              <w:t>2</w:t>
            </w:r>
            <w:r>
              <w:rPr>
                <w:rFonts w:eastAsiaTheme="minorEastAsia" w:hint="eastAsia"/>
                <w:sz w:val="18"/>
                <w:szCs w:val="18"/>
              </w:rPr>
              <w:t>：以“花卉分类、花卉繁殖、花卉栽培管理及花卉应用”为重点，使学生识别多种花卉，并掌握这些花卉的生态习性、繁殖方法、栽培管理措施及园林用途</w:t>
            </w:r>
            <w:r>
              <w:rPr>
                <w:rFonts w:eastAsiaTheme="minorEastAsia" w:hAnsiTheme="minorEastAsia" w:hint="eastAsia"/>
                <w:sz w:val="18"/>
                <w:szCs w:val="18"/>
              </w:rPr>
              <w:t>。</w:t>
            </w:r>
          </w:p>
        </w:tc>
        <w:tc>
          <w:tcPr>
            <w:tcW w:w="2525" w:type="dxa"/>
            <w:tcBorders>
              <w:top w:val="single" w:sz="4" w:space="0" w:color="auto"/>
              <w:left w:val="single" w:sz="4" w:space="0" w:color="auto"/>
              <w:bottom w:val="single" w:sz="4" w:space="0" w:color="auto"/>
              <w:right w:val="single" w:sz="4" w:space="0" w:color="auto"/>
            </w:tcBorders>
            <w:vAlign w:val="center"/>
          </w:tcPr>
          <w:p w14:paraId="67DEAEFD" w14:textId="6CBC9CDF" w:rsidR="00F5289E" w:rsidRDefault="00F63B33" w:rsidP="00F63B33">
            <w:pPr>
              <w:spacing w:line="320" w:lineRule="exact"/>
              <w:jc w:val="center"/>
              <w:rPr>
                <w:rFonts w:eastAsiaTheme="minorEastAsia"/>
                <w:sz w:val="18"/>
                <w:szCs w:val="18"/>
              </w:rPr>
            </w:pPr>
            <w:r>
              <w:rPr>
                <w:rFonts w:eastAsiaTheme="minorEastAsia" w:hint="eastAsia"/>
                <w:sz w:val="18"/>
                <w:szCs w:val="18"/>
              </w:rPr>
              <w:t>5</w:t>
            </w:r>
          </w:p>
        </w:tc>
      </w:tr>
      <w:tr w:rsidR="00F5289E" w14:paraId="65132FB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CA5233D"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5373" w:type="dxa"/>
            <w:tcBorders>
              <w:top w:val="single" w:sz="4" w:space="0" w:color="auto"/>
              <w:left w:val="single" w:sz="4" w:space="0" w:color="auto"/>
              <w:bottom w:val="single" w:sz="4" w:space="0" w:color="auto"/>
              <w:right w:val="single" w:sz="4" w:space="0" w:color="auto"/>
            </w:tcBorders>
            <w:vAlign w:val="center"/>
          </w:tcPr>
          <w:p w14:paraId="7645C2DC" w14:textId="77777777" w:rsidR="00F5289E" w:rsidRDefault="00C91173">
            <w:pPr>
              <w:spacing w:line="320" w:lineRule="exact"/>
              <w:jc w:val="left"/>
              <w:rPr>
                <w:rFonts w:eastAsiaTheme="minorEastAsia"/>
                <w:sz w:val="18"/>
                <w:szCs w:val="18"/>
              </w:rPr>
            </w:pPr>
            <w:r>
              <w:rPr>
                <w:rFonts w:eastAsiaTheme="minorEastAsia" w:hint="eastAsia"/>
                <w:sz w:val="18"/>
                <w:szCs w:val="18"/>
              </w:rPr>
              <w:t>目标</w:t>
            </w:r>
            <w:r>
              <w:rPr>
                <w:rFonts w:eastAsiaTheme="minorEastAsia" w:hint="eastAsia"/>
                <w:sz w:val="18"/>
                <w:szCs w:val="18"/>
              </w:rPr>
              <w:t>3</w:t>
            </w:r>
            <w:r>
              <w:rPr>
                <w:rFonts w:eastAsiaTheme="minorEastAsia" w:hint="eastAsia"/>
                <w:sz w:val="18"/>
                <w:szCs w:val="18"/>
              </w:rPr>
              <w:t>：</w:t>
            </w:r>
            <w:r>
              <w:rPr>
                <w:rFonts w:eastAsiaTheme="minorEastAsia" w:hAnsiTheme="minorEastAsia" w:hint="eastAsia"/>
                <w:sz w:val="18"/>
                <w:szCs w:val="18"/>
              </w:rPr>
              <w:t>通过讲课和实习培养学生的观察思维能力及花卉生产方面的实际操作技能。</w:t>
            </w:r>
          </w:p>
        </w:tc>
        <w:tc>
          <w:tcPr>
            <w:tcW w:w="2525" w:type="dxa"/>
            <w:tcBorders>
              <w:top w:val="single" w:sz="4" w:space="0" w:color="auto"/>
              <w:left w:val="single" w:sz="4" w:space="0" w:color="auto"/>
              <w:bottom w:val="single" w:sz="4" w:space="0" w:color="auto"/>
              <w:right w:val="single" w:sz="4" w:space="0" w:color="auto"/>
            </w:tcBorders>
            <w:vAlign w:val="center"/>
          </w:tcPr>
          <w:p w14:paraId="18A53572" w14:textId="77777777" w:rsidR="00F5289E" w:rsidRDefault="00F63B33" w:rsidP="00F63B33">
            <w:pPr>
              <w:spacing w:line="320" w:lineRule="exact"/>
              <w:jc w:val="center"/>
              <w:rPr>
                <w:rFonts w:eastAsiaTheme="minorEastAsia"/>
                <w:sz w:val="18"/>
                <w:szCs w:val="18"/>
              </w:rPr>
            </w:pPr>
            <w:r>
              <w:rPr>
                <w:rFonts w:eastAsiaTheme="minorEastAsia" w:hint="eastAsia"/>
                <w:sz w:val="18"/>
                <w:szCs w:val="18"/>
              </w:rPr>
              <w:t>6</w:t>
            </w:r>
          </w:p>
          <w:p w14:paraId="6D515ABE" w14:textId="1500228B" w:rsidR="00F63B33" w:rsidRDefault="00F63B33" w:rsidP="00F63B33">
            <w:pPr>
              <w:spacing w:line="320" w:lineRule="exact"/>
              <w:jc w:val="center"/>
              <w:rPr>
                <w:rFonts w:eastAsiaTheme="minorEastAsia"/>
                <w:sz w:val="18"/>
                <w:szCs w:val="18"/>
              </w:rPr>
            </w:pPr>
            <w:r>
              <w:rPr>
                <w:rFonts w:eastAsiaTheme="minorEastAsia" w:hint="eastAsia"/>
                <w:sz w:val="18"/>
                <w:szCs w:val="18"/>
              </w:rPr>
              <w:t>7</w:t>
            </w:r>
          </w:p>
        </w:tc>
      </w:tr>
      <w:tr w:rsidR="00F5289E" w14:paraId="609DB96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C1A9A0F" w14:textId="29EF86B5" w:rsidR="00F5289E" w:rsidRDefault="00F63B33">
            <w:pPr>
              <w:spacing w:line="320" w:lineRule="exact"/>
              <w:jc w:val="center"/>
              <w:rPr>
                <w:rFonts w:eastAsiaTheme="minorEastAsia"/>
                <w:sz w:val="18"/>
                <w:szCs w:val="18"/>
              </w:rPr>
            </w:pPr>
            <w:r>
              <w:rPr>
                <w:rFonts w:eastAsiaTheme="minorEastAsia" w:hint="eastAsia"/>
                <w:sz w:val="18"/>
                <w:szCs w:val="18"/>
              </w:rPr>
              <w:t>4</w:t>
            </w:r>
          </w:p>
        </w:tc>
        <w:tc>
          <w:tcPr>
            <w:tcW w:w="5373" w:type="dxa"/>
            <w:tcBorders>
              <w:top w:val="single" w:sz="4" w:space="0" w:color="auto"/>
              <w:left w:val="single" w:sz="4" w:space="0" w:color="auto"/>
              <w:bottom w:val="single" w:sz="4" w:space="0" w:color="auto"/>
              <w:right w:val="single" w:sz="4" w:space="0" w:color="auto"/>
            </w:tcBorders>
            <w:vAlign w:val="center"/>
          </w:tcPr>
          <w:p w14:paraId="139500BA" w14:textId="77777777" w:rsidR="00F5289E" w:rsidRDefault="00C91173">
            <w:pPr>
              <w:spacing w:line="320" w:lineRule="exact"/>
              <w:rPr>
                <w:rFonts w:eastAsiaTheme="minorEastAsia"/>
                <w:sz w:val="18"/>
                <w:szCs w:val="18"/>
              </w:rPr>
            </w:pPr>
            <w:r>
              <w:rPr>
                <w:rFonts w:eastAsiaTheme="minorEastAsia" w:hint="eastAsia"/>
                <w:sz w:val="18"/>
                <w:szCs w:val="18"/>
              </w:rPr>
              <w:t>目标</w:t>
            </w:r>
            <w:r>
              <w:rPr>
                <w:rFonts w:eastAsiaTheme="minorEastAsia" w:hint="eastAsia"/>
                <w:sz w:val="18"/>
                <w:szCs w:val="18"/>
              </w:rPr>
              <w:t>4</w:t>
            </w:r>
            <w:r>
              <w:rPr>
                <w:rFonts w:eastAsiaTheme="minorEastAsia" w:hint="eastAsia"/>
                <w:sz w:val="18"/>
                <w:szCs w:val="18"/>
              </w:rPr>
              <w:t>：结合教学内容进行爱国主义思想教育，通过认识了解我国丰富的花卉植物资源和科研成就、花卉产业近年的快速发展，培养学生热爱祖国的思想，拥护党和国家的改革开放、发展经济的方针政策。。</w:t>
            </w:r>
          </w:p>
        </w:tc>
        <w:tc>
          <w:tcPr>
            <w:tcW w:w="2525" w:type="dxa"/>
            <w:tcBorders>
              <w:top w:val="single" w:sz="4" w:space="0" w:color="auto"/>
              <w:left w:val="single" w:sz="4" w:space="0" w:color="auto"/>
              <w:bottom w:val="single" w:sz="4" w:space="0" w:color="auto"/>
              <w:right w:val="single" w:sz="4" w:space="0" w:color="auto"/>
            </w:tcBorders>
            <w:vAlign w:val="center"/>
          </w:tcPr>
          <w:p w14:paraId="564999CA" w14:textId="5AE69FC3" w:rsidR="00F5289E" w:rsidRDefault="00F63B33" w:rsidP="00F63B33">
            <w:pPr>
              <w:spacing w:line="320" w:lineRule="exact"/>
              <w:jc w:val="center"/>
              <w:rPr>
                <w:rFonts w:eastAsiaTheme="minorEastAsia"/>
                <w:sz w:val="18"/>
                <w:szCs w:val="18"/>
              </w:rPr>
            </w:pPr>
            <w:r>
              <w:rPr>
                <w:rFonts w:eastAsiaTheme="minorEastAsia" w:hint="eastAsia"/>
                <w:bCs/>
                <w:sz w:val="18"/>
                <w:szCs w:val="18"/>
              </w:rPr>
              <w:t>1</w:t>
            </w:r>
            <w:r>
              <w:rPr>
                <w:rFonts w:eastAsiaTheme="minorEastAsia"/>
                <w:bCs/>
                <w:sz w:val="18"/>
                <w:szCs w:val="18"/>
              </w:rPr>
              <w:t>0</w:t>
            </w:r>
          </w:p>
        </w:tc>
      </w:tr>
    </w:tbl>
    <w:p w14:paraId="1DDE1775" w14:textId="77777777" w:rsidR="00F5289E" w:rsidRDefault="00F5289E">
      <w:pPr>
        <w:spacing w:line="360" w:lineRule="auto"/>
        <w:ind w:firstLineChars="200" w:firstLine="420"/>
        <w:rPr>
          <w:bCs/>
          <w:color w:val="0000FF"/>
          <w:kern w:val="0"/>
          <w:szCs w:val="21"/>
        </w:rPr>
      </w:pPr>
    </w:p>
    <w:p w14:paraId="6C36AD15" w14:textId="77777777" w:rsidR="00F5289E" w:rsidRDefault="00C91173" w:rsidP="00A115EF">
      <w:pPr>
        <w:widowControl/>
        <w:numPr>
          <w:ilvl w:val="0"/>
          <w:numId w:val="28"/>
        </w:numPr>
        <w:snapToGrid w:val="0"/>
        <w:spacing w:line="360" w:lineRule="auto"/>
        <w:jc w:val="left"/>
        <w:rPr>
          <w:b/>
          <w:bCs/>
          <w:kern w:val="0"/>
          <w:szCs w:val="21"/>
        </w:rPr>
      </w:pPr>
      <w:r>
        <w:rPr>
          <w:b/>
          <w:bCs/>
          <w:kern w:val="0"/>
          <w:szCs w:val="21"/>
        </w:rPr>
        <w:t>理论教学内容及学时分配（</w:t>
      </w:r>
      <w:r>
        <w:rPr>
          <w:b/>
          <w:bCs/>
          <w:kern w:val="0"/>
          <w:szCs w:val="21"/>
        </w:rPr>
        <w:t>24</w:t>
      </w:r>
      <w:r>
        <w:rPr>
          <w:b/>
          <w:bCs/>
          <w:kern w:val="0"/>
          <w:szCs w:val="21"/>
        </w:rPr>
        <w:t>学时）</w:t>
      </w:r>
    </w:p>
    <w:p w14:paraId="089AE6B5" w14:textId="77777777" w:rsidR="00F5289E" w:rsidRDefault="00F5289E">
      <w:pPr>
        <w:widowControl/>
        <w:snapToGrid w:val="0"/>
        <w:spacing w:line="360" w:lineRule="auto"/>
        <w:jc w:val="left"/>
        <w:rPr>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D8378FA" w14:textId="77777777">
        <w:trPr>
          <w:trHeight w:val="270"/>
        </w:trPr>
        <w:tc>
          <w:tcPr>
            <w:tcW w:w="2965" w:type="dxa"/>
            <w:tcBorders>
              <w:top w:val="nil"/>
              <w:left w:val="nil"/>
              <w:bottom w:val="nil"/>
              <w:right w:val="nil"/>
            </w:tcBorders>
            <w:vAlign w:val="center"/>
          </w:tcPr>
          <w:p w14:paraId="39916CC5"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1B069231" w14:textId="77777777" w:rsidR="00F5289E" w:rsidRDefault="00C91173">
            <w:pPr>
              <w:widowControl/>
              <w:snapToGrid w:val="0"/>
              <w:spacing w:line="360" w:lineRule="auto"/>
              <w:jc w:val="center"/>
              <w:rPr>
                <w:b/>
                <w:bCs/>
                <w:kern w:val="0"/>
                <w:szCs w:val="21"/>
              </w:rPr>
            </w:pPr>
            <w:r>
              <w:rPr>
                <w:b/>
                <w:bCs/>
                <w:kern w:val="0"/>
                <w:szCs w:val="21"/>
              </w:rPr>
              <w:t>绪论</w:t>
            </w:r>
          </w:p>
        </w:tc>
        <w:tc>
          <w:tcPr>
            <w:tcW w:w="2966" w:type="dxa"/>
            <w:tcBorders>
              <w:top w:val="nil"/>
              <w:left w:val="nil"/>
              <w:bottom w:val="nil"/>
              <w:right w:val="nil"/>
            </w:tcBorders>
            <w:vAlign w:val="center"/>
          </w:tcPr>
          <w:p w14:paraId="6623265C"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67C4FBB0" w14:textId="77777777" w:rsidR="00F5289E" w:rsidRDefault="00C91173">
      <w:pPr>
        <w:widowControl/>
        <w:spacing w:line="360" w:lineRule="auto"/>
        <w:jc w:val="left"/>
        <w:rPr>
          <w:kern w:val="0"/>
          <w:szCs w:val="21"/>
        </w:rPr>
      </w:pPr>
      <w:r>
        <w:rPr>
          <w:b/>
          <w:bCs/>
        </w:rPr>
        <w:t>教学目</w:t>
      </w:r>
      <w:r>
        <w:rPr>
          <w:rFonts w:hint="eastAsia"/>
          <w:b/>
          <w:bCs/>
        </w:rPr>
        <w:t>标</w:t>
      </w:r>
      <w:r>
        <w:rPr>
          <w:b/>
          <w:bCs/>
        </w:rPr>
        <w:t>：</w:t>
      </w:r>
    </w:p>
    <w:p w14:paraId="0AF88C4C" w14:textId="77777777" w:rsidR="00F5289E" w:rsidRDefault="00C91173">
      <w:pPr>
        <w:widowControl/>
        <w:spacing w:line="360" w:lineRule="auto"/>
        <w:ind w:firstLineChars="200" w:firstLine="420"/>
        <w:jc w:val="left"/>
        <w:rPr>
          <w:kern w:val="0"/>
          <w:szCs w:val="21"/>
        </w:rPr>
      </w:pPr>
      <w:r>
        <w:rPr>
          <w:kern w:val="0"/>
          <w:szCs w:val="21"/>
        </w:rPr>
        <w:t>通过本章学习使学生理解花卉的概念；了解花卉在人类生活中的作用及花卉产业发展的历程和趋势；明确花卉学在园艺专业课程中的地位及其与相关课程的关系；</w:t>
      </w:r>
      <w:r>
        <w:rPr>
          <w:kern w:val="0"/>
          <w:szCs w:val="21"/>
        </w:rPr>
        <w:t xml:space="preserve"> </w:t>
      </w:r>
      <w:r>
        <w:rPr>
          <w:kern w:val="0"/>
          <w:szCs w:val="21"/>
        </w:rPr>
        <w:t>明确本课程的学习要求及基本的学习方法。</w:t>
      </w:r>
    </w:p>
    <w:p w14:paraId="7C2AEEA9" w14:textId="77777777" w:rsidR="00F5289E" w:rsidRDefault="00C91173">
      <w:pPr>
        <w:widowControl/>
        <w:spacing w:line="360" w:lineRule="auto"/>
        <w:jc w:val="left"/>
        <w:rPr>
          <w:b/>
          <w:bCs/>
        </w:rPr>
      </w:pPr>
      <w:r>
        <w:rPr>
          <w:b/>
          <w:bCs/>
        </w:rPr>
        <w:t>教学重点和难点：</w:t>
      </w:r>
    </w:p>
    <w:p w14:paraId="1612CC4C" w14:textId="77777777" w:rsidR="00F5289E" w:rsidRDefault="00C91173">
      <w:pPr>
        <w:widowControl/>
        <w:spacing w:line="360" w:lineRule="auto"/>
        <w:jc w:val="left"/>
        <w:rPr>
          <w:kern w:val="0"/>
          <w:szCs w:val="21"/>
        </w:rPr>
      </w:pPr>
      <w:r>
        <w:rPr>
          <w:kern w:val="0"/>
          <w:szCs w:val="21"/>
        </w:rPr>
        <w:t xml:space="preserve">1 </w:t>
      </w:r>
      <w:r>
        <w:rPr>
          <w:kern w:val="0"/>
          <w:szCs w:val="21"/>
        </w:rPr>
        <w:t>花卉的基本概念</w:t>
      </w:r>
    </w:p>
    <w:p w14:paraId="6A343FAC" w14:textId="77777777" w:rsidR="00F5289E" w:rsidRDefault="00C91173">
      <w:pPr>
        <w:widowControl/>
        <w:spacing w:line="360" w:lineRule="auto"/>
        <w:jc w:val="left"/>
        <w:rPr>
          <w:kern w:val="0"/>
          <w:szCs w:val="21"/>
        </w:rPr>
      </w:pPr>
      <w:r>
        <w:rPr>
          <w:kern w:val="0"/>
          <w:szCs w:val="21"/>
        </w:rPr>
        <w:t xml:space="preserve">2 </w:t>
      </w:r>
      <w:r>
        <w:rPr>
          <w:kern w:val="0"/>
          <w:szCs w:val="21"/>
        </w:rPr>
        <w:t>花卉学习的意义</w:t>
      </w:r>
    </w:p>
    <w:p w14:paraId="717B8EEF" w14:textId="77777777" w:rsidR="00F5289E" w:rsidRDefault="00C91173">
      <w:pPr>
        <w:widowControl/>
        <w:spacing w:line="360" w:lineRule="auto"/>
        <w:jc w:val="left"/>
        <w:rPr>
          <w:kern w:val="0"/>
          <w:szCs w:val="21"/>
        </w:rPr>
      </w:pPr>
      <w:r>
        <w:rPr>
          <w:kern w:val="0"/>
          <w:szCs w:val="21"/>
        </w:rPr>
        <w:lastRenderedPageBreak/>
        <w:t xml:space="preserve">3 </w:t>
      </w:r>
      <w:bookmarkStart w:id="78" w:name="_Hlk38886884"/>
      <w:r>
        <w:rPr>
          <w:kern w:val="0"/>
          <w:szCs w:val="21"/>
        </w:rPr>
        <w:t>花卉业发展趋势、世界花卉生产的特点。</w:t>
      </w:r>
    </w:p>
    <w:p w14:paraId="2C2764C8" w14:textId="77777777" w:rsidR="00F5289E" w:rsidRDefault="00C91173">
      <w:pPr>
        <w:widowControl/>
        <w:spacing w:line="360" w:lineRule="auto"/>
        <w:jc w:val="left"/>
        <w:rPr>
          <w:kern w:val="0"/>
          <w:szCs w:val="21"/>
        </w:rPr>
      </w:pPr>
      <w:r>
        <w:rPr>
          <w:kern w:val="0"/>
          <w:szCs w:val="21"/>
        </w:rPr>
        <w:t xml:space="preserve">4 </w:t>
      </w:r>
      <w:r>
        <w:rPr>
          <w:kern w:val="0"/>
          <w:szCs w:val="21"/>
        </w:rPr>
        <w:t>花卉发展历史与现状</w:t>
      </w:r>
    </w:p>
    <w:bookmarkEnd w:id="78"/>
    <w:p w14:paraId="7E520D2B" w14:textId="77777777" w:rsidR="00F5289E" w:rsidRDefault="00C91173">
      <w:pPr>
        <w:widowControl/>
        <w:spacing w:line="360" w:lineRule="auto"/>
        <w:jc w:val="left"/>
        <w:rPr>
          <w:b/>
          <w:bCs/>
        </w:rPr>
      </w:pPr>
      <w:r>
        <w:rPr>
          <w:b/>
          <w:bCs/>
        </w:rPr>
        <w:t>主要教学内容及要求：</w:t>
      </w:r>
    </w:p>
    <w:p w14:paraId="2CD01386" w14:textId="77777777" w:rsidR="00F5289E" w:rsidRDefault="00C91173">
      <w:pPr>
        <w:widowControl/>
        <w:spacing w:line="360" w:lineRule="auto"/>
        <w:jc w:val="left"/>
        <w:rPr>
          <w:kern w:val="0"/>
          <w:szCs w:val="21"/>
        </w:rPr>
      </w:pPr>
      <w:r>
        <w:rPr>
          <w:b/>
          <w:bCs/>
          <w:kern w:val="0"/>
          <w:szCs w:val="21"/>
        </w:rPr>
        <w:t>掌握</w:t>
      </w:r>
      <w:r>
        <w:rPr>
          <w:kern w:val="0"/>
          <w:szCs w:val="21"/>
        </w:rPr>
        <w:t xml:space="preserve"> </w:t>
      </w:r>
      <w:r>
        <w:rPr>
          <w:kern w:val="0"/>
          <w:szCs w:val="21"/>
        </w:rPr>
        <w:t>花卉的概念、意义和作用</w:t>
      </w:r>
      <w:r>
        <w:rPr>
          <w:kern w:val="0"/>
          <w:szCs w:val="21"/>
        </w:rPr>
        <w:t xml:space="preserve"> </w:t>
      </w:r>
      <w:r>
        <w:rPr>
          <w:kern w:val="0"/>
          <w:szCs w:val="21"/>
        </w:rPr>
        <w:t xml:space="preserve">　　　　　　</w:t>
      </w:r>
    </w:p>
    <w:p w14:paraId="4589BA8B" w14:textId="77777777" w:rsidR="00F5289E" w:rsidRDefault="00C91173">
      <w:pPr>
        <w:widowControl/>
        <w:spacing w:line="360" w:lineRule="auto"/>
        <w:jc w:val="left"/>
        <w:rPr>
          <w:kern w:val="0"/>
          <w:szCs w:val="21"/>
        </w:rPr>
      </w:pPr>
      <w:r>
        <w:rPr>
          <w:b/>
          <w:bCs/>
          <w:kern w:val="0"/>
          <w:szCs w:val="21"/>
        </w:rPr>
        <w:t>了解</w:t>
      </w:r>
      <w:r>
        <w:rPr>
          <w:kern w:val="0"/>
          <w:szCs w:val="21"/>
        </w:rPr>
        <w:t xml:space="preserve"> </w:t>
      </w:r>
      <w:r>
        <w:rPr>
          <w:kern w:val="0"/>
          <w:szCs w:val="21"/>
        </w:rPr>
        <w:t>花卉业的历史、现状及发展趋势</w:t>
      </w:r>
      <w:r>
        <w:rPr>
          <w:kern w:val="0"/>
          <w:szCs w:val="21"/>
        </w:rPr>
        <w:t xml:space="preserve"> </w:t>
      </w:r>
      <w:r>
        <w:rPr>
          <w:kern w:val="0"/>
          <w:szCs w:val="21"/>
        </w:rPr>
        <w:t xml:space="preserve">　　　</w:t>
      </w:r>
    </w:p>
    <w:p w14:paraId="4FC64F8B" w14:textId="77777777" w:rsidR="00F5289E" w:rsidRDefault="00C91173">
      <w:pPr>
        <w:widowControl/>
        <w:spacing w:line="360" w:lineRule="auto"/>
        <w:jc w:val="left"/>
        <w:rPr>
          <w:kern w:val="0"/>
          <w:szCs w:val="21"/>
        </w:rPr>
      </w:pPr>
      <w:r>
        <w:rPr>
          <w:b/>
          <w:bCs/>
        </w:rPr>
        <w:t>教学组织与实施：</w:t>
      </w:r>
      <w:r>
        <w:rPr>
          <w:kern w:val="0"/>
          <w:szCs w:val="21"/>
        </w:rPr>
        <w:t>教师提前发布要求，学生通过自主观察、查询资料了解什么是花卉、花卉栽培学习的意义，教师通过课堂提问让学生自己讲解，教师课堂讲解花卉业发展趋势、世界花卉生产的特点和花卉发展历史与现状。</w:t>
      </w:r>
    </w:p>
    <w:p w14:paraId="05E67AAA" w14:textId="77777777" w:rsidR="00F5289E" w:rsidRDefault="00F5289E">
      <w:pPr>
        <w:widowControl/>
        <w:snapToGrid w:val="0"/>
        <w:spacing w:line="360" w:lineRule="auto"/>
        <w:ind w:firstLineChars="200" w:firstLine="422"/>
        <w:rPr>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8B29A93" w14:textId="77777777">
        <w:trPr>
          <w:trHeight w:val="270"/>
        </w:trPr>
        <w:tc>
          <w:tcPr>
            <w:tcW w:w="2965" w:type="dxa"/>
            <w:tcBorders>
              <w:top w:val="nil"/>
              <w:left w:val="nil"/>
              <w:bottom w:val="nil"/>
              <w:right w:val="nil"/>
            </w:tcBorders>
            <w:vAlign w:val="center"/>
          </w:tcPr>
          <w:p w14:paraId="75FC8633"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73B54670" w14:textId="77777777" w:rsidR="00F5289E" w:rsidRDefault="00C91173">
            <w:pPr>
              <w:widowControl/>
              <w:snapToGrid w:val="0"/>
              <w:spacing w:line="360" w:lineRule="auto"/>
              <w:jc w:val="center"/>
              <w:rPr>
                <w:b/>
                <w:bCs/>
                <w:kern w:val="0"/>
                <w:szCs w:val="21"/>
              </w:rPr>
            </w:pPr>
            <w:r>
              <w:rPr>
                <w:b/>
                <w:bCs/>
                <w:kern w:val="0"/>
                <w:szCs w:val="21"/>
              </w:rPr>
              <w:t>第一章</w:t>
            </w:r>
            <w:r>
              <w:rPr>
                <w:b/>
                <w:bCs/>
                <w:kern w:val="0"/>
                <w:szCs w:val="21"/>
              </w:rPr>
              <w:t xml:space="preserve">  </w:t>
            </w:r>
            <w:r>
              <w:rPr>
                <w:b/>
                <w:bCs/>
                <w:kern w:val="0"/>
                <w:szCs w:val="21"/>
              </w:rPr>
              <w:t>花卉的分类与分布</w:t>
            </w:r>
          </w:p>
        </w:tc>
        <w:tc>
          <w:tcPr>
            <w:tcW w:w="2966" w:type="dxa"/>
            <w:tcBorders>
              <w:top w:val="nil"/>
              <w:left w:val="nil"/>
              <w:bottom w:val="nil"/>
              <w:right w:val="nil"/>
            </w:tcBorders>
            <w:vAlign w:val="center"/>
          </w:tcPr>
          <w:p w14:paraId="0C5C36E5"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06E0D9C4" w14:textId="77777777" w:rsidR="00F5289E" w:rsidRDefault="00F5289E">
      <w:pPr>
        <w:snapToGrid w:val="0"/>
        <w:spacing w:line="360" w:lineRule="auto"/>
        <w:rPr>
          <w:b/>
          <w:bCs/>
        </w:rPr>
      </w:pPr>
    </w:p>
    <w:p w14:paraId="7B0ED7F1" w14:textId="77777777" w:rsidR="00F5289E" w:rsidRDefault="00C91173">
      <w:pPr>
        <w:snapToGrid w:val="0"/>
        <w:spacing w:line="360" w:lineRule="auto"/>
        <w:rPr>
          <w:b/>
          <w:bCs/>
        </w:rPr>
      </w:pPr>
      <w:r>
        <w:rPr>
          <w:b/>
          <w:bCs/>
        </w:rPr>
        <w:t>第一节</w:t>
      </w:r>
      <w:r>
        <w:rPr>
          <w:b/>
          <w:bCs/>
        </w:rPr>
        <w:t xml:space="preserve">  </w:t>
      </w:r>
      <w:r>
        <w:rPr>
          <w:b/>
          <w:bCs/>
        </w:rPr>
        <w:t>花卉的分类（</w:t>
      </w:r>
      <w:r>
        <w:rPr>
          <w:b/>
          <w:bCs/>
        </w:rPr>
        <w:t>2</w:t>
      </w:r>
      <w:r>
        <w:rPr>
          <w:b/>
          <w:bCs/>
        </w:rPr>
        <w:t>学时）</w:t>
      </w:r>
    </w:p>
    <w:p w14:paraId="037F2B0C" w14:textId="77777777" w:rsidR="00F5289E" w:rsidRDefault="00C91173">
      <w:pPr>
        <w:spacing w:line="360" w:lineRule="auto"/>
        <w:rPr>
          <w:b/>
          <w:bCs/>
          <w:kern w:val="0"/>
          <w:szCs w:val="21"/>
        </w:rPr>
      </w:pPr>
      <w:r>
        <w:rPr>
          <w:b/>
          <w:bCs/>
        </w:rPr>
        <w:t>教学目标：</w:t>
      </w:r>
      <w:r>
        <w:t>使学生掌握生态习性分类的方法、各类代表性花卉的识别特征</w:t>
      </w:r>
    </w:p>
    <w:p w14:paraId="40A30D74" w14:textId="77777777" w:rsidR="00F5289E" w:rsidRDefault="00C91173">
      <w:pPr>
        <w:spacing w:line="360" w:lineRule="auto"/>
        <w:rPr>
          <w:b/>
          <w:bCs/>
        </w:rPr>
      </w:pPr>
      <w:r>
        <w:rPr>
          <w:b/>
          <w:bCs/>
        </w:rPr>
        <w:t>教学重点和难点：</w:t>
      </w:r>
    </w:p>
    <w:p w14:paraId="4A47E76B" w14:textId="77777777" w:rsidR="00F5289E" w:rsidRDefault="00C91173">
      <w:pPr>
        <w:spacing w:line="360" w:lineRule="auto"/>
      </w:pPr>
      <w:r>
        <w:t xml:space="preserve">1 </w:t>
      </w:r>
      <w:r>
        <w:t>花卉的按生态习性分类</w:t>
      </w:r>
    </w:p>
    <w:p w14:paraId="4385CA43" w14:textId="77777777" w:rsidR="00F5289E" w:rsidRDefault="00C91173">
      <w:pPr>
        <w:spacing w:line="360" w:lineRule="auto"/>
      </w:pPr>
      <w:r>
        <w:t xml:space="preserve">2 </w:t>
      </w:r>
      <w:r>
        <w:t>区分一年生花卉和二年生花卉</w:t>
      </w:r>
    </w:p>
    <w:p w14:paraId="7EAD56BC" w14:textId="77777777" w:rsidR="00F5289E" w:rsidRDefault="00C91173">
      <w:pPr>
        <w:spacing w:line="360" w:lineRule="auto"/>
        <w:rPr>
          <w:b/>
          <w:bCs/>
          <w:kern w:val="0"/>
          <w:szCs w:val="21"/>
        </w:rPr>
      </w:pPr>
      <w:r>
        <w:t xml:space="preserve">3 </w:t>
      </w:r>
      <w:r>
        <w:t>区分宿根花卉和球根花卉</w:t>
      </w:r>
    </w:p>
    <w:p w14:paraId="5AE567CD" w14:textId="77777777" w:rsidR="00F5289E" w:rsidRDefault="00C91173">
      <w:pPr>
        <w:spacing w:line="360" w:lineRule="auto"/>
        <w:rPr>
          <w:b/>
        </w:rPr>
      </w:pPr>
      <w:r>
        <w:rPr>
          <w:b/>
        </w:rPr>
        <w:t>主要教学内容及要求：</w:t>
      </w:r>
    </w:p>
    <w:p w14:paraId="2DCC06E7" w14:textId="77777777" w:rsidR="00F5289E" w:rsidRDefault="00C91173">
      <w:pPr>
        <w:spacing w:line="360" w:lineRule="auto"/>
      </w:pPr>
      <w:r>
        <w:rPr>
          <w:b/>
          <w:bCs/>
          <w:kern w:val="0"/>
          <w:szCs w:val="21"/>
        </w:rPr>
        <w:t>掌握</w:t>
      </w:r>
      <w:r>
        <w:rPr>
          <w:b/>
          <w:bCs/>
          <w:kern w:val="0"/>
          <w:szCs w:val="21"/>
        </w:rPr>
        <w:t xml:space="preserve"> </w:t>
      </w:r>
      <w:r>
        <w:t>依栽培方式、生态习性的分类</w:t>
      </w:r>
      <w:r>
        <w:t xml:space="preserve">  </w:t>
      </w:r>
      <w:r>
        <w:t xml:space="preserve">　　</w:t>
      </w:r>
      <w:r>
        <w:t xml:space="preserve"> </w:t>
      </w:r>
    </w:p>
    <w:p w14:paraId="0731A72F" w14:textId="77777777" w:rsidR="00F5289E" w:rsidRDefault="00C91173">
      <w:pPr>
        <w:pStyle w:val="p0"/>
        <w:spacing w:line="360" w:lineRule="auto"/>
      </w:pPr>
      <w:r>
        <w:rPr>
          <w:b/>
          <w:bCs/>
        </w:rPr>
        <w:t>掌握</w:t>
      </w:r>
      <w:r>
        <w:rPr>
          <w:kern w:val="2"/>
        </w:rPr>
        <w:t xml:space="preserve"> </w:t>
      </w:r>
      <w:r>
        <w:t>依花卉的原产地分类</w:t>
      </w:r>
      <w:r>
        <w:t xml:space="preserve"> </w:t>
      </w:r>
      <w:r>
        <w:rPr>
          <w:kern w:val="2"/>
        </w:rPr>
        <w:t xml:space="preserve"> </w:t>
      </w:r>
      <w:r>
        <w:rPr>
          <w:kern w:val="2"/>
        </w:rPr>
        <w:t xml:space="preserve">　　　　　　　　</w:t>
      </w:r>
      <w:r>
        <w:t xml:space="preserve"> </w:t>
      </w:r>
    </w:p>
    <w:p w14:paraId="16E772B2" w14:textId="77777777" w:rsidR="00F5289E" w:rsidRDefault="00C91173">
      <w:pPr>
        <w:widowControl/>
        <w:spacing w:line="360" w:lineRule="auto"/>
        <w:jc w:val="left"/>
        <w:rPr>
          <w:b/>
          <w:bCs/>
        </w:rPr>
      </w:pPr>
      <w:r>
        <w:rPr>
          <w:b/>
          <w:bCs/>
        </w:rPr>
        <w:t>教学组织与实施：</w:t>
      </w:r>
    </w:p>
    <w:p w14:paraId="4827C81E" w14:textId="77777777" w:rsidR="00F5289E" w:rsidRDefault="00C91173">
      <w:pPr>
        <w:widowControl/>
        <w:snapToGrid w:val="0"/>
        <w:spacing w:line="360" w:lineRule="auto"/>
      </w:pPr>
      <w:r>
        <w:t>本节作为一般性的基础知识，要求学生进行课前预习，课堂讲授完成；对知识点采用启发式的教学方法讲授，并介绍相关的课外知识及学科进展。</w:t>
      </w:r>
    </w:p>
    <w:p w14:paraId="3934FC3E" w14:textId="77777777" w:rsidR="00F5289E" w:rsidRDefault="00F5289E">
      <w:pPr>
        <w:pStyle w:val="a7"/>
        <w:snapToGrid w:val="0"/>
        <w:spacing w:line="360" w:lineRule="auto"/>
        <w:rPr>
          <w:rFonts w:ascii="Times New Roman"/>
        </w:rPr>
      </w:pPr>
    </w:p>
    <w:p w14:paraId="40BDAC18" w14:textId="77777777" w:rsidR="00F5289E" w:rsidRDefault="00C91173" w:rsidP="00A115EF">
      <w:pPr>
        <w:widowControl/>
        <w:numPr>
          <w:ilvl w:val="0"/>
          <w:numId w:val="29"/>
        </w:numPr>
        <w:snapToGrid w:val="0"/>
        <w:spacing w:line="360" w:lineRule="auto"/>
        <w:jc w:val="left"/>
        <w:rPr>
          <w:b/>
          <w:bCs/>
        </w:rPr>
      </w:pPr>
      <w:r>
        <w:rPr>
          <w:b/>
          <w:kern w:val="0"/>
          <w:szCs w:val="21"/>
        </w:rPr>
        <w:t xml:space="preserve"> </w:t>
      </w:r>
      <w:r>
        <w:rPr>
          <w:b/>
        </w:rPr>
        <w:t>花卉的分布</w:t>
      </w:r>
      <w:r>
        <w:rPr>
          <w:b/>
          <w:bCs/>
        </w:rPr>
        <w:t>（</w:t>
      </w:r>
      <w:r>
        <w:rPr>
          <w:b/>
          <w:bCs/>
        </w:rPr>
        <w:t>1</w:t>
      </w:r>
      <w:r>
        <w:rPr>
          <w:b/>
          <w:bCs/>
        </w:rPr>
        <w:t>学时）</w:t>
      </w:r>
    </w:p>
    <w:p w14:paraId="477FD8D4" w14:textId="77777777" w:rsidR="00F5289E" w:rsidRDefault="00C91173">
      <w:pPr>
        <w:spacing w:line="360" w:lineRule="auto"/>
      </w:pPr>
      <w:r>
        <w:rPr>
          <w:b/>
          <w:bCs/>
        </w:rPr>
        <w:t>教学目标：</w:t>
      </w:r>
      <w:r>
        <w:t>通过学习理解世界气候型的特点，了解中国的名花及其分布范围</w:t>
      </w:r>
    </w:p>
    <w:p w14:paraId="0EAE1B21" w14:textId="77777777" w:rsidR="00F5289E" w:rsidRDefault="00C91173">
      <w:pPr>
        <w:spacing w:line="360" w:lineRule="auto"/>
        <w:rPr>
          <w:b/>
          <w:bCs/>
        </w:rPr>
      </w:pPr>
      <w:r>
        <w:rPr>
          <w:b/>
          <w:bCs/>
        </w:rPr>
        <w:t>教学重点和难点：</w:t>
      </w:r>
    </w:p>
    <w:p w14:paraId="485379DC" w14:textId="77777777" w:rsidR="00F5289E" w:rsidRDefault="00C91173">
      <w:pPr>
        <w:spacing w:line="360" w:lineRule="auto"/>
      </w:pPr>
      <w:r>
        <w:t xml:space="preserve">1 </w:t>
      </w:r>
      <w:r>
        <w:t>世界气候型及其代表花卉</w:t>
      </w:r>
    </w:p>
    <w:p w14:paraId="4576C197" w14:textId="77777777" w:rsidR="00F5289E" w:rsidRDefault="00C91173">
      <w:pPr>
        <w:spacing w:line="360" w:lineRule="auto"/>
        <w:rPr>
          <w:b/>
          <w:bCs/>
        </w:rPr>
      </w:pPr>
      <w:r>
        <w:t xml:space="preserve">2 </w:t>
      </w:r>
      <w:r>
        <w:t>中国花卉的地理分布</w:t>
      </w:r>
    </w:p>
    <w:p w14:paraId="77EDA16F" w14:textId="77777777" w:rsidR="00F5289E" w:rsidRDefault="00C91173">
      <w:pPr>
        <w:widowControl/>
        <w:snapToGrid w:val="0"/>
        <w:spacing w:line="360" w:lineRule="auto"/>
        <w:rPr>
          <w:kern w:val="0"/>
          <w:szCs w:val="21"/>
        </w:rPr>
      </w:pPr>
      <w:r>
        <w:rPr>
          <w:b/>
          <w:bCs/>
        </w:rPr>
        <w:t>主要教学内容及要求：</w:t>
      </w:r>
      <w:r>
        <w:rPr>
          <w:kern w:val="0"/>
          <w:szCs w:val="21"/>
        </w:rPr>
        <w:t xml:space="preserve"> </w:t>
      </w:r>
    </w:p>
    <w:p w14:paraId="72570885" w14:textId="77777777" w:rsidR="00F5289E" w:rsidRDefault="00C91173">
      <w:pPr>
        <w:spacing w:line="360" w:lineRule="auto"/>
      </w:pPr>
      <w:r>
        <w:rPr>
          <w:b/>
          <w:bCs/>
          <w:kern w:val="0"/>
          <w:szCs w:val="21"/>
        </w:rPr>
        <w:t>掌握</w:t>
      </w:r>
      <w:r>
        <w:t xml:space="preserve"> </w:t>
      </w:r>
      <w:r>
        <w:t xml:space="preserve">花卉原产地的气候型类型　　　　　　　</w:t>
      </w:r>
    </w:p>
    <w:p w14:paraId="0FEED76C" w14:textId="77777777" w:rsidR="00F5289E" w:rsidRDefault="00C91173">
      <w:pPr>
        <w:spacing w:line="360" w:lineRule="auto"/>
      </w:pPr>
      <w:r>
        <w:rPr>
          <w:b/>
          <w:bCs/>
          <w:kern w:val="0"/>
          <w:szCs w:val="21"/>
        </w:rPr>
        <w:lastRenderedPageBreak/>
        <w:t>掌握</w:t>
      </w:r>
      <w:r>
        <w:t xml:space="preserve"> </w:t>
      </w:r>
      <w:r>
        <w:t xml:space="preserve">各气候型的气候特点及花卉分布特点　</w:t>
      </w:r>
    </w:p>
    <w:p w14:paraId="58CAFC83" w14:textId="77777777" w:rsidR="00F5289E" w:rsidRDefault="00C91173">
      <w:pPr>
        <w:widowControl/>
        <w:spacing w:line="360" w:lineRule="auto"/>
        <w:jc w:val="left"/>
        <w:rPr>
          <w:b/>
          <w:bCs/>
        </w:rPr>
      </w:pPr>
      <w:r>
        <w:rPr>
          <w:b/>
          <w:bCs/>
        </w:rPr>
        <w:t>教学组织与实施：</w:t>
      </w:r>
    </w:p>
    <w:p w14:paraId="7E4602DB" w14:textId="77777777" w:rsidR="00F5289E" w:rsidRDefault="00C91173">
      <w:pPr>
        <w:widowControl/>
        <w:snapToGrid w:val="0"/>
        <w:spacing w:line="360" w:lineRule="auto"/>
      </w:pPr>
      <w:r>
        <w:t>本节作为一般性的基础知识，要求学生进行课前预习，课堂讲授完成；对知识点采用启发式的教学方法讲授，并介绍相关的课外知识及学科进展。</w:t>
      </w:r>
    </w:p>
    <w:p w14:paraId="5EE88085" w14:textId="77777777" w:rsidR="00F5289E" w:rsidRDefault="00F5289E">
      <w:pPr>
        <w:widowControl/>
        <w:snapToGrid w:val="0"/>
        <w:spacing w:line="360" w:lineRule="auto"/>
        <w:jc w:val="left"/>
        <w:rPr>
          <w:b/>
          <w:bCs/>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F57FCC0" w14:textId="77777777">
        <w:trPr>
          <w:trHeight w:val="270"/>
        </w:trPr>
        <w:tc>
          <w:tcPr>
            <w:tcW w:w="2965" w:type="dxa"/>
            <w:tcBorders>
              <w:top w:val="nil"/>
              <w:left w:val="nil"/>
              <w:bottom w:val="nil"/>
              <w:right w:val="nil"/>
            </w:tcBorders>
            <w:vAlign w:val="center"/>
          </w:tcPr>
          <w:p w14:paraId="18975CFD"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01D71441" w14:textId="77777777" w:rsidR="00F5289E" w:rsidRDefault="00C91173">
            <w:pPr>
              <w:widowControl/>
              <w:snapToGrid w:val="0"/>
              <w:spacing w:line="360" w:lineRule="auto"/>
              <w:jc w:val="center"/>
              <w:rPr>
                <w:b/>
                <w:bCs/>
                <w:kern w:val="0"/>
                <w:szCs w:val="21"/>
              </w:rPr>
            </w:pPr>
            <w:r>
              <w:rPr>
                <w:b/>
                <w:bCs/>
                <w:kern w:val="0"/>
                <w:szCs w:val="21"/>
              </w:rPr>
              <w:t>第二章</w:t>
            </w:r>
            <w:r>
              <w:rPr>
                <w:b/>
                <w:bCs/>
                <w:kern w:val="0"/>
                <w:szCs w:val="21"/>
              </w:rPr>
              <w:t xml:space="preserve">  </w:t>
            </w:r>
            <w:r>
              <w:rPr>
                <w:b/>
                <w:bCs/>
                <w:kern w:val="0"/>
                <w:szCs w:val="21"/>
              </w:rPr>
              <w:t>花卉的生长发育与环境</w:t>
            </w:r>
          </w:p>
        </w:tc>
        <w:tc>
          <w:tcPr>
            <w:tcW w:w="2966" w:type="dxa"/>
            <w:tcBorders>
              <w:top w:val="nil"/>
              <w:left w:val="nil"/>
              <w:bottom w:val="nil"/>
              <w:right w:val="nil"/>
            </w:tcBorders>
            <w:vAlign w:val="center"/>
          </w:tcPr>
          <w:p w14:paraId="3330B9E3"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1D8846F1" w14:textId="77777777" w:rsidR="00F5289E" w:rsidRDefault="00F5289E">
      <w:pPr>
        <w:snapToGrid w:val="0"/>
        <w:spacing w:line="360" w:lineRule="auto"/>
        <w:rPr>
          <w:b/>
          <w:bCs/>
        </w:rPr>
      </w:pPr>
    </w:p>
    <w:p w14:paraId="10164254" w14:textId="77777777" w:rsidR="00F5289E" w:rsidRDefault="00C91173">
      <w:pPr>
        <w:snapToGrid w:val="0"/>
        <w:spacing w:line="360" w:lineRule="auto"/>
        <w:rPr>
          <w:b/>
          <w:bCs/>
        </w:rPr>
      </w:pPr>
      <w:r>
        <w:rPr>
          <w:b/>
          <w:bCs/>
        </w:rPr>
        <w:t>第一节</w:t>
      </w:r>
      <w:r>
        <w:rPr>
          <w:b/>
          <w:bCs/>
        </w:rPr>
        <w:t xml:space="preserve">  </w:t>
      </w:r>
      <w:r>
        <w:rPr>
          <w:b/>
        </w:rPr>
        <w:t>花卉的生长发育与环境</w:t>
      </w:r>
      <w:r>
        <w:rPr>
          <w:b/>
          <w:bCs/>
        </w:rPr>
        <w:t>（</w:t>
      </w:r>
      <w:r>
        <w:rPr>
          <w:b/>
          <w:bCs/>
        </w:rPr>
        <w:t>1.5</w:t>
      </w:r>
      <w:r>
        <w:rPr>
          <w:b/>
          <w:bCs/>
        </w:rPr>
        <w:t>学时）</w:t>
      </w:r>
    </w:p>
    <w:p w14:paraId="40FB3B86" w14:textId="77777777" w:rsidR="00F5289E" w:rsidRDefault="00C91173">
      <w:pPr>
        <w:spacing w:line="360" w:lineRule="auto"/>
      </w:pPr>
      <w:r>
        <w:rPr>
          <w:b/>
          <w:bCs/>
        </w:rPr>
        <w:t>教学目标：</w:t>
      </w:r>
      <w:r>
        <w:t>理解花卉的生长发育规律</w:t>
      </w:r>
    </w:p>
    <w:p w14:paraId="01276790" w14:textId="77777777" w:rsidR="00F5289E" w:rsidRDefault="00C91173">
      <w:pPr>
        <w:spacing w:line="360" w:lineRule="auto"/>
        <w:rPr>
          <w:b/>
          <w:bCs/>
        </w:rPr>
      </w:pPr>
      <w:r>
        <w:rPr>
          <w:b/>
          <w:bCs/>
        </w:rPr>
        <w:t>教学重点和难点：</w:t>
      </w:r>
    </w:p>
    <w:p w14:paraId="5FBCB7A8" w14:textId="77777777" w:rsidR="00F5289E" w:rsidRDefault="00C91173">
      <w:pPr>
        <w:widowControl/>
        <w:snapToGrid w:val="0"/>
        <w:spacing w:line="360" w:lineRule="auto"/>
      </w:pPr>
      <w:r>
        <w:t>不同花卉的生长发育规律及其对环境的要求</w:t>
      </w:r>
      <w:r>
        <w:t xml:space="preserve"> </w:t>
      </w:r>
    </w:p>
    <w:p w14:paraId="65DE98A6" w14:textId="77777777" w:rsidR="00F5289E" w:rsidRDefault="00C91173">
      <w:pPr>
        <w:widowControl/>
        <w:snapToGrid w:val="0"/>
        <w:spacing w:line="360" w:lineRule="auto"/>
        <w:rPr>
          <w:kern w:val="0"/>
          <w:szCs w:val="21"/>
        </w:rPr>
      </w:pPr>
      <w:r>
        <w:rPr>
          <w:b/>
          <w:bCs/>
        </w:rPr>
        <w:t>主要教学内容及要求：</w:t>
      </w:r>
      <w:r>
        <w:rPr>
          <w:kern w:val="0"/>
          <w:szCs w:val="21"/>
        </w:rPr>
        <w:t xml:space="preserve"> </w:t>
      </w:r>
    </w:p>
    <w:p w14:paraId="2792FDD6" w14:textId="77777777" w:rsidR="00F5289E" w:rsidRDefault="00C91173">
      <w:pPr>
        <w:spacing w:line="360" w:lineRule="auto"/>
        <w:rPr>
          <w:shd w:val="clear" w:color="auto" w:fill="FFFFFF"/>
        </w:rPr>
      </w:pPr>
      <w:r>
        <w:rPr>
          <w:b/>
          <w:bCs/>
          <w:kern w:val="0"/>
          <w:szCs w:val="21"/>
        </w:rPr>
        <w:t>理解</w:t>
      </w:r>
      <w:r>
        <w:rPr>
          <w:sz w:val="24"/>
          <w:shd w:val="clear" w:color="auto" w:fill="FFFFFF"/>
        </w:rPr>
        <w:t xml:space="preserve"> </w:t>
      </w:r>
      <w:r>
        <w:rPr>
          <w:shd w:val="clear" w:color="auto" w:fill="FFFFFF"/>
        </w:rPr>
        <w:t xml:space="preserve">花卉生长发育的规律性　　　</w:t>
      </w:r>
    </w:p>
    <w:p w14:paraId="4D20B2F0" w14:textId="77777777" w:rsidR="00F5289E" w:rsidRDefault="00C91173">
      <w:pPr>
        <w:spacing w:line="360" w:lineRule="auto"/>
        <w:rPr>
          <w:shd w:val="clear" w:color="auto" w:fill="FFFFFF"/>
        </w:rPr>
      </w:pPr>
      <w:r>
        <w:rPr>
          <w:b/>
          <w:bCs/>
          <w:kern w:val="0"/>
          <w:szCs w:val="21"/>
        </w:rPr>
        <w:t>掌握</w:t>
      </w:r>
      <w:r>
        <w:rPr>
          <w:sz w:val="24"/>
          <w:shd w:val="clear" w:color="auto" w:fill="FFFFFF"/>
        </w:rPr>
        <w:t xml:space="preserve"> </w:t>
      </w:r>
      <w:r>
        <w:rPr>
          <w:shd w:val="clear" w:color="auto" w:fill="FFFFFF"/>
        </w:rPr>
        <w:t xml:space="preserve">各类花卉的生育特点　　　　</w:t>
      </w:r>
    </w:p>
    <w:p w14:paraId="7A7D83DD" w14:textId="77777777" w:rsidR="00F5289E" w:rsidRDefault="00C91173">
      <w:pPr>
        <w:spacing w:line="360" w:lineRule="auto"/>
        <w:rPr>
          <w:shd w:val="clear" w:color="auto" w:fill="FFFFFF"/>
        </w:rPr>
      </w:pPr>
      <w:r>
        <w:rPr>
          <w:b/>
          <w:bCs/>
          <w:kern w:val="0"/>
          <w:szCs w:val="21"/>
        </w:rPr>
        <w:t>理解</w:t>
      </w:r>
      <w:r>
        <w:rPr>
          <w:shd w:val="clear" w:color="auto" w:fill="FFFFFF"/>
        </w:rPr>
        <w:t xml:space="preserve"> </w:t>
      </w:r>
      <w:r>
        <w:rPr>
          <w:shd w:val="clear" w:color="auto" w:fill="FFFFFF"/>
        </w:rPr>
        <w:t xml:space="preserve">花芽分化的理论　　　　　　</w:t>
      </w:r>
    </w:p>
    <w:p w14:paraId="3C38BDF4" w14:textId="77777777" w:rsidR="00F5289E" w:rsidRDefault="00C91173">
      <w:pPr>
        <w:widowControl/>
        <w:spacing w:line="360" w:lineRule="auto"/>
        <w:jc w:val="left"/>
        <w:rPr>
          <w:b/>
          <w:bCs/>
        </w:rPr>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67DC1F77" w14:textId="77777777" w:rsidR="00F5289E" w:rsidRDefault="00F5289E">
      <w:pPr>
        <w:widowControl/>
        <w:snapToGrid w:val="0"/>
        <w:spacing w:line="360" w:lineRule="auto"/>
        <w:jc w:val="left"/>
        <w:rPr>
          <w:b/>
          <w:kern w:val="0"/>
          <w:szCs w:val="21"/>
        </w:rPr>
      </w:pPr>
    </w:p>
    <w:p w14:paraId="02B012AB" w14:textId="77777777" w:rsidR="00F5289E" w:rsidRDefault="00C91173">
      <w:pPr>
        <w:widowControl/>
        <w:snapToGrid w:val="0"/>
        <w:spacing w:line="360" w:lineRule="auto"/>
        <w:jc w:val="left"/>
        <w:rPr>
          <w:b/>
          <w:kern w:val="0"/>
          <w:szCs w:val="21"/>
        </w:rPr>
      </w:pPr>
      <w:r>
        <w:rPr>
          <w:b/>
          <w:kern w:val="0"/>
          <w:szCs w:val="21"/>
        </w:rPr>
        <w:t>第二节</w:t>
      </w:r>
      <w:r>
        <w:rPr>
          <w:b/>
          <w:kern w:val="0"/>
          <w:szCs w:val="21"/>
        </w:rPr>
        <w:t xml:space="preserve">   </w:t>
      </w:r>
      <w:r>
        <w:rPr>
          <w:b/>
          <w:kern w:val="0"/>
          <w:szCs w:val="21"/>
        </w:rPr>
        <w:t>花卉生长发育与环境的关系（</w:t>
      </w:r>
      <w:r>
        <w:rPr>
          <w:b/>
          <w:kern w:val="0"/>
          <w:szCs w:val="21"/>
        </w:rPr>
        <w:t>1.5</w:t>
      </w:r>
      <w:r>
        <w:rPr>
          <w:b/>
          <w:kern w:val="0"/>
          <w:szCs w:val="21"/>
        </w:rPr>
        <w:t>学时）</w:t>
      </w:r>
    </w:p>
    <w:p w14:paraId="37C8D5F4" w14:textId="77777777" w:rsidR="00F5289E" w:rsidRDefault="00C91173">
      <w:pPr>
        <w:spacing w:line="360" w:lineRule="auto"/>
        <w:rPr>
          <w:b/>
          <w:bCs/>
        </w:rPr>
      </w:pPr>
      <w:r>
        <w:rPr>
          <w:b/>
          <w:bCs/>
        </w:rPr>
        <w:t>教学目标：</w:t>
      </w:r>
    </w:p>
    <w:p w14:paraId="2EC4D573" w14:textId="77777777" w:rsidR="00F5289E" w:rsidRDefault="00C91173">
      <w:pPr>
        <w:spacing w:line="360" w:lineRule="auto"/>
      </w:pPr>
      <w:r>
        <w:t>掌握环境对花卉生长发育过程（包括形态建成）的影响。</w:t>
      </w:r>
    </w:p>
    <w:p w14:paraId="503D6528" w14:textId="77777777" w:rsidR="00F5289E" w:rsidRDefault="00C91173">
      <w:pPr>
        <w:spacing w:line="360" w:lineRule="auto"/>
        <w:rPr>
          <w:b/>
          <w:bCs/>
        </w:rPr>
      </w:pPr>
      <w:r>
        <w:rPr>
          <w:b/>
          <w:bCs/>
        </w:rPr>
        <w:t>教学重点和难点：</w:t>
      </w:r>
    </w:p>
    <w:p w14:paraId="5E5E9B34" w14:textId="77777777" w:rsidR="00F5289E" w:rsidRDefault="00C91173">
      <w:pPr>
        <w:widowControl/>
        <w:snapToGrid w:val="0"/>
        <w:spacing w:line="360" w:lineRule="auto"/>
      </w:pPr>
      <w:r>
        <w:t xml:space="preserve">1 </w:t>
      </w:r>
      <w:r>
        <w:t>温度、光照、水分、土壤等环境因子对花卉生长发育的影响</w:t>
      </w:r>
    </w:p>
    <w:p w14:paraId="6E74F467" w14:textId="77777777" w:rsidR="00F5289E" w:rsidRDefault="00C91173">
      <w:pPr>
        <w:widowControl/>
        <w:snapToGrid w:val="0"/>
        <w:spacing w:line="360" w:lineRule="auto"/>
      </w:pPr>
      <w:r>
        <w:t xml:space="preserve">2 </w:t>
      </w:r>
      <w:r>
        <w:t>基本概念：春化作用、光周期现象、温周期现象、</w:t>
      </w:r>
      <w:r>
        <w:t xml:space="preserve">   </w:t>
      </w:r>
      <w:r>
        <w:t>长日照花卉、短日照花卉等</w:t>
      </w:r>
    </w:p>
    <w:p w14:paraId="17D0FD72" w14:textId="77777777" w:rsidR="00F5289E" w:rsidRDefault="00C91173">
      <w:pPr>
        <w:widowControl/>
        <w:snapToGrid w:val="0"/>
        <w:spacing w:line="360" w:lineRule="auto"/>
        <w:rPr>
          <w:kern w:val="0"/>
          <w:szCs w:val="21"/>
        </w:rPr>
      </w:pPr>
      <w:r>
        <w:rPr>
          <w:b/>
          <w:bCs/>
        </w:rPr>
        <w:t>主要教学内容及要求：</w:t>
      </w:r>
      <w:r>
        <w:rPr>
          <w:kern w:val="0"/>
          <w:szCs w:val="21"/>
        </w:rPr>
        <w:t xml:space="preserve"> </w:t>
      </w:r>
    </w:p>
    <w:p w14:paraId="4797B2CA" w14:textId="77777777" w:rsidR="00F5289E" w:rsidRDefault="00C91173">
      <w:pPr>
        <w:spacing w:line="360" w:lineRule="auto"/>
      </w:pPr>
      <w:r>
        <w:rPr>
          <w:b/>
          <w:bCs/>
        </w:rPr>
        <w:t>熟练掌握</w:t>
      </w:r>
      <w:r>
        <w:t xml:space="preserve"> </w:t>
      </w:r>
      <w:r>
        <w:t>光照、温度、水分环境因子对花卉生长的影响</w:t>
      </w:r>
      <w:r>
        <w:t xml:space="preserve">      </w:t>
      </w:r>
    </w:p>
    <w:p w14:paraId="21B2C7F3" w14:textId="77777777" w:rsidR="00F5289E" w:rsidRDefault="00C91173">
      <w:pPr>
        <w:pStyle w:val="p0"/>
        <w:spacing w:line="360" w:lineRule="auto"/>
      </w:pPr>
      <w:r>
        <w:rPr>
          <w:b/>
          <w:bCs/>
        </w:rPr>
        <w:t>熟练掌握</w:t>
      </w:r>
      <w:r>
        <w:rPr>
          <w:b/>
          <w:bCs/>
        </w:rPr>
        <w:t xml:space="preserve"> </w:t>
      </w:r>
      <w:r>
        <w:t>土壤及营养对对花卉生长的影响</w:t>
      </w:r>
      <w:r>
        <w:t xml:space="preserve"> </w:t>
      </w:r>
      <w:r>
        <w:rPr>
          <w:kern w:val="2"/>
        </w:rPr>
        <w:t xml:space="preserve"> </w:t>
      </w:r>
      <w:r>
        <w:rPr>
          <w:kern w:val="2"/>
        </w:rPr>
        <w:t xml:space="preserve">　　　　　　　　</w:t>
      </w:r>
    </w:p>
    <w:p w14:paraId="62AD8393" w14:textId="77777777" w:rsidR="00F5289E" w:rsidRDefault="00C91173">
      <w:pPr>
        <w:widowControl/>
        <w:spacing w:line="360" w:lineRule="auto"/>
        <w:jc w:val="left"/>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A99A984" w14:textId="77777777">
        <w:trPr>
          <w:trHeight w:val="270"/>
        </w:trPr>
        <w:tc>
          <w:tcPr>
            <w:tcW w:w="2965" w:type="dxa"/>
            <w:tcBorders>
              <w:top w:val="nil"/>
              <w:left w:val="nil"/>
              <w:bottom w:val="nil"/>
              <w:right w:val="nil"/>
            </w:tcBorders>
            <w:vAlign w:val="center"/>
          </w:tcPr>
          <w:p w14:paraId="359D977D"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79C95E43" w14:textId="77777777" w:rsidR="00F5289E" w:rsidRDefault="00C91173">
            <w:pPr>
              <w:widowControl/>
              <w:snapToGrid w:val="0"/>
              <w:spacing w:line="360" w:lineRule="auto"/>
              <w:jc w:val="center"/>
              <w:rPr>
                <w:b/>
                <w:bCs/>
                <w:kern w:val="0"/>
                <w:szCs w:val="21"/>
              </w:rPr>
            </w:pPr>
            <w:r>
              <w:rPr>
                <w:b/>
                <w:bCs/>
                <w:kern w:val="0"/>
                <w:szCs w:val="21"/>
              </w:rPr>
              <w:t>第三章</w:t>
            </w:r>
            <w:r>
              <w:rPr>
                <w:b/>
                <w:bCs/>
                <w:kern w:val="0"/>
                <w:szCs w:val="21"/>
              </w:rPr>
              <w:t xml:space="preserve">  </w:t>
            </w:r>
            <w:r>
              <w:rPr>
                <w:b/>
                <w:bCs/>
                <w:kern w:val="0"/>
                <w:szCs w:val="21"/>
              </w:rPr>
              <w:t>花卉的栽培设施</w:t>
            </w:r>
          </w:p>
        </w:tc>
        <w:tc>
          <w:tcPr>
            <w:tcW w:w="2966" w:type="dxa"/>
            <w:tcBorders>
              <w:top w:val="nil"/>
              <w:left w:val="nil"/>
              <w:bottom w:val="nil"/>
              <w:right w:val="nil"/>
            </w:tcBorders>
            <w:vAlign w:val="center"/>
          </w:tcPr>
          <w:p w14:paraId="3D3237F6"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0408FBEE" w14:textId="77777777" w:rsidR="00F5289E" w:rsidRDefault="00C91173">
      <w:pPr>
        <w:spacing w:line="360" w:lineRule="auto"/>
        <w:rPr>
          <w:b/>
          <w:bCs/>
        </w:rPr>
      </w:pPr>
      <w:r>
        <w:rPr>
          <w:b/>
          <w:bCs/>
        </w:rPr>
        <w:t>教学目标：</w:t>
      </w:r>
    </w:p>
    <w:p w14:paraId="67B59E2B" w14:textId="77777777" w:rsidR="00F5289E" w:rsidRDefault="00C91173">
      <w:pPr>
        <w:spacing w:line="360" w:lineRule="auto"/>
      </w:pPr>
      <w:r>
        <w:t xml:space="preserve">   </w:t>
      </w:r>
      <w:r>
        <w:t>通过这一章的学习，了解目前现代化玻璃温室、日光温室与塑料大棚的研究概况与发展趋势；掌握不同类型的日光温室与塑料大棚的特性与相关设备；能够熟练的运用一些生产措施进行环境调控，了解温室花卉生产常用的栽培设施。</w:t>
      </w:r>
    </w:p>
    <w:p w14:paraId="3D81C71D" w14:textId="77777777" w:rsidR="00F5289E" w:rsidRDefault="00C91173">
      <w:pPr>
        <w:spacing w:line="360" w:lineRule="auto"/>
        <w:rPr>
          <w:b/>
          <w:bCs/>
        </w:rPr>
      </w:pPr>
      <w:r>
        <w:rPr>
          <w:b/>
          <w:bCs/>
        </w:rPr>
        <w:t>教学重点和难点：</w:t>
      </w:r>
    </w:p>
    <w:p w14:paraId="36C0882A" w14:textId="77777777" w:rsidR="00F5289E" w:rsidRDefault="00C91173">
      <w:pPr>
        <w:spacing w:line="360" w:lineRule="auto"/>
      </w:pPr>
      <w:r>
        <w:t>1</w:t>
      </w:r>
      <w:r>
        <w:t>温室的结构、设计及内部环境控制</w:t>
      </w:r>
    </w:p>
    <w:p w14:paraId="13348AED" w14:textId="77777777" w:rsidR="00F5289E" w:rsidRDefault="00C91173">
      <w:pPr>
        <w:spacing w:line="360" w:lineRule="auto"/>
      </w:pPr>
      <w:r>
        <w:t xml:space="preserve">2 </w:t>
      </w:r>
      <w:r>
        <w:t>日光温室与塑料大棚的分类</w:t>
      </w:r>
    </w:p>
    <w:p w14:paraId="61C26D81" w14:textId="77777777" w:rsidR="00F5289E" w:rsidRDefault="00C91173">
      <w:pPr>
        <w:spacing w:line="360" w:lineRule="auto"/>
      </w:pPr>
      <w:r>
        <w:t xml:space="preserve">3 </w:t>
      </w:r>
      <w:r>
        <w:t>荫棚、冷床与温床的分类及其在花卉栽培中的应用</w:t>
      </w:r>
    </w:p>
    <w:p w14:paraId="7AEFCBAC" w14:textId="77777777" w:rsidR="00F5289E" w:rsidRDefault="00C91173">
      <w:pPr>
        <w:spacing w:line="360" w:lineRule="auto"/>
      </w:pPr>
      <w:r>
        <w:t xml:space="preserve">4 </w:t>
      </w:r>
      <w:r>
        <w:t>设施栽培的特点、构建材料、环境控制措施</w:t>
      </w:r>
    </w:p>
    <w:p w14:paraId="5C656F35" w14:textId="77777777" w:rsidR="00F5289E" w:rsidRDefault="00C91173">
      <w:pPr>
        <w:spacing w:line="360" w:lineRule="auto"/>
        <w:rPr>
          <w:kern w:val="0"/>
          <w:szCs w:val="21"/>
        </w:rPr>
      </w:pPr>
      <w:r>
        <w:rPr>
          <w:b/>
          <w:bCs/>
        </w:rPr>
        <w:t>主要教学内容及要求：</w:t>
      </w:r>
      <w:r>
        <w:rPr>
          <w:kern w:val="0"/>
          <w:szCs w:val="21"/>
        </w:rPr>
        <w:t xml:space="preserve"> </w:t>
      </w:r>
    </w:p>
    <w:p w14:paraId="3A68297C" w14:textId="77777777" w:rsidR="00F5289E" w:rsidRDefault="00C91173">
      <w:pPr>
        <w:spacing w:line="360" w:lineRule="auto"/>
      </w:pPr>
      <w:r>
        <w:rPr>
          <w:b/>
          <w:bCs/>
          <w:kern w:val="0"/>
          <w:szCs w:val="21"/>
        </w:rPr>
        <w:t>了解</w:t>
      </w:r>
      <w:r>
        <w:rPr>
          <w:b/>
          <w:bCs/>
          <w:kern w:val="0"/>
          <w:szCs w:val="21"/>
        </w:rPr>
        <w:t xml:space="preserve"> </w:t>
      </w:r>
      <w:r>
        <w:t>花卉栽培的主要设施及其作用</w:t>
      </w:r>
      <w:r>
        <w:t xml:space="preserve">       </w:t>
      </w:r>
    </w:p>
    <w:p w14:paraId="490C3CBC" w14:textId="77777777" w:rsidR="00F5289E" w:rsidRDefault="00C91173">
      <w:pPr>
        <w:spacing w:line="360" w:lineRule="auto"/>
      </w:pPr>
      <w:r>
        <w:rPr>
          <w:b/>
          <w:bCs/>
          <w:kern w:val="0"/>
          <w:szCs w:val="21"/>
        </w:rPr>
        <w:t>掌握</w:t>
      </w:r>
      <w:r>
        <w:rPr>
          <w:b/>
          <w:bCs/>
          <w:kern w:val="0"/>
          <w:szCs w:val="21"/>
        </w:rPr>
        <w:t xml:space="preserve"> </w:t>
      </w:r>
      <w:r>
        <w:t>温室的结构、设计及内部环境控制</w:t>
      </w:r>
      <w:r>
        <w:t xml:space="preserve">   </w:t>
      </w:r>
    </w:p>
    <w:p w14:paraId="7582C518" w14:textId="77777777" w:rsidR="00F5289E" w:rsidRDefault="00C91173">
      <w:pPr>
        <w:spacing w:line="360" w:lineRule="auto"/>
      </w:pPr>
      <w:r>
        <w:rPr>
          <w:b/>
          <w:bCs/>
          <w:kern w:val="0"/>
          <w:szCs w:val="21"/>
        </w:rPr>
        <w:t>理解</w:t>
      </w:r>
      <w:r>
        <w:rPr>
          <w:b/>
          <w:bCs/>
          <w:kern w:val="0"/>
          <w:szCs w:val="21"/>
        </w:rPr>
        <w:t xml:space="preserve"> </w:t>
      </w:r>
      <w:r>
        <w:t>各类花卉对温室环境的要求</w:t>
      </w:r>
      <w:r>
        <w:t xml:space="preserve">       </w:t>
      </w:r>
      <w:r>
        <w:t xml:space="preserve">　</w:t>
      </w:r>
    </w:p>
    <w:p w14:paraId="34D030E4" w14:textId="77777777" w:rsidR="00F5289E" w:rsidRDefault="00C91173">
      <w:pPr>
        <w:widowControl/>
        <w:snapToGrid w:val="0"/>
        <w:spacing w:line="360" w:lineRule="auto"/>
      </w:pPr>
      <w:r>
        <w:rPr>
          <w:b/>
          <w:bCs/>
        </w:rPr>
        <w:t>教学组织与实施：</w:t>
      </w:r>
      <w:r>
        <w:t>本节作为一般性的基础知识，要求学生进行课前预习，课堂讲授完成；对知识点采用启发式的教学方法讲授，并介绍相关的课外知识及学科进展。</w:t>
      </w:r>
    </w:p>
    <w:p w14:paraId="31F06861" w14:textId="77777777" w:rsidR="00F5289E" w:rsidRDefault="00F5289E">
      <w:pPr>
        <w:widowControl/>
        <w:snapToGrid w:val="0"/>
        <w:spacing w:line="360" w:lineRule="auto"/>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86D42A8" w14:textId="77777777">
        <w:trPr>
          <w:trHeight w:val="270"/>
        </w:trPr>
        <w:tc>
          <w:tcPr>
            <w:tcW w:w="2965" w:type="dxa"/>
            <w:tcBorders>
              <w:top w:val="nil"/>
              <w:left w:val="nil"/>
              <w:bottom w:val="nil"/>
              <w:right w:val="nil"/>
            </w:tcBorders>
            <w:vAlign w:val="center"/>
          </w:tcPr>
          <w:p w14:paraId="6EE12B00"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4F3B9011" w14:textId="77777777" w:rsidR="00F5289E" w:rsidRDefault="00C91173">
            <w:pPr>
              <w:widowControl/>
              <w:snapToGrid w:val="0"/>
              <w:spacing w:line="360" w:lineRule="auto"/>
              <w:jc w:val="center"/>
              <w:rPr>
                <w:b/>
                <w:bCs/>
                <w:kern w:val="0"/>
                <w:szCs w:val="21"/>
              </w:rPr>
            </w:pPr>
            <w:r>
              <w:rPr>
                <w:b/>
                <w:bCs/>
                <w:kern w:val="0"/>
                <w:szCs w:val="21"/>
              </w:rPr>
              <w:t>第四章</w:t>
            </w:r>
            <w:r>
              <w:rPr>
                <w:b/>
                <w:bCs/>
                <w:kern w:val="0"/>
                <w:szCs w:val="21"/>
              </w:rPr>
              <w:t xml:space="preserve">  </w:t>
            </w:r>
            <w:r>
              <w:rPr>
                <w:b/>
                <w:bCs/>
                <w:kern w:val="0"/>
                <w:szCs w:val="21"/>
              </w:rPr>
              <w:t>花卉的繁殖</w:t>
            </w:r>
          </w:p>
        </w:tc>
        <w:tc>
          <w:tcPr>
            <w:tcW w:w="2966" w:type="dxa"/>
            <w:tcBorders>
              <w:top w:val="nil"/>
              <w:left w:val="nil"/>
              <w:bottom w:val="nil"/>
              <w:right w:val="nil"/>
            </w:tcBorders>
            <w:vAlign w:val="center"/>
          </w:tcPr>
          <w:p w14:paraId="3B12B9C3"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5</w:t>
            </w:r>
          </w:p>
        </w:tc>
      </w:tr>
    </w:tbl>
    <w:p w14:paraId="72A3188B" w14:textId="77777777" w:rsidR="00F5289E" w:rsidRDefault="00C91173">
      <w:pPr>
        <w:widowControl/>
        <w:snapToGrid w:val="0"/>
        <w:spacing w:line="360" w:lineRule="auto"/>
        <w:jc w:val="right"/>
        <w:rPr>
          <w:kern w:val="0"/>
          <w:szCs w:val="21"/>
        </w:rPr>
      </w:pPr>
      <w:r>
        <w:rPr>
          <w:b/>
          <w:bCs/>
          <w:kern w:val="0"/>
          <w:szCs w:val="21"/>
        </w:rPr>
        <w:t xml:space="preserve">                    </w:t>
      </w:r>
    </w:p>
    <w:p w14:paraId="75F193D0" w14:textId="77777777" w:rsidR="00F5289E" w:rsidRDefault="00C91173">
      <w:pPr>
        <w:widowControl/>
        <w:snapToGrid w:val="0"/>
        <w:spacing w:line="360" w:lineRule="auto"/>
        <w:jc w:val="left"/>
        <w:rPr>
          <w:b/>
          <w:kern w:val="0"/>
          <w:szCs w:val="21"/>
        </w:rPr>
      </w:pPr>
      <w:r>
        <w:rPr>
          <w:b/>
          <w:bCs/>
        </w:rPr>
        <w:t>第一节</w:t>
      </w:r>
      <w:r>
        <w:rPr>
          <w:b/>
          <w:bCs/>
        </w:rPr>
        <w:t xml:space="preserve"> </w:t>
      </w:r>
      <w:r>
        <w:rPr>
          <w:b/>
          <w:bCs/>
        </w:rPr>
        <w:t>有性繁殖（</w:t>
      </w:r>
      <w:r>
        <w:rPr>
          <w:b/>
          <w:bCs/>
        </w:rPr>
        <w:t>2</w:t>
      </w:r>
      <w:r>
        <w:rPr>
          <w:b/>
          <w:kern w:val="0"/>
          <w:szCs w:val="21"/>
        </w:rPr>
        <w:t>学时</w:t>
      </w:r>
      <w:r>
        <w:rPr>
          <w:b/>
          <w:bCs/>
        </w:rPr>
        <w:t>）</w:t>
      </w:r>
    </w:p>
    <w:p w14:paraId="4FC09490" w14:textId="77777777" w:rsidR="00F5289E" w:rsidRDefault="00C91173">
      <w:pPr>
        <w:spacing w:line="360" w:lineRule="auto"/>
        <w:rPr>
          <w:b/>
          <w:bCs/>
        </w:rPr>
      </w:pPr>
      <w:r>
        <w:rPr>
          <w:b/>
          <w:bCs/>
        </w:rPr>
        <w:t>教学目标：</w:t>
      </w:r>
    </w:p>
    <w:p w14:paraId="2A1037D9" w14:textId="77777777" w:rsidR="00F5289E" w:rsidRDefault="00C91173">
      <w:pPr>
        <w:spacing w:line="360" w:lineRule="auto"/>
      </w:pPr>
      <w:r>
        <w:t>通过本节学习使学生了解种子繁殖的特点，掌握种子的获取、贮藏与检验方法，掌握播种前种子处理方法及播种时期的选择</w:t>
      </w:r>
    </w:p>
    <w:p w14:paraId="4B3B4A03" w14:textId="77777777" w:rsidR="00F5289E" w:rsidRDefault="00C91173">
      <w:pPr>
        <w:spacing w:line="360" w:lineRule="auto"/>
        <w:rPr>
          <w:b/>
          <w:bCs/>
        </w:rPr>
      </w:pPr>
      <w:r>
        <w:rPr>
          <w:b/>
          <w:bCs/>
        </w:rPr>
        <w:t>教学重点和难点：</w:t>
      </w:r>
    </w:p>
    <w:p w14:paraId="3C932830" w14:textId="77777777" w:rsidR="00F5289E" w:rsidRDefault="00C91173">
      <w:pPr>
        <w:spacing w:line="360" w:lineRule="auto"/>
        <w:rPr>
          <w:shd w:val="clear" w:color="auto" w:fill="FFFFFF"/>
        </w:rPr>
      </w:pPr>
      <w:r>
        <w:rPr>
          <w:shd w:val="clear" w:color="auto" w:fill="FFFFFF"/>
        </w:rPr>
        <w:t xml:space="preserve">1 </w:t>
      </w:r>
      <w:r>
        <w:rPr>
          <w:shd w:val="clear" w:color="auto" w:fill="FFFFFF"/>
        </w:rPr>
        <w:t>有性繁殖的特点及利用</w:t>
      </w:r>
    </w:p>
    <w:p w14:paraId="74797DC5" w14:textId="77777777" w:rsidR="00F5289E" w:rsidRDefault="00C91173">
      <w:pPr>
        <w:spacing w:line="360" w:lineRule="auto"/>
      </w:pPr>
      <w:r>
        <w:t xml:space="preserve">2 </w:t>
      </w:r>
      <w:r>
        <w:t>有性繁殖的具体操作和繁殖时的注意问题</w:t>
      </w:r>
    </w:p>
    <w:p w14:paraId="73DAE194" w14:textId="77777777" w:rsidR="00F5289E" w:rsidRDefault="00C91173">
      <w:pPr>
        <w:spacing w:line="360" w:lineRule="auto"/>
        <w:rPr>
          <w:b/>
          <w:bCs/>
        </w:rPr>
      </w:pPr>
      <w:r>
        <w:rPr>
          <w:b/>
          <w:bCs/>
        </w:rPr>
        <w:t>主要教学内容及要求：</w:t>
      </w:r>
      <w:r>
        <w:rPr>
          <w:b/>
          <w:bCs/>
        </w:rPr>
        <w:t xml:space="preserve"> </w:t>
      </w:r>
    </w:p>
    <w:p w14:paraId="2F0CE413" w14:textId="77777777" w:rsidR="00F5289E" w:rsidRDefault="00C91173">
      <w:pPr>
        <w:spacing w:line="360" w:lineRule="auto"/>
      </w:pPr>
      <w:r>
        <w:rPr>
          <w:b/>
          <w:bCs/>
          <w:kern w:val="0"/>
          <w:szCs w:val="21"/>
        </w:rPr>
        <w:t>了解</w:t>
      </w:r>
      <w:r>
        <w:t xml:space="preserve"> </w:t>
      </w:r>
      <w:r>
        <w:t>种子繁殖的特点</w:t>
      </w:r>
      <w:r>
        <w:t xml:space="preserve">      </w:t>
      </w:r>
      <w:r>
        <w:t xml:space="preserve">　　　　　</w:t>
      </w:r>
      <w:r>
        <w:t xml:space="preserve">  </w:t>
      </w:r>
      <w:r>
        <w:t xml:space="preserve">　</w:t>
      </w:r>
    </w:p>
    <w:p w14:paraId="1C9689BE" w14:textId="77777777" w:rsidR="00F5289E" w:rsidRDefault="00C91173">
      <w:pPr>
        <w:spacing w:line="360" w:lineRule="auto"/>
      </w:pPr>
      <w:r>
        <w:rPr>
          <w:b/>
          <w:bCs/>
          <w:kern w:val="0"/>
          <w:szCs w:val="21"/>
        </w:rPr>
        <w:t>掌握</w:t>
      </w:r>
      <w:r>
        <w:t xml:space="preserve"> </w:t>
      </w:r>
      <w:r>
        <w:t>种子的获取、贮藏与检验方法</w:t>
      </w:r>
      <w:r>
        <w:t xml:space="preserve">  </w:t>
      </w:r>
      <w:r>
        <w:t xml:space="preserve">　　</w:t>
      </w:r>
      <w:r>
        <w:t xml:space="preserve">  </w:t>
      </w:r>
    </w:p>
    <w:p w14:paraId="562EF385" w14:textId="77777777" w:rsidR="00F5289E" w:rsidRDefault="00C91173">
      <w:pPr>
        <w:spacing w:line="360" w:lineRule="auto"/>
      </w:pPr>
      <w:r>
        <w:rPr>
          <w:b/>
          <w:bCs/>
          <w:kern w:val="0"/>
          <w:szCs w:val="21"/>
        </w:rPr>
        <w:t>掌握</w:t>
      </w:r>
      <w:r>
        <w:t xml:space="preserve"> </w:t>
      </w:r>
      <w:r>
        <w:t>播种前种子处理方法及播种时期的选择</w:t>
      </w:r>
      <w:r>
        <w:t xml:space="preserve">    </w:t>
      </w:r>
    </w:p>
    <w:p w14:paraId="624129AE" w14:textId="77777777" w:rsidR="00F5289E" w:rsidRDefault="00C91173">
      <w:pPr>
        <w:widowControl/>
        <w:spacing w:line="360" w:lineRule="auto"/>
        <w:jc w:val="left"/>
      </w:pPr>
      <w:r>
        <w:rPr>
          <w:b/>
          <w:bCs/>
        </w:rPr>
        <w:lastRenderedPageBreak/>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78E8D56B" w14:textId="77777777" w:rsidR="00F5289E" w:rsidRDefault="00F5289E">
      <w:pPr>
        <w:widowControl/>
        <w:adjustRightInd w:val="0"/>
        <w:snapToGrid w:val="0"/>
        <w:spacing w:line="360" w:lineRule="auto"/>
        <w:jc w:val="left"/>
      </w:pPr>
    </w:p>
    <w:p w14:paraId="17506894" w14:textId="77777777" w:rsidR="00F5289E" w:rsidRDefault="00C91173">
      <w:pPr>
        <w:adjustRightInd w:val="0"/>
        <w:snapToGrid w:val="0"/>
        <w:spacing w:line="360" w:lineRule="auto"/>
        <w:rPr>
          <w:b/>
          <w:bCs/>
        </w:rPr>
      </w:pPr>
      <w:r>
        <w:rPr>
          <w:b/>
          <w:bCs/>
        </w:rPr>
        <w:t>第二节</w:t>
      </w:r>
      <w:r>
        <w:rPr>
          <w:b/>
          <w:bCs/>
        </w:rPr>
        <w:t xml:space="preserve"> </w:t>
      </w:r>
      <w:r>
        <w:rPr>
          <w:b/>
          <w:bCs/>
        </w:rPr>
        <w:t>无性繁殖（</w:t>
      </w:r>
      <w:r>
        <w:rPr>
          <w:b/>
          <w:bCs/>
        </w:rPr>
        <w:t>3</w:t>
      </w:r>
      <w:r>
        <w:rPr>
          <w:b/>
          <w:bCs/>
        </w:rPr>
        <w:t>学时）</w:t>
      </w:r>
    </w:p>
    <w:p w14:paraId="02C8AF3D" w14:textId="77777777" w:rsidR="00F5289E" w:rsidRDefault="00C91173">
      <w:pPr>
        <w:spacing w:line="360" w:lineRule="auto"/>
      </w:pPr>
      <w:r>
        <w:rPr>
          <w:b/>
          <w:bCs/>
        </w:rPr>
        <w:t>教学目标</w:t>
      </w:r>
      <w:r>
        <w:t>：</w:t>
      </w:r>
    </w:p>
    <w:p w14:paraId="67F776D9" w14:textId="77777777" w:rsidR="00F5289E" w:rsidRDefault="00C91173">
      <w:pPr>
        <w:spacing w:line="360" w:lineRule="auto"/>
      </w:pPr>
      <w:r>
        <w:t>介绍花卉繁殖方法，使学生了解花卉繁殖所依据的理论基础，并能根据具体花卉种类和具体条件和生产要求选择不同的繁殖方法，掌握花卉繁殖技术并能综合运用。</w:t>
      </w:r>
    </w:p>
    <w:p w14:paraId="1B974BD0" w14:textId="77777777" w:rsidR="00F5289E" w:rsidRDefault="00C91173">
      <w:pPr>
        <w:spacing w:line="360" w:lineRule="auto"/>
        <w:rPr>
          <w:b/>
          <w:bCs/>
        </w:rPr>
      </w:pPr>
      <w:r>
        <w:rPr>
          <w:b/>
          <w:bCs/>
        </w:rPr>
        <w:t>教学重点和难点：</w:t>
      </w:r>
    </w:p>
    <w:p w14:paraId="1644210A" w14:textId="77777777" w:rsidR="00F5289E" w:rsidRDefault="00C91173">
      <w:pPr>
        <w:spacing w:line="360" w:lineRule="auto"/>
      </w:pPr>
      <w:r>
        <w:t xml:space="preserve">1 </w:t>
      </w:r>
      <w:r>
        <w:t>无性繁殖的特点及利用</w:t>
      </w:r>
    </w:p>
    <w:p w14:paraId="4EB43222" w14:textId="77777777" w:rsidR="00F5289E" w:rsidRDefault="00C91173">
      <w:pPr>
        <w:spacing w:line="360" w:lineRule="auto"/>
      </w:pPr>
      <w:r>
        <w:t xml:space="preserve">2 </w:t>
      </w:r>
      <w:r>
        <w:t>无性繁殖的具体操作和繁殖时的注意问题，包括分株和分球，扦插和压条，嫁接和组织养</w:t>
      </w:r>
    </w:p>
    <w:p w14:paraId="71F41059" w14:textId="77777777" w:rsidR="00F5289E" w:rsidRDefault="00C91173">
      <w:pPr>
        <w:spacing w:line="360" w:lineRule="auto"/>
      </w:pPr>
      <w:r>
        <w:t>主要教学内容及要求：</w:t>
      </w:r>
      <w:r>
        <w:t xml:space="preserve"> </w:t>
      </w:r>
    </w:p>
    <w:p w14:paraId="3B2429E8" w14:textId="77777777" w:rsidR="00F5289E" w:rsidRDefault="00C91173">
      <w:pPr>
        <w:spacing w:line="360" w:lineRule="auto"/>
      </w:pPr>
      <w:r>
        <w:rPr>
          <w:b/>
          <w:bCs/>
          <w:kern w:val="0"/>
          <w:szCs w:val="21"/>
        </w:rPr>
        <w:t>了解</w:t>
      </w:r>
      <w:r>
        <w:t xml:space="preserve"> </w:t>
      </w:r>
      <w:r>
        <w:rPr>
          <w:shd w:val="clear" w:color="auto" w:fill="FFFFFF"/>
        </w:rPr>
        <w:t>无性繁殖的特点</w:t>
      </w:r>
      <w:r>
        <w:t xml:space="preserve">       </w:t>
      </w:r>
    </w:p>
    <w:p w14:paraId="7568819E" w14:textId="77777777" w:rsidR="00F5289E" w:rsidRDefault="00C91173">
      <w:pPr>
        <w:spacing w:line="360" w:lineRule="auto"/>
      </w:pPr>
      <w:r>
        <w:rPr>
          <w:b/>
          <w:bCs/>
          <w:kern w:val="0"/>
          <w:szCs w:val="21"/>
        </w:rPr>
        <w:t>掌握</w:t>
      </w:r>
      <w:r>
        <w:t xml:space="preserve"> </w:t>
      </w:r>
      <w:r>
        <w:t>分生繁殖的方法</w:t>
      </w:r>
      <w:r>
        <w:t xml:space="preserve">   </w:t>
      </w:r>
      <w:r>
        <w:t xml:space="preserve">　　</w:t>
      </w:r>
    </w:p>
    <w:p w14:paraId="45419085" w14:textId="77777777" w:rsidR="00F5289E" w:rsidRDefault="00C91173">
      <w:pPr>
        <w:spacing w:line="360" w:lineRule="auto"/>
      </w:pPr>
      <w:r>
        <w:rPr>
          <w:b/>
          <w:bCs/>
          <w:kern w:val="0"/>
          <w:szCs w:val="21"/>
        </w:rPr>
        <w:t>掌握</w:t>
      </w:r>
      <w:r>
        <w:t xml:space="preserve"> </w:t>
      </w:r>
      <w:r>
        <w:rPr>
          <w:shd w:val="clear" w:color="auto" w:fill="FFFFFF"/>
        </w:rPr>
        <w:t>扦插和压条，嫁接等方法</w:t>
      </w:r>
      <w:r>
        <w:t xml:space="preserve">     </w:t>
      </w:r>
    </w:p>
    <w:p w14:paraId="7F521D8C" w14:textId="77777777" w:rsidR="00F5289E" w:rsidRDefault="00C91173">
      <w:pPr>
        <w:widowControl/>
        <w:spacing w:line="360" w:lineRule="auto"/>
        <w:jc w:val="left"/>
        <w:rPr>
          <w:shd w:val="clear" w:color="auto" w:fill="FFFFFF"/>
        </w:rPr>
      </w:pPr>
      <w:r>
        <w:rPr>
          <w:b/>
          <w:bCs/>
        </w:rPr>
        <w:t>熟练掌握</w:t>
      </w:r>
      <w:r>
        <w:t xml:space="preserve">　</w:t>
      </w:r>
      <w:r>
        <w:rPr>
          <w:shd w:val="clear" w:color="auto" w:fill="FFFFFF"/>
        </w:rPr>
        <w:t xml:space="preserve">组织培养　　　　　　</w:t>
      </w:r>
    </w:p>
    <w:p w14:paraId="0C447EE5" w14:textId="77777777" w:rsidR="00F5289E" w:rsidRDefault="00C91173">
      <w:pPr>
        <w:widowControl/>
        <w:spacing w:line="360" w:lineRule="auto"/>
        <w:jc w:val="left"/>
        <w:rPr>
          <w:b/>
          <w:bCs/>
        </w:rPr>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3AC4D48F" w14:textId="77777777" w:rsidR="00F5289E" w:rsidRDefault="00C91173">
      <w:pPr>
        <w:spacing w:line="360" w:lineRule="auto"/>
        <w:jc w:val="center"/>
        <w:rPr>
          <w:b/>
          <w:bCs/>
          <w:kern w:val="0"/>
          <w:szCs w:val="21"/>
        </w:rPr>
      </w:pPr>
      <w:r>
        <w:rPr>
          <w:b/>
          <w:bCs/>
          <w:kern w:val="0"/>
          <w:szCs w:val="21"/>
        </w:rPr>
        <w:t xml:space="preserve">  </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6579E02" w14:textId="77777777">
        <w:trPr>
          <w:trHeight w:val="270"/>
        </w:trPr>
        <w:tc>
          <w:tcPr>
            <w:tcW w:w="2965" w:type="dxa"/>
            <w:tcBorders>
              <w:top w:val="nil"/>
              <w:left w:val="nil"/>
              <w:bottom w:val="nil"/>
              <w:right w:val="nil"/>
            </w:tcBorders>
            <w:vAlign w:val="center"/>
          </w:tcPr>
          <w:p w14:paraId="2C1B42B9"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2CDB85B4" w14:textId="77777777" w:rsidR="00F5289E" w:rsidRDefault="00C91173">
            <w:pPr>
              <w:widowControl/>
              <w:snapToGrid w:val="0"/>
              <w:spacing w:line="360" w:lineRule="auto"/>
              <w:jc w:val="center"/>
              <w:rPr>
                <w:b/>
                <w:bCs/>
                <w:kern w:val="0"/>
                <w:szCs w:val="21"/>
              </w:rPr>
            </w:pPr>
            <w:r>
              <w:rPr>
                <w:b/>
                <w:bCs/>
                <w:kern w:val="0"/>
                <w:szCs w:val="21"/>
              </w:rPr>
              <w:t>第五章</w:t>
            </w:r>
            <w:r>
              <w:rPr>
                <w:b/>
                <w:bCs/>
                <w:kern w:val="0"/>
                <w:szCs w:val="21"/>
              </w:rPr>
              <w:t xml:space="preserve">  </w:t>
            </w:r>
            <w:r>
              <w:rPr>
                <w:b/>
                <w:bCs/>
                <w:kern w:val="0"/>
                <w:szCs w:val="21"/>
              </w:rPr>
              <w:t>花卉的栽培管理</w:t>
            </w:r>
          </w:p>
        </w:tc>
        <w:tc>
          <w:tcPr>
            <w:tcW w:w="2966" w:type="dxa"/>
            <w:tcBorders>
              <w:top w:val="nil"/>
              <w:left w:val="nil"/>
              <w:bottom w:val="nil"/>
              <w:right w:val="nil"/>
            </w:tcBorders>
            <w:vAlign w:val="center"/>
          </w:tcPr>
          <w:p w14:paraId="7CA523B4"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4</w:t>
            </w:r>
          </w:p>
        </w:tc>
      </w:tr>
    </w:tbl>
    <w:p w14:paraId="4A55A90A" w14:textId="77777777" w:rsidR="00F5289E" w:rsidRDefault="00C91173">
      <w:pPr>
        <w:widowControl/>
        <w:snapToGrid w:val="0"/>
        <w:spacing w:line="360" w:lineRule="auto"/>
        <w:rPr>
          <w:kern w:val="0"/>
          <w:szCs w:val="21"/>
        </w:rPr>
      </w:pPr>
      <w:r>
        <w:rPr>
          <w:b/>
          <w:bCs/>
          <w:kern w:val="0"/>
          <w:szCs w:val="21"/>
        </w:rPr>
        <w:t>                                                </w:t>
      </w:r>
    </w:p>
    <w:p w14:paraId="5342B734" w14:textId="77777777" w:rsidR="00F5289E" w:rsidRDefault="00C91173">
      <w:pPr>
        <w:widowControl/>
        <w:snapToGrid w:val="0"/>
        <w:spacing w:line="360" w:lineRule="auto"/>
        <w:jc w:val="left"/>
        <w:rPr>
          <w:b/>
          <w:kern w:val="0"/>
          <w:szCs w:val="21"/>
        </w:rPr>
      </w:pPr>
      <w:r>
        <w:rPr>
          <w:b/>
          <w:bCs/>
        </w:rPr>
        <w:t>第一节</w:t>
      </w:r>
      <w:r>
        <w:rPr>
          <w:b/>
          <w:bCs/>
        </w:rPr>
        <w:t xml:space="preserve"> </w:t>
      </w:r>
      <w:r>
        <w:rPr>
          <w:b/>
          <w:bCs/>
          <w:shd w:val="clear" w:color="auto" w:fill="FFFFFF"/>
        </w:rPr>
        <w:t>露地及温室花卉的栽培管理措施</w:t>
      </w:r>
      <w:r>
        <w:rPr>
          <w:b/>
          <w:bCs/>
        </w:rPr>
        <w:t>（</w:t>
      </w:r>
      <w:r>
        <w:rPr>
          <w:b/>
          <w:kern w:val="0"/>
          <w:szCs w:val="21"/>
        </w:rPr>
        <w:t>2</w:t>
      </w:r>
      <w:r>
        <w:rPr>
          <w:b/>
          <w:kern w:val="0"/>
          <w:szCs w:val="21"/>
        </w:rPr>
        <w:t>学时</w:t>
      </w:r>
      <w:r>
        <w:rPr>
          <w:b/>
          <w:bCs/>
        </w:rPr>
        <w:t>）</w:t>
      </w:r>
    </w:p>
    <w:p w14:paraId="417B262C" w14:textId="77777777" w:rsidR="00F5289E" w:rsidRDefault="00C91173">
      <w:pPr>
        <w:spacing w:line="360" w:lineRule="auto"/>
        <w:rPr>
          <w:b/>
          <w:bCs/>
        </w:rPr>
      </w:pPr>
      <w:r>
        <w:rPr>
          <w:b/>
          <w:bCs/>
        </w:rPr>
        <w:t>教学目标：</w:t>
      </w:r>
    </w:p>
    <w:p w14:paraId="2C744F7C" w14:textId="77777777" w:rsidR="00F5289E" w:rsidRDefault="00C91173">
      <w:pPr>
        <w:spacing w:line="360" w:lineRule="auto"/>
        <w:rPr>
          <w:shd w:val="clear" w:color="auto" w:fill="FFFFFF"/>
        </w:rPr>
      </w:pPr>
      <w:r>
        <w:rPr>
          <w:shd w:val="clear" w:color="auto" w:fill="FFFFFF"/>
        </w:rPr>
        <w:t>通过本节课的讲授使学生掌握露地花卉栽培的基本技术和不同生态习性的露地花卉栽培的特点，使学生掌握温室花卉栽培的基本技术和不同生态习性的露地花卉栽培的特点，掌握常规的共性管理技术和特殊的技术管理环节</w:t>
      </w:r>
    </w:p>
    <w:p w14:paraId="051A184D" w14:textId="77777777" w:rsidR="00F5289E" w:rsidRDefault="00C91173">
      <w:pPr>
        <w:spacing w:line="360" w:lineRule="auto"/>
        <w:rPr>
          <w:b/>
          <w:bCs/>
        </w:rPr>
      </w:pPr>
      <w:r>
        <w:rPr>
          <w:b/>
          <w:bCs/>
        </w:rPr>
        <w:t>教学重点和难点：</w:t>
      </w:r>
    </w:p>
    <w:p w14:paraId="5522E3B0" w14:textId="77777777" w:rsidR="00F5289E" w:rsidRDefault="00C91173">
      <w:pPr>
        <w:spacing w:line="360" w:lineRule="auto"/>
        <w:rPr>
          <w:shd w:val="clear" w:color="auto" w:fill="FFFFFF"/>
        </w:rPr>
      </w:pPr>
      <w:r>
        <w:rPr>
          <w:shd w:val="clear" w:color="auto" w:fill="FFFFFF"/>
        </w:rPr>
        <w:t>1</w:t>
      </w:r>
      <w:r>
        <w:rPr>
          <w:shd w:val="clear" w:color="auto" w:fill="FFFFFF"/>
        </w:rPr>
        <w:t xml:space="preserve">　露地与温室花卉的播种和育苗</w:t>
      </w:r>
    </w:p>
    <w:p w14:paraId="3685CD1A" w14:textId="77777777" w:rsidR="00F5289E" w:rsidRDefault="00C91173">
      <w:pPr>
        <w:spacing w:line="360" w:lineRule="auto"/>
        <w:rPr>
          <w:shd w:val="clear" w:color="auto" w:fill="FFFFFF"/>
        </w:rPr>
      </w:pPr>
      <w:r>
        <w:rPr>
          <w:shd w:val="clear" w:color="auto" w:fill="FFFFFF"/>
        </w:rPr>
        <w:t>2</w:t>
      </w:r>
      <w:r>
        <w:rPr>
          <w:shd w:val="clear" w:color="auto" w:fill="FFFFFF"/>
        </w:rPr>
        <w:t xml:space="preserve">　露地与温室花卉的苗期管理和定植</w:t>
      </w:r>
    </w:p>
    <w:p w14:paraId="461A2314" w14:textId="77777777" w:rsidR="00F5289E" w:rsidRDefault="00C91173">
      <w:pPr>
        <w:spacing w:line="360" w:lineRule="auto"/>
        <w:rPr>
          <w:shd w:val="clear" w:color="auto" w:fill="FFFFFF"/>
        </w:rPr>
      </w:pPr>
      <w:r>
        <w:rPr>
          <w:shd w:val="clear" w:color="auto" w:fill="FFFFFF"/>
        </w:rPr>
        <w:lastRenderedPageBreak/>
        <w:t>3</w:t>
      </w:r>
      <w:r>
        <w:rPr>
          <w:shd w:val="clear" w:color="auto" w:fill="FFFFFF"/>
        </w:rPr>
        <w:t xml:space="preserve">　不同生态习性的花卉的栽培管理环节</w:t>
      </w:r>
    </w:p>
    <w:p w14:paraId="73C09ECA" w14:textId="77777777" w:rsidR="00F5289E" w:rsidRDefault="00C91173">
      <w:pPr>
        <w:spacing w:line="360" w:lineRule="auto"/>
        <w:rPr>
          <w:b/>
          <w:bCs/>
          <w:shd w:val="clear" w:color="auto" w:fill="FFFFFF"/>
        </w:rPr>
      </w:pPr>
      <w:r>
        <w:rPr>
          <w:b/>
          <w:bCs/>
          <w:shd w:val="clear" w:color="auto" w:fill="FFFFFF"/>
        </w:rPr>
        <w:t>主要教学内容及要求：</w:t>
      </w:r>
      <w:r>
        <w:rPr>
          <w:b/>
          <w:bCs/>
          <w:shd w:val="clear" w:color="auto" w:fill="FFFFFF"/>
        </w:rPr>
        <w:t xml:space="preserve"> </w:t>
      </w:r>
    </w:p>
    <w:p w14:paraId="3F989422" w14:textId="77777777" w:rsidR="00F5289E" w:rsidRDefault="00C91173">
      <w:pPr>
        <w:spacing w:line="360" w:lineRule="auto"/>
        <w:rPr>
          <w:shd w:val="clear" w:color="auto" w:fill="FFFFFF"/>
        </w:rPr>
      </w:pPr>
      <w:r>
        <w:rPr>
          <w:b/>
          <w:bCs/>
        </w:rPr>
        <w:t>熟练掌握</w:t>
      </w:r>
      <w:r>
        <w:t xml:space="preserve"> </w:t>
      </w:r>
      <w:r>
        <w:rPr>
          <w:shd w:val="clear" w:color="auto" w:fill="FFFFFF"/>
        </w:rPr>
        <w:t xml:space="preserve"> </w:t>
      </w:r>
      <w:r>
        <w:rPr>
          <w:shd w:val="clear" w:color="auto" w:fill="FFFFFF"/>
        </w:rPr>
        <w:t>露地花卉的栽培管理</w:t>
      </w:r>
      <w:r>
        <w:rPr>
          <w:shd w:val="clear" w:color="auto" w:fill="FFFFFF"/>
        </w:rPr>
        <w:t xml:space="preserve">     </w:t>
      </w:r>
    </w:p>
    <w:p w14:paraId="5B77B3CB" w14:textId="77777777" w:rsidR="00F5289E" w:rsidRDefault="00C91173">
      <w:pPr>
        <w:spacing w:line="360" w:lineRule="auto"/>
        <w:rPr>
          <w:shd w:val="clear" w:color="auto" w:fill="FFFFFF"/>
        </w:rPr>
      </w:pPr>
      <w:r>
        <w:rPr>
          <w:b/>
          <w:bCs/>
        </w:rPr>
        <w:t>熟练掌握</w:t>
      </w:r>
      <w:r>
        <w:t xml:space="preserve"> </w:t>
      </w:r>
      <w:r>
        <w:rPr>
          <w:shd w:val="clear" w:color="auto" w:fill="FFFFFF"/>
        </w:rPr>
        <w:t xml:space="preserve"> </w:t>
      </w:r>
      <w:r>
        <w:rPr>
          <w:shd w:val="clear" w:color="auto" w:fill="FFFFFF"/>
        </w:rPr>
        <w:t>温室花卉的栽培管理</w:t>
      </w:r>
      <w:r>
        <w:rPr>
          <w:shd w:val="clear" w:color="auto" w:fill="FFFFFF"/>
        </w:rPr>
        <w:t xml:space="preserve">  </w:t>
      </w:r>
      <w:r>
        <w:rPr>
          <w:shd w:val="clear" w:color="auto" w:fill="FFFFFF"/>
        </w:rPr>
        <w:t xml:space="preserve">　　</w:t>
      </w:r>
    </w:p>
    <w:p w14:paraId="1A394B9D" w14:textId="77777777" w:rsidR="00F5289E" w:rsidRDefault="00C91173">
      <w:pPr>
        <w:widowControl/>
        <w:spacing w:line="360" w:lineRule="auto"/>
        <w:jc w:val="left"/>
        <w:rPr>
          <w:b/>
          <w:bCs/>
        </w:rPr>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231689D9" w14:textId="77777777" w:rsidR="00F5289E" w:rsidRDefault="00F5289E">
      <w:pPr>
        <w:adjustRightInd w:val="0"/>
        <w:snapToGrid w:val="0"/>
        <w:spacing w:line="360" w:lineRule="auto"/>
        <w:rPr>
          <w:shd w:val="clear" w:color="auto" w:fill="FFFFFF"/>
        </w:rPr>
      </w:pPr>
    </w:p>
    <w:p w14:paraId="32B30C12" w14:textId="77777777" w:rsidR="00F5289E" w:rsidRDefault="00C91173">
      <w:pPr>
        <w:adjustRightInd w:val="0"/>
        <w:snapToGrid w:val="0"/>
        <w:spacing w:line="360" w:lineRule="auto"/>
        <w:rPr>
          <w:b/>
          <w:bCs/>
          <w:shd w:val="clear" w:color="auto" w:fill="FFFFFF"/>
        </w:rPr>
      </w:pPr>
      <w:r>
        <w:rPr>
          <w:b/>
          <w:bCs/>
          <w:shd w:val="clear" w:color="auto" w:fill="FFFFFF"/>
        </w:rPr>
        <w:t>第二节</w:t>
      </w:r>
      <w:r>
        <w:rPr>
          <w:b/>
          <w:bCs/>
          <w:shd w:val="clear" w:color="auto" w:fill="FFFFFF"/>
        </w:rPr>
        <w:t xml:space="preserve"> </w:t>
      </w:r>
      <w:r>
        <w:rPr>
          <w:b/>
          <w:bCs/>
          <w:shd w:val="clear" w:color="auto" w:fill="FFFFFF"/>
        </w:rPr>
        <w:t>无土栽培（</w:t>
      </w:r>
      <w:r>
        <w:rPr>
          <w:b/>
          <w:bCs/>
          <w:shd w:val="clear" w:color="auto" w:fill="FFFFFF"/>
        </w:rPr>
        <w:t>1</w:t>
      </w:r>
      <w:r>
        <w:rPr>
          <w:b/>
          <w:bCs/>
          <w:shd w:val="clear" w:color="auto" w:fill="FFFFFF"/>
        </w:rPr>
        <w:t>学时）</w:t>
      </w:r>
    </w:p>
    <w:p w14:paraId="19E2D7E6" w14:textId="77777777" w:rsidR="00F5289E" w:rsidRDefault="00C91173">
      <w:pPr>
        <w:spacing w:line="360" w:lineRule="auto"/>
        <w:rPr>
          <w:shd w:val="clear" w:color="auto" w:fill="FFFFFF"/>
        </w:rPr>
      </w:pPr>
      <w:r>
        <w:rPr>
          <w:b/>
          <w:bCs/>
          <w:shd w:val="clear" w:color="auto" w:fill="FFFFFF"/>
        </w:rPr>
        <w:t>教学目标</w:t>
      </w:r>
      <w:r>
        <w:rPr>
          <w:shd w:val="clear" w:color="auto" w:fill="FFFFFF"/>
        </w:rPr>
        <w:t>：</w:t>
      </w:r>
    </w:p>
    <w:p w14:paraId="2E813F5D" w14:textId="77777777" w:rsidR="00F5289E" w:rsidRDefault="00C91173">
      <w:pPr>
        <w:spacing w:line="360" w:lineRule="auto"/>
        <w:rPr>
          <w:shd w:val="clear" w:color="auto" w:fill="FFFFFF"/>
        </w:rPr>
      </w:pPr>
      <w:r>
        <w:rPr>
          <w:shd w:val="clear" w:color="auto" w:fill="FFFFFF"/>
        </w:rPr>
        <w:t>了解花卉无土栽培的基础理论知识和如何在花卉无土栽培生产中进行合理利用，掌握常规花卉无土栽培营养液配方和栽培技术。</w:t>
      </w:r>
    </w:p>
    <w:p w14:paraId="2F689E17" w14:textId="77777777" w:rsidR="00F5289E" w:rsidRDefault="00C91173">
      <w:pPr>
        <w:spacing w:line="360" w:lineRule="auto"/>
        <w:rPr>
          <w:b/>
          <w:bCs/>
          <w:shd w:val="clear" w:color="auto" w:fill="FFFFFF"/>
        </w:rPr>
      </w:pPr>
      <w:r>
        <w:rPr>
          <w:b/>
          <w:bCs/>
          <w:shd w:val="clear" w:color="auto" w:fill="FFFFFF"/>
        </w:rPr>
        <w:t>教学重点和难点：</w:t>
      </w:r>
    </w:p>
    <w:p w14:paraId="5B85A0E2" w14:textId="77777777" w:rsidR="00F5289E" w:rsidRDefault="00C91173">
      <w:pPr>
        <w:spacing w:line="360" w:lineRule="auto"/>
        <w:rPr>
          <w:shd w:val="clear" w:color="auto" w:fill="FFFFFF"/>
        </w:rPr>
      </w:pPr>
      <w:r>
        <w:rPr>
          <w:shd w:val="clear" w:color="auto" w:fill="FFFFFF"/>
        </w:rPr>
        <w:t>1</w:t>
      </w:r>
      <w:r>
        <w:rPr>
          <w:shd w:val="clear" w:color="auto" w:fill="FFFFFF"/>
        </w:rPr>
        <w:t xml:space="preserve">　无土栽培的理论基础</w:t>
      </w:r>
    </w:p>
    <w:p w14:paraId="3079F7B6" w14:textId="77777777" w:rsidR="00F5289E" w:rsidRDefault="00C91173">
      <w:pPr>
        <w:spacing w:line="360" w:lineRule="auto"/>
        <w:rPr>
          <w:shd w:val="clear" w:color="auto" w:fill="FFFFFF"/>
        </w:rPr>
      </w:pPr>
      <w:r>
        <w:rPr>
          <w:shd w:val="clear" w:color="auto" w:fill="FFFFFF"/>
        </w:rPr>
        <w:t>2</w:t>
      </w:r>
      <w:r>
        <w:rPr>
          <w:shd w:val="clear" w:color="auto" w:fill="FFFFFF"/>
        </w:rPr>
        <w:t xml:space="preserve">　无土栽培的方法和栽培设施</w:t>
      </w:r>
    </w:p>
    <w:p w14:paraId="5220D363" w14:textId="77777777" w:rsidR="00F5289E" w:rsidRDefault="00C91173">
      <w:pPr>
        <w:spacing w:line="360" w:lineRule="auto"/>
        <w:rPr>
          <w:shd w:val="clear" w:color="auto" w:fill="FFFFFF"/>
        </w:rPr>
      </w:pPr>
      <w:r>
        <w:rPr>
          <w:shd w:val="clear" w:color="auto" w:fill="FFFFFF"/>
        </w:rPr>
        <w:t>3</w:t>
      </w:r>
      <w:r>
        <w:rPr>
          <w:shd w:val="clear" w:color="auto" w:fill="FFFFFF"/>
        </w:rPr>
        <w:t xml:space="preserve">　不同种类花卉无土栽培的营养液配方的配制方法和原则</w:t>
      </w:r>
    </w:p>
    <w:p w14:paraId="505A67BD" w14:textId="77777777" w:rsidR="00F5289E" w:rsidRDefault="00C91173">
      <w:pPr>
        <w:spacing w:line="360" w:lineRule="auto"/>
        <w:rPr>
          <w:b/>
          <w:bCs/>
          <w:shd w:val="clear" w:color="auto" w:fill="FFFFFF"/>
        </w:rPr>
      </w:pPr>
      <w:r>
        <w:rPr>
          <w:b/>
          <w:bCs/>
          <w:shd w:val="clear" w:color="auto" w:fill="FFFFFF"/>
        </w:rPr>
        <w:t>主要教学内容及要求：</w:t>
      </w:r>
      <w:r>
        <w:rPr>
          <w:b/>
          <w:bCs/>
          <w:shd w:val="clear" w:color="auto" w:fill="FFFFFF"/>
        </w:rPr>
        <w:t xml:space="preserve"> </w:t>
      </w:r>
    </w:p>
    <w:p w14:paraId="374A9148" w14:textId="77777777" w:rsidR="00F5289E" w:rsidRDefault="00C91173">
      <w:pPr>
        <w:spacing w:line="360" w:lineRule="auto"/>
        <w:rPr>
          <w:shd w:val="clear" w:color="auto" w:fill="FFFFFF"/>
        </w:rPr>
      </w:pPr>
      <w:r>
        <w:rPr>
          <w:b/>
          <w:bCs/>
          <w:kern w:val="0"/>
          <w:szCs w:val="21"/>
        </w:rPr>
        <w:t>了解</w:t>
      </w:r>
      <w:r>
        <w:rPr>
          <w:shd w:val="clear" w:color="auto" w:fill="FFFFFF"/>
        </w:rPr>
        <w:t xml:space="preserve">　无土栽培的意义和优点　</w:t>
      </w:r>
    </w:p>
    <w:p w14:paraId="42B445E8" w14:textId="77777777" w:rsidR="00F5289E" w:rsidRDefault="00C91173">
      <w:pPr>
        <w:spacing w:line="360" w:lineRule="auto"/>
        <w:rPr>
          <w:shd w:val="clear" w:color="auto" w:fill="FFFFFF"/>
        </w:rPr>
      </w:pPr>
      <w:r>
        <w:rPr>
          <w:b/>
          <w:bCs/>
          <w:kern w:val="0"/>
          <w:szCs w:val="21"/>
        </w:rPr>
        <w:t>了解</w:t>
      </w:r>
      <w:r>
        <w:rPr>
          <w:shd w:val="clear" w:color="auto" w:fill="FFFFFF"/>
        </w:rPr>
        <w:t xml:space="preserve">　无土栽培的方法　　　　</w:t>
      </w:r>
    </w:p>
    <w:p w14:paraId="18EAAB74" w14:textId="77777777" w:rsidR="00F5289E" w:rsidRDefault="00C91173">
      <w:pPr>
        <w:spacing w:line="360" w:lineRule="auto"/>
        <w:rPr>
          <w:shd w:val="clear" w:color="auto" w:fill="FFFFFF"/>
        </w:rPr>
      </w:pPr>
      <w:r>
        <w:rPr>
          <w:b/>
          <w:bCs/>
          <w:kern w:val="0"/>
          <w:szCs w:val="21"/>
        </w:rPr>
        <w:t>掌握</w:t>
      </w:r>
      <w:r>
        <w:rPr>
          <w:shd w:val="clear" w:color="auto" w:fill="FFFFFF"/>
        </w:rPr>
        <w:t xml:space="preserve">　营养液的配制与管理　　</w:t>
      </w:r>
    </w:p>
    <w:p w14:paraId="7DC03044" w14:textId="77777777" w:rsidR="00F5289E" w:rsidRDefault="00C91173">
      <w:pPr>
        <w:spacing w:line="360" w:lineRule="auto"/>
        <w:rPr>
          <w:shd w:val="clear" w:color="auto" w:fill="FFFFFF"/>
        </w:rPr>
      </w:pPr>
      <w:r>
        <w:rPr>
          <w:b/>
          <w:bCs/>
          <w:kern w:val="0"/>
          <w:szCs w:val="21"/>
        </w:rPr>
        <w:t>理解</w:t>
      </w:r>
      <w:r>
        <w:rPr>
          <w:shd w:val="clear" w:color="auto" w:fill="FFFFFF"/>
        </w:rPr>
        <w:t xml:space="preserve">　基质的种类与配比　　　</w:t>
      </w:r>
    </w:p>
    <w:p w14:paraId="5108AA92" w14:textId="77777777" w:rsidR="00F5289E" w:rsidRDefault="00C91173">
      <w:pPr>
        <w:widowControl/>
        <w:spacing w:line="360" w:lineRule="auto"/>
        <w:jc w:val="left"/>
        <w:rPr>
          <w:b/>
          <w:bCs/>
        </w:rPr>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54848545" w14:textId="77777777" w:rsidR="00F5289E" w:rsidRDefault="00F5289E">
      <w:pPr>
        <w:adjustRightInd w:val="0"/>
        <w:snapToGrid w:val="0"/>
        <w:spacing w:line="360" w:lineRule="auto"/>
        <w:rPr>
          <w:b/>
          <w:bCs/>
          <w:shd w:val="clear" w:color="auto" w:fill="FFFFFF"/>
        </w:rPr>
      </w:pPr>
    </w:p>
    <w:p w14:paraId="7AF986EC" w14:textId="77777777" w:rsidR="00F5289E" w:rsidRDefault="00C91173">
      <w:pPr>
        <w:adjustRightInd w:val="0"/>
        <w:snapToGrid w:val="0"/>
        <w:spacing w:line="360" w:lineRule="auto"/>
        <w:rPr>
          <w:b/>
          <w:bCs/>
          <w:shd w:val="clear" w:color="auto" w:fill="FFFFFF"/>
        </w:rPr>
      </w:pPr>
      <w:r>
        <w:rPr>
          <w:b/>
          <w:bCs/>
          <w:shd w:val="clear" w:color="auto" w:fill="FFFFFF"/>
        </w:rPr>
        <w:t>第三节</w:t>
      </w:r>
      <w:r>
        <w:rPr>
          <w:b/>
          <w:bCs/>
          <w:shd w:val="clear" w:color="auto" w:fill="FFFFFF"/>
        </w:rPr>
        <w:t xml:space="preserve"> </w:t>
      </w:r>
      <w:r>
        <w:rPr>
          <w:b/>
          <w:bCs/>
          <w:shd w:val="clear" w:color="auto" w:fill="FFFFFF"/>
        </w:rPr>
        <w:t>花卉的花期调控（</w:t>
      </w:r>
      <w:r>
        <w:rPr>
          <w:b/>
          <w:bCs/>
          <w:shd w:val="clear" w:color="auto" w:fill="FFFFFF"/>
        </w:rPr>
        <w:t>1</w:t>
      </w:r>
      <w:r>
        <w:rPr>
          <w:b/>
          <w:bCs/>
          <w:shd w:val="clear" w:color="auto" w:fill="FFFFFF"/>
        </w:rPr>
        <w:t>学时）</w:t>
      </w:r>
    </w:p>
    <w:p w14:paraId="51BA0A4A" w14:textId="77777777" w:rsidR="00F5289E" w:rsidRDefault="00C91173">
      <w:pPr>
        <w:spacing w:line="360" w:lineRule="auto"/>
        <w:rPr>
          <w:shd w:val="clear" w:color="auto" w:fill="FFFFFF"/>
        </w:rPr>
      </w:pPr>
      <w:r>
        <w:rPr>
          <w:b/>
          <w:bCs/>
          <w:shd w:val="clear" w:color="auto" w:fill="FFFFFF"/>
        </w:rPr>
        <w:t>教学目的</w:t>
      </w:r>
      <w:r>
        <w:rPr>
          <w:shd w:val="clear" w:color="auto" w:fill="FFFFFF"/>
        </w:rPr>
        <w:t>：了解花卉花期调控的基础理论知识和开花调节的技术途径。</w:t>
      </w:r>
    </w:p>
    <w:p w14:paraId="69298AC7" w14:textId="77777777" w:rsidR="00F5289E" w:rsidRDefault="00C91173">
      <w:pPr>
        <w:spacing w:line="360" w:lineRule="auto"/>
        <w:rPr>
          <w:shd w:val="clear" w:color="auto" w:fill="FFFFFF"/>
        </w:rPr>
      </w:pPr>
      <w:r>
        <w:rPr>
          <w:b/>
          <w:bCs/>
          <w:shd w:val="clear" w:color="auto" w:fill="FFFFFF"/>
        </w:rPr>
        <w:t>教学重点和难点</w:t>
      </w:r>
      <w:r>
        <w:rPr>
          <w:shd w:val="clear" w:color="auto" w:fill="FFFFFF"/>
        </w:rPr>
        <w:t>：</w:t>
      </w:r>
    </w:p>
    <w:p w14:paraId="79BDE296" w14:textId="77777777" w:rsidR="00F5289E" w:rsidRDefault="00C91173">
      <w:pPr>
        <w:spacing w:line="360" w:lineRule="auto"/>
        <w:rPr>
          <w:shd w:val="clear" w:color="auto" w:fill="FFFFFF"/>
        </w:rPr>
      </w:pPr>
      <w:r>
        <w:rPr>
          <w:shd w:val="clear" w:color="auto" w:fill="FFFFFF"/>
        </w:rPr>
        <w:t>1.</w:t>
      </w:r>
      <w:r>
        <w:rPr>
          <w:shd w:val="clear" w:color="auto" w:fill="FFFFFF"/>
        </w:rPr>
        <w:t>确定开花调节的技术依据</w:t>
      </w:r>
    </w:p>
    <w:p w14:paraId="04AA7CB9" w14:textId="77777777" w:rsidR="00F5289E" w:rsidRDefault="00C91173">
      <w:pPr>
        <w:spacing w:line="360" w:lineRule="auto"/>
        <w:rPr>
          <w:shd w:val="clear" w:color="auto" w:fill="FFFFFF"/>
        </w:rPr>
      </w:pPr>
      <w:r>
        <w:rPr>
          <w:shd w:val="clear" w:color="auto" w:fill="FFFFFF"/>
        </w:rPr>
        <w:t>2.</w:t>
      </w:r>
      <w:r>
        <w:rPr>
          <w:shd w:val="clear" w:color="auto" w:fill="FFFFFF"/>
        </w:rPr>
        <w:t>开花调节的技术途径</w:t>
      </w:r>
    </w:p>
    <w:p w14:paraId="1B7F6BCC" w14:textId="77777777" w:rsidR="00F5289E" w:rsidRDefault="00C91173">
      <w:pPr>
        <w:spacing w:line="360" w:lineRule="auto"/>
        <w:rPr>
          <w:b/>
          <w:bCs/>
          <w:shd w:val="clear" w:color="auto" w:fill="FFFFFF"/>
        </w:rPr>
      </w:pPr>
      <w:r>
        <w:rPr>
          <w:b/>
          <w:bCs/>
          <w:shd w:val="clear" w:color="auto" w:fill="FFFFFF"/>
        </w:rPr>
        <w:lastRenderedPageBreak/>
        <w:t>主要教学内容及要求：</w:t>
      </w:r>
    </w:p>
    <w:p w14:paraId="0257397F" w14:textId="77777777" w:rsidR="00F5289E" w:rsidRDefault="00C91173">
      <w:pPr>
        <w:spacing w:line="360" w:lineRule="auto"/>
        <w:rPr>
          <w:bCs/>
        </w:rPr>
      </w:pPr>
      <w:r>
        <w:rPr>
          <w:b/>
          <w:bCs/>
          <w:kern w:val="0"/>
          <w:szCs w:val="21"/>
        </w:rPr>
        <w:t>了解</w:t>
      </w:r>
      <w:r>
        <w:rPr>
          <w:b/>
          <w:bCs/>
          <w:kern w:val="0"/>
          <w:szCs w:val="21"/>
        </w:rPr>
        <w:t xml:space="preserve"> </w:t>
      </w:r>
      <w:r>
        <w:rPr>
          <w:bCs/>
        </w:rPr>
        <w:t>开花调节的意义</w:t>
      </w:r>
      <w:r>
        <w:rPr>
          <w:bCs/>
        </w:rPr>
        <w:t xml:space="preserve">         </w:t>
      </w:r>
    </w:p>
    <w:p w14:paraId="67455C14" w14:textId="77777777" w:rsidR="00F5289E" w:rsidRDefault="00C91173">
      <w:pPr>
        <w:spacing w:line="360" w:lineRule="auto"/>
        <w:rPr>
          <w:bCs/>
        </w:rPr>
      </w:pPr>
      <w:r>
        <w:rPr>
          <w:b/>
          <w:bCs/>
          <w:kern w:val="0"/>
          <w:szCs w:val="21"/>
        </w:rPr>
        <w:t>掌握</w:t>
      </w:r>
      <w:r>
        <w:rPr>
          <w:b/>
          <w:bCs/>
          <w:kern w:val="0"/>
          <w:szCs w:val="21"/>
        </w:rPr>
        <w:t xml:space="preserve"> </w:t>
      </w:r>
      <w:r>
        <w:rPr>
          <w:bCs/>
        </w:rPr>
        <w:t>确定开花调节的技术依据</w:t>
      </w:r>
      <w:r>
        <w:rPr>
          <w:bCs/>
        </w:rPr>
        <w:t xml:space="preserve">  </w:t>
      </w:r>
    </w:p>
    <w:p w14:paraId="6AEA6C24" w14:textId="77777777" w:rsidR="00F5289E" w:rsidRDefault="00C91173">
      <w:pPr>
        <w:spacing w:line="360" w:lineRule="auto"/>
        <w:rPr>
          <w:bCs/>
          <w:kern w:val="0"/>
          <w:szCs w:val="21"/>
        </w:rPr>
      </w:pPr>
      <w:r>
        <w:rPr>
          <w:b/>
          <w:bCs/>
        </w:rPr>
        <w:t>熟练掌握</w:t>
      </w:r>
      <w:r>
        <w:rPr>
          <w:b/>
          <w:bCs/>
        </w:rPr>
        <w:t xml:space="preserve"> </w:t>
      </w:r>
      <w:r>
        <w:rPr>
          <w:bCs/>
        </w:rPr>
        <w:t>开花调节的技术途径</w:t>
      </w:r>
      <w:r>
        <w:rPr>
          <w:bCs/>
        </w:rPr>
        <w:t xml:space="preserve">     </w:t>
      </w:r>
    </w:p>
    <w:p w14:paraId="3E43A21B" w14:textId="77777777" w:rsidR="00F5289E" w:rsidRDefault="00C91173">
      <w:pPr>
        <w:widowControl/>
        <w:spacing w:line="360" w:lineRule="auto"/>
        <w:jc w:val="left"/>
      </w:pPr>
      <w:r>
        <w:rPr>
          <w:b/>
          <w:bCs/>
        </w:rPr>
        <w:t>教学组织与实施：</w:t>
      </w:r>
      <w: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w:t>
      </w:r>
    </w:p>
    <w:p w14:paraId="43AEB78E" w14:textId="77777777" w:rsidR="00F5289E" w:rsidRDefault="00F5289E">
      <w:pPr>
        <w:widowControl/>
        <w:spacing w:line="360" w:lineRule="auto"/>
        <w:jc w:val="left"/>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CFFB35F" w14:textId="77777777">
        <w:trPr>
          <w:trHeight w:val="270"/>
        </w:trPr>
        <w:tc>
          <w:tcPr>
            <w:tcW w:w="2965" w:type="dxa"/>
            <w:tcBorders>
              <w:top w:val="nil"/>
              <w:left w:val="nil"/>
              <w:bottom w:val="nil"/>
              <w:right w:val="nil"/>
            </w:tcBorders>
            <w:vAlign w:val="center"/>
          </w:tcPr>
          <w:p w14:paraId="20C4A2F2"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32ABE805" w14:textId="77777777" w:rsidR="00F5289E" w:rsidRDefault="00C91173">
            <w:pPr>
              <w:widowControl/>
              <w:snapToGrid w:val="0"/>
              <w:spacing w:line="360" w:lineRule="auto"/>
              <w:jc w:val="center"/>
              <w:rPr>
                <w:b/>
                <w:bCs/>
                <w:kern w:val="0"/>
                <w:szCs w:val="21"/>
              </w:rPr>
            </w:pPr>
            <w:r>
              <w:rPr>
                <w:b/>
                <w:bCs/>
                <w:kern w:val="0"/>
                <w:szCs w:val="21"/>
              </w:rPr>
              <w:t>第六章</w:t>
            </w:r>
            <w:r>
              <w:rPr>
                <w:b/>
                <w:bCs/>
                <w:kern w:val="0"/>
                <w:szCs w:val="21"/>
              </w:rPr>
              <w:t xml:space="preserve">  </w:t>
            </w:r>
            <w:r>
              <w:rPr>
                <w:b/>
                <w:bCs/>
                <w:kern w:val="0"/>
                <w:szCs w:val="21"/>
              </w:rPr>
              <w:t>花卉的应用</w:t>
            </w:r>
          </w:p>
        </w:tc>
        <w:tc>
          <w:tcPr>
            <w:tcW w:w="2966" w:type="dxa"/>
            <w:tcBorders>
              <w:top w:val="nil"/>
              <w:left w:val="nil"/>
              <w:bottom w:val="nil"/>
              <w:right w:val="nil"/>
            </w:tcBorders>
            <w:vAlign w:val="center"/>
          </w:tcPr>
          <w:p w14:paraId="07F0D3F3"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38910FCA" w14:textId="77777777" w:rsidR="00F5289E" w:rsidRDefault="00C91173">
      <w:pPr>
        <w:spacing w:line="360" w:lineRule="auto"/>
        <w:rPr>
          <w:kern w:val="0"/>
          <w:szCs w:val="21"/>
        </w:rPr>
      </w:pPr>
      <w:r>
        <w:rPr>
          <w:b/>
          <w:bCs/>
        </w:rPr>
        <w:t>教学目标：</w:t>
      </w:r>
    </w:p>
    <w:p w14:paraId="30178EC7" w14:textId="77777777" w:rsidR="00F5289E" w:rsidRDefault="00C91173">
      <w:pPr>
        <w:spacing w:line="360" w:lineRule="auto"/>
        <w:rPr>
          <w:bCs/>
        </w:rPr>
      </w:pPr>
      <w:r>
        <w:rPr>
          <w:bCs/>
        </w:rPr>
        <w:t>通过学习使学生了解花卉的主要应用方式和方法，掌握不同的园林用途花卉的具体栽培措施和生产技术，并能用以前学到的知识做好各个环节的管理工作。</w:t>
      </w:r>
    </w:p>
    <w:p w14:paraId="12CD2C55" w14:textId="77777777" w:rsidR="00F5289E" w:rsidRDefault="00C91173">
      <w:pPr>
        <w:spacing w:line="360" w:lineRule="auto"/>
        <w:rPr>
          <w:bCs/>
        </w:rPr>
      </w:pPr>
      <w:r>
        <w:rPr>
          <w:b/>
        </w:rPr>
        <w:t>教学重点和难点</w:t>
      </w:r>
      <w:r>
        <w:rPr>
          <w:bCs/>
        </w:rPr>
        <w:t>：</w:t>
      </w:r>
      <w:r>
        <w:rPr>
          <w:bCs/>
        </w:rPr>
        <w:t xml:space="preserve"> </w:t>
      </w:r>
    </w:p>
    <w:p w14:paraId="642A69A8" w14:textId="77777777" w:rsidR="00F5289E" w:rsidRDefault="00C91173">
      <w:pPr>
        <w:spacing w:line="360" w:lineRule="auto"/>
        <w:rPr>
          <w:bCs/>
        </w:rPr>
      </w:pPr>
      <w:r>
        <w:rPr>
          <w:bCs/>
        </w:rPr>
        <w:t>不同园林景观中花卉的综合运用</w:t>
      </w:r>
    </w:p>
    <w:p w14:paraId="4A243563" w14:textId="77777777" w:rsidR="00F5289E" w:rsidRDefault="00C91173">
      <w:pPr>
        <w:spacing w:line="360" w:lineRule="auto"/>
        <w:rPr>
          <w:bCs/>
        </w:rPr>
      </w:pPr>
      <w:r>
        <w:rPr>
          <w:b/>
          <w:bCs/>
          <w:shd w:val="clear" w:color="auto" w:fill="FFFFFF"/>
        </w:rPr>
        <w:t>主要教学内容及要求：</w:t>
      </w:r>
    </w:p>
    <w:p w14:paraId="6A20EB42" w14:textId="77777777" w:rsidR="00F5289E" w:rsidRDefault="00C91173">
      <w:pPr>
        <w:spacing w:line="360" w:lineRule="auto"/>
        <w:rPr>
          <w:bCs/>
        </w:rPr>
      </w:pPr>
      <w:r>
        <w:rPr>
          <w:b/>
          <w:bCs/>
          <w:kern w:val="0"/>
          <w:szCs w:val="21"/>
        </w:rPr>
        <w:t>了解</w:t>
      </w:r>
      <w:r>
        <w:rPr>
          <w:bCs/>
        </w:rPr>
        <w:t xml:space="preserve"> </w:t>
      </w:r>
      <w:r>
        <w:rPr>
          <w:bCs/>
        </w:rPr>
        <w:t xml:space="preserve">各种花卉应用的方式与方法　　　</w:t>
      </w:r>
    </w:p>
    <w:p w14:paraId="0BEE2A15" w14:textId="77777777" w:rsidR="00F5289E" w:rsidRDefault="00C91173">
      <w:pPr>
        <w:spacing w:line="360" w:lineRule="auto"/>
        <w:rPr>
          <w:bCs/>
        </w:rPr>
      </w:pPr>
      <w:r>
        <w:rPr>
          <w:b/>
          <w:bCs/>
          <w:kern w:val="0"/>
          <w:szCs w:val="21"/>
        </w:rPr>
        <w:t>掌握</w:t>
      </w:r>
      <w:r>
        <w:rPr>
          <w:bCs/>
        </w:rPr>
        <w:t xml:space="preserve"> </w:t>
      </w:r>
      <w:r>
        <w:rPr>
          <w:bCs/>
        </w:rPr>
        <w:t xml:space="preserve">花卉在园林应用中的养护　　　　</w:t>
      </w:r>
    </w:p>
    <w:p w14:paraId="4AD118B5" w14:textId="77777777" w:rsidR="00F5289E" w:rsidRDefault="00C91173">
      <w:pPr>
        <w:spacing w:line="360" w:lineRule="auto"/>
        <w:rPr>
          <w:bCs/>
        </w:rPr>
      </w:pPr>
      <w:r>
        <w:rPr>
          <w:b/>
          <w:bCs/>
          <w:kern w:val="0"/>
          <w:szCs w:val="21"/>
        </w:rPr>
        <w:t>掌握</w:t>
      </w:r>
      <w:r>
        <w:rPr>
          <w:bCs/>
        </w:rPr>
        <w:t xml:space="preserve"> </w:t>
      </w:r>
      <w:r>
        <w:rPr>
          <w:bCs/>
        </w:rPr>
        <w:t xml:space="preserve">花卉装饰材料与应用　　　　　　</w:t>
      </w:r>
    </w:p>
    <w:p w14:paraId="52ADB09E" w14:textId="77777777" w:rsidR="00F5289E" w:rsidRDefault="00C91173">
      <w:pPr>
        <w:spacing w:line="360" w:lineRule="auto"/>
        <w:rPr>
          <w:bCs/>
        </w:rPr>
      </w:pPr>
      <w:r>
        <w:rPr>
          <w:b/>
          <w:bCs/>
          <w:kern w:val="0"/>
          <w:szCs w:val="21"/>
        </w:rPr>
        <w:t>掌握</w:t>
      </w:r>
      <w:r>
        <w:rPr>
          <w:bCs/>
        </w:rPr>
        <w:t xml:space="preserve"> </w:t>
      </w:r>
      <w:r>
        <w:rPr>
          <w:bCs/>
        </w:rPr>
        <w:t xml:space="preserve">花卉装饰的设计　　　</w:t>
      </w:r>
      <w:r>
        <w:rPr>
          <w:bCs/>
        </w:rPr>
        <w:t xml:space="preserve">         </w:t>
      </w:r>
    </w:p>
    <w:p w14:paraId="6C5D8792" w14:textId="77777777" w:rsidR="00F5289E" w:rsidRDefault="00C91173">
      <w:pPr>
        <w:widowControl/>
        <w:snapToGrid w:val="0"/>
        <w:spacing w:line="360" w:lineRule="auto"/>
        <w:rPr>
          <w:b/>
          <w:bCs/>
          <w:kern w:val="0"/>
          <w:szCs w:val="21"/>
        </w:rPr>
      </w:pPr>
      <w:r>
        <w:rPr>
          <w:b/>
          <w:bCs/>
        </w:rPr>
        <w:t>教学组织与实施：</w:t>
      </w:r>
      <w:r>
        <w:t>本章作为一般性的基础知识，要求学生进行课前预习，课堂讲授完成；对知识点采用启发式的教学方法讲授，并介绍相关的课外知识及学科进展。</w:t>
      </w:r>
    </w:p>
    <w:p w14:paraId="5B26D4A3" w14:textId="77777777" w:rsidR="00F5289E" w:rsidRDefault="00C91173">
      <w:pPr>
        <w:widowControl/>
        <w:adjustRightInd w:val="0"/>
        <w:snapToGrid w:val="0"/>
        <w:spacing w:beforeLines="50" w:before="156" w:line="360" w:lineRule="auto"/>
        <w:jc w:val="left"/>
        <w:rPr>
          <w:bCs/>
          <w:kern w:val="0"/>
          <w:szCs w:val="21"/>
        </w:rPr>
      </w:pPr>
      <w:r>
        <w:rPr>
          <w:b/>
          <w:bCs/>
          <w:kern w:val="0"/>
          <w:szCs w:val="21"/>
        </w:rPr>
        <w:t>五、实验教学内容及学时分配（</w:t>
      </w:r>
      <w:r>
        <w:rPr>
          <w:b/>
          <w:bCs/>
          <w:kern w:val="0"/>
          <w:szCs w:val="21"/>
        </w:rPr>
        <w:t>8</w:t>
      </w:r>
      <w:r>
        <w:rPr>
          <w:b/>
          <w:bCs/>
          <w:kern w:val="0"/>
          <w:szCs w:val="21"/>
        </w:rPr>
        <w:t>学时）</w:t>
      </w:r>
    </w:p>
    <w:p w14:paraId="7BB860EE" w14:textId="77777777" w:rsidR="00F5289E" w:rsidRDefault="00C91173">
      <w:pPr>
        <w:snapToGrid w:val="0"/>
        <w:spacing w:line="360" w:lineRule="auto"/>
        <w:rPr>
          <w:b/>
          <w:bCs/>
          <w:szCs w:val="21"/>
        </w:rPr>
      </w:pPr>
      <w:r>
        <w:rPr>
          <w:b/>
          <w:szCs w:val="21"/>
        </w:rPr>
        <w:t>（一）</w:t>
      </w:r>
      <w:r>
        <w:rPr>
          <w:b/>
          <w:bCs/>
          <w:szCs w:val="21"/>
        </w:rPr>
        <w:t>实验课程简介</w:t>
      </w:r>
    </w:p>
    <w:p w14:paraId="6B6B83FE" w14:textId="77777777" w:rsidR="00F5289E" w:rsidRDefault="00C91173">
      <w:pPr>
        <w:snapToGrid w:val="0"/>
        <w:spacing w:line="360" w:lineRule="auto"/>
        <w:ind w:firstLineChars="200" w:firstLine="420"/>
        <w:rPr>
          <w:bCs/>
          <w:szCs w:val="21"/>
        </w:rPr>
      </w:pPr>
      <w:r>
        <w:rPr>
          <w:kern w:val="0"/>
          <w:szCs w:val="21"/>
        </w:rPr>
        <w:t>设施花卉栽培学是设施农业科学与工程专业的专业课和主干课。是研究花卉的分类、生物学特性、繁殖方法、栽培技术、经营管理与应用的科学，其综合性很强</w:t>
      </w:r>
      <w:r>
        <w:rPr>
          <w:shd w:val="clear" w:color="auto" w:fill="FFFFFF"/>
        </w:rPr>
        <w:t>。实验教学是观赏植物学课程的重要教学环节。通过实验教学，掌握观赏植物的形态术语、识别特征，识别常见观赏植物、了解常见观赏植物的习性和功能、掌握观赏植物的配植和栽植，对于花卉资源的拓展、开发利用，实现花卉资源的永续利用具有重要的意义</w:t>
      </w:r>
    </w:p>
    <w:p w14:paraId="16B39918" w14:textId="77777777" w:rsidR="00F5289E" w:rsidRDefault="00C91173">
      <w:pPr>
        <w:snapToGrid w:val="0"/>
        <w:spacing w:line="360" w:lineRule="auto"/>
        <w:rPr>
          <w:b/>
          <w:bCs/>
          <w:szCs w:val="21"/>
        </w:rPr>
      </w:pPr>
      <w:r>
        <w:rPr>
          <w:b/>
          <w:bCs/>
          <w:szCs w:val="21"/>
        </w:rPr>
        <w:t>（二）实验教学目的和基本要求</w:t>
      </w:r>
    </w:p>
    <w:p w14:paraId="0304DDE7" w14:textId="77777777" w:rsidR="00F5289E" w:rsidRDefault="00C91173">
      <w:pPr>
        <w:snapToGrid w:val="0"/>
        <w:spacing w:line="360" w:lineRule="auto"/>
        <w:ind w:firstLineChars="200" w:firstLine="420"/>
        <w:rPr>
          <w:shd w:val="clear" w:color="auto" w:fill="FFFFFF"/>
        </w:rPr>
      </w:pPr>
      <w:r>
        <w:rPr>
          <w:shd w:val="clear" w:color="auto" w:fill="FFFFFF"/>
        </w:rPr>
        <w:t>学习观赏花卉的植物形态分类学基础知识和在生产实践中应用方法；了解园林植物的分布、生态习性和对环境的改善和保护功能；掌握观赏植物的园林特性及在园林中的应用。</w:t>
      </w:r>
    </w:p>
    <w:p w14:paraId="6CC19286" w14:textId="77777777" w:rsidR="00F5289E" w:rsidRDefault="00C91173">
      <w:pPr>
        <w:snapToGrid w:val="0"/>
        <w:spacing w:line="360" w:lineRule="auto"/>
        <w:ind w:firstLineChars="200" w:firstLine="420"/>
        <w:rPr>
          <w:shd w:val="clear" w:color="auto" w:fill="FFFFFF"/>
        </w:rPr>
      </w:pPr>
      <w:r>
        <w:rPr>
          <w:shd w:val="clear" w:color="auto" w:fill="FFFFFF"/>
        </w:rPr>
        <w:lastRenderedPageBreak/>
        <w:t>能够识别</w:t>
      </w:r>
      <w:r>
        <w:rPr>
          <w:shd w:val="clear" w:color="auto" w:fill="FFFFFF"/>
        </w:rPr>
        <w:t>150</w:t>
      </w:r>
      <w:r>
        <w:rPr>
          <w:shd w:val="clear" w:color="auto" w:fill="FFFFFF"/>
        </w:rPr>
        <w:t>种以上生产及花卉市场常见的园林植物；掌握</w:t>
      </w:r>
      <w:r>
        <w:rPr>
          <w:shd w:val="clear" w:color="auto" w:fill="FFFFFF"/>
        </w:rPr>
        <w:t>60</w:t>
      </w:r>
      <w:r>
        <w:rPr>
          <w:shd w:val="clear" w:color="auto" w:fill="FFFFFF"/>
        </w:rPr>
        <w:t>种以上常见观赏植物的识别要点、生态习性、观赏特性、栽培技术等；培养学生运用工具书正确鉴定观赏植物。</w:t>
      </w:r>
    </w:p>
    <w:p w14:paraId="591F13F2" w14:textId="77777777" w:rsidR="00F5289E" w:rsidRDefault="00C91173">
      <w:pPr>
        <w:snapToGrid w:val="0"/>
        <w:spacing w:line="360" w:lineRule="auto"/>
        <w:rPr>
          <w:b/>
        </w:rPr>
      </w:pPr>
      <w:r>
        <w:rPr>
          <w:b/>
        </w:rPr>
        <w:t>（三）实验安全操作规范</w:t>
      </w:r>
    </w:p>
    <w:p w14:paraId="184CFFA9" w14:textId="77777777" w:rsidR="00F5289E" w:rsidRDefault="00C91173">
      <w:pPr>
        <w:snapToGrid w:val="0"/>
        <w:spacing w:line="360" w:lineRule="auto"/>
        <w:ind w:firstLineChars="200" w:firstLine="420"/>
      </w:pPr>
      <w:r>
        <w:rPr>
          <w:rFonts w:hint="eastAsia"/>
        </w:rPr>
        <w:t>本实验在于给学生有关识别，繁殖，栽培花卉的结构以及花卉在实际中的应用等内容。同时培养学生科学研究态度及独立工作能力，为今后学习与工作打好基础。为此，在实验过程中必须严格遵守以下注意事项：</w:t>
      </w:r>
    </w:p>
    <w:p w14:paraId="5CF8BA94" w14:textId="77777777" w:rsidR="00F5289E" w:rsidRDefault="00C91173">
      <w:pPr>
        <w:snapToGrid w:val="0"/>
        <w:spacing w:line="360" w:lineRule="auto"/>
        <w:ind w:firstLineChars="200" w:firstLine="420"/>
      </w:pPr>
      <w:r>
        <w:rPr>
          <w:rFonts w:hint="eastAsia"/>
        </w:rPr>
        <w:t>（一）实验前必须结合课堂讲授的有关部分，认真预习指定的实验内容，并将实验内容步骤事先记录笔记本内，使实验能顺利进行。</w:t>
      </w:r>
    </w:p>
    <w:p w14:paraId="4D1AA4D8" w14:textId="77777777" w:rsidR="00F5289E" w:rsidRDefault="00C91173">
      <w:pPr>
        <w:snapToGrid w:val="0"/>
        <w:spacing w:line="360" w:lineRule="auto"/>
        <w:ind w:firstLineChars="200" w:firstLine="420"/>
      </w:pPr>
      <w:r>
        <w:rPr>
          <w:rFonts w:hint="eastAsia"/>
        </w:rPr>
        <w:t>（二）实验室除用心听取指导老师讲解外，在实验过程中必须仔细认真和多动脑筋，实事求是的观察和分析问题，培养科学的研究态度。</w:t>
      </w:r>
    </w:p>
    <w:p w14:paraId="1232CD96" w14:textId="77777777" w:rsidR="00F5289E" w:rsidRDefault="00C91173">
      <w:pPr>
        <w:snapToGrid w:val="0"/>
        <w:spacing w:line="360" w:lineRule="auto"/>
        <w:ind w:firstLineChars="200" w:firstLine="420"/>
      </w:pPr>
      <w:r>
        <w:rPr>
          <w:rFonts w:hint="eastAsia"/>
        </w:rPr>
        <w:t>（三）保持实验室的整齐、清洁，不得随地吐痰或乱扔废物，实验结束后将所有仪器用品洗净并安放整齐。以养成科学的工作态度，值日生应负责扫地、抹桌等清洁工作。</w:t>
      </w:r>
    </w:p>
    <w:p w14:paraId="4205A22C" w14:textId="77777777" w:rsidR="00F5289E" w:rsidRDefault="00C91173">
      <w:pPr>
        <w:snapToGrid w:val="0"/>
        <w:spacing w:line="360" w:lineRule="auto"/>
        <w:ind w:firstLineChars="200" w:firstLine="420"/>
      </w:pPr>
      <w:r>
        <w:rPr>
          <w:rFonts w:hint="eastAsia"/>
        </w:rPr>
        <w:t>（四）爱护公物，节约药品及实验材料，按量取用，公用器材不得任意移动，如有损坏，立即报告指导教师，并填写仪器损失单。</w:t>
      </w:r>
    </w:p>
    <w:p w14:paraId="6D2B520A" w14:textId="77777777" w:rsidR="00F5289E" w:rsidRDefault="00C91173">
      <w:pPr>
        <w:snapToGrid w:val="0"/>
        <w:spacing w:line="360" w:lineRule="auto"/>
        <w:ind w:firstLineChars="200" w:firstLine="420"/>
      </w:pPr>
      <w:r>
        <w:rPr>
          <w:rFonts w:hint="eastAsia"/>
        </w:rPr>
        <w:t>（五）实验室必须保持肃静，不得任意走动或高声谈笑。</w:t>
      </w:r>
    </w:p>
    <w:p w14:paraId="31F74497" w14:textId="77777777" w:rsidR="00F5289E" w:rsidRDefault="00C91173">
      <w:pPr>
        <w:snapToGrid w:val="0"/>
        <w:spacing w:line="360" w:lineRule="auto"/>
        <w:ind w:firstLineChars="200" w:firstLine="420"/>
      </w:pPr>
      <w:r>
        <w:rPr>
          <w:rFonts w:hint="eastAsia"/>
        </w:rPr>
        <w:t>（六）实验结果需写成报告，实验报告，务必实事求是，根据自己实验的所得结果，简单扼要书写实验报告书。</w:t>
      </w:r>
    </w:p>
    <w:p w14:paraId="760F318A" w14:textId="77777777" w:rsidR="00F5289E" w:rsidRDefault="00C91173">
      <w:pPr>
        <w:snapToGrid w:val="0"/>
        <w:spacing w:line="360" w:lineRule="auto"/>
        <w:rPr>
          <w:b/>
          <w:bCs/>
          <w:szCs w:val="21"/>
        </w:rPr>
      </w:pPr>
      <w:r>
        <w:rPr>
          <w:b/>
          <w:bCs/>
          <w:szCs w:val="21"/>
        </w:rPr>
        <w:t>（四）实验项目名称与学时分配</w:t>
      </w:r>
    </w:p>
    <w:tbl>
      <w:tblPr>
        <w:tblStyle w:val="af6"/>
        <w:tblW w:w="0" w:type="auto"/>
        <w:jc w:val="center"/>
        <w:tblLook w:val="04A0" w:firstRow="1" w:lastRow="0" w:firstColumn="1" w:lastColumn="0" w:noHBand="0" w:noVBand="1"/>
      </w:tblPr>
      <w:tblGrid>
        <w:gridCol w:w="1365"/>
        <w:gridCol w:w="2907"/>
        <w:gridCol w:w="876"/>
        <w:gridCol w:w="1068"/>
        <w:gridCol w:w="1406"/>
        <w:gridCol w:w="1268"/>
      </w:tblGrid>
      <w:tr w:rsidR="00F5289E" w14:paraId="3E89FB4F" w14:textId="77777777">
        <w:trPr>
          <w:jc w:val="center"/>
        </w:trPr>
        <w:tc>
          <w:tcPr>
            <w:tcW w:w="904" w:type="dxa"/>
            <w:shd w:val="clear" w:color="auto" w:fill="EEECE1" w:themeFill="background2"/>
            <w:vAlign w:val="center"/>
          </w:tcPr>
          <w:p w14:paraId="3FEC6F6C" w14:textId="77777777" w:rsidR="00F5289E" w:rsidRDefault="00C91173">
            <w:pPr>
              <w:jc w:val="center"/>
              <w:rPr>
                <w:b/>
                <w:bCs/>
                <w:sz w:val="18"/>
                <w:szCs w:val="18"/>
              </w:rPr>
            </w:pPr>
            <w:r>
              <w:rPr>
                <w:b/>
                <w:bCs/>
                <w:sz w:val="18"/>
                <w:szCs w:val="18"/>
              </w:rPr>
              <w:t>序号</w:t>
            </w:r>
          </w:p>
        </w:tc>
        <w:tc>
          <w:tcPr>
            <w:tcW w:w="3109" w:type="dxa"/>
            <w:shd w:val="clear" w:color="auto" w:fill="EEECE1" w:themeFill="background2"/>
            <w:vAlign w:val="center"/>
          </w:tcPr>
          <w:p w14:paraId="6C7B5879" w14:textId="77777777" w:rsidR="00F5289E" w:rsidRDefault="00C91173">
            <w:pPr>
              <w:jc w:val="center"/>
              <w:rPr>
                <w:b/>
                <w:bCs/>
                <w:sz w:val="18"/>
                <w:szCs w:val="18"/>
              </w:rPr>
            </w:pPr>
            <w:r>
              <w:rPr>
                <w:b/>
                <w:bCs/>
                <w:sz w:val="18"/>
                <w:szCs w:val="18"/>
              </w:rPr>
              <w:t>实验名称</w:t>
            </w:r>
          </w:p>
        </w:tc>
        <w:tc>
          <w:tcPr>
            <w:tcW w:w="915" w:type="dxa"/>
            <w:shd w:val="clear" w:color="auto" w:fill="EEECE1" w:themeFill="background2"/>
            <w:vAlign w:val="center"/>
          </w:tcPr>
          <w:p w14:paraId="52FE1CC8" w14:textId="77777777" w:rsidR="00F5289E" w:rsidRDefault="00C91173">
            <w:pPr>
              <w:jc w:val="center"/>
              <w:rPr>
                <w:b/>
                <w:bCs/>
                <w:sz w:val="18"/>
                <w:szCs w:val="18"/>
              </w:rPr>
            </w:pPr>
            <w:r>
              <w:rPr>
                <w:b/>
                <w:bCs/>
                <w:sz w:val="18"/>
                <w:szCs w:val="18"/>
              </w:rPr>
              <w:t>学时</w:t>
            </w:r>
          </w:p>
        </w:tc>
        <w:tc>
          <w:tcPr>
            <w:tcW w:w="1122" w:type="dxa"/>
            <w:shd w:val="clear" w:color="auto" w:fill="EEECE1" w:themeFill="background2"/>
            <w:vAlign w:val="center"/>
          </w:tcPr>
          <w:p w14:paraId="79A30430" w14:textId="77777777" w:rsidR="00F5289E" w:rsidRDefault="00C91173">
            <w:pPr>
              <w:jc w:val="center"/>
              <w:rPr>
                <w:b/>
                <w:bCs/>
                <w:sz w:val="18"/>
                <w:szCs w:val="18"/>
              </w:rPr>
            </w:pPr>
            <w:r>
              <w:rPr>
                <w:b/>
                <w:bCs/>
                <w:sz w:val="18"/>
                <w:szCs w:val="18"/>
              </w:rPr>
              <w:t>类型</w:t>
            </w:r>
          </w:p>
        </w:tc>
        <w:tc>
          <w:tcPr>
            <w:tcW w:w="1487" w:type="dxa"/>
            <w:shd w:val="clear" w:color="auto" w:fill="EEECE1" w:themeFill="background2"/>
            <w:vAlign w:val="center"/>
          </w:tcPr>
          <w:p w14:paraId="7DE495FA" w14:textId="77777777" w:rsidR="00F5289E" w:rsidRDefault="00C91173">
            <w:pPr>
              <w:jc w:val="center"/>
              <w:rPr>
                <w:b/>
                <w:bCs/>
                <w:sz w:val="18"/>
                <w:szCs w:val="18"/>
              </w:rPr>
            </w:pPr>
            <w:r>
              <w:rPr>
                <w:b/>
                <w:bCs/>
                <w:sz w:val="18"/>
                <w:szCs w:val="18"/>
              </w:rPr>
              <w:t>实验要求</w:t>
            </w:r>
          </w:p>
        </w:tc>
        <w:tc>
          <w:tcPr>
            <w:tcW w:w="1338" w:type="dxa"/>
            <w:shd w:val="clear" w:color="auto" w:fill="EEECE1" w:themeFill="background2"/>
            <w:vAlign w:val="center"/>
          </w:tcPr>
          <w:p w14:paraId="455A916E" w14:textId="77777777" w:rsidR="00F5289E" w:rsidRDefault="00C91173">
            <w:pPr>
              <w:jc w:val="center"/>
              <w:rPr>
                <w:b/>
                <w:bCs/>
                <w:sz w:val="18"/>
                <w:szCs w:val="18"/>
              </w:rPr>
            </w:pPr>
            <w:r>
              <w:rPr>
                <w:b/>
                <w:bCs/>
                <w:sz w:val="18"/>
                <w:szCs w:val="18"/>
              </w:rPr>
              <w:t>每组人数</w:t>
            </w:r>
          </w:p>
        </w:tc>
      </w:tr>
      <w:tr w:rsidR="00F5289E" w14:paraId="7EF29735" w14:textId="77777777">
        <w:trPr>
          <w:jc w:val="center"/>
        </w:trPr>
        <w:tc>
          <w:tcPr>
            <w:tcW w:w="904" w:type="dxa"/>
            <w:vAlign w:val="center"/>
          </w:tcPr>
          <w:p w14:paraId="4E7AD114" w14:textId="77777777" w:rsidR="00F5289E" w:rsidRDefault="00C91173">
            <w:pPr>
              <w:spacing w:line="360" w:lineRule="auto"/>
              <w:rPr>
                <w:sz w:val="18"/>
                <w:szCs w:val="18"/>
              </w:rPr>
            </w:pPr>
            <w:r>
              <w:rPr>
                <w:shd w:val="clear" w:color="auto" w:fill="FFFFFF"/>
              </w:rPr>
              <w:t>19011023h01</w:t>
            </w:r>
          </w:p>
        </w:tc>
        <w:tc>
          <w:tcPr>
            <w:tcW w:w="3109" w:type="dxa"/>
            <w:vAlign w:val="center"/>
          </w:tcPr>
          <w:p w14:paraId="58B3BBC3" w14:textId="77777777" w:rsidR="00F5289E" w:rsidRDefault="00C91173">
            <w:pPr>
              <w:widowControl/>
              <w:snapToGrid w:val="0"/>
              <w:spacing w:line="360" w:lineRule="auto"/>
              <w:rPr>
                <w:sz w:val="18"/>
                <w:szCs w:val="18"/>
              </w:rPr>
            </w:pPr>
            <w:r>
              <w:rPr>
                <w:sz w:val="18"/>
                <w:szCs w:val="18"/>
                <w:shd w:val="clear" w:color="auto" w:fill="FFFFFF"/>
              </w:rPr>
              <w:t>一二年生花卉形态观察及种类识别</w:t>
            </w:r>
          </w:p>
        </w:tc>
        <w:tc>
          <w:tcPr>
            <w:tcW w:w="915" w:type="dxa"/>
            <w:vAlign w:val="center"/>
          </w:tcPr>
          <w:p w14:paraId="02371D55" w14:textId="77777777" w:rsidR="00F5289E" w:rsidRDefault="00C91173">
            <w:pPr>
              <w:widowControl/>
              <w:snapToGrid w:val="0"/>
              <w:spacing w:line="360" w:lineRule="auto"/>
              <w:jc w:val="center"/>
              <w:rPr>
                <w:sz w:val="18"/>
                <w:szCs w:val="18"/>
              </w:rPr>
            </w:pPr>
            <w:r>
              <w:rPr>
                <w:kern w:val="0"/>
                <w:sz w:val="18"/>
                <w:szCs w:val="18"/>
              </w:rPr>
              <w:t>2</w:t>
            </w:r>
          </w:p>
        </w:tc>
        <w:tc>
          <w:tcPr>
            <w:tcW w:w="1122" w:type="dxa"/>
            <w:vAlign w:val="center"/>
          </w:tcPr>
          <w:p w14:paraId="176CF22A" w14:textId="77777777" w:rsidR="00F5289E" w:rsidRDefault="00C91173">
            <w:pPr>
              <w:widowControl/>
              <w:snapToGrid w:val="0"/>
              <w:spacing w:line="360" w:lineRule="auto"/>
              <w:jc w:val="center"/>
              <w:rPr>
                <w:sz w:val="18"/>
                <w:szCs w:val="18"/>
              </w:rPr>
            </w:pPr>
            <w:r>
              <w:rPr>
                <w:kern w:val="0"/>
                <w:sz w:val="18"/>
                <w:szCs w:val="18"/>
              </w:rPr>
              <w:t>基础性</w:t>
            </w:r>
          </w:p>
        </w:tc>
        <w:tc>
          <w:tcPr>
            <w:tcW w:w="1487" w:type="dxa"/>
            <w:vAlign w:val="center"/>
          </w:tcPr>
          <w:p w14:paraId="4992F626" w14:textId="77777777" w:rsidR="00F5289E" w:rsidRDefault="00C91173">
            <w:pPr>
              <w:widowControl/>
              <w:snapToGrid w:val="0"/>
              <w:spacing w:line="360" w:lineRule="auto"/>
              <w:jc w:val="center"/>
              <w:rPr>
                <w:sz w:val="18"/>
                <w:szCs w:val="18"/>
              </w:rPr>
            </w:pPr>
            <w:r>
              <w:rPr>
                <w:kern w:val="0"/>
                <w:sz w:val="18"/>
                <w:szCs w:val="18"/>
              </w:rPr>
              <w:t>必做</w:t>
            </w:r>
          </w:p>
        </w:tc>
        <w:tc>
          <w:tcPr>
            <w:tcW w:w="1338" w:type="dxa"/>
            <w:vAlign w:val="center"/>
          </w:tcPr>
          <w:p w14:paraId="25F9E5D3" w14:textId="77777777" w:rsidR="00F5289E" w:rsidRDefault="00C91173">
            <w:pPr>
              <w:widowControl/>
              <w:snapToGrid w:val="0"/>
              <w:spacing w:line="360" w:lineRule="auto"/>
              <w:jc w:val="center"/>
              <w:rPr>
                <w:sz w:val="18"/>
                <w:szCs w:val="18"/>
              </w:rPr>
            </w:pPr>
            <w:r>
              <w:rPr>
                <w:kern w:val="0"/>
                <w:sz w:val="18"/>
                <w:szCs w:val="18"/>
              </w:rPr>
              <w:t>10</w:t>
            </w:r>
          </w:p>
        </w:tc>
      </w:tr>
      <w:tr w:rsidR="00F5289E" w14:paraId="1F9A4BBA" w14:textId="77777777">
        <w:trPr>
          <w:jc w:val="center"/>
        </w:trPr>
        <w:tc>
          <w:tcPr>
            <w:tcW w:w="904" w:type="dxa"/>
          </w:tcPr>
          <w:p w14:paraId="3B9FB800" w14:textId="77777777" w:rsidR="00F5289E" w:rsidRDefault="00C91173">
            <w:pPr>
              <w:spacing w:line="360" w:lineRule="auto"/>
              <w:rPr>
                <w:sz w:val="18"/>
                <w:szCs w:val="18"/>
              </w:rPr>
            </w:pPr>
            <w:r>
              <w:rPr>
                <w:shd w:val="clear" w:color="auto" w:fill="FFFFFF"/>
              </w:rPr>
              <w:t>19011023h02</w:t>
            </w:r>
          </w:p>
        </w:tc>
        <w:tc>
          <w:tcPr>
            <w:tcW w:w="3109" w:type="dxa"/>
            <w:vAlign w:val="center"/>
          </w:tcPr>
          <w:p w14:paraId="7962B9A1" w14:textId="77777777" w:rsidR="00F5289E" w:rsidRDefault="00C91173">
            <w:pPr>
              <w:widowControl/>
              <w:snapToGrid w:val="0"/>
              <w:spacing w:line="360" w:lineRule="auto"/>
              <w:rPr>
                <w:color w:val="0000FF"/>
                <w:sz w:val="18"/>
                <w:szCs w:val="18"/>
              </w:rPr>
            </w:pPr>
            <w:r>
              <w:rPr>
                <w:sz w:val="18"/>
                <w:szCs w:val="18"/>
                <w:shd w:val="clear" w:color="auto" w:fill="FFFFFF"/>
              </w:rPr>
              <w:t>月季品种识别及栽培管理技术学习</w:t>
            </w:r>
          </w:p>
        </w:tc>
        <w:tc>
          <w:tcPr>
            <w:tcW w:w="915" w:type="dxa"/>
            <w:vAlign w:val="center"/>
          </w:tcPr>
          <w:p w14:paraId="5B784953" w14:textId="77777777" w:rsidR="00F5289E" w:rsidRDefault="00C91173">
            <w:pPr>
              <w:widowControl/>
              <w:snapToGrid w:val="0"/>
              <w:spacing w:line="360" w:lineRule="auto"/>
              <w:jc w:val="center"/>
              <w:rPr>
                <w:sz w:val="18"/>
                <w:szCs w:val="18"/>
              </w:rPr>
            </w:pPr>
            <w:r>
              <w:rPr>
                <w:kern w:val="0"/>
                <w:sz w:val="18"/>
                <w:szCs w:val="18"/>
              </w:rPr>
              <w:t>2</w:t>
            </w:r>
          </w:p>
        </w:tc>
        <w:tc>
          <w:tcPr>
            <w:tcW w:w="1122" w:type="dxa"/>
            <w:vAlign w:val="center"/>
          </w:tcPr>
          <w:p w14:paraId="30A1EE76" w14:textId="77777777" w:rsidR="00F5289E" w:rsidRDefault="00C91173">
            <w:pPr>
              <w:widowControl/>
              <w:snapToGrid w:val="0"/>
              <w:spacing w:line="360" w:lineRule="auto"/>
              <w:jc w:val="center"/>
              <w:rPr>
                <w:sz w:val="18"/>
                <w:szCs w:val="18"/>
              </w:rPr>
            </w:pPr>
            <w:r>
              <w:rPr>
                <w:kern w:val="0"/>
                <w:sz w:val="18"/>
                <w:szCs w:val="18"/>
              </w:rPr>
              <w:t>基础性</w:t>
            </w:r>
          </w:p>
        </w:tc>
        <w:tc>
          <w:tcPr>
            <w:tcW w:w="1487" w:type="dxa"/>
            <w:vAlign w:val="center"/>
          </w:tcPr>
          <w:p w14:paraId="4F4601A1" w14:textId="77777777" w:rsidR="00F5289E" w:rsidRDefault="00C91173">
            <w:pPr>
              <w:widowControl/>
              <w:snapToGrid w:val="0"/>
              <w:spacing w:line="360" w:lineRule="auto"/>
              <w:jc w:val="center"/>
              <w:rPr>
                <w:sz w:val="18"/>
                <w:szCs w:val="18"/>
              </w:rPr>
            </w:pPr>
            <w:r>
              <w:rPr>
                <w:kern w:val="0"/>
                <w:sz w:val="18"/>
                <w:szCs w:val="18"/>
              </w:rPr>
              <w:t>必做</w:t>
            </w:r>
          </w:p>
        </w:tc>
        <w:tc>
          <w:tcPr>
            <w:tcW w:w="1338" w:type="dxa"/>
            <w:vAlign w:val="center"/>
          </w:tcPr>
          <w:p w14:paraId="4BB95262" w14:textId="77777777" w:rsidR="00F5289E" w:rsidRDefault="00C91173">
            <w:pPr>
              <w:widowControl/>
              <w:snapToGrid w:val="0"/>
              <w:spacing w:line="360" w:lineRule="auto"/>
              <w:jc w:val="center"/>
              <w:rPr>
                <w:sz w:val="18"/>
                <w:szCs w:val="18"/>
              </w:rPr>
            </w:pPr>
            <w:r>
              <w:rPr>
                <w:kern w:val="0"/>
                <w:sz w:val="18"/>
                <w:szCs w:val="18"/>
              </w:rPr>
              <w:t>10</w:t>
            </w:r>
          </w:p>
        </w:tc>
      </w:tr>
      <w:tr w:rsidR="00F5289E" w14:paraId="3CCC0056" w14:textId="77777777">
        <w:trPr>
          <w:jc w:val="center"/>
        </w:trPr>
        <w:tc>
          <w:tcPr>
            <w:tcW w:w="904" w:type="dxa"/>
          </w:tcPr>
          <w:p w14:paraId="7D57D50A" w14:textId="77777777" w:rsidR="00F5289E" w:rsidRDefault="00C91173">
            <w:pPr>
              <w:spacing w:line="360" w:lineRule="auto"/>
              <w:rPr>
                <w:sz w:val="18"/>
                <w:szCs w:val="18"/>
              </w:rPr>
            </w:pPr>
            <w:r>
              <w:rPr>
                <w:shd w:val="clear" w:color="auto" w:fill="FFFFFF"/>
              </w:rPr>
              <w:t>19011023h03</w:t>
            </w:r>
          </w:p>
        </w:tc>
        <w:tc>
          <w:tcPr>
            <w:tcW w:w="3109" w:type="dxa"/>
            <w:vAlign w:val="center"/>
          </w:tcPr>
          <w:p w14:paraId="2D94E2DC" w14:textId="77777777" w:rsidR="00F5289E" w:rsidRDefault="00C91173">
            <w:pPr>
              <w:widowControl/>
              <w:snapToGrid w:val="0"/>
              <w:spacing w:line="360" w:lineRule="auto"/>
              <w:rPr>
                <w:sz w:val="18"/>
                <w:szCs w:val="18"/>
              </w:rPr>
            </w:pPr>
            <w:r>
              <w:rPr>
                <w:sz w:val="18"/>
                <w:szCs w:val="18"/>
                <w:shd w:val="clear" w:color="auto" w:fill="FFFFFF"/>
              </w:rPr>
              <w:t>郑州花卉市场盆花及切花种类识别</w:t>
            </w:r>
          </w:p>
        </w:tc>
        <w:tc>
          <w:tcPr>
            <w:tcW w:w="915" w:type="dxa"/>
            <w:vAlign w:val="center"/>
          </w:tcPr>
          <w:p w14:paraId="43CFE012" w14:textId="77777777" w:rsidR="00F5289E" w:rsidRDefault="00C91173">
            <w:pPr>
              <w:widowControl/>
              <w:snapToGrid w:val="0"/>
              <w:spacing w:line="360" w:lineRule="auto"/>
              <w:jc w:val="center"/>
              <w:rPr>
                <w:sz w:val="18"/>
                <w:szCs w:val="18"/>
              </w:rPr>
            </w:pPr>
            <w:r>
              <w:rPr>
                <w:kern w:val="0"/>
                <w:sz w:val="18"/>
                <w:szCs w:val="18"/>
              </w:rPr>
              <w:t>2</w:t>
            </w:r>
          </w:p>
        </w:tc>
        <w:tc>
          <w:tcPr>
            <w:tcW w:w="1122" w:type="dxa"/>
            <w:vAlign w:val="center"/>
          </w:tcPr>
          <w:p w14:paraId="18D3FDB0" w14:textId="77777777" w:rsidR="00F5289E" w:rsidRDefault="00C91173">
            <w:pPr>
              <w:widowControl/>
              <w:snapToGrid w:val="0"/>
              <w:spacing w:line="360" w:lineRule="auto"/>
              <w:jc w:val="center"/>
              <w:rPr>
                <w:sz w:val="18"/>
                <w:szCs w:val="18"/>
              </w:rPr>
            </w:pPr>
            <w:r>
              <w:rPr>
                <w:kern w:val="0"/>
                <w:sz w:val="18"/>
                <w:szCs w:val="18"/>
              </w:rPr>
              <w:t>基础性</w:t>
            </w:r>
          </w:p>
        </w:tc>
        <w:tc>
          <w:tcPr>
            <w:tcW w:w="1487" w:type="dxa"/>
            <w:vAlign w:val="center"/>
          </w:tcPr>
          <w:p w14:paraId="17B8190A" w14:textId="77777777" w:rsidR="00F5289E" w:rsidRDefault="00C91173">
            <w:pPr>
              <w:widowControl/>
              <w:snapToGrid w:val="0"/>
              <w:spacing w:line="360" w:lineRule="auto"/>
              <w:jc w:val="center"/>
              <w:rPr>
                <w:sz w:val="18"/>
                <w:szCs w:val="18"/>
              </w:rPr>
            </w:pPr>
            <w:r>
              <w:rPr>
                <w:kern w:val="0"/>
                <w:sz w:val="18"/>
                <w:szCs w:val="18"/>
              </w:rPr>
              <w:t>必做</w:t>
            </w:r>
          </w:p>
        </w:tc>
        <w:tc>
          <w:tcPr>
            <w:tcW w:w="1338" w:type="dxa"/>
            <w:vAlign w:val="center"/>
          </w:tcPr>
          <w:p w14:paraId="0CA54EC8" w14:textId="77777777" w:rsidR="00F5289E" w:rsidRDefault="00C91173">
            <w:pPr>
              <w:widowControl/>
              <w:snapToGrid w:val="0"/>
              <w:spacing w:line="360" w:lineRule="auto"/>
              <w:jc w:val="center"/>
              <w:rPr>
                <w:sz w:val="18"/>
                <w:szCs w:val="18"/>
              </w:rPr>
            </w:pPr>
            <w:r>
              <w:rPr>
                <w:kern w:val="0"/>
                <w:sz w:val="18"/>
                <w:szCs w:val="18"/>
              </w:rPr>
              <w:t>10</w:t>
            </w:r>
          </w:p>
        </w:tc>
      </w:tr>
      <w:tr w:rsidR="00F5289E" w14:paraId="4B7D7969" w14:textId="77777777">
        <w:trPr>
          <w:jc w:val="center"/>
        </w:trPr>
        <w:tc>
          <w:tcPr>
            <w:tcW w:w="904" w:type="dxa"/>
          </w:tcPr>
          <w:p w14:paraId="7935A720" w14:textId="77777777" w:rsidR="00F5289E" w:rsidRDefault="00C91173">
            <w:pPr>
              <w:spacing w:line="360" w:lineRule="auto"/>
              <w:rPr>
                <w:sz w:val="18"/>
                <w:szCs w:val="18"/>
              </w:rPr>
            </w:pPr>
            <w:r>
              <w:rPr>
                <w:shd w:val="clear" w:color="auto" w:fill="FFFFFF"/>
              </w:rPr>
              <w:t>19011023h04</w:t>
            </w:r>
          </w:p>
        </w:tc>
        <w:tc>
          <w:tcPr>
            <w:tcW w:w="3109" w:type="dxa"/>
            <w:vAlign w:val="center"/>
          </w:tcPr>
          <w:p w14:paraId="1A596632" w14:textId="77777777" w:rsidR="00F5289E" w:rsidRDefault="00C91173">
            <w:pPr>
              <w:widowControl/>
              <w:snapToGrid w:val="0"/>
              <w:spacing w:line="360" w:lineRule="auto"/>
              <w:rPr>
                <w:sz w:val="18"/>
                <w:szCs w:val="18"/>
              </w:rPr>
            </w:pPr>
            <w:r>
              <w:rPr>
                <w:sz w:val="18"/>
                <w:szCs w:val="18"/>
              </w:rPr>
              <w:t>碧沙岗公园参观及花坛设计</w:t>
            </w:r>
          </w:p>
        </w:tc>
        <w:tc>
          <w:tcPr>
            <w:tcW w:w="915" w:type="dxa"/>
            <w:vAlign w:val="center"/>
          </w:tcPr>
          <w:p w14:paraId="72B25178" w14:textId="77777777" w:rsidR="00F5289E" w:rsidRDefault="00C91173">
            <w:pPr>
              <w:widowControl/>
              <w:snapToGrid w:val="0"/>
              <w:spacing w:line="360" w:lineRule="auto"/>
              <w:jc w:val="center"/>
              <w:rPr>
                <w:sz w:val="18"/>
                <w:szCs w:val="18"/>
              </w:rPr>
            </w:pPr>
            <w:r>
              <w:rPr>
                <w:kern w:val="0"/>
                <w:sz w:val="18"/>
                <w:szCs w:val="18"/>
              </w:rPr>
              <w:t>2</w:t>
            </w:r>
          </w:p>
        </w:tc>
        <w:tc>
          <w:tcPr>
            <w:tcW w:w="1122" w:type="dxa"/>
            <w:vAlign w:val="center"/>
          </w:tcPr>
          <w:p w14:paraId="3DEC6979" w14:textId="77777777" w:rsidR="00F5289E" w:rsidRDefault="00C91173">
            <w:pPr>
              <w:widowControl/>
              <w:snapToGrid w:val="0"/>
              <w:spacing w:line="360" w:lineRule="auto"/>
              <w:jc w:val="center"/>
              <w:rPr>
                <w:sz w:val="18"/>
                <w:szCs w:val="18"/>
              </w:rPr>
            </w:pPr>
            <w:r>
              <w:rPr>
                <w:kern w:val="0"/>
                <w:sz w:val="18"/>
                <w:szCs w:val="18"/>
              </w:rPr>
              <w:t>基础性</w:t>
            </w:r>
          </w:p>
        </w:tc>
        <w:tc>
          <w:tcPr>
            <w:tcW w:w="1487" w:type="dxa"/>
            <w:vAlign w:val="center"/>
          </w:tcPr>
          <w:p w14:paraId="31970A9E" w14:textId="77777777" w:rsidR="00F5289E" w:rsidRDefault="00C91173">
            <w:pPr>
              <w:widowControl/>
              <w:snapToGrid w:val="0"/>
              <w:spacing w:line="360" w:lineRule="auto"/>
              <w:jc w:val="center"/>
              <w:rPr>
                <w:sz w:val="18"/>
                <w:szCs w:val="18"/>
              </w:rPr>
            </w:pPr>
            <w:r>
              <w:rPr>
                <w:kern w:val="0"/>
                <w:sz w:val="18"/>
                <w:szCs w:val="18"/>
              </w:rPr>
              <w:t>必做</w:t>
            </w:r>
          </w:p>
        </w:tc>
        <w:tc>
          <w:tcPr>
            <w:tcW w:w="1338" w:type="dxa"/>
            <w:vAlign w:val="center"/>
          </w:tcPr>
          <w:p w14:paraId="0A7F2A11" w14:textId="77777777" w:rsidR="00F5289E" w:rsidRDefault="00C91173">
            <w:pPr>
              <w:widowControl/>
              <w:snapToGrid w:val="0"/>
              <w:spacing w:line="360" w:lineRule="auto"/>
              <w:jc w:val="center"/>
              <w:rPr>
                <w:sz w:val="18"/>
                <w:szCs w:val="18"/>
              </w:rPr>
            </w:pPr>
            <w:r>
              <w:rPr>
                <w:sz w:val="18"/>
                <w:szCs w:val="18"/>
              </w:rPr>
              <w:t>10</w:t>
            </w:r>
          </w:p>
        </w:tc>
      </w:tr>
    </w:tbl>
    <w:p w14:paraId="27A78391" w14:textId="77777777" w:rsidR="00F5289E" w:rsidRDefault="00F5289E">
      <w:pPr>
        <w:snapToGrid w:val="0"/>
        <w:spacing w:line="360" w:lineRule="auto"/>
        <w:rPr>
          <w:b/>
          <w:bCs/>
          <w:szCs w:val="21"/>
        </w:rPr>
      </w:pPr>
    </w:p>
    <w:p w14:paraId="606F2405" w14:textId="77777777" w:rsidR="00F5289E" w:rsidRDefault="00C91173">
      <w:pPr>
        <w:snapToGrid w:val="0"/>
        <w:spacing w:line="360" w:lineRule="auto"/>
        <w:rPr>
          <w:b/>
          <w:bCs/>
          <w:szCs w:val="21"/>
        </w:rPr>
      </w:pPr>
      <w:r>
        <w:rPr>
          <w:b/>
          <w:bCs/>
          <w:szCs w:val="21"/>
        </w:rPr>
        <w:t>（五）实验方式及基本要求</w:t>
      </w:r>
    </w:p>
    <w:p w14:paraId="22C5C58F" w14:textId="77777777" w:rsidR="00F5289E" w:rsidRDefault="00C91173">
      <w:pPr>
        <w:shd w:val="solid" w:color="FFFFFF" w:fill="auto"/>
        <w:autoSpaceDN w:val="0"/>
        <w:spacing w:line="360" w:lineRule="auto"/>
        <w:ind w:firstLineChars="200" w:firstLine="420"/>
        <w:rPr>
          <w:szCs w:val="21"/>
          <w:shd w:val="clear" w:color="auto" w:fill="FFFFFF"/>
        </w:rPr>
      </w:pPr>
      <w:r>
        <w:rPr>
          <w:szCs w:val="21"/>
          <w:shd w:val="clear" w:color="auto" w:fill="FFFFFF"/>
        </w:rPr>
        <w:t>实验采用室内与室外相结合方式进行。基础性实验在实验室或室外进行，掌握观赏植物茎、叶、花、果实的形态特征和形态术语，为花卉栽培打下基础。综合性实验主要在公园、花卉市场和花卉生产企业进行，识别常见花卉、学习花卉的繁殖及栽培管理方法。</w:t>
      </w:r>
    </w:p>
    <w:p w14:paraId="1838CE73" w14:textId="77777777" w:rsidR="00F5289E" w:rsidRDefault="00C91173">
      <w:pPr>
        <w:shd w:val="solid" w:color="FFFFFF" w:fill="auto"/>
        <w:autoSpaceDN w:val="0"/>
        <w:spacing w:line="360" w:lineRule="auto"/>
        <w:ind w:firstLineChars="200" w:firstLine="420"/>
        <w:rPr>
          <w:szCs w:val="21"/>
          <w:shd w:val="clear" w:color="auto" w:fill="FFFFFF"/>
        </w:rPr>
      </w:pPr>
      <w:r>
        <w:rPr>
          <w:szCs w:val="21"/>
          <w:shd w:val="clear" w:color="auto" w:fill="FFFFFF"/>
        </w:rPr>
        <w:t>设施花卉栽培学实验根据观赏植物的物候期和讲课进度，以河南地区花卉为主，掌握常见花卉的识别要点、分布、生物学特性及栽培、引种注意事项。通过课程的学习和实验，不仅能够认识常见花卉，更重要的是能够根据花卉的生物学特性和当地的环境条件正确地栽培应用花卉。</w:t>
      </w:r>
    </w:p>
    <w:p w14:paraId="5654E0E7" w14:textId="77777777" w:rsidR="00F5289E" w:rsidRDefault="00F5289E">
      <w:pPr>
        <w:shd w:val="solid" w:color="FFFFFF" w:fill="auto"/>
        <w:autoSpaceDN w:val="0"/>
        <w:spacing w:line="360" w:lineRule="auto"/>
        <w:ind w:firstLineChars="200" w:firstLine="420"/>
        <w:rPr>
          <w:szCs w:val="21"/>
          <w:shd w:val="clear" w:color="auto" w:fill="FFFFFF"/>
        </w:rPr>
      </w:pPr>
    </w:p>
    <w:p w14:paraId="1144D091" w14:textId="77777777" w:rsidR="00F5289E" w:rsidRDefault="00C91173" w:rsidP="00A115EF">
      <w:pPr>
        <w:numPr>
          <w:ilvl w:val="0"/>
          <w:numId w:val="30"/>
        </w:numPr>
        <w:adjustRightInd w:val="0"/>
        <w:snapToGrid w:val="0"/>
        <w:spacing w:beforeLines="50" w:before="156" w:line="360" w:lineRule="auto"/>
        <w:rPr>
          <w:b/>
          <w:szCs w:val="21"/>
        </w:rPr>
      </w:pPr>
      <w:r>
        <w:rPr>
          <w:b/>
          <w:szCs w:val="21"/>
        </w:rPr>
        <w:t>实验内容安排</w:t>
      </w:r>
    </w:p>
    <w:p w14:paraId="18020B91" w14:textId="77777777" w:rsidR="00F5289E" w:rsidRDefault="00C91173">
      <w:pPr>
        <w:snapToGrid w:val="0"/>
        <w:spacing w:line="360" w:lineRule="auto"/>
        <w:rPr>
          <w:b/>
          <w:bCs/>
          <w:szCs w:val="21"/>
        </w:rPr>
      </w:pPr>
      <w:r>
        <w:rPr>
          <w:b/>
          <w:bCs/>
          <w:szCs w:val="21"/>
        </w:rPr>
        <w:t>【实验一】一二年生花卉形态观察及种类识别</w:t>
      </w:r>
    </w:p>
    <w:p w14:paraId="218278B1" w14:textId="77777777" w:rsidR="00F5289E" w:rsidRDefault="00C91173">
      <w:pPr>
        <w:snapToGrid w:val="0"/>
        <w:spacing w:line="360" w:lineRule="auto"/>
        <w:rPr>
          <w:bCs/>
          <w:szCs w:val="21"/>
        </w:rPr>
      </w:pPr>
      <w:r>
        <w:rPr>
          <w:bCs/>
          <w:szCs w:val="21"/>
        </w:rPr>
        <w:t xml:space="preserve">　</w:t>
      </w:r>
      <w:r>
        <w:rPr>
          <w:b/>
          <w:bCs/>
          <w:szCs w:val="21"/>
        </w:rPr>
        <w:t xml:space="preserve">　</w:t>
      </w:r>
      <w:r>
        <w:rPr>
          <w:b/>
          <w:bCs/>
          <w:szCs w:val="21"/>
        </w:rPr>
        <w:t>1.</w:t>
      </w:r>
      <w:r>
        <w:rPr>
          <w:b/>
          <w:bCs/>
          <w:szCs w:val="21"/>
        </w:rPr>
        <w:t>实验学时：</w:t>
      </w:r>
      <w:r>
        <w:rPr>
          <w:bCs/>
          <w:szCs w:val="21"/>
        </w:rPr>
        <w:t>2</w:t>
      </w:r>
    </w:p>
    <w:p w14:paraId="255CEEED" w14:textId="77777777" w:rsidR="00F5289E" w:rsidRDefault="00C91173">
      <w:pPr>
        <w:snapToGrid w:val="0"/>
        <w:spacing w:line="360" w:lineRule="auto"/>
        <w:rPr>
          <w:bCs/>
          <w:szCs w:val="21"/>
        </w:rPr>
      </w:pPr>
      <w:r>
        <w:rPr>
          <w:bCs/>
          <w:szCs w:val="21"/>
        </w:rPr>
        <w:t xml:space="preserve">　　</w:t>
      </w:r>
      <w:r>
        <w:rPr>
          <w:b/>
          <w:bCs/>
          <w:szCs w:val="21"/>
        </w:rPr>
        <w:t>2.</w:t>
      </w:r>
      <w:r>
        <w:rPr>
          <w:b/>
          <w:bCs/>
          <w:szCs w:val="21"/>
        </w:rPr>
        <w:t>实验目的：</w:t>
      </w:r>
      <w:r>
        <w:rPr>
          <w:bCs/>
          <w:szCs w:val="21"/>
        </w:rPr>
        <w:t>据花卉分类原则，掌握各类一二年生花卉的基本形态特征，了解每一种类的生物学特性及其栽培管理技术和园林应用。</w:t>
      </w:r>
    </w:p>
    <w:p w14:paraId="7946BEA7" w14:textId="77777777" w:rsidR="00F5289E" w:rsidRDefault="00C91173">
      <w:pPr>
        <w:snapToGrid w:val="0"/>
        <w:spacing w:line="360" w:lineRule="auto"/>
        <w:rPr>
          <w:bCs/>
          <w:szCs w:val="21"/>
        </w:rPr>
      </w:pPr>
      <w:r>
        <w:rPr>
          <w:bCs/>
          <w:szCs w:val="21"/>
        </w:rPr>
        <w:t xml:space="preserve">　</w:t>
      </w:r>
      <w:r>
        <w:rPr>
          <w:b/>
          <w:bCs/>
          <w:szCs w:val="21"/>
        </w:rPr>
        <w:t xml:space="preserve">　</w:t>
      </w:r>
      <w:r>
        <w:rPr>
          <w:b/>
          <w:bCs/>
          <w:szCs w:val="21"/>
        </w:rPr>
        <w:t>3.</w:t>
      </w:r>
      <w:r>
        <w:rPr>
          <w:b/>
          <w:bCs/>
          <w:szCs w:val="21"/>
        </w:rPr>
        <w:t>实验内容：</w:t>
      </w:r>
      <w:r>
        <w:rPr>
          <w:bCs/>
          <w:szCs w:val="21"/>
        </w:rPr>
        <w:t>观察</w:t>
      </w:r>
      <w:r>
        <w:rPr>
          <w:bCs/>
          <w:szCs w:val="21"/>
        </w:rPr>
        <w:t>10</w:t>
      </w:r>
      <w:r>
        <w:rPr>
          <w:bCs/>
          <w:szCs w:val="21"/>
        </w:rPr>
        <w:t>种以上的一二年生花卉，记录一年生草花的形态特征，仔细观察茎叶、花的色泽、形态等。</w:t>
      </w:r>
    </w:p>
    <w:p w14:paraId="2A0D1497" w14:textId="77777777" w:rsidR="00F5289E" w:rsidRDefault="00C91173">
      <w:pPr>
        <w:snapToGrid w:val="0"/>
        <w:spacing w:line="360" w:lineRule="auto"/>
        <w:ind w:firstLineChars="200" w:firstLine="422"/>
        <w:rPr>
          <w:bCs/>
          <w:szCs w:val="21"/>
        </w:rPr>
      </w:pPr>
      <w:r>
        <w:rPr>
          <w:b/>
          <w:bCs/>
          <w:szCs w:val="21"/>
        </w:rPr>
        <w:t>4.</w:t>
      </w:r>
      <w:r>
        <w:rPr>
          <w:b/>
          <w:bCs/>
          <w:szCs w:val="21"/>
        </w:rPr>
        <w:t xml:space="preserve">实验要求：　</w:t>
      </w:r>
      <w:r>
        <w:rPr>
          <w:bCs/>
          <w:szCs w:val="21"/>
        </w:rPr>
        <w:t>（</w:t>
      </w:r>
      <w:r>
        <w:rPr>
          <w:bCs/>
          <w:szCs w:val="21"/>
        </w:rPr>
        <w:t>1</w:t>
      </w:r>
      <w:r>
        <w:rPr>
          <w:bCs/>
          <w:szCs w:val="21"/>
        </w:rPr>
        <w:t>）根据形态特征，总结其生物学特性及其基本应用。</w:t>
      </w:r>
    </w:p>
    <w:p w14:paraId="52DBAB83" w14:textId="77777777" w:rsidR="00F5289E" w:rsidRDefault="00C91173">
      <w:pPr>
        <w:snapToGrid w:val="0"/>
        <w:spacing w:line="360" w:lineRule="auto"/>
        <w:ind w:firstLineChars="900" w:firstLine="1890"/>
        <w:rPr>
          <w:bCs/>
          <w:szCs w:val="21"/>
        </w:rPr>
      </w:pPr>
      <w:r>
        <w:rPr>
          <w:bCs/>
          <w:szCs w:val="21"/>
        </w:rPr>
        <w:t>（</w:t>
      </w:r>
      <w:r>
        <w:rPr>
          <w:bCs/>
          <w:szCs w:val="21"/>
        </w:rPr>
        <w:t>2</w:t>
      </w:r>
      <w:r>
        <w:rPr>
          <w:bCs/>
          <w:szCs w:val="21"/>
        </w:rPr>
        <w:t>）根据观察内容，总结每种花卉的形态特征。</w:t>
      </w:r>
    </w:p>
    <w:p w14:paraId="504FA571" w14:textId="77777777" w:rsidR="00F5289E" w:rsidRDefault="00C91173">
      <w:pPr>
        <w:snapToGrid w:val="0"/>
        <w:spacing w:line="360" w:lineRule="auto"/>
        <w:rPr>
          <w:bCs/>
          <w:szCs w:val="21"/>
        </w:rPr>
      </w:pPr>
      <w:r>
        <w:rPr>
          <w:bCs/>
          <w:szCs w:val="21"/>
        </w:rPr>
        <w:t xml:space="preserve">　　</w:t>
      </w:r>
      <w:r>
        <w:rPr>
          <w:b/>
          <w:bCs/>
          <w:szCs w:val="21"/>
        </w:rPr>
        <w:t>5.</w:t>
      </w:r>
      <w:r>
        <w:rPr>
          <w:b/>
          <w:bCs/>
          <w:szCs w:val="21"/>
        </w:rPr>
        <w:t>实验设备及器材：</w:t>
      </w:r>
      <w:r>
        <w:rPr>
          <w:bCs/>
          <w:szCs w:val="21"/>
        </w:rPr>
        <w:t>测量尺、笔记本。</w:t>
      </w:r>
    </w:p>
    <w:p w14:paraId="1A8ACCA0" w14:textId="77777777" w:rsidR="00F5289E" w:rsidRDefault="00C91173">
      <w:pPr>
        <w:snapToGrid w:val="0"/>
        <w:spacing w:line="360" w:lineRule="auto"/>
        <w:rPr>
          <w:b/>
          <w:bCs/>
          <w:szCs w:val="21"/>
        </w:rPr>
      </w:pPr>
      <w:r>
        <w:rPr>
          <w:b/>
          <w:bCs/>
          <w:szCs w:val="21"/>
        </w:rPr>
        <w:t>【实验二】月季品种识别及应用形式调查</w:t>
      </w:r>
    </w:p>
    <w:p w14:paraId="59D8D12B" w14:textId="77777777" w:rsidR="00F5289E" w:rsidRDefault="00C91173">
      <w:pPr>
        <w:snapToGrid w:val="0"/>
        <w:spacing w:line="360" w:lineRule="auto"/>
        <w:rPr>
          <w:bCs/>
          <w:szCs w:val="21"/>
        </w:rPr>
      </w:pPr>
      <w:r>
        <w:rPr>
          <w:bCs/>
          <w:szCs w:val="21"/>
        </w:rPr>
        <w:t xml:space="preserve">　　</w:t>
      </w:r>
      <w:r>
        <w:rPr>
          <w:b/>
          <w:bCs/>
          <w:szCs w:val="21"/>
        </w:rPr>
        <w:t>1.</w:t>
      </w:r>
      <w:r>
        <w:rPr>
          <w:b/>
          <w:bCs/>
          <w:szCs w:val="21"/>
        </w:rPr>
        <w:t>实验学时：</w:t>
      </w:r>
      <w:r>
        <w:rPr>
          <w:bCs/>
          <w:szCs w:val="21"/>
        </w:rPr>
        <w:t>2</w:t>
      </w:r>
    </w:p>
    <w:p w14:paraId="6DDD3D8E" w14:textId="77777777" w:rsidR="00F5289E" w:rsidRDefault="00C91173">
      <w:pPr>
        <w:snapToGrid w:val="0"/>
        <w:spacing w:line="360" w:lineRule="auto"/>
        <w:rPr>
          <w:bCs/>
          <w:szCs w:val="21"/>
        </w:rPr>
      </w:pPr>
      <w:r>
        <w:rPr>
          <w:bCs/>
          <w:szCs w:val="21"/>
        </w:rPr>
        <w:t xml:space="preserve">　　</w:t>
      </w:r>
      <w:r>
        <w:rPr>
          <w:b/>
          <w:bCs/>
          <w:szCs w:val="21"/>
        </w:rPr>
        <w:t>2.</w:t>
      </w:r>
      <w:r>
        <w:rPr>
          <w:b/>
          <w:bCs/>
          <w:szCs w:val="21"/>
        </w:rPr>
        <w:t>实验目的：</w:t>
      </w:r>
      <w:r>
        <w:rPr>
          <w:bCs/>
          <w:szCs w:val="21"/>
        </w:rPr>
        <w:t>依据月季品种分类原则，掌握月季的基本形态特征，了解生物学特性及基繁殖方法、栽培管理技术及园林应用。</w:t>
      </w:r>
    </w:p>
    <w:p w14:paraId="5B8F4FBE" w14:textId="77777777" w:rsidR="00F5289E" w:rsidRDefault="00C91173">
      <w:pPr>
        <w:snapToGrid w:val="0"/>
        <w:spacing w:line="360" w:lineRule="auto"/>
        <w:rPr>
          <w:bCs/>
          <w:szCs w:val="21"/>
        </w:rPr>
      </w:pPr>
      <w:r>
        <w:rPr>
          <w:bCs/>
          <w:szCs w:val="21"/>
        </w:rPr>
        <w:t xml:space="preserve">　　</w:t>
      </w:r>
      <w:r>
        <w:rPr>
          <w:b/>
          <w:bCs/>
          <w:szCs w:val="21"/>
        </w:rPr>
        <w:t>3.</w:t>
      </w:r>
      <w:r>
        <w:rPr>
          <w:b/>
          <w:bCs/>
          <w:szCs w:val="21"/>
        </w:rPr>
        <w:t>实验内容：</w:t>
      </w:r>
      <w:r>
        <w:rPr>
          <w:bCs/>
          <w:szCs w:val="21"/>
        </w:rPr>
        <w:t>观察</w:t>
      </w:r>
      <w:r>
        <w:rPr>
          <w:bCs/>
          <w:szCs w:val="21"/>
        </w:rPr>
        <w:t>20</w:t>
      </w:r>
      <w:r>
        <w:rPr>
          <w:bCs/>
          <w:szCs w:val="21"/>
        </w:rPr>
        <w:t>个以上的月季品种。用测量尺测株高及叶、花的大小，仔细观察花的色泽、形态等。</w:t>
      </w:r>
    </w:p>
    <w:p w14:paraId="23F3203D" w14:textId="77777777" w:rsidR="00F5289E" w:rsidRDefault="00C91173">
      <w:pPr>
        <w:snapToGrid w:val="0"/>
        <w:spacing w:line="360" w:lineRule="auto"/>
        <w:ind w:firstLineChars="200" w:firstLine="422"/>
        <w:rPr>
          <w:bCs/>
          <w:szCs w:val="21"/>
        </w:rPr>
      </w:pPr>
      <w:r>
        <w:rPr>
          <w:b/>
          <w:bCs/>
          <w:szCs w:val="21"/>
        </w:rPr>
        <w:t>4.</w:t>
      </w:r>
      <w:r>
        <w:rPr>
          <w:b/>
          <w:bCs/>
          <w:szCs w:val="21"/>
        </w:rPr>
        <w:t>实验要求：</w:t>
      </w:r>
      <w:r>
        <w:rPr>
          <w:bCs/>
          <w:szCs w:val="21"/>
        </w:rPr>
        <w:t>根据观察内容，总结每个品种月季的形态特征</w:t>
      </w:r>
      <w:r>
        <w:rPr>
          <w:bCs/>
          <w:szCs w:val="21"/>
        </w:rPr>
        <w:t xml:space="preserve"> </w:t>
      </w:r>
    </w:p>
    <w:p w14:paraId="4128936F" w14:textId="77777777" w:rsidR="00F5289E" w:rsidRDefault="00C91173">
      <w:pPr>
        <w:snapToGrid w:val="0"/>
        <w:spacing w:line="360" w:lineRule="auto"/>
        <w:ind w:firstLine="420"/>
        <w:rPr>
          <w:bCs/>
          <w:szCs w:val="21"/>
        </w:rPr>
      </w:pPr>
      <w:r>
        <w:rPr>
          <w:b/>
          <w:bCs/>
          <w:szCs w:val="21"/>
        </w:rPr>
        <w:t>5.</w:t>
      </w:r>
      <w:r>
        <w:rPr>
          <w:b/>
          <w:bCs/>
          <w:szCs w:val="21"/>
        </w:rPr>
        <w:t>实验设备及器材：</w:t>
      </w:r>
      <w:r>
        <w:rPr>
          <w:bCs/>
          <w:szCs w:val="21"/>
        </w:rPr>
        <w:t>测量尺、笔记本。</w:t>
      </w:r>
    </w:p>
    <w:p w14:paraId="4CACE9E8" w14:textId="77777777" w:rsidR="00F5289E" w:rsidRDefault="00C91173">
      <w:pPr>
        <w:snapToGrid w:val="0"/>
        <w:spacing w:line="360" w:lineRule="auto"/>
        <w:rPr>
          <w:b/>
          <w:bCs/>
          <w:szCs w:val="21"/>
        </w:rPr>
      </w:pPr>
      <w:r>
        <w:rPr>
          <w:b/>
          <w:bCs/>
          <w:szCs w:val="21"/>
        </w:rPr>
        <w:t>【实验三】郑州花卉市场室内盆花及切花形态观察及种类识别</w:t>
      </w:r>
    </w:p>
    <w:p w14:paraId="2096484B" w14:textId="77777777" w:rsidR="00F5289E" w:rsidRDefault="00C91173">
      <w:pPr>
        <w:snapToGrid w:val="0"/>
        <w:spacing w:line="360" w:lineRule="auto"/>
        <w:rPr>
          <w:szCs w:val="21"/>
        </w:rPr>
      </w:pPr>
      <w:r>
        <w:rPr>
          <w:b/>
          <w:bCs/>
          <w:szCs w:val="21"/>
        </w:rPr>
        <w:t xml:space="preserve">　</w:t>
      </w:r>
      <w:r>
        <w:rPr>
          <w:szCs w:val="21"/>
        </w:rPr>
        <w:t xml:space="preserve">　</w:t>
      </w:r>
      <w:r>
        <w:rPr>
          <w:b/>
          <w:szCs w:val="21"/>
        </w:rPr>
        <w:t>1.</w:t>
      </w:r>
      <w:r>
        <w:rPr>
          <w:b/>
          <w:szCs w:val="21"/>
        </w:rPr>
        <w:t>实验学时：</w:t>
      </w:r>
      <w:r>
        <w:rPr>
          <w:bCs/>
          <w:szCs w:val="21"/>
        </w:rPr>
        <w:t>2</w:t>
      </w:r>
    </w:p>
    <w:p w14:paraId="40602503" w14:textId="77777777" w:rsidR="00F5289E" w:rsidRDefault="00C91173">
      <w:pPr>
        <w:snapToGrid w:val="0"/>
        <w:spacing w:line="360" w:lineRule="auto"/>
        <w:ind w:left="1687" w:hangingChars="800" w:hanging="1687"/>
        <w:rPr>
          <w:szCs w:val="21"/>
          <w:shd w:val="clear" w:color="auto" w:fill="FFFFFF"/>
        </w:rPr>
      </w:pPr>
      <w:r>
        <w:rPr>
          <w:b/>
          <w:szCs w:val="21"/>
        </w:rPr>
        <w:t xml:space="preserve">　　</w:t>
      </w:r>
      <w:r>
        <w:rPr>
          <w:b/>
          <w:szCs w:val="21"/>
        </w:rPr>
        <w:t>2.</w:t>
      </w:r>
      <w:r>
        <w:rPr>
          <w:b/>
          <w:szCs w:val="21"/>
        </w:rPr>
        <w:t>实验目的：</w:t>
      </w:r>
      <w:r>
        <w:rPr>
          <w:szCs w:val="21"/>
        </w:rPr>
        <w:t>使学生</w:t>
      </w:r>
      <w:r>
        <w:rPr>
          <w:szCs w:val="21"/>
          <w:shd w:val="clear" w:color="auto" w:fill="FFFFFF"/>
        </w:rPr>
        <w:t>掌握各类室内盆花及切花的形态特征、生物学特性及园林应用。</w:t>
      </w:r>
    </w:p>
    <w:p w14:paraId="4378ADAB" w14:textId="77777777" w:rsidR="00F5289E" w:rsidRDefault="00C91173">
      <w:pPr>
        <w:shd w:val="solid" w:color="FFFFFF" w:fill="auto"/>
        <w:autoSpaceDN w:val="0"/>
        <w:spacing w:line="360" w:lineRule="auto"/>
        <w:ind w:leftChars="199" w:left="1451" w:hangingChars="490" w:hanging="1033"/>
        <w:rPr>
          <w:szCs w:val="21"/>
        </w:rPr>
      </w:pPr>
      <w:r>
        <w:rPr>
          <w:b/>
          <w:szCs w:val="21"/>
        </w:rPr>
        <w:t>3.</w:t>
      </w:r>
      <w:r>
        <w:rPr>
          <w:b/>
          <w:szCs w:val="21"/>
        </w:rPr>
        <w:t>实验内容：</w:t>
      </w:r>
      <w:r>
        <w:rPr>
          <w:szCs w:val="21"/>
        </w:rPr>
        <w:t>（</w:t>
      </w:r>
      <w:r>
        <w:rPr>
          <w:szCs w:val="21"/>
        </w:rPr>
        <w:t>1</w:t>
      </w:r>
      <w:r>
        <w:rPr>
          <w:szCs w:val="21"/>
        </w:rPr>
        <w:t>）教师现场讲解每种花卉的名称、主要形态特征、科属、生态习性、繁殖方法、栽培管理要点及园林用途，学生做好记录。</w:t>
      </w:r>
    </w:p>
    <w:p w14:paraId="07AB6133" w14:textId="77777777" w:rsidR="00F5289E" w:rsidRDefault="00C91173">
      <w:pPr>
        <w:shd w:val="solid" w:color="FFFFFF" w:fill="auto"/>
        <w:autoSpaceDN w:val="0"/>
        <w:spacing w:line="360" w:lineRule="auto"/>
        <w:ind w:leftChars="199" w:left="1451" w:hangingChars="490" w:hanging="1033"/>
        <w:rPr>
          <w:szCs w:val="21"/>
          <w:shd w:val="clear" w:color="auto" w:fill="FFFFFF"/>
        </w:rPr>
      </w:pPr>
      <w:r>
        <w:rPr>
          <w:b/>
          <w:szCs w:val="21"/>
        </w:rPr>
        <w:t xml:space="preserve">          </w:t>
      </w:r>
      <w:r>
        <w:rPr>
          <w:szCs w:val="21"/>
        </w:rPr>
        <w:t>（</w:t>
      </w:r>
      <w:r>
        <w:rPr>
          <w:szCs w:val="21"/>
        </w:rPr>
        <w:t>2</w:t>
      </w:r>
      <w:r>
        <w:rPr>
          <w:szCs w:val="21"/>
        </w:rPr>
        <w:t>）学生分组进行观察记载，复习教师所讲的上述内容。</w:t>
      </w:r>
    </w:p>
    <w:p w14:paraId="54BCA077" w14:textId="77777777" w:rsidR="00F5289E" w:rsidRDefault="00C91173">
      <w:pPr>
        <w:shd w:val="solid" w:color="FFFFFF" w:fill="auto"/>
        <w:autoSpaceDN w:val="0"/>
        <w:spacing w:line="360" w:lineRule="auto"/>
        <w:ind w:leftChars="195" w:left="1632" w:hangingChars="580" w:hanging="1223"/>
        <w:rPr>
          <w:szCs w:val="21"/>
          <w:shd w:val="clear" w:color="auto" w:fill="FFFFFF"/>
        </w:rPr>
      </w:pPr>
      <w:r>
        <w:rPr>
          <w:b/>
          <w:szCs w:val="21"/>
        </w:rPr>
        <w:t>4.</w:t>
      </w:r>
      <w:r>
        <w:rPr>
          <w:b/>
          <w:szCs w:val="21"/>
        </w:rPr>
        <w:t>实验要求：</w:t>
      </w:r>
      <w:r>
        <w:rPr>
          <w:szCs w:val="21"/>
        </w:rPr>
        <w:t>学生要识别掌握常见切花花卉</w:t>
      </w:r>
      <w:r>
        <w:rPr>
          <w:szCs w:val="21"/>
        </w:rPr>
        <w:t>10</w:t>
      </w:r>
      <w:r>
        <w:rPr>
          <w:szCs w:val="21"/>
        </w:rPr>
        <w:t>种、盆栽花卉</w:t>
      </w:r>
      <w:r>
        <w:rPr>
          <w:szCs w:val="21"/>
        </w:rPr>
        <w:t>20</w:t>
      </w:r>
      <w:r>
        <w:rPr>
          <w:szCs w:val="21"/>
        </w:rPr>
        <w:t>种、室内观叶植物</w:t>
      </w:r>
      <w:r>
        <w:rPr>
          <w:szCs w:val="21"/>
        </w:rPr>
        <w:t>20</w:t>
      </w:r>
      <w:r>
        <w:rPr>
          <w:szCs w:val="21"/>
        </w:rPr>
        <w:t>种共计</w:t>
      </w:r>
      <w:r>
        <w:rPr>
          <w:szCs w:val="21"/>
        </w:rPr>
        <w:t>50</w:t>
      </w:r>
      <w:r>
        <w:rPr>
          <w:szCs w:val="21"/>
        </w:rPr>
        <w:t>种花卉，将</w:t>
      </w:r>
      <w:r>
        <w:rPr>
          <w:szCs w:val="21"/>
        </w:rPr>
        <w:t>50</w:t>
      </w:r>
      <w:r>
        <w:rPr>
          <w:szCs w:val="21"/>
        </w:rPr>
        <w:t>种花卉按种名、拉丁学名、科属、主要形态特征、观赏用途列表记录，写成书面实验报告。</w:t>
      </w:r>
    </w:p>
    <w:p w14:paraId="6364E53F" w14:textId="77777777" w:rsidR="00F5289E" w:rsidRDefault="00C91173">
      <w:pPr>
        <w:snapToGrid w:val="0"/>
        <w:spacing w:line="360" w:lineRule="auto"/>
        <w:ind w:firstLineChars="200" w:firstLine="422"/>
        <w:rPr>
          <w:b/>
          <w:bCs/>
          <w:szCs w:val="21"/>
        </w:rPr>
      </w:pPr>
      <w:r>
        <w:rPr>
          <w:b/>
          <w:bCs/>
          <w:szCs w:val="21"/>
        </w:rPr>
        <w:t>5.</w:t>
      </w:r>
      <w:r>
        <w:rPr>
          <w:b/>
          <w:bCs/>
          <w:szCs w:val="21"/>
        </w:rPr>
        <w:t>实验设备及器材：</w:t>
      </w:r>
      <w:r>
        <w:rPr>
          <w:bCs/>
          <w:szCs w:val="21"/>
        </w:rPr>
        <w:t>测量尺、笔记本。</w:t>
      </w:r>
    </w:p>
    <w:p w14:paraId="30BB90EF" w14:textId="77777777" w:rsidR="00F5289E" w:rsidRDefault="00C91173">
      <w:pPr>
        <w:snapToGrid w:val="0"/>
        <w:spacing w:line="360" w:lineRule="auto"/>
        <w:rPr>
          <w:szCs w:val="21"/>
        </w:rPr>
      </w:pPr>
      <w:r>
        <w:rPr>
          <w:szCs w:val="21"/>
        </w:rPr>
        <w:t>【</w:t>
      </w:r>
      <w:r>
        <w:rPr>
          <w:b/>
          <w:szCs w:val="21"/>
        </w:rPr>
        <w:t>实验四】</w:t>
      </w:r>
      <w:r>
        <w:rPr>
          <w:b/>
          <w:bCs/>
          <w:szCs w:val="21"/>
        </w:rPr>
        <w:t>碧沙岗公园参观及花坛设计</w:t>
      </w:r>
    </w:p>
    <w:p w14:paraId="26B3DBA5" w14:textId="77777777" w:rsidR="00F5289E" w:rsidRDefault="00C91173">
      <w:pPr>
        <w:snapToGrid w:val="0"/>
        <w:spacing w:line="360" w:lineRule="auto"/>
        <w:rPr>
          <w:szCs w:val="21"/>
        </w:rPr>
      </w:pPr>
      <w:r>
        <w:rPr>
          <w:szCs w:val="21"/>
        </w:rPr>
        <w:t xml:space="preserve">   </w:t>
      </w:r>
      <w:r>
        <w:rPr>
          <w:b/>
          <w:szCs w:val="21"/>
        </w:rPr>
        <w:t>1.</w:t>
      </w:r>
      <w:r>
        <w:rPr>
          <w:b/>
          <w:szCs w:val="21"/>
        </w:rPr>
        <w:t>实验学时：</w:t>
      </w:r>
      <w:r>
        <w:rPr>
          <w:bCs/>
          <w:szCs w:val="21"/>
        </w:rPr>
        <w:t>2</w:t>
      </w:r>
    </w:p>
    <w:p w14:paraId="5CFE12F8" w14:textId="77777777" w:rsidR="00F5289E" w:rsidRDefault="00C91173">
      <w:pPr>
        <w:snapToGrid w:val="0"/>
        <w:spacing w:line="360" w:lineRule="auto"/>
        <w:ind w:left="1470" w:hangingChars="700" w:hanging="1470"/>
        <w:rPr>
          <w:szCs w:val="21"/>
        </w:rPr>
      </w:pPr>
      <w:r>
        <w:rPr>
          <w:szCs w:val="21"/>
        </w:rPr>
        <w:t xml:space="preserve">   </w:t>
      </w:r>
      <w:r>
        <w:rPr>
          <w:b/>
          <w:szCs w:val="21"/>
        </w:rPr>
        <w:t>2.</w:t>
      </w:r>
      <w:r>
        <w:rPr>
          <w:b/>
          <w:szCs w:val="21"/>
        </w:rPr>
        <w:t>实验目的：</w:t>
      </w:r>
      <w:r>
        <w:rPr>
          <w:szCs w:val="21"/>
          <w:shd w:val="clear" w:color="auto" w:fill="FFFFFF"/>
        </w:rPr>
        <w:t>使学生了解公园中多种花卉的生态习性、繁殖方法及栽培管理技术，初步掌握花</w:t>
      </w:r>
      <w:r>
        <w:rPr>
          <w:szCs w:val="21"/>
          <w:shd w:val="clear" w:color="auto" w:fill="FFFFFF"/>
        </w:rPr>
        <w:lastRenderedPageBreak/>
        <w:t>坛中花卉的布置要素。</w:t>
      </w:r>
    </w:p>
    <w:p w14:paraId="1A2A9F9E" w14:textId="77777777" w:rsidR="00F5289E" w:rsidRDefault="00C91173">
      <w:pPr>
        <w:snapToGrid w:val="0"/>
        <w:spacing w:line="360" w:lineRule="auto"/>
        <w:ind w:left="1680" w:hangingChars="800" w:hanging="1680"/>
        <w:rPr>
          <w:szCs w:val="21"/>
        </w:rPr>
      </w:pPr>
      <w:r>
        <w:rPr>
          <w:szCs w:val="21"/>
        </w:rPr>
        <w:t xml:space="preserve">   </w:t>
      </w:r>
      <w:r>
        <w:rPr>
          <w:b/>
          <w:szCs w:val="21"/>
        </w:rPr>
        <w:t>3.</w:t>
      </w:r>
      <w:r>
        <w:rPr>
          <w:b/>
          <w:szCs w:val="21"/>
        </w:rPr>
        <w:t>实验内容：</w:t>
      </w:r>
      <w:r>
        <w:rPr>
          <w:szCs w:val="21"/>
        </w:rPr>
        <w:t>（</w:t>
      </w:r>
      <w:r>
        <w:rPr>
          <w:szCs w:val="21"/>
        </w:rPr>
        <w:t>1</w:t>
      </w:r>
      <w:r>
        <w:rPr>
          <w:szCs w:val="21"/>
        </w:rPr>
        <w:t>）了解公园中花卉的种类、繁殖方法。</w:t>
      </w:r>
    </w:p>
    <w:p w14:paraId="703A3CF9" w14:textId="77777777" w:rsidR="00F5289E" w:rsidRDefault="00C91173">
      <w:pPr>
        <w:snapToGrid w:val="0"/>
        <w:spacing w:line="360" w:lineRule="auto"/>
        <w:ind w:left="1687" w:hangingChars="800" w:hanging="1687"/>
        <w:rPr>
          <w:szCs w:val="21"/>
        </w:rPr>
      </w:pPr>
      <w:r>
        <w:rPr>
          <w:b/>
          <w:szCs w:val="21"/>
        </w:rPr>
        <w:t xml:space="preserve">         </w:t>
      </w:r>
      <w:r>
        <w:rPr>
          <w:szCs w:val="21"/>
        </w:rPr>
        <w:t xml:space="preserve">     </w:t>
      </w:r>
      <w:r>
        <w:rPr>
          <w:szCs w:val="21"/>
        </w:rPr>
        <w:t>（</w:t>
      </w:r>
      <w:r>
        <w:rPr>
          <w:szCs w:val="21"/>
        </w:rPr>
        <w:t>2</w:t>
      </w:r>
      <w:r>
        <w:rPr>
          <w:szCs w:val="21"/>
        </w:rPr>
        <w:t>）初步掌握简单的花坛设计。</w:t>
      </w:r>
    </w:p>
    <w:p w14:paraId="05420EBA" w14:textId="77777777" w:rsidR="00F5289E" w:rsidRDefault="00C91173">
      <w:pPr>
        <w:snapToGrid w:val="0"/>
        <w:spacing w:line="360" w:lineRule="auto"/>
        <w:ind w:leftChars="100" w:left="1470" w:hangingChars="600" w:hanging="1260"/>
        <w:rPr>
          <w:szCs w:val="21"/>
        </w:rPr>
      </w:pPr>
      <w:r>
        <w:rPr>
          <w:szCs w:val="21"/>
        </w:rPr>
        <w:t xml:space="preserve"> </w:t>
      </w:r>
      <w:r>
        <w:rPr>
          <w:b/>
          <w:szCs w:val="21"/>
        </w:rPr>
        <w:t>4.</w:t>
      </w:r>
      <w:r>
        <w:rPr>
          <w:b/>
          <w:szCs w:val="21"/>
        </w:rPr>
        <w:t>实验要求：</w:t>
      </w:r>
      <w:r>
        <w:rPr>
          <w:szCs w:val="21"/>
        </w:rPr>
        <w:t>每</w:t>
      </w:r>
      <w:r>
        <w:rPr>
          <w:szCs w:val="21"/>
        </w:rPr>
        <w:t>10</w:t>
      </w:r>
      <w:r>
        <w:rPr>
          <w:szCs w:val="21"/>
        </w:rPr>
        <w:t>人一组，设计一个小型花坛，并写进实验报告。</w:t>
      </w:r>
    </w:p>
    <w:p w14:paraId="523BA932" w14:textId="77777777" w:rsidR="00F5289E" w:rsidRDefault="00C91173">
      <w:pPr>
        <w:snapToGrid w:val="0"/>
        <w:spacing w:line="360" w:lineRule="auto"/>
        <w:rPr>
          <w:szCs w:val="21"/>
        </w:rPr>
      </w:pPr>
      <w:r>
        <w:rPr>
          <w:szCs w:val="21"/>
        </w:rPr>
        <w:t xml:space="preserve">  </w:t>
      </w:r>
      <w:r>
        <w:rPr>
          <w:b/>
          <w:szCs w:val="21"/>
        </w:rPr>
        <w:t xml:space="preserve"> 5.</w:t>
      </w:r>
      <w:r>
        <w:rPr>
          <w:b/>
          <w:szCs w:val="21"/>
        </w:rPr>
        <w:t>实验设备及器材：</w:t>
      </w:r>
      <w:r>
        <w:rPr>
          <w:szCs w:val="21"/>
        </w:rPr>
        <w:t>笔记本、相机、尺子、铅笔。</w:t>
      </w:r>
      <w:r>
        <w:rPr>
          <w:szCs w:val="21"/>
        </w:rPr>
        <w:t xml:space="preserve"> </w:t>
      </w:r>
    </w:p>
    <w:p w14:paraId="55D6C2C6" w14:textId="77777777" w:rsidR="00F5289E" w:rsidRDefault="00C91173">
      <w:pPr>
        <w:widowControl/>
        <w:adjustRightInd w:val="0"/>
        <w:snapToGrid w:val="0"/>
        <w:spacing w:beforeLines="50" w:before="156" w:line="360" w:lineRule="auto"/>
        <w:jc w:val="left"/>
        <w:rPr>
          <w:b/>
          <w:bCs/>
          <w:kern w:val="0"/>
          <w:szCs w:val="21"/>
        </w:rPr>
      </w:pPr>
      <w:r>
        <w:rPr>
          <w:b/>
          <w:bCs/>
          <w:kern w:val="0"/>
          <w:szCs w:val="21"/>
        </w:rPr>
        <w:t>六、课程思政</w:t>
      </w:r>
    </w:p>
    <w:p w14:paraId="2AFAF714" w14:textId="77777777" w:rsidR="00F5289E" w:rsidRDefault="00C91173">
      <w:pPr>
        <w:spacing w:line="360" w:lineRule="auto"/>
        <w:ind w:firstLineChars="200" w:firstLine="420"/>
        <w:rPr>
          <w:szCs w:val="21"/>
        </w:rPr>
      </w:pPr>
      <w:r>
        <w:rPr>
          <w:szCs w:val="21"/>
        </w:rPr>
        <w:t>在课程教学过程中将思政元素与专业课教育、学科教育相结合，注重教学内容与最新科研成果相结合、理论教学与实践教学相结合、线上教学与线下教学相结合，并将思政元素有效融入各个环节当中，使得专业课学习具有连贯性、系统性与引导性。</w:t>
      </w:r>
    </w:p>
    <w:p w14:paraId="78E5893D" w14:textId="77777777" w:rsidR="00F5289E" w:rsidRDefault="00C91173">
      <w:pPr>
        <w:spacing w:line="360" w:lineRule="auto"/>
        <w:ind w:firstLineChars="200" w:firstLine="420"/>
        <w:rPr>
          <w:bCs/>
          <w:color w:val="0000FF"/>
        </w:rPr>
      </w:pPr>
      <w:r>
        <w:rPr>
          <w:szCs w:val="21"/>
        </w:rPr>
        <w:t>例如，</w:t>
      </w:r>
      <w:r>
        <w:t>在讲解花卉发展史时，从我国牡丹栽培的历史引出牡丹文化，牡丹发展在盛世，太平盛世促进了牡丹文化的繁荣。而现如今中国牡丹适逢盛世，沐浴春晖，盛况空前，在许多栽培牡丹的地方每年都会举办盛大的牡丹花会，以弘扬牡丹文化和繁荣当地经济。</w:t>
      </w:r>
      <w:r>
        <w:t>“</w:t>
      </w:r>
      <w:r>
        <w:t>国运昌时花运昌</w:t>
      </w:r>
      <w:r>
        <w:t>”</w:t>
      </w:r>
      <w:r>
        <w:t>，牡丹象征着幸福和平、富贵吉祥、繁荣昌盛，更是我们中华民族伟大、勤劳、勇敢、善良的象征。在讲解月季时，我们可以引入中国现代月季奠基人吴赉熙、中国现代月季夫人蒋恩钿，吴赉熙在战火纷飞的年代将几百个月季品种带回国内，种在自家院子，在吴老仙逝后将这些月季品种交由蒋恩钿，蒋老不仅将月季精细打理、培育新品种，还通过查阅文献、深入研究，通过翔实的史料论证，考证出了</w:t>
      </w:r>
      <w:r>
        <w:t>“</w:t>
      </w:r>
      <w:r>
        <w:t>中国古老月季是世界现代月季之母</w:t>
      </w:r>
      <w:r>
        <w:t>”</w:t>
      </w:r>
      <w:r>
        <w:t>这一确凿结论，为中国现代月季的发展奠定了坚实的基础。通过这些讲述使学生潜移默化的树立家国情怀、爱国意识，实现</w:t>
      </w:r>
      <w:r>
        <w:t>“</w:t>
      </w:r>
      <w:r>
        <w:t>立德树人</w:t>
      </w:r>
      <w:r>
        <w:t>”</w:t>
      </w:r>
      <w:r>
        <w:t>的人才培养目标。在讲解花卉的栽培环境时，可以引出荷花的</w:t>
      </w:r>
      <w:r>
        <w:t>“</w:t>
      </w:r>
      <w:r>
        <w:t>出淤泥而不染，濯清涟而不妖</w:t>
      </w:r>
      <w:r>
        <w:t>”</w:t>
      </w:r>
      <w:r>
        <w:t>，告诫学生正直不屈、洁身自好，树立正确的道德观、价值观；也可以引出梅花的</w:t>
      </w:r>
      <w:r>
        <w:t>“</w:t>
      </w:r>
      <w:r>
        <w:t>已是悬崖百丈冰，犹有花枝俏</w:t>
      </w:r>
      <w:r>
        <w:t>”</w:t>
      </w:r>
      <w:r>
        <w:t>，使学生从诗词中了解到梅花的生长环境，更能感受梅花所象征的坚韧不拔精神和昂首怒放、笑迎春天的民族自信。</w:t>
      </w:r>
    </w:p>
    <w:p w14:paraId="18CED43C" w14:textId="77777777" w:rsidR="00F5289E" w:rsidRDefault="00C91173">
      <w:pPr>
        <w:widowControl/>
        <w:adjustRightInd w:val="0"/>
        <w:snapToGrid w:val="0"/>
        <w:spacing w:beforeLines="50" w:before="156" w:line="360" w:lineRule="auto"/>
        <w:jc w:val="left"/>
        <w:rPr>
          <w:b/>
          <w:bCs/>
          <w:kern w:val="0"/>
          <w:szCs w:val="21"/>
        </w:rPr>
      </w:pPr>
      <w:r>
        <w:rPr>
          <w:b/>
          <w:bCs/>
          <w:kern w:val="0"/>
          <w:szCs w:val="21"/>
        </w:rPr>
        <w:t>七、教材及教学参考书</w:t>
      </w:r>
    </w:p>
    <w:p w14:paraId="51B0CB00" w14:textId="77777777" w:rsidR="00F5289E" w:rsidRDefault="00C91173">
      <w:pPr>
        <w:spacing w:line="360" w:lineRule="auto"/>
        <w:ind w:firstLineChars="200" w:firstLine="422"/>
        <w:rPr>
          <w:b/>
          <w:bCs/>
          <w:shd w:val="clear" w:color="auto" w:fill="FFFFFF"/>
        </w:rPr>
      </w:pPr>
      <w:r>
        <w:rPr>
          <w:b/>
          <w:bCs/>
          <w:shd w:val="clear" w:color="auto" w:fill="FFFFFF"/>
        </w:rPr>
        <w:t>1</w:t>
      </w:r>
      <w:r>
        <w:rPr>
          <w:b/>
          <w:bCs/>
          <w:shd w:val="clear" w:color="auto" w:fill="FFFFFF"/>
        </w:rPr>
        <w:t>、选用教材：</w:t>
      </w:r>
    </w:p>
    <w:p w14:paraId="0668AA9A"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1</w:t>
      </w:r>
      <w:r>
        <w:rPr>
          <w:shd w:val="clear" w:color="auto" w:fill="FFFFFF"/>
        </w:rPr>
        <w:t>）理论课教材：《花卉学》，包满珠主编，中国农业出版社，</w:t>
      </w:r>
      <w:r>
        <w:rPr>
          <w:shd w:val="clear" w:color="auto" w:fill="FFFFFF"/>
        </w:rPr>
        <w:t>2018</w:t>
      </w:r>
      <w:r>
        <w:rPr>
          <w:shd w:val="clear" w:color="auto" w:fill="FFFFFF"/>
        </w:rPr>
        <w:t>年</w:t>
      </w:r>
    </w:p>
    <w:p w14:paraId="78658320"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2</w:t>
      </w:r>
      <w:r>
        <w:rPr>
          <w:shd w:val="clear" w:color="auto" w:fill="FFFFFF"/>
        </w:rPr>
        <w:t>）实验课教材：《实验、实习指导书》河南农业大学园艺学院编</w:t>
      </w:r>
    </w:p>
    <w:p w14:paraId="696450C4"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3</w:t>
      </w:r>
      <w:r>
        <w:rPr>
          <w:shd w:val="clear" w:color="auto" w:fill="FFFFFF"/>
        </w:rPr>
        <w:t>）实习指导书：《实验、实习指导书》河南农业大学园艺学院编</w:t>
      </w:r>
    </w:p>
    <w:p w14:paraId="487B7001" w14:textId="77777777" w:rsidR="00F5289E" w:rsidRDefault="00C91173">
      <w:pPr>
        <w:spacing w:line="360" w:lineRule="auto"/>
        <w:ind w:firstLineChars="200" w:firstLine="422"/>
        <w:rPr>
          <w:b/>
          <w:bCs/>
          <w:shd w:val="clear" w:color="auto" w:fill="FFFFFF"/>
        </w:rPr>
      </w:pPr>
      <w:r>
        <w:rPr>
          <w:b/>
          <w:bCs/>
          <w:shd w:val="clear" w:color="auto" w:fill="FFFFFF"/>
        </w:rPr>
        <w:t>2</w:t>
      </w:r>
      <w:r>
        <w:rPr>
          <w:b/>
          <w:bCs/>
          <w:shd w:val="clear" w:color="auto" w:fill="FFFFFF"/>
        </w:rPr>
        <w:t>、参考书：</w:t>
      </w:r>
    </w:p>
    <w:p w14:paraId="4284B96B"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1</w:t>
      </w:r>
      <w:r>
        <w:rPr>
          <w:shd w:val="clear" w:color="auto" w:fill="FFFFFF"/>
        </w:rPr>
        <w:t>）《园林花卉学（第三版）》刘燕主编，中国林业出版社出版，</w:t>
      </w:r>
      <w:r>
        <w:rPr>
          <w:shd w:val="clear" w:color="auto" w:fill="FFFFFF"/>
        </w:rPr>
        <w:t>2019</w:t>
      </w:r>
      <w:r>
        <w:rPr>
          <w:shd w:val="clear" w:color="auto" w:fill="FFFFFF"/>
        </w:rPr>
        <w:t>年</w:t>
      </w:r>
    </w:p>
    <w:p w14:paraId="78CA1CA7" w14:textId="77777777" w:rsidR="00F5289E" w:rsidRDefault="00C91173">
      <w:pPr>
        <w:spacing w:line="360" w:lineRule="auto"/>
        <w:ind w:firstLineChars="200" w:firstLine="420"/>
        <w:rPr>
          <w:shd w:val="clear" w:color="auto" w:fill="FFFFFF"/>
        </w:rPr>
      </w:pPr>
      <w:r>
        <w:rPr>
          <w:shd w:val="clear" w:color="auto" w:fill="FFFFFF"/>
        </w:rPr>
        <w:lastRenderedPageBreak/>
        <w:t>（</w:t>
      </w:r>
      <w:r>
        <w:rPr>
          <w:shd w:val="clear" w:color="auto" w:fill="FFFFFF"/>
        </w:rPr>
        <w:t>2</w:t>
      </w:r>
      <w:r>
        <w:rPr>
          <w:shd w:val="clear" w:color="auto" w:fill="FFFFFF"/>
        </w:rPr>
        <w:t>）《中国花经》陈俊愉、程绪珂主编，上海文化出版社，</w:t>
      </w:r>
      <w:r>
        <w:rPr>
          <w:shd w:val="clear" w:color="auto" w:fill="FFFFFF"/>
        </w:rPr>
        <w:t>1990</w:t>
      </w:r>
      <w:r>
        <w:rPr>
          <w:shd w:val="clear" w:color="auto" w:fill="FFFFFF"/>
        </w:rPr>
        <w:t>年</w:t>
      </w:r>
    </w:p>
    <w:p w14:paraId="7CBA2A40"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3</w:t>
      </w:r>
      <w:r>
        <w:rPr>
          <w:shd w:val="clear" w:color="auto" w:fill="FFFFFF"/>
        </w:rPr>
        <w:t>）《花卉学（第三版）》包满珠主编，中国农业出版社，</w:t>
      </w:r>
      <w:r>
        <w:rPr>
          <w:shd w:val="clear" w:color="auto" w:fill="FFFFFF"/>
        </w:rPr>
        <w:t>2011</w:t>
      </w:r>
      <w:r>
        <w:rPr>
          <w:shd w:val="clear" w:color="auto" w:fill="FFFFFF"/>
        </w:rPr>
        <w:t>年</w:t>
      </w:r>
    </w:p>
    <w:p w14:paraId="0CF3D58F"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4</w:t>
      </w:r>
      <w:r>
        <w:rPr>
          <w:shd w:val="clear" w:color="auto" w:fill="FFFFFF"/>
        </w:rPr>
        <w:t>）《世界园林植物与花卉百科全书》杨秋生、李振宇主译，河南科学技术出版</w:t>
      </w:r>
      <w:r>
        <w:rPr>
          <w:shd w:val="clear" w:color="auto" w:fill="FFFFFF"/>
        </w:rPr>
        <w:t xml:space="preserve"> </w:t>
      </w:r>
    </w:p>
    <w:p w14:paraId="01548F9E" w14:textId="77777777" w:rsidR="00F5289E" w:rsidRDefault="00C91173">
      <w:pPr>
        <w:spacing w:line="360" w:lineRule="auto"/>
        <w:ind w:firstLineChars="200" w:firstLine="420"/>
        <w:rPr>
          <w:shd w:val="clear" w:color="auto" w:fill="FFFFFF"/>
        </w:rPr>
      </w:pPr>
      <w:r>
        <w:rPr>
          <w:shd w:val="clear" w:color="auto" w:fill="FFFFFF"/>
        </w:rPr>
        <w:t>社，</w:t>
      </w:r>
      <w:r>
        <w:rPr>
          <w:shd w:val="clear" w:color="auto" w:fill="FFFFFF"/>
        </w:rPr>
        <w:t>2004</w:t>
      </w:r>
      <w:r>
        <w:rPr>
          <w:shd w:val="clear" w:color="auto" w:fill="FFFFFF"/>
        </w:rPr>
        <w:t>年</w:t>
      </w:r>
    </w:p>
    <w:p w14:paraId="24164A83" w14:textId="77777777" w:rsidR="00F5289E" w:rsidRDefault="00C91173">
      <w:pPr>
        <w:spacing w:line="360" w:lineRule="auto"/>
        <w:ind w:firstLineChars="200" w:firstLine="422"/>
        <w:rPr>
          <w:b/>
          <w:bCs/>
          <w:shd w:val="clear" w:color="auto" w:fill="FFFFFF"/>
        </w:rPr>
      </w:pPr>
      <w:r>
        <w:rPr>
          <w:b/>
          <w:bCs/>
          <w:shd w:val="clear" w:color="auto" w:fill="FFFFFF"/>
        </w:rPr>
        <w:t>3</w:t>
      </w:r>
      <w:r>
        <w:rPr>
          <w:b/>
          <w:bCs/>
          <w:shd w:val="clear" w:color="auto" w:fill="FFFFFF"/>
        </w:rPr>
        <w:t>、推荐网站：</w:t>
      </w:r>
    </w:p>
    <w:p w14:paraId="06353A38" w14:textId="77777777" w:rsidR="00F5289E" w:rsidRDefault="00C91173">
      <w:pPr>
        <w:spacing w:line="360" w:lineRule="auto"/>
        <w:ind w:firstLineChars="200" w:firstLine="420"/>
        <w:rPr>
          <w:shd w:val="clear" w:color="auto" w:fill="FFFFFF"/>
        </w:rPr>
      </w:pPr>
      <w:r>
        <w:rPr>
          <w:shd w:val="clear" w:color="auto" w:fill="FFFFFF"/>
        </w:rPr>
        <w:t>（</w:t>
      </w:r>
      <w:r>
        <w:rPr>
          <w:shd w:val="clear" w:color="auto" w:fill="FFFFFF"/>
        </w:rPr>
        <w:t>1</w:t>
      </w:r>
      <w:r>
        <w:rPr>
          <w:shd w:val="clear" w:color="auto" w:fill="FFFFFF"/>
        </w:rPr>
        <w:t>）中国花卉网，</w:t>
      </w:r>
      <w:r>
        <w:rPr>
          <w:shd w:val="clear" w:color="auto" w:fill="FFFFFF"/>
        </w:rPr>
        <w:t>http://www.china-flower.com/</w:t>
      </w:r>
    </w:p>
    <w:p w14:paraId="43071EEB" w14:textId="77777777" w:rsidR="00F5289E" w:rsidRDefault="00C91173">
      <w:pPr>
        <w:spacing w:line="360" w:lineRule="auto"/>
        <w:ind w:firstLineChars="200" w:firstLine="420"/>
        <w:rPr>
          <w:b/>
          <w:bCs/>
          <w:kern w:val="0"/>
          <w:szCs w:val="21"/>
        </w:rPr>
      </w:pPr>
      <w:r>
        <w:rPr>
          <w:shd w:val="clear" w:color="auto" w:fill="FFFFFF"/>
        </w:rPr>
        <w:t>（</w:t>
      </w:r>
      <w:r>
        <w:rPr>
          <w:shd w:val="clear" w:color="auto" w:fill="FFFFFF"/>
        </w:rPr>
        <w:t>2</w:t>
      </w:r>
      <w:r>
        <w:rPr>
          <w:shd w:val="clear" w:color="auto" w:fill="FFFFFF"/>
        </w:rPr>
        <w:t>）花卉世界网，</w:t>
      </w:r>
      <w:r>
        <w:rPr>
          <w:shd w:val="clear" w:color="auto" w:fill="FFFFFF"/>
        </w:rPr>
        <w:t>http://www.flowerworld.com.cn/ </w:t>
      </w:r>
    </w:p>
    <w:p w14:paraId="0339F1C8" w14:textId="77777777" w:rsidR="00F5289E" w:rsidRDefault="00C91173">
      <w:pPr>
        <w:widowControl/>
        <w:adjustRightInd w:val="0"/>
        <w:snapToGrid w:val="0"/>
        <w:spacing w:beforeLines="50" w:before="156" w:line="360" w:lineRule="auto"/>
        <w:jc w:val="left"/>
        <w:rPr>
          <w:b/>
          <w:bCs/>
          <w:kern w:val="0"/>
          <w:szCs w:val="21"/>
        </w:rPr>
      </w:pPr>
      <w:r>
        <w:rPr>
          <w:b/>
          <w:bCs/>
          <w:kern w:val="0"/>
          <w:szCs w:val="21"/>
        </w:rPr>
        <w:t>八、教学条件</w:t>
      </w:r>
    </w:p>
    <w:p w14:paraId="60FD3DB3" w14:textId="77777777" w:rsidR="00F5289E" w:rsidRDefault="00C91173">
      <w:pPr>
        <w:snapToGrid w:val="0"/>
        <w:spacing w:line="360" w:lineRule="auto"/>
        <w:ind w:firstLineChars="200" w:firstLine="420"/>
        <w:rPr>
          <w:b/>
          <w:bCs/>
          <w:kern w:val="0"/>
          <w:szCs w:val="21"/>
        </w:rPr>
      </w:pPr>
      <w:r>
        <w:rPr>
          <w:szCs w:val="21"/>
        </w:rPr>
        <w:t>每个课头至少需要</w:t>
      </w:r>
      <w:r>
        <w:rPr>
          <w:szCs w:val="21"/>
        </w:rPr>
        <w:t>1</w:t>
      </w:r>
      <w:r>
        <w:rPr>
          <w:szCs w:val="21"/>
        </w:rPr>
        <w:t>名专职教师。实验和实习多在观赏植物园进行，目前郑州市周边可以满足需求，园艺植物生理生态实验室可以满足室内试验的需求。</w:t>
      </w:r>
    </w:p>
    <w:p w14:paraId="6E34F722" w14:textId="77777777" w:rsidR="00F5289E" w:rsidRDefault="00C91173">
      <w:pPr>
        <w:widowControl/>
        <w:adjustRightInd w:val="0"/>
        <w:snapToGrid w:val="0"/>
        <w:spacing w:beforeLines="50" w:before="156" w:line="360" w:lineRule="auto"/>
        <w:jc w:val="left"/>
        <w:rPr>
          <w:b/>
          <w:bCs/>
          <w:kern w:val="0"/>
          <w:szCs w:val="21"/>
        </w:rPr>
      </w:pPr>
      <w:r>
        <w:rPr>
          <w:b/>
          <w:bCs/>
          <w:kern w:val="0"/>
          <w:szCs w:val="21"/>
        </w:rPr>
        <w:t>九、教学考核评价</w:t>
      </w:r>
    </w:p>
    <w:p w14:paraId="00F9D4E8" w14:textId="77777777" w:rsidR="00F5289E" w:rsidRDefault="00C91173">
      <w:pPr>
        <w:widowControl/>
        <w:spacing w:line="360" w:lineRule="auto"/>
        <w:ind w:firstLineChars="200" w:firstLine="422"/>
        <w:jc w:val="left"/>
        <w:rPr>
          <w:color w:val="353535"/>
          <w:kern w:val="0"/>
          <w:szCs w:val="21"/>
        </w:rPr>
      </w:pPr>
      <w:r>
        <w:rPr>
          <w:b/>
          <w:bCs/>
          <w:kern w:val="0"/>
          <w:szCs w:val="21"/>
        </w:rPr>
        <w:t>1.</w:t>
      </w:r>
      <w:r>
        <w:rPr>
          <w:b/>
          <w:bCs/>
          <w:kern w:val="0"/>
          <w:szCs w:val="21"/>
        </w:rPr>
        <w:t>过程性评价：</w:t>
      </w:r>
      <w:r>
        <w:rPr>
          <w:color w:val="353535"/>
          <w:kern w:val="0"/>
          <w:szCs w:val="21"/>
        </w:rPr>
        <w:t>本门课程的过程性考核分为平时成绩、实验成绩、实习考核、翻转课堂四个环节</w:t>
      </w:r>
      <w:r>
        <w:rPr>
          <w:rFonts w:hint="eastAsia"/>
          <w:color w:val="353535"/>
          <w:kern w:val="0"/>
          <w:szCs w:val="21"/>
        </w:rPr>
        <w:t>，</w:t>
      </w:r>
      <w:r>
        <w:rPr>
          <w:rFonts w:hint="eastAsia"/>
          <w:kern w:val="0"/>
          <w:szCs w:val="21"/>
        </w:rPr>
        <w:t>占比</w:t>
      </w:r>
      <w:r>
        <w:rPr>
          <w:rFonts w:hint="eastAsia"/>
          <w:kern w:val="0"/>
          <w:szCs w:val="21"/>
        </w:rPr>
        <w:t>40%</w:t>
      </w:r>
      <w:r>
        <w:rPr>
          <w:rFonts w:hint="eastAsia"/>
          <w:kern w:val="0"/>
          <w:szCs w:val="21"/>
        </w:rPr>
        <w:t>。</w:t>
      </w:r>
      <w:r>
        <w:rPr>
          <w:color w:val="353535"/>
          <w:kern w:val="0"/>
          <w:szCs w:val="21"/>
        </w:rPr>
        <w:t>平时成绩包括平时学习情况、课堂提问、小组讨论表现、作业、考勤等，占比</w:t>
      </w:r>
      <w:r>
        <w:rPr>
          <w:color w:val="353535"/>
          <w:kern w:val="0"/>
          <w:szCs w:val="21"/>
        </w:rPr>
        <w:t>10%</w:t>
      </w:r>
      <w:r>
        <w:rPr>
          <w:color w:val="353535"/>
          <w:kern w:val="0"/>
          <w:szCs w:val="21"/>
        </w:rPr>
        <w:t>；实验成绩包括考勤和实验报告，占比</w:t>
      </w:r>
      <w:r>
        <w:rPr>
          <w:color w:val="353535"/>
          <w:kern w:val="0"/>
          <w:szCs w:val="21"/>
        </w:rPr>
        <w:t>10%</w:t>
      </w:r>
      <w:r>
        <w:rPr>
          <w:color w:val="353535"/>
          <w:kern w:val="0"/>
          <w:szCs w:val="21"/>
        </w:rPr>
        <w:t>；实习考核包括考勤、实习报告，占比</w:t>
      </w:r>
      <w:r>
        <w:rPr>
          <w:color w:val="353535"/>
          <w:kern w:val="0"/>
          <w:szCs w:val="21"/>
        </w:rPr>
        <w:t>10%</w:t>
      </w:r>
      <w:r>
        <w:rPr>
          <w:color w:val="353535"/>
          <w:kern w:val="0"/>
          <w:szCs w:val="21"/>
        </w:rPr>
        <w:t>；翻转课堂主要是分小组进行课程相关内容讲解，占比</w:t>
      </w:r>
      <w:r>
        <w:rPr>
          <w:color w:val="353535"/>
          <w:kern w:val="0"/>
          <w:szCs w:val="21"/>
        </w:rPr>
        <w:t>10%</w:t>
      </w:r>
      <w:r>
        <w:rPr>
          <w:color w:val="353535"/>
          <w:kern w:val="0"/>
          <w:szCs w:val="21"/>
        </w:rPr>
        <w:t>。</w:t>
      </w:r>
    </w:p>
    <w:p w14:paraId="0B697E02" w14:textId="77777777" w:rsidR="00F5289E" w:rsidRDefault="00C91173">
      <w:pPr>
        <w:widowControl/>
        <w:snapToGrid w:val="0"/>
        <w:spacing w:line="360" w:lineRule="auto"/>
        <w:ind w:firstLine="420"/>
        <w:jc w:val="left"/>
        <w:rPr>
          <w:b/>
          <w:bCs/>
          <w:color w:val="0000FF"/>
          <w:kern w:val="0"/>
          <w:szCs w:val="21"/>
        </w:rPr>
      </w:pPr>
      <w:r>
        <w:rPr>
          <w:b/>
          <w:bCs/>
          <w:kern w:val="0"/>
          <w:szCs w:val="21"/>
        </w:rPr>
        <w:t>2.</w:t>
      </w:r>
      <w:r>
        <w:rPr>
          <w:b/>
          <w:bCs/>
          <w:kern w:val="0"/>
          <w:szCs w:val="21"/>
        </w:rPr>
        <w:t>终结性评价：</w:t>
      </w:r>
      <w:r>
        <w:rPr>
          <w:kern w:val="0"/>
          <w:szCs w:val="21"/>
        </w:rPr>
        <w:t>主要以期末考试为主，占比</w:t>
      </w:r>
      <w:r>
        <w:rPr>
          <w:kern w:val="0"/>
          <w:szCs w:val="21"/>
        </w:rPr>
        <w:t>60%</w:t>
      </w:r>
      <w:r>
        <w:rPr>
          <w:kern w:val="0"/>
          <w:szCs w:val="21"/>
        </w:rPr>
        <w:t>。其中固定答案试题占比</w:t>
      </w:r>
      <w:r>
        <w:rPr>
          <w:kern w:val="0"/>
          <w:szCs w:val="21"/>
        </w:rPr>
        <w:t>40%</w:t>
      </w:r>
      <w:r>
        <w:rPr>
          <w:kern w:val="0"/>
          <w:szCs w:val="21"/>
        </w:rPr>
        <w:t>，开放性试题占比</w:t>
      </w:r>
      <w:r>
        <w:rPr>
          <w:kern w:val="0"/>
          <w:szCs w:val="21"/>
        </w:rPr>
        <w:t>20%</w:t>
      </w:r>
      <w:r>
        <w:rPr>
          <w:kern w:val="0"/>
          <w:szCs w:val="21"/>
        </w:rPr>
        <w:t>。</w:t>
      </w:r>
    </w:p>
    <w:p w14:paraId="6913CF45" w14:textId="77777777" w:rsidR="00F5289E" w:rsidRDefault="00C91173">
      <w:pPr>
        <w:widowControl/>
        <w:snapToGrid w:val="0"/>
        <w:spacing w:line="360" w:lineRule="auto"/>
        <w:ind w:firstLine="420"/>
        <w:jc w:val="left"/>
      </w:pPr>
      <w:r>
        <w:rPr>
          <w:b/>
          <w:bCs/>
          <w:kern w:val="0"/>
          <w:szCs w:val="21"/>
        </w:rPr>
        <w:t>3.</w:t>
      </w:r>
      <w:r>
        <w:rPr>
          <w:b/>
          <w:bCs/>
          <w:kern w:val="0"/>
          <w:szCs w:val="21"/>
        </w:rPr>
        <w:t>课程综合评价：</w:t>
      </w:r>
      <w:r>
        <w:rPr>
          <w:kern w:val="0"/>
          <w:szCs w:val="21"/>
        </w:rPr>
        <w:t>过程性评价</w:t>
      </w:r>
      <w:r>
        <w:rPr>
          <w:kern w:val="0"/>
          <w:szCs w:val="21"/>
        </w:rPr>
        <w:t>40%+</w:t>
      </w:r>
      <w:r>
        <w:rPr>
          <w:kern w:val="0"/>
          <w:szCs w:val="21"/>
        </w:rPr>
        <w:t>期末考试成绩</w:t>
      </w:r>
      <w:r>
        <w:rPr>
          <w:kern w:val="0"/>
          <w:szCs w:val="21"/>
        </w:rPr>
        <w:t>60%</w:t>
      </w:r>
    </w:p>
    <w:p w14:paraId="3803666B"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bookmarkStart w:id="79" w:name="_Hlk39004479"/>
      <w:bookmarkEnd w:id="79"/>
    </w:p>
    <w:p w14:paraId="757CD8A8" w14:textId="77777777" w:rsidR="00F5289E" w:rsidRDefault="00C91173">
      <w:pPr>
        <w:pStyle w:val="1"/>
      </w:pPr>
      <w:bookmarkStart w:id="80" w:name="_Toc138606247"/>
      <w:r>
        <w:rPr>
          <w:rFonts w:hint="eastAsia"/>
        </w:rPr>
        <w:lastRenderedPageBreak/>
        <w:t>设施果树栽培学</w:t>
      </w:r>
      <w:bookmarkEnd w:id="80"/>
    </w:p>
    <w:p w14:paraId="5190914D" w14:textId="77777777" w:rsidR="00F5289E" w:rsidRDefault="00C91173">
      <w:pPr>
        <w:spacing w:line="360" w:lineRule="auto"/>
        <w:jc w:val="center"/>
        <w:rPr>
          <w:rFonts w:asciiTheme="minorEastAsia" w:eastAsiaTheme="minorEastAsia" w:hAnsiTheme="minorEastAsia"/>
          <w:szCs w:val="21"/>
        </w:rPr>
      </w:pPr>
      <w:r>
        <w:rPr>
          <w:rFonts w:eastAsiaTheme="minorEastAsia"/>
          <w:iCs/>
          <w:sz w:val="24"/>
        </w:rPr>
        <w:t>Protected Pomology</w:t>
      </w:r>
    </w:p>
    <w:p w14:paraId="322322F2" w14:textId="77777777" w:rsidR="00F5289E" w:rsidRDefault="00F5289E">
      <w:pPr>
        <w:snapToGrid w:val="0"/>
        <w:spacing w:line="360" w:lineRule="auto"/>
        <w:jc w:val="center"/>
        <w:rPr>
          <w:b/>
          <w:szCs w:val="21"/>
        </w:rPr>
      </w:pPr>
    </w:p>
    <w:p w14:paraId="09006DF1"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2800"/>
        <w:gridCol w:w="3088"/>
      </w:tblGrid>
      <w:tr w:rsidR="00F5289E" w14:paraId="363C44BE" w14:textId="77777777" w:rsidTr="00E73F67">
        <w:tc>
          <w:tcPr>
            <w:tcW w:w="1692" w:type="pct"/>
          </w:tcPr>
          <w:p w14:paraId="708669B9"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Theme="minorEastAsia" w:eastAsiaTheme="minorEastAsia" w:hAnsiTheme="minorEastAsia"/>
                <w:szCs w:val="21"/>
              </w:rPr>
              <w:t>19011</w:t>
            </w:r>
            <w:r>
              <w:rPr>
                <w:rFonts w:asciiTheme="minorEastAsia" w:eastAsiaTheme="minorEastAsia" w:hAnsiTheme="minorEastAsia" w:hint="eastAsia"/>
                <w:szCs w:val="21"/>
              </w:rPr>
              <w:t>158</w:t>
            </w:r>
            <w:r>
              <w:rPr>
                <w:rFonts w:asciiTheme="minorEastAsia" w:eastAsiaTheme="minorEastAsia" w:hAnsiTheme="minorEastAsia"/>
                <w:szCs w:val="21"/>
              </w:rPr>
              <w:t>h</w:t>
            </w:r>
          </w:p>
        </w:tc>
        <w:tc>
          <w:tcPr>
            <w:tcW w:w="1573" w:type="pct"/>
          </w:tcPr>
          <w:p w14:paraId="6F92E0BB"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hint="eastAsia"/>
                <w:szCs w:val="21"/>
              </w:rPr>
              <w:t>40</w:t>
            </w:r>
          </w:p>
        </w:tc>
        <w:tc>
          <w:tcPr>
            <w:tcW w:w="1735" w:type="pct"/>
          </w:tcPr>
          <w:p w14:paraId="70C44FF4" w14:textId="2340F462"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szCs w:val="21"/>
              </w:rPr>
              <w:t>8</w:t>
            </w:r>
          </w:p>
        </w:tc>
      </w:tr>
      <w:tr w:rsidR="00F5289E" w14:paraId="20AA02AD" w14:textId="77777777" w:rsidTr="00E73F67">
        <w:tc>
          <w:tcPr>
            <w:tcW w:w="1692" w:type="pct"/>
          </w:tcPr>
          <w:p w14:paraId="412605AA"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ascii="宋体" w:hAnsi="宋体" w:hint="eastAsia"/>
                <w:szCs w:val="21"/>
              </w:rPr>
              <w:t>必修</w:t>
            </w:r>
          </w:p>
        </w:tc>
        <w:tc>
          <w:tcPr>
            <w:tcW w:w="1573" w:type="pct"/>
          </w:tcPr>
          <w:p w14:paraId="6AB42006"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bCs/>
                <w:szCs w:val="21"/>
              </w:rPr>
              <w:t>专业类</w:t>
            </w:r>
          </w:p>
        </w:tc>
        <w:tc>
          <w:tcPr>
            <w:tcW w:w="1735" w:type="pct"/>
          </w:tcPr>
          <w:p w14:paraId="1B3D7B25"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第5学期</w:t>
            </w:r>
          </w:p>
        </w:tc>
      </w:tr>
      <w:tr w:rsidR="00F5289E" w14:paraId="10B221C5" w14:textId="77777777" w:rsidTr="00E73F67">
        <w:tc>
          <w:tcPr>
            <w:tcW w:w="1692" w:type="pct"/>
          </w:tcPr>
          <w:p w14:paraId="35355E38"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冯建灿</w:t>
            </w:r>
          </w:p>
        </w:tc>
        <w:tc>
          <w:tcPr>
            <w:tcW w:w="1573" w:type="pct"/>
          </w:tcPr>
          <w:p w14:paraId="5B6C6D19"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果树栽培学教学团队</w:t>
            </w:r>
          </w:p>
        </w:tc>
        <w:tc>
          <w:tcPr>
            <w:tcW w:w="1735" w:type="pct"/>
          </w:tcPr>
          <w:p w14:paraId="69A2415B"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szCs w:val="21"/>
              </w:rPr>
              <w:t>中文</w:t>
            </w:r>
          </w:p>
        </w:tc>
      </w:tr>
      <w:tr w:rsidR="00F5289E" w14:paraId="7A451EFA" w14:textId="77777777">
        <w:tc>
          <w:tcPr>
            <w:tcW w:w="5000" w:type="pct"/>
            <w:gridSpan w:val="3"/>
          </w:tcPr>
          <w:p w14:paraId="1CC630A6" w14:textId="77777777" w:rsidR="00F5289E" w:rsidRDefault="00C91173">
            <w:pPr>
              <w:spacing w:line="300" w:lineRule="auto"/>
              <w:ind w:rightChars="-81" w:right="-170"/>
              <w:rPr>
                <w:rFonts w:ascii="宋体" w:eastAsiaTheme="minorEastAsia" w:hAnsi="宋体"/>
                <w:bCs/>
                <w:color w:val="0000FF"/>
                <w:szCs w:val="21"/>
              </w:rPr>
            </w:pPr>
            <w:r>
              <w:rPr>
                <w:rFonts w:ascii="宋体" w:hAnsi="宋体" w:hint="eastAsia"/>
                <w:b/>
                <w:bCs/>
                <w:szCs w:val="21"/>
              </w:rPr>
              <w:t>适用专业：</w:t>
            </w:r>
            <w:r>
              <w:rPr>
                <w:rFonts w:asciiTheme="minorEastAsia" w:eastAsiaTheme="minorEastAsia" w:hAnsiTheme="minorEastAsia" w:hint="eastAsia"/>
                <w:szCs w:val="21"/>
              </w:rPr>
              <w:t>设施</w:t>
            </w:r>
            <w:r>
              <w:rPr>
                <w:rFonts w:asciiTheme="minorEastAsia" w:eastAsiaTheme="minorEastAsia" w:hAnsiTheme="minorEastAsia"/>
                <w:szCs w:val="21"/>
              </w:rPr>
              <w:t>农业</w:t>
            </w:r>
            <w:r>
              <w:rPr>
                <w:rFonts w:asciiTheme="minorEastAsia" w:eastAsiaTheme="minorEastAsia" w:hAnsiTheme="minorEastAsia" w:hint="eastAsia"/>
                <w:szCs w:val="21"/>
              </w:rPr>
              <w:t>科学</w:t>
            </w:r>
            <w:r>
              <w:rPr>
                <w:rFonts w:asciiTheme="minorEastAsia" w:eastAsiaTheme="minorEastAsia" w:hAnsiTheme="minorEastAsia"/>
                <w:szCs w:val="21"/>
              </w:rPr>
              <w:t>与</w:t>
            </w:r>
            <w:r>
              <w:rPr>
                <w:rFonts w:asciiTheme="minorEastAsia" w:eastAsiaTheme="minorEastAsia" w:hAnsiTheme="minorEastAsia" w:hint="eastAsia"/>
                <w:szCs w:val="21"/>
              </w:rPr>
              <w:t>工程；核心</w:t>
            </w:r>
          </w:p>
        </w:tc>
      </w:tr>
      <w:tr w:rsidR="00F5289E" w14:paraId="61DF534A" w14:textId="77777777">
        <w:tc>
          <w:tcPr>
            <w:tcW w:w="5000" w:type="pct"/>
            <w:gridSpan w:val="3"/>
          </w:tcPr>
          <w:p w14:paraId="48C25262" w14:textId="77777777" w:rsidR="00F5289E" w:rsidRDefault="00C91173">
            <w:pPr>
              <w:spacing w:line="300" w:lineRule="auto"/>
              <w:rPr>
                <w:rFonts w:ascii="宋体" w:eastAsiaTheme="minorEastAsia" w:hAnsi="宋体"/>
                <w:b/>
                <w:bCs/>
                <w:szCs w:val="21"/>
              </w:rPr>
            </w:pPr>
            <w:r>
              <w:rPr>
                <w:rFonts w:ascii="宋体" w:hAnsi="宋体" w:hint="eastAsia"/>
                <w:b/>
                <w:bCs/>
                <w:szCs w:val="21"/>
              </w:rPr>
              <w:t>对先修的要求：</w:t>
            </w:r>
            <w:r>
              <w:rPr>
                <w:rFonts w:ascii="宋体" w:hAnsi="宋体" w:hint="eastAsia"/>
                <w:szCs w:val="21"/>
              </w:rPr>
              <w:t>掌握基本的化学知识，了解常规的化学反应；了解植物对营养物质的吸收、运输、转化和利用等方面相关知识；掌握植物细胞、种子和植物组织的基本概念；掌握植物水分生理、矿质营养、光合作用和植物生长物质相关知识。对先修课程的要求：</w:t>
            </w:r>
            <w:r>
              <w:rPr>
                <w:rFonts w:asciiTheme="minorEastAsia" w:eastAsiaTheme="minorEastAsia" w:hAnsiTheme="minorEastAsia" w:hint="eastAsia"/>
                <w:szCs w:val="21"/>
              </w:rPr>
              <w:t>植物学</w:t>
            </w:r>
            <w:r>
              <w:rPr>
                <w:rFonts w:asciiTheme="minorEastAsia" w:eastAsiaTheme="minorEastAsia" w:hAnsiTheme="minorEastAsia"/>
                <w:szCs w:val="21"/>
              </w:rPr>
              <w:t>、植物生理学、土壤肥料学、生物化学、园艺设施学</w:t>
            </w:r>
            <w:r>
              <w:rPr>
                <w:rFonts w:asciiTheme="minorEastAsia" w:eastAsiaTheme="minorEastAsia" w:hAnsiTheme="minorEastAsia" w:hint="eastAsia"/>
                <w:szCs w:val="21"/>
              </w:rPr>
              <w:t>。</w:t>
            </w:r>
          </w:p>
        </w:tc>
      </w:tr>
      <w:tr w:rsidR="00F5289E" w14:paraId="2889A9D1" w14:textId="77777777">
        <w:tc>
          <w:tcPr>
            <w:tcW w:w="5000" w:type="pct"/>
            <w:gridSpan w:val="3"/>
          </w:tcPr>
          <w:p w14:paraId="4F8B27FB"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szCs w:val="21"/>
              </w:rPr>
              <w:t>对后续《设施农业装备与信息化》果树设施装备、田间管理设备等起到引导学习和理论支撑。</w:t>
            </w:r>
          </w:p>
        </w:tc>
      </w:tr>
      <w:tr w:rsidR="00F5289E" w14:paraId="1DF97DF9" w14:textId="77777777" w:rsidTr="00E73F67">
        <w:tc>
          <w:tcPr>
            <w:tcW w:w="1692" w:type="pct"/>
          </w:tcPr>
          <w:p w14:paraId="44448467"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焦健、</w:t>
            </w:r>
            <w:r>
              <w:rPr>
                <w:rFonts w:asciiTheme="minorEastAsia" w:eastAsiaTheme="minorEastAsia" w:hAnsiTheme="minorEastAsia" w:hint="eastAsia"/>
                <w:szCs w:val="21"/>
              </w:rPr>
              <w:t>史江莉、简在海</w:t>
            </w:r>
          </w:p>
        </w:tc>
        <w:tc>
          <w:tcPr>
            <w:tcW w:w="1573" w:type="pct"/>
          </w:tcPr>
          <w:p w14:paraId="13983637"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Theme="minorEastAsia" w:eastAsiaTheme="minorEastAsia" w:hAnsiTheme="minorEastAsia" w:hint="eastAsia"/>
                <w:szCs w:val="21"/>
              </w:rPr>
              <w:t>郑先波、白团辉</w:t>
            </w:r>
          </w:p>
        </w:tc>
        <w:tc>
          <w:tcPr>
            <w:tcW w:w="1735" w:type="pct"/>
          </w:tcPr>
          <w:p w14:paraId="5164AACE"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2023</w:t>
            </w:r>
            <w:r w:rsidR="00E73F67">
              <w:rPr>
                <w:rFonts w:ascii="宋体" w:hAnsi="宋体"/>
                <w:szCs w:val="21"/>
              </w:rPr>
              <w:t>.05</w:t>
            </w:r>
          </w:p>
        </w:tc>
      </w:tr>
    </w:tbl>
    <w:p w14:paraId="07628AD5" w14:textId="77777777" w:rsidR="00F5289E" w:rsidRDefault="00F5289E">
      <w:pPr>
        <w:widowControl/>
        <w:snapToGrid w:val="0"/>
        <w:spacing w:line="360" w:lineRule="auto"/>
        <w:jc w:val="left"/>
        <w:rPr>
          <w:rFonts w:hAnsi="宋体"/>
          <w:b/>
          <w:bCs/>
          <w:kern w:val="0"/>
          <w:szCs w:val="21"/>
        </w:rPr>
      </w:pPr>
    </w:p>
    <w:p w14:paraId="6A74CAE5"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D9891E7" w14:textId="77777777" w:rsidR="00F5289E" w:rsidRDefault="00C91173">
      <w:pPr>
        <w:pStyle w:val="afd"/>
        <w:widowControl/>
        <w:snapToGrid w:val="0"/>
        <w:spacing w:line="360" w:lineRule="auto"/>
        <w:rPr>
          <w:rFonts w:asciiTheme="minorEastAsia" w:eastAsiaTheme="minorEastAsia" w:hAnsiTheme="minorEastAsia"/>
          <w:bCs/>
          <w:color w:val="0000FF"/>
          <w:szCs w:val="21"/>
        </w:rPr>
      </w:pPr>
      <w:r>
        <w:rPr>
          <w:rFonts w:asciiTheme="minorEastAsia" w:eastAsiaTheme="minorEastAsia" w:hAnsiTheme="minorEastAsia"/>
          <w:szCs w:val="21"/>
        </w:rPr>
        <w:t>本课程</w:t>
      </w:r>
      <w:r>
        <w:rPr>
          <w:rFonts w:asciiTheme="minorEastAsia" w:eastAsiaTheme="minorEastAsia" w:hAnsiTheme="minorEastAsia" w:hint="eastAsia"/>
          <w:szCs w:val="21"/>
        </w:rPr>
        <w:t>是一门以现代生物学理论为基础的综合性应用技术科学，具有很强的理论性、实践性和应用性；</w:t>
      </w:r>
      <w:r>
        <w:rPr>
          <w:rFonts w:asciiTheme="minorEastAsia" w:eastAsiaTheme="minorEastAsia" w:hAnsiTheme="minorEastAsia"/>
          <w:szCs w:val="21"/>
        </w:rPr>
        <w:t>为</w:t>
      </w:r>
      <w:r>
        <w:rPr>
          <w:rFonts w:asciiTheme="minorEastAsia" w:eastAsiaTheme="minorEastAsia" w:hAnsiTheme="minorEastAsia" w:hint="eastAsia"/>
          <w:szCs w:val="21"/>
        </w:rPr>
        <w:t>设施农业科学与工程</w:t>
      </w:r>
      <w:r>
        <w:rPr>
          <w:rFonts w:asciiTheme="minorEastAsia" w:eastAsiaTheme="minorEastAsia" w:hAnsiTheme="minorEastAsia"/>
          <w:szCs w:val="21"/>
        </w:rPr>
        <w:t>专业本科生必修的专业课</w:t>
      </w:r>
      <w:r>
        <w:rPr>
          <w:rFonts w:asciiTheme="minorEastAsia" w:eastAsiaTheme="minorEastAsia" w:hAnsiTheme="minorEastAsia" w:hint="eastAsia"/>
          <w:szCs w:val="21"/>
        </w:rPr>
        <w:t>，在专业知识构建和生产实践能力的培养中占有相当重要的地位</w:t>
      </w:r>
      <w:r>
        <w:rPr>
          <w:rFonts w:asciiTheme="minorEastAsia" w:eastAsiaTheme="minorEastAsia" w:hAnsiTheme="minorEastAsia"/>
          <w:szCs w:val="21"/>
        </w:rPr>
        <w:t>。学习本课程的主要目的是使学生系统掌握设施果树</w:t>
      </w:r>
      <w:r>
        <w:rPr>
          <w:rFonts w:asciiTheme="minorEastAsia" w:eastAsiaTheme="minorEastAsia" w:hAnsiTheme="minorEastAsia"/>
          <w:w w:val="105"/>
          <w:szCs w:val="21"/>
        </w:rPr>
        <w:t>的生长发育规律及其对环境条件的要求，从育苗、栽植、水肥管理到植株调整等基本设施栽培技术和原理，掌握多种设施果树的生物学特性及其栽培技术、各项栽培技术与其栽培作物生物学特性的联系，学会根据生物学特性理论联系实际地制定栽培技术措施。主要任务是利用现代生物科学理论和先进的管理技术来创造适宜栽培果树生长的环境条件，以获得高产、优质、安全卫生的</w:t>
      </w:r>
      <w:r>
        <w:rPr>
          <w:rFonts w:asciiTheme="minorEastAsia" w:eastAsiaTheme="minorEastAsia" w:hAnsiTheme="minorEastAsia"/>
          <w:szCs w:val="21"/>
        </w:rPr>
        <w:t>设施果品。</w:t>
      </w:r>
      <w:r>
        <w:rPr>
          <w:rFonts w:asciiTheme="minorEastAsia" w:eastAsiaTheme="minorEastAsia" w:hAnsiTheme="minorEastAsia" w:hint="eastAsia"/>
          <w:szCs w:val="21"/>
        </w:rPr>
        <w:t>通过该课程的学习，使学生具备阐述、指导和推广果树栽培种植技术和从事其相应科学研究的能力。</w:t>
      </w:r>
    </w:p>
    <w:p w14:paraId="0122152D"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1393130D" w14:textId="7E0C894C" w:rsidR="00F5289E" w:rsidRDefault="00C91173">
      <w:pPr>
        <w:widowControl/>
        <w:snapToGrid w:val="0"/>
        <w:spacing w:line="360" w:lineRule="auto"/>
        <w:ind w:firstLineChars="200" w:firstLine="420"/>
        <w:rPr>
          <w:kern w:val="0"/>
          <w:szCs w:val="21"/>
        </w:rPr>
      </w:pPr>
      <w:r>
        <w:rPr>
          <w:rFonts w:hint="eastAsia"/>
          <w:kern w:val="0"/>
          <w:szCs w:val="21"/>
        </w:rPr>
        <w:t>1.</w:t>
      </w:r>
      <w:r>
        <w:rPr>
          <w:rFonts w:hAnsi="宋体"/>
          <w:kern w:val="0"/>
          <w:szCs w:val="21"/>
        </w:rPr>
        <w:t>理论知识方面：</w:t>
      </w:r>
      <w:r>
        <w:rPr>
          <w:rFonts w:asciiTheme="minorEastAsia" w:eastAsiaTheme="minorEastAsia" w:hAnsiTheme="minorEastAsia"/>
          <w:w w:val="105"/>
          <w:szCs w:val="21"/>
        </w:rPr>
        <w:t>课程教学以课堂讲授和田间观察相结合，力求内容全面、通俗易懂、理论联系实际；尽量补充与课程内容相关的最新研究进展和学科前缘动态。通过学习，使学生掌握果树保护地栽培常见的设施类型、结构特点及建造；果树保护地栽培的生物学基础。</w:t>
      </w:r>
    </w:p>
    <w:p w14:paraId="0C4E99F1" w14:textId="77777777" w:rsidR="00F5289E" w:rsidRDefault="00C91173">
      <w:pPr>
        <w:widowControl/>
        <w:snapToGrid w:val="0"/>
        <w:spacing w:line="360" w:lineRule="auto"/>
        <w:ind w:firstLineChars="200" w:firstLine="420"/>
        <w:rPr>
          <w:rFonts w:hAnsi="宋体"/>
          <w:bCs/>
          <w:color w:val="0000FF"/>
          <w:kern w:val="0"/>
          <w:szCs w:val="21"/>
        </w:rPr>
      </w:pPr>
      <w:r>
        <w:rPr>
          <w:rFonts w:hint="eastAsia"/>
          <w:kern w:val="0"/>
          <w:szCs w:val="21"/>
        </w:rPr>
        <w:t>2.</w:t>
      </w:r>
      <w:r>
        <w:rPr>
          <w:rFonts w:hAnsi="宋体"/>
          <w:kern w:val="0"/>
          <w:szCs w:val="21"/>
        </w:rPr>
        <w:t>实验技能方面：</w:t>
      </w:r>
      <w:r>
        <w:rPr>
          <w:rFonts w:asciiTheme="minorEastAsia" w:eastAsiaTheme="minorEastAsia" w:hAnsiTheme="minorEastAsia"/>
          <w:w w:val="105"/>
          <w:szCs w:val="21"/>
        </w:rPr>
        <w:t>通过学习，使学生掌握目前设施生产中环境因子特点及环境调控技术；草莓、葡萄、桃、樱桃</w:t>
      </w:r>
      <w:r>
        <w:rPr>
          <w:rFonts w:asciiTheme="minorEastAsia" w:eastAsiaTheme="minorEastAsia" w:hAnsiTheme="minorEastAsia" w:hint="eastAsia"/>
          <w:w w:val="105"/>
          <w:szCs w:val="21"/>
        </w:rPr>
        <w:t>、枣</w:t>
      </w:r>
      <w:r>
        <w:rPr>
          <w:rFonts w:asciiTheme="minorEastAsia" w:eastAsiaTheme="minorEastAsia" w:hAnsiTheme="minorEastAsia"/>
          <w:w w:val="105"/>
          <w:szCs w:val="21"/>
        </w:rPr>
        <w:t>等树种的设施栽培技术。</w:t>
      </w:r>
    </w:p>
    <w:p w14:paraId="3E7464B7"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12489E7B"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06F49653" w14:textId="77777777" w:rsidR="00F5289E" w:rsidRDefault="00C91173">
      <w:pPr>
        <w:widowControl/>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保证实现培养目标的前提下，突破以知识传授为中心的教学模式，实行“大班授课小班实践”的教学模式，借助现代多媒体教学工具，通过学习通、钉钉等教学软件实现线上线下结合式教学，充分发挥启发式教学，探究式教学、引导式教学、示范性教学等教学方法的优势。实践教学方面，积极创造条件，组织学生积极开展社会调查，社会实践，参与科学研究，进行创新性实验和实践，提升学生的创新精神和实践能力。根据不同教学目标，采用不同的考核方式进行教学评价，促进学生学习能力的全面发展。理论课采用闭卷考试与网上测试相结合的方式；实验课采用学生自行设计方案和实践技能考核的方式。</w:t>
      </w:r>
    </w:p>
    <w:p w14:paraId="7037A61F" w14:textId="77777777" w:rsidR="00F5289E" w:rsidRDefault="00C91173">
      <w:pPr>
        <w:widowControl/>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理论课（32学时）：果树栽培的生物学原理，果树的整形修剪；葡萄、草莓、桃、樱桃、枣的设施栽培技术与实践技能。</w:t>
      </w:r>
    </w:p>
    <w:p w14:paraId="21ECE767" w14:textId="77777777" w:rsidR="00F5289E" w:rsidRDefault="00C91173">
      <w:pPr>
        <w:widowControl/>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实验课（8学时）：树种识别、嫁接与扦插等繁育技术、花果管理（疏花、疏果、套袋等）、果树修剪技术等。</w:t>
      </w:r>
    </w:p>
    <w:p w14:paraId="187622E0"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7F5858F8"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724B7A8"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6A65810"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68D21D9"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7DCAC47C" w14:textId="77777777">
        <w:trPr>
          <w:trHeight w:val="748"/>
          <w:jc w:val="center"/>
        </w:trPr>
        <w:tc>
          <w:tcPr>
            <w:tcW w:w="999" w:type="dxa"/>
            <w:tcBorders>
              <w:top w:val="single" w:sz="4" w:space="0" w:color="auto"/>
              <w:left w:val="single" w:sz="4" w:space="0" w:color="auto"/>
              <w:bottom w:val="single" w:sz="4" w:space="0" w:color="auto"/>
              <w:right w:val="single" w:sz="4" w:space="0" w:color="auto"/>
            </w:tcBorders>
            <w:vAlign w:val="center"/>
          </w:tcPr>
          <w:p w14:paraId="7B5A2BCF"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4D4F9F02"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18"/>
              </w:rPr>
              <w:t>目标</w:t>
            </w:r>
            <w:r>
              <w:rPr>
                <w:rFonts w:eastAsiaTheme="minorEastAsia" w:hAnsiTheme="minorEastAsia" w:hint="eastAsia"/>
                <w:sz w:val="18"/>
                <w:szCs w:val="18"/>
              </w:rPr>
              <w:t>1</w:t>
            </w:r>
            <w:r>
              <w:rPr>
                <w:rFonts w:eastAsiaTheme="minorEastAsia" w:hAnsiTheme="minorEastAsia" w:hint="eastAsia"/>
                <w:sz w:val="18"/>
                <w:szCs w:val="18"/>
              </w:rPr>
              <w:t>：使学生具备果树树种识别、嫁接与扦插等繁育技术、花果管理、果树修剪等技术，能够运用栽培学知识，发现产业问题，并通过分析、调查和证明找到合理的产业解决方法。</w:t>
            </w:r>
          </w:p>
        </w:tc>
        <w:tc>
          <w:tcPr>
            <w:tcW w:w="1052" w:type="dxa"/>
            <w:tcBorders>
              <w:top w:val="single" w:sz="4" w:space="0" w:color="auto"/>
              <w:left w:val="single" w:sz="4" w:space="0" w:color="auto"/>
              <w:bottom w:val="single" w:sz="4" w:space="0" w:color="auto"/>
              <w:right w:val="single" w:sz="4" w:space="0" w:color="auto"/>
            </w:tcBorders>
            <w:vAlign w:val="center"/>
          </w:tcPr>
          <w:p w14:paraId="0293DE7B" w14:textId="77777777" w:rsidR="00F5289E" w:rsidRDefault="00C91173">
            <w:pPr>
              <w:spacing w:line="320" w:lineRule="exact"/>
              <w:jc w:val="center"/>
              <w:rPr>
                <w:rFonts w:eastAsiaTheme="minorEastAsia"/>
                <w:sz w:val="18"/>
                <w:szCs w:val="18"/>
              </w:rPr>
            </w:pPr>
            <w:r>
              <w:rPr>
                <w:rFonts w:eastAsiaTheme="minorEastAsia" w:hint="eastAsia"/>
                <w:sz w:val="18"/>
                <w:szCs w:val="18"/>
              </w:rPr>
              <w:t>3</w:t>
            </w:r>
          </w:p>
        </w:tc>
      </w:tr>
      <w:tr w:rsidR="00F5289E" w14:paraId="54B1FA86" w14:textId="77777777">
        <w:trPr>
          <w:trHeight w:val="635"/>
          <w:jc w:val="center"/>
        </w:trPr>
        <w:tc>
          <w:tcPr>
            <w:tcW w:w="999" w:type="dxa"/>
            <w:tcBorders>
              <w:top w:val="single" w:sz="4" w:space="0" w:color="auto"/>
              <w:left w:val="single" w:sz="4" w:space="0" w:color="auto"/>
              <w:bottom w:val="single" w:sz="4" w:space="0" w:color="auto"/>
              <w:right w:val="single" w:sz="4" w:space="0" w:color="auto"/>
            </w:tcBorders>
            <w:vAlign w:val="center"/>
          </w:tcPr>
          <w:p w14:paraId="66E0C4E7"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57EECC6D" w14:textId="77777777" w:rsidR="00F5289E" w:rsidRDefault="00C91173">
            <w:pPr>
              <w:spacing w:line="320" w:lineRule="exact"/>
              <w:jc w:val="left"/>
              <w:rPr>
                <w:rFonts w:eastAsiaTheme="minorEastAsia" w:hAnsiTheme="minorEastAsia"/>
                <w:color w:val="0000FF"/>
                <w:sz w:val="18"/>
                <w:szCs w:val="18"/>
                <w:highlight w:val="yellow"/>
              </w:rPr>
            </w:pPr>
            <w:r>
              <w:rPr>
                <w:rFonts w:eastAsiaTheme="minorEastAsia" w:hAnsiTheme="minorEastAsia" w:hint="eastAsia"/>
                <w:sz w:val="18"/>
                <w:szCs w:val="18"/>
              </w:rPr>
              <w:t>目标</w:t>
            </w:r>
            <w:r>
              <w:rPr>
                <w:rFonts w:eastAsiaTheme="minorEastAsia" w:hAnsiTheme="minorEastAsia" w:hint="eastAsia"/>
                <w:sz w:val="18"/>
                <w:szCs w:val="18"/>
              </w:rPr>
              <w:t>2</w:t>
            </w:r>
            <w:r>
              <w:rPr>
                <w:rFonts w:eastAsiaTheme="minorEastAsia" w:hAnsiTheme="minorEastAsia" w:hint="eastAsia"/>
                <w:sz w:val="18"/>
                <w:szCs w:val="18"/>
              </w:rPr>
              <w:t>：使学生具备果树设施园区的基本规划设计能力，能灵活应用设施果树知识解决设施农业及相关领域的实际问题。</w:t>
            </w:r>
          </w:p>
        </w:tc>
        <w:tc>
          <w:tcPr>
            <w:tcW w:w="1052" w:type="dxa"/>
            <w:tcBorders>
              <w:top w:val="single" w:sz="4" w:space="0" w:color="auto"/>
              <w:left w:val="single" w:sz="4" w:space="0" w:color="auto"/>
              <w:bottom w:val="single" w:sz="4" w:space="0" w:color="auto"/>
              <w:right w:val="single" w:sz="4" w:space="0" w:color="auto"/>
            </w:tcBorders>
            <w:vAlign w:val="center"/>
          </w:tcPr>
          <w:p w14:paraId="7F254AC2"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p>
        </w:tc>
      </w:tr>
      <w:tr w:rsidR="00F5289E" w14:paraId="241D01BD" w14:textId="77777777">
        <w:trPr>
          <w:trHeight w:val="741"/>
          <w:jc w:val="center"/>
        </w:trPr>
        <w:tc>
          <w:tcPr>
            <w:tcW w:w="999" w:type="dxa"/>
            <w:tcBorders>
              <w:top w:val="single" w:sz="4" w:space="0" w:color="auto"/>
              <w:left w:val="single" w:sz="4" w:space="0" w:color="auto"/>
              <w:bottom w:val="single" w:sz="4" w:space="0" w:color="auto"/>
              <w:right w:val="single" w:sz="4" w:space="0" w:color="auto"/>
            </w:tcBorders>
            <w:vAlign w:val="center"/>
          </w:tcPr>
          <w:p w14:paraId="4AE4BEDF"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447B42D5" w14:textId="77777777" w:rsidR="00F5289E" w:rsidRDefault="00C91173">
            <w:pPr>
              <w:spacing w:line="320" w:lineRule="exact"/>
              <w:jc w:val="left"/>
              <w:rPr>
                <w:rFonts w:eastAsiaTheme="minorEastAsia"/>
                <w:color w:val="0000FF"/>
                <w:sz w:val="18"/>
                <w:szCs w:val="18"/>
              </w:rPr>
            </w:pPr>
            <w:r>
              <w:rPr>
                <w:rFonts w:eastAsiaTheme="minorEastAsia" w:hint="eastAsia"/>
                <w:sz w:val="18"/>
                <w:szCs w:val="18"/>
              </w:rPr>
              <w:t>目标</w:t>
            </w:r>
            <w:r>
              <w:rPr>
                <w:rFonts w:eastAsiaTheme="minorEastAsia" w:hint="eastAsia"/>
                <w:sz w:val="18"/>
                <w:szCs w:val="18"/>
              </w:rPr>
              <w:t>3</w:t>
            </w:r>
            <w:r>
              <w:rPr>
                <w:rFonts w:eastAsiaTheme="minorEastAsia" w:hint="eastAsia"/>
                <w:sz w:val="18"/>
                <w:szCs w:val="18"/>
              </w:rPr>
              <w:t>：通过课程的学习，使学生掌握不同果树设施栽培的设施管理措施、装备特点，能够使用基本的设施装备，并通过创新能力进行改进。</w:t>
            </w:r>
          </w:p>
        </w:tc>
        <w:tc>
          <w:tcPr>
            <w:tcW w:w="1052" w:type="dxa"/>
            <w:tcBorders>
              <w:top w:val="single" w:sz="4" w:space="0" w:color="auto"/>
              <w:left w:val="single" w:sz="4" w:space="0" w:color="auto"/>
              <w:bottom w:val="single" w:sz="4" w:space="0" w:color="auto"/>
              <w:right w:val="single" w:sz="4" w:space="0" w:color="auto"/>
            </w:tcBorders>
            <w:vAlign w:val="center"/>
          </w:tcPr>
          <w:p w14:paraId="47BFCCB4" w14:textId="77777777" w:rsidR="00F5289E" w:rsidRDefault="00C91173">
            <w:pPr>
              <w:spacing w:line="320" w:lineRule="exact"/>
              <w:jc w:val="center"/>
              <w:rPr>
                <w:rFonts w:eastAsiaTheme="minorEastAsia"/>
                <w:sz w:val="18"/>
                <w:szCs w:val="18"/>
              </w:rPr>
            </w:pPr>
            <w:r>
              <w:rPr>
                <w:rFonts w:eastAsiaTheme="minorEastAsia" w:hint="eastAsia"/>
                <w:sz w:val="18"/>
                <w:szCs w:val="18"/>
              </w:rPr>
              <w:t>6</w:t>
            </w:r>
          </w:p>
        </w:tc>
      </w:tr>
      <w:tr w:rsidR="00F5289E" w14:paraId="32442702" w14:textId="77777777">
        <w:trPr>
          <w:trHeight w:val="850"/>
          <w:jc w:val="center"/>
        </w:trPr>
        <w:tc>
          <w:tcPr>
            <w:tcW w:w="999" w:type="dxa"/>
            <w:tcBorders>
              <w:top w:val="single" w:sz="4" w:space="0" w:color="auto"/>
              <w:left w:val="single" w:sz="4" w:space="0" w:color="auto"/>
              <w:bottom w:val="single" w:sz="4" w:space="0" w:color="auto"/>
              <w:right w:val="single" w:sz="4" w:space="0" w:color="auto"/>
            </w:tcBorders>
            <w:vAlign w:val="center"/>
          </w:tcPr>
          <w:p w14:paraId="07D87C2A"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17201C32" w14:textId="77777777" w:rsidR="00F5289E" w:rsidRDefault="00C91173">
            <w:pPr>
              <w:spacing w:line="320" w:lineRule="exact"/>
              <w:rPr>
                <w:rFonts w:eastAsiaTheme="minorEastAsia"/>
                <w:sz w:val="18"/>
                <w:szCs w:val="18"/>
              </w:rPr>
            </w:pPr>
            <w:r>
              <w:rPr>
                <w:rFonts w:eastAsiaTheme="minorEastAsia" w:hint="eastAsia"/>
                <w:sz w:val="18"/>
                <w:szCs w:val="18"/>
              </w:rPr>
              <w:t>目标</w:t>
            </w:r>
            <w:r>
              <w:rPr>
                <w:rFonts w:eastAsiaTheme="minorEastAsia" w:hint="eastAsia"/>
                <w:sz w:val="18"/>
                <w:szCs w:val="18"/>
              </w:rPr>
              <w:t>4</w:t>
            </w:r>
            <w:r>
              <w:rPr>
                <w:rFonts w:eastAsiaTheme="minorEastAsia" w:hint="eastAsia"/>
                <w:sz w:val="18"/>
                <w:szCs w:val="18"/>
              </w:rPr>
              <w:t>：培养学生对设施农业兴趣，并时刻追踪设施产业最新动态，了解设施果树发展方向。</w:t>
            </w:r>
          </w:p>
        </w:tc>
        <w:tc>
          <w:tcPr>
            <w:tcW w:w="1052" w:type="dxa"/>
            <w:tcBorders>
              <w:top w:val="single" w:sz="4" w:space="0" w:color="auto"/>
              <w:left w:val="single" w:sz="4" w:space="0" w:color="auto"/>
              <w:bottom w:val="single" w:sz="4" w:space="0" w:color="auto"/>
              <w:right w:val="single" w:sz="4" w:space="0" w:color="auto"/>
            </w:tcBorders>
            <w:vAlign w:val="center"/>
          </w:tcPr>
          <w:p w14:paraId="45E661D6" w14:textId="77777777" w:rsidR="00F5289E" w:rsidRDefault="00C91173">
            <w:pPr>
              <w:spacing w:line="320" w:lineRule="exact"/>
              <w:jc w:val="center"/>
              <w:rPr>
                <w:rFonts w:eastAsiaTheme="minorEastAsia"/>
                <w:sz w:val="18"/>
                <w:szCs w:val="18"/>
              </w:rPr>
            </w:pPr>
            <w:r>
              <w:rPr>
                <w:rFonts w:eastAsiaTheme="minorEastAsia" w:hint="eastAsia"/>
                <w:sz w:val="18"/>
                <w:szCs w:val="18"/>
              </w:rPr>
              <w:t>8</w:t>
            </w:r>
          </w:p>
        </w:tc>
      </w:tr>
    </w:tbl>
    <w:p w14:paraId="7B995083" w14:textId="77777777" w:rsidR="00F5289E" w:rsidRDefault="00F5289E">
      <w:pPr>
        <w:spacing w:line="360" w:lineRule="auto"/>
        <w:ind w:firstLineChars="200" w:firstLine="420"/>
        <w:rPr>
          <w:rFonts w:hAnsi="宋体"/>
          <w:bCs/>
          <w:color w:val="0000FF"/>
          <w:kern w:val="0"/>
          <w:szCs w:val="21"/>
        </w:rPr>
      </w:pPr>
    </w:p>
    <w:p w14:paraId="43B2BB29"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24</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E294B8E" w14:textId="77777777">
        <w:trPr>
          <w:trHeight w:val="270"/>
        </w:trPr>
        <w:tc>
          <w:tcPr>
            <w:tcW w:w="2965" w:type="dxa"/>
            <w:tcBorders>
              <w:top w:val="nil"/>
              <w:left w:val="nil"/>
              <w:bottom w:val="nil"/>
              <w:right w:val="nil"/>
            </w:tcBorders>
            <w:vAlign w:val="center"/>
          </w:tcPr>
          <w:p w14:paraId="3AC2DA41"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03BB898"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6E2575E9" w14:textId="77777777" w:rsidR="00F5289E" w:rsidRDefault="00C91173">
            <w:pPr>
              <w:widowControl/>
              <w:snapToGrid w:val="0"/>
              <w:spacing w:line="360" w:lineRule="auto"/>
              <w:jc w:val="right"/>
              <w:rPr>
                <w:rFonts w:asciiTheme="minorEastAsia" w:eastAsiaTheme="minorEastAsia" w:hAnsiTheme="minorEastAsia"/>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01444D3F" w14:textId="77777777" w:rsidR="00F5289E" w:rsidRDefault="00C91173">
      <w:pPr>
        <w:widowControl/>
        <w:snapToGrid w:val="0"/>
        <w:spacing w:line="360" w:lineRule="auto"/>
        <w:rPr>
          <w:rFonts w:ascii="宋体" w:hAnsi="宋体" w:cs="宋体"/>
          <w:kern w:val="0"/>
          <w:szCs w:val="21"/>
        </w:rPr>
      </w:pPr>
      <w:r>
        <w:rPr>
          <w:rFonts w:ascii="宋体" w:hAnsi="宋体" w:cs="宋体" w:hint="eastAsia"/>
          <w:b/>
          <w:bCs/>
          <w:kern w:val="0"/>
          <w:szCs w:val="21"/>
        </w:rPr>
        <w:t>教学目标：</w:t>
      </w:r>
      <w:r>
        <w:rPr>
          <w:rFonts w:ascii="宋体" w:hAnsi="宋体" w:cs="宋体"/>
          <w:kern w:val="0"/>
          <w:szCs w:val="21"/>
        </w:rPr>
        <w:t>使学生对设施果树栽培的现状及发展有比较清晰的认识</w:t>
      </w:r>
      <w:r>
        <w:rPr>
          <w:rFonts w:ascii="宋体" w:hAnsi="宋体" w:cs="宋体" w:hint="eastAsia"/>
          <w:kern w:val="0"/>
          <w:szCs w:val="21"/>
        </w:rPr>
        <w:t>。</w:t>
      </w:r>
    </w:p>
    <w:p w14:paraId="34542861" w14:textId="77777777" w:rsidR="00F5289E" w:rsidRDefault="00C91173">
      <w:pPr>
        <w:widowControl/>
        <w:autoSpaceDE w:val="0"/>
        <w:autoSpaceDN w:val="0"/>
        <w:snapToGrid w:val="0"/>
        <w:spacing w:line="360" w:lineRule="auto"/>
        <w:jc w:val="left"/>
        <w:rPr>
          <w:rFonts w:ascii="宋体" w:hAnsi="宋体" w:cs="宋体"/>
          <w:kern w:val="0"/>
          <w:szCs w:val="21"/>
        </w:rPr>
      </w:pPr>
      <w:r>
        <w:rPr>
          <w:rFonts w:ascii="宋体" w:hAnsi="宋体" w:cs="宋体" w:hint="eastAsia"/>
          <w:b/>
          <w:bCs/>
          <w:kern w:val="0"/>
          <w:szCs w:val="21"/>
        </w:rPr>
        <w:t>教学重点和难点：</w:t>
      </w:r>
      <w:r>
        <w:rPr>
          <w:rFonts w:ascii="宋体" w:hAnsi="宋体" w:cs="宋体"/>
          <w:kern w:val="0"/>
          <w:szCs w:val="21"/>
        </w:rPr>
        <w:t>设施果树栽培的发展趋势及设施果树栽培学的主要内容</w:t>
      </w:r>
      <w:r>
        <w:rPr>
          <w:rFonts w:ascii="宋体" w:hAnsi="宋体" w:cs="宋体" w:hint="eastAsia"/>
          <w:kern w:val="0"/>
          <w:szCs w:val="21"/>
        </w:rPr>
        <w:t>。</w:t>
      </w:r>
    </w:p>
    <w:p w14:paraId="1B9DD773" w14:textId="77777777" w:rsidR="00F5289E" w:rsidRDefault="00C91173">
      <w:pPr>
        <w:widowControl/>
        <w:autoSpaceDE w:val="0"/>
        <w:autoSpaceDN w:val="0"/>
        <w:snapToGrid w:val="0"/>
        <w:spacing w:line="360" w:lineRule="auto"/>
        <w:jc w:val="left"/>
        <w:rPr>
          <w:rFonts w:ascii="宋体" w:hAnsi="宋体" w:cs="宋体"/>
          <w:kern w:val="0"/>
          <w:szCs w:val="21"/>
        </w:rPr>
      </w:pPr>
      <w:r>
        <w:rPr>
          <w:rFonts w:ascii="宋体" w:hAnsi="宋体" w:cs="宋体" w:hint="eastAsia"/>
          <w:b/>
          <w:bCs/>
          <w:kern w:val="0"/>
          <w:szCs w:val="21"/>
        </w:rPr>
        <w:t>主要教学内容和要求：</w:t>
      </w:r>
      <w:r>
        <w:rPr>
          <w:rFonts w:ascii="宋体" w:hAnsi="宋体" w:cs="宋体" w:hint="eastAsia"/>
          <w:kern w:val="0"/>
          <w:szCs w:val="21"/>
        </w:rPr>
        <w:t>了解</w:t>
      </w:r>
      <w:r>
        <w:rPr>
          <w:rFonts w:ascii="宋体" w:hAnsi="宋体" w:cs="宋体"/>
          <w:kern w:val="0"/>
          <w:szCs w:val="21"/>
        </w:rPr>
        <w:t>设施果树栽培的发展历史</w:t>
      </w:r>
      <w:r>
        <w:rPr>
          <w:rFonts w:ascii="宋体" w:hAnsi="宋体" w:cs="宋体" w:hint="eastAsia"/>
          <w:kern w:val="0"/>
          <w:szCs w:val="21"/>
        </w:rPr>
        <w:t>，</w:t>
      </w:r>
      <w:r>
        <w:rPr>
          <w:rFonts w:ascii="宋体" w:hAnsi="宋体" w:cs="宋体"/>
          <w:kern w:val="0"/>
          <w:szCs w:val="21"/>
        </w:rPr>
        <w:t>设施果树栽培的现状</w:t>
      </w:r>
      <w:r>
        <w:rPr>
          <w:rFonts w:ascii="宋体" w:hAnsi="宋体" w:cs="宋体" w:hint="eastAsia"/>
          <w:kern w:val="0"/>
          <w:szCs w:val="21"/>
        </w:rPr>
        <w:t>；了解</w:t>
      </w:r>
      <w:r>
        <w:rPr>
          <w:rFonts w:ascii="宋体" w:hAnsi="宋体" w:cs="宋体"/>
          <w:kern w:val="0"/>
          <w:szCs w:val="21"/>
        </w:rPr>
        <w:t>设施果树栽培的发展趋势</w:t>
      </w:r>
      <w:r>
        <w:rPr>
          <w:rFonts w:ascii="宋体" w:hAnsi="宋体" w:cs="宋体" w:hint="eastAsia"/>
          <w:kern w:val="0"/>
          <w:szCs w:val="21"/>
        </w:rPr>
        <w:t>，掌握</w:t>
      </w:r>
      <w:r>
        <w:rPr>
          <w:rFonts w:ascii="宋体" w:hAnsi="宋体" w:cs="宋体"/>
          <w:kern w:val="0"/>
          <w:szCs w:val="21"/>
        </w:rPr>
        <w:t>设施果树栽培学的主要内容</w:t>
      </w:r>
      <w:r>
        <w:rPr>
          <w:rFonts w:ascii="宋体" w:hAnsi="宋体" w:cs="宋体" w:hint="eastAsia"/>
          <w:kern w:val="0"/>
          <w:szCs w:val="21"/>
        </w:rPr>
        <w:t>，掌握</w:t>
      </w:r>
      <w:r>
        <w:rPr>
          <w:rFonts w:ascii="宋体" w:hAnsi="宋体" w:cs="宋体"/>
          <w:kern w:val="0"/>
          <w:szCs w:val="21"/>
        </w:rPr>
        <w:t>设施果树栽培学的学习方法和学习要求</w:t>
      </w:r>
      <w:r>
        <w:rPr>
          <w:rFonts w:ascii="宋体" w:hAnsi="宋体" w:cs="宋体" w:hint="eastAsia"/>
          <w:kern w:val="0"/>
          <w:szCs w:val="21"/>
        </w:rPr>
        <w:t>。</w:t>
      </w:r>
    </w:p>
    <w:p w14:paraId="115F1D53" w14:textId="77777777" w:rsidR="00F5289E" w:rsidRDefault="00C91173">
      <w:pPr>
        <w:adjustRightInd w:val="0"/>
        <w:snapToGrid w:val="0"/>
        <w:spacing w:line="360" w:lineRule="auto"/>
        <w:jc w:val="left"/>
        <w:rPr>
          <w:rFonts w:ascii="宋体" w:hAnsi="宋体"/>
          <w:bCs/>
          <w:szCs w:val="20"/>
        </w:rPr>
      </w:pPr>
      <w:r>
        <w:rPr>
          <w:rFonts w:ascii="宋体" w:hAnsi="宋体" w:hint="eastAsia"/>
          <w:b/>
          <w:bCs/>
          <w:szCs w:val="20"/>
        </w:rPr>
        <w:t>教学组织与实施：</w:t>
      </w:r>
      <w:r>
        <w:rPr>
          <w:rFonts w:ascii="宋体" w:hAnsi="宋体" w:hint="eastAsia"/>
          <w:bCs/>
          <w:szCs w:val="20"/>
        </w:rPr>
        <w:t>以P</w:t>
      </w:r>
      <w:r>
        <w:rPr>
          <w:rFonts w:ascii="宋体" w:hAnsi="宋体"/>
          <w:bCs/>
          <w:szCs w:val="20"/>
        </w:rPr>
        <w:t>PT</w:t>
      </w:r>
      <w:r>
        <w:rPr>
          <w:rFonts w:ascii="宋体" w:hAnsi="宋体" w:hint="eastAsia"/>
          <w:bCs/>
          <w:szCs w:val="20"/>
        </w:rPr>
        <w: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391F02D" w14:textId="77777777">
        <w:trPr>
          <w:trHeight w:val="270"/>
        </w:trPr>
        <w:tc>
          <w:tcPr>
            <w:tcW w:w="2965" w:type="dxa"/>
            <w:tcBorders>
              <w:top w:val="nil"/>
              <w:left w:val="nil"/>
              <w:bottom w:val="nil"/>
              <w:right w:val="nil"/>
            </w:tcBorders>
            <w:vAlign w:val="center"/>
          </w:tcPr>
          <w:p w14:paraId="08F4C060"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3084DC16"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asciiTheme="minorEastAsia" w:eastAsiaTheme="minorEastAsia" w:hAnsiTheme="minorEastAsia" w:hint="eastAsia"/>
                <w:b/>
                <w:bCs/>
                <w:szCs w:val="21"/>
              </w:rPr>
              <w:t>果树栽培的生物学基础</w:t>
            </w:r>
          </w:p>
        </w:tc>
        <w:tc>
          <w:tcPr>
            <w:tcW w:w="2966" w:type="dxa"/>
            <w:tcBorders>
              <w:top w:val="nil"/>
              <w:left w:val="nil"/>
              <w:bottom w:val="nil"/>
              <w:right w:val="nil"/>
            </w:tcBorders>
            <w:vAlign w:val="center"/>
          </w:tcPr>
          <w:p w14:paraId="73FBF27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8</w:t>
            </w:r>
          </w:p>
        </w:tc>
      </w:tr>
    </w:tbl>
    <w:p w14:paraId="30B7B2E9" w14:textId="77777777" w:rsidR="00F5289E" w:rsidRDefault="00C91173">
      <w:pPr>
        <w:widowControl/>
        <w:snapToGrid w:val="0"/>
        <w:spacing w:line="360" w:lineRule="auto"/>
        <w:rPr>
          <w:rFonts w:asciiTheme="minorEastAsia" w:eastAsiaTheme="minorEastAsia" w:hAnsiTheme="minorEastAsia"/>
          <w:szCs w:val="21"/>
        </w:rPr>
      </w:pPr>
      <w:r>
        <w:rPr>
          <w:rFonts w:ascii="宋体" w:hAnsi="宋体" w:hint="eastAsia"/>
          <w:b/>
          <w:bCs/>
        </w:rPr>
        <w:lastRenderedPageBreak/>
        <w:t>教学目标：</w:t>
      </w:r>
      <w:r>
        <w:rPr>
          <w:rFonts w:asciiTheme="minorEastAsia" w:eastAsiaTheme="minorEastAsia" w:hAnsiTheme="minorEastAsia"/>
          <w:szCs w:val="21"/>
        </w:rPr>
        <w:t>熟练掌握果树生长发育的基本规律。熟悉其基本概念、基本理论、果树生长发育与环境条件及栽培措施的关系。</w:t>
      </w:r>
    </w:p>
    <w:p w14:paraId="12574FD7" w14:textId="77777777" w:rsidR="00F5289E" w:rsidRDefault="00C91173">
      <w:pPr>
        <w:widowControl/>
        <w:snapToGrid w:val="0"/>
        <w:spacing w:line="360" w:lineRule="auto"/>
        <w:rPr>
          <w:rFonts w:asciiTheme="minorEastAsia" w:eastAsiaTheme="minorEastAsia" w:hAnsiTheme="minorEastAsia"/>
          <w:szCs w:val="21"/>
        </w:rPr>
      </w:pPr>
      <w:r>
        <w:rPr>
          <w:rFonts w:ascii="宋体" w:hAnsi="宋体" w:hint="eastAsia"/>
          <w:b/>
          <w:bCs/>
        </w:rPr>
        <w:t>教学重点和难点：</w:t>
      </w:r>
      <w:r>
        <w:rPr>
          <w:rFonts w:asciiTheme="minorEastAsia" w:eastAsiaTheme="minorEastAsia" w:hAnsiTheme="minorEastAsia"/>
          <w:szCs w:val="21"/>
        </w:rPr>
        <w:t>芽的种类与特性；枝的种类与特性；花芽分化的概念、时期、过程；果树花芽分化的特点及其机制；影响花芽分化的内外条件及其控制措施；授粉的类型与人工授粉；坐果率的概念及提高坐果率的措施；果树休眠的概念及其调控措施。</w:t>
      </w:r>
    </w:p>
    <w:p w14:paraId="3A9EB19D" w14:textId="77777777" w:rsidR="00F5289E" w:rsidRDefault="00C91173">
      <w:pPr>
        <w:widowControl/>
        <w:snapToGrid w:val="0"/>
        <w:spacing w:line="360" w:lineRule="auto"/>
        <w:rPr>
          <w:rFonts w:ascii="宋体" w:hAnsi="宋体"/>
          <w:bCs/>
        </w:rPr>
      </w:pPr>
      <w:r>
        <w:rPr>
          <w:rFonts w:ascii="宋体" w:hAnsi="宋体" w:hint="eastAsia"/>
          <w:b/>
        </w:rPr>
        <w:t>主要教学内容及要求：</w:t>
      </w:r>
      <w:r>
        <w:rPr>
          <w:rFonts w:ascii="宋体" w:hAnsi="宋体" w:hint="eastAsia"/>
          <w:bCs/>
        </w:rPr>
        <w:t>了解果树开花结实过程及影响因子，果树不同年龄时期的特点及控制；理解果树根系、枝芽、叶片的功能、结构、特性及其影响生长的主要因子，理解果树生长年周期与年龄时期的异同；掌握果树花芽分化的概念、时期、过程及形态标志，影响花芽分化的内外条件及其控制措施；熟练掌握授粉受精、自交不结实、单性结实等对果树结实的作用，果实生长的不同图型，影响果实生长的因素，果实的品质构成及影响因素；果实坐果的机理、生理落果的概念和各次的原因、坐果率的概念及提高坐果率的措施；掌握果树地下部（根系）与地上部（枝叶）、营养生长与生殖生长的协调关系。</w:t>
      </w:r>
    </w:p>
    <w:p w14:paraId="7510AAF3" w14:textId="77777777" w:rsidR="00F5289E" w:rsidRDefault="00C91173">
      <w:pPr>
        <w:widowControl/>
        <w:snapToGrid w:val="0"/>
        <w:spacing w:line="360" w:lineRule="auto"/>
        <w:rPr>
          <w:rFonts w:ascii="宋体" w:hAnsi="宋体"/>
          <w:bCs/>
        </w:rPr>
      </w:pPr>
      <w:r>
        <w:rPr>
          <w:rFonts w:ascii="宋体" w:hAnsi="宋体" w:hint="eastAsia"/>
          <w:bCs/>
        </w:rPr>
        <w:t>第一节  我国果树种类及地理分布</w:t>
      </w:r>
    </w:p>
    <w:p w14:paraId="1B7B2118" w14:textId="77777777" w:rsidR="00F5289E" w:rsidRDefault="00C91173">
      <w:pPr>
        <w:widowControl/>
        <w:snapToGrid w:val="0"/>
        <w:spacing w:line="360" w:lineRule="auto"/>
        <w:rPr>
          <w:rFonts w:ascii="宋体" w:hAnsi="宋体"/>
          <w:bCs/>
        </w:rPr>
      </w:pPr>
      <w:r>
        <w:rPr>
          <w:rFonts w:ascii="宋体" w:hAnsi="宋体" w:hint="eastAsia"/>
          <w:bCs/>
        </w:rPr>
        <w:t>第二节  果树器官的生长发育</w:t>
      </w:r>
    </w:p>
    <w:p w14:paraId="5DB15016" w14:textId="77777777" w:rsidR="00F5289E" w:rsidRDefault="00C91173">
      <w:pPr>
        <w:widowControl/>
        <w:snapToGrid w:val="0"/>
        <w:spacing w:line="360" w:lineRule="auto"/>
        <w:rPr>
          <w:rFonts w:ascii="宋体" w:hAnsi="宋体"/>
          <w:bCs/>
        </w:rPr>
      </w:pPr>
      <w:r>
        <w:rPr>
          <w:rFonts w:ascii="宋体" w:hAnsi="宋体" w:hint="eastAsia"/>
          <w:bCs/>
        </w:rPr>
        <w:t>第三节  果树生长的年周期与年龄时期</w:t>
      </w:r>
    </w:p>
    <w:p w14:paraId="765A48EF" w14:textId="77777777" w:rsidR="00F5289E" w:rsidRDefault="00C91173">
      <w:pPr>
        <w:widowControl/>
        <w:snapToGrid w:val="0"/>
        <w:spacing w:line="360" w:lineRule="auto"/>
        <w:rPr>
          <w:rFonts w:ascii="宋体" w:hAnsi="宋体"/>
          <w:bCs/>
        </w:rPr>
      </w:pPr>
      <w:r>
        <w:rPr>
          <w:rFonts w:ascii="宋体" w:hAnsi="宋体" w:hint="eastAsia"/>
          <w:bCs/>
        </w:rPr>
        <w:t>第四节  生态环境对果树生长发育的影响</w:t>
      </w:r>
    </w:p>
    <w:p w14:paraId="00ACFD14"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D1068B9" w14:textId="77777777">
        <w:trPr>
          <w:trHeight w:val="270"/>
        </w:trPr>
        <w:tc>
          <w:tcPr>
            <w:tcW w:w="2965" w:type="dxa"/>
            <w:tcBorders>
              <w:top w:val="nil"/>
              <w:left w:val="nil"/>
              <w:bottom w:val="nil"/>
              <w:right w:val="nil"/>
            </w:tcBorders>
            <w:vAlign w:val="center"/>
          </w:tcPr>
          <w:p w14:paraId="07758C4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3947456"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bCs/>
                <w:kern w:val="0"/>
                <w:szCs w:val="21"/>
              </w:rPr>
              <w:t>果树整形修剪</w:t>
            </w:r>
          </w:p>
        </w:tc>
        <w:tc>
          <w:tcPr>
            <w:tcW w:w="2966" w:type="dxa"/>
            <w:tcBorders>
              <w:top w:val="nil"/>
              <w:left w:val="nil"/>
              <w:bottom w:val="nil"/>
              <w:right w:val="nil"/>
            </w:tcBorders>
            <w:vAlign w:val="center"/>
          </w:tcPr>
          <w:p w14:paraId="313FF11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798E86F3" w14:textId="77777777" w:rsidR="00F5289E" w:rsidRDefault="00C91173">
      <w:pPr>
        <w:adjustRightInd w:val="0"/>
        <w:snapToGrid w:val="0"/>
        <w:spacing w:line="360" w:lineRule="auto"/>
        <w:rPr>
          <w:rFonts w:asciiTheme="minorEastAsia" w:eastAsiaTheme="minorEastAsia" w:hAnsiTheme="minorEastAsia"/>
          <w:b/>
          <w:szCs w:val="21"/>
        </w:rPr>
      </w:pPr>
      <w:r>
        <w:rPr>
          <w:rFonts w:asciiTheme="minorEastAsia" w:eastAsiaTheme="minorEastAsia" w:hAnsiTheme="minorEastAsia" w:hint="eastAsia"/>
          <w:b/>
          <w:szCs w:val="21"/>
        </w:rPr>
        <w:t>教学目标：</w:t>
      </w:r>
      <w:r>
        <w:rPr>
          <w:rFonts w:asciiTheme="minorEastAsia" w:eastAsiaTheme="minorEastAsia" w:hAnsiTheme="minorEastAsia" w:hint="eastAsia"/>
          <w:bCs/>
          <w:szCs w:val="21"/>
        </w:rPr>
        <w:t>了解果树修剪的生物学基础，果树群体结构和个体结构。掌握果树修剪方法及作用，并能够熟练使用果树修剪方式，对桃树、葡萄等果树进行修剪。</w:t>
      </w:r>
    </w:p>
    <w:p w14:paraId="6BDC2152" w14:textId="77777777" w:rsidR="00F5289E" w:rsidRDefault="00C91173">
      <w:pPr>
        <w:spacing w:line="360" w:lineRule="auto"/>
        <w:rPr>
          <w:rFonts w:asciiTheme="minorEastAsia" w:eastAsiaTheme="minorEastAsia" w:hAnsiTheme="minorEastAsia"/>
          <w:szCs w:val="21"/>
        </w:rPr>
      </w:pPr>
      <w:r>
        <w:rPr>
          <w:rFonts w:asciiTheme="minorEastAsia" w:eastAsiaTheme="minorEastAsia" w:hAnsiTheme="minorEastAsia" w:hint="eastAsia"/>
          <w:b/>
          <w:szCs w:val="21"/>
        </w:rPr>
        <w:t>教学重点和难点：</w:t>
      </w:r>
      <w:r>
        <w:rPr>
          <w:rFonts w:asciiTheme="minorEastAsia" w:eastAsiaTheme="minorEastAsia" w:hAnsiTheme="minorEastAsia"/>
          <w:szCs w:val="21"/>
        </w:rPr>
        <w:t>树体结构分析及整形修剪的方法和作用；整形修剪技术的综合运用</w:t>
      </w:r>
      <w:r>
        <w:rPr>
          <w:rFonts w:asciiTheme="minorEastAsia" w:eastAsiaTheme="minorEastAsia" w:hAnsiTheme="minorEastAsia" w:hint="eastAsia"/>
          <w:szCs w:val="21"/>
        </w:rPr>
        <w:t>。</w:t>
      </w:r>
    </w:p>
    <w:p w14:paraId="76F7292B" w14:textId="77777777" w:rsidR="00F5289E" w:rsidRDefault="00C91173">
      <w:pPr>
        <w:pStyle w:val="a5"/>
        <w:spacing w:after="0" w:line="360" w:lineRule="auto"/>
        <w:ind w:firstLine="422"/>
        <w:rPr>
          <w:rFonts w:asciiTheme="minorEastAsia" w:eastAsiaTheme="minorEastAsia" w:hAnsiTheme="minorEastAsia"/>
          <w:szCs w:val="21"/>
        </w:rPr>
      </w:pPr>
      <w:r>
        <w:rPr>
          <w:rFonts w:asciiTheme="minorEastAsia" w:eastAsiaTheme="minorEastAsia" w:hAnsiTheme="minorEastAsia" w:hint="eastAsia"/>
          <w:b/>
          <w:bCs/>
          <w:position w:val="-1"/>
          <w:szCs w:val="21"/>
        </w:rPr>
        <w:t>主要教学内容和要求：</w:t>
      </w:r>
      <w:r>
        <w:rPr>
          <w:rFonts w:asciiTheme="minorEastAsia" w:eastAsiaTheme="minorEastAsia" w:hAnsiTheme="minorEastAsia" w:hint="eastAsia"/>
          <w:szCs w:val="21"/>
        </w:rPr>
        <w:t>了解现代果树整形修剪技术及发展趋势；掌握果树整形和修剪的意义、原理、原则、主要方法和作用效应。</w:t>
      </w:r>
    </w:p>
    <w:p w14:paraId="02F3437F" w14:textId="77777777" w:rsidR="00F5289E" w:rsidRDefault="00C91173">
      <w:pPr>
        <w:adjustRightInd w:val="0"/>
        <w:snapToGrid w:val="0"/>
        <w:spacing w:line="360" w:lineRule="auto"/>
        <w:rPr>
          <w:rFonts w:asciiTheme="minorEastAsia" w:eastAsiaTheme="minorEastAsia" w:hAnsiTheme="minorEastAsia"/>
          <w:position w:val="-1"/>
          <w:szCs w:val="21"/>
        </w:rPr>
      </w:pPr>
      <w:r>
        <w:rPr>
          <w:rFonts w:asciiTheme="minorEastAsia" w:eastAsiaTheme="minorEastAsia" w:hAnsiTheme="minorEastAsia" w:hint="eastAsia"/>
          <w:position w:val="-1"/>
          <w:szCs w:val="21"/>
        </w:rPr>
        <w:t>第一节</w:t>
      </w:r>
      <w:r>
        <w:rPr>
          <w:rFonts w:asciiTheme="minorEastAsia" w:eastAsiaTheme="minorEastAsia" w:hAnsiTheme="minorEastAsia"/>
          <w:position w:val="-1"/>
          <w:szCs w:val="21"/>
        </w:rPr>
        <w:t xml:space="preserve"> </w:t>
      </w:r>
      <w:r>
        <w:rPr>
          <w:rFonts w:asciiTheme="minorEastAsia" w:eastAsiaTheme="minorEastAsia" w:hAnsiTheme="minorEastAsia" w:hint="eastAsia"/>
          <w:position w:val="-1"/>
          <w:szCs w:val="21"/>
        </w:rPr>
        <w:t>果树整形</w:t>
      </w:r>
    </w:p>
    <w:p w14:paraId="49710FC4" w14:textId="77777777" w:rsidR="00F5289E" w:rsidRDefault="00C91173">
      <w:pPr>
        <w:adjustRightInd w:val="0"/>
        <w:snapToGrid w:val="0"/>
        <w:spacing w:line="360" w:lineRule="auto"/>
        <w:rPr>
          <w:rFonts w:asciiTheme="minorEastAsia" w:eastAsiaTheme="minorEastAsia" w:hAnsiTheme="minorEastAsia"/>
          <w:position w:val="-1"/>
          <w:szCs w:val="21"/>
        </w:rPr>
      </w:pPr>
      <w:r>
        <w:rPr>
          <w:rFonts w:asciiTheme="minorEastAsia" w:eastAsiaTheme="minorEastAsia" w:hAnsiTheme="minorEastAsia" w:hint="eastAsia"/>
          <w:position w:val="-1"/>
          <w:szCs w:val="21"/>
        </w:rPr>
        <w:t>第二节</w:t>
      </w:r>
      <w:r>
        <w:rPr>
          <w:rFonts w:asciiTheme="minorEastAsia" w:eastAsiaTheme="minorEastAsia" w:hAnsiTheme="minorEastAsia"/>
          <w:position w:val="-1"/>
          <w:szCs w:val="21"/>
        </w:rPr>
        <w:t xml:space="preserve"> </w:t>
      </w:r>
      <w:r>
        <w:rPr>
          <w:rFonts w:asciiTheme="minorEastAsia" w:eastAsiaTheme="minorEastAsia" w:hAnsiTheme="minorEastAsia" w:hint="eastAsia"/>
          <w:position w:val="-1"/>
          <w:szCs w:val="21"/>
        </w:rPr>
        <w:t>果树修剪</w:t>
      </w:r>
    </w:p>
    <w:p w14:paraId="1176A7A0" w14:textId="77777777" w:rsidR="00F5289E" w:rsidRDefault="00C91173">
      <w:pPr>
        <w:adjustRightInd w:val="0"/>
        <w:snapToGrid w:val="0"/>
        <w:spacing w:line="360" w:lineRule="auto"/>
        <w:rPr>
          <w:rFonts w:asciiTheme="minorEastAsia" w:eastAsiaTheme="minorEastAsia" w:hAnsiTheme="minorEastAsia"/>
          <w:position w:val="-1"/>
          <w:szCs w:val="21"/>
        </w:rPr>
      </w:pPr>
      <w:r>
        <w:rPr>
          <w:rFonts w:asciiTheme="minorEastAsia" w:eastAsiaTheme="minorEastAsia" w:hAnsiTheme="minorEastAsia" w:hint="eastAsia"/>
          <w:position w:val="-1"/>
          <w:szCs w:val="21"/>
        </w:rPr>
        <w:t>第三节</w:t>
      </w:r>
      <w:r>
        <w:rPr>
          <w:rFonts w:asciiTheme="minorEastAsia" w:eastAsiaTheme="minorEastAsia" w:hAnsiTheme="minorEastAsia"/>
          <w:position w:val="-1"/>
          <w:szCs w:val="21"/>
        </w:rPr>
        <w:t xml:space="preserve"> </w:t>
      </w:r>
      <w:r>
        <w:rPr>
          <w:rFonts w:asciiTheme="minorEastAsia" w:eastAsiaTheme="minorEastAsia" w:hAnsiTheme="minorEastAsia" w:hint="eastAsia"/>
          <w:position w:val="-1"/>
          <w:szCs w:val="21"/>
        </w:rPr>
        <w:t>整形修剪的调节作用</w:t>
      </w:r>
    </w:p>
    <w:p w14:paraId="1009724E" w14:textId="77777777" w:rsidR="00F5289E" w:rsidRDefault="00C91173">
      <w:pPr>
        <w:adjustRightInd w:val="0"/>
        <w:snapToGrid w:val="0"/>
        <w:spacing w:line="360" w:lineRule="auto"/>
        <w:rPr>
          <w:rFonts w:ascii="宋体" w:hAnsi="宋体"/>
          <w:bCs/>
        </w:rPr>
      </w:pPr>
      <w:r>
        <w:rPr>
          <w:rFonts w:asciiTheme="minorEastAsia" w:eastAsiaTheme="minorEastAsia" w:hAnsiTheme="minorEastAsia" w:hint="eastAsia"/>
          <w:b/>
          <w:bCs/>
          <w:szCs w:val="21"/>
        </w:rPr>
        <w:t>教学组织与实施：</w:t>
      </w:r>
      <w:r>
        <w:rPr>
          <w:rFonts w:asciiTheme="minorEastAsia" w:eastAsiaTheme="minorEastAsia" w:hAnsiTheme="minorEastAsia" w:hint="eastAsia"/>
          <w:bCs/>
          <w:szCs w:val="21"/>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C5C29FE" w14:textId="77777777">
        <w:trPr>
          <w:trHeight w:val="270"/>
        </w:trPr>
        <w:tc>
          <w:tcPr>
            <w:tcW w:w="2965" w:type="dxa"/>
            <w:tcBorders>
              <w:top w:val="nil"/>
              <w:left w:val="nil"/>
              <w:bottom w:val="nil"/>
              <w:right w:val="nil"/>
            </w:tcBorders>
            <w:vAlign w:val="center"/>
          </w:tcPr>
          <w:p w14:paraId="5572D142" w14:textId="77777777" w:rsidR="00F5289E" w:rsidRDefault="00F5289E">
            <w:pPr>
              <w:widowControl/>
              <w:snapToGrid w:val="0"/>
              <w:spacing w:line="360" w:lineRule="auto"/>
              <w:jc w:val="center"/>
              <w:rPr>
                <w:rFonts w:hAnsi="宋体"/>
                <w:b/>
                <w:bCs/>
                <w:kern w:val="0"/>
                <w:szCs w:val="21"/>
              </w:rPr>
            </w:pPr>
            <w:bookmarkStart w:id="81" w:name="_Hlk137651464"/>
          </w:p>
        </w:tc>
        <w:tc>
          <w:tcPr>
            <w:tcW w:w="2965" w:type="dxa"/>
            <w:tcBorders>
              <w:top w:val="nil"/>
              <w:left w:val="nil"/>
              <w:bottom w:val="nil"/>
              <w:right w:val="nil"/>
            </w:tcBorders>
            <w:vAlign w:val="center"/>
          </w:tcPr>
          <w:p w14:paraId="30D2B049"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asciiTheme="minorEastAsia" w:eastAsiaTheme="minorEastAsia" w:hAnsiTheme="minorEastAsia" w:hint="eastAsia"/>
                <w:b/>
                <w:bCs/>
                <w:szCs w:val="21"/>
              </w:rPr>
              <w:t>葡萄设施栽培</w:t>
            </w:r>
          </w:p>
        </w:tc>
        <w:tc>
          <w:tcPr>
            <w:tcW w:w="2966" w:type="dxa"/>
            <w:tcBorders>
              <w:top w:val="nil"/>
              <w:left w:val="nil"/>
              <w:bottom w:val="nil"/>
              <w:right w:val="nil"/>
            </w:tcBorders>
            <w:vAlign w:val="center"/>
          </w:tcPr>
          <w:p w14:paraId="1DC1BC2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bookmarkEnd w:id="81"/>
    <w:p w14:paraId="66C3B87B"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
          <w:szCs w:val="21"/>
        </w:rPr>
        <w:t>教学目标：</w:t>
      </w:r>
      <w:r>
        <w:rPr>
          <w:rFonts w:asciiTheme="minorEastAsia" w:eastAsiaTheme="minorEastAsia" w:hAnsiTheme="minorEastAsia" w:hint="eastAsia"/>
          <w:bCs/>
          <w:szCs w:val="21"/>
        </w:rPr>
        <w:t>学习葡萄的生长发育规律、与环境条件的关系、设施栽培技术管理等果树栽培的基础理论，充分了解葡萄产业栽培现状及发展趋势，掌握其生物学特性、丰产、稳产、优质栽培技术，并培养学生分析问题、解决问题的能力。</w:t>
      </w:r>
    </w:p>
    <w:p w14:paraId="7D894443" w14:textId="77777777" w:rsidR="00F5289E" w:rsidRDefault="00C91173">
      <w:pPr>
        <w:spacing w:line="360" w:lineRule="auto"/>
        <w:rPr>
          <w:rFonts w:asciiTheme="minorEastAsia" w:eastAsiaTheme="minorEastAsia" w:hAnsiTheme="minorEastAsia"/>
          <w:szCs w:val="21"/>
        </w:rPr>
      </w:pPr>
      <w:r>
        <w:rPr>
          <w:rFonts w:asciiTheme="minorEastAsia" w:eastAsiaTheme="minorEastAsia" w:hAnsiTheme="minorEastAsia" w:hint="eastAsia"/>
          <w:b/>
          <w:szCs w:val="21"/>
        </w:rPr>
        <w:lastRenderedPageBreak/>
        <w:t>教学重点和难点：</w:t>
      </w:r>
      <w:r>
        <w:rPr>
          <w:rFonts w:asciiTheme="minorEastAsia" w:eastAsiaTheme="minorEastAsia" w:hAnsiTheme="minorEastAsia"/>
          <w:szCs w:val="21"/>
        </w:rPr>
        <w:t>葡萄的生物学特性；葡萄设施栽培的基本理论知识与实践技能</w:t>
      </w:r>
      <w:r>
        <w:rPr>
          <w:rFonts w:asciiTheme="minorEastAsia" w:eastAsiaTheme="minorEastAsia" w:hAnsiTheme="minorEastAsia" w:hint="eastAsia"/>
          <w:szCs w:val="21"/>
        </w:rPr>
        <w:t>。</w:t>
      </w:r>
    </w:p>
    <w:p w14:paraId="160CA8AA" w14:textId="77777777" w:rsidR="00F5289E" w:rsidRDefault="00C91173">
      <w:pPr>
        <w:pStyle w:val="a5"/>
        <w:spacing w:after="0" w:line="360" w:lineRule="auto"/>
        <w:ind w:firstLine="422"/>
        <w:rPr>
          <w:rFonts w:asciiTheme="minorEastAsia" w:eastAsiaTheme="minorEastAsia" w:hAnsiTheme="minorEastAsia"/>
          <w:b/>
          <w:bCs/>
          <w:position w:val="-1"/>
          <w:szCs w:val="21"/>
        </w:rPr>
      </w:pPr>
      <w:r>
        <w:rPr>
          <w:rFonts w:asciiTheme="minorEastAsia" w:eastAsiaTheme="minorEastAsia" w:hAnsiTheme="minorEastAsia" w:hint="eastAsia"/>
          <w:b/>
          <w:bCs/>
          <w:position w:val="-1"/>
          <w:szCs w:val="21"/>
        </w:rPr>
        <w:t>主要教学内容和要求：</w:t>
      </w:r>
      <w:r>
        <w:rPr>
          <w:rFonts w:asciiTheme="minorEastAsia" w:eastAsiaTheme="minorEastAsia" w:hAnsiTheme="minorEastAsia" w:hint="eastAsia"/>
          <w:szCs w:val="21"/>
        </w:rPr>
        <w:t>了解葡萄设施栽培的历史、现状和发展方向；掌握葡萄设施栽培的类型、葡萄建园技术、整形修剪技术及综合管理措施；熟练掌握设施葡萄栽培的关键技术。</w:t>
      </w:r>
    </w:p>
    <w:p w14:paraId="7EAF5201"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第一节 葡萄产业概况</w:t>
      </w:r>
    </w:p>
    <w:p w14:paraId="26E9DECF"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第二节 葡萄设施栽培建园</w:t>
      </w:r>
    </w:p>
    <w:p w14:paraId="75157B25"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第三节 葡萄设施栽培的关键技术</w:t>
      </w:r>
    </w:p>
    <w:p w14:paraId="54223360" w14:textId="77777777" w:rsidR="00F5289E" w:rsidRDefault="00C9117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bCs/>
          <w:szCs w:val="21"/>
        </w:rPr>
        <w:t>教学组织与实施：</w:t>
      </w:r>
      <w:r>
        <w:rPr>
          <w:rFonts w:asciiTheme="minorEastAsia" w:eastAsiaTheme="minorEastAsia" w:hAnsiTheme="minorEastAsia" w:hint="eastAsia"/>
          <w:bCs/>
          <w:szCs w:val="21"/>
        </w:rPr>
        <w:t>以P</w:t>
      </w:r>
      <w:r>
        <w:rPr>
          <w:rFonts w:asciiTheme="minorEastAsia" w:eastAsiaTheme="minorEastAsia" w:hAnsiTheme="minorEastAsia"/>
          <w:bCs/>
          <w:szCs w:val="21"/>
        </w:rPr>
        <w:t>PT</w:t>
      </w:r>
      <w:r>
        <w:rPr>
          <w:rFonts w:asciiTheme="minorEastAsia" w:eastAsiaTheme="minorEastAsia" w:hAnsiTheme="minorEastAsia" w:hint="eastAsia"/>
          <w:bCs/>
          <w:szCs w:val="21"/>
        </w:rPr>
        <w:t>和线上教学为主，通过多媒体展示设施葡萄产业发展状况和设施类型，吸引学生的注意力，激发学习的兴趣，然后提出问题，让学生带着问题听课，并提出可行性方案。利用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8A59805" w14:textId="77777777">
        <w:trPr>
          <w:trHeight w:val="270"/>
        </w:trPr>
        <w:tc>
          <w:tcPr>
            <w:tcW w:w="2965" w:type="dxa"/>
            <w:tcBorders>
              <w:top w:val="nil"/>
              <w:left w:val="nil"/>
              <w:bottom w:val="nil"/>
              <w:right w:val="nil"/>
            </w:tcBorders>
            <w:vAlign w:val="center"/>
          </w:tcPr>
          <w:p w14:paraId="3F19CA4F" w14:textId="77777777" w:rsidR="00F5289E" w:rsidRDefault="00F5289E">
            <w:pPr>
              <w:widowControl/>
              <w:snapToGrid w:val="0"/>
              <w:spacing w:line="360" w:lineRule="auto"/>
              <w:jc w:val="center"/>
              <w:rPr>
                <w:rFonts w:hAnsi="宋体"/>
                <w:b/>
                <w:bCs/>
                <w:kern w:val="0"/>
                <w:szCs w:val="21"/>
              </w:rPr>
            </w:pPr>
            <w:bookmarkStart w:id="82" w:name="_Hlk137651620"/>
          </w:p>
        </w:tc>
        <w:tc>
          <w:tcPr>
            <w:tcW w:w="2965" w:type="dxa"/>
            <w:tcBorders>
              <w:top w:val="nil"/>
              <w:left w:val="nil"/>
              <w:bottom w:val="nil"/>
              <w:right w:val="nil"/>
            </w:tcBorders>
            <w:vAlign w:val="center"/>
          </w:tcPr>
          <w:p w14:paraId="5B7309C5"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bCs/>
                <w:szCs w:val="21"/>
              </w:rPr>
              <w:t>草莓</w:t>
            </w:r>
            <w:r>
              <w:rPr>
                <w:rFonts w:asciiTheme="minorEastAsia" w:eastAsiaTheme="minorEastAsia" w:hAnsiTheme="minorEastAsia" w:hint="eastAsia"/>
                <w:b/>
                <w:bCs/>
                <w:szCs w:val="21"/>
              </w:rPr>
              <w:t>设施栽培</w:t>
            </w:r>
          </w:p>
        </w:tc>
        <w:tc>
          <w:tcPr>
            <w:tcW w:w="2966" w:type="dxa"/>
            <w:tcBorders>
              <w:top w:val="nil"/>
              <w:left w:val="nil"/>
              <w:bottom w:val="nil"/>
              <w:right w:val="nil"/>
            </w:tcBorders>
            <w:vAlign w:val="center"/>
          </w:tcPr>
          <w:p w14:paraId="674AB8E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bookmarkEnd w:id="82"/>
    <w:p w14:paraId="43C5C092" w14:textId="77777777" w:rsidR="00F5289E" w:rsidRDefault="00C91173">
      <w:pPr>
        <w:snapToGrid w:val="0"/>
        <w:spacing w:line="360" w:lineRule="auto"/>
        <w:rPr>
          <w:rFonts w:asciiTheme="minorEastAsia" w:eastAsiaTheme="minorEastAsia" w:hAnsiTheme="minorEastAsia"/>
          <w:b/>
          <w:bCs/>
          <w:szCs w:val="21"/>
        </w:rPr>
      </w:pPr>
      <w:r>
        <w:rPr>
          <w:rFonts w:asciiTheme="minorEastAsia" w:eastAsiaTheme="minorEastAsia" w:hAnsiTheme="minorEastAsia" w:hint="eastAsia"/>
          <w:b/>
          <w:bCs/>
          <w:szCs w:val="21"/>
        </w:rPr>
        <w:t>教学目标：</w:t>
      </w:r>
      <w:r>
        <w:rPr>
          <w:rFonts w:asciiTheme="minorEastAsia" w:eastAsiaTheme="minorEastAsia" w:hAnsiTheme="minorEastAsia" w:hint="eastAsia"/>
          <w:szCs w:val="21"/>
        </w:rPr>
        <w:t>通过教学，使学生在学习草莓生长发育规律及其与环境条件的关系等栽培基础理论的基础上，充分了解其栽培现状及发展趋势，掌握其生物学特性、丰产、稳产、优质栽培技术，并培养学生分析问题、解决问题的能力。</w:t>
      </w:r>
    </w:p>
    <w:p w14:paraId="14798931" w14:textId="77777777" w:rsidR="00F5289E" w:rsidRDefault="00C9117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bCs/>
          <w:szCs w:val="21"/>
        </w:rPr>
        <w:t>教学重点和难点：</w:t>
      </w:r>
      <w:r>
        <w:rPr>
          <w:rFonts w:asciiTheme="minorEastAsia" w:eastAsiaTheme="minorEastAsia" w:hAnsiTheme="minorEastAsia"/>
          <w:szCs w:val="21"/>
        </w:rPr>
        <w:t>树种的生物学特性；草莓设施栽培的基本理论知识与实践技能。</w:t>
      </w:r>
    </w:p>
    <w:p w14:paraId="1590E2B6" w14:textId="77777777" w:rsidR="00F5289E" w:rsidRDefault="00C91173">
      <w:pPr>
        <w:snapToGrid w:val="0"/>
        <w:spacing w:line="360" w:lineRule="auto"/>
        <w:rPr>
          <w:rFonts w:ascii="宋体" w:hAnsi="宋体"/>
        </w:rPr>
      </w:pPr>
      <w:r>
        <w:rPr>
          <w:rFonts w:asciiTheme="minorEastAsia" w:eastAsiaTheme="minorEastAsia" w:hAnsiTheme="minorEastAsia" w:hint="eastAsia"/>
          <w:b/>
          <w:bCs/>
          <w:szCs w:val="21"/>
        </w:rPr>
        <w:t>主要教学内容及要求：</w:t>
      </w:r>
      <w:r>
        <w:rPr>
          <w:rFonts w:asciiTheme="minorEastAsia" w:eastAsiaTheme="minorEastAsia" w:hAnsiTheme="minorEastAsia" w:hint="eastAsia"/>
          <w:szCs w:val="21"/>
        </w:rPr>
        <w:t>了解草莓栽培的历史、现状和发展方向；掌握草莓育苗技术、生物学特性、</w:t>
      </w:r>
      <w:r>
        <w:rPr>
          <w:rFonts w:ascii="宋体" w:hAnsi="宋体" w:hint="eastAsia"/>
        </w:rPr>
        <w:t>周年生产技术；熟练掌握草莓设施栽培方式。</w:t>
      </w:r>
    </w:p>
    <w:p w14:paraId="725625A6" w14:textId="77777777" w:rsidR="00F5289E" w:rsidRDefault="00C91173">
      <w:pPr>
        <w:snapToGrid w:val="0"/>
        <w:spacing w:line="360" w:lineRule="auto"/>
        <w:rPr>
          <w:rFonts w:ascii="宋体" w:hAnsi="宋体"/>
        </w:rPr>
      </w:pPr>
      <w:r>
        <w:rPr>
          <w:rFonts w:ascii="宋体" w:hAnsi="宋体" w:hint="eastAsia"/>
        </w:rPr>
        <w:t>第一节 草莓栽培概况</w:t>
      </w:r>
    </w:p>
    <w:p w14:paraId="6DEF40B8" w14:textId="77777777" w:rsidR="00F5289E" w:rsidRDefault="00C91173">
      <w:pPr>
        <w:snapToGrid w:val="0"/>
        <w:spacing w:line="360" w:lineRule="auto"/>
        <w:rPr>
          <w:rFonts w:ascii="宋体" w:hAnsi="宋体"/>
        </w:rPr>
      </w:pPr>
      <w:r>
        <w:rPr>
          <w:rFonts w:ascii="宋体" w:hAnsi="宋体" w:hint="eastAsia"/>
        </w:rPr>
        <w:t>第二节 草莓生长特性</w:t>
      </w:r>
    </w:p>
    <w:p w14:paraId="0E92D6F2" w14:textId="77777777" w:rsidR="00F5289E" w:rsidRDefault="00C91173">
      <w:pPr>
        <w:snapToGrid w:val="0"/>
        <w:spacing w:line="360" w:lineRule="auto"/>
        <w:rPr>
          <w:rFonts w:ascii="宋体" w:hAnsi="宋体"/>
        </w:rPr>
      </w:pPr>
      <w:r>
        <w:rPr>
          <w:rFonts w:ascii="宋体" w:hAnsi="宋体" w:hint="eastAsia"/>
        </w:rPr>
        <w:t>第三节 草莓设施栽培种类</w:t>
      </w:r>
    </w:p>
    <w:p w14:paraId="324CBE62" w14:textId="77777777" w:rsidR="00F5289E" w:rsidRDefault="00C91173">
      <w:pPr>
        <w:snapToGrid w:val="0"/>
        <w:spacing w:line="360" w:lineRule="auto"/>
        <w:rPr>
          <w:rFonts w:ascii="宋体" w:hAnsi="宋体"/>
        </w:rPr>
      </w:pPr>
      <w:r>
        <w:rPr>
          <w:rFonts w:ascii="宋体" w:hAnsi="宋体" w:hint="eastAsia"/>
        </w:rPr>
        <w:t>第四节 草莓主要病虫害及其防治</w:t>
      </w:r>
    </w:p>
    <w:p w14:paraId="45307F7B" w14:textId="77777777" w:rsidR="00F5289E" w:rsidRDefault="00C91173">
      <w:pPr>
        <w:snapToGrid w:val="0"/>
        <w:spacing w:line="360" w:lineRule="auto"/>
        <w:rPr>
          <w:rFonts w:ascii="宋体" w:hAnsi="宋体"/>
        </w:rPr>
      </w:pPr>
      <w:r>
        <w:rPr>
          <w:rFonts w:asciiTheme="minorEastAsia" w:eastAsiaTheme="minorEastAsia" w:hAnsiTheme="minorEastAsia" w:hint="eastAsia"/>
          <w:b/>
          <w:bCs/>
          <w:szCs w:val="21"/>
        </w:rPr>
        <w:t>教学组织与实施：</w:t>
      </w:r>
      <w:r>
        <w:rPr>
          <w:rFonts w:ascii="宋体" w:hAnsi="宋体" w:hint="eastAsia"/>
        </w:rPr>
        <w:t>明确本章教学目的和重点难点。通过能够吸引学生注意的草莓产品引入教学内容，主讲国内外草莓产业、器官生长发育规律、物候期、常见品种、设施作品类型等主要内容，并通过和其他果树的比较引导学生思考如草莓如何进行宣传、如何应对“倒春寒”的危害等实际问题，提高学生的学习兴趣。</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17CAF6E" w14:textId="77777777">
        <w:trPr>
          <w:trHeight w:val="270"/>
        </w:trPr>
        <w:tc>
          <w:tcPr>
            <w:tcW w:w="2965" w:type="dxa"/>
            <w:tcBorders>
              <w:top w:val="nil"/>
              <w:left w:val="nil"/>
              <w:bottom w:val="nil"/>
              <w:right w:val="nil"/>
            </w:tcBorders>
            <w:vAlign w:val="center"/>
          </w:tcPr>
          <w:p w14:paraId="70976F44"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C947EE2"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bCs/>
                <w:szCs w:val="21"/>
              </w:rPr>
              <w:t>桃树</w:t>
            </w:r>
            <w:r>
              <w:rPr>
                <w:rFonts w:asciiTheme="minorEastAsia" w:eastAsiaTheme="minorEastAsia" w:hAnsiTheme="minorEastAsia" w:hint="eastAsia"/>
                <w:b/>
                <w:bCs/>
                <w:szCs w:val="21"/>
              </w:rPr>
              <w:t>设施栽培</w:t>
            </w:r>
          </w:p>
        </w:tc>
        <w:tc>
          <w:tcPr>
            <w:tcW w:w="2966" w:type="dxa"/>
            <w:tcBorders>
              <w:top w:val="nil"/>
              <w:left w:val="nil"/>
              <w:bottom w:val="nil"/>
              <w:right w:val="nil"/>
            </w:tcBorders>
            <w:vAlign w:val="center"/>
          </w:tcPr>
          <w:p w14:paraId="67D4959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762F16C" w14:textId="77777777" w:rsidR="00F5289E" w:rsidRDefault="00C91173">
      <w:pPr>
        <w:pStyle w:val="a5"/>
        <w:spacing w:after="0" w:line="360" w:lineRule="auto"/>
        <w:ind w:firstLine="422"/>
        <w:rPr>
          <w:rFonts w:ascii="宋体" w:hAnsi="宋体"/>
        </w:rPr>
      </w:pPr>
      <w:r>
        <w:rPr>
          <w:rFonts w:ascii="宋体" w:hAnsi="宋体" w:hint="eastAsia"/>
          <w:b/>
          <w:bCs/>
        </w:rPr>
        <w:t>教学目标：</w:t>
      </w:r>
      <w:r>
        <w:rPr>
          <w:rFonts w:ascii="宋体" w:hAnsi="宋体" w:hint="eastAsia"/>
        </w:rPr>
        <w:t>通过教学，使学生了解桃树的主要品种和发展趋势，掌握其生物学特性、丰产、稳产、优质栽培技术，并培养学生分析问题、解决问题的能力。</w:t>
      </w:r>
    </w:p>
    <w:p w14:paraId="79D46345" w14:textId="77777777" w:rsidR="00F5289E" w:rsidRDefault="00C91173">
      <w:pPr>
        <w:pStyle w:val="a5"/>
        <w:spacing w:after="0" w:line="360" w:lineRule="auto"/>
        <w:ind w:firstLine="422"/>
        <w:rPr>
          <w:rFonts w:asciiTheme="minorEastAsia" w:eastAsiaTheme="minorEastAsia" w:hAnsiTheme="minorEastAsia"/>
          <w:szCs w:val="21"/>
        </w:rPr>
      </w:pPr>
      <w:r>
        <w:rPr>
          <w:rFonts w:asciiTheme="minorEastAsia" w:eastAsiaTheme="minorEastAsia" w:hAnsiTheme="minorEastAsia" w:hint="eastAsia"/>
          <w:b/>
          <w:bCs/>
          <w:szCs w:val="21"/>
        </w:rPr>
        <w:t>教学重点和难点：</w:t>
      </w:r>
      <w:r>
        <w:rPr>
          <w:rFonts w:asciiTheme="minorEastAsia" w:eastAsiaTheme="minorEastAsia" w:hAnsiTheme="minorEastAsia"/>
          <w:szCs w:val="21"/>
        </w:rPr>
        <w:t>树种的生物学特性；桃设施栽培的基本理论知识与实践技能。</w:t>
      </w:r>
    </w:p>
    <w:p w14:paraId="63F14041" w14:textId="77777777" w:rsidR="00F5289E" w:rsidRDefault="00C91173">
      <w:pPr>
        <w:snapToGrid w:val="0"/>
        <w:spacing w:line="360" w:lineRule="auto"/>
        <w:rPr>
          <w:rFonts w:ascii="宋体" w:hAnsi="宋体"/>
        </w:rPr>
      </w:pPr>
      <w:r>
        <w:rPr>
          <w:rFonts w:ascii="宋体" w:hAnsi="宋体" w:cs="宋体" w:hint="eastAsia"/>
          <w:b/>
          <w:bCs/>
          <w:kern w:val="0"/>
          <w:szCs w:val="21"/>
        </w:rPr>
        <w:t>主要教学内容和要求：</w:t>
      </w:r>
      <w:r>
        <w:rPr>
          <w:rFonts w:ascii="宋体" w:hAnsi="宋体" w:cs="宋体" w:hint="eastAsia"/>
          <w:kern w:val="0"/>
          <w:szCs w:val="21"/>
        </w:rPr>
        <w:t>了解桃树设施栽培的历史、现状和发展方向；掌握建园技术，桃器官的发</w:t>
      </w:r>
      <w:r>
        <w:rPr>
          <w:rFonts w:ascii="宋体" w:hAnsi="宋体" w:hint="eastAsia"/>
        </w:rPr>
        <w:t>育特点及其调控，掌握桃生育期环境条件的控制；熟练掌握设施桃树栽培关键技术。</w:t>
      </w:r>
    </w:p>
    <w:p w14:paraId="393AF6EC" w14:textId="77777777" w:rsidR="00F5289E" w:rsidRDefault="00C91173">
      <w:pPr>
        <w:snapToGrid w:val="0"/>
        <w:spacing w:line="360" w:lineRule="auto"/>
        <w:rPr>
          <w:rFonts w:ascii="宋体" w:hAnsi="宋体"/>
        </w:rPr>
      </w:pPr>
      <w:r>
        <w:rPr>
          <w:rFonts w:ascii="宋体" w:hAnsi="宋体" w:hint="eastAsia"/>
        </w:rPr>
        <w:t>第一节 桃树设施栽培现状与概况</w:t>
      </w:r>
    </w:p>
    <w:p w14:paraId="261F987F" w14:textId="77777777" w:rsidR="00F5289E" w:rsidRDefault="00C91173">
      <w:pPr>
        <w:snapToGrid w:val="0"/>
        <w:spacing w:line="360" w:lineRule="auto"/>
        <w:rPr>
          <w:rFonts w:ascii="宋体" w:hAnsi="宋体"/>
        </w:rPr>
      </w:pPr>
      <w:r>
        <w:rPr>
          <w:rFonts w:ascii="宋体" w:hAnsi="宋体" w:hint="eastAsia"/>
        </w:rPr>
        <w:t>第二节 桃器官与发育</w:t>
      </w:r>
    </w:p>
    <w:p w14:paraId="252A1508" w14:textId="77777777" w:rsidR="00F5289E" w:rsidRDefault="00C91173">
      <w:pPr>
        <w:snapToGrid w:val="0"/>
        <w:spacing w:line="360" w:lineRule="auto"/>
        <w:rPr>
          <w:rFonts w:ascii="宋体" w:hAnsi="宋体"/>
        </w:rPr>
      </w:pPr>
      <w:r>
        <w:rPr>
          <w:rFonts w:ascii="宋体" w:hAnsi="宋体" w:hint="eastAsia"/>
        </w:rPr>
        <w:t>第三节 生育期环境条件的控制</w:t>
      </w:r>
    </w:p>
    <w:p w14:paraId="5A75A607" w14:textId="77777777" w:rsidR="00F5289E" w:rsidRDefault="00C91173">
      <w:pPr>
        <w:snapToGrid w:val="0"/>
        <w:spacing w:line="360" w:lineRule="auto"/>
        <w:rPr>
          <w:rFonts w:ascii="宋体" w:hAnsi="宋体"/>
        </w:rPr>
      </w:pPr>
      <w:r>
        <w:rPr>
          <w:rFonts w:ascii="宋体" w:hAnsi="宋体" w:hint="eastAsia"/>
        </w:rPr>
        <w:lastRenderedPageBreak/>
        <w:t>第四节 桃树设施栽培技术</w:t>
      </w:r>
    </w:p>
    <w:p w14:paraId="6E6F3760" w14:textId="77777777" w:rsidR="00F5289E" w:rsidRDefault="00C91173">
      <w:pPr>
        <w:snapToGrid w:val="0"/>
        <w:spacing w:line="360" w:lineRule="auto"/>
        <w:rPr>
          <w:rFonts w:ascii="宋体" w:hAnsi="宋体"/>
        </w:rPr>
      </w:pPr>
      <w:r>
        <w:rPr>
          <w:rFonts w:ascii="宋体" w:hAnsi="宋体" w:hint="eastAsia"/>
          <w:b/>
          <w:bCs/>
        </w:rPr>
        <w:t>教学组织与实施：</w:t>
      </w:r>
      <w:r>
        <w:rPr>
          <w:rFonts w:ascii="宋体" w:hAnsi="宋体" w:hint="eastAsia"/>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A1FFB3F" w14:textId="77777777">
        <w:trPr>
          <w:trHeight w:val="270"/>
        </w:trPr>
        <w:tc>
          <w:tcPr>
            <w:tcW w:w="2965" w:type="dxa"/>
            <w:tcBorders>
              <w:top w:val="nil"/>
              <w:left w:val="nil"/>
              <w:bottom w:val="nil"/>
              <w:right w:val="nil"/>
            </w:tcBorders>
            <w:vAlign w:val="center"/>
          </w:tcPr>
          <w:p w14:paraId="3BAC601A"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EEF939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szCs w:val="21"/>
              </w:rPr>
              <w:t>樱桃</w:t>
            </w:r>
            <w:r>
              <w:rPr>
                <w:rFonts w:asciiTheme="minorEastAsia" w:eastAsiaTheme="minorEastAsia" w:hAnsiTheme="minorEastAsia" w:hint="eastAsia"/>
                <w:b/>
                <w:bCs/>
                <w:szCs w:val="21"/>
              </w:rPr>
              <w:t>设施栽培</w:t>
            </w:r>
          </w:p>
        </w:tc>
        <w:tc>
          <w:tcPr>
            <w:tcW w:w="2966" w:type="dxa"/>
            <w:tcBorders>
              <w:top w:val="nil"/>
              <w:left w:val="nil"/>
              <w:bottom w:val="nil"/>
              <w:right w:val="nil"/>
            </w:tcBorders>
            <w:vAlign w:val="center"/>
          </w:tcPr>
          <w:p w14:paraId="27FE195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17F68066"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教学目标：</w:t>
      </w:r>
      <w:r>
        <w:rPr>
          <w:rFonts w:ascii="宋体" w:hAnsi="宋体" w:hint="eastAsia"/>
        </w:rPr>
        <w:t>通过教学，使学生在学习本树种的生长发育规律及其与环境条件的关系等果树栽培基础理论的基础上，充分了解其栽培现状及发展趋势，掌握其生物学特性、丰产、稳产、优质栽培技术，并培养学生分析问题、解决问题的能力。</w:t>
      </w:r>
    </w:p>
    <w:p w14:paraId="66A87ABB"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教学重点和难点：</w:t>
      </w:r>
      <w:r>
        <w:rPr>
          <w:rFonts w:ascii="宋体" w:hAnsi="宋体" w:hint="eastAsia"/>
        </w:rPr>
        <w:t>树种的生物学特性；设施栽培的基本理论知识与实践技能。</w:t>
      </w:r>
    </w:p>
    <w:p w14:paraId="6879422E"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主要教学内容及要求：了解樱桃设施栽培的历史、现状和发展方向；掌握樱桃主要种类及品种，掌握樱桃生长特性；熟练掌握设施樱桃栽培关键技术。</w:t>
      </w:r>
    </w:p>
    <w:p w14:paraId="0EECCE48"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第一节 樱桃栽培现状与概况</w:t>
      </w:r>
    </w:p>
    <w:p w14:paraId="2DB26564"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第二节 樱桃生长特性</w:t>
      </w:r>
    </w:p>
    <w:p w14:paraId="2FE880E0"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第三节 樱桃设施栽培的关键技术</w:t>
      </w:r>
    </w:p>
    <w:p w14:paraId="05A4D929" w14:textId="77777777" w:rsidR="00F5289E" w:rsidRDefault="00C91173">
      <w:pPr>
        <w:pStyle w:val="13"/>
        <w:adjustRightInd w:val="0"/>
        <w:snapToGrid w:val="0"/>
        <w:spacing w:line="360" w:lineRule="auto"/>
        <w:ind w:firstLineChars="0" w:firstLine="0"/>
        <w:jc w:val="left"/>
        <w:rPr>
          <w:rFonts w:asciiTheme="minorEastAsia" w:eastAsiaTheme="minorEastAsia" w:hAnsiTheme="minorEastAsia"/>
          <w:szCs w:val="21"/>
        </w:rPr>
      </w:pPr>
      <w:r>
        <w:rPr>
          <w:rFonts w:ascii="宋体" w:hAnsi="宋体" w:hint="eastAsia"/>
          <w:b/>
          <w:bCs/>
        </w:rPr>
        <w:t>教学组织与实施：</w:t>
      </w:r>
      <w:r>
        <w:rPr>
          <w:rFonts w:asciiTheme="minorEastAsia" w:eastAsiaTheme="minorEastAsia" w:hAnsiTheme="minorEastAsia" w:hint="eastAsia"/>
          <w:szCs w:val="21"/>
        </w:rPr>
        <w:t>明确本章教学目的和重点难点。通过市场宣传的高价车厘子引入教学内容，通过樱桃基础口情况介绍国内外樱桃产业，主讲器官生长发育规律、物候期、常见品种和病虫害防治等主要内容，并将课堂知识和基地实践相结合，说明樱桃种植中的突出问题，将课堂知识应用到实践中。</w:t>
      </w:r>
    </w:p>
    <w:p w14:paraId="202BADD2" w14:textId="77777777" w:rsidR="00F5289E" w:rsidRDefault="00F5289E">
      <w:pPr>
        <w:snapToGrid w:val="0"/>
        <w:spacing w:line="360" w:lineRule="auto"/>
        <w:rPr>
          <w:rFonts w:ascii="宋体" w:hAnsi="宋体"/>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1E31E78" w14:textId="77777777">
        <w:trPr>
          <w:trHeight w:val="270"/>
        </w:trPr>
        <w:tc>
          <w:tcPr>
            <w:tcW w:w="2965" w:type="dxa"/>
            <w:tcBorders>
              <w:top w:val="nil"/>
              <w:left w:val="nil"/>
              <w:bottom w:val="nil"/>
              <w:right w:val="nil"/>
            </w:tcBorders>
            <w:vAlign w:val="center"/>
          </w:tcPr>
          <w:p w14:paraId="46B82668"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1A64ACF"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枣</w:t>
            </w:r>
            <w:r>
              <w:rPr>
                <w:rFonts w:asciiTheme="minorEastAsia" w:eastAsiaTheme="minorEastAsia" w:hAnsiTheme="minorEastAsia" w:hint="eastAsia"/>
                <w:b/>
                <w:bCs/>
                <w:szCs w:val="21"/>
              </w:rPr>
              <w:t>设施栽培</w:t>
            </w:r>
          </w:p>
        </w:tc>
        <w:tc>
          <w:tcPr>
            <w:tcW w:w="2966" w:type="dxa"/>
            <w:tcBorders>
              <w:top w:val="nil"/>
              <w:left w:val="nil"/>
              <w:bottom w:val="nil"/>
              <w:right w:val="nil"/>
            </w:tcBorders>
            <w:vAlign w:val="center"/>
          </w:tcPr>
          <w:p w14:paraId="0390B7AD"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114CB64"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教学目标：</w:t>
      </w:r>
      <w:r>
        <w:rPr>
          <w:rFonts w:ascii="宋体" w:hAnsi="宋体" w:hint="eastAsia"/>
        </w:rPr>
        <w:t>通过教学，掌握枣栽培的生物学原理，枣树的整形修剪以及枣树设施栽培技术与实践技能。</w:t>
      </w:r>
    </w:p>
    <w:p w14:paraId="75CBA772"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教学重点和难点：</w:t>
      </w:r>
      <w:r>
        <w:rPr>
          <w:rFonts w:ascii="宋体" w:hAnsi="宋体" w:hint="eastAsia"/>
        </w:rPr>
        <w:t>枣树的生物学特性；设施栽培的基本理论知识与实践技能。</w:t>
      </w:r>
    </w:p>
    <w:p w14:paraId="20E3C4BD"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主要教学内容及要求：</w:t>
      </w:r>
      <w:r>
        <w:rPr>
          <w:rFonts w:ascii="宋体" w:hAnsi="宋体" w:hint="eastAsia"/>
        </w:rPr>
        <w:t>了解枣设施栽培的历史、现状和发展方向；掌握枣主要种类及品种，掌握枣生长特性；熟练掌握设施枣栽培关键技术。</w:t>
      </w:r>
    </w:p>
    <w:p w14:paraId="5CFF581B"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第一节 枣栽培现状与概况</w:t>
      </w:r>
    </w:p>
    <w:p w14:paraId="4AE3EEA8"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第二节 枣树生长特性</w:t>
      </w:r>
    </w:p>
    <w:p w14:paraId="25477D9F"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第三节 枣树设施栽培的关键技术</w:t>
      </w:r>
    </w:p>
    <w:p w14:paraId="42AB0764" w14:textId="77777777" w:rsidR="00F5289E" w:rsidRDefault="00C91173">
      <w:pPr>
        <w:pStyle w:val="13"/>
        <w:adjustRightInd w:val="0"/>
        <w:snapToGrid w:val="0"/>
        <w:spacing w:line="360" w:lineRule="auto"/>
        <w:ind w:firstLineChars="0" w:firstLine="0"/>
        <w:jc w:val="left"/>
        <w:rPr>
          <w:rFonts w:asciiTheme="minorEastAsia" w:eastAsiaTheme="minorEastAsia" w:hAnsiTheme="minorEastAsia"/>
          <w:szCs w:val="21"/>
        </w:rPr>
      </w:pPr>
      <w:r>
        <w:rPr>
          <w:rFonts w:ascii="宋体" w:hAnsi="宋体" w:hint="eastAsia"/>
          <w:b/>
          <w:bCs/>
        </w:rPr>
        <w:t>教学组织与实施：</w:t>
      </w:r>
      <w:r>
        <w:rPr>
          <w:rFonts w:asciiTheme="minorEastAsia" w:eastAsiaTheme="minorEastAsia" w:hAnsiTheme="minorEastAsia" w:hint="eastAsia"/>
          <w:szCs w:val="21"/>
        </w:rPr>
        <w:t>以PPT和线上教学为主，通过讲授、课堂提问、线上测试、多媒体课下交流等多种教学形式完成教学任务。</w:t>
      </w:r>
    </w:p>
    <w:p w14:paraId="36475DDF" w14:textId="77777777" w:rsidR="00F5289E" w:rsidRDefault="00F5289E">
      <w:pPr>
        <w:pStyle w:val="13"/>
        <w:adjustRightInd w:val="0"/>
        <w:snapToGrid w:val="0"/>
        <w:spacing w:line="360" w:lineRule="auto"/>
        <w:ind w:firstLineChars="0" w:firstLine="0"/>
        <w:jc w:val="left"/>
        <w:rPr>
          <w:rFonts w:asciiTheme="minorEastAsia" w:eastAsiaTheme="minorEastAsia" w:hAnsiTheme="minorEastAsia"/>
          <w:szCs w:val="21"/>
        </w:rPr>
      </w:pPr>
    </w:p>
    <w:p w14:paraId="6AE905FB"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b/>
          <w:bCs/>
          <w:kern w:val="0"/>
          <w:szCs w:val="21"/>
        </w:rPr>
        <w:t>8</w:t>
      </w:r>
      <w:r>
        <w:rPr>
          <w:rFonts w:hAnsi="宋体"/>
          <w:b/>
          <w:bCs/>
          <w:kern w:val="0"/>
          <w:szCs w:val="21"/>
        </w:rPr>
        <w:t>学时</w:t>
      </w:r>
      <w:r>
        <w:rPr>
          <w:rFonts w:hAnsi="宋体" w:hint="eastAsia"/>
          <w:b/>
          <w:bCs/>
          <w:kern w:val="0"/>
          <w:szCs w:val="21"/>
        </w:rPr>
        <w:t>）</w:t>
      </w:r>
    </w:p>
    <w:p w14:paraId="08976373"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32CEF098" w14:textId="77777777" w:rsidR="00F5289E" w:rsidRDefault="00C91173">
      <w:pPr>
        <w:snapToGrid w:val="0"/>
        <w:spacing w:line="360" w:lineRule="auto"/>
        <w:ind w:firstLineChars="200" w:firstLine="420"/>
        <w:rPr>
          <w:bCs/>
          <w:szCs w:val="21"/>
        </w:rPr>
      </w:pPr>
      <w:r>
        <w:rPr>
          <w:rFonts w:hint="eastAsia"/>
          <w:bCs/>
          <w:szCs w:val="21"/>
        </w:rPr>
        <w:t>本课程为设施园艺专业的必修专业课之一，栽培实验教学大纲是根据我院设施专业教学计划中关于设施果树栽培部分的实验教学内容和教学时数的规定而制定的。实验的目的是使学生通过</w:t>
      </w:r>
      <w:r>
        <w:rPr>
          <w:rFonts w:hint="eastAsia"/>
          <w:bCs/>
          <w:szCs w:val="21"/>
        </w:rPr>
        <w:lastRenderedPageBreak/>
        <w:t>实验操作，加强理论与实际的联系，巩固和丰富课堂理论教学，培养学生掌握栽培学的基本知识和操作技能，有效地从事或指导设施果树。</w:t>
      </w:r>
    </w:p>
    <w:p w14:paraId="47F0CB70"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7BB967D1" w14:textId="77777777" w:rsidR="00F5289E" w:rsidRDefault="00C91173" w:rsidP="00F63B33">
      <w:pPr>
        <w:snapToGrid w:val="0"/>
        <w:spacing w:line="360" w:lineRule="auto"/>
        <w:ind w:firstLineChars="200" w:firstLine="440"/>
        <w:rPr>
          <w:rStyle w:val="fontstyle11"/>
          <w:rFonts w:hint="default"/>
          <w:szCs w:val="21"/>
        </w:rPr>
      </w:pPr>
      <w:r>
        <w:rPr>
          <w:rStyle w:val="fontstyle01"/>
          <w:rFonts w:ascii="宋体" w:hAnsi="宋体"/>
          <w:szCs w:val="21"/>
        </w:rPr>
        <w:t>1</w:t>
      </w:r>
      <w:r>
        <w:rPr>
          <w:rStyle w:val="fontstyle11"/>
          <w:rFonts w:hint="default"/>
          <w:szCs w:val="21"/>
        </w:rPr>
        <w:t>、通过实验课教学加深对栽培学基本原理的理解，更好地掌握有关概念和基本原理。</w:t>
      </w:r>
    </w:p>
    <w:p w14:paraId="12D0BEDB" w14:textId="77777777" w:rsidR="00F5289E" w:rsidRDefault="00C91173" w:rsidP="00F63B33">
      <w:pPr>
        <w:snapToGrid w:val="0"/>
        <w:spacing w:line="360" w:lineRule="auto"/>
        <w:ind w:firstLineChars="200" w:firstLine="440"/>
        <w:rPr>
          <w:rFonts w:ascii="宋体" w:hAnsi="宋体"/>
          <w:color w:val="000000"/>
          <w:szCs w:val="21"/>
        </w:rPr>
      </w:pPr>
      <w:r>
        <w:rPr>
          <w:rStyle w:val="fontstyle01"/>
          <w:rFonts w:ascii="宋体" w:hAnsi="宋体"/>
          <w:szCs w:val="21"/>
        </w:rPr>
        <w:t>2</w:t>
      </w:r>
      <w:r>
        <w:rPr>
          <w:rStyle w:val="fontstyle11"/>
          <w:rFonts w:hint="default"/>
          <w:szCs w:val="21"/>
        </w:rPr>
        <w:t>、通过实验课教学对学生进行栽培的操作技术的训练，使学生掌握栽培的实用技术</w:t>
      </w:r>
      <w:r>
        <w:rPr>
          <w:rStyle w:val="fontstyle01"/>
          <w:rFonts w:ascii="宋体" w:hAnsi="宋体"/>
          <w:szCs w:val="21"/>
        </w:rPr>
        <w:t>,</w:t>
      </w:r>
      <w:r>
        <w:rPr>
          <w:rStyle w:val="fontstyle11"/>
          <w:rFonts w:hint="default"/>
          <w:szCs w:val="21"/>
        </w:rPr>
        <w:t>为指导生产、技术开发研究打下基础。</w:t>
      </w:r>
    </w:p>
    <w:p w14:paraId="6D3689D5" w14:textId="77777777" w:rsidR="00F5289E" w:rsidRDefault="00C91173" w:rsidP="00F63B33">
      <w:pPr>
        <w:snapToGrid w:val="0"/>
        <w:spacing w:line="360" w:lineRule="auto"/>
        <w:ind w:firstLineChars="200" w:firstLine="440"/>
      </w:pPr>
      <w:r>
        <w:rPr>
          <w:rStyle w:val="fontstyle01"/>
          <w:rFonts w:ascii="宋体" w:hAnsi="宋体"/>
          <w:szCs w:val="21"/>
        </w:rPr>
        <w:t>3.</w:t>
      </w:r>
      <w:r>
        <w:rPr>
          <w:rStyle w:val="fontstyle11"/>
          <w:rFonts w:hint="default"/>
          <w:szCs w:val="21"/>
        </w:rPr>
        <w:t>采取室内外相结合的方法进行果树栽培学实验。在进行室内实验的同时，注意加强田间实地观察、调查，从而对生产过程有一个全面了解和认识。大部分实验要求学生写出实验报告，实验课进行单独考核</w:t>
      </w:r>
      <w:r>
        <w:rPr>
          <w:rFonts w:ascii="宋体" w:hAnsi="宋体" w:hint="eastAsia"/>
          <w:szCs w:val="21"/>
        </w:rPr>
        <w:t>。</w:t>
      </w:r>
    </w:p>
    <w:p w14:paraId="6052AC02" w14:textId="77777777" w:rsidR="00F5289E" w:rsidRDefault="00C91173">
      <w:pPr>
        <w:snapToGrid w:val="0"/>
        <w:spacing w:line="360" w:lineRule="auto"/>
        <w:rPr>
          <w:b/>
        </w:rPr>
      </w:pPr>
      <w:r>
        <w:rPr>
          <w:rFonts w:hint="eastAsia"/>
          <w:b/>
        </w:rPr>
        <w:t>（三）实验安全操作规范</w:t>
      </w:r>
    </w:p>
    <w:p w14:paraId="5E9DBDD7" w14:textId="77777777" w:rsidR="00F5289E" w:rsidRDefault="00C91173">
      <w:pPr>
        <w:snapToGrid w:val="0"/>
        <w:spacing w:line="360" w:lineRule="auto"/>
        <w:ind w:firstLineChars="200" w:firstLine="440"/>
        <w:rPr>
          <w:rStyle w:val="fontstyle11"/>
          <w:rFonts w:hint="default"/>
          <w:szCs w:val="21"/>
        </w:rPr>
      </w:pPr>
      <w:r>
        <w:rPr>
          <w:rStyle w:val="fontstyle11"/>
          <w:rFonts w:hint="default"/>
          <w:szCs w:val="21"/>
        </w:rPr>
        <w:t>1.大田实验需要注意周围环境安全，注意脚下安全，防止跌倒受伤，及时避让运行中的农机设备。</w:t>
      </w:r>
    </w:p>
    <w:p w14:paraId="6488B745" w14:textId="77777777" w:rsidR="00F5289E" w:rsidRDefault="00C91173">
      <w:pPr>
        <w:snapToGrid w:val="0"/>
        <w:spacing w:line="360" w:lineRule="auto"/>
        <w:ind w:firstLineChars="200" w:firstLine="440"/>
        <w:rPr>
          <w:rFonts w:ascii="宋体" w:hAnsi="宋体"/>
          <w:color w:val="000000"/>
          <w:szCs w:val="21"/>
        </w:rPr>
      </w:pPr>
      <w:r>
        <w:rPr>
          <w:rStyle w:val="fontstyle11"/>
          <w:rFonts w:hint="default"/>
          <w:szCs w:val="21"/>
        </w:rPr>
        <w:t>2.操作农业工具和机械设备之前要培训，安全操作，注意避让行人，听从指挥。</w:t>
      </w:r>
    </w:p>
    <w:p w14:paraId="6BEBCDEC"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200"/>
        <w:gridCol w:w="2927"/>
        <w:gridCol w:w="877"/>
        <w:gridCol w:w="1408"/>
        <w:gridCol w:w="1444"/>
        <w:gridCol w:w="1034"/>
      </w:tblGrid>
      <w:tr w:rsidR="00F5289E" w14:paraId="166502CE" w14:textId="77777777">
        <w:trPr>
          <w:jc w:val="center"/>
        </w:trPr>
        <w:tc>
          <w:tcPr>
            <w:tcW w:w="1200" w:type="dxa"/>
            <w:shd w:val="clear" w:color="auto" w:fill="EEECE1" w:themeFill="background2"/>
            <w:vAlign w:val="center"/>
          </w:tcPr>
          <w:p w14:paraId="5047BA3D"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053" w:type="dxa"/>
            <w:shd w:val="clear" w:color="auto" w:fill="EEECE1" w:themeFill="background2"/>
            <w:vAlign w:val="center"/>
          </w:tcPr>
          <w:p w14:paraId="6AC09864"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04" w:type="dxa"/>
            <w:shd w:val="clear" w:color="auto" w:fill="EEECE1" w:themeFill="background2"/>
            <w:vAlign w:val="center"/>
          </w:tcPr>
          <w:p w14:paraId="79A3132F"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432" w:type="dxa"/>
            <w:shd w:val="clear" w:color="auto" w:fill="EEECE1" w:themeFill="background2"/>
            <w:vAlign w:val="center"/>
          </w:tcPr>
          <w:p w14:paraId="0023F0A2"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57" w:type="dxa"/>
            <w:shd w:val="clear" w:color="auto" w:fill="EEECE1" w:themeFill="background2"/>
            <w:vAlign w:val="center"/>
          </w:tcPr>
          <w:p w14:paraId="7DD32262"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070" w:type="dxa"/>
            <w:shd w:val="clear" w:color="auto" w:fill="EEECE1" w:themeFill="background2"/>
            <w:vAlign w:val="center"/>
          </w:tcPr>
          <w:p w14:paraId="27DAF7E6"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36BCA647" w14:textId="77777777">
        <w:trPr>
          <w:jc w:val="center"/>
        </w:trPr>
        <w:tc>
          <w:tcPr>
            <w:tcW w:w="1200" w:type="dxa"/>
            <w:vAlign w:val="center"/>
          </w:tcPr>
          <w:p w14:paraId="3C2960EB" w14:textId="77777777" w:rsidR="00F5289E" w:rsidRDefault="00C91173">
            <w:pPr>
              <w:spacing w:line="360" w:lineRule="auto"/>
              <w:jc w:val="center"/>
              <w:rPr>
                <w:sz w:val="18"/>
                <w:szCs w:val="18"/>
              </w:rPr>
            </w:pPr>
            <w:r>
              <w:rPr>
                <w:bCs/>
                <w:sz w:val="18"/>
                <w:szCs w:val="18"/>
              </w:rPr>
              <w:t>19011</w:t>
            </w:r>
            <w:r>
              <w:rPr>
                <w:rFonts w:hint="eastAsia"/>
                <w:bCs/>
                <w:sz w:val="18"/>
                <w:szCs w:val="18"/>
              </w:rPr>
              <w:t>158</w:t>
            </w:r>
            <w:r>
              <w:rPr>
                <w:bCs/>
                <w:sz w:val="18"/>
                <w:szCs w:val="18"/>
              </w:rPr>
              <w:t>h01</w:t>
            </w:r>
          </w:p>
        </w:tc>
        <w:tc>
          <w:tcPr>
            <w:tcW w:w="3053" w:type="dxa"/>
          </w:tcPr>
          <w:p w14:paraId="1A77E72C" w14:textId="77777777" w:rsidR="00F5289E" w:rsidRDefault="00C91173" w:rsidP="00F63B33">
            <w:pPr>
              <w:pStyle w:val="TableParagraph"/>
              <w:spacing w:line="360" w:lineRule="auto"/>
              <w:ind w:right="291"/>
              <w:rPr>
                <w:rFonts w:ascii="Times New Roman" w:hAnsi="Times New Roman" w:cs="Times New Roman"/>
                <w:sz w:val="18"/>
                <w:szCs w:val="18"/>
              </w:rPr>
            </w:pPr>
            <w:proofErr w:type="spellStart"/>
            <w:r w:rsidRPr="00F63B33">
              <w:rPr>
                <w:rFonts w:ascii="Times New Roman" w:hAnsi="Times New Roman" w:cs="Times New Roman"/>
                <w:sz w:val="18"/>
                <w:szCs w:val="18"/>
              </w:rPr>
              <w:t>果树树种识别</w:t>
            </w:r>
            <w:proofErr w:type="spellEnd"/>
          </w:p>
        </w:tc>
        <w:tc>
          <w:tcPr>
            <w:tcW w:w="904" w:type="dxa"/>
          </w:tcPr>
          <w:p w14:paraId="04EC479F" w14:textId="77777777" w:rsidR="00F5289E" w:rsidRDefault="00C91173">
            <w:pPr>
              <w:pStyle w:val="TableParagraph"/>
              <w:spacing w:line="360" w:lineRule="auto"/>
              <w:ind w:left="12"/>
              <w:rPr>
                <w:rFonts w:ascii="Times New Roman" w:hAnsi="Times New Roman" w:cs="Times New Roman"/>
                <w:sz w:val="18"/>
                <w:szCs w:val="18"/>
              </w:rPr>
            </w:pPr>
            <w:r>
              <w:rPr>
                <w:rFonts w:ascii="Times New Roman" w:hAnsi="Times New Roman" w:cs="Times New Roman"/>
                <w:w w:val="99"/>
                <w:sz w:val="18"/>
                <w:szCs w:val="18"/>
              </w:rPr>
              <w:t>2</w:t>
            </w:r>
          </w:p>
        </w:tc>
        <w:tc>
          <w:tcPr>
            <w:tcW w:w="1432" w:type="dxa"/>
          </w:tcPr>
          <w:p w14:paraId="778460EC" w14:textId="77777777" w:rsidR="00F5289E" w:rsidRDefault="00C91173">
            <w:pPr>
              <w:pStyle w:val="TableParagraph"/>
              <w:spacing w:line="360" w:lineRule="auto"/>
              <w:ind w:left="300" w:right="291"/>
              <w:rPr>
                <w:rFonts w:ascii="Times New Roman" w:hAnsi="Times New Roman" w:cs="Times New Roman"/>
                <w:sz w:val="18"/>
                <w:szCs w:val="18"/>
              </w:rPr>
            </w:pPr>
            <w:proofErr w:type="spellStart"/>
            <w:r>
              <w:rPr>
                <w:rFonts w:ascii="Times New Roman" w:hAnsi="Times New Roman" w:cs="Times New Roman" w:hint="eastAsia"/>
                <w:sz w:val="18"/>
                <w:szCs w:val="18"/>
              </w:rPr>
              <w:t>基础性</w:t>
            </w:r>
            <w:proofErr w:type="spellEnd"/>
          </w:p>
        </w:tc>
        <w:tc>
          <w:tcPr>
            <w:tcW w:w="1457" w:type="dxa"/>
          </w:tcPr>
          <w:p w14:paraId="2C87267C" w14:textId="77777777" w:rsidR="00F5289E" w:rsidRDefault="00C91173">
            <w:pPr>
              <w:pStyle w:val="TableParagraph"/>
              <w:spacing w:line="360" w:lineRule="auto"/>
              <w:ind w:left="413" w:right="409"/>
              <w:rPr>
                <w:rFonts w:ascii="Times New Roman" w:hAnsi="Times New Roman" w:cs="Times New Roman"/>
                <w:sz w:val="18"/>
                <w:szCs w:val="18"/>
              </w:rPr>
            </w:pPr>
            <w:proofErr w:type="spellStart"/>
            <w:r>
              <w:rPr>
                <w:rFonts w:ascii="Times New Roman" w:hAnsi="Times New Roman" w:cs="Times New Roman"/>
                <w:w w:val="95"/>
                <w:sz w:val="18"/>
                <w:szCs w:val="18"/>
              </w:rPr>
              <w:t>必做</w:t>
            </w:r>
            <w:proofErr w:type="spellEnd"/>
          </w:p>
        </w:tc>
        <w:tc>
          <w:tcPr>
            <w:tcW w:w="1070" w:type="dxa"/>
          </w:tcPr>
          <w:p w14:paraId="57DC3A7D" w14:textId="77777777" w:rsidR="00F5289E" w:rsidRDefault="00C91173">
            <w:pPr>
              <w:spacing w:line="360" w:lineRule="auto"/>
              <w:jc w:val="center"/>
              <w:rPr>
                <w:sz w:val="18"/>
                <w:szCs w:val="18"/>
              </w:rPr>
            </w:pPr>
            <w:r>
              <w:rPr>
                <w:sz w:val="18"/>
                <w:szCs w:val="18"/>
              </w:rPr>
              <w:t>6</w:t>
            </w:r>
          </w:p>
        </w:tc>
      </w:tr>
      <w:tr w:rsidR="00F5289E" w14:paraId="7BC7B16F" w14:textId="77777777">
        <w:trPr>
          <w:jc w:val="center"/>
        </w:trPr>
        <w:tc>
          <w:tcPr>
            <w:tcW w:w="1200" w:type="dxa"/>
            <w:vAlign w:val="center"/>
          </w:tcPr>
          <w:p w14:paraId="7E43B599" w14:textId="77777777" w:rsidR="00F5289E" w:rsidRDefault="00C91173">
            <w:pPr>
              <w:spacing w:line="360" w:lineRule="auto"/>
              <w:jc w:val="center"/>
              <w:rPr>
                <w:sz w:val="18"/>
                <w:szCs w:val="18"/>
              </w:rPr>
            </w:pPr>
            <w:r>
              <w:rPr>
                <w:bCs/>
                <w:sz w:val="18"/>
                <w:szCs w:val="18"/>
              </w:rPr>
              <w:t>19011</w:t>
            </w:r>
            <w:r>
              <w:rPr>
                <w:rFonts w:hint="eastAsia"/>
                <w:bCs/>
                <w:sz w:val="18"/>
                <w:szCs w:val="18"/>
              </w:rPr>
              <w:t>158</w:t>
            </w:r>
            <w:r>
              <w:rPr>
                <w:bCs/>
                <w:sz w:val="18"/>
                <w:szCs w:val="18"/>
              </w:rPr>
              <w:t>h02</w:t>
            </w:r>
          </w:p>
        </w:tc>
        <w:tc>
          <w:tcPr>
            <w:tcW w:w="3053" w:type="dxa"/>
          </w:tcPr>
          <w:p w14:paraId="069ABD8D" w14:textId="77777777" w:rsidR="00F5289E" w:rsidRDefault="00C91173" w:rsidP="00F63B33">
            <w:pPr>
              <w:pStyle w:val="TableParagraph"/>
              <w:spacing w:line="360" w:lineRule="auto"/>
              <w:ind w:right="291"/>
              <w:rPr>
                <w:rFonts w:ascii="Times New Roman" w:hAnsi="Times New Roman" w:cs="Times New Roman"/>
                <w:sz w:val="18"/>
                <w:szCs w:val="18"/>
                <w:lang w:eastAsia="zh-CN"/>
              </w:rPr>
            </w:pPr>
            <w:r w:rsidRPr="00F63B33">
              <w:rPr>
                <w:rFonts w:ascii="Times New Roman" w:hAnsi="Times New Roman" w:cs="Times New Roman" w:hint="eastAsia"/>
                <w:sz w:val="18"/>
                <w:szCs w:val="18"/>
                <w:lang w:eastAsia="zh-CN"/>
              </w:rPr>
              <w:t>果实分类与果实构造观察</w:t>
            </w:r>
          </w:p>
        </w:tc>
        <w:tc>
          <w:tcPr>
            <w:tcW w:w="904" w:type="dxa"/>
          </w:tcPr>
          <w:p w14:paraId="79666D36" w14:textId="77777777" w:rsidR="00F5289E" w:rsidRDefault="00C91173">
            <w:pPr>
              <w:pStyle w:val="TableParagraph"/>
              <w:spacing w:line="360" w:lineRule="auto"/>
              <w:ind w:left="12"/>
              <w:rPr>
                <w:rFonts w:ascii="Times New Roman" w:hAnsi="Times New Roman" w:cs="Times New Roman"/>
                <w:sz w:val="18"/>
                <w:szCs w:val="18"/>
              </w:rPr>
            </w:pPr>
            <w:r>
              <w:rPr>
                <w:rFonts w:ascii="Times New Roman" w:hAnsi="Times New Roman" w:cs="Times New Roman" w:hint="eastAsia"/>
                <w:w w:val="99"/>
                <w:sz w:val="18"/>
                <w:szCs w:val="18"/>
                <w:lang w:eastAsia="zh-CN"/>
              </w:rPr>
              <w:t>2</w:t>
            </w:r>
          </w:p>
        </w:tc>
        <w:tc>
          <w:tcPr>
            <w:tcW w:w="1432" w:type="dxa"/>
          </w:tcPr>
          <w:p w14:paraId="6978AA26" w14:textId="77777777" w:rsidR="00F5289E" w:rsidRDefault="00C91173">
            <w:pPr>
              <w:pStyle w:val="TableParagraph"/>
              <w:spacing w:line="360" w:lineRule="auto"/>
              <w:ind w:left="300" w:right="291"/>
              <w:rPr>
                <w:rFonts w:ascii="Times New Roman" w:hAnsi="Times New Roman" w:cs="Times New Roman"/>
                <w:sz w:val="18"/>
                <w:szCs w:val="18"/>
              </w:rPr>
            </w:pPr>
            <w:proofErr w:type="spellStart"/>
            <w:r>
              <w:rPr>
                <w:rFonts w:ascii="Times New Roman" w:hAnsi="Times New Roman" w:cs="Times New Roman" w:hint="eastAsia"/>
                <w:sz w:val="18"/>
                <w:szCs w:val="18"/>
              </w:rPr>
              <w:t>基础性</w:t>
            </w:r>
            <w:proofErr w:type="spellEnd"/>
          </w:p>
        </w:tc>
        <w:tc>
          <w:tcPr>
            <w:tcW w:w="1457" w:type="dxa"/>
          </w:tcPr>
          <w:p w14:paraId="5524659F" w14:textId="77777777" w:rsidR="00F5289E" w:rsidRDefault="00C91173">
            <w:pPr>
              <w:pStyle w:val="TableParagraph"/>
              <w:spacing w:line="360" w:lineRule="auto"/>
              <w:ind w:left="413" w:right="409"/>
              <w:rPr>
                <w:rFonts w:ascii="Times New Roman" w:hAnsi="Times New Roman" w:cs="Times New Roman"/>
                <w:sz w:val="18"/>
                <w:szCs w:val="18"/>
              </w:rPr>
            </w:pPr>
            <w:r>
              <w:rPr>
                <w:rFonts w:ascii="Times New Roman" w:hAnsi="Times New Roman" w:cs="Times New Roman" w:hint="eastAsia"/>
                <w:w w:val="95"/>
                <w:sz w:val="18"/>
                <w:szCs w:val="18"/>
                <w:lang w:eastAsia="zh-CN"/>
              </w:rPr>
              <w:t>必</w:t>
            </w:r>
            <w:r>
              <w:rPr>
                <w:rFonts w:ascii="Times New Roman" w:hAnsi="Times New Roman" w:cs="Times New Roman"/>
                <w:w w:val="95"/>
                <w:sz w:val="18"/>
                <w:szCs w:val="18"/>
              </w:rPr>
              <w:t>做</w:t>
            </w:r>
          </w:p>
        </w:tc>
        <w:tc>
          <w:tcPr>
            <w:tcW w:w="1070" w:type="dxa"/>
          </w:tcPr>
          <w:p w14:paraId="705B5B3A" w14:textId="77777777" w:rsidR="00F5289E" w:rsidRDefault="00C91173">
            <w:pPr>
              <w:spacing w:line="360" w:lineRule="auto"/>
              <w:jc w:val="center"/>
              <w:rPr>
                <w:sz w:val="18"/>
                <w:szCs w:val="18"/>
              </w:rPr>
            </w:pPr>
            <w:r>
              <w:rPr>
                <w:sz w:val="18"/>
                <w:szCs w:val="18"/>
              </w:rPr>
              <w:t>6</w:t>
            </w:r>
          </w:p>
        </w:tc>
      </w:tr>
      <w:tr w:rsidR="00F5289E" w14:paraId="224A3B54" w14:textId="77777777">
        <w:trPr>
          <w:jc w:val="center"/>
        </w:trPr>
        <w:tc>
          <w:tcPr>
            <w:tcW w:w="1200" w:type="dxa"/>
            <w:vAlign w:val="center"/>
          </w:tcPr>
          <w:p w14:paraId="36EEE8C9" w14:textId="77777777" w:rsidR="00F5289E" w:rsidRDefault="00C91173">
            <w:pPr>
              <w:spacing w:line="360" w:lineRule="auto"/>
              <w:jc w:val="center"/>
              <w:rPr>
                <w:sz w:val="18"/>
                <w:szCs w:val="18"/>
              </w:rPr>
            </w:pPr>
            <w:r>
              <w:rPr>
                <w:bCs/>
                <w:sz w:val="18"/>
                <w:szCs w:val="18"/>
              </w:rPr>
              <w:t>19011</w:t>
            </w:r>
            <w:r>
              <w:rPr>
                <w:rFonts w:hint="eastAsia"/>
                <w:bCs/>
                <w:sz w:val="18"/>
                <w:szCs w:val="18"/>
              </w:rPr>
              <w:t>158</w:t>
            </w:r>
            <w:r>
              <w:rPr>
                <w:bCs/>
                <w:sz w:val="18"/>
                <w:szCs w:val="18"/>
              </w:rPr>
              <w:t>h03</w:t>
            </w:r>
          </w:p>
        </w:tc>
        <w:tc>
          <w:tcPr>
            <w:tcW w:w="3053" w:type="dxa"/>
          </w:tcPr>
          <w:p w14:paraId="06652B6F" w14:textId="77777777" w:rsidR="00F5289E" w:rsidRDefault="00C91173" w:rsidP="00F63B33">
            <w:pPr>
              <w:pStyle w:val="TableParagraph"/>
              <w:spacing w:line="360" w:lineRule="auto"/>
              <w:ind w:right="291"/>
              <w:rPr>
                <w:rFonts w:ascii="Times New Roman" w:hAnsi="Times New Roman" w:cs="Times New Roman"/>
                <w:sz w:val="18"/>
                <w:szCs w:val="18"/>
              </w:rPr>
            </w:pPr>
            <w:bookmarkStart w:id="83" w:name="_Hlk138000147"/>
            <w:proofErr w:type="spellStart"/>
            <w:r w:rsidRPr="00F63B33">
              <w:rPr>
                <w:rFonts w:ascii="Times New Roman" w:hAnsi="Times New Roman" w:cs="Times New Roman" w:hint="eastAsia"/>
                <w:sz w:val="18"/>
                <w:szCs w:val="18"/>
              </w:rPr>
              <w:t>果树整形修剪</w:t>
            </w:r>
            <w:bookmarkEnd w:id="83"/>
            <w:proofErr w:type="spellEnd"/>
          </w:p>
        </w:tc>
        <w:tc>
          <w:tcPr>
            <w:tcW w:w="904" w:type="dxa"/>
          </w:tcPr>
          <w:p w14:paraId="723FEE94" w14:textId="77777777" w:rsidR="00F5289E" w:rsidRDefault="00C91173">
            <w:pPr>
              <w:pStyle w:val="TableParagraph"/>
              <w:spacing w:line="360" w:lineRule="auto"/>
              <w:ind w:left="12"/>
              <w:rPr>
                <w:rFonts w:ascii="Times New Roman" w:hAnsi="Times New Roman" w:cs="Times New Roman"/>
                <w:sz w:val="18"/>
                <w:szCs w:val="18"/>
              </w:rPr>
            </w:pPr>
            <w:r>
              <w:rPr>
                <w:rFonts w:ascii="Times New Roman" w:hAnsi="Times New Roman" w:cs="Times New Roman" w:hint="eastAsia"/>
                <w:w w:val="99"/>
                <w:sz w:val="18"/>
                <w:szCs w:val="18"/>
                <w:lang w:eastAsia="zh-CN"/>
              </w:rPr>
              <w:t>4</w:t>
            </w:r>
          </w:p>
        </w:tc>
        <w:tc>
          <w:tcPr>
            <w:tcW w:w="1432" w:type="dxa"/>
          </w:tcPr>
          <w:p w14:paraId="19B098E2" w14:textId="77777777" w:rsidR="00F5289E" w:rsidRDefault="00C91173">
            <w:pPr>
              <w:pStyle w:val="TableParagraph"/>
              <w:spacing w:line="360" w:lineRule="auto"/>
              <w:ind w:left="300" w:right="291"/>
              <w:rPr>
                <w:rFonts w:ascii="Times New Roman" w:hAnsi="Times New Roman" w:cs="Times New Roman"/>
                <w:sz w:val="18"/>
                <w:szCs w:val="18"/>
              </w:rPr>
            </w:pPr>
            <w:proofErr w:type="spellStart"/>
            <w:r>
              <w:rPr>
                <w:rFonts w:ascii="Times New Roman" w:hAnsi="Times New Roman" w:cs="Times New Roman" w:hint="eastAsia"/>
                <w:sz w:val="18"/>
                <w:szCs w:val="18"/>
              </w:rPr>
              <w:t>综合性</w:t>
            </w:r>
            <w:proofErr w:type="spellEnd"/>
          </w:p>
        </w:tc>
        <w:tc>
          <w:tcPr>
            <w:tcW w:w="1457" w:type="dxa"/>
          </w:tcPr>
          <w:p w14:paraId="26E5C5FC" w14:textId="77777777" w:rsidR="00F5289E" w:rsidRDefault="00C91173">
            <w:pPr>
              <w:pStyle w:val="TableParagraph"/>
              <w:spacing w:line="360" w:lineRule="auto"/>
              <w:ind w:left="413" w:right="409"/>
              <w:rPr>
                <w:rFonts w:ascii="Times New Roman" w:hAnsi="Times New Roman" w:cs="Times New Roman"/>
                <w:sz w:val="18"/>
                <w:szCs w:val="18"/>
              </w:rPr>
            </w:pPr>
            <w:proofErr w:type="spellStart"/>
            <w:r>
              <w:rPr>
                <w:rFonts w:ascii="Times New Roman" w:hAnsi="Times New Roman" w:cs="Times New Roman"/>
                <w:w w:val="95"/>
                <w:sz w:val="18"/>
                <w:szCs w:val="18"/>
              </w:rPr>
              <w:t>必做</w:t>
            </w:r>
            <w:proofErr w:type="spellEnd"/>
          </w:p>
        </w:tc>
        <w:tc>
          <w:tcPr>
            <w:tcW w:w="1070" w:type="dxa"/>
          </w:tcPr>
          <w:p w14:paraId="57E90AA5" w14:textId="77777777" w:rsidR="00F5289E" w:rsidRDefault="00C91173">
            <w:pPr>
              <w:spacing w:line="360" w:lineRule="auto"/>
              <w:jc w:val="center"/>
              <w:rPr>
                <w:sz w:val="18"/>
                <w:szCs w:val="18"/>
              </w:rPr>
            </w:pPr>
            <w:r>
              <w:rPr>
                <w:sz w:val="18"/>
                <w:szCs w:val="18"/>
              </w:rPr>
              <w:t>6</w:t>
            </w:r>
          </w:p>
        </w:tc>
      </w:tr>
    </w:tbl>
    <w:p w14:paraId="14D2C1C3"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74600AD0" w14:textId="77777777" w:rsidR="00F5289E" w:rsidRDefault="00C91173">
      <w:pPr>
        <w:snapToGrid w:val="0"/>
        <w:spacing w:line="360" w:lineRule="auto"/>
        <w:ind w:firstLineChars="100" w:firstLine="210"/>
        <w:rPr>
          <w:rFonts w:ascii="宋体" w:hAnsi="宋体"/>
          <w:color w:val="000000"/>
          <w:szCs w:val="21"/>
        </w:rPr>
      </w:pPr>
      <w:r>
        <w:rPr>
          <w:rFonts w:ascii="宋体" w:hAnsi="宋体"/>
          <w:color w:val="000000"/>
          <w:szCs w:val="21"/>
        </w:rPr>
        <w:t>1、通过室内外实验教学，使学生牢固掌握果树栽培学的专业知识，初步掌握果树设施栽培操作技能，初步具备进行创新性研究的能力与素质。</w:t>
      </w:r>
    </w:p>
    <w:p w14:paraId="238BB783" w14:textId="77777777" w:rsidR="00F5289E" w:rsidRDefault="00C91173">
      <w:pPr>
        <w:snapToGrid w:val="0"/>
        <w:spacing w:line="360" w:lineRule="auto"/>
        <w:ind w:firstLineChars="100" w:firstLine="210"/>
        <w:rPr>
          <w:rFonts w:ascii="宋体" w:hAnsi="宋体"/>
          <w:b/>
          <w:bCs/>
          <w:szCs w:val="21"/>
        </w:rPr>
      </w:pPr>
      <w:r>
        <w:rPr>
          <w:rFonts w:ascii="宋体" w:hAnsi="宋体"/>
          <w:color w:val="000000"/>
          <w:szCs w:val="21"/>
        </w:rPr>
        <w:t>2、本实验课内容包括基础性实验和综合实验两个部分，在教师指导下由学生自己动手完成，并撰写实验报告。</w:t>
      </w:r>
    </w:p>
    <w:p w14:paraId="420BF06F"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5F13B5FA" w14:textId="77777777" w:rsidR="00F5289E" w:rsidRDefault="00C91173">
      <w:pPr>
        <w:pStyle w:val="af1"/>
        <w:snapToGrid w:val="0"/>
        <w:spacing w:before="0" w:beforeAutospacing="0" w:after="0" w:afterAutospacing="0" w:line="360" w:lineRule="auto"/>
        <w:rPr>
          <w:rFonts w:eastAsiaTheme="minorEastAsia"/>
          <w:b/>
          <w:sz w:val="21"/>
          <w:szCs w:val="21"/>
        </w:rPr>
      </w:pPr>
      <w:r>
        <w:rPr>
          <w:rFonts w:hint="eastAsia"/>
          <w:b/>
          <w:sz w:val="21"/>
          <w:szCs w:val="21"/>
        </w:rPr>
        <w:t>【</w:t>
      </w:r>
      <w:r>
        <w:rPr>
          <w:b/>
          <w:sz w:val="21"/>
          <w:szCs w:val="21"/>
        </w:rPr>
        <w:t>实验一</w:t>
      </w:r>
      <w:r>
        <w:rPr>
          <w:rFonts w:hint="eastAsia"/>
          <w:b/>
          <w:sz w:val="21"/>
          <w:szCs w:val="21"/>
        </w:rPr>
        <w:t>】主要果树树种的识别</w:t>
      </w:r>
    </w:p>
    <w:p w14:paraId="123927FE" w14:textId="77777777" w:rsidR="00F5289E" w:rsidRDefault="00C91173">
      <w:pPr>
        <w:snapToGrid w:val="0"/>
        <w:spacing w:line="360" w:lineRule="auto"/>
        <w:ind w:firstLineChars="200" w:firstLine="422"/>
        <w:rPr>
          <w:bCs/>
        </w:rPr>
      </w:pPr>
      <w:r>
        <w:rPr>
          <w:rFonts w:hint="eastAsia"/>
          <w:b/>
          <w:szCs w:val="21"/>
        </w:rPr>
        <w:t>1.</w:t>
      </w:r>
      <w:r>
        <w:rPr>
          <w:rFonts w:hint="eastAsia"/>
          <w:b/>
          <w:szCs w:val="21"/>
        </w:rPr>
        <w:t>实验学时：</w:t>
      </w:r>
      <w:r>
        <w:rPr>
          <w:rFonts w:ascii="宋体" w:hAnsi="宋体" w:hint="eastAsia"/>
          <w:bCs/>
          <w:szCs w:val="21"/>
        </w:rPr>
        <w:t>2</w:t>
      </w:r>
    </w:p>
    <w:p w14:paraId="35BFEB87" w14:textId="77777777" w:rsidR="00F5289E" w:rsidRDefault="00C91173">
      <w:pPr>
        <w:snapToGrid w:val="0"/>
        <w:spacing w:line="360" w:lineRule="auto"/>
        <w:ind w:firstLineChars="200" w:firstLine="422"/>
        <w:rPr>
          <w:bCs/>
          <w:szCs w:val="21"/>
        </w:rPr>
      </w:pPr>
      <w:r>
        <w:rPr>
          <w:rFonts w:hint="eastAsia"/>
          <w:b/>
          <w:szCs w:val="21"/>
        </w:rPr>
        <w:t>2.</w:t>
      </w:r>
      <w:r>
        <w:rPr>
          <w:rFonts w:hint="eastAsia"/>
          <w:b/>
          <w:szCs w:val="21"/>
        </w:rPr>
        <w:t>实验目的：</w:t>
      </w:r>
      <w:r>
        <w:rPr>
          <w:rFonts w:hint="eastAsia"/>
          <w:bCs/>
          <w:szCs w:val="21"/>
        </w:rPr>
        <w:t>学生独立进行观察记载，</w:t>
      </w:r>
      <w:r>
        <w:rPr>
          <w:rFonts w:hint="eastAsia"/>
          <w:bCs/>
          <w:szCs w:val="21"/>
        </w:rPr>
        <w:t xml:space="preserve"> </w:t>
      </w:r>
      <w:r>
        <w:rPr>
          <w:rFonts w:hint="eastAsia"/>
          <w:bCs/>
          <w:szCs w:val="21"/>
        </w:rPr>
        <w:t>掌握各树种的主要特征，达到能够识别各种果树。</w:t>
      </w:r>
    </w:p>
    <w:p w14:paraId="1EBB72FC"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观察比较并记载苹果、梨、桃、葡萄、柿子、李、杏、核桃、石榴、枣、樱桃等常见北方落叶果树主要器官的形态特征。</w:t>
      </w:r>
    </w:p>
    <w:p w14:paraId="1836F854" w14:textId="77777777" w:rsidR="00F5289E" w:rsidRDefault="00C91173">
      <w:pPr>
        <w:snapToGrid w:val="0"/>
        <w:spacing w:line="360" w:lineRule="auto"/>
        <w:ind w:firstLineChars="200" w:firstLine="422"/>
        <w:rPr>
          <w:b/>
          <w:szCs w:val="21"/>
        </w:rPr>
      </w:pPr>
      <w:r>
        <w:rPr>
          <w:rFonts w:hint="eastAsia"/>
          <w:b/>
          <w:szCs w:val="21"/>
        </w:rPr>
        <w:t>4.</w:t>
      </w:r>
      <w:r>
        <w:rPr>
          <w:rFonts w:hint="eastAsia"/>
          <w:b/>
          <w:szCs w:val="21"/>
        </w:rPr>
        <w:t>实验要求：</w:t>
      </w:r>
    </w:p>
    <w:p w14:paraId="0FE16CA2"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（1）在规定的时间内完成，不能早退和迟到。</w:t>
      </w:r>
    </w:p>
    <w:p w14:paraId="56114C94"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（2）必须实验前进行复习和预习实验内容。</w:t>
      </w:r>
    </w:p>
    <w:p w14:paraId="70B3BFC6"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（3）在对常见树种的识别中，要熟悉各个树种的最显著性特征。</w:t>
      </w:r>
    </w:p>
    <w:p w14:paraId="3AD1125B"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lastRenderedPageBreak/>
        <w:t>（4）完成实验报告一份。</w:t>
      </w:r>
    </w:p>
    <w:p w14:paraId="01B9F79E" w14:textId="77777777" w:rsidR="00F5289E" w:rsidRDefault="00C91173">
      <w:pPr>
        <w:snapToGrid w:val="0"/>
        <w:spacing w:line="360" w:lineRule="auto"/>
        <w:ind w:firstLineChars="200" w:firstLine="422"/>
        <w:rPr>
          <w:bCs/>
          <w:szCs w:val="21"/>
        </w:rPr>
      </w:pPr>
      <w:r>
        <w:rPr>
          <w:rFonts w:hint="eastAsia"/>
          <w:b/>
          <w:szCs w:val="21"/>
        </w:rPr>
        <w:t>5.</w:t>
      </w:r>
      <w:r>
        <w:rPr>
          <w:rFonts w:hint="eastAsia"/>
          <w:b/>
          <w:szCs w:val="21"/>
        </w:rPr>
        <w:t>实验设备及器材：</w:t>
      </w:r>
      <w:r>
        <w:rPr>
          <w:rFonts w:hint="eastAsia"/>
          <w:bCs/>
          <w:szCs w:val="21"/>
        </w:rPr>
        <w:t>教学实习基地</w:t>
      </w:r>
    </w:p>
    <w:p w14:paraId="565D119C" w14:textId="77777777" w:rsidR="00F5289E" w:rsidRDefault="00C91173">
      <w:pPr>
        <w:widowControl/>
        <w:snapToGrid w:val="0"/>
        <w:spacing w:line="360" w:lineRule="auto"/>
        <w:jc w:val="left"/>
        <w:rPr>
          <w:rFonts w:ascii="Arial Unicode MS" w:eastAsia="Arial Unicode MS" w:hAnsi="Arial Unicode MS" w:cs="Arial Unicode MS"/>
          <w:b/>
          <w:kern w:val="0"/>
          <w:szCs w:val="21"/>
        </w:rPr>
      </w:pPr>
      <w:r>
        <w:rPr>
          <w:rFonts w:ascii="Arial Unicode MS" w:eastAsia="Arial Unicode MS" w:hAnsi="Arial Unicode MS" w:cs="Arial Unicode MS" w:hint="eastAsia"/>
          <w:b/>
          <w:kern w:val="0"/>
          <w:szCs w:val="21"/>
        </w:rPr>
        <w:t>【</w:t>
      </w:r>
      <w:r>
        <w:rPr>
          <w:rFonts w:ascii="Arial Unicode MS" w:eastAsia="Arial Unicode MS" w:hAnsi="Arial Unicode MS" w:cs="Arial Unicode MS"/>
          <w:b/>
          <w:kern w:val="0"/>
          <w:szCs w:val="21"/>
        </w:rPr>
        <w:t>实验</w:t>
      </w:r>
      <w:r>
        <w:rPr>
          <w:rFonts w:ascii="Arial Unicode MS" w:eastAsia="Arial Unicode MS" w:hAnsi="Arial Unicode MS" w:cs="Arial Unicode MS" w:hint="eastAsia"/>
          <w:b/>
          <w:kern w:val="0"/>
          <w:szCs w:val="21"/>
        </w:rPr>
        <w:t>二】果实分类与果实构造观察</w:t>
      </w:r>
    </w:p>
    <w:p w14:paraId="4B7963C4"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0AF53BBC"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szCs w:val="21"/>
        </w:rPr>
        <w:t>了解各类果实的解剖构造及可食部分与花器各部发育的关系。掌握各类果树果实构造的共同特点，为学习果树分类打基础。</w:t>
      </w:r>
    </w:p>
    <w:p w14:paraId="7D01537D"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szCs w:val="21"/>
        </w:rPr>
        <w:t>将各类果实，用水果刀切成纵剖面和横剖面，观察果实内各部的构造。</w:t>
      </w:r>
    </w:p>
    <w:p w14:paraId="36ECEB74"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szCs w:val="21"/>
        </w:rPr>
        <w:t>通过本实验要求掌握各类果实的主要构造和分类依据。</w:t>
      </w:r>
    </w:p>
    <w:p w14:paraId="3A11A386"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显微镜、放大镜。水果刀、刀片、绘图纸、铅笔橡皮。</w:t>
      </w:r>
    </w:p>
    <w:p w14:paraId="51BB121D" w14:textId="77777777" w:rsidR="00F5289E" w:rsidRDefault="00C91173">
      <w:pPr>
        <w:widowControl/>
        <w:snapToGrid w:val="0"/>
        <w:spacing w:line="360" w:lineRule="auto"/>
        <w:jc w:val="left"/>
        <w:rPr>
          <w:rFonts w:ascii="Arial Unicode MS" w:eastAsia="Arial Unicode MS" w:hAnsi="Arial Unicode MS" w:cs="Arial Unicode MS"/>
          <w:b/>
          <w:kern w:val="0"/>
          <w:szCs w:val="21"/>
        </w:rPr>
      </w:pPr>
      <w:r>
        <w:rPr>
          <w:rFonts w:ascii="Arial Unicode MS" w:eastAsia="Arial Unicode MS" w:hAnsi="Arial Unicode MS" w:cs="Arial Unicode MS" w:hint="eastAsia"/>
          <w:b/>
          <w:kern w:val="0"/>
          <w:szCs w:val="21"/>
        </w:rPr>
        <w:t>【</w:t>
      </w:r>
      <w:r>
        <w:rPr>
          <w:rFonts w:ascii="Arial Unicode MS" w:eastAsia="Arial Unicode MS" w:hAnsi="Arial Unicode MS" w:cs="Arial Unicode MS"/>
          <w:b/>
          <w:kern w:val="0"/>
          <w:szCs w:val="21"/>
        </w:rPr>
        <w:t>实验</w:t>
      </w:r>
      <w:r>
        <w:rPr>
          <w:rFonts w:ascii="Arial Unicode MS" w:eastAsia="Arial Unicode MS" w:hAnsi="Arial Unicode MS" w:cs="Arial Unicode MS" w:hint="eastAsia"/>
          <w:b/>
          <w:kern w:val="0"/>
          <w:szCs w:val="21"/>
        </w:rPr>
        <w:t>三】果树整形修剪</w:t>
      </w:r>
    </w:p>
    <w:p w14:paraId="10B2B27D" w14:textId="77777777" w:rsidR="00F5289E" w:rsidRDefault="00C91173">
      <w:pPr>
        <w:snapToGrid w:val="0"/>
        <w:spacing w:line="360" w:lineRule="auto"/>
        <w:ind w:firstLineChars="200" w:firstLine="422"/>
        <w:rPr>
          <w:b/>
          <w:szCs w:val="21"/>
        </w:rPr>
      </w:pPr>
      <w:r>
        <w:rPr>
          <w:b/>
          <w:szCs w:val="21"/>
        </w:rPr>
        <w:t>1.</w:t>
      </w:r>
      <w:r>
        <w:rPr>
          <w:b/>
          <w:szCs w:val="21"/>
        </w:rPr>
        <w:t>实验学时：</w:t>
      </w:r>
      <w:r>
        <w:rPr>
          <w:szCs w:val="21"/>
        </w:rPr>
        <w:t>4</w:t>
      </w:r>
    </w:p>
    <w:p w14:paraId="3276119E" w14:textId="77777777" w:rsidR="00F5289E" w:rsidRDefault="00C91173">
      <w:pPr>
        <w:snapToGrid w:val="0"/>
        <w:spacing w:line="360" w:lineRule="auto"/>
        <w:ind w:firstLineChars="200" w:firstLine="422"/>
        <w:rPr>
          <w:b/>
          <w:szCs w:val="21"/>
        </w:rPr>
      </w:pPr>
      <w:r>
        <w:rPr>
          <w:b/>
          <w:szCs w:val="21"/>
        </w:rPr>
        <w:t>2.</w:t>
      </w:r>
      <w:r>
        <w:rPr>
          <w:b/>
          <w:szCs w:val="21"/>
        </w:rPr>
        <w:t>实验目的：</w:t>
      </w:r>
      <w:r>
        <w:rPr>
          <w:szCs w:val="21"/>
        </w:rPr>
        <w:t>掌握果树修剪</w:t>
      </w:r>
      <w:r>
        <w:rPr>
          <w:rFonts w:hint="eastAsia"/>
          <w:szCs w:val="21"/>
        </w:rPr>
        <w:t>的</w:t>
      </w:r>
      <w:r>
        <w:rPr>
          <w:rFonts w:hint="eastAsia"/>
          <w:bCs/>
          <w:szCs w:val="21"/>
        </w:rPr>
        <w:t>目的和</w:t>
      </w:r>
      <w:r>
        <w:rPr>
          <w:rFonts w:hint="eastAsia"/>
          <w:szCs w:val="21"/>
        </w:rPr>
        <w:t>基本</w:t>
      </w:r>
      <w:r>
        <w:rPr>
          <w:szCs w:val="21"/>
        </w:rPr>
        <w:t>方法，了解</w:t>
      </w:r>
      <w:r>
        <w:rPr>
          <w:rFonts w:hint="eastAsia"/>
          <w:szCs w:val="21"/>
        </w:rPr>
        <w:t>不同树种的</w:t>
      </w:r>
      <w:r>
        <w:rPr>
          <w:szCs w:val="21"/>
        </w:rPr>
        <w:t>修剪反应，学会调查修剪反应的方法，加深对修剪重要性的认识。</w:t>
      </w:r>
    </w:p>
    <w:p w14:paraId="768EBAAE" w14:textId="77777777" w:rsidR="00F5289E" w:rsidRDefault="00C91173">
      <w:pPr>
        <w:snapToGrid w:val="0"/>
        <w:spacing w:line="360" w:lineRule="auto"/>
        <w:ind w:firstLineChars="200" w:firstLine="422"/>
        <w:rPr>
          <w:szCs w:val="21"/>
        </w:rPr>
      </w:pPr>
      <w:r>
        <w:rPr>
          <w:b/>
          <w:szCs w:val="21"/>
        </w:rPr>
        <w:t>3.</w:t>
      </w:r>
      <w:r>
        <w:rPr>
          <w:b/>
          <w:szCs w:val="21"/>
        </w:rPr>
        <w:t>实验内容：</w:t>
      </w:r>
      <w:r>
        <w:rPr>
          <w:rFonts w:hint="eastAsia"/>
          <w:bCs/>
          <w:szCs w:val="21"/>
        </w:rPr>
        <w:t>修剪技术的运用，</w:t>
      </w:r>
      <w:r>
        <w:rPr>
          <w:bCs/>
          <w:szCs w:val="21"/>
        </w:rPr>
        <w:t>调查</w:t>
      </w:r>
      <w:r>
        <w:rPr>
          <w:rFonts w:hint="eastAsia"/>
          <w:szCs w:val="21"/>
        </w:rPr>
        <w:t>不同树种</w:t>
      </w:r>
      <w:r>
        <w:rPr>
          <w:szCs w:val="21"/>
        </w:rPr>
        <w:t>生长季修剪或者休眠期修剪</w:t>
      </w:r>
      <w:r>
        <w:rPr>
          <w:rFonts w:hint="eastAsia"/>
          <w:szCs w:val="21"/>
        </w:rPr>
        <w:t>的</w:t>
      </w:r>
      <w:r>
        <w:rPr>
          <w:szCs w:val="21"/>
        </w:rPr>
        <w:t>修剪反应。</w:t>
      </w:r>
    </w:p>
    <w:p w14:paraId="5C9C8EB5" w14:textId="77777777" w:rsidR="00F5289E" w:rsidRDefault="00C91173">
      <w:pPr>
        <w:snapToGrid w:val="0"/>
        <w:spacing w:line="360" w:lineRule="auto"/>
        <w:ind w:firstLineChars="200" w:firstLine="422"/>
        <w:rPr>
          <w:b/>
          <w:szCs w:val="21"/>
        </w:rPr>
      </w:pPr>
      <w:r>
        <w:rPr>
          <w:b/>
          <w:szCs w:val="21"/>
        </w:rPr>
        <w:t>4.</w:t>
      </w:r>
      <w:r>
        <w:rPr>
          <w:b/>
          <w:szCs w:val="21"/>
        </w:rPr>
        <w:t>实验要求：</w:t>
      </w:r>
      <w:r>
        <w:rPr>
          <w:szCs w:val="21"/>
        </w:rPr>
        <w:t>掌握果树修剪的基本方法及综合运用。</w:t>
      </w:r>
    </w:p>
    <w:p w14:paraId="7D1BAC5D" w14:textId="77777777" w:rsidR="00F5289E" w:rsidRDefault="00C91173">
      <w:pPr>
        <w:snapToGrid w:val="0"/>
        <w:spacing w:line="360" w:lineRule="auto"/>
        <w:ind w:firstLineChars="200" w:firstLine="422"/>
        <w:rPr>
          <w:rFonts w:ascii="宋体" w:hAnsi="宋体"/>
          <w:bCs/>
          <w:szCs w:val="21"/>
        </w:rPr>
      </w:pPr>
      <w:r>
        <w:rPr>
          <w:b/>
          <w:szCs w:val="21"/>
        </w:rPr>
        <w:t>5.</w:t>
      </w:r>
      <w:r>
        <w:rPr>
          <w:b/>
          <w:szCs w:val="21"/>
        </w:rPr>
        <w:t>实验设备及器材：</w:t>
      </w:r>
      <w:r>
        <w:rPr>
          <w:szCs w:val="21"/>
        </w:rPr>
        <w:t>教学实习基地，枝剪、锯</w:t>
      </w:r>
      <w:r>
        <w:rPr>
          <w:rFonts w:hint="eastAsia"/>
          <w:szCs w:val="21"/>
        </w:rPr>
        <w:t>。</w:t>
      </w:r>
    </w:p>
    <w:p w14:paraId="29B05A3B" w14:textId="77777777" w:rsidR="00F5289E" w:rsidRDefault="00C91173">
      <w:pPr>
        <w:snapToGrid w:val="0"/>
        <w:spacing w:line="360" w:lineRule="auto"/>
        <w:rPr>
          <w:rFonts w:ascii="宋体" w:hAnsi="宋体"/>
          <w:bCs/>
          <w:color w:val="0000FF"/>
          <w:szCs w:val="21"/>
        </w:rPr>
      </w:pPr>
      <w:r>
        <w:rPr>
          <w:rFonts w:ascii="宋体" w:hAnsi="宋体" w:hint="eastAsia"/>
          <w:b/>
          <w:szCs w:val="21"/>
        </w:rPr>
        <w:t>(七)</w:t>
      </w:r>
      <w:r>
        <w:rPr>
          <w:rFonts w:ascii="宋体" w:hAnsi="宋体" w:hint="eastAsia"/>
          <w:b/>
          <w:bCs/>
          <w:szCs w:val="21"/>
        </w:rPr>
        <w:t>考核方式及成绩评定</w:t>
      </w:r>
    </w:p>
    <w:p w14:paraId="6D825961"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考核内容包括平时作业（实验过程）的认真程度；实验记录、实验报告、实验课程总结记录书写情况；仪器设备操作使用情况；遵守实验室工作规章制度情况等。成绩考核采用百分制或优秀、良好、中等、及格、不及格五级记分制。学生考核成绩60分以上或合格、及格取得该实验课程的学分。</w:t>
      </w:r>
    </w:p>
    <w:p w14:paraId="3CABD72C"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276A936B"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hint="eastAsia"/>
          <w:color w:val="000000" w:themeColor="text1"/>
          <w:szCs w:val="21"/>
        </w:rPr>
        <w:t>根据课程内容重新对教材进行了整合，以实际应用为主线、思政教学为载体，结合“以赛促教”的田间实践教学，按照以下流程设计完整教学内容：教学方案制定</w:t>
      </w:r>
      <w:r>
        <w:rPr>
          <w:rFonts w:hAnsi="宋体" w:hint="eastAsia"/>
          <w:color w:val="000000" w:themeColor="text1"/>
          <w:szCs w:val="21"/>
        </w:rPr>
        <w:t>--</w:t>
      </w:r>
      <w:r>
        <w:rPr>
          <w:rFonts w:hAnsi="宋体" w:hint="eastAsia"/>
          <w:color w:val="000000" w:themeColor="text1"/>
          <w:szCs w:val="21"/>
        </w:rPr>
        <w:t>提炼思政元素</w:t>
      </w:r>
      <w:r>
        <w:rPr>
          <w:rFonts w:hAnsi="宋体" w:hint="eastAsia"/>
          <w:color w:val="000000" w:themeColor="text1"/>
          <w:szCs w:val="21"/>
        </w:rPr>
        <w:t>--</w:t>
      </w:r>
      <w:r>
        <w:rPr>
          <w:rFonts w:hAnsi="宋体" w:hint="eastAsia"/>
          <w:color w:val="000000" w:themeColor="text1"/>
          <w:szCs w:val="21"/>
        </w:rPr>
        <w:t>竞赛设置</w:t>
      </w:r>
      <w:r>
        <w:rPr>
          <w:rFonts w:hAnsi="宋体" w:hint="eastAsia"/>
          <w:color w:val="000000" w:themeColor="text1"/>
          <w:szCs w:val="21"/>
        </w:rPr>
        <w:t>--</w:t>
      </w:r>
      <w:r>
        <w:rPr>
          <w:rFonts w:hAnsi="宋体" w:hint="eastAsia"/>
          <w:color w:val="000000" w:themeColor="text1"/>
          <w:szCs w:val="21"/>
        </w:rPr>
        <w:t>理论与实践结合教学</w:t>
      </w:r>
      <w:r>
        <w:rPr>
          <w:rFonts w:hAnsi="宋体" w:hint="eastAsia"/>
          <w:color w:val="000000" w:themeColor="text1"/>
          <w:szCs w:val="21"/>
        </w:rPr>
        <w:t>--</w:t>
      </w:r>
      <w:r>
        <w:rPr>
          <w:rFonts w:hAnsi="宋体" w:hint="eastAsia"/>
          <w:color w:val="000000" w:themeColor="text1"/>
          <w:szCs w:val="21"/>
        </w:rPr>
        <w:t>课程反馈</w:t>
      </w:r>
      <w:r>
        <w:rPr>
          <w:rFonts w:hAnsi="宋体" w:hint="eastAsia"/>
          <w:color w:val="000000" w:themeColor="text1"/>
          <w:szCs w:val="21"/>
        </w:rPr>
        <w:t>--</w:t>
      </w:r>
      <w:r>
        <w:rPr>
          <w:rFonts w:hAnsi="宋体" w:hint="eastAsia"/>
          <w:color w:val="000000" w:themeColor="text1"/>
          <w:szCs w:val="21"/>
        </w:rPr>
        <w:t>教学考核。融“教、学、做”为一体，以直接有效的方法，让学生掌握果树栽培管理的技能，提高学生的动手操作能力，培养学生耐心、恒心、毅力以及高尚品质。</w:t>
      </w:r>
    </w:p>
    <w:p w14:paraId="3EA640F2"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hint="eastAsia"/>
          <w:color w:val="000000" w:themeColor="text1"/>
          <w:szCs w:val="21"/>
        </w:rPr>
        <w:t>教材重新整合后，以《设施果树栽培学》果树育苗为一个完整的工作内容为主线，课程内容思政元素体现如下：</w:t>
      </w:r>
    </w:p>
    <w:p w14:paraId="0B164BEC"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hint="eastAsia"/>
          <w:color w:val="000000" w:themeColor="text1"/>
          <w:szCs w:val="21"/>
        </w:rPr>
        <w:t>调研方案制定：通过让学生对国内苗木市场的调查，整理分析，完成调查报告，整个过程让学生逐渐了解国内苗木产业的发展前景、产业规模、市场状态与不足，从而培养本科生信息调研、凝练总结的能力。通过学生亲自讲解或归纳总结，让学生亲身参与行业实践调查，领悟到果树行业发展空间巨大，增强就业信心。</w:t>
      </w:r>
    </w:p>
    <w:p w14:paraId="716B6590"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hint="eastAsia"/>
          <w:color w:val="000000" w:themeColor="text1"/>
          <w:szCs w:val="21"/>
        </w:rPr>
        <w:lastRenderedPageBreak/>
        <w:t>实践教学与思政融合：果树嫁接是将优良品种植株上的枝或芽接到另一植株的适当部位，使两者结合而生成新的植株。将“嫁接”这样优势互补原理延伸至人生哲学，鼓励学生善于发现自身优势，勤于实践，勇于创新，培养互助共赢、奉献精神。</w:t>
      </w:r>
    </w:p>
    <w:p w14:paraId="4024346E"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hint="eastAsia"/>
          <w:color w:val="000000" w:themeColor="text1"/>
          <w:szCs w:val="21"/>
        </w:rPr>
        <w:t>竞赛环节设计：在果树嫁接环节，以桃、苹果和葡萄等果树为材料，开展嫁接技能比赛，创新《果树栽培学》理论教学方法和手段。实用技能比赛，激发学生学习果树知识的内生动力和热情，培养学生不怕苦，积极向前的优良品质。</w:t>
      </w:r>
    </w:p>
    <w:p w14:paraId="47FC4830" w14:textId="77777777" w:rsidR="00F5289E" w:rsidRDefault="00C91173">
      <w:pPr>
        <w:widowControl/>
        <w:snapToGrid w:val="0"/>
        <w:spacing w:line="360" w:lineRule="auto"/>
        <w:ind w:firstLineChars="200" w:firstLine="422"/>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346A2651"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674CB2D6"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（1）理论课教材：</w:t>
      </w:r>
      <w:r>
        <w:rPr>
          <w:rFonts w:hAnsi="宋体" w:hint="eastAsia"/>
          <w:bCs/>
          <w:kern w:val="0"/>
          <w:szCs w:val="21"/>
        </w:rPr>
        <w:t>设施果树栽培</w:t>
      </w:r>
      <w:r>
        <w:rPr>
          <w:rFonts w:hAnsi="宋体"/>
          <w:bCs/>
          <w:kern w:val="0"/>
          <w:szCs w:val="21"/>
        </w:rPr>
        <w:t>，</w:t>
      </w:r>
      <w:r>
        <w:rPr>
          <w:rFonts w:hAnsi="宋体" w:hint="eastAsia"/>
          <w:bCs/>
          <w:kern w:val="0"/>
          <w:szCs w:val="21"/>
        </w:rPr>
        <w:t>边卫东</w:t>
      </w:r>
      <w:r>
        <w:rPr>
          <w:rFonts w:hAnsi="宋体" w:hint="eastAsia"/>
          <w:bCs/>
          <w:kern w:val="0"/>
          <w:szCs w:val="21"/>
        </w:rPr>
        <w:t xml:space="preserve"> </w:t>
      </w:r>
      <w:r>
        <w:rPr>
          <w:rFonts w:hAnsi="宋体"/>
          <w:bCs/>
          <w:kern w:val="0"/>
          <w:szCs w:val="21"/>
        </w:rPr>
        <w:t>编著，</w:t>
      </w:r>
      <w:r>
        <w:rPr>
          <w:rFonts w:hAnsi="宋体" w:hint="eastAsia"/>
          <w:bCs/>
          <w:kern w:val="0"/>
          <w:szCs w:val="21"/>
        </w:rPr>
        <w:t>科学</w:t>
      </w:r>
      <w:r>
        <w:rPr>
          <w:rFonts w:hAnsi="宋体"/>
          <w:bCs/>
          <w:kern w:val="0"/>
          <w:szCs w:val="21"/>
        </w:rPr>
        <w:t>出版社，</w:t>
      </w:r>
      <w:r>
        <w:rPr>
          <w:rFonts w:hAnsi="宋体" w:hint="eastAsia"/>
          <w:bCs/>
          <w:kern w:val="0"/>
          <w:szCs w:val="21"/>
        </w:rPr>
        <w:t xml:space="preserve">2022 </w:t>
      </w:r>
      <w:r>
        <w:rPr>
          <w:rFonts w:hAnsi="宋体"/>
          <w:bCs/>
          <w:kern w:val="0"/>
          <w:szCs w:val="21"/>
        </w:rPr>
        <w:t>年</w:t>
      </w:r>
    </w:p>
    <w:p w14:paraId="0475AB8A"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rPr>
        <w:t>（2）实验课教材：</w:t>
      </w:r>
      <w:r>
        <w:rPr>
          <w:rFonts w:hAnsi="宋体" w:hint="eastAsia"/>
          <w:bCs/>
          <w:kern w:val="0"/>
          <w:szCs w:val="21"/>
        </w:rPr>
        <w:t>《果树栽培学》实验实习指导书</w:t>
      </w:r>
      <w:r>
        <w:rPr>
          <w:rFonts w:hAnsi="宋体"/>
          <w:bCs/>
          <w:kern w:val="0"/>
          <w:szCs w:val="21"/>
        </w:rPr>
        <w:t>，</w:t>
      </w:r>
      <w:r>
        <w:rPr>
          <w:rFonts w:hAnsi="宋体" w:hint="eastAsia"/>
          <w:bCs/>
          <w:kern w:val="0"/>
          <w:szCs w:val="21"/>
        </w:rPr>
        <w:t>张琦</w:t>
      </w:r>
      <w:r>
        <w:rPr>
          <w:rFonts w:hAnsi="宋体"/>
          <w:bCs/>
          <w:kern w:val="0"/>
          <w:szCs w:val="21"/>
        </w:rPr>
        <w:t>编著，</w:t>
      </w:r>
      <w:r>
        <w:rPr>
          <w:rFonts w:hAnsi="宋体" w:hint="eastAsia"/>
          <w:bCs/>
          <w:kern w:val="0"/>
          <w:szCs w:val="21"/>
        </w:rPr>
        <w:t>中国水利</w:t>
      </w:r>
      <w:r>
        <w:rPr>
          <w:rFonts w:hAnsi="宋体"/>
          <w:bCs/>
          <w:kern w:val="0"/>
          <w:szCs w:val="21"/>
        </w:rPr>
        <w:t>出版社，</w:t>
      </w:r>
      <w:r>
        <w:rPr>
          <w:rFonts w:hAnsi="宋体" w:hint="eastAsia"/>
          <w:bCs/>
          <w:kern w:val="0"/>
          <w:szCs w:val="21"/>
        </w:rPr>
        <w:t>2018</w:t>
      </w:r>
      <w:r>
        <w:rPr>
          <w:rFonts w:hAnsi="宋体"/>
          <w:bCs/>
          <w:kern w:val="0"/>
          <w:szCs w:val="21"/>
        </w:rPr>
        <w:t>年</w:t>
      </w:r>
    </w:p>
    <w:p w14:paraId="314280E9"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rPr>
        <w:t>（3）实习指导书：</w:t>
      </w:r>
      <w:r>
        <w:rPr>
          <w:rFonts w:hAnsi="宋体" w:hint="eastAsia"/>
          <w:bCs/>
          <w:kern w:val="0"/>
          <w:szCs w:val="21"/>
        </w:rPr>
        <w:t>《果树栽培学》实验实习指导书，张琦编著，中国水利出版社，</w:t>
      </w:r>
      <w:r>
        <w:rPr>
          <w:rFonts w:hAnsi="宋体" w:hint="eastAsia"/>
          <w:bCs/>
          <w:kern w:val="0"/>
          <w:szCs w:val="21"/>
        </w:rPr>
        <w:t>2018</w:t>
      </w:r>
      <w:r>
        <w:rPr>
          <w:rFonts w:hAnsi="宋体" w:hint="eastAsia"/>
          <w:bCs/>
          <w:kern w:val="0"/>
          <w:szCs w:val="21"/>
        </w:rPr>
        <w:t>年</w:t>
      </w:r>
    </w:p>
    <w:p w14:paraId="5F5831D3"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557C5AEB" w14:textId="77777777" w:rsidR="00F5289E" w:rsidRDefault="00C91173">
      <w:pPr>
        <w:widowControl/>
        <w:snapToGrid w:val="0"/>
        <w:spacing w:line="360" w:lineRule="auto"/>
        <w:ind w:firstLineChars="200" w:firstLine="420"/>
        <w:rPr>
          <w:rFonts w:ascii="宋体" w:hAnsi="宋体"/>
          <w:bCs/>
          <w:szCs w:val="21"/>
        </w:rPr>
      </w:pPr>
      <w:r>
        <w:rPr>
          <w:rFonts w:ascii="宋体" w:hAnsi="宋体" w:hint="eastAsia"/>
          <w:bCs/>
          <w:szCs w:val="21"/>
        </w:rPr>
        <w:t>（</w:t>
      </w:r>
      <w:r>
        <w:rPr>
          <w:rFonts w:ascii="宋体" w:hAnsi="宋体"/>
          <w:bCs/>
          <w:szCs w:val="21"/>
        </w:rPr>
        <w:t>1</w:t>
      </w:r>
      <w:r>
        <w:rPr>
          <w:rFonts w:ascii="宋体" w:hAnsi="宋体" w:hint="eastAsia"/>
          <w:bCs/>
          <w:szCs w:val="21"/>
        </w:rPr>
        <w:t>）《设施果树栽培学》，郭大龙主编，科学出版社，2018年</w:t>
      </w:r>
    </w:p>
    <w:p w14:paraId="1EB8DF76" w14:textId="77777777" w:rsidR="00F5289E" w:rsidRDefault="00C91173">
      <w:pPr>
        <w:widowControl/>
        <w:snapToGrid w:val="0"/>
        <w:spacing w:line="360" w:lineRule="auto"/>
        <w:ind w:firstLineChars="200" w:firstLine="420"/>
        <w:rPr>
          <w:rFonts w:ascii="宋体" w:hAnsi="宋体"/>
          <w:bCs/>
          <w:szCs w:val="21"/>
        </w:rPr>
      </w:pPr>
      <w:r>
        <w:rPr>
          <w:rFonts w:ascii="宋体" w:hAnsi="宋体" w:hint="eastAsia"/>
          <w:bCs/>
          <w:szCs w:val="21"/>
        </w:rPr>
        <w:t>（2）《设施果树栽培技术》，孙培博主编，中国农业出版社，2008年</w:t>
      </w:r>
    </w:p>
    <w:p w14:paraId="35616F89" w14:textId="77777777" w:rsidR="00F5289E" w:rsidRDefault="00C91173">
      <w:pPr>
        <w:snapToGrid w:val="0"/>
        <w:spacing w:line="360" w:lineRule="auto"/>
        <w:ind w:firstLineChars="200" w:firstLine="420"/>
        <w:rPr>
          <w:rFonts w:ascii="宋体" w:hAnsi="宋体"/>
          <w:bCs/>
          <w:color w:val="0000FF"/>
          <w:kern w:val="0"/>
          <w:szCs w:val="21"/>
        </w:rPr>
      </w:pPr>
      <w:r>
        <w:rPr>
          <w:rFonts w:ascii="宋体" w:hAnsi="宋体" w:hint="eastAsia"/>
          <w:bCs/>
          <w:szCs w:val="21"/>
        </w:rPr>
        <w:t>（3）《果树设施栽培学》，张占军、赵晓玲主编，西北农林科技大学出版社，2009年</w:t>
      </w:r>
    </w:p>
    <w:p w14:paraId="7600A10D"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112F581A" w14:textId="77777777" w:rsidR="00F5289E" w:rsidRPr="00F63B33" w:rsidRDefault="00C91173">
      <w:pPr>
        <w:widowControl/>
        <w:snapToGrid w:val="0"/>
        <w:spacing w:line="360" w:lineRule="auto"/>
        <w:ind w:firstLineChars="200" w:firstLine="420"/>
        <w:rPr>
          <w:bCs/>
          <w:szCs w:val="21"/>
        </w:rPr>
      </w:pPr>
      <w:r w:rsidRPr="00F63B33">
        <w:rPr>
          <w:bCs/>
          <w:szCs w:val="21"/>
        </w:rPr>
        <w:t>（</w:t>
      </w:r>
      <w:r w:rsidRPr="00F63B33">
        <w:rPr>
          <w:bCs/>
          <w:szCs w:val="21"/>
        </w:rPr>
        <w:t>1</w:t>
      </w:r>
      <w:r w:rsidRPr="00F63B33">
        <w:rPr>
          <w:bCs/>
          <w:szCs w:val="21"/>
        </w:rPr>
        <w:t>）</w:t>
      </w:r>
      <w:r w:rsidRPr="00F63B33">
        <w:rPr>
          <w:bCs/>
          <w:szCs w:val="21"/>
        </w:rPr>
        <w:t xml:space="preserve"> </w:t>
      </w:r>
      <w:r w:rsidRPr="00F63B33">
        <w:rPr>
          <w:bCs/>
          <w:szCs w:val="21"/>
        </w:rPr>
        <w:t>中国水果信息网，</w:t>
      </w:r>
      <w:r w:rsidRPr="00F63B33">
        <w:rPr>
          <w:bCs/>
          <w:szCs w:val="21"/>
        </w:rPr>
        <w:t xml:space="preserve"> http://www.shuiguo.org/guoshuzaipei/</w:t>
      </w:r>
    </w:p>
    <w:p w14:paraId="605391F8" w14:textId="77777777" w:rsidR="00F5289E" w:rsidRPr="00F63B33" w:rsidRDefault="00C91173">
      <w:pPr>
        <w:widowControl/>
        <w:snapToGrid w:val="0"/>
        <w:spacing w:line="360" w:lineRule="auto"/>
        <w:ind w:firstLineChars="200" w:firstLine="420"/>
        <w:rPr>
          <w:bCs/>
          <w:szCs w:val="21"/>
        </w:rPr>
      </w:pPr>
      <w:r w:rsidRPr="00F63B33">
        <w:rPr>
          <w:bCs/>
          <w:szCs w:val="21"/>
        </w:rPr>
        <w:t>（</w:t>
      </w:r>
      <w:r w:rsidRPr="00F63B33">
        <w:rPr>
          <w:bCs/>
          <w:szCs w:val="21"/>
        </w:rPr>
        <w:t>2</w:t>
      </w:r>
      <w:r w:rsidRPr="00F63B33">
        <w:rPr>
          <w:bCs/>
          <w:szCs w:val="21"/>
        </w:rPr>
        <w:t>）</w:t>
      </w:r>
      <w:r w:rsidRPr="00F63B33">
        <w:rPr>
          <w:bCs/>
          <w:szCs w:val="21"/>
        </w:rPr>
        <w:t xml:space="preserve"> </w:t>
      </w:r>
      <w:r w:rsidRPr="00F63B33">
        <w:rPr>
          <w:bCs/>
          <w:szCs w:val="21"/>
        </w:rPr>
        <w:t>中国水果网</w:t>
      </w:r>
      <w:r w:rsidRPr="00F63B33">
        <w:rPr>
          <w:bCs/>
          <w:szCs w:val="21"/>
        </w:rPr>
        <w:t xml:space="preserve"> http://www.agrosg.com/</w:t>
      </w:r>
    </w:p>
    <w:p w14:paraId="0113BD9A"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6D5D5CA3"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szCs w:val="21"/>
        </w:rPr>
        <w:t>教学设施完备，教学条件优良，教师结构合理。果树生理生态、果树种质资源与遗传育种和果树分子生物学等3个校内实验室，三区教学实习基地和毛庄科教园区2个校内教学实习基地约80亩。三门峡二仙坡果业发展有限公司、禹州万福新农业发展股份有限公司和中国科学院郑州果树所研究等8个校外实习基地，能满足学生教学、专业实践和教学实习需要。</w:t>
      </w:r>
    </w:p>
    <w:p w14:paraId="31B7D30D"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74286612" w14:textId="77777777" w:rsidR="00F5289E" w:rsidRDefault="00C91173">
      <w:pPr>
        <w:widowControl/>
        <w:snapToGrid w:val="0"/>
        <w:spacing w:line="360" w:lineRule="auto"/>
        <w:ind w:firstLine="420"/>
        <w:jc w:val="left"/>
        <w:rPr>
          <w:rFonts w:ascii="宋体" w:hAnsi="宋体"/>
          <w:color w:val="0000FF"/>
        </w:rPr>
      </w:pPr>
      <w:r>
        <w:rPr>
          <w:rFonts w:hAnsi="宋体" w:hint="eastAsia"/>
          <w:b/>
          <w:bCs/>
          <w:kern w:val="0"/>
          <w:szCs w:val="21"/>
        </w:rPr>
        <w:t>1.</w:t>
      </w:r>
      <w:r>
        <w:rPr>
          <w:rFonts w:hAnsi="宋体" w:hint="eastAsia"/>
          <w:b/>
          <w:bCs/>
          <w:kern w:val="0"/>
          <w:szCs w:val="21"/>
        </w:rPr>
        <w:t>过程性评价：</w:t>
      </w:r>
      <w:r>
        <w:rPr>
          <w:rFonts w:hint="eastAsia"/>
        </w:rPr>
        <w:t>（针对教学目标、教学内容、教学组织等采用的多元化考核评价方法）</w:t>
      </w:r>
    </w:p>
    <w:p w14:paraId="4CE0C443" w14:textId="77777777" w:rsidR="00F5289E" w:rsidRDefault="00C91173">
      <w:pPr>
        <w:widowControl/>
        <w:snapToGrid w:val="0"/>
        <w:spacing w:line="360" w:lineRule="auto"/>
        <w:ind w:firstLine="420"/>
        <w:jc w:val="left"/>
      </w:pPr>
      <w:r>
        <w:rPr>
          <w:rFonts w:hint="eastAsia"/>
        </w:rPr>
        <w:t>教学评价不再唯分数论，以分数评价学生表现，综合考虑课堂表现、创新能力、动手能力等多重因素，更加注重过程性评价。利用现代信息技术手段，实施课堂教学动态评价，推进教学评价由结果评价向过程评价、硬性评价向弹性评价转变。建立学习效果多元评价机制，完善学业考核评价体系，鼓励学生通过参加竞赛活动、社会实践、科学研究、创新创业等获取学分。</w:t>
      </w:r>
    </w:p>
    <w:p w14:paraId="65D624C4" w14:textId="77777777" w:rsidR="00F5289E" w:rsidRDefault="00C91173">
      <w:pPr>
        <w:widowControl/>
        <w:snapToGrid w:val="0"/>
        <w:spacing w:line="360" w:lineRule="auto"/>
        <w:ind w:firstLine="420"/>
        <w:jc w:val="left"/>
      </w:pPr>
      <w:r>
        <w:rPr>
          <w:rFonts w:hint="eastAsia"/>
        </w:rPr>
        <w:t>结合课堂提问、课后作业、平时测验、案例分析、实际操作训练、考试情况综合评价学生成绩。具体考核方案为：平时成绩</w:t>
      </w:r>
      <w:r>
        <w:rPr>
          <w:rFonts w:hint="eastAsia"/>
        </w:rPr>
        <w:t>50</w:t>
      </w:r>
      <w:r>
        <w:rPr>
          <w:rFonts w:hint="eastAsia"/>
        </w:rPr>
        <w:t>％，包含出勤情况及课堂表现</w:t>
      </w:r>
      <w:r>
        <w:rPr>
          <w:rFonts w:hint="eastAsia"/>
        </w:rPr>
        <w:t>10%</w:t>
      </w:r>
      <w:r>
        <w:rPr>
          <w:rFonts w:hint="eastAsia"/>
        </w:rPr>
        <w:t>，课堂实训</w:t>
      </w:r>
      <w:r>
        <w:rPr>
          <w:rFonts w:hint="eastAsia"/>
        </w:rPr>
        <w:t>20%</w:t>
      </w:r>
      <w:r>
        <w:rPr>
          <w:rFonts w:hint="eastAsia"/>
        </w:rPr>
        <w:t>，课后作业</w:t>
      </w:r>
      <w:r>
        <w:rPr>
          <w:rFonts w:hint="eastAsia"/>
        </w:rPr>
        <w:t>20%</w:t>
      </w:r>
      <w:r>
        <w:rPr>
          <w:rFonts w:hint="eastAsia"/>
        </w:rPr>
        <w:t>；期末终结性考核（闭卷）</w:t>
      </w:r>
      <w:r>
        <w:rPr>
          <w:rFonts w:hint="eastAsia"/>
        </w:rPr>
        <w:t>50%</w:t>
      </w:r>
      <w:r>
        <w:rPr>
          <w:rFonts w:hint="eastAsia"/>
        </w:rPr>
        <w:t>。</w:t>
      </w:r>
    </w:p>
    <w:p w14:paraId="634D58A7" w14:textId="77777777" w:rsidR="00F5289E" w:rsidRDefault="00C91173">
      <w:pPr>
        <w:widowControl/>
        <w:tabs>
          <w:tab w:val="left" w:pos="7250"/>
        </w:tabs>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ascii="宋体" w:hAnsi="宋体" w:hint="eastAsia"/>
          <w:bCs/>
          <w:szCs w:val="21"/>
        </w:rPr>
        <w:t>本门课程考试方法为闭卷，主要是卷面成绩。卷面成绩为期中、期末卷面成绩，试题增加非标准答案的开放性试题，占总成绩的50%。</w:t>
      </w:r>
      <w:r>
        <w:rPr>
          <w:rFonts w:ascii="宋体" w:hAnsi="宋体"/>
          <w:color w:val="0000FF"/>
        </w:rPr>
        <w:tab/>
      </w:r>
    </w:p>
    <w:p w14:paraId="294EFCA0" w14:textId="77777777" w:rsidR="00F5289E" w:rsidRDefault="00C91173">
      <w:pPr>
        <w:widowControl/>
        <w:snapToGrid w:val="0"/>
        <w:spacing w:line="360" w:lineRule="auto"/>
        <w:ind w:firstLine="420"/>
        <w:jc w:val="left"/>
        <w:rPr>
          <w:rFonts w:asciiTheme="minorEastAsia" w:eastAsiaTheme="minorEastAsia" w:hAnsiTheme="minorEastAsia"/>
          <w:szCs w:val="21"/>
        </w:rPr>
      </w:pPr>
      <w:r>
        <w:rPr>
          <w:rFonts w:hAnsi="宋体" w:hint="eastAsia"/>
          <w:b/>
          <w:bCs/>
          <w:kern w:val="0"/>
          <w:szCs w:val="21"/>
        </w:rPr>
        <w:lastRenderedPageBreak/>
        <w:t>3.</w:t>
      </w:r>
      <w:r>
        <w:rPr>
          <w:rFonts w:hAnsi="宋体" w:hint="eastAsia"/>
          <w:b/>
          <w:bCs/>
          <w:kern w:val="0"/>
          <w:szCs w:val="21"/>
        </w:rPr>
        <w:t>课程综合评价：</w:t>
      </w:r>
      <w:r>
        <w:rPr>
          <w:rFonts w:ascii="宋体" w:hAnsi="宋体" w:hint="eastAsia"/>
          <w:bCs/>
          <w:szCs w:val="21"/>
        </w:rPr>
        <w:t>总成绩=期末笔试成绩 50％＋平时成绩 50％。过程性评价主要考核学生的学习态度、辩证思维、分析解决问题和实践操作能力。终结性评价主要考研学生对本科课程知识体系的掌握。</w:t>
      </w:r>
    </w:p>
    <w:p w14:paraId="563E4690" w14:textId="77777777" w:rsidR="00F5289E" w:rsidRDefault="00C91173">
      <w:pPr>
        <w:widowControl/>
        <w:jc w:val="left"/>
        <w:rPr>
          <w:b/>
          <w:sz w:val="28"/>
          <w:szCs w:val="28"/>
        </w:rPr>
      </w:pPr>
      <w:r>
        <w:rPr>
          <w:b/>
          <w:sz w:val="28"/>
          <w:szCs w:val="28"/>
        </w:rPr>
        <w:br w:type="page"/>
      </w:r>
    </w:p>
    <w:p w14:paraId="2E25E43F" w14:textId="77777777" w:rsidR="00F5289E" w:rsidRDefault="00C91173">
      <w:pPr>
        <w:pStyle w:val="1"/>
      </w:pPr>
      <w:bookmarkStart w:id="84" w:name="_Toc138606248"/>
      <w:r>
        <w:lastRenderedPageBreak/>
        <w:t>设施农业工程预概算</w:t>
      </w:r>
      <w:bookmarkEnd w:id="84"/>
    </w:p>
    <w:p w14:paraId="7EB207DE" w14:textId="77777777" w:rsidR="00F5289E" w:rsidRDefault="00C91173">
      <w:pPr>
        <w:snapToGrid w:val="0"/>
        <w:spacing w:line="360" w:lineRule="auto"/>
        <w:jc w:val="center"/>
        <w:rPr>
          <w:b/>
          <w:szCs w:val="21"/>
        </w:rPr>
      </w:pPr>
      <w:r>
        <w:rPr>
          <w:rFonts w:hint="eastAsia"/>
          <w:sz w:val="28"/>
          <w:szCs w:val="28"/>
        </w:rPr>
        <w:t>（</w:t>
      </w:r>
      <w:r>
        <w:rPr>
          <w:sz w:val="28"/>
          <w:szCs w:val="28"/>
        </w:rPr>
        <w:t>Protected Agriculture Engineering Budget</w:t>
      </w:r>
      <w:r>
        <w:rPr>
          <w:rFonts w:hint="eastAsia"/>
          <w:sz w:val="28"/>
          <w:szCs w:val="28"/>
        </w:rPr>
        <w:t>）</w:t>
      </w:r>
    </w:p>
    <w:p w14:paraId="0EE4DEB1" w14:textId="77777777" w:rsidR="00F5289E" w:rsidRDefault="00F5289E">
      <w:pPr>
        <w:snapToGrid w:val="0"/>
        <w:spacing w:line="360" w:lineRule="auto"/>
        <w:jc w:val="center"/>
        <w:rPr>
          <w:b/>
          <w:szCs w:val="21"/>
        </w:rPr>
      </w:pPr>
    </w:p>
    <w:p w14:paraId="7D3FD655"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5B910AB" w14:textId="77777777">
        <w:tc>
          <w:tcPr>
            <w:tcW w:w="1666" w:type="pct"/>
          </w:tcPr>
          <w:p w14:paraId="150E7743" w14:textId="77777777" w:rsidR="00F5289E" w:rsidRDefault="00C91173">
            <w:pPr>
              <w:spacing w:line="300" w:lineRule="auto"/>
              <w:rPr>
                <w:b/>
                <w:bCs/>
                <w:szCs w:val="21"/>
              </w:rPr>
            </w:pPr>
            <w:r>
              <w:rPr>
                <w:b/>
                <w:bCs/>
                <w:szCs w:val="21"/>
              </w:rPr>
              <w:t>课程编号：</w:t>
            </w:r>
            <w:r>
              <w:rPr>
                <w:szCs w:val="21"/>
              </w:rPr>
              <w:t>19011138h</w:t>
            </w:r>
          </w:p>
        </w:tc>
        <w:tc>
          <w:tcPr>
            <w:tcW w:w="1453" w:type="pct"/>
          </w:tcPr>
          <w:p w14:paraId="67020CE5" w14:textId="77777777" w:rsidR="00F5289E" w:rsidRDefault="00C91173">
            <w:pPr>
              <w:spacing w:line="300" w:lineRule="auto"/>
              <w:rPr>
                <w:b/>
                <w:bCs/>
                <w:szCs w:val="21"/>
              </w:rPr>
            </w:pPr>
            <w:r>
              <w:rPr>
                <w:b/>
                <w:bCs/>
                <w:szCs w:val="21"/>
              </w:rPr>
              <w:t>课程总学时：</w:t>
            </w:r>
            <w:r>
              <w:rPr>
                <w:szCs w:val="21"/>
              </w:rPr>
              <w:t>32</w:t>
            </w:r>
          </w:p>
        </w:tc>
        <w:tc>
          <w:tcPr>
            <w:tcW w:w="1881" w:type="pct"/>
          </w:tcPr>
          <w:p w14:paraId="54B598F0" w14:textId="38AAC307" w:rsidR="00F5289E" w:rsidRDefault="00C91173">
            <w:pPr>
              <w:spacing w:line="300" w:lineRule="auto"/>
              <w:rPr>
                <w:b/>
                <w:bCs/>
                <w:szCs w:val="21"/>
              </w:rPr>
            </w:pPr>
            <w:r>
              <w:rPr>
                <w:b/>
                <w:bCs/>
                <w:szCs w:val="21"/>
              </w:rPr>
              <w:t>实验学时：</w:t>
            </w:r>
            <w:r>
              <w:rPr>
                <w:szCs w:val="21"/>
              </w:rPr>
              <w:t>0</w:t>
            </w:r>
          </w:p>
        </w:tc>
      </w:tr>
      <w:tr w:rsidR="00F5289E" w14:paraId="7F7C4E0C" w14:textId="77777777">
        <w:tc>
          <w:tcPr>
            <w:tcW w:w="1666" w:type="pct"/>
          </w:tcPr>
          <w:p w14:paraId="37C15606" w14:textId="77777777" w:rsidR="00F5289E" w:rsidRDefault="00C91173">
            <w:pPr>
              <w:spacing w:line="300" w:lineRule="auto"/>
              <w:rPr>
                <w:b/>
                <w:bCs/>
                <w:szCs w:val="21"/>
              </w:rPr>
            </w:pPr>
            <w:r>
              <w:rPr>
                <w:b/>
                <w:bCs/>
                <w:szCs w:val="21"/>
              </w:rPr>
              <w:t>课程性质：</w:t>
            </w:r>
            <w:r>
              <w:rPr>
                <w:bCs/>
                <w:kern w:val="0"/>
                <w:szCs w:val="21"/>
              </w:rPr>
              <w:t>必修</w:t>
            </w:r>
          </w:p>
        </w:tc>
        <w:tc>
          <w:tcPr>
            <w:tcW w:w="1453" w:type="pct"/>
          </w:tcPr>
          <w:p w14:paraId="0F0DFF39" w14:textId="77777777" w:rsidR="00F5289E" w:rsidRDefault="00C91173">
            <w:pPr>
              <w:spacing w:line="300" w:lineRule="auto"/>
              <w:rPr>
                <w:b/>
                <w:bCs/>
                <w:szCs w:val="21"/>
              </w:rPr>
            </w:pPr>
            <w:r>
              <w:rPr>
                <w:b/>
                <w:szCs w:val="21"/>
              </w:rPr>
              <w:t>课程属性</w:t>
            </w:r>
            <w:r>
              <w:rPr>
                <w:b/>
                <w:szCs w:val="21"/>
              </w:rPr>
              <w:t>:</w:t>
            </w:r>
            <w:r>
              <w:rPr>
                <w:bCs/>
                <w:kern w:val="0"/>
                <w:szCs w:val="21"/>
              </w:rPr>
              <w:t>专业类</w:t>
            </w:r>
          </w:p>
        </w:tc>
        <w:tc>
          <w:tcPr>
            <w:tcW w:w="1881" w:type="pct"/>
          </w:tcPr>
          <w:p w14:paraId="2704D56C" w14:textId="77777777" w:rsidR="00F5289E" w:rsidRDefault="00C91173">
            <w:pPr>
              <w:spacing w:line="300" w:lineRule="auto"/>
              <w:rPr>
                <w:b/>
                <w:bCs/>
                <w:szCs w:val="21"/>
              </w:rPr>
            </w:pPr>
            <w:r>
              <w:rPr>
                <w:b/>
                <w:bCs/>
                <w:szCs w:val="21"/>
              </w:rPr>
              <w:t>开设学期：</w:t>
            </w:r>
            <w:r>
              <w:rPr>
                <w:szCs w:val="21"/>
              </w:rPr>
              <w:t>第</w:t>
            </w:r>
            <w:r>
              <w:rPr>
                <w:szCs w:val="21"/>
              </w:rPr>
              <w:t xml:space="preserve"> 7 </w:t>
            </w:r>
            <w:r>
              <w:rPr>
                <w:szCs w:val="21"/>
              </w:rPr>
              <w:t>学期</w:t>
            </w:r>
          </w:p>
        </w:tc>
      </w:tr>
      <w:tr w:rsidR="00F5289E" w14:paraId="2879E935" w14:textId="77777777">
        <w:tc>
          <w:tcPr>
            <w:tcW w:w="1666" w:type="pct"/>
          </w:tcPr>
          <w:p w14:paraId="5ECB1CF1" w14:textId="77777777" w:rsidR="00F5289E" w:rsidRDefault="00C91173">
            <w:pPr>
              <w:spacing w:line="300" w:lineRule="auto"/>
              <w:rPr>
                <w:b/>
                <w:bCs/>
                <w:szCs w:val="21"/>
              </w:rPr>
            </w:pPr>
            <w:r>
              <w:rPr>
                <w:b/>
                <w:bCs/>
                <w:szCs w:val="21"/>
              </w:rPr>
              <w:t>课程负责人：</w:t>
            </w:r>
            <w:r>
              <w:rPr>
                <w:szCs w:val="21"/>
              </w:rPr>
              <w:t>董晓星</w:t>
            </w:r>
          </w:p>
        </w:tc>
        <w:tc>
          <w:tcPr>
            <w:tcW w:w="1453" w:type="pct"/>
          </w:tcPr>
          <w:p w14:paraId="312229AF" w14:textId="77777777" w:rsidR="00F5289E" w:rsidRDefault="00C91173">
            <w:pPr>
              <w:spacing w:line="300" w:lineRule="auto"/>
              <w:rPr>
                <w:b/>
                <w:bCs/>
                <w:szCs w:val="21"/>
              </w:rPr>
            </w:pPr>
            <w:r>
              <w:rPr>
                <w:b/>
                <w:bCs/>
                <w:szCs w:val="21"/>
              </w:rPr>
              <w:t>课程团队：</w:t>
            </w:r>
            <w:r>
              <w:rPr>
                <w:szCs w:val="21"/>
              </w:rPr>
              <w:t>董晓星</w:t>
            </w:r>
          </w:p>
        </w:tc>
        <w:tc>
          <w:tcPr>
            <w:tcW w:w="1881" w:type="pct"/>
          </w:tcPr>
          <w:p w14:paraId="06A5FA24" w14:textId="62E308B9" w:rsidR="00F5289E" w:rsidRDefault="00C91173">
            <w:pPr>
              <w:spacing w:line="300" w:lineRule="auto"/>
              <w:rPr>
                <w:b/>
                <w:bCs/>
                <w:szCs w:val="21"/>
              </w:rPr>
            </w:pPr>
            <w:r>
              <w:rPr>
                <w:b/>
                <w:bCs/>
                <w:szCs w:val="21"/>
              </w:rPr>
              <w:t>授课语言：</w:t>
            </w:r>
            <w:r w:rsidR="00F63B33" w:rsidRPr="00F63B33">
              <w:rPr>
                <w:rFonts w:hint="eastAsia"/>
                <w:szCs w:val="21"/>
              </w:rPr>
              <w:t>中文</w:t>
            </w:r>
          </w:p>
        </w:tc>
      </w:tr>
      <w:tr w:rsidR="00F5289E" w14:paraId="24B71A56" w14:textId="77777777">
        <w:tc>
          <w:tcPr>
            <w:tcW w:w="5000" w:type="pct"/>
            <w:gridSpan w:val="3"/>
          </w:tcPr>
          <w:p w14:paraId="67F45D95" w14:textId="77777777" w:rsidR="00F5289E" w:rsidRDefault="00C91173">
            <w:pPr>
              <w:spacing w:line="300" w:lineRule="auto"/>
              <w:ind w:rightChars="-81" w:right="-170"/>
              <w:rPr>
                <w:bCs/>
                <w:szCs w:val="21"/>
              </w:rPr>
            </w:pPr>
            <w:r>
              <w:rPr>
                <w:b/>
                <w:bCs/>
                <w:szCs w:val="21"/>
              </w:rPr>
              <w:t>适用专业：</w:t>
            </w:r>
            <w:r>
              <w:t>设施农业科学与工程</w:t>
            </w:r>
            <w:r>
              <w:rPr>
                <w:bCs/>
                <w:szCs w:val="21"/>
              </w:rPr>
              <w:t>；核心</w:t>
            </w:r>
          </w:p>
        </w:tc>
      </w:tr>
      <w:tr w:rsidR="00F5289E" w14:paraId="0A9ECD56" w14:textId="77777777">
        <w:tc>
          <w:tcPr>
            <w:tcW w:w="5000" w:type="pct"/>
            <w:gridSpan w:val="3"/>
          </w:tcPr>
          <w:p w14:paraId="1F7A1CBA" w14:textId="77777777" w:rsidR="00F5289E" w:rsidRDefault="00C91173">
            <w:pPr>
              <w:spacing w:line="300" w:lineRule="auto"/>
            </w:pPr>
            <w:r>
              <w:rPr>
                <w:b/>
                <w:bCs/>
                <w:szCs w:val="21"/>
              </w:rPr>
              <w:t>对先修的要求：</w:t>
            </w:r>
            <w:r>
              <w:t>先修主要课程：现代工程图学、农业设施工程学；</w:t>
            </w:r>
          </w:p>
          <w:p w14:paraId="2AACC9FD" w14:textId="77777777" w:rsidR="00F5289E" w:rsidRDefault="00C91173">
            <w:pPr>
              <w:spacing w:line="300" w:lineRule="auto"/>
            </w:pPr>
            <w:r>
              <w:t>先修知识点：了解经济学的一般知识，掌握</w:t>
            </w:r>
            <w:r>
              <w:rPr>
                <w:bCs/>
                <w:szCs w:val="21"/>
              </w:rPr>
              <w:t>园艺设施的结构组成、建造程序和建造技术要点；</w:t>
            </w:r>
          </w:p>
          <w:p w14:paraId="41CDAE26" w14:textId="77777777" w:rsidR="00F5289E" w:rsidRDefault="00C91173">
            <w:pPr>
              <w:spacing w:line="300" w:lineRule="auto"/>
              <w:rPr>
                <w:b/>
                <w:bCs/>
                <w:szCs w:val="21"/>
              </w:rPr>
            </w:pPr>
            <w:r>
              <w:t>先修能力和素养：具备工程识图、独立学习和团队协作的能力。</w:t>
            </w:r>
          </w:p>
        </w:tc>
      </w:tr>
      <w:tr w:rsidR="00F5289E" w14:paraId="4774EF5E" w14:textId="77777777">
        <w:tc>
          <w:tcPr>
            <w:tcW w:w="5000" w:type="pct"/>
            <w:gridSpan w:val="3"/>
          </w:tcPr>
          <w:p w14:paraId="09381471" w14:textId="77777777" w:rsidR="00F5289E" w:rsidRDefault="00C91173">
            <w:pPr>
              <w:spacing w:line="300" w:lineRule="auto"/>
              <w:rPr>
                <w:b/>
                <w:bCs/>
                <w:szCs w:val="21"/>
              </w:rPr>
            </w:pPr>
            <w:r>
              <w:rPr>
                <w:b/>
                <w:bCs/>
                <w:szCs w:val="21"/>
              </w:rPr>
              <w:t>对后续的支撑：</w:t>
            </w:r>
            <w:r>
              <w:rPr>
                <w:bCs/>
                <w:kern w:val="0"/>
                <w:szCs w:val="21"/>
              </w:rPr>
              <w:t>无</w:t>
            </w:r>
          </w:p>
        </w:tc>
      </w:tr>
      <w:tr w:rsidR="00F5289E" w14:paraId="4A0AF953" w14:textId="77777777">
        <w:tc>
          <w:tcPr>
            <w:tcW w:w="1666" w:type="pct"/>
          </w:tcPr>
          <w:p w14:paraId="6C0FCB74" w14:textId="77777777" w:rsidR="00F5289E" w:rsidRDefault="00C91173">
            <w:pPr>
              <w:spacing w:line="300" w:lineRule="auto"/>
              <w:rPr>
                <w:b/>
                <w:bCs/>
                <w:szCs w:val="21"/>
              </w:rPr>
            </w:pPr>
            <w:r>
              <w:rPr>
                <w:b/>
                <w:bCs/>
                <w:szCs w:val="21"/>
              </w:rPr>
              <w:t>主撰人：</w:t>
            </w:r>
            <w:r>
              <w:rPr>
                <w:szCs w:val="21"/>
              </w:rPr>
              <w:t>董晓星</w:t>
            </w:r>
          </w:p>
        </w:tc>
        <w:tc>
          <w:tcPr>
            <w:tcW w:w="1453" w:type="pct"/>
          </w:tcPr>
          <w:p w14:paraId="34FD06F8" w14:textId="77777777" w:rsidR="00F5289E" w:rsidRDefault="00C91173">
            <w:pPr>
              <w:spacing w:line="300" w:lineRule="auto"/>
              <w:rPr>
                <w:b/>
                <w:bCs/>
                <w:szCs w:val="21"/>
              </w:rPr>
            </w:pPr>
            <w:r>
              <w:rPr>
                <w:b/>
                <w:bCs/>
                <w:szCs w:val="21"/>
              </w:rPr>
              <w:t>审核人：</w:t>
            </w:r>
            <w:r>
              <w:rPr>
                <w:rFonts w:hint="eastAsia"/>
                <w:szCs w:val="21"/>
              </w:rPr>
              <w:t>李阳</w:t>
            </w:r>
          </w:p>
        </w:tc>
        <w:tc>
          <w:tcPr>
            <w:tcW w:w="1881" w:type="pct"/>
          </w:tcPr>
          <w:p w14:paraId="6A012C3C" w14:textId="77777777" w:rsidR="00F5289E" w:rsidRDefault="00C91173">
            <w:pPr>
              <w:spacing w:line="300" w:lineRule="auto"/>
              <w:rPr>
                <w:b/>
                <w:bCs/>
                <w:szCs w:val="21"/>
              </w:rPr>
            </w:pPr>
            <w:r>
              <w:rPr>
                <w:b/>
                <w:bCs/>
                <w:szCs w:val="21"/>
              </w:rPr>
              <w:t>大纲制定（修订）日期：</w:t>
            </w:r>
            <w:r>
              <w:rPr>
                <w:szCs w:val="21"/>
              </w:rPr>
              <w:t>202</w:t>
            </w:r>
            <w:r w:rsidR="00E73F67">
              <w:rPr>
                <w:szCs w:val="21"/>
              </w:rPr>
              <w:t>3.05</w:t>
            </w:r>
          </w:p>
        </w:tc>
      </w:tr>
    </w:tbl>
    <w:p w14:paraId="220BC4D7" w14:textId="77777777" w:rsidR="00F5289E" w:rsidRDefault="00F5289E">
      <w:pPr>
        <w:widowControl/>
        <w:snapToGrid w:val="0"/>
        <w:spacing w:line="360" w:lineRule="auto"/>
        <w:jc w:val="left"/>
        <w:rPr>
          <w:b/>
          <w:bCs/>
          <w:kern w:val="0"/>
          <w:szCs w:val="21"/>
        </w:rPr>
      </w:pPr>
    </w:p>
    <w:p w14:paraId="388B1DDC"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4C054BC6" w14:textId="77777777" w:rsidR="00F5289E" w:rsidRDefault="00C91173">
      <w:pPr>
        <w:widowControl/>
        <w:snapToGrid w:val="0"/>
        <w:spacing w:line="360" w:lineRule="auto"/>
        <w:ind w:firstLineChars="200" w:firstLine="420"/>
        <w:jc w:val="left"/>
        <w:rPr>
          <w:kern w:val="0"/>
          <w:szCs w:val="21"/>
        </w:rPr>
      </w:pPr>
      <w:r>
        <w:rPr>
          <w:szCs w:val="21"/>
        </w:rPr>
        <w:t>《设施农业工程预概算》是设施农业科学与工程专业的一门专业核心课。课程主要包括农业工程造价的构成与计算，农业工程计价依据、计价方法、计量规则的基本理论与方法，是一门专业性、技术性、实践性、综合性和政策性都很强的课程。通过本课程的学习，学生能了解工程项目预算组成和方法的相关原理和方法，掌握定额和计量规则制定的基本原理和方法，掌握常见分项工程计量和计价的基本方法，具备农业工程造价的基本能力，能合理确定园艺设施的预算价格，为今后从事园艺设施建设和项目管理工作奠定良好的专业基础。本课程主要采用情境教学法、项目教学法学习组织教学，课程实施围绕给定的温室项目引出教学内容，为学生创造专业情境，帮助学生理解工程预算的程序和知识体系，搭建理论知识与实践应用的桥梁。</w:t>
      </w:r>
    </w:p>
    <w:p w14:paraId="0238D662" w14:textId="77777777" w:rsidR="00F5289E" w:rsidRDefault="00C91173">
      <w:pPr>
        <w:widowControl/>
        <w:snapToGrid w:val="0"/>
        <w:spacing w:line="360" w:lineRule="auto"/>
        <w:jc w:val="left"/>
        <w:rPr>
          <w:kern w:val="0"/>
          <w:szCs w:val="21"/>
        </w:rPr>
      </w:pPr>
      <w:r>
        <w:rPr>
          <w:b/>
          <w:bCs/>
          <w:kern w:val="0"/>
          <w:szCs w:val="21"/>
        </w:rPr>
        <w:t>二、课程教学的基本要求</w:t>
      </w:r>
    </w:p>
    <w:p w14:paraId="59850CD8" w14:textId="77777777" w:rsidR="00F5289E" w:rsidRDefault="00C91173">
      <w:pPr>
        <w:widowControl/>
        <w:snapToGrid w:val="0"/>
        <w:spacing w:line="360" w:lineRule="auto"/>
        <w:ind w:firstLineChars="200" w:firstLine="420"/>
        <w:jc w:val="left"/>
        <w:rPr>
          <w:kern w:val="0"/>
          <w:szCs w:val="21"/>
        </w:rPr>
      </w:pPr>
      <w:r>
        <w:rPr>
          <w:kern w:val="0"/>
          <w:szCs w:val="21"/>
        </w:rPr>
        <w:t xml:space="preserve"> </w:t>
      </w:r>
      <w:r>
        <w:rPr>
          <w:kern w:val="0"/>
          <w:szCs w:val="21"/>
        </w:rPr>
        <w:t>理论知识方面：要求学生理解工程造价构成和定额的基本知识和理论，掌握农业设施</w:t>
      </w:r>
      <w:r>
        <w:t>工程</w:t>
      </w:r>
      <w:r>
        <w:rPr>
          <w:kern w:val="0"/>
          <w:szCs w:val="21"/>
        </w:rPr>
        <w:t>计量和计价方法，</w:t>
      </w:r>
      <w:r>
        <w:t>能够运用定额和基本方法，正确编制农业设施工程施工图预算，确定农业工程造价。</w:t>
      </w:r>
    </w:p>
    <w:p w14:paraId="604AB0DB" w14:textId="77777777" w:rsidR="00F5289E" w:rsidRDefault="00C91173">
      <w:pPr>
        <w:widowControl/>
        <w:snapToGrid w:val="0"/>
        <w:spacing w:line="360" w:lineRule="auto"/>
        <w:jc w:val="left"/>
        <w:rPr>
          <w:b/>
          <w:bCs/>
          <w:kern w:val="0"/>
          <w:szCs w:val="21"/>
        </w:rPr>
      </w:pPr>
      <w:r>
        <w:rPr>
          <w:b/>
          <w:bCs/>
          <w:kern w:val="0"/>
          <w:szCs w:val="21"/>
        </w:rPr>
        <w:t>三、课程的教学设计</w:t>
      </w:r>
    </w:p>
    <w:p w14:paraId="2C6FB21A" w14:textId="77777777" w:rsidR="00F5289E" w:rsidRDefault="00C91173">
      <w:pPr>
        <w:spacing w:line="360" w:lineRule="auto"/>
        <w:ind w:firstLineChars="200" w:firstLine="420"/>
        <w:rPr>
          <w:bCs/>
          <w:kern w:val="0"/>
          <w:szCs w:val="21"/>
        </w:rPr>
      </w:pPr>
      <w:r>
        <w:rPr>
          <w:bCs/>
          <w:kern w:val="0"/>
          <w:szCs w:val="21"/>
        </w:rPr>
        <w:t>1.</w:t>
      </w:r>
      <w:r>
        <w:rPr>
          <w:bCs/>
          <w:kern w:val="0"/>
          <w:szCs w:val="21"/>
        </w:rPr>
        <w:t>教学设计说明</w:t>
      </w:r>
    </w:p>
    <w:p w14:paraId="5410628A" w14:textId="77777777" w:rsidR="00F5289E" w:rsidRDefault="00C91173">
      <w:pPr>
        <w:spacing w:line="400" w:lineRule="exact"/>
        <w:ind w:firstLineChars="200" w:firstLine="420"/>
        <w:rPr>
          <w:bCs/>
          <w:kern w:val="0"/>
          <w:szCs w:val="21"/>
        </w:rPr>
      </w:pPr>
      <w:r>
        <w:rPr>
          <w:rFonts w:eastAsiaTheme="majorEastAsia"/>
          <w:bCs/>
          <w:szCs w:val="21"/>
        </w:rPr>
        <w:t>基于</w:t>
      </w:r>
      <w:r>
        <w:rPr>
          <w:rFonts w:eastAsiaTheme="majorEastAsia"/>
          <w:bCs/>
          <w:szCs w:val="21"/>
        </w:rPr>
        <w:t>OBE</w:t>
      </w:r>
      <w:r>
        <w:rPr>
          <w:rFonts w:eastAsiaTheme="majorEastAsia"/>
          <w:bCs/>
          <w:szCs w:val="21"/>
        </w:rPr>
        <w:t>教学理念，实现以学生发展为中心，培养学生的高阶能力，课程确定了产出目标如下：</w:t>
      </w:r>
      <w:r>
        <w:rPr>
          <w:bCs/>
          <w:kern w:val="0"/>
          <w:szCs w:val="21"/>
        </w:rPr>
        <w:t>帮助学生准确掌握工程造价的</w:t>
      </w:r>
      <w:r>
        <w:rPr>
          <w:rFonts w:hint="eastAsia"/>
          <w:bCs/>
          <w:kern w:val="0"/>
          <w:szCs w:val="21"/>
        </w:rPr>
        <w:t>相关理论</w:t>
      </w:r>
      <w:r>
        <w:rPr>
          <w:bCs/>
          <w:kern w:val="0"/>
          <w:szCs w:val="21"/>
        </w:rPr>
        <w:t>和方法，培养学生</w:t>
      </w:r>
      <w:r>
        <w:rPr>
          <w:rFonts w:hint="eastAsia"/>
          <w:szCs w:val="21"/>
        </w:rPr>
        <w:t>编制农业设施工程预算和利用预算文件管理农业项目</w:t>
      </w:r>
      <w:r>
        <w:rPr>
          <w:szCs w:val="21"/>
        </w:rPr>
        <w:t>的能力</w:t>
      </w:r>
      <w:r>
        <w:rPr>
          <w:rFonts w:hint="eastAsia"/>
          <w:bCs/>
          <w:kern w:val="0"/>
          <w:szCs w:val="21"/>
        </w:rPr>
        <w:t>。</w:t>
      </w:r>
      <w:r>
        <w:rPr>
          <w:szCs w:val="21"/>
        </w:rPr>
        <w:t>课程主要采用情境教学法、项目教学法学习组织教学，围绕给定的温室项目如何解决引出教学内容，</w:t>
      </w:r>
      <w:r>
        <w:rPr>
          <w:bCs/>
          <w:kern w:val="0"/>
          <w:szCs w:val="21"/>
        </w:rPr>
        <w:t>采用学生讨论、教师讲授和案例讲解相结合，最后解决温室项目的预</w:t>
      </w:r>
      <w:r>
        <w:rPr>
          <w:bCs/>
          <w:kern w:val="0"/>
          <w:szCs w:val="21"/>
        </w:rPr>
        <w:lastRenderedPageBreak/>
        <w:t>算问题，从而激发学生兴趣，引导学生参与到课堂中来。温室项目的引入可将课程知识体系关联，加深学生对前后内容之间联系的认识。利用线上教学平台发布学习资料、讨论和答疑。</w:t>
      </w:r>
    </w:p>
    <w:p w14:paraId="13A132D5" w14:textId="77777777" w:rsidR="00F5289E" w:rsidRDefault="00C91173">
      <w:pPr>
        <w:spacing w:line="400" w:lineRule="exact"/>
        <w:ind w:firstLineChars="200" w:firstLine="420"/>
        <w:rPr>
          <w:bCs/>
          <w:kern w:val="0"/>
          <w:szCs w:val="21"/>
        </w:rPr>
      </w:pPr>
      <w:r>
        <w:rPr>
          <w:bCs/>
          <w:kern w:val="0"/>
          <w:szCs w:val="21"/>
        </w:rPr>
        <w:t>教学过程中，根据学生的认知规律，首先，导入课程。教师抛出相关案例和问题，组织学生讨论，以学生视角分析当前问题的解决方法和途径，激发学生兴趣。然后，教师在学生分析的基础上，补充讲授相关理论和方法。最后，教师利用所讲理论和方法，解决课前问题，形成闭环。课后学生进行相关内容的练习和总结，巩固所学知识。</w:t>
      </w:r>
    </w:p>
    <w:p w14:paraId="2A27E208" w14:textId="77777777" w:rsidR="00F5289E" w:rsidRDefault="00C91173">
      <w:pPr>
        <w:spacing w:line="360" w:lineRule="auto"/>
        <w:ind w:firstLineChars="200" w:firstLine="420"/>
        <w:rPr>
          <w:bCs/>
          <w:kern w:val="0"/>
          <w:szCs w:val="21"/>
        </w:rPr>
      </w:pPr>
      <w:r>
        <w:rPr>
          <w:bCs/>
          <w:kern w:val="0"/>
          <w:szCs w:val="21"/>
        </w:rPr>
        <w:t>2.</w:t>
      </w:r>
      <w:r>
        <w:rPr>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509A1279"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7171FC7" w14:textId="77777777" w:rsidR="00F5289E" w:rsidRDefault="00C91173">
            <w:pPr>
              <w:spacing w:line="320" w:lineRule="exact"/>
              <w:jc w:val="center"/>
              <w:rPr>
                <w:b/>
                <w:bCs/>
                <w:sz w:val="18"/>
                <w:szCs w:val="18"/>
              </w:rPr>
            </w:pPr>
            <w:r>
              <w:rPr>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D2AEB16" w14:textId="77777777" w:rsidR="00F5289E" w:rsidRDefault="00C91173">
            <w:pPr>
              <w:spacing w:line="320" w:lineRule="exact"/>
              <w:jc w:val="center"/>
              <w:rPr>
                <w:b/>
                <w:bCs/>
                <w:sz w:val="18"/>
                <w:szCs w:val="18"/>
              </w:rPr>
            </w:pPr>
            <w:r>
              <w:rPr>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898401" w14:textId="77777777" w:rsidR="00F5289E" w:rsidRDefault="00C91173">
            <w:pPr>
              <w:spacing w:line="320" w:lineRule="exact"/>
              <w:jc w:val="center"/>
              <w:rPr>
                <w:b/>
                <w:bCs/>
                <w:sz w:val="18"/>
                <w:szCs w:val="18"/>
              </w:rPr>
            </w:pPr>
            <w:r>
              <w:rPr>
                <w:b/>
                <w:bCs/>
                <w:sz w:val="18"/>
                <w:szCs w:val="18"/>
              </w:rPr>
              <w:t>毕业要求</w:t>
            </w:r>
          </w:p>
        </w:tc>
      </w:tr>
      <w:tr w:rsidR="00F5289E" w14:paraId="55997A3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1C38C51"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05EAC989" w14:textId="77777777" w:rsidR="00F5289E" w:rsidRDefault="00C91173">
            <w:pPr>
              <w:spacing w:line="320" w:lineRule="exact"/>
              <w:jc w:val="left"/>
              <w:rPr>
                <w:rFonts w:eastAsiaTheme="minorEastAsia"/>
                <w:sz w:val="18"/>
                <w:szCs w:val="18"/>
              </w:rPr>
            </w:pPr>
            <w:r>
              <w:rPr>
                <w:rFonts w:eastAsiaTheme="minorEastAsia" w:hint="eastAsia"/>
                <w:szCs w:val="21"/>
              </w:rPr>
              <w:t>知识目标：学生</w:t>
            </w:r>
            <w:r>
              <w:rPr>
                <w:rFonts w:hint="eastAsia"/>
                <w:szCs w:val="21"/>
              </w:rPr>
              <w:t>理解</w:t>
            </w:r>
            <w:r>
              <w:rPr>
                <w:szCs w:val="21"/>
              </w:rPr>
              <w:t>工程项目预算组成和方法的相关原理和方法，掌握定额和计量规则制定的基本原理和方法，掌握</w:t>
            </w:r>
            <w:r>
              <w:rPr>
                <w:rFonts w:hint="eastAsia"/>
                <w:szCs w:val="21"/>
              </w:rPr>
              <w:t>土方工程、砌筑工程、混凝土工程、金属工程</w:t>
            </w:r>
            <w:r>
              <w:rPr>
                <w:szCs w:val="21"/>
              </w:rPr>
              <w:t>计量和计价的基本方法</w:t>
            </w:r>
          </w:p>
        </w:tc>
        <w:tc>
          <w:tcPr>
            <w:tcW w:w="1052" w:type="dxa"/>
            <w:tcBorders>
              <w:top w:val="single" w:sz="4" w:space="0" w:color="auto"/>
              <w:left w:val="single" w:sz="4" w:space="0" w:color="auto"/>
              <w:bottom w:val="single" w:sz="4" w:space="0" w:color="auto"/>
              <w:right w:val="single" w:sz="4" w:space="0" w:color="auto"/>
            </w:tcBorders>
            <w:vAlign w:val="center"/>
          </w:tcPr>
          <w:p w14:paraId="1B423289"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r>
      <w:tr w:rsidR="00F5289E" w14:paraId="299ABF53"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BF2CF58"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2D095FBA" w14:textId="77777777" w:rsidR="00F5289E" w:rsidRDefault="00C91173">
            <w:pPr>
              <w:spacing w:line="320" w:lineRule="exact"/>
              <w:jc w:val="left"/>
              <w:rPr>
                <w:rFonts w:eastAsiaTheme="minorEastAsia"/>
                <w:sz w:val="18"/>
                <w:szCs w:val="18"/>
                <w:highlight w:val="yellow"/>
              </w:rPr>
            </w:pPr>
            <w:r>
              <w:rPr>
                <w:rFonts w:eastAsiaTheme="minorEastAsia" w:hint="eastAsia"/>
                <w:szCs w:val="21"/>
              </w:rPr>
              <w:t>能力目标：学生</w:t>
            </w:r>
            <w:r>
              <w:rPr>
                <w:szCs w:val="21"/>
              </w:rPr>
              <w:t>具备</w:t>
            </w:r>
            <w:r>
              <w:rPr>
                <w:rFonts w:hint="eastAsia"/>
                <w:szCs w:val="21"/>
              </w:rPr>
              <w:t>编制农业设施工程预算</w:t>
            </w:r>
            <w:r>
              <w:rPr>
                <w:szCs w:val="21"/>
              </w:rPr>
              <w:t>的能力，能</w:t>
            </w:r>
            <w:r>
              <w:rPr>
                <w:rFonts w:hint="eastAsia"/>
                <w:szCs w:val="21"/>
              </w:rPr>
              <w:t>够利用预算文件管理农业项目。</w:t>
            </w:r>
          </w:p>
        </w:tc>
        <w:tc>
          <w:tcPr>
            <w:tcW w:w="1052" w:type="dxa"/>
            <w:tcBorders>
              <w:top w:val="single" w:sz="4" w:space="0" w:color="auto"/>
              <w:left w:val="single" w:sz="4" w:space="0" w:color="auto"/>
              <w:bottom w:val="single" w:sz="4" w:space="0" w:color="auto"/>
              <w:right w:val="single" w:sz="4" w:space="0" w:color="auto"/>
            </w:tcBorders>
            <w:vAlign w:val="center"/>
          </w:tcPr>
          <w:p w14:paraId="5BAA26AE"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p>
        </w:tc>
      </w:tr>
      <w:tr w:rsidR="00F5289E" w14:paraId="119391B6"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0AA8C06"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19CA96DA" w14:textId="77777777" w:rsidR="00F5289E" w:rsidRDefault="00C91173">
            <w:pPr>
              <w:spacing w:line="320" w:lineRule="exact"/>
              <w:jc w:val="left"/>
              <w:rPr>
                <w:rFonts w:eastAsiaTheme="minorEastAsia"/>
                <w:sz w:val="18"/>
                <w:szCs w:val="18"/>
              </w:rPr>
            </w:pPr>
            <w:r>
              <w:rPr>
                <w:rFonts w:eastAsiaTheme="minorEastAsia" w:hint="eastAsia"/>
                <w:sz w:val="18"/>
                <w:szCs w:val="18"/>
              </w:rPr>
              <w:t>素养目标：学生</w:t>
            </w:r>
            <w:r>
              <w:rPr>
                <w:rFonts w:eastAsiaTheme="minorEastAsia"/>
                <w:sz w:val="18"/>
                <w:szCs w:val="18"/>
              </w:rPr>
              <w:t>具备</w:t>
            </w:r>
            <w:r>
              <w:rPr>
                <w:rFonts w:eastAsiaTheme="minorEastAsia" w:hint="eastAsia"/>
                <w:sz w:val="18"/>
                <w:szCs w:val="18"/>
              </w:rPr>
              <w:t>严谨求实的职业素养和</w:t>
            </w:r>
            <w:r>
              <w:rPr>
                <w:rFonts w:eastAsiaTheme="minorEastAsia"/>
                <w:sz w:val="18"/>
                <w:szCs w:val="18"/>
              </w:rPr>
              <w:t>团队协作能力</w:t>
            </w:r>
            <w:r>
              <w:rPr>
                <w:rFonts w:eastAsiaTheme="minorEastAsia" w:hint="eastAsia"/>
                <w:sz w:val="18"/>
                <w:szCs w:val="18"/>
              </w:rPr>
              <w:t>，具有终身学习的意识和追求卓越的工匠精神。</w:t>
            </w:r>
          </w:p>
        </w:tc>
        <w:tc>
          <w:tcPr>
            <w:tcW w:w="1052" w:type="dxa"/>
            <w:tcBorders>
              <w:top w:val="single" w:sz="4" w:space="0" w:color="auto"/>
              <w:left w:val="single" w:sz="4" w:space="0" w:color="auto"/>
              <w:bottom w:val="single" w:sz="4" w:space="0" w:color="auto"/>
              <w:right w:val="single" w:sz="4" w:space="0" w:color="auto"/>
            </w:tcBorders>
            <w:vAlign w:val="center"/>
          </w:tcPr>
          <w:p w14:paraId="0C09E66A" w14:textId="77777777" w:rsidR="00F5289E" w:rsidRDefault="00C91173">
            <w:pPr>
              <w:spacing w:line="320" w:lineRule="exact"/>
              <w:jc w:val="center"/>
              <w:rPr>
                <w:rFonts w:eastAsiaTheme="minorEastAsia"/>
                <w:sz w:val="18"/>
                <w:szCs w:val="18"/>
              </w:rPr>
            </w:pPr>
            <w:r>
              <w:rPr>
                <w:rFonts w:eastAsiaTheme="minorEastAsia"/>
                <w:sz w:val="18"/>
                <w:szCs w:val="18"/>
              </w:rPr>
              <w:t>3</w:t>
            </w:r>
          </w:p>
          <w:p w14:paraId="72D93357" w14:textId="77777777" w:rsidR="00F5289E" w:rsidRDefault="00C91173">
            <w:pPr>
              <w:spacing w:line="320" w:lineRule="exact"/>
              <w:jc w:val="center"/>
              <w:rPr>
                <w:rFonts w:eastAsiaTheme="minorEastAsia"/>
                <w:sz w:val="18"/>
                <w:szCs w:val="18"/>
              </w:rPr>
            </w:pPr>
            <w:r>
              <w:rPr>
                <w:rFonts w:eastAsiaTheme="minorEastAsia" w:hint="eastAsia"/>
                <w:sz w:val="18"/>
                <w:szCs w:val="18"/>
              </w:rPr>
              <w:t>8</w:t>
            </w:r>
          </w:p>
        </w:tc>
      </w:tr>
      <w:tr w:rsidR="00F5289E" w14:paraId="1547395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549A564"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555AE8F5" w14:textId="77777777" w:rsidR="00F5289E" w:rsidRDefault="00C91173">
            <w:pPr>
              <w:spacing w:line="320" w:lineRule="exact"/>
              <w:rPr>
                <w:rFonts w:eastAsiaTheme="minorEastAsia"/>
                <w:sz w:val="18"/>
                <w:szCs w:val="18"/>
              </w:rPr>
            </w:pPr>
            <w:r>
              <w:rPr>
                <w:rFonts w:eastAsiaTheme="minorEastAsia" w:hint="eastAsia"/>
                <w:bCs/>
                <w:sz w:val="18"/>
                <w:szCs w:val="18"/>
              </w:rPr>
              <w:t>思政目标：学生具有热爱祖国，爱岗敬业的高尚情操，甘于奉献的责任感。</w:t>
            </w:r>
          </w:p>
        </w:tc>
        <w:tc>
          <w:tcPr>
            <w:tcW w:w="1052" w:type="dxa"/>
            <w:tcBorders>
              <w:top w:val="single" w:sz="4" w:space="0" w:color="auto"/>
              <w:left w:val="single" w:sz="4" w:space="0" w:color="auto"/>
              <w:bottom w:val="single" w:sz="4" w:space="0" w:color="auto"/>
              <w:right w:val="single" w:sz="4" w:space="0" w:color="auto"/>
            </w:tcBorders>
            <w:vAlign w:val="center"/>
          </w:tcPr>
          <w:p w14:paraId="1BA7F3F8" w14:textId="77777777" w:rsidR="00F5289E" w:rsidRDefault="00C91173">
            <w:pPr>
              <w:spacing w:line="320" w:lineRule="exact"/>
              <w:jc w:val="center"/>
              <w:rPr>
                <w:rFonts w:eastAsiaTheme="minorEastAsia"/>
                <w:sz w:val="18"/>
                <w:szCs w:val="18"/>
              </w:rPr>
            </w:pPr>
            <w:r>
              <w:rPr>
                <w:rFonts w:eastAsiaTheme="minorEastAsia" w:hint="eastAsia"/>
                <w:sz w:val="18"/>
                <w:szCs w:val="18"/>
              </w:rPr>
              <w:t>7</w:t>
            </w:r>
          </w:p>
        </w:tc>
      </w:tr>
    </w:tbl>
    <w:p w14:paraId="686F02E3" w14:textId="77777777" w:rsidR="00F5289E" w:rsidRDefault="00F5289E">
      <w:pPr>
        <w:spacing w:line="360" w:lineRule="auto"/>
        <w:ind w:firstLineChars="200" w:firstLine="420"/>
        <w:rPr>
          <w:bCs/>
          <w:kern w:val="0"/>
          <w:szCs w:val="21"/>
        </w:rPr>
      </w:pPr>
    </w:p>
    <w:p w14:paraId="05CEA139" w14:textId="77777777" w:rsidR="00F5289E" w:rsidRDefault="00C91173">
      <w:pPr>
        <w:widowControl/>
        <w:snapToGrid w:val="0"/>
        <w:spacing w:line="360" w:lineRule="auto"/>
        <w:jc w:val="left"/>
        <w:rPr>
          <w:bCs/>
          <w:kern w:val="0"/>
          <w:szCs w:val="21"/>
        </w:rPr>
      </w:pPr>
      <w:r>
        <w:rPr>
          <w:b/>
          <w:bCs/>
          <w:kern w:val="0"/>
          <w:szCs w:val="21"/>
        </w:rPr>
        <w:t>四、理论教学内容及学时分配（</w:t>
      </w:r>
      <w:r>
        <w:rPr>
          <w:rFonts w:hint="eastAsia"/>
          <w:b/>
          <w:bCs/>
          <w:kern w:val="0"/>
          <w:szCs w:val="21"/>
        </w:rPr>
        <w:t>32</w:t>
      </w:r>
      <w:r>
        <w:rPr>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2CA254B" w14:textId="77777777">
        <w:trPr>
          <w:trHeight w:val="270"/>
        </w:trPr>
        <w:tc>
          <w:tcPr>
            <w:tcW w:w="2965" w:type="dxa"/>
            <w:tcBorders>
              <w:top w:val="nil"/>
              <w:left w:val="nil"/>
              <w:bottom w:val="nil"/>
              <w:right w:val="nil"/>
            </w:tcBorders>
            <w:vAlign w:val="center"/>
          </w:tcPr>
          <w:p w14:paraId="630BCA9E"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5668F11B"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绪论</w:t>
            </w:r>
          </w:p>
        </w:tc>
        <w:tc>
          <w:tcPr>
            <w:tcW w:w="2966" w:type="dxa"/>
            <w:tcBorders>
              <w:top w:val="nil"/>
              <w:left w:val="nil"/>
              <w:bottom w:val="nil"/>
              <w:right w:val="nil"/>
            </w:tcBorders>
            <w:vAlign w:val="center"/>
          </w:tcPr>
          <w:p w14:paraId="12F66D41"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学时数：2</w:t>
            </w:r>
          </w:p>
        </w:tc>
      </w:tr>
    </w:tbl>
    <w:p w14:paraId="70055714"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教学目标：</w:t>
      </w:r>
      <w:r>
        <w:rPr>
          <w:rFonts w:asciiTheme="majorEastAsia" w:eastAsiaTheme="majorEastAsia" w:hAnsiTheme="majorEastAsia"/>
        </w:rPr>
        <w:t>通过课程学习，</w:t>
      </w:r>
      <w:r>
        <w:rPr>
          <w:rFonts w:asciiTheme="majorEastAsia" w:eastAsiaTheme="majorEastAsia" w:hAnsiTheme="majorEastAsia"/>
          <w:kern w:val="0"/>
          <w:szCs w:val="21"/>
        </w:rPr>
        <w:t>理解基本建设及的概念和含义，基本建设程序，掌握建设项目的划分和造价文件的类型；了解我国造价人员从业制度和工程造价咨询制度。</w:t>
      </w:r>
    </w:p>
    <w:p w14:paraId="17EA9A3F"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kern w:val="0"/>
          <w:szCs w:val="21"/>
        </w:rPr>
        <w:t>建设项目的划分及造价文件的类型。</w:t>
      </w:r>
    </w:p>
    <w:p w14:paraId="1E2C1FA8"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kern w:val="0"/>
          <w:szCs w:val="21"/>
        </w:rPr>
        <w:t>主要教学内容和要求：</w:t>
      </w:r>
    </w:p>
    <w:p w14:paraId="1DC72F6C"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了解：基本建设的程序和造价文件的类型，我国工程造价人员从业制度和咨询制度。</w:t>
      </w:r>
    </w:p>
    <w:p w14:paraId="7D730F55"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rPr>
        <w:t>掌握：基本建设的概念，理解项目划分的方法。</w:t>
      </w:r>
    </w:p>
    <w:p w14:paraId="42202C8F" w14:textId="77777777" w:rsidR="00F5289E" w:rsidRDefault="00C91173" w:rsidP="00A115EF">
      <w:pPr>
        <w:pStyle w:val="a7"/>
        <w:numPr>
          <w:ilvl w:val="0"/>
          <w:numId w:val="31"/>
        </w:numPr>
        <w:snapToGrid w:val="0"/>
        <w:spacing w:line="360" w:lineRule="auto"/>
        <w:ind w:rightChars="1382" w:right="2902" w:firstLineChars="0"/>
        <w:jc w:val="left"/>
        <w:rPr>
          <w:rFonts w:asciiTheme="majorEastAsia" w:eastAsiaTheme="majorEastAsia" w:hAnsiTheme="majorEastAsia"/>
        </w:rPr>
      </w:pPr>
      <w:r>
        <w:rPr>
          <w:rFonts w:asciiTheme="majorEastAsia" w:eastAsiaTheme="majorEastAsia" w:hAnsiTheme="majorEastAsia"/>
        </w:rPr>
        <w:t>基本建设程序和基本建设造价文件</w:t>
      </w:r>
      <w:r>
        <w:rPr>
          <w:rFonts w:asciiTheme="majorEastAsia" w:eastAsiaTheme="majorEastAsia" w:hAnsiTheme="majorEastAsia" w:hint="eastAsia"/>
        </w:rPr>
        <w:t>、</w:t>
      </w:r>
    </w:p>
    <w:p w14:paraId="675A4D61" w14:textId="77777777" w:rsidR="00F5289E" w:rsidRDefault="00C91173">
      <w:pPr>
        <w:pStyle w:val="a7"/>
        <w:adjustRightInd w:val="0"/>
        <w:snapToGrid w:val="0"/>
        <w:spacing w:line="360" w:lineRule="auto"/>
        <w:ind w:rightChars="1382" w:right="2902" w:firstLineChars="350" w:firstLine="735"/>
        <w:jc w:val="left"/>
        <w:rPr>
          <w:rFonts w:asciiTheme="majorEastAsia" w:eastAsiaTheme="majorEastAsia" w:hAnsiTheme="majorEastAsia"/>
        </w:rPr>
      </w:pPr>
      <w:r>
        <w:rPr>
          <w:rFonts w:asciiTheme="majorEastAsia" w:eastAsiaTheme="majorEastAsia" w:hAnsiTheme="majorEastAsia"/>
        </w:rPr>
        <w:t>1基本建设和基本建设程序</w:t>
      </w:r>
    </w:p>
    <w:p w14:paraId="0E575D81" w14:textId="77777777" w:rsidR="00F5289E" w:rsidRDefault="00C91173">
      <w:pPr>
        <w:pStyle w:val="a7"/>
        <w:adjustRightInd w:val="0"/>
        <w:snapToGrid w:val="0"/>
        <w:spacing w:line="360" w:lineRule="auto"/>
        <w:ind w:rightChars="1382" w:right="2902" w:firstLineChars="350" w:firstLine="735"/>
        <w:jc w:val="left"/>
        <w:rPr>
          <w:rFonts w:asciiTheme="majorEastAsia" w:eastAsiaTheme="majorEastAsia" w:hAnsiTheme="majorEastAsia"/>
        </w:rPr>
      </w:pPr>
      <w:r>
        <w:rPr>
          <w:rFonts w:asciiTheme="majorEastAsia" w:eastAsiaTheme="majorEastAsia" w:hAnsiTheme="majorEastAsia"/>
        </w:rPr>
        <w:t>2建设项目的划分</w:t>
      </w:r>
    </w:p>
    <w:p w14:paraId="48AADA7B" w14:textId="77777777" w:rsidR="00F5289E" w:rsidRDefault="00C91173">
      <w:pPr>
        <w:pStyle w:val="a7"/>
        <w:adjustRightInd w:val="0"/>
        <w:snapToGrid w:val="0"/>
        <w:spacing w:line="360" w:lineRule="auto"/>
        <w:ind w:rightChars="1382" w:right="2902" w:firstLineChars="350" w:firstLine="735"/>
        <w:jc w:val="left"/>
        <w:rPr>
          <w:rFonts w:asciiTheme="majorEastAsia" w:eastAsiaTheme="majorEastAsia" w:hAnsiTheme="majorEastAsia"/>
        </w:rPr>
      </w:pPr>
      <w:r>
        <w:rPr>
          <w:rFonts w:asciiTheme="majorEastAsia" w:eastAsiaTheme="majorEastAsia" w:hAnsiTheme="majorEastAsia"/>
        </w:rPr>
        <w:t>3工程建设造价文件分类</w:t>
      </w:r>
    </w:p>
    <w:p w14:paraId="5D8C7880" w14:textId="77777777" w:rsidR="00F5289E" w:rsidRDefault="00C91173" w:rsidP="00A115EF">
      <w:pPr>
        <w:pStyle w:val="a7"/>
        <w:numPr>
          <w:ilvl w:val="0"/>
          <w:numId w:val="31"/>
        </w:numPr>
        <w:adjustRightInd w:val="0"/>
        <w:snapToGrid w:val="0"/>
        <w:spacing w:line="360" w:lineRule="auto"/>
        <w:ind w:rightChars="1382" w:right="2902" w:firstLineChars="0"/>
        <w:jc w:val="left"/>
        <w:rPr>
          <w:rFonts w:asciiTheme="majorEastAsia" w:eastAsiaTheme="majorEastAsia" w:hAnsiTheme="majorEastAsia"/>
        </w:rPr>
      </w:pPr>
      <w:r>
        <w:rPr>
          <w:rFonts w:asciiTheme="majorEastAsia" w:eastAsiaTheme="majorEastAsia" w:hAnsiTheme="majorEastAsia"/>
        </w:rPr>
        <w:t>工程造价人员从业制度和工程造价咨询制度简介</w:t>
      </w:r>
    </w:p>
    <w:p w14:paraId="70F79BD7" w14:textId="77777777" w:rsidR="00F5289E" w:rsidRDefault="00C91173">
      <w:pPr>
        <w:pStyle w:val="a7"/>
        <w:adjustRightInd w:val="0"/>
        <w:snapToGrid w:val="0"/>
        <w:spacing w:line="360" w:lineRule="auto"/>
        <w:ind w:rightChars="1382" w:right="2902" w:firstLineChars="350" w:firstLine="735"/>
        <w:jc w:val="left"/>
        <w:rPr>
          <w:rFonts w:asciiTheme="majorEastAsia" w:eastAsiaTheme="majorEastAsia" w:hAnsiTheme="majorEastAsia"/>
        </w:rPr>
      </w:pPr>
      <w:r>
        <w:rPr>
          <w:rFonts w:asciiTheme="majorEastAsia" w:eastAsiaTheme="majorEastAsia" w:hAnsiTheme="majorEastAsia"/>
        </w:rPr>
        <w:t>1我国工程造价人员从业制度简介</w:t>
      </w:r>
    </w:p>
    <w:p w14:paraId="66228309" w14:textId="77777777" w:rsidR="00F5289E" w:rsidRDefault="00C91173">
      <w:pPr>
        <w:pStyle w:val="a7"/>
        <w:adjustRightInd w:val="0"/>
        <w:snapToGrid w:val="0"/>
        <w:spacing w:line="360" w:lineRule="auto"/>
        <w:ind w:rightChars="1382" w:right="2902" w:firstLineChars="350" w:firstLine="735"/>
        <w:jc w:val="left"/>
        <w:rPr>
          <w:rFonts w:asciiTheme="majorEastAsia" w:eastAsiaTheme="majorEastAsia" w:hAnsiTheme="majorEastAsia"/>
        </w:rPr>
      </w:pPr>
      <w:r>
        <w:rPr>
          <w:rFonts w:asciiTheme="majorEastAsia" w:eastAsiaTheme="majorEastAsia" w:hAnsiTheme="majorEastAsia"/>
        </w:rPr>
        <w:t>2我国工程造价咨询制度简介</w:t>
      </w:r>
    </w:p>
    <w:p w14:paraId="5509DAE4" w14:textId="77777777" w:rsidR="00F5289E" w:rsidRDefault="00C91173">
      <w:pPr>
        <w:pStyle w:val="a7"/>
        <w:snapToGrid w:val="0"/>
        <w:spacing w:line="360" w:lineRule="auto"/>
        <w:ind w:firstLineChars="0" w:firstLine="0"/>
        <w:jc w:val="left"/>
        <w:rPr>
          <w:rFonts w:asciiTheme="majorEastAsia" w:eastAsiaTheme="majorEastAsia" w:hAnsiTheme="majorEastAsia"/>
          <w:b/>
          <w:bCs/>
          <w:kern w:val="0"/>
          <w:szCs w:val="21"/>
        </w:rPr>
      </w:pPr>
      <w:r>
        <w:rPr>
          <w:rFonts w:asciiTheme="majorEastAsia" w:eastAsiaTheme="majorEastAsia" w:hAnsiTheme="majorEastAsia"/>
          <w:b/>
          <w:bCs/>
        </w:rPr>
        <w:lastRenderedPageBreak/>
        <w:t>教学组织与实施：</w:t>
      </w:r>
      <w:r>
        <w:rPr>
          <w:rFonts w:asciiTheme="majorEastAsia" w:eastAsiaTheme="majorEastAsia" w:hAnsiTheme="majorEastAsia"/>
          <w:bCs/>
        </w:rPr>
        <w:t>教师首先向学生展示一个摩天大楼和一个日光温室，提出问题：想要计算这两个建筑物的价格，第一步应该怎么做呢？并组织学生讨论，以学生视角分析：建筑物千差万别，怎样才能用相同的路径确定造价呢？引发学生兴趣，然后教师讲授基本建设的程序和这么做的原因，最后总结上述两个不同的建筑物如何采用统一的方法进行计算工程造价。之后让学生小组讨论建设项目实施的过程各阶段先关的造价文件和主要用途。教师介绍我国</w:t>
      </w:r>
      <w:r>
        <w:rPr>
          <w:rFonts w:asciiTheme="majorEastAsia" w:eastAsiaTheme="majorEastAsia" w:hAnsiTheme="majorEastAsia"/>
        </w:rPr>
        <w:t>工程造价人员从业制度和工程造价咨询制度。</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BE2E615" w14:textId="77777777">
        <w:trPr>
          <w:trHeight w:val="270"/>
        </w:trPr>
        <w:tc>
          <w:tcPr>
            <w:tcW w:w="2965" w:type="dxa"/>
            <w:tcBorders>
              <w:top w:val="nil"/>
              <w:left w:val="nil"/>
              <w:bottom w:val="nil"/>
              <w:right w:val="nil"/>
            </w:tcBorders>
            <w:vAlign w:val="center"/>
          </w:tcPr>
          <w:p w14:paraId="761F48DF"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293B905E"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第一章  工程造价的构成与计算</w:t>
            </w:r>
          </w:p>
        </w:tc>
        <w:tc>
          <w:tcPr>
            <w:tcW w:w="2966" w:type="dxa"/>
            <w:tcBorders>
              <w:top w:val="nil"/>
              <w:left w:val="nil"/>
              <w:bottom w:val="nil"/>
              <w:right w:val="nil"/>
            </w:tcBorders>
            <w:vAlign w:val="center"/>
          </w:tcPr>
          <w:p w14:paraId="6D1E3BA4"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学时数：4</w:t>
            </w:r>
          </w:p>
        </w:tc>
      </w:tr>
    </w:tbl>
    <w:p w14:paraId="0AA195DD"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教学目标：</w:t>
      </w:r>
      <w:r>
        <w:rPr>
          <w:rFonts w:asciiTheme="majorEastAsia" w:eastAsiaTheme="majorEastAsia" w:hAnsiTheme="majorEastAsia"/>
        </w:rPr>
        <w:t>通过课程学习，</w:t>
      </w:r>
      <w:r>
        <w:rPr>
          <w:rFonts w:asciiTheme="majorEastAsia" w:eastAsiaTheme="majorEastAsia" w:hAnsiTheme="majorEastAsia"/>
          <w:kern w:val="0"/>
          <w:szCs w:val="21"/>
        </w:rPr>
        <w:t>理解工程造价的概念、含义和特点；了解工程造价的构成，掌握建筑安装工程费用的构成，了解设备及工器具购置费用的确定方法和工程建设其他费用的组成。</w:t>
      </w:r>
    </w:p>
    <w:p w14:paraId="73FEF7C7"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kern w:val="0"/>
          <w:szCs w:val="21"/>
        </w:rPr>
        <w:t>建筑安装工程费用的构成，设备及工器具购置费用的确定方法。</w:t>
      </w:r>
    </w:p>
    <w:p w14:paraId="17748BDA"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r>
        <w:rPr>
          <w:rFonts w:asciiTheme="majorEastAsia" w:eastAsiaTheme="majorEastAsia" w:hAnsiTheme="majorEastAsia"/>
          <w:b/>
          <w:bCs/>
          <w:kern w:val="0"/>
          <w:szCs w:val="21"/>
        </w:rPr>
        <w:t xml:space="preserve"> </w:t>
      </w:r>
    </w:p>
    <w:p w14:paraId="6D25D5BA"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kern w:val="0"/>
          <w:szCs w:val="21"/>
        </w:rPr>
        <w:t>了解：工程造价的构成、设备及工器具购置费用的确定方法</w:t>
      </w:r>
      <w:r>
        <w:rPr>
          <w:rFonts w:asciiTheme="majorEastAsia" w:eastAsiaTheme="majorEastAsia" w:hAnsiTheme="majorEastAsia"/>
        </w:rPr>
        <w:t>；</w:t>
      </w:r>
    </w:p>
    <w:p w14:paraId="5F852EDD"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kern w:val="0"/>
          <w:szCs w:val="21"/>
        </w:rPr>
        <w:t>理解：工程造价的概念和含义和特点，</w:t>
      </w:r>
    </w:p>
    <w:p w14:paraId="1363BC83"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kern w:val="0"/>
          <w:szCs w:val="21"/>
        </w:rPr>
        <w:t>掌握：建筑安装工程费用的构成。</w:t>
      </w:r>
    </w:p>
    <w:p w14:paraId="7443BA77" w14:textId="77777777" w:rsidR="00F5289E" w:rsidRDefault="00C91173" w:rsidP="00A115EF">
      <w:pPr>
        <w:pStyle w:val="a7"/>
        <w:numPr>
          <w:ilvl w:val="0"/>
          <w:numId w:val="32"/>
        </w:numPr>
        <w:snapToGrid w:val="0"/>
        <w:spacing w:line="360" w:lineRule="auto"/>
        <w:ind w:rightChars="1382" w:right="2902"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工程造价的含义及构成</w:t>
      </w:r>
    </w:p>
    <w:p w14:paraId="65554F01"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cs="宋体"/>
          <w:szCs w:val="21"/>
          <w:shd w:val="clear" w:color="auto" w:fill="FFFFFF"/>
        </w:rPr>
      </w:pPr>
      <w:r>
        <w:rPr>
          <w:rFonts w:asciiTheme="majorEastAsia" w:eastAsiaTheme="majorEastAsia" w:hAnsiTheme="majorEastAsia" w:cs="宋体" w:hint="eastAsia"/>
          <w:szCs w:val="21"/>
          <w:shd w:val="clear" w:color="auto" w:fill="FFFFFF"/>
        </w:rPr>
        <w:t>1工程造价的含义</w:t>
      </w:r>
    </w:p>
    <w:p w14:paraId="14C4C93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cs="宋体"/>
          <w:szCs w:val="21"/>
          <w:shd w:val="clear" w:color="auto" w:fill="FFFFFF"/>
        </w:rPr>
      </w:pPr>
      <w:r>
        <w:rPr>
          <w:rFonts w:asciiTheme="majorEastAsia" w:eastAsiaTheme="majorEastAsia" w:hAnsiTheme="majorEastAsia" w:cs="宋体" w:hint="eastAsia"/>
          <w:szCs w:val="21"/>
          <w:shd w:val="clear" w:color="auto" w:fill="FFFFFF"/>
        </w:rPr>
        <w:t>2工程造价的特点</w:t>
      </w:r>
    </w:p>
    <w:p w14:paraId="5C68BD8A"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cs="宋体"/>
          <w:szCs w:val="21"/>
          <w:shd w:val="clear" w:color="auto" w:fill="FFFFFF"/>
        </w:rPr>
      </w:pPr>
      <w:r>
        <w:rPr>
          <w:rFonts w:asciiTheme="majorEastAsia" w:eastAsiaTheme="majorEastAsia" w:hAnsiTheme="majorEastAsia" w:cs="宋体" w:hint="eastAsia"/>
          <w:szCs w:val="21"/>
          <w:shd w:val="clear" w:color="auto" w:fill="FFFFFF"/>
        </w:rPr>
        <w:t>3建设工程造价的构成</w:t>
      </w:r>
    </w:p>
    <w:p w14:paraId="393C408F" w14:textId="77777777" w:rsidR="00F5289E" w:rsidRDefault="00C91173" w:rsidP="00A115EF">
      <w:pPr>
        <w:pStyle w:val="a7"/>
        <w:numPr>
          <w:ilvl w:val="0"/>
          <w:numId w:val="31"/>
        </w:numPr>
        <w:snapToGrid w:val="0"/>
        <w:spacing w:line="360" w:lineRule="auto"/>
        <w:ind w:rightChars="1382" w:right="2902" w:firstLineChars="0"/>
        <w:jc w:val="left"/>
        <w:rPr>
          <w:rFonts w:asciiTheme="majorEastAsia" w:eastAsiaTheme="majorEastAsia" w:hAnsiTheme="majorEastAsia"/>
          <w:szCs w:val="21"/>
          <w:shd w:val="clear" w:color="auto" w:fill="FFFFFF"/>
        </w:rPr>
      </w:pPr>
      <w:r>
        <w:rPr>
          <w:rFonts w:asciiTheme="majorEastAsia" w:eastAsiaTheme="majorEastAsia" w:hAnsiTheme="majorEastAsia" w:cs="宋体" w:hint="eastAsia"/>
          <w:szCs w:val="21"/>
          <w:shd w:val="clear" w:color="auto" w:fill="FFFFFF"/>
        </w:rPr>
        <w:t>设备及工器具购置费用</w:t>
      </w:r>
    </w:p>
    <w:p w14:paraId="5785773A"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1设备购置费</w:t>
      </w:r>
    </w:p>
    <w:p w14:paraId="363BDEA3"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2工器具及生产家具购置费</w:t>
      </w:r>
    </w:p>
    <w:p w14:paraId="31D8E2A4" w14:textId="77777777" w:rsidR="00F5289E" w:rsidRDefault="00C91173" w:rsidP="00A115EF">
      <w:pPr>
        <w:pStyle w:val="a7"/>
        <w:numPr>
          <w:ilvl w:val="0"/>
          <w:numId w:val="31"/>
        </w:numPr>
        <w:snapToGrid w:val="0"/>
        <w:spacing w:line="360" w:lineRule="auto"/>
        <w:ind w:rightChars="1382" w:right="2902" w:firstLineChars="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建筑安装工程费用</w:t>
      </w:r>
    </w:p>
    <w:p w14:paraId="687B75BB"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1建筑安装工程费用项目组成——按费用构成要素划分</w:t>
      </w:r>
    </w:p>
    <w:p w14:paraId="63608410"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2建筑安装工程费用项目组成——按造价形成划分</w:t>
      </w:r>
    </w:p>
    <w:p w14:paraId="08B740B1" w14:textId="77777777" w:rsidR="00F5289E" w:rsidRDefault="00C91173">
      <w:pPr>
        <w:pStyle w:val="a7"/>
        <w:snapToGrid w:val="0"/>
        <w:spacing w:line="360" w:lineRule="auto"/>
        <w:ind w:firstLineChars="0" w:firstLine="0"/>
        <w:jc w:val="left"/>
        <w:rPr>
          <w:rFonts w:asciiTheme="majorEastAsia" w:eastAsiaTheme="majorEastAsia" w:hAnsiTheme="majorEastAsia"/>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提出问题：如果建设一个这样的日光温室，费用会用在哪些方面呢？并组织学生讨论，以学生视角分析建筑造价组成，引发学生兴趣，然后介绍建设工程造价的构成。最后，教师总结日光温室工程造价的组成，解决课前问题。教师提问问题：公司需要采购一台设备，你觉得会产生哪些费用呢？并组织学生讨论，以学生视角分析</w:t>
      </w:r>
      <w:r>
        <w:rPr>
          <w:rFonts w:asciiTheme="majorEastAsia" w:eastAsiaTheme="majorEastAsia" w:hAnsiTheme="majorEastAsia"/>
          <w:szCs w:val="21"/>
          <w:shd w:val="clear" w:color="auto" w:fill="FFFFFF"/>
        </w:rPr>
        <w:t>设备及工器具购置费用</w:t>
      </w:r>
      <w:r>
        <w:rPr>
          <w:rFonts w:asciiTheme="majorEastAsia" w:eastAsiaTheme="majorEastAsia" w:hAnsiTheme="majorEastAsia"/>
          <w:bCs/>
        </w:rPr>
        <w:t>组成，引发学生兴趣。然后，教师介绍</w:t>
      </w:r>
      <w:r>
        <w:rPr>
          <w:rFonts w:asciiTheme="majorEastAsia" w:eastAsiaTheme="majorEastAsia" w:hAnsiTheme="majorEastAsia"/>
          <w:szCs w:val="21"/>
          <w:shd w:val="clear" w:color="auto" w:fill="FFFFFF"/>
        </w:rPr>
        <w:t>设备及工器具购置费用的</w:t>
      </w:r>
      <w:r>
        <w:rPr>
          <w:rFonts w:asciiTheme="majorEastAsia" w:eastAsiaTheme="majorEastAsia" w:hAnsiTheme="majorEastAsia"/>
          <w:bCs/>
        </w:rPr>
        <w:t>构成。最后，教师总结设备采购费用的组成，解决课前问题。</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562ED1D" w14:textId="77777777">
        <w:trPr>
          <w:trHeight w:val="270"/>
        </w:trPr>
        <w:tc>
          <w:tcPr>
            <w:tcW w:w="2965" w:type="dxa"/>
            <w:tcBorders>
              <w:top w:val="nil"/>
              <w:left w:val="nil"/>
              <w:bottom w:val="nil"/>
              <w:right w:val="nil"/>
            </w:tcBorders>
            <w:vAlign w:val="center"/>
          </w:tcPr>
          <w:p w14:paraId="793988D5"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2F435EF9"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第二章   工程计价依据 </w:t>
            </w:r>
          </w:p>
        </w:tc>
        <w:tc>
          <w:tcPr>
            <w:tcW w:w="2966" w:type="dxa"/>
            <w:tcBorders>
              <w:top w:val="nil"/>
              <w:left w:val="nil"/>
              <w:bottom w:val="nil"/>
              <w:right w:val="nil"/>
            </w:tcBorders>
            <w:vAlign w:val="center"/>
          </w:tcPr>
          <w:p w14:paraId="469F3938"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w:t>
            </w:r>
            <w:r>
              <w:rPr>
                <w:rFonts w:asciiTheme="majorEastAsia" w:eastAsiaTheme="majorEastAsia" w:hAnsiTheme="majorEastAsia" w:hint="eastAsia"/>
                <w:b/>
                <w:bCs/>
                <w:kern w:val="0"/>
                <w:szCs w:val="21"/>
              </w:rPr>
              <w:t>5</w:t>
            </w:r>
          </w:p>
        </w:tc>
      </w:tr>
    </w:tbl>
    <w:p w14:paraId="1F2F4E39"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通过课程学习，理解定额的基本知识，重点掌握预算定额的套用和换算。</w:t>
      </w:r>
    </w:p>
    <w:p w14:paraId="74D8AEA1"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rPr>
        <w:t>定额和预算定额的概念，人工工日消耗量、材料消耗量、机械台班消耗量的确定，预算定额的套用与预算定额的换算。</w:t>
      </w:r>
    </w:p>
    <w:p w14:paraId="37B05318"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lastRenderedPageBreak/>
        <w:t>主要教学内容和要求：</w:t>
      </w:r>
    </w:p>
    <w:p w14:paraId="02709C42"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了解：人工工日消耗量、材料消耗量、机械台班消耗量的确定方法，人工单价、材料单价、机械台班单价的确定方法；定额、预算定额、概算定额和企业定额的性质和作用；</w:t>
      </w:r>
    </w:p>
    <w:p w14:paraId="35274FF7"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掌握：定额、预算定额、概算定额和企业定额的概念；</w:t>
      </w:r>
    </w:p>
    <w:p w14:paraId="40339538"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rPr>
        <w:t>重点掌握：预算定额的套用与预算定额的换算。</w:t>
      </w:r>
    </w:p>
    <w:p w14:paraId="15F051B3" w14:textId="77777777" w:rsidR="00F5289E" w:rsidRDefault="00C91173" w:rsidP="00A115EF">
      <w:pPr>
        <w:pStyle w:val="a7"/>
        <w:numPr>
          <w:ilvl w:val="0"/>
          <w:numId w:val="33"/>
        </w:numPr>
        <w:snapToGrid w:val="0"/>
        <w:spacing w:line="360" w:lineRule="auto"/>
        <w:ind w:rightChars="1382" w:right="2902" w:firstLineChars="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工程建设定额</w:t>
      </w:r>
    </w:p>
    <w:p w14:paraId="3F7AF706"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1定额的概念</w:t>
      </w:r>
    </w:p>
    <w:p w14:paraId="6B638774"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2定额的作用和分类</w:t>
      </w:r>
    </w:p>
    <w:p w14:paraId="64506B05" w14:textId="77777777" w:rsidR="00F5289E" w:rsidRDefault="00C91173" w:rsidP="00A115EF">
      <w:pPr>
        <w:pStyle w:val="a7"/>
        <w:numPr>
          <w:ilvl w:val="0"/>
          <w:numId w:val="33"/>
        </w:numPr>
        <w:snapToGrid w:val="0"/>
        <w:spacing w:line="360" w:lineRule="auto"/>
        <w:ind w:rightChars="1382" w:right="2902" w:firstLineChars="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预算定额</w:t>
      </w:r>
    </w:p>
    <w:p w14:paraId="7C267EA5"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1预算定额的概念、性质和作用</w:t>
      </w:r>
    </w:p>
    <w:p w14:paraId="6BD58C5B"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2人工工日、材料、机械台班消耗量的确定</w:t>
      </w:r>
    </w:p>
    <w:p w14:paraId="7A76682E"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3人工、材料、机械台班单价的确定</w:t>
      </w:r>
    </w:p>
    <w:p w14:paraId="2B87A6E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4预算定额的应用</w:t>
      </w:r>
    </w:p>
    <w:p w14:paraId="0E1B691B" w14:textId="77777777" w:rsidR="00F5289E" w:rsidRDefault="00C91173">
      <w:pPr>
        <w:pStyle w:val="a7"/>
        <w:snapToGrid w:val="0"/>
        <w:spacing w:line="360" w:lineRule="auto"/>
        <w:ind w:rightChars="1382" w:right="2902"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第三节 概算定额</w:t>
      </w:r>
    </w:p>
    <w:p w14:paraId="4C9BDB38"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1概算定额的作用</w:t>
      </w:r>
    </w:p>
    <w:p w14:paraId="1235C5D8"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2概算定额的编制原则及依据</w:t>
      </w:r>
    </w:p>
    <w:p w14:paraId="33F3A26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3概算定额的内容与形式</w:t>
      </w:r>
    </w:p>
    <w:p w14:paraId="24AAD07E" w14:textId="77777777" w:rsidR="00F5289E" w:rsidRDefault="00C91173" w:rsidP="00A115EF">
      <w:pPr>
        <w:pStyle w:val="a7"/>
        <w:numPr>
          <w:ilvl w:val="0"/>
          <w:numId w:val="33"/>
        </w:numPr>
        <w:snapToGrid w:val="0"/>
        <w:spacing w:line="360" w:lineRule="auto"/>
        <w:ind w:rightChars="1382" w:right="2902" w:firstLineChars="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企业定额</w:t>
      </w:r>
    </w:p>
    <w:p w14:paraId="480D41A6"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1企业定额的特点</w:t>
      </w:r>
    </w:p>
    <w:p w14:paraId="3F9C48E8"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2企业定额在工程建设中的作用</w:t>
      </w:r>
    </w:p>
    <w:p w14:paraId="69A5D0AF"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3企业定额的构成及编制依据</w:t>
      </w:r>
    </w:p>
    <w:p w14:paraId="1943B2B4"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4企业定额编制原则</w:t>
      </w:r>
    </w:p>
    <w:p w14:paraId="552B50C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5企业定额编制方法</w:t>
      </w:r>
    </w:p>
    <w:p w14:paraId="79C77ECB" w14:textId="77777777" w:rsidR="00F5289E" w:rsidRDefault="00C91173">
      <w:pPr>
        <w:pStyle w:val="a7"/>
        <w:snapToGrid w:val="0"/>
        <w:spacing w:line="360" w:lineRule="auto"/>
        <w:ind w:firstLineChars="0" w:firstLine="0"/>
        <w:jc w:val="left"/>
        <w:rPr>
          <w:rFonts w:asciiTheme="majorEastAsia" w:eastAsiaTheme="majorEastAsia" w:hAnsiTheme="majorEastAsia"/>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教师首先向学生展示一个日光温室，提出问题：要砌筑1m</w:t>
      </w:r>
      <w:r>
        <w:rPr>
          <w:rFonts w:asciiTheme="majorEastAsia" w:eastAsiaTheme="majorEastAsia" w:hAnsiTheme="majorEastAsia"/>
          <w:bCs/>
          <w:vertAlign w:val="superscript"/>
        </w:rPr>
        <w:t>3</w:t>
      </w:r>
      <w:r>
        <w:rPr>
          <w:rFonts w:asciiTheme="majorEastAsia" w:eastAsiaTheme="majorEastAsia" w:hAnsiTheme="majorEastAsia"/>
          <w:bCs/>
        </w:rPr>
        <w:t>的砖墙需要哪些费用呢？在砌筑过程中，你如何相关砌筑人员的工作水平和效率呢？组织学生讨论，以学生视角分析定额的作用，认识定额的必要性，引出定额，导入课程。然后，教师通过实例讲授定额的组成和使用，并联系工程造价构成，讲解定额的用途。最后，教师总结定额的组成和用途，解决课前问题。</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AD21CFB" w14:textId="77777777">
        <w:trPr>
          <w:trHeight w:val="270"/>
        </w:trPr>
        <w:tc>
          <w:tcPr>
            <w:tcW w:w="2965" w:type="dxa"/>
            <w:tcBorders>
              <w:top w:val="nil"/>
              <w:left w:val="nil"/>
              <w:bottom w:val="nil"/>
              <w:right w:val="nil"/>
            </w:tcBorders>
            <w:vAlign w:val="center"/>
          </w:tcPr>
          <w:p w14:paraId="75582608"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51B7FD83"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第三章    工程计价方法 </w:t>
            </w:r>
          </w:p>
        </w:tc>
        <w:tc>
          <w:tcPr>
            <w:tcW w:w="2966" w:type="dxa"/>
            <w:tcBorders>
              <w:top w:val="nil"/>
              <w:left w:val="nil"/>
              <w:bottom w:val="nil"/>
              <w:right w:val="nil"/>
            </w:tcBorders>
            <w:vAlign w:val="center"/>
          </w:tcPr>
          <w:p w14:paraId="1A856721"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w:t>
            </w:r>
            <w:r>
              <w:rPr>
                <w:rFonts w:asciiTheme="majorEastAsia" w:eastAsiaTheme="majorEastAsia" w:hAnsiTheme="majorEastAsia" w:hint="eastAsia"/>
                <w:b/>
                <w:bCs/>
                <w:kern w:val="0"/>
                <w:szCs w:val="21"/>
              </w:rPr>
              <w:t>5</w:t>
            </w:r>
          </w:p>
        </w:tc>
      </w:tr>
    </w:tbl>
    <w:p w14:paraId="39AE814E"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通过课程学习，掌握定额计价和工程量清单计价两种计价模式。</w:t>
      </w:r>
    </w:p>
    <w:p w14:paraId="76A3690C"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rPr>
        <w:t>定额计价的程序和方法，工程量清单的各组成内容与计价方法。</w:t>
      </w:r>
    </w:p>
    <w:p w14:paraId="7601D7C9"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r>
        <w:rPr>
          <w:rFonts w:asciiTheme="majorEastAsia" w:eastAsiaTheme="majorEastAsia" w:hAnsiTheme="majorEastAsia"/>
          <w:b/>
          <w:bCs/>
          <w:kern w:val="0"/>
          <w:szCs w:val="21"/>
        </w:rPr>
        <w:t xml:space="preserve"> </w:t>
      </w:r>
    </w:p>
    <w:p w14:paraId="3FC01F8C"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了解：定额计价的编制依据；</w:t>
      </w:r>
    </w:p>
    <w:p w14:paraId="48871C7E"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理解：定额计价和工程量清单计价方法的区别和优缺点；</w:t>
      </w:r>
    </w:p>
    <w:p w14:paraId="025CF76D"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lastRenderedPageBreak/>
        <w:t>掌握：工程量清单的内容；</w:t>
      </w:r>
    </w:p>
    <w:p w14:paraId="438CC86B"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重点掌握：工程量清单计价方法。</w:t>
      </w:r>
    </w:p>
    <w:p w14:paraId="0AF19714" w14:textId="77777777" w:rsidR="00F5289E" w:rsidRDefault="00C91173">
      <w:pPr>
        <w:pStyle w:val="a7"/>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hint="eastAsia"/>
          <w:szCs w:val="21"/>
          <w:shd w:val="clear" w:color="auto" w:fill="FFFFFF"/>
        </w:rPr>
        <w:t xml:space="preserve">第一节 </w:t>
      </w:r>
      <w:r>
        <w:rPr>
          <w:rFonts w:asciiTheme="majorEastAsia" w:eastAsiaTheme="majorEastAsia" w:hAnsiTheme="majorEastAsia"/>
          <w:szCs w:val="21"/>
          <w:shd w:val="clear" w:color="auto" w:fill="FFFFFF"/>
        </w:rPr>
        <w:t>定额计价</w:t>
      </w:r>
    </w:p>
    <w:p w14:paraId="713D9B73"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1定额计价的编制依据</w:t>
      </w:r>
    </w:p>
    <w:p w14:paraId="63818C07"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2定额计价的编制方法</w:t>
      </w:r>
    </w:p>
    <w:p w14:paraId="7BE5CF1E" w14:textId="77777777" w:rsidR="00F5289E" w:rsidRDefault="00C91173">
      <w:pPr>
        <w:pStyle w:val="a7"/>
        <w:snapToGrid w:val="0"/>
        <w:spacing w:line="360" w:lineRule="auto"/>
        <w:ind w:rightChars="1382" w:right="2902"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hint="eastAsia"/>
          <w:szCs w:val="21"/>
          <w:shd w:val="clear" w:color="auto" w:fill="FFFFFF"/>
        </w:rPr>
        <w:t>第二节</w:t>
      </w:r>
      <w:r>
        <w:rPr>
          <w:rFonts w:asciiTheme="majorEastAsia" w:eastAsiaTheme="majorEastAsia" w:hAnsiTheme="majorEastAsia"/>
          <w:szCs w:val="21"/>
          <w:shd w:val="clear" w:color="auto" w:fill="FFFFFF"/>
        </w:rPr>
        <w:t xml:space="preserve"> 工程量清单计价与计量规范</w:t>
      </w:r>
    </w:p>
    <w:p w14:paraId="3A47A54A"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1概述</w:t>
      </w:r>
    </w:p>
    <w:p w14:paraId="699CD73B"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2工程量清单的内容</w:t>
      </w:r>
    </w:p>
    <w:p w14:paraId="40F9D9F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3招标控制价的编制</w:t>
      </w:r>
    </w:p>
    <w:p w14:paraId="4C2C736F"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4投标报价的编制</w:t>
      </w:r>
    </w:p>
    <w:p w14:paraId="60554FD3" w14:textId="77777777" w:rsidR="00F5289E" w:rsidRDefault="00C91173">
      <w:pPr>
        <w:pStyle w:val="a7"/>
        <w:snapToGrid w:val="0"/>
        <w:spacing w:line="360" w:lineRule="auto"/>
        <w:ind w:firstLineChars="0" w:firstLine="0"/>
        <w:jc w:val="left"/>
        <w:rPr>
          <w:rFonts w:asciiTheme="majorEastAsia" w:eastAsiaTheme="majorEastAsia" w:hAnsiTheme="majorEastAsia"/>
          <w:bCs/>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提出问题：根据已学习的知识，计算一个日光温室的造价，可以采用怎么的途径？应分为几个步骤呢？组织学生讨论，以学生视角分析工程造价的方法和步骤，引导学生思考，激发学生兴趣。然后，教师讲授定额计价法。之后，提出问题：采用定额计价法，计算工程造价，容易出现什么问题？引出清单计价法，教师讲授清单计价法。而后，学生讨论两种方法的差异和优缺点。最后，教师进行总结。</w:t>
      </w:r>
    </w:p>
    <w:tbl>
      <w:tblPr>
        <w:tblStyle w:val="af6"/>
        <w:tblW w:w="0" w:type="auto"/>
        <w:tblInd w:w="4" w:type="dxa"/>
        <w:tblCellMar>
          <w:left w:w="0" w:type="dxa"/>
          <w:right w:w="0" w:type="dxa"/>
        </w:tblCellMar>
        <w:tblLook w:val="04A0" w:firstRow="1" w:lastRow="0" w:firstColumn="1" w:lastColumn="0" w:noHBand="0" w:noVBand="1"/>
      </w:tblPr>
      <w:tblGrid>
        <w:gridCol w:w="2965"/>
        <w:gridCol w:w="3503"/>
        <w:gridCol w:w="2428"/>
      </w:tblGrid>
      <w:tr w:rsidR="00F5289E" w14:paraId="5E643758" w14:textId="77777777">
        <w:trPr>
          <w:trHeight w:val="270"/>
        </w:trPr>
        <w:tc>
          <w:tcPr>
            <w:tcW w:w="2965" w:type="dxa"/>
            <w:tcBorders>
              <w:top w:val="nil"/>
              <w:left w:val="nil"/>
              <w:bottom w:val="nil"/>
              <w:right w:val="nil"/>
            </w:tcBorders>
            <w:vAlign w:val="center"/>
          </w:tcPr>
          <w:p w14:paraId="43E43E13"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3503" w:type="dxa"/>
            <w:tcBorders>
              <w:top w:val="nil"/>
              <w:left w:val="nil"/>
              <w:bottom w:val="nil"/>
              <w:right w:val="nil"/>
            </w:tcBorders>
            <w:vAlign w:val="center"/>
          </w:tcPr>
          <w:p w14:paraId="262E3260"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第四章     建筑面积计算</w:t>
            </w:r>
          </w:p>
        </w:tc>
        <w:tc>
          <w:tcPr>
            <w:tcW w:w="2428" w:type="dxa"/>
            <w:tcBorders>
              <w:top w:val="nil"/>
              <w:left w:val="nil"/>
              <w:bottom w:val="nil"/>
              <w:right w:val="nil"/>
            </w:tcBorders>
            <w:vAlign w:val="center"/>
          </w:tcPr>
          <w:p w14:paraId="554F4DB0"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学时数：1</w:t>
            </w:r>
          </w:p>
        </w:tc>
      </w:tr>
    </w:tbl>
    <w:p w14:paraId="45AC2613"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通过课程学习，理解建筑面积的概念，掌握农业设施建筑面积的计算规则。</w:t>
      </w:r>
    </w:p>
    <w:p w14:paraId="783D9173"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rPr>
        <w:t>建筑面积的计算方法。</w:t>
      </w:r>
    </w:p>
    <w:p w14:paraId="6D01CDDA"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p>
    <w:p w14:paraId="794325BE"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理解：建筑面积的概念；</w:t>
      </w:r>
    </w:p>
    <w:p w14:paraId="200BEC7A"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掌握：建筑面积的计算规则。</w:t>
      </w:r>
    </w:p>
    <w:p w14:paraId="047BC0F1" w14:textId="77777777" w:rsidR="00F5289E" w:rsidRDefault="00C91173" w:rsidP="00A115EF">
      <w:pPr>
        <w:pStyle w:val="a7"/>
        <w:numPr>
          <w:ilvl w:val="0"/>
          <w:numId w:val="34"/>
        </w:numPr>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建筑面积的概念及作用</w:t>
      </w:r>
    </w:p>
    <w:p w14:paraId="1AA58F02"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1建筑面积的概念</w:t>
      </w:r>
    </w:p>
    <w:p w14:paraId="5C6BEEB5"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2计算建筑面积的作用</w:t>
      </w:r>
    </w:p>
    <w:p w14:paraId="33B16B53" w14:textId="77777777" w:rsidR="00F5289E" w:rsidRDefault="00C91173">
      <w:pPr>
        <w:pStyle w:val="a7"/>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第二节 建筑面积的计算规则</w:t>
      </w:r>
    </w:p>
    <w:p w14:paraId="386F1343" w14:textId="77777777" w:rsidR="00F5289E" w:rsidRDefault="00C91173">
      <w:pPr>
        <w:pStyle w:val="a7"/>
        <w:snapToGrid w:val="0"/>
        <w:spacing w:line="360" w:lineRule="auto"/>
        <w:ind w:firstLineChars="0" w:firstLine="0"/>
        <w:jc w:val="left"/>
        <w:rPr>
          <w:rFonts w:asciiTheme="majorEastAsia" w:eastAsiaTheme="majorEastAsia" w:hAnsiTheme="majorEastAsia"/>
          <w:bCs/>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提出问题：你家里购买一套商品房，其建筑面积包括哪些方面呢？组织学生讨论，以学生视角分析建筑面积的组成，引导学生思考，激发学生兴趣。然后，教师通过案例和理论相结合的手段，讲授建筑面积的计算方法。之后，提出思考题：建筑面积计算理论适用于设施工程吗？存在哪些问题？学生讨论分析当前理论的适用性问题。最后，教师总结，并进行课程思政，引导学生为设施行业发展贡献力量。</w:t>
      </w:r>
    </w:p>
    <w:tbl>
      <w:tblPr>
        <w:tblStyle w:val="af6"/>
        <w:tblW w:w="0" w:type="auto"/>
        <w:tblInd w:w="4" w:type="dxa"/>
        <w:tblCellMar>
          <w:left w:w="0" w:type="dxa"/>
          <w:right w:w="0" w:type="dxa"/>
        </w:tblCellMar>
        <w:tblLook w:val="04A0" w:firstRow="1" w:lastRow="0" w:firstColumn="1" w:lastColumn="0" w:noHBand="0" w:noVBand="1"/>
      </w:tblPr>
      <w:tblGrid>
        <w:gridCol w:w="2965"/>
        <w:gridCol w:w="3503"/>
        <w:gridCol w:w="2428"/>
      </w:tblGrid>
      <w:tr w:rsidR="00F5289E" w14:paraId="591EFF0E" w14:textId="77777777">
        <w:trPr>
          <w:trHeight w:val="270"/>
        </w:trPr>
        <w:tc>
          <w:tcPr>
            <w:tcW w:w="2965" w:type="dxa"/>
            <w:tcBorders>
              <w:top w:val="nil"/>
              <w:left w:val="nil"/>
              <w:bottom w:val="nil"/>
              <w:right w:val="nil"/>
            </w:tcBorders>
            <w:vAlign w:val="center"/>
          </w:tcPr>
          <w:p w14:paraId="1842CF74"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3503" w:type="dxa"/>
            <w:tcBorders>
              <w:top w:val="nil"/>
              <w:left w:val="nil"/>
              <w:bottom w:val="nil"/>
              <w:right w:val="nil"/>
            </w:tcBorders>
            <w:vAlign w:val="center"/>
          </w:tcPr>
          <w:p w14:paraId="561D4E03"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第五章    土方工程计量与计价 </w:t>
            </w:r>
          </w:p>
        </w:tc>
        <w:tc>
          <w:tcPr>
            <w:tcW w:w="2428" w:type="dxa"/>
            <w:tcBorders>
              <w:top w:val="nil"/>
              <w:left w:val="nil"/>
              <w:bottom w:val="nil"/>
              <w:right w:val="nil"/>
            </w:tcBorders>
            <w:vAlign w:val="center"/>
          </w:tcPr>
          <w:p w14:paraId="3D469DC2"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学时数：4</w:t>
            </w:r>
          </w:p>
        </w:tc>
      </w:tr>
    </w:tbl>
    <w:p w14:paraId="152BA54A"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通过课程学习，熟练掌握土方工程工程量计算方法和计价方法。</w:t>
      </w:r>
    </w:p>
    <w:p w14:paraId="4670BC42"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rPr>
        <w:t>土方工程和基础工程的工程量计算方法和计价方法。</w:t>
      </w:r>
    </w:p>
    <w:p w14:paraId="6DF3088A"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p>
    <w:p w14:paraId="1F9B8ACC"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lastRenderedPageBreak/>
        <w:t>理解：</w:t>
      </w:r>
      <w:r>
        <w:rPr>
          <w:rFonts w:asciiTheme="majorEastAsia" w:eastAsiaTheme="majorEastAsia" w:hAnsiTheme="majorEastAsia"/>
          <w:szCs w:val="21"/>
          <w:shd w:val="clear" w:color="auto" w:fill="FFFFFF"/>
        </w:rPr>
        <w:t>土石方工程的清单分项</w:t>
      </w:r>
      <w:r>
        <w:rPr>
          <w:rFonts w:asciiTheme="majorEastAsia" w:eastAsiaTheme="majorEastAsia" w:hAnsiTheme="majorEastAsia"/>
        </w:rPr>
        <w:t>；</w:t>
      </w:r>
    </w:p>
    <w:p w14:paraId="2D2886E8"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熟练掌握：人工挖土方和机械挖土方工程工程量计算方法和计价方法。</w:t>
      </w:r>
    </w:p>
    <w:p w14:paraId="06CC411C" w14:textId="77777777" w:rsidR="00F5289E" w:rsidRDefault="00C91173" w:rsidP="00A115EF">
      <w:pPr>
        <w:pStyle w:val="a7"/>
        <w:numPr>
          <w:ilvl w:val="0"/>
          <w:numId w:val="35"/>
        </w:numPr>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土石方工程概述和清单分项</w:t>
      </w:r>
    </w:p>
    <w:p w14:paraId="64EA85F1" w14:textId="77777777" w:rsidR="00F5289E" w:rsidRDefault="00C91173">
      <w:pPr>
        <w:pStyle w:val="a7"/>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第二节 土方工程计量</w:t>
      </w:r>
    </w:p>
    <w:p w14:paraId="1421664A"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1.人工挖土方</w:t>
      </w:r>
    </w:p>
    <w:p w14:paraId="605DE266"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2.机械挖土方</w:t>
      </w:r>
    </w:p>
    <w:p w14:paraId="0CC341C4" w14:textId="77777777" w:rsidR="00F5289E" w:rsidRDefault="00C91173">
      <w:pPr>
        <w:pStyle w:val="a7"/>
        <w:snapToGrid w:val="0"/>
        <w:spacing w:line="360" w:lineRule="auto"/>
        <w:ind w:rightChars="1383" w:right="2904" w:firstLineChars="0" w:firstLine="0"/>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第三节 土方工程计价</w:t>
      </w:r>
    </w:p>
    <w:p w14:paraId="39BEC675" w14:textId="77777777" w:rsidR="00F5289E" w:rsidRDefault="00C91173">
      <w:pPr>
        <w:widowControl/>
        <w:snapToGrid w:val="0"/>
        <w:spacing w:line="360" w:lineRule="auto"/>
        <w:jc w:val="left"/>
        <w:rPr>
          <w:rFonts w:asciiTheme="majorEastAsia" w:eastAsiaTheme="majorEastAsia" w:hAnsiTheme="majorEastAsia"/>
          <w:szCs w:val="21"/>
          <w:shd w:val="clear" w:color="auto" w:fill="FFFFFF"/>
        </w:rPr>
      </w:pPr>
      <w:r>
        <w:rPr>
          <w:rFonts w:asciiTheme="majorEastAsia" w:eastAsiaTheme="majorEastAsia" w:hAnsiTheme="majorEastAsia"/>
        </w:rPr>
        <w:t>第四节 园艺设施工程土方工程的计量与计价示例</w:t>
      </w:r>
    </w:p>
    <w:p w14:paraId="66D05091" w14:textId="77777777" w:rsidR="00F5289E" w:rsidRDefault="00C91173">
      <w:pPr>
        <w:pStyle w:val="a7"/>
        <w:snapToGrid w:val="0"/>
        <w:spacing w:line="360" w:lineRule="auto"/>
        <w:ind w:firstLineChars="0" w:firstLine="0"/>
        <w:jc w:val="left"/>
        <w:rPr>
          <w:rFonts w:asciiTheme="majorEastAsia" w:eastAsiaTheme="majorEastAsia" w:hAnsiTheme="majorEastAsia"/>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的土方工程，组织学生展开讨论，以学生视角分析计算该土方工程工程量所需的参量，引发学生兴趣，然后教师讲授相关规则和方法，让学生明白整个计量步骤和原理，之后，教师示范课前案例的计算过程。之后，继续提出问题：应如何对该土方工程报价呢？该土方工程报价应包括哪些定额呢？组织学生展开讨论，教师进行总结并结合相应案例，对其进行报价。课后，学生进行相关内容的练习，并总结工程量计算和报价方法，巩固所学知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B9BD4A5" w14:textId="77777777">
        <w:trPr>
          <w:trHeight w:val="270"/>
        </w:trPr>
        <w:tc>
          <w:tcPr>
            <w:tcW w:w="2965" w:type="dxa"/>
            <w:tcBorders>
              <w:top w:val="nil"/>
              <w:left w:val="nil"/>
              <w:bottom w:val="nil"/>
              <w:right w:val="nil"/>
            </w:tcBorders>
            <w:vAlign w:val="center"/>
          </w:tcPr>
          <w:p w14:paraId="60AFB140"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4F2FD7A4"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第六章    砌筑工程计量与计价</w:t>
            </w:r>
          </w:p>
        </w:tc>
        <w:tc>
          <w:tcPr>
            <w:tcW w:w="2966" w:type="dxa"/>
            <w:tcBorders>
              <w:top w:val="nil"/>
              <w:left w:val="nil"/>
              <w:bottom w:val="nil"/>
              <w:right w:val="nil"/>
            </w:tcBorders>
            <w:vAlign w:val="center"/>
          </w:tcPr>
          <w:p w14:paraId="79707DED"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学时数：4</w:t>
            </w:r>
          </w:p>
        </w:tc>
      </w:tr>
    </w:tbl>
    <w:p w14:paraId="5439BF57"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通过课程学习，熟练掌握</w:t>
      </w:r>
      <w:r>
        <w:rPr>
          <w:rFonts w:asciiTheme="majorEastAsia" w:eastAsiaTheme="majorEastAsia" w:hAnsiTheme="majorEastAsia"/>
          <w:szCs w:val="21"/>
          <w:shd w:val="clear" w:color="auto" w:fill="FFFFFF"/>
        </w:rPr>
        <w:t>砌筑工程</w:t>
      </w:r>
      <w:r>
        <w:rPr>
          <w:rFonts w:asciiTheme="majorEastAsia" w:eastAsiaTheme="majorEastAsia" w:hAnsiTheme="majorEastAsia"/>
        </w:rPr>
        <w:t>工程量计算方法和计价方法。</w:t>
      </w:r>
    </w:p>
    <w:p w14:paraId="466E611E"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rPr>
        <w:t>砖基础和砖墙的工程量计算方法，工程量清单的编制和相应的清单报价。</w:t>
      </w:r>
    </w:p>
    <w:p w14:paraId="1390A70D"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p>
    <w:p w14:paraId="2F654776"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理解：砖基础和砖墙工程的清单分项。</w:t>
      </w:r>
    </w:p>
    <w:p w14:paraId="5B733403" w14:textId="77777777" w:rsidR="00F5289E" w:rsidRDefault="00C91173">
      <w:pPr>
        <w:widowControl/>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rPr>
        <w:t>熟练掌握：</w:t>
      </w:r>
      <w:r>
        <w:rPr>
          <w:rFonts w:asciiTheme="majorEastAsia" w:eastAsiaTheme="majorEastAsia" w:hAnsiTheme="majorEastAsia"/>
          <w:szCs w:val="21"/>
          <w:shd w:val="clear" w:color="auto" w:fill="FFFFFF"/>
        </w:rPr>
        <w:t>砖基础和砖墙</w:t>
      </w:r>
      <w:r>
        <w:rPr>
          <w:rFonts w:asciiTheme="majorEastAsia" w:eastAsiaTheme="majorEastAsia" w:hAnsiTheme="majorEastAsia"/>
        </w:rPr>
        <w:t>工程量计算方法和计价方法。</w:t>
      </w:r>
    </w:p>
    <w:p w14:paraId="6D9F2F21"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szCs w:val="21"/>
          <w:shd w:val="clear" w:color="auto" w:fill="FFFFFF"/>
        </w:rPr>
        <w:t>第一节 砌筑工程清单分项 </w:t>
      </w:r>
    </w:p>
    <w:p w14:paraId="0EDFEF3D"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1砖基础与砖墙（柱）的划分 </w:t>
      </w:r>
    </w:p>
    <w:p w14:paraId="3FE9C084"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2砌体计算厚度的确定 </w:t>
      </w:r>
    </w:p>
    <w:p w14:paraId="058B5B21"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3砌筑工程清单项目 </w:t>
      </w:r>
    </w:p>
    <w:p w14:paraId="4E33A5ED" w14:textId="77777777" w:rsidR="00F5289E" w:rsidRDefault="00C91173">
      <w:pPr>
        <w:widowControl/>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第二节 砌筑工程计量 </w:t>
      </w:r>
    </w:p>
    <w:p w14:paraId="2E7163FE"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1砖基础计量 </w:t>
      </w:r>
    </w:p>
    <w:p w14:paraId="4F15DA85"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2砖墙计量 </w:t>
      </w:r>
    </w:p>
    <w:p w14:paraId="146CF297" w14:textId="77777777" w:rsidR="00F5289E" w:rsidRDefault="00C91173">
      <w:pPr>
        <w:widowControl/>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第三节 砌筑工程计价 </w:t>
      </w:r>
    </w:p>
    <w:p w14:paraId="32A34F44"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1砖基础工程计价 </w:t>
      </w:r>
    </w:p>
    <w:p w14:paraId="3E24B753"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2砖墙工程计价</w:t>
      </w:r>
    </w:p>
    <w:p w14:paraId="2199B9E7" w14:textId="77777777" w:rsidR="00F5289E" w:rsidRDefault="00C91173">
      <w:pPr>
        <w:widowControl/>
        <w:snapToGrid w:val="0"/>
        <w:spacing w:line="360" w:lineRule="auto"/>
        <w:jc w:val="left"/>
        <w:rPr>
          <w:rFonts w:asciiTheme="majorEastAsia" w:eastAsiaTheme="majorEastAsia" w:hAnsiTheme="majorEastAsia"/>
        </w:rPr>
      </w:pPr>
      <w:r>
        <w:rPr>
          <w:rFonts w:asciiTheme="majorEastAsia" w:eastAsiaTheme="majorEastAsia" w:hAnsiTheme="majorEastAsia"/>
        </w:rPr>
        <w:t>第四节 园艺设施工程砌筑工程的计量与计价示例</w:t>
      </w:r>
    </w:p>
    <w:p w14:paraId="217DA916" w14:textId="77777777" w:rsidR="00F5289E" w:rsidRDefault="00C91173">
      <w:pPr>
        <w:pStyle w:val="a7"/>
        <w:snapToGrid w:val="0"/>
        <w:spacing w:line="360" w:lineRule="auto"/>
        <w:ind w:firstLineChars="0" w:firstLine="0"/>
        <w:jc w:val="left"/>
        <w:rPr>
          <w:rFonts w:asciiTheme="majorEastAsia" w:eastAsiaTheme="majorEastAsia" w:hAnsiTheme="majorEastAsia"/>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教师首先向学生展示一个日光温室的砌筑工程，组织学生展开讨论，以学生视角分析计算该砌筑工程工程量所需的参量，引发学生兴趣，然后教师讲授相关规则和方法，让学</w:t>
      </w:r>
      <w:r>
        <w:rPr>
          <w:rFonts w:asciiTheme="majorEastAsia" w:eastAsiaTheme="majorEastAsia" w:hAnsiTheme="majorEastAsia"/>
          <w:bCs/>
        </w:rPr>
        <w:lastRenderedPageBreak/>
        <w:t>生明白整个计量步骤和原理，然后最后演示课前案例的计算过程。之后提出应如何对该砌筑工程报价呢？该砌筑工程报价应包括哪些定额呢？组织学生展开讨论，教师进行总结并结合相应案例，对其进行报价。课后，学生进行相关内容的练习，并总结工程量计算和报价方法，巩固所学知识。</w:t>
      </w:r>
    </w:p>
    <w:tbl>
      <w:tblPr>
        <w:tblStyle w:val="af6"/>
        <w:tblW w:w="0" w:type="auto"/>
        <w:tblInd w:w="4" w:type="dxa"/>
        <w:tblCellMar>
          <w:left w:w="0" w:type="dxa"/>
          <w:right w:w="0" w:type="dxa"/>
        </w:tblCellMar>
        <w:tblLook w:val="04A0" w:firstRow="1" w:lastRow="0" w:firstColumn="1" w:lastColumn="0" w:noHBand="0" w:noVBand="1"/>
      </w:tblPr>
      <w:tblGrid>
        <w:gridCol w:w="2965"/>
        <w:gridCol w:w="3566"/>
        <w:gridCol w:w="2365"/>
      </w:tblGrid>
      <w:tr w:rsidR="00F5289E" w14:paraId="6CE72E13" w14:textId="77777777">
        <w:trPr>
          <w:trHeight w:val="270"/>
        </w:trPr>
        <w:tc>
          <w:tcPr>
            <w:tcW w:w="2965" w:type="dxa"/>
            <w:tcBorders>
              <w:top w:val="nil"/>
              <w:left w:val="nil"/>
              <w:bottom w:val="nil"/>
              <w:right w:val="nil"/>
            </w:tcBorders>
            <w:vAlign w:val="center"/>
          </w:tcPr>
          <w:p w14:paraId="6CCC867C"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3566" w:type="dxa"/>
            <w:tcBorders>
              <w:top w:val="nil"/>
              <w:left w:val="nil"/>
              <w:bottom w:val="nil"/>
              <w:right w:val="nil"/>
            </w:tcBorders>
            <w:vAlign w:val="center"/>
          </w:tcPr>
          <w:p w14:paraId="7D50268C" w14:textId="77777777"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第七章  混凝土工程计量与计价 </w:t>
            </w:r>
          </w:p>
        </w:tc>
        <w:tc>
          <w:tcPr>
            <w:tcW w:w="2365" w:type="dxa"/>
            <w:tcBorders>
              <w:top w:val="nil"/>
              <w:left w:val="nil"/>
              <w:bottom w:val="nil"/>
              <w:right w:val="nil"/>
            </w:tcBorders>
            <w:vAlign w:val="center"/>
          </w:tcPr>
          <w:p w14:paraId="06E3D175"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学时数：3</w:t>
            </w:r>
          </w:p>
        </w:tc>
      </w:tr>
    </w:tbl>
    <w:p w14:paraId="7BDF6E0F"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通过课程学习，熟练掌握现浇</w:t>
      </w:r>
      <w:r>
        <w:rPr>
          <w:rFonts w:asciiTheme="majorEastAsia" w:eastAsiaTheme="majorEastAsia" w:hAnsiTheme="majorEastAsia"/>
          <w:szCs w:val="21"/>
          <w:shd w:val="clear" w:color="auto" w:fill="FFFFFF"/>
        </w:rPr>
        <w:t>混凝土工程垫层、基础、构造柱、圈梁</w:t>
      </w:r>
      <w:r>
        <w:rPr>
          <w:rFonts w:asciiTheme="majorEastAsia" w:eastAsiaTheme="majorEastAsia" w:hAnsiTheme="majorEastAsia"/>
        </w:rPr>
        <w:t>工程量计算方法和计价方法，了解预制混凝土工程的清单分项和计价方法。</w:t>
      </w:r>
    </w:p>
    <w:p w14:paraId="458E29AA"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szCs w:val="21"/>
          <w:shd w:val="clear" w:color="auto" w:fill="FFFFFF"/>
        </w:rPr>
        <w:t>垫层、基础和圈梁</w:t>
      </w:r>
      <w:r>
        <w:rPr>
          <w:rFonts w:asciiTheme="majorEastAsia" w:eastAsiaTheme="majorEastAsia" w:hAnsiTheme="majorEastAsia"/>
        </w:rPr>
        <w:t>的工程量计算方法，工程量清单的编制和相应的清单报价。</w:t>
      </w:r>
    </w:p>
    <w:p w14:paraId="79E12E1B"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p>
    <w:p w14:paraId="4EB2A95C" w14:textId="77777777" w:rsidR="00F5289E" w:rsidRDefault="00C91173">
      <w:pPr>
        <w:widowControl/>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rPr>
        <w:t>了解：预制混凝土工程的清单分项和计价方法。</w:t>
      </w:r>
    </w:p>
    <w:p w14:paraId="37180976"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熟练掌握：混凝土工程垫层、基础、构造柱、圈梁工程量计算方法和计价方法。</w:t>
      </w:r>
    </w:p>
    <w:p w14:paraId="302FC1F2" w14:textId="77777777" w:rsidR="00F5289E" w:rsidRDefault="00C91173" w:rsidP="00A115EF">
      <w:pPr>
        <w:widowControl/>
        <w:numPr>
          <w:ilvl w:val="0"/>
          <w:numId w:val="36"/>
        </w:numPr>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现浇混凝土工程 </w:t>
      </w:r>
    </w:p>
    <w:p w14:paraId="33301EBB"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1现浇混凝土工程清单分项 </w:t>
      </w:r>
    </w:p>
    <w:p w14:paraId="5817C027"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2现浇混凝土工程计量 </w:t>
      </w:r>
    </w:p>
    <w:p w14:paraId="2233784E"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3现浇混凝土工程计价 </w:t>
      </w:r>
    </w:p>
    <w:p w14:paraId="2B9AFD89" w14:textId="77777777" w:rsidR="00F5289E" w:rsidRDefault="00C91173">
      <w:pPr>
        <w:widowControl/>
        <w:snapToGrid w:val="0"/>
        <w:spacing w:line="360" w:lineRule="auto"/>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第二节 预制混凝土工程 </w:t>
      </w:r>
    </w:p>
    <w:p w14:paraId="73FD4942"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1预制混凝土工程清单分项 </w:t>
      </w:r>
    </w:p>
    <w:p w14:paraId="56F056AC"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2预制混凝土工程计价 </w:t>
      </w:r>
    </w:p>
    <w:p w14:paraId="5D39DB53" w14:textId="77777777" w:rsidR="00F5289E" w:rsidRDefault="00C91173">
      <w:pPr>
        <w:widowControl/>
        <w:snapToGrid w:val="0"/>
        <w:spacing w:line="360" w:lineRule="auto"/>
        <w:jc w:val="left"/>
        <w:rPr>
          <w:rFonts w:asciiTheme="majorEastAsia" w:eastAsiaTheme="majorEastAsia" w:hAnsiTheme="majorEastAsia"/>
        </w:rPr>
      </w:pPr>
      <w:r>
        <w:rPr>
          <w:rFonts w:asciiTheme="majorEastAsia" w:eastAsiaTheme="majorEastAsia" w:hAnsiTheme="majorEastAsia"/>
        </w:rPr>
        <w:t>第三节 园艺设施工程现浇混凝土工程的计量与计价示例</w:t>
      </w:r>
    </w:p>
    <w:p w14:paraId="0F9FED00" w14:textId="77777777" w:rsidR="00F5289E" w:rsidRDefault="00C91173">
      <w:pPr>
        <w:pStyle w:val="a7"/>
        <w:snapToGrid w:val="0"/>
        <w:spacing w:line="360" w:lineRule="auto"/>
        <w:ind w:firstLineChars="0" w:firstLine="0"/>
        <w:jc w:val="left"/>
        <w:rPr>
          <w:rFonts w:asciiTheme="majorEastAsia" w:eastAsiaTheme="majorEastAsia" w:hAnsiTheme="majorEastAsia"/>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的混凝土工程，组织学生展开讨论，以学生视角分析计算该混凝土工程工程量所需的参量，引发学生兴趣，然后教师讲授相关规则和方法，让学生明白整个计量步骤和原理，然后最后演示课前案例的计算过程。之后提出应如何对该混凝土工程报价呢？该混凝土工程报价应包括哪些定额呢？组织学生展开讨论，教师进行总结并结合相应案例，对其进行报价。课后，学生进行相关内容的练习，并总结工程量计算和报价方法，巩固所学知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AA347AA" w14:textId="77777777">
        <w:trPr>
          <w:trHeight w:val="270"/>
        </w:trPr>
        <w:tc>
          <w:tcPr>
            <w:tcW w:w="2965" w:type="dxa"/>
            <w:tcBorders>
              <w:top w:val="nil"/>
              <w:left w:val="nil"/>
              <w:bottom w:val="nil"/>
              <w:right w:val="nil"/>
            </w:tcBorders>
            <w:vAlign w:val="center"/>
          </w:tcPr>
          <w:p w14:paraId="0553D76B" w14:textId="77777777" w:rsidR="00F5289E" w:rsidRDefault="00F5289E">
            <w:pPr>
              <w:widowControl/>
              <w:snapToGrid w:val="0"/>
              <w:spacing w:line="360" w:lineRule="auto"/>
              <w:jc w:val="center"/>
              <w:rPr>
                <w:rFonts w:asciiTheme="majorEastAsia" w:eastAsiaTheme="majorEastAsia" w:hAnsiTheme="majorEastAsia"/>
                <w:b/>
                <w:bCs/>
                <w:kern w:val="0"/>
                <w:szCs w:val="21"/>
              </w:rPr>
            </w:pPr>
          </w:p>
        </w:tc>
        <w:tc>
          <w:tcPr>
            <w:tcW w:w="2965" w:type="dxa"/>
            <w:tcBorders>
              <w:top w:val="nil"/>
              <w:left w:val="nil"/>
              <w:bottom w:val="nil"/>
              <w:right w:val="nil"/>
            </w:tcBorders>
            <w:vAlign w:val="center"/>
          </w:tcPr>
          <w:p w14:paraId="7C7BE31B" w14:textId="391A7DC6" w:rsidR="00F5289E" w:rsidRDefault="00C91173">
            <w:pPr>
              <w:widowControl/>
              <w:snapToGrid w:val="0"/>
              <w:spacing w:line="360" w:lineRule="auto"/>
              <w:jc w:val="center"/>
              <w:rPr>
                <w:rFonts w:asciiTheme="majorEastAsia" w:eastAsiaTheme="majorEastAsia" w:hAnsiTheme="majorEastAsia"/>
                <w:b/>
                <w:bCs/>
                <w:kern w:val="0"/>
                <w:szCs w:val="21"/>
              </w:rPr>
            </w:pPr>
            <w:r>
              <w:rPr>
                <w:rFonts w:asciiTheme="majorEastAsia" w:eastAsiaTheme="majorEastAsia" w:hAnsiTheme="majorEastAsia"/>
                <w:b/>
                <w:bCs/>
                <w:kern w:val="0"/>
                <w:szCs w:val="21"/>
              </w:rPr>
              <w:t>第八章  金属工程计量与计价 </w:t>
            </w:r>
          </w:p>
        </w:tc>
        <w:tc>
          <w:tcPr>
            <w:tcW w:w="2966" w:type="dxa"/>
            <w:tcBorders>
              <w:top w:val="nil"/>
              <w:left w:val="nil"/>
              <w:bottom w:val="nil"/>
              <w:right w:val="nil"/>
            </w:tcBorders>
            <w:vAlign w:val="center"/>
          </w:tcPr>
          <w:p w14:paraId="37C48EB3" w14:textId="77777777" w:rsidR="00F5289E" w:rsidRDefault="00C91173">
            <w:pPr>
              <w:widowControl/>
              <w:snapToGrid w:val="0"/>
              <w:spacing w:line="360" w:lineRule="auto"/>
              <w:jc w:val="right"/>
              <w:rPr>
                <w:rFonts w:asciiTheme="majorEastAsia" w:eastAsiaTheme="majorEastAsia" w:hAnsiTheme="majorEastAsia"/>
                <w:b/>
                <w:bCs/>
                <w:kern w:val="0"/>
                <w:szCs w:val="21"/>
              </w:rPr>
            </w:pPr>
            <w:r>
              <w:rPr>
                <w:rFonts w:asciiTheme="majorEastAsia" w:eastAsiaTheme="majorEastAsia" w:hAnsiTheme="majorEastAsia"/>
                <w:b/>
                <w:bCs/>
                <w:kern w:val="0"/>
                <w:szCs w:val="21"/>
              </w:rPr>
              <w:t>学时数：4</w:t>
            </w:r>
          </w:p>
        </w:tc>
      </w:tr>
    </w:tbl>
    <w:p w14:paraId="3501080B"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b/>
          <w:bCs/>
        </w:rPr>
        <w:t>教学目标：</w:t>
      </w:r>
      <w:r>
        <w:rPr>
          <w:rFonts w:asciiTheme="majorEastAsia" w:eastAsiaTheme="majorEastAsia" w:hAnsiTheme="majorEastAsia"/>
        </w:rPr>
        <w:t>通过课程学习，熟练掌握</w:t>
      </w:r>
      <w:r>
        <w:rPr>
          <w:rFonts w:asciiTheme="majorEastAsia" w:eastAsiaTheme="majorEastAsia" w:hAnsiTheme="majorEastAsia"/>
          <w:szCs w:val="21"/>
          <w:shd w:val="clear" w:color="auto" w:fill="FFFFFF"/>
        </w:rPr>
        <w:t>农业设施钢骨架</w:t>
      </w:r>
      <w:r>
        <w:rPr>
          <w:rFonts w:asciiTheme="majorEastAsia" w:eastAsiaTheme="majorEastAsia" w:hAnsiTheme="majorEastAsia"/>
        </w:rPr>
        <w:t>计量和计价方法。</w:t>
      </w:r>
    </w:p>
    <w:p w14:paraId="039E6C2F" w14:textId="77777777" w:rsidR="00F5289E" w:rsidRDefault="00C91173">
      <w:pPr>
        <w:widowControl/>
        <w:snapToGrid w:val="0"/>
        <w:spacing w:line="360" w:lineRule="auto"/>
        <w:rPr>
          <w:rFonts w:asciiTheme="majorEastAsia" w:eastAsiaTheme="majorEastAsia" w:hAnsiTheme="majorEastAsia"/>
          <w:kern w:val="0"/>
          <w:szCs w:val="21"/>
        </w:rPr>
      </w:pPr>
      <w:r>
        <w:rPr>
          <w:rFonts w:asciiTheme="majorEastAsia" w:eastAsiaTheme="majorEastAsia" w:hAnsiTheme="majorEastAsia"/>
          <w:b/>
          <w:bCs/>
        </w:rPr>
        <w:t>教学重点和难点：</w:t>
      </w:r>
      <w:r>
        <w:rPr>
          <w:rFonts w:asciiTheme="majorEastAsia" w:eastAsiaTheme="majorEastAsia" w:hAnsiTheme="majorEastAsia"/>
          <w:szCs w:val="21"/>
          <w:shd w:val="clear" w:color="auto" w:fill="FFFFFF"/>
        </w:rPr>
        <w:t>钢骨架</w:t>
      </w:r>
      <w:r>
        <w:rPr>
          <w:rFonts w:asciiTheme="majorEastAsia" w:eastAsiaTheme="majorEastAsia" w:hAnsiTheme="majorEastAsia"/>
        </w:rPr>
        <w:t>工程量的计算规则，工程量清单的编制和相应的清单报价。</w:t>
      </w:r>
    </w:p>
    <w:p w14:paraId="6FA906E9" w14:textId="77777777" w:rsidR="00F5289E" w:rsidRDefault="00C91173">
      <w:pPr>
        <w:widowControl/>
        <w:snapToGrid w:val="0"/>
        <w:spacing w:line="360" w:lineRule="auto"/>
        <w:rPr>
          <w:rFonts w:asciiTheme="majorEastAsia" w:eastAsiaTheme="majorEastAsia" w:hAnsiTheme="majorEastAsia"/>
          <w:b/>
          <w:bCs/>
          <w:kern w:val="0"/>
          <w:szCs w:val="21"/>
        </w:rPr>
      </w:pPr>
      <w:r>
        <w:rPr>
          <w:rFonts w:asciiTheme="majorEastAsia" w:eastAsiaTheme="majorEastAsia" w:hAnsiTheme="majorEastAsia"/>
          <w:b/>
          <w:bCs/>
        </w:rPr>
        <w:t>主要教学内容和要求：</w:t>
      </w:r>
      <w:r>
        <w:rPr>
          <w:rFonts w:asciiTheme="majorEastAsia" w:eastAsiaTheme="majorEastAsia" w:hAnsiTheme="majorEastAsia"/>
          <w:b/>
          <w:bCs/>
          <w:kern w:val="0"/>
          <w:szCs w:val="21"/>
        </w:rPr>
        <w:t xml:space="preserve"> </w:t>
      </w:r>
    </w:p>
    <w:p w14:paraId="427B0F8E"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理解：</w:t>
      </w:r>
      <w:r>
        <w:rPr>
          <w:rFonts w:asciiTheme="majorEastAsia" w:eastAsiaTheme="majorEastAsia" w:hAnsiTheme="majorEastAsia"/>
          <w:szCs w:val="21"/>
          <w:shd w:val="clear" w:color="auto" w:fill="FFFFFF"/>
        </w:rPr>
        <w:t>钢骨架</w:t>
      </w:r>
      <w:r>
        <w:rPr>
          <w:rFonts w:asciiTheme="majorEastAsia" w:eastAsiaTheme="majorEastAsia" w:hAnsiTheme="majorEastAsia"/>
        </w:rPr>
        <w:t>的清单分项、</w:t>
      </w:r>
      <w:r>
        <w:rPr>
          <w:rFonts w:asciiTheme="majorEastAsia" w:eastAsiaTheme="majorEastAsia" w:hAnsiTheme="majorEastAsia"/>
          <w:szCs w:val="21"/>
          <w:shd w:val="clear" w:color="auto" w:fill="FFFFFF"/>
        </w:rPr>
        <w:t>钢骨架</w:t>
      </w:r>
      <w:r>
        <w:rPr>
          <w:rFonts w:asciiTheme="majorEastAsia" w:eastAsiaTheme="majorEastAsia" w:hAnsiTheme="majorEastAsia"/>
        </w:rPr>
        <w:t>计价规则。</w:t>
      </w:r>
    </w:p>
    <w:p w14:paraId="06109E9E" w14:textId="77777777" w:rsidR="00F5289E" w:rsidRDefault="00C91173">
      <w:pPr>
        <w:widowControl/>
        <w:snapToGrid w:val="0"/>
        <w:spacing w:line="360" w:lineRule="auto"/>
        <w:rPr>
          <w:rFonts w:asciiTheme="majorEastAsia" w:eastAsiaTheme="majorEastAsia" w:hAnsiTheme="majorEastAsia"/>
        </w:rPr>
      </w:pPr>
      <w:r>
        <w:rPr>
          <w:rFonts w:asciiTheme="majorEastAsia" w:eastAsiaTheme="majorEastAsia" w:hAnsiTheme="majorEastAsia"/>
        </w:rPr>
        <w:t>熟练掌握：</w:t>
      </w:r>
      <w:r>
        <w:rPr>
          <w:rFonts w:asciiTheme="majorEastAsia" w:eastAsiaTheme="majorEastAsia" w:hAnsiTheme="majorEastAsia"/>
          <w:szCs w:val="21"/>
          <w:shd w:val="clear" w:color="auto" w:fill="FFFFFF"/>
        </w:rPr>
        <w:t>钢骨架</w:t>
      </w:r>
      <w:r>
        <w:rPr>
          <w:rFonts w:asciiTheme="majorEastAsia" w:eastAsiaTheme="majorEastAsia" w:hAnsiTheme="majorEastAsia"/>
        </w:rPr>
        <w:t>工程量计算规则和方法。</w:t>
      </w:r>
    </w:p>
    <w:p w14:paraId="46A1D9AE" w14:textId="77777777" w:rsidR="00F5289E" w:rsidRDefault="00C91173" w:rsidP="00A115EF">
      <w:pPr>
        <w:pStyle w:val="afd"/>
        <w:widowControl/>
        <w:numPr>
          <w:ilvl w:val="0"/>
          <w:numId w:val="37"/>
        </w:numPr>
        <w:snapToGrid w:val="0"/>
        <w:spacing w:line="360" w:lineRule="auto"/>
        <w:ind w:firstLineChars="0"/>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轻钢结构计量与计价</w:t>
      </w:r>
    </w:p>
    <w:p w14:paraId="4A28D096" w14:textId="77777777" w:rsidR="00F5289E" w:rsidRDefault="00C91173">
      <w:pPr>
        <w:widowControl/>
        <w:snapToGrid w:val="0"/>
        <w:spacing w:line="360" w:lineRule="auto"/>
        <w:ind w:firstLineChars="350" w:firstLine="735"/>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1金属工程清单分项</w:t>
      </w:r>
    </w:p>
    <w:p w14:paraId="1AD6E54F" w14:textId="77777777" w:rsidR="00F5289E" w:rsidRDefault="00C91173">
      <w:pPr>
        <w:widowControl/>
        <w:snapToGrid w:val="0"/>
        <w:spacing w:line="360" w:lineRule="auto"/>
        <w:ind w:firstLineChars="350" w:firstLine="735"/>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2钢材的规格和表示方法</w:t>
      </w:r>
    </w:p>
    <w:p w14:paraId="4127C0DF"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lastRenderedPageBreak/>
        <w:t>3金属工程计量</w:t>
      </w:r>
    </w:p>
    <w:p w14:paraId="2D1EF531" w14:textId="77777777" w:rsidR="00F5289E" w:rsidRDefault="00C91173">
      <w:pPr>
        <w:pStyle w:val="a7"/>
        <w:snapToGrid w:val="0"/>
        <w:spacing w:line="360" w:lineRule="auto"/>
        <w:ind w:rightChars="1382" w:right="2902" w:firstLineChars="350" w:firstLine="735"/>
        <w:jc w:val="left"/>
        <w:rPr>
          <w:rFonts w:asciiTheme="majorEastAsia" w:eastAsiaTheme="majorEastAsia" w:hAnsiTheme="majorEastAsia"/>
          <w:szCs w:val="21"/>
          <w:shd w:val="clear" w:color="auto" w:fill="FFFFFF"/>
        </w:rPr>
      </w:pPr>
      <w:r>
        <w:rPr>
          <w:rFonts w:asciiTheme="majorEastAsia" w:eastAsiaTheme="majorEastAsia" w:hAnsiTheme="majorEastAsia"/>
          <w:szCs w:val="21"/>
          <w:shd w:val="clear" w:color="auto" w:fill="FFFFFF"/>
        </w:rPr>
        <w:t>4金属工程计价</w:t>
      </w:r>
    </w:p>
    <w:p w14:paraId="17B12BE6" w14:textId="77777777" w:rsidR="00F5289E" w:rsidRDefault="00C91173">
      <w:pPr>
        <w:widowControl/>
        <w:snapToGrid w:val="0"/>
        <w:spacing w:line="360" w:lineRule="auto"/>
        <w:jc w:val="left"/>
        <w:rPr>
          <w:rFonts w:asciiTheme="majorEastAsia" w:eastAsiaTheme="majorEastAsia" w:hAnsiTheme="majorEastAsia"/>
        </w:rPr>
      </w:pPr>
      <w:r>
        <w:rPr>
          <w:rFonts w:asciiTheme="majorEastAsia" w:eastAsiaTheme="majorEastAsia" w:hAnsiTheme="majorEastAsia"/>
        </w:rPr>
        <w:t>第二节 金属工程的计量与计价示例</w:t>
      </w:r>
    </w:p>
    <w:p w14:paraId="02EDDAE5" w14:textId="77777777" w:rsidR="00F5289E" w:rsidRDefault="00C91173">
      <w:pPr>
        <w:pStyle w:val="a7"/>
        <w:snapToGrid w:val="0"/>
        <w:spacing w:line="360" w:lineRule="auto"/>
        <w:ind w:firstLineChars="0" w:firstLine="0"/>
        <w:jc w:val="left"/>
        <w:rPr>
          <w:rFonts w:ascii="Times New Roman"/>
        </w:rPr>
      </w:pPr>
      <w:r>
        <w:rPr>
          <w:rFonts w:asciiTheme="majorEastAsia" w:eastAsiaTheme="majorEastAsia" w:hAnsiTheme="majorEastAsia"/>
          <w:b/>
          <w:bCs/>
        </w:rPr>
        <w:t>教学组织与实施：</w:t>
      </w:r>
      <w:r>
        <w:rPr>
          <w:rFonts w:asciiTheme="majorEastAsia" w:eastAsiaTheme="majorEastAsia" w:hAnsiTheme="majorEastAsia"/>
          <w:bCs/>
        </w:rPr>
        <w:t>教师首先向学生展示一个日光温室的金属工程，组织学生展开讨论，以学生视角分析计算该金属工程工程量所需的参量，引发学生兴趣，然后教师讲授相关规则和方法，让学生明白整个计量步骤和原理，然后最后演示课前案例的计算过程。之后提出应如何对该金属工程报价呢？该金属工程报价应包括哪些定额呢？组织学生展开讨论，教师总结并结合相应案例，对</w:t>
      </w:r>
      <w:r>
        <w:rPr>
          <w:rFonts w:ascii="Times New Roman"/>
          <w:bCs/>
        </w:rPr>
        <w:t>其进行报价。课后，学生进行相关内容的练习，并总结工程量计算和报价方法，巩固所学知识。</w:t>
      </w:r>
    </w:p>
    <w:p w14:paraId="79F3297A" w14:textId="77777777" w:rsidR="00F5289E" w:rsidRDefault="00C91173">
      <w:pPr>
        <w:snapToGrid w:val="0"/>
        <w:spacing w:line="360" w:lineRule="auto"/>
        <w:rPr>
          <w:b/>
          <w:szCs w:val="21"/>
        </w:rPr>
      </w:pPr>
      <w:r>
        <w:rPr>
          <w:b/>
          <w:szCs w:val="21"/>
        </w:rPr>
        <w:t>五、课程思政</w:t>
      </w:r>
    </w:p>
    <w:p w14:paraId="008B2690" w14:textId="77777777" w:rsidR="00F5289E" w:rsidRDefault="00C91173">
      <w:pPr>
        <w:snapToGrid w:val="0"/>
        <w:spacing w:line="360" w:lineRule="auto"/>
        <w:ind w:firstLineChars="200" w:firstLine="420"/>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本课程</w:t>
      </w:r>
      <w:r>
        <w:rPr>
          <w:rFonts w:asciiTheme="minorEastAsia" w:eastAsiaTheme="minorEastAsia" w:hAnsiTheme="minorEastAsia" w:cs="宋体"/>
          <w:bCs/>
          <w:kern w:val="0"/>
          <w:szCs w:val="21"/>
        </w:rPr>
        <w:t>从</w:t>
      </w:r>
      <w:r>
        <w:rPr>
          <w:rFonts w:asciiTheme="minorEastAsia" w:eastAsiaTheme="minorEastAsia" w:hAnsiTheme="minorEastAsia" w:cs="宋体" w:hint="eastAsia"/>
          <w:bCs/>
          <w:kern w:val="0"/>
          <w:szCs w:val="21"/>
        </w:rPr>
        <w:t>我国对设施农业工程的支持和投资</w:t>
      </w:r>
      <w:r>
        <w:rPr>
          <w:rFonts w:asciiTheme="minorEastAsia" w:eastAsiaTheme="minorEastAsia" w:hAnsiTheme="minorEastAsia" w:cs="宋体"/>
          <w:bCs/>
          <w:kern w:val="0"/>
          <w:szCs w:val="21"/>
        </w:rPr>
        <w:t>出发，</w:t>
      </w:r>
      <w:r>
        <w:rPr>
          <w:rFonts w:asciiTheme="minorEastAsia" w:eastAsiaTheme="minorEastAsia" w:hAnsiTheme="minorEastAsia" w:cs="宋体" w:hint="eastAsia"/>
          <w:bCs/>
          <w:kern w:val="0"/>
          <w:szCs w:val="21"/>
        </w:rPr>
        <w:t>使学生认识到设施</w:t>
      </w:r>
      <w:r>
        <w:rPr>
          <w:rFonts w:asciiTheme="minorEastAsia" w:eastAsiaTheme="minorEastAsia" w:hAnsiTheme="minorEastAsia" w:cs="宋体"/>
          <w:bCs/>
          <w:kern w:val="0"/>
          <w:szCs w:val="21"/>
        </w:rPr>
        <w:t>农业的重要性，</w:t>
      </w:r>
      <w:r>
        <w:rPr>
          <w:rFonts w:asciiTheme="minorEastAsia" w:eastAsiaTheme="minorEastAsia" w:hAnsiTheme="minorEastAsia" w:cs="宋体" w:hint="eastAsia"/>
          <w:bCs/>
          <w:kern w:val="0"/>
          <w:szCs w:val="21"/>
        </w:rPr>
        <w:t>感受到我国对于农业农村建设的支持</w:t>
      </w:r>
      <w:r>
        <w:rPr>
          <w:rFonts w:asciiTheme="minorEastAsia" w:eastAsiaTheme="minorEastAsia" w:hAnsiTheme="minorEastAsia" w:cs="宋体"/>
          <w:bCs/>
          <w:kern w:val="0"/>
          <w:szCs w:val="21"/>
        </w:rPr>
        <w:t>，</w:t>
      </w:r>
      <w:r>
        <w:rPr>
          <w:rFonts w:asciiTheme="minorEastAsia" w:eastAsiaTheme="minorEastAsia" w:hAnsiTheme="minorEastAsia" w:cs="宋体" w:hint="eastAsia"/>
          <w:bCs/>
          <w:kern w:val="0"/>
          <w:szCs w:val="21"/>
        </w:rPr>
        <w:t>激发</w:t>
      </w:r>
      <w:r>
        <w:rPr>
          <w:rFonts w:asciiTheme="minorEastAsia" w:eastAsiaTheme="minorEastAsia" w:hAnsiTheme="minorEastAsia" w:cs="宋体"/>
          <w:bCs/>
          <w:kern w:val="0"/>
          <w:szCs w:val="21"/>
        </w:rPr>
        <w:t>学生将自己培养</w:t>
      </w:r>
      <w:r>
        <w:rPr>
          <w:rFonts w:asciiTheme="minorEastAsia" w:eastAsiaTheme="minorEastAsia" w:hAnsiTheme="minorEastAsia" w:cs="宋体" w:hint="eastAsia"/>
          <w:bCs/>
          <w:kern w:val="0"/>
          <w:szCs w:val="21"/>
        </w:rPr>
        <w:t>成为“懂农业、爱农村、爱农民”专业人才的</w:t>
      </w:r>
      <w:r>
        <w:rPr>
          <w:rFonts w:asciiTheme="minorEastAsia" w:eastAsiaTheme="minorEastAsia" w:hAnsiTheme="minorEastAsia" w:cs="宋体"/>
          <w:bCs/>
          <w:kern w:val="0"/>
          <w:szCs w:val="21"/>
        </w:rPr>
        <w:t>内在动力</w:t>
      </w:r>
      <w:r>
        <w:rPr>
          <w:rFonts w:asciiTheme="minorEastAsia" w:eastAsiaTheme="minorEastAsia" w:hAnsiTheme="minorEastAsia" w:cs="宋体" w:hint="eastAsia"/>
          <w:bCs/>
          <w:kern w:val="0"/>
          <w:szCs w:val="21"/>
        </w:rPr>
        <w:t>。从以下几方面进行了课程思政元素的挖掘，开展课程思政。</w:t>
      </w:r>
    </w:p>
    <w:p w14:paraId="75530274" w14:textId="77777777" w:rsidR="00F5289E" w:rsidRDefault="00C91173">
      <w:pPr>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了解专业，激发情感。通过专业情况介绍，学习工程造价在建筑行业、领域的发展、应用及其创造的经济效益，如</w:t>
      </w:r>
      <w:r>
        <w:rPr>
          <w:rFonts w:asciiTheme="minorEastAsia" w:eastAsiaTheme="minorEastAsia" w:hAnsiTheme="minorEastAsia" w:hint="eastAsia"/>
          <w:szCs w:val="21"/>
        </w:rPr>
        <w:t>大型的设施农业工程、新农村建设投资</w:t>
      </w:r>
      <w:r>
        <w:rPr>
          <w:rFonts w:asciiTheme="minorEastAsia" w:eastAsiaTheme="minorEastAsia" w:hAnsiTheme="minorEastAsia"/>
          <w:szCs w:val="21"/>
        </w:rPr>
        <w:t>这些工程案例，可以增加学生对专业的认知了解及认可度，激发学习情趣，爱国情怀，树立为祖国的建设发展添加砖瓦的豪情壮志。</w:t>
      </w:r>
    </w:p>
    <w:p w14:paraId="0C92196D" w14:textId="77777777" w:rsidR="00F5289E" w:rsidRDefault="00C91173">
      <w:pPr>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专业知识，严谨求实。通过学习概预算在不同阶段的应用，加深对概预算的理解、认识以及应用。学习清单、定额的计量计价规则，对比两者的区别和联系，加深对建筑工程计量计价规则的理解，同时培养学生严谨求实、细心细致、认真负责的工作态度。通过对工程造价案例的分析，展示成本管理的意义以及所能创造的经济效益，培养学生的成本管理意识、专业自豪感、追求卓越的工匠精神。</w:t>
      </w:r>
    </w:p>
    <w:p w14:paraId="5BE61E39" w14:textId="77777777" w:rsidR="00F5289E" w:rsidRDefault="00C91173">
      <w:pPr>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职业责任，敬业奉献。通过学习注册造价工程师的权利义务与责任，树立职业道德操守，借助实际工程案例，从正反两面教育，让学生深知职业道德的重要性，爱岗敬业的意义，提高职业道德素质。</w:t>
      </w:r>
    </w:p>
    <w:p w14:paraId="26225051" w14:textId="77777777" w:rsidR="00F5289E" w:rsidRDefault="00C91173">
      <w:pPr>
        <w:widowControl/>
        <w:snapToGrid w:val="0"/>
        <w:spacing w:line="360" w:lineRule="auto"/>
        <w:jc w:val="left"/>
        <w:rPr>
          <w:kern w:val="0"/>
          <w:szCs w:val="21"/>
        </w:rPr>
      </w:pPr>
      <w:r>
        <w:rPr>
          <w:b/>
          <w:bCs/>
          <w:kern w:val="0"/>
          <w:szCs w:val="21"/>
        </w:rPr>
        <w:t>六、教材及教学参考书</w:t>
      </w:r>
    </w:p>
    <w:p w14:paraId="0D700494" w14:textId="77777777" w:rsidR="00F5289E" w:rsidRDefault="00C91173">
      <w:pPr>
        <w:widowControl/>
        <w:snapToGrid w:val="0"/>
        <w:spacing w:line="360" w:lineRule="auto"/>
        <w:ind w:firstLineChars="200" w:firstLine="422"/>
        <w:jc w:val="left"/>
        <w:rPr>
          <w:rFonts w:eastAsiaTheme="minorEastAsia"/>
          <w:b/>
          <w:bCs/>
          <w:kern w:val="0"/>
          <w:szCs w:val="21"/>
        </w:rPr>
      </w:pPr>
      <w:r>
        <w:rPr>
          <w:rFonts w:eastAsiaTheme="minorEastAsia"/>
          <w:b/>
          <w:bCs/>
          <w:kern w:val="0"/>
          <w:szCs w:val="21"/>
        </w:rPr>
        <w:t>1.</w:t>
      </w:r>
      <w:r>
        <w:rPr>
          <w:rFonts w:eastAsiaTheme="minorEastAsia"/>
          <w:b/>
          <w:bCs/>
          <w:kern w:val="0"/>
          <w:szCs w:val="21"/>
        </w:rPr>
        <w:t>选用教材：</w:t>
      </w:r>
    </w:p>
    <w:p w14:paraId="1D6C4A61"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bCs/>
          <w:kern w:val="0"/>
          <w:szCs w:val="21"/>
        </w:rPr>
        <w:t>理论课教材：建筑工程概预算（第</w:t>
      </w:r>
      <w:r>
        <w:rPr>
          <w:rFonts w:eastAsiaTheme="minorEastAsia"/>
          <w:bCs/>
          <w:kern w:val="0"/>
          <w:szCs w:val="21"/>
        </w:rPr>
        <w:t>3</w:t>
      </w:r>
      <w:r>
        <w:rPr>
          <w:rFonts w:eastAsiaTheme="minorEastAsia"/>
          <w:bCs/>
          <w:kern w:val="0"/>
          <w:szCs w:val="21"/>
        </w:rPr>
        <w:t>版），刘富勤</w:t>
      </w:r>
      <w:r>
        <w:rPr>
          <w:rFonts w:eastAsiaTheme="minorEastAsia"/>
          <w:bCs/>
          <w:kern w:val="0"/>
          <w:szCs w:val="21"/>
        </w:rPr>
        <w:t xml:space="preserve"> </w:t>
      </w:r>
      <w:r>
        <w:rPr>
          <w:rFonts w:eastAsiaTheme="minorEastAsia"/>
          <w:bCs/>
          <w:kern w:val="0"/>
          <w:szCs w:val="21"/>
        </w:rPr>
        <w:t>程瑶编著，武汉理工大学出版社，</w:t>
      </w:r>
      <w:r>
        <w:rPr>
          <w:rFonts w:eastAsiaTheme="minorEastAsia"/>
          <w:bCs/>
          <w:kern w:val="0"/>
          <w:szCs w:val="21"/>
        </w:rPr>
        <w:t>2014</w:t>
      </w:r>
      <w:r>
        <w:rPr>
          <w:rFonts w:eastAsiaTheme="minorEastAsia"/>
          <w:bCs/>
          <w:kern w:val="0"/>
          <w:szCs w:val="21"/>
        </w:rPr>
        <w:t>年</w:t>
      </w:r>
    </w:p>
    <w:p w14:paraId="5E6E2FF2" w14:textId="77777777" w:rsidR="00F5289E" w:rsidRDefault="00C91173">
      <w:pPr>
        <w:widowControl/>
        <w:snapToGrid w:val="0"/>
        <w:spacing w:line="360" w:lineRule="auto"/>
        <w:ind w:firstLineChars="200" w:firstLine="422"/>
        <w:jc w:val="left"/>
        <w:rPr>
          <w:rFonts w:eastAsiaTheme="minorEastAsia"/>
          <w:kern w:val="0"/>
          <w:szCs w:val="21"/>
        </w:rPr>
      </w:pPr>
      <w:r>
        <w:rPr>
          <w:rFonts w:eastAsiaTheme="minorEastAsia"/>
          <w:b/>
          <w:bCs/>
          <w:kern w:val="0"/>
          <w:szCs w:val="21"/>
        </w:rPr>
        <w:t>2</w:t>
      </w:r>
      <w:r>
        <w:rPr>
          <w:rFonts w:eastAsiaTheme="minorEastAsia"/>
          <w:b/>
          <w:bCs/>
          <w:kern w:val="0"/>
          <w:szCs w:val="21"/>
        </w:rPr>
        <w:t>、参考书：</w:t>
      </w:r>
    </w:p>
    <w:p w14:paraId="44324668" w14:textId="77777777" w:rsidR="00F5289E" w:rsidRDefault="00C91173">
      <w:pPr>
        <w:snapToGrid w:val="0"/>
        <w:spacing w:line="360" w:lineRule="auto"/>
        <w:ind w:firstLineChars="200" w:firstLine="420"/>
        <w:rPr>
          <w:rFonts w:eastAsiaTheme="minorEastAsia"/>
          <w:bCs/>
          <w:kern w:val="0"/>
          <w:szCs w:val="21"/>
        </w:rPr>
      </w:pPr>
      <w:r>
        <w:rPr>
          <w:rFonts w:eastAsiaTheme="minorEastAsia"/>
          <w:bCs/>
          <w:kern w:val="0"/>
          <w:szCs w:val="21"/>
        </w:rPr>
        <w:t>（</w:t>
      </w:r>
      <w:r>
        <w:rPr>
          <w:rFonts w:eastAsiaTheme="minorEastAsia"/>
          <w:bCs/>
          <w:kern w:val="0"/>
          <w:szCs w:val="21"/>
        </w:rPr>
        <w:t>1</w:t>
      </w:r>
      <w:r>
        <w:rPr>
          <w:rFonts w:eastAsiaTheme="minorEastAsia"/>
          <w:bCs/>
          <w:kern w:val="0"/>
          <w:szCs w:val="21"/>
        </w:rPr>
        <w:t>）建筑工程概预算与工程量清单计价，杨静、王炳霞</w:t>
      </w:r>
      <w:r>
        <w:rPr>
          <w:rFonts w:eastAsiaTheme="minorEastAsia"/>
        </w:rPr>
        <w:t>编著，中国建筑工业出版社，</w:t>
      </w:r>
      <w:r>
        <w:rPr>
          <w:rFonts w:eastAsiaTheme="minorEastAsia"/>
          <w:bCs/>
          <w:kern w:val="0"/>
          <w:szCs w:val="21"/>
        </w:rPr>
        <w:t>2014</w:t>
      </w:r>
      <w:r>
        <w:rPr>
          <w:rFonts w:eastAsiaTheme="minorEastAsia"/>
          <w:bCs/>
          <w:kern w:val="0"/>
          <w:szCs w:val="21"/>
        </w:rPr>
        <w:t>年</w:t>
      </w:r>
    </w:p>
    <w:p w14:paraId="57C3E869" w14:textId="77777777" w:rsidR="00F5289E" w:rsidRDefault="00C91173">
      <w:pPr>
        <w:snapToGrid w:val="0"/>
        <w:spacing w:line="360" w:lineRule="auto"/>
        <w:ind w:firstLineChars="200" w:firstLine="420"/>
        <w:rPr>
          <w:rFonts w:eastAsiaTheme="minorEastAsia"/>
          <w:bCs/>
          <w:kern w:val="0"/>
          <w:szCs w:val="21"/>
        </w:rPr>
      </w:pPr>
      <w:r>
        <w:rPr>
          <w:rFonts w:eastAsiaTheme="minorEastAsia"/>
          <w:bCs/>
          <w:kern w:val="0"/>
          <w:szCs w:val="21"/>
        </w:rPr>
        <w:t>（</w:t>
      </w:r>
      <w:r>
        <w:rPr>
          <w:rFonts w:eastAsiaTheme="minorEastAsia"/>
          <w:bCs/>
          <w:kern w:val="0"/>
          <w:szCs w:val="21"/>
        </w:rPr>
        <w:t>2</w:t>
      </w:r>
      <w:r>
        <w:rPr>
          <w:rFonts w:eastAsiaTheme="minorEastAsia"/>
          <w:bCs/>
          <w:kern w:val="0"/>
          <w:szCs w:val="21"/>
        </w:rPr>
        <w:t>）建筑工程概预算入门，褚振文、赵颜强、张威编著，机械工业出版社，</w:t>
      </w:r>
      <w:r>
        <w:rPr>
          <w:rFonts w:eastAsiaTheme="minorEastAsia"/>
          <w:bCs/>
          <w:kern w:val="0"/>
          <w:szCs w:val="21"/>
        </w:rPr>
        <w:t>2014</w:t>
      </w:r>
      <w:r>
        <w:rPr>
          <w:rFonts w:eastAsiaTheme="minorEastAsia"/>
          <w:bCs/>
          <w:kern w:val="0"/>
          <w:szCs w:val="21"/>
        </w:rPr>
        <w:t>年</w:t>
      </w:r>
    </w:p>
    <w:p w14:paraId="11B7DBD0"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bCs/>
          <w:kern w:val="0"/>
          <w:szCs w:val="21"/>
        </w:rPr>
        <w:t>（</w:t>
      </w:r>
      <w:r>
        <w:rPr>
          <w:rFonts w:eastAsiaTheme="minorEastAsia"/>
          <w:bCs/>
          <w:kern w:val="0"/>
          <w:szCs w:val="21"/>
        </w:rPr>
        <w:t>3</w:t>
      </w:r>
      <w:r>
        <w:rPr>
          <w:rFonts w:eastAsiaTheme="minorEastAsia"/>
          <w:bCs/>
          <w:kern w:val="0"/>
          <w:szCs w:val="21"/>
        </w:rPr>
        <w:t>）建筑工程定额原理与概预算，曹小琳、景星蓉编著，中国建筑工业出版社，</w:t>
      </w:r>
      <w:r>
        <w:rPr>
          <w:rFonts w:eastAsiaTheme="minorEastAsia"/>
          <w:bCs/>
          <w:kern w:val="0"/>
          <w:szCs w:val="21"/>
        </w:rPr>
        <w:t>2015</w:t>
      </w:r>
      <w:r>
        <w:rPr>
          <w:rFonts w:eastAsiaTheme="minorEastAsia"/>
          <w:bCs/>
          <w:kern w:val="0"/>
          <w:szCs w:val="21"/>
        </w:rPr>
        <w:t>年</w:t>
      </w:r>
    </w:p>
    <w:p w14:paraId="557881F8"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bCs/>
          <w:kern w:val="0"/>
          <w:szCs w:val="21"/>
        </w:rPr>
        <w:t>（</w:t>
      </w:r>
      <w:r>
        <w:rPr>
          <w:rFonts w:eastAsiaTheme="minorEastAsia"/>
          <w:bCs/>
          <w:kern w:val="0"/>
          <w:szCs w:val="21"/>
        </w:rPr>
        <w:t>4</w:t>
      </w:r>
      <w:r>
        <w:rPr>
          <w:rFonts w:eastAsiaTheme="minorEastAsia"/>
          <w:bCs/>
          <w:kern w:val="0"/>
          <w:szCs w:val="21"/>
        </w:rPr>
        <w:t>）建筑设备安装工程概预算，刘玉国、刘芳编著，北京理工大学出版社，</w:t>
      </w:r>
      <w:r>
        <w:rPr>
          <w:rFonts w:eastAsiaTheme="minorEastAsia"/>
          <w:bCs/>
          <w:kern w:val="0"/>
          <w:szCs w:val="21"/>
        </w:rPr>
        <w:t>2014</w:t>
      </w:r>
      <w:r>
        <w:rPr>
          <w:rFonts w:eastAsiaTheme="minorEastAsia"/>
          <w:bCs/>
          <w:kern w:val="0"/>
          <w:szCs w:val="21"/>
        </w:rPr>
        <w:t>年</w:t>
      </w:r>
    </w:p>
    <w:p w14:paraId="0B1EE4E8" w14:textId="77777777" w:rsidR="00F5289E" w:rsidRDefault="00C91173">
      <w:pPr>
        <w:widowControl/>
        <w:snapToGrid w:val="0"/>
        <w:spacing w:line="360" w:lineRule="auto"/>
        <w:ind w:firstLineChars="200" w:firstLine="422"/>
        <w:jc w:val="left"/>
        <w:rPr>
          <w:rFonts w:eastAsiaTheme="minorEastAsia"/>
          <w:b/>
          <w:kern w:val="0"/>
          <w:szCs w:val="21"/>
        </w:rPr>
      </w:pPr>
      <w:r>
        <w:rPr>
          <w:rFonts w:eastAsiaTheme="minorEastAsia"/>
          <w:b/>
          <w:kern w:val="0"/>
          <w:szCs w:val="21"/>
        </w:rPr>
        <w:t>3</w:t>
      </w:r>
      <w:r>
        <w:rPr>
          <w:rFonts w:eastAsiaTheme="minorEastAsia"/>
          <w:b/>
          <w:kern w:val="0"/>
          <w:szCs w:val="21"/>
        </w:rPr>
        <w:t>、推荐网站：</w:t>
      </w:r>
    </w:p>
    <w:p w14:paraId="3B405BA4" w14:textId="77777777" w:rsidR="00F5289E" w:rsidRDefault="00C91173">
      <w:pPr>
        <w:snapToGrid w:val="0"/>
        <w:spacing w:line="360" w:lineRule="auto"/>
        <w:ind w:firstLineChars="200" w:firstLine="420"/>
        <w:rPr>
          <w:rFonts w:eastAsiaTheme="minorEastAsia"/>
          <w:szCs w:val="21"/>
        </w:rPr>
      </w:pPr>
      <w:r>
        <w:rPr>
          <w:rFonts w:eastAsiaTheme="minorEastAsia"/>
          <w:szCs w:val="21"/>
        </w:rPr>
        <w:t>（</w:t>
      </w:r>
      <w:r>
        <w:rPr>
          <w:rFonts w:eastAsiaTheme="minorEastAsia"/>
          <w:szCs w:val="21"/>
        </w:rPr>
        <w:t>1</w:t>
      </w:r>
      <w:r>
        <w:rPr>
          <w:rFonts w:eastAsiaTheme="minorEastAsia"/>
          <w:szCs w:val="21"/>
        </w:rPr>
        <w:t>）中国农业设施信息网</w:t>
      </w:r>
      <w:r>
        <w:rPr>
          <w:rFonts w:eastAsiaTheme="minorEastAsia"/>
          <w:szCs w:val="21"/>
        </w:rPr>
        <w:t>http://www.camafa.org/</w:t>
      </w:r>
    </w:p>
    <w:p w14:paraId="2F0887BC" w14:textId="77777777" w:rsidR="00F5289E" w:rsidRDefault="00C91173">
      <w:pPr>
        <w:snapToGrid w:val="0"/>
        <w:spacing w:line="360" w:lineRule="auto"/>
        <w:ind w:firstLineChars="200" w:firstLine="420"/>
        <w:rPr>
          <w:kern w:val="0"/>
        </w:rPr>
      </w:pPr>
      <w:r>
        <w:rPr>
          <w:szCs w:val="21"/>
        </w:rPr>
        <w:lastRenderedPageBreak/>
        <w:t>（</w:t>
      </w:r>
      <w:r>
        <w:rPr>
          <w:szCs w:val="21"/>
        </w:rPr>
        <w:t>2</w:t>
      </w:r>
      <w:r>
        <w:rPr>
          <w:szCs w:val="21"/>
        </w:rPr>
        <w:t>）土木在线</w:t>
      </w:r>
      <w:r>
        <w:rPr>
          <w:szCs w:val="21"/>
        </w:rPr>
        <w:t xml:space="preserve"> </w:t>
      </w:r>
      <w:hyperlink r:id="rId20" w:history="1">
        <w:r>
          <w:rPr>
            <w:szCs w:val="21"/>
          </w:rPr>
          <w:t>http://www.co188.com/</w:t>
        </w:r>
      </w:hyperlink>
    </w:p>
    <w:p w14:paraId="754BF303" w14:textId="77777777" w:rsidR="00F5289E" w:rsidRDefault="00C91173">
      <w:pPr>
        <w:widowControl/>
        <w:snapToGrid w:val="0"/>
        <w:spacing w:line="360" w:lineRule="auto"/>
        <w:jc w:val="left"/>
        <w:rPr>
          <w:b/>
          <w:bCs/>
          <w:kern w:val="0"/>
          <w:szCs w:val="21"/>
        </w:rPr>
      </w:pPr>
      <w:r>
        <w:rPr>
          <w:b/>
          <w:bCs/>
          <w:kern w:val="0"/>
          <w:szCs w:val="21"/>
        </w:rPr>
        <w:t>七、教学条件</w:t>
      </w:r>
    </w:p>
    <w:p w14:paraId="7DB6B15F" w14:textId="77777777" w:rsidR="00F5289E" w:rsidRDefault="00C91173">
      <w:pPr>
        <w:widowControl/>
        <w:snapToGrid w:val="0"/>
        <w:spacing w:line="360" w:lineRule="auto"/>
        <w:ind w:firstLineChars="200" w:firstLine="420"/>
        <w:jc w:val="left"/>
        <w:rPr>
          <w:bCs/>
          <w:kern w:val="0"/>
          <w:szCs w:val="21"/>
        </w:rPr>
      </w:pPr>
      <w:r>
        <w:rPr>
          <w:bCs/>
          <w:kern w:val="0"/>
          <w:szCs w:val="21"/>
        </w:rPr>
        <w:t>需要工具书《河南省房屋建筑与装饰工程预算定额</w:t>
      </w:r>
      <w:r>
        <w:rPr>
          <w:bCs/>
          <w:kern w:val="0"/>
          <w:szCs w:val="21"/>
        </w:rPr>
        <w:t xml:space="preserve"> 2016</w:t>
      </w:r>
      <w:r>
        <w:rPr>
          <w:bCs/>
          <w:kern w:val="0"/>
          <w:szCs w:val="21"/>
        </w:rPr>
        <w:t>》</w:t>
      </w:r>
    </w:p>
    <w:p w14:paraId="64BF904E" w14:textId="77777777" w:rsidR="00F5289E" w:rsidRDefault="00C91173">
      <w:pPr>
        <w:widowControl/>
        <w:snapToGrid w:val="0"/>
        <w:spacing w:line="360" w:lineRule="auto"/>
        <w:jc w:val="left"/>
        <w:rPr>
          <w:b/>
          <w:bCs/>
          <w:kern w:val="0"/>
          <w:szCs w:val="21"/>
        </w:rPr>
      </w:pPr>
      <w:r>
        <w:rPr>
          <w:b/>
          <w:bCs/>
          <w:kern w:val="0"/>
          <w:szCs w:val="21"/>
        </w:rPr>
        <w:t>八、教学考核评价</w:t>
      </w:r>
    </w:p>
    <w:p w14:paraId="240FF7D9" w14:textId="77777777" w:rsidR="00F5289E" w:rsidRDefault="00C91173">
      <w:pPr>
        <w:widowControl/>
        <w:snapToGrid w:val="0"/>
        <w:spacing w:line="360" w:lineRule="auto"/>
        <w:ind w:firstLine="420"/>
        <w:jc w:val="left"/>
        <w:rPr>
          <w:bCs/>
          <w:kern w:val="0"/>
          <w:szCs w:val="21"/>
        </w:rPr>
      </w:pPr>
      <w:r>
        <w:rPr>
          <w:b/>
          <w:bCs/>
          <w:kern w:val="0"/>
          <w:szCs w:val="21"/>
        </w:rPr>
        <w:t>1.</w:t>
      </w:r>
      <w:r>
        <w:rPr>
          <w:b/>
          <w:bCs/>
          <w:kern w:val="0"/>
          <w:szCs w:val="21"/>
        </w:rPr>
        <w:t>过程性评价：</w:t>
      </w:r>
      <w:r>
        <w:rPr>
          <w:bCs/>
          <w:kern w:val="0"/>
          <w:szCs w:val="21"/>
        </w:rPr>
        <w:t>过程性评价成绩占课程成绩的</w:t>
      </w:r>
      <w:r>
        <w:rPr>
          <w:bCs/>
          <w:kern w:val="0"/>
          <w:szCs w:val="21"/>
        </w:rPr>
        <w:t>40%</w:t>
      </w:r>
      <w:r>
        <w:rPr>
          <w:bCs/>
          <w:kern w:val="0"/>
          <w:szCs w:val="21"/>
        </w:rPr>
        <w:t>。通过线上教学平台，学生在</w:t>
      </w:r>
      <w:r>
        <w:rPr>
          <w:szCs w:val="21"/>
        </w:rPr>
        <w:t>教学过程中的学习行为</w:t>
      </w:r>
      <w:r>
        <w:rPr>
          <w:bCs/>
          <w:kern w:val="0"/>
          <w:szCs w:val="21"/>
        </w:rPr>
        <w:t>被记录并评分，得出过程性评价成绩。过程性评价计分点</w:t>
      </w:r>
      <w:r>
        <w:rPr>
          <w:szCs w:val="21"/>
        </w:rPr>
        <w:t>由考勤、课堂讨论参与度、</w:t>
      </w:r>
      <w:r>
        <w:rPr>
          <w:szCs w:val="21"/>
        </w:rPr>
        <w:t>4</w:t>
      </w:r>
      <w:r>
        <w:rPr>
          <w:szCs w:val="21"/>
        </w:rPr>
        <w:t>次单元测试、</w:t>
      </w:r>
      <w:r>
        <w:rPr>
          <w:szCs w:val="21"/>
        </w:rPr>
        <w:t>3</w:t>
      </w:r>
      <w:r>
        <w:rPr>
          <w:szCs w:val="21"/>
        </w:rPr>
        <w:t>次课后作业组成</w:t>
      </w:r>
      <w:r>
        <w:rPr>
          <w:bCs/>
          <w:kern w:val="0"/>
          <w:szCs w:val="21"/>
        </w:rPr>
        <w:t>，分别占</w:t>
      </w:r>
      <w:r>
        <w:rPr>
          <w:bCs/>
          <w:kern w:val="0"/>
          <w:szCs w:val="21"/>
        </w:rPr>
        <w:t>10%</w:t>
      </w:r>
      <w:r>
        <w:rPr>
          <w:bCs/>
          <w:kern w:val="0"/>
          <w:szCs w:val="21"/>
        </w:rPr>
        <w:t>、</w:t>
      </w:r>
      <w:r>
        <w:rPr>
          <w:bCs/>
          <w:kern w:val="0"/>
          <w:szCs w:val="21"/>
        </w:rPr>
        <w:t>20%</w:t>
      </w:r>
      <w:r>
        <w:rPr>
          <w:bCs/>
          <w:kern w:val="0"/>
          <w:szCs w:val="21"/>
        </w:rPr>
        <w:t>、</w:t>
      </w:r>
      <w:r>
        <w:rPr>
          <w:bCs/>
          <w:kern w:val="0"/>
          <w:szCs w:val="21"/>
        </w:rPr>
        <w:t>40%</w:t>
      </w:r>
      <w:r>
        <w:rPr>
          <w:bCs/>
          <w:kern w:val="0"/>
          <w:szCs w:val="21"/>
        </w:rPr>
        <w:t>、</w:t>
      </w:r>
      <w:r>
        <w:rPr>
          <w:bCs/>
          <w:kern w:val="0"/>
          <w:szCs w:val="21"/>
        </w:rPr>
        <w:t>30%</w:t>
      </w:r>
      <w:r>
        <w:rPr>
          <w:bCs/>
          <w:kern w:val="0"/>
          <w:szCs w:val="21"/>
        </w:rPr>
        <w:t>；</w:t>
      </w:r>
    </w:p>
    <w:p w14:paraId="13A40ECF" w14:textId="77777777" w:rsidR="00F5289E" w:rsidRDefault="00C91173">
      <w:pPr>
        <w:widowControl/>
        <w:snapToGrid w:val="0"/>
        <w:spacing w:line="360" w:lineRule="auto"/>
        <w:ind w:firstLine="420"/>
        <w:jc w:val="left"/>
        <w:rPr>
          <w:b/>
          <w:bCs/>
          <w:kern w:val="0"/>
          <w:szCs w:val="21"/>
        </w:rPr>
      </w:pPr>
      <w:r>
        <w:rPr>
          <w:b/>
          <w:bCs/>
          <w:kern w:val="0"/>
          <w:szCs w:val="21"/>
        </w:rPr>
        <w:t>2.</w:t>
      </w:r>
      <w:r>
        <w:rPr>
          <w:b/>
          <w:bCs/>
          <w:kern w:val="0"/>
          <w:szCs w:val="21"/>
        </w:rPr>
        <w:t>终结性评价：</w:t>
      </w:r>
      <w:r>
        <w:rPr>
          <w:szCs w:val="21"/>
        </w:rPr>
        <w:t>笔试，闭卷，</w:t>
      </w:r>
      <w:r>
        <w:rPr>
          <w:bCs/>
          <w:kern w:val="0"/>
          <w:szCs w:val="21"/>
        </w:rPr>
        <w:t>占课程成绩的</w:t>
      </w:r>
      <w:r>
        <w:rPr>
          <w:bCs/>
          <w:kern w:val="0"/>
          <w:szCs w:val="21"/>
        </w:rPr>
        <w:t>60%</w:t>
      </w:r>
      <w:r>
        <w:rPr>
          <w:szCs w:val="21"/>
        </w:rPr>
        <w:t>；</w:t>
      </w:r>
    </w:p>
    <w:p w14:paraId="17D8DFE9" w14:textId="77777777" w:rsidR="00F5289E" w:rsidRDefault="00C91173">
      <w:pPr>
        <w:snapToGrid w:val="0"/>
        <w:spacing w:line="360" w:lineRule="auto"/>
        <w:ind w:firstLineChars="200" w:firstLine="422"/>
        <w:rPr>
          <w:szCs w:val="21"/>
        </w:rPr>
      </w:pPr>
      <w:r>
        <w:rPr>
          <w:b/>
          <w:bCs/>
          <w:kern w:val="0"/>
          <w:szCs w:val="21"/>
        </w:rPr>
        <w:t>3.</w:t>
      </w:r>
      <w:r>
        <w:rPr>
          <w:b/>
          <w:bCs/>
          <w:kern w:val="0"/>
          <w:szCs w:val="21"/>
        </w:rPr>
        <w:t>课程综合评价：</w:t>
      </w:r>
      <w:r>
        <w:rPr>
          <w:szCs w:val="21"/>
        </w:rPr>
        <w:t>总成绩</w:t>
      </w:r>
      <w:r>
        <w:rPr>
          <w:szCs w:val="21"/>
        </w:rPr>
        <w:t>=40%</w:t>
      </w:r>
      <w:r>
        <w:rPr>
          <w:bCs/>
          <w:kern w:val="0"/>
          <w:szCs w:val="21"/>
        </w:rPr>
        <w:t>过程性评价成绩</w:t>
      </w:r>
      <w:r>
        <w:rPr>
          <w:szCs w:val="21"/>
        </w:rPr>
        <w:t>+60%</w:t>
      </w:r>
      <w:r>
        <w:rPr>
          <w:szCs w:val="21"/>
        </w:rPr>
        <w:t>终结性评价成绩。</w:t>
      </w:r>
    </w:p>
    <w:p w14:paraId="7612B6C6" w14:textId="77777777" w:rsidR="00F5289E" w:rsidRDefault="00C91173">
      <w:pPr>
        <w:widowControl/>
        <w:tabs>
          <w:tab w:val="left" w:pos="6747"/>
        </w:tabs>
        <w:snapToGrid w:val="0"/>
        <w:spacing w:line="360" w:lineRule="auto"/>
        <w:ind w:firstLine="420"/>
        <w:jc w:val="left"/>
        <w:rPr>
          <w:szCs w:val="21"/>
        </w:rPr>
      </w:pPr>
      <w:r>
        <w:t>过程性评价中</w:t>
      </w:r>
      <w:r>
        <w:rPr>
          <w:szCs w:val="21"/>
        </w:rPr>
        <w:t>考勤、课堂测试、单元测试，终结性评价中对基本知识和基本理论的考核，对应于课程目标</w:t>
      </w:r>
      <w:r>
        <w:rPr>
          <w:szCs w:val="21"/>
        </w:rPr>
        <w:t>1</w:t>
      </w:r>
      <w:r>
        <w:rPr>
          <w:szCs w:val="21"/>
        </w:rPr>
        <w:t>；</w:t>
      </w:r>
    </w:p>
    <w:p w14:paraId="46FAAE8F" w14:textId="77777777" w:rsidR="00F5289E" w:rsidRDefault="00C91173">
      <w:pPr>
        <w:widowControl/>
        <w:tabs>
          <w:tab w:val="left" w:pos="6747"/>
        </w:tabs>
        <w:snapToGrid w:val="0"/>
        <w:spacing w:line="360" w:lineRule="auto"/>
        <w:ind w:firstLine="420"/>
        <w:jc w:val="left"/>
      </w:pPr>
      <w:r>
        <w:t>过程性评价中</w:t>
      </w:r>
      <w:r>
        <w:rPr>
          <w:szCs w:val="21"/>
        </w:rPr>
        <w:t>3</w:t>
      </w:r>
      <w:r>
        <w:rPr>
          <w:szCs w:val="21"/>
        </w:rPr>
        <w:t>次课后作业、终结性评价中的设计类题目的考核，对应于课程目标</w:t>
      </w:r>
      <w:r>
        <w:rPr>
          <w:szCs w:val="21"/>
        </w:rPr>
        <w:t>2</w:t>
      </w:r>
      <w:r>
        <w:rPr>
          <w:szCs w:val="21"/>
        </w:rPr>
        <w:t>；</w:t>
      </w:r>
    </w:p>
    <w:p w14:paraId="1A077BB1" w14:textId="77777777" w:rsidR="00F5289E" w:rsidRDefault="00C91173">
      <w:pPr>
        <w:widowControl/>
        <w:tabs>
          <w:tab w:val="left" w:pos="6747"/>
        </w:tabs>
        <w:snapToGrid w:val="0"/>
        <w:spacing w:line="360" w:lineRule="auto"/>
        <w:ind w:firstLine="420"/>
        <w:jc w:val="left"/>
      </w:pPr>
      <w:r>
        <w:t>过程性评价中课堂讨论</w:t>
      </w:r>
      <w:r>
        <w:rPr>
          <w:szCs w:val="21"/>
        </w:rPr>
        <w:t>、终结性评价中的开放论述类题目，对应于课程目标</w:t>
      </w:r>
      <w:r>
        <w:rPr>
          <w:szCs w:val="21"/>
        </w:rPr>
        <w:t>3</w:t>
      </w:r>
      <w:r>
        <w:rPr>
          <w:szCs w:val="21"/>
        </w:rPr>
        <w:t>和</w:t>
      </w:r>
      <w:r>
        <w:rPr>
          <w:szCs w:val="21"/>
        </w:rPr>
        <w:t>4</w:t>
      </w:r>
      <w:r>
        <w:rPr>
          <w:szCs w:val="21"/>
        </w:rPr>
        <w:t>。</w:t>
      </w:r>
    </w:p>
    <w:p w14:paraId="2C2103AD" w14:textId="77777777" w:rsidR="00F5289E" w:rsidRDefault="00C91173">
      <w:pPr>
        <w:widowControl/>
        <w:jc w:val="left"/>
        <w:rPr>
          <w:rFonts w:ascii="宋体" w:hAnsi="宋体"/>
          <w:b/>
          <w:sz w:val="28"/>
          <w:szCs w:val="28"/>
        </w:rPr>
      </w:pPr>
      <w:r>
        <w:rPr>
          <w:rFonts w:ascii="宋体" w:hAnsi="宋体"/>
          <w:b/>
          <w:sz w:val="28"/>
          <w:szCs w:val="28"/>
        </w:rPr>
        <w:br w:type="page"/>
      </w:r>
    </w:p>
    <w:p w14:paraId="0996DD8A" w14:textId="77777777" w:rsidR="00F5289E" w:rsidRDefault="00C91173">
      <w:pPr>
        <w:pStyle w:val="1"/>
      </w:pPr>
      <w:bookmarkStart w:id="85" w:name="_Toc138606249"/>
      <w:r>
        <w:rPr>
          <w:rFonts w:hint="eastAsia"/>
        </w:rPr>
        <w:lastRenderedPageBreak/>
        <w:t>茶艺</w:t>
      </w:r>
      <w:bookmarkEnd w:id="85"/>
    </w:p>
    <w:p w14:paraId="7BBDBADD" w14:textId="77777777" w:rsidR="00F5289E" w:rsidRDefault="00C91173">
      <w:pPr>
        <w:jc w:val="center"/>
        <w:rPr>
          <w:sz w:val="24"/>
        </w:rPr>
      </w:pPr>
      <w:r>
        <w:rPr>
          <w:rFonts w:eastAsia="????" w:hint="eastAsia"/>
          <w:sz w:val="24"/>
          <w:szCs w:val="36"/>
        </w:rPr>
        <w:t>（</w:t>
      </w:r>
      <w:r>
        <w:rPr>
          <w:rFonts w:eastAsia="????"/>
          <w:sz w:val="24"/>
          <w:szCs w:val="36"/>
        </w:rPr>
        <w:t>Tea Ceremony</w:t>
      </w:r>
      <w:r>
        <w:rPr>
          <w:rFonts w:eastAsia="????" w:hint="eastAsia"/>
          <w:sz w:val="24"/>
          <w:szCs w:val="36"/>
        </w:rPr>
        <w:t>）</w:t>
      </w:r>
    </w:p>
    <w:p w14:paraId="38B6B848" w14:textId="77777777" w:rsidR="00F5289E" w:rsidRDefault="00F5289E">
      <w:pPr>
        <w:snapToGrid w:val="0"/>
        <w:spacing w:line="360" w:lineRule="auto"/>
        <w:jc w:val="center"/>
        <w:rPr>
          <w:b/>
          <w:szCs w:val="21"/>
        </w:rPr>
      </w:pPr>
    </w:p>
    <w:p w14:paraId="54C86FB5"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2A3B2A5E" w14:textId="77777777">
        <w:tc>
          <w:tcPr>
            <w:tcW w:w="1666" w:type="pct"/>
          </w:tcPr>
          <w:p w14:paraId="28724C85" w14:textId="77777777" w:rsidR="00F5289E" w:rsidRDefault="00C91173">
            <w:pPr>
              <w:spacing w:line="300" w:lineRule="auto"/>
              <w:rPr>
                <w:rFonts w:ascii="宋体" w:hAnsi="宋体"/>
                <w:b/>
                <w:bCs/>
                <w:szCs w:val="21"/>
              </w:rPr>
            </w:pPr>
            <w:r>
              <w:rPr>
                <w:rFonts w:ascii="宋体" w:hAnsi="宋体" w:hint="eastAsia"/>
                <w:b/>
                <w:bCs/>
                <w:szCs w:val="21"/>
              </w:rPr>
              <w:t>课程编号：</w:t>
            </w:r>
            <w:r w:rsidRPr="00E73F67">
              <w:rPr>
                <w:rFonts w:ascii="宋体" w:hAnsi="宋体" w:hint="eastAsia"/>
                <w:szCs w:val="21"/>
              </w:rPr>
              <w:t>19011</w:t>
            </w:r>
            <w:r w:rsidRPr="00E73F67">
              <w:rPr>
                <w:rFonts w:ascii="宋体" w:hAnsi="宋体"/>
                <w:szCs w:val="21"/>
              </w:rPr>
              <w:t>047</w:t>
            </w:r>
          </w:p>
        </w:tc>
        <w:tc>
          <w:tcPr>
            <w:tcW w:w="1453" w:type="pct"/>
          </w:tcPr>
          <w:p w14:paraId="43EE5505" w14:textId="77777777" w:rsidR="00F5289E" w:rsidRDefault="00C91173">
            <w:pPr>
              <w:tabs>
                <w:tab w:val="center" w:pos="1216"/>
              </w:tabs>
              <w:spacing w:line="300" w:lineRule="auto"/>
              <w:rPr>
                <w:rFonts w:ascii="宋体" w:hAnsi="宋体"/>
                <w:b/>
                <w:bCs/>
                <w:szCs w:val="21"/>
              </w:rPr>
            </w:pPr>
            <w:r>
              <w:rPr>
                <w:rFonts w:ascii="宋体" w:hAnsi="宋体" w:hint="eastAsia"/>
                <w:b/>
                <w:bCs/>
                <w:szCs w:val="21"/>
              </w:rPr>
              <w:t>课程总学时：</w:t>
            </w:r>
            <w:r w:rsidRPr="00E73F67">
              <w:rPr>
                <w:rFonts w:ascii="宋体" w:hAnsi="宋体"/>
                <w:szCs w:val="21"/>
              </w:rPr>
              <w:t>32</w:t>
            </w:r>
          </w:p>
        </w:tc>
        <w:tc>
          <w:tcPr>
            <w:tcW w:w="1881" w:type="pct"/>
          </w:tcPr>
          <w:p w14:paraId="29407E54" w14:textId="0A67C085" w:rsidR="00F5289E" w:rsidRDefault="00C91173">
            <w:pPr>
              <w:spacing w:line="300" w:lineRule="auto"/>
              <w:rPr>
                <w:rFonts w:ascii="宋体" w:hAnsi="宋体"/>
                <w:b/>
                <w:bCs/>
                <w:szCs w:val="21"/>
              </w:rPr>
            </w:pPr>
            <w:r>
              <w:rPr>
                <w:rFonts w:ascii="宋体" w:hAnsi="宋体" w:hint="eastAsia"/>
                <w:b/>
                <w:bCs/>
                <w:szCs w:val="21"/>
              </w:rPr>
              <w:t>实验学时：</w:t>
            </w:r>
            <w:r w:rsidRPr="00E73F67">
              <w:rPr>
                <w:rFonts w:ascii="宋体" w:hAnsi="宋体"/>
                <w:szCs w:val="21"/>
              </w:rPr>
              <w:t>12</w:t>
            </w:r>
          </w:p>
        </w:tc>
      </w:tr>
      <w:tr w:rsidR="00F5289E" w14:paraId="49E3B0F4" w14:textId="77777777">
        <w:tc>
          <w:tcPr>
            <w:tcW w:w="1666" w:type="pct"/>
          </w:tcPr>
          <w:p w14:paraId="3AD5276C" w14:textId="77777777" w:rsidR="00F5289E" w:rsidRDefault="00C91173">
            <w:pPr>
              <w:spacing w:line="300" w:lineRule="auto"/>
              <w:rPr>
                <w:rFonts w:ascii="宋体" w:hAnsi="宋体"/>
                <w:b/>
                <w:bCs/>
                <w:szCs w:val="21"/>
              </w:rPr>
            </w:pPr>
            <w:r>
              <w:rPr>
                <w:rFonts w:ascii="宋体" w:hAnsi="宋体" w:hint="eastAsia"/>
                <w:b/>
                <w:bCs/>
                <w:szCs w:val="21"/>
              </w:rPr>
              <w:t>课程性质：</w:t>
            </w:r>
            <w:r w:rsidRPr="00E73F67">
              <w:rPr>
                <w:rFonts w:ascii="宋体" w:hAnsi="宋体" w:hint="eastAsia"/>
                <w:szCs w:val="21"/>
              </w:rPr>
              <w:t>选修</w:t>
            </w:r>
          </w:p>
        </w:tc>
        <w:tc>
          <w:tcPr>
            <w:tcW w:w="1453" w:type="pct"/>
          </w:tcPr>
          <w:p w14:paraId="1E563AD2" w14:textId="77777777" w:rsidR="00F5289E" w:rsidRDefault="00C91173">
            <w:pPr>
              <w:spacing w:line="300" w:lineRule="auto"/>
              <w:rPr>
                <w:rFonts w:ascii="宋体" w:hAnsi="宋体"/>
                <w:b/>
                <w:bCs/>
                <w:szCs w:val="21"/>
              </w:rPr>
            </w:pPr>
            <w:r>
              <w:rPr>
                <w:rFonts w:ascii="宋体" w:hAnsi="宋体" w:hint="eastAsia"/>
                <w:b/>
                <w:szCs w:val="21"/>
              </w:rPr>
              <w:t>课程属性:</w:t>
            </w:r>
            <w:r w:rsidRPr="00E73F67">
              <w:rPr>
                <w:rFonts w:ascii="宋体" w:hAnsi="宋体" w:hint="eastAsia"/>
                <w:szCs w:val="21"/>
              </w:rPr>
              <w:t>专业类</w:t>
            </w:r>
          </w:p>
        </w:tc>
        <w:tc>
          <w:tcPr>
            <w:tcW w:w="1881" w:type="pct"/>
          </w:tcPr>
          <w:p w14:paraId="6D1B42EF" w14:textId="77777777" w:rsidR="00F5289E" w:rsidRDefault="00C91173">
            <w:pPr>
              <w:spacing w:line="300" w:lineRule="auto"/>
              <w:rPr>
                <w:rFonts w:ascii="宋体" w:hAnsi="宋体"/>
                <w:b/>
                <w:bCs/>
                <w:szCs w:val="21"/>
              </w:rPr>
            </w:pPr>
            <w:r>
              <w:rPr>
                <w:rFonts w:ascii="宋体" w:hAnsi="宋体" w:hint="eastAsia"/>
                <w:b/>
                <w:bCs/>
                <w:szCs w:val="21"/>
              </w:rPr>
              <w:t>开设学期：</w:t>
            </w:r>
            <w:r w:rsidRPr="00E73F67">
              <w:rPr>
                <w:rFonts w:ascii="宋体" w:hAnsi="宋体" w:hint="eastAsia"/>
                <w:szCs w:val="21"/>
              </w:rPr>
              <w:t>第 4 学期</w:t>
            </w:r>
          </w:p>
        </w:tc>
      </w:tr>
      <w:tr w:rsidR="00F5289E" w14:paraId="27046C35" w14:textId="77777777">
        <w:tc>
          <w:tcPr>
            <w:tcW w:w="1666" w:type="pct"/>
          </w:tcPr>
          <w:p w14:paraId="3F084A4C"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E73F67">
              <w:rPr>
                <w:rFonts w:ascii="宋体" w:hAnsi="宋体" w:hint="eastAsia"/>
                <w:szCs w:val="21"/>
              </w:rPr>
              <w:t>苏会</w:t>
            </w:r>
          </w:p>
        </w:tc>
        <w:tc>
          <w:tcPr>
            <w:tcW w:w="1453" w:type="pct"/>
          </w:tcPr>
          <w:p w14:paraId="3C170E4A" w14:textId="77777777" w:rsidR="00F5289E" w:rsidRDefault="00C91173">
            <w:pPr>
              <w:spacing w:line="300" w:lineRule="auto"/>
              <w:rPr>
                <w:rFonts w:ascii="宋体" w:hAnsi="宋体"/>
                <w:b/>
                <w:bCs/>
                <w:szCs w:val="21"/>
              </w:rPr>
            </w:pPr>
            <w:r>
              <w:rPr>
                <w:rFonts w:ascii="宋体" w:hAnsi="宋体" w:hint="eastAsia"/>
                <w:b/>
                <w:bCs/>
                <w:szCs w:val="21"/>
              </w:rPr>
              <w:t>课程团队：</w:t>
            </w:r>
            <w:r w:rsidRPr="00E73F67">
              <w:rPr>
                <w:rFonts w:ascii="宋体" w:hAnsi="宋体" w:hint="eastAsia"/>
                <w:szCs w:val="21"/>
              </w:rPr>
              <w:t>茶学课程组</w:t>
            </w:r>
          </w:p>
        </w:tc>
        <w:tc>
          <w:tcPr>
            <w:tcW w:w="1881" w:type="pct"/>
          </w:tcPr>
          <w:p w14:paraId="5B8C0E10" w14:textId="77777777" w:rsidR="00F5289E" w:rsidRDefault="00C91173">
            <w:pPr>
              <w:spacing w:line="300" w:lineRule="auto"/>
              <w:rPr>
                <w:rFonts w:ascii="宋体" w:hAnsi="宋体"/>
                <w:b/>
                <w:bCs/>
                <w:szCs w:val="21"/>
              </w:rPr>
            </w:pPr>
            <w:r>
              <w:rPr>
                <w:rFonts w:ascii="宋体" w:hAnsi="宋体" w:hint="eastAsia"/>
                <w:b/>
                <w:bCs/>
                <w:szCs w:val="21"/>
              </w:rPr>
              <w:t>授课语言：</w:t>
            </w:r>
            <w:r w:rsidRPr="00E73F67">
              <w:rPr>
                <w:rFonts w:ascii="宋体" w:hAnsi="宋体" w:hint="eastAsia"/>
                <w:szCs w:val="21"/>
              </w:rPr>
              <w:t>中文</w:t>
            </w:r>
          </w:p>
        </w:tc>
      </w:tr>
      <w:tr w:rsidR="00F5289E" w14:paraId="7EDB9915" w14:textId="77777777">
        <w:tc>
          <w:tcPr>
            <w:tcW w:w="5000" w:type="pct"/>
            <w:gridSpan w:val="3"/>
          </w:tcPr>
          <w:p w14:paraId="6FB7F269" w14:textId="77777777" w:rsidR="00F5289E" w:rsidRDefault="00C91173">
            <w:pPr>
              <w:spacing w:line="300" w:lineRule="auto"/>
              <w:ind w:rightChars="-81" w:right="-170"/>
              <w:rPr>
                <w:rFonts w:ascii="宋体" w:hAnsi="宋体"/>
                <w:bCs/>
                <w:szCs w:val="21"/>
              </w:rPr>
            </w:pPr>
            <w:r>
              <w:rPr>
                <w:rFonts w:ascii="宋体" w:hAnsi="宋体" w:hint="eastAsia"/>
                <w:b/>
                <w:bCs/>
                <w:szCs w:val="21"/>
              </w:rPr>
              <w:t>适用专业：</w:t>
            </w:r>
            <w:r w:rsidRPr="00E73F67">
              <w:rPr>
                <w:rFonts w:ascii="宋体" w:hAnsi="宋体" w:hint="eastAsia"/>
                <w:szCs w:val="21"/>
              </w:rPr>
              <w:t>园艺，设施农业科学与工程</w:t>
            </w:r>
          </w:p>
        </w:tc>
      </w:tr>
      <w:tr w:rsidR="00F5289E" w14:paraId="34D766EC" w14:textId="77777777">
        <w:tc>
          <w:tcPr>
            <w:tcW w:w="5000" w:type="pct"/>
            <w:gridSpan w:val="3"/>
          </w:tcPr>
          <w:p w14:paraId="498CAD0B" w14:textId="77777777" w:rsidR="00F5289E" w:rsidRDefault="00C91173">
            <w:pPr>
              <w:spacing w:line="300" w:lineRule="auto"/>
              <w:rPr>
                <w:rFonts w:ascii="宋体" w:hAnsi="宋体"/>
                <w:b/>
                <w:bCs/>
                <w:szCs w:val="21"/>
              </w:rPr>
            </w:pPr>
            <w:r>
              <w:rPr>
                <w:rFonts w:ascii="宋体" w:hAnsi="宋体" w:hint="eastAsia"/>
                <w:b/>
                <w:bCs/>
                <w:szCs w:val="21"/>
              </w:rPr>
              <w:t>对先修的要求：</w:t>
            </w:r>
            <w:r w:rsidRPr="00E73F67">
              <w:rPr>
                <w:rFonts w:ascii="宋体" w:hAnsi="宋体" w:hint="eastAsia"/>
                <w:szCs w:val="21"/>
              </w:rPr>
              <w:t>无</w:t>
            </w:r>
          </w:p>
        </w:tc>
      </w:tr>
      <w:tr w:rsidR="00F5289E" w14:paraId="40DF0E58" w14:textId="77777777">
        <w:tc>
          <w:tcPr>
            <w:tcW w:w="5000" w:type="pct"/>
            <w:gridSpan w:val="3"/>
          </w:tcPr>
          <w:p w14:paraId="4694431A"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E73F67">
              <w:rPr>
                <w:rFonts w:ascii="宋体" w:hAnsi="宋体" w:hint="eastAsia"/>
                <w:szCs w:val="21"/>
              </w:rPr>
              <w:t>无</w:t>
            </w:r>
          </w:p>
        </w:tc>
      </w:tr>
      <w:tr w:rsidR="00F5289E" w14:paraId="5F73B22E" w14:textId="77777777">
        <w:tc>
          <w:tcPr>
            <w:tcW w:w="1666" w:type="pct"/>
          </w:tcPr>
          <w:p w14:paraId="48360DE6" w14:textId="77777777" w:rsidR="00F5289E" w:rsidRDefault="00C91173">
            <w:pPr>
              <w:spacing w:line="300" w:lineRule="auto"/>
              <w:rPr>
                <w:rFonts w:ascii="宋体" w:hAnsi="宋体"/>
                <w:b/>
                <w:bCs/>
                <w:szCs w:val="21"/>
              </w:rPr>
            </w:pPr>
            <w:r>
              <w:rPr>
                <w:rFonts w:ascii="宋体" w:hAnsi="宋体" w:hint="eastAsia"/>
                <w:b/>
                <w:bCs/>
                <w:szCs w:val="21"/>
              </w:rPr>
              <w:t>主撰人：</w:t>
            </w:r>
            <w:r w:rsidRPr="00E73F67">
              <w:rPr>
                <w:rFonts w:ascii="宋体" w:hAnsi="宋体" w:hint="eastAsia"/>
                <w:szCs w:val="21"/>
              </w:rPr>
              <w:t>苏会</w:t>
            </w:r>
          </w:p>
        </w:tc>
        <w:tc>
          <w:tcPr>
            <w:tcW w:w="1453" w:type="pct"/>
          </w:tcPr>
          <w:p w14:paraId="5CC018C7" w14:textId="77777777" w:rsidR="00F5289E" w:rsidRDefault="00C91173">
            <w:pPr>
              <w:spacing w:line="300" w:lineRule="auto"/>
              <w:rPr>
                <w:rFonts w:ascii="宋体" w:hAnsi="宋体"/>
                <w:b/>
                <w:bCs/>
                <w:szCs w:val="21"/>
              </w:rPr>
            </w:pPr>
            <w:r>
              <w:rPr>
                <w:rFonts w:ascii="宋体" w:hAnsi="宋体" w:hint="eastAsia"/>
                <w:b/>
                <w:bCs/>
                <w:szCs w:val="21"/>
              </w:rPr>
              <w:t>审核人：</w:t>
            </w:r>
            <w:r w:rsidR="00E73F67" w:rsidRPr="00E73F67">
              <w:rPr>
                <w:rFonts w:ascii="宋体" w:hAnsi="宋体" w:hint="eastAsia"/>
                <w:szCs w:val="21"/>
              </w:rPr>
              <w:t>贺巍</w:t>
            </w:r>
          </w:p>
        </w:tc>
        <w:tc>
          <w:tcPr>
            <w:tcW w:w="1881" w:type="pct"/>
          </w:tcPr>
          <w:p w14:paraId="50837D88"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E73F67">
              <w:rPr>
                <w:rFonts w:ascii="宋体" w:hAnsi="宋体" w:hint="eastAsia"/>
                <w:szCs w:val="21"/>
              </w:rPr>
              <w:t>2023.</w:t>
            </w:r>
            <w:r w:rsidR="00E73F67" w:rsidRPr="00E73F67">
              <w:rPr>
                <w:rFonts w:ascii="宋体" w:hAnsi="宋体"/>
                <w:szCs w:val="21"/>
              </w:rPr>
              <w:t>05</w:t>
            </w:r>
          </w:p>
        </w:tc>
      </w:tr>
    </w:tbl>
    <w:p w14:paraId="74877E80" w14:textId="77777777" w:rsidR="00F5289E" w:rsidRDefault="00F5289E">
      <w:pPr>
        <w:widowControl/>
        <w:snapToGrid w:val="0"/>
        <w:spacing w:line="360" w:lineRule="auto"/>
        <w:jc w:val="left"/>
        <w:rPr>
          <w:rFonts w:hAnsi="宋体"/>
          <w:b/>
          <w:bCs/>
          <w:kern w:val="0"/>
          <w:szCs w:val="21"/>
        </w:rPr>
      </w:pPr>
    </w:p>
    <w:p w14:paraId="0D0CF501"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451FEE9F" w14:textId="77777777" w:rsidR="00F5289E" w:rsidRDefault="00C91173">
      <w:pPr>
        <w:spacing w:line="400" w:lineRule="atLeast"/>
        <w:ind w:firstLineChars="200" w:firstLine="420"/>
        <w:jc w:val="left"/>
        <w:rPr>
          <w:rFonts w:ascii="宋体" w:hAnsi="宋体" w:cs="宋体"/>
          <w:kern w:val="0"/>
          <w:szCs w:val="21"/>
        </w:rPr>
      </w:pPr>
      <w:r>
        <w:rPr>
          <w:rFonts w:ascii="宋体" w:hAnsi="宋体" w:cs="宋体" w:hint="eastAsia"/>
          <w:kern w:val="0"/>
          <w:szCs w:val="21"/>
        </w:rPr>
        <w:t>《茶艺》课程是专业选修课，针对大二学生于第四学期开设。茶艺是—门将美学、表演艺术、礼仪、插花艺术、茶文化、茶叶感官审评等相结合的交叉学科。课程包含四个培养目标：一是知识目标：学生熟练掌握茶叶基础知识，茶艺发展历史，泡茶用水与茶具的选择，茶席设计，茶艺礼仪，基础茶艺，主题茶艺编创等理论知识；二是能力目标：熟练掌握茶艺基本手法，具备独立设计一款茶席及主题茶艺的能力；三是素质目标：茶艺是茶文化的重要载体和表现方式，培养学生树立文化自信自强的意识，传承和弘扬中华优秀传统文化。四是美育目标：茶艺具有典型的美学特征，通过茶艺的学习，培养学生的审美情趣，提高感知美好生活的能力。</w:t>
      </w:r>
    </w:p>
    <w:p w14:paraId="751219A2" w14:textId="77777777" w:rsidR="00F5289E" w:rsidRDefault="00C91173">
      <w:pPr>
        <w:spacing w:line="400" w:lineRule="atLeast"/>
        <w:ind w:firstLineChars="200" w:firstLine="420"/>
        <w:jc w:val="left"/>
        <w:rPr>
          <w:rFonts w:ascii="宋体" w:hAnsi="宋体" w:cs="宋体"/>
          <w:kern w:val="0"/>
          <w:szCs w:val="21"/>
        </w:rPr>
      </w:pPr>
      <w:r>
        <w:rPr>
          <w:rFonts w:ascii="宋体" w:hAnsi="宋体" w:cs="宋体" w:hint="eastAsia"/>
          <w:kern w:val="0"/>
          <w:szCs w:val="21"/>
        </w:rPr>
        <w:t>通过《茶艺》课程学习，学生能够掌握如何正确的使用茶具，科学的冲泡和品饮茶叶，如何讲好茶与茶文化的故事，做好中华优秀传统文化的传承。课程以“立德树人”为教学理念，采取“线上线下混合式”教学模式，打通课堂内外的学习方式，以“学生为主体，老师作引导”的教学思维，通过多种互动形式让学生真正融入课堂，积极思考，主动学习，培养独立的逻辑思维能力，提升综合素质能力。</w:t>
      </w:r>
    </w:p>
    <w:p w14:paraId="526E4DD1" w14:textId="77777777" w:rsidR="00F5289E" w:rsidRDefault="00F5289E">
      <w:pPr>
        <w:spacing w:line="400" w:lineRule="atLeast"/>
        <w:ind w:firstLineChars="200" w:firstLine="420"/>
        <w:jc w:val="left"/>
        <w:rPr>
          <w:rFonts w:ascii="宋体" w:hAnsi="宋体" w:cs="宋体"/>
          <w:kern w:val="0"/>
          <w:szCs w:val="21"/>
        </w:rPr>
      </w:pPr>
    </w:p>
    <w:p w14:paraId="6CAC2F67"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24A37283" w14:textId="77777777" w:rsidR="00F5289E" w:rsidRDefault="00C91173">
      <w:pPr>
        <w:widowControl/>
        <w:snapToGrid w:val="0"/>
        <w:spacing w:line="360" w:lineRule="auto"/>
        <w:ind w:firstLineChars="200" w:firstLine="420"/>
        <w:jc w:val="left"/>
        <w:rPr>
          <w:rFonts w:hAnsi="宋体"/>
          <w:bCs/>
          <w:kern w:val="0"/>
          <w:szCs w:val="21"/>
        </w:rPr>
      </w:pPr>
      <w:r>
        <w:rPr>
          <w:rFonts w:hint="eastAsia"/>
          <w:kern w:val="0"/>
          <w:szCs w:val="21"/>
        </w:rPr>
        <w:t>1.</w:t>
      </w:r>
      <w:r>
        <w:rPr>
          <w:rFonts w:hAnsi="宋体"/>
          <w:kern w:val="0"/>
          <w:szCs w:val="21"/>
        </w:rPr>
        <w:t>理论知识方面：</w:t>
      </w:r>
      <w:r>
        <w:rPr>
          <w:szCs w:val="18"/>
        </w:rPr>
        <w:t>通过本课程各教学环节，要求学生掌握</w:t>
      </w:r>
      <w:r>
        <w:t>从事茶叶生产与茶叶营销及茶文化传播等职业岗位群工作所必须具备或掌握</w:t>
      </w:r>
      <w:r>
        <w:rPr>
          <w:rFonts w:hint="eastAsia"/>
        </w:rPr>
        <w:t>的茶叶基础</w:t>
      </w:r>
      <w:r>
        <w:t>知识</w:t>
      </w:r>
      <w:r>
        <w:rPr>
          <w:rFonts w:hint="eastAsia"/>
        </w:rPr>
        <w:t>，并</w:t>
      </w:r>
      <w:r>
        <w:rPr>
          <w:rFonts w:hint="eastAsia"/>
          <w:szCs w:val="18"/>
        </w:rPr>
        <w:t>具备茶叶生产及销售过程中</w:t>
      </w:r>
      <w:r>
        <w:t>发现问题、分析问题和解决问题的</w:t>
      </w:r>
      <w:r>
        <w:rPr>
          <w:rFonts w:hint="eastAsia"/>
        </w:rPr>
        <w:t>综合素质</w:t>
      </w:r>
      <w:r>
        <w:t>能力</w:t>
      </w:r>
      <w:r>
        <w:rPr>
          <w:rFonts w:hint="eastAsia"/>
        </w:rPr>
        <w:t>。</w:t>
      </w:r>
    </w:p>
    <w:p w14:paraId="2D6CDB3D" w14:textId="77777777" w:rsidR="00F5289E" w:rsidRDefault="00C91173">
      <w:pPr>
        <w:widowControl/>
        <w:snapToGrid w:val="0"/>
        <w:spacing w:line="360" w:lineRule="auto"/>
        <w:ind w:firstLineChars="200" w:firstLine="420"/>
        <w:jc w:val="left"/>
        <w:rPr>
          <w:rFonts w:hAnsi="宋体"/>
          <w:bCs/>
          <w:kern w:val="0"/>
          <w:szCs w:val="21"/>
        </w:rPr>
      </w:pPr>
      <w:r>
        <w:rPr>
          <w:rFonts w:hint="eastAsia"/>
          <w:kern w:val="0"/>
          <w:szCs w:val="21"/>
        </w:rPr>
        <w:t>2.</w:t>
      </w:r>
      <w:r>
        <w:rPr>
          <w:rFonts w:hAnsi="宋体"/>
          <w:kern w:val="0"/>
          <w:szCs w:val="21"/>
        </w:rPr>
        <w:t>实验技能方面：</w:t>
      </w:r>
      <w:r>
        <w:rPr>
          <w:szCs w:val="18"/>
        </w:rPr>
        <w:t>通过本课程各教学环节，</w:t>
      </w:r>
      <w:r>
        <w:rPr>
          <w:rFonts w:hint="eastAsia"/>
          <w:szCs w:val="18"/>
        </w:rPr>
        <w:t>学生能够科学冲泡一杯茶，独立进行茶席设计及主题茶艺的编创，并具备依托茶艺形式，推广茶文化和茶产业发展</w:t>
      </w:r>
      <w:r>
        <w:rPr>
          <w:rFonts w:hint="eastAsia"/>
        </w:rPr>
        <w:t>。</w:t>
      </w:r>
    </w:p>
    <w:p w14:paraId="44239039"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2360A51D"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4DAB0B2C"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课程以教师讲授结合实验教学进行，主要讲授茶艺基本礼仪、泡茶用水与茶具的选择、茶席设计、基础茶艺、主题茶艺等知识；实验教学则包括泡茶过程中的基本礼仪，茶席设计、不同茶类的冲泡技艺、茶会的组织等技能。</w:t>
      </w:r>
      <w:r>
        <w:rPr>
          <w:rFonts w:hint="eastAsia"/>
          <w:bCs/>
          <w:kern w:val="0"/>
          <w:szCs w:val="21"/>
        </w:rPr>
        <w:t>在理论学习过程中，以课堂展示，作业布置，视频拍摄等为主要考核方式，教师进行评价。实验课则是让学生实践</w:t>
      </w:r>
      <w:r>
        <w:rPr>
          <w:rFonts w:hAnsi="宋体" w:hint="eastAsia"/>
          <w:bCs/>
          <w:kern w:val="0"/>
          <w:szCs w:val="21"/>
        </w:rPr>
        <w:t>泡茶过程中的基本礼仪、茶会的组织，茶席布置、茶艺冲泡的实践能力。</w:t>
      </w:r>
      <w:r>
        <w:rPr>
          <w:rFonts w:hint="eastAsia"/>
          <w:bCs/>
          <w:kern w:val="0"/>
          <w:szCs w:val="21"/>
        </w:rPr>
        <w:t>在整个教学过程中，</w:t>
      </w:r>
      <w:r>
        <w:rPr>
          <w:kern w:val="0"/>
          <w:szCs w:val="21"/>
        </w:rPr>
        <w:t>通过</w:t>
      </w:r>
      <w:r>
        <w:rPr>
          <w:rFonts w:hint="eastAsia"/>
          <w:kern w:val="0"/>
          <w:szCs w:val="21"/>
        </w:rPr>
        <w:t>课堂互动，作业完成及茶艺技能考核及期末试卷考试等环节</w:t>
      </w:r>
      <w:r>
        <w:rPr>
          <w:kern w:val="0"/>
          <w:szCs w:val="21"/>
        </w:rPr>
        <w:t>进行</w:t>
      </w:r>
      <w:r>
        <w:rPr>
          <w:rFonts w:hint="eastAsia"/>
          <w:kern w:val="0"/>
          <w:szCs w:val="21"/>
        </w:rPr>
        <w:t>过程性评价</w:t>
      </w:r>
      <w:r>
        <w:rPr>
          <w:kern w:val="0"/>
          <w:szCs w:val="21"/>
        </w:rPr>
        <w:t>。</w:t>
      </w:r>
    </w:p>
    <w:p w14:paraId="35D87552" w14:textId="77777777" w:rsidR="00F5289E" w:rsidRDefault="00C91173">
      <w:pPr>
        <w:spacing w:line="360" w:lineRule="auto"/>
        <w:ind w:firstLineChars="200" w:firstLine="420"/>
        <w:rPr>
          <w:rFonts w:hAnsi="宋体"/>
          <w:bCs/>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04FFCA1A"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199890"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CFEBAFC"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5813E4"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667C9CFE"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3F90ABB"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641D861E"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18"/>
              </w:rPr>
              <w:t>使学生树立文化自信，传承和弘扬中华优秀传统文化</w:t>
            </w:r>
            <w:r>
              <w:rPr>
                <w:rFonts w:eastAsiaTheme="minorEastAsia" w:hAnsiTheme="minorEastAsia"/>
                <w:sz w:val="18"/>
                <w:szCs w:val="18"/>
              </w:rPr>
              <w:t>。</w:t>
            </w:r>
          </w:p>
        </w:tc>
        <w:tc>
          <w:tcPr>
            <w:tcW w:w="1052" w:type="dxa"/>
            <w:tcBorders>
              <w:top w:val="single" w:sz="4" w:space="0" w:color="auto"/>
              <w:left w:val="single" w:sz="4" w:space="0" w:color="auto"/>
              <w:bottom w:val="single" w:sz="4" w:space="0" w:color="auto"/>
              <w:right w:val="single" w:sz="4" w:space="0" w:color="auto"/>
            </w:tcBorders>
            <w:vAlign w:val="center"/>
          </w:tcPr>
          <w:p w14:paraId="5BAF1319" w14:textId="77777777" w:rsidR="00F5289E" w:rsidRDefault="00C91173">
            <w:pPr>
              <w:spacing w:line="320" w:lineRule="exact"/>
              <w:jc w:val="center"/>
              <w:rPr>
                <w:rFonts w:eastAsiaTheme="minorEastAsia"/>
                <w:sz w:val="18"/>
                <w:szCs w:val="18"/>
              </w:rPr>
            </w:pPr>
            <w:r>
              <w:rPr>
                <w:rFonts w:eastAsiaTheme="minorEastAsia"/>
                <w:sz w:val="18"/>
                <w:szCs w:val="18"/>
              </w:rPr>
              <w:t>1</w:t>
            </w:r>
          </w:p>
        </w:tc>
      </w:tr>
      <w:tr w:rsidR="00F5289E" w14:paraId="02B71D8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559FA03A"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67D2B6BF" w14:textId="77777777" w:rsidR="00F5289E" w:rsidRDefault="00C91173">
            <w:pPr>
              <w:spacing w:line="320" w:lineRule="exact"/>
              <w:jc w:val="left"/>
              <w:rPr>
                <w:rFonts w:eastAsiaTheme="minorEastAsia" w:hAnsiTheme="minorEastAsia"/>
                <w:sz w:val="18"/>
                <w:szCs w:val="18"/>
                <w:highlight w:val="yellow"/>
              </w:rPr>
            </w:pPr>
            <w:r>
              <w:rPr>
                <w:rFonts w:eastAsiaTheme="minorEastAsia" w:hAnsiTheme="minorEastAsia" w:hint="eastAsia"/>
                <w:sz w:val="18"/>
                <w:szCs w:val="18"/>
              </w:rPr>
              <w:t>通过茶艺展示形式，助力茶文化推广和茶产业发展。</w:t>
            </w:r>
          </w:p>
        </w:tc>
        <w:tc>
          <w:tcPr>
            <w:tcW w:w="1052" w:type="dxa"/>
            <w:tcBorders>
              <w:top w:val="single" w:sz="4" w:space="0" w:color="auto"/>
              <w:left w:val="single" w:sz="4" w:space="0" w:color="auto"/>
              <w:bottom w:val="single" w:sz="4" w:space="0" w:color="auto"/>
              <w:right w:val="single" w:sz="4" w:space="0" w:color="auto"/>
            </w:tcBorders>
            <w:vAlign w:val="center"/>
          </w:tcPr>
          <w:p w14:paraId="19B9A9E3" w14:textId="77777777" w:rsidR="00F5289E" w:rsidRDefault="00C91173">
            <w:pPr>
              <w:spacing w:line="320" w:lineRule="exact"/>
              <w:jc w:val="center"/>
              <w:rPr>
                <w:rFonts w:eastAsiaTheme="minorEastAsia"/>
                <w:sz w:val="18"/>
                <w:szCs w:val="18"/>
              </w:rPr>
            </w:pPr>
            <w:r>
              <w:rPr>
                <w:rFonts w:eastAsiaTheme="minorEastAsia"/>
                <w:sz w:val="18"/>
                <w:szCs w:val="18"/>
              </w:rPr>
              <w:t>2</w:t>
            </w:r>
          </w:p>
        </w:tc>
      </w:tr>
      <w:tr w:rsidR="00F5289E" w14:paraId="3893CFCE"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5F51A30"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66FA8239" w14:textId="77777777" w:rsidR="00F5289E" w:rsidRDefault="00C91173">
            <w:pPr>
              <w:spacing w:line="320" w:lineRule="exact"/>
              <w:jc w:val="left"/>
              <w:rPr>
                <w:rFonts w:eastAsiaTheme="minorEastAsia"/>
                <w:sz w:val="18"/>
                <w:szCs w:val="18"/>
              </w:rPr>
            </w:pPr>
            <w:r>
              <w:rPr>
                <w:rFonts w:eastAsiaTheme="minorEastAsia" w:hint="eastAsia"/>
                <w:sz w:val="18"/>
                <w:szCs w:val="18"/>
              </w:rPr>
              <w:t>掌握茶叶基础知识，茶艺礼仪，茶叶审评，茶艺编创等专业理论知识。</w:t>
            </w:r>
          </w:p>
        </w:tc>
        <w:tc>
          <w:tcPr>
            <w:tcW w:w="1052" w:type="dxa"/>
            <w:tcBorders>
              <w:top w:val="single" w:sz="4" w:space="0" w:color="auto"/>
              <w:left w:val="single" w:sz="4" w:space="0" w:color="auto"/>
              <w:bottom w:val="single" w:sz="4" w:space="0" w:color="auto"/>
              <w:right w:val="single" w:sz="4" w:space="0" w:color="auto"/>
            </w:tcBorders>
            <w:vAlign w:val="center"/>
          </w:tcPr>
          <w:p w14:paraId="3362ACEF" w14:textId="77777777" w:rsidR="00F5289E" w:rsidRDefault="00C91173">
            <w:pPr>
              <w:spacing w:line="320" w:lineRule="exact"/>
              <w:jc w:val="center"/>
              <w:rPr>
                <w:rFonts w:eastAsiaTheme="minorEastAsia"/>
                <w:sz w:val="18"/>
                <w:szCs w:val="18"/>
              </w:rPr>
            </w:pPr>
            <w:r>
              <w:rPr>
                <w:rFonts w:eastAsiaTheme="minorEastAsia" w:hint="eastAsia"/>
                <w:sz w:val="18"/>
                <w:szCs w:val="18"/>
              </w:rPr>
              <w:t>3</w:t>
            </w:r>
          </w:p>
          <w:p w14:paraId="6B9119B3" w14:textId="77777777" w:rsidR="00F5289E" w:rsidRDefault="00F5289E">
            <w:pPr>
              <w:spacing w:line="320" w:lineRule="exact"/>
              <w:jc w:val="center"/>
              <w:rPr>
                <w:rFonts w:eastAsiaTheme="minorEastAsia"/>
                <w:sz w:val="18"/>
                <w:szCs w:val="18"/>
              </w:rPr>
            </w:pPr>
          </w:p>
        </w:tc>
      </w:tr>
      <w:tr w:rsidR="00F5289E" w14:paraId="12DEB1D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1997DB58"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71C679B6" w14:textId="77777777" w:rsidR="00F5289E" w:rsidRDefault="00C91173">
            <w:pPr>
              <w:spacing w:line="320" w:lineRule="exact"/>
              <w:rPr>
                <w:rFonts w:eastAsiaTheme="minorEastAsia"/>
                <w:sz w:val="18"/>
                <w:szCs w:val="18"/>
              </w:rPr>
            </w:pPr>
            <w:r>
              <w:rPr>
                <w:rFonts w:hAnsi="宋体" w:hint="eastAsia"/>
                <w:bCs/>
                <w:sz w:val="18"/>
                <w:szCs w:val="18"/>
              </w:rPr>
              <w:t>掌握不同茶类科学冲泡方法及茶艺基本技能。</w:t>
            </w:r>
          </w:p>
        </w:tc>
        <w:tc>
          <w:tcPr>
            <w:tcW w:w="1052" w:type="dxa"/>
            <w:tcBorders>
              <w:top w:val="single" w:sz="4" w:space="0" w:color="auto"/>
              <w:left w:val="single" w:sz="4" w:space="0" w:color="auto"/>
              <w:bottom w:val="single" w:sz="4" w:space="0" w:color="auto"/>
              <w:right w:val="single" w:sz="4" w:space="0" w:color="auto"/>
            </w:tcBorders>
            <w:vAlign w:val="center"/>
          </w:tcPr>
          <w:p w14:paraId="6638248A"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r>
    </w:tbl>
    <w:p w14:paraId="0459CB5F" w14:textId="77777777" w:rsidR="00F5289E" w:rsidRDefault="00F5289E">
      <w:pPr>
        <w:spacing w:line="360" w:lineRule="auto"/>
        <w:ind w:firstLineChars="200" w:firstLine="420"/>
        <w:rPr>
          <w:rFonts w:hAnsi="宋体"/>
          <w:bCs/>
          <w:kern w:val="0"/>
          <w:szCs w:val="21"/>
        </w:rPr>
      </w:pPr>
    </w:p>
    <w:p w14:paraId="03DBA075"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2</w:t>
      </w:r>
      <w:r>
        <w:rPr>
          <w:rFonts w:hAnsi="宋体"/>
          <w:b/>
          <w:bCs/>
          <w:kern w:val="0"/>
          <w:szCs w:val="21"/>
        </w:rPr>
        <w:t>0</w:t>
      </w:r>
      <w:r>
        <w:rPr>
          <w:rFonts w:hAnsi="宋体" w:hint="eastAsia"/>
          <w:b/>
          <w:bCs/>
          <w:kern w:val="0"/>
          <w:szCs w:val="21"/>
        </w:rPr>
        <w:t>学时）</w:t>
      </w:r>
    </w:p>
    <w:p w14:paraId="1BA74AAC" w14:textId="77777777" w:rsidR="00F5289E" w:rsidRDefault="00F5289E">
      <w:pPr>
        <w:widowControl/>
        <w:snapToGrid w:val="0"/>
        <w:spacing w:line="360" w:lineRule="auto"/>
        <w:ind w:firstLineChars="200" w:firstLine="422"/>
        <w:rPr>
          <w:rFonts w:hAnsi="宋体"/>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3BBCD1F" w14:textId="77777777">
        <w:trPr>
          <w:trHeight w:val="270"/>
        </w:trPr>
        <w:tc>
          <w:tcPr>
            <w:tcW w:w="2965" w:type="dxa"/>
            <w:tcBorders>
              <w:top w:val="nil"/>
              <w:left w:val="nil"/>
              <w:bottom w:val="nil"/>
              <w:right w:val="nil"/>
            </w:tcBorders>
            <w:vAlign w:val="center"/>
          </w:tcPr>
          <w:p w14:paraId="7BE87BBA"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0DF8735"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hint="eastAsia"/>
                <w:b/>
                <w:szCs w:val="21"/>
              </w:rPr>
              <w:t>茶艺概论</w:t>
            </w:r>
          </w:p>
        </w:tc>
        <w:tc>
          <w:tcPr>
            <w:tcW w:w="2966" w:type="dxa"/>
            <w:tcBorders>
              <w:top w:val="nil"/>
              <w:left w:val="nil"/>
              <w:bottom w:val="nil"/>
              <w:right w:val="nil"/>
            </w:tcBorders>
            <w:vAlign w:val="center"/>
          </w:tcPr>
          <w:p w14:paraId="3A52C0D0"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26B8E4C5" w14:textId="77777777" w:rsidR="00F5289E" w:rsidRDefault="00C91173" w:rsidP="00A115EF">
      <w:pPr>
        <w:numPr>
          <w:ilvl w:val="0"/>
          <w:numId w:val="38"/>
        </w:numPr>
        <w:snapToGrid w:val="0"/>
        <w:spacing w:line="360" w:lineRule="auto"/>
        <w:rPr>
          <w:rFonts w:ascii="宋体" w:hAnsi="宋体"/>
          <w:b/>
          <w:bCs/>
        </w:rPr>
      </w:pPr>
      <w:r>
        <w:rPr>
          <w:rFonts w:ascii="宋体" w:hAnsi="宋体"/>
          <w:b/>
          <w:bCs/>
        </w:rPr>
        <w:t>4</w:t>
      </w:r>
      <w:r>
        <w:rPr>
          <w:rFonts w:ascii="宋体" w:hAnsi="宋体" w:hint="eastAsia"/>
          <w:b/>
          <w:bCs/>
        </w:rPr>
        <w:t xml:space="preserve"> 茶艺  1</w:t>
      </w:r>
      <w:r>
        <w:rPr>
          <w:rFonts w:ascii="宋体" w:hAnsi="宋体"/>
          <w:b/>
          <w:bCs/>
        </w:rPr>
        <w:t>学时</w:t>
      </w:r>
    </w:p>
    <w:p w14:paraId="1E2D307C" w14:textId="77777777" w:rsidR="00F5289E" w:rsidRDefault="00C91173" w:rsidP="00A115EF">
      <w:pPr>
        <w:numPr>
          <w:ilvl w:val="0"/>
          <w:numId w:val="38"/>
        </w:numPr>
        <w:snapToGrid w:val="0"/>
        <w:spacing w:line="360" w:lineRule="auto"/>
        <w:rPr>
          <w:rFonts w:ascii="宋体" w:hAnsi="宋体"/>
          <w:b/>
          <w:bCs/>
        </w:rPr>
      </w:pPr>
      <w:r>
        <w:rPr>
          <w:rFonts w:ascii="宋体" w:hAnsi="宋体" w:hint="eastAsia"/>
          <w:b/>
          <w:bCs/>
        </w:rPr>
        <w:t xml:space="preserve">茶艺的形成与发展   </w:t>
      </w:r>
      <w:r>
        <w:rPr>
          <w:rFonts w:ascii="宋体" w:hAnsi="宋体"/>
          <w:b/>
          <w:bCs/>
        </w:rPr>
        <w:t>1学时</w:t>
      </w:r>
    </w:p>
    <w:p w14:paraId="46A9D37F" w14:textId="77777777" w:rsidR="00F5289E" w:rsidRDefault="00C91173" w:rsidP="00A115EF">
      <w:pPr>
        <w:numPr>
          <w:ilvl w:val="0"/>
          <w:numId w:val="38"/>
        </w:numPr>
        <w:snapToGrid w:val="0"/>
        <w:spacing w:line="360" w:lineRule="auto"/>
        <w:rPr>
          <w:rFonts w:ascii="宋体" w:hAnsi="宋体"/>
          <w:b/>
          <w:bCs/>
        </w:rPr>
      </w:pPr>
      <w:r>
        <w:rPr>
          <w:rFonts w:ascii="宋体" w:hAnsi="宋体" w:hint="eastAsia"/>
          <w:b/>
          <w:bCs/>
        </w:rPr>
        <w:t>茶艺与茶道、茶俗   1</w:t>
      </w:r>
      <w:r>
        <w:rPr>
          <w:rFonts w:ascii="宋体" w:hAnsi="宋体"/>
          <w:b/>
          <w:bCs/>
        </w:rPr>
        <w:t>学时</w:t>
      </w:r>
    </w:p>
    <w:p w14:paraId="7C238FCA" w14:textId="77777777" w:rsidR="00F5289E" w:rsidRDefault="00C91173" w:rsidP="00A115EF">
      <w:pPr>
        <w:numPr>
          <w:ilvl w:val="0"/>
          <w:numId w:val="38"/>
        </w:numPr>
        <w:snapToGrid w:val="0"/>
        <w:spacing w:line="360" w:lineRule="auto"/>
        <w:rPr>
          <w:rFonts w:ascii="宋体" w:hAnsi="宋体"/>
          <w:b/>
          <w:bCs/>
        </w:rPr>
      </w:pPr>
      <w:r>
        <w:rPr>
          <w:rFonts w:ascii="宋体" w:hAnsi="宋体" w:hint="eastAsia"/>
          <w:b/>
          <w:bCs/>
        </w:rPr>
        <w:t xml:space="preserve">茶叶基础知识    </w:t>
      </w:r>
      <w:r>
        <w:rPr>
          <w:rFonts w:ascii="宋体" w:hAnsi="宋体"/>
          <w:b/>
          <w:bCs/>
        </w:rPr>
        <w:t>1学时</w:t>
      </w:r>
    </w:p>
    <w:p w14:paraId="7B5044B8" w14:textId="77777777" w:rsidR="00F5289E" w:rsidRDefault="00C91173">
      <w:pPr>
        <w:adjustRightInd w:val="0"/>
        <w:snapToGrid w:val="0"/>
        <w:spacing w:line="400" w:lineRule="atLeast"/>
        <w:jc w:val="left"/>
        <w:rPr>
          <w:szCs w:val="21"/>
        </w:rPr>
      </w:pPr>
      <w:r>
        <w:rPr>
          <w:rFonts w:ascii="宋体" w:hAnsi="宋体" w:hint="eastAsia"/>
          <w:b/>
          <w:bCs/>
        </w:rPr>
        <w:t>教学目标：</w:t>
      </w:r>
      <w:bookmarkStart w:id="86" w:name="OLE_LINK37"/>
      <w:bookmarkStart w:id="87" w:name="OLE_LINK36"/>
      <w:r>
        <w:rPr>
          <w:szCs w:val="21"/>
        </w:rPr>
        <w:t>了解并掌握茶艺的概念，了解茶艺的形成与发展过程，熟悉并掌握茶艺与茶道的关系</w:t>
      </w:r>
      <w:r>
        <w:rPr>
          <w:rFonts w:hint="eastAsia"/>
          <w:szCs w:val="21"/>
        </w:rPr>
        <w:t>，茶艺与茶俗的区别；了解六大基础茶类及特征</w:t>
      </w:r>
      <w:r>
        <w:rPr>
          <w:szCs w:val="21"/>
        </w:rPr>
        <w:t>。</w:t>
      </w:r>
      <w:bookmarkEnd w:id="86"/>
      <w:bookmarkEnd w:id="87"/>
    </w:p>
    <w:p w14:paraId="51694F4A" w14:textId="77777777" w:rsidR="00F5289E" w:rsidRDefault="00F5289E">
      <w:pPr>
        <w:widowControl/>
        <w:snapToGrid w:val="0"/>
        <w:spacing w:line="360" w:lineRule="auto"/>
        <w:rPr>
          <w:rFonts w:hAnsi="宋体"/>
          <w:b/>
          <w:bCs/>
          <w:kern w:val="0"/>
          <w:szCs w:val="21"/>
        </w:rPr>
      </w:pPr>
    </w:p>
    <w:p w14:paraId="50139AE1"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bookmarkStart w:id="88" w:name="OLE_LINK34"/>
      <w:bookmarkStart w:id="89" w:name="OLE_LINK33"/>
      <w:bookmarkStart w:id="90" w:name="OLE_LINK35"/>
      <w:r>
        <w:t>茶艺的概念、茶艺与茶道的关系。</w:t>
      </w:r>
      <w:bookmarkEnd w:id="88"/>
      <w:bookmarkEnd w:id="89"/>
      <w:bookmarkEnd w:id="90"/>
    </w:p>
    <w:p w14:paraId="1B299124"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kern w:val="0"/>
          <w:szCs w:val="21"/>
        </w:rPr>
        <w:t>了解茶艺的形成与发展过程，</w:t>
      </w:r>
      <w:r>
        <w:rPr>
          <w:rFonts w:hint="eastAsia"/>
          <w:kern w:val="0"/>
          <w:szCs w:val="21"/>
        </w:rPr>
        <w:t>不同地域的饮茶习俗；理解茶艺概念的形成过程；掌握茶艺基本概念；熟练掌握中华茶艺与日本茶道的关系。</w:t>
      </w:r>
      <w:r>
        <w:rPr>
          <w:rFonts w:ascii="宋体" w:hAnsi="宋体"/>
        </w:rPr>
        <w:t xml:space="preserve"> </w:t>
      </w:r>
    </w:p>
    <w:p w14:paraId="24B1DF08" w14:textId="77777777" w:rsidR="00F5289E" w:rsidRDefault="00C91173">
      <w:pPr>
        <w:widowControl/>
        <w:snapToGrid w:val="0"/>
        <w:spacing w:line="360" w:lineRule="auto"/>
        <w:rPr>
          <w:rFonts w:ascii="宋体" w:hAnsi="宋体"/>
        </w:rPr>
      </w:pPr>
      <w:r>
        <w:rPr>
          <w:rFonts w:ascii="宋体" w:hAnsi="宋体" w:hint="eastAsia"/>
          <w:b/>
          <w:bCs/>
        </w:rPr>
        <w:lastRenderedPageBreak/>
        <w:t>教学组织与实施：</w:t>
      </w:r>
      <w:r>
        <w:rPr>
          <w:rFonts w:ascii="宋体" w:hAnsi="宋体" w:hint="eastAsia"/>
        </w:rPr>
        <w:t>课堂展示《故事里的茶》；</w:t>
      </w:r>
      <w:bookmarkStart w:id="91" w:name="OLE_LINK3"/>
      <w:r>
        <w:rPr>
          <w:rFonts w:ascii="宋体" w:hAnsi="宋体" w:hint="eastAsia"/>
        </w:rPr>
        <w:t>问题引入“你眼中的茶艺”，“茶艺与茶道一样吗”；根据学生答案，引入新知识点的讲授，通过对“茶艺”一词的争议过程的讲解，讲授茶艺的发展历史与形成过程，引出“茶艺”概念；通过对比讲解，视频观看，引出茶艺与茶道的关系；掌握茶叶基本分类与特征，了解茶性。最后总结回顾，理解茶艺概念和掌握茶艺与茶道的异同。作业布置：采访身边人“什么是茶艺”，并进行讲解什么是茶艺（拍摄小视频形式）。</w:t>
      </w:r>
      <w:bookmarkEnd w:id="91"/>
    </w:p>
    <w:p w14:paraId="56C5FE49" w14:textId="77777777" w:rsidR="00F5289E" w:rsidRDefault="00F5289E">
      <w:pPr>
        <w:widowControl/>
        <w:snapToGrid w:val="0"/>
        <w:spacing w:line="360" w:lineRule="auto"/>
        <w:rPr>
          <w:rFonts w:ascii="宋体" w:hAnsi="宋体"/>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F58FDA7" w14:textId="77777777">
        <w:trPr>
          <w:trHeight w:val="270"/>
        </w:trPr>
        <w:tc>
          <w:tcPr>
            <w:tcW w:w="2965" w:type="dxa"/>
            <w:tcBorders>
              <w:top w:val="nil"/>
              <w:left w:val="nil"/>
              <w:bottom w:val="nil"/>
              <w:right w:val="nil"/>
            </w:tcBorders>
            <w:vAlign w:val="center"/>
          </w:tcPr>
          <w:p w14:paraId="04B92232"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D618C50"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bCs/>
                <w:kern w:val="0"/>
                <w:szCs w:val="21"/>
              </w:rPr>
              <w:t>水与器的选择</w:t>
            </w:r>
          </w:p>
        </w:tc>
        <w:tc>
          <w:tcPr>
            <w:tcW w:w="2966" w:type="dxa"/>
            <w:tcBorders>
              <w:top w:val="nil"/>
              <w:left w:val="nil"/>
              <w:bottom w:val="nil"/>
              <w:right w:val="nil"/>
            </w:tcBorders>
            <w:vAlign w:val="center"/>
          </w:tcPr>
          <w:p w14:paraId="3250C31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7407E7A0" w14:textId="77777777" w:rsidR="00F5289E" w:rsidRDefault="00F5289E">
      <w:pPr>
        <w:widowControl/>
        <w:snapToGrid w:val="0"/>
        <w:spacing w:line="360" w:lineRule="auto"/>
        <w:jc w:val="left"/>
        <w:rPr>
          <w:rFonts w:hAnsi="宋体"/>
          <w:b/>
          <w:bCs/>
          <w:kern w:val="0"/>
          <w:szCs w:val="21"/>
        </w:rPr>
      </w:pPr>
    </w:p>
    <w:p w14:paraId="6E4DDDE8" w14:textId="77777777" w:rsidR="00F5289E" w:rsidRDefault="00C91173" w:rsidP="00A115EF">
      <w:pPr>
        <w:widowControl/>
        <w:numPr>
          <w:ilvl w:val="0"/>
          <w:numId w:val="39"/>
        </w:numPr>
        <w:snapToGrid w:val="0"/>
        <w:spacing w:line="360" w:lineRule="auto"/>
        <w:jc w:val="left"/>
        <w:rPr>
          <w:rFonts w:hAnsi="宋体"/>
          <w:b/>
          <w:bCs/>
          <w:kern w:val="0"/>
          <w:szCs w:val="21"/>
        </w:rPr>
      </w:pPr>
      <w:r>
        <w:rPr>
          <w:rFonts w:hAnsi="宋体" w:hint="eastAsia"/>
          <w:b/>
          <w:bCs/>
          <w:kern w:val="0"/>
          <w:szCs w:val="21"/>
        </w:rPr>
        <w:t xml:space="preserve"> </w:t>
      </w:r>
      <w:r>
        <w:rPr>
          <w:rFonts w:hAnsi="宋体" w:hint="eastAsia"/>
          <w:b/>
          <w:bCs/>
          <w:kern w:val="0"/>
          <w:szCs w:val="21"/>
        </w:rPr>
        <w:t>水为茶之母</w:t>
      </w:r>
      <w:r>
        <w:rPr>
          <w:rFonts w:hAnsi="宋体" w:hint="eastAsia"/>
          <w:b/>
          <w:bCs/>
          <w:kern w:val="0"/>
          <w:szCs w:val="21"/>
        </w:rPr>
        <w:t xml:space="preserve">  </w:t>
      </w:r>
      <w:r>
        <w:rPr>
          <w:rFonts w:ascii="宋体" w:hAnsi="宋体" w:hint="eastAsia"/>
          <w:b/>
          <w:bCs/>
        </w:rPr>
        <w:t>2</w:t>
      </w:r>
      <w:r>
        <w:rPr>
          <w:rFonts w:ascii="宋体" w:hAnsi="宋体"/>
          <w:b/>
          <w:bCs/>
        </w:rPr>
        <w:t>学时</w:t>
      </w:r>
    </w:p>
    <w:p w14:paraId="3C4705FE" w14:textId="77777777" w:rsidR="00F5289E" w:rsidRDefault="00C91173" w:rsidP="00A115EF">
      <w:pPr>
        <w:widowControl/>
        <w:numPr>
          <w:ilvl w:val="0"/>
          <w:numId w:val="39"/>
        </w:numPr>
        <w:snapToGrid w:val="0"/>
        <w:spacing w:line="360" w:lineRule="auto"/>
        <w:jc w:val="left"/>
        <w:rPr>
          <w:rFonts w:hAnsi="宋体"/>
          <w:b/>
          <w:bCs/>
          <w:kern w:val="0"/>
          <w:szCs w:val="21"/>
        </w:rPr>
      </w:pPr>
      <w:r>
        <w:rPr>
          <w:rFonts w:hAnsi="宋体" w:hint="eastAsia"/>
          <w:b/>
          <w:bCs/>
          <w:kern w:val="0"/>
          <w:szCs w:val="21"/>
        </w:rPr>
        <w:t xml:space="preserve"> </w:t>
      </w:r>
      <w:r>
        <w:rPr>
          <w:rFonts w:hAnsi="宋体" w:hint="eastAsia"/>
          <w:b/>
          <w:bCs/>
          <w:kern w:val="0"/>
          <w:szCs w:val="21"/>
        </w:rPr>
        <w:t>器为茶之父</w:t>
      </w:r>
      <w:r>
        <w:rPr>
          <w:rFonts w:hAnsi="宋体" w:hint="eastAsia"/>
          <w:b/>
          <w:bCs/>
          <w:kern w:val="0"/>
          <w:szCs w:val="21"/>
        </w:rPr>
        <w:t xml:space="preserve">  </w:t>
      </w:r>
      <w:r>
        <w:rPr>
          <w:rFonts w:ascii="宋体" w:hAnsi="宋体" w:hint="eastAsia"/>
          <w:b/>
          <w:bCs/>
        </w:rPr>
        <w:t>2</w:t>
      </w:r>
      <w:r>
        <w:rPr>
          <w:rFonts w:ascii="宋体" w:hAnsi="宋体"/>
          <w:b/>
          <w:bCs/>
        </w:rPr>
        <w:t>学时</w:t>
      </w:r>
    </w:p>
    <w:p w14:paraId="0BBDACBB" w14:textId="77777777" w:rsidR="00F5289E" w:rsidRDefault="00C91173">
      <w:pPr>
        <w:widowControl/>
        <w:snapToGrid w:val="0"/>
        <w:spacing w:line="360" w:lineRule="auto"/>
        <w:jc w:val="left"/>
        <w:rPr>
          <w:szCs w:val="21"/>
        </w:rPr>
      </w:pPr>
      <w:r>
        <w:rPr>
          <w:rFonts w:ascii="宋体" w:hAnsi="宋体" w:hint="eastAsia"/>
          <w:b/>
          <w:bCs/>
        </w:rPr>
        <w:t>教学目标：</w:t>
      </w:r>
      <w:r>
        <w:rPr>
          <w:szCs w:val="21"/>
        </w:rPr>
        <w:t>掌握水与器对茶汤品质的影响，从而能够在茶艺</w:t>
      </w:r>
      <w:r>
        <w:rPr>
          <w:rFonts w:hint="eastAsia"/>
          <w:szCs w:val="21"/>
        </w:rPr>
        <w:t>过程</w:t>
      </w:r>
      <w:r>
        <w:rPr>
          <w:szCs w:val="21"/>
        </w:rPr>
        <w:t>中对水与器进行最佳选择。</w:t>
      </w:r>
    </w:p>
    <w:p w14:paraId="0698320B" w14:textId="77777777" w:rsidR="00F5289E" w:rsidRDefault="00C91173">
      <w:pPr>
        <w:widowControl/>
        <w:snapToGrid w:val="0"/>
        <w:spacing w:line="360" w:lineRule="auto"/>
        <w:jc w:val="left"/>
      </w:pPr>
      <w:r>
        <w:rPr>
          <w:b/>
          <w:bCs/>
        </w:rPr>
        <w:t>教学重点和难点：</w:t>
      </w:r>
      <w:r>
        <w:rPr>
          <w:szCs w:val="21"/>
        </w:rPr>
        <w:t>不同水</w:t>
      </w:r>
      <w:r>
        <w:rPr>
          <w:rFonts w:hint="eastAsia"/>
          <w:szCs w:val="21"/>
        </w:rPr>
        <w:t>质</w:t>
      </w:r>
      <w:r>
        <w:rPr>
          <w:szCs w:val="21"/>
        </w:rPr>
        <w:t>与</w:t>
      </w:r>
      <w:r>
        <w:rPr>
          <w:rFonts w:hint="eastAsia"/>
          <w:szCs w:val="21"/>
        </w:rPr>
        <w:t>茶具</w:t>
      </w:r>
      <w:r>
        <w:rPr>
          <w:szCs w:val="21"/>
        </w:rPr>
        <w:t>对茶汤品质的影响。</w:t>
      </w:r>
    </w:p>
    <w:p w14:paraId="17C474A4" w14:textId="77777777" w:rsidR="00F5289E" w:rsidRDefault="00C91173">
      <w:pPr>
        <w:widowControl/>
        <w:snapToGrid w:val="0"/>
        <w:spacing w:line="360" w:lineRule="auto"/>
        <w:jc w:val="left"/>
        <w:rPr>
          <w:kern w:val="0"/>
          <w:szCs w:val="21"/>
        </w:rPr>
      </w:pPr>
      <w:r>
        <w:rPr>
          <w:b/>
          <w:bCs/>
        </w:rPr>
        <w:t>主要教学内容及要求：</w:t>
      </w:r>
      <w:r>
        <w:rPr>
          <w:rFonts w:hint="eastAsia"/>
          <w:kern w:val="0"/>
          <w:szCs w:val="21"/>
        </w:rPr>
        <w:t>了解自唐代茶文化盛行以来，古人对泡茶用水和茶具的选择；理解不同水源和不同材质的茶具对茶汤品质的影响，掌握泡茶的适宜用水要求和不同茶具的优缺点；熟练掌握冲泡不同茶类对水与器的选择。</w:t>
      </w:r>
    </w:p>
    <w:p w14:paraId="66BB643C"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rPr>
        <w:t>课堂展示《故事里的茶》；问题引入“适宜泡茶的水有哪些”，“泡茶器具对茶汤品质有影响吗”；根据学生答案，引入新知识点的讲授，通过对“古人泡茶用水和茶具的讲究”的讲解，引出现代人的科学泡茶用水和茶具的选择；通过案例讲解不同水质和茶具对茶汤品质的影响，引出如何科学选水和茶具进行泡茶；最后总结回顾，理解泡茶用水和茶具对茶汤品质的影响，掌握冲泡不同茶类水与器的选择。作业布置：用两种不同水源或茶具冲泡同一茶类，对比差异。（照片拍摄及原因分析）。</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4FCC88D" w14:textId="77777777">
        <w:trPr>
          <w:trHeight w:val="270"/>
        </w:trPr>
        <w:tc>
          <w:tcPr>
            <w:tcW w:w="2965" w:type="dxa"/>
            <w:tcBorders>
              <w:top w:val="nil"/>
              <w:left w:val="nil"/>
              <w:bottom w:val="nil"/>
              <w:right w:val="nil"/>
            </w:tcBorders>
            <w:vAlign w:val="center"/>
          </w:tcPr>
          <w:p w14:paraId="3E013587"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F6F4CD1"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bCs/>
                <w:kern w:val="0"/>
                <w:szCs w:val="21"/>
              </w:rPr>
              <w:t>茶艺基本礼仪</w:t>
            </w:r>
          </w:p>
        </w:tc>
        <w:tc>
          <w:tcPr>
            <w:tcW w:w="2966" w:type="dxa"/>
            <w:tcBorders>
              <w:top w:val="nil"/>
              <w:left w:val="nil"/>
              <w:bottom w:val="nil"/>
              <w:right w:val="nil"/>
            </w:tcBorders>
            <w:vAlign w:val="center"/>
          </w:tcPr>
          <w:p w14:paraId="7BE2C06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30A6907B" w14:textId="77777777" w:rsidR="00F5289E" w:rsidRDefault="00C91173" w:rsidP="00A115EF">
      <w:pPr>
        <w:numPr>
          <w:ilvl w:val="0"/>
          <w:numId w:val="40"/>
        </w:numPr>
        <w:spacing w:line="400" w:lineRule="atLeast"/>
        <w:jc w:val="left"/>
        <w:rPr>
          <w:b/>
          <w:bCs/>
        </w:rPr>
      </w:pPr>
      <w:bookmarkStart w:id="92" w:name="OLE_LINK28"/>
      <w:bookmarkStart w:id="93" w:name="OLE_LINK29"/>
      <w:r>
        <w:rPr>
          <w:rFonts w:hint="eastAsia"/>
          <w:b/>
          <w:bCs/>
        </w:rPr>
        <w:t>茶艺礼仪的</w:t>
      </w:r>
      <w:r>
        <w:rPr>
          <w:b/>
          <w:bCs/>
        </w:rPr>
        <w:t>基本要求</w:t>
      </w:r>
      <w:r>
        <w:rPr>
          <w:rFonts w:hint="eastAsia"/>
          <w:b/>
          <w:bCs/>
        </w:rPr>
        <w:t xml:space="preserve">  0.5</w:t>
      </w:r>
      <w:r>
        <w:rPr>
          <w:rFonts w:hint="eastAsia"/>
          <w:b/>
          <w:bCs/>
        </w:rPr>
        <w:t>学时</w:t>
      </w:r>
    </w:p>
    <w:p w14:paraId="01018E90" w14:textId="77777777" w:rsidR="00F5289E" w:rsidRDefault="00C91173">
      <w:pPr>
        <w:spacing w:line="400" w:lineRule="atLeast"/>
        <w:jc w:val="left"/>
        <w:rPr>
          <w:b/>
          <w:bCs/>
        </w:rPr>
      </w:pPr>
      <w:r>
        <w:rPr>
          <w:b/>
          <w:bCs/>
        </w:rPr>
        <w:t>第二节</w:t>
      </w:r>
      <w:r>
        <w:rPr>
          <w:b/>
          <w:bCs/>
        </w:rPr>
        <w:t xml:space="preserve"> </w:t>
      </w:r>
      <w:r>
        <w:rPr>
          <w:rFonts w:hint="eastAsia"/>
          <w:b/>
          <w:bCs/>
        </w:rPr>
        <w:t>茶艺基本</w:t>
      </w:r>
      <w:r>
        <w:rPr>
          <w:b/>
          <w:bCs/>
        </w:rPr>
        <w:t>礼仪</w:t>
      </w:r>
      <w:r>
        <w:rPr>
          <w:rFonts w:hint="eastAsia"/>
          <w:b/>
          <w:bCs/>
        </w:rPr>
        <w:t xml:space="preserve">   0.5</w:t>
      </w:r>
      <w:r>
        <w:rPr>
          <w:rFonts w:hint="eastAsia"/>
          <w:b/>
          <w:bCs/>
        </w:rPr>
        <w:t>学时</w:t>
      </w:r>
    </w:p>
    <w:p w14:paraId="33C6CF8E" w14:textId="77777777" w:rsidR="00F5289E" w:rsidRDefault="00C91173">
      <w:pPr>
        <w:spacing w:line="400" w:lineRule="atLeast"/>
        <w:jc w:val="left"/>
        <w:rPr>
          <w:b/>
          <w:bCs/>
        </w:rPr>
      </w:pPr>
      <w:r>
        <w:rPr>
          <w:b/>
          <w:bCs/>
        </w:rPr>
        <w:t>第三节</w:t>
      </w:r>
      <w:r>
        <w:rPr>
          <w:b/>
          <w:bCs/>
        </w:rPr>
        <w:t xml:space="preserve"> </w:t>
      </w:r>
      <w:r>
        <w:rPr>
          <w:rFonts w:hint="eastAsia"/>
          <w:b/>
          <w:bCs/>
        </w:rPr>
        <w:t>仪容和仪态</w:t>
      </w:r>
      <w:r>
        <w:rPr>
          <w:rFonts w:hint="eastAsia"/>
          <w:b/>
          <w:bCs/>
        </w:rPr>
        <w:t xml:space="preserve">   1</w:t>
      </w:r>
      <w:r>
        <w:rPr>
          <w:rFonts w:hint="eastAsia"/>
          <w:b/>
          <w:bCs/>
        </w:rPr>
        <w:t>学时</w:t>
      </w:r>
    </w:p>
    <w:bookmarkEnd w:id="92"/>
    <w:bookmarkEnd w:id="93"/>
    <w:p w14:paraId="6D1538A0" w14:textId="77777777" w:rsidR="00F5289E" w:rsidRDefault="00C91173">
      <w:pPr>
        <w:widowControl/>
        <w:snapToGrid w:val="0"/>
        <w:spacing w:line="400" w:lineRule="atLeast"/>
        <w:jc w:val="left"/>
        <w:rPr>
          <w:szCs w:val="21"/>
        </w:rPr>
      </w:pPr>
      <w:r>
        <w:rPr>
          <w:rFonts w:ascii="宋体" w:hAnsi="宋体" w:hint="eastAsia"/>
          <w:b/>
          <w:bCs/>
        </w:rPr>
        <w:t>教学目标：</w:t>
      </w:r>
      <w:r>
        <w:rPr>
          <w:szCs w:val="21"/>
        </w:rPr>
        <w:t>让学生</w:t>
      </w:r>
      <w:r>
        <w:rPr>
          <w:kern w:val="0"/>
          <w:szCs w:val="21"/>
        </w:rPr>
        <w:t>了解并掌握茶艺过程中茶艺师的仪容、仪态与基本礼仪。</w:t>
      </w:r>
    </w:p>
    <w:p w14:paraId="622A46C0" w14:textId="77777777" w:rsidR="00F5289E" w:rsidRDefault="00C91173">
      <w:pPr>
        <w:adjustRightInd w:val="0"/>
        <w:snapToGrid w:val="0"/>
        <w:spacing w:line="400" w:lineRule="atLeast"/>
        <w:jc w:val="left"/>
      </w:pPr>
      <w:r>
        <w:rPr>
          <w:b/>
          <w:bCs/>
        </w:rPr>
        <w:t>教学重点和难点：</w:t>
      </w:r>
      <w:r>
        <w:t>茶艺礼仪</w:t>
      </w:r>
      <w:r>
        <w:rPr>
          <w:rFonts w:hint="eastAsia"/>
        </w:rPr>
        <w:t>基本动作</w:t>
      </w:r>
      <w:r>
        <w:t>。</w:t>
      </w:r>
    </w:p>
    <w:p w14:paraId="0AE91649" w14:textId="77777777" w:rsidR="00F5289E" w:rsidRDefault="00C91173">
      <w:pPr>
        <w:widowControl/>
        <w:snapToGrid w:val="0"/>
        <w:spacing w:line="400" w:lineRule="atLeast"/>
        <w:jc w:val="left"/>
        <w:rPr>
          <w:kern w:val="0"/>
          <w:szCs w:val="21"/>
        </w:rPr>
      </w:pPr>
      <w:r>
        <w:rPr>
          <w:b/>
          <w:bCs/>
        </w:rPr>
        <w:t>主要教学内容及要求：</w:t>
      </w:r>
      <w:r>
        <w:rPr>
          <w:rFonts w:hint="eastAsia"/>
        </w:rPr>
        <w:t>了解礼仪的重要性；理解茶艺礼仪的基本要求；掌握茶艺中的基本礼仪；熟练掌握茶艺中的常用礼仪和寓意礼。</w:t>
      </w:r>
    </w:p>
    <w:p w14:paraId="2B089C87" w14:textId="77777777" w:rsidR="00F5289E" w:rsidRDefault="00C91173">
      <w:pPr>
        <w:widowControl/>
        <w:snapToGrid w:val="0"/>
        <w:spacing w:line="400" w:lineRule="atLeast"/>
        <w:rPr>
          <w:rFonts w:ascii="宋体" w:hAnsi="宋体"/>
        </w:rPr>
      </w:pPr>
      <w:r>
        <w:rPr>
          <w:rFonts w:ascii="宋体" w:hAnsi="宋体" w:hint="eastAsia"/>
          <w:b/>
          <w:bCs/>
        </w:rPr>
        <w:t>教学组织与实施：</w:t>
      </w:r>
      <w:r>
        <w:rPr>
          <w:rFonts w:ascii="宋体" w:hAnsi="宋体" w:hint="eastAsia"/>
        </w:rPr>
        <w:t>课堂展示《故事里的茶》；问题引入“茶艺中的哪些动作属于基本礼仪”；根据学生答案，引入新知识点的讲授，通过对“中国是礼仪之邦”的引入，引出茶艺中礼仪的重要性；通过视频观看，现场示范及学生模拟，讲解茶艺中的基本礼仪动作及动作要点；最后总结回顾，茶艺中的常用礼仪及寓意礼，掌握掌握动作的规范性和寓意。作业布置：向身边人讲解两个茶艺中的礼仪动作（拍摄小视频形式）。</w:t>
      </w:r>
    </w:p>
    <w:p w14:paraId="0469AEC1" w14:textId="77777777" w:rsidR="00F5289E" w:rsidRDefault="00F5289E">
      <w:pPr>
        <w:widowControl/>
        <w:snapToGrid w:val="0"/>
        <w:spacing w:line="360" w:lineRule="auto"/>
        <w:rPr>
          <w:rFonts w:ascii="宋体" w:hAnsi="宋体"/>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07A1E0F" w14:textId="77777777">
        <w:trPr>
          <w:trHeight w:val="270"/>
        </w:trPr>
        <w:tc>
          <w:tcPr>
            <w:tcW w:w="2965" w:type="dxa"/>
            <w:tcBorders>
              <w:top w:val="nil"/>
              <w:left w:val="nil"/>
              <w:bottom w:val="nil"/>
              <w:right w:val="nil"/>
            </w:tcBorders>
            <w:vAlign w:val="center"/>
          </w:tcPr>
          <w:p w14:paraId="6561CF11"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451BEC7"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bCs/>
                <w:kern w:val="0"/>
                <w:szCs w:val="21"/>
              </w:rPr>
              <w:t>茶席设计</w:t>
            </w:r>
          </w:p>
        </w:tc>
        <w:tc>
          <w:tcPr>
            <w:tcW w:w="2966" w:type="dxa"/>
            <w:tcBorders>
              <w:top w:val="nil"/>
              <w:left w:val="nil"/>
              <w:bottom w:val="nil"/>
              <w:right w:val="nil"/>
            </w:tcBorders>
            <w:vAlign w:val="center"/>
          </w:tcPr>
          <w:p w14:paraId="7F10BEF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7DFFEB1" w14:textId="77777777" w:rsidR="00F5289E" w:rsidRDefault="00C91173">
      <w:pPr>
        <w:spacing w:line="400" w:lineRule="atLeast"/>
        <w:jc w:val="left"/>
        <w:rPr>
          <w:b/>
          <w:bCs/>
        </w:rPr>
      </w:pPr>
      <w:r>
        <w:rPr>
          <w:b/>
          <w:bCs/>
        </w:rPr>
        <w:t>第一节</w:t>
      </w:r>
      <w:r>
        <w:rPr>
          <w:b/>
          <w:bCs/>
        </w:rPr>
        <w:t xml:space="preserve"> </w:t>
      </w:r>
      <w:r>
        <w:rPr>
          <w:rFonts w:hint="eastAsia"/>
          <w:b/>
          <w:bCs/>
        </w:rPr>
        <w:t>茶席概论</w:t>
      </w:r>
      <w:r>
        <w:rPr>
          <w:rFonts w:hint="eastAsia"/>
          <w:b/>
          <w:bCs/>
        </w:rPr>
        <w:t xml:space="preserve">   </w:t>
      </w:r>
      <w:r>
        <w:rPr>
          <w:b/>
          <w:bCs/>
        </w:rPr>
        <w:t>0.5</w:t>
      </w:r>
      <w:r>
        <w:rPr>
          <w:rFonts w:hint="eastAsia"/>
          <w:b/>
          <w:bCs/>
        </w:rPr>
        <w:t>学时</w:t>
      </w:r>
    </w:p>
    <w:p w14:paraId="573A8C97" w14:textId="77777777" w:rsidR="00F5289E" w:rsidRDefault="00C91173">
      <w:pPr>
        <w:spacing w:line="400" w:lineRule="atLeast"/>
        <w:jc w:val="left"/>
        <w:rPr>
          <w:b/>
          <w:bCs/>
        </w:rPr>
      </w:pPr>
      <w:r>
        <w:rPr>
          <w:b/>
          <w:bCs/>
        </w:rPr>
        <w:t>第二节</w:t>
      </w:r>
      <w:r>
        <w:rPr>
          <w:b/>
          <w:bCs/>
        </w:rPr>
        <w:t xml:space="preserve"> </w:t>
      </w:r>
      <w:r>
        <w:rPr>
          <w:rFonts w:hint="eastAsia"/>
          <w:b/>
          <w:bCs/>
        </w:rPr>
        <w:t>茶席基本构成</w:t>
      </w:r>
      <w:r>
        <w:rPr>
          <w:rFonts w:hint="eastAsia"/>
          <w:b/>
          <w:bCs/>
        </w:rPr>
        <w:t xml:space="preserve">   </w:t>
      </w:r>
      <w:r>
        <w:rPr>
          <w:b/>
          <w:bCs/>
        </w:rPr>
        <w:t>0.5</w:t>
      </w:r>
      <w:r>
        <w:rPr>
          <w:rFonts w:hint="eastAsia"/>
          <w:b/>
          <w:bCs/>
        </w:rPr>
        <w:t>学时</w:t>
      </w:r>
    </w:p>
    <w:p w14:paraId="7C3050D9" w14:textId="77777777" w:rsidR="00F5289E" w:rsidRDefault="00C91173">
      <w:pPr>
        <w:spacing w:line="400" w:lineRule="atLeast"/>
        <w:jc w:val="left"/>
        <w:rPr>
          <w:b/>
          <w:bCs/>
        </w:rPr>
      </w:pPr>
      <w:r>
        <w:rPr>
          <w:rFonts w:hint="eastAsia"/>
          <w:b/>
          <w:bCs/>
        </w:rPr>
        <w:t>第三节</w:t>
      </w:r>
      <w:r>
        <w:rPr>
          <w:rFonts w:hint="eastAsia"/>
          <w:b/>
          <w:bCs/>
        </w:rPr>
        <w:t xml:space="preserve"> </w:t>
      </w:r>
      <w:r>
        <w:rPr>
          <w:rFonts w:hint="eastAsia"/>
          <w:b/>
          <w:bCs/>
        </w:rPr>
        <w:t>主题茶席设计</w:t>
      </w:r>
      <w:r>
        <w:rPr>
          <w:rFonts w:hint="eastAsia"/>
          <w:b/>
          <w:bCs/>
        </w:rPr>
        <w:t xml:space="preserve">   </w:t>
      </w:r>
      <w:r>
        <w:rPr>
          <w:b/>
          <w:bCs/>
        </w:rPr>
        <w:t>1</w:t>
      </w:r>
      <w:r>
        <w:rPr>
          <w:rFonts w:hint="eastAsia"/>
          <w:b/>
          <w:bCs/>
        </w:rPr>
        <w:t>学时</w:t>
      </w:r>
    </w:p>
    <w:p w14:paraId="649A866C" w14:textId="77777777" w:rsidR="00F5289E" w:rsidRDefault="00C91173">
      <w:pPr>
        <w:widowControl/>
        <w:snapToGrid w:val="0"/>
        <w:spacing w:line="400" w:lineRule="atLeast"/>
        <w:jc w:val="left"/>
        <w:rPr>
          <w:szCs w:val="21"/>
        </w:rPr>
      </w:pPr>
      <w:r>
        <w:rPr>
          <w:rFonts w:ascii="宋体" w:hAnsi="宋体" w:hint="eastAsia"/>
          <w:b/>
          <w:bCs/>
        </w:rPr>
        <w:t>教学目标：</w:t>
      </w:r>
      <w:r>
        <w:rPr>
          <w:kern w:val="0"/>
          <w:szCs w:val="21"/>
        </w:rPr>
        <w:t>了解并掌握</w:t>
      </w:r>
      <w:r>
        <w:rPr>
          <w:rFonts w:hint="eastAsia"/>
          <w:kern w:val="0"/>
          <w:szCs w:val="21"/>
        </w:rPr>
        <w:t>茶席的概念与基本构成元素，学会独立设计一款茶席</w:t>
      </w:r>
      <w:r>
        <w:rPr>
          <w:kern w:val="0"/>
          <w:szCs w:val="21"/>
        </w:rPr>
        <w:t>。</w:t>
      </w:r>
    </w:p>
    <w:p w14:paraId="1723C52A" w14:textId="77777777" w:rsidR="00F5289E" w:rsidRDefault="00C91173">
      <w:pPr>
        <w:adjustRightInd w:val="0"/>
        <w:snapToGrid w:val="0"/>
        <w:spacing w:line="400" w:lineRule="atLeast"/>
        <w:jc w:val="left"/>
      </w:pPr>
      <w:r>
        <w:rPr>
          <w:b/>
          <w:bCs/>
        </w:rPr>
        <w:t>教学重点和难点：</w:t>
      </w:r>
      <w:r>
        <w:rPr>
          <w:szCs w:val="21"/>
        </w:rPr>
        <w:t>基础茶席的布置，茶席主题的凝练</w:t>
      </w:r>
      <w:r>
        <w:t>。</w:t>
      </w:r>
    </w:p>
    <w:p w14:paraId="524F8D43" w14:textId="77777777" w:rsidR="00F5289E" w:rsidRDefault="00C91173">
      <w:pPr>
        <w:widowControl/>
        <w:snapToGrid w:val="0"/>
        <w:spacing w:line="400" w:lineRule="atLeast"/>
        <w:jc w:val="left"/>
        <w:rPr>
          <w:kern w:val="0"/>
          <w:szCs w:val="21"/>
        </w:rPr>
      </w:pPr>
      <w:r>
        <w:rPr>
          <w:b/>
          <w:bCs/>
        </w:rPr>
        <w:t>主要教学内容及要求：</w:t>
      </w:r>
      <w:r>
        <w:rPr>
          <w:rFonts w:hint="eastAsia"/>
        </w:rPr>
        <w:t>了解茶席的演变历史；理解茶席的概念；掌握茶席的基本构成元素；熟练掌握对构成元素的巧妙利用，设计一款茶席。</w:t>
      </w:r>
    </w:p>
    <w:p w14:paraId="50EB153C" w14:textId="77777777" w:rsidR="00F5289E" w:rsidRDefault="00C91173">
      <w:pPr>
        <w:widowControl/>
        <w:snapToGrid w:val="0"/>
        <w:spacing w:line="400" w:lineRule="atLeast"/>
        <w:rPr>
          <w:rFonts w:ascii="宋体" w:hAnsi="宋体"/>
          <w:b/>
          <w:bCs/>
        </w:rPr>
      </w:pPr>
      <w:r>
        <w:rPr>
          <w:rFonts w:ascii="宋体" w:hAnsi="宋体" w:hint="eastAsia"/>
          <w:b/>
          <w:bCs/>
        </w:rPr>
        <w:t>教学组织与实施：</w:t>
      </w:r>
      <w:r>
        <w:rPr>
          <w:rFonts w:ascii="宋体" w:hAnsi="宋体" w:hint="eastAsia"/>
        </w:rPr>
        <w:t>课堂展示《故事里的茶》；案例比较进行问题引入“茶席的构成元素都有哪些”；根据学生答案，引入新知识点的讲授，通过对“茶席演变过程”的引入，引出茶席设计的重要性，讲解茶席基本构成与设计原则；通过案例分析，讲解主题茶席设计的要点；最后总结回顾，理解茶席设计的概念及构成元素，掌握对茶具，插花及其他要素的合理运用和搭配。作业布置：设计一款主题茶席，主题自拟（照片拍摄及作品赏析）。</w:t>
      </w:r>
    </w:p>
    <w:p w14:paraId="659A8D17" w14:textId="77777777" w:rsidR="00F5289E" w:rsidRDefault="00F5289E">
      <w:pPr>
        <w:widowControl/>
        <w:snapToGrid w:val="0"/>
        <w:spacing w:line="360" w:lineRule="auto"/>
        <w:jc w:val="left"/>
        <w:rPr>
          <w:kern w:val="0"/>
          <w:szCs w:val="21"/>
        </w:rPr>
      </w:pPr>
    </w:p>
    <w:p w14:paraId="75239394" w14:textId="77777777" w:rsidR="00F5289E" w:rsidRDefault="00F5289E">
      <w:pPr>
        <w:widowControl/>
        <w:snapToGrid w:val="0"/>
        <w:spacing w:line="360" w:lineRule="auto"/>
        <w:jc w:val="left"/>
        <w:rPr>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15C6504" w14:textId="77777777">
        <w:trPr>
          <w:trHeight w:val="270"/>
        </w:trPr>
        <w:tc>
          <w:tcPr>
            <w:tcW w:w="2965" w:type="dxa"/>
            <w:tcBorders>
              <w:top w:val="nil"/>
              <w:left w:val="nil"/>
              <w:bottom w:val="nil"/>
              <w:right w:val="nil"/>
            </w:tcBorders>
            <w:vAlign w:val="center"/>
          </w:tcPr>
          <w:p w14:paraId="70E18801"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72B764B"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int="eastAsia"/>
                <w:b/>
                <w:bCs/>
                <w:kern w:val="0"/>
                <w:szCs w:val="21"/>
              </w:rPr>
              <w:t>基础茶艺</w:t>
            </w:r>
          </w:p>
        </w:tc>
        <w:tc>
          <w:tcPr>
            <w:tcW w:w="2966" w:type="dxa"/>
            <w:tcBorders>
              <w:top w:val="nil"/>
              <w:left w:val="nil"/>
              <w:bottom w:val="nil"/>
              <w:right w:val="nil"/>
            </w:tcBorders>
            <w:vAlign w:val="center"/>
          </w:tcPr>
          <w:p w14:paraId="7965CC52"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609C34C6" w14:textId="77777777" w:rsidR="00F5289E" w:rsidRDefault="00F5289E">
      <w:pPr>
        <w:widowControl/>
        <w:snapToGrid w:val="0"/>
        <w:spacing w:line="360" w:lineRule="auto"/>
        <w:jc w:val="left"/>
        <w:rPr>
          <w:kern w:val="0"/>
          <w:szCs w:val="21"/>
        </w:rPr>
      </w:pPr>
    </w:p>
    <w:p w14:paraId="63A18677" w14:textId="77777777" w:rsidR="00F5289E" w:rsidRDefault="00C91173">
      <w:pPr>
        <w:adjustRightInd w:val="0"/>
        <w:snapToGrid w:val="0"/>
        <w:spacing w:line="360" w:lineRule="auto"/>
        <w:jc w:val="left"/>
        <w:rPr>
          <w:b/>
          <w:bCs/>
        </w:rPr>
      </w:pPr>
      <w:r>
        <w:rPr>
          <w:b/>
          <w:bCs/>
        </w:rPr>
        <w:t>第一节</w:t>
      </w:r>
      <w:r>
        <w:rPr>
          <w:b/>
          <w:bCs/>
        </w:rPr>
        <w:t xml:space="preserve"> </w:t>
      </w:r>
      <w:r>
        <w:rPr>
          <w:rFonts w:hint="eastAsia"/>
          <w:b/>
          <w:bCs/>
        </w:rPr>
        <w:t>茶艺基本手法</w:t>
      </w:r>
      <w:r>
        <w:rPr>
          <w:rFonts w:hint="eastAsia"/>
          <w:b/>
          <w:bCs/>
        </w:rPr>
        <w:t xml:space="preserve">  </w:t>
      </w:r>
      <w:r>
        <w:rPr>
          <w:b/>
          <w:bCs/>
        </w:rPr>
        <w:t>0.5</w:t>
      </w:r>
      <w:r>
        <w:rPr>
          <w:rFonts w:hint="eastAsia"/>
          <w:b/>
          <w:bCs/>
        </w:rPr>
        <w:t>学时</w:t>
      </w:r>
    </w:p>
    <w:p w14:paraId="46B06AB5" w14:textId="77777777" w:rsidR="00F5289E" w:rsidRDefault="00C91173">
      <w:pPr>
        <w:adjustRightInd w:val="0"/>
        <w:snapToGrid w:val="0"/>
        <w:spacing w:line="360" w:lineRule="auto"/>
        <w:jc w:val="left"/>
        <w:rPr>
          <w:b/>
          <w:bCs/>
        </w:rPr>
      </w:pPr>
      <w:r>
        <w:rPr>
          <w:rFonts w:hint="eastAsia"/>
          <w:b/>
          <w:bCs/>
        </w:rPr>
        <w:t>第二节</w:t>
      </w:r>
      <w:r>
        <w:rPr>
          <w:rFonts w:hint="eastAsia"/>
          <w:b/>
          <w:bCs/>
        </w:rPr>
        <w:t xml:space="preserve"> </w:t>
      </w:r>
      <w:r>
        <w:rPr>
          <w:rFonts w:hint="eastAsia"/>
          <w:b/>
          <w:bCs/>
        </w:rPr>
        <w:t>茶艺基本流程</w:t>
      </w:r>
      <w:r>
        <w:rPr>
          <w:rFonts w:hint="eastAsia"/>
          <w:b/>
          <w:bCs/>
        </w:rPr>
        <w:t xml:space="preserve">  </w:t>
      </w:r>
      <w:r>
        <w:rPr>
          <w:b/>
          <w:bCs/>
        </w:rPr>
        <w:t>0.5</w:t>
      </w:r>
      <w:r>
        <w:rPr>
          <w:rFonts w:hint="eastAsia"/>
          <w:b/>
          <w:bCs/>
        </w:rPr>
        <w:t>学时</w:t>
      </w:r>
    </w:p>
    <w:p w14:paraId="78FA75AC" w14:textId="77777777" w:rsidR="00F5289E" w:rsidRDefault="00C91173" w:rsidP="00A115EF">
      <w:pPr>
        <w:numPr>
          <w:ilvl w:val="0"/>
          <w:numId w:val="39"/>
        </w:numPr>
        <w:adjustRightInd w:val="0"/>
        <w:snapToGrid w:val="0"/>
        <w:spacing w:line="360" w:lineRule="auto"/>
        <w:jc w:val="left"/>
        <w:rPr>
          <w:b/>
          <w:bCs/>
        </w:rPr>
      </w:pPr>
      <w:r>
        <w:rPr>
          <w:b/>
          <w:bCs/>
        </w:rPr>
        <w:t>玻璃杯泡法茶艺</w:t>
      </w:r>
      <w:r>
        <w:rPr>
          <w:rFonts w:hint="eastAsia"/>
          <w:b/>
          <w:bCs/>
        </w:rPr>
        <w:t xml:space="preserve">  1</w:t>
      </w:r>
      <w:r>
        <w:rPr>
          <w:rFonts w:hint="eastAsia"/>
          <w:b/>
          <w:bCs/>
        </w:rPr>
        <w:t>学时</w:t>
      </w:r>
      <w:r>
        <w:rPr>
          <w:rFonts w:hint="eastAsia"/>
          <w:b/>
          <w:bCs/>
        </w:rPr>
        <w:t xml:space="preserve">    </w:t>
      </w:r>
    </w:p>
    <w:p w14:paraId="3B81321C" w14:textId="77777777" w:rsidR="00F5289E" w:rsidRDefault="00C91173" w:rsidP="00A115EF">
      <w:pPr>
        <w:numPr>
          <w:ilvl w:val="0"/>
          <w:numId w:val="39"/>
        </w:numPr>
        <w:adjustRightInd w:val="0"/>
        <w:snapToGrid w:val="0"/>
        <w:spacing w:line="360" w:lineRule="auto"/>
        <w:jc w:val="left"/>
        <w:rPr>
          <w:b/>
          <w:bCs/>
        </w:rPr>
      </w:pPr>
      <w:r>
        <w:rPr>
          <w:b/>
          <w:bCs/>
        </w:rPr>
        <w:t>盖碗泡法茶艺</w:t>
      </w:r>
      <w:r>
        <w:rPr>
          <w:rFonts w:hint="eastAsia"/>
          <w:b/>
          <w:bCs/>
        </w:rPr>
        <w:t xml:space="preserve">  1</w:t>
      </w:r>
      <w:r>
        <w:rPr>
          <w:rFonts w:hint="eastAsia"/>
          <w:b/>
          <w:bCs/>
        </w:rPr>
        <w:t>学时</w:t>
      </w:r>
    </w:p>
    <w:p w14:paraId="666C21EE" w14:textId="77777777" w:rsidR="00F5289E" w:rsidRDefault="00C91173">
      <w:pPr>
        <w:adjustRightInd w:val="0"/>
        <w:snapToGrid w:val="0"/>
        <w:spacing w:line="360" w:lineRule="auto"/>
        <w:jc w:val="left"/>
        <w:rPr>
          <w:b/>
          <w:bCs/>
        </w:rPr>
      </w:pPr>
      <w:r>
        <w:rPr>
          <w:b/>
          <w:bCs/>
        </w:rPr>
        <w:t>第</w:t>
      </w:r>
      <w:r>
        <w:rPr>
          <w:rFonts w:hint="eastAsia"/>
          <w:b/>
          <w:bCs/>
        </w:rPr>
        <w:t>五</w:t>
      </w:r>
      <w:r>
        <w:rPr>
          <w:b/>
          <w:bCs/>
        </w:rPr>
        <w:t>节</w:t>
      </w:r>
      <w:r>
        <w:rPr>
          <w:b/>
          <w:bCs/>
        </w:rPr>
        <w:t xml:space="preserve"> </w:t>
      </w:r>
      <w:r>
        <w:rPr>
          <w:b/>
          <w:bCs/>
        </w:rPr>
        <w:t>壶泡法茶艺</w:t>
      </w:r>
      <w:r>
        <w:rPr>
          <w:rFonts w:hint="eastAsia"/>
          <w:b/>
          <w:bCs/>
        </w:rPr>
        <w:t xml:space="preserve">  </w:t>
      </w:r>
      <w:r>
        <w:rPr>
          <w:b/>
          <w:bCs/>
        </w:rPr>
        <w:t>0.5</w:t>
      </w:r>
      <w:r>
        <w:rPr>
          <w:rFonts w:hint="eastAsia"/>
          <w:b/>
          <w:bCs/>
        </w:rPr>
        <w:t>学时</w:t>
      </w:r>
    </w:p>
    <w:p w14:paraId="5D5E856B" w14:textId="77777777" w:rsidR="00F5289E" w:rsidRDefault="00C91173">
      <w:pPr>
        <w:adjustRightInd w:val="0"/>
        <w:snapToGrid w:val="0"/>
        <w:spacing w:line="360" w:lineRule="auto"/>
        <w:jc w:val="left"/>
        <w:rPr>
          <w:b/>
          <w:bCs/>
        </w:rPr>
      </w:pPr>
      <w:r>
        <w:rPr>
          <w:b/>
          <w:bCs/>
        </w:rPr>
        <w:t>第</w:t>
      </w:r>
      <w:r>
        <w:rPr>
          <w:rFonts w:hint="eastAsia"/>
          <w:b/>
          <w:bCs/>
        </w:rPr>
        <w:t>六</w:t>
      </w:r>
      <w:r>
        <w:rPr>
          <w:b/>
          <w:bCs/>
        </w:rPr>
        <w:t>节</w:t>
      </w:r>
      <w:r>
        <w:rPr>
          <w:b/>
          <w:bCs/>
        </w:rPr>
        <w:t xml:space="preserve"> </w:t>
      </w:r>
      <w:r>
        <w:rPr>
          <w:rFonts w:hint="eastAsia"/>
          <w:b/>
          <w:bCs/>
        </w:rPr>
        <w:t>工夫</w:t>
      </w:r>
      <w:r>
        <w:rPr>
          <w:b/>
          <w:bCs/>
        </w:rPr>
        <w:t>茶艺</w:t>
      </w:r>
      <w:r>
        <w:rPr>
          <w:rFonts w:hint="eastAsia"/>
          <w:b/>
          <w:bCs/>
        </w:rPr>
        <w:t xml:space="preserve">    </w:t>
      </w:r>
      <w:r>
        <w:rPr>
          <w:b/>
          <w:bCs/>
        </w:rPr>
        <w:t>0.5</w:t>
      </w:r>
      <w:r>
        <w:rPr>
          <w:rFonts w:hint="eastAsia"/>
          <w:b/>
          <w:bCs/>
        </w:rPr>
        <w:t>学时</w:t>
      </w:r>
    </w:p>
    <w:p w14:paraId="0E315189" w14:textId="77777777" w:rsidR="00F5289E" w:rsidRDefault="00C91173">
      <w:pPr>
        <w:widowControl/>
        <w:snapToGrid w:val="0"/>
        <w:spacing w:line="400" w:lineRule="atLeast"/>
        <w:jc w:val="left"/>
        <w:rPr>
          <w:szCs w:val="21"/>
        </w:rPr>
      </w:pPr>
      <w:r>
        <w:rPr>
          <w:rFonts w:ascii="宋体" w:hAnsi="宋体" w:hint="eastAsia"/>
          <w:b/>
          <w:bCs/>
        </w:rPr>
        <w:t>教学目标：</w:t>
      </w:r>
      <w:r>
        <w:rPr>
          <w:kern w:val="0"/>
          <w:szCs w:val="21"/>
        </w:rPr>
        <w:t>了解并掌握</w:t>
      </w:r>
      <w:r>
        <w:rPr>
          <w:rFonts w:hint="eastAsia"/>
          <w:kern w:val="0"/>
          <w:szCs w:val="21"/>
        </w:rPr>
        <w:t>茶艺基本手法，掌握不同茶艺的基本流程与手法</w:t>
      </w:r>
      <w:r>
        <w:rPr>
          <w:kern w:val="0"/>
          <w:szCs w:val="21"/>
        </w:rPr>
        <w:t>。</w:t>
      </w:r>
    </w:p>
    <w:p w14:paraId="1511AB52" w14:textId="77777777" w:rsidR="00F5289E" w:rsidRDefault="00C91173">
      <w:pPr>
        <w:adjustRightInd w:val="0"/>
        <w:snapToGrid w:val="0"/>
        <w:spacing w:line="400" w:lineRule="atLeast"/>
        <w:jc w:val="left"/>
      </w:pPr>
      <w:r>
        <w:rPr>
          <w:b/>
          <w:bCs/>
        </w:rPr>
        <w:t>教学重点和难点：</w:t>
      </w:r>
      <w:r>
        <w:rPr>
          <w:rFonts w:hint="eastAsia"/>
          <w:szCs w:val="21"/>
        </w:rPr>
        <w:t>茶艺基本手法与流程</w:t>
      </w:r>
      <w:r>
        <w:t>。</w:t>
      </w:r>
    </w:p>
    <w:p w14:paraId="61E62541" w14:textId="77777777" w:rsidR="00F5289E" w:rsidRDefault="00C91173">
      <w:pPr>
        <w:widowControl/>
        <w:snapToGrid w:val="0"/>
        <w:spacing w:line="400" w:lineRule="atLeast"/>
        <w:jc w:val="left"/>
        <w:rPr>
          <w:kern w:val="0"/>
          <w:szCs w:val="21"/>
        </w:rPr>
      </w:pPr>
      <w:r>
        <w:rPr>
          <w:b/>
          <w:bCs/>
        </w:rPr>
        <w:t>主要教学内容及要求：</w:t>
      </w:r>
      <w:r>
        <w:rPr>
          <w:rFonts w:hint="eastAsia"/>
        </w:rPr>
        <w:t>了解茶艺的分类；理解茶艺基本手法；掌握茶艺基本手法动作及流程；熟练掌握玻璃杯泡，盖碗泡及壶泡法茶艺的基本手法。</w:t>
      </w:r>
    </w:p>
    <w:p w14:paraId="55301EDB" w14:textId="77777777" w:rsidR="00F5289E" w:rsidRDefault="00C91173">
      <w:pPr>
        <w:widowControl/>
        <w:snapToGrid w:val="0"/>
        <w:spacing w:line="400" w:lineRule="atLeast"/>
        <w:rPr>
          <w:rFonts w:ascii="宋体" w:hAnsi="宋体"/>
          <w:b/>
          <w:bCs/>
        </w:rPr>
      </w:pPr>
      <w:r>
        <w:rPr>
          <w:rFonts w:ascii="宋体" w:hAnsi="宋体" w:hint="eastAsia"/>
          <w:b/>
          <w:bCs/>
        </w:rPr>
        <w:t>教学组织与实施：</w:t>
      </w:r>
      <w:r>
        <w:rPr>
          <w:rFonts w:ascii="宋体" w:hAnsi="宋体" w:hint="eastAsia"/>
        </w:rPr>
        <w:t>课堂展示《故事里的茶》；视频观看进行问题引入“茶艺中的动作和流程都有哪些”；根据学生答案，引入新知识点的讲授，通过对“茶艺动作美”的引入，引出茶艺基本手法的重要性，讲解茶艺中的基本手法及流程；通过案例分析，讲解不同茶艺的流程与要点；最后总结回顾，理解和掌握茶艺基本手法。作业布置：三种茶艺选其一，对其流程及动作要点进行讲解（拍摄小视频形式）。</w:t>
      </w:r>
    </w:p>
    <w:p w14:paraId="321C9525" w14:textId="77777777" w:rsidR="00F5289E" w:rsidRDefault="00F5289E">
      <w:pPr>
        <w:widowControl/>
        <w:snapToGrid w:val="0"/>
        <w:spacing w:line="360" w:lineRule="auto"/>
        <w:jc w:val="left"/>
        <w:rPr>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3511D6C" w14:textId="77777777">
        <w:trPr>
          <w:trHeight w:val="270"/>
        </w:trPr>
        <w:tc>
          <w:tcPr>
            <w:tcW w:w="2965" w:type="dxa"/>
            <w:tcBorders>
              <w:top w:val="nil"/>
              <w:left w:val="nil"/>
              <w:bottom w:val="nil"/>
              <w:right w:val="nil"/>
            </w:tcBorders>
            <w:vAlign w:val="center"/>
          </w:tcPr>
          <w:p w14:paraId="0D92814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875B27E"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主题茶艺</w:t>
            </w:r>
          </w:p>
        </w:tc>
        <w:tc>
          <w:tcPr>
            <w:tcW w:w="2966" w:type="dxa"/>
            <w:tcBorders>
              <w:top w:val="nil"/>
              <w:left w:val="nil"/>
              <w:bottom w:val="nil"/>
              <w:right w:val="nil"/>
            </w:tcBorders>
            <w:vAlign w:val="center"/>
          </w:tcPr>
          <w:p w14:paraId="664D6CB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19E289C2" w14:textId="77777777" w:rsidR="00F5289E" w:rsidRDefault="00F5289E">
      <w:pPr>
        <w:widowControl/>
        <w:snapToGrid w:val="0"/>
        <w:spacing w:line="360" w:lineRule="auto"/>
        <w:jc w:val="left"/>
        <w:rPr>
          <w:kern w:val="0"/>
          <w:szCs w:val="21"/>
        </w:rPr>
      </w:pPr>
    </w:p>
    <w:p w14:paraId="22CBA2EE" w14:textId="77777777" w:rsidR="00F5289E" w:rsidRDefault="00C91173">
      <w:pPr>
        <w:adjustRightInd w:val="0"/>
        <w:snapToGrid w:val="0"/>
        <w:spacing w:line="360" w:lineRule="auto"/>
        <w:jc w:val="left"/>
        <w:rPr>
          <w:b/>
          <w:bCs/>
        </w:rPr>
      </w:pPr>
      <w:r>
        <w:rPr>
          <w:b/>
          <w:bCs/>
        </w:rPr>
        <w:t>第</w:t>
      </w:r>
      <w:r>
        <w:rPr>
          <w:rFonts w:hint="eastAsia"/>
          <w:b/>
          <w:bCs/>
        </w:rPr>
        <w:t>一</w:t>
      </w:r>
      <w:r>
        <w:rPr>
          <w:b/>
          <w:bCs/>
        </w:rPr>
        <w:t>节</w:t>
      </w:r>
      <w:r>
        <w:rPr>
          <w:b/>
          <w:bCs/>
        </w:rPr>
        <w:t xml:space="preserve"> </w:t>
      </w:r>
      <w:r>
        <w:rPr>
          <w:rFonts w:hint="eastAsia"/>
          <w:b/>
          <w:bCs/>
        </w:rPr>
        <w:t>主题</w:t>
      </w:r>
      <w:r>
        <w:rPr>
          <w:b/>
          <w:bCs/>
        </w:rPr>
        <w:t>茶艺</w:t>
      </w:r>
      <w:r>
        <w:rPr>
          <w:rFonts w:hint="eastAsia"/>
          <w:b/>
          <w:bCs/>
        </w:rPr>
        <w:t>的概念与形式</w:t>
      </w:r>
      <w:r>
        <w:rPr>
          <w:rFonts w:hint="eastAsia"/>
          <w:b/>
          <w:bCs/>
        </w:rPr>
        <w:t xml:space="preserve">   1</w:t>
      </w:r>
      <w:r>
        <w:rPr>
          <w:rFonts w:hint="eastAsia"/>
          <w:b/>
          <w:bCs/>
        </w:rPr>
        <w:t>学时</w:t>
      </w:r>
    </w:p>
    <w:p w14:paraId="79365AED" w14:textId="77777777" w:rsidR="00F5289E" w:rsidRDefault="00C91173">
      <w:pPr>
        <w:adjustRightInd w:val="0"/>
        <w:snapToGrid w:val="0"/>
        <w:spacing w:line="360" w:lineRule="auto"/>
        <w:jc w:val="left"/>
        <w:rPr>
          <w:b/>
          <w:bCs/>
        </w:rPr>
      </w:pPr>
      <w:r>
        <w:rPr>
          <w:b/>
          <w:bCs/>
        </w:rPr>
        <w:t>第</w:t>
      </w:r>
      <w:r>
        <w:rPr>
          <w:rFonts w:hint="eastAsia"/>
          <w:b/>
          <w:bCs/>
        </w:rPr>
        <w:t>二</w:t>
      </w:r>
      <w:r>
        <w:rPr>
          <w:b/>
          <w:bCs/>
        </w:rPr>
        <w:t>节</w:t>
      </w:r>
      <w:r>
        <w:rPr>
          <w:b/>
          <w:bCs/>
        </w:rPr>
        <w:t xml:space="preserve"> </w:t>
      </w:r>
      <w:r>
        <w:rPr>
          <w:rFonts w:hint="eastAsia"/>
          <w:b/>
          <w:bCs/>
        </w:rPr>
        <w:t>主题</w:t>
      </w:r>
      <w:r>
        <w:rPr>
          <w:b/>
          <w:bCs/>
        </w:rPr>
        <w:t>茶艺</w:t>
      </w:r>
      <w:r>
        <w:rPr>
          <w:rFonts w:hint="eastAsia"/>
          <w:b/>
          <w:bCs/>
        </w:rPr>
        <w:t>的编创</w:t>
      </w:r>
      <w:r>
        <w:rPr>
          <w:rFonts w:hint="eastAsia"/>
          <w:b/>
          <w:bCs/>
        </w:rPr>
        <w:t xml:space="preserve">   1</w:t>
      </w:r>
      <w:r>
        <w:rPr>
          <w:rFonts w:hint="eastAsia"/>
          <w:b/>
          <w:bCs/>
        </w:rPr>
        <w:t>学时</w:t>
      </w:r>
    </w:p>
    <w:p w14:paraId="354B2777" w14:textId="77777777" w:rsidR="00F5289E" w:rsidRDefault="00C91173">
      <w:pPr>
        <w:widowControl/>
        <w:snapToGrid w:val="0"/>
        <w:spacing w:line="400" w:lineRule="atLeast"/>
        <w:jc w:val="left"/>
        <w:rPr>
          <w:szCs w:val="21"/>
        </w:rPr>
      </w:pPr>
      <w:r>
        <w:rPr>
          <w:rFonts w:ascii="宋体" w:hAnsi="宋体" w:hint="eastAsia"/>
          <w:b/>
          <w:bCs/>
        </w:rPr>
        <w:t xml:space="preserve">教学目标： </w:t>
      </w:r>
      <w:r>
        <w:rPr>
          <w:kern w:val="0"/>
          <w:szCs w:val="21"/>
        </w:rPr>
        <w:t>了解并掌握</w:t>
      </w:r>
      <w:r>
        <w:rPr>
          <w:rFonts w:hint="eastAsia"/>
          <w:kern w:val="0"/>
          <w:szCs w:val="21"/>
        </w:rPr>
        <w:t>主题茶艺的概念，掌握主题茶艺的设计原则</w:t>
      </w:r>
      <w:r>
        <w:rPr>
          <w:kern w:val="0"/>
          <w:szCs w:val="21"/>
        </w:rPr>
        <w:t>。</w:t>
      </w:r>
    </w:p>
    <w:p w14:paraId="1F35D354" w14:textId="77777777" w:rsidR="00F5289E" w:rsidRDefault="00C91173">
      <w:pPr>
        <w:adjustRightInd w:val="0"/>
        <w:snapToGrid w:val="0"/>
        <w:spacing w:line="400" w:lineRule="atLeast"/>
        <w:jc w:val="left"/>
      </w:pPr>
      <w:r>
        <w:rPr>
          <w:b/>
          <w:bCs/>
        </w:rPr>
        <w:t>教学重点和难点：</w:t>
      </w:r>
      <w:r>
        <w:rPr>
          <w:rFonts w:hint="eastAsia"/>
          <w:szCs w:val="21"/>
        </w:rPr>
        <w:t>主题茶艺的编创</w:t>
      </w:r>
      <w:r>
        <w:t>。</w:t>
      </w:r>
    </w:p>
    <w:p w14:paraId="6EF901D9" w14:textId="77777777" w:rsidR="00F5289E" w:rsidRDefault="00C91173">
      <w:pPr>
        <w:widowControl/>
        <w:snapToGrid w:val="0"/>
        <w:spacing w:line="400" w:lineRule="atLeast"/>
        <w:jc w:val="left"/>
        <w:rPr>
          <w:kern w:val="0"/>
          <w:szCs w:val="21"/>
        </w:rPr>
      </w:pPr>
      <w:r>
        <w:rPr>
          <w:b/>
          <w:bCs/>
        </w:rPr>
        <w:t>主要教学内容及要求：</w:t>
      </w:r>
      <w:r>
        <w:rPr>
          <w:rFonts w:hint="eastAsia"/>
        </w:rPr>
        <w:t>了解主题茶艺的概念；理解主题茶艺的编创原则；掌握主题茶艺的基本要素；熟练掌握对茶艺基本要素的灵活运用。</w:t>
      </w:r>
    </w:p>
    <w:p w14:paraId="61C8D4D8" w14:textId="77777777" w:rsidR="00F5289E" w:rsidRDefault="00C91173">
      <w:pPr>
        <w:widowControl/>
        <w:snapToGrid w:val="0"/>
        <w:spacing w:line="400" w:lineRule="atLeast"/>
        <w:rPr>
          <w:rFonts w:ascii="宋体" w:hAnsi="宋体"/>
          <w:b/>
          <w:bCs/>
        </w:rPr>
      </w:pPr>
      <w:r>
        <w:rPr>
          <w:rFonts w:ascii="宋体" w:hAnsi="宋体" w:hint="eastAsia"/>
          <w:b/>
          <w:bCs/>
        </w:rPr>
        <w:t>教学组织与实施：</w:t>
      </w:r>
      <w:r>
        <w:rPr>
          <w:rFonts w:ascii="宋体" w:hAnsi="宋体" w:hint="eastAsia"/>
        </w:rPr>
        <w:t>课堂展示《故事里的茶》；视频观看进行问题引入“主题茶艺与基础茶艺有何不同”；根据学生答案，引入新知识点的讲授，讲解主题茶艺的编创原则；通过案例分析，讲解主题茶艺编创的要点；最后总结回顾，掌握主题茶艺基本编创原则。作业布置：为河南农大茶文化节编创一个主题茶艺（照片及流程讲解）。</w:t>
      </w:r>
    </w:p>
    <w:p w14:paraId="709A5BC6" w14:textId="77777777" w:rsidR="00F5289E" w:rsidRDefault="00F5289E">
      <w:pPr>
        <w:widowControl/>
        <w:snapToGrid w:val="0"/>
        <w:spacing w:line="360" w:lineRule="auto"/>
        <w:jc w:val="left"/>
        <w:rPr>
          <w:kern w:val="0"/>
          <w:szCs w:val="21"/>
        </w:rPr>
      </w:pPr>
    </w:p>
    <w:p w14:paraId="6CBFBE0D" w14:textId="77777777" w:rsidR="00F5289E" w:rsidRDefault="00F5289E">
      <w:pPr>
        <w:widowControl/>
        <w:snapToGrid w:val="0"/>
        <w:spacing w:line="360" w:lineRule="auto"/>
        <w:jc w:val="left"/>
        <w:rPr>
          <w:kern w:val="0"/>
          <w:szCs w:val="21"/>
        </w:rPr>
      </w:pPr>
    </w:p>
    <w:p w14:paraId="12EAF422"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b/>
          <w:bCs/>
          <w:kern w:val="0"/>
          <w:szCs w:val="21"/>
        </w:rPr>
        <w:t>12</w:t>
      </w:r>
      <w:r>
        <w:rPr>
          <w:rFonts w:hAnsi="宋体"/>
          <w:b/>
          <w:bCs/>
          <w:kern w:val="0"/>
          <w:szCs w:val="21"/>
        </w:rPr>
        <w:t>学时</w:t>
      </w:r>
      <w:r>
        <w:rPr>
          <w:rFonts w:hAnsi="宋体" w:hint="eastAsia"/>
          <w:b/>
          <w:bCs/>
          <w:kern w:val="0"/>
          <w:szCs w:val="21"/>
        </w:rPr>
        <w:t>）</w:t>
      </w:r>
    </w:p>
    <w:p w14:paraId="5AA4761F"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72545ED2"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《茶艺》实验包含六个部分：玻璃杯泡法茶艺；盖碗泡法茶艺；壶泡法茶艺；碗泡法茶艺；主题茶艺编创；无我茶会。</w:t>
      </w:r>
    </w:p>
    <w:p w14:paraId="29C69D25"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43875BD9" w14:textId="77777777" w:rsidR="00F5289E" w:rsidRDefault="00C91173">
      <w:pPr>
        <w:snapToGrid w:val="0"/>
        <w:spacing w:line="360" w:lineRule="auto"/>
        <w:ind w:firstLineChars="200" w:firstLine="420"/>
      </w:pPr>
      <w:r>
        <w:rPr>
          <w:rFonts w:hint="eastAsia"/>
        </w:rPr>
        <w:t>实验教学目的：掌握四种茶艺的流程与泡法，掌握主题茶艺的编创原则，掌握无我茶会的基本流程与内涵；</w:t>
      </w:r>
    </w:p>
    <w:p w14:paraId="3ADB71A5" w14:textId="77777777" w:rsidR="00F5289E" w:rsidRDefault="00C91173">
      <w:pPr>
        <w:snapToGrid w:val="0"/>
        <w:spacing w:line="360" w:lineRule="auto"/>
        <w:ind w:firstLineChars="200" w:firstLine="420"/>
      </w:pPr>
      <w:r>
        <w:rPr>
          <w:rFonts w:hint="eastAsia"/>
        </w:rPr>
        <w:t>实验基本要求：熟练茶艺基础理论知识，掌握茶艺基本手法。</w:t>
      </w:r>
    </w:p>
    <w:p w14:paraId="0FA38A4E" w14:textId="77777777" w:rsidR="00F5289E" w:rsidRDefault="00C91173">
      <w:pPr>
        <w:snapToGrid w:val="0"/>
        <w:spacing w:line="360" w:lineRule="auto"/>
        <w:rPr>
          <w:b/>
        </w:rPr>
      </w:pPr>
      <w:r>
        <w:rPr>
          <w:rFonts w:hint="eastAsia"/>
          <w:b/>
        </w:rPr>
        <w:t>（三）实验安全操作规范</w:t>
      </w:r>
    </w:p>
    <w:p w14:paraId="0FFD9121" w14:textId="77777777" w:rsidR="00F5289E" w:rsidRDefault="00C91173">
      <w:pPr>
        <w:snapToGrid w:val="0"/>
        <w:spacing w:line="360" w:lineRule="auto"/>
        <w:ind w:firstLineChars="200" w:firstLine="420"/>
      </w:pPr>
      <w:r>
        <w:rPr>
          <w:rFonts w:hint="eastAsia"/>
        </w:rPr>
        <w:t>1.</w:t>
      </w:r>
      <w:r>
        <w:rPr>
          <w:rFonts w:hint="eastAsia"/>
        </w:rPr>
        <w:t>茶具规范使用，保证干净无损；</w:t>
      </w:r>
    </w:p>
    <w:p w14:paraId="0DB55AB6" w14:textId="77777777" w:rsidR="00F5289E" w:rsidRDefault="00C91173">
      <w:pPr>
        <w:snapToGrid w:val="0"/>
        <w:spacing w:line="360" w:lineRule="auto"/>
        <w:ind w:firstLineChars="200" w:firstLine="420"/>
      </w:pPr>
      <w:r>
        <w:rPr>
          <w:rFonts w:hint="eastAsia"/>
        </w:rPr>
        <w:t>2.</w:t>
      </w:r>
      <w:r>
        <w:rPr>
          <w:rFonts w:hint="eastAsia"/>
        </w:rPr>
        <w:t>茶艺教室保持干净整洁。</w:t>
      </w:r>
    </w:p>
    <w:p w14:paraId="0165A2AE"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416"/>
        <w:gridCol w:w="2699"/>
        <w:gridCol w:w="901"/>
        <w:gridCol w:w="1103"/>
        <w:gridCol w:w="1458"/>
        <w:gridCol w:w="1313"/>
      </w:tblGrid>
      <w:tr w:rsidR="00F5289E" w14:paraId="52091244" w14:textId="77777777">
        <w:trPr>
          <w:jc w:val="center"/>
        </w:trPr>
        <w:tc>
          <w:tcPr>
            <w:tcW w:w="1419" w:type="dxa"/>
            <w:shd w:val="clear" w:color="auto" w:fill="EEECE1" w:themeFill="background2"/>
            <w:vAlign w:val="center"/>
          </w:tcPr>
          <w:p w14:paraId="331EA748"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2761" w:type="dxa"/>
            <w:shd w:val="clear" w:color="auto" w:fill="EEECE1" w:themeFill="background2"/>
            <w:vAlign w:val="center"/>
          </w:tcPr>
          <w:p w14:paraId="3A04463B"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15" w:type="dxa"/>
            <w:shd w:val="clear" w:color="auto" w:fill="EEECE1" w:themeFill="background2"/>
            <w:vAlign w:val="center"/>
          </w:tcPr>
          <w:p w14:paraId="510718F1"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22" w:type="dxa"/>
            <w:shd w:val="clear" w:color="auto" w:fill="EEECE1" w:themeFill="background2"/>
            <w:vAlign w:val="center"/>
          </w:tcPr>
          <w:p w14:paraId="1854AD12"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87" w:type="dxa"/>
            <w:shd w:val="clear" w:color="auto" w:fill="EEECE1" w:themeFill="background2"/>
            <w:vAlign w:val="center"/>
          </w:tcPr>
          <w:p w14:paraId="03804503"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8" w:type="dxa"/>
            <w:shd w:val="clear" w:color="auto" w:fill="EEECE1" w:themeFill="background2"/>
            <w:vAlign w:val="center"/>
          </w:tcPr>
          <w:p w14:paraId="6AE443C7"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15181FD2" w14:textId="77777777">
        <w:trPr>
          <w:jc w:val="center"/>
        </w:trPr>
        <w:tc>
          <w:tcPr>
            <w:tcW w:w="1419" w:type="dxa"/>
            <w:vAlign w:val="center"/>
          </w:tcPr>
          <w:p w14:paraId="410EA6FA" w14:textId="77777777" w:rsidR="00F5289E" w:rsidRDefault="00C91173">
            <w:pPr>
              <w:rPr>
                <w:sz w:val="18"/>
                <w:szCs w:val="18"/>
              </w:rPr>
            </w:pPr>
            <w:r>
              <w:rPr>
                <w:rFonts w:ascii="????" w:eastAsia="????" w:hAnsi="????" w:hint="eastAsia"/>
                <w:sz w:val="19"/>
              </w:rPr>
              <w:t>19011141h</w:t>
            </w:r>
            <w:r>
              <w:rPr>
                <w:rFonts w:hint="eastAsia"/>
                <w:sz w:val="18"/>
                <w:szCs w:val="18"/>
              </w:rPr>
              <w:t>01</w:t>
            </w:r>
          </w:p>
        </w:tc>
        <w:tc>
          <w:tcPr>
            <w:tcW w:w="2761" w:type="dxa"/>
            <w:vAlign w:val="center"/>
          </w:tcPr>
          <w:p w14:paraId="6A288A5A" w14:textId="77777777" w:rsidR="00F5289E" w:rsidRDefault="00C91173">
            <w:pPr>
              <w:jc w:val="center"/>
              <w:rPr>
                <w:sz w:val="18"/>
                <w:szCs w:val="18"/>
              </w:rPr>
            </w:pPr>
            <w:bookmarkStart w:id="94" w:name="OLE_LINK4"/>
            <w:r>
              <w:rPr>
                <w:rFonts w:hint="eastAsia"/>
                <w:sz w:val="18"/>
                <w:szCs w:val="18"/>
              </w:rPr>
              <w:t>玻璃杯泡法茶艺</w:t>
            </w:r>
            <w:bookmarkEnd w:id="94"/>
          </w:p>
        </w:tc>
        <w:tc>
          <w:tcPr>
            <w:tcW w:w="915" w:type="dxa"/>
            <w:vAlign w:val="center"/>
          </w:tcPr>
          <w:p w14:paraId="30508E1D" w14:textId="77777777" w:rsidR="00F5289E" w:rsidRDefault="00C91173">
            <w:pPr>
              <w:jc w:val="center"/>
              <w:rPr>
                <w:sz w:val="18"/>
                <w:szCs w:val="18"/>
              </w:rPr>
            </w:pPr>
            <w:r>
              <w:rPr>
                <w:sz w:val="18"/>
                <w:szCs w:val="18"/>
              </w:rPr>
              <w:t>2</w:t>
            </w:r>
          </w:p>
        </w:tc>
        <w:tc>
          <w:tcPr>
            <w:tcW w:w="1122" w:type="dxa"/>
            <w:vAlign w:val="center"/>
          </w:tcPr>
          <w:p w14:paraId="1D68CC33" w14:textId="77777777" w:rsidR="00F5289E" w:rsidRDefault="00C91173">
            <w:pPr>
              <w:jc w:val="center"/>
              <w:rPr>
                <w:sz w:val="18"/>
                <w:szCs w:val="18"/>
              </w:rPr>
            </w:pPr>
            <w:r>
              <w:rPr>
                <w:rFonts w:hint="eastAsia"/>
                <w:sz w:val="18"/>
                <w:szCs w:val="18"/>
              </w:rPr>
              <w:t>综合性</w:t>
            </w:r>
          </w:p>
        </w:tc>
        <w:tc>
          <w:tcPr>
            <w:tcW w:w="1487" w:type="dxa"/>
            <w:vAlign w:val="center"/>
          </w:tcPr>
          <w:p w14:paraId="586E75F3" w14:textId="77777777" w:rsidR="00F5289E" w:rsidRDefault="00C91173">
            <w:pPr>
              <w:jc w:val="center"/>
              <w:rPr>
                <w:sz w:val="18"/>
                <w:szCs w:val="18"/>
              </w:rPr>
            </w:pPr>
            <w:r>
              <w:rPr>
                <w:rFonts w:hint="eastAsia"/>
                <w:sz w:val="18"/>
                <w:szCs w:val="18"/>
              </w:rPr>
              <w:t>必做</w:t>
            </w:r>
          </w:p>
        </w:tc>
        <w:tc>
          <w:tcPr>
            <w:tcW w:w="1338" w:type="dxa"/>
          </w:tcPr>
          <w:p w14:paraId="20AFD8AD" w14:textId="77777777" w:rsidR="00F5289E" w:rsidRDefault="00C91173">
            <w:pPr>
              <w:jc w:val="center"/>
              <w:rPr>
                <w:sz w:val="18"/>
                <w:szCs w:val="18"/>
              </w:rPr>
            </w:pPr>
            <w:r>
              <w:rPr>
                <w:rFonts w:hint="eastAsia"/>
                <w:sz w:val="18"/>
                <w:szCs w:val="18"/>
              </w:rPr>
              <w:t>4-5</w:t>
            </w:r>
          </w:p>
        </w:tc>
      </w:tr>
      <w:tr w:rsidR="00F5289E" w14:paraId="4B0B5599" w14:textId="77777777">
        <w:trPr>
          <w:jc w:val="center"/>
        </w:trPr>
        <w:tc>
          <w:tcPr>
            <w:tcW w:w="1419" w:type="dxa"/>
            <w:vAlign w:val="center"/>
          </w:tcPr>
          <w:p w14:paraId="59896CE4" w14:textId="77777777" w:rsidR="00F5289E" w:rsidRDefault="00C91173">
            <w:pPr>
              <w:rPr>
                <w:sz w:val="18"/>
                <w:szCs w:val="18"/>
              </w:rPr>
            </w:pPr>
            <w:r>
              <w:rPr>
                <w:rFonts w:ascii="????" w:eastAsia="????" w:hAnsi="????" w:hint="eastAsia"/>
                <w:sz w:val="19"/>
              </w:rPr>
              <w:t>19011141h</w:t>
            </w:r>
            <w:r>
              <w:rPr>
                <w:rFonts w:hint="eastAsia"/>
                <w:sz w:val="18"/>
                <w:szCs w:val="18"/>
              </w:rPr>
              <w:t>02</w:t>
            </w:r>
          </w:p>
        </w:tc>
        <w:tc>
          <w:tcPr>
            <w:tcW w:w="2761" w:type="dxa"/>
            <w:vAlign w:val="center"/>
          </w:tcPr>
          <w:p w14:paraId="08234A1D" w14:textId="77777777" w:rsidR="00F5289E" w:rsidRDefault="00C91173">
            <w:pPr>
              <w:jc w:val="center"/>
              <w:rPr>
                <w:sz w:val="18"/>
                <w:szCs w:val="18"/>
              </w:rPr>
            </w:pPr>
            <w:r>
              <w:rPr>
                <w:rFonts w:hint="eastAsia"/>
                <w:sz w:val="18"/>
                <w:szCs w:val="18"/>
              </w:rPr>
              <w:t>盖碗泡茶艺</w:t>
            </w:r>
          </w:p>
        </w:tc>
        <w:tc>
          <w:tcPr>
            <w:tcW w:w="915" w:type="dxa"/>
            <w:vAlign w:val="center"/>
          </w:tcPr>
          <w:p w14:paraId="4CDEE17F" w14:textId="77777777" w:rsidR="00F5289E" w:rsidRDefault="00C91173">
            <w:pPr>
              <w:jc w:val="center"/>
              <w:rPr>
                <w:sz w:val="18"/>
                <w:szCs w:val="18"/>
              </w:rPr>
            </w:pPr>
            <w:r>
              <w:rPr>
                <w:sz w:val="18"/>
                <w:szCs w:val="18"/>
              </w:rPr>
              <w:t>2</w:t>
            </w:r>
          </w:p>
        </w:tc>
        <w:tc>
          <w:tcPr>
            <w:tcW w:w="1122" w:type="dxa"/>
            <w:vAlign w:val="center"/>
          </w:tcPr>
          <w:p w14:paraId="1D7DB05D" w14:textId="77777777" w:rsidR="00F5289E" w:rsidRDefault="00C91173">
            <w:pPr>
              <w:jc w:val="center"/>
              <w:rPr>
                <w:sz w:val="18"/>
                <w:szCs w:val="18"/>
              </w:rPr>
            </w:pPr>
            <w:r>
              <w:rPr>
                <w:rFonts w:hint="eastAsia"/>
                <w:sz w:val="18"/>
                <w:szCs w:val="18"/>
              </w:rPr>
              <w:t>综合性</w:t>
            </w:r>
          </w:p>
        </w:tc>
        <w:tc>
          <w:tcPr>
            <w:tcW w:w="1487" w:type="dxa"/>
            <w:vAlign w:val="center"/>
          </w:tcPr>
          <w:p w14:paraId="79E3907C" w14:textId="77777777" w:rsidR="00F5289E" w:rsidRDefault="00C91173">
            <w:pPr>
              <w:jc w:val="center"/>
              <w:rPr>
                <w:sz w:val="18"/>
                <w:szCs w:val="18"/>
              </w:rPr>
            </w:pPr>
            <w:r>
              <w:rPr>
                <w:rFonts w:hint="eastAsia"/>
                <w:sz w:val="18"/>
                <w:szCs w:val="18"/>
              </w:rPr>
              <w:t>必做</w:t>
            </w:r>
          </w:p>
        </w:tc>
        <w:tc>
          <w:tcPr>
            <w:tcW w:w="1338" w:type="dxa"/>
          </w:tcPr>
          <w:p w14:paraId="2A2AE7CC" w14:textId="77777777" w:rsidR="00F5289E" w:rsidRDefault="00C91173">
            <w:pPr>
              <w:jc w:val="center"/>
              <w:rPr>
                <w:sz w:val="18"/>
                <w:szCs w:val="18"/>
              </w:rPr>
            </w:pPr>
            <w:r>
              <w:rPr>
                <w:rFonts w:hint="eastAsia"/>
                <w:sz w:val="18"/>
                <w:szCs w:val="18"/>
              </w:rPr>
              <w:t>4-5</w:t>
            </w:r>
          </w:p>
        </w:tc>
      </w:tr>
      <w:tr w:rsidR="00F5289E" w14:paraId="13F82E06" w14:textId="77777777">
        <w:trPr>
          <w:jc w:val="center"/>
        </w:trPr>
        <w:tc>
          <w:tcPr>
            <w:tcW w:w="1419" w:type="dxa"/>
            <w:vAlign w:val="center"/>
          </w:tcPr>
          <w:p w14:paraId="0CDFBC48" w14:textId="77777777" w:rsidR="00F5289E" w:rsidRDefault="00C91173">
            <w:pPr>
              <w:rPr>
                <w:sz w:val="18"/>
                <w:szCs w:val="18"/>
              </w:rPr>
            </w:pPr>
            <w:r>
              <w:rPr>
                <w:rFonts w:ascii="????" w:eastAsia="????" w:hAnsi="????" w:hint="eastAsia"/>
                <w:sz w:val="19"/>
              </w:rPr>
              <w:t>19011141h</w:t>
            </w:r>
            <w:r>
              <w:rPr>
                <w:rFonts w:hint="eastAsia"/>
                <w:sz w:val="18"/>
                <w:szCs w:val="18"/>
              </w:rPr>
              <w:t>03</w:t>
            </w:r>
          </w:p>
        </w:tc>
        <w:tc>
          <w:tcPr>
            <w:tcW w:w="2761" w:type="dxa"/>
            <w:vAlign w:val="center"/>
          </w:tcPr>
          <w:p w14:paraId="7E46C6A2" w14:textId="77777777" w:rsidR="00F5289E" w:rsidRDefault="00C91173">
            <w:pPr>
              <w:jc w:val="center"/>
              <w:rPr>
                <w:sz w:val="18"/>
                <w:szCs w:val="18"/>
              </w:rPr>
            </w:pPr>
            <w:r>
              <w:rPr>
                <w:rFonts w:hint="eastAsia"/>
                <w:sz w:val="18"/>
                <w:szCs w:val="18"/>
              </w:rPr>
              <w:t>壶泡法茶艺</w:t>
            </w:r>
          </w:p>
        </w:tc>
        <w:tc>
          <w:tcPr>
            <w:tcW w:w="915" w:type="dxa"/>
            <w:vAlign w:val="center"/>
          </w:tcPr>
          <w:p w14:paraId="7C3F22B1" w14:textId="77777777" w:rsidR="00F5289E" w:rsidRDefault="00C91173">
            <w:pPr>
              <w:jc w:val="center"/>
              <w:rPr>
                <w:sz w:val="18"/>
                <w:szCs w:val="18"/>
              </w:rPr>
            </w:pPr>
            <w:r>
              <w:rPr>
                <w:sz w:val="18"/>
                <w:szCs w:val="18"/>
              </w:rPr>
              <w:t>2</w:t>
            </w:r>
          </w:p>
        </w:tc>
        <w:tc>
          <w:tcPr>
            <w:tcW w:w="1122" w:type="dxa"/>
            <w:vAlign w:val="center"/>
          </w:tcPr>
          <w:p w14:paraId="1D22EB98" w14:textId="77777777" w:rsidR="00F5289E" w:rsidRDefault="00C91173">
            <w:pPr>
              <w:jc w:val="center"/>
              <w:rPr>
                <w:sz w:val="18"/>
                <w:szCs w:val="18"/>
              </w:rPr>
            </w:pPr>
            <w:r>
              <w:rPr>
                <w:rFonts w:hint="eastAsia"/>
                <w:sz w:val="18"/>
                <w:szCs w:val="18"/>
              </w:rPr>
              <w:t>综合性</w:t>
            </w:r>
          </w:p>
        </w:tc>
        <w:tc>
          <w:tcPr>
            <w:tcW w:w="1487" w:type="dxa"/>
            <w:vAlign w:val="center"/>
          </w:tcPr>
          <w:p w14:paraId="5FB4F378" w14:textId="77777777" w:rsidR="00F5289E" w:rsidRDefault="00C91173">
            <w:pPr>
              <w:jc w:val="center"/>
              <w:rPr>
                <w:sz w:val="18"/>
                <w:szCs w:val="18"/>
              </w:rPr>
            </w:pPr>
            <w:r>
              <w:rPr>
                <w:rFonts w:hint="eastAsia"/>
                <w:sz w:val="18"/>
                <w:szCs w:val="18"/>
              </w:rPr>
              <w:t>必做</w:t>
            </w:r>
          </w:p>
        </w:tc>
        <w:tc>
          <w:tcPr>
            <w:tcW w:w="1338" w:type="dxa"/>
          </w:tcPr>
          <w:p w14:paraId="3BED26D9" w14:textId="77777777" w:rsidR="00F5289E" w:rsidRDefault="00C91173">
            <w:pPr>
              <w:jc w:val="center"/>
              <w:rPr>
                <w:sz w:val="18"/>
                <w:szCs w:val="18"/>
              </w:rPr>
            </w:pPr>
            <w:r>
              <w:rPr>
                <w:rFonts w:hint="eastAsia"/>
                <w:sz w:val="18"/>
                <w:szCs w:val="18"/>
              </w:rPr>
              <w:t>4-5</w:t>
            </w:r>
          </w:p>
        </w:tc>
      </w:tr>
      <w:tr w:rsidR="00F5289E" w14:paraId="3C2F1422" w14:textId="77777777">
        <w:trPr>
          <w:jc w:val="center"/>
        </w:trPr>
        <w:tc>
          <w:tcPr>
            <w:tcW w:w="1419" w:type="dxa"/>
            <w:vAlign w:val="center"/>
          </w:tcPr>
          <w:p w14:paraId="330A51D4" w14:textId="77777777" w:rsidR="00F5289E" w:rsidRDefault="00C91173">
            <w:pPr>
              <w:rPr>
                <w:rFonts w:ascii="????" w:eastAsia="????" w:hAnsi="????"/>
                <w:sz w:val="19"/>
              </w:rPr>
            </w:pPr>
            <w:r>
              <w:rPr>
                <w:rFonts w:ascii="????" w:eastAsia="????" w:hAnsi="????" w:hint="eastAsia"/>
                <w:sz w:val="19"/>
              </w:rPr>
              <w:t>19011141h</w:t>
            </w:r>
            <w:r>
              <w:rPr>
                <w:rFonts w:hint="eastAsia"/>
                <w:sz w:val="18"/>
                <w:szCs w:val="18"/>
              </w:rPr>
              <w:t>04</w:t>
            </w:r>
          </w:p>
        </w:tc>
        <w:tc>
          <w:tcPr>
            <w:tcW w:w="2761" w:type="dxa"/>
            <w:vAlign w:val="center"/>
          </w:tcPr>
          <w:p w14:paraId="2DF20DF4" w14:textId="77777777" w:rsidR="00F5289E" w:rsidRDefault="00C91173">
            <w:pPr>
              <w:jc w:val="center"/>
              <w:rPr>
                <w:sz w:val="18"/>
                <w:szCs w:val="18"/>
              </w:rPr>
            </w:pPr>
            <w:r>
              <w:rPr>
                <w:rFonts w:hint="eastAsia"/>
                <w:sz w:val="18"/>
                <w:szCs w:val="18"/>
              </w:rPr>
              <w:t>碗泡法茶艺</w:t>
            </w:r>
          </w:p>
        </w:tc>
        <w:tc>
          <w:tcPr>
            <w:tcW w:w="915" w:type="dxa"/>
            <w:vAlign w:val="center"/>
          </w:tcPr>
          <w:p w14:paraId="3A0E1E9C" w14:textId="77777777" w:rsidR="00F5289E" w:rsidRDefault="00C91173">
            <w:pPr>
              <w:jc w:val="center"/>
              <w:rPr>
                <w:sz w:val="18"/>
                <w:szCs w:val="18"/>
              </w:rPr>
            </w:pPr>
            <w:r>
              <w:rPr>
                <w:rFonts w:hint="eastAsia"/>
                <w:sz w:val="18"/>
                <w:szCs w:val="18"/>
              </w:rPr>
              <w:t>2</w:t>
            </w:r>
          </w:p>
        </w:tc>
        <w:tc>
          <w:tcPr>
            <w:tcW w:w="1122" w:type="dxa"/>
            <w:vAlign w:val="center"/>
          </w:tcPr>
          <w:p w14:paraId="4AB91FC3" w14:textId="77777777" w:rsidR="00F5289E" w:rsidRDefault="00C91173">
            <w:pPr>
              <w:jc w:val="center"/>
              <w:rPr>
                <w:sz w:val="18"/>
                <w:szCs w:val="18"/>
              </w:rPr>
            </w:pPr>
            <w:r>
              <w:rPr>
                <w:rFonts w:hint="eastAsia"/>
                <w:sz w:val="18"/>
                <w:szCs w:val="18"/>
              </w:rPr>
              <w:t>综合性</w:t>
            </w:r>
          </w:p>
        </w:tc>
        <w:tc>
          <w:tcPr>
            <w:tcW w:w="1487" w:type="dxa"/>
            <w:vAlign w:val="center"/>
          </w:tcPr>
          <w:p w14:paraId="3B04548E" w14:textId="77777777" w:rsidR="00F5289E" w:rsidRDefault="00C91173">
            <w:pPr>
              <w:jc w:val="center"/>
              <w:rPr>
                <w:sz w:val="18"/>
                <w:szCs w:val="18"/>
              </w:rPr>
            </w:pPr>
            <w:r>
              <w:rPr>
                <w:rFonts w:hint="eastAsia"/>
                <w:sz w:val="18"/>
                <w:szCs w:val="18"/>
              </w:rPr>
              <w:t>必做</w:t>
            </w:r>
          </w:p>
        </w:tc>
        <w:tc>
          <w:tcPr>
            <w:tcW w:w="1338" w:type="dxa"/>
          </w:tcPr>
          <w:p w14:paraId="302CA7D3" w14:textId="77777777" w:rsidR="00F5289E" w:rsidRDefault="00C91173">
            <w:pPr>
              <w:jc w:val="center"/>
              <w:rPr>
                <w:sz w:val="18"/>
                <w:szCs w:val="18"/>
              </w:rPr>
            </w:pPr>
            <w:r>
              <w:rPr>
                <w:rFonts w:hint="eastAsia"/>
                <w:sz w:val="18"/>
                <w:szCs w:val="18"/>
              </w:rPr>
              <w:t>4-5</w:t>
            </w:r>
          </w:p>
        </w:tc>
      </w:tr>
      <w:tr w:rsidR="00F5289E" w14:paraId="27347F82" w14:textId="77777777">
        <w:trPr>
          <w:jc w:val="center"/>
        </w:trPr>
        <w:tc>
          <w:tcPr>
            <w:tcW w:w="1419" w:type="dxa"/>
            <w:vAlign w:val="center"/>
          </w:tcPr>
          <w:p w14:paraId="752424F4" w14:textId="77777777" w:rsidR="00F5289E" w:rsidRDefault="00C91173">
            <w:pPr>
              <w:rPr>
                <w:rFonts w:ascii="????" w:eastAsia="????" w:hAnsi="????"/>
                <w:sz w:val="19"/>
              </w:rPr>
            </w:pPr>
            <w:r>
              <w:rPr>
                <w:rFonts w:ascii="????" w:eastAsia="????" w:hAnsi="????" w:hint="eastAsia"/>
                <w:sz w:val="19"/>
              </w:rPr>
              <w:t>19011141h</w:t>
            </w:r>
            <w:r>
              <w:rPr>
                <w:rFonts w:hint="eastAsia"/>
                <w:sz w:val="18"/>
                <w:szCs w:val="18"/>
              </w:rPr>
              <w:t>05</w:t>
            </w:r>
          </w:p>
        </w:tc>
        <w:tc>
          <w:tcPr>
            <w:tcW w:w="2761" w:type="dxa"/>
            <w:vAlign w:val="center"/>
          </w:tcPr>
          <w:p w14:paraId="06AAA539" w14:textId="77777777" w:rsidR="00F5289E" w:rsidRDefault="00C91173">
            <w:pPr>
              <w:jc w:val="center"/>
              <w:rPr>
                <w:sz w:val="18"/>
                <w:szCs w:val="18"/>
              </w:rPr>
            </w:pPr>
            <w:r>
              <w:rPr>
                <w:rFonts w:hint="eastAsia"/>
                <w:sz w:val="18"/>
                <w:szCs w:val="18"/>
              </w:rPr>
              <w:t>主题茶艺编创</w:t>
            </w:r>
          </w:p>
        </w:tc>
        <w:tc>
          <w:tcPr>
            <w:tcW w:w="915" w:type="dxa"/>
            <w:vAlign w:val="center"/>
          </w:tcPr>
          <w:p w14:paraId="5B91237E" w14:textId="77777777" w:rsidR="00F5289E" w:rsidRDefault="00C91173">
            <w:pPr>
              <w:jc w:val="center"/>
              <w:rPr>
                <w:sz w:val="18"/>
                <w:szCs w:val="18"/>
              </w:rPr>
            </w:pPr>
            <w:r>
              <w:rPr>
                <w:sz w:val="18"/>
                <w:szCs w:val="18"/>
              </w:rPr>
              <w:t>2</w:t>
            </w:r>
          </w:p>
        </w:tc>
        <w:tc>
          <w:tcPr>
            <w:tcW w:w="1122" w:type="dxa"/>
            <w:vAlign w:val="center"/>
          </w:tcPr>
          <w:p w14:paraId="6A0B83EB" w14:textId="77777777" w:rsidR="00F5289E" w:rsidRDefault="00C91173">
            <w:pPr>
              <w:jc w:val="center"/>
              <w:rPr>
                <w:sz w:val="18"/>
                <w:szCs w:val="18"/>
              </w:rPr>
            </w:pPr>
            <w:r>
              <w:rPr>
                <w:rFonts w:hint="eastAsia"/>
                <w:sz w:val="18"/>
                <w:szCs w:val="18"/>
              </w:rPr>
              <w:t>设计性</w:t>
            </w:r>
          </w:p>
        </w:tc>
        <w:tc>
          <w:tcPr>
            <w:tcW w:w="1487" w:type="dxa"/>
            <w:vAlign w:val="center"/>
          </w:tcPr>
          <w:p w14:paraId="56D0C4D5" w14:textId="77777777" w:rsidR="00F5289E" w:rsidRDefault="00C91173">
            <w:pPr>
              <w:jc w:val="center"/>
              <w:rPr>
                <w:sz w:val="18"/>
                <w:szCs w:val="18"/>
              </w:rPr>
            </w:pPr>
            <w:r>
              <w:rPr>
                <w:rFonts w:hint="eastAsia"/>
                <w:sz w:val="18"/>
                <w:szCs w:val="18"/>
              </w:rPr>
              <w:t>必做</w:t>
            </w:r>
          </w:p>
        </w:tc>
        <w:tc>
          <w:tcPr>
            <w:tcW w:w="1338" w:type="dxa"/>
          </w:tcPr>
          <w:p w14:paraId="221BFFE4" w14:textId="77777777" w:rsidR="00F5289E" w:rsidRDefault="00C91173">
            <w:pPr>
              <w:jc w:val="center"/>
              <w:rPr>
                <w:sz w:val="18"/>
                <w:szCs w:val="18"/>
              </w:rPr>
            </w:pPr>
            <w:r>
              <w:rPr>
                <w:rFonts w:hint="eastAsia"/>
                <w:sz w:val="18"/>
                <w:szCs w:val="18"/>
              </w:rPr>
              <w:t>4-5</w:t>
            </w:r>
          </w:p>
        </w:tc>
      </w:tr>
      <w:tr w:rsidR="00F5289E" w14:paraId="60ADA4A6" w14:textId="77777777">
        <w:trPr>
          <w:jc w:val="center"/>
        </w:trPr>
        <w:tc>
          <w:tcPr>
            <w:tcW w:w="1419" w:type="dxa"/>
            <w:vAlign w:val="center"/>
          </w:tcPr>
          <w:p w14:paraId="240C621D" w14:textId="77777777" w:rsidR="00F5289E" w:rsidRDefault="00C91173">
            <w:pPr>
              <w:rPr>
                <w:rFonts w:ascii="????" w:eastAsia="????" w:hAnsi="????"/>
                <w:sz w:val="19"/>
              </w:rPr>
            </w:pPr>
            <w:r>
              <w:rPr>
                <w:rFonts w:ascii="????" w:eastAsia="????" w:hAnsi="????" w:hint="eastAsia"/>
                <w:sz w:val="19"/>
              </w:rPr>
              <w:t>19011141h</w:t>
            </w:r>
            <w:r>
              <w:rPr>
                <w:rFonts w:hint="eastAsia"/>
                <w:sz w:val="18"/>
                <w:szCs w:val="18"/>
              </w:rPr>
              <w:t>06</w:t>
            </w:r>
          </w:p>
        </w:tc>
        <w:tc>
          <w:tcPr>
            <w:tcW w:w="2761" w:type="dxa"/>
            <w:vAlign w:val="center"/>
          </w:tcPr>
          <w:p w14:paraId="0A1CBBBE" w14:textId="77777777" w:rsidR="00F5289E" w:rsidRDefault="00C91173">
            <w:pPr>
              <w:jc w:val="center"/>
              <w:rPr>
                <w:sz w:val="18"/>
                <w:szCs w:val="18"/>
              </w:rPr>
            </w:pPr>
            <w:r>
              <w:rPr>
                <w:rFonts w:hint="eastAsia"/>
                <w:sz w:val="18"/>
                <w:szCs w:val="18"/>
              </w:rPr>
              <w:t>无我茶会</w:t>
            </w:r>
          </w:p>
        </w:tc>
        <w:tc>
          <w:tcPr>
            <w:tcW w:w="915" w:type="dxa"/>
            <w:vAlign w:val="center"/>
          </w:tcPr>
          <w:p w14:paraId="0B5B2D43" w14:textId="77777777" w:rsidR="00F5289E" w:rsidRDefault="00C91173">
            <w:pPr>
              <w:jc w:val="center"/>
              <w:rPr>
                <w:sz w:val="18"/>
                <w:szCs w:val="18"/>
              </w:rPr>
            </w:pPr>
            <w:r>
              <w:rPr>
                <w:rFonts w:hint="eastAsia"/>
                <w:sz w:val="18"/>
                <w:szCs w:val="18"/>
              </w:rPr>
              <w:t>2</w:t>
            </w:r>
          </w:p>
        </w:tc>
        <w:tc>
          <w:tcPr>
            <w:tcW w:w="1122" w:type="dxa"/>
            <w:vAlign w:val="center"/>
          </w:tcPr>
          <w:p w14:paraId="43E41086" w14:textId="77777777" w:rsidR="00F5289E" w:rsidRDefault="00C91173">
            <w:pPr>
              <w:jc w:val="center"/>
              <w:rPr>
                <w:sz w:val="18"/>
                <w:szCs w:val="18"/>
              </w:rPr>
            </w:pPr>
            <w:r>
              <w:rPr>
                <w:rFonts w:hint="eastAsia"/>
                <w:sz w:val="18"/>
                <w:szCs w:val="18"/>
              </w:rPr>
              <w:t>综合性</w:t>
            </w:r>
          </w:p>
        </w:tc>
        <w:tc>
          <w:tcPr>
            <w:tcW w:w="1487" w:type="dxa"/>
            <w:vAlign w:val="center"/>
          </w:tcPr>
          <w:p w14:paraId="1F5AAC77" w14:textId="77777777" w:rsidR="00F5289E" w:rsidRDefault="00C91173">
            <w:pPr>
              <w:jc w:val="center"/>
              <w:rPr>
                <w:sz w:val="18"/>
                <w:szCs w:val="18"/>
              </w:rPr>
            </w:pPr>
            <w:r>
              <w:rPr>
                <w:rFonts w:hint="eastAsia"/>
                <w:sz w:val="18"/>
                <w:szCs w:val="18"/>
              </w:rPr>
              <w:t>必做</w:t>
            </w:r>
          </w:p>
        </w:tc>
        <w:tc>
          <w:tcPr>
            <w:tcW w:w="1338" w:type="dxa"/>
          </w:tcPr>
          <w:p w14:paraId="74970527" w14:textId="77777777" w:rsidR="00F5289E" w:rsidRDefault="00C91173">
            <w:pPr>
              <w:jc w:val="center"/>
              <w:rPr>
                <w:sz w:val="18"/>
                <w:szCs w:val="18"/>
              </w:rPr>
            </w:pPr>
            <w:r>
              <w:rPr>
                <w:rFonts w:hint="eastAsia"/>
                <w:sz w:val="18"/>
                <w:szCs w:val="18"/>
              </w:rPr>
              <w:t>4-5</w:t>
            </w:r>
          </w:p>
        </w:tc>
      </w:tr>
    </w:tbl>
    <w:p w14:paraId="00925B56"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09C69C5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1.茶艺教室进行实践；</w:t>
      </w:r>
    </w:p>
    <w:p w14:paraId="236905A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2.遵循教室基本规范，安全使用茶具等器材。</w:t>
      </w:r>
    </w:p>
    <w:p w14:paraId="0F0BD984" w14:textId="77777777" w:rsidR="00F5289E" w:rsidRDefault="00C91173">
      <w:pPr>
        <w:snapToGrid w:val="0"/>
        <w:spacing w:line="360" w:lineRule="auto"/>
        <w:rPr>
          <w:rFonts w:ascii="宋体" w:hAnsi="宋体"/>
          <w:b/>
          <w:szCs w:val="21"/>
        </w:rPr>
      </w:pPr>
      <w:r>
        <w:rPr>
          <w:rFonts w:ascii="宋体" w:hAnsi="宋体" w:hint="eastAsia"/>
          <w:b/>
          <w:bCs/>
          <w:szCs w:val="21"/>
        </w:rPr>
        <w:lastRenderedPageBreak/>
        <w:t>（六）</w:t>
      </w:r>
      <w:r>
        <w:rPr>
          <w:rFonts w:ascii="宋体" w:hAnsi="宋体" w:hint="eastAsia"/>
          <w:b/>
          <w:szCs w:val="21"/>
        </w:rPr>
        <w:t>实验内容安排</w:t>
      </w:r>
    </w:p>
    <w:p w14:paraId="54A44AFF"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w:t>
      </w:r>
      <w:r>
        <w:rPr>
          <w:rFonts w:ascii="Times New Roman" w:eastAsia="宋体" w:hAnsi="Times New Roman" w:cs="Times New Roman" w:hint="eastAsia"/>
          <w:b/>
          <w:kern w:val="2"/>
          <w:sz w:val="21"/>
          <w:szCs w:val="21"/>
        </w:rPr>
        <w:t>玻璃杯泡法茶艺</w:t>
      </w:r>
    </w:p>
    <w:p w14:paraId="3DDDF702"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b/>
          <w:szCs w:val="21"/>
        </w:rPr>
        <w:t>2</w:t>
      </w:r>
    </w:p>
    <w:p w14:paraId="0759EC22"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实验目的：掌握玻璃杯泡法茶艺。</w:t>
      </w:r>
    </w:p>
    <w:p w14:paraId="1FC4971D"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实验内容：玻璃杯泡法布具准备，温杯，润茶，冲泡等流程演示及实践。</w:t>
      </w:r>
    </w:p>
    <w:p w14:paraId="53E6074E"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实验要求：小组合作，保持茶具干净无损。</w:t>
      </w:r>
    </w:p>
    <w:p w14:paraId="3AB31806"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实验设备及器材：茶叶，茶盘，水壶，玻璃杯，茶道组，茶巾，茶荷，插花，公道杯，茶罐等。</w:t>
      </w:r>
    </w:p>
    <w:p w14:paraId="03AD6C1C"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hint="eastAsia"/>
          <w:b/>
          <w:sz w:val="21"/>
          <w:szCs w:val="21"/>
        </w:rPr>
        <w:t>二】</w:t>
      </w:r>
      <w:r>
        <w:rPr>
          <w:rFonts w:ascii="Times New Roman" w:eastAsia="宋体" w:hAnsi="Times New Roman" w:cs="Times New Roman" w:hint="eastAsia"/>
          <w:b/>
          <w:kern w:val="2"/>
          <w:sz w:val="21"/>
          <w:szCs w:val="21"/>
        </w:rPr>
        <w:t>盖碗泡茶艺</w:t>
      </w:r>
    </w:p>
    <w:p w14:paraId="2F191E0D"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b/>
          <w:szCs w:val="21"/>
        </w:rPr>
        <w:t>2</w:t>
      </w:r>
    </w:p>
    <w:p w14:paraId="71A2B52E"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实验目的：掌握盖碗泡法茶艺。</w:t>
      </w:r>
    </w:p>
    <w:p w14:paraId="0A0DAB76"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实验内容：盖碗泡法布具准备，温杯，润茶，冲泡等流程演示及实践。</w:t>
      </w:r>
    </w:p>
    <w:p w14:paraId="49778A2F"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实验要求：小组合作，保持茶具干净无损。</w:t>
      </w:r>
    </w:p>
    <w:p w14:paraId="09FD0F62"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实验设备及器材：茶叶，茶盘，水壶，盖碗，茶道组，茶巾，茶荷，插花，公道杯，茶罐等。</w:t>
      </w:r>
    </w:p>
    <w:p w14:paraId="4C43E211" w14:textId="77777777" w:rsidR="00F5289E" w:rsidRDefault="00F5289E">
      <w:pPr>
        <w:pStyle w:val="af1"/>
        <w:snapToGrid w:val="0"/>
        <w:spacing w:before="0" w:beforeAutospacing="0" w:after="0" w:afterAutospacing="0" w:line="360" w:lineRule="auto"/>
        <w:rPr>
          <w:rFonts w:eastAsia="宋体"/>
          <w:sz w:val="21"/>
          <w:szCs w:val="21"/>
        </w:rPr>
      </w:pPr>
    </w:p>
    <w:p w14:paraId="63447A3E"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hint="eastAsia"/>
          <w:b/>
          <w:sz w:val="21"/>
          <w:szCs w:val="21"/>
        </w:rPr>
        <w:t>三】壶</w:t>
      </w:r>
      <w:r>
        <w:rPr>
          <w:rFonts w:ascii="Times New Roman" w:eastAsia="宋体" w:hAnsi="Times New Roman" w:cs="Times New Roman" w:hint="eastAsia"/>
          <w:b/>
          <w:kern w:val="2"/>
          <w:sz w:val="21"/>
          <w:szCs w:val="21"/>
        </w:rPr>
        <w:t>泡茶艺</w:t>
      </w:r>
    </w:p>
    <w:p w14:paraId="55129515"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b/>
          <w:szCs w:val="21"/>
        </w:rPr>
        <w:t>2</w:t>
      </w:r>
    </w:p>
    <w:p w14:paraId="44EE2A6F"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实验目的：掌握紫砂壶双杯泡法茶艺。</w:t>
      </w:r>
    </w:p>
    <w:p w14:paraId="7FDEBC10"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实验内容：紫砂壶泡法布具准备，温杯，润茶，冲泡等流程演示及实践。</w:t>
      </w:r>
    </w:p>
    <w:p w14:paraId="1EE1A68E"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实验要求：小组合作，保持茶具干净无损。</w:t>
      </w:r>
    </w:p>
    <w:p w14:paraId="51BF4910"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实验设备及器材：茶叶，茶盘，水壶，紫砂壶，品茗杯，闻香杯茶道组，茶巾，茶荷，插花，公道杯，茶罐等。</w:t>
      </w:r>
    </w:p>
    <w:p w14:paraId="3262BC7C"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hint="eastAsia"/>
          <w:b/>
          <w:sz w:val="21"/>
          <w:szCs w:val="21"/>
        </w:rPr>
        <w:t>四】碗</w:t>
      </w:r>
      <w:r>
        <w:rPr>
          <w:rFonts w:ascii="Times New Roman" w:eastAsia="宋体" w:hAnsi="Times New Roman" w:cs="Times New Roman" w:hint="eastAsia"/>
          <w:b/>
          <w:kern w:val="2"/>
          <w:sz w:val="21"/>
          <w:szCs w:val="21"/>
        </w:rPr>
        <w:t>泡茶艺</w:t>
      </w:r>
    </w:p>
    <w:p w14:paraId="10E5BA71"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hint="eastAsia"/>
          <w:b/>
          <w:szCs w:val="21"/>
        </w:rPr>
        <w:t>2</w:t>
      </w:r>
    </w:p>
    <w:p w14:paraId="582E28E9"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实验目的：掌握碗泡法茶艺。</w:t>
      </w:r>
    </w:p>
    <w:p w14:paraId="7DE464C2"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实验内容：布具准备，温杯，润茶，冲泡等流程演示及实践。</w:t>
      </w:r>
    </w:p>
    <w:p w14:paraId="3DFA58D1"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实验要求：小组合作，保持茶具干净无损。</w:t>
      </w:r>
    </w:p>
    <w:p w14:paraId="482E2AF5"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实验设备及器材：茶叶，水壶，盖碗，茶道组，茶巾，茶荷，公道杯，品茗杯，茶罐等。</w:t>
      </w:r>
    </w:p>
    <w:p w14:paraId="2E32DB76"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hint="eastAsia"/>
          <w:b/>
          <w:sz w:val="21"/>
          <w:szCs w:val="21"/>
        </w:rPr>
        <w:t>五】主题</w:t>
      </w:r>
      <w:r>
        <w:rPr>
          <w:rFonts w:ascii="Times New Roman" w:eastAsia="宋体" w:hAnsi="Times New Roman" w:cs="Times New Roman" w:hint="eastAsia"/>
          <w:b/>
          <w:kern w:val="2"/>
          <w:sz w:val="21"/>
          <w:szCs w:val="21"/>
        </w:rPr>
        <w:t>茶艺编创</w:t>
      </w:r>
    </w:p>
    <w:p w14:paraId="701A0B44"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b/>
          <w:szCs w:val="21"/>
        </w:rPr>
        <w:t>2</w:t>
      </w:r>
    </w:p>
    <w:p w14:paraId="322F21E5"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实验目的：掌握主题茶艺编创原则。</w:t>
      </w:r>
    </w:p>
    <w:p w14:paraId="55342123"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实验内容：茶艺流程，茶艺空间，解说词设计等。</w:t>
      </w:r>
    </w:p>
    <w:p w14:paraId="4BE8187A" w14:textId="77777777" w:rsidR="00F5289E" w:rsidRDefault="00C91173">
      <w:pPr>
        <w:snapToGrid w:val="0"/>
        <w:spacing w:line="360" w:lineRule="auto"/>
        <w:ind w:firstLineChars="200" w:firstLine="422"/>
        <w:rPr>
          <w:rFonts w:ascii="宋体" w:hAnsi="宋体"/>
          <w:bCs/>
          <w:szCs w:val="21"/>
        </w:rPr>
      </w:pPr>
      <w:r>
        <w:rPr>
          <w:rFonts w:hint="eastAsia"/>
          <w:b/>
          <w:szCs w:val="21"/>
        </w:rPr>
        <w:lastRenderedPageBreak/>
        <w:t>4.</w:t>
      </w:r>
      <w:r>
        <w:rPr>
          <w:rFonts w:hint="eastAsia"/>
          <w:b/>
          <w:szCs w:val="21"/>
        </w:rPr>
        <w:t>实验要求：小组合作，保持茶具干净无损。</w:t>
      </w:r>
    </w:p>
    <w:p w14:paraId="21FFD537"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实验设备及器材：茶席，铺垫，茶叶，水壶，茶道组，茶巾，茶荷，插花，公道杯，茶罐等。</w:t>
      </w:r>
    </w:p>
    <w:p w14:paraId="6EA37119"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hint="eastAsia"/>
          <w:b/>
          <w:sz w:val="21"/>
          <w:szCs w:val="21"/>
        </w:rPr>
        <w:t>六】无我茶会</w:t>
      </w:r>
    </w:p>
    <w:p w14:paraId="0F36CF49"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hint="eastAsia"/>
          <w:b/>
          <w:szCs w:val="21"/>
        </w:rPr>
        <w:t>2</w:t>
      </w:r>
    </w:p>
    <w:p w14:paraId="44BAD918" w14:textId="77777777" w:rsidR="00F5289E" w:rsidRDefault="00C91173">
      <w:pPr>
        <w:snapToGrid w:val="0"/>
        <w:spacing w:line="360" w:lineRule="auto"/>
        <w:ind w:firstLineChars="200" w:firstLine="422"/>
        <w:rPr>
          <w:b/>
          <w:szCs w:val="21"/>
        </w:rPr>
      </w:pPr>
      <w:r>
        <w:rPr>
          <w:rFonts w:hint="eastAsia"/>
          <w:b/>
          <w:szCs w:val="21"/>
        </w:rPr>
        <w:t>2.</w:t>
      </w:r>
      <w:r>
        <w:rPr>
          <w:rFonts w:hint="eastAsia"/>
          <w:b/>
          <w:szCs w:val="21"/>
        </w:rPr>
        <w:t>实验目的：掌握无我茶会的流程及内涵。</w:t>
      </w:r>
    </w:p>
    <w:p w14:paraId="4F2742B0"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实验内容：无我茶会实践。</w:t>
      </w:r>
    </w:p>
    <w:p w14:paraId="30363307"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实验要求：小组合作，保持茶具干净无损。</w:t>
      </w:r>
    </w:p>
    <w:p w14:paraId="2A506C42"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实验设备及器材：茶叶，茶盘，水壶，紫砂壶，茶道组，茶巾，茶荷，插花，公道杯，茶罐等。</w:t>
      </w:r>
    </w:p>
    <w:p w14:paraId="6A55FC36" w14:textId="77777777" w:rsidR="00F5289E" w:rsidRDefault="00F5289E">
      <w:pPr>
        <w:pStyle w:val="af1"/>
        <w:snapToGrid w:val="0"/>
        <w:spacing w:before="0" w:beforeAutospacing="0" w:after="0" w:afterAutospacing="0" w:line="360" w:lineRule="auto"/>
        <w:rPr>
          <w:rFonts w:eastAsia="宋体"/>
          <w:sz w:val="21"/>
          <w:szCs w:val="21"/>
        </w:rPr>
      </w:pPr>
    </w:p>
    <w:p w14:paraId="7FB99475" w14:textId="77777777" w:rsidR="00F5289E" w:rsidRDefault="00C91173" w:rsidP="00A115EF">
      <w:pPr>
        <w:numPr>
          <w:ilvl w:val="0"/>
          <w:numId w:val="41"/>
        </w:numPr>
        <w:snapToGrid w:val="0"/>
        <w:spacing w:line="360" w:lineRule="auto"/>
        <w:rPr>
          <w:rFonts w:ascii="宋体" w:hAnsi="宋体"/>
          <w:b/>
          <w:bCs/>
          <w:szCs w:val="21"/>
        </w:rPr>
      </w:pPr>
      <w:r>
        <w:rPr>
          <w:rFonts w:ascii="宋体" w:hAnsi="宋体" w:hint="eastAsia"/>
          <w:b/>
          <w:bCs/>
          <w:szCs w:val="21"/>
        </w:rPr>
        <w:t>考核方式及成绩评定</w:t>
      </w:r>
    </w:p>
    <w:p w14:paraId="0D813B7A" w14:textId="77777777" w:rsidR="00F5289E" w:rsidRDefault="00C91173">
      <w:pPr>
        <w:snapToGrid w:val="0"/>
        <w:spacing w:line="360" w:lineRule="auto"/>
        <w:rPr>
          <w:rFonts w:ascii="宋体" w:hAnsi="宋体"/>
          <w:b/>
          <w:szCs w:val="21"/>
        </w:rPr>
      </w:pPr>
      <w:r>
        <w:rPr>
          <w:rFonts w:ascii="宋体" w:hAnsi="宋体" w:hint="eastAsia"/>
          <w:b/>
          <w:szCs w:val="21"/>
        </w:rPr>
        <w:t>考核方式：茶艺技能考试，成绩占比20%。</w:t>
      </w:r>
    </w:p>
    <w:p w14:paraId="31D36B3F"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16C62502" w14:textId="77777777" w:rsidR="00F5289E" w:rsidRDefault="00C91173">
      <w:pPr>
        <w:snapToGrid w:val="0"/>
        <w:spacing w:line="360" w:lineRule="auto"/>
        <w:ind w:firstLineChars="200" w:firstLine="422"/>
        <w:rPr>
          <w:rFonts w:hAnsi="宋体"/>
          <w:szCs w:val="21"/>
        </w:rPr>
      </w:pPr>
      <w:r>
        <w:rPr>
          <w:rFonts w:hAnsi="宋体" w:hint="eastAsia"/>
          <w:b/>
          <w:bCs/>
          <w:szCs w:val="21"/>
        </w:rPr>
        <w:t>文化自信：</w:t>
      </w:r>
      <w:r>
        <w:rPr>
          <w:rFonts w:hAnsi="宋体" w:hint="eastAsia"/>
          <w:szCs w:val="21"/>
        </w:rPr>
        <w:t>茶是中国的文化符号，茶艺中的水，器，茶席，插花，礼仪等均是中华优秀传统文化的体现，通过课程学习，使学生树立文化自信自强，传承和弘扬中华优秀传统文化。</w:t>
      </w:r>
    </w:p>
    <w:p w14:paraId="4A867E64" w14:textId="77777777" w:rsidR="00F5289E" w:rsidRDefault="00C91173">
      <w:pPr>
        <w:snapToGrid w:val="0"/>
        <w:spacing w:line="360" w:lineRule="auto"/>
        <w:ind w:firstLineChars="200" w:firstLine="422"/>
        <w:rPr>
          <w:rFonts w:hAnsi="宋体"/>
          <w:szCs w:val="21"/>
        </w:rPr>
      </w:pPr>
      <w:r>
        <w:rPr>
          <w:rFonts w:hAnsi="宋体" w:hint="eastAsia"/>
          <w:b/>
          <w:bCs/>
          <w:szCs w:val="21"/>
        </w:rPr>
        <w:t>美育目标：</w:t>
      </w:r>
      <w:r>
        <w:rPr>
          <w:rFonts w:hAnsi="宋体" w:hint="eastAsia"/>
          <w:szCs w:val="21"/>
        </w:rPr>
        <w:t>茶艺具有典型的美学特征，从茶叶的丰富，茶具的精致，音乐的韵律，插花的色彩，到礼仪的雅致，均是东方审美意识的体现，因而，通过课程学习，学生培养审美意识，提升审美能力，学会发现美，欣赏美，提升感知美好生活的能力。</w:t>
      </w:r>
    </w:p>
    <w:p w14:paraId="24AB92CE"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652B9F75"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5591354D"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（1）理论课教材：</w:t>
      </w:r>
      <w:r>
        <w:rPr>
          <w:rFonts w:hAnsi="宋体" w:hint="eastAsia"/>
          <w:bCs/>
          <w:kern w:val="0"/>
          <w:szCs w:val="21"/>
        </w:rPr>
        <w:t>茶艺</w:t>
      </w:r>
      <w:r>
        <w:rPr>
          <w:rFonts w:hAnsi="宋体"/>
          <w:bCs/>
          <w:kern w:val="0"/>
          <w:szCs w:val="21"/>
        </w:rPr>
        <w:t>，</w:t>
      </w:r>
      <w:r>
        <w:rPr>
          <w:rFonts w:hAnsi="宋体" w:hint="eastAsia"/>
          <w:bCs/>
          <w:kern w:val="0"/>
          <w:szCs w:val="21"/>
        </w:rPr>
        <w:t>丁以寿</w:t>
      </w:r>
      <w:r>
        <w:rPr>
          <w:rFonts w:hAnsi="宋体" w:hint="eastAsia"/>
          <w:bCs/>
          <w:kern w:val="0"/>
          <w:szCs w:val="21"/>
        </w:rPr>
        <w:t xml:space="preserve"> </w:t>
      </w:r>
      <w:r>
        <w:rPr>
          <w:rFonts w:hAnsi="宋体"/>
          <w:bCs/>
          <w:kern w:val="0"/>
          <w:szCs w:val="21"/>
        </w:rPr>
        <w:t>编著，</w:t>
      </w:r>
      <w:r>
        <w:rPr>
          <w:rFonts w:hAnsi="宋体" w:hint="eastAsia"/>
          <w:bCs/>
          <w:kern w:val="0"/>
          <w:szCs w:val="21"/>
        </w:rPr>
        <w:t>中国农业</w:t>
      </w:r>
      <w:r>
        <w:rPr>
          <w:rFonts w:hAnsi="宋体" w:hint="eastAsia"/>
          <w:bCs/>
          <w:kern w:val="0"/>
          <w:szCs w:val="21"/>
        </w:rPr>
        <w:t xml:space="preserve"> </w:t>
      </w:r>
      <w:r>
        <w:rPr>
          <w:rFonts w:hAnsi="宋体"/>
          <w:bCs/>
          <w:kern w:val="0"/>
          <w:szCs w:val="21"/>
        </w:rPr>
        <w:t>出版社，</w:t>
      </w:r>
      <w:r>
        <w:rPr>
          <w:rFonts w:hAnsi="宋体" w:hint="eastAsia"/>
          <w:bCs/>
          <w:kern w:val="0"/>
          <w:szCs w:val="21"/>
        </w:rPr>
        <w:t xml:space="preserve">2014 </w:t>
      </w:r>
      <w:r>
        <w:rPr>
          <w:rFonts w:hAnsi="宋体"/>
          <w:bCs/>
          <w:kern w:val="0"/>
          <w:szCs w:val="21"/>
        </w:rPr>
        <w:t>年</w:t>
      </w:r>
    </w:p>
    <w:p w14:paraId="3EB6B718"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rPr>
        <w:t>（2）实验课教材：</w:t>
      </w:r>
      <w:r>
        <w:rPr>
          <w:rFonts w:hAnsi="宋体" w:hint="eastAsia"/>
          <w:bCs/>
          <w:kern w:val="0"/>
          <w:szCs w:val="21"/>
        </w:rPr>
        <w:t>茶艺</w:t>
      </w:r>
      <w:r>
        <w:rPr>
          <w:rFonts w:hAnsi="宋体"/>
          <w:bCs/>
          <w:kern w:val="0"/>
          <w:szCs w:val="21"/>
        </w:rPr>
        <w:t>，</w:t>
      </w:r>
      <w:r>
        <w:rPr>
          <w:rFonts w:hAnsi="宋体" w:hint="eastAsia"/>
          <w:bCs/>
          <w:kern w:val="0"/>
          <w:szCs w:val="21"/>
        </w:rPr>
        <w:t>丁以寿</w:t>
      </w:r>
      <w:r>
        <w:rPr>
          <w:rFonts w:hAnsi="宋体" w:hint="eastAsia"/>
          <w:bCs/>
          <w:kern w:val="0"/>
          <w:szCs w:val="21"/>
        </w:rPr>
        <w:t xml:space="preserve"> </w:t>
      </w:r>
      <w:r>
        <w:rPr>
          <w:rFonts w:hAnsi="宋体"/>
          <w:bCs/>
          <w:kern w:val="0"/>
          <w:szCs w:val="21"/>
        </w:rPr>
        <w:t>编著，</w:t>
      </w:r>
      <w:r>
        <w:rPr>
          <w:rFonts w:hAnsi="宋体" w:hint="eastAsia"/>
          <w:bCs/>
          <w:kern w:val="0"/>
          <w:szCs w:val="21"/>
        </w:rPr>
        <w:t>中国农业</w:t>
      </w:r>
      <w:r>
        <w:rPr>
          <w:rFonts w:hAnsi="宋体" w:hint="eastAsia"/>
          <w:bCs/>
          <w:kern w:val="0"/>
          <w:szCs w:val="21"/>
        </w:rPr>
        <w:t xml:space="preserve"> </w:t>
      </w:r>
      <w:r>
        <w:rPr>
          <w:rFonts w:hAnsi="宋体"/>
          <w:bCs/>
          <w:kern w:val="0"/>
          <w:szCs w:val="21"/>
        </w:rPr>
        <w:t>出版社，</w:t>
      </w:r>
      <w:r>
        <w:rPr>
          <w:rFonts w:hAnsi="宋体" w:hint="eastAsia"/>
          <w:bCs/>
          <w:kern w:val="0"/>
          <w:szCs w:val="21"/>
        </w:rPr>
        <w:t xml:space="preserve">2014 </w:t>
      </w:r>
      <w:r>
        <w:rPr>
          <w:rFonts w:hAnsi="宋体"/>
          <w:bCs/>
          <w:kern w:val="0"/>
          <w:szCs w:val="21"/>
        </w:rPr>
        <w:t>年</w:t>
      </w:r>
    </w:p>
    <w:p w14:paraId="029AF1AF"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2</w:t>
      </w:r>
      <w:r>
        <w:rPr>
          <w:rFonts w:hAnsi="宋体" w:hint="eastAsia"/>
          <w:b/>
          <w:bCs/>
          <w:kern w:val="0"/>
          <w:szCs w:val="21"/>
        </w:rPr>
        <w:t>.</w:t>
      </w:r>
      <w:r>
        <w:rPr>
          <w:rFonts w:hAnsi="宋体"/>
          <w:b/>
          <w:bCs/>
          <w:kern w:val="0"/>
          <w:szCs w:val="21"/>
        </w:rPr>
        <w:t>参考书：</w:t>
      </w:r>
    </w:p>
    <w:p w14:paraId="0D367183"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1</w:t>
      </w:r>
      <w:r>
        <w:rPr>
          <w:rFonts w:hAnsi="宋体" w:hint="eastAsia"/>
          <w:bCs/>
          <w:kern w:val="0"/>
          <w:szCs w:val="21"/>
        </w:rPr>
        <w:t>）茶艺学，黄友谊</w:t>
      </w:r>
      <w:r>
        <w:rPr>
          <w:rFonts w:hAnsi="宋体" w:hint="eastAsia"/>
          <w:bCs/>
          <w:kern w:val="0"/>
          <w:szCs w:val="21"/>
        </w:rPr>
        <w:t xml:space="preserve"> </w:t>
      </w:r>
      <w:r>
        <w:rPr>
          <w:rFonts w:hAnsi="宋体" w:hint="eastAsia"/>
          <w:bCs/>
          <w:kern w:val="0"/>
          <w:szCs w:val="21"/>
        </w:rPr>
        <w:t>编著，中国轻工业</w:t>
      </w:r>
      <w:r>
        <w:rPr>
          <w:rFonts w:hAnsi="宋体" w:hint="eastAsia"/>
          <w:bCs/>
          <w:kern w:val="0"/>
          <w:szCs w:val="21"/>
        </w:rPr>
        <w:t xml:space="preserve"> </w:t>
      </w:r>
      <w:r>
        <w:rPr>
          <w:rFonts w:hAnsi="宋体" w:hint="eastAsia"/>
          <w:bCs/>
          <w:kern w:val="0"/>
          <w:szCs w:val="21"/>
        </w:rPr>
        <w:t>出版社，</w:t>
      </w:r>
      <w:r>
        <w:rPr>
          <w:rFonts w:hAnsi="宋体" w:hint="eastAsia"/>
          <w:bCs/>
          <w:kern w:val="0"/>
          <w:szCs w:val="21"/>
        </w:rPr>
        <w:t xml:space="preserve">2022 </w:t>
      </w:r>
      <w:r>
        <w:rPr>
          <w:rFonts w:hAnsi="宋体" w:hint="eastAsia"/>
          <w:bCs/>
          <w:kern w:val="0"/>
          <w:szCs w:val="21"/>
        </w:rPr>
        <w:t>年</w:t>
      </w:r>
    </w:p>
    <w:p w14:paraId="7CAD6523"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2</w:t>
      </w:r>
      <w:r>
        <w:rPr>
          <w:rFonts w:hAnsi="宋体" w:hint="eastAsia"/>
          <w:bCs/>
          <w:kern w:val="0"/>
          <w:szCs w:val="21"/>
        </w:rPr>
        <w:t>）茶艺培训教材．周智修</w:t>
      </w:r>
      <w:r>
        <w:rPr>
          <w:rFonts w:hAnsi="宋体" w:hint="eastAsia"/>
          <w:bCs/>
          <w:kern w:val="0"/>
          <w:szCs w:val="21"/>
        </w:rPr>
        <w:t xml:space="preserve">, </w:t>
      </w:r>
      <w:r>
        <w:rPr>
          <w:rFonts w:hAnsi="宋体" w:hint="eastAsia"/>
          <w:bCs/>
          <w:kern w:val="0"/>
          <w:szCs w:val="21"/>
        </w:rPr>
        <w:t>江用文</w:t>
      </w:r>
      <w:r>
        <w:rPr>
          <w:rFonts w:hAnsi="宋体" w:hint="eastAsia"/>
          <w:bCs/>
          <w:kern w:val="0"/>
          <w:szCs w:val="21"/>
        </w:rPr>
        <w:t xml:space="preserve">, </w:t>
      </w:r>
      <w:r>
        <w:rPr>
          <w:rFonts w:hAnsi="宋体" w:hint="eastAsia"/>
          <w:bCs/>
          <w:kern w:val="0"/>
          <w:szCs w:val="21"/>
        </w:rPr>
        <w:t>阮浩耕．中国农业出版社</w:t>
      </w:r>
      <w:r>
        <w:rPr>
          <w:rFonts w:hAnsi="宋体" w:hint="eastAsia"/>
          <w:bCs/>
          <w:kern w:val="0"/>
          <w:szCs w:val="21"/>
        </w:rPr>
        <w:t>, 2021</w:t>
      </w:r>
      <w:r>
        <w:rPr>
          <w:rFonts w:hAnsi="宋体" w:hint="eastAsia"/>
          <w:bCs/>
          <w:kern w:val="0"/>
          <w:szCs w:val="21"/>
        </w:rPr>
        <w:t>年</w:t>
      </w:r>
    </w:p>
    <w:p w14:paraId="230DE98A"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3</w:t>
      </w:r>
      <w:r>
        <w:rPr>
          <w:rFonts w:hAnsi="宋体" w:hint="eastAsia"/>
          <w:bCs/>
          <w:kern w:val="0"/>
          <w:szCs w:val="21"/>
        </w:rPr>
        <w:t>）习茶精要讲解</w:t>
      </w:r>
      <w:r>
        <w:rPr>
          <w:rFonts w:hAnsi="宋体" w:hint="eastAsia"/>
          <w:bCs/>
          <w:kern w:val="0"/>
          <w:szCs w:val="21"/>
        </w:rPr>
        <w:t xml:space="preserve">. </w:t>
      </w:r>
      <w:r>
        <w:rPr>
          <w:rFonts w:hAnsi="宋体" w:hint="eastAsia"/>
          <w:bCs/>
          <w:kern w:val="0"/>
          <w:szCs w:val="21"/>
        </w:rPr>
        <w:t>周智修</w:t>
      </w:r>
      <w:r>
        <w:rPr>
          <w:rFonts w:hAnsi="宋体" w:hint="eastAsia"/>
          <w:bCs/>
          <w:kern w:val="0"/>
          <w:szCs w:val="21"/>
        </w:rPr>
        <w:t xml:space="preserve">. </w:t>
      </w:r>
      <w:r>
        <w:rPr>
          <w:rFonts w:hAnsi="宋体" w:hint="eastAsia"/>
          <w:bCs/>
          <w:kern w:val="0"/>
          <w:szCs w:val="21"/>
        </w:rPr>
        <w:t>中国农业出版社</w:t>
      </w:r>
      <w:r>
        <w:rPr>
          <w:rFonts w:hAnsi="宋体" w:hint="eastAsia"/>
          <w:bCs/>
          <w:kern w:val="0"/>
          <w:szCs w:val="21"/>
        </w:rPr>
        <w:t>, 2018</w:t>
      </w:r>
      <w:r>
        <w:rPr>
          <w:rFonts w:hAnsi="宋体" w:hint="eastAsia"/>
          <w:bCs/>
          <w:kern w:val="0"/>
          <w:szCs w:val="21"/>
        </w:rPr>
        <w:t>年</w:t>
      </w:r>
    </w:p>
    <w:p w14:paraId="67C52B2C"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1216213C" w14:textId="77777777" w:rsidR="00F5289E" w:rsidRDefault="00C91173">
      <w:pPr>
        <w:snapToGrid w:val="0"/>
        <w:spacing w:line="360" w:lineRule="auto"/>
        <w:ind w:firstLineChars="200" w:firstLine="420"/>
        <w:rPr>
          <w:szCs w:val="21"/>
        </w:rPr>
      </w:pPr>
      <w:r>
        <w:rPr>
          <w:rFonts w:hAnsi="宋体"/>
          <w:szCs w:val="21"/>
        </w:rPr>
        <w:t>（</w:t>
      </w:r>
      <w:r>
        <w:rPr>
          <w:szCs w:val="21"/>
        </w:rPr>
        <w:t>1</w:t>
      </w:r>
      <w:r>
        <w:rPr>
          <w:rFonts w:hAnsi="宋体"/>
          <w:szCs w:val="21"/>
        </w:rPr>
        <w:t>）</w:t>
      </w:r>
      <w:r>
        <w:rPr>
          <w:rFonts w:hAnsi="宋体" w:hint="eastAsia"/>
          <w:szCs w:val="21"/>
        </w:rPr>
        <w:t>中国大学</w:t>
      </w:r>
      <w:r>
        <w:rPr>
          <w:rFonts w:hAnsi="宋体" w:hint="eastAsia"/>
          <w:szCs w:val="21"/>
        </w:rPr>
        <w:t>MOOC</w:t>
      </w:r>
      <w:r>
        <w:rPr>
          <w:rFonts w:hAnsi="宋体" w:hint="eastAsia"/>
          <w:szCs w:val="21"/>
        </w:rPr>
        <w:t>，中国茶文化与茶健康</w:t>
      </w:r>
    </w:p>
    <w:p w14:paraId="7605C400" w14:textId="77777777" w:rsidR="00F5289E" w:rsidRDefault="00C91173">
      <w:pPr>
        <w:widowControl/>
        <w:snapToGrid w:val="0"/>
        <w:spacing w:line="360" w:lineRule="auto"/>
        <w:ind w:firstLineChars="200" w:firstLine="420"/>
        <w:jc w:val="left"/>
        <w:rPr>
          <w:kern w:val="0"/>
        </w:rPr>
      </w:pPr>
      <w:r>
        <w:rPr>
          <w:rFonts w:hAnsi="宋体"/>
          <w:szCs w:val="21"/>
        </w:rPr>
        <w:t>（</w:t>
      </w:r>
      <w:r>
        <w:rPr>
          <w:szCs w:val="21"/>
        </w:rPr>
        <w:t>2</w:t>
      </w:r>
      <w:r>
        <w:rPr>
          <w:rFonts w:hAnsi="宋体"/>
          <w:szCs w:val="21"/>
        </w:rPr>
        <w:t>）</w:t>
      </w:r>
      <w:r>
        <w:rPr>
          <w:rFonts w:hAnsi="宋体" w:hint="eastAsia"/>
          <w:szCs w:val="21"/>
        </w:rPr>
        <w:t>中国大学</w:t>
      </w:r>
      <w:r>
        <w:rPr>
          <w:rFonts w:hAnsi="宋体" w:hint="eastAsia"/>
          <w:szCs w:val="21"/>
        </w:rPr>
        <w:t>MOOC</w:t>
      </w:r>
      <w:r>
        <w:rPr>
          <w:rFonts w:hAnsi="宋体" w:hint="eastAsia"/>
          <w:szCs w:val="21"/>
        </w:rPr>
        <w:t>，中华茶道</w:t>
      </w:r>
    </w:p>
    <w:p w14:paraId="563D1F99"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01F20422"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教学团队：茶学系教师团队；</w:t>
      </w:r>
    </w:p>
    <w:p w14:paraId="3C952DC5"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教学场地：多媒体教室，茶艺教室；</w:t>
      </w:r>
    </w:p>
    <w:p w14:paraId="4209B8DC" w14:textId="77777777" w:rsidR="00F5289E" w:rsidRDefault="00C91173">
      <w:pPr>
        <w:snapToGrid w:val="0"/>
        <w:spacing w:line="360" w:lineRule="auto"/>
        <w:ind w:firstLineChars="200" w:firstLine="420"/>
        <w:rPr>
          <w:rFonts w:ascii="宋体" w:hAnsi="宋体"/>
          <w:szCs w:val="21"/>
        </w:rPr>
      </w:pPr>
      <w:r>
        <w:rPr>
          <w:rFonts w:hAnsi="宋体" w:hint="eastAsia"/>
          <w:bCs/>
          <w:kern w:val="0"/>
          <w:szCs w:val="21"/>
        </w:rPr>
        <w:t>教学设备：茶艺所需的茶叶，茶具等器材。</w:t>
      </w:r>
    </w:p>
    <w:p w14:paraId="0A0595AF"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lastRenderedPageBreak/>
        <w:t>九、教学考核评价</w:t>
      </w:r>
    </w:p>
    <w:p w14:paraId="134C122D"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1.</w:t>
      </w:r>
      <w:r>
        <w:rPr>
          <w:rFonts w:hAnsi="宋体" w:hint="eastAsia"/>
          <w:b/>
          <w:bCs/>
          <w:kern w:val="0"/>
          <w:szCs w:val="21"/>
        </w:rPr>
        <w:t>过程性评价：</w:t>
      </w:r>
      <w:r>
        <w:rPr>
          <w:rFonts w:hAnsi="宋体" w:hint="eastAsia"/>
          <w:kern w:val="0"/>
          <w:szCs w:val="21"/>
        </w:rPr>
        <w:t>课堂表现占比</w:t>
      </w:r>
      <w:r>
        <w:rPr>
          <w:rFonts w:hAnsi="宋体" w:hint="eastAsia"/>
          <w:kern w:val="0"/>
          <w:szCs w:val="21"/>
        </w:rPr>
        <w:t>10%</w:t>
      </w:r>
      <w:r>
        <w:rPr>
          <w:rFonts w:hAnsi="宋体" w:hint="eastAsia"/>
          <w:kern w:val="0"/>
          <w:szCs w:val="21"/>
        </w:rPr>
        <w:t>，线上学习（测验）占比</w:t>
      </w:r>
      <w:r>
        <w:rPr>
          <w:rFonts w:hAnsi="宋体" w:hint="eastAsia"/>
          <w:kern w:val="0"/>
          <w:szCs w:val="21"/>
        </w:rPr>
        <w:t>20%</w:t>
      </w:r>
      <w:r>
        <w:rPr>
          <w:rFonts w:hAnsi="宋体" w:hint="eastAsia"/>
          <w:kern w:val="0"/>
          <w:szCs w:val="21"/>
        </w:rPr>
        <w:t>，茶艺技能考试占比</w:t>
      </w:r>
      <w:r>
        <w:rPr>
          <w:rFonts w:hAnsi="宋体" w:hint="eastAsia"/>
          <w:kern w:val="0"/>
          <w:szCs w:val="21"/>
        </w:rPr>
        <w:t>20%</w:t>
      </w:r>
    </w:p>
    <w:p w14:paraId="6861F348"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r>
        <w:rPr>
          <w:rFonts w:hAnsi="宋体" w:hint="eastAsia"/>
          <w:kern w:val="0"/>
          <w:szCs w:val="21"/>
        </w:rPr>
        <w:t>闭卷考试，占比</w:t>
      </w:r>
      <w:r>
        <w:rPr>
          <w:rFonts w:hAnsi="宋体" w:hint="eastAsia"/>
          <w:kern w:val="0"/>
          <w:szCs w:val="21"/>
        </w:rPr>
        <w:t>50%</w:t>
      </w:r>
      <w:r>
        <w:rPr>
          <w:rFonts w:hAnsi="宋体" w:hint="eastAsia"/>
          <w:kern w:val="0"/>
          <w:szCs w:val="21"/>
        </w:rPr>
        <w:t>；</w:t>
      </w:r>
    </w:p>
    <w:p w14:paraId="10BEEE12"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3.</w:t>
      </w:r>
      <w:r>
        <w:rPr>
          <w:rFonts w:hAnsi="宋体" w:hint="eastAsia"/>
          <w:b/>
          <w:bCs/>
          <w:kern w:val="0"/>
          <w:szCs w:val="21"/>
        </w:rPr>
        <w:t>课程综合评价：</w:t>
      </w:r>
      <w:r>
        <w:rPr>
          <w:rFonts w:hAnsi="宋体" w:hint="eastAsia"/>
          <w:kern w:val="0"/>
          <w:szCs w:val="21"/>
        </w:rPr>
        <w:t>课堂表现</w:t>
      </w:r>
      <w:r>
        <w:rPr>
          <w:rFonts w:ascii="宋体" w:hAnsi="宋体" w:hint="eastAsia"/>
          <w:bCs/>
          <w:szCs w:val="21"/>
        </w:rPr>
        <w:t>×</w:t>
      </w:r>
      <w:r>
        <w:rPr>
          <w:rFonts w:hAnsi="宋体" w:hint="eastAsia"/>
          <w:kern w:val="0"/>
          <w:szCs w:val="21"/>
        </w:rPr>
        <w:t>10%+</w:t>
      </w:r>
      <w:r>
        <w:rPr>
          <w:rFonts w:hAnsi="宋体" w:hint="eastAsia"/>
          <w:kern w:val="0"/>
          <w:szCs w:val="21"/>
        </w:rPr>
        <w:t>线上学习（测验）</w:t>
      </w:r>
      <w:r>
        <w:rPr>
          <w:rFonts w:ascii="宋体" w:hAnsi="宋体" w:hint="eastAsia"/>
          <w:bCs/>
          <w:szCs w:val="21"/>
        </w:rPr>
        <w:t>×</w:t>
      </w:r>
      <w:r>
        <w:rPr>
          <w:rFonts w:hAnsi="宋体" w:hint="eastAsia"/>
          <w:kern w:val="0"/>
          <w:szCs w:val="21"/>
        </w:rPr>
        <w:t>20%+</w:t>
      </w:r>
      <w:r>
        <w:rPr>
          <w:rFonts w:hAnsi="宋体" w:hint="eastAsia"/>
          <w:kern w:val="0"/>
          <w:szCs w:val="21"/>
        </w:rPr>
        <w:t>茶艺技能考试</w:t>
      </w:r>
      <w:r>
        <w:rPr>
          <w:rFonts w:ascii="宋体" w:hAnsi="宋体" w:hint="eastAsia"/>
          <w:bCs/>
          <w:szCs w:val="21"/>
        </w:rPr>
        <w:t>×</w:t>
      </w:r>
      <w:r>
        <w:rPr>
          <w:rFonts w:hAnsi="宋体" w:hint="eastAsia"/>
          <w:kern w:val="0"/>
          <w:szCs w:val="21"/>
        </w:rPr>
        <w:t>20%+</w:t>
      </w:r>
      <w:r>
        <w:rPr>
          <w:rFonts w:hAnsi="宋体" w:hint="eastAsia"/>
          <w:kern w:val="0"/>
          <w:szCs w:val="21"/>
        </w:rPr>
        <w:t>闭卷考试</w:t>
      </w:r>
      <w:r>
        <w:rPr>
          <w:rFonts w:ascii="宋体" w:hAnsi="宋体" w:hint="eastAsia"/>
          <w:bCs/>
          <w:szCs w:val="21"/>
        </w:rPr>
        <w:t>×</w:t>
      </w:r>
      <w:r>
        <w:rPr>
          <w:rFonts w:hAnsi="宋体" w:hint="eastAsia"/>
          <w:kern w:val="0"/>
          <w:szCs w:val="21"/>
        </w:rPr>
        <w:t>50%</w:t>
      </w:r>
      <w:r>
        <w:rPr>
          <w:rFonts w:hAnsi="宋体" w:hint="eastAsia"/>
          <w:kern w:val="0"/>
          <w:szCs w:val="21"/>
        </w:rPr>
        <w:t>。</w:t>
      </w:r>
    </w:p>
    <w:p w14:paraId="07BFE503" w14:textId="77777777" w:rsidR="00F5289E" w:rsidRDefault="00C91173">
      <w:pPr>
        <w:widowControl/>
        <w:snapToGrid w:val="0"/>
        <w:spacing w:line="360" w:lineRule="auto"/>
        <w:ind w:firstLine="420"/>
        <w:jc w:val="left"/>
        <w:rPr>
          <w:rFonts w:hAnsi="宋体"/>
          <w:kern w:val="0"/>
          <w:szCs w:val="21"/>
        </w:rPr>
      </w:pPr>
      <w:r>
        <w:rPr>
          <w:rFonts w:hAnsi="宋体" w:hint="eastAsia"/>
          <w:b/>
          <w:bCs/>
          <w:kern w:val="0"/>
          <w:szCs w:val="21"/>
        </w:rPr>
        <w:t>课堂表现</w:t>
      </w:r>
      <w:r>
        <w:rPr>
          <w:rFonts w:hAnsi="宋体" w:hint="eastAsia"/>
          <w:kern w:val="0"/>
          <w:szCs w:val="21"/>
        </w:rPr>
        <w:t>：考察学生文化自信意识和综合思维能力的素质目标和能力目标；</w:t>
      </w:r>
    </w:p>
    <w:p w14:paraId="67C1479B" w14:textId="77777777" w:rsidR="00F5289E" w:rsidRDefault="00C91173">
      <w:pPr>
        <w:widowControl/>
        <w:snapToGrid w:val="0"/>
        <w:spacing w:line="360" w:lineRule="auto"/>
        <w:ind w:firstLine="420"/>
        <w:jc w:val="left"/>
        <w:rPr>
          <w:rFonts w:hAnsi="宋体"/>
          <w:kern w:val="0"/>
          <w:szCs w:val="21"/>
        </w:rPr>
      </w:pPr>
      <w:r>
        <w:rPr>
          <w:rFonts w:hAnsi="宋体" w:hint="eastAsia"/>
          <w:b/>
          <w:bCs/>
          <w:kern w:val="0"/>
          <w:szCs w:val="21"/>
        </w:rPr>
        <w:t>线上学习：</w:t>
      </w:r>
      <w:r>
        <w:rPr>
          <w:rFonts w:hAnsi="宋体" w:hint="eastAsia"/>
          <w:kern w:val="0"/>
          <w:szCs w:val="21"/>
        </w:rPr>
        <w:t>考察学生的茶艺基础知识的掌握情况的知识目标；</w:t>
      </w:r>
    </w:p>
    <w:p w14:paraId="7CE4E2E4" w14:textId="77777777" w:rsidR="00F5289E" w:rsidRDefault="00C91173">
      <w:pPr>
        <w:widowControl/>
        <w:snapToGrid w:val="0"/>
        <w:spacing w:line="360" w:lineRule="auto"/>
        <w:ind w:firstLine="420"/>
        <w:jc w:val="left"/>
        <w:rPr>
          <w:rFonts w:hAnsi="宋体"/>
          <w:kern w:val="0"/>
          <w:szCs w:val="21"/>
        </w:rPr>
      </w:pPr>
      <w:r>
        <w:rPr>
          <w:rFonts w:hAnsi="宋体" w:hint="eastAsia"/>
          <w:b/>
          <w:bCs/>
          <w:kern w:val="0"/>
          <w:szCs w:val="21"/>
        </w:rPr>
        <w:t>茶艺技能考试：</w:t>
      </w:r>
      <w:r>
        <w:rPr>
          <w:rFonts w:hAnsi="宋体" w:hint="eastAsia"/>
          <w:kern w:val="0"/>
          <w:szCs w:val="21"/>
        </w:rPr>
        <w:t>考察学生茶艺基本技能的操作能力的能力目标和美育目标；</w:t>
      </w:r>
    </w:p>
    <w:p w14:paraId="73E14002" w14:textId="77777777" w:rsidR="00F5289E" w:rsidRDefault="00C91173">
      <w:pPr>
        <w:widowControl/>
        <w:snapToGrid w:val="0"/>
        <w:spacing w:line="360" w:lineRule="auto"/>
        <w:ind w:firstLine="420"/>
        <w:jc w:val="left"/>
        <w:rPr>
          <w:rFonts w:hAnsi="宋体"/>
          <w:kern w:val="0"/>
          <w:szCs w:val="21"/>
        </w:rPr>
      </w:pPr>
      <w:r>
        <w:rPr>
          <w:rFonts w:hAnsi="宋体" w:hint="eastAsia"/>
          <w:b/>
          <w:bCs/>
          <w:kern w:val="0"/>
          <w:szCs w:val="21"/>
        </w:rPr>
        <w:t>闭卷考试：</w:t>
      </w:r>
      <w:r>
        <w:rPr>
          <w:rFonts w:hAnsi="宋体" w:hint="eastAsia"/>
          <w:kern w:val="0"/>
          <w:szCs w:val="21"/>
        </w:rPr>
        <w:t>考察学生理论知识的综合应用能力的知识和能力目标。</w:t>
      </w:r>
    </w:p>
    <w:p w14:paraId="23617E3F" w14:textId="77777777" w:rsidR="00F5289E" w:rsidRDefault="00C91173">
      <w:pPr>
        <w:widowControl/>
        <w:jc w:val="left"/>
        <w:rPr>
          <w:rFonts w:ascii="宋体" w:hAnsi="宋体"/>
          <w:b/>
          <w:sz w:val="28"/>
          <w:szCs w:val="28"/>
        </w:rPr>
      </w:pPr>
      <w:r>
        <w:rPr>
          <w:rFonts w:ascii="宋体" w:hAnsi="宋体"/>
          <w:b/>
          <w:sz w:val="28"/>
          <w:szCs w:val="28"/>
        </w:rPr>
        <w:br w:type="page"/>
      </w:r>
    </w:p>
    <w:p w14:paraId="6E34F18E" w14:textId="77777777" w:rsidR="00F5289E" w:rsidRDefault="00C91173">
      <w:pPr>
        <w:pStyle w:val="1"/>
      </w:pPr>
      <w:bookmarkStart w:id="95" w:name="_Toc138606250"/>
      <w:r>
        <w:lastRenderedPageBreak/>
        <w:t>茶文化学</w:t>
      </w:r>
      <w:bookmarkEnd w:id="95"/>
    </w:p>
    <w:p w14:paraId="0023B70C" w14:textId="77777777" w:rsidR="00F5289E" w:rsidRDefault="00C91173">
      <w:pPr>
        <w:snapToGrid w:val="0"/>
        <w:spacing w:line="360" w:lineRule="auto"/>
        <w:jc w:val="center"/>
        <w:rPr>
          <w:i/>
          <w:sz w:val="24"/>
          <w:szCs w:val="28"/>
        </w:rPr>
      </w:pPr>
      <w:r>
        <w:rPr>
          <w:sz w:val="24"/>
          <w:szCs w:val="28"/>
        </w:rPr>
        <w:t>（</w:t>
      </w:r>
      <w:r>
        <w:rPr>
          <w:sz w:val="24"/>
          <w:szCs w:val="28"/>
        </w:rPr>
        <w:t>Tea Culture</w:t>
      </w:r>
      <w:r>
        <w:rPr>
          <w:sz w:val="24"/>
          <w:szCs w:val="28"/>
        </w:rPr>
        <w:t>）</w:t>
      </w:r>
    </w:p>
    <w:p w14:paraId="7531EE8B" w14:textId="77777777" w:rsidR="00F5289E" w:rsidRDefault="00F5289E">
      <w:pPr>
        <w:snapToGrid w:val="0"/>
        <w:spacing w:line="360" w:lineRule="auto"/>
        <w:jc w:val="center"/>
        <w:rPr>
          <w:b/>
          <w:szCs w:val="21"/>
        </w:rPr>
      </w:pPr>
    </w:p>
    <w:p w14:paraId="17994AA1" w14:textId="77777777" w:rsidR="00F5289E" w:rsidRDefault="00C91173">
      <w:pPr>
        <w:snapToGrid w:val="0"/>
        <w:spacing w:line="360" w:lineRule="auto"/>
        <w:jc w:val="center"/>
        <w:rPr>
          <w:b/>
          <w:szCs w:val="21"/>
        </w:rPr>
      </w:pPr>
      <w:r>
        <w:rPr>
          <w:b/>
          <w:szCs w:val="21"/>
        </w:rPr>
        <w:t>课程基本信息</w:t>
      </w:r>
    </w:p>
    <w:tbl>
      <w:tblPr>
        <w:tblW w:w="5000" w:type="pct"/>
        <w:tblLook w:val="04A0" w:firstRow="1" w:lastRow="0" w:firstColumn="1" w:lastColumn="0" w:noHBand="0" w:noVBand="1"/>
      </w:tblPr>
      <w:tblGrid>
        <w:gridCol w:w="2966"/>
        <w:gridCol w:w="2586"/>
        <w:gridCol w:w="3348"/>
      </w:tblGrid>
      <w:tr w:rsidR="00F5289E" w14:paraId="7C039F65" w14:textId="77777777">
        <w:tc>
          <w:tcPr>
            <w:tcW w:w="1666" w:type="pct"/>
            <w:shd w:val="clear" w:color="auto" w:fill="auto"/>
          </w:tcPr>
          <w:p w14:paraId="6ED0B536" w14:textId="77777777" w:rsidR="00F5289E" w:rsidRDefault="00C91173">
            <w:pPr>
              <w:spacing w:line="300" w:lineRule="auto"/>
              <w:rPr>
                <w:b/>
                <w:bCs/>
                <w:szCs w:val="21"/>
              </w:rPr>
            </w:pPr>
            <w:r>
              <w:rPr>
                <w:b/>
                <w:bCs/>
                <w:szCs w:val="21"/>
              </w:rPr>
              <w:t>课程编号：</w:t>
            </w:r>
            <w:r w:rsidRPr="00E73F67">
              <w:rPr>
                <w:kern w:val="0"/>
                <w:sz w:val="20"/>
                <w:szCs w:val="21"/>
              </w:rPr>
              <w:t>19011048</w:t>
            </w:r>
          </w:p>
        </w:tc>
        <w:tc>
          <w:tcPr>
            <w:tcW w:w="1453" w:type="pct"/>
            <w:shd w:val="clear" w:color="auto" w:fill="auto"/>
          </w:tcPr>
          <w:p w14:paraId="57C4D7B2" w14:textId="77777777" w:rsidR="00F5289E" w:rsidRDefault="00C91173">
            <w:pPr>
              <w:spacing w:line="300" w:lineRule="auto"/>
              <w:rPr>
                <w:b/>
                <w:bCs/>
                <w:szCs w:val="21"/>
              </w:rPr>
            </w:pPr>
            <w:r>
              <w:rPr>
                <w:b/>
                <w:bCs/>
                <w:szCs w:val="21"/>
              </w:rPr>
              <w:t>课程总学时：</w:t>
            </w:r>
            <w:r w:rsidRPr="00E73F67">
              <w:rPr>
                <w:szCs w:val="21"/>
              </w:rPr>
              <w:t>32</w:t>
            </w:r>
          </w:p>
        </w:tc>
        <w:tc>
          <w:tcPr>
            <w:tcW w:w="1881" w:type="pct"/>
            <w:shd w:val="clear" w:color="auto" w:fill="auto"/>
          </w:tcPr>
          <w:p w14:paraId="3593A3E7" w14:textId="54CD9BA3" w:rsidR="00F5289E" w:rsidRDefault="00C91173">
            <w:pPr>
              <w:spacing w:line="300" w:lineRule="auto"/>
              <w:rPr>
                <w:b/>
                <w:bCs/>
                <w:szCs w:val="21"/>
              </w:rPr>
            </w:pPr>
            <w:r>
              <w:rPr>
                <w:b/>
                <w:bCs/>
                <w:szCs w:val="21"/>
              </w:rPr>
              <w:t>实验学时：</w:t>
            </w:r>
            <w:r w:rsidRPr="00E73F67">
              <w:rPr>
                <w:szCs w:val="21"/>
              </w:rPr>
              <w:t>0</w:t>
            </w:r>
          </w:p>
        </w:tc>
      </w:tr>
      <w:tr w:rsidR="00F5289E" w14:paraId="635FFC53" w14:textId="77777777">
        <w:tc>
          <w:tcPr>
            <w:tcW w:w="1666" w:type="pct"/>
            <w:shd w:val="clear" w:color="auto" w:fill="auto"/>
          </w:tcPr>
          <w:p w14:paraId="3206D4A9" w14:textId="77777777" w:rsidR="00F5289E" w:rsidRDefault="00C91173">
            <w:pPr>
              <w:spacing w:line="300" w:lineRule="auto"/>
              <w:rPr>
                <w:b/>
                <w:bCs/>
                <w:szCs w:val="21"/>
              </w:rPr>
            </w:pPr>
            <w:r>
              <w:rPr>
                <w:b/>
                <w:bCs/>
                <w:szCs w:val="21"/>
              </w:rPr>
              <w:t>课程性质：</w:t>
            </w:r>
            <w:r w:rsidRPr="00E73F67">
              <w:rPr>
                <w:rFonts w:hint="eastAsia"/>
                <w:szCs w:val="21"/>
              </w:rPr>
              <w:t>选修</w:t>
            </w:r>
          </w:p>
        </w:tc>
        <w:tc>
          <w:tcPr>
            <w:tcW w:w="1453" w:type="pct"/>
            <w:shd w:val="clear" w:color="auto" w:fill="auto"/>
          </w:tcPr>
          <w:p w14:paraId="4B1931AF" w14:textId="77777777" w:rsidR="00F5289E" w:rsidRDefault="00C91173">
            <w:pPr>
              <w:spacing w:line="300" w:lineRule="auto"/>
              <w:rPr>
                <w:b/>
                <w:bCs/>
                <w:szCs w:val="21"/>
              </w:rPr>
            </w:pPr>
            <w:r>
              <w:rPr>
                <w:b/>
                <w:szCs w:val="21"/>
              </w:rPr>
              <w:t>课程属性</w:t>
            </w:r>
            <w:r>
              <w:rPr>
                <w:b/>
                <w:szCs w:val="21"/>
              </w:rPr>
              <w:t>:</w:t>
            </w:r>
            <w:r w:rsidRPr="00E73F67">
              <w:rPr>
                <w:kern w:val="0"/>
                <w:szCs w:val="21"/>
              </w:rPr>
              <w:t>专业类</w:t>
            </w:r>
          </w:p>
        </w:tc>
        <w:tc>
          <w:tcPr>
            <w:tcW w:w="1881" w:type="pct"/>
            <w:shd w:val="clear" w:color="auto" w:fill="auto"/>
          </w:tcPr>
          <w:p w14:paraId="2093DBB2" w14:textId="77777777" w:rsidR="00F5289E" w:rsidRDefault="00C91173">
            <w:pPr>
              <w:spacing w:line="300" w:lineRule="auto"/>
              <w:rPr>
                <w:b/>
                <w:bCs/>
                <w:szCs w:val="21"/>
              </w:rPr>
            </w:pPr>
            <w:r>
              <w:rPr>
                <w:b/>
                <w:bCs/>
                <w:szCs w:val="21"/>
              </w:rPr>
              <w:t>开设学期：</w:t>
            </w:r>
            <w:r w:rsidRPr="00E73F67">
              <w:rPr>
                <w:szCs w:val="21"/>
              </w:rPr>
              <w:t>第</w:t>
            </w:r>
            <w:r w:rsidRPr="00E73F67">
              <w:rPr>
                <w:szCs w:val="21"/>
              </w:rPr>
              <w:t>4</w:t>
            </w:r>
            <w:r w:rsidRPr="00E73F67">
              <w:rPr>
                <w:szCs w:val="21"/>
              </w:rPr>
              <w:t>学期</w:t>
            </w:r>
          </w:p>
        </w:tc>
      </w:tr>
      <w:tr w:rsidR="00F5289E" w14:paraId="3FF4F7E7" w14:textId="77777777">
        <w:tc>
          <w:tcPr>
            <w:tcW w:w="1666" w:type="pct"/>
            <w:shd w:val="clear" w:color="auto" w:fill="auto"/>
          </w:tcPr>
          <w:p w14:paraId="745FF2FC" w14:textId="77777777" w:rsidR="00F5289E" w:rsidRDefault="00C91173">
            <w:pPr>
              <w:spacing w:line="300" w:lineRule="auto"/>
              <w:rPr>
                <w:b/>
                <w:bCs/>
                <w:szCs w:val="21"/>
              </w:rPr>
            </w:pPr>
            <w:r>
              <w:rPr>
                <w:b/>
                <w:bCs/>
                <w:szCs w:val="21"/>
              </w:rPr>
              <w:t>课程负责人：</w:t>
            </w:r>
            <w:r w:rsidRPr="00E73F67">
              <w:rPr>
                <w:szCs w:val="21"/>
              </w:rPr>
              <w:t>贺巍</w:t>
            </w:r>
          </w:p>
        </w:tc>
        <w:tc>
          <w:tcPr>
            <w:tcW w:w="1453" w:type="pct"/>
            <w:shd w:val="clear" w:color="auto" w:fill="auto"/>
          </w:tcPr>
          <w:p w14:paraId="1FF9B0E6" w14:textId="77777777" w:rsidR="00F5289E" w:rsidRDefault="00C91173">
            <w:pPr>
              <w:spacing w:line="300" w:lineRule="auto"/>
              <w:rPr>
                <w:b/>
                <w:bCs/>
                <w:szCs w:val="21"/>
              </w:rPr>
            </w:pPr>
            <w:r>
              <w:rPr>
                <w:b/>
                <w:bCs/>
                <w:szCs w:val="21"/>
              </w:rPr>
              <w:t>课程团队：</w:t>
            </w:r>
            <w:r w:rsidRPr="00E73F67">
              <w:rPr>
                <w:szCs w:val="21"/>
              </w:rPr>
              <w:t>茶学课程组</w:t>
            </w:r>
          </w:p>
        </w:tc>
        <w:tc>
          <w:tcPr>
            <w:tcW w:w="1881" w:type="pct"/>
            <w:shd w:val="clear" w:color="auto" w:fill="auto"/>
          </w:tcPr>
          <w:p w14:paraId="49042B11" w14:textId="77777777" w:rsidR="00F5289E" w:rsidRDefault="00C91173">
            <w:pPr>
              <w:spacing w:line="300" w:lineRule="auto"/>
              <w:rPr>
                <w:b/>
                <w:bCs/>
                <w:szCs w:val="21"/>
              </w:rPr>
            </w:pPr>
            <w:r>
              <w:rPr>
                <w:b/>
                <w:bCs/>
                <w:szCs w:val="21"/>
              </w:rPr>
              <w:t>授课语言：</w:t>
            </w:r>
            <w:r w:rsidRPr="00E73F67">
              <w:rPr>
                <w:szCs w:val="21"/>
              </w:rPr>
              <w:t>中文</w:t>
            </w:r>
          </w:p>
        </w:tc>
      </w:tr>
      <w:tr w:rsidR="00F5289E" w14:paraId="61C30E26" w14:textId="77777777">
        <w:tc>
          <w:tcPr>
            <w:tcW w:w="5000" w:type="pct"/>
            <w:gridSpan w:val="3"/>
            <w:shd w:val="clear" w:color="auto" w:fill="auto"/>
          </w:tcPr>
          <w:p w14:paraId="33D732C2" w14:textId="77777777" w:rsidR="00F5289E" w:rsidRDefault="00C91173">
            <w:pPr>
              <w:spacing w:line="300" w:lineRule="auto"/>
              <w:ind w:rightChars="-81" w:right="-170"/>
              <w:rPr>
                <w:b/>
                <w:bCs/>
                <w:szCs w:val="21"/>
              </w:rPr>
            </w:pPr>
            <w:r>
              <w:rPr>
                <w:b/>
                <w:bCs/>
                <w:szCs w:val="21"/>
              </w:rPr>
              <w:t>适用专业：</w:t>
            </w:r>
            <w:r w:rsidRPr="00E73F67">
              <w:rPr>
                <w:rFonts w:hint="eastAsia"/>
                <w:szCs w:val="21"/>
              </w:rPr>
              <w:t>设施农业科学与工程</w:t>
            </w:r>
          </w:p>
        </w:tc>
      </w:tr>
      <w:tr w:rsidR="00F5289E" w14:paraId="66EEC963" w14:textId="77777777">
        <w:tc>
          <w:tcPr>
            <w:tcW w:w="5000" w:type="pct"/>
            <w:gridSpan w:val="3"/>
            <w:shd w:val="clear" w:color="auto" w:fill="auto"/>
          </w:tcPr>
          <w:p w14:paraId="1302A132" w14:textId="77777777" w:rsidR="00F5289E" w:rsidRDefault="00C91173">
            <w:pPr>
              <w:spacing w:line="300" w:lineRule="auto"/>
              <w:rPr>
                <w:b/>
                <w:bCs/>
                <w:szCs w:val="21"/>
              </w:rPr>
            </w:pPr>
            <w:r>
              <w:rPr>
                <w:b/>
                <w:bCs/>
                <w:szCs w:val="21"/>
              </w:rPr>
              <w:t>对先修的要求：</w:t>
            </w:r>
            <w:r w:rsidRPr="00E73F67">
              <w:rPr>
                <w:rFonts w:hint="eastAsia"/>
                <w:szCs w:val="21"/>
              </w:rPr>
              <w:t>无</w:t>
            </w:r>
          </w:p>
        </w:tc>
      </w:tr>
      <w:tr w:rsidR="00F5289E" w14:paraId="26B86A9C" w14:textId="77777777">
        <w:tc>
          <w:tcPr>
            <w:tcW w:w="5000" w:type="pct"/>
            <w:gridSpan w:val="3"/>
            <w:shd w:val="clear" w:color="auto" w:fill="auto"/>
          </w:tcPr>
          <w:p w14:paraId="71B0CD14" w14:textId="77777777" w:rsidR="00F5289E" w:rsidRDefault="00C91173">
            <w:pPr>
              <w:spacing w:line="300" w:lineRule="auto"/>
              <w:rPr>
                <w:b/>
                <w:bCs/>
                <w:szCs w:val="21"/>
              </w:rPr>
            </w:pPr>
            <w:r>
              <w:rPr>
                <w:b/>
                <w:bCs/>
                <w:szCs w:val="21"/>
              </w:rPr>
              <w:t>对后续的支撑：</w:t>
            </w:r>
            <w:r w:rsidRPr="00E73F67">
              <w:rPr>
                <w:rFonts w:hint="eastAsia"/>
                <w:szCs w:val="21"/>
              </w:rPr>
              <w:t>无</w:t>
            </w:r>
          </w:p>
        </w:tc>
      </w:tr>
      <w:tr w:rsidR="00F5289E" w14:paraId="3CC3EDE2" w14:textId="77777777">
        <w:tc>
          <w:tcPr>
            <w:tcW w:w="1666" w:type="pct"/>
            <w:shd w:val="clear" w:color="auto" w:fill="auto"/>
          </w:tcPr>
          <w:p w14:paraId="0BDE9D58" w14:textId="77777777" w:rsidR="00F5289E" w:rsidRDefault="00C91173">
            <w:pPr>
              <w:spacing w:line="300" w:lineRule="auto"/>
              <w:rPr>
                <w:b/>
                <w:bCs/>
                <w:szCs w:val="21"/>
              </w:rPr>
            </w:pPr>
            <w:r>
              <w:rPr>
                <w:b/>
                <w:bCs/>
                <w:szCs w:val="21"/>
              </w:rPr>
              <w:t>主撰人：</w:t>
            </w:r>
            <w:r w:rsidRPr="00BE4986">
              <w:rPr>
                <w:szCs w:val="21"/>
              </w:rPr>
              <w:t>贺</w:t>
            </w:r>
            <w:r w:rsidRPr="00E73F67">
              <w:rPr>
                <w:szCs w:val="21"/>
              </w:rPr>
              <w:t>巍</w:t>
            </w:r>
          </w:p>
        </w:tc>
        <w:tc>
          <w:tcPr>
            <w:tcW w:w="1453" w:type="pct"/>
            <w:shd w:val="clear" w:color="auto" w:fill="auto"/>
          </w:tcPr>
          <w:p w14:paraId="7646F50F" w14:textId="7805CC4F" w:rsidR="00F5289E" w:rsidRDefault="00C91173">
            <w:pPr>
              <w:spacing w:line="300" w:lineRule="auto"/>
              <w:rPr>
                <w:b/>
                <w:bCs/>
                <w:szCs w:val="21"/>
              </w:rPr>
            </w:pPr>
            <w:r>
              <w:rPr>
                <w:b/>
                <w:bCs/>
                <w:szCs w:val="21"/>
              </w:rPr>
              <w:t>审核人：</w:t>
            </w:r>
            <w:r w:rsidR="00BE4986" w:rsidRPr="00BE4986">
              <w:rPr>
                <w:rFonts w:hint="eastAsia"/>
                <w:szCs w:val="21"/>
              </w:rPr>
              <w:t>赵仁亮</w:t>
            </w:r>
          </w:p>
        </w:tc>
        <w:tc>
          <w:tcPr>
            <w:tcW w:w="1881" w:type="pct"/>
            <w:shd w:val="clear" w:color="auto" w:fill="auto"/>
          </w:tcPr>
          <w:p w14:paraId="1B343437" w14:textId="77777777" w:rsidR="00F5289E" w:rsidRDefault="00C91173">
            <w:pPr>
              <w:spacing w:line="300" w:lineRule="auto"/>
              <w:rPr>
                <w:b/>
                <w:bCs/>
                <w:szCs w:val="21"/>
              </w:rPr>
            </w:pPr>
            <w:r>
              <w:rPr>
                <w:b/>
                <w:bCs/>
                <w:szCs w:val="21"/>
              </w:rPr>
              <w:t>大纲制定（修订）日期：</w:t>
            </w:r>
            <w:r w:rsidRPr="00E73F67">
              <w:rPr>
                <w:szCs w:val="21"/>
              </w:rPr>
              <w:t>202</w:t>
            </w:r>
            <w:r w:rsidR="00E73F67">
              <w:rPr>
                <w:szCs w:val="21"/>
              </w:rPr>
              <w:t>3.05</w:t>
            </w:r>
          </w:p>
        </w:tc>
      </w:tr>
    </w:tbl>
    <w:p w14:paraId="4389D104" w14:textId="77777777" w:rsidR="00F5289E" w:rsidRDefault="00F5289E">
      <w:pPr>
        <w:snapToGrid w:val="0"/>
        <w:jc w:val="left"/>
        <w:rPr>
          <w:b/>
          <w:szCs w:val="21"/>
        </w:rPr>
      </w:pPr>
    </w:p>
    <w:p w14:paraId="19245F19" w14:textId="77777777" w:rsidR="00F5289E" w:rsidRDefault="00C91173">
      <w:pPr>
        <w:snapToGrid w:val="0"/>
        <w:spacing w:line="360" w:lineRule="auto"/>
        <w:jc w:val="left"/>
        <w:rPr>
          <w:b/>
          <w:szCs w:val="21"/>
        </w:rPr>
      </w:pPr>
      <w:r>
        <w:rPr>
          <w:b/>
          <w:szCs w:val="21"/>
        </w:rPr>
        <w:t>一、</w:t>
      </w:r>
      <w:r>
        <w:rPr>
          <w:b/>
          <w:bCs/>
          <w:kern w:val="0"/>
          <w:szCs w:val="21"/>
        </w:rPr>
        <w:t>课程的教学理念、性质、目标和任务</w:t>
      </w:r>
    </w:p>
    <w:p w14:paraId="2360F0FD" w14:textId="77777777" w:rsidR="00F5289E" w:rsidRDefault="00C91173">
      <w:pPr>
        <w:spacing w:line="360" w:lineRule="auto"/>
        <w:ind w:firstLine="420"/>
        <w:jc w:val="left"/>
        <w:rPr>
          <w:kern w:val="0"/>
          <w:szCs w:val="21"/>
        </w:rPr>
      </w:pPr>
      <w:r>
        <w:rPr>
          <w:kern w:val="0"/>
          <w:szCs w:val="21"/>
        </w:rPr>
        <w:t>《茶文化学》课程旨在让学生了解中国茶文化，了解中国是茶树、茶叶和茶文化的发源地，在中国茶文化有着非常深厚的底蕴，了解中国茶文化的特点。《茶文化学》是</w:t>
      </w:r>
      <w:r>
        <w:rPr>
          <w:kern w:val="0"/>
          <w:szCs w:val="21"/>
        </w:rPr>
        <w:t>—</w:t>
      </w:r>
      <w:r>
        <w:rPr>
          <w:kern w:val="0"/>
          <w:szCs w:val="21"/>
        </w:rPr>
        <w:t>门茶学、历史学与文化学的交叉学科。本课程蕴含的内容丰富，包括茶的历史发展，茶的发现利用，茶类和茶具的发展演变，茶艺与茶道，饮茶习俗，茶对社会生活的影响，茶事文学艺术、茶的传播、茶对古代社会生活的影响、世界各国的茶文化特点等；主要从物质形态、制度形态、精神形态和行为形态等方面阐述了茶文化。承担着提高</w:t>
      </w:r>
      <w:r>
        <w:rPr>
          <w:rFonts w:hint="eastAsia"/>
          <w:kern w:val="0"/>
          <w:szCs w:val="21"/>
        </w:rPr>
        <w:t>学生</w:t>
      </w:r>
      <w:r>
        <w:rPr>
          <w:kern w:val="0"/>
          <w:szCs w:val="21"/>
        </w:rPr>
        <w:t>对茶叶、茶文化乃至传统文化的认知，弘扬传统文化的任务。</w:t>
      </w:r>
    </w:p>
    <w:p w14:paraId="5909E882" w14:textId="77777777" w:rsidR="00F5289E" w:rsidRDefault="00C91173">
      <w:pPr>
        <w:snapToGrid w:val="0"/>
        <w:spacing w:line="360" w:lineRule="auto"/>
        <w:jc w:val="left"/>
        <w:rPr>
          <w:b/>
          <w:szCs w:val="21"/>
        </w:rPr>
      </w:pPr>
      <w:r>
        <w:rPr>
          <w:b/>
          <w:szCs w:val="21"/>
        </w:rPr>
        <w:t>二、课程教学的基本要求</w:t>
      </w:r>
    </w:p>
    <w:p w14:paraId="6C29B1D1" w14:textId="77777777" w:rsidR="00F5289E" w:rsidRDefault="00C91173">
      <w:pPr>
        <w:spacing w:line="360" w:lineRule="auto"/>
        <w:ind w:firstLine="420"/>
        <w:jc w:val="left"/>
      </w:pPr>
      <w:r>
        <w:rPr>
          <w:szCs w:val="18"/>
        </w:rPr>
        <w:t>通过本课程各教学环节，简明、系统地向学生阐述茶文化的基本理论及其发展规律</w:t>
      </w:r>
      <w:r>
        <w:t>。让学生对茶文化的形成与发展，茶树与茶叶，茶对社会生活的影响，茶事艺术文化作品，茶叶与茶文化的对外传播，饮茶习俗等有系统的</w:t>
      </w:r>
      <w:r>
        <w:rPr>
          <w:rFonts w:hint="eastAsia"/>
        </w:rPr>
        <w:t>掌握</w:t>
      </w:r>
      <w:r>
        <w:t>和学习。</w:t>
      </w:r>
    </w:p>
    <w:p w14:paraId="1697A307" w14:textId="77777777" w:rsidR="00F5289E" w:rsidRDefault="00C91173">
      <w:pPr>
        <w:widowControl/>
        <w:snapToGrid w:val="0"/>
        <w:spacing w:line="360" w:lineRule="auto"/>
        <w:jc w:val="left"/>
        <w:rPr>
          <w:b/>
          <w:bCs/>
          <w:kern w:val="0"/>
          <w:szCs w:val="21"/>
        </w:rPr>
      </w:pPr>
      <w:r>
        <w:rPr>
          <w:b/>
          <w:bCs/>
          <w:kern w:val="0"/>
          <w:szCs w:val="21"/>
        </w:rPr>
        <w:t>三、课程的教学设计</w:t>
      </w:r>
    </w:p>
    <w:p w14:paraId="52560002" w14:textId="77777777" w:rsidR="00F5289E" w:rsidRDefault="00C91173">
      <w:pPr>
        <w:spacing w:line="360" w:lineRule="auto"/>
        <w:ind w:firstLineChars="200" w:firstLine="420"/>
        <w:jc w:val="left"/>
        <w:rPr>
          <w:bCs/>
          <w:kern w:val="0"/>
          <w:szCs w:val="21"/>
        </w:rPr>
      </w:pPr>
      <w:r>
        <w:rPr>
          <w:bCs/>
          <w:kern w:val="0"/>
          <w:szCs w:val="21"/>
        </w:rPr>
        <w:t>1.</w:t>
      </w:r>
      <w:r>
        <w:rPr>
          <w:bCs/>
          <w:kern w:val="0"/>
          <w:szCs w:val="21"/>
        </w:rPr>
        <w:t>教学设计说明</w:t>
      </w:r>
    </w:p>
    <w:p w14:paraId="484B3CF8" w14:textId="77777777" w:rsidR="00F5289E" w:rsidRDefault="00C91173">
      <w:pPr>
        <w:spacing w:line="360" w:lineRule="auto"/>
        <w:ind w:firstLineChars="200" w:firstLine="420"/>
        <w:jc w:val="left"/>
        <w:rPr>
          <w:bCs/>
          <w:color w:val="FF0000"/>
          <w:kern w:val="0"/>
          <w:szCs w:val="21"/>
        </w:rPr>
      </w:pPr>
      <w:r>
        <w:rPr>
          <w:rFonts w:hint="eastAsia"/>
          <w:bCs/>
          <w:kern w:val="0"/>
          <w:szCs w:val="21"/>
        </w:rPr>
        <w:t>本课程以历史发展和地理分布为主线，以制茶、饮茶方式和相关的茶文化表现形式为辅线，通过思维导图让学生能够把散碎的知识点串联起来，让学生充分掌握不同历史发展阶段的茶文化形式，不同地域的茶文化形式</w:t>
      </w:r>
      <w:r>
        <w:rPr>
          <w:bCs/>
          <w:kern w:val="0"/>
          <w:szCs w:val="21"/>
        </w:rPr>
        <w:t>。</w:t>
      </w:r>
      <w:r>
        <w:rPr>
          <w:rFonts w:hint="eastAsia"/>
          <w:bCs/>
          <w:kern w:val="0"/>
          <w:szCs w:val="21"/>
        </w:rPr>
        <w:t>课程以教师讲授为主；在“饮茶习俗”、“茶事艺文”等相关内容的章节进行翻转课堂，教师布置任务、学生按小组完成之后在课堂上进行讲解。课程进行过程中，教师会发布相应的作业和任务由学生完成。按照作业和任务的达成度来计算成绩随时对学生</w:t>
      </w:r>
      <w:r>
        <w:rPr>
          <w:rFonts w:hint="eastAsia"/>
          <w:bCs/>
          <w:kern w:val="0"/>
          <w:szCs w:val="21"/>
        </w:rPr>
        <w:lastRenderedPageBreak/>
        <w:t>进行过程性评价，过程性评价的成绩记入课程总成绩。</w:t>
      </w:r>
    </w:p>
    <w:p w14:paraId="096ED3AF" w14:textId="77777777" w:rsidR="00F5289E" w:rsidRDefault="00C91173">
      <w:pPr>
        <w:spacing w:line="360" w:lineRule="auto"/>
        <w:ind w:firstLineChars="200" w:firstLine="420"/>
        <w:jc w:val="left"/>
        <w:rPr>
          <w:bCs/>
          <w:kern w:val="0"/>
          <w:szCs w:val="21"/>
        </w:rPr>
      </w:pPr>
      <w:r>
        <w:rPr>
          <w:bCs/>
          <w:kern w:val="0"/>
          <w:szCs w:val="21"/>
        </w:rPr>
        <w:t>2.</w:t>
      </w:r>
      <w:r>
        <w:rPr>
          <w:bCs/>
          <w:kern w:val="0"/>
          <w:szCs w:val="21"/>
        </w:rPr>
        <w:t>课程目标及对毕业要求的支撑</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846"/>
        <w:gridCol w:w="1052"/>
      </w:tblGrid>
      <w:tr w:rsidR="00F5289E" w14:paraId="12422A24"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vAlign w:val="center"/>
          </w:tcPr>
          <w:p w14:paraId="7BBB8F07" w14:textId="77777777" w:rsidR="00F5289E" w:rsidRDefault="00C91173">
            <w:pPr>
              <w:spacing w:line="320" w:lineRule="exact"/>
              <w:jc w:val="center"/>
              <w:rPr>
                <w:b/>
                <w:bCs/>
                <w:sz w:val="18"/>
                <w:szCs w:val="18"/>
              </w:rPr>
            </w:pPr>
            <w:r>
              <w:rPr>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vAlign w:val="center"/>
          </w:tcPr>
          <w:p w14:paraId="656AF10F" w14:textId="77777777" w:rsidR="00F5289E" w:rsidRDefault="00C91173">
            <w:pPr>
              <w:spacing w:line="320" w:lineRule="exact"/>
              <w:jc w:val="center"/>
              <w:rPr>
                <w:b/>
                <w:bCs/>
                <w:sz w:val="18"/>
                <w:szCs w:val="18"/>
              </w:rPr>
            </w:pPr>
            <w:r>
              <w:rPr>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vAlign w:val="center"/>
          </w:tcPr>
          <w:p w14:paraId="52AEAD7B" w14:textId="77777777" w:rsidR="00F5289E" w:rsidRDefault="00C91173">
            <w:pPr>
              <w:spacing w:line="320" w:lineRule="exact"/>
              <w:jc w:val="center"/>
              <w:rPr>
                <w:b/>
                <w:bCs/>
                <w:sz w:val="18"/>
                <w:szCs w:val="18"/>
              </w:rPr>
            </w:pPr>
            <w:r>
              <w:rPr>
                <w:b/>
                <w:bCs/>
                <w:sz w:val="18"/>
                <w:szCs w:val="18"/>
              </w:rPr>
              <w:t>毕业要求</w:t>
            </w:r>
          </w:p>
        </w:tc>
      </w:tr>
      <w:tr w:rsidR="00F5289E" w14:paraId="2C75801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F57747B" w14:textId="77777777" w:rsidR="00F5289E" w:rsidRDefault="00C91173">
            <w:pPr>
              <w:spacing w:line="320" w:lineRule="exact"/>
              <w:jc w:val="center"/>
              <w:rPr>
                <w:sz w:val="18"/>
                <w:szCs w:val="18"/>
              </w:rPr>
            </w:pPr>
            <w:r>
              <w:rPr>
                <w:sz w:val="18"/>
                <w:szCs w:val="18"/>
              </w:rPr>
              <w:t>1</w:t>
            </w:r>
          </w:p>
        </w:tc>
        <w:tc>
          <w:tcPr>
            <w:tcW w:w="6846" w:type="dxa"/>
            <w:tcBorders>
              <w:top w:val="single" w:sz="4" w:space="0" w:color="auto"/>
              <w:left w:val="single" w:sz="4" w:space="0" w:color="auto"/>
              <w:bottom w:val="single" w:sz="4" w:space="0" w:color="auto"/>
              <w:right w:val="single" w:sz="4" w:space="0" w:color="auto"/>
            </w:tcBorders>
            <w:shd w:val="clear" w:color="auto" w:fill="auto"/>
            <w:vAlign w:val="center"/>
          </w:tcPr>
          <w:p w14:paraId="291C5E83" w14:textId="77777777" w:rsidR="00F5289E" w:rsidRDefault="00C91173">
            <w:pPr>
              <w:spacing w:line="320" w:lineRule="exact"/>
              <w:jc w:val="left"/>
              <w:rPr>
                <w:sz w:val="18"/>
                <w:szCs w:val="18"/>
              </w:rPr>
            </w:pPr>
            <w:r>
              <w:rPr>
                <w:rFonts w:hint="eastAsia"/>
                <w:sz w:val="18"/>
                <w:szCs w:val="18"/>
              </w:rPr>
              <w:t>使学生充分理解中国茶文化，掌握相关的茶文化知识，并具备能够不断地学习和弘扬传统茶文化的能力。</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40629A89" w14:textId="77777777" w:rsidR="00F5289E" w:rsidRDefault="00C91173">
            <w:pPr>
              <w:spacing w:line="320" w:lineRule="exact"/>
              <w:jc w:val="center"/>
              <w:rPr>
                <w:sz w:val="18"/>
                <w:szCs w:val="18"/>
              </w:rPr>
            </w:pPr>
            <w:r>
              <w:rPr>
                <w:sz w:val="18"/>
                <w:szCs w:val="18"/>
              </w:rPr>
              <w:t>1</w:t>
            </w:r>
          </w:p>
          <w:p w14:paraId="21CF5688" w14:textId="77777777" w:rsidR="00F5289E" w:rsidRDefault="00C91173">
            <w:pPr>
              <w:spacing w:line="320" w:lineRule="exact"/>
              <w:jc w:val="center"/>
              <w:rPr>
                <w:sz w:val="18"/>
                <w:szCs w:val="18"/>
              </w:rPr>
            </w:pPr>
            <w:r>
              <w:rPr>
                <w:sz w:val="18"/>
                <w:szCs w:val="18"/>
              </w:rPr>
              <w:t>4</w:t>
            </w:r>
          </w:p>
          <w:p w14:paraId="2A37744D" w14:textId="77777777" w:rsidR="00F5289E" w:rsidRDefault="00C91173">
            <w:pPr>
              <w:spacing w:line="320" w:lineRule="exact"/>
              <w:jc w:val="center"/>
              <w:rPr>
                <w:sz w:val="18"/>
                <w:szCs w:val="18"/>
              </w:rPr>
            </w:pPr>
            <w:r>
              <w:rPr>
                <w:sz w:val="18"/>
                <w:szCs w:val="18"/>
              </w:rPr>
              <w:t>9</w:t>
            </w:r>
          </w:p>
        </w:tc>
      </w:tr>
      <w:tr w:rsidR="00F5289E" w14:paraId="5422853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32BFF58E" w14:textId="77777777" w:rsidR="00F5289E" w:rsidRDefault="00C91173">
            <w:pPr>
              <w:spacing w:line="320" w:lineRule="exact"/>
              <w:jc w:val="center"/>
              <w:rPr>
                <w:sz w:val="18"/>
                <w:szCs w:val="18"/>
              </w:rPr>
            </w:pPr>
            <w:r>
              <w:rPr>
                <w:sz w:val="18"/>
                <w:szCs w:val="18"/>
              </w:rPr>
              <w:t>2</w:t>
            </w:r>
          </w:p>
        </w:tc>
        <w:tc>
          <w:tcPr>
            <w:tcW w:w="6846" w:type="dxa"/>
            <w:tcBorders>
              <w:top w:val="single" w:sz="4" w:space="0" w:color="auto"/>
              <w:left w:val="single" w:sz="4" w:space="0" w:color="auto"/>
              <w:bottom w:val="single" w:sz="4" w:space="0" w:color="auto"/>
              <w:right w:val="single" w:sz="4" w:space="0" w:color="auto"/>
            </w:tcBorders>
            <w:shd w:val="clear" w:color="auto" w:fill="auto"/>
            <w:vAlign w:val="center"/>
          </w:tcPr>
          <w:p w14:paraId="093C2474" w14:textId="77777777" w:rsidR="00F5289E" w:rsidRDefault="00C91173">
            <w:pPr>
              <w:spacing w:line="320" w:lineRule="exact"/>
              <w:jc w:val="left"/>
              <w:rPr>
                <w:sz w:val="18"/>
                <w:szCs w:val="18"/>
              </w:rPr>
            </w:pPr>
            <w:r>
              <w:rPr>
                <w:rFonts w:hint="eastAsia"/>
                <w:sz w:val="18"/>
                <w:szCs w:val="18"/>
              </w:rPr>
              <w:t>使学生掌握中国茶文化的对外传播以及世界茶业基本情况，具备相关的国际视野。</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634F1DC7" w14:textId="77777777" w:rsidR="00F5289E" w:rsidRDefault="00C91173">
            <w:pPr>
              <w:spacing w:line="320" w:lineRule="exact"/>
              <w:jc w:val="center"/>
              <w:rPr>
                <w:sz w:val="18"/>
                <w:szCs w:val="18"/>
              </w:rPr>
            </w:pPr>
            <w:r>
              <w:rPr>
                <w:sz w:val="18"/>
                <w:szCs w:val="18"/>
              </w:rPr>
              <w:t>4</w:t>
            </w:r>
          </w:p>
          <w:p w14:paraId="6D363880" w14:textId="77777777" w:rsidR="00F5289E" w:rsidRDefault="00C91173">
            <w:pPr>
              <w:spacing w:line="320" w:lineRule="exact"/>
              <w:jc w:val="center"/>
              <w:rPr>
                <w:sz w:val="18"/>
                <w:szCs w:val="18"/>
              </w:rPr>
            </w:pPr>
            <w:r>
              <w:rPr>
                <w:sz w:val="18"/>
                <w:szCs w:val="18"/>
              </w:rPr>
              <w:t>8</w:t>
            </w:r>
          </w:p>
        </w:tc>
      </w:tr>
      <w:tr w:rsidR="00F5289E" w14:paraId="3D3A76E3"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B5CFBB9" w14:textId="77777777" w:rsidR="00F5289E" w:rsidRDefault="00C91173">
            <w:pPr>
              <w:spacing w:line="320" w:lineRule="exact"/>
              <w:jc w:val="center"/>
              <w:rPr>
                <w:sz w:val="18"/>
                <w:szCs w:val="18"/>
              </w:rPr>
            </w:pPr>
            <w:r>
              <w:rPr>
                <w:sz w:val="18"/>
                <w:szCs w:val="18"/>
              </w:rPr>
              <w:t>3</w:t>
            </w:r>
          </w:p>
        </w:tc>
        <w:tc>
          <w:tcPr>
            <w:tcW w:w="6846" w:type="dxa"/>
            <w:tcBorders>
              <w:top w:val="single" w:sz="4" w:space="0" w:color="auto"/>
              <w:left w:val="single" w:sz="4" w:space="0" w:color="auto"/>
              <w:bottom w:val="single" w:sz="4" w:space="0" w:color="auto"/>
              <w:right w:val="single" w:sz="4" w:space="0" w:color="auto"/>
            </w:tcBorders>
            <w:shd w:val="clear" w:color="auto" w:fill="auto"/>
            <w:vAlign w:val="center"/>
          </w:tcPr>
          <w:p w14:paraId="4931CE42" w14:textId="77777777" w:rsidR="00F5289E" w:rsidRDefault="00C91173">
            <w:pPr>
              <w:spacing w:line="320" w:lineRule="exact"/>
              <w:rPr>
                <w:sz w:val="18"/>
                <w:szCs w:val="18"/>
              </w:rPr>
            </w:pPr>
            <w:r>
              <w:rPr>
                <w:rFonts w:hint="eastAsia"/>
                <w:sz w:val="18"/>
                <w:szCs w:val="18"/>
              </w:rPr>
              <w:t>使学生掌握茶叶及茶文化的发展历史，具备从中发现相关历史规律的能力。</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16C2A2F4" w14:textId="77777777" w:rsidR="00F5289E" w:rsidRDefault="00C91173">
            <w:pPr>
              <w:spacing w:line="320" w:lineRule="exact"/>
              <w:jc w:val="center"/>
              <w:rPr>
                <w:sz w:val="18"/>
                <w:szCs w:val="18"/>
              </w:rPr>
            </w:pPr>
            <w:r>
              <w:rPr>
                <w:sz w:val="18"/>
                <w:szCs w:val="18"/>
              </w:rPr>
              <w:t>3</w:t>
            </w:r>
          </w:p>
          <w:p w14:paraId="43F23079" w14:textId="77777777" w:rsidR="00F5289E" w:rsidRDefault="00C91173">
            <w:pPr>
              <w:spacing w:line="320" w:lineRule="exact"/>
              <w:jc w:val="center"/>
              <w:rPr>
                <w:sz w:val="18"/>
                <w:szCs w:val="18"/>
              </w:rPr>
            </w:pPr>
            <w:r>
              <w:rPr>
                <w:sz w:val="18"/>
                <w:szCs w:val="18"/>
              </w:rPr>
              <w:t>4</w:t>
            </w:r>
          </w:p>
        </w:tc>
      </w:tr>
      <w:tr w:rsidR="00F5289E" w14:paraId="72E1E6DA"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6EFAFA5" w14:textId="77777777" w:rsidR="00F5289E" w:rsidRDefault="00C91173">
            <w:pPr>
              <w:spacing w:line="320" w:lineRule="exact"/>
              <w:jc w:val="center"/>
              <w:rPr>
                <w:sz w:val="18"/>
                <w:szCs w:val="18"/>
              </w:rPr>
            </w:pPr>
            <w:r>
              <w:rPr>
                <w:rFonts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shd w:val="clear" w:color="auto" w:fill="auto"/>
            <w:vAlign w:val="center"/>
          </w:tcPr>
          <w:p w14:paraId="343203DD" w14:textId="77777777" w:rsidR="00F5289E" w:rsidRDefault="00C91173">
            <w:pPr>
              <w:spacing w:line="320" w:lineRule="exact"/>
              <w:rPr>
                <w:sz w:val="18"/>
                <w:szCs w:val="18"/>
              </w:rPr>
            </w:pPr>
            <w:r>
              <w:rPr>
                <w:rFonts w:hint="eastAsia"/>
                <w:sz w:val="18"/>
                <w:szCs w:val="18"/>
              </w:rPr>
              <w:t>使学生具备鉴赏茶事艺文作品的能力。</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7DCB1497" w14:textId="77777777" w:rsidR="00F5289E" w:rsidRDefault="00C91173">
            <w:pPr>
              <w:spacing w:line="320" w:lineRule="exact"/>
              <w:jc w:val="center"/>
              <w:rPr>
                <w:sz w:val="18"/>
                <w:szCs w:val="18"/>
              </w:rPr>
            </w:pPr>
            <w:r>
              <w:rPr>
                <w:sz w:val="18"/>
                <w:szCs w:val="18"/>
              </w:rPr>
              <w:t>10</w:t>
            </w:r>
          </w:p>
        </w:tc>
      </w:tr>
    </w:tbl>
    <w:p w14:paraId="5F623F17" w14:textId="77777777" w:rsidR="00F5289E" w:rsidRDefault="00F5289E">
      <w:pPr>
        <w:spacing w:line="360" w:lineRule="auto"/>
        <w:ind w:firstLineChars="200" w:firstLine="420"/>
        <w:jc w:val="left"/>
      </w:pPr>
    </w:p>
    <w:p w14:paraId="571B45F9" w14:textId="77777777" w:rsidR="00F5289E" w:rsidRDefault="00C91173">
      <w:pPr>
        <w:spacing w:line="360" w:lineRule="auto"/>
        <w:jc w:val="left"/>
        <w:rPr>
          <w:b/>
          <w:bCs/>
          <w:kern w:val="0"/>
          <w:szCs w:val="21"/>
        </w:rPr>
      </w:pPr>
      <w:r>
        <w:rPr>
          <w:b/>
          <w:bCs/>
          <w:kern w:val="0"/>
          <w:szCs w:val="21"/>
        </w:rPr>
        <w:t>四、理论教学内容及学时分配（</w:t>
      </w:r>
      <w:r>
        <w:rPr>
          <w:b/>
          <w:bCs/>
          <w:kern w:val="0"/>
          <w:szCs w:val="21"/>
        </w:rPr>
        <w:t>32</w:t>
      </w:r>
      <w:r>
        <w:rPr>
          <w:b/>
          <w:bCs/>
          <w:kern w:val="0"/>
          <w:szCs w:val="21"/>
        </w:rPr>
        <w:t>学时）</w:t>
      </w:r>
    </w:p>
    <w:p w14:paraId="4C583B85" w14:textId="77777777" w:rsidR="00F5289E" w:rsidRDefault="00C91173">
      <w:pPr>
        <w:adjustRightInd w:val="0"/>
        <w:snapToGrid w:val="0"/>
        <w:spacing w:line="360" w:lineRule="auto"/>
        <w:ind w:firstLineChars="200" w:firstLine="422"/>
        <w:jc w:val="right"/>
        <w:rPr>
          <w:b/>
          <w:szCs w:val="21"/>
        </w:rPr>
      </w:pPr>
      <w:r>
        <w:rPr>
          <w:b/>
          <w:szCs w:val="21"/>
        </w:rPr>
        <w:t>    </w:t>
      </w:r>
      <w:r>
        <w:rPr>
          <w:b/>
          <w:szCs w:val="21"/>
        </w:rPr>
        <w:t>第一章</w:t>
      </w:r>
      <w:r>
        <w:rPr>
          <w:b/>
          <w:szCs w:val="21"/>
        </w:rPr>
        <w:t>     </w:t>
      </w:r>
      <w:r>
        <w:rPr>
          <w:b/>
        </w:rPr>
        <w:t>茶文化简史</w:t>
      </w:r>
      <w:r>
        <w:rPr>
          <w:b/>
          <w:szCs w:val="21"/>
        </w:rPr>
        <w:t>                              </w:t>
      </w:r>
      <w:r>
        <w:rPr>
          <w:b/>
          <w:szCs w:val="21"/>
        </w:rPr>
        <w:t>学时数：</w:t>
      </w:r>
      <w:r>
        <w:rPr>
          <w:b/>
          <w:szCs w:val="21"/>
        </w:rPr>
        <w:t>6</w:t>
      </w:r>
    </w:p>
    <w:p w14:paraId="6FF043E4" w14:textId="77777777" w:rsidR="00F5289E" w:rsidRDefault="00C91173">
      <w:pPr>
        <w:adjustRightInd w:val="0"/>
        <w:snapToGrid w:val="0"/>
        <w:spacing w:line="360" w:lineRule="auto"/>
        <w:jc w:val="left"/>
        <w:rPr>
          <w:b/>
          <w:bCs/>
        </w:rPr>
      </w:pPr>
      <w:r>
        <w:rPr>
          <w:b/>
          <w:bCs/>
        </w:rPr>
        <w:t>第一节</w:t>
      </w:r>
      <w:r>
        <w:rPr>
          <w:b/>
          <w:bCs/>
        </w:rPr>
        <w:t xml:space="preserve"> </w:t>
      </w:r>
      <w:r>
        <w:rPr>
          <w:b/>
          <w:bCs/>
        </w:rPr>
        <w:t>茶树的起源</w:t>
      </w:r>
      <w:r>
        <w:rPr>
          <w:b/>
          <w:bCs/>
        </w:rPr>
        <w:t xml:space="preserve">    1</w:t>
      </w:r>
      <w:r>
        <w:rPr>
          <w:b/>
          <w:bCs/>
        </w:rPr>
        <w:t>学时</w:t>
      </w:r>
    </w:p>
    <w:p w14:paraId="6F697537" w14:textId="77777777" w:rsidR="00F5289E" w:rsidRDefault="00C91173">
      <w:pPr>
        <w:adjustRightInd w:val="0"/>
        <w:snapToGrid w:val="0"/>
        <w:spacing w:line="360" w:lineRule="auto"/>
        <w:jc w:val="left"/>
        <w:rPr>
          <w:b/>
          <w:bCs/>
        </w:rPr>
      </w:pPr>
      <w:r>
        <w:rPr>
          <w:b/>
          <w:bCs/>
        </w:rPr>
        <w:t>第二节</w:t>
      </w:r>
      <w:r>
        <w:rPr>
          <w:b/>
          <w:bCs/>
        </w:rPr>
        <w:t xml:space="preserve"> </w:t>
      </w:r>
      <w:r>
        <w:rPr>
          <w:b/>
          <w:bCs/>
        </w:rPr>
        <w:t>饮茶的起源与演变</w:t>
      </w:r>
      <w:r>
        <w:rPr>
          <w:b/>
          <w:bCs/>
        </w:rPr>
        <w:t xml:space="preserve">    2</w:t>
      </w:r>
      <w:r>
        <w:rPr>
          <w:b/>
          <w:bCs/>
        </w:rPr>
        <w:t>学时</w:t>
      </w:r>
    </w:p>
    <w:p w14:paraId="3BC2B4B2" w14:textId="77777777" w:rsidR="00F5289E" w:rsidRDefault="00C91173">
      <w:pPr>
        <w:adjustRightInd w:val="0"/>
        <w:snapToGrid w:val="0"/>
        <w:spacing w:line="360" w:lineRule="auto"/>
        <w:jc w:val="left"/>
        <w:rPr>
          <w:b/>
          <w:bCs/>
        </w:rPr>
      </w:pPr>
      <w:r>
        <w:rPr>
          <w:b/>
          <w:bCs/>
        </w:rPr>
        <w:t>第三节</w:t>
      </w:r>
      <w:r>
        <w:rPr>
          <w:b/>
          <w:bCs/>
        </w:rPr>
        <w:t xml:space="preserve"> </w:t>
      </w:r>
      <w:r>
        <w:rPr>
          <w:b/>
          <w:bCs/>
        </w:rPr>
        <w:t>茶文化的形成与发展</w:t>
      </w:r>
      <w:r>
        <w:rPr>
          <w:b/>
          <w:bCs/>
        </w:rPr>
        <w:t xml:space="preserve">    2</w:t>
      </w:r>
      <w:r>
        <w:rPr>
          <w:b/>
          <w:bCs/>
        </w:rPr>
        <w:t>学时</w:t>
      </w:r>
    </w:p>
    <w:p w14:paraId="379AD1ED" w14:textId="77777777" w:rsidR="00F5289E" w:rsidRDefault="00C91173">
      <w:pPr>
        <w:adjustRightInd w:val="0"/>
        <w:snapToGrid w:val="0"/>
        <w:spacing w:line="360" w:lineRule="auto"/>
        <w:jc w:val="left"/>
        <w:rPr>
          <w:b/>
          <w:bCs/>
        </w:rPr>
      </w:pPr>
      <w:r>
        <w:rPr>
          <w:b/>
          <w:bCs/>
        </w:rPr>
        <w:t>第四节</w:t>
      </w:r>
      <w:r>
        <w:rPr>
          <w:b/>
          <w:bCs/>
        </w:rPr>
        <w:t xml:space="preserve"> </w:t>
      </w:r>
      <w:r>
        <w:rPr>
          <w:b/>
          <w:bCs/>
        </w:rPr>
        <w:t>茶文化的对外传播</w:t>
      </w:r>
      <w:r>
        <w:rPr>
          <w:b/>
          <w:bCs/>
        </w:rPr>
        <w:t xml:space="preserve">    1</w:t>
      </w:r>
      <w:r>
        <w:rPr>
          <w:b/>
          <w:bCs/>
        </w:rPr>
        <w:t>学时</w:t>
      </w:r>
    </w:p>
    <w:p w14:paraId="497452F4" w14:textId="77777777" w:rsidR="00F5289E" w:rsidRDefault="00C91173">
      <w:pPr>
        <w:adjustRightInd w:val="0"/>
        <w:snapToGrid w:val="0"/>
        <w:spacing w:line="360" w:lineRule="auto"/>
        <w:jc w:val="left"/>
        <w:rPr>
          <w:szCs w:val="21"/>
        </w:rPr>
      </w:pPr>
      <w:r>
        <w:rPr>
          <w:b/>
          <w:bCs/>
        </w:rPr>
        <w:t>教学目的：</w:t>
      </w:r>
      <w:r>
        <w:rPr>
          <w:szCs w:val="21"/>
        </w:rPr>
        <w:t>掌握茶树的起源，饮茶的起源与演变，茶具的发展，茶文化的对外传播，掌握茶文化形成与发展。</w:t>
      </w:r>
    </w:p>
    <w:p w14:paraId="0E9F3D06" w14:textId="77777777" w:rsidR="00F5289E" w:rsidRDefault="00C91173">
      <w:pPr>
        <w:adjustRightInd w:val="0"/>
        <w:snapToGrid w:val="0"/>
        <w:spacing w:line="360" w:lineRule="auto"/>
        <w:jc w:val="left"/>
        <w:rPr>
          <w:szCs w:val="21"/>
        </w:rPr>
      </w:pPr>
      <w:r>
        <w:rPr>
          <w:b/>
          <w:bCs/>
        </w:rPr>
        <w:t>教学重点和难点：</w:t>
      </w:r>
      <w:r>
        <w:rPr>
          <w:szCs w:val="21"/>
        </w:rPr>
        <w:t>茶树的原产地，茶文化的形成与发展。</w:t>
      </w:r>
    </w:p>
    <w:p w14:paraId="0DF4D59E" w14:textId="77777777" w:rsidR="00F5289E" w:rsidRDefault="00C91173" w:rsidP="00E745E8">
      <w:pPr>
        <w:adjustRightInd w:val="0"/>
        <w:snapToGrid w:val="0"/>
        <w:spacing w:line="360" w:lineRule="auto"/>
        <w:rPr>
          <w:szCs w:val="21"/>
        </w:rPr>
      </w:pPr>
      <w:r>
        <w:rPr>
          <w:b/>
          <w:bCs/>
        </w:rPr>
        <w:t>主要教学内容及要求：</w:t>
      </w:r>
      <w:r>
        <w:rPr>
          <w:szCs w:val="21"/>
        </w:rPr>
        <w:t>了解茶树的起源学说，掌握茶树的原产地；了解饮茶的起源与演变，熟练掌握唐代煮茶法、宋代点茶法、明代以后泡茶法；</w:t>
      </w:r>
      <w:r>
        <w:rPr>
          <w:rFonts w:hint="eastAsia"/>
          <w:szCs w:val="21"/>
        </w:rPr>
        <w:t>理解</w:t>
      </w:r>
      <w:r>
        <w:rPr>
          <w:szCs w:val="21"/>
        </w:rPr>
        <w:t>茶具的发展过程与茶具的种类；掌握茶文化的对外传播，</w:t>
      </w:r>
      <w:r>
        <w:rPr>
          <w:rFonts w:hint="eastAsia"/>
          <w:szCs w:val="21"/>
        </w:rPr>
        <w:t>理解</w:t>
      </w:r>
      <w:r>
        <w:rPr>
          <w:szCs w:val="21"/>
        </w:rPr>
        <w:t>茶叶在世界历史发展进程中的重要意义；熟练掌握茶文化的形成与发展。</w:t>
      </w:r>
    </w:p>
    <w:p w14:paraId="04B3B7FD" w14:textId="77777777" w:rsidR="00F5289E" w:rsidRDefault="00C91173" w:rsidP="00E745E8">
      <w:pPr>
        <w:adjustRightInd w:val="0"/>
        <w:snapToGrid w:val="0"/>
        <w:spacing w:line="360" w:lineRule="auto"/>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14:paraId="7DA6111D" w14:textId="77777777" w:rsidR="00F5289E" w:rsidRDefault="00C91173">
      <w:pPr>
        <w:snapToGrid w:val="0"/>
        <w:spacing w:line="360" w:lineRule="auto"/>
        <w:jc w:val="right"/>
        <w:rPr>
          <w:b/>
          <w:szCs w:val="21"/>
        </w:rPr>
      </w:pPr>
      <w:r>
        <w:rPr>
          <w:b/>
          <w:szCs w:val="21"/>
        </w:rPr>
        <w:t>第二章</w:t>
      </w:r>
      <w:r>
        <w:rPr>
          <w:b/>
          <w:szCs w:val="21"/>
        </w:rPr>
        <w:t>     </w:t>
      </w:r>
      <w:r>
        <w:rPr>
          <w:b/>
        </w:rPr>
        <w:t>茶树与茶叶</w:t>
      </w:r>
      <w:r>
        <w:rPr>
          <w:b/>
          <w:szCs w:val="21"/>
        </w:rPr>
        <w:t xml:space="preserve">                        </w:t>
      </w:r>
      <w:r>
        <w:rPr>
          <w:b/>
          <w:szCs w:val="21"/>
        </w:rPr>
        <w:t>学时数：</w:t>
      </w:r>
      <w:r>
        <w:rPr>
          <w:b/>
          <w:szCs w:val="21"/>
        </w:rPr>
        <w:t>2</w:t>
      </w:r>
    </w:p>
    <w:p w14:paraId="66EB8C2E" w14:textId="77777777" w:rsidR="00F5289E" w:rsidRDefault="00C91173">
      <w:pPr>
        <w:spacing w:line="360" w:lineRule="auto"/>
        <w:jc w:val="left"/>
        <w:rPr>
          <w:b/>
          <w:bCs/>
        </w:rPr>
      </w:pPr>
      <w:r>
        <w:rPr>
          <w:b/>
          <w:bCs/>
        </w:rPr>
        <w:t>第一节</w:t>
      </w:r>
      <w:r>
        <w:rPr>
          <w:b/>
          <w:bCs/>
        </w:rPr>
        <w:t xml:space="preserve"> </w:t>
      </w:r>
      <w:r>
        <w:rPr>
          <w:b/>
          <w:bCs/>
        </w:rPr>
        <w:t>茶树</w:t>
      </w:r>
      <w:r>
        <w:rPr>
          <w:b/>
          <w:bCs/>
        </w:rPr>
        <w:t xml:space="preserve">    1</w:t>
      </w:r>
      <w:r>
        <w:rPr>
          <w:b/>
          <w:bCs/>
        </w:rPr>
        <w:t>学时</w:t>
      </w:r>
    </w:p>
    <w:p w14:paraId="756DAA48" w14:textId="77777777" w:rsidR="00F5289E" w:rsidRDefault="00C91173">
      <w:pPr>
        <w:spacing w:line="360" w:lineRule="auto"/>
        <w:jc w:val="left"/>
        <w:rPr>
          <w:b/>
          <w:bCs/>
        </w:rPr>
      </w:pPr>
      <w:r>
        <w:rPr>
          <w:b/>
          <w:bCs/>
        </w:rPr>
        <w:t>第二节</w:t>
      </w:r>
      <w:r>
        <w:rPr>
          <w:b/>
          <w:bCs/>
        </w:rPr>
        <w:t xml:space="preserve"> </w:t>
      </w:r>
      <w:r>
        <w:rPr>
          <w:b/>
          <w:bCs/>
        </w:rPr>
        <w:t>茶叶</w:t>
      </w:r>
      <w:r>
        <w:rPr>
          <w:b/>
          <w:bCs/>
        </w:rPr>
        <w:t xml:space="preserve">    1</w:t>
      </w:r>
      <w:r>
        <w:rPr>
          <w:b/>
          <w:bCs/>
        </w:rPr>
        <w:t>学时</w:t>
      </w:r>
    </w:p>
    <w:p w14:paraId="0B2A89BD" w14:textId="77777777" w:rsidR="00F5289E" w:rsidRDefault="00C91173">
      <w:pPr>
        <w:adjustRightInd w:val="0"/>
        <w:snapToGrid w:val="0"/>
        <w:spacing w:line="360" w:lineRule="auto"/>
        <w:jc w:val="left"/>
      </w:pPr>
      <w:r>
        <w:rPr>
          <w:b/>
          <w:bCs/>
        </w:rPr>
        <w:lastRenderedPageBreak/>
        <w:t>教学目的：</w:t>
      </w:r>
      <w:r>
        <w:rPr>
          <w:kern w:val="0"/>
          <w:szCs w:val="21"/>
        </w:rPr>
        <w:t>让学生掌握茶树的生育特性，茶树的适生环境，茶叶的分类，基本茶类的初制工艺和品质特点</w:t>
      </w:r>
      <w:r>
        <w:t>。</w:t>
      </w:r>
    </w:p>
    <w:p w14:paraId="79F2DB9E" w14:textId="77777777" w:rsidR="00F5289E" w:rsidRDefault="00C91173">
      <w:pPr>
        <w:adjustRightInd w:val="0"/>
        <w:snapToGrid w:val="0"/>
        <w:spacing w:line="360" w:lineRule="auto"/>
        <w:jc w:val="left"/>
        <w:rPr>
          <w:szCs w:val="21"/>
        </w:rPr>
      </w:pPr>
      <w:r>
        <w:rPr>
          <w:b/>
        </w:rPr>
        <w:t>教学重点和难点：</w:t>
      </w:r>
      <w:r>
        <w:t>茶树的适生环境，基本茶类的初制工艺。</w:t>
      </w:r>
    </w:p>
    <w:p w14:paraId="74E032EF" w14:textId="77777777" w:rsidR="00F5289E" w:rsidRDefault="00C91173">
      <w:pPr>
        <w:spacing w:line="360" w:lineRule="auto"/>
        <w:jc w:val="left"/>
      </w:pPr>
      <w:r>
        <w:rPr>
          <w:b/>
          <w:bCs/>
        </w:rPr>
        <w:t>主要教学内容及要求：</w:t>
      </w:r>
      <w:r>
        <w:t>掌握茶树的一生，茶树的根茎叶花果，</w:t>
      </w:r>
      <w:r>
        <w:t>“</w:t>
      </w:r>
      <w:r>
        <w:t>花果香会</w:t>
      </w:r>
      <w:r>
        <w:t>”</w:t>
      </w:r>
      <w:r>
        <w:t>，茶树的适生环境，茶类的形成与发展，茶叶的分类，基本茶类的初制工艺和品质特点，再加工茶类。</w:t>
      </w:r>
    </w:p>
    <w:p w14:paraId="580EE273"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14:paraId="4E1237B5" w14:textId="77777777" w:rsidR="00F5289E" w:rsidRDefault="00C91173">
      <w:pPr>
        <w:snapToGrid w:val="0"/>
        <w:spacing w:line="360" w:lineRule="auto"/>
        <w:jc w:val="right"/>
        <w:rPr>
          <w:b/>
          <w:szCs w:val="21"/>
        </w:rPr>
      </w:pPr>
      <w:r>
        <w:rPr>
          <w:b/>
          <w:szCs w:val="21"/>
        </w:rPr>
        <w:t>第三章</w:t>
      </w:r>
      <w:r>
        <w:rPr>
          <w:b/>
          <w:szCs w:val="21"/>
        </w:rPr>
        <w:t>     </w:t>
      </w:r>
      <w:r>
        <w:rPr>
          <w:b/>
        </w:rPr>
        <w:t>茶与社会</w:t>
      </w:r>
      <w:r>
        <w:rPr>
          <w:b/>
          <w:szCs w:val="21"/>
        </w:rPr>
        <w:t>                                     </w:t>
      </w:r>
      <w:r>
        <w:rPr>
          <w:b/>
          <w:szCs w:val="21"/>
        </w:rPr>
        <w:t>学时数：</w:t>
      </w:r>
      <w:r>
        <w:rPr>
          <w:b/>
          <w:szCs w:val="21"/>
        </w:rPr>
        <w:t>8</w:t>
      </w:r>
    </w:p>
    <w:p w14:paraId="2BF0041B" w14:textId="77777777" w:rsidR="00F5289E" w:rsidRDefault="00C91173">
      <w:pPr>
        <w:adjustRightInd w:val="0"/>
        <w:snapToGrid w:val="0"/>
        <w:spacing w:line="360" w:lineRule="auto"/>
        <w:jc w:val="left"/>
        <w:rPr>
          <w:b/>
          <w:bCs/>
        </w:rPr>
      </w:pPr>
      <w:r>
        <w:rPr>
          <w:b/>
          <w:bCs/>
        </w:rPr>
        <w:t>第一节</w:t>
      </w:r>
      <w:r>
        <w:rPr>
          <w:b/>
          <w:bCs/>
        </w:rPr>
        <w:t xml:space="preserve"> </w:t>
      </w:r>
      <w:r>
        <w:rPr>
          <w:b/>
          <w:bCs/>
        </w:rPr>
        <w:t>茶政与茶法</w:t>
      </w:r>
      <w:r>
        <w:rPr>
          <w:b/>
          <w:bCs/>
        </w:rPr>
        <w:t xml:space="preserve">    2</w:t>
      </w:r>
      <w:r>
        <w:rPr>
          <w:b/>
          <w:bCs/>
        </w:rPr>
        <w:t>学时</w:t>
      </w:r>
    </w:p>
    <w:p w14:paraId="31DA421F" w14:textId="77777777" w:rsidR="00F5289E" w:rsidRDefault="00C91173">
      <w:pPr>
        <w:adjustRightInd w:val="0"/>
        <w:snapToGrid w:val="0"/>
        <w:spacing w:line="360" w:lineRule="auto"/>
        <w:jc w:val="left"/>
        <w:rPr>
          <w:b/>
          <w:bCs/>
        </w:rPr>
      </w:pPr>
      <w:r>
        <w:rPr>
          <w:b/>
          <w:bCs/>
        </w:rPr>
        <w:t>第二节</w:t>
      </w:r>
      <w:r>
        <w:rPr>
          <w:b/>
          <w:bCs/>
        </w:rPr>
        <w:t xml:space="preserve"> </w:t>
      </w:r>
      <w:r>
        <w:rPr>
          <w:b/>
          <w:bCs/>
        </w:rPr>
        <w:t>茶与儒释道</w:t>
      </w:r>
      <w:r>
        <w:rPr>
          <w:b/>
          <w:bCs/>
        </w:rPr>
        <w:t xml:space="preserve">    4</w:t>
      </w:r>
      <w:r>
        <w:rPr>
          <w:b/>
          <w:bCs/>
        </w:rPr>
        <w:t>学时</w:t>
      </w:r>
    </w:p>
    <w:p w14:paraId="1D276F96" w14:textId="77777777" w:rsidR="00F5289E" w:rsidRDefault="00C91173">
      <w:pPr>
        <w:adjustRightInd w:val="0"/>
        <w:snapToGrid w:val="0"/>
        <w:spacing w:line="360" w:lineRule="auto"/>
        <w:jc w:val="left"/>
        <w:rPr>
          <w:b/>
          <w:bCs/>
        </w:rPr>
      </w:pPr>
      <w:r>
        <w:rPr>
          <w:b/>
          <w:bCs/>
        </w:rPr>
        <w:t>第三节</w:t>
      </w:r>
      <w:r>
        <w:rPr>
          <w:b/>
          <w:bCs/>
        </w:rPr>
        <w:t xml:space="preserve"> </w:t>
      </w:r>
      <w:r>
        <w:rPr>
          <w:b/>
          <w:bCs/>
        </w:rPr>
        <w:t>茶馆文化</w:t>
      </w:r>
      <w:r>
        <w:rPr>
          <w:b/>
          <w:bCs/>
        </w:rPr>
        <w:t xml:space="preserve">    2</w:t>
      </w:r>
      <w:r>
        <w:rPr>
          <w:b/>
          <w:bCs/>
        </w:rPr>
        <w:t>学时</w:t>
      </w:r>
    </w:p>
    <w:p w14:paraId="0CF09C8C" w14:textId="77777777" w:rsidR="00F5289E" w:rsidRDefault="00C91173">
      <w:pPr>
        <w:adjustRightInd w:val="0"/>
        <w:snapToGrid w:val="0"/>
        <w:spacing w:line="360" w:lineRule="auto"/>
        <w:jc w:val="left"/>
        <w:rPr>
          <w:szCs w:val="21"/>
        </w:rPr>
      </w:pPr>
      <w:r>
        <w:rPr>
          <w:b/>
          <w:bCs/>
        </w:rPr>
        <w:t>教学目的：</w:t>
      </w:r>
      <w:r>
        <w:rPr>
          <w:szCs w:val="21"/>
        </w:rPr>
        <w:t>理解历代的茶政与茶法，理解茶与儒、释、道的关系，理解茶馆文化的发展。</w:t>
      </w:r>
    </w:p>
    <w:p w14:paraId="05B24C2D" w14:textId="77777777" w:rsidR="00F5289E" w:rsidRDefault="00C91173">
      <w:pPr>
        <w:adjustRightInd w:val="0"/>
        <w:snapToGrid w:val="0"/>
        <w:spacing w:line="360" w:lineRule="auto"/>
        <w:jc w:val="left"/>
        <w:rPr>
          <w:szCs w:val="21"/>
        </w:rPr>
      </w:pPr>
      <w:r>
        <w:rPr>
          <w:b/>
          <w:bCs/>
        </w:rPr>
        <w:t>教学重点和难点：</w:t>
      </w:r>
      <w:r>
        <w:rPr>
          <w:szCs w:val="21"/>
        </w:rPr>
        <w:t>茶政与茶法，茶与儒释道。</w:t>
      </w:r>
    </w:p>
    <w:p w14:paraId="24211F5C" w14:textId="77777777" w:rsidR="00F5289E" w:rsidRDefault="00C91173">
      <w:pPr>
        <w:adjustRightInd w:val="0"/>
        <w:snapToGrid w:val="0"/>
        <w:spacing w:line="360" w:lineRule="auto"/>
        <w:jc w:val="left"/>
        <w:rPr>
          <w:szCs w:val="21"/>
        </w:rPr>
      </w:pPr>
      <w:r>
        <w:rPr>
          <w:b/>
          <w:bCs/>
        </w:rPr>
        <w:t>主要教学内容及要求：</w:t>
      </w:r>
      <w:r>
        <w:rPr>
          <w:szCs w:val="21"/>
        </w:rPr>
        <w:t>理解历代的茶政与茶法；掌握</w:t>
      </w:r>
      <w:r>
        <w:rPr>
          <w:rFonts w:hint="eastAsia"/>
          <w:szCs w:val="21"/>
        </w:rPr>
        <w:t>“</w:t>
      </w:r>
      <w:r>
        <w:rPr>
          <w:szCs w:val="21"/>
        </w:rPr>
        <w:t>茶马互市</w:t>
      </w:r>
      <w:r>
        <w:rPr>
          <w:rFonts w:hint="eastAsia"/>
          <w:szCs w:val="21"/>
        </w:rPr>
        <w:t>”</w:t>
      </w:r>
      <w:r>
        <w:rPr>
          <w:szCs w:val="21"/>
        </w:rPr>
        <w:t>和</w:t>
      </w:r>
      <w:r>
        <w:rPr>
          <w:rFonts w:hint="eastAsia"/>
          <w:szCs w:val="21"/>
        </w:rPr>
        <w:t>“</w:t>
      </w:r>
      <w:r>
        <w:rPr>
          <w:szCs w:val="21"/>
        </w:rPr>
        <w:t>榷茶制</w:t>
      </w:r>
      <w:r>
        <w:rPr>
          <w:rFonts w:hint="eastAsia"/>
          <w:szCs w:val="21"/>
        </w:rPr>
        <w:t>”</w:t>
      </w:r>
      <w:r>
        <w:rPr>
          <w:szCs w:val="21"/>
        </w:rPr>
        <w:t>的确立与发展；理解儒释道三家在茶文化发展中的作用；理解茶馆的发展与变迁以及现代茶馆的分类与特征。</w:t>
      </w:r>
    </w:p>
    <w:p w14:paraId="25BCCB10"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14:paraId="56C6F8F5" w14:textId="77777777" w:rsidR="00F5289E" w:rsidRDefault="00C91173">
      <w:pPr>
        <w:snapToGrid w:val="0"/>
        <w:spacing w:line="360" w:lineRule="auto"/>
        <w:jc w:val="right"/>
        <w:rPr>
          <w:b/>
          <w:szCs w:val="21"/>
        </w:rPr>
      </w:pPr>
      <w:r>
        <w:rPr>
          <w:b/>
          <w:szCs w:val="21"/>
        </w:rPr>
        <w:t>第四章</w:t>
      </w:r>
      <w:r>
        <w:rPr>
          <w:b/>
          <w:szCs w:val="21"/>
        </w:rPr>
        <w:t>     </w:t>
      </w:r>
      <w:r>
        <w:rPr>
          <w:b/>
        </w:rPr>
        <w:t>茶事艺文</w:t>
      </w:r>
      <w:r>
        <w:rPr>
          <w:b/>
          <w:szCs w:val="21"/>
        </w:rPr>
        <w:t>                                    </w:t>
      </w:r>
      <w:r>
        <w:rPr>
          <w:b/>
          <w:szCs w:val="21"/>
        </w:rPr>
        <w:t>学时数：</w:t>
      </w:r>
      <w:r>
        <w:rPr>
          <w:b/>
          <w:szCs w:val="21"/>
        </w:rPr>
        <w:t>4</w:t>
      </w:r>
    </w:p>
    <w:p w14:paraId="2A49A82C" w14:textId="77777777" w:rsidR="00F5289E" w:rsidRDefault="00C91173">
      <w:pPr>
        <w:adjustRightInd w:val="0"/>
        <w:snapToGrid w:val="0"/>
        <w:spacing w:line="360" w:lineRule="auto"/>
        <w:jc w:val="left"/>
        <w:rPr>
          <w:b/>
          <w:bCs/>
        </w:rPr>
      </w:pPr>
      <w:r>
        <w:rPr>
          <w:b/>
          <w:bCs/>
        </w:rPr>
        <w:t>第一节</w:t>
      </w:r>
      <w:r>
        <w:rPr>
          <w:b/>
          <w:bCs/>
        </w:rPr>
        <w:t xml:space="preserve"> </w:t>
      </w:r>
      <w:r>
        <w:rPr>
          <w:b/>
          <w:bCs/>
        </w:rPr>
        <w:t>茶事诗词</w:t>
      </w:r>
      <w:r>
        <w:rPr>
          <w:b/>
          <w:bCs/>
        </w:rPr>
        <w:t xml:space="preserve">    1</w:t>
      </w:r>
      <w:r>
        <w:rPr>
          <w:b/>
          <w:bCs/>
        </w:rPr>
        <w:t>学时</w:t>
      </w:r>
    </w:p>
    <w:p w14:paraId="66C5594D" w14:textId="77777777" w:rsidR="00F5289E" w:rsidRDefault="00C91173">
      <w:pPr>
        <w:adjustRightInd w:val="0"/>
        <w:snapToGrid w:val="0"/>
        <w:spacing w:line="360" w:lineRule="auto"/>
        <w:jc w:val="left"/>
        <w:rPr>
          <w:b/>
          <w:bCs/>
        </w:rPr>
      </w:pPr>
      <w:r>
        <w:rPr>
          <w:b/>
          <w:bCs/>
        </w:rPr>
        <w:t>第二节</w:t>
      </w:r>
      <w:r>
        <w:rPr>
          <w:b/>
          <w:bCs/>
        </w:rPr>
        <w:t xml:space="preserve"> </w:t>
      </w:r>
      <w:r>
        <w:rPr>
          <w:b/>
          <w:bCs/>
        </w:rPr>
        <w:t>茶事书画</w:t>
      </w:r>
      <w:r>
        <w:rPr>
          <w:b/>
          <w:bCs/>
        </w:rPr>
        <w:t xml:space="preserve">   1</w:t>
      </w:r>
      <w:r>
        <w:rPr>
          <w:b/>
          <w:bCs/>
        </w:rPr>
        <w:t>学时</w:t>
      </w:r>
    </w:p>
    <w:p w14:paraId="3BFFDD74" w14:textId="77777777" w:rsidR="00F5289E" w:rsidRDefault="00C91173">
      <w:pPr>
        <w:adjustRightInd w:val="0"/>
        <w:snapToGrid w:val="0"/>
        <w:spacing w:line="360" w:lineRule="auto"/>
        <w:jc w:val="left"/>
        <w:rPr>
          <w:b/>
          <w:bCs/>
        </w:rPr>
      </w:pPr>
      <w:r>
        <w:rPr>
          <w:b/>
          <w:bCs/>
        </w:rPr>
        <w:t>第三节</w:t>
      </w:r>
      <w:r>
        <w:rPr>
          <w:b/>
          <w:bCs/>
        </w:rPr>
        <w:t xml:space="preserve"> </w:t>
      </w:r>
      <w:r>
        <w:rPr>
          <w:b/>
          <w:bCs/>
        </w:rPr>
        <w:t>茶事楹联</w:t>
      </w:r>
      <w:r>
        <w:rPr>
          <w:b/>
          <w:bCs/>
        </w:rPr>
        <w:t xml:space="preserve">   1</w:t>
      </w:r>
      <w:r>
        <w:rPr>
          <w:b/>
          <w:bCs/>
        </w:rPr>
        <w:t>学时</w:t>
      </w:r>
    </w:p>
    <w:p w14:paraId="61DF75FE" w14:textId="77777777" w:rsidR="00F5289E" w:rsidRDefault="00C91173">
      <w:pPr>
        <w:adjustRightInd w:val="0"/>
        <w:snapToGrid w:val="0"/>
        <w:spacing w:line="360" w:lineRule="auto"/>
        <w:jc w:val="left"/>
        <w:rPr>
          <w:b/>
          <w:bCs/>
        </w:rPr>
      </w:pPr>
      <w:r>
        <w:rPr>
          <w:b/>
          <w:bCs/>
        </w:rPr>
        <w:t>第四节</w:t>
      </w:r>
      <w:r>
        <w:rPr>
          <w:b/>
          <w:bCs/>
        </w:rPr>
        <w:t xml:space="preserve"> </w:t>
      </w:r>
      <w:r>
        <w:rPr>
          <w:b/>
          <w:bCs/>
        </w:rPr>
        <w:t>茶与其他文学艺术</w:t>
      </w:r>
      <w:r>
        <w:rPr>
          <w:b/>
          <w:bCs/>
        </w:rPr>
        <w:t xml:space="preserve">   1</w:t>
      </w:r>
      <w:r>
        <w:rPr>
          <w:b/>
          <w:bCs/>
        </w:rPr>
        <w:t>学时</w:t>
      </w:r>
    </w:p>
    <w:p w14:paraId="54BE7CB8" w14:textId="77777777" w:rsidR="00F5289E" w:rsidRDefault="00C91173">
      <w:pPr>
        <w:adjustRightInd w:val="0"/>
        <w:snapToGrid w:val="0"/>
        <w:spacing w:line="360" w:lineRule="auto"/>
        <w:jc w:val="left"/>
        <w:rPr>
          <w:szCs w:val="21"/>
        </w:rPr>
      </w:pPr>
      <w:r>
        <w:rPr>
          <w:b/>
          <w:bCs/>
        </w:rPr>
        <w:t>教学目的：</w:t>
      </w:r>
      <w:r>
        <w:rPr>
          <w:szCs w:val="21"/>
        </w:rPr>
        <w:t>掌握历代的茶事诗词、茶事书画、茶事楹联及其他文学艺术作品。</w:t>
      </w:r>
    </w:p>
    <w:p w14:paraId="2AC38AD1" w14:textId="77777777" w:rsidR="00F5289E" w:rsidRDefault="00C91173">
      <w:pPr>
        <w:adjustRightInd w:val="0"/>
        <w:snapToGrid w:val="0"/>
        <w:spacing w:line="360" w:lineRule="auto"/>
        <w:jc w:val="left"/>
        <w:rPr>
          <w:b/>
          <w:bCs/>
        </w:rPr>
      </w:pPr>
      <w:r>
        <w:rPr>
          <w:b/>
          <w:bCs/>
        </w:rPr>
        <w:t>教学重点和难点：</w:t>
      </w:r>
      <w:r>
        <w:rPr>
          <w:szCs w:val="21"/>
        </w:rPr>
        <w:t>茶树诗词、茶事书画。</w:t>
      </w:r>
    </w:p>
    <w:p w14:paraId="2AB143F3" w14:textId="77777777" w:rsidR="00F5289E" w:rsidRDefault="00C91173">
      <w:pPr>
        <w:adjustRightInd w:val="0"/>
        <w:snapToGrid w:val="0"/>
        <w:spacing w:line="360" w:lineRule="auto"/>
        <w:jc w:val="left"/>
        <w:rPr>
          <w:szCs w:val="21"/>
        </w:rPr>
      </w:pPr>
      <w:r>
        <w:rPr>
          <w:b/>
          <w:bCs/>
        </w:rPr>
        <w:t>主要教学内容及要求：</w:t>
      </w:r>
      <w:r>
        <w:rPr>
          <w:szCs w:val="21"/>
        </w:rPr>
        <w:t>了解历代茶事诗词，掌握并能够诵读唐代元稹《一至七字诗</w:t>
      </w:r>
      <w:r>
        <w:rPr>
          <w:szCs w:val="21"/>
        </w:rPr>
        <w:t xml:space="preserve"> </w:t>
      </w:r>
      <w:r>
        <w:rPr>
          <w:szCs w:val="21"/>
        </w:rPr>
        <w:t>茶》、卢仝《七碗茶歌》等诗词作品。了解历代茶事书画，掌握唐代《宫乐图》、《萧翼赚兰亭图》，宋代《文会图》、《茗园赌市图》，明代《惠山茶会图》等书画作品。了解历代茶事楹联及其他文学艺术作品，掌握《红楼梦》等作品中的茶文化。</w:t>
      </w:r>
    </w:p>
    <w:p w14:paraId="6D889AD0"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w:t>
      </w:r>
      <w:r>
        <w:rPr>
          <w:rFonts w:hint="eastAsia"/>
          <w:szCs w:val="21"/>
        </w:rPr>
        <w:lastRenderedPageBreak/>
        <w:t>布学习任务，让学生提前预习章节内容。课中以问题式教学、目标式教学、互动式教学、参与式教学结合讲授式教学的方法进行，让学生深入学习章节内容。课后布置任务让学生对章节知识进行梳理，同时通过作业检验学生对章节内容的掌握程度。</w:t>
      </w:r>
    </w:p>
    <w:p w14:paraId="2CA82017" w14:textId="77777777" w:rsidR="00F5289E" w:rsidRDefault="00C91173">
      <w:pPr>
        <w:snapToGrid w:val="0"/>
        <w:spacing w:line="360" w:lineRule="auto"/>
        <w:jc w:val="right"/>
        <w:rPr>
          <w:b/>
          <w:szCs w:val="21"/>
        </w:rPr>
      </w:pPr>
      <w:r>
        <w:rPr>
          <w:b/>
          <w:szCs w:val="21"/>
        </w:rPr>
        <w:t>第五章</w:t>
      </w:r>
      <w:r>
        <w:rPr>
          <w:b/>
          <w:szCs w:val="21"/>
        </w:rPr>
        <w:t>    </w:t>
      </w:r>
      <w:r>
        <w:rPr>
          <w:b/>
        </w:rPr>
        <w:t>茶俗</w:t>
      </w:r>
      <w:r>
        <w:rPr>
          <w:b/>
          <w:szCs w:val="21"/>
        </w:rPr>
        <w:t>                                     </w:t>
      </w:r>
      <w:r>
        <w:rPr>
          <w:b/>
          <w:szCs w:val="21"/>
        </w:rPr>
        <w:t>学时数：</w:t>
      </w:r>
      <w:r>
        <w:rPr>
          <w:b/>
          <w:szCs w:val="21"/>
        </w:rPr>
        <w:t>2</w:t>
      </w:r>
    </w:p>
    <w:p w14:paraId="48E3D604" w14:textId="77777777" w:rsidR="00F5289E" w:rsidRDefault="00C91173">
      <w:pPr>
        <w:adjustRightInd w:val="0"/>
        <w:snapToGrid w:val="0"/>
        <w:spacing w:line="360" w:lineRule="auto"/>
        <w:jc w:val="left"/>
        <w:rPr>
          <w:b/>
          <w:bCs/>
        </w:rPr>
      </w:pPr>
      <w:r>
        <w:rPr>
          <w:b/>
          <w:bCs/>
        </w:rPr>
        <w:t>第一节</w:t>
      </w:r>
      <w:r>
        <w:rPr>
          <w:b/>
          <w:bCs/>
        </w:rPr>
        <w:t xml:space="preserve"> </w:t>
      </w:r>
      <w:r>
        <w:rPr>
          <w:b/>
          <w:bCs/>
        </w:rPr>
        <w:t>汉族茶俗</w:t>
      </w:r>
      <w:r>
        <w:rPr>
          <w:b/>
          <w:bCs/>
        </w:rPr>
        <w:t xml:space="preserve">   1</w:t>
      </w:r>
      <w:r>
        <w:rPr>
          <w:b/>
          <w:bCs/>
        </w:rPr>
        <w:t>学时</w:t>
      </w:r>
    </w:p>
    <w:p w14:paraId="6796321D" w14:textId="77777777" w:rsidR="00F5289E" w:rsidRDefault="00C91173">
      <w:pPr>
        <w:adjustRightInd w:val="0"/>
        <w:snapToGrid w:val="0"/>
        <w:spacing w:line="360" w:lineRule="auto"/>
        <w:jc w:val="left"/>
        <w:rPr>
          <w:b/>
          <w:bCs/>
        </w:rPr>
      </w:pPr>
      <w:r>
        <w:rPr>
          <w:b/>
          <w:bCs/>
        </w:rPr>
        <w:t>第二节</w:t>
      </w:r>
      <w:r>
        <w:rPr>
          <w:b/>
          <w:bCs/>
        </w:rPr>
        <w:t xml:space="preserve"> </w:t>
      </w:r>
      <w:r>
        <w:rPr>
          <w:b/>
          <w:bCs/>
        </w:rPr>
        <w:t>少数民族茶俗</w:t>
      </w:r>
      <w:r>
        <w:rPr>
          <w:b/>
          <w:bCs/>
        </w:rPr>
        <w:t xml:space="preserve">   1</w:t>
      </w:r>
      <w:r>
        <w:rPr>
          <w:b/>
          <w:bCs/>
        </w:rPr>
        <w:t>学时</w:t>
      </w:r>
    </w:p>
    <w:p w14:paraId="080D7A80" w14:textId="77777777" w:rsidR="00F5289E" w:rsidRDefault="00C91173">
      <w:pPr>
        <w:adjustRightInd w:val="0"/>
        <w:snapToGrid w:val="0"/>
        <w:spacing w:line="360" w:lineRule="auto"/>
        <w:jc w:val="left"/>
        <w:rPr>
          <w:szCs w:val="21"/>
        </w:rPr>
      </w:pPr>
      <w:r>
        <w:rPr>
          <w:b/>
          <w:bCs/>
        </w:rPr>
        <w:t>教学目的：</w:t>
      </w:r>
      <w:r>
        <w:rPr>
          <w:szCs w:val="21"/>
        </w:rPr>
        <w:t>让学生熟练掌握汉族不同地区的饮茶习惯与茶俗，不同少数民族的茶俗。</w:t>
      </w:r>
    </w:p>
    <w:p w14:paraId="08212C90" w14:textId="77777777" w:rsidR="00F5289E" w:rsidRDefault="00C91173">
      <w:pPr>
        <w:adjustRightInd w:val="0"/>
        <w:snapToGrid w:val="0"/>
        <w:spacing w:line="360" w:lineRule="auto"/>
        <w:jc w:val="left"/>
        <w:rPr>
          <w:szCs w:val="21"/>
        </w:rPr>
      </w:pPr>
      <w:r>
        <w:rPr>
          <w:b/>
          <w:bCs/>
        </w:rPr>
        <w:t>教学重点和难点：</w:t>
      </w:r>
      <w:r>
        <w:rPr>
          <w:szCs w:val="21"/>
        </w:rPr>
        <w:t>汉族茶俗、少数民族茶俗。</w:t>
      </w:r>
    </w:p>
    <w:p w14:paraId="7BB73C4B" w14:textId="77777777" w:rsidR="00F5289E" w:rsidRDefault="00C91173">
      <w:pPr>
        <w:adjustRightInd w:val="0"/>
        <w:snapToGrid w:val="0"/>
        <w:spacing w:line="360" w:lineRule="auto"/>
        <w:jc w:val="left"/>
        <w:rPr>
          <w:szCs w:val="21"/>
        </w:rPr>
      </w:pPr>
      <w:r>
        <w:rPr>
          <w:b/>
          <w:bCs/>
        </w:rPr>
        <w:t>主要教学内容及要求：</w:t>
      </w:r>
      <w:r>
        <w:rPr>
          <w:szCs w:val="21"/>
        </w:rPr>
        <w:t>掌握汉族不同地区的茶俗，熟练掌握茶在汉族婚仪、祭祀、丧葬等习俗中扮演的角色；掌握不同少数民族的茶俗，熟练掌握藏族酥油茶、内蒙古咸奶茶、傣族竹筒香茶、白族</w:t>
      </w:r>
      <w:r>
        <w:rPr>
          <w:rFonts w:hint="eastAsia"/>
          <w:szCs w:val="21"/>
        </w:rPr>
        <w:t>“</w:t>
      </w:r>
      <w:r>
        <w:rPr>
          <w:szCs w:val="21"/>
        </w:rPr>
        <w:t>三道茶</w:t>
      </w:r>
      <w:r>
        <w:rPr>
          <w:rFonts w:hint="eastAsia"/>
          <w:szCs w:val="21"/>
        </w:rPr>
        <w:t>”</w:t>
      </w:r>
      <w:r>
        <w:rPr>
          <w:szCs w:val="21"/>
        </w:rPr>
        <w:t>、回族</w:t>
      </w:r>
      <w:r>
        <w:rPr>
          <w:rFonts w:hint="eastAsia"/>
          <w:szCs w:val="21"/>
        </w:rPr>
        <w:t>“</w:t>
      </w:r>
      <w:r>
        <w:rPr>
          <w:szCs w:val="21"/>
        </w:rPr>
        <w:t>三炮台盖碗茶</w:t>
      </w:r>
      <w:r>
        <w:rPr>
          <w:rFonts w:hint="eastAsia"/>
          <w:szCs w:val="21"/>
        </w:rPr>
        <w:t>”</w:t>
      </w:r>
      <w:r>
        <w:rPr>
          <w:szCs w:val="21"/>
        </w:rPr>
        <w:t>、南疆北疆不同饮茶习惯、基诺族吃茶、拉祜族饮烤茶、土家族擂茶、罐罐茶、打油茶、九道茶等饮茶习俗。</w:t>
      </w:r>
    </w:p>
    <w:p w14:paraId="3F90FAFD"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情景式教学结合讲授式教学的方法进行，让学生深入学习章节内容。课后布置任务让学生对章节知识进行梳理，同时通过作业检验学生对章节内容的掌握程度。</w:t>
      </w:r>
    </w:p>
    <w:p w14:paraId="37F98B8F" w14:textId="77777777" w:rsidR="00F5289E" w:rsidRDefault="00C91173">
      <w:pPr>
        <w:snapToGrid w:val="0"/>
        <w:spacing w:line="360" w:lineRule="auto"/>
        <w:jc w:val="right"/>
        <w:rPr>
          <w:b/>
          <w:szCs w:val="21"/>
        </w:rPr>
      </w:pPr>
      <w:r>
        <w:rPr>
          <w:b/>
          <w:szCs w:val="21"/>
        </w:rPr>
        <w:t>第六章</w:t>
      </w:r>
      <w:r>
        <w:rPr>
          <w:b/>
          <w:szCs w:val="21"/>
        </w:rPr>
        <w:t>     </w:t>
      </w:r>
      <w:r>
        <w:rPr>
          <w:b/>
        </w:rPr>
        <w:t>外国茶文化</w:t>
      </w:r>
      <w:r>
        <w:rPr>
          <w:b/>
          <w:szCs w:val="21"/>
        </w:rPr>
        <w:t>                                      </w:t>
      </w:r>
      <w:r>
        <w:rPr>
          <w:b/>
          <w:szCs w:val="21"/>
        </w:rPr>
        <w:t>学时数：</w:t>
      </w:r>
      <w:r>
        <w:rPr>
          <w:b/>
          <w:szCs w:val="21"/>
        </w:rPr>
        <w:t>4</w:t>
      </w:r>
    </w:p>
    <w:p w14:paraId="7B6BCA02" w14:textId="77777777" w:rsidR="00F5289E" w:rsidRDefault="00C91173">
      <w:pPr>
        <w:adjustRightInd w:val="0"/>
        <w:snapToGrid w:val="0"/>
        <w:spacing w:line="360" w:lineRule="auto"/>
        <w:jc w:val="left"/>
        <w:rPr>
          <w:b/>
          <w:bCs/>
        </w:rPr>
      </w:pPr>
      <w:r>
        <w:rPr>
          <w:b/>
          <w:bCs/>
        </w:rPr>
        <w:t>第一节</w:t>
      </w:r>
      <w:r>
        <w:rPr>
          <w:b/>
          <w:bCs/>
        </w:rPr>
        <w:t xml:space="preserve"> </w:t>
      </w:r>
      <w:r>
        <w:rPr>
          <w:b/>
          <w:bCs/>
        </w:rPr>
        <w:t>亚洲茶文化</w:t>
      </w:r>
      <w:r>
        <w:rPr>
          <w:b/>
          <w:bCs/>
        </w:rPr>
        <w:t xml:space="preserve">   1</w:t>
      </w:r>
      <w:r>
        <w:rPr>
          <w:b/>
          <w:bCs/>
        </w:rPr>
        <w:t>学时</w:t>
      </w:r>
    </w:p>
    <w:p w14:paraId="71319F7E" w14:textId="77777777" w:rsidR="00F5289E" w:rsidRDefault="00C91173">
      <w:pPr>
        <w:adjustRightInd w:val="0"/>
        <w:snapToGrid w:val="0"/>
        <w:spacing w:line="360" w:lineRule="auto"/>
        <w:jc w:val="left"/>
        <w:rPr>
          <w:b/>
          <w:bCs/>
        </w:rPr>
      </w:pPr>
      <w:r>
        <w:rPr>
          <w:b/>
          <w:bCs/>
        </w:rPr>
        <w:t>第二节</w:t>
      </w:r>
      <w:r>
        <w:rPr>
          <w:b/>
          <w:bCs/>
        </w:rPr>
        <w:t xml:space="preserve"> </w:t>
      </w:r>
      <w:r>
        <w:rPr>
          <w:b/>
          <w:bCs/>
        </w:rPr>
        <w:t>欧美茶文化</w:t>
      </w:r>
      <w:r>
        <w:rPr>
          <w:b/>
          <w:bCs/>
        </w:rPr>
        <w:t xml:space="preserve">   1</w:t>
      </w:r>
      <w:r>
        <w:rPr>
          <w:b/>
          <w:bCs/>
        </w:rPr>
        <w:t>学时</w:t>
      </w:r>
    </w:p>
    <w:p w14:paraId="17C08CDA" w14:textId="77777777" w:rsidR="00F5289E" w:rsidRDefault="00C91173">
      <w:pPr>
        <w:adjustRightInd w:val="0"/>
        <w:snapToGrid w:val="0"/>
        <w:spacing w:line="360" w:lineRule="auto"/>
        <w:jc w:val="left"/>
        <w:rPr>
          <w:b/>
          <w:bCs/>
        </w:rPr>
      </w:pPr>
      <w:r>
        <w:rPr>
          <w:b/>
          <w:bCs/>
        </w:rPr>
        <w:t>第三节</w:t>
      </w:r>
      <w:r>
        <w:rPr>
          <w:b/>
          <w:bCs/>
        </w:rPr>
        <w:t xml:space="preserve"> </w:t>
      </w:r>
      <w:r>
        <w:rPr>
          <w:b/>
          <w:bCs/>
        </w:rPr>
        <w:t>非洲茶文化</w:t>
      </w:r>
      <w:r>
        <w:rPr>
          <w:b/>
          <w:bCs/>
        </w:rPr>
        <w:t xml:space="preserve">   1</w:t>
      </w:r>
      <w:r>
        <w:rPr>
          <w:b/>
          <w:bCs/>
        </w:rPr>
        <w:t>学时</w:t>
      </w:r>
    </w:p>
    <w:p w14:paraId="50E84636" w14:textId="77777777" w:rsidR="00F5289E" w:rsidRDefault="00C91173">
      <w:pPr>
        <w:adjustRightInd w:val="0"/>
        <w:snapToGrid w:val="0"/>
        <w:spacing w:line="360" w:lineRule="auto"/>
        <w:jc w:val="left"/>
        <w:rPr>
          <w:b/>
          <w:bCs/>
        </w:rPr>
      </w:pPr>
      <w:r>
        <w:rPr>
          <w:b/>
          <w:bCs/>
        </w:rPr>
        <w:t>第四节</w:t>
      </w:r>
      <w:r>
        <w:rPr>
          <w:b/>
          <w:bCs/>
        </w:rPr>
        <w:t xml:space="preserve"> </w:t>
      </w:r>
      <w:r>
        <w:rPr>
          <w:b/>
          <w:bCs/>
        </w:rPr>
        <w:t>南美洲及大洋洲茶文化</w:t>
      </w:r>
      <w:r>
        <w:rPr>
          <w:b/>
          <w:bCs/>
        </w:rPr>
        <w:t xml:space="preserve">   1</w:t>
      </w:r>
      <w:r>
        <w:rPr>
          <w:b/>
          <w:bCs/>
        </w:rPr>
        <w:t>学时</w:t>
      </w:r>
    </w:p>
    <w:p w14:paraId="79DA563D" w14:textId="77777777" w:rsidR="00F5289E" w:rsidRDefault="00C91173">
      <w:pPr>
        <w:adjustRightInd w:val="0"/>
        <w:snapToGrid w:val="0"/>
        <w:spacing w:line="360" w:lineRule="auto"/>
        <w:jc w:val="left"/>
        <w:rPr>
          <w:szCs w:val="21"/>
        </w:rPr>
      </w:pPr>
      <w:r>
        <w:rPr>
          <w:b/>
          <w:bCs/>
        </w:rPr>
        <w:t>教学目的：</w:t>
      </w:r>
      <w:r>
        <w:rPr>
          <w:szCs w:val="21"/>
        </w:rPr>
        <w:t>让学生掌握各国茶文化。</w:t>
      </w:r>
    </w:p>
    <w:p w14:paraId="482B4D15" w14:textId="77777777" w:rsidR="00F5289E" w:rsidRDefault="00C91173">
      <w:pPr>
        <w:adjustRightInd w:val="0"/>
        <w:snapToGrid w:val="0"/>
        <w:spacing w:line="360" w:lineRule="auto"/>
        <w:jc w:val="left"/>
        <w:rPr>
          <w:szCs w:val="21"/>
        </w:rPr>
      </w:pPr>
      <w:r>
        <w:rPr>
          <w:b/>
          <w:bCs/>
        </w:rPr>
        <w:t>教学重点和难点：</w:t>
      </w:r>
      <w:r>
        <w:rPr>
          <w:szCs w:val="21"/>
        </w:rPr>
        <w:t>日本茶道、英国下午茶。</w:t>
      </w:r>
    </w:p>
    <w:p w14:paraId="40390043" w14:textId="77777777" w:rsidR="00F5289E" w:rsidRDefault="00C91173">
      <w:pPr>
        <w:adjustRightInd w:val="0"/>
        <w:snapToGrid w:val="0"/>
        <w:spacing w:line="360" w:lineRule="auto"/>
        <w:jc w:val="left"/>
        <w:rPr>
          <w:szCs w:val="21"/>
        </w:rPr>
      </w:pPr>
      <w:r>
        <w:rPr>
          <w:b/>
          <w:bCs/>
        </w:rPr>
        <w:t>主要教学内容及要求：</w:t>
      </w:r>
      <w:r>
        <w:rPr>
          <w:szCs w:val="21"/>
        </w:rPr>
        <w:t>掌握各国茶文化，熟练掌握日本茶文化与英国茶文化。掌握世界各国茶文化的传播与发展。</w:t>
      </w:r>
    </w:p>
    <w:p w14:paraId="65CBD7D0"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情景式教学结合讲授式教学的方法进行，让学生深入学习章节内容。课后布置任务让学生对章节知识进行梳理，同时通过作业检验学生对章节内容的掌握程度。</w:t>
      </w:r>
    </w:p>
    <w:p w14:paraId="58233FB8" w14:textId="77777777" w:rsidR="00F5289E" w:rsidRDefault="00C91173">
      <w:pPr>
        <w:snapToGrid w:val="0"/>
        <w:spacing w:line="360" w:lineRule="auto"/>
        <w:jc w:val="right"/>
        <w:rPr>
          <w:b/>
          <w:szCs w:val="21"/>
        </w:rPr>
      </w:pPr>
      <w:r>
        <w:rPr>
          <w:b/>
          <w:szCs w:val="21"/>
        </w:rPr>
        <w:t>第七章</w:t>
      </w:r>
      <w:r>
        <w:rPr>
          <w:b/>
          <w:szCs w:val="21"/>
        </w:rPr>
        <w:t>     </w:t>
      </w:r>
      <w:r>
        <w:rPr>
          <w:b/>
        </w:rPr>
        <w:t>茶与健康</w:t>
      </w:r>
      <w:r>
        <w:rPr>
          <w:b/>
          <w:szCs w:val="21"/>
        </w:rPr>
        <w:t>                                       </w:t>
      </w:r>
      <w:r>
        <w:rPr>
          <w:b/>
          <w:szCs w:val="21"/>
        </w:rPr>
        <w:t>学时数：</w:t>
      </w:r>
      <w:r>
        <w:rPr>
          <w:b/>
          <w:szCs w:val="21"/>
        </w:rPr>
        <w:t>2</w:t>
      </w:r>
    </w:p>
    <w:p w14:paraId="5B506B08" w14:textId="77777777" w:rsidR="00F5289E" w:rsidRDefault="00C91173">
      <w:pPr>
        <w:adjustRightInd w:val="0"/>
        <w:snapToGrid w:val="0"/>
        <w:spacing w:line="360" w:lineRule="auto"/>
        <w:jc w:val="left"/>
        <w:rPr>
          <w:b/>
          <w:bCs/>
        </w:rPr>
      </w:pPr>
      <w:r>
        <w:rPr>
          <w:b/>
          <w:bCs/>
        </w:rPr>
        <w:t>第一节</w:t>
      </w:r>
      <w:r>
        <w:rPr>
          <w:b/>
          <w:bCs/>
        </w:rPr>
        <w:t xml:space="preserve"> </w:t>
      </w:r>
      <w:r>
        <w:rPr>
          <w:b/>
          <w:bCs/>
        </w:rPr>
        <w:t>茶叶中的功能性成分</w:t>
      </w:r>
      <w:r>
        <w:rPr>
          <w:b/>
          <w:bCs/>
        </w:rPr>
        <w:t xml:space="preserve">   0.5</w:t>
      </w:r>
      <w:r>
        <w:rPr>
          <w:b/>
          <w:bCs/>
        </w:rPr>
        <w:t>学时</w:t>
      </w:r>
    </w:p>
    <w:p w14:paraId="3726EF0B" w14:textId="77777777" w:rsidR="00F5289E" w:rsidRDefault="00C91173">
      <w:pPr>
        <w:adjustRightInd w:val="0"/>
        <w:snapToGrid w:val="0"/>
        <w:spacing w:line="360" w:lineRule="auto"/>
        <w:jc w:val="left"/>
        <w:rPr>
          <w:b/>
          <w:bCs/>
        </w:rPr>
      </w:pPr>
      <w:r>
        <w:rPr>
          <w:b/>
          <w:bCs/>
        </w:rPr>
        <w:t>第二节</w:t>
      </w:r>
      <w:r>
        <w:rPr>
          <w:b/>
          <w:bCs/>
        </w:rPr>
        <w:t xml:space="preserve"> </w:t>
      </w:r>
      <w:r>
        <w:rPr>
          <w:b/>
          <w:bCs/>
        </w:rPr>
        <w:t>茶叶的主要保健功能</w:t>
      </w:r>
      <w:r>
        <w:rPr>
          <w:b/>
          <w:bCs/>
        </w:rPr>
        <w:t xml:space="preserve">   1</w:t>
      </w:r>
      <w:r>
        <w:rPr>
          <w:b/>
          <w:bCs/>
        </w:rPr>
        <w:t>学时</w:t>
      </w:r>
    </w:p>
    <w:p w14:paraId="6BAD4A5E" w14:textId="77777777" w:rsidR="00F5289E" w:rsidRDefault="00C91173">
      <w:pPr>
        <w:adjustRightInd w:val="0"/>
        <w:snapToGrid w:val="0"/>
        <w:spacing w:line="360" w:lineRule="auto"/>
        <w:jc w:val="left"/>
        <w:rPr>
          <w:b/>
          <w:bCs/>
        </w:rPr>
      </w:pPr>
      <w:r>
        <w:rPr>
          <w:b/>
          <w:bCs/>
        </w:rPr>
        <w:t>第三节</w:t>
      </w:r>
      <w:r>
        <w:rPr>
          <w:b/>
          <w:bCs/>
        </w:rPr>
        <w:t xml:space="preserve"> </w:t>
      </w:r>
      <w:r>
        <w:rPr>
          <w:b/>
          <w:bCs/>
        </w:rPr>
        <w:t>科学饮茶</w:t>
      </w:r>
      <w:r>
        <w:rPr>
          <w:b/>
          <w:bCs/>
        </w:rPr>
        <w:t xml:space="preserve">   0.5</w:t>
      </w:r>
      <w:r>
        <w:rPr>
          <w:b/>
          <w:bCs/>
        </w:rPr>
        <w:t>学时</w:t>
      </w:r>
    </w:p>
    <w:p w14:paraId="720ADC06" w14:textId="77777777" w:rsidR="00F5289E" w:rsidRDefault="00C91173">
      <w:pPr>
        <w:adjustRightInd w:val="0"/>
        <w:snapToGrid w:val="0"/>
        <w:spacing w:line="360" w:lineRule="auto"/>
        <w:jc w:val="left"/>
        <w:rPr>
          <w:szCs w:val="21"/>
        </w:rPr>
      </w:pPr>
      <w:r>
        <w:rPr>
          <w:b/>
          <w:bCs/>
        </w:rPr>
        <w:t>教学目的：</w:t>
      </w:r>
      <w:r>
        <w:rPr>
          <w:szCs w:val="21"/>
        </w:rPr>
        <w:t>掌握茶叶中的主要功能性成分及茶叶的保健功能，熟练掌握科学的饮茶方法。</w:t>
      </w:r>
    </w:p>
    <w:p w14:paraId="25A7D754" w14:textId="77777777" w:rsidR="00F5289E" w:rsidRDefault="00C91173">
      <w:pPr>
        <w:adjustRightInd w:val="0"/>
        <w:snapToGrid w:val="0"/>
        <w:spacing w:line="360" w:lineRule="auto"/>
        <w:jc w:val="left"/>
        <w:rPr>
          <w:szCs w:val="21"/>
        </w:rPr>
      </w:pPr>
      <w:r>
        <w:rPr>
          <w:b/>
          <w:bCs/>
        </w:rPr>
        <w:lastRenderedPageBreak/>
        <w:t>教学重点和难点：</w:t>
      </w:r>
      <w:r>
        <w:rPr>
          <w:szCs w:val="21"/>
        </w:rPr>
        <w:t xml:space="preserve"> </w:t>
      </w:r>
      <w:r>
        <w:rPr>
          <w:szCs w:val="21"/>
        </w:rPr>
        <w:t>茶叶中的主要功能性成分及茶叶的保健功能。</w:t>
      </w:r>
    </w:p>
    <w:p w14:paraId="32FC82D0" w14:textId="77777777" w:rsidR="00F5289E" w:rsidRDefault="00C91173">
      <w:pPr>
        <w:adjustRightInd w:val="0"/>
        <w:snapToGrid w:val="0"/>
        <w:spacing w:line="360" w:lineRule="auto"/>
        <w:jc w:val="left"/>
        <w:rPr>
          <w:szCs w:val="21"/>
        </w:rPr>
      </w:pPr>
      <w:r>
        <w:rPr>
          <w:b/>
          <w:bCs/>
        </w:rPr>
        <w:t>主要教学内容及要求：</w:t>
      </w:r>
      <w:r>
        <w:rPr>
          <w:szCs w:val="21"/>
        </w:rPr>
        <w:t>掌握茶叶中的主要功能性成分及茶叶的保健功能，熟练掌握科学的饮茶方法。</w:t>
      </w:r>
    </w:p>
    <w:p w14:paraId="1C33427A" w14:textId="77777777" w:rsidR="00F5289E" w:rsidRDefault="00C91173">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体验式教学结合讲授式教学的方法进行，让学生深入学习章节内容。课后布置任务让学生对章节知识进行梳理，同时通过作业检验学生对章节内容的掌握程度。</w:t>
      </w:r>
    </w:p>
    <w:p w14:paraId="7589FEC9" w14:textId="77777777" w:rsidR="00F5289E" w:rsidRDefault="00C91173">
      <w:pPr>
        <w:snapToGrid w:val="0"/>
        <w:spacing w:line="360" w:lineRule="auto"/>
        <w:jc w:val="right"/>
        <w:rPr>
          <w:b/>
          <w:szCs w:val="21"/>
        </w:rPr>
      </w:pPr>
      <w:r>
        <w:rPr>
          <w:b/>
          <w:szCs w:val="21"/>
        </w:rPr>
        <w:t>第八章</w:t>
      </w:r>
      <w:r>
        <w:rPr>
          <w:b/>
          <w:szCs w:val="21"/>
        </w:rPr>
        <w:t>     </w:t>
      </w:r>
      <w:r>
        <w:rPr>
          <w:b/>
        </w:rPr>
        <w:t>茶艺</w:t>
      </w:r>
      <w:r>
        <w:rPr>
          <w:b/>
          <w:szCs w:val="21"/>
        </w:rPr>
        <w:t xml:space="preserve">                                     </w:t>
      </w:r>
      <w:r>
        <w:rPr>
          <w:b/>
          <w:szCs w:val="21"/>
        </w:rPr>
        <w:t>学时数：</w:t>
      </w:r>
      <w:r>
        <w:rPr>
          <w:b/>
          <w:szCs w:val="21"/>
        </w:rPr>
        <w:t>4</w:t>
      </w:r>
    </w:p>
    <w:p w14:paraId="4A005543" w14:textId="77777777" w:rsidR="00F5289E" w:rsidRDefault="00C91173" w:rsidP="00A115EF">
      <w:pPr>
        <w:numPr>
          <w:ilvl w:val="0"/>
          <w:numId w:val="42"/>
        </w:numPr>
        <w:adjustRightInd w:val="0"/>
        <w:snapToGrid w:val="0"/>
        <w:spacing w:line="360" w:lineRule="auto"/>
        <w:jc w:val="left"/>
        <w:rPr>
          <w:b/>
          <w:bCs/>
        </w:rPr>
      </w:pPr>
      <w:r>
        <w:rPr>
          <w:b/>
          <w:bCs/>
        </w:rPr>
        <w:t>水为茶之母</w:t>
      </w:r>
      <w:r>
        <w:rPr>
          <w:b/>
          <w:bCs/>
        </w:rPr>
        <w:t xml:space="preserve">     1.5</w:t>
      </w:r>
      <w:r>
        <w:rPr>
          <w:b/>
          <w:bCs/>
        </w:rPr>
        <w:t>学时</w:t>
      </w:r>
    </w:p>
    <w:p w14:paraId="09D3C914" w14:textId="77777777" w:rsidR="00F5289E" w:rsidRDefault="00C91173" w:rsidP="00A115EF">
      <w:pPr>
        <w:numPr>
          <w:ilvl w:val="0"/>
          <w:numId w:val="42"/>
        </w:numPr>
        <w:adjustRightInd w:val="0"/>
        <w:snapToGrid w:val="0"/>
        <w:spacing w:line="360" w:lineRule="auto"/>
        <w:jc w:val="left"/>
        <w:rPr>
          <w:b/>
          <w:bCs/>
        </w:rPr>
      </w:pPr>
      <w:r>
        <w:rPr>
          <w:b/>
          <w:bCs/>
        </w:rPr>
        <w:t>器为茶之父</w:t>
      </w:r>
      <w:r>
        <w:rPr>
          <w:b/>
          <w:bCs/>
        </w:rPr>
        <w:t xml:space="preserve">     1.5</w:t>
      </w:r>
      <w:r>
        <w:rPr>
          <w:b/>
          <w:bCs/>
        </w:rPr>
        <w:t>学时</w:t>
      </w:r>
    </w:p>
    <w:p w14:paraId="1CD5C0A9" w14:textId="77777777" w:rsidR="00F5289E" w:rsidRDefault="00C91173" w:rsidP="00A115EF">
      <w:pPr>
        <w:numPr>
          <w:ilvl w:val="0"/>
          <w:numId w:val="42"/>
        </w:numPr>
        <w:adjustRightInd w:val="0"/>
        <w:snapToGrid w:val="0"/>
        <w:spacing w:line="360" w:lineRule="auto"/>
        <w:jc w:val="left"/>
        <w:rPr>
          <w:b/>
          <w:bCs/>
        </w:rPr>
      </w:pPr>
      <w:r>
        <w:rPr>
          <w:b/>
          <w:bCs/>
        </w:rPr>
        <w:t>茶叶冲泡技艺</w:t>
      </w:r>
      <w:r>
        <w:rPr>
          <w:b/>
          <w:bCs/>
        </w:rPr>
        <w:t xml:space="preserve">      1</w:t>
      </w:r>
      <w:r>
        <w:rPr>
          <w:b/>
          <w:bCs/>
        </w:rPr>
        <w:t>学时</w:t>
      </w:r>
    </w:p>
    <w:p w14:paraId="4F4CD64E" w14:textId="77777777" w:rsidR="00F5289E" w:rsidRDefault="00C91173">
      <w:pPr>
        <w:adjustRightInd w:val="0"/>
        <w:snapToGrid w:val="0"/>
        <w:spacing w:line="360" w:lineRule="auto"/>
        <w:jc w:val="left"/>
        <w:rPr>
          <w:szCs w:val="21"/>
        </w:rPr>
      </w:pPr>
      <w:r>
        <w:rPr>
          <w:b/>
          <w:bCs/>
        </w:rPr>
        <w:t>教学目的：</w:t>
      </w:r>
      <w:r>
        <w:rPr>
          <w:szCs w:val="21"/>
        </w:rPr>
        <w:t>掌握泡茶用水的选择；掌握绿茶、红茶及乌龙茶的冲泡方式；掌握茶席的布置与茶席插花。</w:t>
      </w:r>
    </w:p>
    <w:p w14:paraId="51C6500B" w14:textId="77777777" w:rsidR="00F5289E" w:rsidRDefault="00C91173">
      <w:pPr>
        <w:adjustRightInd w:val="0"/>
        <w:snapToGrid w:val="0"/>
        <w:spacing w:line="360" w:lineRule="auto"/>
        <w:jc w:val="left"/>
        <w:rPr>
          <w:szCs w:val="21"/>
        </w:rPr>
      </w:pPr>
      <w:r>
        <w:rPr>
          <w:b/>
          <w:bCs/>
        </w:rPr>
        <w:t>教学重点和难点：</w:t>
      </w:r>
      <w:r>
        <w:rPr>
          <w:szCs w:val="21"/>
        </w:rPr>
        <w:t xml:space="preserve"> </w:t>
      </w:r>
      <w:r>
        <w:rPr>
          <w:szCs w:val="21"/>
        </w:rPr>
        <w:t>泡茶用水的选择，绿茶、红茶及乌龙茶的冲泡方式。</w:t>
      </w:r>
    </w:p>
    <w:p w14:paraId="3FF98A71" w14:textId="77777777" w:rsidR="00F5289E" w:rsidRDefault="00C91173">
      <w:pPr>
        <w:adjustRightInd w:val="0"/>
        <w:snapToGrid w:val="0"/>
        <w:spacing w:line="360" w:lineRule="auto"/>
        <w:jc w:val="left"/>
        <w:rPr>
          <w:szCs w:val="21"/>
        </w:rPr>
      </w:pPr>
      <w:r>
        <w:rPr>
          <w:b/>
          <w:bCs/>
        </w:rPr>
        <w:t>主要教学内容及要求：</w:t>
      </w:r>
      <w:r>
        <w:rPr>
          <w:szCs w:val="21"/>
        </w:rPr>
        <w:t>掌握泡茶用水的选择，掌握绿茶、红茶及乌龙茶的冲泡方式，了解其它茶类的冲泡方式。掌握茶席的布置与茶席插花。</w:t>
      </w:r>
    </w:p>
    <w:p w14:paraId="6340DFB9" w14:textId="77777777" w:rsidR="00F5289E" w:rsidRDefault="00C91173">
      <w:pPr>
        <w:adjustRightInd w:val="0"/>
        <w:snapToGrid w:val="0"/>
        <w:spacing w:line="360" w:lineRule="auto"/>
        <w:jc w:val="left"/>
        <w:rPr>
          <w:szCs w:val="21"/>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合作式教学结合讲授式教学的方法进行，让学生深入学习章节内容。课后布置任务让学生对章节知识进行梳理，同时通过作业检验学生对章节内容的掌握程度。</w:t>
      </w:r>
    </w:p>
    <w:p w14:paraId="4AD3B1C5" w14:textId="77777777" w:rsidR="00F5289E" w:rsidRDefault="00C91173">
      <w:pPr>
        <w:snapToGrid w:val="0"/>
        <w:spacing w:line="360" w:lineRule="auto"/>
        <w:rPr>
          <w:rFonts w:ascii="宋体" w:hAnsi="宋体"/>
          <w:b/>
          <w:szCs w:val="21"/>
        </w:rPr>
      </w:pPr>
      <w:r>
        <w:rPr>
          <w:rFonts w:ascii="宋体" w:hAnsi="宋体" w:hint="eastAsia"/>
          <w:b/>
          <w:szCs w:val="21"/>
        </w:rPr>
        <w:t>五</w:t>
      </w:r>
      <w:r>
        <w:rPr>
          <w:rFonts w:ascii="宋体" w:hAnsi="宋体"/>
          <w:b/>
          <w:szCs w:val="21"/>
        </w:rPr>
        <w:t>、</w:t>
      </w:r>
      <w:r>
        <w:rPr>
          <w:rFonts w:ascii="宋体" w:hAnsi="宋体" w:hint="eastAsia"/>
          <w:b/>
          <w:szCs w:val="21"/>
        </w:rPr>
        <w:t>课程思政</w:t>
      </w:r>
    </w:p>
    <w:p w14:paraId="3657AC2E" w14:textId="77777777" w:rsidR="00F5289E" w:rsidRDefault="00C91173">
      <w:pPr>
        <w:snapToGrid w:val="0"/>
        <w:spacing w:line="360" w:lineRule="auto"/>
        <w:ind w:firstLineChars="200" w:firstLine="420"/>
        <w:rPr>
          <w:rFonts w:hAnsi="宋体"/>
          <w:szCs w:val="21"/>
        </w:rPr>
      </w:pPr>
      <w:r>
        <w:rPr>
          <w:rFonts w:hAnsi="宋体" w:hint="eastAsia"/>
          <w:szCs w:val="21"/>
        </w:rPr>
        <w:t>《茶文化学》课程旨在让学生学习并掌握中国和世界茶文化，并能自己终身不断学习补充新的茶文化知识，在提高传统文化素养的同时，能够在未来的工作学习中去传承和传播中华传统茶文化。</w:t>
      </w:r>
    </w:p>
    <w:p w14:paraId="5C7543D7" w14:textId="77777777" w:rsidR="00F5289E" w:rsidRDefault="00C91173">
      <w:pPr>
        <w:snapToGrid w:val="0"/>
        <w:spacing w:line="360" w:lineRule="auto"/>
        <w:ind w:firstLineChars="200" w:firstLine="420"/>
        <w:rPr>
          <w:rFonts w:hAnsi="宋体"/>
          <w:szCs w:val="21"/>
        </w:rPr>
      </w:pPr>
      <w:r>
        <w:rPr>
          <w:rFonts w:hAnsi="宋体" w:hint="eastAsia"/>
          <w:szCs w:val="21"/>
        </w:rPr>
        <w:t>通过对中国茶叶和中国茶文化的对外传播学习，了解中国传统茶文化对世界的影响，从而树立正确的国家观、民族观，提升文化自信，增强家国情怀。</w:t>
      </w:r>
    </w:p>
    <w:p w14:paraId="19B874DC" w14:textId="77777777" w:rsidR="00F5289E" w:rsidRDefault="00C91173">
      <w:pPr>
        <w:snapToGrid w:val="0"/>
        <w:spacing w:line="360" w:lineRule="auto"/>
        <w:ind w:firstLineChars="200" w:firstLine="420"/>
        <w:rPr>
          <w:rFonts w:hAnsi="宋体"/>
          <w:szCs w:val="21"/>
        </w:rPr>
      </w:pPr>
      <w:r>
        <w:rPr>
          <w:rFonts w:hAnsi="宋体" w:hint="eastAsia"/>
          <w:szCs w:val="21"/>
        </w:rPr>
        <w:t>茶叶、茶具、茶艺和茶文化都是在不断的破与立中传承和发展的，在学习茶文化发展历史的时候，让学生了解茶人在时间推移过程中根据市场需求不断精进技术精益求精、守正创新的大国工匠精神。</w:t>
      </w:r>
    </w:p>
    <w:p w14:paraId="5467E906" w14:textId="77777777" w:rsidR="00F5289E" w:rsidRDefault="00C91173">
      <w:pPr>
        <w:snapToGrid w:val="0"/>
        <w:spacing w:line="360" w:lineRule="auto"/>
        <w:jc w:val="left"/>
        <w:rPr>
          <w:b/>
          <w:szCs w:val="21"/>
        </w:rPr>
      </w:pPr>
      <w:r>
        <w:rPr>
          <w:rFonts w:hint="eastAsia"/>
          <w:b/>
          <w:szCs w:val="21"/>
        </w:rPr>
        <w:t>六</w:t>
      </w:r>
      <w:r>
        <w:rPr>
          <w:b/>
          <w:szCs w:val="21"/>
        </w:rPr>
        <w:t>、</w:t>
      </w:r>
      <w:r>
        <w:rPr>
          <w:rFonts w:hAnsi="宋体"/>
          <w:b/>
          <w:bCs/>
          <w:kern w:val="0"/>
          <w:szCs w:val="21"/>
        </w:rPr>
        <w:t>教材</w:t>
      </w:r>
      <w:r>
        <w:rPr>
          <w:rFonts w:hAnsi="宋体" w:hint="eastAsia"/>
          <w:b/>
          <w:bCs/>
          <w:kern w:val="0"/>
          <w:szCs w:val="21"/>
        </w:rPr>
        <w:t>及教学参考书</w:t>
      </w:r>
    </w:p>
    <w:p w14:paraId="31636180" w14:textId="77777777" w:rsidR="00F5289E" w:rsidRDefault="00C91173">
      <w:pPr>
        <w:spacing w:line="360" w:lineRule="auto"/>
        <w:ind w:firstLineChars="200" w:firstLine="422"/>
        <w:rPr>
          <w:b/>
          <w:bCs/>
          <w:kern w:val="0"/>
          <w:szCs w:val="21"/>
        </w:rPr>
      </w:pPr>
      <w:r>
        <w:rPr>
          <w:b/>
          <w:bCs/>
          <w:kern w:val="0"/>
          <w:szCs w:val="21"/>
        </w:rPr>
        <w:t xml:space="preserve">1. </w:t>
      </w:r>
      <w:r>
        <w:rPr>
          <w:b/>
          <w:bCs/>
          <w:kern w:val="0"/>
          <w:szCs w:val="21"/>
        </w:rPr>
        <w:t>选用教材</w:t>
      </w:r>
    </w:p>
    <w:p w14:paraId="4CA02891" w14:textId="77777777" w:rsidR="00F5289E" w:rsidRDefault="00C91173">
      <w:pPr>
        <w:spacing w:line="360" w:lineRule="auto"/>
        <w:ind w:firstLineChars="250" w:firstLine="525"/>
      </w:pPr>
      <w:r>
        <w:t>茶文化学，刘勤晋主编，中国农业出版社</w:t>
      </w:r>
    </w:p>
    <w:p w14:paraId="37411DF0" w14:textId="77777777" w:rsidR="00F5289E" w:rsidRDefault="00C91173">
      <w:pPr>
        <w:spacing w:line="360" w:lineRule="auto"/>
        <w:ind w:firstLineChars="200" w:firstLine="422"/>
        <w:rPr>
          <w:b/>
          <w:bCs/>
          <w:kern w:val="0"/>
          <w:szCs w:val="21"/>
        </w:rPr>
      </w:pPr>
      <w:r>
        <w:rPr>
          <w:b/>
          <w:bCs/>
          <w:kern w:val="0"/>
          <w:szCs w:val="21"/>
        </w:rPr>
        <w:t xml:space="preserve">2. </w:t>
      </w:r>
      <w:r>
        <w:rPr>
          <w:b/>
          <w:bCs/>
          <w:kern w:val="0"/>
          <w:szCs w:val="21"/>
        </w:rPr>
        <w:t>参考书目</w:t>
      </w:r>
    </w:p>
    <w:p w14:paraId="5826632B" w14:textId="77777777" w:rsidR="00F5289E" w:rsidRDefault="00C91173">
      <w:pPr>
        <w:spacing w:line="360" w:lineRule="auto"/>
        <w:ind w:firstLineChars="200" w:firstLine="420"/>
      </w:pPr>
      <w:r>
        <w:lastRenderedPageBreak/>
        <w:t>（</w:t>
      </w:r>
      <w:r>
        <w:t>1</w:t>
      </w:r>
      <w:r>
        <w:t>）茶文化概论，姚国坤著，中国农业出版社</w:t>
      </w:r>
    </w:p>
    <w:p w14:paraId="53B74070" w14:textId="77777777" w:rsidR="00F5289E" w:rsidRDefault="00C91173">
      <w:pPr>
        <w:spacing w:line="360" w:lineRule="auto"/>
        <w:ind w:firstLineChars="200" w:firstLine="420"/>
      </w:pPr>
      <w:r>
        <w:t>（</w:t>
      </w:r>
      <w:r>
        <w:t>2</w:t>
      </w:r>
      <w:r>
        <w:t>）中国茶叶大辞典，陈宗懋著，中国轻工业出版社</w:t>
      </w:r>
    </w:p>
    <w:p w14:paraId="382FDE08" w14:textId="77777777" w:rsidR="00F5289E" w:rsidRDefault="00C91173">
      <w:pPr>
        <w:spacing w:line="360" w:lineRule="auto"/>
        <w:ind w:firstLineChars="200" w:firstLine="420"/>
      </w:pPr>
      <w:r>
        <w:t>（</w:t>
      </w:r>
      <w:r>
        <w:t>3</w:t>
      </w:r>
      <w:r>
        <w:t>）茶文化与茶健康，王岳飞、徐平主编，旅游教育出版社</w:t>
      </w:r>
    </w:p>
    <w:p w14:paraId="1F65AE7A" w14:textId="77777777" w:rsidR="00F5289E" w:rsidRDefault="00C91173">
      <w:pPr>
        <w:spacing w:line="360" w:lineRule="auto"/>
        <w:ind w:firstLineChars="200" w:firstLine="420"/>
      </w:pPr>
      <w:r>
        <w:t>（</w:t>
      </w:r>
      <w:r>
        <w:t>4</w:t>
      </w:r>
      <w:r>
        <w:t>）中华茶文化，黄志根主编，浙江大学出版社</w:t>
      </w:r>
    </w:p>
    <w:p w14:paraId="1AE3426F" w14:textId="77777777" w:rsidR="00F5289E" w:rsidRDefault="00C91173">
      <w:pPr>
        <w:spacing w:line="360" w:lineRule="auto"/>
        <w:ind w:firstLineChars="200" w:firstLine="420"/>
      </w:pPr>
      <w:r>
        <w:t>（</w:t>
      </w:r>
      <w:r>
        <w:t>5</w:t>
      </w:r>
      <w:r>
        <w:t>）茶叶通史，陈椽编著，中国农业出版社</w:t>
      </w:r>
    </w:p>
    <w:p w14:paraId="1B785413" w14:textId="77777777" w:rsidR="00F5289E" w:rsidRDefault="00C91173">
      <w:pPr>
        <w:spacing w:line="360" w:lineRule="auto"/>
        <w:ind w:firstLineChars="200" w:firstLine="422"/>
        <w:rPr>
          <w:b/>
          <w:bCs/>
          <w:kern w:val="0"/>
          <w:szCs w:val="21"/>
        </w:rPr>
      </w:pPr>
      <w:r>
        <w:rPr>
          <w:b/>
          <w:bCs/>
          <w:kern w:val="0"/>
          <w:szCs w:val="21"/>
        </w:rPr>
        <w:t xml:space="preserve">3. </w:t>
      </w:r>
      <w:r>
        <w:rPr>
          <w:b/>
          <w:bCs/>
          <w:kern w:val="0"/>
          <w:szCs w:val="21"/>
        </w:rPr>
        <w:t>推荐网站</w:t>
      </w:r>
    </w:p>
    <w:p w14:paraId="723E15C5" w14:textId="77777777" w:rsidR="00F5289E" w:rsidRDefault="00C91173">
      <w:pPr>
        <w:spacing w:line="360" w:lineRule="auto"/>
        <w:ind w:leftChars="200" w:left="1050" w:hangingChars="300" w:hanging="630"/>
      </w:pPr>
      <w:r>
        <w:t>（</w:t>
      </w:r>
      <w:r>
        <w:t>1</w:t>
      </w:r>
      <w:r>
        <w:t>）中国茶叶网，</w:t>
      </w:r>
      <w:r>
        <w:t>http://www.e-chinatea.cn/</w:t>
      </w:r>
    </w:p>
    <w:p w14:paraId="52D62199" w14:textId="77777777" w:rsidR="00F5289E" w:rsidRDefault="00C91173">
      <w:pPr>
        <w:spacing w:line="360" w:lineRule="auto"/>
        <w:ind w:leftChars="200" w:left="1050" w:hangingChars="300" w:hanging="630"/>
      </w:pPr>
      <w:r>
        <w:t>（</w:t>
      </w:r>
      <w:r>
        <w:t>2</w:t>
      </w:r>
      <w:r>
        <w:t>）九州茶网，</w:t>
      </w:r>
      <w:r>
        <w:t>http://www.cha99.cn/</w:t>
      </w:r>
    </w:p>
    <w:p w14:paraId="7BD3CE4F" w14:textId="77777777" w:rsidR="00F5289E" w:rsidRDefault="00C91173">
      <w:pPr>
        <w:spacing w:line="360" w:lineRule="auto"/>
        <w:ind w:leftChars="200" w:left="1050" w:hangingChars="300" w:hanging="630"/>
      </w:pPr>
      <w:r>
        <w:t>（</w:t>
      </w:r>
      <w:r>
        <w:t>3</w:t>
      </w:r>
      <w:r>
        <w:t>）中国茶叶知识网，</w:t>
      </w:r>
      <w:r>
        <w:t>http://168tea.com/?action-channel-name-chaye</w:t>
      </w:r>
    </w:p>
    <w:p w14:paraId="079EA3D7" w14:textId="77777777" w:rsidR="00F5289E" w:rsidRDefault="00C91173">
      <w:pPr>
        <w:widowControl/>
        <w:snapToGrid w:val="0"/>
        <w:spacing w:line="360" w:lineRule="auto"/>
        <w:jc w:val="left"/>
        <w:rPr>
          <w:b/>
          <w:bCs/>
          <w:kern w:val="0"/>
          <w:szCs w:val="21"/>
        </w:rPr>
      </w:pPr>
      <w:r>
        <w:rPr>
          <w:rFonts w:hint="eastAsia"/>
          <w:b/>
          <w:bCs/>
          <w:kern w:val="0"/>
          <w:szCs w:val="21"/>
        </w:rPr>
        <w:t>七</w:t>
      </w:r>
      <w:r>
        <w:rPr>
          <w:b/>
          <w:bCs/>
          <w:kern w:val="0"/>
          <w:szCs w:val="21"/>
        </w:rPr>
        <w:t>、教学条件</w:t>
      </w:r>
    </w:p>
    <w:p w14:paraId="6C001B63" w14:textId="77777777" w:rsidR="00F5289E" w:rsidRDefault="00C91173">
      <w:pPr>
        <w:snapToGrid w:val="0"/>
        <w:spacing w:line="360" w:lineRule="auto"/>
        <w:ind w:firstLineChars="200" w:firstLine="420"/>
        <w:rPr>
          <w:szCs w:val="21"/>
        </w:rPr>
      </w:pPr>
      <w:r>
        <w:rPr>
          <w:szCs w:val="21"/>
        </w:rPr>
        <w:t>本课程以理论教学为主，学校和学院现有的教学场所完全能够满足本课程的教学需要。</w:t>
      </w:r>
    </w:p>
    <w:p w14:paraId="5B278C37" w14:textId="77777777" w:rsidR="00F5289E" w:rsidRDefault="00C91173">
      <w:pPr>
        <w:widowControl/>
        <w:snapToGrid w:val="0"/>
        <w:spacing w:line="360" w:lineRule="auto"/>
        <w:jc w:val="left"/>
        <w:rPr>
          <w:b/>
          <w:bCs/>
          <w:kern w:val="0"/>
          <w:szCs w:val="21"/>
        </w:rPr>
      </w:pPr>
      <w:r>
        <w:rPr>
          <w:rFonts w:hint="eastAsia"/>
          <w:b/>
          <w:bCs/>
          <w:kern w:val="0"/>
          <w:szCs w:val="21"/>
        </w:rPr>
        <w:t>八</w:t>
      </w:r>
      <w:r>
        <w:rPr>
          <w:b/>
          <w:bCs/>
          <w:kern w:val="0"/>
          <w:szCs w:val="21"/>
        </w:rPr>
        <w:t>、教学考核评价</w:t>
      </w:r>
    </w:p>
    <w:p w14:paraId="173AFF83" w14:textId="77777777" w:rsidR="00F5289E" w:rsidRDefault="00C91173">
      <w:pPr>
        <w:widowControl/>
        <w:snapToGrid w:val="0"/>
        <w:spacing w:line="360" w:lineRule="auto"/>
        <w:ind w:firstLine="420"/>
        <w:jc w:val="left"/>
      </w:pPr>
      <w:r>
        <w:rPr>
          <w:rFonts w:hAnsi="宋体" w:hint="eastAsia"/>
          <w:b/>
          <w:bCs/>
          <w:kern w:val="0"/>
          <w:szCs w:val="21"/>
        </w:rPr>
        <w:t>1.</w:t>
      </w:r>
      <w:r>
        <w:rPr>
          <w:rFonts w:hAnsi="宋体" w:hint="eastAsia"/>
          <w:b/>
          <w:bCs/>
          <w:kern w:val="0"/>
          <w:szCs w:val="21"/>
        </w:rPr>
        <w:t>过程性评价：</w:t>
      </w:r>
      <w:r>
        <w:t>在章节学习的过程中针对每一章节的教学目标和教学内容布置</w:t>
      </w:r>
      <w:r>
        <w:rPr>
          <w:rFonts w:hint="eastAsia"/>
        </w:rPr>
        <w:t>课前、课中、课后任务</w:t>
      </w:r>
      <w:r>
        <w:t>让学生完成</w:t>
      </w:r>
      <w:r>
        <w:rPr>
          <w:rFonts w:hint="eastAsia"/>
        </w:rPr>
        <w:t>，通过任务完成度、教学活动参与度、作业、</w:t>
      </w:r>
      <w:r>
        <w:t>定期进行随堂测验</w:t>
      </w:r>
      <w:r>
        <w:rPr>
          <w:rFonts w:hint="eastAsia"/>
        </w:rPr>
        <w:t>来对学生进行过程性评价。同时</w:t>
      </w:r>
      <w:r>
        <w:t>学期中进行期中考试</w:t>
      </w:r>
      <w:r>
        <w:rPr>
          <w:rFonts w:hint="eastAsia"/>
        </w:rPr>
        <w:t>、学期末进行期末考试来对学生进行阶段式评价</w:t>
      </w:r>
      <w:r>
        <w:t>。</w:t>
      </w:r>
    </w:p>
    <w:p w14:paraId="4D68FCC9" w14:textId="77777777" w:rsidR="00F5289E" w:rsidRDefault="00C91173">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hint="eastAsia"/>
        </w:rPr>
        <w:t>期末进行</w:t>
      </w:r>
      <w:r>
        <w:t>闭卷考试</w:t>
      </w:r>
      <w:r>
        <w:rPr>
          <w:rFonts w:hint="eastAsia"/>
        </w:rPr>
        <w:t>来对学生进行终结性评价</w:t>
      </w:r>
      <w:r>
        <w:t>。</w:t>
      </w:r>
    </w:p>
    <w:p w14:paraId="4FB68DB3"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Pr>
          <w:rFonts w:hint="eastAsia"/>
        </w:rPr>
        <w:t>总成绩评定方式以</w:t>
      </w:r>
      <w:r>
        <w:t>60%</w:t>
      </w:r>
      <w:r>
        <w:t>的期末考试成绩</w:t>
      </w:r>
      <w:r>
        <w:t>+40%</w:t>
      </w:r>
      <w:r>
        <w:t>的平时成绩</w:t>
      </w:r>
      <w:r>
        <w:rPr>
          <w:rFonts w:hint="eastAsia"/>
        </w:rPr>
        <w:t>进行计算。</w:t>
      </w:r>
    </w:p>
    <w:p w14:paraId="2966EE56" w14:textId="77777777" w:rsidR="00F5289E" w:rsidRDefault="00F5289E">
      <w:pPr>
        <w:widowControl/>
        <w:snapToGrid w:val="0"/>
        <w:spacing w:line="360" w:lineRule="auto"/>
        <w:ind w:firstLine="420"/>
        <w:jc w:val="left"/>
        <w:rPr>
          <w:szCs w:val="21"/>
        </w:rPr>
      </w:pPr>
    </w:p>
    <w:p w14:paraId="6CD218B4" w14:textId="77777777" w:rsidR="00F5289E" w:rsidRDefault="00F5289E">
      <w:pPr>
        <w:widowControl/>
        <w:spacing w:line="360" w:lineRule="auto"/>
        <w:jc w:val="left"/>
      </w:pPr>
    </w:p>
    <w:p w14:paraId="530AABD3" w14:textId="77777777" w:rsidR="00F5289E" w:rsidRDefault="00C91173">
      <w:pPr>
        <w:widowControl/>
        <w:jc w:val="left"/>
        <w:rPr>
          <w:rFonts w:ascii="宋体" w:hAnsi="宋体"/>
          <w:b/>
          <w:sz w:val="28"/>
          <w:szCs w:val="28"/>
        </w:rPr>
      </w:pPr>
      <w:r>
        <w:rPr>
          <w:rFonts w:ascii="宋体" w:hAnsi="宋体"/>
          <w:b/>
          <w:sz w:val="28"/>
          <w:szCs w:val="28"/>
        </w:rPr>
        <w:br w:type="page"/>
      </w:r>
    </w:p>
    <w:p w14:paraId="5B6E8FFF" w14:textId="77777777" w:rsidR="00F5289E" w:rsidRDefault="00C91173" w:rsidP="005E1242">
      <w:pPr>
        <w:pStyle w:val="1"/>
        <w:jc w:val="both"/>
      </w:pPr>
      <w:bookmarkStart w:id="96" w:name="_Toc138606251"/>
      <w:r>
        <w:lastRenderedPageBreak/>
        <w:t>葡萄酒</w:t>
      </w:r>
      <w:r>
        <w:rPr>
          <w:rFonts w:hint="eastAsia"/>
        </w:rPr>
        <w:t>文化</w:t>
      </w:r>
      <w:bookmarkEnd w:id="96"/>
    </w:p>
    <w:p w14:paraId="3B971B61" w14:textId="77777777" w:rsidR="00F5289E" w:rsidRDefault="00C91173">
      <w:pPr>
        <w:spacing w:line="360" w:lineRule="auto"/>
        <w:ind w:firstLineChars="1700" w:firstLine="3570"/>
        <w:rPr>
          <w:rFonts w:asciiTheme="minorEastAsia" w:eastAsiaTheme="minorEastAsia" w:hAnsiTheme="minorEastAsia"/>
          <w:szCs w:val="21"/>
        </w:rPr>
      </w:pPr>
      <w:r>
        <w:rPr>
          <w:rFonts w:asciiTheme="minorEastAsia" w:eastAsiaTheme="minorEastAsia" w:hAnsiTheme="minorEastAsia"/>
          <w:szCs w:val="21"/>
        </w:rPr>
        <w:t>（</w:t>
      </w:r>
      <w:r>
        <w:rPr>
          <w:iCs/>
          <w:sz w:val="28"/>
          <w:szCs w:val="28"/>
        </w:rPr>
        <w:t>Wine Culture</w:t>
      </w:r>
      <w:r>
        <w:rPr>
          <w:rFonts w:asciiTheme="minorEastAsia" w:eastAsiaTheme="minorEastAsia" w:hAnsiTheme="minorEastAsia"/>
          <w:szCs w:val="21"/>
        </w:rPr>
        <w:t>）</w:t>
      </w:r>
    </w:p>
    <w:p w14:paraId="2F0227BD" w14:textId="77777777" w:rsidR="00F5289E" w:rsidRDefault="00F5289E">
      <w:pPr>
        <w:snapToGrid w:val="0"/>
        <w:spacing w:line="360" w:lineRule="auto"/>
        <w:jc w:val="center"/>
        <w:rPr>
          <w:b/>
          <w:szCs w:val="21"/>
        </w:rPr>
      </w:pPr>
    </w:p>
    <w:p w14:paraId="00BB4CCA"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460"/>
        <w:gridCol w:w="3346"/>
      </w:tblGrid>
      <w:tr w:rsidR="00F5289E" w14:paraId="175C2C9F" w14:textId="77777777">
        <w:tc>
          <w:tcPr>
            <w:tcW w:w="1738" w:type="pct"/>
          </w:tcPr>
          <w:p w14:paraId="2C7D8DAB"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Theme="minorEastAsia" w:eastAsiaTheme="minorEastAsia" w:hAnsiTheme="minorEastAsia"/>
                <w:szCs w:val="21"/>
              </w:rPr>
              <w:t>19011149</w:t>
            </w:r>
          </w:p>
        </w:tc>
        <w:tc>
          <w:tcPr>
            <w:tcW w:w="1382" w:type="pct"/>
          </w:tcPr>
          <w:p w14:paraId="67B09A02" w14:textId="77777777" w:rsidR="00F5289E" w:rsidRDefault="00C91173">
            <w:pPr>
              <w:spacing w:line="300" w:lineRule="auto"/>
              <w:rPr>
                <w:rFonts w:ascii="宋体" w:hAnsi="宋体"/>
                <w:b/>
                <w:bCs/>
                <w:szCs w:val="21"/>
              </w:rPr>
            </w:pPr>
            <w:r>
              <w:rPr>
                <w:rFonts w:ascii="宋体" w:hAnsi="宋体" w:hint="eastAsia"/>
                <w:b/>
                <w:bCs/>
                <w:szCs w:val="21"/>
              </w:rPr>
              <w:t>课程总学时：32</w:t>
            </w:r>
          </w:p>
        </w:tc>
        <w:tc>
          <w:tcPr>
            <w:tcW w:w="1881" w:type="pct"/>
          </w:tcPr>
          <w:p w14:paraId="7D112F9A" w14:textId="5088FD9C"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szCs w:val="21"/>
              </w:rPr>
              <w:t>0</w:t>
            </w:r>
          </w:p>
        </w:tc>
      </w:tr>
      <w:tr w:rsidR="00F5289E" w14:paraId="31EDF8A9" w14:textId="77777777">
        <w:tc>
          <w:tcPr>
            <w:tcW w:w="1738" w:type="pct"/>
          </w:tcPr>
          <w:p w14:paraId="46288509"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ascii="宋体" w:hAnsi="宋体" w:hint="eastAsia"/>
                <w:szCs w:val="21"/>
              </w:rPr>
              <w:t>选修</w:t>
            </w:r>
          </w:p>
        </w:tc>
        <w:tc>
          <w:tcPr>
            <w:tcW w:w="1382" w:type="pct"/>
          </w:tcPr>
          <w:p w14:paraId="1B8489BB"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bCs/>
                <w:szCs w:val="21"/>
              </w:rPr>
              <w:t>创业教育类</w:t>
            </w:r>
          </w:p>
        </w:tc>
        <w:tc>
          <w:tcPr>
            <w:tcW w:w="1881" w:type="pct"/>
          </w:tcPr>
          <w:p w14:paraId="46A48E25"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第4学期</w:t>
            </w:r>
          </w:p>
        </w:tc>
      </w:tr>
      <w:tr w:rsidR="00F5289E" w14:paraId="08BAFA91" w14:textId="77777777">
        <w:tc>
          <w:tcPr>
            <w:tcW w:w="1738" w:type="pct"/>
          </w:tcPr>
          <w:p w14:paraId="11692F5C"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焦健</w:t>
            </w:r>
          </w:p>
        </w:tc>
        <w:tc>
          <w:tcPr>
            <w:tcW w:w="1382" w:type="pct"/>
          </w:tcPr>
          <w:p w14:paraId="0B4A863C"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葡萄栽培与利用团队</w:t>
            </w:r>
          </w:p>
        </w:tc>
        <w:tc>
          <w:tcPr>
            <w:tcW w:w="1881" w:type="pct"/>
          </w:tcPr>
          <w:p w14:paraId="450C6CE9"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szCs w:val="21"/>
              </w:rPr>
              <w:t>中文</w:t>
            </w:r>
          </w:p>
        </w:tc>
      </w:tr>
      <w:tr w:rsidR="00F5289E" w14:paraId="00CCCCE0" w14:textId="77777777">
        <w:tc>
          <w:tcPr>
            <w:tcW w:w="5000" w:type="pct"/>
            <w:gridSpan w:val="3"/>
          </w:tcPr>
          <w:p w14:paraId="082B50F0" w14:textId="77777777" w:rsidR="00F5289E" w:rsidRDefault="00C91173">
            <w:pPr>
              <w:spacing w:line="300" w:lineRule="auto"/>
              <w:ind w:rightChars="-81" w:right="-170"/>
              <w:rPr>
                <w:rFonts w:ascii="宋体" w:eastAsiaTheme="minorEastAsia" w:hAnsi="宋体"/>
                <w:bCs/>
                <w:color w:val="0000FF"/>
                <w:szCs w:val="21"/>
              </w:rPr>
            </w:pPr>
            <w:r>
              <w:rPr>
                <w:rFonts w:ascii="宋体" w:hAnsi="宋体" w:hint="eastAsia"/>
                <w:b/>
                <w:bCs/>
                <w:szCs w:val="21"/>
              </w:rPr>
              <w:t>适用专业：</w:t>
            </w:r>
            <w:r>
              <w:rPr>
                <w:rFonts w:ascii="宋体" w:hAnsi="宋体" w:hint="eastAsia"/>
                <w:szCs w:val="21"/>
              </w:rPr>
              <w:t>设施农业科学与工程专业、茶学专业</w:t>
            </w:r>
          </w:p>
        </w:tc>
      </w:tr>
      <w:tr w:rsidR="00F5289E" w14:paraId="600F21C8" w14:textId="77777777">
        <w:tc>
          <w:tcPr>
            <w:tcW w:w="5000" w:type="pct"/>
            <w:gridSpan w:val="3"/>
          </w:tcPr>
          <w:p w14:paraId="4BDC5E01" w14:textId="77777777" w:rsidR="00F5289E" w:rsidRDefault="00C91173">
            <w:pPr>
              <w:spacing w:line="300" w:lineRule="auto"/>
              <w:rPr>
                <w:rFonts w:ascii="宋体" w:eastAsiaTheme="minorEastAsia" w:hAnsi="宋体"/>
                <w:b/>
                <w:bCs/>
                <w:szCs w:val="21"/>
              </w:rPr>
            </w:pPr>
            <w:r>
              <w:rPr>
                <w:rFonts w:ascii="宋体" w:hAnsi="宋体" w:hint="eastAsia"/>
                <w:b/>
                <w:bCs/>
                <w:szCs w:val="21"/>
              </w:rPr>
              <w:t>对先修的要求：</w:t>
            </w:r>
            <w:r>
              <w:rPr>
                <w:rFonts w:ascii="宋体" w:hAnsi="宋体" w:hint="eastAsia"/>
                <w:szCs w:val="21"/>
              </w:rPr>
              <w:t>掌握基本的化学知识，了解常规的化学反应；了解葡萄的栽培与生理，掌握农产品加工方面的知识。对先修课程的要求：</w:t>
            </w:r>
            <w:r>
              <w:rPr>
                <w:rFonts w:asciiTheme="minorEastAsia" w:eastAsiaTheme="minorEastAsia" w:hAnsiTheme="minorEastAsia" w:hint="eastAsia"/>
                <w:szCs w:val="21"/>
              </w:rPr>
              <w:t>植物学</w:t>
            </w:r>
            <w:r>
              <w:rPr>
                <w:rFonts w:asciiTheme="minorEastAsia" w:eastAsiaTheme="minorEastAsia" w:hAnsiTheme="minorEastAsia"/>
                <w:szCs w:val="21"/>
              </w:rPr>
              <w:t>、</w:t>
            </w:r>
            <w:r>
              <w:rPr>
                <w:rFonts w:asciiTheme="minorEastAsia" w:eastAsiaTheme="minorEastAsia" w:hAnsiTheme="minorEastAsia" w:hint="eastAsia"/>
                <w:szCs w:val="21"/>
              </w:rPr>
              <w:t>果树栽培学，农产品加工与利用。</w:t>
            </w:r>
          </w:p>
        </w:tc>
      </w:tr>
      <w:tr w:rsidR="00F5289E" w14:paraId="0D37545F" w14:textId="77777777">
        <w:tc>
          <w:tcPr>
            <w:tcW w:w="5000" w:type="pct"/>
            <w:gridSpan w:val="3"/>
          </w:tcPr>
          <w:p w14:paraId="3F8FDDA8"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szCs w:val="21"/>
              </w:rPr>
              <w:t>对后续《园艺产品营销学》中的园艺产品营销等起到引导学习和理论支撑。</w:t>
            </w:r>
          </w:p>
        </w:tc>
      </w:tr>
      <w:tr w:rsidR="00F5289E" w14:paraId="0CB1B6E6" w14:textId="77777777">
        <w:tc>
          <w:tcPr>
            <w:tcW w:w="1738" w:type="pct"/>
          </w:tcPr>
          <w:p w14:paraId="1EAC67ED"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焦健，万然，王磊</w:t>
            </w:r>
          </w:p>
        </w:tc>
        <w:tc>
          <w:tcPr>
            <w:tcW w:w="1382" w:type="pct"/>
          </w:tcPr>
          <w:p w14:paraId="571BB767"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Theme="minorEastAsia" w:eastAsiaTheme="minorEastAsia" w:hAnsiTheme="minorEastAsia" w:hint="eastAsia"/>
                <w:szCs w:val="21"/>
              </w:rPr>
              <w:t>吴国良</w:t>
            </w:r>
          </w:p>
        </w:tc>
        <w:tc>
          <w:tcPr>
            <w:tcW w:w="1881" w:type="pct"/>
          </w:tcPr>
          <w:p w14:paraId="5D57CF1F"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202</w:t>
            </w:r>
            <w:r w:rsidR="00E73F67">
              <w:rPr>
                <w:rFonts w:ascii="宋体" w:hAnsi="宋体"/>
                <w:szCs w:val="21"/>
              </w:rPr>
              <w:t>3.05</w:t>
            </w:r>
          </w:p>
        </w:tc>
      </w:tr>
    </w:tbl>
    <w:p w14:paraId="18C258D8" w14:textId="77777777" w:rsidR="00F5289E" w:rsidRDefault="00F5289E">
      <w:pPr>
        <w:widowControl/>
        <w:snapToGrid w:val="0"/>
        <w:spacing w:line="360" w:lineRule="auto"/>
        <w:jc w:val="left"/>
        <w:rPr>
          <w:rFonts w:hAnsi="宋体"/>
          <w:b/>
          <w:bCs/>
          <w:kern w:val="0"/>
          <w:szCs w:val="21"/>
        </w:rPr>
      </w:pPr>
    </w:p>
    <w:p w14:paraId="72D70E4A"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3F4C1316" w14:textId="77777777" w:rsidR="00F5289E" w:rsidRDefault="00C91173">
      <w:pPr>
        <w:spacing w:line="360" w:lineRule="auto"/>
        <w:ind w:firstLineChars="200" w:firstLine="420"/>
      </w:pPr>
      <w:r>
        <w:t>《葡萄酒</w:t>
      </w:r>
      <w:r>
        <w:rPr>
          <w:rFonts w:hint="eastAsia"/>
        </w:rPr>
        <w:t>文化</w:t>
      </w:r>
      <w:r>
        <w:t>》主要讲述葡萄酒品尝过程中所涉及的基本理论和技术，葡萄酒类型特点以及不同产区葡萄酒典型风格等，是设施农业</w:t>
      </w:r>
      <w:r>
        <w:rPr>
          <w:rFonts w:hint="eastAsia"/>
        </w:rPr>
        <w:t>科学</w:t>
      </w:r>
      <w:r>
        <w:t>与工程和茶学专业本科选修课之一。本门课程主要目的和任务是通过对葡萄酒起源、产区、文化内涵、饮用习惯的讲解，使学生能够掌握葡萄酒文化的基础知识；学习葡萄酒的外观、品种分类、等级、品酒技巧、菜肴搭配以及侍酒流程等品鉴过程，全面掌握葡萄酒鉴别和品酒的方法。通过对学生的各种感觉能力的训练，提高他们的感觉敏锐度，并采用葡萄酒品尝的基本理论和方法，去鉴别葡萄酒的品质，提高感知鉴赏能力，为学生进一步在各专业深造开拓知识。</w:t>
      </w:r>
    </w:p>
    <w:p w14:paraId="6485038A"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5DE5A916" w14:textId="77777777" w:rsidR="00F5289E" w:rsidRDefault="00C91173">
      <w:pPr>
        <w:widowControl/>
        <w:snapToGrid w:val="0"/>
        <w:spacing w:line="360" w:lineRule="auto"/>
        <w:ind w:firstLineChars="200" w:firstLine="420"/>
        <w:jc w:val="left"/>
        <w:rPr>
          <w:b/>
          <w:bCs/>
          <w:strike/>
          <w:color w:val="FF0000"/>
          <w:kern w:val="0"/>
          <w:szCs w:val="21"/>
        </w:rPr>
      </w:pPr>
      <w:r>
        <w:rPr>
          <w:rFonts w:hAnsi="宋体"/>
          <w:kern w:val="0"/>
          <w:szCs w:val="21"/>
        </w:rPr>
        <w:t>理论知识方面：</w:t>
      </w:r>
      <w:r>
        <w:t>通过本课程各个教学环节，要求学生</w:t>
      </w:r>
      <w:r>
        <w:rPr>
          <w:rFonts w:hAnsi="宋体"/>
          <w:color w:val="272C30"/>
        </w:rPr>
        <w:t>理解葡萄酒的历史与宗教的关系，以及新旧世界葡萄酒生产国概况；</w:t>
      </w:r>
      <w:r>
        <w:rPr>
          <w:rFonts w:hAnsi="宋体"/>
        </w:rPr>
        <w:t>熟练掌握酿酒葡萄品种的分类及其特性；了解</w:t>
      </w:r>
      <w:r>
        <w:rPr>
          <w:rFonts w:hAnsi="宋体"/>
          <w:color w:val="272C30"/>
        </w:rPr>
        <w:t>现代工业葡萄酒酿造工艺，发酵前的准备；理解干红、干白、甜型、气泡、加强葡萄酒的酿造工艺；掌握家庭葡萄酒酿造简单工艺；</w:t>
      </w:r>
      <w:r>
        <w:rPr>
          <w:rFonts w:hAnsi="宋体"/>
          <w:color w:val="000000"/>
        </w:rPr>
        <w:t>理解和掌握</w:t>
      </w:r>
      <w:r>
        <w:rPr>
          <w:rFonts w:hAnsi="宋体"/>
          <w:color w:val="272C30"/>
        </w:rPr>
        <w:t>产区的概念；掌握中国主要葡萄酒产区分布；熟练掌握新旧世界葡萄酒的风格差异；</w:t>
      </w:r>
      <w:r>
        <w:rPr>
          <w:rFonts w:hAnsi="宋体"/>
          <w:color w:val="000000"/>
        </w:rPr>
        <w:t>掌握国外</w:t>
      </w:r>
      <w:r>
        <w:rPr>
          <w:rFonts w:hAnsi="宋体"/>
          <w:color w:val="272C30"/>
        </w:rPr>
        <w:t>葡萄酒庄园文化、法律条例，法国葡萄酒主要产区、名庄、名品以及等级制度；理解意大利、西班牙葡萄酒等级制度；理解并掌握旧世界葡萄酒酒标；掌握葡萄酒的侍酒法；掌握葡萄酒的选购和餐饮搭配；掌握葡萄酒品评前的准备，外观分析，香气分析，口感分析等。</w:t>
      </w:r>
    </w:p>
    <w:p w14:paraId="4E9496AB"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35650A9E"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005529D7" w14:textId="77777777" w:rsidR="00F5289E" w:rsidRDefault="00C91173">
      <w:pPr>
        <w:widowControl/>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保证实现培养目标的前提下，借助现代多媒体教学工具，通过学习通、钉钉等教学软件实现线上线下结合式教学，充分发挥启发式教学，探究式教学、引导式教学、示范性教学等教学方法的优势。实践教学方面，积极创造条件，组织学生品酒，参观酒庄等，提升学生的创新精神和实践能力。根据不同教学目标，采用不同的考核方式进行教学评价，促进学生学习能力的全面发展。</w:t>
      </w:r>
    </w:p>
    <w:p w14:paraId="5E32D9CC" w14:textId="77777777" w:rsidR="00F5289E" w:rsidRDefault="00C91173">
      <w:pPr>
        <w:widowControl/>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理论课（</w:t>
      </w:r>
      <w:r>
        <w:rPr>
          <w:rFonts w:asciiTheme="minorEastAsia" w:eastAsiaTheme="minorEastAsia" w:hAnsiTheme="minorEastAsia"/>
          <w:szCs w:val="21"/>
        </w:rPr>
        <w:t>16</w:t>
      </w:r>
      <w:r>
        <w:rPr>
          <w:rFonts w:asciiTheme="minorEastAsia" w:eastAsiaTheme="minorEastAsia" w:hAnsiTheme="minorEastAsia" w:hint="eastAsia"/>
          <w:szCs w:val="21"/>
        </w:rPr>
        <w:t>学时）：葡萄酒的起源和分类；红葡萄酒，白葡萄酒，起泡酒等不同酒种的品鉴方法；葡萄酒的酿造工艺；不同产区葡萄酒的特点。</w:t>
      </w:r>
    </w:p>
    <w:p w14:paraId="5FDA45E5"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4038C75F"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3B841C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EC1269E"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2F370B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724A9523" w14:textId="77777777">
        <w:trPr>
          <w:trHeight w:val="748"/>
          <w:jc w:val="center"/>
        </w:trPr>
        <w:tc>
          <w:tcPr>
            <w:tcW w:w="999" w:type="dxa"/>
            <w:tcBorders>
              <w:top w:val="single" w:sz="4" w:space="0" w:color="auto"/>
              <w:left w:val="single" w:sz="4" w:space="0" w:color="auto"/>
              <w:bottom w:val="single" w:sz="4" w:space="0" w:color="auto"/>
              <w:right w:val="single" w:sz="4" w:space="0" w:color="auto"/>
            </w:tcBorders>
            <w:vAlign w:val="center"/>
          </w:tcPr>
          <w:p w14:paraId="5D4550A4"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47338835"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18"/>
              </w:rPr>
              <w:t>目标</w:t>
            </w:r>
            <w:r>
              <w:rPr>
                <w:rFonts w:eastAsiaTheme="minorEastAsia" w:hAnsiTheme="minorEastAsia" w:hint="eastAsia"/>
                <w:sz w:val="18"/>
                <w:szCs w:val="18"/>
              </w:rPr>
              <w:t>1</w:t>
            </w:r>
            <w:r>
              <w:rPr>
                <w:rFonts w:eastAsiaTheme="minorEastAsia" w:hAnsiTheme="minorEastAsia" w:hint="eastAsia"/>
                <w:sz w:val="18"/>
                <w:szCs w:val="18"/>
              </w:rPr>
              <w:t>：使学生熟练掌握酿酒葡萄品种的分类及其特性。</w:t>
            </w:r>
          </w:p>
        </w:tc>
        <w:tc>
          <w:tcPr>
            <w:tcW w:w="1052" w:type="dxa"/>
            <w:tcBorders>
              <w:top w:val="single" w:sz="4" w:space="0" w:color="auto"/>
              <w:left w:val="single" w:sz="4" w:space="0" w:color="auto"/>
              <w:bottom w:val="single" w:sz="4" w:space="0" w:color="auto"/>
              <w:right w:val="single" w:sz="4" w:space="0" w:color="auto"/>
            </w:tcBorders>
            <w:vAlign w:val="center"/>
          </w:tcPr>
          <w:p w14:paraId="1EFD30EC"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r>
      <w:tr w:rsidR="00F5289E" w14:paraId="1E044DF0" w14:textId="77777777">
        <w:trPr>
          <w:trHeight w:val="635"/>
          <w:jc w:val="center"/>
        </w:trPr>
        <w:tc>
          <w:tcPr>
            <w:tcW w:w="999" w:type="dxa"/>
            <w:tcBorders>
              <w:top w:val="single" w:sz="4" w:space="0" w:color="auto"/>
              <w:left w:val="single" w:sz="4" w:space="0" w:color="auto"/>
              <w:bottom w:val="single" w:sz="4" w:space="0" w:color="auto"/>
              <w:right w:val="single" w:sz="4" w:space="0" w:color="auto"/>
            </w:tcBorders>
            <w:vAlign w:val="center"/>
          </w:tcPr>
          <w:p w14:paraId="324863E4"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1E2CE531" w14:textId="77777777" w:rsidR="00F5289E" w:rsidRDefault="00C91173">
            <w:pPr>
              <w:spacing w:line="320" w:lineRule="exact"/>
              <w:jc w:val="left"/>
              <w:rPr>
                <w:rFonts w:eastAsiaTheme="minorEastAsia" w:hAnsiTheme="minorEastAsia"/>
                <w:sz w:val="18"/>
                <w:szCs w:val="18"/>
                <w:highlight w:val="yellow"/>
              </w:rPr>
            </w:pPr>
            <w:r>
              <w:rPr>
                <w:rFonts w:eastAsiaTheme="minorEastAsia" w:hAnsiTheme="minorEastAsia" w:hint="eastAsia"/>
                <w:sz w:val="18"/>
                <w:szCs w:val="18"/>
              </w:rPr>
              <w:t>目标</w:t>
            </w:r>
            <w:r>
              <w:rPr>
                <w:rFonts w:eastAsiaTheme="minorEastAsia" w:hAnsiTheme="minorEastAsia" w:hint="eastAsia"/>
                <w:sz w:val="18"/>
                <w:szCs w:val="18"/>
              </w:rPr>
              <w:t>2</w:t>
            </w:r>
            <w:r>
              <w:rPr>
                <w:rFonts w:eastAsiaTheme="minorEastAsia" w:hAnsiTheme="minorEastAsia" w:hint="eastAsia"/>
                <w:sz w:val="18"/>
                <w:szCs w:val="18"/>
              </w:rPr>
              <w:t>：使学生合理利用品酒技巧，对葡萄酒进行外观分析，香气分析，口感分析等。</w:t>
            </w:r>
          </w:p>
        </w:tc>
        <w:tc>
          <w:tcPr>
            <w:tcW w:w="1052" w:type="dxa"/>
            <w:tcBorders>
              <w:top w:val="single" w:sz="4" w:space="0" w:color="auto"/>
              <w:left w:val="single" w:sz="4" w:space="0" w:color="auto"/>
              <w:bottom w:val="single" w:sz="4" w:space="0" w:color="auto"/>
              <w:right w:val="single" w:sz="4" w:space="0" w:color="auto"/>
            </w:tcBorders>
            <w:vAlign w:val="center"/>
          </w:tcPr>
          <w:p w14:paraId="3B614797"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p>
        </w:tc>
      </w:tr>
      <w:tr w:rsidR="00F5289E" w14:paraId="72385D9B" w14:textId="77777777">
        <w:trPr>
          <w:trHeight w:val="741"/>
          <w:jc w:val="center"/>
        </w:trPr>
        <w:tc>
          <w:tcPr>
            <w:tcW w:w="999" w:type="dxa"/>
            <w:tcBorders>
              <w:top w:val="single" w:sz="4" w:space="0" w:color="auto"/>
              <w:left w:val="single" w:sz="4" w:space="0" w:color="auto"/>
              <w:bottom w:val="single" w:sz="4" w:space="0" w:color="auto"/>
              <w:right w:val="single" w:sz="4" w:space="0" w:color="auto"/>
            </w:tcBorders>
            <w:vAlign w:val="center"/>
          </w:tcPr>
          <w:p w14:paraId="262EC11D"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6AB32F9A" w14:textId="77777777" w:rsidR="00F5289E" w:rsidRDefault="00C91173">
            <w:pPr>
              <w:spacing w:line="320" w:lineRule="exact"/>
              <w:jc w:val="left"/>
              <w:rPr>
                <w:rFonts w:eastAsiaTheme="minorEastAsia"/>
                <w:sz w:val="18"/>
                <w:szCs w:val="18"/>
              </w:rPr>
            </w:pPr>
            <w:r>
              <w:rPr>
                <w:rFonts w:eastAsiaTheme="minorEastAsia" w:hint="eastAsia"/>
                <w:sz w:val="18"/>
                <w:szCs w:val="18"/>
              </w:rPr>
              <w:t>目标</w:t>
            </w:r>
            <w:r>
              <w:rPr>
                <w:rFonts w:eastAsiaTheme="minorEastAsia" w:hint="eastAsia"/>
                <w:sz w:val="18"/>
                <w:szCs w:val="18"/>
              </w:rPr>
              <w:t>3</w:t>
            </w:r>
            <w:r>
              <w:rPr>
                <w:rFonts w:eastAsiaTheme="minorEastAsia" w:hint="eastAsia"/>
                <w:sz w:val="18"/>
                <w:szCs w:val="18"/>
              </w:rPr>
              <w:t>：通过课程学习，使学生掌握不同类型葡萄酒的酿造方法，可以在家简单自酿葡萄酒。</w:t>
            </w:r>
          </w:p>
        </w:tc>
        <w:tc>
          <w:tcPr>
            <w:tcW w:w="1052" w:type="dxa"/>
            <w:tcBorders>
              <w:top w:val="single" w:sz="4" w:space="0" w:color="auto"/>
              <w:left w:val="single" w:sz="4" w:space="0" w:color="auto"/>
              <w:bottom w:val="single" w:sz="4" w:space="0" w:color="auto"/>
              <w:right w:val="single" w:sz="4" w:space="0" w:color="auto"/>
            </w:tcBorders>
            <w:vAlign w:val="center"/>
          </w:tcPr>
          <w:p w14:paraId="77361E61" w14:textId="77777777" w:rsidR="00F5289E" w:rsidRDefault="00C91173">
            <w:pPr>
              <w:spacing w:line="320" w:lineRule="exact"/>
              <w:jc w:val="center"/>
              <w:rPr>
                <w:rFonts w:eastAsiaTheme="minorEastAsia"/>
                <w:sz w:val="18"/>
                <w:szCs w:val="18"/>
              </w:rPr>
            </w:pPr>
            <w:r>
              <w:rPr>
                <w:rFonts w:eastAsiaTheme="minorEastAsia" w:hint="eastAsia"/>
                <w:sz w:val="18"/>
                <w:szCs w:val="18"/>
              </w:rPr>
              <w:t>6</w:t>
            </w:r>
          </w:p>
        </w:tc>
      </w:tr>
    </w:tbl>
    <w:p w14:paraId="776BF293" w14:textId="77777777" w:rsidR="00F5289E" w:rsidRDefault="00F5289E">
      <w:pPr>
        <w:spacing w:line="360" w:lineRule="auto"/>
        <w:ind w:firstLineChars="200" w:firstLine="420"/>
        <w:rPr>
          <w:rFonts w:hAnsi="宋体"/>
          <w:bCs/>
          <w:color w:val="0000FF"/>
          <w:kern w:val="0"/>
          <w:szCs w:val="21"/>
        </w:rPr>
      </w:pPr>
    </w:p>
    <w:p w14:paraId="0345E791"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16</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811F84D" w14:textId="77777777">
        <w:trPr>
          <w:trHeight w:val="270"/>
        </w:trPr>
        <w:tc>
          <w:tcPr>
            <w:tcW w:w="2965" w:type="dxa"/>
            <w:tcBorders>
              <w:top w:val="nil"/>
              <w:left w:val="nil"/>
              <w:bottom w:val="nil"/>
              <w:right w:val="nil"/>
            </w:tcBorders>
            <w:vAlign w:val="center"/>
          </w:tcPr>
          <w:p w14:paraId="2BD16A63"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BEB211A"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b/>
                <w:bCs/>
                <w:kern w:val="0"/>
                <w:szCs w:val="21"/>
              </w:rPr>
              <w:t>葡萄酒的起源和分类</w:t>
            </w:r>
          </w:p>
        </w:tc>
        <w:tc>
          <w:tcPr>
            <w:tcW w:w="2966" w:type="dxa"/>
            <w:tcBorders>
              <w:top w:val="nil"/>
              <w:left w:val="nil"/>
              <w:bottom w:val="nil"/>
              <w:right w:val="nil"/>
            </w:tcBorders>
            <w:vAlign w:val="center"/>
          </w:tcPr>
          <w:p w14:paraId="2661915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346F43D7" w14:textId="77777777" w:rsidR="00F5289E" w:rsidRDefault="00C91173">
      <w:pPr>
        <w:widowControl/>
        <w:snapToGrid w:val="0"/>
        <w:spacing w:line="360" w:lineRule="auto"/>
        <w:rPr>
          <w:rFonts w:asciiTheme="minorEastAsia" w:eastAsiaTheme="minorEastAsia" w:hAnsiTheme="minorEastAsia"/>
          <w:szCs w:val="21"/>
        </w:rPr>
      </w:pPr>
      <w:r>
        <w:rPr>
          <w:rFonts w:ascii="宋体" w:hAnsi="宋体" w:hint="eastAsia"/>
          <w:b/>
          <w:bCs/>
        </w:rPr>
        <w:t>教学目标：</w:t>
      </w:r>
      <w:r>
        <w:rPr>
          <w:rFonts w:hAnsi="宋体"/>
          <w:color w:val="272C30"/>
        </w:rPr>
        <w:t>本章以具体事例讲解葡萄酒的起源、传说和种类，通过学习葡萄酒发展状况，使学生对中外葡萄酒行业产生整体认识。</w:t>
      </w:r>
    </w:p>
    <w:p w14:paraId="2B8A6CD8" w14:textId="77777777" w:rsidR="00F5289E" w:rsidRDefault="00C91173">
      <w:pPr>
        <w:widowControl/>
        <w:snapToGrid w:val="0"/>
        <w:spacing w:line="360" w:lineRule="auto"/>
        <w:rPr>
          <w:rFonts w:asciiTheme="minorEastAsia" w:eastAsiaTheme="minorEastAsia" w:hAnsiTheme="minorEastAsia"/>
          <w:szCs w:val="21"/>
        </w:rPr>
      </w:pPr>
      <w:r>
        <w:rPr>
          <w:rFonts w:ascii="宋体" w:hAnsi="宋体" w:hint="eastAsia"/>
          <w:b/>
          <w:bCs/>
        </w:rPr>
        <w:t>教学重点和难点：</w:t>
      </w:r>
      <w:r>
        <w:rPr>
          <w:rFonts w:hAnsi="宋体"/>
          <w:color w:val="272C30"/>
        </w:rPr>
        <w:t>葡萄酒的定义和分类标准，葡萄酒营养功能成分。</w:t>
      </w:r>
    </w:p>
    <w:p w14:paraId="787E56DC" w14:textId="77777777" w:rsidR="00F5289E" w:rsidRDefault="00C91173">
      <w:pPr>
        <w:spacing w:line="360" w:lineRule="auto"/>
        <w:rPr>
          <w:color w:val="272C30"/>
        </w:rPr>
      </w:pPr>
      <w:r>
        <w:rPr>
          <w:rFonts w:ascii="宋体" w:hAnsi="宋体" w:hint="eastAsia"/>
          <w:b/>
        </w:rPr>
        <w:t>主要教学内容及要求：</w:t>
      </w:r>
      <w:r>
        <w:rPr>
          <w:rFonts w:hAnsi="宋体"/>
          <w:color w:val="272C30"/>
        </w:rPr>
        <w:t>了解开设本课程的意义；理解葡萄酒的历史与宗教的关系，以及新旧世界葡萄酒生产国概况；掌握葡萄酒中主要的营养功能成分及作用；熟练掌握葡萄酒的定义和分类方法。</w:t>
      </w:r>
    </w:p>
    <w:p w14:paraId="21D71F33" w14:textId="77777777" w:rsidR="00F5289E" w:rsidRDefault="00C91173">
      <w:pPr>
        <w:widowControl/>
        <w:snapToGrid w:val="0"/>
        <w:spacing w:line="360" w:lineRule="auto"/>
        <w:rPr>
          <w:rFonts w:ascii="宋体" w:hAnsi="宋体"/>
          <w:bCs/>
        </w:rPr>
      </w:pPr>
      <w:r>
        <w:rPr>
          <w:rFonts w:ascii="宋体" w:hAnsi="宋体" w:hint="eastAsia"/>
          <w:bCs/>
        </w:rPr>
        <w:t>第一节  葡萄酒起源与历史</w:t>
      </w:r>
    </w:p>
    <w:p w14:paraId="54D4A2F2" w14:textId="77777777" w:rsidR="00F5289E" w:rsidRDefault="00C91173">
      <w:pPr>
        <w:widowControl/>
        <w:snapToGrid w:val="0"/>
        <w:spacing w:line="360" w:lineRule="auto"/>
        <w:rPr>
          <w:rFonts w:ascii="宋体" w:hAnsi="宋体"/>
          <w:bCs/>
        </w:rPr>
      </w:pPr>
      <w:r>
        <w:rPr>
          <w:rFonts w:ascii="宋体" w:hAnsi="宋体" w:hint="eastAsia"/>
          <w:bCs/>
        </w:rPr>
        <w:t xml:space="preserve">第二节  </w:t>
      </w:r>
      <w:r>
        <w:rPr>
          <w:rFonts w:ascii="宋体" w:hAnsi="宋体"/>
          <w:bCs/>
        </w:rPr>
        <w:t>葡萄酒定义和分类</w:t>
      </w:r>
    </w:p>
    <w:p w14:paraId="7C7BF953" w14:textId="77777777" w:rsidR="00F5289E" w:rsidRDefault="00C91173">
      <w:pPr>
        <w:widowControl/>
        <w:snapToGrid w:val="0"/>
        <w:spacing w:line="360" w:lineRule="auto"/>
        <w:rPr>
          <w:rFonts w:hAnsi="宋体"/>
        </w:rPr>
      </w:pPr>
      <w:r>
        <w:rPr>
          <w:rFonts w:ascii="宋体" w:hAnsi="宋体" w:hint="eastAsia"/>
          <w:bCs/>
        </w:rPr>
        <w:t xml:space="preserve">第三节  </w:t>
      </w:r>
      <w:r>
        <w:rPr>
          <w:rFonts w:hAnsi="宋体"/>
        </w:rPr>
        <w:t>葡萄酒营养功能成分</w:t>
      </w:r>
    </w:p>
    <w:p w14:paraId="3B18D612" w14:textId="77777777" w:rsidR="00F5289E" w:rsidRDefault="00C91173">
      <w:pPr>
        <w:widowControl/>
        <w:snapToGrid w:val="0"/>
        <w:spacing w:line="360" w:lineRule="auto"/>
        <w:rPr>
          <w:rFonts w:ascii="宋体" w:hAnsi="宋体"/>
        </w:rPr>
      </w:pPr>
      <w:r>
        <w:rPr>
          <w:rFonts w:hint="eastAsia"/>
        </w:rPr>
        <w:t>第四节</w:t>
      </w:r>
      <w:r>
        <w:rPr>
          <w:rFonts w:hint="eastAsia"/>
        </w:rPr>
        <w:t xml:space="preserve"> </w:t>
      </w:r>
      <w:r>
        <w:rPr>
          <w:rFonts w:hAnsi="宋体"/>
        </w:rPr>
        <w:t>中外葡萄酒发展概况</w:t>
      </w:r>
    </w:p>
    <w:p w14:paraId="42D94030"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FD4A4B5" w14:textId="77777777">
        <w:trPr>
          <w:trHeight w:val="270"/>
        </w:trPr>
        <w:tc>
          <w:tcPr>
            <w:tcW w:w="2965" w:type="dxa"/>
            <w:tcBorders>
              <w:top w:val="nil"/>
              <w:left w:val="nil"/>
              <w:bottom w:val="nil"/>
              <w:right w:val="nil"/>
            </w:tcBorders>
            <w:vAlign w:val="center"/>
          </w:tcPr>
          <w:p w14:paraId="23804E80"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C504EE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b/>
                <w:bCs/>
                <w:kern w:val="0"/>
                <w:szCs w:val="21"/>
              </w:rPr>
              <w:t>酿酒葡萄品种概况</w:t>
            </w:r>
          </w:p>
        </w:tc>
        <w:tc>
          <w:tcPr>
            <w:tcW w:w="2966" w:type="dxa"/>
            <w:tcBorders>
              <w:top w:val="nil"/>
              <w:left w:val="nil"/>
              <w:bottom w:val="nil"/>
              <w:right w:val="nil"/>
            </w:tcBorders>
            <w:vAlign w:val="center"/>
          </w:tcPr>
          <w:p w14:paraId="7FEFDBE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BBF819C"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
          <w:szCs w:val="21"/>
        </w:rPr>
        <w:t>教学目标：</w:t>
      </w:r>
      <w:r>
        <w:rPr>
          <w:rFonts w:hAnsi="宋体"/>
        </w:rPr>
        <w:t>通过本章学习，使学生了解葡萄属植物的起源和分类，识记主要的酿酒葡萄品种分类和特性，初步学会葡萄园栽培管理措施，能通过葡萄品种对一款葡萄酒的特点进行初步预判</w:t>
      </w:r>
      <w:r>
        <w:rPr>
          <w:rFonts w:asciiTheme="minorEastAsia" w:eastAsiaTheme="minorEastAsia" w:hAnsiTheme="minorEastAsia" w:hint="eastAsia"/>
          <w:bCs/>
          <w:szCs w:val="21"/>
        </w:rPr>
        <w:t>。</w:t>
      </w:r>
    </w:p>
    <w:p w14:paraId="4CDBE695" w14:textId="77777777" w:rsidR="00F5289E" w:rsidRDefault="00C91173">
      <w:pPr>
        <w:spacing w:line="360" w:lineRule="auto"/>
        <w:rPr>
          <w:rFonts w:asciiTheme="minorEastAsia" w:eastAsiaTheme="minorEastAsia" w:hAnsiTheme="minorEastAsia"/>
          <w:szCs w:val="21"/>
        </w:rPr>
      </w:pPr>
      <w:r>
        <w:rPr>
          <w:rFonts w:asciiTheme="minorEastAsia" w:eastAsiaTheme="minorEastAsia" w:hAnsiTheme="minorEastAsia" w:hint="eastAsia"/>
          <w:b/>
          <w:szCs w:val="21"/>
        </w:rPr>
        <w:t>教学重点和难点：</w:t>
      </w:r>
      <w:r>
        <w:rPr>
          <w:rFonts w:hAnsi="宋体"/>
          <w:color w:val="272C30"/>
        </w:rPr>
        <w:t>酿酒葡萄品种分类，栽培条件和葡萄园管理。</w:t>
      </w:r>
    </w:p>
    <w:p w14:paraId="2B29C2B7" w14:textId="77777777" w:rsidR="00F5289E" w:rsidRDefault="00C91173">
      <w:pPr>
        <w:pStyle w:val="a5"/>
        <w:spacing w:after="0" w:line="360" w:lineRule="auto"/>
        <w:ind w:firstLine="422"/>
        <w:rPr>
          <w:rFonts w:asciiTheme="minorEastAsia" w:eastAsiaTheme="minorEastAsia" w:hAnsiTheme="minorEastAsia"/>
          <w:b/>
          <w:bCs/>
          <w:position w:val="-1"/>
          <w:szCs w:val="21"/>
        </w:rPr>
      </w:pPr>
      <w:r>
        <w:rPr>
          <w:rFonts w:asciiTheme="minorEastAsia" w:eastAsiaTheme="minorEastAsia" w:hAnsiTheme="minorEastAsia" w:hint="eastAsia"/>
          <w:b/>
          <w:bCs/>
          <w:position w:val="-1"/>
          <w:szCs w:val="21"/>
        </w:rPr>
        <w:lastRenderedPageBreak/>
        <w:t>主要教学内容和要求：</w:t>
      </w:r>
      <w:r>
        <w:rPr>
          <w:rFonts w:hAnsi="宋体"/>
        </w:rPr>
        <w:t>了解葡萄的起源和演化历程，酿酒葡萄在葡萄属植物中的地位；</w:t>
      </w:r>
      <w:bookmarkStart w:id="97" w:name="OLE_LINK14"/>
      <w:bookmarkStart w:id="98" w:name="OLE_LINK13"/>
      <w:r>
        <w:rPr>
          <w:rFonts w:hAnsi="宋体"/>
        </w:rPr>
        <w:t>理解葡萄园地点的选择和管理以及葡萄生长的影响因素；</w:t>
      </w:r>
      <w:bookmarkEnd w:id="97"/>
      <w:bookmarkEnd w:id="98"/>
      <w:r>
        <w:rPr>
          <w:rFonts w:hAnsi="宋体"/>
        </w:rPr>
        <w:t>掌握葡萄果粒的构造和成分；熟练掌握酿酒葡萄品种的分类及其特性。</w:t>
      </w:r>
    </w:p>
    <w:p w14:paraId="7C1F9F1F"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 xml:space="preserve">第一节 </w:t>
      </w:r>
      <w:r>
        <w:rPr>
          <w:rFonts w:hAnsi="宋体"/>
        </w:rPr>
        <w:t>葡萄的起源与进化</w:t>
      </w:r>
    </w:p>
    <w:p w14:paraId="642874C0"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 xml:space="preserve">第二节 </w:t>
      </w:r>
      <w:r>
        <w:rPr>
          <w:rFonts w:hAnsi="宋体"/>
        </w:rPr>
        <w:t>世界主流酿酒葡萄品种</w:t>
      </w:r>
    </w:p>
    <w:p w14:paraId="7F13D9C4" w14:textId="77777777" w:rsidR="00F5289E" w:rsidRDefault="00C91173">
      <w:pPr>
        <w:adjustRightInd w:val="0"/>
        <w:snapToGrid w:val="0"/>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第三节</w:t>
      </w:r>
      <w:r>
        <w:rPr>
          <w:rFonts w:asciiTheme="minorEastAsia" w:eastAsiaTheme="minorEastAsia" w:hAnsiTheme="minorEastAsia" w:hint="eastAsia"/>
          <w:szCs w:val="21"/>
        </w:rPr>
        <w:t xml:space="preserve"> </w:t>
      </w:r>
      <w:r>
        <w:rPr>
          <w:rFonts w:hAnsi="宋体"/>
        </w:rPr>
        <w:t>酿酒葡萄栽培条件和管理</w:t>
      </w:r>
    </w:p>
    <w:p w14:paraId="3796233F" w14:textId="77777777" w:rsidR="00F5289E" w:rsidRDefault="00C91173">
      <w:pPr>
        <w:adjustRightInd w:val="0"/>
        <w:snapToGrid w:val="0"/>
        <w:spacing w:line="360" w:lineRule="auto"/>
        <w:rPr>
          <w:rFonts w:asciiTheme="minorEastAsia" w:eastAsiaTheme="minorEastAsia" w:hAnsiTheme="minorEastAsia"/>
          <w:szCs w:val="21"/>
        </w:rPr>
      </w:pPr>
      <w:r>
        <w:rPr>
          <w:rFonts w:hint="eastAsia"/>
        </w:rPr>
        <w:t>第四节</w:t>
      </w:r>
      <w:r>
        <w:rPr>
          <w:rFonts w:hint="eastAsia"/>
        </w:rPr>
        <w:t xml:space="preserve"> </w:t>
      </w:r>
      <w:r>
        <w:rPr>
          <w:rFonts w:hAnsi="宋体"/>
        </w:rPr>
        <w:t>影响葡萄质量和葡萄酒风格的因素</w:t>
      </w:r>
    </w:p>
    <w:p w14:paraId="15D30939" w14:textId="77777777" w:rsidR="00F5289E" w:rsidRDefault="00C9117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bCs/>
          <w:szCs w:val="21"/>
        </w:rPr>
        <w:t>教学组织与实施：</w:t>
      </w:r>
      <w:r>
        <w:rPr>
          <w:rFonts w:asciiTheme="minorEastAsia" w:eastAsiaTheme="minorEastAsia" w:hAnsiTheme="minorEastAsia" w:hint="eastAsia"/>
          <w:bCs/>
          <w:szCs w:val="21"/>
        </w:rPr>
        <w:t>以P</w:t>
      </w:r>
      <w:r>
        <w:rPr>
          <w:rFonts w:asciiTheme="minorEastAsia" w:eastAsiaTheme="minorEastAsia" w:hAnsiTheme="minorEastAsia"/>
          <w:bCs/>
          <w:szCs w:val="21"/>
        </w:rPr>
        <w:t>PT</w:t>
      </w:r>
      <w:r>
        <w:rPr>
          <w:rFonts w:asciiTheme="minorEastAsia" w:eastAsiaTheme="minorEastAsia" w:hAnsiTheme="minorEastAsia" w:hint="eastAsia"/>
          <w:bCs/>
          <w:szCs w:val="21"/>
        </w:rPr>
        <w:t>和线上教学为主，通过多媒体展示葡萄产业发展状况，吸引学生的注意力，激发学习的兴趣，然后提出问题，让学生带着问题听课，并提出可行性方案。利用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25EAE72" w14:textId="77777777">
        <w:trPr>
          <w:trHeight w:val="270"/>
        </w:trPr>
        <w:tc>
          <w:tcPr>
            <w:tcW w:w="2965" w:type="dxa"/>
            <w:tcBorders>
              <w:top w:val="nil"/>
              <w:left w:val="nil"/>
              <w:bottom w:val="nil"/>
              <w:right w:val="nil"/>
            </w:tcBorders>
            <w:vAlign w:val="center"/>
          </w:tcPr>
          <w:p w14:paraId="5C15814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00E96FB"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b/>
                <w:bCs/>
                <w:kern w:val="0"/>
                <w:szCs w:val="21"/>
              </w:rPr>
              <w:t>葡萄酒酿造工艺</w:t>
            </w:r>
          </w:p>
        </w:tc>
        <w:tc>
          <w:tcPr>
            <w:tcW w:w="2966" w:type="dxa"/>
            <w:tcBorders>
              <w:top w:val="nil"/>
              <w:left w:val="nil"/>
              <w:bottom w:val="nil"/>
              <w:right w:val="nil"/>
            </w:tcBorders>
            <w:vAlign w:val="center"/>
          </w:tcPr>
          <w:p w14:paraId="0AC2E88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355748D8" w14:textId="77777777" w:rsidR="00F5289E" w:rsidRDefault="00C91173">
      <w:pPr>
        <w:snapToGrid w:val="0"/>
        <w:spacing w:line="360" w:lineRule="auto"/>
        <w:rPr>
          <w:rFonts w:asciiTheme="minorEastAsia" w:eastAsiaTheme="minorEastAsia" w:hAnsiTheme="minorEastAsia"/>
          <w:b/>
          <w:bCs/>
          <w:szCs w:val="21"/>
        </w:rPr>
      </w:pPr>
      <w:r>
        <w:rPr>
          <w:rFonts w:asciiTheme="minorEastAsia" w:eastAsiaTheme="minorEastAsia" w:hAnsiTheme="minorEastAsia" w:hint="eastAsia"/>
          <w:b/>
          <w:bCs/>
          <w:szCs w:val="21"/>
        </w:rPr>
        <w:t>教学目标：</w:t>
      </w:r>
      <w:r>
        <w:rPr>
          <w:rFonts w:hAnsi="宋体"/>
          <w:color w:val="272C30"/>
        </w:rPr>
        <w:t>通过本章学习，使学生掌握干红葡萄酒酿造工艺，识记不同类型葡萄酒的工艺特点、工程设备以及辅料选择，通过学习简易家庭葡萄酒发酵流程，能在生活中酿造健康美味的葡萄酒</w:t>
      </w:r>
      <w:r>
        <w:rPr>
          <w:rFonts w:asciiTheme="minorEastAsia" w:eastAsiaTheme="minorEastAsia" w:hAnsiTheme="minorEastAsia" w:hint="eastAsia"/>
          <w:szCs w:val="21"/>
        </w:rPr>
        <w:t>。</w:t>
      </w:r>
    </w:p>
    <w:p w14:paraId="70926301" w14:textId="77777777" w:rsidR="00F5289E" w:rsidRDefault="00C9117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bCs/>
          <w:szCs w:val="21"/>
        </w:rPr>
        <w:t>教学重点和难点：</w:t>
      </w:r>
      <w:r>
        <w:rPr>
          <w:rFonts w:hAnsi="宋体"/>
          <w:color w:val="272C30"/>
        </w:rPr>
        <w:t>不同类型葡萄酒工艺，葡萄酒微生物和辅料的作用</w:t>
      </w:r>
      <w:r>
        <w:rPr>
          <w:rFonts w:asciiTheme="minorEastAsia" w:eastAsiaTheme="minorEastAsia" w:hAnsiTheme="minorEastAsia"/>
          <w:szCs w:val="21"/>
        </w:rPr>
        <w:t>。</w:t>
      </w:r>
    </w:p>
    <w:p w14:paraId="3AED03B7" w14:textId="77777777" w:rsidR="00F5289E" w:rsidRDefault="00C91173">
      <w:pPr>
        <w:snapToGrid w:val="0"/>
        <w:spacing w:line="360" w:lineRule="auto"/>
        <w:rPr>
          <w:rFonts w:asciiTheme="minorEastAsia" w:eastAsiaTheme="minorEastAsia" w:hAnsiTheme="minorEastAsia"/>
          <w:szCs w:val="21"/>
        </w:rPr>
      </w:pPr>
      <w:r>
        <w:rPr>
          <w:rFonts w:asciiTheme="minorEastAsia" w:eastAsiaTheme="minorEastAsia" w:hAnsiTheme="minorEastAsia" w:hint="eastAsia"/>
          <w:b/>
          <w:bCs/>
          <w:szCs w:val="21"/>
        </w:rPr>
        <w:t>主要教学内容及要求：</w:t>
      </w:r>
      <w:r>
        <w:rPr>
          <w:rFonts w:hAnsi="宋体"/>
        </w:rPr>
        <w:t>了解</w:t>
      </w:r>
      <w:r>
        <w:rPr>
          <w:rFonts w:hAnsi="宋体"/>
          <w:color w:val="272C30"/>
        </w:rPr>
        <w:t>现代工业葡萄酒酿造工艺，发酵前的准备；理解干红、干白、甜型、气泡、加强葡萄酒的酿造工艺；掌握家庭葡萄酒酿造简单工艺；熟练掌握葡萄酒发酵微生物的种类及其作用；熟练掌握葡萄酒橡木桶陈放的作用。</w:t>
      </w:r>
    </w:p>
    <w:p w14:paraId="31B4621E" w14:textId="77777777" w:rsidR="00F5289E" w:rsidRDefault="00C91173">
      <w:pPr>
        <w:snapToGrid w:val="0"/>
        <w:spacing w:line="360" w:lineRule="auto"/>
        <w:rPr>
          <w:rFonts w:ascii="宋体" w:hAnsi="宋体"/>
        </w:rPr>
      </w:pPr>
      <w:r>
        <w:rPr>
          <w:rFonts w:ascii="宋体" w:hAnsi="宋体" w:hint="eastAsia"/>
        </w:rPr>
        <w:t xml:space="preserve">第一节 </w:t>
      </w:r>
      <w:r>
        <w:rPr>
          <w:rFonts w:hAnsi="宋体"/>
        </w:rPr>
        <w:t>干红葡萄酒酿造工艺</w:t>
      </w:r>
    </w:p>
    <w:p w14:paraId="7024DC2E" w14:textId="77777777" w:rsidR="00F5289E" w:rsidRDefault="00C91173">
      <w:pPr>
        <w:snapToGrid w:val="0"/>
        <w:spacing w:line="360" w:lineRule="auto"/>
        <w:rPr>
          <w:rFonts w:ascii="宋体" w:hAnsi="宋体"/>
        </w:rPr>
      </w:pPr>
      <w:r>
        <w:rPr>
          <w:rFonts w:ascii="宋体" w:hAnsi="宋体" w:hint="eastAsia"/>
        </w:rPr>
        <w:t xml:space="preserve">第二节 </w:t>
      </w:r>
      <w:r>
        <w:rPr>
          <w:rFonts w:hAnsi="宋体"/>
        </w:rPr>
        <w:t>葡萄酒发酵工程设备</w:t>
      </w:r>
    </w:p>
    <w:p w14:paraId="511FD542" w14:textId="77777777" w:rsidR="00F5289E" w:rsidRDefault="00C91173">
      <w:pPr>
        <w:snapToGrid w:val="0"/>
        <w:spacing w:line="360" w:lineRule="auto"/>
        <w:rPr>
          <w:rFonts w:ascii="宋体" w:hAnsi="宋体"/>
        </w:rPr>
      </w:pPr>
      <w:r>
        <w:rPr>
          <w:rFonts w:ascii="宋体" w:hAnsi="宋体" w:hint="eastAsia"/>
        </w:rPr>
        <w:t xml:space="preserve">第三节 </w:t>
      </w:r>
      <w:r>
        <w:rPr>
          <w:rFonts w:hAnsi="宋体"/>
        </w:rPr>
        <w:t>葡萄酒发酵微生物及其作用</w:t>
      </w:r>
    </w:p>
    <w:p w14:paraId="4D452B41" w14:textId="77777777" w:rsidR="00F5289E" w:rsidRDefault="00C91173">
      <w:pPr>
        <w:snapToGrid w:val="0"/>
        <w:spacing w:line="360" w:lineRule="auto"/>
        <w:rPr>
          <w:rFonts w:hAnsi="宋体"/>
        </w:rPr>
      </w:pPr>
      <w:r>
        <w:rPr>
          <w:rFonts w:ascii="宋体" w:hAnsi="宋体" w:hint="eastAsia"/>
        </w:rPr>
        <w:t xml:space="preserve">第四节 </w:t>
      </w:r>
      <w:r>
        <w:rPr>
          <w:rFonts w:hAnsi="宋体"/>
        </w:rPr>
        <w:t>甜型、气泡、加强葡萄酒酿造工艺</w:t>
      </w:r>
    </w:p>
    <w:p w14:paraId="71993420" w14:textId="77777777" w:rsidR="00F5289E" w:rsidRDefault="00C91173">
      <w:pPr>
        <w:snapToGrid w:val="0"/>
        <w:spacing w:line="360" w:lineRule="auto"/>
        <w:rPr>
          <w:rFonts w:ascii="宋体" w:hAnsi="宋体"/>
        </w:rPr>
      </w:pPr>
      <w:r>
        <w:rPr>
          <w:rFonts w:hAnsi="宋体" w:hint="eastAsia"/>
        </w:rPr>
        <w:t>第五节</w:t>
      </w:r>
      <w:r>
        <w:rPr>
          <w:rFonts w:hAnsi="宋体" w:hint="eastAsia"/>
        </w:rPr>
        <w:t xml:space="preserve"> </w:t>
      </w:r>
      <w:r>
        <w:rPr>
          <w:rFonts w:hAnsi="宋体"/>
        </w:rPr>
        <w:t>葡萄酒陈酿</w:t>
      </w:r>
    </w:p>
    <w:p w14:paraId="1D71B5D3" w14:textId="77777777" w:rsidR="00F5289E" w:rsidRDefault="00C91173">
      <w:pPr>
        <w:snapToGrid w:val="0"/>
        <w:spacing w:line="360" w:lineRule="auto"/>
        <w:rPr>
          <w:rFonts w:ascii="宋体" w:hAnsi="宋体"/>
        </w:rPr>
      </w:pPr>
      <w:r>
        <w:rPr>
          <w:rFonts w:asciiTheme="minorEastAsia" w:eastAsiaTheme="minorEastAsia" w:hAnsiTheme="minorEastAsia" w:hint="eastAsia"/>
          <w:b/>
          <w:bCs/>
          <w:szCs w:val="21"/>
        </w:rPr>
        <w:t>教学组织与实施：</w:t>
      </w:r>
      <w:r>
        <w:rPr>
          <w:rFonts w:ascii="宋体" w:hAnsi="宋体" w:hint="eastAsia"/>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965"/>
        <w:gridCol w:w="3331"/>
        <w:gridCol w:w="2600"/>
      </w:tblGrid>
      <w:tr w:rsidR="00F5289E" w14:paraId="41F2C480" w14:textId="77777777">
        <w:trPr>
          <w:trHeight w:val="270"/>
        </w:trPr>
        <w:tc>
          <w:tcPr>
            <w:tcW w:w="2965" w:type="dxa"/>
            <w:tcBorders>
              <w:top w:val="nil"/>
              <w:left w:val="nil"/>
              <w:bottom w:val="nil"/>
              <w:right w:val="nil"/>
            </w:tcBorders>
            <w:vAlign w:val="center"/>
          </w:tcPr>
          <w:p w14:paraId="2E591F6B" w14:textId="77777777" w:rsidR="00F5289E" w:rsidRDefault="00F5289E">
            <w:pPr>
              <w:widowControl/>
              <w:snapToGrid w:val="0"/>
              <w:spacing w:line="360" w:lineRule="auto"/>
              <w:jc w:val="center"/>
              <w:rPr>
                <w:rFonts w:hAnsi="宋体"/>
                <w:b/>
                <w:bCs/>
                <w:kern w:val="0"/>
                <w:szCs w:val="21"/>
              </w:rPr>
            </w:pPr>
          </w:p>
        </w:tc>
        <w:tc>
          <w:tcPr>
            <w:tcW w:w="3331" w:type="dxa"/>
            <w:tcBorders>
              <w:top w:val="nil"/>
              <w:left w:val="nil"/>
              <w:bottom w:val="nil"/>
              <w:right w:val="nil"/>
            </w:tcBorders>
            <w:vAlign w:val="center"/>
          </w:tcPr>
          <w:p w14:paraId="2C171574"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Ansi="宋体"/>
                <w:b/>
                <w:color w:val="272C30"/>
              </w:rPr>
              <w:t>中外优质葡萄酒产区介绍</w:t>
            </w:r>
          </w:p>
        </w:tc>
        <w:tc>
          <w:tcPr>
            <w:tcW w:w="2600" w:type="dxa"/>
            <w:tcBorders>
              <w:top w:val="nil"/>
              <w:left w:val="nil"/>
              <w:bottom w:val="nil"/>
              <w:right w:val="nil"/>
            </w:tcBorders>
            <w:vAlign w:val="center"/>
          </w:tcPr>
          <w:p w14:paraId="0C9EC4D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8</w:t>
            </w:r>
          </w:p>
        </w:tc>
      </w:tr>
    </w:tbl>
    <w:p w14:paraId="19692C28" w14:textId="77777777" w:rsidR="00F5289E" w:rsidRDefault="00C91173">
      <w:pPr>
        <w:pStyle w:val="a5"/>
        <w:spacing w:after="0" w:line="360" w:lineRule="auto"/>
        <w:ind w:firstLine="422"/>
        <w:rPr>
          <w:rFonts w:ascii="宋体" w:hAnsi="宋体"/>
        </w:rPr>
      </w:pPr>
      <w:r>
        <w:rPr>
          <w:rFonts w:ascii="宋体" w:hAnsi="宋体" w:hint="eastAsia"/>
          <w:b/>
          <w:bCs/>
        </w:rPr>
        <w:t>教学目标：</w:t>
      </w:r>
      <w:r>
        <w:rPr>
          <w:rFonts w:hAnsi="宋体"/>
          <w:color w:val="272C30"/>
        </w:rPr>
        <w:t>通过本章的学习，使学生初步认识葡萄酒风土的概念，</w:t>
      </w:r>
      <w:r>
        <w:rPr>
          <w:rFonts w:hAnsi="宋体"/>
          <w:color w:val="000000"/>
        </w:rPr>
        <w:t>识记国外</w:t>
      </w:r>
      <w:r>
        <w:rPr>
          <w:rFonts w:hAnsi="宋体"/>
          <w:color w:val="272C30"/>
        </w:rPr>
        <w:t>葡萄酒庄园文化和主要葡萄酒产区，通过概括性学习中外葡萄酒产区气候特点，理解环境因素对葡萄酒品质的影响。</w:t>
      </w:r>
    </w:p>
    <w:p w14:paraId="72CFC335" w14:textId="77777777" w:rsidR="00F5289E" w:rsidRDefault="00C91173">
      <w:pPr>
        <w:pStyle w:val="a5"/>
        <w:spacing w:after="0" w:line="360" w:lineRule="auto"/>
        <w:ind w:firstLine="422"/>
        <w:rPr>
          <w:rFonts w:asciiTheme="minorEastAsia" w:eastAsiaTheme="minorEastAsia" w:hAnsiTheme="minorEastAsia"/>
          <w:szCs w:val="21"/>
        </w:rPr>
      </w:pPr>
      <w:r>
        <w:rPr>
          <w:rFonts w:asciiTheme="minorEastAsia" w:eastAsiaTheme="minorEastAsia" w:hAnsiTheme="minorEastAsia" w:hint="eastAsia"/>
          <w:b/>
          <w:bCs/>
          <w:szCs w:val="21"/>
        </w:rPr>
        <w:t>教学重点和难点：</w:t>
      </w:r>
      <w:r>
        <w:rPr>
          <w:rFonts w:hAnsi="宋体"/>
          <w:color w:val="272C30"/>
        </w:rPr>
        <w:t>新旧世界葡萄酒概况，法国、意大利、西班牙葡萄酒等级制度。</w:t>
      </w:r>
    </w:p>
    <w:p w14:paraId="2780CFCD" w14:textId="77777777" w:rsidR="00F5289E" w:rsidRDefault="00C91173">
      <w:pPr>
        <w:snapToGrid w:val="0"/>
        <w:spacing w:line="360" w:lineRule="auto"/>
        <w:rPr>
          <w:rFonts w:ascii="宋体" w:hAnsi="宋体"/>
        </w:rPr>
      </w:pPr>
      <w:r>
        <w:rPr>
          <w:rFonts w:ascii="宋体" w:hAnsi="宋体" w:cs="宋体" w:hint="eastAsia"/>
          <w:b/>
          <w:bCs/>
          <w:kern w:val="0"/>
          <w:szCs w:val="21"/>
        </w:rPr>
        <w:t>主要教学内容和要求：</w:t>
      </w:r>
      <w:r>
        <w:rPr>
          <w:rFonts w:hAnsi="宋体"/>
          <w:color w:val="000000"/>
        </w:rPr>
        <w:t>理解和掌握</w:t>
      </w:r>
      <w:r>
        <w:rPr>
          <w:rFonts w:hAnsi="宋体"/>
          <w:color w:val="272C30"/>
        </w:rPr>
        <w:t>产区的概念；掌握中国主要葡萄酒产区分布；熟练掌握新旧世界葡萄酒的风格差异；</w:t>
      </w:r>
      <w:r>
        <w:rPr>
          <w:rFonts w:hAnsi="宋体"/>
          <w:color w:val="000000"/>
        </w:rPr>
        <w:t>掌握国外</w:t>
      </w:r>
      <w:r>
        <w:rPr>
          <w:rFonts w:hAnsi="宋体"/>
          <w:color w:val="272C30"/>
        </w:rPr>
        <w:t>葡萄酒庄园文化，法律条例，法国葡萄酒主要产区、名庄、名品以及等级制度；理解意大利、西班牙葡萄酒等级制度。</w:t>
      </w:r>
    </w:p>
    <w:p w14:paraId="13B0B594" w14:textId="77777777" w:rsidR="00F5289E" w:rsidRDefault="00C91173">
      <w:pPr>
        <w:snapToGrid w:val="0"/>
        <w:spacing w:line="360" w:lineRule="auto"/>
        <w:rPr>
          <w:rFonts w:ascii="宋体" w:hAnsi="宋体"/>
        </w:rPr>
      </w:pPr>
      <w:r>
        <w:rPr>
          <w:rFonts w:ascii="宋体" w:hAnsi="宋体" w:hint="eastAsia"/>
        </w:rPr>
        <w:t xml:space="preserve">第一节 </w:t>
      </w:r>
      <w:r>
        <w:rPr>
          <w:rFonts w:hAnsi="宋体"/>
        </w:rPr>
        <w:t>中国葡萄酒产区概况</w:t>
      </w:r>
    </w:p>
    <w:p w14:paraId="7D32BAE4" w14:textId="77777777" w:rsidR="00F5289E" w:rsidRDefault="00C91173">
      <w:pPr>
        <w:snapToGrid w:val="0"/>
        <w:spacing w:line="360" w:lineRule="auto"/>
        <w:rPr>
          <w:rFonts w:ascii="宋体" w:hAnsi="宋体"/>
        </w:rPr>
      </w:pPr>
      <w:r>
        <w:rPr>
          <w:rFonts w:ascii="宋体" w:hAnsi="宋体" w:hint="eastAsia"/>
        </w:rPr>
        <w:t xml:space="preserve">第二节 </w:t>
      </w:r>
      <w:r>
        <w:rPr>
          <w:rFonts w:hAnsi="宋体"/>
        </w:rPr>
        <w:t>新世界葡萄酒国家与产区介绍</w:t>
      </w:r>
    </w:p>
    <w:p w14:paraId="1E38ABA6" w14:textId="77777777" w:rsidR="00F5289E" w:rsidRDefault="00C91173">
      <w:pPr>
        <w:snapToGrid w:val="0"/>
        <w:spacing w:line="360" w:lineRule="auto"/>
        <w:rPr>
          <w:rFonts w:ascii="宋体" w:hAnsi="宋体"/>
        </w:rPr>
      </w:pPr>
      <w:r>
        <w:rPr>
          <w:rFonts w:ascii="宋体" w:hAnsi="宋体" w:hint="eastAsia"/>
        </w:rPr>
        <w:lastRenderedPageBreak/>
        <w:t xml:space="preserve">第三节 </w:t>
      </w:r>
      <w:r>
        <w:rPr>
          <w:rFonts w:hAnsi="宋体"/>
        </w:rPr>
        <w:t>旧世界葡萄酒国家与产区介绍</w:t>
      </w:r>
    </w:p>
    <w:p w14:paraId="7F1DCBA7" w14:textId="77777777" w:rsidR="00F5289E" w:rsidRDefault="00C91173">
      <w:pPr>
        <w:snapToGrid w:val="0"/>
        <w:spacing w:line="360" w:lineRule="auto"/>
        <w:rPr>
          <w:rFonts w:ascii="宋体" w:hAnsi="宋体"/>
        </w:rPr>
      </w:pPr>
      <w:r>
        <w:rPr>
          <w:rFonts w:ascii="宋体" w:hAnsi="宋体" w:hint="eastAsia"/>
        </w:rPr>
        <w:t xml:space="preserve">第四节 </w:t>
      </w:r>
      <w:r>
        <w:rPr>
          <w:rFonts w:ascii="宋体" w:hAnsi="宋体"/>
          <w:szCs w:val="20"/>
        </w:rPr>
        <w:t>法国葡萄酒等级制度</w:t>
      </w:r>
    </w:p>
    <w:p w14:paraId="351AC965" w14:textId="77777777" w:rsidR="00F5289E" w:rsidRDefault="00C91173">
      <w:pPr>
        <w:snapToGrid w:val="0"/>
        <w:spacing w:line="360" w:lineRule="auto"/>
        <w:rPr>
          <w:rFonts w:ascii="宋体" w:hAnsi="宋体"/>
        </w:rPr>
      </w:pPr>
      <w:r>
        <w:rPr>
          <w:rFonts w:ascii="宋体" w:hAnsi="宋体" w:hint="eastAsia"/>
        </w:rPr>
        <w:t xml:space="preserve">第五节 </w:t>
      </w:r>
      <w:r>
        <w:rPr>
          <w:rFonts w:hAnsi="宋体"/>
        </w:rPr>
        <w:t>意大利、西班牙葡萄酒等级制度</w:t>
      </w:r>
    </w:p>
    <w:p w14:paraId="5FACE7C1" w14:textId="77777777" w:rsidR="00F5289E" w:rsidRDefault="00C91173">
      <w:pPr>
        <w:snapToGrid w:val="0"/>
        <w:spacing w:line="360" w:lineRule="auto"/>
        <w:rPr>
          <w:rFonts w:ascii="宋体" w:hAnsi="宋体"/>
        </w:rPr>
      </w:pPr>
      <w:bookmarkStart w:id="99" w:name="_Hlk137808592"/>
      <w:r>
        <w:rPr>
          <w:rFonts w:ascii="宋体" w:hAnsi="宋体" w:hint="eastAsia"/>
          <w:b/>
          <w:bCs/>
        </w:rPr>
        <w:t>教学组织与实施：</w:t>
      </w:r>
      <w:r>
        <w:rPr>
          <w:rFonts w:ascii="宋体" w:hAnsi="宋体" w:hint="eastAsia"/>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696"/>
        <w:gridCol w:w="3420"/>
        <w:gridCol w:w="2780"/>
      </w:tblGrid>
      <w:tr w:rsidR="00F5289E" w14:paraId="250EDFCC" w14:textId="77777777">
        <w:trPr>
          <w:trHeight w:val="270"/>
        </w:trPr>
        <w:tc>
          <w:tcPr>
            <w:tcW w:w="2696" w:type="dxa"/>
            <w:tcBorders>
              <w:top w:val="nil"/>
              <w:left w:val="nil"/>
              <w:bottom w:val="nil"/>
              <w:right w:val="nil"/>
            </w:tcBorders>
            <w:vAlign w:val="center"/>
          </w:tcPr>
          <w:p w14:paraId="0743BC92" w14:textId="77777777" w:rsidR="00F5289E" w:rsidRDefault="00F5289E">
            <w:pPr>
              <w:widowControl/>
              <w:snapToGrid w:val="0"/>
              <w:spacing w:line="360" w:lineRule="auto"/>
              <w:jc w:val="center"/>
              <w:rPr>
                <w:rFonts w:hAnsi="宋体"/>
                <w:b/>
                <w:bCs/>
                <w:kern w:val="0"/>
                <w:szCs w:val="21"/>
              </w:rPr>
            </w:pPr>
          </w:p>
        </w:tc>
        <w:tc>
          <w:tcPr>
            <w:tcW w:w="3420" w:type="dxa"/>
            <w:tcBorders>
              <w:top w:val="nil"/>
              <w:left w:val="nil"/>
              <w:bottom w:val="nil"/>
              <w:right w:val="nil"/>
            </w:tcBorders>
            <w:vAlign w:val="center"/>
          </w:tcPr>
          <w:p w14:paraId="4CA5DE44"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int="eastAsia"/>
                <w:b/>
                <w:bCs/>
                <w:kern w:val="0"/>
                <w:szCs w:val="21"/>
              </w:rPr>
              <w:t xml:space="preserve">  </w:t>
            </w:r>
            <w:r>
              <w:rPr>
                <w:rFonts w:hAnsi="宋体"/>
                <w:b/>
                <w:color w:val="272C30"/>
              </w:rPr>
              <w:t>葡萄酒酒标及品酒专业术语</w:t>
            </w:r>
          </w:p>
        </w:tc>
        <w:tc>
          <w:tcPr>
            <w:tcW w:w="2780" w:type="dxa"/>
            <w:tcBorders>
              <w:top w:val="nil"/>
              <w:left w:val="nil"/>
              <w:bottom w:val="nil"/>
              <w:right w:val="nil"/>
            </w:tcBorders>
            <w:vAlign w:val="center"/>
          </w:tcPr>
          <w:p w14:paraId="124CBD82"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46AC5818"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教学目标：</w:t>
      </w:r>
      <w:r>
        <w:rPr>
          <w:rFonts w:hAnsi="宋体"/>
          <w:color w:val="272C30"/>
        </w:rPr>
        <w:t>通过本章学习，使学生初步认识葡萄酒相关的法律法规，识记新旧世界葡萄酒酒标特点，学会葡萄酒感官品质评价相关术语，能对葡萄酒的结构加以简单阐述，并认识葡萄酒感官品质的影响因素。</w:t>
      </w:r>
    </w:p>
    <w:p w14:paraId="5CBC7964"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教学重点和难点：</w:t>
      </w:r>
      <w:r>
        <w:rPr>
          <w:rFonts w:hAnsi="宋体"/>
          <w:color w:val="272C30"/>
        </w:rPr>
        <w:t>旧世界葡萄酒酒标，葡萄酒感官品质评价相关术语</w:t>
      </w:r>
      <w:r>
        <w:rPr>
          <w:rFonts w:ascii="宋体" w:hAnsi="宋体" w:hint="eastAsia"/>
        </w:rPr>
        <w:t>。</w:t>
      </w:r>
    </w:p>
    <w:p w14:paraId="4589E804"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主要教学内容及要求：</w:t>
      </w:r>
      <w:r>
        <w:rPr>
          <w:rFonts w:hAnsi="宋体"/>
          <w:color w:val="272C30"/>
        </w:rPr>
        <w:t>理解并掌握旧世界葡萄酒酒标；了解葡萄酒品评相关术语，掌握葡萄酒香气、葡萄酒结构和酒体的描述；掌握葡萄酒的感官特性；了解葡萄酒氧化和还原气味及气体异常气味；掌握葡萄酒品质的评判标准</w:t>
      </w:r>
      <w:r>
        <w:rPr>
          <w:rFonts w:ascii="宋体" w:hAnsi="宋体" w:hint="eastAsia"/>
        </w:rPr>
        <w:t>。</w:t>
      </w:r>
    </w:p>
    <w:p w14:paraId="5696B080"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第一节 </w:t>
      </w:r>
      <w:r>
        <w:rPr>
          <w:rFonts w:hAnsi="宋体"/>
        </w:rPr>
        <w:t>新旧世界葡萄酒酒标</w:t>
      </w:r>
    </w:p>
    <w:p w14:paraId="6DFE108A"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第二节 </w:t>
      </w:r>
      <w:r>
        <w:rPr>
          <w:rFonts w:hAnsi="宋体"/>
        </w:rPr>
        <w:t>葡萄酒生产相关法规</w:t>
      </w:r>
    </w:p>
    <w:p w14:paraId="46CD6981"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第三节 </w:t>
      </w:r>
      <w:r>
        <w:rPr>
          <w:rFonts w:hAnsi="宋体"/>
        </w:rPr>
        <w:t>葡萄酒的视觉、嗅觉和味觉等感官分析</w:t>
      </w:r>
    </w:p>
    <w:p w14:paraId="51555EF1"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第四节 </w:t>
      </w:r>
      <w:r>
        <w:rPr>
          <w:rFonts w:ascii="宋体" w:hAnsi="宋体"/>
        </w:rPr>
        <w:t>葡萄酒的平衡性</w:t>
      </w:r>
    </w:p>
    <w:p w14:paraId="53281EAA" w14:textId="77777777" w:rsidR="00F5289E" w:rsidRDefault="00C91173">
      <w:pPr>
        <w:pStyle w:val="13"/>
        <w:adjustRightInd w:val="0"/>
        <w:snapToGrid w:val="0"/>
        <w:spacing w:line="360" w:lineRule="auto"/>
        <w:ind w:firstLineChars="0" w:firstLine="0"/>
        <w:jc w:val="left"/>
        <w:rPr>
          <w:rFonts w:asciiTheme="minorEastAsia" w:eastAsiaTheme="minorEastAsia" w:hAnsiTheme="minorEastAsia"/>
          <w:color w:val="FF0000"/>
          <w:szCs w:val="21"/>
        </w:rPr>
      </w:pPr>
      <w:r>
        <w:rPr>
          <w:rFonts w:ascii="宋体" w:hAnsi="宋体" w:hint="eastAsia"/>
          <w:b/>
          <w:bCs/>
        </w:rPr>
        <w:t>教学组织与实施：</w:t>
      </w:r>
      <w:bookmarkEnd w:id="99"/>
      <w:r>
        <w:rPr>
          <w:rFonts w:asciiTheme="minorEastAsia" w:eastAsiaTheme="minorEastAsia" w:hAnsiTheme="minorEastAsia" w:hint="eastAsia"/>
          <w:szCs w:val="21"/>
        </w:rPr>
        <w:t>以PPT和线上教学为主，通过讲授、课堂提问、线上测试、多媒体课下交流等多种教学形式完成教学任务。</w:t>
      </w:r>
    </w:p>
    <w:tbl>
      <w:tblPr>
        <w:tblStyle w:val="af6"/>
        <w:tblW w:w="0" w:type="auto"/>
        <w:tblInd w:w="4" w:type="dxa"/>
        <w:tblCellMar>
          <w:left w:w="0" w:type="dxa"/>
          <w:right w:w="0" w:type="dxa"/>
        </w:tblCellMar>
        <w:tblLook w:val="04A0" w:firstRow="1" w:lastRow="0" w:firstColumn="1" w:lastColumn="0" w:noHBand="0" w:noVBand="1"/>
      </w:tblPr>
      <w:tblGrid>
        <w:gridCol w:w="2696"/>
        <w:gridCol w:w="3420"/>
        <w:gridCol w:w="2780"/>
      </w:tblGrid>
      <w:tr w:rsidR="00F5289E" w14:paraId="5715D6AF" w14:textId="77777777">
        <w:trPr>
          <w:trHeight w:val="270"/>
        </w:trPr>
        <w:tc>
          <w:tcPr>
            <w:tcW w:w="2696" w:type="dxa"/>
            <w:tcBorders>
              <w:top w:val="nil"/>
              <w:left w:val="nil"/>
              <w:bottom w:val="nil"/>
              <w:right w:val="nil"/>
            </w:tcBorders>
            <w:vAlign w:val="center"/>
          </w:tcPr>
          <w:p w14:paraId="452D34CD" w14:textId="77777777" w:rsidR="00F5289E" w:rsidRDefault="00F5289E">
            <w:pPr>
              <w:widowControl/>
              <w:snapToGrid w:val="0"/>
              <w:spacing w:line="360" w:lineRule="auto"/>
              <w:jc w:val="center"/>
              <w:rPr>
                <w:rFonts w:hAnsi="宋体"/>
                <w:b/>
                <w:bCs/>
                <w:kern w:val="0"/>
                <w:szCs w:val="21"/>
              </w:rPr>
            </w:pPr>
          </w:p>
        </w:tc>
        <w:tc>
          <w:tcPr>
            <w:tcW w:w="3420" w:type="dxa"/>
            <w:tcBorders>
              <w:top w:val="nil"/>
              <w:left w:val="nil"/>
              <w:bottom w:val="nil"/>
              <w:right w:val="nil"/>
            </w:tcBorders>
            <w:vAlign w:val="center"/>
          </w:tcPr>
          <w:p w14:paraId="724F7C87"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Ansi="宋体"/>
                <w:b/>
                <w:color w:val="272C30"/>
              </w:rPr>
              <w:t>葡萄酒的品尝与餐饮搭配</w:t>
            </w:r>
          </w:p>
        </w:tc>
        <w:tc>
          <w:tcPr>
            <w:tcW w:w="2780" w:type="dxa"/>
            <w:tcBorders>
              <w:top w:val="nil"/>
              <w:left w:val="nil"/>
              <w:bottom w:val="nil"/>
              <w:right w:val="nil"/>
            </w:tcBorders>
            <w:vAlign w:val="center"/>
          </w:tcPr>
          <w:p w14:paraId="6E6941F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8</w:t>
            </w:r>
          </w:p>
        </w:tc>
      </w:tr>
    </w:tbl>
    <w:p w14:paraId="7BD9EBEF"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教学目标：</w:t>
      </w:r>
      <w:r>
        <w:rPr>
          <w:rFonts w:hAnsi="宋体"/>
          <w:color w:val="272C30"/>
        </w:rPr>
        <w:t>通过本章学习，使学生葡萄酒品饮前的准备及注意事项，如葡萄酒的开启，酒杯的选择，学习葡萄酒的侍酒法，通过器官对葡萄酒的品质进行分析和鉴赏，并用于指导葡萄酒的选购和美食搭配。</w:t>
      </w:r>
    </w:p>
    <w:p w14:paraId="723D3365"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教学重点和难点：</w:t>
      </w:r>
      <w:r>
        <w:rPr>
          <w:rFonts w:hAnsi="宋体"/>
          <w:color w:val="272C30"/>
        </w:rPr>
        <w:t>葡萄酒品评鉴赏</w:t>
      </w:r>
      <w:r>
        <w:rPr>
          <w:rFonts w:hAnsi="宋体"/>
        </w:rPr>
        <w:t>，</w:t>
      </w:r>
      <w:r>
        <w:rPr>
          <w:rFonts w:hAnsi="宋体"/>
          <w:color w:val="272C30"/>
        </w:rPr>
        <w:t>葡萄酒品尝的感官描述</w:t>
      </w:r>
      <w:r>
        <w:rPr>
          <w:rFonts w:ascii="宋体" w:hAnsi="宋体" w:hint="eastAsia"/>
        </w:rPr>
        <w:t>。</w:t>
      </w:r>
    </w:p>
    <w:p w14:paraId="30E9A865"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b/>
          <w:bCs/>
        </w:rPr>
        <w:t>主要教学内容及要求：</w:t>
      </w:r>
      <w:r>
        <w:rPr>
          <w:rFonts w:hAnsi="宋体"/>
          <w:color w:val="272C30"/>
        </w:rPr>
        <w:t>理解葡萄酒品尝的基本知识，品尝的定义、品酒的分类、品酒的要点、品酒的顺序、葡萄酒品尝的感官描述词汇；掌握葡萄酒的侍酒法：温酒、开瓶、换瓶、酒杯、礼仪、封瓶、配套用具等；掌握葡萄酒的选购和餐饮搭配；掌握葡萄酒品评前的准备，外观分析，香气分析，口感分析等</w:t>
      </w:r>
      <w:r>
        <w:rPr>
          <w:rFonts w:ascii="宋体" w:hAnsi="宋体" w:hint="eastAsia"/>
        </w:rPr>
        <w:t>。</w:t>
      </w:r>
    </w:p>
    <w:p w14:paraId="0EEE0A87"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第一节 </w:t>
      </w:r>
      <w:r>
        <w:rPr>
          <w:rFonts w:hAnsi="宋体"/>
        </w:rPr>
        <w:t>品酒活动准备</w:t>
      </w:r>
    </w:p>
    <w:p w14:paraId="5D169CBB"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第二节 </w:t>
      </w:r>
      <w:r>
        <w:rPr>
          <w:rFonts w:hAnsi="宋体"/>
        </w:rPr>
        <w:t>品酒杯、开瓶器概况</w:t>
      </w:r>
    </w:p>
    <w:p w14:paraId="47879AE8" w14:textId="77777777" w:rsidR="00F5289E" w:rsidRDefault="00C91173">
      <w:pPr>
        <w:pStyle w:val="13"/>
        <w:adjustRightInd w:val="0"/>
        <w:snapToGrid w:val="0"/>
        <w:spacing w:line="360" w:lineRule="auto"/>
        <w:ind w:firstLineChars="0" w:firstLine="0"/>
        <w:jc w:val="left"/>
        <w:rPr>
          <w:rFonts w:ascii="宋体" w:hAnsi="宋体"/>
        </w:rPr>
      </w:pPr>
      <w:r>
        <w:rPr>
          <w:rFonts w:ascii="宋体" w:hAnsi="宋体" w:hint="eastAsia"/>
        </w:rPr>
        <w:t xml:space="preserve">第三节 </w:t>
      </w:r>
      <w:r>
        <w:rPr>
          <w:rFonts w:hAnsi="宋体"/>
        </w:rPr>
        <w:t>葡萄酒与餐饮搭配</w:t>
      </w:r>
    </w:p>
    <w:p w14:paraId="384EA27A" w14:textId="77777777" w:rsidR="00F5289E" w:rsidRDefault="00C91173">
      <w:pPr>
        <w:pStyle w:val="13"/>
        <w:adjustRightInd w:val="0"/>
        <w:snapToGrid w:val="0"/>
        <w:spacing w:line="360" w:lineRule="auto"/>
        <w:ind w:firstLineChars="0" w:firstLine="0"/>
        <w:jc w:val="left"/>
        <w:rPr>
          <w:rFonts w:hAnsi="宋体"/>
          <w:b/>
          <w:bCs/>
        </w:rPr>
      </w:pPr>
      <w:r>
        <w:rPr>
          <w:rFonts w:ascii="宋体" w:hAnsi="宋体" w:hint="eastAsia"/>
        </w:rPr>
        <w:t xml:space="preserve">第四节 </w:t>
      </w:r>
      <w:r>
        <w:rPr>
          <w:rFonts w:hAnsi="宋体"/>
        </w:rPr>
        <w:t>侍酒标准流程</w:t>
      </w:r>
    </w:p>
    <w:p w14:paraId="3BBC0740" w14:textId="77777777" w:rsidR="00F5289E" w:rsidRDefault="00C91173">
      <w:pPr>
        <w:pStyle w:val="13"/>
        <w:adjustRightInd w:val="0"/>
        <w:snapToGrid w:val="0"/>
        <w:spacing w:line="360" w:lineRule="auto"/>
        <w:ind w:firstLineChars="0" w:firstLine="0"/>
        <w:jc w:val="left"/>
        <w:rPr>
          <w:rFonts w:hAnsi="宋体"/>
        </w:rPr>
      </w:pPr>
      <w:r>
        <w:rPr>
          <w:rFonts w:hAnsi="宋体" w:hint="eastAsia"/>
        </w:rPr>
        <w:t>第五节</w:t>
      </w:r>
      <w:r>
        <w:rPr>
          <w:rFonts w:hAnsi="宋体" w:hint="eastAsia"/>
        </w:rPr>
        <w:t xml:space="preserve"> </w:t>
      </w:r>
      <w:r>
        <w:rPr>
          <w:rFonts w:hAnsi="宋体"/>
        </w:rPr>
        <w:t>品尝记录表撰写</w:t>
      </w:r>
    </w:p>
    <w:p w14:paraId="376EEF6D" w14:textId="77777777" w:rsidR="00F5289E" w:rsidRDefault="00C91173">
      <w:pPr>
        <w:pStyle w:val="13"/>
        <w:adjustRightInd w:val="0"/>
        <w:snapToGrid w:val="0"/>
        <w:spacing w:line="360" w:lineRule="auto"/>
        <w:ind w:firstLineChars="0" w:firstLine="0"/>
        <w:jc w:val="left"/>
        <w:rPr>
          <w:rFonts w:asciiTheme="minorEastAsia" w:eastAsiaTheme="minorEastAsia" w:hAnsiTheme="minorEastAsia"/>
          <w:color w:val="FF0000"/>
          <w:szCs w:val="21"/>
        </w:rPr>
      </w:pPr>
      <w:r>
        <w:rPr>
          <w:rFonts w:ascii="宋体" w:hAnsi="宋体" w:hint="eastAsia"/>
          <w:b/>
          <w:bCs/>
        </w:rPr>
        <w:t>教学组织与实施：</w:t>
      </w:r>
      <w:r>
        <w:rPr>
          <w:rFonts w:asciiTheme="minorEastAsia" w:eastAsiaTheme="minorEastAsia" w:hAnsiTheme="minorEastAsia" w:hint="eastAsia"/>
          <w:szCs w:val="21"/>
        </w:rPr>
        <w:t>以线下品酒为主，收集不同类型的葡萄酒，学生通过品尝，掌握不同类型葡萄</w:t>
      </w:r>
      <w:r>
        <w:rPr>
          <w:rFonts w:asciiTheme="minorEastAsia" w:eastAsiaTheme="minorEastAsia" w:hAnsiTheme="minorEastAsia" w:hint="eastAsia"/>
          <w:szCs w:val="21"/>
        </w:rPr>
        <w:lastRenderedPageBreak/>
        <w:t>酒的品鉴方法以及餐饮搭配。</w:t>
      </w:r>
    </w:p>
    <w:p w14:paraId="35E405E2"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五</w:t>
      </w:r>
      <w:r>
        <w:rPr>
          <w:rFonts w:hAnsi="宋体"/>
          <w:b/>
          <w:bCs/>
          <w:kern w:val="0"/>
          <w:szCs w:val="21"/>
        </w:rPr>
        <w:t>、</w:t>
      </w:r>
      <w:r>
        <w:rPr>
          <w:rFonts w:hAnsi="宋体" w:hint="eastAsia"/>
          <w:b/>
          <w:bCs/>
          <w:kern w:val="0"/>
          <w:szCs w:val="21"/>
        </w:rPr>
        <w:t>实验教学内容及学时分配（</w:t>
      </w:r>
      <w:r>
        <w:rPr>
          <w:rFonts w:hAnsi="宋体" w:hint="eastAsia"/>
          <w:b/>
          <w:bCs/>
          <w:kern w:val="0"/>
          <w:szCs w:val="21"/>
        </w:rPr>
        <w:t>0</w:t>
      </w:r>
      <w:r>
        <w:rPr>
          <w:rFonts w:hAnsi="宋体" w:hint="eastAsia"/>
          <w:b/>
          <w:bCs/>
          <w:kern w:val="0"/>
          <w:szCs w:val="21"/>
        </w:rPr>
        <w:t>学时）</w:t>
      </w:r>
    </w:p>
    <w:p w14:paraId="07C28E6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无</w:t>
      </w:r>
    </w:p>
    <w:p w14:paraId="4DDE2DC8" w14:textId="77777777" w:rsidR="00F5289E" w:rsidRDefault="00C91173">
      <w:pPr>
        <w:widowControl/>
        <w:snapToGrid w:val="0"/>
        <w:spacing w:line="360" w:lineRule="auto"/>
        <w:jc w:val="left"/>
        <w:rPr>
          <w:b/>
          <w:bCs/>
          <w:kern w:val="0"/>
          <w:szCs w:val="21"/>
        </w:rPr>
      </w:pPr>
      <w:r>
        <w:rPr>
          <w:rFonts w:hint="eastAsia"/>
          <w:b/>
          <w:bCs/>
          <w:kern w:val="0"/>
          <w:szCs w:val="21"/>
        </w:rPr>
        <w:t>六、课程思政</w:t>
      </w:r>
    </w:p>
    <w:p w14:paraId="5F8F311D"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《葡萄酒文化》主要是使学生了解葡萄酒的历史、文化和制作过程，探讨葡萄酒的社会责任和文化意义，并培养学生的品鉴能力、审美意识和社会责任感。</w:t>
      </w:r>
    </w:p>
    <w:p w14:paraId="135C0F1D"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在课堂思政方面可以按照一下事例进行：</w:t>
      </w:r>
    </w:p>
    <w:p w14:paraId="4DBC7C63"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第一步导入（约</w:t>
      </w:r>
      <w:r>
        <w:rPr>
          <w:rFonts w:hAnsi="宋体" w:hint="eastAsia"/>
          <w:szCs w:val="21"/>
        </w:rPr>
        <w:t>10</w:t>
      </w:r>
      <w:r>
        <w:rPr>
          <w:rFonts w:hAnsi="宋体" w:hint="eastAsia"/>
          <w:szCs w:val="21"/>
        </w:rPr>
        <w:t>分钟），引入葡萄酒的概念，介绍葡萄酒的历史和文化背景；引发学生对葡萄酒的兴趣，激发他们的探索欲望；</w:t>
      </w:r>
    </w:p>
    <w:p w14:paraId="52FCCC4A"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第二步：葡萄酒制作过程和品种介绍（约</w:t>
      </w:r>
      <w:r>
        <w:rPr>
          <w:rFonts w:hAnsi="宋体" w:hint="eastAsia"/>
          <w:szCs w:val="21"/>
        </w:rPr>
        <w:t>20</w:t>
      </w:r>
      <w:r>
        <w:rPr>
          <w:rFonts w:hAnsi="宋体" w:hint="eastAsia"/>
          <w:szCs w:val="21"/>
        </w:rPr>
        <w:t>分钟），讲解葡萄酒的制作过程，包括葡萄采摘、发酵、陈酿等环节。介绍不同类型的葡萄酒，如红葡萄酒、白葡萄酒和气泡酒等，讲解其特点和区别；</w:t>
      </w:r>
    </w:p>
    <w:p w14:paraId="4736030E"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第三步：品鉴技巧与审美意识（约</w:t>
      </w:r>
      <w:r>
        <w:rPr>
          <w:rFonts w:hAnsi="宋体" w:hint="eastAsia"/>
          <w:szCs w:val="21"/>
        </w:rPr>
        <w:t>20</w:t>
      </w:r>
      <w:r>
        <w:rPr>
          <w:rFonts w:hAnsi="宋体" w:hint="eastAsia"/>
          <w:szCs w:val="21"/>
        </w:rPr>
        <w:t>分钟），分享葡萄酒品鉴的基本步骤，包括观察、嗅闻、品尝和评价。引导学生学习如何辨识葡萄酒的香气、口感和质地，培养他们的品鉴能力。探讨不同人对葡萄酒的喜好和审美标准的差异，引导学生思考审美的多样性和尊重他人选择的重要性；</w:t>
      </w:r>
    </w:p>
    <w:p w14:paraId="7E20178F"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第四步：葡萄酒的社会责任（约</w:t>
      </w:r>
      <w:r>
        <w:rPr>
          <w:rFonts w:hAnsi="宋体" w:hint="eastAsia"/>
          <w:szCs w:val="21"/>
        </w:rPr>
        <w:t>20</w:t>
      </w:r>
      <w:r>
        <w:rPr>
          <w:rFonts w:hAnsi="宋体" w:hint="eastAsia"/>
          <w:szCs w:val="21"/>
        </w:rPr>
        <w:t>分钟），分析葡萄酒行业对社会和环境的影响，包括经济效益、就业机会、文化传承和环境保护等方面。引导学生讨论葡萄酒企业应该承担的社会责任，包括推动可持续发展、参与公益事业和保护文化遗产等。引发学生思考个人在葡萄酒消费和品鉴中应该如何行使社会责任，提倡理性消费和文明品鉴。</w:t>
      </w:r>
    </w:p>
    <w:p w14:paraId="3034C33C" w14:textId="77777777" w:rsidR="00F5289E" w:rsidRDefault="00C91173">
      <w:pPr>
        <w:widowControl/>
        <w:snapToGrid w:val="0"/>
        <w:spacing w:line="360" w:lineRule="auto"/>
        <w:ind w:firstLineChars="200" w:firstLine="420"/>
        <w:jc w:val="left"/>
        <w:rPr>
          <w:rFonts w:hAnsi="宋体"/>
          <w:szCs w:val="21"/>
        </w:rPr>
      </w:pPr>
      <w:r>
        <w:rPr>
          <w:rFonts w:hAnsi="宋体" w:hint="eastAsia"/>
          <w:szCs w:val="21"/>
        </w:rPr>
        <w:t>第五步：总结与展望（约</w:t>
      </w:r>
      <w:r>
        <w:rPr>
          <w:rFonts w:hAnsi="宋体" w:hint="eastAsia"/>
          <w:szCs w:val="21"/>
        </w:rPr>
        <w:t>10</w:t>
      </w:r>
      <w:r>
        <w:rPr>
          <w:rFonts w:hAnsi="宋体" w:hint="eastAsia"/>
          <w:szCs w:val="21"/>
        </w:rPr>
        <w:t>分钟），总结葡萄酒品鉴与社会责任的重要性和意义。鼓励学生将所学知识与实际生活相结合，发展自己的品鉴能力和社会责任感。</w:t>
      </w:r>
    </w:p>
    <w:p w14:paraId="7332990E"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77269A21"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1EF3E17F" w14:textId="77777777" w:rsidR="00F5289E" w:rsidRDefault="00C91173">
      <w:pPr>
        <w:widowControl/>
        <w:snapToGrid w:val="0"/>
        <w:spacing w:line="360" w:lineRule="auto"/>
        <w:ind w:firstLineChars="200" w:firstLine="420"/>
        <w:jc w:val="left"/>
        <w:rPr>
          <w:bCs/>
          <w:kern w:val="0"/>
          <w:szCs w:val="21"/>
        </w:rPr>
      </w:pPr>
      <w:r>
        <w:rPr>
          <w:rFonts w:ascii="宋体" w:hAnsi="宋体" w:hint="eastAsia"/>
          <w:bCs/>
          <w:kern w:val="0"/>
          <w:szCs w:val="21"/>
        </w:rPr>
        <w:t>理论课教材：《</w:t>
      </w:r>
      <w:r>
        <w:rPr>
          <w:rFonts w:hAnsi="宋体"/>
          <w:bCs/>
          <w:kern w:val="0"/>
          <w:szCs w:val="21"/>
        </w:rPr>
        <w:t>葡萄酒品尝学</w:t>
      </w:r>
      <w:r>
        <w:rPr>
          <w:rFonts w:hAnsi="宋体" w:hint="eastAsia"/>
          <w:bCs/>
          <w:kern w:val="0"/>
          <w:szCs w:val="21"/>
        </w:rPr>
        <w:t>》</w:t>
      </w:r>
      <w:r>
        <w:rPr>
          <w:rFonts w:hAnsi="宋体"/>
          <w:bCs/>
          <w:kern w:val="0"/>
          <w:szCs w:val="21"/>
        </w:rPr>
        <w:t>，李华，科学出版社，</w:t>
      </w:r>
      <w:r>
        <w:rPr>
          <w:bCs/>
          <w:kern w:val="0"/>
          <w:szCs w:val="21"/>
        </w:rPr>
        <w:t>201</w:t>
      </w:r>
      <w:r>
        <w:rPr>
          <w:rFonts w:hint="eastAsia"/>
          <w:bCs/>
          <w:kern w:val="0"/>
          <w:szCs w:val="21"/>
        </w:rPr>
        <w:t>8</w:t>
      </w:r>
      <w:r>
        <w:rPr>
          <w:bCs/>
          <w:kern w:val="0"/>
          <w:szCs w:val="21"/>
        </w:rPr>
        <w:t xml:space="preserve"> </w:t>
      </w:r>
      <w:r>
        <w:rPr>
          <w:rFonts w:hint="eastAsia"/>
          <w:bCs/>
          <w:kern w:val="0"/>
          <w:szCs w:val="21"/>
        </w:rPr>
        <w:t>年</w:t>
      </w:r>
    </w:p>
    <w:p w14:paraId="0D1E8235" w14:textId="77777777" w:rsidR="00F5289E" w:rsidRDefault="00C91173">
      <w:pPr>
        <w:widowControl/>
        <w:snapToGrid w:val="0"/>
        <w:spacing w:line="360" w:lineRule="auto"/>
        <w:ind w:firstLineChars="800" w:firstLine="1680"/>
        <w:jc w:val="left"/>
        <w:rPr>
          <w:bCs/>
          <w:kern w:val="0"/>
          <w:szCs w:val="21"/>
        </w:rPr>
      </w:pPr>
      <w:r>
        <w:rPr>
          <w:rFonts w:hAnsi="宋体" w:hint="eastAsia"/>
          <w:bCs/>
          <w:kern w:val="0"/>
          <w:szCs w:val="21"/>
        </w:rPr>
        <w:t>《</w:t>
      </w:r>
      <w:r>
        <w:rPr>
          <w:rFonts w:hAnsi="宋体"/>
          <w:bCs/>
          <w:kern w:val="0"/>
          <w:szCs w:val="21"/>
        </w:rPr>
        <w:t>酿酒葡萄品种学</w:t>
      </w:r>
      <w:r>
        <w:rPr>
          <w:rFonts w:hAnsi="宋体" w:hint="eastAsia"/>
          <w:bCs/>
          <w:kern w:val="0"/>
          <w:szCs w:val="21"/>
        </w:rPr>
        <w:t>》</w:t>
      </w:r>
      <w:r>
        <w:rPr>
          <w:rFonts w:hAnsi="宋体"/>
          <w:bCs/>
          <w:kern w:val="0"/>
          <w:szCs w:val="21"/>
        </w:rPr>
        <w:t>，战吉宬，中国农业大学出版社，</w:t>
      </w:r>
      <w:r>
        <w:rPr>
          <w:bCs/>
          <w:kern w:val="0"/>
          <w:szCs w:val="21"/>
        </w:rPr>
        <w:t>20</w:t>
      </w:r>
      <w:r>
        <w:rPr>
          <w:rFonts w:hint="eastAsia"/>
          <w:bCs/>
          <w:kern w:val="0"/>
          <w:szCs w:val="21"/>
        </w:rPr>
        <w:t>20</w:t>
      </w:r>
      <w:r>
        <w:rPr>
          <w:bCs/>
          <w:kern w:val="0"/>
          <w:szCs w:val="21"/>
        </w:rPr>
        <w:t xml:space="preserve"> </w:t>
      </w:r>
      <w:r>
        <w:rPr>
          <w:rFonts w:hint="eastAsia"/>
          <w:bCs/>
          <w:kern w:val="0"/>
          <w:szCs w:val="21"/>
        </w:rPr>
        <w:t>年</w:t>
      </w:r>
    </w:p>
    <w:p w14:paraId="6675E027" w14:textId="77777777" w:rsidR="00F5289E" w:rsidRDefault="00C91173">
      <w:pPr>
        <w:widowControl/>
        <w:snapToGrid w:val="0"/>
        <w:spacing w:line="360" w:lineRule="auto"/>
        <w:ind w:firstLineChars="800" w:firstLine="1680"/>
        <w:jc w:val="left"/>
        <w:rPr>
          <w:bCs/>
          <w:kern w:val="0"/>
          <w:szCs w:val="21"/>
        </w:rPr>
      </w:pPr>
      <w:r>
        <w:rPr>
          <w:rFonts w:hAnsi="宋体" w:hint="eastAsia"/>
          <w:bCs/>
          <w:kern w:val="0"/>
          <w:szCs w:val="21"/>
        </w:rPr>
        <w:t>《</w:t>
      </w:r>
      <w:r>
        <w:rPr>
          <w:rFonts w:hAnsi="宋体"/>
          <w:bCs/>
          <w:kern w:val="0"/>
          <w:szCs w:val="21"/>
        </w:rPr>
        <w:t>葡萄酒工艺学</w:t>
      </w:r>
      <w:r>
        <w:rPr>
          <w:rFonts w:hAnsi="宋体" w:hint="eastAsia"/>
          <w:bCs/>
          <w:kern w:val="0"/>
          <w:szCs w:val="21"/>
        </w:rPr>
        <w:t>》</w:t>
      </w:r>
      <w:r>
        <w:rPr>
          <w:rFonts w:hAnsi="宋体"/>
          <w:bCs/>
          <w:kern w:val="0"/>
          <w:szCs w:val="21"/>
        </w:rPr>
        <w:t>，李华，科学出版社，</w:t>
      </w:r>
      <w:r>
        <w:rPr>
          <w:bCs/>
          <w:kern w:val="0"/>
          <w:szCs w:val="21"/>
        </w:rPr>
        <w:t>20</w:t>
      </w:r>
      <w:r>
        <w:rPr>
          <w:rFonts w:hint="eastAsia"/>
          <w:bCs/>
          <w:kern w:val="0"/>
          <w:szCs w:val="21"/>
        </w:rPr>
        <w:t>21</w:t>
      </w:r>
      <w:r>
        <w:rPr>
          <w:bCs/>
          <w:kern w:val="0"/>
          <w:szCs w:val="21"/>
        </w:rPr>
        <w:t xml:space="preserve"> </w:t>
      </w:r>
      <w:r>
        <w:rPr>
          <w:rFonts w:hint="eastAsia"/>
          <w:bCs/>
          <w:kern w:val="0"/>
          <w:szCs w:val="21"/>
        </w:rPr>
        <w:t>年</w:t>
      </w:r>
    </w:p>
    <w:p w14:paraId="53251B26"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518F589F" w14:textId="77777777" w:rsidR="00F5289E" w:rsidRDefault="00C91173">
      <w:pPr>
        <w:widowControl/>
        <w:snapToGrid w:val="0"/>
        <w:spacing w:line="360" w:lineRule="auto"/>
        <w:ind w:firstLineChars="200" w:firstLine="420"/>
        <w:rPr>
          <w:rFonts w:ascii="宋体" w:hAnsi="宋体"/>
          <w:bCs/>
          <w:szCs w:val="21"/>
        </w:rPr>
      </w:pPr>
      <w:r>
        <w:rPr>
          <w:rFonts w:ascii="宋体" w:hAnsi="宋体" w:hint="eastAsia"/>
          <w:bCs/>
          <w:szCs w:val="21"/>
        </w:rPr>
        <w:t>（</w:t>
      </w:r>
      <w:r>
        <w:rPr>
          <w:rFonts w:ascii="宋体" w:hAnsi="宋体"/>
          <w:bCs/>
          <w:szCs w:val="21"/>
        </w:rPr>
        <w:t>1</w:t>
      </w:r>
      <w:r>
        <w:rPr>
          <w:rFonts w:ascii="宋体" w:hAnsi="宋体" w:hint="eastAsia"/>
          <w:bCs/>
          <w:szCs w:val="21"/>
        </w:rPr>
        <w:t>）《</w:t>
      </w:r>
      <w:r>
        <w:rPr>
          <w:rFonts w:hAnsi="宋体"/>
          <w:bCs/>
          <w:kern w:val="0"/>
          <w:szCs w:val="21"/>
        </w:rPr>
        <w:t>葡萄酒的品尝：一本专业的学习手册</w:t>
      </w:r>
      <w:r>
        <w:rPr>
          <w:rFonts w:hAnsi="宋体" w:hint="eastAsia"/>
          <w:bCs/>
          <w:kern w:val="0"/>
          <w:szCs w:val="21"/>
        </w:rPr>
        <w:t>》</w:t>
      </w:r>
      <w:r>
        <w:rPr>
          <w:rFonts w:hAnsi="宋体"/>
          <w:bCs/>
          <w:kern w:val="0"/>
          <w:szCs w:val="21"/>
        </w:rPr>
        <w:t>（</w:t>
      </w:r>
      <w:r>
        <w:rPr>
          <w:bCs/>
          <w:kern w:val="0"/>
          <w:szCs w:val="21"/>
        </w:rPr>
        <w:t>Wine Tasting A Professional Handbook</w:t>
      </w:r>
      <w:r>
        <w:rPr>
          <w:rFonts w:hAnsi="宋体"/>
          <w:bCs/>
          <w:kern w:val="0"/>
          <w:szCs w:val="21"/>
        </w:rPr>
        <w:t>），</w:t>
      </w:r>
      <w:r>
        <w:rPr>
          <w:bCs/>
          <w:kern w:val="0"/>
          <w:szCs w:val="21"/>
        </w:rPr>
        <w:t xml:space="preserve">Ronald </w:t>
      </w:r>
      <w:proofErr w:type="spellStart"/>
      <w:r>
        <w:rPr>
          <w:bCs/>
          <w:kern w:val="0"/>
          <w:szCs w:val="21"/>
        </w:rPr>
        <w:t>S.Jackson</w:t>
      </w:r>
      <w:proofErr w:type="spellEnd"/>
      <w:r>
        <w:rPr>
          <w:rFonts w:hAnsi="宋体"/>
          <w:bCs/>
          <w:kern w:val="0"/>
          <w:szCs w:val="21"/>
        </w:rPr>
        <w:t>，中国农业大学出版社，</w:t>
      </w:r>
      <w:r>
        <w:rPr>
          <w:bCs/>
          <w:kern w:val="0"/>
          <w:szCs w:val="21"/>
        </w:rPr>
        <w:t>2009</w:t>
      </w:r>
      <w:r>
        <w:rPr>
          <w:rFonts w:ascii="宋体" w:hAnsi="宋体" w:hint="eastAsia"/>
          <w:bCs/>
          <w:szCs w:val="21"/>
        </w:rPr>
        <w:t>年</w:t>
      </w:r>
    </w:p>
    <w:p w14:paraId="0347A11C" w14:textId="77777777" w:rsidR="00F5289E" w:rsidRDefault="00C91173">
      <w:pPr>
        <w:widowControl/>
        <w:snapToGrid w:val="0"/>
        <w:spacing w:line="360" w:lineRule="auto"/>
        <w:ind w:firstLineChars="200" w:firstLine="420"/>
        <w:rPr>
          <w:rFonts w:ascii="宋体" w:hAnsi="宋体"/>
          <w:bCs/>
          <w:szCs w:val="21"/>
        </w:rPr>
      </w:pPr>
      <w:r>
        <w:rPr>
          <w:rFonts w:ascii="宋体" w:hAnsi="宋体" w:hint="eastAsia"/>
          <w:bCs/>
          <w:szCs w:val="21"/>
        </w:rPr>
        <w:t>（2）《</w:t>
      </w:r>
      <w:r>
        <w:rPr>
          <w:rFonts w:hAnsi="宋体"/>
          <w:bCs/>
          <w:kern w:val="0"/>
          <w:szCs w:val="21"/>
        </w:rPr>
        <w:t>世界葡萄酒地图</w:t>
      </w:r>
      <w:r>
        <w:rPr>
          <w:rFonts w:hAnsi="宋体" w:hint="eastAsia"/>
          <w:bCs/>
          <w:kern w:val="0"/>
          <w:szCs w:val="21"/>
        </w:rPr>
        <w:t>》</w:t>
      </w:r>
      <w:r>
        <w:rPr>
          <w:rFonts w:hAnsi="宋体"/>
          <w:bCs/>
          <w:kern w:val="0"/>
          <w:szCs w:val="21"/>
        </w:rPr>
        <w:t>，</w:t>
      </w:r>
      <w:r>
        <w:rPr>
          <w:bCs/>
          <w:kern w:val="0"/>
          <w:szCs w:val="21"/>
        </w:rPr>
        <w:t>Hugh Johnson</w:t>
      </w:r>
      <w:r>
        <w:rPr>
          <w:rFonts w:hAnsi="宋体"/>
          <w:bCs/>
          <w:kern w:val="0"/>
          <w:szCs w:val="21"/>
        </w:rPr>
        <w:t>，中信出版社，</w:t>
      </w:r>
      <w:r>
        <w:rPr>
          <w:bCs/>
          <w:kern w:val="0"/>
          <w:szCs w:val="21"/>
        </w:rPr>
        <w:t>2014</w:t>
      </w:r>
      <w:r>
        <w:rPr>
          <w:rFonts w:ascii="宋体" w:hAnsi="宋体" w:hint="eastAsia"/>
          <w:bCs/>
          <w:szCs w:val="21"/>
        </w:rPr>
        <w:t>年</w:t>
      </w:r>
    </w:p>
    <w:p w14:paraId="6DFC5E60" w14:textId="77777777" w:rsidR="00F5289E" w:rsidRDefault="00C91173">
      <w:pPr>
        <w:snapToGrid w:val="0"/>
        <w:spacing w:line="360" w:lineRule="auto"/>
        <w:ind w:firstLineChars="200" w:firstLine="420"/>
        <w:rPr>
          <w:rFonts w:ascii="宋体" w:hAnsi="宋体"/>
          <w:bCs/>
          <w:color w:val="0000FF"/>
          <w:kern w:val="0"/>
          <w:szCs w:val="21"/>
        </w:rPr>
      </w:pPr>
      <w:r>
        <w:rPr>
          <w:rFonts w:ascii="宋体" w:hAnsi="宋体" w:hint="eastAsia"/>
          <w:bCs/>
          <w:szCs w:val="21"/>
        </w:rPr>
        <w:t>（3）《</w:t>
      </w:r>
      <w:r>
        <w:rPr>
          <w:rFonts w:hAnsi="宋体"/>
          <w:bCs/>
          <w:kern w:val="0"/>
          <w:szCs w:val="21"/>
        </w:rPr>
        <w:t>东品西酿</w:t>
      </w:r>
      <w:r>
        <w:rPr>
          <w:rFonts w:hAnsi="宋体" w:hint="eastAsia"/>
          <w:bCs/>
          <w:kern w:val="0"/>
          <w:szCs w:val="21"/>
        </w:rPr>
        <w:t>》</w:t>
      </w:r>
      <w:r>
        <w:rPr>
          <w:rFonts w:hAnsi="宋体"/>
          <w:bCs/>
          <w:kern w:val="0"/>
          <w:szCs w:val="21"/>
        </w:rPr>
        <w:t>，</w:t>
      </w:r>
      <w:r>
        <w:rPr>
          <w:rFonts w:hint="eastAsia"/>
          <w:bCs/>
          <w:kern w:val="0"/>
          <w:szCs w:val="21"/>
        </w:rPr>
        <w:t>（</w:t>
      </w:r>
      <w:r>
        <w:rPr>
          <w:rFonts w:hAnsi="宋体"/>
          <w:bCs/>
          <w:kern w:val="0"/>
          <w:szCs w:val="21"/>
        </w:rPr>
        <w:t>李志延</w:t>
      </w:r>
      <w:r>
        <w:rPr>
          <w:rFonts w:hint="eastAsia"/>
          <w:bCs/>
          <w:kern w:val="0"/>
          <w:szCs w:val="21"/>
        </w:rPr>
        <w:t>）</w:t>
      </w:r>
      <w:r>
        <w:rPr>
          <w:rFonts w:hAnsi="宋体"/>
          <w:bCs/>
          <w:kern w:val="0"/>
          <w:szCs w:val="21"/>
        </w:rPr>
        <w:t>韩，中信出版社，</w:t>
      </w:r>
      <w:r>
        <w:rPr>
          <w:bCs/>
          <w:kern w:val="0"/>
          <w:szCs w:val="21"/>
        </w:rPr>
        <w:t>2012</w:t>
      </w:r>
      <w:r>
        <w:rPr>
          <w:rFonts w:ascii="宋体" w:hAnsi="宋体" w:hint="eastAsia"/>
          <w:bCs/>
          <w:szCs w:val="21"/>
        </w:rPr>
        <w:t>年</w:t>
      </w:r>
    </w:p>
    <w:p w14:paraId="05BD735B"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4FFF1272" w14:textId="77777777" w:rsidR="00F5289E" w:rsidRDefault="00C91173">
      <w:pPr>
        <w:widowControl/>
        <w:snapToGrid w:val="0"/>
        <w:spacing w:line="360" w:lineRule="auto"/>
        <w:ind w:firstLineChars="200" w:firstLine="420"/>
        <w:rPr>
          <w:rFonts w:ascii="宋体" w:hAnsi="宋体"/>
          <w:bCs/>
          <w:szCs w:val="21"/>
        </w:rPr>
      </w:pPr>
      <w:r>
        <w:rPr>
          <w:rFonts w:ascii="宋体" w:hAnsi="宋体" w:hint="eastAsia"/>
          <w:bCs/>
          <w:szCs w:val="21"/>
        </w:rPr>
        <w:t xml:space="preserve">（1） </w:t>
      </w:r>
      <w:r>
        <w:rPr>
          <w:rFonts w:ascii="宋体" w:hAnsi="宋体"/>
          <w:bCs/>
          <w:szCs w:val="21"/>
        </w:rPr>
        <w:t>世界红酒网，</w:t>
      </w:r>
      <w:r w:rsidRPr="00E745E8">
        <w:rPr>
          <w:bCs/>
          <w:szCs w:val="21"/>
        </w:rPr>
        <w:t>http://www.wine-world.com/</w:t>
      </w:r>
    </w:p>
    <w:p w14:paraId="07737596" w14:textId="043DCB5D" w:rsidR="00F5289E" w:rsidRPr="00E745E8" w:rsidRDefault="00C91173">
      <w:pPr>
        <w:widowControl/>
        <w:snapToGrid w:val="0"/>
        <w:spacing w:line="360" w:lineRule="auto"/>
        <w:ind w:firstLineChars="200" w:firstLine="420"/>
        <w:rPr>
          <w:bCs/>
          <w:szCs w:val="21"/>
        </w:rPr>
      </w:pPr>
      <w:r w:rsidRPr="00E745E8">
        <w:rPr>
          <w:bCs/>
          <w:szCs w:val="21"/>
        </w:rPr>
        <w:lastRenderedPageBreak/>
        <w:t>（</w:t>
      </w:r>
      <w:r w:rsidRPr="00E745E8">
        <w:rPr>
          <w:bCs/>
          <w:szCs w:val="21"/>
        </w:rPr>
        <w:t>2</w:t>
      </w:r>
      <w:r w:rsidRPr="00E745E8">
        <w:rPr>
          <w:bCs/>
          <w:szCs w:val="21"/>
        </w:rPr>
        <w:t>）</w:t>
      </w:r>
      <w:r w:rsidRPr="00E745E8">
        <w:rPr>
          <w:bCs/>
          <w:szCs w:val="21"/>
        </w:rPr>
        <w:t xml:space="preserve"> </w:t>
      </w:r>
      <w:r w:rsidRPr="00E745E8">
        <w:rPr>
          <w:bCs/>
          <w:szCs w:val="21"/>
        </w:rPr>
        <w:t>中国葡萄酒资讯网，</w:t>
      </w:r>
      <w:r w:rsidRPr="00E745E8">
        <w:rPr>
          <w:bCs/>
          <w:szCs w:val="21"/>
        </w:rPr>
        <w:t>http://www.wines-info.com/</w:t>
      </w:r>
    </w:p>
    <w:p w14:paraId="7372AA9F" w14:textId="77777777" w:rsidR="00F5289E" w:rsidRPr="00E745E8" w:rsidRDefault="00C91173">
      <w:pPr>
        <w:widowControl/>
        <w:snapToGrid w:val="0"/>
        <w:spacing w:line="360" w:lineRule="auto"/>
        <w:ind w:firstLineChars="200" w:firstLine="420"/>
        <w:rPr>
          <w:rStyle w:val="afa"/>
          <w:color w:val="000000" w:themeColor="text1"/>
          <w:u w:val="none"/>
        </w:rPr>
      </w:pPr>
      <w:r w:rsidRPr="00E745E8">
        <w:rPr>
          <w:bCs/>
          <w:szCs w:val="21"/>
        </w:rPr>
        <w:t>（</w:t>
      </w:r>
      <w:r w:rsidRPr="00E745E8">
        <w:rPr>
          <w:bCs/>
          <w:szCs w:val="21"/>
        </w:rPr>
        <w:t>3</w:t>
      </w:r>
      <w:r w:rsidRPr="00E745E8">
        <w:rPr>
          <w:bCs/>
          <w:szCs w:val="21"/>
        </w:rPr>
        <w:t>）</w:t>
      </w:r>
      <w:r w:rsidRPr="00E745E8">
        <w:rPr>
          <w:bCs/>
          <w:szCs w:val="21"/>
        </w:rPr>
        <w:t xml:space="preserve"> </w:t>
      </w:r>
      <w:r w:rsidRPr="00E745E8">
        <w:rPr>
          <w:rStyle w:val="afa"/>
          <w:bCs/>
          <w:color w:val="000000" w:themeColor="text1"/>
          <w:u w:val="none"/>
        </w:rPr>
        <w:t>International Organization of Vine and Wine</w:t>
      </w:r>
      <w:r w:rsidRPr="00E745E8">
        <w:rPr>
          <w:rStyle w:val="afa"/>
          <w:bCs/>
          <w:color w:val="000000" w:themeColor="text1"/>
          <w:u w:val="none"/>
        </w:rPr>
        <w:t>，</w:t>
      </w:r>
      <w:r w:rsidRPr="00E745E8">
        <w:rPr>
          <w:rStyle w:val="afa"/>
          <w:bCs/>
          <w:color w:val="000000" w:themeColor="text1"/>
          <w:u w:val="none"/>
        </w:rPr>
        <w:t>http://www.oiv.int/</w:t>
      </w:r>
    </w:p>
    <w:p w14:paraId="11087945"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0D2107F0" w14:textId="77777777" w:rsidR="00F5289E" w:rsidRDefault="00C91173">
      <w:pPr>
        <w:snapToGrid w:val="0"/>
        <w:spacing w:line="360" w:lineRule="auto"/>
        <w:ind w:firstLineChars="200" w:firstLine="420"/>
        <w:rPr>
          <w:rFonts w:ascii="宋体" w:hAnsi="宋体"/>
          <w:szCs w:val="21"/>
        </w:rPr>
      </w:pPr>
      <w:r>
        <w:rPr>
          <w:rFonts w:ascii="宋体" w:hAnsi="宋体" w:hint="eastAsia"/>
          <w:bCs/>
          <w:szCs w:val="21"/>
        </w:rPr>
        <w:t>教学设施完备，教学条件优良，教师结构合理。目前河南农业大学龙子湖校区力行楼建立葡萄酒教学实验室，向企业定制了一批葡萄除梗破碎机、控温发酵罐、压榨机等葡萄酒发酵设备，同时也购买了恒温酒柜、冰箱、无菌操作台、葡萄酒灌装机、酒鼻子等全套教学设备，能够满足葡萄发酵和分析检测等本科教学任务。</w:t>
      </w:r>
    </w:p>
    <w:p w14:paraId="473A3AAF"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1FEA23C4" w14:textId="77777777" w:rsidR="00F5289E" w:rsidRDefault="00C91173">
      <w:pPr>
        <w:widowControl/>
        <w:snapToGrid w:val="0"/>
        <w:spacing w:line="360" w:lineRule="auto"/>
        <w:ind w:firstLine="420"/>
        <w:jc w:val="left"/>
        <w:rPr>
          <w:rFonts w:ascii="宋体" w:hAnsi="宋体"/>
          <w:color w:val="FF0000"/>
        </w:rPr>
      </w:pPr>
      <w:r>
        <w:rPr>
          <w:rFonts w:hAnsi="宋体" w:hint="eastAsia"/>
          <w:b/>
          <w:bCs/>
          <w:kern w:val="0"/>
          <w:szCs w:val="21"/>
        </w:rPr>
        <w:t>1.</w:t>
      </w:r>
      <w:r>
        <w:rPr>
          <w:rFonts w:hAnsi="宋体" w:hint="eastAsia"/>
          <w:b/>
          <w:bCs/>
          <w:kern w:val="0"/>
          <w:szCs w:val="21"/>
        </w:rPr>
        <w:t>过程性评价：</w:t>
      </w:r>
    </w:p>
    <w:p w14:paraId="746AE806" w14:textId="77777777" w:rsidR="00F5289E" w:rsidRDefault="00C91173">
      <w:pPr>
        <w:widowControl/>
        <w:snapToGrid w:val="0"/>
        <w:spacing w:line="360" w:lineRule="auto"/>
        <w:ind w:firstLine="420"/>
        <w:jc w:val="left"/>
      </w:pPr>
      <w:r>
        <w:rPr>
          <w:rFonts w:hint="eastAsia"/>
        </w:rPr>
        <w:t>教学评价不再唯分数论，以分数评价学生表现，综合考虑课堂表现、创新能力、动手能力等多重因素，更加注重过程性评价。利用现代信息技术手段，实施课堂教学动态评价，推进教学评价由结果评价向过程评价、硬性评价向弹性评价转变。建立学习效果多元评价机制，完善学业考核评价体系，鼓励学生通过参加竞赛活动、社会实践、科学研究、创新创业等获取学分。</w:t>
      </w:r>
    </w:p>
    <w:p w14:paraId="44541582" w14:textId="77777777" w:rsidR="00F5289E" w:rsidRDefault="00C91173">
      <w:pPr>
        <w:widowControl/>
        <w:snapToGrid w:val="0"/>
        <w:spacing w:line="360" w:lineRule="auto"/>
        <w:ind w:firstLine="420"/>
        <w:jc w:val="left"/>
      </w:pPr>
      <w:r>
        <w:rPr>
          <w:rFonts w:hint="eastAsia"/>
        </w:rPr>
        <w:t>结合课堂提问、课后作业、平时测验、案例分析、实际操作训练、考试情况综合评价学生成绩。具体考核方案为：平时成绩</w:t>
      </w:r>
      <w:r>
        <w:rPr>
          <w:rFonts w:hint="eastAsia"/>
        </w:rPr>
        <w:t>100</w:t>
      </w:r>
      <w:r>
        <w:rPr>
          <w:rFonts w:hint="eastAsia"/>
        </w:rPr>
        <w:t>分，包含出勤情况及课堂表现</w:t>
      </w:r>
      <w:r>
        <w:rPr>
          <w:rFonts w:hint="eastAsia"/>
        </w:rPr>
        <w:t>20%</w:t>
      </w:r>
      <w:r>
        <w:rPr>
          <w:rFonts w:hint="eastAsia"/>
        </w:rPr>
        <w:t>，课堂实训</w:t>
      </w:r>
      <w:r>
        <w:rPr>
          <w:rFonts w:hint="eastAsia"/>
        </w:rPr>
        <w:t>40%</w:t>
      </w:r>
      <w:r>
        <w:rPr>
          <w:rFonts w:hint="eastAsia"/>
        </w:rPr>
        <w:t>，课后作业论文</w:t>
      </w:r>
      <w:r>
        <w:rPr>
          <w:rFonts w:hint="eastAsia"/>
        </w:rPr>
        <w:t>40%</w:t>
      </w:r>
      <w:r>
        <w:rPr>
          <w:rFonts w:hint="eastAsia"/>
        </w:rPr>
        <w:t>；期末终结性考核（论文）</w:t>
      </w:r>
      <w:r>
        <w:rPr>
          <w:rFonts w:hint="eastAsia"/>
        </w:rPr>
        <w:t>100</w:t>
      </w:r>
      <w:r>
        <w:rPr>
          <w:rFonts w:hint="eastAsia"/>
        </w:rPr>
        <w:t>分。</w:t>
      </w:r>
    </w:p>
    <w:p w14:paraId="68C9E248" w14:textId="77777777" w:rsidR="00F5289E" w:rsidRDefault="00C91173">
      <w:pPr>
        <w:widowControl/>
        <w:tabs>
          <w:tab w:val="left" w:pos="7250"/>
        </w:tabs>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r>
        <w:rPr>
          <w:rFonts w:ascii="宋体" w:hAnsi="宋体" w:hint="eastAsia"/>
          <w:bCs/>
          <w:szCs w:val="21"/>
        </w:rPr>
        <w:t>本门课程考试方法为课程论文形式。包含课程过程中的3-4篇小论文，课程结束后的结课论文。</w:t>
      </w:r>
      <w:r>
        <w:rPr>
          <w:rFonts w:ascii="宋体" w:hAnsi="宋体"/>
        </w:rPr>
        <w:tab/>
      </w:r>
    </w:p>
    <w:p w14:paraId="23FADDFE" w14:textId="77777777" w:rsidR="00F5289E" w:rsidRDefault="00C91173">
      <w:pPr>
        <w:widowControl/>
        <w:snapToGrid w:val="0"/>
        <w:spacing w:line="360" w:lineRule="auto"/>
        <w:ind w:firstLine="420"/>
        <w:jc w:val="left"/>
        <w:rPr>
          <w:rFonts w:asciiTheme="minorEastAsia" w:eastAsiaTheme="minorEastAsia" w:hAnsiTheme="minorEastAsia"/>
          <w:szCs w:val="21"/>
        </w:rPr>
      </w:pPr>
      <w:r>
        <w:rPr>
          <w:rFonts w:hAnsi="宋体" w:hint="eastAsia"/>
          <w:b/>
          <w:bCs/>
          <w:kern w:val="0"/>
          <w:szCs w:val="21"/>
        </w:rPr>
        <w:t>3.</w:t>
      </w:r>
      <w:r>
        <w:rPr>
          <w:rFonts w:hAnsi="宋体" w:hint="eastAsia"/>
          <w:b/>
          <w:bCs/>
          <w:kern w:val="0"/>
          <w:szCs w:val="21"/>
        </w:rPr>
        <w:t>课程综合评价：</w:t>
      </w:r>
      <w:r>
        <w:rPr>
          <w:rFonts w:ascii="宋体" w:hAnsi="宋体" w:hint="eastAsia"/>
          <w:bCs/>
          <w:szCs w:val="21"/>
        </w:rPr>
        <w:t>总成绩=平时成绩 50％＋结课论文成绩 50％。过程性评价主要考核学生的学习态度、辩证思维、分析解决问题和实践操作能力。终结性评价主要考研学生对本科课程知识体系的掌握。</w:t>
      </w:r>
    </w:p>
    <w:p w14:paraId="6A231A16" w14:textId="77777777" w:rsidR="00F5289E" w:rsidRDefault="00C91173">
      <w:pPr>
        <w:widowControl/>
        <w:jc w:val="left"/>
        <w:rPr>
          <w:rStyle w:val="10"/>
        </w:rPr>
      </w:pPr>
      <w:r>
        <w:rPr>
          <w:rStyle w:val="10"/>
        </w:rPr>
        <w:br w:type="page"/>
      </w:r>
    </w:p>
    <w:p w14:paraId="5FAC9C66" w14:textId="77777777" w:rsidR="00F5289E" w:rsidRDefault="00C91173">
      <w:pPr>
        <w:pStyle w:val="1"/>
        <w:rPr>
          <w:szCs w:val="28"/>
        </w:rPr>
      </w:pPr>
      <w:bookmarkStart w:id="100" w:name="_Toc138606252"/>
      <w:r>
        <w:rPr>
          <w:rFonts w:hint="eastAsia"/>
        </w:rPr>
        <w:lastRenderedPageBreak/>
        <w:t>智慧园艺</w:t>
      </w:r>
      <w:bookmarkEnd w:id="100"/>
    </w:p>
    <w:p w14:paraId="7BF8F029" w14:textId="77777777" w:rsidR="00F5289E" w:rsidRDefault="00C91173">
      <w:pPr>
        <w:shd w:val="solid" w:color="FFFFFF" w:fill="auto"/>
        <w:autoSpaceDN w:val="0"/>
        <w:spacing w:line="360" w:lineRule="auto"/>
        <w:ind w:right="369"/>
        <w:jc w:val="center"/>
        <w:rPr>
          <w:bCs/>
          <w:iCs/>
          <w:sz w:val="24"/>
          <w:shd w:val="clear" w:color="auto" w:fill="FFFFFF"/>
        </w:rPr>
      </w:pPr>
      <w:r>
        <w:rPr>
          <w:bCs/>
          <w:iCs/>
          <w:sz w:val="24"/>
        </w:rPr>
        <w:t>（</w:t>
      </w:r>
      <w:r>
        <w:rPr>
          <w:rFonts w:hint="eastAsia"/>
          <w:iCs/>
          <w:sz w:val="24"/>
          <w:shd w:val="clear" w:color="auto" w:fill="FFFFFF"/>
        </w:rPr>
        <w:t>Intelligent Horticulture</w:t>
      </w:r>
      <w:r>
        <w:rPr>
          <w:bCs/>
          <w:iCs/>
          <w:sz w:val="24"/>
          <w:shd w:val="clear" w:color="auto" w:fill="FFFFFF"/>
        </w:rPr>
        <w:t>)</w:t>
      </w:r>
    </w:p>
    <w:p w14:paraId="18223F72" w14:textId="77777777" w:rsidR="00F5289E" w:rsidRDefault="00F5289E">
      <w:pPr>
        <w:snapToGrid w:val="0"/>
        <w:spacing w:line="360" w:lineRule="auto"/>
        <w:jc w:val="center"/>
        <w:rPr>
          <w:b/>
          <w:szCs w:val="21"/>
        </w:rPr>
      </w:pPr>
    </w:p>
    <w:p w14:paraId="74E8B747" w14:textId="77777777" w:rsidR="00F5289E" w:rsidRDefault="00C91173">
      <w:pPr>
        <w:snapToGrid w:val="0"/>
        <w:spacing w:line="360" w:lineRule="auto"/>
        <w:jc w:val="center"/>
        <w:rPr>
          <w:b/>
          <w:szCs w:val="21"/>
        </w:rPr>
      </w:pPr>
      <w:r>
        <w:rPr>
          <w:b/>
          <w:szCs w:val="21"/>
        </w:rPr>
        <w:t>课程基本信息</w:t>
      </w:r>
    </w:p>
    <w:tbl>
      <w:tblPr>
        <w:tblW w:w="0" w:type="auto"/>
        <w:tblLayout w:type="fixed"/>
        <w:tblLook w:val="04A0" w:firstRow="1" w:lastRow="0" w:firstColumn="1" w:lastColumn="0" w:noHBand="0" w:noVBand="1"/>
      </w:tblPr>
      <w:tblGrid>
        <w:gridCol w:w="3038"/>
        <w:gridCol w:w="2649"/>
        <w:gridCol w:w="3429"/>
      </w:tblGrid>
      <w:tr w:rsidR="00F5289E" w14:paraId="49FE13B5" w14:textId="77777777">
        <w:tc>
          <w:tcPr>
            <w:tcW w:w="3038" w:type="dxa"/>
          </w:tcPr>
          <w:p w14:paraId="1ECC07D8" w14:textId="77777777" w:rsidR="00F5289E" w:rsidRDefault="00C91173">
            <w:pPr>
              <w:spacing w:line="300" w:lineRule="auto"/>
              <w:rPr>
                <w:b/>
                <w:bCs/>
                <w:szCs w:val="21"/>
              </w:rPr>
            </w:pPr>
            <w:r>
              <w:rPr>
                <w:b/>
                <w:bCs/>
                <w:szCs w:val="21"/>
              </w:rPr>
              <w:t>课程编号：</w:t>
            </w:r>
            <w:r w:rsidRPr="00E73F67">
              <w:rPr>
                <w:szCs w:val="21"/>
              </w:rPr>
              <w:t>19011121</w:t>
            </w:r>
            <w:r>
              <w:rPr>
                <w:rFonts w:hint="eastAsia"/>
                <w:b/>
                <w:bCs/>
                <w:szCs w:val="21"/>
              </w:rPr>
              <w:t xml:space="preserve"> </w:t>
            </w:r>
          </w:p>
        </w:tc>
        <w:tc>
          <w:tcPr>
            <w:tcW w:w="2649" w:type="dxa"/>
          </w:tcPr>
          <w:p w14:paraId="1455B66C" w14:textId="77777777" w:rsidR="00F5289E" w:rsidRDefault="00C91173">
            <w:pPr>
              <w:spacing w:line="300" w:lineRule="auto"/>
              <w:rPr>
                <w:b/>
                <w:bCs/>
                <w:szCs w:val="21"/>
              </w:rPr>
            </w:pPr>
            <w:r>
              <w:rPr>
                <w:b/>
                <w:bCs/>
                <w:szCs w:val="21"/>
              </w:rPr>
              <w:t>课程总学时：</w:t>
            </w:r>
            <w:r w:rsidRPr="00E73F67">
              <w:rPr>
                <w:szCs w:val="21"/>
              </w:rPr>
              <w:t>32</w:t>
            </w:r>
          </w:p>
        </w:tc>
        <w:tc>
          <w:tcPr>
            <w:tcW w:w="3429" w:type="dxa"/>
          </w:tcPr>
          <w:p w14:paraId="3744159E" w14:textId="77777777" w:rsidR="00F5289E" w:rsidRDefault="00C91173">
            <w:pPr>
              <w:spacing w:line="300" w:lineRule="auto"/>
              <w:rPr>
                <w:b/>
                <w:bCs/>
                <w:szCs w:val="21"/>
              </w:rPr>
            </w:pPr>
            <w:r>
              <w:rPr>
                <w:b/>
                <w:bCs/>
                <w:szCs w:val="21"/>
              </w:rPr>
              <w:t>实验学时：</w:t>
            </w:r>
            <w:r w:rsidRPr="00E73F67">
              <w:rPr>
                <w:szCs w:val="21"/>
              </w:rPr>
              <w:t>8</w:t>
            </w:r>
          </w:p>
        </w:tc>
      </w:tr>
      <w:tr w:rsidR="00F5289E" w14:paraId="10FD3066" w14:textId="77777777">
        <w:tc>
          <w:tcPr>
            <w:tcW w:w="3038" w:type="dxa"/>
          </w:tcPr>
          <w:p w14:paraId="3346E145" w14:textId="77777777" w:rsidR="00F5289E" w:rsidRDefault="00C91173">
            <w:pPr>
              <w:spacing w:line="300" w:lineRule="auto"/>
              <w:rPr>
                <w:b/>
                <w:bCs/>
                <w:color w:val="FF0000"/>
                <w:szCs w:val="21"/>
              </w:rPr>
            </w:pPr>
            <w:r>
              <w:rPr>
                <w:b/>
                <w:bCs/>
                <w:szCs w:val="21"/>
              </w:rPr>
              <w:t>课程性质：</w:t>
            </w:r>
            <w:r w:rsidRPr="00E73F67">
              <w:rPr>
                <w:szCs w:val="21"/>
              </w:rPr>
              <w:t>选修</w:t>
            </w:r>
          </w:p>
        </w:tc>
        <w:tc>
          <w:tcPr>
            <w:tcW w:w="2649" w:type="dxa"/>
          </w:tcPr>
          <w:p w14:paraId="413CD7BA" w14:textId="77777777" w:rsidR="00F5289E" w:rsidRDefault="00C91173">
            <w:pPr>
              <w:spacing w:line="300" w:lineRule="auto"/>
              <w:rPr>
                <w:b/>
                <w:bCs/>
                <w:color w:val="FF0000"/>
                <w:szCs w:val="21"/>
              </w:rPr>
            </w:pPr>
            <w:r>
              <w:rPr>
                <w:b/>
                <w:szCs w:val="21"/>
              </w:rPr>
              <w:t>课程属性</w:t>
            </w:r>
            <w:r>
              <w:rPr>
                <w:b/>
                <w:szCs w:val="21"/>
              </w:rPr>
              <w:t xml:space="preserve">: </w:t>
            </w:r>
            <w:r w:rsidRPr="00E73F67">
              <w:rPr>
                <w:szCs w:val="21"/>
              </w:rPr>
              <w:t>专业拓展类</w:t>
            </w:r>
          </w:p>
        </w:tc>
        <w:tc>
          <w:tcPr>
            <w:tcW w:w="3429" w:type="dxa"/>
          </w:tcPr>
          <w:p w14:paraId="562CD53C" w14:textId="77777777" w:rsidR="00F5289E" w:rsidRDefault="00C91173">
            <w:pPr>
              <w:spacing w:line="300" w:lineRule="auto"/>
              <w:rPr>
                <w:b/>
                <w:bCs/>
                <w:szCs w:val="21"/>
              </w:rPr>
            </w:pPr>
            <w:r>
              <w:rPr>
                <w:b/>
                <w:bCs/>
                <w:szCs w:val="21"/>
              </w:rPr>
              <w:t>开设学期：</w:t>
            </w:r>
            <w:r w:rsidRPr="00E73F67">
              <w:rPr>
                <w:szCs w:val="21"/>
              </w:rPr>
              <w:t>第</w:t>
            </w:r>
            <w:r w:rsidRPr="00E73F67">
              <w:rPr>
                <w:szCs w:val="21"/>
              </w:rPr>
              <w:t>7</w:t>
            </w:r>
            <w:r w:rsidRPr="00E73F67">
              <w:rPr>
                <w:szCs w:val="21"/>
              </w:rPr>
              <w:t>学期</w:t>
            </w:r>
          </w:p>
        </w:tc>
      </w:tr>
    </w:tbl>
    <w:p w14:paraId="5C36651C" w14:textId="77777777" w:rsidR="00F5289E" w:rsidRDefault="00F5289E">
      <w:pPr>
        <w:rPr>
          <w:vanish/>
        </w:rPr>
      </w:pPr>
    </w:p>
    <w:tbl>
      <w:tblPr>
        <w:tblW w:w="9116" w:type="dxa"/>
        <w:tblBorders>
          <w:insideH w:val="single" w:sz="4" w:space="0" w:color="auto"/>
          <w:insideV w:val="single" w:sz="4" w:space="0" w:color="auto"/>
        </w:tblBorders>
        <w:tblLayout w:type="fixed"/>
        <w:tblLook w:val="04A0" w:firstRow="1" w:lastRow="0" w:firstColumn="1" w:lastColumn="0" w:noHBand="0" w:noVBand="1"/>
      </w:tblPr>
      <w:tblGrid>
        <w:gridCol w:w="3038"/>
        <w:gridCol w:w="2649"/>
        <w:gridCol w:w="3429"/>
      </w:tblGrid>
      <w:tr w:rsidR="00F5289E" w14:paraId="533A5833" w14:textId="77777777">
        <w:tc>
          <w:tcPr>
            <w:tcW w:w="3038" w:type="dxa"/>
            <w:tcBorders>
              <w:top w:val="nil"/>
              <w:left w:val="nil"/>
              <w:bottom w:val="nil"/>
              <w:right w:val="nil"/>
            </w:tcBorders>
          </w:tcPr>
          <w:p w14:paraId="2DD1DBE2" w14:textId="77777777" w:rsidR="00F5289E" w:rsidRDefault="00C91173">
            <w:pPr>
              <w:spacing w:line="300" w:lineRule="auto"/>
              <w:rPr>
                <w:rFonts w:ascii="宋体" w:hAnsi="宋体"/>
                <w:b/>
                <w:bCs/>
                <w:szCs w:val="21"/>
              </w:rPr>
            </w:pPr>
            <w:proofErr w:type="spellStart"/>
            <w:r>
              <w:rPr>
                <w:rFonts w:ascii="宋体" w:eastAsia="Times New Roman" w:hAnsi="宋体" w:hint="eastAsia"/>
                <w:b/>
                <w:bCs/>
              </w:rPr>
              <w:t>课程负责人</w:t>
            </w:r>
            <w:proofErr w:type="spellEnd"/>
            <w:r>
              <w:rPr>
                <w:rFonts w:ascii="宋体" w:eastAsia="Times New Roman" w:hAnsi="宋体" w:hint="eastAsia"/>
                <w:b/>
                <w:bCs/>
              </w:rPr>
              <w:t>：</w:t>
            </w:r>
            <w:r w:rsidRPr="00E73F67">
              <w:rPr>
                <w:szCs w:val="21"/>
              </w:rPr>
              <w:t>张涛</w:t>
            </w:r>
          </w:p>
        </w:tc>
        <w:tc>
          <w:tcPr>
            <w:tcW w:w="2649" w:type="dxa"/>
            <w:tcBorders>
              <w:top w:val="nil"/>
              <w:left w:val="nil"/>
              <w:bottom w:val="nil"/>
              <w:right w:val="nil"/>
            </w:tcBorders>
          </w:tcPr>
          <w:p w14:paraId="66ED387A" w14:textId="77777777" w:rsidR="00F5289E" w:rsidRDefault="00C91173">
            <w:pPr>
              <w:spacing w:line="300" w:lineRule="auto"/>
              <w:jc w:val="left"/>
              <w:rPr>
                <w:rFonts w:ascii="宋体" w:hAnsi="宋体"/>
                <w:b/>
                <w:bCs/>
              </w:rPr>
            </w:pPr>
            <w:proofErr w:type="spellStart"/>
            <w:r>
              <w:rPr>
                <w:rFonts w:ascii="宋体" w:eastAsia="Times New Roman" w:hAnsi="宋体" w:hint="eastAsia"/>
                <w:b/>
                <w:bCs/>
              </w:rPr>
              <w:t>课程团队</w:t>
            </w:r>
            <w:proofErr w:type="spellEnd"/>
            <w:r>
              <w:rPr>
                <w:rFonts w:ascii="宋体" w:eastAsia="Times New Roman" w:hAnsi="宋体" w:hint="eastAsia"/>
                <w:b/>
                <w:bCs/>
              </w:rPr>
              <w:t>：</w:t>
            </w:r>
            <w:r w:rsidRPr="00E73F67">
              <w:rPr>
                <w:szCs w:val="21"/>
              </w:rPr>
              <w:t>董韩、李阳、张坤玺、王永、安光辉</w:t>
            </w:r>
          </w:p>
        </w:tc>
        <w:tc>
          <w:tcPr>
            <w:tcW w:w="3429" w:type="dxa"/>
            <w:tcBorders>
              <w:top w:val="nil"/>
              <w:left w:val="nil"/>
              <w:bottom w:val="nil"/>
              <w:right w:val="nil"/>
            </w:tcBorders>
          </w:tcPr>
          <w:p w14:paraId="359C962F" w14:textId="77777777" w:rsidR="00F5289E" w:rsidRDefault="00C91173">
            <w:pPr>
              <w:spacing w:line="300" w:lineRule="auto"/>
              <w:jc w:val="left"/>
              <w:rPr>
                <w:rFonts w:ascii="宋体" w:eastAsia="Times New Roman" w:hAnsi="宋体"/>
                <w:b/>
                <w:bCs/>
              </w:rPr>
            </w:pPr>
            <w:proofErr w:type="spellStart"/>
            <w:r>
              <w:rPr>
                <w:rFonts w:ascii="宋体" w:eastAsia="Times New Roman" w:hAnsi="宋体" w:hint="eastAsia"/>
                <w:b/>
                <w:bCs/>
              </w:rPr>
              <w:t>授课语言</w:t>
            </w:r>
            <w:proofErr w:type="spellEnd"/>
            <w:r>
              <w:rPr>
                <w:rFonts w:ascii="宋体" w:eastAsia="Times New Roman" w:hAnsi="宋体" w:hint="eastAsia"/>
                <w:b/>
                <w:bCs/>
              </w:rPr>
              <w:t>：</w:t>
            </w:r>
            <w:r w:rsidRPr="00E73F67">
              <w:t>中文</w:t>
            </w:r>
          </w:p>
        </w:tc>
      </w:tr>
    </w:tbl>
    <w:p w14:paraId="00566F2D" w14:textId="77777777" w:rsidR="00F5289E" w:rsidRDefault="00F5289E">
      <w:pPr>
        <w:rPr>
          <w:vanish/>
        </w:rPr>
      </w:pPr>
    </w:p>
    <w:tbl>
      <w:tblPr>
        <w:tblW w:w="9116" w:type="dxa"/>
        <w:tblLayout w:type="fixed"/>
        <w:tblLook w:val="04A0" w:firstRow="1" w:lastRow="0" w:firstColumn="1" w:lastColumn="0" w:noHBand="0" w:noVBand="1"/>
      </w:tblPr>
      <w:tblGrid>
        <w:gridCol w:w="3038"/>
        <w:gridCol w:w="2649"/>
        <w:gridCol w:w="3429"/>
      </w:tblGrid>
      <w:tr w:rsidR="00F5289E" w14:paraId="3AD52D2D" w14:textId="77777777">
        <w:tc>
          <w:tcPr>
            <w:tcW w:w="9116" w:type="dxa"/>
            <w:gridSpan w:val="3"/>
          </w:tcPr>
          <w:p w14:paraId="0EF3D23D" w14:textId="77777777" w:rsidR="00F5289E" w:rsidRDefault="00C91173">
            <w:pPr>
              <w:spacing w:line="300" w:lineRule="auto"/>
              <w:rPr>
                <w:b/>
                <w:bCs/>
                <w:szCs w:val="21"/>
              </w:rPr>
            </w:pPr>
            <w:r>
              <w:rPr>
                <w:b/>
                <w:bCs/>
                <w:szCs w:val="21"/>
              </w:rPr>
              <w:t>适用专业：</w:t>
            </w:r>
            <w:r w:rsidRPr="00E73F67">
              <w:rPr>
                <w:szCs w:val="21"/>
              </w:rPr>
              <w:t>园艺</w:t>
            </w:r>
            <w:r w:rsidR="00E73F67">
              <w:rPr>
                <w:rFonts w:hint="eastAsia"/>
                <w:szCs w:val="21"/>
              </w:rPr>
              <w:t>，设施农业科学与工程</w:t>
            </w:r>
          </w:p>
        </w:tc>
      </w:tr>
      <w:tr w:rsidR="00F5289E" w14:paraId="711E0382" w14:textId="77777777">
        <w:tc>
          <w:tcPr>
            <w:tcW w:w="9116" w:type="dxa"/>
            <w:gridSpan w:val="3"/>
          </w:tcPr>
          <w:p w14:paraId="1F32F657" w14:textId="77777777" w:rsidR="00F5289E" w:rsidRPr="00E73F67" w:rsidRDefault="00C91173">
            <w:pPr>
              <w:rPr>
                <w:szCs w:val="21"/>
              </w:rPr>
            </w:pPr>
            <w:r>
              <w:rPr>
                <w:rFonts w:ascii="宋体" w:hAnsi="宋体" w:hint="eastAsia"/>
                <w:b/>
                <w:bCs/>
              </w:rPr>
              <w:t>对先修的要求：</w:t>
            </w:r>
            <w:r w:rsidRPr="00E73F67">
              <w:rPr>
                <w:szCs w:val="21"/>
              </w:rPr>
              <w:t>设施园艺学、园艺植物栽培学</w:t>
            </w:r>
          </w:p>
          <w:p w14:paraId="01212F3E" w14:textId="77777777" w:rsidR="00F5289E" w:rsidRDefault="00C91173">
            <w:pPr>
              <w:spacing w:line="300" w:lineRule="auto"/>
              <w:rPr>
                <w:b/>
                <w:bCs/>
                <w:szCs w:val="21"/>
              </w:rPr>
            </w:pPr>
            <w:r w:rsidRPr="00E73F67">
              <w:rPr>
                <w:szCs w:val="21"/>
              </w:rPr>
              <w:t>对后续的支撑：</w:t>
            </w:r>
            <w:r w:rsidRPr="00E73F67">
              <w:rPr>
                <w:szCs w:val="21"/>
              </w:rPr>
              <w:t xml:space="preserve"> </w:t>
            </w:r>
            <w:r w:rsidRPr="00E73F67">
              <w:rPr>
                <w:szCs w:val="21"/>
              </w:rPr>
              <w:t>对后续的《农业园区设计与管理》、《农业信息技术》等选修课程中的园艺休闲旅游、园艺信息服务等方面的内容提供理论和技术支撑</w:t>
            </w:r>
            <w:r>
              <w:rPr>
                <w:rFonts w:hint="eastAsia"/>
                <w:b/>
                <w:bCs/>
                <w:szCs w:val="21"/>
              </w:rPr>
              <w:t>。</w:t>
            </w:r>
          </w:p>
        </w:tc>
      </w:tr>
      <w:tr w:rsidR="00F5289E" w14:paraId="5FFB7497" w14:textId="77777777">
        <w:tc>
          <w:tcPr>
            <w:tcW w:w="3038" w:type="dxa"/>
          </w:tcPr>
          <w:p w14:paraId="277995F4" w14:textId="77777777" w:rsidR="00F5289E" w:rsidRDefault="00C91173">
            <w:pPr>
              <w:spacing w:line="300" w:lineRule="auto"/>
              <w:rPr>
                <w:b/>
                <w:bCs/>
                <w:szCs w:val="21"/>
              </w:rPr>
            </w:pPr>
            <w:r>
              <w:rPr>
                <w:b/>
                <w:bCs/>
                <w:szCs w:val="21"/>
              </w:rPr>
              <w:t>主撰人：</w:t>
            </w:r>
            <w:r w:rsidRPr="00E73F67">
              <w:rPr>
                <w:szCs w:val="21"/>
              </w:rPr>
              <w:t>张涛</w:t>
            </w:r>
          </w:p>
        </w:tc>
        <w:tc>
          <w:tcPr>
            <w:tcW w:w="2649" w:type="dxa"/>
          </w:tcPr>
          <w:p w14:paraId="7E7A7D17" w14:textId="77777777" w:rsidR="00F5289E" w:rsidRDefault="00C91173">
            <w:pPr>
              <w:spacing w:line="300" w:lineRule="auto"/>
              <w:rPr>
                <w:b/>
                <w:bCs/>
                <w:szCs w:val="21"/>
              </w:rPr>
            </w:pPr>
            <w:r>
              <w:rPr>
                <w:b/>
                <w:bCs/>
                <w:szCs w:val="21"/>
              </w:rPr>
              <w:t>审核人：</w:t>
            </w:r>
            <w:r w:rsidRPr="00E73F67">
              <w:rPr>
                <w:szCs w:val="21"/>
              </w:rPr>
              <w:t>董韩</w:t>
            </w:r>
          </w:p>
        </w:tc>
        <w:tc>
          <w:tcPr>
            <w:tcW w:w="3429" w:type="dxa"/>
          </w:tcPr>
          <w:p w14:paraId="3C1DD830" w14:textId="77777777" w:rsidR="00F5289E" w:rsidRDefault="00C91173">
            <w:pPr>
              <w:spacing w:line="300" w:lineRule="auto"/>
              <w:rPr>
                <w:b/>
                <w:bCs/>
                <w:szCs w:val="21"/>
              </w:rPr>
            </w:pPr>
            <w:r>
              <w:rPr>
                <w:b/>
                <w:bCs/>
                <w:szCs w:val="21"/>
              </w:rPr>
              <w:t>大纲制定（修订）日期</w:t>
            </w:r>
            <w:r>
              <w:rPr>
                <w:rFonts w:hint="eastAsia"/>
                <w:b/>
                <w:bCs/>
                <w:szCs w:val="21"/>
              </w:rPr>
              <w:t>：</w:t>
            </w:r>
            <w:r w:rsidRPr="00E73F67">
              <w:rPr>
                <w:szCs w:val="21"/>
              </w:rPr>
              <w:t>202</w:t>
            </w:r>
            <w:r w:rsidR="00E73F67">
              <w:rPr>
                <w:szCs w:val="21"/>
              </w:rPr>
              <w:t>3.05</w:t>
            </w:r>
          </w:p>
        </w:tc>
      </w:tr>
    </w:tbl>
    <w:p w14:paraId="4CB4A5D0" w14:textId="77777777" w:rsidR="00F5289E" w:rsidRDefault="00F5289E">
      <w:pPr>
        <w:widowControl/>
        <w:snapToGrid w:val="0"/>
        <w:spacing w:line="360" w:lineRule="auto"/>
        <w:jc w:val="left"/>
        <w:rPr>
          <w:b/>
          <w:bCs/>
          <w:kern w:val="0"/>
          <w:szCs w:val="21"/>
        </w:rPr>
      </w:pPr>
    </w:p>
    <w:p w14:paraId="4949F80D" w14:textId="77777777" w:rsidR="00F5289E" w:rsidRDefault="00C91173">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14:paraId="35BDDC3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《智慧园艺》是园艺专业选修课程之一，就是将</w:t>
      </w:r>
      <w:r>
        <w:fldChar w:fldCharType="begin"/>
      </w:r>
      <w:r>
        <w:instrText>HYPERLINK "https://baike.baidu.com/item/%E7%89%A9%E8%81%94%E7%BD%91" \t "https://baike.baidu.com/item/%E6%99%BA%E6%85%A7%E5%86%9C%E4%B8%9A/_blank"</w:instrText>
      </w:r>
      <w:r>
        <w:fldChar w:fldCharType="separate"/>
      </w:r>
      <w:r>
        <w:rPr>
          <w:rFonts w:ascii="宋体" w:hAnsi="宋体" w:hint="eastAsia"/>
          <w:szCs w:val="21"/>
        </w:rPr>
        <w:t>物联网</w:t>
      </w:r>
      <w:r>
        <w:rPr>
          <w:rFonts w:ascii="宋体" w:hAnsi="宋体"/>
          <w:szCs w:val="21"/>
        </w:rPr>
        <w:fldChar w:fldCharType="end"/>
      </w:r>
      <w:r>
        <w:rPr>
          <w:rFonts w:ascii="宋体" w:hAnsi="宋体" w:hint="eastAsia"/>
          <w:szCs w:val="21"/>
        </w:rPr>
        <w:t>技术运用到传统园艺产业中去，运用传感器和软件通过移动平台或者电脑平台对园艺生产进行控制，使传统园艺产业更具有“智慧”，主要内容包括智慧园艺概况、智慧园艺育种、园艺大数据、园艺物联网、园艺植物智慧生产技术、园艺信息服务及智能化装备，为学生将从事园艺作物现代化栽培生产实践打下基础。通过本课程的学习，让学生充分了解大数据、物联网等相关技术与园艺生产的结合，培养学生通过现代化技术分析园艺产业问题、解决产业问题的能力；提升学生对智慧园艺的认知水平，掌握利用现代园艺产业信息技术，推动园艺产业现代化发展；使学生掌握园艺产业模拟模型基本概念、作用、原理和方法，园艺物联网概念及其基本技术，了解运用物联网技术进行作物精确化管理、建立农产品质量追溯体系的一般方法；使学生掌握大数据概念及其技术特征，了解运用大数据技术进行农情分析、作物精细化管理的一般方法；掌握农机农艺和信息技术融合的技术途径，了解园艺智能化装备在园艺产业现代化生产中的应用现状及其发展前景。</w:t>
      </w:r>
    </w:p>
    <w:p w14:paraId="4FB72857"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本课程立足“乡村振兴”举措和“科教兴国”战略，迫踪智慧园艺产业发展重点，面向智慧园艺生产与管理领域，坚持立德树人根本任务，德、智、体、美、劳全面发展，培养一批具备“政治素质、职业道德、爱农情怀、工匠精神”，有较强的专业应用能力、就业能力和可持续发展能力，掌握智慧园艺专业知识和技术技能，培养既有园艺专业背景又懂得生物技术、信息技术等高新科技的复合型、创新型人才，可为园艺作物智慧育种、生产环境与智能调控、园艺智能化装备技术体系等领域输送优质人才，为我国现代农业建设的发展贡献力量。</w:t>
      </w:r>
    </w:p>
    <w:p w14:paraId="40936813" w14:textId="77777777" w:rsidR="00F5289E" w:rsidRDefault="00C91173">
      <w:pPr>
        <w:widowControl/>
        <w:snapToGrid w:val="0"/>
        <w:spacing w:line="360" w:lineRule="auto"/>
        <w:jc w:val="left"/>
        <w:rPr>
          <w:rFonts w:ascii="宋体" w:hAnsi="宋体"/>
          <w:b/>
          <w:bCs/>
          <w:kern w:val="0"/>
          <w:szCs w:val="21"/>
        </w:rPr>
      </w:pPr>
      <w:r>
        <w:rPr>
          <w:rFonts w:ascii="宋体" w:hAnsi="宋体"/>
          <w:b/>
          <w:bCs/>
          <w:kern w:val="0"/>
          <w:szCs w:val="21"/>
        </w:rPr>
        <w:lastRenderedPageBreak/>
        <w:t>二、课程教学的基本要求</w:t>
      </w:r>
    </w:p>
    <w:p w14:paraId="720C6BE7" w14:textId="77777777" w:rsidR="00F5289E" w:rsidRDefault="00C91173">
      <w:pPr>
        <w:autoSpaceDE w:val="0"/>
        <w:spacing w:line="360" w:lineRule="auto"/>
        <w:ind w:firstLineChars="200" w:firstLine="420"/>
        <w:rPr>
          <w:rFonts w:ascii="宋体" w:hAnsi="宋体"/>
          <w:bCs/>
          <w:kern w:val="0"/>
          <w:szCs w:val="21"/>
        </w:rPr>
      </w:pPr>
      <w:r>
        <w:rPr>
          <w:rFonts w:ascii="宋体" w:hAnsi="宋体" w:hint="eastAsia"/>
          <w:bCs/>
          <w:kern w:val="0"/>
          <w:szCs w:val="21"/>
        </w:rPr>
        <w:t>1、理论知识方面：</w:t>
      </w:r>
    </w:p>
    <w:p w14:paraId="6194764D"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了解智慧园艺的基本概念、特点，智慧园艺在农业及农业现代化中的地位及作用，了解国内外智慧园艺发展概况和趋势，提升学生对智慧园艺的认知水平，掌握利用现代园艺产业信息技术，推动园艺产业现代化发展。</w:t>
      </w:r>
    </w:p>
    <w:p w14:paraId="178B4BB4"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（2）了解智慧园艺育种的方法，掌握园艺物联网概念及其基本技术，了解运用物联网技术进行作物精确化管理、建立农产品质量追溯体系的一般方法。</w:t>
      </w:r>
    </w:p>
    <w:p w14:paraId="55E4092A"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掌握大数据概念及其技术特征，了解运用大数据技术进行农情分析、作物精细化管理的一般方法；掌握农机农艺和信息技术融合的技术途径，了解园艺智能化装备在园艺产业现代化生产中的应用现状及其发展前景。</w:t>
      </w:r>
    </w:p>
    <w:p w14:paraId="284062C1" w14:textId="77777777" w:rsidR="00F5289E" w:rsidRDefault="00C91173">
      <w:pPr>
        <w:spacing w:line="360" w:lineRule="auto"/>
        <w:ind w:firstLineChars="200" w:firstLine="420"/>
        <w:rPr>
          <w:color w:val="262600"/>
          <w:szCs w:val="21"/>
        </w:rPr>
      </w:pPr>
      <w:r>
        <w:rPr>
          <w:color w:val="262600"/>
          <w:szCs w:val="21"/>
        </w:rPr>
        <w:t>2</w:t>
      </w:r>
      <w:r>
        <w:rPr>
          <w:rFonts w:ascii="宋体" w:hAnsi="宋体"/>
          <w:color w:val="262600"/>
          <w:szCs w:val="21"/>
        </w:rPr>
        <w:t>、实验技能方面：</w:t>
      </w:r>
    </w:p>
    <w:p w14:paraId="49195F6D" w14:textId="77777777" w:rsidR="00F5289E" w:rsidRDefault="00C91173">
      <w:pPr>
        <w:spacing w:line="360" w:lineRule="auto"/>
        <w:ind w:firstLineChars="200" w:firstLine="420"/>
        <w:rPr>
          <w:color w:val="262600"/>
          <w:szCs w:val="21"/>
        </w:rPr>
      </w:pPr>
      <w:r>
        <w:rPr>
          <w:rFonts w:ascii="宋体" w:hAnsi="宋体"/>
          <w:color w:val="262600"/>
          <w:szCs w:val="21"/>
        </w:rPr>
        <w:t>通过</w:t>
      </w:r>
      <w:r>
        <w:rPr>
          <w:rFonts w:ascii="宋体" w:hAnsi="宋体" w:hint="eastAsia"/>
          <w:color w:val="262600"/>
          <w:szCs w:val="21"/>
        </w:rPr>
        <w:t>智慧</w:t>
      </w:r>
      <w:r>
        <w:rPr>
          <w:rFonts w:ascii="宋体" w:hAnsi="宋体"/>
          <w:color w:val="262600"/>
          <w:szCs w:val="21"/>
        </w:rPr>
        <w:t>园艺</w:t>
      </w:r>
      <w:r>
        <w:rPr>
          <w:rFonts w:ascii="宋体" w:hAnsi="宋体" w:hint="eastAsia"/>
          <w:color w:val="262600"/>
          <w:szCs w:val="21"/>
        </w:rPr>
        <w:t>相关产业</w:t>
      </w:r>
      <w:r>
        <w:rPr>
          <w:rFonts w:ascii="宋体" w:hAnsi="宋体"/>
          <w:color w:val="262600"/>
          <w:szCs w:val="21"/>
        </w:rPr>
        <w:t>的参观调查，使学生对</w:t>
      </w:r>
      <w:r>
        <w:rPr>
          <w:rFonts w:ascii="宋体" w:hAnsi="宋体" w:hint="eastAsia"/>
          <w:color w:val="262600"/>
          <w:szCs w:val="21"/>
        </w:rPr>
        <w:t>智慧</w:t>
      </w:r>
      <w:r>
        <w:rPr>
          <w:rFonts w:ascii="宋体" w:hAnsi="宋体"/>
          <w:color w:val="262600"/>
          <w:szCs w:val="21"/>
        </w:rPr>
        <w:t>园艺的类型、</w:t>
      </w:r>
      <w:r>
        <w:rPr>
          <w:rFonts w:ascii="宋体" w:hAnsi="宋体" w:hint="eastAsia"/>
          <w:color w:val="262600"/>
          <w:szCs w:val="21"/>
        </w:rPr>
        <w:t>信息技术</w:t>
      </w:r>
      <w:r>
        <w:rPr>
          <w:rFonts w:ascii="宋体" w:hAnsi="宋体"/>
          <w:color w:val="262600"/>
          <w:szCs w:val="21"/>
        </w:rPr>
        <w:t>、</w:t>
      </w:r>
      <w:r>
        <w:rPr>
          <w:rFonts w:ascii="宋体" w:hAnsi="宋体" w:hint="eastAsia"/>
          <w:color w:val="262600"/>
          <w:szCs w:val="21"/>
        </w:rPr>
        <w:t>物联网</w:t>
      </w:r>
      <w:r>
        <w:rPr>
          <w:rFonts w:ascii="宋体" w:hAnsi="宋体"/>
          <w:color w:val="262600"/>
          <w:szCs w:val="21"/>
        </w:rPr>
        <w:t>和应用有一个全面、具体、直观的了解；通过</w:t>
      </w:r>
      <w:r>
        <w:rPr>
          <w:rFonts w:ascii="宋体" w:hAnsi="宋体" w:hint="eastAsia"/>
          <w:color w:val="262600"/>
          <w:szCs w:val="21"/>
        </w:rPr>
        <w:t>智慧</w:t>
      </w:r>
      <w:r>
        <w:rPr>
          <w:rFonts w:ascii="宋体" w:hAnsi="宋体"/>
          <w:color w:val="262600"/>
          <w:szCs w:val="21"/>
        </w:rPr>
        <w:t>设施内</w:t>
      </w:r>
      <w:r>
        <w:rPr>
          <w:rFonts w:ascii="宋体" w:hAnsi="宋体" w:hint="eastAsia"/>
          <w:color w:val="262600"/>
          <w:szCs w:val="21"/>
        </w:rPr>
        <w:t>物联网、大数据等对作物生长的影响</w:t>
      </w:r>
      <w:r>
        <w:rPr>
          <w:rFonts w:ascii="宋体" w:hAnsi="宋体"/>
          <w:color w:val="262600"/>
          <w:szCs w:val="21"/>
        </w:rPr>
        <w:t>，</w:t>
      </w:r>
      <w:r>
        <w:rPr>
          <w:rFonts w:ascii="宋体" w:hAnsi="宋体" w:hint="eastAsia"/>
          <w:color w:val="262600"/>
          <w:szCs w:val="21"/>
        </w:rPr>
        <w:t>培养</w:t>
      </w:r>
      <w:r>
        <w:rPr>
          <w:rFonts w:ascii="宋体" w:hAnsi="宋体"/>
          <w:color w:val="262600"/>
          <w:szCs w:val="21"/>
        </w:rPr>
        <w:t>学生掌握</w:t>
      </w:r>
      <w:r>
        <w:rPr>
          <w:rFonts w:ascii="宋体" w:hAnsi="宋体" w:hint="eastAsia"/>
          <w:szCs w:val="21"/>
        </w:rPr>
        <w:t>利用现代园艺产业信息技术推动园艺产业现代化发展</w:t>
      </w:r>
      <w:r>
        <w:rPr>
          <w:rFonts w:ascii="宋体" w:hAnsi="宋体"/>
          <w:color w:val="262600"/>
          <w:szCs w:val="21"/>
        </w:rPr>
        <w:t>，为进一步</w:t>
      </w:r>
      <w:r>
        <w:rPr>
          <w:rFonts w:ascii="宋体" w:hAnsi="宋体" w:hint="eastAsia"/>
          <w:color w:val="262600"/>
          <w:szCs w:val="21"/>
        </w:rPr>
        <w:t>学习农业园区规划设计以及农业信息技术</w:t>
      </w:r>
      <w:r>
        <w:rPr>
          <w:rFonts w:ascii="宋体" w:hAnsi="宋体"/>
          <w:color w:val="262600"/>
          <w:szCs w:val="21"/>
        </w:rPr>
        <w:t>打下基础。</w:t>
      </w:r>
    </w:p>
    <w:p w14:paraId="6D6EC637" w14:textId="77777777" w:rsidR="00F5289E" w:rsidRDefault="00C91173">
      <w:pPr>
        <w:widowControl/>
        <w:snapToGrid w:val="0"/>
        <w:spacing w:line="360" w:lineRule="auto"/>
        <w:jc w:val="left"/>
        <w:rPr>
          <w:rFonts w:hAnsi="宋体"/>
          <w:b/>
          <w:bCs/>
          <w:kern w:val="0"/>
          <w:szCs w:val="21"/>
        </w:rPr>
      </w:pPr>
      <w:r>
        <w:rPr>
          <w:rFonts w:ascii="宋体" w:hAnsi="宋体"/>
          <w:b/>
          <w:bCs/>
          <w:kern w:val="0"/>
          <w:szCs w:val="21"/>
        </w:rPr>
        <w:t>三、</w:t>
      </w:r>
      <w:r>
        <w:rPr>
          <w:rFonts w:ascii="宋体" w:hAnsi="宋体" w:hint="eastAsia"/>
          <w:b/>
          <w:bCs/>
          <w:kern w:val="0"/>
          <w:szCs w:val="21"/>
        </w:rPr>
        <w:t>课程的教学设计</w:t>
      </w:r>
    </w:p>
    <w:p w14:paraId="4DB72238" w14:textId="77777777" w:rsidR="00F5289E" w:rsidRDefault="00C91173">
      <w:pPr>
        <w:autoSpaceDE w:val="0"/>
        <w:spacing w:line="360" w:lineRule="auto"/>
        <w:ind w:firstLineChars="200" w:firstLine="420"/>
        <w:rPr>
          <w:rFonts w:hAnsi="宋体"/>
          <w:bCs/>
          <w:kern w:val="0"/>
          <w:szCs w:val="21"/>
        </w:rPr>
      </w:pPr>
      <w:r>
        <w:rPr>
          <w:rFonts w:hint="eastAsia"/>
          <w:bCs/>
          <w:kern w:val="0"/>
          <w:szCs w:val="21"/>
        </w:rPr>
        <w:t>1.</w:t>
      </w:r>
      <w:r>
        <w:rPr>
          <w:rFonts w:ascii="宋体" w:hAnsi="宋体" w:hint="eastAsia"/>
          <w:bCs/>
          <w:kern w:val="0"/>
          <w:szCs w:val="21"/>
        </w:rPr>
        <w:t>教学设计说明</w:t>
      </w:r>
    </w:p>
    <w:p w14:paraId="05A88A1A" w14:textId="77777777" w:rsidR="00F5289E" w:rsidRDefault="00C91173">
      <w:pPr>
        <w:spacing w:line="360" w:lineRule="auto"/>
        <w:ind w:firstLineChars="200" w:firstLine="420"/>
        <w:rPr>
          <w:color w:val="262600"/>
        </w:rPr>
      </w:pPr>
      <w:r>
        <w:rPr>
          <w:rFonts w:hint="eastAsia"/>
          <w:color w:val="262600"/>
        </w:rPr>
        <w:t>课程组按照课程实验教学大纲要求，建立完善的课堂教学体系、实验教学体系以及课程教学实习体系。采用“教学实验、参观学习和生产实习一体化”的实践教学模式，使学生系统掌握课程理论知识，培养学生系统分析问题的能力。</w:t>
      </w:r>
      <w:r>
        <w:rPr>
          <w:rFonts w:ascii="宋体" w:hAnsi="宋体" w:hint="eastAsia"/>
          <w:color w:val="262600"/>
        </w:rPr>
        <w:t>通过理论教学让同学们充分了解</w:t>
      </w:r>
      <w:r>
        <w:rPr>
          <w:rFonts w:ascii="宋体" w:hAnsi="宋体" w:hint="eastAsia"/>
          <w:szCs w:val="21"/>
        </w:rPr>
        <w:t>智慧园艺概况、智慧园艺育种、园艺大数据、园艺物联网、园艺植物智慧生产技术、园艺信息服务及智能化装备</w:t>
      </w:r>
      <w:r>
        <w:rPr>
          <w:rFonts w:ascii="宋体" w:hAnsi="宋体" w:hint="eastAsia"/>
          <w:color w:val="262600"/>
        </w:rPr>
        <w:t>，使学生系统掌握课程理论知识，培养学生系统分析问题的能力；通过案例分析、视频演示让同学们更加直观地学习到智慧园艺的类型和技术特点；</w:t>
      </w:r>
      <w:r>
        <w:rPr>
          <w:rFonts w:hint="eastAsia"/>
          <w:color w:val="262600"/>
        </w:rPr>
        <w:t>通过到校内外基地进行生产实习，学生将理论运用到智慧园艺产业生产实践中，培养学生发现问题，解决问题的能力。在保证实现培养目标的前提下，突破以知识传授为中心的教学模式，探索以能力培养为主线的教学模式，采用精讲多实践、教学基地现场教学、实践中教学的理念和方法，形成大班集中讲授，小班分组实验实习的课程讲授体系，注重提高学生专业学习兴趣，全面培养学生独立获取知识的能力、观察问题、发现问题、思考问题、解决问题的能力。科学制定实践教学方案，规范设置实践教学环节，高质量开展课内实践教学和校外实习实训，实验实训课程开课率及学生覆盖率高；创新创业教育改革成效显著。</w:t>
      </w:r>
    </w:p>
    <w:p w14:paraId="2DC6AD10" w14:textId="77777777" w:rsidR="00F5289E" w:rsidRDefault="00C91173">
      <w:pPr>
        <w:spacing w:line="360" w:lineRule="auto"/>
        <w:ind w:firstLineChars="200" w:firstLine="420"/>
      </w:pPr>
      <w:r>
        <w:rPr>
          <w:rFonts w:hint="eastAsia"/>
        </w:rPr>
        <w:t>2.</w:t>
      </w:r>
      <w:r>
        <w:rPr>
          <w:rFonts w:hint="eastAsia"/>
        </w:rPr>
        <w:t>课程目标及对毕业要求的支撑</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337"/>
        <w:gridCol w:w="1561"/>
      </w:tblGrid>
      <w:tr w:rsidR="00F5289E" w14:paraId="1E0C3A1C" w14:textId="77777777">
        <w:trPr>
          <w:trHeight w:val="403"/>
          <w:jc w:val="center"/>
        </w:trPr>
        <w:tc>
          <w:tcPr>
            <w:tcW w:w="811" w:type="dxa"/>
            <w:tcBorders>
              <w:top w:val="single" w:sz="4" w:space="0" w:color="auto"/>
              <w:left w:val="single" w:sz="4" w:space="0" w:color="auto"/>
              <w:bottom w:val="single" w:sz="4" w:space="0" w:color="auto"/>
              <w:right w:val="single" w:sz="4" w:space="0" w:color="auto"/>
            </w:tcBorders>
            <w:shd w:val="clear" w:color="auto" w:fill="EEECE1"/>
            <w:vAlign w:val="center"/>
          </w:tcPr>
          <w:p w14:paraId="39E9F955" w14:textId="77777777" w:rsidR="00F5289E" w:rsidRDefault="00C91173">
            <w:pPr>
              <w:spacing w:line="360" w:lineRule="auto"/>
              <w:rPr>
                <w:b/>
                <w:bCs/>
              </w:rPr>
            </w:pPr>
            <w:r>
              <w:rPr>
                <w:rFonts w:hint="eastAsia"/>
                <w:b/>
                <w:bCs/>
              </w:rPr>
              <w:lastRenderedPageBreak/>
              <w:t>序号</w:t>
            </w:r>
          </w:p>
        </w:tc>
        <w:tc>
          <w:tcPr>
            <w:tcW w:w="6337" w:type="dxa"/>
            <w:tcBorders>
              <w:top w:val="single" w:sz="4" w:space="0" w:color="auto"/>
              <w:left w:val="nil"/>
              <w:bottom w:val="single" w:sz="4" w:space="0" w:color="auto"/>
              <w:right w:val="single" w:sz="4" w:space="0" w:color="auto"/>
            </w:tcBorders>
            <w:shd w:val="clear" w:color="auto" w:fill="EEECE1"/>
            <w:vAlign w:val="center"/>
          </w:tcPr>
          <w:p w14:paraId="600F0665" w14:textId="77777777" w:rsidR="00F5289E" w:rsidRDefault="00C91173">
            <w:pPr>
              <w:spacing w:line="360" w:lineRule="auto"/>
              <w:ind w:firstLineChars="200" w:firstLine="422"/>
              <w:rPr>
                <w:b/>
                <w:bCs/>
              </w:rPr>
            </w:pPr>
            <w:r>
              <w:rPr>
                <w:rFonts w:hint="eastAsia"/>
                <w:b/>
                <w:bCs/>
              </w:rPr>
              <w:t>课程目标</w:t>
            </w:r>
          </w:p>
        </w:tc>
        <w:tc>
          <w:tcPr>
            <w:tcW w:w="1561" w:type="dxa"/>
            <w:tcBorders>
              <w:top w:val="single" w:sz="4" w:space="0" w:color="auto"/>
              <w:left w:val="nil"/>
              <w:bottom w:val="single" w:sz="4" w:space="0" w:color="auto"/>
              <w:right w:val="single" w:sz="4" w:space="0" w:color="auto"/>
            </w:tcBorders>
            <w:shd w:val="clear" w:color="auto" w:fill="EEECE1"/>
            <w:vAlign w:val="center"/>
          </w:tcPr>
          <w:p w14:paraId="3B754CB3" w14:textId="77777777" w:rsidR="00F5289E" w:rsidRDefault="00C91173">
            <w:pPr>
              <w:spacing w:line="360" w:lineRule="auto"/>
              <w:ind w:firstLineChars="200" w:firstLine="422"/>
              <w:rPr>
                <w:b/>
                <w:bCs/>
              </w:rPr>
            </w:pPr>
            <w:r>
              <w:rPr>
                <w:rFonts w:hint="eastAsia"/>
                <w:b/>
                <w:bCs/>
              </w:rPr>
              <w:t>毕业要求</w:t>
            </w:r>
          </w:p>
        </w:tc>
      </w:tr>
      <w:tr w:rsidR="00F5289E" w14:paraId="5AA7623F"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561DF7CC" w14:textId="77777777" w:rsidR="00F5289E" w:rsidRDefault="00C91173">
            <w:pPr>
              <w:spacing w:line="360" w:lineRule="auto"/>
              <w:ind w:firstLineChars="200" w:firstLine="420"/>
            </w:pPr>
            <w:r>
              <w:t>1</w:t>
            </w:r>
          </w:p>
        </w:tc>
        <w:tc>
          <w:tcPr>
            <w:tcW w:w="6337" w:type="dxa"/>
            <w:tcBorders>
              <w:top w:val="single" w:sz="4" w:space="0" w:color="auto"/>
              <w:left w:val="single" w:sz="4" w:space="0" w:color="auto"/>
              <w:bottom w:val="single" w:sz="4" w:space="0" w:color="auto"/>
              <w:right w:val="single" w:sz="4" w:space="0" w:color="auto"/>
            </w:tcBorders>
            <w:vAlign w:val="center"/>
          </w:tcPr>
          <w:p w14:paraId="56B82CB8" w14:textId="77777777" w:rsidR="00F5289E" w:rsidRDefault="00C91173">
            <w:pPr>
              <w:spacing w:line="320" w:lineRule="exact"/>
              <w:jc w:val="left"/>
              <w:rPr>
                <w:sz w:val="18"/>
                <w:szCs w:val="18"/>
              </w:rPr>
            </w:pPr>
            <w:r>
              <w:rPr>
                <w:rFonts w:hint="eastAsia"/>
                <w:sz w:val="18"/>
                <w:szCs w:val="18"/>
              </w:rPr>
              <w:t>课程目标</w:t>
            </w:r>
            <w:r>
              <w:rPr>
                <w:rFonts w:hint="eastAsia"/>
                <w:sz w:val="18"/>
                <w:szCs w:val="18"/>
              </w:rPr>
              <w:t xml:space="preserve"> 1</w:t>
            </w:r>
            <w:r>
              <w:rPr>
                <w:rFonts w:hint="eastAsia"/>
                <w:sz w:val="18"/>
                <w:szCs w:val="18"/>
              </w:rPr>
              <w:t>：掌握智慧园艺基本涵义及作用、智慧园艺育种、物联网和大数据等智慧园艺关键技术；了解智慧园艺现状及发展趋势，提升学生智慧园艺的认知水平。</w:t>
            </w:r>
          </w:p>
        </w:tc>
        <w:tc>
          <w:tcPr>
            <w:tcW w:w="1561" w:type="dxa"/>
            <w:tcBorders>
              <w:top w:val="single" w:sz="4" w:space="0" w:color="auto"/>
              <w:left w:val="nil"/>
              <w:bottom w:val="single" w:sz="4" w:space="0" w:color="auto"/>
              <w:right w:val="single" w:sz="4" w:space="0" w:color="auto"/>
            </w:tcBorders>
            <w:vAlign w:val="center"/>
          </w:tcPr>
          <w:p w14:paraId="72985FFD" w14:textId="77777777" w:rsidR="00F5289E" w:rsidRDefault="00C91173">
            <w:pPr>
              <w:spacing w:line="320" w:lineRule="exact"/>
              <w:jc w:val="center"/>
              <w:rPr>
                <w:rFonts w:eastAsia="DengXian"/>
                <w:sz w:val="18"/>
                <w:szCs w:val="18"/>
              </w:rPr>
            </w:pPr>
            <w:r>
              <w:rPr>
                <w:rFonts w:eastAsia="DengXian"/>
                <w:sz w:val="18"/>
                <w:szCs w:val="18"/>
              </w:rPr>
              <w:t>2</w:t>
            </w:r>
          </w:p>
        </w:tc>
      </w:tr>
      <w:tr w:rsidR="00F5289E" w14:paraId="2F89B247"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6270F61B" w14:textId="77777777" w:rsidR="00F5289E" w:rsidRDefault="00C91173">
            <w:pPr>
              <w:spacing w:line="360" w:lineRule="auto"/>
              <w:ind w:firstLineChars="200" w:firstLine="420"/>
            </w:pPr>
            <w:r>
              <w:t>2</w:t>
            </w:r>
          </w:p>
        </w:tc>
        <w:tc>
          <w:tcPr>
            <w:tcW w:w="6337" w:type="dxa"/>
            <w:tcBorders>
              <w:top w:val="single" w:sz="4" w:space="0" w:color="auto"/>
              <w:left w:val="single" w:sz="4" w:space="0" w:color="auto"/>
              <w:bottom w:val="single" w:sz="4" w:space="0" w:color="auto"/>
              <w:right w:val="single" w:sz="4" w:space="0" w:color="auto"/>
            </w:tcBorders>
            <w:vAlign w:val="center"/>
          </w:tcPr>
          <w:p w14:paraId="229E673E" w14:textId="77777777" w:rsidR="00F5289E" w:rsidRDefault="00C91173">
            <w:pPr>
              <w:spacing w:line="320" w:lineRule="exact"/>
              <w:jc w:val="left"/>
              <w:rPr>
                <w:sz w:val="18"/>
                <w:szCs w:val="18"/>
                <w:highlight w:val="yellow"/>
              </w:rPr>
            </w:pPr>
            <w:r>
              <w:rPr>
                <w:rFonts w:hint="eastAsia"/>
                <w:sz w:val="18"/>
                <w:szCs w:val="18"/>
              </w:rPr>
              <w:t>课程目标</w:t>
            </w:r>
            <w:r>
              <w:rPr>
                <w:rFonts w:hint="eastAsia"/>
                <w:sz w:val="18"/>
                <w:szCs w:val="18"/>
              </w:rPr>
              <w:t xml:space="preserve"> 2</w:t>
            </w:r>
            <w:r>
              <w:rPr>
                <w:rFonts w:hint="eastAsia"/>
                <w:sz w:val="18"/>
                <w:szCs w:val="18"/>
              </w:rPr>
              <w:t>：掌握互联网、物联网、人工智能等现代信息技术及装备在园艺产业中的应用，使学生能够应用现代信息技术解决现代农业生产中的问题，提升学生利用信息技术改造传统农业能力。</w:t>
            </w:r>
          </w:p>
        </w:tc>
        <w:tc>
          <w:tcPr>
            <w:tcW w:w="1561" w:type="dxa"/>
            <w:tcBorders>
              <w:top w:val="single" w:sz="4" w:space="0" w:color="auto"/>
              <w:left w:val="nil"/>
              <w:bottom w:val="single" w:sz="4" w:space="0" w:color="auto"/>
              <w:right w:val="single" w:sz="4" w:space="0" w:color="auto"/>
            </w:tcBorders>
            <w:vAlign w:val="center"/>
          </w:tcPr>
          <w:p w14:paraId="31EB6B8C" w14:textId="77777777" w:rsidR="00F5289E" w:rsidRDefault="00C91173">
            <w:pPr>
              <w:spacing w:line="320" w:lineRule="exact"/>
              <w:jc w:val="center"/>
              <w:rPr>
                <w:rFonts w:eastAsia="DengXian"/>
                <w:sz w:val="18"/>
                <w:szCs w:val="18"/>
              </w:rPr>
            </w:pPr>
            <w:r>
              <w:rPr>
                <w:rFonts w:eastAsia="DengXian"/>
                <w:sz w:val="18"/>
                <w:szCs w:val="18"/>
              </w:rPr>
              <w:t>5</w:t>
            </w:r>
          </w:p>
        </w:tc>
      </w:tr>
      <w:tr w:rsidR="00F5289E" w14:paraId="70FD0CD2"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50890E28" w14:textId="77777777" w:rsidR="00F5289E" w:rsidRDefault="00C91173">
            <w:pPr>
              <w:spacing w:line="360" w:lineRule="auto"/>
              <w:ind w:firstLineChars="200" w:firstLine="420"/>
            </w:pPr>
            <w:r>
              <w:t>3</w:t>
            </w:r>
          </w:p>
        </w:tc>
        <w:tc>
          <w:tcPr>
            <w:tcW w:w="6337" w:type="dxa"/>
            <w:tcBorders>
              <w:top w:val="single" w:sz="4" w:space="0" w:color="auto"/>
              <w:left w:val="single" w:sz="4" w:space="0" w:color="auto"/>
              <w:bottom w:val="single" w:sz="4" w:space="0" w:color="auto"/>
              <w:right w:val="single" w:sz="4" w:space="0" w:color="auto"/>
            </w:tcBorders>
            <w:vAlign w:val="center"/>
          </w:tcPr>
          <w:p w14:paraId="34F0EF7F" w14:textId="77777777" w:rsidR="00F5289E" w:rsidRDefault="00C91173">
            <w:pPr>
              <w:spacing w:line="320" w:lineRule="exact"/>
              <w:jc w:val="left"/>
              <w:rPr>
                <w:sz w:val="18"/>
                <w:szCs w:val="18"/>
              </w:rPr>
            </w:pPr>
            <w:r>
              <w:rPr>
                <w:rFonts w:hint="eastAsia"/>
                <w:sz w:val="18"/>
                <w:szCs w:val="18"/>
              </w:rPr>
              <w:t>课程目标</w:t>
            </w:r>
            <w:r>
              <w:rPr>
                <w:rFonts w:hint="eastAsia"/>
                <w:sz w:val="18"/>
                <w:szCs w:val="18"/>
              </w:rPr>
              <w:t xml:space="preserve"> 3</w:t>
            </w:r>
            <w:r>
              <w:rPr>
                <w:rFonts w:hint="eastAsia"/>
                <w:sz w:val="18"/>
                <w:szCs w:val="18"/>
              </w:rPr>
              <w:t>：培养学生自主学习能力，通过课程学习使学生能够不断更新自身知识体系，持续提升个人专业素养。</w:t>
            </w:r>
          </w:p>
        </w:tc>
        <w:tc>
          <w:tcPr>
            <w:tcW w:w="1561" w:type="dxa"/>
            <w:tcBorders>
              <w:top w:val="single" w:sz="4" w:space="0" w:color="auto"/>
              <w:left w:val="nil"/>
              <w:bottom w:val="single" w:sz="4" w:space="0" w:color="auto"/>
              <w:right w:val="single" w:sz="4" w:space="0" w:color="auto"/>
            </w:tcBorders>
            <w:vAlign w:val="center"/>
          </w:tcPr>
          <w:p w14:paraId="1A20A23F" w14:textId="77777777" w:rsidR="00F5289E" w:rsidRDefault="00C91173">
            <w:pPr>
              <w:spacing w:line="320" w:lineRule="exact"/>
              <w:jc w:val="center"/>
              <w:rPr>
                <w:rFonts w:eastAsia="DengXian"/>
                <w:sz w:val="18"/>
                <w:szCs w:val="18"/>
              </w:rPr>
            </w:pPr>
            <w:r>
              <w:rPr>
                <w:rFonts w:eastAsia="DengXian"/>
                <w:sz w:val="18"/>
                <w:szCs w:val="18"/>
              </w:rPr>
              <w:t>6</w:t>
            </w:r>
          </w:p>
        </w:tc>
      </w:tr>
    </w:tbl>
    <w:p w14:paraId="36E1CE7F" w14:textId="77777777" w:rsidR="00F5289E" w:rsidRDefault="00F5289E">
      <w:pPr>
        <w:spacing w:line="360" w:lineRule="auto"/>
        <w:ind w:firstLineChars="200" w:firstLine="420"/>
        <w:rPr>
          <w:color w:val="FF0000"/>
        </w:rPr>
      </w:pPr>
    </w:p>
    <w:p w14:paraId="0FBBC1DF" w14:textId="77777777" w:rsidR="00F5289E" w:rsidRDefault="00C91173">
      <w:pPr>
        <w:spacing w:line="360" w:lineRule="auto"/>
        <w:rPr>
          <w:color w:val="262600"/>
        </w:rPr>
      </w:pPr>
      <w:r>
        <w:rPr>
          <w:rFonts w:hint="eastAsia"/>
          <w:b/>
          <w:bCs/>
          <w:color w:val="262600"/>
        </w:rPr>
        <w:t>四</w:t>
      </w:r>
      <w:r>
        <w:rPr>
          <w:b/>
          <w:bCs/>
          <w:color w:val="262600"/>
        </w:rPr>
        <w:t>、理论教学内容及学时分配（</w:t>
      </w:r>
      <w:r>
        <w:rPr>
          <w:b/>
          <w:bCs/>
          <w:color w:val="262600"/>
        </w:rPr>
        <w:t>2</w:t>
      </w:r>
      <w:r>
        <w:rPr>
          <w:rFonts w:hint="eastAsia"/>
          <w:b/>
          <w:bCs/>
          <w:color w:val="262600"/>
        </w:rPr>
        <w:t>4</w:t>
      </w:r>
      <w:r>
        <w:rPr>
          <w:b/>
          <w:bCs/>
          <w:color w:val="262600"/>
        </w:rPr>
        <w:t>学时）</w:t>
      </w:r>
    </w:p>
    <w:p w14:paraId="3109326C" w14:textId="77777777" w:rsidR="00F5289E" w:rsidRDefault="00C91173">
      <w:pPr>
        <w:spacing w:beforeLines="50" w:before="156" w:afterLines="50" w:after="156" w:line="360" w:lineRule="auto"/>
        <w:ind w:firstLineChars="1500" w:firstLine="3162"/>
        <w:jc w:val="right"/>
        <w:rPr>
          <w:b/>
          <w:bCs/>
        </w:rPr>
      </w:pPr>
      <w:r>
        <w:rPr>
          <w:b/>
          <w:bCs/>
        </w:rPr>
        <w:t>第一章</w:t>
      </w:r>
      <w:r>
        <w:rPr>
          <w:rFonts w:hint="eastAsia"/>
          <w:b/>
          <w:bCs/>
        </w:rPr>
        <w:t xml:space="preserve">  </w:t>
      </w:r>
      <w:r>
        <w:rPr>
          <w:b/>
          <w:bCs/>
        </w:rPr>
        <w:t>绪</w:t>
      </w:r>
      <w:r>
        <w:rPr>
          <w:b/>
          <w:bCs/>
        </w:rPr>
        <w:t xml:space="preserve">  </w:t>
      </w:r>
      <w:r>
        <w:rPr>
          <w:b/>
          <w:bCs/>
        </w:rPr>
        <w:t>论</w:t>
      </w:r>
      <w:r>
        <w:rPr>
          <w:rFonts w:hint="eastAsia"/>
          <w:b/>
          <w:bCs/>
        </w:rPr>
        <w:t xml:space="preserve"> </w:t>
      </w:r>
      <w:r>
        <w:rPr>
          <w:b/>
          <w:bCs/>
        </w:rPr>
        <w:t xml:space="preserve">                          </w:t>
      </w:r>
      <w:r>
        <w:rPr>
          <w:b/>
          <w:bCs/>
        </w:rPr>
        <w:t>学时数</w:t>
      </w:r>
      <w:r>
        <w:rPr>
          <w:rFonts w:hint="eastAsia"/>
          <w:b/>
          <w:bCs/>
        </w:rPr>
        <w:t>：</w:t>
      </w:r>
      <w:r>
        <w:rPr>
          <w:rFonts w:hint="eastAsia"/>
          <w:b/>
          <w:bCs/>
        </w:rPr>
        <w:t>2</w:t>
      </w:r>
    </w:p>
    <w:p w14:paraId="48E02BBB" w14:textId="77777777" w:rsidR="00F5289E" w:rsidRDefault="00C91173">
      <w:pPr>
        <w:widowControl/>
        <w:jc w:val="left"/>
        <w:rPr>
          <w:color w:val="262600"/>
        </w:rPr>
      </w:pPr>
      <w:r>
        <w:rPr>
          <w:b/>
          <w:bCs/>
        </w:rPr>
        <w:t>教学</w:t>
      </w:r>
      <w:r>
        <w:rPr>
          <w:rFonts w:hint="eastAsia"/>
          <w:b/>
          <w:bCs/>
        </w:rPr>
        <w:t>目标</w:t>
      </w:r>
      <w:r>
        <w:rPr>
          <w:color w:val="262600"/>
        </w:rPr>
        <w:t>：</w:t>
      </w:r>
    </w:p>
    <w:p w14:paraId="5AFA7E3F" w14:textId="77777777" w:rsidR="00F5289E" w:rsidRDefault="00C91173" w:rsidP="00B95B06">
      <w:pPr>
        <w:spacing w:line="360" w:lineRule="auto"/>
        <w:ind w:firstLineChars="200" w:firstLine="420"/>
        <w:rPr>
          <w:rFonts w:ascii="宋体" w:hAnsi="宋体"/>
          <w:color w:val="262600"/>
        </w:rPr>
      </w:pPr>
      <w:r>
        <w:rPr>
          <w:rFonts w:ascii="宋体" w:hAnsi="宋体" w:hint="eastAsia"/>
          <w:color w:val="262600"/>
        </w:rPr>
        <w:t>1.掌握智慧园艺的概念，与传统农业的区别；</w:t>
      </w:r>
    </w:p>
    <w:p w14:paraId="56CA2481" w14:textId="77777777" w:rsidR="00F5289E" w:rsidRDefault="00C91173" w:rsidP="00B95B06">
      <w:pPr>
        <w:spacing w:line="360" w:lineRule="auto"/>
        <w:ind w:firstLineChars="200" w:firstLine="420"/>
        <w:rPr>
          <w:rFonts w:ascii="宋体" w:hAnsi="宋体"/>
          <w:color w:val="262600"/>
        </w:rPr>
      </w:pPr>
      <w:r>
        <w:rPr>
          <w:rFonts w:ascii="宋体" w:hAnsi="宋体" w:hint="eastAsia"/>
          <w:color w:val="262600"/>
        </w:rPr>
        <w:t>2.了解智慧园艺关键技术内容及特点；</w:t>
      </w:r>
    </w:p>
    <w:p w14:paraId="23E75F1A" w14:textId="77777777" w:rsidR="00F5289E" w:rsidRDefault="00C91173" w:rsidP="00B95B06">
      <w:pPr>
        <w:spacing w:line="360" w:lineRule="auto"/>
        <w:ind w:firstLineChars="200" w:firstLine="420"/>
        <w:rPr>
          <w:rFonts w:ascii="宋体" w:hAnsi="宋体"/>
          <w:color w:val="262600"/>
        </w:rPr>
      </w:pPr>
      <w:r>
        <w:rPr>
          <w:rFonts w:ascii="宋体" w:hAnsi="宋体" w:hint="eastAsia"/>
          <w:color w:val="262600"/>
        </w:rPr>
        <w:t xml:space="preserve">3.了解智慧园艺国内外发展现状与未来发展趋势。 </w:t>
      </w:r>
    </w:p>
    <w:p w14:paraId="7E38340B" w14:textId="77777777" w:rsidR="00F5289E" w:rsidRDefault="00C91173">
      <w:pPr>
        <w:spacing w:line="360" w:lineRule="auto"/>
      </w:pPr>
      <w:r>
        <w:rPr>
          <w:rFonts w:hint="eastAsia"/>
          <w:b/>
          <w:bCs/>
        </w:rPr>
        <w:t>教学重点和难点</w:t>
      </w:r>
      <w:r>
        <w:rPr>
          <w:rFonts w:hint="eastAsia"/>
        </w:rPr>
        <w:t>：</w:t>
      </w:r>
    </w:p>
    <w:p w14:paraId="4D3194C3" w14:textId="77777777" w:rsidR="00F5289E" w:rsidRDefault="00C91173" w:rsidP="00B95B06">
      <w:pPr>
        <w:spacing w:line="360" w:lineRule="auto"/>
        <w:ind w:firstLineChars="200" w:firstLine="420"/>
        <w:rPr>
          <w:rFonts w:ascii="宋体" w:hAnsi="宋体" w:cs="宋体"/>
          <w:color w:val="000000"/>
          <w:kern w:val="0"/>
          <w:szCs w:val="21"/>
          <w:lang w:bidi="ar"/>
        </w:rPr>
      </w:pPr>
      <w:r>
        <w:rPr>
          <w:rFonts w:ascii="宋体" w:hAnsi="宋体" w:cs="宋体" w:hint="eastAsia"/>
          <w:color w:val="000000"/>
          <w:kern w:val="0"/>
          <w:szCs w:val="21"/>
          <w:lang w:bidi="ar"/>
        </w:rPr>
        <w:t>掌握智慧园艺的概念，了解智慧园艺关键技术内容及特点。</w:t>
      </w:r>
    </w:p>
    <w:p w14:paraId="0224E5F8" w14:textId="77777777" w:rsidR="00F5289E" w:rsidRDefault="00C91173">
      <w:pPr>
        <w:spacing w:line="360" w:lineRule="auto"/>
      </w:pPr>
      <w:r>
        <w:rPr>
          <w:rFonts w:hint="eastAsia"/>
          <w:b/>
          <w:bCs/>
        </w:rPr>
        <w:t>主要教学内容及要求</w:t>
      </w:r>
      <w:r>
        <w:rPr>
          <w:rFonts w:hint="eastAsia"/>
        </w:rPr>
        <w:t>：</w:t>
      </w:r>
    </w:p>
    <w:p w14:paraId="5C970880" w14:textId="77777777" w:rsidR="00F5289E" w:rsidRDefault="00C91173" w:rsidP="00B95B06">
      <w:pPr>
        <w:spacing w:line="360" w:lineRule="auto"/>
        <w:ind w:firstLineChars="200" w:firstLine="420"/>
        <w:rPr>
          <w:color w:val="262600"/>
        </w:rPr>
      </w:pPr>
      <w:r>
        <w:rPr>
          <w:rFonts w:hint="eastAsia"/>
        </w:rPr>
        <w:t>了解</w:t>
      </w:r>
      <w:r>
        <w:rPr>
          <w:rFonts w:ascii="宋体" w:hAnsi="宋体" w:cs="宋体" w:hint="eastAsia"/>
          <w:color w:val="000000"/>
          <w:kern w:val="0"/>
          <w:szCs w:val="21"/>
          <w:lang w:bidi="ar"/>
        </w:rPr>
        <w:t>智慧园艺关键技术内容及特点，国内外发展现状与未来发展趋势</w:t>
      </w:r>
      <w:r>
        <w:rPr>
          <w:rFonts w:hint="eastAsia"/>
          <w:color w:val="262600"/>
        </w:rPr>
        <w:t>；掌握</w:t>
      </w:r>
      <w:r>
        <w:rPr>
          <w:rFonts w:ascii="宋体" w:hAnsi="宋体" w:cs="宋体" w:hint="eastAsia"/>
          <w:color w:val="000000"/>
          <w:kern w:val="0"/>
          <w:szCs w:val="21"/>
          <w:lang w:bidi="ar"/>
        </w:rPr>
        <w:t>智慧园艺的概念，与传统农业的区别</w:t>
      </w:r>
      <w:r>
        <w:rPr>
          <w:color w:val="262600"/>
        </w:rPr>
        <w:t>等。</w:t>
      </w:r>
    </w:p>
    <w:p w14:paraId="292DF331" w14:textId="77777777" w:rsidR="00F5289E" w:rsidRDefault="00C91173">
      <w:pPr>
        <w:widowControl/>
        <w:jc w:val="left"/>
        <w:rPr>
          <w:rFonts w:ascii="宋体" w:hAnsi="宋体" w:cs="宋体"/>
          <w:b/>
          <w:bCs/>
          <w:kern w:val="0"/>
          <w:szCs w:val="21"/>
          <w:lang w:bidi="ar"/>
        </w:rPr>
      </w:pPr>
      <w:r>
        <w:rPr>
          <w:rFonts w:ascii="宋体" w:hAnsi="宋体" w:cs="宋体" w:hint="eastAsia"/>
          <w:b/>
          <w:bCs/>
          <w:kern w:val="0"/>
          <w:szCs w:val="21"/>
          <w:lang w:bidi="ar"/>
        </w:rPr>
        <w:t>第一章 绪论</w:t>
      </w:r>
    </w:p>
    <w:p w14:paraId="62D75D5D" w14:textId="77777777" w:rsidR="00F5289E" w:rsidRDefault="00C91173" w:rsidP="0070340D">
      <w:pPr>
        <w:spacing w:line="360" w:lineRule="auto"/>
        <w:ind w:firstLineChars="200" w:firstLine="420"/>
        <w:rPr>
          <w:rFonts w:ascii="宋体" w:hAnsi="宋体"/>
          <w:color w:val="262600"/>
        </w:rPr>
      </w:pPr>
      <w:r>
        <w:rPr>
          <w:rFonts w:ascii="宋体" w:hAnsi="宋体" w:hint="eastAsia"/>
          <w:color w:val="262600"/>
        </w:rPr>
        <w:t>一、智慧园艺概念和特征</w:t>
      </w:r>
    </w:p>
    <w:p w14:paraId="7B25AC52" w14:textId="77777777" w:rsidR="00F5289E" w:rsidRDefault="00C91173" w:rsidP="0070340D">
      <w:pPr>
        <w:spacing w:line="360" w:lineRule="auto"/>
        <w:ind w:firstLineChars="200" w:firstLine="420"/>
        <w:rPr>
          <w:rFonts w:ascii="宋体" w:hAnsi="宋体"/>
          <w:color w:val="262600"/>
        </w:rPr>
      </w:pPr>
      <w:r>
        <w:rPr>
          <w:rFonts w:ascii="宋体" w:hAnsi="宋体" w:hint="eastAsia"/>
          <w:color w:val="262600"/>
        </w:rPr>
        <w:t xml:space="preserve">二、智慧园艺关键技术介绍 </w:t>
      </w:r>
    </w:p>
    <w:p w14:paraId="094CAD13" w14:textId="235CEEA4" w:rsidR="00F5289E" w:rsidRPr="0070340D" w:rsidRDefault="00C91173" w:rsidP="0070340D">
      <w:pPr>
        <w:spacing w:line="360" w:lineRule="auto"/>
        <w:ind w:firstLineChars="200" w:firstLine="420"/>
        <w:rPr>
          <w:rFonts w:ascii="宋体" w:hAnsi="宋体"/>
          <w:color w:val="262600"/>
        </w:rPr>
      </w:pPr>
      <w:r>
        <w:rPr>
          <w:rFonts w:ascii="宋体" w:hAnsi="宋体" w:hint="eastAsia"/>
          <w:color w:val="262600"/>
        </w:rPr>
        <w:t>三、智慧园艺发展趋势与展望</w:t>
      </w:r>
    </w:p>
    <w:p w14:paraId="5D986E38" w14:textId="77777777" w:rsidR="00F5289E" w:rsidRDefault="00C91173">
      <w:pPr>
        <w:rPr>
          <w:szCs w:val="21"/>
        </w:rPr>
      </w:pPr>
      <w:r>
        <w:rPr>
          <w:rFonts w:ascii="宋体" w:hAnsi="宋体" w:hint="eastAsia"/>
          <w:b/>
          <w:bCs/>
          <w:szCs w:val="21"/>
        </w:rPr>
        <w:t>教学组织与实施：</w:t>
      </w:r>
    </w:p>
    <w:p w14:paraId="3BC93CA6" w14:textId="77777777" w:rsidR="00F5289E" w:rsidRDefault="00C91173">
      <w:pPr>
        <w:spacing w:line="360" w:lineRule="auto"/>
        <w:ind w:firstLineChars="200" w:firstLine="420"/>
        <w:rPr>
          <w:color w:val="262600"/>
        </w:rPr>
      </w:pPr>
      <w:r>
        <w:rPr>
          <w:rFonts w:hint="eastAsia"/>
          <w:color w:val="262600"/>
        </w:rPr>
        <w:t>以案例分析、</w:t>
      </w:r>
      <w:r>
        <w:rPr>
          <w:color w:val="262600"/>
        </w:rPr>
        <w:t>数据图例分析</w:t>
      </w:r>
      <w:r>
        <w:rPr>
          <w:rFonts w:hint="eastAsia"/>
          <w:color w:val="262600"/>
        </w:rPr>
        <w:t>法为主；采用图文并茂并</w:t>
      </w:r>
      <w:r>
        <w:rPr>
          <w:color w:val="262600"/>
        </w:rPr>
        <w:t>结合教学视频</w:t>
      </w:r>
      <w:r>
        <w:rPr>
          <w:rFonts w:hint="eastAsia"/>
          <w:color w:val="262600"/>
        </w:rPr>
        <w:t>的方式展示智慧园艺</w:t>
      </w:r>
      <w:r>
        <w:rPr>
          <w:color w:val="262600"/>
        </w:rPr>
        <w:t>的发展历史及研究进展</w:t>
      </w:r>
      <w:r>
        <w:rPr>
          <w:rFonts w:hint="eastAsia"/>
          <w:color w:val="262600"/>
        </w:rPr>
        <w:t>；综合考虑学生前期</w:t>
      </w:r>
      <w:r>
        <w:rPr>
          <w:color w:val="262600"/>
        </w:rPr>
        <w:t>的</w:t>
      </w:r>
      <w:r>
        <w:rPr>
          <w:rFonts w:hint="eastAsia"/>
          <w:color w:val="262600"/>
        </w:rPr>
        <w:t>学习基础</w:t>
      </w:r>
      <w:r>
        <w:rPr>
          <w:color w:val="262600"/>
        </w:rPr>
        <w:t>，</w:t>
      </w:r>
      <w:r>
        <w:rPr>
          <w:szCs w:val="21"/>
        </w:rPr>
        <w:t>课堂讨论智慧园艺生产的优势</w:t>
      </w:r>
      <w:r>
        <w:rPr>
          <w:rFonts w:hint="eastAsia"/>
          <w:szCs w:val="21"/>
        </w:rPr>
        <w:t>，</w:t>
      </w:r>
      <w:r>
        <w:rPr>
          <w:rFonts w:hint="eastAsia"/>
          <w:color w:val="262600"/>
        </w:rPr>
        <w:t>分析智慧</w:t>
      </w:r>
      <w:r>
        <w:rPr>
          <w:color w:val="262600"/>
        </w:rPr>
        <w:t>园艺的发展前景和特点</w:t>
      </w:r>
      <w:r>
        <w:rPr>
          <w:rFonts w:hint="eastAsia"/>
          <w:color w:val="262600"/>
        </w:rPr>
        <w:t>；同时注重通过学生亲眼观察、亲身的体会，后期课程</w:t>
      </w:r>
      <w:r>
        <w:rPr>
          <w:color w:val="262600"/>
        </w:rPr>
        <w:t>实习过程中</w:t>
      </w:r>
      <w:r>
        <w:rPr>
          <w:rFonts w:hint="eastAsia"/>
          <w:color w:val="262600"/>
        </w:rPr>
        <w:t>安排学生进行基地调研。</w:t>
      </w:r>
    </w:p>
    <w:p w14:paraId="32289222" w14:textId="77777777" w:rsidR="00F5289E" w:rsidRDefault="00F5289E">
      <w:pPr>
        <w:spacing w:beforeLines="50" w:before="156" w:afterLines="50" w:after="156" w:line="360" w:lineRule="auto"/>
        <w:ind w:firstLineChars="1500" w:firstLine="3162"/>
        <w:jc w:val="right"/>
        <w:rPr>
          <w:b/>
          <w:bCs/>
        </w:rPr>
      </w:pPr>
    </w:p>
    <w:p w14:paraId="597AF66B" w14:textId="77777777" w:rsidR="00F5289E" w:rsidRDefault="00C91173">
      <w:pPr>
        <w:spacing w:beforeLines="50" w:before="156" w:afterLines="50" w:after="156" w:line="360" w:lineRule="auto"/>
        <w:ind w:firstLineChars="1500" w:firstLine="3162"/>
        <w:rPr>
          <w:b/>
          <w:bCs/>
          <w:color w:val="262600"/>
        </w:rPr>
      </w:pPr>
      <w:r>
        <w:rPr>
          <w:b/>
          <w:bCs/>
        </w:rPr>
        <w:lastRenderedPageBreak/>
        <w:t>第二章</w:t>
      </w:r>
      <w:r>
        <w:rPr>
          <w:b/>
          <w:bCs/>
          <w:color w:val="FF0000"/>
        </w:rPr>
        <w:t xml:space="preserve">  </w:t>
      </w:r>
      <w:r>
        <w:rPr>
          <w:rFonts w:hint="eastAsia"/>
          <w:b/>
          <w:bCs/>
        </w:rPr>
        <w:t>园艺产业模拟模型技术及其应用</w:t>
      </w:r>
      <w:r>
        <w:rPr>
          <w:rFonts w:hint="eastAsia"/>
          <w:b/>
          <w:bCs/>
        </w:rPr>
        <w:t xml:space="preserve">  </w:t>
      </w:r>
      <w:r>
        <w:rPr>
          <w:rFonts w:hint="eastAsia"/>
          <w:b/>
          <w:bCs/>
          <w:color w:val="262600"/>
        </w:rPr>
        <w:t xml:space="preserve">   </w:t>
      </w:r>
      <w:r>
        <w:rPr>
          <w:b/>
          <w:bCs/>
          <w:color w:val="262600"/>
        </w:rPr>
        <w:t>学时数</w:t>
      </w:r>
      <w:r>
        <w:rPr>
          <w:rFonts w:hint="eastAsia"/>
          <w:b/>
          <w:bCs/>
          <w:color w:val="262600"/>
        </w:rPr>
        <w:t>：</w:t>
      </w:r>
      <w:r>
        <w:rPr>
          <w:rFonts w:hint="eastAsia"/>
          <w:b/>
          <w:bCs/>
          <w:color w:val="262600"/>
        </w:rPr>
        <w:t>2</w:t>
      </w:r>
    </w:p>
    <w:p w14:paraId="5D4C5F6E" w14:textId="77777777" w:rsidR="00F5289E" w:rsidRDefault="00C91173">
      <w:pPr>
        <w:spacing w:line="360" w:lineRule="auto"/>
        <w:rPr>
          <w:color w:val="262600"/>
        </w:rPr>
      </w:pPr>
      <w:r>
        <w:rPr>
          <w:rFonts w:hint="eastAsia"/>
          <w:b/>
          <w:bCs/>
          <w:color w:val="262600"/>
        </w:rPr>
        <w:t>教学目标：</w:t>
      </w:r>
      <w:r>
        <w:rPr>
          <w:rFonts w:hint="eastAsia"/>
          <w:color w:val="262600"/>
        </w:rPr>
        <w:t>通过学习，使学生掌握园艺产业模拟模型基本概念、作用、原理和方法，学会在园艺产业科学研究与生产中运用模拟模型技术。</w:t>
      </w:r>
    </w:p>
    <w:p w14:paraId="55F5E2C4" w14:textId="77777777" w:rsidR="00F5289E" w:rsidRDefault="00C91173">
      <w:pPr>
        <w:spacing w:line="360" w:lineRule="auto"/>
        <w:rPr>
          <w:color w:val="262600"/>
        </w:rPr>
      </w:pPr>
      <w:r>
        <w:rPr>
          <w:b/>
          <w:bCs/>
        </w:rPr>
        <w:t>教学重点和难点</w:t>
      </w:r>
      <w:r>
        <w:rPr>
          <w:color w:val="262600"/>
        </w:rPr>
        <w:t>：</w:t>
      </w:r>
      <w:r>
        <w:rPr>
          <w:szCs w:val="21"/>
        </w:rPr>
        <w:t>园艺产业模拟模型基本概念、作用、原理和方法</w:t>
      </w:r>
      <w:r>
        <w:rPr>
          <w:rFonts w:hint="eastAsia"/>
          <w:color w:val="262600"/>
        </w:rPr>
        <w:t>。</w:t>
      </w:r>
    </w:p>
    <w:p w14:paraId="550950F1" w14:textId="77777777" w:rsidR="00F5289E" w:rsidRDefault="00C91173">
      <w:pPr>
        <w:spacing w:line="360" w:lineRule="auto"/>
        <w:rPr>
          <w:color w:val="262600"/>
        </w:rPr>
      </w:pPr>
      <w:r>
        <w:rPr>
          <w:b/>
          <w:bCs/>
        </w:rPr>
        <w:t>主要教学内容及要求</w:t>
      </w:r>
      <w:r>
        <w:rPr>
          <w:color w:val="262600"/>
        </w:rPr>
        <w:t>：</w:t>
      </w:r>
      <w:r>
        <w:rPr>
          <w:szCs w:val="21"/>
        </w:rPr>
        <w:t>掌握园艺产业模拟模型基本概念、作用、原理和方法，学会在园艺产业科学研究与生产中运用模拟模型技术</w:t>
      </w:r>
      <w:r>
        <w:rPr>
          <w:rFonts w:hint="eastAsia"/>
          <w:color w:val="262600"/>
        </w:rPr>
        <w:t>。</w:t>
      </w:r>
    </w:p>
    <w:p w14:paraId="6173224A" w14:textId="77777777" w:rsidR="00F5289E" w:rsidRDefault="00C91173">
      <w:pPr>
        <w:adjustRightInd w:val="0"/>
        <w:snapToGrid w:val="0"/>
        <w:jc w:val="left"/>
        <w:rPr>
          <w:szCs w:val="21"/>
        </w:rPr>
      </w:pPr>
      <w:r>
        <w:rPr>
          <w:b/>
          <w:bCs/>
        </w:rPr>
        <w:t>第二章</w:t>
      </w:r>
      <w:r>
        <w:rPr>
          <w:b/>
          <w:bCs/>
          <w:color w:val="FF0000"/>
        </w:rPr>
        <w:t xml:space="preserve">  </w:t>
      </w:r>
      <w:r>
        <w:rPr>
          <w:rFonts w:hint="eastAsia"/>
          <w:b/>
          <w:bCs/>
        </w:rPr>
        <w:t>园艺产业模拟模型技术及其应用</w:t>
      </w:r>
    </w:p>
    <w:p w14:paraId="18F74A93" w14:textId="77777777" w:rsidR="00F5289E" w:rsidRDefault="00C91173">
      <w:pPr>
        <w:spacing w:line="360" w:lineRule="auto"/>
        <w:rPr>
          <w:rFonts w:ascii="宋体" w:hAnsi="宋体"/>
          <w:color w:val="262600"/>
        </w:rPr>
      </w:pPr>
      <w:r>
        <w:rPr>
          <w:rFonts w:ascii="宋体" w:hAnsi="宋体" w:hint="eastAsia"/>
          <w:color w:val="262600"/>
        </w:rPr>
        <w:t>一、模拟模型基本概念</w:t>
      </w:r>
    </w:p>
    <w:p w14:paraId="61F4AD23" w14:textId="77777777" w:rsidR="00F5289E" w:rsidRDefault="00C91173">
      <w:pPr>
        <w:spacing w:line="360" w:lineRule="auto"/>
        <w:rPr>
          <w:rFonts w:ascii="宋体" w:hAnsi="宋体"/>
          <w:color w:val="262600"/>
        </w:rPr>
      </w:pPr>
      <w:r>
        <w:rPr>
          <w:rFonts w:ascii="宋体" w:hAnsi="宋体" w:hint="eastAsia"/>
          <w:color w:val="262600"/>
        </w:rPr>
        <w:t>二、作物生长模型及其分类</w:t>
      </w:r>
    </w:p>
    <w:p w14:paraId="02A2F95A" w14:textId="77777777" w:rsidR="00F5289E" w:rsidRDefault="00C91173">
      <w:pPr>
        <w:spacing w:line="360" w:lineRule="auto"/>
        <w:rPr>
          <w:rFonts w:ascii="宋体" w:hAnsi="宋体"/>
          <w:color w:val="262600"/>
        </w:rPr>
      </w:pPr>
      <w:r>
        <w:rPr>
          <w:rFonts w:ascii="宋体" w:hAnsi="宋体" w:hint="eastAsia"/>
          <w:color w:val="262600"/>
        </w:rPr>
        <w:t>三、作物模拟原理与技术</w:t>
      </w:r>
    </w:p>
    <w:p w14:paraId="414498CF" w14:textId="77777777" w:rsidR="00F5289E" w:rsidRDefault="00C91173">
      <w:pPr>
        <w:spacing w:line="360" w:lineRule="auto"/>
        <w:rPr>
          <w:rFonts w:ascii="宋体" w:hAnsi="宋体"/>
          <w:color w:val="262600"/>
        </w:rPr>
      </w:pPr>
      <w:r>
        <w:rPr>
          <w:rFonts w:ascii="宋体" w:hAnsi="宋体" w:hint="eastAsia"/>
          <w:color w:val="262600"/>
        </w:rPr>
        <w:t>四、作物模拟模型应用举例</w:t>
      </w:r>
    </w:p>
    <w:p w14:paraId="7FA70FFE" w14:textId="77777777" w:rsidR="00F5289E" w:rsidRDefault="00C91173">
      <w:pPr>
        <w:rPr>
          <w:szCs w:val="21"/>
        </w:rPr>
      </w:pPr>
      <w:r>
        <w:rPr>
          <w:rFonts w:ascii="宋体" w:hAnsi="宋体" w:hint="eastAsia"/>
          <w:b/>
          <w:bCs/>
          <w:szCs w:val="21"/>
        </w:rPr>
        <w:t>教学组织与实施：</w:t>
      </w:r>
    </w:p>
    <w:p w14:paraId="471D8F77" w14:textId="77777777" w:rsidR="00F5289E" w:rsidRDefault="00C91173">
      <w:pPr>
        <w:spacing w:line="360" w:lineRule="auto"/>
        <w:ind w:firstLineChars="200" w:firstLine="420"/>
        <w:rPr>
          <w:color w:val="262600"/>
        </w:rPr>
      </w:pPr>
      <w:r>
        <w:rPr>
          <w:rFonts w:hint="eastAsia"/>
          <w:color w:val="262600"/>
        </w:rPr>
        <w:t>根据</w:t>
      </w:r>
      <w:r>
        <w:rPr>
          <w:color w:val="262600"/>
        </w:rPr>
        <w:t>学生认知规律和接受特点，</w:t>
      </w:r>
      <w:r>
        <w:rPr>
          <w:rFonts w:hint="eastAsia"/>
          <w:color w:val="262600"/>
        </w:rPr>
        <w:t>采用图文并茂的形式并</w:t>
      </w:r>
      <w:r>
        <w:rPr>
          <w:color w:val="262600"/>
        </w:rPr>
        <w:t>结合教学视频</w:t>
      </w:r>
      <w:r>
        <w:rPr>
          <w:rFonts w:hint="eastAsia"/>
          <w:color w:val="262600"/>
        </w:rPr>
        <w:t>的方式展示</w:t>
      </w:r>
      <w:r>
        <w:rPr>
          <w:rFonts w:ascii="宋体" w:hAnsi="宋体" w:hint="eastAsia"/>
          <w:color w:val="262600"/>
        </w:rPr>
        <w:t>模拟模型基本概念、作物生长模型及其分类、作物模拟原理与技术，</w:t>
      </w:r>
      <w:r>
        <w:rPr>
          <w:color w:val="262600"/>
        </w:rPr>
        <w:t>最终掌握</w:t>
      </w:r>
      <w:r>
        <w:rPr>
          <w:rFonts w:hint="eastAsia"/>
          <w:color w:val="262600"/>
        </w:rPr>
        <w:t>园艺产业模拟模型技术及其应用；结合课堂提问</w:t>
      </w:r>
      <w:r>
        <w:rPr>
          <w:color w:val="262600"/>
        </w:rPr>
        <w:t>互动</w:t>
      </w:r>
      <w:r>
        <w:rPr>
          <w:rFonts w:hint="eastAsia"/>
          <w:color w:val="262600"/>
        </w:rPr>
        <w:t>培养</w:t>
      </w:r>
      <w:r>
        <w:rPr>
          <w:color w:val="262600"/>
        </w:rPr>
        <w:t>学生专业学习兴趣。</w:t>
      </w:r>
    </w:p>
    <w:p w14:paraId="54159C60" w14:textId="77777777" w:rsidR="00F5289E" w:rsidRDefault="00F5289E">
      <w:pPr>
        <w:spacing w:line="360" w:lineRule="auto"/>
        <w:ind w:firstLineChars="200" w:firstLine="420"/>
        <w:rPr>
          <w:color w:val="262600"/>
        </w:rPr>
      </w:pPr>
    </w:p>
    <w:p w14:paraId="5C1CE80A" w14:textId="77777777" w:rsidR="00F5289E" w:rsidRDefault="00C91173">
      <w:pPr>
        <w:spacing w:beforeLines="50" w:before="156" w:afterLines="50" w:after="156" w:line="360" w:lineRule="auto"/>
        <w:ind w:firstLineChars="1500" w:firstLine="3162"/>
        <w:rPr>
          <w:b/>
          <w:bCs/>
          <w:color w:val="262600"/>
        </w:rPr>
      </w:pPr>
      <w:r>
        <w:rPr>
          <w:b/>
          <w:bCs/>
          <w:color w:val="262600"/>
        </w:rPr>
        <w:t>第</w:t>
      </w:r>
      <w:r>
        <w:rPr>
          <w:rFonts w:hint="eastAsia"/>
          <w:b/>
          <w:bCs/>
        </w:rPr>
        <w:t>三</w:t>
      </w:r>
      <w:r>
        <w:rPr>
          <w:b/>
          <w:bCs/>
          <w:color w:val="262600"/>
        </w:rPr>
        <w:t>章</w:t>
      </w:r>
      <w:r>
        <w:rPr>
          <w:b/>
          <w:bCs/>
          <w:color w:val="262600"/>
        </w:rPr>
        <w:t xml:space="preserve">  </w:t>
      </w:r>
      <w:r>
        <w:rPr>
          <w:rFonts w:hint="eastAsia"/>
          <w:b/>
          <w:bCs/>
          <w:color w:val="262600"/>
        </w:rPr>
        <w:t>园艺产业决策支持系统</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b/>
          <w:bCs/>
          <w:color w:val="262600"/>
        </w:rPr>
        <w:t>2</w:t>
      </w:r>
    </w:p>
    <w:p w14:paraId="5BFEA751" w14:textId="77777777" w:rsidR="00F5289E" w:rsidRDefault="00C91173">
      <w:pPr>
        <w:spacing w:line="360" w:lineRule="auto"/>
        <w:rPr>
          <w:color w:val="262600"/>
        </w:rPr>
      </w:pPr>
      <w:r>
        <w:rPr>
          <w:rFonts w:hint="eastAsia"/>
          <w:b/>
          <w:bCs/>
          <w:color w:val="262600"/>
        </w:rPr>
        <w:t>教学目标：</w:t>
      </w:r>
      <w:r>
        <w:rPr>
          <w:rFonts w:hint="eastAsia"/>
          <w:color w:val="262600"/>
        </w:rPr>
        <w:t>通过学习，使学生掌握园艺产业专家系统、园艺产业决策支持系统的基本概念与作用、构建方法，园艺产业模拟模型与专家系统耦合的方法。</w:t>
      </w:r>
    </w:p>
    <w:p w14:paraId="5365A68A" w14:textId="77777777" w:rsidR="00F5289E" w:rsidRDefault="00C91173">
      <w:pPr>
        <w:spacing w:line="360" w:lineRule="auto"/>
        <w:rPr>
          <w:color w:val="262600"/>
        </w:rPr>
      </w:pPr>
      <w:r>
        <w:rPr>
          <w:b/>
          <w:bCs/>
        </w:rPr>
        <w:t>教学重点和难点</w:t>
      </w:r>
      <w:r>
        <w:rPr>
          <w:color w:val="262600"/>
        </w:rPr>
        <w:t>：</w:t>
      </w:r>
      <w:r>
        <w:rPr>
          <w:rFonts w:hint="eastAsia"/>
          <w:color w:val="262600"/>
        </w:rPr>
        <w:t>园艺产业专家系统、园艺产业决策支持系统的基本概念与作用。</w:t>
      </w:r>
    </w:p>
    <w:p w14:paraId="7DB2ED59" w14:textId="77777777" w:rsidR="00F5289E" w:rsidRDefault="00C91173">
      <w:pPr>
        <w:spacing w:line="360" w:lineRule="auto"/>
        <w:rPr>
          <w:color w:val="262600"/>
        </w:rPr>
      </w:pPr>
      <w:r>
        <w:rPr>
          <w:b/>
          <w:bCs/>
        </w:rPr>
        <w:t>主要教学内容及要求</w:t>
      </w:r>
      <w:r>
        <w:rPr>
          <w:color w:val="262600"/>
        </w:rPr>
        <w:t>：</w:t>
      </w:r>
      <w:r>
        <w:rPr>
          <w:rFonts w:hint="eastAsia"/>
          <w:color w:val="262600"/>
        </w:rPr>
        <w:t>掌握园艺产业专家系统、园艺产业决策支持系统的基本概念，了解园艺产业专家系统、园艺产业决策支持系统的作用、构建方法，园艺产业模拟模型与专家系统耦合的方法。</w:t>
      </w:r>
    </w:p>
    <w:p w14:paraId="54485AC7" w14:textId="77777777" w:rsidR="00F5289E" w:rsidRDefault="00C91173">
      <w:pPr>
        <w:spacing w:line="360" w:lineRule="auto"/>
        <w:rPr>
          <w:rFonts w:ascii="宋体" w:hAnsi="宋体"/>
          <w:color w:val="262600"/>
        </w:rPr>
      </w:pPr>
      <w:r>
        <w:rPr>
          <w:b/>
          <w:bCs/>
          <w:color w:val="262600"/>
        </w:rPr>
        <w:t>第</w:t>
      </w:r>
      <w:r>
        <w:rPr>
          <w:rFonts w:hint="eastAsia"/>
          <w:b/>
          <w:bCs/>
        </w:rPr>
        <w:t>三</w:t>
      </w:r>
      <w:r>
        <w:rPr>
          <w:b/>
          <w:bCs/>
          <w:color w:val="262600"/>
        </w:rPr>
        <w:t>章</w:t>
      </w:r>
      <w:r>
        <w:rPr>
          <w:b/>
          <w:bCs/>
          <w:color w:val="262600"/>
        </w:rPr>
        <w:t xml:space="preserve">  </w:t>
      </w:r>
      <w:r>
        <w:rPr>
          <w:rFonts w:hint="eastAsia"/>
          <w:b/>
          <w:bCs/>
          <w:color w:val="262600"/>
        </w:rPr>
        <w:t>园艺产业决策支持系统</w:t>
      </w:r>
    </w:p>
    <w:p w14:paraId="76CF7069" w14:textId="77777777" w:rsidR="00F5289E" w:rsidRDefault="00C91173">
      <w:pPr>
        <w:spacing w:line="360" w:lineRule="auto"/>
        <w:rPr>
          <w:rFonts w:ascii="宋体" w:hAnsi="宋体"/>
          <w:color w:val="262600"/>
        </w:rPr>
      </w:pPr>
      <w:r>
        <w:rPr>
          <w:rFonts w:ascii="宋体" w:hAnsi="宋体" w:hint="eastAsia"/>
          <w:color w:val="262600"/>
        </w:rPr>
        <w:t>一、园艺产业专家系统及其作用</w:t>
      </w:r>
    </w:p>
    <w:p w14:paraId="0F187079" w14:textId="77777777" w:rsidR="00F5289E" w:rsidRDefault="00C91173">
      <w:pPr>
        <w:spacing w:line="360" w:lineRule="auto"/>
        <w:rPr>
          <w:rFonts w:ascii="宋体" w:hAnsi="宋体"/>
          <w:color w:val="262600"/>
        </w:rPr>
      </w:pPr>
      <w:r>
        <w:rPr>
          <w:rFonts w:ascii="宋体" w:hAnsi="宋体" w:hint="eastAsia"/>
          <w:color w:val="262600"/>
        </w:rPr>
        <w:t>二、园艺产业模拟模型与园艺产业决策支持系统耦合</w:t>
      </w:r>
    </w:p>
    <w:p w14:paraId="379F7D0B" w14:textId="77777777" w:rsidR="00F5289E" w:rsidRDefault="00C91173">
      <w:pPr>
        <w:spacing w:line="360" w:lineRule="auto"/>
        <w:rPr>
          <w:rFonts w:ascii="宋体" w:hAnsi="宋体"/>
          <w:color w:val="262600"/>
        </w:rPr>
      </w:pPr>
      <w:r>
        <w:rPr>
          <w:rFonts w:ascii="宋体" w:hAnsi="宋体" w:hint="eastAsia"/>
          <w:color w:val="262600"/>
        </w:rPr>
        <w:t>三、园艺产业决策支持系统构建方法</w:t>
      </w:r>
    </w:p>
    <w:p w14:paraId="7C8CD37A" w14:textId="77777777" w:rsidR="00F5289E" w:rsidRDefault="00C91173">
      <w:pPr>
        <w:spacing w:line="360" w:lineRule="auto"/>
        <w:rPr>
          <w:rFonts w:ascii="宋体" w:hAnsi="宋体"/>
          <w:color w:val="262600"/>
        </w:rPr>
      </w:pPr>
      <w:r>
        <w:rPr>
          <w:rFonts w:ascii="宋体" w:hAnsi="宋体" w:hint="eastAsia"/>
          <w:color w:val="262600"/>
        </w:rPr>
        <w:t>四、园艺产业决策支持系统应用举例</w:t>
      </w:r>
    </w:p>
    <w:p w14:paraId="4199F046" w14:textId="77777777" w:rsidR="00F5289E" w:rsidRDefault="00C91173">
      <w:pPr>
        <w:rPr>
          <w:szCs w:val="21"/>
        </w:rPr>
      </w:pPr>
      <w:r>
        <w:rPr>
          <w:rFonts w:ascii="宋体" w:hAnsi="宋体" w:hint="eastAsia"/>
          <w:b/>
          <w:bCs/>
          <w:szCs w:val="21"/>
        </w:rPr>
        <w:t>教学组织与实施：</w:t>
      </w:r>
    </w:p>
    <w:p w14:paraId="49A37822" w14:textId="77777777" w:rsidR="00F5289E" w:rsidRDefault="00C91173">
      <w:pPr>
        <w:spacing w:line="360" w:lineRule="auto"/>
        <w:ind w:firstLineChars="200" w:firstLine="420"/>
        <w:rPr>
          <w:color w:val="262600"/>
        </w:rPr>
      </w:pPr>
      <w:r>
        <w:rPr>
          <w:rFonts w:hint="eastAsia"/>
          <w:color w:val="262600"/>
        </w:rPr>
        <w:t>以讲解法、案例分析法为主；采用图文并茂并</w:t>
      </w:r>
      <w:r>
        <w:rPr>
          <w:color w:val="262600"/>
        </w:rPr>
        <w:t>结合教学视频</w:t>
      </w:r>
      <w:r>
        <w:rPr>
          <w:rFonts w:hint="eastAsia"/>
          <w:color w:val="262600"/>
        </w:rPr>
        <w:t>的方式展示园艺产业专家系统、园</w:t>
      </w:r>
      <w:r>
        <w:rPr>
          <w:rFonts w:hint="eastAsia"/>
          <w:color w:val="262600"/>
        </w:rPr>
        <w:lastRenderedPageBreak/>
        <w:t>艺产业决策支持系统概念与作用、构建方法；结合课堂提问</w:t>
      </w:r>
      <w:r>
        <w:rPr>
          <w:color w:val="262600"/>
        </w:rPr>
        <w:t>互动</w:t>
      </w:r>
      <w:r>
        <w:rPr>
          <w:rFonts w:hint="eastAsia"/>
          <w:color w:val="262600"/>
        </w:rPr>
        <w:t>讨论</w:t>
      </w:r>
      <w:r>
        <w:rPr>
          <w:rFonts w:hint="eastAsia"/>
          <w:szCs w:val="21"/>
        </w:rPr>
        <w:t>专家决策系统如何在我省园艺生产中实现，</w:t>
      </w:r>
      <w:r>
        <w:rPr>
          <w:rFonts w:hint="eastAsia"/>
          <w:color w:val="262600"/>
        </w:rPr>
        <w:t>培养</w:t>
      </w:r>
      <w:r>
        <w:rPr>
          <w:color w:val="262600"/>
        </w:rPr>
        <w:t>学生专业学习兴趣。</w:t>
      </w:r>
    </w:p>
    <w:p w14:paraId="1F448DDD" w14:textId="77777777" w:rsidR="00F5289E" w:rsidRDefault="00F5289E">
      <w:pPr>
        <w:spacing w:line="360" w:lineRule="auto"/>
        <w:ind w:firstLineChars="200" w:firstLine="420"/>
        <w:rPr>
          <w:color w:val="262600"/>
        </w:rPr>
      </w:pPr>
    </w:p>
    <w:p w14:paraId="24032523" w14:textId="77777777" w:rsidR="00F5289E" w:rsidRDefault="00C91173">
      <w:pPr>
        <w:spacing w:beforeLines="50" w:before="156" w:afterLines="50" w:after="156" w:line="360" w:lineRule="auto"/>
        <w:ind w:firstLineChars="1200" w:firstLine="2530"/>
        <w:jc w:val="center"/>
        <w:rPr>
          <w:b/>
          <w:color w:val="262600"/>
        </w:rPr>
      </w:pPr>
      <w:r>
        <w:rPr>
          <w:rFonts w:hint="eastAsia"/>
          <w:b/>
          <w:color w:val="262600"/>
        </w:rPr>
        <w:t xml:space="preserve">       </w:t>
      </w:r>
      <w:r>
        <w:rPr>
          <w:b/>
          <w:color w:val="262600"/>
        </w:rPr>
        <w:t>第</w:t>
      </w:r>
      <w:r>
        <w:rPr>
          <w:rFonts w:hint="eastAsia"/>
          <w:b/>
        </w:rPr>
        <w:t>四</w:t>
      </w:r>
      <w:r>
        <w:rPr>
          <w:b/>
          <w:color w:val="262600"/>
        </w:rPr>
        <w:t>章</w:t>
      </w:r>
      <w:r>
        <w:rPr>
          <w:b/>
          <w:color w:val="262600"/>
        </w:rPr>
        <w:t xml:space="preserve">  </w:t>
      </w:r>
      <w:r>
        <w:rPr>
          <w:rFonts w:hint="eastAsia"/>
          <w:b/>
          <w:color w:val="262600"/>
        </w:rPr>
        <w:t>智慧园艺育种</w:t>
      </w:r>
      <w:r>
        <w:rPr>
          <w:b/>
          <w:color w:val="262600"/>
        </w:rPr>
        <w:t>技术</w:t>
      </w:r>
      <w:r>
        <w:rPr>
          <w:rFonts w:hint="eastAsia"/>
          <w:b/>
          <w:color w:val="262600"/>
        </w:rPr>
        <w:t xml:space="preserve">       </w:t>
      </w:r>
      <w:r>
        <w:rPr>
          <w:b/>
          <w:color w:val="262600"/>
        </w:rPr>
        <w:t xml:space="preserve"> </w:t>
      </w:r>
      <w:r>
        <w:rPr>
          <w:rFonts w:hint="eastAsia"/>
          <w:b/>
          <w:color w:val="262600"/>
        </w:rPr>
        <w:t xml:space="preserve">       </w:t>
      </w:r>
      <w:r>
        <w:rPr>
          <w:b/>
          <w:bCs/>
          <w:color w:val="262600"/>
        </w:rPr>
        <w:t>学时数</w:t>
      </w:r>
      <w:r>
        <w:rPr>
          <w:rFonts w:hint="eastAsia"/>
          <w:b/>
          <w:bCs/>
          <w:color w:val="262600"/>
        </w:rPr>
        <w:t>：</w:t>
      </w:r>
      <w:r>
        <w:rPr>
          <w:rFonts w:hint="eastAsia"/>
          <w:b/>
          <w:bCs/>
          <w:color w:val="262600"/>
        </w:rPr>
        <w:t>4</w:t>
      </w:r>
    </w:p>
    <w:p w14:paraId="27B47EFE" w14:textId="77777777" w:rsidR="00F5289E" w:rsidRDefault="00C91173">
      <w:pPr>
        <w:spacing w:line="360" w:lineRule="auto"/>
        <w:rPr>
          <w:color w:val="262600"/>
        </w:rPr>
      </w:pPr>
      <w:r>
        <w:rPr>
          <w:b/>
          <w:bCs/>
        </w:rPr>
        <w:t>教学目</w:t>
      </w:r>
      <w:r>
        <w:rPr>
          <w:rFonts w:hint="eastAsia"/>
          <w:b/>
          <w:bCs/>
        </w:rPr>
        <w:t>标</w:t>
      </w:r>
      <w:r>
        <w:rPr>
          <w:color w:val="262600"/>
        </w:rPr>
        <w:t>：要求掌握</w:t>
      </w:r>
      <w:r>
        <w:rPr>
          <w:rFonts w:hint="eastAsia"/>
          <w:color w:val="262600"/>
        </w:rPr>
        <w:t>智慧园艺育种技术</w:t>
      </w:r>
      <w:r>
        <w:rPr>
          <w:color w:val="262600"/>
        </w:rPr>
        <w:t>措施</w:t>
      </w:r>
      <w:r>
        <w:rPr>
          <w:rFonts w:hint="eastAsia"/>
          <w:color w:val="262600"/>
        </w:rPr>
        <w:t>。</w:t>
      </w:r>
    </w:p>
    <w:p w14:paraId="5278907E" w14:textId="77777777" w:rsidR="00F5289E" w:rsidRDefault="00C91173">
      <w:pPr>
        <w:spacing w:line="360" w:lineRule="auto"/>
        <w:rPr>
          <w:color w:val="262600"/>
        </w:rPr>
      </w:pPr>
      <w:r>
        <w:rPr>
          <w:b/>
          <w:bCs/>
        </w:rPr>
        <w:t>教学重点和难点</w:t>
      </w:r>
      <w:r>
        <w:rPr>
          <w:color w:val="262600"/>
        </w:rPr>
        <w:t>：</w:t>
      </w:r>
      <w:r>
        <w:rPr>
          <w:rFonts w:hint="eastAsia"/>
          <w:color w:val="262600"/>
        </w:rPr>
        <w:t>遗传信息的智能化育种手段和方法。</w:t>
      </w:r>
    </w:p>
    <w:p w14:paraId="764C10C8" w14:textId="77777777" w:rsidR="00F5289E" w:rsidRDefault="00C91173">
      <w:pPr>
        <w:spacing w:line="360" w:lineRule="auto"/>
        <w:rPr>
          <w:color w:val="262600"/>
        </w:rPr>
      </w:pPr>
      <w:r>
        <w:rPr>
          <w:b/>
          <w:bCs/>
        </w:rPr>
        <w:t>主要教学内容及要求</w:t>
      </w:r>
      <w:r>
        <w:rPr>
          <w:color w:val="262600"/>
        </w:rPr>
        <w:t>：</w:t>
      </w:r>
      <w:r>
        <w:rPr>
          <w:rFonts w:hint="eastAsia"/>
          <w:color w:val="262600"/>
        </w:rPr>
        <w:t>掌握遗传信息的智能化育种手段；了解智慧园艺育种采用的分子标记、基因工程以及云计算技术等。</w:t>
      </w:r>
    </w:p>
    <w:p w14:paraId="5F2CAEC8" w14:textId="77777777" w:rsidR="00F5289E" w:rsidRDefault="00C91173">
      <w:pPr>
        <w:spacing w:line="360" w:lineRule="auto"/>
        <w:rPr>
          <w:b/>
          <w:color w:val="262600"/>
        </w:rPr>
      </w:pPr>
      <w:r>
        <w:rPr>
          <w:b/>
          <w:color w:val="262600"/>
        </w:rPr>
        <w:t>第</w:t>
      </w:r>
      <w:r>
        <w:rPr>
          <w:rFonts w:hint="eastAsia"/>
          <w:b/>
        </w:rPr>
        <w:t>四</w:t>
      </w:r>
      <w:r>
        <w:rPr>
          <w:b/>
          <w:color w:val="262600"/>
        </w:rPr>
        <w:t>章</w:t>
      </w:r>
      <w:r>
        <w:rPr>
          <w:b/>
          <w:color w:val="262600"/>
        </w:rPr>
        <w:t xml:space="preserve">  </w:t>
      </w:r>
      <w:r>
        <w:rPr>
          <w:rFonts w:hint="eastAsia"/>
          <w:b/>
          <w:color w:val="262600"/>
        </w:rPr>
        <w:t>智慧园艺育种</w:t>
      </w:r>
      <w:r>
        <w:rPr>
          <w:b/>
          <w:color w:val="262600"/>
        </w:rPr>
        <w:t>技术</w:t>
      </w:r>
    </w:p>
    <w:p w14:paraId="503A1EAC" w14:textId="77777777" w:rsidR="00F5289E" w:rsidRDefault="00C91173">
      <w:pPr>
        <w:spacing w:line="360" w:lineRule="auto"/>
        <w:rPr>
          <w:rFonts w:ascii="宋体" w:hAnsi="宋体"/>
          <w:color w:val="262600"/>
        </w:rPr>
      </w:pPr>
      <w:r>
        <w:rPr>
          <w:rFonts w:ascii="宋体" w:hAnsi="宋体" w:hint="eastAsia"/>
          <w:color w:val="262600"/>
        </w:rPr>
        <w:t>一、智慧园艺育种概念及其作用</w:t>
      </w:r>
    </w:p>
    <w:p w14:paraId="60B79B87" w14:textId="77777777" w:rsidR="00F5289E" w:rsidRDefault="00C91173">
      <w:pPr>
        <w:spacing w:line="360" w:lineRule="auto"/>
        <w:rPr>
          <w:rFonts w:ascii="宋体" w:hAnsi="宋体"/>
          <w:color w:val="262600"/>
        </w:rPr>
      </w:pPr>
      <w:r>
        <w:rPr>
          <w:rFonts w:ascii="宋体" w:hAnsi="宋体" w:hint="eastAsia"/>
          <w:color w:val="262600"/>
        </w:rPr>
        <w:t>二、智慧园艺育种关键技术</w:t>
      </w:r>
    </w:p>
    <w:p w14:paraId="7ED66B39" w14:textId="77777777" w:rsidR="00F5289E" w:rsidRDefault="00C91173">
      <w:pPr>
        <w:spacing w:line="360" w:lineRule="auto"/>
        <w:rPr>
          <w:rFonts w:ascii="宋体" w:hAnsi="宋体"/>
          <w:color w:val="262600"/>
        </w:rPr>
      </w:pPr>
      <w:r>
        <w:rPr>
          <w:rFonts w:ascii="宋体" w:hAnsi="宋体" w:hint="eastAsia"/>
          <w:color w:val="262600"/>
        </w:rPr>
        <w:t>三、基因工程和分子标记在园艺植物育种中的应用</w:t>
      </w:r>
    </w:p>
    <w:p w14:paraId="02DC5A1B" w14:textId="77777777" w:rsidR="00F5289E" w:rsidRDefault="00C91173">
      <w:pPr>
        <w:spacing w:line="360" w:lineRule="auto"/>
        <w:rPr>
          <w:rFonts w:ascii="宋体" w:hAnsi="宋体"/>
          <w:color w:val="262600"/>
        </w:rPr>
      </w:pPr>
      <w:r>
        <w:rPr>
          <w:rFonts w:ascii="宋体" w:hAnsi="宋体" w:hint="eastAsia"/>
          <w:color w:val="262600"/>
        </w:rPr>
        <w:t>四、智慧园艺育种发展趋势与展望</w:t>
      </w:r>
    </w:p>
    <w:p w14:paraId="5A795C9A" w14:textId="77777777" w:rsidR="00F5289E" w:rsidRDefault="00C91173">
      <w:pPr>
        <w:rPr>
          <w:szCs w:val="21"/>
        </w:rPr>
      </w:pPr>
      <w:r>
        <w:rPr>
          <w:rFonts w:ascii="宋体" w:hAnsi="宋体" w:hint="eastAsia"/>
          <w:b/>
          <w:bCs/>
          <w:szCs w:val="21"/>
        </w:rPr>
        <w:t>教学组织与实施：</w:t>
      </w:r>
    </w:p>
    <w:p w14:paraId="7CE272E2" w14:textId="77777777" w:rsidR="00F5289E" w:rsidRDefault="00C91173">
      <w:pPr>
        <w:spacing w:line="360" w:lineRule="auto"/>
        <w:ind w:firstLineChars="200" w:firstLine="420"/>
        <w:rPr>
          <w:color w:val="262600"/>
        </w:rPr>
      </w:pPr>
      <w:r>
        <w:rPr>
          <w:rFonts w:hint="eastAsia"/>
          <w:color w:val="262600"/>
        </w:rPr>
        <w:t>本章</w:t>
      </w:r>
      <w:r>
        <w:rPr>
          <w:color w:val="262600"/>
        </w:rPr>
        <w:t>为该课程的重点内容，</w:t>
      </w:r>
      <w:r>
        <w:rPr>
          <w:rFonts w:hint="eastAsia"/>
          <w:color w:val="262600"/>
        </w:rPr>
        <w:t>根据学生</w:t>
      </w:r>
      <w:r>
        <w:rPr>
          <w:color w:val="262600"/>
        </w:rPr>
        <w:t>前期的学习</w:t>
      </w:r>
      <w:r>
        <w:rPr>
          <w:rFonts w:hint="eastAsia"/>
          <w:color w:val="262600"/>
        </w:rPr>
        <w:t>园艺植物育种学</w:t>
      </w:r>
      <w:r>
        <w:rPr>
          <w:color w:val="262600"/>
        </w:rPr>
        <w:t>基础，从</w:t>
      </w:r>
      <w:r>
        <w:rPr>
          <w:rFonts w:hint="eastAsia"/>
          <w:color w:val="262600"/>
        </w:rPr>
        <w:t>生物技术、信息技术和智能技术与传统园艺育种深度融合</w:t>
      </w:r>
      <w:r>
        <w:rPr>
          <w:color w:val="262600"/>
        </w:rPr>
        <w:t>，</w:t>
      </w:r>
      <w:r>
        <w:rPr>
          <w:rFonts w:hint="eastAsia"/>
          <w:color w:val="262600"/>
        </w:rPr>
        <w:t>通过</w:t>
      </w:r>
      <w:r>
        <w:rPr>
          <w:color w:val="262600"/>
        </w:rPr>
        <w:t>课堂讲解，</w:t>
      </w:r>
      <w:r>
        <w:rPr>
          <w:rFonts w:hint="eastAsia"/>
          <w:color w:val="262600"/>
        </w:rPr>
        <w:t>视频</w:t>
      </w:r>
      <w:r>
        <w:rPr>
          <w:color w:val="262600"/>
        </w:rPr>
        <w:t>资料，以及结合后期教学基地实地实验</w:t>
      </w:r>
      <w:r>
        <w:rPr>
          <w:rFonts w:hint="eastAsia"/>
          <w:color w:val="262600"/>
        </w:rPr>
        <w:t>教学</w:t>
      </w:r>
      <w:r>
        <w:rPr>
          <w:color w:val="262600"/>
        </w:rPr>
        <w:t>，</w:t>
      </w:r>
      <w:r>
        <w:rPr>
          <w:rFonts w:hint="eastAsia"/>
          <w:color w:val="262600"/>
        </w:rPr>
        <w:t>形成大班集中讲授，小班分组实验实习的课程讲授体系，让</w:t>
      </w:r>
      <w:r>
        <w:rPr>
          <w:color w:val="262600"/>
        </w:rPr>
        <w:t>学生们系统全面的</w:t>
      </w:r>
      <w:r>
        <w:rPr>
          <w:rFonts w:hint="eastAsia"/>
          <w:color w:val="262600"/>
        </w:rPr>
        <w:t>掌握</w:t>
      </w:r>
      <w:r>
        <w:rPr>
          <w:color w:val="262600"/>
        </w:rPr>
        <w:t>本章内容</w:t>
      </w:r>
      <w:r>
        <w:rPr>
          <w:rFonts w:hint="eastAsia"/>
          <w:color w:val="262600"/>
        </w:rPr>
        <w:t>。</w:t>
      </w:r>
    </w:p>
    <w:p w14:paraId="165E5160" w14:textId="77777777" w:rsidR="00F5289E" w:rsidRDefault="00F5289E">
      <w:pPr>
        <w:spacing w:line="360" w:lineRule="auto"/>
        <w:ind w:firstLineChars="200" w:firstLine="420"/>
        <w:rPr>
          <w:color w:val="262600"/>
        </w:rPr>
      </w:pPr>
    </w:p>
    <w:p w14:paraId="3B647A5C" w14:textId="77777777" w:rsidR="00F5289E" w:rsidRDefault="00C91173">
      <w:pPr>
        <w:spacing w:beforeLines="50" w:before="156" w:afterLines="50" w:after="156" w:line="360" w:lineRule="auto"/>
        <w:jc w:val="center"/>
        <w:rPr>
          <w:b/>
          <w:bCs/>
        </w:rPr>
      </w:pPr>
      <w:r>
        <w:rPr>
          <w:rFonts w:hint="eastAsia"/>
          <w:b/>
          <w:bCs/>
          <w:color w:val="262600"/>
        </w:rPr>
        <w:t xml:space="preserve">                          </w:t>
      </w:r>
      <w:r>
        <w:rPr>
          <w:b/>
          <w:bCs/>
          <w:color w:val="262600"/>
        </w:rPr>
        <w:t>第</w:t>
      </w:r>
      <w:r>
        <w:rPr>
          <w:rFonts w:hint="eastAsia"/>
          <w:b/>
          <w:bCs/>
        </w:rPr>
        <w:t>五</w:t>
      </w:r>
      <w:r>
        <w:rPr>
          <w:b/>
          <w:bCs/>
          <w:color w:val="262600"/>
        </w:rPr>
        <w:t>章</w:t>
      </w:r>
      <w:r>
        <w:rPr>
          <w:b/>
          <w:bCs/>
          <w:color w:val="262600"/>
        </w:rPr>
        <w:t xml:space="preserve">  </w:t>
      </w:r>
      <w:r>
        <w:rPr>
          <w:rFonts w:hint="eastAsia"/>
          <w:b/>
          <w:bCs/>
          <w:color w:val="262600"/>
        </w:rPr>
        <w:t>园艺产业物联网及其应用</w:t>
      </w:r>
      <w:r>
        <w:rPr>
          <w:rFonts w:hint="eastAsia"/>
          <w:b/>
          <w:bCs/>
        </w:rPr>
        <w:t xml:space="preserve">           </w:t>
      </w:r>
      <w:r>
        <w:rPr>
          <w:b/>
          <w:bCs/>
        </w:rPr>
        <w:t xml:space="preserve"> </w:t>
      </w:r>
      <w:r>
        <w:rPr>
          <w:b/>
          <w:bCs/>
          <w:color w:val="262600"/>
        </w:rPr>
        <w:t>学时数</w:t>
      </w:r>
      <w:r>
        <w:rPr>
          <w:rFonts w:hint="eastAsia"/>
          <w:b/>
          <w:bCs/>
          <w:color w:val="262600"/>
        </w:rPr>
        <w:t>：</w:t>
      </w:r>
      <w:r>
        <w:rPr>
          <w:rFonts w:hint="eastAsia"/>
          <w:b/>
          <w:bCs/>
          <w:color w:val="262600"/>
        </w:rPr>
        <w:t>4</w:t>
      </w:r>
    </w:p>
    <w:p w14:paraId="18B6F4E4" w14:textId="77777777" w:rsidR="00F5289E" w:rsidRDefault="00C91173">
      <w:pPr>
        <w:spacing w:line="360" w:lineRule="auto"/>
      </w:pPr>
      <w:r>
        <w:rPr>
          <w:b/>
          <w:bCs/>
        </w:rPr>
        <w:t>教学</w:t>
      </w:r>
      <w:r>
        <w:rPr>
          <w:rFonts w:hint="eastAsia"/>
          <w:b/>
          <w:bCs/>
        </w:rPr>
        <w:t>目标</w:t>
      </w:r>
      <w:r>
        <w:t>：要求掌</w:t>
      </w:r>
      <w:r>
        <w:rPr>
          <w:rFonts w:hint="eastAsia"/>
        </w:rPr>
        <w:t>握园艺产业物联网概念及其基本技术，了解运用物联网技术进行作物精确化管理、建立农产品质量追溯体系的一般方法。</w:t>
      </w:r>
    </w:p>
    <w:p w14:paraId="3DDD7DA9" w14:textId="77777777" w:rsidR="00F5289E" w:rsidRDefault="00C91173">
      <w:pPr>
        <w:spacing w:line="360" w:lineRule="auto"/>
      </w:pPr>
      <w:r>
        <w:rPr>
          <w:b/>
          <w:bCs/>
        </w:rPr>
        <w:t>教学重点和难点</w:t>
      </w:r>
      <w:r>
        <w:t>：</w:t>
      </w:r>
      <w:r>
        <w:rPr>
          <w:rFonts w:hint="eastAsia"/>
        </w:rPr>
        <w:t>园艺产业物联网概念及其基本</w:t>
      </w:r>
      <w:r>
        <w:t>技术（</w:t>
      </w:r>
      <w:r>
        <w:rPr>
          <w:rFonts w:hint="eastAsia"/>
        </w:rPr>
        <w:t>数据采集</w:t>
      </w:r>
      <w:r>
        <w:t>、</w:t>
      </w:r>
      <w:r>
        <w:rPr>
          <w:rFonts w:hint="eastAsia"/>
        </w:rPr>
        <w:t>数据传输</w:t>
      </w:r>
      <w:r>
        <w:t>、</w:t>
      </w:r>
      <w:r>
        <w:rPr>
          <w:rFonts w:hint="eastAsia"/>
        </w:rPr>
        <w:t>云计算平台、数据中心和数据处理</w:t>
      </w:r>
      <w:r>
        <w:t>等</w:t>
      </w:r>
      <w:r>
        <w:rPr>
          <w:rFonts w:hint="eastAsia"/>
        </w:rPr>
        <w:t>）</w:t>
      </w:r>
      <w:r>
        <w:t>。</w:t>
      </w:r>
    </w:p>
    <w:p w14:paraId="752A8406" w14:textId="77777777" w:rsidR="00F5289E" w:rsidRDefault="00C91173">
      <w:pPr>
        <w:spacing w:line="360" w:lineRule="auto"/>
      </w:pPr>
      <w:r>
        <w:rPr>
          <w:b/>
          <w:bCs/>
        </w:rPr>
        <w:t>主要教学内容及要求</w:t>
      </w:r>
      <w:r>
        <w:t>：</w:t>
      </w:r>
      <w:r>
        <w:rPr>
          <w:rFonts w:hint="eastAsia"/>
        </w:rPr>
        <w:t>了解物联网技术进行作物精确化管理、建立农产品质量追溯体系的一般方法及其设施园艺物联网技术与应用进展</w:t>
      </w:r>
      <w:r>
        <w:t>，掌握</w:t>
      </w:r>
      <w:r>
        <w:rPr>
          <w:rFonts w:hint="eastAsia"/>
        </w:rPr>
        <w:t>园艺产业物联网概念及其基本技术。</w:t>
      </w:r>
    </w:p>
    <w:p w14:paraId="7B17CCE4" w14:textId="77777777" w:rsidR="00F5289E" w:rsidRDefault="00C91173">
      <w:pPr>
        <w:spacing w:line="360" w:lineRule="auto"/>
        <w:rPr>
          <w:b/>
          <w:bCs/>
          <w:color w:val="262600"/>
        </w:rPr>
      </w:pPr>
      <w:r>
        <w:rPr>
          <w:b/>
          <w:bCs/>
          <w:color w:val="262600"/>
        </w:rPr>
        <w:t>第</w:t>
      </w:r>
      <w:r>
        <w:rPr>
          <w:rFonts w:hint="eastAsia"/>
          <w:b/>
          <w:bCs/>
        </w:rPr>
        <w:t>五</w:t>
      </w:r>
      <w:r>
        <w:rPr>
          <w:b/>
          <w:bCs/>
          <w:color w:val="262600"/>
        </w:rPr>
        <w:t>章</w:t>
      </w:r>
      <w:r>
        <w:rPr>
          <w:b/>
          <w:bCs/>
          <w:color w:val="262600"/>
        </w:rPr>
        <w:t xml:space="preserve">  </w:t>
      </w:r>
      <w:r>
        <w:rPr>
          <w:rFonts w:hint="eastAsia"/>
          <w:b/>
          <w:bCs/>
          <w:color w:val="262600"/>
        </w:rPr>
        <w:t>园艺产业物联网及其应用</w:t>
      </w:r>
    </w:p>
    <w:p w14:paraId="5B1C4AA0" w14:textId="77777777" w:rsidR="00F5289E" w:rsidRDefault="00C91173">
      <w:pPr>
        <w:spacing w:line="360" w:lineRule="auto"/>
        <w:rPr>
          <w:rFonts w:ascii="宋体" w:hAnsi="宋体"/>
          <w:color w:val="262600"/>
        </w:rPr>
      </w:pPr>
      <w:r>
        <w:rPr>
          <w:rFonts w:ascii="宋体" w:hAnsi="宋体" w:hint="eastAsia"/>
          <w:color w:val="262600"/>
        </w:rPr>
        <w:t>一、园艺物联网概念及其特征</w:t>
      </w:r>
    </w:p>
    <w:p w14:paraId="6767C971" w14:textId="77777777" w:rsidR="00F5289E" w:rsidRDefault="00C91173">
      <w:pPr>
        <w:spacing w:line="360" w:lineRule="auto"/>
        <w:rPr>
          <w:rFonts w:ascii="宋体" w:hAnsi="宋体"/>
          <w:color w:val="262600"/>
        </w:rPr>
      </w:pPr>
      <w:r>
        <w:rPr>
          <w:rFonts w:ascii="宋体" w:hAnsi="宋体" w:hint="eastAsia"/>
          <w:color w:val="262600"/>
        </w:rPr>
        <w:lastRenderedPageBreak/>
        <w:t>二、园艺物联网在作物精准化管理中的应用</w:t>
      </w:r>
    </w:p>
    <w:p w14:paraId="13A7F4C8" w14:textId="77777777" w:rsidR="00F5289E" w:rsidRDefault="00C91173">
      <w:pPr>
        <w:spacing w:line="360" w:lineRule="auto"/>
        <w:rPr>
          <w:rFonts w:ascii="宋体" w:hAnsi="宋体"/>
          <w:color w:val="262600"/>
        </w:rPr>
      </w:pPr>
      <w:r>
        <w:rPr>
          <w:rFonts w:ascii="宋体" w:hAnsi="宋体" w:hint="eastAsia"/>
          <w:color w:val="262600"/>
        </w:rPr>
        <w:t>三、园艺物联网与农产品质量追溯体系</w:t>
      </w:r>
    </w:p>
    <w:p w14:paraId="2D665262" w14:textId="77777777" w:rsidR="00F5289E" w:rsidRDefault="00C91173">
      <w:pPr>
        <w:spacing w:line="360" w:lineRule="auto"/>
        <w:rPr>
          <w:rFonts w:ascii="宋体" w:hAnsi="宋体"/>
          <w:color w:val="262600"/>
        </w:rPr>
      </w:pPr>
      <w:r>
        <w:rPr>
          <w:rFonts w:ascii="宋体" w:hAnsi="宋体" w:hint="eastAsia"/>
          <w:color w:val="262600"/>
        </w:rPr>
        <w:t>四、园艺物联网应用举例</w:t>
      </w:r>
    </w:p>
    <w:p w14:paraId="49733625" w14:textId="77777777" w:rsidR="00F5289E" w:rsidRDefault="00C91173">
      <w:pPr>
        <w:rPr>
          <w:szCs w:val="21"/>
        </w:rPr>
      </w:pPr>
      <w:r>
        <w:rPr>
          <w:rFonts w:ascii="宋体" w:hAnsi="宋体" w:hint="eastAsia"/>
          <w:b/>
          <w:bCs/>
          <w:szCs w:val="21"/>
        </w:rPr>
        <w:t>教学组织与实施：</w:t>
      </w:r>
    </w:p>
    <w:p w14:paraId="63F0FA4A" w14:textId="77777777" w:rsidR="00F5289E" w:rsidRDefault="00C91173">
      <w:pPr>
        <w:spacing w:line="360" w:lineRule="auto"/>
        <w:ind w:firstLineChars="200" w:firstLine="420"/>
        <w:rPr>
          <w:color w:val="262600"/>
        </w:rPr>
      </w:pPr>
      <w:r>
        <w:rPr>
          <w:rFonts w:hint="eastAsia"/>
          <w:color w:val="262600"/>
        </w:rPr>
        <w:t>以讲解法、案例分析法为主；采用图文并茂并</w:t>
      </w:r>
      <w:r>
        <w:rPr>
          <w:color w:val="262600"/>
        </w:rPr>
        <w:t>结合教学视频</w:t>
      </w:r>
      <w:r>
        <w:rPr>
          <w:rFonts w:hint="eastAsia"/>
          <w:color w:val="262600"/>
        </w:rPr>
        <w:t>的方式展示园艺产业物联网</w:t>
      </w:r>
      <w:r>
        <w:rPr>
          <w:color w:val="262600"/>
        </w:rPr>
        <w:t>技术要点</w:t>
      </w:r>
      <w:r>
        <w:rPr>
          <w:rFonts w:hint="eastAsia"/>
          <w:color w:val="262600"/>
        </w:rPr>
        <w:t>及其应用范围；结合课堂提问</w:t>
      </w:r>
      <w:r>
        <w:rPr>
          <w:color w:val="262600"/>
        </w:rPr>
        <w:t>互动</w:t>
      </w:r>
      <w:r>
        <w:rPr>
          <w:rFonts w:hint="eastAsia"/>
          <w:color w:val="262600"/>
        </w:rPr>
        <w:t>培养</w:t>
      </w:r>
      <w:r>
        <w:rPr>
          <w:color w:val="262600"/>
        </w:rPr>
        <w:t>学生专业学习兴趣</w:t>
      </w:r>
      <w:r>
        <w:rPr>
          <w:rFonts w:hint="eastAsia"/>
          <w:color w:val="262600"/>
        </w:rPr>
        <w:t>，</w:t>
      </w:r>
      <w:r>
        <w:rPr>
          <w:szCs w:val="21"/>
        </w:rPr>
        <w:t>课堂讨论</w:t>
      </w:r>
      <w:r>
        <w:rPr>
          <w:rFonts w:hint="eastAsia"/>
          <w:szCs w:val="21"/>
        </w:rPr>
        <w:t>物联网技术在河南温室大棚中有哪些应用</w:t>
      </w:r>
      <w:r>
        <w:rPr>
          <w:color w:val="262600"/>
        </w:rPr>
        <w:t>。</w:t>
      </w:r>
      <w:r>
        <w:rPr>
          <w:rFonts w:hint="eastAsia"/>
          <w:color w:val="262600"/>
        </w:rPr>
        <w:t>并结合</w:t>
      </w:r>
      <w:r>
        <w:rPr>
          <w:color w:val="262600"/>
        </w:rPr>
        <w:t>后期实验实地教学让学生熟练掌握</w:t>
      </w:r>
      <w:r>
        <w:rPr>
          <w:rFonts w:hint="eastAsia"/>
          <w:color w:val="262600"/>
        </w:rPr>
        <w:t>园艺产业物联网技术</w:t>
      </w:r>
      <w:r>
        <w:rPr>
          <w:color w:val="262600"/>
        </w:rPr>
        <w:t>。</w:t>
      </w:r>
    </w:p>
    <w:p w14:paraId="2EBEC259" w14:textId="77777777" w:rsidR="00F5289E" w:rsidRDefault="00F5289E">
      <w:pPr>
        <w:spacing w:line="360" w:lineRule="auto"/>
        <w:ind w:firstLineChars="200" w:firstLine="420"/>
        <w:rPr>
          <w:color w:val="262600"/>
        </w:rPr>
      </w:pPr>
    </w:p>
    <w:p w14:paraId="6732A586" w14:textId="77777777" w:rsidR="00F5289E" w:rsidRDefault="00C91173">
      <w:pPr>
        <w:spacing w:beforeLines="50" w:before="156" w:afterLines="50" w:after="156" w:line="360" w:lineRule="auto"/>
        <w:jc w:val="right"/>
        <w:rPr>
          <w:b/>
          <w:bCs/>
          <w:color w:val="262600"/>
        </w:rPr>
      </w:pPr>
      <w:r>
        <w:rPr>
          <w:b/>
          <w:bCs/>
          <w:color w:val="262600"/>
        </w:rPr>
        <w:t>第</w:t>
      </w:r>
      <w:r>
        <w:rPr>
          <w:rFonts w:hint="eastAsia"/>
          <w:b/>
          <w:bCs/>
        </w:rPr>
        <w:t>六</w:t>
      </w:r>
      <w:r>
        <w:rPr>
          <w:b/>
          <w:bCs/>
          <w:color w:val="262600"/>
        </w:rPr>
        <w:t>章</w:t>
      </w:r>
      <w:r>
        <w:rPr>
          <w:b/>
          <w:bCs/>
          <w:color w:val="262600"/>
        </w:rPr>
        <w:t xml:space="preserve">  </w:t>
      </w:r>
      <w:r>
        <w:rPr>
          <w:rFonts w:hint="eastAsia"/>
          <w:b/>
          <w:bCs/>
          <w:color w:val="262600"/>
        </w:rPr>
        <w:t>大数据技术及其园艺产业应用</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rFonts w:hint="eastAsia"/>
          <w:b/>
          <w:bCs/>
          <w:color w:val="262600"/>
        </w:rPr>
        <w:t>4</w:t>
      </w:r>
    </w:p>
    <w:p w14:paraId="1D04F3AD" w14:textId="77777777" w:rsidR="00F5289E" w:rsidRDefault="00C91173">
      <w:pPr>
        <w:tabs>
          <w:tab w:val="left" w:pos="4770"/>
        </w:tabs>
        <w:spacing w:line="360" w:lineRule="auto"/>
        <w:rPr>
          <w:color w:val="262600"/>
        </w:rPr>
      </w:pPr>
      <w:r>
        <w:rPr>
          <w:b/>
          <w:bCs/>
        </w:rPr>
        <w:t>教学目</w:t>
      </w:r>
      <w:r>
        <w:rPr>
          <w:rFonts w:hint="eastAsia"/>
          <w:b/>
          <w:bCs/>
        </w:rPr>
        <w:t>标</w:t>
      </w:r>
      <w:r>
        <w:rPr>
          <w:color w:val="262600"/>
        </w:rPr>
        <w:t>：</w:t>
      </w:r>
      <w:r>
        <w:rPr>
          <w:rFonts w:hint="eastAsia"/>
          <w:color w:val="262600"/>
        </w:rPr>
        <w:t>掌握大数据概念及其技术特征，了解运用大数据技术进行农情分析、作物精细化管理的一般方法及其在产业链中的应用。</w:t>
      </w:r>
    </w:p>
    <w:p w14:paraId="62050033" w14:textId="77777777" w:rsidR="00F5289E" w:rsidRDefault="00C91173">
      <w:pPr>
        <w:tabs>
          <w:tab w:val="left" w:pos="4770"/>
        </w:tabs>
        <w:spacing w:line="360" w:lineRule="auto"/>
        <w:rPr>
          <w:color w:val="262600"/>
        </w:rPr>
      </w:pPr>
      <w:r>
        <w:rPr>
          <w:b/>
          <w:bCs/>
        </w:rPr>
        <w:t>教学重点和难点</w:t>
      </w:r>
      <w:r>
        <w:rPr>
          <w:color w:val="262600"/>
        </w:rPr>
        <w:t xml:space="preserve">: </w:t>
      </w:r>
      <w:r>
        <w:rPr>
          <w:rFonts w:hint="eastAsia"/>
          <w:color w:val="262600"/>
        </w:rPr>
        <w:t>大数据概念及其技术特征。</w:t>
      </w:r>
      <w:r>
        <w:rPr>
          <w:color w:val="262600"/>
        </w:rPr>
        <w:tab/>
      </w:r>
    </w:p>
    <w:p w14:paraId="74E581E3" w14:textId="77777777" w:rsidR="00F5289E" w:rsidRDefault="00C91173">
      <w:pPr>
        <w:spacing w:line="360" w:lineRule="auto"/>
        <w:rPr>
          <w:color w:val="262600"/>
        </w:rPr>
      </w:pPr>
      <w:r>
        <w:rPr>
          <w:b/>
          <w:bCs/>
        </w:rPr>
        <w:t>主要教学内容及要求</w:t>
      </w:r>
      <w:r>
        <w:rPr>
          <w:color w:val="262600"/>
        </w:rPr>
        <w:t>：</w:t>
      </w:r>
      <w:r>
        <w:rPr>
          <w:rFonts w:hint="eastAsia"/>
          <w:color w:val="262600"/>
        </w:rPr>
        <w:t>了解运用大数据技术进行农情分析、作物精细化管理的一般方法</w:t>
      </w:r>
      <w:r>
        <w:rPr>
          <w:color w:val="262600"/>
        </w:rPr>
        <w:t>，</w:t>
      </w:r>
      <w:r>
        <w:rPr>
          <w:rFonts w:hint="eastAsia"/>
          <w:color w:val="262600"/>
        </w:rPr>
        <w:t>了解大数据在园艺产业链中的应用</w:t>
      </w:r>
      <w:r>
        <w:rPr>
          <w:color w:val="262600"/>
        </w:rPr>
        <w:t>，掌握</w:t>
      </w:r>
      <w:r>
        <w:rPr>
          <w:rFonts w:hint="eastAsia"/>
          <w:color w:val="262600"/>
        </w:rPr>
        <w:t>大数据概念及其技术特征</w:t>
      </w:r>
      <w:r>
        <w:rPr>
          <w:color w:val="262600"/>
        </w:rPr>
        <w:t>。</w:t>
      </w:r>
    </w:p>
    <w:p w14:paraId="23B4C7BE" w14:textId="77777777" w:rsidR="00F5289E" w:rsidRDefault="00C91173">
      <w:pPr>
        <w:adjustRightInd w:val="0"/>
        <w:snapToGrid w:val="0"/>
        <w:jc w:val="left"/>
        <w:rPr>
          <w:szCs w:val="21"/>
        </w:rPr>
      </w:pPr>
      <w:r>
        <w:rPr>
          <w:b/>
          <w:bCs/>
          <w:color w:val="262600"/>
        </w:rPr>
        <w:t>第</w:t>
      </w:r>
      <w:r>
        <w:rPr>
          <w:rFonts w:hint="eastAsia"/>
          <w:b/>
          <w:bCs/>
        </w:rPr>
        <w:t>六</w:t>
      </w:r>
      <w:r>
        <w:rPr>
          <w:b/>
          <w:bCs/>
          <w:color w:val="262600"/>
        </w:rPr>
        <w:t>章</w:t>
      </w:r>
      <w:r>
        <w:rPr>
          <w:b/>
          <w:bCs/>
          <w:color w:val="262600"/>
        </w:rPr>
        <w:t xml:space="preserve">  </w:t>
      </w:r>
      <w:r>
        <w:rPr>
          <w:rFonts w:hint="eastAsia"/>
          <w:b/>
          <w:bCs/>
          <w:color w:val="262600"/>
        </w:rPr>
        <w:t>大数据技术及其园艺产业应用</w:t>
      </w:r>
      <w:r>
        <w:rPr>
          <w:rFonts w:hint="eastAsia"/>
          <w:b/>
          <w:bCs/>
          <w:color w:val="262600"/>
        </w:rPr>
        <w:t xml:space="preserve"> </w:t>
      </w:r>
    </w:p>
    <w:p w14:paraId="695F9B9D" w14:textId="77777777" w:rsidR="00F5289E" w:rsidRDefault="00C91173">
      <w:pPr>
        <w:spacing w:line="360" w:lineRule="auto"/>
        <w:rPr>
          <w:rFonts w:ascii="宋体" w:hAnsi="宋体"/>
          <w:color w:val="262600"/>
        </w:rPr>
      </w:pPr>
      <w:r>
        <w:rPr>
          <w:rFonts w:ascii="宋体" w:hAnsi="宋体" w:hint="eastAsia"/>
          <w:color w:val="262600"/>
        </w:rPr>
        <w:t>一、大数据概述</w:t>
      </w:r>
    </w:p>
    <w:p w14:paraId="13E1BCD7" w14:textId="77777777" w:rsidR="00F5289E" w:rsidRDefault="00C91173">
      <w:pPr>
        <w:spacing w:line="360" w:lineRule="auto"/>
        <w:rPr>
          <w:rFonts w:ascii="宋体" w:hAnsi="宋体" w:cs="宋体"/>
          <w:color w:val="000000"/>
          <w:kern w:val="0"/>
          <w:szCs w:val="21"/>
          <w:lang w:bidi="ar"/>
        </w:rPr>
      </w:pPr>
      <w:r>
        <w:rPr>
          <w:rFonts w:ascii="宋体" w:hAnsi="宋体" w:hint="eastAsia"/>
          <w:color w:val="262600"/>
        </w:rPr>
        <w:t>二、</w:t>
      </w:r>
      <w:r>
        <w:rPr>
          <w:rFonts w:ascii="宋体" w:hAnsi="宋体" w:cs="宋体" w:hint="eastAsia"/>
          <w:color w:val="000000"/>
          <w:kern w:val="0"/>
          <w:szCs w:val="21"/>
          <w:lang w:bidi="ar"/>
        </w:rPr>
        <w:t>大数据采集技术介绍</w:t>
      </w:r>
    </w:p>
    <w:p w14:paraId="56163FAC" w14:textId="77777777" w:rsidR="00F5289E" w:rsidRDefault="00C91173">
      <w:pPr>
        <w:spacing w:line="360" w:lineRule="auto"/>
        <w:rPr>
          <w:rFonts w:ascii="宋体" w:hAnsi="宋体" w:cs="宋体"/>
          <w:color w:val="000000"/>
          <w:kern w:val="0"/>
          <w:szCs w:val="21"/>
          <w:lang w:bidi="ar"/>
        </w:rPr>
      </w:pPr>
      <w:r>
        <w:rPr>
          <w:rFonts w:ascii="宋体" w:hAnsi="宋体" w:cs="宋体" w:hint="eastAsia"/>
          <w:color w:val="000000"/>
          <w:kern w:val="0"/>
          <w:szCs w:val="21"/>
          <w:lang w:bidi="ar"/>
        </w:rPr>
        <w:t>三、大数据处理技术-Hadoop介绍</w:t>
      </w:r>
    </w:p>
    <w:p w14:paraId="2E9592D6" w14:textId="77777777" w:rsidR="00F5289E" w:rsidRDefault="00C91173">
      <w:pPr>
        <w:spacing w:line="360" w:lineRule="auto"/>
        <w:rPr>
          <w:rFonts w:ascii="宋体" w:hAnsi="宋体" w:cs="宋体"/>
          <w:color w:val="000000"/>
          <w:kern w:val="0"/>
          <w:szCs w:val="21"/>
          <w:lang w:bidi="ar"/>
        </w:rPr>
      </w:pPr>
      <w:r>
        <w:rPr>
          <w:rFonts w:ascii="宋体" w:hAnsi="宋体" w:cs="宋体" w:hint="eastAsia"/>
          <w:color w:val="000000"/>
          <w:kern w:val="0"/>
          <w:szCs w:val="21"/>
          <w:lang w:bidi="ar"/>
        </w:rPr>
        <w:t>四、大数据处理技术-分析与决策</w:t>
      </w:r>
    </w:p>
    <w:p w14:paraId="3B2EDE0E" w14:textId="77777777" w:rsidR="00F5289E" w:rsidRDefault="00C91173">
      <w:pPr>
        <w:spacing w:line="360" w:lineRule="auto"/>
        <w:rPr>
          <w:rFonts w:ascii="宋体" w:hAnsi="宋体"/>
          <w:color w:val="262600"/>
        </w:rPr>
      </w:pPr>
      <w:r>
        <w:rPr>
          <w:rFonts w:ascii="宋体" w:hAnsi="宋体" w:cs="宋体" w:hint="eastAsia"/>
          <w:color w:val="000000"/>
          <w:kern w:val="0"/>
          <w:szCs w:val="21"/>
          <w:lang w:bidi="ar"/>
        </w:rPr>
        <w:t>五、</w:t>
      </w:r>
      <w:r>
        <w:rPr>
          <w:rFonts w:ascii="宋体" w:hAnsi="宋体" w:hint="eastAsia"/>
          <w:color w:val="262600"/>
        </w:rPr>
        <w:t>大数据技术在园艺产业链</w:t>
      </w:r>
      <w:r>
        <w:rPr>
          <w:rFonts w:ascii="宋体" w:hAnsi="宋体" w:cs="宋体" w:hint="eastAsia"/>
          <w:color w:val="000000"/>
          <w:kern w:val="0"/>
          <w:szCs w:val="21"/>
          <w:lang w:bidi="ar"/>
        </w:rPr>
        <w:t>中的应用</w:t>
      </w:r>
    </w:p>
    <w:p w14:paraId="10098F6A" w14:textId="77777777" w:rsidR="00F5289E" w:rsidRDefault="00C91173">
      <w:pPr>
        <w:spacing w:line="360" w:lineRule="auto"/>
        <w:rPr>
          <w:rFonts w:ascii="宋体" w:hAnsi="宋体"/>
          <w:color w:val="262600"/>
        </w:rPr>
      </w:pPr>
      <w:r>
        <w:rPr>
          <w:rFonts w:ascii="宋体" w:hAnsi="宋体" w:hint="eastAsia"/>
          <w:color w:val="262600"/>
        </w:rPr>
        <w:t>六、</w:t>
      </w:r>
      <w:r>
        <w:rPr>
          <w:rFonts w:ascii="宋体" w:hAnsi="宋体" w:cs="宋体" w:hint="eastAsia"/>
          <w:color w:val="000000"/>
          <w:kern w:val="0"/>
          <w:szCs w:val="21"/>
          <w:lang w:bidi="ar"/>
        </w:rPr>
        <w:t>大数据的问题及其发展</w:t>
      </w:r>
    </w:p>
    <w:p w14:paraId="59CF7E31" w14:textId="77777777" w:rsidR="00F5289E" w:rsidRDefault="00C91173">
      <w:pPr>
        <w:widowControl/>
        <w:snapToGrid w:val="0"/>
        <w:spacing w:line="360" w:lineRule="auto"/>
        <w:rPr>
          <w:rFonts w:ascii="宋体" w:hAnsi="宋体"/>
          <w:b/>
          <w:bCs/>
          <w:szCs w:val="21"/>
        </w:rPr>
      </w:pPr>
      <w:r>
        <w:rPr>
          <w:rFonts w:ascii="宋体" w:hAnsi="宋体" w:hint="eastAsia"/>
          <w:b/>
          <w:bCs/>
          <w:szCs w:val="21"/>
        </w:rPr>
        <w:t>教学组织与实施：</w:t>
      </w:r>
    </w:p>
    <w:p w14:paraId="08290FD8" w14:textId="77777777" w:rsidR="00F5289E" w:rsidRDefault="00C91173">
      <w:pPr>
        <w:spacing w:line="360" w:lineRule="auto"/>
        <w:ind w:firstLineChars="200" w:firstLine="420"/>
        <w:rPr>
          <w:color w:val="262600"/>
        </w:rPr>
      </w:pPr>
      <w:r>
        <w:rPr>
          <w:rFonts w:hint="eastAsia"/>
          <w:color w:val="262600"/>
        </w:rPr>
        <w:t>以讲解法、案例分析法为主；采用图文并茂并</w:t>
      </w:r>
      <w:r>
        <w:rPr>
          <w:color w:val="262600"/>
        </w:rPr>
        <w:t>结合教学视频</w:t>
      </w:r>
      <w:r>
        <w:rPr>
          <w:rFonts w:hint="eastAsia"/>
          <w:color w:val="262600"/>
        </w:rPr>
        <w:t>的方式展示大数据采集技术、大数据处理技术（术</w:t>
      </w:r>
      <w:r>
        <w:rPr>
          <w:rFonts w:hint="eastAsia"/>
          <w:color w:val="262600"/>
        </w:rPr>
        <w:t xml:space="preserve">-Hadoop </w:t>
      </w:r>
      <w:r>
        <w:rPr>
          <w:rFonts w:hint="eastAsia"/>
          <w:color w:val="262600"/>
        </w:rPr>
        <w:t>技术介绍、分析与决策）；结合课堂提问</w:t>
      </w:r>
      <w:r>
        <w:rPr>
          <w:color w:val="262600"/>
        </w:rPr>
        <w:t>互动</w:t>
      </w:r>
      <w:r>
        <w:rPr>
          <w:rFonts w:hint="eastAsia"/>
          <w:color w:val="262600"/>
        </w:rPr>
        <w:t>讨论如何利用大数据技术在我省实现提升优质园艺产品价格，培养</w:t>
      </w:r>
      <w:r>
        <w:rPr>
          <w:color w:val="262600"/>
        </w:rPr>
        <w:t>学生专业学习兴趣。</w:t>
      </w:r>
    </w:p>
    <w:p w14:paraId="2A51967B" w14:textId="77777777" w:rsidR="00F5289E" w:rsidRDefault="00F5289E">
      <w:pPr>
        <w:widowControl/>
        <w:snapToGrid w:val="0"/>
        <w:spacing w:line="360" w:lineRule="auto"/>
        <w:jc w:val="left"/>
      </w:pPr>
    </w:p>
    <w:p w14:paraId="1706AB54" w14:textId="77777777" w:rsidR="00F5289E" w:rsidRDefault="00C91173">
      <w:pPr>
        <w:spacing w:beforeLines="50" w:before="156" w:afterLines="50" w:after="156" w:line="360" w:lineRule="auto"/>
        <w:jc w:val="right"/>
        <w:rPr>
          <w:b/>
          <w:bCs/>
          <w:color w:val="262600"/>
        </w:rPr>
      </w:pPr>
      <w:r>
        <w:rPr>
          <w:b/>
          <w:bCs/>
          <w:color w:val="262600"/>
        </w:rPr>
        <w:t>第</w:t>
      </w:r>
      <w:r>
        <w:rPr>
          <w:rFonts w:hint="eastAsia"/>
          <w:b/>
          <w:bCs/>
        </w:rPr>
        <w:t>七</w:t>
      </w:r>
      <w:r>
        <w:rPr>
          <w:b/>
          <w:bCs/>
          <w:color w:val="262600"/>
        </w:rPr>
        <w:t>章</w:t>
      </w:r>
      <w:r>
        <w:rPr>
          <w:b/>
          <w:bCs/>
          <w:color w:val="262600"/>
        </w:rPr>
        <w:t xml:space="preserve">  </w:t>
      </w:r>
      <w:r>
        <w:rPr>
          <w:rFonts w:hint="eastAsia"/>
          <w:b/>
          <w:bCs/>
          <w:color w:val="262600"/>
        </w:rPr>
        <w:t>园艺信息化服务与智能化装备</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rFonts w:hint="eastAsia"/>
          <w:b/>
          <w:bCs/>
          <w:color w:val="262600"/>
        </w:rPr>
        <w:t>6</w:t>
      </w:r>
    </w:p>
    <w:p w14:paraId="75E7634B" w14:textId="77777777" w:rsidR="00F5289E" w:rsidRDefault="00C91173">
      <w:pPr>
        <w:tabs>
          <w:tab w:val="left" w:pos="4770"/>
        </w:tabs>
        <w:spacing w:line="360" w:lineRule="auto"/>
        <w:rPr>
          <w:color w:val="262600"/>
        </w:rPr>
      </w:pPr>
      <w:r>
        <w:rPr>
          <w:b/>
          <w:bCs/>
        </w:rPr>
        <w:t>教学目</w:t>
      </w:r>
      <w:r>
        <w:rPr>
          <w:rFonts w:hint="eastAsia"/>
          <w:b/>
          <w:bCs/>
        </w:rPr>
        <w:t>标</w:t>
      </w:r>
      <w:r>
        <w:rPr>
          <w:color w:val="262600"/>
        </w:rPr>
        <w:t>：</w:t>
      </w:r>
      <w:r>
        <w:rPr>
          <w:szCs w:val="21"/>
        </w:rPr>
        <w:t>掌握农机农艺和信息技术融合的技术途径，了解园艺产业智能化装备在园艺产业现代化生产中的应用现状及其发展前景</w:t>
      </w:r>
      <w:r>
        <w:rPr>
          <w:rFonts w:hint="eastAsia"/>
          <w:color w:val="262600"/>
        </w:rPr>
        <w:t>。</w:t>
      </w:r>
    </w:p>
    <w:p w14:paraId="48D933C6" w14:textId="77777777" w:rsidR="00F5289E" w:rsidRDefault="00C91173">
      <w:pPr>
        <w:tabs>
          <w:tab w:val="left" w:pos="4770"/>
        </w:tabs>
        <w:spacing w:line="360" w:lineRule="auto"/>
        <w:rPr>
          <w:color w:val="262600"/>
        </w:rPr>
      </w:pPr>
      <w:r>
        <w:rPr>
          <w:b/>
          <w:bCs/>
        </w:rPr>
        <w:lastRenderedPageBreak/>
        <w:t>教学重点和难点</w:t>
      </w:r>
      <w:r>
        <w:rPr>
          <w:color w:val="262600"/>
        </w:rPr>
        <w:t xml:space="preserve">: </w:t>
      </w:r>
      <w:r>
        <w:rPr>
          <w:szCs w:val="21"/>
        </w:rPr>
        <w:t>农机农艺和信息技术融合的技术途径</w:t>
      </w:r>
      <w:r>
        <w:rPr>
          <w:rFonts w:hint="eastAsia"/>
          <w:szCs w:val="21"/>
        </w:rPr>
        <w:t>。</w:t>
      </w:r>
      <w:r>
        <w:rPr>
          <w:color w:val="262600"/>
        </w:rPr>
        <w:tab/>
      </w:r>
    </w:p>
    <w:p w14:paraId="4FA412C3" w14:textId="77777777" w:rsidR="00F5289E" w:rsidRDefault="00C91173">
      <w:pPr>
        <w:spacing w:line="360" w:lineRule="auto"/>
        <w:rPr>
          <w:color w:val="262600"/>
        </w:rPr>
      </w:pPr>
      <w:r>
        <w:rPr>
          <w:b/>
          <w:bCs/>
        </w:rPr>
        <w:t>主要教学内容及要求</w:t>
      </w:r>
      <w:r>
        <w:rPr>
          <w:color w:val="262600"/>
        </w:rPr>
        <w:t>：</w:t>
      </w:r>
      <w:r>
        <w:rPr>
          <w:rFonts w:hint="eastAsia"/>
          <w:color w:val="262600"/>
        </w:rPr>
        <w:t>了解</w:t>
      </w:r>
      <w:r>
        <w:rPr>
          <w:szCs w:val="21"/>
        </w:rPr>
        <w:t>园艺产业智能化装备在园艺产业现代化生产中的应用现状及其发展前景</w:t>
      </w:r>
      <w:r>
        <w:rPr>
          <w:color w:val="262600"/>
        </w:rPr>
        <w:t>，掌握</w:t>
      </w:r>
      <w:r>
        <w:rPr>
          <w:szCs w:val="21"/>
        </w:rPr>
        <w:t>园艺信息服务、农机、农艺和信息技术融合的必要性及其技术途径</w:t>
      </w:r>
      <w:r>
        <w:rPr>
          <w:color w:val="262600"/>
        </w:rPr>
        <w:t>。</w:t>
      </w:r>
    </w:p>
    <w:p w14:paraId="6470A8E4" w14:textId="77777777" w:rsidR="00F5289E" w:rsidRDefault="00C91173">
      <w:pPr>
        <w:adjustRightInd w:val="0"/>
        <w:snapToGrid w:val="0"/>
        <w:jc w:val="left"/>
        <w:rPr>
          <w:szCs w:val="21"/>
        </w:rPr>
      </w:pPr>
      <w:r>
        <w:rPr>
          <w:b/>
          <w:bCs/>
          <w:color w:val="262600"/>
        </w:rPr>
        <w:t>第</w:t>
      </w:r>
      <w:r>
        <w:rPr>
          <w:rFonts w:hint="eastAsia"/>
          <w:b/>
          <w:bCs/>
        </w:rPr>
        <w:t>七</w:t>
      </w:r>
      <w:r>
        <w:rPr>
          <w:b/>
          <w:bCs/>
          <w:color w:val="262600"/>
        </w:rPr>
        <w:t>章</w:t>
      </w:r>
      <w:r>
        <w:rPr>
          <w:b/>
          <w:bCs/>
          <w:color w:val="262600"/>
        </w:rPr>
        <w:t xml:space="preserve">  </w:t>
      </w:r>
      <w:r>
        <w:rPr>
          <w:rFonts w:hint="eastAsia"/>
          <w:b/>
          <w:bCs/>
          <w:color w:val="262600"/>
        </w:rPr>
        <w:t>园艺信息化服务与智能化装备</w:t>
      </w:r>
      <w:r>
        <w:rPr>
          <w:rFonts w:hint="eastAsia"/>
          <w:b/>
          <w:bCs/>
          <w:color w:val="262600"/>
        </w:rPr>
        <w:t xml:space="preserve"> </w:t>
      </w:r>
    </w:p>
    <w:p w14:paraId="510C1BCD" w14:textId="77777777" w:rsidR="00F5289E" w:rsidRDefault="00C91173">
      <w:pPr>
        <w:spacing w:line="360" w:lineRule="auto"/>
        <w:rPr>
          <w:rFonts w:ascii="宋体" w:hAnsi="宋体" w:cs="宋体"/>
          <w:color w:val="000000"/>
          <w:kern w:val="0"/>
          <w:szCs w:val="21"/>
          <w:lang w:bidi="ar"/>
        </w:rPr>
      </w:pPr>
      <w:r>
        <w:rPr>
          <w:rFonts w:ascii="宋体" w:hAnsi="宋体" w:cs="宋体" w:hint="eastAsia"/>
          <w:color w:val="000000"/>
          <w:kern w:val="0"/>
          <w:szCs w:val="21"/>
          <w:lang w:bidi="ar"/>
        </w:rPr>
        <w:t>一、园艺信息化服务、农机与农艺融合的现状及存在的问题</w:t>
      </w:r>
    </w:p>
    <w:p w14:paraId="589373AB" w14:textId="77777777" w:rsidR="00F5289E" w:rsidRDefault="00C91173">
      <w:pPr>
        <w:spacing w:line="360" w:lineRule="auto"/>
        <w:rPr>
          <w:rFonts w:ascii="宋体" w:hAnsi="宋体" w:cs="宋体"/>
          <w:color w:val="000000"/>
          <w:kern w:val="0"/>
          <w:szCs w:val="21"/>
          <w:lang w:bidi="ar"/>
        </w:rPr>
      </w:pPr>
      <w:r>
        <w:rPr>
          <w:rFonts w:ascii="宋体" w:hAnsi="宋体" w:cs="宋体" w:hint="eastAsia"/>
          <w:color w:val="000000"/>
          <w:kern w:val="0"/>
          <w:szCs w:val="21"/>
          <w:lang w:bidi="ar"/>
        </w:rPr>
        <w:t>二、园艺信息服务、农机、农艺和信息技术融合的必要性及其技术途径</w:t>
      </w:r>
    </w:p>
    <w:p w14:paraId="2BC94C0D" w14:textId="77777777" w:rsidR="00F5289E" w:rsidRDefault="00C91173">
      <w:pPr>
        <w:spacing w:line="360" w:lineRule="auto"/>
        <w:rPr>
          <w:rFonts w:ascii="宋体" w:hAnsi="宋体" w:cs="宋体"/>
          <w:color w:val="000000"/>
          <w:kern w:val="0"/>
          <w:szCs w:val="21"/>
          <w:lang w:bidi="ar"/>
        </w:rPr>
      </w:pPr>
      <w:r>
        <w:rPr>
          <w:rFonts w:ascii="宋体" w:hAnsi="宋体" w:cs="宋体" w:hint="eastAsia"/>
          <w:color w:val="000000"/>
          <w:kern w:val="0"/>
          <w:szCs w:val="21"/>
          <w:lang w:bidi="ar"/>
        </w:rPr>
        <w:t>三、智能化园艺技术装备在园艺产业现代化生产中的应用</w:t>
      </w:r>
    </w:p>
    <w:p w14:paraId="64775BE6" w14:textId="77777777" w:rsidR="00F5289E" w:rsidRDefault="00C91173">
      <w:pPr>
        <w:spacing w:line="360" w:lineRule="auto"/>
        <w:rPr>
          <w:rFonts w:ascii="宋体" w:hAnsi="宋体"/>
          <w:b/>
          <w:bCs/>
          <w:szCs w:val="21"/>
        </w:rPr>
      </w:pPr>
      <w:r>
        <w:rPr>
          <w:rFonts w:ascii="宋体" w:hAnsi="宋体" w:cs="宋体" w:hint="eastAsia"/>
          <w:color w:val="000000"/>
          <w:kern w:val="0"/>
          <w:szCs w:val="21"/>
          <w:lang w:bidi="ar"/>
        </w:rPr>
        <w:t>四、园艺信息化服务与智能化园艺技术装备发展方向</w:t>
      </w:r>
    </w:p>
    <w:p w14:paraId="520D63D7" w14:textId="77777777" w:rsidR="00F5289E" w:rsidRDefault="00C91173">
      <w:pPr>
        <w:widowControl/>
        <w:snapToGrid w:val="0"/>
        <w:spacing w:line="360" w:lineRule="auto"/>
        <w:rPr>
          <w:rFonts w:ascii="宋体" w:hAnsi="宋体"/>
          <w:b/>
          <w:bCs/>
          <w:szCs w:val="21"/>
        </w:rPr>
      </w:pPr>
      <w:r>
        <w:rPr>
          <w:rFonts w:ascii="宋体" w:hAnsi="宋体" w:hint="eastAsia"/>
          <w:b/>
          <w:bCs/>
          <w:szCs w:val="21"/>
        </w:rPr>
        <w:t>教学组织与实施：</w:t>
      </w:r>
    </w:p>
    <w:p w14:paraId="66BC0E6A" w14:textId="77777777" w:rsidR="00F5289E" w:rsidRDefault="00C91173">
      <w:pPr>
        <w:spacing w:line="360" w:lineRule="auto"/>
        <w:ind w:firstLineChars="200" w:firstLine="420"/>
        <w:rPr>
          <w:color w:val="262600"/>
        </w:rPr>
      </w:pPr>
      <w:r>
        <w:rPr>
          <w:rFonts w:hint="eastAsia"/>
          <w:color w:val="262600"/>
        </w:rPr>
        <w:t>以讲解法、案例分析法为主；采用图文并茂并</w:t>
      </w:r>
      <w:r>
        <w:rPr>
          <w:color w:val="262600"/>
        </w:rPr>
        <w:t>结合教学视频</w:t>
      </w:r>
      <w:r>
        <w:rPr>
          <w:rFonts w:hint="eastAsia"/>
          <w:color w:val="262600"/>
        </w:rPr>
        <w:t>的方式展示</w:t>
      </w:r>
      <w:r>
        <w:rPr>
          <w:rFonts w:ascii="宋体" w:hAnsi="宋体" w:cs="宋体" w:hint="eastAsia"/>
          <w:color w:val="000000"/>
          <w:kern w:val="0"/>
          <w:szCs w:val="21"/>
          <w:lang w:bidi="ar"/>
        </w:rPr>
        <w:t>园艺信息化服务、农机与农艺融合的现状，园艺信息服务、农机、农艺和信息技术融合的必要性及其技术途径</w:t>
      </w:r>
      <w:r>
        <w:rPr>
          <w:rFonts w:hint="eastAsia"/>
          <w:color w:val="262600"/>
        </w:rPr>
        <w:t>；结合课堂提问</w:t>
      </w:r>
      <w:r>
        <w:rPr>
          <w:color w:val="262600"/>
        </w:rPr>
        <w:t>互动</w:t>
      </w:r>
      <w:r>
        <w:rPr>
          <w:rFonts w:hint="eastAsia"/>
          <w:color w:val="262600"/>
        </w:rPr>
        <w:t>讨论自己家乡设施农业园区</w:t>
      </w:r>
      <w:r>
        <w:rPr>
          <w:rFonts w:hint="eastAsia"/>
          <w:szCs w:val="21"/>
        </w:rPr>
        <w:t>在哪些方面需要园艺信息化服务</w:t>
      </w:r>
      <w:r>
        <w:rPr>
          <w:rFonts w:hint="eastAsia"/>
          <w:color w:val="262600"/>
        </w:rPr>
        <w:t>，培养</w:t>
      </w:r>
      <w:r>
        <w:rPr>
          <w:color w:val="262600"/>
        </w:rPr>
        <w:t>学生专业学习兴趣。</w:t>
      </w:r>
    </w:p>
    <w:p w14:paraId="5781D425" w14:textId="77777777" w:rsidR="00F5289E" w:rsidRDefault="00F5289E">
      <w:pPr>
        <w:rPr>
          <w:rFonts w:ascii="宋体" w:hAnsi="宋体"/>
          <w:b/>
          <w:bCs/>
          <w:kern w:val="0"/>
          <w:szCs w:val="21"/>
        </w:rPr>
      </w:pPr>
    </w:p>
    <w:p w14:paraId="2AB46EE7" w14:textId="77777777" w:rsidR="00F5289E" w:rsidRDefault="00C91173">
      <w:pPr>
        <w:rPr>
          <w:b/>
          <w:bCs/>
          <w:kern w:val="0"/>
          <w:szCs w:val="21"/>
        </w:rPr>
      </w:pPr>
      <w:r>
        <w:rPr>
          <w:rFonts w:ascii="宋体" w:hAnsi="宋体" w:hint="eastAsia"/>
          <w:b/>
          <w:bCs/>
          <w:kern w:val="0"/>
          <w:szCs w:val="21"/>
        </w:rPr>
        <w:t>五</w:t>
      </w:r>
      <w:r>
        <w:rPr>
          <w:rFonts w:ascii="宋体" w:hAnsi="宋体"/>
          <w:b/>
          <w:bCs/>
          <w:kern w:val="0"/>
          <w:szCs w:val="21"/>
        </w:rPr>
        <w:t>、实验教学内容及学时分配</w:t>
      </w:r>
      <w:r>
        <w:rPr>
          <w:b/>
          <w:bCs/>
          <w:kern w:val="0"/>
          <w:szCs w:val="21"/>
        </w:rPr>
        <w:t xml:space="preserve"> </w:t>
      </w:r>
      <w:r>
        <w:rPr>
          <w:b/>
          <w:bCs/>
          <w:kern w:val="0"/>
          <w:szCs w:val="21"/>
        </w:rPr>
        <w:t>（</w:t>
      </w:r>
      <w:r>
        <w:rPr>
          <w:rFonts w:hint="eastAsia"/>
          <w:b/>
          <w:bCs/>
          <w:kern w:val="0"/>
          <w:szCs w:val="21"/>
        </w:rPr>
        <w:t>8</w:t>
      </w:r>
      <w:r>
        <w:rPr>
          <w:b/>
          <w:bCs/>
          <w:kern w:val="0"/>
          <w:szCs w:val="21"/>
        </w:rPr>
        <w:t>学时）</w:t>
      </w:r>
    </w:p>
    <w:p w14:paraId="670F5720"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（一）实验课程简介</w:t>
      </w:r>
    </w:p>
    <w:p w14:paraId="528E6434" w14:textId="77777777" w:rsidR="00F5289E" w:rsidRDefault="00C91173">
      <w:pPr>
        <w:snapToGrid w:val="0"/>
        <w:spacing w:line="360" w:lineRule="auto"/>
        <w:ind w:firstLineChars="200" w:firstLine="420"/>
        <w:rPr>
          <w:szCs w:val="21"/>
        </w:rPr>
      </w:pPr>
      <w:r>
        <w:rPr>
          <w:rFonts w:ascii="宋体" w:hAnsi="宋体"/>
          <w:szCs w:val="21"/>
        </w:rPr>
        <w:t>该课程是《</w:t>
      </w:r>
      <w:r>
        <w:rPr>
          <w:rFonts w:ascii="宋体" w:hAnsi="宋体" w:hint="eastAsia"/>
          <w:szCs w:val="21"/>
        </w:rPr>
        <w:t>智慧园艺</w:t>
      </w:r>
      <w:r>
        <w:rPr>
          <w:rFonts w:ascii="宋体" w:hAnsi="宋体"/>
          <w:szCs w:val="21"/>
        </w:rPr>
        <w:t>》课程的重要组成部分，共</w:t>
      </w:r>
      <w:r>
        <w:rPr>
          <w:rFonts w:hint="eastAsia"/>
          <w:szCs w:val="21"/>
        </w:rPr>
        <w:t>8</w:t>
      </w:r>
      <w:r>
        <w:rPr>
          <w:rFonts w:ascii="宋体" w:hAnsi="宋体"/>
          <w:szCs w:val="21"/>
        </w:rPr>
        <w:t>学时，</w:t>
      </w:r>
      <w:r>
        <w:rPr>
          <w:rFonts w:ascii="宋体" w:hAnsi="宋体" w:hint="eastAsia"/>
          <w:szCs w:val="21"/>
        </w:rPr>
        <w:t>通过智慧园艺育种、智慧菜园、智慧育苗、智慧果园等应用场景参观、调研及讨论，让学生们掌握智慧园艺技术在园艺产业的使用情况及发展前景，</w:t>
      </w:r>
      <w:r>
        <w:rPr>
          <w:rFonts w:ascii="宋体" w:hAnsi="宋体"/>
          <w:szCs w:val="21"/>
        </w:rPr>
        <w:t>是提高教学质量的重要环节。</w:t>
      </w:r>
    </w:p>
    <w:p w14:paraId="3BA70937"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12195328"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通过实验课的学习，使学生验证所学理论基础和知识。要求全体学生参加，根据实验内容进行分组进行。</w:t>
      </w:r>
      <w:r>
        <w:rPr>
          <w:rFonts w:ascii="宋体" w:hAnsi="宋体"/>
          <w:szCs w:val="21"/>
        </w:rPr>
        <w:t>要求学生必须掌握</w:t>
      </w:r>
      <w:r>
        <w:rPr>
          <w:rFonts w:ascii="宋体" w:hAnsi="宋体" w:hint="eastAsia"/>
          <w:szCs w:val="21"/>
        </w:rPr>
        <w:t>智慧园艺育种、智慧菜园、智慧育苗、智慧果园</w:t>
      </w:r>
      <w:r>
        <w:rPr>
          <w:rFonts w:ascii="宋体" w:hAnsi="宋体"/>
          <w:szCs w:val="21"/>
        </w:rPr>
        <w:t>的调查，掌握</w:t>
      </w:r>
      <w:r>
        <w:rPr>
          <w:rFonts w:ascii="宋体" w:hAnsi="宋体" w:hint="eastAsia"/>
          <w:szCs w:val="21"/>
        </w:rPr>
        <w:t>智慧园艺育种、物联网、大数据等技术在园艺产业中的应用</w:t>
      </w:r>
      <w:r>
        <w:rPr>
          <w:rFonts w:ascii="宋体" w:hAnsi="宋体"/>
          <w:szCs w:val="21"/>
        </w:rPr>
        <w:t>，</w:t>
      </w:r>
      <w:r>
        <w:rPr>
          <w:rFonts w:ascii="宋体" w:hAnsi="宋体" w:hint="eastAsia"/>
          <w:szCs w:val="21"/>
        </w:rPr>
        <w:t>了解</w:t>
      </w:r>
      <w:r>
        <w:rPr>
          <w:rFonts w:hint="eastAsia"/>
          <w:szCs w:val="21"/>
        </w:rPr>
        <w:t>园艺产业模拟模型技术、园艺产业决策支持系统、</w:t>
      </w:r>
      <w:r>
        <w:rPr>
          <w:szCs w:val="21"/>
        </w:rPr>
        <w:t>园艺产业智能化装备</w:t>
      </w:r>
      <w:r>
        <w:rPr>
          <w:rFonts w:hint="eastAsia"/>
          <w:szCs w:val="21"/>
        </w:rPr>
        <w:t>类型</w:t>
      </w:r>
      <w:r>
        <w:rPr>
          <w:rFonts w:ascii="宋体" w:hAnsi="宋体"/>
          <w:szCs w:val="21"/>
        </w:rPr>
        <w:t>，并能应用到生产实践中去。</w:t>
      </w:r>
    </w:p>
    <w:p w14:paraId="7097E6A4" w14:textId="77777777" w:rsidR="00F5289E" w:rsidRDefault="00C91173">
      <w:pPr>
        <w:autoSpaceDE w:val="0"/>
        <w:snapToGrid w:val="0"/>
        <w:spacing w:line="360" w:lineRule="auto"/>
        <w:rPr>
          <w:b/>
          <w:szCs w:val="21"/>
        </w:rPr>
      </w:pPr>
      <w:r>
        <w:rPr>
          <w:rFonts w:ascii="宋体" w:hAnsi="宋体" w:hint="eastAsia"/>
          <w:b/>
          <w:szCs w:val="21"/>
        </w:rPr>
        <w:t>（三）实验安全操作规范</w:t>
      </w:r>
    </w:p>
    <w:p w14:paraId="0E781BDD" w14:textId="77777777" w:rsidR="00F5289E" w:rsidRDefault="00C91173">
      <w:pPr>
        <w:snapToGrid w:val="0"/>
        <w:spacing w:line="360" w:lineRule="auto"/>
        <w:ind w:firstLineChars="200" w:firstLine="420"/>
        <w:rPr>
          <w:szCs w:val="21"/>
        </w:rPr>
      </w:pPr>
      <w:r>
        <w:rPr>
          <w:rFonts w:hint="eastAsia"/>
          <w:szCs w:val="21"/>
        </w:rPr>
        <w:t>实验前，学生应认真预习实验册及课本有关内容，充分了解实验目的、内容和方法，并事前检查相关实验器材、设备是否齐全完好。实验中必须听从老师的指导，步骤科学、严肃认真。实验结束并认真清理实验台，归返相关仪器设备；认真、独立分析实验结果，完成相关实验报告。</w:t>
      </w:r>
    </w:p>
    <w:p w14:paraId="30D1B18C"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（四）实验项目名称与学时分配</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1"/>
        <w:gridCol w:w="709"/>
        <w:gridCol w:w="1134"/>
        <w:gridCol w:w="1418"/>
        <w:gridCol w:w="1134"/>
      </w:tblGrid>
      <w:tr w:rsidR="00F5289E" w14:paraId="5C96B08B" w14:textId="77777777">
        <w:tc>
          <w:tcPr>
            <w:tcW w:w="1701" w:type="dxa"/>
            <w:vAlign w:val="center"/>
          </w:tcPr>
          <w:p w14:paraId="77950D8A" w14:textId="77777777" w:rsidR="00F5289E" w:rsidRDefault="00C91173">
            <w:pPr>
              <w:spacing w:line="360" w:lineRule="auto"/>
              <w:jc w:val="center"/>
              <w:rPr>
                <w:b/>
                <w:bCs/>
                <w:sz w:val="18"/>
                <w:szCs w:val="18"/>
              </w:rPr>
            </w:pPr>
            <w:r>
              <w:rPr>
                <w:b/>
                <w:bCs/>
                <w:sz w:val="18"/>
                <w:szCs w:val="18"/>
              </w:rPr>
              <w:t>序号</w:t>
            </w:r>
          </w:p>
        </w:tc>
        <w:tc>
          <w:tcPr>
            <w:tcW w:w="2551" w:type="dxa"/>
            <w:vAlign w:val="center"/>
          </w:tcPr>
          <w:p w14:paraId="2C35647D" w14:textId="77777777" w:rsidR="00F5289E" w:rsidRDefault="00C91173">
            <w:pPr>
              <w:spacing w:line="360" w:lineRule="auto"/>
              <w:jc w:val="center"/>
              <w:rPr>
                <w:b/>
                <w:bCs/>
                <w:sz w:val="18"/>
                <w:szCs w:val="18"/>
              </w:rPr>
            </w:pPr>
            <w:r>
              <w:rPr>
                <w:b/>
                <w:bCs/>
                <w:sz w:val="18"/>
                <w:szCs w:val="18"/>
              </w:rPr>
              <w:t>实验名称</w:t>
            </w:r>
          </w:p>
        </w:tc>
        <w:tc>
          <w:tcPr>
            <w:tcW w:w="709" w:type="dxa"/>
            <w:vAlign w:val="center"/>
          </w:tcPr>
          <w:p w14:paraId="175CE4E8" w14:textId="77777777" w:rsidR="00F5289E" w:rsidRDefault="00C91173">
            <w:pPr>
              <w:spacing w:line="360" w:lineRule="auto"/>
              <w:jc w:val="center"/>
              <w:rPr>
                <w:b/>
                <w:bCs/>
                <w:sz w:val="18"/>
                <w:szCs w:val="18"/>
              </w:rPr>
            </w:pPr>
            <w:r>
              <w:rPr>
                <w:b/>
                <w:bCs/>
                <w:sz w:val="18"/>
                <w:szCs w:val="18"/>
              </w:rPr>
              <w:t>学时</w:t>
            </w:r>
          </w:p>
        </w:tc>
        <w:tc>
          <w:tcPr>
            <w:tcW w:w="1134" w:type="dxa"/>
            <w:vAlign w:val="center"/>
          </w:tcPr>
          <w:p w14:paraId="61C6556C" w14:textId="77777777" w:rsidR="00F5289E" w:rsidRDefault="00C91173">
            <w:pPr>
              <w:spacing w:line="360" w:lineRule="auto"/>
              <w:jc w:val="center"/>
              <w:rPr>
                <w:b/>
                <w:bCs/>
                <w:sz w:val="18"/>
                <w:szCs w:val="18"/>
              </w:rPr>
            </w:pPr>
            <w:r>
              <w:rPr>
                <w:b/>
                <w:bCs/>
                <w:sz w:val="18"/>
                <w:szCs w:val="18"/>
              </w:rPr>
              <w:t>类型</w:t>
            </w:r>
          </w:p>
        </w:tc>
        <w:tc>
          <w:tcPr>
            <w:tcW w:w="1418" w:type="dxa"/>
            <w:vAlign w:val="center"/>
          </w:tcPr>
          <w:p w14:paraId="10C7F278" w14:textId="77777777" w:rsidR="00F5289E" w:rsidRDefault="00C91173">
            <w:pPr>
              <w:spacing w:line="360" w:lineRule="auto"/>
              <w:jc w:val="center"/>
              <w:rPr>
                <w:b/>
                <w:bCs/>
                <w:sz w:val="18"/>
                <w:szCs w:val="18"/>
              </w:rPr>
            </w:pPr>
            <w:r>
              <w:rPr>
                <w:b/>
                <w:bCs/>
                <w:sz w:val="18"/>
                <w:szCs w:val="18"/>
              </w:rPr>
              <w:t>实验要求</w:t>
            </w:r>
          </w:p>
        </w:tc>
        <w:tc>
          <w:tcPr>
            <w:tcW w:w="1134" w:type="dxa"/>
          </w:tcPr>
          <w:p w14:paraId="61AD9E17" w14:textId="77777777" w:rsidR="00F5289E" w:rsidRDefault="00C91173">
            <w:pPr>
              <w:spacing w:line="360" w:lineRule="auto"/>
              <w:jc w:val="center"/>
              <w:rPr>
                <w:b/>
                <w:bCs/>
                <w:sz w:val="18"/>
                <w:szCs w:val="18"/>
              </w:rPr>
            </w:pPr>
            <w:r>
              <w:rPr>
                <w:b/>
                <w:bCs/>
                <w:sz w:val="18"/>
                <w:szCs w:val="18"/>
              </w:rPr>
              <w:t>每组人数</w:t>
            </w:r>
          </w:p>
        </w:tc>
      </w:tr>
      <w:tr w:rsidR="00F5289E" w14:paraId="1AF15D34" w14:textId="77777777">
        <w:trPr>
          <w:trHeight w:val="358"/>
        </w:trPr>
        <w:tc>
          <w:tcPr>
            <w:tcW w:w="1701" w:type="dxa"/>
            <w:vAlign w:val="center"/>
          </w:tcPr>
          <w:p w14:paraId="1BFFBCAF" w14:textId="77777777" w:rsidR="00F5289E" w:rsidRDefault="00C91173">
            <w:pPr>
              <w:widowControl/>
              <w:jc w:val="center"/>
              <w:rPr>
                <w:color w:val="000000"/>
                <w:kern w:val="0"/>
                <w:sz w:val="18"/>
                <w:szCs w:val="18"/>
              </w:rPr>
            </w:pPr>
            <w:r>
              <w:rPr>
                <w:rFonts w:hint="eastAsia"/>
                <w:color w:val="000000"/>
                <w:sz w:val="18"/>
                <w:szCs w:val="18"/>
              </w:rPr>
              <w:t>19011121</w:t>
            </w:r>
            <w:r>
              <w:rPr>
                <w:color w:val="000000"/>
                <w:sz w:val="18"/>
                <w:szCs w:val="18"/>
              </w:rPr>
              <w:t>01</w:t>
            </w:r>
          </w:p>
        </w:tc>
        <w:tc>
          <w:tcPr>
            <w:tcW w:w="2551" w:type="dxa"/>
            <w:vAlign w:val="center"/>
          </w:tcPr>
          <w:p w14:paraId="3CF6468A" w14:textId="77777777" w:rsidR="00F5289E" w:rsidRDefault="00C91173">
            <w:pPr>
              <w:spacing w:line="360" w:lineRule="auto"/>
              <w:jc w:val="center"/>
              <w:rPr>
                <w:kern w:val="0"/>
                <w:sz w:val="18"/>
                <w:szCs w:val="18"/>
              </w:rPr>
            </w:pPr>
            <w:r>
              <w:rPr>
                <w:rFonts w:hint="eastAsia"/>
                <w:kern w:val="0"/>
                <w:sz w:val="18"/>
                <w:szCs w:val="18"/>
              </w:rPr>
              <w:t>智慧园艺育种应用场景调研</w:t>
            </w:r>
          </w:p>
        </w:tc>
        <w:tc>
          <w:tcPr>
            <w:tcW w:w="709" w:type="dxa"/>
            <w:vAlign w:val="center"/>
          </w:tcPr>
          <w:p w14:paraId="4EFCE21E" w14:textId="77777777" w:rsidR="00F5289E" w:rsidRDefault="00C91173">
            <w:pPr>
              <w:spacing w:line="360" w:lineRule="auto"/>
              <w:jc w:val="center"/>
              <w:rPr>
                <w:kern w:val="0"/>
                <w:sz w:val="18"/>
                <w:szCs w:val="18"/>
              </w:rPr>
            </w:pPr>
            <w:r>
              <w:rPr>
                <w:kern w:val="0"/>
                <w:sz w:val="18"/>
                <w:szCs w:val="18"/>
              </w:rPr>
              <w:t>4</w:t>
            </w:r>
          </w:p>
        </w:tc>
        <w:tc>
          <w:tcPr>
            <w:tcW w:w="1134" w:type="dxa"/>
            <w:vAlign w:val="center"/>
          </w:tcPr>
          <w:p w14:paraId="567B6566" w14:textId="77777777" w:rsidR="00F5289E" w:rsidRDefault="00C91173">
            <w:pPr>
              <w:spacing w:line="360" w:lineRule="auto"/>
              <w:jc w:val="center"/>
              <w:rPr>
                <w:kern w:val="0"/>
                <w:sz w:val="18"/>
                <w:szCs w:val="18"/>
              </w:rPr>
            </w:pPr>
            <w:r>
              <w:rPr>
                <w:kern w:val="0"/>
                <w:sz w:val="18"/>
                <w:szCs w:val="18"/>
              </w:rPr>
              <w:t>综合性</w:t>
            </w:r>
          </w:p>
        </w:tc>
        <w:tc>
          <w:tcPr>
            <w:tcW w:w="1418" w:type="dxa"/>
            <w:vAlign w:val="center"/>
          </w:tcPr>
          <w:p w14:paraId="56EDE55A" w14:textId="77777777" w:rsidR="00F5289E" w:rsidRDefault="00C91173">
            <w:pPr>
              <w:spacing w:line="360" w:lineRule="auto"/>
              <w:jc w:val="center"/>
              <w:rPr>
                <w:kern w:val="0"/>
                <w:sz w:val="18"/>
                <w:szCs w:val="18"/>
              </w:rPr>
            </w:pPr>
            <w:r>
              <w:rPr>
                <w:kern w:val="0"/>
                <w:sz w:val="18"/>
                <w:szCs w:val="18"/>
              </w:rPr>
              <w:t>必做</w:t>
            </w:r>
          </w:p>
        </w:tc>
        <w:tc>
          <w:tcPr>
            <w:tcW w:w="1134" w:type="dxa"/>
          </w:tcPr>
          <w:p w14:paraId="7F848BBA" w14:textId="77777777" w:rsidR="00F5289E" w:rsidRDefault="00C91173">
            <w:pPr>
              <w:spacing w:line="360" w:lineRule="auto"/>
              <w:jc w:val="center"/>
              <w:rPr>
                <w:kern w:val="0"/>
                <w:sz w:val="18"/>
                <w:szCs w:val="18"/>
              </w:rPr>
            </w:pPr>
            <w:r>
              <w:rPr>
                <w:kern w:val="0"/>
                <w:sz w:val="18"/>
                <w:szCs w:val="18"/>
              </w:rPr>
              <w:t>5</w:t>
            </w:r>
          </w:p>
        </w:tc>
      </w:tr>
      <w:tr w:rsidR="00F5289E" w14:paraId="72DC5E92" w14:textId="77777777">
        <w:tc>
          <w:tcPr>
            <w:tcW w:w="1701" w:type="dxa"/>
            <w:vAlign w:val="center"/>
          </w:tcPr>
          <w:p w14:paraId="38914678" w14:textId="77777777" w:rsidR="00F5289E" w:rsidRDefault="00C91173">
            <w:pPr>
              <w:jc w:val="center"/>
              <w:rPr>
                <w:color w:val="000000"/>
                <w:sz w:val="18"/>
                <w:szCs w:val="18"/>
              </w:rPr>
            </w:pPr>
            <w:r>
              <w:rPr>
                <w:rFonts w:hint="eastAsia"/>
                <w:color w:val="000000"/>
                <w:sz w:val="18"/>
                <w:szCs w:val="18"/>
              </w:rPr>
              <w:t>19011121</w:t>
            </w:r>
            <w:r>
              <w:rPr>
                <w:color w:val="000000"/>
                <w:sz w:val="18"/>
                <w:szCs w:val="18"/>
              </w:rPr>
              <w:t>02</w:t>
            </w:r>
          </w:p>
        </w:tc>
        <w:tc>
          <w:tcPr>
            <w:tcW w:w="2551" w:type="dxa"/>
            <w:vAlign w:val="center"/>
          </w:tcPr>
          <w:p w14:paraId="3849345F" w14:textId="77777777" w:rsidR="00F5289E" w:rsidRDefault="00C91173">
            <w:pPr>
              <w:spacing w:line="360" w:lineRule="auto"/>
              <w:jc w:val="center"/>
              <w:rPr>
                <w:kern w:val="0"/>
                <w:sz w:val="18"/>
                <w:szCs w:val="18"/>
              </w:rPr>
            </w:pPr>
            <w:r>
              <w:rPr>
                <w:rFonts w:hint="eastAsia"/>
                <w:kern w:val="0"/>
                <w:sz w:val="18"/>
                <w:szCs w:val="18"/>
              </w:rPr>
              <w:t>智慧育苗应用场景调研</w:t>
            </w:r>
          </w:p>
        </w:tc>
        <w:tc>
          <w:tcPr>
            <w:tcW w:w="709" w:type="dxa"/>
            <w:vAlign w:val="center"/>
          </w:tcPr>
          <w:p w14:paraId="6B6B04FD" w14:textId="77777777" w:rsidR="00F5289E" w:rsidRDefault="00C91173">
            <w:pPr>
              <w:spacing w:line="360" w:lineRule="auto"/>
              <w:jc w:val="center"/>
              <w:rPr>
                <w:kern w:val="0"/>
                <w:sz w:val="18"/>
                <w:szCs w:val="18"/>
              </w:rPr>
            </w:pPr>
            <w:r>
              <w:rPr>
                <w:kern w:val="0"/>
                <w:sz w:val="18"/>
                <w:szCs w:val="18"/>
              </w:rPr>
              <w:t>2</w:t>
            </w:r>
          </w:p>
        </w:tc>
        <w:tc>
          <w:tcPr>
            <w:tcW w:w="1134" w:type="dxa"/>
            <w:vAlign w:val="center"/>
          </w:tcPr>
          <w:p w14:paraId="03AB4E02" w14:textId="77777777" w:rsidR="00F5289E" w:rsidRDefault="00C91173">
            <w:pPr>
              <w:spacing w:line="360" w:lineRule="auto"/>
              <w:jc w:val="center"/>
              <w:rPr>
                <w:kern w:val="0"/>
                <w:sz w:val="18"/>
                <w:szCs w:val="18"/>
              </w:rPr>
            </w:pPr>
            <w:r>
              <w:rPr>
                <w:kern w:val="0"/>
                <w:sz w:val="18"/>
                <w:szCs w:val="18"/>
              </w:rPr>
              <w:t>综合性</w:t>
            </w:r>
          </w:p>
        </w:tc>
        <w:tc>
          <w:tcPr>
            <w:tcW w:w="1418" w:type="dxa"/>
            <w:vAlign w:val="center"/>
          </w:tcPr>
          <w:p w14:paraId="5DDC4C03" w14:textId="77777777" w:rsidR="00F5289E" w:rsidRDefault="00C91173">
            <w:pPr>
              <w:spacing w:line="360" w:lineRule="auto"/>
              <w:jc w:val="center"/>
              <w:rPr>
                <w:kern w:val="0"/>
                <w:sz w:val="18"/>
                <w:szCs w:val="18"/>
              </w:rPr>
            </w:pPr>
            <w:r>
              <w:rPr>
                <w:kern w:val="0"/>
                <w:sz w:val="18"/>
                <w:szCs w:val="18"/>
              </w:rPr>
              <w:t>必做</w:t>
            </w:r>
          </w:p>
        </w:tc>
        <w:tc>
          <w:tcPr>
            <w:tcW w:w="1134" w:type="dxa"/>
          </w:tcPr>
          <w:p w14:paraId="675CEC26" w14:textId="77777777" w:rsidR="00F5289E" w:rsidRDefault="00C91173">
            <w:pPr>
              <w:spacing w:line="360" w:lineRule="auto"/>
              <w:jc w:val="center"/>
              <w:rPr>
                <w:kern w:val="0"/>
                <w:sz w:val="18"/>
                <w:szCs w:val="18"/>
              </w:rPr>
            </w:pPr>
            <w:r>
              <w:rPr>
                <w:rFonts w:hint="eastAsia"/>
                <w:kern w:val="0"/>
                <w:sz w:val="18"/>
                <w:szCs w:val="18"/>
              </w:rPr>
              <w:t>5</w:t>
            </w:r>
          </w:p>
        </w:tc>
      </w:tr>
      <w:tr w:rsidR="00F5289E" w14:paraId="385AAB69" w14:textId="77777777">
        <w:tc>
          <w:tcPr>
            <w:tcW w:w="1701" w:type="dxa"/>
            <w:vAlign w:val="center"/>
          </w:tcPr>
          <w:p w14:paraId="0B24EF0B" w14:textId="77777777" w:rsidR="00F5289E" w:rsidRDefault="00C91173">
            <w:pPr>
              <w:jc w:val="center"/>
              <w:rPr>
                <w:color w:val="000000"/>
                <w:sz w:val="18"/>
                <w:szCs w:val="18"/>
              </w:rPr>
            </w:pPr>
            <w:r>
              <w:rPr>
                <w:rFonts w:hint="eastAsia"/>
                <w:color w:val="000000"/>
                <w:sz w:val="18"/>
                <w:szCs w:val="18"/>
              </w:rPr>
              <w:lastRenderedPageBreak/>
              <w:t>19011121</w:t>
            </w:r>
            <w:r>
              <w:rPr>
                <w:color w:val="000000"/>
                <w:sz w:val="18"/>
                <w:szCs w:val="18"/>
              </w:rPr>
              <w:t>03</w:t>
            </w:r>
          </w:p>
        </w:tc>
        <w:tc>
          <w:tcPr>
            <w:tcW w:w="2551" w:type="dxa"/>
            <w:vAlign w:val="center"/>
          </w:tcPr>
          <w:p w14:paraId="22F330F8" w14:textId="77777777" w:rsidR="00F5289E" w:rsidRDefault="00C91173">
            <w:pPr>
              <w:spacing w:line="360" w:lineRule="auto"/>
              <w:jc w:val="center"/>
              <w:rPr>
                <w:kern w:val="0"/>
                <w:sz w:val="18"/>
                <w:szCs w:val="18"/>
              </w:rPr>
            </w:pPr>
            <w:r>
              <w:rPr>
                <w:rFonts w:hint="eastAsia"/>
                <w:kern w:val="0"/>
                <w:sz w:val="18"/>
                <w:szCs w:val="18"/>
              </w:rPr>
              <w:t>智慧菜园应用场景调研</w:t>
            </w:r>
          </w:p>
        </w:tc>
        <w:tc>
          <w:tcPr>
            <w:tcW w:w="709" w:type="dxa"/>
            <w:vAlign w:val="center"/>
          </w:tcPr>
          <w:p w14:paraId="66AA67DE" w14:textId="77777777" w:rsidR="00F5289E" w:rsidRDefault="00C91173">
            <w:pPr>
              <w:spacing w:line="360" w:lineRule="auto"/>
              <w:jc w:val="center"/>
              <w:rPr>
                <w:kern w:val="0"/>
                <w:sz w:val="18"/>
                <w:szCs w:val="18"/>
              </w:rPr>
            </w:pPr>
            <w:r>
              <w:rPr>
                <w:kern w:val="0"/>
                <w:sz w:val="18"/>
                <w:szCs w:val="18"/>
              </w:rPr>
              <w:t>2</w:t>
            </w:r>
          </w:p>
        </w:tc>
        <w:tc>
          <w:tcPr>
            <w:tcW w:w="1134" w:type="dxa"/>
            <w:vAlign w:val="center"/>
          </w:tcPr>
          <w:p w14:paraId="325F9E52" w14:textId="77777777" w:rsidR="00F5289E" w:rsidRDefault="00C91173">
            <w:pPr>
              <w:spacing w:line="360" w:lineRule="auto"/>
              <w:jc w:val="center"/>
              <w:rPr>
                <w:kern w:val="0"/>
                <w:sz w:val="18"/>
                <w:szCs w:val="18"/>
              </w:rPr>
            </w:pPr>
            <w:r>
              <w:rPr>
                <w:kern w:val="0"/>
                <w:sz w:val="18"/>
                <w:szCs w:val="18"/>
              </w:rPr>
              <w:t>综合性</w:t>
            </w:r>
          </w:p>
        </w:tc>
        <w:tc>
          <w:tcPr>
            <w:tcW w:w="1418" w:type="dxa"/>
            <w:vAlign w:val="center"/>
          </w:tcPr>
          <w:p w14:paraId="19496E22" w14:textId="77777777" w:rsidR="00F5289E" w:rsidRDefault="00C91173">
            <w:pPr>
              <w:spacing w:line="360" w:lineRule="auto"/>
              <w:jc w:val="center"/>
              <w:rPr>
                <w:kern w:val="0"/>
                <w:sz w:val="18"/>
                <w:szCs w:val="18"/>
              </w:rPr>
            </w:pPr>
            <w:r>
              <w:rPr>
                <w:kern w:val="0"/>
                <w:sz w:val="18"/>
                <w:szCs w:val="18"/>
              </w:rPr>
              <w:t>必做</w:t>
            </w:r>
          </w:p>
        </w:tc>
        <w:tc>
          <w:tcPr>
            <w:tcW w:w="1134" w:type="dxa"/>
          </w:tcPr>
          <w:p w14:paraId="3112C6A0" w14:textId="77777777" w:rsidR="00F5289E" w:rsidRDefault="00C91173">
            <w:pPr>
              <w:spacing w:line="360" w:lineRule="auto"/>
              <w:jc w:val="center"/>
              <w:rPr>
                <w:kern w:val="0"/>
                <w:sz w:val="18"/>
                <w:szCs w:val="18"/>
              </w:rPr>
            </w:pPr>
            <w:r>
              <w:rPr>
                <w:kern w:val="0"/>
                <w:sz w:val="18"/>
                <w:szCs w:val="18"/>
              </w:rPr>
              <w:t>5</w:t>
            </w:r>
          </w:p>
        </w:tc>
      </w:tr>
    </w:tbl>
    <w:p w14:paraId="096EB955" w14:textId="77777777" w:rsidR="00F5289E" w:rsidRDefault="00F5289E">
      <w:pPr>
        <w:snapToGrid w:val="0"/>
        <w:spacing w:line="360" w:lineRule="auto"/>
        <w:rPr>
          <w:rFonts w:ascii="宋体" w:hAnsi="宋体"/>
          <w:b/>
          <w:bCs/>
          <w:szCs w:val="21"/>
        </w:rPr>
      </w:pPr>
    </w:p>
    <w:p w14:paraId="77C8B1B7"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6956B064" w14:textId="77777777" w:rsidR="00F5289E" w:rsidRDefault="00C91173">
      <w:pPr>
        <w:spacing w:line="360" w:lineRule="auto"/>
        <w:ind w:firstLineChars="200" w:firstLine="420"/>
        <w:rPr>
          <w:color w:val="000000"/>
          <w:kern w:val="0"/>
          <w:szCs w:val="21"/>
        </w:rPr>
      </w:pPr>
      <w:r>
        <w:rPr>
          <w:rFonts w:ascii="宋体" w:hAnsi="宋体" w:hint="eastAsia"/>
          <w:szCs w:val="21"/>
        </w:rPr>
        <w:t>根据实验内容安排具体方式，综合性实验需要学生深入基地进行，每次试验后要写出实验报告。</w:t>
      </w:r>
    </w:p>
    <w:p w14:paraId="3DB9D05C" w14:textId="77777777" w:rsidR="00F5289E" w:rsidRDefault="00C91173">
      <w:pPr>
        <w:snapToGrid w:val="0"/>
        <w:spacing w:line="360" w:lineRule="auto"/>
        <w:rPr>
          <w:rFonts w:ascii="宋体" w:hAnsi="宋体"/>
          <w:b/>
          <w:bCs/>
          <w:szCs w:val="21"/>
        </w:rPr>
      </w:pPr>
      <w:r>
        <w:rPr>
          <w:rFonts w:ascii="宋体" w:hAnsi="宋体" w:hint="eastAsia"/>
          <w:b/>
          <w:bCs/>
          <w:szCs w:val="21"/>
        </w:rPr>
        <w:t>（六）实验内容安排</w:t>
      </w:r>
    </w:p>
    <w:p w14:paraId="1C7B1FB5" w14:textId="77777777" w:rsidR="00F5289E" w:rsidRDefault="00C91173">
      <w:pPr>
        <w:widowControl/>
        <w:snapToGrid w:val="0"/>
        <w:spacing w:line="360" w:lineRule="auto"/>
        <w:jc w:val="left"/>
        <w:rPr>
          <w:kern w:val="0"/>
          <w:szCs w:val="21"/>
        </w:rPr>
      </w:pPr>
      <w:r>
        <w:rPr>
          <w:rFonts w:ascii="宋体" w:hAnsi="宋体"/>
          <w:b/>
          <w:bCs/>
          <w:szCs w:val="21"/>
        </w:rPr>
        <w:t>【实验一】</w:t>
      </w:r>
      <w:r>
        <w:rPr>
          <w:rFonts w:ascii="宋体" w:hAnsi="宋体" w:hint="eastAsia"/>
          <w:b/>
          <w:bCs/>
          <w:szCs w:val="21"/>
        </w:rPr>
        <w:t>智慧园艺育种应用场景调研</w:t>
      </w:r>
    </w:p>
    <w:p w14:paraId="3A7C24C4" w14:textId="77777777" w:rsidR="00F5289E" w:rsidRDefault="00C91173">
      <w:pPr>
        <w:widowControl/>
        <w:snapToGrid w:val="0"/>
        <w:spacing w:line="360" w:lineRule="auto"/>
        <w:jc w:val="left"/>
        <w:rPr>
          <w:b/>
          <w:bCs/>
          <w:kern w:val="0"/>
          <w:szCs w:val="21"/>
        </w:rPr>
      </w:pPr>
      <w:r>
        <w:rPr>
          <w:rFonts w:ascii="宋体" w:hAnsi="宋体"/>
          <w:b/>
          <w:bCs/>
          <w:kern w:val="0"/>
          <w:szCs w:val="21"/>
        </w:rPr>
        <w:t>实验基本知识与操作</w:t>
      </w:r>
    </w:p>
    <w:p w14:paraId="479B4E04" w14:textId="77777777" w:rsidR="00F5289E" w:rsidRDefault="00C91173">
      <w:pPr>
        <w:snapToGrid w:val="0"/>
        <w:spacing w:line="360" w:lineRule="auto"/>
        <w:ind w:firstLineChars="196" w:firstLine="413"/>
        <w:rPr>
          <w:szCs w:val="21"/>
        </w:rPr>
      </w:pPr>
      <w:r>
        <w:rPr>
          <w:b/>
          <w:bCs/>
          <w:szCs w:val="21"/>
        </w:rPr>
        <w:t>1.</w:t>
      </w:r>
      <w:r>
        <w:rPr>
          <w:rFonts w:ascii="宋体" w:hAnsi="宋体"/>
          <w:b/>
          <w:bCs/>
          <w:szCs w:val="21"/>
        </w:rPr>
        <w:t>实验学时：</w:t>
      </w:r>
      <w:r>
        <w:rPr>
          <w:szCs w:val="21"/>
        </w:rPr>
        <w:t>4</w:t>
      </w:r>
    </w:p>
    <w:p w14:paraId="2C0CCEFD" w14:textId="77777777" w:rsidR="00F5289E" w:rsidRDefault="00C91173">
      <w:pPr>
        <w:snapToGrid w:val="0"/>
        <w:spacing w:line="360" w:lineRule="auto"/>
        <w:ind w:firstLineChars="200" w:firstLine="422"/>
        <w:rPr>
          <w:szCs w:val="21"/>
        </w:rPr>
      </w:pPr>
      <w:r>
        <w:rPr>
          <w:b/>
          <w:bCs/>
          <w:szCs w:val="21"/>
        </w:rPr>
        <w:t>2.</w:t>
      </w:r>
      <w:r>
        <w:rPr>
          <w:rFonts w:ascii="宋体" w:hAnsi="宋体"/>
          <w:b/>
          <w:bCs/>
          <w:szCs w:val="21"/>
        </w:rPr>
        <w:t>实验目的：</w:t>
      </w:r>
      <w:r>
        <w:rPr>
          <w:rFonts w:ascii="宋体" w:hAnsi="宋体"/>
          <w:szCs w:val="21"/>
        </w:rPr>
        <w:t>了解目前</w:t>
      </w:r>
      <w:r>
        <w:rPr>
          <w:rFonts w:ascii="宋体" w:hAnsi="宋体" w:hint="eastAsia"/>
          <w:szCs w:val="21"/>
        </w:rPr>
        <w:t>育种企业</w:t>
      </w:r>
      <w:r>
        <w:rPr>
          <w:rFonts w:ascii="宋体" w:hAnsi="宋体"/>
          <w:szCs w:val="21"/>
        </w:rPr>
        <w:t>中常用的</w:t>
      </w:r>
      <w:r>
        <w:rPr>
          <w:rFonts w:ascii="宋体" w:hAnsi="宋体" w:hint="eastAsia"/>
          <w:szCs w:val="21"/>
        </w:rPr>
        <w:t>智慧园艺育种技术。</w:t>
      </w:r>
    </w:p>
    <w:p w14:paraId="026D8A18" w14:textId="77777777" w:rsidR="00F5289E" w:rsidRDefault="00C91173">
      <w:pPr>
        <w:snapToGrid w:val="0"/>
        <w:spacing w:line="360" w:lineRule="auto"/>
        <w:ind w:firstLineChars="200" w:firstLine="422"/>
        <w:rPr>
          <w:szCs w:val="21"/>
        </w:rPr>
      </w:pPr>
      <w:r>
        <w:rPr>
          <w:b/>
          <w:bCs/>
          <w:szCs w:val="21"/>
        </w:rPr>
        <w:t>3.</w:t>
      </w:r>
      <w:r>
        <w:rPr>
          <w:rFonts w:ascii="宋体" w:hAnsi="宋体"/>
          <w:b/>
          <w:bCs/>
          <w:szCs w:val="21"/>
        </w:rPr>
        <w:t>实验内容：</w:t>
      </w:r>
      <w:r>
        <w:rPr>
          <w:rFonts w:ascii="宋体" w:hAnsi="宋体"/>
          <w:szCs w:val="21"/>
        </w:rPr>
        <w:t>到郑州市近郊县</w:t>
      </w:r>
      <w:r>
        <w:rPr>
          <w:rFonts w:ascii="宋体" w:hAnsi="宋体" w:hint="eastAsia"/>
          <w:szCs w:val="21"/>
        </w:rPr>
        <w:t>育种企业</w:t>
      </w:r>
      <w:r>
        <w:rPr>
          <w:rFonts w:ascii="宋体" w:hAnsi="宋体"/>
          <w:szCs w:val="21"/>
        </w:rPr>
        <w:t>进行</w:t>
      </w:r>
      <w:r>
        <w:rPr>
          <w:rFonts w:ascii="宋体" w:hAnsi="宋体" w:hint="eastAsia"/>
          <w:szCs w:val="21"/>
        </w:rPr>
        <w:t>智慧园艺育种技术</w:t>
      </w:r>
      <w:r>
        <w:rPr>
          <w:rFonts w:ascii="宋体" w:hAnsi="宋体"/>
          <w:szCs w:val="21"/>
        </w:rPr>
        <w:t>的调查</w:t>
      </w:r>
      <w:r>
        <w:rPr>
          <w:rFonts w:ascii="宋体" w:hAnsi="宋体" w:hint="eastAsia"/>
          <w:szCs w:val="21"/>
        </w:rPr>
        <w:t>。</w:t>
      </w:r>
    </w:p>
    <w:p w14:paraId="3F576774" w14:textId="77777777" w:rsidR="00F5289E" w:rsidRDefault="00C91173">
      <w:pPr>
        <w:snapToGrid w:val="0"/>
        <w:spacing w:line="360" w:lineRule="auto"/>
        <w:ind w:firstLineChars="200" w:firstLine="422"/>
        <w:rPr>
          <w:szCs w:val="21"/>
        </w:rPr>
      </w:pPr>
      <w:r>
        <w:rPr>
          <w:b/>
          <w:bCs/>
          <w:szCs w:val="21"/>
        </w:rPr>
        <w:t>4.</w:t>
      </w:r>
      <w:r>
        <w:rPr>
          <w:rFonts w:ascii="宋体" w:hAnsi="宋体"/>
          <w:b/>
          <w:bCs/>
          <w:szCs w:val="21"/>
        </w:rPr>
        <w:t>实验要求：</w:t>
      </w:r>
      <w:r>
        <w:rPr>
          <w:rFonts w:ascii="宋体" w:hAnsi="宋体"/>
          <w:szCs w:val="21"/>
        </w:rPr>
        <w:t>每个调查</w:t>
      </w:r>
      <w:r>
        <w:rPr>
          <w:rFonts w:ascii="宋体" w:hAnsi="宋体" w:hint="eastAsia"/>
          <w:szCs w:val="21"/>
        </w:rPr>
        <w:t>学生都要参与，重点调查园艺育种过程中使用哪些</w:t>
      </w:r>
      <w:r>
        <w:rPr>
          <w:rFonts w:hint="eastAsia"/>
          <w:color w:val="262600"/>
        </w:rPr>
        <w:t>遗传信息的智能化育种手段，如分子标记、基因工程以及云计算技术等，</w:t>
      </w:r>
      <w:r>
        <w:rPr>
          <w:rFonts w:ascii="宋体" w:hAnsi="宋体"/>
          <w:szCs w:val="21"/>
        </w:rPr>
        <w:t>调查结束写出实验报告。</w:t>
      </w:r>
    </w:p>
    <w:p w14:paraId="1728917B" w14:textId="77777777" w:rsidR="00F5289E" w:rsidRDefault="00C91173">
      <w:pPr>
        <w:widowControl/>
        <w:snapToGrid w:val="0"/>
        <w:spacing w:line="360" w:lineRule="auto"/>
        <w:jc w:val="left"/>
        <w:rPr>
          <w:kern w:val="0"/>
          <w:szCs w:val="21"/>
        </w:rPr>
      </w:pPr>
      <w:r>
        <w:rPr>
          <w:rFonts w:ascii="宋体" w:hAnsi="宋体"/>
          <w:b/>
          <w:bCs/>
          <w:szCs w:val="21"/>
        </w:rPr>
        <w:t>【实验二】</w:t>
      </w:r>
      <w:r>
        <w:rPr>
          <w:rFonts w:ascii="宋体" w:hAnsi="宋体" w:hint="eastAsia"/>
          <w:b/>
          <w:bCs/>
          <w:szCs w:val="21"/>
        </w:rPr>
        <w:t>智慧育苗应用场景调研</w:t>
      </w:r>
    </w:p>
    <w:p w14:paraId="0A61D8FB" w14:textId="77777777" w:rsidR="00F5289E" w:rsidRDefault="00C91173">
      <w:pPr>
        <w:widowControl/>
        <w:snapToGrid w:val="0"/>
        <w:spacing w:line="360" w:lineRule="auto"/>
        <w:jc w:val="left"/>
        <w:rPr>
          <w:b/>
          <w:bCs/>
          <w:kern w:val="0"/>
          <w:szCs w:val="21"/>
        </w:rPr>
      </w:pPr>
      <w:r>
        <w:rPr>
          <w:rFonts w:ascii="宋体" w:hAnsi="宋体"/>
          <w:b/>
          <w:bCs/>
          <w:kern w:val="0"/>
          <w:szCs w:val="21"/>
        </w:rPr>
        <w:t>实验基本知识与操作</w:t>
      </w:r>
    </w:p>
    <w:p w14:paraId="66CDB89F" w14:textId="77777777" w:rsidR="00F5289E" w:rsidRDefault="00C91173">
      <w:pPr>
        <w:snapToGrid w:val="0"/>
        <w:spacing w:line="360" w:lineRule="auto"/>
        <w:ind w:firstLineChars="196" w:firstLine="413"/>
        <w:rPr>
          <w:szCs w:val="21"/>
        </w:rPr>
      </w:pPr>
      <w:r>
        <w:rPr>
          <w:b/>
          <w:bCs/>
          <w:szCs w:val="21"/>
        </w:rPr>
        <w:t>1.</w:t>
      </w:r>
      <w:r>
        <w:rPr>
          <w:rFonts w:ascii="宋体" w:hAnsi="宋体"/>
          <w:b/>
          <w:bCs/>
          <w:szCs w:val="21"/>
        </w:rPr>
        <w:t>实验学时：</w:t>
      </w:r>
      <w:r>
        <w:rPr>
          <w:szCs w:val="21"/>
        </w:rPr>
        <w:t>2</w:t>
      </w:r>
    </w:p>
    <w:p w14:paraId="7D30A8BD" w14:textId="77777777" w:rsidR="00F5289E" w:rsidRDefault="00C91173">
      <w:pPr>
        <w:snapToGrid w:val="0"/>
        <w:spacing w:line="360" w:lineRule="auto"/>
        <w:ind w:firstLineChars="200" w:firstLine="422"/>
        <w:rPr>
          <w:szCs w:val="21"/>
        </w:rPr>
      </w:pPr>
      <w:r>
        <w:rPr>
          <w:b/>
          <w:bCs/>
          <w:szCs w:val="21"/>
        </w:rPr>
        <w:t>2.</w:t>
      </w:r>
      <w:r>
        <w:rPr>
          <w:rFonts w:ascii="宋体" w:hAnsi="宋体"/>
          <w:b/>
          <w:bCs/>
          <w:szCs w:val="21"/>
        </w:rPr>
        <w:t>实验目的：</w:t>
      </w:r>
      <w:r>
        <w:rPr>
          <w:rFonts w:ascii="宋体" w:hAnsi="宋体" w:hint="eastAsia"/>
          <w:szCs w:val="21"/>
        </w:rPr>
        <w:t>了解目前我省育苗企业运用智慧园艺的技术情况。</w:t>
      </w:r>
    </w:p>
    <w:p w14:paraId="4EC659F6" w14:textId="77777777" w:rsidR="00F5289E" w:rsidRDefault="00C91173">
      <w:pPr>
        <w:snapToGrid w:val="0"/>
        <w:spacing w:line="360" w:lineRule="auto"/>
        <w:ind w:firstLineChars="200" w:firstLine="422"/>
        <w:rPr>
          <w:szCs w:val="21"/>
        </w:rPr>
      </w:pPr>
      <w:r>
        <w:rPr>
          <w:b/>
          <w:bCs/>
          <w:szCs w:val="21"/>
        </w:rPr>
        <w:t>3.</w:t>
      </w:r>
      <w:r>
        <w:rPr>
          <w:rFonts w:ascii="宋体" w:hAnsi="宋体"/>
          <w:b/>
          <w:bCs/>
          <w:szCs w:val="21"/>
        </w:rPr>
        <w:t>实验内容：</w:t>
      </w:r>
      <w:r>
        <w:rPr>
          <w:rFonts w:ascii="宋体" w:hAnsi="宋体"/>
          <w:szCs w:val="21"/>
        </w:rPr>
        <w:t>到郑州市近郊县</w:t>
      </w:r>
      <w:r>
        <w:rPr>
          <w:rFonts w:ascii="宋体" w:hAnsi="宋体" w:hint="eastAsia"/>
          <w:szCs w:val="21"/>
        </w:rPr>
        <w:t>育苗企业</w:t>
      </w:r>
      <w:r>
        <w:rPr>
          <w:rFonts w:ascii="宋体" w:hAnsi="宋体"/>
          <w:szCs w:val="21"/>
        </w:rPr>
        <w:t>进行</w:t>
      </w:r>
      <w:r>
        <w:rPr>
          <w:rFonts w:ascii="宋体" w:hAnsi="宋体" w:hint="eastAsia"/>
          <w:szCs w:val="21"/>
        </w:rPr>
        <w:t>智慧园艺技术</w:t>
      </w:r>
      <w:r>
        <w:rPr>
          <w:rFonts w:ascii="宋体" w:hAnsi="宋体"/>
          <w:szCs w:val="21"/>
        </w:rPr>
        <w:t>的调查</w:t>
      </w:r>
      <w:r>
        <w:rPr>
          <w:rFonts w:ascii="宋体" w:hAnsi="宋体" w:hint="eastAsia"/>
          <w:szCs w:val="21"/>
        </w:rPr>
        <w:t>，重点考察智慧园艺生产过程管理、水肥管理、智慧农机装备等，了解其系统设计、运行状态及增效情况。</w:t>
      </w:r>
    </w:p>
    <w:p w14:paraId="2A762396" w14:textId="77777777" w:rsidR="00F5289E" w:rsidRDefault="00C91173">
      <w:pPr>
        <w:snapToGrid w:val="0"/>
        <w:spacing w:line="360" w:lineRule="auto"/>
        <w:ind w:firstLineChars="200" w:firstLine="422"/>
        <w:rPr>
          <w:szCs w:val="21"/>
        </w:rPr>
      </w:pPr>
      <w:r>
        <w:rPr>
          <w:b/>
          <w:bCs/>
          <w:szCs w:val="21"/>
        </w:rPr>
        <w:t>4.</w:t>
      </w:r>
      <w:r>
        <w:rPr>
          <w:rFonts w:ascii="宋体" w:hAnsi="宋体"/>
          <w:b/>
          <w:bCs/>
          <w:szCs w:val="21"/>
        </w:rPr>
        <w:t>实验要求：</w:t>
      </w:r>
      <w:r>
        <w:rPr>
          <w:rFonts w:ascii="宋体" w:hAnsi="宋体"/>
          <w:szCs w:val="21"/>
        </w:rPr>
        <w:t>每个学生都要参与，</w:t>
      </w:r>
      <w:r>
        <w:rPr>
          <w:rFonts w:ascii="宋体" w:hAnsi="宋体" w:hint="eastAsia"/>
          <w:szCs w:val="21"/>
        </w:rPr>
        <w:t>提出园区改善智慧园艺技术措施，</w:t>
      </w:r>
      <w:r>
        <w:rPr>
          <w:rFonts w:ascii="宋体" w:hAnsi="宋体"/>
          <w:szCs w:val="21"/>
        </w:rPr>
        <w:t>结束后写出实验报告。</w:t>
      </w:r>
    </w:p>
    <w:p w14:paraId="113FF694" w14:textId="77777777" w:rsidR="00F5289E" w:rsidRDefault="00C91173">
      <w:pPr>
        <w:widowControl/>
        <w:snapToGrid w:val="0"/>
        <w:spacing w:line="360" w:lineRule="auto"/>
        <w:jc w:val="left"/>
        <w:rPr>
          <w:kern w:val="0"/>
          <w:szCs w:val="21"/>
        </w:rPr>
      </w:pPr>
      <w:r>
        <w:rPr>
          <w:rFonts w:ascii="宋体" w:hAnsi="宋体"/>
          <w:b/>
          <w:bCs/>
          <w:szCs w:val="21"/>
        </w:rPr>
        <w:t>【实验三】</w:t>
      </w:r>
      <w:r>
        <w:rPr>
          <w:rFonts w:ascii="宋体" w:hAnsi="宋体" w:hint="eastAsia"/>
          <w:b/>
          <w:bCs/>
          <w:szCs w:val="21"/>
        </w:rPr>
        <w:t>智慧菜园应用场景调研</w:t>
      </w:r>
    </w:p>
    <w:p w14:paraId="5DE3515F" w14:textId="77777777" w:rsidR="00F5289E" w:rsidRDefault="00C91173">
      <w:pPr>
        <w:widowControl/>
        <w:snapToGrid w:val="0"/>
        <w:spacing w:line="360" w:lineRule="auto"/>
        <w:jc w:val="left"/>
        <w:rPr>
          <w:b/>
          <w:bCs/>
          <w:kern w:val="0"/>
          <w:szCs w:val="21"/>
        </w:rPr>
      </w:pPr>
      <w:r>
        <w:rPr>
          <w:rFonts w:ascii="宋体" w:hAnsi="宋体"/>
          <w:b/>
          <w:bCs/>
          <w:kern w:val="0"/>
          <w:szCs w:val="21"/>
        </w:rPr>
        <w:t>实验基本知识与操作</w:t>
      </w:r>
    </w:p>
    <w:p w14:paraId="74B59FE5" w14:textId="77777777" w:rsidR="00F5289E" w:rsidRDefault="00C91173">
      <w:pPr>
        <w:snapToGrid w:val="0"/>
        <w:spacing w:line="360" w:lineRule="auto"/>
        <w:ind w:firstLineChars="196" w:firstLine="413"/>
        <w:rPr>
          <w:szCs w:val="21"/>
        </w:rPr>
      </w:pPr>
      <w:r>
        <w:rPr>
          <w:b/>
          <w:bCs/>
          <w:szCs w:val="21"/>
        </w:rPr>
        <w:t>1.</w:t>
      </w:r>
      <w:r>
        <w:rPr>
          <w:rFonts w:ascii="宋体" w:hAnsi="宋体"/>
          <w:b/>
          <w:bCs/>
          <w:szCs w:val="21"/>
        </w:rPr>
        <w:t>实验学时：</w:t>
      </w:r>
      <w:r>
        <w:rPr>
          <w:szCs w:val="21"/>
        </w:rPr>
        <w:t>2</w:t>
      </w:r>
    </w:p>
    <w:p w14:paraId="76C41417" w14:textId="77777777" w:rsidR="00F5289E" w:rsidRDefault="00C91173">
      <w:pPr>
        <w:snapToGrid w:val="0"/>
        <w:spacing w:line="360" w:lineRule="auto"/>
        <w:ind w:firstLineChars="200" w:firstLine="422"/>
        <w:rPr>
          <w:szCs w:val="21"/>
        </w:rPr>
      </w:pPr>
      <w:r>
        <w:rPr>
          <w:b/>
          <w:bCs/>
          <w:szCs w:val="21"/>
        </w:rPr>
        <w:t>2.</w:t>
      </w:r>
      <w:r>
        <w:rPr>
          <w:rFonts w:ascii="宋体" w:hAnsi="宋体"/>
          <w:b/>
          <w:bCs/>
          <w:szCs w:val="21"/>
        </w:rPr>
        <w:t>实验目的：</w:t>
      </w:r>
      <w:r>
        <w:rPr>
          <w:rFonts w:ascii="宋体" w:hAnsi="宋体" w:hint="eastAsia"/>
          <w:szCs w:val="21"/>
        </w:rPr>
        <w:t>了解目前我省设施蔬菜种植企业运用智慧园艺的技术情况</w:t>
      </w:r>
      <w:r>
        <w:rPr>
          <w:rFonts w:ascii="宋体" w:hAnsi="宋体"/>
          <w:szCs w:val="21"/>
        </w:rPr>
        <w:t>。</w:t>
      </w:r>
    </w:p>
    <w:p w14:paraId="5B43B8F4" w14:textId="77777777" w:rsidR="00F5289E" w:rsidRDefault="00C91173">
      <w:pPr>
        <w:snapToGrid w:val="0"/>
        <w:spacing w:line="360" w:lineRule="auto"/>
        <w:ind w:firstLineChars="200" w:firstLine="422"/>
        <w:rPr>
          <w:szCs w:val="21"/>
        </w:rPr>
      </w:pPr>
      <w:r>
        <w:rPr>
          <w:b/>
          <w:bCs/>
          <w:szCs w:val="21"/>
        </w:rPr>
        <w:t>3.</w:t>
      </w:r>
      <w:r>
        <w:rPr>
          <w:rFonts w:ascii="宋体" w:hAnsi="宋体"/>
          <w:b/>
          <w:bCs/>
          <w:szCs w:val="21"/>
        </w:rPr>
        <w:t>实验内容：</w:t>
      </w:r>
      <w:r>
        <w:rPr>
          <w:rFonts w:ascii="宋体" w:hAnsi="宋体"/>
          <w:szCs w:val="21"/>
        </w:rPr>
        <w:t>到郑州市近郊县</w:t>
      </w:r>
      <w:r>
        <w:rPr>
          <w:rFonts w:ascii="宋体" w:hAnsi="宋体" w:hint="eastAsia"/>
          <w:szCs w:val="21"/>
        </w:rPr>
        <w:t>设施蔬菜企业</w:t>
      </w:r>
      <w:r>
        <w:rPr>
          <w:rFonts w:ascii="宋体" w:hAnsi="宋体"/>
          <w:szCs w:val="21"/>
        </w:rPr>
        <w:t>进行</w:t>
      </w:r>
      <w:r>
        <w:rPr>
          <w:rFonts w:ascii="宋体" w:hAnsi="宋体" w:hint="eastAsia"/>
          <w:szCs w:val="21"/>
        </w:rPr>
        <w:t>智慧园艺技术</w:t>
      </w:r>
      <w:r>
        <w:rPr>
          <w:rFonts w:ascii="宋体" w:hAnsi="宋体"/>
          <w:szCs w:val="21"/>
        </w:rPr>
        <w:t>的调查</w:t>
      </w:r>
      <w:r>
        <w:rPr>
          <w:rFonts w:ascii="宋体" w:hAnsi="宋体" w:hint="eastAsia"/>
          <w:szCs w:val="21"/>
        </w:rPr>
        <w:t>，重点考察智慧园艺生产过程管理、水肥管理、智慧农机装备等，了解其系统设计、运行状态及增效情况。</w:t>
      </w:r>
    </w:p>
    <w:p w14:paraId="501B598F" w14:textId="77777777" w:rsidR="00F5289E" w:rsidRDefault="00C91173">
      <w:pPr>
        <w:snapToGrid w:val="0"/>
        <w:spacing w:line="360" w:lineRule="auto"/>
        <w:ind w:firstLineChars="200" w:firstLine="422"/>
        <w:rPr>
          <w:szCs w:val="21"/>
        </w:rPr>
      </w:pPr>
      <w:r>
        <w:rPr>
          <w:b/>
          <w:bCs/>
          <w:szCs w:val="21"/>
        </w:rPr>
        <w:t>4.</w:t>
      </w:r>
      <w:r>
        <w:rPr>
          <w:rFonts w:ascii="宋体" w:hAnsi="宋体"/>
          <w:b/>
          <w:bCs/>
          <w:szCs w:val="21"/>
        </w:rPr>
        <w:t>实验要求：</w:t>
      </w:r>
      <w:r>
        <w:rPr>
          <w:rFonts w:ascii="宋体" w:hAnsi="宋体"/>
          <w:szCs w:val="21"/>
        </w:rPr>
        <w:t>每个学生都要参与，</w:t>
      </w:r>
      <w:r>
        <w:rPr>
          <w:rFonts w:ascii="宋体" w:hAnsi="宋体" w:hint="eastAsia"/>
          <w:szCs w:val="21"/>
        </w:rPr>
        <w:t>提出园区改善智慧园艺技术措施，</w:t>
      </w:r>
      <w:r>
        <w:rPr>
          <w:rFonts w:ascii="宋体" w:hAnsi="宋体"/>
          <w:szCs w:val="21"/>
        </w:rPr>
        <w:t>结束后写出实验报告。</w:t>
      </w:r>
    </w:p>
    <w:p w14:paraId="44479286" w14:textId="77777777" w:rsidR="00F5289E" w:rsidRDefault="00C91173">
      <w:pPr>
        <w:snapToGrid w:val="0"/>
        <w:spacing w:line="360" w:lineRule="auto"/>
        <w:rPr>
          <w:rFonts w:ascii="宋体" w:hAnsi="宋体"/>
          <w:b/>
          <w:bCs/>
          <w:szCs w:val="21"/>
        </w:rPr>
      </w:pPr>
      <w:r>
        <w:rPr>
          <w:rFonts w:ascii="宋体" w:hAnsi="宋体" w:hint="eastAsia"/>
          <w:b/>
          <w:bCs/>
          <w:szCs w:val="21"/>
        </w:rPr>
        <w:t xml:space="preserve"> (七)考核方式及成绩评定</w:t>
      </w:r>
    </w:p>
    <w:p w14:paraId="08CCF4C7" w14:textId="77777777" w:rsidR="00F5289E" w:rsidRDefault="00C91173">
      <w:pPr>
        <w:widowControl/>
        <w:snapToGrid w:val="0"/>
        <w:spacing w:line="360" w:lineRule="auto"/>
        <w:ind w:firstLineChars="200" w:firstLine="420"/>
        <w:jc w:val="left"/>
        <w:rPr>
          <w:rFonts w:ascii="宋体" w:hAnsi="宋体"/>
          <w:szCs w:val="21"/>
        </w:rPr>
      </w:pPr>
      <w:r>
        <w:rPr>
          <w:rFonts w:ascii="宋体" w:hAnsi="宋体"/>
          <w:szCs w:val="21"/>
        </w:rPr>
        <w:t>教师对每次的实验根据学生参与度和实验报告撰写情况进行考核，分为优秀、良好、及格和不及格四个档次。实验总成绩占该门课程成绩的20%。</w:t>
      </w:r>
    </w:p>
    <w:p w14:paraId="39D71E75" w14:textId="77777777" w:rsidR="00F5289E" w:rsidRDefault="00C91173">
      <w:pPr>
        <w:spacing w:line="360" w:lineRule="auto"/>
        <w:rPr>
          <w:rFonts w:ascii="宋体" w:hAnsi="宋体"/>
          <w:b/>
          <w:bCs/>
          <w:kern w:val="0"/>
          <w:szCs w:val="21"/>
        </w:rPr>
      </w:pPr>
      <w:r>
        <w:rPr>
          <w:rFonts w:ascii="宋体" w:hAnsi="宋体" w:hint="eastAsia"/>
          <w:b/>
          <w:bCs/>
          <w:kern w:val="0"/>
          <w:szCs w:val="21"/>
        </w:rPr>
        <w:t>六、课程思政</w:t>
      </w:r>
    </w:p>
    <w:p w14:paraId="0CB82FC5"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根据该课程的特点，结合智慧园艺的主要内容，在理论和实验教学的各个环节，融入思政教育元素，培养适应国家、中原地区和河南地方经济发展需要，具备扎实的自然科学、人文社会科学知</w:t>
      </w:r>
      <w:r>
        <w:rPr>
          <w:rFonts w:ascii="宋体" w:hAnsi="宋体" w:hint="eastAsia"/>
          <w:szCs w:val="21"/>
        </w:rPr>
        <w:lastRenderedPageBreak/>
        <w:t>识的新时代高级复合型人才。具体目标如下：</w:t>
      </w:r>
    </w:p>
    <w:p w14:paraId="110D541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 xml:space="preserve">（1）了解智慧园艺在国民经济和人民生活中的重要地位和作用，了解国内外智慧园艺的发展历史、现状及未来前景，培养新时代学生现代农业背景下的“三农”情怀，增强学生服务农业农村现代化和服务乡村振兴的使命感和责任感。 </w:t>
      </w:r>
    </w:p>
    <w:p w14:paraId="475EA5D4"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通过对我国智慧园艺的悠久历史和新中国成立以来中国智慧园艺产业取得巨大成就的介绍，培养学生对“四个自信”的认知，即使同学们坚信在中国共产党领导下，中国智慧园艺产业将会更加繁荣，人民生活也会更加美好。</w:t>
      </w:r>
    </w:p>
    <w:p w14:paraId="150CA2D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（3）了解智慧园艺技术和手段，从简单到复杂、从初级到高级，种类越来越丰富，功能越来越齐全的发展规律，引导学生养成求真崇实、敢于探索、坚定执着的科学精神和精益求精的大国工匠精神。</w:t>
      </w:r>
    </w:p>
    <w:p w14:paraId="20CED58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4）智慧园艺学理论和实践教学紧密结合，实验教学过程中以小组分工、合作形式展开，注重学生沟通表达和协调能力、组织协调能力、团队合作精神的培养，使学生在实操过程中体会专业精神、团队精神、创新意识、纪律意识和集体荣誉感。</w:t>
      </w:r>
    </w:p>
    <w:p w14:paraId="39E1D529" w14:textId="77777777" w:rsidR="00F5289E" w:rsidRDefault="00F5289E">
      <w:pPr>
        <w:ind w:firstLineChars="200" w:firstLine="420"/>
        <w:rPr>
          <w:rFonts w:ascii="宋体" w:hAnsi="宋体"/>
          <w:bCs/>
          <w:color w:val="FF0000"/>
          <w:kern w:val="0"/>
          <w:szCs w:val="21"/>
        </w:rPr>
      </w:pPr>
    </w:p>
    <w:p w14:paraId="27BB662E" w14:textId="77777777" w:rsidR="00F5289E" w:rsidRDefault="00C91173">
      <w:pPr>
        <w:spacing w:line="360" w:lineRule="auto"/>
        <w:rPr>
          <w:szCs w:val="21"/>
        </w:rPr>
      </w:pPr>
      <w:r>
        <w:rPr>
          <w:rFonts w:ascii="宋体" w:hAnsi="宋体" w:hint="eastAsia"/>
          <w:b/>
          <w:bCs/>
          <w:kern w:val="0"/>
          <w:szCs w:val="21"/>
        </w:rPr>
        <w:t>七</w:t>
      </w:r>
      <w:r>
        <w:rPr>
          <w:rFonts w:ascii="宋体" w:hAnsi="宋体"/>
          <w:b/>
          <w:bCs/>
          <w:kern w:val="0"/>
          <w:szCs w:val="21"/>
        </w:rPr>
        <w:t>、使用教材</w:t>
      </w:r>
      <w:r>
        <w:rPr>
          <w:rFonts w:ascii="宋体" w:hAnsi="宋体" w:hint="eastAsia"/>
          <w:szCs w:val="21"/>
        </w:rPr>
        <w:t>（教材的选用应符合教育部和学校教材选用规定，教学资源丰富多样，体现思想性、科学性与时代性）</w:t>
      </w:r>
    </w:p>
    <w:p w14:paraId="5B4BB5D8" w14:textId="77777777" w:rsidR="00F5289E" w:rsidRDefault="00C91173">
      <w:pPr>
        <w:snapToGrid w:val="0"/>
        <w:spacing w:line="360" w:lineRule="auto"/>
        <w:ind w:firstLineChars="196" w:firstLine="413"/>
        <w:rPr>
          <w:rFonts w:ascii="宋体" w:hAnsi="宋体"/>
          <w:b/>
          <w:bCs/>
          <w:szCs w:val="21"/>
        </w:rPr>
      </w:pPr>
      <w:r>
        <w:rPr>
          <w:rFonts w:ascii="宋体" w:hAnsi="宋体"/>
          <w:b/>
          <w:bCs/>
          <w:szCs w:val="21"/>
        </w:rPr>
        <w:t>1</w:t>
      </w:r>
      <w:r>
        <w:rPr>
          <w:rFonts w:ascii="宋体" w:hAnsi="宋体" w:hint="eastAsia"/>
          <w:b/>
          <w:bCs/>
          <w:szCs w:val="21"/>
        </w:rPr>
        <w:t>.选用</w:t>
      </w:r>
      <w:r>
        <w:rPr>
          <w:rFonts w:ascii="宋体" w:hAnsi="宋体"/>
          <w:b/>
          <w:bCs/>
          <w:szCs w:val="21"/>
        </w:rPr>
        <w:t>教材：</w:t>
      </w:r>
    </w:p>
    <w:p w14:paraId="028C161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（1）智慧农业理论与实践，自编教材。</w:t>
      </w:r>
    </w:p>
    <w:p w14:paraId="5337EBB6"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ascii="宋体" w:hAnsi="宋体"/>
          <w:b/>
          <w:bCs/>
          <w:kern w:val="0"/>
          <w:szCs w:val="21"/>
        </w:rPr>
        <w:t>参考书：</w:t>
      </w:r>
    </w:p>
    <w:p w14:paraId="235A74E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（1）孙红敏，贾银江编</w:t>
      </w:r>
      <w:r>
        <w:rPr>
          <w:rFonts w:ascii="宋体" w:hAnsi="宋体"/>
          <w:szCs w:val="21"/>
        </w:rPr>
        <w:t>.</w:t>
      </w:r>
      <w:r>
        <w:rPr>
          <w:rFonts w:ascii="宋体" w:hAnsi="宋体" w:hint="eastAsia"/>
          <w:szCs w:val="21"/>
        </w:rPr>
        <w:t>数字农业技术及应用</w:t>
      </w:r>
      <w:r>
        <w:rPr>
          <w:rFonts w:ascii="宋体" w:hAnsi="宋体"/>
          <w:szCs w:val="21"/>
        </w:rPr>
        <w:t>.</w:t>
      </w:r>
      <w:r>
        <w:rPr>
          <w:rFonts w:ascii="宋体" w:hAnsi="宋体" w:hint="eastAsia"/>
          <w:szCs w:val="21"/>
        </w:rPr>
        <w:t>中国农业出版社，</w:t>
      </w:r>
      <w:r>
        <w:rPr>
          <w:rFonts w:ascii="宋体" w:hAnsi="宋体"/>
          <w:szCs w:val="21"/>
        </w:rPr>
        <w:t>2020.</w:t>
      </w:r>
    </w:p>
    <w:p w14:paraId="60443702"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（2）李军，《农业信息技术（第二版）》，科学出版社，2017.</w:t>
      </w:r>
    </w:p>
    <w:p w14:paraId="33FF273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（3）江洪</w:t>
      </w:r>
      <w:r>
        <w:rPr>
          <w:rFonts w:ascii="宋体" w:hAnsi="宋体"/>
          <w:szCs w:val="21"/>
        </w:rPr>
        <w:t>.</w:t>
      </w:r>
      <w:r>
        <w:rPr>
          <w:rFonts w:ascii="宋体" w:hAnsi="宋体" w:hint="eastAsia"/>
          <w:szCs w:val="21"/>
        </w:rPr>
        <w:t>智慧农业导论 理论、技术和应用</w:t>
      </w:r>
      <w:r>
        <w:rPr>
          <w:rFonts w:ascii="宋体" w:hAnsi="宋体"/>
          <w:szCs w:val="21"/>
        </w:rPr>
        <w:t>.</w:t>
      </w:r>
      <w:r>
        <w:rPr>
          <w:rFonts w:ascii="宋体" w:hAnsi="宋体" w:hint="eastAsia"/>
          <w:szCs w:val="21"/>
        </w:rPr>
        <w:t>上海：上海交通大学出版社，</w:t>
      </w:r>
      <w:r>
        <w:rPr>
          <w:rFonts w:ascii="宋体" w:hAnsi="宋体"/>
          <w:szCs w:val="21"/>
        </w:rPr>
        <w:t>2015.</w:t>
      </w:r>
    </w:p>
    <w:p w14:paraId="5E8F1FA6" w14:textId="77777777" w:rsidR="00F5289E" w:rsidRDefault="00C91173">
      <w:pPr>
        <w:widowControl/>
        <w:snapToGrid w:val="0"/>
        <w:spacing w:line="360" w:lineRule="auto"/>
        <w:ind w:firstLineChars="200" w:firstLine="422"/>
        <w:jc w:val="left"/>
        <w:rPr>
          <w:b/>
          <w:bCs/>
          <w:kern w:val="0"/>
          <w:szCs w:val="21"/>
        </w:rPr>
      </w:pPr>
      <w:r>
        <w:rPr>
          <w:rFonts w:hint="eastAsia"/>
          <w:b/>
          <w:bCs/>
          <w:kern w:val="0"/>
          <w:szCs w:val="21"/>
        </w:rPr>
        <w:t xml:space="preserve"> 3.</w:t>
      </w:r>
      <w:r>
        <w:rPr>
          <w:rFonts w:ascii="宋体" w:hAnsi="宋体" w:hint="eastAsia"/>
          <w:b/>
          <w:bCs/>
          <w:kern w:val="0"/>
          <w:szCs w:val="21"/>
        </w:rPr>
        <w:t>推荐网站：</w:t>
      </w:r>
    </w:p>
    <w:p w14:paraId="33BDFA86" w14:textId="77777777" w:rsidR="00F5289E" w:rsidRDefault="00C91173">
      <w:pPr>
        <w:snapToGrid w:val="0"/>
        <w:spacing w:line="360" w:lineRule="auto"/>
        <w:ind w:firstLineChars="200" w:firstLine="420"/>
        <w:rPr>
          <w:szCs w:val="21"/>
        </w:rPr>
      </w:pPr>
      <w:r>
        <w:rPr>
          <w:szCs w:val="21"/>
        </w:rPr>
        <w:t>（</w:t>
      </w:r>
      <w:r>
        <w:rPr>
          <w:szCs w:val="21"/>
        </w:rPr>
        <w:t>1</w:t>
      </w:r>
      <w:r>
        <w:rPr>
          <w:szCs w:val="21"/>
        </w:rPr>
        <w:t>）智能装备网，</w:t>
      </w:r>
      <w:r>
        <w:rPr>
          <w:szCs w:val="21"/>
        </w:rPr>
        <w:t>http://www.znzbw.cn/</w:t>
      </w:r>
    </w:p>
    <w:p w14:paraId="1A40AAA4" w14:textId="77777777" w:rsidR="00F5289E" w:rsidRDefault="00C91173">
      <w:pPr>
        <w:snapToGrid w:val="0"/>
        <w:spacing w:line="360" w:lineRule="auto"/>
        <w:ind w:firstLineChars="200" w:firstLine="420"/>
        <w:rPr>
          <w:szCs w:val="21"/>
        </w:rPr>
      </w:pPr>
      <w:r>
        <w:rPr>
          <w:szCs w:val="21"/>
        </w:rPr>
        <w:t>（</w:t>
      </w:r>
      <w:r>
        <w:rPr>
          <w:szCs w:val="21"/>
        </w:rPr>
        <w:t>2</w:t>
      </w:r>
      <w:r>
        <w:rPr>
          <w:szCs w:val="21"/>
        </w:rPr>
        <w:t>）园艺设施学精品课程网，</w:t>
      </w:r>
      <w:r>
        <w:fldChar w:fldCharType="begin"/>
      </w:r>
      <w:r>
        <w:instrText>HYPERLINK "http://netc.nwsuaf.edu.cn/yuanyi"</w:instrText>
      </w:r>
      <w:r>
        <w:fldChar w:fldCharType="separate"/>
      </w:r>
      <w:r>
        <w:rPr>
          <w:szCs w:val="21"/>
        </w:rPr>
        <w:t>http://netc.nwsuaf.edu.cn/yuanyi</w:t>
      </w:r>
      <w:r>
        <w:rPr>
          <w:szCs w:val="21"/>
        </w:rPr>
        <w:fldChar w:fldCharType="end"/>
      </w:r>
    </w:p>
    <w:p w14:paraId="3DDF25C0" w14:textId="77777777" w:rsidR="00F5289E" w:rsidRDefault="00C91173">
      <w:pPr>
        <w:snapToGrid w:val="0"/>
        <w:spacing w:line="360" w:lineRule="auto"/>
        <w:ind w:firstLineChars="200" w:firstLine="420"/>
        <w:rPr>
          <w:szCs w:val="21"/>
        </w:rPr>
      </w:pPr>
      <w:r>
        <w:rPr>
          <w:szCs w:val="21"/>
        </w:rPr>
        <w:t>（</w:t>
      </w:r>
      <w:r>
        <w:rPr>
          <w:szCs w:val="21"/>
        </w:rPr>
        <w:t>3</w:t>
      </w:r>
      <w:r>
        <w:rPr>
          <w:szCs w:val="21"/>
        </w:rPr>
        <w:t>）中国温室网，</w:t>
      </w:r>
      <w:r>
        <w:fldChar w:fldCharType="begin"/>
      </w:r>
      <w:r>
        <w:instrText>HYPERLINK "http://chinagreenhouse.com"</w:instrText>
      </w:r>
      <w:r>
        <w:fldChar w:fldCharType="separate"/>
      </w:r>
      <w:r>
        <w:rPr>
          <w:szCs w:val="21"/>
        </w:rPr>
        <w:t>http://chinagreenhouse.com</w:t>
      </w:r>
      <w:r>
        <w:rPr>
          <w:szCs w:val="21"/>
        </w:rPr>
        <w:fldChar w:fldCharType="end"/>
      </w:r>
    </w:p>
    <w:p w14:paraId="34B81E3A" w14:textId="77777777" w:rsidR="00F5289E" w:rsidRDefault="00C91173">
      <w:pPr>
        <w:spacing w:line="360" w:lineRule="auto"/>
        <w:rPr>
          <w:rFonts w:ascii="宋体" w:hAnsi="宋体"/>
          <w:b/>
          <w:bCs/>
          <w:kern w:val="0"/>
          <w:szCs w:val="21"/>
        </w:rPr>
      </w:pPr>
      <w:r>
        <w:rPr>
          <w:rFonts w:ascii="宋体" w:hAnsi="宋体" w:hint="eastAsia"/>
          <w:b/>
          <w:bCs/>
          <w:kern w:val="0"/>
          <w:szCs w:val="21"/>
        </w:rPr>
        <w:t>八</w:t>
      </w:r>
      <w:r>
        <w:rPr>
          <w:rFonts w:ascii="宋体" w:hAnsi="宋体"/>
          <w:b/>
          <w:bCs/>
          <w:kern w:val="0"/>
          <w:szCs w:val="21"/>
        </w:rPr>
        <w:t>、</w:t>
      </w:r>
      <w:r>
        <w:rPr>
          <w:rFonts w:ascii="宋体" w:hAnsi="宋体" w:hint="eastAsia"/>
          <w:b/>
          <w:bCs/>
          <w:kern w:val="0"/>
          <w:szCs w:val="21"/>
        </w:rPr>
        <w:t>教学条件</w:t>
      </w:r>
    </w:p>
    <w:p w14:paraId="166C6AFE"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szCs w:val="21"/>
        </w:rPr>
        <w:t>《智慧园艺》课程</w:t>
      </w:r>
      <w:r>
        <w:rPr>
          <w:rFonts w:ascii="宋体" w:hAnsi="宋体"/>
          <w:szCs w:val="21"/>
        </w:rPr>
        <w:t>一直</w:t>
      </w:r>
      <w:r>
        <w:rPr>
          <w:rFonts w:ascii="宋体" w:hAnsi="宋体" w:hint="eastAsia"/>
          <w:szCs w:val="21"/>
        </w:rPr>
        <w:t>采用“教学实验、参观学习和生产实习一体化”的实践教学模式。</w:t>
      </w:r>
      <w:r>
        <w:rPr>
          <w:rFonts w:ascii="宋体" w:hAnsi="宋体" w:hint="eastAsia"/>
          <w:color w:val="000000"/>
          <w:szCs w:val="21"/>
        </w:rPr>
        <w:t>通过理论教学让同学们充分了解我国智慧园艺的现状和发展特点及发展路径和发展趋势；通过案例分析、视频演示让同学们更加直观地学习到我国智慧园艺技术特点；通过文献查阅、调查与分组汇报和交流讨论，使学生系统掌握课程理论知识，培养学生系统分析问题、交流合作、开拓创新、发现问题和解决问题的能力。</w:t>
      </w:r>
      <w:r>
        <w:rPr>
          <w:rFonts w:ascii="宋体" w:hAnsi="宋体" w:hint="eastAsia"/>
          <w:szCs w:val="21"/>
        </w:rPr>
        <w:t>目前</w:t>
      </w:r>
      <w:r>
        <w:rPr>
          <w:rFonts w:ascii="宋体" w:hAnsi="宋体"/>
          <w:szCs w:val="21"/>
        </w:rPr>
        <w:t>拥有</w:t>
      </w:r>
      <w:r>
        <w:rPr>
          <w:rFonts w:ascii="宋体" w:hAnsi="宋体" w:hint="eastAsia"/>
          <w:szCs w:val="21"/>
        </w:rPr>
        <w:t>三区科教园区、毛庄科教园区、扶沟蔬菜研究院等校内实习基地、鄢陵建业绿色基地、焦作市马村区优质果蔬研究院、农科院原阳基地等校外基地，并与校外多</w:t>
      </w:r>
      <w:r>
        <w:rPr>
          <w:rFonts w:ascii="宋体" w:hAnsi="宋体" w:hint="eastAsia"/>
          <w:szCs w:val="21"/>
        </w:rPr>
        <w:lastRenderedPageBreak/>
        <w:t>个基地合作，保证学生实验实训和创新教育的顺利完成。</w:t>
      </w:r>
    </w:p>
    <w:p w14:paraId="58515688" w14:textId="77777777" w:rsidR="00F5289E" w:rsidRDefault="00C91173">
      <w:pPr>
        <w:widowControl/>
        <w:snapToGrid w:val="0"/>
        <w:spacing w:line="360" w:lineRule="auto"/>
        <w:jc w:val="left"/>
        <w:rPr>
          <w:rFonts w:hAnsi="宋体"/>
          <w:b/>
          <w:bCs/>
          <w:kern w:val="0"/>
          <w:szCs w:val="21"/>
        </w:rPr>
      </w:pPr>
      <w:r>
        <w:rPr>
          <w:rFonts w:ascii="宋体" w:hAnsi="宋体" w:hint="eastAsia"/>
          <w:b/>
          <w:bCs/>
          <w:kern w:val="0"/>
          <w:szCs w:val="21"/>
        </w:rPr>
        <w:t>九、教学考核评价</w:t>
      </w:r>
    </w:p>
    <w:p w14:paraId="43718B74" w14:textId="77777777" w:rsidR="00F5289E" w:rsidRDefault="00C91173">
      <w:pPr>
        <w:widowControl/>
        <w:snapToGrid w:val="0"/>
        <w:spacing w:line="360" w:lineRule="auto"/>
        <w:ind w:firstLine="420"/>
        <w:jc w:val="left"/>
        <w:rPr>
          <w:rFonts w:ascii="宋体" w:hAnsi="宋体"/>
          <w:b/>
          <w:bCs/>
          <w:kern w:val="0"/>
          <w:szCs w:val="21"/>
        </w:rPr>
      </w:pPr>
      <w:r>
        <w:rPr>
          <w:rFonts w:hint="eastAsia"/>
          <w:b/>
          <w:bCs/>
          <w:kern w:val="0"/>
          <w:szCs w:val="21"/>
        </w:rPr>
        <w:t>1.</w:t>
      </w:r>
      <w:r>
        <w:rPr>
          <w:rFonts w:ascii="宋体" w:hAnsi="宋体" w:hint="eastAsia"/>
          <w:b/>
          <w:bCs/>
          <w:kern w:val="0"/>
          <w:szCs w:val="21"/>
        </w:rPr>
        <w:t>过程性评价：</w:t>
      </w:r>
    </w:p>
    <w:p w14:paraId="75FFB821" w14:textId="77777777" w:rsidR="00F5289E" w:rsidRDefault="00C91173">
      <w:pPr>
        <w:widowControl/>
        <w:snapToGrid w:val="0"/>
        <w:spacing w:line="360" w:lineRule="auto"/>
        <w:ind w:firstLine="420"/>
        <w:jc w:val="left"/>
        <w:rPr>
          <w:rFonts w:ascii="宋体" w:hAnsi="宋体"/>
          <w:szCs w:val="21"/>
        </w:rPr>
      </w:pPr>
      <w:r>
        <w:rPr>
          <w:rFonts w:ascii="宋体" w:hAnsi="宋体" w:hint="eastAsia"/>
          <w:szCs w:val="21"/>
        </w:rPr>
        <w:t>平时成绩（</w:t>
      </w:r>
      <w:r>
        <w:rPr>
          <w:rFonts w:ascii="宋体" w:hAnsi="宋体"/>
          <w:szCs w:val="21"/>
        </w:rPr>
        <w:t>20</w:t>
      </w:r>
      <w:r>
        <w:rPr>
          <w:rFonts w:ascii="宋体" w:hAnsi="宋体" w:hint="eastAsia"/>
          <w:szCs w:val="21"/>
        </w:rPr>
        <w:t>%）：含课堂表现、小组学习讨论、课后作业等</w:t>
      </w:r>
    </w:p>
    <w:p w14:paraId="6E47C5C4" w14:textId="77777777" w:rsidR="00F5289E" w:rsidRDefault="00C91173">
      <w:pPr>
        <w:widowControl/>
        <w:snapToGrid w:val="0"/>
        <w:spacing w:line="360" w:lineRule="auto"/>
        <w:ind w:firstLine="420"/>
        <w:jc w:val="left"/>
        <w:rPr>
          <w:rFonts w:ascii="宋体" w:hAnsi="宋体"/>
          <w:szCs w:val="21"/>
        </w:rPr>
      </w:pPr>
      <w:r>
        <w:rPr>
          <w:rFonts w:ascii="宋体" w:hAnsi="宋体" w:hint="eastAsia"/>
          <w:szCs w:val="21"/>
        </w:rPr>
        <w:t>实验课成绩（</w:t>
      </w:r>
      <w:r>
        <w:rPr>
          <w:rFonts w:ascii="宋体" w:hAnsi="宋体"/>
          <w:szCs w:val="21"/>
        </w:rPr>
        <w:t>20</w:t>
      </w:r>
      <w:r>
        <w:rPr>
          <w:rFonts w:ascii="宋体" w:hAnsi="宋体" w:hint="eastAsia"/>
          <w:szCs w:val="21"/>
        </w:rPr>
        <w:t>%）：实验</w:t>
      </w:r>
      <w:r>
        <w:rPr>
          <w:rFonts w:ascii="宋体" w:hAnsi="宋体"/>
          <w:szCs w:val="21"/>
        </w:rPr>
        <w:t>报告</w:t>
      </w:r>
      <w:r>
        <w:rPr>
          <w:rFonts w:ascii="宋体" w:hAnsi="宋体" w:hint="eastAsia"/>
          <w:szCs w:val="21"/>
        </w:rPr>
        <w:t>及实验</w:t>
      </w:r>
      <w:r>
        <w:rPr>
          <w:rFonts w:ascii="宋体" w:hAnsi="宋体"/>
          <w:szCs w:val="21"/>
        </w:rPr>
        <w:t>参与度</w:t>
      </w:r>
    </w:p>
    <w:p w14:paraId="527AF31A" w14:textId="77777777" w:rsidR="00F5289E" w:rsidRDefault="00C91173">
      <w:pPr>
        <w:widowControl/>
        <w:snapToGrid w:val="0"/>
        <w:spacing w:line="360" w:lineRule="auto"/>
        <w:ind w:firstLine="420"/>
        <w:jc w:val="left"/>
        <w:rPr>
          <w:rFonts w:hAnsi="宋体"/>
          <w:b/>
          <w:bCs/>
          <w:kern w:val="0"/>
          <w:szCs w:val="21"/>
        </w:rPr>
      </w:pPr>
      <w:r>
        <w:rPr>
          <w:rFonts w:hint="eastAsia"/>
          <w:b/>
          <w:bCs/>
          <w:kern w:val="0"/>
          <w:szCs w:val="21"/>
        </w:rPr>
        <w:t>2.</w:t>
      </w:r>
      <w:r>
        <w:rPr>
          <w:rFonts w:ascii="宋体" w:hAnsi="宋体" w:hint="eastAsia"/>
          <w:b/>
          <w:bCs/>
          <w:kern w:val="0"/>
          <w:szCs w:val="21"/>
        </w:rPr>
        <w:t>终结性评价：</w:t>
      </w:r>
      <w:r>
        <w:rPr>
          <w:rFonts w:ascii="宋体" w:hAnsi="宋体" w:hint="eastAsia"/>
          <w:kern w:val="0"/>
          <w:szCs w:val="21"/>
        </w:rPr>
        <w:t>期末成绩以</w:t>
      </w:r>
      <w:r>
        <w:rPr>
          <w:rFonts w:ascii="宋体" w:hAnsi="宋体" w:hint="eastAsia"/>
          <w:bCs/>
          <w:kern w:val="0"/>
          <w:szCs w:val="21"/>
        </w:rPr>
        <w:t>课程论文形式考核（6</w:t>
      </w:r>
      <w:r>
        <w:rPr>
          <w:rFonts w:ascii="宋体" w:hAnsi="宋体"/>
          <w:bCs/>
          <w:kern w:val="0"/>
          <w:szCs w:val="21"/>
        </w:rPr>
        <w:t>0%</w:t>
      </w:r>
      <w:r>
        <w:rPr>
          <w:rFonts w:ascii="宋体" w:hAnsi="宋体" w:hint="eastAsia"/>
          <w:bCs/>
          <w:kern w:val="0"/>
          <w:szCs w:val="21"/>
        </w:rPr>
        <w:t>）</w:t>
      </w:r>
    </w:p>
    <w:p w14:paraId="51CD12DF" w14:textId="77777777" w:rsidR="00F5289E" w:rsidRDefault="00C91173">
      <w:pPr>
        <w:widowControl/>
        <w:snapToGrid w:val="0"/>
        <w:spacing w:line="360" w:lineRule="auto"/>
        <w:ind w:firstLine="420"/>
        <w:jc w:val="left"/>
        <w:rPr>
          <w:rFonts w:ascii="宋体" w:hAnsi="宋体"/>
          <w:color w:val="FF0000"/>
          <w:szCs w:val="21"/>
        </w:rPr>
      </w:pPr>
      <w:r>
        <w:rPr>
          <w:rFonts w:hint="eastAsia"/>
          <w:b/>
          <w:bCs/>
          <w:kern w:val="0"/>
          <w:szCs w:val="21"/>
        </w:rPr>
        <w:t>3.</w:t>
      </w:r>
      <w:r>
        <w:rPr>
          <w:rFonts w:ascii="宋体" w:hAnsi="宋体" w:hint="eastAsia"/>
          <w:b/>
          <w:bCs/>
          <w:kern w:val="0"/>
          <w:szCs w:val="21"/>
        </w:rPr>
        <w:t>课程综合评价：</w:t>
      </w:r>
      <w:r>
        <w:rPr>
          <w:rFonts w:ascii="宋体" w:hAnsi="宋体" w:hint="eastAsia"/>
          <w:szCs w:val="21"/>
        </w:rPr>
        <w:t>平时成绩（</w:t>
      </w:r>
      <w:r>
        <w:rPr>
          <w:rFonts w:ascii="宋体" w:hAnsi="宋体"/>
          <w:szCs w:val="21"/>
        </w:rPr>
        <w:t>20</w:t>
      </w:r>
      <w:r>
        <w:rPr>
          <w:rFonts w:ascii="宋体" w:hAnsi="宋体" w:hint="eastAsia"/>
          <w:szCs w:val="21"/>
        </w:rPr>
        <w:t>%）+实验课成绩（</w:t>
      </w:r>
      <w:r>
        <w:rPr>
          <w:rFonts w:ascii="宋体" w:hAnsi="宋体"/>
          <w:szCs w:val="21"/>
        </w:rPr>
        <w:t>20</w:t>
      </w:r>
      <w:r>
        <w:rPr>
          <w:rFonts w:ascii="宋体" w:hAnsi="宋体" w:hint="eastAsia"/>
          <w:szCs w:val="21"/>
        </w:rPr>
        <w:t>%）+期末成绩（</w:t>
      </w:r>
      <w:r>
        <w:rPr>
          <w:rFonts w:ascii="宋体" w:hAnsi="宋体"/>
          <w:szCs w:val="21"/>
        </w:rPr>
        <w:t>60</w:t>
      </w:r>
      <w:r>
        <w:rPr>
          <w:rFonts w:ascii="宋体" w:hAnsi="宋体" w:hint="eastAsia"/>
          <w:szCs w:val="21"/>
        </w:rPr>
        <w:t>%）</w:t>
      </w:r>
    </w:p>
    <w:p w14:paraId="4359DA77" w14:textId="77777777" w:rsidR="00F5289E" w:rsidRDefault="00F5289E">
      <w:pPr>
        <w:widowControl/>
        <w:snapToGrid w:val="0"/>
        <w:spacing w:line="360" w:lineRule="auto"/>
        <w:jc w:val="left"/>
        <w:rPr>
          <w:rFonts w:ascii="宋体" w:hAnsi="宋体"/>
          <w:kern w:val="0"/>
          <w:szCs w:val="21"/>
        </w:rPr>
      </w:pPr>
    </w:p>
    <w:p w14:paraId="691EDED2"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60570517"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056B254A"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7A824ADE"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737F0F52"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6C7BB38C"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60A3FE50"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0E603807" w14:textId="77777777" w:rsidR="00F5289E" w:rsidRDefault="00F5289E">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1C522CC7" w14:textId="77777777" w:rsidR="00F5289E" w:rsidRDefault="00C91173">
      <w:pPr>
        <w:widowControl/>
        <w:jc w:val="left"/>
        <w:rPr>
          <w:b/>
          <w:sz w:val="28"/>
          <w:szCs w:val="28"/>
        </w:rPr>
      </w:pPr>
      <w:r>
        <w:rPr>
          <w:b/>
          <w:sz w:val="28"/>
          <w:szCs w:val="28"/>
        </w:rPr>
        <w:br w:type="page"/>
      </w:r>
    </w:p>
    <w:p w14:paraId="178C85AB" w14:textId="77777777" w:rsidR="00F5289E" w:rsidRDefault="00C91173">
      <w:pPr>
        <w:pStyle w:val="1"/>
      </w:pPr>
      <w:bookmarkStart w:id="101" w:name="_Toc138606253"/>
      <w:r>
        <w:lastRenderedPageBreak/>
        <w:t>创意农业</w:t>
      </w:r>
      <w:bookmarkEnd w:id="101"/>
    </w:p>
    <w:p w14:paraId="04F0AD84" w14:textId="77777777" w:rsidR="00F5289E" w:rsidRDefault="001B3040">
      <w:pPr>
        <w:snapToGrid w:val="0"/>
        <w:spacing w:line="360" w:lineRule="auto"/>
        <w:jc w:val="center"/>
        <w:rPr>
          <w:sz w:val="24"/>
        </w:rPr>
      </w:pPr>
      <w:r>
        <w:rPr>
          <w:rFonts w:hint="eastAsia"/>
          <w:sz w:val="24"/>
        </w:rPr>
        <w:t>（</w:t>
      </w:r>
      <w:r>
        <w:rPr>
          <w:sz w:val="24"/>
        </w:rPr>
        <w:t>Creative Agriculture</w:t>
      </w:r>
      <w:r>
        <w:rPr>
          <w:rFonts w:hint="eastAsia"/>
          <w:sz w:val="24"/>
        </w:rPr>
        <w:t>）</w:t>
      </w:r>
    </w:p>
    <w:p w14:paraId="203D63DE" w14:textId="77777777" w:rsidR="00F5289E" w:rsidRDefault="00F5289E">
      <w:pPr>
        <w:snapToGrid w:val="0"/>
        <w:spacing w:line="360" w:lineRule="auto"/>
        <w:jc w:val="center"/>
        <w:rPr>
          <w:b/>
          <w:szCs w:val="21"/>
        </w:rPr>
      </w:pPr>
    </w:p>
    <w:p w14:paraId="6E2CF6FD" w14:textId="77777777" w:rsidR="00F5289E" w:rsidRDefault="00C91173">
      <w:pPr>
        <w:snapToGrid w:val="0"/>
        <w:spacing w:line="360" w:lineRule="auto"/>
        <w:jc w:val="center"/>
        <w:rPr>
          <w:b/>
          <w:szCs w:val="21"/>
        </w:rPr>
      </w:pPr>
      <w:r>
        <w:rPr>
          <w:b/>
          <w:szCs w:val="21"/>
        </w:rPr>
        <w:t>课程基本信息</w:t>
      </w:r>
    </w:p>
    <w:tbl>
      <w:tblPr>
        <w:tblStyle w:val="af6"/>
        <w:tblW w:w="50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3505"/>
        <w:gridCol w:w="3161"/>
      </w:tblGrid>
      <w:tr w:rsidR="00F5289E" w14:paraId="41782775" w14:textId="77777777">
        <w:trPr>
          <w:trHeight w:val="498"/>
        </w:trPr>
        <w:tc>
          <w:tcPr>
            <w:tcW w:w="1303" w:type="pct"/>
            <w:vAlign w:val="center"/>
          </w:tcPr>
          <w:p w14:paraId="4E0C42B8" w14:textId="77777777" w:rsidR="00F5289E" w:rsidRDefault="00C91173">
            <w:pPr>
              <w:spacing w:line="300" w:lineRule="auto"/>
              <w:rPr>
                <w:b/>
                <w:bCs/>
                <w:szCs w:val="21"/>
              </w:rPr>
            </w:pPr>
            <w:r>
              <w:rPr>
                <w:b/>
                <w:bCs/>
                <w:szCs w:val="21"/>
              </w:rPr>
              <w:t>课程编号：</w:t>
            </w:r>
            <w:r>
              <w:rPr>
                <w:bCs/>
                <w:szCs w:val="21"/>
              </w:rPr>
              <w:t>19011122</w:t>
            </w:r>
          </w:p>
        </w:tc>
        <w:tc>
          <w:tcPr>
            <w:tcW w:w="1944" w:type="pct"/>
            <w:vAlign w:val="center"/>
          </w:tcPr>
          <w:p w14:paraId="47685B98" w14:textId="77777777" w:rsidR="00F5289E" w:rsidRDefault="00C91173">
            <w:pPr>
              <w:spacing w:line="300" w:lineRule="auto"/>
              <w:rPr>
                <w:b/>
                <w:bCs/>
                <w:szCs w:val="21"/>
              </w:rPr>
            </w:pPr>
            <w:r>
              <w:rPr>
                <w:b/>
                <w:bCs/>
                <w:szCs w:val="21"/>
              </w:rPr>
              <w:t>课程总学时：</w:t>
            </w:r>
            <w:r>
              <w:rPr>
                <w:bCs/>
                <w:szCs w:val="21"/>
              </w:rPr>
              <w:t>24</w:t>
            </w:r>
          </w:p>
        </w:tc>
        <w:tc>
          <w:tcPr>
            <w:tcW w:w="1753" w:type="pct"/>
            <w:vAlign w:val="center"/>
          </w:tcPr>
          <w:p w14:paraId="098EAC64" w14:textId="7CEEDFB6" w:rsidR="00F5289E" w:rsidRDefault="00C91173">
            <w:pPr>
              <w:spacing w:line="300" w:lineRule="auto"/>
              <w:rPr>
                <w:b/>
                <w:bCs/>
                <w:szCs w:val="21"/>
              </w:rPr>
            </w:pPr>
            <w:r>
              <w:rPr>
                <w:b/>
                <w:bCs/>
                <w:szCs w:val="21"/>
              </w:rPr>
              <w:t>实验学时：</w:t>
            </w:r>
            <w:r>
              <w:rPr>
                <w:bCs/>
                <w:szCs w:val="21"/>
              </w:rPr>
              <w:t>8</w:t>
            </w:r>
          </w:p>
        </w:tc>
      </w:tr>
      <w:tr w:rsidR="00F5289E" w14:paraId="1D5F287A" w14:textId="77777777">
        <w:trPr>
          <w:trHeight w:val="498"/>
        </w:trPr>
        <w:tc>
          <w:tcPr>
            <w:tcW w:w="1303" w:type="pct"/>
            <w:vAlign w:val="center"/>
          </w:tcPr>
          <w:p w14:paraId="398E9702" w14:textId="77777777" w:rsidR="00F5289E" w:rsidRDefault="00C91173">
            <w:pPr>
              <w:spacing w:line="300" w:lineRule="auto"/>
              <w:rPr>
                <w:b/>
                <w:bCs/>
                <w:szCs w:val="21"/>
              </w:rPr>
            </w:pPr>
            <w:r>
              <w:rPr>
                <w:b/>
                <w:bCs/>
                <w:szCs w:val="21"/>
              </w:rPr>
              <w:t>课程性质：</w:t>
            </w:r>
            <w:r>
              <w:rPr>
                <w:color w:val="353535"/>
                <w:kern w:val="0"/>
                <w:szCs w:val="21"/>
              </w:rPr>
              <w:t>选修</w:t>
            </w:r>
          </w:p>
        </w:tc>
        <w:tc>
          <w:tcPr>
            <w:tcW w:w="1944" w:type="pct"/>
            <w:vAlign w:val="center"/>
          </w:tcPr>
          <w:p w14:paraId="2E4409F5" w14:textId="77777777" w:rsidR="00F5289E" w:rsidRDefault="00C91173">
            <w:pPr>
              <w:spacing w:line="300" w:lineRule="auto"/>
              <w:rPr>
                <w:b/>
                <w:bCs/>
                <w:szCs w:val="21"/>
              </w:rPr>
            </w:pPr>
            <w:r>
              <w:rPr>
                <w:b/>
                <w:szCs w:val="21"/>
              </w:rPr>
              <w:t>课程属性</w:t>
            </w:r>
            <w:r>
              <w:rPr>
                <w:b/>
                <w:szCs w:val="21"/>
              </w:rPr>
              <w:t>:</w:t>
            </w:r>
            <w:r>
              <w:t xml:space="preserve"> </w:t>
            </w:r>
            <w:r>
              <w:rPr>
                <w:szCs w:val="21"/>
              </w:rPr>
              <w:t>创业教育类</w:t>
            </w:r>
          </w:p>
        </w:tc>
        <w:tc>
          <w:tcPr>
            <w:tcW w:w="1753" w:type="pct"/>
            <w:vAlign w:val="center"/>
          </w:tcPr>
          <w:p w14:paraId="033EDADE" w14:textId="77777777" w:rsidR="00F5289E" w:rsidRDefault="00C91173">
            <w:pPr>
              <w:spacing w:line="300" w:lineRule="auto"/>
              <w:rPr>
                <w:b/>
                <w:bCs/>
                <w:szCs w:val="21"/>
              </w:rPr>
            </w:pPr>
            <w:r>
              <w:rPr>
                <w:b/>
                <w:bCs/>
                <w:szCs w:val="21"/>
              </w:rPr>
              <w:t>开设学期：</w:t>
            </w:r>
            <w:r>
              <w:rPr>
                <w:bCs/>
                <w:szCs w:val="21"/>
              </w:rPr>
              <w:t>第</w:t>
            </w:r>
            <w:r>
              <w:rPr>
                <w:bCs/>
                <w:szCs w:val="21"/>
              </w:rPr>
              <w:t>7</w:t>
            </w:r>
            <w:r>
              <w:rPr>
                <w:bCs/>
                <w:szCs w:val="21"/>
              </w:rPr>
              <w:t>学期</w:t>
            </w:r>
          </w:p>
        </w:tc>
      </w:tr>
      <w:tr w:rsidR="00F5289E" w14:paraId="65970D23" w14:textId="77777777">
        <w:trPr>
          <w:trHeight w:val="498"/>
        </w:trPr>
        <w:tc>
          <w:tcPr>
            <w:tcW w:w="1303" w:type="pct"/>
            <w:vAlign w:val="center"/>
          </w:tcPr>
          <w:p w14:paraId="66A0A224" w14:textId="77777777" w:rsidR="00F5289E" w:rsidRDefault="00C91173">
            <w:pPr>
              <w:spacing w:line="300" w:lineRule="auto"/>
              <w:rPr>
                <w:b/>
                <w:bCs/>
                <w:szCs w:val="21"/>
              </w:rPr>
            </w:pPr>
            <w:r>
              <w:rPr>
                <w:b/>
                <w:bCs/>
                <w:szCs w:val="21"/>
              </w:rPr>
              <w:t>课程负责人：</w:t>
            </w:r>
            <w:r>
              <w:rPr>
                <w:bCs/>
                <w:szCs w:val="21"/>
              </w:rPr>
              <w:t>王吉庆</w:t>
            </w:r>
          </w:p>
        </w:tc>
        <w:tc>
          <w:tcPr>
            <w:tcW w:w="1944" w:type="pct"/>
            <w:vAlign w:val="center"/>
          </w:tcPr>
          <w:p w14:paraId="3B793D68" w14:textId="77777777" w:rsidR="00F5289E" w:rsidRDefault="00C91173">
            <w:pPr>
              <w:spacing w:line="300" w:lineRule="auto"/>
              <w:rPr>
                <w:b/>
                <w:bCs/>
                <w:szCs w:val="21"/>
              </w:rPr>
            </w:pPr>
            <w:r>
              <w:rPr>
                <w:b/>
                <w:bCs/>
                <w:szCs w:val="21"/>
              </w:rPr>
              <w:t>课程团队：</w:t>
            </w:r>
            <w:r>
              <w:rPr>
                <w:color w:val="353535"/>
                <w:kern w:val="0"/>
                <w:szCs w:val="21"/>
              </w:rPr>
              <w:t>杜清洁、李娟起、肖怀娟</w:t>
            </w:r>
          </w:p>
        </w:tc>
        <w:tc>
          <w:tcPr>
            <w:tcW w:w="1753" w:type="pct"/>
            <w:vAlign w:val="center"/>
          </w:tcPr>
          <w:p w14:paraId="3535A210" w14:textId="77777777" w:rsidR="00F5289E" w:rsidRDefault="00C91173">
            <w:pPr>
              <w:spacing w:line="300" w:lineRule="auto"/>
              <w:rPr>
                <w:b/>
                <w:bCs/>
                <w:szCs w:val="21"/>
              </w:rPr>
            </w:pPr>
            <w:r>
              <w:rPr>
                <w:b/>
                <w:bCs/>
                <w:szCs w:val="21"/>
              </w:rPr>
              <w:t>授课语言：</w:t>
            </w:r>
            <w:r>
              <w:rPr>
                <w:bCs/>
                <w:szCs w:val="21"/>
              </w:rPr>
              <w:t>中文</w:t>
            </w:r>
          </w:p>
        </w:tc>
      </w:tr>
      <w:tr w:rsidR="00F5289E" w14:paraId="1E11E842" w14:textId="77777777">
        <w:trPr>
          <w:trHeight w:val="498"/>
        </w:trPr>
        <w:tc>
          <w:tcPr>
            <w:tcW w:w="5000" w:type="pct"/>
            <w:gridSpan w:val="3"/>
            <w:vAlign w:val="center"/>
          </w:tcPr>
          <w:p w14:paraId="6EDFE2EF" w14:textId="77777777" w:rsidR="00F5289E" w:rsidRDefault="00C91173">
            <w:pPr>
              <w:spacing w:line="300" w:lineRule="auto"/>
              <w:ind w:rightChars="-81" w:right="-170"/>
              <w:rPr>
                <w:bCs/>
                <w:color w:val="0000FF"/>
                <w:szCs w:val="21"/>
              </w:rPr>
            </w:pPr>
            <w:r>
              <w:rPr>
                <w:b/>
                <w:bCs/>
                <w:szCs w:val="21"/>
              </w:rPr>
              <w:t>适用专业：</w:t>
            </w:r>
            <w:r>
              <w:rPr>
                <w:color w:val="353535"/>
                <w:kern w:val="0"/>
                <w:szCs w:val="21"/>
              </w:rPr>
              <w:t>设施农业科学与工程、园艺、茶学</w:t>
            </w:r>
          </w:p>
        </w:tc>
      </w:tr>
      <w:tr w:rsidR="00F5289E" w14:paraId="397BB228" w14:textId="77777777">
        <w:trPr>
          <w:trHeight w:val="997"/>
        </w:trPr>
        <w:tc>
          <w:tcPr>
            <w:tcW w:w="5000" w:type="pct"/>
            <w:gridSpan w:val="3"/>
            <w:vAlign w:val="center"/>
          </w:tcPr>
          <w:p w14:paraId="3007E227" w14:textId="77777777" w:rsidR="00F5289E" w:rsidRDefault="00C91173">
            <w:pPr>
              <w:spacing w:line="300" w:lineRule="auto"/>
              <w:rPr>
                <w:b/>
                <w:bCs/>
                <w:szCs w:val="21"/>
              </w:rPr>
            </w:pPr>
            <w:r>
              <w:rPr>
                <w:b/>
                <w:bCs/>
                <w:szCs w:val="21"/>
              </w:rPr>
              <w:t>对先修的要求：</w:t>
            </w:r>
            <w:r>
              <w:rPr>
                <w:color w:val="353535"/>
                <w:kern w:val="0"/>
                <w:szCs w:val="21"/>
              </w:rPr>
              <w:t>先修园艺植物栽培学、农产品贮藏加工学、农产品市场营销学，具备园林景观设计知识</w:t>
            </w:r>
          </w:p>
        </w:tc>
      </w:tr>
      <w:tr w:rsidR="00F5289E" w14:paraId="003E802B" w14:textId="77777777">
        <w:trPr>
          <w:trHeight w:val="498"/>
        </w:trPr>
        <w:tc>
          <w:tcPr>
            <w:tcW w:w="5000" w:type="pct"/>
            <w:gridSpan w:val="3"/>
            <w:vAlign w:val="center"/>
          </w:tcPr>
          <w:p w14:paraId="596E8704" w14:textId="77777777" w:rsidR="00F5289E" w:rsidRDefault="00C91173">
            <w:pPr>
              <w:spacing w:line="300" w:lineRule="auto"/>
              <w:rPr>
                <w:b/>
                <w:bCs/>
                <w:szCs w:val="21"/>
              </w:rPr>
            </w:pPr>
            <w:r>
              <w:rPr>
                <w:b/>
                <w:bCs/>
                <w:szCs w:val="21"/>
              </w:rPr>
              <w:t>对后续的支撑：</w:t>
            </w:r>
            <w:r>
              <w:rPr>
                <w:color w:val="353535"/>
                <w:kern w:val="0"/>
                <w:szCs w:val="21"/>
              </w:rPr>
              <w:t>无后续课程</w:t>
            </w:r>
          </w:p>
        </w:tc>
      </w:tr>
      <w:tr w:rsidR="00F5289E" w14:paraId="16E68653" w14:textId="77777777">
        <w:trPr>
          <w:trHeight w:val="498"/>
        </w:trPr>
        <w:tc>
          <w:tcPr>
            <w:tcW w:w="1303" w:type="pct"/>
            <w:vAlign w:val="center"/>
          </w:tcPr>
          <w:p w14:paraId="78C7B1AF" w14:textId="77777777" w:rsidR="00F5289E" w:rsidRDefault="00C91173">
            <w:pPr>
              <w:spacing w:line="300" w:lineRule="auto"/>
              <w:rPr>
                <w:b/>
                <w:bCs/>
                <w:szCs w:val="21"/>
              </w:rPr>
            </w:pPr>
            <w:r>
              <w:rPr>
                <w:b/>
                <w:bCs/>
                <w:szCs w:val="21"/>
              </w:rPr>
              <w:t>主撰人：</w:t>
            </w:r>
            <w:r w:rsidRPr="001B3040">
              <w:rPr>
                <w:rFonts w:hint="eastAsia"/>
                <w:szCs w:val="21"/>
              </w:rPr>
              <w:t>王吉庆</w:t>
            </w:r>
          </w:p>
        </w:tc>
        <w:tc>
          <w:tcPr>
            <w:tcW w:w="1944" w:type="pct"/>
            <w:vAlign w:val="center"/>
          </w:tcPr>
          <w:p w14:paraId="1FF86C08" w14:textId="77777777" w:rsidR="00F5289E" w:rsidRDefault="00C91173">
            <w:pPr>
              <w:spacing w:line="300" w:lineRule="auto"/>
              <w:rPr>
                <w:b/>
                <w:bCs/>
                <w:szCs w:val="21"/>
              </w:rPr>
            </w:pPr>
            <w:r>
              <w:rPr>
                <w:b/>
                <w:bCs/>
                <w:szCs w:val="21"/>
              </w:rPr>
              <w:t>审核人：</w:t>
            </w:r>
            <w:r w:rsidRPr="001B3040">
              <w:rPr>
                <w:rFonts w:hint="eastAsia"/>
                <w:szCs w:val="21"/>
              </w:rPr>
              <w:t>杜清洁</w:t>
            </w:r>
          </w:p>
        </w:tc>
        <w:tc>
          <w:tcPr>
            <w:tcW w:w="1753" w:type="pct"/>
            <w:vAlign w:val="center"/>
          </w:tcPr>
          <w:p w14:paraId="18552E86" w14:textId="77777777" w:rsidR="00F5289E" w:rsidRDefault="00C91173">
            <w:pPr>
              <w:spacing w:line="300" w:lineRule="auto"/>
              <w:rPr>
                <w:b/>
                <w:bCs/>
                <w:szCs w:val="21"/>
              </w:rPr>
            </w:pPr>
            <w:r>
              <w:rPr>
                <w:b/>
                <w:bCs/>
                <w:szCs w:val="21"/>
              </w:rPr>
              <w:t>大纲制定（修订）日期：</w:t>
            </w:r>
            <w:r w:rsidRPr="001B3040">
              <w:rPr>
                <w:szCs w:val="21"/>
              </w:rPr>
              <w:t>2023.05</w:t>
            </w:r>
          </w:p>
        </w:tc>
      </w:tr>
    </w:tbl>
    <w:p w14:paraId="24BBE81C" w14:textId="77777777" w:rsidR="00F5289E" w:rsidRDefault="00F5289E">
      <w:pPr>
        <w:widowControl/>
        <w:snapToGrid w:val="0"/>
        <w:spacing w:line="360" w:lineRule="auto"/>
        <w:jc w:val="left"/>
        <w:rPr>
          <w:b/>
          <w:bCs/>
          <w:kern w:val="0"/>
          <w:szCs w:val="21"/>
        </w:rPr>
      </w:pPr>
    </w:p>
    <w:p w14:paraId="57C4385C"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1DB3187C" w14:textId="77777777" w:rsidR="00F5289E" w:rsidRDefault="00C91173">
      <w:pPr>
        <w:snapToGrid w:val="0"/>
        <w:spacing w:line="360" w:lineRule="auto"/>
        <w:ind w:firstLineChars="200" w:firstLine="420"/>
        <w:rPr>
          <w:color w:val="353535"/>
          <w:kern w:val="0"/>
          <w:szCs w:val="21"/>
        </w:rPr>
      </w:pPr>
      <w:r>
        <w:rPr>
          <w:color w:val="353535"/>
          <w:kern w:val="0"/>
          <w:szCs w:val="21"/>
        </w:rPr>
        <w:t>《创意农业》以附加价值理论、美学经济理论、价值链理论为指导，以园艺植物栽培学、农产品贮藏加工学、农产品市场营销学、园林景观设计等知识为基础，通过讲授创意农业设计的基本理论、基本方法，分析创意农业的典型案例，使学生了解创意农业、初步具备对农业产业链各环节进行创意加工，将农产品与文化、艺术等创意结合的知识和能力，具备通过创意农业进一步提升农业产值和效益的方法和技能。同时，注重理论与生产实践紧密联系，培养学生综合性思维和创新性思维。</w:t>
      </w:r>
    </w:p>
    <w:p w14:paraId="7ABF1892" w14:textId="77777777" w:rsidR="00F5289E" w:rsidRDefault="00C91173">
      <w:pPr>
        <w:widowControl/>
        <w:snapToGrid w:val="0"/>
        <w:spacing w:line="360" w:lineRule="auto"/>
        <w:jc w:val="left"/>
        <w:rPr>
          <w:b/>
          <w:bCs/>
          <w:kern w:val="0"/>
          <w:szCs w:val="21"/>
        </w:rPr>
      </w:pPr>
      <w:r>
        <w:rPr>
          <w:b/>
          <w:bCs/>
          <w:kern w:val="0"/>
          <w:szCs w:val="21"/>
        </w:rPr>
        <w:t>二、课程教学的基本要求</w:t>
      </w:r>
    </w:p>
    <w:p w14:paraId="101E9CD7" w14:textId="77777777" w:rsidR="00F5289E" w:rsidRDefault="00C91173">
      <w:pPr>
        <w:snapToGrid w:val="0"/>
        <w:spacing w:line="360" w:lineRule="auto"/>
        <w:ind w:firstLineChars="200" w:firstLine="420"/>
        <w:rPr>
          <w:kern w:val="0"/>
          <w:szCs w:val="21"/>
        </w:rPr>
      </w:pPr>
      <w:r>
        <w:rPr>
          <w:kern w:val="0"/>
          <w:szCs w:val="21"/>
        </w:rPr>
        <w:t xml:space="preserve">1. </w:t>
      </w:r>
      <w:r>
        <w:rPr>
          <w:kern w:val="0"/>
          <w:szCs w:val="21"/>
        </w:rPr>
        <w:t>理论知识方面：</w:t>
      </w:r>
      <w:r>
        <w:rPr>
          <w:color w:val="353535"/>
          <w:kern w:val="0"/>
          <w:szCs w:val="21"/>
        </w:rPr>
        <w:t>了解创意农业的附加价值理论、美学经济理论、价值链理论等基本理论，理解相关理论对创意农业的指导意义；了解农业产业链各环节在创意农业中增加附加值的地位，了解创意农业的基本类型和主类型，掌握创意农业进行产品深度开发必需的生物学理论。</w:t>
      </w:r>
    </w:p>
    <w:p w14:paraId="0173AB11" w14:textId="77777777" w:rsidR="00F5289E" w:rsidRDefault="00C91173">
      <w:pPr>
        <w:snapToGrid w:val="0"/>
        <w:spacing w:line="360" w:lineRule="auto"/>
        <w:ind w:firstLineChars="200" w:firstLine="420"/>
        <w:rPr>
          <w:bCs/>
          <w:color w:val="0000FF"/>
          <w:kern w:val="0"/>
          <w:szCs w:val="21"/>
        </w:rPr>
      </w:pPr>
      <w:r>
        <w:rPr>
          <w:kern w:val="0"/>
          <w:szCs w:val="21"/>
        </w:rPr>
        <w:t xml:space="preserve">2. </w:t>
      </w:r>
      <w:r>
        <w:rPr>
          <w:kern w:val="0"/>
          <w:szCs w:val="21"/>
        </w:rPr>
        <w:t>实验技能方面：</w:t>
      </w:r>
      <w:r>
        <w:rPr>
          <w:color w:val="353535"/>
          <w:kern w:val="0"/>
          <w:szCs w:val="21"/>
        </w:rPr>
        <w:t>了解创意农业设计方法和途径，能够进行创意农业单一模式、复合模式和全产业链模式的简单设计。</w:t>
      </w:r>
    </w:p>
    <w:p w14:paraId="4D765F2D" w14:textId="77777777" w:rsidR="00F5289E" w:rsidRDefault="00C91173">
      <w:pPr>
        <w:widowControl/>
        <w:snapToGrid w:val="0"/>
        <w:spacing w:line="360" w:lineRule="auto"/>
        <w:jc w:val="left"/>
        <w:rPr>
          <w:b/>
          <w:bCs/>
          <w:kern w:val="0"/>
          <w:szCs w:val="21"/>
        </w:rPr>
      </w:pPr>
      <w:r>
        <w:rPr>
          <w:b/>
          <w:bCs/>
          <w:kern w:val="0"/>
          <w:szCs w:val="21"/>
        </w:rPr>
        <w:t>三、课程的教学设计</w:t>
      </w:r>
    </w:p>
    <w:p w14:paraId="512E1D6F" w14:textId="77777777" w:rsidR="00F5289E" w:rsidRDefault="00C91173">
      <w:pPr>
        <w:snapToGrid w:val="0"/>
        <w:spacing w:line="360" w:lineRule="auto"/>
        <w:ind w:firstLineChars="200" w:firstLine="420"/>
        <w:rPr>
          <w:bCs/>
          <w:kern w:val="0"/>
          <w:szCs w:val="21"/>
        </w:rPr>
      </w:pPr>
      <w:r>
        <w:rPr>
          <w:bCs/>
          <w:kern w:val="0"/>
          <w:szCs w:val="21"/>
        </w:rPr>
        <w:t xml:space="preserve">1. </w:t>
      </w:r>
      <w:r>
        <w:rPr>
          <w:bCs/>
          <w:kern w:val="0"/>
          <w:szCs w:val="21"/>
        </w:rPr>
        <w:t>教学设计说明</w:t>
      </w:r>
    </w:p>
    <w:p w14:paraId="712C19B1" w14:textId="77777777" w:rsidR="00F5289E" w:rsidRDefault="00C91173">
      <w:pPr>
        <w:snapToGrid w:val="0"/>
        <w:spacing w:line="360" w:lineRule="auto"/>
        <w:ind w:firstLineChars="200" w:firstLine="420"/>
        <w:rPr>
          <w:color w:val="353535"/>
          <w:kern w:val="0"/>
          <w:szCs w:val="21"/>
        </w:rPr>
      </w:pPr>
      <w:r>
        <w:rPr>
          <w:color w:val="353535"/>
          <w:kern w:val="0"/>
          <w:szCs w:val="21"/>
        </w:rPr>
        <w:t>本课程采用启发式教学、翻转课堂、自主探究等教学方法。理论教学采用</w:t>
      </w:r>
      <w:r>
        <w:rPr>
          <w:color w:val="353535"/>
          <w:kern w:val="0"/>
          <w:szCs w:val="21"/>
        </w:rPr>
        <w:t>“</w:t>
      </w:r>
      <w:r>
        <w:rPr>
          <w:color w:val="353535"/>
          <w:kern w:val="0"/>
          <w:szCs w:val="21"/>
        </w:rPr>
        <w:t>学生自学</w:t>
      </w:r>
      <w:r>
        <w:rPr>
          <w:color w:val="353535"/>
          <w:kern w:val="0"/>
          <w:szCs w:val="21"/>
        </w:rPr>
        <w:t>”</w:t>
      </w:r>
      <w:r>
        <w:rPr>
          <w:color w:val="353535"/>
          <w:kern w:val="0"/>
          <w:szCs w:val="21"/>
        </w:rPr>
        <w:t>、</w:t>
      </w:r>
      <w:r>
        <w:rPr>
          <w:color w:val="353535"/>
          <w:kern w:val="0"/>
          <w:szCs w:val="21"/>
        </w:rPr>
        <w:t>“</w:t>
      </w:r>
      <w:r>
        <w:rPr>
          <w:color w:val="353535"/>
          <w:kern w:val="0"/>
          <w:szCs w:val="21"/>
        </w:rPr>
        <w:t>教师课堂讲授</w:t>
      </w:r>
      <w:r>
        <w:rPr>
          <w:color w:val="353535"/>
          <w:kern w:val="0"/>
          <w:szCs w:val="21"/>
        </w:rPr>
        <w:t>”</w:t>
      </w:r>
      <w:r>
        <w:rPr>
          <w:color w:val="353535"/>
          <w:kern w:val="0"/>
          <w:szCs w:val="21"/>
        </w:rPr>
        <w:t>、</w:t>
      </w:r>
      <w:r>
        <w:rPr>
          <w:color w:val="353535"/>
          <w:kern w:val="0"/>
          <w:szCs w:val="21"/>
        </w:rPr>
        <w:t>“</w:t>
      </w:r>
      <w:r>
        <w:rPr>
          <w:color w:val="353535"/>
          <w:kern w:val="0"/>
          <w:szCs w:val="21"/>
        </w:rPr>
        <w:t>课堂讨论</w:t>
      </w:r>
      <w:r>
        <w:rPr>
          <w:color w:val="353535"/>
          <w:kern w:val="0"/>
          <w:szCs w:val="21"/>
        </w:rPr>
        <w:t>”</w:t>
      </w:r>
      <w:r>
        <w:rPr>
          <w:color w:val="353535"/>
          <w:kern w:val="0"/>
          <w:szCs w:val="21"/>
        </w:rPr>
        <w:t>等途径进行；实践教学采用学生设计、讲解创意农业报告、设计创意农业产品的方式完成。</w:t>
      </w:r>
    </w:p>
    <w:p w14:paraId="43E28A7F" w14:textId="77777777" w:rsidR="00F5289E" w:rsidRDefault="00C91173">
      <w:pPr>
        <w:snapToGrid w:val="0"/>
        <w:spacing w:line="360" w:lineRule="auto"/>
        <w:ind w:firstLineChars="200" w:firstLine="420"/>
        <w:rPr>
          <w:bCs/>
          <w:color w:val="0000FF"/>
          <w:kern w:val="0"/>
          <w:szCs w:val="21"/>
        </w:rPr>
      </w:pPr>
      <w:r>
        <w:rPr>
          <w:bCs/>
          <w:kern w:val="0"/>
          <w:szCs w:val="21"/>
        </w:rPr>
        <w:lastRenderedPageBreak/>
        <w:t xml:space="preserve">2. </w:t>
      </w:r>
      <w:r>
        <w:rPr>
          <w:bCs/>
          <w:kern w:val="0"/>
          <w:szCs w:val="21"/>
        </w:rPr>
        <w:t>课程目标及对毕业要求的支撑</w:t>
      </w:r>
    </w:p>
    <w:tbl>
      <w:tblPr>
        <w:tblStyle w:val="af6"/>
        <w:tblW w:w="8954" w:type="dxa"/>
        <w:jc w:val="center"/>
        <w:tblLook w:val="04A0" w:firstRow="1" w:lastRow="0" w:firstColumn="1" w:lastColumn="0" w:noHBand="0" w:noVBand="1"/>
      </w:tblPr>
      <w:tblGrid>
        <w:gridCol w:w="1005"/>
        <w:gridCol w:w="6891"/>
        <w:gridCol w:w="1058"/>
      </w:tblGrid>
      <w:tr w:rsidR="00F5289E" w14:paraId="20E73141" w14:textId="77777777">
        <w:trPr>
          <w:trHeight w:val="323"/>
          <w:jc w:val="center"/>
        </w:trPr>
        <w:tc>
          <w:tcPr>
            <w:tcW w:w="10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4E7F2E4" w14:textId="77777777" w:rsidR="00F5289E" w:rsidRDefault="00C91173">
            <w:pPr>
              <w:snapToGrid w:val="0"/>
              <w:spacing w:line="300" w:lineRule="auto"/>
              <w:jc w:val="center"/>
              <w:rPr>
                <w:b/>
                <w:bCs/>
                <w:sz w:val="18"/>
                <w:szCs w:val="18"/>
              </w:rPr>
            </w:pPr>
            <w:r>
              <w:rPr>
                <w:b/>
                <w:bCs/>
                <w:sz w:val="18"/>
                <w:szCs w:val="18"/>
              </w:rPr>
              <w:t>序号</w:t>
            </w:r>
          </w:p>
        </w:tc>
        <w:tc>
          <w:tcPr>
            <w:tcW w:w="689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15DFCFB" w14:textId="77777777" w:rsidR="00F5289E" w:rsidRDefault="00C91173">
            <w:pPr>
              <w:snapToGrid w:val="0"/>
              <w:spacing w:line="300" w:lineRule="auto"/>
              <w:jc w:val="center"/>
              <w:rPr>
                <w:b/>
                <w:bCs/>
                <w:sz w:val="18"/>
                <w:szCs w:val="18"/>
              </w:rPr>
            </w:pPr>
            <w:r>
              <w:rPr>
                <w:b/>
                <w:bCs/>
                <w:sz w:val="18"/>
                <w:szCs w:val="18"/>
              </w:rPr>
              <w:t>课程目标</w:t>
            </w:r>
          </w:p>
        </w:tc>
        <w:tc>
          <w:tcPr>
            <w:tcW w:w="10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DBEEF17" w14:textId="77777777" w:rsidR="00F5289E" w:rsidRDefault="00C91173">
            <w:pPr>
              <w:snapToGrid w:val="0"/>
              <w:spacing w:line="300" w:lineRule="auto"/>
              <w:jc w:val="center"/>
              <w:rPr>
                <w:b/>
                <w:bCs/>
                <w:sz w:val="18"/>
                <w:szCs w:val="18"/>
              </w:rPr>
            </w:pPr>
            <w:r>
              <w:rPr>
                <w:b/>
                <w:bCs/>
                <w:sz w:val="18"/>
                <w:szCs w:val="18"/>
              </w:rPr>
              <w:t>毕业要求</w:t>
            </w:r>
          </w:p>
        </w:tc>
      </w:tr>
      <w:tr w:rsidR="00F5289E" w14:paraId="1C7D8AC0" w14:textId="77777777">
        <w:trPr>
          <w:trHeight w:val="775"/>
          <w:jc w:val="center"/>
        </w:trPr>
        <w:tc>
          <w:tcPr>
            <w:tcW w:w="1005" w:type="dxa"/>
            <w:tcBorders>
              <w:top w:val="single" w:sz="4" w:space="0" w:color="auto"/>
              <w:left w:val="single" w:sz="4" w:space="0" w:color="auto"/>
              <w:bottom w:val="single" w:sz="4" w:space="0" w:color="auto"/>
              <w:right w:val="single" w:sz="4" w:space="0" w:color="auto"/>
            </w:tcBorders>
            <w:vAlign w:val="center"/>
          </w:tcPr>
          <w:p w14:paraId="605953AB" w14:textId="77777777" w:rsidR="00F5289E" w:rsidRDefault="00C91173">
            <w:pPr>
              <w:snapToGrid w:val="0"/>
              <w:spacing w:line="300" w:lineRule="auto"/>
              <w:jc w:val="center"/>
              <w:rPr>
                <w:rFonts w:eastAsiaTheme="minorEastAsia"/>
                <w:sz w:val="18"/>
                <w:szCs w:val="18"/>
              </w:rPr>
            </w:pPr>
            <w:r>
              <w:rPr>
                <w:rFonts w:eastAsiaTheme="minorEastAsia"/>
                <w:sz w:val="18"/>
                <w:szCs w:val="18"/>
              </w:rPr>
              <w:t>1</w:t>
            </w:r>
          </w:p>
        </w:tc>
        <w:tc>
          <w:tcPr>
            <w:tcW w:w="6891" w:type="dxa"/>
            <w:tcBorders>
              <w:top w:val="single" w:sz="4" w:space="0" w:color="auto"/>
              <w:left w:val="single" w:sz="4" w:space="0" w:color="auto"/>
              <w:bottom w:val="single" w:sz="4" w:space="0" w:color="auto"/>
              <w:right w:val="single" w:sz="4" w:space="0" w:color="auto"/>
            </w:tcBorders>
            <w:vAlign w:val="center"/>
          </w:tcPr>
          <w:p w14:paraId="5DEBA4C8" w14:textId="77777777" w:rsidR="00F5289E" w:rsidRDefault="00C91173">
            <w:pPr>
              <w:snapToGrid w:val="0"/>
              <w:spacing w:line="300" w:lineRule="auto"/>
              <w:jc w:val="left"/>
              <w:rPr>
                <w:rFonts w:eastAsiaTheme="minorEastAsia"/>
                <w:sz w:val="18"/>
                <w:szCs w:val="18"/>
              </w:rPr>
            </w:pPr>
            <w:r>
              <w:rPr>
                <w:rFonts w:eastAsiaTheme="minorEastAsia"/>
                <w:sz w:val="18"/>
                <w:szCs w:val="18"/>
              </w:rPr>
              <w:t>掌握创意农业相关基本知识理论和模式等。</w:t>
            </w:r>
          </w:p>
        </w:tc>
        <w:tc>
          <w:tcPr>
            <w:tcW w:w="1058" w:type="dxa"/>
            <w:tcBorders>
              <w:top w:val="single" w:sz="4" w:space="0" w:color="auto"/>
              <w:left w:val="single" w:sz="4" w:space="0" w:color="auto"/>
              <w:bottom w:val="single" w:sz="4" w:space="0" w:color="auto"/>
              <w:right w:val="single" w:sz="4" w:space="0" w:color="auto"/>
            </w:tcBorders>
            <w:vAlign w:val="center"/>
          </w:tcPr>
          <w:p w14:paraId="341D6872" w14:textId="77777777" w:rsidR="00F5289E" w:rsidRDefault="00C91173">
            <w:pPr>
              <w:snapToGrid w:val="0"/>
              <w:spacing w:line="300" w:lineRule="auto"/>
              <w:jc w:val="center"/>
              <w:rPr>
                <w:rFonts w:eastAsiaTheme="minorEastAsia"/>
                <w:sz w:val="18"/>
                <w:szCs w:val="18"/>
              </w:rPr>
            </w:pPr>
            <w:r>
              <w:rPr>
                <w:rFonts w:eastAsiaTheme="minorEastAsia"/>
                <w:sz w:val="18"/>
                <w:szCs w:val="18"/>
              </w:rPr>
              <w:t>3</w:t>
            </w:r>
          </w:p>
          <w:p w14:paraId="673CA472" w14:textId="77777777" w:rsidR="00F5289E" w:rsidRDefault="00C91173">
            <w:pPr>
              <w:snapToGrid w:val="0"/>
              <w:spacing w:line="300" w:lineRule="auto"/>
              <w:jc w:val="center"/>
              <w:rPr>
                <w:rFonts w:eastAsiaTheme="minorEastAsia"/>
                <w:sz w:val="18"/>
                <w:szCs w:val="18"/>
              </w:rPr>
            </w:pPr>
            <w:r>
              <w:rPr>
                <w:rFonts w:eastAsiaTheme="minorEastAsia"/>
                <w:sz w:val="18"/>
                <w:szCs w:val="18"/>
              </w:rPr>
              <w:t>5</w:t>
            </w:r>
          </w:p>
        </w:tc>
      </w:tr>
      <w:tr w:rsidR="00F5289E" w14:paraId="691256E6" w14:textId="77777777">
        <w:trPr>
          <w:trHeight w:val="775"/>
          <w:jc w:val="center"/>
        </w:trPr>
        <w:tc>
          <w:tcPr>
            <w:tcW w:w="1005" w:type="dxa"/>
            <w:tcBorders>
              <w:top w:val="single" w:sz="4" w:space="0" w:color="auto"/>
              <w:left w:val="single" w:sz="4" w:space="0" w:color="auto"/>
              <w:bottom w:val="single" w:sz="4" w:space="0" w:color="auto"/>
              <w:right w:val="single" w:sz="4" w:space="0" w:color="auto"/>
            </w:tcBorders>
            <w:vAlign w:val="center"/>
          </w:tcPr>
          <w:p w14:paraId="1740995B" w14:textId="77777777" w:rsidR="00F5289E" w:rsidRDefault="00C91173">
            <w:pPr>
              <w:snapToGrid w:val="0"/>
              <w:spacing w:line="300" w:lineRule="auto"/>
              <w:jc w:val="center"/>
              <w:rPr>
                <w:rFonts w:eastAsiaTheme="minorEastAsia"/>
                <w:sz w:val="18"/>
                <w:szCs w:val="18"/>
              </w:rPr>
            </w:pPr>
            <w:r>
              <w:rPr>
                <w:rFonts w:eastAsiaTheme="minorEastAsia"/>
                <w:sz w:val="18"/>
                <w:szCs w:val="18"/>
              </w:rPr>
              <w:t>2</w:t>
            </w:r>
          </w:p>
        </w:tc>
        <w:tc>
          <w:tcPr>
            <w:tcW w:w="6891" w:type="dxa"/>
            <w:tcBorders>
              <w:top w:val="single" w:sz="4" w:space="0" w:color="auto"/>
              <w:left w:val="single" w:sz="4" w:space="0" w:color="auto"/>
              <w:bottom w:val="single" w:sz="4" w:space="0" w:color="auto"/>
              <w:right w:val="single" w:sz="4" w:space="0" w:color="auto"/>
            </w:tcBorders>
            <w:vAlign w:val="center"/>
          </w:tcPr>
          <w:p w14:paraId="2447F4FA" w14:textId="77777777" w:rsidR="00F5289E" w:rsidRDefault="00C91173">
            <w:pPr>
              <w:snapToGrid w:val="0"/>
              <w:spacing w:line="300" w:lineRule="auto"/>
              <w:jc w:val="left"/>
              <w:rPr>
                <w:rFonts w:eastAsiaTheme="minorEastAsia"/>
                <w:sz w:val="18"/>
                <w:szCs w:val="18"/>
                <w:highlight w:val="yellow"/>
              </w:rPr>
            </w:pPr>
            <w:r>
              <w:rPr>
                <w:rFonts w:eastAsiaTheme="minorEastAsia"/>
                <w:sz w:val="18"/>
                <w:szCs w:val="18"/>
              </w:rPr>
              <w:t>培养学生的创新性思维，使学生具备创意农业相关产品开发的能力。</w:t>
            </w:r>
          </w:p>
        </w:tc>
        <w:tc>
          <w:tcPr>
            <w:tcW w:w="1058" w:type="dxa"/>
            <w:tcBorders>
              <w:top w:val="single" w:sz="4" w:space="0" w:color="auto"/>
              <w:left w:val="single" w:sz="4" w:space="0" w:color="auto"/>
              <w:bottom w:val="single" w:sz="4" w:space="0" w:color="auto"/>
              <w:right w:val="single" w:sz="4" w:space="0" w:color="auto"/>
            </w:tcBorders>
            <w:vAlign w:val="center"/>
          </w:tcPr>
          <w:p w14:paraId="778DE825" w14:textId="77777777" w:rsidR="00F5289E" w:rsidRDefault="00C91173">
            <w:pPr>
              <w:snapToGrid w:val="0"/>
              <w:spacing w:line="300" w:lineRule="auto"/>
              <w:jc w:val="center"/>
              <w:rPr>
                <w:rFonts w:eastAsiaTheme="minorEastAsia"/>
                <w:sz w:val="18"/>
                <w:szCs w:val="18"/>
              </w:rPr>
            </w:pPr>
            <w:r>
              <w:rPr>
                <w:rFonts w:eastAsiaTheme="minorEastAsia"/>
                <w:sz w:val="18"/>
                <w:szCs w:val="18"/>
              </w:rPr>
              <w:t>5</w:t>
            </w:r>
          </w:p>
          <w:p w14:paraId="1A0FBEAB" w14:textId="77777777" w:rsidR="00F5289E" w:rsidRDefault="00C91173">
            <w:pPr>
              <w:snapToGrid w:val="0"/>
              <w:spacing w:line="300" w:lineRule="auto"/>
              <w:jc w:val="center"/>
              <w:rPr>
                <w:rFonts w:eastAsiaTheme="minorEastAsia"/>
                <w:sz w:val="18"/>
                <w:szCs w:val="18"/>
              </w:rPr>
            </w:pPr>
            <w:r>
              <w:rPr>
                <w:rFonts w:eastAsiaTheme="minorEastAsia"/>
                <w:sz w:val="18"/>
                <w:szCs w:val="18"/>
              </w:rPr>
              <w:t>6</w:t>
            </w:r>
          </w:p>
        </w:tc>
      </w:tr>
      <w:tr w:rsidR="00F5289E" w14:paraId="1C0844E9" w14:textId="77777777">
        <w:trPr>
          <w:trHeight w:val="775"/>
          <w:jc w:val="center"/>
        </w:trPr>
        <w:tc>
          <w:tcPr>
            <w:tcW w:w="1005" w:type="dxa"/>
            <w:tcBorders>
              <w:top w:val="single" w:sz="4" w:space="0" w:color="auto"/>
              <w:left w:val="single" w:sz="4" w:space="0" w:color="auto"/>
              <w:bottom w:val="single" w:sz="4" w:space="0" w:color="auto"/>
              <w:right w:val="single" w:sz="4" w:space="0" w:color="auto"/>
            </w:tcBorders>
            <w:vAlign w:val="center"/>
          </w:tcPr>
          <w:p w14:paraId="7F9C98E8" w14:textId="77777777" w:rsidR="00F5289E" w:rsidRDefault="00C91173">
            <w:pPr>
              <w:snapToGrid w:val="0"/>
              <w:spacing w:line="300" w:lineRule="auto"/>
              <w:jc w:val="center"/>
              <w:rPr>
                <w:rFonts w:eastAsiaTheme="minorEastAsia"/>
                <w:sz w:val="18"/>
                <w:szCs w:val="18"/>
              </w:rPr>
            </w:pPr>
            <w:r>
              <w:rPr>
                <w:rFonts w:eastAsiaTheme="minorEastAsia"/>
                <w:sz w:val="18"/>
                <w:szCs w:val="18"/>
              </w:rPr>
              <w:t>3</w:t>
            </w:r>
          </w:p>
        </w:tc>
        <w:tc>
          <w:tcPr>
            <w:tcW w:w="6891" w:type="dxa"/>
            <w:tcBorders>
              <w:top w:val="single" w:sz="4" w:space="0" w:color="auto"/>
              <w:left w:val="single" w:sz="4" w:space="0" w:color="auto"/>
              <w:bottom w:val="single" w:sz="4" w:space="0" w:color="auto"/>
              <w:right w:val="single" w:sz="4" w:space="0" w:color="auto"/>
            </w:tcBorders>
            <w:vAlign w:val="center"/>
          </w:tcPr>
          <w:p w14:paraId="35A2F6F1" w14:textId="77777777" w:rsidR="00F5289E" w:rsidRDefault="00C91173">
            <w:pPr>
              <w:snapToGrid w:val="0"/>
              <w:spacing w:line="300" w:lineRule="auto"/>
              <w:jc w:val="left"/>
              <w:rPr>
                <w:rFonts w:eastAsiaTheme="minorEastAsia"/>
                <w:sz w:val="18"/>
                <w:szCs w:val="18"/>
              </w:rPr>
            </w:pPr>
            <w:r>
              <w:rPr>
                <w:rFonts w:eastAsiaTheme="minorEastAsia"/>
                <w:sz w:val="18"/>
                <w:szCs w:val="18"/>
              </w:rPr>
              <w:t>具备通过创意农业提升农业产值和效益的方法和技能</w:t>
            </w:r>
          </w:p>
        </w:tc>
        <w:tc>
          <w:tcPr>
            <w:tcW w:w="1058" w:type="dxa"/>
            <w:tcBorders>
              <w:top w:val="single" w:sz="4" w:space="0" w:color="auto"/>
              <w:left w:val="single" w:sz="4" w:space="0" w:color="auto"/>
              <w:bottom w:val="single" w:sz="4" w:space="0" w:color="auto"/>
              <w:right w:val="single" w:sz="4" w:space="0" w:color="auto"/>
            </w:tcBorders>
            <w:vAlign w:val="center"/>
          </w:tcPr>
          <w:p w14:paraId="47E83C5D" w14:textId="77777777" w:rsidR="00F5289E" w:rsidRDefault="00C91173">
            <w:pPr>
              <w:snapToGrid w:val="0"/>
              <w:spacing w:line="300" w:lineRule="auto"/>
              <w:jc w:val="center"/>
              <w:rPr>
                <w:rFonts w:eastAsiaTheme="minorEastAsia"/>
                <w:sz w:val="18"/>
                <w:szCs w:val="18"/>
              </w:rPr>
            </w:pPr>
            <w:r>
              <w:rPr>
                <w:rFonts w:eastAsiaTheme="minorEastAsia"/>
                <w:sz w:val="18"/>
                <w:szCs w:val="18"/>
              </w:rPr>
              <w:t>2</w:t>
            </w:r>
          </w:p>
          <w:p w14:paraId="33609A32" w14:textId="77777777" w:rsidR="00F5289E" w:rsidRDefault="00C91173">
            <w:pPr>
              <w:snapToGrid w:val="0"/>
              <w:spacing w:line="300" w:lineRule="auto"/>
              <w:jc w:val="center"/>
              <w:rPr>
                <w:rFonts w:eastAsiaTheme="minorEastAsia"/>
                <w:sz w:val="18"/>
                <w:szCs w:val="18"/>
              </w:rPr>
            </w:pPr>
            <w:r>
              <w:rPr>
                <w:rFonts w:eastAsiaTheme="minorEastAsia"/>
                <w:sz w:val="18"/>
                <w:szCs w:val="18"/>
              </w:rPr>
              <w:t>4</w:t>
            </w:r>
          </w:p>
        </w:tc>
      </w:tr>
    </w:tbl>
    <w:p w14:paraId="044862D5" w14:textId="77777777" w:rsidR="00F5289E" w:rsidRDefault="00F5289E">
      <w:pPr>
        <w:snapToGrid w:val="0"/>
        <w:spacing w:line="360" w:lineRule="auto"/>
        <w:ind w:firstLineChars="200" w:firstLine="420"/>
        <w:rPr>
          <w:bCs/>
          <w:color w:val="0000FF"/>
          <w:kern w:val="0"/>
          <w:szCs w:val="21"/>
        </w:rPr>
      </w:pPr>
    </w:p>
    <w:p w14:paraId="68044417" w14:textId="77777777" w:rsidR="00F5289E" w:rsidRDefault="00C91173">
      <w:pPr>
        <w:widowControl/>
        <w:snapToGrid w:val="0"/>
        <w:spacing w:line="360" w:lineRule="auto"/>
        <w:jc w:val="left"/>
        <w:rPr>
          <w:b/>
          <w:bCs/>
          <w:kern w:val="0"/>
          <w:szCs w:val="21"/>
        </w:rPr>
      </w:pPr>
      <w:r>
        <w:rPr>
          <w:b/>
          <w:bCs/>
          <w:kern w:val="0"/>
          <w:szCs w:val="21"/>
        </w:rPr>
        <w:t>四、理论教学内容及学时分配（</w:t>
      </w:r>
      <w:r>
        <w:rPr>
          <w:b/>
          <w:bCs/>
          <w:kern w:val="0"/>
          <w:szCs w:val="21"/>
        </w:rPr>
        <w:t>16</w:t>
      </w:r>
      <w:r>
        <w:rPr>
          <w:b/>
          <w:bCs/>
          <w:kern w:val="0"/>
          <w:szCs w:val="21"/>
        </w:rPr>
        <w:t>学时）</w:t>
      </w:r>
    </w:p>
    <w:p w14:paraId="06B527D6" w14:textId="77777777" w:rsidR="00F5289E" w:rsidRDefault="00C91173">
      <w:pPr>
        <w:widowControl/>
        <w:snapToGrid w:val="0"/>
        <w:spacing w:line="360" w:lineRule="auto"/>
        <w:jc w:val="right"/>
        <w:rPr>
          <w:bCs/>
          <w:color w:val="0000FF"/>
          <w:kern w:val="0"/>
          <w:szCs w:val="21"/>
        </w:rPr>
      </w:pPr>
      <w:r>
        <w:rPr>
          <w:b/>
          <w:bCs/>
          <w:kern w:val="0"/>
          <w:szCs w:val="21"/>
        </w:rPr>
        <w:t>绪论</w:t>
      </w:r>
      <w:r>
        <w:rPr>
          <w:b/>
          <w:bCs/>
          <w:kern w:val="0"/>
          <w:szCs w:val="21"/>
        </w:rPr>
        <w:t xml:space="preserve">                               </w:t>
      </w:r>
      <w:r>
        <w:rPr>
          <w:b/>
          <w:bCs/>
          <w:kern w:val="0"/>
          <w:szCs w:val="21"/>
        </w:rPr>
        <w:t>学时数：</w:t>
      </w:r>
      <w:r>
        <w:rPr>
          <w:b/>
          <w:bCs/>
          <w:kern w:val="0"/>
          <w:szCs w:val="21"/>
        </w:rPr>
        <w:t>2</w:t>
      </w:r>
    </w:p>
    <w:p w14:paraId="6EC5EB6C" w14:textId="77777777" w:rsidR="00F5289E" w:rsidRDefault="00C91173">
      <w:pPr>
        <w:snapToGrid w:val="0"/>
        <w:spacing w:line="360" w:lineRule="auto"/>
        <w:rPr>
          <w:color w:val="353535"/>
          <w:kern w:val="0"/>
          <w:szCs w:val="21"/>
        </w:rPr>
      </w:pPr>
      <w:r>
        <w:rPr>
          <w:b/>
          <w:bCs/>
          <w:color w:val="353535"/>
          <w:kern w:val="0"/>
          <w:szCs w:val="21"/>
        </w:rPr>
        <w:t>教学目标</w:t>
      </w:r>
      <w:r>
        <w:rPr>
          <w:color w:val="353535"/>
          <w:kern w:val="0"/>
          <w:szCs w:val="21"/>
        </w:rPr>
        <w:t>：使学生认识到创意农业对增加农业产值和效益、增加社会就业的意义，激发对本课程学习的兴趣。</w:t>
      </w:r>
    </w:p>
    <w:p w14:paraId="39E56E4B" w14:textId="77777777" w:rsidR="00F5289E" w:rsidRDefault="00C91173">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：创意农业的概念、创意农业的特点；我国创意农业发展的现状、发展趋势、在问题及解决对策。</w:t>
      </w:r>
    </w:p>
    <w:p w14:paraId="31C507FE" w14:textId="77777777" w:rsidR="00F5289E" w:rsidRDefault="00C91173">
      <w:pPr>
        <w:widowControl/>
        <w:snapToGrid w:val="0"/>
        <w:spacing w:line="360" w:lineRule="auto"/>
        <w:jc w:val="left"/>
        <w:rPr>
          <w:color w:val="353535"/>
          <w:kern w:val="0"/>
          <w:szCs w:val="21"/>
        </w:rPr>
      </w:pPr>
      <w:r>
        <w:rPr>
          <w:b/>
          <w:bCs/>
          <w:szCs w:val="21"/>
        </w:rPr>
        <w:t>主要教学内容及要求：</w:t>
      </w:r>
      <w:r>
        <w:rPr>
          <w:color w:val="353535"/>
          <w:kern w:val="0"/>
          <w:szCs w:val="21"/>
        </w:rPr>
        <w:t>熟记创意农业的概念，了解创意农业的发展历程、创意农业兴起的原因。理解创意农业在农村经济中的作用，掌握创意农业的特点，了解创意农业发展面临的问题及解决对策。</w:t>
      </w:r>
    </w:p>
    <w:p w14:paraId="6ED05F75" w14:textId="77777777" w:rsidR="00F5289E" w:rsidRDefault="00C91173">
      <w:pPr>
        <w:widowControl/>
        <w:snapToGrid w:val="0"/>
        <w:spacing w:line="360" w:lineRule="auto"/>
        <w:jc w:val="left"/>
        <w:rPr>
          <w:color w:val="353535"/>
          <w:kern w:val="0"/>
          <w:szCs w:val="21"/>
        </w:rPr>
      </w:pPr>
      <w:r>
        <w:rPr>
          <w:b/>
          <w:bCs/>
          <w:szCs w:val="21"/>
        </w:rPr>
        <w:t>教学组织与实施：</w:t>
      </w:r>
      <w:r>
        <w:rPr>
          <w:color w:val="353535"/>
          <w:kern w:val="0"/>
          <w:szCs w:val="21"/>
        </w:rPr>
        <w:t>提前向学生布置本节讲课内容，提出课外阅读要求和课堂提问内容。利用多媒体设备进行讲解，课堂上就本课程的重要性、国内外发展概况进行提问。</w:t>
      </w:r>
    </w:p>
    <w:p w14:paraId="4AEAF095" w14:textId="77777777" w:rsidR="00F5289E" w:rsidRDefault="00F5289E">
      <w:pPr>
        <w:widowControl/>
        <w:snapToGrid w:val="0"/>
        <w:spacing w:line="360" w:lineRule="auto"/>
        <w:jc w:val="left"/>
        <w:rPr>
          <w:color w:val="353535"/>
          <w:kern w:val="0"/>
          <w:szCs w:val="21"/>
        </w:rPr>
      </w:pPr>
    </w:p>
    <w:p w14:paraId="321C5F51" w14:textId="77777777" w:rsidR="00F5289E" w:rsidRDefault="00C91173">
      <w:pPr>
        <w:widowControl/>
        <w:snapToGrid w:val="0"/>
        <w:spacing w:line="360" w:lineRule="auto"/>
        <w:jc w:val="right"/>
        <w:rPr>
          <w:bCs/>
          <w:color w:val="0000FF"/>
          <w:kern w:val="0"/>
          <w:szCs w:val="21"/>
        </w:rPr>
      </w:pPr>
      <w:r>
        <w:rPr>
          <w:b/>
          <w:bCs/>
          <w:kern w:val="0"/>
          <w:szCs w:val="21"/>
        </w:rPr>
        <w:t>第一章</w:t>
      </w:r>
      <w:r>
        <w:rPr>
          <w:b/>
          <w:bCs/>
          <w:kern w:val="0"/>
          <w:szCs w:val="21"/>
        </w:rPr>
        <w:t xml:space="preserve">  </w:t>
      </w:r>
      <w:r>
        <w:rPr>
          <w:b/>
          <w:bCs/>
          <w:kern w:val="0"/>
          <w:szCs w:val="21"/>
        </w:rPr>
        <w:t>创意农业的基本理论与模式</w:t>
      </w:r>
      <w:r>
        <w:rPr>
          <w:b/>
          <w:bCs/>
          <w:kern w:val="0"/>
          <w:szCs w:val="21"/>
        </w:rPr>
        <w:t xml:space="preserve">                 </w:t>
      </w:r>
      <w:r>
        <w:rPr>
          <w:b/>
          <w:bCs/>
          <w:kern w:val="0"/>
          <w:szCs w:val="21"/>
        </w:rPr>
        <w:t>学时数：</w:t>
      </w:r>
      <w:r>
        <w:rPr>
          <w:b/>
          <w:bCs/>
          <w:kern w:val="0"/>
          <w:szCs w:val="21"/>
        </w:rPr>
        <w:t>4</w:t>
      </w:r>
    </w:p>
    <w:p w14:paraId="05818271" w14:textId="77777777" w:rsidR="00F5289E" w:rsidRDefault="00C91173">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了解附加价值理论、美学经济理论、价值链理论的内容，理解创意农业理论的指导意义，掌握通过价值链分析方法设计创意农业的基本途径。</w:t>
      </w:r>
    </w:p>
    <w:p w14:paraId="5475DEA0" w14:textId="77777777" w:rsidR="00F5289E" w:rsidRDefault="00C91173">
      <w:pPr>
        <w:widowControl/>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本章重点内容为创意农业的基本理论，难点内容是通过价值链分析设计创意农业的途径。</w:t>
      </w:r>
    </w:p>
    <w:p w14:paraId="48EA7518" w14:textId="77777777" w:rsidR="00F5289E" w:rsidRDefault="00C91173">
      <w:pPr>
        <w:widowControl/>
        <w:snapToGrid w:val="0"/>
        <w:spacing w:line="360" w:lineRule="auto"/>
        <w:jc w:val="left"/>
        <w:rPr>
          <w:b/>
          <w:bCs/>
          <w:szCs w:val="21"/>
        </w:rPr>
      </w:pPr>
      <w:r>
        <w:rPr>
          <w:b/>
          <w:bCs/>
          <w:szCs w:val="21"/>
        </w:rPr>
        <w:t>主要教学内容及要求：</w:t>
      </w:r>
    </w:p>
    <w:p w14:paraId="659AF2CE" w14:textId="77777777" w:rsidR="00F5289E" w:rsidRDefault="00C91173">
      <w:pPr>
        <w:widowControl/>
        <w:adjustRightInd w:val="0"/>
        <w:snapToGrid w:val="0"/>
        <w:spacing w:line="360" w:lineRule="auto"/>
        <w:rPr>
          <w:b/>
          <w:bCs/>
          <w:kern w:val="0"/>
          <w:szCs w:val="21"/>
        </w:rPr>
      </w:pPr>
      <w:r>
        <w:rPr>
          <w:b/>
          <w:bCs/>
          <w:kern w:val="0"/>
          <w:szCs w:val="21"/>
        </w:rPr>
        <w:t>第一节</w:t>
      </w:r>
      <w:r>
        <w:rPr>
          <w:b/>
          <w:bCs/>
          <w:kern w:val="0"/>
          <w:szCs w:val="21"/>
        </w:rPr>
        <w:t xml:space="preserve">  </w:t>
      </w:r>
      <w:r>
        <w:rPr>
          <w:b/>
          <w:bCs/>
          <w:kern w:val="0"/>
          <w:szCs w:val="21"/>
        </w:rPr>
        <w:t>创意农业的有关理论（</w:t>
      </w:r>
      <w:r>
        <w:rPr>
          <w:b/>
          <w:bCs/>
          <w:kern w:val="0"/>
          <w:szCs w:val="21"/>
        </w:rPr>
        <w:t>1</w:t>
      </w:r>
      <w:r>
        <w:rPr>
          <w:b/>
          <w:bCs/>
          <w:kern w:val="0"/>
          <w:szCs w:val="21"/>
        </w:rPr>
        <w:t>学时）</w:t>
      </w:r>
    </w:p>
    <w:p w14:paraId="0461C7EB"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了解附加价值理论、美学经济理论、价值链理论的内容。</w:t>
      </w:r>
    </w:p>
    <w:p w14:paraId="363F383F"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理解附加价值理论、美学经济理论、价值链理论对创意农业的指导作用。</w:t>
      </w:r>
    </w:p>
    <w:p w14:paraId="325D935E"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掌握附加价值理论、美学经济理论、价值链理论指导创意农业方法。</w:t>
      </w:r>
    </w:p>
    <w:p w14:paraId="4AEB45C1" w14:textId="77777777" w:rsidR="00F5289E" w:rsidRDefault="00C91173">
      <w:pPr>
        <w:widowControl/>
        <w:adjustRightInd w:val="0"/>
        <w:snapToGrid w:val="0"/>
        <w:spacing w:line="360" w:lineRule="auto"/>
        <w:rPr>
          <w:b/>
          <w:bCs/>
          <w:kern w:val="0"/>
          <w:szCs w:val="21"/>
        </w:rPr>
      </w:pPr>
      <w:r>
        <w:rPr>
          <w:b/>
          <w:bCs/>
          <w:kern w:val="0"/>
          <w:szCs w:val="21"/>
        </w:rPr>
        <w:t>第二节</w:t>
      </w:r>
      <w:r>
        <w:rPr>
          <w:b/>
          <w:bCs/>
          <w:kern w:val="0"/>
          <w:szCs w:val="21"/>
        </w:rPr>
        <w:t xml:space="preserve"> </w:t>
      </w:r>
      <w:r>
        <w:rPr>
          <w:b/>
          <w:bCs/>
          <w:kern w:val="0"/>
          <w:szCs w:val="21"/>
        </w:rPr>
        <w:t>创意农业产业链分析（</w:t>
      </w:r>
      <w:r>
        <w:rPr>
          <w:b/>
          <w:bCs/>
          <w:kern w:val="0"/>
          <w:szCs w:val="21"/>
        </w:rPr>
        <w:t>1</w:t>
      </w:r>
      <w:r>
        <w:rPr>
          <w:b/>
          <w:bCs/>
          <w:kern w:val="0"/>
          <w:szCs w:val="21"/>
        </w:rPr>
        <w:t>学时）</w:t>
      </w:r>
    </w:p>
    <w:p w14:paraId="3EDFD754"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了解价值链理论包含的的基本活动环节和支持性活动环节内容。</w:t>
      </w:r>
    </w:p>
    <w:p w14:paraId="2C547FAB"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理解基本活动环节和支持性活动环节对增加农业附加值的重要性。</w:t>
      </w:r>
    </w:p>
    <w:p w14:paraId="40B287E8"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lastRenderedPageBreak/>
        <w:t>理解支持性活动环节中农业资源基础、地理空间、技术环境、政策环境对发展创意农业的重要性。</w:t>
      </w:r>
    </w:p>
    <w:p w14:paraId="1C149F62" w14:textId="77777777" w:rsidR="00F5289E" w:rsidRDefault="00C91173">
      <w:pPr>
        <w:widowControl/>
        <w:snapToGrid w:val="0"/>
        <w:spacing w:line="360" w:lineRule="auto"/>
        <w:ind w:firstLineChars="200" w:firstLine="420"/>
        <w:jc w:val="left"/>
        <w:rPr>
          <w:color w:val="353535"/>
          <w:kern w:val="0"/>
          <w:szCs w:val="21"/>
        </w:rPr>
      </w:pPr>
      <w:r>
        <w:rPr>
          <w:color w:val="353535"/>
          <w:kern w:val="0"/>
          <w:szCs w:val="21"/>
        </w:rPr>
        <w:t>掌握通过创意提高基本活动环节中研发、生产、加工、销售环节附加值的方法。</w:t>
      </w:r>
    </w:p>
    <w:p w14:paraId="5E332CBF" w14:textId="77777777" w:rsidR="00F5289E" w:rsidRDefault="00C91173">
      <w:pPr>
        <w:widowControl/>
        <w:adjustRightInd w:val="0"/>
        <w:snapToGrid w:val="0"/>
        <w:spacing w:line="360" w:lineRule="auto"/>
        <w:rPr>
          <w:b/>
          <w:bCs/>
          <w:kern w:val="0"/>
          <w:szCs w:val="21"/>
        </w:rPr>
      </w:pPr>
      <w:r>
        <w:rPr>
          <w:b/>
          <w:bCs/>
          <w:kern w:val="0"/>
          <w:szCs w:val="21"/>
        </w:rPr>
        <w:t>第三节</w:t>
      </w:r>
      <w:r>
        <w:rPr>
          <w:b/>
          <w:bCs/>
          <w:kern w:val="0"/>
          <w:szCs w:val="21"/>
        </w:rPr>
        <w:t xml:space="preserve"> </w:t>
      </w:r>
      <w:r>
        <w:rPr>
          <w:b/>
          <w:bCs/>
          <w:kern w:val="0"/>
          <w:szCs w:val="21"/>
        </w:rPr>
        <w:t>创意农业基本模式（</w:t>
      </w:r>
      <w:r>
        <w:rPr>
          <w:b/>
          <w:bCs/>
          <w:kern w:val="0"/>
          <w:szCs w:val="21"/>
        </w:rPr>
        <w:t>2</w:t>
      </w:r>
      <w:r>
        <w:rPr>
          <w:b/>
          <w:bCs/>
          <w:kern w:val="0"/>
          <w:szCs w:val="21"/>
        </w:rPr>
        <w:t>学时）</w:t>
      </w:r>
    </w:p>
    <w:p w14:paraId="6C48736D" w14:textId="77777777" w:rsidR="00F5289E" w:rsidRDefault="00C91173">
      <w:pPr>
        <w:snapToGrid w:val="0"/>
        <w:spacing w:line="360" w:lineRule="auto"/>
        <w:ind w:firstLineChars="200" w:firstLine="420"/>
        <w:rPr>
          <w:color w:val="262600"/>
        </w:rPr>
      </w:pPr>
      <w:r>
        <w:rPr>
          <w:color w:val="353535"/>
          <w:kern w:val="0"/>
          <w:szCs w:val="21"/>
        </w:rPr>
        <w:t>了解研发环节的创意农业模式</w:t>
      </w:r>
      <w:r>
        <w:rPr>
          <w:sz w:val="28"/>
          <w:szCs w:val="28"/>
        </w:rPr>
        <w:t>。</w:t>
      </w:r>
    </w:p>
    <w:p w14:paraId="328106D9" w14:textId="77777777" w:rsidR="00F5289E" w:rsidRDefault="00C91173">
      <w:pPr>
        <w:snapToGrid w:val="0"/>
        <w:spacing w:line="360" w:lineRule="auto"/>
        <w:ind w:firstLineChars="200" w:firstLine="420"/>
        <w:rPr>
          <w:color w:val="353535"/>
          <w:kern w:val="0"/>
          <w:szCs w:val="21"/>
        </w:rPr>
      </w:pPr>
      <w:r>
        <w:rPr>
          <w:color w:val="353535"/>
          <w:kern w:val="0"/>
          <w:szCs w:val="21"/>
        </w:rPr>
        <w:t>了解生产环节的创意农业模式。</w:t>
      </w:r>
    </w:p>
    <w:p w14:paraId="1AF07C30" w14:textId="77777777" w:rsidR="00F5289E" w:rsidRDefault="00C91173">
      <w:pPr>
        <w:snapToGrid w:val="0"/>
        <w:spacing w:line="360" w:lineRule="auto"/>
        <w:ind w:firstLineChars="200" w:firstLine="420"/>
        <w:rPr>
          <w:color w:val="353535"/>
          <w:kern w:val="0"/>
          <w:szCs w:val="21"/>
        </w:rPr>
      </w:pPr>
      <w:r>
        <w:rPr>
          <w:color w:val="353535"/>
          <w:kern w:val="0"/>
          <w:szCs w:val="21"/>
        </w:rPr>
        <w:t>了解加工环节的创意农业模式。</w:t>
      </w:r>
    </w:p>
    <w:p w14:paraId="16D9109C" w14:textId="77777777" w:rsidR="00F5289E" w:rsidRDefault="00C91173">
      <w:pPr>
        <w:snapToGrid w:val="0"/>
        <w:spacing w:line="360" w:lineRule="auto"/>
        <w:ind w:firstLineChars="200" w:firstLine="420"/>
        <w:rPr>
          <w:color w:val="353535"/>
          <w:kern w:val="0"/>
          <w:szCs w:val="21"/>
        </w:rPr>
      </w:pPr>
      <w:r>
        <w:rPr>
          <w:color w:val="353535"/>
          <w:kern w:val="0"/>
          <w:szCs w:val="21"/>
        </w:rPr>
        <w:t>了解销售环节的创意农业模式。</w:t>
      </w:r>
    </w:p>
    <w:p w14:paraId="205EFBFA" w14:textId="77777777" w:rsidR="00F5289E" w:rsidRDefault="00C91173">
      <w:pPr>
        <w:widowControl/>
        <w:snapToGrid w:val="0"/>
        <w:spacing w:line="360" w:lineRule="auto"/>
        <w:jc w:val="left"/>
        <w:rPr>
          <w:color w:val="353535"/>
          <w:kern w:val="0"/>
          <w:szCs w:val="21"/>
        </w:rPr>
      </w:pPr>
      <w:r>
        <w:rPr>
          <w:b/>
          <w:bCs/>
          <w:szCs w:val="21"/>
        </w:rPr>
        <w:t>教学组织与实施：</w:t>
      </w:r>
      <w:r>
        <w:rPr>
          <w:color w:val="353535"/>
          <w:kern w:val="0"/>
          <w:szCs w:val="21"/>
        </w:rPr>
        <w:t>安排学生课前查阅材料、预习本节内容；利用多媒体设备进行讲解，课堂上对预留问题提问。</w:t>
      </w:r>
    </w:p>
    <w:p w14:paraId="76F56E59" w14:textId="77777777" w:rsidR="00F5289E" w:rsidRDefault="00F5289E">
      <w:pPr>
        <w:snapToGrid w:val="0"/>
        <w:spacing w:line="360" w:lineRule="auto"/>
        <w:ind w:firstLineChars="250" w:firstLine="525"/>
        <w:rPr>
          <w:color w:val="353535"/>
          <w:kern w:val="0"/>
          <w:szCs w:val="21"/>
        </w:rPr>
      </w:pPr>
    </w:p>
    <w:p w14:paraId="409745F1" w14:textId="77777777" w:rsidR="00F5289E" w:rsidRDefault="00C91173">
      <w:pPr>
        <w:widowControl/>
        <w:snapToGrid w:val="0"/>
        <w:spacing w:line="360" w:lineRule="auto"/>
        <w:ind w:firstLineChars="490" w:firstLine="1033"/>
        <w:jc w:val="right"/>
        <w:rPr>
          <w:b/>
          <w:bCs/>
          <w:color w:val="353535"/>
          <w:kern w:val="0"/>
          <w:szCs w:val="21"/>
        </w:rPr>
      </w:pPr>
      <w:r>
        <w:rPr>
          <w:b/>
          <w:bCs/>
          <w:kern w:val="0"/>
          <w:szCs w:val="21"/>
        </w:rPr>
        <w:t>第二章</w:t>
      </w:r>
      <w:r>
        <w:rPr>
          <w:b/>
          <w:bCs/>
          <w:kern w:val="0"/>
          <w:szCs w:val="21"/>
        </w:rPr>
        <w:t xml:space="preserve">  </w:t>
      </w:r>
      <w:r>
        <w:rPr>
          <w:b/>
          <w:bCs/>
          <w:kern w:val="0"/>
          <w:szCs w:val="21"/>
        </w:rPr>
        <w:t>创意农业开发途径与方法</w:t>
      </w:r>
      <w:r>
        <w:rPr>
          <w:b/>
          <w:bCs/>
          <w:kern w:val="0"/>
          <w:szCs w:val="21"/>
        </w:rPr>
        <w:t xml:space="preserve">                    </w:t>
      </w:r>
      <w:r>
        <w:rPr>
          <w:b/>
          <w:bCs/>
          <w:kern w:val="0"/>
          <w:szCs w:val="21"/>
        </w:rPr>
        <w:t>学时数：</w:t>
      </w:r>
      <w:r>
        <w:rPr>
          <w:b/>
          <w:bCs/>
          <w:kern w:val="0"/>
          <w:szCs w:val="21"/>
        </w:rPr>
        <w:t>6</w:t>
      </w:r>
    </w:p>
    <w:p w14:paraId="066300E7" w14:textId="77777777" w:rsidR="00F5289E" w:rsidRDefault="00C91173">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使学生了解创意农业设计的有关环节，了解不同环节创意的内容，掌握有关产品创意、栽培创意的原理、技术和方法。</w:t>
      </w:r>
    </w:p>
    <w:p w14:paraId="1F2642EF" w14:textId="77777777" w:rsidR="00F5289E" w:rsidRDefault="00C91173">
      <w:pPr>
        <w:widowControl/>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本章重点是景观创意、产品创意、栽培创意的原理、技术和方法。难点内容为景观创意的设计。</w:t>
      </w:r>
    </w:p>
    <w:p w14:paraId="19E29A53" w14:textId="77777777" w:rsidR="00F5289E" w:rsidRDefault="00C91173">
      <w:pPr>
        <w:widowControl/>
        <w:adjustRightInd w:val="0"/>
        <w:snapToGrid w:val="0"/>
        <w:spacing w:line="360" w:lineRule="auto"/>
        <w:rPr>
          <w:b/>
          <w:bCs/>
          <w:color w:val="353535"/>
          <w:kern w:val="0"/>
          <w:szCs w:val="21"/>
        </w:rPr>
      </w:pPr>
      <w:r>
        <w:rPr>
          <w:b/>
          <w:bCs/>
          <w:szCs w:val="21"/>
        </w:rPr>
        <w:t>主要教学内容及要求：</w:t>
      </w:r>
    </w:p>
    <w:p w14:paraId="25473147" w14:textId="77777777" w:rsidR="00F5289E" w:rsidRDefault="00C91173">
      <w:pPr>
        <w:widowControl/>
        <w:adjustRightInd w:val="0"/>
        <w:snapToGrid w:val="0"/>
        <w:spacing w:line="360" w:lineRule="auto"/>
        <w:jc w:val="left"/>
        <w:rPr>
          <w:b/>
          <w:bCs/>
          <w:kern w:val="0"/>
          <w:szCs w:val="21"/>
        </w:rPr>
      </w:pPr>
      <w:r>
        <w:rPr>
          <w:b/>
          <w:kern w:val="0"/>
          <w:szCs w:val="21"/>
        </w:rPr>
        <w:t>第一节</w:t>
      </w:r>
      <w:r>
        <w:rPr>
          <w:b/>
          <w:kern w:val="0"/>
          <w:szCs w:val="21"/>
        </w:rPr>
        <w:t xml:space="preserve"> </w:t>
      </w:r>
      <w:r>
        <w:rPr>
          <w:b/>
          <w:szCs w:val="21"/>
        </w:rPr>
        <w:t>研发环节创意设计（</w:t>
      </w:r>
      <w:r>
        <w:rPr>
          <w:b/>
          <w:bCs/>
          <w:kern w:val="0"/>
          <w:szCs w:val="21"/>
        </w:rPr>
        <w:t>2</w:t>
      </w:r>
      <w:r>
        <w:rPr>
          <w:b/>
          <w:bCs/>
          <w:kern w:val="0"/>
          <w:szCs w:val="21"/>
        </w:rPr>
        <w:t>学时）</w:t>
      </w:r>
    </w:p>
    <w:p w14:paraId="373A4371" w14:textId="77777777" w:rsidR="00F5289E" w:rsidRDefault="00C91173">
      <w:pPr>
        <w:snapToGrid w:val="0"/>
        <w:spacing w:line="360" w:lineRule="auto"/>
        <w:ind w:firstLineChars="200" w:firstLine="420"/>
        <w:rPr>
          <w:color w:val="353535"/>
          <w:kern w:val="0"/>
          <w:szCs w:val="21"/>
        </w:rPr>
      </w:pPr>
      <w:r>
        <w:rPr>
          <w:color w:val="353535"/>
          <w:kern w:val="0"/>
          <w:szCs w:val="21"/>
        </w:rPr>
        <w:t>了解研发环节创意农业设计的内涵。</w:t>
      </w:r>
    </w:p>
    <w:p w14:paraId="513A06F0" w14:textId="77777777" w:rsidR="00F5289E" w:rsidRDefault="00C91173">
      <w:pPr>
        <w:snapToGrid w:val="0"/>
        <w:spacing w:line="360" w:lineRule="auto"/>
        <w:ind w:firstLineChars="200" w:firstLine="420"/>
        <w:rPr>
          <w:color w:val="353535"/>
          <w:kern w:val="0"/>
          <w:szCs w:val="21"/>
        </w:rPr>
      </w:pPr>
      <w:r>
        <w:rPr>
          <w:color w:val="353535"/>
          <w:kern w:val="0"/>
          <w:szCs w:val="21"/>
        </w:rPr>
        <w:t>了解农业主题公园、农业节庆开发创意农业设计的要素。</w:t>
      </w:r>
    </w:p>
    <w:p w14:paraId="3A290A91" w14:textId="77777777" w:rsidR="00F5289E" w:rsidRDefault="00C91173">
      <w:pPr>
        <w:snapToGrid w:val="0"/>
        <w:spacing w:line="360" w:lineRule="auto"/>
        <w:ind w:firstLineChars="200" w:firstLine="420"/>
        <w:rPr>
          <w:color w:val="353535"/>
          <w:kern w:val="0"/>
          <w:szCs w:val="21"/>
        </w:rPr>
      </w:pPr>
      <w:r>
        <w:rPr>
          <w:color w:val="353535"/>
          <w:kern w:val="0"/>
          <w:szCs w:val="21"/>
        </w:rPr>
        <w:t>掌握科技创意设计的类别。</w:t>
      </w:r>
    </w:p>
    <w:p w14:paraId="53872D4C" w14:textId="77777777" w:rsidR="00F5289E" w:rsidRDefault="00C91173">
      <w:pPr>
        <w:snapToGrid w:val="0"/>
        <w:spacing w:line="360" w:lineRule="auto"/>
        <w:ind w:firstLineChars="200" w:firstLine="420"/>
        <w:rPr>
          <w:color w:val="353535"/>
          <w:kern w:val="0"/>
          <w:szCs w:val="21"/>
        </w:rPr>
      </w:pPr>
      <w:r>
        <w:rPr>
          <w:color w:val="353535"/>
          <w:kern w:val="0"/>
          <w:szCs w:val="21"/>
        </w:rPr>
        <w:t>熟练掌握大地景观设计的生物学原则。</w:t>
      </w:r>
    </w:p>
    <w:p w14:paraId="03E1A789" w14:textId="77777777" w:rsidR="00F5289E" w:rsidRDefault="00C91173">
      <w:pPr>
        <w:widowControl/>
        <w:adjustRightInd w:val="0"/>
        <w:snapToGrid w:val="0"/>
        <w:spacing w:line="360" w:lineRule="auto"/>
        <w:jc w:val="left"/>
        <w:rPr>
          <w:b/>
          <w:szCs w:val="21"/>
        </w:rPr>
      </w:pPr>
      <w:r>
        <w:rPr>
          <w:b/>
          <w:szCs w:val="21"/>
        </w:rPr>
        <w:t>第二节</w:t>
      </w:r>
      <w:r>
        <w:rPr>
          <w:b/>
          <w:szCs w:val="21"/>
        </w:rPr>
        <w:t xml:space="preserve"> </w:t>
      </w:r>
      <w:r>
        <w:rPr>
          <w:b/>
          <w:szCs w:val="21"/>
        </w:rPr>
        <w:t>生产环节创意类型（</w:t>
      </w:r>
      <w:r>
        <w:rPr>
          <w:b/>
          <w:szCs w:val="21"/>
        </w:rPr>
        <w:t>2</w:t>
      </w:r>
      <w:r>
        <w:rPr>
          <w:b/>
          <w:szCs w:val="21"/>
        </w:rPr>
        <w:t>学时）</w:t>
      </w:r>
    </w:p>
    <w:p w14:paraId="02E4EDF8" w14:textId="77777777" w:rsidR="00F5289E" w:rsidRDefault="00C91173">
      <w:pPr>
        <w:snapToGrid w:val="0"/>
        <w:spacing w:line="360" w:lineRule="auto"/>
        <w:ind w:firstLineChars="200" w:firstLine="420"/>
        <w:rPr>
          <w:color w:val="353535"/>
          <w:kern w:val="0"/>
          <w:szCs w:val="21"/>
        </w:rPr>
      </w:pPr>
      <w:r>
        <w:rPr>
          <w:color w:val="353535"/>
          <w:kern w:val="0"/>
          <w:szCs w:val="21"/>
        </w:rPr>
        <w:t>了解亲情创意、寓意祝福设计的类型和途径。</w:t>
      </w:r>
    </w:p>
    <w:p w14:paraId="2389E33D" w14:textId="77777777" w:rsidR="00F5289E" w:rsidRDefault="00C91173">
      <w:pPr>
        <w:snapToGrid w:val="0"/>
        <w:spacing w:line="360" w:lineRule="auto"/>
        <w:ind w:firstLineChars="200" w:firstLine="420"/>
        <w:rPr>
          <w:color w:val="353535"/>
          <w:kern w:val="0"/>
          <w:szCs w:val="21"/>
        </w:rPr>
      </w:pPr>
      <w:r>
        <w:rPr>
          <w:color w:val="353535"/>
          <w:kern w:val="0"/>
          <w:szCs w:val="21"/>
        </w:rPr>
        <w:t>理解巨型园艺产品创意设计的生物学原理。</w:t>
      </w:r>
    </w:p>
    <w:p w14:paraId="7BDF7213" w14:textId="77777777" w:rsidR="00F5289E" w:rsidRDefault="00C91173">
      <w:pPr>
        <w:snapToGrid w:val="0"/>
        <w:spacing w:line="360" w:lineRule="auto"/>
        <w:ind w:firstLineChars="200" w:firstLine="420"/>
        <w:rPr>
          <w:color w:val="353535"/>
          <w:kern w:val="0"/>
          <w:szCs w:val="21"/>
        </w:rPr>
      </w:pPr>
      <w:r>
        <w:rPr>
          <w:color w:val="353535"/>
          <w:kern w:val="0"/>
          <w:szCs w:val="21"/>
        </w:rPr>
        <w:t>掌握农产品形色创意、用途创意设计的类型和途径。</w:t>
      </w:r>
    </w:p>
    <w:p w14:paraId="46284EB8" w14:textId="77777777" w:rsidR="00F5289E" w:rsidRDefault="00C91173">
      <w:pPr>
        <w:snapToGrid w:val="0"/>
        <w:spacing w:line="360" w:lineRule="auto"/>
        <w:ind w:firstLineChars="200" w:firstLine="420"/>
        <w:rPr>
          <w:color w:val="353535"/>
          <w:kern w:val="0"/>
          <w:szCs w:val="21"/>
        </w:rPr>
      </w:pPr>
      <w:r>
        <w:rPr>
          <w:color w:val="353535"/>
          <w:kern w:val="0"/>
          <w:szCs w:val="21"/>
        </w:rPr>
        <w:t>熟练掌握栽培创意设计的原理和方法。</w:t>
      </w:r>
    </w:p>
    <w:p w14:paraId="1360C096" w14:textId="77777777" w:rsidR="00F5289E" w:rsidRDefault="00C91173">
      <w:pPr>
        <w:widowControl/>
        <w:adjustRightInd w:val="0"/>
        <w:snapToGrid w:val="0"/>
        <w:spacing w:line="360" w:lineRule="auto"/>
        <w:jc w:val="left"/>
        <w:rPr>
          <w:b/>
          <w:szCs w:val="21"/>
        </w:rPr>
      </w:pPr>
      <w:r>
        <w:rPr>
          <w:b/>
          <w:szCs w:val="21"/>
        </w:rPr>
        <w:t>第三节</w:t>
      </w:r>
      <w:r>
        <w:rPr>
          <w:b/>
          <w:szCs w:val="21"/>
        </w:rPr>
        <w:t xml:space="preserve"> </w:t>
      </w:r>
      <w:r>
        <w:rPr>
          <w:b/>
          <w:szCs w:val="21"/>
        </w:rPr>
        <w:t>加工环节创意类型（</w:t>
      </w:r>
      <w:r>
        <w:rPr>
          <w:b/>
          <w:szCs w:val="21"/>
        </w:rPr>
        <w:t>1</w:t>
      </w:r>
      <w:r>
        <w:rPr>
          <w:b/>
          <w:szCs w:val="21"/>
        </w:rPr>
        <w:t>学时）</w:t>
      </w:r>
    </w:p>
    <w:p w14:paraId="01C908DF" w14:textId="77777777" w:rsidR="00F5289E" w:rsidRDefault="00C91173">
      <w:pPr>
        <w:snapToGrid w:val="0"/>
        <w:spacing w:line="360" w:lineRule="auto"/>
        <w:ind w:firstLineChars="200" w:firstLine="420"/>
        <w:rPr>
          <w:color w:val="353535"/>
          <w:kern w:val="0"/>
          <w:szCs w:val="21"/>
        </w:rPr>
      </w:pPr>
      <w:r>
        <w:rPr>
          <w:color w:val="353535"/>
          <w:kern w:val="0"/>
          <w:szCs w:val="21"/>
        </w:rPr>
        <w:t>了解农产品传统加工方式、代加工方式。</w:t>
      </w:r>
    </w:p>
    <w:p w14:paraId="18660657" w14:textId="77777777" w:rsidR="00F5289E" w:rsidRDefault="00C91173">
      <w:pPr>
        <w:snapToGrid w:val="0"/>
        <w:spacing w:line="360" w:lineRule="auto"/>
        <w:ind w:firstLineChars="200" w:firstLine="420"/>
        <w:rPr>
          <w:color w:val="353535"/>
          <w:kern w:val="0"/>
          <w:szCs w:val="21"/>
        </w:rPr>
      </w:pPr>
      <w:r>
        <w:rPr>
          <w:color w:val="353535"/>
          <w:kern w:val="0"/>
          <w:szCs w:val="21"/>
        </w:rPr>
        <w:t>了解资源循环利用创意类型</w:t>
      </w:r>
    </w:p>
    <w:p w14:paraId="1D0DFB58" w14:textId="77777777" w:rsidR="00F5289E" w:rsidRDefault="00C91173">
      <w:pPr>
        <w:snapToGrid w:val="0"/>
        <w:spacing w:line="360" w:lineRule="auto"/>
        <w:ind w:firstLineChars="200" w:firstLine="420"/>
        <w:rPr>
          <w:color w:val="353535"/>
          <w:kern w:val="0"/>
          <w:szCs w:val="21"/>
        </w:rPr>
      </w:pPr>
      <w:r>
        <w:rPr>
          <w:color w:val="353535"/>
          <w:kern w:val="0"/>
          <w:szCs w:val="21"/>
        </w:rPr>
        <w:t>了解包装创意的类型和途径</w:t>
      </w:r>
    </w:p>
    <w:p w14:paraId="3C70313E" w14:textId="77777777" w:rsidR="00F5289E" w:rsidRDefault="00C91173">
      <w:pPr>
        <w:widowControl/>
        <w:adjustRightInd w:val="0"/>
        <w:snapToGrid w:val="0"/>
        <w:spacing w:line="360" w:lineRule="auto"/>
        <w:jc w:val="left"/>
        <w:rPr>
          <w:b/>
          <w:szCs w:val="21"/>
        </w:rPr>
      </w:pPr>
      <w:r>
        <w:rPr>
          <w:b/>
          <w:szCs w:val="21"/>
        </w:rPr>
        <w:t>第四节</w:t>
      </w:r>
      <w:r>
        <w:rPr>
          <w:b/>
          <w:szCs w:val="21"/>
        </w:rPr>
        <w:t xml:space="preserve"> </w:t>
      </w:r>
      <w:r>
        <w:rPr>
          <w:b/>
          <w:szCs w:val="21"/>
        </w:rPr>
        <w:t>销售环节创意设计（</w:t>
      </w:r>
      <w:r>
        <w:rPr>
          <w:b/>
          <w:szCs w:val="21"/>
        </w:rPr>
        <w:t>1</w:t>
      </w:r>
      <w:r>
        <w:rPr>
          <w:b/>
          <w:szCs w:val="21"/>
        </w:rPr>
        <w:t>学时）</w:t>
      </w:r>
    </w:p>
    <w:p w14:paraId="371DDBEF" w14:textId="77777777" w:rsidR="00F5289E" w:rsidRDefault="00C91173">
      <w:pPr>
        <w:snapToGrid w:val="0"/>
        <w:spacing w:line="360" w:lineRule="auto"/>
        <w:ind w:firstLineChars="200" w:firstLine="420"/>
        <w:rPr>
          <w:color w:val="353535"/>
          <w:kern w:val="0"/>
          <w:szCs w:val="21"/>
        </w:rPr>
      </w:pPr>
      <w:r>
        <w:rPr>
          <w:color w:val="353535"/>
          <w:kern w:val="0"/>
          <w:szCs w:val="21"/>
        </w:rPr>
        <w:t>了解参观销售、节庆销售、线上销售、个性化需求销售的方法。</w:t>
      </w:r>
    </w:p>
    <w:p w14:paraId="0F8B3373" w14:textId="77777777" w:rsidR="00F5289E" w:rsidRDefault="00C91173">
      <w:pPr>
        <w:snapToGrid w:val="0"/>
        <w:spacing w:line="360" w:lineRule="auto"/>
        <w:ind w:firstLineChars="200" w:firstLine="420"/>
        <w:rPr>
          <w:color w:val="353535"/>
          <w:kern w:val="0"/>
          <w:szCs w:val="21"/>
        </w:rPr>
      </w:pPr>
      <w:r>
        <w:rPr>
          <w:color w:val="353535"/>
          <w:kern w:val="0"/>
          <w:szCs w:val="21"/>
        </w:rPr>
        <w:lastRenderedPageBreak/>
        <w:t>掌握品牌创建的途径和方法。</w:t>
      </w:r>
    </w:p>
    <w:p w14:paraId="6A416B29" w14:textId="77777777" w:rsidR="00F5289E" w:rsidRDefault="00C91173">
      <w:pPr>
        <w:widowControl/>
        <w:snapToGrid w:val="0"/>
        <w:spacing w:line="360" w:lineRule="auto"/>
        <w:jc w:val="left"/>
        <w:rPr>
          <w:color w:val="353535"/>
          <w:kern w:val="0"/>
          <w:szCs w:val="21"/>
        </w:rPr>
      </w:pPr>
      <w:r>
        <w:rPr>
          <w:b/>
          <w:bCs/>
          <w:szCs w:val="21"/>
        </w:rPr>
        <w:t>教学组织与实施：</w:t>
      </w:r>
      <w:r>
        <w:rPr>
          <w:color w:val="353535"/>
          <w:kern w:val="0"/>
          <w:szCs w:val="21"/>
        </w:rPr>
        <w:t>安排学生课前网上查阅创意农业的有关创意、预习本节内容；利用多媒体进行课堂讲解，课堂上对预留问题提问、讨论培育二年生巨型园艺植物产品的技术。</w:t>
      </w:r>
    </w:p>
    <w:p w14:paraId="6AB9006C" w14:textId="77777777" w:rsidR="00F5289E" w:rsidRDefault="00F5289E">
      <w:pPr>
        <w:snapToGrid w:val="0"/>
        <w:spacing w:line="360" w:lineRule="auto"/>
        <w:ind w:firstLineChars="250" w:firstLine="525"/>
        <w:rPr>
          <w:color w:val="FF0000"/>
          <w:kern w:val="0"/>
          <w:szCs w:val="21"/>
        </w:rPr>
      </w:pPr>
    </w:p>
    <w:p w14:paraId="56522B17" w14:textId="77777777" w:rsidR="00F5289E" w:rsidRDefault="00C91173">
      <w:pPr>
        <w:widowControl/>
        <w:snapToGrid w:val="0"/>
        <w:spacing w:line="360" w:lineRule="auto"/>
        <w:ind w:right="315" w:firstLineChars="490" w:firstLine="1033"/>
        <w:jc w:val="right"/>
        <w:rPr>
          <w:b/>
          <w:bCs/>
          <w:color w:val="353535"/>
          <w:kern w:val="0"/>
          <w:szCs w:val="21"/>
        </w:rPr>
      </w:pPr>
      <w:r>
        <w:rPr>
          <w:b/>
          <w:bCs/>
          <w:kern w:val="0"/>
          <w:szCs w:val="21"/>
        </w:rPr>
        <w:t>第三章</w:t>
      </w:r>
      <w:r>
        <w:rPr>
          <w:b/>
          <w:bCs/>
          <w:kern w:val="0"/>
          <w:szCs w:val="21"/>
        </w:rPr>
        <w:t xml:space="preserve">  </w:t>
      </w:r>
      <w:r>
        <w:rPr>
          <w:b/>
          <w:bCs/>
          <w:kern w:val="0"/>
          <w:szCs w:val="21"/>
        </w:rPr>
        <w:t>创意农业案例分析</w:t>
      </w:r>
      <w:r>
        <w:rPr>
          <w:b/>
          <w:bCs/>
          <w:kern w:val="0"/>
          <w:szCs w:val="21"/>
        </w:rPr>
        <w:t xml:space="preserve">                    </w:t>
      </w:r>
      <w:r>
        <w:rPr>
          <w:b/>
          <w:bCs/>
          <w:kern w:val="0"/>
          <w:szCs w:val="21"/>
        </w:rPr>
        <w:t>学时数：</w:t>
      </w:r>
      <w:r>
        <w:rPr>
          <w:b/>
          <w:bCs/>
          <w:kern w:val="0"/>
          <w:szCs w:val="21"/>
        </w:rPr>
        <w:t>4</w:t>
      </w:r>
    </w:p>
    <w:p w14:paraId="294BF4DD" w14:textId="77777777" w:rsidR="00F5289E" w:rsidRDefault="00C91173">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使学生了解不同单一模式创意农业案例的特点、不同创意农业组合模式案例的特点，比较不同类别、不同层次创意农业的优缺点，明确创意农业的发展方向。</w:t>
      </w:r>
    </w:p>
    <w:p w14:paraId="61FD7E27" w14:textId="77777777" w:rsidR="00F5289E" w:rsidRDefault="00C91173">
      <w:pPr>
        <w:widowControl/>
        <w:adjustRightInd w:val="0"/>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本章重点是不同层次确创意农业案例的特色设计。难点内容为创意农业的组合设计。</w:t>
      </w:r>
    </w:p>
    <w:p w14:paraId="54DD7D07" w14:textId="77777777" w:rsidR="00F5289E" w:rsidRDefault="00C91173">
      <w:pPr>
        <w:widowControl/>
        <w:adjustRightInd w:val="0"/>
        <w:snapToGrid w:val="0"/>
        <w:spacing w:line="360" w:lineRule="auto"/>
        <w:rPr>
          <w:b/>
          <w:bCs/>
          <w:color w:val="353535"/>
          <w:kern w:val="0"/>
          <w:szCs w:val="21"/>
        </w:rPr>
      </w:pPr>
      <w:r>
        <w:rPr>
          <w:b/>
          <w:bCs/>
          <w:szCs w:val="21"/>
        </w:rPr>
        <w:t>主要教学内容及要求：</w:t>
      </w:r>
    </w:p>
    <w:p w14:paraId="50124DBC" w14:textId="77777777" w:rsidR="00F5289E" w:rsidRDefault="00C91173">
      <w:pPr>
        <w:widowControl/>
        <w:adjustRightInd w:val="0"/>
        <w:snapToGrid w:val="0"/>
        <w:spacing w:line="360" w:lineRule="auto"/>
        <w:jc w:val="left"/>
        <w:rPr>
          <w:b/>
          <w:bCs/>
          <w:kern w:val="0"/>
          <w:szCs w:val="21"/>
        </w:rPr>
      </w:pPr>
      <w:r>
        <w:rPr>
          <w:b/>
          <w:kern w:val="0"/>
          <w:szCs w:val="21"/>
        </w:rPr>
        <w:t>第一节</w:t>
      </w:r>
      <w:r>
        <w:rPr>
          <w:b/>
          <w:kern w:val="0"/>
          <w:szCs w:val="21"/>
        </w:rPr>
        <w:t xml:space="preserve"> </w:t>
      </w:r>
      <w:r>
        <w:rPr>
          <w:b/>
          <w:szCs w:val="21"/>
        </w:rPr>
        <w:t>单一模式创意农业案例分析（</w:t>
      </w:r>
      <w:r>
        <w:rPr>
          <w:b/>
          <w:bCs/>
          <w:kern w:val="0"/>
          <w:szCs w:val="21"/>
        </w:rPr>
        <w:t>2</w:t>
      </w:r>
      <w:r>
        <w:rPr>
          <w:b/>
          <w:bCs/>
          <w:kern w:val="0"/>
          <w:szCs w:val="21"/>
        </w:rPr>
        <w:t>学时）</w:t>
      </w:r>
    </w:p>
    <w:p w14:paraId="693CF71E"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京承碧园</w:t>
      </w:r>
      <w:r>
        <w:rPr>
          <w:color w:val="353535"/>
          <w:kern w:val="0"/>
          <w:szCs w:val="21"/>
        </w:rPr>
        <w:t>”</w:t>
      </w:r>
      <w:r>
        <w:rPr>
          <w:color w:val="353535"/>
          <w:kern w:val="0"/>
          <w:szCs w:val="21"/>
        </w:rPr>
        <w:t>创意农业模式（研发环节创意模式案例）</w:t>
      </w:r>
    </w:p>
    <w:p w14:paraId="62E12139"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波龙堡酒庄</w:t>
      </w:r>
      <w:r>
        <w:rPr>
          <w:color w:val="353535"/>
          <w:kern w:val="0"/>
          <w:szCs w:val="21"/>
        </w:rPr>
        <w:t>”</w:t>
      </w:r>
      <w:r>
        <w:rPr>
          <w:color w:val="353535"/>
          <w:kern w:val="0"/>
          <w:szCs w:val="21"/>
        </w:rPr>
        <w:t>创意农业模式（生产环节创意模式案例）</w:t>
      </w:r>
    </w:p>
    <w:p w14:paraId="71C4740D"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大兴农业</w:t>
      </w:r>
      <w:r>
        <w:rPr>
          <w:color w:val="353535"/>
          <w:kern w:val="0"/>
          <w:szCs w:val="21"/>
        </w:rPr>
        <w:t>”</w:t>
      </w:r>
      <w:r>
        <w:rPr>
          <w:color w:val="353535"/>
          <w:kern w:val="0"/>
          <w:szCs w:val="21"/>
        </w:rPr>
        <w:t>创意农业模式（生产环节创意模式案例）</w:t>
      </w:r>
    </w:p>
    <w:p w14:paraId="18A50997"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故乡农园</w:t>
      </w:r>
      <w:r>
        <w:rPr>
          <w:color w:val="353535"/>
          <w:kern w:val="0"/>
          <w:szCs w:val="21"/>
        </w:rPr>
        <w:t>”</w:t>
      </w:r>
      <w:r>
        <w:rPr>
          <w:color w:val="353535"/>
          <w:kern w:val="0"/>
          <w:szCs w:val="21"/>
        </w:rPr>
        <w:t>创意农业模式（销售环节创意模式案例）</w:t>
      </w:r>
    </w:p>
    <w:p w14:paraId="0E6DAADE" w14:textId="77777777" w:rsidR="00F5289E" w:rsidRDefault="00C91173">
      <w:pPr>
        <w:snapToGrid w:val="0"/>
        <w:spacing w:line="360" w:lineRule="auto"/>
        <w:ind w:firstLineChars="200" w:firstLine="420"/>
        <w:rPr>
          <w:color w:val="353535"/>
          <w:kern w:val="0"/>
          <w:szCs w:val="21"/>
        </w:rPr>
      </w:pPr>
      <w:r>
        <w:rPr>
          <w:color w:val="353535"/>
          <w:kern w:val="0"/>
          <w:szCs w:val="21"/>
        </w:rPr>
        <w:t>掌握突出优势设计单一模式创意农业的方法</w:t>
      </w:r>
    </w:p>
    <w:p w14:paraId="2040C54A" w14:textId="77777777" w:rsidR="00F5289E" w:rsidRDefault="00C91173">
      <w:pPr>
        <w:widowControl/>
        <w:adjustRightInd w:val="0"/>
        <w:snapToGrid w:val="0"/>
        <w:spacing w:line="360" w:lineRule="auto"/>
        <w:jc w:val="left"/>
        <w:rPr>
          <w:b/>
          <w:szCs w:val="21"/>
        </w:rPr>
      </w:pPr>
      <w:r>
        <w:rPr>
          <w:b/>
          <w:szCs w:val="21"/>
        </w:rPr>
        <w:t>第二节</w:t>
      </w:r>
      <w:r>
        <w:rPr>
          <w:b/>
          <w:szCs w:val="21"/>
        </w:rPr>
        <w:t xml:space="preserve">  </w:t>
      </w:r>
      <w:r>
        <w:rPr>
          <w:b/>
          <w:szCs w:val="21"/>
        </w:rPr>
        <w:t>创意农业组合模式案例分析（</w:t>
      </w:r>
      <w:r>
        <w:rPr>
          <w:b/>
          <w:szCs w:val="21"/>
        </w:rPr>
        <w:t>2</w:t>
      </w:r>
      <w:r>
        <w:rPr>
          <w:b/>
          <w:szCs w:val="21"/>
        </w:rPr>
        <w:t>学时）</w:t>
      </w:r>
    </w:p>
    <w:p w14:paraId="6FDD7C06"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日本</w:t>
      </w:r>
      <w:r>
        <w:rPr>
          <w:color w:val="353535"/>
          <w:kern w:val="0"/>
          <w:szCs w:val="21"/>
        </w:rPr>
        <w:t>‘</w:t>
      </w:r>
      <w:r>
        <w:rPr>
          <w:color w:val="353535"/>
          <w:kern w:val="0"/>
          <w:szCs w:val="21"/>
        </w:rPr>
        <w:t>健康村</w:t>
      </w:r>
      <w:r>
        <w:rPr>
          <w:color w:val="353535"/>
          <w:kern w:val="0"/>
          <w:szCs w:val="21"/>
        </w:rPr>
        <w:t>’</w:t>
      </w:r>
      <w:r>
        <w:rPr>
          <w:color w:val="353535"/>
          <w:kern w:val="0"/>
          <w:szCs w:val="21"/>
        </w:rPr>
        <w:t>创意农业模式</w:t>
      </w:r>
      <w:r>
        <w:rPr>
          <w:color w:val="353535"/>
          <w:kern w:val="0"/>
          <w:szCs w:val="21"/>
        </w:rPr>
        <w:t>”</w:t>
      </w:r>
      <w:r>
        <w:rPr>
          <w:color w:val="353535"/>
          <w:kern w:val="0"/>
          <w:szCs w:val="21"/>
        </w:rPr>
        <w:t>（生产环节</w:t>
      </w:r>
      <w:r>
        <w:rPr>
          <w:color w:val="353535"/>
          <w:kern w:val="0"/>
          <w:szCs w:val="21"/>
        </w:rPr>
        <w:t>+</w:t>
      </w:r>
      <w:r>
        <w:rPr>
          <w:color w:val="353535"/>
          <w:kern w:val="0"/>
          <w:szCs w:val="21"/>
        </w:rPr>
        <w:t>销售环节案例）</w:t>
      </w:r>
    </w:p>
    <w:p w14:paraId="1EEBF1B6"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北京</w:t>
      </w:r>
      <w:r>
        <w:rPr>
          <w:color w:val="353535"/>
          <w:kern w:val="0"/>
          <w:szCs w:val="21"/>
        </w:rPr>
        <w:t>‘</w:t>
      </w:r>
      <w:r>
        <w:rPr>
          <w:color w:val="353535"/>
          <w:kern w:val="0"/>
          <w:szCs w:val="21"/>
        </w:rPr>
        <w:t>紫海香堤</w:t>
      </w:r>
      <w:r>
        <w:rPr>
          <w:color w:val="353535"/>
          <w:kern w:val="0"/>
          <w:szCs w:val="21"/>
        </w:rPr>
        <w:t>’</w:t>
      </w:r>
      <w:r>
        <w:rPr>
          <w:color w:val="353535"/>
          <w:kern w:val="0"/>
          <w:szCs w:val="21"/>
        </w:rPr>
        <w:t>模式</w:t>
      </w:r>
      <w:r>
        <w:rPr>
          <w:color w:val="353535"/>
          <w:kern w:val="0"/>
          <w:szCs w:val="21"/>
        </w:rPr>
        <w:t>”</w:t>
      </w:r>
      <w:r>
        <w:rPr>
          <w:color w:val="353535"/>
          <w:kern w:val="0"/>
          <w:szCs w:val="21"/>
        </w:rPr>
        <w:t>（研发环节</w:t>
      </w:r>
      <w:r>
        <w:rPr>
          <w:color w:val="353535"/>
          <w:kern w:val="0"/>
          <w:szCs w:val="21"/>
        </w:rPr>
        <w:t>+</w:t>
      </w:r>
      <w:r>
        <w:rPr>
          <w:color w:val="353535"/>
          <w:kern w:val="0"/>
          <w:szCs w:val="21"/>
        </w:rPr>
        <w:t>生产环节</w:t>
      </w:r>
      <w:r>
        <w:rPr>
          <w:color w:val="353535"/>
          <w:kern w:val="0"/>
          <w:szCs w:val="21"/>
        </w:rPr>
        <w:t>+</w:t>
      </w:r>
      <w:r>
        <w:rPr>
          <w:color w:val="353535"/>
          <w:kern w:val="0"/>
          <w:szCs w:val="21"/>
        </w:rPr>
        <w:t>销售环节案例）</w:t>
      </w:r>
    </w:p>
    <w:p w14:paraId="5CA48C96" w14:textId="77777777" w:rsidR="00F5289E" w:rsidRDefault="00C91173">
      <w:pPr>
        <w:snapToGrid w:val="0"/>
        <w:spacing w:line="360" w:lineRule="auto"/>
        <w:ind w:firstLineChars="200" w:firstLine="420"/>
        <w:rPr>
          <w:color w:val="353535"/>
          <w:kern w:val="0"/>
          <w:szCs w:val="21"/>
        </w:rPr>
      </w:pPr>
      <w:r>
        <w:rPr>
          <w:color w:val="353535"/>
          <w:kern w:val="0"/>
          <w:szCs w:val="21"/>
        </w:rPr>
        <w:t>了解岭南陈村模式：（研发环节</w:t>
      </w:r>
      <w:r>
        <w:rPr>
          <w:color w:val="353535"/>
          <w:kern w:val="0"/>
          <w:szCs w:val="21"/>
        </w:rPr>
        <w:t>+</w:t>
      </w:r>
      <w:r>
        <w:rPr>
          <w:color w:val="353535"/>
          <w:kern w:val="0"/>
          <w:szCs w:val="21"/>
        </w:rPr>
        <w:t>生产环节</w:t>
      </w:r>
      <w:r>
        <w:rPr>
          <w:color w:val="353535"/>
          <w:kern w:val="0"/>
          <w:szCs w:val="21"/>
        </w:rPr>
        <w:t>+</w:t>
      </w:r>
      <w:r>
        <w:rPr>
          <w:color w:val="353535"/>
          <w:kern w:val="0"/>
          <w:szCs w:val="21"/>
        </w:rPr>
        <w:t>销售环节案例）</w:t>
      </w:r>
    </w:p>
    <w:p w14:paraId="2FB23C8C" w14:textId="77777777" w:rsidR="00F5289E" w:rsidRDefault="00C91173">
      <w:pPr>
        <w:snapToGrid w:val="0"/>
        <w:spacing w:line="360" w:lineRule="auto"/>
        <w:ind w:firstLineChars="200" w:firstLine="420"/>
        <w:rPr>
          <w:color w:val="353535"/>
          <w:kern w:val="0"/>
          <w:szCs w:val="21"/>
        </w:rPr>
      </w:pPr>
      <w:r>
        <w:rPr>
          <w:color w:val="353535"/>
          <w:kern w:val="0"/>
          <w:szCs w:val="21"/>
        </w:rPr>
        <w:t>了解</w:t>
      </w:r>
      <w:r>
        <w:rPr>
          <w:color w:val="353535"/>
          <w:kern w:val="0"/>
          <w:szCs w:val="21"/>
        </w:rPr>
        <w:t>“</w:t>
      </w:r>
      <w:r>
        <w:rPr>
          <w:color w:val="353535"/>
          <w:kern w:val="0"/>
          <w:szCs w:val="21"/>
        </w:rPr>
        <w:t>普罗旺斯薰衣草模式</w:t>
      </w:r>
      <w:r>
        <w:rPr>
          <w:color w:val="353535"/>
          <w:kern w:val="0"/>
          <w:szCs w:val="21"/>
        </w:rPr>
        <w:t>”</w:t>
      </w:r>
      <w:r>
        <w:rPr>
          <w:color w:val="353535"/>
          <w:kern w:val="0"/>
          <w:szCs w:val="21"/>
        </w:rPr>
        <w:t>（全产业链案例）</w:t>
      </w:r>
    </w:p>
    <w:p w14:paraId="63C98978" w14:textId="77777777" w:rsidR="00F5289E" w:rsidRDefault="00C91173">
      <w:pPr>
        <w:snapToGrid w:val="0"/>
        <w:spacing w:line="360" w:lineRule="auto"/>
        <w:ind w:firstLineChars="200" w:firstLine="420"/>
        <w:rPr>
          <w:color w:val="353535"/>
          <w:kern w:val="0"/>
          <w:szCs w:val="21"/>
        </w:rPr>
      </w:pPr>
      <w:r>
        <w:rPr>
          <w:color w:val="353535"/>
          <w:kern w:val="0"/>
          <w:szCs w:val="21"/>
        </w:rPr>
        <w:t>理解创意农业组合模式要素间的关系</w:t>
      </w:r>
    </w:p>
    <w:p w14:paraId="45ABACCA" w14:textId="77777777" w:rsidR="00F5289E" w:rsidRDefault="00C91173">
      <w:pPr>
        <w:snapToGrid w:val="0"/>
        <w:spacing w:line="360" w:lineRule="auto"/>
        <w:ind w:firstLineChars="200" w:firstLine="420"/>
        <w:rPr>
          <w:color w:val="353535"/>
          <w:kern w:val="0"/>
          <w:szCs w:val="21"/>
        </w:rPr>
      </w:pPr>
      <w:r>
        <w:rPr>
          <w:color w:val="353535"/>
          <w:kern w:val="0"/>
          <w:szCs w:val="21"/>
        </w:rPr>
        <w:t>掌握突出优势设计创意农业组合模式的方法</w:t>
      </w:r>
    </w:p>
    <w:p w14:paraId="6610A64F" w14:textId="77777777" w:rsidR="00F5289E" w:rsidRDefault="00C91173">
      <w:pPr>
        <w:widowControl/>
        <w:snapToGrid w:val="0"/>
        <w:spacing w:line="360" w:lineRule="auto"/>
        <w:jc w:val="left"/>
        <w:rPr>
          <w:color w:val="353535"/>
          <w:kern w:val="0"/>
          <w:szCs w:val="21"/>
        </w:rPr>
      </w:pPr>
      <w:r>
        <w:rPr>
          <w:b/>
          <w:szCs w:val="21"/>
        </w:rPr>
        <w:t>教学组织与实施：</w:t>
      </w:r>
      <w:r>
        <w:rPr>
          <w:color w:val="353535"/>
          <w:kern w:val="0"/>
          <w:szCs w:val="21"/>
        </w:rPr>
        <w:t>课前要求学生网上查阅有关创意农业模式，准备课堂汇报</w:t>
      </w:r>
      <w:r>
        <w:rPr>
          <w:color w:val="353535"/>
          <w:kern w:val="0"/>
          <w:szCs w:val="21"/>
        </w:rPr>
        <w:t>PPT</w:t>
      </w:r>
      <w:r>
        <w:rPr>
          <w:color w:val="353535"/>
          <w:kern w:val="0"/>
          <w:szCs w:val="21"/>
        </w:rPr>
        <w:t>，教师利用多媒体讲解部分模式，安排学生讲解部分模式，教师点评。</w:t>
      </w:r>
    </w:p>
    <w:p w14:paraId="27C9183E" w14:textId="77777777" w:rsidR="00F5289E" w:rsidRDefault="00F5289E">
      <w:pPr>
        <w:widowControl/>
        <w:snapToGrid w:val="0"/>
        <w:spacing w:line="360" w:lineRule="auto"/>
        <w:ind w:firstLineChars="200" w:firstLine="420"/>
        <w:jc w:val="left"/>
        <w:rPr>
          <w:color w:val="0000FF"/>
          <w:kern w:val="0"/>
          <w:szCs w:val="21"/>
        </w:rPr>
      </w:pPr>
    </w:p>
    <w:p w14:paraId="68B3B972" w14:textId="77777777" w:rsidR="00F5289E" w:rsidRDefault="00C91173">
      <w:pPr>
        <w:widowControl/>
        <w:snapToGrid w:val="0"/>
        <w:spacing w:line="360" w:lineRule="auto"/>
        <w:jc w:val="left"/>
        <w:rPr>
          <w:b/>
          <w:bCs/>
          <w:kern w:val="0"/>
          <w:szCs w:val="21"/>
        </w:rPr>
      </w:pPr>
      <w:r>
        <w:rPr>
          <w:b/>
          <w:bCs/>
          <w:kern w:val="0"/>
          <w:szCs w:val="21"/>
        </w:rPr>
        <w:t>五、实验教学内容及学时分配（</w:t>
      </w:r>
      <w:r>
        <w:rPr>
          <w:b/>
          <w:bCs/>
          <w:kern w:val="0"/>
          <w:szCs w:val="21"/>
        </w:rPr>
        <w:t>8</w:t>
      </w:r>
      <w:r>
        <w:rPr>
          <w:b/>
          <w:bCs/>
          <w:kern w:val="0"/>
          <w:szCs w:val="21"/>
        </w:rPr>
        <w:t>学时）</w:t>
      </w:r>
    </w:p>
    <w:p w14:paraId="51DE29B9" w14:textId="77777777" w:rsidR="00F5289E" w:rsidRDefault="00C91173">
      <w:pPr>
        <w:snapToGrid w:val="0"/>
        <w:spacing w:line="360" w:lineRule="auto"/>
        <w:rPr>
          <w:b/>
          <w:bCs/>
          <w:szCs w:val="21"/>
        </w:rPr>
      </w:pPr>
      <w:r>
        <w:rPr>
          <w:b/>
          <w:szCs w:val="21"/>
        </w:rPr>
        <w:t>（一）</w:t>
      </w:r>
      <w:r>
        <w:rPr>
          <w:b/>
          <w:bCs/>
          <w:szCs w:val="21"/>
        </w:rPr>
        <w:t>实验课程简介</w:t>
      </w:r>
    </w:p>
    <w:p w14:paraId="52F379D8" w14:textId="77777777" w:rsidR="00F5289E" w:rsidRDefault="00C91173">
      <w:pPr>
        <w:snapToGrid w:val="0"/>
        <w:spacing w:line="360" w:lineRule="auto"/>
        <w:ind w:firstLineChars="200" w:firstLine="420"/>
        <w:rPr>
          <w:bCs/>
          <w:color w:val="0000FF"/>
          <w:szCs w:val="21"/>
        </w:rPr>
      </w:pPr>
      <w:r>
        <w:rPr>
          <w:szCs w:val="21"/>
        </w:rPr>
        <w:t>本课程实验是《创意农业》课程重要的实践教学内容，设立了</w:t>
      </w:r>
      <w:r>
        <w:rPr>
          <w:szCs w:val="21"/>
        </w:rPr>
        <w:t>4</w:t>
      </w:r>
      <w:r>
        <w:rPr>
          <w:szCs w:val="21"/>
        </w:rPr>
        <w:t>个实验项目，包括：多种（或多品种）嫁接培育景观植物的实际操作实验；利用园艺生物学知识，设计培育二年生巨型园艺蔬菜的技术方案设计；根据蔬菜生长特性，进行景观蔬菜设施栽培设计；综合运用本课程知识设计一个组合模式的创意农业设计。设计的实验能培养学生的实际动手能力、理论联系实际能、综合运用知识能力，从产业链角度了解创意农业与创意产业的关系，为掌握创意农业及其产品的创意途径和创意方向等打下实践基础。</w:t>
      </w:r>
    </w:p>
    <w:p w14:paraId="619632ED" w14:textId="77777777" w:rsidR="00F5289E" w:rsidRDefault="00C91173">
      <w:pPr>
        <w:snapToGrid w:val="0"/>
        <w:spacing w:line="360" w:lineRule="auto"/>
        <w:rPr>
          <w:b/>
          <w:bCs/>
          <w:szCs w:val="21"/>
        </w:rPr>
      </w:pPr>
      <w:r>
        <w:rPr>
          <w:b/>
          <w:bCs/>
          <w:szCs w:val="21"/>
        </w:rPr>
        <w:lastRenderedPageBreak/>
        <w:t>（二）实验教学目的和基本要求</w:t>
      </w:r>
    </w:p>
    <w:p w14:paraId="5A2C97AC" w14:textId="77777777" w:rsidR="00F5289E" w:rsidRDefault="00C91173">
      <w:pPr>
        <w:snapToGrid w:val="0"/>
        <w:spacing w:line="360" w:lineRule="auto"/>
        <w:ind w:firstLineChars="218" w:firstLine="458"/>
        <w:rPr>
          <w:color w:val="0000FF"/>
        </w:rPr>
      </w:pPr>
      <w:r>
        <w:rPr>
          <w:szCs w:val="21"/>
        </w:rPr>
        <w:t>通过本实验课教学，使学生具备创意产品开发的实际动手能力，具备创意产品研发的设计能力，掌握设计组合式模式创意农业的技术和方法。通过实验教学与训练，培养学生综合运用基础课、专业基础课知识的能力，培养学生自主探求知识、独立分析问题和解决问题的能力。</w:t>
      </w:r>
    </w:p>
    <w:p w14:paraId="7BC378B3" w14:textId="77777777" w:rsidR="00F5289E" w:rsidRDefault="00C91173">
      <w:pPr>
        <w:snapToGrid w:val="0"/>
        <w:spacing w:line="360" w:lineRule="auto"/>
        <w:rPr>
          <w:b/>
        </w:rPr>
      </w:pPr>
      <w:r>
        <w:rPr>
          <w:b/>
        </w:rPr>
        <w:t>（三）实验安全操作规范</w:t>
      </w:r>
    </w:p>
    <w:p w14:paraId="14FA555B" w14:textId="77777777" w:rsidR="00F5289E" w:rsidRDefault="00C91173">
      <w:pPr>
        <w:snapToGrid w:val="0"/>
        <w:spacing w:line="360" w:lineRule="auto"/>
        <w:ind w:firstLineChars="200" w:firstLine="420"/>
        <w:rPr>
          <w:color w:val="0000FF"/>
        </w:rPr>
      </w:pPr>
      <w:r>
        <w:rPr>
          <w:szCs w:val="21"/>
        </w:rPr>
        <w:t>学生提前预习课程相关内容，教师课前针对操作内容进行详细讲解，并进行操作示范，实验过程中要求学生严格遵照操作规程，正确进行操作，做好相关仪器设备使用登记。</w:t>
      </w:r>
    </w:p>
    <w:p w14:paraId="62A92DF1" w14:textId="77777777" w:rsidR="00F5289E" w:rsidRDefault="00C91173">
      <w:pPr>
        <w:snapToGrid w:val="0"/>
        <w:spacing w:line="360" w:lineRule="auto"/>
        <w:rPr>
          <w:b/>
          <w:bCs/>
          <w:szCs w:val="21"/>
        </w:rPr>
      </w:pPr>
      <w:r>
        <w:rPr>
          <w:b/>
          <w:bCs/>
          <w:szCs w:val="21"/>
        </w:rPr>
        <w:t>（四）实验项目名称与学时分配</w:t>
      </w:r>
    </w:p>
    <w:tbl>
      <w:tblPr>
        <w:tblStyle w:val="af6"/>
        <w:tblW w:w="9352" w:type="dxa"/>
        <w:jc w:val="center"/>
        <w:tblLook w:val="04A0" w:firstRow="1" w:lastRow="0" w:firstColumn="1" w:lastColumn="0" w:noHBand="0" w:noVBand="1"/>
      </w:tblPr>
      <w:tblGrid>
        <w:gridCol w:w="1308"/>
        <w:gridCol w:w="3312"/>
        <w:gridCol w:w="740"/>
        <w:gridCol w:w="1141"/>
        <w:gridCol w:w="1500"/>
        <w:gridCol w:w="1351"/>
      </w:tblGrid>
      <w:tr w:rsidR="00F5289E" w14:paraId="5B13E4A7" w14:textId="77777777">
        <w:trPr>
          <w:trHeight w:val="373"/>
          <w:jc w:val="center"/>
        </w:trPr>
        <w:tc>
          <w:tcPr>
            <w:tcW w:w="1308" w:type="dxa"/>
            <w:shd w:val="clear" w:color="auto" w:fill="EEECE1" w:themeFill="background2"/>
            <w:vAlign w:val="center"/>
          </w:tcPr>
          <w:p w14:paraId="0F546500" w14:textId="77777777" w:rsidR="00F5289E" w:rsidRDefault="00C91173">
            <w:pPr>
              <w:snapToGrid w:val="0"/>
              <w:jc w:val="center"/>
              <w:rPr>
                <w:b/>
                <w:bCs/>
                <w:sz w:val="18"/>
                <w:szCs w:val="18"/>
              </w:rPr>
            </w:pPr>
            <w:r>
              <w:rPr>
                <w:b/>
                <w:bCs/>
                <w:sz w:val="18"/>
                <w:szCs w:val="18"/>
              </w:rPr>
              <w:t>序号</w:t>
            </w:r>
          </w:p>
        </w:tc>
        <w:tc>
          <w:tcPr>
            <w:tcW w:w="3312" w:type="dxa"/>
            <w:shd w:val="clear" w:color="auto" w:fill="EEECE1" w:themeFill="background2"/>
            <w:vAlign w:val="center"/>
          </w:tcPr>
          <w:p w14:paraId="33B35A70" w14:textId="77777777" w:rsidR="00F5289E" w:rsidRDefault="00C91173">
            <w:pPr>
              <w:snapToGrid w:val="0"/>
              <w:jc w:val="center"/>
              <w:rPr>
                <w:b/>
                <w:bCs/>
                <w:sz w:val="18"/>
                <w:szCs w:val="18"/>
              </w:rPr>
            </w:pPr>
            <w:r>
              <w:rPr>
                <w:b/>
                <w:bCs/>
                <w:sz w:val="18"/>
                <w:szCs w:val="18"/>
              </w:rPr>
              <w:t>实验名称</w:t>
            </w:r>
          </w:p>
        </w:tc>
        <w:tc>
          <w:tcPr>
            <w:tcW w:w="740" w:type="dxa"/>
            <w:shd w:val="clear" w:color="auto" w:fill="EEECE1" w:themeFill="background2"/>
            <w:vAlign w:val="center"/>
          </w:tcPr>
          <w:p w14:paraId="02A13F53" w14:textId="77777777" w:rsidR="00F5289E" w:rsidRDefault="00C91173">
            <w:pPr>
              <w:snapToGrid w:val="0"/>
              <w:jc w:val="center"/>
              <w:rPr>
                <w:b/>
                <w:bCs/>
                <w:sz w:val="18"/>
                <w:szCs w:val="18"/>
              </w:rPr>
            </w:pPr>
            <w:r>
              <w:rPr>
                <w:b/>
                <w:bCs/>
                <w:sz w:val="18"/>
                <w:szCs w:val="18"/>
              </w:rPr>
              <w:t>学时</w:t>
            </w:r>
          </w:p>
        </w:tc>
        <w:tc>
          <w:tcPr>
            <w:tcW w:w="1141" w:type="dxa"/>
            <w:shd w:val="clear" w:color="auto" w:fill="EEECE1" w:themeFill="background2"/>
            <w:vAlign w:val="center"/>
          </w:tcPr>
          <w:p w14:paraId="7F07154F" w14:textId="77777777" w:rsidR="00F5289E" w:rsidRDefault="00C91173">
            <w:pPr>
              <w:snapToGrid w:val="0"/>
              <w:jc w:val="center"/>
              <w:rPr>
                <w:b/>
                <w:bCs/>
                <w:sz w:val="18"/>
                <w:szCs w:val="18"/>
              </w:rPr>
            </w:pPr>
            <w:r>
              <w:rPr>
                <w:b/>
                <w:bCs/>
                <w:sz w:val="18"/>
                <w:szCs w:val="18"/>
              </w:rPr>
              <w:t>类型</w:t>
            </w:r>
          </w:p>
        </w:tc>
        <w:tc>
          <w:tcPr>
            <w:tcW w:w="1500" w:type="dxa"/>
            <w:shd w:val="clear" w:color="auto" w:fill="EEECE1" w:themeFill="background2"/>
            <w:vAlign w:val="center"/>
          </w:tcPr>
          <w:p w14:paraId="4DC986D0" w14:textId="77777777" w:rsidR="00F5289E" w:rsidRDefault="00C91173">
            <w:pPr>
              <w:snapToGrid w:val="0"/>
              <w:jc w:val="center"/>
              <w:rPr>
                <w:b/>
                <w:bCs/>
                <w:sz w:val="18"/>
                <w:szCs w:val="18"/>
              </w:rPr>
            </w:pPr>
            <w:r>
              <w:rPr>
                <w:b/>
                <w:bCs/>
                <w:sz w:val="18"/>
                <w:szCs w:val="18"/>
              </w:rPr>
              <w:t>实验要求</w:t>
            </w:r>
          </w:p>
        </w:tc>
        <w:tc>
          <w:tcPr>
            <w:tcW w:w="1351" w:type="dxa"/>
            <w:shd w:val="clear" w:color="auto" w:fill="EEECE1" w:themeFill="background2"/>
            <w:vAlign w:val="center"/>
          </w:tcPr>
          <w:p w14:paraId="4745C7EF" w14:textId="77777777" w:rsidR="00F5289E" w:rsidRDefault="00C91173">
            <w:pPr>
              <w:snapToGrid w:val="0"/>
              <w:jc w:val="center"/>
              <w:rPr>
                <w:b/>
                <w:bCs/>
                <w:sz w:val="18"/>
                <w:szCs w:val="18"/>
              </w:rPr>
            </w:pPr>
            <w:r>
              <w:rPr>
                <w:b/>
                <w:bCs/>
                <w:sz w:val="18"/>
                <w:szCs w:val="18"/>
              </w:rPr>
              <w:t>每组人数</w:t>
            </w:r>
          </w:p>
        </w:tc>
      </w:tr>
      <w:tr w:rsidR="00F5289E" w14:paraId="7B7C74CE" w14:textId="77777777">
        <w:trPr>
          <w:trHeight w:val="447"/>
          <w:jc w:val="center"/>
        </w:trPr>
        <w:tc>
          <w:tcPr>
            <w:tcW w:w="1308" w:type="dxa"/>
            <w:vAlign w:val="center"/>
          </w:tcPr>
          <w:p w14:paraId="2537C9CA" w14:textId="77777777" w:rsidR="00F5289E" w:rsidRDefault="00C91173">
            <w:pPr>
              <w:snapToGrid w:val="0"/>
              <w:rPr>
                <w:sz w:val="18"/>
                <w:szCs w:val="18"/>
              </w:rPr>
            </w:pPr>
            <w:r>
              <w:rPr>
                <w:bCs/>
                <w:szCs w:val="21"/>
              </w:rPr>
              <w:t>19011122</w:t>
            </w:r>
            <w:r>
              <w:rPr>
                <w:sz w:val="18"/>
                <w:szCs w:val="18"/>
              </w:rPr>
              <w:t>01</w:t>
            </w:r>
          </w:p>
        </w:tc>
        <w:tc>
          <w:tcPr>
            <w:tcW w:w="3312" w:type="dxa"/>
            <w:vAlign w:val="center"/>
          </w:tcPr>
          <w:p w14:paraId="68450C2B" w14:textId="77777777" w:rsidR="00F5289E" w:rsidRDefault="00C91173">
            <w:pPr>
              <w:snapToGrid w:val="0"/>
              <w:rPr>
                <w:kern w:val="0"/>
                <w:sz w:val="18"/>
                <w:szCs w:val="18"/>
              </w:rPr>
            </w:pPr>
            <w:r>
              <w:rPr>
                <w:kern w:val="0"/>
                <w:sz w:val="18"/>
                <w:szCs w:val="18"/>
              </w:rPr>
              <w:t>同科多种园艺植物嫁接培育景观植物</w:t>
            </w:r>
          </w:p>
        </w:tc>
        <w:tc>
          <w:tcPr>
            <w:tcW w:w="740" w:type="dxa"/>
            <w:vAlign w:val="center"/>
          </w:tcPr>
          <w:p w14:paraId="3BF0B9E5" w14:textId="77777777" w:rsidR="00F5289E" w:rsidRDefault="00C91173">
            <w:pPr>
              <w:snapToGrid w:val="0"/>
              <w:jc w:val="center"/>
              <w:rPr>
                <w:kern w:val="0"/>
                <w:sz w:val="18"/>
                <w:szCs w:val="18"/>
              </w:rPr>
            </w:pPr>
            <w:r>
              <w:rPr>
                <w:kern w:val="0"/>
                <w:sz w:val="18"/>
                <w:szCs w:val="18"/>
              </w:rPr>
              <w:t>2</w:t>
            </w:r>
          </w:p>
        </w:tc>
        <w:tc>
          <w:tcPr>
            <w:tcW w:w="1141" w:type="dxa"/>
            <w:vAlign w:val="center"/>
          </w:tcPr>
          <w:p w14:paraId="1D184BBA" w14:textId="77777777" w:rsidR="00F5289E" w:rsidRDefault="00C91173">
            <w:pPr>
              <w:snapToGrid w:val="0"/>
              <w:jc w:val="center"/>
              <w:rPr>
                <w:kern w:val="0"/>
                <w:sz w:val="18"/>
                <w:szCs w:val="18"/>
              </w:rPr>
            </w:pPr>
            <w:r>
              <w:rPr>
                <w:kern w:val="0"/>
                <w:sz w:val="18"/>
                <w:szCs w:val="18"/>
              </w:rPr>
              <w:t>综合性</w:t>
            </w:r>
          </w:p>
        </w:tc>
        <w:tc>
          <w:tcPr>
            <w:tcW w:w="1500" w:type="dxa"/>
            <w:vAlign w:val="center"/>
          </w:tcPr>
          <w:p w14:paraId="481DE7A0" w14:textId="77777777" w:rsidR="00F5289E" w:rsidRDefault="00C91173">
            <w:pPr>
              <w:snapToGrid w:val="0"/>
              <w:jc w:val="center"/>
              <w:rPr>
                <w:kern w:val="0"/>
                <w:sz w:val="18"/>
                <w:szCs w:val="18"/>
              </w:rPr>
            </w:pPr>
            <w:r>
              <w:rPr>
                <w:kern w:val="0"/>
                <w:sz w:val="18"/>
                <w:szCs w:val="18"/>
              </w:rPr>
              <w:t>必做</w:t>
            </w:r>
          </w:p>
        </w:tc>
        <w:tc>
          <w:tcPr>
            <w:tcW w:w="1351" w:type="dxa"/>
            <w:vAlign w:val="center"/>
          </w:tcPr>
          <w:p w14:paraId="3E4BC2C9" w14:textId="77777777" w:rsidR="00F5289E" w:rsidRDefault="00C91173">
            <w:pPr>
              <w:snapToGrid w:val="0"/>
              <w:jc w:val="center"/>
              <w:rPr>
                <w:kern w:val="0"/>
                <w:sz w:val="18"/>
                <w:szCs w:val="18"/>
              </w:rPr>
            </w:pPr>
            <w:r>
              <w:rPr>
                <w:kern w:val="0"/>
                <w:sz w:val="18"/>
                <w:szCs w:val="18"/>
              </w:rPr>
              <w:t>5</w:t>
            </w:r>
          </w:p>
        </w:tc>
      </w:tr>
      <w:tr w:rsidR="00F5289E" w14:paraId="32CFE4D3" w14:textId="77777777">
        <w:trPr>
          <w:trHeight w:val="447"/>
          <w:jc w:val="center"/>
        </w:trPr>
        <w:tc>
          <w:tcPr>
            <w:tcW w:w="1308" w:type="dxa"/>
            <w:vAlign w:val="center"/>
          </w:tcPr>
          <w:p w14:paraId="7099F03B" w14:textId="77777777" w:rsidR="00F5289E" w:rsidRDefault="00C91173">
            <w:pPr>
              <w:snapToGrid w:val="0"/>
              <w:rPr>
                <w:sz w:val="18"/>
                <w:szCs w:val="18"/>
              </w:rPr>
            </w:pPr>
            <w:r>
              <w:rPr>
                <w:bCs/>
                <w:szCs w:val="21"/>
              </w:rPr>
              <w:t>1901112202</w:t>
            </w:r>
          </w:p>
        </w:tc>
        <w:tc>
          <w:tcPr>
            <w:tcW w:w="3312" w:type="dxa"/>
            <w:vAlign w:val="center"/>
          </w:tcPr>
          <w:p w14:paraId="5CA1E8C4" w14:textId="77777777" w:rsidR="00F5289E" w:rsidRDefault="00C91173">
            <w:pPr>
              <w:snapToGrid w:val="0"/>
              <w:rPr>
                <w:kern w:val="0"/>
                <w:sz w:val="18"/>
                <w:szCs w:val="18"/>
              </w:rPr>
            </w:pPr>
            <w:r>
              <w:rPr>
                <w:kern w:val="0"/>
                <w:sz w:val="18"/>
                <w:szCs w:val="18"/>
              </w:rPr>
              <w:t>培育二年生巨型蔬菜创意农业设计</w:t>
            </w:r>
          </w:p>
        </w:tc>
        <w:tc>
          <w:tcPr>
            <w:tcW w:w="740" w:type="dxa"/>
            <w:vAlign w:val="center"/>
          </w:tcPr>
          <w:p w14:paraId="4A6B7F3E" w14:textId="77777777" w:rsidR="00F5289E" w:rsidRDefault="00C91173">
            <w:pPr>
              <w:snapToGrid w:val="0"/>
              <w:jc w:val="center"/>
              <w:rPr>
                <w:kern w:val="0"/>
                <w:sz w:val="18"/>
                <w:szCs w:val="18"/>
              </w:rPr>
            </w:pPr>
            <w:r>
              <w:rPr>
                <w:kern w:val="0"/>
                <w:sz w:val="18"/>
                <w:szCs w:val="18"/>
              </w:rPr>
              <w:t>2</w:t>
            </w:r>
          </w:p>
        </w:tc>
        <w:tc>
          <w:tcPr>
            <w:tcW w:w="1141" w:type="dxa"/>
            <w:vAlign w:val="center"/>
          </w:tcPr>
          <w:p w14:paraId="18FD57C6" w14:textId="77777777" w:rsidR="00F5289E" w:rsidRDefault="00C91173">
            <w:pPr>
              <w:snapToGrid w:val="0"/>
              <w:jc w:val="center"/>
              <w:rPr>
                <w:kern w:val="0"/>
                <w:sz w:val="18"/>
                <w:szCs w:val="18"/>
              </w:rPr>
            </w:pPr>
            <w:r>
              <w:rPr>
                <w:kern w:val="0"/>
                <w:sz w:val="18"/>
                <w:szCs w:val="18"/>
              </w:rPr>
              <w:t>设计性</w:t>
            </w:r>
          </w:p>
        </w:tc>
        <w:tc>
          <w:tcPr>
            <w:tcW w:w="1500" w:type="dxa"/>
            <w:vAlign w:val="center"/>
          </w:tcPr>
          <w:p w14:paraId="4A1D1022" w14:textId="77777777" w:rsidR="00F5289E" w:rsidRDefault="00C91173">
            <w:pPr>
              <w:snapToGrid w:val="0"/>
              <w:jc w:val="center"/>
              <w:rPr>
                <w:kern w:val="0"/>
                <w:sz w:val="18"/>
                <w:szCs w:val="18"/>
              </w:rPr>
            </w:pPr>
            <w:r>
              <w:rPr>
                <w:kern w:val="0"/>
                <w:sz w:val="18"/>
                <w:szCs w:val="18"/>
              </w:rPr>
              <w:t>必做</w:t>
            </w:r>
          </w:p>
        </w:tc>
        <w:tc>
          <w:tcPr>
            <w:tcW w:w="1351" w:type="dxa"/>
            <w:vAlign w:val="center"/>
          </w:tcPr>
          <w:p w14:paraId="5800D3F3" w14:textId="77777777" w:rsidR="00F5289E" w:rsidRDefault="00C91173">
            <w:pPr>
              <w:snapToGrid w:val="0"/>
              <w:jc w:val="center"/>
              <w:rPr>
                <w:kern w:val="0"/>
                <w:sz w:val="18"/>
                <w:szCs w:val="18"/>
              </w:rPr>
            </w:pPr>
            <w:r>
              <w:rPr>
                <w:kern w:val="0"/>
                <w:sz w:val="18"/>
                <w:szCs w:val="18"/>
              </w:rPr>
              <w:t>5</w:t>
            </w:r>
          </w:p>
        </w:tc>
      </w:tr>
      <w:tr w:rsidR="00F5289E" w14:paraId="7108D2B1" w14:textId="77777777">
        <w:trPr>
          <w:trHeight w:val="447"/>
          <w:jc w:val="center"/>
        </w:trPr>
        <w:tc>
          <w:tcPr>
            <w:tcW w:w="1308" w:type="dxa"/>
            <w:vAlign w:val="center"/>
          </w:tcPr>
          <w:p w14:paraId="6C8A3A6E" w14:textId="77777777" w:rsidR="00F5289E" w:rsidRDefault="00C91173">
            <w:pPr>
              <w:snapToGrid w:val="0"/>
              <w:rPr>
                <w:bCs/>
                <w:szCs w:val="21"/>
              </w:rPr>
            </w:pPr>
            <w:r>
              <w:rPr>
                <w:bCs/>
                <w:szCs w:val="21"/>
              </w:rPr>
              <w:t>1901112203</w:t>
            </w:r>
          </w:p>
        </w:tc>
        <w:tc>
          <w:tcPr>
            <w:tcW w:w="3312" w:type="dxa"/>
            <w:vAlign w:val="center"/>
          </w:tcPr>
          <w:p w14:paraId="0DF08E9E" w14:textId="77777777" w:rsidR="00F5289E" w:rsidRDefault="00C91173">
            <w:pPr>
              <w:snapToGrid w:val="0"/>
              <w:rPr>
                <w:kern w:val="0"/>
                <w:sz w:val="18"/>
                <w:szCs w:val="18"/>
              </w:rPr>
            </w:pPr>
            <w:r>
              <w:rPr>
                <w:kern w:val="0"/>
                <w:sz w:val="18"/>
                <w:szCs w:val="18"/>
              </w:rPr>
              <w:t>景观蔬菜设施栽培设计</w:t>
            </w:r>
          </w:p>
        </w:tc>
        <w:tc>
          <w:tcPr>
            <w:tcW w:w="740" w:type="dxa"/>
            <w:vAlign w:val="center"/>
          </w:tcPr>
          <w:p w14:paraId="609BF23A" w14:textId="77777777" w:rsidR="00F5289E" w:rsidRDefault="00C91173">
            <w:pPr>
              <w:snapToGrid w:val="0"/>
              <w:jc w:val="center"/>
              <w:rPr>
                <w:kern w:val="0"/>
                <w:sz w:val="18"/>
                <w:szCs w:val="18"/>
              </w:rPr>
            </w:pPr>
            <w:r>
              <w:rPr>
                <w:kern w:val="0"/>
                <w:sz w:val="18"/>
                <w:szCs w:val="18"/>
              </w:rPr>
              <w:t>2</w:t>
            </w:r>
          </w:p>
        </w:tc>
        <w:tc>
          <w:tcPr>
            <w:tcW w:w="1141" w:type="dxa"/>
            <w:vAlign w:val="center"/>
          </w:tcPr>
          <w:p w14:paraId="59A88910" w14:textId="77777777" w:rsidR="00F5289E" w:rsidRDefault="00C91173">
            <w:pPr>
              <w:snapToGrid w:val="0"/>
              <w:jc w:val="center"/>
              <w:rPr>
                <w:kern w:val="0"/>
                <w:sz w:val="18"/>
                <w:szCs w:val="18"/>
              </w:rPr>
            </w:pPr>
            <w:r>
              <w:rPr>
                <w:kern w:val="0"/>
                <w:sz w:val="18"/>
                <w:szCs w:val="18"/>
              </w:rPr>
              <w:t>设计性</w:t>
            </w:r>
          </w:p>
        </w:tc>
        <w:tc>
          <w:tcPr>
            <w:tcW w:w="1500" w:type="dxa"/>
            <w:vAlign w:val="center"/>
          </w:tcPr>
          <w:p w14:paraId="319F1D87" w14:textId="77777777" w:rsidR="00F5289E" w:rsidRDefault="00C91173">
            <w:pPr>
              <w:snapToGrid w:val="0"/>
              <w:jc w:val="center"/>
              <w:rPr>
                <w:kern w:val="0"/>
                <w:sz w:val="18"/>
                <w:szCs w:val="18"/>
              </w:rPr>
            </w:pPr>
            <w:r>
              <w:rPr>
                <w:kern w:val="0"/>
                <w:sz w:val="18"/>
                <w:szCs w:val="18"/>
              </w:rPr>
              <w:t>必做</w:t>
            </w:r>
          </w:p>
        </w:tc>
        <w:tc>
          <w:tcPr>
            <w:tcW w:w="1351" w:type="dxa"/>
            <w:vAlign w:val="center"/>
          </w:tcPr>
          <w:p w14:paraId="403CA167" w14:textId="77777777" w:rsidR="00F5289E" w:rsidRDefault="00C91173">
            <w:pPr>
              <w:snapToGrid w:val="0"/>
              <w:jc w:val="center"/>
              <w:rPr>
                <w:kern w:val="0"/>
                <w:sz w:val="18"/>
                <w:szCs w:val="18"/>
              </w:rPr>
            </w:pPr>
            <w:r>
              <w:rPr>
                <w:kern w:val="0"/>
                <w:sz w:val="18"/>
                <w:szCs w:val="18"/>
              </w:rPr>
              <w:t>5</w:t>
            </w:r>
          </w:p>
        </w:tc>
      </w:tr>
      <w:tr w:rsidR="00F5289E" w14:paraId="3AA1C76D" w14:textId="77777777">
        <w:trPr>
          <w:trHeight w:val="423"/>
          <w:jc w:val="center"/>
        </w:trPr>
        <w:tc>
          <w:tcPr>
            <w:tcW w:w="1308" w:type="dxa"/>
            <w:vAlign w:val="center"/>
          </w:tcPr>
          <w:p w14:paraId="7A87CE2D" w14:textId="77777777" w:rsidR="00F5289E" w:rsidRDefault="00C91173">
            <w:pPr>
              <w:snapToGrid w:val="0"/>
              <w:rPr>
                <w:sz w:val="18"/>
                <w:szCs w:val="18"/>
              </w:rPr>
            </w:pPr>
            <w:r>
              <w:rPr>
                <w:bCs/>
                <w:szCs w:val="21"/>
              </w:rPr>
              <w:t>1901112204</w:t>
            </w:r>
          </w:p>
        </w:tc>
        <w:tc>
          <w:tcPr>
            <w:tcW w:w="3312" w:type="dxa"/>
            <w:vAlign w:val="center"/>
          </w:tcPr>
          <w:p w14:paraId="46FD9A8B" w14:textId="77777777" w:rsidR="00F5289E" w:rsidRDefault="00C91173">
            <w:pPr>
              <w:snapToGrid w:val="0"/>
              <w:rPr>
                <w:kern w:val="0"/>
                <w:sz w:val="18"/>
                <w:szCs w:val="18"/>
              </w:rPr>
            </w:pPr>
            <w:r>
              <w:rPr>
                <w:kern w:val="0"/>
                <w:sz w:val="18"/>
                <w:szCs w:val="18"/>
              </w:rPr>
              <w:t>组合模式创意农业设计</w:t>
            </w:r>
          </w:p>
        </w:tc>
        <w:tc>
          <w:tcPr>
            <w:tcW w:w="740" w:type="dxa"/>
            <w:vAlign w:val="center"/>
          </w:tcPr>
          <w:p w14:paraId="0A1EACA1" w14:textId="77777777" w:rsidR="00F5289E" w:rsidRDefault="00C91173">
            <w:pPr>
              <w:snapToGrid w:val="0"/>
              <w:jc w:val="center"/>
              <w:rPr>
                <w:kern w:val="0"/>
                <w:sz w:val="18"/>
                <w:szCs w:val="18"/>
              </w:rPr>
            </w:pPr>
            <w:r>
              <w:rPr>
                <w:kern w:val="0"/>
                <w:sz w:val="18"/>
                <w:szCs w:val="18"/>
              </w:rPr>
              <w:t>2</w:t>
            </w:r>
          </w:p>
        </w:tc>
        <w:tc>
          <w:tcPr>
            <w:tcW w:w="1141" w:type="dxa"/>
            <w:vAlign w:val="center"/>
          </w:tcPr>
          <w:p w14:paraId="55D13FB4" w14:textId="77777777" w:rsidR="00F5289E" w:rsidRDefault="00C91173">
            <w:pPr>
              <w:snapToGrid w:val="0"/>
              <w:jc w:val="center"/>
              <w:rPr>
                <w:kern w:val="0"/>
                <w:sz w:val="18"/>
                <w:szCs w:val="18"/>
              </w:rPr>
            </w:pPr>
            <w:r>
              <w:rPr>
                <w:kern w:val="0"/>
                <w:sz w:val="18"/>
                <w:szCs w:val="18"/>
              </w:rPr>
              <w:t>设计性</w:t>
            </w:r>
          </w:p>
        </w:tc>
        <w:tc>
          <w:tcPr>
            <w:tcW w:w="1500" w:type="dxa"/>
            <w:vAlign w:val="center"/>
          </w:tcPr>
          <w:p w14:paraId="5785C477" w14:textId="77777777" w:rsidR="00F5289E" w:rsidRDefault="00C91173">
            <w:pPr>
              <w:snapToGrid w:val="0"/>
              <w:jc w:val="center"/>
              <w:rPr>
                <w:kern w:val="0"/>
                <w:sz w:val="18"/>
                <w:szCs w:val="18"/>
              </w:rPr>
            </w:pPr>
            <w:r>
              <w:rPr>
                <w:kern w:val="0"/>
                <w:sz w:val="18"/>
                <w:szCs w:val="18"/>
              </w:rPr>
              <w:t>必做</w:t>
            </w:r>
          </w:p>
        </w:tc>
        <w:tc>
          <w:tcPr>
            <w:tcW w:w="1351" w:type="dxa"/>
            <w:vAlign w:val="center"/>
          </w:tcPr>
          <w:p w14:paraId="41CEEE89" w14:textId="77777777" w:rsidR="00F5289E" w:rsidRDefault="00C91173">
            <w:pPr>
              <w:snapToGrid w:val="0"/>
              <w:jc w:val="center"/>
              <w:rPr>
                <w:kern w:val="0"/>
                <w:sz w:val="18"/>
                <w:szCs w:val="18"/>
              </w:rPr>
            </w:pPr>
            <w:r>
              <w:rPr>
                <w:kern w:val="0"/>
                <w:sz w:val="18"/>
                <w:szCs w:val="18"/>
              </w:rPr>
              <w:t>5</w:t>
            </w:r>
          </w:p>
        </w:tc>
      </w:tr>
    </w:tbl>
    <w:p w14:paraId="6B6C6947" w14:textId="77777777" w:rsidR="00F5289E" w:rsidRDefault="00F5289E">
      <w:pPr>
        <w:snapToGrid w:val="0"/>
        <w:spacing w:line="360" w:lineRule="auto"/>
        <w:rPr>
          <w:b/>
          <w:bCs/>
          <w:szCs w:val="21"/>
        </w:rPr>
      </w:pPr>
    </w:p>
    <w:p w14:paraId="390FA9FA" w14:textId="77777777" w:rsidR="00F5289E" w:rsidRDefault="00C91173">
      <w:pPr>
        <w:snapToGrid w:val="0"/>
        <w:spacing w:line="360" w:lineRule="auto"/>
        <w:rPr>
          <w:b/>
          <w:bCs/>
          <w:szCs w:val="21"/>
        </w:rPr>
      </w:pPr>
      <w:r>
        <w:rPr>
          <w:b/>
          <w:bCs/>
          <w:szCs w:val="21"/>
        </w:rPr>
        <w:t>（五）实验方式及基本要求</w:t>
      </w:r>
    </w:p>
    <w:p w14:paraId="28F8A5ED" w14:textId="77777777" w:rsidR="00F5289E" w:rsidRDefault="00C91173">
      <w:pPr>
        <w:snapToGrid w:val="0"/>
        <w:spacing w:line="360" w:lineRule="auto"/>
        <w:ind w:firstLineChars="200" w:firstLine="420"/>
        <w:rPr>
          <w:b/>
          <w:bCs/>
          <w:color w:val="0000FF"/>
          <w:szCs w:val="21"/>
        </w:rPr>
      </w:pPr>
      <w:r>
        <w:rPr>
          <w:szCs w:val="21"/>
        </w:rPr>
        <w:t>试验采用分组的方式进行，每</w:t>
      </w:r>
      <w:r>
        <w:rPr>
          <w:szCs w:val="21"/>
        </w:rPr>
        <w:t>5</w:t>
      </w:r>
      <w:r>
        <w:rPr>
          <w:szCs w:val="21"/>
        </w:rPr>
        <w:t>人</w:t>
      </w:r>
      <w:r>
        <w:rPr>
          <w:szCs w:val="21"/>
        </w:rPr>
        <w:t>1</w:t>
      </w:r>
      <w:r>
        <w:rPr>
          <w:szCs w:val="21"/>
        </w:rPr>
        <w:t>组。景观植物培育实验，以小组为单位培育嫁接砧木，培育接穗，学生亲自动手嫁接，以小组为单位上交</w:t>
      </w:r>
      <w:r>
        <w:rPr>
          <w:szCs w:val="21"/>
        </w:rPr>
        <w:t>2</w:t>
      </w:r>
      <w:r>
        <w:rPr>
          <w:szCs w:val="21"/>
        </w:rPr>
        <w:t>～</w:t>
      </w:r>
      <w:r>
        <w:rPr>
          <w:szCs w:val="21"/>
        </w:rPr>
        <w:t>3</w:t>
      </w:r>
      <w:r>
        <w:rPr>
          <w:szCs w:val="21"/>
        </w:rPr>
        <w:t>株嫁接景观植物。设计性实验，以小组为单位，每小组共同完成</w:t>
      </w:r>
      <w:r>
        <w:rPr>
          <w:szCs w:val="21"/>
        </w:rPr>
        <w:t>1</w:t>
      </w:r>
      <w:r>
        <w:rPr>
          <w:szCs w:val="21"/>
        </w:rPr>
        <w:t>份报告，并进行讲评。要求掌握嫁接技术、掌握产品创意设计技术</w:t>
      </w:r>
      <w:r>
        <w:rPr>
          <w:kern w:val="0"/>
          <w:sz w:val="20"/>
          <w:szCs w:val="21"/>
        </w:rPr>
        <w:t>，</w:t>
      </w:r>
      <w:r>
        <w:rPr>
          <w:szCs w:val="21"/>
        </w:rPr>
        <w:t>掌握创意农业模式设计的方法。</w:t>
      </w:r>
    </w:p>
    <w:p w14:paraId="66024139" w14:textId="77777777" w:rsidR="00F5289E" w:rsidRDefault="00C91173">
      <w:pPr>
        <w:snapToGrid w:val="0"/>
        <w:spacing w:line="360" w:lineRule="auto"/>
        <w:rPr>
          <w:b/>
          <w:szCs w:val="21"/>
        </w:rPr>
      </w:pPr>
      <w:r>
        <w:rPr>
          <w:b/>
          <w:bCs/>
          <w:szCs w:val="21"/>
        </w:rPr>
        <w:t>（六）</w:t>
      </w:r>
      <w:r>
        <w:rPr>
          <w:b/>
          <w:szCs w:val="21"/>
        </w:rPr>
        <w:t>实验内容安排</w:t>
      </w:r>
    </w:p>
    <w:p w14:paraId="7F8D1686" w14:textId="77777777" w:rsidR="00F5289E" w:rsidRDefault="00C91173">
      <w:pPr>
        <w:adjustRightInd w:val="0"/>
        <w:snapToGrid w:val="0"/>
        <w:spacing w:line="360" w:lineRule="auto"/>
        <w:jc w:val="left"/>
        <w:rPr>
          <w:szCs w:val="21"/>
        </w:rPr>
      </w:pPr>
      <w:r>
        <w:rPr>
          <w:b/>
          <w:bCs/>
          <w:szCs w:val="21"/>
        </w:rPr>
        <w:t>【实验一】</w:t>
      </w:r>
      <w:r>
        <w:rPr>
          <w:szCs w:val="21"/>
        </w:rPr>
        <w:t>同科多种园艺植物嫁接培育景观植物</w:t>
      </w:r>
    </w:p>
    <w:p w14:paraId="62A60551" w14:textId="77777777" w:rsidR="00F5289E" w:rsidRDefault="00C91173">
      <w:pPr>
        <w:adjustRightInd w:val="0"/>
        <w:snapToGrid w:val="0"/>
        <w:spacing w:line="360" w:lineRule="auto"/>
        <w:ind w:firstLineChars="200" w:firstLine="422"/>
      </w:pPr>
      <w:r>
        <w:rPr>
          <w:b/>
          <w:szCs w:val="21"/>
        </w:rPr>
        <w:t xml:space="preserve">1. </w:t>
      </w:r>
      <w:r>
        <w:rPr>
          <w:b/>
          <w:szCs w:val="21"/>
        </w:rPr>
        <w:t>实验学时：</w:t>
      </w:r>
      <w:r>
        <w:rPr>
          <w:bCs/>
        </w:rPr>
        <w:t>2</w:t>
      </w:r>
      <w:r>
        <w:rPr>
          <w:bCs/>
        </w:rPr>
        <w:t>学时</w:t>
      </w:r>
    </w:p>
    <w:p w14:paraId="1626F156" w14:textId="77777777" w:rsidR="00F5289E" w:rsidRDefault="00C91173">
      <w:pPr>
        <w:adjustRightInd w:val="0"/>
        <w:snapToGrid w:val="0"/>
        <w:spacing w:line="360" w:lineRule="auto"/>
        <w:ind w:firstLineChars="200" w:firstLine="422"/>
        <w:rPr>
          <w:bCs/>
          <w:szCs w:val="21"/>
        </w:rPr>
      </w:pPr>
      <w:r>
        <w:rPr>
          <w:b/>
          <w:szCs w:val="21"/>
        </w:rPr>
        <w:t xml:space="preserve">2. </w:t>
      </w:r>
      <w:r>
        <w:rPr>
          <w:b/>
          <w:szCs w:val="21"/>
        </w:rPr>
        <w:t>实验目的：</w:t>
      </w:r>
      <w:r>
        <w:rPr>
          <w:bCs/>
          <w:szCs w:val="21"/>
        </w:rPr>
        <w:t>掌握同科不同种或同种不同品种嫁接开发景观植物的设计和嫁接培育方法。</w:t>
      </w:r>
    </w:p>
    <w:p w14:paraId="6F051BD9" w14:textId="77777777" w:rsidR="00F5289E" w:rsidRDefault="00C91173">
      <w:pPr>
        <w:adjustRightInd w:val="0"/>
        <w:snapToGrid w:val="0"/>
        <w:spacing w:line="360" w:lineRule="auto"/>
        <w:ind w:firstLineChars="200" w:firstLine="422"/>
        <w:rPr>
          <w:szCs w:val="21"/>
        </w:rPr>
      </w:pPr>
      <w:r>
        <w:rPr>
          <w:b/>
          <w:szCs w:val="21"/>
        </w:rPr>
        <w:t xml:space="preserve">3. </w:t>
      </w:r>
      <w:r>
        <w:rPr>
          <w:b/>
          <w:szCs w:val="21"/>
        </w:rPr>
        <w:t>实验内容：</w:t>
      </w:r>
      <w:r>
        <w:rPr>
          <w:bCs/>
          <w:kern w:val="0"/>
          <w:szCs w:val="21"/>
        </w:rPr>
        <w:t>培育嫁接砧木、接穗，在一个砧木上嫁接同科多种植物接穗，形成多种植物同株的景观植物，或在同一砧木上嫁接同种不同品种的接穗，形成</w:t>
      </w:r>
      <w:r>
        <w:rPr>
          <w:bCs/>
          <w:kern w:val="0"/>
          <w:szCs w:val="21"/>
        </w:rPr>
        <w:t>1</w:t>
      </w:r>
      <w:r>
        <w:rPr>
          <w:bCs/>
          <w:kern w:val="0"/>
          <w:szCs w:val="21"/>
        </w:rPr>
        <w:t>株多花色、多果型景观植物</w:t>
      </w:r>
      <w:r>
        <w:rPr>
          <w:szCs w:val="21"/>
        </w:rPr>
        <w:t>。</w:t>
      </w:r>
    </w:p>
    <w:p w14:paraId="320A4919" w14:textId="77777777" w:rsidR="00F5289E" w:rsidRDefault="00C91173">
      <w:pPr>
        <w:adjustRightInd w:val="0"/>
        <w:snapToGrid w:val="0"/>
        <w:spacing w:line="360" w:lineRule="auto"/>
        <w:ind w:firstLineChars="200" w:firstLine="422"/>
        <w:rPr>
          <w:bCs/>
          <w:szCs w:val="21"/>
        </w:rPr>
      </w:pPr>
      <w:r>
        <w:rPr>
          <w:b/>
          <w:szCs w:val="21"/>
        </w:rPr>
        <w:t xml:space="preserve">4. </w:t>
      </w:r>
      <w:r>
        <w:rPr>
          <w:b/>
          <w:szCs w:val="21"/>
        </w:rPr>
        <w:t>实验要求：</w:t>
      </w:r>
      <w:r>
        <w:rPr>
          <w:bCs/>
          <w:szCs w:val="21"/>
        </w:rPr>
        <w:t>掌握</w:t>
      </w:r>
      <w:r>
        <w:rPr>
          <w:bCs/>
          <w:kern w:val="0"/>
          <w:szCs w:val="21"/>
        </w:rPr>
        <w:t>多种植物同株、同株多花色、多果型景观植物的设计技术</w:t>
      </w:r>
      <w:r>
        <w:rPr>
          <w:bCs/>
          <w:szCs w:val="21"/>
        </w:rPr>
        <w:t>；掌握相关砧木、接穗播种、确定、嫁接时期的确定、嫁接愈合条件创造、嫁接植物培育管理的技术</w:t>
      </w:r>
      <w:r>
        <w:rPr>
          <w:bCs/>
          <w:kern w:val="0"/>
          <w:szCs w:val="21"/>
        </w:rPr>
        <w:t>。</w:t>
      </w:r>
    </w:p>
    <w:p w14:paraId="4FA301E6" w14:textId="77777777" w:rsidR="00F5289E" w:rsidRDefault="00C91173">
      <w:pPr>
        <w:adjustRightInd w:val="0"/>
        <w:snapToGrid w:val="0"/>
        <w:spacing w:line="360" w:lineRule="auto"/>
        <w:ind w:firstLineChars="200" w:firstLine="422"/>
        <w:rPr>
          <w:szCs w:val="21"/>
        </w:rPr>
      </w:pPr>
      <w:r>
        <w:rPr>
          <w:b/>
          <w:szCs w:val="21"/>
        </w:rPr>
        <w:t xml:space="preserve">5. </w:t>
      </w:r>
      <w:r>
        <w:rPr>
          <w:b/>
          <w:szCs w:val="21"/>
        </w:rPr>
        <w:t>实验设备及器材：</w:t>
      </w:r>
      <w:r>
        <w:rPr>
          <w:bCs/>
          <w:szCs w:val="21"/>
        </w:rPr>
        <w:t>茄果类种子、不同花色菊花接穗，嫁接刀、嫁接套管，栽培盆、基质。</w:t>
      </w:r>
    </w:p>
    <w:p w14:paraId="3B8CA8C6" w14:textId="77777777" w:rsidR="00F5289E" w:rsidRDefault="00C91173">
      <w:pPr>
        <w:adjustRightInd w:val="0"/>
        <w:snapToGrid w:val="0"/>
        <w:spacing w:line="360" w:lineRule="auto"/>
        <w:jc w:val="left"/>
        <w:rPr>
          <w:szCs w:val="21"/>
        </w:rPr>
      </w:pPr>
      <w:r>
        <w:rPr>
          <w:b/>
          <w:bCs/>
          <w:szCs w:val="21"/>
        </w:rPr>
        <w:t>【实验二】</w:t>
      </w:r>
      <w:r>
        <w:rPr>
          <w:szCs w:val="21"/>
        </w:rPr>
        <w:t>培育二年生巨型蔬菜创意农业设计</w:t>
      </w:r>
    </w:p>
    <w:p w14:paraId="1E339411" w14:textId="77777777" w:rsidR="00F5289E" w:rsidRDefault="00C91173">
      <w:pPr>
        <w:adjustRightInd w:val="0"/>
        <w:snapToGrid w:val="0"/>
        <w:spacing w:line="360" w:lineRule="auto"/>
        <w:ind w:firstLineChars="200" w:firstLine="422"/>
      </w:pPr>
      <w:r>
        <w:rPr>
          <w:b/>
          <w:szCs w:val="21"/>
        </w:rPr>
        <w:t xml:space="preserve">1. </w:t>
      </w:r>
      <w:r>
        <w:rPr>
          <w:b/>
          <w:szCs w:val="21"/>
        </w:rPr>
        <w:t>实验学时：</w:t>
      </w:r>
      <w:r>
        <w:rPr>
          <w:bCs/>
        </w:rPr>
        <w:t>2</w:t>
      </w:r>
      <w:r>
        <w:rPr>
          <w:bCs/>
        </w:rPr>
        <w:t>学时</w:t>
      </w:r>
    </w:p>
    <w:p w14:paraId="3BC40560" w14:textId="77777777" w:rsidR="00F5289E" w:rsidRDefault="00C91173">
      <w:pPr>
        <w:adjustRightInd w:val="0"/>
        <w:snapToGrid w:val="0"/>
        <w:spacing w:line="360" w:lineRule="auto"/>
        <w:ind w:firstLineChars="200" w:firstLine="422"/>
        <w:rPr>
          <w:bCs/>
          <w:szCs w:val="21"/>
        </w:rPr>
      </w:pPr>
      <w:r>
        <w:rPr>
          <w:b/>
          <w:szCs w:val="21"/>
        </w:rPr>
        <w:t xml:space="preserve">2. </w:t>
      </w:r>
      <w:r>
        <w:rPr>
          <w:b/>
          <w:szCs w:val="21"/>
        </w:rPr>
        <w:t>实验目的：</w:t>
      </w:r>
      <w:r>
        <w:rPr>
          <w:bCs/>
          <w:szCs w:val="21"/>
        </w:rPr>
        <w:t>练习春化作用理论在创意农业中的应用；掌握创意农业产品开发的设计方法。</w:t>
      </w:r>
    </w:p>
    <w:p w14:paraId="6A0F0C5D" w14:textId="77777777" w:rsidR="00F5289E" w:rsidRDefault="00C91173">
      <w:pPr>
        <w:adjustRightInd w:val="0"/>
        <w:snapToGrid w:val="0"/>
        <w:spacing w:line="360" w:lineRule="auto"/>
        <w:ind w:firstLineChars="200" w:firstLine="422"/>
        <w:rPr>
          <w:szCs w:val="21"/>
        </w:rPr>
      </w:pPr>
      <w:r>
        <w:rPr>
          <w:b/>
          <w:szCs w:val="21"/>
        </w:rPr>
        <w:t xml:space="preserve">3. </w:t>
      </w:r>
      <w:r>
        <w:rPr>
          <w:b/>
          <w:szCs w:val="21"/>
        </w:rPr>
        <w:t>实验内容：</w:t>
      </w:r>
      <w:r>
        <w:rPr>
          <w:bCs/>
          <w:kern w:val="0"/>
          <w:szCs w:val="21"/>
        </w:rPr>
        <w:t>以二年生蔬菜大白菜、结球甘蓝，球茎甘蓝、大葱、洋葱为实验材料，以绿体春化作用理论为指导，设计使二年生蔬菜不通过春化作用，一直进行营养生长，培育出巨型大白</w:t>
      </w:r>
      <w:r>
        <w:rPr>
          <w:bCs/>
          <w:kern w:val="0"/>
          <w:szCs w:val="21"/>
        </w:rPr>
        <w:lastRenderedPageBreak/>
        <w:t>菜、巨型结球甘蓝，巨型球茎甘蓝、巨型大葱、巨型洋葱的技术方案</w:t>
      </w:r>
      <w:r>
        <w:rPr>
          <w:szCs w:val="21"/>
        </w:rPr>
        <w:t>。</w:t>
      </w:r>
    </w:p>
    <w:p w14:paraId="5E5A397B" w14:textId="77777777" w:rsidR="00F5289E" w:rsidRDefault="00C91173">
      <w:pPr>
        <w:adjustRightInd w:val="0"/>
        <w:snapToGrid w:val="0"/>
        <w:spacing w:line="360" w:lineRule="auto"/>
        <w:ind w:firstLineChars="200" w:firstLine="422"/>
        <w:rPr>
          <w:bCs/>
          <w:kern w:val="0"/>
          <w:szCs w:val="21"/>
        </w:rPr>
      </w:pPr>
      <w:r>
        <w:rPr>
          <w:b/>
          <w:szCs w:val="21"/>
        </w:rPr>
        <w:t xml:space="preserve">4. </w:t>
      </w:r>
      <w:r>
        <w:rPr>
          <w:b/>
          <w:szCs w:val="21"/>
        </w:rPr>
        <w:t>实验要求：</w:t>
      </w:r>
      <w:r>
        <w:rPr>
          <w:bCs/>
          <w:szCs w:val="21"/>
        </w:rPr>
        <w:t>制定包括品种选择、播期、种子处理，育苗条件、定植期、栽培场所、生长期间温湿度、光照、水、肥、气，病虫害、草害防治的全程技术方案，并对风险性进行评估，对设计进行讲评</w:t>
      </w:r>
      <w:r>
        <w:rPr>
          <w:bCs/>
          <w:kern w:val="0"/>
          <w:szCs w:val="21"/>
        </w:rPr>
        <w:t>。</w:t>
      </w:r>
    </w:p>
    <w:p w14:paraId="465BFA87" w14:textId="77777777" w:rsidR="00F5289E" w:rsidRDefault="00C91173">
      <w:pPr>
        <w:adjustRightInd w:val="0"/>
        <w:snapToGrid w:val="0"/>
        <w:spacing w:line="360" w:lineRule="auto"/>
        <w:jc w:val="left"/>
        <w:rPr>
          <w:szCs w:val="21"/>
        </w:rPr>
      </w:pPr>
      <w:r>
        <w:rPr>
          <w:b/>
          <w:bCs/>
          <w:szCs w:val="21"/>
        </w:rPr>
        <w:t>【实验三】</w:t>
      </w:r>
      <w:r>
        <w:rPr>
          <w:szCs w:val="21"/>
        </w:rPr>
        <w:t>景观蔬菜设施栽培设计</w:t>
      </w:r>
    </w:p>
    <w:p w14:paraId="51A6D486" w14:textId="77777777" w:rsidR="00F5289E" w:rsidRDefault="00C91173">
      <w:pPr>
        <w:adjustRightInd w:val="0"/>
        <w:snapToGrid w:val="0"/>
        <w:spacing w:line="360" w:lineRule="auto"/>
        <w:ind w:firstLineChars="200" w:firstLine="422"/>
        <w:jc w:val="left"/>
      </w:pPr>
      <w:r>
        <w:rPr>
          <w:b/>
          <w:szCs w:val="21"/>
        </w:rPr>
        <w:t xml:space="preserve">1. </w:t>
      </w:r>
      <w:r>
        <w:rPr>
          <w:b/>
          <w:szCs w:val="21"/>
        </w:rPr>
        <w:t>实验学时：</w:t>
      </w:r>
      <w:r>
        <w:rPr>
          <w:bCs/>
        </w:rPr>
        <w:t>2</w:t>
      </w:r>
      <w:r>
        <w:rPr>
          <w:bCs/>
        </w:rPr>
        <w:t>学时</w:t>
      </w:r>
    </w:p>
    <w:p w14:paraId="0833FD76" w14:textId="77777777" w:rsidR="00F5289E" w:rsidRDefault="00C91173">
      <w:pPr>
        <w:adjustRightInd w:val="0"/>
        <w:snapToGrid w:val="0"/>
        <w:spacing w:line="360" w:lineRule="auto"/>
        <w:ind w:firstLineChars="200" w:firstLine="422"/>
        <w:rPr>
          <w:bCs/>
          <w:szCs w:val="21"/>
        </w:rPr>
      </w:pPr>
      <w:r>
        <w:rPr>
          <w:b/>
          <w:szCs w:val="21"/>
        </w:rPr>
        <w:t xml:space="preserve">2. </w:t>
      </w:r>
      <w:r>
        <w:rPr>
          <w:b/>
          <w:szCs w:val="21"/>
        </w:rPr>
        <w:t>实验目的：</w:t>
      </w:r>
      <w:r>
        <w:rPr>
          <w:bCs/>
          <w:szCs w:val="21"/>
        </w:rPr>
        <w:t>练习景观蔬菜设施无土栽培设计的方法。</w:t>
      </w:r>
    </w:p>
    <w:p w14:paraId="4D8F571B" w14:textId="77777777" w:rsidR="00F5289E" w:rsidRDefault="00C91173">
      <w:pPr>
        <w:adjustRightInd w:val="0"/>
        <w:snapToGrid w:val="0"/>
        <w:spacing w:line="360" w:lineRule="auto"/>
        <w:ind w:firstLineChars="200" w:firstLine="422"/>
        <w:rPr>
          <w:szCs w:val="21"/>
        </w:rPr>
      </w:pPr>
      <w:r>
        <w:rPr>
          <w:b/>
          <w:szCs w:val="21"/>
        </w:rPr>
        <w:t xml:space="preserve">3. </w:t>
      </w:r>
      <w:r>
        <w:rPr>
          <w:b/>
          <w:szCs w:val="21"/>
        </w:rPr>
        <w:t>实验内容：</w:t>
      </w:r>
      <w:r>
        <w:rPr>
          <w:szCs w:val="21"/>
        </w:rPr>
        <w:t>无土栽培配套设施、蔬菜品种选择及栽培技术。</w:t>
      </w:r>
    </w:p>
    <w:p w14:paraId="0F0D8C57" w14:textId="77777777" w:rsidR="00F5289E" w:rsidRDefault="00C91173">
      <w:pPr>
        <w:adjustRightInd w:val="0"/>
        <w:snapToGrid w:val="0"/>
        <w:spacing w:line="360" w:lineRule="auto"/>
        <w:ind w:firstLineChars="200" w:firstLine="422"/>
        <w:rPr>
          <w:bCs/>
          <w:szCs w:val="21"/>
        </w:rPr>
      </w:pPr>
      <w:r>
        <w:rPr>
          <w:b/>
          <w:szCs w:val="21"/>
        </w:rPr>
        <w:t xml:space="preserve">4. </w:t>
      </w:r>
      <w:r>
        <w:rPr>
          <w:b/>
          <w:szCs w:val="21"/>
        </w:rPr>
        <w:t>实验要求：</w:t>
      </w:r>
      <w:r>
        <w:rPr>
          <w:szCs w:val="21"/>
        </w:rPr>
        <w:t>掌握设施无土栽培中水培和基质栽培中常用的配套设施，环境条件调控技术</w:t>
      </w:r>
      <w:r>
        <w:rPr>
          <w:bCs/>
          <w:kern w:val="0"/>
          <w:szCs w:val="21"/>
        </w:rPr>
        <w:t>。</w:t>
      </w:r>
    </w:p>
    <w:p w14:paraId="15CD9DCE" w14:textId="77777777" w:rsidR="00F5289E" w:rsidRDefault="00C91173">
      <w:pPr>
        <w:adjustRightInd w:val="0"/>
        <w:snapToGrid w:val="0"/>
        <w:spacing w:line="360" w:lineRule="auto"/>
        <w:jc w:val="left"/>
        <w:rPr>
          <w:szCs w:val="21"/>
        </w:rPr>
      </w:pPr>
      <w:r>
        <w:rPr>
          <w:b/>
          <w:bCs/>
          <w:szCs w:val="21"/>
        </w:rPr>
        <w:t>【实验四】</w:t>
      </w:r>
      <w:r>
        <w:rPr>
          <w:szCs w:val="21"/>
        </w:rPr>
        <w:t>组合模式创意农业设计</w:t>
      </w:r>
    </w:p>
    <w:p w14:paraId="0C2BA428" w14:textId="77777777" w:rsidR="00F5289E" w:rsidRDefault="00C91173">
      <w:pPr>
        <w:adjustRightInd w:val="0"/>
        <w:snapToGrid w:val="0"/>
        <w:spacing w:line="360" w:lineRule="auto"/>
        <w:ind w:firstLineChars="200" w:firstLine="422"/>
        <w:jc w:val="left"/>
      </w:pPr>
      <w:r>
        <w:rPr>
          <w:b/>
          <w:szCs w:val="21"/>
        </w:rPr>
        <w:t xml:space="preserve">1. </w:t>
      </w:r>
      <w:r>
        <w:rPr>
          <w:b/>
          <w:szCs w:val="21"/>
        </w:rPr>
        <w:t>实验学时：</w:t>
      </w:r>
      <w:r>
        <w:rPr>
          <w:bCs/>
        </w:rPr>
        <w:t>2</w:t>
      </w:r>
      <w:r>
        <w:rPr>
          <w:bCs/>
        </w:rPr>
        <w:t>学时</w:t>
      </w:r>
    </w:p>
    <w:p w14:paraId="01454E7A" w14:textId="77777777" w:rsidR="00F5289E" w:rsidRDefault="00C91173">
      <w:pPr>
        <w:adjustRightInd w:val="0"/>
        <w:snapToGrid w:val="0"/>
        <w:spacing w:line="360" w:lineRule="auto"/>
        <w:ind w:firstLineChars="200" w:firstLine="422"/>
        <w:rPr>
          <w:bCs/>
          <w:szCs w:val="21"/>
        </w:rPr>
      </w:pPr>
      <w:r>
        <w:rPr>
          <w:b/>
          <w:szCs w:val="21"/>
        </w:rPr>
        <w:t xml:space="preserve">2. </w:t>
      </w:r>
      <w:r>
        <w:rPr>
          <w:b/>
          <w:szCs w:val="21"/>
        </w:rPr>
        <w:t>实验目的：</w:t>
      </w:r>
      <w:r>
        <w:rPr>
          <w:bCs/>
          <w:szCs w:val="21"/>
        </w:rPr>
        <w:t>练习</w:t>
      </w:r>
      <w:r>
        <w:rPr>
          <w:szCs w:val="21"/>
        </w:rPr>
        <w:t>组合模式创意农业</w:t>
      </w:r>
      <w:r>
        <w:rPr>
          <w:bCs/>
          <w:szCs w:val="21"/>
        </w:rPr>
        <w:t>设计的方法。</w:t>
      </w:r>
    </w:p>
    <w:p w14:paraId="5AE05DC9" w14:textId="77777777" w:rsidR="00F5289E" w:rsidRDefault="00C91173">
      <w:pPr>
        <w:adjustRightInd w:val="0"/>
        <w:snapToGrid w:val="0"/>
        <w:spacing w:line="360" w:lineRule="auto"/>
        <w:ind w:firstLineChars="200" w:firstLine="422"/>
        <w:rPr>
          <w:szCs w:val="21"/>
        </w:rPr>
      </w:pPr>
      <w:r>
        <w:rPr>
          <w:b/>
          <w:szCs w:val="21"/>
        </w:rPr>
        <w:t xml:space="preserve">3. </w:t>
      </w:r>
      <w:r>
        <w:rPr>
          <w:b/>
          <w:szCs w:val="21"/>
        </w:rPr>
        <w:t>实验内容：</w:t>
      </w:r>
      <w:r>
        <w:rPr>
          <w:bCs/>
          <w:kern w:val="0"/>
          <w:szCs w:val="21"/>
        </w:rPr>
        <w:t>包括对研发设计、生产环节、加工环节、销售环节，进行创意农业设计</w:t>
      </w:r>
      <w:r>
        <w:rPr>
          <w:szCs w:val="21"/>
        </w:rPr>
        <w:t>。</w:t>
      </w:r>
    </w:p>
    <w:p w14:paraId="6C7ABC16" w14:textId="77777777" w:rsidR="00F5289E" w:rsidRDefault="00C91173">
      <w:pPr>
        <w:adjustRightInd w:val="0"/>
        <w:snapToGrid w:val="0"/>
        <w:spacing w:line="360" w:lineRule="auto"/>
        <w:ind w:firstLineChars="200" w:firstLine="422"/>
        <w:rPr>
          <w:szCs w:val="21"/>
        </w:rPr>
      </w:pPr>
      <w:r>
        <w:rPr>
          <w:b/>
          <w:szCs w:val="21"/>
        </w:rPr>
        <w:t xml:space="preserve">4. </w:t>
      </w:r>
      <w:r>
        <w:rPr>
          <w:b/>
          <w:szCs w:val="21"/>
        </w:rPr>
        <w:t>实验要求：</w:t>
      </w:r>
      <w:r>
        <w:rPr>
          <w:bCs/>
          <w:szCs w:val="21"/>
        </w:rPr>
        <w:t>要求有大地景观、产品开发、景观植物、产品加工、销售、乡村旅游、民宿等内容，并对规模和投资进行估算，对设计进行讲评</w:t>
      </w:r>
      <w:r>
        <w:rPr>
          <w:bCs/>
          <w:kern w:val="0"/>
          <w:szCs w:val="21"/>
        </w:rPr>
        <w:t>。</w:t>
      </w:r>
    </w:p>
    <w:p w14:paraId="3B8E9C04" w14:textId="77777777" w:rsidR="00F5289E" w:rsidRDefault="00C91173">
      <w:pPr>
        <w:snapToGrid w:val="0"/>
        <w:spacing w:line="360" w:lineRule="auto"/>
        <w:rPr>
          <w:bCs/>
          <w:color w:val="0000FF"/>
          <w:szCs w:val="21"/>
        </w:rPr>
      </w:pPr>
      <w:r>
        <w:rPr>
          <w:rFonts w:hint="eastAsia"/>
          <w:b/>
          <w:szCs w:val="21"/>
        </w:rPr>
        <w:t>（</w:t>
      </w:r>
      <w:r>
        <w:rPr>
          <w:b/>
          <w:szCs w:val="21"/>
        </w:rPr>
        <w:t>七</w:t>
      </w:r>
      <w:r>
        <w:rPr>
          <w:rFonts w:hint="eastAsia"/>
          <w:b/>
          <w:szCs w:val="21"/>
        </w:rPr>
        <w:t>）</w:t>
      </w:r>
      <w:r>
        <w:rPr>
          <w:b/>
          <w:bCs/>
          <w:szCs w:val="21"/>
        </w:rPr>
        <w:t>考核方式及成绩评定</w:t>
      </w:r>
    </w:p>
    <w:p w14:paraId="69042163" w14:textId="77777777" w:rsidR="00F5289E" w:rsidRDefault="00C91173">
      <w:pPr>
        <w:adjustRightInd w:val="0"/>
        <w:snapToGrid w:val="0"/>
        <w:spacing w:line="360" w:lineRule="auto"/>
        <w:ind w:firstLineChars="200" w:firstLine="420"/>
        <w:rPr>
          <w:bCs/>
          <w:color w:val="0000FF"/>
        </w:rPr>
      </w:pPr>
      <w:r>
        <w:rPr>
          <w:szCs w:val="21"/>
        </w:rPr>
        <w:t>本课程采用撰写课程论文的方式进行考核。综合成绩包括出勤、课堂提问、讨论、学习笔记、作业、实验报告成绩、小组汇报成绩等过程性评价成绩，以及期末撰写的课程论文成绩。</w:t>
      </w:r>
    </w:p>
    <w:p w14:paraId="5E81CE4C" w14:textId="77777777" w:rsidR="00F5289E" w:rsidRDefault="00C91173">
      <w:pPr>
        <w:widowControl/>
        <w:snapToGrid w:val="0"/>
        <w:spacing w:line="360" w:lineRule="auto"/>
        <w:jc w:val="left"/>
        <w:rPr>
          <w:b/>
          <w:bCs/>
          <w:kern w:val="0"/>
          <w:szCs w:val="21"/>
        </w:rPr>
      </w:pPr>
      <w:r>
        <w:rPr>
          <w:b/>
          <w:bCs/>
          <w:kern w:val="0"/>
          <w:szCs w:val="21"/>
        </w:rPr>
        <w:t>六、课程思政</w:t>
      </w:r>
    </w:p>
    <w:p w14:paraId="34D412B3" w14:textId="77777777" w:rsidR="00F5289E" w:rsidRDefault="00C91173">
      <w:pPr>
        <w:snapToGrid w:val="0"/>
        <w:spacing w:line="360" w:lineRule="auto"/>
        <w:ind w:firstLineChars="200" w:firstLine="420"/>
        <w:rPr>
          <w:color w:val="0000FF"/>
          <w:szCs w:val="21"/>
        </w:rPr>
      </w:pPr>
      <w:r>
        <w:rPr>
          <w:szCs w:val="21"/>
        </w:rPr>
        <w:t>创意农业是对传统农业、农产品等的进一步开发、利用和提升，在授课过程中充分挖掘传统农业文化中的美德元素，并将其作为课程思政因子贯穿专业教学实践的各个环节，通过教学资源和师资的统筹、教学模式和教学方法的革新，将文化育人理念渗透专业课堂教学全过程；积极创新教学组织模式和教学评价方式，完善专业课程思政的目标和要求，将思政目标嵌入学生评价范畴；同时，将农耕技艺、农业美学等传统农业文化作为教学元素融入全过程，让学生掌握专业综合技能、强化传统美德修养，增强探索传承和发扬传统文化的意识和能力、培养创新意识。</w:t>
      </w:r>
    </w:p>
    <w:p w14:paraId="46DE35BE" w14:textId="77777777" w:rsidR="00F5289E" w:rsidRDefault="00C91173">
      <w:pPr>
        <w:widowControl/>
        <w:snapToGrid w:val="0"/>
        <w:spacing w:line="360" w:lineRule="auto"/>
        <w:jc w:val="left"/>
        <w:rPr>
          <w:b/>
          <w:bCs/>
          <w:kern w:val="0"/>
          <w:szCs w:val="21"/>
        </w:rPr>
      </w:pPr>
      <w:r>
        <w:rPr>
          <w:b/>
          <w:bCs/>
          <w:kern w:val="0"/>
          <w:szCs w:val="21"/>
        </w:rPr>
        <w:t>七、教材及教学参考书</w:t>
      </w:r>
    </w:p>
    <w:p w14:paraId="55C09642" w14:textId="77777777" w:rsidR="00F5289E" w:rsidRDefault="00C91173">
      <w:pPr>
        <w:widowControl/>
        <w:adjustRightInd w:val="0"/>
        <w:snapToGrid w:val="0"/>
        <w:spacing w:line="360" w:lineRule="auto"/>
        <w:ind w:firstLineChars="150" w:firstLine="316"/>
        <w:jc w:val="left"/>
        <w:rPr>
          <w:b/>
          <w:bCs/>
          <w:kern w:val="0"/>
          <w:szCs w:val="21"/>
        </w:rPr>
      </w:pPr>
      <w:r>
        <w:rPr>
          <w:b/>
          <w:bCs/>
          <w:kern w:val="0"/>
          <w:szCs w:val="21"/>
        </w:rPr>
        <w:t xml:space="preserve">1. </w:t>
      </w:r>
      <w:r>
        <w:rPr>
          <w:b/>
          <w:bCs/>
          <w:kern w:val="0"/>
          <w:szCs w:val="21"/>
        </w:rPr>
        <w:t>选用教材：</w:t>
      </w:r>
    </w:p>
    <w:p w14:paraId="585152D1" w14:textId="77777777" w:rsidR="00F5289E" w:rsidRDefault="00C91173">
      <w:pPr>
        <w:snapToGrid w:val="0"/>
        <w:spacing w:line="360" w:lineRule="auto"/>
        <w:ind w:firstLineChars="200" w:firstLine="420"/>
      </w:pPr>
      <w:r>
        <w:t>理论课教材：</w:t>
      </w:r>
      <w:r>
        <w:t xml:space="preserve"> </w:t>
      </w:r>
      <w:r>
        <w:t>《休闲农业创意》，张传伟、史佳林主编，中国农业出版社，</w:t>
      </w:r>
      <w:r>
        <w:t>2019</w:t>
      </w:r>
      <w:r>
        <w:t>年</w:t>
      </w:r>
    </w:p>
    <w:p w14:paraId="42E30AE5" w14:textId="77777777" w:rsidR="00F5289E" w:rsidRDefault="00C91173">
      <w:pPr>
        <w:widowControl/>
        <w:adjustRightInd w:val="0"/>
        <w:snapToGrid w:val="0"/>
        <w:spacing w:line="360" w:lineRule="auto"/>
        <w:ind w:firstLineChars="150" w:firstLine="316"/>
        <w:jc w:val="left"/>
        <w:rPr>
          <w:kern w:val="0"/>
          <w:szCs w:val="21"/>
        </w:rPr>
      </w:pPr>
      <w:r>
        <w:rPr>
          <w:b/>
          <w:bCs/>
          <w:kern w:val="0"/>
          <w:szCs w:val="21"/>
        </w:rPr>
        <w:t xml:space="preserve">2. </w:t>
      </w:r>
      <w:r>
        <w:rPr>
          <w:b/>
          <w:bCs/>
          <w:kern w:val="0"/>
          <w:szCs w:val="21"/>
        </w:rPr>
        <w:t>参考书：</w:t>
      </w:r>
    </w:p>
    <w:p w14:paraId="1B25CD68" w14:textId="77777777" w:rsidR="00F5289E" w:rsidRDefault="00C91173">
      <w:pPr>
        <w:pStyle w:val="a9"/>
        <w:snapToGrid w:val="0"/>
        <w:spacing w:line="360" w:lineRule="auto"/>
        <w:ind w:firstLineChars="100" w:firstLine="21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）《观赏园艺学通论》</w:t>
      </w:r>
      <w:r>
        <w:rPr>
          <w:rFonts w:ascii="Times New Roman" w:hAnsi="Times New Roman" w:cs="Times New Roman"/>
        </w:rPr>
        <w:t xml:space="preserve">. </w:t>
      </w:r>
      <w:r>
        <w:rPr>
          <w:rFonts w:ascii="Times New Roman" w:hAnsi="Times New Roman" w:cs="Times New Roman"/>
        </w:rPr>
        <w:t>陈发</w:t>
      </w:r>
      <w:r>
        <w:rPr>
          <w:rFonts w:ascii="Times New Roman" w:hAnsi="Times New Roman" w:cs="Times New Roman"/>
          <w:color w:val="000000"/>
        </w:rPr>
        <w:t>棣、车代弟</w:t>
      </w:r>
      <w:r>
        <w:rPr>
          <w:rFonts w:ascii="Times New Roman" w:hAnsi="Times New Roman" w:cs="Times New Roman"/>
        </w:rPr>
        <w:t>主编</w:t>
      </w:r>
      <w:r>
        <w:rPr>
          <w:rFonts w:ascii="Times New Roman" w:hAnsi="Times New Roman" w:cs="Times New Roman"/>
        </w:rPr>
        <w:t xml:space="preserve">. </w:t>
      </w:r>
      <w:r>
        <w:rPr>
          <w:rFonts w:ascii="Times New Roman" w:hAnsi="Times New Roman" w:cs="Times New Roman"/>
        </w:rPr>
        <w:t>中国林业出版社，</w:t>
      </w:r>
      <w:r>
        <w:rPr>
          <w:rFonts w:ascii="Times New Roman" w:hAnsi="Times New Roman" w:cs="Times New Roman"/>
        </w:rPr>
        <w:t>2009</w:t>
      </w:r>
      <w:r>
        <w:rPr>
          <w:rFonts w:ascii="Times New Roman" w:hAnsi="Times New Roman" w:cs="Times New Roman"/>
        </w:rPr>
        <w:t>年</w:t>
      </w:r>
    </w:p>
    <w:p w14:paraId="1445DCEF" w14:textId="08379A93" w:rsidR="00F5289E" w:rsidRDefault="00C91173">
      <w:pPr>
        <w:pStyle w:val="a9"/>
        <w:snapToGrid w:val="0"/>
        <w:spacing w:line="360" w:lineRule="auto"/>
        <w:ind w:firstLineChars="100" w:firstLine="210"/>
        <w:rPr>
          <w:rFonts w:ascii="Times New Roman" w:hAnsi="Times New Roman" w:cs="Times New Roman"/>
        </w:rPr>
      </w:pPr>
      <w:r>
        <w:rPr>
          <w:rFonts w:ascii="Times New Roman" w:hAnsi="Times New Roman" w:cs="Times New Roman"/>
        </w:rPr>
        <w:t>（</w:t>
      </w:r>
      <w:r>
        <w:rPr>
          <w:rFonts w:ascii="Times New Roman" w:hAnsi="Times New Roman" w:cs="Times New Roman"/>
        </w:rPr>
        <w:t>2</w:t>
      </w:r>
      <w:r w:rsidR="00E745E8">
        <w:rPr>
          <w:rFonts w:ascii="Times New Roman" w:hAnsi="Times New Roman" w:cs="Times New Roman" w:hint="eastAsia"/>
        </w:rPr>
        <w:t>）</w:t>
      </w:r>
      <w:r>
        <w:rPr>
          <w:rFonts w:ascii="Times New Roman" w:hAnsi="Times New Roman" w:cs="Times New Roman"/>
        </w:rPr>
        <w:t>《花卉装饰与应用》</w:t>
      </w:r>
      <w:r>
        <w:rPr>
          <w:rFonts w:ascii="Times New Roman" w:hAnsi="Times New Roman" w:cs="Times New Roman"/>
        </w:rPr>
        <w:t xml:space="preserve">. </w:t>
      </w:r>
      <w:r>
        <w:rPr>
          <w:rFonts w:ascii="Times New Roman" w:hAnsi="Times New Roman" w:cs="Times New Roman"/>
        </w:rPr>
        <w:t>郑诚乐、金研铭主编</w:t>
      </w:r>
      <w:r>
        <w:rPr>
          <w:rFonts w:ascii="Times New Roman" w:hAnsi="Times New Roman" w:cs="Times New Roman"/>
        </w:rPr>
        <w:t xml:space="preserve">. </w:t>
      </w:r>
      <w:r>
        <w:rPr>
          <w:rFonts w:ascii="Times New Roman" w:hAnsi="Times New Roman" w:cs="Times New Roman"/>
        </w:rPr>
        <w:t>中国林业出版社，</w:t>
      </w:r>
      <w:r>
        <w:rPr>
          <w:rFonts w:ascii="Times New Roman" w:hAnsi="Times New Roman" w:cs="Times New Roman"/>
        </w:rPr>
        <w:t>2010</w:t>
      </w:r>
      <w:r>
        <w:rPr>
          <w:rFonts w:ascii="Times New Roman" w:hAnsi="Times New Roman" w:cs="Times New Roman"/>
        </w:rPr>
        <w:t>年</w:t>
      </w:r>
    </w:p>
    <w:p w14:paraId="5739819B" w14:textId="77777777" w:rsidR="00F5289E" w:rsidRDefault="00C91173">
      <w:pPr>
        <w:pStyle w:val="a9"/>
        <w:snapToGrid w:val="0"/>
        <w:spacing w:line="360" w:lineRule="auto"/>
        <w:ind w:firstLineChars="100" w:firstLine="21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）《观光园艺》</w:t>
      </w:r>
      <w:r>
        <w:rPr>
          <w:rFonts w:ascii="Times New Roman" w:hAnsi="Times New Roman" w:cs="Times New Roman"/>
        </w:rPr>
        <w:t xml:space="preserve">. </w:t>
      </w:r>
      <w:r>
        <w:rPr>
          <w:rFonts w:ascii="Times New Roman" w:hAnsi="Times New Roman" w:cs="Times New Roman"/>
        </w:rPr>
        <w:t>成善汉等编</w:t>
      </w:r>
      <w:r>
        <w:rPr>
          <w:rFonts w:ascii="Times New Roman" w:hAnsi="Times New Roman" w:cs="Times New Roman"/>
        </w:rPr>
        <w:t xml:space="preserve">. </w:t>
      </w:r>
      <w:r>
        <w:rPr>
          <w:rFonts w:ascii="Times New Roman" w:hAnsi="Times New Roman" w:cs="Times New Roman"/>
        </w:rPr>
        <w:t>中国科学技术大学出版社，</w:t>
      </w:r>
      <w:r>
        <w:rPr>
          <w:rFonts w:ascii="Times New Roman" w:hAnsi="Times New Roman" w:cs="Times New Roman"/>
        </w:rPr>
        <w:t>2007</w:t>
      </w:r>
      <w:r>
        <w:rPr>
          <w:rFonts w:ascii="Times New Roman" w:hAnsi="Times New Roman" w:cs="Times New Roman"/>
        </w:rPr>
        <w:t>年</w:t>
      </w:r>
    </w:p>
    <w:p w14:paraId="542E0DC5" w14:textId="77777777" w:rsidR="00F5289E" w:rsidRDefault="00C91173">
      <w:pPr>
        <w:pStyle w:val="a9"/>
        <w:snapToGrid w:val="0"/>
        <w:spacing w:line="360" w:lineRule="auto"/>
        <w:ind w:firstLineChars="100" w:firstLine="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）《农业观光园规划与经营》</w:t>
      </w:r>
      <w:r>
        <w:rPr>
          <w:rFonts w:ascii="Times New Roman" w:hAnsi="Times New Roman" w:cs="Times New Roman"/>
        </w:rPr>
        <w:t xml:space="preserve">. </w:t>
      </w:r>
      <w:r>
        <w:rPr>
          <w:rFonts w:ascii="Times New Roman" w:hAnsi="Times New Roman" w:cs="Times New Roman"/>
        </w:rPr>
        <w:t>王浩等编著</w:t>
      </w:r>
      <w:r>
        <w:rPr>
          <w:rFonts w:ascii="Times New Roman" w:hAnsi="Times New Roman" w:cs="Times New Roman"/>
        </w:rPr>
        <w:t xml:space="preserve">. </w:t>
      </w:r>
      <w:r>
        <w:rPr>
          <w:rFonts w:ascii="Times New Roman" w:hAnsi="Times New Roman" w:cs="Times New Roman"/>
        </w:rPr>
        <w:t>中国林业出版社，</w:t>
      </w:r>
      <w:r>
        <w:rPr>
          <w:rFonts w:ascii="Times New Roman" w:hAnsi="Times New Roman" w:cs="Times New Roman"/>
        </w:rPr>
        <w:t>2003</w:t>
      </w:r>
      <w:r>
        <w:rPr>
          <w:rFonts w:ascii="Times New Roman" w:hAnsi="Times New Roman" w:cs="Times New Roman"/>
        </w:rPr>
        <w:t>年</w:t>
      </w:r>
    </w:p>
    <w:p w14:paraId="05D31F14" w14:textId="77777777" w:rsidR="00F5289E" w:rsidRDefault="00C91173">
      <w:pPr>
        <w:pStyle w:val="p0"/>
        <w:shd w:val="clear" w:color="auto" w:fill="FFFFFF"/>
        <w:autoSpaceDN w:val="0"/>
        <w:snapToGrid w:val="0"/>
        <w:spacing w:line="360" w:lineRule="auto"/>
        <w:ind w:firstLineChars="100" w:firstLine="210"/>
      </w:pPr>
      <w:r>
        <w:rPr>
          <w:kern w:val="2"/>
        </w:rPr>
        <w:t>（</w:t>
      </w:r>
      <w:r>
        <w:rPr>
          <w:kern w:val="2"/>
        </w:rPr>
        <w:t>5</w:t>
      </w:r>
      <w:r>
        <w:rPr>
          <w:kern w:val="2"/>
        </w:rPr>
        <w:t>）《观光农业项目与技术》</w:t>
      </w:r>
      <w:r>
        <w:t xml:space="preserve">. </w:t>
      </w:r>
      <w:r>
        <w:t>史亚军等编著</w:t>
      </w:r>
      <w:r>
        <w:t xml:space="preserve">. </w:t>
      </w:r>
      <w:r>
        <w:t>科学普及出版社，</w:t>
      </w:r>
      <w:r>
        <w:t>2008</w:t>
      </w:r>
      <w:r>
        <w:t>年</w:t>
      </w:r>
    </w:p>
    <w:p w14:paraId="0F5BF3F2" w14:textId="77777777" w:rsidR="00F5289E" w:rsidRDefault="00C91173">
      <w:pPr>
        <w:pStyle w:val="p0"/>
        <w:shd w:val="clear" w:color="auto" w:fill="FFFFFF"/>
        <w:autoSpaceDN w:val="0"/>
        <w:snapToGrid w:val="0"/>
        <w:spacing w:line="360" w:lineRule="auto"/>
        <w:ind w:firstLineChars="100" w:firstLine="210"/>
        <w:rPr>
          <w:color w:val="404040"/>
          <w:shd w:val="clear" w:color="auto" w:fill="FFFFFF"/>
        </w:rPr>
      </w:pPr>
      <w:r>
        <w:rPr>
          <w:kern w:val="2"/>
        </w:rPr>
        <w:lastRenderedPageBreak/>
        <w:t>（</w:t>
      </w:r>
      <w:r>
        <w:rPr>
          <w:kern w:val="2"/>
        </w:rPr>
        <w:t>6</w:t>
      </w:r>
      <w:r>
        <w:rPr>
          <w:kern w:val="2"/>
        </w:rPr>
        <w:t>）《观光农业园</w:t>
      </w:r>
      <w:r>
        <w:t>规划与经营》</w:t>
      </w:r>
      <w:r>
        <w:t xml:space="preserve">. </w:t>
      </w:r>
      <w:r>
        <w:t>王树进编著。</w:t>
      </w:r>
      <w:r>
        <w:t xml:space="preserve"> </w:t>
      </w:r>
      <w:r>
        <w:t>中国社会出版社，</w:t>
      </w:r>
      <w:r>
        <w:t>2010</w:t>
      </w:r>
      <w:r>
        <w:t>年</w:t>
      </w:r>
    </w:p>
    <w:p w14:paraId="55AA4ECC" w14:textId="77777777" w:rsidR="00F5289E" w:rsidRDefault="00C91173">
      <w:pPr>
        <w:widowControl/>
        <w:snapToGrid w:val="0"/>
        <w:spacing w:line="360" w:lineRule="auto"/>
        <w:jc w:val="left"/>
        <w:rPr>
          <w:b/>
          <w:bCs/>
          <w:kern w:val="0"/>
          <w:szCs w:val="21"/>
        </w:rPr>
      </w:pPr>
      <w:r>
        <w:rPr>
          <w:b/>
          <w:bCs/>
          <w:kern w:val="0"/>
          <w:szCs w:val="21"/>
        </w:rPr>
        <w:t>八、教学条件</w:t>
      </w:r>
    </w:p>
    <w:p w14:paraId="019DD7AF" w14:textId="77777777" w:rsidR="00F5289E" w:rsidRDefault="00C91173">
      <w:pPr>
        <w:snapToGrid w:val="0"/>
        <w:spacing w:line="360" w:lineRule="auto"/>
        <w:ind w:firstLineChars="200" w:firstLine="420"/>
        <w:rPr>
          <w:bCs/>
          <w:kern w:val="0"/>
          <w:szCs w:val="21"/>
        </w:rPr>
      </w:pPr>
      <w:r>
        <w:rPr>
          <w:bCs/>
          <w:kern w:val="0"/>
          <w:szCs w:val="21"/>
        </w:rPr>
        <w:t>本课程的教学实施采用教师授课</w:t>
      </w:r>
      <w:r>
        <w:rPr>
          <w:bCs/>
          <w:kern w:val="0"/>
          <w:szCs w:val="21"/>
        </w:rPr>
        <w:t>+</w:t>
      </w:r>
      <w:r>
        <w:rPr>
          <w:bCs/>
          <w:kern w:val="0"/>
          <w:szCs w:val="21"/>
        </w:rPr>
        <w:t>小组汇报</w:t>
      </w:r>
      <w:r>
        <w:rPr>
          <w:bCs/>
          <w:kern w:val="0"/>
          <w:szCs w:val="21"/>
        </w:rPr>
        <w:t>+</w:t>
      </w:r>
      <w:r>
        <w:rPr>
          <w:bCs/>
          <w:kern w:val="0"/>
          <w:szCs w:val="21"/>
        </w:rPr>
        <w:t>实践的模式进行，需要多媒体的教室，蔬菜种子、嫁接操作相关工具以及栽培种植场地。</w:t>
      </w:r>
    </w:p>
    <w:p w14:paraId="1F67F372" w14:textId="77777777" w:rsidR="00F5289E" w:rsidRDefault="00C91173">
      <w:pPr>
        <w:widowControl/>
        <w:snapToGrid w:val="0"/>
        <w:spacing w:line="360" w:lineRule="auto"/>
        <w:jc w:val="left"/>
        <w:rPr>
          <w:b/>
          <w:bCs/>
          <w:kern w:val="0"/>
          <w:szCs w:val="21"/>
        </w:rPr>
      </w:pPr>
      <w:r>
        <w:rPr>
          <w:b/>
          <w:bCs/>
          <w:kern w:val="0"/>
          <w:szCs w:val="21"/>
        </w:rPr>
        <w:t>九、教学考核评价</w:t>
      </w:r>
    </w:p>
    <w:p w14:paraId="71F32FF5" w14:textId="77777777" w:rsidR="00F5289E" w:rsidRDefault="00C91173">
      <w:pPr>
        <w:widowControl/>
        <w:snapToGrid w:val="0"/>
        <w:spacing w:line="360" w:lineRule="auto"/>
        <w:ind w:firstLine="420"/>
        <w:jc w:val="left"/>
        <w:rPr>
          <w:szCs w:val="21"/>
        </w:rPr>
      </w:pPr>
      <w:r>
        <w:rPr>
          <w:b/>
          <w:bCs/>
          <w:kern w:val="0"/>
          <w:szCs w:val="21"/>
        </w:rPr>
        <w:t xml:space="preserve">1. </w:t>
      </w:r>
      <w:r>
        <w:rPr>
          <w:b/>
          <w:bCs/>
          <w:kern w:val="0"/>
          <w:szCs w:val="21"/>
        </w:rPr>
        <w:t>过程性评价：</w:t>
      </w:r>
      <w:r>
        <w:rPr>
          <w:bCs/>
          <w:kern w:val="0"/>
          <w:szCs w:val="21"/>
        </w:rPr>
        <w:t>根据学生出勤、课堂提问、讨论、学习笔记、作业、实验报告、小组汇报等进行过程性评价。其中：出勤</w:t>
      </w:r>
      <w:r>
        <w:rPr>
          <w:bCs/>
          <w:kern w:val="0"/>
          <w:szCs w:val="21"/>
        </w:rPr>
        <w:t>10%</w:t>
      </w:r>
      <w:r>
        <w:rPr>
          <w:bCs/>
          <w:kern w:val="0"/>
          <w:szCs w:val="21"/>
        </w:rPr>
        <w:t>、课堂提问</w:t>
      </w:r>
      <w:r>
        <w:rPr>
          <w:bCs/>
          <w:kern w:val="0"/>
          <w:szCs w:val="21"/>
        </w:rPr>
        <w:t>10%</w:t>
      </w:r>
      <w:r>
        <w:rPr>
          <w:bCs/>
          <w:kern w:val="0"/>
          <w:szCs w:val="21"/>
        </w:rPr>
        <w:t>、讨论</w:t>
      </w:r>
      <w:r>
        <w:rPr>
          <w:bCs/>
          <w:kern w:val="0"/>
          <w:szCs w:val="21"/>
        </w:rPr>
        <w:t>10%</w:t>
      </w:r>
      <w:r>
        <w:rPr>
          <w:bCs/>
          <w:kern w:val="0"/>
          <w:szCs w:val="21"/>
        </w:rPr>
        <w:t>、学习笔记</w:t>
      </w:r>
      <w:r>
        <w:rPr>
          <w:bCs/>
          <w:kern w:val="0"/>
          <w:szCs w:val="21"/>
        </w:rPr>
        <w:t>10%</w:t>
      </w:r>
      <w:r>
        <w:rPr>
          <w:bCs/>
          <w:kern w:val="0"/>
          <w:szCs w:val="21"/>
        </w:rPr>
        <w:t>、作业</w:t>
      </w:r>
      <w:r>
        <w:rPr>
          <w:bCs/>
          <w:kern w:val="0"/>
          <w:szCs w:val="21"/>
        </w:rPr>
        <w:t>10%</w:t>
      </w:r>
      <w:r>
        <w:rPr>
          <w:bCs/>
          <w:kern w:val="0"/>
          <w:szCs w:val="21"/>
        </w:rPr>
        <w:t>、创意设计课堂汇报</w:t>
      </w:r>
      <w:r>
        <w:rPr>
          <w:bCs/>
          <w:kern w:val="0"/>
          <w:szCs w:val="21"/>
        </w:rPr>
        <w:t>30%</w:t>
      </w:r>
      <w:r>
        <w:rPr>
          <w:bCs/>
          <w:kern w:val="0"/>
          <w:szCs w:val="21"/>
        </w:rPr>
        <w:t>、课程实验</w:t>
      </w:r>
      <w:r>
        <w:rPr>
          <w:bCs/>
          <w:kern w:val="0"/>
          <w:szCs w:val="21"/>
        </w:rPr>
        <w:t>20%</w:t>
      </w:r>
      <w:r>
        <w:rPr>
          <w:bCs/>
          <w:kern w:val="0"/>
          <w:szCs w:val="21"/>
        </w:rPr>
        <w:t>。过程性评价成绩占课程综合成绩</w:t>
      </w:r>
      <w:r>
        <w:rPr>
          <w:bCs/>
          <w:kern w:val="0"/>
          <w:szCs w:val="21"/>
        </w:rPr>
        <w:t>40%</w:t>
      </w:r>
      <w:r>
        <w:rPr>
          <w:bCs/>
          <w:kern w:val="0"/>
          <w:szCs w:val="21"/>
        </w:rPr>
        <w:t>。</w:t>
      </w:r>
    </w:p>
    <w:p w14:paraId="1983C3A7" w14:textId="77777777" w:rsidR="00F5289E" w:rsidRDefault="00C91173">
      <w:pPr>
        <w:widowControl/>
        <w:snapToGrid w:val="0"/>
        <w:spacing w:line="360" w:lineRule="auto"/>
        <w:ind w:firstLine="420"/>
        <w:jc w:val="left"/>
        <w:rPr>
          <w:b/>
          <w:bCs/>
          <w:color w:val="0000FF"/>
          <w:kern w:val="0"/>
          <w:szCs w:val="21"/>
        </w:rPr>
      </w:pPr>
      <w:r>
        <w:rPr>
          <w:b/>
          <w:bCs/>
          <w:kern w:val="0"/>
          <w:szCs w:val="21"/>
        </w:rPr>
        <w:t xml:space="preserve">2. </w:t>
      </w:r>
      <w:r>
        <w:rPr>
          <w:b/>
          <w:bCs/>
          <w:kern w:val="0"/>
          <w:szCs w:val="21"/>
        </w:rPr>
        <w:t>终结性评价：</w:t>
      </w:r>
      <w:r>
        <w:rPr>
          <w:bCs/>
          <w:kern w:val="0"/>
          <w:szCs w:val="21"/>
        </w:rPr>
        <w:t>本课程采用撰写课程论文的方式进行考核，论文成绩占综合成绩</w:t>
      </w:r>
      <w:r>
        <w:rPr>
          <w:bCs/>
          <w:kern w:val="0"/>
          <w:szCs w:val="21"/>
        </w:rPr>
        <w:t>60%</w:t>
      </w:r>
      <w:r>
        <w:rPr>
          <w:bCs/>
          <w:kern w:val="0"/>
          <w:szCs w:val="21"/>
        </w:rPr>
        <w:t>。</w:t>
      </w:r>
    </w:p>
    <w:p w14:paraId="6EF5A047" w14:textId="77777777" w:rsidR="00F5289E" w:rsidRDefault="00C91173">
      <w:pPr>
        <w:widowControl/>
        <w:snapToGrid w:val="0"/>
        <w:spacing w:line="360" w:lineRule="auto"/>
        <w:ind w:firstLine="420"/>
        <w:jc w:val="left"/>
        <w:rPr>
          <w:bCs/>
          <w:kern w:val="0"/>
          <w:szCs w:val="21"/>
        </w:rPr>
      </w:pPr>
      <w:r>
        <w:rPr>
          <w:b/>
          <w:bCs/>
          <w:kern w:val="0"/>
          <w:szCs w:val="21"/>
        </w:rPr>
        <w:t xml:space="preserve">3. </w:t>
      </w:r>
      <w:r>
        <w:rPr>
          <w:b/>
          <w:bCs/>
          <w:kern w:val="0"/>
          <w:szCs w:val="21"/>
        </w:rPr>
        <w:t>课程综合评价：</w:t>
      </w:r>
      <w:r>
        <w:rPr>
          <w:bCs/>
          <w:kern w:val="0"/>
          <w:szCs w:val="21"/>
        </w:rPr>
        <w:t>综合课程成绩</w:t>
      </w:r>
      <w:r>
        <w:rPr>
          <w:bCs/>
          <w:kern w:val="0"/>
          <w:szCs w:val="21"/>
        </w:rPr>
        <w:t xml:space="preserve"> = </w:t>
      </w:r>
      <w:r>
        <w:rPr>
          <w:bCs/>
          <w:kern w:val="0"/>
          <w:szCs w:val="21"/>
        </w:rPr>
        <w:t>期末论文成绩</w:t>
      </w:r>
      <w:r>
        <w:rPr>
          <w:bCs/>
          <w:kern w:val="0"/>
          <w:szCs w:val="21"/>
        </w:rPr>
        <w:t>×60%</w:t>
      </w:r>
      <w:r>
        <w:rPr>
          <w:bCs/>
          <w:kern w:val="0"/>
          <w:szCs w:val="21"/>
        </w:rPr>
        <w:t>＋平时成绩</w:t>
      </w:r>
      <w:r>
        <w:rPr>
          <w:bCs/>
          <w:kern w:val="0"/>
          <w:szCs w:val="21"/>
        </w:rPr>
        <w:t>×40%</w:t>
      </w:r>
    </w:p>
    <w:p w14:paraId="6012AFFD" w14:textId="77777777" w:rsidR="00F5289E" w:rsidRDefault="00C91173">
      <w:pPr>
        <w:widowControl/>
        <w:jc w:val="left"/>
        <w:rPr>
          <w:rFonts w:ascii="宋体" w:hAnsi="宋体"/>
          <w:b/>
          <w:sz w:val="28"/>
          <w:szCs w:val="28"/>
        </w:rPr>
      </w:pPr>
      <w:r>
        <w:rPr>
          <w:rFonts w:ascii="宋体" w:hAnsi="宋体"/>
          <w:b/>
          <w:sz w:val="28"/>
          <w:szCs w:val="28"/>
        </w:rPr>
        <w:br w:type="page"/>
      </w:r>
    </w:p>
    <w:p w14:paraId="47F661D7" w14:textId="77777777" w:rsidR="00F5289E" w:rsidRDefault="00C91173">
      <w:pPr>
        <w:pStyle w:val="1"/>
      </w:pPr>
      <w:bookmarkStart w:id="102" w:name="_Toc138606254"/>
      <w:r>
        <w:rPr>
          <w:rFonts w:hint="eastAsia"/>
        </w:rPr>
        <w:lastRenderedPageBreak/>
        <w:t>园艺产业创业案例</w:t>
      </w:r>
      <w:bookmarkEnd w:id="102"/>
    </w:p>
    <w:p w14:paraId="52144248" w14:textId="77777777" w:rsidR="00F5289E" w:rsidRDefault="001B3040">
      <w:pPr>
        <w:snapToGrid w:val="0"/>
        <w:spacing w:line="360" w:lineRule="auto"/>
        <w:jc w:val="center"/>
        <w:rPr>
          <w:color w:val="000000" w:themeColor="text1"/>
          <w:sz w:val="24"/>
        </w:rPr>
      </w:pPr>
      <w:r>
        <w:rPr>
          <w:rFonts w:hint="eastAsia"/>
          <w:color w:val="000000" w:themeColor="text1"/>
          <w:sz w:val="24"/>
        </w:rPr>
        <w:t>（</w:t>
      </w:r>
      <w:r>
        <w:rPr>
          <w:rFonts w:hint="eastAsia"/>
          <w:color w:val="000000" w:themeColor="text1"/>
          <w:sz w:val="24"/>
        </w:rPr>
        <w:t xml:space="preserve">Horticultural Industry </w:t>
      </w:r>
      <w:r>
        <w:rPr>
          <w:color w:val="000000" w:themeColor="text1"/>
          <w:sz w:val="24"/>
        </w:rPr>
        <w:t>E</w:t>
      </w:r>
      <w:r>
        <w:rPr>
          <w:rFonts w:hint="eastAsia"/>
          <w:color w:val="000000" w:themeColor="text1"/>
          <w:sz w:val="24"/>
        </w:rPr>
        <w:t xml:space="preserve">ntrepreneurship </w:t>
      </w:r>
      <w:r>
        <w:rPr>
          <w:color w:val="000000" w:themeColor="text1"/>
          <w:sz w:val="24"/>
        </w:rPr>
        <w:t>C</w:t>
      </w:r>
      <w:r>
        <w:rPr>
          <w:rFonts w:hint="eastAsia"/>
          <w:color w:val="000000" w:themeColor="text1"/>
          <w:sz w:val="24"/>
        </w:rPr>
        <w:t>ase</w:t>
      </w:r>
      <w:r>
        <w:rPr>
          <w:rFonts w:hint="eastAsia"/>
          <w:color w:val="000000" w:themeColor="text1"/>
          <w:sz w:val="24"/>
        </w:rPr>
        <w:t>）</w:t>
      </w:r>
    </w:p>
    <w:p w14:paraId="6E3FA171" w14:textId="77777777" w:rsidR="00F5289E" w:rsidRDefault="00F5289E">
      <w:pPr>
        <w:snapToGrid w:val="0"/>
        <w:spacing w:line="360" w:lineRule="auto"/>
        <w:jc w:val="center"/>
        <w:rPr>
          <w:b/>
          <w:color w:val="000000" w:themeColor="text1"/>
          <w:szCs w:val="21"/>
        </w:rPr>
      </w:pPr>
    </w:p>
    <w:p w14:paraId="1A214B5D" w14:textId="77777777" w:rsidR="00F5289E" w:rsidRDefault="00C91173">
      <w:pPr>
        <w:snapToGrid w:val="0"/>
        <w:spacing w:line="360" w:lineRule="auto"/>
        <w:jc w:val="center"/>
        <w:rPr>
          <w:b/>
          <w:color w:val="000000" w:themeColor="text1"/>
          <w:szCs w:val="21"/>
        </w:rPr>
      </w:pPr>
      <w:r>
        <w:rPr>
          <w:rFonts w:hint="eastAsia"/>
          <w:b/>
          <w:color w:val="000000" w:themeColor="text1"/>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716"/>
        <w:gridCol w:w="3341"/>
      </w:tblGrid>
      <w:tr w:rsidR="00F5289E" w14:paraId="4AFA83DA" w14:textId="77777777">
        <w:tc>
          <w:tcPr>
            <w:tcW w:w="1597" w:type="pct"/>
          </w:tcPr>
          <w:p w14:paraId="0A54E410"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课程编号：</w:t>
            </w:r>
            <w:r>
              <w:rPr>
                <w:rFonts w:ascii="宋体" w:hAnsi="宋体" w:hint="eastAsia"/>
                <w:color w:val="000000" w:themeColor="text1"/>
                <w:szCs w:val="21"/>
              </w:rPr>
              <w:t>19011037</w:t>
            </w:r>
          </w:p>
        </w:tc>
        <w:tc>
          <w:tcPr>
            <w:tcW w:w="1526" w:type="pct"/>
          </w:tcPr>
          <w:p w14:paraId="75BDF2E8"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课程总学时：</w:t>
            </w:r>
            <w:r>
              <w:rPr>
                <w:rFonts w:ascii="宋体" w:hAnsi="宋体" w:hint="eastAsia"/>
                <w:color w:val="000000" w:themeColor="text1"/>
                <w:szCs w:val="21"/>
              </w:rPr>
              <w:t>24</w:t>
            </w:r>
          </w:p>
        </w:tc>
        <w:tc>
          <w:tcPr>
            <w:tcW w:w="1875" w:type="pct"/>
          </w:tcPr>
          <w:p w14:paraId="131C97DC" w14:textId="36C9BECB"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实验学时：</w:t>
            </w:r>
            <w:r>
              <w:rPr>
                <w:rFonts w:ascii="宋体" w:hAnsi="宋体" w:hint="eastAsia"/>
                <w:color w:val="000000" w:themeColor="text1"/>
                <w:szCs w:val="21"/>
              </w:rPr>
              <w:t>0</w:t>
            </w:r>
          </w:p>
        </w:tc>
      </w:tr>
      <w:tr w:rsidR="00F5289E" w14:paraId="5152776D" w14:textId="77777777">
        <w:tc>
          <w:tcPr>
            <w:tcW w:w="1597" w:type="pct"/>
          </w:tcPr>
          <w:p w14:paraId="07A10D21"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课程性质：</w:t>
            </w:r>
            <w:r>
              <w:rPr>
                <w:rFonts w:hAnsi="宋体" w:hint="eastAsia"/>
                <w:bCs/>
                <w:color w:val="000000" w:themeColor="text1"/>
                <w:kern w:val="0"/>
                <w:szCs w:val="21"/>
              </w:rPr>
              <w:t>选修</w:t>
            </w:r>
          </w:p>
        </w:tc>
        <w:tc>
          <w:tcPr>
            <w:tcW w:w="1526" w:type="pct"/>
          </w:tcPr>
          <w:p w14:paraId="488150AD" w14:textId="77777777" w:rsidR="00F5289E" w:rsidRDefault="00C91173">
            <w:pPr>
              <w:spacing w:line="360" w:lineRule="auto"/>
              <w:rPr>
                <w:rFonts w:ascii="宋体" w:hAnsi="宋体"/>
                <w:b/>
                <w:bCs/>
                <w:color w:val="000000" w:themeColor="text1"/>
                <w:szCs w:val="21"/>
              </w:rPr>
            </w:pPr>
            <w:r>
              <w:rPr>
                <w:rFonts w:ascii="宋体" w:hAnsi="宋体" w:hint="eastAsia"/>
                <w:b/>
                <w:color w:val="000000" w:themeColor="text1"/>
                <w:szCs w:val="21"/>
              </w:rPr>
              <w:t>课程属性:</w:t>
            </w:r>
            <w:r>
              <w:rPr>
                <w:rFonts w:ascii="宋体" w:hAnsi="宋体" w:hint="eastAsia"/>
                <w:bCs/>
                <w:szCs w:val="21"/>
              </w:rPr>
              <w:t>创业教育</w:t>
            </w:r>
            <w:r>
              <w:rPr>
                <w:rFonts w:ascii="宋体" w:hAnsi="宋体" w:hint="eastAsia"/>
                <w:color w:val="000000" w:themeColor="text1"/>
                <w:szCs w:val="21"/>
              </w:rPr>
              <w:t>类</w:t>
            </w:r>
          </w:p>
        </w:tc>
        <w:tc>
          <w:tcPr>
            <w:tcW w:w="1875" w:type="pct"/>
          </w:tcPr>
          <w:p w14:paraId="2400E4B3"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开设学期：</w:t>
            </w:r>
            <w:r>
              <w:rPr>
                <w:rFonts w:ascii="宋体" w:hAnsi="宋体" w:hint="eastAsia"/>
                <w:color w:val="000000" w:themeColor="text1"/>
                <w:szCs w:val="21"/>
              </w:rPr>
              <w:t>第 8 学期</w:t>
            </w:r>
          </w:p>
        </w:tc>
      </w:tr>
      <w:tr w:rsidR="00F5289E" w14:paraId="4E1ED572" w14:textId="77777777">
        <w:tc>
          <w:tcPr>
            <w:tcW w:w="1597" w:type="pct"/>
          </w:tcPr>
          <w:p w14:paraId="63BC669D"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课程负责人：</w:t>
            </w:r>
            <w:r>
              <w:rPr>
                <w:rFonts w:ascii="宋体" w:hAnsi="宋体" w:hint="eastAsia"/>
                <w:color w:val="000000" w:themeColor="text1"/>
                <w:szCs w:val="21"/>
              </w:rPr>
              <w:t>马长生</w:t>
            </w:r>
          </w:p>
        </w:tc>
        <w:tc>
          <w:tcPr>
            <w:tcW w:w="1526" w:type="pct"/>
          </w:tcPr>
          <w:p w14:paraId="4DB982F4"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课程团队：</w:t>
            </w:r>
            <w:r>
              <w:rPr>
                <w:rFonts w:ascii="宋体" w:hAnsi="宋体" w:hint="eastAsia"/>
                <w:color w:val="000000" w:themeColor="text1"/>
                <w:szCs w:val="21"/>
              </w:rPr>
              <w:t>王永，张涛</w:t>
            </w:r>
          </w:p>
        </w:tc>
        <w:tc>
          <w:tcPr>
            <w:tcW w:w="1875" w:type="pct"/>
          </w:tcPr>
          <w:p w14:paraId="60E1B663"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授课语言：</w:t>
            </w:r>
            <w:r>
              <w:rPr>
                <w:rFonts w:ascii="宋体" w:hAnsi="宋体" w:hint="eastAsia"/>
                <w:color w:val="000000" w:themeColor="text1"/>
                <w:szCs w:val="21"/>
              </w:rPr>
              <w:t>中文</w:t>
            </w:r>
          </w:p>
        </w:tc>
      </w:tr>
      <w:tr w:rsidR="00F5289E" w14:paraId="6CB56A76" w14:textId="77777777">
        <w:tc>
          <w:tcPr>
            <w:tcW w:w="5000" w:type="pct"/>
            <w:gridSpan w:val="3"/>
          </w:tcPr>
          <w:p w14:paraId="0FEF5C52" w14:textId="77777777" w:rsidR="00F5289E" w:rsidRDefault="00C91173">
            <w:pPr>
              <w:spacing w:line="360" w:lineRule="auto"/>
              <w:ind w:rightChars="-81" w:right="-170"/>
              <w:rPr>
                <w:rFonts w:ascii="宋体" w:hAnsi="宋体"/>
                <w:bCs/>
                <w:color w:val="000000" w:themeColor="text1"/>
                <w:szCs w:val="21"/>
              </w:rPr>
            </w:pPr>
            <w:r>
              <w:rPr>
                <w:rFonts w:ascii="宋体" w:hAnsi="宋体" w:hint="eastAsia"/>
                <w:b/>
                <w:bCs/>
                <w:color w:val="000000" w:themeColor="text1"/>
                <w:szCs w:val="21"/>
              </w:rPr>
              <w:t>适用专业：</w:t>
            </w:r>
            <w:r>
              <w:rPr>
                <w:rFonts w:ascii="宋体" w:hAnsi="宋体" w:hint="eastAsia"/>
                <w:color w:val="000000" w:themeColor="text1"/>
                <w:szCs w:val="21"/>
              </w:rPr>
              <w:t>园艺本科、设施农业科学与工程</w:t>
            </w:r>
          </w:p>
        </w:tc>
      </w:tr>
      <w:tr w:rsidR="00F5289E" w14:paraId="611E05AA" w14:textId="77777777">
        <w:tc>
          <w:tcPr>
            <w:tcW w:w="5000" w:type="pct"/>
            <w:gridSpan w:val="3"/>
          </w:tcPr>
          <w:p w14:paraId="06C2254F"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对先修的要求：</w:t>
            </w:r>
            <w:r>
              <w:rPr>
                <w:rFonts w:ascii="宋体" w:hAnsi="宋体" w:hint="eastAsia"/>
                <w:color w:val="000000" w:themeColor="text1"/>
                <w:szCs w:val="21"/>
              </w:rPr>
              <w:t>蔬菜栽培学、果树栽培学、花卉栽培学、园艺植物育种学</w:t>
            </w:r>
          </w:p>
        </w:tc>
      </w:tr>
      <w:tr w:rsidR="00F5289E" w14:paraId="4EE3E4E6" w14:textId="77777777">
        <w:tc>
          <w:tcPr>
            <w:tcW w:w="5000" w:type="pct"/>
            <w:gridSpan w:val="3"/>
          </w:tcPr>
          <w:p w14:paraId="57CC2CEA"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对后续的支撑：</w:t>
            </w:r>
            <w:r>
              <w:rPr>
                <w:rFonts w:ascii="宋体" w:hAnsi="宋体" w:hint="eastAsia"/>
                <w:bCs/>
                <w:color w:val="000000" w:themeColor="text1"/>
                <w:szCs w:val="21"/>
              </w:rPr>
              <w:t>无</w:t>
            </w:r>
          </w:p>
        </w:tc>
      </w:tr>
      <w:tr w:rsidR="00F5289E" w14:paraId="2D8F3544" w14:textId="77777777">
        <w:tc>
          <w:tcPr>
            <w:tcW w:w="1597" w:type="pct"/>
          </w:tcPr>
          <w:p w14:paraId="17D127DE"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主撰人：</w:t>
            </w:r>
            <w:r>
              <w:rPr>
                <w:rFonts w:ascii="宋体" w:hAnsi="宋体" w:hint="eastAsia"/>
                <w:color w:val="000000" w:themeColor="text1"/>
                <w:szCs w:val="21"/>
              </w:rPr>
              <w:t>王永，张涛</w:t>
            </w:r>
          </w:p>
        </w:tc>
        <w:tc>
          <w:tcPr>
            <w:tcW w:w="1526" w:type="pct"/>
          </w:tcPr>
          <w:p w14:paraId="4DF34118"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审核人：</w:t>
            </w:r>
            <w:r>
              <w:rPr>
                <w:rFonts w:ascii="宋体" w:hAnsi="宋体" w:hint="eastAsia"/>
                <w:color w:val="000000" w:themeColor="text1"/>
                <w:szCs w:val="21"/>
              </w:rPr>
              <w:t>马长生</w:t>
            </w:r>
          </w:p>
        </w:tc>
        <w:tc>
          <w:tcPr>
            <w:tcW w:w="1875" w:type="pct"/>
          </w:tcPr>
          <w:p w14:paraId="08152092" w14:textId="77777777" w:rsidR="00F5289E" w:rsidRDefault="00C91173">
            <w:pPr>
              <w:spacing w:line="360" w:lineRule="auto"/>
              <w:rPr>
                <w:rFonts w:ascii="宋体" w:hAnsi="宋体"/>
                <w:b/>
                <w:bCs/>
                <w:color w:val="000000" w:themeColor="text1"/>
                <w:szCs w:val="21"/>
              </w:rPr>
            </w:pPr>
            <w:r>
              <w:rPr>
                <w:rFonts w:ascii="宋体" w:hAnsi="宋体" w:hint="eastAsia"/>
                <w:b/>
                <w:bCs/>
                <w:color w:val="000000" w:themeColor="text1"/>
                <w:szCs w:val="21"/>
              </w:rPr>
              <w:t>大纲制定（修订）日期：</w:t>
            </w:r>
            <w:r>
              <w:rPr>
                <w:rFonts w:ascii="宋体" w:hAnsi="宋体" w:hint="eastAsia"/>
                <w:color w:val="000000" w:themeColor="text1"/>
                <w:szCs w:val="21"/>
              </w:rPr>
              <w:t>2023.</w:t>
            </w:r>
            <w:r w:rsidR="001B3040">
              <w:rPr>
                <w:rFonts w:ascii="宋体" w:hAnsi="宋体"/>
                <w:color w:val="000000" w:themeColor="text1"/>
                <w:szCs w:val="21"/>
              </w:rPr>
              <w:t>05</w:t>
            </w:r>
          </w:p>
        </w:tc>
      </w:tr>
    </w:tbl>
    <w:p w14:paraId="69FB3C54" w14:textId="77777777" w:rsidR="00F5289E" w:rsidRDefault="00F5289E">
      <w:pPr>
        <w:widowControl/>
        <w:snapToGrid w:val="0"/>
        <w:spacing w:line="360" w:lineRule="auto"/>
        <w:jc w:val="left"/>
        <w:rPr>
          <w:rFonts w:hAnsi="宋体"/>
          <w:b/>
          <w:bCs/>
          <w:color w:val="000000" w:themeColor="text1"/>
          <w:kern w:val="0"/>
          <w:szCs w:val="21"/>
        </w:rPr>
      </w:pPr>
    </w:p>
    <w:p w14:paraId="66465F6B" w14:textId="77777777" w:rsidR="00F5289E" w:rsidRDefault="00C91173">
      <w:pPr>
        <w:widowControl/>
        <w:snapToGrid w:val="0"/>
        <w:spacing w:line="360" w:lineRule="auto"/>
        <w:jc w:val="left"/>
        <w:rPr>
          <w:color w:val="000000" w:themeColor="text1"/>
          <w:kern w:val="0"/>
          <w:szCs w:val="21"/>
        </w:rPr>
      </w:pPr>
      <w:r>
        <w:rPr>
          <w:rFonts w:hAnsi="宋体"/>
          <w:b/>
          <w:bCs/>
          <w:color w:val="000000" w:themeColor="text1"/>
          <w:kern w:val="0"/>
          <w:szCs w:val="21"/>
        </w:rPr>
        <w:t>一、课程的</w:t>
      </w:r>
      <w:r>
        <w:rPr>
          <w:rFonts w:hAnsi="宋体" w:hint="eastAsia"/>
          <w:b/>
          <w:bCs/>
          <w:color w:val="000000" w:themeColor="text1"/>
          <w:kern w:val="0"/>
          <w:szCs w:val="21"/>
        </w:rPr>
        <w:t>教学理念、性质、目标和</w:t>
      </w:r>
      <w:r>
        <w:rPr>
          <w:rFonts w:hAnsi="宋体"/>
          <w:b/>
          <w:bCs/>
          <w:color w:val="000000" w:themeColor="text1"/>
          <w:kern w:val="0"/>
          <w:szCs w:val="21"/>
        </w:rPr>
        <w:t>任务</w:t>
      </w:r>
    </w:p>
    <w:p w14:paraId="34C78435"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园艺产业创业案例》是园艺学专业选修课，是一门对园艺专业学生具有开发创业思维的非常重要的一门课程。本课程对我国园艺产业的规模、现状、存在的问题、发展潜力会有一个总体的概述；对农业（园艺）产业化、园艺产品营销、农产品品牌打造、农业园区实际创业案例等方面进行较多的阐述和分析。通过该课程的学习，将使学生们能较全面地了解园艺产业的整体情况，树立专业信心和行业自信，热爱园艺；同时，具有初步的园艺产业的概念、创业思路和认识，掌握基本的园艺产业的经营运作方法，提高在园艺行业的就业信心和能力；再者，为农业园区、农业企业、农业产业化等培养有高度、有格局的高级从业人才、管理人才和创业人才。</w:t>
      </w:r>
    </w:p>
    <w:p w14:paraId="6527B427" w14:textId="77777777" w:rsidR="00F5289E" w:rsidRDefault="00C91173">
      <w:pPr>
        <w:widowControl/>
        <w:snapToGrid w:val="0"/>
        <w:spacing w:line="360" w:lineRule="auto"/>
        <w:jc w:val="left"/>
        <w:rPr>
          <w:color w:val="000000" w:themeColor="text1"/>
          <w:kern w:val="0"/>
          <w:szCs w:val="21"/>
        </w:rPr>
      </w:pPr>
      <w:r>
        <w:rPr>
          <w:rFonts w:hAnsi="宋体"/>
          <w:b/>
          <w:bCs/>
          <w:color w:val="000000" w:themeColor="text1"/>
          <w:kern w:val="0"/>
          <w:szCs w:val="21"/>
        </w:rPr>
        <w:t>二、课程教学的基本要求</w:t>
      </w:r>
    </w:p>
    <w:p w14:paraId="3F372046"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hint="eastAsia"/>
          <w:color w:val="000000" w:themeColor="text1"/>
          <w:kern w:val="0"/>
          <w:szCs w:val="21"/>
        </w:rPr>
        <w:t>1.</w:t>
      </w:r>
      <w:r>
        <w:rPr>
          <w:rFonts w:hAnsi="宋体"/>
          <w:color w:val="000000" w:themeColor="text1"/>
          <w:kern w:val="0"/>
          <w:szCs w:val="21"/>
        </w:rPr>
        <w:t>理论知识方面：</w:t>
      </w:r>
      <w:r>
        <w:rPr>
          <w:rFonts w:hAnsi="宋体" w:hint="eastAsia"/>
          <w:bCs/>
          <w:color w:val="000000" w:themeColor="text1"/>
          <w:kern w:val="0"/>
          <w:szCs w:val="21"/>
        </w:rPr>
        <w:t>本课程在教学中应注重理论联系实际，配合和落实好学院的“卓越园艺师培养计划”。通过本课程的学习，要打开学生们的思路，开阔学生们的视野，提高学生们学习园艺专业的兴趣，树立学生们的专业自信和行业信心，使学生们具备良好的职业素养和职业能力。</w:t>
      </w:r>
    </w:p>
    <w:p w14:paraId="40DDEAAE"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hint="eastAsia"/>
          <w:color w:val="000000" w:themeColor="text1"/>
          <w:kern w:val="0"/>
          <w:szCs w:val="21"/>
        </w:rPr>
        <w:t>2.</w:t>
      </w:r>
      <w:r>
        <w:rPr>
          <w:rFonts w:hAnsi="宋体"/>
          <w:color w:val="000000" w:themeColor="text1"/>
          <w:kern w:val="0"/>
          <w:szCs w:val="21"/>
        </w:rPr>
        <w:t>实验技能方面：</w:t>
      </w:r>
      <w:r>
        <w:rPr>
          <w:rFonts w:ascii="宋体" w:hAnsi="宋体" w:hint="eastAsia"/>
          <w:bCs/>
          <w:color w:val="000000" w:themeColor="text1"/>
          <w:szCs w:val="21"/>
        </w:rPr>
        <w:t>无</w:t>
      </w:r>
    </w:p>
    <w:p w14:paraId="1C80F978" w14:textId="77777777" w:rsidR="00F5289E" w:rsidRDefault="00C91173">
      <w:pPr>
        <w:widowControl/>
        <w:snapToGrid w:val="0"/>
        <w:spacing w:line="360" w:lineRule="auto"/>
        <w:jc w:val="left"/>
        <w:rPr>
          <w:rFonts w:hAnsi="宋体"/>
          <w:b/>
          <w:bCs/>
          <w:color w:val="000000" w:themeColor="text1"/>
          <w:kern w:val="0"/>
          <w:szCs w:val="21"/>
        </w:rPr>
      </w:pPr>
      <w:r>
        <w:rPr>
          <w:rFonts w:hint="eastAsia"/>
          <w:b/>
          <w:bCs/>
          <w:color w:val="000000" w:themeColor="text1"/>
          <w:kern w:val="0"/>
          <w:szCs w:val="21"/>
        </w:rPr>
        <w:t>三</w:t>
      </w:r>
      <w:r>
        <w:rPr>
          <w:b/>
          <w:bCs/>
          <w:color w:val="000000" w:themeColor="text1"/>
          <w:kern w:val="0"/>
          <w:szCs w:val="21"/>
        </w:rPr>
        <w:t>、</w:t>
      </w:r>
      <w:r>
        <w:rPr>
          <w:rFonts w:hAnsi="宋体" w:hint="eastAsia"/>
          <w:b/>
          <w:bCs/>
          <w:color w:val="000000" w:themeColor="text1"/>
          <w:kern w:val="0"/>
          <w:szCs w:val="21"/>
        </w:rPr>
        <w:t>课程的教学设计</w:t>
      </w:r>
    </w:p>
    <w:p w14:paraId="1AEF256C"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1.</w:t>
      </w:r>
      <w:r>
        <w:rPr>
          <w:rFonts w:hAnsi="宋体" w:hint="eastAsia"/>
          <w:bCs/>
          <w:color w:val="000000" w:themeColor="text1"/>
          <w:kern w:val="0"/>
          <w:szCs w:val="21"/>
        </w:rPr>
        <w:t>教学设计说明</w:t>
      </w:r>
    </w:p>
    <w:p w14:paraId="637B55E2"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为了有效的完成课程主要目的，本课程主要围绕我国农业（园艺）产业化现状、问题、发展潜力及创业案例等内容，通过课堂讲授、课下拓展与问答（课程交流微信群和超星资源共享群）、小组讨论、个人试讲等方式组织教学活动，积极的提高学生的主动性，注重学生的个人创新和发现问</w:t>
      </w:r>
      <w:r>
        <w:rPr>
          <w:rFonts w:hAnsi="宋体" w:hint="eastAsia"/>
          <w:bCs/>
          <w:color w:val="000000" w:themeColor="text1"/>
          <w:kern w:val="0"/>
          <w:szCs w:val="21"/>
        </w:rPr>
        <w:lastRenderedPageBreak/>
        <w:t>题能力的培养，以平时成绩和最终课程论文成绩系统的评价学生的学习情况。</w:t>
      </w:r>
    </w:p>
    <w:p w14:paraId="0D9A9B0B"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2.</w:t>
      </w:r>
      <w:r>
        <w:rPr>
          <w:rFonts w:hAnsi="宋体" w:hint="eastAsia"/>
          <w:bCs/>
          <w:color w:val="000000" w:themeColor="text1"/>
          <w:kern w:val="0"/>
          <w:szCs w:val="21"/>
        </w:rPr>
        <w:t>课程目标及对毕业要求的支撑（表格正文宋体小五号字体）</w:t>
      </w:r>
    </w:p>
    <w:tbl>
      <w:tblPr>
        <w:tblStyle w:val="af6"/>
        <w:tblW w:w="8897" w:type="dxa"/>
        <w:jc w:val="center"/>
        <w:tblLook w:val="04A0" w:firstRow="1" w:lastRow="0" w:firstColumn="1" w:lastColumn="0" w:noHBand="0" w:noVBand="1"/>
      </w:tblPr>
      <w:tblGrid>
        <w:gridCol w:w="999"/>
        <w:gridCol w:w="6846"/>
        <w:gridCol w:w="1052"/>
      </w:tblGrid>
      <w:tr w:rsidR="00F5289E" w14:paraId="574E90A7"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3AA399"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7A3240A"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8AA4610"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毕业要求</w:t>
            </w:r>
          </w:p>
        </w:tc>
      </w:tr>
      <w:tr w:rsidR="00F5289E" w14:paraId="3AAE70FA"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C104363"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16F61C50" w14:textId="77777777" w:rsidR="00F5289E" w:rsidRDefault="00C91173">
            <w:pPr>
              <w:spacing w:line="320" w:lineRule="exact"/>
              <w:jc w:val="left"/>
              <w:rPr>
                <w:rFonts w:eastAsiaTheme="minorEastAsia" w:hAnsiTheme="minorEastAsia"/>
                <w:color w:val="000000" w:themeColor="text1"/>
                <w:sz w:val="18"/>
                <w:szCs w:val="18"/>
              </w:rPr>
            </w:pPr>
            <w:r>
              <w:rPr>
                <w:rFonts w:eastAsiaTheme="minorEastAsia" w:hint="eastAsia"/>
                <w:color w:val="000000" w:themeColor="text1"/>
                <w:sz w:val="18"/>
                <w:szCs w:val="18"/>
              </w:rPr>
              <w:t>目标</w:t>
            </w:r>
            <w:r>
              <w:rPr>
                <w:rFonts w:eastAsiaTheme="minorEastAsia"/>
                <w:color w:val="000000" w:themeColor="text1"/>
                <w:sz w:val="18"/>
                <w:szCs w:val="18"/>
              </w:rPr>
              <w:t>1</w:t>
            </w:r>
            <w:r>
              <w:rPr>
                <w:rFonts w:eastAsiaTheme="minorEastAsia" w:hint="eastAsia"/>
                <w:color w:val="000000" w:themeColor="text1"/>
                <w:sz w:val="18"/>
                <w:szCs w:val="18"/>
              </w:rPr>
              <w:t>：使学生们能较全面地了解园艺产业的整体情况，树立专业信心和行业自信，热爱园艺。</w:t>
            </w:r>
          </w:p>
        </w:tc>
        <w:tc>
          <w:tcPr>
            <w:tcW w:w="1052" w:type="dxa"/>
            <w:tcBorders>
              <w:top w:val="single" w:sz="4" w:space="0" w:color="auto"/>
              <w:left w:val="single" w:sz="4" w:space="0" w:color="auto"/>
              <w:bottom w:val="single" w:sz="4" w:space="0" w:color="auto"/>
              <w:right w:val="single" w:sz="4" w:space="0" w:color="auto"/>
            </w:tcBorders>
            <w:vAlign w:val="center"/>
          </w:tcPr>
          <w:p w14:paraId="3F12F1FA" w14:textId="77777777" w:rsidR="00F5289E"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1</w:t>
            </w:r>
          </w:p>
          <w:p w14:paraId="7AA8D98A" w14:textId="54D9E1C8" w:rsidR="0070340D"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2</w:t>
            </w:r>
          </w:p>
        </w:tc>
      </w:tr>
      <w:tr w:rsidR="00F5289E" w14:paraId="140FA4EA"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51310BBF"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619C91ED" w14:textId="77777777" w:rsidR="00F5289E" w:rsidRDefault="00C91173">
            <w:pPr>
              <w:spacing w:line="320" w:lineRule="exact"/>
              <w:jc w:val="left"/>
              <w:rPr>
                <w:rFonts w:eastAsiaTheme="minorEastAsia" w:hAnsiTheme="minorEastAsia"/>
                <w:color w:val="000000" w:themeColor="text1"/>
                <w:sz w:val="18"/>
                <w:szCs w:val="18"/>
                <w:highlight w:val="yellow"/>
              </w:rPr>
            </w:pPr>
            <w:r>
              <w:rPr>
                <w:rFonts w:eastAsiaTheme="minorEastAsia" w:hAnsiTheme="minorEastAsia"/>
                <w:color w:val="000000" w:themeColor="text1"/>
                <w:sz w:val="18"/>
                <w:szCs w:val="18"/>
              </w:rPr>
              <w:t>目标</w:t>
            </w:r>
            <w:r>
              <w:rPr>
                <w:rFonts w:eastAsiaTheme="minorEastAsia"/>
                <w:color w:val="000000" w:themeColor="text1"/>
                <w:sz w:val="18"/>
                <w:szCs w:val="18"/>
              </w:rPr>
              <w:t>2</w:t>
            </w:r>
            <w:r>
              <w:rPr>
                <w:rFonts w:eastAsiaTheme="minorEastAsia" w:hAnsiTheme="minorEastAsia"/>
                <w:color w:val="000000" w:themeColor="text1"/>
                <w:sz w:val="18"/>
                <w:szCs w:val="18"/>
              </w:rPr>
              <w:t>：</w:t>
            </w:r>
            <w:r>
              <w:rPr>
                <w:rFonts w:eastAsiaTheme="minorEastAsia" w:hint="eastAsia"/>
                <w:color w:val="000000" w:themeColor="text1"/>
                <w:sz w:val="18"/>
                <w:szCs w:val="18"/>
              </w:rPr>
              <w:t>具有初步的园艺产业的概念、创业思路和认识，掌握基本的园艺产业的经营运作方法</w:t>
            </w:r>
          </w:p>
        </w:tc>
        <w:tc>
          <w:tcPr>
            <w:tcW w:w="1052" w:type="dxa"/>
            <w:tcBorders>
              <w:top w:val="single" w:sz="4" w:space="0" w:color="auto"/>
              <w:left w:val="single" w:sz="4" w:space="0" w:color="auto"/>
              <w:bottom w:val="single" w:sz="4" w:space="0" w:color="auto"/>
              <w:right w:val="single" w:sz="4" w:space="0" w:color="auto"/>
            </w:tcBorders>
            <w:vAlign w:val="center"/>
          </w:tcPr>
          <w:p w14:paraId="4E970E62" w14:textId="45B786F4" w:rsidR="00F5289E"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5</w:t>
            </w:r>
          </w:p>
        </w:tc>
      </w:tr>
      <w:tr w:rsidR="00F5289E" w14:paraId="6CB95AE3"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7365A48"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3B325B9E" w14:textId="77777777" w:rsidR="00F5289E" w:rsidRDefault="00C91173">
            <w:pPr>
              <w:spacing w:line="320" w:lineRule="exact"/>
              <w:jc w:val="left"/>
              <w:rPr>
                <w:rFonts w:eastAsiaTheme="minorEastAsia"/>
                <w:color w:val="000000" w:themeColor="text1"/>
                <w:sz w:val="18"/>
                <w:szCs w:val="18"/>
              </w:rPr>
            </w:pPr>
            <w:r>
              <w:rPr>
                <w:rFonts w:eastAsiaTheme="minorEastAsia" w:hAnsiTheme="minorEastAsia"/>
                <w:color w:val="000000" w:themeColor="text1"/>
                <w:sz w:val="18"/>
                <w:szCs w:val="18"/>
              </w:rPr>
              <w:t>例：目标</w:t>
            </w:r>
            <w:r>
              <w:rPr>
                <w:rFonts w:eastAsiaTheme="minorEastAsia"/>
                <w:color w:val="000000" w:themeColor="text1"/>
                <w:sz w:val="18"/>
                <w:szCs w:val="18"/>
              </w:rPr>
              <w:t>3</w:t>
            </w:r>
            <w:r>
              <w:rPr>
                <w:rFonts w:eastAsiaTheme="minorEastAsia" w:hAnsiTheme="minorEastAsia"/>
                <w:color w:val="000000" w:themeColor="text1"/>
                <w:sz w:val="18"/>
                <w:szCs w:val="18"/>
              </w:rPr>
              <w:t>：</w:t>
            </w:r>
            <w:r>
              <w:rPr>
                <w:rFonts w:eastAsiaTheme="minorEastAsia" w:hint="eastAsia"/>
                <w:color w:val="000000" w:themeColor="text1"/>
                <w:sz w:val="18"/>
                <w:szCs w:val="18"/>
              </w:rPr>
              <w:t>通过课程的学习，提高学生在园艺行业的就业信心和能力，为农业园区、农业企业、农业产业化等培养有高度、有格局的高级从业人才、管理人才和创业人才。</w:t>
            </w:r>
          </w:p>
        </w:tc>
        <w:tc>
          <w:tcPr>
            <w:tcW w:w="1052" w:type="dxa"/>
            <w:tcBorders>
              <w:top w:val="single" w:sz="4" w:space="0" w:color="auto"/>
              <w:left w:val="single" w:sz="4" w:space="0" w:color="auto"/>
              <w:bottom w:val="single" w:sz="4" w:space="0" w:color="auto"/>
              <w:right w:val="single" w:sz="4" w:space="0" w:color="auto"/>
            </w:tcBorders>
            <w:vAlign w:val="center"/>
          </w:tcPr>
          <w:p w14:paraId="5C8F89F7" w14:textId="77777777" w:rsidR="00F5289E"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7</w:t>
            </w:r>
          </w:p>
          <w:p w14:paraId="1114AA0B" w14:textId="77777777" w:rsidR="0070340D"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8</w:t>
            </w:r>
          </w:p>
          <w:p w14:paraId="15F17F9D" w14:textId="1257D659" w:rsidR="0070340D" w:rsidRDefault="0070340D">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1</w:t>
            </w:r>
            <w:r>
              <w:rPr>
                <w:rFonts w:eastAsiaTheme="minorEastAsia"/>
                <w:color w:val="000000" w:themeColor="text1"/>
                <w:sz w:val="18"/>
                <w:szCs w:val="18"/>
              </w:rPr>
              <w:t>0</w:t>
            </w:r>
          </w:p>
        </w:tc>
      </w:tr>
    </w:tbl>
    <w:p w14:paraId="1DE0A0CA" w14:textId="77777777" w:rsidR="00F5289E" w:rsidRDefault="00F5289E">
      <w:pPr>
        <w:spacing w:line="360" w:lineRule="auto"/>
        <w:ind w:firstLineChars="200" w:firstLine="420"/>
        <w:rPr>
          <w:rFonts w:hAnsi="宋体"/>
          <w:bCs/>
          <w:color w:val="000000" w:themeColor="text1"/>
          <w:kern w:val="0"/>
          <w:szCs w:val="21"/>
        </w:rPr>
      </w:pPr>
    </w:p>
    <w:p w14:paraId="4D8535A1" w14:textId="77777777" w:rsidR="00F5289E" w:rsidRDefault="00C91173">
      <w:pPr>
        <w:widowControl/>
        <w:snapToGrid w:val="0"/>
        <w:spacing w:line="360" w:lineRule="auto"/>
        <w:jc w:val="left"/>
        <w:rPr>
          <w:rFonts w:hAnsi="宋体"/>
          <w:bCs/>
          <w:color w:val="000000" w:themeColor="text1"/>
          <w:kern w:val="0"/>
          <w:szCs w:val="21"/>
        </w:rPr>
      </w:pPr>
      <w:r>
        <w:rPr>
          <w:rFonts w:hAnsi="宋体" w:hint="eastAsia"/>
          <w:b/>
          <w:bCs/>
          <w:color w:val="000000" w:themeColor="text1"/>
          <w:kern w:val="0"/>
          <w:szCs w:val="21"/>
        </w:rPr>
        <w:t>四</w:t>
      </w:r>
      <w:r>
        <w:rPr>
          <w:rFonts w:hAnsi="宋体"/>
          <w:b/>
          <w:bCs/>
          <w:color w:val="000000" w:themeColor="text1"/>
          <w:kern w:val="0"/>
          <w:szCs w:val="21"/>
        </w:rPr>
        <w:t>、理论教学内容及学时分配</w:t>
      </w:r>
      <w:r>
        <w:rPr>
          <w:rFonts w:hAnsi="宋体" w:hint="eastAsia"/>
          <w:b/>
          <w:bCs/>
          <w:color w:val="000000" w:themeColor="text1"/>
          <w:kern w:val="0"/>
          <w:szCs w:val="21"/>
        </w:rPr>
        <w:t>（</w:t>
      </w:r>
      <w:r>
        <w:rPr>
          <w:rFonts w:hAnsi="宋体" w:hint="eastAsia"/>
          <w:b/>
          <w:bCs/>
          <w:color w:val="000000" w:themeColor="text1"/>
          <w:kern w:val="0"/>
          <w:szCs w:val="21"/>
        </w:rPr>
        <w:t>24</w:t>
      </w:r>
      <w:r>
        <w:rPr>
          <w:rFonts w:hAnsi="宋体" w:hint="eastAsia"/>
          <w:b/>
          <w:bCs/>
          <w:color w:val="000000" w:themeColor="text1"/>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1C12C01" w14:textId="77777777">
        <w:trPr>
          <w:trHeight w:val="270"/>
        </w:trPr>
        <w:tc>
          <w:tcPr>
            <w:tcW w:w="2965" w:type="dxa"/>
            <w:tcBorders>
              <w:top w:val="nil"/>
              <w:left w:val="nil"/>
              <w:bottom w:val="nil"/>
              <w:right w:val="nil"/>
            </w:tcBorders>
            <w:vAlign w:val="center"/>
          </w:tcPr>
          <w:p w14:paraId="0A674FF0" w14:textId="77777777" w:rsidR="00F5289E" w:rsidRDefault="00F5289E">
            <w:pPr>
              <w:widowControl/>
              <w:snapToGrid w:val="0"/>
              <w:spacing w:line="360" w:lineRule="auto"/>
              <w:jc w:val="center"/>
              <w:rPr>
                <w:rFonts w:hAnsi="宋体"/>
                <w:b/>
                <w:bCs/>
                <w:color w:val="000000" w:themeColor="text1"/>
                <w:kern w:val="0"/>
                <w:szCs w:val="21"/>
              </w:rPr>
            </w:pPr>
          </w:p>
        </w:tc>
        <w:tc>
          <w:tcPr>
            <w:tcW w:w="2965" w:type="dxa"/>
            <w:tcBorders>
              <w:top w:val="nil"/>
              <w:left w:val="nil"/>
              <w:bottom w:val="nil"/>
              <w:right w:val="nil"/>
            </w:tcBorders>
            <w:vAlign w:val="center"/>
          </w:tcPr>
          <w:p w14:paraId="387253A0" w14:textId="77777777" w:rsidR="00F5289E" w:rsidRDefault="00C91173">
            <w:pPr>
              <w:widowControl/>
              <w:snapToGrid w:val="0"/>
              <w:spacing w:line="360" w:lineRule="auto"/>
              <w:jc w:val="center"/>
              <w:rPr>
                <w:rFonts w:hAnsi="宋体"/>
                <w:b/>
                <w:bCs/>
                <w:color w:val="000000" w:themeColor="text1"/>
                <w:kern w:val="0"/>
                <w:szCs w:val="21"/>
              </w:rPr>
            </w:pPr>
            <w:r>
              <w:rPr>
                <w:rFonts w:hAnsi="宋体" w:hint="eastAsia"/>
                <w:b/>
                <w:bCs/>
                <w:color w:val="000000" w:themeColor="text1"/>
                <w:kern w:val="0"/>
                <w:szCs w:val="21"/>
              </w:rPr>
              <w:t>绪论</w:t>
            </w:r>
          </w:p>
        </w:tc>
        <w:tc>
          <w:tcPr>
            <w:tcW w:w="2966" w:type="dxa"/>
            <w:tcBorders>
              <w:top w:val="nil"/>
              <w:left w:val="nil"/>
              <w:bottom w:val="nil"/>
              <w:right w:val="nil"/>
            </w:tcBorders>
            <w:vAlign w:val="center"/>
          </w:tcPr>
          <w:p w14:paraId="14FEE5C3"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2</w:t>
            </w:r>
          </w:p>
        </w:tc>
      </w:tr>
    </w:tbl>
    <w:p w14:paraId="3AC1E4C0"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bCs/>
          <w:color w:val="000000" w:themeColor="text1"/>
        </w:rPr>
        <w:t>明确本课程的学习目标及主要学习内容，掌握相关概念，了解我国园艺产业的现状和问题，以及发展方向，调动学生们的学习积极性，增强专业自信。</w:t>
      </w:r>
    </w:p>
    <w:p w14:paraId="3B71710B"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教学重点和难点：</w:t>
      </w:r>
      <w:r>
        <w:rPr>
          <w:rFonts w:ascii="宋体" w:hAnsi="宋体" w:hint="eastAsia"/>
          <w:bCs/>
          <w:color w:val="000000" w:themeColor="text1"/>
        </w:rPr>
        <w:t>掌握我国园艺产业的现状和问题，以及发展方向。</w:t>
      </w:r>
    </w:p>
    <w:p w14:paraId="0A0A7DEE"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4F8DB926"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了解：园艺产业是一个大产业，是一个充满活力的产业。园艺产业创业案例这门课的重要性，以及如何学习好这门课。</w:t>
      </w:r>
    </w:p>
    <w:p w14:paraId="0B04CEA9"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掌握：我国园艺产业的现状和问题。</w:t>
      </w:r>
      <w:r>
        <w:rPr>
          <w:rFonts w:hint="eastAsia"/>
          <w:color w:val="000000" w:themeColor="text1"/>
        </w:rPr>
        <w:t>我国园艺产业的发展方向，以及在农业结构供给侧改革中的作用</w:t>
      </w:r>
      <w:r>
        <w:rPr>
          <w:rFonts w:hAnsi="宋体" w:hint="eastAsia"/>
          <w:bCs/>
          <w:color w:val="000000" w:themeColor="text1"/>
        </w:rPr>
        <w:t>。</w:t>
      </w:r>
    </w:p>
    <w:p w14:paraId="5278D36E" w14:textId="77777777" w:rsidR="00F5289E" w:rsidRDefault="00C91173">
      <w:pPr>
        <w:widowControl/>
        <w:snapToGrid w:val="0"/>
        <w:spacing w:line="360" w:lineRule="auto"/>
        <w:rPr>
          <w:rFonts w:ascii="宋体" w:hAnsi="宋体"/>
          <w:b/>
          <w:bCs/>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以学生为本，通过课堂讲授和课下拓展与问答等方式组织教学活动。</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61467A6" w14:textId="77777777">
        <w:trPr>
          <w:trHeight w:val="270"/>
        </w:trPr>
        <w:tc>
          <w:tcPr>
            <w:tcW w:w="2965" w:type="dxa"/>
            <w:tcBorders>
              <w:top w:val="nil"/>
              <w:left w:val="nil"/>
              <w:bottom w:val="nil"/>
              <w:right w:val="nil"/>
            </w:tcBorders>
            <w:vAlign w:val="center"/>
          </w:tcPr>
          <w:p w14:paraId="0053F8FC" w14:textId="77777777" w:rsidR="00F5289E" w:rsidRDefault="00F5289E">
            <w:pPr>
              <w:widowControl/>
              <w:snapToGrid w:val="0"/>
              <w:spacing w:line="360" w:lineRule="auto"/>
              <w:jc w:val="center"/>
              <w:rPr>
                <w:rFonts w:hAnsi="宋体"/>
                <w:b/>
                <w:bCs/>
                <w:color w:val="000000" w:themeColor="text1"/>
                <w:kern w:val="0"/>
                <w:szCs w:val="21"/>
              </w:rPr>
            </w:pPr>
          </w:p>
        </w:tc>
        <w:tc>
          <w:tcPr>
            <w:tcW w:w="2965" w:type="dxa"/>
            <w:tcBorders>
              <w:top w:val="nil"/>
              <w:left w:val="nil"/>
              <w:bottom w:val="nil"/>
              <w:right w:val="nil"/>
            </w:tcBorders>
            <w:vAlign w:val="center"/>
          </w:tcPr>
          <w:p w14:paraId="30837CBE" w14:textId="77777777" w:rsidR="00F5289E" w:rsidRDefault="00C91173">
            <w:pPr>
              <w:widowControl/>
              <w:snapToGrid w:val="0"/>
              <w:spacing w:line="360" w:lineRule="auto"/>
              <w:jc w:val="center"/>
              <w:rPr>
                <w:rFonts w:hAnsi="宋体"/>
                <w:b/>
                <w:bCs/>
                <w:color w:val="000000" w:themeColor="text1"/>
                <w:kern w:val="0"/>
                <w:szCs w:val="21"/>
              </w:rPr>
            </w:pPr>
            <w:r>
              <w:rPr>
                <w:rFonts w:hAnsi="宋体"/>
                <w:b/>
                <w:bCs/>
                <w:color w:val="000000" w:themeColor="text1"/>
                <w:kern w:val="0"/>
                <w:szCs w:val="21"/>
              </w:rPr>
              <w:t>第一章</w:t>
            </w:r>
            <w:r>
              <w:rPr>
                <w:rFonts w:hint="eastAsia"/>
                <w:b/>
                <w:bCs/>
                <w:color w:val="000000" w:themeColor="text1"/>
                <w:kern w:val="0"/>
                <w:szCs w:val="21"/>
              </w:rPr>
              <w:t xml:space="preserve">  </w:t>
            </w:r>
            <w:r>
              <w:rPr>
                <w:rFonts w:hint="eastAsia"/>
                <w:b/>
                <w:color w:val="000000" w:themeColor="text1"/>
                <w:szCs w:val="21"/>
              </w:rPr>
              <w:t>农业（园艺）产业化</w:t>
            </w:r>
          </w:p>
        </w:tc>
        <w:tc>
          <w:tcPr>
            <w:tcW w:w="2966" w:type="dxa"/>
            <w:tcBorders>
              <w:top w:val="nil"/>
              <w:left w:val="nil"/>
              <w:bottom w:val="nil"/>
              <w:right w:val="nil"/>
            </w:tcBorders>
            <w:vAlign w:val="center"/>
          </w:tcPr>
          <w:p w14:paraId="3F554A69"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8</w:t>
            </w:r>
          </w:p>
        </w:tc>
      </w:tr>
    </w:tbl>
    <w:p w14:paraId="17D92C6A" w14:textId="77777777" w:rsidR="00F5289E" w:rsidRDefault="00C91173">
      <w:pPr>
        <w:snapToGrid w:val="0"/>
        <w:spacing w:line="360" w:lineRule="auto"/>
        <w:rPr>
          <w:rFonts w:ascii="宋体" w:hAnsi="宋体"/>
          <w:b/>
          <w:bCs/>
          <w:color w:val="000000" w:themeColor="text1"/>
        </w:rPr>
      </w:pPr>
      <w:r>
        <w:rPr>
          <w:rFonts w:ascii="宋体" w:hAnsi="宋体"/>
          <w:b/>
          <w:bCs/>
          <w:color w:val="000000" w:themeColor="text1"/>
        </w:rPr>
        <w:t>第一节</w:t>
      </w:r>
      <w:r>
        <w:rPr>
          <w:rFonts w:ascii="宋体" w:hAnsi="宋体" w:hint="eastAsia"/>
          <w:b/>
          <w:bCs/>
          <w:color w:val="000000" w:themeColor="text1"/>
        </w:rPr>
        <w:t xml:space="preserve">  农业产业化的基本概念（2</w:t>
      </w:r>
      <w:r>
        <w:rPr>
          <w:rFonts w:ascii="宋体" w:hAnsi="宋体"/>
          <w:b/>
          <w:bCs/>
          <w:color w:val="000000" w:themeColor="text1"/>
        </w:rPr>
        <w:t>学时</w:t>
      </w:r>
      <w:r>
        <w:rPr>
          <w:rFonts w:ascii="宋体" w:hAnsi="宋体" w:hint="eastAsia"/>
          <w:b/>
          <w:bCs/>
          <w:color w:val="000000" w:themeColor="text1"/>
        </w:rPr>
        <w:t>）</w:t>
      </w:r>
    </w:p>
    <w:p w14:paraId="0189A193"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学习和了解有关农业产业化的概念，要求掌握农业产业化其内涵，从思想上认识到农业产业化是加速农业现代化的有效途径。</w:t>
      </w:r>
    </w:p>
    <w:p w14:paraId="18082752"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0BD940FF"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重点：现代农业六化：区域化布局，专业化生产，规模化建设，系列化加工，社会化服务，企业化管理。</w:t>
      </w:r>
    </w:p>
    <w:p w14:paraId="289F2B33"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难点：对农业产业化概念的系统理解、领会。农业产业化是一个系统工程。</w:t>
      </w:r>
    </w:p>
    <w:p w14:paraId="7D491A54"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7884060E"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w:t>
      </w:r>
      <w:r>
        <w:rPr>
          <w:rFonts w:hAnsi="宋体" w:hint="eastAsia"/>
          <w:color w:val="000000" w:themeColor="text1"/>
        </w:rPr>
        <w:t>区域化、专业化、规模化、系列化、社会化和企业化的概念和案例；如何以市场为导向、以经济效益为中心、以主导产业、主导产品为重点？产品和市场的定位问题。</w:t>
      </w:r>
    </w:p>
    <w:p w14:paraId="7BE94124"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lastRenderedPageBreak/>
        <w:t>掌握：掌握不同概念之间的联系和意义。</w:t>
      </w:r>
    </w:p>
    <w:p w14:paraId="3E74FE3C" w14:textId="77777777" w:rsidR="00F5289E" w:rsidRDefault="00C91173">
      <w:pPr>
        <w:widowControl/>
        <w:snapToGrid w:val="0"/>
        <w:spacing w:line="360" w:lineRule="auto"/>
        <w:rPr>
          <w:rFonts w:ascii="宋体" w:hAnsi="宋体"/>
          <w:b/>
          <w:bCs/>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294A1CE3"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二</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农业产业化的基本思路</w:t>
      </w:r>
      <w:r>
        <w:rPr>
          <w:b/>
          <w:color w:val="000000" w:themeColor="text1"/>
          <w:kern w:val="0"/>
          <w:szCs w:val="21"/>
        </w:rPr>
        <w:t>     </w:t>
      </w:r>
      <w:r>
        <w:rPr>
          <w:rFonts w:hint="eastAsia"/>
          <w:b/>
          <w:color w:val="000000" w:themeColor="text1"/>
          <w:kern w:val="0"/>
          <w:szCs w:val="21"/>
        </w:rPr>
        <w:t>2</w:t>
      </w:r>
      <w:r>
        <w:rPr>
          <w:rFonts w:hAnsi="宋体"/>
          <w:b/>
          <w:color w:val="000000" w:themeColor="text1"/>
          <w:kern w:val="0"/>
          <w:szCs w:val="21"/>
        </w:rPr>
        <w:t>学时</w:t>
      </w:r>
    </w:p>
    <w:p w14:paraId="1B43092F"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了解农业产业化的基本形式。</w:t>
      </w:r>
    </w:p>
    <w:p w14:paraId="75C405F2"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7C2505C1"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重点：市场连接型，龙头企业带动型，农科教结合型，专业协会带动型。</w:t>
      </w:r>
    </w:p>
    <w:p w14:paraId="335AAC3C"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难点：主导产业的确定。</w:t>
      </w:r>
    </w:p>
    <w:p w14:paraId="388E3BA9"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43938F45"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w:t>
      </w:r>
      <w:r>
        <w:rPr>
          <w:rFonts w:hAnsi="宋体" w:hint="eastAsia"/>
          <w:color w:val="000000" w:themeColor="text1"/>
        </w:rPr>
        <w:t>了解农业产业化的基本类型及优选；龙头企业在农业产业化中的重要作用。</w:t>
      </w:r>
    </w:p>
    <w:p w14:paraId="0EEC31D8"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掌握：农业产业化的基本类型，及各自的特点。</w:t>
      </w:r>
    </w:p>
    <w:p w14:paraId="1640F4E7"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54FFF5B1"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三</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农业产业化的基本特征</w:t>
      </w:r>
      <w:r>
        <w:rPr>
          <w:b/>
          <w:color w:val="000000" w:themeColor="text1"/>
          <w:kern w:val="0"/>
          <w:szCs w:val="21"/>
        </w:rPr>
        <w:t>    </w:t>
      </w:r>
      <w:r>
        <w:rPr>
          <w:rFonts w:hint="eastAsia"/>
          <w:b/>
          <w:color w:val="000000" w:themeColor="text1"/>
          <w:kern w:val="0"/>
          <w:szCs w:val="21"/>
        </w:rPr>
        <w:t>4</w:t>
      </w:r>
      <w:r>
        <w:rPr>
          <w:rFonts w:hAnsi="宋体"/>
          <w:b/>
          <w:color w:val="000000" w:themeColor="text1"/>
          <w:kern w:val="0"/>
          <w:szCs w:val="21"/>
        </w:rPr>
        <w:t>学时</w:t>
      </w:r>
    </w:p>
    <w:p w14:paraId="7A8174D8" w14:textId="77777777" w:rsidR="00F5289E" w:rsidRDefault="00C91173">
      <w:pPr>
        <w:widowControl/>
        <w:snapToGrid w:val="0"/>
        <w:spacing w:line="360" w:lineRule="auto"/>
        <w:rPr>
          <w:rFonts w:ascii="宋体" w:hAnsi="宋体"/>
          <w:color w:val="000000" w:themeColor="text1"/>
        </w:rPr>
      </w:pPr>
      <w:r>
        <w:rPr>
          <w:rFonts w:ascii="宋体" w:hAnsi="宋体" w:hint="eastAsia"/>
          <w:b/>
          <w:bCs/>
          <w:color w:val="000000" w:themeColor="text1"/>
        </w:rPr>
        <w:t>教学目标：</w:t>
      </w:r>
      <w:r>
        <w:rPr>
          <w:rFonts w:ascii="宋体" w:hAnsi="宋体" w:hint="eastAsia"/>
          <w:color w:val="000000" w:themeColor="text1"/>
        </w:rPr>
        <w:t>学习了解农业产业化的八个特征，为园艺产业创业提供理论指导。</w:t>
      </w:r>
    </w:p>
    <w:p w14:paraId="536C71BD"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02542F76"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重点：市场化是农业产业化的起点和归宿。</w:t>
      </w:r>
    </w:p>
    <w:p w14:paraId="72AD8680"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难点：一体化是农业产业化的瓶颈，企业化管理是农业第一产业的必须。</w:t>
      </w:r>
    </w:p>
    <w:p w14:paraId="060DC508"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594C76EE" w14:textId="77777777" w:rsidR="00F5289E" w:rsidRDefault="00C91173">
      <w:pPr>
        <w:pStyle w:val="a7"/>
        <w:snapToGrid w:val="0"/>
        <w:spacing w:line="360" w:lineRule="auto"/>
        <w:rPr>
          <w:rFonts w:ascii="宋体" w:eastAsiaTheme="minorEastAsia" w:hAnsi="宋体"/>
          <w:color w:val="000000" w:themeColor="text1"/>
        </w:rPr>
      </w:pPr>
      <w:r>
        <w:rPr>
          <w:rFonts w:ascii="宋体" w:hAnsi="宋体" w:hint="eastAsia"/>
          <w:color w:val="000000" w:themeColor="text1"/>
        </w:rPr>
        <w:t>了解：</w:t>
      </w:r>
      <w:r>
        <w:rPr>
          <w:rFonts w:hAnsi="宋体" w:hint="eastAsia"/>
          <w:color w:val="000000" w:themeColor="text1"/>
        </w:rPr>
        <w:t>了解农业产业化是一个系统工程。</w:t>
      </w:r>
      <w:r>
        <w:rPr>
          <w:rFonts w:asciiTheme="minorEastAsia" w:eastAsiaTheme="minorEastAsia" w:hAnsiTheme="minorEastAsia" w:cstheme="minorEastAsia" w:hint="eastAsia"/>
          <w:color w:val="000000" w:themeColor="text1"/>
        </w:rPr>
        <w:t>市场化是农业产业化的起点和归宿。</w:t>
      </w:r>
      <w:r>
        <w:rPr>
          <w:rFonts w:asciiTheme="minorEastAsia" w:eastAsiaTheme="minorEastAsia" w:hAnsiTheme="minorEastAsia" w:cstheme="minorEastAsia" w:hint="eastAsia"/>
          <w:color w:val="000000" w:themeColor="text1"/>
          <w:lang w:val="en-GB"/>
        </w:rPr>
        <w:t>认清</w:t>
      </w:r>
      <w:r>
        <w:rPr>
          <w:rFonts w:asciiTheme="minorEastAsia" w:eastAsiaTheme="minorEastAsia" w:hAnsiTheme="minorEastAsia" w:cstheme="minorEastAsia" w:hint="eastAsia"/>
          <w:color w:val="000000" w:themeColor="text1"/>
        </w:rPr>
        <w:t>一体化经营，是农业产业化的瓶颈。形成利益共同体，是农业产业化的实质所在</w:t>
      </w:r>
      <w:r>
        <w:rPr>
          <w:rFonts w:asciiTheme="minorEastAsia" w:eastAsiaTheme="minorEastAsia" w:hAnsiTheme="minorEastAsia" w:cstheme="minorEastAsia" w:hint="eastAsia"/>
          <w:color w:val="000000" w:themeColor="text1"/>
          <w:lang w:val="en-GB"/>
        </w:rPr>
        <w:t>。</w:t>
      </w:r>
      <w:r>
        <w:rPr>
          <w:rFonts w:asciiTheme="minorEastAsia" w:eastAsiaTheme="minorEastAsia" w:hAnsiTheme="minorEastAsia" w:cstheme="minorEastAsia" w:hint="eastAsia"/>
          <w:color w:val="000000" w:themeColor="text1"/>
        </w:rPr>
        <w:t>懂得企业化经营，是农业产业化成功的保证。</w:t>
      </w:r>
    </w:p>
    <w:p w14:paraId="657B7D0C" w14:textId="77777777" w:rsidR="00F5289E" w:rsidRDefault="00C91173">
      <w:pPr>
        <w:pStyle w:val="a7"/>
        <w:snapToGrid w:val="0"/>
        <w:spacing w:line="360" w:lineRule="auto"/>
        <w:rPr>
          <w:rFonts w:ascii="宋体" w:eastAsiaTheme="minorEastAsia" w:hAnsi="宋体"/>
          <w:color w:val="000000" w:themeColor="text1"/>
        </w:rPr>
      </w:pPr>
      <w:r>
        <w:rPr>
          <w:rFonts w:ascii="宋体" w:hAnsi="宋体" w:hint="eastAsia"/>
          <w:color w:val="000000" w:themeColor="text1"/>
        </w:rPr>
        <w:t>掌握：农业产业化的八个特征及</w:t>
      </w:r>
      <w:r>
        <w:rPr>
          <w:rFonts w:asciiTheme="minorEastAsia" w:eastAsiaTheme="minorEastAsia" w:hAnsiTheme="minorEastAsia" w:cstheme="minorEastAsia" w:hint="eastAsia"/>
          <w:color w:val="000000" w:themeColor="text1"/>
        </w:rPr>
        <w:t>一体化经营方式</w:t>
      </w:r>
    </w:p>
    <w:p w14:paraId="4D79277A"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tbl>
      <w:tblPr>
        <w:tblStyle w:val="af6"/>
        <w:tblW w:w="0" w:type="auto"/>
        <w:tblInd w:w="4" w:type="dxa"/>
        <w:tblCellMar>
          <w:left w:w="0" w:type="dxa"/>
          <w:right w:w="0" w:type="dxa"/>
        </w:tblCellMar>
        <w:tblLook w:val="04A0" w:firstRow="1" w:lastRow="0" w:firstColumn="1" w:lastColumn="0" w:noHBand="0" w:noVBand="1"/>
      </w:tblPr>
      <w:tblGrid>
        <w:gridCol w:w="2587"/>
        <w:gridCol w:w="3343"/>
        <w:gridCol w:w="2966"/>
      </w:tblGrid>
      <w:tr w:rsidR="00F5289E" w14:paraId="40B7CFE4" w14:textId="77777777">
        <w:trPr>
          <w:trHeight w:val="270"/>
        </w:trPr>
        <w:tc>
          <w:tcPr>
            <w:tcW w:w="2587" w:type="dxa"/>
            <w:tcBorders>
              <w:top w:val="nil"/>
              <w:left w:val="nil"/>
              <w:bottom w:val="nil"/>
              <w:right w:val="nil"/>
            </w:tcBorders>
            <w:vAlign w:val="center"/>
          </w:tcPr>
          <w:p w14:paraId="3BEC3F4C" w14:textId="77777777" w:rsidR="00F5289E" w:rsidRDefault="00F5289E">
            <w:pPr>
              <w:widowControl/>
              <w:snapToGrid w:val="0"/>
              <w:spacing w:line="360" w:lineRule="auto"/>
              <w:jc w:val="center"/>
              <w:rPr>
                <w:rFonts w:hAnsi="宋体"/>
                <w:b/>
                <w:bCs/>
                <w:color w:val="000000" w:themeColor="text1"/>
                <w:kern w:val="0"/>
                <w:szCs w:val="21"/>
              </w:rPr>
            </w:pPr>
          </w:p>
        </w:tc>
        <w:tc>
          <w:tcPr>
            <w:tcW w:w="3343" w:type="dxa"/>
            <w:tcBorders>
              <w:top w:val="nil"/>
              <w:left w:val="nil"/>
              <w:bottom w:val="nil"/>
              <w:right w:val="nil"/>
            </w:tcBorders>
            <w:vAlign w:val="center"/>
          </w:tcPr>
          <w:p w14:paraId="7145277D" w14:textId="77777777" w:rsidR="00F5289E" w:rsidRDefault="00C91173">
            <w:pPr>
              <w:widowControl/>
              <w:snapToGrid w:val="0"/>
              <w:spacing w:line="360" w:lineRule="auto"/>
              <w:rPr>
                <w:rFonts w:hAnsi="宋体"/>
                <w:b/>
                <w:bCs/>
                <w:color w:val="000000" w:themeColor="text1"/>
                <w:kern w:val="0"/>
                <w:szCs w:val="21"/>
              </w:rPr>
            </w:pPr>
            <w:r>
              <w:rPr>
                <w:rFonts w:hAnsi="宋体"/>
                <w:b/>
                <w:bCs/>
                <w:color w:val="000000" w:themeColor="text1"/>
                <w:kern w:val="0"/>
                <w:szCs w:val="21"/>
              </w:rPr>
              <w:t>第</w:t>
            </w:r>
            <w:r>
              <w:rPr>
                <w:rFonts w:hAnsi="宋体" w:hint="eastAsia"/>
                <w:b/>
                <w:bCs/>
                <w:color w:val="000000" w:themeColor="text1"/>
                <w:kern w:val="0"/>
                <w:szCs w:val="21"/>
              </w:rPr>
              <w:t>二</w:t>
            </w:r>
            <w:r>
              <w:rPr>
                <w:rFonts w:hAnsi="宋体"/>
                <w:b/>
                <w:bCs/>
                <w:color w:val="000000" w:themeColor="text1"/>
                <w:kern w:val="0"/>
                <w:szCs w:val="21"/>
              </w:rPr>
              <w:t>章</w:t>
            </w:r>
            <w:r>
              <w:rPr>
                <w:rFonts w:hint="eastAsia"/>
                <w:b/>
                <w:bCs/>
                <w:color w:val="000000" w:themeColor="text1"/>
                <w:kern w:val="0"/>
                <w:szCs w:val="21"/>
              </w:rPr>
              <w:t xml:space="preserve">  </w:t>
            </w:r>
            <w:r>
              <w:rPr>
                <w:rFonts w:hint="eastAsia"/>
                <w:b/>
                <w:bCs/>
                <w:color w:val="000000" w:themeColor="text1"/>
                <w:kern w:val="0"/>
                <w:szCs w:val="21"/>
              </w:rPr>
              <w:t>园艺企业做大做强的机会</w:t>
            </w:r>
            <w:r>
              <w:rPr>
                <w:rFonts w:hint="eastAsia"/>
                <w:b/>
                <w:color w:val="000000" w:themeColor="text1"/>
                <w:szCs w:val="21"/>
              </w:rPr>
              <w:t xml:space="preserve">                       </w:t>
            </w:r>
          </w:p>
        </w:tc>
        <w:tc>
          <w:tcPr>
            <w:tcW w:w="2966" w:type="dxa"/>
            <w:tcBorders>
              <w:top w:val="nil"/>
              <w:left w:val="nil"/>
              <w:bottom w:val="nil"/>
              <w:right w:val="nil"/>
            </w:tcBorders>
            <w:vAlign w:val="center"/>
          </w:tcPr>
          <w:p w14:paraId="0508E14C"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6</w:t>
            </w:r>
          </w:p>
        </w:tc>
      </w:tr>
    </w:tbl>
    <w:p w14:paraId="66AF28E7" w14:textId="77777777" w:rsidR="00F5289E" w:rsidRDefault="00C91173">
      <w:pPr>
        <w:snapToGrid w:val="0"/>
        <w:spacing w:line="360" w:lineRule="auto"/>
        <w:rPr>
          <w:rFonts w:ascii="宋体" w:hAnsi="宋体"/>
          <w:b/>
          <w:bCs/>
          <w:color w:val="000000" w:themeColor="text1"/>
        </w:rPr>
      </w:pPr>
      <w:r>
        <w:rPr>
          <w:rFonts w:ascii="宋体" w:hAnsi="宋体"/>
          <w:b/>
          <w:bCs/>
          <w:color w:val="000000" w:themeColor="text1"/>
        </w:rPr>
        <w:t>第一节</w:t>
      </w:r>
      <w:r>
        <w:rPr>
          <w:rFonts w:ascii="宋体" w:hAnsi="宋体" w:hint="eastAsia"/>
          <w:b/>
          <w:bCs/>
          <w:color w:val="000000" w:themeColor="text1"/>
        </w:rPr>
        <w:t xml:space="preserve">  资源类机会 （2</w:t>
      </w:r>
      <w:r>
        <w:rPr>
          <w:rFonts w:ascii="宋体" w:hAnsi="宋体"/>
          <w:b/>
          <w:bCs/>
          <w:color w:val="000000" w:themeColor="text1"/>
        </w:rPr>
        <w:t>学时</w:t>
      </w:r>
      <w:r>
        <w:rPr>
          <w:rFonts w:ascii="宋体" w:hAnsi="宋体" w:hint="eastAsia"/>
          <w:b/>
          <w:bCs/>
          <w:color w:val="000000" w:themeColor="text1"/>
        </w:rPr>
        <w:t>）</w:t>
      </w:r>
    </w:p>
    <w:p w14:paraId="68C12645"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认识到资源在园艺产业中的重要性，使学生们学会合理利用资源。</w:t>
      </w:r>
    </w:p>
    <w:p w14:paraId="54E604AD"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174E31FF"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重点：园艺产业的三种资源及其作业。</w:t>
      </w:r>
    </w:p>
    <w:p w14:paraId="2DE0D29D"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难点：合理利用资源，合理保护资源。</w:t>
      </w:r>
    </w:p>
    <w:p w14:paraId="24FC95BF"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09098985"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了解：自然资源的珍贵和不可再生性。</w:t>
      </w:r>
      <w:r>
        <w:rPr>
          <w:rFonts w:hAnsi="宋体" w:hint="eastAsia"/>
          <w:color w:val="000000" w:themeColor="text1"/>
        </w:rPr>
        <w:t>园艺特色品种资源的重要作用。</w:t>
      </w:r>
      <w:r>
        <w:rPr>
          <w:rFonts w:ascii="宋体" w:hAnsi="宋体" w:hint="eastAsia"/>
          <w:color w:val="000000" w:themeColor="text1"/>
        </w:rPr>
        <w:t>产地品牌资源的价值和开发利用。</w:t>
      </w:r>
    </w:p>
    <w:p w14:paraId="4DED7195"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w:t>
      </w:r>
      <w:r>
        <w:rPr>
          <w:rFonts w:hAnsi="宋体" w:hint="eastAsia"/>
          <w:color w:val="000000" w:themeColor="text1"/>
        </w:rPr>
        <w:t>园艺特色品种资源及不同</w:t>
      </w:r>
      <w:r>
        <w:rPr>
          <w:rFonts w:ascii="宋体" w:hAnsi="宋体" w:hint="eastAsia"/>
          <w:color w:val="000000" w:themeColor="text1"/>
        </w:rPr>
        <w:t>产地品牌资源。</w:t>
      </w:r>
    </w:p>
    <w:p w14:paraId="292B38CC" w14:textId="77777777" w:rsidR="00F5289E" w:rsidRDefault="00C91173">
      <w:pPr>
        <w:widowControl/>
        <w:snapToGrid w:val="0"/>
        <w:spacing w:line="360" w:lineRule="auto"/>
        <w:rPr>
          <w:rFonts w:ascii="宋体" w:hAnsi="宋体"/>
          <w:b/>
          <w:bCs/>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7A2EB183"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二</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产品类机会</w:t>
      </w:r>
      <w:r>
        <w:rPr>
          <w:b/>
          <w:color w:val="000000" w:themeColor="text1"/>
          <w:kern w:val="0"/>
          <w:szCs w:val="21"/>
        </w:rPr>
        <w:t>     </w:t>
      </w:r>
      <w:r>
        <w:rPr>
          <w:rFonts w:hint="eastAsia"/>
          <w:b/>
          <w:color w:val="000000" w:themeColor="text1"/>
          <w:kern w:val="0"/>
          <w:szCs w:val="21"/>
        </w:rPr>
        <w:t>2</w:t>
      </w:r>
      <w:r>
        <w:rPr>
          <w:rFonts w:hAnsi="宋体"/>
          <w:b/>
          <w:color w:val="000000" w:themeColor="text1"/>
          <w:kern w:val="0"/>
          <w:szCs w:val="21"/>
        </w:rPr>
        <w:t>学时</w:t>
      </w:r>
    </w:p>
    <w:p w14:paraId="6C5CF2C3"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lastRenderedPageBreak/>
        <w:t>教学目标：</w:t>
      </w:r>
      <w:r>
        <w:rPr>
          <w:rFonts w:ascii="宋体" w:hAnsi="宋体" w:hint="eastAsia"/>
          <w:color w:val="000000" w:themeColor="text1"/>
        </w:rPr>
        <w:t>介绍产品类的三种机会，使学生们懂得利用产品类机会。</w:t>
      </w:r>
    </w:p>
    <w:p w14:paraId="44DA0C90"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7C20D58A"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重点：三种机会的内容和意义。</w:t>
      </w:r>
    </w:p>
    <w:p w14:paraId="12ACF82F"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难点：商品意识，品牌意识。</w:t>
      </w:r>
    </w:p>
    <w:p w14:paraId="10B9F007"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483A04EC" w14:textId="77777777" w:rsidR="00F5289E" w:rsidRDefault="00C91173">
      <w:pPr>
        <w:pStyle w:val="a7"/>
        <w:snapToGrid w:val="0"/>
        <w:spacing w:line="360" w:lineRule="auto"/>
        <w:rPr>
          <w:rFonts w:hAnsi="宋体"/>
          <w:color w:val="000000" w:themeColor="text1"/>
        </w:rPr>
      </w:pPr>
      <w:r>
        <w:rPr>
          <w:rFonts w:ascii="宋体" w:hAnsi="宋体" w:hint="eastAsia"/>
          <w:color w:val="000000" w:themeColor="text1"/>
        </w:rPr>
        <w:t>了解：</w:t>
      </w:r>
      <w:r>
        <w:rPr>
          <w:rFonts w:hAnsi="宋体" w:hint="eastAsia"/>
          <w:color w:val="000000" w:themeColor="text1"/>
        </w:rPr>
        <w:t>产品差异化机会。储存保鲜加工的机会。品牌机会。细化、细分市场。</w:t>
      </w:r>
    </w:p>
    <w:p w14:paraId="74DBBD67"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掌握：产品差异化的重要性。</w:t>
      </w:r>
    </w:p>
    <w:p w14:paraId="2CFE194C"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2B1D3C45"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三</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市场类机会</w:t>
      </w:r>
      <w:r>
        <w:rPr>
          <w:b/>
          <w:color w:val="000000" w:themeColor="text1"/>
          <w:kern w:val="0"/>
          <w:szCs w:val="21"/>
        </w:rPr>
        <w:t>    </w:t>
      </w:r>
      <w:r>
        <w:rPr>
          <w:rFonts w:hint="eastAsia"/>
          <w:b/>
          <w:color w:val="000000" w:themeColor="text1"/>
          <w:kern w:val="0"/>
          <w:szCs w:val="21"/>
        </w:rPr>
        <w:t>2</w:t>
      </w:r>
      <w:r>
        <w:rPr>
          <w:rFonts w:hAnsi="宋体"/>
          <w:b/>
          <w:color w:val="000000" w:themeColor="text1"/>
          <w:kern w:val="0"/>
          <w:szCs w:val="21"/>
        </w:rPr>
        <w:t>学时</w:t>
      </w:r>
    </w:p>
    <w:p w14:paraId="1B9DFDBB"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学习和了解园艺产品在市场运作中存在的几种机会，学会市场运作。</w:t>
      </w:r>
    </w:p>
    <w:p w14:paraId="171BC089"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1EB5F3D4"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重点：园艺产品的区域市场机会，独特的客户和渠道机会；</w:t>
      </w:r>
    </w:p>
    <w:p w14:paraId="4557DE5D"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难点：市场意识的培养。</w:t>
      </w:r>
    </w:p>
    <w:p w14:paraId="56FA6129"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5E6E57C1" w14:textId="77777777" w:rsidR="00F5289E" w:rsidRDefault="00C91173">
      <w:pPr>
        <w:pStyle w:val="a7"/>
        <w:snapToGrid w:val="0"/>
        <w:spacing w:line="360" w:lineRule="auto"/>
        <w:rPr>
          <w:rFonts w:hAnsi="宋体"/>
          <w:color w:val="000000" w:themeColor="text1"/>
        </w:rPr>
      </w:pPr>
      <w:r>
        <w:rPr>
          <w:rFonts w:ascii="宋体" w:hAnsi="宋体" w:hint="eastAsia"/>
          <w:color w:val="000000" w:themeColor="text1"/>
        </w:rPr>
        <w:t>了解：</w:t>
      </w:r>
      <w:r>
        <w:rPr>
          <w:rFonts w:hAnsi="宋体" w:hint="eastAsia"/>
          <w:color w:val="000000" w:themeColor="text1"/>
        </w:rPr>
        <w:t>园艺产品区域市场机会。独特的客户和渠道机会。</w:t>
      </w:r>
    </w:p>
    <w:p w14:paraId="4A297C9A"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掌握：开发市场的能力。</w:t>
      </w:r>
    </w:p>
    <w:p w14:paraId="349DF298"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tbl>
      <w:tblPr>
        <w:tblStyle w:val="af6"/>
        <w:tblW w:w="0" w:type="auto"/>
        <w:tblInd w:w="4" w:type="dxa"/>
        <w:tblCellMar>
          <w:left w:w="0" w:type="dxa"/>
          <w:right w:w="0" w:type="dxa"/>
        </w:tblCellMar>
        <w:tblLook w:val="04A0" w:firstRow="1" w:lastRow="0" w:firstColumn="1" w:lastColumn="0" w:noHBand="0" w:noVBand="1"/>
      </w:tblPr>
      <w:tblGrid>
        <w:gridCol w:w="2587"/>
        <w:gridCol w:w="3343"/>
        <w:gridCol w:w="2966"/>
      </w:tblGrid>
      <w:tr w:rsidR="00F5289E" w14:paraId="1E1C5760" w14:textId="77777777">
        <w:trPr>
          <w:trHeight w:val="270"/>
        </w:trPr>
        <w:tc>
          <w:tcPr>
            <w:tcW w:w="2587" w:type="dxa"/>
            <w:tcBorders>
              <w:top w:val="nil"/>
              <w:left w:val="nil"/>
              <w:bottom w:val="nil"/>
              <w:right w:val="nil"/>
            </w:tcBorders>
            <w:vAlign w:val="center"/>
          </w:tcPr>
          <w:p w14:paraId="2A70721C" w14:textId="77777777" w:rsidR="00F5289E" w:rsidRDefault="00F5289E">
            <w:pPr>
              <w:widowControl/>
              <w:snapToGrid w:val="0"/>
              <w:spacing w:line="360" w:lineRule="auto"/>
              <w:jc w:val="center"/>
              <w:rPr>
                <w:rFonts w:hAnsi="宋体"/>
                <w:b/>
                <w:bCs/>
                <w:color w:val="000000" w:themeColor="text1"/>
                <w:kern w:val="0"/>
                <w:szCs w:val="21"/>
              </w:rPr>
            </w:pPr>
          </w:p>
        </w:tc>
        <w:tc>
          <w:tcPr>
            <w:tcW w:w="3343" w:type="dxa"/>
            <w:tcBorders>
              <w:top w:val="nil"/>
              <w:left w:val="nil"/>
              <w:bottom w:val="nil"/>
              <w:right w:val="nil"/>
            </w:tcBorders>
            <w:vAlign w:val="center"/>
          </w:tcPr>
          <w:p w14:paraId="36D65B30" w14:textId="77777777" w:rsidR="00F5289E" w:rsidRDefault="00C91173">
            <w:pPr>
              <w:widowControl/>
              <w:snapToGrid w:val="0"/>
              <w:spacing w:line="360" w:lineRule="auto"/>
              <w:rPr>
                <w:rFonts w:hAnsi="宋体"/>
                <w:b/>
                <w:bCs/>
                <w:color w:val="000000" w:themeColor="text1"/>
                <w:kern w:val="0"/>
                <w:szCs w:val="21"/>
              </w:rPr>
            </w:pPr>
            <w:r>
              <w:rPr>
                <w:rFonts w:hAnsi="宋体"/>
                <w:b/>
                <w:bCs/>
                <w:color w:val="000000" w:themeColor="text1"/>
                <w:kern w:val="0"/>
                <w:szCs w:val="21"/>
              </w:rPr>
              <w:t>第</w:t>
            </w:r>
            <w:r>
              <w:rPr>
                <w:rFonts w:hAnsi="宋体" w:hint="eastAsia"/>
                <w:b/>
                <w:bCs/>
                <w:color w:val="000000" w:themeColor="text1"/>
                <w:kern w:val="0"/>
                <w:szCs w:val="21"/>
              </w:rPr>
              <w:t>三</w:t>
            </w:r>
            <w:r>
              <w:rPr>
                <w:rFonts w:hAnsi="宋体"/>
                <w:b/>
                <w:bCs/>
                <w:color w:val="000000" w:themeColor="text1"/>
                <w:kern w:val="0"/>
                <w:szCs w:val="21"/>
              </w:rPr>
              <w:t>章</w:t>
            </w:r>
            <w:r>
              <w:rPr>
                <w:rFonts w:hint="eastAsia"/>
                <w:b/>
                <w:bCs/>
                <w:color w:val="000000" w:themeColor="text1"/>
                <w:kern w:val="0"/>
                <w:szCs w:val="21"/>
              </w:rPr>
              <w:t xml:space="preserve">  </w:t>
            </w:r>
            <w:r>
              <w:rPr>
                <w:rFonts w:hint="eastAsia"/>
                <w:b/>
                <w:bCs/>
                <w:color w:val="000000" w:themeColor="text1"/>
                <w:kern w:val="0"/>
                <w:szCs w:val="21"/>
              </w:rPr>
              <w:t>农业园区的创业之路</w:t>
            </w:r>
            <w:r>
              <w:rPr>
                <w:rFonts w:hint="eastAsia"/>
                <w:b/>
                <w:color w:val="000000" w:themeColor="text1"/>
                <w:szCs w:val="21"/>
              </w:rPr>
              <w:t xml:space="preserve">                       </w:t>
            </w:r>
          </w:p>
        </w:tc>
        <w:tc>
          <w:tcPr>
            <w:tcW w:w="2966" w:type="dxa"/>
            <w:tcBorders>
              <w:top w:val="nil"/>
              <w:left w:val="nil"/>
              <w:bottom w:val="nil"/>
              <w:right w:val="nil"/>
            </w:tcBorders>
            <w:vAlign w:val="center"/>
          </w:tcPr>
          <w:p w14:paraId="5875110F"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6</w:t>
            </w:r>
          </w:p>
        </w:tc>
      </w:tr>
    </w:tbl>
    <w:p w14:paraId="4050B912" w14:textId="77777777" w:rsidR="00F5289E" w:rsidRDefault="00C91173">
      <w:pPr>
        <w:snapToGrid w:val="0"/>
        <w:spacing w:line="360" w:lineRule="auto"/>
        <w:rPr>
          <w:rFonts w:ascii="宋体" w:hAnsi="宋体"/>
          <w:b/>
          <w:bCs/>
          <w:color w:val="000000" w:themeColor="text1"/>
        </w:rPr>
      </w:pPr>
      <w:r>
        <w:rPr>
          <w:rFonts w:ascii="宋体" w:hAnsi="宋体"/>
          <w:b/>
          <w:bCs/>
          <w:color w:val="000000" w:themeColor="text1"/>
        </w:rPr>
        <w:t>第一节</w:t>
      </w:r>
      <w:r>
        <w:rPr>
          <w:rFonts w:ascii="宋体" w:hAnsi="宋体" w:hint="eastAsia"/>
          <w:b/>
          <w:bCs/>
          <w:color w:val="000000" w:themeColor="text1"/>
        </w:rPr>
        <w:t xml:space="preserve">  农业园区的经营现状 （2</w:t>
      </w:r>
      <w:r>
        <w:rPr>
          <w:rFonts w:ascii="宋体" w:hAnsi="宋体"/>
          <w:b/>
          <w:bCs/>
          <w:color w:val="000000" w:themeColor="text1"/>
        </w:rPr>
        <w:t>学时</w:t>
      </w:r>
      <w:r>
        <w:rPr>
          <w:rFonts w:ascii="宋体" w:hAnsi="宋体" w:hint="eastAsia"/>
          <w:b/>
          <w:bCs/>
          <w:color w:val="000000" w:themeColor="text1"/>
        </w:rPr>
        <w:t>）</w:t>
      </w:r>
    </w:p>
    <w:p w14:paraId="73D8AE0B"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了解农业园区目前的现状、问题。</w:t>
      </w:r>
    </w:p>
    <w:p w14:paraId="5A99D946"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5B31473E" w14:textId="77777777" w:rsidR="00F5289E" w:rsidRDefault="00C91173">
      <w:pPr>
        <w:pStyle w:val="a7"/>
        <w:snapToGrid w:val="0"/>
        <w:spacing w:line="360" w:lineRule="auto"/>
        <w:rPr>
          <w:rFonts w:hAnsi="宋体"/>
          <w:color w:val="000000" w:themeColor="text1"/>
          <w:szCs w:val="24"/>
        </w:rPr>
      </w:pPr>
      <w:r>
        <w:rPr>
          <w:rFonts w:hAnsi="宋体" w:hint="eastAsia"/>
          <w:color w:val="000000" w:themeColor="text1"/>
          <w:szCs w:val="24"/>
        </w:rPr>
        <w:t>重点：了解农业园区目前的现状、问题和方向。</w:t>
      </w:r>
    </w:p>
    <w:p w14:paraId="0C86F62F" w14:textId="77777777" w:rsidR="00F5289E" w:rsidRDefault="00C91173">
      <w:pPr>
        <w:pStyle w:val="a7"/>
        <w:snapToGrid w:val="0"/>
        <w:spacing w:line="360" w:lineRule="auto"/>
        <w:rPr>
          <w:rFonts w:hAnsi="宋体"/>
          <w:color w:val="000000" w:themeColor="text1"/>
          <w:szCs w:val="24"/>
        </w:rPr>
      </w:pPr>
      <w:r>
        <w:rPr>
          <w:rFonts w:hAnsi="宋体" w:hint="eastAsia"/>
          <w:color w:val="000000" w:themeColor="text1"/>
          <w:szCs w:val="24"/>
        </w:rPr>
        <w:t>难点：问题的原因和分析</w:t>
      </w:r>
    </w:p>
    <w:p w14:paraId="309F28B1"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64E8C9F1"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了解：土地流转的现状，正确认识农业园区存在的问题与土地流转政策的关系。</w:t>
      </w:r>
    </w:p>
    <w:p w14:paraId="519812DE"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w:t>
      </w:r>
      <w:r>
        <w:rPr>
          <w:rFonts w:hAnsi="宋体" w:hint="eastAsia"/>
          <w:color w:val="000000" w:themeColor="text1"/>
        </w:rPr>
        <w:t>农业园区的健康发展之路。</w:t>
      </w:r>
    </w:p>
    <w:p w14:paraId="5218B334" w14:textId="77777777" w:rsidR="00F5289E" w:rsidRDefault="00C91173">
      <w:pPr>
        <w:widowControl/>
        <w:snapToGrid w:val="0"/>
        <w:spacing w:line="360" w:lineRule="auto"/>
        <w:rPr>
          <w:rFonts w:ascii="宋体" w:hAnsi="宋体"/>
          <w:b/>
          <w:bCs/>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189FA297"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二</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有关农业园区经营的八点思考及创业要注意的问题</w:t>
      </w:r>
      <w:r>
        <w:rPr>
          <w:b/>
          <w:color w:val="000000" w:themeColor="text1"/>
          <w:kern w:val="0"/>
          <w:szCs w:val="21"/>
        </w:rPr>
        <w:t>     </w:t>
      </w:r>
      <w:r>
        <w:rPr>
          <w:rFonts w:hint="eastAsia"/>
          <w:b/>
          <w:color w:val="000000" w:themeColor="text1"/>
          <w:kern w:val="0"/>
          <w:szCs w:val="21"/>
        </w:rPr>
        <w:t>4</w:t>
      </w:r>
      <w:r>
        <w:rPr>
          <w:rFonts w:hAnsi="宋体"/>
          <w:b/>
          <w:color w:val="000000" w:themeColor="text1"/>
          <w:kern w:val="0"/>
          <w:szCs w:val="21"/>
        </w:rPr>
        <w:t>学时</w:t>
      </w:r>
    </w:p>
    <w:p w14:paraId="3F2D4662"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农业园区的经营和园艺产业创业是一个系统工程，需要优秀的综合型人才。</w:t>
      </w:r>
    </w:p>
    <w:p w14:paraId="46F1FB09"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4C387584" w14:textId="77777777" w:rsidR="00F5289E" w:rsidRDefault="00C91173">
      <w:pPr>
        <w:widowControl/>
        <w:snapToGrid w:val="0"/>
        <w:spacing w:line="360" w:lineRule="auto"/>
        <w:ind w:firstLineChars="200" w:firstLine="420"/>
        <w:rPr>
          <w:rFonts w:hAnsi="宋体"/>
          <w:color w:val="000000" w:themeColor="text1"/>
        </w:rPr>
      </w:pPr>
      <w:r>
        <w:rPr>
          <w:rFonts w:hAnsi="宋体" w:hint="eastAsia"/>
          <w:color w:val="000000" w:themeColor="text1"/>
        </w:rPr>
        <w:t>重点：</w:t>
      </w:r>
      <w:r>
        <w:rPr>
          <w:rFonts w:ascii="宋体" w:hAnsi="宋体" w:hint="eastAsia"/>
          <w:color w:val="000000" w:themeColor="text1"/>
        </w:rPr>
        <w:t>八点思考及要注意的问题。</w:t>
      </w:r>
    </w:p>
    <w:p w14:paraId="2D011C5A"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w:t>
      </w:r>
      <w:r>
        <w:rPr>
          <w:rFonts w:hAnsi="宋体" w:hint="eastAsia"/>
          <w:color w:val="000000" w:themeColor="text1"/>
          <w:kern w:val="0"/>
          <w:szCs w:val="21"/>
        </w:rPr>
        <w:t>市场预测的困难和重要性。</w:t>
      </w:r>
    </w:p>
    <w:p w14:paraId="1EA9628B"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63362AA9" w14:textId="77777777" w:rsidR="00F5289E" w:rsidRDefault="00C91173">
      <w:pPr>
        <w:pStyle w:val="a7"/>
        <w:snapToGrid w:val="0"/>
        <w:spacing w:line="360" w:lineRule="auto"/>
        <w:rPr>
          <w:rFonts w:hAnsi="宋体"/>
          <w:color w:val="000000" w:themeColor="text1"/>
        </w:rPr>
      </w:pPr>
      <w:r>
        <w:rPr>
          <w:rFonts w:ascii="宋体" w:hAnsi="宋体" w:hint="eastAsia"/>
          <w:color w:val="000000" w:themeColor="text1"/>
        </w:rPr>
        <w:t>了解：</w:t>
      </w:r>
      <w:r>
        <w:rPr>
          <w:rFonts w:hAnsi="宋体" w:hint="eastAsia"/>
          <w:color w:val="000000" w:themeColor="text1"/>
        </w:rPr>
        <w:t>园区和园艺产业创业要注意的问题。园艺园区管理和创业是一个系统工程。</w:t>
      </w:r>
    </w:p>
    <w:p w14:paraId="300F9021"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lastRenderedPageBreak/>
        <w:t>掌握：优秀品种在园艺产业发展中的重要作用。</w:t>
      </w:r>
    </w:p>
    <w:p w14:paraId="601909B1" w14:textId="77777777" w:rsidR="00F5289E" w:rsidRDefault="00C91173">
      <w:pPr>
        <w:pStyle w:val="af1"/>
        <w:wordWrap w:val="0"/>
        <w:spacing w:before="0" w:beforeAutospacing="0" w:after="0" w:afterAutospacing="0" w:line="360" w:lineRule="auto"/>
        <w:ind w:firstLineChars="200" w:firstLine="480"/>
        <w:jc w:val="both"/>
        <w:rPr>
          <w:rFonts w:ascii="宋体" w:eastAsia="宋体" w:hAnsi="宋体" w:cs="Times New Roman"/>
          <w:color w:val="000000" w:themeColor="text1"/>
          <w:kern w:val="2"/>
          <w:sz w:val="21"/>
          <w:szCs w:val="20"/>
        </w:rPr>
      </w:pPr>
      <w:r>
        <w:rPr>
          <w:rFonts w:ascii="宋体" w:hAnsi="宋体" w:hint="eastAsia"/>
          <w:b/>
          <w:bCs/>
          <w:color w:val="000000" w:themeColor="text1"/>
        </w:rPr>
        <w:t>教学组织与实施：</w:t>
      </w:r>
      <w:r>
        <w:rPr>
          <w:rFonts w:ascii="宋体" w:eastAsia="宋体" w:hAnsi="宋体" w:cs="Times New Roman" w:hint="eastAsia"/>
          <w:color w:val="000000" w:themeColor="text1"/>
          <w:kern w:val="2"/>
          <w:sz w:val="21"/>
          <w:szCs w:val="20"/>
        </w:rPr>
        <w:t>以PPT和视频为主，通过讲授、提问、课下拓展组织学生认知和接受课程内容，同时通过同学们自己收集资料，制作PPT，并上台讲授，其他同学对其进行提问、评价和答疑等，来完成课程主要相关的内容。</w:t>
      </w:r>
    </w:p>
    <w:p w14:paraId="3B95C4FC" w14:textId="77777777" w:rsidR="00F5289E" w:rsidRDefault="00F5289E">
      <w:pPr>
        <w:widowControl/>
        <w:snapToGrid w:val="0"/>
        <w:spacing w:line="360" w:lineRule="auto"/>
        <w:rPr>
          <w:rFonts w:ascii="宋体" w:hAnsi="宋体"/>
          <w:color w:val="000000" w:themeColor="text1"/>
          <w:szCs w:val="20"/>
        </w:rPr>
      </w:pPr>
    </w:p>
    <w:tbl>
      <w:tblPr>
        <w:tblStyle w:val="af6"/>
        <w:tblW w:w="0" w:type="auto"/>
        <w:tblInd w:w="4" w:type="dxa"/>
        <w:tblCellMar>
          <w:left w:w="0" w:type="dxa"/>
          <w:right w:w="0" w:type="dxa"/>
        </w:tblCellMar>
        <w:tblLook w:val="04A0" w:firstRow="1" w:lastRow="0" w:firstColumn="1" w:lastColumn="0" w:noHBand="0" w:noVBand="1"/>
      </w:tblPr>
      <w:tblGrid>
        <w:gridCol w:w="912"/>
        <w:gridCol w:w="5850"/>
        <w:gridCol w:w="2134"/>
      </w:tblGrid>
      <w:tr w:rsidR="00F5289E" w14:paraId="127CE8A8" w14:textId="77777777">
        <w:trPr>
          <w:trHeight w:val="270"/>
        </w:trPr>
        <w:tc>
          <w:tcPr>
            <w:tcW w:w="912" w:type="dxa"/>
            <w:tcBorders>
              <w:top w:val="nil"/>
              <w:left w:val="nil"/>
              <w:bottom w:val="nil"/>
              <w:right w:val="nil"/>
            </w:tcBorders>
            <w:vAlign w:val="center"/>
          </w:tcPr>
          <w:p w14:paraId="7BB2D0C8" w14:textId="77777777" w:rsidR="00F5289E" w:rsidRDefault="00F5289E">
            <w:pPr>
              <w:widowControl/>
              <w:snapToGrid w:val="0"/>
              <w:spacing w:line="360" w:lineRule="auto"/>
              <w:jc w:val="center"/>
              <w:rPr>
                <w:rFonts w:hAnsi="宋体"/>
                <w:b/>
                <w:bCs/>
                <w:color w:val="000000" w:themeColor="text1"/>
                <w:kern w:val="0"/>
                <w:szCs w:val="21"/>
              </w:rPr>
            </w:pPr>
          </w:p>
        </w:tc>
        <w:tc>
          <w:tcPr>
            <w:tcW w:w="5850" w:type="dxa"/>
            <w:tcBorders>
              <w:top w:val="nil"/>
              <w:left w:val="nil"/>
              <w:bottom w:val="nil"/>
              <w:right w:val="nil"/>
            </w:tcBorders>
            <w:vAlign w:val="center"/>
          </w:tcPr>
          <w:p w14:paraId="160095AD" w14:textId="77777777" w:rsidR="00F5289E" w:rsidRDefault="00C91173">
            <w:pPr>
              <w:widowControl/>
              <w:snapToGrid w:val="0"/>
              <w:spacing w:line="360" w:lineRule="auto"/>
              <w:ind w:firstLineChars="400" w:firstLine="843"/>
              <w:rPr>
                <w:rFonts w:hAnsi="宋体"/>
                <w:b/>
                <w:bCs/>
                <w:color w:val="000000" w:themeColor="text1"/>
                <w:kern w:val="0"/>
                <w:szCs w:val="21"/>
              </w:rPr>
            </w:pPr>
            <w:r>
              <w:rPr>
                <w:rFonts w:hAnsi="宋体"/>
                <w:b/>
                <w:bCs/>
                <w:color w:val="000000" w:themeColor="text1"/>
                <w:kern w:val="0"/>
                <w:szCs w:val="21"/>
              </w:rPr>
              <w:t>第</w:t>
            </w:r>
            <w:r>
              <w:rPr>
                <w:rFonts w:hAnsi="宋体" w:hint="eastAsia"/>
                <w:b/>
                <w:bCs/>
                <w:color w:val="000000" w:themeColor="text1"/>
                <w:kern w:val="0"/>
                <w:szCs w:val="21"/>
              </w:rPr>
              <w:t>四</w:t>
            </w:r>
            <w:r>
              <w:rPr>
                <w:rFonts w:hAnsi="宋体"/>
                <w:b/>
                <w:bCs/>
                <w:color w:val="000000" w:themeColor="text1"/>
                <w:kern w:val="0"/>
                <w:szCs w:val="21"/>
              </w:rPr>
              <w:t>章</w:t>
            </w:r>
            <w:r>
              <w:rPr>
                <w:rFonts w:hint="eastAsia"/>
                <w:b/>
                <w:bCs/>
                <w:color w:val="000000" w:themeColor="text1"/>
                <w:kern w:val="0"/>
                <w:szCs w:val="21"/>
              </w:rPr>
              <w:t xml:space="preserve">  </w:t>
            </w:r>
            <w:r>
              <w:rPr>
                <w:rFonts w:hint="eastAsia"/>
                <w:b/>
                <w:bCs/>
                <w:color w:val="000000" w:themeColor="text1"/>
                <w:kern w:val="0"/>
                <w:szCs w:val="21"/>
              </w:rPr>
              <w:t>优质瓜菜品种、创品牌品种介绍及运作要点</w:t>
            </w:r>
            <w:r>
              <w:rPr>
                <w:rFonts w:hint="eastAsia"/>
                <w:b/>
                <w:color w:val="000000" w:themeColor="text1"/>
                <w:szCs w:val="21"/>
              </w:rPr>
              <w:t xml:space="preserve">                       </w:t>
            </w:r>
          </w:p>
        </w:tc>
        <w:tc>
          <w:tcPr>
            <w:tcW w:w="2134" w:type="dxa"/>
            <w:tcBorders>
              <w:top w:val="nil"/>
              <w:left w:val="nil"/>
              <w:bottom w:val="nil"/>
              <w:right w:val="nil"/>
            </w:tcBorders>
            <w:vAlign w:val="center"/>
          </w:tcPr>
          <w:p w14:paraId="2F7ABBA1" w14:textId="77777777" w:rsidR="00F5289E" w:rsidRDefault="00C91173">
            <w:pPr>
              <w:widowControl/>
              <w:snapToGrid w:val="0"/>
              <w:spacing w:line="360" w:lineRule="auto"/>
              <w:jc w:val="right"/>
              <w:rPr>
                <w:rFonts w:hAnsi="宋体"/>
                <w:b/>
                <w:bCs/>
                <w:color w:val="000000" w:themeColor="text1"/>
                <w:kern w:val="0"/>
                <w:szCs w:val="21"/>
              </w:rPr>
            </w:pP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2</w:t>
            </w:r>
          </w:p>
        </w:tc>
      </w:tr>
    </w:tbl>
    <w:p w14:paraId="5CF62E5A" w14:textId="77777777" w:rsidR="00F5289E" w:rsidRDefault="00C91173">
      <w:pPr>
        <w:snapToGrid w:val="0"/>
        <w:spacing w:line="360" w:lineRule="auto"/>
        <w:rPr>
          <w:rFonts w:ascii="宋体" w:hAnsi="宋体"/>
          <w:b/>
          <w:bCs/>
          <w:color w:val="000000" w:themeColor="text1"/>
        </w:rPr>
      </w:pPr>
      <w:r>
        <w:rPr>
          <w:rFonts w:ascii="宋体" w:hAnsi="宋体"/>
          <w:b/>
          <w:bCs/>
          <w:color w:val="000000" w:themeColor="text1"/>
        </w:rPr>
        <w:t>第一节</w:t>
      </w:r>
      <w:r>
        <w:rPr>
          <w:rFonts w:ascii="宋体" w:hAnsi="宋体" w:hint="eastAsia"/>
          <w:b/>
          <w:bCs/>
          <w:color w:val="000000" w:themeColor="text1"/>
        </w:rPr>
        <w:t xml:space="preserve">  西甜瓜瓜类品种（1</w:t>
      </w:r>
      <w:r>
        <w:rPr>
          <w:rFonts w:ascii="宋体" w:hAnsi="宋体"/>
          <w:b/>
          <w:bCs/>
          <w:color w:val="000000" w:themeColor="text1"/>
        </w:rPr>
        <w:t>学时</w:t>
      </w:r>
      <w:r>
        <w:rPr>
          <w:rFonts w:ascii="宋体" w:hAnsi="宋体" w:hint="eastAsia"/>
          <w:b/>
          <w:bCs/>
          <w:color w:val="000000" w:themeColor="text1"/>
        </w:rPr>
        <w:t>）</w:t>
      </w:r>
    </w:p>
    <w:p w14:paraId="6B5D0ACF"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了解目前适合农业园区种植和运作的优质西甜瓜类品种，从供给侧入手，做好创业工作。</w:t>
      </w:r>
    </w:p>
    <w:p w14:paraId="6B74986A"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73080607" w14:textId="77777777" w:rsidR="00F5289E" w:rsidRDefault="00C91173">
      <w:pPr>
        <w:pStyle w:val="a7"/>
        <w:snapToGrid w:val="0"/>
        <w:spacing w:line="360" w:lineRule="auto"/>
        <w:rPr>
          <w:rFonts w:hAnsi="宋体"/>
          <w:color w:val="000000" w:themeColor="text1"/>
          <w:szCs w:val="24"/>
        </w:rPr>
      </w:pPr>
      <w:r>
        <w:rPr>
          <w:rFonts w:hAnsi="宋体" w:hint="eastAsia"/>
          <w:color w:val="000000" w:themeColor="text1"/>
          <w:szCs w:val="24"/>
        </w:rPr>
        <w:t>重点：目前市场上有特色的优质、有特色的几个西甜瓜品种，及其卖点。</w:t>
      </w:r>
    </w:p>
    <w:p w14:paraId="15DC2D90" w14:textId="77777777" w:rsidR="00F5289E" w:rsidRDefault="00C91173">
      <w:pPr>
        <w:pStyle w:val="a7"/>
        <w:snapToGrid w:val="0"/>
        <w:spacing w:line="360" w:lineRule="auto"/>
        <w:rPr>
          <w:rFonts w:hAnsi="宋体"/>
          <w:color w:val="000000" w:themeColor="text1"/>
          <w:szCs w:val="24"/>
        </w:rPr>
      </w:pPr>
      <w:r>
        <w:rPr>
          <w:rFonts w:hAnsi="宋体" w:hint="eastAsia"/>
          <w:color w:val="000000" w:themeColor="text1"/>
          <w:szCs w:val="24"/>
        </w:rPr>
        <w:t>难点：差异化品种的差异化运作思路的形成。</w:t>
      </w:r>
    </w:p>
    <w:p w14:paraId="3ACC99E5"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5638C2F4"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了解：市场上现有的优质品种及其特点。</w:t>
      </w:r>
    </w:p>
    <w:p w14:paraId="5A9BDF88"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w:t>
      </w:r>
      <w:r>
        <w:rPr>
          <w:rFonts w:hAnsi="宋体" w:hint="eastAsia"/>
          <w:color w:val="000000" w:themeColor="text1"/>
        </w:rPr>
        <w:t>农业园区的品种差异化发展之路。</w:t>
      </w:r>
    </w:p>
    <w:p w14:paraId="28DB5CE5" w14:textId="77777777" w:rsidR="00F5289E" w:rsidRDefault="00C91173">
      <w:pPr>
        <w:widowControl/>
        <w:snapToGrid w:val="0"/>
        <w:spacing w:line="360" w:lineRule="auto"/>
        <w:rPr>
          <w:rFonts w:ascii="宋体" w:hAnsi="宋体"/>
          <w:b/>
          <w:bCs/>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028773AB" w14:textId="77777777" w:rsidR="00F5289E" w:rsidRDefault="00C91173">
      <w:pPr>
        <w:widowControl/>
        <w:snapToGrid w:val="0"/>
        <w:spacing w:line="360" w:lineRule="auto"/>
        <w:jc w:val="left"/>
        <w:rPr>
          <w:b/>
          <w:color w:val="000000" w:themeColor="text1"/>
          <w:kern w:val="0"/>
          <w:szCs w:val="21"/>
        </w:rPr>
      </w:pPr>
      <w:r>
        <w:rPr>
          <w:rFonts w:hAnsi="宋体"/>
          <w:b/>
          <w:color w:val="000000" w:themeColor="text1"/>
          <w:kern w:val="0"/>
          <w:szCs w:val="21"/>
        </w:rPr>
        <w:t>第</w:t>
      </w:r>
      <w:r>
        <w:rPr>
          <w:rFonts w:hAnsi="宋体" w:hint="eastAsia"/>
          <w:b/>
          <w:color w:val="000000" w:themeColor="text1"/>
          <w:kern w:val="0"/>
          <w:szCs w:val="21"/>
        </w:rPr>
        <w:t>二</w:t>
      </w:r>
      <w:r>
        <w:rPr>
          <w:rFonts w:hAnsi="宋体"/>
          <w:b/>
          <w:color w:val="000000" w:themeColor="text1"/>
          <w:kern w:val="0"/>
          <w:szCs w:val="21"/>
        </w:rPr>
        <w:t>节</w:t>
      </w:r>
      <w:r>
        <w:rPr>
          <w:rFonts w:hAnsi="宋体" w:hint="eastAsia"/>
          <w:b/>
          <w:color w:val="000000" w:themeColor="text1"/>
          <w:kern w:val="0"/>
          <w:szCs w:val="21"/>
        </w:rPr>
        <w:t xml:space="preserve">  </w:t>
      </w:r>
      <w:r>
        <w:rPr>
          <w:rFonts w:hAnsi="宋体" w:hint="eastAsia"/>
          <w:b/>
          <w:bCs/>
          <w:color w:val="000000" w:themeColor="text1"/>
          <w:kern w:val="0"/>
          <w:szCs w:val="21"/>
        </w:rPr>
        <w:t>蔬菜类品种</w:t>
      </w:r>
      <w:r>
        <w:rPr>
          <w:b/>
          <w:color w:val="000000" w:themeColor="text1"/>
          <w:kern w:val="0"/>
          <w:szCs w:val="21"/>
        </w:rPr>
        <w:t> </w:t>
      </w:r>
      <w:r>
        <w:rPr>
          <w:rFonts w:ascii="宋体" w:hAnsi="宋体" w:hint="eastAsia"/>
          <w:b/>
          <w:bCs/>
          <w:color w:val="000000" w:themeColor="text1"/>
        </w:rPr>
        <w:t>（1</w:t>
      </w:r>
      <w:r>
        <w:rPr>
          <w:rFonts w:ascii="宋体" w:hAnsi="宋体"/>
          <w:b/>
          <w:bCs/>
          <w:color w:val="000000" w:themeColor="text1"/>
        </w:rPr>
        <w:t>学时</w:t>
      </w:r>
      <w:r>
        <w:rPr>
          <w:rFonts w:ascii="宋体" w:hAnsi="宋体" w:hint="eastAsia"/>
          <w:b/>
          <w:bCs/>
          <w:color w:val="000000" w:themeColor="text1"/>
        </w:rPr>
        <w:t>）</w:t>
      </w:r>
    </w:p>
    <w:p w14:paraId="216D1C9F"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教学目标：</w:t>
      </w:r>
      <w:r>
        <w:rPr>
          <w:rFonts w:ascii="宋体" w:hAnsi="宋体" w:hint="eastAsia"/>
          <w:color w:val="000000" w:themeColor="text1"/>
        </w:rPr>
        <w:t>了解目前市场上有特色的优质、有特色的几个蔬菜类品种及其卖点，从供给侧入手，做好创业工作。</w:t>
      </w:r>
    </w:p>
    <w:p w14:paraId="71EFCDC3"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教学重点和难点：</w:t>
      </w:r>
    </w:p>
    <w:p w14:paraId="17B5A60E"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hAnsi="宋体" w:hint="eastAsia"/>
          <w:color w:val="000000" w:themeColor="text1"/>
        </w:rPr>
        <w:t>重点：</w:t>
      </w:r>
      <w:r>
        <w:rPr>
          <w:rFonts w:asciiTheme="minorEastAsia" w:eastAsiaTheme="minorEastAsia" w:hAnsiTheme="minorEastAsia" w:cstheme="minorEastAsia" w:hint="eastAsia"/>
          <w:color w:val="000000" w:themeColor="text1"/>
          <w:kern w:val="0"/>
          <w:szCs w:val="21"/>
        </w:rPr>
        <w:t>有特色的优质、有特色的几个品种及其卖点提炼。</w:t>
      </w:r>
    </w:p>
    <w:p w14:paraId="2EB03670" w14:textId="77777777" w:rsidR="00F5289E" w:rsidRDefault="00C91173">
      <w:pPr>
        <w:widowControl/>
        <w:snapToGrid w:val="0"/>
        <w:spacing w:line="360" w:lineRule="auto"/>
        <w:ind w:firstLineChars="200" w:firstLine="420"/>
        <w:rPr>
          <w:rFonts w:hAnsi="宋体"/>
          <w:b/>
          <w:bCs/>
          <w:color w:val="000000" w:themeColor="text1"/>
          <w:kern w:val="0"/>
        </w:rPr>
      </w:pPr>
      <w:r>
        <w:rPr>
          <w:rFonts w:hAnsi="宋体" w:hint="eastAsia"/>
          <w:color w:val="000000" w:themeColor="text1"/>
        </w:rPr>
        <w:t>难点：</w:t>
      </w:r>
      <w:r>
        <w:rPr>
          <w:rFonts w:asciiTheme="minorEastAsia" w:eastAsiaTheme="minorEastAsia" w:hAnsiTheme="minorEastAsia" w:cstheme="minorEastAsia" w:hint="eastAsia"/>
          <w:color w:val="000000" w:themeColor="text1"/>
          <w:kern w:val="0"/>
          <w:szCs w:val="21"/>
        </w:rPr>
        <w:t>差异化的运作思路和意识的培养。</w:t>
      </w:r>
    </w:p>
    <w:p w14:paraId="392527E0" w14:textId="77777777" w:rsidR="00F5289E" w:rsidRDefault="00C91173">
      <w:pPr>
        <w:pStyle w:val="a7"/>
        <w:snapToGrid w:val="0"/>
        <w:spacing w:line="360" w:lineRule="auto"/>
        <w:ind w:firstLineChars="0" w:firstLine="0"/>
        <w:rPr>
          <w:rFonts w:ascii="宋体" w:hAnsi="宋体"/>
          <w:color w:val="000000" w:themeColor="text1"/>
        </w:rPr>
      </w:pPr>
      <w:r>
        <w:rPr>
          <w:rFonts w:ascii="宋体" w:hAnsi="宋体" w:hint="eastAsia"/>
          <w:b/>
          <w:color w:val="000000" w:themeColor="text1"/>
        </w:rPr>
        <w:t>主要教学内容及要求：</w:t>
      </w:r>
    </w:p>
    <w:p w14:paraId="61779743" w14:textId="77777777" w:rsidR="00F5289E" w:rsidRDefault="00C91173">
      <w:pPr>
        <w:pStyle w:val="a7"/>
        <w:snapToGrid w:val="0"/>
        <w:spacing w:line="360" w:lineRule="auto"/>
        <w:rPr>
          <w:rFonts w:eastAsiaTheme="minorEastAsia" w:hAnsi="宋体"/>
          <w:color w:val="000000" w:themeColor="text1"/>
        </w:rPr>
      </w:pPr>
      <w:r>
        <w:rPr>
          <w:rFonts w:ascii="宋体" w:hAnsi="宋体" w:hint="eastAsia"/>
          <w:color w:val="000000" w:themeColor="text1"/>
        </w:rPr>
        <w:t>了解：</w:t>
      </w:r>
      <w:r>
        <w:rPr>
          <w:rFonts w:hAnsi="宋体" w:hint="eastAsia"/>
          <w:color w:val="000000" w:themeColor="text1"/>
        </w:rPr>
        <w:t>市场上现有的优质品种及独特优势和</w:t>
      </w:r>
      <w:r>
        <w:rPr>
          <w:rFonts w:asciiTheme="minorEastAsia" w:eastAsiaTheme="minorEastAsia" w:hAnsiTheme="minorEastAsia" w:cstheme="minorEastAsia" w:hint="eastAsia"/>
          <w:color w:val="000000" w:themeColor="text1"/>
          <w:kern w:val="0"/>
          <w:szCs w:val="21"/>
        </w:rPr>
        <w:t>运作案例。</w:t>
      </w:r>
    </w:p>
    <w:p w14:paraId="43F2CBD8" w14:textId="77777777" w:rsidR="00F5289E" w:rsidRDefault="00C91173">
      <w:pPr>
        <w:pStyle w:val="a7"/>
        <w:snapToGrid w:val="0"/>
        <w:spacing w:line="360" w:lineRule="auto"/>
        <w:rPr>
          <w:rFonts w:ascii="宋体" w:hAnsi="宋体"/>
          <w:color w:val="000000" w:themeColor="text1"/>
        </w:rPr>
      </w:pPr>
      <w:r>
        <w:rPr>
          <w:rFonts w:ascii="宋体" w:hAnsi="宋体" w:hint="eastAsia"/>
          <w:color w:val="000000" w:themeColor="text1"/>
        </w:rPr>
        <w:t>掌握：</w:t>
      </w:r>
      <w:r>
        <w:rPr>
          <w:rFonts w:asciiTheme="minorEastAsia" w:eastAsiaTheme="minorEastAsia" w:hAnsiTheme="minorEastAsia" w:cstheme="minorEastAsia" w:hint="eastAsia"/>
          <w:color w:val="000000" w:themeColor="text1"/>
          <w:kern w:val="0"/>
          <w:szCs w:val="21"/>
        </w:rPr>
        <w:t>品种差异化的发展之路</w:t>
      </w:r>
      <w:r>
        <w:rPr>
          <w:rFonts w:ascii="宋体" w:hAnsi="宋体" w:hint="eastAsia"/>
          <w:color w:val="000000" w:themeColor="text1"/>
        </w:rPr>
        <w:t>。</w:t>
      </w:r>
    </w:p>
    <w:p w14:paraId="5482E387" w14:textId="77777777" w:rsidR="00F5289E" w:rsidRDefault="00C91173">
      <w:pPr>
        <w:widowControl/>
        <w:snapToGrid w:val="0"/>
        <w:spacing w:line="360" w:lineRule="auto"/>
        <w:rPr>
          <w:rFonts w:ascii="宋体" w:hAnsi="宋体"/>
          <w:color w:val="000000" w:themeColor="text1"/>
          <w:szCs w:val="20"/>
        </w:rPr>
      </w:pPr>
      <w:r>
        <w:rPr>
          <w:rFonts w:ascii="宋体" w:hAnsi="宋体" w:hint="eastAsia"/>
          <w:b/>
          <w:bCs/>
          <w:color w:val="000000" w:themeColor="text1"/>
        </w:rPr>
        <w:t>教学组织与实施：</w:t>
      </w:r>
      <w:r>
        <w:rPr>
          <w:rFonts w:ascii="宋体" w:hAnsi="宋体" w:hint="eastAsia"/>
          <w:color w:val="000000" w:themeColor="text1"/>
          <w:szCs w:val="20"/>
        </w:rPr>
        <w:t>以PPT和视频为主，通过讲授、提问、课下拓展组织学生认知和接受课程内容。</w:t>
      </w:r>
    </w:p>
    <w:p w14:paraId="3C5F8583"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五</w:t>
      </w:r>
      <w:r>
        <w:rPr>
          <w:rFonts w:ascii="宋体" w:hAnsi="宋体"/>
          <w:b/>
          <w:color w:val="000000" w:themeColor="text1"/>
          <w:szCs w:val="21"/>
        </w:rPr>
        <w:t>、</w:t>
      </w:r>
      <w:r>
        <w:rPr>
          <w:rFonts w:ascii="宋体" w:hAnsi="宋体" w:hint="eastAsia"/>
          <w:b/>
          <w:color w:val="000000" w:themeColor="text1"/>
          <w:szCs w:val="21"/>
        </w:rPr>
        <w:t>课程思政</w:t>
      </w:r>
    </w:p>
    <w:p w14:paraId="3791D9C4"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（一）《园艺产业创业案例》课程思政建设主要有以下</w:t>
      </w:r>
      <w:r>
        <w:rPr>
          <w:rFonts w:hAnsi="宋体" w:hint="eastAsia"/>
          <w:color w:val="000000" w:themeColor="text1"/>
          <w:szCs w:val="21"/>
        </w:rPr>
        <w:t>3</w:t>
      </w:r>
      <w:r>
        <w:rPr>
          <w:rFonts w:hAnsi="宋体" w:hint="eastAsia"/>
          <w:color w:val="000000" w:themeColor="text1"/>
          <w:szCs w:val="21"/>
        </w:rPr>
        <w:t>个目标：</w:t>
      </w:r>
    </w:p>
    <w:p w14:paraId="715C129C"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目标</w:t>
      </w:r>
      <w:r>
        <w:rPr>
          <w:rFonts w:hAnsi="宋体" w:hint="eastAsia"/>
          <w:color w:val="000000" w:themeColor="text1"/>
          <w:szCs w:val="21"/>
        </w:rPr>
        <w:t xml:space="preserve"> 1</w:t>
      </w:r>
      <w:r>
        <w:rPr>
          <w:rFonts w:hAnsi="宋体" w:hint="eastAsia"/>
          <w:color w:val="000000" w:themeColor="text1"/>
          <w:szCs w:val="21"/>
        </w:rPr>
        <w:t>：国家情怀，社会责任。具有坚定正确的政治方向，自觉践行社会主义核心价值观。</w:t>
      </w:r>
    </w:p>
    <w:p w14:paraId="7442E5C7"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目标</w:t>
      </w:r>
      <w:r>
        <w:rPr>
          <w:rFonts w:hAnsi="宋体" w:hint="eastAsia"/>
          <w:color w:val="000000" w:themeColor="text1"/>
          <w:szCs w:val="21"/>
        </w:rPr>
        <w:t xml:space="preserve"> 2</w:t>
      </w:r>
      <w:r>
        <w:rPr>
          <w:rFonts w:hAnsi="宋体" w:hint="eastAsia"/>
          <w:color w:val="000000" w:themeColor="text1"/>
          <w:szCs w:val="21"/>
        </w:rPr>
        <w:t>：创新精神。以园艺产业创业案例引导学生的创新精神，提高创新能力和就业竞争能力。</w:t>
      </w:r>
    </w:p>
    <w:p w14:paraId="4575EDEA"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目标</w:t>
      </w:r>
      <w:r>
        <w:rPr>
          <w:rFonts w:hAnsi="宋体" w:hint="eastAsia"/>
          <w:color w:val="000000" w:themeColor="text1"/>
          <w:szCs w:val="21"/>
        </w:rPr>
        <w:t xml:space="preserve"> 3</w:t>
      </w:r>
      <w:r>
        <w:rPr>
          <w:rFonts w:hAnsi="宋体" w:hint="eastAsia"/>
          <w:color w:val="000000" w:themeColor="text1"/>
          <w:szCs w:val="21"/>
        </w:rPr>
        <w:t>：科学创业观。主动适应国家经济社会发展和人的全面发展需求，正确理解创业与职业生涯发展的关系，自觉遵循创业规律，积极投身创业实践。</w:t>
      </w:r>
    </w:p>
    <w:p w14:paraId="58351621"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lastRenderedPageBreak/>
        <w:t>（二）对应思政育人目标，本课程共设计</w:t>
      </w:r>
      <w:r>
        <w:rPr>
          <w:rFonts w:hAnsi="宋体" w:hint="eastAsia"/>
          <w:color w:val="000000" w:themeColor="text1"/>
          <w:szCs w:val="21"/>
        </w:rPr>
        <w:t>3</w:t>
      </w:r>
      <w:r>
        <w:rPr>
          <w:rFonts w:hAnsi="宋体" w:hint="eastAsia"/>
          <w:color w:val="000000" w:themeColor="text1"/>
          <w:szCs w:val="21"/>
        </w:rPr>
        <w:t>个案例融入课堂教学，具体如下：</w:t>
      </w:r>
    </w:p>
    <w:p w14:paraId="079ECDF4"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hint="eastAsia"/>
          <w:color w:val="000000" w:themeColor="text1"/>
          <w:szCs w:val="21"/>
        </w:rPr>
        <w:t>1</w:t>
      </w:r>
      <w:r>
        <w:rPr>
          <w:rFonts w:hAnsi="宋体" w:hint="eastAsia"/>
          <w:color w:val="000000" w:themeColor="text1"/>
          <w:szCs w:val="21"/>
        </w:rPr>
        <w:t>）在讲解我国园艺产业的现状、问题及发展方向过程中，融入案例</w:t>
      </w:r>
      <w:r>
        <w:rPr>
          <w:rFonts w:hAnsi="宋体" w:hint="eastAsia"/>
          <w:color w:val="000000" w:themeColor="text1"/>
          <w:szCs w:val="21"/>
        </w:rPr>
        <w:t>1</w:t>
      </w:r>
      <w:r>
        <w:rPr>
          <w:rFonts w:hAnsi="宋体" w:hint="eastAsia"/>
          <w:color w:val="000000" w:themeColor="text1"/>
          <w:szCs w:val="21"/>
        </w:rPr>
        <w:t>：</w:t>
      </w:r>
      <w:r>
        <w:rPr>
          <w:rFonts w:hAnsi="宋体" w:hint="eastAsia"/>
          <w:color w:val="000000" w:themeColor="text1"/>
          <w:szCs w:val="21"/>
        </w:rPr>
        <w:t>:</w:t>
      </w:r>
      <w:r>
        <w:rPr>
          <w:rFonts w:hAnsi="宋体" w:hint="eastAsia"/>
          <w:color w:val="000000" w:themeColor="text1"/>
          <w:szCs w:val="21"/>
        </w:rPr>
        <w:t>我国园艺产业分类、产业生命周期和产业结构的构成，及当前产业变动趋势，引导学生关注社会现实。同时结合当前中国共产党领导下的园艺产业发展状况，，使学生认识到中国共产党领导人民取得的令世界惊叹的辉煌成就，书写的波澜壮阔的历史画卷，进而升华学生的爱党爱国热情。此外，结合深化供给侧结构性改革，讲解当前我国增强经济质量优势，加快建设农业强国，支持农业产业优化升级的方针，使学生认识到我国当前产业结构的变化与国家经济实力提升的关系，提升学生的国家情怀和社会责任。</w:t>
      </w:r>
    </w:p>
    <w:p w14:paraId="724FB492"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hint="eastAsia"/>
          <w:color w:val="000000" w:themeColor="text1"/>
          <w:szCs w:val="21"/>
        </w:rPr>
        <w:t>2</w:t>
      </w:r>
      <w:r>
        <w:rPr>
          <w:rFonts w:hAnsi="宋体" w:hint="eastAsia"/>
          <w:color w:val="000000" w:themeColor="text1"/>
          <w:szCs w:val="21"/>
        </w:rPr>
        <w:t>）在讲解我国园艺产业案例时，融入案例</w:t>
      </w:r>
      <w:r>
        <w:rPr>
          <w:rFonts w:hAnsi="宋体" w:hint="eastAsia"/>
          <w:color w:val="000000" w:themeColor="text1"/>
          <w:szCs w:val="21"/>
        </w:rPr>
        <w:t>2</w:t>
      </w:r>
      <w:r>
        <w:rPr>
          <w:rFonts w:hAnsi="宋体" w:hint="eastAsia"/>
          <w:color w:val="000000" w:themeColor="text1"/>
          <w:szCs w:val="21"/>
        </w:rPr>
        <w:t>：江苏省新河镇沙河村“新村干”胡生振突发奇想“蔬菜不仅可以食用，也可以观赏”，进而跳出花卉盆景的“内卷”，开始培育各类蔬菜种苗，他请来农技专家，针对不同的蔬菜品种，采取相应的植株调整措施，使蔬菜盆景保持良好姿态，提高观赏效果。胡生振先后推出小番茄、七彩椒、羽衣甘蓝等</w:t>
      </w:r>
      <w:r>
        <w:rPr>
          <w:rFonts w:hAnsi="宋体" w:hint="eastAsia"/>
          <w:color w:val="000000" w:themeColor="text1"/>
          <w:szCs w:val="21"/>
        </w:rPr>
        <w:t>10</w:t>
      </w:r>
      <w:r>
        <w:rPr>
          <w:rFonts w:hAnsi="宋体" w:hint="eastAsia"/>
          <w:color w:val="000000" w:themeColor="text1"/>
          <w:szCs w:val="21"/>
        </w:rPr>
        <w:t>余种蔬菜盆景新产品，采取“展厅</w:t>
      </w:r>
      <w:r>
        <w:rPr>
          <w:rFonts w:hAnsi="宋体" w:hint="eastAsia"/>
          <w:color w:val="000000" w:themeColor="text1"/>
          <w:szCs w:val="21"/>
        </w:rPr>
        <w:t>+</w:t>
      </w:r>
      <w:r>
        <w:rPr>
          <w:rFonts w:hAnsi="宋体" w:hint="eastAsia"/>
          <w:color w:val="000000" w:themeColor="text1"/>
          <w:szCs w:val="21"/>
        </w:rPr>
        <w:t>基地”“线上</w:t>
      </w:r>
      <w:r>
        <w:rPr>
          <w:rFonts w:hAnsi="宋体" w:hint="eastAsia"/>
          <w:color w:val="000000" w:themeColor="text1"/>
          <w:szCs w:val="21"/>
        </w:rPr>
        <w:t>+</w:t>
      </w:r>
      <w:r>
        <w:rPr>
          <w:rFonts w:hAnsi="宋体" w:hint="eastAsia"/>
          <w:color w:val="000000" w:themeColor="text1"/>
          <w:szCs w:val="21"/>
        </w:rPr>
        <w:t>线下”相结合经营模式，依托位于山东的</w:t>
      </w:r>
      <w:r>
        <w:rPr>
          <w:rFonts w:hAnsi="宋体" w:hint="eastAsia"/>
          <w:color w:val="000000" w:themeColor="text1"/>
          <w:szCs w:val="21"/>
        </w:rPr>
        <w:t>50</w:t>
      </w:r>
      <w:r>
        <w:rPr>
          <w:rFonts w:hAnsi="宋体" w:hint="eastAsia"/>
          <w:color w:val="000000" w:themeColor="text1"/>
          <w:szCs w:val="21"/>
        </w:rPr>
        <w:t>亩代培代管育苗场，年产蔬菜苗百万株，年产值达</w:t>
      </w:r>
      <w:r>
        <w:rPr>
          <w:rFonts w:hAnsi="宋体" w:hint="eastAsia"/>
          <w:color w:val="000000" w:themeColor="text1"/>
          <w:szCs w:val="21"/>
        </w:rPr>
        <w:t>1000</w:t>
      </w:r>
      <w:r>
        <w:rPr>
          <w:rFonts w:hAnsi="宋体" w:hint="eastAsia"/>
          <w:color w:val="000000" w:themeColor="text1"/>
          <w:szCs w:val="21"/>
        </w:rPr>
        <w:t>万元。通过案例让学生感受到创新精神在园艺产业创业中的重要性。</w:t>
      </w:r>
    </w:p>
    <w:p w14:paraId="76CF484F"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hint="eastAsia"/>
          <w:color w:val="000000" w:themeColor="text1"/>
          <w:szCs w:val="21"/>
        </w:rPr>
        <w:t>3</w:t>
      </w:r>
      <w:r>
        <w:rPr>
          <w:rFonts w:hAnsi="宋体" w:hint="eastAsia"/>
          <w:color w:val="000000" w:themeColor="text1"/>
          <w:szCs w:val="21"/>
        </w:rPr>
        <w:t>）在讲解我国园艺产业案例时，融入案例</w:t>
      </w:r>
      <w:r>
        <w:rPr>
          <w:rFonts w:hAnsi="宋体" w:hint="eastAsia"/>
          <w:color w:val="000000" w:themeColor="text1"/>
          <w:szCs w:val="21"/>
        </w:rPr>
        <w:t>3</w:t>
      </w:r>
      <w:r>
        <w:rPr>
          <w:rFonts w:hAnsi="宋体" w:hint="eastAsia"/>
          <w:color w:val="000000" w:themeColor="text1"/>
          <w:szCs w:val="21"/>
        </w:rPr>
        <w:t>：安徽阜阳人方芹与先生在地产界打拼</w:t>
      </w:r>
      <w:r>
        <w:rPr>
          <w:rFonts w:hAnsi="宋体" w:hint="eastAsia"/>
          <w:color w:val="000000" w:themeColor="text1"/>
          <w:szCs w:val="21"/>
        </w:rPr>
        <w:t>20</w:t>
      </w:r>
      <w:r>
        <w:rPr>
          <w:rFonts w:hAnsi="宋体" w:hint="eastAsia"/>
          <w:color w:val="000000" w:themeColor="text1"/>
          <w:szCs w:val="21"/>
        </w:rPr>
        <w:t>余年后，为回报家乡父老，于</w:t>
      </w:r>
      <w:r>
        <w:rPr>
          <w:rFonts w:hAnsi="宋体" w:hint="eastAsia"/>
          <w:color w:val="000000" w:themeColor="text1"/>
          <w:szCs w:val="21"/>
        </w:rPr>
        <w:t>2006</w:t>
      </w:r>
      <w:r>
        <w:rPr>
          <w:rFonts w:hAnsi="宋体" w:hint="eastAsia"/>
          <w:color w:val="000000" w:themeColor="text1"/>
          <w:szCs w:val="21"/>
        </w:rPr>
        <w:t>年投资</w:t>
      </w:r>
      <w:r>
        <w:rPr>
          <w:rFonts w:hAnsi="宋体" w:hint="eastAsia"/>
          <w:color w:val="000000" w:themeColor="text1"/>
          <w:szCs w:val="21"/>
        </w:rPr>
        <w:t>800</w:t>
      </w:r>
      <w:r>
        <w:rPr>
          <w:rFonts w:hAnsi="宋体" w:hint="eastAsia"/>
          <w:color w:val="000000" w:themeColor="text1"/>
          <w:szCs w:val="21"/>
        </w:rPr>
        <w:t>万元在长丰县创办了一家有机农业科技有限公司。开发一个自己不熟悉的领域，方芹只能边摸索边前进。渐渐地，方芹大脑中形成了有机食品的轮廓。方芹给自己的蔬菜申请了商标――“振国”牌，寄寓提振国人体质与食品从业者诚信道德操守之意。按照</w:t>
      </w:r>
      <w:r>
        <w:rPr>
          <w:rFonts w:hAnsi="宋体" w:hint="eastAsia"/>
          <w:color w:val="000000" w:themeColor="text1"/>
          <w:szCs w:val="21"/>
        </w:rPr>
        <w:t>2005</w:t>
      </w:r>
      <w:r>
        <w:rPr>
          <w:rFonts w:hAnsi="宋体" w:hint="eastAsia"/>
          <w:color w:val="000000" w:themeColor="text1"/>
          <w:szCs w:val="21"/>
        </w:rPr>
        <w:t>年中国国家标准化管理委员会制定的《有机食品国家标准》，在有机农业种植中，土地、大气、水环境、选种、施用肥料、除虫方式等环节因素都须遵循严格的规定。方芹几经周折，在合肥市长丰县陶楼乡陶西村以一亩地年租金</w:t>
      </w:r>
      <w:r>
        <w:rPr>
          <w:rFonts w:hAnsi="宋体" w:hint="eastAsia"/>
          <w:color w:val="000000" w:themeColor="text1"/>
          <w:szCs w:val="21"/>
        </w:rPr>
        <w:t>600</w:t>
      </w:r>
      <w:r>
        <w:rPr>
          <w:rFonts w:hAnsi="宋体" w:hint="eastAsia"/>
          <w:color w:val="000000" w:themeColor="text1"/>
          <w:szCs w:val="21"/>
        </w:rPr>
        <w:t>元租下原南京农科院与安徽省农科院联手净化的</w:t>
      </w:r>
      <w:r>
        <w:rPr>
          <w:rFonts w:hAnsi="宋体" w:hint="eastAsia"/>
          <w:color w:val="000000" w:themeColor="text1"/>
          <w:szCs w:val="21"/>
        </w:rPr>
        <w:t>156</w:t>
      </w:r>
      <w:r>
        <w:rPr>
          <w:rFonts w:hAnsi="宋体" w:hint="eastAsia"/>
          <w:color w:val="000000" w:themeColor="text1"/>
          <w:szCs w:val="21"/>
        </w:rPr>
        <w:t>亩有机水稻实验种植土地。数十个蔬菜大棚建在一个四面丘陵环绕的洼地处，水库与基地受水塔有一定落差，水可自然流进调节池，然后分流至自动喷淋系统浇灌。外环水由于地表径流受化肥、农药等成分污染，必须从基地外围沟渠疏导流出。此外，基地对土地本身的要求也很严格。不过用辛勤汗水浇灌、培育出来的“有机蔬菜”最终能否流向市场，还得经过合法的认证机构“验明正身”。</w:t>
      </w:r>
      <w:r>
        <w:rPr>
          <w:rFonts w:hAnsi="宋体" w:hint="eastAsia"/>
          <w:color w:val="000000" w:themeColor="text1"/>
          <w:szCs w:val="21"/>
        </w:rPr>
        <w:t>2006</w:t>
      </w:r>
      <w:r>
        <w:rPr>
          <w:rFonts w:hAnsi="宋体" w:hint="eastAsia"/>
          <w:color w:val="000000" w:themeColor="text1"/>
          <w:szCs w:val="21"/>
        </w:rPr>
        <w:t>年底，方芹的基地与蔬菜顺利通过了一系列反复检测，终于获得了她梦寐以求的“有机蔬菜基地”和“有机蔬菜”头衔。通过案例让学生感受到不屈不挠的创业精神，并树立科学的创业观。</w:t>
      </w:r>
    </w:p>
    <w:p w14:paraId="091607E6" w14:textId="77777777" w:rsidR="00F5289E" w:rsidRDefault="00C91173">
      <w:pPr>
        <w:widowControl/>
        <w:snapToGrid w:val="0"/>
        <w:spacing w:line="360" w:lineRule="auto"/>
        <w:jc w:val="left"/>
        <w:rPr>
          <w:color w:val="000000" w:themeColor="text1"/>
          <w:kern w:val="0"/>
          <w:szCs w:val="21"/>
        </w:rPr>
      </w:pPr>
      <w:r>
        <w:rPr>
          <w:rFonts w:hAnsi="宋体" w:hint="eastAsia"/>
          <w:b/>
          <w:bCs/>
          <w:color w:val="000000" w:themeColor="text1"/>
          <w:kern w:val="0"/>
          <w:szCs w:val="21"/>
        </w:rPr>
        <w:t>六</w:t>
      </w:r>
      <w:r>
        <w:rPr>
          <w:rFonts w:hAnsi="宋体"/>
          <w:b/>
          <w:bCs/>
          <w:color w:val="000000" w:themeColor="text1"/>
          <w:kern w:val="0"/>
          <w:szCs w:val="21"/>
        </w:rPr>
        <w:t>、教材</w:t>
      </w:r>
      <w:r>
        <w:rPr>
          <w:rFonts w:hAnsi="宋体" w:hint="eastAsia"/>
          <w:b/>
          <w:bCs/>
          <w:color w:val="000000" w:themeColor="text1"/>
          <w:kern w:val="0"/>
          <w:szCs w:val="21"/>
        </w:rPr>
        <w:t>及教学参考书</w:t>
      </w:r>
    </w:p>
    <w:p w14:paraId="2D39A626" w14:textId="77777777" w:rsidR="00F5289E" w:rsidRDefault="00C91173">
      <w:pPr>
        <w:widowControl/>
        <w:snapToGrid w:val="0"/>
        <w:spacing w:line="360" w:lineRule="auto"/>
        <w:ind w:firstLineChars="200" w:firstLine="422"/>
        <w:jc w:val="left"/>
        <w:rPr>
          <w:rFonts w:hAnsi="宋体"/>
          <w:b/>
          <w:bCs/>
          <w:color w:val="000000" w:themeColor="text1"/>
          <w:kern w:val="0"/>
          <w:szCs w:val="21"/>
        </w:rPr>
      </w:pPr>
      <w:r>
        <w:rPr>
          <w:b/>
          <w:bCs/>
          <w:color w:val="000000" w:themeColor="text1"/>
          <w:kern w:val="0"/>
          <w:szCs w:val="21"/>
        </w:rPr>
        <w:t>1</w:t>
      </w:r>
      <w:r>
        <w:rPr>
          <w:rFonts w:hAnsi="宋体" w:hint="eastAsia"/>
          <w:b/>
          <w:bCs/>
          <w:color w:val="000000" w:themeColor="text1"/>
          <w:kern w:val="0"/>
          <w:szCs w:val="21"/>
        </w:rPr>
        <w:t>.</w:t>
      </w:r>
      <w:r>
        <w:rPr>
          <w:rFonts w:hAnsi="宋体" w:hint="eastAsia"/>
          <w:b/>
          <w:bCs/>
          <w:color w:val="000000" w:themeColor="text1"/>
          <w:kern w:val="0"/>
          <w:szCs w:val="21"/>
        </w:rPr>
        <w:t>选用</w:t>
      </w:r>
      <w:r>
        <w:rPr>
          <w:rFonts w:hAnsi="宋体"/>
          <w:b/>
          <w:bCs/>
          <w:color w:val="000000" w:themeColor="text1"/>
          <w:kern w:val="0"/>
          <w:szCs w:val="21"/>
        </w:rPr>
        <w:t>教材：</w:t>
      </w:r>
    </w:p>
    <w:p w14:paraId="17A7BDFF" w14:textId="77777777" w:rsidR="00F5289E" w:rsidRDefault="00C91173">
      <w:pPr>
        <w:widowControl/>
        <w:snapToGrid w:val="0"/>
        <w:spacing w:line="360" w:lineRule="auto"/>
        <w:ind w:firstLineChars="200" w:firstLine="420"/>
        <w:jc w:val="left"/>
        <w:rPr>
          <w:rFonts w:hAnsi="宋体"/>
          <w:bCs/>
          <w:color w:val="000000" w:themeColor="text1"/>
          <w:kern w:val="0"/>
          <w:szCs w:val="21"/>
        </w:rPr>
      </w:pPr>
      <w:r>
        <w:rPr>
          <w:rFonts w:ascii="宋体" w:hAnsi="宋体" w:hint="eastAsia"/>
          <w:bCs/>
          <w:color w:val="000000" w:themeColor="text1"/>
          <w:kern w:val="0"/>
          <w:szCs w:val="21"/>
        </w:rPr>
        <w:t>理论课教材：</w:t>
      </w:r>
      <w:r>
        <w:rPr>
          <w:rFonts w:hAnsi="宋体" w:hint="eastAsia"/>
          <w:bCs/>
          <w:color w:val="000000" w:themeColor="text1"/>
          <w:kern w:val="0"/>
          <w:szCs w:val="21"/>
        </w:rPr>
        <w:t>农产品营销（第</w:t>
      </w:r>
      <w:r>
        <w:rPr>
          <w:rFonts w:hAnsi="宋体" w:hint="eastAsia"/>
          <w:bCs/>
          <w:color w:val="000000" w:themeColor="text1"/>
          <w:kern w:val="0"/>
          <w:szCs w:val="21"/>
        </w:rPr>
        <w:t>2</w:t>
      </w:r>
      <w:r>
        <w:rPr>
          <w:rFonts w:hAnsi="宋体" w:hint="eastAsia"/>
          <w:bCs/>
          <w:color w:val="000000" w:themeColor="text1"/>
          <w:kern w:val="0"/>
          <w:szCs w:val="21"/>
        </w:rPr>
        <w:t>版）</w:t>
      </w:r>
      <w:r>
        <w:rPr>
          <w:rFonts w:hAnsi="宋体"/>
          <w:bCs/>
          <w:color w:val="000000" w:themeColor="text1"/>
          <w:kern w:val="0"/>
          <w:szCs w:val="21"/>
        </w:rPr>
        <w:t>，</w:t>
      </w:r>
      <w:r>
        <w:rPr>
          <w:rFonts w:hAnsi="宋体" w:hint="eastAsia"/>
          <w:bCs/>
          <w:color w:val="000000" w:themeColor="text1"/>
          <w:kern w:val="0"/>
          <w:szCs w:val="21"/>
        </w:rPr>
        <w:t>林依倔</w:t>
      </w:r>
      <w:r>
        <w:rPr>
          <w:rFonts w:hAnsi="宋体"/>
          <w:bCs/>
          <w:color w:val="000000" w:themeColor="text1"/>
          <w:kern w:val="0"/>
          <w:szCs w:val="21"/>
        </w:rPr>
        <w:t>编著，</w:t>
      </w:r>
      <w:r>
        <w:rPr>
          <w:rFonts w:hAnsi="宋体" w:hint="eastAsia"/>
          <w:bCs/>
          <w:color w:val="000000" w:themeColor="text1"/>
          <w:kern w:val="0"/>
          <w:szCs w:val="21"/>
        </w:rPr>
        <w:t>西南交通大学出版社</w:t>
      </w:r>
      <w:r>
        <w:rPr>
          <w:rFonts w:hAnsi="宋体"/>
          <w:bCs/>
          <w:color w:val="000000" w:themeColor="text1"/>
          <w:kern w:val="0"/>
          <w:szCs w:val="21"/>
        </w:rPr>
        <w:t>，</w:t>
      </w:r>
      <w:r>
        <w:rPr>
          <w:rFonts w:hAnsi="宋体" w:hint="eastAsia"/>
          <w:bCs/>
          <w:color w:val="000000" w:themeColor="text1"/>
          <w:kern w:val="0"/>
          <w:szCs w:val="21"/>
        </w:rPr>
        <w:t>2022</w:t>
      </w:r>
      <w:r>
        <w:rPr>
          <w:rFonts w:hAnsi="宋体"/>
          <w:bCs/>
          <w:color w:val="000000" w:themeColor="text1"/>
          <w:kern w:val="0"/>
          <w:szCs w:val="21"/>
        </w:rPr>
        <w:t>年</w:t>
      </w:r>
    </w:p>
    <w:p w14:paraId="1930B056" w14:textId="77777777" w:rsidR="00F5289E" w:rsidRDefault="00C91173">
      <w:pPr>
        <w:widowControl/>
        <w:snapToGrid w:val="0"/>
        <w:spacing w:line="360" w:lineRule="auto"/>
        <w:ind w:firstLineChars="200" w:firstLine="422"/>
        <w:jc w:val="left"/>
        <w:rPr>
          <w:color w:val="000000" w:themeColor="text1"/>
          <w:kern w:val="0"/>
          <w:szCs w:val="21"/>
        </w:rPr>
      </w:pPr>
      <w:r>
        <w:rPr>
          <w:b/>
          <w:bCs/>
          <w:color w:val="000000" w:themeColor="text1"/>
          <w:kern w:val="0"/>
          <w:szCs w:val="21"/>
        </w:rPr>
        <w:t>2</w:t>
      </w:r>
      <w:r>
        <w:rPr>
          <w:rFonts w:hAnsi="宋体" w:hint="eastAsia"/>
          <w:b/>
          <w:bCs/>
          <w:color w:val="000000" w:themeColor="text1"/>
          <w:kern w:val="0"/>
          <w:szCs w:val="21"/>
        </w:rPr>
        <w:t>.</w:t>
      </w:r>
      <w:r>
        <w:rPr>
          <w:rFonts w:hAnsi="宋体"/>
          <w:b/>
          <w:bCs/>
          <w:color w:val="000000" w:themeColor="text1"/>
          <w:kern w:val="0"/>
          <w:szCs w:val="21"/>
        </w:rPr>
        <w:t>参考书：</w:t>
      </w:r>
    </w:p>
    <w:p w14:paraId="7BE99EC4"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bCs/>
          <w:color w:val="000000" w:themeColor="text1"/>
          <w:kern w:val="0"/>
          <w:szCs w:val="21"/>
        </w:rPr>
        <w:t>（</w:t>
      </w:r>
      <w:r>
        <w:rPr>
          <w:bCs/>
          <w:color w:val="000000" w:themeColor="text1"/>
          <w:kern w:val="0"/>
          <w:szCs w:val="21"/>
        </w:rPr>
        <w:t>1</w:t>
      </w:r>
      <w:r>
        <w:rPr>
          <w:rFonts w:hAnsi="宋体"/>
          <w:bCs/>
          <w:color w:val="000000" w:themeColor="text1"/>
          <w:kern w:val="0"/>
          <w:szCs w:val="21"/>
        </w:rPr>
        <w:t>）</w:t>
      </w:r>
      <w:r>
        <w:rPr>
          <w:rFonts w:hAnsi="宋体" w:hint="eastAsia"/>
          <w:bCs/>
          <w:color w:val="000000" w:themeColor="text1"/>
          <w:kern w:val="0"/>
          <w:szCs w:val="21"/>
        </w:rPr>
        <w:t>园艺技术专业创新创业指导与案例分析．申晓萍</w:t>
      </w:r>
      <w:r>
        <w:rPr>
          <w:rFonts w:hAnsi="宋体" w:hint="eastAsia"/>
          <w:bCs/>
          <w:color w:val="000000" w:themeColor="text1"/>
          <w:kern w:val="0"/>
          <w:szCs w:val="21"/>
        </w:rPr>
        <w:t>//</w:t>
      </w:r>
      <w:r>
        <w:rPr>
          <w:rFonts w:hAnsi="宋体" w:hint="eastAsia"/>
          <w:bCs/>
          <w:color w:val="000000" w:themeColor="text1"/>
          <w:kern w:val="0"/>
          <w:szCs w:val="21"/>
        </w:rPr>
        <w:t>傅秀红．中国农业大学</w:t>
      </w:r>
      <w:r>
        <w:rPr>
          <w:rFonts w:asciiTheme="minorEastAsia" w:eastAsiaTheme="minorEastAsia" w:hAnsiTheme="minorEastAsia" w:cstheme="minorEastAsia" w:hint="eastAsia"/>
          <w:bCs/>
          <w:color w:val="000000" w:themeColor="text1"/>
          <w:kern w:val="0"/>
          <w:szCs w:val="21"/>
        </w:rPr>
        <w:t>出版社</w:t>
      </w:r>
      <w:r>
        <w:rPr>
          <w:rFonts w:hAnsi="宋体" w:hint="eastAsia"/>
          <w:bCs/>
          <w:color w:val="000000" w:themeColor="text1"/>
          <w:kern w:val="0"/>
          <w:szCs w:val="21"/>
        </w:rPr>
        <w:t>, 2021</w:t>
      </w:r>
    </w:p>
    <w:p w14:paraId="4C7CC900"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bCs/>
          <w:color w:val="000000" w:themeColor="text1"/>
          <w:kern w:val="0"/>
          <w:szCs w:val="21"/>
        </w:rPr>
        <w:t>（</w:t>
      </w:r>
      <w:r>
        <w:rPr>
          <w:bCs/>
          <w:color w:val="000000" w:themeColor="text1"/>
          <w:kern w:val="0"/>
          <w:szCs w:val="21"/>
        </w:rPr>
        <w:t>2</w:t>
      </w:r>
      <w:r>
        <w:rPr>
          <w:rFonts w:hAnsi="宋体"/>
          <w:bCs/>
          <w:color w:val="000000" w:themeColor="text1"/>
          <w:kern w:val="0"/>
          <w:szCs w:val="21"/>
        </w:rPr>
        <w:t>）</w:t>
      </w:r>
      <w:r>
        <w:rPr>
          <w:rFonts w:hAnsi="宋体" w:hint="eastAsia"/>
          <w:bCs/>
          <w:color w:val="000000" w:themeColor="text1"/>
          <w:kern w:val="0"/>
          <w:szCs w:val="21"/>
        </w:rPr>
        <w:t>农产品营销实战第一书．胡浪球编著．企业管理出版社，</w:t>
      </w:r>
      <w:r>
        <w:rPr>
          <w:rFonts w:hAnsi="宋体" w:hint="eastAsia"/>
          <w:bCs/>
          <w:color w:val="000000" w:themeColor="text1"/>
          <w:kern w:val="0"/>
          <w:szCs w:val="21"/>
        </w:rPr>
        <w:t>2013</w:t>
      </w:r>
    </w:p>
    <w:p w14:paraId="6A37F251" w14:textId="77777777" w:rsidR="00F5289E" w:rsidRDefault="00C91173">
      <w:pPr>
        <w:snapToGrid w:val="0"/>
        <w:spacing w:line="360" w:lineRule="auto"/>
        <w:ind w:firstLineChars="200" w:firstLine="420"/>
        <w:rPr>
          <w:rFonts w:hAnsi="宋体"/>
          <w:bCs/>
          <w:color w:val="000000" w:themeColor="text1"/>
          <w:kern w:val="0"/>
          <w:szCs w:val="21"/>
        </w:rPr>
      </w:pPr>
      <w:r>
        <w:rPr>
          <w:rFonts w:hAnsi="宋体"/>
          <w:bCs/>
          <w:color w:val="000000" w:themeColor="text1"/>
          <w:kern w:val="0"/>
          <w:szCs w:val="21"/>
        </w:rPr>
        <w:lastRenderedPageBreak/>
        <w:t>（</w:t>
      </w:r>
      <w:r>
        <w:rPr>
          <w:rFonts w:hint="eastAsia"/>
          <w:bCs/>
          <w:color w:val="000000" w:themeColor="text1"/>
          <w:kern w:val="0"/>
          <w:szCs w:val="21"/>
        </w:rPr>
        <w:t>3</w:t>
      </w:r>
      <w:r>
        <w:rPr>
          <w:rFonts w:hAnsi="宋体"/>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《蔬菜营养与健康》</w:t>
      </w:r>
      <w:r>
        <w:rPr>
          <w:rFonts w:hAnsi="宋体" w:hint="eastAsia"/>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张和义、李苏迎编著</w:t>
      </w:r>
      <w:r>
        <w:rPr>
          <w:rFonts w:hAnsi="宋体" w:hint="eastAsia"/>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西北农林科技大学出版社，2012</w:t>
      </w:r>
    </w:p>
    <w:p w14:paraId="7F580E26"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hAnsi="宋体"/>
          <w:bCs/>
          <w:color w:val="000000" w:themeColor="text1"/>
          <w:kern w:val="0"/>
          <w:szCs w:val="21"/>
        </w:rPr>
        <w:t>（</w:t>
      </w:r>
      <w:r>
        <w:rPr>
          <w:rFonts w:hint="eastAsia"/>
          <w:bCs/>
          <w:color w:val="000000" w:themeColor="text1"/>
          <w:kern w:val="0"/>
          <w:szCs w:val="21"/>
        </w:rPr>
        <w:t>4</w:t>
      </w:r>
      <w:r>
        <w:rPr>
          <w:rFonts w:hAnsi="宋体"/>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农产品区域公用品牌建设路径研究</w:t>
      </w:r>
      <w:r>
        <w:rPr>
          <w:rFonts w:hAnsi="宋体" w:hint="eastAsia"/>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张竞.中国社会科学出版社，2021</w:t>
      </w:r>
    </w:p>
    <w:p w14:paraId="7023CA41"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hAnsi="宋体"/>
          <w:bCs/>
          <w:color w:val="000000" w:themeColor="text1"/>
          <w:kern w:val="0"/>
          <w:szCs w:val="21"/>
        </w:rPr>
        <w:t>（</w:t>
      </w:r>
      <w:r>
        <w:rPr>
          <w:rFonts w:hint="eastAsia"/>
          <w:bCs/>
          <w:color w:val="000000" w:themeColor="text1"/>
          <w:kern w:val="0"/>
          <w:szCs w:val="21"/>
        </w:rPr>
        <w:t>5</w:t>
      </w:r>
      <w:r>
        <w:rPr>
          <w:rFonts w:hAnsi="宋体"/>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园艺产品营销</w:t>
      </w:r>
      <w:r>
        <w:rPr>
          <w:rFonts w:hAnsi="宋体" w:hint="eastAsia"/>
          <w:bCs/>
          <w:color w:val="000000" w:themeColor="text1"/>
          <w:kern w:val="0"/>
          <w:szCs w:val="21"/>
        </w:rPr>
        <w:t>．何钢．</w:t>
      </w:r>
      <w:r>
        <w:rPr>
          <w:rFonts w:asciiTheme="minorEastAsia" w:eastAsiaTheme="minorEastAsia" w:hAnsiTheme="minorEastAsia" w:cstheme="minorEastAsia" w:hint="eastAsia"/>
          <w:bCs/>
          <w:color w:val="000000" w:themeColor="text1"/>
          <w:kern w:val="0"/>
          <w:szCs w:val="21"/>
        </w:rPr>
        <w:t>中国农业大学出版社，2016</w:t>
      </w:r>
    </w:p>
    <w:p w14:paraId="28130298"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hAnsi="宋体"/>
          <w:bCs/>
          <w:color w:val="000000" w:themeColor="text1"/>
          <w:kern w:val="0"/>
          <w:szCs w:val="21"/>
        </w:rPr>
        <w:t>（</w:t>
      </w:r>
      <w:r>
        <w:rPr>
          <w:rFonts w:hint="eastAsia"/>
          <w:bCs/>
          <w:color w:val="000000" w:themeColor="text1"/>
          <w:kern w:val="0"/>
          <w:szCs w:val="21"/>
        </w:rPr>
        <w:t>6</w:t>
      </w:r>
      <w:r>
        <w:rPr>
          <w:rFonts w:hAnsi="宋体"/>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园艺产品储运营销</w:t>
      </w:r>
      <w:r>
        <w:rPr>
          <w:rFonts w:hAnsi="宋体" w:hint="eastAsia"/>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刘军</w:t>
      </w:r>
      <w:r>
        <w:rPr>
          <w:rFonts w:hAnsi="宋体" w:hint="eastAsia"/>
          <w:bCs/>
          <w:color w:val="000000" w:themeColor="text1"/>
          <w:kern w:val="0"/>
          <w:szCs w:val="21"/>
        </w:rPr>
        <w:t>//</w:t>
      </w:r>
      <w:r>
        <w:rPr>
          <w:rFonts w:asciiTheme="minorEastAsia" w:eastAsiaTheme="minorEastAsia" w:hAnsiTheme="minorEastAsia" w:cstheme="minorEastAsia" w:hint="eastAsia"/>
          <w:bCs/>
          <w:color w:val="000000" w:themeColor="text1"/>
          <w:kern w:val="0"/>
          <w:szCs w:val="21"/>
        </w:rPr>
        <w:t>王维江.中国农业大学出版社，2014</w:t>
      </w:r>
    </w:p>
    <w:p w14:paraId="7C57591B" w14:textId="77777777" w:rsidR="00F5289E" w:rsidRDefault="00C91173">
      <w:pPr>
        <w:widowControl/>
        <w:snapToGrid w:val="0"/>
        <w:spacing w:line="360" w:lineRule="auto"/>
        <w:ind w:firstLineChars="200" w:firstLine="422"/>
        <w:jc w:val="left"/>
        <w:rPr>
          <w:b/>
          <w:color w:val="000000" w:themeColor="text1"/>
          <w:kern w:val="0"/>
          <w:szCs w:val="21"/>
        </w:rPr>
      </w:pPr>
      <w:r>
        <w:rPr>
          <w:b/>
          <w:color w:val="000000" w:themeColor="text1"/>
          <w:kern w:val="0"/>
          <w:szCs w:val="21"/>
        </w:rPr>
        <w:t>3.</w:t>
      </w:r>
      <w:r>
        <w:rPr>
          <w:b/>
          <w:color w:val="000000" w:themeColor="text1"/>
          <w:kern w:val="0"/>
          <w:szCs w:val="21"/>
        </w:rPr>
        <w:t>推荐网站</w:t>
      </w:r>
      <w:r>
        <w:rPr>
          <w:rFonts w:hint="eastAsia"/>
          <w:b/>
          <w:color w:val="000000" w:themeColor="text1"/>
          <w:kern w:val="0"/>
          <w:szCs w:val="21"/>
        </w:rPr>
        <w:t>（线上资源）</w:t>
      </w:r>
      <w:r>
        <w:rPr>
          <w:b/>
          <w:color w:val="000000" w:themeColor="text1"/>
          <w:kern w:val="0"/>
          <w:szCs w:val="21"/>
        </w:rPr>
        <w:t>：</w:t>
      </w:r>
    </w:p>
    <w:p w14:paraId="3E02637C" w14:textId="77777777" w:rsidR="00F5289E" w:rsidRDefault="00C91173">
      <w:pPr>
        <w:snapToGrid w:val="0"/>
        <w:spacing w:line="360" w:lineRule="auto"/>
        <w:ind w:firstLineChars="200" w:firstLine="420"/>
        <w:rPr>
          <w:rFonts w:hAnsi="宋体"/>
          <w:color w:val="000000" w:themeColor="text1"/>
          <w:szCs w:val="21"/>
        </w:rPr>
      </w:pPr>
      <w:r>
        <w:rPr>
          <w:rFonts w:hAnsi="宋体"/>
          <w:color w:val="000000" w:themeColor="text1"/>
          <w:szCs w:val="21"/>
        </w:rPr>
        <w:t>（</w:t>
      </w:r>
      <w:r>
        <w:rPr>
          <w:color w:val="000000" w:themeColor="text1"/>
          <w:szCs w:val="21"/>
        </w:rPr>
        <w:t>1</w:t>
      </w:r>
      <w:r>
        <w:rPr>
          <w:rFonts w:hAnsi="宋体"/>
          <w:color w:val="000000" w:themeColor="text1"/>
          <w:szCs w:val="21"/>
        </w:rPr>
        <w:t>）</w:t>
      </w:r>
      <w:r>
        <w:rPr>
          <w:rFonts w:hAnsi="宋体" w:hint="eastAsia"/>
          <w:color w:val="000000" w:themeColor="text1"/>
          <w:szCs w:val="21"/>
        </w:rPr>
        <w:t>中国食品营养网，网址</w:t>
      </w:r>
      <w:r>
        <w:rPr>
          <w:rFonts w:hAnsi="宋体" w:hint="eastAsia"/>
          <w:color w:val="000000" w:themeColor="text1"/>
          <w:szCs w:val="21"/>
        </w:rPr>
        <w:t>http://www.chinafcd.com/</w:t>
      </w:r>
    </w:p>
    <w:p w14:paraId="7CAF5D7E" w14:textId="77777777" w:rsidR="00F5289E" w:rsidRDefault="00C91173">
      <w:pPr>
        <w:widowControl/>
        <w:snapToGrid w:val="0"/>
        <w:spacing w:line="360" w:lineRule="auto"/>
        <w:ind w:firstLineChars="200" w:firstLine="420"/>
        <w:jc w:val="left"/>
        <w:rPr>
          <w:rFonts w:hAnsi="宋体"/>
          <w:color w:val="000000" w:themeColor="text1"/>
          <w:szCs w:val="21"/>
        </w:rPr>
      </w:pPr>
      <w:r>
        <w:rPr>
          <w:rFonts w:hAnsi="宋体"/>
          <w:color w:val="000000" w:themeColor="text1"/>
          <w:szCs w:val="21"/>
        </w:rPr>
        <w:t>（</w:t>
      </w:r>
      <w:r>
        <w:rPr>
          <w:color w:val="000000" w:themeColor="text1"/>
          <w:szCs w:val="21"/>
        </w:rPr>
        <w:t>2</w:t>
      </w:r>
      <w:r>
        <w:rPr>
          <w:rFonts w:hAnsi="宋体"/>
          <w:color w:val="000000" w:themeColor="text1"/>
          <w:szCs w:val="21"/>
        </w:rPr>
        <w:t>）</w:t>
      </w:r>
      <w:r>
        <w:rPr>
          <w:rFonts w:hAnsi="宋体" w:hint="eastAsia"/>
          <w:color w:val="000000" w:themeColor="text1"/>
          <w:szCs w:val="21"/>
        </w:rPr>
        <w:t>中国农业信息网，网址</w:t>
      </w:r>
      <w:r w:rsidRPr="001B3040">
        <w:rPr>
          <w:rFonts w:hAnsi="宋体" w:hint="eastAsia"/>
          <w:szCs w:val="21"/>
        </w:rPr>
        <w:t>http://eat.51ttyy.com/</w:t>
      </w:r>
    </w:p>
    <w:p w14:paraId="6EA2959E" w14:textId="77777777" w:rsidR="00F5289E" w:rsidRDefault="00C91173">
      <w:pPr>
        <w:widowControl/>
        <w:snapToGrid w:val="0"/>
        <w:spacing w:line="360" w:lineRule="auto"/>
        <w:jc w:val="left"/>
        <w:rPr>
          <w:rFonts w:hAnsi="宋体"/>
          <w:b/>
          <w:bCs/>
          <w:color w:val="000000" w:themeColor="text1"/>
          <w:kern w:val="0"/>
          <w:szCs w:val="21"/>
        </w:rPr>
      </w:pPr>
      <w:r>
        <w:rPr>
          <w:rFonts w:hAnsi="宋体" w:hint="eastAsia"/>
          <w:b/>
          <w:bCs/>
          <w:color w:val="000000" w:themeColor="text1"/>
          <w:kern w:val="0"/>
          <w:szCs w:val="21"/>
        </w:rPr>
        <w:t>八</w:t>
      </w:r>
      <w:r>
        <w:rPr>
          <w:rFonts w:hAnsi="宋体"/>
          <w:b/>
          <w:bCs/>
          <w:color w:val="000000" w:themeColor="text1"/>
          <w:kern w:val="0"/>
          <w:szCs w:val="21"/>
        </w:rPr>
        <w:t>、</w:t>
      </w:r>
      <w:r>
        <w:rPr>
          <w:rFonts w:hAnsi="宋体" w:hint="eastAsia"/>
          <w:b/>
          <w:bCs/>
          <w:color w:val="000000" w:themeColor="text1"/>
          <w:kern w:val="0"/>
          <w:szCs w:val="21"/>
        </w:rPr>
        <w:t>教学条件</w:t>
      </w:r>
    </w:p>
    <w:p w14:paraId="6E52CF7F" w14:textId="77777777" w:rsidR="00F5289E" w:rsidRDefault="00C91173">
      <w:pPr>
        <w:widowControl/>
        <w:snapToGrid w:val="0"/>
        <w:spacing w:line="360" w:lineRule="auto"/>
        <w:ind w:firstLineChars="200" w:firstLine="420"/>
        <w:jc w:val="left"/>
        <w:rPr>
          <w:rFonts w:hAnsi="宋体"/>
          <w:b/>
          <w:bCs/>
          <w:color w:val="000000" w:themeColor="text1"/>
          <w:kern w:val="0"/>
          <w:szCs w:val="21"/>
        </w:rPr>
      </w:pPr>
      <w:r>
        <w:rPr>
          <w:rFonts w:ascii="宋体" w:hAnsi="宋体" w:hint="eastAsia"/>
          <w:color w:val="000000" w:themeColor="text1"/>
          <w:szCs w:val="21"/>
        </w:rPr>
        <w:t>教学主要以讲授和讨论等形式开展，需要有多媒体教室，安装在线联网、超星教育系统等。</w:t>
      </w:r>
      <w:r>
        <w:rPr>
          <w:rFonts w:hAnsi="宋体" w:hint="eastAsia"/>
          <w:b/>
          <w:bCs/>
          <w:color w:val="000000" w:themeColor="text1"/>
          <w:kern w:val="0"/>
          <w:szCs w:val="21"/>
        </w:rPr>
        <w:t>九、教学考核评价</w:t>
      </w:r>
    </w:p>
    <w:p w14:paraId="79EF3A23" w14:textId="77777777" w:rsidR="00F5289E" w:rsidRDefault="00C91173">
      <w:pPr>
        <w:widowControl/>
        <w:snapToGrid w:val="0"/>
        <w:spacing w:line="360" w:lineRule="auto"/>
        <w:ind w:firstLine="420"/>
        <w:jc w:val="left"/>
        <w:rPr>
          <w:rFonts w:ascii="宋体" w:hAnsi="宋体"/>
          <w:color w:val="000000" w:themeColor="text1"/>
          <w:szCs w:val="21"/>
        </w:rPr>
      </w:pPr>
      <w:r>
        <w:rPr>
          <w:rFonts w:hAnsi="宋体" w:hint="eastAsia"/>
          <w:b/>
          <w:bCs/>
          <w:color w:val="000000" w:themeColor="text1"/>
          <w:kern w:val="0"/>
          <w:szCs w:val="21"/>
        </w:rPr>
        <w:t>1.</w:t>
      </w:r>
      <w:r>
        <w:rPr>
          <w:rFonts w:hAnsi="宋体" w:hint="eastAsia"/>
          <w:b/>
          <w:bCs/>
          <w:color w:val="000000" w:themeColor="text1"/>
          <w:kern w:val="0"/>
          <w:szCs w:val="21"/>
        </w:rPr>
        <w:t>过程性评价：</w:t>
      </w:r>
      <w:r>
        <w:rPr>
          <w:rFonts w:ascii="宋体" w:hAnsi="宋体" w:hint="eastAsia"/>
          <w:color w:val="000000" w:themeColor="text1"/>
          <w:szCs w:val="21"/>
        </w:rPr>
        <w:t>考勤</w:t>
      </w:r>
      <w:r>
        <w:rPr>
          <w:rFonts w:ascii="宋体" w:hAnsi="宋体"/>
          <w:color w:val="000000" w:themeColor="text1"/>
          <w:szCs w:val="21"/>
        </w:rPr>
        <w:t>成绩</w:t>
      </w:r>
      <w:r>
        <w:rPr>
          <w:rFonts w:ascii="宋体" w:hAnsi="宋体" w:hint="eastAsia"/>
          <w:color w:val="000000" w:themeColor="text1"/>
          <w:szCs w:val="21"/>
        </w:rPr>
        <w:t>、</w:t>
      </w:r>
      <w:r>
        <w:rPr>
          <w:rFonts w:ascii="宋体" w:hAnsi="宋体"/>
          <w:color w:val="000000" w:themeColor="text1"/>
          <w:szCs w:val="21"/>
        </w:rPr>
        <w:t>课堂作业</w:t>
      </w:r>
      <w:r>
        <w:rPr>
          <w:rFonts w:ascii="宋体" w:hAnsi="宋体" w:hint="eastAsia"/>
          <w:color w:val="000000" w:themeColor="text1"/>
          <w:szCs w:val="21"/>
        </w:rPr>
        <w:t>、</w:t>
      </w:r>
      <w:r>
        <w:rPr>
          <w:rFonts w:ascii="宋体" w:hAnsi="宋体"/>
          <w:color w:val="000000" w:themeColor="text1"/>
          <w:szCs w:val="21"/>
        </w:rPr>
        <w:t>提问回答、上台演讲</w:t>
      </w:r>
      <w:r>
        <w:rPr>
          <w:rFonts w:ascii="宋体" w:hAnsi="宋体" w:hint="eastAsia"/>
          <w:color w:val="000000" w:themeColor="text1"/>
          <w:szCs w:val="21"/>
        </w:rPr>
        <w:t>、案例分析</w:t>
      </w:r>
      <w:r>
        <w:rPr>
          <w:rFonts w:ascii="宋体" w:hAnsi="宋体"/>
          <w:color w:val="000000" w:themeColor="text1"/>
          <w:szCs w:val="21"/>
        </w:rPr>
        <w:t>等均纳入平时成绩进行多元化考核</w:t>
      </w:r>
      <w:r>
        <w:rPr>
          <w:rFonts w:ascii="宋体" w:hAnsi="宋体" w:hint="eastAsia"/>
          <w:color w:val="000000" w:themeColor="text1"/>
          <w:szCs w:val="21"/>
        </w:rPr>
        <w:t>，</w:t>
      </w:r>
      <w:r>
        <w:rPr>
          <w:rFonts w:ascii="宋体" w:hAnsi="宋体"/>
          <w:color w:val="000000" w:themeColor="text1"/>
          <w:szCs w:val="21"/>
        </w:rPr>
        <w:t>该部分为平时成绩，占比为</w:t>
      </w:r>
      <w:r>
        <w:rPr>
          <w:rFonts w:ascii="宋体" w:hAnsi="宋体" w:hint="eastAsia"/>
          <w:color w:val="000000" w:themeColor="text1"/>
          <w:szCs w:val="21"/>
        </w:rPr>
        <w:t>30</w:t>
      </w:r>
      <w:r>
        <w:rPr>
          <w:rFonts w:ascii="宋体" w:hAnsi="宋体"/>
          <w:color w:val="000000" w:themeColor="text1"/>
          <w:szCs w:val="21"/>
        </w:rPr>
        <w:t>%。</w:t>
      </w:r>
    </w:p>
    <w:p w14:paraId="45FEA0E1" w14:textId="2B0469A9" w:rsidR="00F5289E" w:rsidRPr="0070340D" w:rsidRDefault="00C91173" w:rsidP="0070340D">
      <w:pPr>
        <w:widowControl/>
        <w:snapToGrid w:val="0"/>
        <w:spacing w:line="360" w:lineRule="auto"/>
        <w:ind w:firstLine="420"/>
        <w:jc w:val="left"/>
        <w:rPr>
          <w:rFonts w:hAnsi="宋体"/>
          <w:b/>
          <w:bCs/>
          <w:color w:val="000000" w:themeColor="text1"/>
          <w:kern w:val="0"/>
          <w:szCs w:val="21"/>
        </w:rPr>
      </w:pPr>
      <w:r>
        <w:rPr>
          <w:rFonts w:hAnsi="宋体" w:hint="eastAsia"/>
          <w:b/>
          <w:bCs/>
          <w:color w:val="000000" w:themeColor="text1"/>
          <w:kern w:val="0"/>
          <w:szCs w:val="21"/>
        </w:rPr>
        <w:t>2.</w:t>
      </w:r>
      <w:r>
        <w:rPr>
          <w:rFonts w:hAnsi="宋体" w:hint="eastAsia"/>
          <w:b/>
          <w:bCs/>
          <w:color w:val="000000" w:themeColor="text1"/>
          <w:kern w:val="0"/>
          <w:szCs w:val="21"/>
        </w:rPr>
        <w:t>终结性评价：</w:t>
      </w:r>
      <w:r>
        <w:rPr>
          <w:rFonts w:hAnsi="宋体" w:hint="eastAsia"/>
          <w:bCs/>
          <w:color w:val="000000" w:themeColor="text1"/>
          <w:kern w:val="0"/>
          <w:szCs w:val="21"/>
        </w:rPr>
        <w:t>采用</w:t>
      </w:r>
      <w:r>
        <w:rPr>
          <w:rFonts w:ascii="宋体" w:hAnsi="宋体" w:hint="eastAsia"/>
          <w:color w:val="000000" w:themeColor="text1"/>
        </w:rPr>
        <w:t>课程论文的</w:t>
      </w:r>
      <w:r>
        <w:rPr>
          <w:rFonts w:ascii="宋体" w:hAnsi="宋体"/>
          <w:color w:val="000000" w:themeColor="text1"/>
        </w:rPr>
        <w:t>形式进行考核</w:t>
      </w:r>
      <w:r>
        <w:rPr>
          <w:rFonts w:ascii="宋体" w:hAnsi="宋体" w:hint="eastAsia"/>
          <w:color w:val="000000" w:themeColor="text1"/>
        </w:rPr>
        <w:t>；占比</w:t>
      </w:r>
      <w:r>
        <w:rPr>
          <w:rFonts w:ascii="宋体" w:hAnsi="宋体"/>
          <w:color w:val="000000" w:themeColor="text1"/>
        </w:rPr>
        <w:t>为</w:t>
      </w:r>
      <w:r>
        <w:rPr>
          <w:rFonts w:ascii="宋体" w:hAnsi="宋体" w:hint="eastAsia"/>
          <w:color w:val="000000" w:themeColor="text1"/>
        </w:rPr>
        <w:t>70</w:t>
      </w:r>
      <w:r>
        <w:rPr>
          <w:rFonts w:ascii="宋体" w:hAnsi="宋体"/>
          <w:color w:val="000000" w:themeColor="text1"/>
        </w:rPr>
        <w:t>%</w:t>
      </w:r>
      <w:r>
        <w:rPr>
          <w:rFonts w:ascii="宋体" w:hAnsi="宋体" w:hint="eastAsia"/>
          <w:color w:val="000000" w:themeColor="text1"/>
        </w:rPr>
        <w:t>。</w:t>
      </w:r>
    </w:p>
    <w:p w14:paraId="17978635" w14:textId="1D799951" w:rsidR="0070340D" w:rsidRDefault="0070340D" w:rsidP="0070340D">
      <w:pPr>
        <w:widowControl/>
        <w:snapToGrid w:val="0"/>
        <w:spacing w:line="360" w:lineRule="auto"/>
        <w:ind w:firstLine="420"/>
        <w:jc w:val="left"/>
        <w:rPr>
          <w:bCs/>
          <w:kern w:val="0"/>
          <w:szCs w:val="21"/>
        </w:rPr>
      </w:pPr>
      <w:r>
        <w:rPr>
          <w:b/>
          <w:bCs/>
          <w:kern w:val="0"/>
          <w:szCs w:val="21"/>
        </w:rPr>
        <w:t>3.</w:t>
      </w:r>
      <w:r>
        <w:rPr>
          <w:b/>
          <w:bCs/>
          <w:kern w:val="0"/>
          <w:szCs w:val="21"/>
        </w:rPr>
        <w:t>课程综合评价：</w:t>
      </w:r>
      <w:r>
        <w:rPr>
          <w:bCs/>
          <w:kern w:val="0"/>
          <w:szCs w:val="21"/>
        </w:rPr>
        <w:t>综合课程成绩</w:t>
      </w:r>
      <w:r>
        <w:rPr>
          <w:bCs/>
          <w:kern w:val="0"/>
          <w:szCs w:val="21"/>
        </w:rPr>
        <w:t xml:space="preserve"> = </w:t>
      </w:r>
      <w:r>
        <w:rPr>
          <w:bCs/>
          <w:kern w:val="0"/>
          <w:szCs w:val="21"/>
        </w:rPr>
        <w:t>期末论文成绩</w:t>
      </w:r>
      <w:r>
        <w:rPr>
          <w:bCs/>
          <w:kern w:val="0"/>
          <w:szCs w:val="21"/>
        </w:rPr>
        <w:t>×70%</w:t>
      </w:r>
      <w:r>
        <w:rPr>
          <w:bCs/>
          <w:kern w:val="0"/>
          <w:szCs w:val="21"/>
        </w:rPr>
        <w:t>＋平时成绩</w:t>
      </w:r>
      <w:r>
        <w:rPr>
          <w:bCs/>
          <w:kern w:val="0"/>
          <w:szCs w:val="21"/>
        </w:rPr>
        <w:t>×30%</w:t>
      </w:r>
    </w:p>
    <w:p w14:paraId="0D3DD16A" w14:textId="77777777" w:rsidR="0070340D" w:rsidRDefault="0070340D">
      <w:pPr>
        <w:widowControl/>
        <w:snapToGrid w:val="0"/>
        <w:spacing w:line="360" w:lineRule="auto"/>
        <w:ind w:firstLine="420"/>
        <w:jc w:val="left"/>
        <w:rPr>
          <w:rFonts w:ascii="宋体" w:hAnsi="宋体"/>
          <w:color w:val="000000" w:themeColor="text1"/>
        </w:rPr>
      </w:pPr>
    </w:p>
    <w:p w14:paraId="546EA2D1" w14:textId="77777777" w:rsidR="00F5289E" w:rsidRDefault="00C91173">
      <w:pPr>
        <w:widowControl/>
        <w:jc w:val="left"/>
        <w:rPr>
          <w:rFonts w:ascii="宋体" w:hAnsi="宋体"/>
          <w:b/>
          <w:sz w:val="28"/>
          <w:szCs w:val="28"/>
        </w:rPr>
      </w:pPr>
      <w:r>
        <w:rPr>
          <w:rFonts w:ascii="宋体" w:hAnsi="宋体"/>
          <w:b/>
          <w:sz w:val="28"/>
          <w:szCs w:val="28"/>
        </w:rPr>
        <w:br w:type="page"/>
      </w:r>
    </w:p>
    <w:p w14:paraId="336905EA" w14:textId="77777777" w:rsidR="00F5289E" w:rsidRDefault="00C91173">
      <w:pPr>
        <w:pStyle w:val="1"/>
      </w:pPr>
      <w:bookmarkStart w:id="103" w:name="_Toc489359089"/>
      <w:bookmarkStart w:id="104" w:name="_Toc138606255"/>
      <w:r>
        <w:rPr>
          <w:rFonts w:hint="eastAsia"/>
        </w:rPr>
        <w:lastRenderedPageBreak/>
        <w:t>园艺产品营销学</w:t>
      </w:r>
      <w:bookmarkEnd w:id="103"/>
      <w:bookmarkEnd w:id="104"/>
    </w:p>
    <w:p w14:paraId="5F14C19D" w14:textId="77777777" w:rsidR="00F5289E" w:rsidRDefault="00C91173">
      <w:pPr>
        <w:snapToGrid w:val="0"/>
        <w:spacing w:line="360" w:lineRule="auto"/>
        <w:jc w:val="center"/>
        <w:rPr>
          <w:sz w:val="24"/>
        </w:rPr>
      </w:pPr>
      <w:r>
        <w:rPr>
          <w:sz w:val="24"/>
        </w:rPr>
        <w:t>（</w:t>
      </w:r>
      <w:r>
        <w:rPr>
          <w:sz w:val="24"/>
        </w:rPr>
        <w:t xml:space="preserve">Horticultural Products </w:t>
      </w:r>
      <w:r>
        <w:rPr>
          <w:rFonts w:hint="eastAsia"/>
          <w:sz w:val="24"/>
        </w:rPr>
        <w:t>Marketing</w:t>
      </w:r>
      <w:r>
        <w:rPr>
          <w:sz w:val="24"/>
        </w:rPr>
        <w:t>）</w:t>
      </w:r>
    </w:p>
    <w:p w14:paraId="3A549B8C" w14:textId="77777777" w:rsidR="00F5289E" w:rsidRDefault="00F5289E">
      <w:pPr>
        <w:snapToGrid w:val="0"/>
        <w:spacing w:line="360" w:lineRule="auto"/>
        <w:jc w:val="center"/>
        <w:rPr>
          <w:b/>
          <w:szCs w:val="21"/>
        </w:rPr>
      </w:pPr>
    </w:p>
    <w:p w14:paraId="5AE018D5"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6747C54" w14:textId="77777777">
        <w:tc>
          <w:tcPr>
            <w:tcW w:w="1666" w:type="pct"/>
          </w:tcPr>
          <w:p w14:paraId="62258E73"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ascii="宋体" w:hAnsi="宋体"/>
                <w:szCs w:val="21"/>
              </w:rPr>
              <w:t>19011054</w:t>
            </w:r>
          </w:p>
        </w:tc>
        <w:tc>
          <w:tcPr>
            <w:tcW w:w="1453" w:type="pct"/>
          </w:tcPr>
          <w:p w14:paraId="55D6C145"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1B3040">
              <w:rPr>
                <w:rFonts w:ascii="宋体" w:hAnsi="宋体" w:hint="eastAsia"/>
                <w:szCs w:val="21"/>
              </w:rPr>
              <w:t>3</w:t>
            </w:r>
            <w:r w:rsidRPr="001B3040">
              <w:rPr>
                <w:rFonts w:ascii="宋体" w:hAnsi="宋体"/>
                <w:szCs w:val="21"/>
              </w:rPr>
              <w:t>2</w:t>
            </w:r>
          </w:p>
        </w:tc>
        <w:tc>
          <w:tcPr>
            <w:tcW w:w="1881" w:type="pct"/>
          </w:tcPr>
          <w:p w14:paraId="2AC158B2" w14:textId="080E97E4" w:rsidR="00F5289E" w:rsidRDefault="00C91173">
            <w:pPr>
              <w:spacing w:line="300" w:lineRule="auto"/>
              <w:rPr>
                <w:rFonts w:ascii="宋体" w:hAnsi="宋体"/>
                <w:b/>
                <w:bCs/>
                <w:szCs w:val="21"/>
              </w:rPr>
            </w:pPr>
            <w:r>
              <w:rPr>
                <w:rFonts w:ascii="宋体" w:hAnsi="宋体" w:hint="eastAsia"/>
                <w:b/>
                <w:bCs/>
                <w:szCs w:val="21"/>
              </w:rPr>
              <w:t>实验学时：</w:t>
            </w:r>
            <w:r w:rsidRPr="001B3040">
              <w:rPr>
                <w:rFonts w:ascii="宋体" w:hAnsi="宋体"/>
                <w:szCs w:val="21"/>
              </w:rPr>
              <w:t>0</w:t>
            </w:r>
          </w:p>
        </w:tc>
      </w:tr>
      <w:tr w:rsidR="00F5289E" w14:paraId="7CBD174F" w14:textId="77777777">
        <w:tc>
          <w:tcPr>
            <w:tcW w:w="1666" w:type="pct"/>
          </w:tcPr>
          <w:p w14:paraId="4DD29049" w14:textId="77777777" w:rsidR="00F5289E" w:rsidRDefault="00C91173">
            <w:pPr>
              <w:spacing w:line="300" w:lineRule="auto"/>
              <w:rPr>
                <w:rFonts w:ascii="宋体" w:hAnsi="宋体"/>
                <w:b/>
                <w:bCs/>
                <w:szCs w:val="21"/>
              </w:rPr>
            </w:pPr>
            <w:r>
              <w:rPr>
                <w:rFonts w:ascii="宋体" w:hAnsi="宋体" w:hint="eastAsia"/>
                <w:b/>
                <w:bCs/>
                <w:szCs w:val="21"/>
              </w:rPr>
              <w:t>课程性质：</w:t>
            </w:r>
            <w:r w:rsidRPr="001B3040">
              <w:rPr>
                <w:rFonts w:ascii="宋体" w:hAnsi="宋体" w:hint="eastAsia"/>
                <w:szCs w:val="21"/>
              </w:rPr>
              <w:t>选修</w:t>
            </w:r>
          </w:p>
        </w:tc>
        <w:tc>
          <w:tcPr>
            <w:tcW w:w="1453" w:type="pct"/>
          </w:tcPr>
          <w:p w14:paraId="21F61E55" w14:textId="77777777" w:rsidR="00F5289E" w:rsidRDefault="00C91173">
            <w:pPr>
              <w:spacing w:line="300" w:lineRule="auto"/>
              <w:rPr>
                <w:rFonts w:ascii="宋体" w:hAnsi="宋体"/>
                <w:b/>
                <w:bCs/>
                <w:szCs w:val="21"/>
              </w:rPr>
            </w:pPr>
            <w:r>
              <w:rPr>
                <w:rFonts w:ascii="宋体" w:hAnsi="宋体" w:hint="eastAsia"/>
                <w:b/>
                <w:szCs w:val="21"/>
              </w:rPr>
              <w:t>课程属性:</w:t>
            </w:r>
            <w:r>
              <w:rPr>
                <w:rFonts w:hAnsi="宋体" w:hint="eastAsia"/>
                <w:b/>
                <w:bCs/>
                <w:kern w:val="0"/>
                <w:szCs w:val="21"/>
              </w:rPr>
              <w:t xml:space="preserve"> </w:t>
            </w:r>
            <w:r w:rsidRPr="001B3040">
              <w:rPr>
                <w:rFonts w:hAnsi="宋体" w:hint="eastAsia"/>
                <w:kern w:val="0"/>
                <w:szCs w:val="21"/>
              </w:rPr>
              <w:t>创业教育类</w:t>
            </w:r>
          </w:p>
        </w:tc>
        <w:tc>
          <w:tcPr>
            <w:tcW w:w="1881" w:type="pct"/>
          </w:tcPr>
          <w:p w14:paraId="79F6663C" w14:textId="77777777" w:rsidR="00F5289E" w:rsidRDefault="00C91173">
            <w:pPr>
              <w:spacing w:line="30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 xml:space="preserve">第 </w:t>
            </w:r>
            <w:r w:rsidRPr="001B3040">
              <w:rPr>
                <w:rFonts w:ascii="宋体" w:hAnsi="宋体"/>
                <w:szCs w:val="21"/>
              </w:rPr>
              <w:t>8</w:t>
            </w:r>
            <w:r w:rsidRPr="001B3040">
              <w:rPr>
                <w:rFonts w:ascii="宋体" w:hAnsi="宋体" w:hint="eastAsia"/>
                <w:szCs w:val="21"/>
              </w:rPr>
              <w:t xml:space="preserve"> 学期</w:t>
            </w:r>
          </w:p>
        </w:tc>
      </w:tr>
      <w:tr w:rsidR="00F5289E" w14:paraId="64400D95" w14:textId="77777777">
        <w:tc>
          <w:tcPr>
            <w:tcW w:w="1666" w:type="pct"/>
          </w:tcPr>
          <w:p w14:paraId="7D343A4A"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1B3040">
              <w:rPr>
                <w:rFonts w:ascii="宋体" w:hAnsi="宋体" w:hint="eastAsia"/>
                <w:szCs w:val="21"/>
              </w:rPr>
              <w:t>杨森</w:t>
            </w:r>
          </w:p>
        </w:tc>
        <w:tc>
          <w:tcPr>
            <w:tcW w:w="1453" w:type="pct"/>
          </w:tcPr>
          <w:p w14:paraId="57AD2E2E" w14:textId="77777777" w:rsidR="00F5289E" w:rsidRDefault="00C91173">
            <w:pPr>
              <w:spacing w:line="300" w:lineRule="auto"/>
              <w:ind w:left="1054" w:hangingChars="500" w:hanging="1054"/>
              <w:rPr>
                <w:rFonts w:ascii="宋体" w:hAnsi="宋体"/>
                <w:b/>
                <w:bCs/>
                <w:szCs w:val="21"/>
              </w:rPr>
            </w:pPr>
            <w:r>
              <w:rPr>
                <w:rFonts w:ascii="宋体" w:hAnsi="宋体" w:hint="eastAsia"/>
                <w:b/>
                <w:bCs/>
                <w:szCs w:val="21"/>
              </w:rPr>
              <w:t>课程团队：</w:t>
            </w:r>
            <w:r w:rsidRPr="001B3040">
              <w:rPr>
                <w:rFonts w:ascii="宋体" w:hAnsi="宋体" w:hint="eastAsia"/>
                <w:szCs w:val="21"/>
              </w:rPr>
              <w:t>王苗苗、张郎郎、张世文</w:t>
            </w:r>
          </w:p>
        </w:tc>
        <w:tc>
          <w:tcPr>
            <w:tcW w:w="1881" w:type="pct"/>
          </w:tcPr>
          <w:p w14:paraId="29D179F2" w14:textId="77777777" w:rsidR="00F5289E" w:rsidRDefault="00C91173">
            <w:pPr>
              <w:spacing w:line="300" w:lineRule="auto"/>
              <w:rPr>
                <w:rFonts w:ascii="宋体" w:hAnsi="宋体"/>
                <w:b/>
                <w:bCs/>
                <w:szCs w:val="21"/>
              </w:rPr>
            </w:pPr>
            <w:r>
              <w:rPr>
                <w:rFonts w:ascii="宋体" w:hAnsi="宋体" w:hint="eastAsia"/>
                <w:b/>
                <w:bCs/>
                <w:szCs w:val="21"/>
              </w:rPr>
              <w:t>授课语言：</w:t>
            </w:r>
            <w:r w:rsidRPr="001B3040">
              <w:rPr>
                <w:rFonts w:ascii="宋体" w:hAnsi="宋体" w:hint="eastAsia"/>
                <w:szCs w:val="21"/>
              </w:rPr>
              <w:t>中文</w:t>
            </w:r>
          </w:p>
        </w:tc>
      </w:tr>
      <w:tr w:rsidR="00F5289E" w14:paraId="640038F4" w14:textId="77777777">
        <w:tc>
          <w:tcPr>
            <w:tcW w:w="5000" w:type="pct"/>
            <w:gridSpan w:val="3"/>
          </w:tcPr>
          <w:p w14:paraId="0855F0B6"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sidRPr="001B3040">
              <w:rPr>
                <w:rFonts w:ascii="宋体" w:hAnsi="宋体" w:hint="eastAsia"/>
                <w:szCs w:val="21"/>
              </w:rPr>
              <w:t>设施农业科学与工程专业</w:t>
            </w:r>
          </w:p>
        </w:tc>
      </w:tr>
      <w:tr w:rsidR="00F5289E" w14:paraId="477538CE" w14:textId="77777777">
        <w:tc>
          <w:tcPr>
            <w:tcW w:w="5000" w:type="pct"/>
            <w:gridSpan w:val="3"/>
          </w:tcPr>
          <w:p w14:paraId="7795C360" w14:textId="77777777" w:rsidR="00F5289E" w:rsidRDefault="00C91173">
            <w:pPr>
              <w:spacing w:line="300" w:lineRule="auto"/>
              <w:rPr>
                <w:rFonts w:ascii="宋体" w:hAnsi="宋体"/>
                <w:b/>
                <w:bCs/>
                <w:szCs w:val="21"/>
              </w:rPr>
            </w:pPr>
            <w:r>
              <w:rPr>
                <w:rFonts w:ascii="宋体" w:hAnsi="宋体" w:hint="eastAsia"/>
                <w:b/>
                <w:bCs/>
                <w:szCs w:val="21"/>
              </w:rPr>
              <w:t>对先修的要求：</w:t>
            </w:r>
            <w:r w:rsidRPr="001B3040">
              <w:rPr>
                <w:rFonts w:ascii="宋体" w:hAnsi="宋体" w:hint="eastAsia"/>
                <w:szCs w:val="21"/>
              </w:rPr>
              <w:t>通过对园艺植物育种学课程的学习掌握优良品种的选育技术；通过对设施栽培学课程的学习掌握优良品种的栽培管理技术；通过实习参与了园艺植物一线栽培管理的生产实践；最终通过园艺产品营销学课程的学习掌握园艺产品的营销策略。</w:t>
            </w:r>
          </w:p>
        </w:tc>
      </w:tr>
      <w:tr w:rsidR="00F5289E" w14:paraId="6304A22D" w14:textId="77777777">
        <w:tc>
          <w:tcPr>
            <w:tcW w:w="5000" w:type="pct"/>
            <w:gridSpan w:val="3"/>
          </w:tcPr>
          <w:p w14:paraId="77110548"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1B3040">
              <w:rPr>
                <w:rFonts w:ascii="宋体" w:hAnsi="宋体" w:hint="eastAsia"/>
                <w:szCs w:val="21"/>
              </w:rPr>
              <w:t>园艺产品营销学属于第八学期课程，是设施专业学生最后的课程之一。拟通过本课程的学习为学生的毕业设计及未来就业提供扎实的专业基础。</w:t>
            </w:r>
          </w:p>
        </w:tc>
      </w:tr>
      <w:tr w:rsidR="00F5289E" w14:paraId="6CDE57CA" w14:textId="77777777">
        <w:tc>
          <w:tcPr>
            <w:tcW w:w="1666" w:type="pct"/>
          </w:tcPr>
          <w:p w14:paraId="43CE7E7A" w14:textId="77777777" w:rsidR="00F5289E" w:rsidRDefault="00C91173">
            <w:pPr>
              <w:spacing w:line="300" w:lineRule="auto"/>
              <w:ind w:left="843" w:hangingChars="400" w:hanging="843"/>
              <w:rPr>
                <w:rFonts w:ascii="宋体" w:hAnsi="宋体"/>
                <w:b/>
                <w:bCs/>
                <w:szCs w:val="21"/>
              </w:rPr>
            </w:pPr>
            <w:r>
              <w:rPr>
                <w:rFonts w:ascii="宋体" w:hAnsi="宋体" w:hint="eastAsia"/>
                <w:b/>
                <w:bCs/>
                <w:szCs w:val="21"/>
              </w:rPr>
              <w:t>主撰人：</w:t>
            </w:r>
            <w:r w:rsidRPr="001B3040">
              <w:rPr>
                <w:rFonts w:ascii="宋体" w:hAnsi="宋体" w:hint="eastAsia"/>
                <w:szCs w:val="21"/>
              </w:rPr>
              <w:t>张郎郎、王苗苗、张世文</w:t>
            </w:r>
          </w:p>
        </w:tc>
        <w:tc>
          <w:tcPr>
            <w:tcW w:w="1453" w:type="pct"/>
          </w:tcPr>
          <w:p w14:paraId="63D6D7E6" w14:textId="77777777" w:rsidR="00F5289E" w:rsidRDefault="00C91173">
            <w:pPr>
              <w:spacing w:line="300" w:lineRule="auto"/>
              <w:ind w:firstLineChars="200" w:firstLine="422"/>
              <w:rPr>
                <w:rFonts w:ascii="宋体" w:hAnsi="宋体"/>
                <w:b/>
                <w:bCs/>
                <w:szCs w:val="21"/>
              </w:rPr>
            </w:pPr>
            <w:r>
              <w:rPr>
                <w:rFonts w:ascii="宋体" w:hAnsi="宋体" w:hint="eastAsia"/>
                <w:b/>
                <w:bCs/>
                <w:szCs w:val="21"/>
              </w:rPr>
              <w:t>审核人：</w:t>
            </w:r>
            <w:r w:rsidRPr="001B3040">
              <w:rPr>
                <w:rFonts w:ascii="宋体" w:hAnsi="宋体" w:hint="eastAsia"/>
                <w:szCs w:val="21"/>
              </w:rPr>
              <w:t>杨</w:t>
            </w:r>
            <w:r>
              <w:rPr>
                <w:rFonts w:ascii="宋体" w:hAnsi="宋体" w:hint="eastAsia"/>
                <w:b/>
                <w:bCs/>
                <w:szCs w:val="21"/>
              </w:rPr>
              <w:t>森</w:t>
            </w:r>
          </w:p>
        </w:tc>
        <w:tc>
          <w:tcPr>
            <w:tcW w:w="1881" w:type="pct"/>
          </w:tcPr>
          <w:p w14:paraId="44257AA1"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w:t>
            </w:r>
            <w:r w:rsidRPr="001B3040">
              <w:rPr>
                <w:rFonts w:ascii="宋体" w:hAnsi="宋体"/>
                <w:szCs w:val="21"/>
              </w:rPr>
              <w:t>02</w:t>
            </w:r>
            <w:r w:rsidR="001B3040">
              <w:rPr>
                <w:rFonts w:ascii="宋体" w:hAnsi="宋体"/>
                <w:szCs w:val="21"/>
              </w:rPr>
              <w:t>3.05</w:t>
            </w:r>
          </w:p>
        </w:tc>
      </w:tr>
    </w:tbl>
    <w:p w14:paraId="28DAD067" w14:textId="77777777" w:rsidR="00F5289E" w:rsidRDefault="00F5289E">
      <w:pPr>
        <w:widowControl/>
        <w:snapToGrid w:val="0"/>
        <w:spacing w:line="360" w:lineRule="auto"/>
        <w:jc w:val="left"/>
        <w:rPr>
          <w:rFonts w:hAnsi="宋体"/>
          <w:b/>
          <w:bCs/>
          <w:kern w:val="0"/>
          <w:szCs w:val="21"/>
        </w:rPr>
      </w:pPr>
    </w:p>
    <w:p w14:paraId="6D79C82C"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74012822" w14:textId="77777777" w:rsidR="00F5289E" w:rsidRDefault="00C91173">
      <w:pPr>
        <w:widowControl/>
        <w:snapToGrid w:val="0"/>
        <w:spacing w:line="360" w:lineRule="auto"/>
        <w:ind w:firstLineChars="200" w:firstLine="420"/>
        <w:jc w:val="left"/>
        <w:rPr>
          <w:rFonts w:ascii="宋体" w:cs="宋体"/>
          <w:kern w:val="0"/>
          <w:szCs w:val="21"/>
        </w:rPr>
      </w:pPr>
      <w:r>
        <w:rPr>
          <w:rFonts w:hint="eastAsia"/>
        </w:rPr>
        <w:t>《园艺产品营销学》是一门建立在市场营销学和园艺学的综合性的应用科学，是在园艺产品特性的基础上，结合营销学和市场经济学，研究市场经济条件下以满足消费者对园艺产品需求为中心的营销活动过程。课程</w:t>
      </w:r>
      <w:r>
        <w:t>以</w:t>
      </w:r>
      <w:r>
        <w:rPr>
          <w:rFonts w:hint="eastAsia"/>
        </w:rPr>
        <w:t>市场营销的基本理论为指导，以园艺产品为营销对象，以“园艺产品特性”、“市场</w:t>
      </w:r>
      <w:r>
        <w:rPr>
          <w:rFonts w:hint="eastAsia"/>
        </w:rPr>
        <w:t>+</w:t>
      </w:r>
      <w:r>
        <w:rPr>
          <w:rFonts w:hint="eastAsia"/>
        </w:rPr>
        <w:t>”、“互联网</w:t>
      </w:r>
      <w:r>
        <w:rPr>
          <w:rFonts w:hint="eastAsia"/>
        </w:rPr>
        <w:t>+</w:t>
      </w:r>
      <w:r>
        <w:rPr>
          <w:rFonts w:hint="eastAsia"/>
        </w:rPr>
        <w:t>”等为主线，探索解决园艺产品的难储运、效益低、销售不稳定问题的方法与方案。</w:t>
      </w:r>
      <w:r>
        <w:rPr>
          <w:rFonts w:hAnsi="宋体" w:hint="eastAsia"/>
          <w:kern w:val="0"/>
          <w:szCs w:val="21"/>
        </w:rPr>
        <w:t>园艺产品营销学是研究园艺产品营销整体活动及其发展规律的学科，融市场营销学和农业经济学的原理、思想和方法为一体新型交叉性边缘学科。在农业进入新的发展阶段、园艺产品市场竞争日益激烈的背景下产生和发展的。</w:t>
      </w:r>
      <w:r>
        <w:rPr>
          <w:rFonts w:ascii="宋体" w:hAnsi="宋体" w:cs="宋体" w:hint="eastAsia"/>
          <w:kern w:val="0"/>
          <w:szCs w:val="21"/>
        </w:rPr>
        <w:t>本课程是设施专业选修课和创业教育</w:t>
      </w:r>
      <w:r>
        <w:rPr>
          <w:rFonts w:hAnsi="宋体" w:hint="eastAsia"/>
          <w:bCs/>
          <w:kern w:val="0"/>
          <w:szCs w:val="21"/>
        </w:rPr>
        <w:t>类</w:t>
      </w:r>
      <w:r>
        <w:rPr>
          <w:rFonts w:ascii="宋体" w:hAnsi="宋体" w:cs="宋体" w:hint="eastAsia"/>
          <w:kern w:val="0"/>
          <w:szCs w:val="21"/>
        </w:rPr>
        <w:t>课程。</w:t>
      </w:r>
      <w:r>
        <w:rPr>
          <w:rFonts w:hAnsi="宋体" w:hint="eastAsia"/>
          <w:kern w:val="0"/>
          <w:szCs w:val="21"/>
        </w:rPr>
        <w:t>通过本课程的学习，学生应该树立正确的市场营销观念，掌握市场分析的原理与方法。能够正确地运用市场营销策略来开展市场营销活动。讲授内容多以案例形式完成。</w:t>
      </w:r>
    </w:p>
    <w:p w14:paraId="6B6D8CC5" w14:textId="77777777" w:rsidR="00F5289E" w:rsidRDefault="00C91173">
      <w:pPr>
        <w:spacing w:line="360" w:lineRule="auto"/>
        <w:ind w:firstLine="418"/>
        <w:rPr>
          <w:kern w:val="0"/>
          <w:szCs w:val="21"/>
        </w:rPr>
      </w:pPr>
      <w:r>
        <w:rPr>
          <w:rFonts w:hAnsi="宋体"/>
          <w:b/>
          <w:bCs/>
          <w:kern w:val="0"/>
          <w:szCs w:val="21"/>
        </w:rPr>
        <w:t>二、课程教学的基本要求</w:t>
      </w:r>
    </w:p>
    <w:p w14:paraId="64BE5B79"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rFonts w:hint="eastAsia"/>
          <w:kern w:val="0"/>
          <w:szCs w:val="21"/>
        </w:rPr>
        <w:t>运用市场经济条件下的市场营销规律来开展园艺产品的营销活动。在课程讲授时始终以市场营销的基本手段贯穿整个课程，要求学生了解、掌握市场营销的规律、特点、基本的营销手段、技巧和园艺产品供求的特点和规律，掌握园艺产品在市场上的定价规律、园艺产品流通渠道的特点及园艺产品的市场信息的收集和使用。</w:t>
      </w:r>
      <w:r>
        <w:rPr>
          <w:rFonts w:hAnsi="宋体" w:hint="eastAsia"/>
          <w:bCs/>
          <w:color w:val="0000FF"/>
          <w:kern w:val="0"/>
          <w:szCs w:val="21"/>
        </w:rPr>
        <w:t xml:space="preserve"> </w:t>
      </w:r>
    </w:p>
    <w:p w14:paraId="75C81F2C"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t>2.</w:t>
      </w:r>
      <w:r>
        <w:rPr>
          <w:rFonts w:hAnsi="宋体"/>
          <w:kern w:val="0"/>
          <w:szCs w:val="21"/>
        </w:rPr>
        <w:t>实验技能方面：</w:t>
      </w:r>
      <w:r>
        <w:rPr>
          <w:rFonts w:hAnsi="宋体" w:hint="eastAsia"/>
          <w:bCs/>
          <w:kern w:val="0"/>
          <w:szCs w:val="21"/>
        </w:rPr>
        <w:t>无实验课程。</w:t>
      </w:r>
    </w:p>
    <w:p w14:paraId="1960E29B"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34E22575"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62C3C87A" w14:textId="77777777" w:rsidR="00F5289E" w:rsidRDefault="00C91173">
      <w:pPr>
        <w:widowControl/>
        <w:snapToGrid w:val="0"/>
        <w:spacing w:line="360" w:lineRule="auto"/>
        <w:ind w:firstLine="420"/>
        <w:jc w:val="left"/>
      </w:pPr>
      <w:r>
        <w:rPr>
          <w:rFonts w:hint="eastAsia"/>
        </w:rPr>
        <w:t>课程以“培养高素质本科销售创业的综合型人才”为目标，以“打造一支较高素质的园艺营销队伍和一支综合能力较强的园艺产业化人才队伍”为出发点；对园艺产品营销的特点、营销精髓、市场营销环境、消费心理、市场细分、市场定位的开发与营销、市场营销策略的制定、分析、实施及解决方案等作了系统的介绍，突出对学生就业职业能力、创业创富能力的训练，结合园艺专业人才培养目标对素质结构、能力结构和知识结构的综合素质要求，把市场营销的共性与园艺产品的特性相结合、把产品标准与进出口贸易相结合、把案例分析与解决问题相结合、把能力训练和课堂讨论相结合，侧重于实践性、实用性和可操作性，为从事园艺产品营销和园艺产业化经营管理打下良好基础，提升学生的就业、创业、创富的能力。</w:t>
      </w:r>
    </w:p>
    <w:p w14:paraId="0BEEDB65" w14:textId="77777777" w:rsidR="00F5289E" w:rsidRDefault="00C91173">
      <w:pPr>
        <w:widowControl/>
        <w:snapToGrid w:val="0"/>
        <w:spacing w:line="360" w:lineRule="auto"/>
        <w:ind w:firstLine="420"/>
        <w:jc w:val="left"/>
        <w:rPr>
          <w:rFonts w:ascii="宋体" w:hAnsi="宋体" w:cs="宋体"/>
          <w:bCs/>
          <w:color w:val="FF0000"/>
          <w:kern w:val="0"/>
          <w:szCs w:val="21"/>
        </w:rPr>
      </w:pPr>
      <w:r>
        <w:rPr>
          <w:rFonts w:hint="eastAsia"/>
        </w:rPr>
        <w:t>教学策略方面，为解决课程内容多与学时少的矛盾，课程组采用线上线下混合式教学的模式。</w:t>
      </w:r>
      <w:r>
        <w:rPr>
          <w:rFonts w:hint="eastAsia"/>
        </w:rPr>
        <w:t xml:space="preserve"> </w:t>
      </w:r>
      <w:r>
        <w:rPr>
          <w:rFonts w:hint="eastAsia"/>
        </w:rPr>
        <w:t>通过各类网课</w:t>
      </w:r>
      <w:r>
        <w:rPr>
          <w:rFonts w:hint="eastAsia"/>
        </w:rPr>
        <w:t>A</w:t>
      </w:r>
      <w:r>
        <w:t>PP</w:t>
      </w:r>
      <w:r>
        <w:rPr>
          <w:rFonts w:hint="eastAsia"/>
        </w:rPr>
        <w:t>或微信群建立网课班级群，线上提前公布课程内容，有利于学生预习课程内容及寻找课程难点。线下教学以教师课堂讲授、小组讨论为主，主要解决同学难于理解的知识点</w:t>
      </w:r>
      <w:r>
        <w:rPr>
          <w:rFonts w:ascii="宋体" w:hAnsi="宋体" w:cs="宋体" w:hint="eastAsia"/>
          <w:bCs/>
          <w:kern w:val="0"/>
          <w:szCs w:val="21"/>
        </w:rPr>
        <w:t>。</w:t>
      </w:r>
      <w:r>
        <w:rPr>
          <w:rFonts w:hint="eastAsia"/>
        </w:rPr>
        <w:t>建立全面合理的课程考核评价体系，强化过程性评价，设置多元化的评价指标，合理分配课程成绩的构成比例。</w:t>
      </w:r>
    </w:p>
    <w:p w14:paraId="65637AD2"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846"/>
        <w:gridCol w:w="4678"/>
        <w:gridCol w:w="3373"/>
      </w:tblGrid>
      <w:tr w:rsidR="00F5289E" w14:paraId="22A15572" w14:textId="77777777">
        <w:trPr>
          <w:trHeight w:val="403"/>
          <w:jc w:val="center"/>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6BAEE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467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222450A"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3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7BF580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70BC1809" w14:textId="77777777">
        <w:trPr>
          <w:trHeight w:val="963"/>
          <w:jc w:val="center"/>
        </w:trPr>
        <w:tc>
          <w:tcPr>
            <w:tcW w:w="846" w:type="dxa"/>
            <w:tcBorders>
              <w:top w:val="single" w:sz="4" w:space="0" w:color="auto"/>
              <w:left w:val="single" w:sz="4" w:space="0" w:color="auto"/>
              <w:bottom w:val="single" w:sz="4" w:space="0" w:color="auto"/>
              <w:right w:val="single" w:sz="4" w:space="0" w:color="auto"/>
            </w:tcBorders>
            <w:vAlign w:val="center"/>
          </w:tcPr>
          <w:p w14:paraId="2257B9C7"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4678" w:type="dxa"/>
            <w:tcBorders>
              <w:top w:val="single" w:sz="4" w:space="0" w:color="auto"/>
              <w:left w:val="single" w:sz="4" w:space="0" w:color="auto"/>
              <w:bottom w:val="single" w:sz="4" w:space="0" w:color="auto"/>
              <w:right w:val="single" w:sz="4" w:space="0" w:color="auto"/>
            </w:tcBorders>
            <w:vAlign w:val="center"/>
          </w:tcPr>
          <w:p w14:paraId="1A7EC616"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18"/>
              </w:rPr>
              <w:t>目标</w:t>
            </w:r>
            <w:r>
              <w:rPr>
                <w:rFonts w:eastAsiaTheme="minorEastAsia" w:hAnsiTheme="minorEastAsia" w:hint="eastAsia"/>
                <w:sz w:val="18"/>
                <w:szCs w:val="18"/>
              </w:rPr>
              <w:t>1</w:t>
            </w:r>
            <w:r>
              <w:rPr>
                <w:rFonts w:eastAsiaTheme="minorEastAsia" w:hAnsiTheme="minorEastAsia" w:hint="eastAsia"/>
                <w:sz w:val="18"/>
                <w:szCs w:val="18"/>
              </w:rPr>
              <w:t>：使学生具备市场营销环境、消费者心理与购买行为、市场定位和市场细分等市场分析的能力；</w:t>
            </w:r>
          </w:p>
        </w:tc>
        <w:tc>
          <w:tcPr>
            <w:tcW w:w="3373" w:type="dxa"/>
            <w:tcBorders>
              <w:top w:val="single" w:sz="4" w:space="0" w:color="auto"/>
              <w:left w:val="single" w:sz="4" w:space="0" w:color="auto"/>
              <w:bottom w:val="single" w:sz="4" w:space="0" w:color="auto"/>
              <w:right w:val="single" w:sz="4" w:space="0" w:color="auto"/>
            </w:tcBorders>
            <w:vAlign w:val="center"/>
          </w:tcPr>
          <w:p w14:paraId="0C81F5B7" w14:textId="54A455BC" w:rsidR="00F5289E" w:rsidRDefault="00C91173" w:rsidP="0070340D">
            <w:pPr>
              <w:spacing w:line="320" w:lineRule="exact"/>
              <w:jc w:val="center"/>
              <w:rPr>
                <w:rFonts w:eastAsiaTheme="minorEastAsia"/>
                <w:sz w:val="18"/>
                <w:szCs w:val="18"/>
              </w:rPr>
            </w:pPr>
            <w:r>
              <w:rPr>
                <w:rFonts w:eastAsiaTheme="minorEastAsia" w:hint="eastAsia"/>
                <w:sz w:val="18"/>
                <w:szCs w:val="18"/>
              </w:rPr>
              <w:t>5</w:t>
            </w:r>
          </w:p>
        </w:tc>
      </w:tr>
      <w:tr w:rsidR="00F5289E" w14:paraId="494A040C" w14:textId="77777777">
        <w:trPr>
          <w:trHeight w:val="963"/>
          <w:jc w:val="center"/>
        </w:trPr>
        <w:tc>
          <w:tcPr>
            <w:tcW w:w="846" w:type="dxa"/>
            <w:tcBorders>
              <w:top w:val="single" w:sz="4" w:space="0" w:color="auto"/>
              <w:left w:val="single" w:sz="4" w:space="0" w:color="auto"/>
              <w:bottom w:val="single" w:sz="4" w:space="0" w:color="auto"/>
              <w:right w:val="single" w:sz="4" w:space="0" w:color="auto"/>
            </w:tcBorders>
            <w:vAlign w:val="center"/>
          </w:tcPr>
          <w:p w14:paraId="7AF31810"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4678" w:type="dxa"/>
            <w:tcBorders>
              <w:top w:val="single" w:sz="4" w:space="0" w:color="auto"/>
              <w:left w:val="single" w:sz="4" w:space="0" w:color="auto"/>
              <w:bottom w:val="single" w:sz="4" w:space="0" w:color="auto"/>
              <w:right w:val="single" w:sz="4" w:space="0" w:color="auto"/>
            </w:tcBorders>
            <w:vAlign w:val="center"/>
          </w:tcPr>
          <w:p w14:paraId="5AEF1552" w14:textId="77777777" w:rsidR="00F5289E" w:rsidRDefault="00C91173">
            <w:pPr>
              <w:spacing w:line="320" w:lineRule="exact"/>
              <w:jc w:val="left"/>
              <w:rPr>
                <w:rFonts w:eastAsiaTheme="minorEastAsia" w:hAnsiTheme="minorEastAsia"/>
                <w:color w:val="0000FF"/>
                <w:sz w:val="18"/>
                <w:szCs w:val="18"/>
                <w:highlight w:val="yellow"/>
              </w:rPr>
            </w:pPr>
            <w:r>
              <w:rPr>
                <w:rFonts w:eastAsiaTheme="minorEastAsia" w:hAnsiTheme="minorEastAsia" w:hint="eastAsia"/>
                <w:sz w:val="18"/>
                <w:szCs w:val="18"/>
              </w:rPr>
              <w:t>目标</w:t>
            </w:r>
            <w:r>
              <w:rPr>
                <w:rFonts w:eastAsiaTheme="minorEastAsia" w:hAnsiTheme="minorEastAsia" w:hint="eastAsia"/>
                <w:sz w:val="18"/>
                <w:szCs w:val="18"/>
              </w:rPr>
              <w:t>2</w:t>
            </w:r>
            <w:r>
              <w:rPr>
                <w:rFonts w:eastAsiaTheme="minorEastAsia" w:hAnsiTheme="minorEastAsia" w:hint="eastAsia"/>
                <w:sz w:val="18"/>
                <w:szCs w:val="18"/>
              </w:rPr>
              <w:t>：</w:t>
            </w:r>
            <w:r>
              <w:rPr>
                <w:rFonts w:eastAsiaTheme="minorEastAsia" w:hint="eastAsia"/>
                <w:sz w:val="18"/>
                <w:szCs w:val="18"/>
              </w:rPr>
              <w:t>使学生具备利用市场营销策略进行园艺产品的营销策划和管理的能力；</w:t>
            </w:r>
          </w:p>
        </w:tc>
        <w:tc>
          <w:tcPr>
            <w:tcW w:w="3373" w:type="dxa"/>
            <w:tcBorders>
              <w:top w:val="single" w:sz="4" w:space="0" w:color="auto"/>
              <w:left w:val="single" w:sz="4" w:space="0" w:color="auto"/>
              <w:bottom w:val="single" w:sz="4" w:space="0" w:color="auto"/>
              <w:right w:val="single" w:sz="4" w:space="0" w:color="auto"/>
            </w:tcBorders>
            <w:vAlign w:val="center"/>
          </w:tcPr>
          <w:p w14:paraId="2111E034" w14:textId="21AF1423" w:rsidR="00F5289E" w:rsidRDefault="00C91173" w:rsidP="0070340D">
            <w:pPr>
              <w:spacing w:line="320" w:lineRule="exact"/>
              <w:jc w:val="center"/>
              <w:rPr>
                <w:rFonts w:eastAsiaTheme="minorEastAsia"/>
                <w:sz w:val="18"/>
                <w:szCs w:val="18"/>
              </w:rPr>
            </w:pPr>
            <w:r>
              <w:rPr>
                <w:rFonts w:eastAsiaTheme="minorEastAsia" w:hint="eastAsia"/>
                <w:sz w:val="18"/>
                <w:szCs w:val="18"/>
              </w:rPr>
              <w:t>5</w:t>
            </w:r>
          </w:p>
          <w:p w14:paraId="45D2F691" w14:textId="3F79F107" w:rsidR="00F5289E" w:rsidRDefault="00C91173" w:rsidP="0070340D">
            <w:pPr>
              <w:spacing w:line="320" w:lineRule="exact"/>
              <w:jc w:val="center"/>
              <w:rPr>
                <w:rFonts w:eastAsiaTheme="minorEastAsia"/>
                <w:sz w:val="18"/>
                <w:szCs w:val="18"/>
              </w:rPr>
            </w:pPr>
            <w:r>
              <w:rPr>
                <w:rFonts w:eastAsiaTheme="minorEastAsia" w:hint="eastAsia"/>
                <w:sz w:val="18"/>
                <w:szCs w:val="18"/>
              </w:rPr>
              <w:t>7</w:t>
            </w:r>
          </w:p>
        </w:tc>
      </w:tr>
      <w:tr w:rsidR="00F5289E" w14:paraId="18A29B48" w14:textId="77777777">
        <w:trPr>
          <w:trHeight w:val="963"/>
          <w:jc w:val="center"/>
        </w:trPr>
        <w:tc>
          <w:tcPr>
            <w:tcW w:w="846" w:type="dxa"/>
            <w:tcBorders>
              <w:top w:val="single" w:sz="4" w:space="0" w:color="auto"/>
              <w:left w:val="single" w:sz="4" w:space="0" w:color="auto"/>
              <w:bottom w:val="single" w:sz="4" w:space="0" w:color="auto"/>
              <w:right w:val="single" w:sz="4" w:space="0" w:color="auto"/>
            </w:tcBorders>
            <w:vAlign w:val="center"/>
          </w:tcPr>
          <w:p w14:paraId="378A255D"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4678" w:type="dxa"/>
            <w:tcBorders>
              <w:top w:val="single" w:sz="4" w:space="0" w:color="auto"/>
              <w:left w:val="single" w:sz="4" w:space="0" w:color="auto"/>
              <w:bottom w:val="single" w:sz="4" w:space="0" w:color="auto"/>
              <w:right w:val="single" w:sz="4" w:space="0" w:color="auto"/>
            </w:tcBorders>
            <w:vAlign w:val="center"/>
          </w:tcPr>
          <w:p w14:paraId="49C834EE" w14:textId="77777777" w:rsidR="00F5289E" w:rsidRDefault="00C91173">
            <w:pPr>
              <w:spacing w:line="320" w:lineRule="exact"/>
              <w:jc w:val="left"/>
              <w:rPr>
                <w:rFonts w:eastAsiaTheme="minorEastAsia"/>
                <w:color w:val="0000FF"/>
                <w:sz w:val="18"/>
                <w:szCs w:val="18"/>
              </w:rPr>
            </w:pPr>
            <w:r>
              <w:rPr>
                <w:rFonts w:eastAsiaTheme="minorEastAsia" w:hint="eastAsia"/>
                <w:sz w:val="18"/>
                <w:szCs w:val="18"/>
              </w:rPr>
              <w:t>目标</w:t>
            </w:r>
            <w:r>
              <w:rPr>
                <w:rFonts w:eastAsiaTheme="minorEastAsia" w:hint="eastAsia"/>
                <w:sz w:val="18"/>
                <w:szCs w:val="18"/>
              </w:rPr>
              <w:t>3</w:t>
            </w:r>
            <w:r>
              <w:rPr>
                <w:rFonts w:eastAsiaTheme="minorEastAsia" w:hint="eastAsia"/>
                <w:sz w:val="18"/>
                <w:szCs w:val="18"/>
              </w:rPr>
              <w:t>：使学生具备运用市场营销策略来开展市场营销活动的能力。</w:t>
            </w:r>
          </w:p>
        </w:tc>
        <w:tc>
          <w:tcPr>
            <w:tcW w:w="3373" w:type="dxa"/>
            <w:tcBorders>
              <w:top w:val="single" w:sz="4" w:space="0" w:color="auto"/>
              <w:left w:val="single" w:sz="4" w:space="0" w:color="auto"/>
              <w:bottom w:val="single" w:sz="4" w:space="0" w:color="auto"/>
              <w:right w:val="single" w:sz="4" w:space="0" w:color="auto"/>
            </w:tcBorders>
            <w:vAlign w:val="center"/>
          </w:tcPr>
          <w:p w14:paraId="20A367A1" w14:textId="2A9B77EC" w:rsidR="00F5289E" w:rsidRDefault="00C91173" w:rsidP="0070340D">
            <w:pPr>
              <w:spacing w:line="320" w:lineRule="exact"/>
              <w:jc w:val="center"/>
              <w:rPr>
                <w:rFonts w:eastAsiaTheme="minorEastAsia"/>
                <w:sz w:val="18"/>
                <w:szCs w:val="18"/>
              </w:rPr>
            </w:pPr>
            <w:r>
              <w:rPr>
                <w:rFonts w:eastAsiaTheme="minorEastAsia" w:hint="eastAsia"/>
                <w:sz w:val="18"/>
                <w:szCs w:val="18"/>
              </w:rPr>
              <w:t>6</w:t>
            </w:r>
          </w:p>
          <w:p w14:paraId="37CB44CF" w14:textId="2954720D" w:rsidR="00F5289E" w:rsidRDefault="00C91173" w:rsidP="0070340D">
            <w:pPr>
              <w:spacing w:line="320" w:lineRule="exact"/>
              <w:jc w:val="center"/>
              <w:rPr>
                <w:rFonts w:eastAsiaTheme="minorEastAsia"/>
                <w:sz w:val="18"/>
                <w:szCs w:val="18"/>
              </w:rPr>
            </w:pPr>
            <w:r>
              <w:rPr>
                <w:rFonts w:eastAsiaTheme="minorEastAsia" w:hint="eastAsia"/>
                <w:sz w:val="18"/>
                <w:szCs w:val="18"/>
              </w:rPr>
              <w:t>7</w:t>
            </w:r>
          </w:p>
          <w:p w14:paraId="0C1B9152" w14:textId="7879240E" w:rsidR="00F5289E" w:rsidRDefault="00C91173" w:rsidP="0070340D">
            <w:pPr>
              <w:spacing w:line="320" w:lineRule="exact"/>
              <w:jc w:val="center"/>
              <w:rPr>
                <w:rFonts w:eastAsiaTheme="minorEastAsia"/>
                <w:sz w:val="18"/>
                <w:szCs w:val="18"/>
              </w:rPr>
            </w:pPr>
            <w:r>
              <w:rPr>
                <w:rFonts w:eastAsiaTheme="minorEastAsia" w:hint="eastAsia"/>
                <w:sz w:val="18"/>
                <w:szCs w:val="18"/>
              </w:rPr>
              <w:t>8</w:t>
            </w:r>
          </w:p>
        </w:tc>
      </w:tr>
    </w:tbl>
    <w:p w14:paraId="312BDE3E" w14:textId="77777777" w:rsidR="00F5289E" w:rsidRDefault="00F5289E">
      <w:pPr>
        <w:spacing w:line="360" w:lineRule="auto"/>
        <w:rPr>
          <w:rFonts w:hAnsi="宋体"/>
          <w:bCs/>
          <w:color w:val="0000FF"/>
          <w:kern w:val="0"/>
          <w:szCs w:val="21"/>
        </w:rPr>
      </w:pPr>
    </w:p>
    <w:p w14:paraId="7AF9B621"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B2AC9FF" w14:textId="77777777">
        <w:trPr>
          <w:trHeight w:val="270"/>
        </w:trPr>
        <w:tc>
          <w:tcPr>
            <w:tcW w:w="2965" w:type="dxa"/>
            <w:tcBorders>
              <w:top w:val="nil"/>
              <w:left w:val="nil"/>
              <w:bottom w:val="nil"/>
              <w:right w:val="nil"/>
            </w:tcBorders>
            <w:vAlign w:val="center"/>
          </w:tcPr>
          <w:p w14:paraId="58CD0660"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C7A6A6A"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0F5140AC"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1</w:t>
            </w:r>
          </w:p>
        </w:tc>
      </w:tr>
    </w:tbl>
    <w:p w14:paraId="7394085C" w14:textId="77777777" w:rsidR="00F5289E" w:rsidRDefault="00C91173">
      <w:pPr>
        <w:widowControl/>
        <w:snapToGrid w:val="0"/>
        <w:spacing w:line="360" w:lineRule="auto"/>
        <w:ind w:firstLineChars="200" w:firstLine="420"/>
        <w:jc w:val="left"/>
        <w:rPr>
          <w:rFonts w:ascii="宋体" w:hAnsi="宋体"/>
          <w:szCs w:val="21"/>
        </w:rPr>
      </w:pPr>
      <w:r>
        <w:rPr>
          <w:rFonts w:ascii="宋体" w:hAnsi="宋体" w:hint="eastAsia"/>
          <w:szCs w:val="21"/>
        </w:rPr>
        <w:t>总体上讲述园艺产品营销学课程的</w:t>
      </w:r>
      <w:r>
        <w:rPr>
          <w:rFonts w:hint="eastAsia"/>
          <w:szCs w:val="21"/>
        </w:rPr>
        <w:t>学习目的、</w:t>
      </w:r>
      <w:r>
        <w:rPr>
          <w:rFonts w:ascii="宋体" w:hAnsi="宋体" w:hint="eastAsia"/>
          <w:szCs w:val="21"/>
        </w:rPr>
        <w:t>课程的性质任务、学习方法和课程内容四部分内容。突出大学生就业的形势和掌握基本营销手段的必要性和园艺产品的商品特点；并用多个案例简述营销的技巧，以引起学生们的学习热情。</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3711DC4" w14:textId="77777777">
        <w:trPr>
          <w:trHeight w:val="270"/>
        </w:trPr>
        <w:tc>
          <w:tcPr>
            <w:tcW w:w="2965" w:type="dxa"/>
            <w:tcBorders>
              <w:top w:val="nil"/>
              <w:left w:val="nil"/>
              <w:bottom w:val="nil"/>
              <w:right w:val="nil"/>
            </w:tcBorders>
            <w:vAlign w:val="center"/>
          </w:tcPr>
          <w:p w14:paraId="1111B1A1"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ED818DF"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hint="eastAsia"/>
                <w:b/>
                <w:bCs/>
                <w:szCs w:val="21"/>
              </w:rPr>
              <w:t>园艺产品概述</w:t>
            </w:r>
          </w:p>
        </w:tc>
        <w:tc>
          <w:tcPr>
            <w:tcW w:w="2966" w:type="dxa"/>
            <w:tcBorders>
              <w:top w:val="nil"/>
              <w:left w:val="nil"/>
              <w:bottom w:val="nil"/>
              <w:right w:val="nil"/>
            </w:tcBorders>
            <w:vAlign w:val="center"/>
          </w:tcPr>
          <w:p w14:paraId="733F035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1</w:t>
            </w:r>
          </w:p>
        </w:tc>
      </w:tr>
    </w:tbl>
    <w:p w14:paraId="358FC258"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园艺产品属性（</w:t>
      </w:r>
      <w:r>
        <w:rPr>
          <w:rFonts w:ascii="宋体" w:hAnsi="宋体"/>
          <w:b/>
          <w:bCs/>
        </w:rPr>
        <w:t>0.5学时</w:t>
      </w:r>
      <w:r>
        <w:rPr>
          <w:rFonts w:ascii="宋体" w:hAnsi="宋体" w:hint="eastAsia"/>
          <w:b/>
          <w:bCs/>
        </w:rPr>
        <w:t>）</w:t>
      </w:r>
      <w:r>
        <w:rPr>
          <w:rFonts w:ascii="宋体" w:hAnsi="宋体"/>
          <w:b/>
          <w:bCs/>
        </w:rPr>
        <w:t>    </w:t>
      </w:r>
    </w:p>
    <w:p w14:paraId="671F7126"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使学生了解园艺产品的自然属性和社会属性。</w:t>
      </w:r>
    </w:p>
    <w:p w14:paraId="3C44AE13"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园艺产品的社会属性是本章的学习重点和难点。</w:t>
      </w:r>
    </w:p>
    <w:p w14:paraId="31D6DEA1" w14:textId="77777777" w:rsidR="00F5289E" w:rsidRDefault="00C91173">
      <w:pPr>
        <w:pStyle w:val="a7"/>
        <w:snapToGrid w:val="0"/>
        <w:spacing w:line="360" w:lineRule="auto"/>
        <w:ind w:rightChars="52" w:right="109" w:firstLineChars="0" w:firstLine="0"/>
        <w:rPr>
          <w:rFonts w:ascii="宋体" w:hAnsi="宋体"/>
        </w:rPr>
      </w:pPr>
      <w:r>
        <w:rPr>
          <w:rFonts w:ascii="宋体" w:hAnsi="宋体" w:hint="eastAsia"/>
          <w:b/>
        </w:rPr>
        <w:lastRenderedPageBreak/>
        <w:t>主要教学内容及要求：</w:t>
      </w:r>
      <w:r>
        <w:rPr>
          <w:rFonts w:ascii="宋体" w:hAnsi="宋体" w:hint="eastAsia"/>
        </w:rPr>
        <w:t>了解园艺产品的分类；掌握园艺产品的属性。</w:t>
      </w:r>
    </w:p>
    <w:p w14:paraId="1B278428" w14:textId="77777777" w:rsidR="00F5289E" w:rsidRDefault="00C91173">
      <w:pPr>
        <w:widowControl/>
        <w:snapToGrid w:val="0"/>
        <w:spacing w:line="360" w:lineRule="auto"/>
        <w:rPr>
          <w:rFonts w:hAnsi="宋体"/>
          <w:b/>
          <w:kern w:val="0"/>
          <w:szCs w:val="21"/>
        </w:rPr>
      </w:pPr>
      <w:r>
        <w:rPr>
          <w:rFonts w:ascii="宋体" w:hAnsi="宋体" w:hint="eastAsia"/>
          <w:b/>
          <w:bCs/>
        </w:rPr>
        <w:t>教学组织与实施：</w:t>
      </w:r>
      <w:r>
        <w:rPr>
          <w:rFonts w:ascii="宋体" w:hAnsi="宋体" w:hint="eastAsia"/>
          <w:bCs/>
        </w:rPr>
        <w:t>主要以理论讲授为主，结合大量的案例分析，部分重点内容结合相关小视频加深学生对理论的理解。</w:t>
      </w:r>
      <w:r>
        <w:rPr>
          <w:rFonts w:ascii="宋体" w:hAnsi="宋体" w:hint="eastAsia"/>
          <w:szCs w:val="20"/>
        </w:rPr>
        <w:t>同时通过课堂讨论，即时解决学生听课过程中的难点。</w:t>
      </w:r>
      <w:r>
        <w:rPr>
          <w:rFonts w:ascii="宋体" w:hAnsi="宋体"/>
          <w:b/>
          <w:bCs/>
        </w:rPr>
        <w:t xml:space="preserve">  </w:t>
      </w:r>
    </w:p>
    <w:p w14:paraId="5605B8D0"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w:t>
      </w:r>
      <w:bookmarkStart w:id="105" w:name="_Hlk137672470"/>
      <w:r>
        <w:rPr>
          <w:rFonts w:ascii="宋体" w:hAnsi="宋体" w:hint="eastAsia"/>
          <w:b/>
          <w:bCs/>
        </w:rPr>
        <w:t>园艺产品的分类及营销特点</w:t>
      </w:r>
      <w:bookmarkEnd w:id="105"/>
      <w:r>
        <w:rPr>
          <w:rFonts w:ascii="宋体" w:hAnsi="宋体" w:hint="eastAsia"/>
          <w:b/>
          <w:bCs/>
        </w:rPr>
        <w:t>（</w:t>
      </w:r>
      <w:r>
        <w:rPr>
          <w:rFonts w:ascii="宋体" w:hAnsi="宋体"/>
          <w:b/>
          <w:bCs/>
        </w:rPr>
        <w:t>0.5学时</w:t>
      </w:r>
      <w:r>
        <w:rPr>
          <w:rFonts w:ascii="宋体" w:hAnsi="宋体" w:hint="eastAsia"/>
          <w:b/>
          <w:bCs/>
        </w:rPr>
        <w:t>）</w:t>
      </w:r>
    </w:p>
    <w:p w14:paraId="348FEBF0"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使学生掌握园艺产品的生产特点及营销特点。</w:t>
      </w:r>
    </w:p>
    <w:p w14:paraId="105B3101"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园艺产品的生产特点及营销特点。</w:t>
      </w:r>
    </w:p>
    <w:p w14:paraId="1573AC89" w14:textId="77777777" w:rsidR="00F5289E" w:rsidRDefault="00C91173">
      <w:pPr>
        <w:pStyle w:val="a7"/>
        <w:snapToGrid w:val="0"/>
        <w:spacing w:line="360" w:lineRule="auto"/>
        <w:ind w:firstLineChars="0" w:firstLine="0"/>
        <w:jc w:val="left"/>
        <w:rPr>
          <w:rFonts w:ascii="宋体" w:hAnsi="宋体"/>
          <w:b/>
        </w:rPr>
      </w:pPr>
      <w:r>
        <w:rPr>
          <w:rFonts w:ascii="宋体" w:hAnsi="宋体" w:hint="eastAsia"/>
          <w:b/>
        </w:rPr>
        <w:t>主要教学内容及要求：</w:t>
      </w:r>
      <w:r>
        <w:rPr>
          <w:rFonts w:ascii="宋体" w:hAnsi="宋体" w:hint="eastAsia"/>
        </w:rPr>
        <w:t>了解园艺产品的分类；掌握园艺产品的</w:t>
      </w:r>
      <w:r>
        <w:rPr>
          <w:rFonts w:ascii="宋体" w:hAnsi="宋体" w:hint="eastAsia"/>
          <w:bCs/>
        </w:rPr>
        <w:t>生产特点及营销特点</w:t>
      </w:r>
      <w:r>
        <w:rPr>
          <w:rFonts w:ascii="宋体" w:hAnsi="宋体" w:hint="eastAsia"/>
        </w:rPr>
        <w:t>。</w:t>
      </w:r>
      <w:r>
        <w:rPr>
          <w:rFonts w:ascii="宋体" w:hAnsi="宋体"/>
        </w:rPr>
        <w:t xml:space="preserve"> </w:t>
      </w:r>
    </w:p>
    <w:p w14:paraId="11AECDF4" w14:textId="77777777" w:rsidR="00F5289E" w:rsidRDefault="00C91173">
      <w:pPr>
        <w:widowControl/>
        <w:adjustRightInd w:val="0"/>
        <w:snapToGrid w:val="0"/>
        <w:spacing w:line="360" w:lineRule="auto"/>
        <w:rPr>
          <w:rFonts w:ascii="宋体" w:hAnsi="宋体"/>
        </w:rPr>
      </w:pPr>
      <w:r>
        <w:rPr>
          <w:rFonts w:ascii="宋体" w:hAnsi="宋体" w:hint="eastAsia"/>
          <w:b/>
          <w:bCs/>
        </w:rPr>
        <w:t>教学组织与实施：</w:t>
      </w:r>
      <w:r>
        <w:rPr>
          <w:rFonts w:ascii="宋体" w:hAnsi="宋体"/>
        </w:rPr>
        <w:t>本章节</w:t>
      </w:r>
      <w:r>
        <w:rPr>
          <w:rFonts w:ascii="宋体" w:hAnsi="宋体" w:hint="eastAsia"/>
        </w:rPr>
        <w:t>主要涉及园艺产品的分类及营销特点。利用超星学习通班级群提前上传课件，要求学生提前预习章节内容，做好课前准备工作。以班级授课的形式讲授园艺产品的特性及营销特点，结合P</w:t>
      </w:r>
      <w:r>
        <w:rPr>
          <w:rFonts w:ascii="宋体" w:hAnsi="宋体"/>
        </w:rPr>
        <w:t>PT</w:t>
      </w:r>
      <w:r>
        <w:rPr>
          <w:rFonts w:ascii="宋体" w:hAnsi="宋体" w:hint="eastAsia"/>
        </w:rPr>
        <w:t>及范例视频，理论基础联系实际应用，深入浅出的讲授疑点难点。</w:t>
      </w:r>
      <w:r>
        <w:rPr>
          <w:rFonts w:ascii="宋体" w:hAnsi="宋体"/>
        </w:rPr>
        <w:t>在教学过程中</w:t>
      </w:r>
      <w:r>
        <w:rPr>
          <w:rFonts w:ascii="宋体" w:hAnsi="宋体" w:hint="eastAsia"/>
        </w:rPr>
        <w:t>设置提问及</w:t>
      </w:r>
      <w:r>
        <w:rPr>
          <w:rFonts w:ascii="宋体" w:hAnsi="宋体"/>
        </w:rPr>
        <w:t>互动</w:t>
      </w:r>
      <w:r>
        <w:rPr>
          <w:rFonts w:ascii="宋体" w:hAnsi="宋体" w:hint="eastAsia"/>
        </w:rPr>
        <w:t>环节</w:t>
      </w:r>
      <w:r>
        <w:rPr>
          <w:rFonts w:ascii="宋体" w:hAnsi="宋体"/>
        </w:rPr>
        <w:t>，活跃课堂气氛，</w:t>
      </w:r>
      <w:r>
        <w:rPr>
          <w:rFonts w:ascii="宋体" w:hAnsi="宋体" w:hint="eastAsia"/>
        </w:rPr>
        <w:t>调动学生积极性及专注性，</w:t>
      </w:r>
      <w:r>
        <w:rPr>
          <w:rFonts w:ascii="宋体" w:hAnsi="宋体"/>
        </w:rPr>
        <w:t>加深对课堂知识的理解与认识。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3712AF0" w14:textId="77777777">
        <w:trPr>
          <w:trHeight w:val="270"/>
        </w:trPr>
        <w:tc>
          <w:tcPr>
            <w:tcW w:w="2965" w:type="dxa"/>
            <w:tcBorders>
              <w:top w:val="nil"/>
              <w:left w:val="nil"/>
              <w:bottom w:val="nil"/>
              <w:right w:val="nil"/>
            </w:tcBorders>
            <w:vAlign w:val="center"/>
          </w:tcPr>
          <w:p w14:paraId="7A1FB65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DA44536"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Ansi="宋体" w:hint="eastAsia"/>
                <w:b/>
                <w:bCs/>
                <w:kern w:val="0"/>
                <w:szCs w:val="21"/>
              </w:rPr>
              <w:t>园艺产品营销理念</w:t>
            </w:r>
          </w:p>
        </w:tc>
        <w:tc>
          <w:tcPr>
            <w:tcW w:w="2966" w:type="dxa"/>
            <w:tcBorders>
              <w:top w:val="nil"/>
              <w:left w:val="nil"/>
              <w:bottom w:val="nil"/>
              <w:right w:val="nil"/>
            </w:tcBorders>
            <w:vAlign w:val="center"/>
          </w:tcPr>
          <w:p w14:paraId="11FFF54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4</w:t>
            </w:r>
          </w:p>
        </w:tc>
      </w:tr>
    </w:tbl>
    <w:p w14:paraId="47890EFB"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市场营销概述（</w:t>
      </w:r>
      <w:r>
        <w:rPr>
          <w:rFonts w:ascii="宋体" w:hAnsi="宋体"/>
          <w:b/>
          <w:bCs/>
        </w:rPr>
        <w:t>2学时</w:t>
      </w:r>
      <w:r>
        <w:rPr>
          <w:rFonts w:ascii="宋体" w:hAnsi="宋体" w:hint="eastAsia"/>
          <w:b/>
          <w:bCs/>
        </w:rPr>
        <w:t>）</w:t>
      </w:r>
      <w:r>
        <w:rPr>
          <w:rFonts w:ascii="宋体" w:hAnsi="宋体"/>
          <w:b/>
          <w:bCs/>
        </w:rPr>
        <w:t>    </w:t>
      </w:r>
    </w:p>
    <w:p w14:paraId="70108C32"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使学生掌握市场营销概念。</w:t>
      </w:r>
    </w:p>
    <w:p w14:paraId="45DF5246"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市场，市场营销及相关概念。</w:t>
      </w:r>
    </w:p>
    <w:p w14:paraId="236427DD" w14:textId="77777777" w:rsidR="00F5289E" w:rsidRDefault="00C91173">
      <w:pPr>
        <w:pStyle w:val="a7"/>
        <w:snapToGrid w:val="0"/>
        <w:spacing w:line="360" w:lineRule="auto"/>
        <w:ind w:rightChars="52" w:right="109" w:firstLineChars="0" w:firstLine="0"/>
        <w:rPr>
          <w:rFonts w:ascii="宋体" w:hAnsi="宋体"/>
        </w:rPr>
      </w:pPr>
      <w:r>
        <w:rPr>
          <w:rFonts w:ascii="宋体" w:hAnsi="宋体" w:hint="eastAsia"/>
          <w:b/>
        </w:rPr>
        <w:t>主要教学内容及要求：</w:t>
      </w:r>
      <w:r>
        <w:rPr>
          <w:rFonts w:ascii="宋体" w:hAnsi="宋体" w:hint="eastAsia"/>
        </w:rPr>
        <w:t>掌握市场的概念，组成及分类；熟练掌握市场营销及相关概念。</w:t>
      </w:r>
    </w:p>
    <w:p w14:paraId="545A1A5B" w14:textId="77777777" w:rsidR="00F5289E" w:rsidRDefault="00C91173">
      <w:pPr>
        <w:widowControl/>
        <w:snapToGrid w:val="0"/>
        <w:spacing w:line="360" w:lineRule="auto"/>
        <w:rPr>
          <w:rFonts w:hAnsi="宋体"/>
          <w:b/>
          <w:kern w:val="0"/>
          <w:szCs w:val="21"/>
        </w:rPr>
      </w:pPr>
      <w:r>
        <w:rPr>
          <w:rFonts w:ascii="宋体" w:hAnsi="宋体" w:hint="eastAsia"/>
          <w:b/>
          <w:bCs/>
        </w:rPr>
        <w:t>教学组织与实施：</w:t>
      </w:r>
      <w:r>
        <w:rPr>
          <w:rFonts w:ascii="宋体" w:hAnsi="宋体"/>
        </w:rPr>
        <w:t>本章节</w:t>
      </w:r>
      <w:r>
        <w:rPr>
          <w:rFonts w:ascii="宋体" w:hAnsi="宋体" w:hint="eastAsia"/>
        </w:rPr>
        <w:t>主要涉及市场营销概述。</w:t>
      </w:r>
      <w:r>
        <w:rPr>
          <w:rFonts w:ascii="宋体" w:hAnsi="宋体" w:hint="eastAsia"/>
          <w:bCs/>
        </w:rPr>
        <w:t>主要以理论讲授为主，结合大量的案例分析</w:t>
      </w:r>
      <w:r>
        <w:rPr>
          <w:rFonts w:ascii="宋体" w:hAnsi="宋体" w:hint="eastAsia"/>
        </w:rPr>
        <w:t>市场营销的概念及发展，利用多个正反案例，剖析市场营销的本质，理论基础联系实际应用</w:t>
      </w:r>
      <w:r>
        <w:rPr>
          <w:rFonts w:ascii="宋体" w:hAnsi="宋体" w:hint="eastAsia"/>
          <w:bCs/>
        </w:rPr>
        <w:t>，部分重点内容结合相关小视频加深学生对理论的理解。</w:t>
      </w:r>
      <w:r>
        <w:rPr>
          <w:rFonts w:ascii="宋体" w:hAnsi="宋体" w:hint="eastAsia"/>
          <w:szCs w:val="20"/>
        </w:rPr>
        <w:t>同时通过课堂讨论，即时解决学生听课过程中的难点。</w:t>
      </w:r>
      <w:r>
        <w:rPr>
          <w:rFonts w:ascii="宋体" w:hAnsi="宋体"/>
          <w:b/>
          <w:bCs/>
        </w:rPr>
        <w:t xml:space="preserve">  </w:t>
      </w:r>
    </w:p>
    <w:p w14:paraId="1FB2036E"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w:t>
      </w:r>
      <w:bookmarkStart w:id="106" w:name="_Hlk137673148"/>
      <w:r>
        <w:rPr>
          <w:rFonts w:ascii="宋体" w:hAnsi="宋体" w:hint="eastAsia"/>
          <w:b/>
          <w:bCs/>
        </w:rPr>
        <w:t xml:space="preserve"> 市场营销管理观念</w:t>
      </w:r>
      <w:bookmarkEnd w:id="106"/>
      <w:r>
        <w:rPr>
          <w:rFonts w:ascii="宋体" w:hAnsi="宋体" w:hint="eastAsia"/>
          <w:b/>
          <w:bCs/>
        </w:rPr>
        <w:t>（</w:t>
      </w:r>
      <w:r>
        <w:rPr>
          <w:rFonts w:ascii="宋体" w:hAnsi="宋体"/>
          <w:b/>
          <w:bCs/>
        </w:rPr>
        <w:t>2学时</w:t>
      </w:r>
      <w:r>
        <w:rPr>
          <w:rFonts w:ascii="宋体" w:hAnsi="宋体" w:hint="eastAsia"/>
          <w:b/>
          <w:bCs/>
        </w:rPr>
        <w:t>）</w:t>
      </w:r>
    </w:p>
    <w:p w14:paraId="0B3A5BC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使学生掌握市场营销管理观念的实质及发展历程。</w:t>
      </w:r>
    </w:p>
    <w:p w14:paraId="58E04380"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市场营销管理观念的发展历程。</w:t>
      </w:r>
    </w:p>
    <w:p w14:paraId="2E8A6DA7" w14:textId="77777777" w:rsidR="00F5289E" w:rsidRDefault="00C91173">
      <w:pPr>
        <w:pStyle w:val="a7"/>
        <w:snapToGrid w:val="0"/>
        <w:spacing w:line="360" w:lineRule="auto"/>
        <w:ind w:firstLineChars="0" w:firstLine="0"/>
        <w:jc w:val="left"/>
        <w:rPr>
          <w:rFonts w:ascii="宋体" w:hAnsi="宋体"/>
          <w:b/>
        </w:rPr>
      </w:pPr>
      <w:r>
        <w:rPr>
          <w:rFonts w:ascii="宋体" w:hAnsi="宋体" w:hint="eastAsia"/>
          <w:b/>
        </w:rPr>
        <w:t>主要教学内容及要求：</w:t>
      </w:r>
      <w:bookmarkStart w:id="107" w:name="_Hlk137675896"/>
      <w:r>
        <w:rPr>
          <w:rFonts w:ascii="宋体" w:hAnsi="宋体" w:hint="eastAsia"/>
        </w:rPr>
        <w:t>理解</w:t>
      </w:r>
      <w:r>
        <w:rPr>
          <w:rFonts w:ascii="宋体" w:hAnsi="宋体" w:hint="eastAsia"/>
          <w:bCs/>
        </w:rPr>
        <w:t>市场营销管理的概念、实质和分类；</w:t>
      </w:r>
      <w:bookmarkEnd w:id="107"/>
      <w:r>
        <w:rPr>
          <w:rFonts w:ascii="宋体" w:hAnsi="宋体" w:hint="eastAsia"/>
        </w:rPr>
        <w:t>熟练掌握</w:t>
      </w:r>
      <w:bookmarkStart w:id="108" w:name="_Hlk137675917"/>
      <w:r>
        <w:rPr>
          <w:rFonts w:ascii="宋体" w:hAnsi="宋体" w:hint="eastAsia"/>
        </w:rPr>
        <w:t>市场营销管理观念的实质和发展历程。</w:t>
      </w:r>
      <w:r>
        <w:rPr>
          <w:rFonts w:ascii="宋体" w:hAnsi="宋体"/>
        </w:rPr>
        <w:t xml:space="preserve"> </w:t>
      </w:r>
    </w:p>
    <w:bookmarkEnd w:id="108"/>
    <w:p w14:paraId="0F9D6594" w14:textId="77777777" w:rsidR="00F5289E" w:rsidRDefault="00C91173">
      <w:pPr>
        <w:widowControl/>
        <w:adjustRightInd w:val="0"/>
        <w:snapToGrid w:val="0"/>
        <w:spacing w:line="360" w:lineRule="auto"/>
        <w:rPr>
          <w:rFonts w:ascii="宋体" w:hAnsi="宋体"/>
        </w:rPr>
      </w:pPr>
      <w:r>
        <w:rPr>
          <w:rFonts w:ascii="宋体" w:hAnsi="宋体" w:hint="eastAsia"/>
          <w:b/>
          <w:bCs/>
        </w:rPr>
        <w:t>教学组织与实施：</w:t>
      </w:r>
      <w:r>
        <w:rPr>
          <w:rFonts w:ascii="宋体" w:hAnsi="宋体"/>
        </w:rPr>
        <w:t>本章节</w:t>
      </w:r>
      <w:r>
        <w:rPr>
          <w:rFonts w:ascii="宋体" w:hAnsi="宋体" w:hint="eastAsia"/>
        </w:rPr>
        <w:t>主要涉及市场营销概述和市场营销观念。利用超星学习通班级群提前上传课件，要求学生提前预习章节内容，做好课前准备工作。以班级授课的形式讲授市场营销管理观念的发展历程，深入浅出的讲授疑点难点。</w:t>
      </w:r>
      <w:r>
        <w:rPr>
          <w:rFonts w:ascii="宋体" w:hAnsi="宋体"/>
        </w:rPr>
        <w:t>在教学过程中</w:t>
      </w:r>
      <w:r>
        <w:rPr>
          <w:rFonts w:ascii="宋体" w:hAnsi="宋体" w:hint="eastAsia"/>
        </w:rPr>
        <w:t>设置提问及</w:t>
      </w:r>
      <w:r>
        <w:rPr>
          <w:rFonts w:ascii="宋体" w:hAnsi="宋体"/>
        </w:rPr>
        <w:t>互动</w:t>
      </w:r>
      <w:r>
        <w:rPr>
          <w:rFonts w:ascii="宋体" w:hAnsi="宋体" w:hint="eastAsia"/>
        </w:rPr>
        <w:t>环节</w:t>
      </w:r>
      <w:r>
        <w:rPr>
          <w:rFonts w:ascii="宋体" w:hAnsi="宋体"/>
        </w:rPr>
        <w:t>，活跃课堂气氛，</w:t>
      </w:r>
      <w:r>
        <w:rPr>
          <w:rFonts w:ascii="宋体" w:hAnsi="宋体" w:hint="eastAsia"/>
        </w:rPr>
        <w:t>调动学生积极性及专注性，</w:t>
      </w:r>
      <w:r>
        <w:rPr>
          <w:rFonts w:ascii="宋体" w:hAnsi="宋体"/>
        </w:rPr>
        <w:t>加深对课堂知识的理解与认识。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9E807D3" w14:textId="77777777">
        <w:trPr>
          <w:trHeight w:val="270"/>
        </w:trPr>
        <w:tc>
          <w:tcPr>
            <w:tcW w:w="2965" w:type="dxa"/>
            <w:tcBorders>
              <w:top w:val="nil"/>
              <w:left w:val="nil"/>
              <w:bottom w:val="nil"/>
              <w:right w:val="nil"/>
            </w:tcBorders>
            <w:vAlign w:val="center"/>
          </w:tcPr>
          <w:p w14:paraId="244EA44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801E706" w14:textId="77777777" w:rsidR="00F5289E" w:rsidRDefault="00C91173">
            <w:pPr>
              <w:widowControl/>
              <w:adjustRightInd w:val="0"/>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Ansi="宋体" w:hint="eastAsia"/>
                <w:b/>
                <w:bCs/>
                <w:kern w:val="0"/>
                <w:szCs w:val="21"/>
              </w:rPr>
              <w:t>市场营销环境</w:t>
            </w:r>
          </w:p>
        </w:tc>
        <w:tc>
          <w:tcPr>
            <w:tcW w:w="2966" w:type="dxa"/>
            <w:tcBorders>
              <w:top w:val="nil"/>
              <w:left w:val="nil"/>
              <w:bottom w:val="nil"/>
              <w:right w:val="nil"/>
            </w:tcBorders>
            <w:vAlign w:val="center"/>
          </w:tcPr>
          <w:p w14:paraId="7C08D533" w14:textId="77777777" w:rsidR="00F5289E" w:rsidRDefault="00C91173">
            <w:pPr>
              <w:widowControl/>
              <w:adjustRightInd w:val="0"/>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5581250F"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市场营销环境的含义及构成因素（</w:t>
      </w:r>
      <w:r>
        <w:rPr>
          <w:rFonts w:ascii="宋体" w:hAnsi="宋体"/>
          <w:b/>
          <w:bCs/>
        </w:rPr>
        <w:t>1.5学时</w:t>
      </w:r>
      <w:r>
        <w:rPr>
          <w:rFonts w:ascii="宋体" w:hAnsi="宋体" w:hint="eastAsia"/>
          <w:b/>
          <w:bCs/>
        </w:rPr>
        <w:t>）</w:t>
      </w:r>
      <w:r>
        <w:rPr>
          <w:rFonts w:ascii="宋体" w:hAnsi="宋体"/>
          <w:b/>
          <w:bCs/>
        </w:rPr>
        <w:t>    </w:t>
      </w:r>
    </w:p>
    <w:p w14:paraId="56779095"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使学生掌握市场营销环境的概念及构成因素。</w:t>
      </w:r>
    </w:p>
    <w:p w14:paraId="43F27FB1"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市场营销环境分类。</w:t>
      </w:r>
    </w:p>
    <w:p w14:paraId="491981CA" w14:textId="77777777" w:rsidR="00F5289E" w:rsidRDefault="00C91173">
      <w:pPr>
        <w:pStyle w:val="a7"/>
        <w:snapToGrid w:val="0"/>
        <w:spacing w:line="360" w:lineRule="auto"/>
        <w:ind w:rightChars="52" w:right="109" w:firstLineChars="0" w:firstLine="0"/>
        <w:rPr>
          <w:rFonts w:ascii="宋体" w:hAnsi="宋体"/>
        </w:rPr>
      </w:pPr>
      <w:r>
        <w:rPr>
          <w:rFonts w:ascii="宋体" w:hAnsi="宋体" w:hint="eastAsia"/>
          <w:b/>
        </w:rPr>
        <w:lastRenderedPageBreak/>
        <w:t>主要教学内容及要求：</w:t>
      </w:r>
      <w:r>
        <w:rPr>
          <w:rFonts w:ascii="宋体" w:hAnsi="宋体" w:hint="eastAsia"/>
        </w:rPr>
        <w:t>理解市场营销环境的概念及作用；熟练掌握市场营销环境的构成因素。</w:t>
      </w:r>
    </w:p>
    <w:p w14:paraId="72951013" w14:textId="77777777" w:rsidR="00F5289E" w:rsidRDefault="00C91173">
      <w:pPr>
        <w:widowControl/>
        <w:snapToGrid w:val="0"/>
        <w:spacing w:line="360" w:lineRule="auto"/>
        <w:rPr>
          <w:rFonts w:hAnsi="宋体"/>
          <w:b/>
          <w:kern w:val="0"/>
          <w:szCs w:val="21"/>
        </w:rPr>
      </w:pPr>
      <w:r>
        <w:rPr>
          <w:rFonts w:ascii="宋体" w:hAnsi="宋体" w:hint="eastAsia"/>
          <w:b/>
          <w:bCs/>
        </w:rPr>
        <w:t>教学组织与实施：</w:t>
      </w:r>
      <w:r>
        <w:rPr>
          <w:rFonts w:ascii="宋体" w:hAnsi="宋体"/>
        </w:rPr>
        <w:t>本章节</w:t>
      </w:r>
      <w:r>
        <w:rPr>
          <w:rFonts w:ascii="宋体" w:hAnsi="宋体" w:hint="eastAsia"/>
        </w:rPr>
        <w:t>主要涉及市场营销环境概述。</w:t>
      </w:r>
      <w:r>
        <w:rPr>
          <w:rFonts w:ascii="宋体" w:hAnsi="宋体" w:hint="eastAsia"/>
          <w:bCs/>
        </w:rPr>
        <w:t>主要以理论讲授为主，结合大量的案例分析</w:t>
      </w:r>
      <w:r>
        <w:rPr>
          <w:rFonts w:ascii="宋体" w:hAnsi="宋体" w:hint="eastAsia"/>
        </w:rPr>
        <w:t>市场营销环境的概念及构成要素，利用多个正反案例，剖析市场营销环境的构成因素，</w:t>
      </w:r>
      <w:r>
        <w:rPr>
          <w:rFonts w:ascii="宋体" w:hAnsi="宋体" w:hint="eastAsia"/>
          <w:bCs/>
        </w:rPr>
        <w:t>部分重点内容结合相关小视频加深学生对理论的理解。</w:t>
      </w:r>
      <w:r>
        <w:rPr>
          <w:rFonts w:ascii="宋体" w:hAnsi="宋体" w:hint="eastAsia"/>
          <w:szCs w:val="20"/>
        </w:rPr>
        <w:t>同时通过课堂讨论，即时解决学生听课过程中的难点。</w:t>
      </w:r>
      <w:r>
        <w:rPr>
          <w:rFonts w:ascii="宋体" w:hAnsi="宋体"/>
          <w:b/>
          <w:bCs/>
        </w:rPr>
        <w:t xml:space="preserve">  </w:t>
      </w:r>
    </w:p>
    <w:p w14:paraId="5B96A61B"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经营者对市场环境影响的对策（</w:t>
      </w:r>
      <w:r>
        <w:rPr>
          <w:rFonts w:ascii="宋体" w:hAnsi="宋体"/>
          <w:b/>
          <w:bCs/>
        </w:rPr>
        <w:t>0.5学时</w:t>
      </w:r>
      <w:r>
        <w:rPr>
          <w:rFonts w:ascii="宋体" w:hAnsi="宋体" w:hint="eastAsia"/>
          <w:b/>
          <w:bCs/>
        </w:rPr>
        <w:t>）</w:t>
      </w:r>
    </w:p>
    <w:p w14:paraId="3D6F47B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使学生掌握分析市场营销环境的方法及对策。</w:t>
      </w:r>
    </w:p>
    <w:p w14:paraId="711F9651"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市场营销环境机会和威胁。</w:t>
      </w:r>
    </w:p>
    <w:p w14:paraId="63D682E8" w14:textId="77777777" w:rsidR="00F5289E" w:rsidRDefault="00C91173">
      <w:pPr>
        <w:pStyle w:val="a7"/>
        <w:snapToGrid w:val="0"/>
        <w:spacing w:line="360" w:lineRule="auto"/>
        <w:ind w:firstLineChars="0" w:firstLine="0"/>
        <w:jc w:val="left"/>
        <w:rPr>
          <w:rFonts w:ascii="宋体" w:hAnsi="宋体"/>
          <w:b/>
        </w:rPr>
      </w:pPr>
      <w:r>
        <w:rPr>
          <w:rFonts w:ascii="宋体" w:hAnsi="宋体" w:hint="eastAsia"/>
          <w:b/>
        </w:rPr>
        <w:t>主要教学内容及要求：</w:t>
      </w:r>
      <w:r>
        <w:rPr>
          <w:rFonts w:ascii="宋体" w:hAnsi="宋体" w:hint="eastAsia"/>
        </w:rPr>
        <w:t>理解</w:t>
      </w:r>
      <w:r>
        <w:rPr>
          <w:rFonts w:ascii="宋体" w:hAnsi="宋体" w:hint="eastAsia"/>
          <w:bCs/>
        </w:rPr>
        <w:t>市场营环境分析的作用；</w:t>
      </w:r>
      <w:r>
        <w:rPr>
          <w:rFonts w:ascii="宋体" w:hAnsi="宋体" w:hint="eastAsia"/>
        </w:rPr>
        <w:t>掌握市场营销环境的评估方法及对策。</w:t>
      </w:r>
      <w:r>
        <w:rPr>
          <w:rFonts w:ascii="宋体" w:hAnsi="宋体"/>
        </w:rPr>
        <w:t xml:space="preserve"> </w:t>
      </w:r>
    </w:p>
    <w:p w14:paraId="3768E442" w14:textId="77777777" w:rsidR="00F5289E" w:rsidRDefault="00C91173">
      <w:pPr>
        <w:widowControl/>
        <w:adjustRightInd w:val="0"/>
        <w:snapToGrid w:val="0"/>
        <w:spacing w:line="360" w:lineRule="auto"/>
        <w:rPr>
          <w:rFonts w:ascii="宋体" w:hAnsi="宋体"/>
        </w:rPr>
      </w:pPr>
      <w:r>
        <w:rPr>
          <w:rFonts w:ascii="宋体" w:hAnsi="宋体" w:hint="eastAsia"/>
          <w:b/>
          <w:bCs/>
        </w:rPr>
        <w:t>教学组织与实施：</w:t>
      </w:r>
      <w:r>
        <w:rPr>
          <w:rFonts w:ascii="宋体" w:hAnsi="宋体"/>
        </w:rPr>
        <w:t>本章节</w:t>
      </w:r>
      <w:r>
        <w:rPr>
          <w:rFonts w:ascii="宋体" w:hAnsi="宋体" w:hint="eastAsia"/>
        </w:rPr>
        <w:t>主要涉及市场营销环境的分析。利用超星学习通班级群提前上传课件，要求学生提前预习章节内容，做好课前准备工作。以班级授课的形式讲授市场营销环境的分析步骤及评估方法，深入浅出的讲授疑点难点。</w:t>
      </w:r>
      <w:r>
        <w:rPr>
          <w:rFonts w:ascii="宋体" w:hAnsi="宋体"/>
        </w:rPr>
        <w:t>在教学过程中</w:t>
      </w:r>
      <w:r>
        <w:rPr>
          <w:rFonts w:ascii="宋体" w:hAnsi="宋体" w:hint="eastAsia"/>
        </w:rPr>
        <w:t>设置提问及</w:t>
      </w:r>
      <w:r>
        <w:rPr>
          <w:rFonts w:ascii="宋体" w:hAnsi="宋体"/>
        </w:rPr>
        <w:t>互动</w:t>
      </w:r>
      <w:r>
        <w:rPr>
          <w:rFonts w:ascii="宋体" w:hAnsi="宋体" w:hint="eastAsia"/>
        </w:rPr>
        <w:t>环节</w:t>
      </w:r>
      <w:r>
        <w:rPr>
          <w:rFonts w:ascii="宋体" w:hAnsi="宋体"/>
        </w:rPr>
        <w:t>，活跃课堂气氛，</w:t>
      </w:r>
      <w:r>
        <w:rPr>
          <w:rFonts w:ascii="宋体" w:hAnsi="宋体" w:hint="eastAsia"/>
        </w:rPr>
        <w:t>调动学生积极性及专注性，</w:t>
      </w:r>
      <w:r>
        <w:rPr>
          <w:rFonts w:ascii="宋体" w:hAnsi="宋体"/>
        </w:rPr>
        <w:t>加深对课堂知识的理解与认识。</w:t>
      </w:r>
    </w:p>
    <w:p w14:paraId="4E0999FB" w14:textId="77777777" w:rsidR="00F5289E" w:rsidRDefault="00C91173">
      <w:pPr>
        <w:widowControl/>
        <w:snapToGrid w:val="0"/>
        <w:spacing w:line="360" w:lineRule="auto"/>
        <w:jc w:val="right"/>
        <w:rPr>
          <w:kern w:val="0"/>
          <w:szCs w:val="21"/>
        </w:rPr>
      </w:pPr>
      <w:r>
        <w:rPr>
          <w:rFonts w:hAnsi="宋体" w:hint="eastAsia"/>
          <w:b/>
          <w:bCs/>
          <w:kern w:val="0"/>
          <w:szCs w:val="21"/>
        </w:rPr>
        <w:t xml:space="preserve"> </w:t>
      </w:r>
      <w:r>
        <w:rPr>
          <w:rFonts w:hAnsi="宋体"/>
          <w:b/>
          <w:bCs/>
          <w:kern w:val="0"/>
          <w:szCs w:val="21"/>
        </w:rPr>
        <w:t xml:space="preserve">                   </w:t>
      </w:r>
      <w:r>
        <w:rPr>
          <w:rFonts w:hAnsi="宋体"/>
          <w:b/>
          <w:bCs/>
          <w:kern w:val="0"/>
          <w:szCs w:val="21"/>
        </w:rPr>
        <w:t>第</w:t>
      </w:r>
      <w:r>
        <w:rPr>
          <w:rFonts w:hAnsi="宋体" w:hint="eastAsia"/>
          <w:b/>
          <w:bCs/>
          <w:kern w:val="0"/>
          <w:szCs w:val="21"/>
        </w:rPr>
        <w:t>四</w:t>
      </w:r>
      <w:r>
        <w:rPr>
          <w:rFonts w:hAnsi="宋体"/>
          <w:b/>
          <w:bCs/>
          <w:kern w:val="0"/>
          <w:szCs w:val="21"/>
        </w:rPr>
        <w:t>章</w:t>
      </w:r>
      <w:r>
        <w:rPr>
          <w:b/>
          <w:bCs/>
          <w:kern w:val="0"/>
          <w:szCs w:val="21"/>
        </w:rPr>
        <w:t>     </w:t>
      </w:r>
      <w:r>
        <w:rPr>
          <w:rFonts w:hint="eastAsia"/>
          <w:b/>
          <w:szCs w:val="21"/>
        </w:rPr>
        <w:t>消费者心理与购买行为</w:t>
      </w:r>
      <w:r>
        <w:rPr>
          <w:b/>
          <w:bCs/>
          <w:kern w:val="0"/>
          <w:szCs w:val="21"/>
        </w:rPr>
        <w:t>     </w:t>
      </w:r>
      <w:r>
        <w:rPr>
          <w:rFonts w:hint="eastAsia"/>
          <w:b/>
          <w:bCs/>
          <w:kern w:val="0"/>
          <w:szCs w:val="21"/>
        </w:rPr>
        <w:t xml:space="preserve">           </w:t>
      </w:r>
      <w:r>
        <w:rPr>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b/>
          <w:bCs/>
          <w:color w:val="000000" w:themeColor="text1"/>
          <w:kern w:val="0"/>
          <w:szCs w:val="21"/>
        </w:rPr>
        <w:t>4</w:t>
      </w:r>
    </w:p>
    <w:p w14:paraId="61652280"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影响消费者行为的因素（</w:t>
      </w:r>
      <w:r>
        <w:rPr>
          <w:rFonts w:ascii="宋体" w:hAnsi="宋体"/>
          <w:b/>
          <w:bCs/>
        </w:rPr>
        <w:t>2学时</w:t>
      </w:r>
      <w:r>
        <w:rPr>
          <w:rFonts w:ascii="宋体" w:hAnsi="宋体" w:hint="eastAsia"/>
          <w:b/>
          <w:bCs/>
        </w:rPr>
        <w:t>）</w:t>
      </w:r>
      <w:r>
        <w:rPr>
          <w:rFonts w:ascii="宋体" w:hAnsi="宋体"/>
          <w:b/>
          <w:bCs/>
        </w:rPr>
        <w:t>    </w:t>
      </w:r>
    </w:p>
    <w:p w14:paraId="7FE96D0D"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使学生了解影响消费者行为的因素。</w:t>
      </w:r>
    </w:p>
    <w:p w14:paraId="390982C9"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影响消费者行为的因素是本章的学习重点；马斯洛的需要层次论。</w:t>
      </w:r>
    </w:p>
    <w:p w14:paraId="3CEB249F" w14:textId="77777777" w:rsidR="00F5289E" w:rsidRDefault="00C91173">
      <w:pPr>
        <w:pStyle w:val="a7"/>
        <w:snapToGrid w:val="0"/>
        <w:spacing w:line="360" w:lineRule="auto"/>
        <w:ind w:rightChars="52" w:right="109" w:firstLineChars="0" w:firstLine="0"/>
        <w:rPr>
          <w:rFonts w:ascii="宋体" w:hAnsi="宋体"/>
        </w:rPr>
      </w:pPr>
      <w:r>
        <w:rPr>
          <w:rFonts w:ascii="宋体" w:hAnsi="宋体" w:hint="eastAsia"/>
          <w:b/>
        </w:rPr>
        <w:t>主要教学内容及要求：</w:t>
      </w:r>
      <w:r>
        <w:rPr>
          <w:rFonts w:ascii="宋体" w:hAnsi="宋体" w:hint="eastAsia"/>
        </w:rPr>
        <w:t>了解影响消费者行为的因素；掌握影响消费者行为的心理因素。</w:t>
      </w:r>
    </w:p>
    <w:p w14:paraId="23E8CC2B" w14:textId="77777777" w:rsidR="00F5289E" w:rsidRDefault="00C91173">
      <w:pPr>
        <w:widowControl/>
        <w:snapToGrid w:val="0"/>
        <w:spacing w:line="360" w:lineRule="auto"/>
        <w:rPr>
          <w:rFonts w:hAnsi="宋体"/>
          <w:b/>
          <w:kern w:val="0"/>
          <w:szCs w:val="21"/>
        </w:rPr>
      </w:pPr>
      <w:r>
        <w:rPr>
          <w:rFonts w:ascii="宋体" w:hAnsi="宋体" w:hint="eastAsia"/>
          <w:b/>
          <w:bCs/>
        </w:rPr>
        <w:t>教学组织与实施：</w:t>
      </w:r>
      <w:r>
        <w:rPr>
          <w:rFonts w:ascii="宋体" w:hAnsi="宋体" w:hint="eastAsia"/>
          <w:bCs/>
        </w:rPr>
        <w:t>主要以理论讲授为主，结合大量的案例分析，部分重点内容结合相关小视频加深学生对理论的理解。</w:t>
      </w:r>
      <w:r>
        <w:rPr>
          <w:rFonts w:ascii="宋体" w:hAnsi="宋体" w:hint="eastAsia"/>
          <w:szCs w:val="20"/>
        </w:rPr>
        <w:t>同时通过课堂讨论，即时解决学生听课过程中的难点。</w:t>
      </w:r>
      <w:r>
        <w:rPr>
          <w:rFonts w:ascii="宋体" w:hAnsi="宋体"/>
          <w:b/>
          <w:bCs/>
        </w:rPr>
        <w:t xml:space="preserve">  </w:t>
      </w:r>
    </w:p>
    <w:p w14:paraId="34ED5062" w14:textId="77777777" w:rsidR="00F5289E" w:rsidRDefault="00C91173">
      <w:pPr>
        <w:widowControl/>
        <w:snapToGrid w:val="0"/>
        <w:spacing w:line="360" w:lineRule="auto"/>
        <w:jc w:val="left"/>
        <w:rPr>
          <w:b/>
          <w:kern w:val="0"/>
          <w:szCs w:val="21"/>
        </w:rPr>
      </w:pPr>
      <w:r>
        <w:rPr>
          <w:rFonts w:hAnsi="宋体"/>
          <w:b/>
          <w:kern w:val="0"/>
          <w:szCs w:val="21"/>
        </w:rPr>
        <w:t>第</w:t>
      </w:r>
      <w:r>
        <w:rPr>
          <w:rFonts w:hAnsi="宋体" w:hint="eastAsia"/>
          <w:b/>
          <w:kern w:val="0"/>
          <w:szCs w:val="21"/>
        </w:rPr>
        <w:t>二</w:t>
      </w:r>
      <w:r>
        <w:rPr>
          <w:rFonts w:hAnsi="宋体"/>
          <w:b/>
          <w:kern w:val="0"/>
          <w:szCs w:val="21"/>
        </w:rPr>
        <w:t>节</w:t>
      </w:r>
      <w:r>
        <w:rPr>
          <w:rFonts w:hAnsi="宋体" w:hint="eastAsia"/>
          <w:b/>
          <w:kern w:val="0"/>
          <w:szCs w:val="21"/>
        </w:rPr>
        <w:t xml:space="preserve">  </w:t>
      </w:r>
      <w:r>
        <w:rPr>
          <w:rFonts w:hAnsi="宋体" w:hint="eastAsia"/>
          <w:b/>
          <w:bCs/>
          <w:kern w:val="0"/>
          <w:szCs w:val="21"/>
        </w:rPr>
        <w:t>消费者行为过程与消费者购买活动分析（</w:t>
      </w:r>
      <w:r>
        <w:rPr>
          <w:b/>
          <w:kern w:val="0"/>
          <w:szCs w:val="21"/>
        </w:rPr>
        <w:t>2</w:t>
      </w:r>
      <w:r>
        <w:rPr>
          <w:rFonts w:hAnsi="宋体"/>
          <w:b/>
          <w:kern w:val="0"/>
          <w:szCs w:val="21"/>
        </w:rPr>
        <w:t>学时</w:t>
      </w:r>
      <w:r>
        <w:rPr>
          <w:rFonts w:hAnsi="宋体" w:hint="eastAsia"/>
          <w:b/>
          <w:kern w:val="0"/>
          <w:szCs w:val="21"/>
        </w:rPr>
        <w:t>）</w:t>
      </w:r>
    </w:p>
    <w:p w14:paraId="0F319360"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通过学习，学生应该掌握消费者行为的概念与过程，了解消费者购买活动的基本规律与类型。</w:t>
      </w:r>
    </w:p>
    <w:p w14:paraId="7BEF803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w:t>
      </w:r>
      <w:r>
        <w:rPr>
          <w:bCs/>
        </w:rPr>
        <w:t>5W1H</w:t>
      </w:r>
      <w:r>
        <w:rPr>
          <w:rFonts w:ascii="宋体" w:hAnsi="宋体" w:hint="eastAsia"/>
          <w:bCs/>
        </w:rPr>
        <w:t>分析法”是本章的学习重点；消费者购买决策过程是本章学习的难点。</w:t>
      </w:r>
    </w:p>
    <w:p w14:paraId="2E15F274" w14:textId="77777777" w:rsidR="00F5289E" w:rsidRDefault="00C91173">
      <w:pPr>
        <w:pStyle w:val="a7"/>
        <w:snapToGrid w:val="0"/>
        <w:spacing w:line="360" w:lineRule="auto"/>
        <w:ind w:rightChars="52" w:right="109" w:firstLineChars="0" w:firstLine="0"/>
        <w:rPr>
          <w:rFonts w:ascii="宋体" w:hAnsi="宋体"/>
        </w:rPr>
      </w:pPr>
      <w:r>
        <w:rPr>
          <w:rFonts w:ascii="宋体" w:hAnsi="宋体" w:hint="eastAsia"/>
          <w:b/>
        </w:rPr>
        <w:t>主要教学内容及要求：</w:t>
      </w:r>
      <w:r>
        <w:rPr>
          <w:rFonts w:ascii="宋体" w:hAnsi="宋体" w:hint="eastAsia"/>
        </w:rPr>
        <w:t>了解如何进行消费者购买活动分析；掌握影响消费者行为的概念与过程。</w:t>
      </w:r>
    </w:p>
    <w:p w14:paraId="1B032263" w14:textId="77777777" w:rsidR="00F5289E" w:rsidRDefault="00C91173">
      <w:pPr>
        <w:pStyle w:val="a7"/>
        <w:tabs>
          <w:tab w:val="left" w:pos="5954"/>
        </w:tabs>
        <w:snapToGrid w:val="0"/>
        <w:spacing w:line="360" w:lineRule="auto"/>
        <w:ind w:firstLineChars="0" w:firstLine="0"/>
        <w:rPr>
          <w:rFonts w:ascii="宋体" w:hAnsi="宋体"/>
        </w:rPr>
      </w:pPr>
      <w:r>
        <w:rPr>
          <w:rFonts w:ascii="宋体" w:hAnsi="宋体" w:hint="eastAsia"/>
          <w:b/>
          <w:bCs/>
        </w:rPr>
        <w:t>教学组织与实施：</w:t>
      </w:r>
      <w:r>
        <w:rPr>
          <w:rFonts w:ascii="宋体" w:hAnsi="宋体" w:hint="eastAsia"/>
          <w:bCs/>
        </w:rPr>
        <w:t>主要以理论讲授为主，结合大量的案例分析，部分重点内容结合相关小视频加深学生对理论的理解。</w:t>
      </w:r>
      <w:r>
        <w:rPr>
          <w:rFonts w:ascii="宋体" w:hAnsi="宋体" w:hint="eastAsia"/>
        </w:rPr>
        <w:t>同时通过课堂讨论，即时解决学生听课过程中的难点。</w:t>
      </w:r>
    </w:p>
    <w:p w14:paraId="624AE610" w14:textId="77777777" w:rsidR="00F5289E" w:rsidRDefault="00C91173">
      <w:pPr>
        <w:widowControl/>
        <w:snapToGrid w:val="0"/>
        <w:spacing w:line="360" w:lineRule="auto"/>
        <w:jc w:val="right"/>
        <w:rPr>
          <w:rFonts w:ascii="宋体" w:hAnsi="宋体"/>
          <w:b/>
          <w:bCs/>
        </w:rPr>
      </w:pPr>
      <w:r>
        <w:rPr>
          <w:b/>
          <w:bCs/>
          <w:kern w:val="0"/>
          <w:szCs w:val="21"/>
        </w:rPr>
        <w:t>   </w:t>
      </w:r>
      <w:r>
        <w:rPr>
          <w:rFonts w:hAnsi="宋体"/>
          <w:b/>
          <w:bCs/>
          <w:kern w:val="0"/>
          <w:szCs w:val="21"/>
        </w:rPr>
        <w:t>第</w:t>
      </w:r>
      <w:r>
        <w:rPr>
          <w:rFonts w:hAnsi="宋体" w:hint="eastAsia"/>
          <w:b/>
          <w:bCs/>
          <w:kern w:val="0"/>
          <w:szCs w:val="21"/>
        </w:rPr>
        <w:t>五</w:t>
      </w:r>
      <w:r>
        <w:rPr>
          <w:rFonts w:hAnsi="宋体"/>
          <w:b/>
          <w:bCs/>
          <w:kern w:val="0"/>
          <w:szCs w:val="21"/>
        </w:rPr>
        <w:t>章</w:t>
      </w:r>
      <w:r>
        <w:rPr>
          <w:b/>
          <w:bCs/>
          <w:kern w:val="0"/>
          <w:szCs w:val="21"/>
        </w:rPr>
        <w:t>    </w:t>
      </w:r>
      <w:r>
        <w:rPr>
          <w:rFonts w:hAnsi="宋体"/>
          <w:b/>
          <w:bCs/>
          <w:color w:val="0000FF"/>
          <w:kern w:val="0"/>
          <w:szCs w:val="21"/>
        </w:rPr>
        <w:t> </w:t>
      </w:r>
      <w:r>
        <w:rPr>
          <w:rFonts w:hAnsi="宋体" w:hint="eastAsia"/>
          <w:b/>
          <w:bCs/>
          <w:kern w:val="0"/>
          <w:szCs w:val="21"/>
        </w:rPr>
        <w:t>市场细分与市场定位</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kern w:val="0"/>
          <w:szCs w:val="21"/>
        </w:rPr>
        <w:t>4</w:t>
      </w:r>
    </w:p>
    <w:p w14:paraId="6E68D332"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市场细分（</w:t>
      </w:r>
      <w:r>
        <w:rPr>
          <w:rFonts w:ascii="宋体" w:hAnsi="宋体"/>
          <w:b/>
          <w:bCs/>
        </w:rPr>
        <w:t>2学时</w:t>
      </w:r>
      <w:r>
        <w:rPr>
          <w:rFonts w:ascii="宋体" w:hAnsi="宋体" w:hint="eastAsia"/>
          <w:b/>
          <w:bCs/>
        </w:rPr>
        <w:t>）</w:t>
      </w:r>
    </w:p>
    <w:p w14:paraId="467B07C5"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使学生掌握市场细分的概念、依据和方法，领会市场细分的重要作用。</w:t>
      </w:r>
    </w:p>
    <w:p w14:paraId="78E5EBE7"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市场细分的方法既是本章的重点，也是本章难点。</w:t>
      </w:r>
    </w:p>
    <w:p w14:paraId="2797E6DE" w14:textId="77777777" w:rsidR="00F5289E" w:rsidRDefault="00C91173">
      <w:pPr>
        <w:pStyle w:val="a7"/>
        <w:snapToGrid w:val="0"/>
        <w:spacing w:line="360" w:lineRule="auto"/>
        <w:ind w:rightChars="52" w:right="109" w:firstLineChars="0" w:firstLine="0"/>
        <w:rPr>
          <w:rFonts w:ascii="宋体" w:hAnsi="宋体"/>
          <w:color w:val="0000FF"/>
        </w:rPr>
      </w:pPr>
      <w:r>
        <w:rPr>
          <w:rFonts w:ascii="宋体" w:hAnsi="宋体" w:hint="eastAsia"/>
          <w:b/>
        </w:rPr>
        <w:t>主要教学内容及要求：</w:t>
      </w:r>
      <w:r>
        <w:rPr>
          <w:rFonts w:ascii="宋体" w:hAnsi="宋体" w:hint="eastAsia"/>
        </w:rPr>
        <w:t>了解营销发展的三个阶段；了解市场细分的理论依据和原则；理解市场细分的概念和作用；掌握市场细分的概念与消费者市场细分的标志，通过学习学生应该能够学会对某产品进行市场细分。</w:t>
      </w:r>
    </w:p>
    <w:p w14:paraId="0980A67F" w14:textId="77777777" w:rsidR="00F5289E" w:rsidRDefault="00C91173">
      <w:pPr>
        <w:widowControl/>
        <w:snapToGrid w:val="0"/>
        <w:spacing w:line="360" w:lineRule="auto"/>
        <w:rPr>
          <w:rFonts w:ascii="宋体" w:hAnsi="宋体"/>
          <w:b/>
          <w:bCs/>
        </w:rPr>
      </w:pPr>
      <w:r>
        <w:rPr>
          <w:rFonts w:ascii="宋体" w:hAnsi="宋体" w:hint="eastAsia"/>
          <w:b/>
          <w:bCs/>
        </w:rPr>
        <w:lastRenderedPageBreak/>
        <w:t>教学组织与实施：</w:t>
      </w:r>
      <w:r>
        <w:rPr>
          <w:rFonts w:ascii="宋体" w:hAnsi="宋体" w:hint="eastAsia"/>
          <w:bCs/>
        </w:rPr>
        <w:t>主要以理论讲授为主，结合大量的案例分析，部分重点内容结合相关小视频加深学生对理论的理解。</w:t>
      </w:r>
      <w:r>
        <w:rPr>
          <w:rFonts w:ascii="宋体" w:hAnsi="宋体" w:hint="eastAsia"/>
          <w:szCs w:val="20"/>
        </w:rPr>
        <w:t>同时通过课堂讨论，即时解决学生听课过程中的难点。最后</w:t>
      </w:r>
      <w:r>
        <w:rPr>
          <w:rFonts w:ascii="宋体" w:hAnsi="宋体" w:hint="eastAsia"/>
        </w:rPr>
        <w:t>布置课后作业，让学生利用所学理论知识对某产品进行市场细分，巩固所学理论知识。</w:t>
      </w:r>
      <w:r>
        <w:rPr>
          <w:rFonts w:ascii="宋体" w:hAnsi="宋体"/>
          <w:b/>
          <w:bCs/>
        </w:rPr>
        <w:t xml:space="preserve"> </w:t>
      </w:r>
    </w:p>
    <w:p w14:paraId="2780136E" w14:textId="77777777" w:rsidR="00F5289E" w:rsidRDefault="00C91173">
      <w:pPr>
        <w:snapToGrid w:val="0"/>
        <w:spacing w:line="360" w:lineRule="auto"/>
        <w:rPr>
          <w:rFonts w:ascii="宋体" w:hAnsi="宋体"/>
          <w:b/>
          <w:bCs/>
        </w:rPr>
      </w:pPr>
      <w:r>
        <w:rPr>
          <w:rFonts w:ascii="宋体" w:hAnsi="宋体"/>
          <w:b/>
          <w:bCs/>
        </w:rPr>
        <w:t>第</w:t>
      </w:r>
      <w:r>
        <w:rPr>
          <w:rFonts w:ascii="宋体" w:hAnsi="宋体" w:hint="eastAsia"/>
          <w:b/>
          <w:bCs/>
        </w:rPr>
        <w:t>二</w:t>
      </w:r>
      <w:r>
        <w:rPr>
          <w:rFonts w:ascii="宋体" w:hAnsi="宋体"/>
          <w:b/>
          <w:bCs/>
        </w:rPr>
        <w:t>节</w:t>
      </w:r>
      <w:r>
        <w:rPr>
          <w:rFonts w:ascii="宋体" w:hAnsi="宋体" w:hint="eastAsia"/>
          <w:b/>
          <w:bCs/>
        </w:rPr>
        <w:t xml:space="preserve">  目标市场选择与市场定位（</w:t>
      </w:r>
      <w:r>
        <w:rPr>
          <w:rFonts w:ascii="宋体" w:hAnsi="宋体"/>
          <w:b/>
          <w:bCs/>
        </w:rPr>
        <w:t>2学时</w:t>
      </w:r>
      <w:r>
        <w:rPr>
          <w:rFonts w:ascii="宋体" w:hAnsi="宋体" w:hint="eastAsia"/>
          <w:b/>
          <w:bCs/>
        </w:rPr>
        <w:t>）</w:t>
      </w:r>
    </w:p>
    <w:p w14:paraId="77762CC3"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通过本章学习，学生应该掌握目标市场策略的选择，以及如何实施成功的市场定位。</w:t>
      </w:r>
    </w:p>
    <w:p w14:paraId="0BA031D3"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市场定位的方法既是本章的重点，也是本章难点。</w:t>
      </w:r>
    </w:p>
    <w:p w14:paraId="1BA41E3B" w14:textId="77777777" w:rsidR="00F5289E" w:rsidRDefault="00C91173">
      <w:pPr>
        <w:pStyle w:val="a7"/>
        <w:tabs>
          <w:tab w:val="left" w:pos="5954"/>
        </w:tabs>
        <w:snapToGrid w:val="0"/>
        <w:spacing w:line="360" w:lineRule="auto"/>
        <w:ind w:rightChars="-14" w:right="-29" w:firstLineChars="0" w:firstLine="0"/>
        <w:rPr>
          <w:rFonts w:ascii="宋体" w:hAnsi="宋体"/>
        </w:rPr>
      </w:pPr>
      <w:r>
        <w:rPr>
          <w:rFonts w:ascii="宋体" w:hAnsi="宋体" w:hint="eastAsia"/>
          <w:b/>
        </w:rPr>
        <w:t>主要教学内容及要求：</w:t>
      </w:r>
      <w:r>
        <w:rPr>
          <w:rFonts w:ascii="宋体" w:hAnsi="宋体" w:hint="eastAsia"/>
        </w:rPr>
        <w:t>了解市场定位的策略；理解目标市场策略；掌握市场定位的概念、提出依据和市场定位的方法，通过学习学生应该能够运用常用的市场定位方法对某企业、品牌或某一城市进行市场定位。</w:t>
      </w:r>
    </w:p>
    <w:p w14:paraId="02288837"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主要以理论讲授为主，结合大量的案例分析，部分重点内容结合相关小视频加深学生对理论的理解。</w:t>
      </w:r>
      <w:r>
        <w:rPr>
          <w:rFonts w:ascii="宋体" w:hAnsi="宋体" w:hint="eastAsia"/>
          <w:szCs w:val="20"/>
        </w:rPr>
        <w:t>同时通过课堂讨论，即时解决学生听课过程中的难点。最后</w:t>
      </w:r>
      <w:r>
        <w:rPr>
          <w:rFonts w:ascii="宋体" w:hAnsi="宋体" w:hint="eastAsia"/>
        </w:rPr>
        <w:t>布置课后作业，让学生利用所学理论知识对某品牌、企业 或地区进行市场定位，巩固所学理论知识。</w:t>
      </w:r>
    </w:p>
    <w:p w14:paraId="67FE6418" w14:textId="77777777" w:rsidR="00F5289E" w:rsidRDefault="00C91173">
      <w:pPr>
        <w:widowControl/>
        <w:snapToGrid w:val="0"/>
        <w:spacing w:line="360" w:lineRule="auto"/>
        <w:jc w:val="right"/>
        <w:rPr>
          <w:rFonts w:ascii="宋体" w:hAnsi="宋体"/>
          <w:b/>
          <w:bCs/>
        </w:rPr>
      </w:pPr>
      <w:r>
        <w:rPr>
          <w:b/>
          <w:bCs/>
          <w:kern w:val="0"/>
          <w:szCs w:val="21"/>
        </w:rPr>
        <w:t> </w:t>
      </w:r>
      <w:r>
        <w:rPr>
          <w:rFonts w:hAnsi="宋体"/>
          <w:b/>
          <w:bCs/>
          <w:kern w:val="0"/>
          <w:szCs w:val="21"/>
        </w:rPr>
        <w:t>第</w:t>
      </w:r>
      <w:r>
        <w:rPr>
          <w:rFonts w:hAnsi="宋体" w:hint="eastAsia"/>
          <w:b/>
          <w:bCs/>
          <w:kern w:val="0"/>
          <w:szCs w:val="21"/>
        </w:rPr>
        <w:t>六</w:t>
      </w:r>
      <w:r>
        <w:rPr>
          <w:rFonts w:hAnsi="宋体"/>
          <w:b/>
          <w:bCs/>
          <w:kern w:val="0"/>
          <w:szCs w:val="21"/>
        </w:rPr>
        <w:t>章</w:t>
      </w:r>
      <w:r>
        <w:rPr>
          <w:b/>
          <w:bCs/>
          <w:kern w:val="0"/>
          <w:szCs w:val="21"/>
        </w:rPr>
        <w:t>    </w:t>
      </w:r>
      <w:r>
        <w:rPr>
          <w:rFonts w:hint="eastAsia"/>
          <w:b/>
          <w:bCs/>
          <w:kern w:val="0"/>
          <w:szCs w:val="21"/>
        </w:rPr>
        <w:t>园艺产品营销策略及选择</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hint="eastAsia"/>
          <w:b/>
          <w:bCs/>
          <w:kern w:val="0"/>
          <w:szCs w:val="21"/>
        </w:rPr>
        <w:t>1</w:t>
      </w:r>
      <w:r>
        <w:rPr>
          <w:rFonts w:hAnsi="宋体"/>
          <w:b/>
          <w:bCs/>
          <w:kern w:val="0"/>
          <w:szCs w:val="21"/>
        </w:rPr>
        <w:t>6</w:t>
      </w:r>
    </w:p>
    <w:p w14:paraId="2552DCD1"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园艺产品的产品策略（4</w:t>
      </w:r>
      <w:r>
        <w:rPr>
          <w:rFonts w:ascii="宋体" w:hAnsi="宋体"/>
          <w:b/>
          <w:bCs/>
        </w:rPr>
        <w:t>学时</w:t>
      </w:r>
      <w:r>
        <w:rPr>
          <w:rFonts w:ascii="宋体" w:hAnsi="宋体" w:hint="eastAsia"/>
          <w:b/>
          <w:bCs/>
        </w:rPr>
        <w:t>）</w:t>
      </w:r>
    </w:p>
    <w:p w14:paraId="76EDFE36"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掌握园艺产品营销中的产品整体概念及其不同阶段的营销策略理解产品组合的相关概念，知道如何对企业的产品组合状况进行分析判断和决策；掌握常用的品牌与包装策略；明确市场营销学中的新产品含义，了解新产品开发的组织、程序及市场扩散。</w:t>
      </w:r>
    </w:p>
    <w:p w14:paraId="233E57FA"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教学的重点是园艺产品生命周期各阶段的营销特点及营销策略；园艺产品品牌与包装的功能及策略；教学的难点是园艺产品整体概念的理解。</w:t>
      </w:r>
    </w:p>
    <w:p w14:paraId="29C1DD20" w14:textId="77777777" w:rsidR="00F5289E" w:rsidRDefault="00C91173">
      <w:pPr>
        <w:adjustRightInd w:val="0"/>
        <w:snapToGrid w:val="0"/>
        <w:spacing w:line="360" w:lineRule="auto"/>
      </w:pPr>
      <w:r>
        <w:rPr>
          <w:rFonts w:ascii="宋体" w:hAnsi="宋体" w:hint="eastAsia"/>
          <w:b/>
          <w:bCs/>
        </w:rPr>
        <w:t>主要教学内容及要求：</w:t>
      </w:r>
      <w:r>
        <w:rPr>
          <w:rFonts w:ascii="宋体" w:hAnsi="宋体" w:hint="eastAsia"/>
          <w:bCs/>
        </w:rPr>
        <w:t>了</w:t>
      </w:r>
      <w:r>
        <w:rPr>
          <w:rFonts w:hint="eastAsia"/>
        </w:rPr>
        <w:t>解</w:t>
      </w:r>
      <w:r>
        <w:rPr>
          <w:rFonts w:ascii="宋体" w:hAnsi="宋体" w:hint="eastAsia"/>
        </w:rPr>
        <w:t>园艺产品新产品的类型与开发</w:t>
      </w:r>
      <w:r>
        <w:rPr>
          <w:rFonts w:ascii="宋体" w:hAnsi="宋体" w:hint="eastAsia"/>
          <w:bCs/>
        </w:rPr>
        <w:t>；</w:t>
      </w:r>
      <w:r>
        <w:rPr>
          <w:rFonts w:ascii="宋体" w:hAnsi="宋体" w:hint="eastAsia"/>
        </w:rPr>
        <w:t>理解园艺产品的整体概念；</w:t>
      </w:r>
      <w:r>
        <w:rPr>
          <w:rFonts w:hint="eastAsia"/>
        </w:rPr>
        <w:t>掌握</w:t>
      </w:r>
      <w:r>
        <w:rPr>
          <w:rFonts w:ascii="宋体" w:hAnsi="宋体" w:hint="eastAsia"/>
          <w:bCs/>
        </w:rPr>
        <w:t>园艺产品生命周期各阶段的营销特点及营销策略；熟练掌握园艺产品品牌与包装的功能及策略。</w:t>
      </w:r>
    </w:p>
    <w:p w14:paraId="0D4CDD29" w14:textId="77777777" w:rsidR="00F5289E" w:rsidRDefault="00C91173">
      <w:pPr>
        <w:widowControl/>
        <w:snapToGrid w:val="0"/>
        <w:spacing w:line="360" w:lineRule="auto"/>
        <w:rPr>
          <w:rFonts w:hAnsi="宋体"/>
          <w:b/>
          <w:kern w:val="0"/>
          <w:szCs w:val="21"/>
        </w:rPr>
      </w:pPr>
      <w:r>
        <w:rPr>
          <w:rFonts w:ascii="宋体" w:hAnsi="宋体" w:hint="eastAsia"/>
          <w:b/>
          <w:bCs/>
        </w:rPr>
        <w:t>教学组织与实施：</w:t>
      </w:r>
      <w:r>
        <w:rPr>
          <w:rFonts w:ascii="宋体" w:hAnsi="宋体" w:hint="eastAsia"/>
          <w:bCs/>
        </w:rPr>
        <w:t>本节内容主要以理论讲授为主，结合大量的案例分析，部分重点内容结合相关小视频加深学生对理论的理解。以包装为例，通过金玉其外的成语故事小视频理解包装的意义及其优缺点。</w:t>
      </w:r>
      <w:r>
        <w:rPr>
          <w:rFonts w:ascii="宋体" w:hAnsi="宋体"/>
          <w:color w:val="0000FF"/>
          <w:szCs w:val="20"/>
        </w:rPr>
        <w:t xml:space="preserve"> </w:t>
      </w:r>
    </w:p>
    <w:p w14:paraId="58CD1AC7" w14:textId="77777777" w:rsidR="00F5289E" w:rsidRDefault="00C91173">
      <w:pPr>
        <w:widowControl/>
        <w:snapToGrid w:val="0"/>
        <w:spacing w:line="360" w:lineRule="auto"/>
        <w:jc w:val="left"/>
        <w:rPr>
          <w:b/>
          <w:kern w:val="0"/>
          <w:szCs w:val="21"/>
        </w:rPr>
      </w:pPr>
      <w:r>
        <w:rPr>
          <w:rFonts w:hAnsi="宋体"/>
          <w:b/>
          <w:kern w:val="0"/>
          <w:szCs w:val="21"/>
        </w:rPr>
        <w:t>第</w:t>
      </w:r>
      <w:r>
        <w:rPr>
          <w:rFonts w:hAnsi="宋体" w:hint="eastAsia"/>
          <w:b/>
          <w:kern w:val="0"/>
          <w:szCs w:val="21"/>
        </w:rPr>
        <w:t>二</w:t>
      </w:r>
      <w:r>
        <w:rPr>
          <w:rFonts w:hAnsi="宋体"/>
          <w:b/>
          <w:kern w:val="0"/>
          <w:szCs w:val="21"/>
        </w:rPr>
        <w:t>节</w:t>
      </w:r>
      <w:r>
        <w:rPr>
          <w:rFonts w:hAnsi="宋体" w:hint="eastAsia"/>
          <w:b/>
          <w:kern w:val="0"/>
          <w:szCs w:val="21"/>
        </w:rPr>
        <w:t xml:space="preserve">  </w:t>
      </w:r>
      <w:r>
        <w:rPr>
          <w:rFonts w:hAnsi="宋体" w:hint="eastAsia"/>
          <w:b/>
          <w:bCs/>
          <w:kern w:val="0"/>
          <w:szCs w:val="21"/>
        </w:rPr>
        <w:t>园艺产品的定价策略（</w:t>
      </w:r>
      <w:r>
        <w:rPr>
          <w:rFonts w:hint="eastAsia"/>
          <w:b/>
          <w:kern w:val="0"/>
          <w:szCs w:val="21"/>
        </w:rPr>
        <w:t>2</w:t>
      </w:r>
      <w:r>
        <w:rPr>
          <w:rFonts w:hAnsi="宋体"/>
          <w:b/>
          <w:kern w:val="0"/>
          <w:szCs w:val="21"/>
        </w:rPr>
        <w:t>学时</w:t>
      </w:r>
      <w:r>
        <w:rPr>
          <w:rFonts w:hAnsi="宋体" w:hint="eastAsia"/>
          <w:b/>
          <w:kern w:val="0"/>
          <w:szCs w:val="21"/>
        </w:rPr>
        <w:t>）</w:t>
      </w:r>
    </w:p>
    <w:p w14:paraId="4F891690"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掌握园艺产品价格确定方法及策略应用。</w:t>
      </w:r>
    </w:p>
    <w:p w14:paraId="59337D16"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教学的重点园艺产品定价策略；难点是是影响园艺产品定价的因素。</w:t>
      </w:r>
    </w:p>
    <w:p w14:paraId="2752889D" w14:textId="77777777" w:rsidR="00F5289E" w:rsidRDefault="00C91173">
      <w:pPr>
        <w:adjustRightInd w:val="0"/>
        <w:snapToGrid w:val="0"/>
        <w:spacing w:line="360" w:lineRule="auto"/>
        <w:rPr>
          <w:rFonts w:ascii="宋体" w:hAnsi="宋体"/>
        </w:rPr>
      </w:pPr>
      <w:r>
        <w:rPr>
          <w:rFonts w:ascii="宋体" w:hAnsi="宋体" w:hint="eastAsia"/>
          <w:b/>
          <w:bCs/>
        </w:rPr>
        <w:t>主要教学内容及要求：</w:t>
      </w:r>
      <w:r>
        <w:rPr>
          <w:rFonts w:ascii="宋体" w:hAnsi="宋体" w:hint="eastAsia"/>
          <w:bCs/>
        </w:rPr>
        <w:t>了</w:t>
      </w:r>
      <w:r>
        <w:rPr>
          <w:rFonts w:hint="eastAsia"/>
        </w:rPr>
        <w:t>解</w:t>
      </w:r>
      <w:r>
        <w:rPr>
          <w:rFonts w:ascii="宋体" w:hAnsi="宋体" w:hint="eastAsia"/>
          <w:bCs/>
        </w:rPr>
        <w:t>艺产品价格制定程序；理解影响园艺产品定价的主要因素；掌握园艺产品的三大定价方法，熟练掌握并运用价格策略去进行不同类型产品的价格设定。</w:t>
      </w:r>
    </w:p>
    <w:p w14:paraId="244FBDC9"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通过理论结合案例分析的讲授方式使同学们理解产品的定价策略，课后安排作业市场价格调查，让学生了解市场上园艺产品所采用的价格策略及其效果，通过理论与案例及实践相结合的方式了解并掌握园艺产品价格策略。</w:t>
      </w:r>
    </w:p>
    <w:p w14:paraId="22309E30" w14:textId="77777777" w:rsidR="00F5289E" w:rsidRDefault="00C91173">
      <w:pPr>
        <w:widowControl/>
        <w:snapToGrid w:val="0"/>
        <w:spacing w:line="360" w:lineRule="auto"/>
        <w:jc w:val="left"/>
        <w:rPr>
          <w:b/>
          <w:kern w:val="0"/>
          <w:szCs w:val="21"/>
        </w:rPr>
      </w:pPr>
      <w:r>
        <w:rPr>
          <w:rFonts w:hAnsi="宋体"/>
          <w:b/>
          <w:kern w:val="0"/>
          <w:szCs w:val="21"/>
        </w:rPr>
        <w:t>第</w:t>
      </w:r>
      <w:r>
        <w:rPr>
          <w:rFonts w:hAnsi="宋体" w:hint="eastAsia"/>
          <w:b/>
          <w:kern w:val="0"/>
          <w:szCs w:val="21"/>
        </w:rPr>
        <w:t>三</w:t>
      </w:r>
      <w:r>
        <w:rPr>
          <w:rFonts w:hAnsi="宋体"/>
          <w:b/>
          <w:kern w:val="0"/>
          <w:szCs w:val="21"/>
        </w:rPr>
        <w:t>节</w:t>
      </w:r>
      <w:r>
        <w:rPr>
          <w:rFonts w:hAnsi="宋体" w:hint="eastAsia"/>
          <w:b/>
          <w:kern w:val="0"/>
          <w:szCs w:val="21"/>
        </w:rPr>
        <w:t xml:space="preserve">  </w:t>
      </w:r>
      <w:r>
        <w:rPr>
          <w:rFonts w:hAnsi="宋体" w:hint="eastAsia"/>
          <w:b/>
          <w:bCs/>
          <w:kern w:val="0"/>
          <w:szCs w:val="21"/>
        </w:rPr>
        <w:t>园艺产品的渠道策略（</w:t>
      </w:r>
      <w:r>
        <w:rPr>
          <w:rFonts w:hint="eastAsia"/>
          <w:b/>
          <w:kern w:val="0"/>
          <w:szCs w:val="21"/>
        </w:rPr>
        <w:t>2</w:t>
      </w:r>
      <w:r>
        <w:rPr>
          <w:rFonts w:hAnsi="宋体"/>
          <w:b/>
          <w:kern w:val="0"/>
          <w:szCs w:val="21"/>
        </w:rPr>
        <w:t>学时</w:t>
      </w:r>
      <w:r>
        <w:rPr>
          <w:rFonts w:hAnsi="宋体" w:hint="eastAsia"/>
          <w:b/>
          <w:kern w:val="0"/>
          <w:szCs w:val="21"/>
        </w:rPr>
        <w:t>）</w:t>
      </w:r>
    </w:p>
    <w:p w14:paraId="3E316CEE" w14:textId="77777777" w:rsidR="00F5289E" w:rsidRDefault="00C91173">
      <w:pPr>
        <w:widowControl/>
        <w:snapToGrid w:val="0"/>
        <w:spacing w:line="360" w:lineRule="auto"/>
        <w:rPr>
          <w:rFonts w:ascii="宋体" w:hAnsi="宋体"/>
          <w:bCs/>
        </w:rPr>
      </w:pPr>
      <w:r>
        <w:rPr>
          <w:rFonts w:ascii="宋体" w:hAnsi="宋体" w:hint="eastAsia"/>
          <w:b/>
          <w:bCs/>
        </w:rPr>
        <w:lastRenderedPageBreak/>
        <w:t>教学目标：</w:t>
      </w:r>
      <w:r>
        <w:rPr>
          <w:rFonts w:ascii="宋体" w:hAnsi="宋体" w:hint="eastAsia"/>
          <w:bCs/>
        </w:rPr>
        <w:t>了解渠道的各个环节及其作用和意义；利用掌握的园艺产品在全国各个产区生产状况和园艺产品的特点指导园艺产品流通。</w:t>
      </w:r>
    </w:p>
    <w:p w14:paraId="092CC9F8"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教学的重点和难点是园艺产品的渠道现状及对策。</w:t>
      </w:r>
    </w:p>
    <w:p w14:paraId="164CEAF7" w14:textId="77777777" w:rsidR="00F5289E" w:rsidRDefault="00C91173">
      <w:pPr>
        <w:pStyle w:val="a7"/>
        <w:snapToGrid w:val="0"/>
        <w:spacing w:line="360" w:lineRule="auto"/>
        <w:ind w:firstLineChars="0" w:firstLine="0"/>
        <w:jc w:val="left"/>
        <w:rPr>
          <w:rFonts w:ascii="宋体" w:hAnsi="宋体"/>
          <w:bCs/>
          <w:szCs w:val="24"/>
        </w:rPr>
      </w:pPr>
      <w:r>
        <w:rPr>
          <w:rFonts w:ascii="宋体" w:hAnsi="宋体" w:hint="eastAsia"/>
          <w:b/>
          <w:bCs/>
        </w:rPr>
        <w:t>主要教学内容及要求：</w:t>
      </w:r>
      <w:r>
        <w:rPr>
          <w:rFonts w:ascii="宋体" w:hAnsi="宋体" w:hint="eastAsia"/>
          <w:bCs/>
        </w:rPr>
        <w:t>了解渠道</w:t>
      </w:r>
      <w:r>
        <w:rPr>
          <w:rFonts w:ascii="宋体" w:hAnsi="宋体" w:hint="eastAsia"/>
          <w:bCs/>
          <w:szCs w:val="24"/>
        </w:rPr>
        <w:t>的各个环节及其作用和意义</w:t>
      </w:r>
      <w:r>
        <w:rPr>
          <w:rFonts w:ascii="宋体" w:hAnsi="宋体" w:hint="eastAsia"/>
          <w:bCs/>
        </w:rPr>
        <w:t>；理</w:t>
      </w:r>
      <w:r>
        <w:rPr>
          <w:rFonts w:ascii="宋体" w:hAnsi="宋体" w:hint="eastAsia"/>
          <w:bCs/>
          <w:szCs w:val="24"/>
        </w:rPr>
        <w:t>解园艺产品</w:t>
      </w:r>
      <w:r>
        <w:rPr>
          <w:rFonts w:ascii="宋体" w:hAnsi="宋体" w:hint="eastAsia"/>
          <w:bCs/>
        </w:rPr>
        <w:t>市场流通渠道的类型及园艺产品现有的渠道现状与特；</w:t>
      </w:r>
      <w:r>
        <w:rPr>
          <w:rFonts w:ascii="宋体" w:hAnsi="宋体" w:hint="eastAsia"/>
          <w:bCs/>
          <w:szCs w:val="24"/>
        </w:rPr>
        <w:t>掌握园艺产品市场流通渠道的类型，熟练掌握各渠道类型的优缺点及适合的园艺产品种类。</w:t>
      </w:r>
    </w:p>
    <w:p w14:paraId="1FDEBE3B"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理论讲授为主，列出案例通过课堂讨论进一步加深学生对园艺产品流通渠道重要性的理解。</w:t>
      </w:r>
    </w:p>
    <w:p w14:paraId="3F348F43" w14:textId="77777777" w:rsidR="00F5289E" w:rsidRDefault="00C91173">
      <w:pPr>
        <w:spacing w:line="360" w:lineRule="auto"/>
      </w:pPr>
      <w:r>
        <w:rPr>
          <w:rFonts w:ascii="宋体" w:hAnsi="宋体" w:cs="宋体" w:hint="eastAsia"/>
          <w:b/>
          <w:bCs/>
        </w:rPr>
        <w:t>第四节  园艺产品促销策略（</w:t>
      </w:r>
      <w:r>
        <w:rPr>
          <w:rFonts w:hint="eastAsia"/>
          <w:b/>
          <w:bCs/>
          <w:kern w:val="0"/>
          <w:szCs w:val="21"/>
        </w:rPr>
        <w:t>5</w:t>
      </w:r>
      <w:r>
        <w:rPr>
          <w:rFonts w:hint="eastAsia"/>
          <w:b/>
          <w:bCs/>
          <w:kern w:val="0"/>
          <w:szCs w:val="21"/>
        </w:rPr>
        <w:t>学时</w:t>
      </w:r>
      <w:r>
        <w:rPr>
          <w:rFonts w:ascii="宋体" w:hAnsi="宋体" w:cs="宋体" w:hint="eastAsia"/>
          <w:b/>
          <w:bCs/>
        </w:rPr>
        <w:t>）</w:t>
      </w:r>
    </w:p>
    <w:p w14:paraId="5E68CF29" w14:textId="77777777" w:rsidR="00F5289E" w:rsidRDefault="00C91173">
      <w:pPr>
        <w:spacing w:line="360" w:lineRule="auto"/>
        <w:rPr>
          <w:rFonts w:ascii="宋体" w:hAnsi="宋体" w:cs="宋体"/>
          <w:b/>
          <w:bCs/>
        </w:rPr>
      </w:pPr>
      <w:r>
        <w:rPr>
          <w:rFonts w:ascii="宋体" w:hAnsi="宋体" w:hint="eastAsia"/>
          <w:b/>
          <w:bCs/>
        </w:rPr>
        <w:t>教学目标：</w:t>
      </w:r>
      <w:r>
        <w:rPr>
          <w:rFonts w:ascii="宋体" w:hAnsi="宋体" w:cs="宋体" w:hint="eastAsia"/>
          <w:bCs/>
          <w:szCs w:val="21"/>
        </w:rPr>
        <w:t>促销策略是园艺产品营销学的核心内容之一，学习本节是让同学们真正理解促进销售的意义及促销的方式和组合。</w:t>
      </w:r>
    </w:p>
    <w:p w14:paraId="75E03F38" w14:textId="77777777" w:rsidR="00F5289E" w:rsidRDefault="00C91173">
      <w:pPr>
        <w:spacing w:line="360" w:lineRule="auto"/>
        <w:rPr>
          <w:rFonts w:ascii="宋体" w:hAnsi="宋体" w:cs="宋体"/>
          <w:b/>
          <w:bCs/>
        </w:rPr>
      </w:pPr>
      <w:r>
        <w:rPr>
          <w:rFonts w:ascii="宋体" w:hAnsi="宋体" w:hint="eastAsia"/>
          <w:b/>
          <w:bCs/>
        </w:rPr>
        <w:t>教学重点和难点：</w:t>
      </w:r>
      <w:r>
        <w:rPr>
          <w:rFonts w:ascii="宋体" w:hAnsi="宋体" w:cs="宋体" w:hint="eastAsia"/>
          <w:bCs/>
          <w:szCs w:val="21"/>
        </w:rPr>
        <w:t>促销的意义和作用；四种促销方式中广告、人员销售、营业推广、公共关系的内容及特点；促销组合策略的种类及选择因素。</w:t>
      </w:r>
    </w:p>
    <w:p w14:paraId="36E633B1" w14:textId="77777777" w:rsidR="00F5289E" w:rsidRDefault="00C91173">
      <w:pPr>
        <w:spacing w:line="360" w:lineRule="auto"/>
        <w:rPr>
          <w:rFonts w:ascii="宋体" w:hAnsi="宋体"/>
          <w:b/>
        </w:rPr>
      </w:pPr>
      <w:r>
        <w:rPr>
          <w:rFonts w:ascii="宋体" w:hAnsi="宋体" w:hint="eastAsia"/>
          <w:b/>
        </w:rPr>
        <w:t>主要教学内容及要求：</w:t>
      </w:r>
    </w:p>
    <w:p w14:paraId="3859D9F4" w14:textId="77777777" w:rsidR="00F5289E" w:rsidRDefault="00C91173">
      <w:pPr>
        <w:spacing w:line="360" w:lineRule="auto"/>
        <w:ind w:firstLineChars="200" w:firstLine="420"/>
        <w:rPr>
          <w:rFonts w:ascii="宋体" w:hAnsi="宋体" w:cs="宋体"/>
          <w:bCs/>
          <w:szCs w:val="21"/>
        </w:rPr>
      </w:pPr>
      <w:r>
        <w:rPr>
          <w:rFonts w:ascii="宋体" w:hAnsi="宋体" w:cs="宋体" w:hint="eastAsia"/>
          <w:bCs/>
        </w:rPr>
        <w:t>本节主要介绍了园艺产品的促销策略，促销的作用与原则；</w:t>
      </w:r>
      <w:r>
        <w:rPr>
          <w:rFonts w:ascii="宋体" w:hAnsi="宋体" w:cs="宋体" w:hint="eastAsia"/>
          <w:bCs/>
          <w:szCs w:val="21"/>
        </w:rPr>
        <w:t>四种</w:t>
      </w:r>
      <w:r>
        <w:rPr>
          <w:rFonts w:ascii="宋体" w:hAnsi="宋体" w:cs="宋体" w:hint="eastAsia"/>
          <w:bCs/>
        </w:rPr>
        <w:t>促销方式</w:t>
      </w:r>
      <w:r>
        <w:rPr>
          <w:rFonts w:ascii="宋体" w:hAnsi="宋体" w:cs="宋体" w:hint="eastAsia"/>
          <w:bCs/>
          <w:szCs w:val="21"/>
        </w:rPr>
        <w:t>中广告、人员销售、营业推广、公共关系的概念、形式、特点及原则；促销组合策略的种类及影响选择促销组合策略的因素。</w:t>
      </w:r>
    </w:p>
    <w:p w14:paraId="6A0B3882" w14:textId="77777777" w:rsidR="00F5289E" w:rsidRDefault="00C91173">
      <w:pPr>
        <w:spacing w:line="360" w:lineRule="auto"/>
        <w:ind w:firstLineChars="200" w:firstLine="420"/>
        <w:rPr>
          <w:rFonts w:ascii="宋体" w:hAnsi="宋体"/>
          <w:b/>
        </w:rPr>
      </w:pPr>
      <w:r>
        <w:rPr>
          <w:rFonts w:ascii="宋体" w:hAnsi="宋体" w:cs="宋体" w:hint="eastAsia"/>
          <w:bCs/>
          <w:szCs w:val="21"/>
        </w:rPr>
        <w:t>要求学生理解促销与促销组合的概念，各种促销方式的基本原则；掌握促销策略的作用与原则，促销的四种方式及各方式的概念及特点；熟练掌握四种促销方式的具体形式，促销组合策略的种类以及影响选择促销组合策略的因素。</w:t>
      </w:r>
    </w:p>
    <w:p w14:paraId="4B83CF62" w14:textId="77777777" w:rsidR="00F5289E" w:rsidRDefault="00C91173">
      <w:pPr>
        <w:spacing w:line="360" w:lineRule="auto"/>
        <w:rPr>
          <w:rFonts w:ascii="宋体" w:hAnsi="宋体"/>
          <w:b/>
          <w:bCs/>
        </w:rPr>
      </w:pPr>
      <w:r>
        <w:rPr>
          <w:rFonts w:ascii="宋体" w:hAnsi="宋体" w:hint="eastAsia"/>
          <w:b/>
          <w:bCs/>
        </w:rPr>
        <w:t>教学组织与实施：</w:t>
      </w:r>
      <w:r>
        <w:rPr>
          <w:rFonts w:ascii="宋体" w:hAnsi="宋体" w:cs="宋体" w:hint="eastAsia"/>
        </w:rPr>
        <w:t>由浅入深引导学生掌握乃至熟练掌握本节的重点难点，使学生既能从总体上理解促销及促销组合的概念，又能具体掌握不同促销方式的特点、原则以及适用环境。</w:t>
      </w:r>
    </w:p>
    <w:p w14:paraId="1AB7BB9E" w14:textId="77777777" w:rsidR="00F5289E" w:rsidRDefault="00C91173">
      <w:pPr>
        <w:spacing w:line="360" w:lineRule="auto"/>
        <w:rPr>
          <w:rFonts w:ascii="宋体" w:hAnsi="宋体"/>
          <w:b/>
          <w:bCs/>
        </w:rPr>
      </w:pPr>
      <w:r>
        <w:rPr>
          <w:b/>
          <w:bCs/>
        </w:rPr>
        <w:t>第五节</w:t>
      </w:r>
      <w:r>
        <w:rPr>
          <w:b/>
          <w:bCs/>
        </w:rPr>
        <w:t xml:space="preserve">  </w:t>
      </w:r>
      <w:r>
        <w:rPr>
          <w:b/>
          <w:bCs/>
        </w:rPr>
        <w:t>园艺产品营销组合战略</w:t>
      </w:r>
      <w:r>
        <w:rPr>
          <w:rFonts w:hint="eastAsia"/>
          <w:b/>
          <w:bCs/>
        </w:rPr>
        <w:t>（</w:t>
      </w:r>
      <w:r>
        <w:rPr>
          <w:rFonts w:hint="eastAsia"/>
          <w:b/>
          <w:bCs/>
        </w:rPr>
        <w:t>3</w:t>
      </w:r>
      <w:r>
        <w:rPr>
          <w:rFonts w:hint="eastAsia"/>
          <w:b/>
          <w:bCs/>
        </w:rPr>
        <w:t>学时）</w:t>
      </w:r>
    </w:p>
    <w:p w14:paraId="15A56E26" w14:textId="77777777" w:rsidR="00F5289E" w:rsidRDefault="00C91173">
      <w:pPr>
        <w:spacing w:line="360" w:lineRule="auto"/>
      </w:pPr>
      <w:r>
        <w:rPr>
          <w:rFonts w:ascii="宋体" w:hAnsi="宋体" w:cs="宋体" w:hint="eastAsia"/>
          <w:b/>
          <w:bCs/>
        </w:rPr>
        <w:t>教学目标：</w:t>
      </w:r>
      <w:r>
        <w:rPr>
          <w:rFonts w:ascii="宋体" w:hAnsi="宋体" w:cs="宋体" w:hint="eastAsia"/>
        </w:rPr>
        <w:t>营销组合战略</w:t>
      </w:r>
      <w:r>
        <w:rPr>
          <w:rFonts w:ascii="宋体" w:hAnsi="宋体" w:cs="宋体" w:hint="eastAsia"/>
          <w:szCs w:val="21"/>
        </w:rPr>
        <w:t>是</w:t>
      </w:r>
      <w:r>
        <w:rPr>
          <w:rFonts w:ascii="宋体" w:hAnsi="宋体" w:cs="宋体" w:hint="eastAsia"/>
        </w:rPr>
        <w:t>园艺产品</w:t>
      </w:r>
      <w:r>
        <w:rPr>
          <w:rFonts w:ascii="宋体" w:hAnsi="宋体" w:cs="宋体" w:hint="eastAsia"/>
          <w:szCs w:val="21"/>
        </w:rPr>
        <w:t>营销学的核心内容之一，学习本节是让同学们真正理解并掌握</w:t>
      </w:r>
      <w:r>
        <w:rPr>
          <w:rFonts w:ascii="宋体" w:hAnsi="宋体" w:cs="宋体" w:hint="eastAsia"/>
        </w:rPr>
        <w:t>园艺产品营销组合战略含义、意义以及我国园艺产品国际营销组合战略与国内营销组合策略的内容与区别。</w:t>
      </w:r>
    </w:p>
    <w:p w14:paraId="067F61CE" w14:textId="77777777" w:rsidR="00F5289E" w:rsidRDefault="00C91173">
      <w:pPr>
        <w:spacing w:line="360" w:lineRule="auto"/>
        <w:rPr>
          <w:rFonts w:ascii="宋体" w:hAnsi="宋体"/>
          <w:b/>
          <w:bCs/>
        </w:rPr>
      </w:pPr>
      <w:r>
        <w:rPr>
          <w:rFonts w:ascii="宋体" w:hAnsi="宋体" w:cs="宋体" w:hint="eastAsia"/>
          <w:b/>
          <w:bCs/>
        </w:rPr>
        <w:t>教学重点和难点：</w:t>
      </w:r>
      <w:r>
        <w:rPr>
          <w:rFonts w:ascii="宋体" w:hAnsi="宋体" w:cs="宋体" w:hint="eastAsia"/>
        </w:rPr>
        <w:t>园艺产品营销组合及营销组合战略的含义、意义；我国园艺产品国际营销组合战略中产品、价格、促销、渠道四种策略的内容及与国内营销组合策略的区别。</w:t>
      </w:r>
    </w:p>
    <w:p w14:paraId="5FD7BF93" w14:textId="77777777" w:rsidR="00F5289E" w:rsidRDefault="00C91173">
      <w:pPr>
        <w:spacing w:line="360" w:lineRule="auto"/>
        <w:rPr>
          <w:rFonts w:ascii="宋体" w:hAnsi="宋体"/>
          <w:b/>
        </w:rPr>
      </w:pPr>
      <w:r>
        <w:rPr>
          <w:rFonts w:ascii="宋体" w:hAnsi="宋体" w:cs="宋体" w:hint="eastAsia"/>
          <w:b/>
        </w:rPr>
        <w:t>主要教学内容及要求：</w:t>
      </w:r>
    </w:p>
    <w:p w14:paraId="72DD5CE4" w14:textId="77777777" w:rsidR="00F5289E" w:rsidRDefault="00C91173">
      <w:pPr>
        <w:spacing w:line="360" w:lineRule="auto"/>
        <w:ind w:firstLineChars="200" w:firstLine="420"/>
        <w:rPr>
          <w:rFonts w:ascii="宋体" w:hAnsi="宋体" w:cs="宋体"/>
          <w:bCs/>
        </w:rPr>
      </w:pPr>
      <w:r>
        <w:rPr>
          <w:rFonts w:ascii="宋体" w:hAnsi="宋体" w:cs="宋体" w:hint="eastAsia"/>
          <w:bCs/>
        </w:rPr>
        <w:t>本节主要介绍了园艺产品营销组合及营销组合战略的含义、意义；加入世贸组织后我国园艺产</w:t>
      </w:r>
      <w:r>
        <w:rPr>
          <w:rFonts w:ascii="宋体" w:hAnsi="宋体" w:cs="宋体" w:hint="eastAsia"/>
          <w:bCs/>
        </w:rPr>
        <w:lastRenderedPageBreak/>
        <w:t>业的现状；我国园艺产品国际营销组合战略中产品、价格、促销、渠道四种策略的内容及与国内营销组合策略的区别。</w:t>
      </w:r>
    </w:p>
    <w:p w14:paraId="314185A6" w14:textId="77777777" w:rsidR="00F5289E" w:rsidRDefault="00C91173">
      <w:pPr>
        <w:spacing w:line="360" w:lineRule="auto"/>
        <w:ind w:firstLineChars="200" w:firstLine="420"/>
        <w:rPr>
          <w:rFonts w:ascii="宋体" w:hAnsi="宋体"/>
          <w:b/>
          <w:bCs/>
        </w:rPr>
      </w:pPr>
      <w:r>
        <w:rPr>
          <w:rFonts w:ascii="宋体" w:hAnsi="宋体" w:cs="宋体" w:hint="eastAsia"/>
          <w:bCs/>
        </w:rPr>
        <w:t>要求学生了解我国园艺产业在加入世贸组织后的现状及优势，理解营销组合及营销组合战略的含义、营销组合的意义，掌握我国园艺产品营销组合战略中的产品策略、价格策略、促销策略以及渠道策略，掌握国际营销组合策略和国内营销组合策略的区别。</w:t>
      </w:r>
    </w:p>
    <w:p w14:paraId="39B0FDA8" w14:textId="77777777" w:rsidR="00F5289E" w:rsidRDefault="00C91173">
      <w:pPr>
        <w:spacing w:line="360" w:lineRule="auto"/>
        <w:rPr>
          <w:rFonts w:ascii="宋体" w:hAnsi="宋体" w:cs="宋体"/>
        </w:rPr>
      </w:pPr>
      <w:r>
        <w:rPr>
          <w:rFonts w:ascii="宋体" w:hAnsi="宋体" w:cs="宋体" w:hint="eastAsia"/>
          <w:b/>
          <w:bCs/>
        </w:rPr>
        <w:t>教学组织与实施：</w:t>
      </w:r>
      <w:r>
        <w:rPr>
          <w:rFonts w:ascii="宋体" w:hAnsi="宋体" w:cs="宋体" w:hint="eastAsia"/>
        </w:rPr>
        <w:t>根据本节特点，应指导学生理解并掌握在实际案例中如何运用园艺产品营销组合策略，让学生自己思考并提出方案，再将不同的方案相互比较，争取找到最优方案。在讨论过程中，加深学生对营销组合策略的理解，并掌握制定思路。</w:t>
      </w:r>
    </w:p>
    <w:p w14:paraId="55FFF364" w14:textId="77777777" w:rsidR="00F5289E" w:rsidRDefault="00C91173">
      <w:pPr>
        <w:snapToGrid w:val="0"/>
        <w:spacing w:line="360" w:lineRule="auto"/>
        <w:rPr>
          <w:rFonts w:ascii="宋体" w:hAnsi="宋体"/>
          <w:b/>
          <w:szCs w:val="21"/>
        </w:rPr>
      </w:pPr>
      <w:r>
        <w:rPr>
          <w:rFonts w:ascii="宋体" w:hAnsi="宋体" w:hint="eastAsia"/>
          <w:b/>
          <w:szCs w:val="21"/>
        </w:rPr>
        <w:t>五</w:t>
      </w:r>
      <w:r>
        <w:rPr>
          <w:rFonts w:ascii="宋体" w:hAnsi="宋体"/>
          <w:b/>
          <w:szCs w:val="21"/>
        </w:rPr>
        <w:t>、</w:t>
      </w:r>
      <w:r>
        <w:rPr>
          <w:rFonts w:ascii="宋体" w:hAnsi="宋体" w:hint="eastAsia"/>
          <w:b/>
          <w:szCs w:val="21"/>
        </w:rPr>
        <w:t>课程思政</w:t>
      </w:r>
    </w:p>
    <w:p w14:paraId="5729299B" w14:textId="77777777" w:rsidR="00F5289E" w:rsidRDefault="00C91173">
      <w:pPr>
        <w:snapToGrid w:val="0"/>
        <w:spacing w:line="360" w:lineRule="auto"/>
        <w:ind w:firstLineChars="200" w:firstLine="420"/>
        <w:rPr>
          <w:rFonts w:ascii="宋体" w:hAnsi="宋体"/>
          <w:bCs/>
          <w:kern w:val="0"/>
          <w:szCs w:val="21"/>
        </w:rPr>
      </w:pPr>
      <w:r>
        <w:rPr>
          <w:rFonts w:ascii="宋体" w:hAnsi="宋体" w:hint="eastAsia"/>
          <w:bCs/>
          <w:kern w:val="0"/>
          <w:szCs w:val="21"/>
        </w:rPr>
        <w:t>（1）制定园艺产品营销方案需要遵守相关原则，如诚实守信、遵守国家相关法律法规，以及避免恶意竞争等。通过这些部分的讲授，培养学生正确的三观，明确道德底线。</w:t>
      </w:r>
    </w:p>
    <w:p w14:paraId="612DF6D3" w14:textId="77777777" w:rsidR="00F5289E" w:rsidRDefault="00C91173">
      <w:pPr>
        <w:snapToGrid w:val="0"/>
        <w:spacing w:line="360" w:lineRule="auto"/>
        <w:ind w:firstLineChars="200" w:firstLine="420"/>
        <w:rPr>
          <w:rFonts w:hAnsi="宋体"/>
          <w:color w:val="0000FF"/>
          <w:szCs w:val="21"/>
        </w:rPr>
      </w:pPr>
      <w:r>
        <w:rPr>
          <w:rFonts w:ascii="宋体" w:hAnsi="宋体" w:hint="eastAsia"/>
          <w:bCs/>
          <w:kern w:val="0"/>
          <w:szCs w:val="21"/>
        </w:rPr>
        <w:t>（</w:t>
      </w:r>
      <w:r>
        <w:rPr>
          <w:rFonts w:ascii="宋体" w:hAnsi="宋体"/>
          <w:bCs/>
          <w:kern w:val="0"/>
          <w:szCs w:val="21"/>
        </w:rPr>
        <w:t>2</w:t>
      </w:r>
      <w:r>
        <w:rPr>
          <w:rFonts w:ascii="宋体" w:hAnsi="宋体" w:hint="eastAsia"/>
          <w:bCs/>
          <w:kern w:val="0"/>
          <w:szCs w:val="21"/>
        </w:rPr>
        <w:t>）营销方案需要营销人员的通力配合才能得以完成，对企业内部而言，需要各部门团结合作，互相成就；对部门内部员工来讲，需要全力以赴才能有最佳成绩。通过这些部分的讲授让学生明白团结的重要性，同时要有力争上游，不断进取的良好心态来面对学习和以后的工作。</w:t>
      </w:r>
    </w:p>
    <w:p w14:paraId="3B62DC7C" w14:textId="77777777" w:rsidR="00F5289E" w:rsidRDefault="00C91173">
      <w:pPr>
        <w:widowControl/>
        <w:snapToGrid w:val="0"/>
        <w:spacing w:line="360" w:lineRule="auto"/>
        <w:jc w:val="left"/>
        <w:rPr>
          <w:kern w:val="0"/>
          <w:szCs w:val="21"/>
        </w:rPr>
      </w:pPr>
      <w:r>
        <w:rPr>
          <w:rFonts w:hAnsi="宋体" w:hint="eastAsia"/>
          <w:b/>
          <w:bCs/>
          <w:kern w:val="0"/>
          <w:szCs w:val="21"/>
        </w:rPr>
        <w:t>六</w:t>
      </w:r>
      <w:r>
        <w:rPr>
          <w:rFonts w:hAnsi="宋体"/>
          <w:b/>
          <w:bCs/>
          <w:kern w:val="0"/>
          <w:szCs w:val="21"/>
        </w:rPr>
        <w:t>、教材</w:t>
      </w:r>
      <w:r>
        <w:rPr>
          <w:rFonts w:hAnsi="宋体" w:hint="eastAsia"/>
          <w:b/>
          <w:bCs/>
          <w:kern w:val="0"/>
          <w:szCs w:val="21"/>
        </w:rPr>
        <w:t>及教学参考书</w:t>
      </w:r>
    </w:p>
    <w:p w14:paraId="5AB16719"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62CD130E"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（1）理论课教材：</w:t>
      </w:r>
      <w:r>
        <w:rPr>
          <w:rFonts w:hAnsi="宋体" w:hint="eastAsia"/>
          <w:bCs/>
          <w:kern w:val="0"/>
          <w:szCs w:val="21"/>
        </w:rPr>
        <w:t>园艺产品营销</w:t>
      </w:r>
      <w:r>
        <w:rPr>
          <w:rFonts w:hAnsi="宋体"/>
          <w:bCs/>
          <w:kern w:val="0"/>
          <w:szCs w:val="21"/>
        </w:rPr>
        <w:t>，</w:t>
      </w:r>
      <w:r>
        <w:rPr>
          <w:rFonts w:hAnsi="宋体" w:hint="eastAsia"/>
          <w:bCs/>
          <w:kern w:val="0"/>
          <w:szCs w:val="21"/>
        </w:rPr>
        <w:t>崔坤</w:t>
      </w:r>
      <w:r>
        <w:rPr>
          <w:rFonts w:hAnsi="宋体" w:hint="eastAsia"/>
          <w:bCs/>
          <w:kern w:val="0"/>
          <w:szCs w:val="21"/>
        </w:rPr>
        <w:t xml:space="preserve"> </w:t>
      </w:r>
      <w:r>
        <w:rPr>
          <w:rFonts w:hAnsi="宋体"/>
          <w:bCs/>
          <w:kern w:val="0"/>
          <w:szCs w:val="21"/>
        </w:rPr>
        <w:t>编著，</w:t>
      </w:r>
      <w:r>
        <w:rPr>
          <w:rFonts w:hAnsi="宋体" w:hint="eastAsia"/>
          <w:bCs/>
          <w:kern w:val="0"/>
          <w:szCs w:val="21"/>
        </w:rPr>
        <w:t>中国农业出版社</w:t>
      </w:r>
      <w:r>
        <w:rPr>
          <w:rFonts w:hAnsi="宋体"/>
          <w:bCs/>
          <w:kern w:val="0"/>
          <w:szCs w:val="21"/>
        </w:rPr>
        <w:t>，</w:t>
      </w:r>
      <w:r>
        <w:rPr>
          <w:rFonts w:hAnsi="宋体" w:hint="eastAsia"/>
          <w:bCs/>
          <w:kern w:val="0"/>
          <w:szCs w:val="21"/>
        </w:rPr>
        <w:t>20</w:t>
      </w:r>
      <w:r>
        <w:rPr>
          <w:rFonts w:hAnsi="宋体"/>
          <w:bCs/>
          <w:kern w:val="0"/>
          <w:szCs w:val="21"/>
        </w:rPr>
        <w:t>06</w:t>
      </w:r>
      <w:r>
        <w:rPr>
          <w:rFonts w:hAnsi="宋体" w:hint="eastAsia"/>
          <w:bCs/>
          <w:kern w:val="0"/>
          <w:szCs w:val="21"/>
        </w:rPr>
        <w:t>年</w:t>
      </w:r>
    </w:p>
    <w:p w14:paraId="7060EC48"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51556B15" w14:textId="77777777" w:rsidR="00F5289E" w:rsidRDefault="00C91173">
      <w:pPr>
        <w:snapToGrid w:val="0"/>
        <w:spacing w:line="360" w:lineRule="auto"/>
        <w:ind w:firstLineChars="200" w:firstLine="420"/>
        <w:rPr>
          <w:rFonts w:hAnsi="宋体"/>
          <w:b/>
          <w:bCs/>
          <w:strike/>
          <w:color w:val="0000FF"/>
          <w:kern w:val="0"/>
          <w:szCs w:val="21"/>
        </w:rPr>
      </w:pPr>
      <w:r>
        <w:rPr>
          <w:rFonts w:hAnsi="宋体"/>
          <w:bCs/>
          <w:kern w:val="0"/>
          <w:szCs w:val="21"/>
        </w:rPr>
        <w:t>（</w:t>
      </w:r>
      <w:r>
        <w:rPr>
          <w:bCs/>
          <w:kern w:val="0"/>
          <w:szCs w:val="21"/>
        </w:rPr>
        <w:t>1</w:t>
      </w:r>
      <w:r>
        <w:rPr>
          <w:rFonts w:hAnsi="宋体"/>
          <w:bCs/>
          <w:kern w:val="0"/>
          <w:szCs w:val="21"/>
        </w:rPr>
        <w:t>）</w:t>
      </w:r>
      <w:r>
        <w:rPr>
          <w:rFonts w:hAnsi="宋体" w:hint="eastAsia"/>
          <w:bCs/>
          <w:kern w:val="0"/>
          <w:szCs w:val="21"/>
        </w:rPr>
        <w:t>市场营销学。薛云建。人民邮电出版社，</w:t>
      </w:r>
      <w:r>
        <w:rPr>
          <w:rFonts w:ascii="Arial" w:hAnsi="Arial" w:cs="Arial"/>
          <w:color w:val="333333"/>
          <w:sz w:val="18"/>
          <w:szCs w:val="18"/>
          <w:shd w:val="clear" w:color="auto" w:fill="FFFFFF"/>
        </w:rPr>
        <w:t>2013</w:t>
      </w:r>
      <w:r>
        <w:rPr>
          <w:rFonts w:ascii="Arial" w:hAnsi="Arial" w:cs="Arial" w:hint="eastAsia"/>
          <w:color w:val="333333"/>
          <w:sz w:val="18"/>
          <w:szCs w:val="18"/>
          <w:shd w:val="clear" w:color="auto" w:fill="FFFFFF"/>
        </w:rPr>
        <w:t>年。</w:t>
      </w:r>
    </w:p>
    <w:p w14:paraId="54F9F83E" w14:textId="77777777" w:rsidR="00F5289E" w:rsidRDefault="00C91173">
      <w:pPr>
        <w:snapToGrid w:val="0"/>
        <w:spacing w:line="360" w:lineRule="auto"/>
        <w:ind w:firstLineChars="200" w:firstLine="420"/>
        <w:jc w:val="left"/>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ascii="Arial" w:hAnsi="Arial" w:cs="Arial"/>
          <w:color w:val="333333"/>
          <w:szCs w:val="21"/>
          <w:shd w:val="clear" w:color="auto" w:fill="FFFFFF"/>
        </w:rPr>
        <w:t>市场营销原理（美国版）</w:t>
      </w:r>
      <w:r>
        <w:rPr>
          <w:rFonts w:hAnsi="宋体" w:hint="eastAsia"/>
          <w:bCs/>
          <w:kern w:val="0"/>
          <w:szCs w:val="21"/>
        </w:rPr>
        <w:t>。菲利普·科特勒</w:t>
      </w:r>
      <w:r>
        <w:rPr>
          <w:rFonts w:hAnsi="宋体" w:hint="eastAsia"/>
          <w:bCs/>
          <w:kern w:val="0"/>
          <w:szCs w:val="21"/>
        </w:rPr>
        <w:t xml:space="preserve"> </w:t>
      </w:r>
      <w:r>
        <w:rPr>
          <w:rFonts w:hAnsi="宋体" w:hint="eastAsia"/>
          <w:bCs/>
          <w:kern w:val="0"/>
          <w:szCs w:val="21"/>
        </w:rPr>
        <w:t>。机械工业出版社，</w:t>
      </w:r>
      <w:r>
        <w:rPr>
          <w:rFonts w:hAnsi="宋体"/>
          <w:bCs/>
          <w:kern w:val="0"/>
          <w:szCs w:val="21"/>
        </w:rPr>
        <w:t>2010</w:t>
      </w:r>
      <w:r>
        <w:rPr>
          <w:rFonts w:hAnsi="宋体" w:hint="eastAsia"/>
          <w:bCs/>
          <w:kern w:val="0"/>
          <w:szCs w:val="21"/>
        </w:rPr>
        <w:t>年</w:t>
      </w:r>
    </w:p>
    <w:p w14:paraId="14B546C8" w14:textId="77777777" w:rsidR="00F5289E" w:rsidRDefault="00C91173">
      <w:pPr>
        <w:snapToGrid w:val="0"/>
        <w:spacing w:line="360" w:lineRule="auto"/>
        <w:ind w:firstLineChars="200" w:firstLine="420"/>
        <w:rPr>
          <w:rFonts w:ascii="宋体" w:hAnsi="宋体"/>
          <w:szCs w:val="21"/>
        </w:rPr>
      </w:pPr>
      <w:r>
        <w:rPr>
          <w:rFonts w:hAnsi="宋体" w:hint="eastAsia"/>
          <w:bCs/>
          <w:kern w:val="0"/>
          <w:szCs w:val="21"/>
        </w:rPr>
        <w:t>（</w:t>
      </w:r>
      <w:r>
        <w:rPr>
          <w:rFonts w:hAnsi="宋体" w:hint="eastAsia"/>
          <w:bCs/>
          <w:kern w:val="0"/>
          <w:szCs w:val="21"/>
        </w:rPr>
        <w:t>3</w:t>
      </w:r>
      <w:r>
        <w:rPr>
          <w:rFonts w:hAnsi="宋体" w:hint="eastAsia"/>
          <w:bCs/>
          <w:kern w:val="0"/>
          <w:szCs w:val="21"/>
        </w:rPr>
        <w:t>）市场营销学。吴建安。高等教育出版社，</w:t>
      </w:r>
      <w:r>
        <w:rPr>
          <w:rFonts w:hAnsi="宋体"/>
          <w:bCs/>
          <w:kern w:val="0"/>
          <w:szCs w:val="21"/>
        </w:rPr>
        <w:t>2007</w:t>
      </w:r>
      <w:r>
        <w:rPr>
          <w:rFonts w:hAnsi="宋体" w:hint="eastAsia"/>
          <w:bCs/>
          <w:kern w:val="0"/>
          <w:szCs w:val="21"/>
        </w:rPr>
        <w:t>年</w:t>
      </w:r>
    </w:p>
    <w:p w14:paraId="09691B7C" w14:textId="77777777" w:rsidR="00F5289E" w:rsidRDefault="00C91173">
      <w:pPr>
        <w:widowControl/>
        <w:snapToGrid w:val="0"/>
        <w:spacing w:line="360" w:lineRule="auto"/>
        <w:ind w:firstLineChars="200" w:firstLine="422"/>
        <w:jc w:val="left"/>
        <w:rPr>
          <w:b/>
          <w:kern w:val="0"/>
          <w:szCs w:val="21"/>
        </w:rPr>
      </w:pPr>
      <w:r>
        <w:rPr>
          <w:rFonts w:hint="eastAsia"/>
          <w:b/>
          <w:kern w:val="0"/>
          <w:szCs w:val="21"/>
        </w:rPr>
        <w:t>3.</w:t>
      </w:r>
      <w:r>
        <w:rPr>
          <w:rFonts w:hint="eastAsia"/>
          <w:b/>
          <w:kern w:val="0"/>
          <w:szCs w:val="21"/>
        </w:rPr>
        <w:t>推荐网站：</w:t>
      </w:r>
    </w:p>
    <w:p w14:paraId="205019B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（1）爱课程，</w:t>
      </w:r>
      <w:r>
        <w:rPr>
          <w:rFonts w:ascii="宋体" w:hAnsi="宋体"/>
          <w:szCs w:val="21"/>
        </w:rPr>
        <w:t>http://www.icourses.cn/home/#</w:t>
      </w:r>
    </w:p>
    <w:p w14:paraId="3BF69D9A" w14:textId="77777777" w:rsidR="00F5289E" w:rsidRDefault="00C91173">
      <w:pPr>
        <w:widowControl/>
        <w:snapToGrid w:val="0"/>
        <w:spacing w:line="360" w:lineRule="auto"/>
        <w:ind w:firstLineChars="200" w:firstLine="420"/>
        <w:jc w:val="left"/>
        <w:rPr>
          <w:kern w:val="0"/>
        </w:rPr>
      </w:pPr>
      <w:r>
        <w:rPr>
          <w:rFonts w:ascii="宋体" w:hAnsi="宋体" w:hint="eastAsia"/>
          <w:szCs w:val="21"/>
        </w:rPr>
        <w:t>（2）中国大学MOOC，</w:t>
      </w:r>
      <w:r w:rsidRPr="001B3040">
        <w:rPr>
          <w:rFonts w:ascii="宋体" w:hAnsi="宋体"/>
          <w:szCs w:val="21"/>
        </w:rPr>
        <w:t>https://www.icourse163.org/</w:t>
      </w:r>
      <w:r>
        <w:rPr>
          <w:kern w:val="0"/>
        </w:rPr>
        <w:t> </w:t>
      </w:r>
    </w:p>
    <w:p w14:paraId="7F08F1E9"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七</w:t>
      </w:r>
      <w:r>
        <w:rPr>
          <w:rFonts w:hAnsi="宋体"/>
          <w:b/>
          <w:bCs/>
          <w:kern w:val="0"/>
          <w:szCs w:val="21"/>
        </w:rPr>
        <w:t>、</w:t>
      </w:r>
      <w:r>
        <w:rPr>
          <w:rFonts w:hAnsi="宋体" w:hint="eastAsia"/>
          <w:b/>
          <w:bCs/>
          <w:kern w:val="0"/>
          <w:szCs w:val="21"/>
        </w:rPr>
        <w:t>教学条件</w:t>
      </w:r>
    </w:p>
    <w:p w14:paraId="1535771A" w14:textId="77777777" w:rsidR="00F5289E" w:rsidRDefault="00C91173">
      <w:pPr>
        <w:widowControl/>
        <w:snapToGrid w:val="0"/>
        <w:spacing w:line="360" w:lineRule="auto"/>
        <w:ind w:firstLineChars="200" w:firstLine="420"/>
        <w:jc w:val="left"/>
        <w:rPr>
          <w:rFonts w:ascii="宋体" w:hAnsi="宋体"/>
          <w:color w:val="0000FF"/>
          <w:szCs w:val="21"/>
        </w:rPr>
      </w:pPr>
      <w:r>
        <w:rPr>
          <w:rFonts w:ascii="宋体" w:hAnsi="宋体" w:hint="eastAsia"/>
          <w:szCs w:val="21"/>
        </w:rPr>
        <w:t>分园艺产品营销学理论课程采用多媒体辅助教学手段，在龙子湖校区教室完成。</w:t>
      </w:r>
    </w:p>
    <w:p w14:paraId="3F26D2DF"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八、教学考核评价</w:t>
      </w:r>
    </w:p>
    <w:p w14:paraId="4F749837" w14:textId="77777777" w:rsidR="00F5289E" w:rsidRDefault="00C91173">
      <w:pPr>
        <w:widowControl/>
        <w:snapToGrid w:val="0"/>
        <w:spacing w:line="360" w:lineRule="auto"/>
        <w:ind w:firstLine="420"/>
        <w:jc w:val="left"/>
        <w:rPr>
          <w:rFonts w:ascii="宋体" w:hAnsi="宋体"/>
          <w:szCs w:val="21"/>
        </w:rPr>
      </w:pPr>
      <w:r>
        <w:rPr>
          <w:rFonts w:hAnsi="宋体" w:hint="eastAsia"/>
          <w:b/>
          <w:bCs/>
          <w:kern w:val="0"/>
          <w:szCs w:val="21"/>
        </w:rPr>
        <w:t>1.</w:t>
      </w:r>
      <w:r>
        <w:rPr>
          <w:rFonts w:hAnsi="宋体" w:hint="eastAsia"/>
          <w:b/>
          <w:bCs/>
          <w:kern w:val="0"/>
          <w:szCs w:val="21"/>
        </w:rPr>
        <w:t>过程性评价：</w:t>
      </w:r>
      <w:r>
        <w:rPr>
          <w:rFonts w:ascii="宋体" w:hAnsi="宋体" w:hint="eastAsia"/>
        </w:rPr>
        <w:t>平时成绩（占总成绩百分之五十）：主要根据考勤、作业和听课状态完成情况给予成绩。</w:t>
      </w:r>
      <w:r>
        <w:rPr>
          <w:rFonts w:ascii="宋体" w:hAnsi="宋体"/>
          <w:color w:val="0000FF"/>
          <w:szCs w:val="21"/>
        </w:rPr>
        <w:t xml:space="preserve"> </w:t>
      </w:r>
    </w:p>
    <w:p w14:paraId="470062B4"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2.</w:t>
      </w:r>
      <w:r>
        <w:rPr>
          <w:rFonts w:hAnsi="宋体" w:hint="eastAsia"/>
          <w:b/>
          <w:bCs/>
          <w:kern w:val="0"/>
          <w:szCs w:val="21"/>
        </w:rPr>
        <w:t>终结性评价：</w:t>
      </w:r>
      <w:r>
        <w:rPr>
          <w:rFonts w:hAnsi="宋体" w:hint="eastAsia"/>
          <w:kern w:val="0"/>
          <w:szCs w:val="21"/>
        </w:rPr>
        <w:t>平时成绩占</w:t>
      </w:r>
      <w:r>
        <w:rPr>
          <w:rFonts w:hAnsi="宋体" w:hint="eastAsia"/>
          <w:kern w:val="0"/>
          <w:szCs w:val="21"/>
        </w:rPr>
        <w:t>50%</w:t>
      </w:r>
      <w:r>
        <w:rPr>
          <w:rFonts w:hAnsi="宋体" w:hint="eastAsia"/>
          <w:kern w:val="0"/>
          <w:szCs w:val="21"/>
        </w:rPr>
        <w:t>，课程论文成绩占</w:t>
      </w:r>
      <w:r>
        <w:rPr>
          <w:rFonts w:hAnsi="宋体" w:hint="eastAsia"/>
          <w:kern w:val="0"/>
          <w:szCs w:val="21"/>
        </w:rPr>
        <w:t>50%</w:t>
      </w:r>
      <w:r>
        <w:rPr>
          <w:rFonts w:hAnsi="宋体" w:hint="eastAsia"/>
          <w:kern w:val="0"/>
          <w:szCs w:val="21"/>
        </w:rPr>
        <w:t>。</w:t>
      </w:r>
    </w:p>
    <w:p w14:paraId="58BFCDDF" w14:textId="0F9413AC" w:rsidR="00F5289E" w:rsidRPr="0058055E" w:rsidRDefault="00C91173" w:rsidP="0058055E">
      <w:pPr>
        <w:snapToGrid w:val="0"/>
        <w:spacing w:line="360" w:lineRule="auto"/>
        <w:ind w:firstLineChars="200" w:firstLine="422"/>
        <w:rPr>
          <w:rFonts w:ascii="宋体" w:hAnsi="宋体"/>
          <w:bCs/>
          <w:color w:val="0000FF"/>
          <w:szCs w:val="21"/>
        </w:rPr>
      </w:pPr>
      <w:r>
        <w:rPr>
          <w:rFonts w:hAnsi="宋体" w:hint="eastAsia"/>
          <w:b/>
          <w:bCs/>
          <w:kern w:val="0"/>
          <w:szCs w:val="21"/>
        </w:rPr>
        <w:t>3.</w:t>
      </w:r>
      <w:r>
        <w:rPr>
          <w:rFonts w:hAnsi="宋体" w:hint="eastAsia"/>
          <w:b/>
          <w:bCs/>
          <w:kern w:val="0"/>
          <w:szCs w:val="21"/>
        </w:rPr>
        <w:t>课程综合评价：</w:t>
      </w:r>
      <w:r>
        <w:rPr>
          <w:szCs w:val="21"/>
        </w:rPr>
        <w:t>课程成绩由平时成绩和期末</w:t>
      </w:r>
      <w:r>
        <w:rPr>
          <w:rFonts w:hint="eastAsia"/>
          <w:szCs w:val="21"/>
        </w:rPr>
        <w:t>课程论文</w:t>
      </w:r>
      <w:r>
        <w:rPr>
          <w:szCs w:val="21"/>
        </w:rPr>
        <w:t>成绩组成，满分</w:t>
      </w:r>
      <w:r>
        <w:rPr>
          <w:szCs w:val="21"/>
        </w:rPr>
        <w:t>100</w:t>
      </w:r>
      <w:r>
        <w:rPr>
          <w:szCs w:val="21"/>
        </w:rPr>
        <w:t>分，其中平时成绩</w:t>
      </w:r>
      <w:r>
        <w:rPr>
          <w:bCs/>
          <w:color w:val="000000"/>
          <w:szCs w:val="21"/>
        </w:rPr>
        <w:t>占课程最终成绩的</w:t>
      </w:r>
      <w:r>
        <w:rPr>
          <w:bCs/>
          <w:color w:val="000000"/>
          <w:szCs w:val="21"/>
        </w:rPr>
        <w:t>50%</w:t>
      </w:r>
      <w:r>
        <w:rPr>
          <w:bCs/>
          <w:color w:val="000000"/>
          <w:szCs w:val="21"/>
        </w:rPr>
        <w:t>，</w:t>
      </w:r>
      <w:r>
        <w:rPr>
          <w:rFonts w:hint="eastAsia"/>
          <w:bCs/>
          <w:color w:val="000000"/>
          <w:szCs w:val="21"/>
        </w:rPr>
        <w:t>课程论文</w:t>
      </w:r>
      <w:r>
        <w:rPr>
          <w:bCs/>
          <w:color w:val="000000"/>
          <w:szCs w:val="21"/>
        </w:rPr>
        <w:t>成绩占课程最终成绩的</w:t>
      </w:r>
      <w:r>
        <w:rPr>
          <w:bCs/>
          <w:color w:val="000000"/>
          <w:szCs w:val="21"/>
        </w:rPr>
        <w:t>50%</w:t>
      </w:r>
      <w:r>
        <w:rPr>
          <w:szCs w:val="21"/>
        </w:rPr>
        <w:t>。</w:t>
      </w:r>
      <w:r>
        <w:rPr>
          <w:rFonts w:ascii="宋体" w:hAnsi="宋体" w:hint="eastAsia"/>
        </w:rPr>
        <w:t>通过考核了解学生课程知识点掌握情况，加强理解。</w:t>
      </w:r>
      <w:r>
        <w:rPr>
          <w:rFonts w:ascii="宋体" w:hAnsi="宋体"/>
          <w:b/>
          <w:sz w:val="28"/>
          <w:szCs w:val="28"/>
        </w:rPr>
        <w:br w:type="page"/>
      </w:r>
    </w:p>
    <w:p w14:paraId="5149D800" w14:textId="77777777" w:rsidR="00F5289E" w:rsidRDefault="00C91173">
      <w:pPr>
        <w:pStyle w:val="1"/>
      </w:pPr>
      <w:bookmarkStart w:id="109" w:name="_Toc138606256"/>
      <w:r>
        <w:rPr>
          <w:rFonts w:hint="eastAsia"/>
        </w:rPr>
        <w:lastRenderedPageBreak/>
        <w:t>盆景学</w:t>
      </w:r>
      <w:bookmarkEnd w:id="109"/>
    </w:p>
    <w:p w14:paraId="18F058BC" w14:textId="77777777" w:rsidR="00F5289E" w:rsidRPr="001B3040" w:rsidRDefault="00C91173">
      <w:pPr>
        <w:snapToGrid w:val="0"/>
        <w:spacing w:line="360" w:lineRule="auto"/>
        <w:jc w:val="center"/>
        <w:rPr>
          <w:sz w:val="24"/>
        </w:rPr>
      </w:pPr>
      <w:r w:rsidRPr="001B3040">
        <w:rPr>
          <w:rFonts w:hint="eastAsia"/>
          <w:sz w:val="24"/>
        </w:rPr>
        <w:t>（</w:t>
      </w:r>
      <w:proofErr w:type="spellStart"/>
      <w:r w:rsidRPr="001B3040">
        <w:rPr>
          <w:rFonts w:hint="eastAsia"/>
          <w:sz w:val="24"/>
        </w:rPr>
        <w:t>Penfing</w:t>
      </w:r>
      <w:proofErr w:type="spellEnd"/>
      <w:r w:rsidRPr="001B3040">
        <w:rPr>
          <w:rFonts w:hint="eastAsia"/>
          <w:sz w:val="24"/>
        </w:rPr>
        <w:t>）</w:t>
      </w:r>
    </w:p>
    <w:p w14:paraId="5788EAE1" w14:textId="77777777" w:rsidR="00F5289E" w:rsidRDefault="00F5289E">
      <w:pPr>
        <w:snapToGrid w:val="0"/>
        <w:spacing w:line="360" w:lineRule="auto"/>
        <w:jc w:val="center"/>
        <w:rPr>
          <w:b/>
          <w:szCs w:val="21"/>
        </w:rPr>
      </w:pPr>
    </w:p>
    <w:p w14:paraId="3AA797A0"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71F1C473" w14:textId="77777777">
        <w:tc>
          <w:tcPr>
            <w:tcW w:w="1666" w:type="pct"/>
          </w:tcPr>
          <w:p w14:paraId="4A709F74" w14:textId="77777777" w:rsidR="00F5289E" w:rsidRDefault="00C91173">
            <w:pPr>
              <w:spacing w:line="360" w:lineRule="auto"/>
              <w:rPr>
                <w:rFonts w:ascii="宋体" w:hAnsi="宋体"/>
                <w:b/>
                <w:bCs/>
                <w:szCs w:val="21"/>
              </w:rPr>
            </w:pPr>
            <w:r>
              <w:rPr>
                <w:rFonts w:ascii="宋体" w:hAnsi="宋体" w:hint="eastAsia"/>
                <w:b/>
                <w:bCs/>
                <w:szCs w:val="21"/>
              </w:rPr>
              <w:t>课程编号：</w:t>
            </w:r>
            <w:r>
              <w:rPr>
                <w:rFonts w:ascii="宋体" w:hAnsi="宋体"/>
                <w:szCs w:val="21"/>
              </w:rPr>
              <w:t>19011124</w:t>
            </w:r>
          </w:p>
        </w:tc>
        <w:tc>
          <w:tcPr>
            <w:tcW w:w="1453" w:type="pct"/>
          </w:tcPr>
          <w:p w14:paraId="5DA2062C" w14:textId="77777777" w:rsidR="00F5289E" w:rsidRDefault="00C91173">
            <w:pPr>
              <w:spacing w:line="360" w:lineRule="auto"/>
              <w:rPr>
                <w:rFonts w:ascii="宋体" w:hAnsi="宋体"/>
                <w:b/>
                <w:bCs/>
                <w:szCs w:val="21"/>
              </w:rPr>
            </w:pPr>
            <w:r>
              <w:rPr>
                <w:rFonts w:ascii="宋体" w:hAnsi="宋体" w:hint="eastAsia"/>
                <w:b/>
                <w:bCs/>
                <w:szCs w:val="21"/>
              </w:rPr>
              <w:t>课程总学时：</w:t>
            </w:r>
            <w:r>
              <w:rPr>
                <w:rFonts w:ascii="宋体" w:hAnsi="宋体" w:hint="eastAsia"/>
                <w:szCs w:val="21"/>
              </w:rPr>
              <w:t>32</w:t>
            </w:r>
          </w:p>
        </w:tc>
        <w:tc>
          <w:tcPr>
            <w:tcW w:w="1881" w:type="pct"/>
          </w:tcPr>
          <w:p w14:paraId="2BD3A871" w14:textId="336A06D8" w:rsidR="00F5289E" w:rsidRDefault="00C91173">
            <w:pPr>
              <w:spacing w:line="360" w:lineRule="auto"/>
              <w:rPr>
                <w:rFonts w:ascii="宋体" w:hAnsi="宋体"/>
                <w:b/>
                <w:bCs/>
                <w:szCs w:val="21"/>
              </w:rPr>
            </w:pPr>
            <w:r>
              <w:rPr>
                <w:rFonts w:ascii="宋体" w:hAnsi="宋体" w:hint="eastAsia"/>
                <w:b/>
                <w:bCs/>
                <w:szCs w:val="21"/>
              </w:rPr>
              <w:t>实验学时：</w:t>
            </w:r>
            <w:r>
              <w:rPr>
                <w:rFonts w:ascii="宋体" w:hAnsi="宋体"/>
                <w:szCs w:val="21"/>
              </w:rPr>
              <w:t>12</w:t>
            </w:r>
          </w:p>
        </w:tc>
      </w:tr>
      <w:tr w:rsidR="00F5289E" w14:paraId="13FFED97" w14:textId="77777777">
        <w:tc>
          <w:tcPr>
            <w:tcW w:w="1666" w:type="pct"/>
          </w:tcPr>
          <w:p w14:paraId="630A61F7" w14:textId="77777777" w:rsidR="00F5289E" w:rsidRDefault="00C91173">
            <w:pPr>
              <w:spacing w:line="360" w:lineRule="auto"/>
              <w:rPr>
                <w:rFonts w:ascii="宋体" w:hAnsi="宋体"/>
                <w:b/>
                <w:bCs/>
                <w:szCs w:val="21"/>
              </w:rPr>
            </w:pPr>
            <w:r>
              <w:rPr>
                <w:rFonts w:ascii="宋体" w:hAnsi="宋体" w:hint="eastAsia"/>
                <w:b/>
                <w:bCs/>
                <w:szCs w:val="21"/>
              </w:rPr>
              <w:t>课程性质：</w:t>
            </w:r>
            <w:r>
              <w:rPr>
                <w:rFonts w:hAnsi="宋体" w:hint="eastAsia"/>
                <w:bCs/>
                <w:kern w:val="0"/>
                <w:szCs w:val="21"/>
              </w:rPr>
              <w:t>选修</w:t>
            </w:r>
          </w:p>
        </w:tc>
        <w:tc>
          <w:tcPr>
            <w:tcW w:w="1453" w:type="pct"/>
          </w:tcPr>
          <w:p w14:paraId="205D3A0B" w14:textId="77777777" w:rsidR="00F5289E" w:rsidRDefault="00C91173">
            <w:pPr>
              <w:spacing w:line="360" w:lineRule="auto"/>
              <w:rPr>
                <w:rFonts w:ascii="宋体" w:hAnsi="宋体"/>
                <w:b/>
                <w:bCs/>
                <w:szCs w:val="21"/>
              </w:rPr>
            </w:pPr>
            <w:r>
              <w:rPr>
                <w:rFonts w:ascii="宋体" w:hAnsi="宋体" w:hint="eastAsia"/>
                <w:b/>
                <w:szCs w:val="21"/>
              </w:rPr>
              <w:t>课程属性:</w:t>
            </w:r>
            <w:r>
              <w:rPr>
                <w:rFonts w:ascii="宋体" w:hAnsi="宋体" w:hint="eastAsia"/>
                <w:bCs/>
                <w:szCs w:val="21"/>
              </w:rPr>
              <w:t>创业教育类</w:t>
            </w:r>
          </w:p>
        </w:tc>
        <w:tc>
          <w:tcPr>
            <w:tcW w:w="1881" w:type="pct"/>
          </w:tcPr>
          <w:p w14:paraId="33886E65" w14:textId="77777777" w:rsidR="00F5289E" w:rsidRDefault="00C91173">
            <w:pPr>
              <w:spacing w:line="360" w:lineRule="auto"/>
              <w:rPr>
                <w:rFonts w:ascii="宋体" w:hAnsi="宋体"/>
                <w:b/>
                <w:bCs/>
                <w:szCs w:val="21"/>
              </w:rPr>
            </w:pPr>
            <w:r>
              <w:rPr>
                <w:rFonts w:ascii="宋体" w:hAnsi="宋体" w:hint="eastAsia"/>
                <w:b/>
                <w:bCs/>
                <w:szCs w:val="21"/>
              </w:rPr>
              <w:t>开设学期：</w:t>
            </w:r>
            <w:r>
              <w:rPr>
                <w:rFonts w:ascii="宋体" w:hAnsi="宋体" w:hint="eastAsia"/>
                <w:szCs w:val="21"/>
              </w:rPr>
              <w:t>第8学期</w:t>
            </w:r>
          </w:p>
        </w:tc>
      </w:tr>
      <w:tr w:rsidR="00F5289E" w14:paraId="0E668161" w14:textId="77777777">
        <w:tc>
          <w:tcPr>
            <w:tcW w:w="1666" w:type="pct"/>
          </w:tcPr>
          <w:p w14:paraId="5C4A659D" w14:textId="77777777" w:rsidR="00F5289E" w:rsidRDefault="00C91173">
            <w:pPr>
              <w:spacing w:line="360" w:lineRule="auto"/>
              <w:rPr>
                <w:rFonts w:ascii="宋体" w:hAnsi="宋体"/>
                <w:b/>
                <w:bCs/>
                <w:szCs w:val="21"/>
              </w:rPr>
            </w:pPr>
            <w:r>
              <w:rPr>
                <w:rFonts w:ascii="宋体" w:hAnsi="宋体" w:hint="eastAsia"/>
                <w:b/>
                <w:bCs/>
                <w:szCs w:val="21"/>
              </w:rPr>
              <w:t>课程负责人：</w:t>
            </w:r>
            <w:r>
              <w:rPr>
                <w:rFonts w:ascii="宋体" w:hAnsi="宋体" w:hint="eastAsia"/>
                <w:szCs w:val="21"/>
              </w:rPr>
              <w:t>薛东齐</w:t>
            </w:r>
          </w:p>
        </w:tc>
        <w:tc>
          <w:tcPr>
            <w:tcW w:w="1453" w:type="pct"/>
          </w:tcPr>
          <w:p w14:paraId="2D2914DF" w14:textId="77777777" w:rsidR="00F5289E" w:rsidRDefault="00C91173">
            <w:pPr>
              <w:spacing w:line="360" w:lineRule="auto"/>
              <w:rPr>
                <w:rFonts w:ascii="宋体" w:hAnsi="宋体"/>
                <w:b/>
                <w:bCs/>
                <w:szCs w:val="21"/>
              </w:rPr>
            </w:pPr>
            <w:r>
              <w:rPr>
                <w:rFonts w:ascii="宋体" w:hAnsi="宋体" w:hint="eastAsia"/>
                <w:b/>
                <w:bCs/>
                <w:szCs w:val="21"/>
              </w:rPr>
              <w:t>课程团队：</w:t>
            </w:r>
            <w:r>
              <w:rPr>
                <w:rFonts w:ascii="宋体" w:hAnsi="宋体" w:hint="eastAsia"/>
                <w:bCs/>
                <w:szCs w:val="21"/>
              </w:rPr>
              <w:t>高艳娜、</w:t>
            </w:r>
            <w:r>
              <w:rPr>
                <w:rFonts w:ascii="宋体" w:hAnsi="宋体" w:hint="eastAsia"/>
                <w:szCs w:val="21"/>
              </w:rPr>
              <w:t>孟更、王永、郭鑫、娄雪源</w:t>
            </w:r>
          </w:p>
        </w:tc>
        <w:tc>
          <w:tcPr>
            <w:tcW w:w="1881" w:type="pct"/>
          </w:tcPr>
          <w:p w14:paraId="1C128AE0" w14:textId="2DAC4D76" w:rsidR="00F5289E" w:rsidRDefault="00C91173">
            <w:pPr>
              <w:spacing w:line="360" w:lineRule="auto"/>
              <w:rPr>
                <w:rFonts w:ascii="宋体" w:hAnsi="宋体"/>
                <w:b/>
                <w:bCs/>
                <w:szCs w:val="21"/>
              </w:rPr>
            </w:pPr>
            <w:r>
              <w:rPr>
                <w:rFonts w:ascii="宋体" w:hAnsi="宋体" w:hint="eastAsia"/>
                <w:b/>
                <w:bCs/>
                <w:szCs w:val="21"/>
              </w:rPr>
              <w:t>授课语言：</w:t>
            </w:r>
            <w:r w:rsidR="00BE5256" w:rsidRPr="00BE5256">
              <w:rPr>
                <w:rFonts w:ascii="宋体" w:hAnsi="宋体" w:hint="eastAsia"/>
                <w:szCs w:val="21"/>
              </w:rPr>
              <w:t>中文</w:t>
            </w:r>
          </w:p>
        </w:tc>
      </w:tr>
      <w:tr w:rsidR="00F5289E" w14:paraId="3A2EAD55" w14:textId="77777777">
        <w:tc>
          <w:tcPr>
            <w:tcW w:w="5000" w:type="pct"/>
            <w:gridSpan w:val="3"/>
          </w:tcPr>
          <w:p w14:paraId="0D7E1D17" w14:textId="77777777" w:rsidR="00F5289E" w:rsidRDefault="00C91173">
            <w:pPr>
              <w:spacing w:line="300" w:lineRule="auto"/>
              <w:ind w:rightChars="-81" w:right="-170"/>
              <w:rPr>
                <w:rFonts w:ascii="宋体" w:hAnsi="宋体"/>
                <w:bCs/>
                <w:szCs w:val="21"/>
              </w:rPr>
            </w:pPr>
            <w:r>
              <w:rPr>
                <w:rFonts w:ascii="宋体" w:hAnsi="宋体" w:hint="eastAsia"/>
                <w:b/>
                <w:bCs/>
                <w:szCs w:val="21"/>
              </w:rPr>
              <w:t>适用专业：</w:t>
            </w:r>
            <w:r>
              <w:rPr>
                <w:rFonts w:ascii="宋体" w:hAnsi="宋体" w:hint="eastAsia"/>
                <w:bCs/>
                <w:szCs w:val="21"/>
              </w:rPr>
              <w:t xml:space="preserve">园艺专业、设施农业科学与工程专业、茶学专业 </w:t>
            </w:r>
          </w:p>
        </w:tc>
      </w:tr>
      <w:tr w:rsidR="00F5289E" w14:paraId="77F9CD4C" w14:textId="77777777">
        <w:trPr>
          <w:trHeight w:val="90"/>
        </w:trPr>
        <w:tc>
          <w:tcPr>
            <w:tcW w:w="5000" w:type="pct"/>
            <w:gridSpan w:val="3"/>
          </w:tcPr>
          <w:p w14:paraId="2BBC75A4"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bCs/>
                <w:szCs w:val="21"/>
              </w:rPr>
              <w:t>本课程讲授的</w:t>
            </w:r>
            <w:r>
              <w:rPr>
                <w:rFonts w:ascii="宋体" w:hAnsi="宋体"/>
                <w:bCs/>
                <w:szCs w:val="21"/>
              </w:rPr>
              <w:t>花卉的生态习性及花卉生长发育基本规律；花卉繁殖、栽培的原理；花卉应用的基本原则</w:t>
            </w:r>
            <w:r>
              <w:rPr>
                <w:rFonts w:ascii="宋体" w:hAnsi="宋体" w:hint="eastAsia"/>
                <w:bCs/>
                <w:szCs w:val="21"/>
              </w:rPr>
              <w:t>等内容对第6学期开展的为期19周的毕业（生产）实习奠定技术基础。</w:t>
            </w:r>
          </w:p>
        </w:tc>
      </w:tr>
      <w:tr w:rsidR="00F5289E" w14:paraId="2157EA37" w14:textId="77777777">
        <w:tc>
          <w:tcPr>
            <w:tcW w:w="5000" w:type="pct"/>
            <w:gridSpan w:val="3"/>
          </w:tcPr>
          <w:p w14:paraId="4545C9B4"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szCs w:val="21"/>
              </w:rPr>
              <w:t>本课程的教学使学生了解中国盆景的发展历史、中国盆景的流派及其艺术风格，熟悉盆景的创作过程，为毕业后从事观赏园艺方面的工作奠定就业基础。</w:t>
            </w:r>
          </w:p>
        </w:tc>
      </w:tr>
      <w:tr w:rsidR="00F5289E" w14:paraId="14B57C6D" w14:textId="77777777">
        <w:tc>
          <w:tcPr>
            <w:tcW w:w="1666" w:type="pct"/>
          </w:tcPr>
          <w:p w14:paraId="44C10211" w14:textId="77777777" w:rsidR="00F5289E" w:rsidRDefault="00C91173">
            <w:pPr>
              <w:spacing w:line="360" w:lineRule="auto"/>
              <w:rPr>
                <w:rFonts w:ascii="宋体" w:hAnsi="宋体"/>
                <w:b/>
                <w:bCs/>
                <w:szCs w:val="21"/>
              </w:rPr>
            </w:pPr>
            <w:r>
              <w:rPr>
                <w:rFonts w:ascii="宋体" w:hAnsi="宋体" w:hint="eastAsia"/>
                <w:b/>
                <w:bCs/>
                <w:szCs w:val="21"/>
              </w:rPr>
              <w:t>主撰人：</w:t>
            </w:r>
            <w:r>
              <w:rPr>
                <w:rFonts w:ascii="宋体" w:hAnsi="宋体" w:hint="eastAsia"/>
                <w:bCs/>
                <w:szCs w:val="21"/>
              </w:rPr>
              <w:t>花卉栽培学课程组</w:t>
            </w:r>
          </w:p>
        </w:tc>
        <w:tc>
          <w:tcPr>
            <w:tcW w:w="1453" w:type="pct"/>
          </w:tcPr>
          <w:p w14:paraId="3B7927F5" w14:textId="77777777" w:rsidR="00F5289E" w:rsidRDefault="00C91173">
            <w:pPr>
              <w:spacing w:line="360" w:lineRule="auto"/>
              <w:rPr>
                <w:rFonts w:ascii="宋体" w:hAnsi="宋体"/>
                <w:b/>
                <w:bCs/>
                <w:szCs w:val="21"/>
              </w:rPr>
            </w:pPr>
            <w:r>
              <w:rPr>
                <w:rFonts w:ascii="宋体" w:hAnsi="宋体" w:hint="eastAsia"/>
                <w:b/>
                <w:bCs/>
                <w:szCs w:val="21"/>
              </w:rPr>
              <w:t>审核人：</w:t>
            </w:r>
            <w:r>
              <w:rPr>
                <w:rFonts w:ascii="宋体" w:hAnsi="宋体" w:hint="eastAsia"/>
                <w:szCs w:val="21"/>
              </w:rPr>
              <w:t>薛东齐</w:t>
            </w:r>
          </w:p>
        </w:tc>
        <w:tc>
          <w:tcPr>
            <w:tcW w:w="1881" w:type="pct"/>
          </w:tcPr>
          <w:p w14:paraId="31FEBD6B" w14:textId="77777777" w:rsidR="00F5289E" w:rsidRDefault="00C91173">
            <w:pPr>
              <w:spacing w:line="360" w:lineRule="auto"/>
              <w:rPr>
                <w:rFonts w:ascii="宋体" w:hAnsi="宋体"/>
                <w:b/>
                <w:bCs/>
                <w:szCs w:val="21"/>
              </w:rPr>
            </w:pPr>
            <w:r>
              <w:rPr>
                <w:rFonts w:ascii="宋体" w:hAnsi="宋体" w:hint="eastAsia"/>
                <w:b/>
                <w:bCs/>
                <w:szCs w:val="21"/>
              </w:rPr>
              <w:t>大纲制定（修订）日期：</w:t>
            </w:r>
            <w:r>
              <w:rPr>
                <w:rFonts w:ascii="宋体" w:hAnsi="宋体" w:hint="eastAsia"/>
                <w:szCs w:val="21"/>
              </w:rPr>
              <w:t>202</w:t>
            </w:r>
            <w:r w:rsidR="001B3040">
              <w:rPr>
                <w:rFonts w:ascii="宋体" w:hAnsi="宋体"/>
                <w:szCs w:val="21"/>
              </w:rPr>
              <w:t>3.05</w:t>
            </w:r>
            <w:r>
              <w:rPr>
                <w:rFonts w:ascii="宋体" w:hAnsi="宋体" w:hint="eastAsia"/>
                <w:szCs w:val="21"/>
              </w:rPr>
              <w:t xml:space="preserve"> </w:t>
            </w:r>
          </w:p>
        </w:tc>
      </w:tr>
    </w:tbl>
    <w:p w14:paraId="1173312D" w14:textId="77777777" w:rsidR="00F5289E" w:rsidRDefault="00F5289E">
      <w:pPr>
        <w:widowControl/>
        <w:snapToGrid w:val="0"/>
        <w:spacing w:line="360" w:lineRule="auto"/>
        <w:jc w:val="left"/>
        <w:rPr>
          <w:rFonts w:hAnsi="宋体"/>
          <w:b/>
          <w:bCs/>
          <w:kern w:val="0"/>
          <w:szCs w:val="21"/>
        </w:rPr>
      </w:pPr>
    </w:p>
    <w:p w14:paraId="0B323B15"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21113CCB" w14:textId="77777777" w:rsidR="00F5289E" w:rsidRDefault="00C91173">
      <w:pPr>
        <w:spacing w:line="360" w:lineRule="auto"/>
        <w:ind w:firstLineChars="200" w:firstLine="420"/>
        <w:rPr>
          <w:rFonts w:ascii="宋体" w:hAnsi="宋体"/>
          <w:bCs/>
          <w:szCs w:val="21"/>
        </w:rPr>
      </w:pPr>
      <w:r>
        <w:rPr>
          <w:rFonts w:hAnsi="宋体" w:hint="eastAsia"/>
          <w:bCs/>
          <w:kern w:val="0"/>
          <w:szCs w:val="21"/>
        </w:rPr>
        <w:t>本课程为园艺、设工、茶学等专业学生的选修课程，重点在于培养学生热爱自然的兴趣，拓宽专业视野，利用学习的知识为社会服务。盆景即在盆中表现自然景观的艺术品，是在盆栽和赏石基础上发展起来的，据考据这一园艺艺术的珍宝，起源于我国，它在为国争光，搞好经济，丰富文化生活，美化环境等方面都起着一起的作用，随着物质文明和精神文明建设的不断提高，盆景艺术也不断向前发展。教学任务是让学生了解盆景起源、流派与发展历史，国内外现状及发展趋势，系统地掌握树桩盆景和山水盆景的制作方法及艺术表现技艺的基本理论和技术。通过学习本课程，使学生掌握盆景艺术的基本理论及基本技法</w:t>
      </w:r>
      <w:r>
        <w:rPr>
          <w:rFonts w:hAnsi="宋体" w:hint="eastAsia"/>
          <w:bCs/>
          <w:kern w:val="0"/>
          <w:szCs w:val="21"/>
        </w:rPr>
        <w:t>,</w:t>
      </w:r>
      <w:r>
        <w:rPr>
          <w:rFonts w:hAnsi="宋体" w:hint="eastAsia"/>
          <w:bCs/>
          <w:kern w:val="0"/>
          <w:szCs w:val="21"/>
        </w:rPr>
        <w:t>并能利用基本知识指导实际操作。</w:t>
      </w:r>
    </w:p>
    <w:p w14:paraId="2D55F903"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563EA395"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rFonts w:ascii="宋体" w:hAnsi="宋体" w:hint="eastAsia"/>
          <w:szCs w:val="21"/>
        </w:rPr>
        <w:t>通过系统的教学使学生能够掌握盆景的制作原理及制作技艺，盆景的养护及管理方式及方法。内容尽可能反映出该学科的国内外最新发展态势。</w:t>
      </w:r>
    </w:p>
    <w:p w14:paraId="3C166D83" w14:textId="77777777" w:rsidR="00F5289E" w:rsidRDefault="00C91173">
      <w:pPr>
        <w:spacing w:line="360" w:lineRule="auto"/>
        <w:ind w:firstLineChars="200" w:firstLine="420"/>
        <w:rPr>
          <w:rFonts w:ascii="宋体" w:hAnsi="宋体"/>
          <w:szCs w:val="21"/>
        </w:rPr>
      </w:pPr>
      <w:r>
        <w:rPr>
          <w:rFonts w:hint="eastAsia"/>
          <w:kern w:val="0"/>
          <w:szCs w:val="21"/>
        </w:rPr>
        <w:t>2.</w:t>
      </w:r>
      <w:r>
        <w:rPr>
          <w:rFonts w:hAnsi="宋体"/>
          <w:kern w:val="0"/>
          <w:szCs w:val="21"/>
        </w:rPr>
        <w:t>实验技能方面：</w:t>
      </w:r>
      <w:r>
        <w:rPr>
          <w:rFonts w:ascii="宋体" w:hAnsi="宋体" w:hint="eastAsia"/>
          <w:szCs w:val="21"/>
        </w:rPr>
        <w:t>该课程是一门实践性较强的课程，要求在传授理论基础的同时尽可能与实践相结合，给学生动手实践的机会，促进对能学过知识的消化和吸收。</w:t>
      </w:r>
    </w:p>
    <w:p w14:paraId="43740106"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54581321"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51E2AB8F" w14:textId="77777777" w:rsidR="00F5289E" w:rsidRDefault="00C91173">
      <w:pPr>
        <w:spacing w:line="360" w:lineRule="auto"/>
        <w:ind w:firstLineChars="200" w:firstLine="420"/>
        <w:rPr>
          <w:rFonts w:ascii="宋体" w:hAnsi="宋体" w:cs="宋体"/>
          <w:bCs/>
          <w:kern w:val="0"/>
          <w:szCs w:val="21"/>
        </w:rPr>
      </w:pPr>
      <w:r>
        <w:rPr>
          <w:rFonts w:ascii="宋体" w:hAnsi="宋体" w:cs="宋体" w:hint="eastAsia"/>
          <w:bCs/>
          <w:kern w:val="0"/>
          <w:szCs w:val="21"/>
        </w:rPr>
        <w:t>按照课程安排，与前导相关课程紧密结合，采用课堂讲解、示范、学生实物操作、市场调查、</w:t>
      </w:r>
      <w:r>
        <w:rPr>
          <w:rFonts w:ascii="宋体" w:hAnsi="宋体" w:cs="宋体" w:hint="eastAsia"/>
          <w:bCs/>
          <w:kern w:val="0"/>
          <w:szCs w:val="21"/>
        </w:rPr>
        <w:lastRenderedPageBreak/>
        <w:t>课程作业、项目任务等多元的教学方法，通过教学、社会实践等环节、多种方式培养学生的盆景欣赏能力及技艺水平。</w:t>
      </w:r>
    </w:p>
    <w:p w14:paraId="7FDC6D3A" w14:textId="77777777" w:rsidR="00F5289E" w:rsidRDefault="00C91173">
      <w:pPr>
        <w:spacing w:line="360" w:lineRule="auto"/>
        <w:ind w:firstLineChars="200" w:firstLine="420"/>
        <w:rPr>
          <w:rFonts w:hAnsi="宋体"/>
          <w:bCs/>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4241"/>
        <w:gridCol w:w="3657"/>
      </w:tblGrid>
      <w:tr w:rsidR="00F5289E" w14:paraId="18E7D959"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5759EF"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序号</w:t>
            </w:r>
          </w:p>
        </w:tc>
        <w:tc>
          <w:tcPr>
            <w:tcW w:w="42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021F613"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课程目标</w:t>
            </w:r>
          </w:p>
        </w:tc>
        <w:tc>
          <w:tcPr>
            <w:tcW w:w="365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1E9FEFC"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毕业要求</w:t>
            </w:r>
          </w:p>
        </w:tc>
      </w:tr>
      <w:tr w:rsidR="00F5289E" w14:paraId="2FD10C3A" w14:textId="77777777">
        <w:trPr>
          <w:trHeight w:val="485"/>
          <w:jc w:val="center"/>
        </w:trPr>
        <w:tc>
          <w:tcPr>
            <w:tcW w:w="999" w:type="dxa"/>
            <w:tcBorders>
              <w:top w:val="single" w:sz="4" w:space="0" w:color="auto"/>
              <w:left w:val="single" w:sz="4" w:space="0" w:color="auto"/>
              <w:bottom w:val="single" w:sz="4" w:space="0" w:color="auto"/>
              <w:right w:val="single" w:sz="4" w:space="0" w:color="auto"/>
            </w:tcBorders>
            <w:vAlign w:val="center"/>
          </w:tcPr>
          <w:p w14:paraId="1189EFF8"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4241" w:type="dxa"/>
            <w:tcBorders>
              <w:top w:val="single" w:sz="4" w:space="0" w:color="auto"/>
              <w:left w:val="single" w:sz="4" w:space="0" w:color="auto"/>
              <w:bottom w:val="single" w:sz="4" w:space="0" w:color="auto"/>
              <w:right w:val="single" w:sz="4" w:space="0" w:color="auto"/>
            </w:tcBorders>
            <w:vAlign w:val="center"/>
          </w:tcPr>
          <w:p w14:paraId="73C7BF41" w14:textId="77777777" w:rsidR="00F5289E" w:rsidRDefault="00C91173">
            <w:pPr>
              <w:spacing w:line="320" w:lineRule="exact"/>
              <w:jc w:val="left"/>
              <w:rPr>
                <w:rFonts w:eastAsiaTheme="minorEastAsia" w:hAnsiTheme="minorEastAsia"/>
                <w:sz w:val="18"/>
                <w:szCs w:val="18"/>
              </w:rPr>
            </w:pPr>
            <w:r>
              <w:rPr>
                <w:rFonts w:eastAsiaTheme="minorEastAsia" w:hAnsiTheme="minorEastAsia"/>
                <w:sz w:val="18"/>
                <w:szCs w:val="18"/>
              </w:rPr>
              <w:t>目标</w:t>
            </w:r>
            <w:r>
              <w:rPr>
                <w:rFonts w:eastAsiaTheme="minorEastAsia" w:hint="eastAsia"/>
                <w:sz w:val="18"/>
                <w:szCs w:val="18"/>
              </w:rPr>
              <w:t>1</w:t>
            </w:r>
            <w:r>
              <w:rPr>
                <w:rFonts w:eastAsiaTheme="minorEastAsia" w:hint="eastAsia"/>
                <w:sz w:val="18"/>
                <w:szCs w:val="18"/>
              </w:rPr>
              <w:t>：</w:t>
            </w:r>
            <w:r>
              <w:rPr>
                <w:rFonts w:eastAsiaTheme="minorEastAsia" w:hAnsiTheme="minorEastAsia" w:hint="eastAsia"/>
                <w:sz w:val="18"/>
                <w:szCs w:val="18"/>
              </w:rPr>
              <w:t>使学生理解盆景文化史。</w:t>
            </w:r>
          </w:p>
        </w:tc>
        <w:tc>
          <w:tcPr>
            <w:tcW w:w="3657" w:type="dxa"/>
            <w:tcBorders>
              <w:top w:val="single" w:sz="4" w:space="0" w:color="auto"/>
              <w:left w:val="single" w:sz="4" w:space="0" w:color="auto"/>
              <w:bottom w:val="single" w:sz="4" w:space="0" w:color="auto"/>
              <w:right w:val="single" w:sz="4" w:space="0" w:color="auto"/>
            </w:tcBorders>
            <w:vAlign w:val="center"/>
          </w:tcPr>
          <w:p w14:paraId="7954CADB" w14:textId="44F73509" w:rsidR="00BE5256" w:rsidRDefault="00C91173">
            <w:pPr>
              <w:spacing w:line="320" w:lineRule="exact"/>
              <w:jc w:val="center"/>
              <w:rPr>
                <w:sz w:val="18"/>
                <w:szCs w:val="18"/>
              </w:rPr>
            </w:pPr>
            <w:r>
              <w:rPr>
                <w:sz w:val="18"/>
                <w:szCs w:val="18"/>
              </w:rPr>
              <w:t>1</w:t>
            </w:r>
          </w:p>
          <w:p w14:paraId="5101095D" w14:textId="18F49069" w:rsidR="00F5289E" w:rsidRDefault="00C91173">
            <w:pPr>
              <w:spacing w:line="320" w:lineRule="exact"/>
              <w:jc w:val="center"/>
              <w:rPr>
                <w:rFonts w:eastAsiaTheme="minorEastAsia"/>
                <w:sz w:val="18"/>
                <w:szCs w:val="18"/>
              </w:rPr>
            </w:pPr>
            <w:r>
              <w:rPr>
                <w:rFonts w:hint="eastAsia"/>
                <w:sz w:val="18"/>
                <w:szCs w:val="18"/>
              </w:rPr>
              <w:t>3</w:t>
            </w:r>
          </w:p>
        </w:tc>
      </w:tr>
      <w:tr w:rsidR="00F5289E" w14:paraId="16C8CA99" w14:textId="77777777">
        <w:trPr>
          <w:trHeight w:val="726"/>
          <w:jc w:val="center"/>
        </w:trPr>
        <w:tc>
          <w:tcPr>
            <w:tcW w:w="999" w:type="dxa"/>
            <w:tcBorders>
              <w:top w:val="single" w:sz="4" w:space="0" w:color="auto"/>
              <w:left w:val="single" w:sz="4" w:space="0" w:color="auto"/>
              <w:bottom w:val="single" w:sz="4" w:space="0" w:color="auto"/>
              <w:right w:val="single" w:sz="4" w:space="0" w:color="auto"/>
            </w:tcBorders>
            <w:vAlign w:val="center"/>
          </w:tcPr>
          <w:p w14:paraId="01CEE5F0"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4241" w:type="dxa"/>
            <w:tcBorders>
              <w:top w:val="single" w:sz="4" w:space="0" w:color="auto"/>
              <w:left w:val="single" w:sz="4" w:space="0" w:color="auto"/>
              <w:bottom w:val="single" w:sz="4" w:space="0" w:color="auto"/>
              <w:right w:val="single" w:sz="4" w:space="0" w:color="auto"/>
            </w:tcBorders>
            <w:vAlign w:val="center"/>
          </w:tcPr>
          <w:p w14:paraId="7957EBFF" w14:textId="77777777" w:rsidR="00F5289E" w:rsidRDefault="00C91173">
            <w:pPr>
              <w:spacing w:line="320" w:lineRule="exact"/>
              <w:jc w:val="left"/>
              <w:rPr>
                <w:rFonts w:eastAsiaTheme="minorEastAsia" w:hAnsiTheme="minorEastAsia"/>
                <w:sz w:val="18"/>
                <w:szCs w:val="18"/>
              </w:rPr>
            </w:pPr>
            <w:r>
              <w:rPr>
                <w:rFonts w:eastAsiaTheme="minorEastAsia" w:hAnsiTheme="minorEastAsia"/>
                <w:sz w:val="18"/>
                <w:szCs w:val="18"/>
              </w:rPr>
              <w:t>目标</w:t>
            </w:r>
            <w:r>
              <w:rPr>
                <w:rFonts w:eastAsiaTheme="minorEastAsia"/>
                <w:sz w:val="18"/>
                <w:szCs w:val="18"/>
              </w:rPr>
              <w:t>2</w:t>
            </w:r>
            <w:r>
              <w:rPr>
                <w:rFonts w:eastAsiaTheme="minorEastAsia" w:hAnsiTheme="minorEastAsia"/>
                <w:sz w:val="18"/>
                <w:szCs w:val="18"/>
              </w:rPr>
              <w:t>：</w:t>
            </w:r>
            <w:r>
              <w:rPr>
                <w:rFonts w:eastAsiaTheme="minorEastAsia" w:hint="eastAsia"/>
                <w:sz w:val="18"/>
                <w:szCs w:val="18"/>
              </w:rPr>
              <w:t>使学生具备盆景的基本设计制作能力。</w:t>
            </w:r>
          </w:p>
        </w:tc>
        <w:tc>
          <w:tcPr>
            <w:tcW w:w="3657" w:type="dxa"/>
            <w:tcBorders>
              <w:top w:val="single" w:sz="4" w:space="0" w:color="auto"/>
              <w:left w:val="single" w:sz="4" w:space="0" w:color="auto"/>
              <w:bottom w:val="single" w:sz="4" w:space="0" w:color="auto"/>
              <w:right w:val="single" w:sz="4" w:space="0" w:color="auto"/>
            </w:tcBorders>
            <w:vAlign w:val="center"/>
          </w:tcPr>
          <w:p w14:paraId="6B420BE1" w14:textId="77777777" w:rsidR="00BE5256" w:rsidRDefault="00C91173">
            <w:pPr>
              <w:spacing w:line="320" w:lineRule="exact"/>
              <w:jc w:val="center"/>
              <w:rPr>
                <w:sz w:val="18"/>
                <w:szCs w:val="18"/>
              </w:rPr>
            </w:pPr>
            <w:r>
              <w:rPr>
                <w:sz w:val="18"/>
                <w:szCs w:val="18"/>
              </w:rPr>
              <w:t>1</w:t>
            </w:r>
          </w:p>
          <w:p w14:paraId="3D057E3D" w14:textId="41BF8444" w:rsidR="00F5289E" w:rsidRDefault="00BE5256">
            <w:pPr>
              <w:spacing w:line="320" w:lineRule="exact"/>
              <w:jc w:val="center"/>
              <w:rPr>
                <w:rFonts w:eastAsiaTheme="minorEastAsia"/>
                <w:sz w:val="18"/>
                <w:szCs w:val="18"/>
              </w:rPr>
            </w:pPr>
            <w:r>
              <w:rPr>
                <w:rFonts w:hint="eastAsia"/>
                <w:sz w:val="18"/>
                <w:szCs w:val="18"/>
              </w:rPr>
              <w:t>3</w:t>
            </w:r>
          </w:p>
        </w:tc>
      </w:tr>
      <w:tr w:rsidR="00F5289E" w14:paraId="48625B2B" w14:textId="77777777">
        <w:trPr>
          <w:trHeight w:val="698"/>
          <w:jc w:val="center"/>
        </w:trPr>
        <w:tc>
          <w:tcPr>
            <w:tcW w:w="999" w:type="dxa"/>
            <w:tcBorders>
              <w:top w:val="single" w:sz="4" w:space="0" w:color="auto"/>
              <w:left w:val="single" w:sz="4" w:space="0" w:color="auto"/>
              <w:bottom w:val="single" w:sz="4" w:space="0" w:color="auto"/>
              <w:right w:val="single" w:sz="4" w:space="0" w:color="auto"/>
            </w:tcBorders>
            <w:vAlign w:val="center"/>
          </w:tcPr>
          <w:p w14:paraId="3010FA4B"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4241" w:type="dxa"/>
            <w:tcBorders>
              <w:top w:val="single" w:sz="4" w:space="0" w:color="auto"/>
              <w:left w:val="single" w:sz="4" w:space="0" w:color="auto"/>
              <w:bottom w:val="single" w:sz="4" w:space="0" w:color="auto"/>
              <w:right w:val="single" w:sz="4" w:space="0" w:color="auto"/>
            </w:tcBorders>
            <w:vAlign w:val="center"/>
          </w:tcPr>
          <w:p w14:paraId="165ED741" w14:textId="77777777" w:rsidR="00F5289E" w:rsidRDefault="00C91173">
            <w:pPr>
              <w:spacing w:line="320" w:lineRule="exact"/>
              <w:jc w:val="left"/>
              <w:rPr>
                <w:rFonts w:eastAsia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int="eastAsia"/>
                <w:sz w:val="18"/>
                <w:szCs w:val="18"/>
              </w:rPr>
              <w:t>通过课程的学习，使学生对盆景行业现状有一定的了解，并且具备在该行业创业的素养。</w:t>
            </w:r>
          </w:p>
        </w:tc>
        <w:tc>
          <w:tcPr>
            <w:tcW w:w="3657" w:type="dxa"/>
            <w:tcBorders>
              <w:top w:val="single" w:sz="4" w:space="0" w:color="auto"/>
              <w:left w:val="single" w:sz="4" w:space="0" w:color="auto"/>
              <w:bottom w:val="single" w:sz="4" w:space="0" w:color="auto"/>
              <w:right w:val="single" w:sz="4" w:space="0" w:color="auto"/>
            </w:tcBorders>
            <w:vAlign w:val="center"/>
          </w:tcPr>
          <w:p w14:paraId="2C9BE0E5" w14:textId="77777777" w:rsidR="00BE5256" w:rsidRDefault="00C91173">
            <w:pPr>
              <w:spacing w:line="320" w:lineRule="exact"/>
              <w:jc w:val="center"/>
              <w:rPr>
                <w:sz w:val="18"/>
                <w:szCs w:val="18"/>
              </w:rPr>
            </w:pPr>
            <w:r>
              <w:rPr>
                <w:sz w:val="18"/>
                <w:szCs w:val="18"/>
              </w:rPr>
              <w:t>8</w:t>
            </w:r>
          </w:p>
          <w:p w14:paraId="4F74A171" w14:textId="2BC7D750" w:rsidR="00F5289E" w:rsidRDefault="00C91173">
            <w:pPr>
              <w:spacing w:line="320" w:lineRule="exact"/>
              <w:jc w:val="center"/>
              <w:rPr>
                <w:rFonts w:eastAsiaTheme="minorEastAsia"/>
                <w:sz w:val="18"/>
                <w:szCs w:val="18"/>
              </w:rPr>
            </w:pPr>
            <w:r>
              <w:rPr>
                <w:rFonts w:hint="eastAsia"/>
                <w:sz w:val="18"/>
                <w:szCs w:val="18"/>
              </w:rPr>
              <w:t>9</w:t>
            </w:r>
          </w:p>
        </w:tc>
      </w:tr>
    </w:tbl>
    <w:p w14:paraId="005068C7" w14:textId="77777777" w:rsidR="00F5289E" w:rsidRDefault="00F5289E">
      <w:pPr>
        <w:spacing w:line="360" w:lineRule="auto"/>
        <w:ind w:firstLineChars="200" w:firstLine="420"/>
        <w:rPr>
          <w:rFonts w:hAnsi="宋体"/>
          <w:bCs/>
          <w:kern w:val="0"/>
          <w:szCs w:val="21"/>
        </w:rPr>
      </w:pPr>
    </w:p>
    <w:p w14:paraId="27D039D7"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24</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5809241" w14:textId="77777777">
        <w:trPr>
          <w:trHeight w:val="270"/>
        </w:trPr>
        <w:tc>
          <w:tcPr>
            <w:tcW w:w="2965" w:type="dxa"/>
            <w:tcBorders>
              <w:top w:val="nil"/>
              <w:left w:val="nil"/>
              <w:bottom w:val="nil"/>
              <w:right w:val="nil"/>
            </w:tcBorders>
            <w:vAlign w:val="center"/>
          </w:tcPr>
          <w:p w14:paraId="7A47B2A3" w14:textId="77777777" w:rsidR="00F5289E" w:rsidRDefault="00F5289E">
            <w:pPr>
              <w:widowControl/>
              <w:snapToGrid w:val="0"/>
              <w:spacing w:line="360" w:lineRule="auto"/>
              <w:ind w:firstLineChars="200" w:firstLine="422"/>
              <w:rPr>
                <w:rFonts w:hAnsi="宋体"/>
                <w:b/>
                <w:bCs/>
                <w:kern w:val="0"/>
                <w:szCs w:val="21"/>
              </w:rPr>
            </w:pPr>
          </w:p>
        </w:tc>
        <w:tc>
          <w:tcPr>
            <w:tcW w:w="2965" w:type="dxa"/>
            <w:tcBorders>
              <w:top w:val="nil"/>
              <w:left w:val="nil"/>
              <w:bottom w:val="nil"/>
              <w:right w:val="nil"/>
            </w:tcBorders>
            <w:vAlign w:val="center"/>
          </w:tcPr>
          <w:p w14:paraId="2B9D1505" w14:textId="77777777" w:rsidR="00F5289E" w:rsidRDefault="00C91173">
            <w:pPr>
              <w:widowControl/>
              <w:snapToGrid w:val="0"/>
              <w:spacing w:beforeLines="50" w:before="156" w:line="360" w:lineRule="auto"/>
              <w:jc w:val="center"/>
              <w:rPr>
                <w:rFonts w:hAnsi="宋体"/>
                <w:b/>
                <w:bCs/>
                <w:kern w:val="0"/>
                <w:szCs w:val="21"/>
              </w:rPr>
            </w:pPr>
            <w:r>
              <w:rPr>
                <w:rFonts w:hAnsi="宋体"/>
                <w:b/>
                <w:bCs/>
                <w:kern w:val="0"/>
                <w:szCs w:val="21"/>
              </w:rPr>
              <w:t>第一章</w:t>
            </w:r>
            <w:r>
              <w:rPr>
                <w:rFonts w:hAnsi="宋体" w:hint="eastAsia"/>
                <w:b/>
                <w:bCs/>
                <w:kern w:val="0"/>
                <w:szCs w:val="21"/>
              </w:rPr>
              <w:t xml:space="preserve">  </w:t>
            </w:r>
            <w:r>
              <w:rPr>
                <w:rFonts w:hint="eastAsia"/>
                <w:b/>
                <w:bCs/>
              </w:rPr>
              <w:t>中国盆景史</w:t>
            </w:r>
          </w:p>
        </w:tc>
        <w:tc>
          <w:tcPr>
            <w:tcW w:w="2966" w:type="dxa"/>
            <w:tcBorders>
              <w:top w:val="nil"/>
              <w:left w:val="nil"/>
              <w:bottom w:val="nil"/>
              <w:right w:val="nil"/>
            </w:tcBorders>
            <w:vAlign w:val="center"/>
          </w:tcPr>
          <w:p w14:paraId="443C39C2"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4077AC18"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hint="eastAsia"/>
        </w:rPr>
        <w:t>学习盆景起源与发展历史，培养学生的学习兴趣及自豪感。</w:t>
      </w:r>
    </w:p>
    <w:p w14:paraId="4A11DE73" w14:textId="77777777" w:rsidR="00F5289E" w:rsidRDefault="00C91173">
      <w:pPr>
        <w:spacing w:line="360" w:lineRule="auto"/>
      </w:pPr>
      <w:r>
        <w:rPr>
          <w:rFonts w:ascii="宋体" w:hAnsi="宋体" w:hint="eastAsia"/>
          <w:b/>
          <w:bCs/>
        </w:rPr>
        <w:t>教学重点和难点：</w:t>
      </w:r>
      <w:r>
        <w:rPr>
          <w:rFonts w:hint="eastAsia"/>
        </w:rPr>
        <w:t>重大历史时期的盆景特点，四个飞跃时期的盆景发展的标志。</w:t>
      </w:r>
    </w:p>
    <w:p w14:paraId="2A8FB16E" w14:textId="77777777" w:rsidR="00F5289E" w:rsidRDefault="00C91173">
      <w:pPr>
        <w:spacing w:line="360" w:lineRule="auto"/>
        <w:rPr>
          <w:rFonts w:ascii="宋体" w:hAnsi="宋体"/>
          <w:b/>
        </w:rPr>
      </w:pPr>
      <w:r>
        <w:rPr>
          <w:rFonts w:ascii="宋体" w:hAnsi="宋体" w:hint="eastAsia"/>
          <w:b/>
        </w:rPr>
        <w:t xml:space="preserve">主要教学内容及要求： </w:t>
      </w:r>
    </w:p>
    <w:p w14:paraId="65967FA8" w14:textId="77777777" w:rsidR="00F5289E" w:rsidRDefault="00C91173">
      <w:pPr>
        <w:spacing w:line="360" w:lineRule="auto"/>
        <w:ind w:firstLineChars="200" w:firstLine="420"/>
      </w:pPr>
      <w:r>
        <w:rPr>
          <w:rFonts w:hint="eastAsia"/>
        </w:rPr>
        <w:t>了解：中国盆景史，了解中国盆景通过日本传向西方的途径。</w:t>
      </w:r>
    </w:p>
    <w:p w14:paraId="59AC40CC" w14:textId="77777777" w:rsidR="00F5289E" w:rsidRDefault="00C91173">
      <w:pPr>
        <w:spacing w:line="360" w:lineRule="auto"/>
        <w:ind w:firstLineChars="200" w:firstLine="420"/>
      </w:pPr>
      <w:r>
        <w:rPr>
          <w:rFonts w:hint="eastAsia"/>
        </w:rPr>
        <w:t>掌握：关于盆景起源的几种学说，掌握唐代盆栽、盆池、小滩及赏石，掌握宋代盆景、盆玩、盆山，掌握明清盆景及近代盆景史。</w:t>
      </w:r>
    </w:p>
    <w:p w14:paraId="403EBA1C" w14:textId="77777777" w:rsidR="00F5289E" w:rsidRDefault="00C91173">
      <w:pPr>
        <w:spacing w:line="360" w:lineRule="auto"/>
        <w:ind w:firstLineChars="200" w:firstLine="420"/>
      </w:pPr>
      <w:r>
        <w:rPr>
          <w:rFonts w:hint="eastAsia"/>
        </w:rPr>
        <w:t>熟练掌握：新石器时期草本盆栽，熟练掌握汉代木本盆栽，熟练掌握魏晋南北朝盆景艺术形式，熟练掌握元代盆景的艺术特点。</w:t>
      </w:r>
    </w:p>
    <w:p w14:paraId="4176A282"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本次教学过程中，实践与理论相结合。理论讲解后，进行课堂演示（或者视频演示）。组织学生进行进一步分享讨论，分享与盆景相关的经历。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353DE28" w14:textId="77777777">
        <w:trPr>
          <w:trHeight w:val="270"/>
        </w:trPr>
        <w:tc>
          <w:tcPr>
            <w:tcW w:w="2965" w:type="dxa"/>
            <w:tcBorders>
              <w:top w:val="nil"/>
              <w:left w:val="nil"/>
              <w:bottom w:val="nil"/>
              <w:right w:val="nil"/>
            </w:tcBorders>
            <w:vAlign w:val="center"/>
          </w:tcPr>
          <w:p w14:paraId="7F452300"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A5CA5AC" w14:textId="77777777" w:rsidR="00F5289E" w:rsidRDefault="00C91173">
            <w:pPr>
              <w:widowControl/>
              <w:snapToGrid w:val="0"/>
              <w:spacing w:beforeLines="50" w:before="156"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Ansi="宋体" w:hint="eastAsia"/>
                <w:b/>
                <w:bCs/>
                <w:kern w:val="0"/>
                <w:szCs w:val="21"/>
              </w:rPr>
              <w:t xml:space="preserve">  </w:t>
            </w:r>
            <w:r>
              <w:rPr>
                <w:rFonts w:hint="eastAsia"/>
                <w:b/>
                <w:bCs/>
              </w:rPr>
              <w:t>中国盆景分类</w:t>
            </w:r>
          </w:p>
        </w:tc>
        <w:tc>
          <w:tcPr>
            <w:tcW w:w="2966" w:type="dxa"/>
            <w:tcBorders>
              <w:top w:val="nil"/>
              <w:left w:val="nil"/>
              <w:bottom w:val="nil"/>
              <w:right w:val="nil"/>
            </w:tcBorders>
            <w:vAlign w:val="center"/>
          </w:tcPr>
          <w:p w14:paraId="6F4C75E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37E8A10"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学习盆景的分类，为盆景的欣赏与制作奠定理论基础。</w:t>
      </w:r>
    </w:p>
    <w:p w14:paraId="48834002" w14:textId="77777777" w:rsidR="00F5289E" w:rsidRDefault="00C91173">
      <w:pPr>
        <w:spacing w:line="360" w:lineRule="auto"/>
      </w:pPr>
      <w:r>
        <w:rPr>
          <w:rFonts w:ascii="宋体" w:hAnsi="宋体" w:hint="eastAsia"/>
          <w:b/>
          <w:bCs/>
        </w:rPr>
        <w:t>教学重点和难点：</w:t>
      </w:r>
      <w:r>
        <w:rPr>
          <w:rFonts w:hint="eastAsia"/>
        </w:rPr>
        <w:t>盆景系统分类的方法，每类盆景的特点。</w:t>
      </w:r>
    </w:p>
    <w:p w14:paraId="6E3B6F68" w14:textId="77777777" w:rsidR="00F5289E" w:rsidRDefault="00C91173">
      <w:pPr>
        <w:spacing w:line="360" w:lineRule="auto"/>
        <w:rPr>
          <w:rFonts w:ascii="宋体" w:hAnsi="宋体"/>
          <w:b/>
        </w:rPr>
      </w:pPr>
      <w:r>
        <w:rPr>
          <w:rFonts w:ascii="宋体" w:hAnsi="宋体" w:hint="eastAsia"/>
          <w:b/>
        </w:rPr>
        <w:t>主要教学内容及要求：</w:t>
      </w:r>
    </w:p>
    <w:p w14:paraId="792DCB16" w14:textId="77777777" w:rsidR="00F5289E" w:rsidRDefault="00C91173">
      <w:pPr>
        <w:spacing w:line="360" w:lineRule="auto"/>
        <w:ind w:firstLineChars="200" w:firstLine="420"/>
      </w:pPr>
      <w:r>
        <w:rPr>
          <w:rFonts w:hint="eastAsia"/>
        </w:rPr>
        <w:t>了解：中国盆景的各种分类方法。</w:t>
      </w:r>
    </w:p>
    <w:p w14:paraId="6CD4F0D1" w14:textId="77777777" w:rsidR="00F5289E" w:rsidRDefault="00C91173">
      <w:pPr>
        <w:spacing w:line="360" w:lineRule="auto"/>
        <w:ind w:firstLineChars="200" w:firstLine="420"/>
      </w:pPr>
      <w:r>
        <w:rPr>
          <w:rFonts w:hint="eastAsia"/>
        </w:rPr>
        <w:t>熟练掌握：系统分类的方法及系统分类中各类型盆景的特点。</w:t>
      </w:r>
    </w:p>
    <w:p w14:paraId="40277C6F" w14:textId="77777777" w:rsidR="00F5289E" w:rsidRDefault="00C91173">
      <w:pPr>
        <w:widowControl/>
        <w:snapToGrid w:val="0"/>
        <w:spacing w:line="360" w:lineRule="auto"/>
        <w:jc w:val="left"/>
        <w:rPr>
          <w:rFonts w:ascii="宋体" w:hAnsi="宋体"/>
          <w:szCs w:val="20"/>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831"/>
        <w:gridCol w:w="3402"/>
        <w:gridCol w:w="2663"/>
      </w:tblGrid>
      <w:tr w:rsidR="00F5289E" w14:paraId="5E1D32CC" w14:textId="77777777">
        <w:trPr>
          <w:trHeight w:val="270"/>
        </w:trPr>
        <w:tc>
          <w:tcPr>
            <w:tcW w:w="2831" w:type="dxa"/>
            <w:tcBorders>
              <w:top w:val="nil"/>
              <w:left w:val="nil"/>
              <w:bottom w:val="nil"/>
              <w:right w:val="nil"/>
            </w:tcBorders>
            <w:vAlign w:val="center"/>
          </w:tcPr>
          <w:p w14:paraId="45DD8790" w14:textId="77777777" w:rsidR="00F5289E" w:rsidRDefault="00F5289E">
            <w:pPr>
              <w:widowControl/>
              <w:snapToGrid w:val="0"/>
              <w:spacing w:line="360" w:lineRule="auto"/>
              <w:jc w:val="center"/>
              <w:rPr>
                <w:rFonts w:hAnsi="宋体"/>
                <w:b/>
                <w:bCs/>
                <w:kern w:val="0"/>
                <w:szCs w:val="21"/>
              </w:rPr>
            </w:pPr>
          </w:p>
        </w:tc>
        <w:tc>
          <w:tcPr>
            <w:tcW w:w="3402" w:type="dxa"/>
            <w:tcBorders>
              <w:top w:val="nil"/>
              <w:left w:val="nil"/>
              <w:bottom w:val="nil"/>
              <w:right w:val="nil"/>
            </w:tcBorders>
            <w:vAlign w:val="center"/>
          </w:tcPr>
          <w:p w14:paraId="5EA685F6"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Ansi="宋体" w:hint="eastAsia"/>
                <w:b/>
                <w:bCs/>
                <w:kern w:val="0"/>
                <w:szCs w:val="21"/>
              </w:rPr>
              <w:t xml:space="preserve">  </w:t>
            </w:r>
            <w:r>
              <w:rPr>
                <w:rFonts w:hint="eastAsia"/>
                <w:b/>
                <w:bCs/>
              </w:rPr>
              <w:t>盆景风格及风格类型和流派</w:t>
            </w:r>
          </w:p>
        </w:tc>
        <w:tc>
          <w:tcPr>
            <w:tcW w:w="2663" w:type="dxa"/>
            <w:tcBorders>
              <w:top w:val="nil"/>
              <w:left w:val="nil"/>
              <w:bottom w:val="nil"/>
              <w:right w:val="nil"/>
            </w:tcBorders>
            <w:vAlign w:val="center"/>
          </w:tcPr>
          <w:p w14:paraId="356E28B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132A40A" w14:textId="77777777" w:rsidR="00F5289E" w:rsidRDefault="00C91173">
      <w:pPr>
        <w:spacing w:line="360" w:lineRule="auto"/>
      </w:pPr>
      <w:r>
        <w:rPr>
          <w:rFonts w:ascii="宋体" w:hAnsi="宋体" w:hint="eastAsia"/>
          <w:b/>
          <w:bCs/>
        </w:rPr>
        <w:t>教学目标：</w:t>
      </w:r>
      <w:r>
        <w:rPr>
          <w:rFonts w:hint="eastAsia"/>
        </w:rPr>
        <w:t>学习盆景的风格与流派，借鉴我国各大流派的制作理论与实践。</w:t>
      </w:r>
    </w:p>
    <w:p w14:paraId="2ECBC4A3" w14:textId="77777777" w:rsidR="00F5289E" w:rsidRDefault="00C91173">
      <w:pPr>
        <w:spacing w:line="360" w:lineRule="auto"/>
      </w:pPr>
      <w:r>
        <w:rPr>
          <w:rFonts w:ascii="宋体" w:hAnsi="宋体" w:hint="eastAsia"/>
          <w:b/>
          <w:bCs/>
        </w:rPr>
        <w:t>教学重点和难点：</w:t>
      </w:r>
      <w:r>
        <w:rPr>
          <w:rFonts w:hint="eastAsia"/>
        </w:rPr>
        <w:t>盆景风格流派的形成，我国各大盆景流派的特点。</w:t>
      </w:r>
    </w:p>
    <w:p w14:paraId="5A43731C" w14:textId="77777777" w:rsidR="00F5289E" w:rsidRDefault="00C91173">
      <w:pPr>
        <w:spacing w:line="360" w:lineRule="auto"/>
        <w:rPr>
          <w:rFonts w:ascii="宋体" w:hAnsi="宋体"/>
          <w:b/>
        </w:rPr>
      </w:pPr>
      <w:r>
        <w:rPr>
          <w:rFonts w:ascii="宋体" w:hAnsi="宋体" w:hint="eastAsia"/>
          <w:b/>
        </w:rPr>
        <w:t>主要教学内容及要求：</w:t>
      </w:r>
    </w:p>
    <w:p w14:paraId="68A3E777" w14:textId="77777777" w:rsidR="00F5289E" w:rsidRDefault="00C91173">
      <w:pPr>
        <w:spacing w:line="360" w:lineRule="auto"/>
        <w:ind w:firstLineChars="200" w:firstLine="420"/>
      </w:pPr>
      <w:r>
        <w:rPr>
          <w:rFonts w:hint="eastAsia"/>
        </w:rPr>
        <w:t>了解：中国盆景流派概念、划分及属性。</w:t>
      </w:r>
    </w:p>
    <w:p w14:paraId="72F3A874" w14:textId="77777777" w:rsidR="00F5289E" w:rsidRDefault="00C91173">
      <w:pPr>
        <w:spacing w:line="360" w:lineRule="auto"/>
        <w:ind w:firstLineChars="200" w:firstLine="420"/>
      </w:pPr>
      <w:r>
        <w:rPr>
          <w:rFonts w:hint="eastAsia"/>
        </w:rPr>
        <w:t>熟练掌握：盆景流派的形成与发展，熟练掌握我国各大盆景流派的特点。</w:t>
      </w:r>
    </w:p>
    <w:p w14:paraId="08925D62"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B935DDA" w14:textId="77777777">
        <w:trPr>
          <w:trHeight w:val="270"/>
        </w:trPr>
        <w:tc>
          <w:tcPr>
            <w:tcW w:w="2965" w:type="dxa"/>
            <w:tcBorders>
              <w:top w:val="nil"/>
              <w:left w:val="nil"/>
              <w:bottom w:val="nil"/>
              <w:right w:val="nil"/>
            </w:tcBorders>
            <w:vAlign w:val="center"/>
          </w:tcPr>
          <w:p w14:paraId="72153A29"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336534A0"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Ansi="宋体" w:hint="eastAsia"/>
                <w:b/>
                <w:bCs/>
                <w:kern w:val="0"/>
                <w:szCs w:val="21"/>
              </w:rPr>
              <w:t xml:space="preserve">  </w:t>
            </w:r>
            <w:r>
              <w:rPr>
                <w:rFonts w:hint="eastAsia"/>
                <w:b/>
                <w:bCs/>
              </w:rPr>
              <w:t>盆景美学</w:t>
            </w:r>
          </w:p>
        </w:tc>
        <w:tc>
          <w:tcPr>
            <w:tcW w:w="2966" w:type="dxa"/>
            <w:tcBorders>
              <w:top w:val="nil"/>
              <w:left w:val="nil"/>
              <w:bottom w:val="nil"/>
              <w:right w:val="nil"/>
            </w:tcBorders>
            <w:vAlign w:val="center"/>
          </w:tcPr>
          <w:p w14:paraId="4CA0B02C"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F84542D" w14:textId="77777777" w:rsidR="00F5289E" w:rsidRDefault="00C91173">
      <w:pPr>
        <w:spacing w:line="360" w:lineRule="auto"/>
      </w:pPr>
      <w:r>
        <w:rPr>
          <w:rFonts w:ascii="宋体" w:hAnsi="宋体" w:hint="eastAsia"/>
          <w:b/>
          <w:bCs/>
        </w:rPr>
        <w:t>教学目标：</w:t>
      </w:r>
      <w:r>
        <w:rPr>
          <w:rFonts w:hint="eastAsia"/>
        </w:rPr>
        <w:t>学习盆景的美学理论，奠定盆景欣赏的理论基础。</w:t>
      </w:r>
    </w:p>
    <w:p w14:paraId="429E3656" w14:textId="77777777" w:rsidR="00F5289E" w:rsidRDefault="00C91173">
      <w:pPr>
        <w:spacing w:line="360" w:lineRule="auto"/>
      </w:pPr>
      <w:r>
        <w:rPr>
          <w:rFonts w:ascii="宋体" w:hAnsi="宋体" w:hint="eastAsia"/>
          <w:b/>
          <w:bCs/>
        </w:rPr>
        <w:t>教学重点和难点：</w:t>
      </w:r>
      <w:r>
        <w:rPr>
          <w:rFonts w:hint="eastAsia"/>
        </w:rPr>
        <w:t>盆景美的形态与法则，我国盆景美与其他艺术形式的关系。</w:t>
      </w:r>
    </w:p>
    <w:p w14:paraId="4A9761F9" w14:textId="77777777" w:rsidR="00F5289E" w:rsidRDefault="00C91173">
      <w:pPr>
        <w:spacing w:line="360" w:lineRule="auto"/>
        <w:rPr>
          <w:rFonts w:ascii="宋体" w:hAnsi="宋体"/>
          <w:b/>
        </w:rPr>
      </w:pPr>
      <w:r>
        <w:rPr>
          <w:rFonts w:ascii="宋体" w:hAnsi="宋体" w:hint="eastAsia"/>
          <w:b/>
        </w:rPr>
        <w:t>主要教学内容及要求：</w:t>
      </w:r>
    </w:p>
    <w:p w14:paraId="2C967A67" w14:textId="77777777" w:rsidR="00F5289E" w:rsidRDefault="00C91173">
      <w:pPr>
        <w:spacing w:line="360" w:lineRule="auto"/>
        <w:ind w:firstLineChars="200" w:firstLine="420"/>
      </w:pPr>
      <w:r>
        <w:rPr>
          <w:rFonts w:hint="eastAsia"/>
        </w:rPr>
        <w:t>了解：中国盆景艺术活动概观。</w:t>
      </w:r>
    </w:p>
    <w:p w14:paraId="23E29F4E" w14:textId="77777777" w:rsidR="00F5289E" w:rsidRDefault="00C91173">
      <w:pPr>
        <w:spacing w:line="360" w:lineRule="auto"/>
        <w:ind w:firstLineChars="200" w:firstLine="420"/>
      </w:pPr>
      <w:r>
        <w:rPr>
          <w:rFonts w:hint="eastAsia"/>
        </w:rPr>
        <w:t>掌握：盆景意境美原则，掌握盆景美与画论、盆景美与诗词的关系。</w:t>
      </w:r>
    </w:p>
    <w:p w14:paraId="48063DAA" w14:textId="77777777" w:rsidR="00F5289E" w:rsidRDefault="00C91173">
      <w:pPr>
        <w:spacing w:line="360" w:lineRule="auto"/>
        <w:ind w:firstLineChars="200" w:firstLine="420"/>
      </w:pPr>
      <w:r>
        <w:rPr>
          <w:rFonts w:hint="eastAsia"/>
        </w:rPr>
        <w:t>熟练掌握：盆景美的形态与盆景形式美法则，</w:t>
      </w:r>
    </w:p>
    <w:p w14:paraId="327883CB"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2C45A09" w14:textId="77777777">
        <w:trPr>
          <w:trHeight w:val="270"/>
        </w:trPr>
        <w:tc>
          <w:tcPr>
            <w:tcW w:w="2965" w:type="dxa"/>
            <w:tcBorders>
              <w:top w:val="nil"/>
              <w:left w:val="nil"/>
              <w:bottom w:val="nil"/>
              <w:right w:val="nil"/>
            </w:tcBorders>
            <w:vAlign w:val="center"/>
          </w:tcPr>
          <w:p w14:paraId="5464BED6"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37FA0B82"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rFonts w:hAnsi="宋体" w:hint="eastAsia"/>
                <w:b/>
                <w:bCs/>
                <w:kern w:val="0"/>
                <w:szCs w:val="21"/>
              </w:rPr>
              <w:t xml:space="preserve">  </w:t>
            </w:r>
            <w:r>
              <w:rPr>
                <w:rFonts w:hint="eastAsia"/>
                <w:b/>
                <w:bCs/>
              </w:rPr>
              <w:t>桩景创作</w:t>
            </w:r>
          </w:p>
        </w:tc>
        <w:tc>
          <w:tcPr>
            <w:tcW w:w="2966" w:type="dxa"/>
            <w:tcBorders>
              <w:top w:val="nil"/>
              <w:left w:val="nil"/>
              <w:bottom w:val="nil"/>
              <w:right w:val="nil"/>
            </w:tcBorders>
            <w:vAlign w:val="center"/>
          </w:tcPr>
          <w:p w14:paraId="0E98460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2</w:t>
            </w:r>
          </w:p>
        </w:tc>
      </w:tr>
    </w:tbl>
    <w:p w14:paraId="41BEC1AB"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学习树木盆景的制作理论与实践，综合应用各种树木盆景要素制作盆景。</w:t>
      </w:r>
    </w:p>
    <w:p w14:paraId="4E189204" w14:textId="77777777" w:rsidR="00F5289E" w:rsidRDefault="00C91173">
      <w:pPr>
        <w:spacing w:line="360" w:lineRule="auto"/>
      </w:pPr>
      <w:r>
        <w:rPr>
          <w:rFonts w:ascii="宋体" w:hAnsi="宋体" w:hint="eastAsia"/>
          <w:b/>
          <w:bCs/>
        </w:rPr>
        <w:t>教学重点和难点：</w:t>
      </w:r>
      <w:r>
        <w:rPr>
          <w:rFonts w:hint="eastAsia"/>
        </w:rPr>
        <w:t>树木盆景的制作理论与实践，综合应用各种树木盆景要素的能力。</w:t>
      </w:r>
    </w:p>
    <w:p w14:paraId="1FA68C94" w14:textId="77777777" w:rsidR="00F5289E" w:rsidRDefault="00C91173">
      <w:pPr>
        <w:spacing w:line="360" w:lineRule="auto"/>
        <w:rPr>
          <w:rFonts w:ascii="宋体" w:hAnsi="宋体"/>
          <w:b/>
        </w:rPr>
      </w:pPr>
      <w:r>
        <w:rPr>
          <w:rFonts w:ascii="宋体" w:hAnsi="宋体" w:hint="eastAsia"/>
          <w:b/>
        </w:rPr>
        <w:t>主要教学内容及要求：</w:t>
      </w:r>
    </w:p>
    <w:p w14:paraId="536BDD89" w14:textId="77777777" w:rsidR="00F5289E" w:rsidRDefault="00C91173">
      <w:pPr>
        <w:spacing w:line="360" w:lineRule="auto"/>
        <w:ind w:firstLineChars="200" w:firstLine="420"/>
      </w:pPr>
      <w:r>
        <w:rPr>
          <w:rFonts w:hint="eastAsia"/>
        </w:rPr>
        <w:t>了解：中国盆景的基本技艺。</w:t>
      </w:r>
    </w:p>
    <w:p w14:paraId="6C1EAD74" w14:textId="77777777" w:rsidR="00F5289E" w:rsidRDefault="00C91173">
      <w:pPr>
        <w:spacing w:line="360" w:lineRule="auto"/>
        <w:ind w:firstLineChars="200" w:firstLine="420"/>
      </w:pPr>
      <w:r>
        <w:rPr>
          <w:rFonts w:hint="eastAsia"/>
        </w:rPr>
        <w:t>掌握：各流派造型技艺的特点。</w:t>
      </w:r>
    </w:p>
    <w:p w14:paraId="6FF12F6D" w14:textId="77777777" w:rsidR="00F5289E" w:rsidRDefault="00C91173">
      <w:pPr>
        <w:spacing w:line="360" w:lineRule="auto"/>
        <w:ind w:firstLineChars="200" w:firstLine="420"/>
      </w:pPr>
      <w:r>
        <w:rPr>
          <w:rFonts w:hint="eastAsia"/>
        </w:rPr>
        <w:t>熟练掌握：树木盆景造型制作技艺。</w:t>
      </w:r>
    </w:p>
    <w:p w14:paraId="12B56535"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0DD47A0" w14:textId="77777777">
        <w:trPr>
          <w:trHeight w:val="270"/>
        </w:trPr>
        <w:tc>
          <w:tcPr>
            <w:tcW w:w="2965" w:type="dxa"/>
            <w:tcBorders>
              <w:top w:val="nil"/>
              <w:left w:val="nil"/>
              <w:bottom w:val="nil"/>
              <w:right w:val="nil"/>
            </w:tcBorders>
            <w:vAlign w:val="center"/>
          </w:tcPr>
          <w:p w14:paraId="53F8586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96533F2"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Ansi="宋体" w:hint="eastAsia"/>
                <w:b/>
                <w:bCs/>
                <w:kern w:val="0"/>
                <w:szCs w:val="21"/>
              </w:rPr>
              <w:t xml:space="preserve">  </w:t>
            </w:r>
            <w:r>
              <w:rPr>
                <w:rFonts w:hint="eastAsia"/>
                <w:b/>
                <w:bCs/>
              </w:rPr>
              <w:t>山水盆景创作</w:t>
            </w:r>
          </w:p>
        </w:tc>
        <w:tc>
          <w:tcPr>
            <w:tcW w:w="2966" w:type="dxa"/>
            <w:tcBorders>
              <w:top w:val="nil"/>
              <w:left w:val="nil"/>
              <w:bottom w:val="nil"/>
              <w:right w:val="nil"/>
            </w:tcBorders>
            <w:vAlign w:val="center"/>
          </w:tcPr>
          <w:p w14:paraId="3A86CFC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2411B286"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学习山水盆景的制作理论与实践，综合应用各种山水盆景要素制作盆景。</w:t>
      </w:r>
    </w:p>
    <w:p w14:paraId="55FA79A6" w14:textId="77777777" w:rsidR="00F5289E" w:rsidRDefault="00C91173">
      <w:pPr>
        <w:spacing w:line="360" w:lineRule="auto"/>
      </w:pPr>
      <w:r>
        <w:rPr>
          <w:rFonts w:ascii="宋体" w:hAnsi="宋体" w:hint="eastAsia"/>
          <w:b/>
          <w:bCs/>
        </w:rPr>
        <w:t>教学重点和难点：</w:t>
      </w:r>
      <w:r>
        <w:rPr>
          <w:rFonts w:hint="eastAsia"/>
        </w:rPr>
        <w:t>山水盆景的制作理论与实践，综合应用各种山水盆景要素的能力。</w:t>
      </w:r>
    </w:p>
    <w:p w14:paraId="0519AD46" w14:textId="77777777" w:rsidR="00F5289E" w:rsidRDefault="00C91173">
      <w:pPr>
        <w:spacing w:line="360" w:lineRule="auto"/>
        <w:rPr>
          <w:rFonts w:ascii="宋体" w:hAnsi="宋体"/>
          <w:b/>
        </w:rPr>
      </w:pPr>
      <w:r>
        <w:rPr>
          <w:rFonts w:ascii="宋体" w:hAnsi="宋体" w:hint="eastAsia"/>
          <w:b/>
        </w:rPr>
        <w:lastRenderedPageBreak/>
        <w:t>主要教学内容及要求：</w:t>
      </w:r>
    </w:p>
    <w:p w14:paraId="45191359" w14:textId="77777777" w:rsidR="00F5289E" w:rsidRDefault="00C91173">
      <w:pPr>
        <w:spacing w:line="360" w:lineRule="auto"/>
        <w:ind w:firstLineChars="200" w:firstLine="420"/>
      </w:pPr>
      <w:r>
        <w:rPr>
          <w:rFonts w:hint="eastAsia"/>
        </w:rPr>
        <w:t>了解：中国盆景的基本技艺。</w:t>
      </w:r>
    </w:p>
    <w:p w14:paraId="6E080AA8" w14:textId="77777777" w:rsidR="00F5289E" w:rsidRDefault="00C91173">
      <w:pPr>
        <w:spacing w:line="360" w:lineRule="auto"/>
        <w:ind w:firstLineChars="200" w:firstLine="420"/>
      </w:pPr>
      <w:r>
        <w:rPr>
          <w:rFonts w:hint="eastAsia"/>
        </w:rPr>
        <w:t>掌握相：石与布局，掌握配植与点缀及盆景题。</w:t>
      </w:r>
    </w:p>
    <w:p w14:paraId="458DBA41" w14:textId="77777777" w:rsidR="00F5289E" w:rsidRDefault="00C91173">
      <w:pPr>
        <w:spacing w:line="360" w:lineRule="auto"/>
        <w:ind w:firstLineChars="200" w:firstLine="420"/>
      </w:pPr>
      <w:r>
        <w:rPr>
          <w:rFonts w:hint="eastAsia"/>
        </w:rPr>
        <w:t>熟练掌握：山水盆景制作技艺，熟练掌握几种特殊形式的山水盆景的制作要点。</w:t>
      </w:r>
    </w:p>
    <w:p w14:paraId="692F26C1"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5364891E" w14:textId="77777777">
        <w:trPr>
          <w:trHeight w:val="270"/>
        </w:trPr>
        <w:tc>
          <w:tcPr>
            <w:tcW w:w="2965" w:type="dxa"/>
            <w:tcBorders>
              <w:top w:val="nil"/>
              <w:left w:val="nil"/>
              <w:bottom w:val="nil"/>
              <w:right w:val="nil"/>
            </w:tcBorders>
            <w:vAlign w:val="center"/>
          </w:tcPr>
          <w:p w14:paraId="50EE9D78"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D1BD8E3"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rFonts w:hint="eastAsia"/>
                <w:b/>
                <w:bCs/>
                <w:kern w:val="0"/>
                <w:szCs w:val="21"/>
              </w:rPr>
              <w:t xml:space="preserve">  </w:t>
            </w:r>
            <w:r>
              <w:rPr>
                <w:rFonts w:hint="eastAsia"/>
                <w:b/>
                <w:bCs/>
                <w:kern w:val="0"/>
                <w:szCs w:val="21"/>
              </w:rPr>
              <w:t>草花</w:t>
            </w:r>
            <w:r>
              <w:rPr>
                <w:rFonts w:hint="eastAsia"/>
                <w:b/>
                <w:bCs/>
              </w:rPr>
              <w:t>盆景创作</w:t>
            </w:r>
          </w:p>
        </w:tc>
        <w:tc>
          <w:tcPr>
            <w:tcW w:w="2966" w:type="dxa"/>
            <w:tcBorders>
              <w:top w:val="nil"/>
              <w:left w:val="nil"/>
              <w:bottom w:val="nil"/>
              <w:right w:val="nil"/>
            </w:tcBorders>
            <w:vAlign w:val="center"/>
          </w:tcPr>
          <w:p w14:paraId="605C639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52ED1CC3"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w:t>
      </w:r>
      <w:r>
        <w:rPr>
          <w:rFonts w:hint="eastAsia"/>
          <w:kern w:val="0"/>
          <w:szCs w:val="21"/>
        </w:rPr>
        <w:t>草花</w:t>
      </w:r>
      <w:r>
        <w:rPr>
          <w:rFonts w:hint="eastAsia"/>
        </w:rPr>
        <w:t>盆景的制作理论与实践，综合应用各种</w:t>
      </w:r>
      <w:r>
        <w:rPr>
          <w:rFonts w:hint="eastAsia"/>
          <w:kern w:val="0"/>
          <w:szCs w:val="21"/>
        </w:rPr>
        <w:t>草花</w:t>
      </w:r>
      <w:r>
        <w:rPr>
          <w:rFonts w:hint="eastAsia"/>
        </w:rPr>
        <w:t>盆景要素制作盆景。</w:t>
      </w:r>
    </w:p>
    <w:p w14:paraId="6D754F03" w14:textId="77777777" w:rsidR="00F5289E" w:rsidRDefault="00C91173">
      <w:pPr>
        <w:spacing w:line="360" w:lineRule="auto"/>
      </w:pPr>
      <w:r>
        <w:rPr>
          <w:rFonts w:ascii="宋体" w:hAnsi="宋体" w:hint="eastAsia"/>
          <w:b/>
          <w:bCs/>
        </w:rPr>
        <w:t>教学重点和难点：</w:t>
      </w:r>
      <w:r>
        <w:rPr>
          <w:rFonts w:hint="eastAsia"/>
          <w:kern w:val="0"/>
          <w:szCs w:val="21"/>
        </w:rPr>
        <w:t>草花</w:t>
      </w:r>
      <w:r>
        <w:rPr>
          <w:rFonts w:hint="eastAsia"/>
        </w:rPr>
        <w:t>盆景的制作理论与实践，综合应用各种</w:t>
      </w:r>
      <w:r>
        <w:rPr>
          <w:rFonts w:hint="eastAsia"/>
          <w:kern w:val="0"/>
          <w:szCs w:val="21"/>
        </w:rPr>
        <w:t>草花</w:t>
      </w:r>
      <w:r>
        <w:rPr>
          <w:rFonts w:hint="eastAsia"/>
        </w:rPr>
        <w:t>盆景要素的能力。</w:t>
      </w:r>
    </w:p>
    <w:p w14:paraId="48650EB1" w14:textId="77777777" w:rsidR="00F5289E" w:rsidRDefault="00C91173">
      <w:pPr>
        <w:spacing w:line="360" w:lineRule="auto"/>
        <w:rPr>
          <w:rFonts w:ascii="宋体" w:hAnsi="宋体"/>
          <w:b/>
        </w:rPr>
      </w:pPr>
      <w:r>
        <w:rPr>
          <w:rFonts w:ascii="宋体" w:hAnsi="宋体" w:hint="eastAsia"/>
          <w:b/>
        </w:rPr>
        <w:t>主要教学内容及要求：</w:t>
      </w:r>
    </w:p>
    <w:p w14:paraId="67F165A7" w14:textId="77777777" w:rsidR="00F5289E" w:rsidRDefault="00C91173">
      <w:pPr>
        <w:spacing w:line="360" w:lineRule="auto"/>
        <w:ind w:firstLineChars="200" w:firstLine="420"/>
      </w:pPr>
      <w:r>
        <w:rPr>
          <w:rFonts w:hint="eastAsia"/>
        </w:rPr>
        <w:t>了解：中国盆景的基本技艺。</w:t>
      </w:r>
    </w:p>
    <w:p w14:paraId="32D5B134" w14:textId="77777777" w:rsidR="00F5289E" w:rsidRDefault="00C91173">
      <w:pPr>
        <w:spacing w:line="360" w:lineRule="auto"/>
        <w:ind w:firstLineChars="200" w:firstLine="420"/>
      </w:pPr>
      <w:r>
        <w:rPr>
          <w:rFonts w:hint="eastAsia"/>
        </w:rPr>
        <w:t>掌握：草花布局，掌握配植与点缀及盆景题名。</w:t>
      </w:r>
    </w:p>
    <w:p w14:paraId="4AFBE331" w14:textId="77777777" w:rsidR="00F5289E" w:rsidRDefault="00C91173">
      <w:pPr>
        <w:spacing w:line="360" w:lineRule="auto"/>
        <w:ind w:firstLineChars="200" w:firstLine="420"/>
      </w:pPr>
      <w:r>
        <w:rPr>
          <w:rFonts w:hint="eastAsia"/>
        </w:rPr>
        <w:t>熟练掌握：</w:t>
      </w:r>
      <w:r>
        <w:rPr>
          <w:rFonts w:hint="eastAsia"/>
          <w:kern w:val="0"/>
          <w:szCs w:val="21"/>
        </w:rPr>
        <w:t>草花</w:t>
      </w:r>
      <w:r>
        <w:rPr>
          <w:rFonts w:hint="eastAsia"/>
        </w:rPr>
        <w:t>盆景制作技艺，熟练掌握几种特殊形式的草花盆景的制作要点。</w:t>
      </w:r>
    </w:p>
    <w:p w14:paraId="3C47BDB2" w14:textId="77777777" w:rsidR="00F5289E" w:rsidRDefault="00C91173">
      <w:pPr>
        <w:widowControl/>
        <w:snapToGrid w:val="0"/>
        <w:spacing w:line="360" w:lineRule="auto"/>
        <w:jc w:val="left"/>
        <w:rPr>
          <w:rFonts w:ascii="宋体" w:hAnsi="宋体"/>
          <w:szCs w:val="20"/>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8BB5F47" w14:textId="77777777">
        <w:trPr>
          <w:trHeight w:val="270"/>
        </w:trPr>
        <w:tc>
          <w:tcPr>
            <w:tcW w:w="2965" w:type="dxa"/>
            <w:tcBorders>
              <w:top w:val="nil"/>
              <w:left w:val="nil"/>
              <w:bottom w:val="nil"/>
              <w:right w:val="nil"/>
            </w:tcBorders>
            <w:vAlign w:val="center"/>
          </w:tcPr>
          <w:p w14:paraId="274528E9"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33F44EB"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rFonts w:hint="eastAsia"/>
                <w:b/>
                <w:bCs/>
                <w:kern w:val="0"/>
                <w:szCs w:val="21"/>
              </w:rPr>
              <w:t xml:space="preserve">  </w:t>
            </w:r>
            <w:r>
              <w:rPr>
                <w:rFonts w:hint="eastAsia"/>
                <w:b/>
                <w:bCs/>
                <w:kern w:val="0"/>
                <w:szCs w:val="21"/>
              </w:rPr>
              <w:t>挂壁</w:t>
            </w:r>
            <w:r>
              <w:rPr>
                <w:rFonts w:hint="eastAsia"/>
                <w:b/>
                <w:bCs/>
              </w:rPr>
              <w:t>盆景创作</w:t>
            </w:r>
          </w:p>
        </w:tc>
        <w:tc>
          <w:tcPr>
            <w:tcW w:w="2966" w:type="dxa"/>
            <w:tcBorders>
              <w:top w:val="nil"/>
              <w:left w:val="nil"/>
              <w:bottom w:val="nil"/>
              <w:right w:val="nil"/>
            </w:tcBorders>
            <w:vAlign w:val="center"/>
          </w:tcPr>
          <w:p w14:paraId="4D43AFC8"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0742F58C"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学习挂壁盆景的制作理论与实践，综合应用各种挂壁盆景要素制作盆景。</w:t>
      </w:r>
    </w:p>
    <w:p w14:paraId="2ED2ABAA" w14:textId="77777777" w:rsidR="00F5289E" w:rsidRDefault="00C91173">
      <w:pPr>
        <w:spacing w:line="360" w:lineRule="auto"/>
      </w:pPr>
      <w:r>
        <w:rPr>
          <w:rFonts w:ascii="宋体" w:hAnsi="宋体" w:hint="eastAsia"/>
          <w:b/>
          <w:bCs/>
        </w:rPr>
        <w:t>教学重点和难点：</w:t>
      </w:r>
      <w:r>
        <w:rPr>
          <w:rFonts w:hint="eastAsia"/>
        </w:rPr>
        <w:t>挂壁盆景的制作理论与实践，综合应用各种挂壁盆景要素的能力。</w:t>
      </w:r>
    </w:p>
    <w:p w14:paraId="63106E40" w14:textId="77777777" w:rsidR="00F5289E" w:rsidRDefault="00C91173">
      <w:pPr>
        <w:spacing w:line="360" w:lineRule="auto"/>
        <w:rPr>
          <w:rFonts w:ascii="宋体" w:hAnsi="宋体"/>
          <w:b/>
        </w:rPr>
      </w:pPr>
      <w:r>
        <w:rPr>
          <w:rFonts w:ascii="宋体" w:hAnsi="宋体" w:hint="eastAsia"/>
          <w:b/>
        </w:rPr>
        <w:t>主要教学内容及要求：</w:t>
      </w:r>
    </w:p>
    <w:p w14:paraId="086270C2" w14:textId="77777777" w:rsidR="00F5289E" w:rsidRDefault="00C91173">
      <w:pPr>
        <w:spacing w:line="360" w:lineRule="auto"/>
        <w:ind w:firstLineChars="200" w:firstLine="420"/>
      </w:pPr>
      <w:r>
        <w:rPr>
          <w:rFonts w:hint="eastAsia"/>
        </w:rPr>
        <w:t>了解：中国盆景的基本技艺，</w:t>
      </w:r>
    </w:p>
    <w:p w14:paraId="438C7E58" w14:textId="77777777" w:rsidR="00F5289E" w:rsidRDefault="00C91173">
      <w:pPr>
        <w:spacing w:line="360" w:lineRule="auto"/>
        <w:ind w:firstLineChars="200" w:firstLine="420"/>
      </w:pPr>
      <w:r>
        <w:rPr>
          <w:rFonts w:hint="eastAsia"/>
        </w:rPr>
        <w:t>掌握：配植与点缀及盆景题名。</w:t>
      </w:r>
    </w:p>
    <w:p w14:paraId="7FD7D4D3" w14:textId="77777777" w:rsidR="00F5289E" w:rsidRDefault="00C91173">
      <w:pPr>
        <w:spacing w:line="360" w:lineRule="auto"/>
        <w:ind w:firstLineChars="200" w:firstLine="420"/>
      </w:pPr>
      <w:r>
        <w:rPr>
          <w:rFonts w:hint="eastAsia"/>
        </w:rPr>
        <w:t>熟练掌握：挂壁盆景制作技艺，熟练掌握几种特殊形式的挂壁盆景的制作要点。</w:t>
      </w:r>
    </w:p>
    <w:p w14:paraId="160CA136" w14:textId="77777777" w:rsidR="00F5289E" w:rsidRDefault="00C91173">
      <w:pPr>
        <w:widowControl/>
        <w:snapToGrid w:val="0"/>
        <w:spacing w:line="360" w:lineRule="auto"/>
        <w:jc w:val="left"/>
        <w:rPr>
          <w:rFonts w:ascii="宋体" w:hAnsi="宋体"/>
          <w:szCs w:val="20"/>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8852E93" w14:textId="77777777">
        <w:trPr>
          <w:trHeight w:val="270"/>
        </w:trPr>
        <w:tc>
          <w:tcPr>
            <w:tcW w:w="2965" w:type="dxa"/>
            <w:tcBorders>
              <w:top w:val="nil"/>
              <w:left w:val="nil"/>
              <w:bottom w:val="nil"/>
              <w:right w:val="nil"/>
            </w:tcBorders>
            <w:vAlign w:val="center"/>
          </w:tcPr>
          <w:p w14:paraId="7D914026"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856E019" w14:textId="77777777" w:rsidR="00F5289E" w:rsidRDefault="00C91173">
            <w:pPr>
              <w:widowControl/>
              <w:snapToGrid w:val="0"/>
              <w:spacing w:beforeLines="50" w:before="156" w:line="360" w:lineRule="auto"/>
              <w:rPr>
                <w:rFonts w:hAnsi="宋体"/>
                <w:b/>
                <w:bCs/>
                <w:kern w:val="0"/>
                <w:szCs w:val="21"/>
              </w:rPr>
            </w:pPr>
            <w:r>
              <w:rPr>
                <w:rFonts w:hAnsi="宋体"/>
                <w:b/>
                <w:bCs/>
                <w:kern w:val="0"/>
                <w:szCs w:val="21"/>
              </w:rPr>
              <w:t>第</w:t>
            </w:r>
            <w:r>
              <w:rPr>
                <w:rFonts w:hAnsi="宋体" w:hint="eastAsia"/>
                <w:b/>
                <w:bCs/>
                <w:kern w:val="0"/>
                <w:szCs w:val="21"/>
              </w:rPr>
              <w:t>九</w:t>
            </w:r>
            <w:r>
              <w:rPr>
                <w:rFonts w:hAnsi="宋体"/>
                <w:b/>
                <w:bCs/>
                <w:kern w:val="0"/>
                <w:szCs w:val="21"/>
              </w:rPr>
              <w:t>章</w:t>
            </w:r>
            <w:r>
              <w:rPr>
                <w:rFonts w:hint="eastAsia"/>
                <w:b/>
                <w:bCs/>
                <w:kern w:val="0"/>
                <w:szCs w:val="21"/>
              </w:rPr>
              <w:t xml:space="preserve">  </w:t>
            </w:r>
            <w:r>
              <w:rPr>
                <w:rFonts w:hint="eastAsia"/>
                <w:b/>
                <w:bCs/>
                <w:kern w:val="0"/>
                <w:szCs w:val="21"/>
              </w:rPr>
              <w:t>世界盆景园</w:t>
            </w:r>
          </w:p>
        </w:tc>
        <w:tc>
          <w:tcPr>
            <w:tcW w:w="2966" w:type="dxa"/>
            <w:tcBorders>
              <w:top w:val="nil"/>
              <w:left w:val="nil"/>
              <w:bottom w:val="nil"/>
              <w:right w:val="nil"/>
            </w:tcBorders>
            <w:vAlign w:val="center"/>
          </w:tcPr>
          <w:p w14:paraId="47E0074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858A52E" w14:textId="77777777" w:rsidR="00F5289E" w:rsidRDefault="00C91173">
      <w:pPr>
        <w:spacing w:line="360" w:lineRule="auto"/>
        <w:rPr>
          <w:rFonts w:hAnsi="宋体"/>
          <w:b/>
          <w:bCs/>
          <w:kern w:val="0"/>
          <w:szCs w:val="21"/>
        </w:rPr>
      </w:pPr>
      <w:r>
        <w:rPr>
          <w:rFonts w:ascii="宋体" w:hAnsi="宋体" w:hint="eastAsia"/>
          <w:b/>
          <w:bCs/>
        </w:rPr>
        <w:t>教学目标：</w:t>
      </w:r>
      <w:r>
        <w:rPr>
          <w:rFonts w:hint="eastAsia"/>
        </w:rPr>
        <w:t>学习盆景</w:t>
      </w:r>
      <w:r>
        <w:rPr>
          <w:rStyle w:val="af7"/>
          <w:rFonts w:hint="eastAsia"/>
          <w:szCs w:val="21"/>
        </w:rPr>
        <w:t>布展</w:t>
      </w:r>
      <w:r>
        <w:rPr>
          <w:rFonts w:hint="eastAsia"/>
        </w:rPr>
        <w:t>，盆景作品的养护与</w:t>
      </w:r>
      <w:r>
        <w:rPr>
          <w:rStyle w:val="af7"/>
          <w:rFonts w:hint="eastAsia"/>
          <w:szCs w:val="21"/>
        </w:rPr>
        <w:t>管理原理与方法</w:t>
      </w:r>
      <w:r>
        <w:rPr>
          <w:rFonts w:hint="eastAsia"/>
        </w:rPr>
        <w:t>。</w:t>
      </w:r>
    </w:p>
    <w:p w14:paraId="6BC59F37" w14:textId="77777777" w:rsidR="00F5289E" w:rsidRDefault="00C91173">
      <w:pPr>
        <w:spacing w:line="360" w:lineRule="auto"/>
      </w:pPr>
      <w:r>
        <w:rPr>
          <w:rFonts w:ascii="宋体" w:hAnsi="宋体" w:hint="eastAsia"/>
          <w:b/>
          <w:bCs/>
        </w:rPr>
        <w:t>教学重点和难点：</w:t>
      </w:r>
      <w:r>
        <w:rPr>
          <w:rFonts w:ascii="宋体" w:hAnsi="宋体" w:hint="eastAsia"/>
        </w:rPr>
        <w:t>重点是</w:t>
      </w:r>
      <w:r>
        <w:rPr>
          <w:rFonts w:hint="eastAsia"/>
        </w:rPr>
        <w:t>盆景</w:t>
      </w:r>
      <w:r>
        <w:rPr>
          <w:rStyle w:val="af7"/>
          <w:rFonts w:hint="eastAsia"/>
          <w:szCs w:val="21"/>
        </w:rPr>
        <w:t>布展</w:t>
      </w:r>
      <w:r>
        <w:rPr>
          <w:rFonts w:hint="eastAsia"/>
        </w:rPr>
        <w:t>，难点是盆景作品的养护与</w:t>
      </w:r>
      <w:r>
        <w:rPr>
          <w:rStyle w:val="af7"/>
          <w:rFonts w:hint="eastAsia"/>
          <w:szCs w:val="21"/>
        </w:rPr>
        <w:t>管理原理与方法</w:t>
      </w:r>
      <w:r>
        <w:rPr>
          <w:rFonts w:hint="eastAsia"/>
        </w:rPr>
        <w:t>。</w:t>
      </w:r>
    </w:p>
    <w:p w14:paraId="1779E217" w14:textId="77777777" w:rsidR="00F5289E" w:rsidRDefault="00C91173">
      <w:pPr>
        <w:spacing w:line="360" w:lineRule="auto"/>
        <w:rPr>
          <w:rFonts w:ascii="宋体" w:hAnsi="宋体"/>
          <w:b/>
        </w:rPr>
      </w:pPr>
      <w:r>
        <w:rPr>
          <w:rFonts w:ascii="宋体" w:hAnsi="宋体" w:hint="eastAsia"/>
          <w:b/>
        </w:rPr>
        <w:t>主要教学内容及要求：</w:t>
      </w:r>
    </w:p>
    <w:p w14:paraId="39E34F6B" w14:textId="77777777" w:rsidR="00F5289E" w:rsidRDefault="00C91173">
      <w:pPr>
        <w:spacing w:line="360" w:lineRule="auto"/>
        <w:ind w:firstLineChars="200" w:firstLine="420"/>
      </w:pPr>
      <w:r>
        <w:rPr>
          <w:rFonts w:hint="eastAsia"/>
        </w:rPr>
        <w:t>了解：盆景布展</w:t>
      </w:r>
      <w:r>
        <w:rPr>
          <w:rFonts w:hint="eastAsia"/>
        </w:rPr>
        <w:t>.</w:t>
      </w:r>
    </w:p>
    <w:p w14:paraId="606A8526" w14:textId="77777777" w:rsidR="00F5289E" w:rsidRDefault="00C91173">
      <w:pPr>
        <w:spacing w:line="360" w:lineRule="auto"/>
        <w:ind w:firstLineChars="200" w:firstLine="420"/>
      </w:pPr>
      <w:r>
        <w:rPr>
          <w:rFonts w:hint="eastAsia"/>
        </w:rPr>
        <w:lastRenderedPageBreak/>
        <w:t>熟练掌握：盆景作品的养护与</w:t>
      </w:r>
      <w:r>
        <w:rPr>
          <w:rStyle w:val="af7"/>
          <w:rFonts w:hint="eastAsia"/>
          <w:szCs w:val="21"/>
        </w:rPr>
        <w:t>管理原理与方法</w:t>
      </w:r>
      <w:r>
        <w:rPr>
          <w:rFonts w:hint="eastAsia"/>
        </w:rPr>
        <w:t>。</w:t>
      </w:r>
    </w:p>
    <w:p w14:paraId="7182F55E"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szCs w:val="20"/>
        </w:rPr>
        <w:t>本次教学过程中，实践与理论相结合。理论讲解后，进行课堂演示（或者视频演示）。组织学生进行进一步分享讨论。</w:t>
      </w:r>
    </w:p>
    <w:p w14:paraId="480C0CEF" w14:textId="77777777" w:rsidR="00F5289E" w:rsidRDefault="00C91173">
      <w:pPr>
        <w:widowControl/>
        <w:snapToGrid w:val="0"/>
        <w:spacing w:beforeLines="50" w:before="156" w:line="360" w:lineRule="auto"/>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b/>
          <w:bCs/>
          <w:kern w:val="0"/>
          <w:szCs w:val="21"/>
        </w:rPr>
        <w:t>12</w:t>
      </w:r>
      <w:r>
        <w:rPr>
          <w:rFonts w:hAnsi="宋体"/>
          <w:b/>
          <w:bCs/>
          <w:kern w:val="0"/>
          <w:szCs w:val="21"/>
        </w:rPr>
        <w:t>学时</w:t>
      </w:r>
      <w:r>
        <w:rPr>
          <w:rFonts w:hAnsi="宋体" w:hint="eastAsia"/>
          <w:b/>
          <w:bCs/>
          <w:kern w:val="0"/>
          <w:szCs w:val="21"/>
        </w:rPr>
        <w:t>）</w:t>
      </w:r>
    </w:p>
    <w:p w14:paraId="11591B59" w14:textId="77777777" w:rsidR="00F5289E" w:rsidRDefault="00C91173">
      <w:pPr>
        <w:rPr>
          <w:b/>
        </w:rPr>
      </w:pPr>
      <w:r>
        <w:rPr>
          <w:rFonts w:hint="eastAsia"/>
          <w:b/>
        </w:rPr>
        <w:t>（一）实验课程简介</w:t>
      </w:r>
    </w:p>
    <w:p w14:paraId="227AD5BD" w14:textId="77777777" w:rsidR="00F5289E" w:rsidRDefault="00C91173">
      <w:pPr>
        <w:spacing w:line="360" w:lineRule="auto"/>
        <w:ind w:firstLine="420"/>
      </w:pPr>
      <w:r>
        <w:rPr>
          <w:rFonts w:hint="eastAsia"/>
        </w:rPr>
        <w:t>盆景学是园艺专业的选修课，主要讲授盆景的概念，中国盆景的发展历史，中国盆景的流派及其艺术风格，盆景的常⽤树种，盆景的陈设与欣赏。实验教学是盆景学课程的重要教学环节，设立了</w:t>
      </w:r>
      <w:r>
        <w:t>7</w:t>
      </w:r>
      <w:r>
        <w:rPr>
          <w:rFonts w:hint="eastAsia"/>
        </w:rPr>
        <w:t>个实验项目。通过实验教学，使学生掌握盆景的创作过程及其⽅法，有利于盆景资源的拓展，实现盆景资源在高校学生中的普及方面具有重要意义，有利于提升学生盆景创作的技能，为从事盆景生产和经营管理打下基础。</w:t>
      </w:r>
    </w:p>
    <w:p w14:paraId="5D66742C"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3E83A4E2" w14:textId="77777777" w:rsidR="00F5289E" w:rsidRDefault="00C91173">
      <w:pPr>
        <w:snapToGrid w:val="0"/>
        <w:spacing w:line="360" w:lineRule="auto"/>
        <w:ind w:firstLineChars="200" w:firstLine="420"/>
      </w:pPr>
      <w:r>
        <w:rPr>
          <w:rFonts w:hint="eastAsia"/>
        </w:rPr>
        <w:t>盆景学实验是《盆景学》课程教学过程中的重要环节，是对理论教学的重要补充和验证，是培养学生实践技能的重要途径。实验内容的安排以实用性为宗旨，以提高实践技能为目的，做到与理论教学相辅相承，互相促进，提高教学效果。主要学习要求为：</w:t>
      </w:r>
      <w:r>
        <w:rPr>
          <w:rFonts w:ascii="宋体" w:hAnsi="宋体" w:cs="宋体" w:hint="eastAsia"/>
        </w:rPr>
        <w:t>中国盆景的发展历史，中国盆景的流派及其艺术风格，盆景的创作过程，懂得品评与鉴赏盆景的优劣</w:t>
      </w:r>
      <w:r>
        <w:rPr>
          <w:rFonts w:hint="eastAsia"/>
        </w:rPr>
        <w:t>。</w:t>
      </w:r>
    </w:p>
    <w:p w14:paraId="5B595754" w14:textId="77777777" w:rsidR="00F5289E" w:rsidRDefault="00C91173">
      <w:pPr>
        <w:snapToGrid w:val="0"/>
        <w:spacing w:line="360" w:lineRule="auto"/>
        <w:ind w:firstLineChars="200" w:firstLine="420"/>
      </w:pPr>
      <w:r>
        <w:rPr>
          <w:rFonts w:hint="eastAsia"/>
        </w:rPr>
        <w:t>学生应按照实验（操作）流程，准确选择实验材料和实验方法，合理操作，应用所学理论知识，分析实验中的各种现象和结果，认真撰写实验报告。</w:t>
      </w:r>
    </w:p>
    <w:p w14:paraId="0D781A92" w14:textId="77777777" w:rsidR="00F5289E" w:rsidRDefault="00C91173">
      <w:pPr>
        <w:snapToGrid w:val="0"/>
        <w:spacing w:line="360" w:lineRule="auto"/>
        <w:rPr>
          <w:b/>
        </w:rPr>
      </w:pPr>
      <w:r>
        <w:rPr>
          <w:rFonts w:hint="eastAsia"/>
          <w:b/>
        </w:rPr>
        <w:t>（三）实验安全操作规范</w:t>
      </w:r>
    </w:p>
    <w:p w14:paraId="539FF97A" w14:textId="77777777" w:rsidR="00F5289E" w:rsidRDefault="00C91173">
      <w:pPr>
        <w:snapToGrid w:val="0"/>
        <w:spacing w:line="360" w:lineRule="auto"/>
        <w:ind w:firstLineChars="200" w:firstLine="420"/>
      </w:pPr>
      <w:r>
        <w:rPr>
          <w:rFonts w:hint="eastAsia"/>
        </w:rPr>
        <w:t>本实验在让学生亲手创作盆景的同时培养学生科学研究态度及独立工作能力，为今后学习与工作打好基础。为此，在实验过程中必须严格遵守以下注意事项：</w:t>
      </w:r>
    </w:p>
    <w:p w14:paraId="3B329E21" w14:textId="77777777" w:rsidR="00F5289E" w:rsidRDefault="00C91173">
      <w:pPr>
        <w:snapToGrid w:val="0"/>
        <w:spacing w:line="360" w:lineRule="auto"/>
        <w:ind w:firstLineChars="200" w:firstLine="420"/>
      </w:pPr>
      <w:r>
        <w:rPr>
          <w:rFonts w:hint="eastAsia"/>
        </w:rPr>
        <w:t>（</w:t>
      </w:r>
      <w:r>
        <w:rPr>
          <w:rFonts w:hint="eastAsia"/>
        </w:rPr>
        <w:t>1</w:t>
      </w:r>
      <w:r>
        <w:rPr>
          <w:rFonts w:hint="eastAsia"/>
        </w:rPr>
        <w:t>）实验前必须结合课堂讲授的有关部分，认真预习指定的实验内容，并将实验内容步骤事先记录笔记本内，使实验能顺利进行。</w:t>
      </w:r>
    </w:p>
    <w:p w14:paraId="1FE9258B" w14:textId="77777777" w:rsidR="00F5289E" w:rsidRDefault="00C91173">
      <w:pPr>
        <w:snapToGrid w:val="0"/>
        <w:spacing w:line="360" w:lineRule="auto"/>
        <w:ind w:firstLineChars="200" w:firstLine="420"/>
      </w:pPr>
      <w:r>
        <w:rPr>
          <w:rFonts w:hint="eastAsia"/>
        </w:rPr>
        <w:t>（</w:t>
      </w:r>
      <w:r>
        <w:rPr>
          <w:rFonts w:hint="eastAsia"/>
        </w:rPr>
        <w:t>2</w:t>
      </w:r>
      <w:r>
        <w:rPr>
          <w:rFonts w:hint="eastAsia"/>
        </w:rPr>
        <w:t>）实验室除用心听取指导老师讲解外，在实验过程中必须仔细认真和多动脑筋，实事求是的观察和分析问题，培养科学的研究态度。</w:t>
      </w:r>
    </w:p>
    <w:p w14:paraId="4E51F8E5" w14:textId="77777777" w:rsidR="00F5289E" w:rsidRDefault="00C91173">
      <w:pPr>
        <w:snapToGrid w:val="0"/>
        <w:spacing w:line="360" w:lineRule="auto"/>
        <w:ind w:firstLineChars="200" w:firstLine="420"/>
      </w:pPr>
      <w:r>
        <w:rPr>
          <w:rFonts w:hint="eastAsia"/>
        </w:rPr>
        <w:t>（</w:t>
      </w:r>
      <w:r>
        <w:rPr>
          <w:rFonts w:hint="eastAsia"/>
        </w:rPr>
        <w:t>3</w:t>
      </w:r>
      <w:r>
        <w:rPr>
          <w:rFonts w:hint="eastAsia"/>
        </w:rPr>
        <w:t>）保持实验室的整齐、清洁，不得随地吐痰或乱扔废物，实验结束后将所有仪器用品洗净并安放整齐。以养成科学的工作态度，值日生应负责扫地、抹桌等清洁工作。</w:t>
      </w:r>
    </w:p>
    <w:p w14:paraId="39C65A42" w14:textId="77777777" w:rsidR="00F5289E" w:rsidRDefault="00C91173">
      <w:pPr>
        <w:snapToGrid w:val="0"/>
        <w:spacing w:line="360" w:lineRule="auto"/>
        <w:ind w:firstLineChars="200" w:firstLine="420"/>
      </w:pPr>
      <w:r>
        <w:rPr>
          <w:rFonts w:hint="eastAsia"/>
        </w:rPr>
        <w:t>（</w:t>
      </w:r>
      <w:r>
        <w:rPr>
          <w:rFonts w:hint="eastAsia"/>
        </w:rPr>
        <w:t>4</w:t>
      </w:r>
      <w:r>
        <w:rPr>
          <w:rFonts w:hint="eastAsia"/>
        </w:rPr>
        <w:t>）爱护公物，节约药品及实验材料，按量取用，公用器材不得任意移动，如有损坏，立即报告指导教师，并填写仪器损失单。</w:t>
      </w:r>
    </w:p>
    <w:p w14:paraId="0981737E" w14:textId="77777777" w:rsidR="00F5289E" w:rsidRDefault="00C91173">
      <w:pPr>
        <w:snapToGrid w:val="0"/>
        <w:spacing w:line="360" w:lineRule="auto"/>
        <w:ind w:firstLineChars="200" w:firstLine="420"/>
      </w:pPr>
      <w:r>
        <w:rPr>
          <w:rFonts w:hint="eastAsia"/>
        </w:rPr>
        <w:t>（</w:t>
      </w:r>
      <w:r>
        <w:rPr>
          <w:rFonts w:hint="eastAsia"/>
        </w:rPr>
        <w:t>5</w:t>
      </w:r>
      <w:r>
        <w:rPr>
          <w:rFonts w:hint="eastAsia"/>
        </w:rPr>
        <w:t>）实验室必须保持肃静，不得任意走动或高声谈笑。</w:t>
      </w:r>
    </w:p>
    <w:p w14:paraId="46385043" w14:textId="77777777" w:rsidR="00F5289E" w:rsidRDefault="00C91173">
      <w:pPr>
        <w:snapToGrid w:val="0"/>
        <w:spacing w:line="360" w:lineRule="auto"/>
        <w:ind w:firstLineChars="200" w:firstLine="420"/>
      </w:pPr>
      <w:r>
        <w:rPr>
          <w:rFonts w:hint="eastAsia"/>
        </w:rPr>
        <w:t>（</w:t>
      </w:r>
      <w:r>
        <w:rPr>
          <w:rFonts w:hint="eastAsia"/>
        </w:rPr>
        <w:t>6</w:t>
      </w:r>
      <w:r>
        <w:rPr>
          <w:rFonts w:hint="eastAsia"/>
        </w:rPr>
        <w:t>）实验结果需写成报告，实验报告，务必实事求是，根据自己实验的所得结果，简单扼要书写实验报告书。</w:t>
      </w:r>
    </w:p>
    <w:p w14:paraId="796BE99C"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456"/>
        <w:gridCol w:w="3359"/>
        <w:gridCol w:w="709"/>
        <w:gridCol w:w="850"/>
        <w:gridCol w:w="1194"/>
        <w:gridCol w:w="1322"/>
      </w:tblGrid>
      <w:tr w:rsidR="00F5289E" w14:paraId="05E96BEF" w14:textId="77777777">
        <w:trPr>
          <w:jc w:val="center"/>
        </w:trPr>
        <w:tc>
          <w:tcPr>
            <w:tcW w:w="1456" w:type="dxa"/>
            <w:shd w:val="clear" w:color="auto" w:fill="EEECE1" w:themeFill="background2"/>
            <w:vAlign w:val="center"/>
          </w:tcPr>
          <w:p w14:paraId="3BEE0C9E"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lastRenderedPageBreak/>
              <w:t>序号</w:t>
            </w:r>
          </w:p>
        </w:tc>
        <w:tc>
          <w:tcPr>
            <w:tcW w:w="3359" w:type="dxa"/>
            <w:shd w:val="clear" w:color="auto" w:fill="EEECE1" w:themeFill="background2"/>
            <w:vAlign w:val="center"/>
          </w:tcPr>
          <w:p w14:paraId="3666E87C"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实验名称</w:t>
            </w:r>
          </w:p>
        </w:tc>
        <w:tc>
          <w:tcPr>
            <w:tcW w:w="709" w:type="dxa"/>
            <w:shd w:val="clear" w:color="auto" w:fill="EEECE1" w:themeFill="background2"/>
            <w:vAlign w:val="center"/>
          </w:tcPr>
          <w:p w14:paraId="24F1A3C8"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学时</w:t>
            </w:r>
          </w:p>
        </w:tc>
        <w:tc>
          <w:tcPr>
            <w:tcW w:w="850" w:type="dxa"/>
            <w:shd w:val="clear" w:color="auto" w:fill="EEECE1" w:themeFill="background2"/>
            <w:vAlign w:val="center"/>
          </w:tcPr>
          <w:p w14:paraId="6524F51D"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类型</w:t>
            </w:r>
          </w:p>
        </w:tc>
        <w:tc>
          <w:tcPr>
            <w:tcW w:w="1194" w:type="dxa"/>
            <w:shd w:val="clear" w:color="auto" w:fill="EEECE1" w:themeFill="background2"/>
            <w:vAlign w:val="center"/>
          </w:tcPr>
          <w:p w14:paraId="55DC41FC"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实验要求</w:t>
            </w:r>
          </w:p>
        </w:tc>
        <w:tc>
          <w:tcPr>
            <w:tcW w:w="1322" w:type="dxa"/>
            <w:shd w:val="clear" w:color="auto" w:fill="EEECE1" w:themeFill="background2"/>
            <w:vAlign w:val="center"/>
          </w:tcPr>
          <w:p w14:paraId="7DDC4253"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每组人数</w:t>
            </w:r>
          </w:p>
        </w:tc>
      </w:tr>
      <w:tr w:rsidR="00F5289E" w14:paraId="4BB547AC" w14:textId="77777777">
        <w:trPr>
          <w:jc w:val="center"/>
        </w:trPr>
        <w:tc>
          <w:tcPr>
            <w:tcW w:w="1456" w:type="dxa"/>
            <w:vAlign w:val="center"/>
          </w:tcPr>
          <w:p w14:paraId="66DE5403"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01</w:t>
            </w:r>
          </w:p>
        </w:tc>
        <w:tc>
          <w:tcPr>
            <w:tcW w:w="3359" w:type="dxa"/>
            <w:vAlign w:val="center"/>
          </w:tcPr>
          <w:p w14:paraId="7A49ED06" w14:textId="77777777" w:rsidR="00F5289E" w:rsidRDefault="00C91173">
            <w:pPr>
              <w:spacing w:line="360" w:lineRule="auto"/>
              <w:jc w:val="center"/>
              <w:rPr>
                <w:sz w:val="18"/>
                <w:szCs w:val="18"/>
              </w:rPr>
            </w:pPr>
            <w:r>
              <w:rPr>
                <w:rFonts w:hint="eastAsia"/>
                <w:sz w:val="18"/>
                <w:szCs w:val="18"/>
              </w:rPr>
              <w:t>盆景的流派与型式的认识</w:t>
            </w:r>
          </w:p>
        </w:tc>
        <w:tc>
          <w:tcPr>
            <w:tcW w:w="709" w:type="dxa"/>
            <w:vAlign w:val="center"/>
          </w:tcPr>
          <w:p w14:paraId="0116FBA4" w14:textId="77777777" w:rsidR="00F5289E" w:rsidRDefault="00C91173">
            <w:pPr>
              <w:spacing w:line="360" w:lineRule="auto"/>
              <w:jc w:val="center"/>
              <w:rPr>
                <w:sz w:val="18"/>
                <w:szCs w:val="18"/>
              </w:rPr>
            </w:pPr>
            <w:r>
              <w:rPr>
                <w:rFonts w:hint="eastAsia"/>
                <w:sz w:val="18"/>
                <w:szCs w:val="18"/>
              </w:rPr>
              <w:t>2</w:t>
            </w:r>
          </w:p>
        </w:tc>
        <w:tc>
          <w:tcPr>
            <w:tcW w:w="850" w:type="dxa"/>
            <w:vAlign w:val="center"/>
          </w:tcPr>
          <w:p w14:paraId="69C06AD0" w14:textId="77777777" w:rsidR="00F5289E" w:rsidRDefault="00C91173">
            <w:pPr>
              <w:spacing w:line="360" w:lineRule="auto"/>
              <w:jc w:val="center"/>
              <w:rPr>
                <w:sz w:val="18"/>
                <w:szCs w:val="18"/>
              </w:rPr>
            </w:pPr>
            <w:r>
              <w:rPr>
                <w:rFonts w:hint="eastAsia"/>
                <w:sz w:val="18"/>
                <w:szCs w:val="18"/>
              </w:rPr>
              <w:t>基础性</w:t>
            </w:r>
          </w:p>
        </w:tc>
        <w:tc>
          <w:tcPr>
            <w:tcW w:w="1194" w:type="dxa"/>
            <w:vAlign w:val="center"/>
          </w:tcPr>
          <w:p w14:paraId="15CE9C29" w14:textId="77777777" w:rsidR="00F5289E" w:rsidRDefault="00C91173">
            <w:pPr>
              <w:spacing w:line="360" w:lineRule="auto"/>
              <w:jc w:val="center"/>
              <w:rPr>
                <w:sz w:val="18"/>
                <w:szCs w:val="18"/>
              </w:rPr>
            </w:pPr>
            <w:r>
              <w:rPr>
                <w:rFonts w:hint="eastAsia"/>
                <w:sz w:val="18"/>
                <w:szCs w:val="18"/>
              </w:rPr>
              <w:t>必做</w:t>
            </w:r>
          </w:p>
        </w:tc>
        <w:tc>
          <w:tcPr>
            <w:tcW w:w="1322" w:type="dxa"/>
          </w:tcPr>
          <w:p w14:paraId="324993BB" w14:textId="77777777" w:rsidR="00F5289E" w:rsidRDefault="00C91173">
            <w:pPr>
              <w:spacing w:line="360" w:lineRule="auto"/>
              <w:jc w:val="center"/>
              <w:rPr>
                <w:sz w:val="18"/>
                <w:szCs w:val="18"/>
              </w:rPr>
            </w:pPr>
            <w:r>
              <w:rPr>
                <w:rFonts w:hint="eastAsia"/>
                <w:sz w:val="18"/>
                <w:szCs w:val="18"/>
              </w:rPr>
              <w:t>5-6</w:t>
            </w:r>
          </w:p>
        </w:tc>
      </w:tr>
      <w:tr w:rsidR="00F5289E" w14:paraId="1E67F078" w14:textId="77777777">
        <w:trPr>
          <w:jc w:val="center"/>
        </w:trPr>
        <w:tc>
          <w:tcPr>
            <w:tcW w:w="1456" w:type="dxa"/>
            <w:vAlign w:val="center"/>
          </w:tcPr>
          <w:p w14:paraId="048B6A0E"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02</w:t>
            </w:r>
          </w:p>
        </w:tc>
        <w:tc>
          <w:tcPr>
            <w:tcW w:w="3359" w:type="dxa"/>
            <w:vAlign w:val="center"/>
          </w:tcPr>
          <w:p w14:paraId="73704305" w14:textId="77777777" w:rsidR="00F5289E" w:rsidRDefault="00C91173">
            <w:pPr>
              <w:spacing w:line="360" w:lineRule="auto"/>
              <w:jc w:val="center"/>
              <w:rPr>
                <w:sz w:val="18"/>
                <w:szCs w:val="18"/>
              </w:rPr>
            </w:pPr>
            <w:r>
              <w:rPr>
                <w:rFonts w:hint="eastAsia"/>
                <w:sz w:val="18"/>
                <w:szCs w:val="18"/>
              </w:rPr>
              <w:t>盆景的树种及几架认识、盆景园参观</w:t>
            </w:r>
          </w:p>
        </w:tc>
        <w:tc>
          <w:tcPr>
            <w:tcW w:w="709" w:type="dxa"/>
            <w:vAlign w:val="center"/>
          </w:tcPr>
          <w:p w14:paraId="34C80FE7" w14:textId="77777777" w:rsidR="00F5289E" w:rsidRDefault="00C91173">
            <w:pPr>
              <w:spacing w:line="360" w:lineRule="auto"/>
              <w:jc w:val="center"/>
              <w:rPr>
                <w:sz w:val="18"/>
                <w:szCs w:val="18"/>
              </w:rPr>
            </w:pPr>
            <w:r>
              <w:rPr>
                <w:sz w:val="18"/>
                <w:szCs w:val="18"/>
              </w:rPr>
              <w:t>2</w:t>
            </w:r>
          </w:p>
        </w:tc>
        <w:tc>
          <w:tcPr>
            <w:tcW w:w="850" w:type="dxa"/>
            <w:vAlign w:val="center"/>
          </w:tcPr>
          <w:p w14:paraId="7A16D8C5" w14:textId="77777777" w:rsidR="00F5289E" w:rsidRDefault="00C91173">
            <w:pPr>
              <w:spacing w:line="360" w:lineRule="auto"/>
              <w:jc w:val="center"/>
              <w:rPr>
                <w:sz w:val="18"/>
                <w:szCs w:val="18"/>
              </w:rPr>
            </w:pPr>
            <w:r>
              <w:rPr>
                <w:rFonts w:hint="eastAsia"/>
                <w:sz w:val="18"/>
                <w:szCs w:val="18"/>
              </w:rPr>
              <w:t>基础性</w:t>
            </w:r>
          </w:p>
        </w:tc>
        <w:tc>
          <w:tcPr>
            <w:tcW w:w="1194" w:type="dxa"/>
          </w:tcPr>
          <w:p w14:paraId="5987052F" w14:textId="77777777" w:rsidR="00F5289E" w:rsidRDefault="00C91173">
            <w:pPr>
              <w:spacing w:line="360" w:lineRule="auto"/>
              <w:jc w:val="center"/>
              <w:rPr>
                <w:sz w:val="18"/>
                <w:szCs w:val="18"/>
              </w:rPr>
            </w:pPr>
            <w:r>
              <w:rPr>
                <w:rFonts w:hint="eastAsia"/>
                <w:sz w:val="18"/>
                <w:szCs w:val="18"/>
              </w:rPr>
              <w:t>必做</w:t>
            </w:r>
          </w:p>
        </w:tc>
        <w:tc>
          <w:tcPr>
            <w:tcW w:w="1322" w:type="dxa"/>
          </w:tcPr>
          <w:p w14:paraId="2BDED396" w14:textId="77777777" w:rsidR="00F5289E" w:rsidRDefault="00C91173">
            <w:pPr>
              <w:spacing w:line="360" w:lineRule="auto"/>
              <w:jc w:val="center"/>
              <w:rPr>
                <w:sz w:val="18"/>
                <w:szCs w:val="18"/>
              </w:rPr>
            </w:pPr>
            <w:r>
              <w:rPr>
                <w:rFonts w:hint="eastAsia"/>
                <w:sz w:val="18"/>
                <w:szCs w:val="18"/>
              </w:rPr>
              <w:t>5-6</w:t>
            </w:r>
          </w:p>
        </w:tc>
      </w:tr>
      <w:tr w:rsidR="00F5289E" w14:paraId="0F32E850" w14:textId="77777777">
        <w:trPr>
          <w:jc w:val="center"/>
        </w:trPr>
        <w:tc>
          <w:tcPr>
            <w:tcW w:w="1456" w:type="dxa"/>
            <w:vAlign w:val="center"/>
          </w:tcPr>
          <w:p w14:paraId="1480F04E" w14:textId="77777777" w:rsidR="00F5289E" w:rsidRDefault="00C91173">
            <w:pPr>
              <w:spacing w:line="360" w:lineRule="auto"/>
              <w:rPr>
                <w:sz w:val="18"/>
                <w:szCs w:val="18"/>
              </w:rPr>
            </w:pPr>
            <w:r>
              <w:rPr>
                <w:rFonts w:hint="eastAsia"/>
                <w:sz w:val="18"/>
                <w:szCs w:val="18"/>
              </w:rPr>
              <w:t>1</w:t>
            </w:r>
            <w:r>
              <w:rPr>
                <w:sz w:val="18"/>
                <w:szCs w:val="18"/>
              </w:rPr>
              <w:t>9011124</w:t>
            </w:r>
            <w:r>
              <w:rPr>
                <w:rFonts w:hint="eastAsia"/>
                <w:sz w:val="18"/>
                <w:szCs w:val="18"/>
              </w:rPr>
              <w:t>＋</w:t>
            </w:r>
            <w:r>
              <w:rPr>
                <w:rFonts w:hint="eastAsia"/>
                <w:sz w:val="18"/>
                <w:szCs w:val="18"/>
              </w:rPr>
              <w:t>03</w:t>
            </w:r>
          </w:p>
        </w:tc>
        <w:tc>
          <w:tcPr>
            <w:tcW w:w="3359" w:type="dxa"/>
            <w:vAlign w:val="center"/>
          </w:tcPr>
          <w:p w14:paraId="318FA978" w14:textId="77777777" w:rsidR="00F5289E" w:rsidRDefault="00C91173">
            <w:pPr>
              <w:spacing w:line="360" w:lineRule="auto"/>
              <w:jc w:val="center"/>
              <w:rPr>
                <w:sz w:val="18"/>
                <w:szCs w:val="18"/>
              </w:rPr>
            </w:pPr>
            <w:r>
              <w:rPr>
                <w:rFonts w:hint="eastAsia"/>
                <w:sz w:val="18"/>
                <w:szCs w:val="18"/>
              </w:rPr>
              <w:t>盆景树桩的设计</w:t>
            </w:r>
          </w:p>
        </w:tc>
        <w:tc>
          <w:tcPr>
            <w:tcW w:w="709" w:type="dxa"/>
            <w:vAlign w:val="center"/>
          </w:tcPr>
          <w:p w14:paraId="6F651EDB" w14:textId="77777777" w:rsidR="00F5289E" w:rsidRDefault="00C91173">
            <w:pPr>
              <w:spacing w:line="360" w:lineRule="auto"/>
              <w:jc w:val="center"/>
              <w:rPr>
                <w:sz w:val="18"/>
                <w:szCs w:val="18"/>
              </w:rPr>
            </w:pPr>
            <w:r>
              <w:rPr>
                <w:rFonts w:hint="eastAsia"/>
                <w:sz w:val="18"/>
                <w:szCs w:val="18"/>
              </w:rPr>
              <w:t>2</w:t>
            </w:r>
          </w:p>
        </w:tc>
        <w:tc>
          <w:tcPr>
            <w:tcW w:w="850" w:type="dxa"/>
            <w:vAlign w:val="center"/>
          </w:tcPr>
          <w:p w14:paraId="155DB597" w14:textId="77777777" w:rsidR="00F5289E" w:rsidRDefault="00C91173">
            <w:pPr>
              <w:spacing w:line="360" w:lineRule="auto"/>
              <w:jc w:val="center"/>
              <w:rPr>
                <w:sz w:val="18"/>
                <w:szCs w:val="18"/>
              </w:rPr>
            </w:pPr>
            <w:r>
              <w:rPr>
                <w:rFonts w:hint="eastAsia"/>
                <w:sz w:val="18"/>
                <w:szCs w:val="18"/>
              </w:rPr>
              <w:t>设计性</w:t>
            </w:r>
          </w:p>
        </w:tc>
        <w:tc>
          <w:tcPr>
            <w:tcW w:w="1194" w:type="dxa"/>
          </w:tcPr>
          <w:p w14:paraId="470C2969" w14:textId="77777777" w:rsidR="00F5289E" w:rsidRDefault="00C91173">
            <w:pPr>
              <w:spacing w:line="360" w:lineRule="auto"/>
              <w:jc w:val="center"/>
              <w:rPr>
                <w:sz w:val="18"/>
                <w:szCs w:val="18"/>
              </w:rPr>
            </w:pPr>
            <w:r>
              <w:rPr>
                <w:rFonts w:hint="eastAsia"/>
                <w:sz w:val="18"/>
                <w:szCs w:val="18"/>
              </w:rPr>
              <w:t>必做</w:t>
            </w:r>
          </w:p>
        </w:tc>
        <w:tc>
          <w:tcPr>
            <w:tcW w:w="1322" w:type="dxa"/>
          </w:tcPr>
          <w:p w14:paraId="389D8CE4" w14:textId="77777777" w:rsidR="00F5289E" w:rsidRDefault="00C91173">
            <w:pPr>
              <w:spacing w:line="360" w:lineRule="auto"/>
              <w:jc w:val="center"/>
              <w:rPr>
                <w:sz w:val="18"/>
                <w:szCs w:val="18"/>
              </w:rPr>
            </w:pPr>
            <w:r>
              <w:rPr>
                <w:rFonts w:hint="eastAsia"/>
                <w:sz w:val="18"/>
                <w:szCs w:val="18"/>
              </w:rPr>
              <w:t>5-6</w:t>
            </w:r>
          </w:p>
        </w:tc>
      </w:tr>
      <w:tr w:rsidR="00F5289E" w14:paraId="6D304696" w14:textId="77777777">
        <w:trPr>
          <w:jc w:val="center"/>
        </w:trPr>
        <w:tc>
          <w:tcPr>
            <w:tcW w:w="1456" w:type="dxa"/>
            <w:vAlign w:val="center"/>
          </w:tcPr>
          <w:p w14:paraId="2F07049A"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04</w:t>
            </w:r>
          </w:p>
        </w:tc>
        <w:tc>
          <w:tcPr>
            <w:tcW w:w="3359" w:type="dxa"/>
            <w:vAlign w:val="center"/>
          </w:tcPr>
          <w:p w14:paraId="3B4862FC" w14:textId="77777777" w:rsidR="00F5289E" w:rsidRDefault="00C91173">
            <w:pPr>
              <w:spacing w:line="360" w:lineRule="auto"/>
              <w:jc w:val="center"/>
              <w:rPr>
                <w:sz w:val="18"/>
                <w:szCs w:val="18"/>
              </w:rPr>
            </w:pPr>
            <w:r>
              <w:rPr>
                <w:rFonts w:hint="eastAsia"/>
                <w:sz w:val="18"/>
                <w:szCs w:val="18"/>
              </w:rPr>
              <w:t>盆景的栽培与保养</w:t>
            </w:r>
          </w:p>
        </w:tc>
        <w:tc>
          <w:tcPr>
            <w:tcW w:w="709" w:type="dxa"/>
            <w:vAlign w:val="center"/>
          </w:tcPr>
          <w:p w14:paraId="630A2B9F" w14:textId="77777777" w:rsidR="00F5289E" w:rsidRDefault="00C91173">
            <w:pPr>
              <w:spacing w:line="360" w:lineRule="auto"/>
              <w:jc w:val="center"/>
              <w:rPr>
                <w:sz w:val="18"/>
                <w:szCs w:val="18"/>
              </w:rPr>
            </w:pPr>
            <w:r>
              <w:rPr>
                <w:sz w:val="18"/>
                <w:szCs w:val="18"/>
              </w:rPr>
              <w:t>2</w:t>
            </w:r>
          </w:p>
        </w:tc>
        <w:tc>
          <w:tcPr>
            <w:tcW w:w="850" w:type="dxa"/>
            <w:vAlign w:val="center"/>
          </w:tcPr>
          <w:p w14:paraId="183856F2" w14:textId="77777777" w:rsidR="00F5289E" w:rsidRDefault="00C91173">
            <w:pPr>
              <w:spacing w:line="360" w:lineRule="auto"/>
              <w:jc w:val="center"/>
              <w:rPr>
                <w:sz w:val="18"/>
                <w:szCs w:val="18"/>
              </w:rPr>
            </w:pPr>
            <w:r>
              <w:rPr>
                <w:rFonts w:hint="eastAsia"/>
                <w:sz w:val="18"/>
                <w:szCs w:val="18"/>
              </w:rPr>
              <w:t>综合性</w:t>
            </w:r>
          </w:p>
        </w:tc>
        <w:tc>
          <w:tcPr>
            <w:tcW w:w="1194" w:type="dxa"/>
          </w:tcPr>
          <w:p w14:paraId="446C2FC5" w14:textId="77777777" w:rsidR="00F5289E" w:rsidRDefault="00C91173">
            <w:pPr>
              <w:spacing w:line="360" w:lineRule="auto"/>
              <w:jc w:val="center"/>
              <w:rPr>
                <w:sz w:val="18"/>
                <w:szCs w:val="18"/>
              </w:rPr>
            </w:pPr>
            <w:r>
              <w:rPr>
                <w:rFonts w:hint="eastAsia"/>
                <w:sz w:val="18"/>
                <w:szCs w:val="18"/>
              </w:rPr>
              <w:t>必做</w:t>
            </w:r>
          </w:p>
        </w:tc>
        <w:tc>
          <w:tcPr>
            <w:tcW w:w="1322" w:type="dxa"/>
          </w:tcPr>
          <w:p w14:paraId="057178B4" w14:textId="77777777" w:rsidR="00F5289E" w:rsidRDefault="00C91173">
            <w:pPr>
              <w:spacing w:line="360" w:lineRule="auto"/>
              <w:jc w:val="center"/>
              <w:rPr>
                <w:sz w:val="18"/>
                <w:szCs w:val="18"/>
              </w:rPr>
            </w:pPr>
            <w:r>
              <w:rPr>
                <w:rFonts w:hint="eastAsia"/>
                <w:sz w:val="18"/>
                <w:szCs w:val="18"/>
              </w:rPr>
              <w:t>5-6</w:t>
            </w:r>
          </w:p>
        </w:tc>
      </w:tr>
      <w:tr w:rsidR="00F5289E" w14:paraId="3E95F920" w14:textId="77777777">
        <w:trPr>
          <w:jc w:val="center"/>
        </w:trPr>
        <w:tc>
          <w:tcPr>
            <w:tcW w:w="1456" w:type="dxa"/>
            <w:vAlign w:val="center"/>
          </w:tcPr>
          <w:p w14:paraId="7010E758"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05</w:t>
            </w:r>
          </w:p>
        </w:tc>
        <w:tc>
          <w:tcPr>
            <w:tcW w:w="3359" w:type="dxa"/>
            <w:vAlign w:val="center"/>
          </w:tcPr>
          <w:p w14:paraId="538808BD" w14:textId="77777777" w:rsidR="00F5289E" w:rsidRDefault="00C91173">
            <w:pPr>
              <w:spacing w:line="360" w:lineRule="auto"/>
              <w:jc w:val="center"/>
              <w:rPr>
                <w:sz w:val="18"/>
                <w:szCs w:val="18"/>
              </w:rPr>
            </w:pPr>
            <w:r>
              <w:rPr>
                <w:rFonts w:hint="eastAsia"/>
                <w:sz w:val="18"/>
                <w:szCs w:val="18"/>
              </w:rPr>
              <w:t>盆景的创作与修剪</w:t>
            </w:r>
          </w:p>
        </w:tc>
        <w:tc>
          <w:tcPr>
            <w:tcW w:w="709" w:type="dxa"/>
            <w:vAlign w:val="center"/>
          </w:tcPr>
          <w:p w14:paraId="24C4188C" w14:textId="77777777" w:rsidR="00F5289E" w:rsidRDefault="00C91173">
            <w:pPr>
              <w:spacing w:line="360" w:lineRule="auto"/>
              <w:jc w:val="center"/>
              <w:rPr>
                <w:sz w:val="18"/>
                <w:szCs w:val="18"/>
              </w:rPr>
            </w:pPr>
            <w:r>
              <w:rPr>
                <w:rFonts w:hint="eastAsia"/>
                <w:sz w:val="18"/>
                <w:szCs w:val="18"/>
              </w:rPr>
              <w:t>2</w:t>
            </w:r>
          </w:p>
        </w:tc>
        <w:tc>
          <w:tcPr>
            <w:tcW w:w="850" w:type="dxa"/>
            <w:vAlign w:val="center"/>
          </w:tcPr>
          <w:p w14:paraId="11EE7D31" w14:textId="77777777" w:rsidR="00F5289E" w:rsidRDefault="00C91173">
            <w:pPr>
              <w:spacing w:line="360" w:lineRule="auto"/>
              <w:jc w:val="center"/>
              <w:rPr>
                <w:sz w:val="18"/>
                <w:szCs w:val="18"/>
              </w:rPr>
            </w:pPr>
            <w:r>
              <w:rPr>
                <w:rFonts w:hint="eastAsia"/>
                <w:sz w:val="18"/>
                <w:szCs w:val="18"/>
              </w:rPr>
              <w:t>综合性</w:t>
            </w:r>
          </w:p>
        </w:tc>
        <w:tc>
          <w:tcPr>
            <w:tcW w:w="1194" w:type="dxa"/>
          </w:tcPr>
          <w:p w14:paraId="05457B79" w14:textId="77777777" w:rsidR="00F5289E" w:rsidRDefault="00C91173">
            <w:pPr>
              <w:spacing w:line="360" w:lineRule="auto"/>
              <w:jc w:val="center"/>
              <w:rPr>
                <w:sz w:val="18"/>
                <w:szCs w:val="18"/>
              </w:rPr>
            </w:pPr>
            <w:r>
              <w:rPr>
                <w:rFonts w:hint="eastAsia"/>
                <w:sz w:val="18"/>
                <w:szCs w:val="18"/>
              </w:rPr>
              <w:t>必做</w:t>
            </w:r>
          </w:p>
        </w:tc>
        <w:tc>
          <w:tcPr>
            <w:tcW w:w="1322" w:type="dxa"/>
          </w:tcPr>
          <w:p w14:paraId="559E8D0C" w14:textId="77777777" w:rsidR="00F5289E" w:rsidRDefault="00C91173">
            <w:pPr>
              <w:spacing w:line="360" w:lineRule="auto"/>
              <w:jc w:val="center"/>
              <w:rPr>
                <w:sz w:val="18"/>
                <w:szCs w:val="18"/>
              </w:rPr>
            </w:pPr>
            <w:r>
              <w:rPr>
                <w:rFonts w:hint="eastAsia"/>
                <w:sz w:val="18"/>
                <w:szCs w:val="18"/>
              </w:rPr>
              <w:t>5-6</w:t>
            </w:r>
          </w:p>
        </w:tc>
      </w:tr>
      <w:tr w:rsidR="00F5289E" w14:paraId="62125ADF" w14:textId="77777777">
        <w:trPr>
          <w:jc w:val="center"/>
        </w:trPr>
        <w:tc>
          <w:tcPr>
            <w:tcW w:w="1456" w:type="dxa"/>
            <w:vAlign w:val="center"/>
          </w:tcPr>
          <w:p w14:paraId="1A830C74"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06</w:t>
            </w:r>
          </w:p>
        </w:tc>
        <w:tc>
          <w:tcPr>
            <w:tcW w:w="3359" w:type="dxa"/>
            <w:vAlign w:val="center"/>
          </w:tcPr>
          <w:p w14:paraId="30819116" w14:textId="77777777" w:rsidR="00F5289E" w:rsidRDefault="00C91173">
            <w:pPr>
              <w:spacing w:line="360" w:lineRule="auto"/>
              <w:jc w:val="center"/>
              <w:rPr>
                <w:sz w:val="18"/>
                <w:szCs w:val="18"/>
              </w:rPr>
            </w:pPr>
            <w:r>
              <w:rPr>
                <w:rFonts w:hint="eastAsia"/>
                <w:sz w:val="18"/>
                <w:szCs w:val="18"/>
              </w:rPr>
              <w:t>山水盆景的制作</w:t>
            </w:r>
          </w:p>
        </w:tc>
        <w:tc>
          <w:tcPr>
            <w:tcW w:w="709" w:type="dxa"/>
            <w:vAlign w:val="center"/>
          </w:tcPr>
          <w:p w14:paraId="75A7D5C0" w14:textId="77777777" w:rsidR="00F5289E" w:rsidRDefault="00C91173">
            <w:pPr>
              <w:spacing w:line="360" w:lineRule="auto"/>
              <w:jc w:val="center"/>
              <w:rPr>
                <w:sz w:val="18"/>
                <w:szCs w:val="18"/>
              </w:rPr>
            </w:pPr>
            <w:r>
              <w:rPr>
                <w:sz w:val="18"/>
                <w:szCs w:val="18"/>
              </w:rPr>
              <w:t>2</w:t>
            </w:r>
          </w:p>
        </w:tc>
        <w:tc>
          <w:tcPr>
            <w:tcW w:w="850" w:type="dxa"/>
          </w:tcPr>
          <w:p w14:paraId="42C02202" w14:textId="77777777" w:rsidR="00F5289E" w:rsidRDefault="00C91173">
            <w:pPr>
              <w:spacing w:line="360" w:lineRule="auto"/>
            </w:pPr>
            <w:r>
              <w:rPr>
                <w:rFonts w:hint="eastAsia"/>
                <w:sz w:val="18"/>
                <w:szCs w:val="18"/>
              </w:rPr>
              <w:t>设计性</w:t>
            </w:r>
          </w:p>
        </w:tc>
        <w:tc>
          <w:tcPr>
            <w:tcW w:w="1194" w:type="dxa"/>
          </w:tcPr>
          <w:p w14:paraId="5FE578EC" w14:textId="77777777" w:rsidR="00F5289E" w:rsidRDefault="00C91173">
            <w:pPr>
              <w:spacing w:line="360" w:lineRule="auto"/>
              <w:jc w:val="center"/>
              <w:rPr>
                <w:sz w:val="18"/>
                <w:szCs w:val="18"/>
              </w:rPr>
            </w:pPr>
            <w:r>
              <w:rPr>
                <w:rFonts w:hint="eastAsia"/>
                <w:sz w:val="18"/>
                <w:szCs w:val="18"/>
              </w:rPr>
              <w:t>必做</w:t>
            </w:r>
          </w:p>
        </w:tc>
        <w:tc>
          <w:tcPr>
            <w:tcW w:w="1322" w:type="dxa"/>
          </w:tcPr>
          <w:p w14:paraId="015CD98B" w14:textId="77777777" w:rsidR="00F5289E" w:rsidRDefault="00C91173">
            <w:pPr>
              <w:spacing w:line="360" w:lineRule="auto"/>
              <w:jc w:val="center"/>
              <w:rPr>
                <w:sz w:val="18"/>
                <w:szCs w:val="18"/>
              </w:rPr>
            </w:pPr>
            <w:r>
              <w:rPr>
                <w:rFonts w:hint="eastAsia"/>
                <w:sz w:val="18"/>
                <w:szCs w:val="18"/>
              </w:rPr>
              <w:t>5-6</w:t>
            </w:r>
          </w:p>
        </w:tc>
      </w:tr>
      <w:tr w:rsidR="00F5289E" w14:paraId="0A4B6669" w14:textId="77777777">
        <w:trPr>
          <w:jc w:val="center"/>
        </w:trPr>
        <w:tc>
          <w:tcPr>
            <w:tcW w:w="1456" w:type="dxa"/>
            <w:vAlign w:val="center"/>
          </w:tcPr>
          <w:p w14:paraId="753511C0" w14:textId="77777777" w:rsidR="00F5289E" w:rsidRDefault="00C91173">
            <w:pPr>
              <w:spacing w:line="360" w:lineRule="auto"/>
              <w:rPr>
                <w:sz w:val="18"/>
                <w:szCs w:val="18"/>
              </w:rPr>
            </w:pPr>
            <w:r>
              <w:rPr>
                <w:sz w:val="18"/>
                <w:szCs w:val="18"/>
              </w:rPr>
              <w:t>19011124</w:t>
            </w:r>
            <w:r>
              <w:rPr>
                <w:rFonts w:hint="eastAsia"/>
                <w:sz w:val="18"/>
                <w:szCs w:val="18"/>
              </w:rPr>
              <w:t>＋</w:t>
            </w:r>
            <w:r>
              <w:rPr>
                <w:rFonts w:hint="eastAsia"/>
                <w:sz w:val="18"/>
                <w:szCs w:val="18"/>
              </w:rPr>
              <w:t>07</w:t>
            </w:r>
          </w:p>
        </w:tc>
        <w:tc>
          <w:tcPr>
            <w:tcW w:w="3359" w:type="dxa"/>
            <w:vAlign w:val="center"/>
          </w:tcPr>
          <w:p w14:paraId="0FF6D7E8" w14:textId="77777777" w:rsidR="00F5289E" w:rsidRDefault="00C91173">
            <w:pPr>
              <w:spacing w:line="360" w:lineRule="auto"/>
              <w:jc w:val="center"/>
              <w:rPr>
                <w:sz w:val="18"/>
                <w:szCs w:val="18"/>
              </w:rPr>
            </w:pPr>
            <w:r>
              <w:rPr>
                <w:rFonts w:hint="eastAsia"/>
                <w:sz w:val="18"/>
                <w:szCs w:val="18"/>
              </w:rPr>
              <w:t>水旱盆景的创作</w:t>
            </w:r>
          </w:p>
        </w:tc>
        <w:tc>
          <w:tcPr>
            <w:tcW w:w="709" w:type="dxa"/>
            <w:vAlign w:val="center"/>
          </w:tcPr>
          <w:p w14:paraId="0BC59B27" w14:textId="77777777" w:rsidR="00F5289E" w:rsidRDefault="00C91173">
            <w:pPr>
              <w:spacing w:line="360" w:lineRule="auto"/>
              <w:jc w:val="center"/>
              <w:rPr>
                <w:sz w:val="18"/>
                <w:szCs w:val="18"/>
              </w:rPr>
            </w:pPr>
            <w:r>
              <w:rPr>
                <w:rFonts w:hint="eastAsia"/>
                <w:sz w:val="18"/>
                <w:szCs w:val="18"/>
              </w:rPr>
              <w:t>2</w:t>
            </w:r>
          </w:p>
        </w:tc>
        <w:tc>
          <w:tcPr>
            <w:tcW w:w="850" w:type="dxa"/>
          </w:tcPr>
          <w:p w14:paraId="36DDDFAA" w14:textId="77777777" w:rsidR="00F5289E" w:rsidRDefault="00C91173">
            <w:pPr>
              <w:spacing w:line="360" w:lineRule="auto"/>
            </w:pPr>
            <w:r>
              <w:rPr>
                <w:rFonts w:hint="eastAsia"/>
                <w:sz w:val="18"/>
                <w:szCs w:val="18"/>
              </w:rPr>
              <w:t>设计性</w:t>
            </w:r>
          </w:p>
        </w:tc>
        <w:tc>
          <w:tcPr>
            <w:tcW w:w="1194" w:type="dxa"/>
          </w:tcPr>
          <w:p w14:paraId="78DA54F2" w14:textId="77777777" w:rsidR="00F5289E" w:rsidRDefault="00C91173">
            <w:pPr>
              <w:spacing w:line="360" w:lineRule="auto"/>
              <w:jc w:val="center"/>
              <w:rPr>
                <w:sz w:val="18"/>
                <w:szCs w:val="18"/>
              </w:rPr>
            </w:pPr>
            <w:r>
              <w:rPr>
                <w:rFonts w:hint="eastAsia"/>
                <w:sz w:val="18"/>
                <w:szCs w:val="18"/>
              </w:rPr>
              <w:t>选做</w:t>
            </w:r>
          </w:p>
        </w:tc>
        <w:tc>
          <w:tcPr>
            <w:tcW w:w="1322" w:type="dxa"/>
          </w:tcPr>
          <w:p w14:paraId="6AF9C019" w14:textId="77777777" w:rsidR="00F5289E" w:rsidRDefault="00C91173">
            <w:pPr>
              <w:spacing w:line="360" w:lineRule="auto"/>
              <w:jc w:val="center"/>
              <w:rPr>
                <w:sz w:val="18"/>
                <w:szCs w:val="18"/>
              </w:rPr>
            </w:pPr>
            <w:r>
              <w:rPr>
                <w:rFonts w:hint="eastAsia"/>
                <w:sz w:val="18"/>
                <w:szCs w:val="18"/>
              </w:rPr>
              <w:t>5-6</w:t>
            </w:r>
          </w:p>
        </w:tc>
      </w:tr>
    </w:tbl>
    <w:p w14:paraId="09A49035"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（五）实验方式及基本要求</w:t>
      </w:r>
    </w:p>
    <w:p w14:paraId="093CEE5D"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实验采用室内与室外相结合方式进行，基础性实验在实验室或室外进行，综合性实验主要在公园、花卉市场和花卉生产企业进行，实验课程要求为：理解实验原理及实验方案，掌握正确操作规程；掌握各种仪器的使用，《盆景学》实验分为</w:t>
      </w:r>
      <w:r>
        <w:rPr>
          <w:rFonts w:ascii="宋体" w:hAnsi="宋体"/>
          <w:bCs/>
          <w:szCs w:val="21"/>
        </w:rPr>
        <w:t>7</w:t>
      </w:r>
      <w:r>
        <w:rPr>
          <w:rFonts w:ascii="宋体" w:hAnsi="宋体" w:hint="eastAsia"/>
          <w:bCs/>
          <w:szCs w:val="21"/>
        </w:rPr>
        <w:t>个项目，1</w:t>
      </w:r>
      <w:r>
        <w:rPr>
          <w:rFonts w:ascii="宋体" w:hAnsi="宋体"/>
          <w:bCs/>
          <w:szCs w:val="21"/>
        </w:rPr>
        <w:t>2</w:t>
      </w:r>
      <w:r>
        <w:rPr>
          <w:rFonts w:ascii="宋体" w:hAnsi="宋体" w:hint="eastAsia"/>
          <w:bCs/>
          <w:szCs w:val="21"/>
        </w:rPr>
        <w:t>学时，其中</w:t>
      </w:r>
      <w:r>
        <w:rPr>
          <w:rFonts w:ascii="宋体" w:hAnsi="宋体"/>
          <w:bCs/>
          <w:szCs w:val="21"/>
        </w:rPr>
        <w:t>6</w:t>
      </w:r>
      <w:r>
        <w:rPr>
          <w:rFonts w:ascii="宋体" w:hAnsi="宋体" w:hint="eastAsia"/>
          <w:bCs/>
          <w:szCs w:val="21"/>
        </w:rPr>
        <w:t>个必做实验、</w:t>
      </w:r>
      <w:r>
        <w:rPr>
          <w:rFonts w:ascii="宋体" w:hAnsi="宋体"/>
          <w:bCs/>
          <w:szCs w:val="21"/>
        </w:rPr>
        <w:t>1</w:t>
      </w:r>
      <w:r>
        <w:rPr>
          <w:rFonts w:ascii="宋体" w:hAnsi="宋体" w:hint="eastAsia"/>
          <w:bCs/>
          <w:szCs w:val="21"/>
        </w:rPr>
        <w:t>个选做实验。通过盆景学实验方法或技能的学习，使学生掌握</w:t>
      </w:r>
      <w:r>
        <w:rPr>
          <w:rFonts w:ascii="宋体" w:hAnsi="宋体" w:cs="宋体" w:hint="eastAsia"/>
        </w:rPr>
        <w:t>中国盆景的发展历史，中国盆景的流派及其艺术风格，掌握几种常见盆景的</w:t>
      </w:r>
      <w:r>
        <w:rPr>
          <w:rFonts w:ascii="宋体" w:hAnsi="宋体" w:hint="eastAsia"/>
          <w:bCs/>
          <w:szCs w:val="21"/>
        </w:rPr>
        <w:t>技能。</w:t>
      </w:r>
    </w:p>
    <w:p w14:paraId="0191269A"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388299FE" w14:textId="77777777" w:rsidR="00F5289E" w:rsidRDefault="00C91173">
      <w:pPr>
        <w:pStyle w:val="af1"/>
        <w:snapToGrid w:val="0"/>
        <w:spacing w:before="0"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实验一</w:t>
      </w:r>
      <w:r>
        <w:rPr>
          <w:rFonts w:asciiTheme="minorEastAsia" w:eastAsiaTheme="minorEastAsia" w:hAnsiTheme="minorEastAsia" w:hint="eastAsia"/>
          <w:b/>
          <w:sz w:val="21"/>
          <w:szCs w:val="21"/>
        </w:rPr>
        <w:t>】盆景的流派与型式的认识</w:t>
      </w:r>
    </w:p>
    <w:p w14:paraId="055A7A06"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w:t>
      </w:r>
    </w:p>
    <w:p w14:paraId="7B07E176"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认识中国盆景的主要流派及其特点，掌握岭南盆景的基本形式，风格特点和枝法。</w:t>
      </w:r>
    </w:p>
    <w:p w14:paraId="78616F4A"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中国盆景的主要流派（杨派、苏派、川派、海派、岭南派）；岭南盆景（岭南盆景的风格、基本形式）。</w:t>
      </w:r>
    </w:p>
    <w:p w14:paraId="4CF75ACD"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实验</w:t>
      </w:r>
      <w:r>
        <w:rPr>
          <w:rFonts w:ascii="宋体" w:hAnsi="宋体" w:hint="eastAsia"/>
          <w:bCs/>
        </w:rPr>
        <w:t>完成后进行小结，比较各流派的风格特点与区别,并谈谈对岭南风景的认识。</w:t>
      </w:r>
    </w:p>
    <w:p w14:paraId="48633A1F"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皮尺、圈尺、计算机等。</w:t>
      </w:r>
    </w:p>
    <w:p w14:paraId="21B99453"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二】盆景的树种及几架认识、盆景园参观</w:t>
      </w:r>
    </w:p>
    <w:p w14:paraId="677BFE8E"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1AE17597"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了解盆景园的环境要求，盆景园的基本要素、盆景园的日常管理，认识盆景的树种、盆景的几架及形式。</w:t>
      </w:r>
    </w:p>
    <w:p w14:paraId="5668D9D3"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认识</w:t>
      </w:r>
      <w:r>
        <w:rPr>
          <w:rFonts w:ascii="宋体" w:hAnsi="宋体" w:hint="eastAsia"/>
          <w:bCs/>
        </w:rPr>
        <w:t>常见的盆景树种，掌握几架及其应用，掌握盆景园的环境、盆景园的组成。</w:t>
      </w:r>
    </w:p>
    <w:p w14:paraId="0F7967CB"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ascii="宋体" w:hAnsi="宋体" w:hint="eastAsia"/>
          <w:bCs/>
        </w:rPr>
        <w:t>外出参观实验期间一定注意安全；每一盆盆景都是花了很多汗水和辛劳修剪而成的，每一个枝条都寄托着制作者的情感和辛酸，因此参观期间请注意爱护好盆景，不要随便去动、摘、折盆景的枝条。</w:t>
      </w:r>
    </w:p>
    <w:p w14:paraId="3F8F9F0D"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ascii="宋体" w:hAnsi="宋体" w:hint="eastAsia"/>
          <w:bCs/>
        </w:rPr>
        <w:t>数码相机，放大镜，钢卷尺，直尺等。</w:t>
      </w:r>
    </w:p>
    <w:p w14:paraId="03D59A6E"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lastRenderedPageBreak/>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三】盆景树桩的设计</w:t>
      </w:r>
    </w:p>
    <w:p w14:paraId="3492263C"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65D18F15"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认识盆景的基本形式，掌握大树型，悬崖型等盆景型式的构思与创作方法。</w:t>
      </w:r>
    </w:p>
    <w:p w14:paraId="336AF6D1"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盆景常见的基本形式及其枝法特点，挑选树桩，设计与构思。</w:t>
      </w:r>
    </w:p>
    <w:p w14:paraId="298B6FC4"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ascii="宋体" w:hAnsi="宋体" w:hint="eastAsia"/>
          <w:bCs/>
        </w:rPr>
        <w:t>分别以朴树、九里香、榆树的树桩为材料，独立设计树桩的构思效果图，写成设计性实验报告。</w:t>
      </w:r>
    </w:p>
    <w:p w14:paraId="654B82C0"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hint="eastAsia"/>
          <w:bCs/>
          <w:szCs w:val="21"/>
        </w:rPr>
        <w:t>榆树，九里香、朴树等树种的树桩。</w:t>
      </w:r>
    </w:p>
    <w:p w14:paraId="1CE3E3B5"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四】盆景的栽培与保养</w:t>
      </w:r>
    </w:p>
    <w:p w14:paraId="6DA35611"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2E29B6AC"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通过实验使学生了解和掌握盆景的基本栽培方法和日常的管理与保养方法。</w:t>
      </w:r>
    </w:p>
    <w:p w14:paraId="1151BEED"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盆景树桩的栽培（树桩的改造、树桩的种植、培育、上盆栽植），盆景树桩的保养。</w:t>
      </w:r>
    </w:p>
    <w:p w14:paraId="081646CB"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ascii="宋体" w:hAnsi="宋体" w:hint="eastAsia"/>
          <w:bCs/>
        </w:rPr>
        <w:t>掌握现有的九里香、榆树的盆景</w:t>
      </w:r>
      <w:r>
        <w:rPr>
          <w:rFonts w:hint="eastAsia"/>
          <w:bCs/>
          <w:szCs w:val="21"/>
        </w:rPr>
        <w:t>的栽培方法和日常的管理与保养，实验完成后进行小结，交一份实验报告。</w:t>
      </w:r>
    </w:p>
    <w:p w14:paraId="59A6922A"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hint="eastAsia"/>
          <w:bCs/>
          <w:szCs w:val="21"/>
        </w:rPr>
        <w:t>榆树、九里香等树桩，手锯、枝剪、花洒、钳子等。</w:t>
      </w:r>
    </w:p>
    <w:p w14:paraId="66424CD7"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五】盆景的创作与修剪</w:t>
      </w:r>
    </w:p>
    <w:p w14:paraId="188AD06A"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206A3319"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通过实验使学生了解和掌握盆景的基本栽培方法、创作方法，掌握盆景修剪的方法。</w:t>
      </w:r>
    </w:p>
    <w:p w14:paraId="25370F97"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树桩的挑选，树桩的改造，树桩的种植，培育，日常修剪。</w:t>
      </w:r>
    </w:p>
    <w:p w14:paraId="4C5DCE99"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hint="eastAsia"/>
          <w:bCs/>
          <w:szCs w:val="21"/>
        </w:rPr>
        <w:t>实验以小组进行，实验前各小组应先做一份开展实验的详细方案，交由老师批准后方可实施。实验完成后进行小结，写一份实验报告，并组织学生对创作的盆景进行品评。</w:t>
      </w:r>
    </w:p>
    <w:p w14:paraId="45CBAD02"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hint="eastAsia"/>
          <w:bCs/>
          <w:szCs w:val="21"/>
        </w:rPr>
        <w:t>榆树、九里香、雀梅等树桩，手锯、枝剪、花洒、钳子等。</w:t>
      </w:r>
    </w:p>
    <w:p w14:paraId="31B8EF02"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六】山水盆景的制作</w:t>
      </w:r>
    </w:p>
    <w:p w14:paraId="1EB5EBEE"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bCs/>
        </w:rPr>
        <w:t>2</w:t>
      </w:r>
    </w:p>
    <w:p w14:paraId="4428D8E3"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通过实验，练习山水盆景的制作方法。</w:t>
      </w:r>
    </w:p>
    <w:p w14:paraId="6E15449E"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选石（用料主要是英石，属硬石，雕琢困难，因此主要放在选石上），胶合（主峰胶合，整体胶合），配景。</w:t>
      </w:r>
    </w:p>
    <w:p w14:paraId="40F65E87"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hint="eastAsia"/>
          <w:bCs/>
          <w:szCs w:val="21"/>
        </w:rPr>
        <w:t>实验以小组进行，实验完成后进行小结，写一份实验报告，并组织学生对创作的山水盆景进行品评。</w:t>
      </w:r>
    </w:p>
    <w:p w14:paraId="46954812"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hint="eastAsia"/>
          <w:bCs/>
          <w:szCs w:val="21"/>
        </w:rPr>
        <w:t>英石、水泥、沙石等，锤子、小铲、钳、手锯、枝剪等。</w:t>
      </w:r>
    </w:p>
    <w:p w14:paraId="67FAAB03" w14:textId="77777777" w:rsidR="00F5289E" w:rsidRDefault="00C91173">
      <w:pPr>
        <w:pStyle w:val="af1"/>
        <w:snapToGrid w:val="0"/>
        <w:spacing w:beforeLines="50" w:before="156"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b/>
          <w:sz w:val="21"/>
          <w:szCs w:val="21"/>
        </w:rPr>
        <w:t>实验</w:t>
      </w:r>
      <w:r>
        <w:rPr>
          <w:rFonts w:asciiTheme="minorEastAsia" w:eastAsiaTheme="minorEastAsia" w:hAnsiTheme="minorEastAsia" w:hint="eastAsia"/>
          <w:b/>
          <w:sz w:val="21"/>
          <w:szCs w:val="21"/>
        </w:rPr>
        <w:t>七】水旱盆景的创作</w:t>
      </w:r>
    </w:p>
    <w:p w14:paraId="167F6F14" w14:textId="77777777" w:rsidR="00F5289E" w:rsidRDefault="00C91173">
      <w:pPr>
        <w:snapToGrid w:val="0"/>
        <w:spacing w:line="360" w:lineRule="auto"/>
        <w:ind w:firstLineChars="200" w:firstLine="422"/>
      </w:pPr>
      <w:r>
        <w:rPr>
          <w:rFonts w:hint="eastAsia"/>
          <w:b/>
          <w:szCs w:val="21"/>
        </w:rPr>
        <w:lastRenderedPageBreak/>
        <w:t>1.</w:t>
      </w:r>
      <w:r>
        <w:rPr>
          <w:rFonts w:hint="eastAsia"/>
          <w:b/>
          <w:szCs w:val="21"/>
        </w:rPr>
        <w:t>实验学时：</w:t>
      </w:r>
      <w:r>
        <w:rPr>
          <w:rFonts w:ascii="宋体" w:hAnsi="宋体"/>
          <w:bCs/>
        </w:rPr>
        <w:t>2</w:t>
      </w:r>
    </w:p>
    <w:p w14:paraId="31D515B4"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bCs/>
          <w:szCs w:val="21"/>
        </w:rPr>
        <w:t>水旱盆景是树木盆景与山水盆景相互结合的产物。它是中国盆景特有的一种形式。水旱盆景表现题材广泛，景物内容丰富，自然，气息浓郁，深受人们喜爱。本次实验要求每个学生初步掌握水旱盆景的创作的基本技法。</w:t>
      </w:r>
    </w:p>
    <w:p w14:paraId="56AE6026"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水旱盆景的选材，培养土的配制，设计出水旱盆景的效果图、并按照图形进行创作，铺青苔、安放配件和配石完成创作。</w:t>
      </w:r>
    </w:p>
    <w:p w14:paraId="7AAB6FC3" w14:textId="77777777" w:rsidR="00F5289E" w:rsidRDefault="00C91173">
      <w:pPr>
        <w:snapToGrid w:val="0"/>
        <w:spacing w:line="360" w:lineRule="auto"/>
        <w:ind w:firstLineChars="200" w:firstLine="422"/>
        <w:rPr>
          <w:rFonts w:ascii="宋体" w:hAnsi="宋体"/>
          <w:bCs/>
        </w:rPr>
      </w:pPr>
      <w:r>
        <w:rPr>
          <w:rFonts w:hint="eastAsia"/>
          <w:b/>
          <w:szCs w:val="21"/>
        </w:rPr>
        <w:t>4.</w:t>
      </w:r>
      <w:r>
        <w:rPr>
          <w:rFonts w:hint="eastAsia"/>
          <w:b/>
          <w:szCs w:val="21"/>
        </w:rPr>
        <w:t>实验要求：</w:t>
      </w:r>
      <w:r>
        <w:rPr>
          <w:rFonts w:hint="eastAsia"/>
          <w:bCs/>
          <w:szCs w:val="21"/>
        </w:rPr>
        <w:t>根据水旱盆景的创作过程，每人写出一篇实验总结报告。每个小组上交盆景作品，作为该组成员成绩评定的标准。</w:t>
      </w:r>
    </w:p>
    <w:p w14:paraId="1DEB8381" w14:textId="77777777" w:rsidR="00F5289E" w:rsidRDefault="00C91173">
      <w:pPr>
        <w:snapToGrid w:val="0"/>
        <w:spacing w:line="360" w:lineRule="auto"/>
        <w:ind w:firstLineChars="200" w:firstLine="422"/>
        <w:rPr>
          <w:rFonts w:ascii="宋体" w:hAnsi="宋体"/>
          <w:bCs/>
        </w:rPr>
      </w:pPr>
      <w:r>
        <w:rPr>
          <w:rFonts w:hint="eastAsia"/>
          <w:b/>
          <w:szCs w:val="21"/>
        </w:rPr>
        <w:t>5.</w:t>
      </w:r>
      <w:r>
        <w:rPr>
          <w:rFonts w:hint="eastAsia"/>
          <w:b/>
          <w:szCs w:val="21"/>
        </w:rPr>
        <w:t>实验设备及器材：</w:t>
      </w:r>
      <w:r>
        <w:rPr>
          <w:rFonts w:hint="eastAsia"/>
          <w:bCs/>
          <w:szCs w:val="21"/>
        </w:rPr>
        <w:t>盆景盆、石料、配件、园土、河沙、植物材料，筛子、小铲、喷水壶、枝剪。</w:t>
      </w:r>
    </w:p>
    <w:p w14:paraId="6F20A27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520658D8" w14:textId="77777777" w:rsidR="00F5289E" w:rsidRDefault="00C91173">
      <w:pPr>
        <w:snapToGrid w:val="0"/>
        <w:spacing w:line="360" w:lineRule="auto"/>
        <w:ind w:firstLineChars="200" w:firstLine="420"/>
        <w:rPr>
          <w:bCs/>
          <w:szCs w:val="21"/>
        </w:rPr>
      </w:pPr>
      <w:r>
        <w:rPr>
          <w:bCs/>
          <w:szCs w:val="21"/>
        </w:rPr>
        <w:t>一件盆景就是一件艺术作品，盆景制作的过程就是艺术创造的过程，《盆景制作》课程教学的本身就是对学生鉴赏艺术、创作艺术的培养，培养学生高雅的艺术欣赏能力，提高学生的品德修养。课程教学的过程，就是一个育人的过程。课程许多要素，直接就是培养学生高尚情操的要素。如课程中的学艺先修德，首先就强调了学生德育的重要性，比如教授学生用盆景艺术去表现人们奋发向上的精神，客观上也要求学生对奋发向上的精神有正确的认识和深刻的理解。在制作盆景过程中，要求将盆景做到自然和谐，这种自然和谐的理念，本身就是社会主义核心价值观要培养的一种精神。盆景制作课程中的这些要素，是思政工作的直接体现，只要我们把这些内涵充分挖掘出来，让学生能够正确认识、充分理解、逐渐接受，就能够很好地实现思政教育的目标</w:t>
      </w:r>
      <w:r>
        <w:rPr>
          <w:rFonts w:hint="eastAsia"/>
          <w:bCs/>
          <w:szCs w:val="21"/>
        </w:rPr>
        <w:t>。</w:t>
      </w:r>
    </w:p>
    <w:p w14:paraId="588B4297" w14:textId="77777777" w:rsidR="00F5289E" w:rsidRDefault="00C91173">
      <w:pPr>
        <w:snapToGrid w:val="0"/>
        <w:spacing w:line="360" w:lineRule="auto"/>
        <w:ind w:firstLineChars="200" w:firstLine="420"/>
        <w:rPr>
          <w:rFonts w:ascii="宋体" w:hAnsi="宋体"/>
          <w:szCs w:val="20"/>
        </w:rPr>
      </w:pPr>
      <w:r>
        <w:rPr>
          <w:rFonts w:ascii="宋体" w:hAnsi="宋体" w:hint="eastAsia"/>
          <w:szCs w:val="20"/>
        </w:rPr>
        <w:t>在讲述《中国盆景史》这节课中，融入苏东坡、米芾以及白居易等历史名人与奇石的渊源，进而讲述盆景来源于玩石的历史实情。在讲述《盆景美学》这节课中，以盆景代表作《八骏图》为例，先讲述该盆景诞生的时期（文化大革命刚刚结束）及其背后的故事，再对该盆景的造型与构图，选材与立意和命名进行分析，来告诉学生作品的美学深度。在讲述《世界盆景园》这节课中，以我国国宝盆景为例，来讲述虽然盆景制作不易，但盆景养护更难。</w:t>
      </w:r>
    </w:p>
    <w:p w14:paraId="718678D0" w14:textId="77777777" w:rsidR="00F5289E" w:rsidRDefault="00C91173">
      <w:pPr>
        <w:widowControl/>
        <w:snapToGrid w:val="0"/>
        <w:spacing w:beforeLines="50" w:before="156"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4ED5BB39"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787C56B1"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《中国盆景文化史》（第二版），李树华等编，</w:t>
      </w:r>
      <w:r>
        <w:rPr>
          <w:rFonts w:ascii="宋体" w:hAnsi="宋体"/>
          <w:bCs/>
          <w:kern w:val="0"/>
          <w:szCs w:val="21"/>
        </w:rPr>
        <w:t>中国林业出版社，</w:t>
      </w:r>
      <w:r>
        <w:rPr>
          <w:rFonts w:ascii="宋体" w:hAnsi="宋体" w:hint="eastAsia"/>
          <w:bCs/>
          <w:kern w:val="0"/>
          <w:szCs w:val="21"/>
        </w:rPr>
        <w:t>2020年</w:t>
      </w:r>
    </w:p>
    <w:p w14:paraId="5516AE19"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w:t>
      </w:r>
      <w:r>
        <w:rPr>
          <w:rFonts w:ascii="宋体" w:hAnsi="宋体"/>
          <w:bCs/>
          <w:kern w:val="0"/>
          <w:szCs w:val="21"/>
        </w:rPr>
        <w:t>盆景学</w:t>
      </w:r>
      <w:r>
        <w:rPr>
          <w:rFonts w:ascii="宋体" w:hAnsi="宋体" w:hint="eastAsia"/>
          <w:bCs/>
          <w:kern w:val="0"/>
          <w:szCs w:val="21"/>
        </w:rPr>
        <w:t>》（第4版）</w:t>
      </w:r>
      <w:r>
        <w:rPr>
          <w:rFonts w:ascii="宋体" w:hAnsi="宋体"/>
          <w:bCs/>
          <w:kern w:val="0"/>
          <w:szCs w:val="21"/>
        </w:rPr>
        <w:t>，</w:t>
      </w:r>
      <w:hyperlink r:id="rId21" w:tgtFrame="_blank" w:history="1">
        <w:r>
          <w:rPr>
            <w:rFonts w:ascii="宋体" w:hAnsi="宋体"/>
            <w:bCs/>
            <w:kern w:val="0"/>
            <w:szCs w:val="21"/>
          </w:rPr>
          <w:t>彭春生等编</w:t>
        </w:r>
      </w:hyperlink>
      <w:r>
        <w:rPr>
          <w:rFonts w:ascii="宋体" w:hAnsi="宋体"/>
          <w:bCs/>
          <w:kern w:val="0"/>
          <w:szCs w:val="21"/>
        </w:rPr>
        <w:t>，中国林业出版社，2018</w:t>
      </w:r>
      <w:r>
        <w:rPr>
          <w:rFonts w:ascii="宋体" w:hAnsi="宋体" w:hint="eastAsia"/>
          <w:bCs/>
          <w:kern w:val="0"/>
          <w:szCs w:val="21"/>
        </w:rPr>
        <w:t>年</w:t>
      </w:r>
    </w:p>
    <w:p w14:paraId="6221E134"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《盆景学实习实验指导》，李庆卫编，</w:t>
      </w:r>
      <w:r>
        <w:rPr>
          <w:rFonts w:ascii="宋体" w:hAnsi="宋体"/>
          <w:bCs/>
          <w:kern w:val="0"/>
          <w:szCs w:val="21"/>
        </w:rPr>
        <w:t>中国林业出版社，2019</w:t>
      </w:r>
      <w:r>
        <w:rPr>
          <w:rFonts w:ascii="宋体" w:hAnsi="宋体" w:hint="eastAsia"/>
          <w:bCs/>
          <w:kern w:val="0"/>
          <w:szCs w:val="21"/>
        </w:rPr>
        <w:t>年</w:t>
      </w:r>
    </w:p>
    <w:p w14:paraId="48C965DA"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71552D7D"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（2）《中国盆景制作技术手册(第2版)》，韦金笙，上海科学技术出版社，</w:t>
      </w:r>
      <w:r>
        <w:rPr>
          <w:rFonts w:ascii="宋体" w:hAnsi="宋体"/>
          <w:bCs/>
          <w:kern w:val="0"/>
          <w:szCs w:val="21"/>
        </w:rPr>
        <w:t>201</w:t>
      </w:r>
      <w:r>
        <w:rPr>
          <w:rFonts w:ascii="宋体" w:hAnsi="宋体" w:hint="eastAsia"/>
          <w:bCs/>
          <w:kern w:val="0"/>
          <w:szCs w:val="21"/>
        </w:rPr>
        <w:t>8年</w:t>
      </w:r>
    </w:p>
    <w:p w14:paraId="6BBF17AF"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（3）《</w:t>
      </w:r>
      <w:r>
        <w:rPr>
          <w:rFonts w:ascii="宋体" w:hAnsi="宋体"/>
          <w:bCs/>
          <w:kern w:val="0"/>
          <w:szCs w:val="21"/>
        </w:rPr>
        <w:t>盆景之书》，彼得•沃伦，华中科技大学出版社，2019年</w:t>
      </w:r>
    </w:p>
    <w:p w14:paraId="1CFC7768"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lastRenderedPageBreak/>
        <w:t>（4）</w:t>
      </w:r>
      <w:r>
        <w:rPr>
          <w:rFonts w:ascii="宋体" w:hAnsi="宋体"/>
          <w:bCs/>
          <w:kern w:val="0"/>
          <w:szCs w:val="21"/>
        </w:rPr>
        <w:t>《新编盆景造型技艺图解》</w:t>
      </w:r>
      <w:r>
        <w:rPr>
          <w:rFonts w:ascii="宋体" w:hAnsi="宋体" w:hint="eastAsia"/>
          <w:bCs/>
          <w:kern w:val="0"/>
          <w:szCs w:val="21"/>
        </w:rPr>
        <w:t>，</w:t>
      </w:r>
      <w:r>
        <w:rPr>
          <w:rFonts w:ascii="宋体" w:hAnsi="宋体"/>
          <w:bCs/>
          <w:kern w:val="0"/>
          <w:szCs w:val="21"/>
        </w:rPr>
        <w:t>曾宪烨</w:t>
      </w:r>
      <w:r>
        <w:rPr>
          <w:rFonts w:ascii="宋体" w:hAnsi="宋体" w:hint="eastAsia"/>
          <w:bCs/>
          <w:kern w:val="0"/>
          <w:szCs w:val="21"/>
        </w:rPr>
        <w:t>等，中国林业出版社，2008年</w:t>
      </w:r>
    </w:p>
    <w:p w14:paraId="1C7D9ABD"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（5）</w:t>
      </w:r>
      <w:r>
        <w:rPr>
          <w:rFonts w:ascii="宋体" w:hAnsi="宋体"/>
          <w:bCs/>
          <w:kern w:val="0"/>
          <w:szCs w:val="21"/>
        </w:rPr>
        <w:t>《</w:t>
      </w:r>
      <w:r>
        <w:rPr>
          <w:rFonts w:ascii="宋体" w:hAnsi="宋体" w:hint="eastAsia"/>
          <w:bCs/>
          <w:kern w:val="0"/>
          <w:szCs w:val="21"/>
        </w:rPr>
        <w:t>盆景艺术与花艺设计</w:t>
      </w:r>
      <w:r>
        <w:rPr>
          <w:rFonts w:ascii="宋体" w:hAnsi="宋体"/>
          <w:bCs/>
          <w:kern w:val="0"/>
          <w:szCs w:val="21"/>
        </w:rPr>
        <w:t>》</w:t>
      </w:r>
      <w:r>
        <w:rPr>
          <w:rFonts w:ascii="宋体" w:hAnsi="宋体" w:hint="eastAsia"/>
          <w:bCs/>
          <w:kern w:val="0"/>
          <w:szCs w:val="21"/>
        </w:rPr>
        <w:t>，齐安国 王保全等，中国农业</w:t>
      </w:r>
      <w:r>
        <w:rPr>
          <w:rFonts w:ascii="宋体" w:hAnsi="宋体"/>
          <w:bCs/>
          <w:kern w:val="0"/>
          <w:szCs w:val="21"/>
        </w:rPr>
        <w:t>出版社</w:t>
      </w:r>
      <w:r>
        <w:rPr>
          <w:rFonts w:ascii="宋体" w:hAnsi="宋体" w:hint="eastAsia"/>
          <w:bCs/>
          <w:kern w:val="0"/>
          <w:szCs w:val="21"/>
        </w:rPr>
        <w:t>有限公司，</w:t>
      </w:r>
      <w:r>
        <w:rPr>
          <w:rFonts w:ascii="宋体" w:hAnsi="宋体"/>
          <w:bCs/>
          <w:kern w:val="0"/>
          <w:szCs w:val="21"/>
        </w:rPr>
        <w:t>2000</w:t>
      </w:r>
      <w:r>
        <w:rPr>
          <w:rFonts w:ascii="宋体" w:hAnsi="宋体" w:hint="eastAsia"/>
          <w:bCs/>
          <w:kern w:val="0"/>
          <w:szCs w:val="21"/>
        </w:rPr>
        <w:t>年</w:t>
      </w:r>
    </w:p>
    <w:p w14:paraId="19A602DA"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10C835E5" w14:textId="77777777" w:rsidR="00F5289E" w:rsidRDefault="00C91173">
      <w:pPr>
        <w:spacing w:line="360" w:lineRule="auto"/>
        <w:ind w:firstLineChars="200" w:firstLine="420"/>
        <w:rPr>
          <w:sz w:val="18"/>
          <w:szCs w:val="18"/>
        </w:rPr>
      </w:pPr>
      <w:r>
        <w:rPr>
          <w:rFonts w:hint="eastAsia"/>
        </w:rPr>
        <w:t>（</w:t>
      </w:r>
      <w:r>
        <w:rPr>
          <w:rFonts w:hint="eastAsia"/>
        </w:rPr>
        <w:t>1</w:t>
      </w:r>
      <w:r>
        <w:rPr>
          <w:rFonts w:hint="eastAsia"/>
        </w:rPr>
        <w:t>）盆景艺术在线，</w:t>
      </w:r>
      <w:r>
        <w:t>http://www.cnpenjing.com/</w:t>
      </w:r>
    </w:p>
    <w:p w14:paraId="6BC85DB7" w14:textId="77777777" w:rsidR="00F5289E" w:rsidRDefault="00C91173">
      <w:pPr>
        <w:spacing w:line="360" w:lineRule="auto"/>
        <w:ind w:firstLineChars="200" w:firstLine="400"/>
        <w:rPr>
          <w:rStyle w:val="subject-cast"/>
          <w:sz w:val="20"/>
          <w:szCs w:val="20"/>
        </w:rPr>
      </w:pPr>
      <w:r>
        <w:rPr>
          <w:rStyle w:val="subject-cast"/>
          <w:rFonts w:hint="eastAsia"/>
          <w:sz w:val="20"/>
          <w:szCs w:val="20"/>
        </w:rPr>
        <w:t>（</w:t>
      </w:r>
      <w:r>
        <w:rPr>
          <w:rStyle w:val="subject-cast"/>
          <w:rFonts w:hint="eastAsia"/>
          <w:sz w:val="20"/>
          <w:szCs w:val="20"/>
        </w:rPr>
        <w:t>2</w:t>
      </w:r>
      <w:r>
        <w:rPr>
          <w:rStyle w:val="subject-cast"/>
          <w:rFonts w:hint="eastAsia"/>
          <w:sz w:val="20"/>
          <w:szCs w:val="20"/>
        </w:rPr>
        <w:t>）中华盆景，</w:t>
      </w:r>
      <w:r>
        <w:fldChar w:fldCharType="begin"/>
      </w:r>
      <w:r>
        <w:instrText>HYPERLINK "http://www.fff789.com/"</w:instrText>
      </w:r>
      <w:r>
        <w:fldChar w:fldCharType="separate"/>
      </w:r>
      <w:r>
        <w:rPr>
          <w:rStyle w:val="subject-cast"/>
          <w:sz w:val="20"/>
          <w:szCs w:val="20"/>
        </w:rPr>
        <w:t>http://www.fff789.com/</w:t>
      </w:r>
      <w:r>
        <w:rPr>
          <w:rStyle w:val="subject-cast"/>
          <w:sz w:val="20"/>
          <w:szCs w:val="20"/>
        </w:rPr>
        <w:fldChar w:fldCharType="end"/>
      </w:r>
    </w:p>
    <w:p w14:paraId="00C03949"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6962461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 需要师资情况：有</w:t>
      </w:r>
      <w:r>
        <w:rPr>
          <w:rFonts w:ascii="宋体" w:hAnsi="宋体"/>
          <w:szCs w:val="21"/>
        </w:rPr>
        <w:t>7</w:t>
      </w:r>
      <w:r>
        <w:rPr>
          <w:rFonts w:ascii="宋体" w:hAnsi="宋体" w:hint="eastAsia"/>
          <w:szCs w:val="21"/>
        </w:rPr>
        <w:t>名授课教师，目前师资结构合适。</w:t>
      </w:r>
    </w:p>
    <w:p w14:paraId="7A28A0E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 场地：实验用地、温室、园艺植物生理生化实验室。</w:t>
      </w:r>
    </w:p>
    <w:p w14:paraId="03B17F1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 实验条件：园艺学院和科教园区具备完成课程规定的实验条件。</w:t>
      </w:r>
    </w:p>
    <w:p w14:paraId="4B6609D9" w14:textId="77777777" w:rsidR="00F5289E" w:rsidRDefault="00C91173">
      <w:pPr>
        <w:snapToGrid w:val="0"/>
        <w:spacing w:line="360" w:lineRule="auto"/>
        <w:rPr>
          <w:rFonts w:hAnsi="宋体"/>
          <w:b/>
          <w:bCs/>
          <w:kern w:val="0"/>
          <w:szCs w:val="21"/>
        </w:rPr>
      </w:pPr>
      <w:r>
        <w:rPr>
          <w:rFonts w:hAnsi="宋体" w:hint="eastAsia"/>
          <w:b/>
          <w:bCs/>
          <w:kern w:val="0"/>
          <w:szCs w:val="21"/>
        </w:rPr>
        <w:t>九、教学考核评价</w:t>
      </w:r>
    </w:p>
    <w:p w14:paraId="249497E9"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1.</w:t>
      </w:r>
      <w:r>
        <w:rPr>
          <w:rFonts w:hAnsi="宋体" w:hint="eastAsia"/>
          <w:b/>
          <w:bCs/>
          <w:kern w:val="0"/>
          <w:szCs w:val="21"/>
        </w:rPr>
        <w:t>过程性评价：</w:t>
      </w:r>
      <w:r>
        <w:rPr>
          <w:rFonts w:ascii="宋体" w:hAnsi="宋体" w:hint="eastAsia"/>
        </w:rPr>
        <w:t>平时上课表现×20%+小组学习讨论×20%+课程作业×60%。</w:t>
      </w:r>
    </w:p>
    <w:p w14:paraId="73948375"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2.</w:t>
      </w:r>
      <w:r>
        <w:rPr>
          <w:rFonts w:hAnsi="宋体" w:hint="eastAsia"/>
          <w:b/>
          <w:bCs/>
          <w:kern w:val="0"/>
          <w:szCs w:val="21"/>
        </w:rPr>
        <w:t>终结性评价：</w:t>
      </w:r>
      <w:r>
        <w:rPr>
          <w:rFonts w:hAnsi="宋体" w:hint="eastAsia"/>
          <w:kern w:val="0"/>
          <w:szCs w:val="21"/>
        </w:rPr>
        <w:t>制作大作品，占比</w:t>
      </w:r>
      <w:r>
        <w:rPr>
          <w:rFonts w:hAnsi="宋体" w:hint="eastAsia"/>
          <w:kern w:val="0"/>
          <w:szCs w:val="21"/>
        </w:rPr>
        <w:t>50%</w:t>
      </w:r>
      <w:r>
        <w:rPr>
          <w:rFonts w:ascii="宋体" w:hAnsi="宋体" w:hint="eastAsia"/>
        </w:rPr>
        <w:t>。</w:t>
      </w:r>
    </w:p>
    <w:p w14:paraId="23841A17"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Pr>
          <w:rFonts w:ascii="宋体" w:hAnsi="宋体" w:hint="eastAsia"/>
        </w:rPr>
        <w:t>过程性评价</w:t>
      </w:r>
      <w:r>
        <w:rPr>
          <w:rFonts w:ascii="宋体" w:hAnsi="宋体" w:hint="eastAsia"/>
          <w:bCs/>
          <w:szCs w:val="21"/>
        </w:rPr>
        <w:t>×</w:t>
      </w:r>
      <w:r>
        <w:rPr>
          <w:rFonts w:ascii="宋体" w:hAnsi="宋体" w:hint="eastAsia"/>
        </w:rPr>
        <w:t>50%+终结性评价×50%。</w:t>
      </w:r>
    </w:p>
    <w:p w14:paraId="1DE99E21" w14:textId="77777777" w:rsidR="00F5289E" w:rsidRDefault="00F5289E">
      <w:pPr>
        <w:widowControl/>
        <w:snapToGrid w:val="0"/>
        <w:spacing w:line="360" w:lineRule="auto"/>
        <w:ind w:firstLine="420"/>
        <w:jc w:val="left"/>
        <w:rPr>
          <w:rFonts w:ascii="宋体" w:hAnsi="宋体"/>
        </w:rPr>
      </w:pPr>
    </w:p>
    <w:p w14:paraId="26640D30" w14:textId="77777777" w:rsidR="00F5289E" w:rsidRDefault="00C91173">
      <w:pPr>
        <w:widowControl/>
        <w:jc w:val="left"/>
        <w:rPr>
          <w:rFonts w:ascii="宋体" w:hAnsi="宋体"/>
          <w:b/>
          <w:sz w:val="28"/>
          <w:szCs w:val="28"/>
        </w:rPr>
      </w:pPr>
      <w:r>
        <w:rPr>
          <w:rFonts w:ascii="宋体" w:hAnsi="宋体"/>
          <w:b/>
          <w:sz w:val="28"/>
          <w:szCs w:val="28"/>
        </w:rPr>
        <w:br w:type="page"/>
      </w:r>
    </w:p>
    <w:p w14:paraId="675AC2ED" w14:textId="77777777" w:rsidR="00F5289E" w:rsidRDefault="00C91173" w:rsidP="005E1242">
      <w:pPr>
        <w:pStyle w:val="1"/>
        <w:jc w:val="both"/>
      </w:pPr>
      <w:bookmarkStart w:id="110" w:name="_Toc138606257"/>
      <w:r>
        <w:rPr>
          <w:rFonts w:hint="eastAsia"/>
        </w:rPr>
        <w:lastRenderedPageBreak/>
        <w:t>CAD制图</w:t>
      </w:r>
      <w:bookmarkEnd w:id="110"/>
    </w:p>
    <w:p w14:paraId="1FF4EBCC" w14:textId="77777777" w:rsidR="00F5289E" w:rsidRDefault="00C91173">
      <w:pPr>
        <w:snapToGrid w:val="0"/>
        <w:spacing w:line="360" w:lineRule="auto"/>
        <w:jc w:val="center"/>
        <w:rPr>
          <w:sz w:val="24"/>
        </w:rPr>
      </w:pPr>
      <w:r>
        <w:rPr>
          <w:sz w:val="24"/>
        </w:rPr>
        <w:t>（</w:t>
      </w:r>
      <w:r>
        <w:rPr>
          <w:rFonts w:hint="eastAsia"/>
          <w:sz w:val="24"/>
        </w:rPr>
        <w:t>CAD Drawing</w:t>
      </w:r>
      <w:r>
        <w:rPr>
          <w:sz w:val="24"/>
        </w:rPr>
        <w:t>）</w:t>
      </w:r>
    </w:p>
    <w:p w14:paraId="1206A197" w14:textId="77777777" w:rsidR="00F5289E" w:rsidRDefault="00F5289E">
      <w:pPr>
        <w:snapToGrid w:val="0"/>
        <w:spacing w:line="360" w:lineRule="auto"/>
        <w:jc w:val="center"/>
        <w:rPr>
          <w:sz w:val="24"/>
        </w:rPr>
      </w:pPr>
    </w:p>
    <w:p w14:paraId="2371E557"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125A079E" w14:textId="77777777">
        <w:tc>
          <w:tcPr>
            <w:tcW w:w="1666" w:type="pct"/>
          </w:tcPr>
          <w:p w14:paraId="6377F905"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19011152</w:t>
            </w:r>
          </w:p>
        </w:tc>
        <w:tc>
          <w:tcPr>
            <w:tcW w:w="1453" w:type="pct"/>
          </w:tcPr>
          <w:p w14:paraId="0C991A6C" w14:textId="77777777" w:rsidR="00F5289E" w:rsidRDefault="00C91173">
            <w:pPr>
              <w:spacing w:line="300" w:lineRule="auto"/>
              <w:rPr>
                <w:rFonts w:ascii="宋体" w:hAnsi="宋体"/>
                <w:b/>
                <w:bCs/>
                <w:szCs w:val="21"/>
              </w:rPr>
            </w:pPr>
            <w:r>
              <w:rPr>
                <w:rFonts w:ascii="宋体" w:hAnsi="宋体" w:hint="eastAsia"/>
                <w:b/>
                <w:bCs/>
                <w:szCs w:val="21"/>
              </w:rPr>
              <w:t>课程总学时：</w:t>
            </w:r>
            <w:r>
              <w:rPr>
                <w:rFonts w:ascii="宋体" w:hAnsi="宋体" w:hint="eastAsia"/>
                <w:szCs w:val="21"/>
              </w:rPr>
              <w:t>24</w:t>
            </w:r>
          </w:p>
        </w:tc>
        <w:tc>
          <w:tcPr>
            <w:tcW w:w="1881" w:type="pct"/>
          </w:tcPr>
          <w:p w14:paraId="68976066" w14:textId="5179543E"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hint="eastAsia"/>
                <w:szCs w:val="21"/>
              </w:rPr>
              <w:t>8</w:t>
            </w:r>
          </w:p>
        </w:tc>
      </w:tr>
      <w:tr w:rsidR="00F5289E" w14:paraId="3BAFCEFA" w14:textId="77777777">
        <w:tc>
          <w:tcPr>
            <w:tcW w:w="1666" w:type="pct"/>
          </w:tcPr>
          <w:p w14:paraId="22E2F4B8"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hAnsi="宋体" w:hint="eastAsia"/>
                <w:bCs/>
                <w:kern w:val="0"/>
                <w:szCs w:val="21"/>
              </w:rPr>
              <w:t>选修</w:t>
            </w:r>
          </w:p>
        </w:tc>
        <w:tc>
          <w:tcPr>
            <w:tcW w:w="1453" w:type="pct"/>
          </w:tcPr>
          <w:p w14:paraId="77D2F2C9" w14:textId="77777777" w:rsidR="00F5289E" w:rsidRDefault="00C91173">
            <w:pPr>
              <w:spacing w:line="300" w:lineRule="auto"/>
              <w:rPr>
                <w:rFonts w:ascii="宋体" w:hAnsi="宋体"/>
                <w:b/>
                <w:bCs/>
                <w:szCs w:val="21"/>
              </w:rPr>
            </w:pPr>
            <w:r>
              <w:rPr>
                <w:rFonts w:ascii="宋体" w:hAnsi="宋体" w:hint="eastAsia"/>
                <w:b/>
                <w:szCs w:val="21"/>
              </w:rPr>
              <w:t>课程属性:</w:t>
            </w:r>
            <w:r>
              <w:rPr>
                <w:rFonts w:hAnsi="宋体" w:hint="eastAsia"/>
                <w:bCs/>
                <w:kern w:val="0"/>
                <w:szCs w:val="21"/>
              </w:rPr>
              <w:t>素质类</w:t>
            </w:r>
          </w:p>
        </w:tc>
        <w:tc>
          <w:tcPr>
            <w:tcW w:w="1881" w:type="pct"/>
          </w:tcPr>
          <w:p w14:paraId="72B8EED8"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szCs w:val="21"/>
              </w:rPr>
              <w:t>第 8学期</w:t>
            </w:r>
          </w:p>
        </w:tc>
      </w:tr>
      <w:tr w:rsidR="00F5289E" w14:paraId="307E8348" w14:textId="77777777">
        <w:tc>
          <w:tcPr>
            <w:tcW w:w="1666" w:type="pct"/>
          </w:tcPr>
          <w:p w14:paraId="62A4260F"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szCs w:val="21"/>
              </w:rPr>
              <w:t>董晓星</w:t>
            </w:r>
          </w:p>
        </w:tc>
        <w:tc>
          <w:tcPr>
            <w:tcW w:w="1453" w:type="pct"/>
          </w:tcPr>
          <w:p w14:paraId="4E54F41A"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董晓星，杜清洁</w:t>
            </w:r>
          </w:p>
        </w:tc>
        <w:tc>
          <w:tcPr>
            <w:tcW w:w="1881" w:type="pct"/>
          </w:tcPr>
          <w:p w14:paraId="2C255D71" w14:textId="1E19EF49" w:rsidR="00F5289E" w:rsidRDefault="00C91173">
            <w:pPr>
              <w:spacing w:line="300" w:lineRule="auto"/>
              <w:rPr>
                <w:rFonts w:ascii="宋体" w:hAnsi="宋体"/>
                <w:b/>
                <w:bCs/>
                <w:szCs w:val="21"/>
              </w:rPr>
            </w:pPr>
            <w:r>
              <w:rPr>
                <w:rFonts w:ascii="宋体" w:hAnsi="宋体" w:hint="eastAsia"/>
                <w:b/>
                <w:bCs/>
                <w:szCs w:val="21"/>
              </w:rPr>
              <w:t>授课语言：</w:t>
            </w:r>
            <w:r w:rsidR="00BE5256" w:rsidRPr="00BE5256">
              <w:rPr>
                <w:rFonts w:ascii="宋体" w:hAnsi="宋体" w:hint="eastAsia"/>
                <w:szCs w:val="21"/>
              </w:rPr>
              <w:t>中文</w:t>
            </w:r>
          </w:p>
        </w:tc>
      </w:tr>
      <w:tr w:rsidR="00F5289E" w14:paraId="2863C436" w14:textId="77777777">
        <w:tc>
          <w:tcPr>
            <w:tcW w:w="5000" w:type="pct"/>
            <w:gridSpan w:val="3"/>
          </w:tcPr>
          <w:p w14:paraId="007F22B9" w14:textId="77777777" w:rsidR="00F5289E" w:rsidRDefault="00C91173">
            <w:pPr>
              <w:spacing w:line="300" w:lineRule="auto"/>
              <w:ind w:rightChars="-81" w:right="-170"/>
              <w:rPr>
                <w:rFonts w:ascii="宋体" w:hAnsi="宋体"/>
                <w:bCs/>
                <w:szCs w:val="21"/>
              </w:rPr>
            </w:pPr>
            <w:r>
              <w:rPr>
                <w:rFonts w:ascii="宋体" w:hAnsi="宋体" w:hint="eastAsia"/>
                <w:b/>
                <w:bCs/>
                <w:szCs w:val="21"/>
              </w:rPr>
              <w:t>适用专业：</w:t>
            </w:r>
            <w:r>
              <w:rPr>
                <w:rFonts w:ascii="宋体" w:hAnsi="宋体" w:hint="eastAsia"/>
                <w:szCs w:val="21"/>
              </w:rPr>
              <w:t>设施农业科学与工程</w:t>
            </w:r>
          </w:p>
        </w:tc>
      </w:tr>
      <w:tr w:rsidR="00F5289E" w14:paraId="26582463" w14:textId="77777777">
        <w:tc>
          <w:tcPr>
            <w:tcW w:w="5000" w:type="pct"/>
            <w:gridSpan w:val="3"/>
          </w:tcPr>
          <w:p w14:paraId="166B1D85" w14:textId="77777777" w:rsidR="00F5289E" w:rsidRDefault="00C91173">
            <w:pPr>
              <w:spacing w:line="300" w:lineRule="auto"/>
              <w:rPr>
                <w:rFonts w:ascii="宋体" w:hAnsi="宋体"/>
                <w:b/>
                <w:bCs/>
                <w:szCs w:val="21"/>
              </w:rPr>
            </w:pPr>
            <w:r>
              <w:rPr>
                <w:rFonts w:ascii="宋体" w:hAnsi="宋体" w:hint="eastAsia"/>
                <w:b/>
                <w:bCs/>
                <w:szCs w:val="21"/>
              </w:rPr>
              <w:t>对先修的要求：</w:t>
            </w:r>
            <w:r>
              <w:rPr>
                <w:rFonts w:ascii="宋体" w:hAnsi="宋体" w:hint="eastAsia"/>
                <w:szCs w:val="21"/>
              </w:rPr>
              <w:t>现代工程图学</w:t>
            </w:r>
          </w:p>
        </w:tc>
      </w:tr>
      <w:tr w:rsidR="00F5289E" w14:paraId="1896A79D" w14:textId="77777777">
        <w:tc>
          <w:tcPr>
            <w:tcW w:w="5000" w:type="pct"/>
            <w:gridSpan w:val="3"/>
          </w:tcPr>
          <w:p w14:paraId="1E78BA7A"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hAnsi="宋体" w:hint="eastAsia"/>
                <w:bCs/>
                <w:kern w:val="0"/>
                <w:szCs w:val="21"/>
              </w:rPr>
              <w:t>无</w:t>
            </w:r>
          </w:p>
        </w:tc>
      </w:tr>
      <w:tr w:rsidR="00F5289E" w14:paraId="713B8913" w14:textId="77777777">
        <w:tc>
          <w:tcPr>
            <w:tcW w:w="1666" w:type="pct"/>
          </w:tcPr>
          <w:p w14:paraId="66A8E03A"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董晓星</w:t>
            </w:r>
          </w:p>
        </w:tc>
        <w:tc>
          <w:tcPr>
            <w:tcW w:w="1453" w:type="pct"/>
          </w:tcPr>
          <w:p w14:paraId="77AEFD60"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李阳</w:t>
            </w:r>
          </w:p>
        </w:tc>
        <w:tc>
          <w:tcPr>
            <w:tcW w:w="1881" w:type="pct"/>
          </w:tcPr>
          <w:p w14:paraId="0F3B4E67"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szCs w:val="21"/>
              </w:rPr>
              <w:t>2023.05</w:t>
            </w:r>
          </w:p>
        </w:tc>
      </w:tr>
    </w:tbl>
    <w:p w14:paraId="14069EEF" w14:textId="77777777" w:rsidR="00F5289E" w:rsidRDefault="00F5289E">
      <w:pPr>
        <w:widowControl/>
        <w:snapToGrid w:val="0"/>
        <w:spacing w:line="360" w:lineRule="auto"/>
        <w:jc w:val="left"/>
        <w:rPr>
          <w:rFonts w:hAnsi="宋体"/>
          <w:b/>
          <w:bCs/>
          <w:kern w:val="0"/>
          <w:szCs w:val="21"/>
        </w:rPr>
      </w:pPr>
    </w:p>
    <w:p w14:paraId="5D0BE235"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2BF1EB9D" w14:textId="77777777" w:rsidR="00F5289E" w:rsidRDefault="00C91173">
      <w:pPr>
        <w:spacing w:line="360" w:lineRule="auto"/>
        <w:ind w:firstLineChars="200" w:firstLine="420"/>
        <w:rPr>
          <w:kern w:val="0"/>
          <w:szCs w:val="21"/>
        </w:rPr>
      </w:pPr>
      <w:r>
        <w:rPr>
          <w:rFonts w:hint="eastAsia"/>
          <w:kern w:val="0"/>
          <w:szCs w:val="21"/>
        </w:rPr>
        <w:t>CAD</w:t>
      </w:r>
      <w:r>
        <w:rPr>
          <w:rFonts w:hint="eastAsia"/>
          <w:kern w:val="0"/>
          <w:szCs w:val="21"/>
        </w:rPr>
        <w:t>制图使设施农业科学与工程专业的一门选修课。本课程通过对</w:t>
      </w:r>
      <w:r>
        <w:rPr>
          <w:rFonts w:hint="eastAsia"/>
          <w:kern w:val="0"/>
          <w:szCs w:val="21"/>
        </w:rPr>
        <w:t>CAD</w:t>
      </w:r>
      <w:r>
        <w:rPr>
          <w:rFonts w:hint="eastAsia"/>
          <w:kern w:val="0"/>
          <w:szCs w:val="21"/>
        </w:rPr>
        <w:t>软件的基本知识、基本操作的介绍，学生可了解和掌握计算机辅助制图的基本方法，掌握</w:t>
      </w:r>
      <w:r>
        <w:rPr>
          <w:rFonts w:hint="eastAsia"/>
          <w:kern w:val="0"/>
          <w:szCs w:val="21"/>
        </w:rPr>
        <w:t>CAD</w:t>
      </w:r>
      <w:r>
        <w:rPr>
          <w:rFonts w:hint="eastAsia"/>
          <w:kern w:val="0"/>
          <w:szCs w:val="21"/>
        </w:rPr>
        <w:t>软件的使用方法，能够运用计算机辅助进行农业设施工程制图，能熟练运用计算机绘制简单的农业设施工程施工图。</w:t>
      </w:r>
      <w:r>
        <w:rPr>
          <w:rFonts w:hAnsi="宋体" w:hint="eastAsia"/>
          <w:szCs w:val="21"/>
        </w:rPr>
        <w:t>在教学过程中，教师采用项目式教学和任务驱动法实施课程教学，分析每个图纸任务的技能训练点和素养训练目标，将软件命令的学习融入每个图纸任务的绘制过程，以任务为导向带领学生学习</w:t>
      </w:r>
      <w:r>
        <w:rPr>
          <w:rFonts w:hAnsi="宋体" w:hint="eastAsia"/>
          <w:szCs w:val="21"/>
        </w:rPr>
        <w:t>CAD</w:t>
      </w:r>
      <w:r>
        <w:rPr>
          <w:rFonts w:hAnsi="宋体" w:hint="eastAsia"/>
          <w:szCs w:val="21"/>
        </w:rPr>
        <w:t>的命令操作步骤，并在实验环节进行样图绘制，学生进行上机实践操作，锻炼综合运用</w:t>
      </w:r>
      <w:r>
        <w:rPr>
          <w:rFonts w:hAnsi="宋体" w:hint="eastAsia"/>
          <w:szCs w:val="21"/>
        </w:rPr>
        <w:t>CAD</w:t>
      </w:r>
      <w:r>
        <w:rPr>
          <w:rFonts w:hAnsi="宋体" w:hint="eastAsia"/>
          <w:szCs w:val="21"/>
        </w:rPr>
        <w:t>命令完成图样绘制的能力，能够以图纸的形式进行陈述和交流，准确表达自己的设计观点。</w:t>
      </w:r>
    </w:p>
    <w:p w14:paraId="7AE8B023"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4BBA2134"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rFonts w:hAnsi="宋体" w:hint="eastAsia"/>
          <w:kern w:val="0"/>
          <w:szCs w:val="21"/>
        </w:rPr>
        <w:t>通过课程学习，要求学生掌</w:t>
      </w:r>
      <w:r>
        <w:rPr>
          <w:rFonts w:ascii="宋体" w:hAnsi="宋体" w:hint="eastAsia"/>
          <w:bCs/>
          <w:szCs w:val="21"/>
        </w:rPr>
        <w:t>握基本绘图命令、基本编辑命令、文本与标注绘制和编辑命令的具体操作流程</w:t>
      </w:r>
      <w:r>
        <w:rPr>
          <w:rFonts w:hAnsi="宋体" w:hint="eastAsia"/>
          <w:kern w:val="0"/>
          <w:szCs w:val="21"/>
        </w:rPr>
        <w:t>。</w:t>
      </w:r>
      <w:r>
        <w:rPr>
          <w:rFonts w:hAnsi="宋体" w:hint="eastAsia"/>
          <w:bCs/>
          <w:kern w:val="0"/>
          <w:szCs w:val="21"/>
        </w:rPr>
        <w:t xml:space="preserve"> </w:t>
      </w:r>
    </w:p>
    <w:p w14:paraId="3E98B6B6" w14:textId="77777777" w:rsidR="00F5289E" w:rsidRDefault="00C91173">
      <w:pPr>
        <w:widowControl/>
        <w:snapToGrid w:val="0"/>
        <w:spacing w:line="360" w:lineRule="auto"/>
        <w:ind w:firstLineChars="200" w:firstLine="420"/>
        <w:jc w:val="left"/>
        <w:rPr>
          <w:rFonts w:hAnsi="宋体"/>
          <w:bCs/>
          <w:kern w:val="0"/>
          <w:szCs w:val="21"/>
        </w:rPr>
      </w:pPr>
      <w:r>
        <w:rPr>
          <w:rFonts w:hint="eastAsia"/>
          <w:kern w:val="0"/>
          <w:szCs w:val="21"/>
        </w:rPr>
        <w:t>2.</w:t>
      </w:r>
      <w:r>
        <w:rPr>
          <w:rFonts w:hAnsi="宋体"/>
          <w:kern w:val="0"/>
          <w:szCs w:val="21"/>
        </w:rPr>
        <w:t>实验技能方面：</w:t>
      </w:r>
      <w:r>
        <w:rPr>
          <w:rFonts w:hint="eastAsia"/>
          <w:kern w:val="0"/>
          <w:szCs w:val="21"/>
        </w:rPr>
        <w:t>要求学生能够</w:t>
      </w:r>
      <w:r>
        <w:rPr>
          <w:rFonts w:ascii="宋体" w:hAnsi="宋体" w:hint="eastAsia"/>
          <w:bCs/>
          <w:szCs w:val="21"/>
        </w:rPr>
        <w:t>基本绘图命令、基本编辑命令、文本与标注绘制和编辑命令的具体操作方法，能够利用CAD完成图样绘制</w:t>
      </w:r>
      <w:r>
        <w:rPr>
          <w:rFonts w:hint="eastAsia"/>
          <w:kern w:val="0"/>
          <w:szCs w:val="21"/>
        </w:rPr>
        <w:t>。</w:t>
      </w:r>
    </w:p>
    <w:p w14:paraId="03A63066"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199B6916"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7A1B3506" w14:textId="77777777" w:rsidR="00F5289E" w:rsidRDefault="00C91173">
      <w:pPr>
        <w:spacing w:line="360" w:lineRule="auto"/>
        <w:ind w:firstLineChars="200" w:firstLine="420"/>
        <w:rPr>
          <w:rFonts w:eastAsiaTheme="majorEastAsia"/>
          <w:bCs/>
          <w:szCs w:val="21"/>
        </w:rPr>
      </w:pPr>
      <w:r>
        <w:rPr>
          <w:rFonts w:eastAsiaTheme="majorEastAsia"/>
          <w:bCs/>
          <w:szCs w:val="21"/>
        </w:rPr>
        <w:t>基于</w:t>
      </w:r>
      <w:r>
        <w:rPr>
          <w:rFonts w:eastAsiaTheme="majorEastAsia"/>
          <w:bCs/>
          <w:szCs w:val="21"/>
        </w:rPr>
        <w:t>OBE</w:t>
      </w:r>
      <w:r>
        <w:rPr>
          <w:rFonts w:eastAsiaTheme="majorEastAsia"/>
          <w:bCs/>
          <w:szCs w:val="21"/>
        </w:rPr>
        <w:t>教学理念，把</w:t>
      </w:r>
      <w:r>
        <w:rPr>
          <w:rFonts w:eastAsiaTheme="majorEastAsia" w:hint="eastAsia"/>
          <w:bCs/>
          <w:szCs w:val="21"/>
        </w:rPr>
        <w:t>“</w:t>
      </w:r>
      <w:r>
        <w:rPr>
          <w:rFonts w:eastAsiaTheme="majorEastAsia"/>
          <w:bCs/>
          <w:szCs w:val="21"/>
        </w:rPr>
        <w:t>提升学生认知内驱力，自我提高内驱力和附属内驱力</w:t>
      </w:r>
      <w:r>
        <w:rPr>
          <w:rFonts w:eastAsiaTheme="majorEastAsia" w:hint="eastAsia"/>
          <w:bCs/>
          <w:szCs w:val="21"/>
        </w:rPr>
        <w:t>”</w:t>
      </w:r>
      <w:r>
        <w:rPr>
          <w:rFonts w:eastAsiaTheme="majorEastAsia"/>
          <w:bCs/>
          <w:szCs w:val="21"/>
        </w:rPr>
        <w:t>作为主线，将</w:t>
      </w:r>
      <w:r>
        <w:rPr>
          <w:rFonts w:eastAsiaTheme="majorEastAsia"/>
          <w:bCs/>
          <w:szCs w:val="21"/>
        </w:rPr>
        <w:t>“</w:t>
      </w:r>
      <w:r>
        <w:rPr>
          <w:rFonts w:eastAsiaTheme="majorEastAsia"/>
          <w:bCs/>
          <w:szCs w:val="21"/>
        </w:rPr>
        <w:t>以学生为中心，教师为主导</w:t>
      </w:r>
      <w:r>
        <w:rPr>
          <w:rFonts w:eastAsiaTheme="majorEastAsia"/>
          <w:bCs/>
          <w:szCs w:val="21"/>
        </w:rPr>
        <w:t>”</w:t>
      </w:r>
      <w:r>
        <w:rPr>
          <w:rFonts w:eastAsiaTheme="majorEastAsia"/>
          <w:bCs/>
          <w:szCs w:val="21"/>
        </w:rPr>
        <w:t>的教学手段贯穿于教学环节，从而激发学生的主观积极性，化被动学习为主动学习。改变传统老师</w:t>
      </w:r>
      <w:r>
        <w:rPr>
          <w:rFonts w:eastAsiaTheme="majorEastAsia"/>
          <w:bCs/>
          <w:szCs w:val="21"/>
        </w:rPr>
        <w:t>“</w:t>
      </w:r>
      <w:r>
        <w:rPr>
          <w:rFonts w:eastAsiaTheme="majorEastAsia"/>
          <w:bCs/>
          <w:szCs w:val="21"/>
        </w:rPr>
        <w:t>教</w:t>
      </w:r>
      <w:r>
        <w:rPr>
          <w:rFonts w:eastAsiaTheme="majorEastAsia"/>
          <w:bCs/>
          <w:szCs w:val="21"/>
        </w:rPr>
        <w:t>”</w:t>
      </w:r>
      <w:r>
        <w:rPr>
          <w:rFonts w:eastAsiaTheme="majorEastAsia"/>
          <w:bCs/>
          <w:szCs w:val="21"/>
        </w:rPr>
        <w:t>、学生</w:t>
      </w:r>
      <w:r>
        <w:rPr>
          <w:rFonts w:eastAsiaTheme="majorEastAsia"/>
          <w:bCs/>
          <w:szCs w:val="21"/>
        </w:rPr>
        <w:t>“</w:t>
      </w:r>
      <w:r>
        <w:rPr>
          <w:rFonts w:eastAsiaTheme="majorEastAsia"/>
          <w:bCs/>
          <w:szCs w:val="21"/>
        </w:rPr>
        <w:t>学</w:t>
      </w:r>
      <w:r>
        <w:rPr>
          <w:rFonts w:eastAsiaTheme="majorEastAsia"/>
          <w:bCs/>
          <w:szCs w:val="21"/>
        </w:rPr>
        <w:t>”</w:t>
      </w:r>
      <w:r>
        <w:rPr>
          <w:rFonts w:eastAsiaTheme="majorEastAsia"/>
          <w:bCs/>
          <w:szCs w:val="21"/>
        </w:rPr>
        <w:t>的状态，采用项目式教学</w:t>
      </w:r>
      <w:r>
        <w:rPr>
          <w:rFonts w:eastAsiaTheme="majorEastAsia" w:hint="eastAsia"/>
          <w:bCs/>
          <w:szCs w:val="21"/>
        </w:rPr>
        <w:t>和任务驱动，</w:t>
      </w:r>
      <w:r>
        <w:rPr>
          <w:rFonts w:eastAsiaTheme="majorEastAsia"/>
          <w:bCs/>
          <w:szCs w:val="21"/>
        </w:rPr>
        <w:t>激发学生渴望理解和掌握知识的需求，让学生对新课程产生</w:t>
      </w:r>
      <w:r>
        <w:rPr>
          <w:rFonts w:eastAsiaTheme="majorEastAsia" w:hint="eastAsia"/>
          <w:bCs/>
          <w:szCs w:val="21"/>
        </w:rPr>
        <w:t>“</w:t>
      </w:r>
      <w:r>
        <w:rPr>
          <w:rFonts w:eastAsiaTheme="majorEastAsia"/>
          <w:bCs/>
          <w:szCs w:val="21"/>
        </w:rPr>
        <w:t>有收获</w:t>
      </w:r>
      <w:r>
        <w:rPr>
          <w:rFonts w:eastAsiaTheme="majorEastAsia" w:hint="eastAsia"/>
          <w:bCs/>
          <w:szCs w:val="21"/>
        </w:rPr>
        <w:t>”</w:t>
      </w:r>
      <w:r>
        <w:rPr>
          <w:rFonts w:eastAsiaTheme="majorEastAsia"/>
          <w:bCs/>
          <w:szCs w:val="21"/>
        </w:rPr>
        <w:t>的预期，从而提升学生的认知内驱力。</w:t>
      </w:r>
    </w:p>
    <w:p w14:paraId="00CE24B0" w14:textId="77777777" w:rsidR="00F5289E" w:rsidRDefault="00C91173">
      <w:pPr>
        <w:spacing w:line="360" w:lineRule="auto"/>
        <w:ind w:firstLineChars="200" w:firstLine="420"/>
        <w:rPr>
          <w:rFonts w:eastAsiaTheme="majorEastAsia"/>
          <w:bCs/>
          <w:szCs w:val="21"/>
        </w:rPr>
      </w:pPr>
      <w:r>
        <w:rPr>
          <w:rFonts w:eastAsiaTheme="majorEastAsia"/>
          <w:bCs/>
          <w:szCs w:val="21"/>
        </w:rPr>
        <w:lastRenderedPageBreak/>
        <w:t>依据前述教学产出目标，通过调整教学顺序、精炼教学内容、补充新内容的方式进行内容重构，重构后变为层层递进的项目式教学。课前引入任务，运用任务驱动教学法让学生带着任务积极主动学习；课中结合启发式、探究式、讨论式、参与式等多种教学方法，让学生带着问题讲解互动，进行操作技能训练；课后学生分工协作完成技能巩固与应用创新，最后完成大项目。</w:t>
      </w:r>
    </w:p>
    <w:p w14:paraId="7F623100" w14:textId="77777777" w:rsidR="00F5289E" w:rsidRDefault="00C91173">
      <w:pPr>
        <w:spacing w:line="360" w:lineRule="auto"/>
        <w:ind w:firstLineChars="200" w:firstLine="420"/>
        <w:rPr>
          <w:rFonts w:eastAsiaTheme="majorEastAsia"/>
          <w:bCs/>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评价和终结性评价各占</w:t>
      </w:r>
      <w:r>
        <w:rPr>
          <w:rFonts w:eastAsiaTheme="majorEastAsia"/>
          <w:szCs w:val="21"/>
        </w:rPr>
        <w:t>50%</w:t>
      </w:r>
      <w:r>
        <w:rPr>
          <w:rFonts w:eastAsiaTheme="majorEastAsia"/>
          <w:szCs w:val="21"/>
        </w:rPr>
        <w:t>。过程</w:t>
      </w:r>
      <w:r>
        <w:rPr>
          <w:rFonts w:eastAsiaTheme="majorEastAsia" w:hint="eastAsia"/>
          <w:szCs w:val="21"/>
        </w:rPr>
        <w:t>性</w:t>
      </w:r>
      <w:r>
        <w:rPr>
          <w:rFonts w:eastAsiaTheme="majorEastAsia"/>
          <w:szCs w:val="21"/>
        </w:rPr>
        <w:t>评价计分点主要包括对课前学习、考勤、</w:t>
      </w:r>
      <w:r>
        <w:rPr>
          <w:rFonts w:eastAsiaTheme="majorEastAsia" w:hint="eastAsia"/>
          <w:szCs w:val="21"/>
        </w:rPr>
        <w:t>实验报告</w:t>
      </w:r>
      <w:r>
        <w:rPr>
          <w:rFonts w:eastAsiaTheme="majorEastAsia"/>
          <w:szCs w:val="21"/>
        </w:rPr>
        <w:t>的考评</w:t>
      </w:r>
      <w:r>
        <w:rPr>
          <w:rFonts w:eastAsiaTheme="majorEastAsia" w:hint="eastAsia"/>
          <w:szCs w:val="21"/>
        </w:rPr>
        <w:t>，分别</w:t>
      </w:r>
      <w:r>
        <w:rPr>
          <w:rFonts w:eastAsiaTheme="majorEastAsia"/>
          <w:szCs w:val="21"/>
        </w:rPr>
        <w:t>占</w:t>
      </w:r>
      <w:r>
        <w:rPr>
          <w:rFonts w:eastAsiaTheme="majorEastAsia" w:hint="eastAsia"/>
          <w:szCs w:val="21"/>
        </w:rPr>
        <w:t>平时成绩的</w:t>
      </w:r>
      <w:r>
        <w:rPr>
          <w:rFonts w:eastAsiaTheme="majorEastAsia" w:hint="eastAsia"/>
          <w:szCs w:val="21"/>
        </w:rPr>
        <w:t>20</w:t>
      </w:r>
      <w:r>
        <w:rPr>
          <w:rFonts w:eastAsiaTheme="majorEastAsia"/>
          <w:szCs w:val="21"/>
        </w:rPr>
        <w:t>%</w:t>
      </w:r>
      <w:r>
        <w:rPr>
          <w:rFonts w:eastAsiaTheme="majorEastAsia" w:hint="eastAsia"/>
          <w:szCs w:val="21"/>
        </w:rPr>
        <w:t>、</w:t>
      </w:r>
      <w:r>
        <w:rPr>
          <w:rFonts w:eastAsiaTheme="majorEastAsia" w:hint="eastAsia"/>
          <w:szCs w:val="21"/>
        </w:rPr>
        <w:t>20</w:t>
      </w:r>
      <w:r>
        <w:rPr>
          <w:rFonts w:eastAsiaTheme="majorEastAsia"/>
          <w:szCs w:val="21"/>
        </w:rPr>
        <w:t>%</w:t>
      </w:r>
      <w:r>
        <w:rPr>
          <w:rFonts w:eastAsiaTheme="majorEastAsia" w:hint="eastAsia"/>
          <w:szCs w:val="21"/>
        </w:rPr>
        <w:t>和</w:t>
      </w:r>
      <w:r>
        <w:rPr>
          <w:rFonts w:eastAsiaTheme="majorEastAsia" w:hint="eastAsia"/>
          <w:szCs w:val="21"/>
        </w:rPr>
        <w:t>60</w:t>
      </w:r>
      <w:r>
        <w:rPr>
          <w:rFonts w:eastAsiaTheme="majorEastAsia"/>
          <w:szCs w:val="21"/>
        </w:rPr>
        <w:t>%</w:t>
      </w:r>
      <w:r>
        <w:rPr>
          <w:rFonts w:eastAsiaTheme="majorEastAsia" w:hint="eastAsia"/>
          <w:szCs w:val="21"/>
        </w:rPr>
        <w:t>。</w:t>
      </w:r>
      <w:r>
        <w:rPr>
          <w:rFonts w:eastAsiaTheme="majorEastAsia"/>
          <w:szCs w:val="21"/>
        </w:rPr>
        <w:t>终结性评价</w:t>
      </w:r>
      <w:r>
        <w:rPr>
          <w:rFonts w:eastAsiaTheme="majorEastAsia" w:hint="eastAsia"/>
          <w:szCs w:val="21"/>
        </w:rPr>
        <w:t>为上机实践操作，学生在</w:t>
      </w:r>
      <w:r>
        <w:rPr>
          <w:rFonts w:eastAsiaTheme="majorEastAsia" w:hint="eastAsia"/>
          <w:szCs w:val="21"/>
        </w:rPr>
        <w:t>2</w:t>
      </w:r>
      <w:r>
        <w:rPr>
          <w:rFonts w:eastAsiaTheme="majorEastAsia" w:hint="eastAsia"/>
          <w:szCs w:val="21"/>
        </w:rPr>
        <w:t>个小时内完成教师所给样图的绘制，并打印成为</w:t>
      </w:r>
      <w:r>
        <w:rPr>
          <w:rFonts w:eastAsiaTheme="majorEastAsia" w:hint="eastAsia"/>
          <w:szCs w:val="21"/>
        </w:rPr>
        <w:t>PDF</w:t>
      </w:r>
      <w:r>
        <w:rPr>
          <w:rFonts w:eastAsiaTheme="majorEastAsia" w:hint="eastAsia"/>
          <w:szCs w:val="21"/>
        </w:rPr>
        <w:t>格式提交，终结性评价占总成绩的</w:t>
      </w:r>
      <w:r>
        <w:rPr>
          <w:rFonts w:eastAsiaTheme="majorEastAsia" w:hint="eastAsia"/>
          <w:szCs w:val="21"/>
        </w:rPr>
        <w:t>50%</w:t>
      </w:r>
      <w:r>
        <w:rPr>
          <w:rFonts w:eastAsiaTheme="majorEastAsia" w:hint="eastAsia"/>
          <w:szCs w:val="21"/>
        </w:rPr>
        <w:t>。</w:t>
      </w:r>
    </w:p>
    <w:p w14:paraId="74FECEA0" w14:textId="77777777" w:rsidR="00F5289E" w:rsidRDefault="00C91173">
      <w:pPr>
        <w:spacing w:line="360" w:lineRule="auto"/>
        <w:ind w:firstLineChars="200" w:firstLine="420"/>
        <w:rPr>
          <w:rFonts w:hAnsi="宋体"/>
          <w:bCs/>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318B4727"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E49BEA4"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E2396C9"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65C6493"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5C4FC98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7355E49"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656EFC6C" w14:textId="77777777" w:rsidR="00F5289E" w:rsidRDefault="00C91173">
            <w:pPr>
              <w:spacing w:line="320" w:lineRule="exact"/>
              <w:rPr>
                <w:rFonts w:eastAsiaTheme="minorEastAsia"/>
                <w:sz w:val="18"/>
                <w:szCs w:val="18"/>
              </w:rPr>
            </w:pPr>
            <w:r>
              <w:rPr>
                <w:rFonts w:eastAsiaTheme="minorEastAsia" w:hint="eastAsia"/>
                <w:sz w:val="18"/>
                <w:szCs w:val="18"/>
              </w:rPr>
              <w:t>学生了解和掌握计算机辅助制图的基本方法，掌握</w:t>
            </w:r>
            <w:r>
              <w:rPr>
                <w:rFonts w:eastAsiaTheme="minorEastAsia" w:hint="eastAsia"/>
                <w:sz w:val="18"/>
                <w:szCs w:val="18"/>
              </w:rPr>
              <w:t>CAD</w:t>
            </w:r>
            <w:r>
              <w:rPr>
                <w:rFonts w:eastAsiaTheme="minorEastAsia" w:hint="eastAsia"/>
                <w:sz w:val="18"/>
                <w:szCs w:val="18"/>
              </w:rPr>
              <w:t>制图所需命令的操作方法。</w:t>
            </w:r>
          </w:p>
        </w:tc>
        <w:tc>
          <w:tcPr>
            <w:tcW w:w="1052" w:type="dxa"/>
            <w:tcBorders>
              <w:top w:val="single" w:sz="4" w:space="0" w:color="auto"/>
              <w:left w:val="single" w:sz="4" w:space="0" w:color="auto"/>
              <w:bottom w:val="single" w:sz="4" w:space="0" w:color="auto"/>
              <w:right w:val="single" w:sz="4" w:space="0" w:color="auto"/>
            </w:tcBorders>
            <w:vAlign w:val="center"/>
          </w:tcPr>
          <w:p w14:paraId="6DD69645" w14:textId="6E3A6980" w:rsidR="00F5289E" w:rsidRDefault="00343C46">
            <w:pPr>
              <w:spacing w:line="320" w:lineRule="exact"/>
              <w:jc w:val="center"/>
              <w:rPr>
                <w:rFonts w:eastAsiaTheme="minorEastAsia"/>
                <w:sz w:val="18"/>
                <w:szCs w:val="18"/>
              </w:rPr>
            </w:pPr>
            <w:r>
              <w:rPr>
                <w:rFonts w:eastAsiaTheme="minorEastAsia" w:hint="eastAsia"/>
                <w:sz w:val="18"/>
                <w:szCs w:val="18"/>
              </w:rPr>
              <w:t>4</w:t>
            </w:r>
          </w:p>
        </w:tc>
      </w:tr>
      <w:tr w:rsidR="00F5289E" w14:paraId="556A7A3E"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BF23E30"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1748BFF6" w14:textId="77777777" w:rsidR="00F5289E" w:rsidRDefault="00C91173">
            <w:pPr>
              <w:spacing w:line="320" w:lineRule="exact"/>
              <w:rPr>
                <w:rFonts w:eastAsiaTheme="minorEastAsia"/>
                <w:sz w:val="18"/>
                <w:szCs w:val="18"/>
              </w:rPr>
            </w:pPr>
            <w:r>
              <w:rPr>
                <w:rFonts w:eastAsiaTheme="minorEastAsia" w:hint="eastAsia"/>
                <w:sz w:val="18"/>
                <w:szCs w:val="18"/>
              </w:rPr>
              <w:t>掌握</w:t>
            </w:r>
            <w:r>
              <w:rPr>
                <w:rFonts w:eastAsiaTheme="minorEastAsia" w:hint="eastAsia"/>
                <w:sz w:val="18"/>
                <w:szCs w:val="18"/>
              </w:rPr>
              <w:t>CAD</w:t>
            </w:r>
            <w:r>
              <w:rPr>
                <w:rFonts w:eastAsiaTheme="minorEastAsia" w:hint="eastAsia"/>
                <w:sz w:val="18"/>
                <w:szCs w:val="18"/>
              </w:rPr>
              <w:t>软件的使用方法，能够运用计算机辅助进行农业设施工程制图，具备运用计算机绘制施工图的能力。</w:t>
            </w:r>
          </w:p>
        </w:tc>
        <w:tc>
          <w:tcPr>
            <w:tcW w:w="1052" w:type="dxa"/>
            <w:tcBorders>
              <w:top w:val="single" w:sz="4" w:space="0" w:color="auto"/>
              <w:left w:val="single" w:sz="4" w:space="0" w:color="auto"/>
              <w:bottom w:val="single" w:sz="4" w:space="0" w:color="auto"/>
              <w:right w:val="single" w:sz="4" w:space="0" w:color="auto"/>
            </w:tcBorders>
            <w:vAlign w:val="center"/>
          </w:tcPr>
          <w:p w14:paraId="5CF8F20B" w14:textId="3DEE7F12" w:rsidR="00F5289E" w:rsidRDefault="00343C46">
            <w:pPr>
              <w:spacing w:line="320" w:lineRule="exact"/>
              <w:jc w:val="center"/>
              <w:rPr>
                <w:rFonts w:eastAsiaTheme="minorEastAsia"/>
                <w:sz w:val="18"/>
                <w:szCs w:val="18"/>
              </w:rPr>
            </w:pPr>
            <w:r>
              <w:rPr>
                <w:rFonts w:eastAsiaTheme="minorEastAsia" w:hint="eastAsia"/>
                <w:sz w:val="18"/>
                <w:szCs w:val="18"/>
              </w:rPr>
              <w:t>5</w:t>
            </w:r>
          </w:p>
        </w:tc>
      </w:tr>
      <w:tr w:rsidR="00F5289E" w14:paraId="4B8B348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0E08C17"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716B39F3" w14:textId="77777777" w:rsidR="00F5289E" w:rsidRDefault="00C91173">
            <w:pPr>
              <w:spacing w:line="320" w:lineRule="exact"/>
              <w:rPr>
                <w:rFonts w:eastAsiaTheme="minorEastAsia"/>
                <w:sz w:val="18"/>
                <w:szCs w:val="18"/>
              </w:rPr>
            </w:pPr>
            <w:r>
              <w:rPr>
                <w:rFonts w:eastAsiaTheme="minorEastAsia" w:hint="eastAsia"/>
                <w:sz w:val="18"/>
                <w:szCs w:val="18"/>
              </w:rPr>
              <w:t>培养学生基本的工程素养，严谨细致、信尽责的制图与设计工作态度和作风；增强学生的工程意识、标准化意识和贯彻执行国家标准的意识；使学生了解工程师应遵守的职业及伦理规范。</w:t>
            </w:r>
          </w:p>
        </w:tc>
        <w:tc>
          <w:tcPr>
            <w:tcW w:w="1052" w:type="dxa"/>
            <w:tcBorders>
              <w:top w:val="single" w:sz="4" w:space="0" w:color="auto"/>
              <w:left w:val="single" w:sz="4" w:space="0" w:color="auto"/>
              <w:bottom w:val="single" w:sz="4" w:space="0" w:color="auto"/>
              <w:right w:val="single" w:sz="4" w:space="0" w:color="auto"/>
            </w:tcBorders>
            <w:vAlign w:val="center"/>
          </w:tcPr>
          <w:p w14:paraId="137E62E0" w14:textId="72A3E46E" w:rsidR="00343C46" w:rsidRDefault="00343C46">
            <w:pPr>
              <w:spacing w:line="320" w:lineRule="exact"/>
              <w:jc w:val="center"/>
              <w:rPr>
                <w:rFonts w:eastAsiaTheme="minorEastAsia"/>
                <w:sz w:val="18"/>
                <w:szCs w:val="18"/>
              </w:rPr>
            </w:pPr>
            <w:r>
              <w:rPr>
                <w:rFonts w:eastAsiaTheme="minorEastAsia" w:hint="eastAsia"/>
                <w:sz w:val="18"/>
                <w:szCs w:val="18"/>
              </w:rPr>
              <w:t>6</w:t>
            </w:r>
          </w:p>
          <w:p w14:paraId="0E220E4C" w14:textId="048C3FF6" w:rsidR="00F5289E" w:rsidRDefault="00343C46">
            <w:pPr>
              <w:spacing w:line="320" w:lineRule="exact"/>
              <w:jc w:val="center"/>
              <w:rPr>
                <w:rFonts w:eastAsiaTheme="minorEastAsia"/>
                <w:sz w:val="18"/>
                <w:szCs w:val="18"/>
              </w:rPr>
            </w:pPr>
            <w:r>
              <w:rPr>
                <w:rFonts w:eastAsiaTheme="minorEastAsia"/>
                <w:sz w:val="18"/>
                <w:szCs w:val="18"/>
              </w:rPr>
              <w:t>8</w:t>
            </w:r>
          </w:p>
        </w:tc>
      </w:tr>
      <w:tr w:rsidR="00F5289E" w14:paraId="1A0B413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66A09DD"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1D092453" w14:textId="77777777" w:rsidR="00F5289E" w:rsidRDefault="00C91173">
            <w:pPr>
              <w:spacing w:line="320" w:lineRule="exact"/>
              <w:rPr>
                <w:rFonts w:eastAsiaTheme="minorEastAsia"/>
                <w:sz w:val="18"/>
                <w:szCs w:val="18"/>
              </w:rPr>
            </w:pPr>
            <w:r>
              <w:rPr>
                <w:rFonts w:eastAsiaTheme="minorEastAsia" w:hint="eastAsia"/>
                <w:sz w:val="18"/>
                <w:szCs w:val="18"/>
              </w:rPr>
              <w:t>注重培养学生自学能力，同时培养学生一丝不苟的工匠精神及对土木工程专业的责任感和使命感。</w:t>
            </w:r>
          </w:p>
        </w:tc>
        <w:tc>
          <w:tcPr>
            <w:tcW w:w="1052" w:type="dxa"/>
            <w:tcBorders>
              <w:top w:val="single" w:sz="4" w:space="0" w:color="auto"/>
              <w:left w:val="single" w:sz="4" w:space="0" w:color="auto"/>
              <w:bottom w:val="single" w:sz="4" w:space="0" w:color="auto"/>
              <w:right w:val="single" w:sz="4" w:space="0" w:color="auto"/>
            </w:tcBorders>
            <w:vAlign w:val="center"/>
          </w:tcPr>
          <w:p w14:paraId="02C3511C" w14:textId="34E28CC5" w:rsidR="00F5289E" w:rsidRDefault="00343C46">
            <w:pPr>
              <w:spacing w:line="320" w:lineRule="exact"/>
              <w:jc w:val="center"/>
              <w:rPr>
                <w:rFonts w:eastAsiaTheme="minorEastAsia"/>
                <w:sz w:val="18"/>
                <w:szCs w:val="18"/>
              </w:rPr>
            </w:pPr>
            <w:r>
              <w:rPr>
                <w:rFonts w:eastAsiaTheme="minorEastAsia" w:hint="eastAsia"/>
                <w:sz w:val="18"/>
                <w:szCs w:val="18"/>
              </w:rPr>
              <w:t>1</w:t>
            </w:r>
            <w:r>
              <w:rPr>
                <w:rFonts w:eastAsiaTheme="minorEastAsia"/>
                <w:sz w:val="18"/>
                <w:szCs w:val="18"/>
              </w:rPr>
              <w:t>0</w:t>
            </w:r>
          </w:p>
        </w:tc>
      </w:tr>
    </w:tbl>
    <w:p w14:paraId="3CD0BA1D" w14:textId="77777777" w:rsidR="00F5289E" w:rsidRDefault="00F5289E">
      <w:pPr>
        <w:spacing w:line="360" w:lineRule="auto"/>
        <w:ind w:firstLineChars="200" w:firstLine="420"/>
        <w:rPr>
          <w:rFonts w:hAnsi="宋体"/>
          <w:bCs/>
          <w:kern w:val="0"/>
          <w:szCs w:val="21"/>
        </w:rPr>
      </w:pPr>
    </w:p>
    <w:p w14:paraId="2E80B5B1"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16</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F525CC1" w14:textId="77777777">
        <w:trPr>
          <w:trHeight w:val="270"/>
        </w:trPr>
        <w:tc>
          <w:tcPr>
            <w:tcW w:w="2965" w:type="dxa"/>
            <w:tcBorders>
              <w:top w:val="nil"/>
              <w:left w:val="nil"/>
              <w:bottom w:val="nil"/>
              <w:right w:val="nil"/>
            </w:tcBorders>
            <w:vAlign w:val="center"/>
          </w:tcPr>
          <w:p w14:paraId="1AC701E6"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5FA089AD" w14:textId="77777777" w:rsidR="00F5289E" w:rsidRDefault="00C91173">
            <w:pPr>
              <w:widowControl/>
              <w:snapToGrid w:val="0"/>
              <w:spacing w:line="360" w:lineRule="auto"/>
              <w:jc w:val="center"/>
              <w:rPr>
                <w:rFonts w:hAnsi="宋体"/>
                <w:b/>
                <w:bCs/>
                <w:kern w:val="0"/>
                <w:szCs w:val="21"/>
              </w:rPr>
            </w:pPr>
            <w:r>
              <w:rPr>
                <w:rFonts w:ascii="宋体" w:hAnsi="宋体" w:hint="eastAsia"/>
                <w:b/>
                <w:bCs/>
              </w:rPr>
              <w:t>初识Auto CAD</w:t>
            </w:r>
          </w:p>
        </w:tc>
        <w:tc>
          <w:tcPr>
            <w:tcW w:w="2966" w:type="dxa"/>
            <w:tcBorders>
              <w:top w:val="nil"/>
              <w:left w:val="nil"/>
              <w:bottom w:val="nil"/>
              <w:right w:val="nil"/>
            </w:tcBorders>
            <w:vAlign w:val="center"/>
          </w:tcPr>
          <w:p w14:paraId="2CCEA9BC"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5BD0837"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cs="宋体" w:hint="eastAsia"/>
          <w:kern w:val="0"/>
          <w:szCs w:val="21"/>
        </w:rPr>
        <w:t>了解Auto CAD软件的发展历程，了解Auto CAD软件制图的基本流程，了解Auto CAD软件的操作特点。了解工作区和绘图页面、文件菜单、坐标系、窗口显示的调整，掌握点的精确定位，捕捉工具，追踪工具的应用。</w:t>
      </w:r>
    </w:p>
    <w:p w14:paraId="1FF11759" w14:textId="77777777" w:rsidR="00F5289E" w:rsidRDefault="00C91173">
      <w:pPr>
        <w:widowControl/>
        <w:snapToGrid w:val="0"/>
        <w:spacing w:line="360" w:lineRule="auto"/>
        <w:rPr>
          <w:rFonts w:ascii="宋体" w:hAnsi="宋体" w:cs="宋体"/>
          <w:kern w:val="0"/>
          <w:szCs w:val="21"/>
        </w:rPr>
      </w:pPr>
      <w:r>
        <w:rPr>
          <w:rFonts w:ascii="宋体" w:hAnsi="宋体" w:hint="eastAsia"/>
          <w:b/>
          <w:bCs/>
        </w:rPr>
        <w:t>教学重点和难点：</w:t>
      </w:r>
      <w:r>
        <w:rPr>
          <w:rFonts w:ascii="宋体" w:hAnsi="宋体" w:cs="宋体" w:hint="eastAsia"/>
          <w:kern w:val="0"/>
          <w:szCs w:val="21"/>
        </w:rPr>
        <w:t>掌握点的精确定位，捕捉工具，追踪工具的应用。</w:t>
      </w:r>
    </w:p>
    <w:p w14:paraId="7F198459"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10F7546E" w14:textId="77777777" w:rsidR="00F5289E" w:rsidRDefault="00C91173">
      <w:pPr>
        <w:widowControl/>
        <w:snapToGrid w:val="0"/>
        <w:spacing w:line="360" w:lineRule="auto"/>
        <w:rPr>
          <w:rFonts w:ascii="宋体" w:hAnsi="宋体"/>
          <w:bCs/>
        </w:rPr>
      </w:pPr>
      <w:r>
        <w:rPr>
          <w:rFonts w:ascii="宋体" w:hAnsi="宋体" w:hint="eastAsia"/>
          <w:bCs/>
        </w:rPr>
        <w:t xml:space="preserve">第一节 </w:t>
      </w:r>
      <w:r>
        <w:rPr>
          <w:rFonts w:ascii="宋体" w:hAnsi="宋体" w:cs="宋体" w:hint="eastAsia"/>
          <w:bCs/>
          <w:kern w:val="0"/>
          <w:szCs w:val="21"/>
        </w:rPr>
        <w:t>Auto CAD软件简介</w:t>
      </w:r>
    </w:p>
    <w:p w14:paraId="7B6EAA71" w14:textId="77777777" w:rsidR="00F5289E" w:rsidRDefault="00C91173">
      <w:pPr>
        <w:widowControl/>
        <w:snapToGrid w:val="0"/>
        <w:spacing w:line="360" w:lineRule="auto"/>
        <w:ind w:firstLineChars="200" w:firstLine="420"/>
        <w:rPr>
          <w:rFonts w:ascii="宋体" w:hAnsi="宋体" w:cs="宋体"/>
          <w:kern w:val="0"/>
          <w:szCs w:val="21"/>
        </w:rPr>
      </w:pPr>
      <w:r>
        <w:rPr>
          <w:rFonts w:ascii="宋体" w:hAnsi="宋体" w:cs="宋体" w:hint="eastAsia"/>
          <w:kern w:val="0"/>
          <w:szCs w:val="21"/>
        </w:rPr>
        <w:t>一、Auto CAD软件的发展历程、操作基本流程、操作特点</w:t>
      </w:r>
    </w:p>
    <w:p w14:paraId="5F8DB0E0" w14:textId="77777777" w:rsidR="00F5289E" w:rsidRDefault="00C91173">
      <w:pPr>
        <w:widowControl/>
        <w:snapToGrid w:val="0"/>
        <w:spacing w:line="360" w:lineRule="auto"/>
        <w:ind w:firstLineChars="200" w:firstLine="420"/>
        <w:rPr>
          <w:rFonts w:ascii="宋体" w:hAnsi="宋体" w:cs="宋体"/>
          <w:kern w:val="0"/>
          <w:szCs w:val="21"/>
        </w:rPr>
      </w:pPr>
      <w:r>
        <w:rPr>
          <w:rFonts w:ascii="宋体" w:hAnsi="宋体" w:cs="宋体" w:hint="eastAsia"/>
          <w:kern w:val="0"/>
          <w:szCs w:val="21"/>
        </w:rPr>
        <w:t>二、Auto CAD软件工作区和绘图页面、文件菜单、坐标系</w:t>
      </w:r>
    </w:p>
    <w:p w14:paraId="59C77D15" w14:textId="77777777" w:rsidR="00F5289E" w:rsidRDefault="00C91173">
      <w:pPr>
        <w:widowControl/>
        <w:snapToGrid w:val="0"/>
        <w:spacing w:line="360" w:lineRule="auto"/>
        <w:ind w:firstLineChars="200" w:firstLine="420"/>
        <w:rPr>
          <w:rFonts w:ascii="宋体" w:hAnsi="宋体" w:cs="宋体"/>
          <w:kern w:val="0"/>
          <w:szCs w:val="21"/>
        </w:rPr>
      </w:pPr>
      <w:r>
        <w:rPr>
          <w:rFonts w:ascii="宋体" w:hAnsi="宋体" w:cs="宋体" w:hint="eastAsia"/>
          <w:kern w:val="0"/>
          <w:szCs w:val="21"/>
        </w:rPr>
        <w:t>三、Auto CAD软件窗口显示的调整方法，</w:t>
      </w:r>
    </w:p>
    <w:p w14:paraId="55166432" w14:textId="77777777" w:rsidR="00F5289E" w:rsidRDefault="00C91173">
      <w:pPr>
        <w:widowControl/>
        <w:snapToGrid w:val="0"/>
        <w:spacing w:line="360" w:lineRule="auto"/>
        <w:rPr>
          <w:rFonts w:ascii="宋体" w:hAnsi="宋体" w:cs="宋体"/>
          <w:bCs/>
          <w:kern w:val="0"/>
          <w:szCs w:val="21"/>
        </w:rPr>
      </w:pPr>
      <w:r>
        <w:rPr>
          <w:rFonts w:ascii="宋体" w:hAnsi="宋体" w:cs="宋体" w:hint="eastAsia"/>
          <w:bCs/>
          <w:kern w:val="0"/>
          <w:szCs w:val="21"/>
        </w:rPr>
        <w:t>第二节Auto CAD软件的定位方法和功能</w:t>
      </w:r>
    </w:p>
    <w:p w14:paraId="570EBCA3" w14:textId="77777777" w:rsidR="00F5289E" w:rsidRDefault="00C91173">
      <w:pPr>
        <w:widowControl/>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一、点的精确定位方法</w:t>
      </w:r>
    </w:p>
    <w:p w14:paraId="6B679753" w14:textId="77777777" w:rsidR="00F5289E" w:rsidRDefault="00C91173">
      <w:pPr>
        <w:widowControl/>
        <w:snapToGrid w:val="0"/>
        <w:spacing w:line="360" w:lineRule="auto"/>
        <w:ind w:firstLineChars="200" w:firstLine="420"/>
        <w:rPr>
          <w:rFonts w:hAnsi="宋体"/>
          <w:b/>
          <w:bCs/>
          <w:kern w:val="0"/>
          <w:szCs w:val="21"/>
        </w:rPr>
      </w:pPr>
      <w:r>
        <w:rPr>
          <w:rFonts w:ascii="宋体" w:hAnsi="宋体" w:cs="宋体" w:hint="eastAsia"/>
          <w:kern w:val="0"/>
          <w:szCs w:val="21"/>
        </w:rPr>
        <w:t>二、捕捉工具，追踪工具的功能。</w:t>
      </w:r>
    </w:p>
    <w:p w14:paraId="00252A64" w14:textId="77777777" w:rsidR="00F5289E" w:rsidRDefault="00C91173">
      <w:pPr>
        <w:widowControl/>
        <w:snapToGrid w:val="0"/>
        <w:spacing w:line="360" w:lineRule="auto"/>
        <w:rPr>
          <w:rFonts w:hAnsi="宋体"/>
          <w:b/>
          <w:bCs/>
          <w:kern w:val="0"/>
          <w:szCs w:val="21"/>
        </w:rPr>
      </w:pPr>
      <w:r>
        <w:rPr>
          <w:rFonts w:ascii="宋体" w:hAnsi="宋体" w:hint="eastAsia"/>
          <w:b/>
          <w:bCs/>
        </w:rPr>
        <w:t>教学组织与实施：</w:t>
      </w:r>
      <w:r>
        <w:rPr>
          <w:rFonts w:ascii="宋体" w:hAnsi="宋体" w:hint="eastAsia"/>
        </w:rPr>
        <w:t>首先</w:t>
      </w:r>
      <w:r>
        <w:rPr>
          <w:rFonts w:eastAsiaTheme="majorEastAsia"/>
          <w:bCs/>
          <w:szCs w:val="21"/>
        </w:rPr>
        <w:t>引入</w:t>
      </w:r>
      <w:r>
        <w:rPr>
          <w:rFonts w:eastAsiaTheme="majorEastAsia" w:hint="eastAsia"/>
          <w:bCs/>
          <w:szCs w:val="21"/>
        </w:rPr>
        <w:t>样图绘制</w:t>
      </w:r>
      <w:r>
        <w:rPr>
          <w:rFonts w:eastAsiaTheme="majorEastAsia"/>
          <w:bCs/>
          <w:szCs w:val="21"/>
        </w:rPr>
        <w:t>任务，</w:t>
      </w:r>
      <w:r>
        <w:rPr>
          <w:rFonts w:eastAsiaTheme="majorEastAsia" w:hint="eastAsia"/>
          <w:bCs/>
          <w:szCs w:val="21"/>
        </w:rPr>
        <w:t>然后引导学生分析图形特点和信息，之后教师介绍</w:t>
      </w:r>
      <w:r>
        <w:rPr>
          <w:rFonts w:ascii="宋体" w:hAnsi="宋体" w:cs="宋体" w:hint="eastAsia"/>
          <w:kern w:val="0"/>
          <w:szCs w:val="21"/>
        </w:rPr>
        <w:t>绘图页面、文件菜单、坐标系、窗口显示的调整，掌握点的精确定位，捕捉工具，追踪工具的应用，学生进行实践</w:t>
      </w:r>
      <w:r>
        <w:rPr>
          <w:rFonts w:eastAsiaTheme="majorEastAsia"/>
          <w:bCs/>
          <w:szCs w:val="21"/>
        </w:rPr>
        <w:t>操作</w:t>
      </w:r>
      <w:r>
        <w:rPr>
          <w:rFonts w:eastAsiaTheme="majorEastAsia" w:hint="eastAsia"/>
          <w:bCs/>
          <w:szCs w:val="21"/>
        </w:rPr>
        <w:t>，</w:t>
      </w:r>
      <w:r>
        <w:rPr>
          <w:rFonts w:eastAsiaTheme="majorEastAsia"/>
          <w:bCs/>
          <w:szCs w:val="21"/>
        </w:rPr>
        <w:t>课后学生</w:t>
      </w:r>
      <w:r>
        <w:rPr>
          <w:rFonts w:eastAsiaTheme="majorEastAsia" w:hint="eastAsia"/>
          <w:bCs/>
          <w:szCs w:val="21"/>
        </w:rPr>
        <w:t>完成样图绘制</w:t>
      </w:r>
      <w:r>
        <w:rPr>
          <w:rFonts w:eastAsiaTheme="majorEastAsia"/>
          <w:bCs/>
          <w:szCs w:val="21"/>
        </w:rPr>
        <w:t>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1FA7E15" w14:textId="77777777">
        <w:trPr>
          <w:trHeight w:val="270"/>
        </w:trPr>
        <w:tc>
          <w:tcPr>
            <w:tcW w:w="2965" w:type="dxa"/>
            <w:tcBorders>
              <w:top w:val="nil"/>
              <w:left w:val="nil"/>
              <w:bottom w:val="nil"/>
              <w:right w:val="nil"/>
            </w:tcBorders>
            <w:vAlign w:val="center"/>
          </w:tcPr>
          <w:p w14:paraId="2CD7ECB6"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2A0C64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rFonts w:hint="eastAsia"/>
                <w:b/>
                <w:bCs/>
                <w:kern w:val="0"/>
                <w:szCs w:val="21"/>
              </w:rPr>
              <w:t>基本绘图命令</w:t>
            </w:r>
          </w:p>
        </w:tc>
        <w:tc>
          <w:tcPr>
            <w:tcW w:w="2966" w:type="dxa"/>
            <w:tcBorders>
              <w:top w:val="nil"/>
              <w:left w:val="nil"/>
              <w:bottom w:val="nil"/>
              <w:right w:val="nil"/>
            </w:tcBorders>
            <w:vAlign w:val="center"/>
          </w:tcPr>
          <w:p w14:paraId="1CE46B7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1C3AFAB" w14:textId="77777777" w:rsidR="00F5289E" w:rsidRDefault="00C91173">
      <w:pPr>
        <w:widowControl/>
        <w:snapToGrid w:val="0"/>
        <w:spacing w:line="360" w:lineRule="auto"/>
        <w:rPr>
          <w:rFonts w:ascii="宋体" w:hAnsi="宋体"/>
        </w:rPr>
      </w:pPr>
      <w:r>
        <w:rPr>
          <w:rFonts w:ascii="宋体" w:hAnsi="宋体" w:hint="eastAsia"/>
          <w:b/>
          <w:bCs/>
        </w:rPr>
        <w:t>教学目标：</w:t>
      </w:r>
      <w:r>
        <w:rPr>
          <w:rFonts w:ascii="宋体" w:hAnsi="宋体" w:hint="eastAsia"/>
        </w:rPr>
        <w:t>了解点、矩形、多段线、多线、圆弧、圆、椭圆、椭圆弧、正多边形工具，掌握点、矩形、多段线、圆弧、圆命令的操作方法。</w:t>
      </w:r>
    </w:p>
    <w:p w14:paraId="4B36E3E7"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点、矩形、多段线、圆弧、圆、正多边形工具的操作方法</w:t>
      </w:r>
    </w:p>
    <w:p w14:paraId="13D1E8E9"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76E0F63A" w14:textId="77777777" w:rsidR="00F5289E" w:rsidRDefault="00C91173">
      <w:pPr>
        <w:widowControl/>
        <w:snapToGrid w:val="0"/>
        <w:spacing w:line="360" w:lineRule="auto"/>
        <w:ind w:firstLineChars="200" w:firstLine="420"/>
        <w:rPr>
          <w:rFonts w:ascii="宋体" w:hAnsi="宋体"/>
        </w:rPr>
      </w:pPr>
      <w:r>
        <w:rPr>
          <w:rFonts w:ascii="宋体" w:hAnsi="宋体" w:hint="eastAsia"/>
        </w:rPr>
        <w:t>一、点、矩形工具的工具</w:t>
      </w:r>
    </w:p>
    <w:p w14:paraId="2F530921" w14:textId="77777777" w:rsidR="00F5289E" w:rsidRDefault="00C91173">
      <w:pPr>
        <w:widowControl/>
        <w:snapToGrid w:val="0"/>
        <w:spacing w:line="360" w:lineRule="auto"/>
        <w:ind w:firstLineChars="200" w:firstLine="420"/>
        <w:rPr>
          <w:rFonts w:ascii="宋体" w:hAnsi="宋体"/>
        </w:rPr>
      </w:pPr>
      <w:r>
        <w:rPr>
          <w:rFonts w:ascii="宋体" w:hAnsi="宋体" w:hint="eastAsia"/>
        </w:rPr>
        <w:t>二、多段线工具的工具使用</w:t>
      </w:r>
    </w:p>
    <w:p w14:paraId="1F920CC9" w14:textId="77777777" w:rsidR="00F5289E" w:rsidRDefault="00C91173">
      <w:pPr>
        <w:widowControl/>
        <w:snapToGrid w:val="0"/>
        <w:spacing w:line="360" w:lineRule="auto"/>
        <w:ind w:firstLineChars="200" w:firstLine="420"/>
        <w:rPr>
          <w:rFonts w:ascii="宋体" w:hAnsi="宋体"/>
        </w:rPr>
      </w:pPr>
      <w:r>
        <w:rPr>
          <w:rFonts w:ascii="宋体" w:hAnsi="宋体" w:hint="eastAsia"/>
        </w:rPr>
        <w:t>三、多线工具的工具使用</w:t>
      </w:r>
    </w:p>
    <w:p w14:paraId="41012DAC" w14:textId="77777777" w:rsidR="00F5289E" w:rsidRDefault="00C91173">
      <w:pPr>
        <w:widowControl/>
        <w:snapToGrid w:val="0"/>
        <w:spacing w:line="360" w:lineRule="auto"/>
        <w:ind w:firstLineChars="200" w:firstLine="420"/>
        <w:rPr>
          <w:rFonts w:ascii="宋体" w:hAnsi="宋体"/>
        </w:rPr>
      </w:pPr>
      <w:r>
        <w:rPr>
          <w:rFonts w:ascii="宋体" w:hAnsi="宋体" w:hint="eastAsia"/>
        </w:rPr>
        <w:t>四、圆环、弧、圆工具的工具使用</w:t>
      </w:r>
    </w:p>
    <w:p w14:paraId="6541F13B" w14:textId="77777777" w:rsidR="00F5289E" w:rsidRDefault="00C91173">
      <w:pPr>
        <w:widowControl/>
        <w:snapToGrid w:val="0"/>
        <w:spacing w:line="360" w:lineRule="auto"/>
        <w:ind w:firstLineChars="200" w:firstLine="420"/>
        <w:rPr>
          <w:rFonts w:ascii="宋体" w:hAnsi="宋体"/>
        </w:rPr>
      </w:pPr>
      <w:r>
        <w:rPr>
          <w:rFonts w:ascii="宋体" w:hAnsi="宋体" w:hint="eastAsia"/>
        </w:rPr>
        <w:t>五、椭圆和椭圆弧工具的工具使用</w:t>
      </w:r>
    </w:p>
    <w:p w14:paraId="2DD044CB" w14:textId="77777777" w:rsidR="00F5289E" w:rsidRDefault="00C91173">
      <w:pPr>
        <w:widowControl/>
        <w:snapToGrid w:val="0"/>
        <w:spacing w:line="360" w:lineRule="auto"/>
        <w:ind w:firstLineChars="200" w:firstLine="420"/>
        <w:rPr>
          <w:rFonts w:ascii="宋体" w:hAnsi="宋体"/>
        </w:rPr>
      </w:pPr>
      <w:r>
        <w:rPr>
          <w:rFonts w:ascii="宋体" w:hAnsi="宋体" w:hint="eastAsia"/>
        </w:rPr>
        <w:t>六、正多边形工具的工具使用</w:t>
      </w:r>
    </w:p>
    <w:p w14:paraId="29EBE9DA" w14:textId="77777777" w:rsidR="00F5289E" w:rsidRDefault="00C91173">
      <w:pPr>
        <w:widowControl/>
        <w:snapToGrid w:val="0"/>
        <w:spacing w:line="360" w:lineRule="auto"/>
        <w:jc w:val="left"/>
        <w:rPr>
          <w:rFonts w:ascii="宋体" w:hAnsi="宋体"/>
          <w:b/>
          <w:bCs/>
        </w:rPr>
      </w:pPr>
      <w:r>
        <w:rPr>
          <w:rFonts w:ascii="宋体" w:hAnsi="宋体" w:hint="eastAsia"/>
          <w:b/>
          <w:bCs/>
        </w:rPr>
        <w:t>教学组织与实施：</w:t>
      </w:r>
      <w:r>
        <w:rPr>
          <w:rFonts w:ascii="宋体" w:hAnsi="宋体" w:hint="eastAsia"/>
        </w:rPr>
        <w:t>首先</w:t>
      </w:r>
      <w:r>
        <w:rPr>
          <w:rFonts w:eastAsiaTheme="majorEastAsia"/>
          <w:bCs/>
          <w:szCs w:val="21"/>
        </w:rPr>
        <w:t>引入</w:t>
      </w:r>
      <w:r>
        <w:rPr>
          <w:rFonts w:eastAsiaTheme="majorEastAsia" w:hint="eastAsia"/>
          <w:bCs/>
          <w:szCs w:val="21"/>
        </w:rPr>
        <w:t>塑料大棚山墙的样图绘制</w:t>
      </w:r>
      <w:r>
        <w:rPr>
          <w:rFonts w:eastAsiaTheme="majorEastAsia"/>
          <w:bCs/>
          <w:szCs w:val="21"/>
        </w:rPr>
        <w:t>任务，</w:t>
      </w:r>
      <w:r>
        <w:rPr>
          <w:rFonts w:eastAsiaTheme="majorEastAsia" w:hint="eastAsia"/>
          <w:bCs/>
          <w:szCs w:val="21"/>
        </w:rPr>
        <w:t>然后引导学生分析图形特点和信息，之后教师介绍</w:t>
      </w:r>
      <w:r>
        <w:rPr>
          <w:rFonts w:ascii="宋体" w:hAnsi="宋体" w:hint="eastAsia"/>
        </w:rPr>
        <w:t>点、矩形、多段线、圆弧、圆命令的操作方法</w:t>
      </w:r>
      <w:r>
        <w:rPr>
          <w:rFonts w:ascii="宋体" w:hAnsi="宋体" w:cs="宋体" w:hint="eastAsia"/>
          <w:kern w:val="0"/>
          <w:szCs w:val="21"/>
        </w:rPr>
        <w:t>，学生进行实践</w:t>
      </w:r>
      <w:r>
        <w:rPr>
          <w:rFonts w:eastAsiaTheme="majorEastAsia"/>
          <w:bCs/>
          <w:szCs w:val="21"/>
        </w:rPr>
        <w:t>操作</w:t>
      </w:r>
      <w:r>
        <w:rPr>
          <w:rFonts w:eastAsiaTheme="majorEastAsia" w:hint="eastAsia"/>
          <w:bCs/>
          <w:szCs w:val="21"/>
        </w:rPr>
        <w:t>，</w:t>
      </w:r>
      <w:r>
        <w:rPr>
          <w:rFonts w:eastAsiaTheme="majorEastAsia"/>
          <w:bCs/>
          <w:szCs w:val="21"/>
        </w:rPr>
        <w:t>课后学生</w:t>
      </w:r>
      <w:r>
        <w:rPr>
          <w:rFonts w:eastAsiaTheme="majorEastAsia" w:hint="eastAsia"/>
          <w:bCs/>
          <w:szCs w:val="21"/>
        </w:rPr>
        <w:t>完成样图绘制</w:t>
      </w:r>
      <w:r>
        <w:rPr>
          <w:rFonts w:eastAsiaTheme="majorEastAsia"/>
          <w:bCs/>
          <w:szCs w:val="21"/>
        </w:rPr>
        <w:t>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935C0AB" w14:textId="77777777">
        <w:trPr>
          <w:trHeight w:val="270"/>
        </w:trPr>
        <w:tc>
          <w:tcPr>
            <w:tcW w:w="2965" w:type="dxa"/>
            <w:tcBorders>
              <w:top w:val="nil"/>
              <w:left w:val="nil"/>
              <w:bottom w:val="nil"/>
              <w:right w:val="nil"/>
            </w:tcBorders>
            <w:vAlign w:val="center"/>
          </w:tcPr>
          <w:p w14:paraId="5A771C52"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686649C"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int="eastAsia"/>
                <w:b/>
                <w:bCs/>
                <w:kern w:val="0"/>
                <w:szCs w:val="21"/>
              </w:rPr>
              <w:t>基本编辑命令</w:t>
            </w:r>
          </w:p>
        </w:tc>
        <w:tc>
          <w:tcPr>
            <w:tcW w:w="2966" w:type="dxa"/>
            <w:tcBorders>
              <w:top w:val="nil"/>
              <w:left w:val="nil"/>
              <w:bottom w:val="nil"/>
              <w:right w:val="nil"/>
            </w:tcBorders>
            <w:vAlign w:val="center"/>
          </w:tcPr>
          <w:p w14:paraId="0CCE80F4"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6</w:t>
            </w:r>
          </w:p>
        </w:tc>
      </w:tr>
    </w:tbl>
    <w:p w14:paraId="4E2D4A85" w14:textId="77777777" w:rsidR="00F5289E" w:rsidRDefault="00C91173">
      <w:pPr>
        <w:widowControl/>
        <w:snapToGrid w:val="0"/>
        <w:spacing w:line="360" w:lineRule="auto"/>
        <w:rPr>
          <w:rFonts w:ascii="宋体" w:hAnsi="宋体"/>
        </w:rPr>
      </w:pPr>
      <w:r>
        <w:rPr>
          <w:rFonts w:ascii="宋体" w:hAnsi="宋体" w:hint="eastAsia"/>
          <w:b/>
          <w:bCs/>
        </w:rPr>
        <w:t>教学目标：</w:t>
      </w:r>
      <w:r>
        <w:rPr>
          <w:rFonts w:ascii="宋体" w:hAnsi="宋体" w:hint="eastAsia"/>
        </w:rPr>
        <w:t>了解删除、旋转、复制、偏移、延伸、倒角、打断和合并、多线的修改、移动、拉长、缩放、镜像、修剪、圆角、阵列、分解、打断于点、拉伸、对齐、特性匹配、多段线编辑的基本编辑修改工具，掌握删除、旋转、复制、偏移、延伸、倒角、合并、移动、拉长、缩放、镜像、修剪、圆角、阵列、分解、拉伸、对齐、特性匹配、多段线编辑命令的操作方法。</w:t>
      </w:r>
    </w:p>
    <w:p w14:paraId="3A90A775"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删除、旋转、复制、偏移、延伸、倒角、合并、移动、拉长、缩放、镜像、修剪、圆角、阵列、分解、拉伸、对齐、特性匹配、多段线编辑工具的操作方法</w:t>
      </w:r>
    </w:p>
    <w:p w14:paraId="5A7516DC"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58FACA37"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一、删除、旋转、复制工具</w:t>
      </w:r>
    </w:p>
    <w:p w14:paraId="282C8715"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二、偏移、延伸、倒角工具</w:t>
      </w:r>
    </w:p>
    <w:p w14:paraId="4F470812"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三、打断和合并工具</w:t>
      </w:r>
    </w:p>
    <w:p w14:paraId="730D7367"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四、多线的修改工具</w:t>
      </w:r>
    </w:p>
    <w:p w14:paraId="66112097"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五、移动、拉长工具</w:t>
      </w:r>
    </w:p>
    <w:p w14:paraId="3A1C2988"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六、缩放、镜像工具</w:t>
      </w:r>
    </w:p>
    <w:p w14:paraId="657216BA"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七、修剪、圆角、阵列工具</w:t>
      </w:r>
    </w:p>
    <w:p w14:paraId="64DED2FB"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lastRenderedPageBreak/>
        <w:t>八、分解、打断于点和拉伸工具</w:t>
      </w:r>
    </w:p>
    <w:p w14:paraId="5350D939"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九、对齐、特性匹配工具</w:t>
      </w:r>
    </w:p>
    <w:p w14:paraId="5FAA4B14"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十、多段线的修改工具</w:t>
      </w:r>
    </w:p>
    <w:p w14:paraId="230F2345" w14:textId="77777777" w:rsidR="00F5289E" w:rsidRDefault="00C91173">
      <w:pPr>
        <w:widowControl/>
        <w:snapToGrid w:val="0"/>
        <w:spacing w:line="360" w:lineRule="auto"/>
        <w:jc w:val="left"/>
        <w:rPr>
          <w:rFonts w:ascii="宋体" w:hAnsi="宋体"/>
        </w:rPr>
      </w:pPr>
      <w:r>
        <w:rPr>
          <w:rFonts w:ascii="宋体" w:hAnsi="宋体" w:hint="eastAsia"/>
          <w:b/>
          <w:bCs/>
        </w:rPr>
        <w:t>教学组织与实施：</w:t>
      </w:r>
      <w:r>
        <w:rPr>
          <w:rFonts w:ascii="宋体" w:hAnsi="宋体" w:hint="eastAsia"/>
        </w:rPr>
        <w:t>首先</w:t>
      </w:r>
      <w:r>
        <w:rPr>
          <w:rFonts w:eastAsiaTheme="majorEastAsia"/>
          <w:bCs/>
          <w:szCs w:val="21"/>
        </w:rPr>
        <w:t>引入</w:t>
      </w:r>
      <w:r>
        <w:rPr>
          <w:rFonts w:eastAsiaTheme="majorEastAsia" w:hint="eastAsia"/>
          <w:bCs/>
          <w:szCs w:val="21"/>
        </w:rPr>
        <w:t>日光温室条形基础平面图和大样图绘制</w:t>
      </w:r>
      <w:r>
        <w:rPr>
          <w:rFonts w:eastAsiaTheme="majorEastAsia"/>
          <w:bCs/>
          <w:szCs w:val="21"/>
        </w:rPr>
        <w:t>任务，</w:t>
      </w:r>
      <w:r>
        <w:rPr>
          <w:rFonts w:eastAsiaTheme="majorEastAsia" w:hint="eastAsia"/>
          <w:bCs/>
          <w:szCs w:val="21"/>
        </w:rPr>
        <w:t>然后引导学生分析图形特点和信息，之后教师介绍</w:t>
      </w:r>
      <w:r>
        <w:rPr>
          <w:rFonts w:ascii="宋体" w:hAnsi="宋体" w:hint="eastAsia"/>
        </w:rPr>
        <w:t>删除、旋转、复制、偏移、延伸、倒角、合并、移动、拉长、缩放、镜像、修剪、圆角、阵列、分解、拉伸、对齐、特性匹配、多段线编辑工具的操作方法</w:t>
      </w:r>
      <w:r>
        <w:rPr>
          <w:rFonts w:eastAsiaTheme="majorEastAsia" w:hint="eastAsia"/>
          <w:bCs/>
          <w:szCs w:val="21"/>
        </w:rPr>
        <w:t>，</w:t>
      </w:r>
      <w:r>
        <w:rPr>
          <w:rFonts w:eastAsiaTheme="majorEastAsia"/>
          <w:bCs/>
          <w:szCs w:val="21"/>
        </w:rPr>
        <w:t>课后学生</w:t>
      </w:r>
      <w:r>
        <w:rPr>
          <w:rFonts w:eastAsiaTheme="majorEastAsia" w:hint="eastAsia"/>
          <w:bCs/>
          <w:szCs w:val="21"/>
        </w:rPr>
        <w:t>完成样图绘制</w:t>
      </w:r>
      <w:r>
        <w:rPr>
          <w:rFonts w:eastAsiaTheme="majorEastAsia"/>
          <w:bCs/>
          <w:szCs w:val="21"/>
        </w:rPr>
        <w:t>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6D733B9" w14:textId="77777777">
        <w:trPr>
          <w:trHeight w:val="270"/>
        </w:trPr>
        <w:tc>
          <w:tcPr>
            <w:tcW w:w="2965" w:type="dxa"/>
            <w:tcBorders>
              <w:top w:val="nil"/>
              <w:left w:val="nil"/>
              <w:bottom w:val="nil"/>
              <w:right w:val="nil"/>
            </w:tcBorders>
            <w:vAlign w:val="center"/>
          </w:tcPr>
          <w:p w14:paraId="16C8E237"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339B0AC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bCs/>
                <w:kern w:val="0"/>
                <w:szCs w:val="21"/>
              </w:rPr>
              <w:t>文本与标注的绘制编辑</w:t>
            </w:r>
          </w:p>
        </w:tc>
        <w:tc>
          <w:tcPr>
            <w:tcW w:w="2966" w:type="dxa"/>
            <w:tcBorders>
              <w:top w:val="nil"/>
              <w:left w:val="nil"/>
              <w:bottom w:val="nil"/>
              <w:right w:val="nil"/>
            </w:tcBorders>
            <w:vAlign w:val="center"/>
          </w:tcPr>
          <w:p w14:paraId="5DF97A57"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48E80B0F" w14:textId="77777777" w:rsidR="00F5289E" w:rsidRDefault="00C91173">
      <w:pPr>
        <w:widowControl/>
        <w:snapToGrid w:val="0"/>
        <w:spacing w:line="360" w:lineRule="auto"/>
        <w:jc w:val="left"/>
        <w:rPr>
          <w:rFonts w:hAnsi="宋体"/>
          <w:kern w:val="0"/>
          <w:szCs w:val="21"/>
        </w:rPr>
      </w:pPr>
      <w:r>
        <w:rPr>
          <w:rFonts w:ascii="宋体" w:hAnsi="宋体" w:hint="eastAsia"/>
          <w:b/>
          <w:bCs/>
        </w:rPr>
        <w:t>教学目标：</w:t>
      </w:r>
      <w:r>
        <w:rPr>
          <w:rFonts w:ascii="宋体" w:hAnsi="宋体" w:hint="eastAsia"/>
        </w:rPr>
        <w:t>掌握</w:t>
      </w:r>
      <w:r>
        <w:rPr>
          <w:rFonts w:hAnsi="宋体" w:hint="eastAsia"/>
          <w:kern w:val="0"/>
          <w:szCs w:val="21"/>
        </w:rPr>
        <w:t>文本样式和编辑的命令和应用方法、标注样式、绘制和编辑的命令和应用方法</w:t>
      </w:r>
    </w:p>
    <w:p w14:paraId="08FD29E6" w14:textId="77777777" w:rsidR="00F5289E" w:rsidRDefault="00C91173">
      <w:pPr>
        <w:widowControl/>
        <w:snapToGrid w:val="0"/>
        <w:spacing w:line="360" w:lineRule="auto"/>
        <w:jc w:val="left"/>
        <w:rPr>
          <w:rFonts w:hAnsi="宋体"/>
          <w:b/>
          <w:bCs/>
          <w:kern w:val="0"/>
          <w:szCs w:val="21"/>
        </w:rPr>
      </w:pPr>
      <w:r>
        <w:rPr>
          <w:rFonts w:ascii="宋体" w:hAnsi="宋体" w:hint="eastAsia"/>
          <w:b/>
          <w:bCs/>
        </w:rPr>
        <w:t>教学重点和难点：</w:t>
      </w:r>
      <w:r>
        <w:rPr>
          <w:rFonts w:hAnsi="宋体" w:hint="eastAsia"/>
          <w:kern w:val="0"/>
          <w:szCs w:val="21"/>
        </w:rPr>
        <w:t>标注样式的命令和应用方法、标注绘制的命令和应用方法</w:t>
      </w:r>
    </w:p>
    <w:p w14:paraId="733D2229"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0B547549"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一、文本样式的命令和应用方法</w:t>
      </w:r>
    </w:p>
    <w:p w14:paraId="422424B2"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二、文本编辑的命令和应用方法</w:t>
      </w:r>
    </w:p>
    <w:p w14:paraId="7FA09CD3"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三、标注样式的命令和应用方法</w:t>
      </w:r>
    </w:p>
    <w:p w14:paraId="4FAD3487"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四、标注绘制的命令和应用方法</w:t>
      </w:r>
    </w:p>
    <w:p w14:paraId="42C4EBD8"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五、标注编辑的命令和应用方法</w:t>
      </w:r>
    </w:p>
    <w:p w14:paraId="17989E47"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rPr>
        <w:t>首先</w:t>
      </w:r>
      <w:r>
        <w:rPr>
          <w:rFonts w:eastAsiaTheme="majorEastAsia"/>
          <w:bCs/>
          <w:szCs w:val="21"/>
        </w:rPr>
        <w:t>引入</w:t>
      </w:r>
      <w:r>
        <w:rPr>
          <w:rFonts w:eastAsiaTheme="majorEastAsia" w:hint="eastAsia"/>
          <w:bCs/>
          <w:szCs w:val="21"/>
        </w:rPr>
        <w:t>日光温室条形基础平面图和大样图绘制</w:t>
      </w:r>
      <w:r>
        <w:rPr>
          <w:rFonts w:eastAsiaTheme="majorEastAsia"/>
          <w:bCs/>
          <w:szCs w:val="21"/>
        </w:rPr>
        <w:t>任务，</w:t>
      </w:r>
      <w:r>
        <w:rPr>
          <w:rFonts w:eastAsiaTheme="majorEastAsia" w:hint="eastAsia"/>
          <w:bCs/>
          <w:szCs w:val="21"/>
        </w:rPr>
        <w:t>然后引导学生分析所需要标注的文本和标注要求，之后教师介绍</w:t>
      </w:r>
      <w:r>
        <w:rPr>
          <w:rFonts w:hAnsi="宋体" w:hint="eastAsia"/>
          <w:kern w:val="0"/>
          <w:szCs w:val="21"/>
        </w:rPr>
        <w:t>文本样式和编辑的命令和应用方法</w:t>
      </w:r>
      <w:r>
        <w:rPr>
          <w:rFonts w:eastAsiaTheme="majorEastAsia" w:hint="eastAsia"/>
          <w:bCs/>
          <w:szCs w:val="21"/>
        </w:rPr>
        <w:t>、</w:t>
      </w:r>
      <w:r>
        <w:rPr>
          <w:rFonts w:hAnsi="宋体" w:hint="eastAsia"/>
          <w:kern w:val="0"/>
          <w:szCs w:val="21"/>
        </w:rPr>
        <w:t>标注样式、绘制和编辑的命令和应用方法，</w:t>
      </w:r>
      <w:r>
        <w:rPr>
          <w:rFonts w:eastAsiaTheme="majorEastAsia"/>
          <w:bCs/>
          <w:szCs w:val="21"/>
        </w:rPr>
        <w:t>课后学生</w:t>
      </w:r>
      <w:r>
        <w:rPr>
          <w:rFonts w:eastAsiaTheme="majorEastAsia" w:hint="eastAsia"/>
          <w:bCs/>
          <w:szCs w:val="21"/>
        </w:rPr>
        <w:t>完成样图绘制</w:t>
      </w:r>
      <w:r>
        <w:rPr>
          <w:rFonts w:eastAsiaTheme="majorEastAsia"/>
          <w:bCs/>
          <w:szCs w:val="21"/>
        </w:rPr>
        <w:t>任务。</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2A96DC84" w14:textId="77777777">
        <w:trPr>
          <w:trHeight w:val="270"/>
        </w:trPr>
        <w:tc>
          <w:tcPr>
            <w:tcW w:w="2965" w:type="dxa"/>
            <w:tcBorders>
              <w:top w:val="nil"/>
              <w:left w:val="nil"/>
              <w:bottom w:val="nil"/>
              <w:right w:val="nil"/>
            </w:tcBorders>
            <w:vAlign w:val="center"/>
          </w:tcPr>
          <w:p w14:paraId="54FCD758"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2DE24BD"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bCs/>
                <w:kern w:val="0"/>
                <w:szCs w:val="21"/>
              </w:rPr>
              <w:t>图形发布、打印和输出</w:t>
            </w:r>
          </w:p>
        </w:tc>
        <w:tc>
          <w:tcPr>
            <w:tcW w:w="2966" w:type="dxa"/>
            <w:tcBorders>
              <w:top w:val="nil"/>
              <w:left w:val="nil"/>
              <w:bottom w:val="nil"/>
              <w:right w:val="nil"/>
            </w:tcBorders>
            <w:vAlign w:val="center"/>
          </w:tcPr>
          <w:p w14:paraId="1F340B01"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78967271" w14:textId="77777777" w:rsidR="00F5289E" w:rsidRDefault="00C91173">
      <w:pPr>
        <w:widowControl/>
        <w:snapToGrid w:val="0"/>
        <w:spacing w:line="360" w:lineRule="auto"/>
        <w:ind w:firstLineChars="200" w:firstLine="422"/>
        <w:jc w:val="left"/>
        <w:rPr>
          <w:rFonts w:hAnsi="宋体"/>
          <w:kern w:val="0"/>
          <w:szCs w:val="21"/>
        </w:rPr>
      </w:pPr>
      <w:r>
        <w:rPr>
          <w:rFonts w:ascii="宋体" w:hAnsi="宋体" w:hint="eastAsia"/>
          <w:b/>
          <w:bCs/>
        </w:rPr>
        <w:t>教学目标：了解</w:t>
      </w:r>
      <w:r>
        <w:rPr>
          <w:rFonts w:hAnsi="宋体" w:hint="eastAsia"/>
          <w:kern w:val="0"/>
          <w:szCs w:val="21"/>
        </w:rPr>
        <w:t>CAD</w:t>
      </w:r>
      <w:r>
        <w:rPr>
          <w:rFonts w:hAnsi="宋体" w:hint="eastAsia"/>
          <w:kern w:val="0"/>
          <w:szCs w:val="21"/>
        </w:rPr>
        <w:t>图形发布命令，</w:t>
      </w:r>
      <w:r>
        <w:rPr>
          <w:rFonts w:ascii="宋体" w:hAnsi="宋体" w:hint="eastAsia"/>
        </w:rPr>
        <w:t>掌握</w:t>
      </w:r>
      <w:r>
        <w:rPr>
          <w:rFonts w:hAnsi="宋体" w:hint="eastAsia"/>
          <w:kern w:val="0"/>
          <w:szCs w:val="21"/>
        </w:rPr>
        <w:t>CAD</w:t>
      </w:r>
      <w:r>
        <w:rPr>
          <w:rFonts w:hAnsi="宋体" w:hint="eastAsia"/>
          <w:kern w:val="0"/>
          <w:szCs w:val="21"/>
        </w:rPr>
        <w:t>图形打印和输出设置，</w:t>
      </w:r>
      <w:r>
        <w:rPr>
          <w:rFonts w:ascii="宋体" w:hAnsi="宋体" w:hint="eastAsia"/>
        </w:rPr>
        <w:t>掌握</w:t>
      </w:r>
      <w:r>
        <w:rPr>
          <w:rFonts w:hAnsi="宋体" w:hint="eastAsia"/>
          <w:kern w:val="0"/>
          <w:szCs w:val="21"/>
        </w:rPr>
        <w:t>CAD</w:t>
      </w:r>
      <w:r>
        <w:rPr>
          <w:rFonts w:hAnsi="宋体" w:hint="eastAsia"/>
          <w:kern w:val="0"/>
          <w:szCs w:val="21"/>
        </w:rPr>
        <w:t>图形打印和输出命令</w:t>
      </w:r>
    </w:p>
    <w:p w14:paraId="3EB1459F" w14:textId="77777777" w:rsidR="00F5289E" w:rsidRDefault="00C91173">
      <w:pPr>
        <w:widowControl/>
        <w:snapToGrid w:val="0"/>
        <w:spacing w:line="360" w:lineRule="auto"/>
        <w:jc w:val="left"/>
        <w:rPr>
          <w:rFonts w:hAnsi="宋体"/>
          <w:b/>
          <w:bCs/>
          <w:kern w:val="0"/>
          <w:szCs w:val="21"/>
        </w:rPr>
      </w:pPr>
      <w:r>
        <w:rPr>
          <w:rFonts w:ascii="宋体" w:hAnsi="宋体" w:hint="eastAsia"/>
          <w:b/>
          <w:bCs/>
        </w:rPr>
        <w:t>教学重点和难点：</w:t>
      </w:r>
      <w:r>
        <w:rPr>
          <w:rFonts w:hAnsi="宋体" w:hint="eastAsia"/>
          <w:kern w:val="0"/>
          <w:szCs w:val="21"/>
        </w:rPr>
        <w:t>CAD</w:t>
      </w:r>
      <w:r>
        <w:rPr>
          <w:rFonts w:hAnsi="宋体" w:hint="eastAsia"/>
          <w:kern w:val="0"/>
          <w:szCs w:val="21"/>
        </w:rPr>
        <w:t>图形打印和输出设置、</w:t>
      </w:r>
      <w:r>
        <w:rPr>
          <w:rFonts w:hAnsi="宋体" w:hint="eastAsia"/>
          <w:kern w:val="0"/>
          <w:szCs w:val="21"/>
        </w:rPr>
        <w:t>CAD</w:t>
      </w:r>
      <w:r>
        <w:rPr>
          <w:rFonts w:hAnsi="宋体" w:hint="eastAsia"/>
          <w:kern w:val="0"/>
          <w:szCs w:val="21"/>
        </w:rPr>
        <w:t>图形打印和输出</w:t>
      </w:r>
    </w:p>
    <w:p w14:paraId="31C8C63F"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7E6A1E6C"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一、</w:t>
      </w:r>
      <w:r>
        <w:rPr>
          <w:rFonts w:hAnsi="宋体" w:hint="eastAsia"/>
          <w:kern w:val="0"/>
          <w:szCs w:val="21"/>
        </w:rPr>
        <w:t>CAD</w:t>
      </w:r>
      <w:r>
        <w:rPr>
          <w:rFonts w:hAnsi="宋体" w:hint="eastAsia"/>
          <w:kern w:val="0"/>
          <w:szCs w:val="21"/>
        </w:rPr>
        <w:t>图形发布</w:t>
      </w:r>
    </w:p>
    <w:p w14:paraId="481E16A3"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二、</w:t>
      </w:r>
      <w:r>
        <w:rPr>
          <w:rFonts w:hAnsi="宋体" w:hint="eastAsia"/>
          <w:kern w:val="0"/>
          <w:szCs w:val="21"/>
        </w:rPr>
        <w:t>CAD</w:t>
      </w:r>
      <w:r>
        <w:rPr>
          <w:rFonts w:hAnsi="宋体" w:hint="eastAsia"/>
          <w:kern w:val="0"/>
          <w:szCs w:val="21"/>
        </w:rPr>
        <w:t>图形打印和输出设置</w:t>
      </w:r>
    </w:p>
    <w:p w14:paraId="4557395D" w14:textId="77777777" w:rsidR="00F5289E" w:rsidRDefault="00C91173">
      <w:pPr>
        <w:widowControl/>
        <w:snapToGrid w:val="0"/>
        <w:spacing w:line="360" w:lineRule="auto"/>
        <w:ind w:firstLineChars="200" w:firstLine="420"/>
        <w:jc w:val="left"/>
        <w:rPr>
          <w:rFonts w:hAnsi="宋体"/>
          <w:kern w:val="0"/>
          <w:szCs w:val="21"/>
        </w:rPr>
      </w:pPr>
      <w:r>
        <w:rPr>
          <w:rFonts w:hAnsi="宋体" w:hint="eastAsia"/>
          <w:kern w:val="0"/>
          <w:szCs w:val="21"/>
        </w:rPr>
        <w:t>三、</w:t>
      </w:r>
      <w:r>
        <w:rPr>
          <w:rFonts w:hAnsi="宋体" w:hint="eastAsia"/>
          <w:kern w:val="0"/>
          <w:szCs w:val="21"/>
        </w:rPr>
        <w:t>CAD</w:t>
      </w:r>
      <w:r>
        <w:rPr>
          <w:rFonts w:hAnsi="宋体" w:hint="eastAsia"/>
          <w:kern w:val="0"/>
          <w:szCs w:val="21"/>
        </w:rPr>
        <w:t>图形打印和输出</w:t>
      </w:r>
    </w:p>
    <w:p w14:paraId="3E408FEF" w14:textId="77777777" w:rsidR="00F5289E" w:rsidRDefault="00C91173">
      <w:pPr>
        <w:widowControl/>
        <w:snapToGrid w:val="0"/>
        <w:spacing w:line="360" w:lineRule="auto"/>
        <w:jc w:val="left"/>
        <w:rPr>
          <w:rFonts w:hAnsi="宋体"/>
          <w:kern w:val="0"/>
          <w:szCs w:val="21"/>
        </w:rPr>
      </w:pPr>
      <w:r>
        <w:rPr>
          <w:rFonts w:ascii="宋体" w:hAnsi="宋体" w:hint="eastAsia"/>
          <w:b/>
          <w:bCs/>
        </w:rPr>
        <w:t>教学组织与实施：</w:t>
      </w:r>
      <w:r>
        <w:rPr>
          <w:rFonts w:ascii="宋体" w:hAnsi="宋体" w:hint="eastAsia"/>
        </w:rPr>
        <w:t>首先</w:t>
      </w:r>
      <w:r>
        <w:rPr>
          <w:rFonts w:eastAsiaTheme="majorEastAsia"/>
          <w:bCs/>
          <w:szCs w:val="21"/>
        </w:rPr>
        <w:t>引入</w:t>
      </w:r>
      <w:r>
        <w:rPr>
          <w:rFonts w:eastAsiaTheme="majorEastAsia" w:hint="eastAsia"/>
          <w:bCs/>
          <w:szCs w:val="21"/>
        </w:rPr>
        <w:t>前面绘制好的图样</w:t>
      </w:r>
      <w:r>
        <w:rPr>
          <w:rFonts w:eastAsiaTheme="majorEastAsia"/>
          <w:bCs/>
          <w:szCs w:val="21"/>
        </w:rPr>
        <w:t>，</w:t>
      </w:r>
      <w:r>
        <w:rPr>
          <w:rFonts w:eastAsiaTheme="majorEastAsia" w:hint="eastAsia"/>
          <w:bCs/>
          <w:szCs w:val="21"/>
        </w:rPr>
        <w:t>然后引导学生学习</w:t>
      </w:r>
      <w:r>
        <w:rPr>
          <w:rFonts w:eastAsiaTheme="majorEastAsia" w:hint="eastAsia"/>
          <w:bCs/>
          <w:szCs w:val="21"/>
        </w:rPr>
        <w:t>CAD</w:t>
      </w:r>
      <w:r>
        <w:rPr>
          <w:rFonts w:eastAsiaTheme="majorEastAsia" w:hint="eastAsia"/>
          <w:bCs/>
          <w:szCs w:val="21"/>
        </w:rPr>
        <w:t>图形发布、</w:t>
      </w:r>
      <w:r>
        <w:rPr>
          <w:rFonts w:eastAsiaTheme="majorEastAsia" w:hint="eastAsia"/>
          <w:bCs/>
          <w:szCs w:val="21"/>
        </w:rPr>
        <w:t>CAD</w:t>
      </w:r>
      <w:r>
        <w:rPr>
          <w:rFonts w:eastAsiaTheme="majorEastAsia" w:hint="eastAsia"/>
          <w:bCs/>
          <w:szCs w:val="21"/>
        </w:rPr>
        <w:t>图形打印和输出设置、</w:t>
      </w:r>
      <w:r>
        <w:rPr>
          <w:rFonts w:eastAsiaTheme="majorEastAsia" w:hint="eastAsia"/>
          <w:bCs/>
          <w:szCs w:val="21"/>
        </w:rPr>
        <w:t>CAD</w:t>
      </w:r>
      <w:r>
        <w:rPr>
          <w:rFonts w:eastAsiaTheme="majorEastAsia" w:hint="eastAsia"/>
          <w:bCs/>
          <w:szCs w:val="21"/>
        </w:rPr>
        <w:t>图形打印和输出命令</w:t>
      </w:r>
      <w:r>
        <w:rPr>
          <w:rFonts w:hAnsi="宋体" w:hint="eastAsia"/>
          <w:kern w:val="0"/>
          <w:szCs w:val="21"/>
        </w:rPr>
        <w:t>，</w:t>
      </w:r>
      <w:r>
        <w:rPr>
          <w:rFonts w:eastAsiaTheme="majorEastAsia"/>
          <w:bCs/>
          <w:szCs w:val="21"/>
        </w:rPr>
        <w:t>课后学生</w:t>
      </w:r>
      <w:r>
        <w:rPr>
          <w:rFonts w:eastAsiaTheme="majorEastAsia" w:hint="eastAsia"/>
          <w:bCs/>
          <w:szCs w:val="21"/>
        </w:rPr>
        <w:t>完成样图打印</w:t>
      </w:r>
      <w:r>
        <w:rPr>
          <w:rFonts w:eastAsiaTheme="majorEastAsia"/>
          <w:bCs/>
          <w:szCs w:val="21"/>
        </w:rPr>
        <w:t>任务。</w:t>
      </w:r>
    </w:p>
    <w:p w14:paraId="4DDE93EC"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hint="eastAsia"/>
          <w:b/>
          <w:bCs/>
          <w:kern w:val="0"/>
          <w:szCs w:val="21"/>
        </w:rPr>
        <w:t>8</w:t>
      </w:r>
      <w:r>
        <w:rPr>
          <w:rFonts w:hAnsi="宋体"/>
          <w:b/>
          <w:bCs/>
          <w:kern w:val="0"/>
          <w:szCs w:val="21"/>
        </w:rPr>
        <w:t>学时</w:t>
      </w:r>
      <w:r>
        <w:rPr>
          <w:rFonts w:hAnsi="宋体" w:hint="eastAsia"/>
          <w:b/>
          <w:bCs/>
          <w:kern w:val="0"/>
          <w:szCs w:val="21"/>
        </w:rPr>
        <w:t>）</w:t>
      </w:r>
    </w:p>
    <w:p w14:paraId="6EDDA53D"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48191390"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实验课程主要在机房进行上机实操，进行基本绘图命令、基本编辑命令、文本与标注绘制和编辑命令的实践操作，首先教师给出的图样，然后要求学生利用所学的</w:t>
      </w:r>
      <w:r>
        <w:rPr>
          <w:rFonts w:ascii="宋体" w:hAnsi="宋体" w:hint="eastAsia"/>
          <w:bCs/>
        </w:rPr>
        <w:t>通过基本图样的绘制，上机实践练习练习</w:t>
      </w:r>
      <w:r>
        <w:rPr>
          <w:rFonts w:ascii="宋体" w:hAnsi="宋体" w:hint="eastAsia"/>
        </w:rPr>
        <w:t>点、矩形、多段线、圆弧、圆的命令操作方法</w:t>
      </w:r>
      <w:r>
        <w:rPr>
          <w:rFonts w:ascii="宋体" w:hAnsi="宋体" w:hint="eastAsia"/>
          <w:bCs/>
        </w:rPr>
        <w:t>，能够熟练应用基本绘图命令完成图样绘</w:t>
      </w:r>
      <w:r>
        <w:rPr>
          <w:rFonts w:ascii="宋体" w:hAnsi="宋体" w:hint="eastAsia"/>
          <w:bCs/>
        </w:rPr>
        <w:lastRenderedPageBreak/>
        <w:t>制等</w:t>
      </w:r>
      <w:r>
        <w:rPr>
          <w:rFonts w:ascii="宋体" w:hAnsi="宋体" w:hint="eastAsia"/>
          <w:bCs/>
          <w:szCs w:val="21"/>
        </w:rPr>
        <w:t>命令，完成图样绘制。</w:t>
      </w:r>
    </w:p>
    <w:p w14:paraId="051065A4"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6117EE63"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学生能够掌握基本绘图命令、基本编辑命令、文本与标注绘制和编辑命令的具体操作方法，能够利用CAD完成样图绘制。</w:t>
      </w:r>
    </w:p>
    <w:p w14:paraId="6E213370" w14:textId="77777777" w:rsidR="00F5289E" w:rsidRDefault="00C91173">
      <w:pPr>
        <w:snapToGrid w:val="0"/>
        <w:spacing w:line="360" w:lineRule="auto"/>
        <w:rPr>
          <w:b/>
        </w:rPr>
      </w:pPr>
      <w:r>
        <w:rPr>
          <w:rFonts w:hint="eastAsia"/>
          <w:b/>
        </w:rPr>
        <w:t>（三）实验安全操作规范</w:t>
      </w:r>
    </w:p>
    <w:p w14:paraId="0ABF49F9" w14:textId="77777777" w:rsidR="00F5289E" w:rsidRDefault="00C91173">
      <w:pPr>
        <w:snapToGrid w:val="0"/>
        <w:spacing w:line="360" w:lineRule="auto"/>
        <w:ind w:firstLineChars="200" w:firstLine="420"/>
      </w:pPr>
      <w:r>
        <w:rPr>
          <w:rFonts w:hint="eastAsia"/>
        </w:rPr>
        <w:t>无</w:t>
      </w:r>
    </w:p>
    <w:p w14:paraId="678599B7"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103"/>
        <w:gridCol w:w="3026"/>
        <w:gridCol w:w="899"/>
        <w:gridCol w:w="1100"/>
        <w:gridCol w:w="1453"/>
        <w:gridCol w:w="1309"/>
      </w:tblGrid>
      <w:tr w:rsidR="00F5289E" w14:paraId="795D78C9" w14:textId="77777777">
        <w:trPr>
          <w:jc w:val="center"/>
        </w:trPr>
        <w:tc>
          <w:tcPr>
            <w:tcW w:w="1103" w:type="dxa"/>
            <w:shd w:val="clear" w:color="auto" w:fill="EEECE1" w:themeFill="background2"/>
            <w:vAlign w:val="center"/>
          </w:tcPr>
          <w:p w14:paraId="0B66ED88"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109" w:type="dxa"/>
            <w:shd w:val="clear" w:color="auto" w:fill="EEECE1" w:themeFill="background2"/>
            <w:vAlign w:val="center"/>
          </w:tcPr>
          <w:p w14:paraId="06B32B0A"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15" w:type="dxa"/>
            <w:shd w:val="clear" w:color="auto" w:fill="EEECE1" w:themeFill="background2"/>
            <w:vAlign w:val="center"/>
          </w:tcPr>
          <w:p w14:paraId="2286CDB1"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22" w:type="dxa"/>
            <w:shd w:val="clear" w:color="auto" w:fill="EEECE1" w:themeFill="background2"/>
            <w:vAlign w:val="center"/>
          </w:tcPr>
          <w:p w14:paraId="288DB57A"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87" w:type="dxa"/>
            <w:shd w:val="clear" w:color="auto" w:fill="EEECE1" w:themeFill="background2"/>
            <w:vAlign w:val="center"/>
          </w:tcPr>
          <w:p w14:paraId="5F77C94F"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8" w:type="dxa"/>
            <w:shd w:val="clear" w:color="auto" w:fill="EEECE1" w:themeFill="background2"/>
            <w:vAlign w:val="center"/>
          </w:tcPr>
          <w:p w14:paraId="1172BA30"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323B4A96" w14:textId="77777777">
        <w:trPr>
          <w:jc w:val="center"/>
        </w:trPr>
        <w:tc>
          <w:tcPr>
            <w:tcW w:w="1103" w:type="dxa"/>
            <w:vAlign w:val="center"/>
          </w:tcPr>
          <w:p w14:paraId="11EF9D73" w14:textId="77777777" w:rsidR="00F5289E" w:rsidRDefault="00C91173">
            <w:pPr>
              <w:jc w:val="center"/>
              <w:rPr>
                <w:sz w:val="18"/>
                <w:szCs w:val="18"/>
              </w:rPr>
            </w:pPr>
            <w:r>
              <w:rPr>
                <w:rFonts w:hint="eastAsia"/>
                <w:sz w:val="18"/>
                <w:szCs w:val="18"/>
              </w:rPr>
              <w:t>1901115201</w:t>
            </w:r>
          </w:p>
        </w:tc>
        <w:tc>
          <w:tcPr>
            <w:tcW w:w="3109" w:type="dxa"/>
            <w:vAlign w:val="center"/>
          </w:tcPr>
          <w:p w14:paraId="307803F1" w14:textId="77777777" w:rsidR="00F5289E" w:rsidRDefault="00C91173">
            <w:pPr>
              <w:rPr>
                <w:sz w:val="18"/>
                <w:szCs w:val="18"/>
              </w:rPr>
            </w:pPr>
            <w:r>
              <w:rPr>
                <w:rFonts w:hint="eastAsia"/>
                <w:sz w:val="18"/>
                <w:szCs w:val="18"/>
              </w:rPr>
              <w:t>基本绘图命令</w:t>
            </w:r>
          </w:p>
        </w:tc>
        <w:tc>
          <w:tcPr>
            <w:tcW w:w="915" w:type="dxa"/>
            <w:vAlign w:val="center"/>
          </w:tcPr>
          <w:p w14:paraId="073C131D" w14:textId="77777777" w:rsidR="00F5289E" w:rsidRDefault="00C91173">
            <w:pPr>
              <w:jc w:val="center"/>
              <w:rPr>
                <w:sz w:val="18"/>
                <w:szCs w:val="18"/>
              </w:rPr>
            </w:pPr>
            <w:r>
              <w:rPr>
                <w:rFonts w:hint="eastAsia"/>
                <w:sz w:val="18"/>
                <w:szCs w:val="18"/>
              </w:rPr>
              <w:t>2</w:t>
            </w:r>
          </w:p>
        </w:tc>
        <w:tc>
          <w:tcPr>
            <w:tcW w:w="1122" w:type="dxa"/>
            <w:vAlign w:val="center"/>
          </w:tcPr>
          <w:p w14:paraId="26B5FBDB" w14:textId="77777777" w:rsidR="00F5289E" w:rsidRDefault="00C91173">
            <w:pPr>
              <w:jc w:val="center"/>
              <w:rPr>
                <w:sz w:val="18"/>
                <w:szCs w:val="18"/>
              </w:rPr>
            </w:pPr>
            <w:r>
              <w:rPr>
                <w:rFonts w:hint="eastAsia"/>
                <w:sz w:val="18"/>
                <w:szCs w:val="18"/>
              </w:rPr>
              <w:t>综合性</w:t>
            </w:r>
          </w:p>
        </w:tc>
        <w:tc>
          <w:tcPr>
            <w:tcW w:w="1487" w:type="dxa"/>
            <w:vAlign w:val="center"/>
          </w:tcPr>
          <w:p w14:paraId="2E8BBC81" w14:textId="77777777" w:rsidR="00F5289E" w:rsidRDefault="00C91173">
            <w:pPr>
              <w:jc w:val="center"/>
              <w:rPr>
                <w:sz w:val="18"/>
                <w:szCs w:val="18"/>
              </w:rPr>
            </w:pPr>
            <w:r>
              <w:rPr>
                <w:rFonts w:hint="eastAsia"/>
                <w:sz w:val="18"/>
                <w:szCs w:val="18"/>
              </w:rPr>
              <w:t>必做</w:t>
            </w:r>
          </w:p>
        </w:tc>
        <w:tc>
          <w:tcPr>
            <w:tcW w:w="1338" w:type="dxa"/>
          </w:tcPr>
          <w:p w14:paraId="41CB6054" w14:textId="77777777" w:rsidR="00F5289E" w:rsidRDefault="00C91173">
            <w:pPr>
              <w:jc w:val="center"/>
              <w:rPr>
                <w:sz w:val="18"/>
                <w:szCs w:val="18"/>
              </w:rPr>
            </w:pPr>
            <w:r>
              <w:rPr>
                <w:rFonts w:hint="eastAsia"/>
                <w:sz w:val="18"/>
                <w:szCs w:val="18"/>
              </w:rPr>
              <w:t>1</w:t>
            </w:r>
          </w:p>
        </w:tc>
      </w:tr>
      <w:tr w:rsidR="00F5289E" w14:paraId="7362D6CA" w14:textId="77777777">
        <w:trPr>
          <w:jc w:val="center"/>
        </w:trPr>
        <w:tc>
          <w:tcPr>
            <w:tcW w:w="1103" w:type="dxa"/>
            <w:vAlign w:val="center"/>
          </w:tcPr>
          <w:p w14:paraId="27A92EB1" w14:textId="77777777" w:rsidR="00F5289E" w:rsidRDefault="00C91173">
            <w:pPr>
              <w:rPr>
                <w:sz w:val="18"/>
                <w:szCs w:val="18"/>
              </w:rPr>
            </w:pPr>
            <w:r>
              <w:rPr>
                <w:rFonts w:hint="eastAsia"/>
                <w:sz w:val="18"/>
                <w:szCs w:val="18"/>
              </w:rPr>
              <w:t>1901115202</w:t>
            </w:r>
          </w:p>
        </w:tc>
        <w:tc>
          <w:tcPr>
            <w:tcW w:w="3109" w:type="dxa"/>
            <w:vAlign w:val="center"/>
          </w:tcPr>
          <w:p w14:paraId="2070F9BF" w14:textId="77777777" w:rsidR="00F5289E" w:rsidRDefault="00C91173">
            <w:pPr>
              <w:jc w:val="left"/>
              <w:rPr>
                <w:sz w:val="18"/>
                <w:szCs w:val="18"/>
              </w:rPr>
            </w:pPr>
            <w:r>
              <w:rPr>
                <w:rFonts w:hint="eastAsia"/>
                <w:sz w:val="18"/>
                <w:szCs w:val="18"/>
              </w:rPr>
              <w:t>基本编辑命令</w:t>
            </w:r>
          </w:p>
        </w:tc>
        <w:tc>
          <w:tcPr>
            <w:tcW w:w="915" w:type="dxa"/>
            <w:vAlign w:val="center"/>
          </w:tcPr>
          <w:p w14:paraId="2929C5C4" w14:textId="77777777" w:rsidR="00F5289E" w:rsidRDefault="00C91173">
            <w:pPr>
              <w:jc w:val="center"/>
              <w:rPr>
                <w:sz w:val="18"/>
                <w:szCs w:val="18"/>
              </w:rPr>
            </w:pPr>
            <w:r>
              <w:rPr>
                <w:rFonts w:hint="eastAsia"/>
                <w:sz w:val="18"/>
                <w:szCs w:val="18"/>
              </w:rPr>
              <w:t>2</w:t>
            </w:r>
          </w:p>
        </w:tc>
        <w:tc>
          <w:tcPr>
            <w:tcW w:w="1122" w:type="dxa"/>
            <w:vAlign w:val="center"/>
          </w:tcPr>
          <w:p w14:paraId="4294BE94" w14:textId="77777777" w:rsidR="00F5289E" w:rsidRDefault="00C91173">
            <w:pPr>
              <w:jc w:val="center"/>
              <w:rPr>
                <w:sz w:val="18"/>
                <w:szCs w:val="18"/>
              </w:rPr>
            </w:pPr>
            <w:r>
              <w:rPr>
                <w:rFonts w:hint="eastAsia"/>
                <w:sz w:val="18"/>
                <w:szCs w:val="18"/>
              </w:rPr>
              <w:t>综合性</w:t>
            </w:r>
          </w:p>
        </w:tc>
        <w:tc>
          <w:tcPr>
            <w:tcW w:w="1487" w:type="dxa"/>
            <w:vAlign w:val="center"/>
          </w:tcPr>
          <w:p w14:paraId="5F600D74" w14:textId="77777777" w:rsidR="00F5289E" w:rsidRDefault="00C91173">
            <w:pPr>
              <w:jc w:val="center"/>
              <w:rPr>
                <w:sz w:val="18"/>
                <w:szCs w:val="18"/>
              </w:rPr>
            </w:pPr>
            <w:r>
              <w:rPr>
                <w:rFonts w:hint="eastAsia"/>
                <w:sz w:val="18"/>
                <w:szCs w:val="18"/>
              </w:rPr>
              <w:t>必做</w:t>
            </w:r>
          </w:p>
        </w:tc>
        <w:tc>
          <w:tcPr>
            <w:tcW w:w="1338" w:type="dxa"/>
          </w:tcPr>
          <w:p w14:paraId="02F1053E" w14:textId="77777777" w:rsidR="00F5289E" w:rsidRDefault="00C91173">
            <w:pPr>
              <w:jc w:val="center"/>
              <w:rPr>
                <w:sz w:val="18"/>
                <w:szCs w:val="18"/>
              </w:rPr>
            </w:pPr>
            <w:r>
              <w:rPr>
                <w:rFonts w:hint="eastAsia"/>
                <w:sz w:val="18"/>
                <w:szCs w:val="18"/>
              </w:rPr>
              <w:t>1</w:t>
            </w:r>
          </w:p>
        </w:tc>
      </w:tr>
      <w:tr w:rsidR="00F5289E" w14:paraId="6852E797" w14:textId="77777777">
        <w:trPr>
          <w:jc w:val="center"/>
        </w:trPr>
        <w:tc>
          <w:tcPr>
            <w:tcW w:w="1103" w:type="dxa"/>
            <w:vAlign w:val="center"/>
          </w:tcPr>
          <w:p w14:paraId="31D6F73A" w14:textId="77777777" w:rsidR="00F5289E" w:rsidRDefault="00C91173">
            <w:pPr>
              <w:rPr>
                <w:sz w:val="18"/>
                <w:szCs w:val="18"/>
              </w:rPr>
            </w:pPr>
            <w:r>
              <w:rPr>
                <w:rFonts w:hint="eastAsia"/>
                <w:sz w:val="18"/>
                <w:szCs w:val="18"/>
              </w:rPr>
              <w:t>1901115203</w:t>
            </w:r>
          </w:p>
        </w:tc>
        <w:tc>
          <w:tcPr>
            <w:tcW w:w="3109" w:type="dxa"/>
            <w:vAlign w:val="center"/>
          </w:tcPr>
          <w:p w14:paraId="1ED72F95" w14:textId="77777777" w:rsidR="00F5289E" w:rsidRDefault="00C91173">
            <w:pPr>
              <w:jc w:val="left"/>
              <w:rPr>
                <w:sz w:val="18"/>
                <w:szCs w:val="18"/>
              </w:rPr>
            </w:pPr>
            <w:r>
              <w:rPr>
                <w:rFonts w:hint="eastAsia"/>
                <w:sz w:val="18"/>
                <w:szCs w:val="18"/>
              </w:rPr>
              <w:t>基本编辑命令</w:t>
            </w:r>
          </w:p>
        </w:tc>
        <w:tc>
          <w:tcPr>
            <w:tcW w:w="915" w:type="dxa"/>
            <w:vAlign w:val="center"/>
          </w:tcPr>
          <w:p w14:paraId="404933DB" w14:textId="77777777" w:rsidR="00F5289E" w:rsidRDefault="00C91173">
            <w:pPr>
              <w:jc w:val="center"/>
              <w:rPr>
                <w:sz w:val="18"/>
                <w:szCs w:val="18"/>
              </w:rPr>
            </w:pPr>
            <w:r>
              <w:rPr>
                <w:rFonts w:hint="eastAsia"/>
                <w:sz w:val="18"/>
                <w:szCs w:val="18"/>
              </w:rPr>
              <w:t>2</w:t>
            </w:r>
          </w:p>
        </w:tc>
        <w:tc>
          <w:tcPr>
            <w:tcW w:w="1122" w:type="dxa"/>
            <w:vAlign w:val="center"/>
          </w:tcPr>
          <w:p w14:paraId="53573266" w14:textId="77777777" w:rsidR="00F5289E" w:rsidRDefault="00C91173">
            <w:pPr>
              <w:jc w:val="center"/>
              <w:rPr>
                <w:sz w:val="18"/>
                <w:szCs w:val="18"/>
              </w:rPr>
            </w:pPr>
            <w:r>
              <w:rPr>
                <w:rFonts w:hint="eastAsia"/>
                <w:sz w:val="18"/>
                <w:szCs w:val="18"/>
              </w:rPr>
              <w:t>综合性</w:t>
            </w:r>
          </w:p>
        </w:tc>
        <w:tc>
          <w:tcPr>
            <w:tcW w:w="1487" w:type="dxa"/>
            <w:vAlign w:val="center"/>
          </w:tcPr>
          <w:p w14:paraId="533544BA" w14:textId="77777777" w:rsidR="00F5289E" w:rsidRDefault="00C91173">
            <w:pPr>
              <w:jc w:val="center"/>
              <w:rPr>
                <w:sz w:val="18"/>
                <w:szCs w:val="18"/>
              </w:rPr>
            </w:pPr>
            <w:r>
              <w:rPr>
                <w:rFonts w:hint="eastAsia"/>
                <w:sz w:val="18"/>
                <w:szCs w:val="18"/>
              </w:rPr>
              <w:t>必做</w:t>
            </w:r>
          </w:p>
        </w:tc>
        <w:tc>
          <w:tcPr>
            <w:tcW w:w="1338" w:type="dxa"/>
          </w:tcPr>
          <w:p w14:paraId="3D9A6CF6" w14:textId="77777777" w:rsidR="00F5289E" w:rsidRDefault="00C91173">
            <w:pPr>
              <w:jc w:val="center"/>
              <w:rPr>
                <w:sz w:val="18"/>
                <w:szCs w:val="18"/>
              </w:rPr>
            </w:pPr>
            <w:r>
              <w:rPr>
                <w:rFonts w:hint="eastAsia"/>
                <w:sz w:val="18"/>
                <w:szCs w:val="18"/>
              </w:rPr>
              <w:t>1</w:t>
            </w:r>
          </w:p>
        </w:tc>
      </w:tr>
      <w:tr w:rsidR="00F5289E" w14:paraId="26CDC8AD" w14:textId="77777777">
        <w:trPr>
          <w:jc w:val="center"/>
        </w:trPr>
        <w:tc>
          <w:tcPr>
            <w:tcW w:w="1103" w:type="dxa"/>
            <w:vAlign w:val="center"/>
          </w:tcPr>
          <w:p w14:paraId="4F8B7DF8" w14:textId="77777777" w:rsidR="00F5289E" w:rsidRDefault="00C91173">
            <w:pPr>
              <w:rPr>
                <w:sz w:val="18"/>
                <w:szCs w:val="18"/>
              </w:rPr>
            </w:pPr>
            <w:r>
              <w:rPr>
                <w:rFonts w:hint="eastAsia"/>
                <w:sz w:val="18"/>
                <w:szCs w:val="18"/>
              </w:rPr>
              <w:t>1901115204</w:t>
            </w:r>
          </w:p>
        </w:tc>
        <w:tc>
          <w:tcPr>
            <w:tcW w:w="3109" w:type="dxa"/>
            <w:vAlign w:val="center"/>
          </w:tcPr>
          <w:p w14:paraId="356C856F" w14:textId="77777777" w:rsidR="00F5289E" w:rsidRDefault="00C91173">
            <w:pPr>
              <w:jc w:val="left"/>
              <w:rPr>
                <w:sz w:val="18"/>
                <w:szCs w:val="18"/>
              </w:rPr>
            </w:pPr>
            <w:r>
              <w:rPr>
                <w:rFonts w:hint="eastAsia"/>
                <w:sz w:val="18"/>
                <w:szCs w:val="18"/>
              </w:rPr>
              <w:t>文本与标注的绘制编辑</w:t>
            </w:r>
          </w:p>
        </w:tc>
        <w:tc>
          <w:tcPr>
            <w:tcW w:w="915" w:type="dxa"/>
            <w:vAlign w:val="center"/>
          </w:tcPr>
          <w:p w14:paraId="1F47D435" w14:textId="77777777" w:rsidR="00F5289E" w:rsidRDefault="00C91173">
            <w:pPr>
              <w:jc w:val="center"/>
              <w:rPr>
                <w:sz w:val="18"/>
                <w:szCs w:val="18"/>
              </w:rPr>
            </w:pPr>
            <w:r>
              <w:rPr>
                <w:rFonts w:hint="eastAsia"/>
                <w:sz w:val="18"/>
                <w:szCs w:val="18"/>
              </w:rPr>
              <w:t>2</w:t>
            </w:r>
          </w:p>
        </w:tc>
        <w:tc>
          <w:tcPr>
            <w:tcW w:w="1122" w:type="dxa"/>
            <w:vAlign w:val="center"/>
          </w:tcPr>
          <w:p w14:paraId="21A4C9C6" w14:textId="77777777" w:rsidR="00F5289E" w:rsidRDefault="00C91173">
            <w:pPr>
              <w:jc w:val="center"/>
              <w:rPr>
                <w:sz w:val="18"/>
                <w:szCs w:val="18"/>
              </w:rPr>
            </w:pPr>
            <w:r>
              <w:rPr>
                <w:rFonts w:hint="eastAsia"/>
                <w:sz w:val="18"/>
                <w:szCs w:val="18"/>
              </w:rPr>
              <w:t>综合性</w:t>
            </w:r>
          </w:p>
        </w:tc>
        <w:tc>
          <w:tcPr>
            <w:tcW w:w="1487" w:type="dxa"/>
            <w:vAlign w:val="center"/>
          </w:tcPr>
          <w:p w14:paraId="49DD8693" w14:textId="77777777" w:rsidR="00F5289E" w:rsidRDefault="00C91173">
            <w:pPr>
              <w:jc w:val="center"/>
              <w:rPr>
                <w:sz w:val="18"/>
                <w:szCs w:val="18"/>
              </w:rPr>
            </w:pPr>
            <w:r>
              <w:rPr>
                <w:rFonts w:hint="eastAsia"/>
                <w:sz w:val="18"/>
                <w:szCs w:val="18"/>
              </w:rPr>
              <w:t>必做</w:t>
            </w:r>
          </w:p>
        </w:tc>
        <w:tc>
          <w:tcPr>
            <w:tcW w:w="1338" w:type="dxa"/>
          </w:tcPr>
          <w:p w14:paraId="5280807B" w14:textId="77777777" w:rsidR="00F5289E" w:rsidRDefault="00C91173">
            <w:pPr>
              <w:jc w:val="center"/>
              <w:rPr>
                <w:sz w:val="18"/>
                <w:szCs w:val="18"/>
              </w:rPr>
            </w:pPr>
            <w:r>
              <w:rPr>
                <w:rFonts w:hint="eastAsia"/>
                <w:sz w:val="18"/>
                <w:szCs w:val="18"/>
              </w:rPr>
              <w:t>1</w:t>
            </w:r>
          </w:p>
        </w:tc>
      </w:tr>
    </w:tbl>
    <w:p w14:paraId="3F984E18"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50F8BFDE" w14:textId="77777777" w:rsidR="00F5289E" w:rsidRDefault="00C91173">
      <w:pPr>
        <w:snapToGrid w:val="0"/>
        <w:spacing w:line="360" w:lineRule="auto"/>
        <w:ind w:firstLineChars="200" w:firstLine="420"/>
        <w:rPr>
          <w:rFonts w:ascii="宋体" w:hAnsi="宋体"/>
          <w:b/>
          <w:bCs/>
          <w:szCs w:val="21"/>
        </w:rPr>
      </w:pPr>
      <w:r>
        <w:rPr>
          <w:rFonts w:ascii="宋体" w:hAnsi="宋体" w:hint="eastAsia"/>
          <w:bCs/>
          <w:szCs w:val="21"/>
        </w:rPr>
        <w:t>采用上机实操进行实验，要求学生能够掌握基本绘图命令、基本编辑命令、文本与标注绘制和编辑命令的具体操作方法，能够利用CAD完成样图绘制。</w:t>
      </w:r>
    </w:p>
    <w:p w14:paraId="71E5769F"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0B049CD6"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】基本绘图命令</w:t>
      </w:r>
    </w:p>
    <w:p w14:paraId="4B0186F2"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14A2DD84"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练习</w:t>
      </w:r>
      <w:r>
        <w:rPr>
          <w:rFonts w:ascii="宋体" w:hAnsi="宋体" w:hint="eastAsia"/>
        </w:rPr>
        <w:t>点、矩形、多段线、圆弧、圆等</w:t>
      </w:r>
      <w:r>
        <w:rPr>
          <w:rFonts w:ascii="宋体" w:hAnsi="宋体" w:hint="eastAsia"/>
          <w:bCs/>
        </w:rPr>
        <w:t>基本绘图</w:t>
      </w:r>
      <w:r>
        <w:rPr>
          <w:rFonts w:ascii="宋体" w:hAnsi="宋体" w:hint="eastAsia"/>
        </w:rPr>
        <w:t>命令操作方法</w:t>
      </w:r>
      <w:r>
        <w:rPr>
          <w:rFonts w:ascii="宋体" w:hAnsi="宋体" w:hint="eastAsia"/>
          <w:bCs/>
        </w:rPr>
        <w:t>，能够根据实际情况利用基本绘图命令完成图样绘制。</w:t>
      </w:r>
    </w:p>
    <w:p w14:paraId="4718BE23" w14:textId="77777777" w:rsidR="00F5289E" w:rsidRDefault="00C91173">
      <w:pPr>
        <w:snapToGrid w:val="0"/>
        <w:spacing w:line="360" w:lineRule="auto"/>
        <w:ind w:firstLineChars="200" w:firstLine="422"/>
        <w:rPr>
          <w:rFonts w:ascii="宋体" w:hAnsi="宋体"/>
          <w:bCs/>
        </w:rPr>
      </w:pPr>
      <w:r>
        <w:rPr>
          <w:rFonts w:hint="eastAsia"/>
          <w:b/>
          <w:szCs w:val="21"/>
        </w:rPr>
        <w:t>3.</w:t>
      </w:r>
      <w:r>
        <w:rPr>
          <w:rFonts w:hint="eastAsia"/>
          <w:b/>
          <w:szCs w:val="21"/>
        </w:rPr>
        <w:t>实验内容：</w:t>
      </w:r>
      <w:r>
        <w:rPr>
          <w:rFonts w:ascii="宋体" w:hAnsi="宋体" w:hint="eastAsia"/>
          <w:bCs/>
        </w:rPr>
        <w:t>通过完成基本图样的绘制，上机实践练习</w:t>
      </w:r>
      <w:r>
        <w:rPr>
          <w:rFonts w:ascii="宋体" w:hAnsi="宋体" w:hint="eastAsia"/>
        </w:rPr>
        <w:t>点、矩形、多段线、圆弧、圆的命令操作方法</w:t>
      </w:r>
      <w:r>
        <w:rPr>
          <w:rFonts w:ascii="宋体" w:hAnsi="宋体" w:hint="eastAsia"/>
          <w:bCs/>
        </w:rPr>
        <w:t>，能够熟练应用基本绘图命令完成图样绘制。</w:t>
      </w:r>
    </w:p>
    <w:p w14:paraId="1B430C80"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学生掌握</w:t>
      </w:r>
      <w:r>
        <w:rPr>
          <w:rFonts w:hint="eastAsia"/>
          <w:bCs/>
          <w:szCs w:val="21"/>
        </w:rPr>
        <w:t>CAD</w:t>
      </w:r>
      <w:r>
        <w:rPr>
          <w:rFonts w:hint="eastAsia"/>
          <w:bCs/>
          <w:szCs w:val="21"/>
        </w:rPr>
        <w:t>基本绘图命令的操作方法，能够分析绘制的图样，</w:t>
      </w:r>
      <w:r>
        <w:rPr>
          <w:rFonts w:ascii="宋体" w:hAnsi="宋体" w:hint="eastAsia"/>
          <w:bCs/>
        </w:rPr>
        <w:t>快速抓住图形要素，与CAD相结合，调用适当的CAD命令绘制图样。</w:t>
      </w:r>
    </w:p>
    <w:p w14:paraId="76433E6C"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计算机。</w:t>
      </w:r>
    </w:p>
    <w:p w14:paraId="0CBEB0B8"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二】基本编辑命令</w:t>
      </w:r>
    </w:p>
    <w:p w14:paraId="0A8E4383"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0EC0A2B4"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练习</w:t>
      </w:r>
      <w:r>
        <w:rPr>
          <w:rFonts w:ascii="宋体" w:hAnsi="宋体" w:hint="eastAsia"/>
        </w:rPr>
        <w:t>删除、旋转、复制、偏移、延伸、倒角、合并、移动、拉长、缩放等</w:t>
      </w:r>
      <w:r>
        <w:rPr>
          <w:rFonts w:ascii="宋体" w:hAnsi="宋体" w:hint="eastAsia"/>
          <w:bCs/>
        </w:rPr>
        <w:t>基本编辑修改</w:t>
      </w:r>
      <w:r>
        <w:rPr>
          <w:rFonts w:ascii="宋体" w:hAnsi="宋体" w:hint="eastAsia"/>
        </w:rPr>
        <w:t>命令操作方法</w:t>
      </w:r>
      <w:r>
        <w:rPr>
          <w:rFonts w:ascii="宋体" w:hAnsi="宋体" w:hint="eastAsia"/>
          <w:bCs/>
        </w:rPr>
        <w:t>，能够根据实际情况利用基本编辑修改</w:t>
      </w:r>
      <w:r>
        <w:rPr>
          <w:rFonts w:ascii="宋体" w:hAnsi="宋体" w:hint="eastAsia"/>
        </w:rPr>
        <w:t>命令进行图形编辑，</w:t>
      </w:r>
      <w:r>
        <w:rPr>
          <w:rFonts w:ascii="宋体" w:hAnsi="宋体" w:hint="eastAsia"/>
          <w:bCs/>
        </w:rPr>
        <w:t>完成图样绘制。</w:t>
      </w:r>
    </w:p>
    <w:p w14:paraId="0F2E8A04"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通过完成基本图样的绘制，上机实践练习</w:t>
      </w:r>
      <w:r>
        <w:rPr>
          <w:rFonts w:ascii="宋体" w:hAnsi="宋体" w:hint="eastAsia"/>
        </w:rPr>
        <w:t>删除、旋转、复制、偏移、延伸、倒角、合并、移动、拉长、缩放的命令操作方法</w:t>
      </w:r>
      <w:r>
        <w:rPr>
          <w:rFonts w:ascii="宋体" w:hAnsi="宋体" w:hint="eastAsia"/>
          <w:bCs/>
        </w:rPr>
        <w:t>，能够熟练应用编辑修改命令完成图样绘制。</w:t>
      </w:r>
    </w:p>
    <w:p w14:paraId="07717EE4"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学生掌握</w:t>
      </w:r>
      <w:r>
        <w:rPr>
          <w:rFonts w:hint="eastAsia"/>
          <w:bCs/>
          <w:szCs w:val="21"/>
        </w:rPr>
        <w:t>CAD</w:t>
      </w:r>
      <w:r>
        <w:rPr>
          <w:rFonts w:ascii="宋体" w:hAnsi="宋体" w:hint="eastAsia"/>
          <w:bCs/>
        </w:rPr>
        <w:t>编辑修改</w:t>
      </w:r>
      <w:r>
        <w:rPr>
          <w:rFonts w:hint="eastAsia"/>
          <w:bCs/>
          <w:szCs w:val="21"/>
        </w:rPr>
        <w:t>命令的操作方法，能够分析绘制的图样，</w:t>
      </w:r>
      <w:r>
        <w:rPr>
          <w:rFonts w:ascii="宋体" w:hAnsi="宋体" w:hint="eastAsia"/>
          <w:bCs/>
        </w:rPr>
        <w:t>快速抓住图形要素，与CAD相结合，调用适当的CAD编辑修改命令绘制图样。</w:t>
      </w:r>
    </w:p>
    <w:p w14:paraId="281DB697"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计算机。</w:t>
      </w:r>
    </w:p>
    <w:p w14:paraId="16F27675"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lastRenderedPageBreak/>
        <w:t>【</w:t>
      </w:r>
      <w:r>
        <w:rPr>
          <w:b/>
          <w:sz w:val="21"/>
          <w:szCs w:val="21"/>
        </w:rPr>
        <w:t>实验</w:t>
      </w:r>
      <w:r>
        <w:rPr>
          <w:rFonts w:eastAsia="宋体" w:hint="eastAsia"/>
          <w:b/>
          <w:sz w:val="21"/>
          <w:szCs w:val="21"/>
        </w:rPr>
        <w:t>三</w:t>
      </w:r>
      <w:r>
        <w:rPr>
          <w:rFonts w:hint="eastAsia"/>
          <w:b/>
          <w:sz w:val="21"/>
          <w:szCs w:val="21"/>
        </w:rPr>
        <w:t>】基本编辑命令</w:t>
      </w:r>
    </w:p>
    <w:p w14:paraId="6EB7116F"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0024D29A" w14:textId="77777777" w:rsidR="00F5289E" w:rsidRDefault="00C91173">
      <w:pPr>
        <w:snapToGrid w:val="0"/>
        <w:spacing w:line="360" w:lineRule="auto"/>
        <w:ind w:firstLineChars="200" w:firstLine="422"/>
        <w:rPr>
          <w:rFonts w:ascii="宋体" w:hAnsi="宋体"/>
          <w:bCs/>
        </w:rPr>
      </w:pPr>
      <w:r>
        <w:rPr>
          <w:rFonts w:hint="eastAsia"/>
          <w:b/>
          <w:szCs w:val="21"/>
        </w:rPr>
        <w:t>2.</w:t>
      </w:r>
      <w:r>
        <w:rPr>
          <w:rFonts w:hint="eastAsia"/>
          <w:b/>
          <w:szCs w:val="21"/>
        </w:rPr>
        <w:t>实验目的：</w:t>
      </w:r>
      <w:r>
        <w:rPr>
          <w:rFonts w:ascii="宋体" w:hAnsi="宋体" w:hint="eastAsia"/>
          <w:bCs/>
        </w:rPr>
        <w:t>练习</w:t>
      </w:r>
      <w:r>
        <w:rPr>
          <w:rFonts w:ascii="宋体" w:hAnsi="宋体" w:hint="eastAsia"/>
        </w:rPr>
        <w:t>镜像、修剪、圆角、阵列、分解、拉伸、对齐、特性匹配、多段线编辑等</w:t>
      </w:r>
      <w:r>
        <w:rPr>
          <w:rFonts w:ascii="宋体" w:hAnsi="宋体" w:hint="eastAsia"/>
          <w:bCs/>
        </w:rPr>
        <w:t>基本编辑修改</w:t>
      </w:r>
      <w:r>
        <w:rPr>
          <w:rFonts w:ascii="宋体" w:hAnsi="宋体" w:hint="eastAsia"/>
        </w:rPr>
        <w:t>命令操作方法</w:t>
      </w:r>
      <w:r>
        <w:rPr>
          <w:rFonts w:ascii="宋体" w:hAnsi="宋体" w:hint="eastAsia"/>
          <w:bCs/>
        </w:rPr>
        <w:t>，能够根据实际情况利用基本编辑修改</w:t>
      </w:r>
      <w:r>
        <w:rPr>
          <w:rFonts w:ascii="宋体" w:hAnsi="宋体" w:hint="eastAsia"/>
        </w:rPr>
        <w:t>命令进行图形编辑，</w:t>
      </w:r>
      <w:r>
        <w:rPr>
          <w:rFonts w:ascii="宋体" w:hAnsi="宋体" w:hint="eastAsia"/>
          <w:bCs/>
        </w:rPr>
        <w:t>完成图样绘制。</w:t>
      </w:r>
    </w:p>
    <w:p w14:paraId="1FB01A6A"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通过完成基本图样的绘制，上机实践练习</w:t>
      </w:r>
      <w:r>
        <w:rPr>
          <w:rFonts w:ascii="宋体" w:hAnsi="宋体" w:hint="eastAsia"/>
        </w:rPr>
        <w:t>镜像、修剪、圆角、阵列、分解、拉伸、对齐、特性匹配、多段线编辑等命令操作方法</w:t>
      </w:r>
      <w:r>
        <w:rPr>
          <w:rFonts w:ascii="宋体" w:hAnsi="宋体" w:hint="eastAsia"/>
          <w:bCs/>
        </w:rPr>
        <w:t>，能够熟练应用编辑修改命令完成图样绘制。</w:t>
      </w:r>
    </w:p>
    <w:p w14:paraId="41F21E64"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学生掌握</w:t>
      </w:r>
      <w:r>
        <w:rPr>
          <w:rFonts w:hint="eastAsia"/>
          <w:bCs/>
          <w:szCs w:val="21"/>
        </w:rPr>
        <w:t>CAD</w:t>
      </w:r>
      <w:r>
        <w:rPr>
          <w:rFonts w:ascii="宋体" w:hAnsi="宋体" w:hint="eastAsia"/>
          <w:bCs/>
        </w:rPr>
        <w:t>编辑修改</w:t>
      </w:r>
      <w:r>
        <w:rPr>
          <w:rFonts w:hint="eastAsia"/>
          <w:bCs/>
          <w:szCs w:val="21"/>
        </w:rPr>
        <w:t>命令的操作方法，能够分析绘制的图样，</w:t>
      </w:r>
      <w:r>
        <w:rPr>
          <w:rFonts w:ascii="宋体" w:hAnsi="宋体" w:hint="eastAsia"/>
          <w:bCs/>
        </w:rPr>
        <w:t>快速抓住图形要素，与CAD相结合，调用适当的CAD编辑修改命令绘制图样。</w:t>
      </w:r>
    </w:p>
    <w:p w14:paraId="0084A7F1"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计算机。</w:t>
      </w:r>
    </w:p>
    <w:p w14:paraId="7C2B7235" w14:textId="77777777" w:rsidR="00F5289E" w:rsidRDefault="00C91173">
      <w:pPr>
        <w:pStyle w:val="af1"/>
        <w:snapToGrid w:val="0"/>
        <w:spacing w:before="0" w:beforeAutospacing="0" w:after="0" w:afterAutospacing="0" w:line="360" w:lineRule="auto"/>
        <w:rPr>
          <w:rFonts w:eastAsia="宋体"/>
          <w:sz w:val="21"/>
          <w:szCs w:val="21"/>
        </w:rPr>
      </w:pPr>
      <w:r>
        <w:rPr>
          <w:rFonts w:hint="eastAsia"/>
          <w:b/>
          <w:sz w:val="21"/>
          <w:szCs w:val="21"/>
        </w:rPr>
        <w:t>【</w:t>
      </w:r>
      <w:r>
        <w:rPr>
          <w:b/>
          <w:sz w:val="21"/>
          <w:szCs w:val="21"/>
        </w:rPr>
        <w:t>实验</w:t>
      </w:r>
      <w:r>
        <w:rPr>
          <w:rFonts w:eastAsia="宋体" w:hint="eastAsia"/>
          <w:b/>
          <w:sz w:val="21"/>
          <w:szCs w:val="21"/>
        </w:rPr>
        <w:t>四</w:t>
      </w:r>
      <w:r>
        <w:rPr>
          <w:rFonts w:hint="eastAsia"/>
          <w:b/>
          <w:sz w:val="21"/>
          <w:szCs w:val="21"/>
        </w:rPr>
        <w:t>】文本与标注的绘制编辑</w:t>
      </w:r>
    </w:p>
    <w:p w14:paraId="29C95B29"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hint="eastAsia"/>
          <w:bCs/>
          <w:szCs w:val="21"/>
        </w:rPr>
        <w:t>2</w:t>
      </w:r>
      <w:r>
        <w:rPr>
          <w:rFonts w:hint="eastAsia"/>
          <w:bCs/>
          <w:szCs w:val="21"/>
        </w:rPr>
        <w:t>学时</w:t>
      </w:r>
    </w:p>
    <w:p w14:paraId="2CBAF54F"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练习文本样式、文本编辑、标注样式、标准编辑</w:t>
      </w:r>
      <w:r>
        <w:rPr>
          <w:rFonts w:ascii="宋体" w:hAnsi="宋体" w:hint="eastAsia"/>
        </w:rPr>
        <w:t>等命令操作方法</w:t>
      </w:r>
      <w:r>
        <w:rPr>
          <w:rFonts w:ascii="宋体" w:hAnsi="宋体" w:hint="eastAsia"/>
          <w:bCs/>
        </w:rPr>
        <w:t>，能够根据实际情况利用文本与标注的绘制编辑</w:t>
      </w:r>
      <w:r>
        <w:rPr>
          <w:rFonts w:ascii="宋体" w:hAnsi="宋体" w:hint="eastAsia"/>
        </w:rPr>
        <w:t>命令进行图形注释和标注，</w:t>
      </w:r>
      <w:r>
        <w:rPr>
          <w:rFonts w:ascii="宋体" w:hAnsi="宋体" w:hint="eastAsia"/>
          <w:bCs/>
        </w:rPr>
        <w:t>完成图样绘制。</w:t>
      </w:r>
    </w:p>
    <w:p w14:paraId="1B61A122"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通过完成基本图样的绘制，上机实践练习文本样式、文本编辑、标注样式、标准编辑</w:t>
      </w:r>
      <w:r>
        <w:rPr>
          <w:rFonts w:ascii="宋体" w:hAnsi="宋体" w:hint="eastAsia"/>
        </w:rPr>
        <w:t>等命令操作方法</w:t>
      </w:r>
      <w:r>
        <w:rPr>
          <w:rFonts w:ascii="宋体" w:hAnsi="宋体" w:hint="eastAsia"/>
          <w:bCs/>
        </w:rPr>
        <w:t>，能够熟练应用文本与标注的绘制编辑</w:t>
      </w:r>
      <w:r>
        <w:rPr>
          <w:rFonts w:ascii="宋体" w:hAnsi="宋体" w:hint="eastAsia"/>
        </w:rPr>
        <w:t>命令进行图形注释和标注</w:t>
      </w:r>
      <w:r>
        <w:rPr>
          <w:rFonts w:ascii="宋体" w:hAnsi="宋体" w:hint="eastAsia"/>
          <w:bCs/>
        </w:rPr>
        <w:t>。</w:t>
      </w:r>
    </w:p>
    <w:p w14:paraId="0B6F4921"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bCs/>
          <w:szCs w:val="21"/>
        </w:rPr>
        <w:t>学生掌握</w:t>
      </w:r>
      <w:r>
        <w:rPr>
          <w:rFonts w:hint="eastAsia"/>
          <w:bCs/>
          <w:szCs w:val="21"/>
        </w:rPr>
        <w:t>CAD</w:t>
      </w:r>
      <w:r>
        <w:rPr>
          <w:rFonts w:hint="eastAsia"/>
          <w:bCs/>
          <w:szCs w:val="21"/>
        </w:rPr>
        <w:t>文本与标注的绘制编辑命令的操作方法，能够分析绘制的图样，</w:t>
      </w:r>
      <w:r>
        <w:rPr>
          <w:rFonts w:ascii="宋体" w:hAnsi="宋体" w:hint="eastAsia"/>
          <w:bCs/>
        </w:rPr>
        <w:t>快速抓住图形要素，与CAD相结合，调用适当的CAD文本与标注的绘制编辑命令和其他命令共同完成绘制图样。</w:t>
      </w:r>
    </w:p>
    <w:p w14:paraId="47553E2C" w14:textId="77777777" w:rsidR="00F5289E" w:rsidRDefault="00C91173">
      <w:pPr>
        <w:snapToGrid w:val="0"/>
        <w:spacing w:line="360" w:lineRule="auto"/>
        <w:ind w:firstLineChars="200" w:firstLine="422"/>
        <w:rPr>
          <w:b/>
          <w:szCs w:val="21"/>
        </w:rPr>
      </w:pPr>
      <w:r>
        <w:rPr>
          <w:rFonts w:hint="eastAsia"/>
          <w:b/>
          <w:szCs w:val="21"/>
        </w:rPr>
        <w:t>5.</w:t>
      </w:r>
      <w:r>
        <w:rPr>
          <w:rFonts w:hint="eastAsia"/>
          <w:b/>
          <w:szCs w:val="21"/>
        </w:rPr>
        <w:t>实验设备及器材：</w:t>
      </w:r>
      <w:r>
        <w:rPr>
          <w:rFonts w:ascii="宋体" w:hAnsi="宋体" w:hint="eastAsia"/>
          <w:bCs/>
        </w:rPr>
        <w:t>计算机。</w:t>
      </w:r>
    </w:p>
    <w:p w14:paraId="2C3EE6E4" w14:textId="77777777" w:rsidR="00F5289E" w:rsidRDefault="00C91173">
      <w:pPr>
        <w:snapToGrid w:val="0"/>
        <w:spacing w:line="360" w:lineRule="auto"/>
        <w:rPr>
          <w:rFonts w:ascii="宋体" w:hAnsi="宋体"/>
          <w:bCs/>
          <w:szCs w:val="21"/>
        </w:rPr>
      </w:pPr>
      <w:r>
        <w:rPr>
          <w:rFonts w:ascii="宋体" w:hAnsi="宋体" w:hint="eastAsia"/>
          <w:b/>
          <w:szCs w:val="21"/>
        </w:rPr>
        <w:t>(七)</w:t>
      </w:r>
      <w:r>
        <w:rPr>
          <w:rFonts w:ascii="宋体" w:hAnsi="宋体" w:hint="eastAsia"/>
          <w:b/>
          <w:bCs/>
          <w:szCs w:val="21"/>
        </w:rPr>
        <w:t>考核方式及成绩评定</w:t>
      </w:r>
    </w:p>
    <w:p w14:paraId="042C888E" w14:textId="77777777" w:rsidR="00F5289E" w:rsidRDefault="00C91173">
      <w:pPr>
        <w:snapToGrid w:val="0"/>
        <w:spacing w:line="360" w:lineRule="auto"/>
        <w:ind w:firstLineChars="200" w:firstLine="420"/>
        <w:rPr>
          <w:rFonts w:ascii="宋体" w:hAnsi="宋体"/>
          <w:bCs/>
        </w:rPr>
      </w:pPr>
      <w:r>
        <w:rPr>
          <w:rFonts w:hAnsi="宋体" w:hint="eastAsia"/>
          <w:kern w:val="0"/>
          <w:szCs w:val="21"/>
        </w:rPr>
        <w:t>实验课成绩评定包括出勤和实验成果两部分，实验成果为实验课上绘制的图样，由学生互评和教师评价共同评定成绩</w:t>
      </w:r>
      <w:r>
        <w:rPr>
          <w:rFonts w:eastAsiaTheme="majorEastAsia"/>
          <w:szCs w:val="21"/>
        </w:rPr>
        <w:t>。</w:t>
      </w:r>
    </w:p>
    <w:p w14:paraId="3B7F6D41"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228F1CE6" w14:textId="77777777" w:rsidR="00F5289E" w:rsidRDefault="00C91173">
      <w:pPr>
        <w:snapToGrid w:val="0"/>
        <w:spacing w:line="360" w:lineRule="auto"/>
        <w:ind w:firstLineChars="200" w:firstLine="420"/>
        <w:rPr>
          <w:rFonts w:hAnsi="宋体"/>
          <w:szCs w:val="21"/>
        </w:rPr>
      </w:pPr>
      <w:r>
        <w:rPr>
          <w:rFonts w:hAnsi="宋体" w:hint="eastAsia"/>
          <w:szCs w:val="21"/>
        </w:rPr>
        <w:t>CAD</w:t>
      </w:r>
      <w:r>
        <w:rPr>
          <w:rFonts w:hAnsi="宋体" w:hint="eastAsia"/>
          <w:szCs w:val="21"/>
        </w:rPr>
        <w:t>制图是一门软件操作类课程，教师要结合课程的特点和专业需求，教师在教学过程中深入发掘和提炼课程自身蕴含的思政内涵和元素</w:t>
      </w:r>
      <w:r>
        <w:rPr>
          <w:rFonts w:hAnsi="宋体" w:hint="eastAsia"/>
          <w:szCs w:val="21"/>
        </w:rPr>
        <w:t>,</w:t>
      </w:r>
      <w:r>
        <w:rPr>
          <w:rFonts w:hAnsi="宋体" w:hint="eastAsia"/>
          <w:szCs w:val="21"/>
        </w:rPr>
        <w:t>有助于实现思政教育和德育教育的目标</w:t>
      </w:r>
      <w:r>
        <w:rPr>
          <w:rFonts w:hAnsi="宋体" w:hint="eastAsia"/>
          <w:szCs w:val="21"/>
        </w:rPr>
        <w:t>,</w:t>
      </w:r>
      <w:r>
        <w:rPr>
          <w:rFonts w:hAnsi="宋体" w:hint="eastAsia"/>
          <w:szCs w:val="21"/>
        </w:rPr>
        <w:t>在这个过程中</w:t>
      </w:r>
      <w:r>
        <w:rPr>
          <w:rFonts w:hAnsi="宋体" w:hint="eastAsia"/>
          <w:szCs w:val="21"/>
        </w:rPr>
        <w:t>,</w:t>
      </w:r>
      <w:r>
        <w:rPr>
          <w:rFonts w:hAnsi="宋体" w:hint="eastAsia"/>
          <w:szCs w:val="21"/>
        </w:rPr>
        <w:t>教师要做到：一是做好学生的价值引领</w:t>
      </w:r>
      <w:r>
        <w:rPr>
          <w:rFonts w:hAnsi="宋体" w:hint="eastAsia"/>
          <w:szCs w:val="21"/>
        </w:rPr>
        <w:t>,</w:t>
      </w:r>
      <w:r>
        <w:rPr>
          <w:rFonts w:hAnsi="宋体" w:hint="eastAsia"/>
          <w:szCs w:val="21"/>
        </w:rPr>
        <w:t>通过党的政策宣传以及社会舆论引导、自我教育等方式增强学生对党和国家的政治、思想和情感认同</w:t>
      </w:r>
      <w:r>
        <w:rPr>
          <w:rFonts w:hAnsi="宋体" w:hint="eastAsia"/>
          <w:szCs w:val="21"/>
        </w:rPr>
        <w:t>,</w:t>
      </w:r>
      <w:r>
        <w:rPr>
          <w:rFonts w:hAnsi="宋体" w:hint="eastAsia"/>
          <w:szCs w:val="21"/>
        </w:rPr>
        <w:t>坚定学生的理想信念</w:t>
      </w:r>
      <w:r>
        <w:rPr>
          <w:rFonts w:hAnsi="宋体" w:hint="eastAsia"/>
          <w:szCs w:val="21"/>
        </w:rPr>
        <w:t>,</w:t>
      </w:r>
      <w:r>
        <w:rPr>
          <w:rFonts w:hAnsi="宋体" w:hint="eastAsia"/>
          <w:szCs w:val="21"/>
        </w:rPr>
        <w:t>帮助学生树立正确的价值方向；二是塑造学生高尚的个人品格</w:t>
      </w:r>
      <w:r>
        <w:rPr>
          <w:rFonts w:hAnsi="宋体" w:hint="eastAsia"/>
          <w:szCs w:val="21"/>
        </w:rPr>
        <w:t>,</w:t>
      </w:r>
      <w:r>
        <w:rPr>
          <w:rFonts w:hAnsi="宋体" w:hint="eastAsia"/>
          <w:szCs w:val="21"/>
        </w:rPr>
        <w:t>培养学生正确的道德认知、道德情感、道德意识和道德行为</w:t>
      </w:r>
      <w:r>
        <w:rPr>
          <w:rFonts w:hAnsi="宋体" w:hint="eastAsia"/>
          <w:szCs w:val="21"/>
        </w:rPr>
        <w:t>,</w:t>
      </w:r>
      <w:r>
        <w:rPr>
          <w:rFonts w:hAnsi="宋体" w:hint="eastAsia"/>
          <w:szCs w:val="21"/>
        </w:rPr>
        <w:t>提高学生个人的社会公德、职业道德、家庭美德</w:t>
      </w:r>
      <w:r>
        <w:rPr>
          <w:rFonts w:hAnsi="宋体" w:hint="eastAsia"/>
          <w:szCs w:val="21"/>
        </w:rPr>
        <w:t>,</w:t>
      </w:r>
      <w:r>
        <w:rPr>
          <w:rFonts w:hAnsi="宋体" w:hint="eastAsia"/>
          <w:szCs w:val="21"/>
        </w:rPr>
        <w:t>帮助学生培养高尚的道德情操和健全的人格；三是传承和弘扬中华优秀传统文化</w:t>
      </w:r>
      <w:r>
        <w:rPr>
          <w:rFonts w:hAnsi="宋体" w:hint="eastAsia"/>
          <w:szCs w:val="21"/>
        </w:rPr>
        <w:t>,</w:t>
      </w:r>
      <w:r>
        <w:rPr>
          <w:rFonts w:hAnsi="宋体" w:hint="eastAsia"/>
          <w:szCs w:val="21"/>
        </w:rPr>
        <w:t>挖掘整理与课程相关的历史故事和典型人物</w:t>
      </w:r>
      <w:r>
        <w:rPr>
          <w:rFonts w:hAnsi="宋体" w:hint="eastAsia"/>
          <w:szCs w:val="21"/>
        </w:rPr>
        <w:t>,</w:t>
      </w:r>
      <w:r>
        <w:rPr>
          <w:rFonts w:hAnsi="宋体" w:hint="eastAsia"/>
          <w:szCs w:val="21"/>
        </w:rPr>
        <w:t>将其作为教育题材</w:t>
      </w:r>
      <w:r>
        <w:rPr>
          <w:rFonts w:hAnsi="宋体" w:hint="eastAsia"/>
          <w:szCs w:val="21"/>
        </w:rPr>
        <w:t>,</w:t>
      </w:r>
      <w:r>
        <w:rPr>
          <w:rFonts w:hAnsi="宋体" w:hint="eastAsia"/>
          <w:szCs w:val="21"/>
        </w:rPr>
        <w:t>激发学生的爱国热情和崇尚科学的精神；四是在实践中引导学生理解职业精神</w:t>
      </w:r>
      <w:r>
        <w:rPr>
          <w:rFonts w:hAnsi="宋体" w:hint="eastAsia"/>
          <w:szCs w:val="21"/>
        </w:rPr>
        <w:t>,</w:t>
      </w:r>
      <w:r>
        <w:rPr>
          <w:rFonts w:hAnsi="宋体" w:hint="eastAsia"/>
          <w:szCs w:val="21"/>
        </w:rPr>
        <w:t>践行职业规范</w:t>
      </w:r>
      <w:r>
        <w:rPr>
          <w:rFonts w:hAnsi="宋体" w:hint="eastAsia"/>
          <w:szCs w:val="21"/>
        </w:rPr>
        <w:t>,</w:t>
      </w:r>
      <w:r>
        <w:rPr>
          <w:rFonts w:hAnsi="宋体" w:hint="eastAsia"/>
          <w:szCs w:val="21"/>
        </w:rPr>
        <w:t>增强职业责任意识</w:t>
      </w:r>
      <w:r>
        <w:rPr>
          <w:rFonts w:hAnsi="宋体" w:hint="eastAsia"/>
          <w:szCs w:val="21"/>
        </w:rPr>
        <w:t>,</w:t>
      </w:r>
      <w:r>
        <w:rPr>
          <w:rFonts w:hAnsi="宋体" w:hint="eastAsia"/>
          <w:szCs w:val="21"/>
        </w:rPr>
        <w:t>培养学生爱岗敬业、精益求精、踏实勤奋、严谨细致等职业精神。</w:t>
      </w:r>
    </w:p>
    <w:p w14:paraId="67546590" w14:textId="77777777" w:rsidR="00F5289E" w:rsidRDefault="00C91173">
      <w:pPr>
        <w:snapToGrid w:val="0"/>
        <w:spacing w:line="360" w:lineRule="auto"/>
        <w:ind w:firstLineChars="200" w:firstLine="420"/>
        <w:rPr>
          <w:rFonts w:hAnsi="宋体"/>
          <w:szCs w:val="21"/>
        </w:rPr>
      </w:pPr>
      <w:r>
        <w:rPr>
          <w:rFonts w:hAnsi="宋体" w:hint="eastAsia"/>
          <w:szCs w:val="21"/>
        </w:rPr>
        <w:lastRenderedPageBreak/>
        <w:t>例如，教师在教学过程中，引导学生在绘制图样过程中，追求严谨细致、精益求精、超越自我的工匠精神</w:t>
      </w:r>
      <w:r>
        <w:rPr>
          <w:rFonts w:hAnsi="宋体" w:hint="eastAsia"/>
          <w:szCs w:val="21"/>
        </w:rPr>
        <w:t>,</w:t>
      </w:r>
      <w:r>
        <w:rPr>
          <w:rFonts w:hAnsi="宋体" w:hint="eastAsia"/>
          <w:szCs w:val="21"/>
        </w:rPr>
        <w:t>比如</w:t>
      </w:r>
      <w:r>
        <w:rPr>
          <w:rFonts w:hAnsi="宋体" w:hint="eastAsia"/>
          <w:szCs w:val="21"/>
        </w:rPr>
        <w:t>,</w:t>
      </w:r>
      <w:r>
        <w:rPr>
          <w:rFonts w:hAnsi="宋体" w:hint="eastAsia"/>
          <w:szCs w:val="21"/>
        </w:rPr>
        <w:t>在进行图样绘制时，教师要求学生严格遵守国标中图线的要求，即可见轮廓线用粗实线、不可见轮廓线用虚线、对称中心用点画线等</w:t>
      </w:r>
      <w:r>
        <w:rPr>
          <w:rFonts w:hAnsi="宋体" w:hint="eastAsia"/>
          <w:szCs w:val="21"/>
        </w:rPr>
        <w:t>:</w:t>
      </w:r>
      <w:r>
        <w:rPr>
          <w:rFonts w:hAnsi="宋体" w:hint="eastAsia"/>
          <w:szCs w:val="21"/>
        </w:rPr>
        <w:t>在尺寸标注时</w:t>
      </w:r>
      <w:r>
        <w:rPr>
          <w:rFonts w:hAnsi="宋体" w:hint="eastAsia"/>
          <w:szCs w:val="21"/>
        </w:rPr>
        <w:t>,</w:t>
      </w:r>
      <w:r>
        <w:rPr>
          <w:rFonts w:hAnsi="宋体" w:hint="eastAsia"/>
          <w:szCs w:val="21"/>
        </w:rPr>
        <w:t>注意突出数字</w:t>
      </w:r>
      <w:r>
        <w:rPr>
          <w:rFonts w:hAnsi="宋体" w:hint="eastAsia"/>
          <w:szCs w:val="21"/>
        </w:rPr>
        <w:t>,</w:t>
      </w:r>
      <w:r>
        <w:rPr>
          <w:rFonts w:hAnsi="宋体" w:hint="eastAsia"/>
          <w:szCs w:val="21"/>
        </w:rPr>
        <w:t>任何线都不能超过数字等规范。</w:t>
      </w:r>
    </w:p>
    <w:p w14:paraId="2BC9467E" w14:textId="77777777" w:rsidR="00F5289E" w:rsidRDefault="00C91173">
      <w:pPr>
        <w:snapToGrid w:val="0"/>
        <w:spacing w:line="360" w:lineRule="auto"/>
        <w:jc w:val="left"/>
        <w:rPr>
          <w:rFonts w:hAnsi="宋体"/>
          <w:szCs w:val="21"/>
        </w:rPr>
      </w:pPr>
      <w:r>
        <w:rPr>
          <w:rFonts w:hAnsi="宋体" w:hint="eastAsia"/>
          <w:szCs w:val="21"/>
        </w:rPr>
        <w:t>例如</w:t>
      </w:r>
      <w:r>
        <w:rPr>
          <w:rFonts w:hAnsi="宋体" w:hint="eastAsia"/>
          <w:szCs w:val="21"/>
        </w:rPr>
        <w:t>,</w:t>
      </w:r>
      <w:r>
        <w:rPr>
          <w:rFonts w:hAnsi="宋体" w:hint="eastAsia"/>
          <w:szCs w:val="21"/>
        </w:rPr>
        <w:t>讲解视图布局时</w:t>
      </w:r>
      <w:r>
        <w:rPr>
          <w:rFonts w:hAnsi="宋体" w:hint="eastAsia"/>
          <w:szCs w:val="21"/>
        </w:rPr>
        <w:t>,</w:t>
      </w:r>
      <w:r>
        <w:rPr>
          <w:rFonts w:hAnsi="宋体" w:hint="eastAsia"/>
          <w:szCs w:val="21"/>
        </w:rPr>
        <w:t>视图要达到均匀、布满图框空白处的目标，学生要先从整体布局考虑，对应思政元素中的大局观和全局意识</w:t>
      </w:r>
      <w:r>
        <w:rPr>
          <w:rFonts w:hAnsi="宋体" w:hint="eastAsia"/>
          <w:szCs w:val="21"/>
        </w:rPr>
        <w:t>;</w:t>
      </w:r>
      <w:r>
        <w:rPr>
          <w:rFonts w:hAnsi="宋体" w:hint="eastAsia"/>
          <w:szCs w:val="21"/>
        </w:rPr>
        <w:t>再如，在学习多边形和多段线命令的时候</w:t>
      </w:r>
      <w:r>
        <w:rPr>
          <w:rFonts w:hAnsi="宋体" w:hint="eastAsia"/>
          <w:szCs w:val="21"/>
        </w:rPr>
        <w:t>,</w:t>
      </w:r>
      <w:r>
        <w:rPr>
          <w:rFonts w:hAnsi="宋体" w:hint="eastAsia"/>
          <w:szCs w:val="21"/>
        </w:rPr>
        <w:t>教师要求学生亲手绘制一幅国旗和党旗，完成多边形和多段线命令的学习</w:t>
      </w:r>
      <w:r>
        <w:rPr>
          <w:rFonts w:hAnsi="宋体" w:hint="eastAsia"/>
          <w:szCs w:val="21"/>
        </w:rPr>
        <w:t>,</w:t>
      </w:r>
      <w:r>
        <w:rPr>
          <w:rFonts w:hAnsi="宋体" w:hint="eastAsia"/>
          <w:szCs w:val="21"/>
        </w:rPr>
        <w:t>从而培养学生的爱国情怀和爱党热情。</w:t>
      </w:r>
    </w:p>
    <w:p w14:paraId="63A208F1"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5A3DF618"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1616C9D1"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（1）理论课教材：中文版AutoCAD工程制图（2020版）</w:t>
      </w:r>
      <w:r>
        <w:rPr>
          <w:rFonts w:hAnsi="宋体"/>
          <w:bCs/>
          <w:kern w:val="0"/>
          <w:szCs w:val="21"/>
        </w:rPr>
        <w:t>，</w:t>
      </w:r>
      <w:r>
        <w:rPr>
          <w:rFonts w:hAnsi="宋体" w:hint="eastAsia"/>
          <w:bCs/>
          <w:kern w:val="0"/>
          <w:szCs w:val="21"/>
        </w:rPr>
        <w:t>邓飞、于冬梅</w:t>
      </w:r>
      <w:r>
        <w:rPr>
          <w:rFonts w:hAnsi="宋体"/>
          <w:bCs/>
          <w:kern w:val="0"/>
          <w:szCs w:val="21"/>
        </w:rPr>
        <w:t>，</w:t>
      </w:r>
      <w:r>
        <w:rPr>
          <w:rFonts w:hAnsi="宋体" w:hint="eastAsia"/>
          <w:bCs/>
          <w:kern w:val="0"/>
          <w:szCs w:val="21"/>
        </w:rPr>
        <w:t>清华大学</w:t>
      </w:r>
      <w:r>
        <w:rPr>
          <w:rFonts w:hAnsi="宋体"/>
          <w:bCs/>
          <w:kern w:val="0"/>
          <w:szCs w:val="21"/>
        </w:rPr>
        <w:t>出版社，</w:t>
      </w:r>
      <w:r>
        <w:rPr>
          <w:rFonts w:hAnsi="宋体" w:hint="eastAsia"/>
          <w:bCs/>
          <w:kern w:val="0"/>
          <w:szCs w:val="21"/>
        </w:rPr>
        <w:t>2022</w:t>
      </w:r>
      <w:r>
        <w:rPr>
          <w:rFonts w:hAnsi="宋体"/>
          <w:bCs/>
          <w:kern w:val="0"/>
          <w:szCs w:val="21"/>
        </w:rPr>
        <w:t>年</w:t>
      </w:r>
    </w:p>
    <w:p w14:paraId="03491B44"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rPr>
        <w:t>（2）实验课教材：</w:t>
      </w:r>
      <w:r>
        <w:rPr>
          <w:rFonts w:hAnsi="宋体" w:hint="eastAsia"/>
          <w:bCs/>
          <w:kern w:val="0"/>
          <w:szCs w:val="21"/>
        </w:rPr>
        <w:t>中文版</w:t>
      </w:r>
      <w:r>
        <w:rPr>
          <w:rFonts w:hAnsi="宋体" w:hint="eastAsia"/>
          <w:bCs/>
          <w:kern w:val="0"/>
          <w:szCs w:val="21"/>
        </w:rPr>
        <w:t xml:space="preserve"> AutoCAD </w:t>
      </w:r>
      <w:r>
        <w:rPr>
          <w:rFonts w:hAnsi="宋体" w:hint="eastAsia"/>
          <w:bCs/>
          <w:kern w:val="0"/>
          <w:szCs w:val="21"/>
        </w:rPr>
        <w:t>工程制图上机练习与指导：</w:t>
      </w:r>
      <w:r>
        <w:rPr>
          <w:rFonts w:hAnsi="宋体" w:hint="eastAsia"/>
          <w:bCs/>
          <w:kern w:val="0"/>
          <w:szCs w:val="21"/>
        </w:rPr>
        <w:t xml:space="preserve">2020 </w:t>
      </w:r>
      <w:r>
        <w:rPr>
          <w:rFonts w:hAnsi="宋体" w:hint="eastAsia"/>
          <w:bCs/>
          <w:kern w:val="0"/>
          <w:szCs w:val="21"/>
        </w:rPr>
        <w:t>版，董海、马继刚、李荣泽</w:t>
      </w:r>
      <w:r>
        <w:rPr>
          <w:rFonts w:hAnsi="宋体"/>
          <w:bCs/>
          <w:kern w:val="0"/>
          <w:szCs w:val="21"/>
        </w:rPr>
        <w:t>，</w:t>
      </w:r>
      <w:r>
        <w:rPr>
          <w:rFonts w:hAnsi="宋体" w:hint="eastAsia"/>
          <w:bCs/>
          <w:kern w:val="0"/>
          <w:szCs w:val="21"/>
        </w:rPr>
        <w:t>清华大学</w:t>
      </w:r>
      <w:r>
        <w:rPr>
          <w:rFonts w:hAnsi="宋体"/>
          <w:bCs/>
          <w:kern w:val="0"/>
          <w:szCs w:val="21"/>
        </w:rPr>
        <w:t>出版社，</w:t>
      </w:r>
      <w:r>
        <w:rPr>
          <w:rFonts w:hAnsi="宋体" w:hint="eastAsia"/>
          <w:bCs/>
          <w:kern w:val="0"/>
          <w:szCs w:val="21"/>
        </w:rPr>
        <w:t>2022</w:t>
      </w:r>
      <w:r>
        <w:rPr>
          <w:rFonts w:hAnsi="宋体"/>
          <w:bCs/>
          <w:kern w:val="0"/>
          <w:szCs w:val="21"/>
        </w:rPr>
        <w:t>年</w:t>
      </w:r>
    </w:p>
    <w:p w14:paraId="26A7A5FE"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0897D426"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bCs/>
          <w:kern w:val="0"/>
          <w:szCs w:val="21"/>
        </w:rPr>
        <w:t>1</w:t>
      </w:r>
      <w:r>
        <w:rPr>
          <w:rFonts w:hAnsi="宋体"/>
          <w:bCs/>
          <w:kern w:val="0"/>
          <w:szCs w:val="21"/>
        </w:rPr>
        <w:t>）</w:t>
      </w:r>
      <w:r>
        <w:rPr>
          <w:rFonts w:hAnsi="宋体" w:hint="eastAsia"/>
          <w:bCs/>
          <w:kern w:val="0"/>
          <w:szCs w:val="21"/>
        </w:rPr>
        <w:t>AutoCAD2020</w:t>
      </w:r>
      <w:r>
        <w:rPr>
          <w:rFonts w:hAnsi="宋体" w:hint="eastAsia"/>
          <w:bCs/>
          <w:kern w:val="0"/>
          <w:szCs w:val="21"/>
        </w:rPr>
        <w:t>中文版建筑土木工程制图快速入门实例教程．单春阳、胡仁喜．机械工业出版社</w:t>
      </w:r>
      <w:r>
        <w:rPr>
          <w:rFonts w:hAnsi="宋体" w:hint="eastAsia"/>
          <w:bCs/>
          <w:kern w:val="0"/>
          <w:szCs w:val="21"/>
        </w:rPr>
        <w:t>, 2021</w:t>
      </w:r>
      <w:r>
        <w:rPr>
          <w:rFonts w:hAnsi="宋体" w:hint="eastAsia"/>
          <w:bCs/>
          <w:kern w:val="0"/>
          <w:szCs w:val="21"/>
        </w:rPr>
        <w:t>年</w:t>
      </w:r>
    </w:p>
    <w:p w14:paraId="43B27C3D"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hAnsi="宋体" w:hint="eastAsia"/>
          <w:bCs/>
          <w:kern w:val="0"/>
          <w:szCs w:val="21"/>
        </w:rPr>
        <w:t>AutoCAD 2020</w:t>
      </w:r>
      <w:r>
        <w:rPr>
          <w:rFonts w:hAnsi="宋体" w:hint="eastAsia"/>
          <w:bCs/>
          <w:kern w:val="0"/>
          <w:szCs w:val="21"/>
        </w:rPr>
        <w:t>中文版从入门到精通</w:t>
      </w:r>
      <w:r>
        <w:rPr>
          <w:rFonts w:hAnsi="宋体" w:hint="eastAsia"/>
          <w:bCs/>
          <w:kern w:val="0"/>
          <w:szCs w:val="21"/>
        </w:rPr>
        <w:t>(</w:t>
      </w:r>
      <w:r>
        <w:rPr>
          <w:rFonts w:hAnsi="宋体" w:hint="eastAsia"/>
          <w:bCs/>
          <w:kern w:val="0"/>
          <w:szCs w:val="21"/>
        </w:rPr>
        <w:t>标准版</w:t>
      </w:r>
      <w:r>
        <w:rPr>
          <w:rFonts w:hAnsi="宋体" w:hint="eastAsia"/>
          <w:bCs/>
          <w:kern w:val="0"/>
          <w:szCs w:val="21"/>
        </w:rPr>
        <w:t>)</w:t>
      </w:r>
      <w:r>
        <w:rPr>
          <w:rFonts w:hAnsi="宋体" w:hint="eastAsia"/>
          <w:bCs/>
          <w:kern w:val="0"/>
          <w:szCs w:val="21"/>
        </w:rPr>
        <w:t>，</w:t>
      </w:r>
      <w:r>
        <w:rPr>
          <w:rFonts w:hAnsi="宋体" w:hint="eastAsia"/>
          <w:bCs/>
          <w:kern w:val="0"/>
          <w:szCs w:val="21"/>
        </w:rPr>
        <w:t>CAD/CAM/CAE</w:t>
      </w:r>
      <w:r>
        <w:rPr>
          <w:rFonts w:hAnsi="宋体" w:hint="eastAsia"/>
          <w:bCs/>
          <w:kern w:val="0"/>
          <w:szCs w:val="21"/>
        </w:rPr>
        <w:t>技术联盟，清华大学出版社，</w:t>
      </w:r>
      <w:r>
        <w:rPr>
          <w:rFonts w:hAnsi="宋体" w:hint="eastAsia"/>
          <w:bCs/>
          <w:kern w:val="0"/>
          <w:szCs w:val="21"/>
        </w:rPr>
        <w:t>2020</w:t>
      </w:r>
      <w:r>
        <w:rPr>
          <w:rFonts w:hAnsi="宋体" w:hint="eastAsia"/>
          <w:bCs/>
          <w:kern w:val="0"/>
          <w:szCs w:val="21"/>
        </w:rPr>
        <w:t>年</w:t>
      </w:r>
    </w:p>
    <w:p w14:paraId="3155001C"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24F204BF" w14:textId="77777777" w:rsidR="00F5289E" w:rsidRDefault="00C91173">
      <w:pPr>
        <w:snapToGrid w:val="0"/>
        <w:spacing w:line="360" w:lineRule="auto"/>
        <w:ind w:firstLineChars="200" w:firstLine="420"/>
        <w:rPr>
          <w:szCs w:val="21"/>
        </w:rPr>
      </w:pPr>
      <w:r>
        <w:rPr>
          <w:rFonts w:hAnsi="宋体"/>
          <w:szCs w:val="21"/>
        </w:rPr>
        <w:t>（</w:t>
      </w:r>
      <w:r>
        <w:rPr>
          <w:szCs w:val="21"/>
        </w:rPr>
        <w:t>1</w:t>
      </w:r>
      <w:r>
        <w:rPr>
          <w:rFonts w:hAnsi="宋体"/>
          <w:szCs w:val="21"/>
        </w:rPr>
        <w:t>）</w:t>
      </w:r>
      <w:r>
        <w:rPr>
          <w:rFonts w:hAnsi="宋体" w:hint="eastAsia"/>
          <w:szCs w:val="21"/>
        </w:rPr>
        <w:t>我爱自学网</w:t>
      </w:r>
      <w:r>
        <w:rPr>
          <w:rFonts w:hAnsi="宋体"/>
          <w:szCs w:val="21"/>
        </w:rPr>
        <w:t>，</w:t>
      </w:r>
      <w:r>
        <w:rPr>
          <w:rFonts w:hAnsi="宋体" w:hint="eastAsia"/>
          <w:szCs w:val="21"/>
        </w:rPr>
        <w:t>http://www.52zxw.com/</w:t>
      </w:r>
    </w:p>
    <w:p w14:paraId="73ACCD4E" w14:textId="77777777" w:rsidR="00F5289E" w:rsidRDefault="00C91173">
      <w:pPr>
        <w:widowControl/>
        <w:snapToGrid w:val="0"/>
        <w:spacing w:line="360" w:lineRule="auto"/>
        <w:ind w:firstLineChars="200" w:firstLine="420"/>
        <w:jc w:val="left"/>
        <w:rPr>
          <w:kern w:val="0"/>
        </w:rPr>
      </w:pPr>
      <w:r>
        <w:rPr>
          <w:rFonts w:hAnsi="宋体"/>
          <w:szCs w:val="21"/>
        </w:rPr>
        <w:t>（</w:t>
      </w:r>
      <w:r>
        <w:rPr>
          <w:szCs w:val="21"/>
        </w:rPr>
        <w:t>2</w:t>
      </w:r>
      <w:r>
        <w:rPr>
          <w:rFonts w:hAnsi="宋体"/>
          <w:szCs w:val="21"/>
        </w:rPr>
        <w:t>）</w:t>
      </w:r>
      <w:r>
        <w:rPr>
          <w:rFonts w:hAnsi="宋体" w:hint="eastAsia"/>
          <w:szCs w:val="21"/>
        </w:rPr>
        <w:t>土木在线网</w:t>
      </w:r>
      <w:r>
        <w:rPr>
          <w:rFonts w:hAnsi="宋体"/>
          <w:szCs w:val="21"/>
        </w:rPr>
        <w:t>，</w:t>
      </w:r>
      <w:r>
        <w:rPr>
          <w:rFonts w:hAnsi="宋体" w:hint="eastAsia"/>
          <w:szCs w:val="21"/>
        </w:rPr>
        <w:t>https://www.co188.com/</w:t>
      </w:r>
    </w:p>
    <w:p w14:paraId="474D12D6"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72D86BFD"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CAD制图课程是一门实操性很强的课程，教学过程中教师演示，学生操作，完成CAD软件命令的学习和应用，需要计算机机房1间，能容纳60名左右同学同时上课。</w:t>
      </w:r>
    </w:p>
    <w:p w14:paraId="73B3B75A"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508DEE02" w14:textId="77777777" w:rsidR="00F5289E" w:rsidRDefault="00C91173">
      <w:pPr>
        <w:widowControl/>
        <w:snapToGrid w:val="0"/>
        <w:spacing w:line="360" w:lineRule="auto"/>
        <w:ind w:firstLine="420"/>
        <w:jc w:val="left"/>
        <w:rPr>
          <w:rFonts w:ascii="宋体" w:hAnsi="宋体"/>
          <w:szCs w:val="21"/>
        </w:rPr>
      </w:pPr>
      <w:r>
        <w:rPr>
          <w:rFonts w:hAnsi="宋体" w:hint="eastAsia"/>
          <w:b/>
          <w:bCs/>
          <w:kern w:val="0"/>
          <w:szCs w:val="21"/>
        </w:rPr>
        <w:t>1.</w:t>
      </w:r>
      <w:r>
        <w:rPr>
          <w:rFonts w:hAnsi="宋体" w:hint="eastAsia"/>
          <w:b/>
          <w:bCs/>
          <w:kern w:val="0"/>
          <w:szCs w:val="21"/>
        </w:rPr>
        <w:t>过程性评价：</w:t>
      </w:r>
      <w:r>
        <w:rPr>
          <w:rFonts w:eastAsiaTheme="majorEastAsia"/>
          <w:szCs w:val="21"/>
        </w:rPr>
        <w:t>过程</w:t>
      </w:r>
      <w:r>
        <w:rPr>
          <w:rFonts w:eastAsiaTheme="majorEastAsia" w:hint="eastAsia"/>
          <w:szCs w:val="21"/>
        </w:rPr>
        <w:t>性</w:t>
      </w:r>
      <w:r>
        <w:rPr>
          <w:rFonts w:eastAsiaTheme="majorEastAsia"/>
          <w:szCs w:val="21"/>
        </w:rPr>
        <w:t>评价计分点主要包括对课前学习、考勤、</w:t>
      </w:r>
      <w:r>
        <w:rPr>
          <w:rFonts w:eastAsiaTheme="majorEastAsia" w:hint="eastAsia"/>
          <w:szCs w:val="21"/>
        </w:rPr>
        <w:t>实验报告</w:t>
      </w:r>
      <w:r>
        <w:rPr>
          <w:rFonts w:eastAsiaTheme="majorEastAsia"/>
          <w:szCs w:val="21"/>
        </w:rPr>
        <w:t>的考评</w:t>
      </w:r>
      <w:r>
        <w:rPr>
          <w:rFonts w:eastAsiaTheme="majorEastAsia" w:hint="eastAsia"/>
          <w:szCs w:val="21"/>
        </w:rPr>
        <w:t>，分别</w:t>
      </w:r>
      <w:r>
        <w:rPr>
          <w:rFonts w:eastAsiaTheme="majorEastAsia"/>
          <w:szCs w:val="21"/>
        </w:rPr>
        <w:t>占</w:t>
      </w:r>
      <w:r>
        <w:rPr>
          <w:rFonts w:eastAsiaTheme="majorEastAsia" w:hint="eastAsia"/>
          <w:szCs w:val="21"/>
        </w:rPr>
        <w:t>平时成绩的</w:t>
      </w:r>
      <w:r>
        <w:rPr>
          <w:rFonts w:eastAsiaTheme="majorEastAsia" w:hint="eastAsia"/>
          <w:szCs w:val="21"/>
        </w:rPr>
        <w:t>20</w:t>
      </w:r>
      <w:r>
        <w:rPr>
          <w:rFonts w:eastAsiaTheme="majorEastAsia"/>
          <w:szCs w:val="21"/>
        </w:rPr>
        <w:t>%</w:t>
      </w:r>
      <w:r>
        <w:rPr>
          <w:rFonts w:eastAsiaTheme="majorEastAsia" w:hint="eastAsia"/>
          <w:szCs w:val="21"/>
        </w:rPr>
        <w:t>、</w:t>
      </w:r>
      <w:r>
        <w:rPr>
          <w:rFonts w:eastAsiaTheme="majorEastAsia" w:hint="eastAsia"/>
          <w:szCs w:val="21"/>
        </w:rPr>
        <w:t>20</w:t>
      </w:r>
      <w:r>
        <w:rPr>
          <w:rFonts w:eastAsiaTheme="majorEastAsia"/>
          <w:szCs w:val="21"/>
        </w:rPr>
        <w:t>%</w:t>
      </w:r>
      <w:r>
        <w:rPr>
          <w:rFonts w:eastAsiaTheme="majorEastAsia" w:hint="eastAsia"/>
          <w:szCs w:val="21"/>
        </w:rPr>
        <w:t>和</w:t>
      </w:r>
      <w:r>
        <w:rPr>
          <w:rFonts w:eastAsiaTheme="majorEastAsia" w:hint="eastAsia"/>
          <w:szCs w:val="21"/>
        </w:rPr>
        <w:t>60</w:t>
      </w:r>
      <w:r>
        <w:rPr>
          <w:rFonts w:eastAsiaTheme="majorEastAsia"/>
          <w:szCs w:val="21"/>
        </w:rPr>
        <w:t>%</w:t>
      </w:r>
      <w:r>
        <w:rPr>
          <w:rFonts w:eastAsiaTheme="majorEastAsia" w:hint="eastAsia"/>
          <w:szCs w:val="21"/>
        </w:rPr>
        <w:t>。</w:t>
      </w:r>
    </w:p>
    <w:p w14:paraId="6FF0955F"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r>
        <w:rPr>
          <w:rFonts w:eastAsiaTheme="majorEastAsia"/>
          <w:szCs w:val="21"/>
        </w:rPr>
        <w:t>终结性评价</w:t>
      </w:r>
      <w:r>
        <w:rPr>
          <w:rFonts w:eastAsiaTheme="majorEastAsia" w:hint="eastAsia"/>
          <w:szCs w:val="21"/>
        </w:rPr>
        <w:t>为上机实践操作，学生在</w:t>
      </w:r>
      <w:r>
        <w:rPr>
          <w:rFonts w:eastAsiaTheme="majorEastAsia" w:hint="eastAsia"/>
          <w:szCs w:val="21"/>
        </w:rPr>
        <w:t>2</w:t>
      </w:r>
      <w:r>
        <w:rPr>
          <w:rFonts w:eastAsiaTheme="majorEastAsia" w:hint="eastAsia"/>
          <w:szCs w:val="21"/>
        </w:rPr>
        <w:t>个小时内完成教师所给样图的绘制，并打印成为</w:t>
      </w:r>
      <w:r>
        <w:rPr>
          <w:rFonts w:eastAsiaTheme="majorEastAsia" w:hint="eastAsia"/>
          <w:szCs w:val="21"/>
        </w:rPr>
        <w:t>PDF</w:t>
      </w:r>
      <w:r>
        <w:rPr>
          <w:rFonts w:eastAsiaTheme="majorEastAsia" w:hint="eastAsia"/>
          <w:szCs w:val="21"/>
        </w:rPr>
        <w:t>格式提交，终结性评价占总成绩的</w:t>
      </w:r>
      <w:r>
        <w:rPr>
          <w:rFonts w:eastAsiaTheme="majorEastAsia" w:hint="eastAsia"/>
          <w:szCs w:val="21"/>
        </w:rPr>
        <w:t>50%</w:t>
      </w:r>
      <w:r>
        <w:rPr>
          <w:rFonts w:eastAsiaTheme="majorEastAsia" w:hint="eastAsia"/>
          <w:szCs w:val="21"/>
        </w:rPr>
        <w:t>。</w:t>
      </w:r>
    </w:p>
    <w:p w14:paraId="7B9F44C2" w14:textId="77777777" w:rsidR="00F5289E" w:rsidRDefault="00C91173">
      <w:pPr>
        <w:spacing w:line="360" w:lineRule="auto"/>
        <w:ind w:firstLineChars="200" w:firstLine="422"/>
        <w:rPr>
          <w:rFonts w:eastAsiaTheme="majorEastAsia"/>
          <w:bCs/>
          <w:szCs w:val="21"/>
        </w:rPr>
      </w:pPr>
      <w:r>
        <w:rPr>
          <w:rFonts w:hAnsi="宋体" w:hint="eastAsia"/>
          <w:b/>
          <w:bCs/>
          <w:kern w:val="0"/>
          <w:szCs w:val="21"/>
        </w:rPr>
        <w:t>3.</w:t>
      </w:r>
      <w:r>
        <w:rPr>
          <w:rFonts w:hAnsi="宋体" w:hint="eastAsia"/>
          <w:b/>
          <w:bCs/>
          <w:kern w:val="0"/>
          <w:szCs w:val="21"/>
        </w:rPr>
        <w:t>课程综合评价：</w:t>
      </w: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评价和终结性评价各占</w:t>
      </w:r>
      <w:r>
        <w:rPr>
          <w:rFonts w:eastAsiaTheme="majorEastAsia"/>
          <w:szCs w:val="21"/>
        </w:rPr>
        <w:t>50%</w:t>
      </w:r>
      <w:r>
        <w:rPr>
          <w:rFonts w:eastAsiaTheme="majorEastAsia"/>
          <w:szCs w:val="21"/>
        </w:rPr>
        <w:t>。</w:t>
      </w:r>
    </w:p>
    <w:p w14:paraId="281DD25F"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1B1C3EC9" w14:textId="77777777" w:rsidR="00F5289E" w:rsidRDefault="00C91173" w:rsidP="005E1242">
      <w:pPr>
        <w:pStyle w:val="1"/>
        <w:jc w:val="both"/>
      </w:pPr>
      <w:bookmarkStart w:id="111" w:name="_Toc137560071"/>
      <w:bookmarkStart w:id="112" w:name="_Toc138606258"/>
      <w:r>
        <w:rPr>
          <w:rFonts w:hint="eastAsia"/>
        </w:rPr>
        <w:lastRenderedPageBreak/>
        <w:t>园艺植物遗传育种学</w:t>
      </w:r>
      <w:bookmarkEnd w:id="111"/>
      <w:bookmarkEnd w:id="112"/>
    </w:p>
    <w:p w14:paraId="25A1684F" w14:textId="77777777" w:rsidR="00F5289E" w:rsidRDefault="00C91173">
      <w:pPr>
        <w:snapToGrid w:val="0"/>
        <w:spacing w:line="360" w:lineRule="auto"/>
        <w:jc w:val="center"/>
        <w:rPr>
          <w:b/>
          <w:szCs w:val="21"/>
        </w:rPr>
      </w:pPr>
      <w:r>
        <w:rPr>
          <w:rFonts w:hAnsi="宋体" w:hint="eastAsia"/>
          <w:sz w:val="28"/>
          <w:szCs w:val="28"/>
        </w:rPr>
        <w:t>（</w:t>
      </w:r>
      <w:r>
        <w:rPr>
          <w:iCs/>
          <w:kern w:val="0"/>
          <w:sz w:val="24"/>
        </w:rPr>
        <w:t xml:space="preserve">Genetics and </w:t>
      </w:r>
      <w:r>
        <w:rPr>
          <w:rFonts w:cs="宋体" w:hint="eastAsia"/>
          <w:kern w:val="36"/>
          <w:sz w:val="24"/>
        </w:rPr>
        <w:t>Breeding</w:t>
      </w:r>
      <w:r>
        <w:rPr>
          <w:iCs/>
          <w:kern w:val="0"/>
          <w:sz w:val="24"/>
        </w:rPr>
        <w:t xml:space="preserve"> </w:t>
      </w:r>
      <w:r>
        <w:rPr>
          <w:rFonts w:hint="eastAsia"/>
          <w:iCs/>
          <w:kern w:val="0"/>
          <w:sz w:val="24"/>
        </w:rPr>
        <w:t>for</w:t>
      </w:r>
      <w:r>
        <w:rPr>
          <w:iCs/>
          <w:kern w:val="0"/>
          <w:sz w:val="24"/>
        </w:rPr>
        <w:t xml:space="preserve"> Horticultural Plants</w:t>
      </w:r>
      <w:r>
        <w:rPr>
          <w:rFonts w:hAnsi="宋体"/>
          <w:sz w:val="28"/>
          <w:szCs w:val="28"/>
        </w:rPr>
        <w:t>）</w:t>
      </w:r>
    </w:p>
    <w:p w14:paraId="3C2B5685" w14:textId="77777777" w:rsidR="00F5289E" w:rsidRDefault="00C91173">
      <w:pPr>
        <w:snapToGrid w:val="0"/>
        <w:spacing w:line="360" w:lineRule="auto"/>
        <w:jc w:val="center"/>
        <w:rPr>
          <w:b/>
          <w:szCs w:val="21"/>
        </w:rPr>
      </w:pPr>
      <w:r>
        <w:rPr>
          <w:rFonts w:hint="eastAsia"/>
          <w:b/>
          <w:szCs w:val="21"/>
        </w:rPr>
        <w:t>课程基本信息</w:t>
      </w:r>
    </w:p>
    <w:tbl>
      <w:tblPr>
        <w:tblStyle w:val="af6"/>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3513"/>
        <w:gridCol w:w="3191"/>
      </w:tblGrid>
      <w:tr w:rsidR="00F5289E" w14:paraId="42534BD7" w14:textId="77777777">
        <w:tc>
          <w:tcPr>
            <w:tcW w:w="2518" w:type="dxa"/>
          </w:tcPr>
          <w:p w14:paraId="65A31284" w14:textId="77777777" w:rsidR="00F5289E" w:rsidRDefault="00C91173">
            <w:pPr>
              <w:spacing w:line="360" w:lineRule="auto"/>
              <w:rPr>
                <w:rFonts w:ascii="宋体" w:hAnsi="宋体"/>
                <w:b/>
                <w:bCs/>
                <w:szCs w:val="21"/>
              </w:rPr>
            </w:pPr>
            <w:r>
              <w:rPr>
                <w:rFonts w:ascii="宋体" w:hAnsi="宋体" w:hint="eastAsia"/>
                <w:b/>
                <w:bCs/>
                <w:szCs w:val="21"/>
              </w:rPr>
              <w:t>课程编号：</w:t>
            </w:r>
            <w:r w:rsidRPr="001B3040">
              <w:rPr>
                <w:szCs w:val="21"/>
              </w:rPr>
              <w:t>19011030</w:t>
            </w:r>
          </w:p>
        </w:tc>
        <w:tc>
          <w:tcPr>
            <w:tcW w:w="3513" w:type="dxa"/>
          </w:tcPr>
          <w:p w14:paraId="3C0A48DD" w14:textId="77777777" w:rsidR="00F5289E" w:rsidRDefault="00C91173">
            <w:pPr>
              <w:spacing w:line="360" w:lineRule="auto"/>
              <w:rPr>
                <w:rFonts w:ascii="宋体" w:hAnsi="宋体"/>
                <w:b/>
                <w:bCs/>
                <w:szCs w:val="21"/>
              </w:rPr>
            </w:pPr>
            <w:r>
              <w:rPr>
                <w:rFonts w:ascii="宋体" w:hAnsi="宋体" w:hint="eastAsia"/>
                <w:b/>
                <w:bCs/>
                <w:szCs w:val="21"/>
              </w:rPr>
              <w:t>课程总学时：</w:t>
            </w:r>
            <w:r w:rsidRPr="001B3040">
              <w:rPr>
                <w:rFonts w:eastAsiaTheme="minorEastAsia"/>
                <w:szCs w:val="21"/>
              </w:rPr>
              <w:t>48</w:t>
            </w:r>
          </w:p>
        </w:tc>
        <w:tc>
          <w:tcPr>
            <w:tcW w:w="3190" w:type="dxa"/>
          </w:tcPr>
          <w:p w14:paraId="719A2A3D" w14:textId="3EC4A2F7" w:rsidR="00F5289E" w:rsidRDefault="00C91173">
            <w:pPr>
              <w:spacing w:line="360" w:lineRule="auto"/>
              <w:rPr>
                <w:rFonts w:ascii="宋体" w:hAnsi="宋体"/>
                <w:b/>
                <w:bCs/>
                <w:szCs w:val="21"/>
              </w:rPr>
            </w:pPr>
            <w:r>
              <w:rPr>
                <w:rFonts w:ascii="宋体" w:hAnsi="宋体" w:hint="eastAsia"/>
                <w:b/>
                <w:bCs/>
                <w:szCs w:val="21"/>
              </w:rPr>
              <w:t>实验学时：</w:t>
            </w:r>
            <w:r w:rsidRPr="001B3040">
              <w:rPr>
                <w:rFonts w:eastAsiaTheme="minorEastAsia"/>
                <w:szCs w:val="21"/>
              </w:rPr>
              <w:t>16</w:t>
            </w:r>
          </w:p>
        </w:tc>
      </w:tr>
      <w:tr w:rsidR="00F5289E" w14:paraId="5F9CCB33" w14:textId="77777777">
        <w:tc>
          <w:tcPr>
            <w:tcW w:w="2518" w:type="dxa"/>
          </w:tcPr>
          <w:p w14:paraId="10913D51" w14:textId="77777777" w:rsidR="00F5289E" w:rsidRDefault="00C91173">
            <w:pPr>
              <w:spacing w:line="360" w:lineRule="auto"/>
              <w:rPr>
                <w:rFonts w:ascii="宋体" w:hAnsi="宋体"/>
                <w:b/>
                <w:bCs/>
                <w:szCs w:val="21"/>
              </w:rPr>
            </w:pPr>
            <w:r>
              <w:rPr>
                <w:rFonts w:ascii="宋体" w:hAnsi="宋体" w:hint="eastAsia"/>
                <w:b/>
                <w:bCs/>
                <w:szCs w:val="21"/>
              </w:rPr>
              <w:t>课程性质：</w:t>
            </w:r>
            <w:r w:rsidRPr="001B3040">
              <w:rPr>
                <w:rFonts w:ascii="宋体" w:hAnsi="宋体" w:hint="eastAsia"/>
                <w:szCs w:val="21"/>
              </w:rPr>
              <w:t>必</w:t>
            </w:r>
            <w:r w:rsidRPr="001B3040">
              <w:rPr>
                <w:rFonts w:eastAsiaTheme="minorEastAsia" w:hAnsiTheme="minorEastAsia"/>
                <w:szCs w:val="21"/>
              </w:rPr>
              <w:t>修</w:t>
            </w:r>
          </w:p>
        </w:tc>
        <w:tc>
          <w:tcPr>
            <w:tcW w:w="3513" w:type="dxa"/>
          </w:tcPr>
          <w:p w14:paraId="2EEA0778" w14:textId="77777777" w:rsidR="00F5289E" w:rsidRDefault="00C91173">
            <w:pPr>
              <w:spacing w:line="360" w:lineRule="auto"/>
              <w:rPr>
                <w:rFonts w:ascii="宋体" w:hAnsi="宋体"/>
                <w:b/>
                <w:bCs/>
                <w:szCs w:val="21"/>
              </w:rPr>
            </w:pPr>
            <w:r>
              <w:rPr>
                <w:rFonts w:ascii="宋体" w:hAnsi="宋体" w:hint="eastAsia"/>
                <w:b/>
                <w:szCs w:val="21"/>
              </w:rPr>
              <w:t>课程属性:</w:t>
            </w:r>
            <w:r>
              <w:rPr>
                <w:rFonts w:eastAsiaTheme="minorEastAsia" w:hAnsiTheme="minorEastAsia"/>
                <w:b/>
                <w:szCs w:val="21"/>
              </w:rPr>
              <w:t xml:space="preserve"> </w:t>
            </w:r>
            <w:r w:rsidRPr="001B3040">
              <w:rPr>
                <w:rFonts w:eastAsiaTheme="minorEastAsia" w:hAnsiTheme="minorEastAsia"/>
                <w:szCs w:val="21"/>
              </w:rPr>
              <w:t>专业类</w:t>
            </w:r>
          </w:p>
        </w:tc>
        <w:tc>
          <w:tcPr>
            <w:tcW w:w="3190" w:type="dxa"/>
          </w:tcPr>
          <w:p w14:paraId="632D6587" w14:textId="77777777" w:rsidR="00F5289E" w:rsidRDefault="00C91173">
            <w:pPr>
              <w:spacing w:line="36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第</w:t>
            </w:r>
            <w:r w:rsidRPr="001B3040">
              <w:rPr>
                <w:rFonts w:eastAsiaTheme="minorEastAsia"/>
                <w:szCs w:val="21"/>
              </w:rPr>
              <w:t>5</w:t>
            </w:r>
            <w:r w:rsidRPr="001B3040">
              <w:rPr>
                <w:rFonts w:ascii="宋体" w:hAnsi="宋体" w:hint="eastAsia"/>
                <w:szCs w:val="21"/>
              </w:rPr>
              <w:t>学期</w:t>
            </w:r>
          </w:p>
        </w:tc>
      </w:tr>
      <w:tr w:rsidR="00F5289E" w14:paraId="76CB8567" w14:textId="77777777">
        <w:tc>
          <w:tcPr>
            <w:tcW w:w="2518" w:type="dxa"/>
          </w:tcPr>
          <w:p w14:paraId="1D2C5798" w14:textId="77777777" w:rsidR="00F5289E" w:rsidRDefault="00C91173">
            <w:pPr>
              <w:spacing w:line="360" w:lineRule="auto"/>
              <w:rPr>
                <w:rFonts w:ascii="宋体" w:hAnsi="宋体"/>
                <w:b/>
                <w:bCs/>
                <w:szCs w:val="21"/>
              </w:rPr>
            </w:pPr>
            <w:r>
              <w:rPr>
                <w:rFonts w:ascii="宋体" w:hAnsi="宋体" w:hint="eastAsia"/>
                <w:b/>
                <w:bCs/>
                <w:szCs w:val="21"/>
              </w:rPr>
              <w:t>课程负责人：</w:t>
            </w:r>
            <w:r w:rsidRPr="001B3040">
              <w:rPr>
                <w:rFonts w:ascii="宋体" w:hAnsi="宋体" w:hint="eastAsia"/>
                <w:szCs w:val="21"/>
              </w:rPr>
              <w:t>谭彬</w:t>
            </w:r>
          </w:p>
        </w:tc>
        <w:tc>
          <w:tcPr>
            <w:tcW w:w="3513" w:type="dxa"/>
          </w:tcPr>
          <w:p w14:paraId="4929238E" w14:textId="77777777" w:rsidR="00F5289E" w:rsidRDefault="00C91173">
            <w:pPr>
              <w:spacing w:line="360" w:lineRule="auto"/>
              <w:ind w:left="1054" w:hangingChars="500" w:hanging="1054"/>
              <w:rPr>
                <w:rFonts w:ascii="宋体" w:eastAsiaTheme="minorEastAsia" w:hAnsi="宋体"/>
                <w:b/>
                <w:bCs/>
                <w:szCs w:val="21"/>
              </w:rPr>
            </w:pPr>
            <w:r>
              <w:rPr>
                <w:rFonts w:ascii="宋体" w:hAnsi="宋体" w:hint="eastAsia"/>
                <w:b/>
                <w:bCs/>
                <w:szCs w:val="21"/>
              </w:rPr>
              <w:t>课程团队：</w:t>
            </w:r>
            <w:r w:rsidRPr="001B3040">
              <w:rPr>
                <w:rFonts w:ascii="宋体" w:hAnsi="宋体" w:hint="eastAsia"/>
                <w:szCs w:val="21"/>
              </w:rPr>
              <w:t>贾芝琪、</w:t>
            </w:r>
            <w:r w:rsidRPr="001B3040">
              <w:rPr>
                <w:rFonts w:eastAsiaTheme="minorEastAsia" w:hAnsiTheme="minorEastAsia" w:hint="eastAsia"/>
                <w:szCs w:val="21"/>
              </w:rPr>
              <w:t>程钧、刘东明、宋春晖、张世文、张海朋</w:t>
            </w:r>
            <w:r w:rsidRPr="001B3040">
              <w:rPr>
                <w:rFonts w:eastAsiaTheme="minorEastAsia" w:hAnsiTheme="minorEastAsia"/>
                <w:szCs w:val="21"/>
              </w:rPr>
              <w:t>、</w:t>
            </w:r>
            <w:r w:rsidRPr="001B3040">
              <w:rPr>
                <w:rFonts w:eastAsiaTheme="minorEastAsia" w:hAnsiTheme="minorEastAsia" w:hint="eastAsia"/>
                <w:szCs w:val="21"/>
              </w:rPr>
              <w:t>王小贝、王盼乔</w:t>
            </w:r>
          </w:p>
        </w:tc>
        <w:tc>
          <w:tcPr>
            <w:tcW w:w="3190" w:type="dxa"/>
          </w:tcPr>
          <w:p w14:paraId="4A45E769" w14:textId="77777777" w:rsidR="00F5289E" w:rsidRDefault="00C91173">
            <w:pPr>
              <w:spacing w:line="360" w:lineRule="auto"/>
              <w:rPr>
                <w:rFonts w:ascii="宋体" w:hAnsi="宋体"/>
                <w:b/>
                <w:bCs/>
                <w:szCs w:val="21"/>
              </w:rPr>
            </w:pPr>
            <w:r>
              <w:rPr>
                <w:rFonts w:ascii="宋体" w:hAnsi="宋体" w:hint="eastAsia"/>
                <w:b/>
                <w:bCs/>
                <w:szCs w:val="21"/>
              </w:rPr>
              <w:t>授课语言：</w:t>
            </w:r>
            <w:r w:rsidRPr="001B3040">
              <w:rPr>
                <w:rFonts w:ascii="宋体" w:hAnsi="宋体" w:hint="eastAsia"/>
                <w:szCs w:val="21"/>
              </w:rPr>
              <w:t>中文</w:t>
            </w:r>
          </w:p>
        </w:tc>
      </w:tr>
      <w:tr w:rsidR="00F5289E" w14:paraId="6C15465B" w14:textId="77777777">
        <w:tc>
          <w:tcPr>
            <w:tcW w:w="9222" w:type="dxa"/>
            <w:gridSpan w:val="3"/>
          </w:tcPr>
          <w:p w14:paraId="78C9AD96" w14:textId="77777777" w:rsidR="00F5289E" w:rsidRDefault="00C91173">
            <w:pPr>
              <w:spacing w:line="360" w:lineRule="auto"/>
              <w:ind w:rightChars="-81" w:right="-170"/>
              <w:rPr>
                <w:rFonts w:ascii="宋体" w:hAnsi="宋体"/>
                <w:bCs/>
                <w:szCs w:val="21"/>
              </w:rPr>
            </w:pPr>
            <w:r>
              <w:rPr>
                <w:rFonts w:ascii="宋体" w:hAnsi="宋体" w:hint="eastAsia"/>
                <w:b/>
                <w:bCs/>
                <w:szCs w:val="21"/>
              </w:rPr>
              <w:t>适用专业：</w:t>
            </w:r>
            <w:r w:rsidRPr="001B3040">
              <w:rPr>
                <w:rFonts w:hint="eastAsia"/>
                <w:szCs w:val="21"/>
              </w:rPr>
              <w:t>设施农业科学与工程</w:t>
            </w:r>
          </w:p>
        </w:tc>
      </w:tr>
      <w:tr w:rsidR="00F5289E" w14:paraId="3038ED0A" w14:textId="77777777">
        <w:tc>
          <w:tcPr>
            <w:tcW w:w="9222" w:type="dxa"/>
            <w:gridSpan w:val="3"/>
          </w:tcPr>
          <w:p w14:paraId="0738FC6F" w14:textId="77777777" w:rsidR="00F5289E" w:rsidRDefault="00C91173">
            <w:pPr>
              <w:spacing w:line="360" w:lineRule="auto"/>
              <w:rPr>
                <w:rFonts w:ascii="宋体" w:hAnsi="宋体"/>
                <w:b/>
                <w:bCs/>
                <w:szCs w:val="21"/>
              </w:rPr>
            </w:pPr>
            <w:r>
              <w:rPr>
                <w:rFonts w:ascii="宋体" w:hAnsi="宋体" w:hint="eastAsia"/>
                <w:b/>
                <w:bCs/>
                <w:szCs w:val="21"/>
              </w:rPr>
              <w:t>对先修的要求：</w:t>
            </w:r>
            <w:r w:rsidRPr="001B3040">
              <w:rPr>
                <w:szCs w:val="21"/>
              </w:rPr>
              <w:t>数学、物理、化学、植物学、植物生理学、生物化学</w:t>
            </w:r>
          </w:p>
        </w:tc>
      </w:tr>
      <w:tr w:rsidR="00F5289E" w14:paraId="47673B6E" w14:textId="77777777">
        <w:tc>
          <w:tcPr>
            <w:tcW w:w="9222" w:type="dxa"/>
            <w:gridSpan w:val="3"/>
          </w:tcPr>
          <w:p w14:paraId="12EA73C0" w14:textId="77777777" w:rsidR="00F5289E" w:rsidRDefault="00C91173">
            <w:pPr>
              <w:spacing w:line="360" w:lineRule="auto"/>
              <w:rPr>
                <w:rFonts w:ascii="宋体" w:hAnsi="宋体"/>
                <w:b/>
                <w:bCs/>
                <w:szCs w:val="21"/>
              </w:rPr>
            </w:pPr>
            <w:r>
              <w:rPr>
                <w:rFonts w:ascii="宋体" w:hAnsi="宋体" w:hint="eastAsia"/>
                <w:b/>
                <w:bCs/>
                <w:szCs w:val="21"/>
              </w:rPr>
              <w:t>对后续的支撑：</w:t>
            </w:r>
            <w:r w:rsidRPr="001B3040">
              <w:rPr>
                <w:rFonts w:ascii="宋体" w:hAnsi="宋体" w:hint="eastAsia"/>
                <w:szCs w:val="21"/>
              </w:rPr>
              <w:t>为园艺植物育种学课程提供遗传育种的基础知识、基本原理和基本理论，以及性状变异的分析和统计方法，也体现了现代分子遗传学对传统育种补充及促进作用。</w:t>
            </w:r>
          </w:p>
        </w:tc>
      </w:tr>
      <w:tr w:rsidR="00F5289E" w14:paraId="62813C6F" w14:textId="77777777">
        <w:tc>
          <w:tcPr>
            <w:tcW w:w="2518" w:type="dxa"/>
          </w:tcPr>
          <w:p w14:paraId="5E5FCB04" w14:textId="77777777" w:rsidR="00F5289E" w:rsidRDefault="00C91173">
            <w:pPr>
              <w:spacing w:line="360" w:lineRule="auto"/>
              <w:ind w:left="738" w:hangingChars="350" w:hanging="738"/>
              <w:rPr>
                <w:rFonts w:ascii="宋体" w:hAnsi="宋体"/>
                <w:b/>
                <w:bCs/>
                <w:szCs w:val="21"/>
              </w:rPr>
            </w:pPr>
            <w:r>
              <w:rPr>
                <w:rFonts w:ascii="宋体" w:hAnsi="宋体" w:hint="eastAsia"/>
                <w:b/>
                <w:bCs/>
                <w:szCs w:val="21"/>
              </w:rPr>
              <w:t>主撰人：</w:t>
            </w:r>
            <w:r w:rsidRPr="001B3040">
              <w:rPr>
                <w:rFonts w:eastAsiaTheme="minorEastAsia" w:hAnsiTheme="minorEastAsia" w:hint="eastAsia"/>
                <w:szCs w:val="21"/>
              </w:rPr>
              <w:t>程钧，刘东明</w:t>
            </w:r>
            <w:r>
              <w:rPr>
                <w:rFonts w:eastAsiaTheme="minorEastAsia" w:hAnsiTheme="minorEastAsia" w:hint="eastAsia"/>
                <w:b/>
                <w:szCs w:val="21"/>
              </w:rPr>
              <w:t xml:space="preserve"> </w:t>
            </w:r>
          </w:p>
        </w:tc>
        <w:tc>
          <w:tcPr>
            <w:tcW w:w="3513" w:type="dxa"/>
          </w:tcPr>
          <w:p w14:paraId="1BFC536A" w14:textId="77777777" w:rsidR="00F5289E" w:rsidRDefault="00C91173">
            <w:pPr>
              <w:spacing w:line="360" w:lineRule="auto"/>
              <w:rPr>
                <w:rFonts w:ascii="宋体" w:hAnsi="宋体"/>
                <w:b/>
                <w:bCs/>
                <w:szCs w:val="21"/>
              </w:rPr>
            </w:pPr>
            <w:r>
              <w:rPr>
                <w:rFonts w:ascii="宋体" w:hAnsi="宋体" w:hint="eastAsia"/>
                <w:b/>
                <w:bCs/>
                <w:szCs w:val="21"/>
              </w:rPr>
              <w:t>审核人：</w:t>
            </w:r>
            <w:r w:rsidRPr="001B3040">
              <w:rPr>
                <w:rFonts w:eastAsiaTheme="minorEastAsia" w:hAnsiTheme="minorEastAsia" w:hint="eastAsia"/>
                <w:szCs w:val="21"/>
              </w:rPr>
              <w:t>谭彬</w:t>
            </w:r>
          </w:p>
        </w:tc>
        <w:tc>
          <w:tcPr>
            <w:tcW w:w="3190" w:type="dxa"/>
          </w:tcPr>
          <w:p w14:paraId="3A18BFC2" w14:textId="77777777" w:rsidR="00F5289E" w:rsidRDefault="00C91173">
            <w:pPr>
              <w:spacing w:line="36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w:t>
            </w:r>
            <w:r w:rsidRPr="001B3040">
              <w:rPr>
                <w:rFonts w:ascii="宋体" w:hAnsi="宋体"/>
                <w:szCs w:val="21"/>
              </w:rPr>
              <w:t>2</w:t>
            </w:r>
            <w:r w:rsidR="001B3040">
              <w:rPr>
                <w:rFonts w:ascii="宋体" w:hAnsi="宋体"/>
                <w:szCs w:val="21"/>
              </w:rPr>
              <w:t>3.05</w:t>
            </w:r>
          </w:p>
        </w:tc>
      </w:tr>
    </w:tbl>
    <w:p w14:paraId="12F848B1" w14:textId="77777777" w:rsidR="00F5289E" w:rsidRDefault="00F5289E">
      <w:pPr>
        <w:widowControl/>
        <w:snapToGrid w:val="0"/>
        <w:spacing w:line="360" w:lineRule="auto"/>
        <w:jc w:val="left"/>
        <w:rPr>
          <w:rFonts w:hAnsi="宋体"/>
          <w:b/>
          <w:bCs/>
          <w:kern w:val="0"/>
          <w:szCs w:val="21"/>
        </w:rPr>
      </w:pPr>
    </w:p>
    <w:p w14:paraId="5A096406"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354F1D16" w14:textId="77777777" w:rsidR="00F5289E" w:rsidRDefault="00C91173">
      <w:pPr>
        <w:widowControl/>
        <w:snapToGrid w:val="0"/>
        <w:spacing w:line="360" w:lineRule="auto"/>
        <w:ind w:left="210" w:firstLine="418"/>
        <w:jc w:val="left"/>
        <w:rPr>
          <w:rFonts w:ascii="宋体" w:hAnsi="宋体"/>
        </w:rPr>
      </w:pPr>
      <w:r>
        <w:rPr>
          <w:rFonts w:ascii="宋体" w:hAnsi="宋体"/>
        </w:rPr>
        <w:t>《园</w:t>
      </w:r>
      <w:r>
        <w:rPr>
          <w:rFonts w:ascii="宋体" w:hAnsi="宋体" w:hint="eastAsia"/>
        </w:rPr>
        <w:t>艺</w:t>
      </w:r>
      <w:r>
        <w:rPr>
          <w:rFonts w:ascii="宋体" w:hAnsi="宋体"/>
        </w:rPr>
        <w:t>植物遗传育种学》是</w:t>
      </w:r>
      <w:r>
        <w:rPr>
          <w:rFonts w:ascii="宋体" w:hAnsi="宋体" w:hint="eastAsia"/>
        </w:rPr>
        <w:t>设施农业科学与工程</w:t>
      </w:r>
      <w:r>
        <w:rPr>
          <w:rFonts w:ascii="宋体" w:hAnsi="宋体"/>
        </w:rPr>
        <w:t>本科生的一门学科</w:t>
      </w:r>
      <w:r>
        <w:rPr>
          <w:rFonts w:ascii="宋体" w:hAnsi="宋体" w:hint="eastAsia"/>
        </w:rPr>
        <w:t>专业选修</w:t>
      </w:r>
      <w:r>
        <w:rPr>
          <w:rFonts w:ascii="宋体" w:hAnsi="宋体"/>
        </w:rPr>
        <w:t>课。通过介绍现代遗传学的主要原理使学生理解园</w:t>
      </w:r>
      <w:r>
        <w:rPr>
          <w:rFonts w:ascii="宋体" w:hAnsi="宋体" w:hint="eastAsia"/>
        </w:rPr>
        <w:t>艺</w:t>
      </w:r>
      <w:r>
        <w:rPr>
          <w:rFonts w:ascii="宋体" w:hAnsi="宋体"/>
        </w:rPr>
        <w:t>植物的主要</w:t>
      </w:r>
      <w:r>
        <w:rPr>
          <w:rFonts w:ascii="宋体" w:hAnsi="宋体" w:hint="eastAsia"/>
        </w:rPr>
        <w:t>经济</w:t>
      </w:r>
      <w:r>
        <w:rPr>
          <w:rFonts w:ascii="宋体" w:hAnsi="宋体"/>
        </w:rPr>
        <w:t>性状遗传和变异的基本规律和分子机理，并在此基础上介绍培育</w:t>
      </w:r>
      <w:r>
        <w:rPr>
          <w:rFonts w:ascii="宋体" w:hAnsi="宋体" w:hint="eastAsia"/>
        </w:rPr>
        <w:t>园艺</w:t>
      </w:r>
      <w:r>
        <w:rPr>
          <w:rFonts w:ascii="宋体" w:hAnsi="宋体"/>
        </w:rPr>
        <w:t>植物新品种的基本途径和一系列方法，尤其是以基因工程技术为主的现代育种技术。本课程还对</w:t>
      </w:r>
      <w:r>
        <w:rPr>
          <w:rFonts w:ascii="宋体" w:hAnsi="宋体" w:hint="eastAsia"/>
        </w:rPr>
        <w:t>园艺</w:t>
      </w:r>
      <w:r>
        <w:rPr>
          <w:rFonts w:ascii="宋体" w:hAnsi="宋体"/>
        </w:rPr>
        <w:t>植物的种质资源、育种目标和良种繁育技术进行详细介绍。通过课程学习，使学生懂得如何对</w:t>
      </w:r>
      <w:r>
        <w:rPr>
          <w:rFonts w:ascii="宋体" w:hAnsi="宋体" w:hint="eastAsia"/>
        </w:rPr>
        <w:t>园艺</w:t>
      </w:r>
      <w:r>
        <w:rPr>
          <w:rFonts w:ascii="宋体" w:hAnsi="宋体"/>
        </w:rPr>
        <w:t>植物进行品种培育和品种研究，为今后从事</w:t>
      </w:r>
      <w:r>
        <w:rPr>
          <w:rFonts w:ascii="宋体" w:hAnsi="宋体" w:hint="eastAsia"/>
        </w:rPr>
        <w:t>相关</w:t>
      </w:r>
      <w:r>
        <w:rPr>
          <w:rFonts w:ascii="宋体" w:hAnsi="宋体"/>
        </w:rPr>
        <w:t>园艺工作打下基础。</w:t>
      </w:r>
    </w:p>
    <w:p w14:paraId="371BA5D7" w14:textId="77777777" w:rsidR="00F5289E" w:rsidRDefault="00C91173">
      <w:pPr>
        <w:widowControl/>
        <w:snapToGrid w:val="0"/>
        <w:spacing w:line="360" w:lineRule="auto"/>
        <w:ind w:left="210" w:firstLine="418"/>
        <w:jc w:val="left"/>
        <w:rPr>
          <w:i/>
          <w:szCs w:val="21"/>
        </w:rPr>
      </w:pPr>
      <w:r>
        <w:rPr>
          <w:rFonts w:ascii="宋体" w:hAnsi="宋体" w:hint="eastAsia"/>
        </w:rPr>
        <w:t>在教学理念上，课程教学以学生为中心，关注学生的进步和发展，同时将专业知识教学与课堂育人相结合，体现教书育人的理念。同时，注重课堂教学效果，让学生能够学以致用，真正掌握专业知识，塑造</w:t>
      </w:r>
      <w:r>
        <w:rPr>
          <w:rFonts w:ascii="宋体" w:hAnsi="宋体"/>
        </w:rPr>
        <w:t>专业</w:t>
      </w:r>
      <w:r>
        <w:rPr>
          <w:rFonts w:ascii="宋体" w:hAnsi="宋体" w:hint="eastAsia"/>
        </w:rPr>
        <w:t>素质，为以后的学习和工作打下坚实的专业基础。</w:t>
      </w:r>
    </w:p>
    <w:p w14:paraId="3AB60292"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738D703B" w14:textId="77777777" w:rsidR="00F5289E" w:rsidRDefault="00C91173">
      <w:pPr>
        <w:widowControl/>
        <w:snapToGrid w:val="0"/>
        <w:spacing w:line="360" w:lineRule="auto"/>
        <w:ind w:firstLineChars="300" w:firstLine="630"/>
        <w:jc w:val="left"/>
        <w:rPr>
          <w:rFonts w:hAnsi="宋体"/>
          <w:kern w:val="0"/>
          <w:szCs w:val="21"/>
        </w:rPr>
      </w:pPr>
      <w:r>
        <w:rPr>
          <w:kern w:val="0"/>
          <w:szCs w:val="21"/>
        </w:rPr>
        <w:t>1</w:t>
      </w:r>
      <w:r>
        <w:rPr>
          <w:rFonts w:hAnsi="宋体"/>
          <w:kern w:val="0"/>
          <w:szCs w:val="21"/>
        </w:rPr>
        <w:t>、理论知识方面：</w:t>
      </w:r>
    </w:p>
    <w:p w14:paraId="1417756E" w14:textId="77777777" w:rsidR="00F5289E" w:rsidRDefault="00C91173">
      <w:pPr>
        <w:widowControl/>
        <w:snapToGrid w:val="0"/>
        <w:spacing w:line="360" w:lineRule="auto"/>
        <w:ind w:leftChars="100" w:left="210" w:firstLineChars="200" w:firstLine="420"/>
        <w:jc w:val="left"/>
        <w:rPr>
          <w:kern w:val="0"/>
          <w:szCs w:val="21"/>
        </w:rPr>
      </w:pPr>
      <w:r>
        <w:rPr>
          <w:rFonts w:hAnsi="宋体"/>
          <w:kern w:val="0"/>
          <w:szCs w:val="21"/>
        </w:rPr>
        <w:t>通过课程学习</w:t>
      </w:r>
      <w:r>
        <w:rPr>
          <w:rFonts w:hAnsi="宋体" w:hint="eastAsia"/>
          <w:kern w:val="0"/>
          <w:szCs w:val="21"/>
        </w:rPr>
        <w:t>，</w:t>
      </w:r>
      <w:r>
        <w:rPr>
          <w:rFonts w:hAnsi="宋体"/>
          <w:kern w:val="0"/>
          <w:szCs w:val="21"/>
        </w:rPr>
        <w:t>使学生较系统地掌握现代遗传育种的理论体系和科学知识</w:t>
      </w:r>
      <w:r>
        <w:rPr>
          <w:rFonts w:hAnsi="宋体" w:hint="eastAsia"/>
          <w:kern w:val="0"/>
          <w:szCs w:val="21"/>
        </w:rPr>
        <w:t>，</w:t>
      </w:r>
      <w:r>
        <w:rPr>
          <w:rFonts w:hAnsi="宋体"/>
          <w:kern w:val="0"/>
          <w:szCs w:val="21"/>
        </w:rPr>
        <w:t>增强在从事园艺科研及产业开发中的理论基础厚度</w:t>
      </w:r>
      <w:r>
        <w:rPr>
          <w:rFonts w:hAnsi="宋体" w:hint="eastAsia"/>
          <w:kern w:val="0"/>
          <w:szCs w:val="21"/>
        </w:rPr>
        <w:t>。</w:t>
      </w:r>
    </w:p>
    <w:p w14:paraId="6300C950" w14:textId="77777777" w:rsidR="00F5289E" w:rsidRDefault="00C91173">
      <w:pPr>
        <w:widowControl/>
        <w:snapToGrid w:val="0"/>
        <w:spacing w:line="360" w:lineRule="auto"/>
        <w:ind w:firstLineChars="300" w:firstLine="630"/>
        <w:jc w:val="left"/>
        <w:rPr>
          <w:kern w:val="0"/>
          <w:szCs w:val="21"/>
        </w:rPr>
      </w:pPr>
      <w:r>
        <w:rPr>
          <w:kern w:val="0"/>
          <w:szCs w:val="21"/>
        </w:rPr>
        <w:t>2</w:t>
      </w:r>
      <w:r>
        <w:rPr>
          <w:kern w:val="0"/>
          <w:szCs w:val="21"/>
        </w:rPr>
        <w:t>、实验技能方面：</w:t>
      </w:r>
    </w:p>
    <w:p w14:paraId="3037DF6D" w14:textId="77777777" w:rsidR="00F5289E" w:rsidRDefault="00C91173">
      <w:pPr>
        <w:widowControl/>
        <w:snapToGrid w:val="0"/>
        <w:spacing w:line="360" w:lineRule="auto"/>
        <w:ind w:leftChars="100" w:left="210" w:firstLineChars="200" w:firstLine="420"/>
        <w:jc w:val="left"/>
        <w:rPr>
          <w:rFonts w:hAnsi="宋体"/>
          <w:b/>
          <w:bCs/>
          <w:strike/>
          <w:kern w:val="0"/>
          <w:szCs w:val="21"/>
        </w:rPr>
      </w:pPr>
      <w:r>
        <w:rPr>
          <w:rFonts w:hAnsi="宋体"/>
          <w:kern w:val="0"/>
          <w:szCs w:val="21"/>
        </w:rPr>
        <w:lastRenderedPageBreak/>
        <w:t>在学习好基础理论同时</w:t>
      </w:r>
      <w:r>
        <w:rPr>
          <w:rFonts w:hAnsi="宋体" w:hint="eastAsia"/>
          <w:kern w:val="0"/>
          <w:szCs w:val="21"/>
        </w:rPr>
        <w:t>，</w:t>
      </w:r>
      <w:r>
        <w:rPr>
          <w:rFonts w:hAnsi="宋体"/>
          <w:kern w:val="0"/>
          <w:szCs w:val="21"/>
        </w:rPr>
        <w:t>通过实验课及实习等环节增强同学在遗传育种领域的实际动手能力</w:t>
      </w:r>
      <w:r>
        <w:rPr>
          <w:rFonts w:hAnsi="宋体" w:hint="eastAsia"/>
          <w:kern w:val="0"/>
          <w:szCs w:val="21"/>
        </w:rPr>
        <w:t>，</w:t>
      </w:r>
      <w:r>
        <w:rPr>
          <w:rFonts w:hAnsi="宋体"/>
          <w:kern w:val="0"/>
          <w:szCs w:val="21"/>
        </w:rPr>
        <w:t>对最基本的遗传学实验操作</w:t>
      </w:r>
      <w:r>
        <w:rPr>
          <w:rFonts w:hAnsi="宋体" w:hint="eastAsia"/>
          <w:kern w:val="0"/>
          <w:szCs w:val="21"/>
        </w:rPr>
        <w:t>、</w:t>
      </w:r>
      <w:r>
        <w:rPr>
          <w:rFonts w:hAnsi="宋体"/>
          <w:kern w:val="0"/>
          <w:szCs w:val="21"/>
        </w:rPr>
        <w:t>各种育种技术手段要有一定掌握和运用</w:t>
      </w:r>
      <w:r>
        <w:rPr>
          <w:rFonts w:hAnsi="宋体" w:hint="eastAsia"/>
          <w:kern w:val="0"/>
          <w:szCs w:val="21"/>
        </w:rPr>
        <w:t>，</w:t>
      </w:r>
      <w:r>
        <w:rPr>
          <w:rFonts w:hAnsi="宋体"/>
          <w:kern w:val="0"/>
          <w:szCs w:val="21"/>
        </w:rPr>
        <w:t>从而有较好的实际操作技能</w:t>
      </w:r>
      <w:r>
        <w:rPr>
          <w:rFonts w:hAnsi="宋体" w:hint="eastAsia"/>
          <w:kern w:val="0"/>
          <w:szCs w:val="21"/>
        </w:rPr>
        <w:t>。</w:t>
      </w:r>
    </w:p>
    <w:p w14:paraId="6A831882"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4250311B"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1</w:t>
      </w:r>
      <w:r>
        <w:rPr>
          <w:rFonts w:hAnsi="宋体"/>
          <w:bCs/>
          <w:kern w:val="0"/>
          <w:szCs w:val="21"/>
        </w:rPr>
        <w:t>.</w:t>
      </w:r>
      <w:r>
        <w:rPr>
          <w:rFonts w:hAnsi="宋体" w:hint="eastAsia"/>
          <w:bCs/>
          <w:kern w:val="0"/>
          <w:szCs w:val="21"/>
        </w:rPr>
        <w:t>教学设计说明</w:t>
      </w:r>
    </w:p>
    <w:p w14:paraId="1978B8A5" w14:textId="77777777" w:rsidR="00F5289E" w:rsidRDefault="00C91173">
      <w:pPr>
        <w:widowControl/>
        <w:snapToGrid w:val="0"/>
        <w:spacing w:line="360" w:lineRule="auto"/>
        <w:ind w:firstLineChars="200" w:firstLine="420"/>
        <w:rPr>
          <w:rFonts w:hAnsi="宋体"/>
          <w:bCs/>
          <w:kern w:val="0"/>
          <w:szCs w:val="21"/>
        </w:rPr>
      </w:pPr>
      <w:r>
        <w:rPr>
          <w:rFonts w:hAnsi="宋体" w:hint="eastAsia"/>
          <w:bCs/>
          <w:kern w:val="0"/>
          <w:szCs w:val="21"/>
        </w:rPr>
        <w:t>理论课</w:t>
      </w:r>
      <w:r>
        <w:rPr>
          <w:rFonts w:hint="eastAsia"/>
          <w:kern w:val="0"/>
          <w:szCs w:val="21"/>
        </w:rPr>
        <w:t>大班</w:t>
      </w:r>
      <w:r>
        <w:rPr>
          <w:rFonts w:hAnsi="宋体" w:hint="eastAsia"/>
          <w:bCs/>
          <w:kern w:val="0"/>
          <w:szCs w:val="21"/>
        </w:rPr>
        <w:t>授课，以老师为主导、学生为主体的方式授课，老师通过课堂提问、互动、案例</w:t>
      </w:r>
      <w:r>
        <w:rPr>
          <w:rFonts w:hAnsi="宋体"/>
          <w:bCs/>
          <w:kern w:val="0"/>
          <w:szCs w:val="21"/>
        </w:rPr>
        <w:t>分析</w:t>
      </w:r>
      <w:r>
        <w:rPr>
          <w:rFonts w:hAnsi="宋体" w:hint="eastAsia"/>
          <w:bCs/>
          <w:kern w:val="0"/>
          <w:szCs w:val="21"/>
        </w:rPr>
        <w:t>、</w:t>
      </w:r>
      <w:r>
        <w:rPr>
          <w:rFonts w:hAnsi="宋体"/>
          <w:bCs/>
          <w:kern w:val="0"/>
          <w:szCs w:val="21"/>
        </w:rPr>
        <w:t>课题测试</w:t>
      </w:r>
      <w:r>
        <w:rPr>
          <w:rFonts w:hAnsi="宋体" w:hint="eastAsia"/>
          <w:bCs/>
          <w:kern w:val="0"/>
          <w:szCs w:val="21"/>
        </w:rPr>
        <w:t>等方法，充分调动起学生的积极性，及时了解学生对知识的掌握情况。</w:t>
      </w:r>
    </w:p>
    <w:p w14:paraId="475051A1" w14:textId="77777777" w:rsidR="00F5289E" w:rsidRDefault="00C91173">
      <w:pPr>
        <w:widowControl/>
        <w:snapToGrid w:val="0"/>
        <w:spacing w:line="360" w:lineRule="auto"/>
        <w:ind w:firstLineChars="200" w:firstLine="420"/>
        <w:rPr>
          <w:rFonts w:hAnsi="宋体"/>
          <w:bCs/>
          <w:kern w:val="0"/>
          <w:szCs w:val="21"/>
        </w:rPr>
      </w:pPr>
      <w:r>
        <w:rPr>
          <w:rFonts w:hAnsi="宋体" w:hint="eastAsia"/>
          <w:bCs/>
          <w:kern w:val="0"/>
          <w:szCs w:val="21"/>
        </w:rPr>
        <w:t>实验课小班授课，让学生动手参与实验课程，通过实践，巩固和强化对课堂知识的理解和掌握，将理论课和实验课有机结合起来，达到最佳的教学效果。教学考核采取多种方式，通过课堂到课率、回答问题、测试</w:t>
      </w:r>
      <w:r>
        <w:rPr>
          <w:rFonts w:hAnsi="宋体"/>
          <w:bCs/>
          <w:kern w:val="0"/>
          <w:szCs w:val="21"/>
        </w:rPr>
        <w:t>、</w:t>
      </w:r>
      <w:r>
        <w:rPr>
          <w:rFonts w:hAnsi="宋体" w:hint="eastAsia"/>
          <w:bCs/>
          <w:kern w:val="0"/>
          <w:szCs w:val="21"/>
        </w:rPr>
        <w:t>实验操作过程及结果等进行综合考察，使学生更好的掌握所学。</w:t>
      </w:r>
    </w:p>
    <w:p w14:paraId="6F587676" w14:textId="77777777" w:rsidR="00F5289E" w:rsidRDefault="00C91173">
      <w:pPr>
        <w:widowControl/>
        <w:snapToGrid w:val="0"/>
        <w:spacing w:line="360" w:lineRule="auto"/>
        <w:ind w:firstLineChars="200" w:firstLine="420"/>
        <w:rPr>
          <w:rFonts w:hAnsi="宋体"/>
          <w:bCs/>
          <w:kern w:val="0"/>
          <w:szCs w:val="21"/>
        </w:rPr>
      </w:pPr>
      <w:r>
        <w:rPr>
          <w:rFonts w:hAnsi="宋体"/>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2427"/>
        <w:gridCol w:w="5506"/>
        <w:gridCol w:w="964"/>
      </w:tblGrid>
      <w:tr w:rsidR="00F5289E" w14:paraId="487D66D0" w14:textId="77777777">
        <w:trPr>
          <w:trHeight w:val="403"/>
          <w:jc w:val="center"/>
        </w:trPr>
        <w:tc>
          <w:tcPr>
            <w:tcW w:w="24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FC57911" w14:textId="77777777" w:rsidR="00F5289E" w:rsidRDefault="00C91173">
            <w:pPr>
              <w:spacing w:line="360" w:lineRule="auto"/>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序号</w:t>
            </w:r>
          </w:p>
        </w:tc>
        <w:tc>
          <w:tcPr>
            <w:tcW w:w="550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5C23FBE" w14:textId="77777777" w:rsidR="00F5289E" w:rsidRDefault="00C91173">
            <w:pPr>
              <w:spacing w:line="360" w:lineRule="auto"/>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课程目标</w:t>
            </w:r>
          </w:p>
        </w:tc>
        <w:tc>
          <w:tcPr>
            <w:tcW w:w="9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8142933" w14:textId="77777777" w:rsidR="00F5289E" w:rsidRDefault="00C91173">
            <w:pPr>
              <w:spacing w:line="360" w:lineRule="auto"/>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毕业要求</w:t>
            </w:r>
          </w:p>
        </w:tc>
      </w:tr>
      <w:tr w:rsidR="00F5289E" w14:paraId="5D53F36A" w14:textId="77777777">
        <w:trPr>
          <w:trHeight w:val="963"/>
          <w:jc w:val="center"/>
        </w:trPr>
        <w:tc>
          <w:tcPr>
            <w:tcW w:w="2427" w:type="dxa"/>
            <w:tcBorders>
              <w:top w:val="single" w:sz="4" w:space="0" w:color="auto"/>
              <w:left w:val="single" w:sz="4" w:space="0" w:color="auto"/>
              <w:bottom w:val="single" w:sz="4" w:space="0" w:color="auto"/>
              <w:right w:val="single" w:sz="4" w:space="0" w:color="auto"/>
            </w:tcBorders>
            <w:vAlign w:val="center"/>
          </w:tcPr>
          <w:p w14:paraId="0DDE18E0" w14:textId="77777777" w:rsidR="00F5289E" w:rsidRDefault="00C91173">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1</w:t>
            </w:r>
          </w:p>
        </w:tc>
        <w:tc>
          <w:tcPr>
            <w:tcW w:w="5506" w:type="dxa"/>
            <w:tcBorders>
              <w:top w:val="single" w:sz="4" w:space="0" w:color="auto"/>
              <w:left w:val="single" w:sz="4" w:space="0" w:color="auto"/>
              <w:bottom w:val="single" w:sz="4" w:space="0" w:color="auto"/>
              <w:right w:val="single" w:sz="4" w:space="0" w:color="auto"/>
            </w:tcBorders>
            <w:vAlign w:val="center"/>
          </w:tcPr>
          <w:p w14:paraId="1C6CFEA7" w14:textId="77777777" w:rsidR="00F5289E" w:rsidRDefault="00C91173">
            <w:pPr>
              <w:spacing w:line="320" w:lineRule="exact"/>
              <w:jc w:val="left"/>
              <w:rPr>
                <w:rFonts w:hAnsi="宋体"/>
                <w:color w:val="000000" w:themeColor="text1"/>
                <w:sz w:val="18"/>
                <w:szCs w:val="18"/>
              </w:rPr>
            </w:pPr>
            <w:r>
              <w:rPr>
                <w:rFonts w:hint="eastAsia"/>
                <w:color w:val="000000" w:themeColor="text1"/>
                <w:sz w:val="18"/>
                <w:szCs w:val="18"/>
              </w:rPr>
              <w:t>目标</w:t>
            </w:r>
            <w:r>
              <w:rPr>
                <w:rFonts w:hint="eastAsia"/>
                <w:color w:val="000000" w:themeColor="text1"/>
                <w:sz w:val="18"/>
                <w:szCs w:val="18"/>
              </w:rPr>
              <w:t>1</w:t>
            </w:r>
            <w:r>
              <w:rPr>
                <w:rFonts w:hint="eastAsia"/>
                <w:color w:val="000000" w:themeColor="text1"/>
                <w:sz w:val="18"/>
                <w:szCs w:val="18"/>
              </w:rPr>
              <w:t>：通过本课程学习，使学生树立牢固的专业思想，懂农业、爱农村、爱农民，立志服务“三农”，践行可持续发展理念。</w:t>
            </w:r>
          </w:p>
        </w:tc>
        <w:tc>
          <w:tcPr>
            <w:tcW w:w="964" w:type="dxa"/>
            <w:tcBorders>
              <w:top w:val="single" w:sz="4" w:space="0" w:color="auto"/>
              <w:left w:val="single" w:sz="4" w:space="0" w:color="auto"/>
              <w:bottom w:val="single" w:sz="4" w:space="0" w:color="auto"/>
              <w:right w:val="single" w:sz="4" w:space="0" w:color="auto"/>
            </w:tcBorders>
            <w:vAlign w:val="center"/>
          </w:tcPr>
          <w:p w14:paraId="5DA21A3E" w14:textId="77777777" w:rsidR="00343C46" w:rsidRDefault="00C91173">
            <w:pPr>
              <w:spacing w:line="320" w:lineRule="exact"/>
              <w:jc w:val="center"/>
              <w:rPr>
                <w:color w:val="000000" w:themeColor="text1"/>
                <w:sz w:val="18"/>
                <w:szCs w:val="18"/>
              </w:rPr>
            </w:pPr>
            <w:r>
              <w:rPr>
                <w:rFonts w:hint="eastAsia"/>
                <w:color w:val="000000" w:themeColor="text1"/>
                <w:sz w:val="18"/>
                <w:szCs w:val="18"/>
              </w:rPr>
              <w:t>1</w:t>
            </w:r>
          </w:p>
          <w:p w14:paraId="1C7205C4" w14:textId="7F9A4DA8" w:rsidR="00F5289E" w:rsidRDefault="00C91173">
            <w:pPr>
              <w:spacing w:line="320" w:lineRule="exact"/>
              <w:jc w:val="center"/>
              <w:rPr>
                <w:color w:val="000000" w:themeColor="text1"/>
                <w:sz w:val="18"/>
                <w:szCs w:val="18"/>
              </w:rPr>
            </w:pPr>
            <w:r>
              <w:rPr>
                <w:rFonts w:hint="eastAsia"/>
                <w:color w:val="000000" w:themeColor="text1"/>
                <w:sz w:val="18"/>
                <w:szCs w:val="18"/>
              </w:rPr>
              <w:t>2</w:t>
            </w:r>
          </w:p>
        </w:tc>
      </w:tr>
      <w:tr w:rsidR="00F5289E" w14:paraId="1F1FBD1D" w14:textId="77777777">
        <w:trPr>
          <w:trHeight w:val="963"/>
          <w:jc w:val="center"/>
        </w:trPr>
        <w:tc>
          <w:tcPr>
            <w:tcW w:w="2427" w:type="dxa"/>
            <w:tcBorders>
              <w:top w:val="single" w:sz="4" w:space="0" w:color="auto"/>
              <w:left w:val="single" w:sz="4" w:space="0" w:color="auto"/>
              <w:bottom w:val="single" w:sz="4" w:space="0" w:color="auto"/>
              <w:right w:val="single" w:sz="4" w:space="0" w:color="auto"/>
            </w:tcBorders>
            <w:vAlign w:val="center"/>
          </w:tcPr>
          <w:p w14:paraId="78AE00B9" w14:textId="77777777" w:rsidR="00F5289E" w:rsidRDefault="00C91173">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2</w:t>
            </w:r>
          </w:p>
        </w:tc>
        <w:tc>
          <w:tcPr>
            <w:tcW w:w="5506" w:type="dxa"/>
            <w:tcBorders>
              <w:top w:val="single" w:sz="4" w:space="0" w:color="auto"/>
              <w:left w:val="single" w:sz="4" w:space="0" w:color="auto"/>
              <w:bottom w:val="single" w:sz="4" w:space="0" w:color="auto"/>
              <w:right w:val="single" w:sz="4" w:space="0" w:color="auto"/>
            </w:tcBorders>
            <w:vAlign w:val="center"/>
          </w:tcPr>
          <w:p w14:paraId="465EA388" w14:textId="77777777" w:rsidR="00F5289E" w:rsidRDefault="00C91173">
            <w:pPr>
              <w:spacing w:line="360" w:lineRule="auto"/>
              <w:jc w:val="left"/>
              <w:rPr>
                <w:rFonts w:eastAsiaTheme="minorEastAsia" w:hAnsiTheme="minorEastAsia"/>
                <w:color w:val="000000" w:themeColor="text1"/>
                <w:sz w:val="18"/>
                <w:szCs w:val="18"/>
              </w:rPr>
            </w:pPr>
            <w:r>
              <w:rPr>
                <w:rFonts w:asciiTheme="minorEastAsia" w:eastAsiaTheme="minorEastAsia" w:hAnsiTheme="minorEastAsia"/>
                <w:bCs/>
                <w:color w:val="000000" w:themeColor="text1"/>
                <w:kern w:val="0"/>
                <w:sz w:val="18"/>
                <w:szCs w:val="18"/>
              </w:rPr>
              <w:t>目标</w:t>
            </w:r>
            <w:r>
              <w:rPr>
                <w:rFonts w:asciiTheme="minorEastAsia" w:eastAsiaTheme="minorEastAsia" w:hAnsiTheme="minorEastAsia" w:hint="eastAsia"/>
                <w:bCs/>
                <w:color w:val="000000" w:themeColor="text1"/>
                <w:kern w:val="0"/>
                <w:sz w:val="18"/>
                <w:szCs w:val="18"/>
              </w:rPr>
              <w:t>2</w:t>
            </w:r>
            <w:r>
              <w:rPr>
                <w:rFonts w:asciiTheme="minorEastAsia" w:eastAsiaTheme="minorEastAsia" w:hAnsiTheme="minorEastAsia"/>
                <w:bCs/>
                <w:color w:val="000000" w:themeColor="text1"/>
                <w:kern w:val="0"/>
                <w:sz w:val="18"/>
                <w:szCs w:val="18"/>
              </w:rPr>
              <w:t>：</w:t>
            </w:r>
            <w:r>
              <w:rPr>
                <w:rFonts w:asciiTheme="minorEastAsia" w:eastAsiaTheme="minorEastAsia" w:hAnsiTheme="minorEastAsia" w:hint="eastAsia"/>
                <w:bCs/>
                <w:color w:val="000000" w:themeColor="text1"/>
                <w:kern w:val="0"/>
                <w:sz w:val="18"/>
                <w:szCs w:val="18"/>
              </w:rPr>
              <w:t>通过对遗传</w:t>
            </w:r>
            <w:r>
              <w:rPr>
                <w:rFonts w:asciiTheme="minorEastAsia" w:eastAsiaTheme="minorEastAsia" w:hAnsiTheme="minorEastAsia" w:hint="eastAsia"/>
                <w:color w:val="000000" w:themeColor="text1"/>
                <w:kern w:val="0"/>
                <w:sz w:val="18"/>
                <w:szCs w:val="18"/>
              </w:rPr>
              <w:t>变异来源</w:t>
            </w:r>
            <w:r>
              <w:rPr>
                <w:rFonts w:asciiTheme="minorEastAsia" w:eastAsiaTheme="minorEastAsia" w:hAnsiTheme="minorEastAsia" w:hint="eastAsia"/>
                <w:bCs/>
                <w:color w:val="000000" w:themeColor="text1"/>
                <w:kern w:val="0"/>
                <w:sz w:val="18"/>
                <w:szCs w:val="18"/>
              </w:rPr>
              <w:t>的学习，使学生具备遗传</w:t>
            </w:r>
            <w:r>
              <w:rPr>
                <w:rFonts w:asciiTheme="minorEastAsia" w:eastAsiaTheme="minorEastAsia" w:hAnsiTheme="minorEastAsia" w:hint="eastAsia"/>
                <w:color w:val="000000" w:themeColor="text1"/>
                <w:kern w:val="0"/>
                <w:sz w:val="18"/>
                <w:szCs w:val="18"/>
              </w:rPr>
              <w:t>变异来源类型的初步分析能力和</w:t>
            </w:r>
            <w:r>
              <w:rPr>
                <w:rFonts w:asciiTheme="minorEastAsia" w:eastAsiaTheme="minorEastAsia" w:hAnsiTheme="minorEastAsia" w:hint="eastAsia"/>
                <w:bCs/>
                <w:color w:val="000000" w:themeColor="text1"/>
                <w:kern w:val="0"/>
                <w:sz w:val="18"/>
                <w:szCs w:val="18"/>
              </w:rPr>
              <w:t>创造新变异的基本能力。</w:t>
            </w:r>
          </w:p>
        </w:tc>
        <w:tc>
          <w:tcPr>
            <w:tcW w:w="964" w:type="dxa"/>
            <w:tcBorders>
              <w:top w:val="single" w:sz="4" w:space="0" w:color="auto"/>
              <w:left w:val="single" w:sz="4" w:space="0" w:color="auto"/>
              <w:bottom w:val="single" w:sz="4" w:space="0" w:color="auto"/>
              <w:right w:val="single" w:sz="4" w:space="0" w:color="auto"/>
            </w:tcBorders>
            <w:vAlign w:val="center"/>
          </w:tcPr>
          <w:p w14:paraId="0A3F2439" w14:textId="77777777" w:rsidR="00343C46" w:rsidRDefault="00C91173">
            <w:pPr>
              <w:spacing w:line="360" w:lineRule="auto"/>
              <w:jc w:val="center"/>
              <w:rPr>
                <w:rFonts w:eastAsiaTheme="minorEastAsia"/>
                <w:color w:val="000000" w:themeColor="text1"/>
                <w:sz w:val="18"/>
                <w:szCs w:val="18"/>
              </w:rPr>
            </w:pPr>
            <w:r>
              <w:rPr>
                <w:rFonts w:eastAsiaTheme="minorEastAsia"/>
                <w:color w:val="000000" w:themeColor="text1"/>
                <w:sz w:val="18"/>
                <w:szCs w:val="18"/>
              </w:rPr>
              <w:t>2</w:t>
            </w:r>
          </w:p>
          <w:p w14:paraId="37B468A8" w14:textId="57238F59" w:rsidR="00F5289E" w:rsidRDefault="00C91173">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3</w:t>
            </w:r>
          </w:p>
        </w:tc>
      </w:tr>
      <w:tr w:rsidR="00F5289E" w14:paraId="6600894D" w14:textId="77777777">
        <w:trPr>
          <w:trHeight w:val="963"/>
          <w:jc w:val="center"/>
        </w:trPr>
        <w:tc>
          <w:tcPr>
            <w:tcW w:w="2427" w:type="dxa"/>
            <w:tcBorders>
              <w:top w:val="single" w:sz="4" w:space="0" w:color="auto"/>
              <w:left w:val="single" w:sz="4" w:space="0" w:color="auto"/>
              <w:bottom w:val="single" w:sz="4" w:space="0" w:color="auto"/>
              <w:right w:val="single" w:sz="4" w:space="0" w:color="auto"/>
            </w:tcBorders>
            <w:vAlign w:val="center"/>
          </w:tcPr>
          <w:p w14:paraId="1FA6D156" w14:textId="77777777" w:rsidR="00F5289E" w:rsidRDefault="00C91173">
            <w:pPr>
              <w:spacing w:line="360" w:lineRule="auto"/>
              <w:jc w:val="center"/>
              <w:rPr>
                <w:rFonts w:eastAsiaTheme="minorEastAsia"/>
                <w:color w:val="000000" w:themeColor="text1"/>
                <w:sz w:val="18"/>
                <w:szCs w:val="18"/>
              </w:rPr>
            </w:pPr>
            <w:r>
              <w:rPr>
                <w:rFonts w:eastAsiaTheme="minorEastAsia" w:hint="eastAsia"/>
                <w:color w:val="000000" w:themeColor="text1"/>
                <w:sz w:val="18"/>
                <w:szCs w:val="18"/>
              </w:rPr>
              <w:t>3</w:t>
            </w:r>
          </w:p>
        </w:tc>
        <w:tc>
          <w:tcPr>
            <w:tcW w:w="5506" w:type="dxa"/>
            <w:tcBorders>
              <w:top w:val="single" w:sz="4" w:space="0" w:color="auto"/>
              <w:left w:val="single" w:sz="4" w:space="0" w:color="auto"/>
              <w:bottom w:val="single" w:sz="4" w:space="0" w:color="auto"/>
              <w:right w:val="single" w:sz="4" w:space="0" w:color="auto"/>
            </w:tcBorders>
            <w:vAlign w:val="center"/>
          </w:tcPr>
          <w:p w14:paraId="5DB994E0" w14:textId="77777777" w:rsidR="00F5289E" w:rsidRDefault="00C91173">
            <w:pPr>
              <w:spacing w:line="360" w:lineRule="auto"/>
              <w:jc w:val="left"/>
              <w:rPr>
                <w:rFonts w:eastAsiaTheme="minorEastAsia"/>
                <w:color w:val="000000" w:themeColor="text1"/>
                <w:sz w:val="18"/>
                <w:szCs w:val="18"/>
              </w:rPr>
            </w:pPr>
            <w:r>
              <w:rPr>
                <w:rFonts w:asciiTheme="minorEastAsia" w:eastAsiaTheme="minorEastAsia" w:hAnsiTheme="minorEastAsia"/>
                <w:bCs/>
                <w:color w:val="000000" w:themeColor="text1"/>
                <w:kern w:val="0"/>
                <w:sz w:val="18"/>
                <w:szCs w:val="18"/>
              </w:rPr>
              <w:t>目标</w:t>
            </w:r>
            <w:r>
              <w:rPr>
                <w:rFonts w:asciiTheme="minorEastAsia" w:eastAsiaTheme="minorEastAsia" w:hAnsiTheme="minorEastAsia" w:hint="eastAsia"/>
                <w:bCs/>
                <w:color w:val="000000" w:themeColor="text1"/>
                <w:kern w:val="0"/>
                <w:sz w:val="18"/>
                <w:szCs w:val="18"/>
              </w:rPr>
              <w:t>3</w:t>
            </w:r>
            <w:r>
              <w:rPr>
                <w:rFonts w:asciiTheme="minorEastAsia" w:eastAsiaTheme="minorEastAsia" w:hAnsiTheme="minorEastAsia"/>
                <w:bCs/>
                <w:color w:val="000000" w:themeColor="text1"/>
                <w:kern w:val="0"/>
                <w:sz w:val="18"/>
                <w:szCs w:val="18"/>
              </w:rPr>
              <w:t>：</w:t>
            </w:r>
            <w:r>
              <w:rPr>
                <w:rFonts w:asciiTheme="minorEastAsia" w:eastAsiaTheme="minorEastAsia" w:hAnsiTheme="minorEastAsia" w:hint="eastAsia"/>
                <w:bCs/>
                <w:color w:val="000000" w:themeColor="text1"/>
                <w:kern w:val="0"/>
                <w:sz w:val="18"/>
                <w:szCs w:val="18"/>
              </w:rPr>
              <w:t>通过对经典遗传学定律的学习，使学生具备对杂交后代基因型及其比例的分析计算能力。</w:t>
            </w:r>
          </w:p>
        </w:tc>
        <w:tc>
          <w:tcPr>
            <w:tcW w:w="964" w:type="dxa"/>
            <w:tcBorders>
              <w:top w:val="single" w:sz="4" w:space="0" w:color="auto"/>
              <w:left w:val="single" w:sz="4" w:space="0" w:color="auto"/>
              <w:bottom w:val="single" w:sz="4" w:space="0" w:color="auto"/>
              <w:right w:val="single" w:sz="4" w:space="0" w:color="auto"/>
            </w:tcBorders>
            <w:vAlign w:val="center"/>
          </w:tcPr>
          <w:p w14:paraId="1853AE4D" w14:textId="77777777" w:rsidR="00343C46" w:rsidRDefault="00C91173">
            <w:pPr>
              <w:spacing w:line="360" w:lineRule="auto"/>
              <w:jc w:val="center"/>
              <w:rPr>
                <w:rFonts w:eastAsiaTheme="minorEastAsia"/>
                <w:color w:val="000000" w:themeColor="text1"/>
                <w:sz w:val="18"/>
                <w:szCs w:val="18"/>
              </w:rPr>
            </w:pPr>
            <w:r>
              <w:rPr>
                <w:rFonts w:eastAsiaTheme="minorEastAsia"/>
                <w:color w:val="000000" w:themeColor="text1"/>
                <w:sz w:val="18"/>
                <w:szCs w:val="18"/>
              </w:rPr>
              <w:t>2</w:t>
            </w:r>
          </w:p>
          <w:p w14:paraId="33913DE7" w14:textId="200C70E4" w:rsidR="00F5289E" w:rsidRDefault="00C91173">
            <w:pPr>
              <w:spacing w:line="360" w:lineRule="auto"/>
              <w:jc w:val="center"/>
              <w:rPr>
                <w:rFonts w:eastAsiaTheme="minorEastAsia"/>
                <w:color w:val="000000" w:themeColor="text1"/>
                <w:sz w:val="18"/>
                <w:szCs w:val="18"/>
              </w:rPr>
            </w:pPr>
            <w:r>
              <w:rPr>
                <w:rFonts w:eastAsiaTheme="minorEastAsia"/>
                <w:color w:val="000000" w:themeColor="text1"/>
                <w:sz w:val="18"/>
                <w:szCs w:val="18"/>
              </w:rPr>
              <w:t>3</w:t>
            </w:r>
          </w:p>
        </w:tc>
      </w:tr>
      <w:tr w:rsidR="00F5289E" w14:paraId="361E4896" w14:textId="77777777">
        <w:trPr>
          <w:trHeight w:val="963"/>
          <w:jc w:val="center"/>
        </w:trPr>
        <w:tc>
          <w:tcPr>
            <w:tcW w:w="2427" w:type="dxa"/>
            <w:tcBorders>
              <w:top w:val="single" w:sz="4" w:space="0" w:color="auto"/>
              <w:left w:val="single" w:sz="4" w:space="0" w:color="auto"/>
              <w:bottom w:val="single" w:sz="4" w:space="0" w:color="auto"/>
              <w:right w:val="single" w:sz="4" w:space="0" w:color="auto"/>
            </w:tcBorders>
            <w:vAlign w:val="center"/>
          </w:tcPr>
          <w:p w14:paraId="3DA04CA1" w14:textId="77777777" w:rsidR="00F5289E" w:rsidRDefault="00C91173">
            <w:pPr>
              <w:spacing w:line="360" w:lineRule="auto"/>
              <w:jc w:val="center"/>
              <w:rPr>
                <w:rFonts w:hAnsi="宋体"/>
                <w:color w:val="000000" w:themeColor="text1"/>
                <w:sz w:val="18"/>
                <w:szCs w:val="18"/>
              </w:rPr>
            </w:pPr>
            <w:r>
              <w:rPr>
                <w:rFonts w:hAnsi="宋体" w:hint="eastAsia"/>
                <w:color w:val="000000" w:themeColor="text1"/>
                <w:sz w:val="18"/>
                <w:szCs w:val="18"/>
              </w:rPr>
              <w:t>4</w:t>
            </w:r>
          </w:p>
        </w:tc>
        <w:tc>
          <w:tcPr>
            <w:tcW w:w="5506" w:type="dxa"/>
            <w:tcBorders>
              <w:top w:val="single" w:sz="4" w:space="0" w:color="auto"/>
              <w:left w:val="single" w:sz="4" w:space="0" w:color="auto"/>
              <w:bottom w:val="single" w:sz="4" w:space="0" w:color="auto"/>
              <w:right w:val="single" w:sz="4" w:space="0" w:color="auto"/>
            </w:tcBorders>
            <w:vAlign w:val="center"/>
          </w:tcPr>
          <w:p w14:paraId="49A8876B" w14:textId="77777777" w:rsidR="00F5289E" w:rsidRDefault="00C91173">
            <w:pPr>
              <w:spacing w:line="360" w:lineRule="auto"/>
              <w:jc w:val="left"/>
              <w:rPr>
                <w:rFonts w:hAnsi="宋体"/>
                <w:color w:val="000000" w:themeColor="text1"/>
                <w:sz w:val="18"/>
                <w:szCs w:val="18"/>
              </w:rPr>
            </w:pPr>
            <w:r>
              <w:rPr>
                <w:rFonts w:hint="eastAsia"/>
                <w:color w:val="000000" w:themeColor="text1"/>
                <w:sz w:val="18"/>
                <w:szCs w:val="18"/>
              </w:rPr>
              <w:t>目标</w:t>
            </w:r>
            <w:r>
              <w:rPr>
                <w:rFonts w:hint="eastAsia"/>
                <w:color w:val="000000" w:themeColor="text1"/>
                <w:sz w:val="18"/>
                <w:szCs w:val="18"/>
              </w:rPr>
              <w:t>4</w:t>
            </w:r>
            <w:r>
              <w:rPr>
                <w:rFonts w:hint="eastAsia"/>
                <w:color w:val="000000" w:themeColor="text1"/>
                <w:sz w:val="18"/>
                <w:szCs w:val="18"/>
              </w:rPr>
              <w:t>：通过课程学习，使学生</w:t>
            </w:r>
            <w:r>
              <w:rPr>
                <w:rFonts w:hAnsi="宋体" w:hint="eastAsia"/>
                <w:color w:val="000000" w:themeColor="text1"/>
                <w:sz w:val="18"/>
                <w:szCs w:val="18"/>
              </w:rPr>
              <w:t>具备扎实的育种学基础理论、专业知识和实验技能。了解育种学相关领域最新动态和发展趋势。能够应用本学科基本理论和方法对本专业领域现象和问题进行判断、分析和研究，提出相应对策和建议；具备从事园艺植物新品种选育、良种繁育、分子育种及新品种推广能力；具备利用所学知识进行创新创业的能力。</w:t>
            </w:r>
          </w:p>
        </w:tc>
        <w:tc>
          <w:tcPr>
            <w:tcW w:w="964" w:type="dxa"/>
            <w:tcBorders>
              <w:top w:val="single" w:sz="4" w:space="0" w:color="auto"/>
              <w:left w:val="single" w:sz="4" w:space="0" w:color="auto"/>
              <w:bottom w:val="single" w:sz="4" w:space="0" w:color="auto"/>
              <w:right w:val="single" w:sz="4" w:space="0" w:color="auto"/>
            </w:tcBorders>
            <w:vAlign w:val="center"/>
          </w:tcPr>
          <w:p w14:paraId="098FB9B5" w14:textId="77777777" w:rsidR="00343C46" w:rsidRDefault="00C91173">
            <w:pPr>
              <w:spacing w:line="360" w:lineRule="auto"/>
              <w:jc w:val="center"/>
              <w:rPr>
                <w:color w:val="000000" w:themeColor="text1"/>
                <w:sz w:val="18"/>
                <w:szCs w:val="18"/>
              </w:rPr>
            </w:pPr>
            <w:r>
              <w:rPr>
                <w:rFonts w:hint="eastAsia"/>
                <w:color w:val="000000" w:themeColor="text1"/>
                <w:sz w:val="18"/>
                <w:szCs w:val="18"/>
              </w:rPr>
              <w:t>5</w:t>
            </w:r>
          </w:p>
          <w:p w14:paraId="51BDCFD1" w14:textId="77777777" w:rsidR="00343C46" w:rsidRDefault="00C91173">
            <w:pPr>
              <w:spacing w:line="360" w:lineRule="auto"/>
              <w:jc w:val="center"/>
              <w:rPr>
                <w:color w:val="000000" w:themeColor="text1"/>
                <w:sz w:val="18"/>
                <w:szCs w:val="18"/>
              </w:rPr>
            </w:pPr>
            <w:r>
              <w:rPr>
                <w:rFonts w:hint="eastAsia"/>
                <w:color w:val="000000" w:themeColor="text1"/>
                <w:sz w:val="18"/>
                <w:szCs w:val="18"/>
              </w:rPr>
              <w:t>6</w:t>
            </w:r>
          </w:p>
          <w:p w14:paraId="615FDFEC" w14:textId="08CD9445" w:rsidR="00F5289E" w:rsidRDefault="00C91173">
            <w:pPr>
              <w:spacing w:line="360" w:lineRule="auto"/>
              <w:jc w:val="center"/>
              <w:rPr>
                <w:color w:val="000000" w:themeColor="text1"/>
                <w:sz w:val="18"/>
                <w:szCs w:val="18"/>
              </w:rPr>
            </w:pPr>
            <w:r>
              <w:rPr>
                <w:rFonts w:hint="eastAsia"/>
                <w:color w:val="000000" w:themeColor="text1"/>
                <w:sz w:val="18"/>
                <w:szCs w:val="18"/>
              </w:rPr>
              <w:t>7</w:t>
            </w:r>
          </w:p>
        </w:tc>
      </w:tr>
      <w:tr w:rsidR="00F5289E" w14:paraId="33F097B6" w14:textId="77777777">
        <w:trPr>
          <w:trHeight w:val="963"/>
          <w:jc w:val="center"/>
        </w:trPr>
        <w:tc>
          <w:tcPr>
            <w:tcW w:w="0" w:type="auto"/>
            <w:vAlign w:val="center"/>
          </w:tcPr>
          <w:p w14:paraId="42D372E4" w14:textId="77777777" w:rsidR="00F5289E" w:rsidRDefault="00C91173">
            <w:pPr>
              <w:spacing w:line="360" w:lineRule="auto"/>
              <w:jc w:val="center"/>
              <w:rPr>
                <w:rFonts w:hAnsi="宋体"/>
                <w:color w:val="000000" w:themeColor="text1"/>
                <w:sz w:val="18"/>
                <w:szCs w:val="18"/>
              </w:rPr>
            </w:pPr>
            <w:r>
              <w:rPr>
                <w:rFonts w:hAnsi="宋体" w:hint="eastAsia"/>
                <w:color w:val="000000" w:themeColor="text1"/>
                <w:sz w:val="18"/>
                <w:szCs w:val="18"/>
              </w:rPr>
              <w:t>5</w:t>
            </w:r>
          </w:p>
        </w:tc>
        <w:tc>
          <w:tcPr>
            <w:tcW w:w="5506" w:type="dxa"/>
            <w:vAlign w:val="center"/>
          </w:tcPr>
          <w:p w14:paraId="44EB6AD9" w14:textId="77777777" w:rsidR="00F5289E" w:rsidRDefault="00C91173">
            <w:pPr>
              <w:spacing w:line="360" w:lineRule="auto"/>
              <w:jc w:val="left"/>
              <w:rPr>
                <w:rFonts w:hAnsi="宋体"/>
                <w:color w:val="000000" w:themeColor="text1"/>
                <w:sz w:val="18"/>
                <w:szCs w:val="18"/>
              </w:rPr>
            </w:pPr>
            <w:r>
              <w:rPr>
                <w:rFonts w:hAnsi="宋体" w:hint="eastAsia"/>
                <w:color w:val="000000" w:themeColor="text1"/>
                <w:sz w:val="18"/>
                <w:szCs w:val="18"/>
              </w:rPr>
              <w:t>目标</w:t>
            </w:r>
            <w:r>
              <w:rPr>
                <w:rFonts w:hAnsi="宋体" w:hint="eastAsia"/>
                <w:color w:val="000000" w:themeColor="text1"/>
                <w:sz w:val="18"/>
                <w:szCs w:val="18"/>
              </w:rPr>
              <w:t>5</w:t>
            </w:r>
            <w:r>
              <w:rPr>
                <w:rFonts w:hAnsi="宋体" w:hint="eastAsia"/>
                <w:color w:val="000000" w:themeColor="text1"/>
                <w:sz w:val="18"/>
                <w:szCs w:val="18"/>
              </w:rPr>
              <w:t>：通过课程学习，使学生具备较强的沟通表达和协调能力；通过合作完成实践任务，使学生具有较强的团队合作精神。培养学生自主学习能力和可持续发展能力。</w:t>
            </w:r>
          </w:p>
        </w:tc>
        <w:tc>
          <w:tcPr>
            <w:tcW w:w="964" w:type="dxa"/>
            <w:vAlign w:val="center"/>
          </w:tcPr>
          <w:p w14:paraId="30E12FEA" w14:textId="77777777" w:rsidR="00343C46" w:rsidRDefault="00C91173">
            <w:pPr>
              <w:spacing w:line="360" w:lineRule="auto"/>
              <w:jc w:val="center"/>
              <w:rPr>
                <w:color w:val="000000" w:themeColor="text1"/>
                <w:sz w:val="18"/>
                <w:szCs w:val="18"/>
              </w:rPr>
            </w:pPr>
            <w:r>
              <w:rPr>
                <w:rFonts w:hint="eastAsia"/>
                <w:color w:val="000000" w:themeColor="text1"/>
                <w:sz w:val="18"/>
                <w:szCs w:val="18"/>
              </w:rPr>
              <w:t>8</w:t>
            </w:r>
          </w:p>
          <w:p w14:paraId="166ECE64" w14:textId="48BA5F27" w:rsidR="00F5289E" w:rsidRDefault="00C91173">
            <w:pPr>
              <w:spacing w:line="360" w:lineRule="auto"/>
              <w:jc w:val="center"/>
              <w:rPr>
                <w:color w:val="000000" w:themeColor="text1"/>
                <w:sz w:val="18"/>
                <w:szCs w:val="18"/>
              </w:rPr>
            </w:pPr>
            <w:r>
              <w:rPr>
                <w:rFonts w:hint="eastAsia"/>
                <w:color w:val="000000" w:themeColor="text1"/>
                <w:sz w:val="18"/>
                <w:szCs w:val="18"/>
              </w:rPr>
              <w:t>10</w:t>
            </w:r>
          </w:p>
        </w:tc>
      </w:tr>
    </w:tbl>
    <w:p w14:paraId="2FF9029A" w14:textId="77777777" w:rsidR="00F5289E" w:rsidRDefault="00F5289E">
      <w:pPr>
        <w:widowControl/>
        <w:snapToGrid w:val="0"/>
        <w:spacing w:line="360" w:lineRule="auto"/>
        <w:ind w:firstLineChars="200" w:firstLine="420"/>
        <w:rPr>
          <w:rFonts w:hAnsi="宋体"/>
          <w:bCs/>
          <w:kern w:val="0"/>
          <w:szCs w:val="21"/>
        </w:rPr>
      </w:pPr>
    </w:p>
    <w:p w14:paraId="7EE58D7B" w14:textId="77777777" w:rsidR="00F5289E" w:rsidRDefault="00F5289E">
      <w:pPr>
        <w:widowControl/>
        <w:snapToGrid w:val="0"/>
        <w:spacing w:line="360" w:lineRule="auto"/>
        <w:jc w:val="left"/>
        <w:rPr>
          <w:rFonts w:hAnsi="宋体"/>
          <w:b/>
          <w:bCs/>
          <w:kern w:val="0"/>
          <w:szCs w:val="21"/>
        </w:rPr>
      </w:pPr>
    </w:p>
    <w:p w14:paraId="4771A916" w14:textId="77777777" w:rsidR="00F5289E" w:rsidRDefault="00F5289E">
      <w:pPr>
        <w:widowControl/>
        <w:snapToGrid w:val="0"/>
        <w:spacing w:line="360" w:lineRule="auto"/>
        <w:jc w:val="left"/>
        <w:rPr>
          <w:rFonts w:hAnsi="宋体"/>
          <w:b/>
          <w:bCs/>
          <w:kern w:val="0"/>
          <w:szCs w:val="21"/>
        </w:rPr>
      </w:pPr>
    </w:p>
    <w:p w14:paraId="6E707F24" w14:textId="77777777" w:rsidR="00F5289E" w:rsidRDefault="00F5289E">
      <w:pPr>
        <w:widowControl/>
        <w:snapToGrid w:val="0"/>
        <w:spacing w:line="360" w:lineRule="auto"/>
        <w:jc w:val="left"/>
        <w:rPr>
          <w:rFonts w:hAnsi="宋体"/>
          <w:b/>
          <w:bCs/>
          <w:kern w:val="0"/>
          <w:szCs w:val="21"/>
        </w:rPr>
      </w:pPr>
    </w:p>
    <w:p w14:paraId="6CCA7339" w14:textId="77777777" w:rsidR="00F5289E" w:rsidRDefault="00C91173">
      <w:pPr>
        <w:widowControl/>
        <w:snapToGrid w:val="0"/>
        <w:spacing w:line="360" w:lineRule="auto"/>
        <w:jc w:val="left"/>
        <w:rPr>
          <w:rFonts w:ascii="宋体" w:hAnsi="宋体" w:cs="宋体"/>
          <w:b/>
          <w:bCs/>
          <w:kern w:val="0"/>
          <w:szCs w:val="21"/>
        </w:rPr>
      </w:pPr>
      <w:r>
        <w:rPr>
          <w:rFonts w:hAnsi="宋体" w:hint="eastAsia"/>
          <w:b/>
          <w:bCs/>
          <w:kern w:val="0"/>
          <w:szCs w:val="21"/>
        </w:rPr>
        <w:lastRenderedPageBreak/>
        <w:t>四</w:t>
      </w:r>
      <w:r>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p>
    <w:p w14:paraId="2DB34852" w14:textId="77777777" w:rsidR="00F5289E" w:rsidRDefault="00C91173">
      <w:pPr>
        <w:spacing w:line="360" w:lineRule="auto"/>
        <w:ind w:left="422" w:hangingChars="200" w:hanging="422"/>
        <w:rPr>
          <w:rFonts w:ascii="Verdana" w:hAnsi="Verdana" w:cs="宋体"/>
          <w:kern w:val="0"/>
          <w:szCs w:val="21"/>
        </w:rPr>
      </w:pPr>
      <w:r>
        <w:rPr>
          <w:rFonts w:ascii="Verdana" w:hAnsi="Verdana" w:cs="宋体"/>
          <w:b/>
          <w:bCs/>
          <w:kern w:val="0"/>
          <w:szCs w:val="21"/>
        </w:rPr>
        <w:t>上篇</w:t>
      </w:r>
      <w:r>
        <w:rPr>
          <w:rFonts w:ascii="Verdana" w:hAnsi="Verdana" w:cs="宋体" w:hint="eastAsia"/>
          <w:b/>
          <w:bCs/>
          <w:kern w:val="0"/>
          <w:szCs w:val="21"/>
        </w:rPr>
        <w:t xml:space="preserve">  </w:t>
      </w:r>
      <w:r>
        <w:rPr>
          <w:rFonts w:ascii="Verdana" w:hAnsi="Verdana" w:cs="宋体"/>
          <w:b/>
          <w:bCs/>
          <w:kern w:val="0"/>
          <w:szCs w:val="21"/>
        </w:rPr>
        <w:t>园</w:t>
      </w:r>
      <w:r>
        <w:rPr>
          <w:rFonts w:ascii="Verdana" w:hAnsi="Verdana" w:cs="宋体" w:hint="eastAsia"/>
          <w:b/>
          <w:bCs/>
          <w:kern w:val="0"/>
          <w:szCs w:val="21"/>
        </w:rPr>
        <w:t>艺</w:t>
      </w:r>
      <w:r>
        <w:rPr>
          <w:rFonts w:ascii="Verdana" w:hAnsi="Verdana" w:cs="宋体"/>
          <w:b/>
          <w:bCs/>
          <w:kern w:val="0"/>
          <w:szCs w:val="21"/>
        </w:rPr>
        <w:t>植物遗传学</w:t>
      </w:r>
    </w:p>
    <w:p w14:paraId="51EA39F2" w14:textId="77777777" w:rsidR="00F5289E" w:rsidRDefault="00F5289E">
      <w:pPr>
        <w:widowControl/>
        <w:snapToGrid w:val="0"/>
        <w:spacing w:line="360" w:lineRule="auto"/>
        <w:jc w:val="left"/>
        <w:rPr>
          <w:rFonts w:ascii="宋体" w:hAnsi="宋体" w:cs="宋体"/>
          <w:b/>
          <w:bCs/>
          <w:kern w:val="0"/>
          <w:szCs w:val="21"/>
        </w:rPr>
      </w:pPr>
    </w:p>
    <w:p w14:paraId="21BDCFAF" w14:textId="77777777" w:rsidR="00F5289E" w:rsidRDefault="00C91173">
      <w:pPr>
        <w:widowControl/>
        <w:wordWrap w:val="0"/>
        <w:snapToGrid w:val="0"/>
        <w:spacing w:line="360" w:lineRule="auto"/>
        <w:jc w:val="right"/>
        <w:rPr>
          <w:rFonts w:ascii="宋体" w:hAnsi="宋体"/>
          <w:b/>
          <w:bCs/>
        </w:rPr>
      </w:pPr>
      <w:r>
        <w:rPr>
          <w:rFonts w:ascii="宋体" w:hAnsi="宋体" w:hint="eastAsia"/>
          <w:b/>
          <w:bCs/>
        </w:rPr>
        <w:t>绪  论</w:t>
      </w:r>
      <w:r>
        <w:rPr>
          <w:rFonts w:ascii="宋体" w:hAnsi="宋体"/>
          <w:b/>
          <w:bCs/>
        </w:rPr>
        <w:t> </w:t>
      </w:r>
      <w:r>
        <w:rPr>
          <w:rFonts w:ascii="宋体" w:hAnsi="宋体" w:hint="eastAsia"/>
          <w:b/>
          <w:bCs/>
        </w:rPr>
        <w:t xml:space="preserve">           </w:t>
      </w:r>
      <w:r>
        <w:rPr>
          <w:rFonts w:ascii="宋体" w:hAnsi="宋体"/>
          <w:b/>
          <w:bCs/>
        </w:rPr>
        <w:t xml:space="preserve">  </w:t>
      </w:r>
      <w:r>
        <w:rPr>
          <w:rFonts w:ascii="宋体" w:hAnsi="宋体" w:hint="eastAsia"/>
          <w:b/>
          <w:bCs/>
        </w:rPr>
        <w:t xml:space="preserve">               </w:t>
      </w:r>
      <w:r>
        <w:rPr>
          <w:rFonts w:ascii="宋体" w:hAnsi="宋体"/>
          <w:b/>
          <w:bCs/>
        </w:rPr>
        <w:t>学时</w:t>
      </w:r>
      <w:r>
        <w:rPr>
          <w:rFonts w:ascii="宋体" w:hAnsi="宋体" w:hint="eastAsia"/>
          <w:b/>
          <w:bCs/>
        </w:rPr>
        <w:t>数：1</w:t>
      </w:r>
    </w:p>
    <w:p w14:paraId="09D52D17" w14:textId="77777777" w:rsidR="00F5289E" w:rsidRDefault="00C91173">
      <w:pPr>
        <w:snapToGrid w:val="0"/>
        <w:spacing w:line="360" w:lineRule="auto"/>
        <w:jc w:val="left"/>
        <w:rPr>
          <w:rFonts w:hAnsi="宋体"/>
          <w:kern w:val="0"/>
          <w:szCs w:val="21"/>
        </w:rPr>
      </w:pPr>
      <w:r>
        <w:rPr>
          <w:rFonts w:ascii="宋体" w:hAnsi="宋体" w:hint="eastAsia"/>
          <w:b/>
          <w:bCs/>
        </w:rPr>
        <w:t>教学目标：</w:t>
      </w:r>
      <w:r>
        <w:rPr>
          <w:kern w:val="0"/>
          <w:szCs w:val="21"/>
        </w:rPr>
        <w:t xml:space="preserve"> </w:t>
      </w:r>
      <w:r>
        <w:rPr>
          <w:rFonts w:hint="eastAsia"/>
          <w:kern w:val="0"/>
          <w:szCs w:val="21"/>
        </w:rPr>
        <w:t>介绍</w:t>
      </w:r>
      <w:r>
        <w:rPr>
          <w:kern w:val="0"/>
          <w:szCs w:val="21"/>
        </w:rPr>
        <w:t>本课程的特点、目的</w:t>
      </w:r>
      <w:r>
        <w:rPr>
          <w:rFonts w:hint="eastAsia"/>
          <w:kern w:val="0"/>
          <w:szCs w:val="21"/>
        </w:rPr>
        <w:t>、</w:t>
      </w:r>
      <w:r>
        <w:rPr>
          <w:kern w:val="0"/>
          <w:szCs w:val="21"/>
        </w:rPr>
        <w:t>要求</w:t>
      </w:r>
      <w:r>
        <w:rPr>
          <w:rFonts w:hint="eastAsia"/>
          <w:kern w:val="0"/>
          <w:szCs w:val="21"/>
        </w:rPr>
        <w:t>、</w:t>
      </w:r>
      <w:r>
        <w:rPr>
          <w:kern w:val="0"/>
          <w:szCs w:val="21"/>
        </w:rPr>
        <w:t>学习方法</w:t>
      </w:r>
      <w:r>
        <w:rPr>
          <w:rFonts w:hint="eastAsia"/>
          <w:kern w:val="0"/>
          <w:szCs w:val="21"/>
        </w:rPr>
        <w:t>和考核方式，让学生初步了解本课程，激发学习兴趣。通过</w:t>
      </w:r>
      <w:r>
        <w:rPr>
          <w:rFonts w:hAnsi="宋体" w:hint="eastAsia"/>
          <w:kern w:val="0"/>
          <w:szCs w:val="21"/>
        </w:rPr>
        <w:t>遗传学发展历史的学习，开展政治认同和家国情怀的教育。</w:t>
      </w:r>
    </w:p>
    <w:p w14:paraId="522F8DE4" w14:textId="77777777" w:rsidR="00F5289E" w:rsidRDefault="00C91173">
      <w:pPr>
        <w:snapToGrid w:val="0"/>
        <w:spacing w:line="360" w:lineRule="auto"/>
        <w:jc w:val="left"/>
        <w:rPr>
          <w:rFonts w:hAnsi="宋体"/>
          <w:kern w:val="0"/>
          <w:szCs w:val="21"/>
          <w:highlight w:val="yellow"/>
        </w:rPr>
      </w:pPr>
      <w:r>
        <w:rPr>
          <w:rFonts w:ascii="宋体" w:hAnsi="宋体" w:hint="eastAsia"/>
          <w:b/>
          <w:bCs/>
        </w:rPr>
        <w:t>教学重点和难点：</w:t>
      </w:r>
      <w:r>
        <w:rPr>
          <w:rFonts w:ascii="宋体" w:hAnsi="宋体" w:cs="宋体" w:hint="eastAsia"/>
          <w:kern w:val="0"/>
          <w:szCs w:val="21"/>
        </w:rPr>
        <w:t>重点介绍</w:t>
      </w:r>
      <w:r>
        <w:rPr>
          <w:rFonts w:hAnsi="宋体" w:hint="eastAsia"/>
          <w:kern w:val="0"/>
          <w:szCs w:val="21"/>
        </w:rPr>
        <w:t>遗传和变异两个基础概念，遗传和变异在园艺植物育种的意义。其中遗传和变异的概念是难点。</w:t>
      </w:r>
    </w:p>
    <w:p w14:paraId="0563490F" w14:textId="77777777" w:rsidR="00F5289E" w:rsidRDefault="00C91173">
      <w:pPr>
        <w:snapToGrid w:val="0"/>
        <w:spacing w:line="360" w:lineRule="auto"/>
        <w:jc w:val="left"/>
        <w:rPr>
          <w:rFonts w:ascii="宋体" w:hAnsi="宋体"/>
          <w:b/>
          <w:bCs/>
        </w:rPr>
      </w:pPr>
      <w:r>
        <w:rPr>
          <w:rFonts w:ascii="宋体" w:hAnsi="宋体" w:hint="eastAsia"/>
          <w:b/>
          <w:bCs/>
        </w:rPr>
        <w:t>主要教学内容及要求：</w:t>
      </w:r>
    </w:p>
    <w:p w14:paraId="4CF68723" w14:textId="77777777" w:rsidR="00F5289E" w:rsidRDefault="00C91173">
      <w:pPr>
        <w:widowControl/>
        <w:snapToGrid w:val="0"/>
        <w:spacing w:line="360" w:lineRule="auto"/>
        <w:ind w:firstLineChars="200" w:firstLine="420"/>
        <w:rPr>
          <w:kern w:val="0"/>
          <w:szCs w:val="21"/>
        </w:rPr>
      </w:pPr>
      <w:r>
        <w:rPr>
          <w:rFonts w:hint="eastAsia"/>
          <w:kern w:val="0"/>
          <w:szCs w:val="21"/>
        </w:rPr>
        <w:t>本章主要介绍</w:t>
      </w:r>
      <w:r>
        <w:rPr>
          <w:kern w:val="0"/>
          <w:szCs w:val="21"/>
        </w:rPr>
        <w:t>本课程的研究内容及主要任务</w:t>
      </w:r>
      <w:r>
        <w:rPr>
          <w:rFonts w:hint="eastAsia"/>
          <w:kern w:val="0"/>
          <w:szCs w:val="21"/>
        </w:rPr>
        <w:t>、</w:t>
      </w:r>
      <w:r>
        <w:rPr>
          <w:kern w:val="0"/>
          <w:szCs w:val="21"/>
        </w:rPr>
        <w:t>遗传学的发展历史、现状</w:t>
      </w:r>
      <w:r>
        <w:rPr>
          <w:rFonts w:hint="eastAsia"/>
          <w:kern w:val="0"/>
          <w:szCs w:val="21"/>
        </w:rPr>
        <w:t>，在园艺植物育种以及相关领域的作用。</w:t>
      </w:r>
    </w:p>
    <w:p w14:paraId="28AB1685"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要求学生了解遗传和变异两个基础概念</w:t>
      </w:r>
      <w:r>
        <w:rPr>
          <w:rFonts w:ascii="宋体" w:hAnsi="宋体" w:cs="宋体" w:hint="eastAsia"/>
          <w:kern w:val="0"/>
          <w:szCs w:val="21"/>
        </w:rPr>
        <w:t>，</w:t>
      </w:r>
      <w:r>
        <w:rPr>
          <w:rFonts w:hAnsi="宋体" w:hint="eastAsia"/>
          <w:kern w:val="0"/>
          <w:szCs w:val="21"/>
        </w:rPr>
        <w:t>理解遗传和变异在动植物育种学及医学中的基础地位，掌握遗传学的发展历史，熟练掌握变异在园艺植物育种的意义。</w:t>
      </w:r>
    </w:p>
    <w:p w14:paraId="468BA6C3" w14:textId="77777777" w:rsidR="00F5289E" w:rsidRDefault="00C91173">
      <w:pPr>
        <w:snapToGrid w:val="0"/>
        <w:spacing w:line="360" w:lineRule="auto"/>
        <w:jc w:val="left"/>
        <w:rPr>
          <w:rFonts w:ascii="宋体" w:hAnsi="宋体"/>
          <w:b/>
          <w:bCs/>
        </w:rPr>
      </w:pPr>
      <w:r>
        <w:rPr>
          <w:rFonts w:ascii="宋体" w:hAnsi="宋体" w:hint="eastAsia"/>
          <w:b/>
          <w:bCs/>
        </w:rPr>
        <w:t>教学组织与实施：</w:t>
      </w:r>
      <w:r>
        <w:rPr>
          <w:rFonts w:hAnsi="宋体" w:hint="eastAsia"/>
          <w:kern w:val="0"/>
          <w:szCs w:val="21"/>
        </w:rPr>
        <w:t>本章是激发学生兴趣的重要环节。</w:t>
      </w:r>
      <w:r>
        <w:rPr>
          <w:rFonts w:ascii="宋体" w:hAnsi="宋体" w:hint="eastAsia"/>
        </w:rPr>
        <w:t>课程教学过程中，教师积极收集当前园艺植物遗传育种中的热点研究成果，分析遗传学在这</w:t>
      </w:r>
      <w:r>
        <w:rPr>
          <w:rFonts w:hint="eastAsia"/>
          <w:kern w:val="0"/>
          <w:szCs w:val="21"/>
        </w:rPr>
        <w:t>些研究实例中的作用，展示</w:t>
      </w:r>
      <w:r>
        <w:rPr>
          <w:rFonts w:ascii="宋体" w:hAnsi="宋体" w:hint="eastAsia"/>
        </w:rPr>
        <w:t>这</w:t>
      </w:r>
      <w:r>
        <w:rPr>
          <w:rFonts w:hint="eastAsia"/>
          <w:kern w:val="0"/>
          <w:szCs w:val="21"/>
        </w:rPr>
        <w:t>些研究实例中的</w:t>
      </w:r>
      <w:r>
        <w:rPr>
          <w:rFonts w:ascii="宋体" w:hAnsi="宋体" w:hint="eastAsia"/>
        </w:rPr>
        <w:t>图片和数据，让授课内容更加丰富，从而</w:t>
      </w:r>
      <w:r>
        <w:rPr>
          <w:rFonts w:hint="eastAsia"/>
          <w:kern w:val="0"/>
          <w:szCs w:val="21"/>
        </w:rPr>
        <w:t>激发学生兴趣。本章有部分内容涉及</w:t>
      </w:r>
      <w:r>
        <w:rPr>
          <w:rFonts w:hAnsi="宋体" w:hint="eastAsia"/>
          <w:kern w:val="0"/>
          <w:szCs w:val="21"/>
        </w:rPr>
        <w:t>遗传学的发展历史，通过比较中外研究人员在遗传学发展中的贡献比例，以及我国近百年动植物以及医学遗传学研究的发展动态，开展政治认同和家国情怀的教学。</w:t>
      </w:r>
    </w:p>
    <w:p w14:paraId="76895463" w14:textId="77777777" w:rsidR="00F5289E" w:rsidRDefault="00C91173">
      <w:pPr>
        <w:widowControl/>
        <w:wordWrap w:val="0"/>
        <w:snapToGrid w:val="0"/>
        <w:spacing w:line="360" w:lineRule="auto"/>
        <w:jc w:val="right"/>
        <w:rPr>
          <w:kern w:val="0"/>
          <w:szCs w:val="21"/>
        </w:rPr>
      </w:pPr>
      <w:r>
        <w:rPr>
          <w:b/>
          <w:bCs/>
          <w:kern w:val="0"/>
          <w:szCs w:val="21"/>
        </w:rPr>
        <w:t>    </w:t>
      </w:r>
      <w:r>
        <w:rPr>
          <w:rFonts w:hAnsi="宋体"/>
          <w:b/>
          <w:bCs/>
          <w:kern w:val="0"/>
          <w:szCs w:val="21"/>
        </w:rPr>
        <w:t>第一章</w:t>
      </w:r>
      <w:r>
        <w:rPr>
          <w:b/>
          <w:bCs/>
          <w:kern w:val="0"/>
          <w:szCs w:val="21"/>
        </w:rPr>
        <w:t>     </w:t>
      </w:r>
      <w:r>
        <w:rPr>
          <w:rFonts w:hint="eastAsia"/>
          <w:b/>
          <w:bCs/>
          <w:kern w:val="0"/>
          <w:szCs w:val="21"/>
        </w:rPr>
        <w:t>遗传的细胞学基础</w:t>
      </w:r>
      <w:r>
        <w:rPr>
          <w:b/>
          <w:bCs/>
          <w:kern w:val="0"/>
          <w:szCs w:val="21"/>
        </w:rPr>
        <w:t>       </w:t>
      </w:r>
      <w:r>
        <w:rPr>
          <w:rFonts w:hint="eastAsia"/>
          <w:b/>
          <w:bCs/>
          <w:kern w:val="0"/>
          <w:szCs w:val="21"/>
        </w:rPr>
        <w:t xml:space="preserve">        </w:t>
      </w:r>
      <w:r>
        <w:rPr>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b/>
          <w:bCs/>
          <w:kern w:val="0"/>
          <w:szCs w:val="21"/>
        </w:rPr>
        <w:t>1</w:t>
      </w:r>
    </w:p>
    <w:p w14:paraId="0D775A18" w14:textId="77777777" w:rsidR="00F5289E" w:rsidRDefault="00C91173">
      <w:pPr>
        <w:snapToGrid w:val="0"/>
        <w:spacing w:line="360" w:lineRule="auto"/>
        <w:jc w:val="left"/>
        <w:rPr>
          <w:rFonts w:ascii="宋体" w:hAnsi="宋体"/>
          <w:b/>
          <w:bCs/>
        </w:rPr>
      </w:pPr>
      <w:r>
        <w:rPr>
          <w:rFonts w:ascii="宋体" w:hAnsi="宋体"/>
          <w:b/>
          <w:bCs/>
        </w:rPr>
        <w:t>第一节</w:t>
      </w:r>
      <w:r>
        <w:rPr>
          <w:rFonts w:ascii="宋体" w:hAnsi="宋体" w:hint="eastAsia"/>
          <w:b/>
          <w:bCs/>
        </w:rPr>
        <w:t xml:space="preserve">  细胞的结构与遗传物质的形态结构（</w:t>
      </w:r>
      <w:r>
        <w:rPr>
          <w:b/>
          <w:bCs/>
        </w:rPr>
        <w:t>0.5</w:t>
      </w:r>
      <w:r>
        <w:rPr>
          <w:rFonts w:ascii="宋体" w:hAnsi="宋体"/>
          <w:b/>
          <w:bCs/>
        </w:rPr>
        <w:t>学时</w:t>
      </w:r>
      <w:r>
        <w:rPr>
          <w:rFonts w:ascii="宋体" w:hAnsi="宋体" w:hint="eastAsia"/>
          <w:b/>
          <w:bCs/>
        </w:rPr>
        <w:t>）</w:t>
      </w:r>
    </w:p>
    <w:p w14:paraId="36C81593"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通过对细胞结构和染色体</w:t>
      </w:r>
      <w:r>
        <w:rPr>
          <w:rFonts w:ascii="宋体" w:hAnsi="宋体" w:cs="宋体" w:hint="eastAsia"/>
          <w:kern w:val="0"/>
          <w:szCs w:val="21"/>
        </w:rPr>
        <w:t>特点的</w:t>
      </w:r>
      <w:r>
        <w:rPr>
          <w:rFonts w:hAnsi="宋体" w:hint="eastAsia"/>
          <w:kern w:val="0"/>
          <w:szCs w:val="21"/>
        </w:rPr>
        <w:t>学习，从细胞学的角度了解遗传物质在细胞内的载体，为基础遗传理论学习奠定基础。</w:t>
      </w:r>
    </w:p>
    <w:p w14:paraId="34F06D7D"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重点介绍遗传物质在细胞中的主要存在形态、数目和结构特点；核内和核外遗传体系的概念。其中染色质基本结构、染色体结构模型为其难点。</w:t>
      </w:r>
    </w:p>
    <w:p w14:paraId="06A51A06"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06E401D8" w14:textId="77777777" w:rsidR="00F5289E" w:rsidRDefault="00C91173">
      <w:pPr>
        <w:widowControl/>
        <w:snapToGrid w:val="0"/>
        <w:spacing w:line="360" w:lineRule="auto"/>
        <w:ind w:firstLineChars="200" w:firstLine="420"/>
        <w:rPr>
          <w:rFonts w:hAnsi="宋体"/>
          <w:kern w:val="0"/>
          <w:szCs w:val="21"/>
        </w:rPr>
      </w:pPr>
      <w:r>
        <w:rPr>
          <w:rFonts w:hAnsi="宋体"/>
          <w:kern w:val="0"/>
          <w:szCs w:val="21"/>
        </w:rPr>
        <w:t>本节主要简述细胞的结构</w:t>
      </w:r>
      <w:r>
        <w:rPr>
          <w:rFonts w:hAnsi="宋体" w:hint="eastAsia"/>
          <w:kern w:val="0"/>
          <w:szCs w:val="21"/>
        </w:rPr>
        <w:t>和核内、核外遗传体系的概念</w:t>
      </w:r>
      <w:r>
        <w:rPr>
          <w:rFonts w:hAnsi="宋体"/>
          <w:kern w:val="0"/>
          <w:szCs w:val="21"/>
        </w:rPr>
        <w:t>，重点介绍遗传物质在细胞中的主要形态、数目和结构特点。</w:t>
      </w:r>
    </w:p>
    <w:p w14:paraId="74276EA4"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要求学生了解细胞的基本结构和核内、核外遗传体系的概念</w:t>
      </w:r>
      <w:r>
        <w:rPr>
          <w:rFonts w:ascii="宋体" w:hAnsi="宋体" w:cs="宋体" w:hint="eastAsia"/>
          <w:kern w:val="0"/>
          <w:szCs w:val="21"/>
        </w:rPr>
        <w:t>，</w:t>
      </w:r>
      <w:r>
        <w:rPr>
          <w:rFonts w:hAnsi="宋体" w:hint="eastAsia"/>
          <w:kern w:val="0"/>
          <w:szCs w:val="21"/>
        </w:rPr>
        <w:t>理解细胞中遗传物质的存在方式，熟练掌握染色体概念、</w:t>
      </w:r>
      <w:r>
        <w:rPr>
          <w:rFonts w:ascii="宋体" w:hAnsi="宋体" w:cs="宋体" w:hint="eastAsia"/>
          <w:kern w:val="0"/>
          <w:szCs w:val="21"/>
        </w:rPr>
        <w:t>数目和</w:t>
      </w:r>
      <w:r>
        <w:rPr>
          <w:rFonts w:hAnsi="宋体" w:hint="eastAsia"/>
          <w:kern w:val="0"/>
          <w:szCs w:val="21"/>
        </w:rPr>
        <w:t>结构特点，熟练掌握同源染色体，常</w:t>
      </w:r>
      <w:r>
        <w:rPr>
          <w:rFonts w:hAnsi="宋体" w:hint="eastAsia"/>
          <w:kern w:val="0"/>
          <w:szCs w:val="21"/>
        </w:rPr>
        <w:t>/</w:t>
      </w:r>
      <w:r>
        <w:rPr>
          <w:rFonts w:hAnsi="宋体" w:hint="eastAsia"/>
          <w:kern w:val="0"/>
          <w:szCs w:val="21"/>
        </w:rPr>
        <w:t>异染色质等基本概念。</w:t>
      </w:r>
    </w:p>
    <w:p w14:paraId="27CC8C1B" w14:textId="77777777" w:rsidR="00F5289E" w:rsidRDefault="00C91173">
      <w:pPr>
        <w:snapToGrid w:val="0"/>
        <w:spacing w:line="360" w:lineRule="auto"/>
        <w:jc w:val="left"/>
        <w:rPr>
          <w:rFonts w:ascii="宋体" w:hAnsi="宋体"/>
          <w:b/>
          <w:bCs/>
        </w:rPr>
      </w:pPr>
      <w:r>
        <w:rPr>
          <w:rFonts w:ascii="宋体" w:hAnsi="宋体" w:hint="eastAsia"/>
          <w:b/>
          <w:bCs/>
        </w:rPr>
        <w:t>教学组织与实施：</w:t>
      </w:r>
      <w:r>
        <w:rPr>
          <w:rFonts w:ascii="宋体" w:hAnsi="宋体" w:hint="eastAsia"/>
        </w:rPr>
        <w:t>本节是细胞遗传学的基础知识，主要细胞结构和染色体相关的</w:t>
      </w:r>
      <w:r>
        <w:rPr>
          <w:rFonts w:ascii="宋体" w:hAnsi="宋体"/>
        </w:rPr>
        <w:t>背景知识</w:t>
      </w:r>
      <w:r>
        <w:rPr>
          <w:rFonts w:ascii="宋体" w:hAnsi="宋体" w:hint="eastAsia"/>
        </w:rPr>
        <w:t>，</w:t>
      </w:r>
      <w:r>
        <w:rPr>
          <w:rFonts w:ascii="宋体" w:hAnsi="宋体"/>
        </w:rPr>
        <w:t>强化</w:t>
      </w:r>
      <w:r>
        <w:rPr>
          <w:rFonts w:ascii="宋体" w:hAnsi="宋体" w:hint="eastAsia"/>
        </w:rPr>
        <w:t>对</w:t>
      </w:r>
      <w:r>
        <w:rPr>
          <w:rFonts w:ascii="宋体" w:hAnsi="宋体"/>
        </w:rPr>
        <w:t>基本</w:t>
      </w:r>
      <w:r>
        <w:rPr>
          <w:rFonts w:ascii="宋体" w:hAnsi="宋体" w:hint="eastAsia"/>
        </w:rPr>
        <w:t>理论</w:t>
      </w:r>
      <w:r>
        <w:rPr>
          <w:rFonts w:ascii="宋体" w:hAnsi="宋体"/>
        </w:rPr>
        <w:t>的理解</w:t>
      </w:r>
      <w:r>
        <w:rPr>
          <w:rFonts w:ascii="宋体" w:hAnsi="宋体" w:hint="eastAsia"/>
        </w:rPr>
        <w:t>。课程教学过程中充分利用图片和动画，让授课内容更加生动，激发学生对遗传学这门课程的兴趣，并建立起学好遗传学的信心。</w:t>
      </w:r>
    </w:p>
    <w:p w14:paraId="6D27AB77" w14:textId="77777777" w:rsidR="00F5289E" w:rsidRDefault="00C91173">
      <w:pPr>
        <w:snapToGrid w:val="0"/>
        <w:spacing w:line="360" w:lineRule="auto"/>
        <w:jc w:val="left"/>
        <w:rPr>
          <w:rFonts w:ascii="宋体" w:hAnsi="宋体"/>
          <w:b/>
          <w:bCs/>
        </w:rPr>
      </w:pPr>
      <w:r>
        <w:rPr>
          <w:rFonts w:ascii="宋体" w:hAnsi="宋体" w:hint="eastAsia"/>
          <w:b/>
          <w:bCs/>
        </w:rPr>
        <w:t>第二节  细胞分裂与遗传性状的表达（</w:t>
      </w:r>
      <w:r>
        <w:rPr>
          <w:b/>
          <w:bCs/>
        </w:rPr>
        <w:t>0.5</w:t>
      </w:r>
      <w:r>
        <w:rPr>
          <w:rFonts w:ascii="宋体" w:hAnsi="宋体" w:hint="eastAsia"/>
          <w:b/>
          <w:bCs/>
        </w:rPr>
        <w:t>学时）</w:t>
      </w:r>
    </w:p>
    <w:p w14:paraId="25E9F542" w14:textId="77777777" w:rsidR="00F5289E" w:rsidRDefault="00C91173">
      <w:pPr>
        <w:widowControl/>
        <w:snapToGrid w:val="0"/>
        <w:spacing w:line="360" w:lineRule="auto"/>
        <w:rPr>
          <w:rFonts w:hAnsi="宋体"/>
          <w:kern w:val="0"/>
          <w:szCs w:val="21"/>
        </w:rPr>
      </w:pPr>
      <w:r>
        <w:rPr>
          <w:rFonts w:ascii="宋体" w:hAnsi="宋体" w:hint="eastAsia"/>
          <w:b/>
          <w:bCs/>
        </w:rPr>
        <w:lastRenderedPageBreak/>
        <w:t>教学目标：</w:t>
      </w:r>
      <w:r>
        <w:rPr>
          <w:rFonts w:hAnsi="宋体" w:hint="eastAsia"/>
          <w:kern w:val="0"/>
          <w:szCs w:val="21"/>
        </w:rPr>
        <w:t>通过对细胞分裂的学习，从细胞学的角度了解遗传物质变异的来源，为经典遗传理论学习奠定基础。</w:t>
      </w:r>
    </w:p>
    <w:p w14:paraId="1B72B6BA"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重点介绍染色体的复制、分裂、交换，细胞分裂周期控制理论，细胞分裂方式与繁殖方式之间的关系。其中减数分裂、细胞周期控制理论为其难点。</w:t>
      </w:r>
    </w:p>
    <w:p w14:paraId="1AD8B791"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0706FFC9"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本节主要介绍</w:t>
      </w:r>
      <w:r>
        <w:rPr>
          <w:rFonts w:ascii="宋体" w:hAnsi="宋体" w:cs="宋体" w:hint="eastAsia"/>
          <w:kern w:val="0"/>
          <w:szCs w:val="21"/>
        </w:rPr>
        <w:t>染色体在细胞分裂过程中分离和重组的特点，即染色体的复制、分裂、交换理论以及</w:t>
      </w:r>
      <w:r>
        <w:rPr>
          <w:rFonts w:hAnsi="宋体" w:hint="eastAsia"/>
          <w:kern w:val="0"/>
          <w:szCs w:val="21"/>
        </w:rPr>
        <w:t>园艺植物细胞的分裂周期理论；介绍园艺植物有性、无性繁殖时，遗传物质在上下代之间传递规律及性状的表达特点。</w:t>
      </w:r>
    </w:p>
    <w:p w14:paraId="328F67C9"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w:t>
      </w:r>
      <w:r>
        <w:rPr>
          <w:rFonts w:ascii="宋体" w:hAnsi="宋体" w:cs="宋体" w:hint="eastAsia"/>
          <w:kern w:val="0"/>
          <w:szCs w:val="21"/>
        </w:rPr>
        <w:t>细胞分裂</w:t>
      </w:r>
      <w:r>
        <w:rPr>
          <w:rFonts w:hAnsi="宋体" w:hint="eastAsia"/>
          <w:kern w:val="0"/>
          <w:szCs w:val="21"/>
        </w:rPr>
        <w:t>相关的概念，园艺植物性繁殖方式和特点</w:t>
      </w:r>
      <w:r>
        <w:rPr>
          <w:rFonts w:ascii="宋体" w:hAnsi="宋体" w:cs="宋体" w:hint="eastAsia"/>
          <w:kern w:val="0"/>
          <w:szCs w:val="21"/>
        </w:rPr>
        <w:t>，</w:t>
      </w:r>
      <w:r>
        <w:rPr>
          <w:rFonts w:hAnsi="宋体" w:hint="eastAsia"/>
          <w:kern w:val="0"/>
          <w:szCs w:val="21"/>
        </w:rPr>
        <w:t>理解</w:t>
      </w:r>
      <w:r>
        <w:rPr>
          <w:rFonts w:ascii="宋体" w:hAnsi="宋体" w:cs="宋体" w:hint="eastAsia"/>
          <w:kern w:val="0"/>
          <w:szCs w:val="21"/>
        </w:rPr>
        <w:t>细胞分裂方式与</w:t>
      </w:r>
      <w:r>
        <w:rPr>
          <w:rFonts w:hAnsi="宋体" w:hint="eastAsia"/>
          <w:kern w:val="0"/>
          <w:szCs w:val="21"/>
        </w:rPr>
        <w:t>遗传变异</w:t>
      </w:r>
      <w:r>
        <w:rPr>
          <w:rFonts w:ascii="宋体" w:hAnsi="宋体" w:cs="宋体" w:hint="eastAsia"/>
          <w:kern w:val="0"/>
          <w:szCs w:val="21"/>
        </w:rPr>
        <w:t>之间的关系，</w:t>
      </w:r>
      <w:r>
        <w:rPr>
          <w:rFonts w:hAnsi="宋体" w:hint="eastAsia"/>
          <w:kern w:val="0"/>
          <w:szCs w:val="21"/>
        </w:rPr>
        <w:t>掌握</w:t>
      </w:r>
      <w:r>
        <w:rPr>
          <w:rFonts w:ascii="宋体" w:hAnsi="宋体" w:cs="宋体" w:hint="eastAsia"/>
          <w:kern w:val="0"/>
          <w:szCs w:val="21"/>
        </w:rPr>
        <w:t>在细胞分裂过程中分离和重组规律，</w:t>
      </w:r>
      <w:r>
        <w:rPr>
          <w:rFonts w:hAnsi="宋体" w:hint="eastAsia"/>
          <w:kern w:val="0"/>
          <w:szCs w:val="21"/>
        </w:rPr>
        <w:t>细胞分裂周期的控制理论，熟练掌握</w:t>
      </w:r>
      <w:r>
        <w:rPr>
          <w:rFonts w:ascii="宋体" w:hAnsi="宋体" w:cs="宋体" w:hint="eastAsia"/>
          <w:kern w:val="0"/>
          <w:szCs w:val="21"/>
        </w:rPr>
        <w:t>细胞分裂过程中</w:t>
      </w:r>
      <w:r>
        <w:rPr>
          <w:rFonts w:hAnsi="宋体" w:hint="eastAsia"/>
          <w:kern w:val="0"/>
          <w:szCs w:val="21"/>
        </w:rPr>
        <w:t>遗传变异的来源，园艺植物有性、无性繁殖时，遗传物质在上下代之间传递规律及性状的表达规律。</w:t>
      </w:r>
    </w:p>
    <w:p w14:paraId="428D527A" w14:textId="77777777" w:rsidR="00F5289E" w:rsidRDefault="00C91173">
      <w:pPr>
        <w:snapToGrid w:val="0"/>
        <w:spacing w:line="360" w:lineRule="auto"/>
        <w:jc w:val="left"/>
        <w:rPr>
          <w:rFonts w:ascii="宋体" w:hAnsi="宋体"/>
          <w:b/>
          <w:bCs/>
        </w:rPr>
      </w:pPr>
      <w:r>
        <w:rPr>
          <w:rFonts w:ascii="宋体" w:hAnsi="宋体" w:hint="eastAsia"/>
          <w:b/>
          <w:bCs/>
        </w:rPr>
        <w:t>教学组织与实施：</w:t>
      </w:r>
      <w:r>
        <w:rPr>
          <w:rFonts w:ascii="宋体" w:hAnsi="宋体" w:hint="eastAsia"/>
        </w:rPr>
        <w:t>本节是遗传学课程的基础知识，主要</w:t>
      </w:r>
      <w:r>
        <w:rPr>
          <w:rFonts w:ascii="宋体" w:hAnsi="宋体"/>
        </w:rPr>
        <w:t>回顾</w:t>
      </w:r>
      <w:r>
        <w:rPr>
          <w:rFonts w:ascii="宋体" w:hAnsi="宋体" w:hint="eastAsia"/>
        </w:rPr>
        <w:t>细胞分裂相关</w:t>
      </w:r>
      <w:r>
        <w:rPr>
          <w:rFonts w:ascii="宋体" w:hAnsi="宋体"/>
        </w:rPr>
        <w:t>的背景知识</w:t>
      </w:r>
      <w:r>
        <w:rPr>
          <w:rFonts w:ascii="宋体" w:hAnsi="宋体" w:hint="eastAsia"/>
        </w:rPr>
        <w:t>，</w:t>
      </w:r>
      <w:r>
        <w:rPr>
          <w:rFonts w:ascii="宋体" w:hAnsi="宋体"/>
        </w:rPr>
        <w:t>强化</w:t>
      </w:r>
      <w:r>
        <w:rPr>
          <w:rFonts w:ascii="宋体" w:hAnsi="宋体" w:hint="eastAsia"/>
        </w:rPr>
        <w:t>对</w:t>
      </w:r>
      <w:r>
        <w:rPr>
          <w:rFonts w:ascii="宋体" w:hAnsi="宋体"/>
        </w:rPr>
        <w:t>基本</w:t>
      </w:r>
      <w:r>
        <w:rPr>
          <w:rFonts w:ascii="宋体" w:hAnsi="宋体" w:hint="eastAsia"/>
        </w:rPr>
        <w:t>理论</w:t>
      </w:r>
      <w:r>
        <w:rPr>
          <w:rFonts w:ascii="宋体" w:hAnsi="宋体"/>
        </w:rPr>
        <w:t>的理解</w:t>
      </w:r>
      <w:r>
        <w:rPr>
          <w:rFonts w:ascii="宋体" w:hAnsi="宋体" w:hint="eastAsia"/>
        </w:rPr>
        <w:t>。课程教学过程中充分利用图片和动画，让授课内容更加丰富，激发学生对遗传学这门课程的兴趣，并建立起学好遗传学的信心。高等</w:t>
      </w:r>
      <w:r>
        <w:rPr>
          <w:rFonts w:ascii="宋体" w:hAnsi="宋体"/>
        </w:rPr>
        <w:t>植物双受精知识在教师指导下由学生课外学习。</w:t>
      </w:r>
    </w:p>
    <w:p w14:paraId="42A1DE99" w14:textId="77777777" w:rsidR="00F5289E" w:rsidRDefault="00C91173">
      <w:pPr>
        <w:widowControl/>
        <w:wordWrap w:val="0"/>
        <w:snapToGrid w:val="0"/>
        <w:spacing w:line="360" w:lineRule="auto"/>
        <w:jc w:val="right"/>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b/>
          <w:bCs/>
          <w:kern w:val="0"/>
          <w:szCs w:val="21"/>
        </w:rPr>
        <w:t>     </w:t>
      </w:r>
      <w:r>
        <w:rPr>
          <w:rFonts w:hint="eastAsia"/>
          <w:b/>
          <w:bCs/>
          <w:kern w:val="0"/>
          <w:szCs w:val="21"/>
        </w:rPr>
        <w:t>孟德尔遗传规律</w:t>
      </w:r>
      <w:r>
        <w:rPr>
          <w:b/>
          <w:bCs/>
          <w:kern w:val="0"/>
          <w:szCs w:val="21"/>
        </w:rPr>
        <w:t>    </w:t>
      </w:r>
      <w:r>
        <w:rPr>
          <w:rFonts w:hAnsi="宋体" w:hint="eastAsia"/>
          <w:b/>
          <w:bCs/>
          <w:kern w:val="0"/>
          <w:szCs w:val="21"/>
        </w:rPr>
        <w:t xml:space="preserve"> </w:t>
      </w:r>
      <w:r>
        <w:rPr>
          <w:rFonts w:hAnsi="宋体"/>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b/>
          <w:bCs/>
          <w:kern w:val="0"/>
          <w:szCs w:val="21"/>
        </w:rPr>
        <w:t>2</w:t>
      </w:r>
    </w:p>
    <w:p w14:paraId="56E569F9" w14:textId="77777777" w:rsidR="00F5289E" w:rsidRDefault="00C91173">
      <w:pPr>
        <w:widowControl/>
        <w:snapToGrid w:val="0"/>
        <w:spacing w:line="360" w:lineRule="auto"/>
        <w:jc w:val="left"/>
        <w:rPr>
          <w:rFonts w:hAnsi="宋体"/>
          <w:b/>
          <w:kern w:val="0"/>
          <w:szCs w:val="21"/>
        </w:rPr>
      </w:pPr>
      <w:r>
        <w:rPr>
          <w:rFonts w:hAnsi="宋体"/>
          <w:b/>
          <w:kern w:val="0"/>
          <w:szCs w:val="21"/>
        </w:rPr>
        <w:t>第一节</w:t>
      </w:r>
      <w:r>
        <w:rPr>
          <w:rFonts w:hAnsi="宋体" w:hint="eastAsia"/>
          <w:b/>
          <w:kern w:val="0"/>
          <w:szCs w:val="21"/>
        </w:rPr>
        <w:t xml:space="preserve">  </w:t>
      </w:r>
      <w:r>
        <w:rPr>
          <w:rFonts w:hAnsi="宋体"/>
          <w:b/>
          <w:kern w:val="0"/>
          <w:szCs w:val="21"/>
        </w:rPr>
        <w:t>分离规律</w:t>
      </w:r>
      <w:r>
        <w:rPr>
          <w:rFonts w:hint="eastAsia"/>
          <w:b/>
          <w:kern w:val="0"/>
          <w:szCs w:val="21"/>
        </w:rPr>
        <w:t>（</w:t>
      </w:r>
      <w:r>
        <w:rPr>
          <w:rFonts w:hint="eastAsia"/>
          <w:b/>
          <w:kern w:val="0"/>
          <w:szCs w:val="21"/>
        </w:rPr>
        <w:t>1</w:t>
      </w:r>
      <w:r>
        <w:rPr>
          <w:rFonts w:hAnsi="宋体"/>
          <w:b/>
          <w:kern w:val="0"/>
          <w:szCs w:val="21"/>
        </w:rPr>
        <w:t>学时</w:t>
      </w:r>
      <w:r>
        <w:rPr>
          <w:rFonts w:hint="eastAsia"/>
          <w:b/>
          <w:kern w:val="0"/>
          <w:szCs w:val="21"/>
        </w:rPr>
        <w:t>）</w:t>
      </w:r>
    </w:p>
    <w:p w14:paraId="3A1F5FDB" w14:textId="77777777" w:rsidR="00F5289E" w:rsidRDefault="00C91173">
      <w:pPr>
        <w:widowControl/>
        <w:snapToGrid w:val="0"/>
        <w:spacing w:line="360" w:lineRule="auto"/>
        <w:rPr>
          <w:rFonts w:ascii="宋体" w:hAnsi="宋体"/>
          <w:b/>
          <w:bCs/>
        </w:rPr>
      </w:pPr>
      <w:r>
        <w:rPr>
          <w:rFonts w:ascii="宋体" w:hAnsi="宋体" w:hint="eastAsia"/>
          <w:b/>
          <w:bCs/>
        </w:rPr>
        <w:t>教学目标：</w:t>
      </w:r>
      <w:r>
        <w:rPr>
          <w:rFonts w:ascii="宋体" w:hAnsi="宋体"/>
          <w:bCs/>
        </w:rPr>
        <w:t>1</w:t>
      </w:r>
      <w:r>
        <w:rPr>
          <w:rFonts w:ascii="宋体" w:hAnsi="宋体" w:hint="eastAsia"/>
          <w:bCs/>
        </w:rPr>
        <w:t>、认识</w:t>
      </w:r>
      <w:r>
        <w:rPr>
          <w:rFonts w:ascii="宋体" w:hAnsi="宋体"/>
          <w:bCs/>
        </w:rPr>
        <w:t>理解</w:t>
      </w:r>
      <w:r>
        <w:rPr>
          <w:rFonts w:ascii="宋体" w:hAnsi="宋体" w:hint="eastAsia"/>
          <w:bCs/>
        </w:rPr>
        <w:t>植物性状</w:t>
      </w:r>
      <w:r>
        <w:rPr>
          <w:rFonts w:ascii="宋体" w:hAnsi="宋体"/>
          <w:bCs/>
        </w:rPr>
        <w:t>分离</w:t>
      </w:r>
      <w:r>
        <w:rPr>
          <w:rFonts w:ascii="宋体" w:hAnsi="宋体" w:hint="eastAsia"/>
          <w:bCs/>
        </w:rPr>
        <w:t>现象；2、掌握分离</w:t>
      </w:r>
      <w:r>
        <w:rPr>
          <w:rFonts w:ascii="宋体" w:hAnsi="宋体"/>
          <w:bCs/>
        </w:rPr>
        <w:t>规律的</w:t>
      </w:r>
      <w:r>
        <w:rPr>
          <w:rFonts w:ascii="宋体" w:hAnsi="宋体" w:hint="eastAsia"/>
          <w:bCs/>
        </w:rPr>
        <w:t>基本原理；3、</w:t>
      </w:r>
      <w:r>
        <w:rPr>
          <w:rFonts w:ascii="宋体" w:hAnsi="宋体"/>
          <w:bCs/>
        </w:rPr>
        <w:t>熟悉</w:t>
      </w:r>
      <w:r>
        <w:rPr>
          <w:rFonts w:ascii="宋体" w:hAnsi="宋体" w:hint="eastAsia"/>
          <w:bCs/>
        </w:rPr>
        <w:t>分离</w:t>
      </w:r>
      <w:r>
        <w:rPr>
          <w:rFonts w:ascii="宋体" w:hAnsi="宋体"/>
          <w:bCs/>
        </w:rPr>
        <w:t>规律在</w:t>
      </w:r>
      <w:r>
        <w:rPr>
          <w:rFonts w:ascii="宋体" w:hAnsi="宋体" w:hint="eastAsia"/>
          <w:bCs/>
        </w:rPr>
        <w:t>园艺</w:t>
      </w:r>
      <w:r>
        <w:rPr>
          <w:rFonts w:ascii="宋体" w:hAnsi="宋体"/>
          <w:bCs/>
        </w:rPr>
        <w:t>作物育种中的应用。</w:t>
      </w:r>
    </w:p>
    <w:p w14:paraId="60AD2BB3"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1、分离</w:t>
      </w:r>
      <w:r>
        <w:rPr>
          <w:rFonts w:ascii="宋体" w:hAnsi="宋体"/>
          <w:bCs/>
        </w:rPr>
        <w:t>现象的</w:t>
      </w:r>
      <w:r>
        <w:rPr>
          <w:rFonts w:ascii="宋体" w:hAnsi="宋体" w:hint="eastAsia"/>
          <w:bCs/>
        </w:rPr>
        <w:t>解释</w:t>
      </w:r>
      <w:r>
        <w:rPr>
          <w:rFonts w:ascii="宋体" w:hAnsi="宋体"/>
          <w:bCs/>
        </w:rPr>
        <w:t>是本节的重点和难点。</w:t>
      </w:r>
      <w:r>
        <w:rPr>
          <w:rFonts w:ascii="宋体" w:hAnsi="宋体" w:hint="eastAsia"/>
          <w:bCs/>
        </w:rPr>
        <w:t>2、重点</w:t>
      </w:r>
      <w:r>
        <w:rPr>
          <w:rFonts w:ascii="宋体" w:hAnsi="宋体"/>
          <w:bCs/>
        </w:rPr>
        <w:t>介绍</w:t>
      </w:r>
      <w:r>
        <w:rPr>
          <w:rFonts w:ascii="宋体" w:hAnsi="宋体" w:hint="eastAsia"/>
          <w:bCs/>
        </w:rPr>
        <w:t>分离</w:t>
      </w:r>
      <w:r>
        <w:rPr>
          <w:rFonts w:ascii="宋体" w:hAnsi="宋体"/>
          <w:bCs/>
        </w:rPr>
        <w:t>规律的验证方法。</w:t>
      </w:r>
    </w:p>
    <w:p w14:paraId="6E725561"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334264E6" w14:textId="77777777" w:rsidR="00F5289E" w:rsidRDefault="00C91173">
      <w:pPr>
        <w:widowControl/>
        <w:snapToGrid w:val="0"/>
        <w:spacing w:line="360" w:lineRule="auto"/>
        <w:ind w:firstLineChars="200" w:firstLine="420"/>
        <w:rPr>
          <w:rFonts w:ascii="宋体" w:hAnsi="宋体"/>
          <w:bCs/>
        </w:rPr>
      </w:pPr>
      <w:r>
        <w:rPr>
          <w:rFonts w:ascii="宋体" w:hAnsi="宋体" w:hint="eastAsia"/>
          <w:bCs/>
        </w:rPr>
        <w:t>本节介绍</w:t>
      </w:r>
      <w:r>
        <w:rPr>
          <w:rFonts w:ascii="宋体" w:hAnsi="宋体"/>
          <w:bCs/>
        </w:rPr>
        <w:t>分离规律的现象及验证方法</w:t>
      </w:r>
      <w:r>
        <w:rPr>
          <w:rFonts w:ascii="宋体" w:hAnsi="宋体" w:hint="eastAsia"/>
          <w:bCs/>
        </w:rPr>
        <w:t>、</w:t>
      </w:r>
      <w:r>
        <w:rPr>
          <w:rFonts w:ascii="宋体" w:hAnsi="宋体"/>
          <w:bCs/>
        </w:rPr>
        <w:t>分离规律的应用</w:t>
      </w:r>
      <w:r>
        <w:rPr>
          <w:rFonts w:ascii="宋体" w:hAnsi="宋体" w:hint="eastAsia"/>
          <w:bCs/>
        </w:rPr>
        <w:t>，结合实例</w:t>
      </w:r>
      <w:r>
        <w:rPr>
          <w:rFonts w:ascii="宋体" w:hAnsi="宋体"/>
          <w:bCs/>
        </w:rPr>
        <w:t>介绍分离规律在育种实践中进行后代性状预测、群体大小预测的方法。</w:t>
      </w:r>
    </w:p>
    <w:p w14:paraId="15258C5F" w14:textId="77777777" w:rsidR="00F5289E" w:rsidRDefault="00C91173">
      <w:pPr>
        <w:pStyle w:val="a7"/>
        <w:snapToGrid w:val="0"/>
        <w:spacing w:line="360" w:lineRule="auto"/>
        <w:jc w:val="left"/>
        <w:rPr>
          <w:rFonts w:ascii="宋体" w:hAnsi="宋体"/>
        </w:rPr>
      </w:pPr>
      <w:r>
        <w:rPr>
          <w:rFonts w:ascii="宋体" w:hAnsi="宋体" w:hint="eastAsia"/>
        </w:rPr>
        <w:t>要求了解</w:t>
      </w:r>
      <w:r>
        <w:rPr>
          <w:rFonts w:ascii="宋体" w:hAnsi="宋体"/>
        </w:rPr>
        <w:t>性状分离现象</w:t>
      </w:r>
      <w:r>
        <w:rPr>
          <w:rFonts w:ascii="宋体" w:hAnsi="宋体" w:hint="eastAsia"/>
        </w:rPr>
        <w:t>、熟练掌握</w:t>
      </w:r>
      <w:r>
        <w:rPr>
          <w:rFonts w:ascii="宋体" w:hAnsi="宋体"/>
        </w:rPr>
        <w:t>分离规律的基本原理</w:t>
      </w:r>
      <w:r>
        <w:rPr>
          <w:rFonts w:ascii="宋体" w:hAnsi="宋体" w:hint="eastAsia"/>
        </w:rPr>
        <w:t>及</w:t>
      </w:r>
      <w:r>
        <w:rPr>
          <w:rFonts w:ascii="宋体" w:hAnsi="宋体"/>
        </w:rPr>
        <w:t>验证方法</w:t>
      </w:r>
      <w:r>
        <w:rPr>
          <w:rFonts w:ascii="宋体" w:hAnsi="宋体" w:hint="eastAsia"/>
        </w:rPr>
        <w:t>；掌握如何</w:t>
      </w:r>
      <w:r>
        <w:rPr>
          <w:rFonts w:ascii="宋体" w:hAnsi="宋体"/>
        </w:rPr>
        <w:t>利用分离规律对后代</w:t>
      </w:r>
      <w:r>
        <w:rPr>
          <w:rFonts w:ascii="宋体" w:hAnsi="宋体" w:hint="eastAsia"/>
        </w:rPr>
        <w:t>表型</w:t>
      </w:r>
      <w:r>
        <w:rPr>
          <w:rFonts w:ascii="宋体" w:hAnsi="宋体"/>
        </w:rPr>
        <w:t>及群体大小的预测</w:t>
      </w:r>
      <w:r>
        <w:rPr>
          <w:rFonts w:ascii="宋体" w:hAnsi="宋体" w:hint="eastAsia"/>
        </w:rPr>
        <w:t>；掌握</w:t>
      </w:r>
      <w:r>
        <w:rPr>
          <w:rFonts w:ascii="宋体" w:hAnsi="宋体"/>
        </w:rPr>
        <w:t>概率原理在分离规律验证中的应用。</w:t>
      </w:r>
    </w:p>
    <w:p w14:paraId="5C86D08F"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在课堂上通过对分离规律的学习，结合育种实践中的案例分析和习题训练，让学生理解分离规律的实质，熟练掌握概率原理在遗传研究中的应用。</w:t>
      </w:r>
    </w:p>
    <w:p w14:paraId="3AFBD2B2" w14:textId="77777777" w:rsidR="00F5289E" w:rsidRDefault="00C91173">
      <w:pPr>
        <w:widowControl/>
        <w:spacing w:line="360" w:lineRule="auto"/>
        <w:rPr>
          <w:rFonts w:hAnsi="宋体"/>
          <w:b/>
          <w:bCs/>
          <w:kern w:val="0"/>
          <w:szCs w:val="21"/>
        </w:rPr>
      </w:pPr>
      <w:r>
        <w:rPr>
          <w:rFonts w:hAnsi="宋体"/>
          <w:b/>
          <w:kern w:val="0"/>
          <w:szCs w:val="21"/>
        </w:rPr>
        <w:t>第</w:t>
      </w:r>
      <w:r>
        <w:rPr>
          <w:rFonts w:hAnsi="宋体" w:hint="eastAsia"/>
          <w:b/>
          <w:kern w:val="0"/>
          <w:szCs w:val="21"/>
        </w:rPr>
        <w:t>二节</w:t>
      </w:r>
      <w:r>
        <w:rPr>
          <w:rFonts w:hAnsi="宋体" w:hint="eastAsia"/>
          <w:b/>
          <w:kern w:val="0"/>
          <w:szCs w:val="21"/>
        </w:rPr>
        <w:t xml:space="preserve">  </w:t>
      </w:r>
      <w:r>
        <w:rPr>
          <w:rFonts w:hAnsi="宋体"/>
          <w:b/>
          <w:kern w:val="0"/>
          <w:szCs w:val="21"/>
        </w:rPr>
        <w:t>独立分配规律</w:t>
      </w:r>
      <w:r>
        <w:rPr>
          <w:rFonts w:hAnsi="宋体" w:hint="eastAsia"/>
          <w:b/>
          <w:kern w:val="0"/>
          <w:szCs w:val="21"/>
        </w:rPr>
        <w:t>及其应用（</w:t>
      </w:r>
      <w:r>
        <w:rPr>
          <w:rFonts w:hAnsi="宋体" w:hint="eastAsia"/>
          <w:b/>
          <w:kern w:val="0"/>
          <w:szCs w:val="21"/>
        </w:rPr>
        <w:t>1</w:t>
      </w:r>
      <w:r>
        <w:rPr>
          <w:rFonts w:hAnsi="宋体"/>
          <w:b/>
          <w:bCs/>
          <w:kern w:val="0"/>
          <w:szCs w:val="21"/>
        </w:rPr>
        <w:t>学时</w:t>
      </w:r>
      <w:r>
        <w:rPr>
          <w:rFonts w:hAnsi="宋体" w:hint="eastAsia"/>
          <w:b/>
          <w:kern w:val="0"/>
          <w:szCs w:val="21"/>
        </w:rPr>
        <w:t>）</w:t>
      </w:r>
    </w:p>
    <w:p w14:paraId="69CEBAD9" w14:textId="77777777" w:rsidR="00F5289E" w:rsidRDefault="00C91173">
      <w:pPr>
        <w:widowControl/>
        <w:snapToGrid w:val="0"/>
        <w:spacing w:line="360" w:lineRule="auto"/>
        <w:rPr>
          <w:rFonts w:ascii="宋体" w:hAnsi="宋体"/>
          <w:b/>
          <w:bCs/>
        </w:rPr>
      </w:pPr>
      <w:r>
        <w:rPr>
          <w:rFonts w:ascii="宋体" w:hAnsi="宋体" w:hint="eastAsia"/>
          <w:b/>
          <w:bCs/>
        </w:rPr>
        <w:t>教学目标：</w:t>
      </w:r>
      <w:r>
        <w:rPr>
          <w:rFonts w:ascii="宋体" w:hAnsi="宋体"/>
          <w:bCs/>
        </w:rPr>
        <w:t>1</w:t>
      </w:r>
      <w:r>
        <w:rPr>
          <w:rFonts w:ascii="宋体" w:hAnsi="宋体" w:hint="eastAsia"/>
          <w:bCs/>
        </w:rPr>
        <w:t>、认识</w:t>
      </w:r>
      <w:r>
        <w:rPr>
          <w:rFonts w:ascii="宋体" w:hAnsi="宋体"/>
          <w:bCs/>
        </w:rPr>
        <w:t>理解</w:t>
      </w:r>
      <w:r>
        <w:rPr>
          <w:rFonts w:ascii="宋体" w:hAnsi="宋体" w:hint="eastAsia"/>
          <w:bCs/>
        </w:rPr>
        <w:t>植物表型</w:t>
      </w:r>
      <w:r>
        <w:rPr>
          <w:rFonts w:ascii="宋体" w:hAnsi="宋体"/>
          <w:bCs/>
        </w:rPr>
        <w:t>自由组合</w:t>
      </w:r>
      <w:r>
        <w:rPr>
          <w:rFonts w:ascii="宋体" w:hAnsi="宋体" w:hint="eastAsia"/>
          <w:bCs/>
        </w:rPr>
        <w:t>现象；2、掌握独立分配</w:t>
      </w:r>
      <w:r>
        <w:rPr>
          <w:rFonts w:ascii="宋体" w:hAnsi="宋体"/>
          <w:bCs/>
        </w:rPr>
        <w:t>规律的</w:t>
      </w:r>
      <w:r>
        <w:rPr>
          <w:rFonts w:ascii="宋体" w:hAnsi="宋体" w:hint="eastAsia"/>
          <w:bCs/>
        </w:rPr>
        <w:t>基本原理；3、</w:t>
      </w:r>
      <w:r>
        <w:rPr>
          <w:rFonts w:ascii="宋体" w:hAnsi="宋体"/>
          <w:bCs/>
        </w:rPr>
        <w:t>熟悉</w:t>
      </w:r>
      <w:r>
        <w:rPr>
          <w:rFonts w:ascii="宋体" w:hAnsi="宋体" w:hint="eastAsia"/>
          <w:bCs/>
        </w:rPr>
        <w:t>独立分配</w:t>
      </w:r>
      <w:r>
        <w:rPr>
          <w:rFonts w:ascii="宋体" w:hAnsi="宋体"/>
          <w:bCs/>
        </w:rPr>
        <w:t>规律在</w:t>
      </w:r>
      <w:r>
        <w:rPr>
          <w:rFonts w:ascii="宋体" w:hAnsi="宋体" w:hint="eastAsia"/>
          <w:bCs/>
        </w:rPr>
        <w:t>园艺</w:t>
      </w:r>
      <w:r>
        <w:rPr>
          <w:rFonts w:ascii="宋体" w:hAnsi="宋体"/>
          <w:bCs/>
        </w:rPr>
        <w:t>作物育种中的应用。</w:t>
      </w:r>
    </w:p>
    <w:p w14:paraId="3AE2FBE9"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1、独立分配</w:t>
      </w:r>
      <w:r>
        <w:rPr>
          <w:rFonts w:ascii="宋体" w:hAnsi="宋体"/>
          <w:bCs/>
        </w:rPr>
        <w:t>规律的</w:t>
      </w:r>
      <w:r>
        <w:rPr>
          <w:rFonts w:ascii="宋体" w:hAnsi="宋体" w:hint="eastAsia"/>
          <w:bCs/>
        </w:rPr>
        <w:t>解释</w:t>
      </w:r>
      <w:r>
        <w:rPr>
          <w:rFonts w:ascii="宋体" w:hAnsi="宋体"/>
          <w:bCs/>
        </w:rPr>
        <w:t>是本节的重点和难点。</w:t>
      </w:r>
      <w:r>
        <w:rPr>
          <w:rFonts w:ascii="宋体" w:hAnsi="宋体" w:hint="eastAsia"/>
          <w:bCs/>
        </w:rPr>
        <w:t>2、重点</w:t>
      </w:r>
      <w:r>
        <w:rPr>
          <w:rFonts w:ascii="宋体" w:hAnsi="宋体"/>
          <w:bCs/>
        </w:rPr>
        <w:t>介绍</w:t>
      </w:r>
      <w:r>
        <w:rPr>
          <w:rFonts w:ascii="宋体" w:hAnsi="宋体" w:hint="eastAsia"/>
          <w:bCs/>
        </w:rPr>
        <w:t>独立分配</w:t>
      </w:r>
      <w:r>
        <w:rPr>
          <w:rFonts w:ascii="宋体" w:hAnsi="宋体"/>
          <w:bCs/>
        </w:rPr>
        <w:t>规律的验证方法。</w:t>
      </w:r>
      <w:r>
        <w:rPr>
          <w:rFonts w:ascii="宋体" w:hAnsi="宋体" w:hint="eastAsia"/>
          <w:bCs/>
        </w:rPr>
        <w:t>3、</w:t>
      </w:r>
      <w:r>
        <w:rPr>
          <w:rFonts w:ascii="宋体" w:hAnsi="宋体"/>
          <w:bCs/>
        </w:rPr>
        <w:t>卡方检验</w:t>
      </w:r>
      <w:r>
        <w:rPr>
          <w:rFonts w:ascii="宋体" w:hAnsi="宋体" w:hint="eastAsia"/>
          <w:bCs/>
        </w:rPr>
        <w:t>在</w:t>
      </w:r>
      <w:r>
        <w:rPr>
          <w:rFonts w:ascii="宋体" w:hAnsi="宋体"/>
          <w:bCs/>
        </w:rPr>
        <w:t>独立分配规律中的应用。</w:t>
      </w:r>
      <w:r>
        <w:rPr>
          <w:rFonts w:ascii="宋体" w:hAnsi="宋体" w:hint="eastAsia"/>
          <w:bCs/>
        </w:rPr>
        <w:t>4、</w:t>
      </w:r>
      <w:r>
        <w:rPr>
          <w:rFonts w:ascii="宋体" w:hAnsi="宋体" w:cs="宋体" w:hint="eastAsia"/>
          <w:kern w:val="0"/>
          <w:szCs w:val="21"/>
        </w:rPr>
        <w:t>基因互作和性状的表现</w:t>
      </w:r>
    </w:p>
    <w:p w14:paraId="30E6F4C2"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27488B86" w14:textId="77777777" w:rsidR="00F5289E" w:rsidRDefault="00C91173">
      <w:pPr>
        <w:widowControl/>
        <w:spacing w:line="360" w:lineRule="auto"/>
        <w:ind w:firstLine="420"/>
        <w:jc w:val="left"/>
        <w:rPr>
          <w:kern w:val="0"/>
          <w:szCs w:val="21"/>
        </w:rPr>
      </w:pPr>
      <w:r>
        <w:rPr>
          <w:rFonts w:hAnsi="宋体" w:hint="eastAsia"/>
          <w:kern w:val="0"/>
          <w:szCs w:val="21"/>
        </w:rPr>
        <w:lastRenderedPageBreak/>
        <w:t>本节介绍</w:t>
      </w:r>
      <w:r>
        <w:rPr>
          <w:rFonts w:ascii="宋体" w:hAnsi="宋体" w:hint="eastAsia"/>
          <w:bCs/>
        </w:rPr>
        <w:t>独立分配</w:t>
      </w:r>
      <w:r>
        <w:rPr>
          <w:rFonts w:ascii="宋体" w:hAnsi="宋体"/>
          <w:bCs/>
        </w:rPr>
        <w:t>规律</w:t>
      </w:r>
      <w:r>
        <w:rPr>
          <w:rFonts w:hAnsi="宋体"/>
          <w:kern w:val="0"/>
          <w:szCs w:val="21"/>
        </w:rPr>
        <w:t>的现象</w:t>
      </w:r>
      <w:r>
        <w:rPr>
          <w:rFonts w:hAnsi="宋体" w:hint="eastAsia"/>
          <w:kern w:val="0"/>
          <w:szCs w:val="21"/>
        </w:rPr>
        <w:t>、</w:t>
      </w:r>
      <w:r>
        <w:rPr>
          <w:rFonts w:hAnsi="宋体"/>
          <w:kern w:val="0"/>
          <w:szCs w:val="21"/>
        </w:rPr>
        <w:t>验证方法</w:t>
      </w:r>
      <w:r>
        <w:rPr>
          <w:rFonts w:hAnsi="宋体" w:hint="eastAsia"/>
          <w:kern w:val="0"/>
          <w:szCs w:val="21"/>
        </w:rPr>
        <w:t>及</w:t>
      </w:r>
      <w:r>
        <w:rPr>
          <w:rFonts w:hAnsi="宋体"/>
          <w:kern w:val="0"/>
          <w:szCs w:val="21"/>
        </w:rPr>
        <w:t>应用</w:t>
      </w:r>
      <w:r>
        <w:rPr>
          <w:rFonts w:hAnsi="宋体" w:hint="eastAsia"/>
          <w:kern w:val="0"/>
          <w:szCs w:val="21"/>
        </w:rPr>
        <w:t>，结合实例</w:t>
      </w:r>
      <w:r>
        <w:rPr>
          <w:rFonts w:hAnsi="宋体"/>
          <w:kern w:val="0"/>
          <w:szCs w:val="21"/>
        </w:rPr>
        <w:t>介绍</w:t>
      </w:r>
      <w:r>
        <w:rPr>
          <w:rFonts w:ascii="宋体" w:hAnsi="宋体" w:hint="eastAsia"/>
          <w:bCs/>
        </w:rPr>
        <w:t>独立分配</w:t>
      </w:r>
      <w:r>
        <w:rPr>
          <w:rFonts w:ascii="宋体" w:hAnsi="宋体"/>
          <w:bCs/>
        </w:rPr>
        <w:t>规律</w:t>
      </w:r>
      <w:r>
        <w:rPr>
          <w:rFonts w:hAnsi="宋体"/>
          <w:kern w:val="0"/>
          <w:szCs w:val="21"/>
        </w:rPr>
        <w:t>在育种实践中进行后代性状预测、群体大小预测的方法。</w:t>
      </w:r>
      <w:r>
        <w:rPr>
          <w:rFonts w:hAnsi="宋体" w:hint="eastAsia"/>
          <w:kern w:val="0"/>
          <w:szCs w:val="21"/>
        </w:rPr>
        <w:t>孟德尔</w:t>
      </w:r>
      <w:r>
        <w:rPr>
          <w:rFonts w:hAnsi="宋体"/>
          <w:kern w:val="0"/>
          <w:szCs w:val="21"/>
        </w:rPr>
        <w:t>规律的补充</w:t>
      </w:r>
      <w:r>
        <w:rPr>
          <w:rFonts w:hAnsi="宋体" w:hint="eastAsia"/>
          <w:kern w:val="0"/>
          <w:szCs w:val="21"/>
        </w:rPr>
        <w:t>和</w:t>
      </w:r>
      <w:r>
        <w:rPr>
          <w:rFonts w:hAnsi="宋体"/>
          <w:kern w:val="0"/>
          <w:szCs w:val="21"/>
        </w:rPr>
        <w:t>发展</w:t>
      </w:r>
      <w:r>
        <w:rPr>
          <w:rFonts w:hAnsi="宋体" w:hint="eastAsia"/>
          <w:kern w:val="0"/>
          <w:szCs w:val="21"/>
        </w:rPr>
        <w:t>。</w:t>
      </w:r>
    </w:p>
    <w:p w14:paraId="251D4D60" w14:textId="77777777" w:rsidR="00F5289E" w:rsidRDefault="00C91173">
      <w:pPr>
        <w:pStyle w:val="a7"/>
        <w:snapToGrid w:val="0"/>
        <w:spacing w:line="360" w:lineRule="auto"/>
        <w:rPr>
          <w:rFonts w:ascii="宋体" w:hAnsi="宋体"/>
        </w:rPr>
      </w:pPr>
      <w:r>
        <w:rPr>
          <w:rFonts w:ascii="宋体" w:hAnsi="宋体" w:hint="eastAsia"/>
        </w:rPr>
        <w:t>要求了解</w:t>
      </w:r>
      <w:r>
        <w:rPr>
          <w:rFonts w:ascii="宋体" w:hAnsi="宋体"/>
        </w:rPr>
        <w:t>性状自由组合的现象</w:t>
      </w:r>
      <w:r>
        <w:rPr>
          <w:rFonts w:ascii="宋体" w:hAnsi="宋体" w:hint="eastAsia"/>
        </w:rPr>
        <w:t>、熟练掌握</w:t>
      </w:r>
      <w:r>
        <w:rPr>
          <w:rFonts w:ascii="宋体" w:hAnsi="宋体" w:hint="eastAsia"/>
          <w:bCs/>
        </w:rPr>
        <w:t>独立分配</w:t>
      </w:r>
      <w:r>
        <w:rPr>
          <w:rFonts w:ascii="宋体" w:hAnsi="宋体"/>
          <w:bCs/>
        </w:rPr>
        <w:t>规律</w:t>
      </w:r>
      <w:r>
        <w:rPr>
          <w:rFonts w:ascii="宋体" w:hAnsi="宋体"/>
        </w:rPr>
        <w:t>的基本原理</w:t>
      </w:r>
      <w:r>
        <w:rPr>
          <w:rFonts w:ascii="宋体" w:hAnsi="宋体" w:hint="eastAsia"/>
        </w:rPr>
        <w:t>及</w:t>
      </w:r>
      <w:r>
        <w:rPr>
          <w:rFonts w:ascii="宋体" w:hAnsi="宋体"/>
        </w:rPr>
        <w:t>验证方法</w:t>
      </w:r>
      <w:r>
        <w:rPr>
          <w:rFonts w:ascii="宋体" w:hAnsi="宋体" w:hint="eastAsia"/>
        </w:rPr>
        <w:t>；掌握如何</w:t>
      </w:r>
      <w:r>
        <w:rPr>
          <w:rFonts w:ascii="宋体" w:hAnsi="宋体"/>
        </w:rPr>
        <w:t>利用</w:t>
      </w:r>
      <w:r>
        <w:rPr>
          <w:rFonts w:ascii="宋体" w:hAnsi="宋体" w:hint="eastAsia"/>
          <w:bCs/>
        </w:rPr>
        <w:t>独立分配</w:t>
      </w:r>
      <w:r>
        <w:rPr>
          <w:rFonts w:ascii="宋体" w:hAnsi="宋体"/>
          <w:bCs/>
        </w:rPr>
        <w:t>规律</w:t>
      </w:r>
      <w:r>
        <w:rPr>
          <w:rFonts w:ascii="宋体" w:hAnsi="宋体"/>
        </w:rPr>
        <w:t>对后代</w:t>
      </w:r>
      <w:r>
        <w:rPr>
          <w:rFonts w:ascii="宋体" w:hAnsi="宋体" w:hint="eastAsia"/>
        </w:rPr>
        <w:t>表型</w:t>
      </w:r>
      <w:r>
        <w:rPr>
          <w:rFonts w:ascii="宋体" w:hAnsi="宋体"/>
        </w:rPr>
        <w:t>及群体大小的预测</w:t>
      </w:r>
      <w:r>
        <w:rPr>
          <w:rFonts w:ascii="宋体" w:hAnsi="宋体" w:hint="eastAsia"/>
        </w:rPr>
        <w:t>；掌握卡方检验</w:t>
      </w:r>
      <w:r>
        <w:rPr>
          <w:rFonts w:ascii="宋体" w:hAnsi="宋体"/>
        </w:rPr>
        <w:t>在</w:t>
      </w:r>
      <w:r>
        <w:rPr>
          <w:rFonts w:ascii="宋体" w:hAnsi="宋体" w:hint="eastAsia"/>
          <w:bCs/>
        </w:rPr>
        <w:t>独立分配</w:t>
      </w:r>
      <w:r>
        <w:rPr>
          <w:rFonts w:ascii="宋体" w:hAnsi="宋体"/>
          <w:bCs/>
        </w:rPr>
        <w:t>规律</w:t>
      </w:r>
      <w:r>
        <w:rPr>
          <w:rFonts w:ascii="宋体" w:hAnsi="宋体"/>
        </w:rPr>
        <w:t>验证中的应用。</w:t>
      </w:r>
    </w:p>
    <w:p w14:paraId="702E3077" w14:textId="77777777" w:rsidR="00F5289E" w:rsidRDefault="00C91173">
      <w:pPr>
        <w:widowControl/>
        <w:snapToGrid w:val="0"/>
        <w:spacing w:line="360" w:lineRule="auto"/>
      </w:pPr>
      <w:r>
        <w:rPr>
          <w:rFonts w:ascii="宋体" w:hAnsi="宋体" w:hint="eastAsia"/>
          <w:b/>
          <w:bCs/>
        </w:rPr>
        <w:t>教学组织与实施：</w:t>
      </w:r>
      <w:r>
        <w:rPr>
          <w:rFonts w:ascii="宋体" w:hAnsi="宋体" w:hint="eastAsia"/>
          <w:bCs/>
        </w:rPr>
        <w:t>在课堂上通过对独立分配</w:t>
      </w:r>
      <w:r>
        <w:rPr>
          <w:rFonts w:ascii="宋体" w:hAnsi="宋体"/>
          <w:bCs/>
        </w:rPr>
        <w:t>规律</w:t>
      </w:r>
      <w:r>
        <w:rPr>
          <w:rFonts w:ascii="宋体" w:hAnsi="宋体" w:hint="eastAsia"/>
          <w:bCs/>
        </w:rPr>
        <w:t>的学习，结合育种实践中的案例分析和习题训练，让学生理解独立分配</w:t>
      </w:r>
      <w:r>
        <w:rPr>
          <w:rFonts w:ascii="宋体" w:hAnsi="宋体"/>
          <w:bCs/>
        </w:rPr>
        <w:t>规律</w:t>
      </w:r>
      <w:r>
        <w:rPr>
          <w:rFonts w:ascii="宋体" w:hAnsi="宋体" w:hint="eastAsia"/>
          <w:bCs/>
        </w:rPr>
        <w:t>的实质，熟练掌卡方检验在遗传研究中的应用。</w:t>
      </w:r>
    </w:p>
    <w:p w14:paraId="37064835" w14:textId="77777777" w:rsidR="00F5289E" w:rsidRDefault="00C91173">
      <w:pPr>
        <w:widowControl/>
        <w:wordWrap w:val="0"/>
        <w:snapToGrid w:val="0"/>
        <w:spacing w:line="360" w:lineRule="auto"/>
        <w:jc w:val="right"/>
        <w:rPr>
          <w:b/>
          <w:bCs/>
          <w:kern w:val="0"/>
          <w:szCs w:val="21"/>
        </w:rPr>
      </w:pPr>
      <w:r>
        <w:rPr>
          <w:b/>
          <w:bCs/>
          <w:kern w:val="0"/>
          <w:szCs w:val="21"/>
        </w:rPr>
        <w:t> </w:t>
      </w:r>
      <w:r>
        <w:rPr>
          <w:b/>
          <w:bCs/>
          <w:kern w:val="0"/>
          <w:szCs w:val="21"/>
        </w:rPr>
        <w:t>第</w:t>
      </w:r>
      <w:r>
        <w:rPr>
          <w:rFonts w:hint="eastAsia"/>
          <w:b/>
          <w:bCs/>
          <w:kern w:val="0"/>
          <w:szCs w:val="21"/>
        </w:rPr>
        <w:t>三</w:t>
      </w:r>
      <w:r>
        <w:rPr>
          <w:b/>
          <w:bCs/>
          <w:kern w:val="0"/>
          <w:szCs w:val="21"/>
        </w:rPr>
        <w:t>章</w:t>
      </w:r>
      <w:r>
        <w:rPr>
          <w:b/>
          <w:bCs/>
          <w:kern w:val="0"/>
          <w:szCs w:val="21"/>
        </w:rPr>
        <w:t>     </w:t>
      </w:r>
      <w:r>
        <w:rPr>
          <w:rFonts w:hint="eastAsia"/>
          <w:b/>
          <w:bCs/>
          <w:kern w:val="0"/>
          <w:szCs w:val="21"/>
        </w:rPr>
        <w:t>连锁遗传规律</w:t>
      </w:r>
      <w:r>
        <w:rPr>
          <w:b/>
          <w:bCs/>
          <w:kern w:val="0"/>
          <w:szCs w:val="21"/>
        </w:rPr>
        <w:t>     </w:t>
      </w:r>
      <w:r>
        <w:rPr>
          <w:rFonts w:hAnsi="宋体" w:hint="eastAsia"/>
          <w:b/>
          <w:bCs/>
          <w:kern w:val="0"/>
          <w:szCs w:val="21"/>
        </w:rPr>
        <w:t xml:space="preserve"> </w:t>
      </w:r>
      <w:r>
        <w:rPr>
          <w:rFonts w:hAnsi="宋体"/>
          <w:b/>
          <w:bCs/>
          <w:kern w:val="0"/>
          <w:szCs w:val="21"/>
        </w:rPr>
        <w:t xml:space="preserve">        </w:t>
      </w:r>
      <w:r>
        <w:rPr>
          <w:rFonts w:hint="eastAsia"/>
          <w:b/>
          <w:bCs/>
          <w:kern w:val="0"/>
          <w:szCs w:val="21"/>
        </w:rPr>
        <w:t xml:space="preserve">    </w:t>
      </w:r>
      <w:r>
        <w:rPr>
          <w:b/>
          <w:bCs/>
          <w:kern w:val="0"/>
          <w:szCs w:val="21"/>
        </w:rPr>
        <w:t>       </w:t>
      </w:r>
      <w:r>
        <w:rPr>
          <w:b/>
          <w:bCs/>
          <w:kern w:val="0"/>
          <w:szCs w:val="21"/>
        </w:rPr>
        <w:t>学时</w:t>
      </w:r>
      <w:r>
        <w:rPr>
          <w:rFonts w:hint="eastAsia"/>
          <w:b/>
          <w:bCs/>
          <w:kern w:val="0"/>
          <w:szCs w:val="21"/>
        </w:rPr>
        <w:t>数：</w:t>
      </w:r>
      <w:r>
        <w:rPr>
          <w:b/>
          <w:bCs/>
          <w:kern w:val="0"/>
          <w:szCs w:val="21"/>
        </w:rPr>
        <w:t>3</w:t>
      </w:r>
    </w:p>
    <w:p w14:paraId="070CE037" w14:textId="77777777" w:rsidR="00F5289E" w:rsidRDefault="00C91173">
      <w:pPr>
        <w:widowControl/>
        <w:spacing w:line="360" w:lineRule="auto"/>
        <w:jc w:val="left"/>
        <w:rPr>
          <w:rFonts w:hAnsi="宋体"/>
          <w:b/>
          <w:kern w:val="0"/>
          <w:szCs w:val="21"/>
        </w:rPr>
      </w:pPr>
      <w:r>
        <w:rPr>
          <w:rFonts w:ascii="宋体" w:hAnsi="宋体"/>
          <w:b/>
          <w:bCs/>
        </w:rPr>
        <w:t>第一节</w:t>
      </w:r>
      <w:r>
        <w:rPr>
          <w:rFonts w:ascii="宋体" w:hAnsi="宋体" w:hint="eastAsia"/>
          <w:b/>
          <w:bCs/>
        </w:rPr>
        <w:t xml:space="preserve">  连锁与</w:t>
      </w:r>
      <w:r>
        <w:rPr>
          <w:rFonts w:ascii="宋体" w:hAnsi="宋体"/>
          <w:b/>
          <w:bCs/>
        </w:rPr>
        <w:t>交换</w:t>
      </w:r>
      <w:r>
        <w:rPr>
          <w:rFonts w:ascii="宋体" w:hAnsi="宋体" w:hint="eastAsia"/>
          <w:b/>
          <w:bCs/>
        </w:rPr>
        <w:t>（</w:t>
      </w:r>
      <w:r>
        <w:rPr>
          <w:b/>
          <w:bCs/>
        </w:rPr>
        <w:t>1</w:t>
      </w:r>
      <w:r>
        <w:rPr>
          <w:rFonts w:ascii="宋体" w:hAnsi="宋体" w:hint="eastAsia"/>
          <w:b/>
          <w:bCs/>
        </w:rPr>
        <w:t>学时）</w:t>
      </w:r>
    </w:p>
    <w:p w14:paraId="140251FC"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掌握性状连锁</w:t>
      </w:r>
      <w:r>
        <w:rPr>
          <w:rFonts w:hAnsi="宋体" w:hint="eastAsia"/>
          <w:kern w:val="0"/>
          <w:szCs w:val="21"/>
        </w:rPr>
        <w:t>遗传</w:t>
      </w:r>
      <w:r>
        <w:rPr>
          <w:rFonts w:ascii="宋体" w:hAnsi="宋体" w:hint="eastAsia"/>
          <w:bCs/>
        </w:rPr>
        <w:t>的现象、解释及遗传机理</w:t>
      </w:r>
    </w:p>
    <w:p w14:paraId="380FE645"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性状连锁遗传</w:t>
      </w:r>
      <w:r>
        <w:rPr>
          <w:rFonts w:ascii="宋体" w:hAnsi="宋体"/>
          <w:bCs/>
        </w:rPr>
        <w:t>现象</w:t>
      </w:r>
      <w:r>
        <w:rPr>
          <w:rFonts w:ascii="宋体" w:hAnsi="宋体" w:hint="eastAsia"/>
          <w:bCs/>
        </w:rPr>
        <w:t>；</w:t>
      </w:r>
      <w:r>
        <w:rPr>
          <w:rFonts w:ascii="宋体" w:hAnsi="宋体"/>
          <w:bCs/>
        </w:rPr>
        <w:t>连锁遗传的内在规律</w:t>
      </w:r>
      <w:r>
        <w:rPr>
          <w:rFonts w:ascii="宋体" w:hAnsi="宋体" w:hint="eastAsia"/>
          <w:bCs/>
        </w:rPr>
        <w:t>；</w:t>
      </w:r>
      <w:r>
        <w:rPr>
          <w:rFonts w:ascii="宋体" w:hAnsi="宋体"/>
          <w:bCs/>
        </w:rPr>
        <w:t>交换</w:t>
      </w:r>
      <w:r>
        <w:rPr>
          <w:rFonts w:ascii="宋体" w:hAnsi="宋体" w:hint="eastAsia"/>
          <w:bCs/>
        </w:rPr>
        <w:t>及</w:t>
      </w:r>
      <w:r>
        <w:rPr>
          <w:rFonts w:ascii="宋体" w:hAnsi="宋体"/>
          <w:bCs/>
        </w:rPr>
        <w:t>交换</w:t>
      </w:r>
      <w:r>
        <w:rPr>
          <w:rFonts w:ascii="宋体" w:hAnsi="宋体" w:hint="eastAsia"/>
          <w:bCs/>
        </w:rPr>
        <w:t>值</w:t>
      </w:r>
      <w:r>
        <w:rPr>
          <w:rFonts w:ascii="宋体" w:hAnsi="宋体"/>
          <w:bCs/>
        </w:rPr>
        <w:t>测定</w:t>
      </w:r>
    </w:p>
    <w:p w14:paraId="5501C7F9"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40616C4E" w14:textId="77777777" w:rsidR="00F5289E" w:rsidRDefault="00C91173">
      <w:pPr>
        <w:pStyle w:val="a7"/>
        <w:snapToGrid w:val="0"/>
        <w:spacing w:line="360" w:lineRule="auto"/>
        <w:rPr>
          <w:rFonts w:ascii="宋体" w:hAnsi="宋体"/>
        </w:rPr>
      </w:pPr>
      <w:r>
        <w:rPr>
          <w:rFonts w:ascii="宋体" w:hAnsi="宋体" w:hint="eastAsia"/>
          <w:bCs/>
        </w:rPr>
        <w:t>园艺</w:t>
      </w:r>
      <w:r>
        <w:rPr>
          <w:rFonts w:ascii="宋体" w:hAnsi="宋体"/>
          <w:bCs/>
        </w:rPr>
        <w:t>作物</w:t>
      </w:r>
      <w:r>
        <w:rPr>
          <w:rFonts w:ascii="宋体" w:hAnsi="宋体" w:hint="eastAsia"/>
          <w:bCs/>
        </w:rPr>
        <w:t>性状连锁</w:t>
      </w:r>
      <w:r>
        <w:rPr>
          <w:rFonts w:hAnsi="宋体" w:hint="eastAsia"/>
          <w:kern w:val="0"/>
          <w:szCs w:val="21"/>
        </w:rPr>
        <w:t>遗传</w:t>
      </w:r>
      <w:r>
        <w:rPr>
          <w:rFonts w:ascii="宋体" w:hAnsi="宋体" w:hint="eastAsia"/>
          <w:bCs/>
        </w:rPr>
        <w:t>的现象；性状</w:t>
      </w:r>
      <w:r>
        <w:rPr>
          <w:rFonts w:ascii="宋体" w:hAnsi="宋体"/>
          <w:bCs/>
        </w:rPr>
        <w:t>连锁遗传的原理</w:t>
      </w:r>
      <w:r>
        <w:rPr>
          <w:rFonts w:ascii="宋体" w:hAnsi="宋体" w:hint="eastAsia"/>
          <w:bCs/>
        </w:rPr>
        <w:t>；</w:t>
      </w:r>
      <w:r>
        <w:rPr>
          <w:rFonts w:ascii="宋体" w:hAnsi="宋体"/>
          <w:bCs/>
        </w:rPr>
        <w:t>交换的概念和交换值的测定。</w:t>
      </w:r>
    </w:p>
    <w:p w14:paraId="7484C5CC" w14:textId="77777777" w:rsidR="00F5289E" w:rsidRDefault="00C91173">
      <w:pPr>
        <w:pStyle w:val="a7"/>
        <w:snapToGrid w:val="0"/>
        <w:spacing w:line="360" w:lineRule="auto"/>
        <w:rPr>
          <w:rFonts w:ascii="宋体" w:hAnsi="宋体"/>
        </w:rPr>
      </w:pPr>
      <w:r>
        <w:rPr>
          <w:rFonts w:ascii="宋体" w:hAnsi="宋体" w:hint="eastAsia"/>
        </w:rPr>
        <w:t>要求</w:t>
      </w:r>
      <w:r>
        <w:rPr>
          <w:rFonts w:ascii="宋体" w:hAnsi="宋体"/>
        </w:rPr>
        <w:t>学生了解性状连锁的现象；</w:t>
      </w:r>
      <w:r>
        <w:rPr>
          <w:rFonts w:ascii="宋体" w:hAnsi="宋体" w:hint="eastAsia"/>
        </w:rPr>
        <w:t>理解</w:t>
      </w:r>
      <w:r>
        <w:rPr>
          <w:rFonts w:ascii="宋体" w:hAnsi="宋体"/>
        </w:rPr>
        <w:t>并掌握</w:t>
      </w:r>
      <w:r>
        <w:rPr>
          <w:rFonts w:ascii="宋体" w:hAnsi="宋体" w:hint="eastAsia"/>
          <w:bCs/>
        </w:rPr>
        <w:t>性状</w:t>
      </w:r>
      <w:r>
        <w:rPr>
          <w:rFonts w:ascii="宋体" w:hAnsi="宋体"/>
          <w:bCs/>
        </w:rPr>
        <w:t>连锁遗传的原理</w:t>
      </w:r>
      <w:r>
        <w:rPr>
          <w:rFonts w:ascii="宋体" w:hAnsi="宋体" w:hint="eastAsia"/>
          <w:bCs/>
        </w:rPr>
        <w:t>；熟练</w:t>
      </w:r>
      <w:r>
        <w:rPr>
          <w:rFonts w:ascii="宋体" w:hAnsi="宋体" w:hint="eastAsia"/>
        </w:rPr>
        <w:t>掌握</w:t>
      </w:r>
      <w:r>
        <w:rPr>
          <w:rFonts w:ascii="宋体" w:hAnsi="宋体"/>
        </w:rPr>
        <w:t>交换的概念及交换值测定方法</w:t>
      </w:r>
    </w:p>
    <w:p w14:paraId="24A51EAB"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rPr>
        <w:t>性状连锁遗传</w:t>
      </w:r>
      <w:r>
        <w:rPr>
          <w:rFonts w:ascii="宋体" w:hAnsi="宋体"/>
        </w:rPr>
        <w:t>是</w:t>
      </w:r>
      <w:r>
        <w:rPr>
          <w:rFonts w:ascii="宋体" w:hAnsi="宋体" w:hint="eastAsia"/>
        </w:rPr>
        <w:t>遗传</w:t>
      </w:r>
      <w:r>
        <w:rPr>
          <w:rFonts w:ascii="宋体" w:hAnsi="宋体"/>
        </w:rPr>
        <w:t>学课程中最为重要的</w:t>
      </w:r>
      <w:r>
        <w:rPr>
          <w:rFonts w:ascii="宋体" w:hAnsi="宋体" w:hint="eastAsia"/>
        </w:rPr>
        <w:t>遗传</w:t>
      </w:r>
      <w:r>
        <w:rPr>
          <w:rFonts w:ascii="宋体" w:hAnsi="宋体"/>
        </w:rPr>
        <w:t>规律之一。</w:t>
      </w:r>
      <w:r>
        <w:rPr>
          <w:rFonts w:ascii="宋体" w:hAnsi="宋体" w:hint="eastAsia"/>
        </w:rPr>
        <w:t>本节</w:t>
      </w:r>
      <w:r>
        <w:rPr>
          <w:rFonts w:ascii="宋体" w:hAnsi="宋体"/>
        </w:rPr>
        <w:t>主要</w:t>
      </w:r>
      <w:r>
        <w:rPr>
          <w:rFonts w:hAnsi="宋体" w:hint="eastAsia"/>
          <w:kern w:val="0"/>
          <w:szCs w:val="21"/>
        </w:rPr>
        <w:t>对性状连锁遗传现象、交换及</w:t>
      </w:r>
      <w:r>
        <w:rPr>
          <w:rFonts w:hAnsi="宋体"/>
          <w:kern w:val="0"/>
          <w:szCs w:val="21"/>
        </w:rPr>
        <w:t>交换值的测定</w:t>
      </w:r>
      <w:r>
        <w:rPr>
          <w:rFonts w:hAnsi="宋体" w:hint="eastAsia"/>
          <w:kern w:val="0"/>
          <w:szCs w:val="21"/>
        </w:rPr>
        <w:t>等</w:t>
      </w:r>
      <w:r>
        <w:rPr>
          <w:rFonts w:hAnsi="宋体"/>
          <w:kern w:val="0"/>
          <w:szCs w:val="21"/>
        </w:rPr>
        <w:t>知识点</w:t>
      </w:r>
      <w:r>
        <w:rPr>
          <w:rFonts w:hAnsi="宋体" w:hint="eastAsia"/>
          <w:kern w:val="0"/>
          <w:szCs w:val="21"/>
        </w:rPr>
        <w:t>进行讲解</w:t>
      </w:r>
      <w:r>
        <w:rPr>
          <w:rFonts w:hAnsi="宋体"/>
          <w:kern w:val="0"/>
          <w:szCs w:val="21"/>
        </w:rPr>
        <w:t>学习</w:t>
      </w:r>
      <w:r>
        <w:rPr>
          <w:rFonts w:hAnsi="宋体" w:hint="eastAsia"/>
          <w:kern w:val="0"/>
          <w:szCs w:val="21"/>
        </w:rPr>
        <w:t>，同时</w:t>
      </w:r>
      <w:r>
        <w:rPr>
          <w:rFonts w:hAnsi="宋体"/>
          <w:kern w:val="0"/>
          <w:szCs w:val="21"/>
        </w:rPr>
        <w:t>结合</w:t>
      </w:r>
      <w:r>
        <w:rPr>
          <w:rFonts w:hAnsi="宋体" w:hint="eastAsia"/>
          <w:kern w:val="0"/>
          <w:szCs w:val="21"/>
        </w:rPr>
        <w:t>分组（班）</w:t>
      </w:r>
      <w:r>
        <w:rPr>
          <w:rFonts w:hAnsi="宋体"/>
          <w:kern w:val="0"/>
          <w:szCs w:val="21"/>
        </w:rPr>
        <w:t>讨论，</w:t>
      </w:r>
      <w:r>
        <w:rPr>
          <w:rFonts w:hAnsi="宋体" w:hint="eastAsia"/>
          <w:kern w:val="0"/>
          <w:szCs w:val="21"/>
        </w:rPr>
        <w:t>与学生充分互动。通过实验课的精心设计，让学生动手操作，强化学习效果，从而掌握园艺植物连锁性状的遗传理论以及性状预测方法，并为相关选择育种理论的学习奠定基础。</w:t>
      </w:r>
    </w:p>
    <w:p w14:paraId="6D964DD3" w14:textId="77777777" w:rsidR="00F5289E" w:rsidRDefault="00C91173">
      <w:pPr>
        <w:snapToGrid w:val="0"/>
        <w:spacing w:line="360" w:lineRule="auto"/>
        <w:rPr>
          <w:rFonts w:ascii="宋体" w:hAnsi="宋体"/>
          <w:b/>
          <w:bCs/>
        </w:rPr>
      </w:pPr>
      <w:r>
        <w:rPr>
          <w:rFonts w:ascii="宋体" w:hAnsi="宋体" w:hint="eastAsia"/>
          <w:b/>
          <w:bCs/>
        </w:rPr>
        <w:t xml:space="preserve">第二节  </w:t>
      </w:r>
      <w:r>
        <w:rPr>
          <w:rFonts w:hAnsi="宋体" w:hint="eastAsia"/>
          <w:b/>
          <w:kern w:val="0"/>
          <w:szCs w:val="21"/>
        </w:rPr>
        <w:t>基因定位</w:t>
      </w:r>
      <w:r>
        <w:rPr>
          <w:rFonts w:ascii="宋体" w:hAnsi="宋体" w:hint="eastAsia"/>
          <w:b/>
          <w:bCs/>
        </w:rPr>
        <w:t>与遗传连锁图（</w:t>
      </w:r>
      <w:r>
        <w:rPr>
          <w:b/>
          <w:bCs/>
        </w:rPr>
        <w:t>1</w:t>
      </w:r>
      <w:r>
        <w:rPr>
          <w:rFonts w:ascii="宋体" w:hAnsi="宋体" w:hint="eastAsia"/>
          <w:b/>
          <w:bCs/>
        </w:rPr>
        <w:t>学时）</w:t>
      </w:r>
    </w:p>
    <w:p w14:paraId="3A349156"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理解并</w:t>
      </w:r>
      <w:r>
        <w:rPr>
          <w:rFonts w:ascii="宋体" w:hAnsi="宋体"/>
          <w:bCs/>
        </w:rPr>
        <w:t>掌握基因</w:t>
      </w:r>
      <w:r>
        <w:rPr>
          <w:rFonts w:ascii="宋体" w:hAnsi="宋体" w:hint="eastAsia"/>
          <w:bCs/>
        </w:rPr>
        <w:t>定位</w:t>
      </w:r>
      <w:r>
        <w:rPr>
          <w:rFonts w:ascii="宋体" w:hAnsi="宋体"/>
          <w:bCs/>
        </w:rPr>
        <w:t>的基本原理</w:t>
      </w:r>
      <w:r>
        <w:rPr>
          <w:rFonts w:ascii="宋体" w:hAnsi="宋体" w:hint="eastAsia"/>
          <w:bCs/>
        </w:rPr>
        <w:t>以及</w:t>
      </w:r>
      <w:r>
        <w:rPr>
          <w:rFonts w:ascii="宋体" w:hAnsi="宋体"/>
          <w:bCs/>
        </w:rPr>
        <w:t>连锁遗传图谱</w:t>
      </w:r>
      <w:r>
        <w:rPr>
          <w:rFonts w:ascii="宋体" w:hAnsi="宋体" w:hint="eastAsia"/>
          <w:bCs/>
        </w:rPr>
        <w:t>构建</w:t>
      </w:r>
      <w:r>
        <w:rPr>
          <w:rFonts w:ascii="宋体" w:hAnsi="宋体"/>
          <w:bCs/>
        </w:rPr>
        <w:t>的一般方法。</w:t>
      </w:r>
    </w:p>
    <w:p w14:paraId="0DB8697C"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基因</w:t>
      </w:r>
      <w:r>
        <w:rPr>
          <w:rFonts w:ascii="宋体" w:hAnsi="宋体"/>
          <w:bCs/>
        </w:rPr>
        <w:t>定位的概念；基因定位的方法：</w:t>
      </w:r>
      <w:r>
        <w:rPr>
          <w:rFonts w:ascii="宋体" w:hAnsi="宋体" w:hint="eastAsia"/>
          <w:bCs/>
        </w:rPr>
        <w:t>两点</w:t>
      </w:r>
      <w:r>
        <w:rPr>
          <w:rFonts w:ascii="宋体" w:hAnsi="宋体"/>
          <w:bCs/>
        </w:rPr>
        <w:t>测验和三点测验。</w:t>
      </w:r>
    </w:p>
    <w:p w14:paraId="76B37A55"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5E69093C" w14:textId="77777777" w:rsidR="00F5289E" w:rsidRDefault="00C91173">
      <w:pPr>
        <w:pStyle w:val="a7"/>
        <w:snapToGrid w:val="0"/>
        <w:spacing w:line="360" w:lineRule="auto"/>
        <w:rPr>
          <w:rFonts w:ascii="宋体" w:hAnsi="宋体"/>
          <w:b/>
        </w:rPr>
      </w:pPr>
      <w:r>
        <w:rPr>
          <w:rFonts w:ascii="宋体" w:hAnsi="宋体" w:hint="eastAsia"/>
          <w:bCs/>
        </w:rPr>
        <w:t>本节</w:t>
      </w:r>
      <w:r>
        <w:rPr>
          <w:rFonts w:ascii="宋体" w:hAnsi="宋体"/>
          <w:bCs/>
        </w:rPr>
        <w:t>的主要教学内容包括</w:t>
      </w:r>
      <w:r>
        <w:rPr>
          <w:rFonts w:ascii="宋体" w:hAnsi="宋体" w:hint="eastAsia"/>
          <w:bCs/>
        </w:rPr>
        <w:t>基因</w:t>
      </w:r>
      <w:r>
        <w:rPr>
          <w:rFonts w:ascii="宋体" w:hAnsi="宋体"/>
          <w:bCs/>
        </w:rPr>
        <w:t>定位的概念</w:t>
      </w:r>
      <w:r>
        <w:rPr>
          <w:rFonts w:ascii="宋体" w:hAnsi="宋体" w:hint="eastAsia"/>
          <w:bCs/>
        </w:rPr>
        <w:t>、</w:t>
      </w:r>
      <w:r>
        <w:rPr>
          <w:rFonts w:ascii="宋体" w:hAnsi="宋体"/>
          <w:bCs/>
        </w:rPr>
        <w:t>两点测验、三点测验、干扰</w:t>
      </w:r>
      <w:r>
        <w:rPr>
          <w:rFonts w:ascii="宋体" w:hAnsi="宋体" w:hint="eastAsia"/>
          <w:bCs/>
        </w:rPr>
        <w:t>和</w:t>
      </w:r>
      <w:r>
        <w:rPr>
          <w:rFonts w:ascii="宋体" w:hAnsi="宋体"/>
          <w:bCs/>
        </w:rPr>
        <w:t>符合的概念、连锁遗传图谱构建的基本方法。</w:t>
      </w:r>
    </w:p>
    <w:p w14:paraId="7E943476" w14:textId="77777777" w:rsidR="00F5289E" w:rsidRDefault="00C91173">
      <w:pPr>
        <w:pStyle w:val="a7"/>
        <w:snapToGrid w:val="0"/>
        <w:spacing w:line="360" w:lineRule="auto"/>
        <w:rPr>
          <w:rFonts w:ascii="宋体" w:hAnsi="宋体"/>
        </w:rPr>
      </w:pPr>
      <w:r>
        <w:rPr>
          <w:rFonts w:ascii="宋体" w:hAnsi="宋体" w:hint="eastAsia"/>
        </w:rPr>
        <w:t>要求了解基因</w:t>
      </w:r>
      <w:r>
        <w:rPr>
          <w:rFonts w:ascii="宋体" w:hAnsi="宋体"/>
        </w:rPr>
        <w:t>定位</w:t>
      </w:r>
      <w:r>
        <w:rPr>
          <w:rFonts w:ascii="宋体" w:hAnsi="宋体" w:hint="eastAsia"/>
        </w:rPr>
        <w:t>概念及</w:t>
      </w:r>
      <w:r>
        <w:rPr>
          <w:rFonts w:ascii="宋体" w:hAnsi="宋体"/>
        </w:rPr>
        <w:t>方法；</w:t>
      </w:r>
      <w:r>
        <w:rPr>
          <w:rFonts w:ascii="宋体" w:hAnsi="宋体" w:hint="eastAsia"/>
        </w:rPr>
        <w:t>熟练</w:t>
      </w:r>
      <w:r>
        <w:rPr>
          <w:rFonts w:ascii="宋体" w:hAnsi="宋体"/>
        </w:rPr>
        <w:t>掌握三点测验的</w:t>
      </w:r>
      <w:r>
        <w:rPr>
          <w:rFonts w:ascii="宋体" w:hAnsi="宋体" w:hint="eastAsia"/>
        </w:rPr>
        <w:t>方法</w:t>
      </w:r>
      <w:r>
        <w:rPr>
          <w:rFonts w:ascii="宋体" w:hAnsi="宋体"/>
        </w:rPr>
        <w:t>；</w:t>
      </w:r>
      <w:r>
        <w:rPr>
          <w:rFonts w:ascii="宋体" w:hAnsi="宋体" w:hint="eastAsia"/>
        </w:rPr>
        <w:t>掌握</w:t>
      </w:r>
      <w:r>
        <w:rPr>
          <w:rFonts w:ascii="宋体" w:hAnsi="宋体"/>
        </w:rPr>
        <w:t>连锁遗传图谱的构建方法。</w:t>
      </w:r>
    </w:p>
    <w:p w14:paraId="16AD81C4"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rPr>
        <w:t>基因</w:t>
      </w:r>
      <w:r>
        <w:rPr>
          <w:rFonts w:ascii="宋体" w:hAnsi="宋体"/>
        </w:rPr>
        <w:t>定位是构建连锁遗传图谱的</w:t>
      </w:r>
      <w:r>
        <w:rPr>
          <w:rFonts w:ascii="宋体" w:hAnsi="宋体" w:hint="eastAsia"/>
        </w:rPr>
        <w:t>基础</w:t>
      </w:r>
      <w:r>
        <w:rPr>
          <w:rFonts w:ascii="宋体" w:hAnsi="宋体"/>
        </w:rPr>
        <w:t>理论知识。</w:t>
      </w:r>
      <w:r>
        <w:rPr>
          <w:rFonts w:ascii="宋体" w:hAnsi="宋体" w:hint="eastAsia"/>
        </w:rPr>
        <w:t>本节通过对</w:t>
      </w:r>
      <w:r>
        <w:rPr>
          <w:rFonts w:ascii="宋体" w:hAnsi="宋体"/>
        </w:rPr>
        <w:t>两</w:t>
      </w:r>
      <w:r>
        <w:rPr>
          <w:rFonts w:ascii="宋体" w:hAnsi="宋体" w:hint="eastAsia"/>
        </w:rPr>
        <w:t>点</w:t>
      </w:r>
      <w:r>
        <w:rPr>
          <w:rFonts w:ascii="宋体" w:hAnsi="宋体"/>
        </w:rPr>
        <w:t>测验、三点测验等知识的学习</w:t>
      </w:r>
      <w:r>
        <w:rPr>
          <w:rFonts w:hAnsi="宋体" w:hint="eastAsia"/>
          <w:kern w:val="0"/>
          <w:szCs w:val="21"/>
        </w:rPr>
        <w:t>，并结合实际</w:t>
      </w:r>
      <w:r>
        <w:rPr>
          <w:rFonts w:hAnsi="宋体"/>
          <w:kern w:val="0"/>
          <w:szCs w:val="21"/>
        </w:rPr>
        <w:t>的</w:t>
      </w:r>
      <w:r>
        <w:rPr>
          <w:rFonts w:hAnsi="宋体" w:hint="eastAsia"/>
          <w:kern w:val="0"/>
          <w:szCs w:val="21"/>
        </w:rPr>
        <w:t>案例讲解，与学生充分互动。通过实验课的精心设计，让学生动手操作，强化学习效果，从而掌握园艺植物连锁性状的遗传理论以及性状预测方法，并为相关选择育种理论的学习奠定基础。</w:t>
      </w:r>
    </w:p>
    <w:p w14:paraId="1957E916" w14:textId="77777777" w:rsidR="00F5289E" w:rsidRDefault="00C91173">
      <w:pPr>
        <w:snapToGrid w:val="0"/>
        <w:spacing w:line="360" w:lineRule="auto"/>
        <w:rPr>
          <w:rFonts w:ascii="宋体" w:hAnsi="宋体"/>
          <w:b/>
          <w:bCs/>
        </w:rPr>
      </w:pPr>
      <w:r>
        <w:rPr>
          <w:rFonts w:ascii="宋体" w:hAnsi="宋体" w:hint="eastAsia"/>
          <w:b/>
          <w:bCs/>
        </w:rPr>
        <w:t>第三节  连锁</w:t>
      </w:r>
      <w:r>
        <w:rPr>
          <w:rFonts w:hAnsi="宋体" w:hint="eastAsia"/>
          <w:b/>
          <w:kern w:val="0"/>
          <w:szCs w:val="21"/>
        </w:rPr>
        <w:t>遗传</w:t>
      </w:r>
      <w:r>
        <w:rPr>
          <w:rFonts w:ascii="宋体" w:hAnsi="宋体" w:hint="eastAsia"/>
          <w:b/>
          <w:bCs/>
        </w:rPr>
        <w:t>规律的应用（</w:t>
      </w:r>
      <w:r>
        <w:rPr>
          <w:b/>
          <w:bCs/>
        </w:rPr>
        <w:t>1</w:t>
      </w:r>
      <w:r>
        <w:rPr>
          <w:rFonts w:ascii="宋体" w:hAnsi="宋体" w:hint="eastAsia"/>
          <w:b/>
          <w:bCs/>
        </w:rPr>
        <w:t>学时）</w:t>
      </w:r>
    </w:p>
    <w:p w14:paraId="5C95C343"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掌握连锁</w:t>
      </w:r>
      <w:r>
        <w:rPr>
          <w:rFonts w:ascii="宋体" w:hAnsi="宋体"/>
          <w:bCs/>
        </w:rPr>
        <w:t>遗传规律在育种工作</w:t>
      </w:r>
      <w:r>
        <w:rPr>
          <w:rFonts w:ascii="宋体" w:hAnsi="宋体" w:hint="eastAsia"/>
          <w:bCs/>
        </w:rPr>
        <w:t>的</w:t>
      </w:r>
      <w:r>
        <w:rPr>
          <w:rFonts w:ascii="宋体" w:hAnsi="宋体"/>
          <w:bCs/>
        </w:rPr>
        <w:t>基本应用。</w:t>
      </w:r>
    </w:p>
    <w:p w14:paraId="7870CC1C" w14:textId="77777777" w:rsidR="00F5289E" w:rsidRDefault="00C91173">
      <w:pPr>
        <w:widowControl/>
        <w:snapToGrid w:val="0"/>
        <w:spacing w:line="360" w:lineRule="auto"/>
        <w:rPr>
          <w:rFonts w:ascii="宋体" w:hAnsi="宋体"/>
          <w:bCs/>
        </w:rPr>
      </w:pPr>
      <w:r>
        <w:rPr>
          <w:rFonts w:ascii="宋体" w:hAnsi="宋体" w:hint="eastAsia"/>
          <w:b/>
          <w:bCs/>
        </w:rPr>
        <w:t>教学重点和难点：</w:t>
      </w:r>
      <w:r>
        <w:rPr>
          <w:rFonts w:ascii="宋体" w:hAnsi="宋体" w:hint="eastAsia"/>
          <w:bCs/>
        </w:rPr>
        <w:t>针对连锁</w:t>
      </w:r>
      <w:r>
        <w:rPr>
          <w:rFonts w:ascii="宋体" w:hAnsi="宋体"/>
          <w:bCs/>
        </w:rPr>
        <w:t>性状现象，</w:t>
      </w:r>
      <w:r>
        <w:rPr>
          <w:rFonts w:ascii="宋体" w:hAnsi="宋体" w:hint="eastAsia"/>
          <w:bCs/>
        </w:rPr>
        <w:t>开展</w:t>
      </w:r>
      <w:r>
        <w:rPr>
          <w:rFonts w:ascii="宋体" w:hAnsi="宋体"/>
          <w:bCs/>
        </w:rPr>
        <w:t>后代群体大小的预测</w:t>
      </w:r>
      <w:r>
        <w:rPr>
          <w:rFonts w:ascii="宋体" w:hAnsi="宋体" w:hint="eastAsia"/>
          <w:bCs/>
        </w:rPr>
        <w:t>及</w:t>
      </w:r>
      <w:r>
        <w:rPr>
          <w:rFonts w:ascii="宋体" w:hAnsi="宋体"/>
          <w:bCs/>
        </w:rPr>
        <w:t>每种表型类型出现的比例。</w:t>
      </w:r>
    </w:p>
    <w:p w14:paraId="1A534828" w14:textId="77777777" w:rsidR="00F5289E" w:rsidRDefault="00C91173">
      <w:pPr>
        <w:widowControl/>
        <w:snapToGrid w:val="0"/>
        <w:spacing w:line="360" w:lineRule="auto"/>
        <w:rPr>
          <w:rFonts w:ascii="宋体" w:hAnsi="宋体"/>
          <w:b/>
        </w:rPr>
      </w:pPr>
      <w:r>
        <w:rPr>
          <w:rFonts w:ascii="宋体" w:hAnsi="宋体" w:hint="eastAsia"/>
          <w:b/>
        </w:rPr>
        <w:t>主要教学内容及要求：</w:t>
      </w:r>
    </w:p>
    <w:p w14:paraId="0803F549" w14:textId="77777777" w:rsidR="00F5289E" w:rsidRDefault="00C91173">
      <w:pPr>
        <w:pStyle w:val="a7"/>
        <w:snapToGrid w:val="0"/>
        <w:spacing w:line="360" w:lineRule="auto"/>
        <w:rPr>
          <w:rFonts w:hAnsi="宋体"/>
          <w:kern w:val="0"/>
          <w:szCs w:val="21"/>
        </w:rPr>
      </w:pPr>
      <w:r>
        <w:rPr>
          <w:rFonts w:hAnsi="宋体" w:hint="eastAsia"/>
          <w:kern w:val="0"/>
          <w:szCs w:val="21"/>
        </w:rPr>
        <w:lastRenderedPageBreak/>
        <w:t>本节</w:t>
      </w:r>
      <w:r>
        <w:rPr>
          <w:rFonts w:hAnsi="宋体"/>
          <w:kern w:val="0"/>
          <w:szCs w:val="21"/>
        </w:rPr>
        <w:t>主要介绍利用连锁遗传原理提高园艺作物选择效果的方法，介绍交换值在育种实践上应用。</w:t>
      </w:r>
    </w:p>
    <w:p w14:paraId="1AE5A154" w14:textId="77777777" w:rsidR="00F5289E" w:rsidRDefault="00C91173">
      <w:pPr>
        <w:pStyle w:val="a7"/>
        <w:snapToGrid w:val="0"/>
        <w:spacing w:line="360" w:lineRule="auto"/>
        <w:rPr>
          <w:rFonts w:ascii="宋体" w:hAnsi="宋体"/>
        </w:rPr>
      </w:pPr>
      <w:r>
        <w:rPr>
          <w:rFonts w:ascii="宋体" w:hAnsi="宋体" w:hint="eastAsia"/>
        </w:rPr>
        <w:t>要求了解如何</w:t>
      </w:r>
      <w:r>
        <w:rPr>
          <w:rFonts w:hAnsi="宋体"/>
          <w:kern w:val="0"/>
          <w:szCs w:val="21"/>
        </w:rPr>
        <w:t>利用连锁遗传原理提高园艺作物选择效果的方法</w:t>
      </w:r>
      <w:r>
        <w:rPr>
          <w:rFonts w:hAnsi="宋体" w:hint="eastAsia"/>
          <w:kern w:val="0"/>
          <w:szCs w:val="21"/>
        </w:rPr>
        <w:t>，掌握</w:t>
      </w:r>
      <w:r>
        <w:rPr>
          <w:rFonts w:hAnsi="宋体"/>
          <w:kern w:val="0"/>
          <w:szCs w:val="21"/>
        </w:rPr>
        <w:t>交换值在育种实践上应用。</w:t>
      </w:r>
    </w:p>
    <w:p w14:paraId="766AC2A4"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rPr>
        <w:t>实现连锁</w:t>
      </w:r>
      <w:r>
        <w:rPr>
          <w:rFonts w:ascii="宋体" w:hAnsi="宋体"/>
        </w:rPr>
        <w:t>遗传规律在</w:t>
      </w:r>
      <w:r>
        <w:rPr>
          <w:rFonts w:ascii="宋体" w:hAnsi="宋体" w:hint="eastAsia"/>
        </w:rPr>
        <w:t>育种</w:t>
      </w:r>
      <w:r>
        <w:rPr>
          <w:rFonts w:ascii="宋体" w:hAnsi="宋体"/>
        </w:rPr>
        <w:t>的应用</w:t>
      </w:r>
      <w:r>
        <w:rPr>
          <w:rFonts w:ascii="宋体" w:hAnsi="宋体" w:hint="eastAsia"/>
        </w:rPr>
        <w:t>是</w:t>
      </w:r>
      <w:r>
        <w:rPr>
          <w:rFonts w:ascii="宋体" w:hAnsi="宋体"/>
        </w:rPr>
        <w:t>本章学习的最终目的。</w:t>
      </w:r>
      <w:r>
        <w:rPr>
          <w:rFonts w:ascii="宋体" w:hAnsi="宋体" w:hint="eastAsia"/>
        </w:rPr>
        <w:t>本节通过对</w:t>
      </w:r>
      <w:r>
        <w:rPr>
          <w:rFonts w:ascii="宋体" w:hAnsi="宋体"/>
        </w:rPr>
        <w:t>实际案例的</w:t>
      </w:r>
      <w:r>
        <w:rPr>
          <w:rFonts w:ascii="宋体" w:hAnsi="宋体" w:hint="eastAsia"/>
        </w:rPr>
        <w:t>讲解</w:t>
      </w:r>
      <w:r>
        <w:rPr>
          <w:rFonts w:hAnsi="宋体" w:hint="eastAsia"/>
          <w:kern w:val="0"/>
          <w:szCs w:val="21"/>
        </w:rPr>
        <w:t>让</w:t>
      </w:r>
      <w:r>
        <w:rPr>
          <w:rFonts w:hAnsi="宋体"/>
          <w:kern w:val="0"/>
          <w:szCs w:val="21"/>
        </w:rPr>
        <w:t>学生掌握连锁遗传规律</w:t>
      </w:r>
      <w:r>
        <w:rPr>
          <w:rFonts w:hAnsi="宋体" w:hint="eastAsia"/>
          <w:kern w:val="0"/>
          <w:szCs w:val="21"/>
        </w:rPr>
        <w:t>在</w:t>
      </w:r>
      <w:r>
        <w:rPr>
          <w:rFonts w:hAnsi="宋体"/>
          <w:kern w:val="0"/>
          <w:szCs w:val="21"/>
        </w:rPr>
        <w:t>园艺植物遗传育种工作中</w:t>
      </w:r>
      <w:r>
        <w:rPr>
          <w:rFonts w:hAnsi="宋体" w:hint="eastAsia"/>
          <w:kern w:val="0"/>
          <w:szCs w:val="21"/>
        </w:rPr>
        <w:t>应用</w:t>
      </w:r>
      <w:r>
        <w:rPr>
          <w:rFonts w:hAnsi="宋体"/>
          <w:kern w:val="0"/>
          <w:szCs w:val="21"/>
        </w:rPr>
        <w:t>。同时</w:t>
      </w:r>
      <w:r>
        <w:rPr>
          <w:rFonts w:hAnsi="宋体" w:hint="eastAsia"/>
          <w:kern w:val="0"/>
          <w:szCs w:val="21"/>
        </w:rPr>
        <w:t>，开展分组（班）</w:t>
      </w:r>
      <w:r>
        <w:rPr>
          <w:rFonts w:hAnsi="宋体"/>
          <w:kern w:val="0"/>
          <w:szCs w:val="21"/>
        </w:rPr>
        <w:t>讨论</w:t>
      </w:r>
      <w:r>
        <w:rPr>
          <w:rFonts w:hAnsi="宋体" w:hint="eastAsia"/>
          <w:kern w:val="0"/>
          <w:szCs w:val="21"/>
        </w:rPr>
        <w:t>，</w:t>
      </w:r>
      <w:r>
        <w:rPr>
          <w:rFonts w:hAnsi="宋体"/>
          <w:kern w:val="0"/>
          <w:szCs w:val="21"/>
        </w:rPr>
        <w:t>并</w:t>
      </w:r>
      <w:r>
        <w:rPr>
          <w:rFonts w:hAnsi="宋体" w:hint="eastAsia"/>
          <w:kern w:val="0"/>
          <w:szCs w:val="21"/>
        </w:rPr>
        <w:t>与学生充分互动。</w:t>
      </w:r>
    </w:p>
    <w:p w14:paraId="78BA1771" w14:textId="77777777" w:rsidR="00F5289E" w:rsidRDefault="00C91173">
      <w:pPr>
        <w:widowControl/>
        <w:wordWrap w:val="0"/>
        <w:snapToGrid w:val="0"/>
        <w:spacing w:line="360" w:lineRule="auto"/>
        <w:jc w:val="right"/>
        <w:rPr>
          <w:b/>
          <w:bCs/>
        </w:rPr>
      </w:pPr>
      <w:r>
        <w:t> </w:t>
      </w:r>
      <w:bookmarkStart w:id="113" w:name="_Toc137560080"/>
      <w:bookmarkStart w:id="114" w:name="_Toc138025272"/>
      <w:r>
        <w:rPr>
          <w:b/>
          <w:bCs/>
          <w:kern w:val="0"/>
        </w:rPr>
        <w:t>第</w:t>
      </w:r>
      <w:r>
        <w:rPr>
          <w:rFonts w:hint="eastAsia"/>
          <w:b/>
          <w:bCs/>
          <w:kern w:val="0"/>
        </w:rPr>
        <w:t>四</w:t>
      </w:r>
      <w:r>
        <w:rPr>
          <w:b/>
          <w:bCs/>
          <w:kern w:val="0"/>
        </w:rPr>
        <w:t>章</w:t>
      </w:r>
      <w:r>
        <w:rPr>
          <w:b/>
          <w:bCs/>
          <w:kern w:val="0"/>
        </w:rPr>
        <w:t>     </w:t>
      </w:r>
      <w:r>
        <w:rPr>
          <w:rFonts w:hint="eastAsia"/>
          <w:b/>
          <w:bCs/>
          <w:kern w:val="0"/>
        </w:rPr>
        <w:t>数量性状的遗传</w:t>
      </w:r>
      <w:bookmarkEnd w:id="113"/>
      <w:bookmarkEnd w:id="114"/>
      <w:r>
        <w:rPr>
          <w:b/>
          <w:bCs/>
          <w:kern w:val="0"/>
        </w:rPr>
        <w:t>               </w:t>
      </w:r>
      <w:r>
        <w:rPr>
          <w:rFonts w:hint="eastAsia"/>
          <w:b/>
          <w:bCs/>
          <w:kern w:val="0"/>
        </w:rPr>
        <w:t xml:space="preserve">  </w:t>
      </w:r>
      <w:r>
        <w:rPr>
          <w:b/>
          <w:bCs/>
          <w:kern w:val="0"/>
        </w:rPr>
        <w:t xml:space="preserve">         </w:t>
      </w:r>
      <w:r>
        <w:rPr>
          <w:b/>
          <w:bCs/>
          <w:kern w:val="0"/>
        </w:rPr>
        <w:t>学时</w:t>
      </w:r>
      <w:r>
        <w:rPr>
          <w:rFonts w:hint="eastAsia"/>
          <w:b/>
          <w:bCs/>
          <w:kern w:val="0"/>
        </w:rPr>
        <w:t>数：</w:t>
      </w:r>
      <w:r>
        <w:rPr>
          <w:b/>
          <w:bCs/>
          <w:kern w:val="0"/>
        </w:rPr>
        <w:t>2</w:t>
      </w:r>
    </w:p>
    <w:p w14:paraId="162252A6"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数量性状的特征及多基因假说（</w:t>
      </w:r>
      <w:r>
        <w:rPr>
          <w:b/>
          <w:bCs/>
        </w:rPr>
        <w:t>1</w:t>
      </w:r>
      <w:r>
        <w:rPr>
          <w:rFonts w:ascii="宋体" w:hAnsi="宋体" w:hint="eastAsia"/>
          <w:b/>
          <w:bCs/>
        </w:rPr>
        <w:t>学时）</w:t>
      </w:r>
    </w:p>
    <w:p w14:paraId="3DC962E0"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通过对</w:t>
      </w:r>
      <w:r>
        <w:rPr>
          <w:rFonts w:hAnsi="宋体"/>
          <w:kern w:val="0"/>
          <w:szCs w:val="21"/>
        </w:rPr>
        <w:t>数量性状的特征及多基因假说</w:t>
      </w:r>
      <w:r>
        <w:rPr>
          <w:rFonts w:hAnsi="宋体" w:hint="eastAsia"/>
          <w:kern w:val="0"/>
          <w:szCs w:val="21"/>
        </w:rPr>
        <w:t>的学习，掌握基本概念。</w:t>
      </w:r>
    </w:p>
    <w:p w14:paraId="71E30A88"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Ansi="宋体"/>
          <w:kern w:val="0"/>
          <w:szCs w:val="21"/>
        </w:rPr>
        <w:t>数量性状的概念</w:t>
      </w:r>
      <w:r>
        <w:rPr>
          <w:rFonts w:hAnsi="宋体" w:hint="eastAsia"/>
          <w:kern w:val="0"/>
          <w:szCs w:val="21"/>
        </w:rPr>
        <w:t>、</w:t>
      </w:r>
      <w:r>
        <w:rPr>
          <w:rFonts w:hAnsi="宋体"/>
          <w:kern w:val="0"/>
          <w:szCs w:val="21"/>
        </w:rPr>
        <w:t>多基因假说</w:t>
      </w:r>
      <w:r>
        <w:rPr>
          <w:rFonts w:hAnsi="宋体" w:hint="eastAsia"/>
          <w:kern w:val="0"/>
          <w:szCs w:val="21"/>
        </w:rPr>
        <w:t>为本节的重点和难点。</w:t>
      </w:r>
    </w:p>
    <w:p w14:paraId="2E17F779"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687D9E5E"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w:t>
      </w:r>
      <w:r>
        <w:rPr>
          <w:rFonts w:hAnsi="宋体"/>
          <w:kern w:val="0"/>
          <w:szCs w:val="21"/>
        </w:rPr>
        <w:t>数量性状及质量性状的概念和区别，数量性状遗传的多基因假说</w:t>
      </w:r>
      <w:r>
        <w:rPr>
          <w:rFonts w:hAnsi="宋体" w:hint="eastAsia"/>
          <w:kern w:val="0"/>
          <w:szCs w:val="21"/>
        </w:rPr>
        <w:t>。</w:t>
      </w:r>
    </w:p>
    <w:p w14:paraId="36316BF1"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w:t>
      </w:r>
      <w:r>
        <w:rPr>
          <w:rFonts w:hAnsi="宋体"/>
          <w:kern w:val="0"/>
          <w:szCs w:val="21"/>
        </w:rPr>
        <w:t>数量性状及质量性状的概念和区别</w:t>
      </w:r>
      <w:r>
        <w:rPr>
          <w:rFonts w:hAnsi="宋体" w:hint="eastAsia"/>
          <w:kern w:val="0"/>
          <w:szCs w:val="21"/>
        </w:rPr>
        <w:t>，理解</w:t>
      </w:r>
      <w:r>
        <w:rPr>
          <w:rFonts w:hAnsi="宋体"/>
          <w:kern w:val="0"/>
          <w:szCs w:val="21"/>
        </w:rPr>
        <w:t>数量性状遗传的多基因假说</w:t>
      </w:r>
      <w:r>
        <w:rPr>
          <w:rFonts w:hAnsi="宋体" w:hint="eastAsia"/>
          <w:kern w:val="0"/>
          <w:szCs w:val="21"/>
        </w:rPr>
        <w:t>。</w:t>
      </w:r>
    </w:p>
    <w:p w14:paraId="2106D6B1" w14:textId="77777777" w:rsidR="00F5289E" w:rsidRDefault="00C91173">
      <w:pPr>
        <w:widowControl/>
        <w:snapToGrid w:val="0"/>
        <w:spacing w:line="360" w:lineRule="auto"/>
        <w:rPr>
          <w:rFonts w:hAnsi="宋体"/>
          <w:b/>
          <w:bCs/>
          <w:kern w:val="0"/>
          <w:szCs w:val="21"/>
        </w:rPr>
      </w:pPr>
      <w:r>
        <w:rPr>
          <w:rFonts w:hAnsi="宋体" w:hint="eastAsia"/>
          <w:b/>
          <w:bCs/>
          <w:kern w:val="0"/>
          <w:szCs w:val="21"/>
        </w:rPr>
        <w:t>教学组织与实施：</w:t>
      </w:r>
      <w:r>
        <w:rPr>
          <w:rFonts w:ascii="宋体" w:hAnsi="宋体" w:hint="eastAsia"/>
          <w:bCs/>
        </w:rPr>
        <w:t>在课堂上通过对数量性状的学习，结合案例分析，让学生掌握数量性状的特点，以及理解多基因假说。</w:t>
      </w:r>
    </w:p>
    <w:p w14:paraId="1E670B7C" w14:textId="77777777" w:rsidR="00F5289E" w:rsidRDefault="00C91173">
      <w:pPr>
        <w:snapToGrid w:val="0"/>
        <w:spacing w:line="360" w:lineRule="auto"/>
        <w:rPr>
          <w:rFonts w:ascii="宋体" w:hAnsi="宋体"/>
          <w:b/>
          <w:bCs/>
        </w:rPr>
      </w:pPr>
      <w:r>
        <w:rPr>
          <w:rFonts w:ascii="宋体" w:hAnsi="宋体" w:hint="eastAsia"/>
          <w:b/>
          <w:bCs/>
        </w:rPr>
        <w:t xml:space="preserve">第二节  </w:t>
      </w:r>
      <w:r>
        <w:rPr>
          <w:rFonts w:ascii="宋体" w:hAnsi="宋体"/>
          <w:b/>
          <w:bCs/>
        </w:rPr>
        <w:t>数量性状遗传研究的基本统计方法</w:t>
      </w:r>
      <w:r>
        <w:rPr>
          <w:rFonts w:ascii="宋体" w:hAnsi="宋体" w:hint="eastAsia"/>
          <w:b/>
          <w:bCs/>
        </w:rPr>
        <w:t>（</w:t>
      </w:r>
      <w:r>
        <w:rPr>
          <w:b/>
          <w:bCs/>
        </w:rPr>
        <w:t>0.5</w:t>
      </w:r>
      <w:r>
        <w:rPr>
          <w:rFonts w:ascii="宋体" w:hAnsi="宋体" w:hint="eastAsia"/>
          <w:b/>
          <w:bCs/>
        </w:rPr>
        <w:t>学时）</w:t>
      </w:r>
    </w:p>
    <w:p w14:paraId="72305CF3"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hint="eastAsia"/>
        </w:rPr>
        <w:t>掌握</w:t>
      </w:r>
      <w:r>
        <w:rPr>
          <w:rFonts w:hAnsi="宋体"/>
          <w:kern w:val="0"/>
          <w:szCs w:val="21"/>
        </w:rPr>
        <w:t>平均数、方差及标准差在数量性状分析中的意义。</w:t>
      </w:r>
    </w:p>
    <w:p w14:paraId="446ACC5D" w14:textId="77777777" w:rsidR="00F5289E" w:rsidRDefault="00C91173">
      <w:pPr>
        <w:widowControl/>
        <w:snapToGrid w:val="0"/>
        <w:spacing w:line="360" w:lineRule="auto"/>
        <w:rPr>
          <w:rFonts w:hAnsi="宋体"/>
          <w:kern w:val="0"/>
          <w:szCs w:val="21"/>
        </w:rPr>
      </w:pPr>
      <w:r>
        <w:rPr>
          <w:rFonts w:ascii="宋体" w:hAnsi="宋体" w:hint="eastAsia"/>
          <w:b/>
          <w:bCs/>
        </w:rPr>
        <w:t>教学重点和难点：</w:t>
      </w:r>
      <w:r>
        <w:rPr>
          <w:rFonts w:ascii="宋体" w:hAnsi="宋体"/>
        </w:rPr>
        <w:t>数量性状遗传研究的基本统计方法</w:t>
      </w:r>
      <w:r>
        <w:rPr>
          <w:rFonts w:ascii="宋体" w:hAnsi="宋体" w:hint="eastAsia"/>
        </w:rPr>
        <w:t>为本节的重点和难点</w:t>
      </w:r>
      <w:r>
        <w:rPr>
          <w:rFonts w:hAnsi="宋体" w:hint="eastAsia"/>
          <w:kern w:val="0"/>
          <w:szCs w:val="21"/>
        </w:rPr>
        <w:t>。</w:t>
      </w:r>
    </w:p>
    <w:p w14:paraId="502EEFD0"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33B2EB36"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w:t>
      </w:r>
      <w:r>
        <w:rPr>
          <w:rFonts w:hAnsi="宋体"/>
          <w:kern w:val="0"/>
          <w:szCs w:val="21"/>
        </w:rPr>
        <w:t>介绍平均数、方差及标准差在数量性状分析中的意义</w:t>
      </w:r>
      <w:r>
        <w:rPr>
          <w:rFonts w:hAnsi="宋体" w:hint="eastAsia"/>
          <w:kern w:val="0"/>
          <w:szCs w:val="21"/>
        </w:rPr>
        <w:t>。</w:t>
      </w:r>
    </w:p>
    <w:p w14:paraId="71F638A0"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w:t>
      </w:r>
      <w:r>
        <w:rPr>
          <w:rFonts w:ascii="宋体" w:hAnsi="宋体" w:hint="eastAsia"/>
        </w:rPr>
        <w:t>掌握</w:t>
      </w:r>
      <w:r>
        <w:rPr>
          <w:rFonts w:hAnsi="宋体"/>
          <w:kern w:val="0"/>
          <w:szCs w:val="21"/>
        </w:rPr>
        <w:t>平均数、方差及标准差在数量性状分析中的意义。</w:t>
      </w:r>
    </w:p>
    <w:p w14:paraId="0DE7534E" w14:textId="77777777" w:rsidR="00F5289E" w:rsidRDefault="00C91173">
      <w:pPr>
        <w:widowControl/>
        <w:snapToGrid w:val="0"/>
        <w:spacing w:line="360" w:lineRule="auto"/>
        <w:rPr>
          <w:rFonts w:hAnsi="宋体"/>
          <w:bCs/>
          <w:kern w:val="0"/>
          <w:szCs w:val="21"/>
        </w:rPr>
      </w:pPr>
      <w:r>
        <w:rPr>
          <w:rFonts w:hAnsi="宋体" w:hint="eastAsia"/>
          <w:b/>
          <w:bCs/>
          <w:kern w:val="0"/>
          <w:szCs w:val="21"/>
        </w:rPr>
        <w:t>教学组织与实施：</w:t>
      </w:r>
      <w:r>
        <w:rPr>
          <w:rFonts w:ascii="宋体" w:hAnsi="宋体" w:hint="eastAsia"/>
          <w:bCs/>
        </w:rPr>
        <w:t>在课堂上通过对</w:t>
      </w:r>
      <w:r>
        <w:rPr>
          <w:rFonts w:hAnsi="宋体"/>
          <w:kern w:val="0"/>
          <w:szCs w:val="21"/>
        </w:rPr>
        <w:t>平均数、方差及标准差</w:t>
      </w:r>
      <w:r>
        <w:rPr>
          <w:rFonts w:hAnsi="宋体" w:hint="eastAsia"/>
          <w:kern w:val="0"/>
          <w:szCs w:val="21"/>
        </w:rPr>
        <w:t>公式</w:t>
      </w:r>
      <w:r>
        <w:rPr>
          <w:rFonts w:ascii="宋体" w:hAnsi="宋体" w:hint="eastAsia"/>
          <w:bCs/>
        </w:rPr>
        <w:t>的学习，让学生掌握</w:t>
      </w:r>
      <w:r>
        <w:rPr>
          <w:rFonts w:ascii="宋体" w:hAnsi="宋体"/>
          <w:bCs/>
        </w:rPr>
        <w:t>数量性状遗传研究的基本统计方法</w:t>
      </w:r>
      <w:r>
        <w:rPr>
          <w:rFonts w:ascii="宋体" w:hAnsi="宋体" w:hint="eastAsia"/>
          <w:bCs/>
        </w:rPr>
        <w:t>。</w:t>
      </w:r>
    </w:p>
    <w:p w14:paraId="7E739081" w14:textId="77777777" w:rsidR="00F5289E" w:rsidRDefault="00C91173">
      <w:pPr>
        <w:snapToGrid w:val="0"/>
        <w:spacing w:line="360" w:lineRule="auto"/>
        <w:rPr>
          <w:rFonts w:hAnsi="宋体"/>
          <w:kern w:val="0"/>
          <w:szCs w:val="21"/>
        </w:rPr>
      </w:pPr>
      <w:r>
        <w:rPr>
          <w:rFonts w:ascii="宋体" w:hAnsi="宋体" w:hint="eastAsia"/>
          <w:b/>
          <w:bCs/>
        </w:rPr>
        <w:t>第三节  遗传率的估算及应用（</w:t>
      </w:r>
      <w:r>
        <w:rPr>
          <w:b/>
          <w:bCs/>
        </w:rPr>
        <w:t>0.5</w:t>
      </w:r>
      <w:r>
        <w:rPr>
          <w:rFonts w:ascii="宋体" w:hAnsi="宋体" w:hint="eastAsia"/>
          <w:b/>
          <w:bCs/>
        </w:rPr>
        <w:t>学时）</w:t>
      </w:r>
    </w:p>
    <w:p w14:paraId="327B9568" w14:textId="77777777" w:rsidR="00F5289E" w:rsidRDefault="00C91173">
      <w:pPr>
        <w:widowControl/>
        <w:snapToGrid w:val="0"/>
        <w:spacing w:line="360" w:lineRule="auto"/>
        <w:rPr>
          <w:rFonts w:ascii="宋体" w:hAnsi="宋体"/>
          <w:b/>
          <w:bCs/>
        </w:rPr>
      </w:pPr>
      <w:r>
        <w:rPr>
          <w:rFonts w:ascii="宋体" w:hAnsi="宋体" w:hint="eastAsia"/>
          <w:b/>
          <w:bCs/>
        </w:rPr>
        <w:t>教学目标：</w:t>
      </w:r>
      <w:r>
        <w:rPr>
          <w:rFonts w:hAnsi="宋体" w:hint="eastAsia"/>
          <w:kern w:val="0"/>
          <w:szCs w:val="21"/>
        </w:rPr>
        <w:t>掌握</w:t>
      </w:r>
      <w:r>
        <w:rPr>
          <w:rFonts w:hAnsi="宋体"/>
          <w:kern w:val="0"/>
          <w:szCs w:val="21"/>
        </w:rPr>
        <w:t>遗传率的两种概念、估算方法以及在育种上的应用。</w:t>
      </w:r>
    </w:p>
    <w:p w14:paraId="4A1F8A07"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Ansi="宋体"/>
          <w:kern w:val="0"/>
          <w:szCs w:val="21"/>
        </w:rPr>
        <w:t>两种遗传率的概</w:t>
      </w:r>
      <w:r>
        <w:rPr>
          <w:rFonts w:hAnsi="宋体" w:hint="eastAsia"/>
          <w:kern w:val="0"/>
          <w:szCs w:val="21"/>
        </w:rPr>
        <w:t>念和</w:t>
      </w:r>
      <w:r>
        <w:rPr>
          <w:rFonts w:hAnsi="宋体"/>
          <w:kern w:val="0"/>
          <w:szCs w:val="21"/>
        </w:rPr>
        <w:t>估算方法以及在育种上的应用</w:t>
      </w:r>
      <w:r>
        <w:rPr>
          <w:rFonts w:hAnsi="宋体" w:hint="eastAsia"/>
          <w:kern w:val="0"/>
          <w:szCs w:val="21"/>
        </w:rPr>
        <w:t>为本节重点，</w:t>
      </w:r>
      <w:r>
        <w:rPr>
          <w:rFonts w:ascii="宋体" w:hAnsi="宋体" w:cs="宋体" w:hint="eastAsia"/>
          <w:kern w:val="0"/>
          <w:szCs w:val="21"/>
        </w:rPr>
        <w:t>其中</w:t>
      </w:r>
      <w:r>
        <w:rPr>
          <w:rFonts w:hAnsi="宋体"/>
          <w:kern w:val="0"/>
          <w:szCs w:val="21"/>
        </w:rPr>
        <w:t>遗传率的</w:t>
      </w:r>
      <w:r>
        <w:rPr>
          <w:rFonts w:hAnsi="宋体" w:hint="eastAsia"/>
          <w:kern w:val="0"/>
          <w:szCs w:val="21"/>
        </w:rPr>
        <w:t>估算方法</w:t>
      </w:r>
      <w:r>
        <w:rPr>
          <w:rFonts w:hAnsi="宋体"/>
          <w:kern w:val="0"/>
          <w:szCs w:val="21"/>
        </w:rPr>
        <w:t>及应用</w:t>
      </w:r>
      <w:r>
        <w:rPr>
          <w:rFonts w:ascii="宋体" w:hAnsi="宋体" w:cs="宋体" w:hint="eastAsia"/>
          <w:kern w:val="0"/>
          <w:szCs w:val="21"/>
        </w:rPr>
        <w:t>为本节难点。</w:t>
      </w:r>
    </w:p>
    <w:p w14:paraId="36FF00D1"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6FCF1655"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w:t>
      </w:r>
      <w:r>
        <w:rPr>
          <w:rFonts w:hAnsi="宋体"/>
          <w:kern w:val="0"/>
          <w:szCs w:val="21"/>
        </w:rPr>
        <w:t>两种遗传率的概念、估算方法以及在育种上的应用</w:t>
      </w:r>
      <w:r>
        <w:rPr>
          <w:rFonts w:hAnsi="宋体" w:hint="eastAsia"/>
          <w:kern w:val="0"/>
          <w:szCs w:val="21"/>
        </w:rPr>
        <w:t>。</w:t>
      </w:r>
    </w:p>
    <w:p w14:paraId="7698B4DC"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要求学生掌握</w:t>
      </w:r>
      <w:r>
        <w:rPr>
          <w:rFonts w:hAnsi="宋体"/>
          <w:kern w:val="0"/>
          <w:szCs w:val="21"/>
        </w:rPr>
        <w:t>两种遗传率的概念</w:t>
      </w:r>
      <w:r>
        <w:rPr>
          <w:rFonts w:hAnsi="宋体" w:hint="eastAsia"/>
          <w:kern w:val="0"/>
          <w:szCs w:val="21"/>
        </w:rPr>
        <w:t>及计算公式</w:t>
      </w:r>
      <w:r>
        <w:rPr>
          <w:rFonts w:hAnsi="宋体"/>
          <w:kern w:val="0"/>
          <w:szCs w:val="21"/>
        </w:rPr>
        <w:t>，</w:t>
      </w:r>
      <w:r>
        <w:rPr>
          <w:rFonts w:hAnsi="宋体" w:hint="eastAsia"/>
          <w:kern w:val="0"/>
          <w:szCs w:val="21"/>
        </w:rPr>
        <w:t>熟练掌握</w:t>
      </w:r>
      <w:r>
        <w:rPr>
          <w:rFonts w:hAnsi="宋体"/>
          <w:kern w:val="0"/>
          <w:szCs w:val="21"/>
        </w:rPr>
        <w:t>遗传率</w:t>
      </w:r>
      <w:r>
        <w:rPr>
          <w:rFonts w:hAnsi="宋体" w:hint="eastAsia"/>
          <w:kern w:val="0"/>
          <w:szCs w:val="21"/>
        </w:rPr>
        <w:t>的</w:t>
      </w:r>
      <w:r>
        <w:rPr>
          <w:rFonts w:hAnsi="宋体"/>
          <w:kern w:val="0"/>
          <w:szCs w:val="21"/>
        </w:rPr>
        <w:t>估算方法</w:t>
      </w:r>
      <w:r>
        <w:rPr>
          <w:rFonts w:hAnsi="宋体" w:hint="eastAsia"/>
          <w:kern w:val="0"/>
          <w:szCs w:val="21"/>
        </w:rPr>
        <w:t>。</w:t>
      </w:r>
    </w:p>
    <w:p w14:paraId="5B5F5109" w14:textId="77777777" w:rsidR="00F5289E" w:rsidRDefault="00C91173">
      <w:pPr>
        <w:widowControl/>
        <w:snapToGrid w:val="0"/>
        <w:spacing w:line="360" w:lineRule="auto"/>
        <w:rPr>
          <w:rFonts w:hAnsi="宋体"/>
          <w:kern w:val="0"/>
          <w:szCs w:val="21"/>
        </w:rPr>
      </w:pPr>
      <w:r>
        <w:rPr>
          <w:rFonts w:hAnsi="宋体" w:hint="eastAsia"/>
          <w:b/>
          <w:bCs/>
          <w:kern w:val="0"/>
          <w:szCs w:val="21"/>
        </w:rPr>
        <w:t>教学组织与实施：</w:t>
      </w:r>
      <w:r>
        <w:rPr>
          <w:rFonts w:ascii="宋体" w:hAnsi="宋体" w:hint="eastAsia"/>
          <w:bCs/>
        </w:rPr>
        <w:t>在课堂上通过对</w:t>
      </w:r>
      <w:r>
        <w:rPr>
          <w:rFonts w:hAnsi="宋体"/>
          <w:kern w:val="0"/>
          <w:szCs w:val="21"/>
        </w:rPr>
        <w:t>两种遗传率的概念、估算方法</w:t>
      </w:r>
      <w:r>
        <w:rPr>
          <w:rFonts w:ascii="宋体" w:hAnsi="宋体" w:hint="eastAsia"/>
          <w:bCs/>
        </w:rPr>
        <w:t>的学习，结合育种实践中的案例分析和习题训练，让学生理解</w:t>
      </w:r>
      <w:r>
        <w:rPr>
          <w:rFonts w:hAnsi="宋体"/>
          <w:kern w:val="0"/>
          <w:szCs w:val="21"/>
        </w:rPr>
        <w:t>遗传率</w:t>
      </w:r>
      <w:r>
        <w:rPr>
          <w:rFonts w:ascii="宋体" w:hAnsi="宋体" w:hint="eastAsia"/>
          <w:bCs/>
        </w:rPr>
        <w:t>的实质，熟练掌握遗传率在育种中的应用。</w:t>
      </w:r>
    </w:p>
    <w:p w14:paraId="72B49C82" w14:textId="77777777" w:rsidR="00F5289E" w:rsidRDefault="00C91173">
      <w:pPr>
        <w:snapToGrid w:val="0"/>
        <w:spacing w:line="360" w:lineRule="auto"/>
        <w:rPr>
          <w:rFonts w:ascii="宋体" w:hAnsi="宋体"/>
          <w:b/>
          <w:bCs/>
        </w:rPr>
      </w:pPr>
      <w:r>
        <w:rPr>
          <w:rFonts w:ascii="宋体" w:hAnsi="宋体" w:hint="eastAsia"/>
          <w:b/>
          <w:bCs/>
        </w:rPr>
        <w:t>第四节  数量性状基因定位（</w:t>
      </w:r>
      <w:r>
        <w:rPr>
          <w:b/>
          <w:bCs/>
        </w:rPr>
        <w:t>3</w:t>
      </w:r>
      <w:r>
        <w:rPr>
          <w:rFonts w:ascii="宋体" w:hAnsi="宋体" w:hint="eastAsia"/>
          <w:b/>
          <w:bCs/>
        </w:rPr>
        <w:t>学时）</w:t>
      </w:r>
    </w:p>
    <w:p w14:paraId="15E52A0E" w14:textId="77777777" w:rsidR="00F5289E" w:rsidRDefault="00C91173">
      <w:pPr>
        <w:widowControl/>
        <w:snapToGrid w:val="0"/>
        <w:spacing w:line="360" w:lineRule="auto"/>
        <w:rPr>
          <w:rFonts w:hAnsi="宋体"/>
          <w:kern w:val="0"/>
          <w:szCs w:val="21"/>
        </w:rPr>
      </w:pPr>
      <w:r>
        <w:rPr>
          <w:rFonts w:ascii="宋体" w:hAnsi="宋体" w:hint="eastAsia"/>
          <w:b/>
          <w:bCs/>
        </w:rPr>
        <w:lastRenderedPageBreak/>
        <w:t>教学目标：</w:t>
      </w:r>
      <w:r>
        <w:rPr>
          <w:rFonts w:hAnsi="宋体" w:hint="eastAsia"/>
          <w:kern w:val="0"/>
          <w:szCs w:val="21"/>
        </w:rPr>
        <w:t>介绍常用的分离群体及其构建方法</w:t>
      </w:r>
      <w:r>
        <w:rPr>
          <w:rFonts w:hAnsi="宋体"/>
          <w:kern w:val="0"/>
          <w:szCs w:val="21"/>
        </w:rPr>
        <w:t>，</w:t>
      </w:r>
      <w:r>
        <w:rPr>
          <w:rFonts w:hAnsi="宋体" w:hint="eastAsia"/>
          <w:kern w:val="0"/>
          <w:szCs w:val="21"/>
        </w:rPr>
        <w:t>QTL</w:t>
      </w:r>
      <w:r>
        <w:rPr>
          <w:rFonts w:hAnsi="宋体" w:hint="eastAsia"/>
          <w:kern w:val="0"/>
          <w:szCs w:val="21"/>
        </w:rPr>
        <w:t>概念</w:t>
      </w:r>
      <w:r>
        <w:rPr>
          <w:rFonts w:hAnsi="宋体"/>
          <w:kern w:val="0"/>
          <w:szCs w:val="21"/>
        </w:rPr>
        <w:t>和</w:t>
      </w:r>
      <w:r>
        <w:rPr>
          <w:rFonts w:hAnsi="宋体" w:hint="eastAsia"/>
          <w:kern w:val="0"/>
          <w:szCs w:val="21"/>
        </w:rPr>
        <w:t>作图方法</w:t>
      </w:r>
      <w:r>
        <w:rPr>
          <w:rFonts w:hAnsi="宋体"/>
          <w:kern w:val="0"/>
          <w:szCs w:val="21"/>
        </w:rPr>
        <w:t>以及</w:t>
      </w:r>
      <w:r>
        <w:rPr>
          <w:rFonts w:hAnsi="宋体" w:hint="eastAsia"/>
          <w:kern w:val="0"/>
          <w:szCs w:val="21"/>
        </w:rPr>
        <w:t>全基因组关联分析基本</w:t>
      </w:r>
      <w:r>
        <w:rPr>
          <w:rFonts w:hAnsi="宋体"/>
          <w:kern w:val="0"/>
          <w:szCs w:val="21"/>
        </w:rPr>
        <w:t>程序。</w:t>
      </w:r>
    </w:p>
    <w:p w14:paraId="138B144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数量性状基因定位概念及方法为本节</w:t>
      </w:r>
      <w:r>
        <w:rPr>
          <w:rFonts w:ascii="宋体" w:hAnsi="宋体" w:cs="宋体" w:hint="eastAsia"/>
          <w:kern w:val="0"/>
          <w:szCs w:val="21"/>
        </w:rPr>
        <w:t>重点</w:t>
      </w:r>
      <w:r>
        <w:rPr>
          <w:rFonts w:ascii="宋体" w:hAnsi="宋体" w:hint="eastAsia"/>
        </w:rPr>
        <w:t>，</w:t>
      </w:r>
      <w:r>
        <w:rPr>
          <w:rFonts w:ascii="宋体" w:hAnsi="宋体" w:cs="宋体" w:hint="eastAsia"/>
          <w:kern w:val="0"/>
          <w:szCs w:val="21"/>
        </w:rPr>
        <w:t>其中</w:t>
      </w:r>
      <w:r>
        <w:rPr>
          <w:rFonts w:hAnsi="宋体" w:hint="eastAsia"/>
          <w:kern w:val="0"/>
          <w:szCs w:val="21"/>
        </w:rPr>
        <w:t>QTL</w:t>
      </w:r>
      <w:r>
        <w:rPr>
          <w:rFonts w:hAnsi="宋体" w:hint="eastAsia"/>
          <w:kern w:val="0"/>
          <w:szCs w:val="21"/>
        </w:rPr>
        <w:t>定位</w:t>
      </w:r>
      <w:r>
        <w:rPr>
          <w:rFonts w:hAnsi="宋体"/>
          <w:kern w:val="0"/>
          <w:szCs w:val="21"/>
        </w:rPr>
        <w:t>方法</w:t>
      </w:r>
      <w:r>
        <w:rPr>
          <w:rFonts w:ascii="宋体" w:hAnsi="宋体" w:cs="宋体" w:hint="eastAsia"/>
          <w:kern w:val="0"/>
          <w:szCs w:val="21"/>
        </w:rPr>
        <w:t>为本节难点。</w:t>
      </w:r>
    </w:p>
    <w:p w14:paraId="5994F228"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421ABBA0" w14:textId="77777777" w:rsidR="00F5289E" w:rsidRDefault="00C91173">
      <w:pPr>
        <w:widowControl/>
        <w:snapToGrid w:val="0"/>
        <w:spacing w:line="360" w:lineRule="auto"/>
        <w:ind w:firstLineChars="200" w:firstLine="420"/>
        <w:rPr>
          <w:rFonts w:ascii="宋体" w:hAnsi="宋体"/>
        </w:rPr>
      </w:pPr>
      <w:r>
        <w:rPr>
          <w:rFonts w:hAnsi="宋体" w:hint="eastAsia"/>
          <w:kern w:val="0"/>
          <w:szCs w:val="21"/>
        </w:rPr>
        <w:t>主要介绍</w:t>
      </w:r>
      <w:r>
        <w:rPr>
          <w:rFonts w:ascii="宋体" w:hAnsi="宋体" w:hint="eastAsia"/>
        </w:rPr>
        <w:t>数量性状基因定位的概念和基本流程。</w:t>
      </w:r>
    </w:p>
    <w:p w14:paraId="169CD3D3"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要求学生理解</w:t>
      </w:r>
      <w:r>
        <w:rPr>
          <w:rFonts w:hAnsi="宋体"/>
          <w:kern w:val="0"/>
          <w:szCs w:val="21"/>
        </w:rPr>
        <w:t>数量性状基因定位的</w:t>
      </w:r>
      <w:r>
        <w:rPr>
          <w:rFonts w:hAnsi="宋体" w:hint="eastAsia"/>
          <w:kern w:val="0"/>
          <w:szCs w:val="21"/>
        </w:rPr>
        <w:t>概念</w:t>
      </w:r>
      <w:r>
        <w:rPr>
          <w:rFonts w:hAnsi="宋体"/>
          <w:kern w:val="0"/>
          <w:szCs w:val="21"/>
        </w:rPr>
        <w:t>，</w:t>
      </w:r>
      <w:r>
        <w:rPr>
          <w:rFonts w:hAnsi="宋体" w:hint="eastAsia"/>
          <w:kern w:val="0"/>
          <w:szCs w:val="21"/>
        </w:rPr>
        <w:t>掌握</w:t>
      </w:r>
      <w:r>
        <w:rPr>
          <w:rFonts w:hAnsi="宋体"/>
          <w:kern w:val="0"/>
          <w:szCs w:val="21"/>
        </w:rPr>
        <w:t>数量性状基因定位</w:t>
      </w:r>
      <w:r>
        <w:rPr>
          <w:rFonts w:hAnsi="宋体" w:hint="eastAsia"/>
          <w:kern w:val="0"/>
          <w:szCs w:val="21"/>
        </w:rPr>
        <w:t>的流程。</w:t>
      </w:r>
    </w:p>
    <w:p w14:paraId="1977124F" w14:textId="77777777" w:rsidR="00F5289E" w:rsidRDefault="00C91173">
      <w:pPr>
        <w:widowControl/>
        <w:snapToGrid w:val="0"/>
        <w:spacing w:line="360" w:lineRule="auto"/>
        <w:rPr>
          <w:rFonts w:hAnsi="宋体"/>
          <w:kern w:val="0"/>
          <w:szCs w:val="21"/>
        </w:rPr>
      </w:pPr>
      <w:r>
        <w:rPr>
          <w:rFonts w:hAnsi="宋体" w:hint="eastAsia"/>
          <w:b/>
          <w:bCs/>
          <w:kern w:val="0"/>
          <w:szCs w:val="21"/>
        </w:rPr>
        <w:t>教学组织与实施：</w:t>
      </w:r>
      <w:r>
        <w:rPr>
          <w:rFonts w:ascii="宋体" w:hAnsi="宋体" w:hint="eastAsia"/>
          <w:bCs/>
        </w:rPr>
        <w:t>在课堂上通过对</w:t>
      </w:r>
      <w:r>
        <w:rPr>
          <w:rFonts w:ascii="宋体" w:hAnsi="宋体" w:hint="eastAsia"/>
        </w:rPr>
        <w:t>数量性状基因定位概念和流程</w:t>
      </w:r>
      <w:r>
        <w:rPr>
          <w:rFonts w:ascii="宋体" w:hAnsi="宋体" w:hint="eastAsia"/>
          <w:bCs/>
        </w:rPr>
        <w:t>的学习，结合育种实践中的案例分析和习题训练，让学生理解</w:t>
      </w:r>
      <w:r>
        <w:rPr>
          <w:rFonts w:hAnsi="宋体"/>
          <w:kern w:val="0"/>
          <w:szCs w:val="21"/>
        </w:rPr>
        <w:t>数量性状基因定位的</w:t>
      </w:r>
      <w:r>
        <w:rPr>
          <w:rFonts w:hAnsi="宋体" w:hint="eastAsia"/>
          <w:kern w:val="0"/>
          <w:szCs w:val="21"/>
        </w:rPr>
        <w:t>概念</w:t>
      </w:r>
      <w:r>
        <w:rPr>
          <w:rFonts w:ascii="宋体" w:hAnsi="宋体" w:hint="eastAsia"/>
          <w:bCs/>
        </w:rPr>
        <w:t>，掌握</w:t>
      </w:r>
      <w:r>
        <w:rPr>
          <w:rFonts w:hAnsi="宋体"/>
          <w:kern w:val="0"/>
          <w:szCs w:val="21"/>
        </w:rPr>
        <w:t>数量性状基因定位</w:t>
      </w:r>
      <w:r>
        <w:rPr>
          <w:rFonts w:hAnsi="宋体" w:hint="eastAsia"/>
          <w:kern w:val="0"/>
          <w:szCs w:val="21"/>
        </w:rPr>
        <w:t>在育种中的</w:t>
      </w:r>
      <w:r>
        <w:rPr>
          <w:rFonts w:ascii="宋体" w:hAnsi="宋体" w:hint="eastAsia"/>
          <w:bCs/>
        </w:rPr>
        <w:t>应用。</w:t>
      </w:r>
    </w:p>
    <w:p w14:paraId="08060D36" w14:textId="77777777" w:rsidR="00F5289E" w:rsidRDefault="00C91173">
      <w:pPr>
        <w:widowControl/>
        <w:wordWrap w:val="0"/>
        <w:snapToGrid w:val="0"/>
        <w:spacing w:line="360" w:lineRule="auto"/>
        <w:jc w:val="right"/>
        <w:rPr>
          <w:b/>
          <w:kern w:val="0"/>
          <w:szCs w:val="21"/>
        </w:rPr>
      </w:pPr>
      <w:bookmarkStart w:id="115" w:name="_Toc138025273"/>
      <w:bookmarkStart w:id="116" w:name="_Toc137560081"/>
      <w:r>
        <w:rPr>
          <w:b/>
          <w:kern w:val="0"/>
        </w:rPr>
        <w:t>第</w:t>
      </w:r>
      <w:r>
        <w:rPr>
          <w:rFonts w:hint="eastAsia"/>
          <w:b/>
          <w:kern w:val="0"/>
        </w:rPr>
        <w:t>五</w:t>
      </w:r>
      <w:r>
        <w:rPr>
          <w:b/>
          <w:kern w:val="0"/>
        </w:rPr>
        <w:t>章</w:t>
      </w:r>
      <w:r>
        <w:rPr>
          <w:b/>
          <w:kern w:val="0"/>
        </w:rPr>
        <w:t>     </w:t>
      </w:r>
      <w:r>
        <w:rPr>
          <w:b/>
          <w:kern w:val="0"/>
        </w:rPr>
        <w:t>近亲繁殖和杂种优势</w:t>
      </w:r>
      <w:bookmarkEnd w:id="115"/>
      <w:bookmarkEnd w:id="116"/>
      <w:r>
        <w:rPr>
          <w:b/>
          <w:kern w:val="0"/>
          <w:szCs w:val="21"/>
        </w:rPr>
        <w:t> </w:t>
      </w:r>
      <w:r>
        <w:rPr>
          <w:rFonts w:hint="eastAsia"/>
          <w:b/>
          <w:kern w:val="0"/>
          <w:szCs w:val="21"/>
        </w:rPr>
        <w:t xml:space="preserve"> </w:t>
      </w:r>
      <w:r>
        <w:rPr>
          <w:b/>
          <w:kern w:val="0"/>
          <w:szCs w:val="21"/>
        </w:rPr>
        <w:t xml:space="preserve">              </w:t>
      </w:r>
      <w:r>
        <w:rPr>
          <w:b/>
          <w:kern w:val="0"/>
          <w:szCs w:val="21"/>
        </w:rPr>
        <w:t>学时</w:t>
      </w:r>
      <w:r>
        <w:rPr>
          <w:rFonts w:hint="eastAsia"/>
          <w:b/>
          <w:kern w:val="0"/>
          <w:szCs w:val="21"/>
        </w:rPr>
        <w:t>数：</w:t>
      </w:r>
      <w:r>
        <w:rPr>
          <w:b/>
          <w:kern w:val="0"/>
          <w:szCs w:val="21"/>
        </w:rPr>
        <w:t>2</w:t>
      </w:r>
    </w:p>
    <w:p w14:paraId="6B35800B" w14:textId="77777777" w:rsidR="00F5289E" w:rsidRDefault="00C91173">
      <w:pPr>
        <w:snapToGrid w:val="0"/>
        <w:spacing w:line="360" w:lineRule="auto"/>
        <w:rPr>
          <w:rFonts w:ascii="宋体" w:hAnsi="宋体"/>
          <w:b/>
          <w:bCs/>
        </w:rPr>
      </w:pPr>
      <w:r>
        <w:rPr>
          <w:rFonts w:ascii="宋体" w:hAnsi="宋体"/>
          <w:b/>
          <w:bCs/>
        </w:rPr>
        <w:t>第一节</w:t>
      </w:r>
      <w:r>
        <w:rPr>
          <w:rFonts w:ascii="宋体" w:hAnsi="宋体" w:hint="eastAsia"/>
          <w:b/>
          <w:bCs/>
        </w:rPr>
        <w:t xml:space="preserve">  近亲繁殖及遗传效应（</w:t>
      </w:r>
      <w:r>
        <w:rPr>
          <w:b/>
          <w:bCs/>
        </w:rPr>
        <w:t>1</w:t>
      </w:r>
      <w:r>
        <w:rPr>
          <w:rFonts w:ascii="宋体" w:hAnsi="宋体" w:hint="eastAsia"/>
          <w:b/>
          <w:bCs/>
        </w:rPr>
        <w:t>学时）</w:t>
      </w:r>
    </w:p>
    <w:p w14:paraId="7E7E255F"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hint="eastAsia"/>
        </w:rPr>
        <w:t>掌握</w:t>
      </w:r>
      <w:r>
        <w:rPr>
          <w:rFonts w:hAnsi="宋体" w:hint="eastAsia"/>
          <w:kern w:val="0"/>
          <w:szCs w:val="21"/>
        </w:rPr>
        <w:t>近亲繁殖的概念，多代自交后代群体的遗传效应和多代回交后代群体的遗传效应。</w:t>
      </w:r>
      <w:r>
        <w:rPr>
          <w:rFonts w:ascii="宋体" w:hAnsi="宋体" w:hint="eastAsia"/>
          <w:b/>
          <w:bCs/>
        </w:rPr>
        <w:t>教学重点和难点：</w:t>
      </w:r>
      <w:r>
        <w:rPr>
          <w:rFonts w:hAnsi="宋体"/>
          <w:kern w:val="0"/>
          <w:szCs w:val="21"/>
        </w:rPr>
        <w:t>近亲繁殖的概念</w:t>
      </w:r>
      <w:r>
        <w:rPr>
          <w:rFonts w:hAnsi="宋体" w:hint="eastAsia"/>
          <w:kern w:val="0"/>
          <w:szCs w:val="21"/>
        </w:rPr>
        <w:t>和</w:t>
      </w:r>
      <w:r>
        <w:rPr>
          <w:rFonts w:hAnsi="宋体"/>
          <w:kern w:val="0"/>
          <w:szCs w:val="21"/>
        </w:rPr>
        <w:t>遗传效应</w:t>
      </w:r>
      <w:r>
        <w:rPr>
          <w:rFonts w:hAnsi="宋体" w:hint="eastAsia"/>
          <w:kern w:val="0"/>
          <w:szCs w:val="21"/>
        </w:rPr>
        <w:t>是本节的重点，其中遗传效应为本节的难点。</w:t>
      </w:r>
    </w:p>
    <w:p w14:paraId="486CA59F"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0B1AA533" w14:textId="77777777" w:rsidR="00F5289E" w:rsidRDefault="00C91173">
      <w:pPr>
        <w:widowControl/>
        <w:snapToGrid w:val="0"/>
        <w:spacing w:line="360" w:lineRule="auto"/>
        <w:ind w:leftChars="200" w:left="420"/>
        <w:rPr>
          <w:rFonts w:hAnsi="宋体"/>
          <w:kern w:val="0"/>
          <w:szCs w:val="21"/>
        </w:rPr>
      </w:pPr>
      <w:r>
        <w:rPr>
          <w:rFonts w:hAnsi="宋体" w:hint="eastAsia"/>
          <w:kern w:val="0"/>
          <w:szCs w:val="21"/>
        </w:rPr>
        <w:t>主要介绍</w:t>
      </w:r>
      <w:r>
        <w:rPr>
          <w:rFonts w:hAnsi="宋体"/>
          <w:kern w:val="0"/>
          <w:szCs w:val="21"/>
        </w:rPr>
        <w:t>近亲繁殖的概念，多代自交后代群体的遗传效应和多代回交后代群体的遗传效应</w:t>
      </w:r>
      <w:r>
        <w:rPr>
          <w:rFonts w:hAnsi="宋体" w:hint="eastAsia"/>
          <w:kern w:val="0"/>
          <w:szCs w:val="21"/>
        </w:rPr>
        <w:t>；要求学生了解</w:t>
      </w:r>
      <w:r>
        <w:rPr>
          <w:rFonts w:hAnsi="宋体"/>
          <w:kern w:val="0"/>
          <w:szCs w:val="21"/>
        </w:rPr>
        <w:t>近亲繁殖的概念</w:t>
      </w:r>
      <w:r>
        <w:rPr>
          <w:rFonts w:hAnsi="宋体" w:hint="eastAsia"/>
          <w:kern w:val="0"/>
          <w:szCs w:val="21"/>
        </w:rPr>
        <w:t>，理解</w:t>
      </w:r>
      <w:r>
        <w:rPr>
          <w:rFonts w:hAnsi="宋体"/>
          <w:kern w:val="0"/>
          <w:szCs w:val="21"/>
        </w:rPr>
        <w:t>多代自交后代群体的遗传效应和多代回交后代群体的遗传效应</w:t>
      </w:r>
      <w:r>
        <w:rPr>
          <w:rFonts w:hAnsi="宋体" w:hint="eastAsia"/>
          <w:kern w:val="0"/>
          <w:szCs w:val="21"/>
        </w:rPr>
        <w:t>。</w:t>
      </w:r>
    </w:p>
    <w:p w14:paraId="1840403D" w14:textId="77777777" w:rsidR="00F5289E" w:rsidRDefault="00C91173">
      <w:pPr>
        <w:widowControl/>
        <w:snapToGrid w:val="0"/>
        <w:spacing w:line="360" w:lineRule="auto"/>
        <w:rPr>
          <w:rFonts w:hAnsi="宋体"/>
          <w:kern w:val="0"/>
          <w:szCs w:val="21"/>
        </w:rPr>
      </w:pPr>
      <w:r>
        <w:rPr>
          <w:rFonts w:ascii="宋体" w:hAnsi="宋体" w:hint="eastAsia"/>
          <w:b/>
          <w:bCs/>
        </w:rPr>
        <w:t>教学组织与实施：</w:t>
      </w:r>
      <w:r>
        <w:rPr>
          <w:rFonts w:ascii="宋体" w:hAnsi="宋体" w:hint="eastAsia"/>
        </w:rPr>
        <w:t>本节</w:t>
      </w:r>
      <w:r>
        <w:rPr>
          <w:rFonts w:hAnsi="宋体" w:hint="eastAsia"/>
          <w:kern w:val="0"/>
          <w:szCs w:val="21"/>
        </w:rPr>
        <w:t>通过课堂讲授，让学生深入理解</w:t>
      </w:r>
      <w:r>
        <w:rPr>
          <w:rFonts w:hAnsi="宋体"/>
          <w:kern w:val="0"/>
          <w:szCs w:val="21"/>
        </w:rPr>
        <w:t>近亲繁殖</w:t>
      </w:r>
      <w:r>
        <w:rPr>
          <w:rFonts w:hAnsi="宋体" w:hint="eastAsia"/>
          <w:kern w:val="0"/>
          <w:szCs w:val="21"/>
        </w:rPr>
        <w:t>的理论基础，通过案例知识加深学生的理解，并通过习题测试了解学生的掌握情况。</w:t>
      </w:r>
    </w:p>
    <w:p w14:paraId="73ED2C2A" w14:textId="77777777" w:rsidR="00F5289E" w:rsidRDefault="00C91173">
      <w:pPr>
        <w:widowControl/>
        <w:snapToGrid w:val="0"/>
        <w:spacing w:line="360" w:lineRule="auto"/>
        <w:rPr>
          <w:rFonts w:ascii="宋体" w:hAnsi="宋体"/>
          <w:b/>
          <w:bCs/>
        </w:rPr>
      </w:pPr>
      <w:r>
        <w:rPr>
          <w:rFonts w:ascii="宋体" w:hAnsi="宋体" w:hint="eastAsia"/>
          <w:b/>
          <w:bCs/>
        </w:rPr>
        <w:t>第二节  杂种优势的表现及遗传机理（</w:t>
      </w:r>
      <w:r>
        <w:rPr>
          <w:b/>
          <w:bCs/>
        </w:rPr>
        <w:t>0.5</w:t>
      </w:r>
      <w:r>
        <w:rPr>
          <w:rFonts w:ascii="宋体" w:hAnsi="宋体" w:hint="eastAsia"/>
          <w:b/>
          <w:bCs/>
        </w:rPr>
        <w:t>学时）</w:t>
      </w:r>
    </w:p>
    <w:p w14:paraId="6CC43673" w14:textId="77777777" w:rsidR="00F5289E" w:rsidRDefault="00C91173">
      <w:pPr>
        <w:widowControl/>
        <w:snapToGrid w:val="0"/>
        <w:spacing w:line="360" w:lineRule="auto"/>
        <w:rPr>
          <w:rFonts w:ascii="宋体" w:hAnsi="宋体"/>
          <w:b/>
          <w:bCs/>
        </w:rPr>
      </w:pPr>
      <w:r>
        <w:rPr>
          <w:rFonts w:ascii="宋体" w:hAnsi="宋体" w:hint="eastAsia"/>
          <w:b/>
          <w:bCs/>
        </w:rPr>
        <w:t>教学目标：</w:t>
      </w:r>
      <w:r>
        <w:rPr>
          <w:rFonts w:ascii="宋体" w:hAnsi="宋体" w:hint="eastAsia"/>
        </w:rPr>
        <w:t>掌握</w:t>
      </w:r>
      <w:r>
        <w:rPr>
          <w:rFonts w:hAnsi="宋体" w:hint="eastAsia"/>
          <w:kern w:val="0"/>
          <w:szCs w:val="21"/>
        </w:rPr>
        <w:t>杂种优势的概念、类型及</w:t>
      </w:r>
      <w:r>
        <w:rPr>
          <w:rFonts w:hAnsi="宋体" w:hint="eastAsia"/>
          <w:kern w:val="0"/>
          <w:szCs w:val="21"/>
        </w:rPr>
        <w:t>F</w:t>
      </w:r>
      <w:r>
        <w:rPr>
          <w:rFonts w:hAnsi="宋体" w:hint="eastAsia"/>
          <w:kern w:val="0"/>
          <w:szCs w:val="21"/>
          <w:vertAlign w:val="subscript"/>
        </w:rPr>
        <w:t>l</w:t>
      </w:r>
      <w:r>
        <w:rPr>
          <w:rFonts w:hAnsi="宋体" w:hint="eastAsia"/>
          <w:kern w:val="0"/>
          <w:szCs w:val="21"/>
        </w:rPr>
        <w:t>杂种优势表现及其基本特点；</w:t>
      </w:r>
      <w:r>
        <w:rPr>
          <w:rFonts w:hAnsi="宋体" w:hint="eastAsia"/>
          <w:kern w:val="0"/>
          <w:szCs w:val="21"/>
        </w:rPr>
        <w:t>F</w:t>
      </w:r>
      <w:r>
        <w:rPr>
          <w:rFonts w:hAnsi="宋体" w:hint="eastAsia"/>
          <w:kern w:val="0"/>
          <w:szCs w:val="21"/>
          <w:vertAlign w:val="subscript"/>
        </w:rPr>
        <w:t>2</w:t>
      </w:r>
      <w:r>
        <w:rPr>
          <w:rFonts w:hAnsi="宋体" w:hint="eastAsia"/>
          <w:kern w:val="0"/>
          <w:szCs w:val="21"/>
        </w:rPr>
        <w:t>的衰退现象及形成原因；理解显性假说、超显性假说的内容及异同点。</w:t>
      </w:r>
    </w:p>
    <w:p w14:paraId="3E69C8E5"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杂种优势的表现及遗传机理为本节的重点</w:t>
      </w:r>
      <w:r>
        <w:rPr>
          <w:rFonts w:hAnsi="宋体" w:hint="eastAsia"/>
          <w:kern w:val="0"/>
          <w:szCs w:val="21"/>
        </w:rPr>
        <w:t>，</w:t>
      </w:r>
      <w:r>
        <w:rPr>
          <w:rFonts w:ascii="宋体" w:hAnsi="宋体" w:cs="宋体" w:hint="eastAsia"/>
          <w:kern w:val="0"/>
          <w:szCs w:val="21"/>
        </w:rPr>
        <w:t>其中</w:t>
      </w:r>
      <w:r>
        <w:rPr>
          <w:rFonts w:hAnsi="宋体"/>
          <w:kern w:val="0"/>
          <w:szCs w:val="21"/>
        </w:rPr>
        <w:t>杂种优势的</w:t>
      </w:r>
      <w:r>
        <w:rPr>
          <w:rFonts w:hAnsi="宋体" w:hint="eastAsia"/>
          <w:kern w:val="0"/>
          <w:szCs w:val="21"/>
        </w:rPr>
        <w:t>遗传机理</w:t>
      </w:r>
      <w:r>
        <w:rPr>
          <w:rFonts w:ascii="宋体" w:hAnsi="宋体" w:cs="宋体" w:hint="eastAsia"/>
          <w:kern w:val="0"/>
          <w:szCs w:val="21"/>
        </w:rPr>
        <w:t>为本节难点。</w:t>
      </w:r>
    </w:p>
    <w:p w14:paraId="7B4CE16A"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4F7092BF"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w:t>
      </w:r>
      <w:r>
        <w:rPr>
          <w:rFonts w:hAnsi="宋体"/>
          <w:kern w:val="0"/>
          <w:szCs w:val="21"/>
        </w:rPr>
        <w:t>杂种优势的概念</w:t>
      </w:r>
      <w:r>
        <w:rPr>
          <w:rFonts w:hAnsi="宋体" w:hint="eastAsia"/>
          <w:kern w:val="0"/>
          <w:szCs w:val="21"/>
        </w:rPr>
        <w:t>、</w:t>
      </w:r>
      <w:r>
        <w:rPr>
          <w:rFonts w:hAnsi="宋体"/>
          <w:kern w:val="0"/>
          <w:szCs w:val="21"/>
        </w:rPr>
        <w:t>基本特点</w:t>
      </w:r>
      <w:r>
        <w:rPr>
          <w:rFonts w:hAnsi="宋体" w:hint="eastAsia"/>
          <w:kern w:val="0"/>
          <w:szCs w:val="21"/>
        </w:rPr>
        <w:t>、遗传理论。</w:t>
      </w:r>
    </w:p>
    <w:p w14:paraId="2CBA9150"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要求学生掌握</w:t>
      </w:r>
      <w:r>
        <w:rPr>
          <w:rFonts w:hAnsi="宋体"/>
          <w:kern w:val="0"/>
          <w:szCs w:val="21"/>
        </w:rPr>
        <w:t>杂种优势的概念</w:t>
      </w:r>
      <w:r>
        <w:rPr>
          <w:rFonts w:hAnsi="宋体" w:hint="eastAsia"/>
          <w:kern w:val="0"/>
          <w:szCs w:val="21"/>
        </w:rPr>
        <w:t>和</w:t>
      </w:r>
      <w:r>
        <w:rPr>
          <w:rFonts w:hAnsi="宋体"/>
          <w:kern w:val="0"/>
          <w:szCs w:val="21"/>
        </w:rPr>
        <w:t>基本特点</w:t>
      </w:r>
      <w:r>
        <w:rPr>
          <w:rFonts w:hAnsi="宋体" w:hint="eastAsia"/>
          <w:kern w:val="0"/>
          <w:szCs w:val="21"/>
        </w:rPr>
        <w:t>，熟练掌握</w:t>
      </w:r>
      <w:r>
        <w:rPr>
          <w:rFonts w:hAnsi="宋体"/>
          <w:kern w:val="0"/>
          <w:szCs w:val="21"/>
        </w:rPr>
        <w:t>杂种优势的</w:t>
      </w:r>
      <w:r>
        <w:rPr>
          <w:rFonts w:hAnsi="宋体" w:hint="eastAsia"/>
          <w:kern w:val="0"/>
          <w:szCs w:val="21"/>
        </w:rPr>
        <w:t>遗传理论。</w:t>
      </w:r>
    </w:p>
    <w:p w14:paraId="0C65816F" w14:textId="77777777" w:rsidR="00F5289E" w:rsidRDefault="00C91173">
      <w:pPr>
        <w:widowControl/>
        <w:snapToGrid w:val="0"/>
        <w:spacing w:line="360" w:lineRule="auto"/>
        <w:rPr>
          <w:rFonts w:hAnsi="宋体"/>
          <w:kern w:val="0"/>
          <w:szCs w:val="21"/>
        </w:rPr>
      </w:pPr>
      <w:r>
        <w:rPr>
          <w:rFonts w:ascii="宋体" w:hAnsi="宋体" w:hint="eastAsia"/>
          <w:b/>
          <w:bCs/>
        </w:rPr>
        <w:t>教学组织与实施：</w:t>
      </w:r>
      <w:r>
        <w:rPr>
          <w:rFonts w:ascii="宋体" w:hAnsi="宋体" w:hint="eastAsia"/>
        </w:rPr>
        <w:t>本节</w:t>
      </w:r>
      <w:r>
        <w:rPr>
          <w:rFonts w:hAnsi="宋体" w:hint="eastAsia"/>
          <w:kern w:val="0"/>
          <w:szCs w:val="21"/>
        </w:rPr>
        <w:t>通过课堂讲授，让学生深入理解</w:t>
      </w:r>
      <w:r>
        <w:rPr>
          <w:rFonts w:hAnsi="宋体"/>
          <w:kern w:val="0"/>
          <w:szCs w:val="21"/>
        </w:rPr>
        <w:t>杂种优势</w:t>
      </w:r>
      <w:r>
        <w:rPr>
          <w:rFonts w:hAnsi="宋体" w:hint="eastAsia"/>
          <w:kern w:val="0"/>
          <w:szCs w:val="21"/>
        </w:rPr>
        <w:t>的遗传理论，并通过习题测试学生的掌握情况。</w:t>
      </w:r>
    </w:p>
    <w:p w14:paraId="2D232ADC" w14:textId="77777777" w:rsidR="00F5289E" w:rsidRDefault="00C91173">
      <w:pPr>
        <w:snapToGrid w:val="0"/>
        <w:spacing w:line="360" w:lineRule="auto"/>
        <w:rPr>
          <w:rFonts w:hAnsi="宋体"/>
          <w:kern w:val="0"/>
          <w:szCs w:val="21"/>
        </w:rPr>
      </w:pPr>
      <w:r>
        <w:rPr>
          <w:rFonts w:ascii="宋体" w:hAnsi="宋体" w:hint="eastAsia"/>
          <w:b/>
          <w:bCs/>
        </w:rPr>
        <w:t>第三节  近亲繁殖与杂种优势在园艺植物育种中的应用（</w:t>
      </w:r>
      <w:r>
        <w:rPr>
          <w:b/>
          <w:bCs/>
        </w:rPr>
        <w:t>0.5</w:t>
      </w:r>
      <w:r>
        <w:rPr>
          <w:rFonts w:ascii="宋体" w:hAnsi="宋体" w:hint="eastAsia"/>
          <w:b/>
          <w:bCs/>
        </w:rPr>
        <w:t>学时）</w:t>
      </w:r>
    </w:p>
    <w:p w14:paraId="393001DB"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介绍近亲繁殖在自花授粉作物和异花授粉作物育种中的利用方式，以及在杂种优势利用过程中应注意的问题。</w:t>
      </w:r>
    </w:p>
    <w:p w14:paraId="01C3F06D" w14:textId="77777777" w:rsidR="00F5289E" w:rsidRDefault="00C91173">
      <w:pPr>
        <w:widowControl/>
        <w:snapToGrid w:val="0"/>
        <w:spacing w:line="360" w:lineRule="auto"/>
        <w:rPr>
          <w:rFonts w:hAnsi="宋体"/>
          <w:kern w:val="0"/>
          <w:szCs w:val="21"/>
        </w:rPr>
      </w:pPr>
      <w:r>
        <w:rPr>
          <w:rFonts w:ascii="宋体" w:hAnsi="宋体" w:hint="eastAsia"/>
          <w:b/>
          <w:bCs/>
        </w:rPr>
        <w:t>教学重点和难点：</w:t>
      </w:r>
      <w:r>
        <w:rPr>
          <w:rFonts w:ascii="宋体" w:hAnsi="宋体" w:hint="eastAsia"/>
        </w:rPr>
        <w:t>近亲繁殖与杂种优势在园艺植物育种中的应用为本节的重点和难点。</w:t>
      </w:r>
    </w:p>
    <w:p w14:paraId="54EB2C1C"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D0815F3"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lastRenderedPageBreak/>
        <w:t>主要介绍</w:t>
      </w:r>
      <w:r>
        <w:rPr>
          <w:rFonts w:hAnsi="宋体"/>
          <w:kern w:val="0"/>
          <w:szCs w:val="21"/>
        </w:rPr>
        <w:t>近亲繁殖在自花授粉作物和异花授粉作物育种中的利用特点以及杂种优势利用过程中应注意的问题</w:t>
      </w:r>
      <w:r>
        <w:rPr>
          <w:rFonts w:hAnsi="宋体" w:hint="eastAsia"/>
          <w:kern w:val="0"/>
          <w:szCs w:val="21"/>
        </w:rPr>
        <w:t>。</w:t>
      </w:r>
    </w:p>
    <w:p w14:paraId="1A3EEBB6"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要求学生掌握</w:t>
      </w:r>
      <w:r>
        <w:rPr>
          <w:rFonts w:ascii="宋体" w:hAnsi="宋体" w:hint="eastAsia"/>
        </w:rPr>
        <w:t>近亲繁殖与杂种优势在园艺植物育种中的应用。</w:t>
      </w:r>
    </w:p>
    <w:p w14:paraId="7AE57630" w14:textId="77777777" w:rsidR="00F5289E" w:rsidRDefault="00C91173">
      <w:pPr>
        <w:widowControl/>
        <w:snapToGrid w:val="0"/>
        <w:spacing w:line="360" w:lineRule="auto"/>
        <w:rPr>
          <w:rFonts w:hAnsi="宋体"/>
          <w:kern w:val="0"/>
          <w:szCs w:val="21"/>
        </w:rPr>
      </w:pPr>
      <w:r>
        <w:rPr>
          <w:rFonts w:ascii="宋体" w:hAnsi="宋体" w:hint="eastAsia"/>
          <w:b/>
          <w:bCs/>
        </w:rPr>
        <w:t>教学组织与实施：</w:t>
      </w:r>
      <w:r>
        <w:rPr>
          <w:rFonts w:ascii="宋体" w:hAnsi="宋体" w:hint="eastAsia"/>
        </w:rPr>
        <w:t>本章</w:t>
      </w:r>
      <w:r>
        <w:rPr>
          <w:rFonts w:hAnsi="宋体" w:hint="eastAsia"/>
          <w:kern w:val="0"/>
          <w:szCs w:val="21"/>
        </w:rPr>
        <w:t>通过课堂讲授，让学生掌握</w:t>
      </w:r>
      <w:r>
        <w:rPr>
          <w:rFonts w:ascii="宋体" w:hAnsi="宋体" w:hint="eastAsia"/>
        </w:rPr>
        <w:t>近亲繁殖与杂种优势在园艺植物育种中的应用，</w:t>
      </w:r>
      <w:r>
        <w:rPr>
          <w:rFonts w:hAnsi="宋体" w:hint="eastAsia"/>
          <w:kern w:val="0"/>
          <w:szCs w:val="21"/>
        </w:rPr>
        <w:t>并通过习题测试了解学生的掌握情况。</w:t>
      </w:r>
    </w:p>
    <w:p w14:paraId="4FF3FDCE" w14:textId="77777777" w:rsidR="00F5289E" w:rsidRDefault="00C91173">
      <w:pPr>
        <w:widowControl/>
        <w:wordWrap w:val="0"/>
        <w:snapToGrid w:val="0"/>
        <w:spacing w:line="360" w:lineRule="auto"/>
        <w:jc w:val="center"/>
        <w:rPr>
          <w:kern w:val="0"/>
          <w:szCs w:val="21"/>
        </w:rPr>
      </w:pPr>
      <w:r>
        <w:rPr>
          <w:rFonts w:hAnsi="宋体" w:hint="eastAsia"/>
          <w:b/>
          <w:bCs/>
          <w:kern w:val="0"/>
          <w:szCs w:val="21"/>
        </w:rPr>
        <w:t xml:space="preserve">                          </w:t>
      </w:r>
      <w:r>
        <w:rPr>
          <w:rStyle w:val="aff1"/>
          <w:rFonts w:hint="eastAsia"/>
        </w:rPr>
        <w:t xml:space="preserve"> </w:t>
      </w:r>
      <w:r>
        <w:rPr>
          <w:rFonts w:hAnsi="宋体"/>
          <w:b/>
          <w:bCs/>
          <w:kern w:val="0"/>
          <w:szCs w:val="21"/>
        </w:rPr>
        <w:t>第</w:t>
      </w:r>
      <w:r>
        <w:rPr>
          <w:rFonts w:hAnsi="宋体" w:hint="eastAsia"/>
          <w:b/>
          <w:bCs/>
          <w:kern w:val="0"/>
          <w:szCs w:val="21"/>
        </w:rPr>
        <w:t>六</w:t>
      </w:r>
      <w:r>
        <w:rPr>
          <w:rFonts w:hAnsi="宋体"/>
          <w:b/>
          <w:bCs/>
          <w:kern w:val="0"/>
          <w:szCs w:val="21"/>
        </w:rPr>
        <w:t>章</w:t>
      </w:r>
      <w:r>
        <w:rPr>
          <w:b/>
          <w:bCs/>
          <w:kern w:val="0"/>
          <w:szCs w:val="21"/>
        </w:rPr>
        <w:t>     </w:t>
      </w:r>
      <w:r>
        <w:rPr>
          <w:rFonts w:hAnsi="宋体" w:hint="eastAsia"/>
          <w:b/>
          <w:bCs/>
          <w:kern w:val="0"/>
          <w:szCs w:val="21"/>
        </w:rPr>
        <w:t>遗传物质的变异</w:t>
      </w:r>
      <w:r>
        <w:rPr>
          <w:rFonts w:hAnsi="宋体" w:hint="eastAsia"/>
          <w:b/>
          <w:bCs/>
          <w:kern w:val="0"/>
          <w:szCs w:val="21"/>
        </w:rPr>
        <w:t xml:space="preserve">    </w:t>
      </w:r>
      <w:r>
        <w:rPr>
          <w:rFonts w:hAnsi="宋体"/>
          <w:b/>
          <w:bCs/>
          <w:kern w:val="0"/>
          <w:szCs w:val="21"/>
        </w:rPr>
        <w:t xml:space="preserve">           </w:t>
      </w:r>
      <w:r>
        <w:rPr>
          <w:rFonts w:hAnsi="宋体" w:hint="eastAsia"/>
          <w:b/>
          <w:bCs/>
          <w:kern w:val="0"/>
          <w:szCs w:val="21"/>
        </w:rPr>
        <w:t xml:space="preserve">       </w:t>
      </w:r>
      <w:r>
        <w:rPr>
          <w:rFonts w:hAnsi="宋体"/>
          <w:b/>
          <w:bCs/>
          <w:kern w:val="0"/>
          <w:szCs w:val="21"/>
        </w:rPr>
        <w:t>学时</w:t>
      </w:r>
      <w:r>
        <w:rPr>
          <w:rFonts w:hAnsi="宋体" w:hint="eastAsia"/>
          <w:b/>
          <w:bCs/>
          <w:kern w:val="0"/>
          <w:szCs w:val="21"/>
        </w:rPr>
        <w:t>数：</w:t>
      </w:r>
      <w:r>
        <w:rPr>
          <w:rFonts w:hAnsi="宋体"/>
          <w:b/>
          <w:bCs/>
          <w:kern w:val="0"/>
          <w:szCs w:val="21"/>
        </w:rPr>
        <w:t>3</w:t>
      </w:r>
    </w:p>
    <w:p w14:paraId="5E5CB71A" w14:textId="77777777" w:rsidR="00F5289E" w:rsidRDefault="00C91173" w:rsidP="00A115EF">
      <w:pPr>
        <w:pStyle w:val="afd"/>
        <w:numPr>
          <w:ilvl w:val="0"/>
          <w:numId w:val="43"/>
        </w:numPr>
        <w:snapToGrid w:val="0"/>
        <w:spacing w:line="360" w:lineRule="auto"/>
        <w:ind w:firstLineChars="0"/>
        <w:rPr>
          <w:rFonts w:ascii="宋体" w:hAnsi="宋体"/>
          <w:b/>
          <w:bCs/>
        </w:rPr>
      </w:pPr>
      <w:r>
        <w:rPr>
          <w:rFonts w:ascii="宋体" w:hAnsi="宋体"/>
          <w:b/>
          <w:bCs/>
        </w:rPr>
        <w:t>基因突变</w:t>
      </w:r>
      <w:r>
        <w:rPr>
          <w:rFonts w:ascii="宋体" w:hAnsi="宋体" w:hint="eastAsia"/>
          <w:b/>
          <w:bCs/>
        </w:rPr>
        <w:t>（</w:t>
      </w:r>
      <w:r>
        <w:rPr>
          <w:b/>
          <w:bCs/>
        </w:rPr>
        <w:t>1</w:t>
      </w:r>
      <w:r>
        <w:rPr>
          <w:rFonts w:ascii="宋体" w:hAnsi="宋体" w:hint="eastAsia"/>
          <w:b/>
          <w:bCs/>
        </w:rPr>
        <w:t>学时）</w:t>
      </w:r>
    </w:p>
    <w:p w14:paraId="25E95689"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cs="宋体" w:hint="eastAsia"/>
          <w:kern w:val="0"/>
          <w:szCs w:val="21"/>
        </w:rPr>
        <w:t>通过学习基因突变的时期和一般特征、基因突变的分子机制及诱发方法</w:t>
      </w:r>
      <w:r>
        <w:rPr>
          <w:rFonts w:hAnsi="宋体" w:hint="eastAsia"/>
          <w:kern w:val="0"/>
          <w:szCs w:val="21"/>
        </w:rPr>
        <w:t>，为园艺植物诱变育种奠定基础。</w:t>
      </w:r>
    </w:p>
    <w:p w14:paraId="03A98371"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如何对基因突变进行鉴定、</w:t>
      </w:r>
      <w:r>
        <w:rPr>
          <w:rFonts w:ascii="宋体" w:hAnsi="宋体" w:cs="宋体"/>
          <w:kern w:val="0"/>
          <w:szCs w:val="21"/>
        </w:rPr>
        <w:t>基因突变的分子基础。</w:t>
      </w:r>
    </w:p>
    <w:p w14:paraId="192425F9"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p>
    <w:p w14:paraId="1AD18379" w14:textId="77777777" w:rsidR="00F5289E" w:rsidRDefault="00C91173">
      <w:pPr>
        <w:pStyle w:val="a7"/>
        <w:snapToGrid w:val="0"/>
        <w:spacing w:line="360" w:lineRule="auto"/>
        <w:rPr>
          <w:rFonts w:ascii="宋体" w:hAnsi="宋体"/>
        </w:rPr>
      </w:pPr>
      <w:r>
        <w:rPr>
          <w:rFonts w:ascii="宋体" w:hAnsi="宋体" w:hint="eastAsia"/>
        </w:rPr>
        <w:t>本节主要讲述基因突变的时期和特征、基因突变与性状表现、基因突变的鉴定、基因突变的分子基础、基因突变的诱发。</w:t>
      </w:r>
    </w:p>
    <w:p w14:paraId="72AD6D67" w14:textId="77777777" w:rsidR="00F5289E" w:rsidRDefault="00C91173">
      <w:pPr>
        <w:pStyle w:val="a7"/>
        <w:snapToGrid w:val="0"/>
        <w:spacing w:line="360" w:lineRule="auto"/>
        <w:rPr>
          <w:rFonts w:ascii="宋体" w:hAnsi="宋体"/>
        </w:rPr>
      </w:pPr>
      <w:r>
        <w:rPr>
          <w:rFonts w:ascii="宋体" w:hAnsi="宋体" w:hint="eastAsia"/>
        </w:rPr>
        <w:t>要求学生了解基因突变的诱发、生化突变的鉴定；理解基因突变与性状表现，基因突变的分子基础；掌握植物基因突变的鉴定；熟练掌握基因突变的概念、基因突变的一般特征。</w:t>
      </w:r>
    </w:p>
    <w:p w14:paraId="024B0E52"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课前讨论：自然界中什么样的现象可能属于基因突变？大量图片展示基因突变的实例。课程内容讲述。</w:t>
      </w:r>
    </w:p>
    <w:p w14:paraId="147103AF" w14:textId="77777777" w:rsidR="00F5289E" w:rsidRDefault="00C91173" w:rsidP="00A115EF">
      <w:pPr>
        <w:pStyle w:val="afd"/>
        <w:numPr>
          <w:ilvl w:val="0"/>
          <w:numId w:val="43"/>
        </w:numPr>
        <w:snapToGrid w:val="0"/>
        <w:spacing w:line="360" w:lineRule="auto"/>
        <w:ind w:firstLineChars="0"/>
        <w:rPr>
          <w:rFonts w:ascii="宋体" w:hAnsi="宋体"/>
          <w:b/>
          <w:bCs/>
        </w:rPr>
      </w:pPr>
      <w:r>
        <w:rPr>
          <w:rFonts w:ascii="宋体" w:hAnsi="宋体"/>
          <w:b/>
          <w:bCs/>
        </w:rPr>
        <w:t>染色体结</w:t>
      </w:r>
      <w:r>
        <w:rPr>
          <w:rFonts w:hAnsi="宋体"/>
          <w:b/>
          <w:bCs/>
          <w:kern w:val="0"/>
          <w:szCs w:val="21"/>
        </w:rPr>
        <w:t>构变异</w:t>
      </w:r>
      <w:r>
        <w:rPr>
          <w:rFonts w:ascii="宋体" w:hAnsi="宋体" w:hint="eastAsia"/>
          <w:b/>
          <w:bCs/>
        </w:rPr>
        <w:t>（</w:t>
      </w:r>
      <w:r>
        <w:rPr>
          <w:b/>
          <w:bCs/>
        </w:rPr>
        <w:t>1</w:t>
      </w:r>
      <w:r>
        <w:rPr>
          <w:rFonts w:ascii="宋体" w:hAnsi="宋体" w:hint="eastAsia"/>
          <w:b/>
          <w:bCs/>
        </w:rPr>
        <w:t>学时）</w:t>
      </w:r>
    </w:p>
    <w:p w14:paraId="4EA70447" w14:textId="77777777" w:rsidR="00F5289E" w:rsidRDefault="00C91173">
      <w:pPr>
        <w:widowControl/>
        <w:snapToGrid w:val="0"/>
        <w:spacing w:line="360" w:lineRule="auto"/>
        <w:rPr>
          <w:rFonts w:ascii="宋体" w:hAnsi="宋体" w:cs="宋体"/>
          <w:kern w:val="0"/>
          <w:szCs w:val="21"/>
        </w:rPr>
      </w:pPr>
      <w:r>
        <w:rPr>
          <w:rFonts w:ascii="宋体" w:hAnsi="宋体" w:hint="eastAsia"/>
          <w:b/>
          <w:bCs/>
        </w:rPr>
        <w:t>教学目标：</w:t>
      </w:r>
      <w:r>
        <w:rPr>
          <w:rFonts w:hAnsi="宋体" w:hint="eastAsia"/>
          <w:kern w:val="0"/>
          <w:szCs w:val="21"/>
        </w:rPr>
        <w:t>通过对染色体结构变异理论的学习，为园艺植物选择育种理论学习奠定基础。</w:t>
      </w:r>
    </w:p>
    <w:p w14:paraId="785BEF0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hAnsi="宋体" w:hint="eastAsia"/>
          <w:kern w:val="0"/>
          <w:szCs w:val="21"/>
        </w:rPr>
        <w:t>染色体结构变异的概念、类型、形成原因和遗传效应；染色体数目变异</w:t>
      </w:r>
      <w:r>
        <w:rPr>
          <w:rFonts w:hAnsi="宋体"/>
          <w:kern w:val="0"/>
          <w:szCs w:val="21"/>
        </w:rPr>
        <w:t>的概念</w:t>
      </w:r>
      <w:r>
        <w:rPr>
          <w:rFonts w:hAnsi="宋体" w:hint="eastAsia"/>
          <w:kern w:val="0"/>
          <w:szCs w:val="21"/>
        </w:rPr>
        <w:t>、形成途径、</w:t>
      </w:r>
      <w:r>
        <w:rPr>
          <w:rFonts w:hAnsi="宋体"/>
          <w:kern w:val="0"/>
          <w:szCs w:val="21"/>
        </w:rPr>
        <w:t>特点</w:t>
      </w:r>
      <w:r>
        <w:rPr>
          <w:rFonts w:hAnsi="宋体" w:hint="eastAsia"/>
          <w:kern w:val="0"/>
          <w:szCs w:val="21"/>
        </w:rPr>
        <w:t>以及</w:t>
      </w:r>
      <w:r>
        <w:rPr>
          <w:rFonts w:hAnsi="宋体"/>
          <w:kern w:val="0"/>
          <w:szCs w:val="21"/>
        </w:rPr>
        <w:t>人工诱导多倍体的应用</w:t>
      </w:r>
      <w:r>
        <w:rPr>
          <w:rFonts w:hAnsi="宋体" w:hint="eastAsia"/>
          <w:kern w:val="0"/>
          <w:szCs w:val="21"/>
        </w:rPr>
        <w:t>。</w:t>
      </w:r>
      <w:r>
        <w:rPr>
          <w:rFonts w:ascii="宋体" w:hAnsi="宋体" w:cs="宋体" w:hint="eastAsia"/>
          <w:kern w:val="0"/>
          <w:szCs w:val="21"/>
        </w:rPr>
        <w:t>其中</w:t>
      </w:r>
      <w:r>
        <w:rPr>
          <w:rFonts w:hAnsi="宋体" w:hint="eastAsia"/>
          <w:kern w:val="0"/>
          <w:szCs w:val="21"/>
        </w:rPr>
        <w:t>染色体结构变异的遗传效应为</w:t>
      </w:r>
      <w:r>
        <w:rPr>
          <w:rFonts w:ascii="宋体" w:hAnsi="宋体" w:cs="宋体" w:hint="eastAsia"/>
          <w:kern w:val="0"/>
          <w:szCs w:val="21"/>
        </w:rPr>
        <w:t>其难点。</w:t>
      </w:r>
    </w:p>
    <w:p w14:paraId="79ED0A0C"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15A764F9"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主要介绍缺失、重复、倒位、易位染色体的概念、类型、形成原因和遗传效应。</w:t>
      </w:r>
    </w:p>
    <w:p w14:paraId="51D96C9D"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要求学生了解染色体结构变异和染色体数目变异的类型，理解染色体结构变异和数目变异的发生原因，掌握</w:t>
      </w:r>
      <w:r>
        <w:rPr>
          <w:rFonts w:hAnsi="宋体"/>
          <w:kern w:val="0"/>
          <w:szCs w:val="21"/>
        </w:rPr>
        <w:t>染色体变异的</w:t>
      </w:r>
      <w:r>
        <w:rPr>
          <w:rFonts w:hAnsi="宋体" w:hint="eastAsia"/>
          <w:kern w:val="0"/>
          <w:szCs w:val="21"/>
        </w:rPr>
        <w:t>原理，熟练掌握染色体变异</w:t>
      </w:r>
      <w:r>
        <w:rPr>
          <w:rFonts w:hAnsi="宋体"/>
          <w:kern w:val="0"/>
          <w:szCs w:val="21"/>
        </w:rPr>
        <w:t>的细胞学特征</w:t>
      </w:r>
      <w:r>
        <w:rPr>
          <w:rFonts w:hAnsi="宋体" w:hint="eastAsia"/>
          <w:kern w:val="0"/>
          <w:szCs w:val="21"/>
        </w:rPr>
        <w:t>。</w:t>
      </w:r>
    </w:p>
    <w:p w14:paraId="1D2899CE"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szCs w:val="20"/>
        </w:rPr>
        <w:t>多媒体，教师主讲。</w:t>
      </w:r>
    </w:p>
    <w:p w14:paraId="39A1345A" w14:textId="77777777" w:rsidR="00F5289E" w:rsidRDefault="00C91173" w:rsidP="00A115EF">
      <w:pPr>
        <w:pStyle w:val="afd"/>
        <w:numPr>
          <w:ilvl w:val="0"/>
          <w:numId w:val="43"/>
        </w:numPr>
        <w:snapToGrid w:val="0"/>
        <w:spacing w:line="360" w:lineRule="auto"/>
        <w:ind w:firstLineChars="0"/>
        <w:rPr>
          <w:rFonts w:ascii="宋体" w:hAnsi="宋体"/>
          <w:b/>
          <w:bCs/>
        </w:rPr>
      </w:pPr>
      <w:r>
        <w:rPr>
          <w:rFonts w:ascii="宋体" w:hAnsi="宋体"/>
          <w:b/>
          <w:bCs/>
        </w:rPr>
        <w:t>染色体</w:t>
      </w:r>
      <w:r>
        <w:rPr>
          <w:rFonts w:hAnsi="宋体"/>
          <w:b/>
          <w:bCs/>
          <w:kern w:val="0"/>
          <w:szCs w:val="21"/>
        </w:rPr>
        <w:t>数目变异</w:t>
      </w:r>
      <w:r>
        <w:rPr>
          <w:rFonts w:ascii="宋体" w:hAnsi="宋体" w:hint="eastAsia"/>
          <w:b/>
          <w:bCs/>
        </w:rPr>
        <w:t>（</w:t>
      </w:r>
      <w:r>
        <w:rPr>
          <w:b/>
          <w:bCs/>
        </w:rPr>
        <w:t>1</w:t>
      </w:r>
      <w:r>
        <w:rPr>
          <w:rFonts w:ascii="宋体" w:hAnsi="宋体" w:hint="eastAsia"/>
          <w:b/>
          <w:bCs/>
        </w:rPr>
        <w:t>学时）</w:t>
      </w:r>
    </w:p>
    <w:p w14:paraId="7862233B" w14:textId="77777777" w:rsidR="00F5289E" w:rsidRDefault="00C91173">
      <w:pPr>
        <w:widowControl/>
        <w:snapToGrid w:val="0"/>
        <w:spacing w:line="360" w:lineRule="auto"/>
        <w:rPr>
          <w:rFonts w:ascii="宋体" w:hAnsi="宋体" w:cs="宋体"/>
          <w:kern w:val="0"/>
          <w:szCs w:val="21"/>
        </w:rPr>
      </w:pPr>
      <w:r>
        <w:rPr>
          <w:rFonts w:ascii="宋体" w:hAnsi="宋体" w:hint="eastAsia"/>
          <w:b/>
          <w:bCs/>
        </w:rPr>
        <w:t>教学目标：</w:t>
      </w:r>
      <w:r>
        <w:rPr>
          <w:rFonts w:hAnsi="宋体" w:hint="eastAsia"/>
          <w:kern w:val="0"/>
          <w:szCs w:val="21"/>
        </w:rPr>
        <w:t>通过对染色体数目变异理论的学习，为园艺植物倍性育种奠定基础。</w:t>
      </w:r>
    </w:p>
    <w:p w14:paraId="67EE73A9"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多倍体和非整倍体染色体减数分裂的行为。多倍体和非整倍体减数分裂后代个体分析。</w:t>
      </w:r>
    </w:p>
    <w:p w14:paraId="41D80385" w14:textId="77777777" w:rsidR="00F5289E" w:rsidRDefault="00C91173">
      <w:pPr>
        <w:pStyle w:val="a7"/>
        <w:snapToGrid w:val="0"/>
        <w:spacing w:line="360" w:lineRule="auto"/>
        <w:ind w:firstLineChars="0" w:firstLine="0"/>
        <w:rPr>
          <w:rFonts w:ascii="宋体" w:hAnsi="宋体"/>
          <w:b/>
        </w:rPr>
      </w:pPr>
      <w:r>
        <w:rPr>
          <w:rFonts w:ascii="宋体" w:hAnsi="宋体" w:hint="eastAsia"/>
          <w:b/>
        </w:rPr>
        <w:t>主要教学内容及要求：</w:t>
      </w:r>
    </w:p>
    <w:p w14:paraId="170BD917" w14:textId="77777777" w:rsidR="00F5289E" w:rsidRDefault="00C91173">
      <w:pPr>
        <w:pStyle w:val="a7"/>
        <w:snapToGrid w:val="0"/>
        <w:spacing w:line="360" w:lineRule="auto"/>
        <w:rPr>
          <w:rFonts w:hAnsi="宋体"/>
          <w:kern w:val="0"/>
          <w:szCs w:val="21"/>
        </w:rPr>
      </w:pPr>
      <w:r>
        <w:rPr>
          <w:rFonts w:hAnsi="宋体" w:hint="eastAsia"/>
          <w:kern w:val="0"/>
          <w:szCs w:val="21"/>
        </w:rPr>
        <w:t>介绍</w:t>
      </w:r>
      <w:r>
        <w:rPr>
          <w:rFonts w:hAnsi="宋体"/>
          <w:kern w:val="0"/>
          <w:szCs w:val="21"/>
        </w:rPr>
        <w:t>染色体组、整倍体、</w:t>
      </w:r>
      <w:r>
        <w:rPr>
          <w:rFonts w:hAnsi="宋体" w:hint="eastAsia"/>
          <w:kern w:val="0"/>
          <w:szCs w:val="21"/>
        </w:rPr>
        <w:t>非整倍体</w:t>
      </w:r>
      <w:r>
        <w:rPr>
          <w:rFonts w:hAnsi="宋体"/>
          <w:kern w:val="0"/>
          <w:szCs w:val="21"/>
        </w:rPr>
        <w:t>的概念</w:t>
      </w:r>
      <w:r>
        <w:rPr>
          <w:rFonts w:hAnsi="宋体" w:hint="eastAsia"/>
          <w:kern w:val="0"/>
          <w:szCs w:val="21"/>
        </w:rPr>
        <w:t>，</w:t>
      </w:r>
      <w:r>
        <w:rPr>
          <w:rFonts w:hAnsi="宋体"/>
          <w:kern w:val="0"/>
          <w:szCs w:val="21"/>
        </w:rPr>
        <w:t>整倍体</w:t>
      </w:r>
      <w:r>
        <w:rPr>
          <w:rFonts w:hAnsi="宋体" w:hint="eastAsia"/>
          <w:kern w:val="0"/>
          <w:szCs w:val="21"/>
        </w:rPr>
        <w:t>和非整倍体</w:t>
      </w:r>
      <w:r>
        <w:rPr>
          <w:rFonts w:hAnsi="宋体"/>
          <w:kern w:val="0"/>
          <w:szCs w:val="21"/>
        </w:rPr>
        <w:t>的</w:t>
      </w:r>
      <w:r>
        <w:rPr>
          <w:rFonts w:hAnsi="宋体" w:hint="eastAsia"/>
          <w:kern w:val="0"/>
          <w:szCs w:val="21"/>
        </w:rPr>
        <w:t>形成途径、染色体</w:t>
      </w:r>
      <w:r>
        <w:rPr>
          <w:rFonts w:hAnsi="宋体"/>
          <w:kern w:val="0"/>
          <w:szCs w:val="21"/>
        </w:rPr>
        <w:t>联会及分离特点</w:t>
      </w:r>
      <w:r>
        <w:rPr>
          <w:rFonts w:hAnsi="宋体" w:hint="eastAsia"/>
          <w:kern w:val="0"/>
          <w:szCs w:val="21"/>
        </w:rPr>
        <w:t>和</w:t>
      </w:r>
      <w:r>
        <w:rPr>
          <w:rFonts w:hAnsi="宋体"/>
          <w:kern w:val="0"/>
          <w:szCs w:val="21"/>
        </w:rPr>
        <w:t>人工诱导多倍体的应用</w:t>
      </w:r>
      <w:r>
        <w:rPr>
          <w:rFonts w:hAnsi="宋体" w:hint="eastAsia"/>
          <w:kern w:val="0"/>
          <w:szCs w:val="21"/>
        </w:rPr>
        <w:t>。</w:t>
      </w:r>
    </w:p>
    <w:p w14:paraId="3C93FDAE" w14:textId="77777777" w:rsidR="00F5289E" w:rsidRDefault="00C91173">
      <w:pPr>
        <w:pStyle w:val="a7"/>
        <w:snapToGrid w:val="0"/>
        <w:spacing w:line="360" w:lineRule="auto"/>
        <w:rPr>
          <w:rFonts w:ascii="宋体" w:hAnsi="宋体"/>
        </w:rPr>
      </w:pPr>
      <w:r>
        <w:rPr>
          <w:rFonts w:ascii="宋体" w:hAnsi="宋体" w:hint="eastAsia"/>
        </w:rPr>
        <w:t>要求学生了解生化突变的鉴定，基因突变的诱发，单倍体的特点；理解多倍体、非整倍体减数</w:t>
      </w:r>
      <w:r>
        <w:rPr>
          <w:rFonts w:ascii="宋体" w:hAnsi="宋体" w:hint="eastAsia"/>
        </w:rPr>
        <w:lastRenderedPageBreak/>
        <w:t>分裂后代个体遗传分析；掌握同源多倍体和异源多倍体的特点。熟练掌握多倍体和非整倍体染色体减数分裂的行为。</w:t>
      </w:r>
    </w:p>
    <w:p w14:paraId="1477CA24" w14:textId="77777777" w:rsidR="00F5289E" w:rsidRDefault="00C91173">
      <w:pPr>
        <w:widowControl/>
        <w:snapToGrid w:val="0"/>
        <w:spacing w:line="360" w:lineRule="auto"/>
        <w:rPr>
          <w:rFonts w:hAnsi="宋体"/>
          <w:kern w:val="0"/>
          <w:szCs w:val="21"/>
        </w:rPr>
      </w:pPr>
      <w:r>
        <w:rPr>
          <w:rFonts w:ascii="宋体" w:hAnsi="宋体" w:hint="eastAsia"/>
          <w:b/>
          <w:bCs/>
        </w:rPr>
        <w:t>教学组织与实施：</w:t>
      </w:r>
      <w:r>
        <w:rPr>
          <w:rFonts w:ascii="宋体" w:hAnsi="宋体" w:hint="eastAsia"/>
          <w:szCs w:val="20"/>
        </w:rPr>
        <w:t>教师主讲，多媒体演示，学生参与讨论。</w:t>
      </w:r>
    </w:p>
    <w:p w14:paraId="529276F5" w14:textId="77777777" w:rsidR="00F5289E" w:rsidRDefault="00C91173">
      <w:pPr>
        <w:widowControl/>
        <w:wordWrap w:val="0"/>
        <w:snapToGrid w:val="0"/>
        <w:spacing w:line="360" w:lineRule="auto"/>
        <w:jc w:val="center"/>
        <w:rPr>
          <w:rFonts w:hAnsi="宋体"/>
          <w:b/>
          <w:bCs/>
          <w:kern w:val="0"/>
          <w:szCs w:val="21"/>
        </w:rPr>
      </w:pPr>
      <w:r>
        <w:rPr>
          <w:rFonts w:hAnsi="宋体" w:hint="eastAsia"/>
          <w:b/>
          <w:bCs/>
          <w:kern w:val="0"/>
          <w:szCs w:val="21"/>
        </w:rPr>
        <w:t xml:space="preserve">                              </w:t>
      </w:r>
      <w:r>
        <w:rPr>
          <w:rFonts w:hAnsi="宋体"/>
          <w:b/>
          <w:bCs/>
          <w:kern w:val="0"/>
          <w:szCs w:val="21"/>
        </w:rPr>
        <w:t>第</w:t>
      </w:r>
      <w:r>
        <w:rPr>
          <w:rFonts w:hAnsi="宋体" w:hint="eastAsia"/>
          <w:b/>
          <w:bCs/>
          <w:kern w:val="0"/>
          <w:szCs w:val="21"/>
        </w:rPr>
        <w:t>七</w:t>
      </w:r>
      <w:r>
        <w:rPr>
          <w:rFonts w:hAnsi="宋体"/>
          <w:b/>
          <w:bCs/>
          <w:kern w:val="0"/>
          <w:szCs w:val="21"/>
        </w:rPr>
        <w:t>章</w:t>
      </w:r>
      <w:r>
        <w:rPr>
          <w:b/>
          <w:bCs/>
          <w:kern w:val="0"/>
          <w:szCs w:val="21"/>
        </w:rPr>
        <w:t>     </w:t>
      </w:r>
      <w:r>
        <w:rPr>
          <w:rFonts w:hAnsi="宋体"/>
          <w:b/>
          <w:bCs/>
          <w:kern w:val="0"/>
          <w:szCs w:val="21"/>
        </w:rPr>
        <w:t>遗传物质</w:t>
      </w:r>
      <w:r>
        <w:rPr>
          <w:b/>
          <w:bCs/>
          <w:kern w:val="0"/>
          <w:szCs w:val="21"/>
        </w:rPr>
        <w:t>的分子基础</w:t>
      </w:r>
      <w:r>
        <w:rPr>
          <w:b/>
          <w:bCs/>
          <w:kern w:val="0"/>
          <w:szCs w:val="21"/>
        </w:rPr>
        <w:t>       </w:t>
      </w:r>
      <w:r>
        <w:rPr>
          <w:rFonts w:hAnsi="宋体" w:hint="eastAsia"/>
          <w:b/>
          <w:bCs/>
          <w:kern w:val="0"/>
          <w:szCs w:val="21"/>
        </w:rPr>
        <w:t xml:space="preserve"> </w:t>
      </w:r>
      <w:r>
        <w:rPr>
          <w:rFonts w:hAnsi="宋体"/>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b/>
          <w:bCs/>
          <w:kern w:val="0"/>
          <w:szCs w:val="21"/>
        </w:rPr>
        <w:t>1</w:t>
      </w:r>
    </w:p>
    <w:p w14:paraId="57EA7177" w14:textId="77777777" w:rsidR="00F5289E" w:rsidRDefault="00C91173">
      <w:pPr>
        <w:snapToGrid w:val="0"/>
        <w:spacing w:line="360" w:lineRule="auto"/>
        <w:rPr>
          <w:rFonts w:ascii="宋体" w:hAnsi="宋体"/>
          <w:b/>
          <w:bCs/>
        </w:rPr>
      </w:pPr>
      <w:r>
        <w:rPr>
          <w:rFonts w:ascii="宋体" w:hAnsi="宋体" w:hint="eastAsia"/>
          <w:b/>
          <w:bCs/>
        </w:rPr>
        <w:t xml:space="preserve">第一节 </w:t>
      </w:r>
      <w:r>
        <w:rPr>
          <w:rFonts w:ascii="宋体" w:hAnsi="宋体"/>
          <w:b/>
          <w:bCs/>
        </w:rPr>
        <w:t xml:space="preserve"> </w:t>
      </w:r>
      <w:r>
        <w:rPr>
          <w:rFonts w:ascii="宋体" w:hAnsi="宋体" w:hint="eastAsia"/>
          <w:b/>
          <w:bCs/>
        </w:rPr>
        <w:t>遗传信息</w:t>
      </w:r>
      <w:r>
        <w:rPr>
          <w:rFonts w:ascii="宋体" w:hAnsi="宋体"/>
          <w:b/>
          <w:bCs/>
        </w:rPr>
        <w:t>及其传递</w:t>
      </w:r>
      <w:r>
        <w:rPr>
          <w:rFonts w:ascii="宋体" w:hAnsi="宋体" w:hint="eastAsia"/>
          <w:b/>
          <w:bCs/>
        </w:rPr>
        <w:t>（</w:t>
      </w:r>
      <w:r>
        <w:rPr>
          <w:rFonts w:ascii="宋体" w:hAnsi="宋体"/>
          <w:b/>
          <w:bCs/>
        </w:rPr>
        <w:t>0.5</w:t>
      </w:r>
      <w:r>
        <w:rPr>
          <w:rFonts w:ascii="宋体" w:hAnsi="宋体" w:hint="eastAsia"/>
          <w:b/>
          <w:bCs/>
        </w:rPr>
        <w:t>学时）</w:t>
      </w:r>
    </w:p>
    <w:p w14:paraId="580FC19D" w14:textId="77777777" w:rsidR="00F5289E" w:rsidRDefault="00C91173">
      <w:pPr>
        <w:widowControl/>
        <w:snapToGrid w:val="0"/>
        <w:spacing w:line="360" w:lineRule="auto"/>
        <w:rPr>
          <w:rFonts w:ascii="宋体" w:hAnsi="宋体" w:cs="宋体"/>
          <w:kern w:val="0"/>
          <w:szCs w:val="21"/>
        </w:rPr>
      </w:pPr>
      <w:r>
        <w:rPr>
          <w:rFonts w:ascii="宋体" w:hAnsi="宋体" w:hint="eastAsia"/>
          <w:b/>
          <w:bCs/>
        </w:rPr>
        <w:t>教学目标：</w:t>
      </w:r>
      <w:r>
        <w:rPr>
          <w:rFonts w:hAnsi="宋体" w:hint="eastAsia"/>
          <w:kern w:val="0"/>
          <w:szCs w:val="21"/>
        </w:rPr>
        <w:t>通过对</w:t>
      </w:r>
      <w:r>
        <w:rPr>
          <w:rFonts w:hAnsi="宋体"/>
          <w:kern w:val="0"/>
          <w:szCs w:val="21"/>
        </w:rPr>
        <w:t>遗传物质分子基础</w:t>
      </w:r>
      <w:r>
        <w:rPr>
          <w:rFonts w:hAnsi="宋体" w:hint="eastAsia"/>
          <w:kern w:val="0"/>
          <w:szCs w:val="21"/>
        </w:rPr>
        <w:t>的学习，为园艺植物分子育种理论学习奠定基础。</w:t>
      </w:r>
    </w:p>
    <w:p w14:paraId="6F8386A3"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D</w:t>
      </w:r>
      <w:r>
        <w:rPr>
          <w:rFonts w:ascii="宋体" w:hAnsi="宋体" w:cs="宋体"/>
          <w:kern w:val="0"/>
          <w:szCs w:val="21"/>
        </w:rPr>
        <w:t>NA</w:t>
      </w:r>
      <w:r>
        <w:rPr>
          <w:rFonts w:ascii="宋体" w:hAnsi="宋体" w:cs="宋体" w:hint="eastAsia"/>
          <w:kern w:val="0"/>
          <w:szCs w:val="21"/>
        </w:rPr>
        <w:t>半保留复制的过程，</w:t>
      </w:r>
      <w:r>
        <w:rPr>
          <w:rFonts w:ascii="宋体" w:hAnsi="宋体" w:cs="宋体"/>
          <w:kern w:val="0"/>
          <w:szCs w:val="21"/>
        </w:rPr>
        <w:t>RNA</w:t>
      </w:r>
      <w:r>
        <w:rPr>
          <w:rFonts w:ascii="宋体" w:hAnsi="宋体" w:cs="宋体" w:hint="eastAsia"/>
          <w:kern w:val="0"/>
          <w:szCs w:val="21"/>
        </w:rPr>
        <w:t>的转录及加工过程，蛋白质翻译过程。</w:t>
      </w:r>
    </w:p>
    <w:p w14:paraId="23D11CEB"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p>
    <w:p w14:paraId="284F2708" w14:textId="77777777" w:rsidR="00F5289E" w:rsidRDefault="00C91173">
      <w:pPr>
        <w:pStyle w:val="a7"/>
        <w:snapToGrid w:val="0"/>
        <w:spacing w:line="360" w:lineRule="auto"/>
        <w:rPr>
          <w:rFonts w:ascii="宋体" w:hAnsi="宋体" w:cs="宋体"/>
          <w:kern w:val="0"/>
          <w:szCs w:val="21"/>
        </w:rPr>
      </w:pPr>
      <w:r>
        <w:rPr>
          <w:rFonts w:ascii="宋体" w:hAnsi="宋体" w:hint="eastAsia"/>
        </w:rPr>
        <w:t>主要介绍</w:t>
      </w:r>
      <w:r>
        <w:rPr>
          <w:rFonts w:ascii="宋体" w:hAnsi="宋体" w:cs="宋体"/>
          <w:kern w:val="0"/>
          <w:szCs w:val="21"/>
        </w:rPr>
        <w:t>DNA</w:t>
      </w:r>
      <w:r>
        <w:rPr>
          <w:rFonts w:ascii="宋体" w:hAnsi="宋体" w:cs="宋体" w:hint="eastAsia"/>
          <w:kern w:val="0"/>
          <w:szCs w:val="21"/>
        </w:rPr>
        <w:t>作为主要遗传物质的证据、核酸的化学结构与自我复制、RNA的转录和加工、</w:t>
      </w:r>
      <w:r>
        <w:rPr>
          <w:rFonts w:ascii="宋体" w:hAnsi="宋体" w:cs="宋体"/>
          <w:kern w:val="0"/>
          <w:szCs w:val="21"/>
        </w:rPr>
        <w:t>蛋白质的翻译</w:t>
      </w:r>
      <w:r>
        <w:rPr>
          <w:rFonts w:ascii="宋体" w:hAnsi="宋体" w:cs="宋体" w:hint="eastAsia"/>
          <w:kern w:val="0"/>
          <w:szCs w:val="21"/>
        </w:rPr>
        <w:t>。</w:t>
      </w:r>
    </w:p>
    <w:p w14:paraId="7F993891" w14:textId="77777777" w:rsidR="00F5289E" w:rsidRDefault="00C91173">
      <w:pPr>
        <w:pStyle w:val="a7"/>
        <w:snapToGrid w:val="0"/>
        <w:spacing w:line="360" w:lineRule="auto"/>
        <w:rPr>
          <w:rFonts w:ascii="宋体" w:hAnsi="宋体" w:cs="宋体"/>
          <w:kern w:val="0"/>
          <w:szCs w:val="21"/>
        </w:rPr>
      </w:pPr>
      <w:r>
        <w:rPr>
          <w:rFonts w:ascii="宋体" w:hAnsi="宋体" w:hint="eastAsia"/>
        </w:rPr>
        <w:t>要求学生了解D</w:t>
      </w:r>
      <w:r>
        <w:rPr>
          <w:rFonts w:ascii="宋体" w:hAnsi="宋体"/>
        </w:rPr>
        <w:t>NA</w:t>
      </w:r>
      <w:r>
        <w:rPr>
          <w:rFonts w:ascii="宋体" w:hAnsi="宋体" w:hint="eastAsia"/>
        </w:rPr>
        <w:t>双螺旋结构发现历程、D</w:t>
      </w:r>
      <w:r>
        <w:rPr>
          <w:rFonts w:ascii="宋体" w:hAnsi="宋体"/>
        </w:rPr>
        <w:t>NA</w:t>
      </w:r>
      <w:r>
        <w:rPr>
          <w:rFonts w:ascii="宋体" w:hAnsi="宋体" w:hint="eastAsia"/>
        </w:rPr>
        <w:t>双螺旋的不同构型、DNA作为主要遗传物质的证据。理解</w:t>
      </w:r>
      <w:r>
        <w:rPr>
          <w:rFonts w:ascii="宋体" w:hAnsi="宋体" w:cs="宋体" w:hint="eastAsia"/>
          <w:kern w:val="0"/>
          <w:szCs w:val="21"/>
        </w:rPr>
        <w:t>DNA遗传密码的特点、蛋白质翻译过程。</w:t>
      </w:r>
      <w:r>
        <w:rPr>
          <w:rFonts w:ascii="宋体" w:hAnsi="宋体" w:hint="eastAsia"/>
        </w:rPr>
        <w:t>掌握</w:t>
      </w:r>
      <w:r>
        <w:rPr>
          <w:rFonts w:ascii="宋体" w:hAnsi="宋体" w:cs="宋体"/>
          <w:kern w:val="0"/>
          <w:szCs w:val="21"/>
        </w:rPr>
        <w:t>RNA</w:t>
      </w:r>
      <w:r>
        <w:rPr>
          <w:rFonts w:ascii="宋体" w:hAnsi="宋体" w:cs="宋体" w:hint="eastAsia"/>
          <w:kern w:val="0"/>
          <w:szCs w:val="21"/>
        </w:rPr>
        <w:t>的转录及加工过程。</w:t>
      </w:r>
      <w:r>
        <w:rPr>
          <w:rFonts w:ascii="宋体" w:hAnsi="宋体" w:hint="eastAsia"/>
        </w:rPr>
        <w:t>熟练掌握</w:t>
      </w:r>
      <w:r>
        <w:rPr>
          <w:rFonts w:ascii="宋体" w:hAnsi="宋体" w:cs="宋体" w:hint="eastAsia"/>
          <w:kern w:val="0"/>
          <w:szCs w:val="21"/>
        </w:rPr>
        <w:t>核酸的结构特点及D</w:t>
      </w:r>
      <w:r>
        <w:rPr>
          <w:rFonts w:ascii="宋体" w:hAnsi="宋体" w:cs="宋体"/>
          <w:kern w:val="0"/>
          <w:szCs w:val="21"/>
        </w:rPr>
        <w:t>NA</w:t>
      </w:r>
      <w:r>
        <w:rPr>
          <w:rFonts w:ascii="宋体" w:hAnsi="宋体" w:cs="宋体" w:hint="eastAsia"/>
          <w:kern w:val="0"/>
          <w:szCs w:val="21"/>
        </w:rPr>
        <w:t>双螺旋结构特点、D</w:t>
      </w:r>
      <w:r>
        <w:rPr>
          <w:rFonts w:ascii="宋体" w:hAnsi="宋体" w:cs="宋体"/>
          <w:kern w:val="0"/>
          <w:szCs w:val="21"/>
        </w:rPr>
        <w:t>NA</w:t>
      </w:r>
      <w:r>
        <w:rPr>
          <w:rFonts w:ascii="宋体" w:hAnsi="宋体" w:cs="宋体" w:hint="eastAsia"/>
          <w:kern w:val="0"/>
          <w:szCs w:val="21"/>
        </w:rPr>
        <w:t>半保留复制特点。</w:t>
      </w:r>
    </w:p>
    <w:p w14:paraId="341C0AA3" w14:textId="77777777" w:rsidR="00F5289E" w:rsidRDefault="00C91173">
      <w:pPr>
        <w:widowControl/>
        <w:snapToGrid w:val="0"/>
        <w:spacing w:line="360" w:lineRule="auto"/>
        <w:rPr>
          <w:kern w:val="0"/>
          <w:szCs w:val="21"/>
        </w:rPr>
      </w:pPr>
      <w:r>
        <w:rPr>
          <w:rFonts w:ascii="宋体" w:hAnsi="宋体" w:hint="eastAsia"/>
          <w:b/>
          <w:bCs/>
        </w:rPr>
        <w:t>教学组织与实施：</w:t>
      </w:r>
      <w:r>
        <w:rPr>
          <w:rFonts w:ascii="宋体" w:hAnsi="宋体" w:hint="eastAsia"/>
          <w:szCs w:val="20"/>
        </w:rPr>
        <w:t>教师主讲，多媒体演示</w:t>
      </w:r>
      <w:r>
        <w:rPr>
          <w:rFonts w:ascii="宋体" w:hAnsi="宋体" w:cs="宋体"/>
          <w:kern w:val="0"/>
          <w:szCs w:val="21"/>
        </w:rPr>
        <w:t>。</w:t>
      </w:r>
      <w:r>
        <w:rPr>
          <w:rFonts w:ascii="宋体" w:hAnsi="宋体" w:cs="宋体" w:hint="eastAsia"/>
          <w:kern w:val="0"/>
          <w:szCs w:val="21"/>
        </w:rPr>
        <w:t>动画展示D</w:t>
      </w:r>
      <w:r>
        <w:rPr>
          <w:rFonts w:ascii="宋体" w:hAnsi="宋体" w:cs="宋体"/>
          <w:kern w:val="0"/>
          <w:szCs w:val="21"/>
        </w:rPr>
        <w:t>NA</w:t>
      </w:r>
      <w:r>
        <w:rPr>
          <w:rFonts w:ascii="宋体" w:hAnsi="宋体" w:cs="宋体" w:hint="eastAsia"/>
          <w:kern w:val="0"/>
          <w:szCs w:val="21"/>
        </w:rPr>
        <w:t>双螺旋结构、半保留复制、R</w:t>
      </w:r>
      <w:r>
        <w:rPr>
          <w:rFonts w:ascii="宋体" w:hAnsi="宋体" w:cs="宋体"/>
          <w:kern w:val="0"/>
          <w:szCs w:val="21"/>
        </w:rPr>
        <w:t>NA</w:t>
      </w:r>
      <w:r>
        <w:rPr>
          <w:rFonts w:ascii="宋体" w:hAnsi="宋体" w:cs="宋体" w:hint="eastAsia"/>
          <w:kern w:val="0"/>
          <w:szCs w:val="21"/>
        </w:rPr>
        <w:t>转录及加工过程、蛋白质翻译过程。</w:t>
      </w:r>
    </w:p>
    <w:p w14:paraId="32D0E1B6" w14:textId="77777777" w:rsidR="00F5289E" w:rsidRDefault="00C91173">
      <w:pPr>
        <w:snapToGrid w:val="0"/>
        <w:spacing w:line="360" w:lineRule="auto"/>
        <w:rPr>
          <w:rFonts w:ascii="宋体" w:hAnsi="宋体"/>
          <w:b/>
          <w:bCs/>
        </w:rPr>
      </w:pPr>
      <w:r>
        <w:rPr>
          <w:rFonts w:ascii="宋体" w:hAnsi="宋体" w:hint="eastAsia"/>
          <w:b/>
          <w:bCs/>
        </w:rPr>
        <w:t xml:space="preserve">第二节 </w:t>
      </w:r>
      <w:r>
        <w:rPr>
          <w:rFonts w:ascii="宋体" w:hAnsi="宋体"/>
          <w:b/>
          <w:bCs/>
        </w:rPr>
        <w:t xml:space="preserve"> </w:t>
      </w:r>
      <w:r>
        <w:rPr>
          <w:rFonts w:ascii="宋体" w:hAnsi="宋体" w:hint="eastAsia"/>
          <w:b/>
          <w:bCs/>
        </w:rPr>
        <w:t>遗传工程（</w:t>
      </w:r>
      <w:r>
        <w:rPr>
          <w:rFonts w:ascii="宋体" w:hAnsi="宋体"/>
          <w:b/>
          <w:bCs/>
        </w:rPr>
        <w:t>0.5</w:t>
      </w:r>
      <w:r>
        <w:rPr>
          <w:rFonts w:ascii="宋体" w:hAnsi="宋体" w:hint="eastAsia"/>
          <w:b/>
          <w:bCs/>
        </w:rPr>
        <w:t>学时）</w:t>
      </w:r>
    </w:p>
    <w:p w14:paraId="126FDC6F" w14:textId="77777777" w:rsidR="00F5289E" w:rsidRDefault="00C91173">
      <w:pPr>
        <w:widowControl/>
        <w:snapToGrid w:val="0"/>
        <w:spacing w:line="360" w:lineRule="auto"/>
        <w:rPr>
          <w:rFonts w:ascii="宋体" w:hAnsi="宋体"/>
          <w:b/>
          <w:bCs/>
        </w:rPr>
      </w:pPr>
      <w:r>
        <w:rPr>
          <w:rFonts w:ascii="宋体" w:hAnsi="宋体" w:hint="eastAsia"/>
          <w:b/>
          <w:bCs/>
        </w:rPr>
        <w:t>教学目标：</w:t>
      </w:r>
      <w:r>
        <w:rPr>
          <w:rFonts w:hAnsi="宋体" w:hint="eastAsia"/>
          <w:kern w:val="0"/>
          <w:szCs w:val="21"/>
        </w:rPr>
        <w:t>通过对遗传工程基础理论的学习，为园艺植物基因工程育种奠定基础。</w:t>
      </w:r>
    </w:p>
    <w:p w14:paraId="68685594"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基因工程的操作技术。基因工程技术在作物遗传育种中的应用。</w:t>
      </w:r>
    </w:p>
    <w:p w14:paraId="05A80502"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p>
    <w:p w14:paraId="19D4C2F8" w14:textId="77777777" w:rsidR="00F5289E" w:rsidRDefault="00C91173">
      <w:pPr>
        <w:pStyle w:val="a7"/>
        <w:snapToGrid w:val="0"/>
        <w:spacing w:line="360" w:lineRule="auto"/>
        <w:rPr>
          <w:rFonts w:ascii="宋体" w:hAnsi="宋体" w:cs="宋体"/>
          <w:kern w:val="0"/>
          <w:szCs w:val="21"/>
        </w:rPr>
      </w:pPr>
      <w:r>
        <w:rPr>
          <w:rFonts w:ascii="宋体" w:hAnsi="宋体" w:cs="宋体" w:hint="eastAsia"/>
          <w:kern w:val="0"/>
          <w:szCs w:val="21"/>
        </w:rPr>
        <w:t>主要学习基因的概念、</w:t>
      </w:r>
      <w:r>
        <w:rPr>
          <w:rFonts w:ascii="宋体" w:hAnsi="宋体" w:hint="eastAsia"/>
        </w:rPr>
        <w:t>基因工程</w:t>
      </w:r>
      <w:r>
        <w:rPr>
          <w:rFonts w:ascii="宋体" w:hAnsi="宋体" w:cs="宋体" w:hint="eastAsia"/>
          <w:kern w:val="0"/>
          <w:szCs w:val="21"/>
        </w:rPr>
        <w:t>发展</w:t>
      </w:r>
      <w:r>
        <w:rPr>
          <w:rFonts w:ascii="宋体" w:hAnsi="宋体" w:hint="eastAsia"/>
        </w:rPr>
        <w:t>历史</w:t>
      </w:r>
      <w:r>
        <w:rPr>
          <w:rFonts w:ascii="宋体" w:hAnsi="宋体" w:cs="宋体" w:hint="eastAsia"/>
          <w:kern w:val="0"/>
          <w:szCs w:val="21"/>
        </w:rPr>
        <w:t>、</w:t>
      </w:r>
      <w:r>
        <w:rPr>
          <w:rFonts w:ascii="宋体" w:hAnsi="宋体" w:hint="eastAsia"/>
        </w:rPr>
        <w:t>基因分离的方法、常用限制性内切酶和载体的结构和特征及其应用范围、</w:t>
      </w:r>
      <w:r>
        <w:rPr>
          <w:rFonts w:ascii="宋体" w:hAnsi="宋体" w:cs="宋体" w:hint="eastAsia"/>
          <w:kern w:val="0"/>
          <w:szCs w:val="21"/>
        </w:rPr>
        <w:t>基因工程的应用。</w:t>
      </w:r>
    </w:p>
    <w:p w14:paraId="12486223" w14:textId="77777777" w:rsidR="00F5289E" w:rsidRDefault="00C91173">
      <w:pPr>
        <w:pStyle w:val="a7"/>
        <w:snapToGrid w:val="0"/>
        <w:spacing w:line="360" w:lineRule="auto"/>
        <w:rPr>
          <w:rFonts w:ascii="宋体" w:hAnsi="宋体"/>
        </w:rPr>
      </w:pPr>
      <w:r>
        <w:rPr>
          <w:rFonts w:ascii="宋体" w:hAnsi="宋体" w:hint="eastAsia"/>
        </w:rPr>
        <w:t>要求学生了解基因工程的发展历史。理解植物基因工程在</w:t>
      </w:r>
      <w:r>
        <w:rPr>
          <w:rFonts w:ascii="宋体" w:hAnsi="宋体" w:cs="宋体" w:hint="eastAsia"/>
          <w:kern w:val="0"/>
          <w:szCs w:val="21"/>
        </w:rPr>
        <w:t>作物遗传育种、</w:t>
      </w:r>
      <w:r>
        <w:rPr>
          <w:rFonts w:ascii="宋体" w:hAnsi="宋体" w:hint="eastAsia"/>
        </w:rPr>
        <w:t>农业生成中的应用。常用的基因分离的方法。掌握常用的限制性内切酶和载体的结构和特征及其应用范围。熟练掌握</w:t>
      </w:r>
      <w:r>
        <w:rPr>
          <w:rFonts w:ascii="宋体" w:hAnsi="宋体" w:cs="宋体" w:hint="eastAsia"/>
          <w:kern w:val="0"/>
          <w:szCs w:val="21"/>
        </w:rPr>
        <w:t>基因工程操作的一般步骤。</w:t>
      </w:r>
    </w:p>
    <w:p w14:paraId="7DE99B79" w14:textId="77777777" w:rsidR="00F5289E" w:rsidRDefault="00C91173">
      <w:pPr>
        <w:widowControl/>
        <w:snapToGrid w:val="0"/>
        <w:spacing w:line="360" w:lineRule="auto"/>
        <w:rPr>
          <w:rFonts w:hAnsi="宋体"/>
          <w:kern w:val="0"/>
          <w:szCs w:val="21"/>
        </w:rPr>
      </w:pPr>
      <w:r>
        <w:rPr>
          <w:rFonts w:ascii="宋体" w:hAnsi="宋体" w:hint="eastAsia"/>
          <w:b/>
          <w:bCs/>
        </w:rPr>
        <w:t>教学组织与实施：</w:t>
      </w:r>
      <w:r>
        <w:t>本</w:t>
      </w:r>
      <w:r>
        <w:rPr>
          <w:rFonts w:hint="eastAsia"/>
        </w:rPr>
        <w:t>节</w:t>
      </w:r>
      <w:r>
        <w:t>为分子育种理论的基础知识，在课堂上以老师讲授为主，结合图片、视频等丰富理论知识的讲解，通过人工胰岛素、黄金大米等著名案例讲解加深学生的理解，并</w:t>
      </w:r>
      <w:r>
        <w:rPr>
          <w:rFonts w:hint="eastAsia"/>
        </w:rPr>
        <w:t>利用</w:t>
      </w:r>
      <w:r>
        <w:t>课余</w:t>
      </w:r>
      <w:r>
        <w:rPr>
          <w:rFonts w:hint="eastAsia"/>
        </w:rPr>
        <w:t>时间</w:t>
      </w:r>
      <w:r>
        <w:t>邀请</w:t>
      </w:r>
      <w:r>
        <w:t>1~2</w:t>
      </w:r>
      <w:r>
        <w:t>为</w:t>
      </w:r>
      <w:r>
        <w:rPr>
          <w:rFonts w:hint="eastAsia"/>
        </w:rPr>
        <w:t>本</w:t>
      </w:r>
      <w:r>
        <w:t>领域的专业技术人员</w:t>
      </w:r>
      <w:r>
        <w:rPr>
          <w:rFonts w:hint="eastAsia"/>
        </w:rPr>
        <w:t>作</w:t>
      </w:r>
      <w:r>
        <w:t>1~2</w:t>
      </w:r>
      <w:r>
        <w:t>场专题报告，</w:t>
      </w:r>
      <w:r>
        <w:rPr>
          <w:kern w:val="0"/>
          <w:szCs w:val="21"/>
        </w:rPr>
        <w:t>为园艺植物的分子育种理论学习奠定坚实的基础。</w:t>
      </w:r>
    </w:p>
    <w:p w14:paraId="05FE6B18" w14:textId="77777777" w:rsidR="00F5289E" w:rsidRDefault="00C91173">
      <w:pPr>
        <w:widowControl/>
        <w:snapToGrid w:val="0"/>
        <w:spacing w:line="360" w:lineRule="auto"/>
        <w:jc w:val="right"/>
        <w:rPr>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b/>
          <w:bCs/>
          <w:kern w:val="0"/>
          <w:szCs w:val="21"/>
        </w:rPr>
        <w:t>     </w:t>
      </w:r>
      <w:r>
        <w:rPr>
          <w:rFonts w:hAnsi="宋体" w:hint="eastAsia"/>
          <w:b/>
          <w:bCs/>
          <w:kern w:val="0"/>
          <w:szCs w:val="21"/>
        </w:rPr>
        <w:t>细胞质遗传</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Ansi="宋体" w:hint="eastAsia"/>
          <w:b/>
          <w:bCs/>
          <w:kern w:val="0"/>
          <w:szCs w:val="21"/>
        </w:rPr>
        <w:t>数：</w:t>
      </w:r>
      <w:r>
        <w:rPr>
          <w:rFonts w:hAnsi="宋体"/>
          <w:b/>
          <w:bCs/>
          <w:kern w:val="0"/>
          <w:szCs w:val="21"/>
        </w:rPr>
        <w:t>1</w:t>
      </w:r>
    </w:p>
    <w:p w14:paraId="0C5F2E32" w14:textId="77777777" w:rsidR="00F5289E" w:rsidRDefault="00C91173">
      <w:pPr>
        <w:widowControl/>
        <w:snapToGrid w:val="0"/>
        <w:spacing w:line="360" w:lineRule="auto"/>
        <w:rPr>
          <w:rFonts w:ascii="宋体" w:hAnsi="宋体"/>
          <w:b/>
          <w:bCs/>
        </w:rPr>
      </w:pPr>
      <w:r>
        <w:rPr>
          <w:rFonts w:ascii="宋体" w:hAnsi="宋体" w:hint="eastAsia"/>
          <w:b/>
          <w:bCs/>
        </w:rPr>
        <w:t xml:space="preserve">第一节 </w:t>
      </w:r>
      <w:r>
        <w:rPr>
          <w:rFonts w:ascii="宋体" w:hAnsi="宋体"/>
          <w:b/>
          <w:bCs/>
        </w:rPr>
        <w:t xml:space="preserve"> </w:t>
      </w:r>
      <w:r>
        <w:rPr>
          <w:rFonts w:ascii="宋体" w:hAnsi="宋体" w:hint="eastAsia"/>
          <w:b/>
          <w:bCs/>
        </w:rPr>
        <w:t>细胞质遗传的概念及特点（</w:t>
      </w:r>
      <w:r>
        <w:rPr>
          <w:rFonts w:ascii="宋体" w:hAnsi="宋体"/>
          <w:b/>
          <w:bCs/>
        </w:rPr>
        <w:t>0.5</w:t>
      </w:r>
      <w:r>
        <w:rPr>
          <w:rFonts w:ascii="宋体" w:hAnsi="宋体" w:hint="eastAsia"/>
          <w:b/>
          <w:bCs/>
        </w:rPr>
        <w:t>学时）</w:t>
      </w:r>
    </w:p>
    <w:p w14:paraId="3A7BE9AA" w14:textId="77777777" w:rsidR="00F5289E" w:rsidRDefault="00C91173">
      <w:pPr>
        <w:widowControl/>
        <w:snapToGrid w:val="0"/>
        <w:spacing w:line="360" w:lineRule="auto"/>
        <w:rPr>
          <w:rFonts w:ascii="宋体" w:hAnsi="宋体"/>
        </w:rPr>
      </w:pPr>
      <w:r>
        <w:rPr>
          <w:rFonts w:ascii="宋体" w:hAnsi="宋体" w:hint="eastAsia"/>
          <w:b/>
          <w:bCs/>
        </w:rPr>
        <w:t>教学目标：</w:t>
      </w:r>
      <w:r>
        <w:rPr>
          <w:rFonts w:ascii="宋体" w:hAnsi="宋体" w:hint="eastAsia"/>
        </w:rPr>
        <w:t>通过对细胞质遗传的概念及细胞质遗传特点的学习，为园艺植物利用细胞质遗传育种奠定基础。</w:t>
      </w:r>
    </w:p>
    <w:p w14:paraId="3EBFECC2" w14:textId="77777777" w:rsidR="00F5289E" w:rsidRDefault="00C91173">
      <w:pPr>
        <w:widowControl/>
        <w:snapToGrid w:val="0"/>
        <w:spacing w:line="360" w:lineRule="auto"/>
        <w:rPr>
          <w:rFonts w:ascii="宋体" w:hAnsi="宋体"/>
        </w:rPr>
      </w:pPr>
      <w:r>
        <w:rPr>
          <w:rFonts w:ascii="宋体" w:hAnsi="宋体" w:hint="eastAsia"/>
          <w:b/>
          <w:bCs/>
        </w:rPr>
        <w:t>教学重点和难点：</w:t>
      </w:r>
      <w:r>
        <w:rPr>
          <w:rFonts w:ascii="宋体" w:hAnsi="宋体" w:hint="eastAsia"/>
        </w:rPr>
        <w:t>细胞质遗传的概念和特点为本节的重点和难点。</w:t>
      </w:r>
    </w:p>
    <w:p w14:paraId="63EAABAF"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3CC95747"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lastRenderedPageBreak/>
        <w:t>主要介绍细胞质遗传的概念和特点、细胞质遗传形成原因、细胞质遗传与细胞核遗传的区别。</w:t>
      </w:r>
    </w:p>
    <w:p w14:paraId="13261E8E"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要求学生了解细胞质遗传的现象，理解细胞质遗传的概念和特点，掌握细胞质遗传在育种中的应用，熟练掌握细胞质遗传与细胞核遗传的区别。</w:t>
      </w:r>
    </w:p>
    <w:p w14:paraId="386EE64F"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本节通过在课堂上列举丰富的案例，结合图片、视频等让学生了解并掌握细胞质遗传的现象、概念及特点，培养学生观察、对比、分析、归纳等能力。</w:t>
      </w:r>
    </w:p>
    <w:p w14:paraId="11862B6F" w14:textId="77777777" w:rsidR="00F5289E" w:rsidRDefault="00C91173">
      <w:pPr>
        <w:widowControl/>
        <w:snapToGrid w:val="0"/>
        <w:spacing w:line="360" w:lineRule="auto"/>
        <w:rPr>
          <w:rFonts w:ascii="宋体" w:hAnsi="宋体"/>
          <w:b/>
          <w:bCs/>
        </w:rPr>
      </w:pPr>
      <w:r>
        <w:rPr>
          <w:rFonts w:ascii="宋体" w:hAnsi="宋体" w:hint="eastAsia"/>
          <w:b/>
          <w:bCs/>
        </w:rPr>
        <w:t xml:space="preserve">第二节 </w:t>
      </w:r>
      <w:r>
        <w:rPr>
          <w:rFonts w:ascii="宋体" w:hAnsi="宋体"/>
          <w:b/>
          <w:bCs/>
        </w:rPr>
        <w:t xml:space="preserve"> </w:t>
      </w:r>
      <w:r>
        <w:rPr>
          <w:rFonts w:ascii="宋体" w:hAnsi="宋体" w:hint="eastAsia"/>
          <w:b/>
          <w:bCs/>
        </w:rPr>
        <w:t>叶绿体和线粒体遗传（</w:t>
      </w:r>
      <w:r>
        <w:rPr>
          <w:rFonts w:ascii="宋体" w:hAnsi="宋体"/>
          <w:b/>
          <w:bCs/>
        </w:rPr>
        <w:t>0.5</w:t>
      </w:r>
      <w:r>
        <w:rPr>
          <w:rFonts w:ascii="宋体" w:hAnsi="宋体" w:hint="eastAsia"/>
          <w:b/>
          <w:bCs/>
        </w:rPr>
        <w:t>学时）</w:t>
      </w:r>
    </w:p>
    <w:p w14:paraId="633D06C8"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hint="eastAsia"/>
        </w:rPr>
        <w:t>通过对</w:t>
      </w:r>
      <w:r>
        <w:rPr>
          <w:rFonts w:hAnsi="宋体" w:hint="eastAsia"/>
          <w:kern w:val="0"/>
          <w:szCs w:val="21"/>
        </w:rPr>
        <w:t>叶绿体、线粒体遗传的现象及遗传的分子生物学基础学习，为园艺植物的细胞质基因研究和育种利用的理论学习奠定基础。</w:t>
      </w:r>
    </w:p>
    <w:p w14:paraId="373A0F1B" w14:textId="77777777" w:rsidR="00F5289E" w:rsidRDefault="00C91173">
      <w:pPr>
        <w:widowControl/>
        <w:snapToGrid w:val="0"/>
        <w:spacing w:line="360" w:lineRule="auto"/>
        <w:rPr>
          <w:rFonts w:ascii="宋体" w:hAnsi="宋体"/>
        </w:rPr>
      </w:pPr>
      <w:r>
        <w:rPr>
          <w:rFonts w:ascii="宋体" w:hAnsi="宋体" w:hint="eastAsia"/>
          <w:b/>
          <w:bCs/>
        </w:rPr>
        <w:t>教学重点和难点：</w:t>
      </w:r>
      <w:r>
        <w:rPr>
          <w:rFonts w:ascii="宋体" w:hAnsi="宋体" w:hint="eastAsia"/>
        </w:rPr>
        <w:t>本节的重点和难点为</w:t>
      </w:r>
      <w:r>
        <w:rPr>
          <w:rFonts w:hAnsi="宋体" w:hint="eastAsia"/>
          <w:kern w:val="0"/>
          <w:szCs w:val="21"/>
        </w:rPr>
        <w:t>叶绿体和线粒体遗传的现象及遗传的分子基础</w:t>
      </w:r>
      <w:r>
        <w:rPr>
          <w:rFonts w:ascii="宋体" w:hAnsi="宋体" w:hint="eastAsia"/>
        </w:rPr>
        <w:t>。</w:t>
      </w:r>
    </w:p>
    <w:p w14:paraId="49626097"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E205C44"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主要介绍介绍</w:t>
      </w:r>
      <w:bookmarkStart w:id="117" w:name="_Hlk137649946"/>
      <w:r>
        <w:rPr>
          <w:rFonts w:hAnsi="宋体" w:hint="eastAsia"/>
          <w:kern w:val="0"/>
          <w:szCs w:val="21"/>
        </w:rPr>
        <w:t>叶绿体遗传的现象</w:t>
      </w:r>
      <w:bookmarkEnd w:id="117"/>
      <w:r>
        <w:rPr>
          <w:rFonts w:hAnsi="宋体" w:hint="eastAsia"/>
          <w:kern w:val="0"/>
          <w:szCs w:val="21"/>
        </w:rPr>
        <w:t>及遗传的分子基础；线粒体遗传的现象及遗传的分子基础。</w:t>
      </w:r>
    </w:p>
    <w:p w14:paraId="1A808D9F"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要求学生了解叶绿体遗传的现象，理解线粒体遗传表现，掌握叶绿体和线粒体遗传的分子基础，熟练掌握叶绿体和线粒体遗传的特征。</w:t>
      </w:r>
      <w:r>
        <w:rPr>
          <w:rFonts w:hAnsi="宋体"/>
          <w:kern w:val="0"/>
          <w:szCs w:val="21"/>
        </w:rPr>
        <w:t xml:space="preserve"> </w:t>
      </w:r>
    </w:p>
    <w:p w14:paraId="50C5DC56"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本节通过学生自主观察，教师课程内容讲授，课堂互动等环节提高学生探究能力及科学素养。</w:t>
      </w:r>
    </w:p>
    <w:p w14:paraId="51A2A556" w14:textId="77777777" w:rsidR="00F5289E" w:rsidRDefault="00C91173">
      <w:pPr>
        <w:widowControl/>
        <w:snapToGrid w:val="0"/>
        <w:spacing w:line="360" w:lineRule="auto"/>
        <w:rPr>
          <w:rFonts w:ascii="宋体" w:hAnsi="宋体"/>
          <w:b/>
          <w:bCs/>
        </w:rPr>
      </w:pPr>
      <w:r>
        <w:rPr>
          <w:rFonts w:ascii="宋体" w:hAnsi="宋体" w:hint="eastAsia"/>
          <w:b/>
          <w:bCs/>
        </w:rPr>
        <w:t xml:space="preserve">第三节 </w:t>
      </w:r>
      <w:r>
        <w:rPr>
          <w:rFonts w:ascii="宋体" w:hAnsi="宋体"/>
          <w:b/>
          <w:bCs/>
        </w:rPr>
        <w:t xml:space="preserve"> </w:t>
      </w:r>
      <w:r>
        <w:rPr>
          <w:rFonts w:ascii="宋体" w:hAnsi="宋体" w:hint="eastAsia"/>
          <w:b/>
          <w:bCs/>
        </w:rPr>
        <w:t>植物雄性不育的遗传机理（</w:t>
      </w:r>
      <w:r>
        <w:rPr>
          <w:rFonts w:ascii="宋体" w:hAnsi="宋体"/>
          <w:b/>
          <w:bCs/>
        </w:rPr>
        <w:t>2</w:t>
      </w:r>
      <w:r>
        <w:rPr>
          <w:rFonts w:ascii="宋体" w:hAnsi="宋体" w:hint="eastAsia"/>
          <w:b/>
          <w:bCs/>
        </w:rPr>
        <w:t>学时）</w:t>
      </w:r>
    </w:p>
    <w:p w14:paraId="67ADA2C4"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hint="eastAsia"/>
        </w:rPr>
        <w:t>通过对</w:t>
      </w:r>
      <w:r>
        <w:rPr>
          <w:rFonts w:hAnsi="宋体" w:hint="eastAsia"/>
          <w:kern w:val="0"/>
          <w:szCs w:val="21"/>
        </w:rPr>
        <w:t>植物雄性不育的遗传学习，为雄性不育在园艺植物中的应用奠定基础。</w:t>
      </w:r>
    </w:p>
    <w:p w14:paraId="0B4A20D5" w14:textId="77777777" w:rsidR="00F5289E" w:rsidRDefault="00C91173">
      <w:pPr>
        <w:widowControl/>
        <w:snapToGrid w:val="0"/>
        <w:spacing w:line="360" w:lineRule="auto"/>
        <w:rPr>
          <w:rFonts w:ascii="宋体" w:hAnsi="宋体"/>
        </w:rPr>
      </w:pPr>
      <w:r>
        <w:rPr>
          <w:rFonts w:ascii="宋体" w:hAnsi="宋体" w:hint="eastAsia"/>
          <w:b/>
          <w:bCs/>
        </w:rPr>
        <w:t>教学重点和难点：</w:t>
      </w:r>
      <w:r>
        <w:rPr>
          <w:rFonts w:hAnsi="宋体" w:hint="eastAsia"/>
          <w:kern w:val="0"/>
          <w:szCs w:val="21"/>
        </w:rPr>
        <w:t>雄性不育现象发生的机理及质核不育型在三系配套制种中的应用为本节的重点和难点。</w:t>
      </w:r>
      <w:r>
        <w:rPr>
          <w:rFonts w:ascii="宋体" w:hAnsi="宋体"/>
        </w:rPr>
        <w:t xml:space="preserve"> </w:t>
      </w:r>
    </w:p>
    <w:p w14:paraId="35DA46DF"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11DDBB65"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主要介绍介绍植物雄性不育的遗传类型及遗传特点、雄性不育现象的发生机理及质核不育型在三系配套制种中的应用。</w:t>
      </w:r>
    </w:p>
    <w:p w14:paraId="026AD821"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要求学生了解雄性不育的类别，理解其遗传特点，掌握雄性不育的发生机理，熟练掌握质核不育型在三系配套制种中的应用。</w:t>
      </w:r>
      <w:r>
        <w:rPr>
          <w:rFonts w:hAnsi="宋体"/>
          <w:kern w:val="0"/>
          <w:szCs w:val="21"/>
        </w:rPr>
        <w:t xml:space="preserve"> </w:t>
      </w:r>
    </w:p>
    <w:p w14:paraId="57F21393" w14:textId="77777777" w:rsidR="00F5289E" w:rsidRDefault="00C91173">
      <w:pPr>
        <w:widowControl/>
        <w:snapToGrid w:val="0"/>
        <w:spacing w:line="360" w:lineRule="auto"/>
        <w:rPr>
          <w:rFonts w:ascii="宋体" w:hAnsi="宋体"/>
        </w:rPr>
      </w:pPr>
      <w:r>
        <w:rPr>
          <w:rFonts w:ascii="宋体" w:hAnsi="宋体" w:hint="eastAsia"/>
          <w:b/>
          <w:bCs/>
        </w:rPr>
        <w:t>教学组织与实施：</w:t>
      </w:r>
      <w:r>
        <w:rPr>
          <w:rFonts w:ascii="宋体" w:hAnsi="宋体" w:hint="eastAsia"/>
        </w:rPr>
        <w:t>本节通过教师课程内容讲授并结合我国科学家比如袁隆平院士寻找“天然的雄性不育水稻”事迹，致敬国之脊梁，引导学生培养三农情怀，对学生进行爱国主义教育，提升专业能力及实践技能，同时增加课堂互动、提问、</w:t>
      </w:r>
      <w:r>
        <w:rPr>
          <w:rFonts w:ascii="宋体" w:hAnsi="宋体"/>
        </w:rPr>
        <w:t>课后阅读等环节</w:t>
      </w:r>
      <w:r>
        <w:rPr>
          <w:rFonts w:ascii="宋体" w:hAnsi="宋体" w:hint="eastAsia"/>
        </w:rPr>
        <w:t>，加深学生</w:t>
      </w:r>
      <w:r>
        <w:rPr>
          <w:rFonts w:ascii="宋体" w:hAnsi="宋体"/>
        </w:rPr>
        <w:t>对难点知识的理解</w:t>
      </w:r>
      <w:r>
        <w:rPr>
          <w:rFonts w:ascii="宋体" w:hAnsi="宋体" w:hint="eastAsia"/>
        </w:rPr>
        <w:t>。</w:t>
      </w:r>
    </w:p>
    <w:p w14:paraId="7CE5C0F9" w14:textId="77777777" w:rsidR="00F5289E" w:rsidRDefault="00C91173">
      <w:pPr>
        <w:spacing w:line="360" w:lineRule="auto"/>
        <w:ind w:left="422" w:hangingChars="200" w:hanging="422"/>
        <w:rPr>
          <w:rFonts w:ascii="Verdana" w:hAnsi="Verdana" w:cs="宋体"/>
          <w:kern w:val="0"/>
          <w:szCs w:val="21"/>
        </w:rPr>
      </w:pPr>
      <w:r>
        <w:rPr>
          <w:rFonts w:ascii="Verdana" w:hAnsi="Verdana" w:cs="宋体" w:hint="eastAsia"/>
          <w:b/>
          <w:bCs/>
          <w:kern w:val="0"/>
          <w:szCs w:val="21"/>
        </w:rPr>
        <w:t>下</w:t>
      </w:r>
      <w:r>
        <w:rPr>
          <w:rFonts w:ascii="Verdana" w:hAnsi="Verdana" w:cs="宋体"/>
          <w:b/>
          <w:bCs/>
          <w:kern w:val="0"/>
          <w:szCs w:val="21"/>
        </w:rPr>
        <w:t>篇</w:t>
      </w:r>
      <w:r>
        <w:rPr>
          <w:rFonts w:ascii="Verdana" w:hAnsi="Verdana" w:cs="宋体" w:hint="eastAsia"/>
          <w:b/>
          <w:bCs/>
          <w:kern w:val="0"/>
          <w:szCs w:val="21"/>
        </w:rPr>
        <w:t xml:space="preserve">  </w:t>
      </w:r>
      <w:r>
        <w:rPr>
          <w:rFonts w:ascii="Verdana" w:hAnsi="Verdana" w:cs="宋体"/>
          <w:b/>
          <w:bCs/>
          <w:kern w:val="0"/>
          <w:szCs w:val="21"/>
        </w:rPr>
        <w:t>园</w:t>
      </w:r>
      <w:r>
        <w:rPr>
          <w:rFonts w:ascii="Verdana" w:hAnsi="Verdana" w:cs="宋体" w:hint="eastAsia"/>
          <w:b/>
          <w:bCs/>
          <w:kern w:val="0"/>
          <w:szCs w:val="21"/>
        </w:rPr>
        <w:t>艺</w:t>
      </w:r>
      <w:r>
        <w:rPr>
          <w:rFonts w:ascii="Verdana" w:hAnsi="Verdana" w:cs="宋体"/>
          <w:b/>
          <w:bCs/>
          <w:kern w:val="0"/>
          <w:szCs w:val="21"/>
        </w:rPr>
        <w:t>植物</w:t>
      </w:r>
      <w:r>
        <w:rPr>
          <w:rFonts w:ascii="Verdana" w:hAnsi="Verdana" w:cs="宋体" w:hint="eastAsia"/>
          <w:b/>
          <w:bCs/>
          <w:kern w:val="0"/>
          <w:szCs w:val="21"/>
        </w:rPr>
        <w:t>育种</w:t>
      </w:r>
      <w:r>
        <w:rPr>
          <w:rFonts w:ascii="Verdana" w:hAnsi="Verdana" w:cs="宋体"/>
          <w:b/>
          <w:bCs/>
          <w:kern w:val="0"/>
          <w:szCs w:val="21"/>
        </w:rPr>
        <w:t>学</w:t>
      </w:r>
    </w:p>
    <w:p w14:paraId="152907BF" w14:textId="77777777" w:rsidR="00F5289E" w:rsidRDefault="00C91173">
      <w:pPr>
        <w:widowControl/>
        <w:spacing w:line="360" w:lineRule="auto"/>
        <w:ind w:firstLineChars="1900" w:firstLine="4006"/>
        <w:jc w:val="left"/>
        <w:rPr>
          <w:b/>
          <w:bCs/>
          <w:kern w:val="0"/>
          <w:szCs w:val="21"/>
        </w:rPr>
      </w:pPr>
      <w:bookmarkStart w:id="118" w:name="_Toc137560084"/>
      <w:r>
        <w:rPr>
          <w:b/>
          <w:bCs/>
          <w:kern w:val="0"/>
          <w:szCs w:val="21"/>
        </w:rPr>
        <w:t>绪</w:t>
      </w:r>
      <w:r>
        <w:rPr>
          <w:b/>
          <w:bCs/>
          <w:kern w:val="0"/>
          <w:szCs w:val="21"/>
        </w:rPr>
        <w:t xml:space="preserve">  </w:t>
      </w:r>
      <w:r>
        <w:rPr>
          <w:b/>
          <w:bCs/>
          <w:kern w:val="0"/>
          <w:szCs w:val="21"/>
        </w:rPr>
        <w:t>论</w:t>
      </w:r>
      <w:r>
        <w:rPr>
          <w:b/>
          <w:bCs/>
          <w:kern w:val="0"/>
          <w:szCs w:val="21"/>
        </w:rPr>
        <w:t xml:space="preserve">                              </w:t>
      </w:r>
      <w:r>
        <w:rPr>
          <w:b/>
          <w:bCs/>
          <w:kern w:val="0"/>
          <w:szCs w:val="21"/>
        </w:rPr>
        <w:t>学时数：</w:t>
      </w:r>
      <w:r>
        <w:rPr>
          <w:b/>
          <w:bCs/>
          <w:kern w:val="0"/>
          <w:szCs w:val="21"/>
        </w:rPr>
        <w:t>1</w:t>
      </w:r>
    </w:p>
    <w:p w14:paraId="621AE474" w14:textId="77777777" w:rsidR="00F5289E" w:rsidRDefault="00C91173">
      <w:pPr>
        <w:spacing w:line="360" w:lineRule="auto"/>
        <w:rPr>
          <w:kern w:val="0"/>
          <w:szCs w:val="21"/>
        </w:rPr>
      </w:pPr>
      <w:r>
        <w:rPr>
          <w:b/>
          <w:kern w:val="0"/>
          <w:szCs w:val="21"/>
        </w:rPr>
        <w:t>教学目的：</w:t>
      </w:r>
      <w:r>
        <w:rPr>
          <w:kern w:val="0"/>
          <w:szCs w:val="21"/>
        </w:rPr>
        <w:t>通过本章的学习，使同学明确园艺植物育种学的研究内容和育种工作者的基本任务、发展历程和取得的成就，产生浓厚的学习兴趣。</w:t>
      </w:r>
    </w:p>
    <w:p w14:paraId="3CBB2D94" w14:textId="77777777" w:rsidR="00F5289E" w:rsidRDefault="00C91173">
      <w:pPr>
        <w:spacing w:line="360" w:lineRule="auto"/>
        <w:rPr>
          <w:kern w:val="0"/>
          <w:szCs w:val="21"/>
        </w:rPr>
      </w:pPr>
      <w:r>
        <w:rPr>
          <w:b/>
          <w:kern w:val="0"/>
          <w:szCs w:val="21"/>
        </w:rPr>
        <w:t>教学重点和难点：</w:t>
      </w:r>
      <w:r>
        <w:rPr>
          <w:kern w:val="0"/>
          <w:szCs w:val="21"/>
        </w:rPr>
        <w:t>品种、良种的概念。</w:t>
      </w:r>
    </w:p>
    <w:p w14:paraId="73D04EC5" w14:textId="77777777" w:rsidR="00F5289E" w:rsidRDefault="00C91173">
      <w:pPr>
        <w:spacing w:line="360" w:lineRule="auto"/>
        <w:rPr>
          <w:kern w:val="0"/>
          <w:szCs w:val="21"/>
        </w:rPr>
      </w:pPr>
      <w:r>
        <w:rPr>
          <w:b/>
          <w:kern w:val="0"/>
          <w:szCs w:val="21"/>
        </w:rPr>
        <w:t>主要教学内容及要求：</w:t>
      </w:r>
      <w:r>
        <w:rPr>
          <w:kern w:val="0"/>
          <w:szCs w:val="21"/>
        </w:rPr>
        <w:t>园艺植物育种学的研究内容（了解）；园艺育种工作者的任务（了解）；学</w:t>
      </w:r>
      <w:r>
        <w:rPr>
          <w:kern w:val="0"/>
          <w:szCs w:val="21"/>
        </w:rPr>
        <w:lastRenderedPageBreak/>
        <w:t>习该课程的重要性（了解）；育种学与其他学科的关系（理解）；良种的概念（掌握）；园艺植物育种的主要途径（掌握）；园艺植物育种的发展动态（掌握）；品种的概念和特点（熟练掌握）。</w:t>
      </w:r>
    </w:p>
    <w:p w14:paraId="196ACAC3" w14:textId="77777777" w:rsidR="00F5289E" w:rsidRDefault="00C91173">
      <w:pPr>
        <w:snapToGrid w:val="0"/>
        <w:spacing w:line="360" w:lineRule="auto"/>
        <w:jc w:val="left"/>
        <w:rPr>
          <w:rFonts w:ascii="宋体" w:hAnsi="宋体"/>
          <w:b/>
          <w:bCs/>
        </w:rPr>
      </w:pPr>
      <w:r>
        <w:rPr>
          <w:rFonts w:ascii="宋体" w:hAnsi="宋体" w:hint="eastAsia"/>
          <w:b/>
          <w:bCs/>
        </w:rPr>
        <w:t>教学组织与实施：</w:t>
      </w:r>
      <w:r>
        <w:rPr>
          <w:rFonts w:hAnsi="宋体" w:hint="eastAsia"/>
          <w:kern w:val="0"/>
          <w:szCs w:val="21"/>
        </w:rPr>
        <w:t>本章是激发学生兴趣的重要环节。</w:t>
      </w:r>
      <w:r>
        <w:rPr>
          <w:rFonts w:ascii="宋体" w:hAnsi="宋体" w:hint="eastAsia"/>
        </w:rPr>
        <w:t>课程教学过程中，回顾园艺科学及其育种的诞生、发展历程，总结出新品种产生的技术发展过程，以及未来园艺产业及新品种选育的发展趋势。课堂讲授方式结合大量图片资料介绍园艺植物育种的发展动态和园艺植物育种的主要途径；引导学生思考园艺植物繁育方式和授粉习性对遗传变异有哪些影响，引导学生讨论掌握品种的概念及特点，激发学生学习兴趣。</w:t>
      </w:r>
    </w:p>
    <w:p w14:paraId="30F16399" w14:textId="77777777" w:rsidR="00F5289E" w:rsidRDefault="00C91173">
      <w:pPr>
        <w:spacing w:line="360" w:lineRule="auto"/>
        <w:jc w:val="center"/>
        <w:rPr>
          <w:b/>
          <w:bCs/>
          <w:kern w:val="0"/>
          <w:szCs w:val="21"/>
        </w:rPr>
      </w:pPr>
      <w:r>
        <w:rPr>
          <w:rFonts w:hint="eastAsia"/>
          <w:b/>
          <w:bCs/>
          <w:kern w:val="0"/>
          <w:szCs w:val="21"/>
        </w:rPr>
        <w:t xml:space="preserve">                     </w:t>
      </w:r>
      <w:r>
        <w:rPr>
          <w:rFonts w:hint="eastAsia"/>
          <w:b/>
          <w:bCs/>
          <w:kern w:val="0"/>
          <w:szCs w:val="21"/>
        </w:rPr>
        <w:t>第一章</w:t>
      </w:r>
      <w:r>
        <w:rPr>
          <w:rFonts w:hint="eastAsia"/>
          <w:b/>
          <w:bCs/>
          <w:kern w:val="0"/>
          <w:szCs w:val="21"/>
        </w:rPr>
        <w:t xml:space="preserve">  </w:t>
      </w:r>
      <w:r>
        <w:rPr>
          <w:b/>
          <w:bCs/>
          <w:kern w:val="0"/>
          <w:szCs w:val="21"/>
        </w:rPr>
        <w:t xml:space="preserve"> </w:t>
      </w:r>
      <w:r>
        <w:rPr>
          <w:b/>
          <w:bCs/>
          <w:kern w:val="0"/>
          <w:szCs w:val="21"/>
        </w:rPr>
        <w:t>园艺植物的育种目标</w:t>
      </w:r>
      <w:r>
        <w:rPr>
          <w:rFonts w:hint="eastAsia"/>
          <w:b/>
          <w:bCs/>
          <w:kern w:val="0"/>
          <w:szCs w:val="21"/>
        </w:rPr>
        <w:t>性状</w:t>
      </w:r>
      <w:r>
        <w:rPr>
          <w:b/>
          <w:bCs/>
          <w:kern w:val="0"/>
          <w:szCs w:val="21"/>
        </w:rPr>
        <w:t xml:space="preserve">        </w:t>
      </w:r>
      <w:r>
        <w:rPr>
          <w:rFonts w:hint="eastAsia"/>
          <w:b/>
          <w:bCs/>
          <w:kern w:val="0"/>
          <w:szCs w:val="21"/>
        </w:rPr>
        <w:t xml:space="preserve">         </w:t>
      </w:r>
      <w:r>
        <w:rPr>
          <w:kern w:val="0"/>
          <w:szCs w:val="21"/>
        </w:rPr>
        <w:t xml:space="preserve"> </w:t>
      </w:r>
      <w:r>
        <w:rPr>
          <w:rFonts w:hint="eastAsia"/>
          <w:kern w:val="0"/>
          <w:szCs w:val="21"/>
        </w:rPr>
        <w:t xml:space="preserve">  </w:t>
      </w:r>
      <w:r>
        <w:rPr>
          <w:b/>
          <w:bCs/>
          <w:kern w:val="0"/>
          <w:szCs w:val="21"/>
        </w:rPr>
        <w:t>学时数：</w:t>
      </w:r>
      <w:r>
        <w:rPr>
          <w:b/>
          <w:bCs/>
          <w:kern w:val="0"/>
          <w:szCs w:val="21"/>
        </w:rPr>
        <w:t>1</w:t>
      </w:r>
    </w:p>
    <w:p w14:paraId="3786A65F" w14:textId="77777777" w:rsidR="00F5289E" w:rsidRDefault="00C91173">
      <w:pPr>
        <w:spacing w:line="360" w:lineRule="auto"/>
        <w:rPr>
          <w:b/>
          <w:bCs/>
          <w:kern w:val="0"/>
          <w:szCs w:val="21"/>
        </w:rPr>
      </w:pPr>
      <w:r>
        <w:rPr>
          <w:rFonts w:hint="eastAsia"/>
          <w:b/>
          <w:bCs/>
          <w:kern w:val="0"/>
          <w:szCs w:val="21"/>
        </w:rPr>
        <w:t>第一节</w:t>
      </w:r>
      <w:r>
        <w:rPr>
          <w:rFonts w:hint="eastAsia"/>
          <w:b/>
          <w:bCs/>
          <w:kern w:val="0"/>
          <w:szCs w:val="21"/>
        </w:rPr>
        <w:t xml:space="preserve"> </w:t>
      </w:r>
      <w:r>
        <w:rPr>
          <w:rFonts w:hint="eastAsia"/>
          <w:b/>
          <w:bCs/>
          <w:kern w:val="0"/>
          <w:szCs w:val="21"/>
        </w:rPr>
        <w:t>园艺植物育种的主要目标性状（</w:t>
      </w:r>
      <w:r>
        <w:rPr>
          <w:rFonts w:hint="eastAsia"/>
          <w:b/>
          <w:bCs/>
          <w:kern w:val="0"/>
          <w:szCs w:val="21"/>
        </w:rPr>
        <w:t>0.5</w:t>
      </w:r>
      <w:r>
        <w:rPr>
          <w:rFonts w:hint="eastAsia"/>
          <w:b/>
          <w:bCs/>
          <w:kern w:val="0"/>
          <w:szCs w:val="21"/>
        </w:rPr>
        <w:t>学时）</w:t>
      </w:r>
      <w:r>
        <w:rPr>
          <w:rFonts w:hint="eastAsia"/>
          <w:b/>
          <w:bCs/>
          <w:kern w:val="0"/>
          <w:szCs w:val="21"/>
        </w:rPr>
        <w:t xml:space="preserve">                                          </w:t>
      </w:r>
    </w:p>
    <w:p w14:paraId="43A9506B" w14:textId="77777777" w:rsidR="00F5289E" w:rsidRDefault="00C91173">
      <w:pPr>
        <w:widowControl/>
        <w:spacing w:line="360" w:lineRule="auto"/>
        <w:jc w:val="left"/>
        <w:rPr>
          <w:kern w:val="0"/>
          <w:szCs w:val="21"/>
        </w:rPr>
      </w:pPr>
      <w:r>
        <w:rPr>
          <w:rFonts w:hint="eastAsia"/>
          <w:b/>
          <w:bCs/>
          <w:kern w:val="0"/>
          <w:szCs w:val="21"/>
        </w:rPr>
        <w:t>教学目标</w:t>
      </w:r>
      <w:r>
        <w:rPr>
          <w:kern w:val="0"/>
          <w:szCs w:val="21"/>
        </w:rPr>
        <w:t>：</w:t>
      </w:r>
      <w:r>
        <w:rPr>
          <w:rFonts w:hint="eastAsia"/>
          <w:kern w:val="0"/>
          <w:szCs w:val="21"/>
        </w:rPr>
        <w:t>通过对园艺植物育种主要目标性状的了解，为园艺植物育种目标的制定奠定基础。</w:t>
      </w:r>
    </w:p>
    <w:p w14:paraId="517F04C4" w14:textId="77777777" w:rsidR="00F5289E" w:rsidRDefault="00C91173">
      <w:pPr>
        <w:widowControl/>
        <w:spacing w:line="360" w:lineRule="auto"/>
        <w:jc w:val="left"/>
        <w:rPr>
          <w:kern w:val="0"/>
          <w:szCs w:val="21"/>
        </w:rPr>
      </w:pPr>
      <w:r>
        <w:rPr>
          <w:b/>
          <w:bCs/>
          <w:kern w:val="0"/>
          <w:szCs w:val="21"/>
        </w:rPr>
        <w:t>教学重点和难点</w:t>
      </w:r>
      <w:r>
        <w:rPr>
          <w:kern w:val="0"/>
          <w:szCs w:val="21"/>
        </w:rPr>
        <w:t>：重点介绍</w:t>
      </w:r>
      <w:r>
        <w:rPr>
          <w:rFonts w:hint="eastAsia"/>
          <w:kern w:val="0"/>
          <w:szCs w:val="21"/>
        </w:rPr>
        <w:t>园艺植物育种主要目标性状</w:t>
      </w:r>
      <w:r>
        <w:rPr>
          <w:kern w:val="0"/>
          <w:szCs w:val="21"/>
        </w:rPr>
        <w:t>的概念和特点，育种目标在选育品种中的作用</w:t>
      </w:r>
      <w:r>
        <w:rPr>
          <w:rFonts w:hint="eastAsia"/>
          <w:kern w:val="0"/>
          <w:szCs w:val="21"/>
        </w:rPr>
        <w:t>，</w:t>
      </w:r>
      <w:r>
        <w:rPr>
          <w:kern w:val="0"/>
          <w:szCs w:val="21"/>
        </w:rPr>
        <w:t>其中主要育种目标的构成因素及其影响为其难点。</w:t>
      </w:r>
    </w:p>
    <w:p w14:paraId="10E6C2A0" w14:textId="77777777" w:rsidR="00F5289E" w:rsidRDefault="00C91173">
      <w:pPr>
        <w:widowControl/>
        <w:spacing w:line="360" w:lineRule="auto"/>
        <w:jc w:val="left"/>
        <w:rPr>
          <w:kern w:val="0"/>
          <w:szCs w:val="21"/>
        </w:rPr>
      </w:pPr>
      <w:r>
        <w:rPr>
          <w:b/>
          <w:bCs/>
          <w:kern w:val="0"/>
          <w:szCs w:val="21"/>
        </w:rPr>
        <w:t>主要教学内容及要求</w:t>
      </w:r>
      <w:r>
        <w:rPr>
          <w:kern w:val="0"/>
          <w:szCs w:val="21"/>
        </w:rPr>
        <w:t>：</w:t>
      </w:r>
    </w:p>
    <w:p w14:paraId="7FC52B6B" w14:textId="77777777" w:rsidR="00F5289E" w:rsidRDefault="00C91173">
      <w:pPr>
        <w:widowControl/>
        <w:snapToGrid w:val="0"/>
        <w:spacing w:line="360" w:lineRule="auto"/>
        <w:ind w:firstLineChars="200" w:firstLine="420"/>
        <w:rPr>
          <w:kern w:val="0"/>
          <w:szCs w:val="21"/>
        </w:rPr>
      </w:pPr>
      <w:r>
        <w:rPr>
          <w:rFonts w:hAnsi="宋体"/>
          <w:kern w:val="0"/>
          <w:szCs w:val="21"/>
        </w:rPr>
        <w:t>本节主要简述</w:t>
      </w:r>
      <w:r>
        <w:rPr>
          <w:rFonts w:hAnsi="宋体" w:hint="eastAsia"/>
          <w:kern w:val="0"/>
          <w:szCs w:val="21"/>
        </w:rPr>
        <w:t>园艺植物育种选育对象的主要依据和园艺植物育种的主要目标性状，使学生对园艺植物和园艺植物育种目标性状的形成初步概念，为本课程的深入学习奠定基础</w:t>
      </w:r>
      <w:r>
        <w:rPr>
          <w:rFonts w:hAnsi="宋体"/>
          <w:kern w:val="0"/>
          <w:szCs w:val="21"/>
        </w:rPr>
        <w:t>。</w:t>
      </w:r>
    </w:p>
    <w:p w14:paraId="4A1FAA05" w14:textId="77777777" w:rsidR="00F5289E" w:rsidRDefault="00C91173">
      <w:pPr>
        <w:widowControl/>
        <w:spacing w:line="360" w:lineRule="auto"/>
        <w:ind w:firstLineChars="200" w:firstLine="420"/>
        <w:jc w:val="left"/>
        <w:rPr>
          <w:kern w:val="0"/>
          <w:szCs w:val="21"/>
        </w:rPr>
      </w:pPr>
      <w:r>
        <w:rPr>
          <w:kern w:val="0"/>
          <w:szCs w:val="21"/>
        </w:rPr>
        <w:t>要求学生了解常见的主要育种目标</w:t>
      </w:r>
      <w:r>
        <w:rPr>
          <w:rFonts w:hint="eastAsia"/>
          <w:kern w:val="0"/>
          <w:szCs w:val="21"/>
        </w:rPr>
        <w:t>性状</w:t>
      </w:r>
      <w:r>
        <w:rPr>
          <w:kern w:val="0"/>
          <w:szCs w:val="21"/>
        </w:rPr>
        <w:t>，各种园艺植物的生物学特性与构成育种目标</w:t>
      </w:r>
      <w:r>
        <w:rPr>
          <w:rFonts w:hint="eastAsia"/>
          <w:kern w:val="0"/>
          <w:szCs w:val="21"/>
        </w:rPr>
        <w:t>性状</w:t>
      </w:r>
      <w:r>
        <w:rPr>
          <w:kern w:val="0"/>
          <w:szCs w:val="21"/>
        </w:rPr>
        <w:t>的关系，掌握性状表现及其与环境的关系，并能结合园艺作物特点，指导育种实践。</w:t>
      </w:r>
    </w:p>
    <w:p w14:paraId="3BCA6F4A" w14:textId="77777777" w:rsidR="00F5289E" w:rsidRDefault="00C91173">
      <w:pPr>
        <w:snapToGrid w:val="0"/>
        <w:spacing w:line="360" w:lineRule="auto"/>
        <w:jc w:val="left"/>
        <w:rPr>
          <w:rFonts w:ascii="宋体" w:hAnsi="宋体"/>
          <w:b/>
          <w:bCs/>
        </w:rPr>
      </w:pPr>
      <w:r>
        <w:rPr>
          <w:rFonts w:ascii="宋体" w:hAnsi="宋体" w:hint="eastAsia"/>
          <w:b/>
          <w:bCs/>
        </w:rPr>
        <w:t>教学组织与实施：</w:t>
      </w:r>
      <w:r>
        <w:rPr>
          <w:rFonts w:ascii="宋体" w:hAnsi="宋体" w:hint="eastAsia"/>
        </w:rPr>
        <w:t>本节是园艺植物育种学的基础知识，主要介绍对园艺植物育种对象和园艺植物育种目标性状，</w:t>
      </w:r>
      <w:r>
        <w:rPr>
          <w:rFonts w:ascii="宋体" w:hAnsi="宋体"/>
        </w:rPr>
        <w:t>强化</w:t>
      </w:r>
      <w:r>
        <w:rPr>
          <w:rFonts w:ascii="宋体" w:hAnsi="宋体" w:hint="eastAsia"/>
        </w:rPr>
        <w:t>对</w:t>
      </w:r>
      <w:r>
        <w:rPr>
          <w:rFonts w:ascii="宋体" w:hAnsi="宋体"/>
        </w:rPr>
        <w:t>基本</w:t>
      </w:r>
      <w:r>
        <w:rPr>
          <w:rFonts w:ascii="宋体" w:hAnsi="宋体" w:hint="eastAsia"/>
        </w:rPr>
        <w:t>理论</w:t>
      </w:r>
      <w:r>
        <w:rPr>
          <w:rFonts w:ascii="宋体" w:hAnsi="宋体"/>
        </w:rPr>
        <w:t>的理解</w:t>
      </w:r>
      <w:r>
        <w:rPr>
          <w:rFonts w:ascii="宋体" w:hAnsi="宋体" w:hint="eastAsia"/>
        </w:rPr>
        <w:t>。课程教学过程中充分利用图片和动画，让授课内容更加生动，激发学生对园艺植物育种学这门课程的兴趣，并建立起学好园艺植物育种学的信心。</w:t>
      </w:r>
    </w:p>
    <w:p w14:paraId="601C2BD1" w14:textId="77777777" w:rsidR="00F5289E" w:rsidRDefault="00C91173">
      <w:pPr>
        <w:widowControl/>
        <w:spacing w:line="360" w:lineRule="auto"/>
        <w:jc w:val="left"/>
        <w:rPr>
          <w:kern w:val="0"/>
          <w:szCs w:val="21"/>
        </w:rPr>
      </w:pPr>
      <w:r>
        <w:rPr>
          <w:b/>
          <w:bCs/>
        </w:rPr>
        <w:t>第二节</w:t>
      </w:r>
      <w:r>
        <w:rPr>
          <w:b/>
          <w:bCs/>
        </w:rPr>
        <w:t xml:space="preserve">  </w:t>
      </w:r>
      <w:r>
        <w:rPr>
          <w:b/>
          <w:bCs/>
          <w:kern w:val="0"/>
          <w:szCs w:val="21"/>
        </w:rPr>
        <w:t xml:space="preserve"> </w:t>
      </w:r>
      <w:r>
        <w:rPr>
          <w:rFonts w:hint="eastAsia"/>
          <w:b/>
          <w:bCs/>
          <w:kern w:val="0"/>
          <w:szCs w:val="21"/>
        </w:rPr>
        <w:t>制定育种目标的主要根据和原则（</w:t>
      </w:r>
      <w:r>
        <w:rPr>
          <w:rFonts w:hint="eastAsia"/>
          <w:b/>
          <w:bCs/>
          <w:kern w:val="0"/>
          <w:szCs w:val="21"/>
        </w:rPr>
        <w:t>0.5</w:t>
      </w:r>
      <w:r>
        <w:rPr>
          <w:rFonts w:hint="eastAsia"/>
          <w:b/>
          <w:bCs/>
          <w:kern w:val="0"/>
          <w:szCs w:val="21"/>
        </w:rPr>
        <w:t>学时）</w:t>
      </w:r>
      <w:r>
        <w:rPr>
          <w:rFonts w:hint="eastAsia"/>
          <w:b/>
          <w:bCs/>
          <w:kern w:val="0"/>
          <w:szCs w:val="21"/>
        </w:rPr>
        <w:t xml:space="preserve">                                   </w:t>
      </w:r>
      <w:r>
        <w:rPr>
          <w:b/>
          <w:bCs/>
          <w:kern w:val="0"/>
          <w:szCs w:val="21"/>
        </w:rPr>
        <w:t xml:space="preserve">     </w:t>
      </w:r>
    </w:p>
    <w:p w14:paraId="33C9EB23"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通过对园艺植物育种目标特点</w:t>
      </w:r>
      <w:r>
        <w:rPr>
          <w:rFonts w:ascii="宋体" w:hAnsi="宋体" w:cs="宋体" w:hint="eastAsia"/>
          <w:kern w:val="0"/>
          <w:szCs w:val="21"/>
        </w:rPr>
        <w:t>的</w:t>
      </w:r>
      <w:r>
        <w:rPr>
          <w:rFonts w:hAnsi="宋体" w:hint="eastAsia"/>
          <w:kern w:val="0"/>
          <w:szCs w:val="21"/>
        </w:rPr>
        <w:t>学习，深入了解制定园艺植物育种目标的主要根据，为育种学理论学习奠定基础。</w:t>
      </w:r>
    </w:p>
    <w:p w14:paraId="644E5B01"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明确主要园艺植物育种目标制定的原则和方法，品种的类型及选育特点，以及园艺植物主要的育种目标</w:t>
      </w:r>
      <w:r>
        <w:rPr>
          <w:rFonts w:hint="eastAsia"/>
          <w:kern w:val="0"/>
          <w:szCs w:val="21"/>
        </w:rPr>
        <w:t>，理清育种目标制定过程中应妥善处理的几个关系。</w:t>
      </w:r>
    </w:p>
    <w:p w14:paraId="2D062588"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FDAA906" w14:textId="77777777" w:rsidR="00F5289E" w:rsidRDefault="00C91173">
      <w:pPr>
        <w:widowControl/>
        <w:snapToGrid w:val="0"/>
        <w:spacing w:line="360" w:lineRule="auto"/>
        <w:ind w:firstLineChars="200" w:firstLine="420"/>
        <w:rPr>
          <w:rFonts w:hAnsi="宋体"/>
          <w:kern w:val="0"/>
          <w:szCs w:val="21"/>
        </w:rPr>
      </w:pPr>
      <w:r>
        <w:rPr>
          <w:rFonts w:hAnsi="宋体"/>
          <w:kern w:val="0"/>
          <w:szCs w:val="21"/>
        </w:rPr>
        <w:t>本节主要简述</w:t>
      </w:r>
      <w:r>
        <w:rPr>
          <w:rFonts w:hAnsi="宋体" w:hint="eastAsia"/>
          <w:kern w:val="0"/>
          <w:szCs w:val="21"/>
        </w:rPr>
        <w:t>园艺植物育种目标的多样性、强调优质、供应期及兼用型等特点</w:t>
      </w:r>
      <w:r>
        <w:rPr>
          <w:rFonts w:hAnsi="宋体"/>
          <w:kern w:val="0"/>
          <w:szCs w:val="21"/>
        </w:rPr>
        <w:t>，重点介绍</w:t>
      </w:r>
      <w:r>
        <w:rPr>
          <w:rFonts w:hAnsi="宋体" w:hint="eastAsia"/>
          <w:kern w:val="0"/>
          <w:szCs w:val="21"/>
        </w:rPr>
        <w:t>制定</w:t>
      </w:r>
      <w:r>
        <w:rPr>
          <w:kern w:val="0"/>
          <w:szCs w:val="21"/>
        </w:rPr>
        <w:t>园艺植物育种目标制定的原则</w:t>
      </w:r>
      <w:r>
        <w:rPr>
          <w:rFonts w:hAnsi="宋体"/>
          <w:kern w:val="0"/>
          <w:szCs w:val="21"/>
        </w:rPr>
        <w:t>。</w:t>
      </w:r>
    </w:p>
    <w:p w14:paraId="6293241E"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要求学生了解园艺植物育种目标的特点，掌握园艺植物育种目标的制定依据，明确育种目标制定的原则。</w:t>
      </w:r>
    </w:p>
    <w:p w14:paraId="41DD840A" w14:textId="77777777" w:rsidR="00F5289E" w:rsidRDefault="00C91173">
      <w:pPr>
        <w:widowControl/>
        <w:spacing w:line="360" w:lineRule="auto"/>
        <w:jc w:val="left"/>
        <w:rPr>
          <w:kern w:val="0"/>
          <w:szCs w:val="21"/>
        </w:rPr>
      </w:pPr>
      <w:r>
        <w:rPr>
          <w:b/>
          <w:bCs/>
          <w:kern w:val="0"/>
          <w:szCs w:val="21"/>
        </w:rPr>
        <w:lastRenderedPageBreak/>
        <w:t>教学组织与实施：</w:t>
      </w:r>
      <w:r>
        <w:rPr>
          <w:kern w:val="0"/>
          <w:szCs w:val="21"/>
        </w:rPr>
        <w:t>课堂讲授方式结合大量图片资料介绍</w:t>
      </w:r>
      <w:r>
        <w:rPr>
          <w:rFonts w:hint="eastAsia"/>
          <w:kern w:val="0"/>
          <w:szCs w:val="21"/>
        </w:rPr>
        <w:t>育种目标的</w:t>
      </w:r>
      <w:r>
        <w:rPr>
          <w:kern w:val="0"/>
          <w:szCs w:val="21"/>
        </w:rPr>
        <w:t>特点。学生根据课堂学习园艺植物育种主要育种目标及制定目标的主要根据和原则，选择一种园艺植物通过市场调查，制定育种目标，并进行分组讨论。</w:t>
      </w:r>
    </w:p>
    <w:p w14:paraId="6A1F581C" w14:textId="77777777" w:rsidR="00F5289E" w:rsidRDefault="00C91173">
      <w:pPr>
        <w:spacing w:line="360" w:lineRule="auto"/>
        <w:ind w:firstLineChars="1400" w:firstLine="2951"/>
        <w:rPr>
          <w:kern w:val="0"/>
          <w:szCs w:val="21"/>
        </w:rPr>
      </w:pPr>
      <w:r>
        <w:rPr>
          <w:b/>
          <w:bCs/>
          <w:kern w:val="0"/>
          <w:szCs w:val="21"/>
        </w:rPr>
        <w:t>第二章</w:t>
      </w:r>
      <w:r>
        <w:rPr>
          <w:b/>
          <w:bCs/>
          <w:kern w:val="0"/>
          <w:szCs w:val="21"/>
        </w:rPr>
        <w:t xml:space="preserve">  </w:t>
      </w:r>
      <w:r>
        <w:rPr>
          <w:b/>
          <w:bCs/>
          <w:kern w:val="0"/>
          <w:szCs w:val="21"/>
        </w:rPr>
        <w:t>园艺植物的种质资源</w:t>
      </w:r>
      <w:r>
        <w:rPr>
          <w:b/>
          <w:bCs/>
          <w:kern w:val="0"/>
          <w:szCs w:val="21"/>
        </w:rPr>
        <w:t xml:space="preserve">                      </w:t>
      </w:r>
      <w:r>
        <w:rPr>
          <w:b/>
          <w:bCs/>
          <w:kern w:val="0"/>
          <w:szCs w:val="21"/>
        </w:rPr>
        <w:t>学时数：</w:t>
      </w:r>
      <w:r>
        <w:rPr>
          <w:b/>
          <w:bCs/>
          <w:kern w:val="0"/>
          <w:szCs w:val="21"/>
        </w:rPr>
        <w:t>2</w:t>
      </w:r>
    </w:p>
    <w:p w14:paraId="4F841A44" w14:textId="77777777" w:rsidR="00F5289E" w:rsidRDefault="00C91173">
      <w:pPr>
        <w:widowControl/>
        <w:spacing w:line="360" w:lineRule="auto"/>
        <w:jc w:val="left"/>
        <w:rPr>
          <w:b/>
          <w:bCs/>
          <w:kern w:val="0"/>
          <w:szCs w:val="21"/>
        </w:rPr>
      </w:pPr>
      <w:r>
        <w:rPr>
          <w:b/>
          <w:bCs/>
        </w:rPr>
        <w:t>第一节</w:t>
      </w:r>
      <w:r>
        <w:rPr>
          <w:b/>
          <w:bCs/>
        </w:rPr>
        <w:t xml:space="preserve">  </w:t>
      </w:r>
      <w:r>
        <w:rPr>
          <w:b/>
          <w:bCs/>
          <w:kern w:val="0"/>
          <w:szCs w:val="21"/>
        </w:rPr>
        <w:t>种质资源的概念和意义</w:t>
      </w:r>
      <w:r>
        <w:rPr>
          <w:rFonts w:hint="eastAsia"/>
          <w:b/>
          <w:bCs/>
          <w:kern w:val="0"/>
          <w:szCs w:val="21"/>
        </w:rPr>
        <w:t>（</w:t>
      </w:r>
      <w:r>
        <w:rPr>
          <w:rFonts w:hint="eastAsia"/>
          <w:b/>
          <w:bCs/>
          <w:kern w:val="0"/>
          <w:szCs w:val="21"/>
        </w:rPr>
        <w:t>0.5</w:t>
      </w:r>
      <w:r>
        <w:rPr>
          <w:rFonts w:hint="eastAsia"/>
          <w:b/>
          <w:bCs/>
          <w:kern w:val="0"/>
          <w:szCs w:val="21"/>
        </w:rPr>
        <w:t>学时）</w:t>
      </w:r>
      <w:r>
        <w:rPr>
          <w:rFonts w:hint="eastAsia"/>
          <w:b/>
          <w:bCs/>
          <w:kern w:val="0"/>
          <w:szCs w:val="21"/>
        </w:rPr>
        <w:t xml:space="preserve"> </w:t>
      </w:r>
    </w:p>
    <w:p w14:paraId="19F0725B"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通过对园艺植物种质和种质资源概念</w:t>
      </w:r>
      <w:r>
        <w:rPr>
          <w:rFonts w:ascii="宋体" w:hAnsi="宋体" w:cs="宋体" w:hint="eastAsia"/>
          <w:kern w:val="0"/>
          <w:szCs w:val="21"/>
        </w:rPr>
        <w:t>的</w:t>
      </w:r>
      <w:r>
        <w:rPr>
          <w:rFonts w:hAnsi="宋体" w:hint="eastAsia"/>
          <w:kern w:val="0"/>
          <w:szCs w:val="21"/>
        </w:rPr>
        <w:t>学习，从材料基础的角度了解种质资源在园艺植物育种中的重要作用，为园艺植物育种理论学习奠定基础。</w:t>
      </w:r>
    </w:p>
    <w:p w14:paraId="385FC3C2"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重点介绍园艺植物种质和种质资源的概念及其在育种过程中的重要性；种质资源对园艺植物育种的基础作用和重要意义。其中种质资源的类别为其难点。</w:t>
      </w:r>
    </w:p>
    <w:p w14:paraId="4CE5B3E1"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2332A6BE" w14:textId="77777777" w:rsidR="00F5289E" w:rsidRDefault="00C91173">
      <w:pPr>
        <w:widowControl/>
        <w:spacing w:line="360" w:lineRule="auto"/>
        <w:ind w:firstLineChars="200" w:firstLine="420"/>
        <w:jc w:val="left"/>
        <w:rPr>
          <w:kern w:val="0"/>
          <w:szCs w:val="21"/>
        </w:rPr>
      </w:pPr>
      <w:r>
        <w:rPr>
          <w:kern w:val="0"/>
          <w:szCs w:val="21"/>
        </w:rPr>
        <w:t>本</w:t>
      </w:r>
      <w:r>
        <w:rPr>
          <w:rFonts w:hint="eastAsia"/>
          <w:kern w:val="0"/>
          <w:szCs w:val="21"/>
        </w:rPr>
        <w:t>接</w:t>
      </w:r>
      <w:r>
        <w:rPr>
          <w:kern w:val="0"/>
          <w:szCs w:val="21"/>
        </w:rPr>
        <w:t>主要介绍园艺植物种质资源及其现状；介绍种质资源的构成分类及其特点。</w:t>
      </w:r>
    </w:p>
    <w:p w14:paraId="69337EFE" w14:textId="77777777" w:rsidR="00F5289E" w:rsidRDefault="00C91173">
      <w:pPr>
        <w:widowControl/>
        <w:spacing w:line="360" w:lineRule="auto"/>
        <w:ind w:firstLineChars="200" w:firstLine="420"/>
        <w:jc w:val="left"/>
        <w:rPr>
          <w:kern w:val="0"/>
          <w:szCs w:val="21"/>
        </w:rPr>
      </w:pPr>
      <w:r>
        <w:rPr>
          <w:kern w:val="0"/>
          <w:szCs w:val="21"/>
        </w:rPr>
        <w:t>要求学生了解常见的主要种质资源，各种园艺植物种质资源的生物学特性与育种的关系，掌握种质资源与环境的关系，并能结合园艺种质资源的特点应用于育种实践。</w:t>
      </w:r>
    </w:p>
    <w:p w14:paraId="779BCA69" w14:textId="77777777" w:rsidR="00F5289E" w:rsidRDefault="00C91173">
      <w:pPr>
        <w:widowControl/>
        <w:spacing w:line="360" w:lineRule="auto"/>
        <w:ind w:firstLineChars="200" w:firstLine="422"/>
        <w:jc w:val="left"/>
        <w:rPr>
          <w:b/>
          <w:bCs/>
          <w:kern w:val="0"/>
          <w:szCs w:val="21"/>
        </w:rPr>
      </w:pPr>
      <w:r>
        <w:rPr>
          <w:rFonts w:ascii="宋体" w:hAnsi="宋体" w:hint="eastAsia"/>
          <w:b/>
          <w:bCs/>
        </w:rPr>
        <w:t>教学组织与实施：</w:t>
      </w:r>
      <w:r>
        <w:rPr>
          <w:kern w:val="0"/>
          <w:szCs w:val="21"/>
        </w:rPr>
        <w:t>介绍什么是种质资源，其表现的特点有哪些？从大的生态系统角度介绍各种园艺植物种质资源与育种的关系，从而得出种质资源数量和质量的多少是衡量育种能力强弱的结论；从生态系统等方面强调研究种质资源的重要性和迫切性。</w:t>
      </w:r>
    </w:p>
    <w:p w14:paraId="2EB10CD1" w14:textId="77777777" w:rsidR="00F5289E" w:rsidRDefault="00C91173" w:rsidP="00A115EF">
      <w:pPr>
        <w:widowControl/>
        <w:numPr>
          <w:ilvl w:val="0"/>
          <w:numId w:val="44"/>
        </w:numPr>
        <w:spacing w:line="360" w:lineRule="auto"/>
        <w:jc w:val="left"/>
        <w:rPr>
          <w:b/>
          <w:bCs/>
          <w:kern w:val="0"/>
          <w:szCs w:val="21"/>
        </w:rPr>
      </w:pPr>
      <w:r>
        <w:rPr>
          <w:b/>
          <w:bCs/>
        </w:rPr>
        <w:t xml:space="preserve"> </w:t>
      </w:r>
      <w:r>
        <w:rPr>
          <w:b/>
          <w:bCs/>
          <w:kern w:val="0"/>
          <w:szCs w:val="21"/>
        </w:rPr>
        <w:t>我国园艺植物种质资源的特点和现状</w:t>
      </w:r>
      <w:r>
        <w:rPr>
          <w:rFonts w:hint="eastAsia"/>
          <w:b/>
          <w:bCs/>
          <w:kern w:val="0"/>
          <w:szCs w:val="21"/>
        </w:rPr>
        <w:t>（</w:t>
      </w:r>
      <w:r>
        <w:rPr>
          <w:rFonts w:hint="eastAsia"/>
          <w:b/>
          <w:bCs/>
          <w:kern w:val="0"/>
          <w:szCs w:val="21"/>
        </w:rPr>
        <w:t>0.5</w:t>
      </w:r>
      <w:r>
        <w:rPr>
          <w:rFonts w:hint="eastAsia"/>
          <w:b/>
          <w:bCs/>
          <w:kern w:val="0"/>
          <w:szCs w:val="21"/>
        </w:rPr>
        <w:t>学时）</w:t>
      </w:r>
      <w:r>
        <w:rPr>
          <w:rFonts w:hint="eastAsia"/>
          <w:b/>
          <w:bCs/>
          <w:kern w:val="0"/>
          <w:szCs w:val="21"/>
        </w:rPr>
        <w:t xml:space="preserve"> </w:t>
      </w:r>
    </w:p>
    <w:p w14:paraId="59456C57"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hAnsi="宋体" w:hint="eastAsia"/>
          <w:kern w:val="0"/>
          <w:szCs w:val="21"/>
        </w:rPr>
        <w:t>通过了解我国园艺植物种质资源的特点和现有种质资源面临迅速流失等重大威胁的问题，使学生明确现阶段我国园艺植物种质资源的重点工作及保护种质资源的迫切性。</w:t>
      </w:r>
    </w:p>
    <w:p w14:paraId="575A2B35"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重点介绍</w:t>
      </w:r>
      <w:r>
        <w:rPr>
          <w:rFonts w:hAnsi="宋体" w:hint="eastAsia"/>
          <w:kern w:val="0"/>
          <w:szCs w:val="21"/>
        </w:rPr>
        <w:t>我国园艺植物种质资源的特点和现有种质资源面临迅速流失等重大威胁</w:t>
      </w:r>
      <w:r>
        <w:rPr>
          <w:rFonts w:ascii="宋体" w:hAnsi="宋体" w:cs="宋体" w:hint="eastAsia"/>
          <w:kern w:val="0"/>
          <w:szCs w:val="21"/>
        </w:rPr>
        <w:t>。其中</w:t>
      </w:r>
      <w:r>
        <w:rPr>
          <w:rFonts w:hAnsi="宋体" w:hint="eastAsia"/>
          <w:kern w:val="0"/>
          <w:szCs w:val="21"/>
        </w:rPr>
        <w:t>现有种质资源面临迅速流失等重大威胁</w:t>
      </w:r>
      <w:r>
        <w:rPr>
          <w:rFonts w:ascii="宋体" w:hAnsi="宋体" w:cs="宋体" w:hint="eastAsia"/>
          <w:kern w:val="0"/>
          <w:szCs w:val="21"/>
        </w:rPr>
        <w:t>为其难点。</w:t>
      </w:r>
    </w:p>
    <w:p w14:paraId="393875C8"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460B5837" w14:textId="77777777" w:rsidR="00F5289E" w:rsidRDefault="00C91173">
      <w:pPr>
        <w:widowControl/>
        <w:spacing w:line="360" w:lineRule="auto"/>
        <w:ind w:firstLineChars="200" w:firstLine="420"/>
        <w:jc w:val="left"/>
        <w:rPr>
          <w:kern w:val="0"/>
          <w:szCs w:val="21"/>
        </w:rPr>
      </w:pPr>
      <w:r>
        <w:rPr>
          <w:kern w:val="0"/>
          <w:szCs w:val="21"/>
        </w:rPr>
        <w:t>本</w:t>
      </w:r>
      <w:r>
        <w:rPr>
          <w:rFonts w:hint="eastAsia"/>
          <w:kern w:val="0"/>
          <w:szCs w:val="21"/>
        </w:rPr>
        <w:t>接</w:t>
      </w:r>
      <w:r>
        <w:rPr>
          <w:kern w:val="0"/>
          <w:szCs w:val="21"/>
        </w:rPr>
        <w:t>主要介绍园艺植物种质资源</w:t>
      </w:r>
      <w:r>
        <w:rPr>
          <w:rFonts w:hint="eastAsia"/>
          <w:kern w:val="0"/>
          <w:szCs w:val="21"/>
        </w:rPr>
        <w:t>的分布、特点</w:t>
      </w:r>
      <w:r>
        <w:rPr>
          <w:kern w:val="0"/>
          <w:szCs w:val="21"/>
        </w:rPr>
        <w:t>及其现状；介绍</w:t>
      </w:r>
      <w:r>
        <w:rPr>
          <w:rFonts w:hAnsi="宋体" w:hint="eastAsia"/>
          <w:kern w:val="0"/>
          <w:szCs w:val="21"/>
        </w:rPr>
        <w:t>现有种质资源面临的过度放牧、盲目滥垦、环境污染等问题</w:t>
      </w:r>
      <w:r>
        <w:rPr>
          <w:kern w:val="0"/>
          <w:szCs w:val="21"/>
        </w:rPr>
        <w:t>。</w:t>
      </w:r>
    </w:p>
    <w:p w14:paraId="3C4418A9" w14:textId="77777777" w:rsidR="00F5289E" w:rsidRDefault="00C91173">
      <w:pPr>
        <w:widowControl/>
        <w:spacing w:line="360" w:lineRule="auto"/>
        <w:ind w:firstLineChars="200" w:firstLine="420"/>
        <w:jc w:val="left"/>
        <w:rPr>
          <w:kern w:val="0"/>
          <w:szCs w:val="21"/>
        </w:rPr>
      </w:pPr>
      <w:r>
        <w:rPr>
          <w:kern w:val="0"/>
          <w:szCs w:val="21"/>
        </w:rPr>
        <w:t>要求学生了解</w:t>
      </w:r>
      <w:r>
        <w:rPr>
          <w:rFonts w:hint="eastAsia"/>
          <w:kern w:val="0"/>
          <w:szCs w:val="21"/>
        </w:rPr>
        <w:t>我国种质资源的特点和所面临的问题</w:t>
      </w:r>
      <w:r>
        <w:rPr>
          <w:kern w:val="0"/>
          <w:szCs w:val="21"/>
        </w:rPr>
        <w:t>，掌握种质资源与环境的关系。</w:t>
      </w:r>
    </w:p>
    <w:p w14:paraId="1B72EDB4" w14:textId="77777777" w:rsidR="00F5289E" w:rsidRDefault="00C91173">
      <w:pPr>
        <w:widowControl/>
        <w:spacing w:line="360" w:lineRule="auto"/>
        <w:jc w:val="left"/>
        <w:rPr>
          <w:b/>
          <w:bCs/>
          <w:kern w:val="0"/>
          <w:szCs w:val="21"/>
        </w:rPr>
      </w:pPr>
      <w:r>
        <w:rPr>
          <w:rFonts w:ascii="宋体" w:hAnsi="宋体" w:hint="eastAsia"/>
          <w:b/>
          <w:bCs/>
        </w:rPr>
        <w:t>教学组织与实施：</w:t>
      </w:r>
      <w:r>
        <w:rPr>
          <w:kern w:val="0"/>
          <w:szCs w:val="21"/>
        </w:rPr>
        <w:t>课堂讲授方式结合大量图片资料介绍</w:t>
      </w:r>
      <w:r>
        <w:rPr>
          <w:rFonts w:hint="eastAsia"/>
          <w:kern w:val="0"/>
          <w:szCs w:val="21"/>
        </w:rPr>
        <w:t>我国种质资源的分布及各地种质资源的特点；</w:t>
      </w:r>
      <w:r>
        <w:rPr>
          <w:kern w:val="0"/>
          <w:szCs w:val="21"/>
        </w:rPr>
        <w:t>从大的生态系统角度介绍各种园艺植物种质资源与育种的关系</w:t>
      </w:r>
      <w:r>
        <w:rPr>
          <w:rFonts w:hint="eastAsia"/>
          <w:kern w:val="0"/>
          <w:szCs w:val="21"/>
        </w:rPr>
        <w:t>；</w:t>
      </w:r>
      <w:r>
        <w:rPr>
          <w:kern w:val="0"/>
          <w:szCs w:val="21"/>
        </w:rPr>
        <w:t>从生态系统等方面强调研究种质资源的重要性和迫切性。</w:t>
      </w:r>
    </w:p>
    <w:p w14:paraId="2315D1DB" w14:textId="77777777" w:rsidR="00F5289E" w:rsidRDefault="00C91173">
      <w:pPr>
        <w:widowControl/>
        <w:spacing w:line="360" w:lineRule="auto"/>
        <w:jc w:val="left"/>
        <w:rPr>
          <w:b/>
          <w:bCs/>
        </w:rPr>
      </w:pPr>
      <w:r>
        <w:rPr>
          <w:b/>
          <w:bCs/>
        </w:rPr>
        <w:t>第三节</w:t>
      </w:r>
      <w:r>
        <w:rPr>
          <w:b/>
          <w:bCs/>
        </w:rPr>
        <w:t xml:space="preserve">  </w:t>
      </w:r>
      <w:r>
        <w:rPr>
          <w:b/>
          <w:bCs/>
          <w:kern w:val="0"/>
          <w:szCs w:val="21"/>
        </w:rPr>
        <w:t>种质资源的分类、收集和保存</w:t>
      </w:r>
      <w:r>
        <w:rPr>
          <w:rFonts w:hint="eastAsia"/>
          <w:b/>
          <w:bCs/>
          <w:kern w:val="0"/>
          <w:szCs w:val="21"/>
        </w:rPr>
        <w:t>（</w:t>
      </w:r>
      <w:r>
        <w:rPr>
          <w:rFonts w:hint="eastAsia"/>
          <w:b/>
          <w:bCs/>
          <w:kern w:val="0"/>
          <w:szCs w:val="21"/>
        </w:rPr>
        <w:t>1</w:t>
      </w:r>
      <w:r>
        <w:rPr>
          <w:rFonts w:hint="eastAsia"/>
          <w:b/>
          <w:bCs/>
          <w:kern w:val="0"/>
          <w:szCs w:val="21"/>
        </w:rPr>
        <w:t>学时）</w:t>
      </w:r>
      <w:r>
        <w:rPr>
          <w:rFonts w:hint="eastAsia"/>
          <w:b/>
          <w:bCs/>
          <w:kern w:val="0"/>
          <w:szCs w:val="21"/>
        </w:rPr>
        <w:t xml:space="preserve"> </w:t>
      </w:r>
    </w:p>
    <w:p w14:paraId="172092A2" w14:textId="77777777" w:rsidR="00F5289E" w:rsidRDefault="00C91173">
      <w:pPr>
        <w:widowControl/>
        <w:snapToGrid w:val="0"/>
        <w:spacing w:line="360" w:lineRule="auto"/>
        <w:rPr>
          <w:rFonts w:hAnsi="宋体"/>
          <w:kern w:val="0"/>
          <w:szCs w:val="21"/>
        </w:rPr>
      </w:pPr>
      <w:r>
        <w:rPr>
          <w:rFonts w:ascii="宋体" w:hAnsi="宋体" w:hint="eastAsia"/>
          <w:b/>
          <w:bCs/>
        </w:rPr>
        <w:lastRenderedPageBreak/>
        <w:t>教学目标：</w:t>
      </w:r>
      <w:r>
        <w:rPr>
          <w:rFonts w:hAnsi="宋体" w:hint="eastAsia"/>
          <w:kern w:val="0"/>
          <w:szCs w:val="21"/>
        </w:rPr>
        <w:t>通过对种质资源的分类介绍，了解各类种质资源的特点；结合现有各类种质资源的特点和技术措施，介绍种质资源保存的主要方法和技术手段，进一步加深对园艺植物种子资源种类和保存方法的认识。</w:t>
      </w:r>
    </w:p>
    <w:p w14:paraId="57A5FCAF"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cs="宋体" w:hint="eastAsia"/>
          <w:kern w:val="0"/>
          <w:szCs w:val="21"/>
        </w:rPr>
        <w:t>重点介绍园艺植物</w:t>
      </w:r>
      <w:r>
        <w:rPr>
          <w:rFonts w:hAnsi="宋体" w:hint="eastAsia"/>
          <w:kern w:val="0"/>
          <w:szCs w:val="21"/>
        </w:rPr>
        <w:t>种质资源的分类和各类种质的资源以及种质资源的保存措施</w:t>
      </w:r>
      <w:r>
        <w:rPr>
          <w:rFonts w:ascii="宋体" w:hAnsi="宋体" w:cs="宋体" w:hint="eastAsia"/>
          <w:kern w:val="0"/>
          <w:szCs w:val="21"/>
        </w:rPr>
        <w:t>。其中种质资源的保存方法和措施为其难点。</w:t>
      </w:r>
    </w:p>
    <w:p w14:paraId="15DBA962"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26FDC5FB" w14:textId="77777777" w:rsidR="00F5289E" w:rsidRDefault="00C91173">
      <w:pPr>
        <w:widowControl/>
        <w:snapToGrid w:val="0"/>
        <w:spacing w:line="360" w:lineRule="auto"/>
        <w:ind w:firstLineChars="200" w:firstLine="420"/>
        <w:rPr>
          <w:rFonts w:hAnsi="宋体"/>
          <w:kern w:val="0"/>
          <w:szCs w:val="21"/>
        </w:rPr>
      </w:pPr>
      <w:r>
        <w:rPr>
          <w:rFonts w:hAnsi="宋体"/>
          <w:kern w:val="0"/>
          <w:szCs w:val="21"/>
        </w:rPr>
        <w:t>本节主要简述</w:t>
      </w:r>
      <w:r>
        <w:rPr>
          <w:rFonts w:ascii="宋体" w:hAnsi="宋体" w:cs="宋体" w:hint="eastAsia"/>
          <w:kern w:val="0"/>
          <w:szCs w:val="21"/>
        </w:rPr>
        <w:t>园艺植物</w:t>
      </w:r>
      <w:r>
        <w:rPr>
          <w:rFonts w:hAnsi="宋体" w:hint="eastAsia"/>
          <w:kern w:val="0"/>
          <w:szCs w:val="21"/>
        </w:rPr>
        <w:t>种质资源的不同种类</w:t>
      </w:r>
      <w:r>
        <w:rPr>
          <w:rFonts w:hAnsi="宋体"/>
          <w:kern w:val="0"/>
          <w:szCs w:val="21"/>
        </w:rPr>
        <w:t>，重点介绍</w:t>
      </w:r>
      <w:r>
        <w:rPr>
          <w:rFonts w:hAnsi="宋体" w:hint="eastAsia"/>
          <w:kern w:val="0"/>
          <w:szCs w:val="21"/>
        </w:rPr>
        <w:t>园艺植物种质资源的就地保存、迁地保存、种植保存、种子保存、基因文库保存等不同保存方式和种类</w:t>
      </w:r>
      <w:r>
        <w:rPr>
          <w:rFonts w:hAnsi="宋体"/>
          <w:kern w:val="0"/>
          <w:szCs w:val="21"/>
        </w:rPr>
        <w:t>。</w:t>
      </w:r>
    </w:p>
    <w:p w14:paraId="70A0FC8E" w14:textId="77777777" w:rsidR="00F5289E" w:rsidRDefault="00C91173">
      <w:pPr>
        <w:widowControl/>
        <w:snapToGrid w:val="0"/>
        <w:spacing w:line="360" w:lineRule="auto"/>
        <w:ind w:firstLineChars="200" w:firstLine="420"/>
        <w:rPr>
          <w:rFonts w:hAnsi="宋体"/>
          <w:kern w:val="0"/>
          <w:szCs w:val="21"/>
        </w:rPr>
      </w:pPr>
      <w:r>
        <w:rPr>
          <w:rFonts w:hAnsi="宋体" w:hint="eastAsia"/>
          <w:kern w:val="0"/>
          <w:szCs w:val="21"/>
        </w:rPr>
        <w:t>要求学生根据园艺植物的不同特点了解其分类，并能根据其特点，制定适当的种质资源保存方法和措施。</w:t>
      </w:r>
    </w:p>
    <w:p w14:paraId="6B05D3A3" w14:textId="77777777" w:rsidR="00F5289E" w:rsidRDefault="00C91173">
      <w:pPr>
        <w:spacing w:line="360" w:lineRule="auto"/>
        <w:rPr>
          <w:kern w:val="0"/>
          <w:szCs w:val="21"/>
        </w:rPr>
      </w:pPr>
      <w:r>
        <w:rPr>
          <w:rFonts w:ascii="宋体" w:hAnsi="宋体" w:hint="eastAsia"/>
          <w:b/>
          <w:bCs/>
        </w:rPr>
        <w:t>教学组织与实施：</w:t>
      </w:r>
      <w:r>
        <w:t>通过课堂授课结合大量图片资料学习园艺植物种质资源的类别和特点；结合视频等网络资源</w:t>
      </w:r>
      <w:r>
        <w:rPr>
          <w:rFonts w:hint="eastAsia"/>
        </w:rPr>
        <w:t>和</w:t>
      </w:r>
      <w:r>
        <w:t>参观学习了解种质资源的保存方法，种质资源的评价利用。</w:t>
      </w:r>
    </w:p>
    <w:p w14:paraId="5994FE63" w14:textId="77777777" w:rsidR="00F5289E" w:rsidRDefault="00F5289E">
      <w:pPr>
        <w:spacing w:line="360" w:lineRule="auto"/>
        <w:rPr>
          <w:b/>
          <w:bCs/>
          <w:kern w:val="0"/>
          <w:szCs w:val="21"/>
        </w:rPr>
      </w:pPr>
    </w:p>
    <w:p w14:paraId="43F004A4" w14:textId="77777777" w:rsidR="00F5289E" w:rsidRDefault="00C91173">
      <w:pPr>
        <w:spacing w:line="360" w:lineRule="auto"/>
        <w:ind w:firstLineChars="1600" w:firstLine="3373"/>
        <w:rPr>
          <w:b/>
          <w:bCs/>
        </w:rPr>
      </w:pPr>
      <w:r>
        <w:rPr>
          <w:b/>
          <w:bCs/>
          <w:kern w:val="0"/>
          <w:szCs w:val="21"/>
        </w:rPr>
        <w:t>第三章</w:t>
      </w:r>
      <w:r>
        <w:rPr>
          <w:b/>
          <w:bCs/>
          <w:kern w:val="0"/>
          <w:szCs w:val="21"/>
        </w:rPr>
        <w:t xml:space="preserve">  </w:t>
      </w:r>
      <w:r>
        <w:rPr>
          <w:b/>
          <w:bCs/>
          <w:kern w:val="0"/>
          <w:szCs w:val="21"/>
        </w:rPr>
        <w:t>引种</w:t>
      </w:r>
      <w:r>
        <w:rPr>
          <w:b/>
          <w:bCs/>
          <w:kern w:val="0"/>
          <w:szCs w:val="21"/>
        </w:rPr>
        <w:t xml:space="preserve">  </w:t>
      </w:r>
      <w:r>
        <w:rPr>
          <w:kern w:val="0"/>
          <w:szCs w:val="21"/>
        </w:rPr>
        <w:t xml:space="preserve">                              </w:t>
      </w:r>
      <w:r>
        <w:rPr>
          <w:b/>
          <w:bCs/>
        </w:rPr>
        <w:t>学时数：</w:t>
      </w:r>
      <w:r>
        <w:rPr>
          <w:b/>
          <w:bCs/>
        </w:rPr>
        <w:t>1</w:t>
      </w:r>
    </w:p>
    <w:p w14:paraId="69EED7E6" w14:textId="77777777" w:rsidR="00F5289E" w:rsidRDefault="00C91173" w:rsidP="00A115EF">
      <w:pPr>
        <w:widowControl/>
        <w:numPr>
          <w:ilvl w:val="0"/>
          <w:numId w:val="45"/>
        </w:numPr>
        <w:spacing w:line="360" w:lineRule="auto"/>
        <w:jc w:val="left"/>
        <w:rPr>
          <w:b/>
          <w:bCs/>
          <w:kern w:val="0"/>
          <w:szCs w:val="21"/>
        </w:rPr>
      </w:pPr>
      <w:r>
        <w:rPr>
          <w:b/>
          <w:bCs/>
          <w:kern w:val="0"/>
          <w:szCs w:val="21"/>
        </w:rPr>
        <w:t xml:space="preserve"> </w:t>
      </w:r>
      <w:r>
        <w:rPr>
          <w:b/>
          <w:bCs/>
          <w:kern w:val="0"/>
          <w:szCs w:val="21"/>
        </w:rPr>
        <w:t>引种驯化的概念和意义</w:t>
      </w:r>
      <w:r>
        <w:rPr>
          <w:rFonts w:hint="eastAsia"/>
          <w:b/>
          <w:bCs/>
          <w:kern w:val="0"/>
          <w:szCs w:val="21"/>
        </w:rPr>
        <w:t>（</w:t>
      </w:r>
      <w:r>
        <w:rPr>
          <w:rFonts w:hint="eastAsia"/>
          <w:b/>
          <w:bCs/>
          <w:kern w:val="0"/>
          <w:szCs w:val="21"/>
        </w:rPr>
        <w:t>0.5</w:t>
      </w:r>
      <w:r>
        <w:rPr>
          <w:rFonts w:hint="eastAsia"/>
          <w:b/>
          <w:bCs/>
          <w:kern w:val="0"/>
          <w:szCs w:val="21"/>
        </w:rPr>
        <w:t>学时）</w:t>
      </w:r>
    </w:p>
    <w:p w14:paraId="0ADD87F9" w14:textId="77777777" w:rsidR="00F5289E" w:rsidRDefault="00C91173">
      <w:pPr>
        <w:widowControl/>
        <w:snapToGrid w:val="0"/>
        <w:spacing w:line="360" w:lineRule="auto"/>
        <w:rPr>
          <w:rFonts w:hAnsi="宋体"/>
          <w:kern w:val="0"/>
          <w:szCs w:val="21"/>
        </w:rPr>
      </w:pPr>
      <w:r>
        <w:rPr>
          <w:rFonts w:ascii="宋体" w:hAnsi="宋体" w:hint="eastAsia"/>
          <w:b/>
          <w:bCs/>
        </w:rPr>
        <w:t>教学目标：</w:t>
      </w:r>
      <w:r>
        <w:rPr>
          <w:rFonts w:ascii="宋体" w:hAnsi="宋体" w:hint="eastAsia"/>
        </w:rPr>
        <w:t>通过园艺植物引种内容的介绍，认识引种工作在现代育种中的重要性。</w:t>
      </w:r>
    </w:p>
    <w:p w14:paraId="6FB600C5"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重点介绍引种的概念和特点，其中简单引种和驯化引种</w:t>
      </w:r>
      <w:r>
        <w:rPr>
          <w:rFonts w:hint="eastAsia"/>
          <w:kern w:val="0"/>
          <w:szCs w:val="21"/>
        </w:rPr>
        <w:t>在引种程序和遗传学原理</w:t>
      </w:r>
      <w:r>
        <w:rPr>
          <w:kern w:val="0"/>
          <w:szCs w:val="21"/>
        </w:rPr>
        <w:t>的区别是重点和难点。</w:t>
      </w:r>
    </w:p>
    <w:p w14:paraId="344870F1"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A218C44" w14:textId="77777777" w:rsidR="00F5289E" w:rsidRDefault="00C91173">
      <w:pPr>
        <w:widowControl/>
        <w:spacing w:line="360" w:lineRule="auto"/>
        <w:ind w:firstLineChars="200" w:firstLine="420"/>
        <w:jc w:val="left"/>
        <w:rPr>
          <w:kern w:val="0"/>
          <w:szCs w:val="21"/>
        </w:rPr>
      </w:pPr>
      <w:r>
        <w:rPr>
          <w:kern w:val="0"/>
          <w:szCs w:val="21"/>
        </w:rPr>
        <w:t>本章主要介绍园艺植物引种成就及其现状；介绍引种的分类及其特点。</w:t>
      </w:r>
    </w:p>
    <w:p w14:paraId="540EE7D1" w14:textId="77777777" w:rsidR="00F5289E" w:rsidRDefault="00C91173">
      <w:pPr>
        <w:widowControl/>
        <w:spacing w:line="360" w:lineRule="auto"/>
        <w:ind w:firstLineChars="200" w:firstLine="420"/>
        <w:jc w:val="left"/>
        <w:rPr>
          <w:rFonts w:hAnsi="宋体"/>
          <w:kern w:val="0"/>
          <w:szCs w:val="21"/>
        </w:rPr>
      </w:pPr>
      <w:r>
        <w:rPr>
          <w:kern w:val="0"/>
          <w:szCs w:val="21"/>
        </w:rPr>
        <w:t>要求学生了解常见主要的引入树种，掌握引种的主要工作程序及技术措施。</w:t>
      </w:r>
    </w:p>
    <w:p w14:paraId="5AE011F8" w14:textId="77777777" w:rsidR="00F5289E" w:rsidRDefault="00C91173">
      <w:pPr>
        <w:widowControl/>
        <w:spacing w:line="360" w:lineRule="auto"/>
        <w:jc w:val="left"/>
        <w:rPr>
          <w:b/>
          <w:bCs/>
          <w:kern w:val="0"/>
          <w:szCs w:val="21"/>
        </w:rPr>
      </w:pPr>
      <w:r>
        <w:rPr>
          <w:rFonts w:ascii="宋体" w:hAnsi="宋体" w:hint="eastAsia"/>
          <w:b/>
          <w:bCs/>
        </w:rPr>
        <w:t>教学组织与实施：</w:t>
      </w:r>
    </w:p>
    <w:p w14:paraId="611E3726" w14:textId="77777777" w:rsidR="00F5289E" w:rsidRDefault="00C91173">
      <w:pPr>
        <w:widowControl/>
        <w:spacing w:line="360" w:lineRule="auto"/>
        <w:ind w:firstLineChars="200" w:firstLine="420"/>
        <w:jc w:val="left"/>
      </w:pPr>
      <w:r>
        <w:t>通过课堂讲授使学生掌握简单引种和驯化引种的概念和异同，结合大量图片和实例，使学生了解引种的意义</w:t>
      </w:r>
      <w:r>
        <w:rPr>
          <w:rFonts w:hint="eastAsia"/>
        </w:rPr>
        <w:t>。</w:t>
      </w:r>
    </w:p>
    <w:p w14:paraId="5F36A7C3" w14:textId="77777777" w:rsidR="00F5289E" w:rsidRDefault="00C91173">
      <w:pPr>
        <w:widowControl/>
        <w:spacing w:line="360" w:lineRule="auto"/>
        <w:jc w:val="left"/>
        <w:rPr>
          <w:b/>
          <w:bCs/>
          <w:kern w:val="0"/>
          <w:szCs w:val="21"/>
        </w:rPr>
      </w:pPr>
      <w:r>
        <w:rPr>
          <w:b/>
          <w:bCs/>
        </w:rPr>
        <w:t>第</w:t>
      </w:r>
      <w:r>
        <w:rPr>
          <w:rFonts w:hint="eastAsia"/>
          <w:b/>
          <w:bCs/>
        </w:rPr>
        <w:t>二</w:t>
      </w:r>
      <w:r>
        <w:rPr>
          <w:b/>
          <w:bCs/>
        </w:rPr>
        <w:t>节</w:t>
      </w:r>
      <w:r>
        <w:rPr>
          <w:b/>
          <w:bCs/>
        </w:rPr>
        <w:t xml:space="preserve">  </w:t>
      </w:r>
      <w:r>
        <w:rPr>
          <w:b/>
          <w:bCs/>
          <w:kern w:val="0"/>
          <w:szCs w:val="21"/>
        </w:rPr>
        <w:t>引种驯化的工作程序、技术措施</w:t>
      </w:r>
      <w:r>
        <w:rPr>
          <w:rFonts w:hint="eastAsia"/>
          <w:b/>
          <w:bCs/>
          <w:kern w:val="0"/>
          <w:szCs w:val="21"/>
        </w:rPr>
        <w:t>（</w:t>
      </w:r>
      <w:r>
        <w:rPr>
          <w:rFonts w:hint="eastAsia"/>
          <w:b/>
          <w:bCs/>
          <w:kern w:val="0"/>
          <w:szCs w:val="21"/>
        </w:rPr>
        <w:t>0.5</w:t>
      </w:r>
      <w:r>
        <w:rPr>
          <w:rFonts w:hint="eastAsia"/>
          <w:b/>
          <w:bCs/>
          <w:kern w:val="0"/>
          <w:szCs w:val="21"/>
        </w:rPr>
        <w:t>学时）</w:t>
      </w:r>
    </w:p>
    <w:p w14:paraId="4ECEC073" w14:textId="77777777" w:rsidR="00F5289E" w:rsidRDefault="00C91173">
      <w:pPr>
        <w:widowControl/>
        <w:spacing w:line="360" w:lineRule="auto"/>
        <w:jc w:val="left"/>
        <w:rPr>
          <w:rFonts w:ascii="宋体" w:hAnsi="宋体"/>
          <w:b/>
          <w:bCs/>
        </w:rPr>
      </w:pPr>
      <w:r>
        <w:rPr>
          <w:rFonts w:ascii="宋体" w:hAnsi="宋体" w:hint="eastAsia"/>
          <w:b/>
          <w:bCs/>
        </w:rPr>
        <w:t>教学目标：</w:t>
      </w:r>
      <w:r>
        <w:rPr>
          <w:rFonts w:ascii="宋体" w:hAnsi="宋体" w:hint="eastAsia"/>
        </w:rPr>
        <w:t>使了解各主要生态学因子对引种工作的影响，掌握引种工作的主要原则和方法，并理解引种的生物学原理。</w:t>
      </w:r>
    </w:p>
    <w:p w14:paraId="6CB9E918"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介绍引种驯化的工作程序、技术措施</w:t>
      </w:r>
      <w:r>
        <w:rPr>
          <w:rFonts w:hint="eastAsia"/>
          <w:kern w:val="0"/>
          <w:szCs w:val="21"/>
        </w:rPr>
        <w:t>；</w:t>
      </w:r>
      <w:r>
        <w:rPr>
          <w:kern w:val="0"/>
          <w:szCs w:val="21"/>
        </w:rPr>
        <w:t>掌握引种成功与否与环境条件的关系。</w:t>
      </w:r>
      <w:r>
        <w:rPr>
          <w:rFonts w:hint="eastAsia"/>
          <w:kern w:val="0"/>
          <w:szCs w:val="21"/>
        </w:rPr>
        <w:t>其中难点在于</w:t>
      </w:r>
      <w:r>
        <w:rPr>
          <w:kern w:val="0"/>
          <w:szCs w:val="21"/>
        </w:rPr>
        <w:t>各种</w:t>
      </w:r>
      <w:r>
        <w:rPr>
          <w:rFonts w:hint="eastAsia"/>
          <w:kern w:val="0"/>
          <w:szCs w:val="21"/>
        </w:rPr>
        <w:t>引种</w:t>
      </w:r>
      <w:r>
        <w:rPr>
          <w:kern w:val="0"/>
          <w:szCs w:val="21"/>
        </w:rPr>
        <w:t>措施的生物学原理与引种成功的关系</w:t>
      </w:r>
      <w:r>
        <w:rPr>
          <w:rFonts w:hint="eastAsia"/>
          <w:kern w:val="0"/>
          <w:szCs w:val="21"/>
        </w:rPr>
        <w:t>。</w:t>
      </w:r>
    </w:p>
    <w:p w14:paraId="33303E72"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CD877A6" w14:textId="77777777" w:rsidR="00F5289E" w:rsidRDefault="00C91173">
      <w:pPr>
        <w:widowControl/>
        <w:spacing w:line="360" w:lineRule="auto"/>
        <w:ind w:firstLineChars="200" w:firstLine="420"/>
        <w:jc w:val="left"/>
        <w:rPr>
          <w:kern w:val="0"/>
          <w:szCs w:val="21"/>
        </w:rPr>
      </w:pPr>
      <w:r>
        <w:rPr>
          <w:kern w:val="0"/>
          <w:szCs w:val="21"/>
        </w:rPr>
        <w:t>本章主要介绍园艺植物引种成就及其现状；介绍引种的分类及其特点。</w:t>
      </w:r>
    </w:p>
    <w:p w14:paraId="77730C25" w14:textId="77777777" w:rsidR="00F5289E" w:rsidRDefault="00C91173">
      <w:pPr>
        <w:widowControl/>
        <w:spacing w:line="360" w:lineRule="auto"/>
        <w:ind w:firstLineChars="200" w:firstLine="420"/>
        <w:jc w:val="left"/>
        <w:rPr>
          <w:kern w:val="0"/>
          <w:szCs w:val="21"/>
        </w:rPr>
      </w:pPr>
      <w:r>
        <w:rPr>
          <w:kern w:val="0"/>
          <w:szCs w:val="21"/>
        </w:rPr>
        <w:lastRenderedPageBreak/>
        <w:t>要求学生了解常见主要的引入树种，掌握引种的主要工作程序及技术措施。</w:t>
      </w:r>
    </w:p>
    <w:p w14:paraId="13A5D66A" w14:textId="77777777" w:rsidR="00F5289E" w:rsidRDefault="00C91173">
      <w:pPr>
        <w:spacing w:line="360" w:lineRule="auto"/>
        <w:rPr>
          <w:kern w:val="0"/>
          <w:szCs w:val="21"/>
        </w:rPr>
      </w:pPr>
      <w:r>
        <w:rPr>
          <w:b/>
          <w:bCs/>
        </w:rPr>
        <w:t>教学组织与实施：</w:t>
      </w:r>
      <w:r>
        <w:t>通过课堂讲授使学生掌握</w:t>
      </w:r>
      <w:r>
        <w:rPr>
          <w:rFonts w:hint="eastAsia"/>
        </w:rPr>
        <w:t>温度、光照等生态因子对引种工作的具体影响</w:t>
      </w:r>
      <w:r>
        <w:t>，结合大量图片和实例，使学生了解引种</w:t>
      </w:r>
      <w:r>
        <w:rPr>
          <w:rFonts w:hint="eastAsia"/>
        </w:rPr>
        <w:t>活动的生物学原理</w:t>
      </w:r>
      <w:r>
        <w:t>。学生通过查阅资料，制定一种园艺植物的引种计划，并进行课堂讨论。</w:t>
      </w:r>
    </w:p>
    <w:p w14:paraId="5C1F546F" w14:textId="77777777" w:rsidR="00F5289E" w:rsidRDefault="00F5289E">
      <w:pPr>
        <w:widowControl/>
        <w:spacing w:line="360" w:lineRule="auto"/>
        <w:jc w:val="left"/>
        <w:rPr>
          <w:b/>
          <w:bCs/>
          <w:kern w:val="0"/>
          <w:szCs w:val="21"/>
        </w:rPr>
      </w:pPr>
    </w:p>
    <w:p w14:paraId="38F6FB72" w14:textId="77777777" w:rsidR="00F5289E" w:rsidRDefault="00C91173">
      <w:pPr>
        <w:widowControl/>
        <w:spacing w:line="360" w:lineRule="auto"/>
        <w:ind w:firstLineChars="1700" w:firstLine="3584"/>
        <w:rPr>
          <w:b/>
          <w:bCs/>
          <w:kern w:val="0"/>
          <w:szCs w:val="21"/>
        </w:rPr>
      </w:pPr>
      <w:r>
        <w:rPr>
          <w:b/>
          <w:bCs/>
          <w:kern w:val="0"/>
          <w:szCs w:val="21"/>
        </w:rPr>
        <w:t>第四章</w:t>
      </w:r>
      <w:r>
        <w:rPr>
          <w:b/>
          <w:bCs/>
          <w:kern w:val="0"/>
          <w:szCs w:val="21"/>
        </w:rPr>
        <w:t xml:space="preserve">  </w:t>
      </w:r>
      <w:r>
        <w:rPr>
          <w:b/>
          <w:bCs/>
          <w:kern w:val="0"/>
          <w:szCs w:val="21"/>
        </w:rPr>
        <w:t>选择育种</w:t>
      </w:r>
      <w:r>
        <w:rPr>
          <w:b/>
          <w:bCs/>
          <w:kern w:val="0"/>
          <w:szCs w:val="21"/>
        </w:rPr>
        <w:t xml:space="preserve">                       </w:t>
      </w:r>
      <w:r>
        <w:rPr>
          <w:b/>
          <w:bCs/>
          <w:kern w:val="0"/>
          <w:szCs w:val="21"/>
        </w:rPr>
        <w:t>学时数：</w:t>
      </w:r>
      <w:r>
        <w:rPr>
          <w:b/>
          <w:bCs/>
          <w:kern w:val="0"/>
          <w:szCs w:val="21"/>
        </w:rPr>
        <w:t>2.5</w:t>
      </w:r>
    </w:p>
    <w:p w14:paraId="76190513" w14:textId="77777777" w:rsidR="00F5289E" w:rsidRDefault="00C91173">
      <w:pPr>
        <w:widowControl/>
        <w:spacing w:line="360" w:lineRule="auto"/>
        <w:jc w:val="left"/>
        <w:rPr>
          <w:b/>
          <w:bCs/>
          <w:kern w:val="0"/>
          <w:szCs w:val="21"/>
        </w:rPr>
      </w:pPr>
      <w:r>
        <w:rPr>
          <w:b/>
          <w:bCs/>
        </w:rPr>
        <w:t>第一节</w:t>
      </w:r>
      <w:r>
        <w:rPr>
          <w:b/>
          <w:bCs/>
        </w:rPr>
        <w:t xml:space="preserve">  </w:t>
      </w:r>
      <w:r>
        <w:rPr>
          <w:b/>
          <w:bCs/>
          <w:kern w:val="0"/>
          <w:szCs w:val="21"/>
        </w:rPr>
        <w:t>选择的概念和意义</w:t>
      </w:r>
      <w:r>
        <w:rPr>
          <w:rFonts w:hint="eastAsia"/>
          <w:b/>
          <w:bCs/>
          <w:kern w:val="0"/>
          <w:szCs w:val="21"/>
        </w:rPr>
        <w:t>（</w:t>
      </w:r>
      <w:r>
        <w:rPr>
          <w:rFonts w:hint="eastAsia"/>
          <w:b/>
          <w:bCs/>
          <w:kern w:val="0"/>
          <w:szCs w:val="21"/>
        </w:rPr>
        <w:t>1</w:t>
      </w:r>
      <w:r>
        <w:rPr>
          <w:rFonts w:hint="eastAsia"/>
          <w:b/>
          <w:bCs/>
          <w:kern w:val="0"/>
          <w:szCs w:val="21"/>
        </w:rPr>
        <w:t>学时）</w:t>
      </w:r>
    </w:p>
    <w:p w14:paraId="38E4A0BD" w14:textId="77777777" w:rsidR="00F5289E" w:rsidRDefault="00C91173">
      <w:pPr>
        <w:widowControl/>
        <w:spacing w:line="360" w:lineRule="auto"/>
        <w:jc w:val="left"/>
        <w:rPr>
          <w:rFonts w:ascii="宋体" w:hAnsi="宋体"/>
          <w:b/>
          <w:bCs/>
        </w:rPr>
      </w:pPr>
      <w:r>
        <w:rPr>
          <w:rFonts w:ascii="宋体" w:hAnsi="宋体" w:hint="eastAsia"/>
          <w:b/>
          <w:bCs/>
        </w:rPr>
        <w:t>教学目标：</w:t>
      </w:r>
      <w:r>
        <w:rPr>
          <w:kern w:val="0"/>
          <w:szCs w:val="21"/>
        </w:rPr>
        <w:t>介绍什么是育种上的选择，特别是介绍清楚遗传、变异与选择的关系，掌握育种效果与选择作用的关系</w:t>
      </w:r>
      <w:r>
        <w:rPr>
          <w:rFonts w:hint="eastAsia"/>
          <w:kern w:val="0"/>
          <w:szCs w:val="21"/>
        </w:rPr>
        <w:t>。</w:t>
      </w:r>
    </w:p>
    <w:p w14:paraId="35F74FCC"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介绍</w:t>
      </w:r>
      <w:r>
        <w:rPr>
          <w:rFonts w:hint="eastAsia"/>
          <w:kern w:val="0"/>
          <w:szCs w:val="21"/>
        </w:rPr>
        <w:t>选择育种的实质及其在园艺植物育种中的应用，难点在于</w:t>
      </w:r>
      <w:r>
        <w:rPr>
          <w:kern w:val="0"/>
          <w:szCs w:val="21"/>
        </w:rPr>
        <w:t>选种的作用及其实质。</w:t>
      </w:r>
    </w:p>
    <w:p w14:paraId="6BBD167B"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50145090" w14:textId="77777777" w:rsidR="00F5289E" w:rsidRDefault="00C91173">
      <w:pPr>
        <w:widowControl/>
        <w:spacing w:line="360" w:lineRule="auto"/>
        <w:ind w:firstLineChars="200" w:firstLine="420"/>
        <w:jc w:val="left"/>
        <w:rPr>
          <w:kern w:val="0"/>
          <w:szCs w:val="21"/>
        </w:rPr>
      </w:pPr>
      <w:r>
        <w:rPr>
          <w:kern w:val="0"/>
          <w:szCs w:val="21"/>
        </w:rPr>
        <w:t>本章主要介绍园艺植物育种中选择的作用、不同选择方法的特点及其应用</w:t>
      </w:r>
      <w:r>
        <w:rPr>
          <w:rFonts w:hint="eastAsia"/>
          <w:kern w:val="0"/>
          <w:szCs w:val="21"/>
        </w:rPr>
        <w:t>。</w:t>
      </w:r>
    </w:p>
    <w:p w14:paraId="36638319" w14:textId="77777777" w:rsidR="00F5289E" w:rsidRDefault="00C91173">
      <w:pPr>
        <w:widowControl/>
        <w:spacing w:line="360" w:lineRule="auto"/>
        <w:ind w:firstLineChars="200" w:firstLine="420"/>
        <w:jc w:val="left"/>
        <w:rPr>
          <w:kern w:val="0"/>
          <w:szCs w:val="21"/>
        </w:rPr>
      </w:pPr>
      <w:r>
        <w:rPr>
          <w:kern w:val="0"/>
          <w:szCs w:val="21"/>
        </w:rPr>
        <w:t>要求学生了解常见的主要选种方法，各种园艺植物适宜的选种技术。</w:t>
      </w:r>
    </w:p>
    <w:p w14:paraId="22A9274E" w14:textId="77777777" w:rsidR="00F5289E" w:rsidRDefault="00C91173">
      <w:pPr>
        <w:spacing w:line="360" w:lineRule="auto"/>
        <w:rPr>
          <w:kern w:val="0"/>
          <w:szCs w:val="21"/>
        </w:rPr>
      </w:pPr>
      <w:r>
        <w:rPr>
          <w:b/>
          <w:bCs/>
        </w:rPr>
        <w:t>教学组织与实施：</w:t>
      </w:r>
      <w:r>
        <w:t>通过课堂讲授了解选择育种的概念、不同授粉习性园艺植物的选择方法，结合实例和大量图片</w:t>
      </w:r>
      <w:r>
        <w:rPr>
          <w:rFonts w:hint="eastAsia"/>
        </w:rPr>
        <w:t>讲授针对不同繁殖习性的园艺植物所适用的选择育种方式方法</w:t>
      </w:r>
      <w:r>
        <w:rPr>
          <w:kern w:val="0"/>
          <w:szCs w:val="21"/>
        </w:rPr>
        <w:t>。</w:t>
      </w:r>
    </w:p>
    <w:p w14:paraId="4E55B147" w14:textId="77777777" w:rsidR="00F5289E" w:rsidRDefault="00C91173">
      <w:pPr>
        <w:widowControl/>
        <w:spacing w:line="360" w:lineRule="auto"/>
        <w:jc w:val="left"/>
        <w:rPr>
          <w:b/>
          <w:bCs/>
          <w:kern w:val="0"/>
          <w:szCs w:val="21"/>
        </w:rPr>
      </w:pPr>
      <w:r>
        <w:rPr>
          <w:b/>
          <w:bCs/>
        </w:rPr>
        <w:t>第二节</w:t>
      </w:r>
      <w:r>
        <w:rPr>
          <w:b/>
          <w:bCs/>
        </w:rPr>
        <w:t xml:space="preserve">  </w:t>
      </w:r>
      <w:r>
        <w:rPr>
          <w:b/>
          <w:bCs/>
          <w:kern w:val="0"/>
          <w:szCs w:val="21"/>
        </w:rPr>
        <w:t>实生选种与芽变育种</w:t>
      </w:r>
      <w:r>
        <w:rPr>
          <w:rFonts w:hint="eastAsia"/>
          <w:b/>
          <w:bCs/>
          <w:kern w:val="0"/>
          <w:szCs w:val="21"/>
        </w:rPr>
        <w:t>（</w:t>
      </w:r>
      <w:r>
        <w:rPr>
          <w:rFonts w:hint="eastAsia"/>
          <w:b/>
          <w:bCs/>
          <w:kern w:val="0"/>
          <w:szCs w:val="21"/>
        </w:rPr>
        <w:t>1.5</w:t>
      </w:r>
      <w:r>
        <w:rPr>
          <w:rFonts w:hint="eastAsia"/>
          <w:b/>
          <w:bCs/>
          <w:kern w:val="0"/>
          <w:szCs w:val="21"/>
        </w:rPr>
        <w:t>学时）</w:t>
      </w:r>
    </w:p>
    <w:p w14:paraId="487ED7BF" w14:textId="77777777" w:rsidR="00F5289E" w:rsidRDefault="00C91173">
      <w:pPr>
        <w:widowControl/>
        <w:spacing w:line="360" w:lineRule="auto"/>
        <w:jc w:val="left"/>
        <w:rPr>
          <w:kern w:val="0"/>
          <w:szCs w:val="21"/>
        </w:rPr>
      </w:pPr>
      <w:r>
        <w:rPr>
          <w:rFonts w:ascii="宋体" w:hAnsi="宋体" w:hint="eastAsia"/>
          <w:b/>
          <w:bCs/>
        </w:rPr>
        <w:t>教学目标：</w:t>
      </w:r>
      <w:r>
        <w:rPr>
          <w:kern w:val="0"/>
          <w:szCs w:val="21"/>
        </w:rPr>
        <w:t>介绍实生选种与芽变育种的概念，详细了解其特点，进一步了解各种园艺植物繁殖方式与选择育种方法的关系。</w:t>
      </w:r>
    </w:p>
    <w:p w14:paraId="452783E4" w14:textId="77777777" w:rsidR="00F5289E" w:rsidRDefault="00C91173">
      <w:pPr>
        <w:widowControl/>
        <w:spacing w:line="360" w:lineRule="auto"/>
        <w:jc w:val="left"/>
        <w:rPr>
          <w:kern w:val="0"/>
          <w:szCs w:val="21"/>
        </w:rPr>
      </w:pPr>
      <w:r>
        <w:rPr>
          <w:rFonts w:ascii="宋体" w:hAnsi="宋体" w:hint="eastAsia"/>
          <w:b/>
          <w:bCs/>
        </w:rPr>
        <w:t>教学重点和难点：</w:t>
      </w:r>
      <w:r>
        <w:rPr>
          <w:rFonts w:hint="eastAsia"/>
          <w:kern w:val="0"/>
          <w:szCs w:val="21"/>
        </w:rPr>
        <w:t>芽变和实生选种在园艺植物新品种培育中的应用，难点在于</w:t>
      </w:r>
      <w:r>
        <w:rPr>
          <w:kern w:val="0"/>
          <w:szCs w:val="21"/>
        </w:rPr>
        <w:t>芽变选种的主要环境因素及有性繁殖园艺植物选择育种的方法；从生理、遗传和解剖等方面了解芽变选种的生物学原理及其应用价值选种的作用及其实质。</w:t>
      </w:r>
    </w:p>
    <w:p w14:paraId="17FBA2F0"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2BA69440" w14:textId="77777777" w:rsidR="00F5289E" w:rsidRDefault="00C91173">
      <w:pPr>
        <w:widowControl/>
        <w:spacing w:line="360" w:lineRule="auto"/>
        <w:ind w:firstLineChars="200" w:firstLine="420"/>
        <w:jc w:val="left"/>
        <w:rPr>
          <w:kern w:val="0"/>
          <w:szCs w:val="21"/>
        </w:rPr>
      </w:pPr>
      <w:r>
        <w:rPr>
          <w:kern w:val="0"/>
          <w:szCs w:val="21"/>
        </w:rPr>
        <w:t>本章主要介绍园艺植物育种中选择的作用、不同选择方法的特点及其应用</w:t>
      </w:r>
      <w:r>
        <w:rPr>
          <w:rFonts w:hint="eastAsia"/>
          <w:kern w:val="0"/>
          <w:szCs w:val="21"/>
        </w:rPr>
        <w:t>。</w:t>
      </w:r>
    </w:p>
    <w:p w14:paraId="30922488" w14:textId="77777777" w:rsidR="00F5289E" w:rsidRDefault="00C91173">
      <w:pPr>
        <w:widowControl/>
        <w:spacing w:line="360" w:lineRule="auto"/>
        <w:ind w:firstLineChars="200" w:firstLine="420"/>
        <w:jc w:val="left"/>
        <w:rPr>
          <w:kern w:val="0"/>
          <w:szCs w:val="21"/>
        </w:rPr>
      </w:pPr>
      <w:r>
        <w:rPr>
          <w:kern w:val="0"/>
          <w:szCs w:val="21"/>
        </w:rPr>
        <w:t>要求学生了解常见的主要选种方法，各种园艺植物适宜的选种技术。</w:t>
      </w:r>
    </w:p>
    <w:p w14:paraId="7190419B" w14:textId="77777777" w:rsidR="00F5289E" w:rsidRDefault="00C91173">
      <w:pPr>
        <w:spacing w:line="360" w:lineRule="auto"/>
        <w:rPr>
          <w:kern w:val="0"/>
          <w:szCs w:val="21"/>
        </w:rPr>
      </w:pPr>
      <w:r>
        <w:rPr>
          <w:b/>
          <w:bCs/>
        </w:rPr>
        <w:t>教学组织与实施：</w:t>
      </w:r>
      <w:r>
        <w:t>通过课堂讲授</w:t>
      </w:r>
      <w:r>
        <w:rPr>
          <w:rFonts w:hint="eastAsia"/>
        </w:rPr>
        <w:t>分别针对有性繁殖和无性繁殖的园艺作物</w:t>
      </w:r>
      <w:r>
        <w:t>，结合实例和大量图片讲授</w:t>
      </w:r>
      <w:r>
        <w:rPr>
          <w:rFonts w:hint="eastAsia"/>
        </w:rPr>
        <w:t>单株选择法、混合选择法、</w:t>
      </w:r>
      <w:r>
        <w:rPr>
          <w:kern w:val="0"/>
          <w:szCs w:val="21"/>
        </w:rPr>
        <w:t>芽变</w:t>
      </w:r>
      <w:r>
        <w:rPr>
          <w:rFonts w:hint="eastAsia"/>
          <w:kern w:val="0"/>
          <w:szCs w:val="21"/>
        </w:rPr>
        <w:t>、实生选种</w:t>
      </w:r>
      <w:r>
        <w:rPr>
          <w:kern w:val="0"/>
          <w:szCs w:val="21"/>
        </w:rPr>
        <w:t>的遗传学和细胞学</w:t>
      </w:r>
      <w:r>
        <w:rPr>
          <w:rFonts w:hint="eastAsia"/>
          <w:kern w:val="0"/>
          <w:szCs w:val="21"/>
        </w:rPr>
        <w:t>原理</w:t>
      </w:r>
      <w:r>
        <w:rPr>
          <w:kern w:val="0"/>
          <w:szCs w:val="21"/>
        </w:rPr>
        <w:t>。教师通过启发式教学，引导学生思考提高有性繁殖植物选择效果的措施和加速有性繁殖植物选种进程的措施。</w:t>
      </w:r>
    </w:p>
    <w:p w14:paraId="4631CD19" w14:textId="77777777" w:rsidR="00F5289E" w:rsidRDefault="00F5289E">
      <w:pPr>
        <w:spacing w:line="360" w:lineRule="auto"/>
        <w:rPr>
          <w:b/>
          <w:bCs/>
          <w:kern w:val="0"/>
          <w:szCs w:val="21"/>
        </w:rPr>
      </w:pPr>
    </w:p>
    <w:p w14:paraId="7F96003C" w14:textId="77777777" w:rsidR="00F5289E" w:rsidRDefault="00C91173">
      <w:pPr>
        <w:spacing w:line="360" w:lineRule="auto"/>
        <w:ind w:firstLineChars="1700" w:firstLine="3584"/>
        <w:rPr>
          <w:b/>
          <w:bCs/>
          <w:kern w:val="0"/>
          <w:szCs w:val="21"/>
        </w:rPr>
      </w:pPr>
      <w:r>
        <w:rPr>
          <w:b/>
          <w:bCs/>
          <w:kern w:val="0"/>
          <w:szCs w:val="21"/>
        </w:rPr>
        <w:t>第五章</w:t>
      </w:r>
      <w:r>
        <w:rPr>
          <w:b/>
          <w:bCs/>
          <w:kern w:val="0"/>
          <w:szCs w:val="21"/>
        </w:rPr>
        <w:t xml:space="preserve">  </w:t>
      </w:r>
      <w:r>
        <w:rPr>
          <w:b/>
          <w:bCs/>
          <w:kern w:val="0"/>
          <w:szCs w:val="21"/>
        </w:rPr>
        <w:t>杂交育种</w:t>
      </w:r>
      <w:r>
        <w:rPr>
          <w:b/>
          <w:bCs/>
          <w:kern w:val="0"/>
          <w:szCs w:val="21"/>
        </w:rPr>
        <w:t xml:space="preserve">                       </w:t>
      </w:r>
      <w:r>
        <w:rPr>
          <w:b/>
          <w:bCs/>
          <w:kern w:val="0"/>
          <w:szCs w:val="21"/>
        </w:rPr>
        <w:t>学时数：</w:t>
      </w:r>
      <w:r>
        <w:rPr>
          <w:b/>
          <w:bCs/>
          <w:kern w:val="0"/>
          <w:szCs w:val="21"/>
        </w:rPr>
        <w:t>2.5</w:t>
      </w:r>
    </w:p>
    <w:p w14:paraId="3893FAEE" w14:textId="77777777" w:rsidR="00F5289E" w:rsidRDefault="00C91173" w:rsidP="00A115EF">
      <w:pPr>
        <w:widowControl/>
        <w:numPr>
          <w:ilvl w:val="0"/>
          <w:numId w:val="46"/>
        </w:numPr>
        <w:spacing w:line="360" w:lineRule="auto"/>
        <w:jc w:val="left"/>
        <w:rPr>
          <w:b/>
          <w:bCs/>
          <w:kern w:val="0"/>
          <w:szCs w:val="21"/>
        </w:rPr>
      </w:pPr>
      <w:r>
        <w:rPr>
          <w:b/>
          <w:bCs/>
        </w:rPr>
        <w:lastRenderedPageBreak/>
        <w:t xml:space="preserve"> </w:t>
      </w:r>
      <w:r>
        <w:rPr>
          <w:b/>
          <w:bCs/>
          <w:kern w:val="0"/>
          <w:szCs w:val="21"/>
        </w:rPr>
        <w:t>杂交育种的概念、意义</w:t>
      </w:r>
      <w:r>
        <w:rPr>
          <w:rFonts w:hint="eastAsia"/>
          <w:b/>
          <w:bCs/>
          <w:kern w:val="0"/>
          <w:szCs w:val="21"/>
        </w:rPr>
        <w:t>、</w:t>
      </w:r>
      <w:r>
        <w:rPr>
          <w:b/>
          <w:bCs/>
          <w:kern w:val="0"/>
          <w:szCs w:val="21"/>
        </w:rPr>
        <w:t>类别</w:t>
      </w:r>
      <w:r>
        <w:rPr>
          <w:rFonts w:hint="eastAsia"/>
          <w:b/>
          <w:bCs/>
          <w:kern w:val="0"/>
          <w:szCs w:val="21"/>
        </w:rPr>
        <w:t>和</w:t>
      </w:r>
      <w:r>
        <w:rPr>
          <w:b/>
          <w:bCs/>
          <w:kern w:val="0"/>
          <w:szCs w:val="21"/>
        </w:rPr>
        <w:t>杂交育种计划的制订</w:t>
      </w:r>
      <w:r>
        <w:rPr>
          <w:rFonts w:hint="eastAsia"/>
          <w:b/>
          <w:bCs/>
          <w:kern w:val="0"/>
          <w:szCs w:val="21"/>
        </w:rPr>
        <w:t>（</w:t>
      </w:r>
      <w:r>
        <w:rPr>
          <w:rFonts w:hint="eastAsia"/>
          <w:b/>
          <w:bCs/>
          <w:kern w:val="0"/>
          <w:szCs w:val="21"/>
        </w:rPr>
        <w:t>1.5</w:t>
      </w:r>
      <w:r>
        <w:rPr>
          <w:rFonts w:hint="eastAsia"/>
          <w:b/>
          <w:bCs/>
          <w:kern w:val="0"/>
          <w:szCs w:val="21"/>
        </w:rPr>
        <w:t>学时）</w:t>
      </w:r>
    </w:p>
    <w:p w14:paraId="200E3D20" w14:textId="77777777" w:rsidR="00F5289E" w:rsidRDefault="00C91173">
      <w:pPr>
        <w:widowControl/>
        <w:spacing w:line="360" w:lineRule="auto"/>
        <w:jc w:val="left"/>
        <w:rPr>
          <w:kern w:val="0"/>
          <w:szCs w:val="21"/>
        </w:rPr>
      </w:pPr>
      <w:r>
        <w:rPr>
          <w:rFonts w:ascii="宋体" w:hAnsi="宋体" w:hint="eastAsia"/>
          <w:b/>
          <w:bCs/>
        </w:rPr>
        <w:t>教学目标：</w:t>
      </w:r>
      <w:r>
        <w:rPr>
          <w:kern w:val="0"/>
          <w:szCs w:val="21"/>
        </w:rPr>
        <w:t>通过杂交一章主要内容的介绍，使同学们了解到杂交育种在现代育种中的重要性</w:t>
      </w:r>
      <w:r>
        <w:rPr>
          <w:rFonts w:hint="eastAsia"/>
          <w:kern w:val="0"/>
          <w:szCs w:val="21"/>
        </w:rPr>
        <w:t>，</w:t>
      </w:r>
      <w:r>
        <w:t>在充分认识其差异的基础上制定合适的杂交育种计划</w:t>
      </w:r>
      <w:r>
        <w:rPr>
          <w:kern w:val="0"/>
          <w:szCs w:val="21"/>
        </w:rPr>
        <w:t>。</w:t>
      </w:r>
    </w:p>
    <w:p w14:paraId="5D4BC519"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重点介绍杂交的概念和特点，杂交育种在选育品种中的作用</w:t>
      </w:r>
      <w:r>
        <w:rPr>
          <w:rFonts w:hint="eastAsia"/>
          <w:kern w:val="0"/>
          <w:szCs w:val="21"/>
        </w:rPr>
        <w:t>，</w:t>
      </w:r>
      <w:r>
        <w:t>杂种后代常用的系谱法、混合法和单子传代法等选择方法</w:t>
      </w:r>
      <w:r>
        <w:rPr>
          <w:kern w:val="0"/>
          <w:szCs w:val="21"/>
        </w:rPr>
        <w:t>。其中杂交育种的形式及遗传机理为其难点。</w:t>
      </w:r>
    </w:p>
    <w:p w14:paraId="3ED52D12"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132ECEFA" w14:textId="77777777" w:rsidR="00F5289E" w:rsidRDefault="00C91173">
      <w:pPr>
        <w:widowControl/>
        <w:spacing w:line="360" w:lineRule="auto"/>
        <w:ind w:firstLineChars="200" w:firstLine="420"/>
        <w:jc w:val="left"/>
        <w:rPr>
          <w:kern w:val="0"/>
          <w:szCs w:val="21"/>
        </w:rPr>
      </w:pPr>
      <w:r>
        <w:rPr>
          <w:kern w:val="0"/>
          <w:szCs w:val="21"/>
        </w:rPr>
        <w:t>本章主要介绍杂交育种及其现状；介绍杂交育种的分类及其特点。</w:t>
      </w:r>
    </w:p>
    <w:p w14:paraId="05C71295" w14:textId="77777777" w:rsidR="00F5289E" w:rsidRDefault="00C91173">
      <w:pPr>
        <w:widowControl/>
        <w:spacing w:line="360" w:lineRule="auto"/>
        <w:ind w:firstLineChars="200" w:firstLine="420"/>
        <w:jc w:val="left"/>
        <w:rPr>
          <w:kern w:val="0"/>
          <w:szCs w:val="21"/>
        </w:rPr>
      </w:pPr>
      <w:r>
        <w:rPr>
          <w:kern w:val="0"/>
          <w:szCs w:val="21"/>
        </w:rPr>
        <w:t>要求学生了解常见的杂交育种技术，各种园艺植物的生物学特性与杂交育种的关系，掌握杂交育种的操作技术，并能结合不同园艺植物的特点开展杂交育种实践。</w:t>
      </w:r>
    </w:p>
    <w:p w14:paraId="412095BA" w14:textId="77777777" w:rsidR="00F5289E" w:rsidRDefault="00C91173">
      <w:pPr>
        <w:spacing w:line="360" w:lineRule="auto"/>
        <w:rPr>
          <w:kern w:val="0"/>
          <w:szCs w:val="21"/>
        </w:rPr>
      </w:pPr>
      <w:r>
        <w:rPr>
          <w:b/>
          <w:bCs/>
        </w:rPr>
        <w:t>教学组织与实施：</w:t>
      </w:r>
      <w:r>
        <w:t>课堂讲授常规杂交育种的概念</w:t>
      </w:r>
      <w:r>
        <w:rPr>
          <w:rFonts w:hint="eastAsia"/>
        </w:rPr>
        <w:t>、</w:t>
      </w:r>
      <w:r>
        <w:t>意义</w:t>
      </w:r>
      <w:r>
        <w:rPr>
          <w:rFonts w:hint="eastAsia"/>
        </w:rPr>
        <w:t>和分类</w:t>
      </w:r>
      <w:r>
        <w:t>，</w:t>
      </w:r>
      <w:r>
        <w:rPr>
          <w:rFonts w:hint="eastAsia"/>
          <w:kern w:val="0"/>
          <w:szCs w:val="21"/>
        </w:rPr>
        <w:t>通过</w:t>
      </w:r>
      <w:r>
        <w:rPr>
          <w:kern w:val="0"/>
          <w:szCs w:val="21"/>
        </w:rPr>
        <w:t>大量图片结合实例介绍杂种后代的选择方法，对比讲解各种杂交方式和方法。通过课堂讲授和田间实验操作掌握有性杂交的方法和技术流程。</w:t>
      </w:r>
    </w:p>
    <w:p w14:paraId="1A1CD1DF" w14:textId="77777777" w:rsidR="00F5289E" w:rsidRDefault="00C91173">
      <w:pPr>
        <w:widowControl/>
        <w:spacing w:line="360" w:lineRule="auto"/>
        <w:jc w:val="left"/>
        <w:rPr>
          <w:kern w:val="0"/>
          <w:szCs w:val="21"/>
        </w:rPr>
      </w:pPr>
      <w:r>
        <w:rPr>
          <w:b/>
          <w:bCs/>
        </w:rPr>
        <w:t>第</w:t>
      </w:r>
      <w:r>
        <w:rPr>
          <w:rFonts w:hint="eastAsia"/>
          <w:b/>
          <w:bCs/>
        </w:rPr>
        <w:t>二</w:t>
      </w:r>
      <w:r>
        <w:rPr>
          <w:b/>
          <w:bCs/>
        </w:rPr>
        <w:t>节</w:t>
      </w:r>
      <w:r>
        <w:rPr>
          <w:b/>
          <w:bCs/>
        </w:rPr>
        <w:t xml:space="preserve">  </w:t>
      </w:r>
      <w:r>
        <w:rPr>
          <w:kern w:val="0"/>
          <w:szCs w:val="21"/>
        </w:rPr>
        <w:t xml:space="preserve"> </w:t>
      </w:r>
      <w:r>
        <w:rPr>
          <w:b/>
          <w:bCs/>
          <w:kern w:val="0"/>
          <w:szCs w:val="21"/>
        </w:rPr>
        <w:t>远缘杂交育种</w:t>
      </w:r>
      <w:r>
        <w:rPr>
          <w:rFonts w:hint="eastAsia"/>
          <w:b/>
          <w:bCs/>
          <w:kern w:val="0"/>
          <w:szCs w:val="21"/>
        </w:rPr>
        <w:t>和</w:t>
      </w:r>
      <w:r>
        <w:rPr>
          <w:b/>
          <w:bCs/>
          <w:kern w:val="0"/>
          <w:szCs w:val="21"/>
        </w:rPr>
        <w:t>杂种优势及其利用价值</w:t>
      </w:r>
      <w:r>
        <w:rPr>
          <w:rFonts w:hint="eastAsia"/>
          <w:b/>
          <w:bCs/>
          <w:kern w:val="0"/>
          <w:szCs w:val="21"/>
        </w:rPr>
        <w:t>（</w:t>
      </w:r>
      <w:r>
        <w:rPr>
          <w:rFonts w:hint="eastAsia"/>
          <w:b/>
          <w:bCs/>
          <w:kern w:val="0"/>
          <w:szCs w:val="21"/>
        </w:rPr>
        <w:t>1</w:t>
      </w:r>
      <w:r>
        <w:rPr>
          <w:rFonts w:hint="eastAsia"/>
          <w:b/>
          <w:bCs/>
          <w:kern w:val="0"/>
          <w:szCs w:val="21"/>
        </w:rPr>
        <w:t>学时）</w:t>
      </w:r>
      <w:r>
        <w:rPr>
          <w:b/>
          <w:bCs/>
          <w:kern w:val="0"/>
          <w:szCs w:val="21"/>
        </w:rPr>
        <w:t xml:space="preserve">               </w:t>
      </w:r>
    </w:p>
    <w:p w14:paraId="5EAC0E8F" w14:textId="77777777" w:rsidR="00F5289E" w:rsidRDefault="00C91173">
      <w:pPr>
        <w:widowControl/>
        <w:spacing w:line="360" w:lineRule="auto"/>
        <w:jc w:val="left"/>
      </w:pPr>
      <w:r>
        <w:rPr>
          <w:rFonts w:ascii="宋体" w:hAnsi="宋体" w:hint="eastAsia"/>
          <w:b/>
          <w:bCs/>
        </w:rPr>
        <w:t>教学目标：</w:t>
      </w:r>
      <w:r>
        <w:rPr>
          <w:kern w:val="0"/>
          <w:szCs w:val="21"/>
        </w:rPr>
        <w:t>通过</w:t>
      </w:r>
      <w:r>
        <w:rPr>
          <w:rFonts w:hint="eastAsia"/>
          <w:kern w:val="0"/>
          <w:szCs w:val="21"/>
        </w:rPr>
        <w:t>远缘杂交、优势杂交的原理和概念、分类</w:t>
      </w:r>
      <w:r>
        <w:rPr>
          <w:kern w:val="0"/>
          <w:szCs w:val="21"/>
        </w:rPr>
        <w:t>，使同学们了解</w:t>
      </w:r>
      <w:r>
        <w:rPr>
          <w:rFonts w:hint="eastAsia"/>
          <w:kern w:val="0"/>
          <w:szCs w:val="21"/>
        </w:rPr>
        <w:t>远缘杂交、优势杂交育种技术</w:t>
      </w:r>
      <w:r>
        <w:rPr>
          <w:kern w:val="0"/>
          <w:szCs w:val="21"/>
        </w:rPr>
        <w:t>在现代育种中的重要性</w:t>
      </w:r>
      <w:r>
        <w:rPr>
          <w:rFonts w:hint="eastAsia"/>
          <w:kern w:val="0"/>
          <w:szCs w:val="21"/>
        </w:rPr>
        <w:t>，明确两种技术在创制</w:t>
      </w:r>
      <w:r>
        <w:t>增产、</w:t>
      </w:r>
      <w:r>
        <w:rPr>
          <w:rFonts w:hint="eastAsia"/>
        </w:rPr>
        <w:t>高</w:t>
      </w:r>
      <w:r>
        <w:t>抗逆性和整齐度高等方面</w:t>
      </w:r>
      <w:r>
        <w:rPr>
          <w:rFonts w:hint="eastAsia"/>
        </w:rPr>
        <w:t>具备显著优势的新种质的应用。</w:t>
      </w:r>
    </w:p>
    <w:p w14:paraId="09B766C9"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重点介绍</w:t>
      </w:r>
      <w:r>
        <w:rPr>
          <w:rFonts w:hint="eastAsia"/>
          <w:kern w:val="0"/>
          <w:szCs w:val="21"/>
        </w:rPr>
        <w:t>远缘杂交育种和优势杂交育种的原理和应用，重点在于远缘杂交育种中远缘杂交不亲和的原因和解决方法以及优势杂交育种的应用</w:t>
      </w:r>
      <w:r>
        <w:rPr>
          <w:kern w:val="0"/>
          <w:szCs w:val="21"/>
        </w:rPr>
        <w:t>。</w:t>
      </w:r>
    </w:p>
    <w:p w14:paraId="5BEED089"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73C2F55A" w14:textId="77777777" w:rsidR="00F5289E" w:rsidRDefault="00C91173">
      <w:pPr>
        <w:widowControl/>
        <w:spacing w:line="360" w:lineRule="auto"/>
        <w:ind w:firstLineChars="200" w:firstLine="420"/>
        <w:jc w:val="left"/>
        <w:rPr>
          <w:kern w:val="0"/>
          <w:szCs w:val="21"/>
        </w:rPr>
      </w:pPr>
      <w:r>
        <w:rPr>
          <w:kern w:val="0"/>
          <w:szCs w:val="21"/>
        </w:rPr>
        <w:t>本章主要介绍</w:t>
      </w:r>
      <w:r>
        <w:rPr>
          <w:rFonts w:hint="eastAsia"/>
          <w:kern w:val="0"/>
          <w:szCs w:val="21"/>
        </w:rPr>
        <w:t>远缘杂交和优势杂交育种在园艺作物新品种培育中的应用</w:t>
      </w:r>
      <w:r>
        <w:rPr>
          <w:kern w:val="0"/>
          <w:szCs w:val="21"/>
        </w:rPr>
        <w:t>。</w:t>
      </w:r>
    </w:p>
    <w:p w14:paraId="194B78E1" w14:textId="77777777" w:rsidR="00F5289E" w:rsidRDefault="00C91173">
      <w:pPr>
        <w:widowControl/>
        <w:spacing w:line="360" w:lineRule="auto"/>
        <w:ind w:firstLineChars="200" w:firstLine="420"/>
        <w:jc w:val="left"/>
        <w:rPr>
          <w:kern w:val="0"/>
          <w:szCs w:val="21"/>
        </w:rPr>
      </w:pPr>
      <w:r>
        <w:rPr>
          <w:kern w:val="0"/>
          <w:szCs w:val="21"/>
        </w:rPr>
        <w:t>要求学生了解</w:t>
      </w:r>
      <w:r>
        <w:rPr>
          <w:rFonts w:hint="eastAsia"/>
          <w:kern w:val="0"/>
          <w:szCs w:val="21"/>
        </w:rPr>
        <w:t>远缘杂交和优势杂交育种的原理及其应用，明确远缘杂交和优势杂交育种的优点及其在育种中的应用中应解决的问题，掌握两种育种方法的关键技术</w:t>
      </w:r>
      <w:r>
        <w:rPr>
          <w:kern w:val="0"/>
          <w:szCs w:val="21"/>
        </w:rPr>
        <w:t>。</w:t>
      </w:r>
    </w:p>
    <w:p w14:paraId="7F691AE3" w14:textId="77777777" w:rsidR="00F5289E" w:rsidRDefault="00C91173">
      <w:pPr>
        <w:spacing w:line="360" w:lineRule="auto"/>
        <w:rPr>
          <w:kern w:val="0"/>
          <w:szCs w:val="21"/>
        </w:rPr>
      </w:pPr>
      <w:r>
        <w:rPr>
          <w:b/>
          <w:bCs/>
        </w:rPr>
        <w:t>教学组织与实施：</w:t>
      </w:r>
      <w:r>
        <w:t>课堂讲授常</w:t>
      </w:r>
      <w:r>
        <w:rPr>
          <w:rFonts w:hint="eastAsia"/>
          <w:kern w:val="0"/>
          <w:szCs w:val="21"/>
        </w:rPr>
        <w:t>远缘杂交和优势杂交育种</w:t>
      </w:r>
      <w:r>
        <w:t>的概念和意义，</w:t>
      </w:r>
      <w:r>
        <w:rPr>
          <w:rFonts w:hint="eastAsia"/>
          <w:kern w:val="0"/>
          <w:szCs w:val="21"/>
        </w:rPr>
        <w:t>结合</w:t>
      </w:r>
      <w:r>
        <w:rPr>
          <w:kern w:val="0"/>
          <w:szCs w:val="21"/>
        </w:rPr>
        <w:t>大量图片</w:t>
      </w:r>
      <w:r>
        <w:rPr>
          <w:rFonts w:hint="eastAsia"/>
          <w:kern w:val="0"/>
          <w:szCs w:val="21"/>
        </w:rPr>
        <w:t>和</w:t>
      </w:r>
      <w:r>
        <w:rPr>
          <w:kern w:val="0"/>
          <w:szCs w:val="21"/>
        </w:rPr>
        <w:t>实例介绍</w:t>
      </w:r>
      <w:r>
        <w:rPr>
          <w:rFonts w:hint="eastAsia"/>
          <w:kern w:val="0"/>
          <w:szCs w:val="21"/>
        </w:rPr>
        <w:t>两种育种技术在园艺植物新品种培育中的突出作用</w:t>
      </w:r>
      <w:r>
        <w:rPr>
          <w:kern w:val="0"/>
          <w:szCs w:val="21"/>
        </w:rPr>
        <w:t>。通过课堂讲授和田间实验操作掌握</w:t>
      </w:r>
      <w:r>
        <w:rPr>
          <w:rFonts w:hint="eastAsia"/>
          <w:kern w:val="0"/>
          <w:szCs w:val="21"/>
        </w:rPr>
        <w:t>远缘杂交和优势杂交育种</w:t>
      </w:r>
      <w:r>
        <w:rPr>
          <w:kern w:val="0"/>
          <w:szCs w:val="21"/>
        </w:rPr>
        <w:t>的方法和技术流程。</w:t>
      </w:r>
    </w:p>
    <w:p w14:paraId="7E397DC8" w14:textId="77777777" w:rsidR="00F5289E" w:rsidRDefault="00F5289E">
      <w:pPr>
        <w:spacing w:line="360" w:lineRule="auto"/>
        <w:rPr>
          <w:b/>
          <w:bCs/>
          <w:kern w:val="0"/>
          <w:szCs w:val="21"/>
        </w:rPr>
      </w:pPr>
    </w:p>
    <w:p w14:paraId="7E9B63A7" w14:textId="77777777" w:rsidR="00F5289E" w:rsidRDefault="00C91173">
      <w:pPr>
        <w:spacing w:line="360" w:lineRule="auto"/>
        <w:ind w:firstLineChars="1600" w:firstLine="3373"/>
        <w:rPr>
          <w:kern w:val="0"/>
          <w:szCs w:val="21"/>
        </w:rPr>
      </w:pPr>
      <w:r>
        <w:rPr>
          <w:b/>
          <w:bCs/>
          <w:kern w:val="0"/>
          <w:szCs w:val="21"/>
        </w:rPr>
        <w:t>第六章</w:t>
      </w:r>
      <w:r>
        <w:rPr>
          <w:b/>
          <w:bCs/>
          <w:kern w:val="0"/>
          <w:szCs w:val="21"/>
        </w:rPr>
        <w:t xml:space="preserve"> </w:t>
      </w:r>
      <w:r>
        <w:rPr>
          <w:b/>
          <w:bCs/>
          <w:kern w:val="0"/>
          <w:szCs w:val="21"/>
        </w:rPr>
        <w:t>诱变和倍性育种</w:t>
      </w:r>
      <w:r>
        <w:rPr>
          <w:b/>
          <w:bCs/>
          <w:kern w:val="0"/>
          <w:szCs w:val="21"/>
        </w:rPr>
        <w:t xml:space="preserve">                      </w:t>
      </w:r>
      <w:r>
        <w:rPr>
          <w:b/>
          <w:bCs/>
          <w:kern w:val="0"/>
          <w:szCs w:val="21"/>
        </w:rPr>
        <w:t>学时数：</w:t>
      </w:r>
      <w:r>
        <w:rPr>
          <w:b/>
          <w:bCs/>
          <w:kern w:val="0"/>
          <w:szCs w:val="21"/>
        </w:rPr>
        <w:t>3</w:t>
      </w:r>
    </w:p>
    <w:p w14:paraId="2A4B0391" w14:textId="77777777" w:rsidR="00F5289E" w:rsidRDefault="00C91173">
      <w:pPr>
        <w:spacing w:line="360" w:lineRule="auto"/>
        <w:rPr>
          <w:b/>
          <w:bCs/>
          <w:kern w:val="0"/>
          <w:szCs w:val="21"/>
        </w:rPr>
      </w:pPr>
      <w:r>
        <w:rPr>
          <w:b/>
          <w:bCs/>
        </w:rPr>
        <w:t>第一节</w:t>
      </w:r>
      <w:r>
        <w:rPr>
          <w:b/>
          <w:bCs/>
        </w:rPr>
        <w:t xml:space="preserve">  </w:t>
      </w:r>
      <w:r>
        <w:rPr>
          <w:b/>
          <w:bCs/>
          <w:kern w:val="0"/>
          <w:szCs w:val="21"/>
        </w:rPr>
        <w:t>辐射诱变育种</w:t>
      </w:r>
      <w:r>
        <w:rPr>
          <w:rFonts w:hint="eastAsia"/>
          <w:b/>
          <w:bCs/>
          <w:kern w:val="0"/>
          <w:szCs w:val="21"/>
        </w:rPr>
        <w:t>、</w:t>
      </w:r>
      <w:r>
        <w:rPr>
          <w:b/>
          <w:bCs/>
          <w:kern w:val="0"/>
          <w:szCs w:val="21"/>
        </w:rPr>
        <w:t>化学诱变育种</w:t>
      </w:r>
      <w:r>
        <w:rPr>
          <w:rFonts w:hint="eastAsia"/>
          <w:b/>
          <w:bCs/>
          <w:kern w:val="0"/>
          <w:szCs w:val="21"/>
        </w:rPr>
        <w:t>和</w:t>
      </w:r>
      <w:r>
        <w:rPr>
          <w:b/>
          <w:bCs/>
          <w:kern w:val="0"/>
          <w:szCs w:val="21"/>
        </w:rPr>
        <w:t>空间诱变育种特点</w:t>
      </w:r>
      <w:r>
        <w:rPr>
          <w:rFonts w:hint="eastAsia"/>
          <w:b/>
          <w:bCs/>
          <w:kern w:val="0"/>
          <w:szCs w:val="21"/>
        </w:rPr>
        <w:t>（</w:t>
      </w:r>
      <w:r>
        <w:rPr>
          <w:rFonts w:hint="eastAsia"/>
          <w:b/>
          <w:bCs/>
          <w:kern w:val="0"/>
          <w:szCs w:val="21"/>
        </w:rPr>
        <w:t>2</w:t>
      </w:r>
      <w:r>
        <w:rPr>
          <w:rFonts w:hint="eastAsia"/>
          <w:b/>
          <w:bCs/>
          <w:kern w:val="0"/>
          <w:szCs w:val="21"/>
        </w:rPr>
        <w:t>学时）</w:t>
      </w:r>
      <w:r>
        <w:rPr>
          <w:b/>
          <w:bCs/>
          <w:kern w:val="0"/>
          <w:szCs w:val="21"/>
        </w:rPr>
        <w:t xml:space="preserve"> </w:t>
      </w:r>
    </w:p>
    <w:p w14:paraId="1AD49BEF" w14:textId="77777777" w:rsidR="00F5289E" w:rsidRDefault="00C91173">
      <w:pPr>
        <w:spacing w:line="360" w:lineRule="auto"/>
        <w:rPr>
          <w:kern w:val="0"/>
          <w:szCs w:val="21"/>
        </w:rPr>
      </w:pPr>
      <w:r>
        <w:rPr>
          <w:rFonts w:ascii="宋体" w:hAnsi="宋体" w:hint="eastAsia"/>
          <w:b/>
          <w:bCs/>
        </w:rPr>
        <w:t>教学目标：</w:t>
      </w:r>
      <w:r>
        <w:rPr>
          <w:kern w:val="0"/>
          <w:szCs w:val="21"/>
        </w:rPr>
        <w:t>通过诱变及倍性育种的主要内容介绍，了解诱变及倍性育种在现代育种中的重要作用</w:t>
      </w:r>
      <w:r>
        <w:rPr>
          <w:rFonts w:hint="eastAsia"/>
          <w:kern w:val="0"/>
          <w:szCs w:val="21"/>
        </w:rPr>
        <w:t>；</w:t>
      </w:r>
      <w:r>
        <w:rPr>
          <w:kern w:val="0"/>
          <w:szCs w:val="21"/>
        </w:rPr>
        <w:t>化学诱变剂的种类和性质，化学诱变处理的方法，化学诱变后代的选育</w:t>
      </w:r>
      <w:r>
        <w:rPr>
          <w:rFonts w:hint="eastAsia"/>
          <w:kern w:val="0"/>
          <w:szCs w:val="21"/>
        </w:rPr>
        <w:t>。</w:t>
      </w:r>
    </w:p>
    <w:p w14:paraId="696ED386" w14:textId="77777777" w:rsidR="00F5289E" w:rsidRDefault="00C91173">
      <w:pPr>
        <w:widowControl/>
        <w:spacing w:line="360" w:lineRule="auto"/>
        <w:jc w:val="left"/>
        <w:rPr>
          <w:kern w:val="0"/>
          <w:szCs w:val="21"/>
        </w:rPr>
      </w:pPr>
      <w:r>
        <w:rPr>
          <w:rFonts w:ascii="宋体" w:hAnsi="宋体" w:hint="eastAsia"/>
          <w:b/>
          <w:bCs/>
        </w:rPr>
        <w:lastRenderedPageBreak/>
        <w:t>教学重点和难点：</w:t>
      </w:r>
      <w:r>
        <w:rPr>
          <w:kern w:val="0"/>
          <w:szCs w:val="21"/>
        </w:rPr>
        <w:t>重点介绍</w:t>
      </w:r>
      <w:r>
        <w:rPr>
          <w:rFonts w:hint="eastAsia"/>
          <w:kern w:val="0"/>
          <w:szCs w:val="21"/>
        </w:rPr>
        <w:t xml:space="preserve"> </w:t>
      </w:r>
      <w:r>
        <w:rPr>
          <w:rFonts w:hint="eastAsia"/>
          <w:kern w:val="0"/>
          <w:szCs w:val="21"/>
        </w:rPr>
        <w:t>辐射诱变育种、化学诱变育种和空间诱变育种</w:t>
      </w:r>
      <w:r>
        <w:rPr>
          <w:kern w:val="0"/>
          <w:szCs w:val="21"/>
        </w:rPr>
        <w:t>的概念和特点，两种育种途径在选育品种中的作用。其中</w:t>
      </w:r>
      <w:r>
        <w:rPr>
          <w:rFonts w:hint="eastAsia"/>
          <w:kern w:val="0"/>
          <w:szCs w:val="21"/>
        </w:rPr>
        <w:t xml:space="preserve"> </w:t>
      </w:r>
      <w:r>
        <w:rPr>
          <w:rFonts w:hint="eastAsia"/>
          <w:kern w:val="0"/>
          <w:szCs w:val="21"/>
        </w:rPr>
        <w:t>辐射诱变育种、化学诱变育种和空间诱变育种</w:t>
      </w:r>
      <w:r>
        <w:rPr>
          <w:kern w:val="0"/>
          <w:szCs w:val="21"/>
        </w:rPr>
        <w:t>的遗传和变异特点为其难点。</w:t>
      </w:r>
    </w:p>
    <w:p w14:paraId="5BB5A241"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621E8B00" w14:textId="77777777" w:rsidR="00F5289E" w:rsidRDefault="00C91173">
      <w:pPr>
        <w:widowControl/>
        <w:spacing w:line="360" w:lineRule="auto"/>
        <w:jc w:val="left"/>
        <w:rPr>
          <w:kern w:val="0"/>
          <w:szCs w:val="21"/>
        </w:rPr>
      </w:pPr>
      <w:r>
        <w:rPr>
          <w:kern w:val="0"/>
          <w:szCs w:val="21"/>
        </w:rPr>
        <w:t>本章主要介绍园艺植物</w:t>
      </w:r>
      <w:r>
        <w:rPr>
          <w:rFonts w:hint="eastAsia"/>
          <w:kern w:val="0"/>
          <w:szCs w:val="21"/>
        </w:rPr>
        <w:t>辐射诱变育种、化学诱变育种和空间诱变育种</w:t>
      </w:r>
      <w:r>
        <w:rPr>
          <w:kern w:val="0"/>
          <w:szCs w:val="21"/>
        </w:rPr>
        <w:t>的概念、方法；介绍</w:t>
      </w:r>
      <w:r>
        <w:rPr>
          <w:kern w:val="0"/>
          <w:szCs w:val="21"/>
        </w:rPr>
        <w:t xml:space="preserve"> </w:t>
      </w:r>
      <w:r>
        <w:rPr>
          <w:rFonts w:hint="eastAsia"/>
          <w:kern w:val="0"/>
          <w:szCs w:val="21"/>
        </w:rPr>
        <w:t>辐射诱变育种、化学诱变育种和空间诱变育种</w:t>
      </w:r>
      <w:r>
        <w:rPr>
          <w:kern w:val="0"/>
          <w:szCs w:val="21"/>
        </w:rPr>
        <w:t>的规律，在生产上应用途径。</w:t>
      </w:r>
    </w:p>
    <w:p w14:paraId="48C774B6" w14:textId="77777777" w:rsidR="00F5289E" w:rsidRDefault="00C91173">
      <w:pPr>
        <w:widowControl/>
        <w:spacing w:line="360" w:lineRule="auto"/>
        <w:ind w:firstLineChars="200" w:firstLine="420"/>
        <w:jc w:val="left"/>
        <w:rPr>
          <w:kern w:val="0"/>
          <w:szCs w:val="21"/>
        </w:rPr>
      </w:pPr>
      <w:r>
        <w:rPr>
          <w:kern w:val="0"/>
          <w:szCs w:val="21"/>
        </w:rPr>
        <w:t>要求学生了解常见的主要诱变剂种类，掌握两种育种途径的主要原理，并能结合不同园艺植物的特点开展</w:t>
      </w:r>
      <w:r>
        <w:rPr>
          <w:rFonts w:hint="eastAsia"/>
          <w:kern w:val="0"/>
          <w:szCs w:val="21"/>
        </w:rPr>
        <w:t>辐射诱变育种、化学诱变育种和空间诱变育种</w:t>
      </w:r>
      <w:r>
        <w:rPr>
          <w:kern w:val="0"/>
          <w:szCs w:val="21"/>
        </w:rPr>
        <w:t>的实践。</w:t>
      </w:r>
    </w:p>
    <w:p w14:paraId="26D551AC" w14:textId="77777777" w:rsidR="00F5289E" w:rsidRDefault="00C91173">
      <w:pPr>
        <w:spacing w:line="360" w:lineRule="auto"/>
        <w:rPr>
          <w:kern w:val="0"/>
          <w:szCs w:val="21"/>
        </w:rPr>
      </w:pPr>
      <w:r>
        <w:rPr>
          <w:b/>
          <w:bCs/>
        </w:rPr>
        <w:t>教学组织与实施：</w:t>
      </w:r>
      <w:r>
        <w:t>通过课堂讲授结合实例，介绍诱变的种类也特点、</w:t>
      </w:r>
      <w:r>
        <w:rPr>
          <w:rFonts w:hint="eastAsia"/>
          <w:kern w:val="0"/>
          <w:szCs w:val="21"/>
        </w:rPr>
        <w:t>辐射诱变育种、化学诱变育种和空间诱变育种的</w:t>
      </w:r>
      <w:r>
        <w:t>特点</w:t>
      </w:r>
      <w:r>
        <w:rPr>
          <w:rFonts w:hint="eastAsia"/>
        </w:rPr>
        <w:t>和</w:t>
      </w:r>
      <w:r>
        <w:t>意义，通过实例介绍</w:t>
      </w:r>
      <w:r>
        <w:rPr>
          <w:rFonts w:hint="eastAsia"/>
          <w:kern w:val="0"/>
          <w:szCs w:val="21"/>
        </w:rPr>
        <w:t>辐射诱变育种、化学诱变育种和空间诱变育种</w:t>
      </w:r>
      <w:r>
        <w:t>在园艺植物育种中的应用。</w:t>
      </w:r>
    </w:p>
    <w:p w14:paraId="60AAE802" w14:textId="77777777" w:rsidR="00F5289E" w:rsidRDefault="00C91173">
      <w:pPr>
        <w:spacing w:line="360" w:lineRule="auto"/>
        <w:rPr>
          <w:b/>
          <w:bCs/>
          <w:kern w:val="0"/>
          <w:szCs w:val="21"/>
        </w:rPr>
      </w:pPr>
      <w:r>
        <w:rPr>
          <w:b/>
          <w:bCs/>
        </w:rPr>
        <w:t>第</w:t>
      </w:r>
      <w:r>
        <w:rPr>
          <w:rFonts w:hint="eastAsia"/>
          <w:b/>
          <w:bCs/>
        </w:rPr>
        <w:t>二</w:t>
      </w:r>
      <w:r>
        <w:rPr>
          <w:b/>
          <w:bCs/>
        </w:rPr>
        <w:t>节</w:t>
      </w:r>
      <w:r>
        <w:rPr>
          <w:b/>
          <w:bCs/>
        </w:rPr>
        <w:t xml:space="preserve"> </w:t>
      </w:r>
      <w:r>
        <w:rPr>
          <w:b/>
          <w:bCs/>
          <w:kern w:val="0"/>
          <w:szCs w:val="21"/>
        </w:rPr>
        <w:t>多倍体育种和单倍体育种</w:t>
      </w:r>
      <w:r>
        <w:rPr>
          <w:b/>
          <w:bCs/>
          <w:kern w:val="0"/>
          <w:szCs w:val="21"/>
        </w:rPr>
        <w:t xml:space="preserve">     </w:t>
      </w:r>
      <w:r>
        <w:rPr>
          <w:b/>
          <w:bCs/>
        </w:rPr>
        <w:t>1</w:t>
      </w:r>
      <w:r>
        <w:rPr>
          <w:b/>
          <w:bCs/>
        </w:rPr>
        <w:t>学时</w:t>
      </w:r>
    </w:p>
    <w:p w14:paraId="17937B3B" w14:textId="77777777" w:rsidR="00F5289E" w:rsidRDefault="00C91173">
      <w:pPr>
        <w:spacing w:line="360" w:lineRule="auto"/>
        <w:rPr>
          <w:kern w:val="0"/>
          <w:szCs w:val="21"/>
        </w:rPr>
      </w:pPr>
      <w:r>
        <w:rPr>
          <w:rFonts w:ascii="宋体" w:hAnsi="宋体" w:hint="eastAsia"/>
          <w:b/>
          <w:bCs/>
        </w:rPr>
        <w:t>教学目标：</w:t>
      </w:r>
      <w:r>
        <w:rPr>
          <w:kern w:val="0"/>
          <w:szCs w:val="21"/>
        </w:rPr>
        <w:t>多倍体的特点和产生途径，人工诱导的方法，多倍体的鉴定和后代选育；单倍体植物的特点及其产生途径，单倍体在育种上的意义、育种技术。</w:t>
      </w:r>
    </w:p>
    <w:p w14:paraId="0FEB4C7F" w14:textId="77777777" w:rsidR="00F5289E" w:rsidRDefault="00C91173">
      <w:pPr>
        <w:widowControl/>
        <w:spacing w:line="360" w:lineRule="auto"/>
        <w:jc w:val="left"/>
        <w:rPr>
          <w:kern w:val="0"/>
          <w:szCs w:val="21"/>
        </w:rPr>
      </w:pPr>
      <w:r>
        <w:rPr>
          <w:rFonts w:ascii="宋体" w:hAnsi="宋体" w:hint="eastAsia"/>
          <w:b/>
          <w:bCs/>
        </w:rPr>
        <w:t>教学重点和难点：</w:t>
      </w:r>
      <w:r>
        <w:rPr>
          <w:kern w:val="0"/>
          <w:szCs w:val="21"/>
        </w:rPr>
        <w:t>重点介绍</w:t>
      </w:r>
      <w:r>
        <w:rPr>
          <w:rFonts w:hint="eastAsia"/>
          <w:kern w:val="0"/>
          <w:szCs w:val="21"/>
        </w:rPr>
        <w:t xml:space="preserve"> </w:t>
      </w:r>
      <w:r>
        <w:rPr>
          <w:rFonts w:hint="eastAsia"/>
          <w:kern w:val="0"/>
          <w:szCs w:val="21"/>
        </w:rPr>
        <w:t>辐射诱变育种、化学诱变育种和空间诱变育种</w:t>
      </w:r>
      <w:r>
        <w:rPr>
          <w:kern w:val="0"/>
          <w:szCs w:val="21"/>
        </w:rPr>
        <w:t>的概念和特点，两种育种途径在选育品种中的作用。其中</w:t>
      </w:r>
      <w:r>
        <w:rPr>
          <w:rFonts w:hint="eastAsia"/>
          <w:kern w:val="0"/>
          <w:szCs w:val="21"/>
        </w:rPr>
        <w:t xml:space="preserve"> </w:t>
      </w:r>
      <w:r>
        <w:rPr>
          <w:rFonts w:hint="eastAsia"/>
          <w:kern w:val="0"/>
          <w:szCs w:val="21"/>
        </w:rPr>
        <w:t>辐射诱变育种、化学诱变育种和空间诱变育种</w:t>
      </w:r>
      <w:r>
        <w:rPr>
          <w:kern w:val="0"/>
          <w:szCs w:val="21"/>
        </w:rPr>
        <w:t>的遗传和变异特点为其难点。</w:t>
      </w:r>
    </w:p>
    <w:p w14:paraId="50E2513E" w14:textId="77777777" w:rsidR="00F5289E" w:rsidRDefault="00C91173">
      <w:pPr>
        <w:widowControl/>
        <w:snapToGrid w:val="0"/>
        <w:spacing w:line="360" w:lineRule="auto"/>
        <w:rPr>
          <w:rFonts w:ascii="宋体" w:hAnsi="宋体"/>
          <w:b/>
          <w:bCs/>
        </w:rPr>
      </w:pPr>
      <w:r>
        <w:rPr>
          <w:rFonts w:ascii="宋体" w:hAnsi="宋体" w:hint="eastAsia"/>
          <w:b/>
          <w:bCs/>
        </w:rPr>
        <w:t>主要教学内容及要求：</w:t>
      </w:r>
    </w:p>
    <w:p w14:paraId="15539EB4" w14:textId="77777777" w:rsidR="00F5289E" w:rsidRDefault="00C91173">
      <w:pPr>
        <w:spacing w:line="360" w:lineRule="auto"/>
        <w:ind w:firstLineChars="200" w:firstLine="420"/>
        <w:rPr>
          <w:kern w:val="0"/>
          <w:szCs w:val="21"/>
        </w:rPr>
      </w:pPr>
      <w:r>
        <w:rPr>
          <w:rFonts w:hint="eastAsia"/>
          <w:kern w:val="0"/>
          <w:szCs w:val="21"/>
        </w:rPr>
        <w:t>本节主要介绍园艺植物单倍体和多倍体育种</w:t>
      </w:r>
      <w:r>
        <w:rPr>
          <w:kern w:val="0"/>
          <w:szCs w:val="21"/>
        </w:rPr>
        <w:t>的概念、方法；介绍单倍体植物的特点及其产生途径，单倍体在育种上的意义、育种技术</w:t>
      </w:r>
      <w:r>
        <w:rPr>
          <w:rFonts w:hint="eastAsia"/>
          <w:kern w:val="0"/>
          <w:szCs w:val="21"/>
        </w:rPr>
        <w:t>，</w:t>
      </w:r>
      <w:r>
        <w:rPr>
          <w:kern w:val="0"/>
          <w:szCs w:val="21"/>
        </w:rPr>
        <w:t>多倍体的鉴定和后代选育</w:t>
      </w:r>
      <w:r>
        <w:rPr>
          <w:rFonts w:hint="eastAsia"/>
          <w:kern w:val="0"/>
          <w:szCs w:val="21"/>
        </w:rPr>
        <w:t>，以及两种育种方法</w:t>
      </w:r>
      <w:r>
        <w:rPr>
          <w:kern w:val="0"/>
          <w:szCs w:val="21"/>
        </w:rPr>
        <w:t>在生产上应用途径。</w:t>
      </w:r>
    </w:p>
    <w:p w14:paraId="43FC1770" w14:textId="77777777" w:rsidR="00F5289E" w:rsidRDefault="00C91173">
      <w:pPr>
        <w:widowControl/>
        <w:spacing w:line="360" w:lineRule="auto"/>
        <w:ind w:firstLineChars="200" w:firstLine="420"/>
        <w:jc w:val="left"/>
        <w:rPr>
          <w:kern w:val="0"/>
          <w:szCs w:val="21"/>
        </w:rPr>
      </w:pPr>
      <w:r>
        <w:rPr>
          <w:kern w:val="0"/>
          <w:szCs w:val="21"/>
        </w:rPr>
        <w:t>要求学生了解掌握两种育种途径的主要原理，并能结合不同园艺植物的特点开展</w:t>
      </w:r>
      <w:r>
        <w:t>单倍体育种</w:t>
      </w:r>
      <w:r>
        <w:rPr>
          <w:rFonts w:hint="eastAsia"/>
        </w:rPr>
        <w:t>和多倍体育种</w:t>
      </w:r>
      <w:r>
        <w:rPr>
          <w:kern w:val="0"/>
          <w:szCs w:val="21"/>
        </w:rPr>
        <w:t>的实践。</w:t>
      </w:r>
    </w:p>
    <w:p w14:paraId="391BF86F" w14:textId="77777777" w:rsidR="00F5289E" w:rsidRDefault="00C91173">
      <w:pPr>
        <w:spacing w:line="360" w:lineRule="auto"/>
        <w:rPr>
          <w:kern w:val="0"/>
          <w:szCs w:val="21"/>
        </w:rPr>
      </w:pPr>
      <w:r>
        <w:rPr>
          <w:b/>
          <w:bCs/>
        </w:rPr>
        <w:t>教学组织与实施：</w:t>
      </w:r>
      <w:r>
        <w:t>通过课堂讲授结合实例，介绍</w:t>
      </w:r>
      <w:r>
        <w:rPr>
          <w:rFonts w:hint="eastAsia"/>
        </w:rPr>
        <w:t>单倍体</w:t>
      </w:r>
      <w:r>
        <w:t>、多倍体的概念和特点</w:t>
      </w:r>
      <w:r>
        <w:rPr>
          <w:rFonts w:hint="eastAsia"/>
        </w:rPr>
        <w:t>，</w:t>
      </w:r>
      <w:r>
        <w:t>通过实例介绍单倍体育种</w:t>
      </w:r>
      <w:r>
        <w:rPr>
          <w:rFonts w:hint="eastAsia"/>
        </w:rPr>
        <w:t>和多倍体育种</w:t>
      </w:r>
      <w:r>
        <w:t>在园艺植物育种中的应用。</w:t>
      </w:r>
    </w:p>
    <w:p w14:paraId="01167E83" w14:textId="77777777" w:rsidR="00F5289E" w:rsidRDefault="00F5289E">
      <w:pPr>
        <w:widowControl/>
        <w:spacing w:line="360" w:lineRule="auto"/>
        <w:jc w:val="left"/>
        <w:rPr>
          <w:b/>
          <w:bCs/>
          <w:kern w:val="0"/>
          <w:szCs w:val="21"/>
        </w:rPr>
      </w:pPr>
    </w:p>
    <w:p w14:paraId="5700264E" w14:textId="77777777" w:rsidR="00F5289E" w:rsidRDefault="00C91173">
      <w:pPr>
        <w:spacing w:line="360" w:lineRule="auto"/>
        <w:ind w:firstLineChars="100" w:firstLine="211"/>
        <w:jc w:val="right"/>
        <w:rPr>
          <w:kern w:val="0"/>
          <w:szCs w:val="21"/>
        </w:rPr>
      </w:pPr>
      <w:r>
        <w:rPr>
          <w:b/>
          <w:bCs/>
          <w:kern w:val="0"/>
          <w:szCs w:val="21"/>
        </w:rPr>
        <w:t>第七章</w:t>
      </w:r>
      <w:r>
        <w:rPr>
          <w:b/>
          <w:bCs/>
          <w:kern w:val="0"/>
          <w:szCs w:val="21"/>
        </w:rPr>
        <w:t xml:space="preserve">  </w:t>
      </w:r>
      <w:r>
        <w:rPr>
          <w:b/>
          <w:bCs/>
          <w:kern w:val="0"/>
          <w:szCs w:val="21"/>
        </w:rPr>
        <w:t>生物技术在园艺植物育种中的应用</w:t>
      </w:r>
      <w:r>
        <w:rPr>
          <w:kern w:val="0"/>
          <w:szCs w:val="21"/>
        </w:rPr>
        <w:t xml:space="preserve">                </w:t>
      </w:r>
      <w:r>
        <w:rPr>
          <w:b/>
          <w:bCs/>
          <w:kern w:val="0"/>
          <w:szCs w:val="21"/>
        </w:rPr>
        <w:t>学时数：</w:t>
      </w:r>
      <w:r>
        <w:rPr>
          <w:b/>
          <w:bCs/>
          <w:kern w:val="0"/>
          <w:szCs w:val="21"/>
        </w:rPr>
        <w:t>2</w:t>
      </w:r>
    </w:p>
    <w:p w14:paraId="3BCA5973" w14:textId="77777777" w:rsidR="00F5289E" w:rsidRDefault="00C91173">
      <w:pPr>
        <w:spacing w:line="360" w:lineRule="auto"/>
        <w:rPr>
          <w:kern w:val="0"/>
          <w:szCs w:val="21"/>
        </w:rPr>
      </w:pPr>
      <w:r>
        <w:rPr>
          <w:b/>
          <w:kern w:val="0"/>
          <w:szCs w:val="21"/>
        </w:rPr>
        <w:t>教学目的：</w:t>
      </w:r>
      <w:r>
        <w:rPr>
          <w:kern w:val="0"/>
          <w:szCs w:val="21"/>
        </w:rPr>
        <w:t>通过本章的学习，掌握生物技术常用的方法。</w:t>
      </w:r>
    </w:p>
    <w:p w14:paraId="5CD67149" w14:textId="77777777" w:rsidR="00F5289E" w:rsidRDefault="00C91173">
      <w:pPr>
        <w:spacing w:line="360" w:lineRule="auto"/>
        <w:rPr>
          <w:kern w:val="0"/>
          <w:szCs w:val="21"/>
        </w:rPr>
      </w:pPr>
      <w:r>
        <w:rPr>
          <w:b/>
          <w:kern w:val="0"/>
          <w:szCs w:val="21"/>
        </w:rPr>
        <w:t>教学重点和难点：</w:t>
      </w:r>
      <w:r>
        <w:rPr>
          <w:kern w:val="0"/>
          <w:szCs w:val="21"/>
        </w:rPr>
        <w:t>组织和器官培养在育种中的作用；细胞工程在园艺植物育种中的应用；植物基因工程在园艺植物育种中的应用。</w:t>
      </w:r>
    </w:p>
    <w:p w14:paraId="29C4D590" w14:textId="77777777" w:rsidR="00F5289E" w:rsidRDefault="00C91173">
      <w:pPr>
        <w:spacing w:line="360" w:lineRule="auto"/>
        <w:rPr>
          <w:b/>
          <w:kern w:val="0"/>
          <w:szCs w:val="21"/>
        </w:rPr>
      </w:pPr>
      <w:r>
        <w:rPr>
          <w:b/>
          <w:kern w:val="0"/>
          <w:szCs w:val="21"/>
        </w:rPr>
        <w:lastRenderedPageBreak/>
        <w:t>主要教学内容及要求：</w:t>
      </w:r>
      <w:r>
        <w:rPr>
          <w:kern w:val="0"/>
          <w:szCs w:val="21"/>
        </w:rPr>
        <w:t>生物技术发展历程（了解）；组织和器官培养的类型（掌握）；花药培养的基本程序（掌握）；体细胞突变体的筛选（掌握）；原生质体培养和体细胞杂交的程序（掌握）；植物基因工程的基本步骤（掌握）；组织和器官培养在育种中的作用（熟练掌握）；细胞工程在园艺植物育种中的应用（熟练掌握）；植物基因工程在园艺植物育种中的应用（熟练掌握）。</w:t>
      </w:r>
    </w:p>
    <w:p w14:paraId="7F41B932" w14:textId="77777777" w:rsidR="00F5289E" w:rsidRDefault="00C91173">
      <w:pPr>
        <w:spacing w:line="360" w:lineRule="auto"/>
        <w:rPr>
          <w:kern w:val="0"/>
          <w:szCs w:val="21"/>
        </w:rPr>
      </w:pPr>
      <w:r>
        <w:rPr>
          <w:b/>
          <w:bCs/>
        </w:rPr>
        <w:t>教学组织与实施：</w:t>
      </w:r>
      <w:r>
        <w:t>通过课堂讲授结合大量图片资料介绍</w:t>
      </w:r>
      <w:r>
        <w:rPr>
          <w:kern w:val="0"/>
          <w:szCs w:val="21"/>
        </w:rPr>
        <w:t>细胞工程、基因工程和分子标记的方法及其在育种中的应用，学生可通过自学深入学习生物技术在园艺植物育种中的应用。</w:t>
      </w:r>
    </w:p>
    <w:p w14:paraId="176AA2BC" w14:textId="77777777" w:rsidR="00F5289E" w:rsidRDefault="00F5289E">
      <w:pPr>
        <w:spacing w:line="360" w:lineRule="auto"/>
        <w:rPr>
          <w:b/>
          <w:bCs/>
          <w:kern w:val="0"/>
          <w:szCs w:val="21"/>
        </w:rPr>
      </w:pPr>
    </w:p>
    <w:p w14:paraId="70F1CB9A" w14:textId="77777777" w:rsidR="00F5289E" w:rsidRDefault="00C91173">
      <w:pPr>
        <w:spacing w:line="360" w:lineRule="auto"/>
        <w:ind w:firstLineChars="1500" w:firstLine="3162"/>
        <w:rPr>
          <w:kern w:val="0"/>
          <w:szCs w:val="21"/>
        </w:rPr>
      </w:pPr>
      <w:r>
        <w:rPr>
          <w:b/>
          <w:bCs/>
          <w:kern w:val="0"/>
          <w:szCs w:val="21"/>
        </w:rPr>
        <w:t>第八章</w:t>
      </w:r>
      <w:r>
        <w:rPr>
          <w:b/>
          <w:bCs/>
          <w:kern w:val="0"/>
          <w:szCs w:val="21"/>
        </w:rPr>
        <w:t xml:space="preserve">  </w:t>
      </w:r>
      <w:r>
        <w:rPr>
          <w:b/>
          <w:bCs/>
          <w:kern w:val="0"/>
          <w:szCs w:val="21"/>
        </w:rPr>
        <w:t>品种审定和良种繁育</w:t>
      </w:r>
      <w:r>
        <w:rPr>
          <w:b/>
          <w:bCs/>
          <w:kern w:val="0"/>
          <w:szCs w:val="21"/>
        </w:rPr>
        <w:t xml:space="preserve">    </w:t>
      </w:r>
      <w:r>
        <w:rPr>
          <w:kern w:val="0"/>
          <w:szCs w:val="21"/>
        </w:rPr>
        <w:t xml:space="preserve">               </w:t>
      </w:r>
      <w:r>
        <w:rPr>
          <w:b/>
          <w:bCs/>
          <w:kern w:val="0"/>
          <w:szCs w:val="21"/>
        </w:rPr>
        <w:t>学时数：</w:t>
      </w:r>
      <w:r>
        <w:rPr>
          <w:b/>
          <w:bCs/>
          <w:kern w:val="0"/>
          <w:szCs w:val="21"/>
        </w:rPr>
        <w:t>1</w:t>
      </w:r>
    </w:p>
    <w:p w14:paraId="071CD3D3" w14:textId="77777777" w:rsidR="00F5289E" w:rsidRDefault="00C91173">
      <w:pPr>
        <w:widowControl/>
        <w:spacing w:line="360" w:lineRule="auto"/>
        <w:jc w:val="left"/>
        <w:rPr>
          <w:kern w:val="0"/>
          <w:szCs w:val="21"/>
        </w:rPr>
      </w:pPr>
      <w:r>
        <w:rPr>
          <w:b/>
          <w:bCs/>
          <w:kern w:val="0"/>
          <w:szCs w:val="21"/>
        </w:rPr>
        <w:t>教学目</w:t>
      </w:r>
      <w:r>
        <w:rPr>
          <w:rFonts w:hint="eastAsia"/>
          <w:b/>
          <w:bCs/>
          <w:kern w:val="0"/>
          <w:szCs w:val="21"/>
        </w:rPr>
        <w:t>标</w:t>
      </w:r>
      <w:r>
        <w:rPr>
          <w:b/>
          <w:bCs/>
          <w:kern w:val="0"/>
          <w:szCs w:val="21"/>
        </w:rPr>
        <w:t>：</w:t>
      </w:r>
      <w:r>
        <w:rPr>
          <w:kern w:val="0"/>
          <w:szCs w:val="21"/>
        </w:rPr>
        <w:t>通过品种审定相关主要内容的介绍，使设施园艺专业同学了解到品种管理、品种保护在现代育种中的地位及其重要性；通过介绍良种繁育的概念和主要内容，使同学了解到在现代育种实践中，良种繁育的重要性。</w:t>
      </w:r>
    </w:p>
    <w:p w14:paraId="77F7094F" w14:textId="77777777" w:rsidR="00F5289E" w:rsidRDefault="00C91173">
      <w:pPr>
        <w:widowControl/>
        <w:spacing w:line="360" w:lineRule="auto"/>
        <w:jc w:val="left"/>
        <w:rPr>
          <w:kern w:val="0"/>
          <w:szCs w:val="21"/>
        </w:rPr>
      </w:pPr>
      <w:r>
        <w:rPr>
          <w:b/>
          <w:bCs/>
          <w:kern w:val="0"/>
          <w:szCs w:val="21"/>
        </w:rPr>
        <w:t>教学重点和难点：</w:t>
      </w:r>
      <w:r>
        <w:rPr>
          <w:kern w:val="0"/>
          <w:szCs w:val="21"/>
        </w:rPr>
        <w:t>重点介绍品种审定的概念、特点及其在优良品种推广中的作用；良种繁育的概念和特点，良种繁育在品种复壮中的作用。其中品种退化及其克服途径为其难点。</w:t>
      </w:r>
    </w:p>
    <w:p w14:paraId="5B2D1CB9" w14:textId="77777777" w:rsidR="00F5289E" w:rsidRDefault="00C91173">
      <w:pPr>
        <w:widowControl/>
        <w:spacing w:line="360" w:lineRule="auto"/>
        <w:jc w:val="left"/>
        <w:rPr>
          <w:kern w:val="0"/>
          <w:szCs w:val="21"/>
        </w:rPr>
      </w:pPr>
      <w:r>
        <w:rPr>
          <w:b/>
          <w:bCs/>
          <w:kern w:val="0"/>
          <w:szCs w:val="21"/>
        </w:rPr>
        <w:t>主要教学内容及要求：</w:t>
      </w:r>
      <w:r>
        <w:rPr>
          <w:kern w:val="0"/>
          <w:szCs w:val="21"/>
        </w:rPr>
        <w:t>本章主要介绍园艺植物品种育成之后进行品种审定的作用意义以及各自的特点；园艺植物种良种繁育及品种退化的现象；分析良种繁育的特点和良种繁育制度的形成过程，从而掌握其方法。</w:t>
      </w:r>
    </w:p>
    <w:p w14:paraId="6CB3DD51" w14:textId="77777777" w:rsidR="00F5289E" w:rsidRDefault="00C91173">
      <w:pPr>
        <w:widowControl/>
        <w:spacing w:line="360" w:lineRule="auto"/>
        <w:ind w:firstLineChars="200" w:firstLine="420"/>
        <w:jc w:val="left"/>
        <w:rPr>
          <w:b/>
          <w:bCs/>
          <w:kern w:val="0"/>
          <w:szCs w:val="21"/>
        </w:rPr>
      </w:pPr>
      <w:r>
        <w:rPr>
          <w:kern w:val="0"/>
          <w:szCs w:val="21"/>
        </w:rPr>
        <w:t>要求学生了解常见的品种审定和品种保护案例，通过案例来理解品种审定和品种保护的关系；了解常见的品种退化现象，各种园艺植物良种繁育的任务，掌握良种繁育的组织与制度建设基本要点，并能结合良种繁育的特点完善良种繁育的程序和方法。</w:t>
      </w:r>
      <w:r>
        <w:rPr>
          <w:b/>
          <w:bCs/>
        </w:rPr>
        <w:t xml:space="preserve"> </w:t>
      </w:r>
    </w:p>
    <w:p w14:paraId="4B3E4CC9" w14:textId="77777777" w:rsidR="00F5289E" w:rsidRDefault="00C91173">
      <w:pPr>
        <w:spacing w:line="360" w:lineRule="auto"/>
        <w:rPr>
          <w:rFonts w:ascii="宋体" w:hAnsi="宋体"/>
        </w:rPr>
      </w:pPr>
      <w:r>
        <w:rPr>
          <w:rFonts w:ascii="宋体" w:hAnsi="宋体" w:hint="eastAsia"/>
          <w:b/>
          <w:bCs/>
        </w:rPr>
        <w:t>教学组织与实施：</w:t>
      </w:r>
      <w:r>
        <w:rPr>
          <w:rFonts w:ascii="宋体" w:hAnsi="宋体" w:hint="eastAsia"/>
        </w:rPr>
        <w:t>通过课堂讲授介绍品种审定的程序、良种繁育的概念和作用、品种退化的概念，通过引导学生思考</w:t>
      </w:r>
      <w:r>
        <w:rPr>
          <w:kern w:val="0"/>
          <w:szCs w:val="21"/>
        </w:rPr>
        <w:t>无性繁殖</w:t>
      </w:r>
      <w:r>
        <w:rPr>
          <w:rFonts w:hint="eastAsia"/>
          <w:kern w:val="0"/>
          <w:szCs w:val="21"/>
        </w:rPr>
        <w:t>和</w:t>
      </w:r>
      <w:r>
        <w:rPr>
          <w:kern w:val="0"/>
          <w:szCs w:val="21"/>
        </w:rPr>
        <w:t>有性繁殖园艺植物良种繁育的措施</w:t>
      </w:r>
      <w:r>
        <w:rPr>
          <w:rFonts w:hint="eastAsia"/>
          <w:kern w:val="0"/>
          <w:szCs w:val="21"/>
        </w:rPr>
        <w:t>，引导学生</w:t>
      </w:r>
      <w:r>
        <w:rPr>
          <w:rFonts w:ascii="宋体" w:hAnsi="宋体" w:hint="eastAsia"/>
        </w:rPr>
        <w:t>讨论防止品种退化的措施。</w:t>
      </w:r>
    </w:p>
    <w:p w14:paraId="30148546" w14:textId="77777777" w:rsidR="00F5289E" w:rsidRDefault="00C91173">
      <w:pPr>
        <w:snapToGrid w:val="0"/>
        <w:spacing w:line="360" w:lineRule="auto"/>
        <w:rPr>
          <w:b/>
          <w:bCs/>
        </w:rPr>
      </w:pPr>
      <w:bookmarkStart w:id="119" w:name="_Toc138025274"/>
      <w:bookmarkStart w:id="120" w:name="_Toc138025635"/>
      <w:r>
        <w:rPr>
          <w:rFonts w:hint="eastAsia"/>
          <w:b/>
          <w:bCs/>
        </w:rPr>
        <w:t>五</w:t>
      </w:r>
      <w:r>
        <w:rPr>
          <w:b/>
          <w:bCs/>
        </w:rPr>
        <w:t>、实验教学内容及学时分配</w:t>
      </w:r>
      <w:bookmarkEnd w:id="118"/>
      <w:bookmarkEnd w:id="119"/>
      <w:bookmarkEnd w:id="120"/>
      <w:r>
        <w:rPr>
          <w:rFonts w:hint="eastAsia"/>
          <w:b/>
          <w:bCs/>
        </w:rPr>
        <w:t>（</w:t>
      </w:r>
      <w:r>
        <w:rPr>
          <w:b/>
          <w:bCs/>
        </w:rPr>
        <w:t>16</w:t>
      </w:r>
      <w:r>
        <w:rPr>
          <w:b/>
          <w:bCs/>
        </w:rPr>
        <w:t>学时</w:t>
      </w:r>
      <w:r>
        <w:rPr>
          <w:rFonts w:hint="eastAsia"/>
          <w:b/>
          <w:bCs/>
        </w:rPr>
        <w:t>）</w:t>
      </w:r>
    </w:p>
    <w:p w14:paraId="1E49A87F"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0AD1D05B"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为配合理论课程,开设了7个必做随堂实验。通过实验课的实际操作，可加深学生对理论课内容的理解、掌握。通过室内测试和田间鉴定使学生学会应用理论知识解决园艺植物遗传和育种中的实际应用问题。该课程的设立可使园艺植物遗传育种课的实验内容连贯起来，如在学习好普通遗传学的基本内容之后，在熟练掌握园艺植物遗传规律基础之上，开展植物的开花授粉生物学特性观察，为有性杂交做准备；在杂交授粉后，可跟踪观察坐果率、杂交果实的发育、种子的采收。连贯性的实验可激发学生的学习兴趣，同时也可大大提高学生的实际动手能力。</w:t>
      </w:r>
    </w:p>
    <w:p w14:paraId="2E32D9B9" w14:textId="77777777" w:rsidR="00F5289E" w:rsidRDefault="00C91173">
      <w:pPr>
        <w:snapToGrid w:val="0"/>
        <w:spacing w:line="360" w:lineRule="auto"/>
        <w:rPr>
          <w:rFonts w:ascii="宋体" w:hAnsi="宋体"/>
          <w:b/>
          <w:bCs/>
          <w:szCs w:val="21"/>
        </w:rPr>
      </w:pPr>
      <w:r>
        <w:rPr>
          <w:rFonts w:ascii="宋体" w:hAnsi="宋体" w:hint="eastAsia"/>
          <w:b/>
          <w:bCs/>
          <w:szCs w:val="21"/>
        </w:rPr>
        <w:lastRenderedPageBreak/>
        <w:t>（二）实验教学目的和基本要求</w:t>
      </w:r>
    </w:p>
    <w:p w14:paraId="6FD75D8E" w14:textId="77777777" w:rsidR="00F5289E" w:rsidRDefault="00C91173">
      <w:pPr>
        <w:snapToGrid w:val="0"/>
        <w:spacing w:line="360" w:lineRule="auto"/>
        <w:ind w:firstLineChars="200" w:firstLine="420"/>
      </w:pPr>
      <w:r>
        <w:rPr>
          <w:rFonts w:hint="eastAsia"/>
        </w:rPr>
        <w:t>通过实验课可以对理论讲授内容的进一步加深理解、巩固和验证；熟悉并掌握一些遗传基础知识和熟悉育种工作的环节；要求学生在学习课堂讲授内容的基础上，认真做好实验课的每一个环节，通过实验课的学习使学生掌握重要的植物遗传育种规律，对常见的杂交育种的技术环节能有较全面了解和掌握。要求每个学生必需认真完成每个实验，并提交实验报告。</w:t>
      </w:r>
    </w:p>
    <w:p w14:paraId="342CF823" w14:textId="77777777" w:rsidR="00F5289E" w:rsidRDefault="00C91173">
      <w:pPr>
        <w:snapToGrid w:val="0"/>
        <w:spacing w:line="360" w:lineRule="auto"/>
        <w:rPr>
          <w:b/>
        </w:rPr>
      </w:pPr>
      <w:r>
        <w:rPr>
          <w:rFonts w:hint="eastAsia"/>
          <w:b/>
        </w:rPr>
        <w:t>（三）实验安全操作规范</w:t>
      </w:r>
    </w:p>
    <w:p w14:paraId="3C3831C1" w14:textId="77777777" w:rsidR="00F5289E" w:rsidRDefault="00C91173">
      <w:pPr>
        <w:snapToGrid w:val="0"/>
        <w:spacing w:line="360" w:lineRule="auto"/>
        <w:ind w:firstLineChars="200" w:firstLine="420"/>
      </w:pPr>
      <w:r>
        <w:rPr>
          <w:rFonts w:hint="eastAsia"/>
        </w:rPr>
        <w:t>课程老师根据园艺植物遗传育种学实验操作要求为学生展开讲解，规范使用实验仪器和试剂等，确保学生实验安全。</w:t>
      </w:r>
    </w:p>
    <w:p w14:paraId="52D98730" w14:textId="77777777" w:rsidR="00F5289E" w:rsidRDefault="00C91173" w:rsidP="00A115EF">
      <w:pPr>
        <w:numPr>
          <w:ilvl w:val="0"/>
          <w:numId w:val="47"/>
        </w:numPr>
        <w:snapToGrid w:val="0"/>
        <w:spacing w:line="360" w:lineRule="auto"/>
        <w:rPr>
          <w:rFonts w:ascii="宋体" w:hAnsi="宋体"/>
          <w:b/>
          <w:bCs/>
          <w:szCs w:val="21"/>
        </w:rPr>
      </w:pPr>
      <w:r>
        <w:rPr>
          <w:rFonts w:ascii="宋体" w:hAnsi="宋体" w:hint="eastAsia"/>
          <w:b/>
          <w:bCs/>
          <w:szCs w:val="21"/>
        </w:rPr>
        <w:t>实验项目名称与学时分配</w:t>
      </w:r>
    </w:p>
    <w:tbl>
      <w:tblPr>
        <w:tblStyle w:val="af6"/>
        <w:tblW w:w="0" w:type="auto"/>
        <w:jc w:val="center"/>
        <w:tblLook w:val="04A0" w:firstRow="1" w:lastRow="0" w:firstColumn="1" w:lastColumn="0" w:noHBand="0" w:noVBand="1"/>
      </w:tblPr>
      <w:tblGrid>
        <w:gridCol w:w="1116"/>
        <w:gridCol w:w="3020"/>
        <w:gridCol w:w="898"/>
        <w:gridCol w:w="1098"/>
        <w:gridCol w:w="1451"/>
        <w:gridCol w:w="1307"/>
      </w:tblGrid>
      <w:tr w:rsidR="00F5289E" w14:paraId="2C152E26" w14:textId="77777777">
        <w:trPr>
          <w:jc w:val="center"/>
        </w:trPr>
        <w:tc>
          <w:tcPr>
            <w:tcW w:w="1116" w:type="dxa"/>
            <w:shd w:val="clear" w:color="auto" w:fill="EEECE1" w:themeFill="background2"/>
            <w:vAlign w:val="center"/>
          </w:tcPr>
          <w:p w14:paraId="7E24209D"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序号</w:t>
            </w:r>
          </w:p>
        </w:tc>
        <w:tc>
          <w:tcPr>
            <w:tcW w:w="3020" w:type="dxa"/>
            <w:shd w:val="clear" w:color="auto" w:fill="EEECE1" w:themeFill="background2"/>
            <w:vAlign w:val="center"/>
          </w:tcPr>
          <w:p w14:paraId="4B04219E"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实验名称</w:t>
            </w:r>
          </w:p>
        </w:tc>
        <w:tc>
          <w:tcPr>
            <w:tcW w:w="898" w:type="dxa"/>
            <w:shd w:val="clear" w:color="auto" w:fill="EEECE1" w:themeFill="background2"/>
            <w:vAlign w:val="center"/>
          </w:tcPr>
          <w:p w14:paraId="788A8A87"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学时</w:t>
            </w:r>
          </w:p>
        </w:tc>
        <w:tc>
          <w:tcPr>
            <w:tcW w:w="1098" w:type="dxa"/>
            <w:shd w:val="clear" w:color="auto" w:fill="EEECE1" w:themeFill="background2"/>
            <w:vAlign w:val="center"/>
          </w:tcPr>
          <w:p w14:paraId="75F15EF7"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类型</w:t>
            </w:r>
          </w:p>
        </w:tc>
        <w:tc>
          <w:tcPr>
            <w:tcW w:w="1451" w:type="dxa"/>
            <w:shd w:val="clear" w:color="auto" w:fill="EEECE1" w:themeFill="background2"/>
            <w:vAlign w:val="center"/>
          </w:tcPr>
          <w:p w14:paraId="47D528BC"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实验要求</w:t>
            </w:r>
          </w:p>
        </w:tc>
        <w:tc>
          <w:tcPr>
            <w:tcW w:w="1307" w:type="dxa"/>
            <w:shd w:val="clear" w:color="auto" w:fill="EEECE1" w:themeFill="background2"/>
            <w:vAlign w:val="center"/>
          </w:tcPr>
          <w:p w14:paraId="578889A4" w14:textId="77777777" w:rsidR="00F5289E" w:rsidRDefault="00C91173">
            <w:pPr>
              <w:spacing w:line="360" w:lineRule="auto"/>
              <w:jc w:val="center"/>
              <w:rPr>
                <w:rFonts w:ascii="宋体" w:hAnsi="宋体" w:cs="宋体"/>
                <w:b/>
                <w:bCs/>
                <w:sz w:val="18"/>
                <w:szCs w:val="18"/>
              </w:rPr>
            </w:pPr>
            <w:r>
              <w:rPr>
                <w:rFonts w:ascii="宋体" w:hAnsi="宋体" w:cs="宋体" w:hint="eastAsia"/>
                <w:b/>
                <w:bCs/>
                <w:sz w:val="18"/>
                <w:szCs w:val="18"/>
              </w:rPr>
              <w:t>每组人数</w:t>
            </w:r>
          </w:p>
        </w:tc>
      </w:tr>
      <w:tr w:rsidR="00F5289E" w14:paraId="243ED491" w14:textId="77777777">
        <w:trPr>
          <w:jc w:val="center"/>
        </w:trPr>
        <w:tc>
          <w:tcPr>
            <w:tcW w:w="1116" w:type="dxa"/>
            <w:vAlign w:val="center"/>
          </w:tcPr>
          <w:p w14:paraId="43982BEA" w14:textId="77777777" w:rsidR="00F5289E" w:rsidRDefault="00C91173">
            <w:pPr>
              <w:spacing w:line="360" w:lineRule="auto"/>
              <w:rPr>
                <w:rFonts w:ascii="宋体" w:hAnsi="宋体" w:cs="宋体"/>
                <w:sz w:val="18"/>
                <w:szCs w:val="18"/>
              </w:rPr>
            </w:pPr>
            <w:r>
              <w:rPr>
                <w:rFonts w:hAnsi="宋体" w:hint="eastAsia"/>
                <w:bCs/>
                <w:kern w:val="0"/>
                <w:sz w:val="18"/>
                <w:szCs w:val="18"/>
              </w:rPr>
              <w:t>1901103001</w:t>
            </w:r>
          </w:p>
        </w:tc>
        <w:tc>
          <w:tcPr>
            <w:tcW w:w="3020" w:type="dxa"/>
            <w:vAlign w:val="center"/>
          </w:tcPr>
          <w:p w14:paraId="3FD98E1E" w14:textId="77777777" w:rsidR="00F5289E" w:rsidRDefault="00C91173">
            <w:pPr>
              <w:spacing w:line="360" w:lineRule="auto"/>
              <w:rPr>
                <w:rFonts w:ascii="宋体" w:hAnsi="宋体" w:cs="宋体"/>
                <w:sz w:val="18"/>
                <w:szCs w:val="18"/>
              </w:rPr>
            </w:pPr>
            <w:r>
              <w:rPr>
                <w:rFonts w:hAnsi="宋体" w:hint="eastAsia"/>
                <w:bCs/>
                <w:kern w:val="0"/>
                <w:sz w:val="18"/>
                <w:szCs w:val="18"/>
              </w:rPr>
              <w:t>染色体核型分析</w:t>
            </w:r>
          </w:p>
        </w:tc>
        <w:tc>
          <w:tcPr>
            <w:tcW w:w="898" w:type="dxa"/>
            <w:vAlign w:val="center"/>
          </w:tcPr>
          <w:p w14:paraId="182DF423"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35FB9105"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基础性</w:t>
            </w:r>
          </w:p>
        </w:tc>
        <w:tc>
          <w:tcPr>
            <w:tcW w:w="1451" w:type="dxa"/>
            <w:vAlign w:val="center"/>
          </w:tcPr>
          <w:p w14:paraId="0EF75066"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40D41BE4"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73A56A82" w14:textId="77777777">
        <w:trPr>
          <w:jc w:val="center"/>
        </w:trPr>
        <w:tc>
          <w:tcPr>
            <w:tcW w:w="1116" w:type="dxa"/>
            <w:vAlign w:val="center"/>
          </w:tcPr>
          <w:p w14:paraId="196D973E" w14:textId="77777777" w:rsidR="00F5289E" w:rsidRDefault="00C91173">
            <w:pPr>
              <w:spacing w:line="360" w:lineRule="auto"/>
              <w:rPr>
                <w:rFonts w:ascii="宋体" w:hAnsi="宋体" w:cs="宋体"/>
                <w:sz w:val="18"/>
                <w:szCs w:val="18"/>
              </w:rPr>
            </w:pPr>
            <w:r>
              <w:rPr>
                <w:rFonts w:hAnsi="宋体" w:hint="eastAsia"/>
                <w:bCs/>
                <w:kern w:val="0"/>
                <w:sz w:val="18"/>
                <w:szCs w:val="18"/>
              </w:rPr>
              <w:t>1901103002</w:t>
            </w:r>
          </w:p>
        </w:tc>
        <w:tc>
          <w:tcPr>
            <w:tcW w:w="3020" w:type="dxa"/>
            <w:vAlign w:val="center"/>
          </w:tcPr>
          <w:p w14:paraId="1C4FF3D3" w14:textId="77777777" w:rsidR="00F5289E" w:rsidRDefault="00C91173">
            <w:pPr>
              <w:spacing w:line="360" w:lineRule="auto"/>
              <w:rPr>
                <w:rFonts w:ascii="宋体" w:hAnsi="宋体" w:cs="宋体"/>
                <w:sz w:val="18"/>
                <w:szCs w:val="18"/>
              </w:rPr>
            </w:pPr>
            <w:r>
              <w:rPr>
                <w:rFonts w:hAnsi="宋体" w:hint="eastAsia"/>
                <w:bCs/>
                <w:kern w:val="0"/>
                <w:sz w:val="18"/>
                <w:szCs w:val="18"/>
              </w:rPr>
              <w:t>分离规律的验证</w:t>
            </w:r>
          </w:p>
        </w:tc>
        <w:tc>
          <w:tcPr>
            <w:tcW w:w="898" w:type="dxa"/>
            <w:vAlign w:val="center"/>
          </w:tcPr>
          <w:p w14:paraId="4249B860"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213302BC"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验证性</w:t>
            </w:r>
          </w:p>
        </w:tc>
        <w:tc>
          <w:tcPr>
            <w:tcW w:w="1451" w:type="dxa"/>
            <w:vAlign w:val="center"/>
          </w:tcPr>
          <w:p w14:paraId="3CFCA131"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42C0A5CC"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1D2B5068" w14:textId="77777777">
        <w:trPr>
          <w:jc w:val="center"/>
        </w:trPr>
        <w:tc>
          <w:tcPr>
            <w:tcW w:w="1116" w:type="dxa"/>
            <w:vAlign w:val="center"/>
          </w:tcPr>
          <w:p w14:paraId="2BF3F08B" w14:textId="77777777" w:rsidR="00F5289E" w:rsidRDefault="00C91173">
            <w:pPr>
              <w:spacing w:line="360" w:lineRule="auto"/>
              <w:rPr>
                <w:rFonts w:ascii="宋体" w:hAnsi="宋体" w:cs="宋体"/>
                <w:sz w:val="18"/>
                <w:szCs w:val="18"/>
              </w:rPr>
            </w:pPr>
            <w:r>
              <w:rPr>
                <w:rFonts w:hAnsi="宋体" w:hint="eastAsia"/>
                <w:bCs/>
                <w:kern w:val="0"/>
                <w:sz w:val="18"/>
                <w:szCs w:val="18"/>
              </w:rPr>
              <w:t>1901103003</w:t>
            </w:r>
          </w:p>
        </w:tc>
        <w:tc>
          <w:tcPr>
            <w:tcW w:w="3020" w:type="dxa"/>
            <w:vAlign w:val="center"/>
          </w:tcPr>
          <w:p w14:paraId="485FCCF4" w14:textId="77777777" w:rsidR="00F5289E" w:rsidRDefault="00C91173">
            <w:pPr>
              <w:spacing w:line="360" w:lineRule="auto"/>
              <w:rPr>
                <w:rFonts w:ascii="宋体" w:hAnsi="宋体" w:cs="宋体"/>
                <w:sz w:val="18"/>
                <w:szCs w:val="18"/>
              </w:rPr>
            </w:pPr>
            <w:r>
              <w:rPr>
                <w:rFonts w:hAnsi="宋体" w:hint="eastAsia"/>
                <w:bCs/>
                <w:kern w:val="0"/>
                <w:sz w:val="18"/>
                <w:szCs w:val="18"/>
              </w:rPr>
              <w:t>独立分配规律的验证与基因互作</w:t>
            </w:r>
          </w:p>
        </w:tc>
        <w:tc>
          <w:tcPr>
            <w:tcW w:w="898" w:type="dxa"/>
            <w:vAlign w:val="center"/>
          </w:tcPr>
          <w:p w14:paraId="1E4678EC"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1099A5C4"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验证性</w:t>
            </w:r>
          </w:p>
        </w:tc>
        <w:tc>
          <w:tcPr>
            <w:tcW w:w="1451" w:type="dxa"/>
            <w:vAlign w:val="center"/>
          </w:tcPr>
          <w:p w14:paraId="7179143C"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4D0A3F4D"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4776EC63" w14:textId="77777777">
        <w:trPr>
          <w:jc w:val="center"/>
        </w:trPr>
        <w:tc>
          <w:tcPr>
            <w:tcW w:w="1116" w:type="dxa"/>
            <w:vAlign w:val="center"/>
          </w:tcPr>
          <w:p w14:paraId="21B85AAF" w14:textId="77777777" w:rsidR="00F5289E" w:rsidRDefault="00C91173">
            <w:pPr>
              <w:spacing w:line="360" w:lineRule="auto"/>
              <w:rPr>
                <w:rFonts w:ascii="宋体" w:hAnsi="宋体" w:cs="宋体"/>
                <w:sz w:val="18"/>
                <w:szCs w:val="18"/>
              </w:rPr>
            </w:pPr>
            <w:r>
              <w:rPr>
                <w:rFonts w:hAnsi="宋体" w:hint="eastAsia"/>
                <w:bCs/>
                <w:kern w:val="0"/>
                <w:sz w:val="18"/>
                <w:szCs w:val="18"/>
              </w:rPr>
              <w:t>1901103004</w:t>
            </w:r>
          </w:p>
        </w:tc>
        <w:tc>
          <w:tcPr>
            <w:tcW w:w="3020" w:type="dxa"/>
            <w:vAlign w:val="center"/>
          </w:tcPr>
          <w:p w14:paraId="387BA831" w14:textId="77777777" w:rsidR="00F5289E" w:rsidRDefault="00C91173">
            <w:pPr>
              <w:spacing w:line="360" w:lineRule="auto"/>
              <w:rPr>
                <w:rFonts w:ascii="宋体" w:hAnsi="宋体" w:cs="宋体"/>
                <w:sz w:val="18"/>
                <w:szCs w:val="18"/>
              </w:rPr>
            </w:pPr>
            <w:r>
              <w:rPr>
                <w:rFonts w:hAnsi="宋体" w:hint="eastAsia"/>
                <w:bCs/>
                <w:kern w:val="0"/>
                <w:sz w:val="18"/>
                <w:szCs w:val="18"/>
              </w:rPr>
              <w:t>连锁遗传规律验证</w:t>
            </w:r>
          </w:p>
        </w:tc>
        <w:tc>
          <w:tcPr>
            <w:tcW w:w="898" w:type="dxa"/>
            <w:vAlign w:val="center"/>
          </w:tcPr>
          <w:p w14:paraId="7AF0379D"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6C927DBD"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验证性</w:t>
            </w:r>
          </w:p>
        </w:tc>
        <w:tc>
          <w:tcPr>
            <w:tcW w:w="1451" w:type="dxa"/>
            <w:vAlign w:val="center"/>
          </w:tcPr>
          <w:p w14:paraId="4AEEB7AB"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4308E646"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71C272C2" w14:textId="77777777">
        <w:trPr>
          <w:jc w:val="center"/>
        </w:trPr>
        <w:tc>
          <w:tcPr>
            <w:tcW w:w="1116" w:type="dxa"/>
            <w:vAlign w:val="center"/>
          </w:tcPr>
          <w:p w14:paraId="38576D74" w14:textId="77777777" w:rsidR="00F5289E" w:rsidRDefault="00C91173">
            <w:pPr>
              <w:spacing w:line="360" w:lineRule="auto"/>
              <w:rPr>
                <w:rFonts w:ascii="宋体" w:hAnsi="宋体" w:cs="宋体"/>
                <w:sz w:val="18"/>
                <w:szCs w:val="18"/>
              </w:rPr>
            </w:pPr>
            <w:r>
              <w:rPr>
                <w:rFonts w:hAnsi="宋体" w:hint="eastAsia"/>
                <w:bCs/>
                <w:kern w:val="0"/>
                <w:sz w:val="18"/>
                <w:szCs w:val="18"/>
              </w:rPr>
              <w:t>1901103005</w:t>
            </w:r>
          </w:p>
        </w:tc>
        <w:tc>
          <w:tcPr>
            <w:tcW w:w="3020" w:type="dxa"/>
            <w:vAlign w:val="center"/>
          </w:tcPr>
          <w:p w14:paraId="0D0ECCAB" w14:textId="77777777" w:rsidR="00F5289E" w:rsidRDefault="00C91173">
            <w:pPr>
              <w:spacing w:line="360" w:lineRule="auto"/>
              <w:rPr>
                <w:rFonts w:ascii="宋体" w:hAnsi="宋体" w:cs="宋体"/>
                <w:sz w:val="18"/>
                <w:szCs w:val="18"/>
              </w:rPr>
            </w:pPr>
            <w:r>
              <w:rPr>
                <w:rFonts w:ascii="宋体" w:hAnsi="宋体" w:cs="宋体" w:hint="eastAsia"/>
                <w:sz w:val="18"/>
                <w:szCs w:val="18"/>
              </w:rPr>
              <w:t>园艺植物开花习性调查</w:t>
            </w:r>
          </w:p>
        </w:tc>
        <w:tc>
          <w:tcPr>
            <w:tcW w:w="898" w:type="dxa"/>
            <w:vAlign w:val="center"/>
          </w:tcPr>
          <w:p w14:paraId="0BCE6137"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07742B17"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基础性</w:t>
            </w:r>
          </w:p>
        </w:tc>
        <w:tc>
          <w:tcPr>
            <w:tcW w:w="1451" w:type="dxa"/>
            <w:vAlign w:val="center"/>
          </w:tcPr>
          <w:p w14:paraId="0EA5B600"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0643CAA9"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18A1485D" w14:textId="77777777">
        <w:trPr>
          <w:jc w:val="center"/>
        </w:trPr>
        <w:tc>
          <w:tcPr>
            <w:tcW w:w="1116" w:type="dxa"/>
            <w:vAlign w:val="center"/>
          </w:tcPr>
          <w:p w14:paraId="4BB9739D" w14:textId="77777777" w:rsidR="00F5289E" w:rsidRDefault="00C91173">
            <w:pPr>
              <w:spacing w:line="360" w:lineRule="auto"/>
              <w:rPr>
                <w:rFonts w:ascii="宋体" w:hAnsi="宋体" w:cs="宋体"/>
                <w:sz w:val="18"/>
                <w:szCs w:val="18"/>
              </w:rPr>
            </w:pPr>
            <w:r>
              <w:rPr>
                <w:rFonts w:hAnsi="宋体" w:hint="eastAsia"/>
                <w:bCs/>
                <w:kern w:val="0"/>
                <w:sz w:val="18"/>
                <w:szCs w:val="18"/>
              </w:rPr>
              <w:t>1901103006</w:t>
            </w:r>
          </w:p>
        </w:tc>
        <w:tc>
          <w:tcPr>
            <w:tcW w:w="3020" w:type="dxa"/>
            <w:vAlign w:val="center"/>
          </w:tcPr>
          <w:p w14:paraId="249520AF" w14:textId="77777777" w:rsidR="00F5289E" w:rsidRDefault="00C91173">
            <w:pPr>
              <w:spacing w:line="360" w:lineRule="auto"/>
              <w:rPr>
                <w:rFonts w:ascii="宋体" w:hAnsi="宋体" w:cs="宋体"/>
                <w:sz w:val="18"/>
                <w:szCs w:val="18"/>
              </w:rPr>
            </w:pPr>
            <w:r>
              <w:rPr>
                <w:rFonts w:ascii="宋体" w:hAnsi="宋体" w:cs="宋体" w:hint="eastAsia"/>
                <w:sz w:val="18"/>
                <w:szCs w:val="18"/>
              </w:rPr>
              <w:t>花粉采集与花粉生活力测定</w:t>
            </w:r>
          </w:p>
        </w:tc>
        <w:tc>
          <w:tcPr>
            <w:tcW w:w="898" w:type="dxa"/>
            <w:vAlign w:val="center"/>
          </w:tcPr>
          <w:p w14:paraId="08139A77"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7319863E"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验证性</w:t>
            </w:r>
          </w:p>
        </w:tc>
        <w:tc>
          <w:tcPr>
            <w:tcW w:w="1451" w:type="dxa"/>
            <w:vAlign w:val="center"/>
          </w:tcPr>
          <w:p w14:paraId="353FEF83"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70D43926"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1A6250AF" w14:textId="77777777">
        <w:trPr>
          <w:jc w:val="center"/>
        </w:trPr>
        <w:tc>
          <w:tcPr>
            <w:tcW w:w="1116" w:type="dxa"/>
            <w:vAlign w:val="center"/>
          </w:tcPr>
          <w:p w14:paraId="7E61DE70" w14:textId="77777777" w:rsidR="00F5289E" w:rsidRDefault="00C91173">
            <w:pPr>
              <w:spacing w:line="360" w:lineRule="auto"/>
              <w:rPr>
                <w:rFonts w:ascii="宋体" w:hAnsi="宋体" w:cs="宋体"/>
                <w:sz w:val="18"/>
                <w:szCs w:val="18"/>
              </w:rPr>
            </w:pPr>
            <w:r>
              <w:rPr>
                <w:rFonts w:hAnsi="宋体" w:hint="eastAsia"/>
                <w:bCs/>
                <w:kern w:val="0"/>
                <w:sz w:val="18"/>
                <w:szCs w:val="18"/>
              </w:rPr>
              <w:t>1901103007</w:t>
            </w:r>
          </w:p>
        </w:tc>
        <w:tc>
          <w:tcPr>
            <w:tcW w:w="3020" w:type="dxa"/>
            <w:vAlign w:val="center"/>
          </w:tcPr>
          <w:p w14:paraId="0B9F79E8" w14:textId="77777777" w:rsidR="00F5289E" w:rsidRDefault="00C91173">
            <w:pPr>
              <w:spacing w:line="360" w:lineRule="auto"/>
              <w:rPr>
                <w:rFonts w:ascii="宋体" w:hAnsi="宋体" w:cs="宋体"/>
                <w:sz w:val="18"/>
                <w:szCs w:val="18"/>
              </w:rPr>
            </w:pPr>
            <w:r>
              <w:rPr>
                <w:rFonts w:ascii="宋体" w:hAnsi="宋体" w:cs="宋体" w:hint="eastAsia"/>
                <w:sz w:val="18"/>
                <w:szCs w:val="18"/>
              </w:rPr>
              <w:t>育种目标的制定和有性杂交</w:t>
            </w:r>
          </w:p>
        </w:tc>
        <w:tc>
          <w:tcPr>
            <w:tcW w:w="898" w:type="dxa"/>
            <w:vAlign w:val="center"/>
          </w:tcPr>
          <w:p w14:paraId="00147FA5"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2D717F8F"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验证性</w:t>
            </w:r>
          </w:p>
        </w:tc>
        <w:tc>
          <w:tcPr>
            <w:tcW w:w="1451" w:type="dxa"/>
            <w:vAlign w:val="center"/>
          </w:tcPr>
          <w:p w14:paraId="763767A4"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468FEC20"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r w:rsidR="00F5289E" w14:paraId="7CDE9664" w14:textId="77777777">
        <w:trPr>
          <w:jc w:val="center"/>
        </w:trPr>
        <w:tc>
          <w:tcPr>
            <w:tcW w:w="1116" w:type="dxa"/>
            <w:vAlign w:val="center"/>
          </w:tcPr>
          <w:p w14:paraId="48BE00DF" w14:textId="77777777" w:rsidR="00F5289E" w:rsidRDefault="00C91173">
            <w:pPr>
              <w:spacing w:line="360" w:lineRule="auto"/>
              <w:rPr>
                <w:rFonts w:ascii="宋体" w:hAnsi="宋体" w:cs="宋体"/>
                <w:sz w:val="18"/>
                <w:szCs w:val="18"/>
              </w:rPr>
            </w:pPr>
            <w:r>
              <w:rPr>
                <w:rFonts w:hAnsi="宋体" w:hint="eastAsia"/>
                <w:bCs/>
                <w:kern w:val="0"/>
                <w:sz w:val="18"/>
                <w:szCs w:val="18"/>
              </w:rPr>
              <w:t>1901103008</w:t>
            </w:r>
          </w:p>
        </w:tc>
        <w:tc>
          <w:tcPr>
            <w:tcW w:w="3020" w:type="dxa"/>
            <w:vAlign w:val="center"/>
          </w:tcPr>
          <w:p w14:paraId="3C3446CD" w14:textId="77777777" w:rsidR="00F5289E" w:rsidRDefault="00C91173">
            <w:pPr>
              <w:spacing w:line="360" w:lineRule="auto"/>
              <w:rPr>
                <w:rFonts w:ascii="宋体" w:hAnsi="宋体" w:cs="宋体"/>
                <w:sz w:val="18"/>
                <w:szCs w:val="18"/>
              </w:rPr>
            </w:pPr>
            <w:r>
              <w:rPr>
                <w:sz w:val="18"/>
                <w:szCs w:val="18"/>
              </w:rPr>
              <w:t>育种材料的抗寒性鉴定</w:t>
            </w:r>
          </w:p>
        </w:tc>
        <w:tc>
          <w:tcPr>
            <w:tcW w:w="898" w:type="dxa"/>
            <w:vAlign w:val="center"/>
          </w:tcPr>
          <w:p w14:paraId="3C8CED81"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2</w:t>
            </w:r>
          </w:p>
        </w:tc>
        <w:tc>
          <w:tcPr>
            <w:tcW w:w="1098" w:type="dxa"/>
            <w:vAlign w:val="center"/>
          </w:tcPr>
          <w:p w14:paraId="05804F33"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基础性</w:t>
            </w:r>
          </w:p>
        </w:tc>
        <w:tc>
          <w:tcPr>
            <w:tcW w:w="1451" w:type="dxa"/>
            <w:vAlign w:val="center"/>
          </w:tcPr>
          <w:p w14:paraId="266B0922"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必做</w:t>
            </w:r>
          </w:p>
        </w:tc>
        <w:tc>
          <w:tcPr>
            <w:tcW w:w="1307" w:type="dxa"/>
            <w:vAlign w:val="center"/>
          </w:tcPr>
          <w:p w14:paraId="734A1A44" w14:textId="77777777" w:rsidR="00F5289E" w:rsidRDefault="00C91173">
            <w:pPr>
              <w:spacing w:line="360" w:lineRule="auto"/>
              <w:jc w:val="center"/>
              <w:rPr>
                <w:rFonts w:ascii="宋体" w:hAnsi="宋体" w:cs="宋体"/>
                <w:sz w:val="18"/>
                <w:szCs w:val="18"/>
              </w:rPr>
            </w:pPr>
            <w:r>
              <w:rPr>
                <w:rFonts w:hAnsi="宋体" w:hint="eastAsia"/>
                <w:bCs/>
                <w:kern w:val="0"/>
                <w:sz w:val="18"/>
                <w:szCs w:val="18"/>
              </w:rPr>
              <w:t>4</w:t>
            </w:r>
          </w:p>
        </w:tc>
      </w:tr>
    </w:tbl>
    <w:p w14:paraId="023C658E" w14:textId="77777777" w:rsidR="00F5289E" w:rsidRDefault="00F5289E">
      <w:pPr>
        <w:widowControl/>
        <w:snapToGrid w:val="0"/>
        <w:spacing w:line="360" w:lineRule="auto"/>
        <w:jc w:val="left"/>
        <w:rPr>
          <w:rFonts w:ascii="宋体" w:hAnsi="宋体"/>
          <w:b/>
          <w:bCs/>
          <w:kern w:val="0"/>
          <w:szCs w:val="21"/>
        </w:rPr>
      </w:pPr>
    </w:p>
    <w:p w14:paraId="6210A95D"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343E3825" w14:textId="77777777" w:rsidR="00F5289E" w:rsidRDefault="00C91173">
      <w:pPr>
        <w:snapToGrid w:val="0"/>
        <w:spacing w:line="360" w:lineRule="auto"/>
        <w:ind w:firstLine="420"/>
        <w:rPr>
          <w:rFonts w:ascii="宋体" w:hAnsi="宋体"/>
          <w:bCs/>
          <w:szCs w:val="21"/>
        </w:rPr>
      </w:pPr>
      <w:r>
        <w:rPr>
          <w:rFonts w:hint="eastAsia"/>
        </w:rPr>
        <w:t>园艺植物遗传育种学实验采用田间实验与室内实验相结合；要求学生必须完成必做的实验内容，每一实验结束后按实验指导书的要求写出实验报告。</w:t>
      </w:r>
    </w:p>
    <w:p w14:paraId="51FCA860" w14:textId="77777777" w:rsidR="00F5289E" w:rsidRDefault="00C91173">
      <w:pPr>
        <w:snapToGrid w:val="0"/>
        <w:spacing w:line="360" w:lineRule="auto"/>
        <w:rPr>
          <w:rFonts w:ascii="宋体" w:hAnsi="宋体"/>
          <w:b/>
          <w:szCs w:val="21"/>
        </w:rPr>
      </w:pPr>
      <w:r>
        <w:rPr>
          <w:rFonts w:ascii="宋体" w:hAnsi="宋体" w:hint="eastAsia"/>
          <w:b/>
          <w:szCs w:val="21"/>
        </w:rPr>
        <w:t>（六）实验内容安排</w:t>
      </w:r>
    </w:p>
    <w:p w14:paraId="64D448E8"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】核型分析</w:t>
      </w:r>
    </w:p>
    <w:p w14:paraId="3EFDEAE9" w14:textId="77777777" w:rsidR="00F5289E" w:rsidRDefault="00C91173">
      <w:pPr>
        <w:snapToGrid w:val="0"/>
        <w:spacing w:line="360" w:lineRule="auto"/>
        <w:ind w:firstLineChars="196" w:firstLine="413"/>
      </w:pPr>
      <w:r>
        <w:rPr>
          <w:rFonts w:hint="eastAsia"/>
          <w:b/>
          <w:szCs w:val="21"/>
        </w:rPr>
        <w:t>1.</w:t>
      </w:r>
      <w:r>
        <w:rPr>
          <w:rFonts w:hint="eastAsia"/>
          <w:b/>
          <w:szCs w:val="21"/>
        </w:rPr>
        <w:t>实验学时：</w:t>
      </w:r>
      <w:r>
        <w:rPr>
          <w:rFonts w:ascii="宋体" w:hAnsi="宋体" w:hint="eastAsia"/>
          <w:bCs/>
        </w:rPr>
        <w:t>2学时</w:t>
      </w:r>
    </w:p>
    <w:p w14:paraId="2E29C570"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szCs w:val="21"/>
        </w:rPr>
        <w:t>通过</w:t>
      </w:r>
      <w:r>
        <w:rPr>
          <w:rFonts w:ascii="宋体" w:hAnsi="宋体" w:hint="eastAsia"/>
          <w:bCs/>
          <w:szCs w:val="21"/>
        </w:rPr>
        <w:t>染色体形态特征的观察，掌握植物细胞核型分析的方法。</w:t>
      </w:r>
    </w:p>
    <w:p w14:paraId="13881688"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szCs w:val="21"/>
        </w:rPr>
        <w:t>（</w:t>
      </w:r>
      <w:r>
        <w:rPr>
          <w:rFonts w:hint="eastAsia"/>
          <w:szCs w:val="21"/>
        </w:rPr>
        <w:t>1</w:t>
      </w:r>
      <w:r>
        <w:rPr>
          <w:rFonts w:hint="eastAsia"/>
          <w:szCs w:val="21"/>
        </w:rPr>
        <w:t>）观察</w:t>
      </w:r>
      <w:r>
        <w:rPr>
          <w:rFonts w:ascii="宋体" w:hAnsi="宋体" w:hint="eastAsia"/>
          <w:bCs/>
          <w:szCs w:val="21"/>
        </w:rPr>
        <w:t>染色体是否有随体；（2）测量染色体两臂长度，计算臂比并分类；（3）完成染色核型分析。</w:t>
      </w:r>
    </w:p>
    <w:p w14:paraId="66D525C3"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rPr>
        <w:t>要求学生理解并掌握核型分析的原理，掌握核型分析的一般方法，了解核型分析的目的和意义。</w:t>
      </w:r>
    </w:p>
    <w:p w14:paraId="1A169930"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剪刀、尺子、胶水、染色体照片。</w:t>
      </w:r>
    </w:p>
    <w:p w14:paraId="6FFF76C3"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二】分离规律的验证</w:t>
      </w:r>
    </w:p>
    <w:p w14:paraId="367C1D1D" w14:textId="77777777" w:rsidR="00F5289E" w:rsidRDefault="00C91173">
      <w:pPr>
        <w:snapToGrid w:val="0"/>
        <w:spacing w:line="360" w:lineRule="auto"/>
        <w:ind w:firstLineChars="196" w:firstLine="413"/>
      </w:pPr>
      <w:r>
        <w:rPr>
          <w:rFonts w:hint="eastAsia"/>
          <w:b/>
          <w:szCs w:val="21"/>
        </w:rPr>
        <w:lastRenderedPageBreak/>
        <w:t>1.</w:t>
      </w:r>
      <w:r>
        <w:rPr>
          <w:rFonts w:hint="eastAsia"/>
          <w:b/>
          <w:szCs w:val="21"/>
        </w:rPr>
        <w:t>实验学时：</w:t>
      </w:r>
      <w:r>
        <w:rPr>
          <w:rFonts w:hint="eastAsia"/>
          <w:bCs/>
          <w:szCs w:val="21"/>
        </w:rPr>
        <w:t>2</w:t>
      </w:r>
      <w:r>
        <w:rPr>
          <w:rFonts w:ascii="宋体" w:hAnsi="宋体" w:hint="eastAsia"/>
          <w:bCs/>
        </w:rPr>
        <w:t>学时</w:t>
      </w:r>
    </w:p>
    <w:p w14:paraId="5275A831"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szCs w:val="21"/>
        </w:rPr>
        <w:t>通过观察园艺植物相对性状的分离，统计性状的分离比例</w:t>
      </w:r>
      <w:r>
        <w:rPr>
          <w:rFonts w:ascii="宋体" w:hAnsi="宋体" w:hint="eastAsia"/>
          <w:bCs/>
          <w:szCs w:val="21"/>
        </w:rPr>
        <w:t>（3:1或1:1），理解成对遗传因子在分离过程中的随机性，从而加深对分离规律的理解。</w:t>
      </w:r>
    </w:p>
    <w:p w14:paraId="06C244A8"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szCs w:val="21"/>
        </w:rPr>
        <w:t>（</w:t>
      </w:r>
      <w:r>
        <w:rPr>
          <w:rFonts w:hint="eastAsia"/>
          <w:szCs w:val="21"/>
        </w:rPr>
        <w:t>1</w:t>
      </w:r>
      <w:r>
        <w:rPr>
          <w:rFonts w:hint="eastAsia"/>
          <w:szCs w:val="21"/>
        </w:rPr>
        <w:t>）</w:t>
      </w:r>
      <w:r>
        <w:rPr>
          <w:rFonts w:ascii="宋体" w:hAnsi="宋体" w:hint="eastAsia"/>
          <w:bCs/>
          <w:szCs w:val="21"/>
        </w:rPr>
        <w:t>园艺植物分离群体材料的制备；（2）相对性状的确定及分离比例的统计；（3）数据的统计分析（卡平方测验）及分离比例的验证。</w:t>
      </w:r>
    </w:p>
    <w:p w14:paraId="65D0A73D"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hint="eastAsia"/>
          <w:szCs w:val="21"/>
        </w:rPr>
        <w:t>要求</w:t>
      </w:r>
      <w:r>
        <w:rPr>
          <w:rFonts w:ascii="宋体" w:hAnsi="宋体" w:hint="eastAsia"/>
          <w:bCs/>
          <w:szCs w:val="21"/>
        </w:rPr>
        <w:t>学生能够明确观察与统计杂种二代（F</w:t>
      </w:r>
      <w:r>
        <w:rPr>
          <w:rFonts w:ascii="宋体" w:hAnsi="宋体" w:hint="eastAsia"/>
          <w:bCs/>
          <w:szCs w:val="21"/>
          <w:vertAlign w:val="subscript"/>
        </w:rPr>
        <w:t>2</w:t>
      </w:r>
      <w:r>
        <w:rPr>
          <w:rFonts w:ascii="宋体" w:hAnsi="宋体" w:hint="eastAsia"/>
          <w:bCs/>
          <w:szCs w:val="21"/>
        </w:rPr>
        <w:t>）或测交子代（F</w:t>
      </w:r>
      <w:r>
        <w:rPr>
          <w:rFonts w:ascii="宋体" w:hAnsi="宋体" w:hint="eastAsia"/>
          <w:bCs/>
          <w:szCs w:val="21"/>
          <w:vertAlign w:val="subscript"/>
        </w:rPr>
        <w:t>t</w:t>
      </w:r>
      <w:r>
        <w:rPr>
          <w:rFonts w:ascii="宋体" w:hAnsi="宋体" w:hint="eastAsia"/>
          <w:bCs/>
          <w:szCs w:val="21"/>
        </w:rPr>
        <w:t>）群体中处理分离状态的相对性状，能独立完成指定的相对性状的统计分析，并能根据具体的实验结果阐述分离规律的本质。</w:t>
      </w:r>
    </w:p>
    <w:p w14:paraId="10ACB092"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培养皿、镊子、吸水纸、显微镜、载玻片、盖玻片、解剖刀、铅笔、橡皮、报告计载表、计算器、I</w:t>
      </w:r>
      <w:r>
        <w:rPr>
          <w:rFonts w:ascii="宋体" w:hAnsi="宋体" w:hint="eastAsia"/>
          <w:bCs/>
          <w:szCs w:val="21"/>
          <w:vertAlign w:val="subscript"/>
        </w:rPr>
        <w:t>2</w:t>
      </w:r>
      <w:r>
        <w:rPr>
          <w:rFonts w:ascii="宋体" w:hAnsi="宋体" w:hint="eastAsia"/>
          <w:bCs/>
          <w:szCs w:val="21"/>
        </w:rPr>
        <w:t>—KI溶液。</w:t>
      </w:r>
    </w:p>
    <w:p w14:paraId="4BFE899C" w14:textId="77777777" w:rsidR="00F5289E" w:rsidRDefault="00C91173">
      <w:pPr>
        <w:pStyle w:val="af1"/>
        <w:snapToGrid w:val="0"/>
        <w:spacing w:before="0" w:beforeAutospacing="0" w:after="0" w:afterAutospacing="0" w:line="360" w:lineRule="auto"/>
        <w:rPr>
          <w:rFonts w:ascii="Times New Roman" w:hAnsi="Times New Roman" w:cs="Times New Roman"/>
          <w:b/>
          <w:kern w:val="2"/>
          <w:sz w:val="21"/>
          <w:szCs w:val="21"/>
        </w:rPr>
      </w:pPr>
      <w:r>
        <w:rPr>
          <w:rFonts w:hint="eastAsia"/>
          <w:b/>
          <w:sz w:val="21"/>
          <w:szCs w:val="21"/>
        </w:rPr>
        <w:t>【</w:t>
      </w:r>
      <w:r>
        <w:rPr>
          <w:b/>
          <w:sz w:val="21"/>
          <w:szCs w:val="21"/>
        </w:rPr>
        <w:t>实验</w:t>
      </w:r>
      <w:r>
        <w:rPr>
          <w:rFonts w:hint="eastAsia"/>
          <w:b/>
          <w:sz w:val="21"/>
          <w:szCs w:val="21"/>
        </w:rPr>
        <w:t>三】独立分配规律的验证与基因互作观测</w:t>
      </w:r>
    </w:p>
    <w:p w14:paraId="7EF204D4" w14:textId="77777777" w:rsidR="00F5289E" w:rsidRDefault="00C91173">
      <w:pPr>
        <w:snapToGrid w:val="0"/>
        <w:spacing w:line="360" w:lineRule="auto"/>
        <w:ind w:firstLineChars="196" w:firstLine="413"/>
      </w:pPr>
      <w:r>
        <w:rPr>
          <w:rFonts w:hint="eastAsia"/>
          <w:b/>
          <w:szCs w:val="21"/>
        </w:rPr>
        <w:t>1.</w:t>
      </w:r>
      <w:r>
        <w:rPr>
          <w:rFonts w:hint="eastAsia"/>
          <w:b/>
          <w:szCs w:val="21"/>
        </w:rPr>
        <w:t>实验学时：</w:t>
      </w:r>
      <w:r>
        <w:rPr>
          <w:rFonts w:hint="eastAsia"/>
          <w:bCs/>
          <w:szCs w:val="21"/>
        </w:rPr>
        <w:t>2</w:t>
      </w:r>
      <w:r>
        <w:rPr>
          <w:rFonts w:ascii="宋体" w:hAnsi="宋体" w:hint="eastAsia"/>
          <w:bCs/>
        </w:rPr>
        <w:t>学时</w:t>
      </w:r>
    </w:p>
    <w:p w14:paraId="25B02D15"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szCs w:val="21"/>
        </w:rPr>
        <w:t>利用两对性状的杂交实验，通过统计性状分离比，验证基因的独立分配原理；通过有关性状的观察，了解并验证几种基因互作方式。</w:t>
      </w:r>
    </w:p>
    <w:p w14:paraId="72BE400A"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szCs w:val="21"/>
        </w:rPr>
        <w:t>（</w:t>
      </w:r>
      <w:r>
        <w:rPr>
          <w:rFonts w:hint="eastAsia"/>
          <w:szCs w:val="21"/>
        </w:rPr>
        <w:t>1</w:t>
      </w:r>
      <w:r>
        <w:rPr>
          <w:rFonts w:hint="eastAsia"/>
          <w:szCs w:val="21"/>
        </w:rPr>
        <w:t>）</w:t>
      </w:r>
      <w:r>
        <w:rPr>
          <w:rFonts w:ascii="宋体" w:hAnsi="宋体" w:hint="eastAsia"/>
          <w:bCs/>
          <w:szCs w:val="21"/>
        </w:rPr>
        <w:t>园艺植物分离群体材料的制备；（2）辨认两对相对并统计两对性状的分离比；（3）运用卡方测验分析性状分离比是否符合预期；（4）完成独立分配规律及基因互作的验证。</w:t>
      </w:r>
    </w:p>
    <w:p w14:paraId="07ABAF6E" w14:textId="77777777" w:rsidR="00F5289E" w:rsidRDefault="00C91173">
      <w:pPr>
        <w:snapToGrid w:val="0"/>
        <w:spacing w:line="360" w:lineRule="auto"/>
        <w:ind w:firstLineChars="200" w:firstLine="422"/>
        <w:rPr>
          <w:b/>
          <w:szCs w:val="21"/>
        </w:rPr>
      </w:pPr>
      <w:r>
        <w:rPr>
          <w:rFonts w:hint="eastAsia"/>
          <w:b/>
          <w:szCs w:val="21"/>
        </w:rPr>
        <w:t>4.</w:t>
      </w:r>
      <w:r>
        <w:rPr>
          <w:rFonts w:hint="eastAsia"/>
          <w:b/>
          <w:szCs w:val="21"/>
        </w:rPr>
        <w:t>实验要求：</w:t>
      </w:r>
      <w:r>
        <w:rPr>
          <w:rFonts w:hint="eastAsia"/>
          <w:szCs w:val="21"/>
        </w:rPr>
        <w:t>要求学生理解并掌握独立分配规律的基本理论知识，了解几种基因互作的基本原理；准确辨认两对相对性状并统计分离比；独立完成卡方测验；掌握验证独立分配规律和基因互作的方法。</w:t>
      </w:r>
    </w:p>
    <w:p w14:paraId="6075C2BC"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铅笔、橡皮、报告计载表、计算器。</w:t>
      </w:r>
    </w:p>
    <w:p w14:paraId="20BC93D8" w14:textId="77777777" w:rsidR="00F5289E" w:rsidRDefault="00C91173">
      <w:pPr>
        <w:pStyle w:val="af1"/>
        <w:snapToGrid w:val="0"/>
        <w:spacing w:before="0" w:beforeAutospacing="0" w:after="0" w:afterAutospacing="0" w:line="360" w:lineRule="auto"/>
        <w:rPr>
          <w:rFonts w:ascii="Times New Roman" w:eastAsia="宋体" w:hAnsi="Times New Roman" w:cs="Times New Roman"/>
          <w:b/>
          <w:kern w:val="2"/>
          <w:sz w:val="21"/>
          <w:szCs w:val="21"/>
        </w:rPr>
      </w:pPr>
      <w:r>
        <w:rPr>
          <w:rFonts w:hint="eastAsia"/>
          <w:b/>
          <w:sz w:val="21"/>
          <w:szCs w:val="21"/>
        </w:rPr>
        <w:t>【</w:t>
      </w:r>
      <w:r>
        <w:rPr>
          <w:b/>
          <w:sz w:val="21"/>
          <w:szCs w:val="21"/>
        </w:rPr>
        <w:t>实验</w:t>
      </w:r>
      <w:r>
        <w:rPr>
          <w:rFonts w:hint="eastAsia"/>
          <w:b/>
          <w:sz w:val="21"/>
          <w:szCs w:val="21"/>
        </w:rPr>
        <w:t>四】遗传连锁规律的验证与交换值的测定</w:t>
      </w:r>
    </w:p>
    <w:p w14:paraId="7D808E5F" w14:textId="77777777" w:rsidR="00F5289E" w:rsidRDefault="00C91173">
      <w:pPr>
        <w:snapToGrid w:val="0"/>
        <w:spacing w:line="360" w:lineRule="auto"/>
        <w:ind w:firstLineChars="196" w:firstLine="413"/>
      </w:pPr>
      <w:r>
        <w:rPr>
          <w:rFonts w:hint="eastAsia"/>
          <w:b/>
          <w:szCs w:val="21"/>
        </w:rPr>
        <w:t>1.</w:t>
      </w:r>
      <w:r>
        <w:rPr>
          <w:rFonts w:hint="eastAsia"/>
          <w:b/>
          <w:szCs w:val="21"/>
        </w:rPr>
        <w:t>实验学时：</w:t>
      </w:r>
      <w:r>
        <w:rPr>
          <w:rFonts w:ascii="宋体" w:hAnsi="宋体" w:hint="eastAsia"/>
          <w:bCs/>
        </w:rPr>
        <w:t>2学时</w:t>
      </w:r>
    </w:p>
    <w:p w14:paraId="47E2C899"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hint="eastAsia"/>
          <w:szCs w:val="21"/>
        </w:rPr>
        <w:t>通过观察园艺植物两对连锁遗传的相对性状及其分离比计算</w:t>
      </w:r>
      <w:r>
        <w:rPr>
          <w:rFonts w:ascii="宋体" w:hAnsi="宋体" w:hint="eastAsia"/>
          <w:bCs/>
          <w:szCs w:val="21"/>
        </w:rPr>
        <w:t>，验证遗传连锁定律，并掌握交换值的测定方法。</w:t>
      </w:r>
    </w:p>
    <w:p w14:paraId="6236799C"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szCs w:val="21"/>
        </w:rPr>
        <w:t>（</w:t>
      </w:r>
      <w:r>
        <w:rPr>
          <w:rFonts w:hint="eastAsia"/>
          <w:szCs w:val="21"/>
        </w:rPr>
        <w:t>1</w:t>
      </w:r>
      <w:r>
        <w:rPr>
          <w:rFonts w:hint="eastAsia"/>
          <w:szCs w:val="21"/>
        </w:rPr>
        <w:t>）</w:t>
      </w:r>
      <w:r>
        <w:rPr>
          <w:rFonts w:ascii="宋体" w:hAnsi="宋体" w:hint="eastAsia"/>
          <w:bCs/>
          <w:szCs w:val="21"/>
        </w:rPr>
        <w:t>园艺植物分离群体材料的制备；（2）辨认两对相对性状并统计两对性状的分离比；（3）通过测交法和自交法，学习计算两对性状的交换值。</w:t>
      </w:r>
    </w:p>
    <w:p w14:paraId="5EE44251"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szCs w:val="21"/>
        </w:rPr>
        <w:t>理解并掌握连锁遗传的基本理论知识，熟悉自交法及测交法计算交换值的理论；</w:t>
      </w:r>
      <w:r>
        <w:rPr>
          <w:rFonts w:hint="eastAsia"/>
          <w:szCs w:val="21"/>
        </w:rPr>
        <w:t>准确辨认并统计两对连锁遗传的相对性状；独立完成</w:t>
      </w:r>
      <w:r>
        <w:rPr>
          <w:rFonts w:ascii="宋体" w:hAnsi="宋体" w:hint="eastAsia"/>
          <w:bCs/>
          <w:szCs w:val="21"/>
        </w:rPr>
        <w:t>交换值计算；掌握验证连锁遗传规律的方法。</w:t>
      </w:r>
    </w:p>
    <w:p w14:paraId="75D105CC"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szCs w:val="21"/>
        </w:rPr>
        <w:t>铅笔、橡皮、报告计载表、计算器。</w:t>
      </w:r>
    </w:p>
    <w:p w14:paraId="6ED86449" w14:textId="77777777" w:rsidR="00F5289E" w:rsidRDefault="00C91173">
      <w:pPr>
        <w:snapToGrid w:val="0"/>
        <w:spacing w:line="360" w:lineRule="auto"/>
        <w:ind w:firstLineChars="200" w:firstLine="422"/>
        <w:rPr>
          <w:b/>
          <w:szCs w:val="21"/>
        </w:rPr>
      </w:pPr>
      <w:r>
        <w:rPr>
          <w:b/>
          <w:szCs w:val="21"/>
        </w:rPr>
        <w:t>【实验五】园艺植物开花习性调查</w:t>
      </w:r>
    </w:p>
    <w:p w14:paraId="7E8C240D" w14:textId="77777777" w:rsidR="00F5289E" w:rsidRDefault="00C91173">
      <w:pPr>
        <w:snapToGrid w:val="0"/>
        <w:spacing w:line="360" w:lineRule="auto"/>
        <w:ind w:firstLineChars="200" w:firstLine="422"/>
      </w:pPr>
      <w:r>
        <w:rPr>
          <w:b/>
          <w:szCs w:val="21"/>
        </w:rPr>
        <w:t>1.</w:t>
      </w:r>
      <w:r>
        <w:rPr>
          <w:b/>
          <w:szCs w:val="21"/>
        </w:rPr>
        <w:t>实验学时：</w:t>
      </w:r>
      <w:r>
        <w:rPr>
          <w:bCs/>
        </w:rPr>
        <w:t>2</w:t>
      </w:r>
      <w:r>
        <w:rPr>
          <w:bCs/>
        </w:rPr>
        <w:t>学时</w:t>
      </w:r>
    </w:p>
    <w:p w14:paraId="614FF757"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szCs w:val="21"/>
        </w:rPr>
        <w:t>了解桃（或月季、大白菜等）开花习性的主要特点，作为制定杂交计划的主要依据。</w:t>
      </w:r>
    </w:p>
    <w:p w14:paraId="53D09EBE" w14:textId="77777777" w:rsidR="00F5289E" w:rsidRDefault="00C91173">
      <w:pPr>
        <w:snapToGrid w:val="0"/>
        <w:spacing w:line="360" w:lineRule="auto"/>
        <w:ind w:firstLineChars="200" w:firstLine="422"/>
        <w:rPr>
          <w:bCs/>
          <w:szCs w:val="21"/>
        </w:rPr>
      </w:pPr>
      <w:r>
        <w:rPr>
          <w:b/>
          <w:szCs w:val="21"/>
        </w:rPr>
        <w:lastRenderedPageBreak/>
        <w:t>3.</w:t>
      </w:r>
      <w:r>
        <w:rPr>
          <w:b/>
          <w:szCs w:val="21"/>
        </w:rPr>
        <w:t>实验内容：</w:t>
      </w:r>
      <w:r>
        <w:t>观察其花蕾、花朵的不同形态和整个植株的开花进程；绘出写生图，表示出花蕾、花朵、花萼、花瓣、雌蕊、雄蕊的形状及着生状态；采集花药，并观察其散粉情况。</w:t>
      </w:r>
    </w:p>
    <w:p w14:paraId="0566CC93"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熟悉花器官的形态及开花过程。</w:t>
      </w:r>
    </w:p>
    <w:p w14:paraId="53C2C5F2"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培养皿、游标卡尺。</w:t>
      </w:r>
    </w:p>
    <w:p w14:paraId="7230A4A3"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【实验六】花粉采集与花粉生活力测定</w:t>
      </w:r>
    </w:p>
    <w:p w14:paraId="4F28E53E" w14:textId="77777777" w:rsidR="00F5289E" w:rsidRDefault="00C91173">
      <w:pPr>
        <w:snapToGrid w:val="0"/>
        <w:spacing w:line="360" w:lineRule="auto"/>
        <w:ind w:firstLineChars="200" w:firstLine="422"/>
      </w:pPr>
      <w:r>
        <w:rPr>
          <w:b/>
          <w:szCs w:val="21"/>
        </w:rPr>
        <w:t>1.</w:t>
      </w:r>
      <w:r>
        <w:rPr>
          <w:b/>
          <w:szCs w:val="21"/>
        </w:rPr>
        <w:t>实验学时：</w:t>
      </w:r>
      <w:r>
        <w:rPr>
          <w:bCs/>
        </w:rPr>
        <w:t>2</w:t>
      </w:r>
      <w:r>
        <w:rPr>
          <w:bCs/>
        </w:rPr>
        <w:t>学时</w:t>
      </w:r>
    </w:p>
    <w:p w14:paraId="6EEF683E"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szCs w:val="21"/>
        </w:rPr>
        <w:t>花粉采集与花粉生活力测定是杂交实验过程中的重要内容，通过该实验掌握花粉采集与花粉生活力测定的基本方法。</w:t>
      </w:r>
    </w:p>
    <w:p w14:paraId="717F01DD" w14:textId="77777777" w:rsidR="00F5289E" w:rsidRDefault="00C91173">
      <w:pPr>
        <w:snapToGrid w:val="0"/>
        <w:spacing w:line="360" w:lineRule="auto"/>
        <w:ind w:firstLineChars="200" w:firstLine="422"/>
        <w:rPr>
          <w:bCs/>
          <w:szCs w:val="21"/>
        </w:rPr>
      </w:pPr>
      <w:r>
        <w:rPr>
          <w:b/>
          <w:szCs w:val="21"/>
        </w:rPr>
        <w:t>3.</w:t>
      </w:r>
      <w:r>
        <w:rPr>
          <w:b/>
          <w:szCs w:val="21"/>
        </w:rPr>
        <w:t>实验内容：</w:t>
      </w:r>
      <w:r>
        <w:rPr>
          <w:szCs w:val="21"/>
        </w:rPr>
        <w:t>花粉的采集与散粉；</w:t>
      </w:r>
      <w:r>
        <w:t>形态观察法、沙尔达考夫染色体法、培养基发芽法测定花粉生活力。</w:t>
      </w:r>
    </w:p>
    <w:p w14:paraId="3077787E" w14:textId="77777777" w:rsidR="00F5289E" w:rsidRDefault="00C91173">
      <w:pPr>
        <w:snapToGrid w:val="0"/>
        <w:spacing w:line="360" w:lineRule="auto"/>
        <w:ind w:firstLineChars="200" w:firstLine="422"/>
        <w:rPr>
          <w:b/>
          <w:szCs w:val="21"/>
        </w:rPr>
      </w:pPr>
      <w:r>
        <w:rPr>
          <w:b/>
          <w:szCs w:val="21"/>
        </w:rPr>
        <w:t>4.</w:t>
      </w:r>
      <w:r>
        <w:rPr>
          <w:b/>
          <w:szCs w:val="21"/>
        </w:rPr>
        <w:t>实验要求：</w:t>
      </w:r>
      <w:r>
        <w:rPr>
          <w:bCs/>
          <w:szCs w:val="21"/>
        </w:rPr>
        <w:t>理解掌握花粉生活力测定的原理方法。</w:t>
      </w:r>
    </w:p>
    <w:p w14:paraId="72564154" w14:textId="77777777" w:rsidR="00F5289E" w:rsidRDefault="00C91173">
      <w:pPr>
        <w:pStyle w:val="af1"/>
        <w:snapToGrid w:val="0"/>
        <w:spacing w:before="0" w:beforeAutospacing="0" w:after="0" w:afterAutospacing="0" w:line="360" w:lineRule="auto"/>
        <w:ind w:firstLineChars="200" w:firstLine="422"/>
        <w:rPr>
          <w:rFonts w:ascii="Times New Roman" w:eastAsia="宋体" w:hAnsi="Times New Roman" w:cs="Times New Roman"/>
          <w:b/>
          <w:kern w:val="2"/>
          <w:sz w:val="21"/>
          <w:szCs w:val="21"/>
        </w:rPr>
      </w:pPr>
      <w:r>
        <w:rPr>
          <w:rFonts w:ascii="Times New Roman" w:eastAsia="宋体" w:hAnsi="Times New Roman" w:cs="Times New Roman"/>
          <w:b/>
          <w:kern w:val="2"/>
          <w:sz w:val="21"/>
          <w:szCs w:val="21"/>
        </w:rPr>
        <w:t>5.</w:t>
      </w:r>
      <w:r>
        <w:rPr>
          <w:rFonts w:ascii="Times New Roman" w:eastAsia="宋体" w:hAnsi="Times New Roman" w:cs="Times New Roman"/>
          <w:b/>
          <w:kern w:val="2"/>
          <w:sz w:val="21"/>
          <w:szCs w:val="21"/>
        </w:rPr>
        <w:t>实验设备及器材：</w:t>
      </w:r>
      <w:r>
        <w:rPr>
          <w:rFonts w:ascii="Times New Roman" w:eastAsia="宋体" w:hAnsi="Times New Roman" w:cs="Times New Roman"/>
          <w:kern w:val="2"/>
          <w:sz w:val="21"/>
          <w:szCs w:val="21"/>
        </w:rPr>
        <w:t>显微镜、镊子、培养皿、试剂瓶等。</w:t>
      </w:r>
    </w:p>
    <w:p w14:paraId="72151F43"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【实验七】育种目标的制定和有性杂交</w:t>
      </w:r>
    </w:p>
    <w:p w14:paraId="2F5D2EF9" w14:textId="77777777" w:rsidR="00F5289E" w:rsidRDefault="00C91173">
      <w:pPr>
        <w:snapToGrid w:val="0"/>
        <w:spacing w:line="360" w:lineRule="auto"/>
        <w:ind w:firstLineChars="200" w:firstLine="422"/>
      </w:pPr>
      <w:r>
        <w:rPr>
          <w:b/>
          <w:szCs w:val="21"/>
        </w:rPr>
        <w:t>1.</w:t>
      </w:r>
      <w:r>
        <w:rPr>
          <w:b/>
          <w:szCs w:val="21"/>
        </w:rPr>
        <w:t>实验学时：</w:t>
      </w:r>
      <w:r>
        <w:rPr>
          <w:bCs/>
        </w:rPr>
        <w:t>2</w:t>
      </w:r>
      <w:r>
        <w:rPr>
          <w:bCs/>
        </w:rPr>
        <w:t>学时</w:t>
      </w:r>
    </w:p>
    <w:p w14:paraId="24DFD403" w14:textId="77777777" w:rsidR="00F5289E" w:rsidRDefault="00C91173">
      <w:pPr>
        <w:spacing w:line="360" w:lineRule="auto"/>
        <w:ind w:firstLineChars="200" w:firstLine="422"/>
        <w:rPr>
          <w:sz w:val="24"/>
        </w:rPr>
      </w:pPr>
      <w:r>
        <w:rPr>
          <w:b/>
          <w:szCs w:val="21"/>
        </w:rPr>
        <w:t>2.</w:t>
      </w:r>
      <w:r>
        <w:rPr>
          <w:b/>
          <w:szCs w:val="21"/>
        </w:rPr>
        <w:t>实验目的：</w:t>
      </w:r>
      <w:r>
        <w:rPr>
          <w:szCs w:val="21"/>
        </w:rPr>
        <w:t>掌握园艺植物育种目标特点、育种主要的目标性状、目标制定原则，掌握杂交计划的制定和实施过程中的具体操作技术和方法。</w:t>
      </w:r>
    </w:p>
    <w:p w14:paraId="39D52A7E"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szCs w:val="21"/>
        </w:rPr>
        <w:t>制定某种园艺植物的育种目标；根据育种目标制定杂交计划；选取桃、黄瓜等园艺植物根据有性杂交技术程序进行操作；观察统计坐果率、种子数等。</w:t>
      </w:r>
    </w:p>
    <w:p w14:paraId="41CBEE7A"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掌握黄瓜、桃子等园艺植物有性杂交技术。</w:t>
      </w:r>
    </w:p>
    <w:p w14:paraId="47889BD5" w14:textId="77777777" w:rsidR="00F5289E" w:rsidRDefault="00C91173">
      <w:pPr>
        <w:spacing w:line="360" w:lineRule="auto"/>
        <w:ind w:firstLineChars="200" w:firstLine="422"/>
        <w:rPr>
          <w:bCs/>
          <w:szCs w:val="21"/>
        </w:rPr>
      </w:pPr>
      <w:r>
        <w:rPr>
          <w:b/>
          <w:szCs w:val="21"/>
        </w:rPr>
        <w:t>5.</w:t>
      </w:r>
      <w:r>
        <w:rPr>
          <w:b/>
          <w:szCs w:val="21"/>
        </w:rPr>
        <w:t>实验设备及器材：</w:t>
      </w:r>
      <w:r>
        <w:rPr>
          <w:bCs/>
          <w:szCs w:val="21"/>
        </w:rPr>
        <w:t>镊子、纸袋、授粉器等。</w:t>
      </w:r>
    </w:p>
    <w:p w14:paraId="5ECF083A"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w:t>
      </w:r>
      <w:r>
        <w:rPr>
          <w:rFonts w:ascii="Times New Roman" w:eastAsia="宋体" w:hAnsi="Times New Roman" w:cs="Times New Roman" w:hint="eastAsia"/>
          <w:b/>
          <w:sz w:val="21"/>
          <w:szCs w:val="21"/>
        </w:rPr>
        <w:t>八</w:t>
      </w:r>
      <w:r>
        <w:rPr>
          <w:rFonts w:ascii="Times New Roman" w:eastAsia="宋体" w:hAnsi="Times New Roman" w:cs="Times New Roman"/>
          <w:b/>
          <w:sz w:val="21"/>
          <w:szCs w:val="21"/>
        </w:rPr>
        <w:t>】育种材料的抗寒性鉴定</w:t>
      </w:r>
    </w:p>
    <w:p w14:paraId="477B8EB5" w14:textId="77777777" w:rsidR="00F5289E" w:rsidRDefault="00C91173">
      <w:pPr>
        <w:snapToGrid w:val="0"/>
        <w:spacing w:line="360" w:lineRule="auto"/>
        <w:ind w:firstLineChars="200" w:firstLine="422"/>
      </w:pPr>
      <w:r>
        <w:rPr>
          <w:b/>
          <w:szCs w:val="21"/>
        </w:rPr>
        <w:t>1.</w:t>
      </w:r>
      <w:r>
        <w:rPr>
          <w:b/>
          <w:szCs w:val="21"/>
        </w:rPr>
        <w:t>实验学时：</w:t>
      </w:r>
      <w:r>
        <w:rPr>
          <w:szCs w:val="21"/>
        </w:rPr>
        <w:t>2</w:t>
      </w:r>
      <w:r>
        <w:rPr>
          <w:szCs w:val="21"/>
        </w:rPr>
        <w:t>学时</w:t>
      </w:r>
    </w:p>
    <w:p w14:paraId="6A1E9656" w14:textId="77777777" w:rsidR="00F5289E" w:rsidRDefault="00C91173">
      <w:pPr>
        <w:snapToGrid w:val="0"/>
        <w:spacing w:line="360" w:lineRule="auto"/>
        <w:ind w:firstLineChars="200" w:firstLine="422"/>
        <w:rPr>
          <w:b/>
          <w:szCs w:val="21"/>
        </w:rPr>
      </w:pPr>
      <w:r>
        <w:rPr>
          <w:b/>
          <w:szCs w:val="21"/>
        </w:rPr>
        <w:t>2.</w:t>
      </w:r>
      <w:r>
        <w:rPr>
          <w:b/>
          <w:szCs w:val="21"/>
        </w:rPr>
        <w:t>实验目的：</w:t>
      </w:r>
      <w:r>
        <w:rPr>
          <w:szCs w:val="21"/>
        </w:rPr>
        <w:t>了解抗寒育种中的主要生理指标，掌握电导率测定育种材料抗寒性的方法。</w:t>
      </w:r>
    </w:p>
    <w:p w14:paraId="327A4041" w14:textId="77777777" w:rsidR="00F5289E" w:rsidRDefault="00C91173">
      <w:pPr>
        <w:snapToGrid w:val="0"/>
        <w:spacing w:line="360" w:lineRule="auto"/>
        <w:ind w:firstLineChars="200" w:firstLine="422"/>
        <w:rPr>
          <w:bCs/>
          <w:szCs w:val="21"/>
        </w:rPr>
      </w:pPr>
      <w:r>
        <w:rPr>
          <w:b/>
          <w:szCs w:val="21"/>
        </w:rPr>
        <w:t>3.</w:t>
      </w:r>
      <w:r>
        <w:rPr>
          <w:b/>
          <w:szCs w:val="21"/>
        </w:rPr>
        <w:t>实验内容：</w:t>
      </w:r>
      <w:r>
        <w:rPr>
          <w:szCs w:val="21"/>
        </w:rPr>
        <w:t>将育种材料使用不同程度的低温处理，比较电导率的变化。</w:t>
      </w:r>
    </w:p>
    <w:p w14:paraId="16FFBD61" w14:textId="77777777" w:rsidR="00F5289E" w:rsidRDefault="00C91173">
      <w:pPr>
        <w:snapToGrid w:val="0"/>
        <w:spacing w:line="360" w:lineRule="auto"/>
        <w:ind w:firstLineChars="200" w:firstLine="422"/>
        <w:rPr>
          <w:bCs/>
          <w:szCs w:val="21"/>
        </w:rPr>
      </w:pPr>
      <w:r>
        <w:rPr>
          <w:b/>
          <w:szCs w:val="21"/>
        </w:rPr>
        <w:t>4.</w:t>
      </w:r>
      <w:r>
        <w:rPr>
          <w:b/>
          <w:szCs w:val="21"/>
        </w:rPr>
        <w:t>实验要求：</w:t>
      </w:r>
      <w:r>
        <w:rPr>
          <w:szCs w:val="21"/>
        </w:rPr>
        <w:t>必做</w:t>
      </w:r>
    </w:p>
    <w:p w14:paraId="6C10FBD1" w14:textId="77777777" w:rsidR="00F5289E" w:rsidRDefault="00C91173">
      <w:pPr>
        <w:pStyle w:val="af1"/>
        <w:snapToGrid w:val="0"/>
        <w:spacing w:before="0" w:beforeAutospacing="0" w:after="0" w:afterAutospacing="0" w:line="360" w:lineRule="auto"/>
        <w:ind w:firstLineChars="196" w:firstLine="413"/>
        <w:rPr>
          <w:rFonts w:ascii="Times New Roman" w:eastAsia="宋体" w:hAnsi="Times New Roman" w:cs="Times New Roman"/>
          <w:bCs/>
          <w:sz w:val="21"/>
          <w:szCs w:val="21"/>
        </w:rPr>
      </w:pPr>
      <w:r>
        <w:rPr>
          <w:rFonts w:ascii="Times New Roman" w:eastAsia="宋体" w:hAnsi="Times New Roman" w:cs="Times New Roman"/>
          <w:b/>
          <w:sz w:val="21"/>
          <w:szCs w:val="21"/>
        </w:rPr>
        <w:t>5.</w:t>
      </w:r>
      <w:r>
        <w:rPr>
          <w:rFonts w:ascii="Times New Roman" w:eastAsia="宋体" w:hAnsi="Times New Roman" w:cs="Times New Roman"/>
          <w:b/>
          <w:sz w:val="21"/>
          <w:szCs w:val="21"/>
        </w:rPr>
        <w:t>实验设备及器材：</w:t>
      </w:r>
      <w:r>
        <w:rPr>
          <w:rFonts w:ascii="Times New Roman" w:eastAsia="宋体" w:hAnsi="Times New Roman" w:cs="Times New Roman"/>
          <w:sz w:val="21"/>
          <w:szCs w:val="21"/>
        </w:rPr>
        <w:t>电导率测定仪等。</w:t>
      </w:r>
    </w:p>
    <w:p w14:paraId="62996900" w14:textId="77777777" w:rsidR="00F5289E" w:rsidRDefault="00C91173">
      <w:pPr>
        <w:spacing w:line="360" w:lineRule="auto"/>
        <w:rPr>
          <w:b/>
          <w:szCs w:val="21"/>
        </w:rPr>
      </w:pPr>
      <w:r>
        <w:rPr>
          <w:rFonts w:hint="eastAsia"/>
          <w:b/>
          <w:szCs w:val="21"/>
        </w:rPr>
        <w:t>（六）考核方式及成绩评定</w:t>
      </w:r>
    </w:p>
    <w:p w14:paraId="325E0A61" w14:textId="77777777" w:rsidR="00F5289E" w:rsidRDefault="00C91173">
      <w:pPr>
        <w:spacing w:line="360" w:lineRule="auto"/>
        <w:ind w:firstLineChars="200" w:firstLine="420"/>
        <w:rPr>
          <w:bCs/>
          <w:szCs w:val="21"/>
        </w:rPr>
      </w:pPr>
      <w:r>
        <w:rPr>
          <w:rFonts w:hint="eastAsia"/>
          <w:bCs/>
          <w:szCs w:val="21"/>
        </w:rPr>
        <w:t>考核方式：实验报告。</w:t>
      </w:r>
    </w:p>
    <w:p w14:paraId="5CC0FBDC" w14:textId="77777777" w:rsidR="00F5289E" w:rsidRDefault="00C91173">
      <w:pPr>
        <w:spacing w:line="360" w:lineRule="auto"/>
        <w:ind w:firstLineChars="200" w:firstLine="420"/>
        <w:rPr>
          <w:bCs/>
          <w:szCs w:val="21"/>
        </w:rPr>
      </w:pPr>
      <w:r>
        <w:rPr>
          <w:rFonts w:hint="eastAsia"/>
          <w:bCs/>
          <w:szCs w:val="21"/>
        </w:rPr>
        <w:t>成绩评定：根据实验数据收集、数据整理的情况和实验结论是否正确，进行打分。</w:t>
      </w:r>
    </w:p>
    <w:p w14:paraId="728B11D7" w14:textId="77777777" w:rsidR="00F5289E" w:rsidRDefault="00F5289E">
      <w:pPr>
        <w:snapToGrid w:val="0"/>
        <w:spacing w:line="360" w:lineRule="auto"/>
        <w:ind w:firstLineChars="200" w:firstLine="420"/>
        <w:rPr>
          <w:rFonts w:ascii="宋体" w:hAnsi="宋体"/>
          <w:bCs/>
          <w:szCs w:val="21"/>
        </w:rPr>
      </w:pPr>
    </w:p>
    <w:p w14:paraId="5C386D06" w14:textId="77777777" w:rsidR="00F5289E" w:rsidRDefault="00C91173">
      <w:pPr>
        <w:snapToGrid w:val="0"/>
        <w:spacing w:line="360" w:lineRule="auto"/>
        <w:rPr>
          <w:b/>
          <w:bCs/>
        </w:rPr>
      </w:pPr>
      <w:bookmarkStart w:id="121" w:name="_Toc137560085"/>
      <w:r>
        <w:rPr>
          <w:rFonts w:hint="eastAsia"/>
          <w:b/>
          <w:bCs/>
        </w:rPr>
        <w:t>六</w:t>
      </w:r>
      <w:r>
        <w:rPr>
          <w:b/>
          <w:bCs/>
        </w:rPr>
        <w:t>、</w:t>
      </w:r>
      <w:r>
        <w:rPr>
          <w:rFonts w:hint="eastAsia"/>
          <w:b/>
          <w:bCs/>
        </w:rPr>
        <w:t>课程思政</w:t>
      </w:r>
      <w:bookmarkEnd w:id="121"/>
    </w:p>
    <w:p w14:paraId="7BBB6C32" w14:textId="77777777" w:rsidR="00F5289E" w:rsidRDefault="00C91173">
      <w:pPr>
        <w:snapToGrid w:val="0"/>
        <w:spacing w:line="360" w:lineRule="auto"/>
        <w:ind w:firstLineChars="200" w:firstLine="420"/>
        <w:rPr>
          <w:rFonts w:hAnsi="宋体"/>
          <w:kern w:val="0"/>
          <w:szCs w:val="21"/>
        </w:rPr>
      </w:pPr>
      <w:r>
        <w:rPr>
          <w:rFonts w:ascii="宋体" w:hAnsi="宋体" w:hint="eastAsia"/>
          <w:bCs/>
          <w:kern w:val="0"/>
          <w:szCs w:val="21"/>
        </w:rPr>
        <w:t>（1）绪论</w:t>
      </w:r>
      <w:r>
        <w:rPr>
          <w:rFonts w:hint="eastAsia"/>
          <w:kern w:val="0"/>
          <w:szCs w:val="21"/>
        </w:rPr>
        <w:t>有部分内容涉及</w:t>
      </w:r>
      <w:r>
        <w:rPr>
          <w:rFonts w:hAnsi="宋体" w:hint="eastAsia"/>
          <w:kern w:val="0"/>
          <w:szCs w:val="21"/>
        </w:rPr>
        <w:t>遗传学的发展历史，通过比较中外研究人员在遗传学发展中的贡献比例，以及我国近百年动植物以及医学遗传学研究的发展动态，突出新中国，特别是改革开放后我</w:t>
      </w:r>
      <w:r>
        <w:rPr>
          <w:rFonts w:hAnsi="宋体" w:hint="eastAsia"/>
          <w:kern w:val="0"/>
          <w:szCs w:val="21"/>
        </w:rPr>
        <w:lastRenderedPageBreak/>
        <w:t>国植物遗传育种工作的丰硕成果，开展对党的科技发展政策、粮食安全政策和教育政策的认同教育。</w:t>
      </w:r>
    </w:p>
    <w:p w14:paraId="6032C561" w14:textId="77777777" w:rsidR="00F5289E" w:rsidRDefault="00C91173">
      <w:pPr>
        <w:snapToGrid w:val="0"/>
        <w:spacing w:line="360" w:lineRule="auto"/>
        <w:ind w:firstLineChars="200" w:firstLine="420"/>
        <w:rPr>
          <w:rStyle w:val="afb"/>
        </w:rPr>
      </w:pPr>
      <w:r>
        <w:rPr>
          <w:rFonts w:ascii="宋体" w:hAnsi="宋体" w:hint="eastAsia"/>
          <w:bCs/>
          <w:kern w:val="0"/>
          <w:szCs w:val="21"/>
        </w:rPr>
        <w:t>（</w:t>
      </w:r>
      <w:r>
        <w:rPr>
          <w:rFonts w:ascii="宋体" w:hAnsi="宋体"/>
          <w:bCs/>
          <w:kern w:val="0"/>
          <w:szCs w:val="21"/>
        </w:rPr>
        <w:t>2</w:t>
      </w:r>
      <w:r>
        <w:rPr>
          <w:rFonts w:ascii="宋体" w:hAnsi="宋体" w:hint="eastAsia"/>
          <w:bCs/>
          <w:kern w:val="0"/>
          <w:szCs w:val="21"/>
        </w:rPr>
        <w:t>）《细胞质遗传》这一</w:t>
      </w:r>
      <w:r>
        <w:rPr>
          <w:rFonts w:hint="eastAsia"/>
          <w:kern w:val="0"/>
          <w:szCs w:val="21"/>
        </w:rPr>
        <w:t>章有部分内容涉及到袁隆平的先生开创的“三系配套”育种技术。通过对袁隆平先生的育种理念和育种实践的介绍，培养学生为国家和人们培育新品质，提高人们生活水平和质量的理念。</w:t>
      </w:r>
    </w:p>
    <w:p w14:paraId="16CB06F6" w14:textId="77777777" w:rsidR="00F5289E" w:rsidRDefault="00C91173">
      <w:pPr>
        <w:snapToGrid w:val="0"/>
        <w:spacing w:line="360" w:lineRule="auto"/>
        <w:ind w:firstLineChars="200" w:firstLine="420"/>
        <w:rPr>
          <w:rFonts w:hAnsi="宋体"/>
          <w:szCs w:val="21"/>
        </w:rPr>
      </w:pPr>
      <w:r>
        <w:rPr>
          <w:rFonts w:ascii="宋体" w:hAnsi="宋体" w:hint="eastAsia"/>
          <w:bCs/>
          <w:kern w:val="0"/>
          <w:szCs w:val="21"/>
        </w:rPr>
        <w:t>（3）</w:t>
      </w:r>
      <w:r>
        <w:rPr>
          <w:rFonts w:hAnsi="宋体" w:hint="eastAsia"/>
          <w:szCs w:val="21"/>
        </w:rPr>
        <w:t>“一粒种子可以改变世界”，种子就是农业领域的“芯片”。</w:t>
      </w:r>
      <w:r>
        <w:rPr>
          <w:rFonts w:hAnsi="宋体" w:hint="eastAsia"/>
          <w:szCs w:val="21"/>
        </w:rPr>
        <w:t>2021</w:t>
      </w:r>
      <w:r>
        <w:rPr>
          <w:rFonts w:hAnsi="宋体" w:hint="eastAsia"/>
          <w:szCs w:val="21"/>
        </w:rPr>
        <w:t>年中央一号文件强调要“打好种业翻身仗”，指出：“农业现代化，种子是基础。”做大做强现代种业是保障国家粮食安全的基础。在绪论一章中就引导学生学好专业基础知识，胸怀大志，立志为实现我国从种业大国向种业强国迈进贡献自己的一份力量。在育种目标一章，通过与我们党的奋斗目标的对比，以及育种工作的长期性和育种目标建立的前瞻性，引导学生建立长远清晰的人生目标，把个人的人生目标与产业发展的需要统一起来。在优势育种一章引导学生学习育种领域的科学家精神，通过介绍“杂交水稻之父”袁隆平院士，学习老一辈科学家胸怀祖国、服务人民的爱国精神，勇攀高峰、敢为人先的创新精神，追求真理、严谨治学的求实精神，淡泊名利、潜心研究的奉献精神。同时挖掘身边的科学家典型，用身边的实例带给学生启迪和启发，以唤醒学生“心灵成长”，引导学生在学习专业知识的同时，实现认识世界与认识自我的辩证统一，让学生感悟追求理想的崇高信念以及超越功利的价值取向。</w:t>
      </w:r>
    </w:p>
    <w:p w14:paraId="05D6D45A" w14:textId="77777777" w:rsidR="00F5289E" w:rsidRDefault="00C91173">
      <w:pPr>
        <w:snapToGrid w:val="0"/>
        <w:spacing w:line="360" w:lineRule="auto"/>
        <w:ind w:firstLineChars="200" w:firstLine="420"/>
        <w:rPr>
          <w:rFonts w:hAnsi="宋体"/>
          <w:szCs w:val="21"/>
        </w:rPr>
      </w:pPr>
      <w:r>
        <w:rPr>
          <w:rFonts w:hAnsi="宋体" w:hint="eastAsia"/>
          <w:szCs w:val="21"/>
        </w:rPr>
        <w:t>（</w:t>
      </w:r>
      <w:r>
        <w:rPr>
          <w:rFonts w:hAnsi="宋体" w:hint="eastAsia"/>
          <w:szCs w:val="21"/>
        </w:rPr>
        <w:t>4</w:t>
      </w:r>
      <w:r>
        <w:rPr>
          <w:rFonts w:hAnsi="宋体" w:hint="eastAsia"/>
          <w:szCs w:val="21"/>
        </w:rPr>
        <w:t>）育种技术的发展日新月异，已进入“</w:t>
      </w:r>
      <w:r>
        <w:rPr>
          <w:rFonts w:hAnsi="宋体" w:hint="eastAsia"/>
          <w:szCs w:val="21"/>
        </w:rPr>
        <w:t>4.0</w:t>
      </w:r>
      <w:r>
        <w:rPr>
          <w:rFonts w:hAnsi="宋体" w:hint="eastAsia"/>
          <w:szCs w:val="21"/>
        </w:rPr>
        <w:t>时代”，也就是“生物技术</w:t>
      </w:r>
      <w:r>
        <w:rPr>
          <w:rFonts w:hAnsi="宋体" w:hint="eastAsia"/>
          <w:szCs w:val="21"/>
        </w:rPr>
        <w:t>+</w:t>
      </w:r>
      <w:r>
        <w:rPr>
          <w:rFonts w:hAnsi="宋体" w:hint="eastAsia"/>
          <w:szCs w:val="21"/>
        </w:rPr>
        <w:t>人工智能</w:t>
      </w:r>
      <w:r>
        <w:rPr>
          <w:rFonts w:hAnsi="宋体" w:hint="eastAsia"/>
          <w:szCs w:val="21"/>
        </w:rPr>
        <w:t>+</w:t>
      </w:r>
      <w:r>
        <w:rPr>
          <w:rFonts w:hAnsi="宋体" w:hint="eastAsia"/>
          <w:szCs w:val="21"/>
        </w:rPr>
        <w:t>大数据信息技术”时代，传统的育种方法与现代育种方法结合将是未来的发展方向。在生物技术在育种中的应用一章学生通过阅读文献了解最新科研动态以及新技术新方法，并鼓励通过他们走进实验室以科学助理、社会实践等方式，提高学生的专业学习兴趣，并勉励他们努力学习、进一步深造，提高自己的本领。</w:t>
      </w:r>
    </w:p>
    <w:p w14:paraId="1D9D3107"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326E9317"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选用</w:t>
      </w:r>
      <w:r>
        <w:rPr>
          <w:rFonts w:hAnsi="宋体"/>
          <w:b/>
          <w:bCs/>
          <w:kern w:val="0"/>
          <w:szCs w:val="21"/>
        </w:rPr>
        <w:t>教材：</w:t>
      </w:r>
    </w:p>
    <w:p w14:paraId="570DA003"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（1）理论课教材：</w:t>
      </w:r>
      <w:r>
        <w:rPr>
          <w:rFonts w:ascii="宋体" w:hAnsi="宋体"/>
          <w:bCs/>
          <w:kern w:val="0"/>
          <w:szCs w:val="21"/>
        </w:rPr>
        <w:fldChar w:fldCharType="begin"/>
      </w:r>
      <w:r>
        <w:rPr>
          <w:rFonts w:ascii="宋体" w:hAnsi="宋体"/>
          <w:bCs/>
          <w:kern w:val="0"/>
          <w:szCs w:val="21"/>
        </w:rPr>
        <w:instrText xml:space="preserve"> </w:instrText>
      </w:r>
      <w:r>
        <w:rPr>
          <w:rFonts w:ascii="宋体" w:hAnsi="宋体" w:hint="eastAsia"/>
          <w:bCs/>
          <w:kern w:val="0"/>
          <w:szCs w:val="21"/>
        </w:rPr>
        <w:instrText>= 1 \* GB3</w:instrText>
      </w:r>
      <w:r>
        <w:rPr>
          <w:rFonts w:ascii="宋体" w:hAnsi="宋体"/>
          <w:bCs/>
          <w:kern w:val="0"/>
          <w:szCs w:val="21"/>
        </w:rPr>
        <w:instrText xml:space="preserve"> </w:instrText>
      </w:r>
      <w:r>
        <w:rPr>
          <w:rFonts w:ascii="宋体" w:hAnsi="宋体"/>
          <w:bCs/>
          <w:kern w:val="0"/>
          <w:szCs w:val="21"/>
        </w:rPr>
        <w:fldChar w:fldCharType="separate"/>
      </w:r>
      <w:r>
        <w:rPr>
          <w:rFonts w:ascii="宋体" w:hAnsi="宋体" w:hint="eastAsia"/>
          <w:bCs/>
          <w:kern w:val="0"/>
          <w:szCs w:val="21"/>
        </w:rPr>
        <w:t>①</w:t>
      </w:r>
      <w:r>
        <w:rPr>
          <w:rFonts w:ascii="宋体" w:hAnsi="宋体"/>
          <w:bCs/>
          <w:kern w:val="0"/>
          <w:szCs w:val="21"/>
        </w:rPr>
        <w:fldChar w:fldCharType="end"/>
      </w:r>
      <w:r>
        <w:rPr>
          <w:rFonts w:hAnsi="宋体"/>
          <w:kern w:val="0"/>
          <w:szCs w:val="21"/>
        </w:rPr>
        <w:t>遗传学</w:t>
      </w:r>
      <w:r>
        <w:rPr>
          <w:rFonts w:hAnsi="宋体" w:hint="eastAsia"/>
          <w:kern w:val="0"/>
          <w:szCs w:val="21"/>
        </w:rPr>
        <w:t>（第四版），</w:t>
      </w:r>
      <w:r>
        <w:rPr>
          <w:rFonts w:hAnsi="宋体"/>
          <w:kern w:val="0"/>
          <w:szCs w:val="21"/>
        </w:rPr>
        <w:t>朱军</w:t>
      </w:r>
      <w:r>
        <w:rPr>
          <w:rFonts w:hAnsi="宋体" w:hint="eastAsia"/>
          <w:kern w:val="0"/>
          <w:szCs w:val="21"/>
        </w:rPr>
        <w:t>编著，中国农业出版社，</w:t>
      </w:r>
      <w:r>
        <w:rPr>
          <w:rFonts w:hAnsi="宋体" w:hint="eastAsia"/>
          <w:kern w:val="0"/>
          <w:szCs w:val="21"/>
        </w:rPr>
        <w:t>2018</w:t>
      </w:r>
      <w:r>
        <w:rPr>
          <w:rFonts w:hAnsi="宋体" w:hint="eastAsia"/>
          <w:kern w:val="0"/>
          <w:szCs w:val="21"/>
        </w:rPr>
        <w:t>年</w:t>
      </w:r>
      <w:r>
        <w:rPr>
          <w:rFonts w:ascii="宋体" w:hAnsi="宋体" w:hint="eastAsia"/>
          <w:bCs/>
          <w:kern w:val="0"/>
          <w:szCs w:val="21"/>
        </w:rPr>
        <w:t>；</w:t>
      </w:r>
      <w:r>
        <w:rPr>
          <w:rFonts w:ascii="宋体" w:hAnsi="宋体"/>
          <w:bCs/>
          <w:kern w:val="0"/>
          <w:szCs w:val="21"/>
        </w:rPr>
        <w:fldChar w:fldCharType="begin"/>
      </w:r>
      <w:r>
        <w:rPr>
          <w:rFonts w:ascii="宋体" w:hAnsi="宋体"/>
          <w:bCs/>
          <w:kern w:val="0"/>
          <w:szCs w:val="21"/>
        </w:rPr>
        <w:instrText xml:space="preserve"> </w:instrText>
      </w:r>
      <w:r>
        <w:rPr>
          <w:rFonts w:ascii="宋体" w:hAnsi="宋体" w:hint="eastAsia"/>
          <w:bCs/>
          <w:kern w:val="0"/>
          <w:szCs w:val="21"/>
        </w:rPr>
        <w:instrText>= 2 \* GB3</w:instrText>
      </w:r>
      <w:r>
        <w:rPr>
          <w:rFonts w:ascii="宋体" w:hAnsi="宋体"/>
          <w:bCs/>
          <w:kern w:val="0"/>
          <w:szCs w:val="21"/>
        </w:rPr>
        <w:instrText xml:space="preserve"> </w:instrText>
      </w:r>
      <w:r>
        <w:rPr>
          <w:rFonts w:ascii="宋体" w:hAnsi="宋体"/>
          <w:bCs/>
          <w:kern w:val="0"/>
          <w:szCs w:val="21"/>
        </w:rPr>
        <w:fldChar w:fldCharType="separate"/>
      </w:r>
      <w:r>
        <w:rPr>
          <w:rFonts w:ascii="宋体" w:hAnsi="宋体" w:hint="eastAsia"/>
          <w:bCs/>
          <w:kern w:val="0"/>
          <w:szCs w:val="21"/>
        </w:rPr>
        <w:t>②</w:t>
      </w:r>
      <w:r>
        <w:rPr>
          <w:rFonts w:ascii="宋体" w:hAnsi="宋体"/>
          <w:bCs/>
          <w:kern w:val="0"/>
          <w:szCs w:val="21"/>
        </w:rPr>
        <w:fldChar w:fldCharType="end"/>
      </w:r>
      <w:r>
        <w:rPr>
          <w:rFonts w:ascii="宋体" w:hAnsi="宋体" w:hint="eastAsia"/>
          <w:bCs/>
          <w:kern w:val="0"/>
          <w:szCs w:val="21"/>
        </w:rPr>
        <w:t xml:space="preserve"> 园艺植物遗传学，张菊平编著，化学工业出版社，</w:t>
      </w:r>
      <w:r>
        <w:rPr>
          <w:bCs/>
          <w:kern w:val="0"/>
          <w:szCs w:val="21"/>
        </w:rPr>
        <w:t>2016</w:t>
      </w:r>
      <w:r>
        <w:rPr>
          <w:bCs/>
          <w:kern w:val="0"/>
          <w:szCs w:val="21"/>
        </w:rPr>
        <w:t>年。</w:t>
      </w:r>
      <w:r>
        <w:rPr>
          <w:rFonts w:ascii="宋体" w:hAnsi="宋体" w:cs="宋体" w:hint="eastAsia"/>
          <w:bCs/>
          <w:kern w:val="0"/>
          <w:szCs w:val="21"/>
        </w:rPr>
        <w:t>③</w:t>
      </w:r>
      <w:r>
        <w:rPr>
          <w:szCs w:val="21"/>
        </w:rPr>
        <w:t>园艺植物育种学总论（第二版），景士西主编，中国农业出版社出版，</w:t>
      </w:r>
      <w:r>
        <w:rPr>
          <w:szCs w:val="21"/>
        </w:rPr>
        <w:t>2007</w:t>
      </w:r>
      <w:r>
        <w:rPr>
          <w:szCs w:val="21"/>
        </w:rPr>
        <w:t>年</w:t>
      </w:r>
      <w:r>
        <w:rPr>
          <w:rFonts w:hint="eastAsia"/>
          <w:szCs w:val="21"/>
        </w:rPr>
        <w:t>。</w:t>
      </w:r>
    </w:p>
    <w:p w14:paraId="40C077F2" w14:textId="77777777" w:rsidR="00F5289E" w:rsidRDefault="00C91173">
      <w:pPr>
        <w:widowControl/>
        <w:snapToGrid w:val="0"/>
        <w:spacing w:line="360" w:lineRule="auto"/>
        <w:ind w:firstLineChars="200" w:firstLine="420"/>
        <w:jc w:val="left"/>
        <w:rPr>
          <w:rFonts w:hAnsi="宋体"/>
          <w:b/>
          <w:bCs/>
          <w:strike/>
          <w:kern w:val="0"/>
          <w:szCs w:val="21"/>
        </w:rPr>
      </w:pPr>
      <w:r>
        <w:rPr>
          <w:rFonts w:ascii="宋体" w:hAnsi="宋体" w:hint="eastAsia"/>
        </w:rPr>
        <w:t>（2）实验课教材：园艺植物遗传学实验指导书，园艺学院遗传学课程组编著，内部印刷，2019年；</w:t>
      </w:r>
      <w:r>
        <w:rPr>
          <w:bCs/>
          <w:kern w:val="0"/>
          <w:szCs w:val="21"/>
        </w:rPr>
        <w:fldChar w:fldCharType="begin"/>
      </w:r>
      <w:r>
        <w:rPr>
          <w:bCs/>
          <w:kern w:val="0"/>
          <w:szCs w:val="21"/>
        </w:rPr>
        <w:instrText xml:space="preserve"> = 2 \* GB3 </w:instrText>
      </w:r>
      <w:r>
        <w:rPr>
          <w:bCs/>
          <w:kern w:val="0"/>
          <w:szCs w:val="21"/>
        </w:rPr>
        <w:fldChar w:fldCharType="separate"/>
      </w:r>
      <w:r>
        <w:rPr>
          <w:rFonts w:ascii="宋体" w:hAnsi="宋体" w:cs="宋体" w:hint="eastAsia"/>
          <w:bCs/>
          <w:kern w:val="0"/>
          <w:szCs w:val="21"/>
        </w:rPr>
        <w:t>②</w:t>
      </w:r>
      <w:r>
        <w:rPr>
          <w:bCs/>
          <w:kern w:val="0"/>
          <w:szCs w:val="21"/>
        </w:rPr>
        <w:fldChar w:fldCharType="end"/>
      </w:r>
      <w:r>
        <w:t>园艺植物育种学实验指导（第三版），申书兴主编，</w:t>
      </w:r>
      <w:r>
        <w:rPr>
          <w:szCs w:val="21"/>
        </w:rPr>
        <w:t>中国农业出版社出版，</w:t>
      </w:r>
      <w:r>
        <w:rPr>
          <w:szCs w:val="21"/>
        </w:rPr>
        <w:t>2018</w:t>
      </w:r>
      <w:r>
        <w:rPr>
          <w:szCs w:val="21"/>
        </w:rPr>
        <w:t>年。</w:t>
      </w:r>
    </w:p>
    <w:p w14:paraId="32C6451F"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7B5697AA"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bCs/>
          <w:kern w:val="0"/>
          <w:szCs w:val="21"/>
        </w:rPr>
        <w:t>1</w:t>
      </w:r>
      <w:r>
        <w:rPr>
          <w:rFonts w:hAnsi="宋体"/>
          <w:bCs/>
          <w:kern w:val="0"/>
          <w:szCs w:val="21"/>
        </w:rPr>
        <w:t>）</w:t>
      </w:r>
      <w:r>
        <w:rPr>
          <w:rFonts w:hAnsi="宋体" w:hint="eastAsia"/>
          <w:bCs/>
          <w:kern w:val="0"/>
          <w:szCs w:val="21"/>
        </w:rPr>
        <w:t>遗传学（第</w:t>
      </w:r>
      <w:r>
        <w:rPr>
          <w:rFonts w:hAnsi="宋体" w:hint="eastAsia"/>
          <w:bCs/>
          <w:kern w:val="0"/>
          <w:szCs w:val="21"/>
        </w:rPr>
        <w:t>3</w:t>
      </w:r>
      <w:r>
        <w:rPr>
          <w:rFonts w:hAnsi="宋体" w:hint="eastAsia"/>
          <w:bCs/>
          <w:kern w:val="0"/>
          <w:szCs w:val="21"/>
        </w:rPr>
        <w:t>版），李再云，杨业，高等教育出版社，</w:t>
      </w:r>
      <w:r>
        <w:rPr>
          <w:rFonts w:hAnsi="宋体" w:hint="eastAsia"/>
          <w:bCs/>
          <w:kern w:val="0"/>
          <w:szCs w:val="21"/>
        </w:rPr>
        <w:t>2017</w:t>
      </w:r>
      <w:r>
        <w:rPr>
          <w:rFonts w:hAnsi="宋体" w:hint="eastAsia"/>
          <w:bCs/>
          <w:kern w:val="0"/>
          <w:szCs w:val="21"/>
        </w:rPr>
        <w:t>年</w:t>
      </w:r>
    </w:p>
    <w:p w14:paraId="44055A0E"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hAnsi="宋体" w:hint="eastAsia"/>
          <w:bCs/>
          <w:kern w:val="0"/>
          <w:szCs w:val="21"/>
        </w:rPr>
        <w:t>普通遗传学（第三版），张飞雄，李雅轩，科学出版社，</w:t>
      </w:r>
      <w:r>
        <w:rPr>
          <w:rFonts w:hAnsi="宋体" w:hint="eastAsia"/>
          <w:bCs/>
          <w:kern w:val="0"/>
          <w:szCs w:val="21"/>
        </w:rPr>
        <w:t>2016</w:t>
      </w:r>
      <w:r>
        <w:rPr>
          <w:rFonts w:hAnsi="宋体" w:hint="eastAsia"/>
          <w:bCs/>
          <w:kern w:val="0"/>
          <w:szCs w:val="21"/>
        </w:rPr>
        <w:t>年</w:t>
      </w:r>
    </w:p>
    <w:p w14:paraId="1C5CAA53"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3</w:t>
      </w:r>
      <w:r>
        <w:rPr>
          <w:rFonts w:hAnsi="宋体" w:hint="eastAsia"/>
          <w:bCs/>
          <w:kern w:val="0"/>
          <w:szCs w:val="21"/>
        </w:rPr>
        <w:t>）遗传学，刘庆昌，科学出版社，</w:t>
      </w:r>
      <w:r>
        <w:rPr>
          <w:rFonts w:hAnsi="宋体" w:hint="eastAsia"/>
          <w:bCs/>
          <w:kern w:val="0"/>
          <w:szCs w:val="21"/>
        </w:rPr>
        <w:t>2015</w:t>
      </w:r>
      <w:r>
        <w:rPr>
          <w:rFonts w:hAnsi="宋体" w:hint="eastAsia"/>
          <w:bCs/>
          <w:kern w:val="0"/>
          <w:szCs w:val="21"/>
        </w:rPr>
        <w:t>年</w:t>
      </w:r>
    </w:p>
    <w:p w14:paraId="29FEE076"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4</w:t>
      </w:r>
      <w:r>
        <w:rPr>
          <w:rFonts w:hAnsi="宋体" w:hint="eastAsia"/>
          <w:bCs/>
          <w:kern w:val="0"/>
          <w:szCs w:val="21"/>
        </w:rPr>
        <w:t>）园艺植物育种学．曹家树主编．中国农业大学出版社，</w:t>
      </w:r>
      <w:r>
        <w:rPr>
          <w:rFonts w:hAnsi="宋体" w:hint="eastAsia"/>
          <w:bCs/>
          <w:kern w:val="0"/>
          <w:szCs w:val="21"/>
        </w:rPr>
        <w:t>2007</w:t>
      </w:r>
      <w:r>
        <w:rPr>
          <w:rFonts w:hAnsi="宋体" w:hint="eastAsia"/>
          <w:bCs/>
          <w:kern w:val="0"/>
          <w:szCs w:val="21"/>
        </w:rPr>
        <w:t>年</w:t>
      </w:r>
    </w:p>
    <w:p w14:paraId="31F5CC16"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5</w:t>
      </w:r>
      <w:r>
        <w:rPr>
          <w:rFonts w:hAnsi="宋体" w:hint="eastAsia"/>
          <w:bCs/>
          <w:kern w:val="0"/>
          <w:szCs w:val="21"/>
        </w:rPr>
        <w:t>）园林植物遗传育种学．程金水主编．中国林业出版社出版，</w:t>
      </w:r>
      <w:r>
        <w:rPr>
          <w:rFonts w:hAnsi="宋体" w:hint="eastAsia"/>
          <w:bCs/>
          <w:kern w:val="0"/>
          <w:szCs w:val="21"/>
        </w:rPr>
        <w:t>2000</w:t>
      </w:r>
      <w:r>
        <w:rPr>
          <w:rFonts w:hAnsi="宋体" w:hint="eastAsia"/>
          <w:bCs/>
          <w:kern w:val="0"/>
          <w:szCs w:val="21"/>
        </w:rPr>
        <w:t>年</w:t>
      </w:r>
    </w:p>
    <w:p w14:paraId="3DA32AD4"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lastRenderedPageBreak/>
        <w:t>（</w:t>
      </w:r>
      <w:r>
        <w:rPr>
          <w:rFonts w:hAnsi="宋体" w:hint="eastAsia"/>
          <w:bCs/>
          <w:kern w:val="0"/>
          <w:szCs w:val="21"/>
        </w:rPr>
        <w:t>6</w:t>
      </w:r>
      <w:r>
        <w:rPr>
          <w:rFonts w:hAnsi="宋体" w:hint="eastAsia"/>
          <w:bCs/>
          <w:kern w:val="0"/>
          <w:szCs w:val="21"/>
        </w:rPr>
        <w:t>）果树育种学．沈德绪主编．中国农业出版社出版，</w:t>
      </w:r>
      <w:r>
        <w:rPr>
          <w:rFonts w:hAnsi="宋体" w:hint="eastAsia"/>
          <w:bCs/>
          <w:kern w:val="0"/>
          <w:szCs w:val="21"/>
        </w:rPr>
        <w:t>2007</w:t>
      </w:r>
      <w:r>
        <w:rPr>
          <w:rFonts w:hAnsi="宋体" w:hint="eastAsia"/>
          <w:bCs/>
          <w:kern w:val="0"/>
          <w:szCs w:val="21"/>
        </w:rPr>
        <w:t>年</w:t>
      </w:r>
    </w:p>
    <w:p w14:paraId="37AEE1C1"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7</w:t>
      </w:r>
      <w:r>
        <w:rPr>
          <w:rFonts w:hAnsi="宋体" w:hint="eastAsia"/>
          <w:bCs/>
          <w:kern w:val="0"/>
          <w:szCs w:val="21"/>
        </w:rPr>
        <w:t>）蔬菜育种学（各论）．王小佳主编．中国农业出版社出版，</w:t>
      </w:r>
      <w:r>
        <w:rPr>
          <w:rFonts w:hAnsi="宋体" w:hint="eastAsia"/>
          <w:bCs/>
          <w:kern w:val="0"/>
          <w:szCs w:val="21"/>
        </w:rPr>
        <w:t>2000</w:t>
      </w:r>
      <w:r>
        <w:rPr>
          <w:rFonts w:hAnsi="宋体" w:hint="eastAsia"/>
          <w:bCs/>
          <w:kern w:val="0"/>
          <w:szCs w:val="21"/>
        </w:rPr>
        <w:t>年</w:t>
      </w:r>
    </w:p>
    <w:p w14:paraId="4B1781AE" w14:textId="77777777" w:rsidR="00F5289E" w:rsidRDefault="00C91173">
      <w:pPr>
        <w:widowControl/>
        <w:snapToGrid w:val="0"/>
        <w:spacing w:line="360" w:lineRule="auto"/>
        <w:ind w:firstLineChars="200" w:firstLine="422"/>
        <w:jc w:val="left"/>
        <w:rPr>
          <w:b/>
          <w:kern w:val="0"/>
          <w:szCs w:val="21"/>
        </w:rPr>
      </w:pPr>
      <w:r>
        <w:rPr>
          <w:rFonts w:hint="eastAsia"/>
          <w:b/>
          <w:kern w:val="0"/>
          <w:szCs w:val="21"/>
        </w:rPr>
        <w:t>3.</w:t>
      </w:r>
      <w:r>
        <w:rPr>
          <w:rFonts w:hint="eastAsia"/>
          <w:b/>
          <w:kern w:val="0"/>
          <w:szCs w:val="21"/>
        </w:rPr>
        <w:t>推荐网站：</w:t>
      </w:r>
    </w:p>
    <w:p w14:paraId="5FD6BE82" w14:textId="77777777" w:rsidR="00F5289E" w:rsidRPr="001B3040" w:rsidRDefault="00C91173">
      <w:pPr>
        <w:snapToGrid w:val="0"/>
        <w:spacing w:line="360" w:lineRule="auto"/>
        <w:ind w:firstLineChars="200" w:firstLine="420"/>
        <w:rPr>
          <w:szCs w:val="21"/>
        </w:rPr>
      </w:pPr>
      <w:r>
        <w:rPr>
          <w:rFonts w:ascii="宋体" w:hAnsi="宋体" w:hint="eastAsia"/>
          <w:szCs w:val="21"/>
        </w:rPr>
        <w:t>（1）河南农业大学园艺植物遗传学精品课程，</w:t>
      </w:r>
      <w:r w:rsidRPr="001B3040">
        <w:rPr>
          <w:szCs w:val="21"/>
        </w:rPr>
        <w:t>http://202.196.80.249/jpkc/yychenyanhui/</w:t>
      </w:r>
    </w:p>
    <w:p w14:paraId="4C577A4F" w14:textId="77777777" w:rsidR="00F5289E" w:rsidRDefault="00C91173">
      <w:pPr>
        <w:widowControl/>
        <w:snapToGrid w:val="0"/>
        <w:spacing w:line="360" w:lineRule="auto"/>
        <w:ind w:firstLineChars="200" w:firstLine="420"/>
        <w:jc w:val="left"/>
        <w:rPr>
          <w:rStyle w:val="afa"/>
          <w:szCs w:val="21"/>
        </w:rPr>
      </w:pPr>
      <w:r>
        <w:rPr>
          <w:rFonts w:ascii="宋体" w:hAnsi="宋体" w:hint="eastAsia"/>
          <w:szCs w:val="21"/>
        </w:rPr>
        <w:t>（2）浙江大学遗传学资源共享课，</w:t>
      </w:r>
      <w:r w:rsidRPr="001B3040">
        <w:rPr>
          <w:szCs w:val="21"/>
        </w:rPr>
        <w:t>http://www.icourses.cn/coursestatic/course_4267.html</w:t>
      </w:r>
    </w:p>
    <w:p w14:paraId="52FC16EB" w14:textId="77777777" w:rsidR="00F5289E" w:rsidRDefault="00C91173">
      <w:pPr>
        <w:snapToGrid w:val="0"/>
        <w:spacing w:line="360" w:lineRule="auto"/>
        <w:ind w:firstLineChars="200" w:firstLine="420"/>
        <w:jc w:val="left"/>
        <w:rPr>
          <w:szCs w:val="21"/>
        </w:rPr>
      </w:pPr>
      <w:r>
        <w:rPr>
          <w:szCs w:val="21"/>
        </w:rPr>
        <w:t>（</w:t>
      </w:r>
      <w:r>
        <w:rPr>
          <w:szCs w:val="21"/>
        </w:rPr>
        <w:t>3</w:t>
      </w:r>
      <w:r>
        <w:rPr>
          <w:szCs w:val="21"/>
        </w:rPr>
        <w:t>）河南农业大学园艺植物育种学校级精品课程网站，</w:t>
      </w:r>
      <w:r>
        <w:rPr>
          <w:szCs w:val="21"/>
        </w:rPr>
        <w:t>http://yuanyi.henau.edu.cn/About.asp?SortName=</w:t>
      </w:r>
      <w:r>
        <w:rPr>
          <w:szCs w:val="21"/>
        </w:rPr>
        <w:t>精品课程</w:t>
      </w:r>
    </w:p>
    <w:p w14:paraId="2C0816A1" w14:textId="77777777" w:rsidR="00F5289E" w:rsidRDefault="00C91173">
      <w:pPr>
        <w:snapToGrid w:val="0"/>
        <w:spacing w:line="360" w:lineRule="auto"/>
        <w:ind w:firstLineChars="200" w:firstLine="420"/>
        <w:jc w:val="left"/>
        <w:rPr>
          <w:szCs w:val="21"/>
        </w:rPr>
      </w:pPr>
      <w:r>
        <w:rPr>
          <w:szCs w:val="21"/>
        </w:rPr>
        <w:t>（</w:t>
      </w:r>
      <w:r>
        <w:rPr>
          <w:szCs w:val="21"/>
        </w:rPr>
        <w:t>4</w:t>
      </w:r>
      <w:r>
        <w:rPr>
          <w:szCs w:val="21"/>
        </w:rPr>
        <w:t>）西南大学园艺植物育种学国家级精品课程网站，</w:t>
      </w:r>
      <w:r>
        <w:rPr>
          <w:szCs w:val="21"/>
        </w:rPr>
        <w:t>http://course.jingpinke.com/details?uuid=e9eb950f-123a-1000-889c-144ee02f1e73</w:t>
      </w:r>
    </w:p>
    <w:p w14:paraId="4D58EF7C" w14:textId="77777777" w:rsidR="00F5289E" w:rsidRDefault="00C91173">
      <w:pPr>
        <w:pStyle w:val="a9"/>
        <w:spacing w:beforeLines="50" w:before="156" w:afterLines="50" w:after="156"/>
        <w:rPr>
          <w:b/>
          <w:bCs/>
        </w:rPr>
      </w:pPr>
      <w:bookmarkStart w:id="122" w:name="_Toc137560087"/>
      <w:r>
        <w:rPr>
          <w:rFonts w:hint="eastAsia"/>
          <w:b/>
          <w:bCs/>
        </w:rPr>
        <w:t>八</w:t>
      </w:r>
      <w:r>
        <w:rPr>
          <w:b/>
          <w:bCs/>
        </w:rPr>
        <w:t>、</w:t>
      </w:r>
      <w:r>
        <w:rPr>
          <w:rFonts w:hint="eastAsia"/>
          <w:b/>
          <w:bCs/>
        </w:rPr>
        <w:t>教学条件</w:t>
      </w:r>
      <w:bookmarkEnd w:id="122"/>
    </w:p>
    <w:p w14:paraId="67E84F72" w14:textId="77777777" w:rsidR="00F5289E" w:rsidRDefault="00C91173">
      <w:pPr>
        <w:widowControl/>
        <w:snapToGrid w:val="0"/>
        <w:spacing w:line="360" w:lineRule="auto"/>
        <w:ind w:leftChars="50" w:left="105" w:firstLine="419"/>
        <w:jc w:val="left"/>
        <w:rPr>
          <w:rFonts w:ascii="宋体" w:hAnsi="宋体"/>
          <w:szCs w:val="21"/>
        </w:rPr>
      </w:pPr>
      <w:r>
        <w:rPr>
          <w:rFonts w:ascii="宋体" w:hAnsi="宋体" w:hint="eastAsia"/>
          <w:szCs w:val="21"/>
        </w:rPr>
        <w:t>该课程开展依托园艺植物遗传学教学团队和育种学教学团队，团队</w:t>
      </w:r>
      <w:r>
        <w:rPr>
          <w:rFonts w:ascii="宋体" w:hAnsi="宋体"/>
          <w:szCs w:val="21"/>
        </w:rPr>
        <w:t>成员中</w:t>
      </w:r>
      <w:r>
        <w:rPr>
          <w:rFonts w:ascii="宋体" w:hAnsi="宋体" w:hint="eastAsia"/>
          <w:szCs w:val="21"/>
        </w:rPr>
        <w:t>共有</w:t>
      </w:r>
      <w:r>
        <w:rPr>
          <w:rFonts w:ascii="宋体" w:hAnsi="宋体"/>
          <w:szCs w:val="21"/>
        </w:rPr>
        <w:t>高级职称者</w:t>
      </w:r>
      <w:r>
        <w:rPr>
          <w:rFonts w:ascii="宋体" w:hAnsi="宋体" w:hint="eastAsia"/>
          <w:szCs w:val="21"/>
        </w:rPr>
        <w:t>8人</w:t>
      </w:r>
      <w:r>
        <w:rPr>
          <w:rFonts w:ascii="宋体" w:hAnsi="宋体"/>
          <w:szCs w:val="21"/>
        </w:rPr>
        <w:t>，</w:t>
      </w:r>
      <w:r>
        <w:rPr>
          <w:rFonts w:ascii="宋体" w:hAnsi="宋体" w:hint="eastAsia"/>
          <w:szCs w:val="21"/>
        </w:rPr>
        <w:t>中级</w:t>
      </w:r>
      <w:r>
        <w:rPr>
          <w:rFonts w:ascii="宋体" w:hAnsi="宋体"/>
          <w:szCs w:val="21"/>
        </w:rPr>
        <w:t>职称者</w:t>
      </w:r>
      <w:r>
        <w:rPr>
          <w:rFonts w:ascii="宋体" w:hAnsi="宋体" w:hint="eastAsia"/>
          <w:szCs w:val="21"/>
        </w:rPr>
        <w:t>5人</w:t>
      </w:r>
      <w:r>
        <w:rPr>
          <w:rFonts w:ascii="宋体" w:hAnsi="宋体"/>
          <w:szCs w:val="21"/>
        </w:rPr>
        <w:t>，具有博士学位</w:t>
      </w:r>
      <w:r>
        <w:rPr>
          <w:rFonts w:ascii="宋体" w:hAnsi="宋体" w:hint="eastAsia"/>
          <w:szCs w:val="21"/>
        </w:rPr>
        <w:t>者12人</w:t>
      </w:r>
      <w:r>
        <w:rPr>
          <w:rFonts w:ascii="宋体" w:hAnsi="宋体"/>
          <w:szCs w:val="21"/>
        </w:rPr>
        <w:t>，所有教师均</w:t>
      </w:r>
      <w:r>
        <w:rPr>
          <w:rFonts w:ascii="宋体" w:hAnsi="宋体" w:hint="eastAsia"/>
          <w:szCs w:val="21"/>
        </w:rPr>
        <w:t>有</w:t>
      </w:r>
      <w:r>
        <w:rPr>
          <w:rFonts w:ascii="宋体" w:hAnsi="宋体"/>
          <w:szCs w:val="21"/>
        </w:rPr>
        <w:t>从事遗传学相关</w:t>
      </w:r>
      <w:r>
        <w:rPr>
          <w:rFonts w:ascii="宋体" w:hAnsi="宋体" w:hint="eastAsia"/>
          <w:szCs w:val="21"/>
        </w:rPr>
        <w:t>教学</w:t>
      </w:r>
      <w:r>
        <w:rPr>
          <w:rFonts w:ascii="宋体" w:hAnsi="宋体"/>
          <w:szCs w:val="21"/>
        </w:rPr>
        <w:t>与研究</w:t>
      </w:r>
      <w:r>
        <w:rPr>
          <w:rFonts w:ascii="宋体" w:hAnsi="宋体" w:hint="eastAsia"/>
          <w:szCs w:val="21"/>
        </w:rPr>
        <w:t>的</w:t>
      </w:r>
      <w:r>
        <w:rPr>
          <w:rFonts w:ascii="宋体" w:hAnsi="宋体"/>
          <w:szCs w:val="21"/>
        </w:rPr>
        <w:t>经验。</w:t>
      </w:r>
      <w:r>
        <w:rPr>
          <w:rFonts w:ascii="宋体" w:hAnsi="宋体" w:hint="eastAsia"/>
          <w:szCs w:val="21"/>
        </w:rPr>
        <w:t>本课程理论课教学在多媒体教室中</w:t>
      </w:r>
      <w:r>
        <w:rPr>
          <w:rFonts w:ascii="宋体" w:hAnsi="宋体"/>
          <w:szCs w:val="21"/>
        </w:rPr>
        <w:t>进行</w:t>
      </w:r>
      <w:r>
        <w:rPr>
          <w:rFonts w:ascii="宋体" w:hAnsi="宋体" w:hint="eastAsia"/>
          <w:szCs w:val="21"/>
        </w:rPr>
        <w:t>，实验课在园艺</w:t>
      </w:r>
      <w:r>
        <w:rPr>
          <w:rFonts w:ascii="宋体" w:hAnsi="宋体"/>
          <w:szCs w:val="21"/>
        </w:rPr>
        <w:t>植物遗传育种</w:t>
      </w:r>
      <w:r>
        <w:rPr>
          <w:rFonts w:ascii="宋体" w:hAnsi="宋体" w:hint="eastAsia"/>
          <w:szCs w:val="21"/>
        </w:rPr>
        <w:t>实验室和</w:t>
      </w:r>
      <w:r>
        <w:rPr>
          <w:rFonts w:ascii="宋体" w:hAnsi="宋体"/>
          <w:szCs w:val="21"/>
        </w:rPr>
        <w:t>实验基地</w:t>
      </w:r>
      <w:r>
        <w:rPr>
          <w:rFonts w:ascii="宋体" w:hAnsi="宋体" w:hint="eastAsia"/>
          <w:szCs w:val="21"/>
        </w:rPr>
        <w:t>进行</w:t>
      </w:r>
      <w:r>
        <w:rPr>
          <w:rFonts w:ascii="宋体" w:hAnsi="宋体"/>
          <w:szCs w:val="21"/>
        </w:rPr>
        <w:t>。</w:t>
      </w:r>
      <w:r>
        <w:rPr>
          <w:rFonts w:ascii="宋体" w:hAnsi="宋体" w:hint="eastAsia"/>
          <w:szCs w:val="21"/>
        </w:rPr>
        <w:t>园艺学院</w:t>
      </w:r>
      <w:r>
        <w:rPr>
          <w:rFonts w:ascii="宋体" w:hAnsi="宋体"/>
          <w:szCs w:val="21"/>
        </w:rPr>
        <w:t>建有</w:t>
      </w:r>
      <w:r>
        <w:rPr>
          <w:rFonts w:ascii="宋体" w:hAnsi="宋体" w:hint="eastAsia"/>
          <w:szCs w:val="21"/>
        </w:rPr>
        <w:t>实验</w:t>
      </w:r>
      <w:r>
        <w:rPr>
          <w:rFonts w:ascii="宋体" w:hAnsi="宋体"/>
          <w:szCs w:val="21"/>
        </w:rPr>
        <w:t>教学</w:t>
      </w:r>
      <w:r>
        <w:rPr>
          <w:rFonts w:ascii="宋体" w:hAnsi="宋体" w:hint="eastAsia"/>
          <w:szCs w:val="21"/>
        </w:rPr>
        <w:t>中心，由4名</w:t>
      </w:r>
      <w:r>
        <w:rPr>
          <w:rFonts w:ascii="宋体" w:hAnsi="宋体"/>
          <w:szCs w:val="21"/>
        </w:rPr>
        <w:t>专职</w:t>
      </w:r>
      <w:r>
        <w:rPr>
          <w:rFonts w:ascii="宋体" w:hAnsi="宋体" w:hint="eastAsia"/>
          <w:szCs w:val="21"/>
        </w:rPr>
        <w:t>实验</w:t>
      </w:r>
      <w:r>
        <w:rPr>
          <w:rFonts w:ascii="宋体" w:hAnsi="宋体"/>
          <w:szCs w:val="21"/>
        </w:rPr>
        <w:t>人员负责管理，</w:t>
      </w:r>
      <w:r>
        <w:rPr>
          <w:rFonts w:ascii="宋体" w:hAnsi="宋体" w:hint="eastAsia"/>
          <w:szCs w:val="21"/>
        </w:rPr>
        <w:t>并配备满足开设实验课程的各种仪器设备。</w:t>
      </w:r>
    </w:p>
    <w:p w14:paraId="563CBBBA" w14:textId="77777777" w:rsidR="00F5289E" w:rsidRDefault="00C91173">
      <w:pPr>
        <w:pStyle w:val="a9"/>
        <w:spacing w:beforeLines="50" w:before="156" w:afterLines="50" w:after="156"/>
        <w:rPr>
          <w:b/>
          <w:bCs/>
        </w:rPr>
      </w:pPr>
      <w:bookmarkStart w:id="123" w:name="_Toc137560088"/>
      <w:r>
        <w:rPr>
          <w:rFonts w:hint="eastAsia"/>
          <w:b/>
          <w:bCs/>
        </w:rPr>
        <w:t>九、教学考核评价</w:t>
      </w:r>
      <w:bookmarkEnd w:id="123"/>
    </w:p>
    <w:p w14:paraId="72FABD50"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1.</w:t>
      </w:r>
      <w:r>
        <w:rPr>
          <w:rFonts w:hAnsi="宋体" w:hint="eastAsia"/>
          <w:b/>
          <w:bCs/>
          <w:kern w:val="0"/>
          <w:szCs w:val="21"/>
        </w:rPr>
        <w:t>过程性评价：</w:t>
      </w:r>
      <w:r>
        <w:rPr>
          <w:rFonts w:ascii="宋体" w:hAnsi="宋体" w:hint="eastAsia"/>
          <w:szCs w:val="21"/>
        </w:rPr>
        <w:t>本门</w:t>
      </w:r>
      <w:r>
        <w:rPr>
          <w:rFonts w:ascii="宋体" w:hAnsi="宋体"/>
          <w:szCs w:val="21"/>
        </w:rPr>
        <w:t>课程的</w:t>
      </w:r>
      <w:r>
        <w:rPr>
          <w:rFonts w:ascii="宋体" w:hAnsi="宋体" w:hint="eastAsia"/>
          <w:szCs w:val="21"/>
        </w:rPr>
        <w:t>考核评价不仅</w:t>
      </w:r>
      <w:r>
        <w:rPr>
          <w:rFonts w:ascii="宋体" w:hAnsi="宋体"/>
          <w:szCs w:val="21"/>
        </w:rPr>
        <w:t>反映课程教学最终结果，还力求反映教学的</w:t>
      </w:r>
      <w:r>
        <w:rPr>
          <w:rFonts w:ascii="宋体" w:hAnsi="宋体" w:hint="eastAsia"/>
          <w:szCs w:val="21"/>
        </w:rPr>
        <w:t>过程</w:t>
      </w:r>
      <w:r>
        <w:rPr>
          <w:rFonts w:ascii="宋体" w:hAnsi="宋体"/>
          <w:szCs w:val="21"/>
        </w:rPr>
        <w:t>。</w:t>
      </w:r>
      <w:r>
        <w:rPr>
          <w:rFonts w:ascii="宋体" w:hAnsi="宋体" w:hint="eastAsia"/>
          <w:szCs w:val="21"/>
        </w:rPr>
        <w:t>由课堂互动、课堂提问</w:t>
      </w:r>
      <w:r>
        <w:rPr>
          <w:rFonts w:ascii="宋体" w:hAnsi="宋体"/>
          <w:szCs w:val="21"/>
        </w:rPr>
        <w:t>、</w:t>
      </w:r>
      <w:r>
        <w:rPr>
          <w:rFonts w:ascii="宋体" w:hAnsi="宋体" w:hint="eastAsia"/>
          <w:szCs w:val="21"/>
        </w:rPr>
        <w:t>课后作业、</w:t>
      </w:r>
      <w:r>
        <w:rPr>
          <w:rFonts w:ascii="宋体" w:hAnsi="宋体"/>
          <w:szCs w:val="21"/>
        </w:rPr>
        <w:t>阶段性测试、</w:t>
      </w:r>
      <w:r>
        <w:rPr>
          <w:rFonts w:ascii="宋体" w:hAnsi="宋体" w:hint="eastAsia"/>
          <w:szCs w:val="21"/>
        </w:rPr>
        <w:t>实验报告、</w:t>
      </w:r>
      <w:r>
        <w:rPr>
          <w:rFonts w:ascii="宋体" w:hAnsi="宋体"/>
          <w:szCs w:val="21"/>
        </w:rPr>
        <w:t>期中</w:t>
      </w:r>
      <w:r>
        <w:rPr>
          <w:rFonts w:ascii="宋体" w:hAnsi="宋体" w:hint="eastAsia"/>
          <w:szCs w:val="21"/>
        </w:rPr>
        <w:t>考试等多种方式组成，共同对</w:t>
      </w:r>
      <w:r>
        <w:rPr>
          <w:rFonts w:ascii="宋体" w:hAnsi="宋体" w:hint="eastAsia"/>
        </w:rPr>
        <w:t>教学目标、教学内容、教学组织进行</w:t>
      </w:r>
      <w:r>
        <w:rPr>
          <w:rFonts w:ascii="宋体" w:hAnsi="宋体" w:hint="eastAsia"/>
          <w:szCs w:val="21"/>
        </w:rPr>
        <w:t>考核评价。</w:t>
      </w:r>
    </w:p>
    <w:p w14:paraId="183D91BD"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2.</w:t>
      </w:r>
      <w:r>
        <w:rPr>
          <w:rFonts w:hAnsi="宋体" w:hint="eastAsia"/>
          <w:b/>
          <w:bCs/>
          <w:kern w:val="0"/>
          <w:szCs w:val="21"/>
        </w:rPr>
        <w:t>终结性评价：</w:t>
      </w:r>
      <w:r>
        <w:rPr>
          <w:rFonts w:hAnsi="宋体" w:hint="eastAsia"/>
          <w:kern w:val="0"/>
          <w:szCs w:val="21"/>
        </w:rPr>
        <w:t>实验报告成绩及阶段性测评占</w:t>
      </w:r>
      <w:r>
        <w:rPr>
          <w:rFonts w:hAnsi="宋体" w:hint="eastAsia"/>
          <w:kern w:val="0"/>
          <w:szCs w:val="21"/>
        </w:rPr>
        <w:t>40%</w:t>
      </w:r>
      <w:r>
        <w:rPr>
          <w:rFonts w:hAnsi="宋体" w:hint="eastAsia"/>
          <w:kern w:val="0"/>
          <w:szCs w:val="21"/>
        </w:rPr>
        <w:t>，期末考试成绩占</w:t>
      </w:r>
      <w:r>
        <w:rPr>
          <w:rFonts w:hAnsi="宋体" w:hint="eastAsia"/>
          <w:kern w:val="0"/>
          <w:szCs w:val="21"/>
        </w:rPr>
        <w:t>60%</w:t>
      </w:r>
      <w:r>
        <w:rPr>
          <w:rFonts w:hAnsi="宋体" w:hint="eastAsia"/>
          <w:kern w:val="0"/>
          <w:szCs w:val="21"/>
        </w:rPr>
        <w:t>。</w:t>
      </w:r>
    </w:p>
    <w:p w14:paraId="0D0CB3E3" w14:textId="77777777" w:rsidR="00F5289E" w:rsidRDefault="00C91173">
      <w:pPr>
        <w:widowControl/>
        <w:snapToGrid w:val="0"/>
        <w:spacing w:line="360" w:lineRule="auto"/>
        <w:ind w:firstLineChars="200" w:firstLine="422"/>
        <w:rPr>
          <w:rFonts w:ascii="宋体" w:hAnsi="宋体"/>
        </w:rPr>
      </w:pPr>
      <w:r>
        <w:rPr>
          <w:rFonts w:hAnsi="宋体" w:hint="eastAsia"/>
          <w:b/>
          <w:bCs/>
          <w:kern w:val="0"/>
          <w:szCs w:val="21"/>
        </w:rPr>
        <w:t>3.</w:t>
      </w:r>
      <w:r>
        <w:rPr>
          <w:rFonts w:hAnsi="宋体" w:hint="eastAsia"/>
          <w:b/>
          <w:bCs/>
          <w:kern w:val="0"/>
          <w:szCs w:val="21"/>
        </w:rPr>
        <w:t>课程综合评价：</w:t>
      </w:r>
      <w:r>
        <w:rPr>
          <w:rFonts w:ascii="宋体" w:hAnsi="宋体"/>
        </w:rPr>
        <w:t>期末考评为</w:t>
      </w:r>
      <w:r>
        <w:rPr>
          <w:rFonts w:ascii="宋体" w:hAnsi="宋体" w:hint="eastAsia"/>
        </w:rPr>
        <w:t>闭卷考试</w:t>
      </w:r>
      <w:r>
        <w:rPr>
          <w:rFonts w:ascii="宋体" w:hAnsi="宋体"/>
        </w:rPr>
        <w:t>，阶段性</w:t>
      </w:r>
      <w:r>
        <w:rPr>
          <w:rFonts w:ascii="宋体" w:hAnsi="宋体" w:hint="eastAsia"/>
        </w:rPr>
        <w:t>测评</w:t>
      </w:r>
      <w:r>
        <w:rPr>
          <w:rFonts w:ascii="宋体" w:hAnsi="宋体"/>
        </w:rPr>
        <w:t>为开卷考试</w:t>
      </w:r>
      <w:r>
        <w:rPr>
          <w:rFonts w:ascii="宋体" w:hAnsi="宋体" w:hint="eastAsia"/>
        </w:rPr>
        <w:t>；</w:t>
      </w:r>
      <w:r>
        <w:rPr>
          <w:rFonts w:ascii="宋体" w:hAnsi="宋体" w:hint="eastAsia"/>
          <w:szCs w:val="21"/>
        </w:rPr>
        <w:t>总成绩计算办法</w:t>
      </w:r>
      <w:r>
        <w:rPr>
          <w:rFonts w:ascii="宋体" w:hAnsi="宋体" w:hint="eastAsia"/>
        </w:rPr>
        <w:t>：期末试卷成绩</w:t>
      </w:r>
      <w:r>
        <w:rPr>
          <w:rFonts w:ascii="宋体" w:hAnsi="宋体"/>
        </w:rPr>
        <w:t>6</w:t>
      </w:r>
      <w:r>
        <w:rPr>
          <w:rFonts w:ascii="宋体" w:hAnsi="宋体" w:hint="eastAsia"/>
        </w:rPr>
        <w:t>0%，平时成绩40%。通过考核让学生充分掌握本课程知识点。</w:t>
      </w:r>
    </w:p>
    <w:p w14:paraId="3B5DD618" w14:textId="77777777" w:rsidR="00F5289E" w:rsidRDefault="00C91173">
      <w:pPr>
        <w:widowControl/>
        <w:jc w:val="left"/>
        <w:rPr>
          <w:b/>
          <w:sz w:val="28"/>
          <w:szCs w:val="28"/>
        </w:rPr>
      </w:pPr>
      <w:r>
        <w:rPr>
          <w:b/>
          <w:sz w:val="28"/>
          <w:szCs w:val="28"/>
        </w:rPr>
        <w:br w:type="page"/>
      </w:r>
    </w:p>
    <w:p w14:paraId="19EB2D43" w14:textId="77777777" w:rsidR="00F5289E" w:rsidRDefault="00C91173">
      <w:pPr>
        <w:pStyle w:val="1"/>
      </w:pPr>
      <w:bookmarkStart w:id="124" w:name="_Toc489359105"/>
      <w:bookmarkStart w:id="125" w:name="_Toc138606259"/>
      <w:r>
        <w:rPr>
          <w:rFonts w:hint="eastAsia"/>
        </w:rPr>
        <w:lastRenderedPageBreak/>
        <w:t>园艺植物组织培养</w:t>
      </w:r>
      <w:bookmarkEnd w:id="124"/>
      <w:bookmarkEnd w:id="125"/>
    </w:p>
    <w:p w14:paraId="6E34354F" w14:textId="77777777" w:rsidR="00F5289E" w:rsidRPr="001B3040" w:rsidRDefault="00C91173">
      <w:pPr>
        <w:snapToGrid w:val="0"/>
        <w:spacing w:line="360" w:lineRule="auto"/>
        <w:jc w:val="center"/>
        <w:rPr>
          <w:rFonts w:hAnsi="宋体"/>
          <w:sz w:val="24"/>
        </w:rPr>
      </w:pPr>
      <w:r w:rsidRPr="001B3040">
        <w:rPr>
          <w:rFonts w:hAnsi="宋体" w:hint="eastAsia"/>
          <w:sz w:val="24"/>
        </w:rPr>
        <w:t>（</w:t>
      </w:r>
      <w:r w:rsidRPr="001B3040">
        <w:rPr>
          <w:sz w:val="24"/>
        </w:rPr>
        <w:t>Horticultural Plant Tissue Culture</w:t>
      </w:r>
      <w:r w:rsidRPr="001B3040">
        <w:rPr>
          <w:rFonts w:hAnsi="宋体" w:hint="eastAsia"/>
          <w:sz w:val="24"/>
        </w:rPr>
        <w:t>）</w:t>
      </w:r>
    </w:p>
    <w:p w14:paraId="63EE0CF6" w14:textId="77777777" w:rsidR="00F5289E" w:rsidRDefault="00F5289E">
      <w:pPr>
        <w:snapToGrid w:val="0"/>
        <w:spacing w:line="360" w:lineRule="auto"/>
        <w:jc w:val="center"/>
        <w:rPr>
          <w:b/>
          <w:szCs w:val="21"/>
        </w:rPr>
      </w:pPr>
    </w:p>
    <w:p w14:paraId="3E741D8C"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CA668E3" w14:textId="77777777">
        <w:tc>
          <w:tcPr>
            <w:tcW w:w="1666" w:type="pct"/>
          </w:tcPr>
          <w:p w14:paraId="079E5815"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eastAsiaTheme="minorEastAsia"/>
                <w:szCs w:val="21"/>
              </w:rPr>
              <w:t>19011052</w:t>
            </w:r>
          </w:p>
        </w:tc>
        <w:tc>
          <w:tcPr>
            <w:tcW w:w="1453" w:type="pct"/>
          </w:tcPr>
          <w:p w14:paraId="60A5D766"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1B3040">
              <w:rPr>
                <w:rFonts w:ascii="宋体" w:hAnsi="宋体" w:hint="eastAsia"/>
                <w:szCs w:val="21"/>
              </w:rPr>
              <w:t>32</w:t>
            </w:r>
          </w:p>
        </w:tc>
        <w:tc>
          <w:tcPr>
            <w:tcW w:w="1881" w:type="pct"/>
          </w:tcPr>
          <w:p w14:paraId="55453F9E" w14:textId="5DA860A8" w:rsidR="00F5289E" w:rsidRDefault="00C91173">
            <w:pPr>
              <w:spacing w:line="300" w:lineRule="auto"/>
              <w:rPr>
                <w:rFonts w:ascii="宋体" w:hAnsi="宋体"/>
                <w:b/>
                <w:bCs/>
                <w:szCs w:val="21"/>
              </w:rPr>
            </w:pPr>
            <w:r>
              <w:rPr>
                <w:rFonts w:ascii="宋体" w:hAnsi="宋体" w:hint="eastAsia"/>
                <w:b/>
                <w:bCs/>
                <w:szCs w:val="21"/>
              </w:rPr>
              <w:t>实验学时：</w:t>
            </w:r>
            <w:r w:rsidRPr="001B3040">
              <w:rPr>
                <w:rFonts w:ascii="宋体" w:hAnsi="宋体" w:hint="eastAsia"/>
                <w:szCs w:val="21"/>
              </w:rPr>
              <w:t>16</w:t>
            </w:r>
          </w:p>
        </w:tc>
      </w:tr>
      <w:tr w:rsidR="00F5289E" w14:paraId="5FC350BA" w14:textId="77777777">
        <w:tc>
          <w:tcPr>
            <w:tcW w:w="1666" w:type="pct"/>
          </w:tcPr>
          <w:p w14:paraId="7712BA28" w14:textId="77777777" w:rsidR="00F5289E" w:rsidRDefault="00C91173">
            <w:pPr>
              <w:spacing w:line="300" w:lineRule="auto"/>
              <w:rPr>
                <w:rFonts w:ascii="宋体" w:hAnsi="宋体"/>
                <w:b/>
                <w:bCs/>
                <w:szCs w:val="21"/>
              </w:rPr>
            </w:pPr>
            <w:r>
              <w:rPr>
                <w:rFonts w:ascii="宋体" w:hAnsi="宋体" w:hint="eastAsia"/>
                <w:b/>
                <w:bCs/>
                <w:szCs w:val="21"/>
              </w:rPr>
              <w:t>课程性质：</w:t>
            </w:r>
            <w:r w:rsidRPr="001B3040">
              <w:rPr>
                <w:rFonts w:eastAsiaTheme="minorEastAsia" w:hAnsiTheme="minorEastAsia"/>
                <w:szCs w:val="21"/>
              </w:rPr>
              <w:t>选修</w:t>
            </w:r>
          </w:p>
        </w:tc>
        <w:tc>
          <w:tcPr>
            <w:tcW w:w="1453" w:type="pct"/>
          </w:tcPr>
          <w:p w14:paraId="247C8DBD" w14:textId="77777777" w:rsidR="00F5289E" w:rsidRDefault="00C91173">
            <w:pPr>
              <w:spacing w:line="300" w:lineRule="auto"/>
              <w:rPr>
                <w:rFonts w:ascii="宋体" w:hAnsi="宋体"/>
                <w:b/>
                <w:bCs/>
                <w:szCs w:val="21"/>
              </w:rPr>
            </w:pPr>
            <w:r>
              <w:rPr>
                <w:rFonts w:ascii="宋体" w:hAnsi="宋体" w:hint="eastAsia"/>
                <w:b/>
                <w:szCs w:val="21"/>
              </w:rPr>
              <w:t>课程属性:</w:t>
            </w:r>
            <w:r>
              <w:rPr>
                <w:rFonts w:eastAsiaTheme="minorEastAsia" w:hAnsiTheme="minorEastAsia"/>
                <w:b/>
                <w:bCs/>
                <w:szCs w:val="21"/>
              </w:rPr>
              <w:t xml:space="preserve"> </w:t>
            </w:r>
            <w:r w:rsidRPr="001B3040">
              <w:rPr>
                <w:rFonts w:eastAsiaTheme="minorEastAsia" w:hAnsiTheme="minorEastAsia"/>
                <w:szCs w:val="21"/>
              </w:rPr>
              <w:t>专业类</w:t>
            </w:r>
          </w:p>
        </w:tc>
        <w:tc>
          <w:tcPr>
            <w:tcW w:w="1881" w:type="pct"/>
          </w:tcPr>
          <w:p w14:paraId="59565337" w14:textId="77777777" w:rsidR="00F5289E" w:rsidRDefault="00C91173">
            <w:pPr>
              <w:spacing w:line="30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第</w:t>
            </w:r>
            <w:r w:rsidRPr="001B3040">
              <w:rPr>
                <w:rFonts w:ascii="宋体" w:hAnsi="宋体" w:hint="eastAsia"/>
                <w:color w:val="000000" w:themeColor="text1"/>
                <w:szCs w:val="21"/>
              </w:rPr>
              <w:t>5、7</w:t>
            </w:r>
            <w:r w:rsidRPr="001B3040">
              <w:rPr>
                <w:rFonts w:ascii="宋体" w:hAnsi="宋体" w:hint="eastAsia"/>
                <w:szCs w:val="21"/>
              </w:rPr>
              <w:t>学期</w:t>
            </w:r>
          </w:p>
        </w:tc>
      </w:tr>
      <w:tr w:rsidR="00F5289E" w14:paraId="006A2756" w14:textId="77777777">
        <w:tc>
          <w:tcPr>
            <w:tcW w:w="1666" w:type="pct"/>
          </w:tcPr>
          <w:p w14:paraId="62FCD10D"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1B3040">
              <w:rPr>
                <w:rFonts w:eastAsiaTheme="minorEastAsia" w:hAnsiTheme="minorEastAsia"/>
                <w:szCs w:val="21"/>
              </w:rPr>
              <w:t>胡建斌</w:t>
            </w:r>
          </w:p>
        </w:tc>
        <w:tc>
          <w:tcPr>
            <w:tcW w:w="1453" w:type="pct"/>
          </w:tcPr>
          <w:p w14:paraId="17ECC5A1" w14:textId="77777777" w:rsidR="00F5289E" w:rsidRDefault="00C91173">
            <w:pPr>
              <w:spacing w:line="300" w:lineRule="auto"/>
              <w:rPr>
                <w:rFonts w:ascii="宋体" w:hAnsi="宋体"/>
                <w:b/>
                <w:bCs/>
                <w:szCs w:val="21"/>
              </w:rPr>
            </w:pPr>
            <w:r>
              <w:rPr>
                <w:rFonts w:ascii="宋体" w:hAnsi="宋体" w:hint="eastAsia"/>
                <w:b/>
                <w:bCs/>
                <w:szCs w:val="21"/>
              </w:rPr>
              <w:t>课程团队：</w:t>
            </w:r>
            <w:r w:rsidRPr="001B3040">
              <w:rPr>
                <w:rFonts w:ascii="宋体" w:hAnsi="宋体" w:hint="eastAsia"/>
                <w:szCs w:val="21"/>
              </w:rPr>
              <w:t>胡建斌、</w:t>
            </w:r>
            <w:r w:rsidRPr="001B3040">
              <w:rPr>
                <w:rFonts w:eastAsiaTheme="minorEastAsia" w:hAnsiTheme="minorEastAsia" w:hint="eastAsia"/>
                <w:szCs w:val="21"/>
              </w:rPr>
              <w:t>侯娟、孙凯乐、豆峻岭</w:t>
            </w:r>
          </w:p>
        </w:tc>
        <w:tc>
          <w:tcPr>
            <w:tcW w:w="1881" w:type="pct"/>
          </w:tcPr>
          <w:p w14:paraId="71666629" w14:textId="77777777" w:rsidR="00F5289E" w:rsidRDefault="00C91173">
            <w:pPr>
              <w:spacing w:line="300" w:lineRule="auto"/>
              <w:rPr>
                <w:rFonts w:ascii="宋体" w:hAnsi="宋体"/>
                <w:b/>
                <w:bCs/>
                <w:szCs w:val="21"/>
              </w:rPr>
            </w:pPr>
            <w:r>
              <w:rPr>
                <w:rFonts w:ascii="宋体" w:hAnsi="宋体" w:hint="eastAsia"/>
                <w:b/>
                <w:bCs/>
                <w:szCs w:val="21"/>
              </w:rPr>
              <w:t>授课语言：</w:t>
            </w:r>
            <w:r w:rsidRPr="001B3040">
              <w:rPr>
                <w:rFonts w:ascii="宋体" w:hAnsi="宋体" w:hint="eastAsia"/>
                <w:szCs w:val="21"/>
              </w:rPr>
              <w:t>中文</w:t>
            </w:r>
          </w:p>
        </w:tc>
      </w:tr>
      <w:tr w:rsidR="00F5289E" w14:paraId="0C6DEF6A" w14:textId="77777777">
        <w:tc>
          <w:tcPr>
            <w:tcW w:w="5000" w:type="pct"/>
            <w:gridSpan w:val="3"/>
          </w:tcPr>
          <w:p w14:paraId="0373CC36" w14:textId="77777777" w:rsidR="00F5289E" w:rsidRPr="001B3040" w:rsidRDefault="00C91173">
            <w:pPr>
              <w:spacing w:line="300" w:lineRule="auto"/>
              <w:ind w:rightChars="-81" w:right="-170"/>
              <w:rPr>
                <w:rFonts w:ascii="宋体" w:hAnsi="宋体"/>
                <w:color w:val="0000FF"/>
                <w:szCs w:val="21"/>
              </w:rPr>
            </w:pPr>
            <w:r w:rsidRPr="001B3040">
              <w:rPr>
                <w:rFonts w:ascii="宋体" w:hAnsi="宋体" w:hint="eastAsia"/>
                <w:b/>
                <w:bCs/>
                <w:szCs w:val="21"/>
              </w:rPr>
              <w:t>适用专业：</w:t>
            </w:r>
            <w:r w:rsidRPr="001B3040">
              <w:rPr>
                <w:rFonts w:eastAsiaTheme="minorEastAsia" w:hAnsiTheme="minorEastAsia"/>
                <w:szCs w:val="21"/>
              </w:rPr>
              <w:t>园艺</w:t>
            </w:r>
            <w:r w:rsidRPr="001B3040">
              <w:rPr>
                <w:rFonts w:eastAsiaTheme="minorEastAsia" w:hAnsiTheme="minorEastAsia" w:hint="eastAsia"/>
                <w:kern w:val="0"/>
                <w:szCs w:val="21"/>
              </w:rPr>
              <w:t>、</w:t>
            </w:r>
            <w:r w:rsidRPr="001B3040">
              <w:rPr>
                <w:rFonts w:eastAsiaTheme="minorEastAsia" w:hAnsiTheme="minorEastAsia"/>
                <w:kern w:val="0"/>
                <w:szCs w:val="21"/>
              </w:rPr>
              <w:t>茶学</w:t>
            </w:r>
            <w:r w:rsidRPr="001B3040">
              <w:rPr>
                <w:rFonts w:eastAsiaTheme="minorEastAsia" w:hAnsiTheme="minorEastAsia" w:hint="eastAsia"/>
                <w:kern w:val="0"/>
                <w:szCs w:val="21"/>
              </w:rPr>
              <w:t>、</w:t>
            </w:r>
            <w:r w:rsidRPr="001B3040">
              <w:rPr>
                <w:rFonts w:eastAsiaTheme="minorEastAsia" w:hAnsiTheme="minorEastAsia"/>
                <w:kern w:val="0"/>
                <w:szCs w:val="21"/>
              </w:rPr>
              <w:t>设施农业</w:t>
            </w:r>
            <w:r w:rsidRPr="001B3040">
              <w:rPr>
                <w:rFonts w:eastAsiaTheme="minorEastAsia" w:hAnsiTheme="minorEastAsia" w:hint="eastAsia"/>
                <w:kern w:val="0"/>
                <w:szCs w:val="21"/>
              </w:rPr>
              <w:t>科学</w:t>
            </w:r>
            <w:r w:rsidRPr="001B3040">
              <w:rPr>
                <w:rFonts w:eastAsiaTheme="minorEastAsia" w:hAnsiTheme="minorEastAsia"/>
                <w:kern w:val="0"/>
                <w:szCs w:val="21"/>
              </w:rPr>
              <w:t>与工程</w:t>
            </w:r>
          </w:p>
        </w:tc>
      </w:tr>
      <w:tr w:rsidR="00F5289E" w14:paraId="70E4AEBD" w14:textId="77777777">
        <w:tc>
          <w:tcPr>
            <w:tcW w:w="5000" w:type="pct"/>
            <w:gridSpan w:val="3"/>
          </w:tcPr>
          <w:p w14:paraId="70867288"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对先修的要求：</w:t>
            </w:r>
            <w:r w:rsidRPr="001B3040">
              <w:rPr>
                <w:rFonts w:ascii="宋体" w:hAnsi="宋体" w:hint="eastAsia"/>
                <w:color w:val="000000" w:themeColor="text1"/>
                <w:szCs w:val="21"/>
              </w:rPr>
              <w:t>要求学生掌握</w:t>
            </w:r>
            <w:r w:rsidRPr="001B3040">
              <w:rPr>
                <w:rFonts w:eastAsiaTheme="minorEastAsia" w:hAnsiTheme="minorEastAsia"/>
                <w:color w:val="000000" w:themeColor="text1"/>
                <w:szCs w:val="21"/>
              </w:rPr>
              <w:t>植物生理学</w:t>
            </w:r>
            <w:r w:rsidRPr="001B3040">
              <w:rPr>
                <w:rFonts w:eastAsiaTheme="minorEastAsia" w:hAnsiTheme="minorEastAsia" w:hint="eastAsia"/>
                <w:color w:val="000000" w:themeColor="text1"/>
                <w:szCs w:val="21"/>
              </w:rPr>
              <w:t>、</w:t>
            </w:r>
            <w:r w:rsidRPr="001B3040">
              <w:rPr>
                <w:rFonts w:eastAsiaTheme="minorEastAsia" w:hAnsiTheme="minorEastAsia"/>
                <w:color w:val="000000" w:themeColor="text1"/>
                <w:szCs w:val="21"/>
              </w:rPr>
              <w:t>植物细胞学</w:t>
            </w:r>
            <w:r w:rsidRPr="001B3040">
              <w:rPr>
                <w:rFonts w:eastAsiaTheme="minorEastAsia" w:hAnsiTheme="minorEastAsia" w:hint="eastAsia"/>
                <w:color w:val="000000" w:themeColor="text1"/>
                <w:szCs w:val="21"/>
              </w:rPr>
              <w:t>、</w:t>
            </w:r>
            <w:r w:rsidRPr="001B3040">
              <w:rPr>
                <w:rFonts w:eastAsiaTheme="minorEastAsia" w:hAnsiTheme="minorEastAsia"/>
                <w:color w:val="000000" w:themeColor="text1"/>
                <w:szCs w:val="21"/>
              </w:rPr>
              <w:t>园艺植物遗传学</w:t>
            </w:r>
            <w:r w:rsidRPr="001B3040">
              <w:rPr>
                <w:rFonts w:eastAsiaTheme="minorEastAsia" w:hAnsiTheme="minorEastAsia" w:hint="eastAsia"/>
                <w:color w:val="000000" w:themeColor="text1"/>
                <w:szCs w:val="21"/>
              </w:rPr>
              <w:t>等</w:t>
            </w:r>
            <w:r w:rsidRPr="001B3040">
              <w:rPr>
                <w:rFonts w:eastAsiaTheme="minorEastAsia" w:hAnsiTheme="minorEastAsia"/>
                <w:color w:val="000000" w:themeColor="text1"/>
                <w:szCs w:val="21"/>
              </w:rPr>
              <w:t>课程的</w:t>
            </w:r>
            <w:r w:rsidRPr="001B3040">
              <w:rPr>
                <w:rFonts w:eastAsiaTheme="minorEastAsia" w:hAnsiTheme="minorEastAsia" w:hint="eastAsia"/>
                <w:color w:val="000000" w:themeColor="text1"/>
                <w:szCs w:val="21"/>
              </w:rPr>
              <w:t>基础知识，拥有基本的查阅资料能力，具备细胞学发育方面</w:t>
            </w:r>
            <w:r w:rsidRPr="001B3040">
              <w:rPr>
                <w:rFonts w:eastAsiaTheme="minorEastAsia" w:hAnsiTheme="minorEastAsia"/>
                <w:color w:val="000000" w:themeColor="text1"/>
                <w:szCs w:val="21"/>
              </w:rPr>
              <w:t>的</w:t>
            </w:r>
            <w:r w:rsidRPr="001B3040">
              <w:rPr>
                <w:rFonts w:eastAsiaTheme="minorEastAsia" w:hAnsiTheme="minorEastAsia" w:hint="eastAsia"/>
                <w:color w:val="000000" w:themeColor="text1"/>
                <w:szCs w:val="21"/>
              </w:rPr>
              <w:t>基础知识</w:t>
            </w:r>
            <w:r>
              <w:rPr>
                <w:rFonts w:eastAsiaTheme="minorEastAsia" w:hAnsiTheme="minorEastAsia" w:hint="eastAsia"/>
                <w:b/>
                <w:bCs/>
                <w:color w:val="000000" w:themeColor="text1"/>
                <w:szCs w:val="21"/>
              </w:rPr>
              <w:t>。</w:t>
            </w:r>
          </w:p>
        </w:tc>
      </w:tr>
      <w:tr w:rsidR="00F5289E" w14:paraId="65BB53E4" w14:textId="77777777">
        <w:tc>
          <w:tcPr>
            <w:tcW w:w="5000" w:type="pct"/>
            <w:gridSpan w:val="3"/>
          </w:tcPr>
          <w:p w14:paraId="10108B43"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对后续的支撑：</w:t>
            </w:r>
            <w:r w:rsidRPr="001B3040">
              <w:rPr>
                <w:rFonts w:ascii="宋体" w:hAnsi="宋体" w:hint="eastAsia"/>
                <w:color w:val="000000" w:themeColor="text1"/>
                <w:szCs w:val="21"/>
              </w:rPr>
              <w:t>本门</w:t>
            </w:r>
            <w:r w:rsidRPr="001B3040">
              <w:rPr>
                <w:rFonts w:ascii="宋体" w:hAnsi="宋体"/>
                <w:color w:val="000000" w:themeColor="text1"/>
                <w:szCs w:val="21"/>
              </w:rPr>
              <w:t>课程是生物技术类</w:t>
            </w:r>
            <w:r w:rsidRPr="001B3040">
              <w:rPr>
                <w:rFonts w:ascii="宋体" w:hAnsi="宋体" w:hint="eastAsia"/>
                <w:color w:val="000000" w:themeColor="text1"/>
                <w:szCs w:val="21"/>
              </w:rPr>
              <w:t>课程</w:t>
            </w:r>
            <w:r w:rsidRPr="001B3040">
              <w:rPr>
                <w:rFonts w:ascii="宋体" w:hAnsi="宋体"/>
                <w:color w:val="000000" w:themeColor="text1"/>
                <w:szCs w:val="21"/>
              </w:rPr>
              <w:t>的先导课程，</w:t>
            </w:r>
            <w:r w:rsidRPr="001B3040">
              <w:rPr>
                <w:rFonts w:eastAsiaTheme="minorEastAsia" w:hAnsiTheme="minorEastAsia" w:hint="eastAsia"/>
                <w:color w:val="000000" w:themeColor="text1"/>
                <w:kern w:val="0"/>
                <w:szCs w:val="21"/>
              </w:rPr>
              <w:t>要求学生掌握植物组织培养的基本理论和操作技能，培养学生形态</w:t>
            </w:r>
            <w:r w:rsidRPr="001B3040">
              <w:rPr>
                <w:rFonts w:eastAsiaTheme="minorEastAsia" w:hAnsiTheme="minorEastAsia"/>
                <w:color w:val="000000" w:themeColor="text1"/>
                <w:kern w:val="0"/>
                <w:szCs w:val="21"/>
              </w:rPr>
              <w:t>发生诱导、</w:t>
            </w:r>
            <w:r w:rsidRPr="001B3040">
              <w:rPr>
                <w:rFonts w:eastAsiaTheme="minorEastAsia" w:hAnsiTheme="minorEastAsia" w:hint="eastAsia"/>
                <w:color w:val="000000" w:themeColor="text1"/>
                <w:kern w:val="0"/>
                <w:szCs w:val="21"/>
              </w:rPr>
              <w:t>脱毒与离体快繁、倍性操作等基本技能，为园艺植物生物技术、园艺植物育种学、园艺产品采后处理等</w:t>
            </w:r>
            <w:r w:rsidRPr="001B3040">
              <w:rPr>
                <w:rFonts w:eastAsiaTheme="minorEastAsia" w:hAnsiTheme="minorEastAsia"/>
                <w:color w:val="000000" w:themeColor="text1"/>
                <w:kern w:val="0"/>
                <w:szCs w:val="21"/>
              </w:rPr>
              <w:t>课程</w:t>
            </w:r>
            <w:r w:rsidRPr="001B3040">
              <w:rPr>
                <w:rFonts w:eastAsiaTheme="minorEastAsia" w:hAnsiTheme="minorEastAsia" w:hint="eastAsia"/>
                <w:color w:val="000000" w:themeColor="text1"/>
                <w:kern w:val="0"/>
                <w:szCs w:val="21"/>
              </w:rPr>
              <w:t>的学习奠定基础。</w:t>
            </w:r>
          </w:p>
        </w:tc>
      </w:tr>
      <w:tr w:rsidR="00F5289E" w14:paraId="17CC29FB" w14:textId="77777777">
        <w:tc>
          <w:tcPr>
            <w:tcW w:w="1666" w:type="pct"/>
          </w:tcPr>
          <w:p w14:paraId="5E8E47C4"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eastAsiaTheme="minorEastAsia" w:hAnsiTheme="minorEastAsia" w:hint="eastAsia"/>
                <w:szCs w:val="21"/>
              </w:rPr>
              <w:t>孙凯乐</w:t>
            </w:r>
            <w:r w:rsidRPr="001B3040">
              <w:rPr>
                <w:rFonts w:ascii="宋体" w:hAnsi="宋体" w:hint="eastAsia"/>
                <w:szCs w:val="21"/>
              </w:rPr>
              <w:t>、</w:t>
            </w:r>
            <w:r w:rsidRPr="001B3040">
              <w:rPr>
                <w:rFonts w:eastAsiaTheme="minorEastAsia" w:hAnsiTheme="minorEastAsia" w:hint="eastAsia"/>
                <w:szCs w:val="21"/>
              </w:rPr>
              <w:t>侯娟、豆峻岭</w:t>
            </w:r>
          </w:p>
        </w:tc>
        <w:tc>
          <w:tcPr>
            <w:tcW w:w="1453" w:type="pct"/>
          </w:tcPr>
          <w:p w14:paraId="1364004C"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胡建斌</w:t>
            </w:r>
          </w:p>
        </w:tc>
        <w:tc>
          <w:tcPr>
            <w:tcW w:w="1881" w:type="pct"/>
          </w:tcPr>
          <w:p w14:paraId="7E6C3221"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001B3040">
              <w:rPr>
                <w:rFonts w:eastAsiaTheme="minorEastAsia"/>
                <w:color w:val="000000" w:themeColor="text1"/>
                <w:szCs w:val="21"/>
              </w:rPr>
              <w:t>2023.05</w:t>
            </w:r>
          </w:p>
        </w:tc>
      </w:tr>
    </w:tbl>
    <w:p w14:paraId="0E733DC1" w14:textId="77777777" w:rsidR="00F5289E" w:rsidRDefault="00F5289E">
      <w:pPr>
        <w:widowControl/>
        <w:snapToGrid w:val="0"/>
        <w:spacing w:line="360" w:lineRule="auto"/>
        <w:jc w:val="left"/>
        <w:rPr>
          <w:rFonts w:hAnsi="宋体"/>
          <w:b/>
          <w:bCs/>
          <w:kern w:val="0"/>
          <w:szCs w:val="21"/>
        </w:rPr>
      </w:pPr>
    </w:p>
    <w:p w14:paraId="7614D819"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8B31FC2" w14:textId="77777777" w:rsidR="00F5289E" w:rsidRDefault="00C91173">
      <w:pPr>
        <w:snapToGrid w:val="0"/>
        <w:spacing w:line="360" w:lineRule="auto"/>
        <w:ind w:firstLineChars="197" w:firstLine="414"/>
        <w:rPr>
          <w:rFonts w:eastAsiaTheme="minorEastAsia" w:hAnsiTheme="minorEastAsia"/>
          <w:szCs w:val="21"/>
        </w:rPr>
      </w:pPr>
      <w:r>
        <w:rPr>
          <w:rFonts w:eastAsiaTheme="minorEastAsia" w:hAnsiTheme="minorEastAsia"/>
          <w:kern w:val="0"/>
          <w:szCs w:val="21"/>
        </w:rPr>
        <w:t>园艺</w:t>
      </w:r>
      <w:r>
        <w:rPr>
          <w:rFonts w:eastAsiaTheme="minorEastAsia" w:hAnsiTheme="minorEastAsia"/>
          <w:szCs w:val="21"/>
        </w:rPr>
        <w:t>植物组织培养是园艺、茶学、设施农业科学与工程专业的选修课。它是以植物生理学为基础发展起来的一项生物技术，是现代生物技术的重要组成部分之一。目前，植物组织培养技术已渗透到生物科学的各个领域，成为生物科学的重要研究技术和手段，现已广泛应用于农业、林业、工业和医药业，产生了巨大的经济效益、社会效益及生态效益，成为当代生物科学中生命力极强的一门学科。本课程的开设可进一步加强学生的综合素质和创新能力的培养，增强学生在植物生产中发现问题、分析问题和解决问题的能力，推动我国植物生物技术的研究与应用。</w:t>
      </w:r>
    </w:p>
    <w:p w14:paraId="2AD625E0" w14:textId="77777777" w:rsidR="00F5289E" w:rsidRDefault="00C91173">
      <w:pPr>
        <w:snapToGrid w:val="0"/>
        <w:spacing w:line="360" w:lineRule="auto"/>
        <w:ind w:firstLineChars="197" w:firstLine="414"/>
        <w:rPr>
          <w:rFonts w:eastAsiaTheme="minorEastAsia"/>
          <w:szCs w:val="21"/>
        </w:rPr>
      </w:pPr>
      <w:r>
        <w:rPr>
          <w:rFonts w:eastAsiaTheme="minorEastAsia" w:hAnsiTheme="minorEastAsia" w:hint="eastAsia"/>
          <w:color w:val="000000" w:themeColor="text1"/>
          <w:szCs w:val="21"/>
        </w:rPr>
        <w:t>本课程的教学理念就是以学生为本，一切为了学生的发展，采用“教</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学</w:t>
      </w:r>
      <w:r>
        <w:rPr>
          <w:rFonts w:eastAsiaTheme="minorEastAsia" w:hAnsiTheme="minorEastAsia" w:hint="eastAsia"/>
          <w:color w:val="000000" w:themeColor="text1"/>
          <w:szCs w:val="21"/>
        </w:rPr>
        <w:t>-</w:t>
      </w:r>
      <w:r>
        <w:rPr>
          <w:rFonts w:eastAsiaTheme="minorEastAsia" w:hAnsiTheme="minorEastAsia" w:hint="eastAsia"/>
          <w:color w:val="000000" w:themeColor="text1"/>
          <w:szCs w:val="21"/>
        </w:rPr>
        <w:t>做一体化”的教学方法。</w:t>
      </w:r>
      <w:r>
        <w:rPr>
          <w:rFonts w:eastAsiaTheme="minorEastAsia" w:hAnsiTheme="minorEastAsia"/>
          <w:szCs w:val="21"/>
        </w:rPr>
        <w:t>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p w14:paraId="7477D864" w14:textId="77777777" w:rsidR="00F5289E" w:rsidRDefault="00F5289E">
      <w:pPr>
        <w:spacing w:line="300" w:lineRule="auto"/>
        <w:ind w:rightChars="-81" w:right="-170"/>
        <w:rPr>
          <w:rFonts w:ascii="宋体" w:hAnsi="宋体"/>
          <w:bCs/>
          <w:color w:val="0000FF"/>
          <w:szCs w:val="21"/>
        </w:rPr>
      </w:pPr>
    </w:p>
    <w:p w14:paraId="34B56240"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2D86F6B6" w14:textId="77777777" w:rsidR="00F5289E" w:rsidRDefault="00C91173">
      <w:pPr>
        <w:widowControl/>
        <w:snapToGrid w:val="0"/>
        <w:spacing w:line="360" w:lineRule="auto"/>
        <w:ind w:firstLineChars="250" w:firstLine="525"/>
        <w:jc w:val="left"/>
        <w:rPr>
          <w:rFonts w:eastAsiaTheme="minorEastAsia"/>
          <w:b/>
          <w:bCs/>
          <w:strike/>
          <w:color w:val="0000FF"/>
          <w:kern w:val="0"/>
          <w:szCs w:val="21"/>
        </w:rPr>
      </w:pPr>
      <w:r>
        <w:rPr>
          <w:rFonts w:eastAsiaTheme="minorEastAsia"/>
          <w:kern w:val="0"/>
          <w:szCs w:val="21"/>
        </w:rPr>
        <w:t>1</w:t>
      </w:r>
      <w:r>
        <w:rPr>
          <w:rFonts w:eastAsiaTheme="minorEastAsia" w:hAnsiTheme="minorEastAsia"/>
          <w:kern w:val="0"/>
          <w:szCs w:val="21"/>
        </w:rPr>
        <w:t>、理论知识方面</w:t>
      </w:r>
      <w:r>
        <w:rPr>
          <w:rFonts w:eastAsiaTheme="minorEastAsia" w:hint="eastAsia"/>
          <w:kern w:val="0"/>
          <w:szCs w:val="21"/>
        </w:rPr>
        <w:t>：</w:t>
      </w:r>
    </w:p>
    <w:p w14:paraId="2DB36635"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1</w:t>
      </w:r>
      <w:r>
        <w:rPr>
          <w:rFonts w:eastAsiaTheme="minorEastAsia" w:hAnsiTheme="minorEastAsia"/>
          <w:kern w:val="0"/>
          <w:szCs w:val="21"/>
        </w:rPr>
        <w:t>）了解细胞全能性的理论基础和细胞全能性在离体培养中的基础性作用，以及脱分化再分化在植物再生中的作用；</w:t>
      </w:r>
    </w:p>
    <w:p w14:paraId="5664BAAC"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lastRenderedPageBreak/>
        <w:t>（</w:t>
      </w:r>
      <w:r>
        <w:rPr>
          <w:rFonts w:eastAsiaTheme="minorEastAsia"/>
          <w:kern w:val="0"/>
          <w:szCs w:val="21"/>
        </w:rPr>
        <w:t>2</w:t>
      </w:r>
      <w:r>
        <w:rPr>
          <w:rFonts w:eastAsiaTheme="minorEastAsia" w:hAnsiTheme="minorEastAsia"/>
          <w:kern w:val="0"/>
          <w:szCs w:val="21"/>
        </w:rPr>
        <w:t>）掌握器官发生和体细胞胚发生的形态学和细胞学基础及异同点，及其对激素和环境条件的</w:t>
      </w:r>
      <w:r>
        <w:rPr>
          <w:rFonts w:eastAsiaTheme="minorEastAsia" w:hAnsiTheme="minorEastAsia" w:hint="eastAsia"/>
          <w:kern w:val="0"/>
          <w:szCs w:val="21"/>
        </w:rPr>
        <w:t>要求</w:t>
      </w:r>
      <w:r>
        <w:rPr>
          <w:rFonts w:eastAsiaTheme="minorEastAsia" w:hAnsiTheme="minorEastAsia"/>
          <w:kern w:val="0"/>
          <w:szCs w:val="21"/>
        </w:rPr>
        <w:t>与响应；</w:t>
      </w:r>
    </w:p>
    <w:p w14:paraId="715A33E5"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3</w:t>
      </w:r>
      <w:r>
        <w:rPr>
          <w:rFonts w:eastAsiaTheme="minorEastAsia" w:hAnsiTheme="minorEastAsia"/>
          <w:kern w:val="0"/>
          <w:szCs w:val="21"/>
        </w:rPr>
        <w:t>）掌握植物脱毒和快速繁殖的技术原理，能够根据实际生产目的选择适宜的脱毒及快速繁殖技术；</w:t>
      </w:r>
    </w:p>
    <w:p w14:paraId="2C85C91C"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4</w:t>
      </w:r>
      <w:r>
        <w:rPr>
          <w:rFonts w:eastAsiaTheme="minorEastAsia" w:hAnsiTheme="minorEastAsia"/>
          <w:kern w:val="0"/>
          <w:szCs w:val="21"/>
        </w:rPr>
        <w:t>）理解离体培养中遗传和变异的原因</w:t>
      </w:r>
      <w:r>
        <w:rPr>
          <w:rFonts w:eastAsiaTheme="minorEastAsia" w:hAnsiTheme="minorEastAsia" w:hint="eastAsia"/>
          <w:kern w:val="0"/>
          <w:szCs w:val="21"/>
        </w:rPr>
        <w:t>及其</w:t>
      </w:r>
      <w:r>
        <w:rPr>
          <w:rFonts w:eastAsiaTheme="minorEastAsia" w:hAnsiTheme="minorEastAsia"/>
          <w:kern w:val="0"/>
          <w:szCs w:val="21"/>
        </w:rPr>
        <w:t>细胞、分子机制；</w:t>
      </w:r>
    </w:p>
    <w:p w14:paraId="238106D3"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5</w:t>
      </w:r>
      <w:r>
        <w:rPr>
          <w:rFonts w:eastAsiaTheme="minorEastAsia" w:hAnsiTheme="minorEastAsia"/>
          <w:kern w:val="0"/>
          <w:szCs w:val="21"/>
        </w:rPr>
        <w:t>）掌握植物单倍体发生的原理及其调控机制；</w:t>
      </w:r>
    </w:p>
    <w:p w14:paraId="27EF835A" w14:textId="77777777" w:rsidR="00F5289E" w:rsidRDefault="00C91173">
      <w:pPr>
        <w:widowControl/>
        <w:snapToGrid w:val="0"/>
        <w:spacing w:line="360" w:lineRule="auto"/>
        <w:ind w:left="420"/>
        <w:jc w:val="left"/>
        <w:rPr>
          <w:rFonts w:eastAsiaTheme="minorEastAsia"/>
          <w:kern w:val="0"/>
          <w:szCs w:val="21"/>
        </w:rPr>
      </w:pPr>
      <w:r>
        <w:rPr>
          <w:rFonts w:eastAsiaTheme="minorEastAsia" w:hAnsiTheme="minorEastAsia"/>
          <w:kern w:val="0"/>
          <w:szCs w:val="21"/>
        </w:rPr>
        <w:t>（</w:t>
      </w:r>
      <w:r>
        <w:rPr>
          <w:rFonts w:eastAsiaTheme="minorEastAsia"/>
          <w:kern w:val="0"/>
          <w:szCs w:val="21"/>
        </w:rPr>
        <w:t>6</w:t>
      </w:r>
      <w:r>
        <w:rPr>
          <w:rFonts w:eastAsiaTheme="minorEastAsia" w:hAnsiTheme="minorEastAsia"/>
          <w:kern w:val="0"/>
          <w:szCs w:val="21"/>
        </w:rPr>
        <w:t>）掌握植物原生质体再生植株的基本条件，了解原生质体融合技术在种质创新中的作用。</w:t>
      </w:r>
      <w:r>
        <w:rPr>
          <w:rFonts w:eastAsiaTheme="minorEastAsia"/>
          <w:kern w:val="0"/>
          <w:szCs w:val="21"/>
        </w:rPr>
        <w:t>2</w:t>
      </w:r>
      <w:r>
        <w:rPr>
          <w:rFonts w:eastAsiaTheme="minorEastAsia" w:hAnsiTheme="minorEastAsia"/>
          <w:kern w:val="0"/>
          <w:szCs w:val="21"/>
        </w:rPr>
        <w:t>、实验技能方面：</w:t>
      </w:r>
    </w:p>
    <w:p w14:paraId="2A8EDE1A"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1</w:t>
      </w:r>
      <w:r>
        <w:rPr>
          <w:rFonts w:eastAsiaTheme="minorEastAsia" w:hAnsiTheme="minorEastAsia"/>
          <w:kern w:val="0"/>
          <w:szCs w:val="21"/>
        </w:rPr>
        <w:t>）掌握离体培养中外植体材料选取的基本要求和技术；</w:t>
      </w:r>
    </w:p>
    <w:p w14:paraId="45EB4D15"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2</w:t>
      </w:r>
      <w:r>
        <w:rPr>
          <w:rFonts w:eastAsiaTheme="minorEastAsia" w:hAnsiTheme="minorEastAsia"/>
          <w:kern w:val="0"/>
          <w:szCs w:val="21"/>
        </w:rPr>
        <w:t>）掌握植物外植体材料消毒和无菌操作技术；</w:t>
      </w:r>
    </w:p>
    <w:p w14:paraId="6EF8FCF6"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3</w:t>
      </w:r>
      <w:r>
        <w:rPr>
          <w:rFonts w:eastAsiaTheme="minorEastAsia" w:hAnsiTheme="minorEastAsia"/>
          <w:kern w:val="0"/>
          <w:szCs w:val="21"/>
        </w:rPr>
        <w:t>）掌握培养基配制技术和激素筛选、使用技术；</w:t>
      </w:r>
    </w:p>
    <w:p w14:paraId="610D5D81"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4</w:t>
      </w:r>
      <w:r>
        <w:rPr>
          <w:rFonts w:eastAsiaTheme="minorEastAsia" w:hAnsiTheme="minorEastAsia"/>
          <w:kern w:val="0"/>
          <w:szCs w:val="21"/>
        </w:rPr>
        <w:t>）掌握离体植株再生的各种途径及其诱导、调控技术；</w:t>
      </w:r>
    </w:p>
    <w:p w14:paraId="58C90CAE"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5</w:t>
      </w:r>
      <w:r>
        <w:rPr>
          <w:rFonts w:eastAsiaTheme="minorEastAsia" w:hAnsiTheme="minorEastAsia"/>
          <w:kern w:val="0"/>
          <w:szCs w:val="21"/>
        </w:rPr>
        <w:t>）具备观察鉴定和分析培养材料在离体培养过程中生长发育和形态建成的能力；</w:t>
      </w:r>
    </w:p>
    <w:p w14:paraId="33F861DA" w14:textId="77777777" w:rsidR="00F5289E" w:rsidRDefault="00C91173">
      <w:pPr>
        <w:widowControl/>
        <w:snapToGrid w:val="0"/>
        <w:spacing w:line="360" w:lineRule="auto"/>
        <w:ind w:firstLineChars="200" w:firstLine="420"/>
        <w:jc w:val="left"/>
        <w:rPr>
          <w:rFonts w:eastAsiaTheme="minorEastAsia"/>
          <w:kern w:val="0"/>
          <w:szCs w:val="21"/>
        </w:rPr>
      </w:pPr>
      <w:r>
        <w:rPr>
          <w:rFonts w:eastAsiaTheme="minorEastAsia" w:hAnsiTheme="minorEastAsia"/>
          <w:kern w:val="0"/>
          <w:szCs w:val="21"/>
        </w:rPr>
        <w:t>（</w:t>
      </w:r>
      <w:r>
        <w:rPr>
          <w:rFonts w:eastAsiaTheme="minorEastAsia"/>
          <w:kern w:val="0"/>
          <w:szCs w:val="21"/>
        </w:rPr>
        <w:t>6</w:t>
      </w:r>
      <w:r>
        <w:rPr>
          <w:rFonts w:eastAsiaTheme="minorEastAsia" w:hAnsiTheme="minorEastAsia"/>
          <w:kern w:val="0"/>
          <w:szCs w:val="21"/>
        </w:rPr>
        <w:t>）初步具备通过植物组织培养技术手段创制单倍体、突变体、新种质等的基本技术。</w:t>
      </w:r>
    </w:p>
    <w:p w14:paraId="5ACEBE96" w14:textId="77777777" w:rsidR="00F5289E" w:rsidRDefault="00F5289E">
      <w:pPr>
        <w:widowControl/>
        <w:snapToGrid w:val="0"/>
        <w:spacing w:line="360" w:lineRule="auto"/>
        <w:jc w:val="left"/>
        <w:rPr>
          <w:rFonts w:hAnsi="宋体"/>
          <w:bCs/>
          <w:color w:val="0000FF"/>
          <w:kern w:val="0"/>
          <w:szCs w:val="21"/>
        </w:rPr>
      </w:pPr>
    </w:p>
    <w:p w14:paraId="48726AE4"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687B83F8" w14:textId="77777777" w:rsidR="00F5289E" w:rsidRDefault="00C91173">
      <w:pPr>
        <w:spacing w:line="360" w:lineRule="auto"/>
        <w:ind w:firstLineChars="200" w:firstLine="420"/>
        <w:rPr>
          <w:rFonts w:ascii="宋体" w:hAnsi="宋体" w:cs="宋体"/>
          <w:bCs/>
          <w:color w:val="4F81BD" w:themeColor="accent1"/>
          <w:kern w:val="0"/>
          <w:szCs w:val="21"/>
        </w:rPr>
      </w:pPr>
      <w:r>
        <w:rPr>
          <w:rFonts w:hAnsi="宋体" w:hint="eastAsia"/>
          <w:bCs/>
          <w:color w:val="000000" w:themeColor="text1"/>
          <w:kern w:val="0"/>
          <w:szCs w:val="21"/>
        </w:rPr>
        <w:t>1.</w:t>
      </w:r>
      <w:r>
        <w:rPr>
          <w:rFonts w:hAnsi="宋体" w:hint="eastAsia"/>
          <w:bCs/>
          <w:color w:val="000000" w:themeColor="text1"/>
          <w:kern w:val="0"/>
          <w:szCs w:val="21"/>
        </w:rPr>
        <w:t>教学设计说明</w:t>
      </w:r>
    </w:p>
    <w:p w14:paraId="6582A472"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hint="eastAsia"/>
          <w:bCs/>
          <w:color w:val="000000" w:themeColor="text1"/>
          <w:kern w:val="0"/>
        </w:rPr>
        <w:t>以探索、实践为途径，充分挖掘和利用网络资源和课本教材，围绕课程教学内容，</w:t>
      </w:r>
      <w:r>
        <w:rPr>
          <w:rFonts w:ascii="Times New Roman" w:hAnsi="宋体" w:cs="Times New Roman"/>
          <w:bCs/>
          <w:color w:val="000000" w:themeColor="text1"/>
          <w:kern w:val="0"/>
        </w:rPr>
        <w:t>总体上采取“教—学—做”一体化的教学</w:t>
      </w:r>
      <w:r>
        <w:rPr>
          <w:rFonts w:ascii="Times New Roman" w:hAnsi="宋体" w:cs="Times New Roman" w:hint="eastAsia"/>
          <w:bCs/>
          <w:color w:val="000000" w:themeColor="text1"/>
          <w:kern w:val="0"/>
        </w:rPr>
        <w:t>策略</w:t>
      </w:r>
      <w:r>
        <w:rPr>
          <w:rFonts w:ascii="Times New Roman" w:hAnsi="宋体" w:cs="Times New Roman"/>
          <w:bCs/>
          <w:color w:val="000000" w:themeColor="text1"/>
          <w:kern w:val="0"/>
        </w:rPr>
        <w:t>，理论课以教师为主导、学生为主体的方式，实验课以学生为主导、老师辅助的方式，理论与实践相结合、穿插进行进而开展教学工作。主要</w:t>
      </w:r>
      <w:r>
        <w:rPr>
          <w:rFonts w:ascii="Times New Roman" w:hAnsi="宋体" w:cs="Times New Roman" w:hint="eastAsia"/>
          <w:bCs/>
          <w:color w:val="000000" w:themeColor="text1"/>
          <w:kern w:val="0"/>
        </w:rPr>
        <w:t>采用以下</w:t>
      </w:r>
      <w:r>
        <w:rPr>
          <w:rFonts w:ascii="Times New Roman" w:hAnsi="宋体" w:cs="Times New Roman"/>
          <w:bCs/>
          <w:color w:val="000000" w:themeColor="text1"/>
          <w:kern w:val="0"/>
        </w:rPr>
        <w:t>教学方法：</w:t>
      </w:r>
    </w:p>
    <w:p w14:paraId="5FEBA412"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bCs/>
          <w:color w:val="000000" w:themeColor="text1"/>
          <w:kern w:val="0"/>
        </w:rPr>
        <w:t>（</w:t>
      </w:r>
      <w:r>
        <w:rPr>
          <w:rFonts w:ascii="Times New Roman" w:hAnsi="宋体" w:cs="Times New Roman"/>
          <w:bCs/>
          <w:color w:val="000000" w:themeColor="text1"/>
          <w:kern w:val="0"/>
        </w:rPr>
        <w:t>1</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采用</w:t>
      </w:r>
      <w:r>
        <w:rPr>
          <w:rFonts w:ascii="Times New Roman" w:hAnsi="宋体" w:cs="Times New Roman"/>
          <w:bCs/>
          <w:color w:val="000000" w:themeColor="text1"/>
          <w:kern w:val="0"/>
        </w:rPr>
        <w:t>专题式教学，成立课程</w:t>
      </w:r>
      <w:r>
        <w:rPr>
          <w:rFonts w:ascii="Times New Roman" w:hAnsi="宋体" w:cs="Times New Roman" w:hint="eastAsia"/>
          <w:bCs/>
          <w:color w:val="000000" w:themeColor="text1"/>
          <w:kern w:val="0"/>
        </w:rPr>
        <w:t>团队</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授课老师</w:t>
      </w:r>
      <w:r>
        <w:rPr>
          <w:rFonts w:ascii="Times New Roman" w:hAnsi="宋体" w:cs="Times New Roman"/>
          <w:bCs/>
          <w:color w:val="000000" w:themeColor="text1"/>
          <w:kern w:val="0"/>
        </w:rPr>
        <w:t>在自己</w:t>
      </w:r>
      <w:r>
        <w:rPr>
          <w:rFonts w:ascii="Times New Roman" w:hAnsi="宋体" w:cs="Times New Roman" w:hint="eastAsia"/>
          <w:bCs/>
          <w:color w:val="000000" w:themeColor="text1"/>
          <w:kern w:val="0"/>
        </w:rPr>
        <w:t>最</w:t>
      </w:r>
      <w:r>
        <w:rPr>
          <w:rFonts w:ascii="Times New Roman" w:hAnsi="宋体" w:cs="Times New Roman"/>
          <w:bCs/>
          <w:color w:val="000000" w:themeColor="text1"/>
          <w:kern w:val="0"/>
        </w:rPr>
        <w:t>擅长的</w:t>
      </w:r>
      <w:r>
        <w:rPr>
          <w:rFonts w:ascii="Times New Roman" w:hAnsi="宋体" w:cs="Times New Roman" w:hint="eastAsia"/>
          <w:bCs/>
          <w:color w:val="000000" w:themeColor="text1"/>
          <w:kern w:val="0"/>
        </w:rPr>
        <w:t>领域</w:t>
      </w:r>
      <w:r>
        <w:rPr>
          <w:rFonts w:ascii="Times New Roman" w:hAnsi="宋体" w:cs="Times New Roman"/>
          <w:bCs/>
          <w:color w:val="000000" w:themeColor="text1"/>
          <w:kern w:val="0"/>
        </w:rPr>
        <w:t>，给学生进行专题教学；</w:t>
      </w:r>
    </w:p>
    <w:p w14:paraId="6E022DA3"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bCs/>
          <w:color w:val="000000" w:themeColor="text1"/>
          <w:kern w:val="0"/>
        </w:rPr>
        <w:t>（</w:t>
      </w:r>
      <w:r>
        <w:rPr>
          <w:rFonts w:ascii="Times New Roman" w:hAnsi="宋体" w:cs="Times New Roman"/>
          <w:bCs/>
          <w:color w:val="000000" w:themeColor="text1"/>
          <w:kern w:val="0"/>
        </w:rPr>
        <w:t>2</w:t>
      </w:r>
      <w:r>
        <w:rPr>
          <w:rFonts w:ascii="Times New Roman" w:hAnsi="宋体" w:cs="Times New Roman"/>
          <w:bCs/>
          <w:color w:val="000000" w:themeColor="text1"/>
          <w:kern w:val="0"/>
        </w:rPr>
        <w:t>）结合教学大纲，将各专题章节内容系统化，突出重难点、考核目标，让学生能够明确考试内容和要求，更有方向地学习本课程；</w:t>
      </w:r>
    </w:p>
    <w:p w14:paraId="649DC404"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bCs/>
          <w:color w:val="000000" w:themeColor="text1"/>
          <w:kern w:val="0"/>
        </w:rPr>
        <w:t>（</w:t>
      </w:r>
      <w:r>
        <w:rPr>
          <w:rFonts w:ascii="Times New Roman" w:hAnsi="宋体" w:cs="Times New Roman"/>
          <w:bCs/>
          <w:color w:val="000000" w:themeColor="text1"/>
          <w:kern w:val="0"/>
        </w:rPr>
        <w:t>3</w:t>
      </w:r>
      <w:r>
        <w:rPr>
          <w:rFonts w:ascii="Times New Roman" w:hAnsi="宋体" w:cs="Times New Roman"/>
          <w:bCs/>
          <w:color w:val="000000" w:themeColor="text1"/>
          <w:kern w:val="0"/>
        </w:rPr>
        <w:t>）理论课小班授课，以教师为主导、学生为主体，采用案例启示、课堂讲授、观摩相关技术视频、与学生互动，鼓励学生积极参与教学中等多种教学方法，最大程度地激发学生的主观能动性；</w:t>
      </w:r>
    </w:p>
    <w:p w14:paraId="1375CCC2"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bCs/>
          <w:color w:val="000000" w:themeColor="text1"/>
          <w:kern w:val="0"/>
        </w:rPr>
        <w:t>（</w:t>
      </w:r>
      <w:r>
        <w:rPr>
          <w:rFonts w:ascii="Times New Roman" w:hAnsi="宋体" w:cs="Times New Roman"/>
          <w:bCs/>
          <w:color w:val="000000" w:themeColor="text1"/>
          <w:kern w:val="0"/>
        </w:rPr>
        <w:t>4</w:t>
      </w:r>
      <w:r>
        <w:rPr>
          <w:rFonts w:ascii="Times New Roman" w:hAnsi="宋体" w:cs="Times New Roman"/>
          <w:bCs/>
          <w:color w:val="000000" w:themeColor="text1"/>
          <w:kern w:val="0"/>
        </w:rPr>
        <w:t>）实验课小班、小组教学，以学生为主导、老师进行辅助，鼓励学生动手操作，加强动手操作能力培养；</w:t>
      </w:r>
    </w:p>
    <w:p w14:paraId="293CF942"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bCs/>
          <w:color w:val="000000" w:themeColor="text1"/>
          <w:kern w:val="0"/>
        </w:rPr>
        <w:t>（</w:t>
      </w:r>
      <w:r>
        <w:rPr>
          <w:rFonts w:ascii="Times New Roman" w:hAnsi="宋体" w:cs="Times New Roman"/>
          <w:bCs/>
          <w:color w:val="000000" w:themeColor="text1"/>
          <w:kern w:val="0"/>
        </w:rPr>
        <w:t>5</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w:t>
      </w:r>
      <w:r>
        <w:rPr>
          <w:rFonts w:ascii="Times New Roman" w:hAnsi="宋体" w:cs="Times New Roman"/>
          <w:bCs/>
          <w:color w:val="000000" w:themeColor="text1"/>
          <w:kern w:val="0"/>
        </w:rPr>
        <w:t>教—学—做</w:t>
      </w:r>
      <w:r>
        <w:rPr>
          <w:rFonts w:ascii="Times New Roman" w:hAnsi="宋体" w:cs="Times New Roman" w:hint="eastAsia"/>
          <w:bCs/>
          <w:color w:val="000000" w:themeColor="text1"/>
          <w:kern w:val="0"/>
        </w:rPr>
        <w:t>”</w:t>
      </w:r>
      <w:r>
        <w:rPr>
          <w:rFonts w:ascii="Times New Roman" w:hAnsi="宋体" w:cs="Times New Roman"/>
          <w:bCs/>
          <w:color w:val="000000" w:themeColor="text1"/>
          <w:kern w:val="0"/>
        </w:rPr>
        <w:t>一体化，专题教学后进行实验操作训练，然后理论课前再对已讲授的理论内容和实验技术进行复习，设置相关问题进行提问、讨论，并对实验课实验操作、操作表现、</w:t>
      </w:r>
      <w:r>
        <w:rPr>
          <w:rFonts w:ascii="Times New Roman" w:hAnsi="宋体" w:cs="Times New Roman" w:hint="eastAsia"/>
          <w:bCs/>
          <w:color w:val="000000" w:themeColor="text1"/>
          <w:kern w:val="0"/>
        </w:rPr>
        <w:t>实验</w:t>
      </w:r>
      <w:r>
        <w:rPr>
          <w:rFonts w:ascii="Times New Roman" w:hAnsi="宋体" w:cs="Times New Roman"/>
          <w:bCs/>
          <w:color w:val="000000" w:themeColor="text1"/>
          <w:kern w:val="0"/>
        </w:rPr>
        <w:t>结果</w:t>
      </w:r>
      <w:r>
        <w:rPr>
          <w:rFonts w:ascii="Times New Roman" w:hAnsi="宋体" w:cs="Times New Roman" w:hint="eastAsia"/>
          <w:bCs/>
          <w:color w:val="000000" w:themeColor="text1"/>
          <w:kern w:val="0"/>
        </w:rPr>
        <w:t>、实验报告</w:t>
      </w:r>
      <w:r>
        <w:rPr>
          <w:rFonts w:ascii="Times New Roman" w:hAnsi="宋体" w:cs="Times New Roman"/>
          <w:bCs/>
          <w:color w:val="000000" w:themeColor="text1"/>
          <w:kern w:val="0"/>
        </w:rPr>
        <w:t>进行</w:t>
      </w:r>
      <w:r>
        <w:rPr>
          <w:rFonts w:ascii="Times New Roman" w:hAnsi="宋体" w:cs="Times New Roman" w:hint="eastAsia"/>
          <w:bCs/>
          <w:color w:val="000000" w:themeColor="text1"/>
          <w:kern w:val="0"/>
        </w:rPr>
        <w:t>过程性评价，促使学生</w:t>
      </w:r>
      <w:r>
        <w:rPr>
          <w:rFonts w:ascii="Times New Roman" w:hAnsi="宋体" w:cs="Times New Roman"/>
          <w:bCs/>
          <w:color w:val="000000" w:themeColor="text1"/>
          <w:kern w:val="0"/>
        </w:rPr>
        <w:t>更好的掌握相关知识。</w:t>
      </w:r>
    </w:p>
    <w:p w14:paraId="23331718" w14:textId="77777777" w:rsidR="00F5289E" w:rsidRDefault="00F5289E">
      <w:pPr>
        <w:pStyle w:val="a9"/>
        <w:snapToGrid w:val="0"/>
        <w:spacing w:line="360" w:lineRule="auto"/>
        <w:ind w:rightChars="-138" w:right="-290" w:firstLineChars="200" w:firstLine="420"/>
        <w:rPr>
          <w:rFonts w:ascii="Times New Roman" w:hAnsi="宋体" w:cs="Times New Roman"/>
          <w:bCs/>
          <w:color w:val="FF0000"/>
          <w:kern w:val="0"/>
        </w:rPr>
      </w:pPr>
    </w:p>
    <w:p w14:paraId="7A09BD72"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729B3326"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B5B46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D796B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BE7BA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2A3AF780"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7062573" w14:textId="77777777" w:rsidR="00F5289E" w:rsidRDefault="00C91173">
            <w:pPr>
              <w:spacing w:line="320" w:lineRule="exact"/>
              <w:jc w:val="center"/>
              <w:rPr>
                <w:rFonts w:eastAsiaTheme="minorEastAsia"/>
                <w:sz w:val="18"/>
                <w:szCs w:val="18"/>
              </w:rPr>
            </w:pPr>
            <w:r>
              <w:rPr>
                <w:rFonts w:eastAsiaTheme="minorEastAsia"/>
                <w:sz w:val="18"/>
                <w:szCs w:val="18"/>
              </w:rPr>
              <w:lastRenderedPageBreak/>
              <w:t>1</w:t>
            </w:r>
          </w:p>
        </w:tc>
        <w:tc>
          <w:tcPr>
            <w:tcW w:w="6846" w:type="dxa"/>
            <w:tcBorders>
              <w:top w:val="single" w:sz="4" w:space="0" w:color="auto"/>
              <w:left w:val="single" w:sz="4" w:space="0" w:color="auto"/>
              <w:bottom w:val="single" w:sz="4" w:space="0" w:color="auto"/>
              <w:right w:val="single" w:sz="4" w:space="0" w:color="auto"/>
            </w:tcBorders>
            <w:vAlign w:val="center"/>
          </w:tcPr>
          <w:p w14:paraId="51D7954D" w14:textId="77777777" w:rsidR="00F5289E" w:rsidRDefault="00C91173">
            <w:pPr>
              <w:snapToGrid w:val="0"/>
              <w:spacing w:line="360" w:lineRule="auto"/>
              <w:rPr>
                <w:rFonts w:eastAsiaTheme="minorEastAsia" w:hAnsiTheme="minorEastAsia"/>
                <w:sz w:val="18"/>
                <w:szCs w:val="21"/>
              </w:rPr>
            </w:pPr>
            <w:r>
              <w:rPr>
                <w:rFonts w:eastAsiaTheme="minorEastAsia" w:hAnsiTheme="minorEastAsia" w:hint="eastAsia"/>
                <w:sz w:val="18"/>
                <w:szCs w:val="21"/>
              </w:rPr>
              <w:t>目标</w:t>
            </w:r>
            <w:r>
              <w:rPr>
                <w:rFonts w:eastAsiaTheme="minorEastAsia" w:hAnsiTheme="minorEastAsia" w:hint="eastAsia"/>
                <w:sz w:val="18"/>
                <w:szCs w:val="21"/>
              </w:rPr>
              <w:t>1</w:t>
            </w:r>
            <w:r>
              <w:rPr>
                <w:rFonts w:eastAsiaTheme="minorEastAsia" w:hAnsiTheme="minorEastAsia" w:hint="eastAsia"/>
                <w:sz w:val="18"/>
                <w:szCs w:val="21"/>
              </w:rPr>
              <w:t>：通过课程的学习，培养学生热爱祖国，热爱人民，具有正确的政治方向，拥护中国共产党的领导。树立正确的世界观、价值观和人生观，自觉践行社会主义核心价值观，做到四个自信。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sz="4" w:space="0" w:color="auto"/>
              <w:left w:val="single" w:sz="4" w:space="0" w:color="auto"/>
              <w:bottom w:val="single" w:sz="4" w:space="0" w:color="auto"/>
              <w:right w:val="single" w:sz="4" w:space="0" w:color="auto"/>
            </w:tcBorders>
            <w:vAlign w:val="center"/>
          </w:tcPr>
          <w:p w14:paraId="568793B9"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1</w:t>
            </w:r>
          </w:p>
        </w:tc>
      </w:tr>
      <w:tr w:rsidR="00F5289E" w14:paraId="5B38ABF3"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335B46E"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2E57AC04" w14:textId="77777777" w:rsidR="00F5289E" w:rsidRDefault="00C91173">
            <w:pPr>
              <w:snapToGrid w:val="0"/>
              <w:spacing w:line="360" w:lineRule="auto"/>
              <w:rPr>
                <w:rFonts w:eastAsiaTheme="minorEastAsia" w:hAnsiTheme="minorEastAsia"/>
                <w:sz w:val="18"/>
                <w:szCs w:val="21"/>
              </w:rPr>
            </w:pPr>
            <w:r>
              <w:rPr>
                <w:rFonts w:eastAsiaTheme="minorEastAsia" w:hAnsiTheme="minorEastAsia" w:hint="eastAsia"/>
                <w:sz w:val="18"/>
                <w:szCs w:val="21"/>
              </w:rPr>
              <w:t>目标</w:t>
            </w:r>
            <w:r>
              <w:rPr>
                <w:rFonts w:eastAsiaTheme="minorEastAsia" w:hAnsiTheme="minorEastAsia" w:hint="eastAsia"/>
                <w:sz w:val="18"/>
                <w:szCs w:val="21"/>
              </w:rPr>
              <w:t>2</w:t>
            </w:r>
            <w:r>
              <w:rPr>
                <w:rFonts w:eastAsiaTheme="minorEastAsia" w:hAnsiTheme="minorEastAsia" w:hint="eastAsia"/>
                <w:sz w:val="18"/>
                <w:szCs w:val="21"/>
              </w:rPr>
              <w:t>：</w:t>
            </w:r>
            <w:r>
              <w:rPr>
                <w:rFonts w:eastAsiaTheme="minorEastAsia" w:hAnsiTheme="minorEastAsia"/>
                <w:sz w:val="18"/>
                <w:szCs w:val="21"/>
              </w:rPr>
              <w:t>本课程的开设可进一步加强学生的综合素质和创新能力的培养，增强学生在植物生产中发现问题、分析问题和解决问题的能力，推动我国植物生物技术的研究与应用。</w:t>
            </w:r>
          </w:p>
        </w:tc>
        <w:tc>
          <w:tcPr>
            <w:tcW w:w="1052" w:type="dxa"/>
            <w:tcBorders>
              <w:top w:val="single" w:sz="4" w:space="0" w:color="auto"/>
              <w:left w:val="single" w:sz="4" w:space="0" w:color="auto"/>
              <w:bottom w:val="single" w:sz="4" w:space="0" w:color="auto"/>
              <w:right w:val="single" w:sz="4" w:space="0" w:color="auto"/>
            </w:tcBorders>
            <w:vAlign w:val="center"/>
          </w:tcPr>
          <w:p w14:paraId="746ED6F0"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4</w:t>
            </w:r>
          </w:p>
        </w:tc>
      </w:tr>
      <w:tr w:rsidR="00F5289E" w14:paraId="693DF10C"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8295F5F"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563C8E09" w14:textId="77777777" w:rsidR="00F5289E" w:rsidRDefault="00C91173">
            <w:pPr>
              <w:spacing w:line="320" w:lineRule="exact"/>
              <w:jc w:val="left"/>
              <w:rPr>
                <w:rFonts w:eastAsiaTheme="minorEastAsia" w:hAnsiTheme="minorEastAsia"/>
                <w:sz w:val="18"/>
                <w:szCs w:val="21"/>
              </w:rPr>
            </w:pPr>
            <w:r>
              <w:rPr>
                <w:rFonts w:eastAsiaTheme="minorEastAsia" w:hAnsiTheme="minorEastAsia"/>
                <w:sz w:val="18"/>
                <w:szCs w:val="21"/>
              </w:rPr>
              <w:t>目标</w:t>
            </w:r>
            <w:r>
              <w:rPr>
                <w:rFonts w:eastAsiaTheme="minorEastAsia" w:hAnsiTheme="minorEastAsia"/>
                <w:sz w:val="18"/>
                <w:szCs w:val="21"/>
              </w:rPr>
              <w:t>3</w:t>
            </w:r>
            <w:r>
              <w:rPr>
                <w:rFonts w:eastAsiaTheme="minorEastAsia" w:hAnsiTheme="minorEastAsia"/>
                <w:sz w:val="18"/>
                <w:szCs w:val="21"/>
              </w:rPr>
              <w:t>：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tc>
        <w:tc>
          <w:tcPr>
            <w:tcW w:w="1052" w:type="dxa"/>
            <w:tcBorders>
              <w:top w:val="single" w:sz="4" w:space="0" w:color="auto"/>
              <w:left w:val="single" w:sz="4" w:space="0" w:color="auto"/>
              <w:bottom w:val="single" w:sz="4" w:space="0" w:color="auto"/>
              <w:right w:val="single" w:sz="4" w:space="0" w:color="auto"/>
            </w:tcBorders>
            <w:vAlign w:val="center"/>
          </w:tcPr>
          <w:p w14:paraId="245D86DA" w14:textId="77777777" w:rsidR="00343C46"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5</w:t>
            </w:r>
          </w:p>
          <w:p w14:paraId="6C21D6E5" w14:textId="469384E1"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7</w:t>
            </w:r>
          </w:p>
        </w:tc>
      </w:tr>
    </w:tbl>
    <w:p w14:paraId="08553BE5" w14:textId="77777777" w:rsidR="00F5289E" w:rsidRDefault="00F5289E">
      <w:pPr>
        <w:widowControl/>
        <w:snapToGrid w:val="0"/>
        <w:spacing w:line="360" w:lineRule="auto"/>
        <w:jc w:val="left"/>
        <w:rPr>
          <w:rFonts w:hAnsi="宋体"/>
          <w:bCs/>
          <w:color w:val="0000FF"/>
          <w:kern w:val="0"/>
          <w:szCs w:val="21"/>
        </w:rPr>
      </w:pPr>
    </w:p>
    <w:p w14:paraId="48E76E32"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32</w:t>
      </w:r>
      <w:r>
        <w:rPr>
          <w:rFonts w:hAnsi="宋体" w:hint="eastAsia"/>
          <w:b/>
          <w:bCs/>
          <w:kern w:val="0"/>
          <w:szCs w:val="21"/>
        </w:rPr>
        <w:t>学时）</w:t>
      </w:r>
    </w:p>
    <w:p w14:paraId="717B623B" w14:textId="77777777" w:rsidR="00F5289E" w:rsidRDefault="00C91173">
      <w:pPr>
        <w:widowControl/>
        <w:snapToGrid w:val="0"/>
        <w:spacing w:line="360" w:lineRule="auto"/>
        <w:ind w:right="211"/>
        <w:jc w:val="right"/>
        <w:rPr>
          <w:rFonts w:eastAsiaTheme="minorEastAsia"/>
          <w:kern w:val="0"/>
          <w:szCs w:val="21"/>
        </w:rPr>
      </w:pPr>
      <w:r>
        <w:rPr>
          <w:rFonts w:eastAsiaTheme="minorEastAsia" w:hAnsiTheme="minorEastAsia"/>
          <w:b/>
          <w:bCs/>
          <w:color w:val="000000" w:themeColor="text1"/>
          <w:kern w:val="0"/>
          <w:szCs w:val="21"/>
        </w:rPr>
        <w:t>绪</w:t>
      </w:r>
      <w:r>
        <w:rPr>
          <w:rFonts w:eastAsiaTheme="minorEastAsia"/>
          <w:b/>
          <w:bCs/>
          <w:color w:val="000000" w:themeColor="text1"/>
          <w:kern w:val="0"/>
          <w:szCs w:val="21"/>
        </w:rPr>
        <w:t xml:space="preserve">  </w:t>
      </w:r>
      <w:r>
        <w:rPr>
          <w:rFonts w:eastAsiaTheme="minorEastAsia" w:hAnsiTheme="minorEastAsia"/>
          <w:b/>
          <w:bCs/>
          <w:color w:val="000000" w:themeColor="text1"/>
          <w:kern w:val="0"/>
          <w:szCs w:val="21"/>
        </w:rPr>
        <w:t>论</w:t>
      </w:r>
      <w:r>
        <w:rPr>
          <w:rFonts w:eastAsiaTheme="minorEastAsia"/>
          <w:color w:val="000000" w:themeColor="text1"/>
          <w:kern w:val="0"/>
          <w:szCs w:val="21"/>
        </w:rPr>
        <w:t xml:space="preserve"> </w:t>
      </w:r>
      <w:r>
        <w:rPr>
          <w:rFonts w:eastAsiaTheme="minorEastAsia"/>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25746B1E"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介绍植物组织培养的概念、发展历史及应用领域，使学生了解植物组织培养技术的重要性。</w:t>
      </w:r>
    </w:p>
    <w:p w14:paraId="7E3E3722"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33D6205E"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重点：植物组织培养的</w:t>
      </w:r>
      <w:r>
        <w:rPr>
          <w:rFonts w:eastAsiaTheme="minorEastAsia" w:hAnsiTheme="minorEastAsia" w:hint="eastAsia"/>
          <w:kern w:val="0"/>
          <w:szCs w:val="21"/>
        </w:rPr>
        <w:t>相关概念、发展</w:t>
      </w:r>
      <w:r>
        <w:rPr>
          <w:rFonts w:eastAsiaTheme="minorEastAsia" w:hAnsiTheme="minorEastAsia"/>
          <w:kern w:val="0"/>
          <w:szCs w:val="21"/>
        </w:rPr>
        <w:t>；</w:t>
      </w:r>
    </w:p>
    <w:p w14:paraId="38A48A4B"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难点：植物组织培养在园艺植物生产中的应用。</w:t>
      </w:r>
    </w:p>
    <w:p w14:paraId="1B5A386A"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p>
    <w:p w14:paraId="6F32F3D3"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AnsiTheme="minorEastAsia"/>
          <w:kern w:val="0"/>
          <w:szCs w:val="21"/>
        </w:rPr>
        <w:t>了解</w:t>
      </w:r>
      <w:r>
        <w:rPr>
          <w:rFonts w:eastAsiaTheme="minorEastAsia" w:hAnsiTheme="minorEastAsia" w:hint="eastAsia"/>
          <w:kern w:val="0"/>
          <w:szCs w:val="21"/>
        </w:rPr>
        <w:t>：</w:t>
      </w:r>
      <w:r>
        <w:rPr>
          <w:rFonts w:eastAsiaTheme="minorEastAsia" w:hAnsiTheme="minorEastAsia"/>
          <w:kern w:val="0"/>
          <w:szCs w:val="21"/>
        </w:rPr>
        <w:t>植物培养在现代生物技术中的地位</w:t>
      </w:r>
      <w:r>
        <w:rPr>
          <w:rFonts w:eastAsiaTheme="minorEastAsia" w:hAnsiTheme="minorEastAsia" w:hint="eastAsia"/>
          <w:kern w:val="0"/>
          <w:szCs w:val="21"/>
        </w:rPr>
        <w:t>，</w:t>
      </w:r>
      <w:r>
        <w:rPr>
          <w:rFonts w:eastAsiaTheme="minorEastAsia" w:hAnsiTheme="minorEastAsia"/>
          <w:kern w:val="0"/>
          <w:szCs w:val="21"/>
        </w:rPr>
        <w:t>植物组织培养的发展简史。</w:t>
      </w:r>
    </w:p>
    <w:p w14:paraId="10C0E422" w14:textId="77777777" w:rsidR="00F5289E" w:rsidRDefault="00C91173">
      <w:pPr>
        <w:widowControl/>
        <w:snapToGrid w:val="0"/>
        <w:spacing w:line="360" w:lineRule="auto"/>
        <w:ind w:firstLineChars="200" w:firstLine="420"/>
        <w:rPr>
          <w:rFonts w:eastAsiaTheme="minorEastAsia" w:hAnsiTheme="minorEastAsia"/>
          <w:kern w:val="0"/>
          <w:szCs w:val="21"/>
        </w:rPr>
      </w:pPr>
      <w:r>
        <w:rPr>
          <w:rFonts w:eastAsiaTheme="minorEastAsia" w:hAnsiTheme="minorEastAsia"/>
          <w:kern w:val="0"/>
          <w:szCs w:val="21"/>
        </w:rPr>
        <w:t>掌握</w:t>
      </w:r>
      <w:r>
        <w:rPr>
          <w:rFonts w:eastAsiaTheme="minorEastAsia" w:hAnsiTheme="minorEastAsia" w:hint="eastAsia"/>
          <w:kern w:val="0"/>
          <w:szCs w:val="21"/>
        </w:rPr>
        <w:t>：</w:t>
      </w:r>
      <w:r>
        <w:rPr>
          <w:rFonts w:eastAsiaTheme="minorEastAsia" w:hAnsiTheme="minorEastAsia"/>
          <w:kern w:val="0"/>
          <w:szCs w:val="21"/>
        </w:rPr>
        <w:t>植物组织培养</w:t>
      </w:r>
      <w:r>
        <w:rPr>
          <w:rFonts w:eastAsiaTheme="minorEastAsia" w:hAnsiTheme="minorEastAsia" w:hint="eastAsia"/>
          <w:kern w:val="0"/>
          <w:szCs w:val="21"/>
        </w:rPr>
        <w:t>及相关专业术语的概念，</w:t>
      </w:r>
      <w:r>
        <w:rPr>
          <w:rFonts w:eastAsiaTheme="minorEastAsia" w:hAnsiTheme="minorEastAsia"/>
          <w:kern w:val="0"/>
          <w:szCs w:val="21"/>
        </w:rPr>
        <w:t>植物组织培养在园艺植物生产中的应用。</w:t>
      </w:r>
    </w:p>
    <w:p w14:paraId="52FCB734"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440D3156"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以班级授课的形式讲授植物组织培养的发展简史，列举生活和生产上的案例让学生了解植物组织培养技术的重要性。</w:t>
      </w:r>
    </w:p>
    <w:p w14:paraId="492A9C37" w14:textId="77777777" w:rsidR="00F5289E" w:rsidRDefault="00C91173">
      <w:pPr>
        <w:widowControl/>
        <w:wordWrap w:val="0"/>
        <w:snapToGrid w:val="0"/>
        <w:spacing w:beforeLines="50" w:before="156" w:line="360" w:lineRule="auto"/>
        <w:jc w:val="right"/>
        <w:rPr>
          <w:rFonts w:eastAsiaTheme="minorEastAsia"/>
          <w:kern w:val="0"/>
          <w:szCs w:val="21"/>
        </w:rPr>
      </w:pPr>
      <w:r>
        <w:rPr>
          <w:rFonts w:eastAsiaTheme="minorEastAsia" w:hAnsiTheme="minorEastAsia"/>
          <w:b/>
          <w:bCs/>
          <w:color w:val="000000" w:themeColor="text1"/>
          <w:kern w:val="0"/>
          <w:szCs w:val="21"/>
        </w:rPr>
        <w:t>第一章</w:t>
      </w:r>
      <w:r>
        <w:rPr>
          <w:rFonts w:eastAsiaTheme="minorEastAsia" w:hint="eastAsia"/>
          <w:b/>
          <w:bCs/>
          <w:color w:val="000000" w:themeColor="text1"/>
          <w:kern w:val="0"/>
          <w:szCs w:val="21"/>
        </w:rPr>
        <w:t xml:space="preserve">  </w:t>
      </w:r>
      <w:r>
        <w:rPr>
          <w:rFonts w:eastAsiaTheme="minorEastAsia" w:hAnsiTheme="minorEastAsia"/>
          <w:b/>
          <w:bCs/>
          <w:kern w:val="0"/>
          <w:szCs w:val="21"/>
        </w:rPr>
        <w:t>植物组织培养的基本技术</w:t>
      </w:r>
      <w:r>
        <w:rPr>
          <w:rFonts w:eastAsiaTheme="minorEastAsia" w:hAnsiTheme="minorEastAsia" w:hint="eastAsia"/>
          <w:b/>
          <w:bCs/>
          <w:kern w:val="0"/>
          <w:szCs w:val="21"/>
        </w:rPr>
        <w:t>与条件</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02B7BA02"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介绍植物组织培养实验室的组成和布局、基本培养基的配制、外植体消毒和无菌操作技术，通过讲解使学生能够独立、正确完成基本操作技术。</w:t>
      </w:r>
    </w:p>
    <w:p w14:paraId="5D6791E7"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69552714"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重点：培养基的成分及其作用，培养基和外植体的灭菌方法；</w:t>
      </w:r>
    </w:p>
    <w:p w14:paraId="02C92B25"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w:t>
      </w:r>
      <w:r>
        <w:rPr>
          <w:rFonts w:eastAsiaTheme="minorEastAsia"/>
          <w:kern w:val="0"/>
          <w:szCs w:val="21"/>
        </w:rPr>
        <w:t>MS</w:t>
      </w:r>
      <w:r>
        <w:rPr>
          <w:rFonts w:eastAsiaTheme="minorEastAsia" w:hAnsiTheme="minorEastAsia"/>
          <w:kern w:val="0"/>
          <w:szCs w:val="21"/>
        </w:rPr>
        <w:t>培养基母液和工作培养基的配制，不同类型外植体的所对应的灭菌方法。</w:t>
      </w:r>
    </w:p>
    <w:p w14:paraId="7A88EE19"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7223361C"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AnsiTheme="minorEastAsia"/>
          <w:kern w:val="0"/>
          <w:szCs w:val="21"/>
        </w:rPr>
        <w:t>了解</w:t>
      </w:r>
      <w:r>
        <w:rPr>
          <w:rFonts w:eastAsiaTheme="minorEastAsia" w:hAnsiTheme="minorEastAsia" w:hint="eastAsia"/>
          <w:kern w:val="0"/>
          <w:szCs w:val="21"/>
        </w:rPr>
        <w:t>：</w:t>
      </w:r>
      <w:r>
        <w:rPr>
          <w:rFonts w:eastAsiaTheme="minorEastAsia" w:hAnsiTheme="minorEastAsia"/>
          <w:kern w:val="0"/>
          <w:szCs w:val="21"/>
        </w:rPr>
        <w:t>植物培养实验室的设置和布局。</w:t>
      </w:r>
    </w:p>
    <w:p w14:paraId="4BDFB8D9"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AnsiTheme="minorEastAsia"/>
          <w:kern w:val="0"/>
          <w:szCs w:val="21"/>
        </w:rPr>
        <w:t>掌握</w:t>
      </w:r>
      <w:r>
        <w:rPr>
          <w:rFonts w:eastAsiaTheme="minorEastAsia" w:hAnsiTheme="minorEastAsia" w:hint="eastAsia"/>
          <w:kern w:val="0"/>
          <w:szCs w:val="21"/>
        </w:rPr>
        <w:t>：</w:t>
      </w:r>
      <w:r>
        <w:rPr>
          <w:rFonts w:eastAsiaTheme="minorEastAsia" w:hAnsiTheme="minorEastAsia"/>
          <w:kern w:val="0"/>
          <w:szCs w:val="21"/>
        </w:rPr>
        <w:t>植物组织培养的一般环境条件。</w:t>
      </w:r>
    </w:p>
    <w:p w14:paraId="60C32D3A" w14:textId="77777777" w:rsidR="00F5289E" w:rsidRDefault="00C91173">
      <w:pPr>
        <w:widowControl/>
        <w:snapToGrid w:val="0"/>
        <w:spacing w:line="360" w:lineRule="auto"/>
        <w:ind w:firstLineChars="200" w:firstLine="420"/>
        <w:rPr>
          <w:rFonts w:eastAsiaTheme="minorEastAsia" w:hAnsiTheme="minorEastAsia"/>
          <w:kern w:val="0"/>
          <w:szCs w:val="21"/>
        </w:rPr>
      </w:pPr>
      <w:r>
        <w:rPr>
          <w:rFonts w:eastAsiaTheme="minorEastAsia" w:hAnsiTheme="minorEastAsia"/>
          <w:kern w:val="0"/>
          <w:szCs w:val="21"/>
        </w:rPr>
        <w:t>熟练掌握</w:t>
      </w:r>
      <w:r>
        <w:rPr>
          <w:rFonts w:eastAsiaTheme="minorEastAsia" w:hAnsiTheme="minorEastAsia" w:hint="eastAsia"/>
          <w:kern w:val="0"/>
          <w:szCs w:val="21"/>
        </w:rPr>
        <w:t>：</w:t>
      </w:r>
      <w:r>
        <w:rPr>
          <w:rFonts w:eastAsiaTheme="minorEastAsia" w:hAnsiTheme="minorEastAsia"/>
          <w:kern w:val="0"/>
          <w:szCs w:val="21"/>
        </w:rPr>
        <w:t>常用的培养基的组成和配制方法</w:t>
      </w:r>
      <w:r>
        <w:rPr>
          <w:rFonts w:eastAsiaTheme="minorEastAsia" w:hAnsiTheme="minorEastAsia" w:hint="eastAsia"/>
          <w:kern w:val="0"/>
          <w:szCs w:val="21"/>
        </w:rPr>
        <w:t>，</w:t>
      </w:r>
      <w:r>
        <w:rPr>
          <w:rFonts w:eastAsiaTheme="minorEastAsia" w:hAnsiTheme="minorEastAsia"/>
          <w:kern w:val="0"/>
          <w:szCs w:val="21"/>
        </w:rPr>
        <w:t>组织培养的基本操作技术。</w:t>
      </w:r>
    </w:p>
    <w:p w14:paraId="3AAB0674"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lastRenderedPageBreak/>
        <w:t>教学组织与实施：</w:t>
      </w:r>
    </w:p>
    <w:p w14:paraId="4E2357B2"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实验室的组成和布局、基本培养基的配制、外植体消毒和无菌操作技术</w:t>
      </w:r>
      <w:r>
        <w:rPr>
          <w:rFonts w:eastAsiaTheme="minorEastAsia" w:hint="eastAsia"/>
          <w:kern w:val="0"/>
          <w:szCs w:val="21"/>
        </w:rPr>
        <w:t>，结合课程实验</w:t>
      </w:r>
      <w:r>
        <w:rPr>
          <w:rFonts w:eastAsiaTheme="minorEastAsia"/>
          <w:kern w:val="0"/>
          <w:szCs w:val="21"/>
        </w:rPr>
        <w:t>实地考察组织培养实验室</w:t>
      </w:r>
      <w:r>
        <w:rPr>
          <w:rFonts w:eastAsiaTheme="minorEastAsia" w:hint="eastAsia"/>
          <w:kern w:val="0"/>
          <w:szCs w:val="21"/>
        </w:rPr>
        <w:t>，使学生掌握</w:t>
      </w:r>
      <w:r>
        <w:rPr>
          <w:rFonts w:eastAsiaTheme="minorEastAsia"/>
          <w:kern w:val="0"/>
          <w:szCs w:val="21"/>
        </w:rPr>
        <w:t>实验室的设置和布局原则</w:t>
      </w:r>
      <w:r>
        <w:rPr>
          <w:rFonts w:eastAsiaTheme="minorEastAsia" w:hint="eastAsia"/>
          <w:kern w:val="0"/>
          <w:szCs w:val="21"/>
        </w:rPr>
        <w:t>。</w:t>
      </w:r>
    </w:p>
    <w:p w14:paraId="3CE83369" w14:textId="77777777" w:rsidR="00F5289E" w:rsidRDefault="00C91173">
      <w:pPr>
        <w:widowControl/>
        <w:wordWrap w:val="0"/>
        <w:snapToGrid w:val="0"/>
        <w:spacing w:beforeLines="50" w:before="156" w:line="360" w:lineRule="auto"/>
        <w:jc w:val="right"/>
        <w:rPr>
          <w:rFonts w:eastAsiaTheme="minorEastAsia"/>
          <w:kern w:val="0"/>
          <w:szCs w:val="21"/>
        </w:rPr>
      </w:pPr>
      <w:r>
        <w:rPr>
          <w:rFonts w:eastAsiaTheme="minorEastAsia" w:hAnsiTheme="minorEastAsia"/>
          <w:b/>
          <w:bCs/>
          <w:color w:val="000000" w:themeColor="text1"/>
          <w:kern w:val="0"/>
          <w:szCs w:val="21"/>
        </w:rPr>
        <w:t>第二章</w:t>
      </w:r>
      <w:r>
        <w:rPr>
          <w:rFonts w:eastAsiaTheme="minorEastAsia" w:hint="eastAsia"/>
          <w:b/>
          <w:bCs/>
          <w:color w:val="000000" w:themeColor="text1"/>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植物</w:t>
      </w:r>
      <w:r>
        <w:rPr>
          <w:rFonts w:eastAsiaTheme="minorEastAsia" w:hAnsiTheme="minorEastAsia" w:hint="eastAsia"/>
          <w:b/>
          <w:bCs/>
          <w:kern w:val="0"/>
          <w:szCs w:val="21"/>
        </w:rPr>
        <w:t>细胞全能性与离体形态建成</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330924A1"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介绍植物细胞全能性的含义</w:t>
      </w:r>
      <w:r>
        <w:rPr>
          <w:rFonts w:eastAsiaTheme="minorEastAsia" w:hAnsiTheme="minorEastAsia" w:hint="eastAsia"/>
          <w:kern w:val="0"/>
          <w:szCs w:val="21"/>
        </w:rPr>
        <w:t>及调控表达、形态建成的两种途径（器官发生途径和体细胞胚胎发生途径）的调控方式，</w:t>
      </w:r>
      <w:r>
        <w:rPr>
          <w:rFonts w:eastAsiaTheme="minorEastAsia" w:hAnsiTheme="minorEastAsia"/>
          <w:kern w:val="0"/>
          <w:szCs w:val="21"/>
        </w:rPr>
        <w:t>使学生掌握植物细胞全能性</w:t>
      </w:r>
      <w:r>
        <w:rPr>
          <w:rFonts w:eastAsiaTheme="minorEastAsia" w:hAnsiTheme="minorEastAsia" w:hint="eastAsia"/>
          <w:kern w:val="0"/>
          <w:szCs w:val="21"/>
        </w:rPr>
        <w:t>的</w:t>
      </w:r>
      <w:r>
        <w:rPr>
          <w:rFonts w:eastAsiaTheme="minorEastAsia" w:hAnsiTheme="minorEastAsia"/>
          <w:kern w:val="0"/>
          <w:szCs w:val="21"/>
        </w:rPr>
        <w:t>表达</w:t>
      </w:r>
      <w:r>
        <w:rPr>
          <w:rFonts w:eastAsiaTheme="minorEastAsia" w:hAnsiTheme="minorEastAsia" w:hint="eastAsia"/>
          <w:kern w:val="0"/>
          <w:szCs w:val="21"/>
        </w:rPr>
        <w:t>调控方法和形态建成调控</w:t>
      </w:r>
      <w:r>
        <w:rPr>
          <w:rFonts w:eastAsiaTheme="minorEastAsia" w:hAnsiTheme="minorEastAsia"/>
          <w:kern w:val="0"/>
          <w:szCs w:val="21"/>
        </w:rPr>
        <w:t>。</w:t>
      </w:r>
    </w:p>
    <w:p w14:paraId="00CEF408"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1E748B95"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重点：细胞全能性的概念，</w:t>
      </w:r>
      <w:r>
        <w:rPr>
          <w:rFonts w:eastAsiaTheme="minorEastAsia" w:hAnsiTheme="minorEastAsia" w:hint="eastAsia"/>
          <w:kern w:val="0"/>
          <w:szCs w:val="21"/>
        </w:rPr>
        <w:t>器官发生途径和体细胞胚发生途径</w:t>
      </w:r>
      <w:r>
        <w:rPr>
          <w:rFonts w:eastAsiaTheme="minorEastAsia" w:hAnsiTheme="minorEastAsia"/>
          <w:kern w:val="0"/>
          <w:szCs w:val="21"/>
        </w:rPr>
        <w:t>；</w:t>
      </w:r>
    </w:p>
    <w:p w14:paraId="781BA134"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难点：细胞全能性表达难易程度及其表达调控</w:t>
      </w:r>
      <w:r>
        <w:rPr>
          <w:rFonts w:eastAsiaTheme="minorEastAsia" w:hAnsiTheme="minorEastAsia" w:hint="eastAsia"/>
          <w:kern w:val="0"/>
          <w:szCs w:val="21"/>
        </w:rPr>
        <w:t>、两种形态发生途径的异同点及其调控方法。</w:t>
      </w:r>
    </w:p>
    <w:p w14:paraId="57043792"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57D4BF05" w14:textId="77777777" w:rsidR="00F5289E" w:rsidRDefault="00C91173">
      <w:pPr>
        <w:pStyle w:val="a7"/>
        <w:snapToGrid w:val="0"/>
        <w:spacing w:line="360" w:lineRule="auto"/>
        <w:ind w:rightChars="-14" w:right="-29"/>
        <w:jc w:val="left"/>
        <w:rPr>
          <w:rFonts w:ascii="Times New Roman" w:eastAsiaTheme="minorEastAsia"/>
          <w:kern w:val="0"/>
          <w:szCs w:val="21"/>
        </w:rPr>
      </w:pPr>
      <w:r>
        <w:rPr>
          <w:rFonts w:ascii="Times New Roman" w:eastAsiaTheme="minorEastAsia" w:hAnsiTheme="minorEastAsia"/>
          <w:kern w:val="0"/>
          <w:szCs w:val="21"/>
        </w:rPr>
        <w:t>理解</w:t>
      </w:r>
      <w:r>
        <w:rPr>
          <w:rFonts w:ascii="Times New Roman" w:eastAsiaTheme="minorEastAsia" w:hAnsiTheme="minorEastAsia" w:hint="eastAsia"/>
          <w:kern w:val="0"/>
          <w:szCs w:val="21"/>
        </w:rPr>
        <w:t>：</w:t>
      </w:r>
      <w:r>
        <w:rPr>
          <w:rFonts w:ascii="Times New Roman" w:eastAsiaTheme="minorEastAsia" w:hAnsiTheme="minorEastAsia"/>
          <w:kern w:val="0"/>
          <w:szCs w:val="21"/>
        </w:rPr>
        <w:t>细胞全能性概述</w:t>
      </w:r>
      <w:r>
        <w:rPr>
          <w:rFonts w:ascii="Times New Roman" w:eastAsiaTheme="minorEastAsia" w:hAnsiTheme="minorEastAsia" w:hint="eastAsia"/>
          <w:kern w:val="0"/>
          <w:szCs w:val="21"/>
        </w:rPr>
        <w:t>，</w:t>
      </w:r>
      <w:r>
        <w:rPr>
          <w:rFonts w:ascii="Times New Roman" w:eastAsiaTheme="minorEastAsia" w:hAnsiTheme="minorEastAsia"/>
          <w:kern w:val="0"/>
          <w:szCs w:val="21"/>
        </w:rPr>
        <w:t>理解培养条件下细胞的脱分化与再分化</w:t>
      </w:r>
      <w:r>
        <w:rPr>
          <w:rFonts w:ascii="Times New Roman" w:eastAsiaTheme="minorEastAsia" w:hAnsiTheme="minorEastAsia" w:hint="eastAsia"/>
          <w:kern w:val="0"/>
          <w:szCs w:val="21"/>
        </w:rPr>
        <w:t>，离体条件下形态建成的各种途径、人工种子结构及制备方法</w:t>
      </w:r>
      <w:r>
        <w:rPr>
          <w:rFonts w:ascii="Times New Roman" w:eastAsiaTheme="minorEastAsia" w:hAnsiTheme="minorEastAsia"/>
          <w:kern w:val="0"/>
          <w:szCs w:val="21"/>
        </w:rPr>
        <w:t>。</w:t>
      </w:r>
    </w:p>
    <w:p w14:paraId="17B0FAA3" w14:textId="77777777" w:rsidR="00F5289E" w:rsidRDefault="00C91173">
      <w:pPr>
        <w:pStyle w:val="a7"/>
        <w:snapToGrid w:val="0"/>
        <w:spacing w:line="360" w:lineRule="auto"/>
        <w:ind w:rightChars="-14" w:right="-29"/>
        <w:jc w:val="left"/>
        <w:rPr>
          <w:rFonts w:ascii="Times New Roman" w:eastAsiaTheme="minorEastAsia" w:hAnsiTheme="minorEastAsia"/>
          <w:kern w:val="0"/>
          <w:szCs w:val="21"/>
        </w:rPr>
      </w:pPr>
      <w:r>
        <w:rPr>
          <w:rFonts w:ascii="Times New Roman" w:eastAsiaTheme="minorEastAsia" w:hAnsiTheme="minorEastAsia"/>
          <w:kern w:val="0"/>
          <w:szCs w:val="21"/>
        </w:rPr>
        <w:t>掌握</w:t>
      </w:r>
      <w:r>
        <w:rPr>
          <w:rFonts w:ascii="Times New Roman" w:eastAsiaTheme="minorEastAsia" w:hAnsiTheme="minorEastAsia" w:hint="eastAsia"/>
          <w:kern w:val="0"/>
          <w:szCs w:val="21"/>
        </w:rPr>
        <w:t>：两种形态发生途径的诱导、调控方法及影响因素</w:t>
      </w:r>
      <w:r>
        <w:rPr>
          <w:rFonts w:ascii="Times New Roman" w:eastAsiaTheme="minorEastAsia" w:hAnsiTheme="minorEastAsia"/>
          <w:kern w:val="0"/>
          <w:szCs w:val="21"/>
        </w:rPr>
        <w:t>。</w:t>
      </w:r>
    </w:p>
    <w:p w14:paraId="7B8BEE31"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423DC9BB"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植物细胞全能性的含义、</w:t>
      </w:r>
      <w:r>
        <w:rPr>
          <w:rFonts w:eastAsiaTheme="minorEastAsia" w:hAnsiTheme="minorEastAsia" w:hint="eastAsia"/>
          <w:kern w:val="0"/>
          <w:szCs w:val="21"/>
        </w:rPr>
        <w:t>调控表达、离体形态建成调控</w:t>
      </w:r>
      <w:r>
        <w:rPr>
          <w:rFonts w:eastAsiaTheme="minorEastAsia" w:hAnsiTheme="minorEastAsia"/>
          <w:kern w:val="0"/>
          <w:szCs w:val="21"/>
        </w:rPr>
        <w:t>过程，</w:t>
      </w:r>
      <w:r>
        <w:rPr>
          <w:rFonts w:eastAsiaTheme="minorEastAsia" w:hint="eastAsia"/>
          <w:kern w:val="0"/>
          <w:szCs w:val="21"/>
        </w:rPr>
        <w:t>授课过程中采用大量专业知识相关图片与视频，</w:t>
      </w:r>
      <w:r>
        <w:rPr>
          <w:rFonts w:eastAsiaTheme="minorEastAsia" w:hAnsiTheme="minorEastAsia"/>
          <w:kern w:val="0"/>
          <w:szCs w:val="21"/>
        </w:rPr>
        <w:t>使学生掌握植物细胞全能性表达的基本程序调控方法</w:t>
      </w:r>
      <w:r>
        <w:rPr>
          <w:rFonts w:eastAsiaTheme="minorEastAsia" w:hAnsiTheme="minorEastAsia" w:hint="eastAsia"/>
          <w:kern w:val="0"/>
          <w:szCs w:val="21"/>
        </w:rPr>
        <w:t>以及形态建成的理论调控方法；学生自学人工种子制备方法</w:t>
      </w:r>
      <w:r>
        <w:rPr>
          <w:rFonts w:eastAsiaTheme="minorEastAsia" w:hint="eastAsia"/>
          <w:kern w:val="0"/>
          <w:szCs w:val="21"/>
        </w:rPr>
        <w:t>）。</w:t>
      </w:r>
    </w:p>
    <w:p w14:paraId="5770F58E" w14:textId="77777777" w:rsidR="00F5289E" w:rsidRDefault="00C91173">
      <w:pPr>
        <w:widowControl/>
        <w:wordWrap w:val="0"/>
        <w:snapToGrid w:val="0"/>
        <w:spacing w:beforeLines="50" w:before="156" w:line="360" w:lineRule="auto"/>
        <w:jc w:val="right"/>
        <w:rPr>
          <w:rFonts w:eastAsiaTheme="minorEastAsia"/>
          <w:kern w:val="0"/>
          <w:szCs w:val="21"/>
        </w:rPr>
      </w:pPr>
      <w:r>
        <w:rPr>
          <w:rFonts w:eastAsiaTheme="minorEastAsia" w:hAnsiTheme="minorEastAsia"/>
          <w:b/>
          <w:bCs/>
          <w:kern w:val="0"/>
          <w:szCs w:val="21"/>
        </w:rPr>
        <w:t>第</w:t>
      </w:r>
      <w:r>
        <w:rPr>
          <w:rFonts w:eastAsiaTheme="minorEastAsia" w:hAnsiTheme="minorEastAsia" w:hint="eastAsia"/>
          <w:b/>
          <w:bCs/>
          <w:kern w:val="0"/>
          <w:szCs w:val="21"/>
        </w:rPr>
        <w:t>三</w:t>
      </w:r>
      <w:r>
        <w:rPr>
          <w:rFonts w:eastAsiaTheme="minorEastAsia" w:hAnsiTheme="minorEastAsia"/>
          <w:b/>
          <w:bCs/>
          <w:kern w:val="0"/>
          <w:szCs w:val="21"/>
        </w:rPr>
        <w:t>章</w:t>
      </w:r>
      <w:r>
        <w:rPr>
          <w:rFonts w:eastAsiaTheme="minorEastAsia" w:hint="eastAsia"/>
          <w:b/>
          <w:bCs/>
          <w:kern w:val="0"/>
          <w:szCs w:val="21"/>
        </w:rPr>
        <w:t xml:space="preserve">  </w:t>
      </w:r>
      <w:r>
        <w:rPr>
          <w:rFonts w:eastAsiaTheme="minorEastAsia" w:hAnsiTheme="minorEastAsia"/>
          <w:b/>
          <w:bCs/>
          <w:kern w:val="0"/>
          <w:szCs w:val="21"/>
        </w:rPr>
        <w:t>体细胞无性系变异</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238934A2"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介绍植物体细胞无性系变异的概念、特点及其在育种中的应用，使学生了解突变体材料获得的途径与方法。</w:t>
      </w:r>
    </w:p>
    <w:p w14:paraId="61B501D7"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781490E2"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重点：无性系变异的特点及其诱导方法；</w:t>
      </w:r>
    </w:p>
    <w:p w14:paraId="48073100"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难点：目的突变性状的筛选。</w:t>
      </w:r>
    </w:p>
    <w:p w14:paraId="56EFB36D"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44C3420D" w14:textId="77777777" w:rsidR="00F5289E" w:rsidRDefault="00C91173">
      <w:pPr>
        <w:pStyle w:val="a7"/>
        <w:snapToGrid w:val="0"/>
        <w:spacing w:line="360" w:lineRule="auto"/>
        <w:ind w:rightChars="-14" w:right="-29"/>
        <w:jc w:val="left"/>
        <w:rPr>
          <w:rFonts w:ascii="Times New Roman" w:eastAsiaTheme="minorEastAsia"/>
          <w:kern w:val="0"/>
          <w:szCs w:val="21"/>
        </w:rPr>
      </w:pPr>
      <w:r>
        <w:rPr>
          <w:rFonts w:ascii="Times New Roman" w:eastAsiaTheme="minorEastAsia" w:hAnsiTheme="minorEastAsia"/>
          <w:kern w:val="0"/>
          <w:szCs w:val="21"/>
        </w:rPr>
        <w:t>了解</w:t>
      </w:r>
      <w:r>
        <w:rPr>
          <w:rFonts w:ascii="Times New Roman" w:eastAsiaTheme="minorEastAsia" w:hAnsiTheme="minorEastAsia" w:hint="eastAsia"/>
          <w:kern w:val="0"/>
          <w:szCs w:val="21"/>
        </w:rPr>
        <w:t>：</w:t>
      </w:r>
      <w:r>
        <w:rPr>
          <w:rFonts w:ascii="Times New Roman" w:eastAsiaTheme="minorEastAsia" w:hAnsiTheme="minorEastAsia"/>
          <w:kern w:val="0"/>
          <w:szCs w:val="21"/>
        </w:rPr>
        <w:t>离体条件下无性系变异的特点</w:t>
      </w:r>
      <w:r>
        <w:rPr>
          <w:rFonts w:ascii="Times New Roman" w:eastAsiaTheme="minorEastAsia" w:hAnsiTheme="minorEastAsia" w:hint="eastAsia"/>
          <w:kern w:val="0"/>
          <w:szCs w:val="21"/>
        </w:rPr>
        <w:t>，</w:t>
      </w:r>
      <w:r>
        <w:rPr>
          <w:rFonts w:ascii="Times New Roman" w:eastAsiaTheme="minorEastAsia" w:hAnsiTheme="minorEastAsia"/>
          <w:kern w:val="0"/>
          <w:szCs w:val="21"/>
        </w:rPr>
        <w:t>无性系变异的细胞学和分子学基础</w:t>
      </w:r>
      <w:r>
        <w:rPr>
          <w:rFonts w:ascii="Times New Roman" w:eastAsiaTheme="minorEastAsia" w:hAnsiTheme="minorEastAsia" w:hint="eastAsia"/>
          <w:kern w:val="0"/>
          <w:szCs w:val="21"/>
        </w:rPr>
        <w:t>，</w:t>
      </w:r>
      <w:r>
        <w:rPr>
          <w:rFonts w:ascii="Times New Roman" w:eastAsiaTheme="minorEastAsia" w:hAnsiTheme="minorEastAsia"/>
          <w:kern w:val="0"/>
          <w:szCs w:val="21"/>
        </w:rPr>
        <w:t>无性系变异在园艺植物育种中的应用。</w:t>
      </w:r>
    </w:p>
    <w:p w14:paraId="11C9C451" w14:textId="77777777" w:rsidR="00F5289E" w:rsidRDefault="00C91173">
      <w:pPr>
        <w:pStyle w:val="a7"/>
        <w:snapToGrid w:val="0"/>
        <w:spacing w:line="360" w:lineRule="auto"/>
        <w:ind w:rightChars="-14" w:right="-29"/>
        <w:jc w:val="left"/>
        <w:rPr>
          <w:rFonts w:ascii="Times New Roman" w:eastAsiaTheme="minorEastAsia" w:hAnsiTheme="minorEastAsia"/>
          <w:kern w:val="0"/>
          <w:szCs w:val="21"/>
        </w:rPr>
      </w:pPr>
      <w:r>
        <w:rPr>
          <w:rFonts w:ascii="Times New Roman" w:eastAsiaTheme="minorEastAsia" w:hAnsiTheme="minorEastAsia"/>
          <w:kern w:val="0"/>
          <w:szCs w:val="21"/>
        </w:rPr>
        <w:t>掌握</w:t>
      </w:r>
      <w:r>
        <w:rPr>
          <w:rFonts w:ascii="Times New Roman" w:eastAsiaTheme="minorEastAsia" w:hAnsiTheme="minorEastAsia" w:hint="eastAsia"/>
          <w:kern w:val="0"/>
          <w:szCs w:val="21"/>
        </w:rPr>
        <w:t>：</w:t>
      </w:r>
      <w:r>
        <w:rPr>
          <w:rFonts w:ascii="Times New Roman" w:eastAsiaTheme="minorEastAsia" w:hAnsiTheme="minorEastAsia"/>
          <w:kern w:val="0"/>
          <w:szCs w:val="21"/>
        </w:rPr>
        <w:t>无性系变异的影响因素</w:t>
      </w:r>
      <w:r>
        <w:rPr>
          <w:rFonts w:ascii="Times New Roman" w:eastAsiaTheme="minorEastAsia" w:hAnsiTheme="minorEastAsia" w:hint="eastAsia"/>
          <w:kern w:val="0"/>
          <w:szCs w:val="21"/>
        </w:rPr>
        <w:t>，</w:t>
      </w:r>
      <w:r>
        <w:rPr>
          <w:rFonts w:ascii="Times New Roman" w:eastAsiaTheme="minorEastAsia" w:hAnsiTheme="minorEastAsia"/>
          <w:kern w:val="0"/>
          <w:szCs w:val="21"/>
        </w:rPr>
        <w:t>无性系变异的诱导与选择方法。</w:t>
      </w:r>
    </w:p>
    <w:p w14:paraId="047D17DE"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4E095B37"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体细胞无性系变异的概念、特点及其在育种中的应用，</w:t>
      </w:r>
      <w:r>
        <w:rPr>
          <w:rFonts w:eastAsiaTheme="minorEastAsia" w:hAnsiTheme="minorEastAsia" w:hint="eastAsia"/>
          <w:kern w:val="0"/>
          <w:szCs w:val="21"/>
        </w:rPr>
        <w:t>授课</w:t>
      </w:r>
      <w:r>
        <w:rPr>
          <w:rFonts w:eastAsiaTheme="minorEastAsia" w:hAnsiTheme="minorEastAsia"/>
          <w:kern w:val="0"/>
          <w:szCs w:val="21"/>
        </w:rPr>
        <w:t>时先回顾育种学相关背景知识，并</w:t>
      </w:r>
      <w:r>
        <w:rPr>
          <w:rFonts w:eastAsiaTheme="minorEastAsia" w:hint="eastAsia"/>
          <w:kern w:val="0"/>
          <w:szCs w:val="21"/>
        </w:rPr>
        <w:t>采用</w:t>
      </w:r>
      <w:r>
        <w:rPr>
          <w:rFonts w:eastAsiaTheme="minorEastAsia"/>
          <w:kern w:val="0"/>
          <w:szCs w:val="21"/>
        </w:rPr>
        <w:t>讨论、互动等形式，</w:t>
      </w:r>
      <w:r>
        <w:rPr>
          <w:rFonts w:eastAsiaTheme="minorEastAsia" w:hAnsiTheme="minorEastAsia"/>
          <w:kern w:val="0"/>
          <w:szCs w:val="21"/>
        </w:rPr>
        <w:t>使学生了解突变体材料获得的途径与方法</w:t>
      </w:r>
      <w:r>
        <w:rPr>
          <w:rFonts w:eastAsiaTheme="minorEastAsia" w:hint="eastAsia"/>
          <w:kern w:val="0"/>
          <w:szCs w:val="21"/>
        </w:rPr>
        <w:t>。</w:t>
      </w:r>
    </w:p>
    <w:p w14:paraId="57FD3654" w14:textId="77777777" w:rsidR="00F5289E" w:rsidRDefault="00C91173">
      <w:pPr>
        <w:widowControl/>
        <w:wordWrap w:val="0"/>
        <w:snapToGrid w:val="0"/>
        <w:spacing w:beforeLines="50" w:before="156" w:line="360" w:lineRule="auto"/>
        <w:jc w:val="right"/>
        <w:rPr>
          <w:rFonts w:eastAsiaTheme="minorEastAsia"/>
          <w:kern w:val="0"/>
          <w:szCs w:val="21"/>
        </w:rPr>
      </w:pPr>
      <w:r>
        <w:rPr>
          <w:rFonts w:eastAsiaTheme="minorEastAsia" w:hAnsiTheme="minorEastAsia"/>
          <w:b/>
          <w:bCs/>
          <w:kern w:val="0"/>
          <w:szCs w:val="21"/>
        </w:rPr>
        <w:t>第</w:t>
      </w:r>
      <w:r>
        <w:rPr>
          <w:rFonts w:eastAsiaTheme="minorEastAsia" w:hAnsiTheme="minorEastAsia" w:hint="eastAsia"/>
          <w:b/>
          <w:bCs/>
          <w:kern w:val="0"/>
          <w:szCs w:val="21"/>
        </w:rPr>
        <w:t>四</w:t>
      </w:r>
      <w:r>
        <w:rPr>
          <w:rFonts w:eastAsiaTheme="minorEastAsia" w:hAnsiTheme="minorEastAsia"/>
          <w:b/>
          <w:bCs/>
          <w:kern w:val="0"/>
          <w:szCs w:val="21"/>
        </w:rPr>
        <w:t>章</w:t>
      </w:r>
      <w:r>
        <w:rPr>
          <w:rFonts w:eastAsiaTheme="minorEastAsia" w:hint="eastAsia"/>
          <w:b/>
          <w:bCs/>
          <w:kern w:val="0"/>
          <w:szCs w:val="21"/>
        </w:rPr>
        <w:t xml:space="preserve">  </w:t>
      </w:r>
      <w:r>
        <w:rPr>
          <w:rFonts w:eastAsiaTheme="minorEastAsia" w:hAnsiTheme="minorEastAsia"/>
          <w:b/>
          <w:bCs/>
          <w:kern w:val="0"/>
          <w:szCs w:val="21"/>
        </w:rPr>
        <w:t>植物脱毒与</w:t>
      </w:r>
      <w:r>
        <w:rPr>
          <w:rFonts w:eastAsiaTheme="minorEastAsia" w:hAnsiTheme="minorEastAsia" w:hint="eastAsia"/>
          <w:b/>
          <w:bCs/>
          <w:kern w:val="0"/>
          <w:szCs w:val="21"/>
        </w:rPr>
        <w:t>离体</w:t>
      </w:r>
      <w:r>
        <w:rPr>
          <w:rFonts w:eastAsiaTheme="minorEastAsia" w:hAnsiTheme="minorEastAsia"/>
          <w:b/>
          <w:bCs/>
          <w:kern w:val="0"/>
          <w:szCs w:val="21"/>
        </w:rPr>
        <w:t>快繁</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281A1D31"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介绍植物组织培养的重要应用技术</w:t>
      </w:r>
      <w:r>
        <w:rPr>
          <w:rFonts w:eastAsiaTheme="minorEastAsia"/>
          <w:kern w:val="0"/>
          <w:szCs w:val="21"/>
        </w:rPr>
        <w:t>——</w:t>
      </w:r>
      <w:r>
        <w:rPr>
          <w:rFonts w:eastAsiaTheme="minorEastAsia" w:hAnsiTheme="minorEastAsia"/>
          <w:kern w:val="0"/>
          <w:szCs w:val="21"/>
        </w:rPr>
        <w:t>脱毒和快繁，使学生熟练掌握这两项技术的基本方法，了解它们在现代植物生产中的应用。</w:t>
      </w:r>
    </w:p>
    <w:p w14:paraId="0CDEB121"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lastRenderedPageBreak/>
        <w:t>教学重点和难点：</w:t>
      </w:r>
    </w:p>
    <w:p w14:paraId="563DE7AC"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重点：植物脱毒和快繁的原理和基本方法；</w:t>
      </w:r>
    </w:p>
    <w:p w14:paraId="1FEDA387"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难点：茎尖脱毒及其效果检测，不同快繁方法的特点。</w:t>
      </w:r>
    </w:p>
    <w:p w14:paraId="7AA7370C"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7BF7D2B9" w14:textId="77777777" w:rsidR="00F5289E" w:rsidRDefault="00C91173">
      <w:pPr>
        <w:pStyle w:val="a7"/>
        <w:snapToGrid w:val="0"/>
        <w:spacing w:line="360" w:lineRule="auto"/>
        <w:ind w:rightChars="-14" w:right="-29"/>
        <w:jc w:val="left"/>
        <w:rPr>
          <w:rFonts w:ascii="Times New Roman" w:eastAsiaTheme="minorEastAsia"/>
          <w:kern w:val="0"/>
          <w:szCs w:val="21"/>
        </w:rPr>
      </w:pPr>
      <w:r>
        <w:rPr>
          <w:rFonts w:ascii="Times New Roman" w:eastAsiaTheme="minorEastAsia" w:hAnsiTheme="minorEastAsia"/>
          <w:kern w:val="0"/>
          <w:szCs w:val="21"/>
        </w:rPr>
        <w:t>了解</w:t>
      </w:r>
      <w:r>
        <w:rPr>
          <w:rFonts w:ascii="Times New Roman" w:eastAsiaTheme="minorEastAsia" w:hAnsiTheme="minorEastAsia" w:hint="eastAsia"/>
          <w:kern w:val="0"/>
          <w:szCs w:val="21"/>
        </w:rPr>
        <w:t>：</w:t>
      </w:r>
      <w:r>
        <w:rPr>
          <w:rFonts w:ascii="Times New Roman" w:eastAsiaTheme="minorEastAsia" w:hAnsiTheme="minorEastAsia"/>
          <w:kern w:val="0"/>
          <w:szCs w:val="21"/>
        </w:rPr>
        <w:t>植物脱毒的概念和意义</w:t>
      </w:r>
      <w:r>
        <w:rPr>
          <w:rFonts w:ascii="Times New Roman" w:eastAsiaTheme="minorEastAsia" w:hAnsiTheme="minorEastAsia" w:hint="eastAsia"/>
          <w:kern w:val="0"/>
          <w:szCs w:val="21"/>
        </w:rPr>
        <w:t>，</w:t>
      </w:r>
      <w:r>
        <w:rPr>
          <w:rFonts w:ascii="Times New Roman" w:eastAsiaTheme="minorEastAsia" w:hAnsiTheme="minorEastAsia"/>
          <w:kern w:val="0"/>
          <w:szCs w:val="21"/>
        </w:rPr>
        <w:t>脱毒和快繁技术在园艺植物生产中的应用。</w:t>
      </w:r>
    </w:p>
    <w:p w14:paraId="6D5BFDB6" w14:textId="77777777" w:rsidR="00F5289E" w:rsidRDefault="00C91173">
      <w:pPr>
        <w:pStyle w:val="a7"/>
        <w:snapToGrid w:val="0"/>
        <w:spacing w:line="360" w:lineRule="auto"/>
        <w:ind w:rightChars="1383" w:right="2904"/>
        <w:jc w:val="left"/>
        <w:rPr>
          <w:rFonts w:ascii="Times New Roman" w:eastAsiaTheme="minorEastAsia" w:hAnsiTheme="minorEastAsia"/>
          <w:kern w:val="0"/>
          <w:szCs w:val="21"/>
        </w:rPr>
      </w:pPr>
      <w:r>
        <w:rPr>
          <w:rFonts w:ascii="Times New Roman" w:eastAsiaTheme="minorEastAsia" w:hAnsiTheme="minorEastAsia"/>
          <w:kern w:val="0"/>
          <w:szCs w:val="21"/>
        </w:rPr>
        <w:t>熟练掌握</w:t>
      </w:r>
      <w:r>
        <w:rPr>
          <w:rFonts w:ascii="Times New Roman" w:eastAsiaTheme="minorEastAsia" w:hAnsiTheme="minorEastAsia" w:hint="eastAsia"/>
          <w:kern w:val="0"/>
          <w:szCs w:val="21"/>
        </w:rPr>
        <w:t>：</w:t>
      </w:r>
      <w:r>
        <w:rPr>
          <w:rFonts w:ascii="Times New Roman" w:eastAsiaTheme="minorEastAsia" w:hAnsiTheme="minorEastAsia"/>
          <w:kern w:val="0"/>
          <w:szCs w:val="21"/>
        </w:rPr>
        <w:t>植物脱毒的原理和技术</w:t>
      </w:r>
      <w:r>
        <w:rPr>
          <w:rFonts w:ascii="Times New Roman" w:eastAsiaTheme="minorEastAsia" w:hAnsiTheme="minorEastAsia" w:hint="eastAsia"/>
          <w:kern w:val="0"/>
          <w:szCs w:val="21"/>
        </w:rPr>
        <w:t>，</w:t>
      </w:r>
      <w:r>
        <w:rPr>
          <w:rFonts w:ascii="Times New Roman" w:eastAsiaTheme="minorEastAsia" w:hAnsiTheme="minorEastAsia"/>
          <w:kern w:val="0"/>
          <w:szCs w:val="21"/>
        </w:rPr>
        <w:t>离体快繁的一般技术。</w:t>
      </w:r>
    </w:p>
    <w:p w14:paraId="7D212EB7"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7D0A2F91"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植物组织培养的重要应用技术</w:t>
      </w:r>
      <w:r>
        <w:rPr>
          <w:rFonts w:eastAsiaTheme="minorEastAsia"/>
          <w:kern w:val="0"/>
          <w:szCs w:val="21"/>
        </w:rPr>
        <w:t>——</w:t>
      </w:r>
      <w:r>
        <w:rPr>
          <w:rFonts w:eastAsiaTheme="minorEastAsia" w:hAnsiTheme="minorEastAsia"/>
          <w:kern w:val="0"/>
          <w:szCs w:val="21"/>
        </w:rPr>
        <w:t>脱毒和快繁，</w:t>
      </w:r>
      <w:r>
        <w:rPr>
          <w:rFonts w:eastAsiaTheme="minorEastAsia" w:hint="eastAsia"/>
          <w:kern w:val="0"/>
          <w:szCs w:val="21"/>
        </w:rPr>
        <w:t>授课过程中采用大量专业知识相关图片与视频，并</w:t>
      </w:r>
      <w:r>
        <w:rPr>
          <w:rFonts w:eastAsiaTheme="minorEastAsia"/>
          <w:kern w:val="0"/>
          <w:szCs w:val="21"/>
        </w:rPr>
        <w:t>采用马铃薯脱毒、蝴蝶兰扩繁等经典案例，</w:t>
      </w:r>
      <w:r>
        <w:rPr>
          <w:rFonts w:eastAsiaTheme="minorEastAsia" w:hAnsiTheme="minorEastAsia"/>
          <w:kern w:val="0"/>
          <w:szCs w:val="21"/>
        </w:rPr>
        <w:t>使学生熟练掌握这两项技术的基本方法，了解它们在现代植物生产中的应用</w:t>
      </w:r>
      <w:r>
        <w:rPr>
          <w:rFonts w:eastAsiaTheme="minorEastAsia" w:hint="eastAsia"/>
          <w:kern w:val="0"/>
          <w:szCs w:val="21"/>
        </w:rPr>
        <w:t>。</w:t>
      </w:r>
    </w:p>
    <w:p w14:paraId="0ACFCF15" w14:textId="77777777" w:rsidR="00F5289E" w:rsidRDefault="00C91173">
      <w:pPr>
        <w:widowControl/>
        <w:wordWrap w:val="0"/>
        <w:snapToGrid w:val="0"/>
        <w:spacing w:beforeLines="50" w:before="156" w:line="360" w:lineRule="auto"/>
        <w:jc w:val="right"/>
        <w:rPr>
          <w:rFonts w:eastAsiaTheme="minorEastAsia"/>
          <w:kern w:val="0"/>
          <w:szCs w:val="21"/>
        </w:rPr>
      </w:pPr>
      <w:r>
        <w:rPr>
          <w:rFonts w:eastAsiaTheme="minorEastAsia" w:hAnsiTheme="minorEastAsia" w:hint="eastAsia"/>
          <w:b/>
          <w:bCs/>
          <w:kern w:val="0"/>
          <w:szCs w:val="21"/>
        </w:rPr>
        <w:t xml:space="preserve">  </w:t>
      </w:r>
      <w:r>
        <w:rPr>
          <w:rFonts w:eastAsiaTheme="minorEastAsia" w:hAnsiTheme="minorEastAsia"/>
          <w:b/>
          <w:bCs/>
          <w:color w:val="000000" w:themeColor="text1"/>
          <w:kern w:val="0"/>
          <w:szCs w:val="21"/>
        </w:rPr>
        <w:t>第</w:t>
      </w:r>
      <w:r>
        <w:rPr>
          <w:rFonts w:eastAsiaTheme="minorEastAsia" w:hAnsiTheme="minorEastAsia" w:hint="eastAsia"/>
          <w:b/>
          <w:bCs/>
          <w:color w:val="000000" w:themeColor="text1"/>
          <w:kern w:val="0"/>
          <w:szCs w:val="21"/>
        </w:rPr>
        <w:t>五</w:t>
      </w:r>
      <w:r>
        <w:rPr>
          <w:rFonts w:eastAsiaTheme="minorEastAsia" w:hAnsiTheme="minorEastAsia"/>
          <w:b/>
          <w:bCs/>
          <w:color w:val="000000" w:themeColor="text1"/>
          <w:kern w:val="0"/>
          <w:szCs w:val="21"/>
        </w:rPr>
        <w:t>章</w:t>
      </w:r>
      <w:r>
        <w:rPr>
          <w:rFonts w:eastAsiaTheme="minorEastAsia" w:hint="eastAsia"/>
          <w:b/>
          <w:bCs/>
          <w:color w:val="000000" w:themeColor="text1"/>
          <w:kern w:val="0"/>
          <w:szCs w:val="21"/>
        </w:rPr>
        <w:t xml:space="preserve"> </w:t>
      </w:r>
      <w:r>
        <w:rPr>
          <w:rFonts w:eastAsiaTheme="minorEastAsia" w:hint="eastAsia"/>
          <w:b/>
          <w:bCs/>
          <w:kern w:val="0"/>
          <w:szCs w:val="21"/>
        </w:rPr>
        <w:t xml:space="preserve"> </w:t>
      </w:r>
      <w:r>
        <w:rPr>
          <w:rFonts w:eastAsiaTheme="minorEastAsia" w:hAnsiTheme="minorEastAsia" w:hint="eastAsia"/>
          <w:b/>
          <w:bCs/>
          <w:kern w:val="0"/>
          <w:szCs w:val="21"/>
        </w:rPr>
        <w:t>离体条件下的倍性操作技术</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b/>
          <w:bCs/>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6148006A"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介绍通过植物组织培养获得植物单倍体材料的基本途径和方法，使学生掌握单倍体材料诱导的基本程序，了解它们在现代</w:t>
      </w:r>
      <w:r>
        <w:rPr>
          <w:rFonts w:eastAsiaTheme="minorEastAsia" w:hAnsiTheme="minorEastAsia" w:hint="eastAsia"/>
          <w:kern w:val="0"/>
          <w:szCs w:val="21"/>
        </w:rPr>
        <w:t>园艺</w:t>
      </w:r>
      <w:r>
        <w:rPr>
          <w:rFonts w:eastAsiaTheme="minorEastAsia" w:hAnsiTheme="minorEastAsia"/>
          <w:kern w:val="0"/>
          <w:szCs w:val="21"/>
        </w:rPr>
        <w:t>植物育种中的应用。</w:t>
      </w:r>
    </w:p>
    <w:p w14:paraId="2244CDA8"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44927621"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重点：花粉（药）培养和未受精的子房培养；</w:t>
      </w:r>
    </w:p>
    <w:p w14:paraId="41CAB07F"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难点：外植体材料的前处理及单倍体植株的再生途径调控。</w:t>
      </w:r>
    </w:p>
    <w:p w14:paraId="17E1D02E"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4CFC3898" w14:textId="77777777" w:rsidR="00F5289E" w:rsidRDefault="00C91173">
      <w:pPr>
        <w:pStyle w:val="a7"/>
        <w:snapToGrid w:val="0"/>
        <w:spacing w:line="360" w:lineRule="auto"/>
        <w:ind w:rightChars="1383" w:right="2904"/>
        <w:jc w:val="left"/>
        <w:rPr>
          <w:rFonts w:ascii="Times New Roman" w:eastAsiaTheme="minorEastAsia"/>
          <w:kern w:val="0"/>
          <w:szCs w:val="21"/>
        </w:rPr>
      </w:pPr>
      <w:r>
        <w:rPr>
          <w:rFonts w:ascii="Times New Roman" w:eastAsiaTheme="minorEastAsia" w:hAnsiTheme="minorEastAsia"/>
          <w:kern w:val="0"/>
          <w:szCs w:val="21"/>
        </w:rPr>
        <w:t>了解</w:t>
      </w:r>
      <w:r>
        <w:rPr>
          <w:rFonts w:ascii="Times New Roman" w:eastAsiaTheme="minorEastAsia" w:hAnsiTheme="minorEastAsia" w:hint="eastAsia"/>
          <w:kern w:val="0"/>
          <w:szCs w:val="21"/>
        </w:rPr>
        <w:t>：</w:t>
      </w:r>
      <w:r>
        <w:rPr>
          <w:rFonts w:ascii="Times New Roman" w:eastAsiaTheme="minorEastAsia" w:hAnsiTheme="minorEastAsia"/>
          <w:kern w:val="0"/>
          <w:szCs w:val="21"/>
        </w:rPr>
        <w:t>单倍体产生的一般途径。</w:t>
      </w:r>
    </w:p>
    <w:p w14:paraId="03140ECB" w14:textId="77777777" w:rsidR="00F5289E" w:rsidRDefault="00C91173">
      <w:pPr>
        <w:pStyle w:val="a7"/>
        <w:snapToGrid w:val="0"/>
        <w:spacing w:line="360" w:lineRule="auto"/>
        <w:ind w:rightChars="1383" w:right="2904"/>
        <w:jc w:val="left"/>
        <w:rPr>
          <w:rFonts w:ascii="Times New Roman" w:eastAsiaTheme="minorEastAsia"/>
          <w:kern w:val="0"/>
          <w:szCs w:val="21"/>
        </w:rPr>
      </w:pPr>
      <w:r>
        <w:rPr>
          <w:rFonts w:ascii="Times New Roman" w:eastAsiaTheme="minorEastAsia" w:hAnsiTheme="minorEastAsia"/>
          <w:kern w:val="0"/>
          <w:szCs w:val="21"/>
        </w:rPr>
        <w:t>理解</w:t>
      </w:r>
      <w:r>
        <w:rPr>
          <w:rFonts w:ascii="Times New Roman" w:eastAsiaTheme="minorEastAsia" w:hAnsiTheme="minorEastAsia" w:hint="eastAsia"/>
          <w:kern w:val="0"/>
          <w:szCs w:val="21"/>
        </w:rPr>
        <w:t>：</w:t>
      </w:r>
      <w:r>
        <w:rPr>
          <w:rFonts w:ascii="Times New Roman" w:eastAsiaTheme="minorEastAsia" w:hAnsiTheme="minorEastAsia"/>
          <w:kern w:val="0"/>
          <w:szCs w:val="21"/>
        </w:rPr>
        <w:t>单倍体材料在园艺植物育种中的应用。</w:t>
      </w:r>
    </w:p>
    <w:p w14:paraId="3388209E" w14:textId="77777777" w:rsidR="00F5289E" w:rsidRDefault="00C91173">
      <w:pPr>
        <w:pStyle w:val="a7"/>
        <w:snapToGrid w:val="0"/>
        <w:spacing w:line="360" w:lineRule="auto"/>
        <w:ind w:rightChars="-14" w:right="-29"/>
        <w:jc w:val="left"/>
        <w:rPr>
          <w:rFonts w:ascii="Times New Roman" w:eastAsiaTheme="minorEastAsia" w:hAnsiTheme="minorEastAsia"/>
          <w:kern w:val="0"/>
          <w:szCs w:val="21"/>
        </w:rPr>
      </w:pPr>
      <w:r>
        <w:rPr>
          <w:rFonts w:ascii="Times New Roman" w:eastAsiaTheme="minorEastAsia" w:hAnsiTheme="minorEastAsia"/>
          <w:kern w:val="0"/>
          <w:szCs w:val="21"/>
        </w:rPr>
        <w:t>掌握</w:t>
      </w:r>
      <w:r>
        <w:rPr>
          <w:rFonts w:ascii="Times New Roman" w:eastAsiaTheme="minorEastAsia" w:hAnsiTheme="minorEastAsia" w:hint="eastAsia"/>
          <w:kern w:val="0"/>
          <w:szCs w:val="21"/>
        </w:rPr>
        <w:t>：</w:t>
      </w:r>
      <w:r>
        <w:rPr>
          <w:rFonts w:ascii="Times New Roman" w:eastAsiaTheme="minorEastAsia" w:hAnsiTheme="minorEastAsia"/>
          <w:kern w:val="0"/>
          <w:szCs w:val="21"/>
        </w:rPr>
        <w:t>花粉</w:t>
      </w:r>
      <w:r>
        <w:rPr>
          <w:rFonts w:ascii="Times New Roman" w:eastAsiaTheme="minorEastAsia" w:hAnsiTheme="minorEastAsia" w:hint="eastAsia"/>
          <w:kern w:val="0"/>
          <w:szCs w:val="21"/>
        </w:rPr>
        <w:t>（小孢子）</w:t>
      </w:r>
      <w:r>
        <w:rPr>
          <w:rFonts w:ascii="Times New Roman" w:eastAsiaTheme="minorEastAsia" w:hAnsiTheme="minorEastAsia"/>
          <w:kern w:val="0"/>
          <w:szCs w:val="21"/>
        </w:rPr>
        <w:t>培养技术程序及注意事项</w:t>
      </w:r>
      <w:r>
        <w:rPr>
          <w:rFonts w:ascii="Times New Roman" w:eastAsiaTheme="minorEastAsia" w:hAnsiTheme="minorEastAsia" w:hint="eastAsia"/>
          <w:kern w:val="0"/>
          <w:szCs w:val="21"/>
        </w:rPr>
        <w:t>、</w:t>
      </w:r>
      <w:r>
        <w:rPr>
          <w:rFonts w:ascii="Times New Roman" w:eastAsiaTheme="minorEastAsia" w:hAnsiTheme="minorEastAsia"/>
          <w:kern w:val="0"/>
          <w:szCs w:val="21"/>
        </w:rPr>
        <w:t>花药培养技术程序及注意事项</w:t>
      </w:r>
      <w:r>
        <w:rPr>
          <w:rFonts w:ascii="Times New Roman" w:eastAsiaTheme="minorEastAsia" w:hAnsiTheme="minorEastAsia" w:hint="eastAsia"/>
          <w:kern w:val="0"/>
          <w:szCs w:val="21"/>
        </w:rPr>
        <w:t>、</w:t>
      </w:r>
      <w:r>
        <w:rPr>
          <w:rFonts w:ascii="Times New Roman" w:eastAsiaTheme="minorEastAsia" w:hAnsiTheme="minorEastAsia"/>
          <w:kern w:val="0"/>
          <w:szCs w:val="21"/>
        </w:rPr>
        <w:t>未授粉子房培养技术程序及注意事项。</w:t>
      </w:r>
    </w:p>
    <w:p w14:paraId="085820F3"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37F4C2B3"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植物组织培养获得植物单倍体材料的基本途径和方法、特点及其在育种中的应用，</w:t>
      </w:r>
      <w:r>
        <w:rPr>
          <w:rFonts w:eastAsiaTheme="minorEastAsia" w:hint="eastAsia"/>
          <w:kern w:val="0"/>
          <w:szCs w:val="21"/>
        </w:rPr>
        <w:t>授课过程中在课件里添加大量专业知识相关图片与视频，</w:t>
      </w:r>
      <w:r>
        <w:rPr>
          <w:rFonts w:eastAsiaTheme="minorEastAsia" w:hAnsiTheme="minorEastAsia"/>
          <w:kern w:val="0"/>
          <w:szCs w:val="21"/>
        </w:rPr>
        <w:t>使学生掌握单倍体材料诱导的基本程序，了解它们在现代植物育种中的应用</w:t>
      </w:r>
      <w:r>
        <w:rPr>
          <w:rFonts w:eastAsiaTheme="minorEastAsia" w:hint="eastAsia"/>
          <w:kern w:val="0"/>
          <w:szCs w:val="21"/>
        </w:rPr>
        <w:t>。</w:t>
      </w:r>
    </w:p>
    <w:p w14:paraId="43DE1E40" w14:textId="77777777" w:rsidR="00F5289E" w:rsidRDefault="00C91173">
      <w:pPr>
        <w:widowControl/>
        <w:snapToGrid w:val="0"/>
        <w:spacing w:beforeLines="50" w:before="156" w:line="360" w:lineRule="auto"/>
        <w:jc w:val="right"/>
        <w:rPr>
          <w:rFonts w:eastAsiaTheme="minorEastAsia"/>
          <w:kern w:val="0"/>
          <w:szCs w:val="21"/>
        </w:rPr>
      </w:pPr>
      <w:r>
        <w:rPr>
          <w:rFonts w:eastAsiaTheme="minorEastAsia" w:hAnsiTheme="minorEastAsia"/>
          <w:b/>
          <w:bCs/>
          <w:color w:val="000000" w:themeColor="text1"/>
          <w:kern w:val="0"/>
          <w:szCs w:val="21"/>
        </w:rPr>
        <w:t>第</w:t>
      </w:r>
      <w:r>
        <w:rPr>
          <w:rFonts w:eastAsiaTheme="minorEastAsia" w:hAnsiTheme="minorEastAsia" w:hint="eastAsia"/>
          <w:b/>
          <w:bCs/>
          <w:color w:val="000000" w:themeColor="text1"/>
          <w:kern w:val="0"/>
          <w:szCs w:val="21"/>
        </w:rPr>
        <w:t>六</w:t>
      </w:r>
      <w:r>
        <w:rPr>
          <w:rFonts w:eastAsiaTheme="minorEastAsia" w:hAnsiTheme="minorEastAsia"/>
          <w:b/>
          <w:bCs/>
          <w:color w:val="000000" w:themeColor="text1"/>
          <w:kern w:val="0"/>
          <w:szCs w:val="21"/>
        </w:rPr>
        <w:t>章</w:t>
      </w:r>
      <w:r>
        <w:rPr>
          <w:rFonts w:eastAsiaTheme="minorEastAsia" w:hint="eastAsia"/>
          <w:b/>
          <w:bCs/>
          <w:color w:val="000000" w:themeColor="text1"/>
          <w:kern w:val="0"/>
          <w:szCs w:val="21"/>
        </w:rPr>
        <w:t xml:space="preserve"> </w:t>
      </w:r>
      <w:r>
        <w:rPr>
          <w:rFonts w:eastAsiaTheme="minorEastAsia" w:hint="eastAsia"/>
          <w:b/>
          <w:bCs/>
          <w:kern w:val="0"/>
          <w:szCs w:val="21"/>
        </w:rPr>
        <w:t xml:space="preserve"> </w:t>
      </w:r>
      <w:r>
        <w:rPr>
          <w:rFonts w:eastAsiaTheme="minorEastAsia" w:hAnsiTheme="minorEastAsia"/>
          <w:b/>
          <w:bCs/>
          <w:kern w:val="0"/>
          <w:szCs w:val="21"/>
        </w:rPr>
        <w:t>植物原生质体培养</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3B3B5332"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介绍植物原生质体分离、培养的基本程序，使学生了解它们在种质资源创新的重要作用。</w:t>
      </w:r>
    </w:p>
    <w:p w14:paraId="6DF365C0"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2D93669F"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重点：原生质体分离的步骤、培养的基本程序；</w:t>
      </w:r>
    </w:p>
    <w:p w14:paraId="0AD49C96"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难点：原生质体培养的再生途径。</w:t>
      </w:r>
    </w:p>
    <w:p w14:paraId="1987CA29"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09634C0F" w14:textId="77777777" w:rsidR="00F5289E" w:rsidRDefault="00C91173">
      <w:pPr>
        <w:pStyle w:val="a7"/>
        <w:snapToGrid w:val="0"/>
        <w:spacing w:line="360" w:lineRule="auto"/>
        <w:ind w:rightChars="-14" w:right="-29"/>
        <w:jc w:val="left"/>
        <w:rPr>
          <w:rFonts w:ascii="Times New Roman" w:eastAsiaTheme="minorEastAsia"/>
          <w:kern w:val="0"/>
          <w:szCs w:val="21"/>
        </w:rPr>
      </w:pPr>
      <w:r>
        <w:rPr>
          <w:rFonts w:ascii="Times New Roman" w:eastAsiaTheme="minorEastAsia" w:hAnsiTheme="minorEastAsia"/>
          <w:kern w:val="0"/>
          <w:szCs w:val="21"/>
        </w:rPr>
        <w:t>了解</w:t>
      </w:r>
      <w:r>
        <w:rPr>
          <w:rFonts w:ascii="Times New Roman" w:eastAsiaTheme="minorEastAsia" w:hAnsiTheme="minorEastAsia" w:hint="eastAsia"/>
          <w:kern w:val="0"/>
          <w:szCs w:val="21"/>
        </w:rPr>
        <w:t>：</w:t>
      </w:r>
      <w:r>
        <w:rPr>
          <w:rFonts w:ascii="Times New Roman" w:eastAsiaTheme="minorEastAsia" w:hAnsiTheme="minorEastAsia"/>
          <w:kern w:val="0"/>
          <w:szCs w:val="21"/>
        </w:rPr>
        <w:t>原生质体的概念及其研究意义。</w:t>
      </w:r>
    </w:p>
    <w:p w14:paraId="416981AA" w14:textId="77777777" w:rsidR="00F5289E" w:rsidRDefault="00C91173">
      <w:pPr>
        <w:pStyle w:val="a7"/>
        <w:snapToGrid w:val="0"/>
        <w:spacing w:line="360" w:lineRule="auto"/>
        <w:ind w:rightChars="-14" w:right="-29"/>
        <w:jc w:val="left"/>
        <w:rPr>
          <w:rFonts w:ascii="Times New Roman" w:eastAsiaTheme="minorEastAsia" w:hAnsiTheme="minorEastAsia"/>
          <w:kern w:val="0"/>
          <w:szCs w:val="21"/>
        </w:rPr>
      </w:pPr>
      <w:r>
        <w:rPr>
          <w:rFonts w:ascii="Times New Roman" w:eastAsiaTheme="minorEastAsia" w:hAnsiTheme="minorEastAsia"/>
          <w:kern w:val="0"/>
          <w:szCs w:val="21"/>
        </w:rPr>
        <w:lastRenderedPageBreak/>
        <w:t>掌握</w:t>
      </w:r>
      <w:r>
        <w:rPr>
          <w:rFonts w:ascii="Times New Roman" w:eastAsiaTheme="minorEastAsia" w:hAnsiTheme="minorEastAsia" w:hint="eastAsia"/>
          <w:kern w:val="0"/>
          <w:szCs w:val="21"/>
        </w:rPr>
        <w:t>：</w:t>
      </w:r>
      <w:r>
        <w:rPr>
          <w:rFonts w:ascii="Times New Roman" w:eastAsiaTheme="minorEastAsia" w:hAnsiTheme="minorEastAsia"/>
          <w:kern w:val="0"/>
          <w:szCs w:val="21"/>
        </w:rPr>
        <w:t>原生质体分离和培养方法。</w:t>
      </w:r>
    </w:p>
    <w:p w14:paraId="07A022AA"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255E874F"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植物原生质体分离、培养的基本程序，</w:t>
      </w:r>
      <w:r>
        <w:rPr>
          <w:rFonts w:eastAsiaTheme="minorEastAsia" w:hint="eastAsia"/>
          <w:kern w:val="0"/>
          <w:szCs w:val="21"/>
        </w:rPr>
        <w:t>授课过程中采用专业</w:t>
      </w:r>
      <w:r>
        <w:rPr>
          <w:rFonts w:eastAsiaTheme="minorEastAsia"/>
          <w:kern w:val="0"/>
          <w:szCs w:val="21"/>
        </w:rPr>
        <w:t>动画视频，力求反映原生质体分离</w:t>
      </w:r>
      <w:r>
        <w:rPr>
          <w:rFonts w:eastAsiaTheme="minorEastAsia" w:hint="eastAsia"/>
          <w:kern w:val="0"/>
          <w:szCs w:val="21"/>
        </w:rPr>
        <w:t>技术</w:t>
      </w:r>
      <w:r>
        <w:rPr>
          <w:rFonts w:eastAsiaTheme="minorEastAsia"/>
          <w:kern w:val="0"/>
          <w:szCs w:val="21"/>
        </w:rPr>
        <w:t>细节和发育过程</w:t>
      </w:r>
      <w:r>
        <w:rPr>
          <w:rFonts w:eastAsiaTheme="minorEastAsia" w:hint="eastAsia"/>
          <w:kern w:val="0"/>
          <w:szCs w:val="21"/>
        </w:rPr>
        <w:t>，</w:t>
      </w:r>
      <w:r>
        <w:rPr>
          <w:rFonts w:eastAsiaTheme="minorEastAsia" w:hAnsiTheme="minorEastAsia"/>
          <w:kern w:val="0"/>
          <w:szCs w:val="21"/>
        </w:rPr>
        <w:t>使学生</w:t>
      </w:r>
      <w:r>
        <w:rPr>
          <w:rFonts w:eastAsiaTheme="minorEastAsia" w:hAnsiTheme="minorEastAsia" w:hint="eastAsia"/>
          <w:kern w:val="0"/>
          <w:szCs w:val="21"/>
        </w:rPr>
        <w:t>掌握如何分离及培养原生质体</w:t>
      </w:r>
      <w:r>
        <w:rPr>
          <w:rFonts w:eastAsiaTheme="minorEastAsia" w:hint="eastAsia"/>
          <w:kern w:val="0"/>
          <w:szCs w:val="21"/>
        </w:rPr>
        <w:t>。</w:t>
      </w:r>
    </w:p>
    <w:p w14:paraId="3679BA57" w14:textId="77777777" w:rsidR="00F5289E" w:rsidRDefault="00C91173">
      <w:pPr>
        <w:widowControl/>
        <w:snapToGrid w:val="0"/>
        <w:spacing w:beforeLines="50" w:before="156" w:line="360" w:lineRule="auto"/>
        <w:jc w:val="right"/>
        <w:rPr>
          <w:rFonts w:eastAsiaTheme="minorEastAsia"/>
          <w:kern w:val="0"/>
          <w:szCs w:val="21"/>
        </w:rPr>
      </w:pPr>
      <w:r>
        <w:rPr>
          <w:rFonts w:eastAsiaTheme="minorEastAsia" w:hAnsiTheme="minorEastAsia"/>
          <w:b/>
          <w:bCs/>
          <w:color w:val="000000" w:themeColor="text1"/>
          <w:kern w:val="0"/>
          <w:szCs w:val="21"/>
        </w:rPr>
        <w:t>第七章</w:t>
      </w:r>
      <w:r>
        <w:rPr>
          <w:rFonts w:eastAsiaTheme="minorEastAsia" w:hint="eastAsia"/>
          <w:b/>
          <w:bCs/>
          <w:kern w:val="0"/>
          <w:szCs w:val="21"/>
        </w:rPr>
        <w:t xml:space="preserve">  </w:t>
      </w:r>
      <w:r>
        <w:rPr>
          <w:rFonts w:eastAsiaTheme="minorEastAsia" w:hAnsiTheme="minorEastAsia"/>
          <w:b/>
          <w:bCs/>
          <w:kern w:val="0"/>
          <w:szCs w:val="21"/>
        </w:rPr>
        <w:t>植物原生质体融合</w:t>
      </w:r>
      <w:r>
        <w:rPr>
          <w:rFonts w:eastAsiaTheme="minorEastAsia" w:hint="eastAsia"/>
          <w:b/>
          <w:bCs/>
          <w:kern w:val="0"/>
          <w:szCs w:val="21"/>
        </w:rPr>
        <w:t xml:space="preserve">               </w:t>
      </w:r>
      <w:r>
        <w:rPr>
          <w:rFonts w:eastAsiaTheme="minorEastAsia" w:hAnsiTheme="minorEastAsia"/>
          <w:b/>
          <w:bCs/>
          <w:kern w:val="0"/>
          <w:szCs w:val="21"/>
        </w:rPr>
        <w:t>学时数：</w:t>
      </w:r>
      <w:r>
        <w:rPr>
          <w:rFonts w:eastAsiaTheme="minorEastAsia"/>
          <w:b/>
          <w:bCs/>
          <w:kern w:val="0"/>
          <w:szCs w:val="21"/>
        </w:rPr>
        <w:t>2</w:t>
      </w:r>
    </w:p>
    <w:p w14:paraId="76EE70DF" w14:textId="77777777" w:rsidR="00F5289E" w:rsidRDefault="00C91173">
      <w:pPr>
        <w:widowControl/>
        <w:snapToGrid w:val="0"/>
        <w:spacing w:line="360" w:lineRule="auto"/>
        <w:rPr>
          <w:rFonts w:eastAsiaTheme="minorEastAsia"/>
          <w:b/>
          <w:bCs/>
          <w:kern w:val="0"/>
          <w:szCs w:val="21"/>
        </w:rPr>
      </w:pPr>
      <w:r>
        <w:rPr>
          <w:rFonts w:eastAsiaTheme="minorEastAsia" w:hAnsiTheme="minorEastAsia"/>
          <w:b/>
          <w:bCs/>
          <w:szCs w:val="21"/>
        </w:rPr>
        <w:t>教学目</w:t>
      </w:r>
      <w:r>
        <w:rPr>
          <w:rFonts w:eastAsiaTheme="minorEastAsia" w:hAnsiTheme="minorEastAsia" w:hint="eastAsia"/>
          <w:b/>
          <w:bCs/>
          <w:szCs w:val="21"/>
        </w:rPr>
        <w:t>标</w:t>
      </w:r>
      <w:r>
        <w:rPr>
          <w:rFonts w:eastAsiaTheme="minorEastAsia" w:hAnsiTheme="minorEastAsia"/>
          <w:b/>
          <w:bCs/>
          <w:szCs w:val="21"/>
        </w:rPr>
        <w:t>：</w:t>
      </w:r>
      <w:r>
        <w:rPr>
          <w:rFonts w:eastAsiaTheme="minorEastAsia" w:hAnsiTheme="minorEastAsia"/>
          <w:kern w:val="0"/>
          <w:szCs w:val="21"/>
        </w:rPr>
        <w:t>介绍植物原生质体诱导融合的方法，使学生了解它们在种质资源创新的重要作用。</w:t>
      </w:r>
    </w:p>
    <w:p w14:paraId="346D0FFA" w14:textId="77777777" w:rsidR="00F5289E" w:rsidRDefault="00C91173">
      <w:pPr>
        <w:widowControl/>
        <w:snapToGrid w:val="0"/>
        <w:spacing w:line="360" w:lineRule="auto"/>
        <w:rPr>
          <w:rFonts w:eastAsiaTheme="minorEastAsia" w:hAnsiTheme="minorEastAsia"/>
          <w:b/>
          <w:bCs/>
          <w:szCs w:val="21"/>
        </w:rPr>
      </w:pPr>
      <w:r>
        <w:rPr>
          <w:rFonts w:eastAsiaTheme="minorEastAsia" w:hAnsiTheme="minorEastAsia"/>
          <w:b/>
          <w:bCs/>
          <w:szCs w:val="21"/>
        </w:rPr>
        <w:t>教学重点和难点：</w:t>
      </w:r>
    </w:p>
    <w:p w14:paraId="570AB220" w14:textId="77777777" w:rsidR="00F5289E" w:rsidRDefault="00C91173">
      <w:pPr>
        <w:widowControl/>
        <w:snapToGrid w:val="0"/>
        <w:spacing w:line="360" w:lineRule="auto"/>
        <w:ind w:leftChars="200" w:left="420"/>
        <w:rPr>
          <w:rFonts w:eastAsiaTheme="minorEastAsia" w:hAnsiTheme="minorEastAsia"/>
          <w:kern w:val="0"/>
          <w:szCs w:val="21"/>
        </w:rPr>
      </w:pPr>
      <w:r>
        <w:rPr>
          <w:rFonts w:eastAsiaTheme="minorEastAsia" w:hAnsiTheme="minorEastAsia"/>
          <w:kern w:val="0"/>
          <w:szCs w:val="21"/>
        </w:rPr>
        <w:t>重点：原生质体诱导融合的基本方法；</w:t>
      </w:r>
    </w:p>
    <w:p w14:paraId="50605A54" w14:textId="77777777" w:rsidR="00F5289E" w:rsidRDefault="00C91173">
      <w:pPr>
        <w:widowControl/>
        <w:snapToGrid w:val="0"/>
        <w:spacing w:line="360" w:lineRule="auto"/>
        <w:ind w:leftChars="200" w:left="420"/>
        <w:rPr>
          <w:rFonts w:eastAsiaTheme="minorEastAsia"/>
          <w:b/>
          <w:bCs/>
          <w:kern w:val="0"/>
          <w:szCs w:val="21"/>
        </w:rPr>
      </w:pPr>
      <w:r>
        <w:rPr>
          <w:rFonts w:eastAsiaTheme="minorEastAsia" w:hAnsiTheme="minorEastAsia"/>
          <w:kern w:val="0"/>
          <w:szCs w:val="21"/>
        </w:rPr>
        <w:t>难点：原生质体诱导融合后杂种细胞的选择。</w:t>
      </w:r>
    </w:p>
    <w:p w14:paraId="1B762727" w14:textId="77777777" w:rsidR="00F5289E" w:rsidRDefault="00C91173">
      <w:pPr>
        <w:widowControl/>
        <w:snapToGrid w:val="0"/>
        <w:spacing w:line="360" w:lineRule="auto"/>
        <w:rPr>
          <w:rFonts w:eastAsiaTheme="minorEastAsia"/>
          <w:kern w:val="0"/>
          <w:szCs w:val="21"/>
        </w:rPr>
      </w:pPr>
      <w:r>
        <w:rPr>
          <w:rFonts w:eastAsiaTheme="minorEastAsia" w:hAnsiTheme="minorEastAsia"/>
          <w:b/>
          <w:bCs/>
          <w:szCs w:val="21"/>
        </w:rPr>
        <w:t>主要教学内容及要求：</w:t>
      </w:r>
      <w:r>
        <w:rPr>
          <w:rFonts w:eastAsiaTheme="minorEastAsia"/>
          <w:kern w:val="0"/>
          <w:szCs w:val="21"/>
        </w:rPr>
        <w:t xml:space="preserve"> </w:t>
      </w:r>
    </w:p>
    <w:p w14:paraId="1EC8C675" w14:textId="77777777" w:rsidR="00F5289E" w:rsidRDefault="00C91173">
      <w:pPr>
        <w:pStyle w:val="a7"/>
        <w:snapToGrid w:val="0"/>
        <w:spacing w:line="360" w:lineRule="auto"/>
        <w:ind w:rightChars="-14" w:right="-29"/>
        <w:jc w:val="left"/>
        <w:rPr>
          <w:rFonts w:ascii="Times New Roman" w:eastAsiaTheme="minorEastAsia"/>
          <w:kern w:val="0"/>
          <w:szCs w:val="21"/>
        </w:rPr>
      </w:pPr>
      <w:r>
        <w:rPr>
          <w:rFonts w:ascii="Times New Roman" w:eastAsiaTheme="minorEastAsia" w:hAnsiTheme="minorEastAsia"/>
          <w:kern w:val="0"/>
          <w:szCs w:val="21"/>
        </w:rPr>
        <w:t>了解</w:t>
      </w:r>
      <w:r>
        <w:rPr>
          <w:rFonts w:ascii="Times New Roman" w:eastAsiaTheme="minorEastAsia" w:hAnsiTheme="minorEastAsia" w:hint="eastAsia"/>
          <w:kern w:val="0"/>
          <w:szCs w:val="21"/>
        </w:rPr>
        <w:t>：</w:t>
      </w:r>
      <w:r>
        <w:rPr>
          <w:rFonts w:ascii="Times New Roman" w:eastAsiaTheme="minorEastAsia" w:hAnsiTheme="minorEastAsia"/>
          <w:kern w:val="0"/>
          <w:szCs w:val="21"/>
        </w:rPr>
        <w:t>原生质体融合技术的发展</w:t>
      </w:r>
      <w:r>
        <w:rPr>
          <w:rFonts w:ascii="Times New Roman" w:eastAsiaTheme="minorEastAsia" w:hAnsiTheme="minorEastAsia" w:hint="eastAsia"/>
          <w:kern w:val="0"/>
          <w:szCs w:val="21"/>
        </w:rPr>
        <w:t>，</w:t>
      </w:r>
      <w:r>
        <w:rPr>
          <w:rFonts w:ascii="Times New Roman" w:eastAsiaTheme="minorEastAsia" w:hAnsiTheme="minorEastAsia"/>
          <w:kern w:val="0"/>
          <w:szCs w:val="21"/>
        </w:rPr>
        <w:t>细胞融合技术在园艺植物种质创新中的应用。</w:t>
      </w:r>
    </w:p>
    <w:p w14:paraId="17722E54" w14:textId="77777777" w:rsidR="00F5289E" w:rsidRDefault="00C91173">
      <w:pPr>
        <w:pStyle w:val="a7"/>
        <w:snapToGrid w:val="0"/>
        <w:spacing w:line="360" w:lineRule="auto"/>
        <w:ind w:rightChars="1383" w:right="2904"/>
        <w:jc w:val="left"/>
        <w:rPr>
          <w:rFonts w:ascii="Times New Roman" w:eastAsiaTheme="minorEastAsia"/>
          <w:kern w:val="0"/>
          <w:szCs w:val="21"/>
        </w:rPr>
      </w:pPr>
      <w:r>
        <w:rPr>
          <w:rFonts w:ascii="Times New Roman" w:eastAsiaTheme="minorEastAsia" w:hAnsiTheme="minorEastAsia"/>
          <w:kern w:val="0"/>
          <w:szCs w:val="21"/>
        </w:rPr>
        <w:t>理解</w:t>
      </w:r>
      <w:r>
        <w:rPr>
          <w:rFonts w:ascii="Times New Roman" w:eastAsiaTheme="minorEastAsia" w:hAnsiTheme="minorEastAsia" w:hint="eastAsia"/>
          <w:kern w:val="0"/>
          <w:szCs w:val="21"/>
        </w:rPr>
        <w:t>：</w:t>
      </w:r>
      <w:r>
        <w:rPr>
          <w:rFonts w:ascii="Times New Roman" w:eastAsiaTheme="minorEastAsia" w:hAnsiTheme="minorEastAsia"/>
          <w:kern w:val="0"/>
          <w:szCs w:val="21"/>
        </w:rPr>
        <w:t>杂种细胞和杂种植株的筛选与检测方法。</w:t>
      </w:r>
    </w:p>
    <w:p w14:paraId="12680C5C" w14:textId="77777777" w:rsidR="00F5289E" w:rsidRDefault="00C91173">
      <w:pPr>
        <w:pStyle w:val="a7"/>
        <w:snapToGrid w:val="0"/>
        <w:spacing w:line="360" w:lineRule="auto"/>
        <w:ind w:rightChars="-14" w:right="-29"/>
        <w:jc w:val="left"/>
        <w:rPr>
          <w:rFonts w:ascii="Times New Roman" w:eastAsiaTheme="minorEastAsia" w:hAnsiTheme="minorEastAsia"/>
          <w:kern w:val="0"/>
          <w:szCs w:val="21"/>
        </w:rPr>
      </w:pPr>
      <w:r>
        <w:rPr>
          <w:rFonts w:ascii="Times New Roman" w:eastAsiaTheme="minorEastAsia" w:hAnsiTheme="minorEastAsia"/>
          <w:kern w:val="0"/>
          <w:szCs w:val="21"/>
        </w:rPr>
        <w:t>掌握</w:t>
      </w:r>
      <w:r>
        <w:rPr>
          <w:rFonts w:ascii="Times New Roman" w:eastAsiaTheme="minorEastAsia" w:hAnsiTheme="minorEastAsia" w:hint="eastAsia"/>
          <w:kern w:val="0"/>
          <w:szCs w:val="21"/>
        </w:rPr>
        <w:t>：</w:t>
      </w:r>
      <w:r>
        <w:rPr>
          <w:rFonts w:ascii="Times New Roman" w:eastAsiaTheme="minorEastAsia" w:hAnsiTheme="minorEastAsia"/>
          <w:kern w:val="0"/>
          <w:szCs w:val="21"/>
        </w:rPr>
        <w:t>原生质体诱导融合技术的原理。</w:t>
      </w:r>
    </w:p>
    <w:p w14:paraId="3CAECF9B" w14:textId="77777777" w:rsidR="00F5289E" w:rsidRDefault="00C91173">
      <w:pPr>
        <w:widowControl/>
        <w:snapToGrid w:val="0"/>
        <w:spacing w:line="360" w:lineRule="auto"/>
        <w:rPr>
          <w:rFonts w:eastAsiaTheme="minorEastAsia"/>
          <w:b/>
          <w:kern w:val="0"/>
          <w:szCs w:val="21"/>
        </w:rPr>
      </w:pPr>
      <w:r>
        <w:rPr>
          <w:rFonts w:eastAsiaTheme="minorEastAsia" w:hint="eastAsia"/>
          <w:b/>
          <w:kern w:val="0"/>
          <w:szCs w:val="21"/>
        </w:rPr>
        <w:t>教学组织与实施：</w:t>
      </w:r>
    </w:p>
    <w:p w14:paraId="195F5144"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以班级授课的形式讲授</w:t>
      </w:r>
      <w:r>
        <w:rPr>
          <w:rFonts w:eastAsiaTheme="minorEastAsia" w:hAnsiTheme="minorEastAsia"/>
          <w:kern w:val="0"/>
          <w:szCs w:val="21"/>
        </w:rPr>
        <w:t>植物原生质体诱导融合的方法，</w:t>
      </w:r>
      <w:r>
        <w:rPr>
          <w:rFonts w:eastAsiaTheme="minorEastAsia" w:hAnsiTheme="minorEastAsia" w:hint="eastAsia"/>
          <w:kern w:val="0"/>
          <w:szCs w:val="21"/>
        </w:rPr>
        <w:t>结合</w:t>
      </w:r>
      <w:r>
        <w:rPr>
          <w:rFonts w:eastAsiaTheme="minorEastAsia" w:hAnsiTheme="minorEastAsia"/>
          <w:kern w:val="0"/>
          <w:szCs w:val="21"/>
        </w:rPr>
        <w:t>植物育种学知识授课，</w:t>
      </w:r>
      <w:r>
        <w:rPr>
          <w:rFonts w:eastAsiaTheme="minorEastAsia" w:hint="eastAsia"/>
          <w:kern w:val="0"/>
          <w:szCs w:val="21"/>
        </w:rPr>
        <w:t>并采用</w:t>
      </w:r>
      <w:r>
        <w:rPr>
          <w:rFonts w:eastAsiaTheme="minorEastAsia"/>
          <w:kern w:val="0"/>
          <w:szCs w:val="21"/>
        </w:rPr>
        <w:t>无核柚</w:t>
      </w:r>
      <w:r>
        <w:rPr>
          <w:rFonts w:eastAsiaTheme="minorEastAsia" w:hint="eastAsia"/>
          <w:kern w:val="0"/>
          <w:szCs w:val="21"/>
        </w:rPr>
        <w:t>、</w:t>
      </w:r>
      <w:r>
        <w:rPr>
          <w:rFonts w:eastAsiaTheme="minorEastAsia"/>
          <w:kern w:val="0"/>
          <w:szCs w:val="21"/>
        </w:rPr>
        <w:t>克隆羊等</w:t>
      </w:r>
      <w:r>
        <w:rPr>
          <w:rFonts w:eastAsiaTheme="minorEastAsia" w:hint="eastAsia"/>
          <w:kern w:val="0"/>
          <w:szCs w:val="21"/>
        </w:rPr>
        <w:t>经典</w:t>
      </w:r>
      <w:r>
        <w:rPr>
          <w:rFonts w:eastAsiaTheme="minorEastAsia"/>
          <w:kern w:val="0"/>
          <w:szCs w:val="21"/>
        </w:rPr>
        <w:t>案例</w:t>
      </w:r>
      <w:r>
        <w:rPr>
          <w:rFonts w:eastAsiaTheme="minorEastAsia" w:hint="eastAsia"/>
          <w:kern w:val="0"/>
          <w:szCs w:val="21"/>
        </w:rPr>
        <w:t>，</w:t>
      </w:r>
      <w:r>
        <w:rPr>
          <w:rFonts w:eastAsiaTheme="minorEastAsia" w:hAnsiTheme="minorEastAsia"/>
          <w:kern w:val="0"/>
          <w:szCs w:val="21"/>
        </w:rPr>
        <w:t>使学生掌握</w:t>
      </w:r>
      <w:r>
        <w:rPr>
          <w:rFonts w:eastAsiaTheme="minorEastAsia" w:hAnsiTheme="minorEastAsia" w:hint="eastAsia"/>
          <w:kern w:val="0"/>
          <w:szCs w:val="21"/>
        </w:rPr>
        <w:t>融合原理</w:t>
      </w:r>
      <w:r>
        <w:rPr>
          <w:rFonts w:eastAsiaTheme="minorEastAsia" w:hAnsiTheme="minorEastAsia"/>
          <w:kern w:val="0"/>
          <w:szCs w:val="21"/>
        </w:rPr>
        <w:t>及其在种质资源创新的重要作用</w:t>
      </w:r>
      <w:r>
        <w:rPr>
          <w:rFonts w:eastAsiaTheme="minorEastAsia" w:hint="eastAsia"/>
          <w:kern w:val="0"/>
          <w:szCs w:val="21"/>
        </w:rPr>
        <w:t>。</w:t>
      </w:r>
    </w:p>
    <w:p w14:paraId="78BD5D04" w14:textId="77777777" w:rsidR="00F5289E" w:rsidRDefault="00F5289E">
      <w:pPr>
        <w:pStyle w:val="a7"/>
        <w:snapToGrid w:val="0"/>
        <w:spacing w:line="360" w:lineRule="auto"/>
        <w:ind w:rightChars="-14" w:right="-29" w:firstLineChars="0" w:firstLine="0"/>
        <w:jc w:val="left"/>
        <w:rPr>
          <w:rFonts w:ascii="Times New Roman" w:eastAsiaTheme="minorEastAsia"/>
          <w:kern w:val="0"/>
          <w:szCs w:val="21"/>
        </w:rPr>
      </w:pPr>
    </w:p>
    <w:p w14:paraId="13A64EF4"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五</w:t>
      </w:r>
      <w:r>
        <w:rPr>
          <w:rFonts w:hAnsi="宋体"/>
          <w:b/>
          <w:bCs/>
          <w:kern w:val="0"/>
          <w:szCs w:val="21"/>
        </w:rPr>
        <w:t>、实验教学内容及学时分配</w:t>
      </w:r>
      <w:r>
        <w:rPr>
          <w:b/>
          <w:bCs/>
          <w:kern w:val="0"/>
          <w:szCs w:val="21"/>
        </w:rPr>
        <w:t> </w:t>
      </w:r>
      <w:r>
        <w:rPr>
          <w:rFonts w:hAnsi="宋体" w:hint="eastAsia"/>
          <w:b/>
          <w:bCs/>
          <w:kern w:val="0"/>
          <w:szCs w:val="21"/>
        </w:rPr>
        <w:t>（</w:t>
      </w:r>
      <w:r>
        <w:rPr>
          <w:rFonts w:hAnsi="宋体" w:hint="eastAsia"/>
          <w:b/>
          <w:bCs/>
          <w:kern w:val="0"/>
          <w:szCs w:val="21"/>
        </w:rPr>
        <w:t>16</w:t>
      </w:r>
      <w:r>
        <w:rPr>
          <w:rFonts w:hAnsi="宋体"/>
          <w:b/>
          <w:bCs/>
          <w:kern w:val="0"/>
          <w:szCs w:val="21"/>
        </w:rPr>
        <w:t>学时</w:t>
      </w:r>
      <w:r>
        <w:rPr>
          <w:rFonts w:hAnsi="宋体" w:hint="eastAsia"/>
          <w:b/>
          <w:bCs/>
          <w:kern w:val="0"/>
          <w:szCs w:val="21"/>
        </w:rPr>
        <w:t>）</w:t>
      </w:r>
    </w:p>
    <w:p w14:paraId="6E2F9AB7"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334F4189" w14:textId="77777777" w:rsidR="00F5289E" w:rsidRDefault="00C91173">
      <w:pPr>
        <w:snapToGrid w:val="0"/>
        <w:spacing w:line="360" w:lineRule="auto"/>
        <w:ind w:firstLineChars="200" w:firstLine="420"/>
        <w:rPr>
          <w:rFonts w:ascii="宋体"/>
          <w:bCs/>
          <w:szCs w:val="21"/>
        </w:rPr>
      </w:pPr>
      <w:r>
        <w:rPr>
          <w:rFonts w:ascii="宋体" w:hAnsi="宋体" w:hint="eastAsia"/>
          <w:bCs/>
          <w:szCs w:val="21"/>
        </w:rPr>
        <w:t>植物组织培养是一门现代生物科学理论和工程技术相结合的综合性学科，是现代生物技术的重要组成部分，同时也是现代生物学研究的重要技术工具。本实验课以动手操作为主，根据课程的性质、要求及学习的对象，实验课类型可分为基础性、综合性和设计性，其内容包括组织培养实验室布局、基本仪器使用、基本无菌操作技术、离体培养物的培养与植株再生、愈伤组织诱导等，基本涵盖组织培养的主要技术环节。通过实验，学生不但能了解组织培养实验室的构造，试验所必需具备的仪器设备，更重要的是，通过动手操作来掌握规范的组织培养的基本技术，领会再生植株形成的各种途径及其调控方法，实现对理论教学内容的进一步巩固、深化。</w:t>
      </w:r>
    </w:p>
    <w:p w14:paraId="029203B5"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36A4EF8D" w14:textId="77777777" w:rsidR="00F5289E" w:rsidRDefault="00C91173">
      <w:pPr>
        <w:snapToGrid w:val="0"/>
        <w:spacing w:line="360" w:lineRule="auto"/>
        <w:ind w:firstLineChars="200" w:firstLine="420"/>
      </w:pPr>
      <w:r>
        <w:rPr>
          <w:rFonts w:ascii="宋体" w:hAnsi="宋体" w:hint="eastAsia"/>
          <w:bCs/>
          <w:szCs w:val="21"/>
        </w:rPr>
        <w:t>本实验是和理论课程同时开设的非独立实验课程，是理论教学的深化和补充，具有较强的实践操作性，是一门重要的技术基础课。要求学生在掌握本课程的基本理论知识的基础上，通过动手操作，重点掌握植物组织培养的基本操作技术</w:t>
      </w:r>
      <w:r>
        <w:rPr>
          <w:rFonts w:ascii="宋体" w:hAnsi="宋体"/>
          <w:bCs/>
          <w:szCs w:val="21"/>
        </w:rPr>
        <w:t>——</w:t>
      </w:r>
      <w:r>
        <w:rPr>
          <w:rFonts w:ascii="宋体" w:hAnsi="宋体" w:hint="eastAsia"/>
          <w:bCs/>
          <w:szCs w:val="21"/>
        </w:rPr>
        <w:t>无菌操作，掌握培养基配制方法及激素使用方法，掌握离体形态建成的基本途径及其调控方法，能够达到理论和实践相结合，融会贯通，为以后从事植物生物技术及相关科研、教学工作奠定良好的基础。</w:t>
      </w:r>
    </w:p>
    <w:p w14:paraId="7086C1EC" w14:textId="77777777" w:rsidR="00F5289E" w:rsidRDefault="00C91173">
      <w:pPr>
        <w:snapToGrid w:val="0"/>
        <w:spacing w:afterLines="50" w:after="156" w:line="360" w:lineRule="auto"/>
        <w:ind w:firstLineChars="200" w:firstLine="420"/>
      </w:pPr>
      <w:r>
        <w:rPr>
          <w:rFonts w:hint="eastAsia"/>
        </w:rPr>
        <w:t>实验课分为必做实验和选做实验两部分，必做实验要求所有学生必需按要求完成，选做实验是</w:t>
      </w:r>
      <w:r>
        <w:rPr>
          <w:rFonts w:hint="eastAsia"/>
        </w:rPr>
        <w:lastRenderedPageBreak/>
        <w:t>在完成上述必做实验训练基础上，根据学生兴趣开设的实验课，由于所用实验条件要求较高，实验周期较长，因此每位学生一般限报</w:t>
      </w:r>
      <w:r>
        <w:t>1</w:t>
      </w:r>
      <w:r>
        <w:rPr>
          <w:rFonts w:hint="eastAsia"/>
        </w:rPr>
        <w:t>项，安排在周末非课堂时间进行。</w:t>
      </w:r>
    </w:p>
    <w:p w14:paraId="7CCA796F" w14:textId="77777777" w:rsidR="00F5289E" w:rsidRDefault="00C91173">
      <w:pPr>
        <w:snapToGrid w:val="0"/>
        <w:spacing w:line="360" w:lineRule="auto"/>
        <w:rPr>
          <w:b/>
        </w:rPr>
      </w:pPr>
      <w:r>
        <w:rPr>
          <w:rFonts w:hint="eastAsia"/>
          <w:b/>
        </w:rPr>
        <w:t>（三）实验安全操作规范</w:t>
      </w:r>
    </w:p>
    <w:p w14:paraId="7EA19D84" w14:textId="77777777" w:rsidR="00F5289E" w:rsidRDefault="00C91173">
      <w:pPr>
        <w:snapToGrid w:val="0"/>
        <w:spacing w:line="360" w:lineRule="auto"/>
        <w:ind w:firstLineChars="200" w:firstLine="420"/>
      </w:pPr>
      <w:r>
        <w:rPr>
          <w:rFonts w:hint="eastAsia"/>
        </w:rPr>
        <w:t>1</w:t>
      </w:r>
      <w:r>
        <w:rPr>
          <w:rFonts w:hint="eastAsia"/>
        </w:rPr>
        <w:t>、实验室守则</w:t>
      </w:r>
    </w:p>
    <w:p w14:paraId="1924DD72" w14:textId="77777777" w:rsidR="00F5289E" w:rsidRDefault="00C91173">
      <w:pPr>
        <w:snapToGrid w:val="0"/>
        <w:spacing w:line="360" w:lineRule="auto"/>
        <w:ind w:firstLineChars="200" w:firstLine="420"/>
      </w:pPr>
      <w:r>
        <w:rPr>
          <w:rFonts w:hint="eastAsia"/>
        </w:rPr>
        <w:t>学生进行课程实验时，应遵从以下守则：</w:t>
      </w:r>
    </w:p>
    <w:p w14:paraId="36502812" w14:textId="77777777" w:rsidR="00F5289E" w:rsidRDefault="00C91173">
      <w:pPr>
        <w:snapToGrid w:val="0"/>
        <w:spacing w:line="360" w:lineRule="auto"/>
        <w:ind w:firstLineChars="200" w:firstLine="420"/>
      </w:pPr>
      <w:r>
        <w:rPr>
          <w:rFonts w:hint="eastAsia"/>
        </w:rPr>
        <w:t>（</w:t>
      </w:r>
      <w:r>
        <w:rPr>
          <w:rFonts w:hint="eastAsia"/>
        </w:rPr>
        <w:t>1</w:t>
      </w:r>
      <w:r>
        <w:rPr>
          <w:rFonts w:hint="eastAsia"/>
        </w:rPr>
        <w:t>）进入园艺学院本科实验室工作时，必须穿工作服，离开实验室时应脱下。工作服应经常保持整洁，禁止穿工作服进入公共场所。在进行任何有可能碰伤、刺激或烧伤眼睛的工作时，必须戴防护眼镜。</w:t>
      </w:r>
    </w:p>
    <w:p w14:paraId="3C1E0338" w14:textId="77777777" w:rsidR="00F5289E" w:rsidRDefault="00C91173">
      <w:pPr>
        <w:snapToGrid w:val="0"/>
        <w:spacing w:line="360" w:lineRule="auto"/>
        <w:ind w:firstLineChars="200" w:firstLine="420"/>
      </w:pPr>
      <w:r>
        <w:rPr>
          <w:rFonts w:hint="eastAsia"/>
        </w:rPr>
        <w:t>（</w:t>
      </w:r>
      <w:r>
        <w:rPr>
          <w:rFonts w:hint="eastAsia"/>
        </w:rPr>
        <w:t>2</w:t>
      </w:r>
      <w:r>
        <w:rPr>
          <w:rFonts w:hint="eastAsia"/>
        </w:rPr>
        <w:t>）禁止在实验室内吸烟及吃东西。不准使用试验器皿作茶杯或餐具，不得用嘴巴品尝味道的方法来鉴别未知物。</w:t>
      </w:r>
    </w:p>
    <w:p w14:paraId="666E5C86" w14:textId="77777777" w:rsidR="00F5289E" w:rsidRDefault="00C91173">
      <w:pPr>
        <w:snapToGrid w:val="0"/>
        <w:spacing w:line="360" w:lineRule="auto"/>
        <w:ind w:firstLineChars="200" w:firstLine="420"/>
      </w:pPr>
      <w:r>
        <w:rPr>
          <w:rFonts w:hint="eastAsia"/>
        </w:rPr>
        <w:t>（</w:t>
      </w:r>
      <w:r>
        <w:rPr>
          <w:rFonts w:hint="eastAsia"/>
        </w:rPr>
        <w:t>3</w:t>
      </w:r>
      <w:r>
        <w:rPr>
          <w:rFonts w:hint="eastAsia"/>
        </w:rPr>
        <w:t>）工作完毕后离开实验室时应用肥皂洗手。</w:t>
      </w:r>
    </w:p>
    <w:p w14:paraId="32E07113" w14:textId="77777777" w:rsidR="00F5289E" w:rsidRDefault="00C91173">
      <w:pPr>
        <w:snapToGrid w:val="0"/>
        <w:spacing w:line="360" w:lineRule="auto"/>
        <w:ind w:firstLineChars="200" w:firstLine="420"/>
      </w:pPr>
      <w:r>
        <w:rPr>
          <w:rFonts w:hint="eastAsia"/>
        </w:rPr>
        <w:t>（</w:t>
      </w:r>
      <w:r>
        <w:rPr>
          <w:rFonts w:hint="eastAsia"/>
        </w:rPr>
        <w:t>4</w:t>
      </w:r>
      <w:r>
        <w:rPr>
          <w:rFonts w:hint="eastAsia"/>
        </w:rPr>
        <w:t>）实验室停止供电、供水时应将水源、电源开关全部关上，以防恢复供电、供水时由于开关未关而发生事故。离开实验室时应检查门、窗、水、电、气是否安全及关闭。</w:t>
      </w:r>
    </w:p>
    <w:p w14:paraId="675EAB0F" w14:textId="77777777" w:rsidR="00F5289E" w:rsidRDefault="00C91173">
      <w:pPr>
        <w:snapToGrid w:val="0"/>
        <w:spacing w:line="360" w:lineRule="auto"/>
        <w:ind w:firstLineChars="200" w:firstLine="420"/>
      </w:pPr>
      <w:r>
        <w:rPr>
          <w:rFonts w:hint="eastAsia"/>
        </w:rPr>
        <w:t>（</w:t>
      </w:r>
      <w:r>
        <w:rPr>
          <w:rFonts w:hint="eastAsia"/>
        </w:rPr>
        <w:t>5</w:t>
      </w:r>
      <w:r>
        <w:rPr>
          <w:rFonts w:hint="eastAsia"/>
        </w:rPr>
        <w:t>）实验室内的每瓶试剂必须贴有明显的与试剂相符的标签、并标明试剂名称、浓度及配制日期或标定日期。</w:t>
      </w:r>
    </w:p>
    <w:p w14:paraId="35D55164" w14:textId="77777777" w:rsidR="00F5289E" w:rsidRDefault="00C91173">
      <w:pPr>
        <w:snapToGrid w:val="0"/>
        <w:spacing w:line="360" w:lineRule="auto"/>
        <w:ind w:firstLineChars="200" w:firstLine="420"/>
      </w:pPr>
      <w:r>
        <w:rPr>
          <w:rFonts w:hint="eastAsia"/>
        </w:rPr>
        <w:t>（</w:t>
      </w:r>
      <w:r>
        <w:rPr>
          <w:rFonts w:hint="eastAsia"/>
        </w:rPr>
        <w:t>6</w:t>
      </w:r>
      <w:r>
        <w:rPr>
          <w:rFonts w:hint="eastAsia"/>
        </w:rPr>
        <w:t>）开启园艺植物组织培养课程涉及到的易挥发的试剂瓶</w:t>
      </w:r>
      <w:r>
        <w:rPr>
          <w:rFonts w:hint="eastAsia"/>
        </w:rPr>
        <w:t>(</w:t>
      </w:r>
      <w:r>
        <w:rPr>
          <w:rFonts w:hint="eastAsia"/>
        </w:rPr>
        <w:t>如丙酮、浓盐酸、次氯酸钠</w:t>
      </w:r>
      <w:r>
        <w:rPr>
          <w:rFonts w:hint="eastAsia"/>
        </w:rPr>
        <w:t>)</w:t>
      </w:r>
      <w:r>
        <w:rPr>
          <w:rFonts w:hint="eastAsia"/>
        </w:rPr>
        <w:t>时，尤其是在夏季或室温较高时，应先用流水冷却后后盖上湿布再打开，切不可将瓶口对着自己或他人，以防气液冲出发生事故。</w:t>
      </w:r>
    </w:p>
    <w:p w14:paraId="53A0353B" w14:textId="77777777" w:rsidR="00F5289E" w:rsidRDefault="00C91173">
      <w:pPr>
        <w:snapToGrid w:val="0"/>
        <w:spacing w:line="360" w:lineRule="auto"/>
        <w:ind w:firstLineChars="200" w:firstLine="420"/>
      </w:pPr>
      <w:r>
        <w:rPr>
          <w:rFonts w:hint="eastAsia"/>
        </w:rPr>
        <w:t>（</w:t>
      </w:r>
      <w:r>
        <w:rPr>
          <w:rFonts w:hint="eastAsia"/>
        </w:rPr>
        <w:t>7</w:t>
      </w:r>
      <w:r>
        <w:rPr>
          <w:rFonts w:hint="eastAsia"/>
        </w:rPr>
        <w:t>）取下正在加热至近沸的水或溶夜时，应用玻璃棒进行搅拌，驱除气泡，或用烧杯夹将其轻轻摇动后方可取下</w:t>
      </w:r>
      <w:r>
        <w:rPr>
          <w:rFonts w:hint="eastAsia"/>
        </w:rPr>
        <w:t>,</w:t>
      </w:r>
      <w:r>
        <w:rPr>
          <w:rFonts w:hint="eastAsia"/>
        </w:rPr>
        <w:t>防止突然产生大气泡并飞溅伤人。煮沸有大量沉淀的液体时应用玻璃棒不断搅拌</w:t>
      </w:r>
      <w:r>
        <w:rPr>
          <w:rFonts w:hint="eastAsia"/>
        </w:rPr>
        <w:t>,</w:t>
      </w:r>
      <w:r>
        <w:rPr>
          <w:rFonts w:hint="eastAsia"/>
        </w:rPr>
        <w:t>以免发生爆沸。</w:t>
      </w:r>
    </w:p>
    <w:p w14:paraId="4426F259" w14:textId="77777777" w:rsidR="00F5289E" w:rsidRDefault="00C91173">
      <w:pPr>
        <w:snapToGrid w:val="0"/>
        <w:spacing w:line="360" w:lineRule="auto"/>
        <w:ind w:firstLineChars="200" w:firstLine="420"/>
      </w:pPr>
      <w:r>
        <w:rPr>
          <w:rFonts w:hint="eastAsia"/>
        </w:rPr>
        <w:t>（</w:t>
      </w:r>
      <w:r>
        <w:rPr>
          <w:rFonts w:hint="eastAsia"/>
        </w:rPr>
        <w:t>8</w:t>
      </w:r>
      <w:r>
        <w:rPr>
          <w:rFonts w:hint="eastAsia"/>
        </w:rPr>
        <w:t>）园艺植物组织培养实验室的仪器在未掌握安全操作规程前不得随意动用。</w:t>
      </w:r>
    </w:p>
    <w:p w14:paraId="252C18F9" w14:textId="77777777" w:rsidR="00F5289E" w:rsidRDefault="00C91173">
      <w:pPr>
        <w:snapToGrid w:val="0"/>
        <w:spacing w:line="360" w:lineRule="auto"/>
        <w:ind w:firstLineChars="200" w:firstLine="420"/>
        <w:rPr>
          <w:rFonts w:ascii="宋体" w:hAnsi="宋体"/>
          <w:shd w:val="clear" w:color="auto" w:fill="FFFFFF"/>
        </w:rPr>
      </w:pPr>
      <w:r>
        <w:rPr>
          <w:rFonts w:hint="eastAsia"/>
        </w:rPr>
        <w:t>2</w:t>
      </w:r>
      <w:r>
        <w:rPr>
          <w:rFonts w:hint="eastAsia"/>
        </w:rPr>
        <w:t>、</w:t>
      </w:r>
      <w:r>
        <w:rPr>
          <w:rFonts w:ascii="宋体" w:hAnsi="宋体" w:hint="eastAsia"/>
          <w:shd w:val="clear" w:color="auto" w:fill="FFFFFF"/>
        </w:rPr>
        <w:t>电器、易燃、易爆、有毒有害试剂</w:t>
      </w:r>
    </w:p>
    <w:p w14:paraId="27C6DDBA" w14:textId="77777777" w:rsidR="00F5289E" w:rsidRDefault="00C91173">
      <w:pPr>
        <w:snapToGrid w:val="0"/>
        <w:spacing w:line="360" w:lineRule="auto"/>
        <w:ind w:firstLineChars="200" w:firstLine="420"/>
      </w:pPr>
      <w:r>
        <w:rPr>
          <w:rFonts w:hint="eastAsia"/>
        </w:rPr>
        <w:t>（</w:t>
      </w:r>
      <w:r>
        <w:rPr>
          <w:rFonts w:hint="eastAsia"/>
        </w:rPr>
        <w:t>1</w:t>
      </w:r>
      <w:r>
        <w:rPr>
          <w:rFonts w:hint="eastAsia"/>
        </w:rPr>
        <w:t>）电器安全操作规程</w:t>
      </w:r>
    </w:p>
    <w:p w14:paraId="1334F72C" w14:textId="77777777" w:rsidR="00F5289E" w:rsidRDefault="00C91173">
      <w:pPr>
        <w:snapToGrid w:val="0"/>
        <w:spacing w:line="360" w:lineRule="auto"/>
        <w:ind w:firstLineChars="200" w:firstLine="420"/>
      </w:pPr>
      <w:r>
        <w:rPr>
          <w:rFonts w:hint="eastAsia"/>
        </w:rPr>
        <w:t xml:space="preserve">1.1 </w:t>
      </w:r>
      <w:r>
        <w:rPr>
          <w:rFonts w:hint="eastAsia"/>
        </w:rPr>
        <w:t>实验室内不得有裸露的电线、闸刀开关应完全合上或断开，以防止接触不好产生火花进而引起易燃物的爆炸，拔下插头时应用手捏住插头再拔，不得只拉电线。</w:t>
      </w:r>
    </w:p>
    <w:p w14:paraId="71FB1B36" w14:textId="77777777" w:rsidR="00F5289E" w:rsidRDefault="00C91173">
      <w:pPr>
        <w:snapToGrid w:val="0"/>
        <w:spacing w:line="360" w:lineRule="auto"/>
        <w:ind w:firstLineChars="200" w:firstLine="420"/>
      </w:pPr>
      <w:r>
        <w:rPr>
          <w:rFonts w:hint="eastAsia"/>
        </w:rPr>
        <w:t xml:space="preserve">1.2 </w:t>
      </w:r>
      <w:r>
        <w:rPr>
          <w:rFonts w:hint="eastAsia"/>
        </w:rPr>
        <w:t>各种电器设备及电线应始终保持干燥，不得浸湿，以防短路引起火灾或烧坏电器设备。</w:t>
      </w:r>
    </w:p>
    <w:p w14:paraId="494FEAB7" w14:textId="77777777" w:rsidR="00F5289E" w:rsidRDefault="00C91173">
      <w:pPr>
        <w:snapToGrid w:val="0"/>
        <w:spacing w:line="360" w:lineRule="auto"/>
        <w:ind w:firstLineChars="200" w:firstLine="420"/>
      </w:pPr>
      <w:r>
        <w:rPr>
          <w:rFonts w:hint="eastAsia"/>
        </w:rPr>
        <w:t xml:space="preserve">1.3 </w:t>
      </w:r>
      <w:r>
        <w:rPr>
          <w:rFonts w:hint="eastAsia"/>
        </w:rPr>
        <w:t>各类电器设备发生异常或故障时，应及时断电，由专业人员检修。</w:t>
      </w:r>
    </w:p>
    <w:p w14:paraId="19EC5150" w14:textId="77777777" w:rsidR="00F5289E" w:rsidRDefault="00C91173">
      <w:pPr>
        <w:snapToGrid w:val="0"/>
        <w:spacing w:line="360" w:lineRule="auto"/>
        <w:ind w:firstLineChars="200" w:firstLine="420"/>
      </w:pPr>
      <w:r>
        <w:rPr>
          <w:rFonts w:hint="eastAsia"/>
        </w:rPr>
        <w:t xml:space="preserve">1.4 </w:t>
      </w:r>
      <w:r>
        <w:rPr>
          <w:rFonts w:hint="eastAsia"/>
        </w:rPr>
        <w:t>保险丝熔断时，应查清原因，不得任意增加或加粗保险丝，更不得以铜丝代替。</w:t>
      </w:r>
    </w:p>
    <w:p w14:paraId="19F833F2" w14:textId="77777777" w:rsidR="00F5289E" w:rsidRDefault="00C91173">
      <w:pPr>
        <w:snapToGrid w:val="0"/>
        <w:spacing w:line="360" w:lineRule="auto"/>
        <w:ind w:firstLineChars="200" w:firstLine="420"/>
      </w:pPr>
      <w:r>
        <w:rPr>
          <w:rFonts w:hint="eastAsia"/>
        </w:rPr>
        <w:t>（</w:t>
      </w:r>
      <w:r>
        <w:rPr>
          <w:rFonts w:hint="eastAsia"/>
        </w:rPr>
        <w:t>2</w:t>
      </w:r>
      <w:r>
        <w:rPr>
          <w:rFonts w:hint="eastAsia"/>
        </w:rPr>
        <w:t>）化学药品的安全操作规程</w:t>
      </w:r>
    </w:p>
    <w:p w14:paraId="61ED8222" w14:textId="77777777" w:rsidR="00F5289E" w:rsidRDefault="00C91173">
      <w:pPr>
        <w:snapToGrid w:val="0"/>
        <w:spacing w:line="360" w:lineRule="auto"/>
        <w:ind w:firstLineChars="200" w:firstLine="420"/>
      </w:pPr>
      <w:r>
        <w:rPr>
          <w:rFonts w:hint="eastAsia"/>
        </w:rPr>
        <w:t>2.1</w:t>
      </w:r>
      <w:r>
        <w:rPr>
          <w:rFonts w:hint="eastAsia"/>
        </w:rPr>
        <w:t>浓硫酸与水混合时</w:t>
      </w:r>
      <w:r>
        <w:rPr>
          <w:rFonts w:hint="eastAsia"/>
        </w:rPr>
        <w:t>,</w:t>
      </w:r>
      <w:r>
        <w:rPr>
          <w:rFonts w:hint="eastAsia"/>
        </w:rPr>
        <w:t>必须边搅拌边将硫酸徐徐注入存有冷却水的耐热玻璃杯中</w:t>
      </w:r>
      <w:r>
        <w:rPr>
          <w:rFonts w:hint="eastAsia"/>
        </w:rPr>
        <w:t>,</w:t>
      </w:r>
      <w:r>
        <w:rPr>
          <w:rFonts w:hint="eastAsia"/>
        </w:rPr>
        <w:t>不得将水倒入硫酸中。否则将引起爆炸与烧伤事故。凡是在稀释能放出大量热的酸、碱时都应按此规定操作。</w:t>
      </w:r>
    </w:p>
    <w:p w14:paraId="6FA64D88" w14:textId="77777777" w:rsidR="00F5289E" w:rsidRDefault="00C91173">
      <w:pPr>
        <w:snapToGrid w:val="0"/>
        <w:spacing w:line="360" w:lineRule="auto"/>
        <w:ind w:firstLineChars="200" w:firstLine="420"/>
      </w:pPr>
      <w:r>
        <w:rPr>
          <w:rFonts w:hint="eastAsia"/>
        </w:rPr>
        <w:t xml:space="preserve">2.2 </w:t>
      </w:r>
      <w:r>
        <w:rPr>
          <w:rFonts w:hint="eastAsia"/>
        </w:rPr>
        <w:t>搬运大瓶（或坛装）酸、碱或腐蚀性液体时，应特别小心，注意容器有无裂纹，外包装是</w:t>
      </w:r>
      <w:r>
        <w:rPr>
          <w:rFonts w:hint="eastAsia"/>
        </w:rPr>
        <w:lastRenderedPageBreak/>
        <w:t>否牢固，搬运时最好用手推车。从大容器中分装时应用虹吸管移取，不得将</w:t>
      </w:r>
      <w:r>
        <w:rPr>
          <w:rFonts w:hint="eastAsia"/>
        </w:rPr>
        <w:t>10</w:t>
      </w:r>
      <w:r>
        <w:rPr>
          <w:rFonts w:hint="eastAsia"/>
        </w:rPr>
        <w:t>公斤以上的玻璃器皿用手来倾倒。</w:t>
      </w:r>
    </w:p>
    <w:p w14:paraId="59F94BEC" w14:textId="77777777" w:rsidR="00F5289E" w:rsidRDefault="00C91173">
      <w:pPr>
        <w:snapToGrid w:val="0"/>
        <w:spacing w:line="360" w:lineRule="auto"/>
        <w:ind w:firstLineChars="200" w:firstLine="420"/>
      </w:pPr>
      <w:r>
        <w:rPr>
          <w:rFonts w:hint="eastAsia"/>
        </w:rPr>
        <w:t xml:space="preserve">2.3 </w:t>
      </w:r>
      <w:r>
        <w:rPr>
          <w:rFonts w:hint="eastAsia"/>
        </w:rPr>
        <w:t>实验室不得存放大量易燃药品和废液，例如：乙醇（包括甲醇）、丙酮、及其他易燃有机溶剂等，对少量易燃药品应放在远离热源的地方。注意其盛装容器的密封性，以防挥发后的气体与空气混合形成爆炸性气体。使用易燃药品时，附近不得有明火、电炉及电源开关，更不得在明火或炉上直接加热。</w:t>
      </w:r>
    </w:p>
    <w:p w14:paraId="4BE27DC4" w14:textId="77777777" w:rsidR="00F5289E" w:rsidRDefault="00C91173">
      <w:pPr>
        <w:snapToGrid w:val="0"/>
        <w:spacing w:line="360" w:lineRule="auto"/>
        <w:ind w:firstLineChars="200" w:firstLine="420"/>
      </w:pPr>
      <w:r>
        <w:rPr>
          <w:rFonts w:hint="eastAsia"/>
        </w:rPr>
        <w:t>2.4</w:t>
      </w:r>
      <w:r>
        <w:rPr>
          <w:rFonts w:hint="eastAsia"/>
        </w:rPr>
        <w:t>废液、废物的处理</w:t>
      </w:r>
    </w:p>
    <w:p w14:paraId="4AFFAAA9" w14:textId="77777777" w:rsidR="00F5289E" w:rsidRDefault="00C91173">
      <w:pPr>
        <w:snapToGrid w:val="0"/>
        <w:spacing w:line="360" w:lineRule="auto"/>
        <w:ind w:firstLineChars="200" w:firstLine="420"/>
      </w:pPr>
      <w:r>
        <w:rPr>
          <w:rFonts w:hint="eastAsia"/>
        </w:rPr>
        <w:t>2.4.1</w:t>
      </w:r>
      <w:r>
        <w:rPr>
          <w:rFonts w:hint="eastAsia"/>
        </w:rPr>
        <w:t>一切不溶固体或衣酸、浓碱溶液严禁到入水池，以防堵塞和腐蚀水管</w:t>
      </w:r>
      <w:r>
        <w:rPr>
          <w:rFonts w:hint="eastAsia"/>
        </w:rPr>
        <w:t>,</w:t>
      </w:r>
      <w:r>
        <w:rPr>
          <w:rFonts w:hint="eastAsia"/>
        </w:rPr>
        <w:t>浓酸、浓碱应经稀释后才能放入水池。</w:t>
      </w:r>
    </w:p>
    <w:p w14:paraId="4D42E2CC" w14:textId="77777777" w:rsidR="00F5289E" w:rsidRDefault="00C91173">
      <w:pPr>
        <w:snapToGrid w:val="0"/>
        <w:spacing w:line="360" w:lineRule="auto"/>
        <w:ind w:firstLineChars="200" w:firstLine="420"/>
      </w:pPr>
      <w:r>
        <w:rPr>
          <w:rFonts w:hint="eastAsia"/>
        </w:rPr>
        <w:t>2.4.2</w:t>
      </w:r>
      <w:r>
        <w:rPr>
          <w:rFonts w:hint="eastAsia"/>
        </w:rPr>
        <w:t>大量有机溶剂废液不得放入下水道，应回收至废液桶中集中处理。</w:t>
      </w:r>
    </w:p>
    <w:p w14:paraId="1A0377F0" w14:textId="77777777" w:rsidR="00F5289E" w:rsidRDefault="00C91173">
      <w:pPr>
        <w:snapToGrid w:val="0"/>
        <w:spacing w:line="360" w:lineRule="auto"/>
        <w:ind w:firstLineChars="200" w:firstLine="420"/>
      </w:pPr>
      <w:r>
        <w:rPr>
          <w:rFonts w:hint="eastAsia"/>
        </w:rPr>
        <w:t>3</w:t>
      </w:r>
      <w:r>
        <w:rPr>
          <w:rFonts w:hint="eastAsia"/>
        </w:rPr>
        <w:t>、灭火与急救</w:t>
      </w:r>
    </w:p>
    <w:p w14:paraId="121D0523" w14:textId="77777777" w:rsidR="00F5289E" w:rsidRDefault="00C91173">
      <w:pPr>
        <w:snapToGrid w:val="0"/>
        <w:spacing w:line="360" w:lineRule="auto"/>
        <w:ind w:firstLineChars="400" w:firstLine="840"/>
      </w:pPr>
      <w:r>
        <w:rPr>
          <w:rFonts w:hint="eastAsia"/>
        </w:rPr>
        <w:t>灭火</w:t>
      </w:r>
    </w:p>
    <w:p w14:paraId="7E5AC61C" w14:textId="77777777" w:rsidR="00F5289E" w:rsidRDefault="00C91173">
      <w:pPr>
        <w:snapToGrid w:val="0"/>
        <w:spacing w:line="360" w:lineRule="auto"/>
        <w:ind w:firstLineChars="200" w:firstLine="420"/>
      </w:pPr>
      <w:r>
        <w:rPr>
          <w:rFonts w:hint="eastAsia"/>
        </w:rPr>
        <w:t>（</w:t>
      </w:r>
      <w:r>
        <w:rPr>
          <w:rFonts w:hint="eastAsia"/>
        </w:rPr>
        <w:t>1</w:t>
      </w:r>
      <w:r>
        <w:rPr>
          <w:rFonts w:hint="eastAsia"/>
        </w:rPr>
        <w:t>）实验室失火后，一定要沉着、不要惊慌，要根据起火原因与火势大小，及时采取以下措施：立即关掉电源、气源及通风机；将室内易燃、易爆物</w:t>
      </w:r>
      <w:r>
        <w:rPr>
          <w:rFonts w:hint="eastAsia"/>
        </w:rPr>
        <w:t>(</w:t>
      </w:r>
      <w:r>
        <w:rPr>
          <w:rFonts w:hint="eastAsia"/>
        </w:rPr>
        <w:t>例如压缩气瓶</w:t>
      </w:r>
      <w:r>
        <w:rPr>
          <w:rFonts w:hint="eastAsia"/>
        </w:rPr>
        <w:t>)</w:t>
      </w:r>
      <w:r>
        <w:rPr>
          <w:rFonts w:hint="eastAsia"/>
        </w:rPr>
        <w:t>小心搬离火源，注意搬动时切不可碰撞，以免引起更大火灾；迅速选用适当的灭火器，将刚起的火扑灭。注意不要用水来扑灭不溶于水的油类以及其他有机溶剂等可燃物；及时报警</w:t>
      </w:r>
      <w:r>
        <w:rPr>
          <w:rFonts w:hint="eastAsia"/>
        </w:rPr>
        <w:t>:</w:t>
      </w:r>
      <w:r>
        <w:rPr>
          <w:rFonts w:hint="eastAsia"/>
        </w:rPr>
        <w:t>火警电话</w:t>
      </w:r>
      <w:r>
        <w:rPr>
          <w:rFonts w:hint="eastAsia"/>
        </w:rPr>
        <w:t>119</w:t>
      </w:r>
      <w:r>
        <w:rPr>
          <w:rFonts w:hint="eastAsia"/>
        </w:rPr>
        <w:t>；身上衣服着火时，切不可任意跑动。应用石棉毯裹在身，以隔绝空气而灭火。如无石棉毯或薄毯时</w:t>
      </w:r>
      <w:r>
        <w:rPr>
          <w:rFonts w:hint="eastAsia"/>
        </w:rPr>
        <w:t>,</w:t>
      </w:r>
      <w:r>
        <w:rPr>
          <w:rFonts w:hint="eastAsia"/>
        </w:rPr>
        <w:t>可就地躺下打滚以灭火。；应装备必要的灭火设备。</w:t>
      </w:r>
    </w:p>
    <w:p w14:paraId="7B6F1B6D" w14:textId="77777777" w:rsidR="00F5289E" w:rsidRDefault="00C91173">
      <w:pPr>
        <w:snapToGrid w:val="0"/>
        <w:spacing w:line="360" w:lineRule="auto"/>
        <w:ind w:firstLineChars="400" w:firstLine="840"/>
      </w:pPr>
      <w:r>
        <w:rPr>
          <w:rFonts w:hint="eastAsia"/>
        </w:rPr>
        <w:t>急救</w:t>
      </w:r>
    </w:p>
    <w:p w14:paraId="707C1D28" w14:textId="77777777" w:rsidR="00F5289E" w:rsidRDefault="00C91173">
      <w:pPr>
        <w:snapToGrid w:val="0"/>
        <w:spacing w:line="360" w:lineRule="auto"/>
        <w:ind w:firstLineChars="200" w:firstLine="420"/>
      </w:pPr>
      <w:r>
        <w:rPr>
          <w:rFonts w:hint="eastAsia"/>
        </w:rPr>
        <w:t>（</w:t>
      </w:r>
      <w:r>
        <w:rPr>
          <w:rFonts w:hint="eastAsia"/>
        </w:rPr>
        <w:t>1</w:t>
      </w:r>
      <w:r>
        <w:rPr>
          <w:rFonts w:hint="eastAsia"/>
        </w:rPr>
        <w:t>）实验室应备有急救箱，并经常检查，保证齐备无缺。</w:t>
      </w:r>
    </w:p>
    <w:p w14:paraId="64776B69" w14:textId="77777777" w:rsidR="00F5289E" w:rsidRDefault="00C91173">
      <w:pPr>
        <w:snapToGrid w:val="0"/>
        <w:spacing w:line="360" w:lineRule="auto"/>
        <w:ind w:firstLineChars="200" w:firstLine="420"/>
      </w:pPr>
      <w:r>
        <w:rPr>
          <w:rFonts w:hint="eastAsia"/>
        </w:rPr>
        <w:t>（</w:t>
      </w:r>
      <w:r>
        <w:rPr>
          <w:rFonts w:hint="eastAsia"/>
        </w:rPr>
        <w:t>2</w:t>
      </w:r>
      <w:r>
        <w:rPr>
          <w:rFonts w:hint="eastAsia"/>
        </w:rPr>
        <w:t>）当眼睛里溅入腐蚀性药品时</w:t>
      </w:r>
      <w:r>
        <w:rPr>
          <w:rFonts w:hint="eastAsia"/>
        </w:rPr>
        <w:t>:</w:t>
      </w:r>
      <w:r>
        <w:rPr>
          <w:rFonts w:hint="eastAsia"/>
        </w:rPr>
        <w:t>应立即用实验室配备的洗眼器冲洗，但应注意水压不可太大，以免眼球受伤，待药物被充分洗净后，再到医务室就医。</w:t>
      </w:r>
    </w:p>
    <w:p w14:paraId="546079EE" w14:textId="77777777" w:rsidR="00F5289E" w:rsidRDefault="00C91173">
      <w:pPr>
        <w:snapToGrid w:val="0"/>
        <w:spacing w:line="360" w:lineRule="auto"/>
        <w:ind w:firstLineChars="200" w:firstLine="420"/>
      </w:pPr>
      <w:r>
        <w:rPr>
          <w:rFonts w:hint="eastAsia"/>
        </w:rPr>
        <w:t>（</w:t>
      </w:r>
      <w:r>
        <w:rPr>
          <w:rFonts w:hint="eastAsia"/>
        </w:rPr>
        <w:t>3</w:t>
      </w:r>
      <w:r>
        <w:rPr>
          <w:rFonts w:hint="eastAsia"/>
        </w:rPr>
        <w:t>）当眼睛里进入碎玻璃或其他异物时，应闭上眼睛。不要转动，立即到医务室就医，切记不可用手揉眼睛，以免引起更严重的擦伤。</w:t>
      </w:r>
    </w:p>
    <w:p w14:paraId="143270B0" w14:textId="77777777" w:rsidR="00F5289E" w:rsidRDefault="00C91173">
      <w:pPr>
        <w:snapToGrid w:val="0"/>
        <w:spacing w:line="360" w:lineRule="auto"/>
        <w:ind w:firstLineChars="200" w:firstLine="420"/>
      </w:pPr>
      <w:r>
        <w:rPr>
          <w:rFonts w:hint="eastAsia"/>
        </w:rPr>
        <w:t>（</w:t>
      </w:r>
      <w:r>
        <w:rPr>
          <w:rFonts w:hint="eastAsia"/>
        </w:rPr>
        <w:t xml:space="preserve">4 </w:t>
      </w:r>
      <w:r>
        <w:rPr>
          <w:rFonts w:hint="eastAsia"/>
        </w:rPr>
        <w:t>）浓酸或碱洒在衣服上，或沾在皮肤上，应立即用大量水冲洗，随后分别用碳酸氢钠溶液</w:t>
      </w:r>
      <w:r>
        <w:rPr>
          <w:rFonts w:hint="eastAsia"/>
        </w:rPr>
        <w:t>(2%)</w:t>
      </w:r>
      <w:r>
        <w:rPr>
          <w:rFonts w:hint="eastAsia"/>
        </w:rPr>
        <w:t>或乙酸溶液</w:t>
      </w:r>
      <w:r>
        <w:rPr>
          <w:rFonts w:hint="eastAsia"/>
        </w:rPr>
        <w:t>(3-4%)</w:t>
      </w:r>
      <w:r>
        <w:rPr>
          <w:rFonts w:hint="eastAsia"/>
        </w:rPr>
        <w:t>轻轻擦洗，必要时去医务室就医。</w:t>
      </w:r>
    </w:p>
    <w:p w14:paraId="6E19BF84" w14:textId="77777777" w:rsidR="00F5289E" w:rsidRDefault="00C91173">
      <w:pPr>
        <w:snapToGrid w:val="0"/>
        <w:spacing w:line="360" w:lineRule="auto"/>
        <w:ind w:firstLineChars="200" w:firstLine="420"/>
      </w:pPr>
      <w:r>
        <w:rPr>
          <w:rFonts w:hint="eastAsia"/>
        </w:rPr>
        <w:t>（</w:t>
      </w:r>
      <w:r>
        <w:rPr>
          <w:rFonts w:hint="eastAsia"/>
        </w:rPr>
        <w:t>5</w:t>
      </w:r>
      <w:r>
        <w:rPr>
          <w:rFonts w:hint="eastAsia"/>
        </w:rPr>
        <w:t>）人员触电后，应立即切断电源，或用非导电体将电线从触电者身上移开。如果触电者已经休克，应迅速将其移到新鲜空气处，立即进行人工呼吸，并请医务人员到现场抢救。</w:t>
      </w:r>
    </w:p>
    <w:p w14:paraId="6CD511E7"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（四）实验项目名称与学时分配</w:t>
      </w:r>
    </w:p>
    <w:tbl>
      <w:tblPr>
        <w:tblStyle w:val="af6"/>
        <w:tblW w:w="9116" w:type="dxa"/>
        <w:jc w:val="center"/>
        <w:tblLayout w:type="fixed"/>
        <w:tblLook w:val="04A0" w:firstRow="1" w:lastRow="0" w:firstColumn="1" w:lastColumn="0" w:noHBand="0" w:noVBand="1"/>
      </w:tblPr>
      <w:tblGrid>
        <w:gridCol w:w="1980"/>
        <w:gridCol w:w="3118"/>
        <w:gridCol w:w="707"/>
        <w:gridCol w:w="958"/>
        <w:gridCol w:w="1225"/>
        <w:gridCol w:w="1128"/>
      </w:tblGrid>
      <w:tr w:rsidR="00F5289E" w14:paraId="6F8A3A1C" w14:textId="77777777">
        <w:trPr>
          <w:jc w:val="center"/>
        </w:trPr>
        <w:tc>
          <w:tcPr>
            <w:tcW w:w="1980" w:type="dxa"/>
            <w:shd w:val="clear" w:color="auto" w:fill="EEECE1" w:themeFill="background2"/>
            <w:vAlign w:val="center"/>
          </w:tcPr>
          <w:p w14:paraId="451CBAF0"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118" w:type="dxa"/>
            <w:shd w:val="clear" w:color="auto" w:fill="EEECE1" w:themeFill="background2"/>
            <w:vAlign w:val="center"/>
          </w:tcPr>
          <w:p w14:paraId="7A3C51F1"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707" w:type="dxa"/>
            <w:shd w:val="clear" w:color="auto" w:fill="EEECE1" w:themeFill="background2"/>
            <w:vAlign w:val="center"/>
          </w:tcPr>
          <w:p w14:paraId="772072B3"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958" w:type="dxa"/>
            <w:shd w:val="clear" w:color="auto" w:fill="EEECE1" w:themeFill="background2"/>
            <w:vAlign w:val="center"/>
          </w:tcPr>
          <w:p w14:paraId="32DD2973"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225" w:type="dxa"/>
            <w:shd w:val="clear" w:color="auto" w:fill="EEECE1" w:themeFill="background2"/>
            <w:vAlign w:val="center"/>
          </w:tcPr>
          <w:p w14:paraId="698BF452"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128" w:type="dxa"/>
            <w:shd w:val="clear" w:color="auto" w:fill="EEECE1" w:themeFill="background2"/>
            <w:vAlign w:val="center"/>
          </w:tcPr>
          <w:p w14:paraId="3928DBEF"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79706BE3" w14:textId="77777777">
        <w:trPr>
          <w:jc w:val="center"/>
        </w:trPr>
        <w:tc>
          <w:tcPr>
            <w:tcW w:w="1980" w:type="dxa"/>
          </w:tcPr>
          <w:p w14:paraId="24E43FA8" w14:textId="77777777" w:rsidR="00F5289E" w:rsidRDefault="00C91173">
            <w:pPr>
              <w:jc w:val="center"/>
              <w:rPr>
                <w:rFonts w:eastAsiaTheme="minorEastAsia"/>
                <w:szCs w:val="21"/>
              </w:rPr>
            </w:pPr>
            <w:r>
              <w:rPr>
                <w:rFonts w:eastAsiaTheme="minorEastAsia"/>
                <w:sz w:val="18"/>
                <w:szCs w:val="18"/>
              </w:rPr>
              <w:t>1901105201</w:t>
            </w:r>
          </w:p>
        </w:tc>
        <w:tc>
          <w:tcPr>
            <w:tcW w:w="3118" w:type="dxa"/>
            <w:vAlign w:val="center"/>
          </w:tcPr>
          <w:p w14:paraId="636AD0B1"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植物组织培养实验室</w:t>
            </w:r>
            <w:r>
              <w:rPr>
                <w:rFonts w:eastAsiaTheme="minorEastAsia" w:hAnsiTheme="minorEastAsia" w:hint="eastAsia"/>
                <w:bCs/>
                <w:kern w:val="0"/>
                <w:sz w:val="18"/>
                <w:szCs w:val="18"/>
              </w:rPr>
              <w:t>的构造设计、实验</w:t>
            </w:r>
            <w:r>
              <w:rPr>
                <w:rFonts w:eastAsiaTheme="minorEastAsia" w:hAnsiTheme="minorEastAsia"/>
                <w:bCs/>
                <w:kern w:val="0"/>
                <w:sz w:val="18"/>
                <w:szCs w:val="18"/>
              </w:rPr>
              <w:t>仪器</w:t>
            </w:r>
            <w:r>
              <w:rPr>
                <w:rFonts w:eastAsiaTheme="minorEastAsia" w:hAnsiTheme="minorEastAsia" w:hint="eastAsia"/>
                <w:bCs/>
                <w:kern w:val="0"/>
                <w:sz w:val="18"/>
                <w:szCs w:val="18"/>
              </w:rPr>
              <w:t>设备</w:t>
            </w:r>
            <w:r>
              <w:rPr>
                <w:rFonts w:eastAsiaTheme="minorEastAsia" w:hAnsiTheme="minorEastAsia"/>
                <w:bCs/>
                <w:kern w:val="0"/>
                <w:sz w:val="18"/>
                <w:szCs w:val="18"/>
              </w:rPr>
              <w:t>简介</w:t>
            </w:r>
            <w:r>
              <w:rPr>
                <w:rFonts w:eastAsiaTheme="minorEastAsia" w:hAnsiTheme="minorEastAsia" w:hint="eastAsia"/>
                <w:bCs/>
                <w:kern w:val="0"/>
                <w:sz w:val="18"/>
                <w:szCs w:val="18"/>
              </w:rPr>
              <w:t>及实验准备技术</w:t>
            </w:r>
          </w:p>
        </w:tc>
        <w:tc>
          <w:tcPr>
            <w:tcW w:w="707" w:type="dxa"/>
            <w:vAlign w:val="center"/>
          </w:tcPr>
          <w:p w14:paraId="13D50D24"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4</w:t>
            </w:r>
          </w:p>
        </w:tc>
        <w:tc>
          <w:tcPr>
            <w:tcW w:w="958" w:type="dxa"/>
          </w:tcPr>
          <w:p w14:paraId="6F65D4B3"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综合性</w:t>
            </w:r>
          </w:p>
        </w:tc>
        <w:tc>
          <w:tcPr>
            <w:tcW w:w="1225" w:type="dxa"/>
          </w:tcPr>
          <w:p w14:paraId="309DC0D4"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2EFB4AC6"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6</w:t>
            </w:r>
          </w:p>
        </w:tc>
      </w:tr>
      <w:tr w:rsidR="00F5289E" w14:paraId="46B94F49" w14:textId="77777777">
        <w:trPr>
          <w:jc w:val="center"/>
        </w:trPr>
        <w:tc>
          <w:tcPr>
            <w:tcW w:w="1980" w:type="dxa"/>
          </w:tcPr>
          <w:p w14:paraId="68E7DB20" w14:textId="77777777" w:rsidR="00F5289E" w:rsidRDefault="00C91173">
            <w:pPr>
              <w:jc w:val="center"/>
              <w:rPr>
                <w:rFonts w:eastAsiaTheme="minorEastAsia"/>
                <w:szCs w:val="21"/>
              </w:rPr>
            </w:pPr>
            <w:r>
              <w:rPr>
                <w:rFonts w:eastAsiaTheme="minorEastAsia"/>
                <w:sz w:val="18"/>
                <w:szCs w:val="18"/>
              </w:rPr>
              <w:t>1901105202</w:t>
            </w:r>
          </w:p>
        </w:tc>
        <w:tc>
          <w:tcPr>
            <w:tcW w:w="3118" w:type="dxa"/>
            <w:vAlign w:val="center"/>
          </w:tcPr>
          <w:p w14:paraId="21CE379D"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hint="eastAsia"/>
                <w:bCs/>
                <w:kern w:val="0"/>
                <w:sz w:val="18"/>
                <w:szCs w:val="18"/>
              </w:rPr>
              <w:t>MS</w:t>
            </w:r>
            <w:r>
              <w:rPr>
                <w:rFonts w:eastAsiaTheme="minorEastAsia" w:hAnsiTheme="minorEastAsia"/>
                <w:bCs/>
                <w:kern w:val="0"/>
                <w:sz w:val="18"/>
                <w:szCs w:val="18"/>
              </w:rPr>
              <w:t>培养基母液</w:t>
            </w:r>
            <w:r>
              <w:rPr>
                <w:rFonts w:eastAsiaTheme="minorEastAsia" w:hAnsiTheme="minorEastAsia" w:hint="eastAsia"/>
                <w:bCs/>
                <w:kern w:val="0"/>
                <w:sz w:val="18"/>
                <w:szCs w:val="18"/>
              </w:rPr>
              <w:t>的</w:t>
            </w:r>
            <w:r>
              <w:rPr>
                <w:rFonts w:eastAsiaTheme="minorEastAsia" w:hAnsiTheme="minorEastAsia"/>
                <w:bCs/>
                <w:kern w:val="0"/>
                <w:sz w:val="18"/>
                <w:szCs w:val="18"/>
              </w:rPr>
              <w:t>配制</w:t>
            </w:r>
          </w:p>
        </w:tc>
        <w:tc>
          <w:tcPr>
            <w:tcW w:w="707" w:type="dxa"/>
            <w:vAlign w:val="center"/>
          </w:tcPr>
          <w:p w14:paraId="7F384578"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2</w:t>
            </w:r>
          </w:p>
        </w:tc>
        <w:tc>
          <w:tcPr>
            <w:tcW w:w="958" w:type="dxa"/>
          </w:tcPr>
          <w:p w14:paraId="2CCDF8B7" w14:textId="77777777" w:rsidR="00F5289E" w:rsidRDefault="00C91173">
            <w:pPr>
              <w:jc w:val="center"/>
              <w:rPr>
                <w:rFonts w:eastAsiaTheme="minorEastAsia"/>
                <w:szCs w:val="21"/>
              </w:rPr>
            </w:pPr>
            <w:r>
              <w:rPr>
                <w:rFonts w:eastAsiaTheme="minorEastAsia" w:hAnsiTheme="minorEastAsia"/>
                <w:bCs/>
                <w:kern w:val="0"/>
                <w:sz w:val="18"/>
                <w:szCs w:val="18"/>
              </w:rPr>
              <w:t>基础性</w:t>
            </w:r>
          </w:p>
        </w:tc>
        <w:tc>
          <w:tcPr>
            <w:tcW w:w="1225" w:type="dxa"/>
          </w:tcPr>
          <w:p w14:paraId="74CB6283"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398F3A38"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6</w:t>
            </w:r>
          </w:p>
        </w:tc>
      </w:tr>
      <w:tr w:rsidR="00F5289E" w14:paraId="70A62742" w14:textId="77777777">
        <w:trPr>
          <w:jc w:val="center"/>
        </w:trPr>
        <w:tc>
          <w:tcPr>
            <w:tcW w:w="1980" w:type="dxa"/>
          </w:tcPr>
          <w:p w14:paraId="4E236E4C" w14:textId="77777777" w:rsidR="00F5289E" w:rsidRDefault="00C91173">
            <w:pPr>
              <w:jc w:val="center"/>
              <w:rPr>
                <w:rFonts w:eastAsiaTheme="minorEastAsia"/>
                <w:szCs w:val="21"/>
              </w:rPr>
            </w:pPr>
            <w:r>
              <w:rPr>
                <w:rFonts w:eastAsiaTheme="minorEastAsia"/>
                <w:sz w:val="18"/>
                <w:szCs w:val="18"/>
              </w:rPr>
              <w:t>1901105203</w:t>
            </w:r>
          </w:p>
        </w:tc>
        <w:tc>
          <w:tcPr>
            <w:tcW w:w="3118" w:type="dxa"/>
            <w:vAlign w:val="center"/>
          </w:tcPr>
          <w:p w14:paraId="404B3E17"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hint="eastAsia"/>
                <w:bCs/>
                <w:kern w:val="0"/>
                <w:sz w:val="18"/>
                <w:szCs w:val="18"/>
              </w:rPr>
              <w:t>MS</w:t>
            </w:r>
            <w:r>
              <w:rPr>
                <w:rFonts w:eastAsiaTheme="minorEastAsia" w:hAnsiTheme="minorEastAsia"/>
                <w:bCs/>
                <w:kern w:val="0"/>
                <w:sz w:val="18"/>
                <w:szCs w:val="18"/>
              </w:rPr>
              <w:t>工作培养基</w:t>
            </w:r>
            <w:r>
              <w:rPr>
                <w:rFonts w:eastAsiaTheme="minorEastAsia" w:hAnsiTheme="minorEastAsia" w:hint="eastAsia"/>
                <w:bCs/>
                <w:kern w:val="0"/>
                <w:sz w:val="18"/>
                <w:szCs w:val="18"/>
              </w:rPr>
              <w:t>的</w:t>
            </w:r>
            <w:r>
              <w:rPr>
                <w:rFonts w:eastAsiaTheme="minorEastAsia" w:hAnsiTheme="minorEastAsia"/>
                <w:bCs/>
                <w:kern w:val="0"/>
                <w:sz w:val="18"/>
                <w:szCs w:val="18"/>
              </w:rPr>
              <w:t>配制与灭菌</w:t>
            </w:r>
          </w:p>
        </w:tc>
        <w:tc>
          <w:tcPr>
            <w:tcW w:w="707" w:type="dxa"/>
            <w:vAlign w:val="center"/>
          </w:tcPr>
          <w:p w14:paraId="2199C216"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2</w:t>
            </w:r>
          </w:p>
        </w:tc>
        <w:tc>
          <w:tcPr>
            <w:tcW w:w="958" w:type="dxa"/>
          </w:tcPr>
          <w:p w14:paraId="22B795A5" w14:textId="77777777" w:rsidR="00F5289E" w:rsidRDefault="00C91173">
            <w:pPr>
              <w:jc w:val="center"/>
              <w:rPr>
                <w:rFonts w:eastAsiaTheme="minorEastAsia"/>
                <w:szCs w:val="21"/>
              </w:rPr>
            </w:pPr>
            <w:r>
              <w:rPr>
                <w:rFonts w:eastAsiaTheme="minorEastAsia" w:hAnsiTheme="minorEastAsia"/>
                <w:bCs/>
                <w:kern w:val="0"/>
                <w:sz w:val="18"/>
                <w:szCs w:val="18"/>
              </w:rPr>
              <w:t>基础性</w:t>
            </w:r>
          </w:p>
        </w:tc>
        <w:tc>
          <w:tcPr>
            <w:tcW w:w="1225" w:type="dxa"/>
          </w:tcPr>
          <w:p w14:paraId="77F491A3"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7C840AFB"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6</w:t>
            </w:r>
          </w:p>
        </w:tc>
      </w:tr>
      <w:tr w:rsidR="00F5289E" w14:paraId="4B6C2F2A" w14:textId="77777777">
        <w:trPr>
          <w:jc w:val="center"/>
        </w:trPr>
        <w:tc>
          <w:tcPr>
            <w:tcW w:w="1980" w:type="dxa"/>
          </w:tcPr>
          <w:p w14:paraId="313CF45B" w14:textId="77777777" w:rsidR="00F5289E" w:rsidRDefault="00C91173">
            <w:pPr>
              <w:jc w:val="center"/>
              <w:rPr>
                <w:rFonts w:eastAsiaTheme="minorEastAsia"/>
                <w:szCs w:val="21"/>
              </w:rPr>
            </w:pPr>
            <w:r>
              <w:rPr>
                <w:rFonts w:eastAsiaTheme="minorEastAsia"/>
                <w:sz w:val="18"/>
                <w:szCs w:val="18"/>
              </w:rPr>
              <w:lastRenderedPageBreak/>
              <w:t>1901105204</w:t>
            </w:r>
          </w:p>
        </w:tc>
        <w:tc>
          <w:tcPr>
            <w:tcW w:w="3118" w:type="dxa"/>
            <w:vAlign w:val="center"/>
          </w:tcPr>
          <w:p w14:paraId="0A7717C3"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hint="eastAsia"/>
                <w:bCs/>
                <w:kern w:val="0"/>
                <w:sz w:val="18"/>
                <w:szCs w:val="18"/>
              </w:rPr>
              <w:t>无菌苗的制备及接种</w:t>
            </w:r>
          </w:p>
        </w:tc>
        <w:tc>
          <w:tcPr>
            <w:tcW w:w="707" w:type="dxa"/>
            <w:vAlign w:val="center"/>
          </w:tcPr>
          <w:p w14:paraId="15D73902"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2</w:t>
            </w:r>
          </w:p>
        </w:tc>
        <w:tc>
          <w:tcPr>
            <w:tcW w:w="958" w:type="dxa"/>
          </w:tcPr>
          <w:p w14:paraId="7CB2B8CC" w14:textId="77777777" w:rsidR="00F5289E" w:rsidRDefault="00C91173">
            <w:pPr>
              <w:jc w:val="center"/>
              <w:rPr>
                <w:rFonts w:eastAsiaTheme="minorEastAsia"/>
                <w:szCs w:val="21"/>
              </w:rPr>
            </w:pPr>
            <w:r>
              <w:rPr>
                <w:rFonts w:eastAsiaTheme="minorEastAsia" w:hAnsiTheme="minorEastAsia"/>
                <w:bCs/>
                <w:kern w:val="0"/>
                <w:sz w:val="18"/>
                <w:szCs w:val="18"/>
              </w:rPr>
              <w:t>综合性</w:t>
            </w:r>
          </w:p>
        </w:tc>
        <w:tc>
          <w:tcPr>
            <w:tcW w:w="1225" w:type="dxa"/>
          </w:tcPr>
          <w:p w14:paraId="6F68575A"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10EC119B"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6</w:t>
            </w:r>
          </w:p>
        </w:tc>
      </w:tr>
      <w:tr w:rsidR="00F5289E" w14:paraId="3C3A21FB" w14:textId="77777777">
        <w:trPr>
          <w:jc w:val="center"/>
        </w:trPr>
        <w:tc>
          <w:tcPr>
            <w:tcW w:w="1980" w:type="dxa"/>
          </w:tcPr>
          <w:p w14:paraId="105A3F85" w14:textId="77777777" w:rsidR="00F5289E" w:rsidRDefault="00C91173">
            <w:pPr>
              <w:jc w:val="center"/>
              <w:rPr>
                <w:rFonts w:eastAsiaTheme="minorEastAsia"/>
                <w:kern w:val="0"/>
                <w:szCs w:val="21"/>
              </w:rPr>
            </w:pPr>
            <w:r>
              <w:rPr>
                <w:rFonts w:eastAsiaTheme="minorEastAsia"/>
                <w:sz w:val="18"/>
                <w:szCs w:val="18"/>
              </w:rPr>
              <w:t>1901105205</w:t>
            </w:r>
          </w:p>
        </w:tc>
        <w:tc>
          <w:tcPr>
            <w:tcW w:w="3118" w:type="dxa"/>
            <w:vAlign w:val="center"/>
          </w:tcPr>
          <w:p w14:paraId="71437BF3" w14:textId="77777777" w:rsidR="00F5289E" w:rsidRDefault="00C91173">
            <w:pPr>
              <w:widowControl/>
              <w:snapToGrid w:val="0"/>
              <w:spacing w:line="312" w:lineRule="auto"/>
              <w:jc w:val="center"/>
              <w:rPr>
                <w:rFonts w:eastAsiaTheme="minorEastAsia"/>
                <w:kern w:val="0"/>
                <w:szCs w:val="21"/>
              </w:rPr>
            </w:pPr>
            <w:r>
              <w:rPr>
                <w:rFonts w:eastAsiaTheme="minorEastAsia" w:hAnsiTheme="minorEastAsia" w:hint="eastAsia"/>
                <w:bCs/>
                <w:kern w:val="0"/>
                <w:sz w:val="18"/>
                <w:szCs w:val="18"/>
              </w:rPr>
              <w:t>愈伤组织诱导和分化培养基配制</w:t>
            </w:r>
          </w:p>
        </w:tc>
        <w:tc>
          <w:tcPr>
            <w:tcW w:w="707" w:type="dxa"/>
            <w:vAlign w:val="center"/>
          </w:tcPr>
          <w:p w14:paraId="44F700AE"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2</w:t>
            </w:r>
          </w:p>
        </w:tc>
        <w:tc>
          <w:tcPr>
            <w:tcW w:w="958" w:type="dxa"/>
          </w:tcPr>
          <w:p w14:paraId="52E1E029" w14:textId="77777777" w:rsidR="00F5289E" w:rsidRDefault="00C91173">
            <w:pPr>
              <w:jc w:val="center"/>
              <w:rPr>
                <w:rFonts w:eastAsiaTheme="minorEastAsia"/>
                <w:bCs/>
                <w:kern w:val="0"/>
                <w:szCs w:val="21"/>
              </w:rPr>
            </w:pPr>
            <w:r>
              <w:rPr>
                <w:rFonts w:eastAsiaTheme="minorEastAsia" w:hAnsiTheme="minorEastAsia"/>
                <w:bCs/>
                <w:kern w:val="0"/>
                <w:sz w:val="18"/>
                <w:szCs w:val="18"/>
              </w:rPr>
              <w:t>综合性</w:t>
            </w:r>
          </w:p>
        </w:tc>
        <w:tc>
          <w:tcPr>
            <w:tcW w:w="1225" w:type="dxa"/>
          </w:tcPr>
          <w:p w14:paraId="3E6173A4"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3B9E1FE3" w14:textId="77777777" w:rsidR="00F5289E" w:rsidRDefault="00C91173">
            <w:pPr>
              <w:widowControl/>
              <w:snapToGrid w:val="0"/>
              <w:spacing w:line="312" w:lineRule="auto"/>
              <w:jc w:val="center"/>
              <w:rPr>
                <w:rFonts w:eastAsiaTheme="minorEastAsia"/>
                <w:szCs w:val="21"/>
              </w:rPr>
            </w:pPr>
            <w:r>
              <w:rPr>
                <w:rFonts w:eastAsiaTheme="minorEastAsia"/>
                <w:bCs/>
                <w:kern w:val="0"/>
                <w:sz w:val="18"/>
                <w:szCs w:val="18"/>
              </w:rPr>
              <w:t>6</w:t>
            </w:r>
          </w:p>
        </w:tc>
      </w:tr>
      <w:tr w:rsidR="00F5289E" w14:paraId="03890F1E" w14:textId="77777777">
        <w:trPr>
          <w:jc w:val="center"/>
        </w:trPr>
        <w:tc>
          <w:tcPr>
            <w:tcW w:w="1980" w:type="dxa"/>
          </w:tcPr>
          <w:p w14:paraId="1D365DD9" w14:textId="77777777" w:rsidR="00F5289E" w:rsidRDefault="00C91173">
            <w:pPr>
              <w:jc w:val="center"/>
              <w:rPr>
                <w:rFonts w:eastAsiaTheme="minorEastAsia"/>
                <w:szCs w:val="21"/>
              </w:rPr>
            </w:pPr>
            <w:r>
              <w:rPr>
                <w:rFonts w:eastAsiaTheme="minorEastAsia"/>
                <w:sz w:val="18"/>
                <w:szCs w:val="18"/>
              </w:rPr>
              <w:t>1901105206</w:t>
            </w:r>
          </w:p>
        </w:tc>
        <w:tc>
          <w:tcPr>
            <w:tcW w:w="3118" w:type="dxa"/>
            <w:vAlign w:val="center"/>
          </w:tcPr>
          <w:p w14:paraId="49BB0222"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hint="eastAsia"/>
                <w:bCs/>
                <w:kern w:val="0"/>
                <w:sz w:val="18"/>
                <w:szCs w:val="18"/>
              </w:rPr>
              <w:t>愈伤组织的诱导培养</w:t>
            </w:r>
          </w:p>
        </w:tc>
        <w:tc>
          <w:tcPr>
            <w:tcW w:w="707" w:type="dxa"/>
            <w:vAlign w:val="center"/>
          </w:tcPr>
          <w:p w14:paraId="264DA3F3"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2</w:t>
            </w:r>
          </w:p>
        </w:tc>
        <w:tc>
          <w:tcPr>
            <w:tcW w:w="958" w:type="dxa"/>
          </w:tcPr>
          <w:p w14:paraId="0B9773B4"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综合性</w:t>
            </w:r>
          </w:p>
        </w:tc>
        <w:tc>
          <w:tcPr>
            <w:tcW w:w="1225" w:type="dxa"/>
          </w:tcPr>
          <w:p w14:paraId="4C3E6C60"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11D06A42"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6</w:t>
            </w:r>
          </w:p>
        </w:tc>
      </w:tr>
      <w:tr w:rsidR="00F5289E" w14:paraId="4A96D888" w14:textId="77777777">
        <w:trPr>
          <w:jc w:val="center"/>
        </w:trPr>
        <w:tc>
          <w:tcPr>
            <w:tcW w:w="1980" w:type="dxa"/>
          </w:tcPr>
          <w:p w14:paraId="3C159AA9" w14:textId="77777777" w:rsidR="00F5289E" w:rsidRDefault="00C91173">
            <w:pPr>
              <w:jc w:val="center"/>
              <w:rPr>
                <w:rFonts w:eastAsiaTheme="minorEastAsia"/>
                <w:kern w:val="0"/>
                <w:szCs w:val="21"/>
              </w:rPr>
            </w:pPr>
            <w:r>
              <w:rPr>
                <w:rFonts w:eastAsiaTheme="minorEastAsia"/>
                <w:sz w:val="18"/>
                <w:szCs w:val="18"/>
              </w:rPr>
              <w:t>1901105207</w:t>
            </w:r>
          </w:p>
        </w:tc>
        <w:tc>
          <w:tcPr>
            <w:tcW w:w="3118" w:type="dxa"/>
            <w:vAlign w:val="center"/>
          </w:tcPr>
          <w:p w14:paraId="23DB180B" w14:textId="77777777" w:rsidR="00F5289E" w:rsidRDefault="00C91173">
            <w:pPr>
              <w:widowControl/>
              <w:snapToGrid w:val="0"/>
              <w:spacing w:line="312" w:lineRule="auto"/>
              <w:jc w:val="center"/>
              <w:rPr>
                <w:rFonts w:eastAsiaTheme="minorEastAsia"/>
                <w:kern w:val="0"/>
                <w:szCs w:val="21"/>
              </w:rPr>
            </w:pPr>
            <w:r>
              <w:rPr>
                <w:rFonts w:eastAsiaTheme="minorEastAsia" w:hAnsiTheme="minorEastAsia" w:hint="eastAsia"/>
                <w:bCs/>
                <w:kern w:val="0"/>
                <w:sz w:val="18"/>
                <w:szCs w:val="18"/>
              </w:rPr>
              <w:t>分化及</w:t>
            </w:r>
            <w:r>
              <w:rPr>
                <w:rFonts w:eastAsiaTheme="minorEastAsia" w:hAnsiTheme="minorEastAsia"/>
                <w:bCs/>
                <w:kern w:val="0"/>
                <w:sz w:val="18"/>
                <w:szCs w:val="18"/>
              </w:rPr>
              <w:t>生根培养</w:t>
            </w:r>
          </w:p>
        </w:tc>
        <w:tc>
          <w:tcPr>
            <w:tcW w:w="707" w:type="dxa"/>
            <w:vAlign w:val="center"/>
          </w:tcPr>
          <w:p w14:paraId="27361EE3"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 w:val="18"/>
                <w:szCs w:val="18"/>
              </w:rPr>
              <w:t>2</w:t>
            </w:r>
          </w:p>
        </w:tc>
        <w:tc>
          <w:tcPr>
            <w:tcW w:w="958" w:type="dxa"/>
          </w:tcPr>
          <w:p w14:paraId="624BA97A" w14:textId="77777777" w:rsidR="00F5289E" w:rsidRDefault="00C91173">
            <w:pPr>
              <w:widowControl/>
              <w:snapToGrid w:val="0"/>
              <w:spacing w:line="312" w:lineRule="auto"/>
              <w:jc w:val="center"/>
              <w:rPr>
                <w:rFonts w:ascii="宋体" w:hAnsi="宋体"/>
                <w:kern w:val="0"/>
                <w:szCs w:val="21"/>
              </w:rPr>
            </w:pPr>
            <w:r>
              <w:rPr>
                <w:rFonts w:eastAsiaTheme="minorEastAsia" w:hAnsiTheme="minorEastAsia"/>
                <w:bCs/>
                <w:kern w:val="0"/>
                <w:sz w:val="18"/>
                <w:szCs w:val="18"/>
              </w:rPr>
              <w:t>综合性</w:t>
            </w:r>
          </w:p>
        </w:tc>
        <w:tc>
          <w:tcPr>
            <w:tcW w:w="1225" w:type="dxa"/>
          </w:tcPr>
          <w:p w14:paraId="0BB1A44F"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必做</w:t>
            </w:r>
          </w:p>
        </w:tc>
        <w:tc>
          <w:tcPr>
            <w:tcW w:w="1128" w:type="dxa"/>
          </w:tcPr>
          <w:p w14:paraId="38F92F42" w14:textId="77777777" w:rsidR="00F5289E" w:rsidRDefault="00C91173">
            <w:pPr>
              <w:widowControl/>
              <w:snapToGrid w:val="0"/>
              <w:spacing w:line="312" w:lineRule="auto"/>
              <w:jc w:val="center"/>
              <w:rPr>
                <w:rFonts w:eastAsiaTheme="minorEastAsia"/>
                <w:szCs w:val="21"/>
              </w:rPr>
            </w:pPr>
            <w:r>
              <w:rPr>
                <w:rFonts w:eastAsiaTheme="minorEastAsia"/>
                <w:bCs/>
                <w:kern w:val="0"/>
                <w:sz w:val="18"/>
                <w:szCs w:val="18"/>
              </w:rPr>
              <w:t>6</w:t>
            </w:r>
          </w:p>
        </w:tc>
      </w:tr>
      <w:tr w:rsidR="00F5289E" w14:paraId="1AE07094" w14:textId="77777777">
        <w:trPr>
          <w:jc w:val="center"/>
        </w:trPr>
        <w:tc>
          <w:tcPr>
            <w:tcW w:w="1980" w:type="dxa"/>
          </w:tcPr>
          <w:p w14:paraId="17FDC648" w14:textId="77777777" w:rsidR="00F5289E" w:rsidRDefault="00C91173">
            <w:pPr>
              <w:jc w:val="center"/>
              <w:rPr>
                <w:rFonts w:eastAsiaTheme="minorEastAsia"/>
                <w:kern w:val="0"/>
                <w:szCs w:val="21"/>
              </w:rPr>
            </w:pPr>
            <w:r>
              <w:rPr>
                <w:rFonts w:eastAsiaTheme="minorEastAsia"/>
                <w:sz w:val="18"/>
                <w:szCs w:val="18"/>
              </w:rPr>
              <w:t>1901105208</w:t>
            </w:r>
          </w:p>
        </w:tc>
        <w:tc>
          <w:tcPr>
            <w:tcW w:w="3118" w:type="dxa"/>
            <w:vAlign w:val="center"/>
          </w:tcPr>
          <w:p w14:paraId="7DAC68B5" w14:textId="77777777" w:rsidR="00F5289E" w:rsidRDefault="00C91173">
            <w:pPr>
              <w:widowControl/>
              <w:snapToGrid w:val="0"/>
              <w:spacing w:line="312" w:lineRule="auto"/>
              <w:jc w:val="center"/>
              <w:rPr>
                <w:rFonts w:eastAsiaTheme="minorEastAsia"/>
                <w:kern w:val="0"/>
                <w:szCs w:val="21"/>
              </w:rPr>
            </w:pPr>
            <w:r>
              <w:rPr>
                <w:rFonts w:eastAsiaTheme="minorEastAsia" w:hAnsiTheme="minorEastAsia"/>
                <w:bCs/>
                <w:kern w:val="0"/>
                <w:sz w:val="18"/>
                <w:szCs w:val="18"/>
              </w:rPr>
              <w:t>花药培养与花粉植株再生</w:t>
            </w:r>
          </w:p>
        </w:tc>
        <w:tc>
          <w:tcPr>
            <w:tcW w:w="707" w:type="dxa"/>
            <w:vAlign w:val="center"/>
          </w:tcPr>
          <w:p w14:paraId="5A39DC91"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8</w:t>
            </w:r>
          </w:p>
        </w:tc>
        <w:tc>
          <w:tcPr>
            <w:tcW w:w="958" w:type="dxa"/>
          </w:tcPr>
          <w:p w14:paraId="78CF8768" w14:textId="77777777" w:rsidR="00F5289E" w:rsidRDefault="00C91173">
            <w:pPr>
              <w:widowControl/>
              <w:snapToGrid w:val="0"/>
              <w:spacing w:line="312" w:lineRule="auto"/>
              <w:jc w:val="center"/>
              <w:rPr>
                <w:rFonts w:ascii="宋体" w:hAnsi="宋体"/>
                <w:kern w:val="0"/>
                <w:szCs w:val="21"/>
              </w:rPr>
            </w:pPr>
            <w:r>
              <w:rPr>
                <w:rFonts w:eastAsiaTheme="minorEastAsia" w:hAnsiTheme="minorEastAsia"/>
                <w:bCs/>
                <w:kern w:val="0"/>
                <w:sz w:val="18"/>
                <w:szCs w:val="18"/>
              </w:rPr>
              <w:t>设计性</w:t>
            </w:r>
          </w:p>
        </w:tc>
        <w:tc>
          <w:tcPr>
            <w:tcW w:w="1225" w:type="dxa"/>
          </w:tcPr>
          <w:p w14:paraId="4C8A8DBA"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选做</w:t>
            </w:r>
          </w:p>
        </w:tc>
        <w:tc>
          <w:tcPr>
            <w:tcW w:w="1128" w:type="dxa"/>
          </w:tcPr>
          <w:p w14:paraId="7A6BF69A" w14:textId="77777777" w:rsidR="00F5289E" w:rsidRDefault="00C91173">
            <w:pPr>
              <w:widowControl/>
              <w:snapToGrid w:val="0"/>
              <w:spacing w:line="312" w:lineRule="auto"/>
              <w:jc w:val="center"/>
              <w:rPr>
                <w:rFonts w:eastAsiaTheme="minorEastAsia"/>
                <w:szCs w:val="21"/>
              </w:rPr>
            </w:pPr>
            <w:r>
              <w:rPr>
                <w:rFonts w:eastAsiaTheme="minorEastAsia"/>
                <w:bCs/>
                <w:kern w:val="0"/>
                <w:sz w:val="18"/>
                <w:szCs w:val="18"/>
              </w:rPr>
              <w:t>4</w:t>
            </w:r>
          </w:p>
        </w:tc>
      </w:tr>
      <w:tr w:rsidR="00F5289E" w14:paraId="67AD83BF" w14:textId="77777777">
        <w:trPr>
          <w:jc w:val="center"/>
        </w:trPr>
        <w:tc>
          <w:tcPr>
            <w:tcW w:w="1980" w:type="dxa"/>
          </w:tcPr>
          <w:p w14:paraId="2F4B9058" w14:textId="77777777" w:rsidR="00F5289E" w:rsidRDefault="00C91173">
            <w:pPr>
              <w:jc w:val="center"/>
              <w:rPr>
                <w:rFonts w:eastAsiaTheme="minorEastAsia"/>
                <w:kern w:val="0"/>
                <w:szCs w:val="21"/>
              </w:rPr>
            </w:pPr>
            <w:r>
              <w:rPr>
                <w:rFonts w:eastAsiaTheme="minorEastAsia"/>
                <w:sz w:val="18"/>
                <w:szCs w:val="18"/>
              </w:rPr>
              <w:t>190110520</w:t>
            </w:r>
            <w:r>
              <w:rPr>
                <w:rFonts w:eastAsiaTheme="minorEastAsia" w:hint="eastAsia"/>
                <w:sz w:val="18"/>
                <w:szCs w:val="18"/>
              </w:rPr>
              <w:t>9</w:t>
            </w:r>
          </w:p>
        </w:tc>
        <w:tc>
          <w:tcPr>
            <w:tcW w:w="3118" w:type="dxa"/>
            <w:vAlign w:val="center"/>
          </w:tcPr>
          <w:p w14:paraId="00ED4AC0" w14:textId="77777777" w:rsidR="00F5289E" w:rsidRDefault="00C91173">
            <w:pPr>
              <w:widowControl/>
              <w:snapToGrid w:val="0"/>
              <w:spacing w:line="312" w:lineRule="auto"/>
              <w:jc w:val="center"/>
              <w:rPr>
                <w:rFonts w:eastAsiaTheme="minorEastAsia"/>
                <w:kern w:val="0"/>
                <w:szCs w:val="21"/>
              </w:rPr>
            </w:pPr>
            <w:r>
              <w:rPr>
                <w:rFonts w:eastAsiaTheme="minorEastAsia" w:hAnsiTheme="minorEastAsia"/>
                <w:bCs/>
                <w:kern w:val="0"/>
                <w:sz w:val="18"/>
                <w:szCs w:val="18"/>
              </w:rPr>
              <w:t>体细胞胚的诱导与观察</w:t>
            </w:r>
          </w:p>
        </w:tc>
        <w:tc>
          <w:tcPr>
            <w:tcW w:w="707" w:type="dxa"/>
            <w:vAlign w:val="center"/>
          </w:tcPr>
          <w:p w14:paraId="2A5965DE"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 w:val="18"/>
                <w:szCs w:val="18"/>
              </w:rPr>
              <w:t>8</w:t>
            </w:r>
          </w:p>
        </w:tc>
        <w:tc>
          <w:tcPr>
            <w:tcW w:w="958" w:type="dxa"/>
          </w:tcPr>
          <w:p w14:paraId="42A5BF61" w14:textId="77777777" w:rsidR="00F5289E" w:rsidRDefault="00C91173">
            <w:pPr>
              <w:widowControl/>
              <w:snapToGrid w:val="0"/>
              <w:spacing w:line="312" w:lineRule="auto"/>
              <w:jc w:val="center"/>
              <w:rPr>
                <w:rFonts w:ascii="宋体" w:hAnsi="宋体"/>
                <w:kern w:val="0"/>
                <w:szCs w:val="21"/>
              </w:rPr>
            </w:pPr>
            <w:r>
              <w:rPr>
                <w:rFonts w:eastAsiaTheme="minorEastAsia" w:hAnsiTheme="minorEastAsia"/>
                <w:bCs/>
                <w:kern w:val="0"/>
                <w:sz w:val="18"/>
                <w:szCs w:val="18"/>
              </w:rPr>
              <w:t>设计性</w:t>
            </w:r>
          </w:p>
        </w:tc>
        <w:tc>
          <w:tcPr>
            <w:tcW w:w="1225" w:type="dxa"/>
          </w:tcPr>
          <w:p w14:paraId="6BABC763" w14:textId="77777777" w:rsidR="00F5289E" w:rsidRDefault="00C91173">
            <w:pPr>
              <w:widowControl/>
              <w:snapToGrid w:val="0"/>
              <w:spacing w:line="312" w:lineRule="auto"/>
              <w:jc w:val="center"/>
              <w:rPr>
                <w:rFonts w:eastAsiaTheme="minorEastAsia"/>
                <w:bCs/>
                <w:kern w:val="0"/>
                <w:szCs w:val="21"/>
              </w:rPr>
            </w:pPr>
            <w:r>
              <w:rPr>
                <w:rFonts w:eastAsiaTheme="minorEastAsia" w:hAnsiTheme="minorEastAsia"/>
                <w:bCs/>
                <w:kern w:val="0"/>
                <w:sz w:val="18"/>
                <w:szCs w:val="18"/>
              </w:rPr>
              <w:t>选做</w:t>
            </w:r>
          </w:p>
        </w:tc>
        <w:tc>
          <w:tcPr>
            <w:tcW w:w="1128" w:type="dxa"/>
          </w:tcPr>
          <w:p w14:paraId="380D0CB6" w14:textId="77777777" w:rsidR="00F5289E" w:rsidRDefault="00C91173">
            <w:pPr>
              <w:widowControl/>
              <w:snapToGrid w:val="0"/>
              <w:spacing w:line="312" w:lineRule="auto"/>
              <w:jc w:val="center"/>
              <w:rPr>
                <w:rFonts w:eastAsiaTheme="minorEastAsia"/>
                <w:szCs w:val="21"/>
              </w:rPr>
            </w:pPr>
            <w:r>
              <w:rPr>
                <w:rFonts w:eastAsiaTheme="minorEastAsia"/>
                <w:bCs/>
                <w:kern w:val="0"/>
                <w:sz w:val="18"/>
                <w:szCs w:val="18"/>
              </w:rPr>
              <w:t>4</w:t>
            </w:r>
          </w:p>
        </w:tc>
      </w:tr>
    </w:tbl>
    <w:p w14:paraId="06A42A3B" w14:textId="77777777" w:rsidR="00F5289E" w:rsidRDefault="00F5289E">
      <w:pPr>
        <w:widowControl/>
        <w:snapToGrid w:val="0"/>
        <w:spacing w:line="360" w:lineRule="auto"/>
        <w:jc w:val="left"/>
        <w:rPr>
          <w:rFonts w:hAnsi="宋体"/>
          <w:b/>
          <w:bCs/>
          <w:kern w:val="0"/>
          <w:szCs w:val="21"/>
        </w:rPr>
      </w:pPr>
    </w:p>
    <w:p w14:paraId="62F4C5DD"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6357A479" w14:textId="77777777" w:rsidR="00F5289E" w:rsidRDefault="00C91173">
      <w:pPr>
        <w:snapToGrid w:val="0"/>
        <w:spacing w:line="360" w:lineRule="auto"/>
        <w:rPr>
          <w:rFonts w:ascii="宋体"/>
        </w:rPr>
      </w:pPr>
      <w:r>
        <w:rPr>
          <w:rFonts w:ascii="宋体" w:hAnsi="宋体"/>
        </w:rPr>
        <w:t>1</w:t>
      </w:r>
      <w:r>
        <w:rPr>
          <w:rFonts w:ascii="宋体" w:hAnsi="宋体" w:hint="eastAsia"/>
        </w:rPr>
        <w:t>、实验方式</w:t>
      </w:r>
    </w:p>
    <w:p w14:paraId="344D9318" w14:textId="77777777" w:rsidR="00F5289E" w:rsidRDefault="00C91173">
      <w:pPr>
        <w:snapToGrid w:val="0"/>
        <w:spacing w:line="360" w:lineRule="auto"/>
        <w:ind w:firstLineChars="200" w:firstLine="420"/>
        <w:rPr>
          <w:rFonts w:ascii="宋体"/>
        </w:rPr>
      </w:pPr>
      <w:r>
        <w:rPr>
          <w:rFonts w:ascii="宋体" w:hAnsi="宋体" w:hint="eastAsia"/>
        </w:rPr>
        <w:t>实验采用“教师讲解，学生设计，可行性论证，实际操作”的方式进行。</w:t>
      </w:r>
    </w:p>
    <w:p w14:paraId="1F10D118" w14:textId="77777777" w:rsidR="00F5289E" w:rsidRDefault="00C91173">
      <w:pPr>
        <w:snapToGrid w:val="0"/>
        <w:spacing w:line="360" w:lineRule="auto"/>
        <w:ind w:firstLineChars="200" w:firstLine="420"/>
        <w:rPr>
          <w:rFonts w:ascii="宋体"/>
        </w:rPr>
      </w:pPr>
      <w:r>
        <w:rPr>
          <w:rFonts w:ascii="宋体" w:hAnsi="宋体" w:hint="eastAsia"/>
        </w:rPr>
        <w:t>教师讲解：任课教师向学生讲解试验的基本原理，提出试验目的和达到的基本要求；</w:t>
      </w:r>
    </w:p>
    <w:p w14:paraId="6332433C" w14:textId="77777777" w:rsidR="00F5289E" w:rsidRDefault="00C91173">
      <w:pPr>
        <w:snapToGrid w:val="0"/>
        <w:spacing w:line="360" w:lineRule="auto"/>
        <w:ind w:firstLineChars="200" w:firstLine="420"/>
        <w:rPr>
          <w:rFonts w:ascii="宋体"/>
        </w:rPr>
      </w:pPr>
      <w:r>
        <w:rPr>
          <w:rFonts w:ascii="宋体" w:hAnsi="宋体" w:hint="eastAsia"/>
        </w:rPr>
        <w:t>学生设计：学生根据教师的讲解内容，自行设计试验步骤，突出个性化实验；</w:t>
      </w:r>
    </w:p>
    <w:p w14:paraId="1A4A3382" w14:textId="77777777" w:rsidR="00F5289E" w:rsidRDefault="00C91173">
      <w:pPr>
        <w:snapToGrid w:val="0"/>
        <w:spacing w:line="360" w:lineRule="auto"/>
        <w:ind w:firstLineChars="200" w:firstLine="420"/>
        <w:rPr>
          <w:rFonts w:ascii="宋体"/>
        </w:rPr>
      </w:pPr>
      <w:r>
        <w:rPr>
          <w:rFonts w:ascii="宋体" w:hAnsi="宋体" w:hint="eastAsia"/>
        </w:rPr>
        <w:t>可行性论证：教师对学生提出的实验方案进行评估，要求学生修改或完善，直到操作可行；</w:t>
      </w:r>
    </w:p>
    <w:p w14:paraId="2BA6CC7B" w14:textId="77777777" w:rsidR="00F5289E" w:rsidRDefault="00C91173">
      <w:pPr>
        <w:snapToGrid w:val="0"/>
        <w:spacing w:line="360" w:lineRule="auto"/>
        <w:ind w:firstLineChars="200" w:firstLine="420"/>
        <w:rPr>
          <w:rFonts w:ascii="宋体"/>
        </w:rPr>
      </w:pPr>
      <w:r>
        <w:rPr>
          <w:rFonts w:ascii="宋体" w:hAnsi="宋体" w:hint="eastAsia"/>
        </w:rPr>
        <w:t>实际操作：学生根据论证后的试验方案进行试验操作。</w:t>
      </w:r>
    </w:p>
    <w:p w14:paraId="38FF64C0" w14:textId="77777777" w:rsidR="00F5289E" w:rsidRDefault="00C91173">
      <w:pPr>
        <w:snapToGrid w:val="0"/>
        <w:spacing w:line="360" w:lineRule="auto"/>
        <w:rPr>
          <w:rFonts w:ascii="宋体"/>
        </w:rPr>
      </w:pPr>
      <w:r>
        <w:rPr>
          <w:rFonts w:ascii="宋体" w:hAnsi="宋体"/>
        </w:rPr>
        <w:t>2</w:t>
      </w:r>
      <w:r>
        <w:rPr>
          <w:rFonts w:ascii="宋体" w:hAnsi="宋体" w:hint="eastAsia"/>
        </w:rPr>
        <w:t>、基本要求</w:t>
      </w:r>
    </w:p>
    <w:p w14:paraId="38C8D9F7" w14:textId="77777777" w:rsidR="00F5289E" w:rsidRDefault="00C91173">
      <w:pPr>
        <w:snapToGrid w:val="0"/>
        <w:spacing w:line="360" w:lineRule="auto"/>
        <w:ind w:firstLineChars="200" w:firstLine="420"/>
        <w:rPr>
          <w:rFonts w:ascii="宋体"/>
        </w:rPr>
      </w:pPr>
      <w:r>
        <w:rPr>
          <w:rFonts w:ascii="宋体" w:hAnsi="宋体"/>
        </w:rPr>
        <w:t>1</w:t>
      </w:r>
      <w:r>
        <w:rPr>
          <w:rFonts w:ascii="宋体" w:hAnsi="宋体" w:hint="eastAsia"/>
        </w:rPr>
        <w:t>）任课教师向学生说明实验室守则、实验室安全制度及卫生值日等基本要求；</w:t>
      </w:r>
    </w:p>
    <w:p w14:paraId="0C5EA5C3" w14:textId="77777777" w:rsidR="00F5289E" w:rsidRDefault="00C91173">
      <w:pPr>
        <w:snapToGrid w:val="0"/>
        <w:spacing w:line="360" w:lineRule="auto"/>
        <w:ind w:firstLineChars="200" w:firstLine="420"/>
        <w:rPr>
          <w:rFonts w:ascii="宋体"/>
        </w:rPr>
      </w:pPr>
      <w:r>
        <w:rPr>
          <w:rFonts w:ascii="宋体" w:hAnsi="宋体"/>
        </w:rPr>
        <w:t>2</w:t>
      </w:r>
      <w:r>
        <w:rPr>
          <w:rFonts w:ascii="宋体" w:hAnsi="宋体" w:hint="eastAsia"/>
        </w:rPr>
        <w:t>）任课教师根据实验要求提前安排预备试验或试材、药品、试剂的准备；</w:t>
      </w:r>
    </w:p>
    <w:p w14:paraId="2609D2D4" w14:textId="77777777" w:rsidR="00F5289E" w:rsidRDefault="00C91173">
      <w:pPr>
        <w:snapToGrid w:val="0"/>
        <w:spacing w:line="360" w:lineRule="auto"/>
        <w:ind w:firstLineChars="200" w:firstLine="420"/>
        <w:rPr>
          <w:rFonts w:ascii="宋体"/>
        </w:rPr>
      </w:pPr>
      <w:r>
        <w:rPr>
          <w:rFonts w:ascii="宋体" w:hAnsi="宋体"/>
        </w:rPr>
        <w:t>3</w:t>
      </w:r>
      <w:r>
        <w:rPr>
          <w:rFonts w:ascii="宋体" w:hAnsi="宋体" w:hint="eastAsia"/>
        </w:rPr>
        <w:t>）任课教师提出每个实验的目的、要求以及进度安排；</w:t>
      </w:r>
    </w:p>
    <w:p w14:paraId="61E9D034" w14:textId="77777777" w:rsidR="00F5289E" w:rsidRDefault="00C91173">
      <w:pPr>
        <w:snapToGrid w:val="0"/>
        <w:spacing w:line="360" w:lineRule="auto"/>
        <w:ind w:firstLineChars="200" w:firstLine="420"/>
        <w:rPr>
          <w:rFonts w:ascii="宋体"/>
        </w:rPr>
      </w:pPr>
      <w:r>
        <w:rPr>
          <w:rFonts w:ascii="宋体" w:hAnsi="宋体"/>
        </w:rPr>
        <w:t>4</w:t>
      </w:r>
      <w:r>
        <w:rPr>
          <w:rFonts w:ascii="宋体" w:hAnsi="宋体" w:hint="eastAsia"/>
        </w:rPr>
        <w:t>）实验采取分组进行，每组</w:t>
      </w:r>
      <w:r>
        <w:rPr>
          <w:rFonts w:ascii="宋体" w:hAnsi="宋体"/>
        </w:rPr>
        <w:t>4-6</w:t>
      </w:r>
      <w:r>
        <w:rPr>
          <w:rFonts w:ascii="宋体" w:hAnsi="宋体" w:hint="eastAsia"/>
        </w:rPr>
        <w:t>个学生，每组的实验步骤或试验方案可以存在差异，以学生自己动手操作为主；</w:t>
      </w:r>
    </w:p>
    <w:p w14:paraId="61E535C7" w14:textId="77777777" w:rsidR="00F5289E" w:rsidRDefault="00C91173">
      <w:pPr>
        <w:snapToGrid w:val="0"/>
        <w:spacing w:line="360" w:lineRule="auto"/>
        <w:ind w:firstLineChars="200" w:firstLine="420"/>
        <w:rPr>
          <w:rFonts w:ascii="宋体"/>
        </w:rPr>
      </w:pPr>
      <w:r>
        <w:rPr>
          <w:rFonts w:ascii="宋体" w:hAnsi="宋体"/>
        </w:rPr>
        <w:t>5</w:t>
      </w:r>
      <w:r>
        <w:rPr>
          <w:rFonts w:ascii="宋体" w:hAnsi="宋体" w:hint="eastAsia"/>
        </w:rPr>
        <w:t>）学生需要完成计划的试验步骤，完成数据统计分析，独立撰写试验报告。</w:t>
      </w:r>
    </w:p>
    <w:p w14:paraId="314CF9CC"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7117CD2A" w14:textId="77777777" w:rsidR="00F5289E" w:rsidRDefault="00C91173">
      <w:pPr>
        <w:pStyle w:val="af1"/>
        <w:snapToGrid w:val="0"/>
        <w:spacing w:before="0" w:beforeAutospacing="0" w:after="0" w:afterAutospacing="0" w:line="360" w:lineRule="auto"/>
        <w:rPr>
          <w:rFonts w:asciiTheme="minorEastAsia" w:eastAsiaTheme="minorEastAsia" w:hAnsiTheme="minorEastAsia"/>
          <w:b/>
          <w:sz w:val="21"/>
          <w:szCs w:val="21"/>
        </w:rPr>
      </w:pPr>
      <w:r>
        <w:rPr>
          <w:rFonts w:hint="eastAsia"/>
          <w:b/>
          <w:sz w:val="21"/>
          <w:szCs w:val="21"/>
        </w:rPr>
        <w:t>【实验一】</w:t>
      </w:r>
      <w:r>
        <w:rPr>
          <w:b/>
          <w:sz w:val="21"/>
          <w:szCs w:val="21"/>
        </w:rPr>
        <w:t>植物组织培养实验室</w:t>
      </w:r>
      <w:r>
        <w:rPr>
          <w:rFonts w:hint="eastAsia"/>
          <w:b/>
          <w:sz w:val="21"/>
          <w:szCs w:val="21"/>
        </w:rPr>
        <w:t>的构造设计、实验</w:t>
      </w:r>
      <w:r>
        <w:rPr>
          <w:b/>
          <w:sz w:val="21"/>
          <w:szCs w:val="21"/>
        </w:rPr>
        <w:t>仪器</w:t>
      </w:r>
      <w:r>
        <w:rPr>
          <w:rFonts w:hint="eastAsia"/>
          <w:b/>
          <w:sz w:val="21"/>
          <w:szCs w:val="21"/>
        </w:rPr>
        <w:t>设备</w:t>
      </w:r>
      <w:r>
        <w:rPr>
          <w:b/>
          <w:sz w:val="21"/>
          <w:szCs w:val="21"/>
        </w:rPr>
        <w:t>简介</w:t>
      </w:r>
      <w:r>
        <w:rPr>
          <w:rFonts w:hint="eastAsia"/>
          <w:b/>
          <w:sz w:val="21"/>
          <w:szCs w:val="21"/>
        </w:rPr>
        <w:t>及实验准备技术</w:t>
      </w:r>
    </w:p>
    <w:p w14:paraId="3926BE18"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hint="eastAsia"/>
          <w:bCs/>
        </w:rPr>
        <w:t>4</w:t>
      </w:r>
    </w:p>
    <w:p w14:paraId="1E575FAF"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ascii="宋体" w:hAnsi="宋体" w:hint="eastAsia"/>
          <w:bCs/>
          <w:szCs w:val="21"/>
        </w:rPr>
        <w:t>了解植物组织培养实验的设计与布局，掌握植物组织培养的基本程序，熟知植物组织培养所涉及的各种仪器设备及器皿用具，并能设计植物组织培养实验室。</w:t>
      </w:r>
    </w:p>
    <w:p w14:paraId="18FE828F"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ascii="宋体" w:hAnsi="宋体" w:hint="eastAsia"/>
          <w:bCs/>
          <w:szCs w:val="21"/>
        </w:rPr>
        <w:t>准备室、接种室、培养室等的设计与布局；超净工作台、高压灭菌锅、光照培养箱、震荡培养箱、显微镜等仪器的功能与使用方法；培养皿、三角瓶、解剖刀、镊子等器皿和用具的种类和使用方法。</w:t>
      </w:r>
    </w:p>
    <w:p w14:paraId="76E37473"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了解普通</w:t>
      </w:r>
      <w:r>
        <w:rPr>
          <w:rFonts w:ascii="宋体" w:hAnsi="宋体" w:hint="eastAsia"/>
          <w:bCs/>
          <w:szCs w:val="21"/>
        </w:rPr>
        <w:t>组织培养室的布局，并能画出其示意图；熟练掌握组织培养主要仪器设备的使用方法，并熟知其功能。</w:t>
      </w:r>
    </w:p>
    <w:p w14:paraId="0EF74B14" w14:textId="77777777" w:rsidR="00F5289E" w:rsidRDefault="00C91173">
      <w:pPr>
        <w:snapToGrid w:val="0"/>
        <w:spacing w:line="360" w:lineRule="auto"/>
        <w:ind w:firstLineChars="200" w:firstLine="422"/>
        <w:rPr>
          <w:rFonts w:ascii="宋体"/>
          <w:bCs/>
          <w:szCs w:val="21"/>
        </w:rPr>
      </w:pPr>
      <w:r>
        <w:rPr>
          <w:b/>
          <w:szCs w:val="21"/>
        </w:rPr>
        <w:t xml:space="preserve">5. </w:t>
      </w:r>
      <w:r>
        <w:rPr>
          <w:rFonts w:hint="eastAsia"/>
          <w:b/>
          <w:szCs w:val="21"/>
        </w:rPr>
        <w:t>实验设备及器材：</w:t>
      </w:r>
      <w:r>
        <w:rPr>
          <w:rFonts w:ascii="宋体" w:hAnsi="宋体" w:hint="eastAsia"/>
          <w:bCs/>
          <w:szCs w:val="21"/>
        </w:rPr>
        <w:t>超净工作台、高压灭菌锅、蒸馏水发生器或纯水发生器、过滤灭菌器、光照培养箱、电炉、冰箱、震荡培养箱、培养架、显微镜、天平、解剖刀、镊子等。</w:t>
      </w:r>
    </w:p>
    <w:p w14:paraId="4007F5F0"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【实验二】</w:t>
      </w:r>
      <w:r>
        <w:rPr>
          <w:b/>
          <w:sz w:val="21"/>
          <w:szCs w:val="21"/>
        </w:rPr>
        <w:t>MS</w:t>
      </w:r>
      <w:r>
        <w:rPr>
          <w:rFonts w:hint="eastAsia"/>
          <w:b/>
          <w:sz w:val="21"/>
          <w:szCs w:val="21"/>
        </w:rPr>
        <w:t>培养基母液的配制</w:t>
      </w:r>
    </w:p>
    <w:p w14:paraId="0C72D075" w14:textId="77777777" w:rsidR="00F5289E" w:rsidRDefault="00C91173">
      <w:pPr>
        <w:snapToGrid w:val="0"/>
        <w:spacing w:line="360" w:lineRule="auto"/>
        <w:ind w:firstLineChars="196" w:firstLine="413"/>
      </w:pPr>
      <w:r>
        <w:rPr>
          <w:b/>
          <w:szCs w:val="21"/>
        </w:rPr>
        <w:lastRenderedPageBreak/>
        <w:t xml:space="preserve">1. </w:t>
      </w:r>
      <w:r>
        <w:rPr>
          <w:rFonts w:hint="eastAsia"/>
          <w:b/>
          <w:szCs w:val="21"/>
        </w:rPr>
        <w:t>实验学时：</w:t>
      </w:r>
      <w:r>
        <w:rPr>
          <w:rFonts w:ascii="宋体" w:hAnsi="宋体"/>
          <w:bCs/>
        </w:rPr>
        <w:t>2</w:t>
      </w:r>
    </w:p>
    <w:p w14:paraId="2BB3CAEF"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ascii="宋体" w:hAnsi="宋体" w:hint="eastAsia"/>
          <w:bCs/>
          <w:szCs w:val="21"/>
        </w:rPr>
        <w:t>了解植物组织培养常用的培养基</w:t>
      </w:r>
      <w:r>
        <w:rPr>
          <w:rFonts w:ascii="宋体" w:hAnsi="宋体"/>
          <w:bCs/>
          <w:szCs w:val="21"/>
        </w:rPr>
        <w:t>——MS</w:t>
      </w:r>
      <w:r>
        <w:rPr>
          <w:rFonts w:ascii="宋体" w:hAnsi="宋体" w:hint="eastAsia"/>
          <w:bCs/>
          <w:szCs w:val="21"/>
        </w:rPr>
        <w:t>培养基的特点，掌握其母液的配制方法，为工作培养基的配制做准备。</w:t>
      </w:r>
    </w:p>
    <w:p w14:paraId="2B7CEFAB"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szCs w:val="21"/>
        </w:rPr>
        <w:t>MS</w:t>
      </w:r>
      <w:r>
        <w:rPr>
          <w:rFonts w:ascii="宋体" w:hAnsi="宋体" w:hint="eastAsia"/>
          <w:bCs/>
          <w:szCs w:val="21"/>
        </w:rPr>
        <w:t>培养基中大量元素、微量元素、铁盐和维生素的组分含量的计算，配制特定体积的各组分的含量的确定，各组分的称量、定容、装瓶和保存。</w:t>
      </w:r>
    </w:p>
    <w:p w14:paraId="7303397A"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了解</w:t>
      </w:r>
      <w:r>
        <w:rPr>
          <w:szCs w:val="21"/>
        </w:rPr>
        <w:t>MS</w:t>
      </w:r>
      <w:r>
        <w:rPr>
          <w:rFonts w:hint="eastAsia"/>
          <w:szCs w:val="21"/>
        </w:rPr>
        <w:t>培养基的组分，能够归纳</w:t>
      </w:r>
      <w:r>
        <w:rPr>
          <w:szCs w:val="21"/>
        </w:rPr>
        <w:t>MS</w:t>
      </w:r>
      <w:r>
        <w:rPr>
          <w:rFonts w:hint="eastAsia"/>
          <w:szCs w:val="21"/>
        </w:rPr>
        <w:t>培养基的特点；学生能够独立完成不同浓缩倍数的</w:t>
      </w:r>
      <w:r>
        <w:rPr>
          <w:szCs w:val="21"/>
        </w:rPr>
        <w:t>MS</w:t>
      </w:r>
      <w:r>
        <w:rPr>
          <w:rFonts w:hint="eastAsia"/>
          <w:szCs w:val="21"/>
        </w:rPr>
        <w:t>培养基母液的配制过程</w:t>
      </w:r>
      <w:r>
        <w:rPr>
          <w:rFonts w:ascii="宋体" w:hAnsi="宋体" w:hint="eastAsia"/>
          <w:bCs/>
          <w:szCs w:val="21"/>
        </w:rPr>
        <w:t>。</w:t>
      </w:r>
    </w:p>
    <w:p w14:paraId="5DC0ECAA" w14:textId="77777777" w:rsidR="00F5289E" w:rsidRDefault="00C91173">
      <w:pPr>
        <w:snapToGrid w:val="0"/>
        <w:spacing w:line="360" w:lineRule="auto"/>
        <w:ind w:firstLineChars="200" w:firstLine="422"/>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ascii="宋体" w:hAnsi="宋体" w:hint="eastAsia"/>
          <w:bCs/>
          <w:szCs w:val="21"/>
        </w:rPr>
        <w:t>培养基各组分试剂、各类天平、烧杯、量杯、量筒、移液管、容量瓶、母液瓶、氢氧化钠、盐酸、标签、冰箱。</w:t>
      </w:r>
    </w:p>
    <w:p w14:paraId="4D440C99"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【实验三】</w:t>
      </w:r>
      <w:r>
        <w:rPr>
          <w:b/>
          <w:sz w:val="21"/>
          <w:szCs w:val="21"/>
        </w:rPr>
        <w:t>MS</w:t>
      </w:r>
      <w:r>
        <w:rPr>
          <w:rFonts w:hint="eastAsia"/>
          <w:b/>
          <w:sz w:val="21"/>
          <w:szCs w:val="21"/>
        </w:rPr>
        <w:t>工作培养基的配制与灭菌</w:t>
      </w:r>
      <w:r>
        <w:rPr>
          <w:b/>
          <w:sz w:val="21"/>
          <w:szCs w:val="21"/>
        </w:rPr>
        <w:t xml:space="preserve"> </w:t>
      </w:r>
    </w:p>
    <w:p w14:paraId="46A4376D"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bCs/>
        </w:rPr>
        <w:t>2</w:t>
      </w:r>
    </w:p>
    <w:p w14:paraId="24EF3561"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ascii="宋体" w:hAnsi="宋体" w:hint="eastAsia"/>
          <w:bCs/>
          <w:szCs w:val="21"/>
        </w:rPr>
        <w:t>掌握</w:t>
      </w:r>
      <w:r>
        <w:rPr>
          <w:rFonts w:ascii="宋体" w:hAnsi="宋体"/>
          <w:bCs/>
          <w:szCs w:val="21"/>
        </w:rPr>
        <w:t>MS</w:t>
      </w:r>
      <w:r>
        <w:rPr>
          <w:rFonts w:ascii="宋体" w:hAnsi="宋体" w:hint="eastAsia"/>
          <w:bCs/>
          <w:szCs w:val="21"/>
        </w:rPr>
        <w:t>工作培养基的配制方法及其灭菌方法。</w:t>
      </w:r>
    </w:p>
    <w:p w14:paraId="07DF897B"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利用两种方法配制特定体积的</w:t>
      </w:r>
      <w:r>
        <w:rPr>
          <w:szCs w:val="21"/>
        </w:rPr>
        <w:t>MS</w:t>
      </w:r>
      <w:r>
        <w:rPr>
          <w:rFonts w:hint="eastAsia"/>
          <w:szCs w:val="21"/>
        </w:rPr>
        <w:t>培养基（</w:t>
      </w:r>
      <w:r>
        <w:rPr>
          <w:rFonts w:hint="eastAsia"/>
          <w:szCs w:val="21"/>
        </w:rPr>
        <w:t>MS</w:t>
      </w:r>
      <w:r>
        <w:rPr>
          <w:rFonts w:hint="eastAsia"/>
          <w:szCs w:val="21"/>
        </w:rPr>
        <w:t>母液法和商用</w:t>
      </w:r>
      <w:r>
        <w:rPr>
          <w:rFonts w:hint="eastAsia"/>
          <w:szCs w:val="21"/>
        </w:rPr>
        <w:t>MS</w:t>
      </w:r>
      <w:r>
        <w:rPr>
          <w:rFonts w:hint="eastAsia"/>
          <w:szCs w:val="21"/>
        </w:rPr>
        <w:t>粉配制法），母液的称量、稀释、</w:t>
      </w:r>
      <w:r>
        <w:rPr>
          <w:szCs w:val="21"/>
        </w:rPr>
        <w:t>PH</w:t>
      </w:r>
      <w:r>
        <w:rPr>
          <w:rFonts w:hint="eastAsia"/>
          <w:szCs w:val="21"/>
        </w:rPr>
        <w:t>值调节、定容、熬制和分装；</w:t>
      </w:r>
      <w:r>
        <w:rPr>
          <w:szCs w:val="21"/>
        </w:rPr>
        <w:t>MS</w:t>
      </w:r>
      <w:r>
        <w:rPr>
          <w:rFonts w:hint="eastAsia"/>
          <w:szCs w:val="21"/>
        </w:rPr>
        <w:t>工作培养基的灭菌、保存。</w:t>
      </w:r>
    </w:p>
    <w:p w14:paraId="25A9F2DA"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熟知常用的</w:t>
      </w:r>
      <w:r>
        <w:rPr>
          <w:rFonts w:hint="eastAsia"/>
          <w:szCs w:val="21"/>
        </w:rPr>
        <w:t>MS</w:t>
      </w:r>
      <w:r>
        <w:rPr>
          <w:rFonts w:hint="eastAsia"/>
          <w:szCs w:val="21"/>
        </w:rPr>
        <w:t>工作培养基的配制方法；能够独立完成</w:t>
      </w:r>
      <w:r>
        <w:rPr>
          <w:szCs w:val="21"/>
        </w:rPr>
        <w:t>MS</w:t>
      </w:r>
      <w:r>
        <w:rPr>
          <w:rFonts w:hint="eastAsia"/>
          <w:szCs w:val="21"/>
        </w:rPr>
        <w:t>工作培养基的配制、灭菌等基本程序</w:t>
      </w:r>
      <w:r>
        <w:rPr>
          <w:rFonts w:ascii="宋体" w:hAnsi="宋体" w:hint="eastAsia"/>
          <w:bCs/>
          <w:szCs w:val="21"/>
        </w:rPr>
        <w:t>。</w:t>
      </w:r>
    </w:p>
    <w:p w14:paraId="03D64D65" w14:textId="77777777" w:rsidR="00F5289E" w:rsidRDefault="00C91173">
      <w:pPr>
        <w:snapToGrid w:val="0"/>
        <w:spacing w:line="360" w:lineRule="auto"/>
        <w:ind w:firstLineChars="200" w:firstLine="422"/>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ascii="宋体" w:hAnsi="宋体" w:hint="eastAsia"/>
          <w:bCs/>
          <w:szCs w:val="21"/>
        </w:rPr>
        <w:t>培养基母液、分析天平、烧杯、电磁炉、电炉、量筒、量杯、移液管、</w:t>
      </w:r>
      <w:r>
        <w:rPr>
          <w:rFonts w:ascii="宋体" w:hAnsi="宋体"/>
          <w:bCs/>
          <w:szCs w:val="21"/>
        </w:rPr>
        <w:t>PH</w:t>
      </w:r>
      <w:r>
        <w:rPr>
          <w:rFonts w:ascii="宋体" w:hAnsi="宋体" w:hint="eastAsia"/>
          <w:bCs/>
          <w:szCs w:val="21"/>
        </w:rPr>
        <w:t>计、pH试纸、氢氧化钠、盐酸、蔗糖、琼脂、高压灭菌锅。</w:t>
      </w:r>
    </w:p>
    <w:p w14:paraId="4F63D802"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【实验四】无菌苗的制备及接种</w:t>
      </w:r>
    </w:p>
    <w:p w14:paraId="4462A708"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hint="eastAsia"/>
          <w:bCs/>
        </w:rPr>
        <w:t>2</w:t>
      </w:r>
    </w:p>
    <w:p w14:paraId="17AEC3BD"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hint="eastAsia"/>
          <w:szCs w:val="21"/>
        </w:rPr>
        <w:t>无菌培养物的建立是植物离体快繁的基础，茎尖和茎段培养、叶腋增殖是植物组织培养快繁的最常见培养方式，要求学生掌握外植体的取材、消毒、接种、培养等基本技术环节</w:t>
      </w:r>
      <w:r>
        <w:rPr>
          <w:rFonts w:ascii="宋体" w:hAnsi="宋体" w:hint="eastAsia"/>
          <w:bCs/>
          <w:szCs w:val="21"/>
        </w:rPr>
        <w:t>。</w:t>
      </w:r>
    </w:p>
    <w:p w14:paraId="2697D75E"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配制适宜于园艺植物（茄科、葫芦科、十字花科、蔷薇科等）外植体培养的培养基；对外植体进行消毒、或采取无菌苗为外植体，进行接种培养；将接种好的培养瓶置于适宜温光条件下进行培养</w:t>
      </w:r>
      <w:r>
        <w:rPr>
          <w:rFonts w:ascii="宋体" w:hAnsi="宋体" w:hint="eastAsia"/>
          <w:bCs/>
          <w:szCs w:val="21"/>
        </w:rPr>
        <w:t>。</w:t>
      </w:r>
    </w:p>
    <w:p w14:paraId="2A2E0359"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学生通过查阅资料获得相应园艺作物组织培养所需的培养基；学生能够独立完成取材、消毒、接种、培养等技术环节</w:t>
      </w:r>
      <w:r>
        <w:rPr>
          <w:rFonts w:ascii="宋体" w:hAnsi="宋体" w:hint="eastAsia"/>
          <w:bCs/>
          <w:szCs w:val="21"/>
        </w:rPr>
        <w:t>，使外植体成活率达到</w:t>
      </w:r>
      <w:r>
        <w:rPr>
          <w:rFonts w:ascii="宋体" w:hAnsi="宋体"/>
          <w:bCs/>
          <w:szCs w:val="21"/>
        </w:rPr>
        <w:t>50%</w:t>
      </w:r>
      <w:r>
        <w:rPr>
          <w:rFonts w:ascii="宋体" w:hAnsi="宋体" w:hint="eastAsia"/>
          <w:bCs/>
          <w:szCs w:val="21"/>
        </w:rPr>
        <w:t>以上，污染率控制在</w:t>
      </w:r>
      <w:r>
        <w:rPr>
          <w:rFonts w:ascii="宋体" w:hAnsi="宋体"/>
          <w:bCs/>
          <w:szCs w:val="21"/>
        </w:rPr>
        <w:t>30%</w:t>
      </w:r>
      <w:r>
        <w:rPr>
          <w:rFonts w:ascii="宋体" w:hAnsi="宋体" w:hint="eastAsia"/>
          <w:bCs/>
          <w:szCs w:val="21"/>
        </w:rPr>
        <w:t>以下</w:t>
      </w:r>
      <w:r>
        <w:rPr>
          <w:rFonts w:hint="eastAsia"/>
          <w:szCs w:val="21"/>
        </w:rPr>
        <w:t>；学生按教师的指导完成数据的记录和分析</w:t>
      </w:r>
      <w:r>
        <w:rPr>
          <w:rFonts w:ascii="宋体" w:hAnsi="宋体" w:hint="eastAsia"/>
          <w:bCs/>
          <w:szCs w:val="21"/>
        </w:rPr>
        <w:t>。</w:t>
      </w:r>
    </w:p>
    <w:p w14:paraId="42432AC6" w14:textId="77777777" w:rsidR="00F5289E" w:rsidRDefault="00C91173">
      <w:pPr>
        <w:snapToGrid w:val="0"/>
        <w:spacing w:line="360" w:lineRule="auto"/>
        <w:ind w:firstLineChars="200" w:firstLine="422"/>
        <w:rPr>
          <w:rFonts w:ascii="宋体" w:hAnsi="宋体"/>
          <w:bCs/>
          <w:szCs w:val="21"/>
        </w:rPr>
      </w:pPr>
      <w:r>
        <w:rPr>
          <w:b/>
          <w:szCs w:val="21"/>
        </w:rPr>
        <w:t xml:space="preserve">5. </w:t>
      </w:r>
      <w:r>
        <w:rPr>
          <w:rFonts w:hint="eastAsia"/>
          <w:b/>
          <w:szCs w:val="21"/>
        </w:rPr>
        <w:t>实验设备及器材：</w:t>
      </w:r>
      <w:r>
        <w:rPr>
          <w:rFonts w:hint="eastAsia"/>
          <w:szCs w:val="21"/>
        </w:rPr>
        <w:t>外植体材料、</w:t>
      </w:r>
      <w:r>
        <w:rPr>
          <w:szCs w:val="21"/>
        </w:rPr>
        <w:t>MS</w:t>
      </w:r>
      <w:r>
        <w:rPr>
          <w:rFonts w:hint="eastAsia"/>
          <w:szCs w:val="21"/>
        </w:rPr>
        <w:t>培养基母液、激素、酸度计、</w:t>
      </w:r>
      <w:r>
        <w:rPr>
          <w:rFonts w:ascii="宋体" w:hAnsi="宋体" w:hint="eastAsia"/>
          <w:bCs/>
          <w:szCs w:val="21"/>
        </w:rPr>
        <w:t>超净工作台、高压灭菌锅、分析天平、烧杯、镊子、剪刀、解剖刀、培养皿、培养瓶、培养箱。</w:t>
      </w:r>
    </w:p>
    <w:p w14:paraId="25CCC5AC"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【实验五】</w:t>
      </w:r>
      <w:r>
        <w:rPr>
          <w:b/>
          <w:sz w:val="21"/>
          <w:szCs w:val="21"/>
        </w:rPr>
        <w:t>愈伤组织诱导和</w:t>
      </w:r>
      <w:r>
        <w:rPr>
          <w:rFonts w:hint="eastAsia"/>
          <w:b/>
          <w:sz w:val="21"/>
          <w:szCs w:val="21"/>
        </w:rPr>
        <w:t>分化</w:t>
      </w:r>
      <w:r>
        <w:rPr>
          <w:b/>
          <w:sz w:val="21"/>
          <w:szCs w:val="21"/>
        </w:rPr>
        <w:t>培养基配制</w:t>
      </w:r>
    </w:p>
    <w:p w14:paraId="3BC825DC"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bCs/>
        </w:rPr>
        <w:t>2</w:t>
      </w:r>
    </w:p>
    <w:p w14:paraId="0861429D" w14:textId="77777777" w:rsidR="00F5289E" w:rsidRDefault="00C91173">
      <w:pPr>
        <w:snapToGrid w:val="0"/>
        <w:spacing w:line="360" w:lineRule="auto"/>
        <w:ind w:firstLineChars="200" w:firstLine="422"/>
        <w:rPr>
          <w:rFonts w:ascii="宋体" w:hAnsi="宋体"/>
          <w:bCs/>
          <w:szCs w:val="21"/>
        </w:rPr>
      </w:pPr>
      <w:r>
        <w:rPr>
          <w:b/>
          <w:szCs w:val="21"/>
        </w:rPr>
        <w:t xml:space="preserve">2. </w:t>
      </w:r>
      <w:r>
        <w:rPr>
          <w:rFonts w:hint="eastAsia"/>
          <w:b/>
          <w:szCs w:val="21"/>
        </w:rPr>
        <w:t>实验目的：</w:t>
      </w:r>
      <w:r>
        <w:rPr>
          <w:rFonts w:ascii="宋体" w:hAnsi="宋体" w:hint="eastAsia"/>
          <w:bCs/>
          <w:szCs w:val="21"/>
        </w:rPr>
        <w:t>掌握</w:t>
      </w:r>
      <w:r>
        <w:rPr>
          <w:rFonts w:hint="eastAsia"/>
          <w:szCs w:val="21"/>
        </w:rPr>
        <w:t>适宜于园艺植物（茄科、葫芦科、十字花科）</w:t>
      </w:r>
      <w:r>
        <w:rPr>
          <w:rFonts w:ascii="宋体" w:hAnsi="宋体" w:hint="eastAsia"/>
          <w:bCs/>
          <w:szCs w:val="21"/>
        </w:rPr>
        <w:t>愈伤组织诱导培养基、分化</w:t>
      </w:r>
      <w:r>
        <w:rPr>
          <w:rFonts w:ascii="宋体" w:hAnsi="宋体" w:hint="eastAsia"/>
          <w:bCs/>
          <w:szCs w:val="21"/>
        </w:rPr>
        <w:lastRenderedPageBreak/>
        <w:t>培养基的配制方法及其灭菌方法，并熟知植物组织培养常用的激素种类及其配制、灭菌方法。</w:t>
      </w:r>
    </w:p>
    <w:p w14:paraId="164544C6"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特定体积的</w:t>
      </w:r>
      <w:r>
        <w:rPr>
          <w:szCs w:val="21"/>
        </w:rPr>
        <w:t>MS</w:t>
      </w:r>
      <w:r>
        <w:rPr>
          <w:rFonts w:hint="eastAsia"/>
          <w:szCs w:val="21"/>
        </w:rPr>
        <w:t>培养基、愈伤诱导预培养培养基、诱导培养基的配制，各种激素母液的配制及灭菌（</w:t>
      </w:r>
      <w:r>
        <w:rPr>
          <w:rFonts w:hint="eastAsia"/>
          <w:szCs w:val="21"/>
        </w:rPr>
        <w:t>2,4-D</w:t>
      </w:r>
      <w:r>
        <w:rPr>
          <w:rFonts w:hint="eastAsia"/>
          <w:szCs w:val="21"/>
        </w:rPr>
        <w:t>、</w:t>
      </w:r>
      <w:r>
        <w:rPr>
          <w:rFonts w:hint="eastAsia"/>
          <w:szCs w:val="21"/>
        </w:rPr>
        <w:t>ZT</w:t>
      </w:r>
      <w:r>
        <w:rPr>
          <w:rFonts w:hint="eastAsia"/>
          <w:szCs w:val="21"/>
        </w:rPr>
        <w:t>、</w:t>
      </w:r>
      <w:r>
        <w:rPr>
          <w:rFonts w:hint="eastAsia"/>
          <w:szCs w:val="21"/>
        </w:rPr>
        <w:t>KT</w:t>
      </w:r>
      <w:r>
        <w:rPr>
          <w:rFonts w:hint="eastAsia"/>
          <w:szCs w:val="21"/>
        </w:rPr>
        <w:t>、</w:t>
      </w:r>
      <w:r>
        <w:rPr>
          <w:rFonts w:hint="eastAsia"/>
          <w:szCs w:val="21"/>
        </w:rPr>
        <w:t>NAA</w:t>
      </w:r>
      <w:r>
        <w:rPr>
          <w:rFonts w:hint="eastAsia"/>
          <w:szCs w:val="21"/>
        </w:rPr>
        <w:t>、</w:t>
      </w:r>
      <w:r>
        <w:rPr>
          <w:rFonts w:hint="eastAsia"/>
          <w:szCs w:val="21"/>
        </w:rPr>
        <w:t>BAP</w:t>
      </w:r>
      <w:r>
        <w:rPr>
          <w:rFonts w:hint="eastAsia"/>
          <w:szCs w:val="21"/>
        </w:rPr>
        <w:t>），抗生素的配制及灭菌（</w:t>
      </w:r>
      <w:r>
        <w:rPr>
          <w:rFonts w:hint="eastAsia"/>
          <w:szCs w:val="21"/>
        </w:rPr>
        <w:t>Kan</w:t>
      </w:r>
      <w:r>
        <w:rPr>
          <w:rFonts w:hint="eastAsia"/>
          <w:szCs w:val="21"/>
        </w:rPr>
        <w:t>、</w:t>
      </w:r>
      <w:proofErr w:type="spellStart"/>
      <w:r>
        <w:rPr>
          <w:rFonts w:hint="eastAsia"/>
          <w:szCs w:val="21"/>
        </w:rPr>
        <w:t>Cef</w:t>
      </w:r>
      <w:proofErr w:type="spellEnd"/>
      <w:r>
        <w:rPr>
          <w:rFonts w:hint="eastAsia"/>
          <w:szCs w:val="21"/>
        </w:rPr>
        <w:t>）。</w:t>
      </w:r>
    </w:p>
    <w:p w14:paraId="7A6C1B32"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熟知常用的激素种类及其配制、灭菌方法，并掌握对热不稳定的激素的过滤灭菌方法；能够独立完成各种相应培养基的配制、灭菌等基本程序</w:t>
      </w:r>
      <w:r>
        <w:rPr>
          <w:rFonts w:ascii="宋体" w:hAnsi="宋体" w:hint="eastAsia"/>
          <w:bCs/>
          <w:szCs w:val="21"/>
        </w:rPr>
        <w:t>。</w:t>
      </w:r>
    </w:p>
    <w:p w14:paraId="205C4101" w14:textId="77777777" w:rsidR="00F5289E" w:rsidRDefault="00C91173">
      <w:pPr>
        <w:snapToGrid w:val="0"/>
        <w:spacing w:line="360" w:lineRule="auto"/>
        <w:ind w:firstLineChars="200" w:firstLine="422"/>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ascii="宋体" w:hAnsi="宋体" w:hint="eastAsia"/>
          <w:bCs/>
          <w:szCs w:val="21"/>
        </w:rPr>
        <w:t>培养基母液、激素、分析天平、烧杯、电磁炉、电炉、量筒、量杯、移液管、</w:t>
      </w:r>
      <w:r>
        <w:rPr>
          <w:rFonts w:ascii="宋体" w:hAnsi="宋体"/>
          <w:bCs/>
          <w:szCs w:val="21"/>
        </w:rPr>
        <w:t>PH</w:t>
      </w:r>
      <w:r>
        <w:rPr>
          <w:rFonts w:ascii="宋体" w:hAnsi="宋体" w:hint="eastAsia"/>
          <w:bCs/>
          <w:szCs w:val="21"/>
        </w:rPr>
        <w:t>计、pH试纸、氢氧化钠、盐酸、、蔗糖、琼脂、高压灭菌锅、过滤灭菌器。</w:t>
      </w:r>
    </w:p>
    <w:p w14:paraId="0E369650"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【实验六】愈伤组织的诱导培养</w:t>
      </w:r>
    </w:p>
    <w:p w14:paraId="5F313175"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hint="eastAsia"/>
          <w:bCs/>
        </w:rPr>
        <w:t>2</w:t>
      </w:r>
    </w:p>
    <w:p w14:paraId="7D4350C2"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hint="eastAsia"/>
          <w:szCs w:val="21"/>
        </w:rPr>
        <w:t>愈伤组织是植物组织培养中常见的培养物，也是转基因技术的转化对象。要求学生掌握常见园艺植物的愈伤组织诱导和继代方法，加深对愈伤组织特性的了解。</w:t>
      </w:r>
    </w:p>
    <w:p w14:paraId="1A7E1AF7"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利用适宜于园艺植物（茄科、葫芦科、十字花科）愈伤组织诱导的培养基；切取子叶、下胚轴、真叶、茎段等外植体，切割成适宜大小后接种于培养基，进行愈伤组织诱导；将接种好的培养瓶置于适宜温光条件下进行培养</w:t>
      </w:r>
      <w:r>
        <w:rPr>
          <w:rFonts w:ascii="宋体" w:hAnsi="宋体" w:hint="eastAsia"/>
          <w:bCs/>
          <w:szCs w:val="21"/>
        </w:rPr>
        <w:t>；</w:t>
      </w:r>
      <w:r>
        <w:rPr>
          <w:rFonts w:hint="eastAsia"/>
          <w:szCs w:val="21"/>
        </w:rPr>
        <w:t>待愈伤组织长成一定大小后，进行切割并更换新鲜培养基，完成继代培养。</w:t>
      </w:r>
    </w:p>
    <w:p w14:paraId="72DD2C33"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学生通过查阅资料获得愈伤组织诱导和继代培养所需的培养基及激素配比，能够独立完成外植体切割、接种、培养等技术环节</w:t>
      </w:r>
      <w:r>
        <w:rPr>
          <w:rFonts w:ascii="宋体" w:hAnsi="宋体" w:hint="eastAsia"/>
          <w:bCs/>
          <w:szCs w:val="21"/>
        </w:rPr>
        <w:t>。</w:t>
      </w:r>
    </w:p>
    <w:p w14:paraId="29F5A2C1" w14:textId="77777777" w:rsidR="00F5289E" w:rsidRDefault="00C91173">
      <w:pPr>
        <w:snapToGrid w:val="0"/>
        <w:spacing w:line="360" w:lineRule="auto"/>
        <w:ind w:firstLineChars="200" w:firstLine="422"/>
        <w:rPr>
          <w:rFonts w:ascii="宋体" w:hAnsi="宋体"/>
          <w:bCs/>
          <w:szCs w:val="21"/>
        </w:rPr>
      </w:pPr>
      <w:r>
        <w:rPr>
          <w:b/>
          <w:szCs w:val="21"/>
        </w:rPr>
        <w:t xml:space="preserve">5. </w:t>
      </w:r>
      <w:r>
        <w:rPr>
          <w:rFonts w:hint="eastAsia"/>
          <w:b/>
          <w:szCs w:val="21"/>
        </w:rPr>
        <w:t>实验设备及器材：</w:t>
      </w:r>
      <w:r>
        <w:rPr>
          <w:rFonts w:hint="eastAsia"/>
          <w:szCs w:val="21"/>
        </w:rPr>
        <w:t>无菌苗</w:t>
      </w:r>
      <w:r>
        <w:rPr>
          <w:rFonts w:ascii="宋体" w:hAnsi="宋体" w:hint="eastAsia"/>
          <w:bCs/>
          <w:szCs w:val="21"/>
        </w:rPr>
        <w:t>、培养皿、滤纸、剪刀、镊子、解剖刀、培养箱。</w:t>
      </w:r>
    </w:p>
    <w:p w14:paraId="4F719443"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【实验七】分化及</w:t>
      </w:r>
      <w:r>
        <w:rPr>
          <w:b/>
          <w:sz w:val="21"/>
          <w:szCs w:val="21"/>
        </w:rPr>
        <w:t>生根培养</w:t>
      </w:r>
    </w:p>
    <w:p w14:paraId="5351B97D"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hint="eastAsia"/>
          <w:bCs/>
        </w:rPr>
        <w:t>2</w:t>
      </w:r>
    </w:p>
    <w:p w14:paraId="0145C083"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hint="eastAsia"/>
          <w:szCs w:val="21"/>
        </w:rPr>
        <w:t>外植体经离体诱导可产生无序生长的薄壁细胞团，即愈伤组织，此过程中会发生细胞学变化，在分化培养过程中，可以诱导不定芽的形成，而形成的不定芽没有根系，移栽后难以成活。任何组培苗在移栽至大田之前均要保证有完整的根系，生根培养是提高组培苗成活率的重要技术保障。要求学生掌握组培苗或不定芽的生根培养基配制及生根培养的操作技术、并掌握愈伤组织的形态特征。</w:t>
      </w:r>
    </w:p>
    <w:p w14:paraId="6BF71BBB"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对前期诱导的愈伤组织进行形态观察，统计愈伤组织诱导率、继代培养成功率。配制适宜于园艺植物（茄科、葫芦科、十字花科）组培苗生根的培养基；将组培苗（或愈伤组织上分化的不定芽）切割成适当大小，接种于生根培养基；将接种好的培养瓶置于适宜温光条件下进行培养，诱导根系生成</w:t>
      </w:r>
      <w:r>
        <w:rPr>
          <w:rFonts w:ascii="宋体" w:hAnsi="宋体" w:hint="eastAsia"/>
          <w:bCs/>
          <w:szCs w:val="21"/>
        </w:rPr>
        <w:t>；</w:t>
      </w:r>
      <w:r>
        <w:rPr>
          <w:rFonts w:hint="eastAsia"/>
          <w:szCs w:val="21"/>
        </w:rPr>
        <w:t>对根系的形态、数量、长度等指标进行统计。</w:t>
      </w:r>
    </w:p>
    <w:p w14:paraId="01EFD358"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学生通过查阅资料获得不同园艺作物组培苗生根所需的培养基及激素配比；或不定芽生根培养基及激素、抗生素配比；学生能够独立完成生根培养基配制、不定芽切割、接种、培养等技术环节</w:t>
      </w:r>
      <w:r>
        <w:rPr>
          <w:rFonts w:ascii="宋体" w:hAnsi="宋体" w:hint="eastAsia"/>
          <w:bCs/>
          <w:szCs w:val="21"/>
        </w:rPr>
        <w:t>；</w:t>
      </w:r>
      <w:r>
        <w:rPr>
          <w:rFonts w:hint="eastAsia"/>
          <w:szCs w:val="21"/>
        </w:rPr>
        <w:t>学生按教师的要求完成数据的记录和分析</w:t>
      </w:r>
      <w:r>
        <w:rPr>
          <w:rFonts w:ascii="宋体" w:hAnsi="宋体" w:hint="eastAsia"/>
          <w:bCs/>
          <w:szCs w:val="21"/>
        </w:rPr>
        <w:t>。</w:t>
      </w:r>
    </w:p>
    <w:p w14:paraId="688B801A" w14:textId="77777777" w:rsidR="00F5289E" w:rsidRDefault="00C91173">
      <w:pPr>
        <w:snapToGrid w:val="0"/>
        <w:spacing w:line="360" w:lineRule="auto"/>
        <w:ind w:firstLineChars="200" w:firstLine="422"/>
        <w:rPr>
          <w:rFonts w:ascii="宋体" w:hAnsi="宋体"/>
          <w:bCs/>
          <w:szCs w:val="21"/>
        </w:rPr>
      </w:pPr>
      <w:r>
        <w:rPr>
          <w:b/>
          <w:szCs w:val="21"/>
        </w:rPr>
        <w:t xml:space="preserve">5. </w:t>
      </w:r>
      <w:r>
        <w:rPr>
          <w:rFonts w:hint="eastAsia"/>
          <w:b/>
          <w:szCs w:val="21"/>
        </w:rPr>
        <w:t>实验设备及器材：</w:t>
      </w:r>
      <w:r>
        <w:rPr>
          <w:rFonts w:hint="eastAsia"/>
          <w:szCs w:val="21"/>
        </w:rPr>
        <w:t>组培苗、愈伤组织、</w:t>
      </w:r>
      <w:r>
        <w:rPr>
          <w:szCs w:val="21"/>
        </w:rPr>
        <w:t>M</w:t>
      </w:r>
      <w:r>
        <w:rPr>
          <w:rFonts w:hint="eastAsia"/>
          <w:szCs w:val="21"/>
        </w:rPr>
        <w:t>S</w:t>
      </w:r>
      <w:r>
        <w:rPr>
          <w:rFonts w:hint="eastAsia"/>
          <w:szCs w:val="21"/>
        </w:rPr>
        <w:t>培养基母液、激素、抗生素、显微镜、酸度计、</w:t>
      </w:r>
      <w:r>
        <w:rPr>
          <w:rFonts w:hint="eastAsia"/>
          <w:szCs w:val="21"/>
        </w:rPr>
        <w:lastRenderedPageBreak/>
        <w:t>培养皿、培养瓶或试管、</w:t>
      </w:r>
      <w:r>
        <w:rPr>
          <w:rFonts w:ascii="宋体" w:hAnsi="宋体" w:hint="eastAsia"/>
          <w:bCs/>
          <w:szCs w:val="21"/>
        </w:rPr>
        <w:t>超净工作台、高压灭菌锅、过滤灭菌器、分析天平、烧杯、镊子、解剖刀、培养箱。</w:t>
      </w:r>
    </w:p>
    <w:p w14:paraId="4ABE5AEF"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【实验八】花药培养</w:t>
      </w:r>
    </w:p>
    <w:p w14:paraId="03B36C7A"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bCs/>
        </w:rPr>
        <w:t>8</w:t>
      </w:r>
    </w:p>
    <w:p w14:paraId="15553C25"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hint="eastAsia"/>
          <w:szCs w:val="21"/>
        </w:rPr>
        <w:t>了解花药培养获得单倍体植株的原理，了解花药培养在遗传育种上的意义，掌握花药培养的方法和技术。</w:t>
      </w:r>
    </w:p>
    <w:p w14:paraId="01F11749"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配制适宜于十字花科植物离体培养的培养基；取材镜检，获得单核靠边期的花药；将花药在</w:t>
      </w:r>
      <w:r>
        <w:rPr>
          <w:szCs w:val="21"/>
        </w:rPr>
        <w:t>4-10</w:t>
      </w:r>
      <w:r>
        <w:rPr>
          <w:rFonts w:hint="eastAsia"/>
          <w:szCs w:val="21"/>
        </w:rPr>
        <w:t>℃低温处理</w:t>
      </w:r>
      <w:r>
        <w:rPr>
          <w:szCs w:val="21"/>
        </w:rPr>
        <w:t>24-48h</w:t>
      </w:r>
      <w:r>
        <w:rPr>
          <w:rFonts w:hint="eastAsia"/>
          <w:szCs w:val="21"/>
        </w:rPr>
        <w:t>；消毒、接种；将接种好的培养瓶置于适宜温光条件下进行培</w:t>
      </w:r>
      <w:r>
        <w:rPr>
          <w:rFonts w:ascii="宋体" w:hAnsi="宋体" w:hint="eastAsia"/>
          <w:bCs/>
          <w:szCs w:val="21"/>
        </w:rPr>
        <w:t>；</w:t>
      </w:r>
      <w:r>
        <w:rPr>
          <w:rFonts w:hint="eastAsia"/>
          <w:szCs w:val="21"/>
        </w:rPr>
        <w:t>对花药形成愈伤组织或胚状体的过程进观察，对相关数据进行统计；对再生苗进行压片，鉴定其倍性。</w:t>
      </w:r>
    </w:p>
    <w:p w14:paraId="1916F5B5"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通过教师讲解和学生自行查阅资料，共同提出花药培养的完整试验方案；学生在教师指导下完成花粉发育时期与花蕾外部形态对应的预备试验；学生能够在教师指导下完成花药外植体的低温处理、消毒、接种技术环节；学生可选择完成再生苗或不定芽的倍性鉴定；学生在教师的指导下完成各个环节的数据的记录和分析</w:t>
      </w:r>
      <w:r>
        <w:rPr>
          <w:rFonts w:ascii="宋体" w:hAnsi="宋体" w:hint="eastAsia"/>
          <w:bCs/>
          <w:szCs w:val="21"/>
        </w:rPr>
        <w:t>。</w:t>
      </w:r>
    </w:p>
    <w:p w14:paraId="20DCDE59" w14:textId="77777777" w:rsidR="00F5289E" w:rsidRDefault="00C91173">
      <w:pPr>
        <w:snapToGrid w:val="0"/>
        <w:spacing w:line="360" w:lineRule="auto"/>
        <w:ind w:firstLineChars="200" w:firstLine="422"/>
        <w:rPr>
          <w:rFonts w:ascii="宋体"/>
          <w:bCs/>
          <w:szCs w:val="21"/>
        </w:rPr>
      </w:pPr>
      <w:r>
        <w:rPr>
          <w:b/>
          <w:szCs w:val="21"/>
        </w:rPr>
        <w:t xml:space="preserve">5. </w:t>
      </w:r>
      <w:r>
        <w:rPr>
          <w:rFonts w:hint="eastAsia"/>
          <w:b/>
          <w:szCs w:val="21"/>
        </w:rPr>
        <w:t>实验设备及器材：</w:t>
      </w:r>
      <w:r>
        <w:rPr>
          <w:rFonts w:hint="eastAsia"/>
          <w:szCs w:val="21"/>
        </w:rPr>
        <w:t>光学显微镜、盖玻片、载玻片、培养皿、滤纸、酸度计、电子天平、超净工作台、三角瓶、封口膜、棉线绳、枪状镊子、酒精灯、纱布、光照培养箱、高压灭菌器、电炉等。</w:t>
      </w:r>
    </w:p>
    <w:p w14:paraId="544AD2A6" w14:textId="77777777" w:rsidR="00F5289E" w:rsidRDefault="00C91173">
      <w:pPr>
        <w:pStyle w:val="af1"/>
        <w:snapToGrid w:val="0"/>
        <w:spacing w:before="0" w:beforeAutospacing="0" w:after="0" w:afterAutospacing="0" w:line="360" w:lineRule="auto"/>
        <w:rPr>
          <w:b/>
          <w:sz w:val="21"/>
          <w:szCs w:val="21"/>
        </w:rPr>
      </w:pPr>
      <w:r>
        <w:rPr>
          <w:rFonts w:hint="eastAsia"/>
          <w:b/>
          <w:sz w:val="21"/>
          <w:szCs w:val="21"/>
        </w:rPr>
        <w:t>【实验九】体细胞胚的诱导与观察</w:t>
      </w:r>
    </w:p>
    <w:p w14:paraId="55800DBC" w14:textId="77777777" w:rsidR="00F5289E" w:rsidRDefault="00C91173">
      <w:pPr>
        <w:snapToGrid w:val="0"/>
        <w:spacing w:line="360" w:lineRule="auto"/>
        <w:ind w:firstLineChars="196" w:firstLine="413"/>
      </w:pPr>
      <w:r>
        <w:rPr>
          <w:b/>
          <w:szCs w:val="21"/>
        </w:rPr>
        <w:t xml:space="preserve">1. </w:t>
      </w:r>
      <w:r>
        <w:rPr>
          <w:rFonts w:hint="eastAsia"/>
          <w:b/>
          <w:szCs w:val="21"/>
        </w:rPr>
        <w:t>实验学时：</w:t>
      </w:r>
      <w:r>
        <w:rPr>
          <w:rFonts w:ascii="宋体" w:hAnsi="宋体"/>
          <w:bCs/>
        </w:rPr>
        <w:t>8</w:t>
      </w:r>
    </w:p>
    <w:p w14:paraId="2C9BC090" w14:textId="77777777" w:rsidR="00F5289E" w:rsidRDefault="00C91173">
      <w:pPr>
        <w:snapToGrid w:val="0"/>
        <w:spacing w:line="360" w:lineRule="auto"/>
        <w:ind w:firstLineChars="200" w:firstLine="422"/>
        <w:rPr>
          <w:rFonts w:ascii="宋体"/>
          <w:bCs/>
          <w:szCs w:val="21"/>
        </w:rPr>
      </w:pPr>
      <w:r>
        <w:rPr>
          <w:b/>
          <w:szCs w:val="21"/>
        </w:rPr>
        <w:t xml:space="preserve">2. </w:t>
      </w:r>
      <w:r>
        <w:rPr>
          <w:rFonts w:hint="eastAsia"/>
          <w:b/>
          <w:szCs w:val="21"/>
        </w:rPr>
        <w:t>实验目的：</w:t>
      </w:r>
      <w:r>
        <w:rPr>
          <w:rFonts w:hint="eastAsia"/>
          <w:szCs w:val="21"/>
        </w:rPr>
        <w:t>了解植物体细胞胚再生植株的原理，观察体细胞胚的形态特征、了解其特性，掌握体细胞胚的诱导及成苗的方法。</w:t>
      </w:r>
    </w:p>
    <w:p w14:paraId="6E3710ED" w14:textId="77777777" w:rsidR="00F5289E" w:rsidRDefault="00C91173">
      <w:pPr>
        <w:snapToGrid w:val="0"/>
        <w:spacing w:line="360" w:lineRule="auto"/>
        <w:ind w:firstLineChars="200" w:firstLine="422"/>
        <w:rPr>
          <w:rFonts w:ascii="宋体"/>
          <w:bCs/>
          <w:szCs w:val="21"/>
        </w:rPr>
      </w:pPr>
      <w:r>
        <w:rPr>
          <w:b/>
          <w:szCs w:val="21"/>
        </w:rPr>
        <w:t xml:space="preserve">3. </w:t>
      </w:r>
      <w:r>
        <w:rPr>
          <w:rFonts w:hint="eastAsia"/>
          <w:b/>
          <w:szCs w:val="21"/>
        </w:rPr>
        <w:t>实验内容：</w:t>
      </w:r>
      <w:r>
        <w:rPr>
          <w:rFonts w:hint="eastAsia"/>
          <w:szCs w:val="21"/>
        </w:rPr>
        <w:t>配制适宜于茄科、十字花科等植物体细胞胚发生的的培养基（添加</w:t>
      </w:r>
      <w:r>
        <w:rPr>
          <w:szCs w:val="21"/>
        </w:rPr>
        <w:t>2,4-D</w:t>
      </w:r>
      <w:r>
        <w:rPr>
          <w:rFonts w:hint="eastAsia"/>
          <w:szCs w:val="21"/>
        </w:rPr>
        <w:t>）；取植物的种子，制备无菌苗；切取无菌苗的子叶、下胚轴，切割成适宜大小后接种；将接种好的培养瓶置于适宜温光条件下进行培</w:t>
      </w:r>
      <w:r>
        <w:rPr>
          <w:rFonts w:ascii="宋体" w:hAnsi="宋体" w:hint="eastAsia"/>
          <w:bCs/>
          <w:szCs w:val="21"/>
        </w:rPr>
        <w:t>；及时观察培养物的形态变化，待球形胚形成后，立即转入</w:t>
      </w:r>
      <w:r>
        <w:rPr>
          <w:rFonts w:hint="eastAsia"/>
          <w:szCs w:val="21"/>
        </w:rPr>
        <w:t>不含</w:t>
      </w:r>
      <w:proofErr w:type="spellStart"/>
      <w:r>
        <w:rPr>
          <w:szCs w:val="21"/>
        </w:rPr>
        <w:t>2,4-D</w:t>
      </w:r>
      <w:proofErr w:type="spellEnd"/>
      <w:r>
        <w:rPr>
          <w:rFonts w:hint="eastAsia"/>
          <w:szCs w:val="21"/>
        </w:rPr>
        <w:t>的培养基，使其形成再生苗；对胚状体的数量、出胚率、发育时期进行观察、统计。</w:t>
      </w:r>
    </w:p>
    <w:p w14:paraId="51915247" w14:textId="77777777" w:rsidR="00F5289E" w:rsidRDefault="00C91173">
      <w:pPr>
        <w:snapToGrid w:val="0"/>
        <w:spacing w:line="360" w:lineRule="auto"/>
        <w:ind w:firstLineChars="200" w:firstLine="422"/>
        <w:rPr>
          <w:rFonts w:ascii="宋体"/>
          <w:bCs/>
          <w:szCs w:val="21"/>
        </w:rPr>
      </w:pPr>
      <w:r>
        <w:rPr>
          <w:b/>
          <w:szCs w:val="21"/>
        </w:rPr>
        <w:t xml:space="preserve">4. </w:t>
      </w:r>
      <w:r>
        <w:rPr>
          <w:rFonts w:hint="eastAsia"/>
          <w:b/>
          <w:szCs w:val="21"/>
        </w:rPr>
        <w:t>实验要求：</w:t>
      </w:r>
      <w:r>
        <w:rPr>
          <w:rFonts w:hint="eastAsia"/>
          <w:szCs w:val="21"/>
        </w:rPr>
        <w:t>通过教师讲解和学生自行查阅资料，共同提出体细胞胚诱导和植株再生的完整试验方案；学生独立完成预备试验</w:t>
      </w:r>
      <w:r>
        <w:rPr>
          <w:szCs w:val="21"/>
        </w:rPr>
        <w:t>——</w:t>
      </w:r>
      <w:r>
        <w:rPr>
          <w:rFonts w:hint="eastAsia"/>
          <w:szCs w:val="21"/>
        </w:rPr>
        <w:t>无菌苗的制备；学生在教师指导下完成体细胞胚诱导培养基的配制和接种；学生在教师指导下完成体细胞胚的转接、植株的分化；学生按教师的要求完成各个环节的数据的记录和分析</w:t>
      </w:r>
      <w:r>
        <w:rPr>
          <w:rFonts w:ascii="宋体" w:hAnsi="宋体" w:hint="eastAsia"/>
          <w:bCs/>
          <w:szCs w:val="21"/>
        </w:rPr>
        <w:t>。</w:t>
      </w:r>
    </w:p>
    <w:p w14:paraId="4F0E4323" w14:textId="77777777" w:rsidR="00F5289E" w:rsidRDefault="00C91173">
      <w:pPr>
        <w:widowControl/>
        <w:snapToGrid w:val="0"/>
        <w:spacing w:line="480" w:lineRule="auto"/>
        <w:ind w:firstLine="420"/>
        <w:rPr>
          <w:szCs w:val="21"/>
        </w:rPr>
      </w:pPr>
      <w:r>
        <w:rPr>
          <w:b/>
          <w:szCs w:val="21"/>
        </w:rPr>
        <w:t xml:space="preserve">5. </w:t>
      </w:r>
      <w:r>
        <w:rPr>
          <w:rFonts w:hint="eastAsia"/>
          <w:b/>
          <w:szCs w:val="21"/>
        </w:rPr>
        <w:t>实验设备及器材：</w:t>
      </w:r>
      <w:r>
        <w:rPr>
          <w:rFonts w:hint="eastAsia"/>
          <w:szCs w:val="21"/>
        </w:rPr>
        <w:t>体式显微镜、载玻片、培养皿、滤纸、酸度计、电子天平、超净工作台、培养皿、三角瓶、封口膜、棉线绳、枪状镊子、酒精灯、光照培养箱、高压灭菌器、电炉等。</w:t>
      </w:r>
    </w:p>
    <w:p w14:paraId="71326B48"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364A93A1" w14:textId="77777777" w:rsidR="00F5289E" w:rsidRDefault="00C91173">
      <w:pPr>
        <w:snapToGrid w:val="0"/>
        <w:spacing w:line="360" w:lineRule="auto"/>
        <w:ind w:firstLineChars="200" w:firstLine="420"/>
        <w:rPr>
          <w:rFonts w:hAnsi="宋体"/>
          <w:szCs w:val="21"/>
        </w:rPr>
      </w:pPr>
      <w:r>
        <w:rPr>
          <w:rFonts w:hAnsi="宋体" w:hint="eastAsia"/>
          <w:szCs w:val="21"/>
        </w:rPr>
        <w:lastRenderedPageBreak/>
        <w:t>坚持“实现立德树人根本任务”的大思政综合教育理念，在课程教学过程中将政治认同、家国情怀、文化素养、宪法法治意识、道德修养等思想政治元素融入专业教育，隐性和显性教育相融合，知识育才和精神育才相结合。</w:t>
      </w:r>
    </w:p>
    <w:p w14:paraId="660E65AC" w14:textId="77777777" w:rsidR="00F5289E" w:rsidRDefault="00C91173">
      <w:pPr>
        <w:snapToGrid w:val="0"/>
        <w:spacing w:line="360" w:lineRule="auto"/>
        <w:ind w:firstLineChars="200" w:firstLine="420"/>
        <w:rPr>
          <w:rFonts w:hAnsi="宋体"/>
          <w:szCs w:val="21"/>
        </w:rPr>
      </w:pPr>
      <w:r>
        <w:rPr>
          <w:rFonts w:hAnsi="宋体"/>
          <w:szCs w:val="21"/>
        </w:rPr>
        <w:t>例如</w:t>
      </w:r>
      <w:r>
        <w:rPr>
          <w:rFonts w:hAnsi="宋体" w:hint="eastAsia"/>
          <w:szCs w:val="21"/>
        </w:rPr>
        <w:t>，</w:t>
      </w:r>
      <w:r>
        <w:rPr>
          <w:rFonts w:hAnsi="宋体"/>
          <w:szCs w:val="21"/>
        </w:rPr>
        <w:t>绪论部分</w:t>
      </w:r>
      <w:r>
        <w:rPr>
          <w:rFonts w:hAnsi="宋体" w:hint="eastAsia"/>
          <w:szCs w:val="21"/>
        </w:rPr>
        <w:t>介绍课程</w:t>
      </w:r>
      <w:r>
        <w:rPr>
          <w:rFonts w:hAnsi="宋体"/>
          <w:szCs w:val="21"/>
        </w:rPr>
        <w:t>技术特点时</w:t>
      </w:r>
      <w:r>
        <w:rPr>
          <w:rFonts w:hAnsi="宋体" w:hint="eastAsia"/>
          <w:szCs w:val="21"/>
        </w:rPr>
        <w:t>，</w:t>
      </w:r>
      <w:r>
        <w:rPr>
          <w:rFonts w:hAnsi="宋体"/>
          <w:szCs w:val="21"/>
        </w:rPr>
        <w:t>将</w:t>
      </w:r>
      <w:r>
        <w:rPr>
          <w:rFonts w:hAnsi="宋体" w:hint="eastAsia"/>
          <w:szCs w:val="21"/>
        </w:rPr>
        <w:t>社会主义生态文明思想融入教学中。</w:t>
      </w:r>
      <w:r>
        <w:rPr>
          <w:rFonts w:hAnsi="宋体"/>
          <w:szCs w:val="21"/>
        </w:rPr>
        <w:t>讲授</w:t>
      </w:r>
      <w:r>
        <w:rPr>
          <w:rFonts w:hAnsi="宋体" w:hint="eastAsia"/>
          <w:szCs w:val="21"/>
        </w:rPr>
        <w:t>植物组织培养技术特点“不受季节、生产条件</w:t>
      </w:r>
      <w:r>
        <w:rPr>
          <w:rFonts w:hAnsi="宋体" w:hint="eastAsia"/>
          <w:szCs w:val="21"/>
        </w:rPr>
        <w:t xml:space="preserve"> </w:t>
      </w:r>
      <w:r>
        <w:rPr>
          <w:rFonts w:hAnsi="宋体" w:hint="eastAsia"/>
          <w:szCs w:val="21"/>
        </w:rPr>
        <w:t>限制，生长周期短，可在组织培养室中进行大规模工厂化生产，可节约耕地、保护环境”。其次，引入以组织培养技术为主体的新型生物工业例子，如抗癌药物“紫杉醇”和抗白血病药物“长春花碱”等的批量提取，可以减少因从自然资源中提取天然产物而带来的资源破坏，从而保护自然资源、维护态环境。同时，告诉学生们资源保护和环境保护是生态文明建设的重要内容，生态文明建设关乎民族未来，践行“绿水青山就是金山银山”就是建设生态文明。</w:t>
      </w:r>
      <w:r>
        <w:rPr>
          <w:rFonts w:hAnsi="宋体"/>
          <w:szCs w:val="21"/>
        </w:rPr>
        <w:t>同时</w:t>
      </w:r>
      <w:r>
        <w:rPr>
          <w:rFonts w:hAnsi="宋体" w:hint="eastAsia"/>
          <w:szCs w:val="21"/>
        </w:rPr>
        <w:t>，</w:t>
      </w:r>
      <w:r>
        <w:rPr>
          <w:rFonts w:hint="eastAsia"/>
        </w:rPr>
        <w:t>在讲授植物组织培养技术发展时，有效融入我国植物组织培养相关的最新研究成果，让学生更直观的了解我国的农业科学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家国情怀，实现高校“立德树人”的人才培养目标</w:t>
      </w:r>
      <w:r>
        <w:t>。</w:t>
      </w:r>
    </w:p>
    <w:p w14:paraId="515F5DB0" w14:textId="77777777" w:rsidR="00F5289E" w:rsidRDefault="00F5289E">
      <w:pPr>
        <w:snapToGrid w:val="0"/>
        <w:spacing w:line="360" w:lineRule="auto"/>
        <w:ind w:firstLineChars="200" w:firstLine="420"/>
        <w:rPr>
          <w:rFonts w:hAnsi="宋体"/>
          <w:color w:val="0000FF"/>
          <w:szCs w:val="21"/>
        </w:rPr>
      </w:pPr>
    </w:p>
    <w:p w14:paraId="5299F97C"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、教材及教学参考书</w:t>
      </w:r>
    </w:p>
    <w:p w14:paraId="7804EE00" w14:textId="77777777" w:rsidR="00F5289E" w:rsidRDefault="00C91173">
      <w:pPr>
        <w:widowControl/>
        <w:snapToGrid w:val="0"/>
        <w:spacing w:line="360" w:lineRule="auto"/>
        <w:ind w:firstLineChars="200" w:firstLine="422"/>
        <w:jc w:val="left"/>
        <w:rPr>
          <w:rFonts w:eastAsiaTheme="minorEastAsia"/>
          <w:b/>
          <w:bCs/>
          <w:kern w:val="0"/>
          <w:szCs w:val="21"/>
        </w:rPr>
      </w:pPr>
      <w:r>
        <w:rPr>
          <w:rFonts w:eastAsiaTheme="minorEastAsia"/>
          <w:b/>
          <w:bCs/>
          <w:kern w:val="0"/>
          <w:szCs w:val="21"/>
        </w:rPr>
        <w:t>1</w:t>
      </w:r>
      <w:r>
        <w:rPr>
          <w:rFonts w:eastAsiaTheme="minorEastAsia" w:hAnsiTheme="minorEastAsia"/>
          <w:b/>
          <w:bCs/>
          <w:kern w:val="0"/>
          <w:szCs w:val="21"/>
        </w:rPr>
        <w:t>、选用教材：</w:t>
      </w:r>
    </w:p>
    <w:p w14:paraId="702B5BAD"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hAnsiTheme="minorEastAsia"/>
          <w:bCs/>
          <w:kern w:val="0"/>
          <w:szCs w:val="21"/>
        </w:rPr>
        <w:t>（</w:t>
      </w:r>
      <w:r>
        <w:rPr>
          <w:rFonts w:eastAsiaTheme="minorEastAsia"/>
          <w:bCs/>
          <w:kern w:val="0"/>
          <w:szCs w:val="21"/>
        </w:rPr>
        <w:t>1</w:t>
      </w:r>
      <w:r>
        <w:rPr>
          <w:rFonts w:eastAsiaTheme="minorEastAsia" w:hAnsiTheme="minorEastAsia"/>
          <w:bCs/>
          <w:kern w:val="0"/>
          <w:szCs w:val="21"/>
        </w:rPr>
        <w:t>）理论课教材：植物细胞工程（第</w:t>
      </w:r>
      <w:r>
        <w:rPr>
          <w:rFonts w:eastAsiaTheme="minorEastAsia"/>
          <w:bCs/>
          <w:kern w:val="0"/>
          <w:szCs w:val="21"/>
        </w:rPr>
        <w:t>2</w:t>
      </w:r>
      <w:r>
        <w:rPr>
          <w:rFonts w:eastAsiaTheme="minorEastAsia" w:hAnsiTheme="minorEastAsia"/>
          <w:bCs/>
          <w:kern w:val="0"/>
          <w:szCs w:val="21"/>
        </w:rPr>
        <w:t>版），柳俊、谢从华</w:t>
      </w:r>
      <w:r>
        <w:rPr>
          <w:rFonts w:eastAsiaTheme="minorEastAsia" w:hAnsiTheme="minorEastAsia" w:hint="eastAsia"/>
          <w:bCs/>
          <w:kern w:val="0"/>
          <w:szCs w:val="21"/>
        </w:rPr>
        <w:t xml:space="preserve"> </w:t>
      </w:r>
      <w:r>
        <w:rPr>
          <w:rFonts w:eastAsiaTheme="minorEastAsia" w:hAnsiTheme="minorEastAsia"/>
          <w:bCs/>
          <w:kern w:val="0"/>
          <w:szCs w:val="21"/>
        </w:rPr>
        <w:t>编著，高等教育出版社，</w:t>
      </w:r>
      <w:r>
        <w:rPr>
          <w:rFonts w:eastAsiaTheme="minorEastAsia"/>
          <w:bCs/>
          <w:kern w:val="0"/>
          <w:szCs w:val="21"/>
        </w:rPr>
        <w:t>2011</w:t>
      </w:r>
      <w:r>
        <w:rPr>
          <w:rFonts w:eastAsiaTheme="minorEastAsia" w:hAnsiTheme="minorEastAsia"/>
          <w:bCs/>
          <w:kern w:val="0"/>
          <w:szCs w:val="21"/>
        </w:rPr>
        <w:t>年</w:t>
      </w:r>
    </w:p>
    <w:p w14:paraId="4A68E86B" w14:textId="77777777" w:rsidR="00F5289E" w:rsidRDefault="00C91173">
      <w:pPr>
        <w:widowControl/>
        <w:snapToGrid w:val="0"/>
        <w:spacing w:line="360" w:lineRule="auto"/>
        <w:ind w:firstLineChars="200" w:firstLine="420"/>
        <w:jc w:val="left"/>
        <w:rPr>
          <w:rFonts w:eastAsiaTheme="minorEastAsia"/>
          <w:szCs w:val="21"/>
        </w:rPr>
      </w:pPr>
      <w:r>
        <w:rPr>
          <w:rFonts w:eastAsiaTheme="minorEastAsia" w:hAnsiTheme="minorEastAsia"/>
          <w:szCs w:val="21"/>
        </w:rPr>
        <w:t>（</w:t>
      </w:r>
      <w:r>
        <w:rPr>
          <w:rFonts w:eastAsiaTheme="minorEastAsia"/>
          <w:szCs w:val="21"/>
        </w:rPr>
        <w:t>2</w:t>
      </w:r>
      <w:r>
        <w:rPr>
          <w:rFonts w:eastAsiaTheme="minorEastAsia" w:hAnsiTheme="minorEastAsia"/>
          <w:szCs w:val="21"/>
        </w:rPr>
        <w:t>）实验课教材：植物组织培养实验指导，龚一富</w:t>
      </w:r>
      <w:r>
        <w:rPr>
          <w:rFonts w:eastAsiaTheme="minorEastAsia" w:hAnsiTheme="minorEastAsia" w:hint="eastAsia"/>
          <w:szCs w:val="21"/>
        </w:rPr>
        <w:t xml:space="preserve"> </w:t>
      </w:r>
      <w:r>
        <w:rPr>
          <w:rFonts w:eastAsiaTheme="minorEastAsia" w:hAnsiTheme="minorEastAsia"/>
          <w:szCs w:val="21"/>
        </w:rPr>
        <w:t>编著，科学出版社</w:t>
      </w:r>
      <w:r>
        <w:rPr>
          <w:rFonts w:eastAsiaTheme="minorEastAsia" w:hAnsiTheme="minorEastAsia"/>
          <w:bCs/>
          <w:kern w:val="0"/>
          <w:szCs w:val="21"/>
        </w:rPr>
        <w:t>，</w:t>
      </w:r>
      <w:r>
        <w:rPr>
          <w:rFonts w:eastAsiaTheme="minorEastAsia"/>
          <w:bCs/>
          <w:kern w:val="0"/>
          <w:szCs w:val="21"/>
        </w:rPr>
        <w:t>2011</w:t>
      </w:r>
      <w:r>
        <w:rPr>
          <w:rFonts w:eastAsiaTheme="minorEastAsia" w:hAnsiTheme="minorEastAsia"/>
          <w:bCs/>
          <w:kern w:val="0"/>
          <w:szCs w:val="21"/>
        </w:rPr>
        <w:t>年</w:t>
      </w:r>
    </w:p>
    <w:p w14:paraId="35A9325B" w14:textId="77777777" w:rsidR="00F5289E" w:rsidRDefault="00C91173">
      <w:pPr>
        <w:widowControl/>
        <w:snapToGrid w:val="0"/>
        <w:spacing w:line="360" w:lineRule="auto"/>
        <w:ind w:firstLineChars="200" w:firstLine="422"/>
        <w:jc w:val="left"/>
        <w:rPr>
          <w:rFonts w:eastAsiaTheme="minorEastAsia"/>
          <w:kern w:val="0"/>
          <w:szCs w:val="21"/>
        </w:rPr>
      </w:pPr>
      <w:r>
        <w:rPr>
          <w:rFonts w:eastAsiaTheme="minorEastAsia"/>
          <w:b/>
          <w:bCs/>
          <w:kern w:val="0"/>
          <w:szCs w:val="21"/>
        </w:rPr>
        <w:t>2</w:t>
      </w:r>
      <w:r>
        <w:rPr>
          <w:rFonts w:eastAsiaTheme="minorEastAsia" w:hAnsiTheme="minorEastAsia"/>
          <w:b/>
          <w:bCs/>
          <w:kern w:val="0"/>
          <w:szCs w:val="21"/>
        </w:rPr>
        <w:t>、参考书：</w:t>
      </w:r>
    </w:p>
    <w:p w14:paraId="36FD8C99"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hAnsiTheme="minorEastAsia"/>
          <w:bCs/>
          <w:kern w:val="0"/>
          <w:szCs w:val="21"/>
        </w:rPr>
        <w:t>（</w:t>
      </w:r>
      <w:r>
        <w:rPr>
          <w:rFonts w:eastAsiaTheme="minorEastAsia"/>
          <w:bCs/>
          <w:kern w:val="0"/>
          <w:szCs w:val="21"/>
        </w:rPr>
        <w:t>1</w:t>
      </w:r>
      <w:r>
        <w:rPr>
          <w:rFonts w:eastAsiaTheme="minorEastAsia" w:hAnsiTheme="minorEastAsia"/>
          <w:bCs/>
          <w:kern w:val="0"/>
          <w:szCs w:val="21"/>
        </w:rPr>
        <w:t>）植物组织培养（第</w:t>
      </w:r>
      <w:r>
        <w:rPr>
          <w:rFonts w:eastAsiaTheme="minorEastAsia"/>
          <w:bCs/>
          <w:kern w:val="0"/>
          <w:szCs w:val="21"/>
        </w:rPr>
        <w:t>2</w:t>
      </w:r>
      <w:r>
        <w:rPr>
          <w:rFonts w:eastAsiaTheme="minorEastAsia" w:hAnsiTheme="minorEastAsia"/>
          <w:bCs/>
          <w:kern w:val="0"/>
          <w:szCs w:val="21"/>
        </w:rPr>
        <w:t>版），巩振辉、申书兴</w:t>
      </w:r>
      <w:r>
        <w:rPr>
          <w:rFonts w:eastAsiaTheme="minorEastAsia" w:hAnsiTheme="minorEastAsia" w:hint="eastAsia"/>
          <w:bCs/>
          <w:kern w:val="0"/>
          <w:szCs w:val="21"/>
        </w:rPr>
        <w:t xml:space="preserve"> </w:t>
      </w:r>
      <w:r>
        <w:rPr>
          <w:rFonts w:eastAsiaTheme="minorEastAsia" w:hAnsiTheme="minorEastAsia"/>
          <w:bCs/>
          <w:kern w:val="0"/>
          <w:szCs w:val="21"/>
        </w:rPr>
        <w:t>编著，化学工业出版社，</w:t>
      </w:r>
      <w:r>
        <w:rPr>
          <w:rFonts w:eastAsiaTheme="minorEastAsia"/>
          <w:bCs/>
          <w:kern w:val="0"/>
          <w:szCs w:val="21"/>
        </w:rPr>
        <w:t>2013</w:t>
      </w:r>
      <w:r>
        <w:rPr>
          <w:rFonts w:eastAsiaTheme="minorEastAsia" w:hAnsiTheme="minorEastAsia"/>
          <w:bCs/>
          <w:kern w:val="0"/>
          <w:szCs w:val="21"/>
        </w:rPr>
        <w:t>年</w:t>
      </w:r>
    </w:p>
    <w:p w14:paraId="3807A49F"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hAnsiTheme="minorEastAsia"/>
          <w:bCs/>
          <w:kern w:val="0"/>
          <w:szCs w:val="21"/>
        </w:rPr>
        <w:t>（</w:t>
      </w:r>
      <w:r>
        <w:rPr>
          <w:rFonts w:eastAsiaTheme="minorEastAsia"/>
          <w:bCs/>
          <w:kern w:val="0"/>
          <w:szCs w:val="21"/>
        </w:rPr>
        <w:t>2</w:t>
      </w:r>
      <w:r>
        <w:rPr>
          <w:rFonts w:eastAsiaTheme="minorEastAsia" w:hAnsiTheme="minorEastAsia"/>
          <w:bCs/>
          <w:kern w:val="0"/>
          <w:szCs w:val="21"/>
        </w:rPr>
        <w:t>）植物组织培养（第二版），王蒂、陈劲枫</w:t>
      </w:r>
      <w:r>
        <w:rPr>
          <w:rFonts w:eastAsiaTheme="minorEastAsia" w:hAnsiTheme="minorEastAsia" w:hint="eastAsia"/>
          <w:bCs/>
          <w:kern w:val="0"/>
          <w:szCs w:val="21"/>
        </w:rPr>
        <w:t xml:space="preserve"> </w:t>
      </w:r>
      <w:r>
        <w:rPr>
          <w:rFonts w:eastAsiaTheme="minorEastAsia" w:hAnsiTheme="minorEastAsia"/>
          <w:bCs/>
          <w:kern w:val="0"/>
          <w:szCs w:val="21"/>
        </w:rPr>
        <w:t>编著，中国农业出版社，</w:t>
      </w:r>
      <w:r>
        <w:rPr>
          <w:rFonts w:eastAsiaTheme="minorEastAsia"/>
          <w:bCs/>
          <w:kern w:val="0"/>
          <w:szCs w:val="21"/>
        </w:rPr>
        <w:t>2014</w:t>
      </w:r>
      <w:r>
        <w:rPr>
          <w:rFonts w:eastAsiaTheme="minorEastAsia" w:hAnsiTheme="minorEastAsia"/>
          <w:bCs/>
          <w:kern w:val="0"/>
          <w:szCs w:val="21"/>
        </w:rPr>
        <w:t>年</w:t>
      </w:r>
    </w:p>
    <w:p w14:paraId="184335D7" w14:textId="77777777" w:rsidR="00F5289E" w:rsidRDefault="00C91173">
      <w:pPr>
        <w:widowControl/>
        <w:snapToGrid w:val="0"/>
        <w:spacing w:line="360" w:lineRule="auto"/>
        <w:ind w:firstLineChars="200" w:firstLine="420"/>
        <w:jc w:val="left"/>
        <w:rPr>
          <w:rFonts w:eastAsiaTheme="minorEastAsia"/>
          <w:bCs/>
          <w:kern w:val="0"/>
          <w:szCs w:val="21"/>
        </w:rPr>
      </w:pPr>
      <w:r>
        <w:rPr>
          <w:rFonts w:eastAsiaTheme="minorEastAsia" w:hAnsiTheme="minorEastAsia"/>
          <w:bCs/>
          <w:kern w:val="0"/>
          <w:szCs w:val="21"/>
        </w:rPr>
        <w:t>（</w:t>
      </w:r>
      <w:r>
        <w:rPr>
          <w:rFonts w:eastAsiaTheme="minorEastAsia"/>
          <w:bCs/>
          <w:kern w:val="0"/>
          <w:szCs w:val="21"/>
        </w:rPr>
        <w:t>3</w:t>
      </w:r>
      <w:r>
        <w:rPr>
          <w:rFonts w:eastAsiaTheme="minorEastAsia" w:hAnsiTheme="minorEastAsia"/>
          <w:bCs/>
          <w:kern w:val="0"/>
          <w:szCs w:val="21"/>
        </w:rPr>
        <w:t>）植物组织培养（第</w:t>
      </w:r>
      <w:r>
        <w:rPr>
          <w:rFonts w:eastAsiaTheme="minorEastAsia"/>
          <w:bCs/>
          <w:kern w:val="0"/>
          <w:szCs w:val="21"/>
        </w:rPr>
        <w:t>2</w:t>
      </w:r>
      <w:r>
        <w:rPr>
          <w:rFonts w:eastAsiaTheme="minorEastAsia" w:hAnsiTheme="minorEastAsia"/>
          <w:bCs/>
          <w:kern w:val="0"/>
          <w:szCs w:val="21"/>
        </w:rPr>
        <w:t>版），陈世昌、王小琳</w:t>
      </w:r>
      <w:r>
        <w:rPr>
          <w:rFonts w:eastAsiaTheme="minorEastAsia" w:hAnsiTheme="minorEastAsia" w:hint="eastAsia"/>
          <w:bCs/>
          <w:kern w:val="0"/>
          <w:szCs w:val="21"/>
        </w:rPr>
        <w:t xml:space="preserve"> </w:t>
      </w:r>
      <w:r>
        <w:rPr>
          <w:rFonts w:eastAsiaTheme="minorEastAsia" w:hAnsiTheme="minorEastAsia"/>
          <w:bCs/>
          <w:kern w:val="0"/>
          <w:szCs w:val="21"/>
        </w:rPr>
        <w:t>编著，重庆大学出版社，</w:t>
      </w:r>
      <w:r>
        <w:rPr>
          <w:rFonts w:eastAsiaTheme="minorEastAsia"/>
          <w:bCs/>
          <w:kern w:val="0"/>
          <w:szCs w:val="21"/>
        </w:rPr>
        <w:t>2011</w:t>
      </w:r>
      <w:r>
        <w:rPr>
          <w:rFonts w:eastAsiaTheme="minorEastAsia" w:hAnsiTheme="minorEastAsia"/>
          <w:bCs/>
          <w:kern w:val="0"/>
          <w:szCs w:val="21"/>
        </w:rPr>
        <w:t>年</w:t>
      </w:r>
    </w:p>
    <w:p w14:paraId="657536EB" w14:textId="77777777" w:rsidR="00F5289E" w:rsidRDefault="00C91173">
      <w:pPr>
        <w:widowControl/>
        <w:snapToGrid w:val="0"/>
        <w:spacing w:line="360" w:lineRule="auto"/>
        <w:ind w:firstLineChars="200" w:firstLine="422"/>
        <w:jc w:val="left"/>
        <w:rPr>
          <w:rFonts w:eastAsiaTheme="minorEastAsia"/>
          <w:b/>
          <w:kern w:val="0"/>
          <w:szCs w:val="21"/>
        </w:rPr>
      </w:pPr>
      <w:r>
        <w:rPr>
          <w:rFonts w:eastAsiaTheme="minorEastAsia"/>
          <w:b/>
          <w:kern w:val="0"/>
          <w:szCs w:val="21"/>
        </w:rPr>
        <w:t>3</w:t>
      </w:r>
      <w:r>
        <w:rPr>
          <w:rFonts w:eastAsiaTheme="minorEastAsia" w:hAnsiTheme="minorEastAsia"/>
          <w:b/>
          <w:kern w:val="0"/>
          <w:szCs w:val="21"/>
        </w:rPr>
        <w:t>、推荐网站：</w:t>
      </w:r>
    </w:p>
    <w:p w14:paraId="5CC8CFF4" w14:textId="77777777" w:rsidR="00F5289E" w:rsidRDefault="00C91173">
      <w:pPr>
        <w:snapToGrid w:val="0"/>
        <w:spacing w:line="360" w:lineRule="auto"/>
        <w:ind w:firstLineChars="200" w:firstLine="420"/>
      </w:pPr>
      <w:r>
        <w:rPr>
          <w:rFonts w:hint="eastAsia"/>
        </w:rPr>
        <w:t>（</w:t>
      </w:r>
      <w:r>
        <w:rPr>
          <w:rFonts w:hint="eastAsia"/>
        </w:rPr>
        <w:t>1</w:t>
      </w:r>
      <w:r>
        <w:rPr>
          <w:rFonts w:hint="eastAsia"/>
        </w:rPr>
        <w:t>）细胞工程学，网址：</w:t>
      </w:r>
      <w:r>
        <w:rPr>
          <w:rFonts w:hint="eastAsia"/>
        </w:rPr>
        <w:t>http://nhjy.hzau.edu.cn/kech/xbgc/index.asp</w:t>
      </w:r>
    </w:p>
    <w:p w14:paraId="1EDEA3C7" w14:textId="77777777" w:rsidR="00F5289E" w:rsidRDefault="00C91173">
      <w:pPr>
        <w:widowControl/>
        <w:snapToGrid w:val="0"/>
        <w:spacing w:line="360" w:lineRule="auto"/>
        <w:ind w:firstLineChars="200" w:firstLine="420"/>
        <w:jc w:val="left"/>
      </w:pPr>
      <w:r>
        <w:rPr>
          <w:rFonts w:hint="eastAsia"/>
        </w:rPr>
        <w:t>（</w:t>
      </w:r>
      <w:r>
        <w:rPr>
          <w:rFonts w:hint="eastAsia"/>
        </w:rPr>
        <w:t>2</w:t>
      </w:r>
      <w:r>
        <w:rPr>
          <w:rFonts w:hint="eastAsia"/>
        </w:rPr>
        <w:t>）浙江大学植物组织培养，网址：</w:t>
      </w:r>
      <w:r>
        <w:fldChar w:fldCharType="begin"/>
      </w:r>
      <w:r>
        <w:instrText>HYPERLINK "http://www.openke.net/show-2469.html"</w:instrText>
      </w:r>
      <w:r>
        <w:fldChar w:fldCharType="separate"/>
      </w:r>
      <w:r>
        <w:rPr>
          <w:rFonts w:hint="eastAsia"/>
        </w:rPr>
        <w:t>http://www.openke.net/show-2469.html</w:t>
      </w:r>
      <w:r>
        <w:fldChar w:fldCharType="end"/>
      </w:r>
    </w:p>
    <w:p w14:paraId="5E3DBE7E" w14:textId="77777777" w:rsidR="00F5289E" w:rsidRDefault="00C91173">
      <w:pPr>
        <w:widowControl/>
        <w:snapToGrid w:val="0"/>
        <w:spacing w:line="360" w:lineRule="auto"/>
        <w:ind w:firstLineChars="200" w:firstLine="420"/>
        <w:jc w:val="left"/>
      </w:pPr>
      <w:r>
        <w:rPr>
          <w:rFonts w:hint="eastAsia"/>
        </w:rPr>
        <w:t>（</w:t>
      </w:r>
      <w:r>
        <w:rPr>
          <w:rFonts w:hint="eastAsia"/>
        </w:rPr>
        <w:t>3</w:t>
      </w:r>
      <w:r>
        <w:rPr>
          <w:rFonts w:hint="eastAsia"/>
        </w:rPr>
        <w:t>）华中农业大学植物组织培养，网址：</w:t>
      </w:r>
      <w:r>
        <w:fldChar w:fldCharType="begin"/>
      </w:r>
      <w:r>
        <w:instrText>HYPERLINK "https://www.icourse163.org/course/HZAU-1206651801?from=searchPage&amp;outVendor=zw_mooc_pcssjg_"</w:instrText>
      </w:r>
      <w:r>
        <w:fldChar w:fldCharType="separate"/>
      </w:r>
      <w:r>
        <w:t>https://www.icourse163.org/course/HZAU-1206651801?from=searchPage&amp;outVendor=zw_mooc_pcssjg_</w:t>
      </w:r>
      <w:r>
        <w:fldChar w:fldCharType="end"/>
      </w:r>
    </w:p>
    <w:p w14:paraId="01C1C045" w14:textId="77777777" w:rsidR="00F5289E" w:rsidRDefault="00C91173">
      <w:pPr>
        <w:widowControl/>
        <w:snapToGrid w:val="0"/>
        <w:spacing w:line="360" w:lineRule="auto"/>
        <w:ind w:firstLineChars="200" w:firstLine="420"/>
        <w:jc w:val="left"/>
      </w:pPr>
      <w:r>
        <w:rPr>
          <w:rFonts w:hint="eastAsia"/>
        </w:rPr>
        <w:t>（</w:t>
      </w:r>
      <w:r>
        <w:rPr>
          <w:rFonts w:hint="eastAsia"/>
        </w:rPr>
        <w:t>4</w:t>
      </w:r>
      <w:r>
        <w:rPr>
          <w:rFonts w:hint="eastAsia"/>
        </w:rPr>
        <w:t>）国家级精品课程《园艺植物生物技术》，网址：</w:t>
      </w:r>
      <w:r>
        <w:t>https://www.icourse163.org/course/NJAU-1001755045?from=searchPage&amp;outVendor=zw_mooc_pcssjg_</w:t>
      </w:r>
    </w:p>
    <w:p w14:paraId="00F9B80A"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0716081E"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本课程应提供多媒体教室及满足本科生植物组织培养的实验室。实验室内应具备植物组织培养试验所需的常用仪器设备及培养条件。授课教师必须精通园艺植物组织培养方面的知识，相关</w:t>
      </w:r>
      <w:r>
        <w:rPr>
          <w:rFonts w:ascii="宋体" w:hAnsi="宋体" w:hint="eastAsia"/>
          <w:color w:val="000000" w:themeColor="text1"/>
          <w:szCs w:val="21"/>
        </w:rPr>
        <w:lastRenderedPageBreak/>
        <w:t>试验操作能力更是要突出。而且要在课堂上及时更新知识教学，并把教学原则和教学方法应用到“线上+线下”的教学活动中。</w:t>
      </w:r>
    </w:p>
    <w:p w14:paraId="73421F03"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4AACA50A" w14:textId="77777777" w:rsidR="00F5289E" w:rsidRDefault="00C91173">
      <w:pPr>
        <w:widowControl/>
        <w:snapToGrid w:val="0"/>
        <w:spacing w:line="360" w:lineRule="auto"/>
        <w:ind w:firstLine="420"/>
        <w:jc w:val="left"/>
        <w:rPr>
          <w:rFonts w:ascii="宋体" w:hAnsi="宋体"/>
          <w:szCs w:val="21"/>
        </w:rPr>
      </w:pPr>
      <w:r>
        <w:rPr>
          <w:rFonts w:hAnsi="宋体" w:hint="eastAsia"/>
          <w:b/>
          <w:bCs/>
          <w:kern w:val="0"/>
          <w:szCs w:val="21"/>
        </w:rPr>
        <w:t>1.</w:t>
      </w:r>
      <w:r>
        <w:rPr>
          <w:rFonts w:hAnsi="宋体" w:hint="eastAsia"/>
          <w:b/>
          <w:bCs/>
          <w:kern w:val="0"/>
          <w:szCs w:val="21"/>
        </w:rPr>
        <w:t>过程性评价：</w:t>
      </w:r>
      <w:r>
        <w:rPr>
          <w:rFonts w:ascii="宋体" w:hAnsi="宋体"/>
          <w:szCs w:val="21"/>
        </w:rPr>
        <w:t xml:space="preserve"> </w:t>
      </w:r>
    </w:p>
    <w:p w14:paraId="5C4452B6" w14:textId="77777777" w:rsidR="00F5289E" w:rsidRDefault="00C91173">
      <w:pPr>
        <w:widowControl/>
        <w:spacing w:line="360" w:lineRule="auto"/>
        <w:ind w:firstLineChars="200" w:firstLine="420"/>
        <w:jc w:val="left"/>
        <w:rPr>
          <w:szCs w:val="21"/>
        </w:rPr>
      </w:pPr>
      <w:r>
        <w:rPr>
          <w:rFonts w:hAnsi="宋体" w:hint="eastAsia"/>
          <w:szCs w:val="21"/>
        </w:rPr>
        <w:t>教学过程中使用多种评价方法，有利于教学活动的开展及学生综合能力的提高。</w:t>
      </w:r>
      <w:r>
        <w:rPr>
          <w:rFonts w:hint="eastAsia"/>
          <w:szCs w:val="21"/>
        </w:rPr>
        <w:t>本</w:t>
      </w:r>
      <w:r>
        <w:rPr>
          <w:szCs w:val="21"/>
        </w:rPr>
        <w:t>课程的过程性</w:t>
      </w:r>
      <w:r>
        <w:rPr>
          <w:rFonts w:hint="eastAsia"/>
          <w:szCs w:val="21"/>
        </w:rPr>
        <w:t>评价</w:t>
      </w:r>
      <w:r>
        <w:rPr>
          <w:szCs w:val="21"/>
        </w:rPr>
        <w:t>分为平时成绩、实验成绩、翻转课堂测试三个环节</w:t>
      </w:r>
      <w:r>
        <w:rPr>
          <w:rFonts w:hint="eastAsia"/>
          <w:szCs w:val="21"/>
        </w:rPr>
        <w:t>，共占比</w:t>
      </w:r>
      <w:r>
        <w:rPr>
          <w:rFonts w:hint="eastAsia"/>
          <w:szCs w:val="21"/>
        </w:rPr>
        <w:t>60%</w:t>
      </w:r>
      <w:r>
        <w:rPr>
          <w:rFonts w:hint="eastAsia"/>
          <w:szCs w:val="21"/>
        </w:rPr>
        <w:t>。</w:t>
      </w:r>
      <w:r>
        <w:rPr>
          <w:szCs w:val="21"/>
        </w:rPr>
        <w:t>平时成绩包括</w:t>
      </w:r>
      <w:r>
        <w:rPr>
          <w:rFonts w:hAnsi="宋体" w:hint="eastAsia"/>
          <w:szCs w:val="21"/>
        </w:rPr>
        <w:t>课内与课外</w:t>
      </w:r>
      <w:r>
        <w:rPr>
          <w:szCs w:val="21"/>
        </w:rPr>
        <w:t>平时学习情况、课堂提问、小组讨论表现、线上作业</w:t>
      </w:r>
      <w:r>
        <w:rPr>
          <w:rFonts w:hint="eastAsia"/>
          <w:szCs w:val="21"/>
        </w:rPr>
        <w:t>及</w:t>
      </w:r>
      <w:r>
        <w:rPr>
          <w:szCs w:val="21"/>
        </w:rPr>
        <w:t>考勤等，占比</w:t>
      </w:r>
      <w:r>
        <w:rPr>
          <w:szCs w:val="21"/>
        </w:rPr>
        <w:t>10%</w:t>
      </w:r>
      <w:r>
        <w:rPr>
          <w:szCs w:val="21"/>
        </w:rPr>
        <w:t>；实验成绩包括</w:t>
      </w:r>
      <w:r>
        <w:rPr>
          <w:rFonts w:hint="eastAsia"/>
          <w:szCs w:val="21"/>
        </w:rPr>
        <w:t>实验操作、</w:t>
      </w:r>
      <w:r>
        <w:rPr>
          <w:szCs w:val="21"/>
        </w:rPr>
        <w:t>实验结果和实验报告，占比</w:t>
      </w:r>
      <w:r>
        <w:rPr>
          <w:rFonts w:hint="eastAsia"/>
          <w:szCs w:val="21"/>
        </w:rPr>
        <w:t>2</w:t>
      </w:r>
      <w:r>
        <w:rPr>
          <w:szCs w:val="21"/>
        </w:rPr>
        <w:t>0%</w:t>
      </w:r>
      <w:r>
        <w:rPr>
          <w:szCs w:val="21"/>
        </w:rPr>
        <w:t>；翻转课堂主要是分小组进行课程相关内容</w:t>
      </w:r>
      <w:r>
        <w:rPr>
          <w:rFonts w:hint="eastAsia"/>
          <w:szCs w:val="21"/>
        </w:rPr>
        <w:t>的</w:t>
      </w:r>
      <w:r>
        <w:rPr>
          <w:rFonts w:hint="eastAsia"/>
          <w:szCs w:val="21"/>
        </w:rPr>
        <w:t>PPT</w:t>
      </w:r>
      <w:r>
        <w:rPr>
          <w:rFonts w:hint="eastAsia"/>
          <w:szCs w:val="21"/>
        </w:rPr>
        <w:t>制作及</w:t>
      </w:r>
      <w:r>
        <w:rPr>
          <w:szCs w:val="21"/>
        </w:rPr>
        <w:t>讲解，占比</w:t>
      </w:r>
      <w:r>
        <w:rPr>
          <w:rFonts w:hint="eastAsia"/>
          <w:szCs w:val="21"/>
        </w:rPr>
        <w:t>3</w:t>
      </w:r>
      <w:r>
        <w:rPr>
          <w:szCs w:val="21"/>
        </w:rPr>
        <w:t>0%</w:t>
      </w:r>
      <w:r>
        <w:rPr>
          <w:szCs w:val="21"/>
        </w:rPr>
        <w:t>。</w:t>
      </w:r>
    </w:p>
    <w:p w14:paraId="44260767" w14:textId="77777777" w:rsidR="00F5289E" w:rsidRDefault="00C91173">
      <w:pPr>
        <w:widowControl/>
        <w:snapToGrid w:val="0"/>
        <w:spacing w:line="360" w:lineRule="auto"/>
        <w:ind w:firstLine="420"/>
        <w:jc w:val="left"/>
        <w:rPr>
          <w:b/>
          <w:bCs/>
          <w:color w:val="0000FF"/>
          <w:kern w:val="0"/>
          <w:szCs w:val="21"/>
        </w:rPr>
      </w:pPr>
      <w:r>
        <w:rPr>
          <w:b/>
          <w:bCs/>
          <w:kern w:val="0"/>
          <w:szCs w:val="21"/>
        </w:rPr>
        <w:t>2.</w:t>
      </w:r>
      <w:r>
        <w:rPr>
          <w:b/>
          <w:bCs/>
          <w:kern w:val="0"/>
          <w:szCs w:val="21"/>
        </w:rPr>
        <w:t>终结性评价：</w:t>
      </w:r>
      <w:r>
        <w:rPr>
          <w:kern w:val="0"/>
          <w:szCs w:val="21"/>
        </w:rPr>
        <w:t>主要以期末课程</w:t>
      </w:r>
      <w:r>
        <w:rPr>
          <w:rFonts w:hint="eastAsia"/>
          <w:kern w:val="0"/>
          <w:szCs w:val="21"/>
        </w:rPr>
        <w:t>论文</w:t>
      </w:r>
      <w:r>
        <w:rPr>
          <w:kern w:val="0"/>
          <w:szCs w:val="21"/>
        </w:rPr>
        <w:t>为主，</w:t>
      </w:r>
      <w:r>
        <w:rPr>
          <w:rFonts w:hint="eastAsia"/>
          <w:kern w:val="0"/>
          <w:szCs w:val="21"/>
        </w:rPr>
        <w:t>要求学生撰写组培相关的课程论文，</w:t>
      </w:r>
      <w:r>
        <w:rPr>
          <w:kern w:val="0"/>
          <w:szCs w:val="21"/>
        </w:rPr>
        <w:t>占比</w:t>
      </w:r>
      <w:r>
        <w:rPr>
          <w:rFonts w:hint="eastAsia"/>
          <w:kern w:val="0"/>
          <w:szCs w:val="21"/>
        </w:rPr>
        <w:t>4</w:t>
      </w:r>
      <w:r>
        <w:rPr>
          <w:kern w:val="0"/>
          <w:szCs w:val="21"/>
        </w:rPr>
        <w:t>0%</w:t>
      </w:r>
      <w:r>
        <w:rPr>
          <w:kern w:val="0"/>
          <w:szCs w:val="21"/>
        </w:rPr>
        <w:t>。</w:t>
      </w:r>
    </w:p>
    <w:p w14:paraId="01F6DADB" w14:textId="77777777" w:rsidR="00F5289E" w:rsidRDefault="00C91173">
      <w:pPr>
        <w:widowControl/>
        <w:snapToGrid w:val="0"/>
        <w:spacing w:line="360" w:lineRule="auto"/>
        <w:ind w:firstLine="420"/>
        <w:jc w:val="left"/>
      </w:pPr>
      <w:r>
        <w:rPr>
          <w:b/>
          <w:bCs/>
          <w:kern w:val="0"/>
          <w:szCs w:val="21"/>
        </w:rPr>
        <w:t>3.</w:t>
      </w:r>
      <w:r>
        <w:rPr>
          <w:b/>
          <w:bCs/>
          <w:kern w:val="0"/>
          <w:szCs w:val="21"/>
        </w:rPr>
        <w:t>课程综合评价：</w:t>
      </w:r>
      <w:r>
        <w:rPr>
          <w:kern w:val="0"/>
          <w:szCs w:val="21"/>
        </w:rPr>
        <w:t>过程性评价</w:t>
      </w:r>
      <w:r>
        <w:rPr>
          <w:rFonts w:hint="eastAsia"/>
          <w:kern w:val="0"/>
          <w:szCs w:val="21"/>
        </w:rPr>
        <w:t>6</w:t>
      </w:r>
      <w:r>
        <w:rPr>
          <w:kern w:val="0"/>
          <w:szCs w:val="21"/>
        </w:rPr>
        <w:t>0%</w:t>
      </w:r>
      <w:r>
        <w:rPr>
          <w:rFonts w:hint="eastAsia"/>
          <w:kern w:val="0"/>
          <w:szCs w:val="21"/>
        </w:rPr>
        <w:t>（平时成绩</w:t>
      </w:r>
      <w:r>
        <w:rPr>
          <w:rFonts w:hint="eastAsia"/>
          <w:kern w:val="0"/>
          <w:szCs w:val="21"/>
        </w:rPr>
        <w:t>10%+</w:t>
      </w:r>
      <w:r>
        <w:rPr>
          <w:rFonts w:hint="eastAsia"/>
          <w:kern w:val="0"/>
          <w:szCs w:val="21"/>
        </w:rPr>
        <w:t>实验成绩</w:t>
      </w:r>
      <w:r>
        <w:rPr>
          <w:rFonts w:hint="eastAsia"/>
          <w:kern w:val="0"/>
          <w:szCs w:val="21"/>
        </w:rPr>
        <w:t>20%+</w:t>
      </w:r>
      <w:r>
        <w:rPr>
          <w:rFonts w:hint="eastAsia"/>
          <w:kern w:val="0"/>
          <w:szCs w:val="21"/>
        </w:rPr>
        <w:t>翻转课堂</w:t>
      </w:r>
      <w:r>
        <w:rPr>
          <w:rFonts w:hint="eastAsia"/>
          <w:kern w:val="0"/>
          <w:szCs w:val="21"/>
        </w:rPr>
        <w:t>30%</w:t>
      </w:r>
      <w:r>
        <w:rPr>
          <w:rFonts w:hint="eastAsia"/>
          <w:kern w:val="0"/>
          <w:szCs w:val="21"/>
        </w:rPr>
        <w:t>）</w:t>
      </w:r>
      <w:r>
        <w:rPr>
          <w:kern w:val="0"/>
          <w:szCs w:val="21"/>
        </w:rPr>
        <w:t>+</w:t>
      </w:r>
      <w:r>
        <w:rPr>
          <w:kern w:val="0"/>
          <w:szCs w:val="21"/>
        </w:rPr>
        <w:t>终结性评价</w:t>
      </w:r>
      <w:r>
        <w:rPr>
          <w:rFonts w:hint="eastAsia"/>
          <w:kern w:val="0"/>
          <w:szCs w:val="21"/>
        </w:rPr>
        <w:t>4</w:t>
      </w:r>
      <w:r>
        <w:rPr>
          <w:kern w:val="0"/>
          <w:szCs w:val="21"/>
        </w:rPr>
        <w:t>0%</w:t>
      </w:r>
      <w:r>
        <w:rPr>
          <w:rFonts w:hint="eastAsia"/>
          <w:kern w:val="0"/>
          <w:szCs w:val="21"/>
        </w:rPr>
        <w:t>（</w:t>
      </w:r>
      <w:r>
        <w:rPr>
          <w:kern w:val="0"/>
          <w:szCs w:val="21"/>
        </w:rPr>
        <w:t>期末课程</w:t>
      </w:r>
      <w:r>
        <w:rPr>
          <w:rFonts w:hint="eastAsia"/>
          <w:kern w:val="0"/>
          <w:szCs w:val="21"/>
        </w:rPr>
        <w:t>论文</w:t>
      </w:r>
      <w:r>
        <w:rPr>
          <w:kern w:val="0"/>
          <w:szCs w:val="21"/>
        </w:rPr>
        <w:t>成绩</w:t>
      </w:r>
      <w:r>
        <w:rPr>
          <w:rFonts w:hint="eastAsia"/>
          <w:kern w:val="0"/>
          <w:szCs w:val="21"/>
        </w:rPr>
        <w:t>）。</w:t>
      </w:r>
    </w:p>
    <w:p w14:paraId="7636AE44" w14:textId="77777777" w:rsidR="00F5289E" w:rsidRDefault="00F5289E">
      <w:pPr>
        <w:pStyle w:val="afd"/>
        <w:spacing w:line="360" w:lineRule="auto"/>
        <w:jc w:val="left"/>
        <w:rPr>
          <w:rFonts w:eastAsiaTheme="minorEastAsia" w:hAnsiTheme="minorEastAsia"/>
          <w:szCs w:val="21"/>
        </w:rPr>
      </w:pPr>
    </w:p>
    <w:p w14:paraId="2AC85514" w14:textId="77777777" w:rsidR="00F5289E" w:rsidRDefault="00F5289E">
      <w:pPr>
        <w:widowControl/>
        <w:snapToGrid w:val="0"/>
        <w:spacing w:line="360" w:lineRule="auto"/>
        <w:jc w:val="left"/>
        <w:rPr>
          <w:kern w:val="0"/>
        </w:rPr>
      </w:pPr>
    </w:p>
    <w:p w14:paraId="627499BC" w14:textId="77777777" w:rsidR="00F5289E" w:rsidRDefault="00C91173">
      <w:pPr>
        <w:widowControl/>
        <w:jc w:val="left"/>
        <w:rPr>
          <w:b/>
          <w:sz w:val="28"/>
          <w:szCs w:val="28"/>
        </w:rPr>
      </w:pPr>
      <w:r>
        <w:rPr>
          <w:b/>
          <w:sz w:val="28"/>
          <w:szCs w:val="28"/>
        </w:rPr>
        <w:br w:type="page"/>
      </w:r>
    </w:p>
    <w:p w14:paraId="2E3AA75A" w14:textId="77777777" w:rsidR="00F5289E" w:rsidRDefault="00C91173">
      <w:pPr>
        <w:pStyle w:val="1"/>
      </w:pPr>
      <w:bookmarkStart w:id="126" w:name="_Toc138606260"/>
      <w:r>
        <w:rPr>
          <w:rFonts w:hint="eastAsia"/>
        </w:rPr>
        <w:lastRenderedPageBreak/>
        <w:t>园艺植物生物技术</w:t>
      </w:r>
      <w:bookmarkEnd w:id="126"/>
    </w:p>
    <w:p w14:paraId="1B32EA4F" w14:textId="77777777" w:rsidR="00F5289E" w:rsidRPr="001B3040" w:rsidRDefault="00C91173">
      <w:pPr>
        <w:snapToGrid w:val="0"/>
        <w:spacing w:line="360" w:lineRule="auto"/>
        <w:jc w:val="center"/>
        <w:rPr>
          <w:color w:val="0000FF"/>
          <w:sz w:val="24"/>
        </w:rPr>
      </w:pPr>
      <w:r w:rsidRPr="001B3040">
        <w:rPr>
          <w:sz w:val="24"/>
        </w:rPr>
        <w:t>（</w:t>
      </w:r>
      <w:r w:rsidRPr="001B3040">
        <w:rPr>
          <w:sz w:val="24"/>
        </w:rPr>
        <w:t>Biotechnology of Horticultural Plant</w:t>
      </w:r>
      <w:r w:rsidRPr="001B3040">
        <w:rPr>
          <w:sz w:val="24"/>
        </w:rPr>
        <w:t>）</w:t>
      </w:r>
    </w:p>
    <w:p w14:paraId="0B539E89" w14:textId="77777777" w:rsidR="00F5289E" w:rsidRDefault="00F5289E">
      <w:pPr>
        <w:snapToGrid w:val="0"/>
        <w:spacing w:line="360" w:lineRule="auto"/>
        <w:jc w:val="center"/>
        <w:rPr>
          <w:b/>
          <w:szCs w:val="21"/>
        </w:rPr>
      </w:pPr>
    </w:p>
    <w:p w14:paraId="21F5AC56"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3219CEBE" w14:textId="77777777">
        <w:tc>
          <w:tcPr>
            <w:tcW w:w="1666" w:type="pct"/>
          </w:tcPr>
          <w:p w14:paraId="68E12C6B"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szCs w:val="21"/>
              </w:rPr>
              <w:t>19011009</w:t>
            </w:r>
          </w:p>
        </w:tc>
        <w:tc>
          <w:tcPr>
            <w:tcW w:w="1453" w:type="pct"/>
          </w:tcPr>
          <w:p w14:paraId="2171E229"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1B3040">
              <w:rPr>
                <w:szCs w:val="21"/>
              </w:rPr>
              <w:t>32</w:t>
            </w:r>
          </w:p>
        </w:tc>
        <w:tc>
          <w:tcPr>
            <w:tcW w:w="1881" w:type="pct"/>
          </w:tcPr>
          <w:p w14:paraId="28FDF7D7" w14:textId="5086BA15" w:rsidR="00F5289E" w:rsidRDefault="00C91173">
            <w:pPr>
              <w:spacing w:line="300" w:lineRule="auto"/>
              <w:rPr>
                <w:rFonts w:ascii="宋体" w:hAnsi="宋体"/>
                <w:b/>
                <w:bCs/>
                <w:szCs w:val="21"/>
              </w:rPr>
            </w:pPr>
            <w:r>
              <w:rPr>
                <w:rFonts w:ascii="宋体" w:hAnsi="宋体" w:hint="eastAsia"/>
                <w:b/>
                <w:bCs/>
                <w:szCs w:val="21"/>
              </w:rPr>
              <w:t>实验学时：</w:t>
            </w:r>
            <w:r w:rsidRPr="001B3040">
              <w:rPr>
                <w:rFonts w:ascii="宋体" w:hAnsi="宋体" w:hint="eastAsia"/>
                <w:szCs w:val="21"/>
              </w:rPr>
              <w:t xml:space="preserve"> </w:t>
            </w:r>
          </w:p>
        </w:tc>
      </w:tr>
      <w:tr w:rsidR="00F5289E" w14:paraId="4F2E2F20" w14:textId="77777777">
        <w:tc>
          <w:tcPr>
            <w:tcW w:w="1666" w:type="pct"/>
          </w:tcPr>
          <w:p w14:paraId="231D2E7C" w14:textId="77777777" w:rsidR="00F5289E" w:rsidRDefault="00C91173">
            <w:pPr>
              <w:spacing w:line="300" w:lineRule="auto"/>
              <w:rPr>
                <w:rFonts w:ascii="宋体" w:hAnsi="宋体"/>
                <w:b/>
                <w:bCs/>
                <w:szCs w:val="21"/>
              </w:rPr>
            </w:pPr>
            <w:r>
              <w:rPr>
                <w:rFonts w:ascii="宋体" w:hAnsi="宋体" w:hint="eastAsia"/>
                <w:b/>
                <w:bCs/>
                <w:szCs w:val="21"/>
              </w:rPr>
              <w:t>课程性质：</w:t>
            </w:r>
            <w:r w:rsidR="001B3040" w:rsidRPr="001B3040">
              <w:rPr>
                <w:rFonts w:ascii="宋体" w:hAnsi="宋体" w:hint="eastAsia"/>
                <w:szCs w:val="21"/>
              </w:rPr>
              <w:t>选修</w:t>
            </w:r>
          </w:p>
        </w:tc>
        <w:tc>
          <w:tcPr>
            <w:tcW w:w="1453" w:type="pct"/>
          </w:tcPr>
          <w:p w14:paraId="318D0E42" w14:textId="77777777" w:rsidR="00F5289E" w:rsidRDefault="00C91173">
            <w:pPr>
              <w:spacing w:line="300" w:lineRule="auto"/>
              <w:rPr>
                <w:rFonts w:ascii="宋体" w:hAnsi="宋体"/>
                <w:b/>
                <w:bCs/>
                <w:szCs w:val="21"/>
              </w:rPr>
            </w:pPr>
            <w:r>
              <w:rPr>
                <w:rFonts w:ascii="宋体" w:hAnsi="宋体" w:hint="eastAsia"/>
                <w:b/>
                <w:szCs w:val="21"/>
              </w:rPr>
              <w:t>课程属性:</w:t>
            </w:r>
            <w:r w:rsidRPr="001B3040">
              <w:rPr>
                <w:rFonts w:hint="eastAsia"/>
                <w:szCs w:val="21"/>
              </w:rPr>
              <w:t>专业类</w:t>
            </w:r>
          </w:p>
        </w:tc>
        <w:tc>
          <w:tcPr>
            <w:tcW w:w="1881" w:type="pct"/>
          </w:tcPr>
          <w:p w14:paraId="0B68D132" w14:textId="77777777" w:rsidR="00F5289E" w:rsidRDefault="00C91173">
            <w:pPr>
              <w:spacing w:line="30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第7学期</w:t>
            </w:r>
          </w:p>
        </w:tc>
      </w:tr>
      <w:tr w:rsidR="00F5289E" w14:paraId="0C0863C5" w14:textId="77777777">
        <w:tc>
          <w:tcPr>
            <w:tcW w:w="1666" w:type="pct"/>
          </w:tcPr>
          <w:p w14:paraId="39D2AECD"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1B3040">
              <w:rPr>
                <w:rFonts w:ascii="宋体" w:hAnsi="宋体" w:hint="eastAsia"/>
                <w:szCs w:val="21"/>
              </w:rPr>
              <w:t>谭彬</w:t>
            </w:r>
          </w:p>
        </w:tc>
        <w:tc>
          <w:tcPr>
            <w:tcW w:w="1453" w:type="pct"/>
          </w:tcPr>
          <w:p w14:paraId="6288AF95"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白团辉、李志谦、高艳娜、刘东明、王小贝、张海朋、侯楠</w:t>
            </w:r>
          </w:p>
        </w:tc>
        <w:tc>
          <w:tcPr>
            <w:tcW w:w="1881" w:type="pct"/>
          </w:tcPr>
          <w:p w14:paraId="30C4E16A" w14:textId="21874633" w:rsidR="00F5289E" w:rsidRDefault="00C91173">
            <w:pPr>
              <w:spacing w:line="300" w:lineRule="auto"/>
              <w:rPr>
                <w:rFonts w:ascii="宋体" w:hAnsi="宋体"/>
                <w:b/>
                <w:bCs/>
                <w:szCs w:val="21"/>
              </w:rPr>
            </w:pPr>
            <w:r>
              <w:rPr>
                <w:rFonts w:ascii="宋体" w:hAnsi="宋体" w:hint="eastAsia"/>
                <w:b/>
                <w:bCs/>
                <w:szCs w:val="21"/>
              </w:rPr>
              <w:t>授课语言：</w:t>
            </w:r>
            <w:r w:rsidR="0088059B" w:rsidRPr="0088059B">
              <w:rPr>
                <w:rFonts w:ascii="宋体" w:hAnsi="宋体" w:hint="eastAsia"/>
                <w:szCs w:val="21"/>
              </w:rPr>
              <w:t>中文</w:t>
            </w:r>
          </w:p>
        </w:tc>
      </w:tr>
      <w:tr w:rsidR="00F5289E" w14:paraId="4142683E" w14:textId="77777777">
        <w:tc>
          <w:tcPr>
            <w:tcW w:w="5000" w:type="pct"/>
            <w:gridSpan w:val="3"/>
          </w:tcPr>
          <w:p w14:paraId="38E84240"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sidRPr="001B3040">
              <w:rPr>
                <w:rFonts w:ascii="宋体" w:hAnsi="宋体" w:hint="eastAsia"/>
                <w:szCs w:val="21"/>
              </w:rPr>
              <w:t>设施农业科学与工程</w:t>
            </w:r>
          </w:p>
        </w:tc>
      </w:tr>
      <w:tr w:rsidR="00F5289E" w14:paraId="16BFE517" w14:textId="77777777">
        <w:tc>
          <w:tcPr>
            <w:tcW w:w="5000" w:type="pct"/>
            <w:gridSpan w:val="3"/>
          </w:tcPr>
          <w:p w14:paraId="2BA5E7F1" w14:textId="77777777" w:rsidR="00F5289E" w:rsidRDefault="00C91173">
            <w:pPr>
              <w:spacing w:line="300" w:lineRule="auto"/>
              <w:rPr>
                <w:rFonts w:ascii="宋体" w:hAnsi="宋体"/>
                <w:b/>
                <w:bCs/>
                <w:szCs w:val="21"/>
              </w:rPr>
            </w:pPr>
            <w:r>
              <w:rPr>
                <w:rFonts w:ascii="宋体" w:hAnsi="宋体" w:hint="eastAsia"/>
                <w:b/>
                <w:bCs/>
                <w:szCs w:val="21"/>
              </w:rPr>
              <w:t>对先修的要求：</w:t>
            </w:r>
            <w:r w:rsidRPr="001B3040">
              <w:rPr>
                <w:szCs w:val="21"/>
              </w:rPr>
              <w:t>植物学；基础生物化学；植物生理学；园艺植物遗传学；园艺植物育种学；分子生物学基础</w:t>
            </w:r>
          </w:p>
        </w:tc>
      </w:tr>
      <w:tr w:rsidR="00F5289E" w14:paraId="3B240574" w14:textId="77777777">
        <w:tc>
          <w:tcPr>
            <w:tcW w:w="5000" w:type="pct"/>
            <w:gridSpan w:val="3"/>
          </w:tcPr>
          <w:p w14:paraId="5AC46358"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1B3040">
              <w:rPr>
                <w:szCs w:val="21"/>
              </w:rPr>
              <w:t>植物基因工程</w:t>
            </w:r>
          </w:p>
        </w:tc>
      </w:tr>
      <w:tr w:rsidR="00F5289E" w14:paraId="69634971" w14:textId="77777777">
        <w:tc>
          <w:tcPr>
            <w:tcW w:w="1666" w:type="pct"/>
          </w:tcPr>
          <w:p w14:paraId="6FF20EDA"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李志谦、王小贝、张海朋等</w:t>
            </w:r>
          </w:p>
        </w:tc>
        <w:tc>
          <w:tcPr>
            <w:tcW w:w="1453" w:type="pct"/>
          </w:tcPr>
          <w:p w14:paraId="3430A7A0"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谭彬</w:t>
            </w:r>
          </w:p>
        </w:tc>
        <w:tc>
          <w:tcPr>
            <w:tcW w:w="1881" w:type="pct"/>
          </w:tcPr>
          <w:p w14:paraId="499B644A"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210556BC" w14:textId="77777777" w:rsidR="00F5289E" w:rsidRDefault="00F5289E">
      <w:pPr>
        <w:widowControl/>
        <w:snapToGrid w:val="0"/>
        <w:spacing w:line="360" w:lineRule="auto"/>
        <w:jc w:val="left"/>
        <w:rPr>
          <w:rFonts w:hAnsi="宋体"/>
          <w:b/>
          <w:bCs/>
          <w:kern w:val="0"/>
          <w:szCs w:val="21"/>
        </w:rPr>
      </w:pPr>
    </w:p>
    <w:p w14:paraId="64DD263D" w14:textId="77777777" w:rsidR="00F5289E" w:rsidRDefault="00C91173">
      <w:pPr>
        <w:widowControl/>
        <w:snapToGrid w:val="0"/>
        <w:spacing w:line="360" w:lineRule="auto"/>
        <w:jc w:val="left"/>
        <w:rPr>
          <w:rFonts w:hAnsi="宋体"/>
          <w:bCs/>
          <w:color w:val="0000FF"/>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310D7FE" w14:textId="77777777" w:rsidR="00F5289E" w:rsidRDefault="00C91173">
      <w:pPr>
        <w:spacing w:line="360" w:lineRule="auto"/>
        <w:ind w:firstLineChars="200" w:firstLine="420"/>
        <w:rPr>
          <w:bCs/>
          <w:kern w:val="0"/>
          <w:szCs w:val="21"/>
        </w:rPr>
      </w:pPr>
      <w:r>
        <w:rPr>
          <w:bCs/>
          <w:kern w:val="0"/>
          <w:szCs w:val="21"/>
        </w:rPr>
        <w:t>园艺植物生物技术是园艺专业学生的专业课，为核心课程。该课程是应用现代生物技术有关基本原理和方法，在个体、细胞、分子水平上研究、评价和改造园艺植物遗传特性的有关理论和技术的科学。要求学生通过本课程的学习，了解现代生物技术的发展概况和趋势，掌握园艺植物组织培养、细胞培养与体细胞杂交、脱毒快繁、</w:t>
      </w:r>
      <w:r>
        <w:rPr>
          <w:bCs/>
          <w:kern w:val="0"/>
          <w:szCs w:val="21"/>
        </w:rPr>
        <w:t>DNA</w:t>
      </w:r>
      <w:r>
        <w:rPr>
          <w:bCs/>
          <w:kern w:val="0"/>
          <w:szCs w:val="21"/>
        </w:rPr>
        <w:t>分子标记、基因克隆以及遗传转化的基本原理和技术，为从事园艺植物生物技术相关研究及其产业应用奠定良好的理论和技术基础。</w:t>
      </w:r>
    </w:p>
    <w:p w14:paraId="083AD8FC"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54A2E761"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bCs/>
          <w:kern w:val="0"/>
          <w:szCs w:val="21"/>
        </w:rPr>
        <w:t>（</w:t>
      </w:r>
      <w:r>
        <w:rPr>
          <w:bCs/>
          <w:kern w:val="0"/>
          <w:szCs w:val="21"/>
        </w:rPr>
        <w:t>1</w:t>
      </w:r>
      <w:r>
        <w:rPr>
          <w:bCs/>
          <w:kern w:val="0"/>
          <w:szCs w:val="21"/>
        </w:rPr>
        <w:t>）系统地掌握园艺植物生物技术的研究历史和发展趋势，明确园艺植物生物技术的任务及其与其他学科的关系，</w:t>
      </w:r>
      <w:r>
        <w:rPr>
          <w:kern w:val="0"/>
          <w:szCs w:val="21"/>
        </w:rPr>
        <w:t>使学生了解本课程在本专业中的地位；</w:t>
      </w:r>
      <w:r>
        <w:rPr>
          <w:bCs/>
          <w:kern w:val="0"/>
          <w:szCs w:val="21"/>
        </w:rPr>
        <w:t>（</w:t>
      </w:r>
      <w:r>
        <w:rPr>
          <w:bCs/>
          <w:kern w:val="0"/>
          <w:szCs w:val="21"/>
        </w:rPr>
        <w:t>2</w:t>
      </w:r>
      <w:r>
        <w:rPr>
          <w:bCs/>
          <w:kern w:val="0"/>
          <w:szCs w:val="21"/>
        </w:rPr>
        <w:t>）明确</w:t>
      </w:r>
      <w:r>
        <w:rPr>
          <w:kern w:val="0"/>
          <w:szCs w:val="21"/>
        </w:rPr>
        <w:t>组织培养的基本原理和技术，掌握细胞培养、体细胞杂交、脱毒快繁的原理和方法，了解这些方法在园艺植物研究中的应用；（</w:t>
      </w:r>
      <w:r>
        <w:rPr>
          <w:kern w:val="0"/>
          <w:szCs w:val="21"/>
        </w:rPr>
        <w:t>3</w:t>
      </w:r>
      <w:r>
        <w:rPr>
          <w:kern w:val="0"/>
          <w:szCs w:val="21"/>
        </w:rPr>
        <w:t>）了解基因分离克隆、遗传转化等知识，掌握转基因技术在园艺植物育种中的应用，为进一步开展园艺植物生物技术相关研究与应用奠定基础；（</w:t>
      </w:r>
      <w:r>
        <w:rPr>
          <w:kern w:val="0"/>
          <w:szCs w:val="21"/>
        </w:rPr>
        <w:t>4</w:t>
      </w:r>
      <w:r>
        <w:rPr>
          <w:kern w:val="0"/>
          <w:szCs w:val="21"/>
        </w:rPr>
        <w:t>）了解分子标记技术的类别、原理及特点，及其在园艺植物研究中的应用。</w:t>
      </w:r>
    </w:p>
    <w:p w14:paraId="0893580C" w14:textId="77777777" w:rsidR="00F5289E" w:rsidRDefault="00C91173">
      <w:pPr>
        <w:widowControl/>
        <w:snapToGrid w:val="0"/>
        <w:spacing w:line="360" w:lineRule="auto"/>
        <w:ind w:firstLineChars="200" w:firstLine="420"/>
        <w:jc w:val="left"/>
        <w:rPr>
          <w:bCs/>
          <w:kern w:val="0"/>
          <w:szCs w:val="21"/>
        </w:rPr>
      </w:pPr>
      <w:r>
        <w:rPr>
          <w:rFonts w:hint="eastAsia"/>
          <w:kern w:val="0"/>
          <w:szCs w:val="21"/>
        </w:rPr>
        <w:t>2.</w:t>
      </w:r>
      <w:r>
        <w:rPr>
          <w:rFonts w:hAnsi="宋体"/>
          <w:kern w:val="0"/>
          <w:szCs w:val="21"/>
        </w:rPr>
        <w:t>实验技能方面：</w:t>
      </w:r>
      <w:r>
        <w:rPr>
          <w:bCs/>
          <w:kern w:val="0"/>
          <w:szCs w:val="21"/>
        </w:rPr>
        <w:t>（</w:t>
      </w:r>
      <w:r>
        <w:rPr>
          <w:bCs/>
          <w:kern w:val="0"/>
          <w:szCs w:val="21"/>
        </w:rPr>
        <w:t>1</w:t>
      </w:r>
      <w:r>
        <w:rPr>
          <w:bCs/>
          <w:kern w:val="0"/>
          <w:szCs w:val="21"/>
        </w:rPr>
        <w:t>）掌握</w:t>
      </w:r>
      <w:r>
        <w:rPr>
          <w:kern w:val="0"/>
          <w:szCs w:val="21"/>
        </w:rPr>
        <w:t>现代生物技术实验室设置与仪器使用方法；</w:t>
      </w:r>
      <w:r>
        <w:rPr>
          <w:bCs/>
          <w:kern w:val="0"/>
          <w:szCs w:val="21"/>
        </w:rPr>
        <w:t>（</w:t>
      </w:r>
      <w:r>
        <w:rPr>
          <w:bCs/>
          <w:kern w:val="0"/>
          <w:szCs w:val="21"/>
        </w:rPr>
        <w:t>2</w:t>
      </w:r>
      <w:r>
        <w:rPr>
          <w:bCs/>
          <w:kern w:val="0"/>
          <w:szCs w:val="21"/>
        </w:rPr>
        <w:t>）掌握</w:t>
      </w:r>
      <w:r>
        <w:rPr>
          <w:rFonts w:hint="eastAsia"/>
          <w:bCs/>
          <w:kern w:val="0"/>
          <w:szCs w:val="21"/>
        </w:rPr>
        <w:t>外植体的</w:t>
      </w:r>
      <w:r>
        <w:rPr>
          <w:bCs/>
          <w:kern w:val="0"/>
          <w:szCs w:val="21"/>
        </w:rPr>
        <w:t>消毒与接种技术；（</w:t>
      </w:r>
      <w:r>
        <w:rPr>
          <w:bCs/>
          <w:kern w:val="0"/>
          <w:szCs w:val="21"/>
        </w:rPr>
        <w:t>3</w:t>
      </w:r>
      <w:r>
        <w:rPr>
          <w:bCs/>
          <w:kern w:val="0"/>
          <w:szCs w:val="21"/>
        </w:rPr>
        <w:t>）掌握</w:t>
      </w:r>
      <w:r>
        <w:rPr>
          <w:rFonts w:hint="eastAsia"/>
          <w:bCs/>
          <w:kern w:val="0"/>
          <w:szCs w:val="21"/>
        </w:rPr>
        <w:t>质粒</w:t>
      </w:r>
      <w:r>
        <w:rPr>
          <w:rFonts w:hint="eastAsia"/>
          <w:bCs/>
          <w:kern w:val="0"/>
          <w:szCs w:val="21"/>
        </w:rPr>
        <w:t>DNA</w:t>
      </w:r>
      <w:r>
        <w:rPr>
          <w:rFonts w:hint="eastAsia"/>
          <w:bCs/>
          <w:kern w:val="0"/>
          <w:szCs w:val="21"/>
        </w:rPr>
        <w:t>的限制性内切酶酶切及电泳检测</w:t>
      </w:r>
      <w:r>
        <w:rPr>
          <w:bCs/>
          <w:kern w:val="0"/>
          <w:szCs w:val="21"/>
        </w:rPr>
        <w:t>。</w:t>
      </w:r>
    </w:p>
    <w:p w14:paraId="17A575BD" w14:textId="77777777" w:rsidR="00F5289E" w:rsidRDefault="00F5289E">
      <w:pPr>
        <w:widowControl/>
        <w:snapToGrid w:val="0"/>
        <w:spacing w:line="360" w:lineRule="auto"/>
        <w:ind w:firstLineChars="200" w:firstLine="420"/>
        <w:jc w:val="left"/>
        <w:rPr>
          <w:rFonts w:hAnsi="宋体"/>
          <w:bCs/>
          <w:color w:val="0000FF"/>
          <w:kern w:val="0"/>
          <w:szCs w:val="21"/>
        </w:rPr>
      </w:pPr>
    </w:p>
    <w:p w14:paraId="41A2A209"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172F0CF6" w14:textId="77777777" w:rsidR="00F5289E" w:rsidRDefault="00C91173">
      <w:pPr>
        <w:spacing w:line="360" w:lineRule="auto"/>
        <w:ind w:firstLineChars="200" w:firstLine="420"/>
        <w:rPr>
          <w:rFonts w:hAnsi="宋体"/>
          <w:bCs/>
          <w:kern w:val="0"/>
          <w:szCs w:val="21"/>
        </w:rPr>
      </w:pPr>
      <w:r>
        <w:rPr>
          <w:rFonts w:hAnsi="宋体" w:hint="eastAsia"/>
          <w:bCs/>
          <w:kern w:val="0"/>
          <w:szCs w:val="21"/>
        </w:rPr>
        <w:lastRenderedPageBreak/>
        <w:t>1.</w:t>
      </w:r>
      <w:r>
        <w:rPr>
          <w:rFonts w:hAnsi="宋体" w:hint="eastAsia"/>
          <w:bCs/>
          <w:kern w:val="0"/>
          <w:szCs w:val="21"/>
        </w:rPr>
        <w:t>教学设计说明</w:t>
      </w:r>
    </w:p>
    <w:p w14:paraId="0310FD1B" w14:textId="77777777" w:rsidR="00F5289E" w:rsidRDefault="00C91173">
      <w:pPr>
        <w:widowControl/>
        <w:snapToGrid w:val="0"/>
        <w:spacing w:line="360" w:lineRule="auto"/>
        <w:ind w:firstLineChars="200" w:firstLine="420"/>
        <w:jc w:val="left"/>
        <w:rPr>
          <w:bCs/>
          <w:kern w:val="0"/>
          <w:szCs w:val="21"/>
        </w:rPr>
      </w:pPr>
      <w:r>
        <w:rPr>
          <w:bCs/>
          <w:kern w:val="0"/>
          <w:szCs w:val="21"/>
        </w:rPr>
        <w:t>园艺植物生物技术系统讲述了现代生物技术研究中常用的方法与技术在园艺植物中的应用及其发展趋势，重点讲述了体细胞培养和杂交、植物组织培养、基因克隆、分子标记和植物转基因技术，根据教学内容精心设计</w:t>
      </w:r>
      <w:r>
        <w:rPr>
          <w:rFonts w:hint="eastAsia"/>
          <w:bCs/>
          <w:kern w:val="0"/>
          <w:szCs w:val="21"/>
        </w:rPr>
        <w:t>实</w:t>
      </w:r>
      <w:r>
        <w:rPr>
          <w:bCs/>
          <w:kern w:val="0"/>
          <w:szCs w:val="21"/>
        </w:rPr>
        <w:t>验环节，期望学生通过理论学习和</w:t>
      </w:r>
      <w:r>
        <w:rPr>
          <w:rFonts w:hint="eastAsia"/>
          <w:bCs/>
          <w:kern w:val="0"/>
          <w:szCs w:val="21"/>
        </w:rPr>
        <w:t>实</w:t>
      </w:r>
      <w:r>
        <w:rPr>
          <w:bCs/>
          <w:kern w:val="0"/>
          <w:szCs w:val="21"/>
        </w:rPr>
        <w:t>验操作，掌握园艺植物生物技术研究中常用的方法，为从事园艺植物生物技术相关研究及其产业应用奠定良好的理论和技术基础。</w:t>
      </w:r>
    </w:p>
    <w:p w14:paraId="3DCAB014"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5661"/>
        <w:gridCol w:w="2237"/>
      </w:tblGrid>
      <w:tr w:rsidR="00F5289E" w14:paraId="11E58C1C"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D1BCBF"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56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042AED3"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22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399A69"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511B585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E3CB91B"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5661" w:type="dxa"/>
            <w:tcBorders>
              <w:top w:val="single" w:sz="4" w:space="0" w:color="auto"/>
              <w:left w:val="single" w:sz="4" w:space="0" w:color="auto"/>
              <w:bottom w:val="single" w:sz="4" w:space="0" w:color="auto"/>
              <w:right w:val="single" w:sz="4" w:space="0" w:color="auto"/>
            </w:tcBorders>
            <w:vAlign w:val="center"/>
          </w:tcPr>
          <w:p w14:paraId="6A961DB8" w14:textId="77777777" w:rsidR="00F5289E" w:rsidRDefault="00C91173">
            <w:pPr>
              <w:spacing w:line="320" w:lineRule="exact"/>
              <w:jc w:val="left"/>
              <w:rPr>
                <w:rFonts w:hAnsiTheme="minorEastAsia"/>
                <w:sz w:val="18"/>
                <w:szCs w:val="18"/>
              </w:rPr>
            </w:pPr>
            <w:r>
              <w:rPr>
                <w:rFonts w:hint="eastAsia"/>
                <w:bCs/>
                <w:kern w:val="0"/>
                <w:szCs w:val="21"/>
              </w:rPr>
              <w:t>目标</w:t>
            </w:r>
            <w:r>
              <w:rPr>
                <w:rFonts w:hint="eastAsia"/>
                <w:bCs/>
                <w:kern w:val="0"/>
                <w:szCs w:val="21"/>
              </w:rPr>
              <w:t>1</w:t>
            </w:r>
            <w:r>
              <w:rPr>
                <w:rFonts w:hint="eastAsia"/>
                <w:bCs/>
                <w:kern w:val="0"/>
                <w:szCs w:val="21"/>
              </w:rPr>
              <w:t>：</w:t>
            </w:r>
            <w:r>
              <w:rPr>
                <w:bCs/>
                <w:kern w:val="0"/>
                <w:szCs w:val="21"/>
              </w:rPr>
              <w:t>了解现代生物技术的发展概况和趋势，掌握园艺植物组织培养、细胞培养与体细胞杂交、脱毒快繁、</w:t>
            </w:r>
            <w:r>
              <w:rPr>
                <w:bCs/>
                <w:kern w:val="0"/>
                <w:szCs w:val="21"/>
              </w:rPr>
              <w:t>DNA</w:t>
            </w:r>
            <w:r>
              <w:rPr>
                <w:bCs/>
                <w:kern w:val="0"/>
                <w:szCs w:val="21"/>
              </w:rPr>
              <w:t>分子标记、基因克隆以及遗传转化的基本原理和技术</w:t>
            </w:r>
            <w:r>
              <w:rPr>
                <w:rFonts w:hint="eastAsia"/>
                <w:bCs/>
                <w:kern w:val="0"/>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14:paraId="1BFEFEAD" w14:textId="1D83FBC0" w:rsidR="00F5289E" w:rsidRPr="00343C46" w:rsidRDefault="00C91173" w:rsidP="00343C46">
            <w:pPr>
              <w:widowControl/>
              <w:jc w:val="center"/>
            </w:pPr>
            <w:r w:rsidRPr="00343C46">
              <w:rPr>
                <w:color w:val="000000"/>
                <w:kern w:val="0"/>
                <w:szCs w:val="21"/>
                <w:lang w:bidi="ar"/>
              </w:rPr>
              <w:t>4</w:t>
            </w:r>
          </w:p>
          <w:p w14:paraId="75F84927" w14:textId="302FE911" w:rsidR="00F5289E" w:rsidRPr="00343C46" w:rsidRDefault="00C91173" w:rsidP="00343C46">
            <w:pPr>
              <w:widowControl/>
              <w:jc w:val="center"/>
            </w:pPr>
            <w:r w:rsidRPr="00343C46">
              <w:rPr>
                <w:color w:val="000000"/>
                <w:kern w:val="0"/>
                <w:szCs w:val="21"/>
                <w:lang w:bidi="ar"/>
              </w:rPr>
              <w:t>5</w:t>
            </w:r>
          </w:p>
        </w:tc>
      </w:tr>
      <w:tr w:rsidR="00F5289E" w14:paraId="6184648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1193FDA"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5661" w:type="dxa"/>
            <w:tcBorders>
              <w:top w:val="single" w:sz="4" w:space="0" w:color="auto"/>
              <w:left w:val="single" w:sz="4" w:space="0" w:color="auto"/>
              <w:bottom w:val="single" w:sz="4" w:space="0" w:color="auto"/>
              <w:right w:val="single" w:sz="4" w:space="0" w:color="auto"/>
            </w:tcBorders>
            <w:vAlign w:val="center"/>
          </w:tcPr>
          <w:p w14:paraId="60B348CA" w14:textId="77777777" w:rsidR="00F5289E" w:rsidRDefault="00C91173">
            <w:pPr>
              <w:spacing w:line="320" w:lineRule="exact"/>
              <w:jc w:val="left"/>
              <w:rPr>
                <w:rFonts w:hAnsiTheme="minorEastAsia"/>
                <w:color w:val="0000FF"/>
                <w:sz w:val="18"/>
                <w:szCs w:val="18"/>
                <w:highlight w:val="yellow"/>
              </w:rPr>
            </w:pPr>
            <w:r>
              <w:rPr>
                <w:rFonts w:hint="eastAsia"/>
                <w:bCs/>
                <w:kern w:val="0"/>
                <w:szCs w:val="21"/>
              </w:rPr>
              <w:t>目标</w:t>
            </w:r>
            <w:r>
              <w:rPr>
                <w:rFonts w:hint="eastAsia"/>
                <w:bCs/>
                <w:kern w:val="0"/>
                <w:szCs w:val="21"/>
              </w:rPr>
              <w:t>2</w:t>
            </w:r>
            <w:r>
              <w:rPr>
                <w:rFonts w:hint="eastAsia"/>
                <w:bCs/>
                <w:kern w:val="0"/>
                <w:szCs w:val="21"/>
              </w:rPr>
              <w:t>：</w:t>
            </w:r>
            <w:r>
              <w:rPr>
                <w:bCs/>
                <w:kern w:val="0"/>
                <w:szCs w:val="21"/>
              </w:rPr>
              <w:t>掌握园艺植物生物技术研究中常用的方法与技术在园艺植物中的应用及其发展趋势</w:t>
            </w:r>
            <w:r>
              <w:rPr>
                <w:rFonts w:hint="eastAsia"/>
                <w:bCs/>
                <w:kern w:val="0"/>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14:paraId="0BCD6AE0" w14:textId="77777777" w:rsidR="00343C46" w:rsidRPr="00343C46" w:rsidRDefault="00C91173" w:rsidP="00343C46">
            <w:pPr>
              <w:widowControl/>
              <w:jc w:val="center"/>
              <w:rPr>
                <w:color w:val="000000"/>
                <w:kern w:val="0"/>
                <w:szCs w:val="21"/>
                <w:lang w:bidi="ar"/>
              </w:rPr>
            </w:pPr>
            <w:r w:rsidRPr="00343C46">
              <w:rPr>
                <w:color w:val="000000"/>
                <w:kern w:val="0"/>
                <w:szCs w:val="21"/>
                <w:lang w:bidi="ar"/>
              </w:rPr>
              <w:t>6</w:t>
            </w:r>
          </w:p>
          <w:p w14:paraId="58FC48DE" w14:textId="4A181CCE" w:rsidR="00F5289E" w:rsidRPr="00343C46" w:rsidRDefault="00C91173" w:rsidP="00343C46">
            <w:pPr>
              <w:widowControl/>
              <w:jc w:val="center"/>
              <w:rPr>
                <w:rFonts w:eastAsiaTheme="minorEastAsia"/>
                <w:color w:val="0000FF"/>
                <w:sz w:val="18"/>
                <w:szCs w:val="18"/>
              </w:rPr>
            </w:pPr>
            <w:r w:rsidRPr="00343C46">
              <w:rPr>
                <w:color w:val="000000"/>
                <w:kern w:val="0"/>
                <w:szCs w:val="21"/>
                <w:lang w:bidi="ar"/>
              </w:rPr>
              <w:t>9</w:t>
            </w:r>
          </w:p>
        </w:tc>
      </w:tr>
      <w:tr w:rsidR="00F5289E" w14:paraId="1DBF80B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F11A739" w14:textId="77777777" w:rsidR="00F5289E" w:rsidRDefault="00C91173">
            <w:pPr>
              <w:spacing w:line="320" w:lineRule="exact"/>
              <w:jc w:val="center"/>
              <w:rPr>
                <w:rFonts w:eastAsiaTheme="minorEastAsia"/>
                <w:sz w:val="18"/>
                <w:szCs w:val="18"/>
              </w:rPr>
            </w:pPr>
            <w:r>
              <w:rPr>
                <w:rFonts w:eastAsiaTheme="minorEastAsia" w:hint="eastAsia"/>
                <w:sz w:val="18"/>
                <w:szCs w:val="18"/>
              </w:rPr>
              <w:t>3</w:t>
            </w:r>
          </w:p>
        </w:tc>
        <w:tc>
          <w:tcPr>
            <w:tcW w:w="5661" w:type="dxa"/>
            <w:tcBorders>
              <w:top w:val="single" w:sz="4" w:space="0" w:color="auto"/>
              <w:left w:val="single" w:sz="4" w:space="0" w:color="auto"/>
              <w:bottom w:val="single" w:sz="4" w:space="0" w:color="auto"/>
              <w:right w:val="single" w:sz="4" w:space="0" w:color="auto"/>
            </w:tcBorders>
            <w:vAlign w:val="center"/>
          </w:tcPr>
          <w:p w14:paraId="53490C2C" w14:textId="77777777" w:rsidR="00F5289E" w:rsidRDefault="00C91173">
            <w:pPr>
              <w:spacing w:line="320" w:lineRule="exact"/>
              <w:jc w:val="left"/>
              <w:rPr>
                <w:rFonts w:hAnsiTheme="minorEastAsia"/>
                <w:color w:val="0000FF"/>
                <w:sz w:val="18"/>
                <w:szCs w:val="18"/>
                <w:highlight w:val="yellow"/>
              </w:rPr>
            </w:pPr>
            <w:r>
              <w:rPr>
                <w:rFonts w:hint="eastAsia"/>
                <w:bCs/>
                <w:kern w:val="0"/>
                <w:szCs w:val="21"/>
              </w:rPr>
              <w:t>目标</w:t>
            </w:r>
            <w:r>
              <w:rPr>
                <w:rFonts w:hint="eastAsia"/>
                <w:bCs/>
                <w:kern w:val="0"/>
                <w:szCs w:val="21"/>
              </w:rPr>
              <w:t>3</w:t>
            </w:r>
            <w:r>
              <w:rPr>
                <w:rFonts w:hint="eastAsia"/>
                <w:bCs/>
                <w:kern w:val="0"/>
                <w:szCs w:val="21"/>
              </w:rPr>
              <w:t>：</w:t>
            </w:r>
            <w:r>
              <w:rPr>
                <w:bCs/>
                <w:kern w:val="0"/>
                <w:szCs w:val="21"/>
              </w:rPr>
              <w:t>为从事园艺植物生物技术相关研究及其产业应用奠定良好的理论和技术基础</w:t>
            </w:r>
            <w:r>
              <w:rPr>
                <w:rFonts w:hint="eastAsia"/>
                <w:bCs/>
                <w:kern w:val="0"/>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14:paraId="3464E55A" w14:textId="24CAC267" w:rsidR="00343C46" w:rsidRPr="00343C46" w:rsidRDefault="00C91173" w:rsidP="00343C46">
            <w:pPr>
              <w:spacing w:line="320" w:lineRule="exact"/>
              <w:jc w:val="center"/>
              <w:rPr>
                <w:color w:val="000000"/>
                <w:kern w:val="0"/>
                <w:szCs w:val="21"/>
                <w:lang w:bidi="ar"/>
              </w:rPr>
            </w:pPr>
            <w:r w:rsidRPr="00343C46">
              <w:rPr>
                <w:color w:val="000000"/>
                <w:kern w:val="0"/>
                <w:szCs w:val="21"/>
                <w:lang w:bidi="ar"/>
              </w:rPr>
              <w:t>6</w:t>
            </w:r>
          </w:p>
        </w:tc>
      </w:tr>
    </w:tbl>
    <w:p w14:paraId="56B9D035" w14:textId="77777777" w:rsidR="00F5289E" w:rsidRDefault="00F5289E">
      <w:pPr>
        <w:spacing w:line="360" w:lineRule="auto"/>
        <w:ind w:firstLineChars="200" w:firstLine="420"/>
        <w:rPr>
          <w:rFonts w:hAnsi="宋体"/>
          <w:bCs/>
          <w:color w:val="0000FF"/>
          <w:kern w:val="0"/>
          <w:szCs w:val="21"/>
        </w:rPr>
      </w:pPr>
    </w:p>
    <w:p w14:paraId="31757864"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24</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07735D93" w14:textId="77777777">
        <w:trPr>
          <w:trHeight w:val="270"/>
        </w:trPr>
        <w:tc>
          <w:tcPr>
            <w:tcW w:w="2965" w:type="dxa"/>
            <w:tcBorders>
              <w:top w:val="nil"/>
              <w:left w:val="nil"/>
              <w:bottom w:val="nil"/>
              <w:right w:val="nil"/>
            </w:tcBorders>
            <w:vAlign w:val="center"/>
          </w:tcPr>
          <w:p w14:paraId="029866D4"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2BAD85F8"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3AF9425B"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FD992F0" w14:textId="77777777" w:rsidR="00F5289E" w:rsidRDefault="00C91173">
      <w:pPr>
        <w:widowControl/>
        <w:adjustRightInd w:val="0"/>
        <w:snapToGrid w:val="0"/>
        <w:spacing w:line="360" w:lineRule="auto"/>
        <w:jc w:val="left"/>
        <w:rPr>
          <w:b/>
          <w:bCs/>
        </w:rPr>
      </w:pPr>
      <w:r>
        <w:rPr>
          <w:b/>
          <w:bCs/>
        </w:rPr>
        <w:t>教学目标：</w:t>
      </w:r>
      <w:r>
        <w:rPr>
          <w:bCs/>
        </w:rPr>
        <w:t>了解生物技术在园艺植物中的应用，及园艺植物生物技术的研究内容，掌握生物技术的概念。</w:t>
      </w:r>
    </w:p>
    <w:p w14:paraId="08E6E66B" w14:textId="77777777" w:rsidR="00F5289E" w:rsidRDefault="00C91173">
      <w:pPr>
        <w:widowControl/>
        <w:snapToGrid w:val="0"/>
        <w:spacing w:line="360" w:lineRule="auto"/>
        <w:rPr>
          <w:b/>
          <w:bCs/>
          <w:kern w:val="0"/>
          <w:szCs w:val="21"/>
        </w:rPr>
      </w:pPr>
      <w:r>
        <w:rPr>
          <w:b/>
          <w:bCs/>
        </w:rPr>
        <w:t>教学重点和难点：</w:t>
      </w:r>
      <w:r>
        <w:rPr>
          <w:bCs/>
        </w:rPr>
        <w:t>生物技术的概念、基因工程技术。</w:t>
      </w:r>
    </w:p>
    <w:p w14:paraId="1D2259A2" w14:textId="77777777" w:rsidR="00F5289E" w:rsidRDefault="00C91173">
      <w:pPr>
        <w:widowControl/>
        <w:adjustRightInd w:val="0"/>
        <w:snapToGrid w:val="0"/>
        <w:spacing w:line="360" w:lineRule="auto"/>
        <w:jc w:val="left"/>
        <w:rPr>
          <w:b/>
        </w:rPr>
      </w:pPr>
      <w:r>
        <w:rPr>
          <w:b/>
        </w:rPr>
        <w:t>主要教学内容及要求：</w:t>
      </w:r>
    </w:p>
    <w:p w14:paraId="49D56F9F" w14:textId="77777777" w:rsidR="00F5289E" w:rsidRDefault="00C91173">
      <w:pPr>
        <w:widowControl/>
        <w:adjustRightInd w:val="0"/>
        <w:snapToGrid w:val="0"/>
        <w:spacing w:line="360" w:lineRule="auto"/>
        <w:ind w:firstLineChars="200" w:firstLine="422"/>
        <w:jc w:val="left"/>
        <w:rPr>
          <w:b/>
        </w:rPr>
      </w:pPr>
      <w:r>
        <w:rPr>
          <w:b/>
        </w:rPr>
        <w:t>了解：</w:t>
      </w:r>
      <w:r>
        <w:rPr>
          <w:bCs/>
        </w:rPr>
        <w:t>了解生物技术在园艺植物中的应用，及园艺植物生物技术的研究内容；课程要求与安排。</w:t>
      </w:r>
    </w:p>
    <w:p w14:paraId="1C280373" w14:textId="77777777" w:rsidR="00F5289E" w:rsidRDefault="00C91173">
      <w:pPr>
        <w:widowControl/>
        <w:adjustRightInd w:val="0"/>
        <w:snapToGrid w:val="0"/>
        <w:spacing w:line="360" w:lineRule="auto"/>
        <w:ind w:firstLineChars="200" w:firstLine="422"/>
        <w:jc w:val="left"/>
      </w:pPr>
      <w:r>
        <w:rPr>
          <w:b/>
        </w:rPr>
        <w:t>理解：</w:t>
      </w:r>
      <w:r>
        <w:t>生物技术对园艺科学发展的贡献。</w:t>
      </w:r>
    </w:p>
    <w:p w14:paraId="461920B4" w14:textId="77777777" w:rsidR="00F5289E" w:rsidRDefault="00C91173">
      <w:pPr>
        <w:widowControl/>
        <w:adjustRightInd w:val="0"/>
        <w:snapToGrid w:val="0"/>
        <w:spacing w:line="360" w:lineRule="auto"/>
        <w:ind w:firstLineChars="200" w:firstLine="422"/>
        <w:jc w:val="left"/>
      </w:pPr>
      <w:r>
        <w:rPr>
          <w:b/>
        </w:rPr>
        <w:t>掌握：</w:t>
      </w:r>
      <w:r>
        <w:t>基因工程的概念。</w:t>
      </w:r>
    </w:p>
    <w:p w14:paraId="4D086FA2" w14:textId="77777777" w:rsidR="00F5289E" w:rsidRDefault="00C91173">
      <w:pPr>
        <w:widowControl/>
        <w:adjustRightInd w:val="0"/>
        <w:snapToGrid w:val="0"/>
        <w:spacing w:line="360" w:lineRule="auto"/>
        <w:ind w:firstLineChars="200" w:firstLine="422"/>
        <w:jc w:val="left"/>
        <w:rPr>
          <w:b/>
        </w:rPr>
      </w:pPr>
      <w:r>
        <w:rPr>
          <w:b/>
        </w:rPr>
        <w:t>熟练掌握：</w:t>
      </w:r>
      <w:r>
        <w:t>生物技术的概念。</w:t>
      </w:r>
    </w:p>
    <w:p w14:paraId="57AF7650" w14:textId="77777777" w:rsidR="00F5289E" w:rsidRDefault="00C91173">
      <w:pPr>
        <w:widowControl/>
        <w:adjustRightInd w:val="0"/>
        <w:snapToGrid w:val="0"/>
        <w:spacing w:line="360" w:lineRule="auto"/>
        <w:jc w:val="left"/>
        <w:rPr>
          <w:bCs/>
          <w:kern w:val="0"/>
          <w:szCs w:val="21"/>
        </w:rPr>
      </w:pPr>
      <w:r>
        <w:rPr>
          <w:b/>
          <w:bCs/>
          <w:kern w:val="0"/>
          <w:szCs w:val="21"/>
        </w:rPr>
        <w:t>教学组织与实施：</w:t>
      </w:r>
      <w:r>
        <w:rPr>
          <w:bCs/>
          <w:kern w:val="0"/>
          <w:szCs w:val="21"/>
        </w:rPr>
        <w:t>通过课堂教学，结合大量图片资料和实例介绍生物技术在对园艺科学的贡献及植物生物技术的主要研究内容；通过现代生物技术实验室参观与仪器使用方法讲解，让学生对生物技术相关概念和仪器有进一步的理解。</w:t>
      </w:r>
    </w:p>
    <w:p w14:paraId="015ABA73" w14:textId="77777777" w:rsidR="00F5289E" w:rsidRDefault="00F5289E">
      <w:pPr>
        <w:widowControl/>
        <w:snapToGrid w:val="0"/>
        <w:spacing w:line="360" w:lineRule="auto"/>
        <w:ind w:firstLineChars="200" w:firstLine="422"/>
        <w:rPr>
          <w:rFonts w:hAnsi="宋体"/>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834"/>
        <w:gridCol w:w="3162"/>
        <w:gridCol w:w="2900"/>
      </w:tblGrid>
      <w:tr w:rsidR="00F5289E" w14:paraId="5EC26DB4" w14:textId="77777777">
        <w:trPr>
          <w:trHeight w:val="270"/>
        </w:trPr>
        <w:tc>
          <w:tcPr>
            <w:tcW w:w="2834" w:type="dxa"/>
            <w:tcBorders>
              <w:top w:val="nil"/>
              <w:left w:val="nil"/>
              <w:bottom w:val="nil"/>
              <w:right w:val="nil"/>
            </w:tcBorders>
            <w:vAlign w:val="center"/>
          </w:tcPr>
          <w:p w14:paraId="10AF8A06" w14:textId="77777777" w:rsidR="00F5289E" w:rsidRDefault="00F5289E">
            <w:pPr>
              <w:widowControl/>
              <w:snapToGrid w:val="0"/>
              <w:spacing w:line="360" w:lineRule="auto"/>
              <w:jc w:val="center"/>
              <w:rPr>
                <w:rFonts w:hAnsi="宋体"/>
                <w:b/>
                <w:bCs/>
                <w:kern w:val="0"/>
                <w:szCs w:val="21"/>
              </w:rPr>
            </w:pPr>
          </w:p>
        </w:tc>
        <w:tc>
          <w:tcPr>
            <w:tcW w:w="3162" w:type="dxa"/>
            <w:tcBorders>
              <w:top w:val="nil"/>
              <w:left w:val="nil"/>
              <w:bottom w:val="nil"/>
              <w:right w:val="nil"/>
            </w:tcBorders>
            <w:vAlign w:val="center"/>
          </w:tcPr>
          <w:p w14:paraId="394EBD28"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第一章</w:t>
            </w:r>
            <w:r>
              <w:rPr>
                <w:rFonts w:hint="eastAsia"/>
                <w:b/>
                <w:bCs/>
                <w:kern w:val="0"/>
                <w:szCs w:val="21"/>
              </w:rPr>
              <w:t xml:space="preserve">  </w:t>
            </w:r>
            <w:r>
              <w:rPr>
                <w:b/>
                <w:szCs w:val="21"/>
              </w:rPr>
              <w:t>植物组织与细胞培养术</w:t>
            </w:r>
          </w:p>
        </w:tc>
        <w:tc>
          <w:tcPr>
            <w:tcW w:w="2900" w:type="dxa"/>
            <w:tcBorders>
              <w:top w:val="nil"/>
              <w:left w:val="nil"/>
              <w:bottom w:val="nil"/>
              <w:right w:val="nil"/>
            </w:tcBorders>
            <w:vAlign w:val="center"/>
          </w:tcPr>
          <w:p w14:paraId="1CBB769F"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3F77837" w14:textId="77777777" w:rsidR="00F5289E" w:rsidRDefault="00C91173">
      <w:pPr>
        <w:widowControl/>
        <w:snapToGrid w:val="0"/>
        <w:spacing w:line="360" w:lineRule="auto"/>
        <w:rPr>
          <w:rFonts w:hAnsi="宋体"/>
          <w:b/>
          <w:bCs/>
          <w:kern w:val="0"/>
          <w:szCs w:val="21"/>
        </w:rPr>
      </w:pPr>
      <w:r>
        <w:rPr>
          <w:rFonts w:ascii="宋体" w:hAnsi="宋体" w:hint="eastAsia"/>
          <w:b/>
          <w:bCs/>
        </w:rPr>
        <w:lastRenderedPageBreak/>
        <w:t>教学目标：</w:t>
      </w:r>
      <w:r>
        <w:rPr>
          <w:szCs w:val="21"/>
        </w:rPr>
        <w:t>了解组织培养技术的发展简史，组织培养室的设置和相关仪器设备，掌握组织培养的理论基础，培养基的种类和配制方式。</w:t>
      </w:r>
    </w:p>
    <w:p w14:paraId="27CBD06A"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szCs w:val="21"/>
        </w:rPr>
        <w:t>生物技术的概念、基因工程技术、细胞全能性、植物器官培养与快繁技术、</w:t>
      </w:r>
      <w:r>
        <w:rPr>
          <w:bCs/>
        </w:rPr>
        <w:t>花培技术和体细胞无性系变异</w:t>
      </w:r>
      <w:r>
        <w:rPr>
          <w:szCs w:val="21"/>
        </w:rPr>
        <w:t>。</w:t>
      </w:r>
    </w:p>
    <w:p w14:paraId="510744B4" w14:textId="77777777" w:rsidR="00F5289E" w:rsidRDefault="00C91173">
      <w:pPr>
        <w:spacing w:line="360" w:lineRule="auto"/>
        <w:ind w:firstLineChars="200" w:firstLine="422"/>
        <w:rPr>
          <w:rFonts w:ascii="宋体" w:hAnsi="宋体"/>
          <w:b/>
        </w:rPr>
      </w:pPr>
      <w:r>
        <w:rPr>
          <w:rFonts w:ascii="宋体" w:hAnsi="宋体" w:hint="eastAsia"/>
          <w:b/>
        </w:rPr>
        <w:t>主要教学内容及要求：</w:t>
      </w:r>
    </w:p>
    <w:p w14:paraId="1EE39133" w14:textId="77777777" w:rsidR="00F5289E" w:rsidRDefault="00C91173">
      <w:pPr>
        <w:spacing w:line="360" w:lineRule="auto"/>
        <w:ind w:firstLineChars="200" w:firstLine="422"/>
        <w:rPr>
          <w:szCs w:val="21"/>
        </w:rPr>
      </w:pPr>
      <w:r>
        <w:rPr>
          <w:b/>
          <w:szCs w:val="21"/>
        </w:rPr>
        <w:t>了解：</w:t>
      </w:r>
      <w:r>
        <w:rPr>
          <w:szCs w:val="21"/>
        </w:rPr>
        <w:t>了解组织培养技术的发展简史，组织培养室的设置和相关仪器设备，掌握组织培养的理论基础，培养基的种类和配制方式。</w:t>
      </w:r>
    </w:p>
    <w:p w14:paraId="1B4602E8" w14:textId="77777777" w:rsidR="00F5289E" w:rsidRDefault="00C91173">
      <w:pPr>
        <w:spacing w:line="360" w:lineRule="auto"/>
        <w:ind w:firstLineChars="200" w:firstLine="422"/>
        <w:rPr>
          <w:b/>
          <w:szCs w:val="21"/>
        </w:rPr>
      </w:pPr>
      <w:r>
        <w:rPr>
          <w:b/>
          <w:szCs w:val="21"/>
        </w:rPr>
        <w:t>理解：</w:t>
      </w:r>
      <w:r>
        <w:rPr>
          <w:bCs/>
        </w:rPr>
        <w:t>组织培养在科研和生产中的意义</w:t>
      </w:r>
      <w:r>
        <w:rPr>
          <w:szCs w:val="21"/>
        </w:rPr>
        <w:t>；</w:t>
      </w:r>
      <w:r>
        <w:rPr>
          <w:bCs/>
        </w:rPr>
        <w:t>细胞全能性学说及相关概念；体细胞无性系变异的概念；植物器官培养与快繁技术</w:t>
      </w:r>
      <w:r>
        <w:rPr>
          <w:szCs w:val="21"/>
        </w:rPr>
        <w:t>。</w:t>
      </w:r>
    </w:p>
    <w:p w14:paraId="67EA4CA7" w14:textId="77777777" w:rsidR="00F5289E" w:rsidRDefault="00C91173">
      <w:pPr>
        <w:spacing w:line="360" w:lineRule="auto"/>
        <w:ind w:firstLineChars="200" w:firstLine="422"/>
        <w:rPr>
          <w:szCs w:val="21"/>
        </w:rPr>
      </w:pPr>
      <w:r>
        <w:rPr>
          <w:b/>
          <w:szCs w:val="21"/>
        </w:rPr>
        <w:t>掌握：</w:t>
      </w:r>
      <w:r>
        <w:rPr>
          <w:bCs/>
        </w:rPr>
        <w:t>组织培养概念；组织培养技术范畴；组织培养实验室的构造及布局；</w:t>
      </w:r>
      <w:r>
        <w:rPr>
          <w:kern w:val="0"/>
          <w:szCs w:val="21"/>
        </w:rPr>
        <w:t>组织培养相关仪器设备的原理及使用方法</w:t>
      </w:r>
      <w:r>
        <w:rPr>
          <w:szCs w:val="21"/>
        </w:rPr>
        <w:t>。</w:t>
      </w:r>
    </w:p>
    <w:p w14:paraId="228BA2B9" w14:textId="77777777" w:rsidR="00F5289E" w:rsidRDefault="00C91173">
      <w:pPr>
        <w:spacing w:line="360" w:lineRule="auto"/>
        <w:ind w:firstLineChars="200" w:firstLine="422"/>
        <w:rPr>
          <w:bCs/>
        </w:rPr>
      </w:pPr>
      <w:r>
        <w:rPr>
          <w:b/>
          <w:bCs/>
        </w:rPr>
        <w:t>熟练掌握：</w:t>
      </w:r>
      <w:r>
        <w:rPr>
          <w:kern w:val="0"/>
          <w:szCs w:val="21"/>
        </w:rPr>
        <w:t>组织培养有关培养基的种类与特点，及其配制方法；</w:t>
      </w:r>
      <w:r>
        <w:rPr>
          <w:bCs/>
        </w:rPr>
        <w:t>胚胎培养方法；花药、花粉培养方法及单倍体植株再生器官培养与快速繁殖原理与技术。</w:t>
      </w:r>
    </w:p>
    <w:p w14:paraId="61EE56F1" w14:textId="77777777" w:rsidR="00F5289E" w:rsidRDefault="00C91173">
      <w:pPr>
        <w:spacing w:line="360" w:lineRule="auto"/>
        <w:rPr>
          <w:szCs w:val="21"/>
        </w:rPr>
      </w:pPr>
      <w:r>
        <w:rPr>
          <w:szCs w:val="21"/>
        </w:rPr>
        <w:t>第</w:t>
      </w:r>
      <w:r>
        <w:rPr>
          <w:rFonts w:hint="eastAsia"/>
          <w:szCs w:val="21"/>
        </w:rPr>
        <w:t>一</w:t>
      </w:r>
      <w:r>
        <w:rPr>
          <w:szCs w:val="21"/>
        </w:rPr>
        <w:t>节</w:t>
      </w:r>
      <w:r>
        <w:rPr>
          <w:szCs w:val="21"/>
        </w:rPr>
        <w:t xml:space="preserve">  </w:t>
      </w:r>
      <w:r>
        <w:rPr>
          <w:szCs w:val="21"/>
        </w:rPr>
        <w:t>组织培养技术概述</w:t>
      </w:r>
      <w:r>
        <w:rPr>
          <w:szCs w:val="21"/>
        </w:rPr>
        <w:t xml:space="preserve">        </w:t>
      </w:r>
      <w:r>
        <w:rPr>
          <w:bCs/>
          <w:szCs w:val="21"/>
        </w:rPr>
        <w:t>0.5</w:t>
      </w:r>
      <w:r>
        <w:rPr>
          <w:bCs/>
          <w:szCs w:val="21"/>
        </w:rPr>
        <w:t>学时</w:t>
      </w:r>
    </w:p>
    <w:p w14:paraId="0F8A3D30" w14:textId="77777777" w:rsidR="00F5289E" w:rsidRDefault="00C91173">
      <w:pPr>
        <w:widowControl/>
        <w:snapToGrid w:val="0"/>
        <w:spacing w:line="360" w:lineRule="auto"/>
        <w:rPr>
          <w:kern w:val="0"/>
          <w:szCs w:val="21"/>
        </w:rPr>
      </w:pPr>
      <w:r>
        <w:rPr>
          <w:kern w:val="0"/>
          <w:szCs w:val="21"/>
        </w:rPr>
        <w:t>第二节</w:t>
      </w:r>
      <w:r>
        <w:rPr>
          <w:kern w:val="0"/>
          <w:szCs w:val="21"/>
        </w:rPr>
        <w:t xml:space="preserve">  </w:t>
      </w:r>
      <w:r>
        <w:rPr>
          <w:szCs w:val="21"/>
        </w:rPr>
        <w:t>园艺植物组织培养的原理与技术</w:t>
      </w:r>
      <w:r>
        <w:rPr>
          <w:szCs w:val="21"/>
        </w:rPr>
        <w:t xml:space="preserve">             </w:t>
      </w:r>
      <w:r>
        <w:rPr>
          <w:rFonts w:hint="eastAsia"/>
          <w:bCs/>
          <w:szCs w:val="21"/>
        </w:rPr>
        <w:t>0</w:t>
      </w:r>
      <w:r>
        <w:rPr>
          <w:bCs/>
          <w:szCs w:val="21"/>
        </w:rPr>
        <w:t>.5</w:t>
      </w:r>
      <w:r>
        <w:rPr>
          <w:bCs/>
          <w:szCs w:val="21"/>
        </w:rPr>
        <w:t>学时</w:t>
      </w:r>
    </w:p>
    <w:p w14:paraId="455A018D" w14:textId="77777777" w:rsidR="00F5289E" w:rsidRDefault="00C91173">
      <w:pPr>
        <w:widowControl/>
        <w:snapToGrid w:val="0"/>
        <w:spacing w:line="360" w:lineRule="auto"/>
        <w:rPr>
          <w:bCs/>
          <w:szCs w:val="21"/>
        </w:rPr>
      </w:pPr>
      <w:r>
        <w:rPr>
          <w:szCs w:val="21"/>
        </w:rPr>
        <w:t>第三节</w:t>
      </w:r>
      <w:r>
        <w:rPr>
          <w:szCs w:val="21"/>
        </w:rPr>
        <w:t xml:space="preserve">  </w:t>
      </w:r>
      <w:r>
        <w:rPr>
          <w:szCs w:val="21"/>
        </w:rPr>
        <w:t>园艺植物组织培养的应用领域</w:t>
      </w:r>
      <w:r>
        <w:rPr>
          <w:szCs w:val="21"/>
        </w:rPr>
        <w:t xml:space="preserve">             </w:t>
      </w:r>
      <w:r>
        <w:rPr>
          <w:rFonts w:hint="eastAsia"/>
          <w:bCs/>
          <w:szCs w:val="21"/>
        </w:rPr>
        <w:t>1</w:t>
      </w:r>
      <w:r>
        <w:rPr>
          <w:bCs/>
          <w:szCs w:val="21"/>
        </w:rPr>
        <w:t>学时</w:t>
      </w:r>
    </w:p>
    <w:p w14:paraId="28FA5105" w14:textId="77777777" w:rsidR="00F5289E" w:rsidRDefault="00C91173">
      <w:pPr>
        <w:widowControl/>
        <w:snapToGrid w:val="0"/>
        <w:spacing w:line="360" w:lineRule="auto"/>
      </w:pPr>
      <w:r>
        <w:rPr>
          <w:rFonts w:ascii="宋体" w:hAnsi="宋体" w:hint="eastAsia"/>
          <w:b/>
          <w:bCs/>
        </w:rPr>
        <w:t>教学组织与实施：</w:t>
      </w:r>
      <w:r>
        <w:rPr>
          <w:bCs/>
          <w:szCs w:val="21"/>
        </w:rPr>
        <w:t>通过课堂讲授，结合大量图片和实例，</w:t>
      </w:r>
      <w:r>
        <w:t>使学生了解植物组织培养相关的概念和技术要点；通过番茄接种试验，进一步让学生理解组织培养的方法和操作流程。</w:t>
      </w:r>
    </w:p>
    <w:p w14:paraId="2602FBA5" w14:textId="77777777" w:rsidR="00F5289E" w:rsidRDefault="00F5289E">
      <w:pPr>
        <w:widowControl/>
        <w:snapToGrid w:val="0"/>
        <w:spacing w:line="360" w:lineRule="auto"/>
      </w:pPr>
    </w:p>
    <w:tbl>
      <w:tblPr>
        <w:tblStyle w:val="af6"/>
        <w:tblW w:w="0" w:type="auto"/>
        <w:tblInd w:w="4" w:type="dxa"/>
        <w:tblCellMar>
          <w:left w:w="0" w:type="dxa"/>
          <w:right w:w="0" w:type="dxa"/>
        </w:tblCellMar>
        <w:tblLook w:val="04A0" w:firstRow="1" w:lastRow="0" w:firstColumn="1" w:lastColumn="0" w:noHBand="0" w:noVBand="1"/>
      </w:tblPr>
      <w:tblGrid>
        <w:gridCol w:w="2650"/>
        <w:gridCol w:w="3431"/>
        <w:gridCol w:w="2815"/>
      </w:tblGrid>
      <w:tr w:rsidR="00F5289E" w14:paraId="7B1EAA9C" w14:textId="77777777">
        <w:trPr>
          <w:trHeight w:val="270"/>
        </w:trPr>
        <w:tc>
          <w:tcPr>
            <w:tcW w:w="2650" w:type="dxa"/>
            <w:tcBorders>
              <w:top w:val="nil"/>
              <w:left w:val="nil"/>
              <w:bottom w:val="nil"/>
              <w:right w:val="nil"/>
            </w:tcBorders>
            <w:vAlign w:val="center"/>
          </w:tcPr>
          <w:p w14:paraId="5B7C9FB6" w14:textId="77777777" w:rsidR="00F5289E" w:rsidRDefault="00F5289E">
            <w:pPr>
              <w:widowControl/>
              <w:snapToGrid w:val="0"/>
              <w:spacing w:line="360" w:lineRule="auto"/>
              <w:jc w:val="center"/>
              <w:rPr>
                <w:rFonts w:hAnsi="宋体"/>
                <w:b/>
                <w:bCs/>
                <w:kern w:val="0"/>
                <w:szCs w:val="21"/>
              </w:rPr>
            </w:pPr>
          </w:p>
        </w:tc>
        <w:tc>
          <w:tcPr>
            <w:tcW w:w="3431" w:type="dxa"/>
            <w:tcBorders>
              <w:top w:val="nil"/>
              <w:left w:val="nil"/>
              <w:bottom w:val="nil"/>
              <w:right w:val="nil"/>
            </w:tcBorders>
            <w:vAlign w:val="center"/>
          </w:tcPr>
          <w:p w14:paraId="570800DA"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b/>
                <w:szCs w:val="21"/>
              </w:rPr>
              <w:t>原生质体培养和体细胞杂交</w:t>
            </w:r>
          </w:p>
        </w:tc>
        <w:tc>
          <w:tcPr>
            <w:tcW w:w="2815" w:type="dxa"/>
            <w:tcBorders>
              <w:top w:val="nil"/>
              <w:left w:val="nil"/>
              <w:bottom w:val="nil"/>
              <w:right w:val="nil"/>
            </w:tcBorders>
            <w:vAlign w:val="center"/>
          </w:tcPr>
          <w:p w14:paraId="69158F1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6284134A" w14:textId="77777777" w:rsidR="00F5289E" w:rsidRDefault="00C91173">
      <w:pPr>
        <w:widowControl/>
        <w:snapToGrid w:val="0"/>
        <w:spacing w:line="360" w:lineRule="auto"/>
        <w:rPr>
          <w:bCs/>
        </w:rPr>
      </w:pPr>
      <w:r>
        <w:rPr>
          <w:b/>
          <w:bCs/>
        </w:rPr>
        <w:t>教学目标：</w:t>
      </w:r>
      <w:r>
        <w:rPr>
          <w:bCs/>
        </w:rPr>
        <w:t>通过本章的学习，明确体细胞杂交的概念、融合方法方式和原生质体操作的意义，掌握原生质体操作的基本步骤和在育种中的应用。</w:t>
      </w:r>
    </w:p>
    <w:p w14:paraId="7FE4D805" w14:textId="77777777" w:rsidR="00F5289E" w:rsidRDefault="00C91173">
      <w:pPr>
        <w:widowControl/>
        <w:snapToGrid w:val="0"/>
        <w:spacing w:line="360" w:lineRule="auto"/>
        <w:rPr>
          <w:bCs/>
        </w:rPr>
      </w:pPr>
      <w:r>
        <w:rPr>
          <w:b/>
          <w:bCs/>
        </w:rPr>
        <w:t>教学重点和难点：</w:t>
      </w:r>
      <w:r>
        <w:rPr>
          <w:bCs/>
        </w:rPr>
        <w:t>原生质体融合方法</w:t>
      </w:r>
      <w:r>
        <w:rPr>
          <w:bCs/>
        </w:rPr>
        <w:t>/</w:t>
      </w:r>
      <w:r>
        <w:rPr>
          <w:bCs/>
        </w:rPr>
        <w:t>方式、主要应用；体细胞杂种的遗传鉴定；</w:t>
      </w:r>
      <w:r>
        <w:t>原生质体分离培养步骤、主要应用；原生质体培养方法。</w:t>
      </w:r>
      <w:r>
        <w:rPr>
          <w:bCs/>
        </w:rPr>
        <w:t>。</w:t>
      </w:r>
    </w:p>
    <w:p w14:paraId="0940255E" w14:textId="77777777" w:rsidR="00F5289E" w:rsidRDefault="00C91173">
      <w:pPr>
        <w:widowControl/>
        <w:snapToGrid w:val="0"/>
        <w:spacing w:line="360" w:lineRule="auto"/>
        <w:rPr>
          <w:b/>
          <w:bCs/>
        </w:rPr>
      </w:pPr>
      <w:r>
        <w:rPr>
          <w:b/>
          <w:bCs/>
        </w:rPr>
        <w:t>主要教学内容及要求：</w:t>
      </w:r>
    </w:p>
    <w:p w14:paraId="7CE629D6" w14:textId="77777777" w:rsidR="00F5289E" w:rsidRDefault="00C91173">
      <w:pPr>
        <w:widowControl/>
        <w:snapToGrid w:val="0"/>
        <w:spacing w:line="360" w:lineRule="auto"/>
        <w:ind w:firstLineChars="200" w:firstLine="420"/>
        <w:rPr>
          <w:bCs/>
        </w:rPr>
      </w:pPr>
      <w:r>
        <w:rPr>
          <w:bCs/>
        </w:rPr>
        <w:t>了解：原生质体操作的意义；体细胞杂交的概念和</w:t>
      </w:r>
      <w:r>
        <w:rPr>
          <w:kern w:val="0"/>
          <w:szCs w:val="21"/>
        </w:rPr>
        <w:t>原生质体融合的发展及意义</w:t>
      </w:r>
      <w:r>
        <w:rPr>
          <w:bCs/>
        </w:rPr>
        <w:t>。</w:t>
      </w:r>
    </w:p>
    <w:p w14:paraId="24DFFAC5" w14:textId="77777777" w:rsidR="00F5289E" w:rsidRDefault="00C91173">
      <w:pPr>
        <w:widowControl/>
        <w:snapToGrid w:val="0"/>
        <w:spacing w:line="360" w:lineRule="auto"/>
        <w:ind w:firstLineChars="200" w:firstLine="420"/>
        <w:rPr>
          <w:kern w:val="0"/>
          <w:szCs w:val="21"/>
        </w:rPr>
      </w:pPr>
      <w:r>
        <w:rPr>
          <w:bCs/>
        </w:rPr>
        <w:t>理解：</w:t>
      </w:r>
      <w:r>
        <w:rPr>
          <w:kern w:val="0"/>
          <w:szCs w:val="21"/>
        </w:rPr>
        <w:t>原生质体研究的发展与应用；影响原生质体分离的因素；原生质体融合方式；体细胞杂种筛选与鉴定方法；原生质体再生植株的遗传变异及其利用；。</w:t>
      </w:r>
    </w:p>
    <w:p w14:paraId="3FA40D24" w14:textId="77777777" w:rsidR="00F5289E" w:rsidRDefault="00C91173">
      <w:pPr>
        <w:widowControl/>
        <w:snapToGrid w:val="0"/>
        <w:spacing w:line="360" w:lineRule="auto"/>
        <w:ind w:firstLineChars="200" w:firstLine="420"/>
        <w:rPr>
          <w:kern w:val="0"/>
          <w:szCs w:val="21"/>
        </w:rPr>
      </w:pPr>
      <w:r>
        <w:rPr>
          <w:kern w:val="0"/>
          <w:szCs w:val="21"/>
        </w:rPr>
        <w:t>掌握：原生质体培养基与培养方法；原生质体培养与植株再生；体细胞杂交在园艺植物育种中的应用。</w:t>
      </w:r>
    </w:p>
    <w:p w14:paraId="1398F30D" w14:textId="77777777" w:rsidR="00F5289E" w:rsidRDefault="00C91173">
      <w:pPr>
        <w:widowControl/>
        <w:snapToGrid w:val="0"/>
        <w:spacing w:line="360" w:lineRule="auto"/>
        <w:ind w:firstLineChars="200" w:firstLine="420"/>
        <w:rPr>
          <w:b/>
          <w:bCs/>
          <w:kern w:val="0"/>
          <w:szCs w:val="21"/>
        </w:rPr>
      </w:pPr>
      <w:r>
        <w:rPr>
          <w:kern w:val="0"/>
          <w:szCs w:val="21"/>
        </w:rPr>
        <w:t>熟练掌握：原生质体分离、纯化与活力测定；原生质体融合方法。</w:t>
      </w:r>
    </w:p>
    <w:p w14:paraId="6DB0EC72" w14:textId="77777777" w:rsidR="00F5289E" w:rsidRDefault="00C91173">
      <w:pPr>
        <w:spacing w:line="360" w:lineRule="auto"/>
        <w:rPr>
          <w:bCs/>
          <w:szCs w:val="21"/>
        </w:rPr>
      </w:pPr>
      <w:r>
        <w:rPr>
          <w:bCs/>
          <w:szCs w:val="21"/>
        </w:rPr>
        <w:t>第一节</w:t>
      </w:r>
      <w:r>
        <w:rPr>
          <w:bCs/>
          <w:szCs w:val="21"/>
        </w:rPr>
        <w:t xml:space="preserve">  </w:t>
      </w:r>
      <w:r>
        <w:rPr>
          <w:bCs/>
          <w:szCs w:val="21"/>
        </w:rPr>
        <w:t>原生质体培养</w:t>
      </w:r>
      <w:r>
        <w:rPr>
          <w:bCs/>
          <w:szCs w:val="21"/>
        </w:rPr>
        <w:t xml:space="preserve">     </w:t>
      </w:r>
      <w:r>
        <w:rPr>
          <w:rFonts w:hint="eastAsia"/>
          <w:bCs/>
          <w:szCs w:val="21"/>
        </w:rPr>
        <w:t>0</w:t>
      </w:r>
      <w:r>
        <w:rPr>
          <w:bCs/>
          <w:szCs w:val="21"/>
        </w:rPr>
        <w:t>.5</w:t>
      </w:r>
      <w:r>
        <w:rPr>
          <w:bCs/>
          <w:szCs w:val="21"/>
        </w:rPr>
        <w:t>学时</w:t>
      </w:r>
    </w:p>
    <w:p w14:paraId="376BD07E" w14:textId="77777777" w:rsidR="00F5289E" w:rsidRDefault="00C91173">
      <w:pPr>
        <w:widowControl/>
        <w:snapToGrid w:val="0"/>
        <w:spacing w:line="360" w:lineRule="auto"/>
        <w:rPr>
          <w:bCs/>
          <w:szCs w:val="21"/>
        </w:rPr>
      </w:pPr>
      <w:r>
        <w:rPr>
          <w:bCs/>
          <w:szCs w:val="21"/>
        </w:rPr>
        <w:lastRenderedPageBreak/>
        <w:t>第二节</w:t>
      </w:r>
      <w:r>
        <w:rPr>
          <w:bCs/>
          <w:szCs w:val="21"/>
        </w:rPr>
        <w:t xml:space="preserve">  </w:t>
      </w:r>
      <w:r>
        <w:rPr>
          <w:bCs/>
          <w:szCs w:val="21"/>
        </w:rPr>
        <w:t>体细胞杂交</w:t>
      </w:r>
      <w:r>
        <w:rPr>
          <w:bCs/>
          <w:szCs w:val="21"/>
        </w:rPr>
        <w:t xml:space="preserve">     </w:t>
      </w:r>
      <w:r>
        <w:rPr>
          <w:rFonts w:hint="eastAsia"/>
          <w:bCs/>
          <w:szCs w:val="21"/>
        </w:rPr>
        <w:t>1</w:t>
      </w:r>
      <w:r>
        <w:rPr>
          <w:bCs/>
          <w:szCs w:val="21"/>
        </w:rPr>
        <w:t>.5</w:t>
      </w:r>
      <w:r>
        <w:rPr>
          <w:bCs/>
          <w:szCs w:val="21"/>
        </w:rPr>
        <w:t>学时</w:t>
      </w:r>
    </w:p>
    <w:p w14:paraId="3E2A4E03" w14:textId="77777777" w:rsidR="00F5289E" w:rsidRDefault="00C91173">
      <w:pPr>
        <w:widowControl/>
        <w:snapToGrid w:val="0"/>
        <w:spacing w:line="360" w:lineRule="auto"/>
        <w:ind w:firstLineChars="200" w:firstLine="422"/>
        <w:jc w:val="left"/>
        <w:rPr>
          <w:kern w:val="0"/>
          <w:szCs w:val="21"/>
        </w:rPr>
      </w:pPr>
      <w:r>
        <w:rPr>
          <w:b/>
          <w:kern w:val="0"/>
          <w:szCs w:val="21"/>
        </w:rPr>
        <w:t>教学组织与实施：</w:t>
      </w:r>
      <w:r>
        <w:rPr>
          <w:kern w:val="0"/>
          <w:szCs w:val="21"/>
        </w:rPr>
        <w:t>通过课堂教学，结合大量图片资料和实例讲解原生质体分离、纯化与活力测定的方法及原生质体融合的方法。</w:t>
      </w:r>
    </w:p>
    <w:p w14:paraId="77FF9391" w14:textId="77777777" w:rsidR="00F5289E" w:rsidRDefault="00F5289E">
      <w:pPr>
        <w:widowControl/>
        <w:snapToGrid w:val="0"/>
        <w:spacing w:line="360" w:lineRule="auto"/>
        <w:ind w:firstLineChars="200" w:firstLine="420"/>
        <w:jc w:val="left"/>
        <w:rPr>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855"/>
        <w:gridCol w:w="3176"/>
        <w:gridCol w:w="2865"/>
      </w:tblGrid>
      <w:tr w:rsidR="00F5289E" w14:paraId="36D00840" w14:textId="77777777">
        <w:trPr>
          <w:trHeight w:val="270"/>
        </w:trPr>
        <w:tc>
          <w:tcPr>
            <w:tcW w:w="2855" w:type="dxa"/>
            <w:tcBorders>
              <w:top w:val="nil"/>
              <w:left w:val="nil"/>
              <w:bottom w:val="nil"/>
              <w:right w:val="nil"/>
            </w:tcBorders>
            <w:vAlign w:val="center"/>
          </w:tcPr>
          <w:p w14:paraId="22CD10A6" w14:textId="77777777" w:rsidR="00F5289E" w:rsidRDefault="00F5289E">
            <w:pPr>
              <w:widowControl/>
              <w:snapToGrid w:val="0"/>
              <w:spacing w:line="360" w:lineRule="auto"/>
              <w:jc w:val="center"/>
              <w:rPr>
                <w:rFonts w:hAnsi="宋体"/>
                <w:b/>
                <w:bCs/>
                <w:kern w:val="0"/>
                <w:szCs w:val="21"/>
              </w:rPr>
            </w:pPr>
          </w:p>
        </w:tc>
        <w:tc>
          <w:tcPr>
            <w:tcW w:w="3176" w:type="dxa"/>
            <w:tcBorders>
              <w:top w:val="nil"/>
              <w:left w:val="nil"/>
              <w:bottom w:val="nil"/>
              <w:right w:val="nil"/>
            </w:tcBorders>
            <w:vAlign w:val="center"/>
          </w:tcPr>
          <w:p w14:paraId="3004643B" w14:textId="77777777" w:rsidR="00F5289E" w:rsidRDefault="00C91173">
            <w:pPr>
              <w:widowControl/>
              <w:snapToGrid w:val="0"/>
              <w:spacing w:line="360" w:lineRule="auto"/>
              <w:jc w:val="center"/>
              <w:rPr>
                <w:rFonts w:hAnsi="宋体"/>
                <w:b/>
                <w:bCs/>
                <w:kern w:val="0"/>
                <w:szCs w:val="21"/>
              </w:rPr>
            </w:pPr>
            <w:r>
              <w:rPr>
                <w:b/>
                <w:bCs/>
                <w:kern w:val="0"/>
                <w:szCs w:val="21"/>
              </w:rPr>
              <w:t>第三章</w:t>
            </w:r>
            <w:r>
              <w:rPr>
                <w:b/>
                <w:bCs/>
                <w:kern w:val="0"/>
                <w:szCs w:val="21"/>
              </w:rPr>
              <w:t xml:space="preserve">  </w:t>
            </w:r>
            <w:r>
              <w:rPr>
                <w:b/>
                <w:bCs/>
                <w:kern w:val="0"/>
                <w:szCs w:val="21"/>
              </w:rPr>
              <w:t>分子标记技术原理与应用</w:t>
            </w:r>
          </w:p>
        </w:tc>
        <w:tc>
          <w:tcPr>
            <w:tcW w:w="2865" w:type="dxa"/>
            <w:tcBorders>
              <w:top w:val="nil"/>
              <w:left w:val="nil"/>
              <w:bottom w:val="nil"/>
              <w:right w:val="nil"/>
            </w:tcBorders>
            <w:vAlign w:val="center"/>
          </w:tcPr>
          <w:p w14:paraId="3386008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65D94FB9" w14:textId="77777777" w:rsidR="00F5289E" w:rsidRDefault="00C91173">
      <w:pPr>
        <w:widowControl/>
        <w:snapToGrid w:val="0"/>
        <w:spacing w:line="360" w:lineRule="auto"/>
        <w:rPr>
          <w:b/>
          <w:bCs/>
          <w:kern w:val="0"/>
          <w:szCs w:val="21"/>
        </w:rPr>
      </w:pPr>
      <w:r>
        <w:rPr>
          <w:b/>
          <w:bCs/>
        </w:rPr>
        <w:t>教学目标：</w:t>
      </w:r>
      <w:r>
        <w:rPr>
          <w:bCs/>
        </w:rPr>
        <w:t>通过本章的学习，明确</w:t>
      </w:r>
      <w:r>
        <w:rPr>
          <w:kern w:val="0"/>
          <w:szCs w:val="21"/>
        </w:rPr>
        <w:t>分子标记的基本原理、主要分子标记类型；掌握不同类型分子标记在园艺植物研究中的应用。</w:t>
      </w:r>
    </w:p>
    <w:p w14:paraId="5CD44931" w14:textId="77777777" w:rsidR="00F5289E" w:rsidRDefault="00C91173">
      <w:pPr>
        <w:widowControl/>
        <w:snapToGrid w:val="0"/>
        <w:spacing w:line="360" w:lineRule="auto"/>
        <w:rPr>
          <w:kern w:val="0"/>
          <w:szCs w:val="21"/>
        </w:rPr>
      </w:pPr>
      <w:r>
        <w:rPr>
          <w:b/>
          <w:bCs/>
        </w:rPr>
        <w:t>教学重点和难点：</w:t>
      </w:r>
      <w:r>
        <w:rPr>
          <w:kern w:val="0"/>
          <w:szCs w:val="21"/>
        </w:rPr>
        <w:t>分子标记的基本原理和主要类型；分子标记技术在园艺植物研究中的应用。</w:t>
      </w:r>
    </w:p>
    <w:p w14:paraId="5708C699" w14:textId="77777777" w:rsidR="00F5289E" w:rsidRDefault="00C91173">
      <w:pPr>
        <w:widowControl/>
        <w:snapToGrid w:val="0"/>
        <w:spacing w:line="360" w:lineRule="auto"/>
        <w:rPr>
          <w:b/>
          <w:bCs/>
        </w:rPr>
      </w:pPr>
      <w:r>
        <w:rPr>
          <w:b/>
          <w:bCs/>
        </w:rPr>
        <w:t>主要教学内容及要求：</w:t>
      </w:r>
    </w:p>
    <w:p w14:paraId="06B7C7B5" w14:textId="77777777" w:rsidR="00F5289E" w:rsidRDefault="00C91173">
      <w:pPr>
        <w:widowControl/>
        <w:snapToGrid w:val="0"/>
        <w:spacing w:line="360" w:lineRule="auto"/>
        <w:ind w:firstLineChars="200" w:firstLine="420"/>
        <w:rPr>
          <w:kern w:val="0"/>
          <w:szCs w:val="21"/>
        </w:rPr>
      </w:pPr>
      <w:r>
        <w:rPr>
          <w:bCs/>
        </w:rPr>
        <w:t>了解：</w:t>
      </w:r>
      <w:r>
        <w:rPr>
          <w:kern w:val="0"/>
          <w:szCs w:val="21"/>
        </w:rPr>
        <w:t xml:space="preserve"> DNA</w:t>
      </w:r>
      <w:r>
        <w:rPr>
          <w:kern w:val="0"/>
          <w:szCs w:val="21"/>
        </w:rPr>
        <w:t>显色技术。</w:t>
      </w:r>
    </w:p>
    <w:p w14:paraId="5375225A" w14:textId="77777777" w:rsidR="00F5289E" w:rsidRDefault="00C91173">
      <w:pPr>
        <w:widowControl/>
        <w:snapToGrid w:val="0"/>
        <w:spacing w:line="360" w:lineRule="auto"/>
        <w:ind w:firstLineChars="200" w:firstLine="420"/>
        <w:rPr>
          <w:kern w:val="0"/>
          <w:szCs w:val="21"/>
        </w:rPr>
      </w:pPr>
      <w:r>
        <w:rPr>
          <w:kern w:val="0"/>
          <w:szCs w:val="21"/>
        </w:rPr>
        <w:t>理解：分子标记的基本原理。</w:t>
      </w:r>
    </w:p>
    <w:p w14:paraId="4FB3A7FE" w14:textId="77777777" w:rsidR="00F5289E" w:rsidRDefault="00C91173">
      <w:pPr>
        <w:widowControl/>
        <w:snapToGrid w:val="0"/>
        <w:spacing w:line="360" w:lineRule="auto"/>
        <w:ind w:firstLineChars="200" w:firstLine="420"/>
        <w:rPr>
          <w:kern w:val="0"/>
          <w:szCs w:val="21"/>
        </w:rPr>
      </w:pPr>
      <w:r>
        <w:rPr>
          <w:kern w:val="0"/>
          <w:szCs w:val="21"/>
        </w:rPr>
        <w:t>掌握：</w:t>
      </w:r>
      <w:r>
        <w:rPr>
          <w:kern w:val="0"/>
          <w:szCs w:val="21"/>
        </w:rPr>
        <w:t>DNA</w:t>
      </w:r>
      <w:r>
        <w:rPr>
          <w:kern w:val="0"/>
          <w:szCs w:val="21"/>
        </w:rPr>
        <w:t>是主要的遗传物质；几种常用的分子标记技术；种质评价和核心种质筛选；杂种鉴定和早期辅助选择；遗传连锁图的构建。</w:t>
      </w:r>
    </w:p>
    <w:p w14:paraId="3A40982F" w14:textId="77777777" w:rsidR="00F5289E" w:rsidRDefault="00C91173">
      <w:pPr>
        <w:widowControl/>
        <w:snapToGrid w:val="0"/>
        <w:spacing w:line="360" w:lineRule="auto"/>
        <w:ind w:firstLineChars="200" w:firstLine="420"/>
        <w:rPr>
          <w:b/>
          <w:bCs/>
          <w:kern w:val="0"/>
          <w:szCs w:val="21"/>
        </w:rPr>
      </w:pPr>
      <w:r>
        <w:rPr>
          <w:kern w:val="0"/>
          <w:szCs w:val="21"/>
        </w:rPr>
        <w:t>熟练掌握：</w:t>
      </w:r>
      <w:r>
        <w:rPr>
          <w:kern w:val="0"/>
          <w:szCs w:val="21"/>
        </w:rPr>
        <w:t>DNA</w:t>
      </w:r>
      <w:r>
        <w:rPr>
          <w:kern w:val="0"/>
          <w:szCs w:val="21"/>
        </w:rPr>
        <w:t>复制和体外扩增。</w:t>
      </w:r>
    </w:p>
    <w:p w14:paraId="5B1B25E7" w14:textId="77777777" w:rsidR="00F5289E" w:rsidRDefault="00C91173">
      <w:pPr>
        <w:widowControl/>
        <w:adjustRightInd w:val="0"/>
        <w:snapToGrid w:val="0"/>
        <w:spacing w:line="360" w:lineRule="auto"/>
        <w:jc w:val="left"/>
        <w:rPr>
          <w:bCs/>
          <w:kern w:val="0"/>
          <w:szCs w:val="21"/>
        </w:rPr>
      </w:pPr>
      <w:r>
        <w:rPr>
          <w:bCs/>
          <w:kern w:val="0"/>
          <w:szCs w:val="21"/>
        </w:rPr>
        <w:t>第一节</w:t>
      </w:r>
      <w:r>
        <w:rPr>
          <w:bCs/>
          <w:kern w:val="0"/>
          <w:szCs w:val="21"/>
        </w:rPr>
        <w:t xml:space="preserve">  </w:t>
      </w:r>
      <w:r>
        <w:rPr>
          <w:bCs/>
          <w:kern w:val="0"/>
          <w:szCs w:val="21"/>
        </w:rPr>
        <w:t>分子标记的原理及种类</w:t>
      </w:r>
      <w:r>
        <w:rPr>
          <w:bCs/>
          <w:kern w:val="0"/>
          <w:szCs w:val="21"/>
        </w:rPr>
        <w:t xml:space="preserve">     </w:t>
      </w:r>
      <w:r>
        <w:rPr>
          <w:rFonts w:hint="eastAsia"/>
          <w:bCs/>
          <w:kern w:val="0"/>
          <w:szCs w:val="21"/>
        </w:rPr>
        <w:t>1.5</w:t>
      </w:r>
      <w:r>
        <w:rPr>
          <w:bCs/>
          <w:kern w:val="0"/>
          <w:szCs w:val="21"/>
        </w:rPr>
        <w:t>学时</w:t>
      </w:r>
    </w:p>
    <w:p w14:paraId="3B89FF29" w14:textId="77777777" w:rsidR="00F5289E" w:rsidRDefault="00C91173">
      <w:pPr>
        <w:widowControl/>
        <w:adjustRightInd w:val="0"/>
        <w:snapToGrid w:val="0"/>
        <w:spacing w:line="360" w:lineRule="auto"/>
        <w:jc w:val="left"/>
        <w:rPr>
          <w:bCs/>
          <w:kern w:val="0"/>
          <w:szCs w:val="21"/>
        </w:rPr>
      </w:pPr>
      <w:r>
        <w:rPr>
          <w:bCs/>
          <w:kern w:val="0"/>
          <w:szCs w:val="21"/>
        </w:rPr>
        <w:t>第二节</w:t>
      </w:r>
      <w:r>
        <w:rPr>
          <w:bCs/>
          <w:kern w:val="0"/>
          <w:szCs w:val="21"/>
        </w:rPr>
        <w:t xml:space="preserve">  </w:t>
      </w:r>
      <w:r>
        <w:rPr>
          <w:bCs/>
          <w:kern w:val="0"/>
          <w:szCs w:val="21"/>
        </w:rPr>
        <w:t>分子标记的应用</w:t>
      </w:r>
      <w:r>
        <w:rPr>
          <w:bCs/>
          <w:kern w:val="0"/>
          <w:szCs w:val="21"/>
        </w:rPr>
        <w:t xml:space="preserve">     </w:t>
      </w:r>
      <w:r>
        <w:rPr>
          <w:rFonts w:hint="eastAsia"/>
          <w:bCs/>
          <w:kern w:val="0"/>
          <w:szCs w:val="21"/>
        </w:rPr>
        <w:t>2.5</w:t>
      </w:r>
      <w:r>
        <w:rPr>
          <w:bCs/>
          <w:kern w:val="0"/>
          <w:szCs w:val="21"/>
        </w:rPr>
        <w:t>学时</w:t>
      </w:r>
    </w:p>
    <w:p w14:paraId="380EA57B" w14:textId="77777777" w:rsidR="00F5289E" w:rsidRDefault="00C91173">
      <w:pPr>
        <w:widowControl/>
        <w:snapToGrid w:val="0"/>
        <w:spacing w:line="360" w:lineRule="auto"/>
        <w:rPr>
          <w:kern w:val="0"/>
          <w:szCs w:val="21"/>
        </w:rPr>
      </w:pPr>
      <w:r>
        <w:rPr>
          <w:b/>
          <w:kern w:val="0"/>
          <w:szCs w:val="21"/>
        </w:rPr>
        <w:t>教学组织与实施：</w:t>
      </w:r>
      <w:r>
        <w:rPr>
          <w:kern w:val="0"/>
          <w:szCs w:val="21"/>
        </w:rPr>
        <w:t>通过课堂教学，讲述分子标记原理的和类型；结合大量实例，阐明分子标记在园艺植物中的应用及其意义。</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8430DA2" w14:textId="77777777">
        <w:trPr>
          <w:trHeight w:val="270"/>
        </w:trPr>
        <w:tc>
          <w:tcPr>
            <w:tcW w:w="2965" w:type="dxa"/>
            <w:tcBorders>
              <w:top w:val="nil"/>
              <w:left w:val="nil"/>
              <w:bottom w:val="nil"/>
              <w:right w:val="nil"/>
            </w:tcBorders>
            <w:vAlign w:val="center"/>
          </w:tcPr>
          <w:p w14:paraId="24EF3481"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07BE0405" w14:textId="77777777" w:rsidR="00F5289E" w:rsidRDefault="00C91173">
            <w:pPr>
              <w:widowControl/>
              <w:snapToGrid w:val="0"/>
              <w:spacing w:line="360" w:lineRule="auto"/>
              <w:jc w:val="center"/>
              <w:rPr>
                <w:rFonts w:hAnsi="宋体"/>
                <w:b/>
                <w:bCs/>
                <w:kern w:val="0"/>
                <w:szCs w:val="21"/>
              </w:rPr>
            </w:pPr>
            <w:r>
              <w:rPr>
                <w:b/>
                <w:bCs/>
                <w:kern w:val="0"/>
                <w:szCs w:val="21"/>
              </w:rPr>
              <w:t>第四章</w:t>
            </w:r>
            <w:r>
              <w:rPr>
                <w:b/>
                <w:bCs/>
                <w:kern w:val="0"/>
                <w:szCs w:val="21"/>
              </w:rPr>
              <w:t xml:space="preserve">  </w:t>
            </w:r>
            <w:r>
              <w:rPr>
                <w:b/>
                <w:bCs/>
                <w:kern w:val="0"/>
                <w:szCs w:val="21"/>
              </w:rPr>
              <w:t>基因分离与克隆</w:t>
            </w:r>
            <w:r>
              <w:rPr>
                <w:b/>
                <w:bCs/>
                <w:kern w:val="0"/>
                <w:szCs w:val="21"/>
              </w:rPr>
              <w:t xml:space="preserve"> </w:t>
            </w:r>
          </w:p>
        </w:tc>
        <w:tc>
          <w:tcPr>
            <w:tcW w:w="2966" w:type="dxa"/>
            <w:tcBorders>
              <w:top w:val="nil"/>
              <w:left w:val="nil"/>
              <w:bottom w:val="nil"/>
              <w:right w:val="nil"/>
            </w:tcBorders>
            <w:vAlign w:val="center"/>
          </w:tcPr>
          <w:p w14:paraId="1FACEE6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4F6ED15F" w14:textId="77777777" w:rsidR="00F5289E" w:rsidRDefault="00C91173">
      <w:pPr>
        <w:widowControl/>
        <w:snapToGrid w:val="0"/>
        <w:spacing w:line="360" w:lineRule="auto"/>
        <w:rPr>
          <w:b/>
          <w:bCs/>
          <w:kern w:val="0"/>
          <w:szCs w:val="21"/>
        </w:rPr>
      </w:pPr>
      <w:r>
        <w:rPr>
          <w:b/>
          <w:bCs/>
        </w:rPr>
        <w:t>教学目标：</w:t>
      </w:r>
      <w:r>
        <w:rPr>
          <w:bCs/>
        </w:rPr>
        <w:t>通过本章的学习，</w:t>
      </w:r>
      <w:r>
        <w:rPr>
          <w:kern w:val="0"/>
          <w:szCs w:val="21"/>
        </w:rPr>
        <w:t>掌握基因的概念和基本结构；基因分离克隆的基本原理、主要克隆策略；基因组文库和</w:t>
      </w:r>
      <w:r>
        <w:rPr>
          <w:kern w:val="0"/>
          <w:szCs w:val="21"/>
        </w:rPr>
        <w:t>cDNA</w:t>
      </w:r>
      <w:r>
        <w:rPr>
          <w:kern w:val="0"/>
          <w:szCs w:val="21"/>
        </w:rPr>
        <w:t>文库的概念、构建方法；基因组</w:t>
      </w:r>
      <w:r>
        <w:rPr>
          <w:kern w:val="0"/>
          <w:szCs w:val="21"/>
        </w:rPr>
        <w:t>DNA</w:t>
      </w:r>
      <w:r>
        <w:rPr>
          <w:kern w:val="0"/>
          <w:szCs w:val="21"/>
        </w:rPr>
        <w:t>克隆方法。。</w:t>
      </w:r>
    </w:p>
    <w:p w14:paraId="69631B53" w14:textId="77777777" w:rsidR="00F5289E" w:rsidRDefault="00C91173">
      <w:pPr>
        <w:widowControl/>
        <w:snapToGrid w:val="0"/>
        <w:spacing w:line="360" w:lineRule="auto"/>
        <w:rPr>
          <w:b/>
          <w:bCs/>
          <w:kern w:val="0"/>
          <w:szCs w:val="21"/>
        </w:rPr>
      </w:pPr>
      <w:r>
        <w:rPr>
          <w:b/>
          <w:bCs/>
        </w:rPr>
        <w:t>教学重点和难点：</w:t>
      </w:r>
      <w:r>
        <w:rPr>
          <w:kern w:val="0"/>
          <w:szCs w:val="21"/>
        </w:rPr>
        <w:t>基因的概念和结构；基因分离克隆的基本原理和主要克隆策略；基因组文库与</w:t>
      </w:r>
      <w:r>
        <w:rPr>
          <w:kern w:val="0"/>
          <w:szCs w:val="21"/>
        </w:rPr>
        <w:t>cDNA</w:t>
      </w:r>
      <w:r>
        <w:rPr>
          <w:kern w:val="0"/>
          <w:szCs w:val="21"/>
        </w:rPr>
        <w:t>文库的区别。</w:t>
      </w:r>
    </w:p>
    <w:p w14:paraId="1A1C3BFC" w14:textId="77777777" w:rsidR="00F5289E" w:rsidRDefault="00C91173">
      <w:pPr>
        <w:widowControl/>
        <w:snapToGrid w:val="0"/>
        <w:spacing w:line="360" w:lineRule="auto"/>
        <w:rPr>
          <w:b/>
          <w:bCs/>
        </w:rPr>
      </w:pPr>
      <w:r>
        <w:rPr>
          <w:b/>
          <w:bCs/>
        </w:rPr>
        <w:t>主要教学内容及要求：</w:t>
      </w:r>
    </w:p>
    <w:p w14:paraId="4835FD8D" w14:textId="77777777" w:rsidR="00F5289E" w:rsidRDefault="00C91173">
      <w:pPr>
        <w:widowControl/>
        <w:snapToGrid w:val="0"/>
        <w:spacing w:line="360" w:lineRule="auto"/>
        <w:ind w:firstLineChars="200" w:firstLine="420"/>
        <w:rPr>
          <w:b/>
          <w:bCs/>
          <w:kern w:val="0"/>
          <w:szCs w:val="21"/>
        </w:rPr>
      </w:pPr>
      <w:r>
        <w:rPr>
          <w:kern w:val="0"/>
          <w:szCs w:val="21"/>
        </w:rPr>
        <w:t>了解：基因组文库的构建；</w:t>
      </w:r>
      <w:r>
        <w:rPr>
          <w:kern w:val="0"/>
          <w:szCs w:val="21"/>
        </w:rPr>
        <w:t>cDNA</w:t>
      </w:r>
      <w:r>
        <w:rPr>
          <w:kern w:val="0"/>
          <w:szCs w:val="21"/>
        </w:rPr>
        <w:t>文库的构建及目的</w:t>
      </w:r>
      <w:r>
        <w:rPr>
          <w:kern w:val="0"/>
          <w:szCs w:val="21"/>
        </w:rPr>
        <w:t>cDNA</w:t>
      </w:r>
      <w:r>
        <w:rPr>
          <w:kern w:val="0"/>
          <w:szCs w:val="21"/>
        </w:rPr>
        <w:t>克隆的筛选。</w:t>
      </w:r>
    </w:p>
    <w:p w14:paraId="5A4CDD3E" w14:textId="77777777" w:rsidR="00F5289E" w:rsidRDefault="00C91173">
      <w:pPr>
        <w:widowControl/>
        <w:snapToGrid w:val="0"/>
        <w:spacing w:line="360" w:lineRule="auto"/>
        <w:ind w:firstLineChars="200" w:firstLine="420"/>
        <w:rPr>
          <w:kern w:val="0"/>
          <w:szCs w:val="21"/>
        </w:rPr>
      </w:pPr>
      <w:r>
        <w:rPr>
          <w:kern w:val="0"/>
          <w:szCs w:val="21"/>
        </w:rPr>
        <w:t>理解：基因分离克隆的基本原理；</w:t>
      </w:r>
    </w:p>
    <w:p w14:paraId="51D07741" w14:textId="77777777" w:rsidR="00F5289E" w:rsidRDefault="00C91173">
      <w:pPr>
        <w:widowControl/>
        <w:snapToGrid w:val="0"/>
        <w:spacing w:line="360" w:lineRule="auto"/>
        <w:ind w:firstLineChars="200" w:firstLine="420"/>
        <w:rPr>
          <w:kern w:val="0"/>
          <w:szCs w:val="21"/>
        </w:rPr>
      </w:pPr>
      <w:r>
        <w:rPr>
          <w:kern w:val="0"/>
          <w:szCs w:val="21"/>
        </w:rPr>
        <w:t>掌握：基因的结构。</w:t>
      </w:r>
    </w:p>
    <w:p w14:paraId="457BC963" w14:textId="77777777" w:rsidR="00F5289E" w:rsidRDefault="00C91173">
      <w:pPr>
        <w:widowControl/>
        <w:snapToGrid w:val="0"/>
        <w:spacing w:line="360" w:lineRule="auto"/>
        <w:ind w:firstLineChars="200" w:firstLine="420"/>
        <w:rPr>
          <w:kern w:val="0"/>
          <w:szCs w:val="21"/>
        </w:rPr>
      </w:pPr>
      <w:r>
        <w:rPr>
          <w:kern w:val="0"/>
          <w:szCs w:val="21"/>
        </w:rPr>
        <w:t>熟练掌握：基因的概念；主要克隆策略。</w:t>
      </w:r>
    </w:p>
    <w:p w14:paraId="38E9AD76" w14:textId="77777777" w:rsidR="00F5289E" w:rsidRDefault="00C91173">
      <w:pPr>
        <w:widowControl/>
        <w:spacing w:line="360" w:lineRule="auto"/>
        <w:jc w:val="left"/>
        <w:rPr>
          <w:bCs/>
          <w:kern w:val="0"/>
          <w:szCs w:val="21"/>
        </w:rPr>
      </w:pPr>
      <w:r>
        <w:rPr>
          <w:bCs/>
          <w:kern w:val="0"/>
          <w:szCs w:val="21"/>
        </w:rPr>
        <w:t>第一节</w:t>
      </w:r>
      <w:r>
        <w:rPr>
          <w:bCs/>
          <w:kern w:val="0"/>
          <w:szCs w:val="21"/>
        </w:rPr>
        <w:t xml:space="preserve">  </w:t>
      </w:r>
      <w:r>
        <w:rPr>
          <w:bCs/>
          <w:kern w:val="0"/>
          <w:szCs w:val="21"/>
        </w:rPr>
        <w:t>基因的概念和结构</w:t>
      </w:r>
      <w:r>
        <w:rPr>
          <w:bCs/>
          <w:kern w:val="0"/>
          <w:szCs w:val="21"/>
        </w:rPr>
        <w:t xml:space="preserve">     0.5</w:t>
      </w:r>
      <w:r>
        <w:rPr>
          <w:bCs/>
          <w:kern w:val="0"/>
          <w:szCs w:val="21"/>
        </w:rPr>
        <w:t>学时</w:t>
      </w:r>
    </w:p>
    <w:p w14:paraId="77B0612E" w14:textId="77777777" w:rsidR="00F5289E" w:rsidRDefault="00C91173">
      <w:pPr>
        <w:widowControl/>
        <w:spacing w:line="360" w:lineRule="auto"/>
        <w:jc w:val="left"/>
        <w:rPr>
          <w:bCs/>
          <w:kern w:val="0"/>
          <w:szCs w:val="21"/>
        </w:rPr>
      </w:pPr>
      <w:r>
        <w:rPr>
          <w:bCs/>
          <w:kern w:val="0"/>
          <w:szCs w:val="21"/>
        </w:rPr>
        <w:t>第二节</w:t>
      </w:r>
      <w:r>
        <w:rPr>
          <w:bCs/>
          <w:kern w:val="0"/>
          <w:szCs w:val="21"/>
        </w:rPr>
        <w:t xml:space="preserve">  </w:t>
      </w:r>
      <w:r>
        <w:rPr>
          <w:bCs/>
          <w:kern w:val="0"/>
          <w:szCs w:val="21"/>
        </w:rPr>
        <w:t>基因克隆的基本过程</w:t>
      </w:r>
      <w:r>
        <w:rPr>
          <w:bCs/>
          <w:kern w:val="0"/>
          <w:szCs w:val="21"/>
        </w:rPr>
        <w:t xml:space="preserve">     </w:t>
      </w:r>
      <w:r>
        <w:rPr>
          <w:rFonts w:hint="eastAsia"/>
          <w:bCs/>
          <w:kern w:val="0"/>
          <w:szCs w:val="21"/>
        </w:rPr>
        <w:t>1</w:t>
      </w:r>
      <w:r>
        <w:rPr>
          <w:bCs/>
          <w:kern w:val="0"/>
          <w:szCs w:val="21"/>
        </w:rPr>
        <w:t>.5</w:t>
      </w:r>
      <w:r>
        <w:rPr>
          <w:bCs/>
          <w:kern w:val="0"/>
          <w:szCs w:val="21"/>
        </w:rPr>
        <w:t>学时</w:t>
      </w:r>
    </w:p>
    <w:p w14:paraId="448D0F55" w14:textId="77777777" w:rsidR="00F5289E" w:rsidRDefault="00C91173">
      <w:pPr>
        <w:widowControl/>
        <w:spacing w:line="360" w:lineRule="auto"/>
        <w:jc w:val="left"/>
        <w:rPr>
          <w:bCs/>
          <w:kern w:val="0"/>
          <w:szCs w:val="21"/>
        </w:rPr>
      </w:pPr>
      <w:r>
        <w:rPr>
          <w:bCs/>
          <w:kern w:val="0"/>
          <w:szCs w:val="21"/>
        </w:rPr>
        <w:t>第三节</w:t>
      </w:r>
      <w:r>
        <w:rPr>
          <w:bCs/>
          <w:kern w:val="0"/>
          <w:szCs w:val="21"/>
        </w:rPr>
        <w:t xml:space="preserve">  </w:t>
      </w:r>
      <w:r>
        <w:rPr>
          <w:bCs/>
          <w:kern w:val="0"/>
          <w:szCs w:val="21"/>
        </w:rPr>
        <w:t>基因组文库与</w:t>
      </w:r>
      <w:r>
        <w:rPr>
          <w:bCs/>
          <w:kern w:val="0"/>
          <w:szCs w:val="21"/>
        </w:rPr>
        <w:t>cDNA</w:t>
      </w:r>
      <w:r>
        <w:rPr>
          <w:bCs/>
          <w:kern w:val="0"/>
          <w:szCs w:val="21"/>
        </w:rPr>
        <w:t>文库</w:t>
      </w:r>
      <w:r>
        <w:rPr>
          <w:bCs/>
          <w:kern w:val="0"/>
          <w:szCs w:val="21"/>
        </w:rPr>
        <w:t xml:space="preserve">     </w:t>
      </w:r>
      <w:r>
        <w:rPr>
          <w:rFonts w:hint="eastAsia"/>
          <w:bCs/>
          <w:kern w:val="0"/>
          <w:szCs w:val="21"/>
        </w:rPr>
        <w:t>2</w:t>
      </w:r>
      <w:r>
        <w:rPr>
          <w:bCs/>
          <w:kern w:val="0"/>
          <w:szCs w:val="21"/>
        </w:rPr>
        <w:t>学时</w:t>
      </w:r>
    </w:p>
    <w:p w14:paraId="7291FFD3" w14:textId="77777777" w:rsidR="00F5289E" w:rsidRDefault="00C91173">
      <w:pPr>
        <w:widowControl/>
        <w:spacing w:line="360" w:lineRule="auto"/>
        <w:jc w:val="left"/>
        <w:rPr>
          <w:kern w:val="0"/>
          <w:szCs w:val="21"/>
        </w:rPr>
      </w:pPr>
      <w:r>
        <w:rPr>
          <w:b/>
          <w:kern w:val="0"/>
          <w:szCs w:val="21"/>
        </w:rPr>
        <w:t>教学组织与实施：</w:t>
      </w:r>
      <w:r>
        <w:rPr>
          <w:kern w:val="0"/>
          <w:szCs w:val="21"/>
        </w:rPr>
        <w:t>通过课堂教学，基因的概念和结构、基因克隆的基本过程和主要策略；通过质粒</w:t>
      </w:r>
      <w:r>
        <w:rPr>
          <w:kern w:val="0"/>
          <w:szCs w:val="21"/>
        </w:rPr>
        <w:t>DNA</w:t>
      </w:r>
      <w:r>
        <w:rPr>
          <w:kern w:val="0"/>
          <w:szCs w:val="21"/>
        </w:rPr>
        <w:t>的限制性内切酶酶切及电泳检测试验，使学生掌握基因克隆的相关技术。</w:t>
      </w:r>
    </w:p>
    <w:p w14:paraId="66103A96" w14:textId="77777777" w:rsidR="00F5289E" w:rsidRDefault="00F5289E">
      <w:pPr>
        <w:widowControl/>
        <w:snapToGrid w:val="0"/>
        <w:spacing w:line="360" w:lineRule="auto"/>
        <w:ind w:firstLineChars="200" w:firstLine="420"/>
        <w:jc w:val="left"/>
        <w:rPr>
          <w:rFonts w:hAnsi="宋体"/>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32A0351B" w14:textId="77777777">
        <w:trPr>
          <w:trHeight w:val="270"/>
        </w:trPr>
        <w:tc>
          <w:tcPr>
            <w:tcW w:w="2965" w:type="dxa"/>
            <w:tcBorders>
              <w:top w:val="nil"/>
              <w:left w:val="nil"/>
              <w:bottom w:val="nil"/>
              <w:right w:val="nil"/>
            </w:tcBorders>
            <w:vAlign w:val="center"/>
          </w:tcPr>
          <w:p w14:paraId="17A46CED"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19F3912C" w14:textId="77777777" w:rsidR="00F5289E" w:rsidRDefault="00C91173">
            <w:pPr>
              <w:widowControl/>
              <w:snapToGrid w:val="0"/>
              <w:spacing w:line="360" w:lineRule="auto"/>
              <w:jc w:val="center"/>
              <w:rPr>
                <w:rFonts w:hAnsi="宋体"/>
                <w:b/>
                <w:bCs/>
                <w:kern w:val="0"/>
                <w:szCs w:val="21"/>
              </w:rPr>
            </w:pPr>
            <w:r>
              <w:rPr>
                <w:b/>
                <w:bCs/>
                <w:kern w:val="0"/>
                <w:szCs w:val="21"/>
              </w:rPr>
              <w:t>第五章</w:t>
            </w:r>
            <w:r>
              <w:rPr>
                <w:b/>
                <w:bCs/>
                <w:kern w:val="0"/>
                <w:szCs w:val="21"/>
              </w:rPr>
              <w:t xml:space="preserve">  </w:t>
            </w:r>
            <w:r>
              <w:rPr>
                <w:b/>
                <w:bCs/>
                <w:kern w:val="0"/>
                <w:szCs w:val="21"/>
              </w:rPr>
              <w:t>植物转基因技术</w:t>
            </w:r>
            <w:r>
              <w:rPr>
                <w:b/>
                <w:bCs/>
                <w:kern w:val="0"/>
                <w:szCs w:val="21"/>
              </w:rPr>
              <w:t xml:space="preserve"> </w:t>
            </w:r>
          </w:p>
        </w:tc>
        <w:tc>
          <w:tcPr>
            <w:tcW w:w="2966" w:type="dxa"/>
            <w:tcBorders>
              <w:top w:val="nil"/>
              <w:left w:val="nil"/>
              <w:bottom w:val="nil"/>
              <w:right w:val="nil"/>
            </w:tcBorders>
            <w:vAlign w:val="center"/>
          </w:tcPr>
          <w:p w14:paraId="30150CF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47221590" w14:textId="77777777" w:rsidR="00F5289E" w:rsidRDefault="00C91173">
      <w:pPr>
        <w:widowControl/>
        <w:spacing w:line="360" w:lineRule="auto"/>
        <w:jc w:val="left"/>
        <w:rPr>
          <w:b/>
          <w:bCs/>
          <w:kern w:val="0"/>
          <w:szCs w:val="21"/>
        </w:rPr>
      </w:pPr>
      <w:r>
        <w:rPr>
          <w:b/>
          <w:bCs/>
          <w:kern w:val="0"/>
          <w:szCs w:val="21"/>
        </w:rPr>
        <w:t>教学目标：</w:t>
      </w:r>
      <w:r>
        <w:rPr>
          <w:bCs/>
          <w:kern w:val="0"/>
          <w:szCs w:val="21"/>
        </w:rPr>
        <w:t>通过本章的学习，了解植物转基因技术的研究概况，掌握植物转基因技术概念，转基因的主要方法及原理、外植体选择的特点和转基因植物的鉴定方法；</w:t>
      </w:r>
      <w:r>
        <w:rPr>
          <w:kern w:val="0"/>
          <w:szCs w:val="21"/>
        </w:rPr>
        <w:t>转基因在园艺植物改良中的应用。</w:t>
      </w:r>
    </w:p>
    <w:p w14:paraId="01A21D78" w14:textId="77777777" w:rsidR="00F5289E" w:rsidRDefault="00C91173">
      <w:pPr>
        <w:widowControl/>
        <w:spacing w:line="360" w:lineRule="auto"/>
        <w:jc w:val="left"/>
        <w:rPr>
          <w:b/>
          <w:bCs/>
          <w:kern w:val="0"/>
          <w:szCs w:val="21"/>
        </w:rPr>
      </w:pPr>
      <w:r>
        <w:rPr>
          <w:b/>
          <w:bCs/>
          <w:kern w:val="0"/>
          <w:szCs w:val="21"/>
        </w:rPr>
        <w:t>教学重点和难点：</w:t>
      </w:r>
      <w:r>
        <w:rPr>
          <w:bCs/>
          <w:kern w:val="0"/>
          <w:szCs w:val="21"/>
        </w:rPr>
        <w:t>转基因技术的概念及植物转基因研究概况；转基因植物的鉴定方法；转基因在园艺植物改良中的应用；转基因植物食品安全性及生态安全性；转基因植物的安全性管理办法。</w:t>
      </w:r>
    </w:p>
    <w:p w14:paraId="43512424" w14:textId="77777777" w:rsidR="00F5289E" w:rsidRDefault="00C91173">
      <w:pPr>
        <w:widowControl/>
        <w:spacing w:line="360" w:lineRule="auto"/>
        <w:jc w:val="left"/>
        <w:rPr>
          <w:b/>
          <w:bCs/>
          <w:kern w:val="0"/>
          <w:szCs w:val="21"/>
        </w:rPr>
      </w:pPr>
      <w:r>
        <w:rPr>
          <w:b/>
          <w:bCs/>
          <w:kern w:val="0"/>
          <w:szCs w:val="21"/>
        </w:rPr>
        <w:t>主要教学内容及要求：</w:t>
      </w:r>
    </w:p>
    <w:p w14:paraId="1AE43E9E" w14:textId="77777777" w:rsidR="00F5289E" w:rsidRDefault="00C91173">
      <w:pPr>
        <w:widowControl/>
        <w:spacing w:line="360" w:lineRule="auto"/>
        <w:jc w:val="left"/>
        <w:rPr>
          <w:bCs/>
          <w:kern w:val="0"/>
          <w:szCs w:val="21"/>
        </w:rPr>
      </w:pPr>
      <w:r>
        <w:rPr>
          <w:bCs/>
          <w:kern w:val="0"/>
          <w:szCs w:val="21"/>
        </w:rPr>
        <w:t>第一节</w:t>
      </w:r>
      <w:r>
        <w:rPr>
          <w:bCs/>
          <w:kern w:val="0"/>
          <w:szCs w:val="21"/>
        </w:rPr>
        <w:t xml:space="preserve">  </w:t>
      </w:r>
      <w:r>
        <w:rPr>
          <w:bCs/>
          <w:kern w:val="0"/>
          <w:szCs w:val="21"/>
        </w:rPr>
        <w:t>植物转基因研究概况</w:t>
      </w:r>
      <w:r>
        <w:rPr>
          <w:bCs/>
          <w:kern w:val="0"/>
          <w:szCs w:val="21"/>
        </w:rPr>
        <w:t xml:space="preserve">     0.5</w:t>
      </w:r>
      <w:r>
        <w:rPr>
          <w:bCs/>
          <w:kern w:val="0"/>
          <w:szCs w:val="21"/>
        </w:rPr>
        <w:t>学时</w:t>
      </w:r>
    </w:p>
    <w:p w14:paraId="4142E18E" w14:textId="77777777" w:rsidR="00F5289E" w:rsidRDefault="00C91173">
      <w:pPr>
        <w:widowControl/>
        <w:spacing w:line="360" w:lineRule="auto"/>
        <w:jc w:val="left"/>
        <w:rPr>
          <w:bCs/>
          <w:kern w:val="0"/>
          <w:szCs w:val="21"/>
        </w:rPr>
      </w:pPr>
      <w:r>
        <w:rPr>
          <w:bCs/>
          <w:kern w:val="0"/>
          <w:szCs w:val="21"/>
        </w:rPr>
        <w:t>第二节</w:t>
      </w:r>
      <w:r>
        <w:rPr>
          <w:bCs/>
          <w:kern w:val="0"/>
          <w:szCs w:val="21"/>
        </w:rPr>
        <w:t xml:space="preserve">  </w:t>
      </w:r>
      <w:r>
        <w:rPr>
          <w:bCs/>
          <w:kern w:val="0"/>
          <w:szCs w:val="21"/>
        </w:rPr>
        <w:t>植物转基因方法</w:t>
      </w:r>
      <w:r>
        <w:rPr>
          <w:bCs/>
          <w:kern w:val="0"/>
          <w:szCs w:val="21"/>
        </w:rPr>
        <w:t xml:space="preserve">     1.5</w:t>
      </w:r>
      <w:r>
        <w:rPr>
          <w:bCs/>
          <w:kern w:val="0"/>
          <w:szCs w:val="21"/>
        </w:rPr>
        <w:t>学时</w:t>
      </w:r>
    </w:p>
    <w:p w14:paraId="3DD3DA3B" w14:textId="77777777" w:rsidR="00F5289E" w:rsidRDefault="00C91173">
      <w:pPr>
        <w:widowControl/>
        <w:spacing w:line="360" w:lineRule="auto"/>
        <w:jc w:val="left"/>
        <w:rPr>
          <w:bCs/>
          <w:kern w:val="0"/>
          <w:szCs w:val="21"/>
        </w:rPr>
      </w:pPr>
      <w:r>
        <w:rPr>
          <w:bCs/>
          <w:kern w:val="0"/>
          <w:szCs w:val="21"/>
        </w:rPr>
        <w:t>第三节</w:t>
      </w:r>
      <w:r>
        <w:rPr>
          <w:bCs/>
          <w:kern w:val="0"/>
          <w:szCs w:val="21"/>
        </w:rPr>
        <w:t xml:space="preserve">  </w:t>
      </w:r>
      <w:r>
        <w:rPr>
          <w:bCs/>
          <w:kern w:val="0"/>
          <w:szCs w:val="21"/>
        </w:rPr>
        <w:t>转基因植物的鉴定方法及其在园艺植物改良中的应用</w:t>
      </w:r>
      <w:r>
        <w:rPr>
          <w:bCs/>
          <w:kern w:val="0"/>
          <w:szCs w:val="21"/>
        </w:rPr>
        <w:t xml:space="preserve">     2.5</w:t>
      </w:r>
      <w:r>
        <w:rPr>
          <w:bCs/>
          <w:kern w:val="0"/>
          <w:szCs w:val="21"/>
        </w:rPr>
        <w:t>学时</w:t>
      </w:r>
    </w:p>
    <w:p w14:paraId="0367D484" w14:textId="77777777" w:rsidR="00F5289E" w:rsidRDefault="00C91173">
      <w:pPr>
        <w:widowControl/>
        <w:spacing w:line="360" w:lineRule="auto"/>
        <w:jc w:val="left"/>
        <w:rPr>
          <w:bCs/>
          <w:kern w:val="0"/>
          <w:szCs w:val="21"/>
        </w:rPr>
      </w:pPr>
      <w:r>
        <w:rPr>
          <w:bCs/>
          <w:kern w:val="0"/>
          <w:szCs w:val="21"/>
        </w:rPr>
        <w:t>第四节</w:t>
      </w:r>
      <w:r>
        <w:rPr>
          <w:bCs/>
          <w:kern w:val="0"/>
          <w:szCs w:val="21"/>
        </w:rPr>
        <w:t xml:space="preserve">  </w:t>
      </w:r>
      <w:r>
        <w:rPr>
          <w:bCs/>
          <w:kern w:val="0"/>
          <w:szCs w:val="21"/>
        </w:rPr>
        <w:t>转基因植物的安全性评价</w:t>
      </w:r>
      <w:r>
        <w:rPr>
          <w:bCs/>
          <w:kern w:val="0"/>
          <w:szCs w:val="21"/>
        </w:rPr>
        <w:t xml:space="preserve">     0.5</w:t>
      </w:r>
      <w:r>
        <w:rPr>
          <w:bCs/>
          <w:kern w:val="0"/>
          <w:szCs w:val="21"/>
        </w:rPr>
        <w:t>学时</w:t>
      </w:r>
    </w:p>
    <w:p w14:paraId="41507F94" w14:textId="77777777" w:rsidR="00F5289E" w:rsidRDefault="00C91173">
      <w:pPr>
        <w:widowControl/>
        <w:spacing w:line="360" w:lineRule="auto"/>
        <w:ind w:firstLineChars="200" w:firstLine="422"/>
        <w:jc w:val="left"/>
        <w:rPr>
          <w:b/>
          <w:bCs/>
          <w:kern w:val="0"/>
          <w:szCs w:val="21"/>
        </w:rPr>
      </w:pPr>
      <w:r>
        <w:rPr>
          <w:b/>
          <w:bCs/>
          <w:kern w:val="0"/>
          <w:szCs w:val="21"/>
        </w:rPr>
        <w:t>了解：</w:t>
      </w:r>
      <w:r>
        <w:rPr>
          <w:bCs/>
          <w:kern w:val="0"/>
          <w:szCs w:val="21"/>
        </w:rPr>
        <w:t>植物转基因研究概况；转基因的主要方法；</w:t>
      </w:r>
      <w:r>
        <w:rPr>
          <w:kern w:val="0"/>
          <w:szCs w:val="21"/>
        </w:rPr>
        <w:t>转基因植物的食品安全性；转基因植物生态环境的安全性；转基因植物的安全性管理办法。</w:t>
      </w:r>
    </w:p>
    <w:p w14:paraId="483B3060" w14:textId="77777777" w:rsidR="00F5289E" w:rsidRDefault="00C91173">
      <w:pPr>
        <w:widowControl/>
        <w:spacing w:line="360" w:lineRule="auto"/>
        <w:ind w:firstLineChars="200" w:firstLine="422"/>
        <w:jc w:val="left"/>
        <w:rPr>
          <w:b/>
          <w:bCs/>
          <w:kern w:val="0"/>
          <w:szCs w:val="21"/>
        </w:rPr>
      </w:pPr>
      <w:r>
        <w:rPr>
          <w:b/>
          <w:bCs/>
          <w:kern w:val="0"/>
          <w:szCs w:val="21"/>
        </w:rPr>
        <w:t>理解：</w:t>
      </w:r>
      <w:r>
        <w:rPr>
          <w:kern w:val="0"/>
          <w:szCs w:val="21"/>
        </w:rPr>
        <w:t>外植体的特点和选择方法；外源基因整合的鉴定；外源基因表达的检测；</w:t>
      </w:r>
    </w:p>
    <w:p w14:paraId="21BBA406" w14:textId="77777777" w:rsidR="00F5289E" w:rsidRDefault="00C91173">
      <w:pPr>
        <w:widowControl/>
        <w:spacing w:line="360" w:lineRule="auto"/>
        <w:ind w:firstLineChars="200" w:firstLine="422"/>
        <w:jc w:val="left"/>
        <w:rPr>
          <w:bCs/>
          <w:kern w:val="0"/>
          <w:szCs w:val="21"/>
        </w:rPr>
      </w:pPr>
      <w:r>
        <w:rPr>
          <w:b/>
          <w:bCs/>
          <w:kern w:val="0"/>
          <w:szCs w:val="21"/>
        </w:rPr>
        <w:t>掌握：</w:t>
      </w:r>
      <w:r>
        <w:rPr>
          <w:bCs/>
          <w:kern w:val="0"/>
          <w:szCs w:val="21"/>
        </w:rPr>
        <w:t>转基因技术相关概念；农杆菌介导法的原理和过程。</w:t>
      </w:r>
    </w:p>
    <w:p w14:paraId="36904928" w14:textId="77777777" w:rsidR="00F5289E" w:rsidRDefault="00C91173">
      <w:pPr>
        <w:widowControl/>
        <w:spacing w:line="360" w:lineRule="auto"/>
        <w:ind w:firstLineChars="200" w:firstLine="422"/>
        <w:jc w:val="left"/>
        <w:rPr>
          <w:b/>
          <w:bCs/>
          <w:kern w:val="0"/>
          <w:szCs w:val="21"/>
        </w:rPr>
      </w:pPr>
      <w:r>
        <w:rPr>
          <w:b/>
          <w:bCs/>
          <w:kern w:val="0"/>
          <w:szCs w:val="21"/>
        </w:rPr>
        <w:t>熟练掌握：</w:t>
      </w:r>
      <w:r>
        <w:rPr>
          <w:kern w:val="0"/>
          <w:szCs w:val="21"/>
        </w:rPr>
        <w:t>转基因植物的鉴定方法。</w:t>
      </w:r>
    </w:p>
    <w:p w14:paraId="5853483D" w14:textId="77777777" w:rsidR="00F5289E" w:rsidRDefault="00C91173">
      <w:pPr>
        <w:widowControl/>
        <w:spacing w:line="360" w:lineRule="auto"/>
        <w:jc w:val="left"/>
        <w:rPr>
          <w:b/>
          <w:bCs/>
          <w:kern w:val="0"/>
          <w:szCs w:val="21"/>
        </w:rPr>
      </w:pPr>
      <w:r>
        <w:rPr>
          <w:b/>
          <w:bCs/>
          <w:kern w:val="0"/>
          <w:szCs w:val="21"/>
        </w:rPr>
        <w:t>教学组织与实施：</w:t>
      </w:r>
      <w:r>
        <w:rPr>
          <w:bCs/>
          <w:kern w:val="0"/>
          <w:szCs w:val="21"/>
        </w:rPr>
        <w:t>通过课堂教学，结合大量图片和实例资料，详细讲述植物转基因的研究现状、转基因的主要方法和外植体选择的特点，介绍转基因植物安全性评价的方法。</w:t>
      </w:r>
    </w:p>
    <w:p w14:paraId="0E073BA8" w14:textId="77777777" w:rsidR="00F5289E" w:rsidRDefault="00F5289E">
      <w:pPr>
        <w:widowControl/>
        <w:snapToGrid w:val="0"/>
        <w:spacing w:line="360" w:lineRule="auto"/>
        <w:ind w:firstLineChars="200" w:firstLine="420"/>
        <w:jc w:val="left"/>
        <w:rPr>
          <w:rFonts w:hAnsi="宋体"/>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438"/>
        <w:gridCol w:w="3869"/>
        <w:gridCol w:w="2589"/>
      </w:tblGrid>
      <w:tr w:rsidR="00F5289E" w14:paraId="3007766A" w14:textId="77777777">
        <w:trPr>
          <w:trHeight w:val="270"/>
        </w:trPr>
        <w:tc>
          <w:tcPr>
            <w:tcW w:w="2438" w:type="dxa"/>
            <w:tcBorders>
              <w:top w:val="nil"/>
              <w:left w:val="nil"/>
              <w:bottom w:val="nil"/>
              <w:right w:val="nil"/>
            </w:tcBorders>
            <w:vAlign w:val="center"/>
          </w:tcPr>
          <w:p w14:paraId="46885A4C" w14:textId="77777777" w:rsidR="00F5289E" w:rsidRDefault="00F5289E">
            <w:pPr>
              <w:widowControl/>
              <w:snapToGrid w:val="0"/>
              <w:spacing w:line="360" w:lineRule="auto"/>
              <w:jc w:val="center"/>
              <w:rPr>
                <w:rFonts w:hAnsi="宋体"/>
                <w:b/>
                <w:bCs/>
                <w:kern w:val="0"/>
                <w:szCs w:val="21"/>
              </w:rPr>
            </w:pPr>
          </w:p>
        </w:tc>
        <w:tc>
          <w:tcPr>
            <w:tcW w:w="3869" w:type="dxa"/>
            <w:tcBorders>
              <w:top w:val="nil"/>
              <w:left w:val="nil"/>
              <w:bottom w:val="nil"/>
              <w:right w:val="nil"/>
            </w:tcBorders>
            <w:vAlign w:val="center"/>
          </w:tcPr>
          <w:p w14:paraId="77FCED46" w14:textId="77777777" w:rsidR="00F5289E" w:rsidRDefault="00C91173">
            <w:pPr>
              <w:widowControl/>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园艺植物生物技术与生物信息学</w:t>
            </w:r>
          </w:p>
        </w:tc>
        <w:tc>
          <w:tcPr>
            <w:tcW w:w="2589" w:type="dxa"/>
            <w:tcBorders>
              <w:top w:val="nil"/>
              <w:left w:val="nil"/>
              <w:bottom w:val="nil"/>
              <w:right w:val="nil"/>
            </w:tcBorders>
            <w:vAlign w:val="center"/>
          </w:tcPr>
          <w:p w14:paraId="3D27843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2</w:t>
            </w:r>
          </w:p>
        </w:tc>
      </w:tr>
    </w:tbl>
    <w:p w14:paraId="29568AD7" w14:textId="77777777" w:rsidR="00F5289E" w:rsidRDefault="00C91173">
      <w:pPr>
        <w:widowControl/>
        <w:spacing w:line="360" w:lineRule="auto"/>
        <w:jc w:val="left"/>
        <w:rPr>
          <w:b/>
          <w:bCs/>
          <w:kern w:val="0"/>
          <w:szCs w:val="21"/>
        </w:rPr>
      </w:pPr>
      <w:r>
        <w:rPr>
          <w:b/>
          <w:bCs/>
          <w:kern w:val="0"/>
          <w:szCs w:val="21"/>
        </w:rPr>
        <w:t>教学目标：</w:t>
      </w:r>
      <w:r>
        <w:rPr>
          <w:bCs/>
          <w:kern w:val="0"/>
          <w:szCs w:val="21"/>
        </w:rPr>
        <w:t>通过本章的学习，了解</w:t>
      </w:r>
      <w:r>
        <w:rPr>
          <w:rFonts w:hint="eastAsia"/>
          <w:bCs/>
          <w:kern w:val="0"/>
          <w:szCs w:val="21"/>
        </w:rPr>
        <w:t>生物信息学发展史、常用数据库及生物信息学在园艺植物中的应用；掌握利用生物信息学方法从各生物学科众多分散的观测资料中发现联系和规律，进而挖掘潜在的信息与知识。</w:t>
      </w:r>
    </w:p>
    <w:p w14:paraId="781914C5" w14:textId="77777777" w:rsidR="00F5289E" w:rsidRDefault="00C91173">
      <w:pPr>
        <w:widowControl/>
        <w:spacing w:line="360" w:lineRule="auto"/>
        <w:jc w:val="left"/>
        <w:rPr>
          <w:b/>
          <w:bCs/>
          <w:kern w:val="0"/>
          <w:szCs w:val="21"/>
        </w:rPr>
      </w:pPr>
      <w:r>
        <w:rPr>
          <w:b/>
          <w:bCs/>
          <w:kern w:val="0"/>
          <w:szCs w:val="21"/>
        </w:rPr>
        <w:t>教学重点和难点：</w:t>
      </w:r>
      <w:r>
        <w:rPr>
          <w:rFonts w:hint="eastAsia"/>
          <w:bCs/>
          <w:kern w:val="0"/>
          <w:szCs w:val="21"/>
        </w:rPr>
        <w:t>常用数据库的使用方法（</w:t>
      </w:r>
      <w:r>
        <w:rPr>
          <w:rFonts w:hint="eastAsia"/>
          <w:bCs/>
          <w:kern w:val="0"/>
          <w:szCs w:val="21"/>
        </w:rPr>
        <w:t>NCBI</w:t>
      </w:r>
      <w:r>
        <w:rPr>
          <w:rFonts w:hint="eastAsia"/>
          <w:bCs/>
          <w:kern w:val="0"/>
          <w:szCs w:val="21"/>
        </w:rPr>
        <w:t>、</w:t>
      </w:r>
      <w:proofErr w:type="spellStart"/>
      <w:r>
        <w:rPr>
          <w:rFonts w:hint="eastAsia"/>
          <w:bCs/>
          <w:kern w:val="0"/>
          <w:szCs w:val="21"/>
        </w:rPr>
        <w:t>phytozome</w:t>
      </w:r>
      <w:proofErr w:type="spellEnd"/>
      <w:r>
        <w:rPr>
          <w:rFonts w:hint="eastAsia"/>
          <w:bCs/>
          <w:kern w:val="0"/>
          <w:szCs w:val="21"/>
        </w:rPr>
        <w:t>、</w:t>
      </w:r>
      <w:r>
        <w:rPr>
          <w:rFonts w:hint="eastAsia"/>
          <w:bCs/>
          <w:kern w:val="0"/>
          <w:szCs w:val="21"/>
        </w:rPr>
        <w:t>KEGG</w:t>
      </w:r>
      <w:r>
        <w:rPr>
          <w:rFonts w:hint="eastAsia"/>
          <w:bCs/>
          <w:kern w:val="0"/>
          <w:szCs w:val="21"/>
        </w:rPr>
        <w:t>、</w:t>
      </w:r>
      <w:r>
        <w:rPr>
          <w:rFonts w:hint="eastAsia"/>
          <w:bCs/>
          <w:kern w:val="0"/>
          <w:szCs w:val="21"/>
        </w:rPr>
        <w:t>uniport</w:t>
      </w:r>
      <w:r>
        <w:rPr>
          <w:rFonts w:hint="eastAsia"/>
          <w:bCs/>
          <w:kern w:val="0"/>
          <w:szCs w:val="21"/>
        </w:rPr>
        <w:t>等）</w:t>
      </w:r>
      <w:r>
        <w:rPr>
          <w:bCs/>
          <w:kern w:val="0"/>
          <w:szCs w:val="21"/>
        </w:rPr>
        <w:t>；</w:t>
      </w:r>
      <w:r>
        <w:rPr>
          <w:rFonts w:hint="eastAsia"/>
          <w:bCs/>
          <w:kern w:val="0"/>
          <w:szCs w:val="21"/>
        </w:rPr>
        <w:t>利用生物信息学方法从各生物学科众多分散的观测资料中发现联系和规律，进而挖掘潜在的信息与知识</w:t>
      </w:r>
      <w:r>
        <w:rPr>
          <w:bCs/>
          <w:kern w:val="0"/>
          <w:szCs w:val="21"/>
        </w:rPr>
        <w:t>。</w:t>
      </w:r>
    </w:p>
    <w:p w14:paraId="753ED262" w14:textId="77777777" w:rsidR="00F5289E" w:rsidRDefault="00C91173">
      <w:pPr>
        <w:widowControl/>
        <w:spacing w:line="360" w:lineRule="auto"/>
        <w:jc w:val="left"/>
        <w:rPr>
          <w:b/>
          <w:bCs/>
          <w:kern w:val="0"/>
          <w:szCs w:val="21"/>
        </w:rPr>
      </w:pPr>
      <w:r>
        <w:rPr>
          <w:b/>
          <w:bCs/>
          <w:kern w:val="0"/>
          <w:szCs w:val="21"/>
        </w:rPr>
        <w:t>主要教学内容及要求：</w:t>
      </w:r>
    </w:p>
    <w:p w14:paraId="0619ED85" w14:textId="77777777" w:rsidR="00F5289E" w:rsidRDefault="00C91173">
      <w:pPr>
        <w:widowControl/>
        <w:spacing w:line="360" w:lineRule="auto"/>
        <w:jc w:val="left"/>
        <w:rPr>
          <w:bCs/>
          <w:kern w:val="0"/>
          <w:szCs w:val="21"/>
        </w:rPr>
      </w:pPr>
      <w:r>
        <w:rPr>
          <w:bCs/>
          <w:kern w:val="0"/>
          <w:szCs w:val="21"/>
        </w:rPr>
        <w:t>第一节</w:t>
      </w:r>
      <w:r>
        <w:rPr>
          <w:bCs/>
          <w:kern w:val="0"/>
          <w:szCs w:val="21"/>
        </w:rPr>
        <w:t xml:space="preserve">  </w:t>
      </w:r>
      <w:r>
        <w:rPr>
          <w:rFonts w:hint="eastAsia"/>
          <w:bCs/>
          <w:kern w:val="0"/>
          <w:szCs w:val="21"/>
        </w:rPr>
        <w:t>生物信息学发展史</w:t>
      </w:r>
      <w:r>
        <w:rPr>
          <w:bCs/>
          <w:kern w:val="0"/>
          <w:szCs w:val="21"/>
        </w:rPr>
        <w:t xml:space="preserve">     0.5</w:t>
      </w:r>
      <w:r>
        <w:rPr>
          <w:bCs/>
          <w:kern w:val="0"/>
          <w:szCs w:val="21"/>
        </w:rPr>
        <w:t>学时</w:t>
      </w:r>
    </w:p>
    <w:p w14:paraId="2BB9BACB" w14:textId="77777777" w:rsidR="00F5289E" w:rsidRDefault="00C91173">
      <w:pPr>
        <w:widowControl/>
        <w:spacing w:line="360" w:lineRule="auto"/>
        <w:jc w:val="left"/>
        <w:rPr>
          <w:bCs/>
          <w:kern w:val="0"/>
          <w:szCs w:val="21"/>
        </w:rPr>
      </w:pPr>
      <w:r>
        <w:rPr>
          <w:bCs/>
          <w:kern w:val="0"/>
          <w:szCs w:val="21"/>
        </w:rPr>
        <w:t>第二节</w:t>
      </w:r>
      <w:r>
        <w:rPr>
          <w:bCs/>
          <w:kern w:val="0"/>
          <w:szCs w:val="21"/>
        </w:rPr>
        <w:t xml:space="preserve">  </w:t>
      </w:r>
      <w:r>
        <w:rPr>
          <w:rFonts w:hint="eastAsia"/>
          <w:bCs/>
          <w:kern w:val="0"/>
          <w:szCs w:val="21"/>
        </w:rPr>
        <w:t>常用数据库</w:t>
      </w:r>
      <w:r>
        <w:rPr>
          <w:bCs/>
          <w:kern w:val="0"/>
          <w:szCs w:val="21"/>
        </w:rPr>
        <w:t xml:space="preserve">     </w:t>
      </w:r>
      <w:r>
        <w:rPr>
          <w:rFonts w:hint="eastAsia"/>
          <w:bCs/>
          <w:kern w:val="0"/>
          <w:szCs w:val="21"/>
        </w:rPr>
        <w:t xml:space="preserve">      </w:t>
      </w:r>
      <w:r>
        <w:rPr>
          <w:bCs/>
          <w:kern w:val="0"/>
          <w:szCs w:val="21"/>
        </w:rPr>
        <w:t>1.</w:t>
      </w:r>
      <w:r>
        <w:rPr>
          <w:rFonts w:hint="eastAsia"/>
          <w:bCs/>
          <w:kern w:val="0"/>
          <w:szCs w:val="21"/>
        </w:rPr>
        <w:t>0</w:t>
      </w:r>
      <w:r>
        <w:rPr>
          <w:bCs/>
          <w:kern w:val="0"/>
          <w:szCs w:val="21"/>
        </w:rPr>
        <w:t>学时</w:t>
      </w:r>
    </w:p>
    <w:p w14:paraId="0F3FCF6C" w14:textId="77777777" w:rsidR="00F5289E" w:rsidRDefault="00C91173">
      <w:pPr>
        <w:widowControl/>
        <w:spacing w:line="360" w:lineRule="auto"/>
        <w:jc w:val="left"/>
        <w:rPr>
          <w:bCs/>
          <w:kern w:val="0"/>
          <w:szCs w:val="21"/>
        </w:rPr>
      </w:pPr>
      <w:r>
        <w:rPr>
          <w:bCs/>
          <w:kern w:val="0"/>
          <w:szCs w:val="21"/>
        </w:rPr>
        <w:t>第三节</w:t>
      </w:r>
      <w:r>
        <w:rPr>
          <w:bCs/>
          <w:kern w:val="0"/>
          <w:szCs w:val="21"/>
        </w:rPr>
        <w:t xml:space="preserve">  </w:t>
      </w:r>
      <w:r>
        <w:rPr>
          <w:rFonts w:hint="eastAsia"/>
          <w:bCs/>
          <w:kern w:val="0"/>
          <w:szCs w:val="21"/>
        </w:rPr>
        <w:t>生物信息学在园艺作物研究中的应用</w:t>
      </w:r>
      <w:r>
        <w:rPr>
          <w:bCs/>
          <w:kern w:val="0"/>
          <w:szCs w:val="21"/>
        </w:rPr>
        <w:t xml:space="preserve">    </w:t>
      </w:r>
      <w:r>
        <w:rPr>
          <w:rFonts w:hint="eastAsia"/>
          <w:bCs/>
          <w:kern w:val="0"/>
          <w:szCs w:val="21"/>
        </w:rPr>
        <w:t>0</w:t>
      </w:r>
      <w:r>
        <w:rPr>
          <w:bCs/>
          <w:kern w:val="0"/>
          <w:szCs w:val="21"/>
        </w:rPr>
        <w:t>.5</w:t>
      </w:r>
      <w:r>
        <w:rPr>
          <w:bCs/>
          <w:kern w:val="0"/>
          <w:szCs w:val="21"/>
        </w:rPr>
        <w:t>学时</w:t>
      </w:r>
    </w:p>
    <w:p w14:paraId="1E051543" w14:textId="77777777" w:rsidR="00F5289E" w:rsidRDefault="00C91173">
      <w:pPr>
        <w:widowControl/>
        <w:spacing w:line="360" w:lineRule="auto"/>
        <w:ind w:firstLineChars="200" w:firstLine="422"/>
        <w:jc w:val="left"/>
        <w:rPr>
          <w:kern w:val="0"/>
          <w:szCs w:val="21"/>
        </w:rPr>
      </w:pPr>
      <w:r>
        <w:rPr>
          <w:b/>
          <w:bCs/>
          <w:kern w:val="0"/>
          <w:szCs w:val="21"/>
        </w:rPr>
        <w:lastRenderedPageBreak/>
        <w:t>了解：</w:t>
      </w:r>
      <w:r>
        <w:rPr>
          <w:bCs/>
          <w:kern w:val="0"/>
          <w:szCs w:val="21"/>
        </w:rPr>
        <w:t>了解</w:t>
      </w:r>
      <w:r>
        <w:rPr>
          <w:rFonts w:hint="eastAsia"/>
          <w:bCs/>
          <w:kern w:val="0"/>
          <w:szCs w:val="21"/>
        </w:rPr>
        <w:t>生物信息学发展史、常用数据库</w:t>
      </w:r>
      <w:r>
        <w:rPr>
          <w:kern w:val="0"/>
          <w:szCs w:val="21"/>
        </w:rPr>
        <w:t>。</w:t>
      </w:r>
    </w:p>
    <w:p w14:paraId="440D7991" w14:textId="77777777" w:rsidR="00F5289E" w:rsidRDefault="00C91173">
      <w:pPr>
        <w:widowControl/>
        <w:spacing w:line="360" w:lineRule="auto"/>
        <w:ind w:firstLineChars="200" w:firstLine="422"/>
        <w:jc w:val="left"/>
        <w:rPr>
          <w:kern w:val="0"/>
          <w:szCs w:val="21"/>
        </w:rPr>
      </w:pPr>
      <w:r>
        <w:rPr>
          <w:b/>
          <w:bCs/>
          <w:kern w:val="0"/>
          <w:szCs w:val="21"/>
        </w:rPr>
        <w:t>理解：</w:t>
      </w:r>
      <w:r>
        <w:rPr>
          <w:rFonts w:hint="eastAsia"/>
          <w:bCs/>
          <w:kern w:val="0"/>
          <w:szCs w:val="21"/>
        </w:rPr>
        <w:t>生物信息学在园艺植物中的应用</w:t>
      </w:r>
    </w:p>
    <w:p w14:paraId="53FD7B6D" w14:textId="77777777" w:rsidR="00F5289E" w:rsidRDefault="00C91173">
      <w:pPr>
        <w:widowControl/>
        <w:spacing w:line="360" w:lineRule="auto"/>
        <w:ind w:firstLineChars="200" w:firstLine="422"/>
        <w:jc w:val="left"/>
        <w:rPr>
          <w:bCs/>
          <w:kern w:val="0"/>
          <w:szCs w:val="21"/>
        </w:rPr>
      </w:pPr>
      <w:r>
        <w:rPr>
          <w:b/>
          <w:bCs/>
          <w:kern w:val="0"/>
          <w:szCs w:val="21"/>
        </w:rPr>
        <w:t>掌握：</w:t>
      </w:r>
      <w:r>
        <w:rPr>
          <w:rFonts w:hint="eastAsia"/>
          <w:bCs/>
          <w:kern w:val="0"/>
          <w:szCs w:val="21"/>
        </w:rPr>
        <w:t>利用生物信息学方法从各生物学科众多分散的观测资料中发现联系和规律，进而挖掘潜在的信息与知识</w:t>
      </w:r>
      <w:r>
        <w:rPr>
          <w:bCs/>
          <w:kern w:val="0"/>
          <w:szCs w:val="21"/>
        </w:rPr>
        <w:t>。</w:t>
      </w:r>
    </w:p>
    <w:p w14:paraId="3E74F6F0" w14:textId="77777777" w:rsidR="00F5289E" w:rsidRDefault="00C91173">
      <w:pPr>
        <w:widowControl/>
        <w:spacing w:line="360" w:lineRule="auto"/>
        <w:jc w:val="left"/>
        <w:rPr>
          <w:b/>
          <w:bCs/>
          <w:kern w:val="0"/>
          <w:szCs w:val="21"/>
        </w:rPr>
      </w:pPr>
      <w:r>
        <w:rPr>
          <w:b/>
          <w:bCs/>
          <w:kern w:val="0"/>
          <w:szCs w:val="21"/>
        </w:rPr>
        <w:t>教学组织与实施：</w:t>
      </w:r>
      <w:r>
        <w:rPr>
          <w:bCs/>
          <w:kern w:val="0"/>
          <w:szCs w:val="21"/>
        </w:rPr>
        <w:t>通过课堂教学，</w:t>
      </w:r>
      <w:r>
        <w:rPr>
          <w:rFonts w:hint="eastAsia"/>
          <w:bCs/>
          <w:kern w:val="0"/>
          <w:szCs w:val="21"/>
        </w:rPr>
        <w:t>结合应用实例和文献报道</w:t>
      </w:r>
      <w:r>
        <w:rPr>
          <w:bCs/>
          <w:kern w:val="0"/>
          <w:szCs w:val="21"/>
        </w:rPr>
        <w:t>，详细讲述</w:t>
      </w:r>
      <w:r>
        <w:rPr>
          <w:rFonts w:hint="eastAsia"/>
          <w:bCs/>
          <w:kern w:val="0"/>
          <w:szCs w:val="21"/>
        </w:rPr>
        <w:t>生物信息学方法在园艺植物中的应用</w:t>
      </w:r>
      <w:r>
        <w:rPr>
          <w:bCs/>
          <w:kern w:val="0"/>
          <w:szCs w:val="21"/>
        </w:rPr>
        <w:t>。</w:t>
      </w:r>
    </w:p>
    <w:p w14:paraId="28323612" w14:textId="77777777" w:rsidR="00F5289E" w:rsidRDefault="00F5289E">
      <w:pPr>
        <w:widowControl/>
        <w:snapToGrid w:val="0"/>
        <w:spacing w:line="360" w:lineRule="auto"/>
        <w:ind w:firstLineChars="200" w:firstLine="420"/>
        <w:jc w:val="left"/>
        <w:rPr>
          <w:rFonts w:hAnsi="宋体"/>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664"/>
        <w:gridCol w:w="3466"/>
        <w:gridCol w:w="2766"/>
      </w:tblGrid>
      <w:tr w:rsidR="00F5289E" w14:paraId="1DA7991A" w14:textId="77777777">
        <w:trPr>
          <w:trHeight w:val="270"/>
        </w:trPr>
        <w:tc>
          <w:tcPr>
            <w:tcW w:w="2664" w:type="dxa"/>
            <w:tcBorders>
              <w:top w:val="nil"/>
              <w:left w:val="nil"/>
              <w:bottom w:val="nil"/>
              <w:right w:val="nil"/>
            </w:tcBorders>
            <w:vAlign w:val="center"/>
          </w:tcPr>
          <w:p w14:paraId="2951250F" w14:textId="77777777" w:rsidR="00F5289E" w:rsidRDefault="00F5289E">
            <w:pPr>
              <w:widowControl/>
              <w:snapToGrid w:val="0"/>
              <w:spacing w:line="360" w:lineRule="auto"/>
              <w:jc w:val="center"/>
              <w:rPr>
                <w:rFonts w:hAnsi="宋体"/>
                <w:b/>
                <w:bCs/>
                <w:kern w:val="0"/>
                <w:szCs w:val="21"/>
              </w:rPr>
            </w:pPr>
          </w:p>
        </w:tc>
        <w:tc>
          <w:tcPr>
            <w:tcW w:w="3466" w:type="dxa"/>
            <w:tcBorders>
              <w:top w:val="nil"/>
              <w:left w:val="nil"/>
              <w:bottom w:val="nil"/>
              <w:right w:val="nil"/>
            </w:tcBorders>
            <w:vAlign w:val="center"/>
          </w:tcPr>
          <w:p w14:paraId="29078618" w14:textId="77777777" w:rsidR="00F5289E" w:rsidRDefault="00C91173">
            <w:pPr>
              <w:widowControl/>
              <w:snapToGrid w:val="0"/>
              <w:spacing w:line="360" w:lineRule="auto"/>
              <w:jc w:val="center"/>
              <w:rPr>
                <w:b/>
                <w:bCs/>
                <w:kern w:val="0"/>
                <w:szCs w:val="21"/>
              </w:rPr>
            </w:pPr>
            <w:r>
              <w:rPr>
                <w:rFonts w:hint="eastAsia"/>
                <w:b/>
                <w:bCs/>
                <w:kern w:val="0"/>
                <w:szCs w:val="21"/>
              </w:rPr>
              <w:t>第七章</w:t>
            </w:r>
            <w:r>
              <w:rPr>
                <w:rFonts w:hint="eastAsia"/>
                <w:b/>
                <w:bCs/>
                <w:kern w:val="0"/>
                <w:szCs w:val="21"/>
              </w:rPr>
              <w:t xml:space="preserve">  </w:t>
            </w:r>
            <w:r>
              <w:rPr>
                <w:rFonts w:hint="eastAsia"/>
                <w:b/>
                <w:bCs/>
                <w:kern w:val="0"/>
                <w:szCs w:val="21"/>
              </w:rPr>
              <w:t>园艺植物生物技术研究进展</w:t>
            </w:r>
          </w:p>
        </w:tc>
        <w:tc>
          <w:tcPr>
            <w:tcW w:w="2766" w:type="dxa"/>
            <w:tcBorders>
              <w:top w:val="nil"/>
              <w:left w:val="nil"/>
              <w:bottom w:val="nil"/>
              <w:right w:val="nil"/>
            </w:tcBorders>
            <w:vAlign w:val="center"/>
          </w:tcPr>
          <w:p w14:paraId="20B011CD"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41A933B1"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szCs w:val="21"/>
        </w:rPr>
        <w:t>了解</w:t>
      </w:r>
      <w:r>
        <w:rPr>
          <w:rFonts w:hint="eastAsia"/>
          <w:szCs w:val="21"/>
        </w:rPr>
        <w:t>常见生物技术方法在果树、蔬菜和花卉植物中的应用</w:t>
      </w:r>
      <w:r>
        <w:rPr>
          <w:szCs w:val="21"/>
        </w:rPr>
        <w:t>，</w:t>
      </w:r>
      <w:r>
        <w:rPr>
          <w:rFonts w:hint="eastAsia"/>
          <w:szCs w:val="21"/>
        </w:rPr>
        <w:t>理解生物技术在园艺植物中应用的技术原理，掌握利用现代生物学方法解决园艺植物科学难题的方法</w:t>
      </w:r>
      <w:r>
        <w:rPr>
          <w:szCs w:val="21"/>
        </w:rPr>
        <w:t>。</w:t>
      </w:r>
    </w:p>
    <w:p w14:paraId="1330DE74"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rPr>
        <w:t>主要园艺植物的细胞学研究</w:t>
      </w:r>
      <w:r>
        <w:rPr>
          <w:szCs w:val="21"/>
        </w:rPr>
        <w:t>、</w:t>
      </w:r>
      <w:r>
        <w:rPr>
          <w:rFonts w:hint="eastAsia"/>
          <w:szCs w:val="21"/>
        </w:rPr>
        <w:t>分子标记的应用</w:t>
      </w:r>
      <w:r>
        <w:rPr>
          <w:szCs w:val="21"/>
        </w:rPr>
        <w:t>、</w:t>
      </w:r>
      <w:r>
        <w:rPr>
          <w:rFonts w:hint="eastAsia"/>
          <w:szCs w:val="21"/>
        </w:rPr>
        <w:t>基因的分离与克隆和转基因技术研究</w:t>
      </w:r>
      <w:r>
        <w:rPr>
          <w:szCs w:val="21"/>
        </w:rPr>
        <w:t>。</w:t>
      </w:r>
    </w:p>
    <w:p w14:paraId="54D2B0C0" w14:textId="77777777" w:rsidR="00F5289E" w:rsidRDefault="00C91173">
      <w:pPr>
        <w:spacing w:line="360" w:lineRule="auto"/>
        <w:ind w:firstLineChars="200" w:firstLine="422"/>
        <w:rPr>
          <w:rFonts w:ascii="宋体" w:hAnsi="宋体"/>
          <w:b/>
        </w:rPr>
      </w:pPr>
      <w:r>
        <w:rPr>
          <w:rFonts w:ascii="宋体" w:hAnsi="宋体" w:hint="eastAsia"/>
          <w:b/>
        </w:rPr>
        <w:t>主要教学内容及要求：</w:t>
      </w:r>
    </w:p>
    <w:p w14:paraId="31D3A0D3" w14:textId="77777777" w:rsidR="00F5289E" w:rsidRDefault="00C91173">
      <w:pPr>
        <w:spacing w:line="360" w:lineRule="auto"/>
        <w:ind w:firstLineChars="200" w:firstLine="422"/>
        <w:rPr>
          <w:szCs w:val="21"/>
        </w:rPr>
      </w:pPr>
      <w:r>
        <w:rPr>
          <w:b/>
          <w:szCs w:val="21"/>
        </w:rPr>
        <w:t>了解：</w:t>
      </w:r>
      <w:r>
        <w:rPr>
          <w:szCs w:val="21"/>
        </w:rPr>
        <w:t>了解</w:t>
      </w:r>
      <w:r>
        <w:rPr>
          <w:rFonts w:hint="eastAsia"/>
          <w:szCs w:val="21"/>
        </w:rPr>
        <w:t>园艺植物细胞学技术研究的方法和生物技术的发展趋势</w:t>
      </w:r>
      <w:r>
        <w:rPr>
          <w:szCs w:val="21"/>
        </w:rPr>
        <w:t>。</w:t>
      </w:r>
    </w:p>
    <w:p w14:paraId="1ECD87C9" w14:textId="77777777" w:rsidR="00F5289E" w:rsidRDefault="00C91173">
      <w:pPr>
        <w:spacing w:line="360" w:lineRule="auto"/>
        <w:ind w:firstLineChars="200" w:firstLine="422"/>
        <w:rPr>
          <w:b/>
          <w:szCs w:val="21"/>
        </w:rPr>
      </w:pPr>
      <w:r>
        <w:rPr>
          <w:b/>
          <w:szCs w:val="21"/>
        </w:rPr>
        <w:t>理解：</w:t>
      </w:r>
      <w:r>
        <w:rPr>
          <w:rFonts w:hint="eastAsia"/>
          <w:bCs/>
          <w:szCs w:val="21"/>
        </w:rPr>
        <w:t>主要园艺植物转基因的方法、原理及转基因植株鉴定的方法</w:t>
      </w:r>
      <w:r>
        <w:rPr>
          <w:bCs/>
          <w:szCs w:val="21"/>
        </w:rPr>
        <w:t>。</w:t>
      </w:r>
    </w:p>
    <w:p w14:paraId="4DDEE849" w14:textId="77777777" w:rsidR="00F5289E" w:rsidRDefault="00C91173">
      <w:pPr>
        <w:spacing w:line="360" w:lineRule="auto"/>
        <w:ind w:firstLineChars="200" w:firstLine="422"/>
        <w:rPr>
          <w:szCs w:val="21"/>
        </w:rPr>
      </w:pPr>
      <w:r>
        <w:rPr>
          <w:b/>
          <w:szCs w:val="21"/>
        </w:rPr>
        <w:t>掌握：</w:t>
      </w:r>
      <w:r>
        <w:rPr>
          <w:rFonts w:hint="eastAsia"/>
          <w:bCs/>
          <w:szCs w:val="21"/>
        </w:rPr>
        <w:t>分子标记的原理和</w:t>
      </w:r>
      <w:r>
        <w:rPr>
          <w:rFonts w:hint="eastAsia"/>
          <w:bCs/>
        </w:rPr>
        <w:t>分子标记辅助选择育种的应用</w:t>
      </w:r>
      <w:r>
        <w:rPr>
          <w:szCs w:val="21"/>
        </w:rPr>
        <w:t>。</w:t>
      </w:r>
    </w:p>
    <w:p w14:paraId="7B82102F" w14:textId="77777777" w:rsidR="00F5289E" w:rsidRDefault="00C91173">
      <w:pPr>
        <w:spacing w:line="360" w:lineRule="auto"/>
        <w:rPr>
          <w:szCs w:val="21"/>
        </w:rPr>
      </w:pPr>
      <w:r>
        <w:rPr>
          <w:szCs w:val="21"/>
        </w:rPr>
        <w:t>第</w:t>
      </w:r>
      <w:r>
        <w:rPr>
          <w:rFonts w:hint="eastAsia"/>
          <w:szCs w:val="21"/>
        </w:rPr>
        <w:t>一</w:t>
      </w:r>
      <w:r>
        <w:rPr>
          <w:szCs w:val="21"/>
        </w:rPr>
        <w:t>节</w:t>
      </w:r>
      <w:r>
        <w:rPr>
          <w:szCs w:val="21"/>
        </w:rPr>
        <w:t xml:space="preserve">  </w:t>
      </w:r>
      <w:r>
        <w:rPr>
          <w:rFonts w:hint="eastAsia"/>
          <w:szCs w:val="21"/>
        </w:rPr>
        <w:t>果树生物技术研究进展</w:t>
      </w:r>
      <w:r>
        <w:rPr>
          <w:szCs w:val="21"/>
        </w:rPr>
        <w:t xml:space="preserve">      </w:t>
      </w:r>
      <w:r>
        <w:rPr>
          <w:rFonts w:hint="eastAsia"/>
          <w:szCs w:val="21"/>
        </w:rPr>
        <w:t xml:space="preserve">     </w:t>
      </w:r>
      <w:r>
        <w:rPr>
          <w:szCs w:val="21"/>
        </w:rPr>
        <w:t xml:space="preserve">  </w:t>
      </w:r>
      <w:r>
        <w:rPr>
          <w:rFonts w:hint="eastAsia"/>
          <w:bCs/>
          <w:szCs w:val="21"/>
        </w:rPr>
        <w:t>2</w:t>
      </w:r>
      <w:r>
        <w:rPr>
          <w:bCs/>
          <w:szCs w:val="21"/>
        </w:rPr>
        <w:t>学时</w:t>
      </w:r>
    </w:p>
    <w:p w14:paraId="47B3C8D8" w14:textId="77777777" w:rsidR="00F5289E" w:rsidRDefault="00C91173">
      <w:pPr>
        <w:widowControl/>
        <w:snapToGrid w:val="0"/>
        <w:spacing w:line="360" w:lineRule="auto"/>
        <w:rPr>
          <w:kern w:val="0"/>
          <w:szCs w:val="21"/>
        </w:rPr>
      </w:pPr>
      <w:r>
        <w:rPr>
          <w:kern w:val="0"/>
          <w:szCs w:val="21"/>
        </w:rPr>
        <w:t>第二节</w:t>
      </w:r>
      <w:r>
        <w:rPr>
          <w:kern w:val="0"/>
          <w:szCs w:val="21"/>
        </w:rPr>
        <w:t xml:space="preserve">  </w:t>
      </w:r>
      <w:r>
        <w:rPr>
          <w:rFonts w:hint="eastAsia"/>
          <w:kern w:val="0"/>
          <w:szCs w:val="21"/>
        </w:rPr>
        <w:t>蔬菜生物技术研究进展</w:t>
      </w:r>
      <w:r>
        <w:rPr>
          <w:szCs w:val="21"/>
        </w:rPr>
        <w:t xml:space="preserve">             </w:t>
      </w:r>
      <w:r>
        <w:rPr>
          <w:rFonts w:hint="eastAsia"/>
          <w:bCs/>
          <w:szCs w:val="21"/>
        </w:rPr>
        <w:t>1</w:t>
      </w:r>
      <w:r>
        <w:rPr>
          <w:bCs/>
          <w:szCs w:val="21"/>
        </w:rPr>
        <w:t>学时</w:t>
      </w:r>
    </w:p>
    <w:p w14:paraId="572CE45A" w14:textId="77777777" w:rsidR="00F5289E" w:rsidRDefault="00C91173">
      <w:pPr>
        <w:widowControl/>
        <w:snapToGrid w:val="0"/>
        <w:spacing w:line="360" w:lineRule="auto"/>
        <w:rPr>
          <w:bCs/>
          <w:szCs w:val="21"/>
        </w:rPr>
      </w:pPr>
      <w:r>
        <w:rPr>
          <w:szCs w:val="21"/>
        </w:rPr>
        <w:t>第三节</w:t>
      </w:r>
      <w:r>
        <w:rPr>
          <w:szCs w:val="21"/>
        </w:rPr>
        <w:t xml:space="preserve">  </w:t>
      </w:r>
      <w:r>
        <w:rPr>
          <w:rFonts w:hint="eastAsia"/>
          <w:szCs w:val="21"/>
        </w:rPr>
        <w:t>花卉生物技术研究进展</w:t>
      </w:r>
      <w:r>
        <w:rPr>
          <w:szCs w:val="21"/>
        </w:rPr>
        <w:t xml:space="preserve">             </w:t>
      </w:r>
      <w:r>
        <w:rPr>
          <w:rFonts w:hint="eastAsia"/>
          <w:bCs/>
          <w:szCs w:val="21"/>
        </w:rPr>
        <w:t>1</w:t>
      </w:r>
      <w:r>
        <w:rPr>
          <w:bCs/>
          <w:szCs w:val="21"/>
        </w:rPr>
        <w:t>学时</w:t>
      </w:r>
    </w:p>
    <w:p w14:paraId="70414163" w14:textId="77777777" w:rsidR="00F5289E" w:rsidRDefault="00C91173">
      <w:pPr>
        <w:widowControl/>
        <w:snapToGrid w:val="0"/>
        <w:spacing w:line="360" w:lineRule="auto"/>
      </w:pPr>
      <w:r>
        <w:rPr>
          <w:rFonts w:ascii="宋体" w:hAnsi="宋体" w:hint="eastAsia"/>
          <w:b/>
          <w:bCs/>
        </w:rPr>
        <w:t>教学组织与实施：</w:t>
      </w:r>
      <w:r>
        <w:rPr>
          <w:bCs/>
          <w:szCs w:val="21"/>
        </w:rPr>
        <w:t>通过课堂</w:t>
      </w:r>
      <w:r>
        <w:rPr>
          <w:rFonts w:hint="eastAsia"/>
          <w:bCs/>
          <w:szCs w:val="21"/>
        </w:rPr>
        <w:t>案例</w:t>
      </w:r>
      <w:r>
        <w:rPr>
          <w:bCs/>
          <w:szCs w:val="21"/>
        </w:rPr>
        <w:t>讲授，</w:t>
      </w:r>
      <w:r>
        <w:t>使学生了解</w:t>
      </w:r>
      <w:r>
        <w:rPr>
          <w:rFonts w:hint="eastAsia"/>
        </w:rPr>
        <w:t>生物技术在果树、蔬菜和花卉等主要物种遗传改良中的应用及发展趋势，掌握</w:t>
      </w:r>
      <w:r>
        <w:rPr>
          <w:rFonts w:hint="eastAsia"/>
          <w:szCs w:val="21"/>
        </w:rPr>
        <w:t>利用现代生物学方法解决园艺植物科学难题的方法</w:t>
      </w:r>
      <w:r>
        <w:t>。</w:t>
      </w:r>
    </w:p>
    <w:p w14:paraId="12765400" w14:textId="77777777" w:rsidR="00F5289E" w:rsidRDefault="00F5289E">
      <w:pPr>
        <w:widowControl/>
        <w:snapToGrid w:val="0"/>
        <w:spacing w:line="360" w:lineRule="auto"/>
        <w:ind w:firstLineChars="200" w:firstLine="420"/>
        <w:jc w:val="left"/>
        <w:rPr>
          <w:rFonts w:hAnsi="宋体"/>
          <w:color w:val="0000FF"/>
          <w:kern w:val="0"/>
          <w:szCs w:val="21"/>
        </w:rPr>
      </w:pPr>
    </w:p>
    <w:p w14:paraId="6081402A"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rFonts w:hAnsi="宋体" w:hint="eastAsia"/>
          <w:b/>
          <w:bCs/>
          <w:kern w:val="0"/>
          <w:szCs w:val="21"/>
        </w:rPr>
        <w:t>（</w:t>
      </w:r>
      <w:r>
        <w:rPr>
          <w:rFonts w:hAnsi="宋体" w:hint="eastAsia"/>
          <w:b/>
          <w:bCs/>
          <w:kern w:val="0"/>
          <w:szCs w:val="21"/>
        </w:rPr>
        <w:t>8</w:t>
      </w:r>
      <w:r>
        <w:rPr>
          <w:rFonts w:hAnsi="宋体"/>
          <w:b/>
          <w:bCs/>
          <w:kern w:val="0"/>
          <w:szCs w:val="21"/>
        </w:rPr>
        <w:t>学时</w:t>
      </w:r>
      <w:r>
        <w:rPr>
          <w:rFonts w:hAnsi="宋体" w:hint="eastAsia"/>
          <w:b/>
          <w:bCs/>
          <w:kern w:val="0"/>
          <w:szCs w:val="21"/>
        </w:rPr>
        <w:t>）</w:t>
      </w:r>
    </w:p>
    <w:p w14:paraId="598785FD"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3F2C28FB" w14:textId="77777777" w:rsidR="00F5289E" w:rsidRDefault="00C91173">
      <w:pPr>
        <w:tabs>
          <w:tab w:val="left" w:pos="1772"/>
        </w:tabs>
        <w:snapToGrid w:val="0"/>
        <w:spacing w:line="360" w:lineRule="auto"/>
        <w:ind w:firstLineChars="200" w:firstLine="420"/>
        <w:rPr>
          <w:rFonts w:ascii="宋体" w:hAnsi="宋体"/>
          <w:bCs/>
          <w:szCs w:val="21"/>
        </w:rPr>
      </w:pPr>
      <w:r>
        <w:rPr>
          <w:rFonts w:ascii="宋体" w:hAnsi="宋体" w:hint="eastAsia"/>
          <w:bCs/>
          <w:szCs w:val="21"/>
        </w:rPr>
        <w:t>该课程是《园艺植物生物技术》的重要组成部分，共8学时，为《园艺植物生物技术》教学中联络理论与实践操作的重要内容，是提高教学质量的重要环节。</w:t>
      </w:r>
    </w:p>
    <w:p w14:paraId="1C2CF882"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0446461B" w14:textId="77777777" w:rsidR="00F5289E" w:rsidRDefault="00C91173">
      <w:pPr>
        <w:snapToGrid w:val="0"/>
        <w:spacing w:line="360" w:lineRule="auto"/>
        <w:ind w:firstLineChars="200" w:firstLine="420"/>
      </w:pPr>
      <w:r>
        <w:rPr>
          <w:rFonts w:hint="eastAsia"/>
        </w:rPr>
        <w:t>通过该课程的学习，应使学生学会综合运用生物技术的理论知识，使学生掌握生物技术的基本操作技术，培养学生利用理论教学的相关知识，采用适当的方法和技术对园艺植物进行进行遗传改良和辅助育种等。</w:t>
      </w:r>
    </w:p>
    <w:p w14:paraId="16FC3A1A" w14:textId="77777777" w:rsidR="00F5289E" w:rsidRDefault="00C91173">
      <w:pPr>
        <w:snapToGrid w:val="0"/>
        <w:spacing w:line="360" w:lineRule="auto"/>
        <w:ind w:firstLineChars="200" w:firstLine="420"/>
      </w:pPr>
      <w:r>
        <w:rPr>
          <w:rFonts w:hint="eastAsia"/>
        </w:rPr>
        <w:t>要求学生必须掌握现代生物技术的基本操作、主要仪器操作、无菌操作技术等，掌握从生物技术理论基础到的基本方法和操作技能，掌握仪器使用、技术操作和无菌操作等常见技术的操作方</w:t>
      </w:r>
      <w:r>
        <w:rPr>
          <w:rFonts w:hint="eastAsia"/>
        </w:rPr>
        <w:lastRenderedPageBreak/>
        <w:t>法，并能应用到生产实践中去。</w:t>
      </w:r>
    </w:p>
    <w:p w14:paraId="654DA513" w14:textId="77777777" w:rsidR="00F5289E" w:rsidRDefault="00C91173">
      <w:pPr>
        <w:snapToGrid w:val="0"/>
        <w:spacing w:line="360" w:lineRule="auto"/>
        <w:rPr>
          <w:b/>
        </w:rPr>
      </w:pPr>
      <w:r>
        <w:rPr>
          <w:rFonts w:hint="eastAsia"/>
          <w:b/>
        </w:rPr>
        <w:t>（三）实验安全操作规范</w:t>
      </w:r>
    </w:p>
    <w:p w14:paraId="6EC2BB7E" w14:textId="77777777" w:rsidR="00F5289E" w:rsidRDefault="00C91173">
      <w:pPr>
        <w:snapToGrid w:val="0"/>
        <w:spacing w:line="360" w:lineRule="auto"/>
        <w:ind w:firstLineChars="200" w:firstLine="420"/>
      </w:pPr>
      <w:r>
        <w:rPr>
          <w:rFonts w:hint="eastAsia"/>
        </w:rPr>
        <w:t>实验安全是最基本的要求之一，规范操作是实验结果可靠的保障。要求同学们首先要保护好自己，佩戴实验服、手套和口罩等防护措施。其次，要正确规范使用仪器设备。</w:t>
      </w:r>
    </w:p>
    <w:p w14:paraId="3F9FB8B3" w14:textId="77777777" w:rsidR="00F5289E" w:rsidRDefault="00C91173">
      <w:pPr>
        <w:snapToGrid w:val="0"/>
        <w:spacing w:line="360" w:lineRule="auto"/>
        <w:rPr>
          <w:rFonts w:ascii="宋体" w:hAnsi="宋体"/>
          <w:b/>
          <w:bCs/>
          <w:szCs w:val="21"/>
        </w:rPr>
      </w:pPr>
      <w:r>
        <w:rPr>
          <w:rFonts w:ascii="宋体" w:hAnsi="宋体" w:hint="eastAsia"/>
          <w:b/>
          <w:bCs/>
          <w:szCs w:val="21"/>
        </w:rPr>
        <w:t>（四）实验项目名称与学时分配</w:t>
      </w:r>
    </w:p>
    <w:tbl>
      <w:tblPr>
        <w:tblStyle w:val="af6"/>
        <w:tblW w:w="0" w:type="auto"/>
        <w:jc w:val="center"/>
        <w:tblLook w:val="04A0" w:firstRow="1" w:lastRow="0" w:firstColumn="1" w:lastColumn="0" w:noHBand="0" w:noVBand="1"/>
      </w:tblPr>
      <w:tblGrid>
        <w:gridCol w:w="1229"/>
        <w:gridCol w:w="2969"/>
        <w:gridCol w:w="888"/>
        <w:gridCol w:w="1084"/>
        <w:gridCol w:w="1431"/>
        <w:gridCol w:w="1289"/>
      </w:tblGrid>
      <w:tr w:rsidR="00F5289E" w14:paraId="317A0828" w14:textId="77777777">
        <w:trPr>
          <w:jc w:val="center"/>
        </w:trPr>
        <w:tc>
          <w:tcPr>
            <w:tcW w:w="904" w:type="dxa"/>
            <w:shd w:val="clear" w:color="auto" w:fill="EEECE1" w:themeFill="background2"/>
            <w:vAlign w:val="center"/>
          </w:tcPr>
          <w:p w14:paraId="6D7D8277" w14:textId="77777777" w:rsidR="00F5289E" w:rsidRDefault="00C91173">
            <w:pPr>
              <w:jc w:val="center"/>
              <w:rPr>
                <w:rFonts w:ascii="宋体" w:hAnsi="宋体" w:cs="宋体"/>
                <w:b/>
                <w:bCs/>
                <w:sz w:val="18"/>
                <w:szCs w:val="18"/>
              </w:rPr>
            </w:pPr>
            <w:r>
              <w:rPr>
                <w:rFonts w:ascii="宋体" w:hAnsi="宋体" w:cs="宋体" w:hint="eastAsia"/>
                <w:b/>
                <w:bCs/>
                <w:sz w:val="18"/>
                <w:szCs w:val="18"/>
              </w:rPr>
              <w:t>序号</w:t>
            </w:r>
          </w:p>
        </w:tc>
        <w:tc>
          <w:tcPr>
            <w:tcW w:w="3109" w:type="dxa"/>
            <w:shd w:val="clear" w:color="auto" w:fill="EEECE1" w:themeFill="background2"/>
            <w:vAlign w:val="center"/>
          </w:tcPr>
          <w:p w14:paraId="03030E76" w14:textId="77777777" w:rsidR="00F5289E" w:rsidRDefault="00C91173">
            <w:pPr>
              <w:jc w:val="center"/>
              <w:rPr>
                <w:rFonts w:ascii="宋体" w:hAnsi="宋体" w:cs="宋体"/>
                <w:b/>
                <w:bCs/>
                <w:sz w:val="18"/>
                <w:szCs w:val="18"/>
              </w:rPr>
            </w:pPr>
            <w:r>
              <w:rPr>
                <w:rFonts w:ascii="宋体" w:hAnsi="宋体" w:cs="宋体" w:hint="eastAsia"/>
                <w:b/>
                <w:bCs/>
                <w:sz w:val="18"/>
                <w:szCs w:val="18"/>
              </w:rPr>
              <w:t>实验名称</w:t>
            </w:r>
          </w:p>
        </w:tc>
        <w:tc>
          <w:tcPr>
            <w:tcW w:w="915" w:type="dxa"/>
            <w:shd w:val="clear" w:color="auto" w:fill="EEECE1" w:themeFill="background2"/>
            <w:vAlign w:val="center"/>
          </w:tcPr>
          <w:p w14:paraId="274E88D4" w14:textId="77777777" w:rsidR="00F5289E" w:rsidRDefault="00C91173">
            <w:pPr>
              <w:jc w:val="center"/>
              <w:rPr>
                <w:rFonts w:ascii="宋体" w:hAnsi="宋体" w:cs="宋体"/>
                <w:b/>
                <w:bCs/>
                <w:sz w:val="18"/>
                <w:szCs w:val="18"/>
              </w:rPr>
            </w:pPr>
            <w:r>
              <w:rPr>
                <w:rFonts w:ascii="宋体" w:hAnsi="宋体" w:cs="宋体" w:hint="eastAsia"/>
                <w:b/>
                <w:bCs/>
                <w:sz w:val="18"/>
                <w:szCs w:val="18"/>
              </w:rPr>
              <w:t>学时</w:t>
            </w:r>
          </w:p>
        </w:tc>
        <w:tc>
          <w:tcPr>
            <w:tcW w:w="1122" w:type="dxa"/>
            <w:shd w:val="clear" w:color="auto" w:fill="EEECE1" w:themeFill="background2"/>
            <w:vAlign w:val="center"/>
          </w:tcPr>
          <w:p w14:paraId="0AE3FD32" w14:textId="77777777" w:rsidR="00F5289E" w:rsidRDefault="00C91173">
            <w:pPr>
              <w:jc w:val="center"/>
              <w:rPr>
                <w:rFonts w:ascii="宋体" w:hAnsi="宋体" w:cs="宋体"/>
                <w:b/>
                <w:bCs/>
                <w:sz w:val="18"/>
                <w:szCs w:val="18"/>
              </w:rPr>
            </w:pPr>
            <w:r>
              <w:rPr>
                <w:rFonts w:ascii="宋体" w:hAnsi="宋体" w:cs="宋体" w:hint="eastAsia"/>
                <w:b/>
                <w:bCs/>
                <w:sz w:val="18"/>
                <w:szCs w:val="18"/>
              </w:rPr>
              <w:t>类型</w:t>
            </w:r>
          </w:p>
        </w:tc>
        <w:tc>
          <w:tcPr>
            <w:tcW w:w="1487" w:type="dxa"/>
            <w:shd w:val="clear" w:color="auto" w:fill="EEECE1" w:themeFill="background2"/>
            <w:vAlign w:val="center"/>
          </w:tcPr>
          <w:p w14:paraId="677518EA" w14:textId="77777777" w:rsidR="00F5289E" w:rsidRDefault="00C91173">
            <w:pPr>
              <w:jc w:val="center"/>
              <w:rPr>
                <w:rFonts w:ascii="宋体" w:hAnsi="宋体" w:cs="宋体"/>
                <w:b/>
                <w:bCs/>
                <w:sz w:val="18"/>
                <w:szCs w:val="18"/>
              </w:rPr>
            </w:pPr>
            <w:r>
              <w:rPr>
                <w:rFonts w:ascii="宋体" w:hAnsi="宋体" w:cs="宋体" w:hint="eastAsia"/>
                <w:b/>
                <w:bCs/>
                <w:sz w:val="18"/>
                <w:szCs w:val="18"/>
              </w:rPr>
              <w:t>实验要求</w:t>
            </w:r>
          </w:p>
        </w:tc>
        <w:tc>
          <w:tcPr>
            <w:tcW w:w="1338" w:type="dxa"/>
            <w:shd w:val="clear" w:color="auto" w:fill="EEECE1" w:themeFill="background2"/>
            <w:vAlign w:val="center"/>
          </w:tcPr>
          <w:p w14:paraId="1249BA3A" w14:textId="77777777" w:rsidR="00F5289E" w:rsidRDefault="00C91173">
            <w:pPr>
              <w:jc w:val="center"/>
              <w:rPr>
                <w:rFonts w:ascii="宋体" w:hAnsi="宋体" w:cs="宋体"/>
                <w:b/>
                <w:bCs/>
                <w:sz w:val="18"/>
                <w:szCs w:val="18"/>
              </w:rPr>
            </w:pPr>
            <w:r>
              <w:rPr>
                <w:rFonts w:ascii="宋体" w:hAnsi="宋体" w:cs="宋体" w:hint="eastAsia"/>
                <w:b/>
                <w:bCs/>
                <w:sz w:val="18"/>
                <w:szCs w:val="18"/>
              </w:rPr>
              <w:t>每组人数</w:t>
            </w:r>
          </w:p>
        </w:tc>
      </w:tr>
      <w:tr w:rsidR="00F5289E" w14:paraId="256A57D2" w14:textId="77777777">
        <w:trPr>
          <w:jc w:val="center"/>
        </w:trPr>
        <w:tc>
          <w:tcPr>
            <w:tcW w:w="904" w:type="dxa"/>
            <w:vAlign w:val="center"/>
          </w:tcPr>
          <w:p w14:paraId="3197AC24" w14:textId="64C50C3F" w:rsidR="00F5289E" w:rsidRDefault="00343C46">
            <w:pPr>
              <w:jc w:val="center"/>
              <w:rPr>
                <w:sz w:val="18"/>
                <w:szCs w:val="18"/>
              </w:rPr>
            </w:pPr>
            <w:r w:rsidRPr="001B3040">
              <w:rPr>
                <w:szCs w:val="21"/>
              </w:rPr>
              <w:t>19011009</w:t>
            </w:r>
            <w:r>
              <w:rPr>
                <w:rFonts w:hint="eastAsia"/>
                <w:sz w:val="18"/>
                <w:szCs w:val="18"/>
              </w:rPr>
              <w:t>01</w:t>
            </w:r>
          </w:p>
        </w:tc>
        <w:tc>
          <w:tcPr>
            <w:tcW w:w="3109" w:type="dxa"/>
            <w:vAlign w:val="center"/>
          </w:tcPr>
          <w:p w14:paraId="22B3B11B" w14:textId="77777777" w:rsidR="00F5289E" w:rsidRDefault="00C91173">
            <w:pPr>
              <w:rPr>
                <w:sz w:val="18"/>
                <w:szCs w:val="18"/>
              </w:rPr>
            </w:pPr>
            <w:r>
              <w:rPr>
                <w:rFonts w:hint="eastAsia"/>
                <w:sz w:val="18"/>
                <w:szCs w:val="18"/>
              </w:rPr>
              <w:t>分子生物学基本实验知识与操作</w:t>
            </w:r>
          </w:p>
        </w:tc>
        <w:tc>
          <w:tcPr>
            <w:tcW w:w="915" w:type="dxa"/>
            <w:vAlign w:val="center"/>
          </w:tcPr>
          <w:p w14:paraId="629E0BFC" w14:textId="77777777" w:rsidR="00F5289E" w:rsidRDefault="00C91173">
            <w:pPr>
              <w:jc w:val="center"/>
              <w:rPr>
                <w:sz w:val="18"/>
                <w:szCs w:val="18"/>
              </w:rPr>
            </w:pPr>
            <w:r>
              <w:rPr>
                <w:rFonts w:hint="eastAsia"/>
                <w:sz w:val="18"/>
                <w:szCs w:val="18"/>
              </w:rPr>
              <w:t>4</w:t>
            </w:r>
          </w:p>
        </w:tc>
        <w:tc>
          <w:tcPr>
            <w:tcW w:w="1122" w:type="dxa"/>
            <w:vAlign w:val="center"/>
          </w:tcPr>
          <w:p w14:paraId="643E9EB5" w14:textId="77777777" w:rsidR="00F5289E" w:rsidRDefault="00C91173">
            <w:pPr>
              <w:jc w:val="center"/>
              <w:rPr>
                <w:sz w:val="18"/>
                <w:szCs w:val="18"/>
              </w:rPr>
            </w:pPr>
            <w:r>
              <w:rPr>
                <w:rFonts w:hint="eastAsia"/>
                <w:sz w:val="18"/>
                <w:szCs w:val="18"/>
              </w:rPr>
              <w:t>基础性实验</w:t>
            </w:r>
          </w:p>
        </w:tc>
        <w:tc>
          <w:tcPr>
            <w:tcW w:w="1487" w:type="dxa"/>
            <w:vAlign w:val="center"/>
          </w:tcPr>
          <w:p w14:paraId="515B6FA0" w14:textId="77777777" w:rsidR="00F5289E" w:rsidRDefault="00C91173">
            <w:pPr>
              <w:jc w:val="center"/>
              <w:rPr>
                <w:sz w:val="18"/>
                <w:szCs w:val="18"/>
              </w:rPr>
            </w:pPr>
            <w:r>
              <w:rPr>
                <w:rFonts w:hint="eastAsia"/>
                <w:sz w:val="18"/>
                <w:szCs w:val="18"/>
              </w:rPr>
              <w:t>必做</w:t>
            </w:r>
          </w:p>
        </w:tc>
        <w:tc>
          <w:tcPr>
            <w:tcW w:w="1338" w:type="dxa"/>
            <w:vAlign w:val="center"/>
          </w:tcPr>
          <w:p w14:paraId="3BD64037" w14:textId="77777777" w:rsidR="00F5289E" w:rsidRDefault="00C91173">
            <w:pPr>
              <w:jc w:val="center"/>
            </w:pPr>
            <w:r>
              <w:rPr>
                <w:rFonts w:hint="eastAsia"/>
              </w:rPr>
              <w:t>6</w:t>
            </w:r>
          </w:p>
        </w:tc>
      </w:tr>
      <w:tr w:rsidR="00F5289E" w14:paraId="4E640700" w14:textId="77777777">
        <w:trPr>
          <w:jc w:val="center"/>
        </w:trPr>
        <w:tc>
          <w:tcPr>
            <w:tcW w:w="904" w:type="dxa"/>
            <w:vAlign w:val="center"/>
          </w:tcPr>
          <w:p w14:paraId="7BB7E4F5" w14:textId="51A15345" w:rsidR="00F5289E" w:rsidRDefault="00343C46">
            <w:pPr>
              <w:rPr>
                <w:sz w:val="18"/>
                <w:szCs w:val="18"/>
              </w:rPr>
            </w:pPr>
            <w:r w:rsidRPr="001B3040">
              <w:rPr>
                <w:szCs w:val="21"/>
              </w:rPr>
              <w:t>19011009</w:t>
            </w:r>
            <w:r>
              <w:rPr>
                <w:rFonts w:hint="eastAsia"/>
                <w:sz w:val="18"/>
                <w:szCs w:val="18"/>
              </w:rPr>
              <w:t>02</w:t>
            </w:r>
          </w:p>
        </w:tc>
        <w:tc>
          <w:tcPr>
            <w:tcW w:w="3109" w:type="dxa"/>
            <w:vAlign w:val="center"/>
          </w:tcPr>
          <w:p w14:paraId="58D78AC1" w14:textId="77777777" w:rsidR="00F5289E" w:rsidRDefault="00C91173">
            <w:pPr>
              <w:jc w:val="center"/>
              <w:rPr>
                <w:sz w:val="18"/>
                <w:szCs w:val="18"/>
              </w:rPr>
            </w:pPr>
            <w:r>
              <w:rPr>
                <w:rFonts w:hint="eastAsia"/>
                <w:sz w:val="18"/>
                <w:szCs w:val="18"/>
              </w:rPr>
              <w:t>分子生物学实验室参观及主要仪器设备介绍</w:t>
            </w:r>
          </w:p>
        </w:tc>
        <w:tc>
          <w:tcPr>
            <w:tcW w:w="915" w:type="dxa"/>
            <w:vAlign w:val="center"/>
          </w:tcPr>
          <w:p w14:paraId="5FF302C6" w14:textId="77777777" w:rsidR="00F5289E" w:rsidRDefault="00C91173">
            <w:pPr>
              <w:jc w:val="center"/>
              <w:rPr>
                <w:sz w:val="18"/>
                <w:szCs w:val="18"/>
              </w:rPr>
            </w:pPr>
            <w:r>
              <w:rPr>
                <w:rFonts w:hint="eastAsia"/>
                <w:sz w:val="18"/>
                <w:szCs w:val="18"/>
              </w:rPr>
              <w:t>2</w:t>
            </w:r>
          </w:p>
        </w:tc>
        <w:tc>
          <w:tcPr>
            <w:tcW w:w="1122" w:type="dxa"/>
            <w:vAlign w:val="center"/>
          </w:tcPr>
          <w:p w14:paraId="08BE5F04" w14:textId="77777777" w:rsidR="00F5289E" w:rsidRDefault="00C91173">
            <w:pPr>
              <w:jc w:val="center"/>
              <w:rPr>
                <w:sz w:val="18"/>
                <w:szCs w:val="18"/>
              </w:rPr>
            </w:pPr>
            <w:r>
              <w:rPr>
                <w:rFonts w:hint="eastAsia"/>
                <w:sz w:val="18"/>
                <w:szCs w:val="18"/>
              </w:rPr>
              <w:t>基础性实验</w:t>
            </w:r>
          </w:p>
        </w:tc>
        <w:tc>
          <w:tcPr>
            <w:tcW w:w="1487" w:type="dxa"/>
            <w:vAlign w:val="center"/>
          </w:tcPr>
          <w:p w14:paraId="0A4FE450" w14:textId="77777777" w:rsidR="00F5289E" w:rsidRDefault="00C91173">
            <w:pPr>
              <w:jc w:val="center"/>
              <w:rPr>
                <w:sz w:val="18"/>
                <w:szCs w:val="18"/>
              </w:rPr>
            </w:pPr>
            <w:r>
              <w:rPr>
                <w:rFonts w:hint="eastAsia"/>
                <w:sz w:val="18"/>
                <w:szCs w:val="18"/>
              </w:rPr>
              <w:t>必做</w:t>
            </w:r>
          </w:p>
        </w:tc>
        <w:tc>
          <w:tcPr>
            <w:tcW w:w="1338" w:type="dxa"/>
            <w:vAlign w:val="center"/>
          </w:tcPr>
          <w:p w14:paraId="35F68BF5" w14:textId="77777777" w:rsidR="00F5289E" w:rsidRDefault="00C91173">
            <w:pPr>
              <w:jc w:val="center"/>
            </w:pPr>
            <w:r>
              <w:rPr>
                <w:rFonts w:hint="eastAsia"/>
              </w:rPr>
              <w:t>6</w:t>
            </w:r>
          </w:p>
        </w:tc>
      </w:tr>
      <w:tr w:rsidR="00F5289E" w14:paraId="1DC25484" w14:textId="77777777">
        <w:trPr>
          <w:jc w:val="center"/>
        </w:trPr>
        <w:tc>
          <w:tcPr>
            <w:tcW w:w="904" w:type="dxa"/>
            <w:vAlign w:val="center"/>
          </w:tcPr>
          <w:p w14:paraId="6E6D7266" w14:textId="055F11EB" w:rsidR="00F5289E" w:rsidRDefault="00343C46">
            <w:pPr>
              <w:rPr>
                <w:sz w:val="18"/>
                <w:szCs w:val="18"/>
              </w:rPr>
            </w:pPr>
            <w:r w:rsidRPr="001B3040">
              <w:rPr>
                <w:szCs w:val="21"/>
              </w:rPr>
              <w:t>19011009</w:t>
            </w:r>
            <w:r>
              <w:rPr>
                <w:rFonts w:hint="eastAsia"/>
                <w:sz w:val="18"/>
                <w:szCs w:val="18"/>
              </w:rPr>
              <w:t>03</w:t>
            </w:r>
          </w:p>
        </w:tc>
        <w:tc>
          <w:tcPr>
            <w:tcW w:w="3109" w:type="dxa"/>
            <w:vAlign w:val="center"/>
          </w:tcPr>
          <w:p w14:paraId="77CAA65E" w14:textId="77777777" w:rsidR="00F5289E" w:rsidRDefault="00C91173">
            <w:pPr>
              <w:jc w:val="center"/>
              <w:rPr>
                <w:sz w:val="18"/>
                <w:szCs w:val="18"/>
              </w:rPr>
            </w:pPr>
            <w:r>
              <w:rPr>
                <w:rFonts w:hint="eastAsia"/>
                <w:sz w:val="18"/>
                <w:szCs w:val="18"/>
              </w:rPr>
              <w:t>外植体消毒与接种试验</w:t>
            </w:r>
          </w:p>
        </w:tc>
        <w:tc>
          <w:tcPr>
            <w:tcW w:w="915" w:type="dxa"/>
            <w:vAlign w:val="center"/>
          </w:tcPr>
          <w:p w14:paraId="345D52F8" w14:textId="77777777" w:rsidR="00F5289E" w:rsidRDefault="00C91173">
            <w:pPr>
              <w:jc w:val="center"/>
              <w:rPr>
                <w:sz w:val="18"/>
                <w:szCs w:val="18"/>
              </w:rPr>
            </w:pPr>
            <w:r>
              <w:rPr>
                <w:rFonts w:hint="eastAsia"/>
                <w:sz w:val="18"/>
                <w:szCs w:val="18"/>
              </w:rPr>
              <w:t>2</w:t>
            </w:r>
          </w:p>
        </w:tc>
        <w:tc>
          <w:tcPr>
            <w:tcW w:w="1122" w:type="dxa"/>
            <w:vAlign w:val="center"/>
          </w:tcPr>
          <w:p w14:paraId="7B44C071" w14:textId="77777777" w:rsidR="00F5289E" w:rsidRDefault="00C91173">
            <w:pPr>
              <w:jc w:val="center"/>
              <w:rPr>
                <w:sz w:val="18"/>
                <w:szCs w:val="18"/>
              </w:rPr>
            </w:pPr>
            <w:r>
              <w:rPr>
                <w:rFonts w:hint="eastAsia"/>
                <w:sz w:val="18"/>
                <w:szCs w:val="18"/>
              </w:rPr>
              <w:t>基础性实验</w:t>
            </w:r>
          </w:p>
        </w:tc>
        <w:tc>
          <w:tcPr>
            <w:tcW w:w="1487" w:type="dxa"/>
            <w:vAlign w:val="center"/>
          </w:tcPr>
          <w:p w14:paraId="1797B2C7" w14:textId="77777777" w:rsidR="00F5289E" w:rsidRDefault="00C91173">
            <w:pPr>
              <w:jc w:val="center"/>
              <w:rPr>
                <w:sz w:val="18"/>
                <w:szCs w:val="18"/>
              </w:rPr>
            </w:pPr>
            <w:r>
              <w:rPr>
                <w:rFonts w:hint="eastAsia"/>
                <w:sz w:val="18"/>
                <w:szCs w:val="18"/>
              </w:rPr>
              <w:t>必做</w:t>
            </w:r>
          </w:p>
        </w:tc>
        <w:tc>
          <w:tcPr>
            <w:tcW w:w="1338" w:type="dxa"/>
            <w:vAlign w:val="center"/>
          </w:tcPr>
          <w:p w14:paraId="31B23C5C" w14:textId="77777777" w:rsidR="00F5289E" w:rsidRDefault="00C91173">
            <w:pPr>
              <w:jc w:val="center"/>
            </w:pPr>
            <w:r>
              <w:rPr>
                <w:rFonts w:hint="eastAsia"/>
              </w:rPr>
              <w:t>6</w:t>
            </w:r>
          </w:p>
        </w:tc>
      </w:tr>
    </w:tbl>
    <w:p w14:paraId="4330FD2E"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496DB48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本课程以基础性实验为主，以室内实验为主，要求学生课前预习，了解实验原理，学会理论联系实际、分析和解决遇到的实际问题。要求每个学生必需认真完成每个实验，并提交实验报告。</w:t>
      </w:r>
    </w:p>
    <w:p w14:paraId="10B2E786"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3A68C2AB" w14:textId="77777777" w:rsidR="00F5289E" w:rsidRDefault="00C91173">
      <w:pPr>
        <w:pStyle w:val="af1"/>
        <w:snapToGrid w:val="0"/>
        <w:spacing w:before="0" w:beforeAutospacing="0" w:after="0" w:afterAutospacing="0" w:line="360" w:lineRule="auto"/>
        <w:rPr>
          <w:rFonts w:eastAsia="宋体"/>
          <w:b/>
          <w:sz w:val="21"/>
          <w:szCs w:val="21"/>
        </w:rPr>
      </w:pPr>
      <w:r>
        <w:rPr>
          <w:rFonts w:hint="eastAsia"/>
          <w:b/>
          <w:sz w:val="21"/>
          <w:szCs w:val="21"/>
        </w:rPr>
        <w:t>【</w:t>
      </w:r>
      <w:r>
        <w:rPr>
          <w:b/>
          <w:sz w:val="21"/>
          <w:szCs w:val="21"/>
        </w:rPr>
        <w:t>实验一</w:t>
      </w:r>
      <w:r>
        <w:rPr>
          <w:rFonts w:hint="eastAsia"/>
          <w:b/>
          <w:sz w:val="21"/>
          <w:szCs w:val="21"/>
        </w:rPr>
        <w:t>】</w:t>
      </w:r>
      <w:r>
        <w:rPr>
          <w:rFonts w:eastAsia="宋体" w:hint="eastAsia"/>
          <w:b/>
          <w:sz w:val="21"/>
          <w:szCs w:val="21"/>
        </w:rPr>
        <w:t>分子生物学基本实验知识与操作</w:t>
      </w:r>
    </w:p>
    <w:p w14:paraId="6000DC6E"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4学时</w:t>
      </w:r>
    </w:p>
    <w:p w14:paraId="1C155EA6"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：通过基础实验操作，掌握常用实验仪器使用方法、学习限制性内切酶作用原理和方法；练习DNA琼脂糖凝胶电泳的原理和方法。</w:t>
      </w:r>
    </w:p>
    <w:p w14:paraId="7ADCD55A"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学习移液枪的正确使用方法，按照限制性内切酶说明配置反应体系，在水浴锅中孵育酶切，配置琼脂糖凝胶，并使用电泳仪电泳，并利用紫外凝胶成像仪检测酶切效果。</w:t>
      </w:r>
    </w:p>
    <w:p w14:paraId="04F1CFBD"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rPr>
        <w:t>掌握双酶切及DNA琼脂让凝胶电泳的原理及操作方法。</w:t>
      </w:r>
    </w:p>
    <w:p w14:paraId="4BBB4AD2" w14:textId="77777777" w:rsidR="00F5289E" w:rsidRDefault="00C91173">
      <w:pPr>
        <w:snapToGrid w:val="0"/>
        <w:spacing w:line="360" w:lineRule="auto"/>
        <w:ind w:firstLineChars="200" w:firstLine="422"/>
        <w:rPr>
          <w:rFonts w:ascii="宋体" w:hAnsi="宋体"/>
          <w:bCs/>
          <w:szCs w:val="21"/>
        </w:rPr>
      </w:pPr>
      <w:r>
        <w:rPr>
          <w:rFonts w:hint="eastAsia"/>
          <w:b/>
          <w:szCs w:val="21"/>
        </w:rPr>
        <w:t>5.</w:t>
      </w:r>
      <w:r>
        <w:rPr>
          <w:rFonts w:hint="eastAsia"/>
          <w:b/>
          <w:szCs w:val="21"/>
        </w:rPr>
        <w:t>实验设备及器材：</w:t>
      </w:r>
      <w:r>
        <w:rPr>
          <w:rFonts w:ascii="宋体" w:hAnsi="宋体" w:hint="eastAsia"/>
          <w:bCs/>
        </w:rPr>
        <w:t>移液枪、恒温水浴锅、水平式电泳装置、电泳仪、微波炉，紫外凝胶成像仪。</w:t>
      </w:r>
    </w:p>
    <w:p w14:paraId="6B3226DD" w14:textId="77777777" w:rsidR="00F5289E" w:rsidRDefault="00C91173">
      <w:pPr>
        <w:pStyle w:val="af1"/>
        <w:snapToGrid w:val="0"/>
        <w:spacing w:before="0" w:beforeAutospacing="0" w:after="0" w:afterAutospacing="0" w:line="360" w:lineRule="auto"/>
        <w:rPr>
          <w:rFonts w:eastAsia="宋体"/>
          <w:b/>
          <w:sz w:val="21"/>
          <w:szCs w:val="21"/>
          <w:highlight w:val="yellow"/>
        </w:rPr>
      </w:pPr>
      <w:r>
        <w:rPr>
          <w:rFonts w:hint="eastAsia"/>
          <w:b/>
          <w:sz w:val="21"/>
          <w:szCs w:val="21"/>
        </w:rPr>
        <w:t>【</w:t>
      </w:r>
      <w:r>
        <w:rPr>
          <w:b/>
          <w:sz w:val="21"/>
          <w:szCs w:val="21"/>
        </w:rPr>
        <w:t>实验</w:t>
      </w:r>
      <w:r>
        <w:rPr>
          <w:rFonts w:hint="eastAsia"/>
          <w:b/>
          <w:sz w:val="21"/>
          <w:szCs w:val="21"/>
        </w:rPr>
        <w:t>二】</w:t>
      </w:r>
      <w:r>
        <w:rPr>
          <w:rFonts w:eastAsia="宋体" w:hint="eastAsia"/>
          <w:b/>
          <w:sz w:val="21"/>
          <w:szCs w:val="21"/>
        </w:rPr>
        <w:t>分子生物学实验室参观及主要仪器设备介绍</w:t>
      </w:r>
    </w:p>
    <w:p w14:paraId="7E09DE8C"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5BABA136" w14:textId="77777777" w:rsidR="00F5289E" w:rsidRDefault="00C91173">
      <w:pPr>
        <w:snapToGrid w:val="0"/>
        <w:spacing w:line="360" w:lineRule="auto"/>
        <w:ind w:firstLineChars="200" w:firstLine="422"/>
        <w:rPr>
          <w:rFonts w:ascii="宋体" w:hAnsi="宋体"/>
          <w:bCs/>
          <w:szCs w:val="21"/>
        </w:rPr>
      </w:pPr>
      <w:r>
        <w:rPr>
          <w:rFonts w:hint="eastAsia"/>
          <w:b/>
          <w:szCs w:val="21"/>
        </w:rPr>
        <w:t>2.</w:t>
      </w:r>
      <w:r>
        <w:rPr>
          <w:rFonts w:hint="eastAsia"/>
          <w:b/>
          <w:szCs w:val="21"/>
        </w:rPr>
        <w:t>实验目的：</w:t>
      </w:r>
      <w:r>
        <w:rPr>
          <w:rFonts w:ascii="宋体" w:hAnsi="宋体" w:hint="eastAsia"/>
          <w:bCs/>
        </w:rPr>
        <w:t>通过参观现代分子生物学实验室，初步了解实验室常见仪器设备、使用说明、注意事项和常见问题解决方法。</w:t>
      </w:r>
    </w:p>
    <w:p w14:paraId="6254744D"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ascii="宋体" w:hAnsi="宋体" w:hint="eastAsia"/>
          <w:bCs/>
        </w:rPr>
        <w:t>对常见仪器设备的用途、使用方法等进行讲解，利用分子生物学仪器解决生物学问题。</w:t>
      </w:r>
    </w:p>
    <w:p w14:paraId="5CFE8616" w14:textId="77777777" w:rsidR="00F5289E" w:rsidRDefault="00C91173">
      <w:pPr>
        <w:snapToGrid w:val="0"/>
        <w:spacing w:line="360" w:lineRule="auto"/>
        <w:ind w:firstLineChars="200" w:firstLine="422"/>
        <w:rPr>
          <w:bCs/>
          <w:szCs w:val="21"/>
        </w:rPr>
      </w:pPr>
      <w:r>
        <w:rPr>
          <w:rFonts w:hint="eastAsia"/>
          <w:b/>
          <w:szCs w:val="21"/>
        </w:rPr>
        <w:t>4.</w:t>
      </w:r>
      <w:r>
        <w:rPr>
          <w:rFonts w:hint="eastAsia"/>
          <w:b/>
          <w:szCs w:val="21"/>
        </w:rPr>
        <w:t>实验要求：</w:t>
      </w:r>
      <w:r>
        <w:rPr>
          <w:rFonts w:hint="eastAsia"/>
          <w:bCs/>
          <w:szCs w:val="21"/>
        </w:rPr>
        <w:t>掌握实验室仪器名称及功能；初步掌握仪器使用方法及注意事项。</w:t>
      </w:r>
    </w:p>
    <w:p w14:paraId="2B6AEB36" w14:textId="77777777" w:rsidR="00F5289E" w:rsidRDefault="00C91173">
      <w:pPr>
        <w:snapToGrid w:val="0"/>
        <w:spacing w:line="360" w:lineRule="auto"/>
        <w:ind w:firstLineChars="200" w:firstLine="422"/>
        <w:rPr>
          <w:b/>
          <w:szCs w:val="21"/>
        </w:rPr>
      </w:pPr>
      <w:r>
        <w:rPr>
          <w:rFonts w:hint="eastAsia"/>
          <w:b/>
          <w:szCs w:val="21"/>
        </w:rPr>
        <w:t>5.</w:t>
      </w:r>
      <w:r>
        <w:rPr>
          <w:rFonts w:hint="eastAsia"/>
          <w:b/>
          <w:szCs w:val="21"/>
        </w:rPr>
        <w:t>实验设备及器材：</w:t>
      </w:r>
      <w:r>
        <w:rPr>
          <w:rFonts w:hint="eastAsia"/>
          <w:bCs/>
          <w:szCs w:val="21"/>
        </w:rPr>
        <w:t>PCR</w:t>
      </w:r>
      <w:r>
        <w:rPr>
          <w:rFonts w:hint="eastAsia"/>
          <w:bCs/>
          <w:szCs w:val="21"/>
        </w:rPr>
        <w:t>仪、离心机、超净工作台、组培间、实时荧光定量</w:t>
      </w:r>
      <w:r>
        <w:rPr>
          <w:rFonts w:hint="eastAsia"/>
          <w:bCs/>
          <w:szCs w:val="21"/>
        </w:rPr>
        <w:t>PCR</w:t>
      </w:r>
      <w:r>
        <w:rPr>
          <w:rFonts w:hint="eastAsia"/>
          <w:bCs/>
          <w:szCs w:val="21"/>
        </w:rPr>
        <w:t>仪、体视显微镜等。</w:t>
      </w:r>
    </w:p>
    <w:p w14:paraId="3FCE3BB4" w14:textId="77777777" w:rsidR="00F5289E" w:rsidRDefault="00C91173">
      <w:pPr>
        <w:pStyle w:val="af1"/>
        <w:snapToGrid w:val="0"/>
        <w:spacing w:before="0" w:beforeAutospacing="0" w:after="0" w:afterAutospacing="0" w:line="360" w:lineRule="auto"/>
        <w:rPr>
          <w:rFonts w:eastAsia="宋体"/>
          <w:b/>
          <w:sz w:val="21"/>
          <w:szCs w:val="21"/>
        </w:rPr>
      </w:pPr>
      <w:r>
        <w:rPr>
          <w:rFonts w:hint="eastAsia"/>
          <w:b/>
          <w:sz w:val="21"/>
          <w:szCs w:val="21"/>
        </w:rPr>
        <w:lastRenderedPageBreak/>
        <w:t>【</w:t>
      </w:r>
      <w:r>
        <w:rPr>
          <w:b/>
          <w:sz w:val="21"/>
          <w:szCs w:val="21"/>
        </w:rPr>
        <w:t>实验</w:t>
      </w:r>
      <w:r>
        <w:rPr>
          <w:rFonts w:eastAsia="宋体" w:hint="eastAsia"/>
          <w:b/>
          <w:sz w:val="21"/>
          <w:szCs w:val="21"/>
        </w:rPr>
        <w:t>三</w:t>
      </w:r>
      <w:r>
        <w:rPr>
          <w:rFonts w:hint="eastAsia"/>
          <w:b/>
          <w:sz w:val="21"/>
          <w:szCs w:val="21"/>
        </w:rPr>
        <w:t>】</w:t>
      </w:r>
      <w:r>
        <w:rPr>
          <w:rFonts w:eastAsia="宋体" w:hint="eastAsia"/>
          <w:b/>
          <w:sz w:val="21"/>
          <w:szCs w:val="21"/>
        </w:rPr>
        <w:t>外植体消毒与接种试验</w:t>
      </w:r>
    </w:p>
    <w:p w14:paraId="65D52DFF" w14:textId="77777777" w:rsidR="00F5289E" w:rsidRDefault="00C91173">
      <w:pPr>
        <w:snapToGrid w:val="0"/>
        <w:spacing w:line="360" w:lineRule="auto"/>
        <w:ind w:firstLineChars="200" w:firstLine="422"/>
      </w:pPr>
      <w:r>
        <w:rPr>
          <w:rFonts w:hint="eastAsia"/>
          <w:b/>
          <w:szCs w:val="21"/>
        </w:rPr>
        <w:t>1.</w:t>
      </w:r>
      <w:r>
        <w:rPr>
          <w:rFonts w:hint="eastAsia"/>
          <w:b/>
          <w:szCs w:val="21"/>
        </w:rPr>
        <w:t>实验学时：</w:t>
      </w:r>
      <w:r>
        <w:rPr>
          <w:rFonts w:ascii="宋体" w:hAnsi="宋体" w:hint="eastAsia"/>
          <w:bCs/>
        </w:rPr>
        <w:t>2学时</w:t>
      </w:r>
    </w:p>
    <w:p w14:paraId="3E528606" w14:textId="77777777" w:rsidR="00F5289E" w:rsidRDefault="00C91173">
      <w:pPr>
        <w:snapToGrid w:val="0"/>
        <w:spacing w:line="360" w:lineRule="auto"/>
        <w:ind w:firstLineChars="200" w:firstLine="422"/>
        <w:rPr>
          <w:rFonts w:ascii="宋体" w:hAnsi="宋体"/>
          <w:bCs/>
        </w:rPr>
      </w:pPr>
      <w:r>
        <w:rPr>
          <w:rFonts w:hint="eastAsia"/>
          <w:b/>
          <w:szCs w:val="21"/>
        </w:rPr>
        <w:t>2.</w:t>
      </w:r>
      <w:r>
        <w:rPr>
          <w:rFonts w:hint="eastAsia"/>
          <w:b/>
          <w:szCs w:val="21"/>
        </w:rPr>
        <w:t>实验目的：</w:t>
      </w:r>
      <w:r>
        <w:rPr>
          <w:rFonts w:ascii="宋体" w:hAnsi="宋体" w:hint="eastAsia"/>
          <w:bCs/>
        </w:rPr>
        <w:t>通过在超净工作台上进行无菌操作训练，掌握外植体消毒和接种的无菌操作技术。</w:t>
      </w:r>
    </w:p>
    <w:p w14:paraId="7EEC6DB7" w14:textId="77777777" w:rsidR="00F5289E" w:rsidRDefault="00C91173">
      <w:pPr>
        <w:snapToGrid w:val="0"/>
        <w:spacing w:line="360" w:lineRule="auto"/>
        <w:ind w:firstLineChars="200" w:firstLine="422"/>
        <w:rPr>
          <w:rFonts w:ascii="宋体" w:hAnsi="宋体"/>
          <w:bCs/>
          <w:szCs w:val="21"/>
        </w:rPr>
      </w:pPr>
      <w:r>
        <w:rPr>
          <w:rFonts w:hint="eastAsia"/>
          <w:b/>
          <w:szCs w:val="21"/>
        </w:rPr>
        <w:t>3.</w:t>
      </w:r>
      <w:r>
        <w:rPr>
          <w:rFonts w:hint="eastAsia"/>
          <w:b/>
          <w:szCs w:val="21"/>
        </w:rPr>
        <w:t>实验内容：</w:t>
      </w:r>
      <w:r>
        <w:rPr>
          <w:rFonts w:hint="eastAsia"/>
          <w:bCs/>
          <w:szCs w:val="21"/>
        </w:rPr>
        <w:t>利用番茄种子作为外植体，进行消毒。并在超净工作台中无菌接种在</w:t>
      </w:r>
      <w:r>
        <w:rPr>
          <w:rFonts w:hint="eastAsia"/>
          <w:bCs/>
          <w:szCs w:val="21"/>
        </w:rPr>
        <w:t>MS</w:t>
      </w:r>
      <w:r>
        <w:rPr>
          <w:rFonts w:hint="eastAsia"/>
          <w:bCs/>
          <w:szCs w:val="21"/>
        </w:rPr>
        <w:t>培养基上，密封包装、标记等，在组培间中培养一周，统计种子萌发率和污染率。</w:t>
      </w:r>
    </w:p>
    <w:p w14:paraId="4F3A0801" w14:textId="77777777" w:rsidR="00F5289E" w:rsidRDefault="00C91173">
      <w:pPr>
        <w:snapToGrid w:val="0"/>
        <w:spacing w:line="360" w:lineRule="auto"/>
        <w:ind w:firstLineChars="200" w:firstLine="422"/>
        <w:rPr>
          <w:rFonts w:ascii="宋体" w:hAnsi="宋体"/>
          <w:bCs/>
          <w:szCs w:val="21"/>
        </w:rPr>
      </w:pPr>
      <w:r>
        <w:rPr>
          <w:rFonts w:hint="eastAsia"/>
          <w:b/>
          <w:szCs w:val="21"/>
        </w:rPr>
        <w:t>4.</w:t>
      </w:r>
      <w:r>
        <w:rPr>
          <w:rFonts w:hint="eastAsia"/>
          <w:b/>
          <w:szCs w:val="21"/>
        </w:rPr>
        <w:t>实验要求：</w:t>
      </w:r>
      <w:r>
        <w:rPr>
          <w:rFonts w:ascii="宋体" w:hAnsi="宋体" w:hint="eastAsia"/>
          <w:bCs/>
        </w:rPr>
        <w:t>初步掌握外植体消毒的方法；掌握接种的无菌操作技术；外植体愈伤组织诱导和分化的方法。</w:t>
      </w:r>
    </w:p>
    <w:p w14:paraId="0051F864" w14:textId="77777777" w:rsidR="00F5289E" w:rsidRDefault="00C91173">
      <w:pPr>
        <w:snapToGrid w:val="0"/>
        <w:spacing w:line="360" w:lineRule="auto"/>
        <w:ind w:firstLineChars="200" w:firstLine="422"/>
        <w:rPr>
          <w:b/>
          <w:szCs w:val="21"/>
        </w:rPr>
      </w:pPr>
      <w:r>
        <w:rPr>
          <w:rFonts w:hint="eastAsia"/>
          <w:b/>
          <w:szCs w:val="21"/>
        </w:rPr>
        <w:t>5.</w:t>
      </w:r>
      <w:r>
        <w:rPr>
          <w:rFonts w:hint="eastAsia"/>
          <w:b/>
          <w:szCs w:val="21"/>
        </w:rPr>
        <w:t>实验设备及器材：</w:t>
      </w:r>
      <w:r>
        <w:rPr>
          <w:rFonts w:hint="eastAsia"/>
          <w:bCs/>
          <w:szCs w:val="21"/>
        </w:rPr>
        <w:t>超净工作台、酒精灯、接种器械（解剖刀、剪刀、镊子等）、一次性培养皿、</w:t>
      </w:r>
      <w:r>
        <w:rPr>
          <w:rFonts w:hint="eastAsia"/>
          <w:bCs/>
          <w:szCs w:val="21"/>
        </w:rPr>
        <w:t>MS</w:t>
      </w:r>
      <w:r>
        <w:rPr>
          <w:rFonts w:hint="eastAsia"/>
          <w:bCs/>
          <w:szCs w:val="21"/>
        </w:rPr>
        <w:t>培养基、次氯酸钠、番茄种子等。</w:t>
      </w:r>
    </w:p>
    <w:p w14:paraId="63B2C8A0" w14:textId="77777777" w:rsidR="00F5289E" w:rsidRDefault="00C91173">
      <w:pPr>
        <w:snapToGrid w:val="0"/>
        <w:spacing w:line="360" w:lineRule="auto"/>
        <w:rPr>
          <w:rFonts w:ascii="宋体" w:hAnsi="宋体"/>
          <w:bCs/>
          <w:color w:val="0000FF"/>
          <w:szCs w:val="21"/>
        </w:rPr>
      </w:pPr>
      <w:r>
        <w:rPr>
          <w:rFonts w:ascii="宋体" w:hAnsi="宋体" w:hint="eastAsia"/>
          <w:b/>
          <w:szCs w:val="21"/>
        </w:rPr>
        <w:t>(七)</w:t>
      </w:r>
      <w:r>
        <w:rPr>
          <w:rFonts w:ascii="宋体" w:hAnsi="宋体" w:hint="eastAsia"/>
          <w:b/>
          <w:bCs/>
          <w:szCs w:val="21"/>
        </w:rPr>
        <w:t>考核方式及成绩评定</w:t>
      </w:r>
    </w:p>
    <w:p w14:paraId="5CC79A16" w14:textId="77777777" w:rsidR="00F5289E" w:rsidRDefault="00C91173">
      <w:pPr>
        <w:snapToGrid w:val="0"/>
        <w:spacing w:line="360" w:lineRule="auto"/>
        <w:ind w:firstLineChars="200" w:firstLine="420"/>
        <w:rPr>
          <w:rFonts w:ascii="宋体" w:hAnsi="宋体"/>
          <w:bCs/>
        </w:rPr>
      </w:pPr>
      <w:r>
        <w:rPr>
          <w:rFonts w:ascii="宋体" w:hAnsi="宋体" w:hint="eastAsia"/>
          <w:bCs/>
        </w:rPr>
        <w:t>试验报告成绩</w:t>
      </w:r>
      <w:r>
        <w:rPr>
          <w:rFonts w:hint="eastAsia"/>
          <w:bCs/>
          <w:szCs w:val="21"/>
        </w:rPr>
        <w:t>。</w:t>
      </w:r>
    </w:p>
    <w:p w14:paraId="706F1ECC"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71FD6C05" w14:textId="77777777" w:rsidR="00F5289E" w:rsidRDefault="00C91173">
      <w:pPr>
        <w:widowControl/>
        <w:snapToGrid w:val="0"/>
        <w:spacing w:line="360" w:lineRule="auto"/>
        <w:ind w:firstLineChars="200" w:firstLine="420"/>
        <w:rPr>
          <w:rFonts w:ascii="仿宋_GB2312" w:hAnsi="仿宋_GB2312" w:cs="仿宋_GB2312"/>
          <w:szCs w:val="32"/>
        </w:rPr>
      </w:pPr>
      <w:r>
        <w:rPr>
          <w:rFonts w:ascii="宋体" w:hAnsi="宋体" w:hint="eastAsia"/>
          <w:bCs/>
        </w:rPr>
        <w:t>在本课程教学过程中，通过提炼课程中蕴含的思政教育，在培养学生专业素养和科研能力的同时培养学生的专业责任感和使命感，厚植三农情怀，</w:t>
      </w:r>
      <w:r>
        <w:rPr>
          <w:rFonts w:ascii="仿宋_GB2312" w:hAnsi="仿宋_GB2312" w:cs="仿宋_GB2312" w:hint="eastAsia"/>
          <w:szCs w:val="32"/>
        </w:rPr>
        <w:t>懂农业，爱农村，爱农民，立志服务三农，把科技论文写在祖国大地上。例如在绪论中，通过讲解生物技术的发展及在园艺植物中的应用，带领同学追忆一代代科研工作者通过不懈努力解决农业生产中存在的实际问题，为丰富广大人民群众的“果盘子”和“菜篮子”做出的突出贡献，使各位同学切实体会到园艺使生活更美好的专业自豪感和使命感。</w:t>
      </w:r>
    </w:p>
    <w:p w14:paraId="2225FC05" w14:textId="77777777" w:rsidR="00F5289E" w:rsidRDefault="00C91173">
      <w:pPr>
        <w:widowControl/>
        <w:snapToGrid w:val="0"/>
        <w:spacing w:line="360" w:lineRule="auto"/>
        <w:ind w:firstLineChars="200" w:firstLine="420"/>
        <w:rPr>
          <w:rFonts w:ascii="宋体" w:hAnsi="宋体"/>
          <w:bCs/>
        </w:rPr>
      </w:pPr>
      <w:r>
        <w:rPr>
          <w:rFonts w:ascii="宋体" w:hAnsi="宋体" w:hint="eastAsia"/>
          <w:bCs/>
        </w:rPr>
        <w:t>通过转基因植物的学习，让学生深刻理解转基因的本质，对社会不实报道有明辨是非的能力，同时做好科普宣传。在授课过程中，在系统传授科学知识的同时，传播广大科学家在探索生物奥秘过程中所展现的坚韧不拔的勇气和契而不舍的精神，培养学生献身科学和传播科学的精神。</w:t>
      </w:r>
    </w:p>
    <w:p w14:paraId="26421D91" w14:textId="77777777" w:rsidR="00F5289E" w:rsidRDefault="00C91173">
      <w:pPr>
        <w:widowControl/>
        <w:snapToGrid w:val="0"/>
        <w:spacing w:line="360" w:lineRule="auto"/>
        <w:jc w:val="left"/>
        <w:rPr>
          <w:kern w:val="0"/>
          <w:szCs w:val="21"/>
        </w:rPr>
      </w:pPr>
      <w:r>
        <w:rPr>
          <w:rFonts w:hAnsi="宋体" w:hint="eastAsia"/>
          <w:b/>
          <w:bCs/>
          <w:kern w:val="0"/>
          <w:szCs w:val="21"/>
        </w:rPr>
        <w:t>七</w:t>
      </w:r>
      <w:r>
        <w:rPr>
          <w:rFonts w:hAnsi="宋体"/>
          <w:b/>
          <w:bCs/>
          <w:kern w:val="0"/>
          <w:szCs w:val="21"/>
        </w:rPr>
        <w:t>、教材</w:t>
      </w:r>
      <w:r>
        <w:rPr>
          <w:rFonts w:hAnsi="宋体" w:hint="eastAsia"/>
          <w:b/>
          <w:bCs/>
          <w:kern w:val="0"/>
          <w:szCs w:val="21"/>
        </w:rPr>
        <w:t>及教学参考书</w:t>
      </w:r>
    </w:p>
    <w:p w14:paraId="5174FDAB"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10347997" w14:textId="77777777" w:rsidR="00F5289E" w:rsidRDefault="00C91173">
      <w:pPr>
        <w:widowControl/>
        <w:snapToGrid w:val="0"/>
        <w:spacing w:line="360" w:lineRule="auto"/>
        <w:ind w:firstLineChars="200" w:firstLine="420"/>
        <w:jc w:val="left"/>
        <w:rPr>
          <w:rFonts w:hAnsi="宋体"/>
          <w:bCs/>
          <w:color w:val="0000FF"/>
          <w:kern w:val="0"/>
          <w:szCs w:val="21"/>
        </w:rPr>
      </w:pPr>
      <w:r>
        <w:rPr>
          <w:rFonts w:ascii="宋体" w:hAnsi="宋体" w:hint="eastAsia"/>
          <w:bCs/>
          <w:kern w:val="0"/>
          <w:szCs w:val="21"/>
        </w:rPr>
        <w:t>（1）理论课教材：园艺植物生物技术，邓秀新，胡春根编著，高等教育出版社，2005</w:t>
      </w:r>
    </w:p>
    <w:p w14:paraId="482961FC" w14:textId="77777777" w:rsidR="00F5289E" w:rsidRDefault="00C91173">
      <w:pPr>
        <w:widowControl/>
        <w:snapToGrid w:val="0"/>
        <w:spacing w:line="360" w:lineRule="auto"/>
        <w:ind w:firstLineChars="200" w:firstLine="420"/>
        <w:jc w:val="left"/>
        <w:rPr>
          <w:rFonts w:hAnsi="宋体"/>
          <w:bCs/>
          <w:color w:val="0000FF"/>
          <w:kern w:val="0"/>
          <w:szCs w:val="21"/>
        </w:rPr>
      </w:pPr>
      <w:r>
        <w:rPr>
          <w:rFonts w:ascii="宋体" w:hAnsi="宋体" w:hint="eastAsia"/>
        </w:rPr>
        <w:t>（2）实验课教材：园艺植物生物技术实验指导，胡桂兵编著，中国农业出版社，2010</w:t>
      </w:r>
    </w:p>
    <w:p w14:paraId="76A0C900"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114BF7A5"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w:t>
      </w:r>
      <w:r>
        <w:rPr>
          <w:rFonts w:hAnsi="宋体" w:hint="eastAsia"/>
          <w:bCs/>
          <w:kern w:val="0"/>
          <w:szCs w:val="21"/>
        </w:rPr>
        <w:t>1</w:t>
      </w:r>
      <w:r>
        <w:rPr>
          <w:rFonts w:hAnsi="宋体" w:hint="eastAsia"/>
          <w:bCs/>
          <w:kern w:val="0"/>
          <w:szCs w:val="21"/>
        </w:rPr>
        <w:t>）植物生物技术，许智宏编著，上海科技出版社，</w:t>
      </w:r>
      <w:r>
        <w:rPr>
          <w:rFonts w:hAnsi="宋体" w:hint="eastAsia"/>
          <w:bCs/>
          <w:kern w:val="0"/>
          <w:szCs w:val="21"/>
        </w:rPr>
        <w:t>1998</w:t>
      </w:r>
    </w:p>
    <w:p w14:paraId="2A68251F"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w:t>
      </w:r>
      <w:r>
        <w:rPr>
          <w:rFonts w:hAnsi="宋体" w:hint="eastAsia"/>
          <w:bCs/>
          <w:kern w:val="0"/>
          <w:szCs w:val="21"/>
        </w:rPr>
        <w:t>2</w:t>
      </w:r>
      <w:r>
        <w:rPr>
          <w:rFonts w:hAnsi="宋体" w:hint="eastAsia"/>
          <w:bCs/>
          <w:kern w:val="0"/>
          <w:szCs w:val="21"/>
        </w:rPr>
        <w:t>）植物生物技术，张献龙，唐克轩编著，科学出版社，</w:t>
      </w:r>
      <w:r>
        <w:rPr>
          <w:rFonts w:hAnsi="宋体" w:hint="eastAsia"/>
          <w:bCs/>
          <w:kern w:val="0"/>
          <w:szCs w:val="21"/>
        </w:rPr>
        <w:t>2004</w:t>
      </w:r>
    </w:p>
    <w:p w14:paraId="7864E83B"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w:t>
      </w:r>
      <w:r>
        <w:rPr>
          <w:rFonts w:hAnsi="宋体" w:hint="eastAsia"/>
          <w:bCs/>
          <w:kern w:val="0"/>
          <w:szCs w:val="21"/>
        </w:rPr>
        <w:t>3</w:t>
      </w:r>
      <w:r>
        <w:rPr>
          <w:rFonts w:hAnsi="宋体" w:hint="eastAsia"/>
          <w:bCs/>
          <w:kern w:val="0"/>
          <w:szCs w:val="21"/>
        </w:rPr>
        <w:t>）植物组织培养教程，李浚明编著，北京农业大学出版社，</w:t>
      </w:r>
      <w:r>
        <w:rPr>
          <w:rFonts w:hAnsi="宋体" w:hint="eastAsia"/>
          <w:bCs/>
          <w:kern w:val="0"/>
          <w:szCs w:val="21"/>
        </w:rPr>
        <w:t>1991</w:t>
      </w:r>
    </w:p>
    <w:p w14:paraId="522E14B2"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w:t>
      </w:r>
      <w:r>
        <w:rPr>
          <w:rFonts w:hAnsi="宋体" w:hint="eastAsia"/>
          <w:bCs/>
          <w:kern w:val="0"/>
          <w:szCs w:val="21"/>
        </w:rPr>
        <w:t>4</w:t>
      </w:r>
      <w:r>
        <w:rPr>
          <w:rFonts w:hAnsi="宋体" w:hint="eastAsia"/>
          <w:bCs/>
          <w:kern w:val="0"/>
          <w:szCs w:val="21"/>
        </w:rPr>
        <w:t>）植物基因工程，王关林和方宏筠编著，科学出版社，</w:t>
      </w:r>
      <w:r>
        <w:rPr>
          <w:rFonts w:hAnsi="宋体" w:hint="eastAsia"/>
          <w:bCs/>
          <w:kern w:val="0"/>
          <w:szCs w:val="21"/>
        </w:rPr>
        <w:t>2003</w:t>
      </w:r>
    </w:p>
    <w:p w14:paraId="4CDCD4D8" w14:textId="77777777" w:rsidR="00F5289E" w:rsidRDefault="00F5289E">
      <w:pPr>
        <w:widowControl/>
        <w:snapToGrid w:val="0"/>
        <w:spacing w:line="360" w:lineRule="auto"/>
        <w:ind w:firstLineChars="200" w:firstLine="420"/>
        <w:jc w:val="left"/>
        <w:rPr>
          <w:rFonts w:hAnsi="宋体"/>
          <w:bCs/>
          <w:color w:val="0000FF"/>
          <w:kern w:val="0"/>
          <w:szCs w:val="21"/>
        </w:rPr>
      </w:pPr>
    </w:p>
    <w:p w14:paraId="4EDE36B0"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3DE4DE12" w14:textId="77777777" w:rsidR="00F5289E" w:rsidRDefault="00C91173">
      <w:pPr>
        <w:snapToGrid w:val="0"/>
        <w:spacing w:line="360" w:lineRule="auto"/>
        <w:ind w:firstLineChars="200" w:firstLine="420"/>
        <w:rPr>
          <w:szCs w:val="21"/>
        </w:rPr>
      </w:pPr>
      <w:r>
        <w:rPr>
          <w:szCs w:val="21"/>
        </w:rPr>
        <w:t>（</w:t>
      </w:r>
      <w:r>
        <w:rPr>
          <w:szCs w:val="21"/>
        </w:rPr>
        <w:t>1</w:t>
      </w:r>
      <w:r>
        <w:rPr>
          <w:szCs w:val="21"/>
        </w:rPr>
        <w:t>）华中农业大学园艺植物生物技术国家级精品课程网站</w:t>
      </w:r>
    </w:p>
    <w:p w14:paraId="1028341B" w14:textId="77777777" w:rsidR="00F5289E" w:rsidRDefault="00C91173">
      <w:pPr>
        <w:snapToGrid w:val="0"/>
        <w:spacing w:line="360" w:lineRule="auto"/>
        <w:ind w:firstLineChars="200" w:firstLine="420"/>
        <w:rPr>
          <w:szCs w:val="21"/>
        </w:rPr>
      </w:pPr>
      <w:r>
        <w:rPr>
          <w:szCs w:val="21"/>
        </w:rPr>
        <w:lastRenderedPageBreak/>
        <w:t>网址：</w:t>
      </w:r>
      <w:r>
        <w:rPr>
          <w:szCs w:val="21"/>
        </w:rPr>
        <w:t>http://nhjy.hzau.edu.cn/kech/yyzw/main.htm</w:t>
      </w:r>
    </w:p>
    <w:p w14:paraId="7163A1EF" w14:textId="77777777" w:rsidR="00F5289E" w:rsidRDefault="00C91173">
      <w:pPr>
        <w:widowControl/>
        <w:snapToGrid w:val="0"/>
        <w:spacing w:line="360" w:lineRule="auto"/>
        <w:ind w:firstLineChars="200" w:firstLine="420"/>
        <w:jc w:val="left"/>
        <w:rPr>
          <w:szCs w:val="21"/>
        </w:rPr>
      </w:pPr>
      <w:r>
        <w:rPr>
          <w:szCs w:val="21"/>
        </w:rPr>
        <w:t>（</w:t>
      </w:r>
      <w:r>
        <w:rPr>
          <w:szCs w:val="21"/>
        </w:rPr>
        <w:t>2</w:t>
      </w:r>
      <w:r>
        <w:rPr>
          <w:szCs w:val="21"/>
        </w:rPr>
        <w:t>）加州大学河滨分校植物细胞生物学中心网站</w:t>
      </w:r>
    </w:p>
    <w:p w14:paraId="16483B86" w14:textId="77777777" w:rsidR="00F5289E" w:rsidRDefault="00C91173">
      <w:pPr>
        <w:widowControl/>
        <w:snapToGrid w:val="0"/>
        <w:spacing w:line="360" w:lineRule="auto"/>
        <w:ind w:firstLineChars="200" w:firstLine="420"/>
        <w:jc w:val="left"/>
        <w:rPr>
          <w:kern w:val="0"/>
        </w:rPr>
      </w:pPr>
      <w:r>
        <w:rPr>
          <w:szCs w:val="21"/>
        </w:rPr>
        <w:t>网址：</w:t>
      </w:r>
      <w:r w:rsidRPr="001B3040">
        <w:rPr>
          <w:kern w:val="0"/>
        </w:rPr>
        <w:t>http://cepceb.ucr.edu/index.php</w:t>
      </w:r>
    </w:p>
    <w:p w14:paraId="6C203428" w14:textId="77777777" w:rsidR="00F5289E" w:rsidRDefault="00C91173">
      <w:pPr>
        <w:widowControl/>
        <w:snapToGrid w:val="0"/>
        <w:spacing w:line="360" w:lineRule="auto"/>
        <w:ind w:firstLineChars="200" w:firstLine="420"/>
        <w:jc w:val="left"/>
        <w:rPr>
          <w:kern w:val="0"/>
        </w:rPr>
      </w:pPr>
      <w:r>
        <w:rPr>
          <w:rFonts w:hint="eastAsia"/>
          <w:kern w:val="0"/>
        </w:rPr>
        <w:t>（</w:t>
      </w:r>
      <w:r>
        <w:rPr>
          <w:rFonts w:hint="eastAsia"/>
          <w:kern w:val="0"/>
        </w:rPr>
        <w:t>3</w:t>
      </w:r>
      <w:r>
        <w:rPr>
          <w:rFonts w:hint="eastAsia"/>
          <w:kern w:val="0"/>
        </w:rPr>
        <w:t>）中国大学</w:t>
      </w:r>
      <w:r>
        <w:rPr>
          <w:rFonts w:hint="eastAsia"/>
          <w:kern w:val="0"/>
        </w:rPr>
        <w:t>MOOC</w:t>
      </w:r>
      <w:r>
        <w:rPr>
          <w:rFonts w:hint="eastAsia"/>
          <w:kern w:val="0"/>
        </w:rPr>
        <w:t>网，</w:t>
      </w:r>
      <w:r>
        <w:rPr>
          <w:rFonts w:hint="eastAsia"/>
          <w:kern w:val="0"/>
        </w:rPr>
        <w:t>https://www.icourse163.org/</w:t>
      </w:r>
    </w:p>
    <w:p w14:paraId="2A7DD061"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37AFD7CE" w14:textId="77777777" w:rsidR="00F5289E" w:rsidRDefault="00C91173">
      <w:pPr>
        <w:snapToGrid w:val="0"/>
        <w:spacing w:line="360" w:lineRule="auto"/>
        <w:ind w:firstLineChars="200" w:firstLine="420"/>
        <w:rPr>
          <w:rFonts w:ascii="宋体" w:hAnsi="宋体"/>
          <w:color w:val="0000FF"/>
          <w:szCs w:val="21"/>
        </w:rPr>
      </w:pPr>
      <w:r>
        <w:rPr>
          <w:szCs w:val="21"/>
        </w:rPr>
        <w:t>园艺植物生物技术教学团队教学设施完备，教学条件优良，目前本教团队拥有园艺植物生理生态、园艺植物种质资源与遗传育种和园艺植物分子生物学等</w:t>
      </w:r>
      <w:r>
        <w:rPr>
          <w:szCs w:val="21"/>
        </w:rPr>
        <w:t>4</w:t>
      </w:r>
      <w:r>
        <w:rPr>
          <w:szCs w:val="21"/>
        </w:rPr>
        <w:t>个校内实验室，拥有</w:t>
      </w:r>
      <w:r>
        <w:rPr>
          <w:rFonts w:hint="eastAsia"/>
          <w:szCs w:val="21"/>
        </w:rPr>
        <w:t>第二实验楼</w:t>
      </w:r>
      <w:r>
        <w:rPr>
          <w:szCs w:val="21"/>
        </w:rPr>
        <w:t>200 m</w:t>
      </w:r>
      <w:r>
        <w:rPr>
          <w:szCs w:val="21"/>
          <w:vertAlign w:val="superscript"/>
        </w:rPr>
        <w:t>2</w:t>
      </w:r>
      <w:r>
        <w:rPr>
          <w:szCs w:val="21"/>
        </w:rPr>
        <w:t>的组培实验室，可以满足学生教学和专业实践需要，同时，也为教师、学生的科研任务提供良好的工作和学习空间，教学科研水平稳步提高。</w:t>
      </w:r>
    </w:p>
    <w:p w14:paraId="6FF6C702"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693D9B60" w14:textId="77777777" w:rsidR="00F5289E" w:rsidRDefault="00C91173">
      <w:pPr>
        <w:widowControl/>
        <w:snapToGrid w:val="0"/>
        <w:spacing w:line="360" w:lineRule="auto"/>
        <w:ind w:firstLine="420"/>
        <w:jc w:val="left"/>
      </w:pPr>
      <w:r>
        <w:rPr>
          <w:rFonts w:hAnsi="宋体" w:hint="eastAsia"/>
          <w:b/>
          <w:bCs/>
          <w:kern w:val="0"/>
          <w:szCs w:val="21"/>
        </w:rPr>
        <w:t>1.</w:t>
      </w:r>
      <w:r>
        <w:rPr>
          <w:rFonts w:hAnsi="宋体" w:hint="eastAsia"/>
          <w:b/>
          <w:bCs/>
          <w:kern w:val="0"/>
          <w:szCs w:val="21"/>
        </w:rPr>
        <w:t>过程性评价：</w:t>
      </w:r>
    </w:p>
    <w:p w14:paraId="7B7E9141" w14:textId="77777777" w:rsidR="00F5289E" w:rsidRDefault="00C91173">
      <w:pPr>
        <w:snapToGrid w:val="0"/>
        <w:spacing w:line="360" w:lineRule="auto"/>
        <w:ind w:firstLineChars="200" w:firstLine="420"/>
        <w:rPr>
          <w:rFonts w:cs="宋体"/>
          <w:bCs/>
          <w:kern w:val="0"/>
          <w:szCs w:val="21"/>
        </w:rPr>
      </w:pPr>
      <w:r>
        <w:rPr>
          <w:rFonts w:cs="宋体" w:hint="eastAsia"/>
          <w:bCs/>
          <w:kern w:val="0"/>
          <w:szCs w:val="21"/>
        </w:rPr>
        <w:t>过程性评价包括追踪学生出勤情况、课堂表现情况（如课堂及讨论的参与度、提出与回答问题的积极性和质量等）、线上学习讨论情况、实验报告完成情况及成绩等，采用多元化综合考核评价方法；占比</w:t>
      </w:r>
      <w:r>
        <w:rPr>
          <w:rFonts w:cs="宋体" w:hint="eastAsia"/>
          <w:bCs/>
          <w:kern w:val="0"/>
          <w:szCs w:val="21"/>
        </w:rPr>
        <w:t>4</w:t>
      </w:r>
      <w:r>
        <w:rPr>
          <w:rFonts w:cs="宋体"/>
          <w:bCs/>
          <w:kern w:val="0"/>
          <w:szCs w:val="21"/>
        </w:rPr>
        <w:t>0%-60%</w:t>
      </w:r>
      <w:r>
        <w:rPr>
          <w:rFonts w:cs="宋体" w:hint="eastAsia"/>
          <w:bCs/>
          <w:kern w:val="0"/>
          <w:szCs w:val="21"/>
        </w:rPr>
        <w:t>。</w:t>
      </w:r>
    </w:p>
    <w:p w14:paraId="41977395" w14:textId="77777777" w:rsidR="00F5289E" w:rsidRDefault="00C91173">
      <w:pPr>
        <w:widowControl/>
        <w:snapToGrid w:val="0"/>
        <w:spacing w:line="360" w:lineRule="auto"/>
        <w:ind w:firstLine="420"/>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t>期末考试方式为闭卷考试，考试时间</w:t>
      </w:r>
      <w:r>
        <w:t>120</w:t>
      </w:r>
      <w:r>
        <w:t>分钟，期末成绩满分</w:t>
      </w:r>
      <w:r>
        <w:t>100</w:t>
      </w:r>
      <w:r>
        <w:t>分，占总成绩的</w:t>
      </w:r>
      <w:r>
        <w:t>50~70%</w:t>
      </w:r>
      <w:r>
        <w:t>，平时成绩占总成绩的</w:t>
      </w:r>
      <w:r>
        <w:rPr>
          <w:rFonts w:hint="eastAsia"/>
        </w:rPr>
        <w:t>4</w:t>
      </w:r>
      <w:r>
        <w:t>0%~</w:t>
      </w:r>
      <w:r>
        <w:rPr>
          <w:rFonts w:hint="eastAsia"/>
        </w:rPr>
        <w:t>6</w:t>
      </w:r>
      <w:r>
        <w:t>0%</w:t>
      </w:r>
      <w:r>
        <w:t>。</w:t>
      </w:r>
    </w:p>
    <w:p w14:paraId="6A39F677" w14:textId="77777777" w:rsidR="00F5289E" w:rsidRDefault="00C91173">
      <w:pPr>
        <w:widowControl/>
        <w:snapToGrid w:val="0"/>
        <w:spacing w:line="360" w:lineRule="auto"/>
        <w:ind w:firstLine="420"/>
        <w:jc w:val="left"/>
        <w:rPr>
          <w:rFonts w:ascii="宋体" w:hAnsi="宋体"/>
        </w:rPr>
      </w:pPr>
      <w:r>
        <w:rPr>
          <w:rFonts w:hAnsi="宋体" w:hint="eastAsia"/>
          <w:b/>
          <w:bCs/>
          <w:kern w:val="0"/>
          <w:szCs w:val="21"/>
        </w:rPr>
        <w:t>3.</w:t>
      </w:r>
      <w:r>
        <w:rPr>
          <w:rFonts w:hAnsi="宋体" w:hint="eastAsia"/>
          <w:b/>
          <w:bCs/>
          <w:kern w:val="0"/>
          <w:szCs w:val="21"/>
        </w:rPr>
        <w:t>课程综合评价：</w:t>
      </w:r>
      <w:r>
        <w:rPr>
          <w:rFonts w:cs="宋体" w:hint="eastAsia"/>
          <w:bCs/>
          <w:kern w:val="0"/>
          <w:szCs w:val="21"/>
        </w:rPr>
        <w:t>过程性评价×</w:t>
      </w:r>
      <w:r>
        <w:rPr>
          <w:rFonts w:cs="宋体" w:hint="eastAsia"/>
          <w:bCs/>
          <w:kern w:val="0"/>
          <w:szCs w:val="21"/>
        </w:rPr>
        <w:t>4</w:t>
      </w:r>
      <w:r>
        <w:rPr>
          <w:rFonts w:cs="宋体"/>
          <w:bCs/>
          <w:kern w:val="0"/>
          <w:szCs w:val="21"/>
        </w:rPr>
        <w:t>0%-60%</w:t>
      </w:r>
      <w:r>
        <w:rPr>
          <w:rFonts w:cs="宋体" w:hint="eastAsia"/>
          <w:bCs/>
          <w:kern w:val="0"/>
          <w:szCs w:val="21"/>
        </w:rPr>
        <w:t>+</w:t>
      </w:r>
      <w:r>
        <w:rPr>
          <w:rFonts w:cs="宋体" w:hint="eastAsia"/>
          <w:bCs/>
          <w:kern w:val="0"/>
          <w:szCs w:val="21"/>
        </w:rPr>
        <w:t>终结性评价×</w:t>
      </w:r>
      <w:r>
        <w:rPr>
          <w:rFonts w:hAnsi="宋体" w:hint="eastAsia"/>
          <w:bCs/>
          <w:kern w:val="0"/>
          <w:szCs w:val="21"/>
        </w:rPr>
        <w:t>40</w:t>
      </w:r>
      <w:r>
        <w:rPr>
          <w:rFonts w:hAnsi="宋体"/>
          <w:bCs/>
          <w:kern w:val="0"/>
          <w:szCs w:val="21"/>
        </w:rPr>
        <w:t>%-60%</w:t>
      </w:r>
      <w:r>
        <w:rPr>
          <w:rFonts w:hAnsi="宋体" w:hint="eastAsia"/>
          <w:bCs/>
          <w:kern w:val="0"/>
          <w:szCs w:val="21"/>
        </w:rPr>
        <w:t>。</w:t>
      </w:r>
    </w:p>
    <w:p w14:paraId="4CB11D2E"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41B94168" w14:textId="77777777" w:rsidR="00F5289E" w:rsidRDefault="00C91173">
      <w:pPr>
        <w:pStyle w:val="1"/>
      </w:pPr>
      <w:bookmarkStart w:id="127" w:name="_Toc138606261"/>
      <w:r>
        <w:rPr>
          <w:rFonts w:hint="eastAsia"/>
        </w:rPr>
        <w:lastRenderedPageBreak/>
        <w:t>园艺专业外语</w:t>
      </w:r>
      <w:bookmarkEnd w:id="127"/>
    </w:p>
    <w:p w14:paraId="7B0F087F" w14:textId="77777777" w:rsidR="00F5289E" w:rsidRDefault="001B3040">
      <w:pPr>
        <w:snapToGrid w:val="0"/>
        <w:spacing w:line="360" w:lineRule="auto"/>
        <w:jc w:val="center"/>
        <w:rPr>
          <w:sz w:val="24"/>
        </w:rPr>
      </w:pPr>
      <w:r>
        <w:rPr>
          <w:rFonts w:hint="eastAsia"/>
          <w:sz w:val="24"/>
        </w:rPr>
        <w:t>（</w:t>
      </w:r>
      <w:r>
        <w:rPr>
          <w:sz w:val="24"/>
        </w:rPr>
        <w:t xml:space="preserve">Horticulture </w:t>
      </w:r>
      <w:r>
        <w:rPr>
          <w:rFonts w:hint="eastAsia"/>
          <w:sz w:val="24"/>
        </w:rPr>
        <w:t>English</w:t>
      </w:r>
      <w:r>
        <w:rPr>
          <w:rFonts w:hint="eastAsia"/>
          <w:sz w:val="24"/>
        </w:rPr>
        <w:t>）</w:t>
      </w:r>
    </w:p>
    <w:p w14:paraId="0AC5E88D" w14:textId="77777777" w:rsidR="00F5289E" w:rsidRDefault="00F5289E">
      <w:pPr>
        <w:snapToGrid w:val="0"/>
        <w:spacing w:line="360" w:lineRule="auto"/>
        <w:jc w:val="center"/>
        <w:rPr>
          <w:b/>
          <w:szCs w:val="21"/>
        </w:rPr>
      </w:pPr>
    </w:p>
    <w:p w14:paraId="657718CD"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425302A6" w14:textId="77777777">
        <w:tc>
          <w:tcPr>
            <w:tcW w:w="1666" w:type="pct"/>
          </w:tcPr>
          <w:p w14:paraId="24FF576D"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kern w:val="0"/>
                <w:szCs w:val="21"/>
              </w:rPr>
              <w:t>19011053</w:t>
            </w:r>
          </w:p>
        </w:tc>
        <w:tc>
          <w:tcPr>
            <w:tcW w:w="1453" w:type="pct"/>
          </w:tcPr>
          <w:p w14:paraId="72C9BA19"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1B3040">
              <w:rPr>
                <w:rFonts w:ascii="宋体" w:hAnsi="宋体" w:hint="eastAsia"/>
                <w:szCs w:val="21"/>
              </w:rPr>
              <w:t>32</w:t>
            </w:r>
          </w:p>
        </w:tc>
        <w:tc>
          <w:tcPr>
            <w:tcW w:w="1881" w:type="pct"/>
          </w:tcPr>
          <w:p w14:paraId="3FF5588D" w14:textId="427AEB3D" w:rsidR="00F5289E" w:rsidRDefault="00C91173">
            <w:pPr>
              <w:spacing w:line="300" w:lineRule="auto"/>
              <w:rPr>
                <w:rFonts w:ascii="宋体" w:hAnsi="宋体"/>
                <w:b/>
                <w:bCs/>
                <w:szCs w:val="21"/>
              </w:rPr>
            </w:pPr>
            <w:r>
              <w:rPr>
                <w:rFonts w:ascii="宋体" w:hAnsi="宋体" w:hint="eastAsia"/>
                <w:b/>
                <w:bCs/>
                <w:szCs w:val="21"/>
              </w:rPr>
              <w:t>实验学时：</w:t>
            </w:r>
            <w:r w:rsidRPr="001B3040">
              <w:rPr>
                <w:rFonts w:ascii="宋体" w:hAnsi="宋体" w:hint="eastAsia"/>
                <w:szCs w:val="21"/>
              </w:rPr>
              <w:t xml:space="preserve"> </w:t>
            </w:r>
          </w:p>
        </w:tc>
      </w:tr>
      <w:tr w:rsidR="00F5289E" w14:paraId="72872B82" w14:textId="77777777">
        <w:tc>
          <w:tcPr>
            <w:tcW w:w="1666" w:type="pct"/>
          </w:tcPr>
          <w:p w14:paraId="05996397" w14:textId="77777777" w:rsidR="00F5289E" w:rsidRDefault="00C91173">
            <w:pPr>
              <w:spacing w:line="300" w:lineRule="auto"/>
              <w:rPr>
                <w:rFonts w:ascii="宋体" w:hAnsi="宋体"/>
                <w:b/>
                <w:bCs/>
                <w:szCs w:val="21"/>
              </w:rPr>
            </w:pPr>
            <w:r>
              <w:rPr>
                <w:rFonts w:ascii="宋体" w:hAnsi="宋体" w:hint="eastAsia"/>
                <w:b/>
                <w:bCs/>
                <w:szCs w:val="21"/>
              </w:rPr>
              <w:t>课程性质：</w:t>
            </w:r>
            <w:r w:rsidRPr="001B3040">
              <w:rPr>
                <w:rFonts w:ascii="宋体" w:hAnsi="宋体" w:hint="eastAsia"/>
                <w:szCs w:val="21"/>
              </w:rPr>
              <w:t>选修</w:t>
            </w:r>
          </w:p>
        </w:tc>
        <w:tc>
          <w:tcPr>
            <w:tcW w:w="1453" w:type="pct"/>
          </w:tcPr>
          <w:p w14:paraId="688E3DB1" w14:textId="77777777" w:rsidR="00F5289E" w:rsidRDefault="00C91173">
            <w:pPr>
              <w:spacing w:line="300" w:lineRule="auto"/>
              <w:rPr>
                <w:rFonts w:ascii="宋体" w:hAnsi="宋体"/>
                <w:b/>
                <w:bCs/>
                <w:szCs w:val="21"/>
              </w:rPr>
            </w:pPr>
            <w:r>
              <w:rPr>
                <w:rFonts w:ascii="宋体" w:hAnsi="宋体" w:hint="eastAsia"/>
                <w:b/>
                <w:szCs w:val="21"/>
              </w:rPr>
              <w:t>课程属性:</w:t>
            </w:r>
            <w:r w:rsidRPr="001B3040">
              <w:rPr>
                <w:rFonts w:hint="eastAsia"/>
              </w:rPr>
              <w:t xml:space="preserve"> </w:t>
            </w:r>
            <w:r w:rsidRPr="001B3040">
              <w:rPr>
                <w:rFonts w:ascii="宋体" w:hAnsi="宋体" w:hint="eastAsia"/>
                <w:szCs w:val="21"/>
              </w:rPr>
              <w:t>专业类</w:t>
            </w:r>
          </w:p>
        </w:tc>
        <w:tc>
          <w:tcPr>
            <w:tcW w:w="1881" w:type="pct"/>
          </w:tcPr>
          <w:p w14:paraId="33E1A517" w14:textId="77777777" w:rsidR="00F5289E" w:rsidRDefault="00C91173">
            <w:pPr>
              <w:spacing w:line="30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第 5/7学期</w:t>
            </w:r>
          </w:p>
        </w:tc>
      </w:tr>
      <w:tr w:rsidR="00F5289E" w14:paraId="39E2AB38" w14:textId="77777777">
        <w:tc>
          <w:tcPr>
            <w:tcW w:w="1666" w:type="pct"/>
          </w:tcPr>
          <w:p w14:paraId="469D175B"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1B3040">
              <w:rPr>
                <w:rFonts w:ascii="宋体" w:hAnsi="宋体" w:hint="eastAsia"/>
                <w:szCs w:val="21"/>
              </w:rPr>
              <w:t>朱华玉</w:t>
            </w:r>
          </w:p>
        </w:tc>
        <w:tc>
          <w:tcPr>
            <w:tcW w:w="1453" w:type="pct"/>
          </w:tcPr>
          <w:p w14:paraId="1395E517" w14:textId="77777777" w:rsidR="00F5289E" w:rsidRDefault="00C91173">
            <w:pPr>
              <w:spacing w:line="300" w:lineRule="auto"/>
              <w:rPr>
                <w:rFonts w:ascii="宋体" w:hAnsi="宋体"/>
                <w:b/>
                <w:bCs/>
                <w:szCs w:val="21"/>
              </w:rPr>
            </w:pPr>
            <w:r>
              <w:rPr>
                <w:rFonts w:ascii="宋体" w:hAnsi="宋体" w:hint="eastAsia"/>
                <w:b/>
                <w:bCs/>
                <w:szCs w:val="21"/>
              </w:rPr>
              <w:t>课程团队：</w:t>
            </w:r>
            <w:r w:rsidRPr="001B3040">
              <w:rPr>
                <w:rFonts w:ascii="宋体" w:hAnsi="宋体" w:hint="eastAsia"/>
                <w:szCs w:val="21"/>
              </w:rPr>
              <w:t>孙凯乐、孟更、张坤玺</w:t>
            </w:r>
          </w:p>
        </w:tc>
        <w:tc>
          <w:tcPr>
            <w:tcW w:w="1881" w:type="pct"/>
          </w:tcPr>
          <w:p w14:paraId="78824D76" w14:textId="77777777" w:rsidR="00F5289E" w:rsidRDefault="00C91173">
            <w:pPr>
              <w:spacing w:line="300" w:lineRule="auto"/>
              <w:rPr>
                <w:rFonts w:ascii="宋体" w:hAnsi="宋体"/>
                <w:b/>
                <w:bCs/>
                <w:szCs w:val="21"/>
              </w:rPr>
            </w:pPr>
            <w:r>
              <w:rPr>
                <w:rFonts w:ascii="宋体" w:hAnsi="宋体" w:hint="eastAsia"/>
                <w:b/>
                <w:bCs/>
                <w:szCs w:val="21"/>
              </w:rPr>
              <w:t>授课语言：</w:t>
            </w:r>
            <w:r w:rsidRPr="001B3040">
              <w:rPr>
                <w:rFonts w:ascii="宋体" w:hAnsi="宋体" w:hint="eastAsia"/>
                <w:szCs w:val="21"/>
              </w:rPr>
              <w:t>中文、英文</w:t>
            </w:r>
          </w:p>
        </w:tc>
      </w:tr>
      <w:tr w:rsidR="00F5289E" w14:paraId="75DE0C48" w14:textId="77777777">
        <w:tc>
          <w:tcPr>
            <w:tcW w:w="5000" w:type="pct"/>
            <w:gridSpan w:val="3"/>
          </w:tcPr>
          <w:p w14:paraId="47CF46DB" w14:textId="77777777" w:rsidR="00F5289E" w:rsidRDefault="00C91173">
            <w:pPr>
              <w:spacing w:line="300" w:lineRule="auto"/>
              <w:ind w:rightChars="-81" w:right="-170"/>
              <w:rPr>
                <w:rFonts w:ascii="宋体" w:hAnsi="宋体"/>
                <w:bCs/>
                <w:szCs w:val="21"/>
              </w:rPr>
            </w:pPr>
            <w:r>
              <w:rPr>
                <w:rFonts w:ascii="宋体" w:hAnsi="宋体" w:hint="eastAsia"/>
                <w:b/>
                <w:bCs/>
                <w:szCs w:val="21"/>
              </w:rPr>
              <w:t>适用专业：</w:t>
            </w:r>
            <w:r w:rsidRPr="001B3040">
              <w:rPr>
                <w:rFonts w:ascii="宋体" w:hAnsi="宋体" w:hint="eastAsia"/>
                <w:szCs w:val="21"/>
              </w:rPr>
              <w:t>园艺、设施农业科学与工程、茶学</w:t>
            </w:r>
          </w:p>
        </w:tc>
      </w:tr>
      <w:tr w:rsidR="00F5289E" w14:paraId="68EE692B" w14:textId="77777777">
        <w:tc>
          <w:tcPr>
            <w:tcW w:w="5000" w:type="pct"/>
            <w:gridSpan w:val="3"/>
          </w:tcPr>
          <w:p w14:paraId="628A265B" w14:textId="77777777" w:rsidR="00F5289E" w:rsidRDefault="00C91173">
            <w:pPr>
              <w:spacing w:line="300" w:lineRule="auto"/>
              <w:rPr>
                <w:rFonts w:ascii="宋体" w:hAnsi="宋体"/>
                <w:b/>
                <w:bCs/>
                <w:szCs w:val="21"/>
              </w:rPr>
            </w:pPr>
            <w:r>
              <w:rPr>
                <w:rFonts w:ascii="宋体" w:hAnsi="宋体" w:hint="eastAsia"/>
                <w:b/>
                <w:bCs/>
                <w:szCs w:val="21"/>
              </w:rPr>
              <w:t>对先修的要求：</w:t>
            </w:r>
            <w:r w:rsidRPr="001B3040">
              <w:rPr>
                <w:rFonts w:ascii="宋体" w:hAnsi="宋体" w:hint="eastAsia"/>
                <w:szCs w:val="21"/>
              </w:rPr>
              <w:t>园艺植物育种学、果树栽培学、蔬菜栽培学</w:t>
            </w:r>
          </w:p>
        </w:tc>
      </w:tr>
      <w:tr w:rsidR="00F5289E" w14:paraId="0CF2454B" w14:textId="77777777">
        <w:tc>
          <w:tcPr>
            <w:tcW w:w="5000" w:type="pct"/>
            <w:gridSpan w:val="3"/>
          </w:tcPr>
          <w:p w14:paraId="1D4576FB"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1B3040">
              <w:rPr>
                <w:rFonts w:ascii="宋体" w:hAnsi="宋体" w:hint="eastAsia"/>
                <w:szCs w:val="21"/>
              </w:rPr>
              <w:t>英语文献的阅读能力、毕业论文英文摘要撰写能力、面试英语口语表达能力</w:t>
            </w:r>
          </w:p>
        </w:tc>
      </w:tr>
      <w:tr w:rsidR="00F5289E" w14:paraId="3C563CB5" w14:textId="77777777">
        <w:tc>
          <w:tcPr>
            <w:tcW w:w="1666" w:type="pct"/>
          </w:tcPr>
          <w:p w14:paraId="4558F403" w14:textId="77777777" w:rsidR="00F5289E" w:rsidRPr="001B3040" w:rsidRDefault="00C91173">
            <w:pPr>
              <w:spacing w:line="300" w:lineRule="auto"/>
              <w:rPr>
                <w:rFonts w:ascii="宋体" w:hAnsi="宋体"/>
                <w:szCs w:val="21"/>
              </w:rPr>
            </w:pPr>
            <w:r>
              <w:rPr>
                <w:rFonts w:ascii="宋体" w:hAnsi="宋体" w:hint="eastAsia"/>
                <w:b/>
                <w:bCs/>
                <w:szCs w:val="21"/>
              </w:rPr>
              <w:t>主撰人：</w:t>
            </w:r>
            <w:r w:rsidRPr="001B3040">
              <w:rPr>
                <w:rFonts w:ascii="宋体" w:hAnsi="宋体" w:hint="eastAsia"/>
                <w:szCs w:val="21"/>
              </w:rPr>
              <w:t>孙凯乐、孟更、</w:t>
            </w:r>
          </w:p>
          <w:p w14:paraId="0095DF8D" w14:textId="77777777" w:rsidR="00F5289E" w:rsidRDefault="00C91173">
            <w:pPr>
              <w:spacing w:line="300" w:lineRule="auto"/>
              <w:ind w:firstLine="900"/>
              <w:rPr>
                <w:rFonts w:ascii="宋体" w:hAnsi="宋体"/>
                <w:b/>
                <w:bCs/>
                <w:szCs w:val="21"/>
              </w:rPr>
            </w:pPr>
            <w:r w:rsidRPr="001B3040">
              <w:rPr>
                <w:rFonts w:ascii="宋体" w:hAnsi="宋体" w:hint="eastAsia"/>
                <w:szCs w:val="21"/>
              </w:rPr>
              <w:t>张坤玺</w:t>
            </w:r>
          </w:p>
        </w:tc>
        <w:tc>
          <w:tcPr>
            <w:tcW w:w="1453" w:type="pct"/>
          </w:tcPr>
          <w:p w14:paraId="10ADCA24"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朱华玉</w:t>
            </w:r>
          </w:p>
        </w:tc>
        <w:tc>
          <w:tcPr>
            <w:tcW w:w="1881" w:type="pct"/>
          </w:tcPr>
          <w:p w14:paraId="7630771B"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5363D195" w14:textId="77777777" w:rsidR="00F5289E" w:rsidRDefault="00F5289E">
      <w:pPr>
        <w:widowControl/>
        <w:snapToGrid w:val="0"/>
        <w:spacing w:line="360" w:lineRule="auto"/>
        <w:jc w:val="left"/>
        <w:rPr>
          <w:rFonts w:hAnsi="宋体"/>
          <w:b/>
          <w:bCs/>
          <w:kern w:val="0"/>
          <w:szCs w:val="21"/>
        </w:rPr>
      </w:pPr>
    </w:p>
    <w:p w14:paraId="376C1533"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487617B9" w14:textId="77777777" w:rsidR="00F5289E" w:rsidRDefault="00C91173">
      <w:pPr>
        <w:spacing w:line="360" w:lineRule="auto"/>
        <w:ind w:firstLineChars="200" w:firstLine="420"/>
        <w:rPr>
          <w:kern w:val="0"/>
          <w:szCs w:val="21"/>
        </w:rPr>
      </w:pPr>
      <w:r>
        <w:rPr>
          <w:rFonts w:hint="eastAsia"/>
          <w:kern w:val="0"/>
          <w:szCs w:val="21"/>
        </w:rPr>
        <w:t>园艺专业外语的教学理念是以人为本、全面发展；注重学生的创造性、多样性、系统性的培养。通过提升学生的英语阅读及写作能力，拓宽学生获取知识的途径，从而提升学生进行的科学研究和实践生产的能力。当今社会是信息高速发展的社会，如何最快、最全面的获取信息，是每个人必须掌握的技能。园艺专业外语作为一门语言工具，是每一个合格的园艺人才必须具备的专业能力。本课程针对学生的现实成长和未来发展的需要，注重开发和挖掘学生自身的禀赋和潜能，并致力于培养学生的自尊、自信、自爱、自立、自强意识，促进学生自身的发展与完善，从而帮助学生实现自身的价值。</w:t>
      </w:r>
    </w:p>
    <w:p w14:paraId="7578F802" w14:textId="77777777" w:rsidR="00F5289E" w:rsidRDefault="00C91173">
      <w:pPr>
        <w:spacing w:line="360" w:lineRule="auto"/>
        <w:ind w:firstLineChars="200" w:firstLine="420"/>
        <w:rPr>
          <w:rFonts w:ascii="宋体" w:hAnsi="宋体"/>
          <w:bCs/>
          <w:szCs w:val="21"/>
        </w:rPr>
      </w:pPr>
      <w:r>
        <w:rPr>
          <w:rFonts w:hint="eastAsia"/>
          <w:kern w:val="0"/>
          <w:szCs w:val="21"/>
        </w:rPr>
        <w:t>园艺专业英语是将英语应用于园艺学科研究与实践的一门应用性课程，是园艺专业和设施工程专业本科学生的一门专业选修课。该课程的目的是培养具有良好专业英语阅读和写作能力的园艺专业研究和技术人才。该课程的任务是通过大量阅读及讲解本专业的相关英文原文资料，使学生了解并掌握常用专业词汇和专业文献的阅读及写作技巧，提高学生园艺专业英文文献的阅读和写作水平。</w:t>
      </w:r>
    </w:p>
    <w:p w14:paraId="3CCF62D5"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7B0F53D3"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rFonts w:hAnsi="宋体" w:hint="eastAsia"/>
          <w:kern w:val="0"/>
          <w:szCs w:val="21"/>
        </w:rPr>
        <w:t>通过本专业英文文献的学习，了解专业文献与普通文体之间的写作差异；掌握本专业常用的专业词汇和术语；掌握专业文献的阅读及写作技巧。从而提高英文资料的阅读和写作能力。</w:t>
      </w:r>
      <w:r>
        <w:rPr>
          <w:rFonts w:hAnsi="宋体" w:hint="eastAsia"/>
          <w:bCs/>
          <w:kern w:val="0"/>
          <w:szCs w:val="21"/>
        </w:rPr>
        <w:t xml:space="preserve"> </w:t>
      </w:r>
    </w:p>
    <w:p w14:paraId="160FCCAD" w14:textId="77777777" w:rsidR="00F5289E" w:rsidRDefault="00C91173">
      <w:pPr>
        <w:widowControl/>
        <w:snapToGrid w:val="0"/>
        <w:spacing w:line="360" w:lineRule="auto"/>
        <w:ind w:firstLineChars="200" w:firstLine="420"/>
        <w:jc w:val="left"/>
        <w:rPr>
          <w:rFonts w:hAnsi="宋体"/>
          <w:bCs/>
          <w:kern w:val="0"/>
          <w:szCs w:val="21"/>
        </w:rPr>
      </w:pPr>
      <w:r>
        <w:rPr>
          <w:rFonts w:hint="eastAsia"/>
          <w:kern w:val="0"/>
          <w:szCs w:val="21"/>
        </w:rPr>
        <w:lastRenderedPageBreak/>
        <w:t>2.</w:t>
      </w:r>
      <w:r>
        <w:rPr>
          <w:rFonts w:hAnsi="宋体"/>
          <w:kern w:val="0"/>
          <w:szCs w:val="21"/>
        </w:rPr>
        <w:t>实</w:t>
      </w:r>
      <w:r>
        <w:rPr>
          <w:rFonts w:hAnsi="宋体" w:hint="eastAsia"/>
          <w:kern w:val="0"/>
          <w:szCs w:val="21"/>
        </w:rPr>
        <w:t>践</w:t>
      </w:r>
      <w:r>
        <w:rPr>
          <w:rFonts w:hAnsi="宋体"/>
          <w:kern w:val="0"/>
          <w:szCs w:val="21"/>
        </w:rPr>
        <w:t>技能方面：</w:t>
      </w:r>
      <w:r>
        <w:rPr>
          <w:rFonts w:hAnsi="宋体" w:hint="eastAsia"/>
          <w:kern w:val="0"/>
          <w:szCs w:val="21"/>
        </w:rPr>
        <w:t>通过大量阅读专业文献，提高学生英语阅读能力；通过大量观看本专业的相关英文视频资料，掌握本专业的常用专业词汇的发音，提高学生英文口语水平；通过以小组合作的形式完成写作作业，提高学生英语写作水平。</w:t>
      </w:r>
    </w:p>
    <w:p w14:paraId="772BC89C"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65BBF89D"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773D8742" w14:textId="77777777" w:rsidR="00F5289E" w:rsidRDefault="00C91173">
      <w:pPr>
        <w:spacing w:line="360" w:lineRule="auto"/>
        <w:ind w:firstLineChars="200" w:firstLine="420"/>
        <w:rPr>
          <w:rFonts w:ascii="宋体" w:hAnsi="宋体" w:cs="宋体"/>
          <w:bCs/>
          <w:kern w:val="0"/>
          <w:szCs w:val="21"/>
        </w:rPr>
      </w:pPr>
      <w:r>
        <w:rPr>
          <w:rFonts w:hAnsi="宋体" w:hint="eastAsia"/>
          <w:bCs/>
          <w:kern w:val="0"/>
          <w:szCs w:val="21"/>
        </w:rPr>
        <w:t>围绕课程教学内容，总体上采取“课堂教学</w:t>
      </w:r>
      <w:r>
        <w:rPr>
          <w:rFonts w:hAnsi="宋体" w:hint="eastAsia"/>
          <w:bCs/>
          <w:kern w:val="0"/>
          <w:szCs w:val="21"/>
        </w:rPr>
        <w:t>+</w:t>
      </w:r>
      <w:r>
        <w:rPr>
          <w:rFonts w:hAnsi="宋体" w:hint="eastAsia"/>
          <w:bCs/>
          <w:kern w:val="0"/>
          <w:szCs w:val="21"/>
        </w:rPr>
        <w:t>实践教学</w:t>
      </w:r>
      <w:r>
        <w:rPr>
          <w:rFonts w:hAnsi="宋体" w:hint="eastAsia"/>
          <w:bCs/>
          <w:kern w:val="0"/>
          <w:szCs w:val="21"/>
        </w:rPr>
        <w:t>+</w:t>
      </w:r>
      <w:r>
        <w:rPr>
          <w:rFonts w:hAnsi="宋体" w:hint="eastAsia"/>
          <w:bCs/>
          <w:kern w:val="0"/>
          <w:szCs w:val="21"/>
        </w:rPr>
        <w:t>综合考核”与“听—说—读—写”一体化的教学策略，从学生的需要出发，以学生为主体、老师为辅助的方式，理论与实践相结合开展教学工作。主要采用以下教学方法：（</w:t>
      </w:r>
      <w:r>
        <w:rPr>
          <w:rFonts w:hAnsi="宋体" w:hint="eastAsia"/>
          <w:bCs/>
          <w:kern w:val="0"/>
          <w:szCs w:val="21"/>
        </w:rPr>
        <w:t>1</w:t>
      </w:r>
      <w:r>
        <w:rPr>
          <w:rFonts w:hAnsi="宋体" w:hint="eastAsia"/>
          <w:bCs/>
          <w:kern w:val="0"/>
          <w:szCs w:val="21"/>
        </w:rPr>
        <w:t>）专题式教学，依据最新版的园艺专业英语教材，将园艺学科主要内容划分专题，进行专题教学；（</w:t>
      </w:r>
      <w:r>
        <w:rPr>
          <w:rFonts w:hAnsi="宋体" w:hint="eastAsia"/>
          <w:bCs/>
          <w:kern w:val="0"/>
          <w:szCs w:val="21"/>
        </w:rPr>
        <w:t>2</w:t>
      </w:r>
      <w:r>
        <w:rPr>
          <w:rFonts w:hAnsi="宋体" w:hint="eastAsia"/>
          <w:bCs/>
          <w:kern w:val="0"/>
          <w:szCs w:val="21"/>
        </w:rPr>
        <w:t>）系统式教学，结合教学大纲，将各专题章节内容系统化，突出重难点、考核目标，让学生能够明确期末考核的内容和要求，更有方向地学习本课程；（</w:t>
      </w:r>
      <w:r>
        <w:rPr>
          <w:rFonts w:hAnsi="宋体" w:hint="eastAsia"/>
          <w:bCs/>
          <w:kern w:val="0"/>
          <w:szCs w:val="21"/>
        </w:rPr>
        <w:t>3</w:t>
      </w:r>
      <w:r>
        <w:rPr>
          <w:rFonts w:hAnsi="宋体" w:hint="eastAsia"/>
          <w:bCs/>
          <w:kern w:val="0"/>
          <w:szCs w:val="21"/>
        </w:rPr>
        <w:t>）参与式教学，改变传统的单纯依赖教师讲授的方法，让学生参与到教学过程中，采用观摩相关英语专题视频后学生专题讨论的形式，鼓励学生积极参与教学，最大程度地激发学生的主观能动性；（</w:t>
      </w:r>
      <w:r>
        <w:rPr>
          <w:rFonts w:hAnsi="宋体" w:hint="eastAsia"/>
          <w:bCs/>
          <w:kern w:val="0"/>
          <w:szCs w:val="21"/>
        </w:rPr>
        <w:t>4</w:t>
      </w:r>
      <w:r>
        <w:rPr>
          <w:rFonts w:hAnsi="宋体" w:hint="eastAsia"/>
          <w:bCs/>
          <w:kern w:val="0"/>
          <w:szCs w:val="21"/>
        </w:rPr>
        <w:t>）小组练习，以学生为主导、老师进行辅助，鼓励学生参与口语练习，加强英语口头表达能力和团队合作能力的培养；（</w:t>
      </w:r>
      <w:r>
        <w:rPr>
          <w:rFonts w:hAnsi="宋体" w:hint="eastAsia"/>
          <w:bCs/>
          <w:kern w:val="0"/>
          <w:szCs w:val="21"/>
        </w:rPr>
        <w:t>5</w:t>
      </w:r>
      <w:r>
        <w:rPr>
          <w:rFonts w:hAnsi="宋体" w:hint="eastAsia"/>
          <w:bCs/>
          <w:kern w:val="0"/>
          <w:szCs w:val="21"/>
        </w:rPr>
        <w:t>）“听—说—读—写”一体化，让学生在课堂上多听多说多读多写，注重学生在轻松愉快的教学环境下更好的掌握相关知识。</w:t>
      </w:r>
    </w:p>
    <w:p w14:paraId="0E7AE238" w14:textId="77777777" w:rsidR="00F5289E" w:rsidRDefault="00C91173">
      <w:pPr>
        <w:spacing w:line="360" w:lineRule="auto"/>
        <w:ind w:firstLineChars="200" w:firstLine="420"/>
        <w:rPr>
          <w:rFonts w:hAnsi="宋体"/>
          <w:bCs/>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41942AD2"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B453FE9"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AB17EA6"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6547834"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1B85CEE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C3BA283"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46D66ED4" w14:textId="77777777" w:rsidR="00F5289E" w:rsidRDefault="00C91173">
            <w:pPr>
              <w:snapToGrid w:val="0"/>
              <w:spacing w:line="360" w:lineRule="auto"/>
              <w:rPr>
                <w:rFonts w:eastAsiaTheme="minorEastAsia" w:hAnsiTheme="minorEastAsia"/>
                <w:sz w:val="18"/>
                <w:szCs w:val="21"/>
              </w:rPr>
            </w:pPr>
            <w:r>
              <w:rPr>
                <w:rFonts w:eastAsiaTheme="minorEastAsia" w:hAnsiTheme="minorEastAsia" w:hint="eastAsia"/>
                <w:sz w:val="18"/>
                <w:szCs w:val="21"/>
              </w:rPr>
              <w:t>目标</w:t>
            </w:r>
            <w:r>
              <w:rPr>
                <w:rFonts w:eastAsiaTheme="minorEastAsia" w:hAnsiTheme="minorEastAsia" w:hint="eastAsia"/>
                <w:sz w:val="18"/>
                <w:szCs w:val="21"/>
              </w:rPr>
              <w:t>1</w:t>
            </w:r>
            <w:r>
              <w:rPr>
                <w:rFonts w:eastAsiaTheme="minorEastAsia" w:hAnsiTheme="minorEastAsia" w:hint="eastAsia"/>
                <w:sz w:val="18"/>
                <w:szCs w:val="21"/>
              </w:rPr>
              <w:t>：通过课程的学习，培养学生热爱祖国，热爱人民，具有正确的政治方向，拥护中国共产党的领导。树立正确的世界观、价值观和人生观，自觉践行社会主义核心价值观，做到四个自信。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sz="4" w:space="0" w:color="auto"/>
              <w:left w:val="single" w:sz="4" w:space="0" w:color="auto"/>
              <w:bottom w:val="single" w:sz="4" w:space="0" w:color="auto"/>
              <w:right w:val="single" w:sz="4" w:space="0" w:color="auto"/>
            </w:tcBorders>
            <w:vAlign w:val="center"/>
          </w:tcPr>
          <w:p w14:paraId="2B66A2F1" w14:textId="77777777" w:rsidR="00F5289E" w:rsidRDefault="00C91173">
            <w:pPr>
              <w:spacing w:line="320" w:lineRule="exact"/>
              <w:jc w:val="center"/>
              <w:rPr>
                <w:rFonts w:eastAsiaTheme="minorEastAsia"/>
                <w:sz w:val="18"/>
                <w:szCs w:val="18"/>
              </w:rPr>
            </w:pPr>
            <w:r>
              <w:rPr>
                <w:rFonts w:eastAsiaTheme="minorEastAsia" w:hint="eastAsia"/>
                <w:sz w:val="18"/>
                <w:szCs w:val="18"/>
              </w:rPr>
              <w:t>1</w:t>
            </w:r>
          </w:p>
        </w:tc>
      </w:tr>
      <w:tr w:rsidR="00F5289E" w14:paraId="5397BA2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75FDF44" w14:textId="77777777" w:rsidR="00F5289E" w:rsidRDefault="00C91173">
            <w:pPr>
              <w:spacing w:line="320" w:lineRule="exact"/>
              <w:jc w:val="center"/>
              <w:rPr>
                <w:rFonts w:eastAsiaTheme="minorEastAsia"/>
                <w:sz w:val="18"/>
                <w:szCs w:val="18"/>
              </w:rPr>
            </w:pPr>
            <w:r>
              <w:rPr>
                <w:rFonts w:eastAsiaTheme="minorEastAsia" w:hint="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34052200" w14:textId="77777777" w:rsidR="00F5289E" w:rsidRDefault="00C91173">
            <w:pPr>
              <w:spacing w:line="320" w:lineRule="exact"/>
              <w:jc w:val="left"/>
              <w:rPr>
                <w:rFonts w:eastAsiaTheme="minorEastAsia" w:hAnsiTheme="minorEastAsia"/>
                <w:sz w:val="18"/>
                <w:szCs w:val="18"/>
              </w:rPr>
            </w:pPr>
            <w:r>
              <w:rPr>
                <w:rFonts w:eastAsiaTheme="minorEastAsia" w:hAnsiTheme="minorEastAsia"/>
                <w:sz w:val="18"/>
                <w:szCs w:val="18"/>
              </w:rPr>
              <w:t>目标</w:t>
            </w:r>
            <w:r>
              <w:rPr>
                <w:rFonts w:eastAsiaTheme="minorEastAsia"/>
                <w:sz w:val="18"/>
                <w:szCs w:val="18"/>
              </w:rPr>
              <w:t>2</w:t>
            </w:r>
            <w:r>
              <w:rPr>
                <w:rFonts w:eastAsiaTheme="minorEastAsia" w:hAnsiTheme="minorEastAsia"/>
                <w:sz w:val="18"/>
                <w:szCs w:val="18"/>
              </w:rPr>
              <w:t>：</w:t>
            </w:r>
            <w:r>
              <w:rPr>
                <w:rFonts w:eastAsiaTheme="minorEastAsia" w:hint="eastAsia"/>
                <w:sz w:val="18"/>
                <w:szCs w:val="18"/>
              </w:rPr>
              <w:t>本课程针对学生的现实成长和未来发展的需要，注重开发和挖掘学生自身的禀赋和潜能，并致力于培养学生的自尊、自信、自爱、自立、自强意识，促进学生自身的发展与完善，从而帮助学生实现自身的价值。</w:t>
            </w:r>
          </w:p>
        </w:tc>
        <w:tc>
          <w:tcPr>
            <w:tcW w:w="1052" w:type="dxa"/>
            <w:tcBorders>
              <w:top w:val="single" w:sz="4" w:space="0" w:color="auto"/>
              <w:left w:val="single" w:sz="4" w:space="0" w:color="auto"/>
              <w:bottom w:val="single" w:sz="4" w:space="0" w:color="auto"/>
              <w:right w:val="single" w:sz="4" w:space="0" w:color="auto"/>
            </w:tcBorders>
            <w:vAlign w:val="center"/>
          </w:tcPr>
          <w:p w14:paraId="43F61BDD" w14:textId="77777777" w:rsidR="00F5289E" w:rsidRDefault="00C91173">
            <w:pPr>
              <w:spacing w:line="320" w:lineRule="exact"/>
              <w:jc w:val="center"/>
              <w:rPr>
                <w:rFonts w:eastAsiaTheme="minorEastAsia"/>
                <w:sz w:val="18"/>
                <w:szCs w:val="18"/>
              </w:rPr>
            </w:pPr>
            <w:r>
              <w:rPr>
                <w:rFonts w:eastAsiaTheme="minorEastAsia" w:hint="eastAsia"/>
                <w:sz w:val="18"/>
                <w:szCs w:val="18"/>
              </w:rPr>
              <w:t>3</w:t>
            </w:r>
          </w:p>
        </w:tc>
      </w:tr>
      <w:tr w:rsidR="00F5289E" w14:paraId="41BF96F7"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ECD9EAB"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314CF5EA" w14:textId="77777777" w:rsidR="00F5289E" w:rsidRDefault="00C91173">
            <w:pPr>
              <w:spacing w:line="320" w:lineRule="exact"/>
              <w:jc w:val="left"/>
              <w:rPr>
                <w:rFonts w:eastAsia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AnsiTheme="minorEastAsia" w:hint="eastAsia"/>
                <w:sz w:val="18"/>
                <w:szCs w:val="18"/>
              </w:rPr>
              <w:t>通过提升学生的英语阅读及写作能力，拓宽学生获取知识的途径，从而提升学生进行的科学研究和实践生产的能力。</w:t>
            </w:r>
          </w:p>
        </w:tc>
        <w:tc>
          <w:tcPr>
            <w:tcW w:w="1052" w:type="dxa"/>
            <w:tcBorders>
              <w:top w:val="single" w:sz="4" w:space="0" w:color="auto"/>
              <w:left w:val="single" w:sz="4" w:space="0" w:color="auto"/>
              <w:bottom w:val="single" w:sz="4" w:space="0" w:color="auto"/>
              <w:right w:val="single" w:sz="4" w:space="0" w:color="auto"/>
            </w:tcBorders>
            <w:vAlign w:val="center"/>
          </w:tcPr>
          <w:p w14:paraId="7082EC25"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p>
          <w:p w14:paraId="69AA34FC" w14:textId="77777777" w:rsidR="00F5289E" w:rsidRDefault="00C91173">
            <w:pPr>
              <w:spacing w:line="320" w:lineRule="exact"/>
              <w:jc w:val="center"/>
              <w:rPr>
                <w:rFonts w:eastAsiaTheme="minorEastAsia"/>
                <w:sz w:val="18"/>
                <w:szCs w:val="18"/>
              </w:rPr>
            </w:pPr>
            <w:r>
              <w:rPr>
                <w:rFonts w:eastAsiaTheme="minorEastAsia" w:hint="eastAsia"/>
                <w:sz w:val="18"/>
                <w:szCs w:val="18"/>
              </w:rPr>
              <w:t>6</w:t>
            </w:r>
          </w:p>
        </w:tc>
      </w:tr>
      <w:tr w:rsidR="00F5289E" w14:paraId="7590EFA9"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E0F5F63"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c>
          <w:tcPr>
            <w:tcW w:w="6846" w:type="dxa"/>
            <w:tcBorders>
              <w:top w:val="single" w:sz="4" w:space="0" w:color="auto"/>
              <w:left w:val="single" w:sz="4" w:space="0" w:color="auto"/>
              <w:bottom w:val="single" w:sz="4" w:space="0" w:color="auto"/>
              <w:right w:val="single" w:sz="4" w:space="0" w:color="auto"/>
            </w:tcBorders>
            <w:vAlign w:val="center"/>
          </w:tcPr>
          <w:p w14:paraId="5ECB5B1D" w14:textId="77777777" w:rsidR="00F5289E" w:rsidRDefault="00C91173">
            <w:pPr>
              <w:spacing w:line="320" w:lineRule="exact"/>
              <w:rPr>
                <w:rFonts w:eastAsiaTheme="minorEastAsia"/>
                <w:sz w:val="18"/>
                <w:szCs w:val="18"/>
              </w:rPr>
            </w:pPr>
            <w:r>
              <w:rPr>
                <w:rFonts w:eastAsiaTheme="minorEastAsia" w:hAnsiTheme="minorEastAsia"/>
                <w:sz w:val="18"/>
                <w:szCs w:val="18"/>
              </w:rPr>
              <w:t>目标</w:t>
            </w:r>
            <w:r>
              <w:rPr>
                <w:rFonts w:eastAsiaTheme="minorEastAsia" w:hint="eastAsia"/>
                <w:sz w:val="18"/>
                <w:szCs w:val="18"/>
              </w:rPr>
              <w:t>4</w:t>
            </w:r>
            <w:r>
              <w:rPr>
                <w:rFonts w:eastAsiaTheme="minorEastAsia" w:hAnsiTheme="minorEastAsia"/>
                <w:sz w:val="18"/>
                <w:szCs w:val="18"/>
              </w:rPr>
              <w:t>：</w:t>
            </w:r>
            <w:r>
              <w:rPr>
                <w:rFonts w:hAnsi="宋体" w:hint="eastAsia"/>
                <w:bCs/>
                <w:sz w:val="18"/>
                <w:szCs w:val="18"/>
              </w:rPr>
              <w:t>培养具有良好专业英语阅读和写作能力的园艺专业研究和技术人才。</w:t>
            </w:r>
          </w:p>
        </w:tc>
        <w:tc>
          <w:tcPr>
            <w:tcW w:w="1052" w:type="dxa"/>
            <w:tcBorders>
              <w:top w:val="single" w:sz="4" w:space="0" w:color="auto"/>
              <w:left w:val="single" w:sz="4" w:space="0" w:color="auto"/>
              <w:bottom w:val="single" w:sz="4" w:space="0" w:color="auto"/>
              <w:right w:val="single" w:sz="4" w:space="0" w:color="auto"/>
            </w:tcBorders>
            <w:vAlign w:val="center"/>
          </w:tcPr>
          <w:p w14:paraId="3A735502" w14:textId="77777777" w:rsidR="00F5289E" w:rsidRDefault="00C91173">
            <w:pPr>
              <w:spacing w:line="320" w:lineRule="exact"/>
              <w:jc w:val="center"/>
              <w:rPr>
                <w:rFonts w:eastAsiaTheme="minorEastAsia"/>
                <w:sz w:val="18"/>
                <w:szCs w:val="18"/>
              </w:rPr>
            </w:pPr>
            <w:r>
              <w:rPr>
                <w:rFonts w:eastAsiaTheme="minorEastAsia" w:hint="eastAsia"/>
                <w:sz w:val="18"/>
                <w:szCs w:val="18"/>
              </w:rPr>
              <w:t>9</w:t>
            </w:r>
          </w:p>
        </w:tc>
      </w:tr>
    </w:tbl>
    <w:p w14:paraId="5447209A" w14:textId="77777777" w:rsidR="00F5289E" w:rsidRDefault="00F5289E">
      <w:pPr>
        <w:spacing w:line="360" w:lineRule="auto"/>
        <w:ind w:firstLineChars="200" w:firstLine="420"/>
        <w:rPr>
          <w:rFonts w:hAnsi="宋体"/>
          <w:bCs/>
          <w:kern w:val="0"/>
          <w:szCs w:val="21"/>
        </w:rPr>
      </w:pPr>
    </w:p>
    <w:p w14:paraId="47BA97AD"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32</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F3CFB81" w14:textId="77777777">
        <w:trPr>
          <w:trHeight w:val="270"/>
        </w:trPr>
        <w:tc>
          <w:tcPr>
            <w:tcW w:w="2965" w:type="dxa"/>
            <w:tcBorders>
              <w:top w:val="nil"/>
              <w:left w:val="nil"/>
              <w:bottom w:val="nil"/>
              <w:right w:val="nil"/>
            </w:tcBorders>
            <w:vAlign w:val="center"/>
          </w:tcPr>
          <w:p w14:paraId="5C59989E"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7440DE41"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r>
              <w:rPr>
                <w:rFonts w:hAnsi="宋体" w:hint="eastAsia"/>
                <w:b/>
                <w:bCs/>
                <w:kern w:val="0"/>
                <w:szCs w:val="21"/>
              </w:rPr>
              <w:t xml:space="preserve"> </w:t>
            </w:r>
            <w:r>
              <w:rPr>
                <w:rFonts w:hAnsi="宋体"/>
                <w:b/>
                <w:bCs/>
                <w:kern w:val="0"/>
                <w:szCs w:val="21"/>
              </w:rPr>
              <w:t>Horticultural terms</w:t>
            </w:r>
          </w:p>
        </w:tc>
        <w:tc>
          <w:tcPr>
            <w:tcW w:w="2966" w:type="dxa"/>
            <w:tcBorders>
              <w:top w:val="nil"/>
              <w:left w:val="nil"/>
              <w:bottom w:val="nil"/>
              <w:right w:val="nil"/>
            </w:tcBorders>
            <w:vAlign w:val="center"/>
          </w:tcPr>
          <w:p w14:paraId="779B634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18953D1"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通过本章的学习，运用听、说和读的形式，了解和掌握部分园艺专业相关的专业词汇及术语，为英文文献的阅读及文章的写作奠定基础。</w:t>
      </w:r>
    </w:p>
    <w:p w14:paraId="0C612523" w14:textId="77777777" w:rsidR="00F5289E" w:rsidRDefault="00C91173">
      <w:pPr>
        <w:widowControl/>
        <w:snapToGrid w:val="0"/>
        <w:spacing w:line="360" w:lineRule="auto"/>
        <w:rPr>
          <w:rFonts w:hAnsi="宋体"/>
          <w:b/>
          <w:bCs/>
          <w:kern w:val="0"/>
          <w:szCs w:val="21"/>
        </w:rPr>
      </w:pPr>
      <w:r>
        <w:rPr>
          <w:rFonts w:ascii="宋体" w:hAnsi="宋体" w:hint="eastAsia"/>
          <w:b/>
          <w:bCs/>
        </w:rPr>
        <w:lastRenderedPageBreak/>
        <w:t>教学重点和难点：</w:t>
      </w:r>
      <w:r>
        <w:rPr>
          <w:rFonts w:ascii="宋体" w:hAnsi="宋体" w:hint="eastAsia"/>
          <w:bCs/>
        </w:rPr>
        <w:t>专业词汇的介绍和识记，以及与基础英语的区别。</w:t>
      </w:r>
    </w:p>
    <w:p w14:paraId="05DA69A4"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p>
    <w:p w14:paraId="271360DB" w14:textId="77777777" w:rsidR="00F5289E" w:rsidRDefault="00C91173">
      <w:pPr>
        <w:pStyle w:val="a7"/>
        <w:snapToGrid w:val="0"/>
        <w:spacing w:line="360" w:lineRule="auto"/>
        <w:rPr>
          <w:rFonts w:ascii="宋体" w:hAnsi="宋体"/>
        </w:rPr>
      </w:pPr>
      <w:r>
        <w:rPr>
          <w:rFonts w:ascii="宋体" w:hAnsi="宋体" w:hint="eastAsia"/>
        </w:rPr>
        <w:t>了解：园艺专业相关词汇、术语的概念、表达及书写，并加以识记。</w:t>
      </w:r>
    </w:p>
    <w:p w14:paraId="2D776A18" w14:textId="77777777" w:rsidR="00F5289E" w:rsidRDefault="00C91173">
      <w:pPr>
        <w:pStyle w:val="a7"/>
        <w:snapToGrid w:val="0"/>
        <w:spacing w:line="360" w:lineRule="auto"/>
        <w:rPr>
          <w:rFonts w:ascii="宋体" w:hAnsi="宋体"/>
        </w:rPr>
      </w:pPr>
      <w:r>
        <w:rPr>
          <w:rFonts w:ascii="宋体" w:hAnsi="宋体" w:hint="eastAsia"/>
        </w:rPr>
        <w:t>理解：园艺作物的植物学分类，以及园艺作物组织和部位的特定词汇表达等。</w:t>
      </w:r>
    </w:p>
    <w:p w14:paraId="592DE336" w14:textId="77777777" w:rsidR="00F5289E" w:rsidRDefault="00C91173">
      <w:pPr>
        <w:pStyle w:val="a7"/>
        <w:snapToGrid w:val="0"/>
        <w:spacing w:line="360" w:lineRule="auto"/>
        <w:rPr>
          <w:rFonts w:ascii="宋体" w:hAnsi="宋体"/>
        </w:rPr>
      </w:pPr>
      <w:r>
        <w:rPr>
          <w:rFonts w:ascii="宋体" w:hAnsi="宋体" w:hint="eastAsia"/>
        </w:rPr>
        <w:t xml:space="preserve">掌握：专业术语的准确含义，为英文文献的阅读和写作奠定基础。将相关知识运用到英文文献的阅读，以及文章的写作中，提高英语的阅读和写作的能力。 </w:t>
      </w:r>
    </w:p>
    <w:p w14:paraId="5072718F"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园艺专业相关的专业词汇及术语，利用大量图片和视频让学生初步了解园艺专业英语与基础英语的区别；通过“教师示范-学生参与”的形式鼓励学生走上讲台练习英语自我介绍，了解学生口语表达能力。</w:t>
      </w:r>
    </w:p>
    <w:p w14:paraId="517B6280" w14:textId="77777777" w:rsidR="00F5289E" w:rsidRDefault="00F5289E">
      <w:pPr>
        <w:widowControl/>
        <w:snapToGrid w:val="0"/>
        <w:spacing w:line="360" w:lineRule="auto"/>
        <w:ind w:firstLineChars="200" w:firstLine="422"/>
        <w:rPr>
          <w:rFonts w:hAnsi="宋体"/>
          <w:b/>
          <w:bCs/>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05BC223" w14:textId="77777777">
        <w:trPr>
          <w:trHeight w:val="270"/>
        </w:trPr>
        <w:tc>
          <w:tcPr>
            <w:tcW w:w="2965" w:type="dxa"/>
            <w:tcBorders>
              <w:top w:val="nil"/>
              <w:left w:val="nil"/>
              <w:bottom w:val="nil"/>
              <w:right w:val="nil"/>
            </w:tcBorders>
            <w:vAlign w:val="center"/>
          </w:tcPr>
          <w:p w14:paraId="057EA364"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664EF377"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第一章</w:t>
            </w:r>
            <w:r>
              <w:rPr>
                <w:rFonts w:hAnsi="宋体" w:hint="eastAsia"/>
                <w:b/>
                <w:bCs/>
                <w:kern w:val="0"/>
                <w:szCs w:val="21"/>
              </w:rPr>
              <w:t xml:space="preserve">  Protected Cultivation</w:t>
            </w:r>
          </w:p>
        </w:tc>
        <w:tc>
          <w:tcPr>
            <w:tcW w:w="2966" w:type="dxa"/>
            <w:tcBorders>
              <w:top w:val="nil"/>
              <w:left w:val="nil"/>
              <w:bottom w:val="nil"/>
              <w:right w:val="nil"/>
            </w:tcBorders>
            <w:vAlign w:val="center"/>
          </w:tcPr>
          <w:p w14:paraId="7DDF08A6"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0B33A00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对本章节英文文章的阅读和分析及相关视频的观看，了解和掌握温室从古至今的发展状况，包括一系列利用冷床、温床、玻璃罩、单屋顶温室、冬季花园、橘园、暖房和不同形式的玻璃温室和塑料覆盖及其影响因素。</w:t>
      </w:r>
    </w:p>
    <w:p w14:paraId="568F8C0E"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保护地栽培的发展史。</w:t>
      </w:r>
    </w:p>
    <w:p w14:paraId="5BFCC88E"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0BA6D6C4" w14:textId="77777777" w:rsidR="00F5289E" w:rsidRDefault="00C91173">
      <w:pPr>
        <w:pStyle w:val="a7"/>
        <w:snapToGrid w:val="0"/>
        <w:spacing w:line="360" w:lineRule="auto"/>
        <w:rPr>
          <w:rFonts w:ascii="宋体" w:hAnsi="宋体"/>
        </w:rPr>
      </w:pPr>
      <w:r>
        <w:rPr>
          <w:rFonts w:ascii="宋体" w:hAnsi="宋体" w:hint="eastAsia"/>
        </w:rPr>
        <w:t>了解：冷床、温床、玻璃罩、单屋顶温室、冬季花园、橘园、暖房和不同形式的玻璃温室和塑料覆盖专业英语表达。</w:t>
      </w:r>
    </w:p>
    <w:p w14:paraId="1A89D541" w14:textId="77777777" w:rsidR="00F5289E" w:rsidRDefault="00C91173">
      <w:pPr>
        <w:pStyle w:val="a7"/>
        <w:snapToGrid w:val="0"/>
        <w:spacing w:line="360" w:lineRule="auto"/>
        <w:rPr>
          <w:rFonts w:ascii="宋体" w:hAnsi="宋体"/>
        </w:rPr>
      </w:pPr>
      <w:r>
        <w:rPr>
          <w:rFonts w:ascii="宋体" w:hAnsi="宋体" w:hint="eastAsia"/>
        </w:rPr>
        <w:t>理解：每个发展阶段温室特点的专业表达。</w:t>
      </w:r>
    </w:p>
    <w:p w14:paraId="34C6CCFF" w14:textId="77777777" w:rsidR="00F5289E" w:rsidRDefault="00C91173">
      <w:pPr>
        <w:pStyle w:val="a7"/>
        <w:snapToGrid w:val="0"/>
        <w:spacing w:line="360" w:lineRule="auto"/>
        <w:rPr>
          <w:rFonts w:ascii="宋体" w:hAnsi="宋体"/>
        </w:rPr>
      </w:pPr>
      <w:r>
        <w:rPr>
          <w:rFonts w:ascii="宋体" w:hAnsi="宋体" w:hint="eastAsia"/>
        </w:rPr>
        <w:t>掌握：保护地栽培的常用专业词汇，掌握此类专业文章的阅读能力和翻译技巧。</w:t>
      </w:r>
    </w:p>
    <w:p w14:paraId="49B316D2" w14:textId="77777777" w:rsidR="00F5289E" w:rsidRDefault="00C91173">
      <w:pPr>
        <w:pStyle w:val="a7"/>
        <w:snapToGrid w:val="0"/>
        <w:spacing w:line="360" w:lineRule="auto"/>
        <w:rPr>
          <w:rFonts w:ascii="宋体" w:hAnsi="宋体"/>
        </w:rPr>
      </w:pPr>
      <w:r>
        <w:rPr>
          <w:rFonts w:ascii="宋体" w:hAnsi="宋体" w:hint="eastAsia"/>
        </w:rPr>
        <w:t>熟练掌握：本章重点词汇和重点语句，包括塑料覆盖栽培、小拱棚、温室等常用保护地设施的优缺点，并能够准确进行阅读和翻译，为今后的阅读和写作打下基础。</w:t>
      </w:r>
    </w:p>
    <w:p w14:paraId="767F5B5D"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szCs w:val="20"/>
        </w:rPr>
        <w:t>以班级授课的形式讲授不同形式的玻璃温室和塑料覆盖的相关专业词汇及术语，利用观看世界一流水平连栋温室视频让学生了解连栋温室的特点；通过智慧课堂辅助软件发放小组作业，学生以小组团队的形式完成课程任务。</w:t>
      </w:r>
    </w:p>
    <w:tbl>
      <w:tblPr>
        <w:tblStyle w:val="af6"/>
        <w:tblW w:w="0" w:type="auto"/>
        <w:tblInd w:w="4" w:type="dxa"/>
        <w:tblCellMar>
          <w:left w:w="0" w:type="dxa"/>
          <w:right w:w="0" w:type="dxa"/>
        </w:tblCellMar>
        <w:tblLook w:val="04A0" w:firstRow="1" w:lastRow="0" w:firstColumn="1" w:lastColumn="0" w:noHBand="0" w:noVBand="1"/>
      </w:tblPr>
      <w:tblGrid>
        <w:gridCol w:w="1976"/>
        <w:gridCol w:w="3954"/>
        <w:gridCol w:w="2966"/>
      </w:tblGrid>
      <w:tr w:rsidR="00F5289E" w14:paraId="266031FE" w14:textId="77777777">
        <w:trPr>
          <w:trHeight w:val="270"/>
        </w:trPr>
        <w:tc>
          <w:tcPr>
            <w:tcW w:w="1976" w:type="dxa"/>
            <w:tcBorders>
              <w:top w:val="nil"/>
              <w:left w:val="nil"/>
              <w:bottom w:val="nil"/>
              <w:right w:val="nil"/>
            </w:tcBorders>
            <w:vAlign w:val="center"/>
          </w:tcPr>
          <w:p w14:paraId="0EE10044" w14:textId="77777777" w:rsidR="00F5289E" w:rsidRDefault="00F5289E">
            <w:pPr>
              <w:widowControl/>
              <w:snapToGrid w:val="0"/>
              <w:spacing w:line="360" w:lineRule="auto"/>
              <w:jc w:val="center"/>
              <w:rPr>
                <w:rFonts w:hAnsi="宋体"/>
                <w:b/>
                <w:bCs/>
                <w:kern w:val="0"/>
                <w:szCs w:val="21"/>
              </w:rPr>
            </w:pPr>
          </w:p>
        </w:tc>
        <w:tc>
          <w:tcPr>
            <w:tcW w:w="3954" w:type="dxa"/>
            <w:tcBorders>
              <w:top w:val="nil"/>
              <w:left w:val="nil"/>
              <w:bottom w:val="nil"/>
              <w:right w:val="nil"/>
            </w:tcBorders>
            <w:vAlign w:val="center"/>
          </w:tcPr>
          <w:p w14:paraId="68D3DF62"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第二章</w:t>
            </w:r>
            <w:r>
              <w:rPr>
                <w:rFonts w:hAnsi="宋体" w:hint="eastAsia"/>
                <w:b/>
                <w:bCs/>
                <w:kern w:val="0"/>
                <w:szCs w:val="21"/>
              </w:rPr>
              <w:t xml:space="preserve">  Greenhouse climate control</w:t>
            </w:r>
          </w:p>
        </w:tc>
        <w:tc>
          <w:tcPr>
            <w:tcW w:w="2966" w:type="dxa"/>
            <w:tcBorders>
              <w:top w:val="nil"/>
              <w:left w:val="nil"/>
              <w:bottom w:val="nil"/>
              <w:right w:val="nil"/>
            </w:tcBorders>
            <w:vAlign w:val="center"/>
          </w:tcPr>
          <w:p w14:paraId="232D92A9"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536A9385"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通过本章节英文文章的阅读和理解与相关视频的观看，了解温室气候控制的主要目标，以及温室气候的重要性及其对作物生长发育、形态建成以及物质积累和分配的影响。</w:t>
      </w:r>
    </w:p>
    <w:p w14:paraId="3AAA42A3"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温室气候控制对作物地上部形态建成的影响。</w:t>
      </w:r>
    </w:p>
    <w:p w14:paraId="30CB4194"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009FA6DB" w14:textId="77777777" w:rsidR="00F5289E" w:rsidRDefault="00C91173">
      <w:pPr>
        <w:pStyle w:val="a7"/>
        <w:snapToGrid w:val="0"/>
        <w:spacing w:line="360" w:lineRule="auto"/>
        <w:rPr>
          <w:rFonts w:ascii="宋体" w:hAnsi="宋体"/>
        </w:rPr>
      </w:pPr>
      <w:r>
        <w:rPr>
          <w:rFonts w:ascii="宋体" w:hAnsi="宋体" w:hint="eastAsia"/>
        </w:rPr>
        <w:t>了解：本章节的重点词汇和重点语句的含义，温室气候控制的主要目标。</w:t>
      </w:r>
    </w:p>
    <w:p w14:paraId="07D0DC1B" w14:textId="77777777" w:rsidR="00F5289E" w:rsidRDefault="00C91173">
      <w:pPr>
        <w:pStyle w:val="a7"/>
        <w:snapToGrid w:val="0"/>
        <w:spacing w:line="360" w:lineRule="auto"/>
        <w:rPr>
          <w:rFonts w:ascii="宋体" w:hAnsi="宋体"/>
        </w:rPr>
      </w:pPr>
      <w:r>
        <w:rPr>
          <w:rFonts w:ascii="宋体" w:hAnsi="宋体" w:hint="eastAsia"/>
        </w:rPr>
        <w:t>理解：温室气候控制对作物生长发育的影响。</w:t>
      </w:r>
    </w:p>
    <w:p w14:paraId="7298A24B" w14:textId="77777777" w:rsidR="00F5289E" w:rsidRDefault="00C91173">
      <w:pPr>
        <w:pStyle w:val="a7"/>
        <w:snapToGrid w:val="0"/>
        <w:spacing w:line="360" w:lineRule="auto"/>
        <w:rPr>
          <w:rFonts w:ascii="宋体" w:hAnsi="宋体"/>
        </w:rPr>
      </w:pPr>
      <w:r>
        <w:rPr>
          <w:rFonts w:ascii="宋体" w:hAnsi="宋体" w:hint="eastAsia"/>
        </w:rPr>
        <w:t>掌握：温室气候控制的主要因子。</w:t>
      </w:r>
    </w:p>
    <w:p w14:paraId="6496FC36" w14:textId="77777777" w:rsidR="00F5289E" w:rsidRDefault="00C91173">
      <w:pPr>
        <w:pStyle w:val="a7"/>
        <w:snapToGrid w:val="0"/>
        <w:spacing w:line="360" w:lineRule="auto"/>
        <w:rPr>
          <w:rFonts w:ascii="宋体" w:hAnsi="宋体"/>
        </w:rPr>
      </w:pPr>
      <w:r>
        <w:rPr>
          <w:rFonts w:ascii="宋体" w:hAnsi="宋体" w:hint="eastAsia"/>
        </w:rPr>
        <w:t>熟练掌握：重点词汇和语句的，能够准确阅读和翻译，包括温室气候的控制目标和主要影响因</w:t>
      </w:r>
      <w:r>
        <w:rPr>
          <w:rFonts w:ascii="宋体" w:hAnsi="宋体" w:hint="eastAsia"/>
        </w:rPr>
        <w:lastRenderedPageBreak/>
        <w:t>子。</w:t>
      </w:r>
      <w:r>
        <w:rPr>
          <w:rFonts w:ascii="宋体" w:hAnsi="宋体"/>
        </w:rPr>
        <w:t xml:space="preserve"> </w:t>
      </w:r>
    </w:p>
    <w:p w14:paraId="0F568780" w14:textId="77777777" w:rsidR="00F5289E" w:rsidRDefault="00C91173">
      <w:pPr>
        <w:widowControl/>
        <w:snapToGrid w:val="0"/>
        <w:spacing w:line="360" w:lineRule="auto"/>
        <w:rPr>
          <w:rFonts w:ascii="宋体" w:hAnsi="宋体"/>
          <w:bCs/>
        </w:rPr>
      </w:pPr>
      <w:r>
        <w:rPr>
          <w:rFonts w:ascii="宋体" w:hAnsi="宋体" w:hint="eastAsia"/>
          <w:b/>
          <w:bCs/>
        </w:rPr>
        <w:t>教学组织与实施：</w:t>
      </w:r>
      <w:r>
        <w:rPr>
          <w:rFonts w:ascii="宋体" w:hAnsi="宋体" w:hint="eastAsia"/>
          <w:bCs/>
        </w:rPr>
        <w:t>以班级授课的形式讲授温室气候控制的相关专业词汇及术语，利用观看世界一流公司连栋温室环境控制系统视频让学生了解连栋温室内环境控制的重要性；通过智慧课堂辅助软件发放小组作业，学生以小组团队的形式完成课程任务。</w:t>
      </w:r>
    </w:p>
    <w:tbl>
      <w:tblPr>
        <w:tblStyle w:val="af6"/>
        <w:tblW w:w="0" w:type="auto"/>
        <w:tblInd w:w="4" w:type="dxa"/>
        <w:tblCellMar>
          <w:left w:w="0" w:type="dxa"/>
          <w:right w:w="0" w:type="dxa"/>
        </w:tblCellMar>
        <w:tblLook w:val="04A0" w:firstRow="1" w:lastRow="0" w:firstColumn="1" w:lastColumn="0" w:noHBand="0" w:noVBand="1"/>
      </w:tblPr>
      <w:tblGrid>
        <w:gridCol w:w="1976"/>
        <w:gridCol w:w="3954"/>
        <w:gridCol w:w="2966"/>
      </w:tblGrid>
      <w:tr w:rsidR="00F5289E" w14:paraId="4BBB89AA" w14:textId="77777777">
        <w:trPr>
          <w:trHeight w:val="270"/>
        </w:trPr>
        <w:tc>
          <w:tcPr>
            <w:tcW w:w="1976" w:type="dxa"/>
            <w:tcBorders>
              <w:top w:val="nil"/>
              <w:left w:val="nil"/>
              <w:bottom w:val="nil"/>
              <w:right w:val="nil"/>
            </w:tcBorders>
            <w:vAlign w:val="center"/>
          </w:tcPr>
          <w:p w14:paraId="0598F1DA" w14:textId="77777777" w:rsidR="00F5289E" w:rsidRDefault="00F5289E">
            <w:pPr>
              <w:widowControl/>
              <w:snapToGrid w:val="0"/>
              <w:spacing w:line="360" w:lineRule="auto"/>
              <w:jc w:val="center"/>
              <w:rPr>
                <w:rFonts w:hAnsi="宋体"/>
                <w:b/>
                <w:bCs/>
                <w:kern w:val="0"/>
                <w:szCs w:val="21"/>
              </w:rPr>
            </w:pPr>
          </w:p>
        </w:tc>
        <w:tc>
          <w:tcPr>
            <w:tcW w:w="3954" w:type="dxa"/>
            <w:tcBorders>
              <w:top w:val="nil"/>
              <w:left w:val="nil"/>
              <w:bottom w:val="nil"/>
              <w:right w:val="nil"/>
            </w:tcBorders>
            <w:vAlign w:val="center"/>
          </w:tcPr>
          <w:p w14:paraId="5782DC16"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第三章</w:t>
            </w:r>
            <w:r>
              <w:rPr>
                <w:rFonts w:hAnsi="宋体" w:hint="eastAsia"/>
                <w:b/>
                <w:bCs/>
                <w:kern w:val="0"/>
                <w:szCs w:val="21"/>
              </w:rPr>
              <w:t xml:space="preserve">  </w:t>
            </w:r>
            <w:r>
              <w:rPr>
                <w:rFonts w:hAnsi="宋体"/>
                <w:b/>
                <w:bCs/>
                <w:kern w:val="0"/>
                <w:szCs w:val="21"/>
              </w:rPr>
              <w:t>Soilless Cultivation</w:t>
            </w:r>
          </w:p>
        </w:tc>
        <w:tc>
          <w:tcPr>
            <w:tcW w:w="2966" w:type="dxa"/>
            <w:tcBorders>
              <w:top w:val="nil"/>
              <w:left w:val="nil"/>
              <w:bottom w:val="nil"/>
              <w:right w:val="nil"/>
            </w:tcBorders>
            <w:vAlign w:val="center"/>
          </w:tcPr>
          <w:p w14:paraId="5242120E"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749D0BC8"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通过对本章节英文文章的阅读和理解，了解无土栽培的含义和种类；不同无土栽培的定义和优缺点，以及固体无土栽培常用的栽培基质。</w:t>
      </w:r>
    </w:p>
    <w:p w14:paraId="47D9ED5E"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无土栽培和NFT系统的定义。</w:t>
      </w:r>
    </w:p>
    <w:p w14:paraId="0E7416C7"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169A8BCA" w14:textId="77777777" w:rsidR="00F5289E" w:rsidRDefault="00C91173">
      <w:pPr>
        <w:pStyle w:val="a7"/>
        <w:snapToGrid w:val="0"/>
        <w:spacing w:line="360" w:lineRule="auto"/>
        <w:rPr>
          <w:rFonts w:ascii="宋体" w:hAnsi="宋体"/>
        </w:rPr>
      </w:pPr>
      <w:r>
        <w:rPr>
          <w:rFonts w:ascii="宋体" w:hAnsi="宋体" w:hint="eastAsia"/>
        </w:rPr>
        <w:t>了解：无土栽培的种类；不同固体无土栽培的优缺点。</w:t>
      </w:r>
    </w:p>
    <w:p w14:paraId="41F18067" w14:textId="77777777" w:rsidR="00F5289E" w:rsidRDefault="00C91173">
      <w:pPr>
        <w:pStyle w:val="a7"/>
        <w:snapToGrid w:val="0"/>
        <w:spacing w:line="360" w:lineRule="auto"/>
        <w:rPr>
          <w:rFonts w:ascii="宋体" w:hAnsi="宋体"/>
        </w:rPr>
      </w:pPr>
      <w:r>
        <w:rPr>
          <w:rFonts w:ascii="宋体" w:hAnsi="宋体" w:hint="eastAsia"/>
        </w:rPr>
        <w:t>理解：营养液膜栽培技术、基质栽培和岩棉栽培的含义、特点。</w:t>
      </w:r>
    </w:p>
    <w:p w14:paraId="68D7B5D9" w14:textId="77777777" w:rsidR="00F5289E" w:rsidRDefault="00C91173">
      <w:pPr>
        <w:pStyle w:val="a7"/>
        <w:snapToGrid w:val="0"/>
        <w:spacing w:line="360" w:lineRule="auto"/>
        <w:rPr>
          <w:rFonts w:ascii="宋体" w:hAnsi="宋体"/>
        </w:rPr>
      </w:pPr>
      <w:r>
        <w:rPr>
          <w:rFonts w:ascii="宋体" w:hAnsi="宋体" w:hint="eastAsia"/>
        </w:rPr>
        <w:t>掌握：无土栽培的含义，基质栽培的基本用途以及常用的栽培介质；液体再循环系统和固体非再循环体系的优缺点。</w:t>
      </w:r>
    </w:p>
    <w:p w14:paraId="36683C25" w14:textId="77777777" w:rsidR="00F5289E" w:rsidRDefault="00C91173">
      <w:pPr>
        <w:pStyle w:val="a7"/>
        <w:snapToGrid w:val="0"/>
        <w:spacing w:line="360" w:lineRule="auto"/>
        <w:rPr>
          <w:rFonts w:ascii="宋体" w:hAnsi="宋体"/>
        </w:rPr>
      </w:pPr>
      <w:r>
        <w:rPr>
          <w:rFonts w:ascii="宋体" w:hAnsi="宋体" w:hint="eastAsia"/>
        </w:rPr>
        <w:t>熟练掌握：本章节课后的重点词汇和重点语句，并能够准确阅读和翻译；主要包括无土栽培的浇灌系统以及固体栽培常用介质和优缺点。</w:t>
      </w:r>
    </w:p>
    <w:p w14:paraId="57D82A03"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以班级授课的形式讲授温室气候控制相关的专业词汇及术语，利用观看主题相关视频让学生了解无土栽培以及植物工厂；通过智慧课堂辅助软件发放小组作业，学生以小组团队的形式完成课程任务。</w:t>
      </w:r>
    </w:p>
    <w:tbl>
      <w:tblPr>
        <w:tblStyle w:val="af6"/>
        <w:tblW w:w="0" w:type="auto"/>
        <w:tblInd w:w="4" w:type="dxa"/>
        <w:tblCellMar>
          <w:left w:w="0" w:type="dxa"/>
          <w:right w:w="0" w:type="dxa"/>
        </w:tblCellMar>
        <w:tblLook w:val="04A0" w:firstRow="1" w:lastRow="0" w:firstColumn="1" w:lastColumn="0" w:noHBand="0" w:noVBand="1"/>
      </w:tblPr>
      <w:tblGrid>
        <w:gridCol w:w="1976"/>
        <w:gridCol w:w="3954"/>
        <w:gridCol w:w="2966"/>
      </w:tblGrid>
      <w:tr w:rsidR="00F5289E" w14:paraId="5DB6E7AF" w14:textId="77777777">
        <w:trPr>
          <w:trHeight w:val="270"/>
        </w:trPr>
        <w:tc>
          <w:tcPr>
            <w:tcW w:w="1976" w:type="dxa"/>
            <w:tcBorders>
              <w:top w:val="nil"/>
              <w:left w:val="nil"/>
              <w:bottom w:val="nil"/>
              <w:right w:val="nil"/>
            </w:tcBorders>
            <w:vAlign w:val="center"/>
          </w:tcPr>
          <w:p w14:paraId="1AD09560" w14:textId="77777777" w:rsidR="00F5289E" w:rsidRDefault="00F5289E">
            <w:pPr>
              <w:widowControl/>
              <w:snapToGrid w:val="0"/>
              <w:spacing w:line="360" w:lineRule="auto"/>
              <w:jc w:val="center"/>
              <w:rPr>
                <w:rFonts w:hAnsi="宋体"/>
                <w:b/>
                <w:bCs/>
                <w:kern w:val="0"/>
                <w:szCs w:val="21"/>
              </w:rPr>
            </w:pPr>
          </w:p>
        </w:tc>
        <w:tc>
          <w:tcPr>
            <w:tcW w:w="3954" w:type="dxa"/>
            <w:tcBorders>
              <w:top w:val="nil"/>
              <w:left w:val="nil"/>
              <w:bottom w:val="nil"/>
              <w:right w:val="nil"/>
            </w:tcBorders>
            <w:vAlign w:val="center"/>
          </w:tcPr>
          <w:p w14:paraId="4EFF4703"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第四章</w:t>
            </w:r>
            <w:r>
              <w:rPr>
                <w:rFonts w:hAnsi="宋体" w:hint="eastAsia"/>
                <w:b/>
                <w:bCs/>
                <w:kern w:val="0"/>
                <w:szCs w:val="21"/>
              </w:rPr>
              <w:t xml:space="preserve">  </w:t>
            </w:r>
            <w:r>
              <w:rPr>
                <w:rFonts w:hAnsi="宋体"/>
                <w:b/>
                <w:bCs/>
                <w:kern w:val="0"/>
                <w:szCs w:val="21"/>
              </w:rPr>
              <w:t>Postharvest Horticulture</w:t>
            </w:r>
          </w:p>
        </w:tc>
        <w:tc>
          <w:tcPr>
            <w:tcW w:w="2966" w:type="dxa"/>
            <w:tcBorders>
              <w:top w:val="nil"/>
              <w:left w:val="nil"/>
              <w:bottom w:val="nil"/>
              <w:right w:val="nil"/>
            </w:tcBorders>
            <w:vAlign w:val="center"/>
          </w:tcPr>
          <w:p w14:paraId="32540E57"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4CE31ABC"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通过本章节英文文章的阅读和理解，了解园艺作物的品质评价因素和组成，以及采收及采后管理的方法和注意事项。</w:t>
      </w:r>
    </w:p>
    <w:p w14:paraId="3F85894B"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园艺作物的品质评价和园艺作物的收获以及采后管理。</w:t>
      </w:r>
    </w:p>
    <w:p w14:paraId="00F0EAC6"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356B7051" w14:textId="77777777" w:rsidR="00F5289E" w:rsidRDefault="00C91173">
      <w:pPr>
        <w:pStyle w:val="a7"/>
        <w:snapToGrid w:val="0"/>
        <w:spacing w:line="360" w:lineRule="auto"/>
        <w:rPr>
          <w:rFonts w:ascii="宋体" w:hAnsi="宋体"/>
        </w:rPr>
      </w:pPr>
      <w:r>
        <w:rPr>
          <w:rFonts w:ascii="宋体" w:hAnsi="宋体" w:hint="eastAsia"/>
        </w:rPr>
        <w:t>了解：本章的重点词汇和重要语句的含义，园艺产品质量定义、收获和采后管理方法。</w:t>
      </w:r>
    </w:p>
    <w:p w14:paraId="75C0AAB7" w14:textId="77777777" w:rsidR="00F5289E" w:rsidRDefault="00C91173">
      <w:pPr>
        <w:pStyle w:val="a7"/>
        <w:snapToGrid w:val="0"/>
        <w:spacing w:line="360" w:lineRule="auto"/>
        <w:rPr>
          <w:rFonts w:ascii="宋体" w:hAnsi="宋体"/>
        </w:rPr>
      </w:pPr>
      <w:r>
        <w:rPr>
          <w:rFonts w:ascii="宋体" w:hAnsi="宋体" w:hint="eastAsia"/>
        </w:rPr>
        <w:t>理解：园艺产品的质量因子、收获和管理注意事项。</w:t>
      </w:r>
    </w:p>
    <w:p w14:paraId="7B622B3C" w14:textId="77777777" w:rsidR="00F5289E" w:rsidRDefault="00C91173">
      <w:pPr>
        <w:pStyle w:val="a7"/>
        <w:snapToGrid w:val="0"/>
        <w:spacing w:line="360" w:lineRule="auto"/>
        <w:rPr>
          <w:rFonts w:ascii="宋体" w:hAnsi="宋体"/>
        </w:rPr>
      </w:pPr>
      <w:r>
        <w:rPr>
          <w:rFonts w:ascii="宋体" w:hAnsi="宋体" w:hint="eastAsia"/>
        </w:rPr>
        <w:t>掌握：新鲜园艺产品质量因子的组成，以及采收，及采后的管理方法和注意事项。</w:t>
      </w:r>
    </w:p>
    <w:p w14:paraId="00218746" w14:textId="77777777" w:rsidR="00F5289E" w:rsidRDefault="00C91173">
      <w:pPr>
        <w:pStyle w:val="a7"/>
        <w:snapToGrid w:val="0"/>
        <w:spacing w:line="360" w:lineRule="auto"/>
        <w:rPr>
          <w:rFonts w:ascii="宋体" w:hAnsi="宋体"/>
        </w:rPr>
      </w:pPr>
      <w:r>
        <w:rPr>
          <w:rFonts w:ascii="宋体" w:hAnsi="宋体" w:hint="eastAsia"/>
        </w:rPr>
        <w:t>熟练掌握：本章节课后的重点词汇和句子，并能够准确理解和翻译。</w:t>
      </w:r>
    </w:p>
    <w:p w14:paraId="214F4041"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园艺产品采后贮存技术的相关专业词汇及术语，利用观看主题视频让学生了解常见园艺产品采后流程；通过智慧课堂辅助软件发放相关专题讨论，增加学生的参与度；通过智慧课堂辅助软件发放小组作业，学生以小组团队的形式完成课程任务。</w:t>
      </w:r>
    </w:p>
    <w:p w14:paraId="7860BD73" w14:textId="77777777" w:rsidR="00F5289E" w:rsidRDefault="00F5289E">
      <w:pPr>
        <w:widowControl/>
        <w:snapToGrid w:val="0"/>
        <w:spacing w:line="360" w:lineRule="auto"/>
        <w:rPr>
          <w:rFonts w:ascii="宋体" w:hAnsi="宋体"/>
          <w:b/>
          <w:bCs/>
        </w:rPr>
      </w:pPr>
    </w:p>
    <w:tbl>
      <w:tblPr>
        <w:tblStyle w:val="af6"/>
        <w:tblW w:w="0" w:type="auto"/>
        <w:tblInd w:w="4" w:type="dxa"/>
        <w:tblCellMar>
          <w:left w:w="0" w:type="dxa"/>
          <w:right w:w="0" w:type="dxa"/>
        </w:tblCellMar>
        <w:tblLook w:val="04A0" w:firstRow="1" w:lastRow="0" w:firstColumn="1" w:lastColumn="0" w:noHBand="0" w:noVBand="1"/>
      </w:tblPr>
      <w:tblGrid>
        <w:gridCol w:w="1976"/>
        <w:gridCol w:w="3954"/>
        <w:gridCol w:w="2966"/>
      </w:tblGrid>
      <w:tr w:rsidR="00F5289E" w14:paraId="5212842E" w14:textId="77777777">
        <w:trPr>
          <w:trHeight w:val="270"/>
        </w:trPr>
        <w:tc>
          <w:tcPr>
            <w:tcW w:w="1976" w:type="dxa"/>
            <w:tcBorders>
              <w:top w:val="nil"/>
              <w:left w:val="nil"/>
              <w:bottom w:val="nil"/>
              <w:right w:val="nil"/>
            </w:tcBorders>
            <w:vAlign w:val="center"/>
          </w:tcPr>
          <w:p w14:paraId="3250EA13" w14:textId="77777777" w:rsidR="00F5289E" w:rsidRDefault="00F5289E">
            <w:pPr>
              <w:widowControl/>
              <w:snapToGrid w:val="0"/>
              <w:spacing w:line="360" w:lineRule="auto"/>
              <w:jc w:val="center"/>
              <w:rPr>
                <w:rFonts w:hAnsi="宋体"/>
                <w:b/>
                <w:bCs/>
                <w:kern w:val="0"/>
                <w:szCs w:val="21"/>
              </w:rPr>
            </w:pPr>
          </w:p>
        </w:tc>
        <w:tc>
          <w:tcPr>
            <w:tcW w:w="3954" w:type="dxa"/>
            <w:tcBorders>
              <w:top w:val="nil"/>
              <w:left w:val="nil"/>
              <w:bottom w:val="nil"/>
              <w:right w:val="nil"/>
            </w:tcBorders>
            <w:vAlign w:val="center"/>
          </w:tcPr>
          <w:p w14:paraId="6530BA22"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第五章</w:t>
            </w:r>
            <w:r>
              <w:rPr>
                <w:rFonts w:hAnsi="宋体" w:hint="eastAsia"/>
                <w:b/>
                <w:bCs/>
                <w:kern w:val="0"/>
                <w:szCs w:val="21"/>
              </w:rPr>
              <w:t xml:space="preserve">  </w:t>
            </w:r>
            <w:r>
              <w:rPr>
                <w:rFonts w:hAnsi="宋体"/>
                <w:b/>
                <w:bCs/>
                <w:kern w:val="0"/>
                <w:szCs w:val="21"/>
              </w:rPr>
              <w:t>Biotechnology and Horticulture</w:t>
            </w:r>
          </w:p>
        </w:tc>
        <w:tc>
          <w:tcPr>
            <w:tcW w:w="2966" w:type="dxa"/>
            <w:tcBorders>
              <w:top w:val="nil"/>
              <w:left w:val="nil"/>
              <w:bottom w:val="nil"/>
              <w:right w:val="nil"/>
            </w:tcBorders>
            <w:vAlign w:val="center"/>
          </w:tcPr>
          <w:p w14:paraId="1961A563"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2B65C1E9" w14:textId="77777777" w:rsidR="00F5289E" w:rsidRDefault="00C91173">
      <w:pPr>
        <w:widowControl/>
        <w:snapToGrid w:val="0"/>
        <w:spacing w:line="360" w:lineRule="auto"/>
        <w:rPr>
          <w:rFonts w:ascii="宋体" w:hAnsi="宋体"/>
          <w:bCs/>
        </w:rPr>
      </w:pPr>
      <w:r>
        <w:rPr>
          <w:rFonts w:ascii="宋体" w:hAnsi="宋体" w:hint="eastAsia"/>
          <w:b/>
          <w:bCs/>
        </w:rPr>
        <w:t>教学目标：</w:t>
      </w:r>
      <w:r>
        <w:rPr>
          <w:rFonts w:ascii="宋体" w:hAnsi="宋体" w:hint="eastAsia"/>
          <w:bCs/>
        </w:rPr>
        <w:t>通过本章节英文文章的阅读和理解，了解生物技术在园艺作物成熟老化、花色、植株形态形成以及病虫抗性中的作用，以及生物技术在改良园艺作物生物性状中的应用前景。</w:t>
      </w:r>
    </w:p>
    <w:p w14:paraId="79CCE261" w14:textId="77777777" w:rsidR="00F5289E" w:rsidRDefault="00C91173">
      <w:pPr>
        <w:widowControl/>
        <w:snapToGrid w:val="0"/>
        <w:spacing w:line="360" w:lineRule="auto"/>
        <w:rPr>
          <w:rFonts w:hAnsi="宋体"/>
          <w:b/>
          <w:bCs/>
          <w:kern w:val="0"/>
          <w:szCs w:val="21"/>
        </w:rPr>
      </w:pPr>
      <w:r>
        <w:rPr>
          <w:rFonts w:ascii="宋体" w:hAnsi="宋体" w:hint="eastAsia"/>
          <w:b/>
          <w:bCs/>
        </w:rPr>
        <w:lastRenderedPageBreak/>
        <w:t>教学重点和难点：</w:t>
      </w:r>
      <w:r>
        <w:rPr>
          <w:rFonts w:ascii="宋体" w:hAnsi="宋体" w:hint="eastAsia"/>
          <w:bCs/>
        </w:rPr>
        <w:t>生物技术在改良园艺作物生物性状的主要应用。</w:t>
      </w:r>
    </w:p>
    <w:p w14:paraId="4415A22B"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0CFB1A13" w14:textId="77777777" w:rsidR="00F5289E" w:rsidRDefault="00C91173">
      <w:pPr>
        <w:pStyle w:val="a7"/>
        <w:snapToGrid w:val="0"/>
        <w:spacing w:line="360" w:lineRule="auto"/>
        <w:rPr>
          <w:rFonts w:ascii="宋体" w:hAnsi="宋体"/>
        </w:rPr>
      </w:pPr>
      <w:r>
        <w:rPr>
          <w:rFonts w:ascii="宋体" w:hAnsi="宋体" w:hint="eastAsia"/>
        </w:rPr>
        <w:t>了解：生物技术的发展过程，以及在改良园艺作物生物性状的应用现状及前景。</w:t>
      </w:r>
    </w:p>
    <w:p w14:paraId="18240533" w14:textId="77777777" w:rsidR="00F5289E" w:rsidRDefault="00C91173">
      <w:pPr>
        <w:pStyle w:val="a7"/>
        <w:snapToGrid w:val="0"/>
        <w:spacing w:line="360" w:lineRule="auto"/>
        <w:rPr>
          <w:rFonts w:ascii="宋体" w:hAnsi="宋体"/>
        </w:rPr>
      </w:pPr>
      <w:r>
        <w:rPr>
          <w:rFonts w:ascii="宋体" w:hAnsi="宋体" w:hint="eastAsia"/>
        </w:rPr>
        <w:t>理解：生物技术改良园艺作物性状的基本原理。</w:t>
      </w:r>
    </w:p>
    <w:p w14:paraId="38E83524" w14:textId="77777777" w:rsidR="00F5289E" w:rsidRDefault="00C91173">
      <w:pPr>
        <w:pStyle w:val="a7"/>
        <w:snapToGrid w:val="0"/>
        <w:spacing w:line="360" w:lineRule="auto"/>
        <w:rPr>
          <w:rFonts w:ascii="宋体" w:hAnsi="宋体"/>
        </w:rPr>
      </w:pPr>
      <w:r>
        <w:rPr>
          <w:rFonts w:ascii="宋体" w:hAnsi="宋体" w:hint="eastAsia"/>
        </w:rPr>
        <w:t>掌握：生物技术的含义，以及转基因技术近期发展现状，以及此类综述性文章的撰写特点。</w:t>
      </w:r>
    </w:p>
    <w:p w14:paraId="3F4B8816" w14:textId="77777777" w:rsidR="00F5289E" w:rsidRDefault="00C91173">
      <w:pPr>
        <w:pStyle w:val="a7"/>
        <w:snapToGrid w:val="0"/>
        <w:spacing w:line="360" w:lineRule="auto"/>
        <w:rPr>
          <w:rFonts w:ascii="宋体" w:hAnsi="宋体"/>
        </w:rPr>
      </w:pPr>
      <w:r>
        <w:rPr>
          <w:rFonts w:ascii="宋体" w:hAnsi="宋体" w:hint="eastAsia"/>
        </w:rPr>
        <w:t>熟练掌握：本章节的重点词汇和重点语句，并能够准确阅读和翻译。</w:t>
      </w:r>
    </w:p>
    <w:p w14:paraId="4FB07DF2"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园艺生物技术的相关专业词汇及术语，利用观看主题视频让学生了解常见的生物技术；通过智慧课堂辅助软件发放相关专题讨论，增加学生的参与度；通过智慧课堂辅助软件发放小组作业，学生以小组团队的形式完成课程任务。</w:t>
      </w:r>
    </w:p>
    <w:tbl>
      <w:tblPr>
        <w:tblStyle w:val="af6"/>
        <w:tblW w:w="0" w:type="auto"/>
        <w:tblInd w:w="4" w:type="dxa"/>
        <w:tblCellMar>
          <w:left w:w="0" w:type="dxa"/>
          <w:right w:w="0" w:type="dxa"/>
        </w:tblCellMar>
        <w:tblLook w:val="04A0" w:firstRow="1" w:lastRow="0" w:firstColumn="1" w:lastColumn="0" w:noHBand="0" w:noVBand="1"/>
      </w:tblPr>
      <w:tblGrid>
        <w:gridCol w:w="1976"/>
        <w:gridCol w:w="3954"/>
        <w:gridCol w:w="2966"/>
      </w:tblGrid>
      <w:tr w:rsidR="00F5289E" w14:paraId="5876725D" w14:textId="77777777">
        <w:trPr>
          <w:trHeight w:val="270"/>
        </w:trPr>
        <w:tc>
          <w:tcPr>
            <w:tcW w:w="1976" w:type="dxa"/>
            <w:tcBorders>
              <w:top w:val="nil"/>
              <w:left w:val="nil"/>
              <w:bottom w:val="nil"/>
              <w:right w:val="nil"/>
            </w:tcBorders>
            <w:vAlign w:val="center"/>
          </w:tcPr>
          <w:p w14:paraId="40DC9178" w14:textId="77777777" w:rsidR="00F5289E" w:rsidRDefault="00F5289E">
            <w:pPr>
              <w:widowControl/>
              <w:snapToGrid w:val="0"/>
              <w:spacing w:line="360" w:lineRule="auto"/>
              <w:jc w:val="center"/>
              <w:rPr>
                <w:rFonts w:hAnsi="宋体"/>
                <w:b/>
                <w:bCs/>
                <w:kern w:val="0"/>
                <w:szCs w:val="21"/>
              </w:rPr>
            </w:pPr>
          </w:p>
        </w:tc>
        <w:tc>
          <w:tcPr>
            <w:tcW w:w="3954" w:type="dxa"/>
            <w:tcBorders>
              <w:top w:val="nil"/>
              <w:left w:val="nil"/>
              <w:bottom w:val="nil"/>
              <w:right w:val="nil"/>
            </w:tcBorders>
            <w:vAlign w:val="center"/>
          </w:tcPr>
          <w:p w14:paraId="68C5794A"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w:t>
            </w:r>
            <w:r>
              <w:rPr>
                <w:rFonts w:hAnsi="宋体" w:hint="eastAsia"/>
                <w:b/>
                <w:szCs w:val="21"/>
              </w:rPr>
              <w:t>六</w:t>
            </w:r>
            <w:r>
              <w:rPr>
                <w:rFonts w:hAnsi="宋体" w:hint="eastAsia"/>
                <w:b/>
                <w:bCs/>
                <w:kern w:val="0"/>
                <w:szCs w:val="21"/>
              </w:rPr>
              <w:t>章</w:t>
            </w:r>
            <w:r>
              <w:rPr>
                <w:rFonts w:hAnsi="宋体" w:hint="eastAsia"/>
                <w:b/>
                <w:bCs/>
                <w:kern w:val="0"/>
                <w:szCs w:val="21"/>
              </w:rPr>
              <w:t xml:space="preserve">  </w:t>
            </w:r>
            <w:r>
              <w:rPr>
                <w:rFonts w:hAnsi="宋体"/>
                <w:b/>
                <w:bCs/>
                <w:kern w:val="0"/>
                <w:szCs w:val="21"/>
              </w:rPr>
              <w:t>Low-temperature effects</w:t>
            </w:r>
          </w:p>
        </w:tc>
        <w:tc>
          <w:tcPr>
            <w:tcW w:w="2966" w:type="dxa"/>
            <w:tcBorders>
              <w:top w:val="nil"/>
              <w:left w:val="nil"/>
              <w:bottom w:val="nil"/>
              <w:right w:val="nil"/>
            </w:tcBorders>
            <w:vAlign w:val="center"/>
          </w:tcPr>
          <w:p w14:paraId="7ACAFDC5"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530E471B"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通过本章节英文文章的阅读和理解，了解园艺植物在遭受低温胁迫的主要表现和其形成原理，掌握相关的专业英语词汇和重要语句。</w:t>
      </w:r>
    </w:p>
    <w:p w14:paraId="65CAB12C"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冷害和冻害的含义及区别，以及植物抗寒性和耐冻性的定义及其基本原理。</w:t>
      </w:r>
    </w:p>
    <w:p w14:paraId="2BFBC113"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742AB271" w14:textId="77777777" w:rsidR="00F5289E" w:rsidRDefault="00C91173">
      <w:pPr>
        <w:pStyle w:val="a7"/>
        <w:snapToGrid w:val="0"/>
        <w:spacing w:line="360" w:lineRule="auto"/>
        <w:rPr>
          <w:rFonts w:ascii="宋体" w:hAnsi="宋体"/>
        </w:rPr>
      </w:pPr>
      <w:r>
        <w:rPr>
          <w:rFonts w:ascii="宋体" w:hAnsi="宋体" w:hint="eastAsia"/>
        </w:rPr>
        <w:t>了解：园艺植物低温胁迫相关的专业英语表达方式。</w:t>
      </w:r>
    </w:p>
    <w:p w14:paraId="250C9043" w14:textId="77777777" w:rsidR="00F5289E" w:rsidRDefault="00C91173">
      <w:pPr>
        <w:pStyle w:val="a7"/>
        <w:snapToGrid w:val="0"/>
        <w:spacing w:line="360" w:lineRule="auto"/>
        <w:rPr>
          <w:rFonts w:ascii="宋体" w:hAnsi="宋体"/>
        </w:rPr>
      </w:pPr>
      <w:r>
        <w:rPr>
          <w:rFonts w:ascii="宋体" w:hAnsi="宋体" w:hint="eastAsia"/>
        </w:rPr>
        <w:t>理解：胁迫、冷害、冻害以及抗寒性、耐冻性的定义和区别。</w:t>
      </w:r>
    </w:p>
    <w:p w14:paraId="6E0733E0" w14:textId="77777777" w:rsidR="00F5289E" w:rsidRDefault="00C91173">
      <w:pPr>
        <w:pStyle w:val="a7"/>
        <w:snapToGrid w:val="0"/>
        <w:spacing w:line="360" w:lineRule="auto"/>
        <w:rPr>
          <w:rFonts w:ascii="宋体" w:hAnsi="宋体"/>
        </w:rPr>
      </w:pPr>
      <w:r>
        <w:rPr>
          <w:rFonts w:ascii="宋体" w:hAnsi="宋体" w:hint="eastAsia"/>
        </w:rPr>
        <w:t>掌握：不同植物低温胁迫的表型性状以及细胞生物学的变化及原理。</w:t>
      </w:r>
    </w:p>
    <w:p w14:paraId="255E1AE7" w14:textId="77777777" w:rsidR="00F5289E" w:rsidRDefault="00C91173">
      <w:pPr>
        <w:pStyle w:val="a7"/>
        <w:snapToGrid w:val="0"/>
        <w:spacing w:line="360" w:lineRule="auto"/>
        <w:rPr>
          <w:rFonts w:ascii="宋体" w:hAnsi="宋体"/>
        </w:rPr>
      </w:pPr>
      <w:r>
        <w:rPr>
          <w:rFonts w:ascii="宋体" w:hAnsi="宋体" w:hint="eastAsia"/>
        </w:rPr>
        <w:t>熟练掌握：园艺植物低温胁迫相关的重点词汇，以及本文中重要语句，并能够准确理解和翻译。</w:t>
      </w:r>
      <w:r>
        <w:rPr>
          <w:rFonts w:ascii="宋体" w:hAnsi="宋体"/>
        </w:rPr>
        <w:t xml:space="preserve"> </w:t>
      </w:r>
    </w:p>
    <w:p w14:paraId="263AD395"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园艺植物遭受低温胁迫的相关专业词汇及术语；通过智慧课堂辅助软件发放相关专业文献，学生以团队的形式总结文献大意；通过智慧课堂辅助软件发放小组作业，学生以小组团队的形式完成课程任务。</w:t>
      </w:r>
    </w:p>
    <w:tbl>
      <w:tblPr>
        <w:tblStyle w:val="af6"/>
        <w:tblW w:w="0" w:type="auto"/>
        <w:tblInd w:w="4" w:type="dxa"/>
        <w:tblCellMar>
          <w:left w:w="0" w:type="dxa"/>
          <w:right w:w="0" w:type="dxa"/>
        </w:tblCellMar>
        <w:tblLook w:val="04A0" w:firstRow="1" w:lastRow="0" w:firstColumn="1" w:lastColumn="0" w:noHBand="0" w:noVBand="1"/>
      </w:tblPr>
      <w:tblGrid>
        <w:gridCol w:w="1436"/>
        <w:gridCol w:w="4494"/>
        <w:gridCol w:w="2966"/>
      </w:tblGrid>
      <w:tr w:rsidR="00F5289E" w14:paraId="29C12EDC" w14:textId="77777777">
        <w:trPr>
          <w:trHeight w:val="270"/>
        </w:trPr>
        <w:tc>
          <w:tcPr>
            <w:tcW w:w="1436" w:type="dxa"/>
            <w:tcBorders>
              <w:top w:val="nil"/>
              <w:left w:val="nil"/>
              <w:bottom w:val="nil"/>
              <w:right w:val="nil"/>
            </w:tcBorders>
            <w:vAlign w:val="center"/>
          </w:tcPr>
          <w:p w14:paraId="39D3AF6E" w14:textId="77777777" w:rsidR="00F5289E" w:rsidRDefault="00F5289E">
            <w:pPr>
              <w:widowControl/>
              <w:snapToGrid w:val="0"/>
              <w:spacing w:line="360" w:lineRule="auto"/>
              <w:jc w:val="center"/>
              <w:rPr>
                <w:rFonts w:hAnsi="宋体"/>
                <w:b/>
                <w:bCs/>
                <w:kern w:val="0"/>
                <w:szCs w:val="21"/>
              </w:rPr>
            </w:pPr>
          </w:p>
        </w:tc>
        <w:tc>
          <w:tcPr>
            <w:tcW w:w="4494" w:type="dxa"/>
            <w:tcBorders>
              <w:top w:val="nil"/>
              <w:left w:val="nil"/>
              <w:bottom w:val="nil"/>
              <w:right w:val="nil"/>
            </w:tcBorders>
            <w:vAlign w:val="center"/>
          </w:tcPr>
          <w:p w14:paraId="08FDE090"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第</w:t>
            </w:r>
            <w:r>
              <w:rPr>
                <w:rFonts w:hAnsi="宋体" w:hint="eastAsia"/>
                <w:b/>
                <w:szCs w:val="21"/>
              </w:rPr>
              <w:t>七</w:t>
            </w:r>
            <w:r>
              <w:rPr>
                <w:rFonts w:hAnsi="宋体" w:hint="eastAsia"/>
                <w:b/>
                <w:bCs/>
                <w:kern w:val="0"/>
                <w:szCs w:val="21"/>
              </w:rPr>
              <w:t>章</w:t>
            </w:r>
            <w:r>
              <w:rPr>
                <w:rFonts w:hAnsi="宋体" w:hint="eastAsia"/>
                <w:b/>
                <w:bCs/>
                <w:kern w:val="0"/>
                <w:szCs w:val="21"/>
              </w:rPr>
              <w:t xml:space="preserve">  </w:t>
            </w:r>
            <w:r>
              <w:rPr>
                <w:rFonts w:hAnsi="宋体"/>
                <w:b/>
                <w:bCs/>
                <w:kern w:val="0"/>
                <w:szCs w:val="21"/>
              </w:rPr>
              <w:t>Biological Pest Control in Horticulture</w:t>
            </w:r>
          </w:p>
        </w:tc>
        <w:tc>
          <w:tcPr>
            <w:tcW w:w="2966" w:type="dxa"/>
            <w:tcBorders>
              <w:top w:val="nil"/>
              <w:left w:val="nil"/>
              <w:bottom w:val="nil"/>
              <w:right w:val="nil"/>
            </w:tcBorders>
            <w:vAlign w:val="center"/>
          </w:tcPr>
          <w:p w14:paraId="0E9CA060"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hint="eastAsia"/>
                <w:b/>
                <w:bCs/>
                <w:kern w:val="0"/>
                <w:szCs w:val="21"/>
              </w:rPr>
              <w:t>4</w:t>
            </w:r>
          </w:p>
        </w:tc>
      </w:tr>
    </w:tbl>
    <w:p w14:paraId="732F794C"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hint="eastAsia"/>
          <w:bCs/>
        </w:rPr>
        <w:t>通过本章英文文章的阅读和理解，了解生物防治的定义和种类，以及在温室蔬菜和观赏性园艺作物病虫害防治中的作用和特点。</w:t>
      </w:r>
    </w:p>
    <w:p w14:paraId="7F4D4E78" w14:textId="77777777" w:rsidR="00F5289E" w:rsidRDefault="00C91173">
      <w:pPr>
        <w:widowControl/>
        <w:snapToGrid w:val="0"/>
        <w:spacing w:line="360" w:lineRule="auto"/>
        <w:rPr>
          <w:rFonts w:hAnsi="宋体"/>
          <w:b/>
          <w:bCs/>
          <w:kern w:val="0"/>
          <w:szCs w:val="21"/>
        </w:rPr>
      </w:pPr>
      <w:r>
        <w:rPr>
          <w:rFonts w:ascii="宋体" w:hAnsi="宋体" w:hint="eastAsia"/>
          <w:b/>
          <w:bCs/>
        </w:rPr>
        <w:t>教学重点和难点：</w:t>
      </w:r>
      <w:r>
        <w:rPr>
          <w:rFonts w:ascii="宋体" w:hAnsi="宋体" w:hint="eastAsia"/>
          <w:bCs/>
        </w:rPr>
        <w:t>生物防治在温室蔬菜和观赏性植物中的应用。</w:t>
      </w:r>
    </w:p>
    <w:p w14:paraId="53C84728" w14:textId="77777777" w:rsidR="00F5289E" w:rsidRDefault="00C91173">
      <w:pPr>
        <w:pStyle w:val="a7"/>
        <w:snapToGrid w:val="0"/>
        <w:spacing w:line="360" w:lineRule="auto"/>
        <w:ind w:firstLineChars="0" w:firstLine="0"/>
        <w:rPr>
          <w:rFonts w:ascii="宋体" w:hAnsi="宋体"/>
        </w:rPr>
      </w:pPr>
      <w:r>
        <w:rPr>
          <w:rFonts w:ascii="宋体" w:hAnsi="宋体" w:hint="eastAsia"/>
          <w:b/>
        </w:rPr>
        <w:t>主要教学内容及要求：</w:t>
      </w:r>
      <w:r>
        <w:rPr>
          <w:rFonts w:ascii="宋体" w:hAnsi="宋体"/>
        </w:rPr>
        <w:t xml:space="preserve"> </w:t>
      </w:r>
    </w:p>
    <w:p w14:paraId="455EA338" w14:textId="77777777" w:rsidR="00F5289E" w:rsidRDefault="00C91173">
      <w:pPr>
        <w:pStyle w:val="a7"/>
        <w:snapToGrid w:val="0"/>
        <w:spacing w:line="360" w:lineRule="auto"/>
        <w:rPr>
          <w:rFonts w:ascii="宋体" w:hAnsi="宋体"/>
        </w:rPr>
      </w:pPr>
      <w:r>
        <w:rPr>
          <w:rFonts w:ascii="宋体" w:hAnsi="宋体" w:hint="eastAsia"/>
        </w:rPr>
        <w:t>了解：生物防治相关的英语专业词汇。</w:t>
      </w:r>
    </w:p>
    <w:p w14:paraId="5AA88571" w14:textId="77777777" w:rsidR="00F5289E" w:rsidRDefault="00C91173">
      <w:pPr>
        <w:pStyle w:val="a7"/>
        <w:snapToGrid w:val="0"/>
        <w:spacing w:line="360" w:lineRule="auto"/>
        <w:rPr>
          <w:rFonts w:ascii="宋体" w:hAnsi="宋体"/>
        </w:rPr>
      </w:pPr>
      <w:r>
        <w:rPr>
          <w:rFonts w:ascii="宋体" w:hAnsi="宋体" w:hint="eastAsia"/>
        </w:rPr>
        <w:t>理解：生物防治的含义和特点，以及在温室蔬菜和观赏性园艺植物中的应用。</w:t>
      </w:r>
    </w:p>
    <w:p w14:paraId="0E1421B0" w14:textId="77777777" w:rsidR="00F5289E" w:rsidRDefault="00C91173">
      <w:pPr>
        <w:pStyle w:val="a7"/>
        <w:snapToGrid w:val="0"/>
        <w:spacing w:line="360" w:lineRule="auto"/>
        <w:rPr>
          <w:rFonts w:ascii="宋体" w:hAnsi="宋体"/>
        </w:rPr>
      </w:pPr>
      <w:r>
        <w:rPr>
          <w:rFonts w:ascii="宋体" w:hAnsi="宋体" w:hint="eastAsia"/>
        </w:rPr>
        <w:t>掌握：生物防治和生物农药的定义，以及本章节的重点词汇和重要语句，并能够准确理解和翻译。</w:t>
      </w:r>
      <w:r>
        <w:rPr>
          <w:rFonts w:ascii="宋体" w:hAnsi="宋体"/>
        </w:rPr>
        <w:t xml:space="preserve"> </w:t>
      </w:r>
    </w:p>
    <w:p w14:paraId="355D040D"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r>
        <w:rPr>
          <w:rFonts w:ascii="宋体" w:hAnsi="宋体" w:hint="eastAsia"/>
          <w:bCs/>
        </w:rPr>
        <w:t>以班级授课的形式讲授生物防治的相关专业词汇及术语，利用观看世界一流公司的专业视频让学生了解生物防治的意义；通过智慧课堂辅助软件发放相关专题讨论，增加学生的参与度；通过智慧课堂辅助软件发放小组作业，学生以小组团队的形式完成课程任务。</w:t>
      </w:r>
    </w:p>
    <w:p w14:paraId="4C713985" w14:textId="77777777" w:rsidR="00F5289E" w:rsidRDefault="00C91173">
      <w:pPr>
        <w:snapToGrid w:val="0"/>
        <w:spacing w:line="360" w:lineRule="auto"/>
        <w:rPr>
          <w:rFonts w:ascii="宋体" w:hAnsi="宋体"/>
          <w:b/>
          <w:szCs w:val="21"/>
        </w:rPr>
      </w:pPr>
      <w:r>
        <w:rPr>
          <w:rFonts w:ascii="宋体" w:hAnsi="宋体" w:hint="eastAsia"/>
          <w:b/>
          <w:szCs w:val="21"/>
        </w:rPr>
        <w:lastRenderedPageBreak/>
        <w:t>五</w:t>
      </w:r>
      <w:r>
        <w:rPr>
          <w:rFonts w:ascii="宋体" w:hAnsi="宋体"/>
          <w:b/>
          <w:szCs w:val="21"/>
        </w:rPr>
        <w:t>、</w:t>
      </w:r>
      <w:r>
        <w:rPr>
          <w:rFonts w:ascii="宋体" w:hAnsi="宋体" w:hint="eastAsia"/>
          <w:b/>
          <w:szCs w:val="21"/>
        </w:rPr>
        <w:t>课程思政</w:t>
      </w:r>
    </w:p>
    <w:p w14:paraId="2EB87224" w14:textId="77777777" w:rsidR="00F5289E" w:rsidRDefault="00C91173">
      <w:pPr>
        <w:snapToGrid w:val="0"/>
        <w:spacing w:line="360" w:lineRule="auto"/>
        <w:ind w:firstLineChars="200" w:firstLine="420"/>
        <w:rPr>
          <w:rFonts w:hAnsi="宋体"/>
          <w:szCs w:val="21"/>
        </w:rPr>
      </w:pPr>
      <w:r>
        <w:rPr>
          <w:rFonts w:hAnsi="宋体" w:hint="eastAsia"/>
          <w:szCs w:val="21"/>
        </w:rPr>
        <w:t>深度挖掘教材思政元素，搜集高水平期刊园艺专业文献，在讲授西方园艺相关的课程中，融入中国元素，对西方园艺与中国园艺进行对比，使学生在学习园艺专业知识、拓展国际视野的同时，激发学生对中国特色社会主义制度认同，从而树立文化自信、提高人文素养，培养家国情怀，成为具有国际视野和中国情怀的、伟大的社会主义事业建设者和接班人。如在第一章《</w:t>
      </w:r>
      <w:r>
        <w:rPr>
          <w:rFonts w:hAnsi="宋体"/>
          <w:szCs w:val="21"/>
        </w:rPr>
        <w:t>P</w:t>
      </w:r>
      <w:r>
        <w:rPr>
          <w:rFonts w:hAnsi="宋体" w:hint="eastAsia"/>
          <w:szCs w:val="21"/>
        </w:rPr>
        <w:t>rotected</w:t>
      </w:r>
      <w:r>
        <w:rPr>
          <w:rFonts w:hAnsi="宋体"/>
          <w:szCs w:val="21"/>
        </w:rPr>
        <w:t xml:space="preserve"> C</w:t>
      </w:r>
      <w:r>
        <w:rPr>
          <w:rFonts w:hAnsi="宋体" w:hint="eastAsia"/>
          <w:szCs w:val="21"/>
        </w:rPr>
        <w:t>ultivation</w:t>
      </w:r>
      <w:r>
        <w:rPr>
          <w:rFonts w:hAnsi="宋体" w:hint="eastAsia"/>
          <w:szCs w:val="21"/>
        </w:rPr>
        <w:t>》中，强调保护地栽培在中国的发展历史悠久；在《</w:t>
      </w:r>
      <w:r>
        <w:rPr>
          <w:rFonts w:hAnsi="宋体" w:hint="eastAsia"/>
          <w:szCs w:val="21"/>
        </w:rPr>
        <w:t>Biotechnology</w:t>
      </w:r>
      <w:r>
        <w:rPr>
          <w:rFonts w:hAnsi="宋体"/>
          <w:szCs w:val="21"/>
        </w:rPr>
        <w:t xml:space="preserve"> </w:t>
      </w:r>
      <w:r>
        <w:rPr>
          <w:rFonts w:hAnsi="宋体" w:hint="eastAsia"/>
          <w:szCs w:val="21"/>
        </w:rPr>
        <w:t>and</w:t>
      </w:r>
      <w:r>
        <w:rPr>
          <w:rFonts w:hAnsi="宋体"/>
          <w:szCs w:val="21"/>
        </w:rPr>
        <w:t xml:space="preserve"> H</w:t>
      </w:r>
      <w:r>
        <w:rPr>
          <w:rFonts w:hAnsi="宋体" w:hint="eastAsia"/>
          <w:szCs w:val="21"/>
        </w:rPr>
        <w:t>orticulture</w:t>
      </w:r>
      <w:r>
        <w:rPr>
          <w:rFonts w:hAnsi="宋体" w:hint="eastAsia"/>
          <w:szCs w:val="21"/>
        </w:rPr>
        <w:t>》章节中，提出华人学者张锋在基因编辑中的巨大贡献等。</w:t>
      </w:r>
    </w:p>
    <w:p w14:paraId="74FFAC36" w14:textId="77777777" w:rsidR="00F5289E" w:rsidRDefault="00C91173">
      <w:pPr>
        <w:widowControl/>
        <w:snapToGrid w:val="0"/>
        <w:spacing w:line="360" w:lineRule="auto"/>
        <w:jc w:val="left"/>
        <w:rPr>
          <w:kern w:val="0"/>
          <w:szCs w:val="21"/>
        </w:rPr>
      </w:pPr>
      <w:r>
        <w:rPr>
          <w:rFonts w:hAnsi="宋体" w:hint="eastAsia"/>
          <w:b/>
          <w:bCs/>
          <w:kern w:val="0"/>
          <w:szCs w:val="21"/>
        </w:rPr>
        <w:t>六</w:t>
      </w:r>
      <w:r>
        <w:rPr>
          <w:rFonts w:hAnsi="宋体"/>
          <w:b/>
          <w:bCs/>
          <w:kern w:val="0"/>
          <w:szCs w:val="21"/>
        </w:rPr>
        <w:t>、教材</w:t>
      </w:r>
      <w:r>
        <w:rPr>
          <w:rFonts w:hAnsi="宋体" w:hint="eastAsia"/>
          <w:b/>
          <w:bCs/>
          <w:kern w:val="0"/>
          <w:szCs w:val="21"/>
        </w:rPr>
        <w:t>及教学参考书</w:t>
      </w:r>
    </w:p>
    <w:p w14:paraId="0F7E8B5B"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04B4DFBB" w14:textId="77777777" w:rsidR="00F5289E" w:rsidRDefault="00C91173">
      <w:pPr>
        <w:widowControl/>
        <w:snapToGrid w:val="0"/>
        <w:spacing w:line="360" w:lineRule="auto"/>
        <w:ind w:firstLineChars="200" w:firstLine="420"/>
        <w:jc w:val="left"/>
        <w:rPr>
          <w:rFonts w:hAnsi="宋体"/>
          <w:bCs/>
          <w:kern w:val="0"/>
          <w:szCs w:val="21"/>
        </w:rPr>
      </w:pPr>
      <w:r>
        <w:rPr>
          <w:rFonts w:ascii="宋体" w:hAnsi="宋体" w:hint="eastAsia"/>
          <w:bCs/>
          <w:kern w:val="0"/>
          <w:szCs w:val="21"/>
        </w:rPr>
        <w:t>理论课教材：</w:t>
      </w:r>
      <w:r>
        <w:rPr>
          <w:rFonts w:hAnsi="宋体" w:hint="eastAsia"/>
          <w:bCs/>
          <w:kern w:val="0"/>
          <w:szCs w:val="21"/>
        </w:rPr>
        <w:t>园艺专业英语（第三版），李亚灵</w:t>
      </w:r>
      <w:r>
        <w:rPr>
          <w:rFonts w:hAnsi="宋体" w:hint="eastAsia"/>
          <w:bCs/>
          <w:kern w:val="0"/>
          <w:szCs w:val="21"/>
        </w:rPr>
        <w:t xml:space="preserve"> </w:t>
      </w:r>
      <w:r>
        <w:rPr>
          <w:rFonts w:hAnsi="宋体" w:hint="eastAsia"/>
          <w:bCs/>
          <w:kern w:val="0"/>
          <w:szCs w:val="21"/>
        </w:rPr>
        <w:t>主编，中国农业出版社，</w:t>
      </w:r>
      <w:r>
        <w:rPr>
          <w:rFonts w:hAnsi="宋体" w:hint="eastAsia"/>
          <w:bCs/>
          <w:kern w:val="0"/>
          <w:szCs w:val="21"/>
        </w:rPr>
        <w:t>2019</w:t>
      </w:r>
      <w:r>
        <w:rPr>
          <w:rFonts w:hAnsi="宋体" w:hint="eastAsia"/>
          <w:bCs/>
          <w:kern w:val="0"/>
          <w:szCs w:val="21"/>
        </w:rPr>
        <w:t>年</w:t>
      </w:r>
    </w:p>
    <w:p w14:paraId="29F7A8DB"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1D159B93" w14:textId="77777777" w:rsidR="00F5289E" w:rsidRDefault="00C91173">
      <w:pPr>
        <w:widowControl/>
        <w:snapToGrid w:val="0"/>
        <w:spacing w:line="360" w:lineRule="auto"/>
        <w:ind w:firstLineChars="200" w:firstLine="420"/>
        <w:jc w:val="left"/>
        <w:rPr>
          <w:rFonts w:hAnsi="宋体"/>
          <w:bCs/>
          <w:kern w:val="0"/>
          <w:szCs w:val="21"/>
        </w:rPr>
      </w:pPr>
      <w:r>
        <w:rPr>
          <w:rFonts w:hAnsi="宋体" w:hint="eastAsia"/>
          <w:bCs/>
          <w:kern w:val="0"/>
          <w:szCs w:val="21"/>
        </w:rPr>
        <w:t>参考期刊：</w:t>
      </w:r>
      <w:proofErr w:type="spellStart"/>
      <w:r>
        <w:rPr>
          <w:rFonts w:hAnsi="宋体" w:hint="eastAsia"/>
          <w:bCs/>
          <w:kern w:val="0"/>
          <w:szCs w:val="21"/>
        </w:rPr>
        <w:t>HortScience</w:t>
      </w:r>
      <w:proofErr w:type="spellEnd"/>
      <w:r>
        <w:rPr>
          <w:rFonts w:hAnsi="宋体" w:hint="eastAsia"/>
          <w:bCs/>
          <w:kern w:val="0"/>
          <w:szCs w:val="21"/>
        </w:rPr>
        <w:t>，</w:t>
      </w:r>
      <w:r>
        <w:rPr>
          <w:rFonts w:hAnsi="宋体" w:hint="eastAsia"/>
          <w:bCs/>
          <w:kern w:val="0"/>
          <w:szCs w:val="21"/>
        </w:rPr>
        <w:t>Plant Cell</w:t>
      </w:r>
      <w:r>
        <w:rPr>
          <w:rFonts w:hAnsi="宋体" w:hint="eastAsia"/>
          <w:bCs/>
          <w:kern w:val="0"/>
          <w:szCs w:val="21"/>
        </w:rPr>
        <w:t>，</w:t>
      </w:r>
      <w:r>
        <w:rPr>
          <w:rFonts w:hAnsi="宋体" w:hint="eastAsia"/>
          <w:bCs/>
          <w:kern w:val="0"/>
          <w:szCs w:val="21"/>
        </w:rPr>
        <w:t>Tissue and Organ Culture</w:t>
      </w:r>
      <w:r>
        <w:rPr>
          <w:rFonts w:hAnsi="宋体" w:hint="eastAsia"/>
          <w:bCs/>
          <w:kern w:val="0"/>
          <w:szCs w:val="21"/>
        </w:rPr>
        <w:t>，等期刊</w:t>
      </w:r>
    </w:p>
    <w:p w14:paraId="60FE0ADA"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w:t>
      </w:r>
      <w:r>
        <w:rPr>
          <w:rFonts w:hint="eastAsia"/>
          <w:b/>
          <w:kern w:val="0"/>
          <w:szCs w:val="21"/>
        </w:rPr>
        <w:t>（线上资源）</w:t>
      </w:r>
      <w:r>
        <w:rPr>
          <w:b/>
          <w:kern w:val="0"/>
          <w:szCs w:val="21"/>
        </w:rPr>
        <w:t>：</w:t>
      </w:r>
    </w:p>
    <w:p w14:paraId="0CF32CBB" w14:textId="77777777" w:rsidR="00F5289E" w:rsidRDefault="00C91173">
      <w:pPr>
        <w:snapToGrid w:val="0"/>
        <w:spacing w:line="360" w:lineRule="auto"/>
        <w:ind w:firstLineChars="200" w:firstLine="420"/>
        <w:rPr>
          <w:szCs w:val="21"/>
        </w:rPr>
      </w:pPr>
      <w:r>
        <w:rPr>
          <w:rFonts w:hAnsi="宋体"/>
          <w:szCs w:val="21"/>
        </w:rPr>
        <w:t>（</w:t>
      </w:r>
      <w:r>
        <w:rPr>
          <w:szCs w:val="21"/>
        </w:rPr>
        <w:t>1</w:t>
      </w:r>
      <w:r>
        <w:rPr>
          <w:rFonts w:hAnsi="宋体"/>
          <w:szCs w:val="21"/>
        </w:rPr>
        <w:t>）</w:t>
      </w:r>
      <w:proofErr w:type="spellStart"/>
      <w:r>
        <w:rPr>
          <w:rFonts w:hAnsi="宋体" w:hint="eastAsia"/>
          <w:szCs w:val="21"/>
        </w:rPr>
        <w:t>Hortibiz</w:t>
      </w:r>
      <w:proofErr w:type="spellEnd"/>
      <w:r>
        <w:rPr>
          <w:rFonts w:hAnsi="宋体" w:hint="eastAsia"/>
          <w:szCs w:val="21"/>
        </w:rPr>
        <w:t>，</w:t>
      </w:r>
      <w:r>
        <w:rPr>
          <w:rFonts w:hAnsi="宋体" w:hint="eastAsia"/>
          <w:szCs w:val="21"/>
        </w:rPr>
        <w:t>http://www.hortibiz.com</w:t>
      </w:r>
    </w:p>
    <w:p w14:paraId="6807CC1C" w14:textId="77777777" w:rsidR="00F5289E" w:rsidRDefault="00C91173">
      <w:pPr>
        <w:widowControl/>
        <w:snapToGrid w:val="0"/>
        <w:spacing w:line="360" w:lineRule="auto"/>
        <w:ind w:firstLineChars="200" w:firstLine="420"/>
        <w:jc w:val="left"/>
        <w:rPr>
          <w:kern w:val="0"/>
        </w:rPr>
      </w:pPr>
      <w:r>
        <w:rPr>
          <w:rFonts w:hAnsi="宋体"/>
          <w:szCs w:val="21"/>
        </w:rPr>
        <w:t>（</w:t>
      </w:r>
      <w:r>
        <w:rPr>
          <w:szCs w:val="21"/>
        </w:rPr>
        <w:t>2</w:t>
      </w:r>
      <w:r>
        <w:rPr>
          <w:rFonts w:hAnsi="宋体"/>
          <w:szCs w:val="21"/>
        </w:rPr>
        <w:t>）</w:t>
      </w:r>
      <w:r>
        <w:rPr>
          <w:rFonts w:hAnsi="宋体" w:hint="eastAsia"/>
          <w:szCs w:val="21"/>
        </w:rPr>
        <w:t>ISAAA</w:t>
      </w:r>
      <w:r>
        <w:rPr>
          <w:rFonts w:hAnsi="宋体" w:hint="eastAsia"/>
          <w:szCs w:val="21"/>
        </w:rPr>
        <w:t>，</w:t>
      </w:r>
      <w:r>
        <w:rPr>
          <w:rFonts w:hAnsi="宋体" w:hint="eastAsia"/>
          <w:szCs w:val="21"/>
        </w:rPr>
        <w:t>http://www.isaaa.org/</w:t>
      </w:r>
    </w:p>
    <w:p w14:paraId="0E2E47A2"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七</w:t>
      </w:r>
      <w:r>
        <w:rPr>
          <w:rFonts w:hAnsi="宋体"/>
          <w:b/>
          <w:bCs/>
          <w:kern w:val="0"/>
          <w:szCs w:val="21"/>
        </w:rPr>
        <w:t>、</w:t>
      </w:r>
      <w:r>
        <w:rPr>
          <w:rFonts w:hAnsi="宋体" w:hint="eastAsia"/>
          <w:b/>
          <w:bCs/>
          <w:kern w:val="0"/>
          <w:szCs w:val="21"/>
        </w:rPr>
        <w:t>教学条件</w:t>
      </w:r>
    </w:p>
    <w:p w14:paraId="207ED63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授课教师必须精通园艺专业英语语音、词汇、语义以及语法方面的知识，英语上的听说读写能力更是要突出。而且要流利地在课堂上运用英语知识教学，并把教学原则和教学方法应用到“线上+线下”的教学活动中。园艺专业英语作为一门注重学生英语综合素质的选修课，需要依托网络、多媒体、多个智慧课堂相关软件等，使学生更好的掌握知识。</w:t>
      </w:r>
    </w:p>
    <w:p w14:paraId="3CEBBC17"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八、教学考核评价</w:t>
      </w:r>
    </w:p>
    <w:p w14:paraId="3A9B913A"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1.</w:t>
      </w:r>
      <w:r>
        <w:rPr>
          <w:rFonts w:hAnsi="宋体" w:hint="eastAsia"/>
          <w:b/>
          <w:bCs/>
          <w:kern w:val="0"/>
          <w:szCs w:val="21"/>
        </w:rPr>
        <w:t>过程性评价：</w:t>
      </w:r>
    </w:p>
    <w:p w14:paraId="7D1F33DC" w14:textId="77777777" w:rsidR="00F5289E" w:rsidRDefault="00C91173">
      <w:pPr>
        <w:widowControl/>
        <w:snapToGrid w:val="0"/>
        <w:spacing w:line="360" w:lineRule="auto"/>
        <w:ind w:firstLine="420"/>
        <w:jc w:val="left"/>
        <w:rPr>
          <w:rFonts w:ascii="宋体" w:hAnsi="宋体"/>
        </w:rPr>
      </w:pPr>
      <w:r>
        <w:rPr>
          <w:rFonts w:ascii="宋体" w:hAnsi="宋体" w:hint="eastAsia"/>
        </w:rPr>
        <w:t>在教学过程中使用各种评价方法应有利于教学活动的开展，有利于学生英语综合能力的提高，应简单易行，既要避免使用过于繁琐的程序而干扰日常教学，又要防止评价流于形式。</w:t>
      </w:r>
    </w:p>
    <w:p w14:paraId="31157E4D" w14:textId="77777777" w:rsidR="00F5289E" w:rsidRDefault="00C91173">
      <w:pPr>
        <w:widowControl/>
        <w:snapToGrid w:val="0"/>
        <w:spacing w:line="360" w:lineRule="auto"/>
        <w:ind w:firstLine="420"/>
        <w:jc w:val="left"/>
        <w:rPr>
          <w:rFonts w:ascii="宋体" w:hAnsi="宋体"/>
        </w:rPr>
      </w:pPr>
      <w:r>
        <w:rPr>
          <w:rFonts w:ascii="宋体" w:hAnsi="宋体" w:hint="eastAsia"/>
        </w:rPr>
        <w:t>定量评价与定性评价相结合</w:t>
      </w:r>
    </w:p>
    <w:p w14:paraId="209B21B9" w14:textId="77777777" w:rsidR="00F5289E" w:rsidRDefault="00C91173">
      <w:pPr>
        <w:widowControl/>
        <w:snapToGrid w:val="0"/>
        <w:spacing w:line="360" w:lineRule="auto"/>
        <w:ind w:firstLine="420"/>
        <w:jc w:val="left"/>
        <w:rPr>
          <w:rFonts w:ascii="宋体" w:hAnsi="宋体"/>
        </w:rPr>
      </w:pPr>
      <w:r>
        <w:rPr>
          <w:rFonts w:ascii="宋体" w:hAnsi="宋体" w:hint="eastAsia"/>
        </w:rPr>
        <w:t>定量评价可采用百分制或等级制的方式。定量评价的形式有标准化作业、开放性作业等。定性评价可以采取问卷调查、表现性评价等方法，使用激励性语言全面、客观地描述学生的状况。</w:t>
      </w:r>
    </w:p>
    <w:p w14:paraId="7A697033" w14:textId="77777777" w:rsidR="00F5289E" w:rsidRDefault="00C91173">
      <w:pPr>
        <w:widowControl/>
        <w:snapToGrid w:val="0"/>
        <w:spacing w:line="360" w:lineRule="auto"/>
        <w:ind w:firstLine="420"/>
        <w:jc w:val="left"/>
        <w:rPr>
          <w:rFonts w:ascii="宋体" w:hAnsi="宋体"/>
        </w:rPr>
      </w:pPr>
      <w:r>
        <w:rPr>
          <w:rFonts w:ascii="宋体" w:hAnsi="宋体" w:hint="eastAsia"/>
        </w:rPr>
        <w:t>书面测试与口头测试相结合</w:t>
      </w:r>
    </w:p>
    <w:p w14:paraId="3A0244FF" w14:textId="77777777" w:rsidR="00F5289E" w:rsidRDefault="00C91173">
      <w:pPr>
        <w:widowControl/>
        <w:snapToGrid w:val="0"/>
        <w:spacing w:line="360" w:lineRule="auto"/>
        <w:ind w:firstLine="420"/>
        <w:jc w:val="left"/>
        <w:rPr>
          <w:rFonts w:ascii="宋体" w:hAnsi="宋体"/>
        </w:rPr>
      </w:pPr>
      <w:r>
        <w:rPr>
          <w:rFonts w:ascii="宋体" w:hAnsi="宋体" w:hint="eastAsia"/>
        </w:rPr>
        <w:t>根据不用学习内容模块的目标要求，书面测试与口语测试应结合实施。口语测试应着重强调学生的语言表达能力，不过分强调语音、语调。听力测试应着重检测学生理解和获取信息的能力。书面测试应适当减少客观题，增加有助于学生思维表达的主观题，以检测学生的综合语言运用能力。</w:t>
      </w:r>
    </w:p>
    <w:p w14:paraId="041DB6D8" w14:textId="77777777" w:rsidR="00F5289E" w:rsidRDefault="00C91173">
      <w:pPr>
        <w:widowControl/>
        <w:snapToGrid w:val="0"/>
        <w:spacing w:line="360" w:lineRule="auto"/>
        <w:ind w:firstLine="420"/>
        <w:jc w:val="left"/>
        <w:rPr>
          <w:rFonts w:ascii="宋体" w:hAnsi="宋体"/>
        </w:rPr>
      </w:pPr>
      <w:r>
        <w:rPr>
          <w:rFonts w:ascii="宋体" w:hAnsi="宋体" w:hint="eastAsia"/>
        </w:rPr>
        <w:t>课内与课外相结合</w:t>
      </w:r>
    </w:p>
    <w:p w14:paraId="02FC2589" w14:textId="77777777" w:rsidR="00F5289E" w:rsidRDefault="00C91173">
      <w:pPr>
        <w:widowControl/>
        <w:snapToGrid w:val="0"/>
        <w:spacing w:line="360" w:lineRule="auto"/>
        <w:ind w:firstLine="420"/>
        <w:jc w:val="left"/>
        <w:rPr>
          <w:rFonts w:ascii="宋体" w:hAnsi="宋体"/>
        </w:rPr>
      </w:pPr>
      <w:r>
        <w:rPr>
          <w:rFonts w:ascii="宋体" w:hAnsi="宋体" w:hint="eastAsia"/>
        </w:rPr>
        <w:lastRenderedPageBreak/>
        <w:t>课内与课外评价相结合，引导学生利用课余时间进行进一步的学习、巩固和提高英语。课外英语评价的方法以形成性评价为主，主要考查学生在实际生活中运用英语的能力，如编排小节目，英语汇报课题等。</w:t>
      </w:r>
    </w:p>
    <w:p w14:paraId="1E389A91"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r>
        <w:rPr>
          <w:rFonts w:hAnsi="宋体"/>
          <w:b/>
          <w:bCs/>
          <w:kern w:val="0"/>
          <w:szCs w:val="21"/>
        </w:rPr>
        <w:t xml:space="preserve"> </w:t>
      </w:r>
    </w:p>
    <w:p w14:paraId="7C8E5D14" w14:textId="77777777" w:rsidR="00F5289E" w:rsidRDefault="00C91173">
      <w:pPr>
        <w:widowControl/>
        <w:snapToGrid w:val="0"/>
        <w:spacing w:line="360" w:lineRule="auto"/>
        <w:ind w:firstLine="420"/>
        <w:jc w:val="left"/>
        <w:rPr>
          <w:rFonts w:ascii="宋体" w:hAnsi="宋体"/>
        </w:rPr>
      </w:pPr>
      <w:r>
        <w:rPr>
          <w:rFonts w:ascii="宋体" w:hAnsi="宋体" w:hint="eastAsia"/>
        </w:rPr>
        <w:t>终结性评价以“说”为主，要求学生分别进行个人英文自我介绍（&gt;3</w:t>
      </w:r>
      <w:r>
        <w:rPr>
          <w:rFonts w:ascii="宋体" w:hAnsi="宋体"/>
        </w:rPr>
        <w:t>0</w:t>
      </w:r>
      <w:r>
        <w:rPr>
          <w:rFonts w:ascii="宋体" w:hAnsi="宋体" w:hint="eastAsia"/>
        </w:rPr>
        <w:t>秒）和园艺相关技术或知识的英文介绍（&gt;</w:t>
      </w:r>
      <w:r>
        <w:rPr>
          <w:rFonts w:ascii="宋体" w:hAnsi="宋体"/>
        </w:rPr>
        <w:t xml:space="preserve">3 </w:t>
      </w:r>
      <w:r>
        <w:rPr>
          <w:rFonts w:ascii="宋体" w:hAnsi="宋体" w:hint="eastAsia"/>
        </w:rPr>
        <w:t>分钟）的视频录制，并配有中英文字幕，题材不限，形式不限。依据学生准备的所录视频内的个人口语、内容进行评价。总成绩为1</w:t>
      </w:r>
      <w:r>
        <w:rPr>
          <w:rFonts w:ascii="宋体" w:hAnsi="宋体"/>
        </w:rPr>
        <w:t>00</w:t>
      </w:r>
      <w:r>
        <w:rPr>
          <w:rFonts w:ascii="宋体" w:hAnsi="宋体" w:hint="eastAsia"/>
        </w:rPr>
        <w:t>分，其中个人英文自我介绍占比</w:t>
      </w:r>
      <w:r>
        <w:rPr>
          <w:rFonts w:ascii="宋体" w:hAnsi="宋体"/>
        </w:rPr>
        <w:t>40%</w:t>
      </w:r>
      <w:r>
        <w:rPr>
          <w:rFonts w:ascii="宋体" w:hAnsi="宋体" w:hint="eastAsia"/>
        </w:rPr>
        <w:t>，园艺相关技术或知识的英文介绍占比6</w:t>
      </w:r>
      <w:r>
        <w:rPr>
          <w:rFonts w:ascii="宋体" w:hAnsi="宋体"/>
        </w:rPr>
        <w:t>0%</w:t>
      </w:r>
      <w:r>
        <w:rPr>
          <w:rFonts w:ascii="宋体" w:hAnsi="宋体" w:hint="eastAsia"/>
        </w:rPr>
        <w:t>。</w:t>
      </w:r>
    </w:p>
    <w:p w14:paraId="7C95C624" w14:textId="77777777" w:rsidR="00F5289E" w:rsidRDefault="00C91173">
      <w:pPr>
        <w:widowControl/>
        <w:snapToGrid w:val="0"/>
        <w:spacing w:line="360" w:lineRule="auto"/>
        <w:ind w:firstLine="420"/>
        <w:jc w:val="left"/>
        <w:rPr>
          <w:rFonts w:hAnsi="宋体"/>
          <w:bCs/>
          <w:kern w:val="0"/>
          <w:szCs w:val="21"/>
        </w:rPr>
      </w:pPr>
      <w:r>
        <w:rPr>
          <w:rFonts w:hAnsi="宋体" w:hint="eastAsia"/>
          <w:b/>
          <w:bCs/>
          <w:kern w:val="0"/>
          <w:szCs w:val="21"/>
        </w:rPr>
        <w:t>3.</w:t>
      </w:r>
      <w:r>
        <w:rPr>
          <w:rFonts w:hAnsi="宋体" w:hint="eastAsia"/>
          <w:b/>
          <w:bCs/>
          <w:kern w:val="0"/>
          <w:szCs w:val="21"/>
        </w:rPr>
        <w:t>课程综合评价：</w:t>
      </w:r>
      <w:r>
        <w:rPr>
          <w:rFonts w:hAnsi="宋体"/>
          <w:bCs/>
          <w:kern w:val="0"/>
          <w:szCs w:val="21"/>
        </w:rPr>
        <w:t xml:space="preserve"> </w:t>
      </w:r>
    </w:p>
    <w:p w14:paraId="18DF5947" w14:textId="77777777" w:rsidR="00F5289E" w:rsidRDefault="00C91173">
      <w:pPr>
        <w:widowControl/>
        <w:snapToGrid w:val="0"/>
        <w:spacing w:line="360" w:lineRule="auto"/>
        <w:ind w:firstLine="420"/>
        <w:jc w:val="left"/>
        <w:rPr>
          <w:rFonts w:ascii="宋体" w:hAnsi="宋体"/>
        </w:rPr>
      </w:pPr>
      <w:r>
        <w:rPr>
          <w:rFonts w:ascii="宋体" w:hAnsi="宋体" w:hint="eastAsia"/>
        </w:rPr>
        <w:t>考核，平时成绩（考勤、参与活动）20%+英文专业汇报30%+英文专题视频50%，总成绩计算考试成绩占100%。</w:t>
      </w:r>
    </w:p>
    <w:p w14:paraId="4B70B88E"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3E650F87" w14:textId="77777777" w:rsidR="00F5289E" w:rsidRDefault="00C91173">
      <w:pPr>
        <w:pStyle w:val="1"/>
      </w:pPr>
      <w:bookmarkStart w:id="128" w:name="_Toc138606262"/>
      <w:r>
        <w:lastRenderedPageBreak/>
        <w:t>生物信息学</w:t>
      </w:r>
      <w:bookmarkEnd w:id="128"/>
    </w:p>
    <w:p w14:paraId="4611961E" w14:textId="77777777" w:rsidR="00F5289E" w:rsidRDefault="00C91173">
      <w:pPr>
        <w:snapToGrid w:val="0"/>
        <w:spacing w:line="360" w:lineRule="auto"/>
        <w:jc w:val="center"/>
        <w:rPr>
          <w:sz w:val="24"/>
        </w:rPr>
      </w:pPr>
      <w:r>
        <w:rPr>
          <w:sz w:val="24"/>
        </w:rPr>
        <w:t>（</w:t>
      </w:r>
      <w:r>
        <w:rPr>
          <w:sz w:val="24"/>
        </w:rPr>
        <w:t>Bioinformatics</w:t>
      </w:r>
      <w:r>
        <w:rPr>
          <w:sz w:val="24"/>
        </w:rPr>
        <w:t>）</w:t>
      </w:r>
    </w:p>
    <w:p w14:paraId="2BB8E234" w14:textId="77777777" w:rsidR="00F5289E" w:rsidRDefault="00F5289E">
      <w:pPr>
        <w:snapToGrid w:val="0"/>
        <w:spacing w:line="360" w:lineRule="auto"/>
        <w:jc w:val="center"/>
        <w:rPr>
          <w:b/>
          <w:szCs w:val="21"/>
        </w:rPr>
      </w:pPr>
    </w:p>
    <w:p w14:paraId="6ECAAE8B"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28513E64" w14:textId="77777777">
        <w:tc>
          <w:tcPr>
            <w:tcW w:w="1666" w:type="pct"/>
          </w:tcPr>
          <w:p w14:paraId="7096F98A" w14:textId="77777777" w:rsidR="00F5289E" w:rsidRDefault="00C91173">
            <w:pPr>
              <w:spacing w:line="300" w:lineRule="auto"/>
              <w:rPr>
                <w:b/>
                <w:bCs/>
                <w:szCs w:val="21"/>
              </w:rPr>
            </w:pPr>
            <w:r>
              <w:rPr>
                <w:b/>
                <w:bCs/>
                <w:szCs w:val="21"/>
              </w:rPr>
              <w:t>课程编号：</w:t>
            </w:r>
            <w:r>
              <w:rPr>
                <w:bCs/>
                <w:szCs w:val="21"/>
              </w:rPr>
              <w:t>19011125</w:t>
            </w:r>
          </w:p>
        </w:tc>
        <w:tc>
          <w:tcPr>
            <w:tcW w:w="1453" w:type="pct"/>
          </w:tcPr>
          <w:p w14:paraId="6AF00476" w14:textId="77777777" w:rsidR="00F5289E" w:rsidRDefault="00C91173">
            <w:pPr>
              <w:spacing w:line="300" w:lineRule="auto"/>
              <w:rPr>
                <w:b/>
                <w:bCs/>
                <w:szCs w:val="21"/>
              </w:rPr>
            </w:pPr>
            <w:r>
              <w:rPr>
                <w:b/>
                <w:bCs/>
                <w:szCs w:val="21"/>
              </w:rPr>
              <w:t>课程总学时：</w:t>
            </w:r>
            <w:r>
              <w:rPr>
                <w:bCs/>
                <w:szCs w:val="21"/>
              </w:rPr>
              <w:t>32</w:t>
            </w:r>
          </w:p>
        </w:tc>
        <w:tc>
          <w:tcPr>
            <w:tcW w:w="1881" w:type="pct"/>
          </w:tcPr>
          <w:p w14:paraId="14E82146" w14:textId="7C975F41" w:rsidR="00F5289E" w:rsidRDefault="00C91173">
            <w:pPr>
              <w:spacing w:line="300" w:lineRule="auto"/>
              <w:rPr>
                <w:b/>
                <w:bCs/>
                <w:szCs w:val="21"/>
              </w:rPr>
            </w:pPr>
            <w:r>
              <w:rPr>
                <w:b/>
                <w:bCs/>
                <w:szCs w:val="21"/>
              </w:rPr>
              <w:t>实验学时：</w:t>
            </w:r>
            <w:r w:rsidRPr="001B3040">
              <w:rPr>
                <w:szCs w:val="21"/>
              </w:rPr>
              <w:t>12</w:t>
            </w:r>
          </w:p>
        </w:tc>
      </w:tr>
      <w:tr w:rsidR="00F5289E" w14:paraId="574C3648" w14:textId="77777777">
        <w:tc>
          <w:tcPr>
            <w:tcW w:w="1666" w:type="pct"/>
          </w:tcPr>
          <w:p w14:paraId="4FD35280" w14:textId="77777777" w:rsidR="00F5289E" w:rsidRDefault="00C91173">
            <w:pPr>
              <w:spacing w:line="300" w:lineRule="auto"/>
              <w:rPr>
                <w:b/>
                <w:bCs/>
                <w:szCs w:val="21"/>
              </w:rPr>
            </w:pPr>
            <w:r>
              <w:rPr>
                <w:b/>
                <w:bCs/>
                <w:szCs w:val="21"/>
              </w:rPr>
              <w:t>课程性质：</w:t>
            </w:r>
            <w:r>
              <w:rPr>
                <w:bCs/>
                <w:kern w:val="0"/>
                <w:szCs w:val="21"/>
              </w:rPr>
              <w:t>选修</w:t>
            </w:r>
          </w:p>
        </w:tc>
        <w:tc>
          <w:tcPr>
            <w:tcW w:w="1453" w:type="pct"/>
          </w:tcPr>
          <w:p w14:paraId="7910DFF9" w14:textId="77777777" w:rsidR="00F5289E" w:rsidRDefault="00C91173">
            <w:pPr>
              <w:spacing w:line="300" w:lineRule="auto"/>
              <w:rPr>
                <w:b/>
                <w:bCs/>
                <w:szCs w:val="21"/>
              </w:rPr>
            </w:pPr>
            <w:r>
              <w:rPr>
                <w:b/>
                <w:szCs w:val="21"/>
              </w:rPr>
              <w:t>课程属性</w:t>
            </w:r>
            <w:r>
              <w:rPr>
                <w:b/>
                <w:szCs w:val="21"/>
              </w:rPr>
              <w:t>:</w:t>
            </w:r>
            <w:r>
              <w:rPr>
                <w:bCs/>
                <w:kern w:val="0"/>
                <w:szCs w:val="21"/>
              </w:rPr>
              <w:t>专业类</w:t>
            </w:r>
          </w:p>
        </w:tc>
        <w:tc>
          <w:tcPr>
            <w:tcW w:w="1881" w:type="pct"/>
          </w:tcPr>
          <w:p w14:paraId="176D4DBE" w14:textId="77777777" w:rsidR="00F5289E" w:rsidRDefault="00C91173">
            <w:pPr>
              <w:spacing w:line="300" w:lineRule="auto"/>
              <w:rPr>
                <w:b/>
                <w:bCs/>
                <w:szCs w:val="21"/>
              </w:rPr>
            </w:pPr>
            <w:r>
              <w:rPr>
                <w:b/>
                <w:bCs/>
                <w:szCs w:val="21"/>
              </w:rPr>
              <w:t>开设学期：</w:t>
            </w:r>
            <w:r w:rsidRPr="001B3040">
              <w:rPr>
                <w:szCs w:val="21"/>
              </w:rPr>
              <w:t>第</w:t>
            </w:r>
            <w:r w:rsidRPr="001B3040">
              <w:rPr>
                <w:szCs w:val="21"/>
              </w:rPr>
              <w:t xml:space="preserve"> 7 </w:t>
            </w:r>
            <w:r w:rsidRPr="001B3040">
              <w:rPr>
                <w:szCs w:val="21"/>
              </w:rPr>
              <w:t>学期</w:t>
            </w:r>
          </w:p>
        </w:tc>
      </w:tr>
      <w:tr w:rsidR="00F5289E" w14:paraId="4551DEDA" w14:textId="77777777">
        <w:tc>
          <w:tcPr>
            <w:tcW w:w="1666" w:type="pct"/>
          </w:tcPr>
          <w:p w14:paraId="21CB5434" w14:textId="77777777" w:rsidR="00F5289E" w:rsidRDefault="00C91173">
            <w:pPr>
              <w:spacing w:line="300" w:lineRule="auto"/>
              <w:rPr>
                <w:b/>
                <w:bCs/>
                <w:szCs w:val="21"/>
              </w:rPr>
            </w:pPr>
            <w:r>
              <w:rPr>
                <w:b/>
                <w:bCs/>
                <w:szCs w:val="21"/>
              </w:rPr>
              <w:t>课程负责人：</w:t>
            </w:r>
            <w:r>
              <w:rPr>
                <w:bCs/>
                <w:szCs w:val="21"/>
              </w:rPr>
              <w:t>杨路明</w:t>
            </w:r>
          </w:p>
        </w:tc>
        <w:tc>
          <w:tcPr>
            <w:tcW w:w="1453" w:type="pct"/>
          </w:tcPr>
          <w:p w14:paraId="106A25E3" w14:textId="77777777" w:rsidR="00F5289E" w:rsidRDefault="00C91173">
            <w:pPr>
              <w:spacing w:line="300" w:lineRule="auto"/>
              <w:rPr>
                <w:b/>
                <w:bCs/>
                <w:szCs w:val="21"/>
              </w:rPr>
            </w:pPr>
            <w:r>
              <w:rPr>
                <w:b/>
                <w:bCs/>
                <w:szCs w:val="21"/>
              </w:rPr>
              <w:t>课程团队：</w:t>
            </w:r>
            <w:r>
              <w:rPr>
                <w:bCs/>
                <w:szCs w:val="21"/>
              </w:rPr>
              <w:t>王盼乔、安光辉、闫文凯</w:t>
            </w:r>
          </w:p>
        </w:tc>
        <w:tc>
          <w:tcPr>
            <w:tcW w:w="1881" w:type="pct"/>
          </w:tcPr>
          <w:p w14:paraId="533C2485" w14:textId="77777777" w:rsidR="00F5289E" w:rsidRDefault="00C91173">
            <w:pPr>
              <w:spacing w:line="300" w:lineRule="auto"/>
              <w:rPr>
                <w:b/>
                <w:bCs/>
                <w:szCs w:val="21"/>
              </w:rPr>
            </w:pPr>
            <w:r>
              <w:rPr>
                <w:b/>
                <w:bCs/>
                <w:szCs w:val="21"/>
              </w:rPr>
              <w:t>授课语言：</w:t>
            </w:r>
            <w:r>
              <w:rPr>
                <w:bCs/>
                <w:szCs w:val="21"/>
              </w:rPr>
              <w:t>中文</w:t>
            </w:r>
          </w:p>
        </w:tc>
      </w:tr>
      <w:tr w:rsidR="00F5289E" w14:paraId="3E62D458" w14:textId="77777777">
        <w:tc>
          <w:tcPr>
            <w:tcW w:w="5000" w:type="pct"/>
            <w:gridSpan w:val="3"/>
          </w:tcPr>
          <w:p w14:paraId="70DF378B" w14:textId="77777777" w:rsidR="00F5289E" w:rsidRDefault="00C91173">
            <w:pPr>
              <w:spacing w:line="300" w:lineRule="auto"/>
              <w:ind w:rightChars="-81" w:right="-170"/>
              <w:rPr>
                <w:bCs/>
                <w:szCs w:val="21"/>
              </w:rPr>
            </w:pPr>
            <w:r>
              <w:rPr>
                <w:b/>
                <w:bCs/>
                <w:szCs w:val="21"/>
              </w:rPr>
              <w:t>适用专业：</w:t>
            </w:r>
            <w:r>
              <w:rPr>
                <w:bCs/>
                <w:szCs w:val="21"/>
              </w:rPr>
              <w:t>园艺、设施农业科学与工程、茶学</w:t>
            </w:r>
          </w:p>
        </w:tc>
      </w:tr>
      <w:tr w:rsidR="00F5289E" w14:paraId="6F5E4C82" w14:textId="77777777">
        <w:tc>
          <w:tcPr>
            <w:tcW w:w="5000" w:type="pct"/>
            <w:gridSpan w:val="3"/>
          </w:tcPr>
          <w:p w14:paraId="70790FC1" w14:textId="77777777" w:rsidR="00F5289E" w:rsidRDefault="00C91173">
            <w:pPr>
              <w:spacing w:line="300" w:lineRule="auto"/>
              <w:rPr>
                <w:b/>
                <w:bCs/>
                <w:szCs w:val="21"/>
              </w:rPr>
            </w:pPr>
            <w:r>
              <w:rPr>
                <w:b/>
                <w:bCs/>
                <w:szCs w:val="21"/>
              </w:rPr>
              <w:t>对先修的要求：</w:t>
            </w:r>
            <w:r>
              <w:rPr>
                <w:bCs/>
                <w:szCs w:val="21"/>
              </w:rPr>
              <w:t>具备计算机科学基本素质与能力，具有生物学和统计学基础</w:t>
            </w:r>
          </w:p>
        </w:tc>
      </w:tr>
      <w:tr w:rsidR="00F5289E" w14:paraId="06B15DFE" w14:textId="77777777">
        <w:tc>
          <w:tcPr>
            <w:tcW w:w="5000" w:type="pct"/>
            <w:gridSpan w:val="3"/>
          </w:tcPr>
          <w:p w14:paraId="0FA9F890" w14:textId="77777777" w:rsidR="00F5289E" w:rsidRDefault="00C91173">
            <w:pPr>
              <w:spacing w:line="300" w:lineRule="auto"/>
              <w:rPr>
                <w:b/>
                <w:bCs/>
                <w:szCs w:val="21"/>
              </w:rPr>
            </w:pPr>
            <w:r>
              <w:rPr>
                <w:b/>
                <w:bCs/>
                <w:szCs w:val="21"/>
              </w:rPr>
              <w:t>对后续的支撑：</w:t>
            </w:r>
            <w:r>
              <w:rPr>
                <w:bCs/>
                <w:szCs w:val="21"/>
              </w:rPr>
              <w:t>提升文献检索与科技论文写作能力，为升学，进入生命科研领域做铺垫</w:t>
            </w:r>
          </w:p>
        </w:tc>
      </w:tr>
      <w:tr w:rsidR="00F5289E" w14:paraId="23D997C2" w14:textId="77777777">
        <w:tc>
          <w:tcPr>
            <w:tcW w:w="1666" w:type="pct"/>
          </w:tcPr>
          <w:p w14:paraId="5D6F9D28" w14:textId="77777777" w:rsidR="00F5289E" w:rsidRDefault="00C91173">
            <w:pPr>
              <w:spacing w:line="300" w:lineRule="auto"/>
              <w:jc w:val="left"/>
              <w:rPr>
                <w:b/>
                <w:bCs/>
                <w:szCs w:val="21"/>
              </w:rPr>
            </w:pPr>
            <w:r>
              <w:rPr>
                <w:b/>
                <w:bCs/>
                <w:szCs w:val="21"/>
              </w:rPr>
              <w:t>主撰人：</w:t>
            </w:r>
            <w:r>
              <w:rPr>
                <w:bCs/>
                <w:szCs w:val="21"/>
              </w:rPr>
              <w:t>王盼乔、安光辉、闫文凯</w:t>
            </w:r>
          </w:p>
        </w:tc>
        <w:tc>
          <w:tcPr>
            <w:tcW w:w="1453" w:type="pct"/>
          </w:tcPr>
          <w:p w14:paraId="1DECF71A" w14:textId="77777777" w:rsidR="00F5289E" w:rsidRDefault="00C91173">
            <w:pPr>
              <w:spacing w:line="300" w:lineRule="auto"/>
              <w:rPr>
                <w:b/>
                <w:bCs/>
                <w:szCs w:val="21"/>
              </w:rPr>
            </w:pPr>
            <w:r>
              <w:rPr>
                <w:b/>
                <w:bCs/>
                <w:szCs w:val="21"/>
              </w:rPr>
              <w:t>审核人：</w:t>
            </w:r>
            <w:r>
              <w:rPr>
                <w:bCs/>
                <w:szCs w:val="21"/>
              </w:rPr>
              <w:t>杨路明</w:t>
            </w:r>
          </w:p>
        </w:tc>
        <w:tc>
          <w:tcPr>
            <w:tcW w:w="1881" w:type="pct"/>
          </w:tcPr>
          <w:p w14:paraId="26D065AE" w14:textId="77777777" w:rsidR="00F5289E" w:rsidRDefault="00C91173">
            <w:pPr>
              <w:spacing w:line="300" w:lineRule="auto"/>
              <w:rPr>
                <w:b/>
                <w:bCs/>
                <w:szCs w:val="21"/>
              </w:rPr>
            </w:pPr>
            <w:r>
              <w:rPr>
                <w:b/>
                <w:bCs/>
                <w:szCs w:val="21"/>
              </w:rPr>
              <w:t>大纲制定（修订）日期：</w:t>
            </w:r>
            <w:r w:rsidRPr="001B3040">
              <w:rPr>
                <w:szCs w:val="21"/>
              </w:rPr>
              <w:t>202</w:t>
            </w:r>
            <w:r w:rsidR="001B3040">
              <w:rPr>
                <w:szCs w:val="21"/>
              </w:rPr>
              <w:t>3.05</w:t>
            </w:r>
          </w:p>
        </w:tc>
      </w:tr>
    </w:tbl>
    <w:p w14:paraId="6D9FB541" w14:textId="77777777" w:rsidR="00F5289E" w:rsidRDefault="00F5289E">
      <w:pPr>
        <w:widowControl/>
        <w:snapToGrid w:val="0"/>
        <w:spacing w:line="360" w:lineRule="auto"/>
        <w:jc w:val="left"/>
        <w:rPr>
          <w:b/>
          <w:bCs/>
          <w:kern w:val="0"/>
          <w:szCs w:val="21"/>
        </w:rPr>
      </w:pPr>
    </w:p>
    <w:p w14:paraId="22F97F44" w14:textId="77777777" w:rsidR="00F5289E" w:rsidRDefault="00C91173">
      <w:pPr>
        <w:widowControl/>
        <w:snapToGrid w:val="0"/>
        <w:spacing w:line="360" w:lineRule="auto"/>
        <w:jc w:val="left"/>
        <w:rPr>
          <w:kern w:val="0"/>
          <w:szCs w:val="21"/>
        </w:rPr>
      </w:pPr>
      <w:r>
        <w:rPr>
          <w:b/>
          <w:bCs/>
          <w:kern w:val="0"/>
          <w:szCs w:val="21"/>
        </w:rPr>
        <w:t>一、课程的教学理念、性质、目标和任务</w:t>
      </w:r>
    </w:p>
    <w:p w14:paraId="589428E5" w14:textId="77777777" w:rsidR="00F5289E" w:rsidRDefault="00C91173">
      <w:pPr>
        <w:spacing w:line="360" w:lineRule="auto"/>
        <w:ind w:firstLineChars="200" w:firstLine="420"/>
        <w:rPr>
          <w:bCs/>
          <w:szCs w:val="21"/>
        </w:rPr>
      </w:pPr>
      <w:r>
        <w:rPr>
          <w:kern w:val="0"/>
          <w:szCs w:val="21"/>
        </w:rPr>
        <w:t>《生物信息学》是为将要进入研究生阶段学习的高年级本科生开设的专业加深课。是一门集生物学、计算机科学、数学等学科等交叉学科，它通过对生物学实验数据对获取、加工、存储、检索和分析，达到揭示数据所蕴含对生物学意义，从而解读生命活动规律。该课程主要介绍生命科学研究过程中所要涉及到的基本信息获得和分析处理的资源和方法，包括生物信息学数据类型和数据库使用，蛋白质核酸序列比对原理与方法，蛋白质核酸的结构预测，高通量测序原理，</w:t>
      </w:r>
      <w:r>
        <w:rPr>
          <w:kern w:val="0"/>
          <w:szCs w:val="21"/>
        </w:rPr>
        <w:t>PCR</w:t>
      </w:r>
      <w:r>
        <w:rPr>
          <w:kern w:val="0"/>
          <w:szCs w:val="21"/>
        </w:rPr>
        <w:t>引物设计分析，</w:t>
      </w:r>
      <w:r>
        <w:rPr>
          <w:kern w:val="0"/>
          <w:szCs w:val="21"/>
        </w:rPr>
        <w:t>Python</w:t>
      </w:r>
      <w:r>
        <w:rPr>
          <w:kern w:val="0"/>
          <w:szCs w:val="21"/>
        </w:rPr>
        <w:t>、</w:t>
      </w:r>
      <w:r>
        <w:rPr>
          <w:kern w:val="0"/>
          <w:szCs w:val="21"/>
        </w:rPr>
        <w:t>R</w:t>
      </w:r>
      <w:r>
        <w:rPr>
          <w:kern w:val="0"/>
          <w:szCs w:val="21"/>
        </w:rPr>
        <w:t>语言介绍等内容。通过对这门课程对学习，学生们不仅可以更好的参与社会应用（比如智慧育种等），而且也可以对将来进入科研深造打下基础。</w:t>
      </w:r>
    </w:p>
    <w:p w14:paraId="46F1C730" w14:textId="77777777" w:rsidR="00F5289E" w:rsidRDefault="00C91173">
      <w:pPr>
        <w:widowControl/>
        <w:snapToGrid w:val="0"/>
        <w:spacing w:line="360" w:lineRule="auto"/>
        <w:jc w:val="left"/>
        <w:rPr>
          <w:kern w:val="0"/>
          <w:szCs w:val="21"/>
        </w:rPr>
      </w:pPr>
      <w:r>
        <w:rPr>
          <w:b/>
          <w:bCs/>
          <w:kern w:val="0"/>
          <w:szCs w:val="21"/>
        </w:rPr>
        <w:t>二、课程教学的基本要求</w:t>
      </w:r>
    </w:p>
    <w:p w14:paraId="447348CA" w14:textId="77777777" w:rsidR="00F5289E" w:rsidRDefault="00C91173">
      <w:pPr>
        <w:widowControl/>
        <w:snapToGrid w:val="0"/>
        <w:spacing w:line="360" w:lineRule="auto"/>
        <w:ind w:firstLineChars="200" w:firstLine="420"/>
        <w:jc w:val="left"/>
        <w:rPr>
          <w:kern w:val="0"/>
          <w:szCs w:val="21"/>
        </w:rPr>
      </w:pPr>
      <w:r>
        <w:rPr>
          <w:kern w:val="0"/>
          <w:szCs w:val="21"/>
        </w:rPr>
        <w:t>1.</w:t>
      </w:r>
      <w:r>
        <w:rPr>
          <w:kern w:val="0"/>
          <w:szCs w:val="21"/>
        </w:rPr>
        <w:t>理论知识方面：了解相关名词的背景及含义，掌握生物信息学存储数据格式，知晓对应软件的安装与使用。</w:t>
      </w:r>
    </w:p>
    <w:p w14:paraId="15BC4ABF" w14:textId="77777777" w:rsidR="00F5289E" w:rsidRDefault="00C91173">
      <w:pPr>
        <w:widowControl/>
        <w:snapToGrid w:val="0"/>
        <w:spacing w:line="360" w:lineRule="auto"/>
        <w:ind w:firstLineChars="200" w:firstLine="420"/>
        <w:jc w:val="left"/>
        <w:rPr>
          <w:bCs/>
          <w:kern w:val="0"/>
          <w:szCs w:val="21"/>
        </w:rPr>
      </w:pPr>
      <w:r>
        <w:rPr>
          <w:kern w:val="0"/>
          <w:szCs w:val="21"/>
        </w:rPr>
        <w:t>2.</w:t>
      </w:r>
      <w:r>
        <w:rPr>
          <w:kern w:val="0"/>
          <w:szCs w:val="21"/>
        </w:rPr>
        <w:t>实验技能方面：培养学生发现问题、解决问题的能力；引导良好的处理大数据的思维方式。</w:t>
      </w:r>
    </w:p>
    <w:p w14:paraId="738C414C" w14:textId="77777777" w:rsidR="00F5289E" w:rsidRDefault="00C91173">
      <w:pPr>
        <w:widowControl/>
        <w:snapToGrid w:val="0"/>
        <w:spacing w:line="360" w:lineRule="auto"/>
        <w:jc w:val="left"/>
        <w:rPr>
          <w:b/>
          <w:bCs/>
          <w:kern w:val="0"/>
          <w:szCs w:val="21"/>
        </w:rPr>
      </w:pPr>
      <w:r>
        <w:rPr>
          <w:b/>
          <w:bCs/>
          <w:kern w:val="0"/>
          <w:szCs w:val="21"/>
        </w:rPr>
        <w:t>三、课程的教学设计</w:t>
      </w:r>
    </w:p>
    <w:p w14:paraId="66B1FE7D" w14:textId="77777777" w:rsidR="00F5289E" w:rsidRDefault="00C91173">
      <w:pPr>
        <w:spacing w:line="360" w:lineRule="auto"/>
        <w:ind w:firstLineChars="200" w:firstLine="420"/>
        <w:rPr>
          <w:bCs/>
          <w:kern w:val="0"/>
          <w:szCs w:val="21"/>
        </w:rPr>
      </w:pPr>
      <w:r>
        <w:rPr>
          <w:bCs/>
          <w:kern w:val="0"/>
          <w:szCs w:val="21"/>
        </w:rPr>
        <w:t>1.</w:t>
      </w:r>
      <w:r>
        <w:rPr>
          <w:bCs/>
          <w:kern w:val="0"/>
          <w:szCs w:val="21"/>
        </w:rPr>
        <w:t>教学设计说明</w:t>
      </w:r>
    </w:p>
    <w:p w14:paraId="557CE13E" w14:textId="77777777" w:rsidR="00F5289E" w:rsidRDefault="00C91173">
      <w:pPr>
        <w:spacing w:line="360" w:lineRule="auto"/>
        <w:ind w:firstLineChars="200" w:firstLine="420"/>
        <w:rPr>
          <w:bCs/>
          <w:kern w:val="0"/>
          <w:szCs w:val="21"/>
        </w:rPr>
      </w:pPr>
      <w:r>
        <w:rPr>
          <w:bCs/>
          <w:kern w:val="0"/>
          <w:szCs w:val="21"/>
        </w:rPr>
        <w:t>理论课大班授课，以老师讲授的方式授课，学生首先进行课前预习，老师通过课堂提问、互动、案例分析、课题测试等方法，充分调动起学生的积极性，及时了解学生对知识的掌握情况。</w:t>
      </w:r>
    </w:p>
    <w:p w14:paraId="32D9ED94" w14:textId="77777777" w:rsidR="00F5289E" w:rsidRDefault="00C91173">
      <w:pPr>
        <w:spacing w:line="360" w:lineRule="auto"/>
        <w:ind w:firstLineChars="200" w:firstLine="420"/>
        <w:rPr>
          <w:bCs/>
          <w:kern w:val="0"/>
          <w:szCs w:val="21"/>
        </w:rPr>
      </w:pPr>
      <w:r>
        <w:rPr>
          <w:bCs/>
          <w:kern w:val="0"/>
          <w:szCs w:val="21"/>
        </w:rPr>
        <w:t>实验课小班授课，让学生自己操作电脑，进行程序使用和数据分析，将理论课和实验课有机结</w:t>
      </w:r>
      <w:r>
        <w:rPr>
          <w:bCs/>
          <w:kern w:val="0"/>
          <w:szCs w:val="21"/>
        </w:rPr>
        <w:lastRenderedPageBreak/>
        <w:t>合起来，达到最佳的教学效果。教学考核采取多种方式，通过课堂到课率、回答问题、测试、实验操作过程及结果等进行综合考察，使学生更好的掌握所学。</w:t>
      </w:r>
    </w:p>
    <w:p w14:paraId="6D7C0960" w14:textId="77777777" w:rsidR="00F5289E" w:rsidRDefault="00C91173">
      <w:pPr>
        <w:spacing w:line="360" w:lineRule="auto"/>
        <w:ind w:firstLineChars="200" w:firstLine="420"/>
        <w:rPr>
          <w:bCs/>
          <w:color w:val="0000FF"/>
          <w:kern w:val="0"/>
          <w:szCs w:val="21"/>
        </w:rPr>
      </w:pPr>
      <w:r>
        <w:rPr>
          <w:bCs/>
          <w:kern w:val="0"/>
          <w:szCs w:val="21"/>
        </w:rPr>
        <w:t>2.</w:t>
      </w:r>
      <w:r>
        <w:rPr>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55E47DDA"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A809412" w14:textId="77777777" w:rsidR="00F5289E" w:rsidRDefault="00C91173">
            <w:pPr>
              <w:spacing w:line="320" w:lineRule="exact"/>
              <w:jc w:val="center"/>
              <w:rPr>
                <w:b/>
                <w:bCs/>
                <w:sz w:val="18"/>
                <w:szCs w:val="18"/>
              </w:rPr>
            </w:pPr>
            <w:r>
              <w:rPr>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BD5B78" w14:textId="77777777" w:rsidR="00F5289E" w:rsidRDefault="00C91173">
            <w:pPr>
              <w:spacing w:line="320" w:lineRule="exact"/>
              <w:jc w:val="center"/>
              <w:rPr>
                <w:b/>
                <w:bCs/>
                <w:sz w:val="18"/>
                <w:szCs w:val="18"/>
              </w:rPr>
            </w:pPr>
            <w:r>
              <w:rPr>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86AD7C6" w14:textId="77777777" w:rsidR="00F5289E" w:rsidRDefault="00C91173">
            <w:pPr>
              <w:spacing w:line="320" w:lineRule="exact"/>
              <w:jc w:val="center"/>
              <w:rPr>
                <w:b/>
                <w:bCs/>
                <w:sz w:val="18"/>
                <w:szCs w:val="18"/>
              </w:rPr>
            </w:pPr>
            <w:r>
              <w:rPr>
                <w:b/>
                <w:bCs/>
                <w:sz w:val="18"/>
                <w:szCs w:val="18"/>
              </w:rPr>
              <w:t>毕业要求</w:t>
            </w:r>
          </w:p>
        </w:tc>
      </w:tr>
      <w:tr w:rsidR="00F5289E" w14:paraId="1F02C895"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9BCF381" w14:textId="77777777" w:rsidR="00F5289E" w:rsidRDefault="00C91173">
            <w:pPr>
              <w:spacing w:line="320" w:lineRule="exact"/>
              <w:jc w:val="center"/>
              <w:rPr>
                <w:sz w:val="18"/>
                <w:szCs w:val="18"/>
              </w:rPr>
            </w:pPr>
            <w:r>
              <w:rPr>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20D67781" w14:textId="77777777" w:rsidR="00F5289E" w:rsidRDefault="00C91173">
            <w:pPr>
              <w:spacing w:line="320" w:lineRule="exact"/>
              <w:jc w:val="left"/>
              <w:rPr>
                <w:sz w:val="18"/>
                <w:szCs w:val="18"/>
              </w:rPr>
            </w:pPr>
            <w:r>
              <w:rPr>
                <w:sz w:val="18"/>
                <w:szCs w:val="18"/>
              </w:rPr>
              <w:t>通过学习生物相关数据，了解动植物生命活动分子生物学的基本原理，掌握生物信息学的学习方法。</w:t>
            </w:r>
          </w:p>
        </w:tc>
        <w:tc>
          <w:tcPr>
            <w:tcW w:w="1052" w:type="dxa"/>
            <w:tcBorders>
              <w:top w:val="single" w:sz="4" w:space="0" w:color="auto"/>
              <w:left w:val="single" w:sz="4" w:space="0" w:color="auto"/>
              <w:bottom w:val="single" w:sz="4" w:space="0" w:color="auto"/>
              <w:right w:val="single" w:sz="4" w:space="0" w:color="auto"/>
            </w:tcBorders>
            <w:vAlign w:val="center"/>
          </w:tcPr>
          <w:p w14:paraId="5EB348F5" w14:textId="2FB363CC" w:rsidR="00F5289E" w:rsidRDefault="00343C46">
            <w:pPr>
              <w:spacing w:line="320" w:lineRule="exact"/>
              <w:jc w:val="center"/>
              <w:rPr>
                <w:sz w:val="18"/>
                <w:szCs w:val="18"/>
              </w:rPr>
            </w:pPr>
            <w:r>
              <w:rPr>
                <w:rFonts w:hint="eastAsia"/>
                <w:sz w:val="18"/>
                <w:szCs w:val="18"/>
              </w:rPr>
              <w:t>3</w:t>
            </w:r>
          </w:p>
        </w:tc>
      </w:tr>
      <w:tr w:rsidR="00F5289E" w14:paraId="40DCCA8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8D5ACFB" w14:textId="77777777" w:rsidR="00F5289E" w:rsidRDefault="00C91173">
            <w:pPr>
              <w:spacing w:line="320" w:lineRule="exact"/>
              <w:jc w:val="center"/>
              <w:rPr>
                <w:sz w:val="18"/>
                <w:szCs w:val="18"/>
              </w:rPr>
            </w:pPr>
            <w:r>
              <w:rPr>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485A0382" w14:textId="77777777" w:rsidR="00F5289E" w:rsidRDefault="00C91173">
            <w:pPr>
              <w:spacing w:line="320" w:lineRule="exact"/>
              <w:jc w:val="left"/>
              <w:rPr>
                <w:sz w:val="18"/>
                <w:szCs w:val="18"/>
                <w:highlight w:val="yellow"/>
              </w:rPr>
            </w:pPr>
            <w:r>
              <w:rPr>
                <w:sz w:val="18"/>
                <w:szCs w:val="18"/>
              </w:rPr>
              <w:t>通过生信相关软件的学习，培养学生处理大数据的能力和思维方式。</w:t>
            </w:r>
          </w:p>
        </w:tc>
        <w:tc>
          <w:tcPr>
            <w:tcW w:w="1052" w:type="dxa"/>
            <w:tcBorders>
              <w:top w:val="single" w:sz="4" w:space="0" w:color="auto"/>
              <w:left w:val="single" w:sz="4" w:space="0" w:color="auto"/>
              <w:bottom w:val="single" w:sz="4" w:space="0" w:color="auto"/>
              <w:right w:val="single" w:sz="4" w:space="0" w:color="auto"/>
            </w:tcBorders>
            <w:vAlign w:val="center"/>
          </w:tcPr>
          <w:p w14:paraId="40456266" w14:textId="2A7E7055" w:rsidR="00F5289E" w:rsidRDefault="00343C46">
            <w:pPr>
              <w:spacing w:line="320" w:lineRule="exact"/>
              <w:jc w:val="center"/>
              <w:rPr>
                <w:sz w:val="18"/>
                <w:szCs w:val="18"/>
              </w:rPr>
            </w:pPr>
            <w:r>
              <w:rPr>
                <w:rFonts w:hint="eastAsia"/>
                <w:sz w:val="18"/>
                <w:szCs w:val="18"/>
              </w:rPr>
              <w:t>4</w:t>
            </w:r>
          </w:p>
        </w:tc>
      </w:tr>
      <w:tr w:rsidR="00F5289E" w14:paraId="2206A5AF"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1529753" w14:textId="77777777" w:rsidR="00F5289E" w:rsidRDefault="00C91173">
            <w:pPr>
              <w:spacing w:line="320" w:lineRule="exact"/>
              <w:jc w:val="center"/>
              <w:rPr>
                <w:sz w:val="18"/>
                <w:szCs w:val="18"/>
              </w:rPr>
            </w:pPr>
            <w:r>
              <w:rPr>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088435C7" w14:textId="77777777" w:rsidR="00F5289E" w:rsidRDefault="00C91173">
            <w:pPr>
              <w:spacing w:line="320" w:lineRule="exact"/>
              <w:jc w:val="left"/>
              <w:rPr>
                <w:sz w:val="18"/>
                <w:szCs w:val="18"/>
              </w:rPr>
            </w:pPr>
            <w:r>
              <w:rPr>
                <w:sz w:val="18"/>
                <w:szCs w:val="18"/>
              </w:rPr>
              <w:t>通过理论和实验课程学习，激发学生探索生物生命科学问题的兴趣。</w:t>
            </w:r>
          </w:p>
        </w:tc>
        <w:tc>
          <w:tcPr>
            <w:tcW w:w="1052" w:type="dxa"/>
            <w:tcBorders>
              <w:top w:val="single" w:sz="4" w:space="0" w:color="auto"/>
              <w:left w:val="single" w:sz="4" w:space="0" w:color="auto"/>
              <w:bottom w:val="single" w:sz="4" w:space="0" w:color="auto"/>
              <w:right w:val="single" w:sz="4" w:space="0" w:color="auto"/>
            </w:tcBorders>
            <w:vAlign w:val="center"/>
          </w:tcPr>
          <w:p w14:paraId="530FD90D" w14:textId="051E18FC" w:rsidR="00F5289E" w:rsidRDefault="00343C46">
            <w:pPr>
              <w:spacing w:line="320" w:lineRule="exact"/>
              <w:jc w:val="center"/>
              <w:rPr>
                <w:sz w:val="18"/>
                <w:szCs w:val="18"/>
              </w:rPr>
            </w:pPr>
            <w:r>
              <w:rPr>
                <w:rFonts w:hint="eastAsia"/>
                <w:sz w:val="18"/>
                <w:szCs w:val="18"/>
              </w:rPr>
              <w:t>8</w:t>
            </w:r>
          </w:p>
        </w:tc>
      </w:tr>
    </w:tbl>
    <w:p w14:paraId="740EFBDE" w14:textId="77777777" w:rsidR="00F5289E" w:rsidRDefault="00F5289E">
      <w:pPr>
        <w:spacing w:line="360" w:lineRule="auto"/>
        <w:ind w:firstLineChars="200" w:firstLine="420"/>
        <w:rPr>
          <w:bCs/>
          <w:color w:val="0000FF"/>
          <w:kern w:val="0"/>
          <w:szCs w:val="21"/>
        </w:rPr>
      </w:pPr>
    </w:p>
    <w:p w14:paraId="7DE176EB" w14:textId="77777777" w:rsidR="00F5289E" w:rsidRDefault="00C91173">
      <w:pPr>
        <w:widowControl/>
        <w:snapToGrid w:val="0"/>
        <w:spacing w:line="360" w:lineRule="auto"/>
        <w:jc w:val="left"/>
        <w:rPr>
          <w:bCs/>
          <w:color w:val="0000FF"/>
          <w:kern w:val="0"/>
          <w:szCs w:val="21"/>
        </w:rPr>
      </w:pPr>
      <w:r>
        <w:rPr>
          <w:b/>
          <w:bCs/>
          <w:kern w:val="0"/>
          <w:szCs w:val="21"/>
        </w:rPr>
        <w:t>四、理论教学内容及学时分配（</w:t>
      </w:r>
      <w:r>
        <w:rPr>
          <w:b/>
          <w:bCs/>
          <w:kern w:val="0"/>
          <w:szCs w:val="21"/>
        </w:rPr>
        <w:t>20</w:t>
      </w:r>
      <w:r>
        <w:rPr>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14981D7" w14:textId="77777777">
        <w:trPr>
          <w:trHeight w:val="270"/>
        </w:trPr>
        <w:tc>
          <w:tcPr>
            <w:tcW w:w="2965" w:type="dxa"/>
            <w:tcBorders>
              <w:top w:val="nil"/>
              <w:left w:val="nil"/>
              <w:bottom w:val="nil"/>
              <w:right w:val="nil"/>
            </w:tcBorders>
            <w:vAlign w:val="center"/>
          </w:tcPr>
          <w:p w14:paraId="4D9C1E90"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794D6AA0" w14:textId="77777777" w:rsidR="00F5289E" w:rsidRDefault="00C91173">
            <w:pPr>
              <w:widowControl/>
              <w:snapToGrid w:val="0"/>
              <w:spacing w:line="360" w:lineRule="auto"/>
              <w:jc w:val="center"/>
              <w:rPr>
                <w:b/>
                <w:bCs/>
                <w:kern w:val="0"/>
                <w:szCs w:val="21"/>
              </w:rPr>
            </w:pPr>
            <w:r>
              <w:rPr>
                <w:b/>
                <w:bCs/>
                <w:kern w:val="0"/>
                <w:szCs w:val="21"/>
              </w:rPr>
              <w:t>第一章</w:t>
            </w:r>
            <w:r>
              <w:rPr>
                <w:b/>
                <w:bCs/>
                <w:kern w:val="0"/>
                <w:szCs w:val="21"/>
              </w:rPr>
              <w:t xml:space="preserve"> </w:t>
            </w:r>
            <w:r>
              <w:rPr>
                <w:b/>
                <w:bCs/>
                <w:kern w:val="0"/>
                <w:szCs w:val="21"/>
              </w:rPr>
              <w:t>绪论</w:t>
            </w:r>
          </w:p>
        </w:tc>
        <w:tc>
          <w:tcPr>
            <w:tcW w:w="2966" w:type="dxa"/>
            <w:tcBorders>
              <w:top w:val="nil"/>
              <w:left w:val="nil"/>
              <w:bottom w:val="nil"/>
              <w:right w:val="nil"/>
            </w:tcBorders>
            <w:vAlign w:val="center"/>
          </w:tcPr>
          <w:p w14:paraId="2A00870B"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2C0714EF" w14:textId="77777777" w:rsidR="00F5289E" w:rsidRDefault="00C91173">
      <w:pPr>
        <w:widowControl/>
        <w:snapToGrid w:val="0"/>
        <w:spacing w:line="360" w:lineRule="auto"/>
        <w:rPr>
          <w:b/>
          <w:bCs/>
          <w:kern w:val="0"/>
          <w:szCs w:val="21"/>
        </w:rPr>
      </w:pPr>
      <w:r>
        <w:rPr>
          <w:b/>
          <w:bCs/>
        </w:rPr>
        <w:t>教学目标：</w:t>
      </w:r>
      <w:r>
        <w:rPr>
          <w:bCs/>
        </w:rPr>
        <w:t>了解生物信息学的学习内容，学习方法。</w:t>
      </w:r>
    </w:p>
    <w:p w14:paraId="26BAEA2B" w14:textId="77777777" w:rsidR="00F5289E" w:rsidRDefault="00C91173">
      <w:pPr>
        <w:widowControl/>
        <w:snapToGrid w:val="0"/>
        <w:spacing w:line="360" w:lineRule="auto"/>
        <w:rPr>
          <w:b/>
          <w:bCs/>
          <w:kern w:val="0"/>
          <w:szCs w:val="21"/>
        </w:rPr>
      </w:pPr>
      <w:r>
        <w:rPr>
          <w:b/>
          <w:bCs/>
        </w:rPr>
        <w:t>教学重点和难点：</w:t>
      </w:r>
      <w:r>
        <w:rPr>
          <w:bCs/>
        </w:rPr>
        <w:t>生物信息学的研究领域、主要应用和学习方法。</w:t>
      </w:r>
    </w:p>
    <w:p w14:paraId="6BB64930"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p>
    <w:p w14:paraId="4B22A0E9" w14:textId="77777777" w:rsidR="00F5289E" w:rsidRDefault="00C91173">
      <w:pPr>
        <w:pStyle w:val="a7"/>
        <w:snapToGrid w:val="0"/>
        <w:spacing w:line="360" w:lineRule="auto"/>
        <w:rPr>
          <w:rFonts w:ascii="Times New Roman"/>
        </w:rPr>
      </w:pPr>
      <w:r>
        <w:rPr>
          <w:rFonts w:ascii="Times New Roman"/>
        </w:rPr>
        <w:t>了解生物信息学的学习内容，包括生物信息学数据和数据库、序列比对与分析、高通量测序、编程语言初识、基因表达分析、在线工具使用等内容。</w:t>
      </w:r>
    </w:p>
    <w:p w14:paraId="0A83E8D5" w14:textId="77777777" w:rsidR="00F5289E" w:rsidRDefault="00C91173">
      <w:pPr>
        <w:pStyle w:val="a7"/>
        <w:snapToGrid w:val="0"/>
        <w:spacing w:line="360" w:lineRule="auto"/>
        <w:rPr>
          <w:rFonts w:ascii="Times New Roman"/>
        </w:rPr>
      </w:pPr>
      <w:r>
        <w:rPr>
          <w:rFonts w:ascii="Times New Roman"/>
        </w:rPr>
        <w:t>理解生物信息学的研究领域，涉及植物，动物、微生物相关的农业，医学，交叉学科等计算机和生命广泛领域。</w:t>
      </w:r>
    </w:p>
    <w:p w14:paraId="0187F339" w14:textId="77777777" w:rsidR="00F5289E" w:rsidRDefault="00C91173">
      <w:pPr>
        <w:pStyle w:val="a7"/>
        <w:snapToGrid w:val="0"/>
        <w:spacing w:line="360" w:lineRule="auto"/>
        <w:rPr>
          <w:rFonts w:ascii="Times New Roman"/>
        </w:rPr>
      </w:pPr>
      <w:r>
        <w:rPr>
          <w:rFonts w:ascii="Times New Roman"/>
        </w:rPr>
        <w:t>掌握生物信息学的发展史，从第一份生物数据产生开始，生物信息学就诞生了，受益于计算机科学的不断发展，生物信息学也进入了快速发展的黄金阶段。</w:t>
      </w:r>
    </w:p>
    <w:p w14:paraId="578A7BE4" w14:textId="77777777" w:rsidR="00F5289E" w:rsidRDefault="00C91173">
      <w:pPr>
        <w:pStyle w:val="a7"/>
        <w:snapToGrid w:val="0"/>
        <w:spacing w:line="360" w:lineRule="auto"/>
        <w:rPr>
          <w:rFonts w:ascii="Times New Roman"/>
        </w:rPr>
      </w:pPr>
      <w:r>
        <w:rPr>
          <w:rFonts w:ascii="Times New Roman"/>
        </w:rPr>
        <w:t>熟练掌握生物信息学的各类学习方法，初步认识常见编程语言、生物信息学常用软件。</w:t>
      </w:r>
      <w:r>
        <w:rPr>
          <w:rFonts w:ascii="Times New Roman"/>
        </w:rPr>
        <w:t xml:space="preserve"> </w:t>
      </w:r>
    </w:p>
    <w:p w14:paraId="76BFBDC8" w14:textId="77777777" w:rsidR="00F5289E" w:rsidRDefault="00C91173">
      <w:pPr>
        <w:widowControl/>
        <w:snapToGrid w:val="0"/>
        <w:spacing w:line="360" w:lineRule="auto"/>
        <w:ind w:firstLineChars="200" w:firstLine="422"/>
        <w:rPr>
          <w:kern w:val="0"/>
          <w:szCs w:val="21"/>
        </w:rPr>
      </w:pPr>
      <w:r>
        <w:rPr>
          <w:b/>
          <w:bCs/>
        </w:rPr>
        <w:t>教学组织与实施：</w:t>
      </w:r>
      <w:r>
        <w:rPr>
          <w:szCs w:val="20"/>
        </w:rPr>
        <w:t>在多媒体教室进行</w:t>
      </w:r>
      <w:r>
        <w:rPr>
          <w:szCs w:val="20"/>
        </w:rPr>
        <w:t>PPT</w:t>
      </w:r>
      <w:r>
        <w:rPr>
          <w:szCs w:val="20"/>
        </w:rPr>
        <w:t>授课，课中让同学自由讨论对生物信息学的认识和生物学的作用，播放人类基因组计划的新闻视频激发学生探索生命奥秘的兴趣。</w:t>
      </w:r>
      <w:r>
        <w:rPr>
          <w:kern w:val="0"/>
          <w:szCs w:val="21"/>
        </w:rPr>
        <w:t>生物信息学不仅为学生提供必要的基础理论知识的同时，重点培养学生利用专业技能分析解决问题的能力，为学生从事与生物学相关专业技术工作、科学研究工作等打下坚实的基础，培养学生认真严谨的工作作风。</w:t>
      </w:r>
    </w:p>
    <w:p w14:paraId="34E092CD" w14:textId="77777777" w:rsidR="00F5289E" w:rsidRDefault="00F5289E">
      <w:pPr>
        <w:widowControl/>
        <w:snapToGrid w:val="0"/>
        <w:spacing w:line="360" w:lineRule="auto"/>
        <w:ind w:firstLineChars="200" w:firstLine="420"/>
        <w:jc w:val="left"/>
        <w:rPr>
          <w:color w:val="0000FF"/>
          <w:kern w:val="0"/>
          <w:szCs w:val="21"/>
        </w:rPr>
      </w:pP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48A77E8B" w14:textId="77777777">
        <w:trPr>
          <w:trHeight w:val="270"/>
        </w:trPr>
        <w:tc>
          <w:tcPr>
            <w:tcW w:w="2965" w:type="dxa"/>
            <w:tcBorders>
              <w:top w:val="nil"/>
              <w:left w:val="nil"/>
              <w:bottom w:val="nil"/>
              <w:right w:val="nil"/>
            </w:tcBorders>
            <w:vAlign w:val="center"/>
          </w:tcPr>
          <w:p w14:paraId="266C80BD"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2B93AA54" w14:textId="77777777" w:rsidR="00F5289E" w:rsidRDefault="00C91173">
            <w:pPr>
              <w:widowControl/>
              <w:snapToGrid w:val="0"/>
              <w:spacing w:line="360" w:lineRule="auto"/>
              <w:jc w:val="center"/>
              <w:rPr>
                <w:b/>
                <w:bCs/>
                <w:kern w:val="0"/>
                <w:szCs w:val="21"/>
              </w:rPr>
            </w:pPr>
            <w:r>
              <w:rPr>
                <w:b/>
                <w:bCs/>
                <w:kern w:val="0"/>
                <w:szCs w:val="21"/>
              </w:rPr>
              <w:t>第二章</w:t>
            </w:r>
            <w:r>
              <w:rPr>
                <w:b/>
                <w:bCs/>
                <w:kern w:val="0"/>
                <w:szCs w:val="21"/>
              </w:rPr>
              <w:t xml:space="preserve">  </w:t>
            </w:r>
            <w:bookmarkStart w:id="129" w:name="_Hlk137929618"/>
            <w:r>
              <w:rPr>
                <w:b/>
                <w:bCs/>
                <w:szCs w:val="21"/>
              </w:rPr>
              <w:t>生物信息学常用数据库</w:t>
            </w:r>
            <w:bookmarkEnd w:id="129"/>
          </w:p>
        </w:tc>
        <w:tc>
          <w:tcPr>
            <w:tcW w:w="2966" w:type="dxa"/>
            <w:tcBorders>
              <w:top w:val="nil"/>
              <w:left w:val="nil"/>
              <w:bottom w:val="nil"/>
              <w:right w:val="nil"/>
            </w:tcBorders>
            <w:vAlign w:val="center"/>
          </w:tcPr>
          <w:p w14:paraId="5AFA1FEC"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5CAE8438" w14:textId="77777777" w:rsidR="00F5289E" w:rsidRDefault="00C91173">
      <w:pPr>
        <w:snapToGrid w:val="0"/>
        <w:spacing w:line="360" w:lineRule="auto"/>
        <w:rPr>
          <w:b/>
          <w:bCs/>
        </w:rPr>
      </w:pPr>
      <w:r>
        <w:rPr>
          <w:b/>
          <w:bCs/>
        </w:rPr>
        <w:t>第一节</w:t>
      </w:r>
      <w:r>
        <w:rPr>
          <w:b/>
          <w:bCs/>
        </w:rPr>
        <w:t xml:space="preserve">  </w:t>
      </w:r>
      <w:r>
        <w:rPr>
          <w:b/>
          <w:bCs/>
        </w:rPr>
        <w:t>常用数据库简介（</w:t>
      </w:r>
      <w:r>
        <w:rPr>
          <w:b/>
          <w:bCs/>
        </w:rPr>
        <w:t>1</w:t>
      </w:r>
      <w:r>
        <w:rPr>
          <w:b/>
          <w:bCs/>
        </w:rPr>
        <w:t>学时）</w:t>
      </w:r>
    </w:p>
    <w:p w14:paraId="2E133D80" w14:textId="77777777" w:rsidR="00F5289E" w:rsidRDefault="00C91173">
      <w:pPr>
        <w:widowControl/>
        <w:snapToGrid w:val="0"/>
        <w:spacing w:line="360" w:lineRule="auto"/>
        <w:rPr>
          <w:b/>
          <w:bCs/>
          <w:kern w:val="0"/>
          <w:szCs w:val="21"/>
        </w:rPr>
      </w:pPr>
      <w:r>
        <w:rPr>
          <w:b/>
          <w:bCs/>
        </w:rPr>
        <w:t>教学目标：</w:t>
      </w:r>
      <w:bookmarkStart w:id="130" w:name="_Hlk137977365"/>
      <w:r>
        <w:rPr>
          <w:kern w:val="0"/>
          <w:szCs w:val="21"/>
        </w:rPr>
        <w:t>了解生物信息学常用数据库的种类及其功能</w:t>
      </w:r>
      <w:bookmarkEnd w:id="130"/>
      <w:r>
        <w:rPr>
          <w:kern w:val="0"/>
          <w:szCs w:val="21"/>
        </w:rPr>
        <w:t>。</w:t>
      </w:r>
    </w:p>
    <w:p w14:paraId="332B1338" w14:textId="77777777" w:rsidR="00F5289E" w:rsidRDefault="00C91173">
      <w:pPr>
        <w:widowControl/>
        <w:snapToGrid w:val="0"/>
        <w:spacing w:line="360" w:lineRule="auto"/>
        <w:rPr>
          <w:b/>
          <w:bCs/>
          <w:kern w:val="0"/>
          <w:szCs w:val="21"/>
        </w:rPr>
      </w:pPr>
      <w:r>
        <w:rPr>
          <w:b/>
          <w:bCs/>
        </w:rPr>
        <w:lastRenderedPageBreak/>
        <w:t>教学重点和难点：</w:t>
      </w:r>
      <w:bookmarkStart w:id="131" w:name="_Hlk137977374"/>
      <w:r>
        <w:t>生物信息学</w:t>
      </w:r>
      <w:r>
        <w:rPr>
          <w:kern w:val="0"/>
          <w:szCs w:val="21"/>
        </w:rPr>
        <w:t>常用数据库的</w:t>
      </w:r>
      <w:r>
        <w:t>主要功能和应用场景</w:t>
      </w:r>
      <w:bookmarkEnd w:id="131"/>
      <w:r>
        <w:t>。</w:t>
      </w:r>
    </w:p>
    <w:p w14:paraId="168D1C45"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r>
        <w:rPr>
          <w:rFonts w:ascii="Times New Roman"/>
          <w:bCs/>
        </w:rPr>
        <w:t>了解</w:t>
      </w:r>
      <w:bookmarkStart w:id="132" w:name="_Hlk137977292"/>
      <w:r>
        <w:rPr>
          <w:rFonts w:ascii="Times New Roman"/>
          <w:bCs/>
        </w:rPr>
        <w:t>生物信息学常用数据库的种类</w:t>
      </w:r>
      <w:bookmarkEnd w:id="132"/>
      <w:r>
        <w:rPr>
          <w:rFonts w:ascii="Times New Roman"/>
          <w:bCs/>
        </w:rPr>
        <w:t>；理解</w:t>
      </w:r>
      <w:bookmarkStart w:id="133" w:name="_Hlk137977306"/>
      <w:r>
        <w:rPr>
          <w:rFonts w:ascii="Times New Roman"/>
          <w:bCs/>
        </w:rPr>
        <w:t>数据库的使用场景及其解决问题的方法</w:t>
      </w:r>
      <w:bookmarkEnd w:id="133"/>
      <w:r>
        <w:rPr>
          <w:rFonts w:ascii="Times New Roman"/>
          <w:bCs/>
        </w:rPr>
        <w:t>；掌握</w:t>
      </w:r>
      <w:bookmarkStart w:id="134" w:name="_Hlk137977317"/>
      <w:r>
        <w:rPr>
          <w:rFonts w:ascii="Times New Roman"/>
          <w:kern w:val="0"/>
          <w:szCs w:val="21"/>
        </w:rPr>
        <w:t>生物信息学常用数据库的应用场景和主要功能</w:t>
      </w:r>
      <w:bookmarkEnd w:id="134"/>
      <w:r>
        <w:rPr>
          <w:rFonts w:ascii="Times New Roman"/>
          <w:kern w:val="0"/>
          <w:szCs w:val="21"/>
        </w:rPr>
        <w:t>。</w:t>
      </w:r>
    </w:p>
    <w:p w14:paraId="3E823D23" w14:textId="77777777" w:rsidR="00F5289E" w:rsidRDefault="00C91173">
      <w:pPr>
        <w:widowControl/>
        <w:snapToGrid w:val="0"/>
        <w:spacing w:line="360" w:lineRule="auto"/>
        <w:rPr>
          <w:b/>
          <w:bCs/>
        </w:rPr>
      </w:pPr>
      <w:r>
        <w:rPr>
          <w:b/>
          <w:bCs/>
        </w:rPr>
        <w:t>教学组织与实施：</w:t>
      </w:r>
      <w:r>
        <w:t>在多媒体教室进行</w:t>
      </w:r>
      <w:r>
        <w:t>PPT</w:t>
      </w:r>
      <w:r>
        <w:t>授课，课中让同学自由讨论</w:t>
      </w:r>
      <w:r>
        <w:rPr>
          <w:kern w:val="0"/>
          <w:szCs w:val="21"/>
        </w:rPr>
        <w:t>生物信息学常用数据库</w:t>
      </w:r>
      <w:r>
        <w:t>对生物学研究的作用。播放与本课程内容相关的视频，并与同学们分享本课程相关的最新科研进展。</w:t>
      </w:r>
    </w:p>
    <w:p w14:paraId="257038CA" w14:textId="77777777" w:rsidR="00F5289E" w:rsidRDefault="00C91173">
      <w:pPr>
        <w:snapToGrid w:val="0"/>
        <w:spacing w:line="360" w:lineRule="auto"/>
        <w:rPr>
          <w:b/>
          <w:bCs/>
        </w:rPr>
      </w:pPr>
      <w:r>
        <w:rPr>
          <w:b/>
          <w:bCs/>
        </w:rPr>
        <w:t>第二节</w:t>
      </w:r>
      <w:r>
        <w:rPr>
          <w:b/>
          <w:bCs/>
        </w:rPr>
        <w:t xml:space="preserve">  </w:t>
      </w:r>
      <w:r>
        <w:rPr>
          <w:b/>
          <w:bCs/>
        </w:rPr>
        <w:t>数据库的选择和使用（</w:t>
      </w:r>
      <w:r>
        <w:rPr>
          <w:b/>
          <w:bCs/>
        </w:rPr>
        <w:t>1</w:t>
      </w:r>
      <w:r>
        <w:rPr>
          <w:b/>
          <w:bCs/>
        </w:rPr>
        <w:t>学时）</w:t>
      </w:r>
    </w:p>
    <w:p w14:paraId="5D3F6563" w14:textId="77777777" w:rsidR="00F5289E" w:rsidRDefault="00C91173">
      <w:pPr>
        <w:widowControl/>
        <w:snapToGrid w:val="0"/>
        <w:spacing w:line="360" w:lineRule="auto"/>
        <w:rPr>
          <w:b/>
          <w:bCs/>
          <w:kern w:val="0"/>
          <w:szCs w:val="21"/>
        </w:rPr>
      </w:pPr>
      <w:r>
        <w:rPr>
          <w:b/>
          <w:bCs/>
        </w:rPr>
        <w:t>教学目标：</w:t>
      </w:r>
      <w:r>
        <w:rPr>
          <w:kern w:val="0"/>
          <w:szCs w:val="21"/>
        </w:rPr>
        <w:t>掌握如何正确选择和操作使用生物信息学数据库。</w:t>
      </w:r>
    </w:p>
    <w:p w14:paraId="64217628" w14:textId="77777777" w:rsidR="00F5289E" w:rsidRDefault="00C91173">
      <w:pPr>
        <w:widowControl/>
        <w:snapToGrid w:val="0"/>
        <w:spacing w:line="360" w:lineRule="auto"/>
        <w:rPr>
          <w:b/>
          <w:bCs/>
          <w:kern w:val="0"/>
          <w:szCs w:val="21"/>
        </w:rPr>
      </w:pPr>
      <w:r>
        <w:rPr>
          <w:b/>
          <w:bCs/>
        </w:rPr>
        <w:t>教学重点和难点：</w:t>
      </w:r>
      <w:r>
        <w:t>生物信息学</w:t>
      </w:r>
      <w:r>
        <w:rPr>
          <w:kern w:val="0"/>
          <w:szCs w:val="21"/>
        </w:rPr>
        <w:t>常用数据库的选用和操作步骤</w:t>
      </w:r>
      <w:r>
        <w:t>。</w:t>
      </w:r>
    </w:p>
    <w:p w14:paraId="72BECBA6"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bCs/>
        </w:rPr>
        <w:t>了解生物信息学常用数据库的分类、功能及其布局；掌握</w:t>
      </w:r>
      <w:r>
        <w:rPr>
          <w:rFonts w:ascii="Times New Roman"/>
          <w:kern w:val="0"/>
          <w:szCs w:val="21"/>
        </w:rPr>
        <w:t>生物信息学常用数据库的选用；熟练掌握生物信息学常用数据库的操作。</w:t>
      </w:r>
    </w:p>
    <w:p w14:paraId="1C978775" w14:textId="77777777" w:rsidR="00F5289E" w:rsidRDefault="00C91173">
      <w:pPr>
        <w:widowControl/>
        <w:snapToGrid w:val="0"/>
        <w:spacing w:line="360" w:lineRule="auto"/>
        <w:rPr>
          <w:b/>
          <w:bCs/>
        </w:rPr>
      </w:pPr>
      <w:r>
        <w:rPr>
          <w:b/>
          <w:bCs/>
        </w:rPr>
        <w:t>教学组织与实施：</w:t>
      </w:r>
      <w:r>
        <w:t>在多媒体教室进行</w:t>
      </w:r>
      <w:r>
        <w:t>PPT</w:t>
      </w:r>
      <w:r>
        <w:t>授课，课中让同学们分组讨论，通过选择和使用相应的数据库解决某一具体生物学问题。播放与本课程内容相关的视频，并与同学们分享本课程相关的最新科研进展。</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17B289C" w14:textId="77777777">
        <w:trPr>
          <w:trHeight w:val="270"/>
        </w:trPr>
        <w:tc>
          <w:tcPr>
            <w:tcW w:w="2965" w:type="dxa"/>
            <w:tcBorders>
              <w:top w:val="nil"/>
              <w:left w:val="nil"/>
              <w:bottom w:val="nil"/>
              <w:right w:val="nil"/>
            </w:tcBorders>
            <w:vAlign w:val="center"/>
          </w:tcPr>
          <w:p w14:paraId="7C34598F"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7F5CBCC7" w14:textId="77777777" w:rsidR="00F5289E" w:rsidRDefault="00C91173">
            <w:pPr>
              <w:widowControl/>
              <w:snapToGrid w:val="0"/>
              <w:spacing w:line="360" w:lineRule="auto"/>
              <w:jc w:val="center"/>
              <w:rPr>
                <w:b/>
                <w:bCs/>
                <w:kern w:val="0"/>
                <w:szCs w:val="21"/>
              </w:rPr>
            </w:pPr>
            <w:r>
              <w:rPr>
                <w:b/>
                <w:bCs/>
                <w:kern w:val="0"/>
                <w:szCs w:val="21"/>
              </w:rPr>
              <w:t>第三章</w:t>
            </w:r>
            <w:r>
              <w:rPr>
                <w:b/>
                <w:bCs/>
                <w:kern w:val="0"/>
                <w:szCs w:val="21"/>
              </w:rPr>
              <w:t xml:space="preserve">  </w:t>
            </w:r>
            <w:r>
              <w:rPr>
                <w:b/>
                <w:bCs/>
                <w:kern w:val="0"/>
                <w:szCs w:val="21"/>
              </w:rPr>
              <w:t>序列比对与分析</w:t>
            </w:r>
          </w:p>
        </w:tc>
        <w:tc>
          <w:tcPr>
            <w:tcW w:w="2966" w:type="dxa"/>
            <w:tcBorders>
              <w:top w:val="nil"/>
              <w:left w:val="nil"/>
              <w:bottom w:val="nil"/>
              <w:right w:val="nil"/>
            </w:tcBorders>
            <w:vAlign w:val="center"/>
          </w:tcPr>
          <w:p w14:paraId="23C32BFC"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3CD195C7" w14:textId="77777777" w:rsidR="00F5289E" w:rsidRDefault="00C91173">
      <w:pPr>
        <w:snapToGrid w:val="0"/>
        <w:spacing w:line="360" w:lineRule="auto"/>
        <w:rPr>
          <w:b/>
          <w:bCs/>
        </w:rPr>
      </w:pPr>
      <w:r>
        <w:rPr>
          <w:b/>
          <w:bCs/>
        </w:rPr>
        <w:t>第一节</w:t>
      </w:r>
      <w:r>
        <w:rPr>
          <w:b/>
          <w:bCs/>
        </w:rPr>
        <w:t xml:space="preserve">  </w:t>
      </w:r>
      <w:r>
        <w:rPr>
          <w:b/>
          <w:bCs/>
        </w:rPr>
        <w:t>两条序列联配及其算法（</w:t>
      </w:r>
      <w:r>
        <w:rPr>
          <w:b/>
          <w:bCs/>
        </w:rPr>
        <w:t>1</w:t>
      </w:r>
      <w:r>
        <w:rPr>
          <w:b/>
          <w:bCs/>
        </w:rPr>
        <w:t>学时）</w:t>
      </w:r>
    </w:p>
    <w:p w14:paraId="4F6BDA78" w14:textId="77777777" w:rsidR="00F5289E" w:rsidRDefault="00C91173">
      <w:pPr>
        <w:widowControl/>
        <w:snapToGrid w:val="0"/>
        <w:spacing w:line="360" w:lineRule="auto"/>
        <w:rPr>
          <w:b/>
          <w:bCs/>
          <w:kern w:val="0"/>
          <w:szCs w:val="21"/>
        </w:rPr>
      </w:pPr>
      <w:r>
        <w:rPr>
          <w:b/>
          <w:bCs/>
        </w:rPr>
        <w:t>教学目标：</w:t>
      </w:r>
      <w:r>
        <w:rPr>
          <w:bCs/>
        </w:rPr>
        <w:t>了解两条序列联配目的，掌握相关软件的使用。</w:t>
      </w:r>
    </w:p>
    <w:p w14:paraId="77A90C00" w14:textId="77777777" w:rsidR="00F5289E" w:rsidRDefault="00C91173">
      <w:pPr>
        <w:widowControl/>
        <w:snapToGrid w:val="0"/>
        <w:spacing w:line="360" w:lineRule="auto"/>
        <w:rPr>
          <w:b/>
          <w:bCs/>
          <w:kern w:val="0"/>
          <w:szCs w:val="21"/>
        </w:rPr>
      </w:pPr>
      <w:r>
        <w:rPr>
          <w:b/>
          <w:bCs/>
        </w:rPr>
        <w:t>教学重点和难点：</w:t>
      </w:r>
      <w:r>
        <w:rPr>
          <w:kern w:val="0"/>
          <w:szCs w:val="21"/>
        </w:rPr>
        <w:t>计分矩阵，全局和局部联配算法；</w:t>
      </w:r>
      <w:r>
        <w:rPr>
          <w:kern w:val="0"/>
          <w:szCs w:val="21"/>
        </w:rPr>
        <w:t>BLAST</w:t>
      </w:r>
      <w:r>
        <w:rPr>
          <w:kern w:val="0"/>
          <w:szCs w:val="21"/>
        </w:rPr>
        <w:t>序列比对的基本原理</w:t>
      </w:r>
      <w:r>
        <w:rPr>
          <w:b/>
          <w:bCs/>
          <w:kern w:val="0"/>
          <w:szCs w:val="21"/>
        </w:rPr>
        <w:t xml:space="preserve"> </w:t>
      </w:r>
    </w:p>
    <w:p w14:paraId="2B3E571C"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11A0916F" w14:textId="77777777" w:rsidR="00F5289E" w:rsidRDefault="00C91173">
      <w:pPr>
        <w:pStyle w:val="a7"/>
        <w:snapToGrid w:val="0"/>
        <w:spacing w:line="360" w:lineRule="auto"/>
        <w:rPr>
          <w:rFonts w:ascii="Times New Roman"/>
        </w:rPr>
      </w:pPr>
      <w:r>
        <w:rPr>
          <w:rFonts w:ascii="Times New Roman"/>
        </w:rPr>
        <w:t>了解两条序列比对的目的，</w:t>
      </w:r>
      <w:r>
        <w:rPr>
          <w:rFonts w:ascii="Times New Roman"/>
        </w:rPr>
        <w:t>Needleman-Wunsch</w:t>
      </w:r>
      <w:r>
        <w:rPr>
          <w:rFonts w:ascii="Times New Roman"/>
        </w:rPr>
        <w:t>、</w:t>
      </w:r>
      <w:r>
        <w:rPr>
          <w:rFonts w:ascii="Times New Roman"/>
        </w:rPr>
        <w:t>Smith-Waterman</w:t>
      </w:r>
      <w:r>
        <w:rPr>
          <w:rFonts w:ascii="Times New Roman"/>
        </w:rPr>
        <w:t>和</w:t>
      </w:r>
      <w:r>
        <w:rPr>
          <w:rFonts w:ascii="Times New Roman"/>
        </w:rPr>
        <w:t>BLAST</w:t>
      </w:r>
      <w:r>
        <w:rPr>
          <w:rFonts w:ascii="Times New Roman"/>
        </w:rPr>
        <w:t>算法。</w:t>
      </w:r>
    </w:p>
    <w:p w14:paraId="57F81502" w14:textId="77777777" w:rsidR="00F5289E" w:rsidRDefault="00C91173">
      <w:pPr>
        <w:pStyle w:val="a7"/>
        <w:snapToGrid w:val="0"/>
        <w:spacing w:line="360" w:lineRule="auto"/>
        <w:rPr>
          <w:rFonts w:ascii="Times New Roman"/>
        </w:rPr>
      </w:pPr>
      <w:r>
        <w:rPr>
          <w:rFonts w:ascii="Times New Roman"/>
        </w:rPr>
        <w:t>理解</w:t>
      </w:r>
      <w:r>
        <w:rPr>
          <w:rFonts w:ascii="Times New Roman"/>
        </w:rPr>
        <w:t>DNA</w:t>
      </w:r>
      <w:r>
        <w:rPr>
          <w:rFonts w:ascii="Times New Roman"/>
        </w:rPr>
        <w:t>和蛋白质序列的区别，两条序列比对基本原理。</w:t>
      </w:r>
    </w:p>
    <w:p w14:paraId="634AC4B7" w14:textId="77777777" w:rsidR="00F5289E" w:rsidRDefault="00C91173">
      <w:pPr>
        <w:pStyle w:val="a7"/>
        <w:snapToGrid w:val="0"/>
        <w:spacing w:line="360" w:lineRule="auto"/>
        <w:rPr>
          <w:rFonts w:ascii="Times New Roman"/>
        </w:rPr>
      </w:pPr>
      <w:r>
        <w:rPr>
          <w:rFonts w:ascii="Times New Roman"/>
        </w:rPr>
        <w:t>掌握</w:t>
      </w:r>
      <w:r>
        <w:rPr>
          <w:rFonts w:ascii="Times New Roman"/>
        </w:rPr>
        <w:t>BLAST</w:t>
      </w:r>
      <w:r>
        <w:rPr>
          <w:rFonts w:ascii="Times New Roman"/>
        </w:rPr>
        <w:t>软件的使用</w:t>
      </w:r>
    </w:p>
    <w:p w14:paraId="46699C43" w14:textId="77777777" w:rsidR="00F5289E" w:rsidRDefault="00C91173">
      <w:pPr>
        <w:widowControl/>
        <w:snapToGrid w:val="0"/>
        <w:spacing w:line="360" w:lineRule="auto"/>
        <w:rPr>
          <w:szCs w:val="20"/>
        </w:rPr>
      </w:pPr>
      <w:r>
        <w:rPr>
          <w:b/>
          <w:bCs/>
        </w:rPr>
        <w:t>教学组织与实施：</w:t>
      </w:r>
      <w:r>
        <w:rPr>
          <w:szCs w:val="20"/>
        </w:rPr>
        <w:t>利用讲授法、演示法、练习法完成本章节内容授课。同时为同学普及课外知识，来自德国慕尼黑大学的研究人员发表了题为</w:t>
      </w:r>
      <w:r>
        <w:rPr>
          <w:szCs w:val="20"/>
        </w:rPr>
        <w:t>“</w:t>
      </w:r>
      <w:proofErr w:type="spellStart"/>
      <w:r>
        <w:rPr>
          <w:szCs w:val="20"/>
        </w:rPr>
        <w:t>HHblits</w:t>
      </w:r>
      <w:proofErr w:type="spellEnd"/>
      <w:r>
        <w:rPr>
          <w:szCs w:val="20"/>
        </w:rPr>
        <w:t>: lightning-fast iterative protein sequence searching by HMM-HMM alignment”</w:t>
      </w:r>
      <w:r>
        <w:rPr>
          <w:szCs w:val="20"/>
        </w:rPr>
        <w:t>的文章，介绍一种能提高蛋白序列比对分析的新工具：</w:t>
      </w:r>
      <w:proofErr w:type="spellStart"/>
      <w:r>
        <w:rPr>
          <w:szCs w:val="20"/>
        </w:rPr>
        <w:t>HHblits</w:t>
      </w:r>
      <w:proofErr w:type="spellEnd"/>
      <w:r>
        <w:rPr>
          <w:szCs w:val="20"/>
        </w:rPr>
        <w:t>，这是一种能极大增加蛋白功能性分析技术的软件，能通过新颖的序列寻找方法，更快更准确的识别数据库中具有相似序列的蛋白，比现有的方法能快</w:t>
      </w:r>
      <w:r>
        <w:rPr>
          <w:szCs w:val="20"/>
        </w:rPr>
        <w:t>2500</w:t>
      </w:r>
      <w:r>
        <w:rPr>
          <w:szCs w:val="20"/>
        </w:rPr>
        <w:t>倍！相关成果公布在《自然</w:t>
      </w:r>
      <w:r>
        <w:rPr>
          <w:szCs w:val="20"/>
        </w:rPr>
        <w:t>—</w:t>
      </w:r>
      <w:r>
        <w:rPr>
          <w:szCs w:val="20"/>
        </w:rPr>
        <w:t>方法学》（</w:t>
      </w:r>
      <w:r>
        <w:rPr>
          <w:szCs w:val="20"/>
        </w:rPr>
        <w:t>Nature Methods</w:t>
      </w:r>
      <w:r>
        <w:rPr>
          <w:szCs w:val="20"/>
        </w:rPr>
        <w:t>）杂志上。时代变迁，站在巨人的肩膀上，开发更快速、符合当前科研环境的软件算法至关重要。</w:t>
      </w:r>
    </w:p>
    <w:p w14:paraId="5C9C92E0" w14:textId="77777777" w:rsidR="00F5289E" w:rsidRDefault="00C91173">
      <w:pPr>
        <w:widowControl/>
        <w:snapToGrid w:val="0"/>
        <w:spacing w:line="360" w:lineRule="auto"/>
        <w:jc w:val="left"/>
        <w:rPr>
          <w:b/>
          <w:kern w:val="0"/>
          <w:szCs w:val="21"/>
        </w:rPr>
      </w:pPr>
      <w:r>
        <w:rPr>
          <w:b/>
          <w:kern w:val="0"/>
          <w:szCs w:val="21"/>
        </w:rPr>
        <w:t>第二节</w:t>
      </w:r>
      <w:r>
        <w:rPr>
          <w:b/>
          <w:kern w:val="0"/>
          <w:szCs w:val="21"/>
        </w:rPr>
        <w:t xml:space="preserve">  </w:t>
      </w:r>
      <w:r>
        <w:rPr>
          <w:b/>
          <w:bCs/>
          <w:kern w:val="0"/>
          <w:szCs w:val="21"/>
        </w:rPr>
        <w:t>多序列联配及功能域分析</w:t>
      </w:r>
      <w:r>
        <w:rPr>
          <w:b/>
          <w:kern w:val="0"/>
          <w:szCs w:val="21"/>
        </w:rPr>
        <w:t>     1</w:t>
      </w:r>
      <w:r>
        <w:rPr>
          <w:b/>
          <w:kern w:val="0"/>
          <w:szCs w:val="21"/>
        </w:rPr>
        <w:t>学时</w:t>
      </w:r>
    </w:p>
    <w:p w14:paraId="7DBB81B9" w14:textId="77777777" w:rsidR="00F5289E" w:rsidRDefault="00C91173">
      <w:pPr>
        <w:widowControl/>
        <w:snapToGrid w:val="0"/>
        <w:spacing w:line="360" w:lineRule="auto"/>
        <w:rPr>
          <w:b/>
          <w:bCs/>
          <w:kern w:val="0"/>
          <w:szCs w:val="21"/>
        </w:rPr>
      </w:pPr>
      <w:r>
        <w:rPr>
          <w:b/>
          <w:bCs/>
        </w:rPr>
        <w:t>教学目标：</w:t>
      </w:r>
      <w:r>
        <w:rPr>
          <w:bCs/>
        </w:rPr>
        <w:t>了解多序列联配目的，掌握相关软件的使用。</w:t>
      </w:r>
    </w:p>
    <w:p w14:paraId="1D6C9B0F" w14:textId="77777777" w:rsidR="00F5289E" w:rsidRDefault="00C91173">
      <w:pPr>
        <w:widowControl/>
        <w:snapToGrid w:val="0"/>
        <w:spacing w:line="360" w:lineRule="auto"/>
        <w:rPr>
          <w:b/>
          <w:bCs/>
          <w:kern w:val="0"/>
          <w:szCs w:val="21"/>
        </w:rPr>
      </w:pPr>
      <w:r>
        <w:rPr>
          <w:b/>
          <w:bCs/>
        </w:rPr>
        <w:t>教学重点和难点：</w:t>
      </w:r>
      <w:r>
        <w:rPr>
          <w:kern w:val="0"/>
          <w:szCs w:val="21"/>
        </w:rPr>
        <w:t xml:space="preserve"> DNA</w:t>
      </w:r>
      <w:r>
        <w:rPr>
          <w:kern w:val="0"/>
          <w:szCs w:val="21"/>
        </w:rPr>
        <w:t>多序列比对、蛋白质序列保守功能域</w:t>
      </w:r>
    </w:p>
    <w:p w14:paraId="6A8543DF"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1589AF69" w14:textId="77777777" w:rsidR="00F5289E" w:rsidRDefault="00C91173">
      <w:pPr>
        <w:pStyle w:val="a7"/>
        <w:snapToGrid w:val="0"/>
        <w:spacing w:line="360" w:lineRule="auto"/>
        <w:rPr>
          <w:rFonts w:ascii="Times New Roman"/>
        </w:rPr>
      </w:pPr>
      <w:r>
        <w:rPr>
          <w:rFonts w:ascii="Times New Roman"/>
        </w:rPr>
        <w:t>了解多序列比对的目的，多序列比对算法。</w:t>
      </w:r>
    </w:p>
    <w:p w14:paraId="5E1B0A1D" w14:textId="77777777" w:rsidR="00F5289E" w:rsidRDefault="00C91173">
      <w:pPr>
        <w:pStyle w:val="a7"/>
        <w:snapToGrid w:val="0"/>
        <w:spacing w:line="360" w:lineRule="auto"/>
        <w:rPr>
          <w:rFonts w:ascii="Times New Roman"/>
        </w:rPr>
      </w:pPr>
      <w:r>
        <w:rPr>
          <w:rFonts w:ascii="Times New Roman"/>
        </w:rPr>
        <w:t>理解</w:t>
      </w:r>
      <w:r>
        <w:rPr>
          <w:rFonts w:ascii="Times New Roman"/>
        </w:rPr>
        <w:t>DNA</w:t>
      </w:r>
      <w:r>
        <w:rPr>
          <w:rFonts w:ascii="Times New Roman"/>
        </w:rPr>
        <w:t>和蛋白质序列的区别，序列比对的基本原理。</w:t>
      </w:r>
    </w:p>
    <w:p w14:paraId="4E5FD280" w14:textId="77777777" w:rsidR="00F5289E" w:rsidRDefault="00C91173">
      <w:pPr>
        <w:pStyle w:val="a7"/>
        <w:snapToGrid w:val="0"/>
        <w:spacing w:line="360" w:lineRule="auto"/>
        <w:rPr>
          <w:rFonts w:ascii="Times New Roman"/>
        </w:rPr>
      </w:pPr>
      <w:r>
        <w:rPr>
          <w:rFonts w:ascii="Times New Roman"/>
        </w:rPr>
        <w:lastRenderedPageBreak/>
        <w:t>掌握</w:t>
      </w:r>
      <w:r>
        <w:rPr>
          <w:rFonts w:ascii="Times New Roman"/>
        </w:rPr>
        <w:t>MEGA</w:t>
      </w:r>
      <w:r>
        <w:rPr>
          <w:rFonts w:ascii="Times New Roman"/>
        </w:rPr>
        <w:t>、</w:t>
      </w:r>
      <w:r>
        <w:rPr>
          <w:rFonts w:ascii="Times New Roman"/>
        </w:rPr>
        <w:t>DNAMAN</w:t>
      </w:r>
      <w:r>
        <w:rPr>
          <w:rFonts w:ascii="Times New Roman"/>
        </w:rPr>
        <w:t>、</w:t>
      </w:r>
      <w:proofErr w:type="spellStart"/>
      <w:r>
        <w:rPr>
          <w:rFonts w:ascii="Times New Roman"/>
        </w:rPr>
        <w:t>Clustal</w:t>
      </w:r>
      <w:proofErr w:type="spellEnd"/>
      <w:r>
        <w:rPr>
          <w:rFonts w:ascii="Times New Roman"/>
        </w:rPr>
        <w:t>软件的使用。</w:t>
      </w:r>
    </w:p>
    <w:p w14:paraId="4D1B5BC8" w14:textId="77777777" w:rsidR="00F5289E" w:rsidRDefault="00C91173">
      <w:pPr>
        <w:widowControl/>
        <w:snapToGrid w:val="0"/>
        <w:spacing w:line="360" w:lineRule="auto"/>
        <w:rPr>
          <w:szCs w:val="20"/>
        </w:rPr>
      </w:pPr>
      <w:r>
        <w:rPr>
          <w:b/>
          <w:bCs/>
        </w:rPr>
        <w:t>教学组织与实施：</w:t>
      </w:r>
      <w:r>
        <w:rPr>
          <w:szCs w:val="20"/>
        </w:rPr>
        <w:t>结合讲授法、演示法、练习法完成本章节理论知识的讲解，学生对于知识的需求根据课堂反馈，及时调整相关方向和授课方式。</w:t>
      </w:r>
    </w:p>
    <w:p w14:paraId="2D9CD4FC" w14:textId="77777777" w:rsidR="00F5289E" w:rsidRDefault="00C91173">
      <w:pPr>
        <w:widowControl/>
        <w:snapToGrid w:val="0"/>
        <w:spacing w:line="360" w:lineRule="auto"/>
        <w:jc w:val="left"/>
        <w:rPr>
          <w:b/>
          <w:kern w:val="0"/>
          <w:szCs w:val="21"/>
        </w:rPr>
      </w:pPr>
      <w:r>
        <w:rPr>
          <w:b/>
          <w:kern w:val="0"/>
          <w:szCs w:val="21"/>
        </w:rPr>
        <w:t>第三节</w:t>
      </w:r>
      <w:r>
        <w:rPr>
          <w:b/>
          <w:kern w:val="0"/>
          <w:szCs w:val="21"/>
        </w:rPr>
        <w:t xml:space="preserve">  </w:t>
      </w:r>
      <w:r>
        <w:rPr>
          <w:b/>
          <w:bCs/>
          <w:kern w:val="0"/>
          <w:szCs w:val="21"/>
        </w:rPr>
        <w:t>系统发生树构建</w:t>
      </w:r>
      <w:r>
        <w:rPr>
          <w:b/>
          <w:kern w:val="0"/>
          <w:szCs w:val="21"/>
        </w:rPr>
        <w:t>     1</w:t>
      </w:r>
      <w:r>
        <w:rPr>
          <w:b/>
          <w:kern w:val="0"/>
          <w:szCs w:val="21"/>
        </w:rPr>
        <w:t>学时</w:t>
      </w:r>
    </w:p>
    <w:p w14:paraId="74A38C67" w14:textId="77777777" w:rsidR="00F5289E" w:rsidRDefault="00C91173">
      <w:pPr>
        <w:widowControl/>
        <w:snapToGrid w:val="0"/>
        <w:spacing w:line="360" w:lineRule="auto"/>
        <w:rPr>
          <w:b/>
          <w:bCs/>
          <w:kern w:val="0"/>
          <w:szCs w:val="21"/>
        </w:rPr>
      </w:pPr>
      <w:r>
        <w:rPr>
          <w:b/>
          <w:bCs/>
        </w:rPr>
        <w:t>教学目标：</w:t>
      </w:r>
      <w:r>
        <w:rPr>
          <w:bCs/>
        </w:rPr>
        <w:t>了解系统发生树的概念与构建进化树的目的，掌握构建系统进化树的方法及相关软件的使用。</w:t>
      </w:r>
    </w:p>
    <w:p w14:paraId="414E48D9" w14:textId="77777777" w:rsidR="00F5289E" w:rsidRDefault="00C91173">
      <w:pPr>
        <w:widowControl/>
        <w:snapToGrid w:val="0"/>
        <w:spacing w:line="360" w:lineRule="auto"/>
        <w:rPr>
          <w:b/>
          <w:bCs/>
          <w:kern w:val="0"/>
          <w:szCs w:val="21"/>
        </w:rPr>
      </w:pPr>
      <w:r>
        <w:rPr>
          <w:b/>
          <w:bCs/>
        </w:rPr>
        <w:t>教学重点和难点：</w:t>
      </w:r>
      <w:r>
        <w:rPr>
          <w:kern w:val="0"/>
          <w:szCs w:val="21"/>
        </w:rPr>
        <w:t>距离法、最大似然法和贝叶斯法构建进化树的原理，</w:t>
      </w:r>
      <w:r>
        <w:rPr>
          <w:kern w:val="0"/>
          <w:szCs w:val="21"/>
        </w:rPr>
        <w:t>MEGA</w:t>
      </w:r>
      <w:r>
        <w:rPr>
          <w:kern w:val="0"/>
          <w:szCs w:val="21"/>
        </w:rPr>
        <w:t>与</w:t>
      </w:r>
      <w:proofErr w:type="spellStart"/>
      <w:r>
        <w:rPr>
          <w:kern w:val="0"/>
          <w:szCs w:val="21"/>
        </w:rPr>
        <w:t>MrBayes</w:t>
      </w:r>
      <w:proofErr w:type="spellEnd"/>
      <w:r>
        <w:rPr>
          <w:kern w:val="0"/>
          <w:szCs w:val="21"/>
        </w:rPr>
        <w:t>的使用。</w:t>
      </w:r>
    </w:p>
    <w:p w14:paraId="734D895E"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009BC181" w14:textId="77777777" w:rsidR="00F5289E" w:rsidRDefault="00C91173">
      <w:pPr>
        <w:pStyle w:val="a7"/>
        <w:snapToGrid w:val="0"/>
        <w:spacing w:line="360" w:lineRule="auto"/>
        <w:rPr>
          <w:rFonts w:ascii="Times New Roman"/>
        </w:rPr>
      </w:pPr>
      <w:r>
        <w:rPr>
          <w:rFonts w:ascii="Times New Roman"/>
        </w:rPr>
        <w:t>了解系统进化树构建的目的，系统发生树概述。</w:t>
      </w:r>
    </w:p>
    <w:p w14:paraId="725B2A22" w14:textId="77777777" w:rsidR="00F5289E" w:rsidRDefault="00C91173">
      <w:pPr>
        <w:pStyle w:val="a7"/>
        <w:snapToGrid w:val="0"/>
        <w:spacing w:line="360" w:lineRule="auto"/>
        <w:rPr>
          <w:rFonts w:ascii="Times New Roman"/>
        </w:rPr>
      </w:pPr>
      <w:r>
        <w:rPr>
          <w:rFonts w:ascii="Times New Roman"/>
        </w:rPr>
        <w:t>理解构建系统进化树的方法基本原理。</w:t>
      </w:r>
    </w:p>
    <w:p w14:paraId="2E6C4401" w14:textId="77777777" w:rsidR="00F5289E" w:rsidRDefault="00C91173">
      <w:pPr>
        <w:pStyle w:val="a7"/>
        <w:snapToGrid w:val="0"/>
        <w:spacing w:line="360" w:lineRule="auto"/>
        <w:rPr>
          <w:rFonts w:ascii="Times New Roman"/>
        </w:rPr>
      </w:pPr>
      <w:r>
        <w:rPr>
          <w:rFonts w:ascii="Times New Roman"/>
        </w:rPr>
        <w:t>掌握相关软件</w:t>
      </w:r>
      <w:r>
        <w:rPr>
          <w:rFonts w:ascii="Times New Roman"/>
        </w:rPr>
        <w:t>MEGA</w:t>
      </w:r>
      <w:r>
        <w:rPr>
          <w:rFonts w:ascii="Times New Roman"/>
        </w:rPr>
        <w:t>与</w:t>
      </w:r>
      <w:proofErr w:type="spellStart"/>
      <w:r>
        <w:rPr>
          <w:rFonts w:ascii="Times New Roman"/>
        </w:rPr>
        <w:t>MrBayes</w:t>
      </w:r>
      <w:proofErr w:type="spellEnd"/>
      <w:r>
        <w:rPr>
          <w:rFonts w:ascii="Times New Roman"/>
        </w:rPr>
        <w:t>的使用。</w:t>
      </w:r>
    </w:p>
    <w:p w14:paraId="0A799DBA" w14:textId="77777777" w:rsidR="00F5289E" w:rsidRDefault="00C91173">
      <w:pPr>
        <w:widowControl/>
        <w:snapToGrid w:val="0"/>
        <w:spacing w:line="360" w:lineRule="auto"/>
        <w:rPr>
          <w:szCs w:val="20"/>
        </w:rPr>
      </w:pPr>
      <w:r>
        <w:rPr>
          <w:b/>
          <w:bCs/>
        </w:rPr>
        <w:t>教学组织与实施：</w:t>
      </w:r>
      <w:r>
        <w:rPr>
          <w:szCs w:val="20"/>
        </w:rPr>
        <w:t>在多媒体教室进行</w:t>
      </w:r>
      <w:r>
        <w:rPr>
          <w:szCs w:val="20"/>
        </w:rPr>
        <w:t>PPT</w:t>
      </w:r>
      <w:r>
        <w:rPr>
          <w:szCs w:val="20"/>
        </w:rPr>
        <w:t>授课，课中让同学自己练习相关软件，同时给同学讲授课外知识点，激发同学科研热情和科学精神。长期以来科学家一直认为，古猿从树上走到平原草地上，才得以慢慢进化为直立行走的古人类。然而现在，一个汇集了英国利物浦大学和伯明翰大学著名科学家的研究小组最近研究发现，人类是在树上而非辽阔的陆地上学会直立行走的；并且，古猿类已经是</w:t>
      </w:r>
      <w:r>
        <w:rPr>
          <w:szCs w:val="20"/>
        </w:rPr>
        <w:t>“</w:t>
      </w:r>
      <w:r>
        <w:rPr>
          <w:szCs w:val="20"/>
        </w:rPr>
        <w:t>直立行走</w:t>
      </w:r>
      <w:r>
        <w:rPr>
          <w:szCs w:val="20"/>
        </w:rPr>
        <w:t>”</w:t>
      </w:r>
      <w:r>
        <w:rPr>
          <w:szCs w:val="20"/>
        </w:rPr>
        <w:t>的动物。果这一发现成为共识，将标志着科学家对人类直立行走的传统认识发生一百八十度大转变。这些《科学》杂志的研究结果，与系统进化树联系紧密，从而增加同学对本章内容记忆。</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137D652" w14:textId="77777777">
        <w:trPr>
          <w:trHeight w:val="270"/>
        </w:trPr>
        <w:tc>
          <w:tcPr>
            <w:tcW w:w="2965" w:type="dxa"/>
            <w:tcBorders>
              <w:top w:val="nil"/>
              <w:left w:val="nil"/>
              <w:bottom w:val="nil"/>
              <w:right w:val="nil"/>
            </w:tcBorders>
            <w:vAlign w:val="center"/>
          </w:tcPr>
          <w:p w14:paraId="76A4A75B"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25B55681" w14:textId="77777777" w:rsidR="00F5289E" w:rsidRDefault="00C91173">
            <w:pPr>
              <w:widowControl/>
              <w:snapToGrid w:val="0"/>
              <w:spacing w:line="360" w:lineRule="auto"/>
              <w:jc w:val="center"/>
              <w:rPr>
                <w:b/>
                <w:bCs/>
                <w:kern w:val="0"/>
                <w:szCs w:val="21"/>
              </w:rPr>
            </w:pPr>
            <w:r>
              <w:rPr>
                <w:b/>
                <w:bCs/>
                <w:kern w:val="0"/>
                <w:szCs w:val="21"/>
              </w:rPr>
              <w:t>第四章</w:t>
            </w:r>
            <w:r>
              <w:rPr>
                <w:b/>
                <w:bCs/>
                <w:kern w:val="0"/>
                <w:szCs w:val="21"/>
              </w:rPr>
              <w:t xml:space="preserve">  </w:t>
            </w:r>
            <w:bookmarkStart w:id="135" w:name="_Hlk137977673"/>
            <w:r>
              <w:rPr>
                <w:b/>
                <w:bCs/>
                <w:szCs w:val="21"/>
              </w:rPr>
              <w:t>基因结构与功能注释</w:t>
            </w:r>
            <w:bookmarkEnd w:id="135"/>
          </w:p>
        </w:tc>
        <w:tc>
          <w:tcPr>
            <w:tcW w:w="2966" w:type="dxa"/>
            <w:tcBorders>
              <w:top w:val="nil"/>
              <w:left w:val="nil"/>
              <w:bottom w:val="nil"/>
              <w:right w:val="nil"/>
            </w:tcBorders>
            <w:vAlign w:val="center"/>
          </w:tcPr>
          <w:p w14:paraId="38C463DD"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3625FB1B" w14:textId="77777777" w:rsidR="00F5289E" w:rsidRDefault="00C91173">
      <w:pPr>
        <w:snapToGrid w:val="0"/>
        <w:spacing w:line="360" w:lineRule="auto"/>
        <w:rPr>
          <w:b/>
          <w:bCs/>
        </w:rPr>
      </w:pPr>
      <w:r>
        <w:rPr>
          <w:b/>
          <w:bCs/>
        </w:rPr>
        <w:t>第一节</w:t>
      </w:r>
      <w:r>
        <w:rPr>
          <w:b/>
          <w:bCs/>
        </w:rPr>
        <w:t xml:space="preserve">  </w:t>
      </w:r>
      <w:r>
        <w:rPr>
          <w:b/>
          <w:bCs/>
        </w:rPr>
        <w:t>基因结构注释和分析（</w:t>
      </w:r>
      <w:r>
        <w:rPr>
          <w:b/>
          <w:bCs/>
        </w:rPr>
        <w:t>1</w:t>
      </w:r>
      <w:r>
        <w:rPr>
          <w:b/>
          <w:bCs/>
        </w:rPr>
        <w:t>学时）</w:t>
      </w:r>
    </w:p>
    <w:p w14:paraId="6A1F0330" w14:textId="77777777" w:rsidR="00F5289E" w:rsidRDefault="00C91173">
      <w:pPr>
        <w:widowControl/>
        <w:snapToGrid w:val="0"/>
        <w:spacing w:line="360" w:lineRule="auto"/>
        <w:rPr>
          <w:b/>
          <w:bCs/>
          <w:kern w:val="0"/>
          <w:szCs w:val="21"/>
        </w:rPr>
      </w:pPr>
      <w:r>
        <w:rPr>
          <w:b/>
          <w:bCs/>
        </w:rPr>
        <w:t>教学目标：</w:t>
      </w:r>
      <w:bookmarkStart w:id="136" w:name="_Hlk137977767"/>
      <w:r>
        <w:rPr>
          <w:kern w:val="0"/>
          <w:szCs w:val="21"/>
        </w:rPr>
        <w:t>了解基因的结构及其分析方法。</w:t>
      </w:r>
      <w:bookmarkEnd w:id="136"/>
    </w:p>
    <w:p w14:paraId="42CA341C" w14:textId="77777777" w:rsidR="00F5289E" w:rsidRDefault="00C91173">
      <w:pPr>
        <w:widowControl/>
        <w:snapToGrid w:val="0"/>
        <w:spacing w:line="360" w:lineRule="auto"/>
        <w:rPr>
          <w:b/>
          <w:bCs/>
          <w:kern w:val="0"/>
          <w:szCs w:val="21"/>
        </w:rPr>
      </w:pPr>
      <w:r>
        <w:rPr>
          <w:b/>
          <w:bCs/>
        </w:rPr>
        <w:t>教学重点和难点：</w:t>
      </w:r>
      <w:bookmarkStart w:id="137" w:name="_Hlk137977785"/>
      <w:r>
        <w:t>使用生物信息学方法解析基因的结构</w:t>
      </w:r>
      <w:bookmarkEnd w:id="137"/>
      <w:r>
        <w:t>。</w:t>
      </w:r>
    </w:p>
    <w:p w14:paraId="623DF0AF"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r>
        <w:rPr>
          <w:rFonts w:ascii="Times New Roman"/>
          <w:bCs/>
        </w:rPr>
        <w:t>掌握</w:t>
      </w:r>
      <w:bookmarkStart w:id="138" w:name="_Hlk137977818"/>
      <w:bookmarkStart w:id="139" w:name="_Hlk137977692"/>
      <w:r>
        <w:rPr>
          <w:rFonts w:ascii="Times New Roman"/>
          <w:bCs/>
        </w:rPr>
        <w:t>生物信息学常用的</w:t>
      </w:r>
      <w:bookmarkStart w:id="140" w:name="_Hlk137977831"/>
      <w:r>
        <w:rPr>
          <w:rFonts w:ascii="Times New Roman"/>
          <w:bCs/>
        </w:rPr>
        <w:t>基因注释工具</w:t>
      </w:r>
      <w:bookmarkEnd w:id="138"/>
      <w:r>
        <w:rPr>
          <w:rFonts w:ascii="Times New Roman"/>
          <w:bCs/>
        </w:rPr>
        <w:t>及其使用方法</w:t>
      </w:r>
      <w:bookmarkEnd w:id="139"/>
      <w:bookmarkEnd w:id="140"/>
      <w:r>
        <w:rPr>
          <w:rFonts w:ascii="Times New Roman"/>
          <w:bCs/>
        </w:rPr>
        <w:t>；</w:t>
      </w:r>
      <w:r>
        <w:rPr>
          <w:rFonts w:ascii="Times New Roman"/>
          <w:kern w:val="0"/>
          <w:szCs w:val="21"/>
        </w:rPr>
        <w:t>熟练掌握</w:t>
      </w:r>
      <w:bookmarkStart w:id="141" w:name="_Hlk137977703"/>
      <w:r>
        <w:rPr>
          <w:rFonts w:ascii="Times New Roman"/>
          <w:kern w:val="0"/>
          <w:szCs w:val="21"/>
        </w:rPr>
        <w:t>基因结构的主要组成部分</w:t>
      </w:r>
      <w:bookmarkEnd w:id="141"/>
      <w:r>
        <w:rPr>
          <w:rFonts w:ascii="Times New Roman"/>
          <w:kern w:val="0"/>
          <w:szCs w:val="21"/>
        </w:rPr>
        <w:t>，包括启动子、终止子、外显子、内含子。</w:t>
      </w:r>
    </w:p>
    <w:p w14:paraId="7D475398" w14:textId="77777777" w:rsidR="00F5289E" w:rsidRDefault="00C91173">
      <w:pPr>
        <w:widowControl/>
        <w:snapToGrid w:val="0"/>
        <w:spacing w:line="360" w:lineRule="auto"/>
      </w:pPr>
      <w:r>
        <w:rPr>
          <w:b/>
          <w:bCs/>
        </w:rPr>
        <w:t>教学组织与实施：</w:t>
      </w:r>
      <w:r>
        <w:t>在多媒体教室进行</w:t>
      </w:r>
      <w:r>
        <w:t>PPT</w:t>
      </w:r>
      <w:r>
        <w:t>授课，课中让同学自由讨论基因结构注释和分析在生物学研究中起到的作用。播放与本课程内容相关的视频，并与同学们分享本课程相关的最新科研进展。</w:t>
      </w:r>
    </w:p>
    <w:p w14:paraId="345EEF3F" w14:textId="77777777" w:rsidR="00F5289E" w:rsidRDefault="00C91173">
      <w:pPr>
        <w:snapToGrid w:val="0"/>
        <w:spacing w:line="360" w:lineRule="auto"/>
        <w:rPr>
          <w:b/>
          <w:bCs/>
        </w:rPr>
      </w:pPr>
      <w:r>
        <w:rPr>
          <w:b/>
          <w:bCs/>
        </w:rPr>
        <w:t>第二节</w:t>
      </w:r>
      <w:r>
        <w:rPr>
          <w:b/>
          <w:bCs/>
        </w:rPr>
        <w:t xml:space="preserve">  </w:t>
      </w:r>
      <w:r>
        <w:rPr>
          <w:b/>
          <w:bCs/>
          <w:szCs w:val="21"/>
        </w:rPr>
        <w:t>基因功能注释</w:t>
      </w:r>
      <w:r>
        <w:rPr>
          <w:b/>
          <w:bCs/>
        </w:rPr>
        <w:t>（</w:t>
      </w:r>
      <w:r>
        <w:rPr>
          <w:b/>
          <w:bCs/>
        </w:rPr>
        <w:t>1</w:t>
      </w:r>
      <w:r>
        <w:rPr>
          <w:b/>
          <w:bCs/>
        </w:rPr>
        <w:t>学时）</w:t>
      </w:r>
    </w:p>
    <w:p w14:paraId="390D15A2" w14:textId="77777777" w:rsidR="00F5289E" w:rsidRDefault="00C91173">
      <w:pPr>
        <w:widowControl/>
        <w:snapToGrid w:val="0"/>
        <w:spacing w:line="360" w:lineRule="auto"/>
        <w:rPr>
          <w:b/>
          <w:bCs/>
          <w:kern w:val="0"/>
          <w:szCs w:val="21"/>
        </w:rPr>
      </w:pPr>
      <w:r>
        <w:rPr>
          <w:b/>
          <w:bCs/>
        </w:rPr>
        <w:t>教学目标：</w:t>
      </w:r>
      <w:r>
        <w:t>学会</w:t>
      </w:r>
      <w:r>
        <w:rPr>
          <w:kern w:val="0"/>
          <w:szCs w:val="21"/>
        </w:rPr>
        <w:t>使用生物信息学方法注释基因功能。</w:t>
      </w:r>
    </w:p>
    <w:p w14:paraId="4603C836" w14:textId="77777777" w:rsidR="00F5289E" w:rsidRDefault="00C91173">
      <w:pPr>
        <w:widowControl/>
        <w:snapToGrid w:val="0"/>
        <w:spacing w:line="360" w:lineRule="auto"/>
        <w:rPr>
          <w:b/>
          <w:bCs/>
          <w:kern w:val="0"/>
          <w:szCs w:val="21"/>
        </w:rPr>
      </w:pPr>
      <w:r>
        <w:rPr>
          <w:b/>
          <w:bCs/>
        </w:rPr>
        <w:t>教学重点和难点：</w:t>
      </w:r>
      <w:r>
        <w:t>基因注释</w:t>
      </w:r>
      <w:r>
        <w:rPr>
          <w:kern w:val="0"/>
          <w:szCs w:val="21"/>
        </w:rPr>
        <w:t>常用数据库的选用和操作步骤以及注释结果校验</w:t>
      </w:r>
      <w:r>
        <w:t>。</w:t>
      </w:r>
    </w:p>
    <w:p w14:paraId="1A2489B9"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bCs/>
        </w:rPr>
        <w:t>了解</w:t>
      </w:r>
      <w:bookmarkStart w:id="142" w:name="_Hlk137977965"/>
      <w:r>
        <w:rPr>
          <w:rFonts w:ascii="Times New Roman"/>
          <w:bCs/>
        </w:rPr>
        <w:t>基因注释常用数据库的分类和功能</w:t>
      </w:r>
      <w:bookmarkEnd w:id="142"/>
      <w:r>
        <w:rPr>
          <w:rFonts w:ascii="Times New Roman"/>
          <w:bCs/>
        </w:rPr>
        <w:t>；掌握</w:t>
      </w:r>
      <w:r>
        <w:rPr>
          <w:rFonts w:ascii="Times New Roman"/>
          <w:kern w:val="0"/>
          <w:szCs w:val="21"/>
        </w:rPr>
        <w:t>生物信息学常用数据库的选用；熟练掌握使用</w:t>
      </w:r>
      <w:bookmarkStart w:id="143" w:name="_Hlk137977977"/>
      <w:r>
        <w:rPr>
          <w:rFonts w:ascii="Times New Roman"/>
          <w:kern w:val="0"/>
          <w:szCs w:val="21"/>
        </w:rPr>
        <w:t>生物信息学方法注释基因的功能</w:t>
      </w:r>
      <w:bookmarkEnd w:id="143"/>
      <w:r>
        <w:rPr>
          <w:rFonts w:ascii="Times New Roman"/>
          <w:kern w:val="0"/>
          <w:szCs w:val="21"/>
        </w:rPr>
        <w:t>。</w:t>
      </w:r>
    </w:p>
    <w:p w14:paraId="06C44A57" w14:textId="77777777" w:rsidR="00F5289E" w:rsidRDefault="00C91173">
      <w:pPr>
        <w:widowControl/>
        <w:snapToGrid w:val="0"/>
        <w:spacing w:line="360" w:lineRule="auto"/>
        <w:jc w:val="left"/>
        <w:rPr>
          <w:b/>
          <w:kern w:val="0"/>
          <w:szCs w:val="21"/>
        </w:rPr>
      </w:pPr>
      <w:r>
        <w:rPr>
          <w:b/>
          <w:bCs/>
        </w:rPr>
        <w:lastRenderedPageBreak/>
        <w:t>教学组织与实施：</w:t>
      </w:r>
      <w:r>
        <w:t>在多媒体教室进行</w:t>
      </w:r>
      <w:r>
        <w:t>PPT</w:t>
      </w:r>
      <w:r>
        <w:t>授课，课中让同学分组派出代表与教师共同使用多种数据库注释某一未知基因的功能，分组讨论哪个数据库对该基因功能注释过程中最为高效便捷，以及各个数据库的优缺点。与同学们分享本课程相关的最新科研进展。</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10930FF9" w14:textId="77777777">
        <w:trPr>
          <w:trHeight w:val="270"/>
        </w:trPr>
        <w:tc>
          <w:tcPr>
            <w:tcW w:w="2965" w:type="dxa"/>
            <w:tcBorders>
              <w:top w:val="nil"/>
              <w:left w:val="nil"/>
              <w:bottom w:val="nil"/>
              <w:right w:val="nil"/>
            </w:tcBorders>
            <w:vAlign w:val="center"/>
          </w:tcPr>
          <w:p w14:paraId="33648DB3"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339CD84E" w14:textId="77777777" w:rsidR="00F5289E" w:rsidRDefault="00C91173">
            <w:pPr>
              <w:widowControl/>
              <w:snapToGrid w:val="0"/>
              <w:spacing w:line="360" w:lineRule="auto"/>
              <w:jc w:val="center"/>
              <w:rPr>
                <w:b/>
                <w:bCs/>
                <w:kern w:val="0"/>
                <w:szCs w:val="21"/>
              </w:rPr>
            </w:pPr>
            <w:r>
              <w:rPr>
                <w:b/>
                <w:bCs/>
                <w:kern w:val="0"/>
                <w:szCs w:val="21"/>
              </w:rPr>
              <w:t>第五章</w:t>
            </w:r>
            <w:r>
              <w:rPr>
                <w:b/>
                <w:bCs/>
                <w:kern w:val="0"/>
                <w:szCs w:val="21"/>
              </w:rPr>
              <w:t xml:space="preserve">  </w:t>
            </w:r>
            <w:r>
              <w:rPr>
                <w:b/>
                <w:bCs/>
                <w:kern w:val="0"/>
                <w:szCs w:val="21"/>
              </w:rPr>
              <w:t>高通量测序技术概要</w:t>
            </w:r>
          </w:p>
        </w:tc>
        <w:tc>
          <w:tcPr>
            <w:tcW w:w="2966" w:type="dxa"/>
            <w:tcBorders>
              <w:top w:val="nil"/>
              <w:left w:val="nil"/>
              <w:bottom w:val="nil"/>
              <w:right w:val="nil"/>
            </w:tcBorders>
            <w:vAlign w:val="center"/>
          </w:tcPr>
          <w:p w14:paraId="2322FEBB"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74D8743C" w14:textId="77777777" w:rsidR="00F5289E" w:rsidRDefault="00C91173">
      <w:pPr>
        <w:snapToGrid w:val="0"/>
        <w:spacing w:line="360" w:lineRule="auto"/>
        <w:rPr>
          <w:b/>
          <w:bCs/>
        </w:rPr>
      </w:pPr>
      <w:r>
        <w:rPr>
          <w:b/>
          <w:bCs/>
        </w:rPr>
        <w:t>第一节</w:t>
      </w:r>
      <w:r>
        <w:rPr>
          <w:b/>
          <w:bCs/>
        </w:rPr>
        <w:t xml:space="preserve">  </w:t>
      </w:r>
      <w:r>
        <w:rPr>
          <w:b/>
          <w:bCs/>
        </w:rPr>
        <w:t>高通量测序技术的发展现状、技术原理及应用</w:t>
      </w:r>
      <w:r>
        <w:rPr>
          <w:b/>
          <w:bCs/>
        </w:rPr>
        <w:t xml:space="preserve"> </w:t>
      </w:r>
      <w:r>
        <w:rPr>
          <w:b/>
          <w:bCs/>
        </w:rPr>
        <w:t>（</w:t>
      </w:r>
      <w:r>
        <w:rPr>
          <w:b/>
          <w:bCs/>
        </w:rPr>
        <w:t>2</w:t>
      </w:r>
      <w:r>
        <w:rPr>
          <w:b/>
          <w:bCs/>
        </w:rPr>
        <w:t>学时）</w:t>
      </w:r>
    </w:p>
    <w:p w14:paraId="2EF00527" w14:textId="77777777" w:rsidR="00F5289E" w:rsidRDefault="00C91173">
      <w:pPr>
        <w:widowControl/>
        <w:snapToGrid w:val="0"/>
        <w:spacing w:line="360" w:lineRule="auto"/>
        <w:rPr>
          <w:b/>
          <w:bCs/>
          <w:kern w:val="0"/>
          <w:szCs w:val="21"/>
        </w:rPr>
      </w:pPr>
      <w:r>
        <w:rPr>
          <w:b/>
          <w:bCs/>
        </w:rPr>
        <w:t>教学目标：</w:t>
      </w:r>
      <w:r>
        <w:t>了解高通量测序技术的发展现状、技术原理及应用</w:t>
      </w:r>
    </w:p>
    <w:p w14:paraId="49027D9D" w14:textId="77777777" w:rsidR="00F5289E" w:rsidRDefault="00C91173">
      <w:pPr>
        <w:widowControl/>
        <w:snapToGrid w:val="0"/>
        <w:spacing w:line="360" w:lineRule="auto"/>
        <w:rPr>
          <w:b/>
          <w:bCs/>
          <w:kern w:val="0"/>
          <w:szCs w:val="21"/>
        </w:rPr>
      </w:pPr>
      <w:r>
        <w:rPr>
          <w:b/>
          <w:bCs/>
        </w:rPr>
        <w:t>教学重点和难点：无</w:t>
      </w:r>
    </w:p>
    <w:p w14:paraId="7F99BEB5" w14:textId="77777777" w:rsidR="00F5289E" w:rsidRDefault="00C91173">
      <w:pPr>
        <w:pStyle w:val="a7"/>
        <w:snapToGrid w:val="0"/>
        <w:spacing w:line="360" w:lineRule="auto"/>
        <w:ind w:firstLineChars="0" w:firstLine="0"/>
        <w:rPr>
          <w:rFonts w:ascii="Times New Roman"/>
          <w:color w:val="0000FF"/>
        </w:rPr>
      </w:pPr>
      <w:r>
        <w:rPr>
          <w:rFonts w:ascii="Times New Roman"/>
          <w:b/>
        </w:rPr>
        <w:t>主要教学内容及要求：</w:t>
      </w:r>
    </w:p>
    <w:p w14:paraId="48361B51" w14:textId="77777777" w:rsidR="00F5289E" w:rsidRDefault="00C91173">
      <w:pPr>
        <w:pStyle w:val="a7"/>
        <w:snapToGrid w:val="0"/>
        <w:spacing w:line="360" w:lineRule="auto"/>
        <w:rPr>
          <w:rFonts w:ascii="Times New Roman"/>
          <w:szCs w:val="24"/>
        </w:rPr>
      </w:pPr>
      <w:r>
        <w:rPr>
          <w:rFonts w:ascii="Times New Roman"/>
          <w:szCs w:val="24"/>
        </w:rPr>
        <w:t>教学内容：</w:t>
      </w:r>
    </w:p>
    <w:p w14:paraId="5EC2CC1D" w14:textId="77777777" w:rsidR="00F5289E" w:rsidRDefault="00C91173">
      <w:pPr>
        <w:pStyle w:val="a7"/>
        <w:snapToGrid w:val="0"/>
        <w:spacing w:line="360" w:lineRule="auto"/>
        <w:rPr>
          <w:rFonts w:ascii="Times New Roman"/>
          <w:szCs w:val="24"/>
        </w:rPr>
      </w:pPr>
      <w:r>
        <w:rPr>
          <w:rFonts w:ascii="Times New Roman"/>
          <w:szCs w:val="24"/>
        </w:rPr>
        <w:t>在</w:t>
      </w:r>
      <w:r>
        <w:rPr>
          <w:rFonts w:ascii="Times New Roman"/>
        </w:rPr>
        <w:t>高通量测序技术的发展现状和技术原理方面主要讲解</w:t>
      </w:r>
      <w:r>
        <w:rPr>
          <w:rFonts w:ascii="Times New Roman"/>
          <w:szCs w:val="24"/>
        </w:rPr>
        <w:t>第一代测序技术（双脱氧终止法，化学降解法）；第二代测序技术（</w:t>
      </w:r>
      <w:r>
        <w:rPr>
          <w:rFonts w:ascii="Times New Roman"/>
          <w:szCs w:val="24"/>
        </w:rPr>
        <w:t>454</w:t>
      </w:r>
      <w:r>
        <w:rPr>
          <w:rFonts w:ascii="Times New Roman"/>
          <w:szCs w:val="24"/>
        </w:rPr>
        <w:t>测序技术，</w:t>
      </w:r>
      <w:proofErr w:type="spellStart"/>
      <w:r>
        <w:rPr>
          <w:rFonts w:ascii="Times New Roman"/>
          <w:szCs w:val="24"/>
        </w:rPr>
        <w:t>Solexa</w:t>
      </w:r>
      <w:proofErr w:type="spellEnd"/>
      <w:r>
        <w:rPr>
          <w:rFonts w:ascii="Times New Roman"/>
          <w:szCs w:val="24"/>
        </w:rPr>
        <w:t>和</w:t>
      </w:r>
      <w:proofErr w:type="spellStart"/>
      <w:r>
        <w:rPr>
          <w:rFonts w:ascii="Times New Roman"/>
          <w:szCs w:val="24"/>
        </w:rPr>
        <w:t>Hiseq</w:t>
      </w:r>
      <w:proofErr w:type="spellEnd"/>
      <w:r>
        <w:rPr>
          <w:rFonts w:ascii="Times New Roman"/>
          <w:szCs w:val="24"/>
        </w:rPr>
        <w:t>测序技术，</w:t>
      </w:r>
      <w:r>
        <w:rPr>
          <w:rFonts w:ascii="Times New Roman"/>
          <w:szCs w:val="24"/>
        </w:rPr>
        <w:t>SOLID</w:t>
      </w:r>
      <w:r>
        <w:rPr>
          <w:rFonts w:ascii="Times New Roman"/>
          <w:szCs w:val="24"/>
        </w:rPr>
        <w:t>测序技术）；第三代测序技术（</w:t>
      </w:r>
      <w:proofErr w:type="spellStart"/>
      <w:r>
        <w:rPr>
          <w:rFonts w:ascii="Times New Roman"/>
          <w:szCs w:val="24"/>
        </w:rPr>
        <w:t>tSMS</w:t>
      </w:r>
      <w:proofErr w:type="spellEnd"/>
      <w:r>
        <w:rPr>
          <w:rFonts w:ascii="Times New Roman"/>
          <w:szCs w:val="24"/>
        </w:rPr>
        <w:t>、</w:t>
      </w:r>
      <w:r>
        <w:rPr>
          <w:rFonts w:ascii="Times New Roman"/>
          <w:szCs w:val="24"/>
        </w:rPr>
        <w:t>SMRT</w:t>
      </w:r>
      <w:r>
        <w:rPr>
          <w:rFonts w:ascii="Times New Roman"/>
          <w:szCs w:val="24"/>
        </w:rPr>
        <w:t>和</w:t>
      </w:r>
      <w:r>
        <w:rPr>
          <w:rFonts w:ascii="Times New Roman"/>
          <w:szCs w:val="24"/>
        </w:rPr>
        <w:t>Nanopore</w:t>
      </w:r>
      <w:r>
        <w:rPr>
          <w:rFonts w:ascii="Times New Roman"/>
          <w:szCs w:val="24"/>
        </w:rPr>
        <w:t>三种单分子信号检测技术）。</w:t>
      </w:r>
    </w:p>
    <w:p w14:paraId="721D5EA2" w14:textId="77777777" w:rsidR="00F5289E" w:rsidRDefault="00C91173">
      <w:pPr>
        <w:pStyle w:val="a7"/>
        <w:snapToGrid w:val="0"/>
        <w:spacing w:line="360" w:lineRule="auto"/>
        <w:rPr>
          <w:rFonts w:ascii="Times New Roman"/>
          <w:szCs w:val="24"/>
        </w:rPr>
      </w:pPr>
      <w:r>
        <w:rPr>
          <w:rFonts w:ascii="Times New Roman"/>
          <w:szCs w:val="24"/>
        </w:rPr>
        <w:t>在</w:t>
      </w:r>
      <w:r>
        <w:rPr>
          <w:rFonts w:ascii="Times New Roman"/>
        </w:rPr>
        <w:t>高通量测序技术的应用方面主要讲解</w:t>
      </w:r>
      <w:r>
        <w:rPr>
          <w:rFonts w:ascii="Times New Roman"/>
          <w:szCs w:val="24"/>
        </w:rPr>
        <w:t>DNA/RNA</w:t>
      </w:r>
      <w:r>
        <w:rPr>
          <w:rFonts w:ascii="Times New Roman"/>
          <w:szCs w:val="24"/>
        </w:rPr>
        <w:t>相关测序（基因组及基因组重测序，目标区域捕获测序，转录组及表达谱测序，小</w:t>
      </w:r>
      <w:r>
        <w:rPr>
          <w:rFonts w:ascii="Times New Roman"/>
          <w:szCs w:val="24"/>
        </w:rPr>
        <w:t>RNA</w:t>
      </w:r>
      <w:r>
        <w:rPr>
          <w:rFonts w:ascii="Times New Roman"/>
          <w:szCs w:val="24"/>
        </w:rPr>
        <w:t>测序）；蛋白质</w:t>
      </w:r>
      <w:r>
        <w:rPr>
          <w:rFonts w:ascii="Times New Roman"/>
          <w:szCs w:val="24"/>
        </w:rPr>
        <w:t>-DNA/RNA</w:t>
      </w:r>
      <w:r>
        <w:rPr>
          <w:rFonts w:ascii="Times New Roman"/>
          <w:szCs w:val="24"/>
        </w:rPr>
        <w:t>互作测序；甲基化测序。</w:t>
      </w:r>
    </w:p>
    <w:p w14:paraId="6BC44E7B" w14:textId="77777777" w:rsidR="00F5289E" w:rsidRDefault="00C91173">
      <w:pPr>
        <w:pStyle w:val="a7"/>
        <w:snapToGrid w:val="0"/>
        <w:spacing w:line="360" w:lineRule="auto"/>
        <w:rPr>
          <w:rFonts w:ascii="Times New Roman"/>
          <w:szCs w:val="24"/>
        </w:rPr>
      </w:pPr>
      <w:r>
        <w:rPr>
          <w:rFonts w:ascii="Times New Roman"/>
          <w:szCs w:val="24"/>
        </w:rPr>
        <w:t>教学要求：</w:t>
      </w:r>
    </w:p>
    <w:p w14:paraId="6503B899" w14:textId="77777777" w:rsidR="00F5289E" w:rsidRDefault="00C91173">
      <w:pPr>
        <w:pStyle w:val="a7"/>
        <w:snapToGrid w:val="0"/>
        <w:spacing w:line="360" w:lineRule="auto"/>
        <w:rPr>
          <w:rFonts w:ascii="Times New Roman"/>
        </w:rPr>
      </w:pPr>
      <w:r>
        <w:rPr>
          <w:rFonts w:ascii="Times New Roman"/>
        </w:rPr>
        <w:t>高通量测序技术的发展现状：了解第一代测序技术至第三代测序技术的发展历程，对几代测序技术进行总结</w:t>
      </w:r>
      <w:r>
        <w:rPr>
          <w:rFonts w:ascii="Times New Roman"/>
        </w:rPr>
        <w:t>,</w:t>
      </w:r>
      <w:r>
        <w:rPr>
          <w:rFonts w:ascii="Times New Roman"/>
        </w:rPr>
        <w:t>分析其优劣</w:t>
      </w:r>
      <w:r>
        <w:rPr>
          <w:rFonts w:ascii="Times New Roman"/>
        </w:rPr>
        <w:t xml:space="preserve">, </w:t>
      </w:r>
      <w:r>
        <w:rPr>
          <w:rFonts w:ascii="Times New Roman"/>
        </w:rPr>
        <w:t>并以此为基础讨论未来测序的发展方向。</w:t>
      </w:r>
    </w:p>
    <w:p w14:paraId="5ACD9F6B" w14:textId="77777777" w:rsidR="00F5289E" w:rsidRDefault="00C91173">
      <w:pPr>
        <w:pStyle w:val="a7"/>
        <w:snapToGrid w:val="0"/>
        <w:spacing w:line="360" w:lineRule="auto"/>
        <w:rPr>
          <w:rFonts w:ascii="Times New Roman"/>
        </w:rPr>
      </w:pPr>
      <w:r>
        <w:rPr>
          <w:rFonts w:ascii="Times New Roman"/>
        </w:rPr>
        <w:t>高通量测序技术的原理：重点理解高通量测序技术中的</w:t>
      </w:r>
      <w:r>
        <w:rPr>
          <w:rFonts w:ascii="Times New Roman"/>
        </w:rPr>
        <w:t>“</w:t>
      </w:r>
      <w:r>
        <w:rPr>
          <w:rFonts w:ascii="Times New Roman"/>
        </w:rPr>
        <w:t>边合成边测序</w:t>
      </w:r>
      <w:r>
        <w:rPr>
          <w:rFonts w:ascii="Times New Roman"/>
        </w:rPr>
        <w:t>”</w:t>
      </w:r>
      <w:r>
        <w:rPr>
          <w:rFonts w:ascii="Times New Roman"/>
        </w:rPr>
        <w:t>的核心思想，并对各种测序平台的工作原理、测序成本以及测序通量等特点进行总结。</w:t>
      </w:r>
    </w:p>
    <w:p w14:paraId="1D69C3E9" w14:textId="77777777" w:rsidR="00F5289E" w:rsidRDefault="00C91173">
      <w:pPr>
        <w:pStyle w:val="a7"/>
        <w:snapToGrid w:val="0"/>
        <w:spacing w:line="360" w:lineRule="auto"/>
        <w:rPr>
          <w:rFonts w:ascii="Times New Roman"/>
        </w:rPr>
      </w:pPr>
      <w:r>
        <w:rPr>
          <w:rFonts w:ascii="Times New Roman"/>
        </w:rPr>
        <w:t>高通量测序技术的应用：了解高通量测序技术在全基因组测序中的应用；了解高通量</w:t>
      </w:r>
      <w:r>
        <w:rPr>
          <w:rFonts w:ascii="Times New Roman"/>
        </w:rPr>
        <w:t>RNA</w:t>
      </w:r>
      <w:r>
        <w:rPr>
          <w:rFonts w:ascii="Times New Roman"/>
        </w:rPr>
        <w:t>测序及其在转录组和基因表达调控中的应用；了解</w:t>
      </w:r>
      <w:proofErr w:type="spellStart"/>
      <w:r>
        <w:rPr>
          <w:rFonts w:ascii="Times New Roman"/>
        </w:rPr>
        <w:t>ChIP</w:t>
      </w:r>
      <w:proofErr w:type="spellEnd"/>
      <w:r>
        <w:rPr>
          <w:rFonts w:ascii="Times New Roman"/>
        </w:rPr>
        <w:t>-seq</w:t>
      </w:r>
      <w:r>
        <w:rPr>
          <w:rFonts w:ascii="Times New Roman"/>
        </w:rPr>
        <w:t>测序技术在</w:t>
      </w:r>
      <w:r>
        <w:rPr>
          <w:rFonts w:ascii="Times New Roman"/>
        </w:rPr>
        <w:t>DNA</w:t>
      </w:r>
      <w:r>
        <w:rPr>
          <w:rFonts w:ascii="Times New Roman"/>
        </w:rPr>
        <w:t>和蛋白质相互作用中的应用；了解高通量测序技术在</w:t>
      </w:r>
      <w:r>
        <w:rPr>
          <w:rFonts w:ascii="Times New Roman"/>
        </w:rPr>
        <w:t>DNA</w:t>
      </w:r>
      <w:r>
        <w:rPr>
          <w:rFonts w:ascii="Times New Roman"/>
        </w:rPr>
        <w:t>甲基化分析中的应用；了解高通量测序技术在单细胞转录组学研究中的应用。</w:t>
      </w:r>
    </w:p>
    <w:p w14:paraId="7D8D74AB" w14:textId="77777777" w:rsidR="00F5289E" w:rsidRDefault="00C91173">
      <w:pPr>
        <w:widowControl/>
        <w:snapToGrid w:val="0"/>
        <w:spacing w:line="360" w:lineRule="auto"/>
        <w:rPr>
          <w:b/>
          <w:bCs/>
        </w:rPr>
      </w:pPr>
      <w:r>
        <w:rPr>
          <w:b/>
          <w:bCs/>
        </w:rPr>
        <w:t>教学组织与实施：</w:t>
      </w:r>
      <w:r>
        <w:t>认识和理解高通量测序技术的发展和技术原理，了解高通量测序技术的多样化应用是本章学习的目的。在课程中，组织同学观看高通量测序技术的相关图片和视频资料，加深学生对测序技术的理解。通过开展分组（班）讨论，与学生充分互动。</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E8B59CA" w14:textId="77777777">
        <w:trPr>
          <w:trHeight w:val="270"/>
        </w:trPr>
        <w:tc>
          <w:tcPr>
            <w:tcW w:w="2965" w:type="dxa"/>
            <w:tcBorders>
              <w:top w:val="nil"/>
              <w:left w:val="nil"/>
              <w:bottom w:val="nil"/>
              <w:right w:val="nil"/>
            </w:tcBorders>
            <w:vAlign w:val="center"/>
          </w:tcPr>
          <w:p w14:paraId="36C1B8B6" w14:textId="77777777" w:rsidR="00F5289E" w:rsidRDefault="00F5289E">
            <w:pPr>
              <w:widowControl/>
              <w:snapToGrid w:val="0"/>
              <w:spacing w:line="360" w:lineRule="auto"/>
              <w:ind w:firstLine="422"/>
              <w:jc w:val="center"/>
              <w:rPr>
                <w:b/>
                <w:bCs/>
                <w:kern w:val="0"/>
                <w:szCs w:val="21"/>
              </w:rPr>
            </w:pPr>
          </w:p>
        </w:tc>
        <w:tc>
          <w:tcPr>
            <w:tcW w:w="2965" w:type="dxa"/>
            <w:tcBorders>
              <w:top w:val="nil"/>
              <w:left w:val="nil"/>
              <w:bottom w:val="nil"/>
              <w:right w:val="nil"/>
            </w:tcBorders>
            <w:vAlign w:val="center"/>
          </w:tcPr>
          <w:p w14:paraId="40D7E9DF" w14:textId="77777777" w:rsidR="00F5289E" w:rsidRDefault="00C91173">
            <w:pPr>
              <w:widowControl/>
              <w:snapToGrid w:val="0"/>
              <w:spacing w:line="360" w:lineRule="auto"/>
              <w:ind w:firstLine="422"/>
              <w:jc w:val="center"/>
              <w:rPr>
                <w:b/>
                <w:bCs/>
                <w:kern w:val="0"/>
                <w:szCs w:val="21"/>
              </w:rPr>
            </w:pPr>
            <w:r>
              <w:rPr>
                <w:b/>
                <w:bCs/>
                <w:kern w:val="0"/>
                <w:szCs w:val="21"/>
              </w:rPr>
              <w:t>第六章</w:t>
            </w:r>
            <w:r>
              <w:rPr>
                <w:b/>
                <w:bCs/>
                <w:kern w:val="0"/>
                <w:szCs w:val="21"/>
              </w:rPr>
              <w:t xml:space="preserve">  </w:t>
            </w:r>
            <w:r>
              <w:rPr>
                <w:b/>
                <w:bCs/>
                <w:kern w:val="0"/>
                <w:szCs w:val="21"/>
              </w:rPr>
              <w:t>基因表达分析</w:t>
            </w:r>
          </w:p>
        </w:tc>
        <w:tc>
          <w:tcPr>
            <w:tcW w:w="2966" w:type="dxa"/>
            <w:tcBorders>
              <w:top w:val="nil"/>
              <w:left w:val="nil"/>
              <w:bottom w:val="nil"/>
              <w:right w:val="nil"/>
            </w:tcBorders>
            <w:vAlign w:val="center"/>
          </w:tcPr>
          <w:p w14:paraId="3633DBFD" w14:textId="77777777" w:rsidR="00F5289E" w:rsidRDefault="00C91173">
            <w:pPr>
              <w:widowControl/>
              <w:snapToGrid w:val="0"/>
              <w:spacing w:line="360" w:lineRule="auto"/>
              <w:ind w:firstLine="422"/>
              <w:jc w:val="right"/>
              <w:rPr>
                <w:b/>
                <w:bCs/>
                <w:kern w:val="0"/>
                <w:szCs w:val="21"/>
              </w:rPr>
            </w:pPr>
            <w:r>
              <w:rPr>
                <w:b/>
                <w:bCs/>
                <w:kern w:val="0"/>
                <w:szCs w:val="21"/>
              </w:rPr>
              <w:t>学时数：</w:t>
            </w:r>
            <w:r>
              <w:rPr>
                <w:b/>
                <w:bCs/>
                <w:kern w:val="0"/>
                <w:szCs w:val="21"/>
              </w:rPr>
              <w:t>4</w:t>
            </w:r>
          </w:p>
        </w:tc>
      </w:tr>
    </w:tbl>
    <w:p w14:paraId="43009544" w14:textId="77777777" w:rsidR="00F5289E" w:rsidRDefault="00C91173">
      <w:pPr>
        <w:snapToGrid w:val="0"/>
        <w:spacing w:line="360" w:lineRule="auto"/>
        <w:rPr>
          <w:b/>
          <w:bCs/>
        </w:rPr>
      </w:pPr>
      <w:r>
        <w:rPr>
          <w:b/>
          <w:bCs/>
        </w:rPr>
        <w:t>第一节</w:t>
      </w:r>
      <w:r>
        <w:rPr>
          <w:b/>
          <w:bCs/>
        </w:rPr>
        <w:t xml:space="preserve">  </w:t>
      </w:r>
      <w:r>
        <w:rPr>
          <w:b/>
          <w:bCs/>
        </w:rPr>
        <w:t>表达数据研究的方法（</w:t>
      </w:r>
      <w:r>
        <w:rPr>
          <w:b/>
          <w:bCs/>
        </w:rPr>
        <w:t>1</w:t>
      </w:r>
      <w:r>
        <w:rPr>
          <w:b/>
          <w:bCs/>
        </w:rPr>
        <w:t>学时）</w:t>
      </w:r>
    </w:p>
    <w:p w14:paraId="086B275A" w14:textId="77777777" w:rsidR="00F5289E" w:rsidRDefault="00C91173">
      <w:pPr>
        <w:widowControl/>
        <w:snapToGrid w:val="0"/>
        <w:spacing w:line="360" w:lineRule="auto"/>
        <w:rPr>
          <w:b/>
          <w:bCs/>
          <w:kern w:val="0"/>
          <w:szCs w:val="21"/>
        </w:rPr>
      </w:pPr>
      <w:r>
        <w:rPr>
          <w:b/>
          <w:bCs/>
        </w:rPr>
        <w:t>教学目标：</w:t>
      </w:r>
      <w:r>
        <w:rPr>
          <w:bCs/>
        </w:rPr>
        <w:t>了解基因表达数据获取和分析方法。</w:t>
      </w:r>
    </w:p>
    <w:p w14:paraId="11D14C6A" w14:textId="77777777" w:rsidR="00F5289E" w:rsidRDefault="00C91173">
      <w:pPr>
        <w:widowControl/>
        <w:snapToGrid w:val="0"/>
        <w:spacing w:line="360" w:lineRule="auto"/>
        <w:rPr>
          <w:b/>
          <w:bCs/>
          <w:kern w:val="0"/>
          <w:szCs w:val="21"/>
        </w:rPr>
      </w:pPr>
      <w:r>
        <w:rPr>
          <w:b/>
          <w:bCs/>
        </w:rPr>
        <w:t>教学重点和难点：</w:t>
      </w:r>
      <w:r>
        <w:rPr>
          <w:kern w:val="0"/>
          <w:szCs w:val="21"/>
        </w:rPr>
        <w:t>基因表达数据的分类</w:t>
      </w:r>
      <w:r>
        <w:rPr>
          <w:b/>
          <w:bCs/>
          <w:kern w:val="0"/>
          <w:szCs w:val="21"/>
        </w:rPr>
        <w:t xml:space="preserve"> </w:t>
      </w:r>
    </w:p>
    <w:p w14:paraId="256D3223"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692921F5" w14:textId="77777777" w:rsidR="00F5289E" w:rsidRDefault="00C91173">
      <w:pPr>
        <w:pStyle w:val="a7"/>
        <w:snapToGrid w:val="0"/>
        <w:spacing w:line="360" w:lineRule="auto"/>
        <w:rPr>
          <w:rFonts w:ascii="Times New Roman"/>
        </w:rPr>
      </w:pPr>
      <w:r>
        <w:rPr>
          <w:rFonts w:ascii="Times New Roman"/>
        </w:rPr>
        <w:t>了解基因表达的概念。</w:t>
      </w:r>
    </w:p>
    <w:p w14:paraId="6A08AB83" w14:textId="77777777" w:rsidR="00F5289E" w:rsidRDefault="00C91173">
      <w:pPr>
        <w:pStyle w:val="a7"/>
        <w:snapToGrid w:val="0"/>
        <w:spacing w:line="360" w:lineRule="auto"/>
        <w:rPr>
          <w:rFonts w:ascii="Times New Roman"/>
        </w:rPr>
      </w:pPr>
      <w:r>
        <w:rPr>
          <w:rFonts w:ascii="Times New Roman"/>
        </w:rPr>
        <w:t>理解基因表达在生命活动中的功能。</w:t>
      </w:r>
    </w:p>
    <w:p w14:paraId="69A8B5ED" w14:textId="77777777" w:rsidR="00F5289E" w:rsidRDefault="00C91173">
      <w:pPr>
        <w:pStyle w:val="a7"/>
        <w:snapToGrid w:val="0"/>
        <w:spacing w:line="360" w:lineRule="auto"/>
        <w:rPr>
          <w:rFonts w:ascii="Times New Roman"/>
        </w:rPr>
      </w:pPr>
      <w:r>
        <w:rPr>
          <w:rFonts w:ascii="Times New Roman"/>
        </w:rPr>
        <w:t>掌握基因表达数据格式，和研究方法。</w:t>
      </w:r>
    </w:p>
    <w:p w14:paraId="0858302D" w14:textId="77777777" w:rsidR="00F5289E" w:rsidRDefault="00C91173">
      <w:pPr>
        <w:widowControl/>
        <w:snapToGrid w:val="0"/>
        <w:spacing w:line="360" w:lineRule="auto"/>
        <w:rPr>
          <w:szCs w:val="20"/>
        </w:rPr>
      </w:pPr>
      <w:r>
        <w:rPr>
          <w:b/>
          <w:bCs/>
        </w:rPr>
        <w:lastRenderedPageBreak/>
        <w:t>教学组织与实施：</w:t>
      </w:r>
      <w:r>
        <w:rPr>
          <w:szCs w:val="20"/>
        </w:rPr>
        <w:t>主要通过</w:t>
      </w:r>
      <w:r>
        <w:rPr>
          <w:szCs w:val="20"/>
        </w:rPr>
        <w:t>PPT</w:t>
      </w:r>
      <w:r>
        <w:rPr>
          <w:szCs w:val="20"/>
        </w:rPr>
        <w:t>讲授，分组讨论的方式加深对中心法则的认识，初步了解基因表达相关数据格式。</w:t>
      </w:r>
    </w:p>
    <w:p w14:paraId="3A3CD11D" w14:textId="77777777" w:rsidR="00F5289E" w:rsidRDefault="00C91173">
      <w:pPr>
        <w:widowControl/>
        <w:snapToGrid w:val="0"/>
        <w:spacing w:line="360" w:lineRule="auto"/>
        <w:jc w:val="left"/>
        <w:rPr>
          <w:b/>
          <w:kern w:val="0"/>
          <w:szCs w:val="21"/>
        </w:rPr>
      </w:pPr>
      <w:r>
        <w:rPr>
          <w:b/>
          <w:kern w:val="0"/>
          <w:szCs w:val="21"/>
        </w:rPr>
        <w:t>第二节</w:t>
      </w:r>
      <w:r>
        <w:rPr>
          <w:b/>
          <w:kern w:val="0"/>
          <w:szCs w:val="21"/>
        </w:rPr>
        <w:t xml:space="preserve">  </w:t>
      </w:r>
      <w:r>
        <w:rPr>
          <w:b/>
          <w:bCs/>
          <w:kern w:val="0"/>
          <w:szCs w:val="21"/>
        </w:rPr>
        <w:t>RNA-seq</w:t>
      </w:r>
      <w:r>
        <w:rPr>
          <w:b/>
          <w:bCs/>
          <w:kern w:val="0"/>
          <w:szCs w:val="21"/>
        </w:rPr>
        <w:t>原理</w:t>
      </w:r>
      <w:r>
        <w:rPr>
          <w:b/>
          <w:kern w:val="0"/>
          <w:szCs w:val="21"/>
        </w:rPr>
        <w:t>     1</w:t>
      </w:r>
      <w:r>
        <w:rPr>
          <w:b/>
          <w:kern w:val="0"/>
          <w:szCs w:val="21"/>
        </w:rPr>
        <w:t>学时</w:t>
      </w:r>
    </w:p>
    <w:p w14:paraId="4A2F2A2A" w14:textId="77777777" w:rsidR="00F5289E" w:rsidRDefault="00C91173">
      <w:pPr>
        <w:widowControl/>
        <w:snapToGrid w:val="0"/>
        <w:spacing w:line="360" w:lineRule="auto"/>
        <w:rPr>
          <w:b/>
          <w:bCs/>
          <w:kern w:val="0"/>
          <w:szCs w:val="21"/>
        </w:rPr>
      </w:pPr>
      <w:r>
        <w:rPr>
          <w:b/>
          <w:bCs/>
        </w:rPr>
        <w:t>教学目标：</w:t>
      </w:r>
      <w:r>
        <w:rPr>
          <w:bCs/>
        </w:rPr>
        <w:t>了解转录组测序的发展历程和基本原理。</w:t>
      </w:r>
    </w:p>
    <w:p w14:paraId="0E7164ED" w14:textId="77777777" w:rsidR="00F5289E" w:rsidRDefault="00C91173">
      <w:pPr>
        <w:widowControl/>
        <w:snapToGrid w:val="0"/>
        <w:spacing w:line="360" w:lineRule="auto"/>
        <w:rPr>
          <w:b/>
          <w:bCs/>
          <w:kern w:val="0"/>
          <w:szCs w:val="21"/>
        </w:rPr>
      </w:pPr>
      <w:r>
        <w:rPr>
          <w:b/>
          <w:bCs/>
        </w:rPr>
        <w:t>教学重点和难点：</w:t>
      </w:r>
      <w:r>
        <w:rPr>
          <w:kern w:val="0"/>
          <w:szCs w:val="21"/>
        </w:rPr>
        <w:t xml:space="preserve"> </w:t>
      </w:r>
      <w:r>
        <w:rPr>
          <w:kern w:val="0"/>
          <w:szCs w:val="21"/>
        </w:rPr>
        <w:t>转录组测序的关键步骤和原理。</w:t>
      </w:r>
    </w:p>
    <w:p w14:paraId="2F399F81"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50A8F5AC" w14:textId="77777777" w:rsidR="00F5289E" w:rsidRDefault="00C91173">
      <w:pPr>
        <w:pStyle w:val="a7"/>
        <w:snapToGrid w:val="0"/>
        <w:spacing w:line="360" w:lineRule="auto"/>
        <w:rPr>
          <w:rFonts w:ascii="Times New Roman"/>
        </w:rPr>
      </w:pPr>
      <w:r>
        <w:rPr>
          <w:rFonts w:ascii="Times New Roman"/>
        </w:rPr>
        <w:t>了解总</w:t>
      </w:r>
      <w:r>
        <w:rPr>
          <w:rFonts w:ascii="Times New Roman"/>
        </w:rPr>
        <w:t>RNA</w:t>
      </w:r>
      <w:r>
        <w:rPr>
          <w:rFonts w:ascii="Times New Roman"/>
        </w:rPr>
        <w:t>提取原理、</w:t>
      </w:r>
      <w:r>
        <w:rPr>
          <w:rFonts w:ascii="Times New Roman"/>
        </w:rPr>
        <w:t>NGS</w:t>
      </w:r>
      <w:r>
        <w:rPr>
          <w:rFonts w:ascii="Times New Roman"/>
        </w:rPr>
        <w:t>测序原理、</w:t>
      </w:r>
      <w:r>
        <w:rPr>
          <w:rFonts w:ascii="Times New Roman"/>
        </w:rPr>
        <w:t>RNA-seq</w:t>
      </w:r>
      <w:r>
        <w:rPr>
          <w:rFonts w:ascii="Times New Roman"/>
        </w:rPr>
        <w:t>基本流程。</w:t>
      </w:r>
    </w:p>
    <w:p w14:paraId="7CE5B134" w14:textId="77777777" w:rsidR="00F5289E" w:rsidRDefault="00C91173">
      <w:pPr>
        <w:pStyle w:val="a7"/>
        <w:snapToGrid w:val="0"/>
        <w:spacing w:line="360" w:lineRule="auto"/>
        <w:rPr>
          <w:rFonts w:ascii="Times New Roman"/>
        </w:rPr>
      </w:pPr>
      <w:r>
        <w:rPr>
          <w:rFonts w:ascii="Times New Roman"/>
        </w:rPr>
        <w:t>理解转录组定量基因表达丰度的原理。</w:t>
      </w:r>
    </w:p>
    <w:p w14:paraId="12CC2369" w14:textId="77777777" w:rsidR="00F5289E" w:rsidRDefault="00C91173">
      <w:pPr>
        <w:pStyle w:val="a7"/>
        <w:snapToGrid w:val="0"/>
        <w:spacing w:line="360" w:lineRule="auto"/>
        <w:rPr>
          <w:rFonts w:ascii="Times New Roman"/>
        </w:rPr>
      </w:pPr>
      <w:bookmarkStart w:id="144" w:name="_Hlk137982374"/>
      <w:r>
        <w:rPr>
          <w:rFonts w:ascii="Times New Roman"/>
        </w:rPr>
        <w:t>掌握</w:t>
      </w:r>
      <w:bookmarkEnd w:id="144"/>
      <w:r>
        <w:rPr>
          <w:rFonts w:ascii="Times New Roman"/>
        </w:rPr>
        <w:t>NGS</w:t>
      </w:r>
      <w:r>
        <w:rPr>
          <w:rFonts w:ascii="Times New Roman"/>
        </w:rPr>
        <w:t>在转录组测序中的应用。</w:t>
      </w:r>
    </w:p>
    <w:p w14:paraId="3C772F03" w14:textId="77777777" w:rsidR="00F5289E" w:rsidRDefault="00C91173">
      <w:pPr>
        <w:widowControl/>
        <w:snapToGrid w:val="0"/>
        <w:spacing w:line="360" w:lineRule="auto"/>
        <w:rPr>
          <w:szCs w:val="20"/>
        </w:rPr>
      </w:pPr>
      <w:r>
        <w:rPr>
          <w:b/>
          <w:bCs/>
        </w:rPr>
        <w:t>教学组织与实施：</w:t>
      </w:r>
      <w:r>
        <w:rPr>
          <w:szCs w:val="20"/>
        </w:rPr>
        <w:t>结合讲授法、演示法、练习法完成本章节理论知识的讲解，学生对于知识的需求根据课堂反馈，及时调整相关方向和授课方式。</w:t>
      </w:r>
    </w:p>
    <w:p w14:paraId="435364F3" w14:textId="77777777" w:rsidR="00F5289E" w:rsidRDefault="00C91173">
      <w:pPr>
        <w:widowControl/>
        <w:snapToGrid w:val="0"/>
        <w:spacing w:line="360" w:lineRule="auto"/>
        <w:jc w:val="left"/>
        <w:rPr>
          <w:b/>
          <w:kern w:val="0"/>
          <w:szCs w:val="21"/>
        </w:rPr>
      </w:pPr>
      <w:r>
        <w:rPr>
          <w:b/>
          <w:kern w:val="0"/>
          <w:szCs w:val="21"/>
        </w:rPr>
        <w:t>第三节</w:t>
      </w:r>
      <w:r>
        <w:rPr>
          <w:b/>
          <w:kern w:val="0"/>
          <w:szCs w:val="21"/>
        </w:rPr>
        <w:t xml:space="preserve">    </w:t>
      </w:r>
      <w:r>
        <w:rPr>
          <w:b/>
          <w:bCs/>
          <w:kern w:val="0"/>
          <w:szCs w:val="21"/>
        </w:rPr>
        <w:t>RNA-seq</w:t>
      </w:r>
      <w:r>
        <w:rPr>
          <w:b/>
          <w:bCs/>
          <w:kern w:val="0"/>
          <w:szCs w:val="21"/>
        </w:rPr>
        <w:t>数据分析与流程</w:t>
      </w:r>
      <w:r>
        <w:rPr>
          <w:b/>
          <w:kern w:val="0"/>
          <w:szCs w:val="21"/>
        </w:rPr>
        <w:t xml:space="preserve">   1</w:t>
      </w:r>
      <w:r>
        <w:rPr>
          <w:b/>
          <w:kern w:val="0"/>
          <w:szCs w:val="21"/>
        </w:rPr>
        <w:t>学时</w:t>
      </w:r>
    </w:p>
    <w:p w14:paraId="71549677" w14:textId="77777777" w:rsidR="00F5289E" w:rsidRDefault="00C91173">
      <w:pPr>
        <w:widowControl/>
        <w:snapToGrid w:val="0"/>
        <w:spacing w:line="360" w:lineRule="auto"/>
        <w:rPr>
          <w:b/>
          <w:bCs/>
          <w:kern w:val="0"/>
          <w:szCs w:val="21"/>
        </w:rPr>
      </w:pPr>
      <w:r>
        <w:rPr>
          <w:b/>
          <w:bCs/>
        </w:rPr>
        <w:t>教学目标：</w:t>
      </w:r>
      <w:r>
        <w:rPr>
          <w:bCs/>
        </w:rPr>
        <w:t>了解</w:t>
      </w:r>
      <w:r>
        <w:rPr>
          <w:bCs/>
        </w:rPr>
        <w:t>RNA-seq</w:t>
      </w:r>
      <w:r>
        <w:rPr>
          <w:bCs/>
        </w:rPr>
        <w:t>的基本流程，掌握</w:t>
      </w:r>
      <w:r>
        <w:rPr>
          <w:bCs/>
        </w:rPr>
        <w:t>RNA-seq</w:t>
      </w:r>
      <w:r>
        <w:rPr>
          <w:bCs/>
        </w:rPr>
        <w:t>数据分析的相关软件。</w:t>
      </w:r>
    </w:p>
    <w:p w14:paraId="551D4B6A" w14:textId="77777777" w:rsidR="00F5289E" w:rsidRDefault="00C91173">
      <w:pPr>
        <w:widowControl/>
        <w:snapToGrid w:val="0"/>
        <w:spacing w:line="360" w:lineRule="auto"/>
        <w:rPr>
          <w:b/>
          <w:bCs/>
          <w:kern w:val="0"/>
          <w:szCs w:val="21"/>
        </w:rPr>
      </w:pPr>
      <w:r>
        <w:rPr>
          <w:b/>
          <w:bCs/>
        </w:rPr>
        <w:t>教学重点和难点：</w:t>
      </w:r>
      <w:r>
        <w:rPr>
          <w:kern w:val="0"/>
          <w:szCs w:val="21"/>
        </w:rPr>
        <w:t>下机数据清洗、比对、定量相关软件使用。</w:t>
      </w:r>
    </w:p>
    <w:p w14:paraId="5FE308D5"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23D6BFBA" w14:textId="77777777" w:rsidR="00F5289E" w:rsidRDefault="00C91173">
      <w:pPr>
        <w:pStyle w:val="a7"/>
        <w:snapToGrid w:val="0"/>
        <w:spacing w:line="360" w:lineRule="auto"/>
        <w:rPr>
          <w:rFonts w:ascii="Times New Roman"/>
        </w:rPr>
      </w:pPr>
      <w:r>
        <w:rPr>
          <w:rFonts w:ascii="Times New Roman"/>
        </w:rPr>
        <w:t>了解</w:t>
      </w:r>
      <w:r>
        <w:rPr>
          <w:rFonts w:ascii="Times New Roman"/>
        </w:rPr>
        <w:t>FPKM</w:t>
      </w:r>
      <w:r>
        <w:rPr>
          <w:rFonts w:ascii="Times New Roman"/>
        </w:rPr>
        <w:t>、</w:t>
      </w:r>
      <w:r>
        <w:rPr>
          <w:rFonts w:ascii="Times New Roman"/>
        </w:rPr>
        <w:t>TPM</w:t>
      </w:r>
      <w:r>
        <w:rPr>
          <w:rFonts w:ascii="Times New Roman"/>
        </w:rPr>
        <w:t>、</w:t>
      </w:r>
      <w:r>
        <w:rPr>
          <w:rFonts w:ascii="Times New Roman"/>
        </w:rPr>
        <w:t>RPKM</w:t>
      </w:r>
      <w:r>
        <w:rPr>
          <w:rFonts w:ascii="Times New Roman"/>
        </w:rPr>
        <w:t>等转录组定量数据标准化的区别。</w:t>
      </w:r>
    </w:p>
    <w:p w14:paraId="00860F14" w14:textId="77777777" w:rsidR="00F5289E" w:rsidRDefault="00C91173">
      <w:pPr>
        <w:pStyle w:val="a7"/>
        <w:snapToGrid w:val="0"/>
        <w:spacing w:line="360" w:lineRule="auto"/>
        <w:rPr>
          <w:rFonts w:ascii="Times New Roman"/>
        </w:rPr>
      </w:pPr>
      <w:r>
        <w:rPr>
          <w:rFonts w:ascii="Times New Roman"/>
        </w:rPr>
        <w:t>理解转录组测序的意义和在实际研究应用中的注意事项。</w:t>
      </w:r>
    </w:p>
    <w:p w14:paraId="31FD10D6" w14:textId="77777777" w:rsidR="00F5289E" w:rsidRDefault="00C91173">
      <w:pPr>
        <w:pStyle w:val="a7"/>
        <w:snapToGrid w:val="0"/>
        <w:spacing w:line="360" w:lineRule="auto"/>
        <w:rPr>
          <w:rFonts w:ascii="Times New Roman"/>
        </w:rPr>
      </w:pPr>
      <w:r>
        <w:rPr>
          <w:rFonts w:ascii="Times New Roman"/>
        </w:rPr>
        <w:t>掌握</w:t>
      </w:r>
      <w:r>
        <w:rPr>
          <w:rFonts w:ascii="Times New Roman"/>
        </w:rPr>
        <w:t>Hisat2</w:t>
      </w:r>
      <w:r>
        <w:rPr>
          <w:rFonts w:ascii="Times New Roman"/>
        </w:rPr>
        <w:t>、</w:t>
      </w:r>
      <w:proofErr w:type="spellStart"/>
      <w:r>
        <w:rPr>
          <w:rFonts w:ascii="Times New Roman"/>
        </w:rPr>
        <w:t>StringTie</w:t>
      </w:r>
      <w:proofErr w:type="spellEnd"/>
      <w:r>
        <w:rPr>
          <w:rFonts w:ascii="Times New Roman"/>
        </w:rPr>
        <w:t>、</w:t>
      </w:r>
      <w:proofErr w:type="spellStart"/>
      <w:r>
        <w:rPr>
          <w:rFonts w:ascii="Times New Roman"/>
        </w:rPr>
        <w:t>Samlon</w:t>
      </w:r>
      <w:proofErr w:type="spellEnd"/>
      <w:r>
        <w:rPr>
          <w:rFonts w:ascii="Times New Roman"/>
        </w:rPr>
        <w:t>、</w:t>
      </w:r>
      <w:proofErr w:type="spellStart"/>
      <w:r>
        <w:rPr>
          <w:rFonts w:ascii="Times New Roman"/>
        </w:rPr>
        <w:t>Kallisto</w:t>
      </w:r>
      <w:proofErr w:type="spellEnd"/>
      <w:r>
        <w:rPr>
          <w:rFonts w:ascii="Times New Roman"/>
        </w:rPr>
        <w:t>等软件的使用。</w:t>
      </w:r>
    </w:p>
    <w:p w14:paraId="547BBFC7" w14:textId="77777777" w:rsidR="00F5289E" w:rsidRDefault="00C91173">
      <w:pPr>
        <w:widowControl/>
        <w:snapToGrid w:val="0"/>
        <w:spacing w:line="360" w:lineRule="auto"/>
        <w:rPr>
          <w:szCs w:val="20"/>
        </w:rPr>
      </w:pPr>
      <w:r>
        <w:rPr>
          <w:b/>
          <w:bCs/>
        </w:rPr>
        <w:t>教学组织与实施：</w:t>
      </w:r>
      <w:r>
        <w:rPr>
          <w:szCs w:val="20"/>
        </w:rPr>
        <w:t>通过</w:t>
      </w:r>
      <w:r>
        <w:rPr>
          <w:szCs w:val="20"/>
        </w:rPr>
        <w:t>PPT</w:t>
      </w:r>
      <w:r>
        <w:rPr>
          <w:szCs w:val="20"/>
        </w:rPr>
        <w:t>讲授、课堂练习、视频观看进行本章节内容授课。</w:t>
      </w:r>
    </w:p>
    <w:p w14:paraId="2A791910" w14:textId="77777777" w:rsidR="00F5289E" w:rsidRDefault="00C91173">
      <w:pPr>
        <w:widowControl/>
        <w:snapToGrid w:val="0"/>
        <w:spacing w:line="360" w:lineRule="auto"/>
        <w:jc w:val="left"/>
        <w:rPr>
          <w:b/>
          <w:kern w:val="0"/>
          <w:szCs w:val="21"/>
        </w:rPr>
      </w:pPr>
      <w:r>
        <w:rPr>
          <w:b/>
          <w:kern w:val="0"/>
          <w:szCs w:val="21"/>
        </w:rPr>
        <w:t>第四节</w:t>
      </w:r>
      <w:r>
        <w:rPr>
          <w:b/>
          <w:kern w:val="0"/>
          <w:szCs w:val="21"/>
        </w:rPr>
        <w:t xml:space="preserve">  </w:t>
      </w:r>
      <w:r>
        <w:rPr>
          <w:b/>
          <w:bCs/>
          <w:kern w:val="0"/>
          <w:szCs w:val="21"/>
        </w:rPr>
        <w:t>差异表达基因的获取与注释</w:t>
      </w:r>
      <w:r>
        <w:rPr>
          <w:b/>
          <w:kern w:val="0"/>
          <w:szCs w:val="21"/>
        </w:rPr>
        <w:t>     1</w:t>
      </w:r>
      <w:r>
        <w:rPr>
          <w:b/>
          <w:kern w:val="0"/>
          <w:szCs w:val="21"/>
        </w:rPr>
        <w:t>学时</w:t>
      </w:r>
    </w:p>
    <w:p w14:paraId="02C33BDB" w14:textId="77777777" w:rsidR="00F5289E" w:rsidRDefault="00C91173">
      <w:pPr>
        <w:widowControl/>
        <w:snapToGrid w:val="0"/>
        <w:spacing w:line="360" w:lineRule="auto"/>
        <w:rPr>
          <w:b/>
          <w:bCs/>
          <w:kern w:val="0"/>
          <w:szCs w:val="21"/>
        </w:rPr>
      </w:pPr>
      <w:r>
        <w:rPr>
          <w:b/>
          <w:bCs/>
        </w:rPr>
        <w:t>教学目标：</w:t>
      </w:r>
      <w:r>
        <w:rPr>
          <w:bCs/>
        </w:rPr>
        <w:t>了解系基因差异表达在组织和样品之间意义，掌握差异表达分析的基本步骤。</w:t>
      </w:r>
    </w:p>
    <w:p w14:paraId="16DBE726" w14:textId="77777777" w:rsidR="00F5289E" w:rsidRDefault="00C91173">
      <w:pPr>
        <w:widowControl/>
        <w:snapToGrid w:val="0"/>
        <w:spacing w:line="360" w:lineRule="auto"/>
        <w:rPr>
          <w:b/>
          <w:bCs/>
          <w:kern w:val="0"/>
          <w:szCs w:val="21"/>
        </w:rPr>
      </w:pPr>
      <w:r>
        <w:rPr>
          <w:b/>
          <w:bCs/>
        </w:rPr>
        <w:t>教学重点和难点：</w:t>
      </w:r>
      <w:r>
        <w:rPr>
          <w:kern w:val="0"/>
          <w:szCs w:val="21"/>
        </w:rPr>
        <w:t>差异表达分析的原理和相关软件使用。</w:t>
      </w:r>
    </w:p>
    <w:p w14:paraId="0D3F6531"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rPr>
        <w:t xml:space="preserve"> </w:t>
      </w:r>
    </w:p>
    <w:p w14:paraId="5419BEC0" w14:textId="77777777" w:rsidR="00F5289E" w:rsidRDefault="00C91173">
      <w:pPr>
        <w:pStyle w:val="a7"/>
        <w:snapToGrid w:val="0"/>
        <w:spacing w:line="360" w:lineRule="auto"/>
        <w:rPr>
          <w:rFonts w:ascii="Times New Roman"/>
        </w:rPr>
      </w:pPr>
      <w:r>
        <w:rPr>
          <w:rFonts w:ascii="Times New Roman"/>
        </w:rPr>
        <w:t>了解不同样品和组织间差异表达基因的分析方法。</w:t>
      </w:r>
    </w:p>
    <w:p w14:paraId="7AB79D32" w14:textId="77777777" w:rsidR="00F5289E" w:rsidRDefault="00C91173">
      <w:pPr>
        <w:pStyle w:val="a7"/>
        <w:snapToGrid w:val="0"/>
        <w:spacing w:line="360" w:lineRule="auto"/>
        <w:rPr>
          <w:rFonts w:ascii="Times New Roman"/>
        </w:rPr>
      </w:pPr>
      <w:r>
        <w:rPr>
          <w:rFonts w:ascii="Times New Roman"/>
        </w:rPr>
        <w:t>理解研究差异表达基因的生物学意义。</w:t>
      </w:r>
    </w:p>
    <w:p w14:paraId="71167202" w14:textId="77777777" w:rsidR="00F5289E" w:rsidRDefault="00C91173">
      <w:pPr>
        <w:pStyle w:val="a7"/>
        <w:snapToGrid w:val="0"/>
        <w:spacing w:line="360" w:lineRule="auto"/>
        <w:rPr>
          <w:rFonts w:ascii="Times New Roman"/>
        </w:rPr>
      </w:pPr>
      <w:r>
        <w:rPr>
          <w:rFonts w:ascii="Times New Roman"/>
        </w:rPr>
        <w:t>掌握差异表达分析的流程，</w:t>
      </w:r>
      <w:r>
        <w:rPr>
          <w:rFonts w:ascii="Times New Roman"/>
        </w:rPr>
        <w:t>DESEQ2</w:t>
      </w:r>
      <w:r>
        <w:rPr>
          <w:rFonts w:ascii="Times New Roman"/>
        </w:rPr>
        <w:t>等软件的使用，基因功能注释的获取方法。</w:t>
      </w:r>
    </w:p>
    <w:p w14:paraId="0520B7D5" w14:textId="77777777" w:rsidR="00F5289E" w:rsidRDefault="00C91173">
      <w:pPr>
        <w:widowControl/>
        <w:snapToGrid w:val="0"/>
        <w:spacing w:line="360" w:lineRule="auto"/>
        <w:rPr>
          <w:szCs w:val="20"/>
        </w:rPr>
      </w:pPr>
      <w:r>
        <w:rPr>
          <w:b/>
          <w:bCs/>
        </w:rPr>
        <w:t>教学组织与实施：</w:t>
      </w:r>
      <w:r>
        <w:rPr>
          <w:szCs w:val="20"/>
        </w:rPr>
        <w:t>通过</w:t>
      </w:r>
      <w:r>
        <w:rPr>
          <w:szCs w:val="20"/>
        </w:rPr>
        <w:t>PPT</w:t>
      </w:r>
      <w:r>
        <w:rPr>
          <w:szCs w:val="20"/>
        </w:rPr>
        <w:t>讲授、课堂练习、</w:t>
      </w:r>
      <w:r>
        <w:rPr>
          <w:szCs w:val="20"/>
        </w:rPr>
        <w:t>RNA</w:t>
      </w:r>
      <w:r>
        <w:rPr>
          <w:szCs w:val="20"/>
        </w:rPr>
        <w:t>提取视频观看进行本章节内容授课。</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7139D1A1" w14:textId="77777777">
        <w:trPr>
          <w:trHeight w:val="270"/>
        </w:trPr>
        <w:tc>
          <w:tcPr>
            <w:tcW w:w="2965" w:type="dxa"/>
            <w:tcBorders>
              <w:top w:val="nil"/>
              <w:left w:val="nil"/>
              <w:bottom w:val="nil"/>
              <w:right w:val="nil"/>
            </w:tcBorders>
            <w:vAlign w:val="center"/>
          </w:tcPr>
          <w:p w14:paraId="533918A8" w14:textId="77777777" w:rsidR="00F5289E" w:rsidRDefault="00F5289E">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14:paraId="5073BA4D" w14:textId="77777777" w:rsidR="00F5289E" w:rsidRDefault="00C91173">
            <w:pPr>
              <w:widowControl/>
              <w:snapToGrid w:val="0"/>
              <w:spacing w:line="360" w:lineRule="auto"/>
              <w:jc w:val="center"/>
              <w:rPr>
                <w:b/>
                <w:bCs/>
                <w:kern w:val="0"/>
                <w:szCs w:val="21"/>
              </w:rPr>
            </w:pPr>
            <w:r>
              <w:rPr>
                <w:b/>
                <w:bCs/>
                <w:kern w:val="0"/>
                <w:szCs w:val="21"/>
              </w:rPr>
              <w:t>第七章</w:t>
            </w:r>
            <w:r>
              <w:rPr>
                <w:b/>
                <w:bCs/>
                <w:kern w:val="0"/>
                <w:szCs w:val="21"/>
              </w:rPr>
              <w:t xml:space="preserve">  </w:t>
            </w:r>
            <w:bookmarkStart w:id="145" w:name="_Hlk137978028"/>
            <w:r>
              <w:rPr>
                <w:b/>
                <w:bCs/>
                <w:szCs w:val="21"/>
              </w:rPr>
              <w:t>网页工具的使用</w:t>
            </w:r>
            <w:bookmarkEnd w:id="145"/>
          </w:p>
        </w:tc>
        <w:tc>
          <w:tcPr>
            <w:tcW w:w="2966" w:type="dxa"/>
            <w:tcBorders>
              <w:top w:val="nil"/>
              <w:left w:val="nil"/>
              <w:bottom w:val="nil"/>
              <w:right w:val="nil"/>
            </w:tcBorders>
            <w:vAlign w:val="center"/>
          </w:tcPr>
          <w:p w14:paraId="02BEEA94"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2</w:t>
            </w:r>
          </w:p>
        </w:tc>
      </w:tr>
    </w:tbl>
    <w:p w14:paraId="522C1197" w14:textId="77777777" w:rsidR="00F5289E" w:rsidRDefault="00C91173">
      <w:pPr>
        <w:snapToGrid w:val="0"/>
        <w:spacing w:line="360" w:lineRule="auto"/>
        <w:rPr>
          <w:b/>
          <w:bCs/>
        </w:rPr>
      </w:pPr>
      <w:r>
        <w:rPr>
          <w:b/>
          <w:bCs/>
        </w:rPr>
        <w:t>第一节</w:t>
      </w:r>
      <w:r>
        <w:rPr>
          <w:b/>
          <w:bCs/>
        </w:rPr>
        <w:t xml:space="preserve">  </w:t>
      </w:r>
      <w:r>
        <w:rPr>
          <w:b/>
          <w:bCs/>
        </w:rPr>
        <w:t>常用网页工具简介（</w:t>
      </w:r>
      <w:r>
        <w:rPr>
          <w:b/>
          <w:bCs/>
        </w:rPr>
        <w:t>1</w:t>
      </w:r>
      <w:r>
        <w:rPr>
          <w:b/>
          <w:bCs/>
        </w:rPr>
        <w:t>学时）</w:t>
      </w:r>
    </w:p>
    <w:p w14:paraId="7FABA13F" w14:textId="77777777" w:rsidR="00F5289E" w:rsidRDefault="00C91173">
      <w:pPr>
        <w:widowControl/>
        <w:snapToGrid w:val="0"/>
        <w:spacing w:line="360" w:lineRule="auto"/>
        <w:rPr>
          <w:b/>
          <w:bCs/>
          <w:kern w:val="0"/>
          <w:szCs w:val="21"/>
        </w:rPr>
      </w:pPr>
      <w:r>
        <w:rPr>
          <w:b/>
          <w:bCs/>
        </w:rPr>
        <w:t>教学目标：</w:t>
      </w:r>
      <w:r>
        <w:rPr>
          <w:kern w:val="0"/>
          <w:szCs w:val="21"/>
        </w:rPr>
        <w:t>了解</w:t>
      </w:r>
      <w:bookmarkStart w:id="146" w:name="_Hlk137978043"/>
      <w:r>
        <w:rPr>
          <w:kern w:val="0"/>
          <w:szCs w:val="21"/>
        </w:rPr>
        <w:t>生物信息学常用</w:t>
      </w:r>
      <w:r>
        <w:rPr>
          <w:szCs w:val="21"/>
        </w:rPr>
        <w:t>网页工具</w:t>
      </w:r>
      <w:r>
        <w:rPr>
          <w:kern w:val="0"/>
          <w:szCs w:val="21"/>
        </w:rPr>
        <w:t>的种类及其功能</w:t>
      </w:r>
      <w:bookmarkEnd w:id="146"/>
      <w:r>
        <w:rPr>
          <w:kern w:val="0"/>
          <w:szCs w:val="21"/>
        </w:rPr>
        <w:t>。</w:t>
      </w:r>
    </w:p>
    <w:p w14:paraId="7655F474" w14:textId="77777777" w:rsidR="00F5289E" w:rsidRDefault="00C91173">
      <w:pPr>
        <w:widowControl/>
        <w:snapToGrid w:val="0"/>
        <w:spacing w:line="360" w:lineRule="auto"/>
        <w:rPr>
          <w:b/>
          <w:bCs/>
          <w:kern w:val="0"/>
          <w:szCs w:val="21"/>
        </w:rPr>
      </w:pPr>
      <w:r>
        <w:rPr>
          <w:b/>
          <w:bCs/>
        </w:rPr>
        <w:t>教学重点和难点：</w:t>
      </w:r>
      <w:r>
        <w:t>掌握生物信息学</w:t>
      </w:r>
      <w:r>
        <w:rPr>
          <w:kern w:val="0"/>
          <w:szCs w:val="21"/>
        </w:rPr>
        <w:t>常用</w:t>
      </w:r>
      <w:r>
        <w:rPr>
          <w:szCs w:val="21"/>
        </w:rPr>
        <w:t>网页工具</w:t>
      </w:r>
      <w:r>
        <w:rPr>
          <w:kern w:val="0"/>
          <w:szCs w:val="21"/>
        </w:rPr>
        <w:t>的</w:t>
      </w:r>
      <w:r>
        <w:t>主要功能和应用。</w:t>
      </w:r>
    </w:p>
    <w:p w14:paraId="5A900F09" w14:textId="77777777" w:rsidR="00F5289E" w:rsidRDefault="00C91173">
      <w:pPr>
        <w:pStyle w:val="a7"/>
        <w:snapToGrid w:val="0"/>
        <w:spacing w:line="360" w:lineRule="auto"/>
        <w:ind w:firstLineChars="0" w:firstLine="0"/>
        <w:rPr>
          <w:rFonts w:ascii="Times New Roman"/>
          <w:b/>
        </w:rPr>
      </w:pPr>
      <w:r>
        <w:rPr>
          <w:rFonts w:ascii="Times New Roman"/>
          <w:b/>
        </w:rPr>
        <w:t>主要教学内容及要求：</w:t>
      </w:r>
      <w:bookmarkStart w:id="147" w:name="_Hlk137978469"/>
      <w:r>
        <w:rPr>
          <w:rFonts w:ascii="Times New Roman"/>
          <w:bCs/>
        </w:rPr>
        <w:t>了解</w:t>
      </w:r>
      <w:bookmarkStart w:id="148" w:name="_Hlk137978517"/>
      <w:r>
        <w:rPr>
          <w:rFonts w:ascii="Times New Roman"/>
          <w:bCs/>
        </w:rPr>
        <w:t>生物信息学</w:t>
      </w:r>
      <w:bookmarkStart w:id="149" w:name="_Hlk137978525"/>
      <w:r>
        <w:rPr>
          <w:rFonts w:ascii="Times New Roman"/>
          <w:bCs/>
        </w:rPr>
        <w:t>常用</w:t>
      </w:r>
      <w:r>
        <w:rPr>
          <w:rFonts w:ascii="Times New Roman"/>
          <w:szCs w:val="21"/>
        </w:rPr>
        <w:t>网页工具</w:t>
      </w:r>
      <w:r>
        <w:rPr>
          <w:rFonts w:ascii="Times New Roman"/>
          <w:bCs/>
        </w:rPr>
        <w:t>的种类</w:t>
      </w:r>
      <w:bookmarkEnd w:id="148"/>
      <w:r>
        <w:rPr>
          <w:rFonts w:ascii="Times New Roman"/>
          <w:bCs/>
        </w:rPr>
        <w:t>和应用场景</w:t>
      </w:r>
      <w:bookmarkEnd w:id="149"/>
      <w:r>
        <w:rPr>
          <w:rFonts w:ascii="Times New Roman"/>
          <w:bCs/>
        </w:rPr>
        <w:t>；</w:t>
      </w:r>
      <w:r>
        <w:rPr>
          <w:rFonts w:ascii="Times New Roman"/>
          <w:kern w:val="0"/>
          <w:szCs w:val="21"/>
        </w:rPr>
        <w:t>熟练掌握</w:t>
      </w:r>
      <w:bookmarkStart w:id="150" w:name="_Hlk137978057"/>
      <w:r>
        <w:rPr>
          <w:rFonts w:ascii="Times New Roman"/>
          <w:kern w:val="0"/>
          <w:szCs w:val="21"/>
        </w:rPr>
        <w:t>生物信息学</w:t>
      </w:r>
      <w:bookmarkStart w:id="151" w:name="_Hlk137978535"/>
      <w:r>
        <w:rPr>
          <w:rFonts w:ascii="Times New Roman"/>
          <w:kern w:val="0"/>
          <w:szCs w:val="21"/>
        </w:rPr>
        <w:t>常用</w:t>
      </w:r>
      <w:r>
        <w:rPr>
          <w:rFonts w:ascii="Times New Roman"/>
          <w:szCs w:val="21"/>
        </w:rPr>
        <w:t>网页工具</w:t>
      </w:r>
      <w:r>
        <w:rPr>
          <w:rFonts w:ascii="Times New Roman"/>
          <w:bCs/>
        </w:rPr>
        <w:t>解决生物学问题的方法</w:t>
      </w:r>
      <w:bookmarkEnd w:id="147"/>
      <w:bookmarkEnd w:id="150"/>
      <w:bookmarkEnd w:id="151"/>
      <w:r>
        <w:rPr>
          <w:rFonts w:ascii="Times New Roman"/>
          <w:kern w:val="0"/>
          <w:szCs w:val="21"/>
        </w:rPr>
        <w:t>。</w:t>
      </w:r>
    </w:p>
    <w:p w14:paraId="639DA0B6" w14:textId="77777777" w:rsidR="00F5289E" w:rsidRDefault="00C91173">
      <w:pPr>
        <w:widowControl/>
        <w:snapToGrid w:val="0"/>
        <w:spacing w:line="360" w:lineRule="auto"/>
      </w:pPr>
      <w:r>
        <w:rPr>
          <w:b/>
          <w:bCs/>
        </w:rPr>
        <w:lastRenderedPageBreak/>
        <w:t>教学组织与实施：</w:t>
      </w:r>
      <w:r>
        <w:t>在多媒体教室进行</w:t>
      </w:r>
      <w:r>
        <w:t>PPT</w:t>
      </w:r>
      <w:r>
        <w:t>授课，课中让同学分组派出代表与教师共同</w:t>
      </w:r>
      <w:bookmarkStart w:id="152" w:name="_Hlk137978558"/>
      <w:r>
        <w:t>使用多种网页工具解决生物学问题</w:t>
      </w:r>
      <w:bookmarkEnd w:id="152"/>
      <w:r>
        <w:t>，分组讨论哪个网页工具最为高效便捷，以及</w:t>
      </w:r>
      <w:bookmarkStart w:id="153" w:name="_Hlk137978593"/>
      <w:r>
        <w:t>各个网页工具的优缺点</w:t>
      </w:r>
      <w:bookmarkEnd w:id="153"/>
      <w:r>
        <w:t>。与同学们分享本课程相关的最新的科研进展。</w:t>
      </w:r>
    </w:p>
    <w:p w14:paraId="312B5B28" w14:textId="77777777" w:rsidR="00F5289E" w:rsidRDefault="00C91173">
      <w:pPr>
        <w:snapToGrid w:val="0"/>
        <w:spacing w:line="360" w:lineRule="auto"/>
        <w:rPr>
          <w:b/>
          <w:bCs/>
        </w:rPr>
      </w:pPr>
      <w:r>
        <w:rPr>
          <w:b/>
          <w:bCs/>
        </w:rPr>
        <w:t>第二节</w:t>
      </w:r>
      <w:r>
        <w:rPr>
          <w:b/>
          <w:bCs/>
        </w:rPr>
        <w:t xml:space="preserve">  </w:t>
      </w:r>
      <w:r>
        <w:rPr>
          <w:b/>
          <w:bCs/>
        </w:rPr>
        <w:t>网页工具的选择和使用（</w:t>
      </w:r>
      <w:r>
        <w:rPr>
          <w:b/>
          <w:bCs/>
        </w:rPr>
        <w:t>1</w:t>
      </w:r>
      <w:r>
        <w:rPr>
          <w:b/>
          <w:bCs/>
        </w:rPr>
        <w:t>学时）</w:t>
      </w:r>
    </w:p>
    <w:p w14:paraId="6754DCBA" w14:textId="77777777" w:rsidR="00F5289E" w:rsidRDefault="00C91173">
      <w:pPr>
        <w:widowControl/>
        <w:snapToGrid w:val="0"/>
        <w:spacing w:line="360" w:lineRule="auto"/>
        <w:rPr>
          <w:b/>
          <w:bCs/>
          <w:kern w:val="0"/>
          <w:szCs w:val="21"/>
        </w:rPr>
      </w:pPr>
      <w:r>
        <w:rPr>
          <w:b/>
          <w:bCs/>
        </w:rPr>
        <w:t>教学目标：</w:t>
      </w:r>
      <w:r>
        <w:rPr>
          <w:kern w:val="0"/>
          <w:szCs w:val="21"/>
        </w:rPr>
        <w:t>掌握如何选择和操作正确的生物信息学</w:t>
      </w:r>
      <w:r>
        <w:rPr>
          <w:szCs w:val="21"/>
        </w:rPr>
        <w:t>网页工具</w:t>
      </w:r>
      <w:r>
        <w:rPr>
          <w:kern w:val="0"/>
          <w:szCs w:val="21"/>
        </w:rPr>
        <w:t>。</w:t>
      </w:r>
    </w:p>
    <w:p w14:paraId="3DA4CB8C" w14:textId="77777777" w:rsidR="00F5289E" w:rsidRDefault="00C91173">
      <w:pPr>
        <w:widowControl/>
        <w:snapToGrid w:val="0"/>
        <w:spacing w:line="360" w:lineRule="auto"/>
        <w:rPr>
          <w:b/>
          <w:bCs/>
          <w:kern w:val="0"/>
          <w:szCs w:val="21"/>
        </w:rPr>
      </w:pPr>
      <w:r>
        <w:rPr>
          <w:b/>
          <w:bCs/>
        </w:rPr>
        <w:t>教学重点和难点：</w:t>
      </w:r>
      <w:r>
        <w:t>生物信息学</w:t>
      </w:r>
      <w:r>
        <w:rPr>
          <w:kern w:val="0"/>
          <w:szCs w:val="21"/>
        </w:rPr>
        <w:t>常用</w:t>
      </w:r>
      <w:r>
        <w:rPr>
          <w:szCs w:val="21"/>
        </w:rPr>
        <w:t>网页工具</w:t>
      </w:r>
      <w:r>
        <w:rPr>
          <w:kern w:val="0"/>
          <w:szCs w:val="21"/>
        </w:rPr>
        <w:t>的选用和操作步骤</w:t>
      </w:r>
      <w:r>
        <w:t>。</w:t>
      </w:r>
    </w:p>
    <w:p w14:paraId="76219CFD"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r>
        <w:rPr>
          <w:rFonts w:ascii="Times New Roman"/>
          <w:bCs/>
        </w:rPr>
        <w:t>了解生物信息学常用</w:t>
      </w:r>
      <w:r>
        <w:rPr>
          <w:rFonts w:ascii="Times New Roman"/>
          <w:szCs w:val="21"/>
        </w:rPr>
        <w:t>网页工具</w:t>
      </w:r>
      <w:r>
        <w:rPr>
          <w:rFonts w:ascii="Times New Roman"/>
          <w:bCs/>
        </w:rPr>
        <w:t>的分类和主要功能；掌握</w:t>
      </w:r>
      <w:bookmarkStart w:id="154" w:name="_Hlk137978077"/>
      <w:r>
        <w:rPr>
          <w:rFonts w:ascii="Times New Roman"/>
          <w:kern w:val="0"/>
          <w:szCs w:val="21"/>
        </w:rPr>
        <w:t>生物信息学常用</w:t>
      </w:r>
      <w:r>
        <w:rPr>
          <w:rFonts w:ascii="Times New Roman"/>
          <w:szCs w:val="21"/>
        </w:rPr>
        <w:t>网页工具</w:t>
      </w:r>
      <w:r>
        <w:rPr>
          <w:rFonts w:ascii="Times New Roman"/>
          <w:kern w:val="0"/>
          <w:szCs w:val="21"/>
        </w:rPr>
        <w:t>的选用</w:t>
      </w:r>
      <w:bookmarkEnd w:id="154"/>
      <w:r>
        <w:rPr>
          <w:rFonts w:ascii="Times New Roman"/>
          <w:kern w:val="0"/>
          <w:szCs w:val="21"/>
        </w:rPr>
        <w:t>；</w:t>
      </w:r>
      <w:bookmarkStart w:id="155" w:name="_Hlk137978772"/>
      <w:r>
        <w:rPr>
          <w:rFonts w:ascii="Times New Roman"/>
          <w:kern w:val="0"/>
          <w:szCs w:val="21"/>
        </w:rPr>
        <w:t>熟练掌握生物信息学常用</w:t>
      </w:r>
      <w:r>
        <w:rPr>
          <w:rFonts w:ascii="Times New Roman"/>
          <w:szCs w:val="21"/>
        </w:rPr>
        <w:t>网页工具</w:t>
      </w:r>
      <w:r>
        <w:rPr>
          <w:rFonts w:ascii="Times New Roman"/>
          <w:kern w:val="0"/>
          <w:szCs w:val="21"/>
        </w:rPr>
        <w:t>的操作</w:t>
      </w:r>
      <w:bookmarkEnd w:id="155"/>
      <w:r>
        <w:rPr>
          <w:rFonts w:ascii="Times New Roman"/>
          <w:kern w:val="0"/>
          <w:szCs w:val="21"/>
        </w:rPr>
        <w:t>。</w:t>
      </w:r>
    </w:p>
    <w:p w14:paraId="02907BAB" w14:textId="77777777" w:rsidR="00F5289E" w:rsidRDefault="00C91173">
      <w:pPr>
        <w:widowControl/>
        <w:snapToGrid w:val="0"/>
        <w:spacing w:line="360" w:lineRule="auto"/>
        <w:jc w:val="left"/>
        <w:rPr>
          <w:b/>
          <w:kern w:val="0"/>
          <w:szCs w:val="21"/>
        </w:rPr>
      </w:pPr>
      <w:r>
        <w:rPr>
          <w:b/>
          <w:bCs/>
        </w:rPr>
        <w:t>教学组织与实施：</w:t>
      </w:r>
      <w:r>
        <w:t>在多媒体教室进行</w:t>
      </w:r>
      <w:r>
        <w:t>PPT</w:t>
      </w:r>
      <w:r>
        <w:t>授课，课中让同学分组派出代表与教师共同使用多种网页工具解决生物学问题，分组讨论哪个网页工具最为高效便捷，以及各个网页工具的优缺点。与同学们分享本课程相关的最新的科研进展。</w:t>
      </w:r>
    </w:p>
    <w:tbl>
      <w:tblPr>
        <w:tblStyle w:val="af6"/>
        <w:tblW w:w="8979" w:type="dxa"/>
        <w:tblInd w:w="4" w:type="dxa"/>
        <w:tblCellMar>
          <w:left w:w="0" w:type="dxa"/>
          <w:right w:w="0" w:type="dxa"/>
        </w:tblCellMar>
        <w:tblLook w:val="04A0" w:firstRow="1" w:lastRow="0" w:firstColumn="1" w:lastColumn="0" w:noHBand="0" w:noVBand="1"/>
      </w:tblPr>
      <w:tblGrid>
        <w:gridCol w:w="2602"/>
        <w:gridCol w:w="3367"/>
        <w:gridCol w:w="3010"/>
      </w:tblGrid>
      <w:tr w:rsidR="00F5289E" w14:paraId="552986B1" w14:textId="77777777">
        <w:trPr>
          <w:trHeight w:val="288"/>
        </w:trPr>
        <w:tc>
          <w:tcPr>
            <w:tcW w:w="2602" w:type="dxa"/>
            <w:tcBorders>
              <w:top w:val="nil"/>
              <w:left w:val="nil"/>
              <w:bottom w:val="nil"/>
              <w:right w:val="nil"/>
            </w:tcBorders>
            <w:vAlign w:val="center"/>
          </w:tcPr>
          <w:p w14:paraId="7BE4F601" w14:textId="77777777" w:rsidR="00F5289E" w:rsidRDefault="00F5289E">
            <w:pPr>
              <w:widowControl/>
              <w:snapToGrid w:val="0"/>
              <w:spacing w:line="360" w:lineRule="auto"/>
              <w:jc w:val="center"/>
              <w:rPr>
                <w:b/>
                <w:bCs/>
                <w:kern w:val="0"/>
                <w:szCs w:val="21"/>
              </w:rPr>
            </w:pPr>
          </w:p>
        </w:tc>
        <w:tc>
          <w:tcPr>
            <w:tcW w:w="3367" w:type="dxa"/>
            <w:tcBorders>
              <w:top w:val="nil"/>
              <w:left w:val="nil"/>
              <w:bottom w:val="nil"/>
              <w:right w:val="nil"/>
            </w:tcBorders>
            <w:vAlign w:val="center"/>
          </w:tcPr>
          <w:p w14:paraId="19BE8EFC" w14:textId="77777777" w:rsidR="00F5289E" w:rsidRDefault="00C91173">
            <w:pPr>
              <w:widowControl/>
              <w:snapToGrid w:val="0"/>
              <w:spacing w:line="360" w:lineRule="auto"/>
              <w:jc w:val="center"/>
              <w:rPr>
                <w:b/>
                <w:bCs/>
                <w:kern w:val="0"/>
                <w:szCs w:val="21"/>
              </w:rPr>
            </w:pPr>
            <w:r>
              <w:rPr>
                <w:b/>
                <w:bCs/>
                <w:kern w:val="0"/>
                <w:szCs w:val="21"/>
              </w:rPr>
              <w:t>第八章</w:t>
            </w:r>
            <w:r>
              <w:rPr>
                <w:b/>
                <w:bCs/>
                <w:kern w:val="0"/>
                <w:szCs w:val="21"/>
              </w:rPr>
              <w:t xml:space="preserve">  </w:t>
            </w:r>
            <w:r>
              <w:rPr>
                <w:b/>
                <w:bCs/>
                <w:kern w:val="0"/>
                <w:szCs w:val="21"/>
              </w:rPr>
              <w:t>生物信息学计算机基础</w:t>
            </w:r>
          </w:p>
        </w:tc>
        <w:tc>
          <w:tcPr>
            <w:tcW w:w="3010" w:type="dxa"/>
            <w:tcBorders>
              <w:top w:val="nil"/>
              <w:left w:val="nil"/>
              <w:bottom w:val="nil"/>
              <w:right w:val="nil"/>
            </w:tcBorders>
            <w:vAlign w:val="center"/>
          </w:tcPr>
          <w:p w14:paraId="3E802573" w14:textId="77777777" w:rsidR="00F5289E" w:rsidRDefault="00C91173">
            <w:pPr>
              <w:widowControl/>
              <w:snapToGrid w:val="0"/>
              <w:spacing w:line="360" w:lineRule="auto"/>
              <w:jc w:val="right"/>
              <w:rPr>
                <w:b/>
                <w:bCs/>
                <w:kern w:val="0"/>
                <w:szCs w:val="21"/>
              </w:rPr>
            </w:pPr>
            <w:r>
              <w:rPr>
                <w:b/>
                <w:bCs/>
                <w:kern w:val="0"/>
                <w:szCs w:val="21"/>
              </w:rPr>
              <w:t>学时数：</w:t>
            </w:r>
            <w:r>
              <w:rPr>
                <w:b/>
                <w:bCs/>
                <w:kern w:val="0"/>
                <w:szCs w:val="21"/>
              </w:rPr>
              <w:t>3</w:t>
            </w:r>
          </w:p>
        </w:tc>
      </w:tr>
    </w:tbl>
    <w:p w14:paraId="35210CF1" w14:textId="77777777" w:rsidR="00F5289E" w:rsidRDefault="00C91173">
      <w:pPr>
        <w:snapToGrid w:val="0"/>
        <w:spacing w:line="360" w:lineRule="auto"/>
        <w:rPr>
          <w:b/>
          <w:bCs/>
        </w:rPr>
      </w:pPr>
      <w:r>
        <w:rPr>
          <w:b/>
          <w:bCs/>
        </w:rPr>
        <w:t>第一节</w:t>
      </w:r>
      <w:r>
        <w:rPr>
          <w:b/>
          <w:bCs/>
        </w:rPr>
        <w:t xml:space="preserve">  Linux</w:t>
      </w:r>
      <w:r>
        <w:rPr>
          <w:b/>
          <w:bCs/>
        </w:rPr>
        <w:t>操作系统的使用（</w:t>
      </w:r>
      <w:r>
        <w:rPr>
          <w:b/>
          <w:bCs/>
        </w:rPr>
        <w:t>1</w:t>
      </w:r>
      <w:r>
        <w:rPr>
          <w:b/>
          <w:bCs/>
        </w:rPr>
        <w:t>学时）</w:t>
      </w:r>
    </w:p>
    <w:p w14:paraId="4FFA4ED2" w14:textId="77777777" w:rsidR="00F5289E" w:rsidRDefault="00C91173">
      <w:pPr>
        <w:widowControl/>
        <w:snapToGrid w:val="0"/>
        <w:spacing w:line="360" w:lineRule="auto"/>
        <w:rPr>
          <w:b/>
          <w:bCs/>
          <w:kern w:val="0"/>
          <w:szCs w:val="21"/>
        </w:rPr>
      </w:pPr>
      <w:r>
        <w:rPr>
          <w:b/>
          <w:bCs/>
        </w:rPr>
        <w:t>教学目标：</w:t>
      </w:r>
      <w:r>
        <w:rPr>
          <w:kern w:val="0"/>
          <w:szCs w:val="21"/>
        </w:rPr>
        <w:t>学习并掌握</w:t>
      </w:r>
      <w:r>
        <w:rPr>
          <w:kern w:val="0"/>
          <w:szCs w:val="21"/>
        </w:rPr>
        <w:t xml:space="preserve"> Linux </w:t>
      </w:r>
      <w:r>
        <w:rPr>
          <w:kern w:val="0"/>
          <w:szCs w:val="21"/>
        </w:rPr>
        <w:t>系统常用命令</w:t>
      </w:r>
    </w:p>
    <w:p w14:paraId="50AE9CE3" w14:textId="77777777" w:rsidR="00F5289E" w:rsidRDefault="00C91173">
      <w:pPr>
        <w:widowControl/>
        <w:snapToGrid w:val="0"/>
        <w:spacing w:line="360" w:lineRule="auto"/>
        <w:rPr>
          <w:b/>
          <w:bCs/>
          <w:kern w:val="0"/>
          <w:szCs w:val="21"/>
        </w:rPr>
      </w:pPr>
      <w:r>
        <w:rPr>
          <w:b/>
          <w:bCs/>
        </w:rPr>
        <w:t>教学重点和难点：</w:t>
      </w:r>
      <w:r>
        <w:rPr>
          <w:kern w:val="0"/>
          <w:szCs w:val="21"/>
        </w:rPr>
        <w:t>教学重点为</w:t>
      </w:r>
      <w:r>
        <w:rPr>
          <w:kern w:val="0"/>
          <w:szCs w:val="21"/>
        </w:rPr>
        <w:t>Linux Shell</w:t>
      </w:r>
      <w:r>
        <w:rPr>
          <w:kern w:val="0"/>
          <w:szCs w:val="21"/>
        </w:rPr>
        <w:t>常用命令；教学难点为学生对</w:t>
      </w:r>
      <w:r>
        <w:rPr>
          <w:kern w:val="0"/>
          <w:szCs w:val="21"/>
        </w:rPr>
        <w:t xml:space="preserve">Linux </w:t>
      </w:r>
      <w:r>
        <w:rPr>
          <w:kern w:val="0"/>
          <w:szCs w:val="21"/>
        </w:rPr>
        <w:t>系统框架的理解。</w:t>
      </w:r>
    </w:p>
    <w:p w14:paraId="55C59F0F" w14:textId="77777777" w:rsidR="00F5289E" w:rsidRDefault="00C91173">
      <w:pPr>
        <w:pStyle w:val="a7"/>
        <w:snapToGrid w:val="0"/>
        <w:spacing w:line="360" w:lineRule="auto"/>
        <w:ind w:firstLineChars="0" w:firstLine="0"/>
        <w:rPr>
          <w:rFonts w:ascii="Times New Roman"/>
          <w:color w:val="0000FF"/>
        </w:rPr>
      </w:pPr>
      <w:r>
        <w:rPr>
          <w:rFonts w:ascii="Times New Roman"/>
          <w:b/>
        </w:rPr>
        <w:t>主要教学内容及要求：</w:t>
      </w:r>
    </w:p>
    <w:p w14:paraId="1973E030" w14:textId="77777777" w:rsidR="00F5289E" w:rsidRDefault="00C91173">
      <w:pPr>
        <w:pStyle w:val="a7"/>
        <w:snapToGrid w:val="0"/>
        <w:spacing w:line="360" w:lineRule="auto"/>
        <w:rPr>
          <w:rFonts w:ascii="Times New Roman"/>
        </w:rPr>
      </w:pPr>
      <w:r>
        <w:rPr>
          <w:rFonts w:ascii="Times New Roman"/>
        </w:rPr>
        <w:t>教学内容：</w:t>
      </w:r>
    </w:p>
    <w:p w14:paraId="0D6C4DD5" w14:textId="77777777" w:rsidR="00F5289E" w:rsidRDefault="00C91173">
      <w:pPr>
        <w:pStyle w:val="a7"/>
        <w:snapToGrid w:val="0"/>
        <w:spacing w:line="360" w:lineRule="auto"/>
        <w:rPr>
          <w:rFonts w:ascii="Times New Roman"/>
        </w:rPr>
      </w:pPr>
      <w:r>
        <w:rPr>
          <w:rFonts w:ascii="Times New Roman"/>
        </w:rPr>
        <w:t>本节主要讲解</w:t>
      </w:r>
      <w:r>
        <w:rPr>
          <w:rFonts w:ascii="Times New Roman"/>
        </w:rPr>
        <w:t>Linux</w:t>
      </w:r>
      <w:r>
        <w:rPr>
          <w:rFonts w:ascii="Times New Roman"/>
        </w:rPr>
        <w:t>操作系统、</w:t>
      </w:r>
      <w:r>
        <w:rPr>
          <w:rFonts w:ascii="Times New Roman"/>
        </w:rPr>
        <w:t>Linux</w:t>
      </w:r>
      <w:r>
        <w:rPr>
          <w:rFonts w:ascii="Times New Roman"/>
        </w:rPr>
        <w:t>系统结构以及</w:t>
      </w:r>
      <w:r>
        <w:rPr>
          <w:rFonts w:ascii="Times New Roman"/>
        </w:rPr>
        <w:t>Linux Shell</w:t>
      </w:r>
      <w:r>
        <w:rPr>
          <w:rFonts w:ascii="Times New Roman"/>
        </w:rPr>
        <w:t>常用命令</w:t>
      </w:r>
    </w:p>
    <w:p w14:paraId="0EF2A74B" w14:textId="77777777" w:rsidR="00F5289E" w:rsidRDefault="00C91173">
      <w:pPr>
        <w:pStyle w:val="a7"/>
        <w:snapToGrid w:val="0"/>
        <w:spacing w:line="360" w:lineRule="auto"/>
        <w:ind w:left="420" w:firstLineChars="0" w:firstLine="0"/>
        <w:rPr>
          <w:rFonts w:ascii="Times New Roman"/>
        </w:rPr>
      </w:pPr>
      <w:r>
        <w:rPr>
          <w:rFonts w:ascii="Times New Roman"/>
        </w:rPr>
        <w:t>教学要求：</w:t>
      </w:r>
    </w:p>
    <w:p w14:paraId="0E08A398" w14:textId="77777777" w:rsidR="00F5289E" w:rsidRDefault="00C91173">
      <w:pPr>
        <w:pStyle w:val="a7"/>
        <w:snapToGrid w:val="0"/>
        <w:spacing w:line="360" w:lineRule="auto"/>
        <w:rPr>
          <w:rFonts w:ascii="Times New Roman"/>
        </w:rPr>
      </w:pPr>
      <w:r>
        <w:rPr>
          <w:rFonts w:ascii="Times New Roman"/>
        </w:rPr>
        <w:t>Linux</w:t>
      </w:r>
      <w:r>
        <w:rPr>
          <w:rFonts w:ascii="Times New Roman"/>
        </w:rPr>
        <w:t>操作系统及其结构：了解当前主流的计算操作系统（</w:t>
      </w:r>
      <w:r>
        <w:rPr>
          <w:rFonts w:ascii="Times New Roman"/>
        </w:rPr>
        <w:t>Linux</w:t>
      </w:r>
      <w:r>
        <w:rPr>
          <w:rFonts w:ascii="Times New Roman"/>
        </w:rPr>
        <w:t>，</w:t>
      </w:r>
      <w:r>
        <w:rPr>
          <w:rFonts w:ascii="Times New Roman"/>
        </w:rPr>
        <w:t>Windows</w:t>
      </w:r>
      <w:r>
        <w:rPr>
          <w:rFonts w:ascii="Times New Roman"/>
        </w:rPr>
        <w:t>，</w:t>
      </w:r>
      <w:r>
        <w:rPr>
          <w:rFonts w:ascii="Times New Roman"/>
        </w:rPr>
        <w:t>Mac</w:t>
      </w:r>
      <w:r>
        <w:rPr>
          <w:rFonts w:ascii="Times New Roman"/>
        </w:rPr>
        <w:t>），并对各操作系统进行总结</w:t>
      </w:r>
      <w:r>
        <w:rPr>
          <w:rFonts w:ascii="Times New Roman"/>
        </w:rPr>
        <w:t xml:space="preserve">, </w:t>
      </w:r>
      <w:r>
        <w:rPr>
          <w:rFonts w:ascii="Times New Roman"/>
        </w:rPr>
        <w:t>分析它们的优劣。</w:t>
      </w:r>
    </w:p>
    <w:p w14:paraId="7C78AC4C" w14:textId="77777777" w:rsidR="00F5289E" w:rsidRDefault="00C91173">
      <w:pPr>
        <w:pStyle w:val="a7"/>
        <w:snapToGrid w:val="0"/>
        <w:spacing w:line="360" w:lineRule="auto"/>
        <w:rPr>
          <w:rFonts w:ascii="Times New Roman"/>
        </w:rPr>
      </w:pPr>
      <w:r>
        <w:rPr>
          <w:rFonts w:ascii="Times New Roman"/>
        </w:rPr>
        <w:t>Linux Shell</w:t>
      </w:r>
      <w:r>
        <w:rPr>
          <w:rFonts w:ascii="Times New Roman"/>
        </w:rPr>
        <w:t>常用命令：熟练掌握用户和工作组管理、文件查看与查找、文件处理、文件操作与备份、系统维护与管理等</w:t>
      </w:r>
      <w:r>
        <w:rPr>
          <w:rFonts w:ascii="Times New Roman"/>
        </w:rPr>
        <w:t>Linux Shell</w:t>
      </w:r>
      <w:r>
        <w:rPr>
          <w:rFonts w:ascii="Times New Roman"/>
        </w:rPr>
        <w:t>常用命令。</w:t>
      </w:r>
    </w:p>
    <w:p w14:paraId="3C76D4A6" w14:textId="77777777" w:rsidR="00F5289E" w:rsidRDefault="00C91173">
      <w:pPr>
        <w:widowControl/>
        <w:snapToGrid w:val="0"/>
        <w:spacing w:line="360" w:lineRule="auto"/>
        <w:rPr>
          <w:b/>
          <w:bCs/>
        </w:rPr>
      </w:pPr>
      <w:r>
        <w:rPr>
          <w:b/>
          <w:bCs/>
        </w:rPr>
        <w:t>教学组织与实施：</w:t>
      </w:r>
      <w:r>
        <w:t>认识和了</w:t>
      </w:r>
      <w:r>
        <w:rPr>
          <w:kern w:val="0"/>
          <w:szCs w:val="21"/>
        </w:rPr>
        <w:t>解</w:t>
      </w:r>
      <w:r>
        <w:rPr>
          <w:kern w:val="0"/>
          <w:szCs w:val="21"/>
        </w:rPr>
        <w:t>Linux</w:t>
      </w:r>
      <w:r>
        <w:rPr>
          <w:kern w:val="0"/>
          <w:szCs w:val="21"/>
        </w:rPr>
        <w:t>操作系统</w:t>
      </w:r>
      <w:r>
        <w:t>及其架构是本章学习的目的。在课程中，结合生信分析过程中具体实例来演示</w:t>
      </w:r>
      <w:r>
        <w:rPr>
          <w:kern w:val="0"/>
          <w:szCs w:val="21"/>
        </w:rPr>
        <w:t xml:space="preserve">Linux </w:t>
      </w:r>
      <w:r>
        <w:rPr>
          <w:kern w:val="0"/>
          <w:szCs w:val="21"/>
        </w:rPr>
        <w:t>系统常用命令的使用方式</w:t>
      </w:r>
      <w:r>
        <w:t>，加深学生对</w:t>
      </w:r>
      <w:r>
        <w:rPr>
          <w:kern w:val="0"/>
          <w:szCs w:val="21"/>
        </w:rPr>
        <w:t xml:space="preserve">Linux </w:t>
      </w:r>
      <w:r>
        <w:rPr>
          <w:kern w:val="0"/>
          <w:szCs w:val="21"/>
        </w:rPr>
        <w:t>系统</w:t>
      </w:r>
      <w:r>
        <w:t>的理解。通过开展分组（班）讨论，与学生充分互动。</w:t>
      </w:r>
    </w:p>
    <w:p w14:paraId="35C8B3A8" w14:textId="77777777" w:rsidR="00F5289E" w:rsidRDefault="00C91173">
      <w:pPr>
        <w:snapToGrid w:val="0"/>
        <w:spacing w:line="360" w:lineRule="auto"/>
        <w:rPr>
          <w:b/>
          <w:bCs/>
        </w:rPr>
      </w:pPr>
      <w:r>
        <w:rPr>
          <w:b/>
          <w:bCs/>
        </w:rPr>
        <w:t>第二节</w:t>
      </w:r>
      <w:r>
        <w:rPr>
          <w:b/>
          <w:bCs/>
        </w:rPr>
        <w:t xml:space="preserve">  Python</w:t>
      </w:r>
      <w:r>
        <w:rPr>
          <w:b/>
          <w:bCs/>
        </w:rPr>
        <w:t>和</w:t>
      </w:r>
      <w:r>
        <w:rPr>
          <w:b/>
          <w:bCs/>
        </w:rPr>
        <w:t>R</w:t>
      </w:r>
      <w:r>
        <w:rPr>
          <w:b/>
          <w:bCs/>
        </w:rPr>
        <w:t>编程语言（</w:t>
      </w:r>
      <w:r>
        <w:rPr>
          <w:b/>
          <w:bCs/>
        </w:rPr>
        <w:t>2</w:t>
      </w:r>
      <w:r>
        <w:rPr>
          <w:b/>
          <w:bCs/>
        </w:rPr>
        <w:t>学时）</w:t>
      </w:r>
    </w:p>
    <w:p w14:paraId="6FA0F537" w14:textId="77777777" w:rsidR="00F5289E" w:rsidRDefault="00C91173">
      <w:pPr>
        <w:widowControl/>
        <w:snapToGrid w:val="0"/>
        <w:spacing w:line="360" w:lineRule="auto"/>
        <w:rPr>
          <w:b/>
          <w:bCs/>
          <w:kern w:val="0"/>
          <w:szCs w:val="21"/>
        </w:rPr>
      </w:pPr>
      <w:r>
        <w:rPr>
          <w:b/>
          <w:bCs/>
        </w:rPr>
        <w:t>教学目标：</w:t>
      </w:r>
      <w:r>
        <w:rPr>
          <w:kern w:val="0"/>
          <w:szCs w:val="21"/>
        </w:rPr>
        <w:t>学习并掌握</w:t>
      </w:r>
      <w:r>
        <w:rPr>
          <w:kern w:val="0"/>
          <w:szCs w:val="21"/>
        </w:rPr>
        <w:t xml:space="preserve"> Python</w:t>
      </w:r>
      <w:r>
        <w:rPr>
          <w:kern w:val="0"/>
          <w:szCs w:val="21"/>
        </w:rPr>
        <w:t>和</w:t>
      </w:r>
      <w:r>
        <w:rPr>
          <w:kern w:val="0"/>
          <w:szCs w:val="21"/>
        </w:rPr>
        <w:t>R</w:t>
      </w:r>
      <w:r>
        <w:rPr>
          <w:kern w:val="0"/>
          <w:szCs w:val="21"/>
        </w:rPr>
        <w:t>编程语言的语法规则和使用场景</w:t>
      </w:r>
    </w:p>
    <w:p w14:paraId="0CEC403C" w14:textId="77777777" w:rsidR="00F5289E" w:rsidRDefault="00C91173">
      <w:pPr>
        <w:widowControl/>
        <w:snapToGrid w:val="0"/>
        <w:spacing w:line="360" w:lineRule="auto"/>
        <w:rPr>
          <w:b/>
          <w:bCs/>
          <w:kern w:val="0"/>
          <w:szCs w:val="21"/>
        </w:rPr>
      </w:pPr>
      <w:r>
        <w:rPr>
          <w:b/>
          <w:bCs/>
        </w:rPr>
        <w:t>教学重点和难点：</w:t>
      </w:r>
      <w:r>
        <w:rPr>
          <w:bCs/>
        </w:rPr>
        <w:t>教学重点为掌握</w:t>
      </w:r>
      <w:r>
        <w:rPr>
          <w:bCs/>
        </w:rPr>
        <w:t>Python</w:t>
      </w:r>
      <w:r>
        <w:rPr>
          <w:bCs/>
        </w:rPr>
        <w:t>和</w:t>
      </w:r>
      <w:r>
        <w:rPr>
          <w:bCs/>
        </w:rPr>
        <w:t>R</w:t>
      </w:r>
      <w:r>
        <w:rPr>
          <w:bCs/>
        </w:rPr>
        <w:t>语言的基本使用；教学难点为构建出基于程序编写的逻辑思维能力。</w:t>
      </w:r>
    </w:p>
    <w:p w14:paraId="5E68FE02" w14:textId="77777777" w:rsidR="00F5289E" w:rsidRDefault="00C91173">
      <w:pPr>
        <w:pStyle w:val="a7"/>
        <w:snapToGrid w:val="0"/>
        <w:spacing w:line="360" w:lineRule="auto"/>
        <w:ind w:firstLineChars="0" w:firstLine="0"/>
        <w:rPr>
          <w:rFonts w:ascii="Times New Roman"/>
        </w:rPr>
      </w:pPr>
      <w:r>
        <w:rPr>
          <w:rFonts w:ascii="Times New Roman"/>
          <w:b/>
        </w:rPr>
        <w:t>主要教学内容及要求：</w:t>
      </w:r>
    </w:p>
    <w:p w14:paraId="7CE5861D" w14:textId="77777777" w:rsidR="00F5289E" w:rsidRDefault="00C91173">
      <w:pPr>
        <w:pStyle w:val="a7"/>
        <w:snapToGrid w:val="0"/>
        <w:spacing w:line="360" w:lineRule="auto"/>
        <w:rPr>
          <w:rFonts w:ascii="Times New Roman"/>
        </w:rPr>
      </w:pPr>
      <w:r>
        <w:rPr>
          <w:rFonts w:ascii="Times New Roman"/>
        </w:rPr>
        <w:t>教学内容：</w:t>
      </w:r>
    </w:p>
    <w:p w14:paraId="0C56FC40" w14:textId="77777777" w:rsidR="00F5289E" w:rsidRDefault="00C91173">
      <w:pPr>
        <w:pStyle w:val="a7"/>
        <w:snapToGrid w:val="0"/>
        <w:spacing w:line="360" w:lineRule="auto"/>
        <w:rPr>
          <w:rFonts w:ascii="Times New Roman"/>
        </w:rPr>
      </w:pPr>
      <w:r>
        <w:rPr>
          <w:rFonts w:ascii="Times New Roman"/>
        </w:rPr>
        <w:t>本节主要讲解计算机编程语言的概念；</w:t>
      </w:r>
      <w:r>
        <w:rPr>
          <w:rFonts w:ascii="Times New Roman"/>
        </w:rPr>
        <w:t>Python</w:t>
      </w:r>
      <w:r>
        <w:rPr>
          <w:rFonts w:ascii="Times New Roman"/>
        </w:rPr>
        <w:t>基础（</w:t>
      </w:r>
      <w:r>
        <w:rPr>
          <w:rFonts w:ascii="Times New Roman"/>
        </w:rPr>
        <w:t>Python</w:t>
      </w:r>
      <w:r>
        <w:rPr>
          <w:rFonts w:ascii="Times New Roman"/>
        </w:rPr>
        <w:t>的安装与使用，变量、函数、多态、模块和包）；</w:t>
      </w:r>
      <w:r>
        <w:rPr>
          <w:rFonts w:ascii="Times New Roman"/>
        </w:rPr>
        <w:t>Python</w:t>
      </w:r>
      <w:r>
        <w:rPr>
          <w:rFonts w:ascii="Times New Roman"/>
        </w:rPr>
        <w:t>对象；赋值、条件和循环；文件操作。</w:t>
      </w:r>
      <w:r>
        <w:rPr>
          <w:rFonts w:ascii="Times New Roman"/>
        </w:rPr>
        <w:t>R</w:t>
      </w:r>
      <w:r>
        <w:rPr>
          <w:rFonts w:ascii="Times New Roman"/>
        </w:rPr>
        <w:t>程序包的安装；</w:t>
      </w:r>
      <w:r>
        <w:rPr>
          <w:rFonts w:ascii="Times New Roman"/>
        </w:rPr>
        <w:t>R</w:t>
      </w:r>
      <w:r>
        <w:rPr>
          <w:rFonts w:ascii="Times New Roman"/>
        </w:rPr>
        <w:t>对象与函数；</w:t>
      </w:r>
      <w:r>
        <w:rPr>
          <w:rFonts w:ascii="Times New Roman"/>
        </w:rPr>
        <w:lastRenderedPageBreak/>
        <w:t>R</w:t>
      </w:r>
      <w:r>
        <w:rPr>
          <w:rFonts w:ascii="Times New Roman"/>
        </w:rPr>
        <w:t>语言作图。</w:t>
      </w:r>
    </w:p>
    <w:p w14:paraId="0017E484" w14:textId="77777777" w:rsidR="00F5289E" w:rsidRDefault="00C91173">
      <w:pPr>
        <w:pStyle w:val="a7"/>
        <w:snapToGrid w:val="0"/>
        <w:spacing w:line="360" w:lineRule="auto"/>
        <w:rPr>
          <w:rFonts w:ascii="Times New Roman"/>
        </w:rPr>
      </w:pPr>
      <w:r>
        <w:rPr>
          <w:rFonts w:ascii="Times New Roman"/>
        </w:rPr>
        <w:t>教学要求：</w:t>
      </w:r>
    </w:p>
    <w:p w14:paraId="2FA65773" w14:textId="77777777" w:rsidR="00F5289E" w:rsidRDefault="00C91173">
      <w:pPr>
        <w:pStyle w:val="a7"/>
        <w:snapToGrid w:val="0"/>
        <w:spacing w:line="360" w:lineRule="auto"/>
        <w:rPr>
          <w:rFonts w:ascii="Times New Roman"/>
        </w:rPr>
      </w:pPr>
      <w:r>
        <w:rPr>
          <w:rFonts w:ascii="Times New Roman"/>
        </w:rPr>
        <w:t>Python</w:t>
      </w:r>
      <w:r>
        <w:rPr>
          <w:rFonts w:ascii="Times New Roman"/>
        </w:rPr>
        <w:t>语言：理解面向对象编程的概念；熟练掌握</w:t>
      </w:r>
      <w:r>
        <w:rPr>
          <w:rFonts w:ascii="Times New Roman"/>
        </w:rPr>
        <w:t>Python</w:t>
      </w:r>
      <w:r>
        <w:rPr>
          <w:rFonts w:ascii="Times New Roman"/>
        </w:rPr>
        <w:t>语言的语法规则；熟练掌握生物数据处理中常用包的使用，例如</w:t>
      </w:r>
      <w:proofErr w:type="spellStart"/>
      <w:r>
        <w:rPr>
          <w:rFonts w:ascii="Times New Roman"/>
        </w:rPr>
        <w:t>Biopython</w:t>
      </w:r>
      <w:proofErr w:type="spellEnd"/>
      <w:r>
        <w:rPr>
          <w:rFonts w:ascii="Times New Roman"/>
        </w:rPr>
        <w:t>、</w:t>
      </w:r>
      <w:proofErr w:type="spellStart"/>
      <w:r>
        <w:rPr>
          <w:rFonts w:ascii="Times New Roman"/>
        </w:rPr>
        <w:t>Numpy</w:t>
      </w:r>
      <w:proofErr w:type="spellEnd"/>
      <w:r>
        <w:rPr>
          <w:rFonts w:ascii="Times New Roman"/>
        </w:rPr>
        <w:t>以及</w:t>
      </w:r>
      <w:r>
        <w:rPr>
          <w:rFonts w:ascii="Times New Roman"/>
        </w:rPr>
        <w:t>Pandas</w:t>
      </w:r>
      <w:r>
        <w:rPr>
          <w:rFonts w:ascii="Times New Roman"/>
        </w:rPr>
        <w:t>等。</w:t>
      </w:r>
    </w:p>
    <w:p w14:paraId="1B7592CD" w14:textId="77777777" w:rsidR="00F5289E" w:rsidRDefault="00C91173">
      <w:pPr>
        <w:pStyle w:val="a7"/>
        <w:snapToGrid w:val="0"/>
        <w:spacing w:line="360" w:lineRule="auto"/>
        <w:rPr>
          <w:rFonts w:ascii="Times New Roman"/>
        </w:rPr>
      </w:pPr>
      <w:r>
        <w:rPr>
          <w:rFonts w:ascii="Times New Roman"/>
        </w:rPr>
        <w:t>R</w:t>
      </w:r>
      <w:r>
        <w:rPr>
          <w:rFonts w:ascii="Times New Roman"/>
        </w:rPr>
        <w:t>语言：熟练掌握</w:t>
      </w:r>
      <w:r>
        <w:rPr>
          <w:rFonts w:ascii="Times New Roman"/>
        </w:rPr>
        <w:t>R</w:t>
      </w:r>
      <w:r>
        <w:rPr>
          <w:rFonts w:ascii="Times New Roman"/>
        </w:rPr>
        <w:t>语言的语法规则；熟练掌握</w:t>
      </w:r>
      <w:r>
        <w:rPr>
          <w:rFonts w:ascii="Times New Roman"/>
        </w:rPr>
        <w:t>R</w:t>
      </w:r>
      <w:r>
        <w:rPr>
          <w:rFonts w:ascii="Times New Roman"/>
        </w:rPr>
        <w:t>语言在统计检验中的应用；数量掌握使用</w:t>
      </w:r>
      <w:r>
        <w:rPr>
          <w:rFonts w:ascii="Times New Roman"/>
        </w:rPr>
        <w:t>R</w:t>
      </w:r>
      <w:r>
        <w:rPr>
          <w:rFonts w:ascii="Times New Roman"/>
        </w:rPr>
        <w:t>语言进行散点图、柱状图以及折线图等图形的绘制。</w:t>
      </w:r>
    </w:p>
    <w:p w14:paraId="088D702F" w14:textId="77777777" w:rsidR="00F5289E" w:rsidRDefault="00C91173">
      <w:pPr>
        <w:widowControl/>
        <w:snapToGrid w:val="0"/>
        <w:spacing w:line="360" w:lineRule="auto"/>
      </w:pPr>
      <w:r>
        <w:rPr>
          <w:b/>
          <w:bCs/>
        </w:rPr>
        <w:t>教学组织与实施：</w:t>
      </w:r>
      <w:r>
        <w:t>了解和掌握</w:t>
      </w:r>
      <w:r>
        <w:t>Python</w:t>
      </w:r>
      <w:r>
        <w:t>与</w:t>
      </w:r>
      <w:r>
        <w:t>R</w:t>
      </w:r>
      <w:r>
        <w:t>语言在生信分析中的实用性和重要性是本章学习的目的。在课程中，结合生信分析过程中具体实例来演示</w:t>
      </w:r>
      <w:r>
        <w:t>Python</w:t>
      </w:r>
      <w:r>
        <w:t>与</w:t>
      </w:r>
      <w:r>
        <w:t>R</w:t>
      </w:r>
      <w:r>
        <w:t>语言</w:t>
      </w:r>
      <w:r>
        <w:rPr>
          <w:kern w:val="0"/>
          <w:szCs w:val="21"/>
        </w:rPr>
        <w:t>的使用方式</w:t>
      </w:r>
      <w:r>
        <w:t>，加深学生对编程语言的理解。通过开展分组（班）讨论，与学生充分互动。</w:t>
      </w:r>
    </w:p>
    <w:p w14:paraId="351566E9" w14:textId="77777777" w:rsidR="00F5289E" w:rsidRDefault="00F5289E">
      <w:pPr>
        <w:widowControl/>
        <w:snapToGrid w:val="0"/>
        <w:spacing w:line="360" w:lineRule="auto"/>
        <w:jc w:val="left"/>
        <w:rPr>
          <w:b/>
          <w:bCs/>
          <w:kern w:val="0"/>
          <w:szCs w:val="21"/>
        </w:rPr>
      </w:pPr>
    </w:p>
    <w:p w14:paraId="1119B617" w14:textId="77777777" w:rsidR="00F5289E" w:rsidRDefault="00C91173">
      <w:pPr>
        <w:widowControl/>
        <w:snapToGrid w:val="0"/>
        <w:spacing w:line="360" w:lineRule="auto"/>
        <w:jc w:val="left"/>
        <w:rPr>
          <w:bCs/>
          <w:kern w:val="0"/>
          <w:szCs w:val="21"/>
        </w:rPr>
      </w:pPr>
      <w:r>
        <w:rPr>
          <w:b/>
          <w:bCs/>
          <w:kern w:val="0"/>
          <w:szCs w:val="21"/>
        </w:rPr>
        <w:t>五、实验教学内容及学时分配（</w:t>
      </w:r>
      <w:r>
        <w:rPr>
          <w:b/>
          <w:bCs/>
          <w:kern w:val="0"/>
          <w:szCs w:val="21"/>
        </w:rPr>
        <w:t>12</w:t>
      </w:r>
      <w:r>
        <w:rPr>
          <w:b/>
          <w:bCs/>
          <w:kern w:val="0"/>
          <w:szCs w:val="21"/>
        </w:rPr>
        <w:t>学时）</w:t>
      </w:r>
    </w:p>
    <w:p w14:paraId="226B41BC" w14:textId="77777777" w:rsidR="00F5289E" w:rsidRDefault="00C91173">
      <w:pPr>
        <w:snapToGrid w:val="0"/>
        <w:spacing w:line="360" w:lineRule="auto"/>
        <w:rPr>
          <w:b/>
          <w:bCs/>
          <w:szCs w:val="21"/>
        </w:rPr>
      </w:pPr>
      <w:r>
        <w:rPr>
          <w:b/>
          <w:szCs w:val="21"/>
        </w:rPr>
        <w:t>（一）</w:t>
      </w:r>
      <w:r>
        <w:rPr>
          <w:b/>
          <w:bCs/>
          <w:szCs w:val="21"/>
        </w:rPr>
        <w:t>实验课程简介</w:t>
      </w:r>
    </w:p>
    <w:p w14:paraId="07C597AD" w14:textId="77777777" w:rsidR="00F5289E" w:rsidRDefault="00C91173">
      <w:pPr>
        <w:snapToGrid w:val="0"/>
        <w:spacing w:line="360" w:lineRule="auto"/>
        <w:ind w:firstLineChars="200" w:firstLine="420"/>
        <w:rPr>
          <w:bCs/>
          <w:szCs w:val="21"/>
        </w:rPr>
      </w:pPr>
      <w:r>
        <w:rPr>
          <w:bCs/>
          <w:szCs w:val="21"/>
        </w:rPr>
        <w:t>本课程为园艺、设施农业科学与工程、茶学选修专业加深课，主要从，使学生基础生命科学的理解，并通过综合性、实践性实验研究，培养学生的相关实践操作技能和初步独立进行科学研究的能力。</w:t>
      </w:r>
    </w:p>
    <w:p w14:paraId="42587B2C" w14:textId="77777777" w:rsidR="00F5289E" w:rsidRDefault="00C91173">
      <w:pPr>
        <w:snapToGrid w:val="0"/>
        <w:spacing w:line="360" w:lineRule="auto"/>
        <w:rPr>
          <w:b/>
          <w:bCs/>
          <w:szCs w:val="21"/>
        </w:rPr>
      </w:pPr>
      <w:r>
        <w:rPr>
          <w:b/>
          <w:bCs/>
          <w:szCs w:val="21"/>
        </w:rPr>
        <w:t>（二）实验教学目的和基本要求</w:t>
      </w:r>
    </w:p>
    <w:p w14:paraId="577A3115" w14:textId="77777777" w:rsidR="00F5289E" w:rsidRDefault="00C91173">
      <w:pPr>
        <w:snapToGrid w:val="0"/>
        <w:spacing w:line="360" w:lineRule="auto"/>
        <w:ind w:firstLineChars="200" w:firstLine="420"/>
      </w:pPr>
      <w:r>
        <w:t>1</w:t>
      </w:r>
      <w:r>
        <w:t>、通过实验课教学加深对生物信息学的理解，更好地掌握生物信息学的概念和基本原理。</w:t>
      </w:r>
    </w:p>
    <w:p w14:paraId="05B9D444" w14:textId="77777777" w:rsidR="00F5289E" w:rsidRDefault="00C91173">
      <w:pPr>
        <w:snapToGrid w:val="0"/>
        <w:spacing w:line="360" w:lineRule="auto"/>
        <w:ind w:firstLineChars="200" w:firstLine="420"/>
      </w:pPr>
      <w:r>
        <w:t>2</w:t>
      </w:r>
      <w:r>
        <w:t>、通过实验课教学对学生进行基础操作技术的训练，使学生学会与生物信息学有关的分析方法与技术，能够解决科学研究和生产中的有关问题。</w:t>
      </w:r>
    </w:p>
    <w:p w14:paraId="4510DBD1" w14:textId="77777777" w:rsidR="00F5289E" w:rsidRDefault="00C91173">
      <w:pPr>
        <w:snapToGrid w:val="0"/>
        <w:spacing w:line="360" w:lineRule="auto"/>
        <w:ind w:firstLineChars="200" w:firstLine="420"/>
      </w:pPr>
      <w:r>
        <w:t>让每一个学生参与整个实验过程的操作。要求学生写出所有实验的实验报告，实验课成绩作为本门课程最终成绩的一部分。</w:t>
      </w:r>
    </w:p>
    <w:p w14:paraId="32CDB3B9" w14:textId="77777777" w:rsidR="00F5289E" w:rsidRDefault="00C91173">
      <w:pPr>
        <w:snapToGrid w:val="0"/>
        <w:spacing w:line="360" w:lineRule="auto"/>
        <w:rPr>
          <w:b/>
        </w:rPr>
      </w:pPr>
      <w:r>
        <w:rPr>
          <w:b/>
        </w:rPr>
        <w:t>（三）实验安全操作规范</w:t>
      </w:r>
    </w:p>
    <w:p w14:paraId="18748F09" w14:textId="77777777" w:rsidR="00F5289E" w:rsidRDefault="00C91173">
      <w:pPr>
        <w:snapToGrid w:val="0"/>
        <w:spacing w:line="360" w:lineRule="auto"/>
        <w:ind w:firstLineChars="200" w:firstLine="420"/>
      </w:pPr>
      <w:r>
        <w:t>课程老师根据计算机机房操作规范要求为学生开展相关实验，规范使用计算机和相关设备等，确保学生实验安全。</w:t>
      </w:r>
    </w:p>
    <w:p w14:paraId="4AA0030B" w14:textId="77777777" w:rsidR="00F5289E" w:rsidRDefault="00C91173">
      <w:pPr>
        <w:snapToGrid w:val="0"/>
        <w:spacing w:line="360" w:lineRule="auto"/>
        <w:rPr>
          <w:b/>
          <w:bCs/>
          <w:szCs w:val="21"/>
        </w:rPr>
      </w:pPr>
      <w:r>
        <w:rPr>
          <w:b/>
          <w:bCs/>
          <w:szCs w:val="21"/>
        </w:rPr>
        <w:t>（四）实验项目名称与学时分配</w:t>
      </w:r>
    </w:p>
    <w:tbl>
      <w:tblPr>
        <w:tblStyle w:val="af6"/>
        <w:tblW w:w="0" w:type="auto"/>
        <w:jc w:val="center"/>
        <w:tblLook w:val="04A0" w:firstRow="1" w:lastRow="0" w:firstColumn="1" w:lastColumn="0" w:noHBand="0" w:noVBand="1"/>
      </w:tblPr>
      <w:tblGrid>
        <w:gridCol w:w="1252"/>
        <w:gridCol w:w="2964"/>
        <w:gridCol w:w="885"/>
        <w:gridCol w:w="1081"/>
        <w:gridCol w:w="1424"/>
        <w:gridCol w:w="1284"/>
      </w:tblGrid>
      <w:tr w:rsidR="00F5289E" w14:paraId="3CCEA90F" w14:textId="77777777">
        <w:trPr>
          <w:jc w:val="center"/>
        </w:trPr>
        <w:tc>
          <w:tcPr>
            <w:tcW w:w="1252" w:type="dxa"/>
            <w:shd w:val="clear" w:color="auto" w:fill="EEECE1" w:themeFill="background2"/>
            <w:vAlign w:val="center"/>
          </w:tcPr>
          <w:p w14:paraId="77A18E5D" w14:textId="77777777" w:rsidR="00F5289E" w:rsidRDefault="00C91173">
            <w:pPr>
              <w:jc w:val="center"/>
              <w:rPr>
                <w:b/>
                <w:bCs/>
                <w:sz w:val="18"/>
                <w:szCs w:val="18"/>
              </w:rPr>
            </w:pPr>
            <w:r>
              <w:rPr>
                <w:b/>
                <w:bCs/>
                <w:sz w:val="18"/>
                <w:szCs w:val="18"/>
              </w:rPr>
              <w:t>序号</w:t>
            </w:r>
          </w:p>
        </w:tc>
        <w:tc>
          <w:tcPr>
            <w:tcW w:w="2964" w:type="dxa"/>
            <w:shd w:val="clear" w:color="auto" w:fill="EEECE1" w:themeFill="background2"/>
            <w:vAlign w:val="center"/>
          </w:tcPr>
          <w:p w14:paraId="0BDF9008" w14:textId="77777777" w:rsidR="00F5289E" w:rsidRDefault="00C91173">
            <w:pPr>
              <w:jc w:val="center"/>
              <w:rPr>
                <w:b/>
                <w:bCs/>
                <w:sz w:val="18"/>
                <w:szCs w:val="18"/>
              </w:rPr>
            </w:pPr>
            <w:r>
              <w:rPr>
                <w:b/>
                <w:bCs/>
                <w:sz w:val="18"/>
                <w:szCs w:val="18"/>
              </w:rPr>
              <w:t>实验名称</w:t>
            </w:r>
          </w:p>
        </w:tc>
        <w:tc>
          <w:tcPr>
            <w:tcW w:w="885" w:type="dxa"/>
            <w:shd w:val="clear" w:color="auto" w:fill="EEECE1" w:themeFill="background2"/>
            <w:vAlign w:val="center"/>
          </w:tcPr>
          <w:p w14:paraId="1AA53B54" w14:textId="77777777" w:rsidR="00F5289E" w:rsidRDefault="00C91173">
            <w:pPr>
              <w:jc w:val="center"/>
              <w:rPr>
                <w:b/>
                <w:bCs/>
                <w:sz w:val="18"/>
                <w:szCs w:val="18"/>
              </w:rPr>
            </w:pPr>
            <w:r>
              <w:rPr>
                <w:b/>
                <w:bCs/>
                <w:sz w:val="18"/>
                <w:szCs w:val="18"/>
              </w:rPr>
              <w:t>学时</w:t>
            </w:r>
          </w:p>
        </w:tc>
        <w:tc>
          <w:tcPr>
            <w:tcW w:w="1081" w:type="dxa"/>
            <w:shd w:val="clear" w:color="auto" w:fill="EEECE1" w:themeFill="background2"/>
            <w:vAlign w:val="center"/>
          </w:tcPr>
          <w:p w14:paraId="4FE1D6BD" w14:textId="77777777" w:rsidR="00F5289E" w:rsidRDefault="00C91173">
            <w:pPr>
              <w:jc w:val="center"/>
              <w:rPr>
                <w:b/>
                <w:bCs/>
                <w:sz w:val="18"/>
                <w:szCs w:val="18"/>
              </w:rPr>
            </w:pPr>
            <w:r>
              <w:rPr>
                <w:b/>
                <w:bCs/>
                <w:sz w:val="18"/>
                <w:szCs w:val="18"/>
              </w:rPr>
              <w:t>类型</w:t>
            </w:r>
          </w:p>
        </w:tc>
        <w:tc>
          <w:tcPr>
            <w:tcW w:w="1424" w:type="dxa"/>
            <w:shd w:val="clear" w:color="auto" w:fill="EEECE1" w:themeFill="background2"/>
            <w:vAlign w:val="center"/>
          </w:tcPr>
          <w:p w14:paraId="25F7E69B" w14:textId="77777777" w:rsidR="00F5289E" w:rsidRDefault="00C91173">
            <w:pPr>
              <w:jc w:val="center"/>
              <w:rPr>
                <w:b/>
                <w:bCs/>
                <w:sz w:val="18"/>
                <w:szCs w:val="18"/>
              </w:rPr>
            </w:pPr>
            <w:r>
              <w:rPr>
                <w:b/>
                <w:bCs/>
                <w:sz w:val="18"/>
                <w:szCs w:val="18"/>
              </w:rPr>
              <w:t>实验要求</w:t>
            </w:r>
          </w:p>
        </w:tc>
        <w:tc>
          <w:tcPr>
            <w:tcW w:w="1284" w:type="dxa"/>
            <w:shd w:val="clear" w:color="auto" w:fill="EEECE1" w:themeFill="background2"/>
            <w:vAlign w:val="center"/>
          </w:tcPr>
          <w:p w14:paraId="325688E6" w14:textId="77777777" w:rsidR="00F5289E" w:rsidRDefault="00C91173">
            <w:pPr>
              <w:jc w:val="center"/>
              <w:rPr>
                <w:b/>
                <w:bCs/>
                <w:sz w:val="18"/>
                <w:szCs w:val="18"/>
              </w:rPr>
            </w:pPr>
            <w:r>
              <w:rPr>
                <w:b/>
                <w:bCs/>
                <w:sz w:val="18"/>
                <w:szCs w:val="18"/>
              </w:rPr>
              <w:t>每组人数</w:t>
            </w:r>
          </w:p>
        </w:tc>
      </w:tr>
      <w:tr w:rsidR="00F5289E" w14:paraId="16424C88" w14:textId="77777777">
        <w:trPr>
          <w:jc w:val="center"/>
        </w:trPr>
        <w:tc>
          <w:tcPr>
            <w:tcW w:w="1252" w:type="dxa"/>
          </w:tcPr>
          <w:p w14:paraId="5F38858E" w14:textId="77777777" w:rsidR="00F5289E" w:rsidRDefault="00C91173">
            <w:r>
              <w:t>1901112501</w:t>
            </w:r>
          </w:p>
        </w:tc>
        <w:tc>
          <w:tcPr>
            <w:tcW w:w="2964" w:type="dxa"/>
            <w:vAlign w:val="center"/>
          </w:tcPr>
          <w:p w14:paraId="16688203" w14:textId="77777777" w:rsidR="00F5289E" w:rsidRDefault="00C91173">
            <w:pPr>
              <w:jc w:val="center"/>
              <w:rPr>
                <w:sz w:val="18"/>
                <w:szCs w:val="18"/>
              </w:rPr>
            </w:pPr>
            <w:r>
              <w:rPr>
                <w:sz w:val="18"/>
                <w:szCs w:val="18"/>
              </w:rPr>
              <w:t>美国国家生物技术信息中心的使用</w:t>
            </w:r>
          </w:p>
        </w:tc>
        <w:tc>
          <w:tcPr>
            <w:tcW w:w="885" w:type="dxa"/>
            <w:vAlign w:val="center"/>
          </w:tcPr>
          <w:p w14:paraId="4250765F" w14:textId="77777777" w:rsidR="00F5289E" w:rsidRDefault="00C91173">
            <w:pPr>
              <w:jc w:val="center"/>
              <w:rPr>
                <w:sz w:val="18"/>
                <w:szCs w:val="18"/>
              </w:rPr>
            </w:pPr>
            <w:r>
              <w:rPr>
                <w:sz w:val="18"/>
                <w:szCs w:val="18"/>
              </w:rPr>
              <w:t>2</w:t>
            </w:r>
          </w:p>
        </w:tc>
        <w:tc>
          <w:tcPr>
            <w:tcW w:w="1081" w:type="dxa"/>
            <w:vAlign w:val="center"/>
          </w:tcPr>
          <w:p w14:paraId="23D9E6B7" w14:textId="77777777" w:rsidR="00F5289E" w:rsidRDefault="00C91173">
            <w:pPr>
              <w:jc w:val="center"/>
              <w:rPr>
                <w:sz w:val="18"/>
                <w:szCs w:val="18"/>
              </w:rPr>
            </w:pPr>
            <w:r>
              <w:rPr>
                <w:sz w:val="18"/>
                <w:szCs w:val="18"/>
              </w:rPr>
              <w:t>综合性</w:t>
            </w:r>
          </w:p>
        </w:tc>
        <w:tc>
          <w:tcPr>
            <w:tcW w:w="1424" w:type="dxa"/>
            <w:vAlign w:val="center"/>
          </w:tcPr>
          <w:p w14:paraId="7974C9E7" w14:textId="77777777" w:rsidR="00F5289E" w:rsidRDefault="00C91173">
            <w:pPr>
              <w:jc w:val="center"/>
              <w:rPr>
                <w:sz w:val="18"/>
                <w:szCs w:val="18"/>
              </w:rPr>
            </w:pPr>
            <w:r>
              <w:rPr>
                <w:sz w:val="18"/>
                <w:szCs w:val="18"/>
              </w:rPr>
              <w:t>必做</w:t>
            </w:r>
          </w:p>
        </w:tc>
        <w:tc>
          <w:tcPr>
            <w:tcW w:w="1284" w:type="dxa"/>
          </w:tcPr>
          <w:p w14:paraId="10729171" w14:textId="77777777" w:rsidR="00F5289E" w:rsidRDefault="00C91173">
            <w:pPr>
              <w:jc w:val="center"/>
              <w:rPr>
                <w:sz w:val="18"/>
                <w:szCs w:val="18"/>
              </w:rPr>
            </w:pPr>
            <w:r>
              <w:rPr>
                <w:sz w:val="18"/>
                <w:szCs w:val="18"/>
              </w:rPr>
              <w:t>1-3</w:t>
            </w:r>
          </w:p>
        </w:tc>
      </w:tr>
      <w:tr w:rsidR="00F5289E" w14:paraId="0A6953FE" w14:textId="77777777">
        <w:trPr>
          <w:jc w:val="center"/>
        </w:trPr>
        <w:tc>
          <w:tcPr>
            <w:tcW w:w="1252" w:type="dxa"/>
          </w:tcPr>
          <w:p w14:paraId="087EC4E4" w14:textId="77777777" w:rsidR="00F5289E" w:rsidRDefault="00C91173">
            <w:r>
              <w:t>1901112502</w:t>
            </w:r>
          </w:p>
        </w:tc>
        <w:tc>
          <w:tcPr>
            <w:tcW w:w="2964" w:type="dxa"/>
            <w:vAlign w:val="center"/>
          </w:tcPr>
          <w:p w14:paraId="02541D3F" w14:textId="77777777" w:rsidR="00F5289E" w:rsidRDefault="00C91173">
            <w:pPr>
              <w:jc w:val="center"/>
              <w:rPr>
                <w:sz w:val="18"/>
                <w:szCs w:val="18"/>
              </w:rPr>
            </w:pPr>
            <w:r>
              <w:rPr>
                <w:sz w:val="18"/>
                <w:szCs w:val="18"/>
              </w:rPr>
              <w:t>序列比对与系统进化树构建</w:t>
            </w:r>
          </w:p>
        </w:tc>
        <w:tc>
          <w:tcPr>
            <w:tcW w:w="885" w:type="dxa"/>
            <w:vAlign w:val="center"/>
          </w:tcPr>
          <w:p w14:paraId="6FF2B920" w14:textId="77777777" w:rsidR="00F5289E" w:rsidRDefault="00C91173">
            <w:pPr>
              <w:jc w:val="center"/>
              <w:rPr>
                <w:sz w:val="18"/>
                <w:szCs w:val="18"/>
              </w:rPr>
            </w:pPr>
            <w:r>
              <w:rPr>
                <w:sz w:val="18"/>
                <w:szCs w:val="18"/>
              </w:rPr>
              <w:t>2</w:t>
            </w:r>
          </w:p>
        </w:tc>
        <w:tc>
          <w:tcPr>
            <w:tcW w:w="1081" w:type="dxa"/>
            <w:vAlign w:val="center"/>
          </w:tcPr>
          <w:p w14:paraId="4DB4E628" w14:textId="77777777" w:rsidR="00F5289E" w:rsidRDefault="00C91173">
            <w:pPr>
              <w:jc w:val="center"/>
              <w:rPr>
                <w:sz w:val="18"/>
                <w:szCs w:val="18"/>
              </w:rPr>
            </w:pPr>
            <w:r>
              <w:rPr>
                <w:sz w:val="18"/>
                <w:szCs w:val="18"/>
              </w:rPr>
              <w:t>综合性</w:t>
            </w:r>
          </w:p>
        </w:tc>
        <w:tc>
          <w:tcPr>
            <w:tcW w:w="1424" w:type="dxa"/>
            <w:vAlign w:val="center"/>
          </w:tcPr>
          <w:p w14:paraId="2FEE5BBB" w14:textId="77777777" w:rsidR="00F5289E" w:rsidRDefault="00C91173">
            <w:pPr>
              <w:jc w:val="center"/>
              <w:rPr>
                <w:sz w:val="18"/>
                <w:szCs w:val="18"/>
              </w:rPr>
            </w:pPr>
            <w:r>
              <w:rPr>
                <w:sz w:val="18"/>
                <w:szCs w:val="18"/>
              </w:rPr>
              <w:t>必做</w:t>
            </w:r>
          </w:p>
        </w:tc>
        <w:tc>
          <w:tcPr>
            <w:tcW w:w="1284" w:type="dxa"/>
          </w:tcPr>
          <w:p w14:paraId="6641EE8C" w14:textId="77777777" w:rsidR="00F5289E" w:rsidRDefault="00C91173">
            <w:pPr>
              <w:jc w:val="center"/>
              <w:rPr>
                <w:sz w:val="18"/>
                <w:szCs w:val="18"/>
              </w:rPr>
            </w:pPr>
            <w:r>
              <w:rPr>
                <w:sz w:val="18"/>
                <w:szCs w:val="18"/>
              </w:rPr>
              <w:t>1-3</w:t>
            </w:r>
          </w:p>
        </w:tc>
      </w:tr>
      <w:tr w:rsidR="00F5289E" w14:paraId="12B84D8F" w14:textId="77777777">
        <w:trPr>
          <w:jc w:val="center"/>
        </w:trPr>
        <w:tc>
          <w:tcPr>
            <w:tcW w:w="1252" w:type="dxa"/>
          </w:tcPr>
          <w:p w14:paraId="05C7F6AB" w14:textId="77777777" w:rsidR="00F5289E" w:rsidRDefault="00C91173">
            <w:r>
              <w:t>1901112503</w:t>
            </w:r>
          </w:p>
        </w:tc>
        <w:tc>
          <w:tcPr>
            <w:tcW w:w="2964" w:type="dxa"/>
            <w:vAlign w:val="center"/>
          </w:tcPr>
          <w:p w14:paraId="634EA4DB" w14:textId="77777777" w:rsidR="00F5289E" w:rsidRDefault="00C91173">
            <w:pPr>
              <w:jc w:val="center"/>
              <w:rPr>
                <w:sz w:val="18"/>
                <w:szCs w:val="18"/>
              </w:rPr>
            </w:pPr>
            <w:r>
              <w:rPr>
                <w:sz w:val="18"/>
                <w:szCs w:val="18"/>
              </w:rPr>
              <w:t>基因结构分析与功能预测</w:t>
            </w:r>
          </w:p>
        </w:tc>
        <w:tc>
          <w:tcPr>
            <w:tcW w:w="885" w:type="dxa"/>
            <w:vAlign w:val="center"/>
          </w:tcPr>
          <w:p w14:paraId="5B17623D" w14:textId="77777777" w:rsidR="00F5289E" w:rsidRDefault="00C91173">
            <w:pPr>
              <w:jc w:val="center"/>
              <w:rPr>
                <w:sz w:val="18"/>
                <w:szCs w:val="18"/>
              </w:rPr>
            </w:pPr>
            <w:r>
              <w:rPr>
                <w:sz w:val="18"/>
                <w:szCs w:val="18"/>
              </w:rPr>
              <w:t>1</w:t>
            </w:r>
          </w:p>
        </w:tc>
        <w:tc>
          <w:tcPr>
            <w:tcW w:w="1081" w:type="dxa"/>
            <w:vAlign w:val="center"/>
          </w:tcPr>
          <w:p w14:paraId="2B20A197" w14:textId="77777777" w:rsidR="00F5289E" w:rsidRDefault="00C91173">
            <w:pPr>
              <w:jc w:val="center"/>
              <w:rPr>
                <w:sz w:val="18"/>
                <w:szCs w:val="18"/>
              </w:rPr>
            </w:pPr>
            <w:r>
              <w:rPr>
                <w:sz w:val="18"/>
                <w:szCs w:val="18"/>
              </w:rPr>
              <w:t>设计性</w:t>
            </w:r>
          </w:p>
        </w:tc>
        <w:tc>
          <w:tcPr>
            <w:tcW w:w="1424" w:type="dxa"/>
            <w:vAlign w:val="center"/>
          </w:tcPr>
          <w:p w14:paraId="1DE3F91F" w14:textId="77777777" w:rsidR="00F5289E" w:rsidRDefault="00C91173">
            <w:pPr>
              <w:jc w:val="center"/>
              <w:rPr>
                <w:sz w:val="18"/>
                <w:szCs w:val="18"/>
              </w:rPr>
            </w:pPr>
            <w:r>
              <w:rPr>
                <w:sz w:val="18"/>
                <w:szCs w:val="18"/>
              </w:rPr>
              <w:t>必做</w:t>
            </w:r>
          </w:p>
        </w:tc>
        <w:tc>
          <w:tcPr>
            <w:tcW w:w="1284" w:type="dxa"/>
          </w:tcPr>
          <w:p w14:paraId="4DD8D6E1" w14:textId="77777777" w:rsidR="00F5289E" w:rsidRDefault="00C91173">
            <w:pPr>
              <w:jc w:val="center"/>
              <w:rPr>
                <w:sz w:val="18"/>
                <w:szCs w:val="18"/>
              </w:rPr>
            </w:pPr>
            <w:r>
              <w:rPr>
                <w:sz w:val="18"/>
                <w:szCs w:val="18"/>
              </w:rPr>
              <w:t>1-3</w:t>
            </w:r>
          </w:p>
        </w:tc>
      </w:tr>
      <w:tr w:rsidR="00F5289E" w14:paraId="56F9037E" w14:textId="77777777">
        <w:trPr>
          <w:jc w:val="center"/>
        </w:trPr>
        <w:tc>
          <w:tcPr>
            <w:tcW w:w="1252" w:type="dxa"/>
          </w:tcPr>
          <w:p w14:paraId="438415EE" w14:textId="77777777" w:rsidR="00F5289E" w:rsidRDefault="00C91173">
            <w:r>
              <w:t>1901112504</w:t>
            </w:r>
          </w:p>
        </w:tc>
        <w:tc>
          <w:tcPr>
            <w:tcW w:w="2964" w:type="dxa"/>
            <w:vAlign w:val="center"/>
          </w:tcPr>
          <w:p w14:paraId="3D4A2108" w14:textId="77777777" w:rsidR="00F5289E" w:rsidRDefault="00C91173">
            <w:pPr>
              <w:jc w:val="center"/>
              <w:rPr>
                <w:sz w:val="18"/>
                <w:szCs w:val="18"/>
              </w:rPr>
            </w:pPr>
            <w:r>
              <w:rPr>
                <w:sz w:val="18"/>
                <w:szCs w:val="18"/>
              </w:rPr>
              <w:t>蛋白质结构与启动子原件预测</w:t>
            </w:r>
          </w:p>
        </w:tc>
        <w:tc>
          <w:tcPr>
            <w:tcW w:w="885" w:type="dxa"/>
            <w:vAlign w:val="center"/>
          </w:tcPr>
          <w:p w14:paraId="5FE1F404" w14:textId="77777777" w:rsidR="00F5289E" w:rsidRDefault="00C91173">
            <w:pPr>
              <w:jc w:val="center"/>
              <w:rPr>
                <w:sz w:val="18"/>
                <w:szCs w:val="18"/>
              </w:rPr>
            </w:pPr>
            <w:r>
              <w:rPr>
                <w:sz w:val="18"/>
                <w:szCs w:val="18"/>
              </w:rPr>
              <w:t>1</w:t>
            </w:r>
          </w:p>
        </w:tc>
        <w:tc>
          <w:tcPr>
            <w:tcW w:w="1081" w:type="dxa"/>
            <w:vAlign w:val="center"/>
          </w:tcPr>
          <w:p w14:paraId="7A5B1B8F" w14:textId="77777777" w:rsidR="00F5289E" w:rsidRDefault="00C91173">
            <w:pPr>
              <w:jc w:val="center"/>
              <w:rPr>
                <w:sz w:val="18"/>
                <w:szCs w:val="18"/>
              </w:rPr>
            </w:pPr>
            <w:r>
              <w:rPr>
                <w:sz w:val="18"/>
                <w:szCs w:val="18"/>
              </w:rPr>
              <w:t>设计性</w:t>
            </w:r>
          </w:p>
        </w:tc>
        <w:tc>
          <w:tcPr>
            <w:tcW w:w="1424" w:type="dxa"/>
            <w:vAlign w:val="center"/>
          </w:tcPr>
          <w:p w14:paraId="143D428D" w14:textId="77777777" w:rsidR="00F5289E" w:rsidRDefault="00C91173">
            <w:pPr>
              <w:jc w:val="center"/>
              <w:rPr>
                <w:sz w:val="18"/>
                <w:szCs w:val="18"/>
              </w:rPr>
            </w:pPr>
            <w:r>
              <w:rPr>
                <w:sz w:val="18"/>
                <w:szCs w:val="18"/>
              </w:rPr>
              <w:t>必做</w:t>
            </w:r>
          </w:p>
        </w:tc>
        <w:tc>
          <w:tcPr>
            <w:tcW w:w="1284" w:type="dxa"/>
          </w:tcPr>
          <w:p w14:paraId="0D2EC99B" w14:textId="77777777" w:rsidR="00F5289E" w:rsidRDefault="00C91173">
            <w:pPr>
              <w:jc w:val="center"/>
              <w:rPr>
                <w:sz w:val="18"/>
                <w:szCs w:val="18"/>
              </w:rPr>
            </w:pPr>
            <w:r>
              <w:rPr>
                <w:sz w:val="18"/>
                <w:szCs w:val="18"/>
              </w:rPr>
              <w:t>1-3</w:t>
            </w:r>
          </w:p>
        </w:tc>
      </w:tr>
      <w:tr w:rsidR="00F5289E" w14:paraId="23FC9488" w14:textId="77777777">
        <w:trPr>
          <w:jc w:val="center"/>
        </w:trPr>
        <w:tc>
          <w:tcPr>
            <w:tcW w:w="1252" w:type="dxa"/>
          </w:tcPr>
          <w:p w14:paraId="2A07DDDA" w14:textId="77777777" w:rsidR="00F5289E" w:rsidRDefault="00C91173">
            <w:r>
              <w:t>1901112505</w:t>
            </w:r>
          </w:p>
        </w:tc>
        <w:tc>
          <w:tcPr>
            <w:tcW w:w="2964" w:type="dxa"/>
            <w:vAlign w:val="center"/>
          </w:tcPr>
          <w:p w14:paraId="0AD6CF50" w14:textId="77777777" w:rsidR="00F5289E" w:rsidRDefault="00C91173">
            <w:pPr>
              <w:jc w:val="center"/>
              <w:rPr>
                <w:sz w:val="18"/>
                <w:szCs w:val="18"/>
              </w:rPr>
            </w:pPr>
            <w:r>
              <w:rPr>
                <w:sz w:val="18"/>
                <w:szCs w:val="18"/>
              </w:rPr>
              <w:t>转录组分析</w:t>
            </w:r>
          </w:p>
        </w:tc>
        <w:tc>
          <w:tcPr>
            <w:tcW w:w="885" w:type="dxa"/>
            <w:vAlign w:val="center"/>
          </w:tcPr>
          <w:p w14:paraId="6DDBDEBE" w14:textId="77777777" w:rsidR="00F5289E" w:rsidRDefault="00C91173">
            <w:pPr>
              <w:jc w:val="center"/>
              <w:rPr>
                <w:sz w:val="18"/>
                <w:szCs w:val="18"/>
              </w:rPr>
            </w:pPr>
            <w:r>
              <w:rPr>
                <w:sz w:val="18"/>
                <w:szCs w:val="18"/>
              </w:rPr>
              <w:t>2</w:t>
            </w:r>
          </w:p>
        </w:tc>
        <w:tc>
          <w:tcPr>
            <w:tcW w:w="1081" w:type="dxa"/>
            <w:vAlign w:val="center"/>
          </w:tcPr>
          <w:p w14:paraId="26FCFF15" w14:textId="77777777" w:rsidR="00F5289E" w:rsidRDefault="00C91173">
            <w:pPr>
              <w:jc w:val="center"/>
              <w:rPr>
                <w:sz w:val="18"/>
                <w:szCs w:val="18"/>
              </w:rPr>
            </w:pPr>
            <w:r>
              <w:rPr>
                <w:sz w:val="18"/>
                <w:szCs w:val="18"/>
              </w:rPr>
              <w:t>综合性</w:t>
            </w:r>
          </w:p>
        </w:tc>
        <w:tc>
          <w:tcPr>
            <w:tcW w:w="1424" w:type="dxa"/>
            <w:vAlign w:val="center"/>
          </w:tcPr>
          <w:p w14:paraId="52D29D5F" w14:textId="77777777" w:rsidR="00F5289E" w:rsidRDefault="00C91173">
            <w:pPr>
              <w:jc w:val="center"/>
              <w:rPr>
                <w:sz w:val="18"/>
                <w:szCs w:val="18"/>
              </w:rPr>
            </w:pPr>
            <w:r>
              <w:rPr>
                <w:sz w:val="18"/>
                <w:szCs w:val="18"/>
              </w:rPr>
              <w:t>必做</w:t>
            </w:r>
          </w:p>
        </w:tc>
        <w:tc>
          <w:tcPr>
            <w:tcW w:w="1284" w:type="dxa"/>
          </w:tcPr>
          <w:p w14:paraId="74EC300F" w14:textId="77777777" w:rsidR="00F5289E" w:rsidRDefault="00C91173">
            <w:pPr>
              <w:jc w:val="center"/>
              <w:rPr>
                <w:sz w:val="18"/>
                <w:szCs w:val="18"/>
              </w:rPr>
            </w:pPr>
            <w:r>
              <w:rPr>
                <w:sz w:val="18"/>
                <w:szCs w:val="18"/>
              </w:rPr>
              <w:t>1-3</w:t>
            </w:r>
          </w:p>
        </w:tc>
      </w:tr>
      <w:tr w:rsidR="00F5289E" w14:paraId="31495919" w14:textId="77777777">
        <w:trPr>
          <w:jc w:val="center"/>
        </w:trPr>
        <w:tc>
          <w:tcPr>
            <w:tcW w:w="1252" w:type="dxa"/>
          </w:tcPr>
          <w:p w14:paraId="2BDADA3B" w14:textId="77777777" w:rsidR="00F5289E" w:rsidRDefault="00C91173">
            <w:r>
              <w:t>1901112506</w:t>
            </w:r>
          </w:p>
        </w:tc>
        <w:tc>
          <w:tcPr>
            <w:tcW w:w="2964" w:type="dxa"/>
            <w:vAlign w:val="center"/>
          </w:tcPr>
          <w:p w14:paraId="05F2E573" w14:textId="77777777" w:rsidR="00F5289E" w:rsidRDefault="00C91173">
            <w:pPr>
              <w:jc w:val="center"/>
              <w:rPr>
                <w:sz w:val="18"/>
                <w:szCs w:val="18"/>
              </w:rPr>
            </w:pPr>
            <w:r>
              <w:rPr>
                <w:sz w:val="18"/>
                <w:szCs w:val="18"/>
              </w:rPr>
              <w:t>Linux Shell</w:t>
            </w:r>
            <w:r>
              <w:rPr>
                <w:sz w:val="18"/>
                <w:szCs w:val="18"/>
              </w:rPr>
              <w:t>常用命令上机实验</w:t>
            </w:r>
          </w:p>
        </w:tc>
        <w:tc>
          <w:tcPr>
            <w:tcW w:w="885" w:type="dxa"/>
            <w:vAlign w:val="center"/>
          </w:tcPr>
          <w:p w14:paraId="5259225A" w14:textId="77777777" w:rsidR="00F5289E" w:rsidRDefault="00C91173">
            <w:pPr>
              <w:jc w:val="center"/>
              <w:rPr>
                <w:sz w:val="18"/>
                <w:szCs w:val="18"/>
              </w:rPr>
            </w:pPr>
            <w:r>
              <w:rPr>
                <w:sz w:val="18"/>
                <w:szCs w:val="18"/>
              </w:rPr>
              <w:t>2</w:t>
            </w:r>
          </w:p>
        </w:tc>
        <w:tc>
          <w:tcPr>
            <w:tcW w:w="1081" w:type="dxa"/>
            <w:vAlign w:val="center"/>
          </w:tcPr>
          <w:p w14:paraId="4087ABAA" w14:textId="77777777" w:rsidR="00F5289E" w:rsidRDefault="00C91173">
            <w:pPr>
              <w:jc w:val="center"/>
              <w:rPr>
                <w:sz w:val="18"/>
                <w:szCs w:val="18"/>
              </w:rPr>
            </w:pPr>
            <w:r>
              <w:rPr>
                <w:sz w:val="18"/>
                <w:szCs w:val="18"/>
              </w:rPr>
              <w:t>演示性</w:t>
            </w:r>
          </w:p>
        </w:tc>
        <w:tc>
          <w:tcPr>
            <w:tcW w:w="1424" w:type="dxa"/>
            <w:vAlign w:val="center"/>
          </w:tcPr>
          <w:p w14:paraId="2FD171D9" w14:textId="77777777" w:rsidR="00F5289E" w:rsidRDefault="00C91173">
            <w:pPr>
              <w:jc w:val="center"/>
              <w:rPr>
                <w:sz w:val="18"/>
                <w:szCs w:val="18"/>
              </w:rPr>
            </w:pPr>
            <w:r>
              <w:rPr>
                <w:sz w:val="18"/>
                <w:szCs w:val="18"/>
              </w:rPr>
              <w:t>必做</w:t>
            </w:r>
          </w:p>
        </w:tc>
        <w:tc>
          <w:tcPr>
            <w:tcW w:w="1284" w:type="dxa"/>
          </w:tcPr>
          <w:p w14:paraId="11096A8D" w14:textId="77777777" w:rsidR="00F5289E" w:rsidRDefault="00C91173">
            <w:pPr>
              <w:jc w:val="center"/>
              <w:rPr>
                <w:sz w:val="18"/>
                <w:szCs w:val="18"/>
              </w:rPr>
            </w:pPr>
            <w:r>
              <w:rPr>
                <w:sz w:val="18"/>
                <w:szCs w:val="18"/>
              </w:rPr>
              <w:t>1-3</w:t>
            </w:r>
          </w:p>
        </w:tc>
      </w:tr>
      <w:tr w:rsidR="00F5289E" w14:paraId="6D2B24A0" w14:textId="77777777">
        <w:trPr>
          <w:jc w:val="center"/>
        </w:trPr>
        <w:tc>
          <w:tcPr>
            <w:tcW w:w="1252" w:type="dxa"/>
          </w:tcPr>
          <w:p w14:paraId="65EBDE8F" w14:textId="77777777" w:rsidR="00F5289E" w:rsidRDefault="00C91173">
            <w:r>
              <w:t>1901112507</w:t>
            </w:r>
          </w:p>
        </w:tc>
        <w:tc>
          <w:tcPr>
            <w:tcW w:w="2964" w:type="dxa"/>
            <w:vAlign w:val="center"/>
          </w:tcPr>
          <w:p w14:paraId="24C602EC" w14:textId="77777777" w:rsidR="00F5289E" w:rsidRDefault="00C91173">
            <w:pPr>
              <w:jc w:val="center"/>
              <w:rPr>
                <w:sz w:val="18"/>
                <w:szCs w:val="18"/>
              </w:rPr>
            </w:pPr>
            <w:r>
              <w:rPr>
                <w:sz w:val="18"/>
                <w:szCs w:val="18"/>
              </w:rPr>
              <w:t>Python</w:t>
            </w:r>
            <w:r>
              <w:rPr>
                <w:sz w:val="18"/>
                <w:szCs w:val="18"/>
              </w:rPr>
              <w:t>编程语言上机实验</w:t>
            </w:r>
          </w:p>
        </w:tc>
        <w:tc>
          <w:tcPr>
            <w:tcW w:w="885" w:type="dxa"/>
            <w:vAlign w:val="center"/>
          </w:tcPr>
          <w:p w14:paraId="5B6ACB95" w14:textId="77777777" w:rsidR="00F5289E" w:rsidRDefault="00C91173">
            <w:pPr>
              <w:jc w:val="center"/>
              <w:rPr>
                <w:sz w:val="18"/>
                <w:szCs w:val="18"/>
              </w:rPr>
            </w:pPr>
            <w:r>
              <w:rPr>
                <w:sz w:val="18"/>
                <w:szCs w:val="18"/>
              </w:rPr>
              <w:t>1</w:t>
            </w:r>
          </w:p>
        </w:tc>
        <w:tc>
          <w:tcPr>
            <w:tcW w:w="1081" w:type="dxa"/>
            <w:vAlign w:val="center"/>
          </w:tcPr>
          <w:p w14:paraId="2B1107A5" w14:textId="77777777" w:rsidR="00F5289E" w:rsidRDefault="00C91173">
            <w:pPr>
              <w:jc w:val="center"/>
              <w:rPr>
                <w:sz w:val="18"/>
                <w:szCs w:val="18"/>
              </w:rPr>
            </w:pPr>
            <w:r>
              <w:rPr>
                <w:sz w:val="18"/>
                <w:szCs w:val="18"/>
              </w:rPr>
              <w:t>设计性</w:t>
            </w:r>
          </w:p>
        </w:tc>
        <w:tc>
          <w:tcPr>
            <w:tcW w:w="1424" w:type="dxa"/>
            <w:vAlign w:val="center"/>
          </w:tcPr>
          <w:p w14:paraId="475F09BA" w14:textId="77777777" w:rsidR="00F5289E" w:rsidRDefault="00C91173">
            <w:pPr>
              <w:jc w:val="center"/>
              <w:rPr>
                <w:sz w:val="18"/>
                <w:szCs w:val="18"/>
              </w:rPr>
            </w:pPr>
            <w:r>
              <w:rPr>
                <w:sz w:val="18"/>
                <w:szCs w:val="18"/>
              </w:rPr>
              <w:t>必做</w:t>
            </w:r>
          </w:p>
        </w:tc>
        <w:tc>
          <w:tcPr>
            <w:tcW w:w="1284" w:type="dxa"/>
          </w:tcPr>
          <w:p w14:paraId="2404F4AC" w14:textId="77777777" w:rsidR="00F5289E" w:rsidRDefault="00C91173">
            <w:pPr>
              <w:jc w:val="center"/>
              <w:rPr>
                <w:sz w:val="18"/>
                <w:szCs w:val="18"/>
              </w:rPr>
            </w:pPr>
            <w:r>
              <w:rPr>
                <w:sz w:val="18"/>
                <w:szCs w:val="18"/>
              </w:rPr>
              <w:t>1-3</w:t>
            </w:r>
          </w:p>
        </w:tc>
      </w:tr>
      <w:tr w:rsidR="00F5289E" w14:paraId="5E91EDA6" w14:textId="77777777">
        <w:trPr>
          <w:jc w:val="center"/>
        </w:trPr>
        <w:tc>
          <w:tcPr>
            <w:tcW w:w="1252" w:type="dxa"/>
          </w:tcPr>
          <w:p w14:paraId="2B290C88" w14:textId="77777777" w:rsidR="00F5289E" w:rsidRDefault="00C91173">
            <w:r>
              <w:t>1901112508</w:t>
            </w:r>
          </w:p>
        </w:tc>
        <w:tc>
          <w:tcPr>
            <w:tcW w:w="2964" w:type="dxa"/>
            <w:vAlign w:val="center"/>
          </w:tcPr>
          <w:p w14:paraId="60D2815D" w14:textId="77777777" w:rsidR="00F5289E" w:rsidRDefault="00C91173">
            <w:pPr>
              <w:jc w:val="center"/>
              <w:rPr>
                <w:sz w:val="18"/>
                <w:szCs w:val="18"/>
              </w:rPr>
            </w:pPr>
            <w:r>
              <w:rPr>
                <w:sz w:val="18"/>
                <w:szCs w:val="18"/>
              </w:rPr>
              <w:t>R</w:t>
            </w:r>
            <w:r>
              <w:rPr>
                <w:sz w:val="18"/>
                <w:szCs w:val="18"/>
              </w:rPr>
              <w:t>编程语言上机实验</w:t>
            </w:r>
          </w:p>
        </w:tc>
        <w:tc>
          <w:tcPr>
            <w:tcW w:w="885" w:type="dxa"/>
            <w:vAlign w:val="center"/>
          </w:tcPr>
          <w:p w14:paraId="06B9C353" w14:textId="77777777" w:rsidR="00F5289E" w:rsidRDefault="00C91173">
            <w:pPr>
              <w:jc w:val="center"/>
              <w:rPr>
                <w:sz w:val="18"/>
                <w:szCs w:val="18"/>
              </w:rPr>
            </w:pPr>
            <w:r>
              <w:rPr>
                <w:sz w:val="18"/>
                <w:szCs w:val="18"/>
              </w:rPr>
              <w:t>1</w:t>
            </w:r>
          </w:p>
        </w:tc>
        <w:tc>
          <w:tcPr>
            <w:tcW w:w="1081" w:type="dxa"/>
            <w:vAlign w:val="center"/>
          </w:tcPr>
          <w:p w14:paraId="1F870844" w14:textId="77777777" w:rsidR="00F5289E" w:rsidRDefault="00C91173">
            <w:pPr>
              <w:jc w:val="center"/>
              <w:rPr>
                <w:sz w:val="18"/>
                <w:szCs w:val="18"/>
              </w:rPr>
            </w:pPr>
            <w:r>
              <w:rPr>
                <w:sz w:val="18"/>
                <w:szCs w:val="18"/>
              </w:rPr>
              <w:t>设计性</w:t>
            </w:r>
          </w:p>
        </w:tc>
        <w:tc>
          <w:tcPr>
            <w:tcW w:w="1424" w:type="dxa"/>
            <w:vAlign w:val="center"/>
          </w:tcPr>
          <w:p w14:paraId="1A54ECA0" w14:textId="77777777" w:rsidR="00F5289E" w:rsidRDefault="00C91173">
            <w:pPr>
              <w:jc w:val="center"/>
              <w:rPr>
                <w:sz w:val="18"/>
                <w:szCs w:val="18"/>
              </w:rPr>
            </w:pPr>
            <w:r>
              <w:rPr>
                <w:sz w:val="18"/>
                <w:szCs w:val="18"/>
              </w:rPr>
              <w:t>必做</w:t>
            </w:r>
          </w:p>
        </w:tc>
        <w:tc>
          <w:tcPr>
            <w:tcW w:w="1284" w:type="dxa"/>
          </w:tcPr>
          <w:p w14:paraId="47067A62" w14:textId="77777777" w:rsidR="00F5289E" w:rsidRDefault="00C91173">
            <w:pPr>
              <w:jc w:val="center"/>
              <w:rPr>
                <w:sz w:val="18"/>
                <w:szCs w:val="18"/>
              </w:rPr>
            </w:pPr>
            <w:r>
              <w:rPr>
                <w:sz w:val="18"/>
                <w:szCs w:val="18"/>
              </w:rPr>
              <w:t>1-3</w:t>
            </w:r>
          </w:p>
        </w:tc>
      </w:tr>
    </w:tbl>
    <w:p w14:paraId="1F56D04C" w14:textId="77777777" w:rsidR="00F5289E" w:rsidRDefault="00C91173">
      <w:pPr>
        <w:snapToGrid w:val="0"/>
        <w:spacing w:line="360" w:lineRule="auto"/>
        <w:rPr>
          <w:b/>
          <w:bCs/>
          <w:szCs w:val="21"/>
        </w:rPr>
      </w:pPr>
      <w:r>
        <w:rPr>
          <w:b/>
          <w:bCs/>
          <w:szCs w:val="21"/>
        </w:rPr>
        <w:t>（五）实验方式及基本要求</w:t>
      </w:r>
    </w:p>
    <w:p w14:paraId="6081C907" w14:textId="77777777" w:rsidR="00F5289E" w:rsidRDefault="00C91173">
      <w:pPr>
        <w:snapToGrid w:val="0"/>
        <w:spacing w:line="360" w:lineRule="auto"/>
        <w:ind w:firstLineChars="200" w:firstLine="420"/>
        <w:rPr>
          <w:bCs/>
          <w:szCs w:val="21"/>
        </w:rPr>
      </w:pPr>
      <w:r>
        <w:rPr>
          <w:bCs/>
          <w:szCs w:val="21"/>
        </w:rPr>
        <w:t>实验课都是在机房进行授课，包括</w:t>
      </w:r>
      <w:r>
        <w:rPr>
          <w:bCs/>
          <w:szCs w:val="21"/>
        </w:rPr>
        <w:t>windows</w:t>
      </w:r>
      <w:r>
        <w:rPr>
          <w:bCs/>
          <w:szCs w:val="21"/>
        </w:rPr>
        <w:t>系统、</w:t>
      </w:r>
      <w:proofErr w:type="spellStart"/>
      <w:r>
        <w:rPr>
          <w:bCs/>
          <w:szCs w:val="21"/>
        </w:rPr>
        <w:t>linux</w:t>
      </w:r>
      <w:proofErr w:type="spellEnd"/>
      <w:r>
        <w:rPr>
          <w:bCs/>
          <w:szCs w:val="21"/>
        </w:rPr>
        <w:t>下相关软件的演示，学生练习等过程，</w:t>
      </w:r>
      <w:r>
        <w:rPr>
          <w:bCs/>
          <w:szCs w:val="21"/>
        </w:rPr>
        <w:lastRenderedPageBreak/>
        <w:t>要求每位学生都能独立进行相关数据分析和软件的使用。通过实验教学，使学生进一步深化生物信息学的基本原理和理论知识，初步掌握相关生物信息软件操作技能，熟悉生物信息学分析方法及有关运算方法，初步具备进行创新性研究的能力与素质。本实验课内容在教师指导下由学生自己动手完成，并独立撰写实验报告。</w:t>
      </w:r>
    </w:p>
    <w:p w14:paraId="6E09EE14" w14:textId="77777777" w:rsidR="00F5289E" w:rsidRDefault="00C91173">
      <w:pPr>
        <w:snapToGrid w:val="0"/>
        <w:spacing w:line="360" w:lineRule="auto"/>
        <w:rPr>
          <w:b/>
          <w:szCs w:val="21"/>
        </w:rPr>
      </w:pPr>
      <w:r>
        <w:rPr>
          <w:b/>
          <w:bCs/>
          <w:szCs w:val="21"/>
        </w:rPr>
        <w:t>（六）</w:t>
      </w:r>
      <w:r>
        <w:rPr>
          <w:b/>
          <w:szCs w:val="21"/>
        </w:rPr>
        <w:t>实验内容安排</w:t>
      </w:r>
    </w:p>
    <w:p w14:paraId="0DFF5B9F"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【实验一】美国国家生物技术信息中心的使用</w:t>
      </w:r>
    </w:p>
    <w:p w14:paraId="186A9B09" w14:textId="77777777" w:rsidR="00F5289E" w:rsidRDefault="00C91173">
      <w:pPr>
        <w:snapToGrid w:val="0"/>
        <w:spacing w:line="360" w:lineRule="auto"/>
        <w:ind w:firstLineChars="200" w:firstLine="422"/>
      </w:pPr>
      <w:r>
        <w:rPr>
          <w:b/>
          <w:szCs w:val="21"/>
        </w:rPr>
        <w:t>1.</w:t>
      </w:r>
      <w:r>
        <w:rPr>
          <w:b/>
          <w:szCs w:val="21"/>
        </w:rPr>
        <w:t>实验学时：</w:t>
      </w:r>
      <w:r>
        <w:rPr>
          <w:bCs/>
        </w:rPr>
        <w:t>2</w:t>
      </w:r>
    </w:p>
    <w:p w14:paraId="4CCA6B8E" w14:textId="77777777" w:rsidR="00F5289E" w:rsidRDefault="00C91173">
      <w:pPr>
        <w:snapToGrid w:val="0"/>
        <w:spacing w:line="360" w:lineRule="auto"/>
        <w:ind w:firstLineChars="200" w:firstLine="422"/>
        <w:rPr>
          <w:bCs/>
          <w:szCs w:val="21"/>
        </w:rPr>
      </w:pPr>
      <w:r>
        <w:rPr>
          <w:b/>
          <w:szCs w:val="21"/>
        </w:rPr>
        <w:t>2.</w:t>
      </w:r>
      <w:r>
        <w:rPr>
          <w:b/>
          <w:szCs w:val="21"/>
        </w:rPr>
        <w:t>实验目的：</w:t>
      </w:r>
      <w:r>
        <w:rPr>
          <w:kern w:val="0"/>
          <w:szCs w:val="21"/>
        </w:rPr>
        <w:t>了解</w:t>
      </w:r>
      <w:r>
        <w:rPr>
          <w:szCs w:val="21"/>
        </w:rPr>
        <w:t>美国国家生物技术信息中心网站（</w:t>
      </w:r>
      <w:r>
        <w:rPr>
          <w:szCs w:val="21"/>
        </w:rPr>
        <w:t>NCBI</w:t>
      </w:r>
      <w:r>
        <w:rPr>
          <w:szCs w:val="21"/>
        </w:rPr>
        <w:t>）</w:t>
      </w:r>
      <w:r>
        <w:rPr>
          <w:kern w:val="0"/>
          <w:szCs w:val="21"/>
        </w:rPr>
        <w:t>的主要功能</w:t>
      </w:r>
    </w:p>
    <w:p w14:paraId="0C8D04C6"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使用</w:t>
      </w:r>
      <w:r>
        <w:rPr>
          <w:szCs w:val="21"/>
        </w:rPr>
        <w:t>美国国家生物技术信息中心网站对比基因序列，注释基因功能</w:t>
      </w:r>
    </w:p>
    <w:p w14:paraId="18FCDFC5"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学生上机操作，完成课程要求，掌握使用</w:t>
      </w:r>
      <w:r>
        <w:rPr>
          <w:szCs w:val="21"/>
        </w:rPr>
        <w:t>NCBI</w:t>
      </w:r>
      <w:r>
        <w:rPr>
          <w:szCs w:val="21"/>
        </w:rPr>
        <w:t>网站对比基因序列，注释基因功能的方法，掌握</w:t>
      </w:r>
      <w:proofErr w:type="spellStart"/>
      <w:r>
        <w:rPr>
          <w:szCs w:val="21"/>
        </w:rPr>
        <w:t>blastN</w:t>
      </w:r>
      <w:proofErr w:type="spellEnd"/>
      <w:r>
        <w:rPr>
          <w:szCs w:val="21"/>
        </w:rPr>
        <w:t>、</w:t>
      </w:r>
      <w:proofErr w:type="spellStart"/>
      <w:r>
        <w:rPr>
          <w:szCs w:val="21"/>
        </w:rPr>
        <w:t>blastX</w:t>
      </w:r>
      <w:proofErr w:type="spellEnd"/>
      <w:r>
        <w:rPr>
          <w:szCs w:val="21"/>
        </w:rPr>
        <w:t>、</w:t>
      </w:r>
      <w:proofErr w:type="spellStart"/>
      <w:r>
        <w:rPr>
          <w:szCs w:val="21"/>
        </w:rPr>
        <w:t>blastP</w:t>
      </w:r>
      <w:proofErr w:type="spellEnd"/>
      <w:r>
        <w:rPr>
          <w:szCs w:val="21"/>
        </w:rPr>
        <w:t>的区别与用法</w:t>
      </w:r>
    </w:p>
    <w:p w14:paraId="3821591D"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szCs w:val="21"/>
        </w:rPr>
        <w:t>台式计算机。</w:t>
      </w:r>
    </w:p>
    <w:p w14:paraId="7264917D"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【实验二】序列比对与系统进化树构建</w:t>
      </w:r>
    </w:p>
    <w:p w14:paraId="172E4E17" w14:textId="77777777" w:rsidR="00F5289E" w:rsidRDefault="00C91173">
      <w:pPr>
        <w:snapToGrid w:val="0"/>
        <w:spacing w:line="360" w:lineRule="auto"/>
        <w:ind w:firstLineChars="200" w:firstLine="422"/>
      </w:pPr>
      <w:r>
        <w:rPr>
          <w:b/>
          <w:szCs w:val="21"/>
        </w:rPr>
        <w:t>1.</w:t>
      </w:r>
      <w:r>
        <w:rPr>
          <w:b/>
          <w:szCs w:val="21"/>
        </w:rPr>
        <w:t>实验学时：</w:t>
      </w:r>
      <w:r>
        <w:rPr>
          <w:bCs/>
        </w:rPr>
        <w:t>2</w:t>
      </w:r>
    </w:p>
    <w:p w14:paraId="66768E90"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掌握序列分析的方法</w:t>
      </w:r>
    </w:p>
    <w:p w14:paraId="6D480BB8"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核酸序列比对分析的概念、应用，相似性、同源性的概念及二者之间的关系，两序列比对常用软件</w:t>
      </w:r>
      <w:r>
        <w:rPr>
          <w:bCs/>
        </w:rPr>
        <w:t>(</w:t>
      </w:r>
      <w:proofErr w:type="spellStart"/>
      <w:r>
        <w:rPr>
          <w:bCs/>
        </w:rPr>
        <w:t>blastn</w:t>
      </w:r>
      <w:proofErr w:type="spellEnd"/>
      <w:r>
        <w:rPr>
          <w:bCs/>
        </w:rPr>
        <w:t>)</w:t>
      </w:r>
      <w:r>
        <w:rPr>
          <w:bCs/>
        </w:rPr>
        <w:t>及方法及比对结果的生物学意义，多序列比对常用软件（</w:t>
      </w:r>
      <w:r>
        <w:rPr>
          <w:bCs/>
        </w:rPr>
        <w:t>MEGA</w:t>
      </w:r>
      <w:r>
        <w:rPr>
          <w:bCs/>
        </w:rPr>
        <w:t>、</w:t>
      </w:r>
      <w:r>
        <w:rPr>
          <w:bCs/>
        </w:rPr>
        <w:t>DNAMAN</w:t>
      </w:r>
      <w:r>
        <w:rPr>
          <w:bCs/>
        </w:rPr>
        <w:t>、</w:t>
      </w:r>
      <w:proofErr w:type="spellStart"/>
      <w:r>
        <w:rPr>
          <w:bCs/>
        </w:rPr>
        <w:t>Clustal</w:t>
      </w:r>
      <w:proofErr w:type="spellEnd"/>
      <w:r>
        <w:rPr>
          <w:bCs/>
        </w:rPr>
        <w:t>）及方法及比对结果的生物学意义；邻接法、欧式距离法、最大似然法构建葫芦科物种进化树。</w:t>
      </w:r>
    </w:p>
    <w:p w14:paraId="7FF670C6"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rPr>
        <w:t>要求学生理解并掌握核酸序列分析的原理，掌握多序列比对的一般方法，了解进化树构建的目的和意义。</w:t>
      </w:r>
    </w:p>
    <w:p w14:paraId="2C516187" w14:textId="77777777" w:rsidR="00F5289E" w:rsidRDefault="00C91173">
      <w:pPr>
        <w:snapToGrid w:val="0"/>
        <w:spacing w:line="360" w:lineRule="auto"/>
        <w:ind w:firstLineChars="200" w:firstLine="422"/>
        <w:rPr>
          <w:bCs/>
        </w:rPr>
      </w:pPr>
      <w:r>
        <w:rPr>
          <w:b/>
          <w:szCs w:val="21"/>
        </w:rPr>
        <w:t>5.</w:t>
      </w:r>
      <w:r>
        <w:rPr>
          <w:b/>
          <w:szCs w:val="21"/>
        </w:rPr>
        <w:t>实验设备及器材：</w:t>
      </w:r>
      <w:r>
        <w:rPr>
          <w:bCs/>
        </w:rPr>
        <w:t>基因序列，蛋白序列，台式计算机，</w:t>
      </w:r>
      <w:proofErr w:type="spellStart"/>
      <w:r>
        <w:rPr>
          <w:bCs/>
        </w:rPr>
        <w:t>linux</w:t>
      </w:r>
      <w:proofErr w:type="spellEnd"/>
      <w:r>
        <w:rPr>
          <w:bCs/>
        </w:rPr>
        <w:t>服务器等。</w:t>
      </w:r>
    </w:p>
    <w:p w14:paraId="49174CC9"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【实验三】基因结构分析与功能预测</w:t>
      </w:r>
    </w:p>
    <w:p w14:paraId="1DE9A592" w14:textId="77777777" w:rsidR="00F5289E" w:rsidRDefault="00C91173">
      <w:pPr>
        <w:snapToGrid w:val="0"/>
        <w:spacing w:line="360" w:lineRule="auto"/>
        <w:ind w:firstLineChars="200" w:firstLine="422"/>
      </w:pPr>
      <w:r>
        <w:rPr>
          <w:b/>
          <w:szCs w:val="21"/>
        </w:rPr>
        <w:t>1.</w:t>
      </w:r>
      <w:r>
        <w:rPr>
          <w:b/>
          <w:szCs w:val="21"/>
        </w:rPr>
        <w:t>实验学时：</w:t>
      </w:r>
      <w:r>
        <w:rPr>
          <w:bCs/>
        </w:rPr>
        <w:t>1</w:t>
      </w:r>
    </w:p>
    <w:p w14:paraId="278190C2" w14:textId="77777777" w:rsidR="00F5289E" w:rsidRDefault="00C91173">
      <w:pPr>
        <w:snapToGrid w:val="0"/>
        <w:spacing w:line="360" w:lineRule="auto"/>
        <w:ind w:firstLineChars="200" w:firstLine="422"/>
        <w:rPr>
          <w:bCs/>
          <w:szCs w:val="21"/>
        </w:rPr>
      </w:pPr>
      <w:r>
        <w:rPr>
          <w:b/>
          <w:szCs w:val="21"/>
        </w:rPr>
        <w:t>2.</w:t>
      </w:r>
      <w:r>
        <w:rPr>
          <w:b/>
          <w:szCs w:val="21"/>
        </w:rPr>
        <w:t>实验目的：</w:t>
      </w:r>
      <w:r>
        <w:rPr>
          <w:kern w:val="0"/>
          <w:szCs w:val="21"/>
        </w:rPr>
        <w:t>了解基因的结构及其分析方法，</w:t>
      </w:r>
      <w:r>
        <w:t>学会</w:t>
      </w:r>
      <w:r>
        <w:rPr>
          <w:kern w:val="0"/>
          <w:szCs w:val="21"/>
        </w:rPr>
        <w:t>使用生物信息学方法注释基因功能</w:t>
      </w:r>
    </w:p>
    <w:p w14:paraId="309B173A"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使用</w:t>
      </w:r>
      <w:r>
        <w:rPr>
          <w:szCs w:val="21"/>
        </w:rPr>
        <w:t>NCBI</w:t>
      </w:r>
      <w:r>
        <w:rPr>
          <w:szCs w:val="21"/>
        </w:rPr>
        <w:t>网站和拟南芥数据库网站对基因的结构和功能进行分析和注释</w:t>
      </w:r>
    </w:p>
    <w:p w14:paraId="48D6E11D"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学会如何</w:t>
      </w:r>
      <w:r>
        <w:rPr>
          <w:bCs/>
        </w:rPr>
        <w:t>使用</w:t>
      </w:r>
      <w:r>
        <w:rPr>
          <w:szCs w:val="21"/>
        </w:rPr>
        <w:t>NCBI</w:t>
      </w:r>
      <w:r>
        <w:rPr>
          <w:szCs w:val="21"/>
        </w:rPr>
        <w:t>网站和拟南芥数据库网站，并对基因的结构和功能进行分析和注释，掌握注释基因外显子和内含子的方法</w:t>
      </w:r>
    </w:p>
    <w:p w14:paraId="7686F597" w14:textId="77777777" w:rsidR="00F5289E" w:rsidRDefault="00C91173">
      <w:pPr>
        <w:snapToGrid w:val="0"/>
        <w:spacing w:line="360" w:lineRule="auto"/>
        <w:ind w:firstLineChars="200" w:firstLine="422"/>
        <w:rPr>
          <w:bCs/>
          <w:szCs w:val="21"/>
        </w:rPr>
      </w:pPr>
      <w:r>
        <w:rPr>
          <w:b/>
          <w:szCs w:val="21"/>
        </w:rPr>
        <w:t>5.</w:t>
      </w:r>
      <w:r>
        <w:rPr>
          <w:b/>
          <w:szCs w:val="21"/>
        </w:rPr>
        <w:t>实验设备及器材：</w:t>
      </w:r>
    </w:p>
    <w:p w14:paraId="32889CD0"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【实验四】蛋白质结构与启动子原件预测</w:t>
      </w:r>
    </w:p>
    <w:p w14:paraId="3DF4B440" w14:textId="77777777" w:rsidR="00F5289E" w:rsidRDefault="00C91173">
      <w:pPr>
        <w:snapToGrid w:val="0"/>
        <w:spacing w:line="360" w:lineRule="auto"/>
        <w:ind w:firstLineChars="200" w:firstLine="422"/>
      </w:pPr>
      <w:r>
        <w:rPr>
          <w:b/>
          <w:szCs w:val="21"/>
        </w:rPr>
        <w:t>1.</w:t>
      </w:r>
      <w:r>
        <w:rPr>
          <w:b/>
          <w:szCs w:val="21"/>
        </w:rPr>
        <w:t>实验学时：</w:t>
      </w:r>
      <w:r>
        <w:rPr>
          <w:bCs/>
        </w:rPr>
        <w:t>1</w:t>
      </w:r>
    </w:p>
    <w:p w14:paraId="6FB3C92C"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掌握蛋白质结构与启动子原件预测的方法</w:t>
      </w:r>
    </w:p>
    <w:p w14:paraId="5F399997"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选择合适的网页工具预测蛋白质结构，选择合适的网页工具预测启动子原件</w:t>
      </w:r>
    </w:p>
    <w:p w14:paraId="3FC61264"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学会如何选择和</w:t>
      </w:r>
      <w:r>
        <w:rPr>
          <w:bCs/>
        </w:rPr>
        <w:t>使用网页工具预测蛋白质结构与启动子原件</w:t>
      </w:r>
    </w:p>
    <w:p w14:paraId="2CBC6CAF" w14:textId="77777777" w:rsidR="00F5289E" w:rsidRDefault="00C91173">
      <w:pPr>
        <w:snapToGrid w:val="0"/>
        <w:spacing w:line="360" w:lineRule="auto"/>
        <w:ind w:firstLineChars="200" w:firstLine="422"/>
        <w:rPr>
          <w:bCs/>
          <w:szCs w:val="21"/>
        </w:rPr>
      </w:pPr>
      <w:r>
        <w:rPr>
          <w:b/>
          <w:szCs w:val="21"/>
        </w:rPr>
        <w:lastRenderedPageBreak/>
        <w:t>5.</w:t>
      </w:r>
      <w:r>
        <w:rPr>
          <w:b/>
          <w:szCs w:val="21"/>
        </w:rPr>
        <w:t>实验设备及器材：</w:t>
      </w:r>
    </w:p>
    <w:p w14:paraId="53A22DB2"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【实验五】转录组分析</w:t>
      </w:r>
    </w:p>
    <w:p w14:paraId="0FBFE161" w14:textId="77777777" w:rsidR="00F5289E" w:rsidRDefault="00C91173">
      <w:pPr>
        <w:snapToGrid w:val="0"/>
        <w:spacing w:line="360" w:lineRule="auto"/>
        <w:ind w:firstLineChars="200" w:firstLine="422"/>
      </w:pPr>
      <w:r>
        <w:rPr>
          <w:b/>
          <w:szCs w:val="21"/>
        </w:rPr>
        <w:t>1.</w:t>
      </w:r>
      <w:r>
        <w:rPr>
          <w:b/>
          <w:szCs w:val="21"/>
        </w:rPr>
        <w:t>实验学时：</w:t>
      </w:r>
      <w:r>
        <w:rPr>
          <w:bCs/>
        </w:rPr>
        <w:t>2</w:t>
      </w:r>
    </w:p>
    <w:p w14:paraId="4F36064D"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掌握转录组数据分析的一般流程</w:t>
      </w:r>
    </w:p>
    <w:p w14:paraId="669C9D6C"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转录组测序流程，原始测序数据下载，数据过滤，参考基因构建索引，转录组序列比对</w:t>
      </w:r>
      <w:r>
        <w:rPr>
          <w:bCs/>
        </w:rPr>
        <w:t>(</w:t>
      </w:r>
      <w:r>
        <w:rPr>
          <w:bCs/>
        </w:rPr>
        <w:t>有参</w:t>
      </w:r>
      <w:r>
        <w:rPr>
          <w:bCs/>
        </w:rPr>
        <w:t>)</w:t>
      </w:r>
      <w:r>
        <w:rPr>
          <w:bCs/>
        </w:rPr>
        <w:t>和拼接（</w:t>
      </w:r>
      <w:proofErr w:type="spellStart"/>
      <w:r>
        <w:rPr>
          <w:bCs/>
        </w:rPr>
        <w:t>denovo</w:t>
      </w:r>
      <w:proofErr w:type="spellEnd"/>
      <w:r>
        <w:rPr>
          <w:bCs/>
        </w:rPr>
        <w:t>），基因表达量计算，差异表达基因鉴定（</w:t>
      </w:r>
      <w:r>
        <w:rPr>
          <w:bCs/>
        </w:rPr>
        <w:t>R</w:t>
      </w:r>
      <w:r>
        <w:rPr>
          <w:bCs/>
        </w:rPr>
        <w:t>包的安装与使用）与功能注释（</w:t>
      </w:r>
      <w:r>
        <w:rPr>
          <w:bCs/>
        </w:rPr>
        <w:t>GO</w:t>
      </w:r>
      <w:r>
        <w:rPr>
          <w:bCs/>
        </w:rPr>
        <w:t>，</w:t>
      </w:r>
      <w:r>
        <w:rPr>
          <w:bCs/>
        </w:rPr>
        <w:t>KEGG</w:t>
      </w:r>
      <w:r>
        <w:rPr>
          <w:bCs/>
        </w:rPr>
        <w:t>）。</w:t>
      </w:r>
    </w:p>
    <w:p w14:paraId="21503631"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rPr>
        <w:t>要求学生理解并掌握核转录组测序的原理，掌握转录组分析的一般方法，了解进化树构建的目的和意义。</w:t>
      </w:r>
    </w:p>
    <w:p w14:paraId="1D3BB63E"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rPr>
        <w:t>甜瓜转录组下机数据，台式计算机，</w:t>
      </w:r>
      <w:proofErr w:type="spellStart"/>
      <w:r>
        <w:rPr>
          <w:bCs/>
        </w:rPr>
        <w:t>linux</w:t>
      </w:r>
      <w:proofErr w:type="spellEnd"/>
      <w:r>
        <w:rPr>
          <w:bCs/>
        </w:rPr>
        <w:t>服务器等。</w:t>
      </w:r>
    </w:p>
    <w:p w14:paraId="16CB2418"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【实验六】</w:t>
      </w:r>
      <w:r>
        <w:rPr>
          <w:rFonts w:ascii="Times New Roman" w:eastAsia="宋体" w:hAnsi="Times New Roman" w:cs="Times New Roman"/>
          <w:b/>
          <w:sz w:val="21"/>
          <w:szCs w:val="21"/>
        </w:rPr>
        <w:t>Linux Shell</w:t>
      </w:r>
      <w:r>
        <w:rPr>
          <w:rFonts w:ascii="Times New Roman" w:eastAsia="宋体" w:hAnsi="Times New Roman" w:cs="Times New Roman"/>
          <w:b/>
          <w:sz w:val="21"/>
          <w:szCs w:val="21"/>
        </w:rPr>
        <w:t>常用命令上机实验</w:t>
      </w:r>
    </w:p>
    <w:p w14:paraId="0A346FB5" w14:textId="77777777" w:rsidR="00F5289E" w:rsidRDefault="00C91173">
      <w:pPr>
        <w:snapToGrid w:val="0"/>
        <w:spacing w:line="360" w:lineRule="auto"/>
        <w:ind w:firstLineChars="200" w:firstLine="422"/>
      </w:pPr>
      <w:r>
        <w:rPr>
          <w:b/>
          <w:szCs w:val="21"/>
        </w:rPr>
        <w:t>1.</w:t>
      </w:r>
      <w:r>
        <w:rPr>
          <w:b/>
          <w:szCs w:val="21"/>
        </w:rPr>
        <w:t>实验学时：</w:t>
      </w:r>
      <w:r>
        <w:rPr>
          <w:bCs/>
        </w:rPr>
        <w:t>2</w:t>
      </w:r>
      <w:r>
        <w:rPr>
          <w:bCs/>
        </w:rPr>
        <w:t>学时</w:t>
      </w:r>
    </w:p>
    <w:p w14:paraId="18AE3511"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熟练掌握</w:t>
      </w:r>
      <w:r>
        <w:rPr>
          <w:bCs/>
        </w:rPr>
        <w:t>Linux Shell</w:t>
      </w:r>
      <w:r>
        <w:rPr>
          <w:bCs/>
        </w:rPr>
        <w:t>常用命令的使用</w:t>
      </w:r>
    </w:p>
    <w:p w14:paraId="6E369D7F"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rPr>
        <w:t>在计算机端练习用户和工作组管理、文件查看与查找、文件处理、文件操作与备份、系统维护与管理等</w:t>
      </w:r>
      <w:r>
        <w:rPr>
          <w:bCs/>
        </w:rPr>
        <w:t>Linux Shell</w:t>
      </w:r>
      <w:r>
        <w:rPr>
          <w:bCs/>
        </w:rPr>
        <w:t>命令的使用。</w:t>
      </w:r>
    </w:p>
    <w:p w14:paraId="4045068D"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必做</w:t>
      </w:r>
    </w:p>
    <w:p w14:paraId="33191AFA"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台式计算机</w:t>
      </w:r>
    </w:p>
    <w:p w14:paraId="652CB4CC"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【实验七】</w:t>
      </w:r>
      <w:r>
        <w:rPr>
          <w:rFonts w:ascii="Times New Roman" w:eastAsia="宋体" w:hAnsi="Times New Roman" w:cs="Times New Roman"/>
          <w:b/>
          <w:sz w:val="21"/>
          <w:szCs w:val="21"/>
        </w:rPr>
        <w:t>Python</w:t>
      </w:r>
      <w:r>
        <w:rPr>
          <w:rFonts w:ascii="Times New Roman" w:eastAsia="宋体" w:hAnsi="Times New Roman" w:cs="Times New Roman"/>
          <w:b/>
          <w:sz w:val="21"/>
          <w:szCs w:val="21"/>
        </w:rPr>
        <w:t>编程语言上机实验</w:t>
      </w:r>
    </w:p>
    <w:p w14:paraId="7F20D6FD" w14:textId="77777777" w:rsidR="00F5289E" w:rsidRDefault="00C91173">
      <w:pPr>
        <w:snapToGrid w:val="0"/>
        <w:spacing w:line="360" w:lineRule="auto"/>
        <w:ind w:firstLineChars="200" w:firstLine="422"/>
      </w:pPr>
      <w:r>
        <w:rPr>
          <w:b/>
          <w:szCs w:val="21"/>
        </w:rPr>
        <w:t>1.</w:t>
      </w:r>
      <w:r>
        <w:rPr>
          <w:b/>
          <w:szCs w:val="21"/>
        </w:rPr>
        <w:t>实验学时：</w:t>
      </w:r>
      <w:r>
        <w:rPr>
          <w:bCs/>
        </w:rPr>
        <w:t>1</w:t>
      </w:r>
      <w:r>
        <w:rPr>
          <w:bCs/>
        </w:rPr>
        <w:t>学时</w:t>
      </w:r>
    </w:p>
    <w:p w14:paraId="29E4A2CB"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熟练掌握</w:t>
      </w:r>
      <w:proofErr w:type="spellStart"/>
      <w:r>
        <w:rPr>
          <w:bCs/>
        </w:rPr>
        <w:t>Pyhton</w:t>
      </w:r>
      <w:proofErr w:type="spellEnd"/>
      <w:r>
        <w:rPr>
          <w:bCs/>
        </w:rPr>
        <w:t>程序的编写和执行</w:t>
      </w:r>
    </w:p>
    <w:p w14:paraId="43461B64"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szCs w:val="21"/>
        </w:rPr>
        <w:t>（</w:t>
      </w:r>
      <w:r>
        <w:rPr>
          <w:bCs/>
          <w:szCs w:val="21"/>
        </w:rPr>
        <w:t>1</w:t>
      </w:r>
      <w:r>
        <w:rPr>
          <w:bCs/>
          <w:szCs w:val="21"/>
        </w:rPr>
        <w:t>）</w:t>
      </w:r>
      <w:r>
        <w:rPr>
          <w:bCs/>
        </w:rPr>
        <w:t>在</w:t>
      </w:r>
      <w:r>
        <w:rPr>
          <w:bCs/>
        </w:rPr>
        <w:t>Python</w:t>
      </w:r>
      <w:r>
        <w:rPr>
          <w:bCs/>
        </w:rPr>
        <w:t>交互模式下，练习变量、列表、数组以及字典等数据类型的创建、切片、删除、以及排序等操作。（</w:t>
      </w:r>
      <w:r>
        <w:rPr>
          <w:bCs/>
        </w:rPr>
        <w:t>2</w:t>
      </w:r>
      <w:r>
        <w:rPr>
          <w:bCs/>
        </w:rPr>
        <w:t>）编写</w:t>
      </w:r>
      <w:r>
        <w:rPr>
          <w:bCs/>
        </w:rPr>
        <w:t>Python</w:t>
      </w:r>
      <w:r>
        <w:rPr>
          <w:bCs/>
        </w:rPr>
        <w:t>脚本实现</w:t>
      </w:r>
      <w:proofErr w:type="spellStart"/>
      <w:r>
        <w:rPr>
          <w:bCs/>
        </w:rPr>
        <w:t>fasta</w:t>
      </w:r>
      <w:proofErr w:type="spellEnd"/>
      <w:r>
        <w:rPr>
          <w:bCs/>
        </w:rPr>
        <w:t>文件与纯序列文件之间的格式转换。</w:t>
      </w:r>
    </w:p>
    <w:p w14:paraId="73959667"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必做</w:t>
      </w:r>
    </w:p>
    <w:p w14:paraId="4CB7EDC5"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台式计算机</w:t>
      </w:r>
    </w:p>
    <w:p w14:paraId="47297E40" w14:textId="77777777" w:rsidR="00F5289E" w:rsidRDefault="00C91173">
      <w:pPr>
        <w:pStyle w:val="af1"/>
        <w:snapToGrid w:val="0"/>
        <w:spacing w:before="0" w:beforeAutospacing="0" w:after="0" w:afterAutospacing="0" w:line="360" w:lineRule="auto"/>
        <w:rPr>
          <w:rFonts w:ascii="Times New Roman" w:eastAsia="宋体" w:hAnsi="Times New Roman" w:cs="Times New Roman"/>
          <w:b/>
          <w:sz w:val="21"/>
          <w:szCs w:val="21"/>
        </w:rPr>
      </w:pPr>
      <w:r>
        <w:rPr>
          <w:rFonts w:ascii="Times New Roman" w:eastAsia="宋体" w:hAnsi="Times New Roman" w:cs="Times New Roman"/>
          <w:b/>
          <w:sz w:val="21"/>
          <w:szCs w:val="21"/>
        </w:rPr>
        <w:t>【实验八】</w:t>
      </w:r>
      <w:r>
        <w:rPr>
          <w:rFonts w:ascii="Times New Roman" w:eastAsia="宋体" w:hAnsi="Times New Roman" w:cs="Times New Roman"/>
          <w:b/>
          <w:sz w:val="21"/>
          <w:szCs w:val="21"/>
        </w:rPr>
        <w:t>R</w:t>
      </w:r>
      <w:r>
        <w:rPr>
          <w:rFonts w:ascii="Times New Roman" w:eastAsia="宋体" w:hAnsi="Times New Roman" w:cs="Times New Roman"/>
          <w:b/>
          <w:sz w:val="21"/>
          <w:szCs w:val="21"/>
        </w:rPr>
        <w:t>编程语言上机实验</w:t>
      </w:r>
    </w:p>
    <w:p w14:paraId="1DDD355E" w14:textId="77777777" w:rsidR="00F5289E" w:rsidRDefault="00C91173">
      <w:pPr>
        <w:snapToGrid w:val="0"/>
        <w:spacing w:line="360" w:lineRule="auto"/>
        <w:ind w:firstLineChars="200" w:firstLine="422"/>
      </w:pPr>
      <w:r>
        <w:rPr>
          <w:b/>
          <w:szCs w:val="21"/>
        </w:rPr>
        <w:t>1.</w:t>
      </w:r>
      <w:r>
        <w:rPr>
          <w:b/>
          <w:szCs w:val="21"/>
        </w:rPr>
        <w:t>实验学时：</w:t>
      </w:r>
      <w:r>
        <w:rPr>
          <w:bCs/>
        </w:rPr>
        <w:t>1</w:t>
      </w:r>
      <w:r>
        <w:rPr>
          <w:bCs/>
        </w:rPr>
        <w:t>学时</w:t>
      </w:r>
    </w:p>
    <w:p w14:paraId="4A552200" w14:textId="77777777" w:rsidR="00F5289E" w:rsidRDefault="00C91173">
      <w:pPr>
        <w:snapToGrid w:val="0"/>
        <w:spacing w:line="360" w:lineRule="auto"/>
        <w:ind w:firstLineChars="200" w:firstLine="422"/>
        <w:rPr>
          <w:bCs/>
          <w:szCs w:val="21"/>
        </w:rPr>
      </w:pPr>
      <w:r>
        <w:rPr>
          <w:b/>
          <w:szCs w:val="21"/>
        </w:rPr>
        <w:t>2.</w:t>
      </w:r>
      <w:r>
        <w:rPr>
          <w:b/>
          <w:szCs w:val="21"/>
        </w:rPr>
        <w:t>实验目的：</w:t>
      </w:r>
      <w:r>
        <w:rPr>
          <w:bCs/>
        </w:rPr>
        <w:t>熟练掌握</w:t>
      </w:r>
      <w:r>
        <w:rPr>
          <w:bCs/>
        </w:rPr>
        <w:t>R</w:t>
      </w:r>
      <w:r>
        <w:rPr>
          <w:bCs/>
        </w:rPr>
        <w:t>编程语言的使用，熟练掌握</w:t>
      </w:r>
      <w:proofErr w:type="spellStart"/>
      <w:r>
        <w:rPr>
          <w:bCs/>
        </w:rPr>
        <w:t>Rstudio</w:t>
      </w:r>
      <w:proofErr w:type="spellEnd"/>
      <w:r>
        <w:rPr>
          <w:bCs/>
        </w:rPr>
        <w:t>软件的使用。</w:t>
      </w:r>
    </w:p>
    <w:p w14:paraId="3F064573" w14:textId="77777777" w:rsidR="00F5289E" w:rsidRDefault="00C91173">
      <w:pPr>
        <w:snapToGrid w:val="0"/>
        <w:spacing w:line="360" w:lineRule="auto"/>
        <w:ind w:firstLineChars="200" w:firstLine="422"/>
        <w:rPr>
          <w:bCs/>
          <w:szCs w:val="21"/>
        </w:rPr>
      </w:pPr>
      <w:r>
        <w:rPr>
          <w:b/>
          <w:szCs w:val="21"/>
        </w:rPr>
        <w:t>3.</w:t>
      </w:r>
      <w:r>
        <w:rPr>
          <w:b/>
          <w:szCs w:val="21"/>
        </w:rPr>
        <w:t>实验内容：</w:t>
      </w:r>
      <w:r>
        <w:rPr>
          <w:bCs/>
          <w:szCs w:val="21"/>
        </w:rPr>
        <w:t>（</w:t>
      </w:r>
      <w:r>
        <w:rPr>
          <w:bCs/>
          <w:szCs w:val="21"/>
        </w:rPr>
        <w:t>1</w:t>
      </w:r>
      <w:r>
        <w:rPr>
          <w:bCs/>
          <w:szCs w:val="21"/>
        </w:rPr>
        <w:t>）在</w:t>
      </w:r>
      <w:proofErr w:type="spellStart"/>
      <w:r>
        <w:rPr>
          <w:bCs/>
        </w:rPr>
        <w:t>Rstudio</w:t>
      </w:r>
      <w:proofErr w:type="spellEnd"/>
      <w:r>
        <w:rPr>
          <w:bCs/>
        </w:rPr>
        <w:t>软件中进行</w:t>
      </w:r>
      <w:r>
        <w:rPr>
          <w:bCs/>
        </w:rPr>
        <w:t>R</w:t>
      </w:r>
      <w:r>
        <w:rPr>
          <w:bCs/>
        </w:rPr>
        <w:t>语言的基本操作。（</w:t>
      </w:r>
      <w:r>
        <w:rPr>
          <w:bCs/>
        </w:rPr>
        <w:t>2</w:t>
      </w:r>
      <w:r>
        <w:rPr>
          <w:bCs/>
        </w:rPr>
        <w:t>）</w:t>
      </w:r>
      <w:r>
        <w:rPr>
          <w:bCs/>
          <w:szCs w:val="21"/>
        </w:rPr>
        <w:t>在</w:t>
      </w:r>
      <w:proofErr w:type="spellStart"/>
      <w:r>
        <w:rPr>
          <w:bCs/>
        </w:rPr>
        <w:t>Rstudio</w:t>
      </w:r>
      <w:proofErr w:type="spellEnd"/>
      <w:r>
        <w:rPr>
          <w:bCs/>
        </w:rPr>
        <w:t>软件中通过调用</w:t>
      </w:r>
      <w:r>
        <w:rPr>
          <w:bCs/>
        </w:rPr>
        <w:t>ggplot2</w:t>
      </w:r>
      <w:r>
        <w:rPr>
          <w:bCs/>
        </w:rPr>
        <w:t>包完成基本科研图形的绘制。</w:t>
      </w:r>
    </w:p>
    <w:p w14:paraId="6EA31262" w14:textId="77777777" w:rsidR="00F5289E" w:rsidRDefault="00C91173">
      <w:pPr>
        <w:snapToGrid w:val="0"/>
        <w:spacing w:line="360" w:lineRule="auto"/>
        <w:ind w:firstLineChars="200" w:firstLine="422"/>
        <w:rPr>
          <w:bCs/>
          <w:szCs w:val="21"/>
        </w:rPr>
      </w:pPr>
      <w:r>
        <w:rPr>
          <w:b/>
          <w:szCs w:val="21"/>
        </w:rPr>
        <w:t>4.</w:t>
      </w:r>
      <w:r>
        <w:rPr>
          <w:b/>
          <w:szCs w:val="21"/>
        </w:rPr>
        <w:t>实验要求：</w:t>
      </w:r>
      <w:r>
        <w:rPr>
          <w:bCs/>
          <w:szCs w:val="21"/>
        </w:rPr>
        <w:t>必做</w:t>
      </w:r>
    </w:p>
    <w:p w14:paraId="01052FFE" w14:textId="77777777" w:rsidR="00F5289E" w:rsidRDefault="00C91173">
      <w:pPr>
        <w:snapToGrid w:val="0"/>
        <w:spacing w:line="360" w:lineRule="auto"/>
        <w:ind w:firstLineChars="200" w:firstLine="422"/>
        <w:rPr>
          <w:bCs/>
          <w:szCs w:val="21"/>
        </w:rPr>
      </w:pPr>
      <w:r>
        <w:rPr>
          <w:b/>
          <w:szCs w:val="21"/>
        </w:rPr>
        <w:t>5.</w:t>
      </w:r>
      <w:r>
        <w:rPr>
          <w:b/>
          <w:szCs w:val="21"/>
        </w:rPr>
        <w:t>实验设备及器材：</w:t>
      </w:r>
      <w:r>
        <w:rPr>
          <w:bCs/>
          <w:szCs w:val="21"/>
        </w:rPr>
        <w:t>台式计算机</w:t>
      </w:r>
    </w:p>
    <w:p w14:paraId="3F0ED673" w14:textId="77777777" w:rsidR="00F5289E" w:rsidRDefault="00C91173">
      <w:pPr>
        <w:snapToGrid w:val="0"/>
        <w:spacing w:line="360" w:lineRule="auto"/>
        <w:rPr>
          <w:bCs/>
          <w:color w:val="0000FF"/>
          <w:szCs w:val="21"/>
        </w:rPr>
      </w:pPr>
      <w:r>
        <w:rPr>
          <w:b/>
          <w:szCs w:val="21"/>
        </w:rPr>
        <w:t>(</w:t>
      </w:r>
      <w:r>
        <w:rPr>
          <w:b/>
          <w:szCs w:val="21"/>
        </w:rPr>
        <w:t>七</w:t>
      </w:r>
      <w:r>
        <w:rPr>
          <w:b/>
          <w:szCs w:val="21"/>
        </w:rPr>
        <w:t>)</w:t>
      </w:r>
      <w:r>
        <w:rPr>
          <w:b/>
          <w:bCs/>
          <w:szCs w:val="21"/>
        </w:rPr>
        <w:t>考核方式及成绩评定</w:t>
      </w:r>
    </w:p>
    <w:p w14:paraId="3745D5F1" w14:textId="77777777" w:rsidR="00F5289E" w:rsidRDefault="00C91173">
      <w:pPr>
        <w:snapToGrid w:val="0"/>
        <w:spacing w:line="360" w:lineRule="auto"/>
        <w:ind w:firstLineChars="200" w:firstLine="420"/>
        <w:rPr>
          <w:bCs/>
        </w:rPr>
      </w:pPr>
      <w:r>
        <w:rPr>
          <w:bCs/>
        </w:rPr>
        <w:t>学生独立完成实验报告，由教师进行成绩评定。</w:t>
      </w:r>
    </w:p>
    <w:p w14:paraId="0D2D4D87" w14:textId="77777777" w:rsidR="00F5289E" w:rsidRDefault="00C91173">
      <w:pPr>
        <w:snapToGrid w:val="0"/>
        <w:spacing w:line="360" w:lineRule="auto"/>
        <w:rPr>
          <w:b/>
          <w:szCs w:val="21"/>
        </w:rPr>
      </w:pPr>
      <w:r>
        <w:rPr>
          <w:b/>
          <w:szCs w:val="21"/>
        </w:rPr>
        <w:t>六、课程思政</w:t>
      </w:r>
    </w:p>
    <w:p w14:paraId="1E03F8C1" w14:textId="77777777" w:rsidR="00F5289E" w:rsidRDefault="00C91173">
      <w:pPr>
        <w:snapToGrid w:val="0"/>
        <w:spacing w:line="360" w:lineRule="auto"/>
        <w:ind w:firstLineChars="200" w:firstLine="420"/>
        <w:rPr>
          <w:szCs w:val="21"/>
        </w:rPr>
      </w:pPr>
      <w:r>
        <w:rPr>
          <w:szCs w:val="21"/>
        </w:rPr>
        <w:lastRenderedPageBreak/>
        <w:t>结合点</w:t>
      </w:r>
      <w:r>
        <w:rPr>
          <w:szCs w:val="21"/>
        </w:rPr>
        <w:t>1</w:t>
      </w:r>
      <w:r>
        <w:rPr>
          <w:szCs w:val="21"/>
        </w:rPr>
        <w:t>：学术规范中的文献引用规则与第二章数据库使用相结合。</w:t>
      </w:r>
    </w:p>
    <w:p w14:paraId="196ACD3F" w14:textId="77777777" w:rsidR="00F5289E" w:rsidRDefault="00C91173">
      <w:pPr>
        <w:snapToGrid w:val="0"/>
        <w:spacing w:line="360" w:lineRule="auto"/>
        <w:ind w:firstLineChars="200" w:firstLine="420"/>
        <w:rPr>
          <w:szCs w:val="21"/>
        </w:rPr>
      </w:pPr>
      <w:r>
        <w:rPr>
          <w:szCs w:val="21"/>
        </w:rPr>
        <w:t>结合点</w:t>
      </w:r>
      <w:r>
        <w:rPr>
          <w:szCs w:val="21"/>
        </w:rPr>
        <w:t>2</w:t>
      </w:r>
      <w:r>
        <w:rPr>
          <w:szCs w:val="21"/>
        </w:rPr>
        <w:t>：科学伦理与第四章基因基因功能注释、基因编辑相结合。</w:t>
      </w:r>
    </w:p>
    <w:p w14:paraId="3150A827" w14:textId="77777777" w:rsidR="00F5289E" w:rsidRDefault="00C91173">
      <w:pPr>
        <w:snapToGrid w:val="0"/>
        <w:spacing w:line="360" w:lineRule="auto"/>
        <w:ind w:firstLineChars="200" w:firstLine="420"/>
        <w:rPr>
          <w:szCs w:val="21"/>
        </w:rPr>
      </w:pPr>
      <w:r>
        <w:rPr>
          <w:szCs w:val="21"/>
        </w:rPr>
        <w:t>结合点</w:t>
      </w:r>
      <w:r>
        <w:rPr>
          <w:szCs w:val="21"/>
        </w:rPr>
        <w:t>3</w:t>
      </w:r>
      <w:r>
        <w:rPr>
          <w:szCs w:val="21"/>
        </w:rPr>
        <w:t>：我国科技发展中面临的卡脖子问题与第五章测序技术相结合。</w:t>
      </w:r>
    </w:p>
    <w:p w14:paraId="7E4FB7D5" w14:textId="77777777" w:rsidR="00F5289E" w:rsidRDefault="00C91173">
      <w:pPr>
        <w:widowControl/>
        <w:snapToGrid w:val="0"/>
        <w:spacing w:line="360" w:lineRule="auto"/>
        <w:jc w:val="left"/>
        <w:rPr>
          <w:kern w:val="0"/>
          <w:szCs w:val="21"/>
        </w:rPr>
      </w:pPr>
      <w:r>
        <w:rPr>
          <w:b/>
          <w:bCs/>
          <w:kern w:val="0"/>
          <w:szCs w:val="21"/>
        </w:rPr>
        <w:t>七、教材及教学参考书</w:t>
      </w:r>
      <w:r>
        <w:t>（教材的选用应符合教育部和学校教材选用规定，教学资源丰富多样，体现思想性、科学性与时代性）</w:t>
      </w:r>
    </w:p>
    <w:p w14:paraId="534C5426" w14:textId="77777777" w:rsidR="00F5289E" w:rsidRDefault="00C91173">
      <w:pPr>
        <w:widowControl/>
        <w:snapToGrid w:val="0"/>
        <w:spacing w:line="360" w:lineRule="auto"/>
        <w:ind w:firstLineChars="200" w:firstLine="422"/>
        <w:jc w:val="left"/>
        <w:rPr>
          <w:b/>
          <w:bCs/>
          <w:kern w:val="0"/>
          <w:szCs w:val="21"/>
        </w:rPr>
      </w:pPr>
      <w:r>
        <w:rPr>
          <w:b/>
          <w:bCs/>
          <w:kern w:val="0"/>
          <w:szCs w:val="21"/>
        </w:rPr>
        <w:t>1.</w:t>
      </w:r>
      <w:r>
        <w:rPr>
          <w:b/>
          <w:bCs/>
          <w:kern w:val="0"/>
          <w:szCs w:val="21"/>
        </w:rPr>
        <w:t>选用教材：</w:t>
      </w:r>
    </w:p>
    <w:p w14:paraId="324513B1" w14:textId="77777777" w:rsidR="00F5289E" w:rsidRDefault="00C91173">
      <w:pPr>
        <w:widowControl/>
        <w:snapToGrid w:val="0"/>
        <w:spacing w:line="360" w:lineRule="auto"/>
        <w:ind w:firstLineChars="200" w:firstLine="420"/>
        <w:jc w:val="left"/>
        <w:rPr>
          <w:bCs/>
          <w:kern w:val="0"/>
          <w:szCs w:val="21"/>
        </w:rPr>
      </w:pPr>
      <w:r>
        <w:rPr>
          <w:bCs/>
          <w:kern w:val="0"/>
          <w:szCs w:val="21"/>
        </w:rPr>
        <w:t>（</w:t>
      </w:r>
      <w:r>
        <w:rPr>
          <w:bCs/>
          <w:kern w:val="0"/>
          <w:szCs w:val="21"/>
        </w:rPr>
        <w:t>1</w:t>
      </w:r>
      <w:r>
        <w:rPr>
          <w:bCs/>
          <w:kern w:val="0"/>
          <w:szCs w:val="21"/>
        </w:rPr>
        <w:t>）理论课教材：《生物信息学》，樊龙江，浙江大学出版社，</w:t>
      </w:r>
      <w:r>
        <w:rPr>
          <w:bCs/>
          <w:kern w:val="0"/>
          <w:szCs w:val="21"/>
        </w:rPr>
        <w:t>2017</w:t>
      </w:r>
      <w:r>
        <w:rPr>
          <w:bCs/>
          <w:kern w:val="0"/>
          <w:szCs w:val="21"/>
        </w:rPr>
        <w:t>年</w:t>
      </w:r>
      <w:r>
        <w:rPr>
          <w:bCs/>
          <w:kern w:val="0"/>
          <w:szCs w:val="21"/>
        </w:rPr>
        <w:t>9</w:t>
      </w:r>
      <w:r>
        <w:rPr>
          <w:bCs/>
          <w:kern w:val="0"/>
          <w:szCs w:val="21"/>
        </w:rPr>
        <w:t>月第一版</w:t>
      </w:r>
    </w:p>
    <w:p w14:paraId="1F1137A2" w14:textId="77777777" w:rsidR="00F5289E" w:rsidRDefault="00C91173">
      <w:pPr>
        <w:widowControl/>
        <w:snapToGrid w:val="0"/>
        <w:spacing w:line="360" w:lineRule="auto"/>
        <w:ind w:firstLineChars="200" w:firstLine="420"/>
        <w:jc w:val="left"/>
        <w:rPr>
          <w:bCs/>
          <w:kern w:val="0"/>
          <w:szCs w:val="21"/>
        </w:rPr>
      </w:pPr>
      <w:r>
        <w:t>（</w:t>
      </w:r>
      <w:r>
        <w:t>2</w:t>
      </w:r>
      <w:r>
        <w:t>）实验课教材：</w:t>
      </w:r>
      <w:r>
        <w:rPr>
          <w:bCs/>
          <w:kern w:val="0"/>
          <w:szCs w:val="21"/>
        </w:rPr>
        <w:t>《生物信息学实验教程》，吕巍、李滨编著，高等教育出版社，</w:t>
      </w:r>
      <w:r>
        <w:rPr>
          <w:bCs/>
          <w:kern w:val="0"/>
          <w:szCs w:val="21"/>
        </w:rPr>
        <w:t>2016</w:t>
      </w:r>
      <w:r>
        <w:rPr>
          <w:bCs/>
          <w:kern w:val="0"/>
          <w:szCs w:val="21"/>
        </w:rPr>
        <w:t>年</w:t>
      </w:r>
    </w:p>
    <w:p w14:paraId="728FFC85"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b/>
          <w:bCs/>
          <w:kern w:val="0"/>
          <w:szCs w:val="21"/>
        </w:rPr>
        <w:t>参考书：</w:t>
      </w:r>
    </w:p>
    <w:p w14:paraId="18D75CC6"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1</w:t>
      </w:r>
      <w:r>
        <w:rPr>
          <w:bCs/>
          <w:kern w:val="0"/>
          <w:szCs w:val="21"/>
        </w:rPr>
        <w:t>）</w:t>
      </w:r>
      <w:r>
        <w:rPr>
          <w:bCs/>
          <w:kern w:val="0"/>
          <w:szCs w:val="21"/>
        </w:rPr>
        <w:t xml:space="preserve">D. W. Mount. </w:t>
      </w:r>
      <w:r>
        <w:rPr>
          <w:bCs/>
          <w:kern w:val="0"/>
          <w:szCs w:val="21"/>
        </w:rPr>
        <w:t>生物信息学（第二版）</w:t>
      </w:r>
      <w:r>
        <w:rPr>
          <w:bCs/>
          <w:kern w:val="0"/>
          <w:szCs w:val="21"/>
        </w:rPr>
        <w:t xml:space="preserve">. </w:t>
      </w:r>
      <w:r>
        <w:rPr>
          <w:bCs/>
          <w:kern w:val="0"/>
          <w:szCs w:val="21"/>
        </w:rPr>
        <w:t>北京：科学出版社，</w:t>
      </w:r>
      <w:r>
        <w:rPr>
          <w:bCs/>
          <w:kern w:val="0"/>
          <w:szCs w:val="21"/>
        </w:rPr>
        <w:t>2006</w:t>
      </w:r>
      <w:r>
        <w:rPr>
          <w:bCs/>
          <w:kern w:val="0"/>
          <w:szCs w:val="21"/>
        </w:rPr>
        <w:t>年</w:t>
      </w:r>
    </w:p>
    <w:p w14:paraId="190EE57C"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2</w:t>
      </w:r>
      <w:r>
        <w:rPr>
          <w:bCs/>
          <w:kern w:val="0"/>
          <w:szCs w:val="21"/>
        </w:rPr>
        <w:t>）《生物信息学基础教程》，张洛欣</w:t>
      </w:r>
      <w:r>
        <w:rPr>
          <w:bCs/>
          <w:kern w:val="0"/>
          <w:szCs w:val="21"/>
        </w:rPr>
        <w:t>/</w:t>
      </w:r>
      <w:r>
        <w:rPr>
          <w:bCs/>
          <w:kern w:val="0"/>
          <w:szCs w:val="21"/>
        </w:rPr>
        <w:t>马斌，高等教育出版社，</w:t>
      </w:r>
      <w:r>
        <w:rPr>
          <w:bCs/>
          <w:kern w:val="0"/>
          <w:szCs w:val="21"/>
        </w:rPr>
        <w:t>2015</w:t>
      </w:r>
      <w:r>
        <w:rPr>
          <w:bCs/>
          <w:kern w:val="0"/>
          <w:szCs w:val="21"/>
        </w:rPr>
        <w:t>年</w:t>
      </w:r>
      <w:r>
        <w:rPr>
          <w:bCs/>
          <w:kern w:val="0"/>
          <w:szCs w:val="21"/>
        </w:rPr>
        <w:t>1</w:t>
      </w:r>
      <w:r>
        <w:rPr>
          <w:bCs/>
          <w:kern w:val="0"/>
          <w:szCs w:val="21"/>
        </w:rPr>
        <w:t>月第一版（或之后的版本）</w:t>
      </w:r>
    </w:p>
    <w:p w14:paraId="6B867972" w14:textId="77777777" w:rsidR="00F5289E" w:rsidRDefault="00C91173">
      <w:pPr>
        <w:snapToGrid w:val="0"/>
        <w:spacing w:line="360" w:lineRule="auto"/>
        <w:ind w:firstLineChars="200" w:firstLine="420"/>
        <w:rPr>
          <w:bCs/>
          <w:kern w:val="0"/>
          <w:szCs w:val="21"/>
        </w:rPr>
      </w:pPr>
      <w:r>
        <w:rPr>
          <w:bCs/>
          <w:kern w:val="0"/>
          <w:szCs w:val="21"/>
        </w:rPr>
        <w:t>（</w:t>
      </w:r>
      <w:r>
        <w:rPr>
          <w:bCs/>
          <w:kern w:val="0"/>
          <w:szCs w:val="21"/>
        </w:rPr>
        <w:t>3</w:t>
      </w:r>
      <w:r>
        <w:rPr>
          <w:bCs/>
          <w:kern w:val="0"/>
          <w:szCs w:val="21"/>
        </w:rPr>
        <w:t>）陈铭</w:t>
      </w:r>
      <w:r>
        <w:rPr>
          <w:bCs/>
          <w:kern w:val="0"/>
          <w:szCs w:val="21"/>
        </w:rPr>
        <w:t xml:space="preserve"> </w:t>
      </w:r>
      <w:r>
        <w:rPr>
          <w:bCs/>
          <w:kern w:val="0"/>
          <w:szCs w:val="21"/>
        </w:rPr>
        <w:t>主编</w:t>
      </w:r>
      <w:r>
        <w:rPr>
          <w:bCs/>
          <w:kern w:val="0"/>
          <w:szCs w:val="21"/>
        </w:rPr>
        <w:t xml:space="preserve">. </w:t>
      </w:r>
      <w:r>
        <w:rPr>
          <w:bCs/>
          <w:kern w:val="0"/>
          <w:szCs w:val="21"/>
        </w:rPr>
        <w:t>生物信息学（第四版）</w:t>
      </w:r>
      <w:r>
        <w:rPr>
          <w:bCs/>
          <w:kern w:val="0"/>
          <w:szCs w:val="21"/>
        </w:rPr>
        <w:t xml:space="preserve">. </w:t>
      </w:r>
      <w:r>
        <w:rPr>
          <w:bCs/>
          <w:kern w:val="0"/>
          <w:szCs w:val="21"/>
        </w:rPr>
        <w:t>北京：</w:t>
      </w:r>
      <w:r>
        <w:rPr>
          <w:bCs/>
          <w:kern w:val="0"/>
          <w:szCs w:val="21"/>
        </w:rPr>
        <w:t xml:space="preserve"> </w:t>
      </w:r>
      <w:r>
        <w:rPr>
          <w:bCs/>
          <w:kern w:val="0"/>
          <w:szCs w:val="21"/>
        </w:rPr>
        <w:t>科学出版社，</w:t>
      </w:r>
      <w:r>
        <w:rPr>
          <w:bCs/>
          <w:kern w:val="0"/>
          <w:szCs w:val="21"/>
        </w:rPr>
        <w:t xml:space="preserve"> 2022 </w:t>
      </w:r>
      <w:r>
        <w:rPr>
          <w:bCs/>
          <w:kern w:val="0"/>
          <w:szCs w:val="21"/>
        </w:rPr>
        <w:t>年</w:t>
      </w:r>
    </w:p>
    <w:p w14:paraId="20EDFB7C" w14:textId="77777777" w:rsidR="00F5289E" w:rsidRDefault="00C91173">
      <w:pPr>
        <w:widowControl/>
        <w:snapToGrid w:val="0"/>
        <w:spacing w:line="360" w:lineRule="auto"/>
        <w:ind w:firstLineChars="200" w:firstLine="422"/>
        <w:jc w:val="left"/>
        <w:rPr>
          <w:b/>
          <w:kern w:val="0"/>
          <w:szCs w:val="21"/>
        </w:rPr>
      </w:pPr>
      <w:r>
        <w:rPr>
          <w:b/>
          <w:kern w:val="0"/>
          <w:szCs w:val="21"/>
        </w:rPr>
        <w:t>3.</w:t>
      </w:r>
      <w:r>
        <w:rPr>
          <w:b/>
          <w:kern w:val="0"/>
          <w:szCs w:val="21"/>
        </w:rPr>
        <w:t>推荐网站（线上资源）：</w:t>
      </w:r>
    </w:p>
    <w:p w14:paraId="64D57B44" w14:textId="77777777" w:rsidR="00F5289E" w:rsidRDefault="00C91173">
      <w:pPr>
        <w:snapToGrid w:val="0"/>
        <w:spacing w:line="360" w:lineRule="auto"/>
        <w:ind w:firstLineChars="200" w:firstLine="420"/>
        <w:rPr>
          <w:szCs w:val="21"/>
        </w:rPr>
      </w:pPr>
      <w:r>
        <w:rPr>
          <w:szCs w:val="21"/>
        </w:rPr>
        <w:t>（</w:t>
      </w:r>
      <w:r>
        <w:rPr>
          <w:szCs w:val="21"/>
        </w:rPr>
        <w:t>1</w:t>
      </w:r>
      <w:r>
        <w:rPr>
          <w:szCs w:val="21"/>
        </w:rPr>
        <w:t>）生物信息学国家精品课程，</w:t>
      </w:r>
      <w:r>
        <w:rPr>
          <w:szCs w:val="21"/>
        </w:rPr>
        <w:t>https://www.icourse163.org/course/SDU-1001907001</w:t>
      </w:r>
    </w:p>
    <w:p w14:paraId="6CE6DAE2" w14:textId="77777777" w:rsidR="00F5289E" w:rsidRDefault="00C91173">
      <w:pPr>
        <w:widowControl/>
        <w:snapToGrid w:val="0"/>
        <w:spacing w:line="360" w:lineRule="auto"/>
        <w:ind w:firstLineChars="200" w:firstLine="420"/>
        <w:jc w:val="left"/>
        <w:rPr>
          <w:kern w:val="0"/>
        </w:rPr>
      </w:pPr>
      <w:r>
        <w:rPr>
          <w:szCs w:val="21"/>
        </w:rPr>
        <w:t>（</w:t>
      </w:r>
      <w:r>
        <w:rPr>
          <w:szCs w:val="21"/>
        </w:rPr>
        <w:t>2</w:t>
      </w:r>
      <w:r>
        <w:rPr>
          <w:szCs w:val="21"/>
        </w:rPr>
        <w:t>）河南科技大学生物信息学，</w:t>
      </w:r>
      <w:r>
        <w:rPr>
          <w:szCs w:val="21"/>
        </w:rPr>
        <w:t>https://www.icourse163.org/course/HAUST-1003368029</w:t>
      </w:r>
    </w:p>
    <w:p w14:paraId="6F68019E" w14:textId="77777777" w:rsidR="00F5289E" w:rsidRDefault="00C91173">
      <w:pPr>
        <w:widowControl/>
        <w:snapToGrid w:val="0"/>
        <w:spacing w:line="360" w:lineRule="auto"/>
        <w:jc w:val="left"/>
        <w:rPr>
          <w:b/>
          <w:bCs/>
          <w:kern w:val="0"/>
          <w:szCs w:val="21"/>
        </w:rPr>
      </w:pPr>
      <w:r>
        <w:rPr>
          <w:b/>
          <w:bCs/>
          <w:kern w:val="0"/>
          <w:szCs w:val="21"/>
        </w:rPr>
        <w:t>八、教学条件</w:t>
      </w:r>
    </w:p>
    <w:p w14:paraId="0412EB6F" w14:textId="77777777" w:rsidR="00F5289E" w:rsidRDefault="00C91173">
      <w:pPr>
        <w:snapToGrid w:val="0"/>
        <w:spacing w:line="360" w:lineRule="auto"/>
        <w:ind w:firstLineChars="200" w:firstLine="420"/>
        <w:rPr>
          <w:color w:val="0000FF"/>
          <w:szCs w:val="21"/>
        </w:rPr>
      </w:pPr>
      <w:r>
        <w:rPr>
          <w:szCs w:val="21"/>
        </w:rPr>
        <w:t>本课程由生物信息学教学团队完成讲授，同时聘请南京农业大学吴玉峰教授给予授课指导，团队成员中高级职称者</w:t>
      </w:r>
      <w:r>
        <w:rPr>
          <w:szCs w:val="21"/>
        </w:rPr>
        <w:t>2</w:t>
      </w:r>
      <w:r>
        <w:rPr>
          <w:szCs w:val="21"/>
        </w:rPr>
        <w:t>人，中级职称者</w:t>
      </w:r>
      <w:r>
        <w:rPr>
          <w:szCs w:val="21"/>
        </w:rPr>
        <w:t>3</w:t>
      </w:r>
      <w:r>
        <w:rPr>
          <w:szCs w:val="21"/>
        </w:rPr>
        <w:t>人，具有博士学位者</w:t>
      </w:r>
      <w:r>
        <w:rPr>
          <w:szCs w:val="21"/>
        </w:rPr>
        <w:t>5</w:t>
      </w:r>
      <w:r>
        <w:rPr>
          <w:szCs w:val="21"/>
        </w:rPr>
        <w:t>人，所有教师均有从事生物信息学相关研究的经验。本课程理论课教学在多媒体教室中进行，实验课在园艺计算机实验室进行。园艺学院建有实验教学中心，由</w:t>
      </w:r>
      <w:r>
        <w:rPr>
          <w:szCs w:val="21"/>
        </w:rPr>
        <w:t>4</w:t>
      </w:r>
      <w:r>
        <w:rPr>
          <w:szCs w:val="21"/>
        </w:rPr>
        <w:t>名专职实验人员负责管理实验设备。</w:t>
      </w:r>
    </w:p>
    <w:p w14:paraId="64DEBD7D" w14:textId="77777777" w:rsidR="00F5289E" w:rsidRDefault="00C91173">
      <w:pPr>
        <w:widowControl/>
        <w:snapToGrid w:val="0"/>
        <w:spacing w:line="360" w:lineRule="auto"/>
        <w:jc w:val="left"/>
        <w:rPr>
          <w:b/>
          <w:bCs/>
          <w:kern w:val="0"/>
          <w:szCs w:val="21"/>
        </w:rPr>
      </w:pPr>
      <w:r>
        <w:rPr>
          <w:b/>
          <w:bCs/>
          <w:kern w:val="0"/>
          <w:szCs w:val="21"/>
        </w:rPr>
        <w:t>九、教学考核评价</w:t>
      </w:r>
    </w:p>
    <w:p w14:paraId="50185F24" w14:textId="77777777" w:rsidR="00F5289E" w:rsidRDefault="00C91173">
      <w:pPr>
        <w:widowControl/>
        <w:snapToGrid w:val="0"/>
        <w:spacing w:line="360" w:lineRule="auto"/>
        <w:ind w:firstLine="420"/>
        <w:jc w:val="left"/>
        <w:rPr>
          <w:szCs w:val="21"/>
        </w:rPr>
      </w:pPr>
      <w:r>
        <w:rPr>
          <w:b/>
          <w:bCs/>
          <w:kern w:val="0"/>
          <w:szCs w:val="21"/>
        </w:rPr>
        <w:t>1.</w:t>
      </w:r>
      <w:r>
        <w:rPr>
          <w:b/>
          <w:bCs/>
          <w:kern w:val="0"/>
          <w:szCs w:val="21"/>
        </w:rPr>
        <w:t>过程性评价：</w:t>
      </w:r>
      <w:r>
        <w:t>本课程过程性评价主要包括课堂表现、课后作业、小论文、小组学习讨论等内容。</w:t>
      </w:r>
    </w:p>
    <w:p w14:paraId="5206D626" w14:textId="77777777" w:rsidR="00F5289E" w:rsidRDefault="00C91173">
      <w:pPr>
        <w:widowControl/>
        <w:snapToGrid w:val="0"/>
        <w:spacing w:line="360" w:lineRule="auto"/>
        <w:ind w:firstLine="420"/>
        <w:jc w:val="left"/>
        <w:rPr>
          <w:b/>
          <w:bCs/>
          <w:kern w:val="0"/>
          <w:szCs w:val="21"/>
        </w:rPr>
      </w:pPr>
      <w:r>
        <w:rPr>
          <w:b/>
          <w:bCs/>
          <w:kern w:val="0"/>
          <w:szCs w:val="21"/>
        </w:rPr>
        <w:t>2.</w:t>
      </w:r>
      <w:r>
        <w:rPr>
          <w:b/>
          <w:bCs/>
          <w:kern w:val="0"/>
          <w:szCs w:val="21"/>
        </w:rPr>
        <w:t>终结性评价：</w:t>
      </w:r>
      <w:r>
        <w:t>论文与实验报告</w:t>
      </w:r>
    </w:p>
    <w:p w14:paraId="6B52431F" w14:textId="77777777" w:rsidR="00F5289E" w:rsidRDefault="00C91173">
      <w:pPr>
        <w:widowControl/>
        <w:snapToGrid w:val="0"/>
        <w:spacing w:line="360" w:lineRule="auto"/>
        <w:ind w:firstLine="420"/>
        <w:jc w:val="left"/>
        <w:rPr>
          <w:bCs/>
          <w:kern w:val="0"/>
          <w:szCs w:val="21"/>
        </w:rPr>
      </w:pPr>
      <w:r>
        <w:rPr>
          <w:b/>
          <w:bCs/>
          <w:kern w:val="0"/>
          <w:szCs w:val="21"/>
        </w:rPr>
        <w:t>3.</w:t>
      </w:r>
      <w:r>
        <w:rPr>
          <w:b/>
          <w:bCs/>
          <w:kern w:val="0"/>
          <w:szCs w:val="21"/>
        </w:rPr>
        <w:t>课程综合评价：</w:t>
      </w:r>
      <w:r>
        <w:rPr>
          <w:bCs/>
          <w:kern w:val="0"/>
          <w:szCs w:val="21"/>
        </w:rPr>
        <w:t>课堂表现考勤及课堂表现（</w:t>
      </w:r>
      <w:r>
        <w:rPr>
          <w:bCs/>
          <w:kern w:val="0"/>
          <w:szCs w:val="21"/>
        </w:rPr>
        <w:t>20</w:t>
      </w:r>
      <w:r>
        <w:rPr>
          <w:bCs/>
          <w:kern w:val="0"/>
          <w:szCs w:val="21"/>
        </w:rPr>
        <w:t>％），平时作业（</w:t>
      </w:r>
      <w:r>
        <w:rPr>
          <w:bCs/>
          <w:kern w:val="0"/>
          <w:szCs w:val="21"/>
        </w:rPr>
        <w:t>30</w:t>
      </w:r>
      <w:r>
        <w:rPr>
          <w:bCs/>
          <w:kern w:val="0"/>
          <w:szCs w:val="21"/>
        </w:rPr>
        <w:t>％），课程论文（</w:t>
      </w:r>
      <w:r>
        <w:rPr>
          <w:bCs/>
          <w:kern w:val="0"/>
          <w:szCs w:val="21"/>
        </w:rPr>
        <w:t>50%</w:t>
      </w:r>
      <w:r>
        <w:rPr>
          <w:bCs/>
          <w:kern w:val="0"/>
          <w:szCs w:val="21"/>
        </w:rPr>
        <w:t>）</w:t>
      </w:r>
    </w:p>
    <w:p w14:paraId="4DE5FBDD" w14:textId="77777777" w:rsidR="00F5289E" w:rsidRDefault="00F5289E">
      <w:pPr>
        <w:widowControl/>
        <w:snapToGrid w:val="0"/>
        <w:spacing w:line="360" w:lineRule="auto"/>
        <w:ind w:firstLine="420"/>
        <w:jc w:val="left"/>
      </w:pPr>
    </w:p>
    <w:p w14:paraId="0AFC3404" w14:textId="77777777" w:rsidR="00F5289E" w:rsidRDefault="00C91173">
      <w:pPr>
        <w:widowControl/>
        <w:jc w:val="left"/>
        <w:rPr>
          <w:rFonts w:ascii="宋体" w:hAnsi="宋体"/>
          <w:b/>
          <w:sz w:val="28"/>
          <w:szCs w:val="28"/>
        </w:rPr>
      </w:pPr>
      <w:r>
        <w:rPr>
          <w:rFonts w:ascii="宋体" w:hAnsi="宋体"/>
          <w:b/>
          <w:sz w:val="28"/>
          <w:szCs w:val="28"/>
        </w:rPr>
        <w:br w:type="page"/>
      </w:r>
    </w:p>
    <w:p w14:paraId="0864320E" w14:textId="77777777" w:rsidR="00F5289E" w:rsidRDefault="00C91173">
      <w:pPr>
        <w:pStyle w:val="1"/>
      </w:pPr>
      <w:bookmarkStart w:id="156" w:name="_Toc489359088"/>
      <w:bookmarkStart w:id="157" w:name="_Toc138606263"/>
      <w:r>
        <w:rPr>
          <w:rFonts w:hint="eastAsia"/>
        </w:rPr>
        <w:lastRenderedPageBreak/>
        <w:t>园艺产品采后处理学</w:t>
      </w:r>
      <w:bookmarkEnd w:id="156"/>
      <w:bookmarkEnd w:id="157"/>
    </w:p>
    <w:p w14:paraId="06E10A32" w14:textId="77777777" w:rsidR="00F5289E" w:rsidRPr="001B3040" w:rsidRDefault="00C91173">
      <w:pPr>
        <w:snapToGrid w:val="0"/>
        <w:spacing w:line="360" w:lineRule="auto"/>
        <w:jc w:val="center"/>
        <w:rPr>
          <w:rFonts w:hAnsi="宋体"/>
          <w:sz w:val="28"/>
        </w:rPr>
      </w:pPr>
      <w:r w:rsidRPr="001B3040">
        <w:rPr>
          <w:rFonts w:hAnsi="宋体" w:hint="eastAsia"/>
          <w:sz w:val="28"/>
        </w:rPr>
        <w:t>（</w:t>
      </w:r>
      <w:r w:rsidRPr="001B3040">
        <w:rPr>
          <w:rFonts w:hint="eastAsia"/>
          <w:sz w:val="24"/>
        </w:rPr>
        <w:t>Postharvest Hand</w:t>
      </w:r>
      <w:r w:rsidRPr="001B3040">
        <w:rPr>
          <w:sz w:val="24"/>
        </w:rPr>
        <w:t>l</w:t>
      </w:r>
      <w:r w:rsidRPr="001B3040">
        <w:rPr>
          <w:rFonts w:hint="eastAsia"/>
          <w:sz w:val="24"/>
        </w:rPr>
        <w:t>ing of Horticultural Crops</w:t>
      </w:r>
      <w:r w:rsidRPr="001B3040">
        <w:rPr>
          <w:rFonts w:hAnsi="宋体"/>
          <w:sz w:val="28"/>
        </w:rPr>
        <w:t>）</w:t>
      </w:r>
    </w:p>
    <w:p w14:paraId="0250E21B" w14:textId="77777777" w:rsidR="00F5289E" w:rsidRDefault="00C91173">
      <w:pPr>
        <w:snapToGrid w:val="0"/>
        <w:spacing w:line="360" w:lineRule="auto"/>
        <w:jc w:val="center"/>
        <w:rPr>
          <w:b/>
          <w:szCs w:val="21"/>
        </w:rPr>
      </w:pPr>
      <w:r>
        <w:rPr>
          <w:rFonts w:hint="eastAsia"/>
          <w:b/>
          <w:szCs w:val="21"/>
        </w:rPr>
        <w:t>课程基本信息</w:t>
      </w:r>
    </w:p>
    <w:tbl>
      <w:tblPr>
        <w:tblStyle w:val="af6"/>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8"/>
        <w:gridCol w:w="2649"/>
        <w:gridCol w:w="3429"/>
      </w:tblGrid>
      <w:tr w:rsidR="00F5289E" w14:paraId="32AFC9F9" w14:textId="77777777">
        <w:tc>
          <w:tcPr>
            <w:tcW w:w="3038" w:type="dxa"/>
          </w:tcPr>
          <w:p w14:paraId="73FED34A"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eastAsiaTheme="minorEastAsia"/>
                <w:szCs w:val="21"/>
              </w:rPr>
              <w:t>190110</w:t>
            </w:r>
            <w:r w:rsidRPr="001B3040">
              <w:rPr>
                <w:rFonts w:eastAsiaTheme="minorEastAsia" w:hint="eastAsia"/>
                <w:szCs w:val="21"/>
              </w:rPr>
              <w:t>5</w:t>
            </w:r>
            <w:r w:rsidRPr="001B3040">
              <w:rPr>
                <w:rFonts w:eastAsiaTheme="minorEastAsia"/>
                <w:szCs w:val="21"/>
              </w:rPr>
              <w:t>0</w:t>
            </w:r>
          </w:p>
        </w:tc>
        <w:tc>
          <w:tcPr>
            <w:tcW w:w="2649" w:type="dxa"/>
          </w:tcPr>
          <w:p w14:paraId="11FCA18B" w14:textId="77777777" w:rsidR="00F5289E" w:rsidRDefault="00C91173">
            <w:pPr>
              <w:spacing w:line="300" w:lineRule="auto"/>
              <w:rPr>
                <w:rFonts w:ascii="宋体" w:hAnsi="宋体"/>
                <w:b/>
                <w:bCs/>
                <w:szCs w:val="21"/>
              </w:rPr>
            </w:pPr>
            <w:r>
              <w:rPr>
                <w:rFonts w:ascii="宋体" w:hAnsi="宋体" w:hint="eastAsia"/>
                <w:b/>
                <w:bCs/>
                <w:szCs w:val="21"/>
              </w:rPr>
              <w:t>课程总学时：</w:t>
            </w:r>
            <w:r w:rsidRPr="001B3040">
              <w:rPr>
                <w:rFonts w:eastAsiaTheme="minorEastAsia" w:hint="eastAsia"/>
                <w:szCs w:val="21"/>
              </w:rPr>
              <w:t>32</w:t>
            </w:r>
          </w:p>
        </w:tc>
        <w:tc>
          <w:tcPr>
            <w:tcW w:w="3429" w:type="dxa"/>
          </w:tcPr>
          <w:p w14:paraId="23CE0C04" w14:textId="5E57AD07" w:rsidR="00F5289E" w:rsidRDefault="00C91173">
            <w:pPr>
              <w:spacing w:line="300" w:lineRule="auto"/>
              <w:rPr>
                <w:rFonts w:ascii="宋体" w:hAnsi="宋体"/>
                <w:b/>
                <w:bCs/>
                <w:szCs w:val="21"/>
              </w:rPr>
            </w:pPr>
            <w:r>
              <w:rPr>
                <w:rFonts w:ascii="宋体" w:hAnsi="宋体" w:hint="eastAsia"/>
                <w:b/>
                <w:bCs/>
                <w:szCs w:val="21"/>
              </w:rPr>
              <w:t>实验学时：</w:t>
            </w:r>
            <w:r w:rsidRPr="001B3040">
              <w:rPr>
                <w:rFonts w:eastAsiaTheme="minorEastAsia" w:hint="eastAsia"/>
                <w:szCs w:val="21"/>
              </w:rPr>
              <w:t>12</w:t>
            </w:r>
          </w:p>
        </w:tc>
      </w:tr>
      <w:tr w:rsidR="00F5289E" w14:paraId="7E87FCCD" w14:textId="77777777">
        <w:tc>
          <w:tcPr>
            <w:tcW w:w="3038" w:type="dxa"/>
          </w:tcPr>
          <w:p w14:paraId="1CE42B1A" w14:textId="77777777" w:rsidR="00F5289E" w:rsidRDefault="00C91173">
            <w:pPr>
              <w:spacing w:line="300" w:lineRule="auto"/>
              <w:rPr>
                <w:rFonts w:ascii="宋体" w:hAnsi="宋体"/>
                <w:b/>
                <w:bCs/>
                <w:szCs w:val="21"/>
              </w:rPr>
            </w:pPr>
            <w:r>
              <w:rPr>
                <w:rFonts w:ascii="宋体" w:hAnsi="宋体" w:hint="eastAsia"/>
                <w:b/>
                <w:bCs/>
                <w:szCs w:val="21"/>
              </w:rPr>
              <w:t>课程性质：</w:t>
            </w:r>
            <w:r w:rsidRPr="001B3040">
              <w:rPr>
                <w:rFonts w:eastAsiaTheme="minorEastAsia" w:hAnsiTheme="minorEastAsia" w:hint="eastAsia"/>
                <w:szCs w:val="21"/>
              </w:rPr>
              <w:t>选</w:t>
            </w:r>
            <w:r w:rsidRPr="001B3040">
              <w:rPr>
                <w:rFonts w:eastAsiaTheme="minorEastAsia" w:hAnsiTheme="minorEastAsia"/>
                <w:szCs w:val="21"/>
              </w:rPr>
              <w:t>修</w:t>
            </w:r>
          </w:p>
        </w:tc>
        <w:tc>
          <w:tcPr>
            <w:tcW w:w="2649" w:type="dxa"/>
          </w:tcPr>
          <w:p w14:paraId="78564F85" w14:textId="77777777" w:rsidR="00F5289E" w:rsidRDefault="00C91173">
            <w:pPr>
              <w:spacing w:line="300" w:lineRule="auto"/>
              <w:rPr>
                <w:rFonts w:ascii="宋体" w:hAnsi="宋体"/>
                <w:b/>
                <w:bCs/>
                <w:szCs w:val="21"/>
              </w:rPr>
            </w:pPr>
            <w:r>
              <w:rPr>
                <w:rFonts w:ascii="宋体" w:hAnsi="宋体" w:hint="eastAsia"/>
                <w:b/>
                <w:szCs w:val="21"/>
              </w:rPr>
              <w:t>课程属性:</w:t>
            </w:r>
            <w:r w:rsidRPr="001B3040">
              <w:rPr>
                <w:rFonts w:eastAsiaTheme="minorEastAsia" w:hAnsiTheme="minorEastAsia"/>
                <w:szCs w:val="21"/>
              </w:rPr>
              <w:t xml:space="preserve"> </w:t>
            </w:r>
            <w:r w:rsidRPr="001B3040">
              <w:rPr>
                <w:rFonts w:eastAsiaTheme="minorEastAsia" w:hAnsiTheme="minorEastAsia"/>
                <w:szCs w:val="21"/>
              </w:rPr>
              <w:t>专业类</w:t>
            </w:r>
          </w:p>
        </w:tc>
        <w:tc>
          <w:tcPr>
            <w:tcW w:w="3429" w:type="dxa"/>
          </w:tcPr>
          <w:p w14:paraId="2235A1AC" w14:textId="77777777" w:rsidR="00F5289E" w:rsidRDefault="00C91173">
            <w:pPr>
              <w:spacing w:line="300" w:lineRule="auto"/>
              <w:rPr>
                <w:rFonts w:ascii="宋体" w:hAnsi="宋体"/>
                <w:b/>
                <w:bCs/>
                <w:szCs w:val="21"/>
              </w:rPr>
            </w:pPr>
            <w:r>
              <w:rPr>
                <w:rFonts w:ascii="宋体" w:hAnsi="宋体" w:hint="eastAsia"/>
                <w:b/>
                <w:bCs/>
                <w:szCs w:val="21"/>
              </w:rPr>
              <w:t>开设学期：</w:t>
            </w:r>
            <w:r w:rsidRPr="001B3040">
              <w:rPr>
                <w:rFonts w:ascii="宋体" w:hAnsi="宋体" w:hint="eastAsia"/>
                <w:szCs w:val="21"/>
              </w:rPr>
              <w:t>第</w:t>
            </w:r>
            <w:r w:rsidRPr="001B3040">
              <w:rPr>
                <w:rFonts w:eastAsiaTheme="minorEastAsia"/>
                <w:szCs w:val="21"/>
              </w:rPr>
              <w:t>8</w:t>
            </w:r>
            <w:r w:rsidRPr="001B3040">
              <w:rPr>
                <w:rFonts w:ascii="宋体" w:hAnsi="宋体" w:hint="eastAsia"/>
                <w:szCs w:val="21"/>
              </w:rPr>
              <w:t>学期</w:t>
            </w:r>
          </w:p>
        </w:tc>
      </w:tr>
      <w:tr w:rsidR="00F5289E" w14:paraId="10738652" w14:textId="77777777">
        <w:tc>
          <w:tcPr>
            <w:tcW w:w="3038" w:type="dxa"/>
          </w:tcPr>
          <w:p w14:paraId="41FA42F4" w14:textId="77777777" w:rsidR="00F5289E" w:rsidRDefault="00C91173">
            <w:pPr>
              <w:spacing w:line="300" w:lineRule="auto"/>
              <w:rPr>
                <w:rFonts w:ascii="宋体" w:hAnsi="宋体"/>
                <w:b/>
                <w:bCs/>
                <w:szCs w:val="21"/>
              </w:rPr>
            </w:pPr>
            <w:r>
              <w:rPr>
                <w:rFonts w:ascii="宋体" w:hAnsi="宋体" w:hint="eastAsia"/>
                <w:b/>
                <w:bCs/>
                <w:szCs w:val="21"/>
              </w:rPr>
              <w:t>课程负责人：</w:t>
            </w:r>
            <w:r w:rsidRPr="001B3040">
              <w:rPr>
                <w:rFonts w:ascii="宋体" w:hAnsi="宋体" w:hint="eastAsia"/>
                <w:szCs w:val="21"/>
              </w:rPr>
              <w:t>王兰菊</w:t>
            </w:r>
          </w:p>
        </w:tc>
        <w:tc>
          <w:tcPr>
            <w:tcW w:w="2649" w:type="dxa"/>
          </w:tcPr>
          <w:p w14:paraId="38E7557F" w14:textId="77777777" w:rsidR="00F5289E" w:rsidRDefault="00C91173">
            <w:pPr>
              <w:spacing w:line="300" w:lineRule="auto"/>
              <w:rPr>
                <w:rFonts w:ascii="宋体" w:hAnsi="宋体"/>
                <w:b/>
                <w:bCs/>
                <w:szCs w:val="21"/>
              </w:rPr>
            </w:pPr>
            <w:r>
              <w:rPr>
                <w:rFonts w:ascii="宋体" w:hAnsi="宋体" w:hint="eastAsia"/>
                <w:b/>
                <w:bCs/>
                <w:szCs w:val="21"/>
              </w:rPr>
              <w:t>课程团队：</w:t>
            </w:r>
            <w:r w:rsidRPr="001B3040">
              <w:rPr>
                <w:rFonts w:eastAsiaTheme="minorEastAsia" w:hAnsiTheme="minorEastAsia"/>
                <w:szCs w:val="21"/>
              </w:rPr>
              <w:t>王兰菊、胡青霞、叶霞、王伟</w:t>
            </w:r>
            <w:r w:rsidRPr="001B3040">
              <w:rPr>
                <w:rFonts w:eastAsiaTheme="minorEastAsia" w:hAnsiTheme="minorEastAsia" w:hint="eastAsia"/>
                <w:szCs w:val="21"/>
              </w:rPr>
              <w:t>、侯娟、李营、何畅</w:t>
            </w:r>
          </w:p>
        </w:tc>
        <w:tc>
          <w:tcPr>
            <w:tcW w:w="3429" w:type="dxa"/>
          </w:tcPr>
          <w:p w14:paraId="1DC7AE39" w14:textId="77777777" w:rsidR="00F5289E" w:rsidRDefault="00C91173">
            <w:pPr>
              <w:spacing w:line="300" w:lineRule="auto"/>
              <w:rPr>
                <w:rFonts w:ascii="宋体" w:hAnsi="宋体"/>
                <w:b/>
                <w:bCs/>
                <w:szCs w:val="21"/>
              </w:rPr>
            </w:pPr>
            <w:r>
              <w:rPr>
                <w:rFonts w:ascii="宋体" w:hAnsi="宋体" w:hint="eastAsia"/>
                <w:b/>
                <w:bCs/>
                <w:szCs w:val="21"/>
              </w:rPr>
              <w:t>授课语言：</w:t>
            </w:r>
            <w:r w:rsidRPr="001B3040">
              <w:rPr>
                <w:rFonts w:ascii="宋体" w:hAnsi="宋体" w:hint="eastAsia"/>
                <w:szCs w:val="21"/>
              </w:rPr>
              <w:t>中文</w:t>
            </w:r>
          </w:p>
        </w:tc>
      </w:tr>
      <w:tr w:rsidR="00F5289E" w14:paraId="55E29251" w14:textId="77777777">
        <w:tc>
          <w:tcPr>
            <w:tcW w:w="9116" w:type="dxa"/>
            <w:gridSpan w:val="3"/>
          </w:tcPr>
          <w:p w14:paraId="3AF4A173"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sidRPr="001B3040">
              <w:rPr>
                <w:rFonts w:eastAsiaTheme="minorEastAsia" w:hAnsiTheme="minorEastAsia" w:hint="eastAsia"/>
                <w:kern w:val="0"/>
                <w:szCs w:val="21"/>
              </w:rPr>
              <w:t>设施农业科学与工程</w:t>
            </w:r>
          </w:p>
        </w:tc>
      </w:tr>
      <w:tr w:rsidR="00F5289E" w14:paraId="4BC0A95E" w14:textId="77777777">
        <w:tc>
          <w:tcPr>
            <w:tcW w:w="9116" w:type="dxa"/>
            <w:gridSpan w:val="3"/>
          </w:tcPr>
          <w:p w14:paraId="70140996" w14:textId="77777777" w:rsidR="00F5289E" w:rsidRDefault="00C91173">
            <w:pPr>
              <w:spacing w:line="300" w:lineRule="auto"/>
              <w:rPr>
                <w:rFonts w:ascii="宋体" w:hAnsi="宋体"/>
                <w:b/>
                <w:bCs/>
                <w:szCs w:val="21"/>
              </w:rPr>
            </w:pPr>
            <w:r>
              <w:rPr>
                <w:rFonts w:ascii="宋体" w:hAnsi="宋体" w:hint="eastAsia"/>
                <w:b/>
                <w:bCs/>
                <w:szCs w:val="21"/>
              </w:rPr>
              <w:t>对先修的要求：</w:t>
            </w:r>
            <w:r w:rsidRPr="001B3040">
              <w:rPr>
                <w:rFonts w:eastAsiaTheme="minorEastAsia" w:hAnsiTheme="minorEastAsia"/>
                <w:szCs w:val="21"/>
              </w:rPr>
              <w:t>植物生理学、基础生物化学、果树栽培学、蔬菜栽培学、园艺植物病虫害防治</w:t>
            </w:r>
          </w:p>
        </w:tc>
      </w:tr>
      <w:tr w:rsidR="00F5289E" w14:paraId="3F8B1616" w14:textId="77777777">
        <w:tc>
          <w:tcPr>
            <w:tcW w:w="9116" w:type="dxa"/>
            <w:gridSpan w:val="3"/>
          </w:tcPr>
          <w:p w14:paraId="392E47F3" w14:textId="77777777" w:rsidR="00F5289E" w:rsidRDefault="00C91173">
            <w:pPr>
              <w:spacing w:line="300" w:lineRule="auto"/>
              <w:rPr>
                <w:rFonts w:ascii="宋体" w:hAnsi="宋体"/>
                <w:b/>
                <w:bCs/>
                <w:szCs w:val="21"/>
              </w:rPr>
            </w:pPr>
            <w:r>
              <w:rPr>
                <w:rFonts w:ascii="宋体" w:hAnsi="宋体" w:hint="eastAsia"/>
                <w:b/>
                <w:bCs/>
                <w:szCs w:val="21"/>
              </w:rPr>
              <w:t>对后续的支撑：</w:t>
            </w:r>
            <w:r w:rsidRPr="001B3040">
              <w:rPr>
                <w:rFonts w:ascii="宋体" w:hAnsi="宋体" w:hint="eastAsia"/>
                <w:szCs w:val="21"/>
              </w:rPr>
              <w:t>为园艺产品营销学课程提供产品的属性、分类、定价和包装等基本知识。</w:t>
            </w:r>
          </w:p>
        </w:tc>
      </w:tr>
      <w:tr w:rsidR="00F5289E" w14:paraId="1F1EF582" w14:textId="77777777">
        <w:tc>
          <w:tcPr>
            <w:tcW w:w="3038" w:type="dxa"/>
          </w:tcPr>
          <w:p w14:paraId="55DB178B"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eastAsiaTheme="minorEastAsia" w:hAnsiTheme="minorEastAsia"/>
                <w:szCs w:val="21"/>
              </w:rPr>
              <w:t>胡青霞、叶霞、王伟</w:t>
            </w:r>
            <w:r w:rsidRPr="001B3040">
              <w:rPr>
                <w:rFonts w:eastAsiaTheme="minorEastAsia" w:hAnsiTheme="minorEastAsia" w:hint="eastAsia"/>
                <w:szCs w:val="21"/>
              </w:rPr>
              <w:t>、侯娟、李营、何畅</w:t>
            </w:r>
          </w:p>
        </w:tc>
        <w:tc>
          <w:tcPr>
            <w:tcW w:w="2649" w:type="dxa"/>
          </w:tcPr>
          <w:p w14:paraId="51230942" w14:textId="77777777" w:rsidR="00F5289E" w:rsidRDefault="00C91173">
            <w:pPr>
              <w:spacing w:line="300" w:lineRule="auto"/>
              <w:rPr>
                <w:rFonts w:ascii="宋体" w:hAnsi="宋体"/>
                <w:b/>
                <w:bCs/>
                <w:szCs w:val="21"/>
              </w:rPr>
            </w:pPr>
            <w:r>
              <w:rPr>
                <w:rFonts w:ascii="宋体" w:hAnsi="宋体" w:hint="eastAsia"/>
                <w:b/>
                <w:bCs/>
                <w:szCs w:val="21"/>
              </w:rPr>
              <w:t>审核人：</w:t>
            </w:r>
            <w:r w:rsidR="001B3040" w:rsidRPr="001B3040">
              <w:rPr>
                <w:rFonts w:ascii="宋体" w:hAnsi="宋体" w:hint="eastAsia"/>
                <w:szCs w:val="21"/>
              </w:rPr>
              <w:t>王兰菊</w:t>
            </w:r>
          </w:p>
        </w:tc>
        <w:tc>
          <w:tcPr>
            <w:tcW w:w="3429" w:type="dxa"/>
          </w:tcPr>
          <w:p w14:paraId="48271A0B" w14:textId="77777777" w:rsidR="00F5289E" w:rsidRPr="001B3040" w:rsidRDefault="00C91173">
            <w:pPr>
              <w:spacing w:line="300" w:lineRule="auto"/>
              <w:rPr>
                <w:rFonts w:ascii="宋体" w:hAnsi="宋体"/>
                <w:szCs w:val="21"/>
              </w:rPr>
            </w:pPr>
            <w:r>
              <w:rPr>
                <w:rFonts w:ascii="宋体" w:hAnsi="宋体" w:hint="eastAsia"/>
                <w:b/>
                <w:bCs/>
                <w:szCs w:val="21"/>
              </w:rPr>
              <w:t>大纲制定（修订）日期：</w:t>
            </w:r>
            <w:r w:rsidRPr="001B3040">
              <w:rPr>
                <w:rFonts w:ascii="宋体" w:hAnsi="宋体" w:hint="eastAsia"/>
                <w:szCs w:val="21"/>
              </w:rPr>
              <w:t>20</w:t>
            </w:r>
            <w:r w:rsidRPr="001B3040">
              <w:rPr>
                <w:rFonts w:ascii="宋体" w:hAnsi="宋体"/>
                <w:szCs w:val="21"/>
              </w:rPr>
              <w:t>2</w:t>
            </w:r>
            <w:r w:rsidR="001B3040">
              <w:rPr>
                <w:rFonts w:ascii="宋体" w:hAnsi="宋体"/>
                <w:szCs w:val="21"/>
              </w:rPr>
              <w:t>3.05</w:t>
            </w:r>
          </w:p>
        </w:tc>
      </w:tr>
    </w:tbl>
    <w:p w14:paraId="01BD4A15" w14:textId="77777777" w:rsidR="00F5289E" w:rsidRDefault="00F5289E">
      <w:pPr>
        <w:widowControl/>
        <w:snapToGrid w:val="0"/>
        <w:spacing w:line="360" w:lineRule="auto"/>
        <w:jc w:val="left"/>
        <w:rPr>
          <w:rFonts w:hAnsi="宋体"/>
          <w:b/>
          <w:bCs/>
          <w:kern w:val="0"/>
          <w:szCs w:val="21"/>
        </w:rPr>
      </w:pPr>
    </w:p>
    <w:p w14:paraId="55CFB08A"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1BB47EB8" w14:textId="77777777" w:rsidR="00F5289E" w:rsidRDefault="00C91173">
      <w:pPr>
        <w:widowControl/>
        <w:snapToGrid w:val="0"/>
        <w:spacing w:line="360" w:lineRule="auto"/>
        <w:ind w:left="210" w:firstLine="418"/>
        <w:jc w:val="left"/>
        <w:rPr>
          <w:rFonts w:ascii="宋体" w:hAnsi="宋体"/>
          <w:bCs/>
          <w:szCs w:val="21"/>
        </w:rPr>
      </w:pPr>
      <w:r>
        <w:rPr>
          <w:rFonts w:ascii="宋体" w:hAnsi="宋体" w:hint="eastAsia"/>
        </w:rPr>
        <w:t>《园艺产品采后处理学》属社工专业选修课程，是讲授园艺产品</w:t>
      </w:r>
      <w:r>
        <w:rPr>
          <w:rFonts w:ascii="宋体" w:hAnsi="宋体"/>
        </w:rPr>
        <w:t>采后</w:t>
      </w:r>
      <w:r>
        <w:rPr>
          <w:rFonts w:ascii="宋体" w:hAnsi="宋体" w:hint="eastAsia"/>
        </w:rPr>
        <w:t>生</w:t>
      </w:r>
      <w:r>
        <w:rPr>
          <w:rFonts w:ascii="宋体" w:hAnsi="宋体"/>
        </w:rPr>
        <w:t>理</w:t>
      </w:r>
      <w:r>
        <w:rPr>
          <w:rFonts w:ascii="宋体" w:hAnsi="宋体" w:hint="eastAsia"/>
        </w:rPr>
        <w:t>变化规律、后熟衰老调控及贮运保鲜技术的一门专业选修课。通过课程学习，使学生</w:t>
      </w:r>
      <w:r>
        <w:rPr>
          <w:rFonts w:ascii="宋体" w:hAnsi="宋体"/>
        </w:rPr>
        <w:t>了解</w:t>
      </w:r>
      <w:r>
        <w:rPr>
          <w:rFonts w:ascii="宋体" w:hAnsi="宋体" w:hint="eastAsia"/>
        </w:rPr>
        <w:t>产品质量评价标准、方法，能够以贮藏保鲜基本原理为指导，采用果蔬冷链物流技术及果蔬贮运关键</w:t>
      </w:r>
      <w:r>
        <w:rPr>
          <w:rFonts w:ascii="宋体" w:hAnsi="宋体"/>
        </w:rPr>
        <w:t>技术</w:t>
      </w:r>
      <w:r>
        <w:rPr>
          <w:rFonts w:ascii="宋体" w:hAnsi="宋体" w:hint="eastAsia"/>
        </w:rPr>
        <w:t>，</w:t>
      </w:r>
      <w:r>
        <w:rPr>
          <w:rFonts w:ascii="宋体" w:hAnsi="宋体"/>
        </w:rPr>
        <w:t>解决</w:t>
      </w:r>
      <w:r>
        <w:rPr>
          <w:rFonts w:ascii="宋体" w:hAnsi="宋体" w:hint="eastAsia"/>
        </w:rPr>
        <w:t>园艺产品</w:t>
      </w:r>
      <w:r>
        <w:rPr>
          <w:rFonts w:ascii="宋体" w:hAnsi="宋体"/>
        </w:rPr>
        <w:t>贮</w:t>
      </w:r>
      <w:r>
        <w:rPr>
          <w:rFonts w:ascii="宋体" w:hAnsi="宋体" w:hint="eastAsia"/>
        </w:rPr>
        <w:t>、</w:t>
      </w:r>
      <w:r>
        <w:rPr>
          <w:rFonts w:ascii="宋体" w:hAnsi="宋体"/>
        </w:rPr>
        <w:t>运、销</w:t>
      </w:r>
      <w:r>
        <w:rPr>
          <w:rFonts w:ascii="宋体" w:hAnsi="宋体" w:hint="eastAsia"/>
        </w:rPr>
        <w:t>环节</w:t>
      </w:r>
      <w:r>
        <w:rPr>
          <w:rFonts w:ascii="宋体" w:hAnsi="宋体"/>
        </w:rPr>
        <w:t>出现的问题，</w:t>
      </w:r>
      <w:r>
        <w:rPr>
          <w:rFonts w:ascii="宋体" w:hAnsi="宋体" w:hint="eastAsia"/>
        </w:rPr>
        <w:t>达到提高商品质量、降低产品的采后损耗，满足园艺产品贮运生产和相关管理的需要。在教学理念上，首先，课程教学关注学生的进步和发展，突出学生的主体地位，同时专业知识教学与思政育人紧密结合，真正体现教书育人；其次，紧扣课程特点，提高学生动手能力，《园艺产品采后处理学》课程具有较强的应用性，在教学过程中做到理论联系实践，理论教学与实践环节相互衔接，让同学们在实践教学中理解和掌握理论知识，学以致用；第三，教学效果具有可量化性：教学目标尽可能明确和具体，以便检测教师的教学效果；第四，教师不断反思自己的教学效果是否有效，并不断改进。</w:t>
      </w:r>
    </w:p>
    <w:p w14:paraId="766E287D"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7B1446D5" w14:textId="77777777" w:rsidR="00F5289E" w:rsidRDefault="00C91173">
      <w:pPr>
        <w:widowControl/>
        <w:snapToGrid w:val="0"/>
        <w:spacing w:line="360" w:lineRule="auto"/>
        <w:ind w:firstLine="420"/>
        <w:jc w:val="left"/>
      </w:pPr>
      <w:r>
        <w:rPr>
          <w:kern w:val="0"/>
          <w:szCs w:val="21"/>
        </w:rPr>
        <w:t>  </w:t>
      </w:r>
      <w:r>
        <w:rPr>
          <w:kern w:val="0"/>
        </w:rPr>
        <w:t>1</w:t>
      </w:r>
      <w:r>
        <w:rPr>
          <w:kern w:val="0"/>
        </w:rPr>
        <w:t>、</w:t>
      </w:r>
      <w:r>
        <w:t>理论知识方面</w:t>
      </w:r>
    </w:p>
    <w:p w14:paraId="53EE4A4C" w14:textId="77777777" w:rsidR="00F5289E" w:rsidRDefault="00C91173">
      <w:pPr>
        <w:widowControl/>
        <w:snapToGrid w:val="0"/>
        <w:spacing w:line="360" w:lineRule="auto"/>
        <w:ind w:firstLine="420"/>
        <w:jc w:val="left"/>
      </w:pPr>
      <w:r>
        <w:rPr>
          <w:rFonts w:hint="eastAsia"/>
        </w:rPr>
        <w:t>了解园艺产品质量评价标准、方法及影响耐藏性的采前、采后因素；掌握园艺产品的质量构成、呼吸生理、乙烯生物合成、衰老调控、水分蒸腾生理及其调控措施；了解确定果品、蔬菜采收成熟度方法；掌握果品蔬菜商品化处理程序及关键技术，掌握果蔬冷链物流的关键技术、运输方式及相关管理技术要点。了解果品蔬菜主要贮藏方式，掌握机械冷藏、气调贮藏原理、配套设施组成和关键管理技术；了解主要果品、蔬菜、花卉的贮运特性，掌握产品贮运的关键技术。</w:t>
      </w:r>
    </w:p>
    <w:p w14:paraId="77A51541" w14:textId="77777777" w:rsidR="00F5289E" w:rsidRDefault="00C91173">
      <w:pPr>
        <w:widowControl/>
        <w:snapToGrid w:val="0"/>
        <w:spacing w:line="360" w:lineRule="auto"/>
        <w:ind w:firstLineChars="200" w:firstLine="420"/>
        <w:jc w:val="left"/>
      </w:pPr>
      <w:r>
        <w:rPr>
          <w:kern w:val="0"/>
        </w:rPr>
        <w:t>2</w:t>
      </w:r>
      <w:r>
        <w:rPr>
          <w:kern w:val="0"/>
        </w:rPr>
        <w:t>、实验技能方面</w:t>
      </w:r>
    </w:p>
    <w:p w14:paraId="132D620A" w14:textId="77777777" w:rsidR="00F5289E" w:rsidRDefault="00C91173">
      <w:pPr>
        <w:widowControl/>
        <w:snapToGrid w:val="0"/>
        <w:spacing w:line="360" w:lineRule="auto"/>
        <w:ind w:firstLine="420"/>
        <w:jc w:val="left"/>
        <w:rPr>
          <w:kern w:val="0"/>
        </w:rPr>
      </w:pPr>
      <w:r>
        <w:rPr>
          <w:rFonts w:hint="eastAsia"/>
          <w:kern w:val="0"/>
        </w:rPr>
        <w:lastRenderedPageBreak/>
        <w:t>掌握果品蔬菜一般物理性状测定方法。熟练掌握主要果品蔬菜有机酸含量、</w:t>
      </w:r>
      <w:proofErr w:type="spellStart"/>
      <w:r>
        <w:rPr>
          <w:rFonts w:hint="eastAsia"/>
          <w:kern w:val="0"/>
        </w:rPr>
        <w:t>Vc</w:t>
      </w:r>
      <w:proofErr w:type="spellEnd"/>
      <w:r>
        <w:rPr>
          <w:rFonts w:hint="eastAsia"/>
          <w:kern w:val="0"/>
        </w:rPr>
        <w:t xml:space="preserve"> </w:t>
      </w:r>
      <w:r>
        <w:rPr>
          <w:rFonts w:hint="eastAsia"/>
          <w:kern w:val="0"/>
        </w:rPr>
        <w:t>含量测定原理及操作步骤。掌握果品蔬菜呼吸强度测定原理、操作步骤（气流法、静置法）；掌握果品蔬菜采后成熟衰老调控原理、方法和程序。</w:t>
      </w:r>
    </w:p>
    <w:p w14:paraId="4F16E430" w14:textId="77777777" w:rsidR="00F5289E" w:rsidRDefault="00C91173">
      <w:pPr>
        <w:widowControl/>
        <w:snapToGrid w:val="0"/>
        <w:spacing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3C3CD503" w14:textId="77777777" w:rsidR="00F5289E" w:rsidRDefault="00C91173">
      <w:pPr>
        <w:widowControl/>
        <w:snapToGrid w:val="0"/>
        <w:spacing w:line="360" w:lineRule="auto"/>
        <w:ind w:firstLine="420"/>
        <w:jc w:val="left"/>
        <w:rPr>
          <w:kern w:val="0"/>
          <w:szCs w:val="21"/>
        </w:rPr>
      </w:pPr>
      <w:r>
        <w:rPr>
          <w:kern w:val="0"/>
        </w:rPr>
        <w:t>1.</w:t>
      </w:r>
      <w:r>
        <w:rPr>
          <w:rFonts w:hint="eastAsia"/>
          <w:kern w:val="0"/>
        </w:rPr>
        <w:t>教学设计说明</w:t>
      </w:r>
    </w:p>
    <w:p w14:paraId="04C4AA30" w14:textId="77777777" w:rsidR="00F5289E" w:rsidRDefault="00C91173">
      <w:pPr>
        <w:pStyle w:val="a9"/>
        <w:snapToGrid w:val="0"/>
        <w:spacing w:line="360" w:lineRule="auto"/>
        <w:ind w:rightChars="-138" w:right="-290" w:firstLineChars="200" w:firstLine="420"/>
        <w:rPr>
          <w:rFonts w:ascii="Times New Roman" w:hAnsi="宋体" w:cs="Times New Roman"/>
          <w:bCs/>
          <w:kern w:val="0"/>
        </w:rPr>
      </w:pPr>
      <w:r>
        <w:rPr>
          <w:rFonts w:ascii="Times New Roman" w:hAnsi="宋体" w:cs="Times New Roman" w:hint="eastAsia"/>
          <w:bCs/>
          <w:kern w:val="0"/>
        </w:rPr>
        <w:t>本课程</w:t>
      </w:r>
      <w:r>
        <w:rPr>
          <w:rFonts w:ascii="Times New Roman" w:hAnsi="宋体" w:cs="Times New Roman"/>
          <w:bCs/>
          <w:kern w:val="0"/>
        </w:rPr>
        <w:t>总体上采取“教—学—</w:t>
      </w:r>
      <w:r>
        <w:rPr>
          <w:rFonts w:ascii="Times New Roman" w:hAnsi="宋体" w:cs="Times New Roman" w:hint="eastAsia"/>
          <w:bCs/>
          <w:kern w:val="0"/>
        </w:rPr>
        <w:t>翻转课堂</w:t>
      </w:r>
      <w:r>
        <w:rPr>
          <w:rFonts w:ascii="Times New Roman" w:hAnsi="宋体" w:cs="Times New Roman"/>
          <w:bCs/>
          <w:kern w:val="0"/>
        </w:rPr>
        <w:t>—</w:t>
      </w:r>
      <w:r>
        <w:rPr>
          <w:rFonts w:ascii="Times New Roman" w:hAnsi="宋体" w:cs="Times New Roman" w:hint="eastAsia"/>
          <w:bCs/>
          <w:kern w:val="0"/>
        </w:rPr>
        <w:t>讨论</w:t>
      </w:r>
      <w:r>
        <w:rPr>
          <w:rFonts w:ascii="Times New Roman" w:hAnsi="宋体" w:cs="Times New Roman"/>
          <w:bCs/>
          <w:kern w:val="0"/>
        </w:rPr>
        <w:t>—</w:t>
      </w:r>
      <w:r>
        <w:rPr>
          <w:rFonts w:ascii="Times New Roman" w:hAnsi="宋体" w:cs="Times New Roman" w:hint="eastAsia"/>
          <w:bCs/>
          <w:kern w:val="0"/>
        </w:rPr>
        <w:t>实践</w:t>
      </w:r>
      <w:r>
        <w:rPr>
          <w:rFonts w:ascii="Times New Roman" w:hAnsi="宋体" w:cs="Times New Roman"/>
          <w:bCs/>
          <w:kern w:val="0"/>
        </w:rPr>
        <w:t>”的教学</w:t>
      </w:r>
      <w:r>
        <w:rPr>
          <w:rFonts w:ascii="Times New Roman" w:hAnsi="宋体" w:cs="Times New Roman" w:hint="eastAsia"/>
          <w:bCs/>
          <w:kern w:val="0"/>
        </w:rPr>
        <w:t>策略</w:t>
      </w:r>
      <w:r>
        <w:rPr>
          <w:rFonts w:ascii="Times New Roman" w:hAnsi="宋体" w:cs="Times New Roman"/>
          <w:bCs/>
          <w:kern w:val="0"/>
        </w:rPr>
        <w:t>，</w:t>
      </w:r>
      <w:r>
        <w:rPr>
          <w:rFonts w:ascii="Times New Roman" w:hAnsi="宋体" w:cs="Times New Roman" w:hint="eastAsia"/>
          <w:bCs/>
          <w:kern w:val="0"/>
        </w:rPr>
        <w:t>园艺产品质量构成与评价、果蔬采后生理、影响果蔬贮藏性因素、采收及采后处理、果蔬物流、贮藏方式与管理和采后病害理论部分采取</w:t>
      </w:r>
      <w:r>
        <w:rPr>
          <w:rFonts w:ascii="Times New Roman" w:hAnsi="宋体" w:cs="Times New Roman"/>
          <w:bCs/>
          <w:kern w:val="0"/>
        </w:rPr>
        <w:t>以教师为主导、学生为主体的方式，</w:t>
      </w:r>
      <w:r>
        <w:rPr>
          <w:rFonts w:ascii="Times New Roman" w:hAnsi="宋体" w:cs="Times New Roman" w:hint="eastAsia"/>
          <w:bCs/>
          <w:kern w:val="0"/>
        </w:rPr>
        <w:t>教师授课、学生学习、学生实践；各类果品、蔬菜、花卉贮藏部分以学生为主导、教师讲评的方式，采用翻转课堂的方式，开展学生讲解、讨论评价等环节。</w:t>
      </w:r>
      <w:r>
        <w:rPr>
          <w:rFonts w:ascii="Times New Roman" w:hAnsi="宋体" w:cs="Times New Roman"/>
          <w:bCs/>
          <w:kern w:val="0"/>
        </w:rPr>
        <w:t>主要</w:t>
      </w:r>
      <w:r>
        <w:rPr>
          <w:rFonts w:ascii="Times New Roman" w:hAnsi="宋体" w:cs="Times New Roman" w:hint="eastAsia"/>
          <w:bCs/>
          <w:kern w:val="0"/>
        </w:rPr>
        <w:t>采用以下</w:t>
      </w:r>
      <w:r>
        <w:rPr>
          <w:rFonts w:ascii="Times New Roman" w:hAnsi="宋体" w:cs="Times New Roman"/>
          <w:bCs/>
          <w:kern w:val="0"/>
        </w:rPr>
        <w:t>教学方法：成立课程</w:t>
      </w:r>
      <w:r>
        <w:rPr>
          <w:rFonts w:ascii="Times New Roman" w:hAnsi="宋体" w:cs="Times New Roman" w:hint="eastAsia"/>
          <w:bCs/>
          <w:kern w:val="0"/>
        </w:rPr>
        <w:t>团队</w:t>
      </w:r>
      <w:r>
        <w:rPr>
          <w:rFonts w:ascii="Times New Roman" w:hAnsi="宋体" w:cs="Times New Roman"/>
          <w:bCs/>
          <w:kern w:val="0"/>
        </w:rPr>
        <w:t>，将章节内容系统化，突出重难点、考核目标，让学生明确考</w:t>
      </w:r>
      <w:r>
        <w:rPr>
          <w:rFonts w:ascii="Times New Roman" w:hAnsi="宋体" w:cs="Times New Roman" w:hint="eastAsia"/>
          <w:bCs/>
          <w:kern w:val="0"/>
        </w:rPr>
        <w:t>核</w:t>
      </w:r>
      <w:r>
        <w:rPr>
          <w:rFonts w:ascii="Times New Roman" w:hAnsi="宋体" w:cs="Times New Roman"/>
          <w:bCs/>
          <w:kern w:val="0"/>
        </w:rPr>
        <w:t>内容和要求，更有方向地学习本课程；</w:t>
      </w:r>
      <w:r>
        <w:rPr>
          <w:rFonts w:ascii="Times New Roman" w:hAnsi="宋体" w:cs="Times New Roman" w:hint="eastAsia"/>
          <w:bCs/>
          <w:kern w:val="0"/>
        </w:rPr>
        <w:t>理论课大</w:t>
      </w:r>
      <w:r>
        <w:rPr>
          <w:rFonts w:ascii="Times New Roman" w:hAnsi="宋体" w:cs="Times New Roman"/>
          <w:bCs/>
          <w:kern w:val="0"/>
        </w:rPr>
        <w:t>班授课，以教师为主导、学生为主体，</w:t>
      </w:r>
      <w:r>
        <w:rPr>
          <w:rFonts w:ascii="Times New Roman" w:hAnsi="宋体" w:cs="Times New Roman" w:hint="eastAsia"/>
          <w:bCs/>
          <w:kern w:val="0"/>
        </w:rPr>
        <w:t>部分教学内容以学生为主、学生讲解，</w:t>
      </w:r>
      <w:r>
        <w:rPr>
          <w:rFonts w:ascii="Times New Roman" w:hAnsi="宋体" w:cs="Times New Roman"/>
          <w:bCs/>
          <w:kern w:val="0"/>
        </w:rPr>
        <w:t>采用多媒体教学、翻转课堂、线上线下混合式教学、虚拟仿真课堂等方式，注重与学生互动，鼓励学生积极参与到教学中等多种教学方法，最大程度地激发学生学习的主观能动性；</w:t>
      </w:r>
      <w:r>
        <w:rPr>
          <w:rFonts w:ascii="Times New Roman" w:hAnsi="宋体" w:cs="Times New Roman" w:hint="eastAsia"/>
          <w:bCs/>
          <w:kern w:val="0"/>
        </w:rPr>
        <w:t>实验课小班授课，让学生动手操作，对课堂理论知识进行巩固和深化，</w:t>
      </w:r>
      <w:r>
        <w:rPr>
          <w:rFonts w:ascii="Times New Roman" w:hAnsi="宋体" w:cs="Times New Roman"/>
          <w:bCs/>
          <w:kern w:val="0"/>
        </w:rPr>
        <w:t>加强动手操作能力培养，并注重对学生学习效果的评价和总结</w:t>
      </w:r>
      <w:r>
        <w:rPr>
          <w:rFonts w:ascii="Times New Roman" w:hAnsi="宋体" w:cs="Times New Roman" w:hint="eastAsia"/>
          <w:bCs/>
          <w:kern w:val="0"/>
        </w:rPr>
        <w:t>。教学考核采用多种方式，课堂出勤率、回答问题、线上学习、实验课操作过程、实验结果、翻转课堂部分学生讲解内容的系统性、充实性、准确性、讲解表达仪态等方面纳入过程性评价，并结合期末考试终结性测试，促使学生</w:t>
      </w:r>
      <w:r>
        <w:rPr>
          <w:rFonts w:ascii="Times New Roman" w:hAnsi="宋体" w:cs="Times New Roman"/>
          <w:bCs/>
          <w:kern w:val="0"/>
        </w:rPr>
        <w:t>更好</w:t>
      </w:r>
      <w:r>
        <w:rPr>
          <w:rFonts w:ascii="Times New Roman" w:hAnsi="宋体" w:cs="Times New Roman" w:hint="eastAsia"/>
          <w:bCs/>
          <w:kern w:val="0"/>
        </w:rPr>
        <w:t>地</w:t>
      </w:r>
      <w:r>
        <w:rPr>
          <w:rFonts w:ascii="Times New Roman" w:hAnsi="宋体" w:cs="Times New Roman"/>
          <w:bCs/>
          <w:kern w:val="0"/>
        </w:rPr>
        <w:t>掌握相关知识。</w:t>
      </w:r>
    </w:p>
    <w:p w14:paraId="07C19B9A" w14:textId="77777777" w:rsidR="00F5289E" w:rsidRDefault="00C91173">
      <w:pPr>
        <w:widowControl/>
        <w:snapToGrid w:val="0"/>
        <w:spacing w:line="360" w:lineRule="auto"/>
        <w:ind w:firstLine="420"/>
        <w:jc w:val="left"/>
        <w:rPr>
          <w:kern w:val="0"/>
          <w:szCs w:val="21"/>
        </w:rPr>
      </w:pPr>
      <w:r>
        <w:rPr>
          <w:kern w:val="0"/>
          <w:szCs w:val="21"/>
        </w:rPr>
        <w:t>2.</w:t>
      </w:r>
      <w:r>
        <w:rPr>
          <w:rFonts w:hint="eastAsia"/>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38F6B118"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7B2436"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428E71B"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036FF8D"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38DC595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AF4BCA2"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49F587AA" w14:textId="77777777" w:rsidR="00F5289E" w:rsidRDefault="00C91173">
            <w:pPr>
              <w:spacing w:line="320" w:lineRule="exact"/>
              <w:jc w:val="left"/>
              <w:rPr>
                <w:rFonts w:eastAsiaTheme="minorEastAsia" w:hAnsiTheme="minorEastAsia"/>
                <w:sz w:val="18"/>
                <w:szCs w:val="18"/>
              </w:rPr>
            </w:pPr>
            <w:r>
              <w:rPr>
                <w:rFonts w:eastAsiaTheme="minorEastAsia" w:hAnsiTheme="minorEastAsia" w:hint="eastAsia"/>
                <w:sz w:val="18"/>
                <w:szCs w:val="21"/>
              </w:rPr>
              <w:t>目标</w:t>
            </w:r>
            <w:r>
              <w:rPr>
                <w:rFonts w:eastAsiaTheme="minorEastAsia" w:hAnsiTheme="minorEastAsia" w:hint="eastAsia"/>
                <w:sz w:val="18"/>
                <w:szCs w:val="21"/>
              </w:rPr>
              <w:t>1</w:t>
            </w:r>
            <w:r>
              <w:rPr>
                <w:rFonts w:eastAsiaTheme="minorEastAsia" w:hAnsiTheme="minorEastAsia" w:hint="eastAsia"/>
                <w:sz w:val="18"/>
                <w:szCs w:val="21"/>
              </w:rPr>
              <w:t>：通过课程的学习，培养学生热爱祖国，热爱人民，具有正确的政治方向，拥护中国共产党的领导。树立正确的世界观、价值观和人生观，自觉践行社会主义核心价值观，做到四个自信。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sz="4" w:space="0" w:color="auto"/>
              <w:left w:val="single" w:sz="4" w:space="0" w:color="auto"/>
              <w:bottom w:val="single" w:sz="4" w:space="0" w:color="auto"/>
              <w:right w:val="single" w:sz="4" w:space="0" w:color="auto"/>
            </w:tcBorders>
            <w:vAlign w:val="center"/>
          </w:tcPr>
          <w:p w14:paraId="6B62657D" w14:textId="77777777" w:rsidR="00F5289E" w:rsidRDefault="00C91173">
            <w:pPr>
              <w:spacing w:line="320" w:lineRule="exact"/>
              <w:jc w:val="center"/>
              <w:rPr>
                <w:rFonts w:eastAsiaTheme="minorEastAsia"/>
                <w:sz w:val="18"/>
                <w:szCs w:val="18"/>
              </w:rPr>
            </w:pPr>
            <w:r>
              <w:rPr>
                <w:rFonts w:eastAsiaTheme="minorEastAsia"/>
                <w:sz w:val="18"/>
                <w:szCs w:val="18"/>
              </w:rPr>
              <w:t>1</w:t>
            </w:r>
          </w:p>
        </w:tc>
      </w:tr>
      <w:tr w:rsidR="00F5289E" w14:paraId="35425031"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785CD617"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1C8E2EFD" w14:textId="77777777" w:rsidR="00F5289E" w:rsidRDefault="00C91173">
            <w:pPr>
              <w:spacing w:line="320" w:lineRule="exact"/>
              <w:jc w:val="left"/>
              <w:rPr>
                <w:rFonts w:eastAsiaTheme="minorEastAsia" w:hAnsiTheme="minorEastAsia"/>
                <w:sz w:val="18"/>
                <w:szCs w:val="18"/>
                <w:highlight w:val="yellow"/>
              </w:rPr>
            </w:pPr>
            <w:r>
              <w:rPr>
                <w:rFonts w:eastAsiaTheme="minorEastAsia" w:hAnsiTheme="minorEastAsia" w:hint="eastAsia"/>
                <w:sz w:val="18"/>
                <w:szCs w:val="21"/>
              </w:rPr>
              <w:t>目标</w:t>
            </w:r>
            <w:r>
              <w:rPr>
                <w:rFonts w:eastAsiaTheme="minorEastAsia" w:hAnsiTheme="minorEastAsia" w:hint="eastAsia"/>
                <w:sz w:val="18"/>
                <w:szCs w:val="21"/>
              </w:rPr>
              <w:t>2</w:t>
            </w:r>
            <w:r>
              <w:rPr>
                <w:rFonts w:eastAsiaTheme="minorEastAsia" w:hAnsiTheme="minorEastAsia" w:hint="eastAsia"/>
                <w:sz w:val="18"/>
                <w:szCs w:val="21"/>
              </w:rPr>
              <w:t>：通过</w:t>
            </w:r>
            <w:r>
              <w:rPr>
                <w:rFonts w:eastAsiaTheme="minorEastAsia" w:hAnsiTheme="minorEastAsia"/>
                <w:sz w:val="18"/>
                <w:szCs w:val="21"/>
              </w:rPr>
              <w:t>本课程的开设加强学生的综合素质和创新能力的培养，增强学生在</w:t>
            </w:r>
            <w:r>
              <w:rPr>
                <w:rFonts w:eastAsiaTheme="minorEastAsia" w:hAnsiTheme="minorEastAsia" w:hint="eastAsia"/>
                <w:sz w:val="18"/>
                <w:szCs w:val="21"/>
              </w:rPr>
              <w:t>园艺产品采后处理产业</w:t>
            </w:r>
            <w:r>
              <w:rPr>
                <w:rFonts w:eastAsiaTheme="minorEastAsia" w:hAnsiTheme="minorEastAsia"/>
                <w:sz w:val="18"/>
                <w:szCs w:val="21"/>
              </w:rPr>
              <w:t>中发现问题、分析问题和解决问题的能力，推动我国</w:t>
            </w:r>
            <w:r>
              <w:rPr>
                <w:rFonts w:eastAsiaTheme="minorEastAsia" w:hAnsiTheme="minorEastAsia" w:hint="eastAsia"/>
                <w:sz w:val="18"/>
                <w:szCs w:val="21"/>
              </w:rPr>
              <w:t>园艺产品采后生物学</w:t>
            </w:r>
            <w:r>
              <w:rPr>
                <w:rFonts w:eastAsiaTheme="minorEastAsia" w:hAnsiTheme="minorEastAsia"/>
                <w:sz w:val="18"/>
                <w:szCs w:val="21"/>
              </w:rPr>
              <w:t>的</w:t>
            </w:r>
            <w:r>
              <w:rPr>
                <w:rFonts w:eastAsiaTheme="minorEastAsia" w:hAnsiTheme="minorEastAsia" w:hint="eastAsia"/>
                <w:sz w:val="18"/>
                <w:szCs w:val="21"/>
              </w:rPr>
              <w:t>科学研究和采后处理产业的发展</w:t>
            </w:r>
            <w:r>
              <w:rPr>
                <w:rFonts w:eastAsiaTheme="minorEastAsia" w:hAnsiTheme="minorEastAsia"/>
                <w:sz w:val="18"/>
                <w:szCs w:val="21"/>
              </w:rPr>
              <w:t>。</w:t>
            </w:r>
          </w:p>
        </w:tc>
        <w:tc>
          <w:tcPr>
            <w:tcW w:w="1052" w:type="dxa"/>
            <w:tcBorders>
              <w:top w:val="single" w:sz="4" w:space="0" w:color="auto"/>
              <w:left w:val="single" w:sz="4" w:space="0" w:color="auto"/>
              <w:bottom w:val="single" w:sz="4" w:space="0" w:color="auto"/>
              <w:right w:val="single" w:sz="4" w:space="0" w:color="auto"/>
            </w:tcBorders>
            <w:vAlign w:val="center"/>
          </w:tcPr>
          <w:p w14:paraId="15AD527D" w14:textId="77777777" w:rsidR="00F5289E" w:rsidRDefault="00C91173">
            <w:pPr>
              <w:spacing w:line="320" w:lineRule="exact"/>
              <w:jc w:val="center"/>
              <w:rPr>
                <w:rFonts w:eastAsiaTheme="minorEastAsia"/>
                <w:sz w:val="18"/>
                <w:szCs w:val="18"/>
              </w:rPr>
            </w:pPr>
            <w:r>
              <w:rPr>
                <w:rFonts w:eastAsiaTheme="minorEastAsia" w:hint="eastAsia"/>
                <w:sz w:val="18"/>
                <w:szCs w:val="18"/>
              </w:rPr>
              <w:t>4</w:t>
            </w:r>
          </w:p>
        </w:tc>
      </w:tr>
      <w:tr w:rsidR="00F5289E" w14:paraId="238DB8C8"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4C0B25EA"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62BA7219" w14:textId="77777777" w:rsidR="00F5289E" w:rsidRDefault="00C91173">
            <w:pPr>
              <w:spacing w:line="320" w:lineRule="exact"/>
              <w:jc w:val="left"/>
              <w:rPr>
                <w:rFonts w:eastAsia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int="eastAsia"/>
                <w:sz w:val="18"/>
                <w:szCs w:val="18"/>
              </w:rPr>
              <w:t>通过课程的学习，使学生</w:t>
            </w:r>
            <w:r>
              <w:rPr>
                <w:rFonts w:eastAsiaTheme="minorEastAsia"/>
                <w:sz w:val="18"/>
                <w:szCs w:val="18"/>
              </w:rPr>
              <w:t>了解</w:t>
            </w:r>
            <w:r>
              <w:rPr>
                <w:rFonts w:eastAsiaTheme="minorEastAsia" w:hint="eastAsia"/>
                <w:sz w:val="18"/>
                <w:szCs w:val="18"/>
              </w:rPr>
              <w:t>园艺产品质量评价标准、方法，掌握基本的贮藏保鲜原理及技术，采用果蔬冷链物流技术及果蔬贮运关键</w:t>
            </w:r>
            <w:r>
              <w:rPr>
                <w:rFonts w:eastAsiaTheme="minorEastAsia"/>
                <w:sz w:val="18"/>
                <w:szCs w:val="18"/>
              </w:rPr>
              <w:t>技术</w:t>
            </w:r>
            <w:r>
              <w:rPr>
                <w:rFonts w:eastAsiaTheme="minorEastAsia" w:hint="eastAsia"/>
                <w:sz w:val="18"/>
                <w:szCs w:val="18"/>
              </w:rPr>
              <w:t>，</w:t>
            </w:r>
            <w:r>
              <w:rPr>
                <w:rFonts w:eastAsiaTheme="minorEastAsia"/>
                <w:sz w:val="18"/>
                <w:szCs w:val="18"/>
              </w:rPr>
              <w:t>解决</w:t>
            </w:r>
            <w:r>
              <w:rPr>
                <w:rFonts w:eastAsiaTheme="minorEastAsia" w:hint="eastAsia"/>
                <w:sz w:val="18"/>
                <w:szCs w:val="18"/>
              </w:rPr>
              <w:t>园艺产品</w:t>
            </w:r>
            <w:r>
              <w:rPr>
                <w:rFonts w:eastAsiaTheme="minorEastAsia"/>
                <w:sz w:val="18"/>
                <w:szCs w:val="18"/>
              </w:rPr>
              <w:t>贮</w:t>
            </w:r>
            <w:r>
              <w:rPr>
                <w:rFonts w:eastAsiaTheme="minorEastAsia" w:hint="eastAsia"/>
                <w:sz w:val="18"/>
                <w:szCs w:val="18"/>
              </w:rPr>
              <w:t>、</w:t>
            </w:r>
            <w:r>
              <w:rPr>
                <w:rFonts w:eastAsiaTheme="minorEastAsia"/>
                <w:sz w:val="18"/>
                <w:szCs w:val="18"/>
              </w:rPr>
              <w:t>运、销</w:t>
            </w:r>
            <w:r>
              <w:rPr>
                <w:rFonts w:eastAsiaTheme="minorEastAsia" w:hint="eastAsia"/>
                <w:sz w:val="18"/>
                <w:szCs w:val="18"/>
              </w:rPr>
              <w:t>环节</w:t>
            </w:r>
            <w:r>
              <w:rPr>
                <w:rFonts w:eastAsiaTheme="minorEastAsia"/>
                <w:sz w:val="18"/>
                <w:szCs w:val="18"/>
              </w:rPr>
              <w:t>出现的问题，</w:t>
            </w:r>
            <w:r>
              <w:rPr>
                <w:rFonts w:eastAsiaTheme="minorEastAsia" w:hint="eastAsia"/>
                <w:sz w:val="18"/>
                <w:szCs w:val="18"/>
              </w:rPr>
              <w:t>达到提高商品质量、降低产品的采后损耗，满足园艺产品贮运生产和相关管理的需要；同时，在</w:t>
            </w:r>
            <w:r>
              <w:rPr>
                <w:rFonts w:eastAsiaTheme="minorEastAsia" w:hAnsiTheme="minorEastAsia"/>
                <w:sz w:val="18"/>
                <w:szCs w:val="21"/>
              </w:rPr>
              <w:t>科学工作态度、</w:t>
            </w:r>
            <w:r>
              <w:rPr>
                <w:rFonts w:eastAsiaTheme="minorEastAsia" w:hAnsiTheme="minorEastAsia" w:hint="eastAsia"/>
                <w:sz w:val="18"/>
                <w:szCs w:val="21"/>
              </w:rPr>
              <w:t>采后生物学相关</w:t>
            </w:r>
            <w:r>
              <w:rPr>
                <w:rFonts w:eastAsiaTheme="minorEastAsia" w:hAnsiTheme="minorEastAsia"/>
                <w:sz w:val="18"/>
                <w:szCs w:val="21"/>
              </w:rPr>
              <w:t>实验技能</w:t>
            </w:r>
            <w:r>
              <w:rPr>
                <w:rFonts w:eastAsiaTheme="minorEastAsia" w:hAnsiTheme="minorEastAsia" w:hint="eastAsia"/>
                <w:sz w:val="18"/>
                <w:szCs w:val="21"/>
              </w:rPr>
              <w:t>及创新思维</w:t>
            </w:r>
            <w:r>
              <w:rPr>
                <w:rFonts w:eastAsiaTheme="minorEastAsia" w:hAnsiTheme="minorEastAsia"/>
                <w:sz w:val="18"/>
                <w:szCs w:val="21"/>
              </w:rPr>
              <w:t>等方面获得初步的训练</w:t>
            </w:r>
            <w:r>
              <w:rPr>
                <w:rFonts w:eastAsiaTheme="minorEastAsia" w:hAnsiTheme="minorEastAsia" w:hint="eastAsia"/>
                <w:sz w:val="18"/>
                <w:szCs w:val="21"/>
              </w:rPr>
              <w:t>。</w:t>
            </w:r>
          </w:p>
        </w:tc>
        <w:tc>
          <w:tcPr>
            <w:tcW w:w="1052" w:type="dxa"/>
            <w:tcBorders>
              <w:top w:val="single" w:sz="4" w:space="0" w:color="auto"/>
              <w:left w:val="single" w:sz="4" w:space="0" w:color="auto"/>
              <w:bottom w:val="single" w:sz="4" w:space="0" w:color="auto"/>
              <w:right w:val="single" w:sz="4" w:space="0" w:color="auto"/>
            </w:tcBorders>
            <w:vAlign w:val="center"/>
          </w:tcPr>
          <w:p w14:paraId="25B81F19" w14:textId="77777777" w:rsidR="00F5289E" w:rsidRDefault="00C91173">
            <w:pPr>
              <w:spacing w:line="320" w:lineRule="exact"/>
              <w:jc w:val="center"/>
              <w:rPr>
                <w:rFonts w:eastAsiaTheme="minorEastAsia"/>
                <w:sz w:val="18"/>
                <w:szCs w:val="18"/>
              </w:rPr>
            </w:pPr>
            <w:r>
              <w:rPr>
                <w:rFonts w:eastAsiaTheme="minorEastAsia" w:hint="eastAsia"/>
                <w:sz w:val="18"/>
                <w:szCs w:val="18"/>
              </w:rPr>
              <w:t>5</w:t>
            </w:r>
            <w:r>
              <w:rPr>
                <w:rFonts w:eastAsiaTheme="minorEastAsia" w:hint="eastAsia"/>
                <w:sz w:val="18"/>
                <w:szCs w:val="18"/>
              </w:rPr>
              <w:t>、</w:t>
            </w:r>
            <w:r>
              <w:rPr>
                <w:rFonts w:eastAsiaTheme="minorEastAsia" w:hint="eastAsia"/>
                <w:sz w:val="18"/>
                <w:szCs w:val="18"/>
              </w:rPr>
              <w:t>7</w:t>
            </w:r>
          </w:p>
        </w:tc>
      </w:tr>
    </w:tbl>
    <w:p w14:paraId="0EF69B10" w14:textId="77777777" w:rsidR="00F5289E" w:rsidRDefault="00F5289E">
      <w:pPr>
        <w:pStyle w:val="a9"/>
        <w:snapToGrid w:val="0"/>
        <w:spacing w:line="360" w:lineRule="auto"/>
        <w:ind w:rightChars="-138" w:right="-290" w:firstLineChars="200" w:firstLine="420"/>
        <w:rPr>
          <w:rFonts w:ascii="Times New Roman" w:hAnsi="宋体" w:cs="Times New Roman"/>
          <w:bCs/>
          <w:kern w:val="0"/>
        </w:rPr>
      </w:pPr>
    </w:p>
    <w:p w14:paraId="25A77674"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hint="eastAsia"/>
          <w:b/>
          <w:bCs/>
          <w:kern w:val="0"/>
          <w:szCs w:val="21"/>
        </w:rPr>
        <w:t>20</w:t>
      </w:r>
      <w:r>
        <w:rPr>
          <w:rFonts w:hAnsi="宋体" w:hint="eastAsia"/>
          <w:b/>
          <w:bCs/>
          <w:kern w:val="0"/>
          <w:szCs w:val="21"/>
        </w:rPr>
        <w:t>学时）</w:t>
      </w:r>
    </w:p>
    <w:p w14:paraId="2477F81D" w14:textId="77777777" w:rsidR="00F5289E" w:rsidRDefault="00C91173">
      <w:pPr>
        <w:widowControl/>
        <w:snapToGrid w:val="0"/>
        <w:spacing w:beforeLines="50" w:before="156" w:afterLines="50" w:after="156" w:line="360" w:lineRule="auto"/>
        <w:jc w:val="right"/>
        <w:outlineLvl w:val="3"/>
        <w:rPr>
          <w:rFonts w:ascii="宋体" w:hAnsi="宋体"/>
          <w:b/>
          <w:kern w:val="0"/>
          <w:sz w:val="24"/>
        </w:rPr>
      </w:pPr>
      <w:r>
        <w:rPr>
          <w:b/>
          <w:bCs/>
          <w:kern w:val="0"/>
          <w:szCs w:val="21"/>
        </w:rPr>
        <w:t>    </w:t>
      </w:r>
      <w:r>
        <w:rPr>
          <w:rFonts w:hAnsi="宋体"/>
          <w:b/>
          <w:kern w:val="0"/>
        </w:rPr>
        <w:t>绪</w:t>
      </w:r>
      <w:r>
        <w:rPr>
          <w:rFonts w:hAnsi="宋体" w:hint="eastAsia"/>
          <w:b/>
          <w:kern w:val="0"/>
        </w:rPr>
        <w:t xml:space="preserve">  </w:t>
      </w:r>
      <w:r>
        <w:rPr>
          <w:rFonts w:hAnsi="宋体"/>
          <w:b/>
          <w:kern w:val="0"/>
        </w:rPr>
        <w:t>论</w:t>
      </w:r>
      <w:r>
        <w:rPr>
          <w:rFonts w:hAnsi="宋体" w:hint="eastAsia"/>
          <w:b/>
          <w:kern w:val="0"/>
        </w:rPr>
        <w:t xml:space="preserve"> </w:t>
      </w:r>
      <w:r>
        <w:rPr>
          <w:rFonts w:hint="eastAsia"/>
          <w:b/>
          <w:kern w:val="0"/>
        </w:rPr>
        <w:t xml:space="preserve">                                </w:t>
      </w:r>
      <w:r>
        <w:rPr>
          <w:rFonts w:hAnsi="宋体"/>
          <w:b/>
          <w:kern w:val="0"/>
        </w:rPr>
        <w:t>学时</w:t>
      </w:r>
      <w:r>
        <w:rPr>
          <w:rFonts w:hAnsi="宋体" w:hint="eastAsia"/>
          <w:b/>
          <w:kern w:val="0"/>
        </w:rPr>
        <w:t>数：</w:t>
      </w:r>
      <w:r>
        <w:rPr>
          <w:rFonts w:hAnsi="宋体" w:hint="eastAsia"/>
          <w:b/>
          <w:kern w:val="0"/>
        </w:rPr>
        <w:t>1</w:t>
      </w:r>
    </w:p>
    <w:p w14:paraId="29763E50" w14:textId="77777777" w:rsidR="00F5289E" w:rsidRDefault="00C91173">
      <w:pPr>
        <w:widowControl/>
        <w:snapToGrid w:val="0"/>
        <w:spacing w:line="360" w:lineRule="auto"/>
        <w:jc w:val="left"/>
        <w:rPr>
          <w:rFonts w:hAnsi="宋体"/>
          <w:b/>
          <w:kern w:val="0"/>
        </w:rPr>
      </w:pPr>
      <w:r>
        <w:rPr>
          <w:rFonts w:ascii="宋体" w:hAnsi="宋体" w:hint="eastAsia"/>
          <w:b/>
        </w:rPr>
        <w:t>教学目</w:t>
      </w:r>
      <w:r>
        <w:rPr>
          <w:rFonts w:ascii="宋体" w:hAnsi="宋体" w:hint="eastAsia"/>
          <w:b/>
          <w:bCs/>
        </w:rPr>
        <w:t>标</w:t>
      </w:r>
      <w:r>
        <w:rPr>
          <w:rFonts w:ascii="宋体" w:hAnsi="宋体" w:hint="eastAsia"/>
          <w:b/>
        </w:rPr>
        <w:t>：</w:t>
      </w:r>
      <w:r>
        <w:rPr>
          <w:rFonts w:hAnsi="宋体" w:hint="eastAsia"/>
          <w:kern w:val="0"/>
        </w:rPr>
        <w:t>了解果品蔬菜采后处理产业发展历史、现状及存在问题，明确今后发展的方向。</w:t>
      </w:r>
    </w:p>
    <w:p w14:paraId="38414B5E" w14:textId="77777777" w:rsidR="00F5289E" w:rsidRDefault="00C91173">
      <w:pPr>
        <w:widowControl/>
        <w:snapToGrid w:val="0"/>
        <w:spacing w:line="360" w:lineRule="auto"/>
        <w:jc w:val="left"/>
        <w:rPr>
          <w:rFonts w:ascii="宋体" w:hAnsi="宋体"/>
          <w:kern w:val="0"/>
        </w:rPr>
      </w:pPr>
      <w:r>
        <w:rPr>
          <w:rFonts w:ascii="宋体" w:hAnsi="宋体" w:hint="eastAsia"/>
          <w:b/>
        </w:rPr>
        <w:lastRenderedPageBreak/>
        <w:t>教学重点和难点：</w:t>
      </w:r>
      <w:r>
        <w:rPr>
          <w:rFonts w:ascii="宋体" w:hAnsi="宋体" w:hint="eastAsia"/>
          <w:kern w:val="0"/>
        </w:rPr>
        <w:t>园艺产品流通冷链环节组成、建设存在问题，引起产品采后损失的主要原因及解决措施。</w:t>
      </w:r>
    </w:p>
    <w:p w14:paraId="3BF539DA" w14:textId="77777777" w:rsidR="00F5289E" w:rsidRDefault="00C91173">
      <w:pPr>
        <w:widowControl/>
        <w:adjustRightInd w:val="0"/>
        <w:snapToGrid w:val="0"/>
        <w:spacing w:line="360" w:lineRule="auto"/>
        <w:jc w:val="left"/>
        <w:rPr>
          <w:kern w:val="0"/>
        </w:rPr>
      </w:pPr>
      <w:r>
        <w:rPr>
          <w:rFonts w:ascii="宋体" w:hAnsi="宋体" w:hint="eastAsia"/>
          <w:b/>
        </w:rPr>
        <w:t>主要教学内容及要求：</w:t>
      </w:r>
    </w:p>
    <w:p w14:paraId="49B93ED4" w14:textId="77777777" w:rsidR="00F5289E" w:rsidRDefault="00C91173">
      <w:pPr>
        <w:widowControl/>
        <w:adjustRightInd w:val="0"/>
        <w:snapToGrid w:val="0"/>
        <w:spacing w:line="360" w:lineRule="auto"/>
        <w:ind w:firstLineChars="200" w:firstLine="420"/>
        <w:jc w:val="left"/>
        <w:rPr>
          <w:kern w:val="0"/>
        </w:rPr>
      </w:pPr>
      <w:r>
        <w:rPr>
          <w:rFonts w:hint="eastAsia"/>
          <w:kern w:val="0"/>
        </w:rPr>
        <w:t>了解：果品蔬菜贮运保鲜的意义；果品蔬菜贮运保鲜发展历程、产业现状。</w:t>
      </w:r>
    </w:p>
    <w:p w14:paraId="62AC34AA" w14:textId="77777777" w:rsidR="00F5289E" w:rsidRDefault="00C91173">
      <w:pPr>
        <w:widowControl/>
        <w:adjustRightInd w:val="0"/>
        <w:snapToGrid w:val="0"/>
        <w:spacing w:line="360" w:lineRule="auto"/>
        <w:ind w:firstLineChars="200" w:firstLine="420"/>
        <w:jc w:val="left"/>
        <w:rPr>
          <w:kern w:val="0"/>
        </w:rPr>
      </w:pPr>
      <w:r>
        <w:rPr>
          <w:rFonts w:hint="eastAsia"/>
          <w:kern w:val="0"/>
        </w:rPr>
        <w:t>理解：果品蔬菜贮运保鲜产业存在主要问题。</w:t>
      </w:r>
    </w:p>
    <w:p w14:paraId="036D3BF2" w14:textId="77777777" w:rsidR="00F5289E" w:rsidRDefault="00C91173">
      <w:pPr>
        <w:widowControl/>
        <w:adjustRightInd w:val="0"/>
        <w:snapToGrid w:val="0"/>
        <w:spacing w:line="360" w:lineRule="auto"/>
        <w:ind w:firstLineChars="200" w:firstLine="420"/>
        <w:jc w:val="left"/>
        <w:rPr>
          <w:kern w:val="0"/>
        </w:rPr>
      </w:pPr>
      <w:r>
        <w:rPr>
          <w:rFonts w:hint="eastAsia"/>
          <w:kern w:val="0"/>
        </w:rPr>
        <w:t>掌握：果品蔬菜贮运保鲜产业今后发展方向。</w:t>
      </w:r>
    </w:p>
    <w:p w14:paraId="10A172C2" w14:textId="77777777" w:rsidR="00F5289E" w:rsidRDefault="00C91173">
      <w:pPr>
        <w:widowControl/>
        <w:snapToGrid w:val="0"/>
        <w:spacing w:line="360" w:lineRule="auto"/>
        <w:rPr>
          <w:rFonts w:ascii="宋体" w:hAnsi="宋体"/>
          <w:color w:val="0000FF"/>
          <w:szCs w:val="20"/>
        </w:rPr>
      </w:pPr>
      <w:r>
        <w:rPr>
          <w:rFonts w:ascii="宋体" w:hAnsi="宋体" w:hint="eastAsia"/>
          <w:b/>
          <w:bCs/>
        </w:rPr>
        <w:t>教学组织与实施：</w:t>
      </w:r>
    </w:p>
    <w:p w14:paraId="1CBC26AA"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以课堂讲授的方式些结合大量实例、相关图片和视频讲述果品蔬菜采后处理产业的发展历史现状及存在问题，让学生对园艺产品采后处理有一定的直观理解（</w:t>
      </w:r>
      <w:r>
        <w:rPr>
          <w:rFonts w:eastAsiaTheme="minorEastAsia" w:hint="eastAsia"/>
          <w:kern w:val="0"/>
          <w:szCs w:val="21"/>
        </w:rPr>
        <w:t>1</w:t>
      </w:r>
      <w:r>
        <w:rPr>
          <w:rFonts w:eastAsiaTheme="minorEastAsia" w:hint="eastAsia"/>
          <w:kern w:val="0"/>
          <w:szCs w:val="21"/>
        </w:rPr>
        <w:t>学时）。</w:t>
      </w:r>
    </w:p>
    <w:p w14:paraId="79240559" w14:textId="77777777" w:rsidR="00F5289E" w:rsidRDefault="00C91173">
      <w:pPr>
        <w:widowControl/>
        <w:snapToGrid w:val="0"/>
        <w:spacing w:beforeLines="50" w:before="156" w:afterLines="50" w:after="156" w:line="360" w:lineRule="auto"/>
        <w:jc w:val="right"/>
        <w:outlineLvl w:val="3"/>
        <w:rPr>
          <w:rFonts w:ascii="宋体" w:hAnsi="宋体"/>
          <w:b/>
          <w:kern w:val="0"/>
          <w:sz w:val="24"/>
        </w:rPr>
      </w:pPr>
      <w:r>
        <w:rPr>
          <w:rFonts w:hAnsi="宋体"/>
          <w:b/>
          <w:kern w:val="0"/>
        </w:rPr>
        <w:t>第一章</w:t>
      </w:r>
      <w:r>
        <w:rPr>
          <w:rFonts w:hAnsi="宋体"/>
          <w:b/>
          <w:kern w:val="0"/>
        </w:rPr>
        <w:t xml:space="preserve">  </w:t>
      </w:r>
      <w:r>
        <w:rPr>
          <w:rFonts w:hAnsi="宋体" w:hint="eastAsia"/>
          <w:b/>
          <w:kern w:val="0"/>
        </w:rPr>
        <w:t>果品蔬菜的质量构成与评价</w:t>
      </w:r>
      <w:r>
        <w:rPr>
          <w:rFonts w:hAnsi="宋体" w:hint="eastAsia"/>
          <w:b/>
          <w:kern w:val="0"/>
        </w:rPr>
        <w:t xml:space="preserve"> </w:t>
      </w:r>
      <w:r>
        <w:rPr>
          <w:rFonts w:ascii="黑体" w:eastAsia="黑体" w:hAnsi="宋体" w:hint="eastAsia"/>
          <w:b/>
          <w:kern w:val="0"/>
          <w:sz w:val="24"/>
        </w:rPr>
        <w:t xml:space="preserve">     </w:t>
      </w:r>
      <w:r>
        <w:rPr>
          <w:rFonts w:hint="eastAsia"/>
          <w:b/>
          <w:kern w:val="0"/>
        </w:rPr>
        <w:t xml:space="preserve">         </w:t>
      </w:r>
      <w:r>
        <w:rPr>
          <w:rFonts w:hAnsi="宋体"/>
          <w:b/>
          <w:kern w:val="0"/>
        </w:rPr>
        <w:t>学时</w:t>
      </w:r>
      <w:r>
        <w:rPr>
          <w:rFonts w:hAnsi="宋体" w:hint="eastAsia"/>
          <w:b/>
          <w:kern w:val="0"/>
        </w:rPr>
        <w:t>数：</w:t>
      </w:r>
      <w:r>
        <w:rPr>
          <w:rFonts w:hAnsi="宋体" w:hint="eastAsia"/>
          <w:b/>
          <w:kern w:val="0"/>
        </w:rPr>
        <w:t>2</w:t>
      </w:r>
    </w:p>
    <w:p w14:paraId="75EE0D02" w14:textId="77777777" w:rsidR="00F5289E" w:rsidRDefault="00C91173">
      <w:pPr>
        <w:widowControl/>
        <w:snapToGrid w:val="0"/>
        <w:spacing w:line="360" w:lineRule="auto"/>
        <w:jc w:val="left"/>
        <w:textAlignment w:val="baseline"/>
        <w:rPr>
          <w:rFonts w:hAnsi="宋体"/>
          <w:b/>
          <w:kern w:val="0"/>
        </w:rPr>
      </w:pPr>
      <w:r>
        <w:rPr>
          <w:rFonts w:ascii="宋体" w:hAnsi="宋体" w:hint="eastAsia"/>
          <w:b/>
        </w:rPr>
        <w:t>教学目</w:t>
      </w:r>
      <w:r>
        <w:rPr>
          <w:rFonts w:ascii="宋体" w:hAnsi="宋体" w:hint="eastAsia"/>
          <w:b/>
          <w:bCs/>
        </w:rPr>
        <w:t>标</w:t>
      </w:r>
      <w:r>
        <w:rPr>
          <w:rFonts w:ascii="宋体" w:hAnsi="宋体" w:hint="eastAsia"/>
          <w:b/>
        </w:rPr>
        <w:t>：</w:t>
      </w:r>
      <w:r>
        <w:rPr>
          <w:rFonts w:hAnsi="宋体" w:hint="eastAsia"/>
          <w:kern w:val="0"/>
        </w:rPr>
        <w:t>了解果品蔬菜质量含义、质量标准，掌握果品蔬菜质量构成及质量评价方法。</w:t>
      </w:r>
    </w:p>
    <w:p w14:paraId="4875F24C" w14:textId="77777777" w:rsidR="00F5289E" w:rsidRDefault="00C91173">
      <w:pPr>
        <w:widowControl/>
        <w:snapToGrid w:val="0"/>
        <w:spacing w:line="360" w:lineRule="auto"/>
        <w:jc w:val="left"/>
        <w:textAlignment w:val="baseline"/>
        <w:rPr>
          <w:rFonts w:ascii="宋体" w:hAnsi="宋体"/>
          <w:color w:val="FF0000"/>
          <w:kern w:val="0"/>
        </w:rPr>
      </w:pPr>
      <w:r>
        <w:rPr>
          <w:rFonts w:ascii="宋体" w:hAnsi="宋体" w:hint="eastAsia"/>
          <w:b/>
        </w:rPr>
        <w:t>教学重点和难点：</w:t>
      </w:r>
      <w:r>
        <w:rPr>
          <w:rFonts w:ascii="宋体" w:hAnsi="宋体" w:hint="eastAsia"/>
          <w:bCs/>
        </w:rPr>
        <w:t>重点：</w:t>
      </w:r>
      <w:r>
        <w:rPr>
          <w:rFonts w:ascii="宋体" w:hAnsi="宋体" w:hint="eastAsia"/>
          <w:kern w:val="0"/>
        </w:rPr>
        <w:t>果品蔬菜质量构成、质量评价方法。难点：果品蔬菜产品卫生质量评价及其质量安全监测。</w:t>
      </w:r>
    </w:p>
    <w:p w14:paraId="6FDD2F17" w14:textId="77777777" w:rsidR="00F5289E" w:rsidRDefault="00C91173">
      <w:pPr>
        <w:widowControl/>
        <w:snapToGrid w:val="0"/>
        <w:spacing w:line="360" w:lineRule="auto"/>
        <w:jc w:val="left"/>
        <w:textAlignment w:val="baseline"/>
        <w:rPr>
          <w:rFonts w:ascii="宋体" w:hAnsi="宋体"/>
          <w:b/>
        </w:rPr>
      </w:pPr>
      <w:r>
        <w:rPr>
          <w:rFonts w:ascii="宋体" w:hAnsi="宋体" w:hint="eastAsia"/>
          <w:b/>
        </w:rPr>
        <w:t>主要教学内容及要求：</w:t>
      </w:r>
    </w:p>
    <w:p w14:paraId="13646B43" w14:textId="77777777" w:rsidR="00F5289E" w:rsidRDefault="00C91173">
      <w:pPr>
        <w:widowControl/>
        <w:snapToGrid w:val="0"/>
        <w:spacing w:line="360" w:lineRule="auto"/>
        <w:ind w:firstLineChars="200" w:firstLine="420"/>
        <w:jc w:val="left"/>
        <w:textAlignment w:val="baseline"/>
        <w:rPr>
          <w:rFonts w:ascii="宋体" w:hAnsi="宋体"/>
        </w:rPr>
      </w:pPr>
      <w:r>
        <w:rPr>
          <w:rFonts w:ascii="宋体" w:hAnsi="宋体" w:hint="eastAsia"/>
        </w:rPr>
        <w:t>了解：</w:t>
      </w:r>
      <w:r>
        <w:rPr>
          <w:rFonts w:ascii="宋体" w:hAnsi="宋体" w:hint="eastAsia"/>
          <w:kern w:val="0"/>
        </w:rPr>
        <w:t>绿色食品、有机食品申请程序；</w:t>
      </w:r>
      <w:r>
        <w:rPr>
          <w:rFonts w:ascii="宋体" w:hAnsi="宋体" w:hint="eastAsia"/>
        </w:rPr>
        <w:t>果蔬的质量构成、质量标准和质量评价方法。</w:t>
      </w:r>
    </w:p>
    <w:p w14:paraId="0E739E05"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理解：绿色食品、有机食品生产标准组成、联系及区别。</w:t>
      </w:r>
    </w:p>
    <w:p w14:paraId="0481CD88"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掌握：绿色食品、有机食品质量的评价方法。</w:t>
      </w:r>
    </w:p>
    <w:p w14:paraId="02B6983A"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熟练掌握：绿色食品、有机食品卫生质量的标准、质量评价方法。</w:t>
      </w:r>
    </w:p>
    <w:p w14:paraId="31FA96ED" w14:textId="77777777" w:rsidR="00F5289E" w:rsidRDefault="00C91173">
      <w:pPr>
        <w:widowControl/>
        <w:snapToGrid w:val="0"/>
        <w:spacing w:line="360" w:lineRule="auto"/>
        <w:rPr>
          <w:rFonts w:ascii="宋体" w:hAnsi="宋体"/>
          <w:color w:val="0000FF"/>
          <w:szCs w:val="20"/>
        </w:rPr>
      </w:pPr>
      <w:r>
        <w:rPr>
          <w:rFonts w:ascii="宋体" w:hAnsi="宋体" w:hint="eastAsia"/>
          <w:b/>
          <w:bCs/>
        </w:rPr>
        <w:t>教学组织与实施：</w:t>
      </w:r>
    </w:p>
    <w:p w14:paraId="757CE23B"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以课堂授课的形式，讲述</w:t>
      </w:r>
      <w:r>
        <w:rPr>
          <w:rFonts w:hAnsi="宋体" w:hint="eastAsia"/>
          <w:kern w:val="0"/>
        </w:rPr>
        <w:t>品蔬菜质量含义、质量标准，掌握果品蔬菜质量构成及质量评价方法，同时</w:t>
      </w:r>
      <w:r>
        <w:rPr>
          <w:rFonts w:eastAsiaTheme="minorEastAsia" w:hint="eastAsia"/>
          <w:kern w:val="0"/>
          <w:szCs w:val="21"/>
        </w:rPr>
        <w:t>授课过程中加入大量</w:t>
      </w:r>
      <w:r>
        <w:rPr>
          <w:rFonts w:hAnsi="宋体" w:hint="eastAsia"/>
          <w:kern w:val="0"/>
        </w:rPr>
        <w:t>质量卫生、质量评价与质量标准等案例图片和视频</w:t>
      </w:r>
      <w:r>
        <w:rPr>
          <w:rFonts w:eastAsiaTheme="minorEastAsia" w:hint="eastAsia"/>
          <w:kern w:val="0"/>
          <w:szCs w:val="21"/>
        </w:rPr>
        <w:t>，让掌握园艺产品质量构成、质量标准及评价方法（</w:t>
      </w:r>
      <w:r>
        <w:rPr>
          <w:rFonts w:eastAsiaTheme="minorEastAsia" w:hint="eastAsia"/>
          <w:kern w:val="0"/>
          <w:szCs w:val="21"/>
        </w:rPr>
        <w:t>2</w:t>
      </w:r>
      <w:r>
        <w:rPr>
          <w:rFonts w:eastAsiaTheme="minorEastAsia" w:hint="eastAsia"/>
          <w:kern w:val="0"/>
          <w:szCs w:val="21"/>
        </w:rPr>
        <w:t>学时）。</w:t>
      </w:r>
    </w:p>
    <w:p w14:paraId="52FFE400" w14:textId="77777777" w:rsidR="00F5289E" w:rsidRDefault="00C91173">
      <w:pPr>
        <w:widowControl/>
        <w:snapToGrid w:val="0"/>
        <w:spacing w:beforeLines="50" w:before="156" w:afterLines="50" w:after="156" w:line="360" w:lineRule="auto"/>
        <w:jc w:val="right"/>
        <w:outlineLvl w:val="3"/>
        <w:rPr>
          <w:b/>
          <w:kern w:val="0"/>
        </w:rPr>
      </w:pPr>
      <w:r>
        <w:rPr>
          <w:rFonts w:hAnsi="宋体"/>
          <w:b/>
          <w:kern w:val="0"/>
        </w:rPr>
        <w:t>第二章</w:t>
      </w:r>
      <w:r>
        <w:rPr>
          <w:rFonts w:hAnsi="宋体"/>
          <w:b/>
          <w:kern w:val="0"/>
        </w:rPr>
        <w:t xml:space="preserve">  </w:t>
      </w:r>
      <w:r>
        <w:rPr>
          <w:rFonts w:hAnsi="宋体" w:hint="eastAsia"/>
          <w:b/>
          <w:kern w:val="0"/>
        </w:rPr>
        <w:t>果品蔬菜的采后生理</w:t>
      </w:r>
      <w:r>
        <w:rPr>
          <w:rFonts w:hAnsi="宋体"/>
          <w:b/>
          <w:kern w:val="0"/>
        </w:rPr>
        <w:t xml:space="preserve">  </w:t>
      </w:r>
      <w:r>
        <w:rPr>
          <w:rFonts w:ascii="黑体" w:eastAsia="黑体" w:hAnsi="宋体"/>
          <w:b/>
          <w:kern w:val="0"/>
          <w:sz w:val="24"/>
        </w:rPr>
        <w:t xml:space="preserve">   </w:t>
      </w:r>
      <w:r>
        <w:rPr>
          <w:rFonts w:ascii="黑体" w:eastAsia="黑体" w:hAnsi="宋体" w:hint="eastAsia"/>
          <w:b/>
          <w:kern w:val="0"/>
          <w:sz w:val="24"/>
        </w:rPr>
        <w:t xml:space="preserve">             </w:t>
      </w:r>
      <w:r>
        <w:rPr>
          <w:b/>
          <w:kern w:val="0"/>
        </w:rPr>
        <w:t> </w:t>
      </w:r>
      <w:r>
        <w:rPr>
          <w:rFonts w:hAnsi="宋体"/>
          <w:b/>
          <w:kern w:val="0"/>
        </w:rPr>
        <w:t>学时</w:t>
      </w:r>
      <w:r>
        <w:rPr>
          <w:rFonts w:hAnsi="宋体" w:hint="eastAsia"/>
          <w:b/>
          <w:kern w:val="0"/>
        </w:rPr>
        <w:t>数：</w:t>
      </w:r>
      <w:r>
        <w:rPr>
          <w:rFonts w:hint="eastAsia"/>
          <w:b/>
          <w:kern w:val="0"/>
        </w:rPr>
        <w:t>3</w:t>
      </w:r>
    </w:p>
    <w:p w14:paraId="3DDAA380" w14:textId="77777777" w:rsidR="00F5289E" w:rsidRDefault="00C91173">
      <w:pPr>
        <w:widowControl/>
        <w:tabs>
          <w:tab w:val="left" w:pos="1260"/>
        </w:tabs>
        <w:snapToGrid w:val="0"/>
        <w:spacing w:line="360" w:lineRule="auto"/>
        <w:textAlignment w:val="baseline"/>
        <w:rPr>
          <w:rFonts w:hAnsi="宋体"/>
          <w:kern w:val="0"/>
        </w:rPr>
      </w:pPr>
      <w:r>
        <w:rPr>
          <w:rFonts w:ascii="宋体" w:hAnsi="宋体" w:hint="eastAsia"/>
          <w:b/>
        </w:rPr>
        <w:t>教学目</w:t>
      </w:r>
      <w:r>
        <w:rPr>
          <w:rFonts w:ascii="宋体" w:hAnsi="宋体" w:hint="eastAsia"/>
          <w:b/>
          <w:bCs/>
        </w:rPr>
        <w:t>标</w:t>
      </w:r>
      <w:r>
        <w:rPr>
          <w:rFonts w:ascii="宋体" w:hAnsi="宋体" w:hint="eastAsia"/>
          <w:b/>
        </w:rPr>
        <w:t>：</w:t>
      </w:r>
      <w:r>
        <w:rPr>
          <w:rFonts w:hAnsi="宋体" w:hint="eastAsia"/>
          <w:kern w:val="0"/>
        </w:rPr>
        <w:t>了解果蔬的成熟衰老及采后生理有关概念，掌握果蔬的成熟与衰老、呼吸与乙烯、蒸腾休眠等采后生理基本理论及其影响因素，使学生认识各种采后生理变化规律及其调控措施与果蔬贮运的关系。</w:t>
      </w:r>
    </w:p>
    <w:p w14:paraId="07BF34A1" w14:textId="77777777" w:rsidR="00F5289E" w:rsidRDefault="00C91173">
      <w:pPr>
        <w:widowControl/>
        <w:tabs>
          <w:tab w:val="left" w:pos="1260"/>
        </w:tabs>
        <w:snapToGrid w:val="0"/>
        <w:spacing w:line="360" w:lineRule="auto"/>
        <w:textAlignment w:val="baseline"/>
        <w:rPr>
          <w:kern w:val="0"/>
        </w:rPr>
      </w:pPr>
      <w:r>
        <w:rPr>
          <w:rFonts w:ascii="宋体" w:hAnsi="宋体" w:hint="eastAsia"/>
          <w:b/>
        </w:rPr>
        <w:t>教学重点和难点：</w:t>
      </w:r>
      <w:r>
        <w:rPr>
          <w:rFonts w:hAnsi="宋体" w:hint="eastAsia"/>
          <w:kern w:val="0"/>
        </w:rPr>
        <w:t>影响呼吸作用因素；呼吸跃变类型在采后生理上的区别及生产中调控后熟的相关技术措施；机械伤对果蔬生理变化及贮藏损失的影响；乙烯合成代谢及其影响因素；难点：乙烯代谢变化与产品后熟衰老调控的技术措施。</w:t>
      </w:r>
    </w:p>
    <w:p w14:paraId="4D52B0C5" w14:textId="77777777" w:rsidR="00F5289E" w:rsidRDefault="00C91173">
      <w:pPr>
        <w:widowControl/>
        <w:adjustRightInd w:val="0"/>
        <w:snapToGrid w:val="0"/>
        <w:spacing w:line="360" w:lineRule="auto"/>
        <w:jc w:val="left"/>
        <w:rPr>
          <w:rFonts w:ascii="宋体" w:hAnsi="宋体"/>
          <w:b/>
        </w:rPr>
      </w:pPr>
      <w:r>
        <w:rPr>
          <w:rFonts w:ascii="宋体" w:hAnsi="宋体" w:hint="eastAsia"/>
          <w:b/>
        </w:rPr>
        <w:t>主要教学内容及要求：</w:t>
      </w:r>
    </w:p>
    <w:p w14:paraId="78545CD1" w14:textId="77777777" w:rsidR="00F5289E" w:rsidRDefault="00C91173">
      <w:pPr>
        <w:widowControl/>
        <w:adjustRightInd w:val="0"/>
        <w:snapToGrid w:val="0"/>
        <w:spacing w:line="360" w:lineRule="auto"/>
        <w:ind w:leftChars="200" w:left="420"/>
        <w:jc w:val="left"/>
        <w:rPr>
          <w:rFonts w:hAnsi="宋体"/>
          <w:kern w:val="0"/>
        </w:rPr>
      </w:pPr>
      <w:r>
        <w:rPr>
          <w:rFonts w:hAnsi="宋体" w:hint="eastAsia"/>
          <w:kern w:val="0"/>
        </w:rPr>
        <w:t>（</w:t>
      </w:r>
      <w:r>
        <w:rPr>
          <w:rFonts w:hAnsi="宋体" w:hint="eastAsia"/>
          <w:kern w:val="0"/>
        </w:rPr>
        <w:t>1</w:t>
      </w:r>
      <w:r>
        <w:rPr>
          <w:rFonts w:hAnsi="宋体" w:hint="eastAsia"/>
          <w:kern w:val="0"/>
        </w:rPr>
        <w:t>）果品蔬菜的成熟与衰老</w:t>
      </w:r>
    </w:p>
    <w:p w14:paraId="5779A34D" w14:textId="77777777" w:rsidR="00F5289E" w:rsidRDefault="00C91173">
      <w:pPr>
        <w:widowControl/>
        <w:adjustRightInd w:val="0"/>
        <w:snapToGrid w:val="0"/>
        <w:spacing w:line="360" w:lineRule="auto"/>
        <w:ind w:leftChars="200" w:left="420"/>
        <w:jc w:val="left"/>
        <w:rPr>
          <w:rFonts w:ascii="宋体" w:hAnsi="宋体"/>
        </w:rPr>
      </w:pPr>
      <w:r>
        <w:rPr>
          <w:rFonts w:hAnsi="宋体" w:hint="eastAsia"/>
          <w:kern w:val="0"/>
        </w:rPr>
        <w:t>（</w:t>
      </w:r>
      <w:r>
        <w:rPr>
          <w:rFonts w:hAnsi="宋体" w:hint="eastAsia"/>
          <w:kern w:val="0"/>
        </w:rPr>
        <w:t>2</w:t>
      </w:r>
      <w:r>
        <w:rPr>
          <w:rFonts w:hAnsi="宋体" w:hint="eastAsia"/>
          <w:kern w:val="0"/>
        </w:rPr>
        <w:t>）果品蔬菜的呼吸作用</w:t>
      </w:r>
    </w:p>
    <w:p w14:paraId="707AB808" w14:textId="77777777" w:rsidR="00F5289E" w:rsidRDefault="00C91173">
      <w:pPr>
        <w:widowControl/>
        <w:adjustRightInd w:val="0"/>
        <w:snapToGrid w:val="0"/>
        <w:spacing w:line="360" w:lineRule="auto"/>
        <w:ind w:leftChars="200" w:left="420"/>
        <w:jc w:val="left"/>
        <w:rPr>
          <w:rFonts w:ascii="宋体" w:hAnsi="宋体"/>
        </w:rPr>
      </w:pPr>
      <w:r>
        <w:rPr>
          <w:rFonts w:hAnsi="宋体" w:hint="eastAsia"/>
          <w:kern w:val="0"/>
        </w:rPr>
        <w:lastRenderedPageBreak/>
        <w:t>（</w:t>
      </w:r>
      <w:r>
        <w:rPr>
          <w:rFonts w:hAnsi="宋体" w:hint="eastAsia"/>
          <w:kern w:val="0"/>
        </w:rPr>
        <w:t>3</w:t>
      </w:r>
      <w:r>
        <w:rPr>
          <w:rFonts w:hAnsi="宋体" w:hint="eastAsia"/>
          <w:kern w:val="0"/>
        </w:rPr>
        <w:t>）乙烯与果品蔬菜的成熟衰老</w:t>
      </w:r>
    </w:p>
    <w:p w14:paraId="2EF2FCCC" w14:textId="77777777" w:rsidR="00F5289E" w:rsidRDefault="00C91173">
      <w:pPr>
        <w:widowControl/>
        <w:adjustRightInd w:val="0"/>
        <w:snapToGrid w:val="0"/>
        <w:spacing w:line="360" w:lineRule="auto"/>
        <w:ind w:leftChars="200" w:left="420"/>
        <w:jc w:val="left"/>
        <w:rPr>
          <w:rFonts w:ascii="宋体" w:hAnsi="宋体"/>
        </w:rPr>
      </w:pPr>
      <w:r>
        <w:rPr>
          <w:rFonts w:hAnsi="宋体" w:hint="eastAsia"/>
          <w:kern w:val="0"/>
        </w:rPr>
        <w:t>（</w:t>
      </w:r>
      <w:r>
        <w:rPr>
          <w:rFonts w:hAnsi="宋体" w:hint="eastAsia"/>
          <w:kern w:val="0"/>
        </w:rPr>
        <w:t>4</w:t>
      </w:r>
      <w:r>
        <w:rPr>
          <w:rFonts w:hAnsi="宋体" w:hint="eastAsia"/>
          <w:kern w:val="0"/>
        </w:rPr>
        <w:t>）果品蔬菜的蒸腾作用</w:t>
      </w:r>
    </w:p>
    <w:p w14:paraId="3AD8FB8C" w14:textId="77777777" w:rsidR="00F5289E" w:rsidRDefault="00C91173">
      <w:pPr>
        <w:widowControl/>
        <w:adjustRightInd w:val="0"/>
        <w:snapToGrid w:val="0"/>
        <w:spacing w:line="360" w:lineRule="auto"/>
        <w:ind w:leftChars="200" w:left="420"/>
        <w:jc w:val="left"/>
        <w:rPr>
          <w:rFonts w:ascii="宋体" w:hAnsi="宋体"/>
        </w:rPr>
      </w:pPr>
      <w:r>
        <w:rPr>
          <w:rFonts w:hAnsi="宋体" w:hint="eastAsia"/>
          <w:kern w:val="0"/>
        </w:rPr>
        <w:t>（</w:t>
      </w:r>
      <w:r>
        <w:rPr>
          <w:rFonts w:hAnsi="宋体" w:hint="eastAsia"/>
          <w:kern w:val="0"/>
        </w:rPr>
        <w:t>5</w:t>
      </w:r>
      <w:r>
        <w:rPr>
          <w:rFonts w:hAnsi="宋体" w:hint="eastAsia"/>
          <w:kern w:val="0"/>
        </w:rPr>
        <w:t>）蔬菜的休眠与贮藏</w:t>
      </w:r>
    </w:p>
    <w:p w14:paraId="3136F0BE" w14:textId="77777777" w:rsidR="00F5289E" w:rsidRDefault="00C91173">
      <w:pPr>
        <w:widowControl/>
        <w:adjustRightInd w:val="0"/>
        <w:snapToGrid w:val="0"/>
        <w:spacing w:line="360" w:lineRule="auto"/>
        <w:ind w:firstLineChars="200" w:firstLine="420"/>
        <w:jc w:val="left"/>
        <w:rPr>
          <w:rFonts w:hAnsi="宋体"/>
          <w:kern w:val="0"/>
        </w:rPr>
      </w:pPr>
      <w:r>
        <w:rPr>
          <w:rFonts w:hAnsi="宋体" w:hint="eastAsia"/>
          <w:kern w:val="0"/>
        </w:rPr>
        <w:t>了解：成熟衰老过程中果蔬的化学成分、细胞壁结构与软化相关酶化学变化与贮藏品质、贮藏寿命的关系。</w:t>
      </w:r>
      <w:r>
        <w:rPr>
          <w:rFonts w:ascii="宋体" w:hAnsi="宋体" w:hint="eastAsia"/>
          <w:kern w:val="0"/>
        </w:rPr>
        <w:t>影响蒸腾作用的主要因素。</w:t>
      </w:r>
    </w:p>
    <w:p w14:paraId="23BE7C6C" w14:textId="77777777" w:rsidR="00F5289E" w:rsidRDefault="00C91173">
      <w:pPr>
        <w:widowControl/>
        <w:adjustRightInd w:val="0"/>
        <w:snapToGrid w:val="0"/>
        <w:spacing w:line="360" w:lineRule="auto"/>
        <w:ind w:firstLineChars="200" w:firstLine="420"/>
        <w:jc w:val="left"/>
        <w:rPr>
          <w:rFonts w:hAnsi="宋体"/>
          <w:kern w:val="0"/>
        </w:rPr>
      </w:pPr>
      <w:r>
        <w:rPr>
          <w:rFonts w:hAnsi="宋体" w:hint="eastAsia"/>
          <w:kern w:val="0"/>
        </w:rPr>
        <w:t>理解：生物技术调控果蔬成熟衰老的</w:t>
      </w:r>
      <w:r>
        <w:rPr>
          <w:rFonts w:hAnsi="宋体" w:hint="eastAsia"/>
          <w:color w:val="000000"/>
          <w:kern w:val="0"/>
        </w:rPr>
        <w:t>机理及其技术应用潜力、可行性。呼吸作用的本质、呼吸跃变类型对果蔬成熟衰老及贮藏品质变化的影响规律；休眠特性与蔬菜产品贮藏品质、贮藏寿命变化的关系。</w:t>
      </w:r>
    </w:p>
    <w:p w14:paraId="5DB7F514" w14:textId="77777777" w:rsidR="00F5289E" w:rsidRDefault="00C91173">
      <w:pPr>
        <w:widowControl/>
        <w:adjustRightInd w:val="0"/>
        <w:snapToGrid w:val="0"/>
        <w:spacing w:line="360" w:lineRule="auto"/>
        <w:ind w:firstLineChars="200" w:firstLine="420"/>
        <w:jc w:val="left"/>
        <w:rPr>
          <w:rFonts w:ascii="宋体" w:hAnsi="宋体"/>
          <w:kern w:val="0"/>
        </w:rPr>
      </w:pPr>
      <w:r>
        <w:rPr>
          <w:rFonts w:ascii="宋体" w:hAnsi="宋体" w:hint="eastAsia"/>
          <w:color w:val="000000"/>
          <w:kern w:val="0"/>
        </w:rPr>
        <w:t>掌握：</w:t>
      </w:r>
      <w:r>
        <w:rPr>
          <w:rFonts w:ascii="宋体" w:hAnsi="宋体" w:hint="eastAsia"/>
          <w:kern w:val="0"/>
        </w:rPr>
        <w:t>成熟、后熟、衰老、呼吸强度、呼吸跃变、呼吸高峰、呼吸热、蒸腾作用、休眠等的定义；</w:t>
      </w:r>
      <w:r>
        <w:rPr>
          <w:rFonts w:ascii="宋体" w:hAnsi="宋体" w:hint="eastAsia"/>
          <w:color w:val="000000"/>
          <w:kern w:val="0"/>
        </w:rPr>
        <w:t>呼吸热的计算方法及降低产品营养消耗的技术</w:t>
      </w:r>
      <w:r>
        <w:rPr>
          <w:rFonts w:ascii="宋体" w:hAnsi="宋体" w:hint="eastAsia"/>
          <w:kern w:val="0"/>
        </w:rPr>
        <w:t xml:space="preserve">措施；蒸腾作用与果蔬贮藏保鲜的关系，生产中减少产品失水萎焉的技术措施。 </w:t>
      </w:r>
    </w:p>
    <w:p w14:paraId="7541E2CB" w14:textId="77777777" w:rsidR="00F5289E" w:rsidRDefault="00C91173">
      <w:pPr>
        <w:widowControl/>
        <w:adjustRightInd w:val="0"/>
        <w:snapToGrid w:val="0"/>
        <w:spacing w:line="360" w:lineRule="auto"/>
        <w:ind w:firstLineChars="200" w:firstLine="420"/>
        <w:jc w:val="left"/>
        <w:rPr>
          <w:rFonts w:ascii="宋体" w:hAnsi="宋体"/>
          <w:kern w:val="0"/>
        </w:rPr>
      </w:pPr>
      <w:r>
        <w:rPr>
          <w:rFonts w:ascii="宋体" w:hAnsi="宋体" w:hint="eastAsia"/>
          <w:kern w:val="0"/>
        </w:rPr>
        <w:t>熟练掌握：影响产品呼吸作用的因素；乙烯代谢变化及其影响因素，贮运实践中调控产品成熟衰老的关键技术措施。</w:t>
      </w:r>
    </w:p>
    <w:p w14:paraId="7BA6807A"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3D9BB68A" w14:textId="77777777" w:rsidR="00F5289E" w:rsidRDefault="00C91173">
      <w:pPr>
        <w:widowControl/>
        <w:snapToGrid w:val="0"/>
        <w:spacing w:line="360" w:lineRule="auto"/>
        <w:ind w:firstLineChars="100" w:firstLine="210"/>
        <w:rPr>
          <w:rFonts w:ascii="宋体" w:hAnsi="宋体"/>
          <w:color w:val="0000FF"/>
          <w:szCs w:val="20"/>
        </w:rPr>
      </w:pPr>
      <w:r>
        <w:rPr>
          <w:rFonts w:eastAsiaTheme="minorEastAsia" w:hint="eastAsia"/>
          <w:kern w:val="0"/>
          <w:szCs w:val="21"/>
        </w:rPr>
        <w:t>以课堂讲授的方式，同时结合大量</w:t>
      </w:r>
      <w:r>
        <w:rPr>
          <w:rFonts w:hAnsi="宋体" w:hint="eastAsia"/>
          <w:kern w:val="0"/>
        </w:rPr>
        <w:t>图片和视频等多媒体资源，讲述果蔬的成熟与衰老、呼吸与乙烯、蒸腾休眠等采后生理基本理论及其影响因素。另外，理论课程教学要与实验教学紧密结合，本章理论课讲授完成后及时安排呼吸强度测定等相关实验，让同学们通过实验加深对理论教学内容的理解和掌握</w:t>
      </w:r>
      <w:r>
        <w:rPr>
          <w:rFonts w:eastAsiaTheme="minorEastAsia" w:hint="eastAsia"/>
          <w:kern w:val="0"/>
          <w:szCs w:val="21"/>
        </w:rPr>
        <w:t>（</w:t>
      </w:r>
      <w:r>
        <w:rPr>
          <w:rFonts w:eastAsiaTheme="minorEastAsia" w:hint="eastAsia"/>
          <w:kern w:val="0"/>
          <w:szCs w:val="21"/>
        </w:rPr>
        <w:t>3</w:t>
      </w:r>
      <w:r>
        <w:rPr>
          <w:rFonts w:eastAsiaTheme="minorEastAsia" w:hint="eastAsia"/>
          <w:kern w:val="0"/>
          <w:szCs w:val="21"/>
        </w:rPr>
        <w:t>学时）</w:t>
      </w:r>
      <w:r>
        <w:rPr>
          <w:rFonts w:hAnsi="宋体" w:hint="eastAsia"/>
          <w:kern w:val="0"/>
        </w:rPr>
        <w:t>。</w:t>
      </w:r>
    </w:p>
    <w:p w14:paraId="19B6AD78" w14:textId="77777777" w:rsidR="00F5289E" w:rsidRDefault="00C91173">
      <w:pPr>
        <w:widowControl/>
        <w:snapToGrid w:val="0"/>
        <w:spacing w:beforeLines="50" w:before="156" w:afterLines="50" w:after="156" w:line="360" w:lineRule="auto"/>
        <w:jc w:val="right"/>
        <w:outlineLvl w:val="3"/>
        <w:rPr>
          <w:rFonts w:ascii="宋体" w:hAnsi="宋体"/>
          <w:b/>
          <w:kern w:val="0"/>
          <w:sz w:val="24"/>
        </w:rPr>
      </w:pPr>
      <w:r>
        <w:rPr>
          <w:rFonts w:hAnsi="宋体"/>
          <w:b/>
          <w:kern w:val="0"/>
        </w:rPr>
        <w:t>第三章</w:t>
      </w:r>
      <w:r>
        <w:rPr>
          <w:rFonts w:hAnsi="宋体"/>
          <w:b/>
          <w:kern w:val="0"/>
        </w:rPr>
        <w:t xml:space="preserve">  </w:t>
      </w:r>
      <w:r>
        <w:rPr>
          <w:rFonts w:hAnsi="宋体" w:hint="eastAsia"/>
          <w:b/>
          <w:kern w:val="0"/>
        </w:rPr>
        <w:t>影响果品蔬菜贮藏性的因素</w:t>
      </w:r>
      <w:r>
        <w:rPr>
          <w:rFonts w:hAnsi="宋体" w:hint="eastAsia"/>
          <w:b/>
          <w:kern w:val="0"/>
        </w:rPr>
        <w:t xml:space="preserve"> </w:t>
      </w:r>
      <w:r>
        <w:rPr>
          <w:rFonts w:ascii="黑体" w:eastAsia="黑体" w:hAnsi="宋体" w:hint="eastAsia"/>
          <w:b/>
          <w:kern w:val="0"/>
          <w:sz w:val="24"/>
        </w:rPr>
        <w:t xml:space="preserve">             </w:t>
      </w:r>
      <w:r>
        <w:rPr>
          <w:b/>
          <w:kern w:val="0"/>
        </w:rPr>
        <w:t> </w:t>
      </w:r>
      <w:r>
        <w:rPr>
          <w:rFonts w:hAnsi="宋体"/>
          <w:b/>
          <w:kern w:val="0"/>
        </w:rPr>
        <w:t>学时</w:t>
      </w:r>
      <w:r>
        <w:rPr>
          <w:rFonts w:hAnsi="宋体" w:hint="eastAsia"/>
          <w:b/>
          <w:kern w:val="0"/>
        </w:rPr>
        <w:t>数：</w:t>
      </w:r>
      <w:r>
        <w:rPr>
          <w:rFonts w:hAnsi="宋体" w:hint="eastAsia"/>
          <w:b/>
          <w:kern w:val="0"/>
        </w:rPr>
        <w:t>2</w:t>
      </w:r>
    </w:p>
    <w:p w14:paraId="10298633" w14:textId="77777777" w:rsidR="00F5289E" w:rsidRDefault="00C91173">
      <w:pPr>
        <w:widowControl/>
        <w:snapToGrid w:val="0"/>
        <w:spacing w:line="360" w:lineRule="auto"/>
        <w:jc w:val="left"/>
        <w:textAlignment w:val="baseline"/>
        <w:rPr>
          <w:rFonts w:hAnsi="宋体"/>
          <w:b/>
          <w:kern w:val="0"/>
        </w:rPr>
      </w:pPr>
      <w:r>
        <w:rPr>
          <w:rFonts w:ascii="宋体" w:hAnsi="宋体" w:hint="eastAsia"/>
          <w:b/>
        </w:rPr>
        <w:t>教学目</w:t>
      </w:r>
      <w:r>
        <w:rPr>
          <w:rFonts w:ascii="宋体" w:hAnsi="宋体" w:hint="eastAsia"/>
          <w:b/>
          <w:bCs/>
        </w:rPr>
        <w:t>标</w:t>
      </w:r>
      <w:r>
        <w:rPr>
          <w:rFonts w:ascii="宋体" w:hAnsi="宋体" w:hint="eastAsia"/>
          <w:b/>
        </w:rPr>
        <w:t>：</w:t>
      </w:r>
      <w:r>
        <w:rPr>
          <w:rFonts w:hAnsi="宋体" w:hint="eastAsia"/>
          <w:kern w:val="0"/>
        </w:rPr>
        <w:t>了解自身因素、采前因素、贮藏环境条件对果蔬贮藏效果影响，认识到果品蔬菜贮藏保鲜是一项系统工程。</w:t>
      </w:r>
    </w:p>
    <w:p w14:paraId="240E0F72" w14:textId="77777777" w:rsidR="00F5289E" w:rsidRDefault="00C91173">
      <w:pPr>
        <w:widowControl/>
        <w:snapToGrid w:val="0"/>
        <w:spacing w:line="360" w:lineRule="auto"/>
        <w:jc w:val="left"/>
        <w:textAlignment w:val="baseline"/>
        <w:rPr>
          <w:kern w:val="0"/>
        </w:rPr>
      </w:pPr>
      <w:r>
        <w:rPr>
          <w:rFonts w:ascii="宋体" w:hAnsi="宋体" w:hint="eastAsia"/>
          <w:b/>
        </w:rPr>
        <w:t>教学重点和难点：</w:t>
      </w:r>
      <w:r>
        <w:rPr>
          <w:rFonts w:ascii="宋体" w:hAnsi="宋体" w:hint="eastAsia"/>
          <w:kern w:val="0"/>
        </w:rPr>
        <w:t>采前因素、贮藏环境条件共同影响果品蔬菜贮运效果。难点：认识适宜的生态条件、良好的栽培管理和适宜的贮运条件是生产优质产品和获得良好保鲜效果的重要基础和保证。</w:t>
      </w:r>
    </w:p>
    <w:p w14:paraId="4A7355BD" w14:textId="77777777" w:rsidR="00F5289E" w:rsidRDefault="00C91173">
      <w:pPr>
        <w:widowControl/>
        <w:snapToGrid w:val="0"/>
        <w:spacing w:line="360" w:lineRule="auto"/>
        <w:jc w:val="left"/>
        <w:textAlignment w:val="baseline"/>
        <w:rPr>
          <w:rFonts w:ascii="宋体" w:hAnsi="宋体"/>
          <w:b/>
        </w:rPr>
      </w:pPr>
      <w:r>
        <w:rPr>
          <w:rFonts w:ascii="宋体" w:hAnsi="宋体" w:hint="eastAsia"/>
          <w:b/>
        </w:rPr>
        <w:t>主要教学内容及要求：</w:t>
      </w:r>
    </w:p>
    <w:p w14:paraId="45AD1EE2"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（1）自身因素</w:t>
      </w:r>
    </w:p>
    <w:p w14:paraId="1D869B2C"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（2）采前因素</w:t>
      </w:r>
    </w:p>
    <w:p w14:paraId="4FFB9D02"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（3）贮藏因素</w:t>
      </w:r>
    </w:p>
    <w:p w14:paraId="02C32E25"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了解：影响贮藏效果的采前、采后因素。</w:t>
      </w:r>
    </w:p>
    <w:p w14:paraId="14CE01CF"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理解：不同种类、品种果品、蔬菜耐贮藏性的差异原因。</w:t>
      </w:r>
    </w:p>
    <w:p w14:paraId="3E2816CD"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掌握：内在因素、生态条件、农业技术对果蔬耐贮藏性的影响。</w:t>
      </w:r>
    </w:p>
    <w:p w14:paraId="22FF9496"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熟练掌握：影响采后果蔬产品质量的贮藏因素。</w:t>
      </w:r>
    </w:p>
    <w:p w14:paraId="41F3F75D" w14:textId="77777777" w:rsidR="00F5289E" w:rsidRDefault="00C91173">
      <w:pPr>
        <w:widowControl/>
        <w:snapToGrid w:val="0"/>
        <w:spacing w:line="360" w:lineRule="auto"/>
        <w:rPr>
          <w:rFonts w:ascii="宋体" w:hAnsi="宋体"/>
          <w:color w:val="0000FF"/>
          <w:szCs w:val="20"/>
        </w:rPr>
      </w:pPr>
      <w:r>
        <w:rPr>
          <w:rFonts w:ascii="宋体" w:hAnsi="宋体" w:hint="eastAsia"/>
          <w:b/>
          <w:bCs/>
        </w:rPr>
        <w:t>教学组织与实施：</w:t>
      </w:r>
    </w:p>
    <w:p w14:paraId="47657F74"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lastRenderedPageBreak/>
        <w:t>以课堂授课的形式，讲述影响</w:t>
      </w:r>
      <w:r>
        <w:rPr>
          <w:rFonts w:hAnsi="宋体" w:hint="eastAsia"/>
          <w:kern w:val="0"/>
        </w:rPr>
        <w:t>园艺产品贮藏性的自身因素、采前因素、贮藏环境条件等，</w:t>
      </w:r>
      <w:r>
        <w:rPr>
          <w:rFonts w:eastAsiaTheme="minorEastAsia" w:hint="eastAsia"/>
          <w:kern w:val="0"/>
          <w:szCs w:val="21"/>
        </w:rPr>
        <w:t>授课过程中加入大量</w:t>
      </w:r>
      <w:r>
        <w:rPr>
          <w:rFonts w:hAnsi="宋体" w:hint="eastAsia"/>
          <w:kern w:val="0"/>
        </w:rPr>
        <w:t>园艺产品贮藏性受影响后的图片和视频</w:t>
      </w:r>
      <w:r>
        <w:rPr>
          <w:rFonts w:eastAsiaTheme="minorEastAsia" w:hint="eastAsia"/>
          <w:kern w:val="0"/>
          <w:szCs w:val="21"/>
        </w:rPr>
        <w:t>，提供一些生理性病害网络资源，让学生掌握</w:t>
      </w:r>
      <w:r>
        <w:rPr>
          <w:rFonts w:ascii="宋体" w:hAnsi="宋体" w:hint="eastAsia"/>
          <w:kern w:val="0"/>
        </w:rPr>
        <w:t>影响采后果蔬产品质量的贮藏因素</w:t>
      </w:r>
      <w:r>
        <w:rPr>
          <w:rFonts w:eastAsiaTheme="minorEastAsia" w:hint="eastAsia"/>
          <w:kern w:val="0"/>
          <w:szCs w:val="21"/>
        </w:rPr>
        <w:t>（</w:t>
      </w:r>
      <w:r>
        <w:rPr>
          <w:rFonts w:eastAsiaTheme="minorEastAsia" w:hint="eastAsia"/>
          <w:kern w:val="0"/>
          <w:szCs w:val="21"/>
        </w:rPr>
        <w:t>2</w:t>
      </w:r>
      <w:r>
        <w:rPr>
          <w:rFonts w:eastAsiaTheme="minorEastAsia" w:hint="eastAsia"/>
          <w:kern w:val="0"/>
          <w:szCs w:val="21"/>
        </w:rPr>
        <w:t>学时）。</w:t>
      </w:r>
    </w:p>
    <w:p w14:paraId="1BD768B9" w14:textId="77777777" w:rsidR="00F5289E" w:rsidRDefault="00C91173">
      <w:pPr>
        <w:widowControl/>
        <w:wordWrap w:val="0"/>
        <w:snapToGrid w:val="0"/>
        <w:spacing w:beforeLines="50" w:before="156" w:afterLines="50" w:after="156" w:line="360" w:lineRule="auto"/>
        <w:jc w:val="right"/>
        <w:outlineLvl w:val="3"/>
        <w:rPr>
          <w:rFonts w:ascii="宋体" w:hAnsi="宋体"/>
          <w:b/>
          <w:kern w:val="0"/>
          <w:sz w:val="24"/>
        </w:rPr>
      </w:pPr>
      <w:r>
        <w:rPr>
          <w:rFonts w:hAnsi="宋体"/>
          <w:b/>
          <w:kern w:val="0"/>
        </w:rPr>
        <w:t>第四章</w:t>
      </w:r>
      <w:r>
        <w:rPr>
          <w:rFonts w:hAnsi="宋体"/>
          <w:b/>
          <w:kern w:val="0"/>
        </w:rPr>
        <w:t xml:space="preserve">  </w:t>
      </w:r>
      <w:r>
        <w:rPr>
          <w:rFonts w:hAnsi="宋体" w:hint="eastAsia"/>
          <w:b/>
          <w:kern w:val="0"/>
        </w:rPr>
        <w:t>果品</w:t>
      </w:r>
      <w:r>
        <w:rPr>
          <w:rFonts w:hAnsi="宋体"/>
          <w:b/>
          <w:kern w:val="0"/>
        </w:rPr>
        <w:t>蔬菜的</w:t>
      </w:r>
      <w:r>
        <w:rPr>
          <w:rFonts w:hAnsi="宋体" w:hint="eastAsia"/>
          <w:b/>
          <w:kern w:val="0"/>
        </w:rPr>
        <w:t>采收和采后处理</w:t>
      </w:r>
      <w:r>
        <w:rPr>
          <w:rFonts w:ascii="黑体" w:eastAsia="黑体" w:hAnsi="宋体" w:hint="eastAsia"/>
          <w:b/>
          <w:kern w:val="0"/>
          <w:sz w:val="24"/>
        </w:rPr>
        <w:t xml:space="preserve">               </w:t>
      </w:r>
      <w:r>
        <w:rPr>
          <w:rFonts w:hAnsi="宋体"/>
          <w:b/>
          <w:kern w:val="0"/>
        </w:rPr>
        <w:t>学时</w:t>
      </w:r>
      <w:r>
        <w:rPr>
          <w:rFonts w:hAnsi="宋体" w:hint="eastAsia"/>
          <w:b/>
          <w:kern w:val="0"/>
        </w:rPr>
        <w:t>数：</w:t>
      </w:r>
      <w:r>
        <w:rPr>
          <w:rFonts w:hAnsi="宋体" w:hint="eastAsia"/>
          <w:b/>
          <w:kern w:val="0"/>
        </w:rPr>
        <w:t>4</w:t>
      </w:r>
    </w:p>
    <w:p w14:paraId="31D9440B" w14:textId="77777777" w:rsidR="00F5289E" w:rsidRDefault="00C91173">
      <w:pPr>
        <w:widowControl/>
        <w:snapToGrid w:val="0"/>
        <w:spacing w:line="360" w:lineRule="auto"/>
        <w:textAlignment w:val="baseline"/>
        <w:rPr>
          <w:rFonts w:ascii="宋体" w:hAnsi="宋体"/>
          <w:kern w:val="0"/>
        </w:rPr>
      </w:pPr>
      <w:r>
        <w:rPr>
          <w:rFonts w:ascii="宋体" w:hAnsi="宋体" w:hint="eastAsia"/>
          <w:b/>
        </w:rPr>
        <w:t>教学目</w:t>
      </w:r>
      <w:r>
        <w:rPr>
          <w:rFonts w:ascii="宋体" w:hAnsi="宋体" w:hint="eastAsia"/>
          <w:b/>
          <w:bCs/>
        </w:rPr>
        <w:t>标</w:t>
      </w:r>
      <w:r>
        <w:rPr>
          <w:rFonts w:ascii="宋体" w:hAnsi="宋体" w:hint="eastAsia"/>
          <w:b/>
        </w:rPr>
        <w:t>：</w:t>
      </w:r>
      <w:r>
        <w:rPr>
          <w:rFonts w:ascii="宋体" w:hAnsi="宋体" w:hint="eastAsia"/>
          <w:kern w:val="0"/>
        </w:rPr>
        <w:t>了解影响果品蔬菜采收因素和采后进行分级、清洗、包装、催熟、预冷处理的作用及技术要求，认识到果蔬的贮藏性、商品质量与采收和采后处理的密切关系。</w:t>
      </w:r>
    </w:p>
    <w:p w14:paraId="771434BB" w14:textId="77777777" w:rsidR="00F5289E" w:rsidRDefault="00C91173">
      <w:pPr>
        <w:widowControl/>
        <w:snapToGrid w:val="0"/>
        <w:spacing w:line="360" w:lineRule="auto"/>
        <w:textAlignment w:val="baseline"/>
        <w:rPr>
          <w:rFonts w:ascii="宋体" w:hAnsi="宋体"/>
          <w:kern w:val="0"/>
        </w:rPr>
      </w:pPr>
      <w:r>
        <w:rPr>
          <w:rFonts w:ascii="宋体" w:hAnsi="宋体" w:hint="eastAsia"/>
          <w:b/>
        </w:rPr>
        <w:t>教学重点和难点：</w:t>
      </w:r>
      <w:r>
        <w:rPr>
          <w:rFonts w:ascii="宋体" w:hAnsi="宋体" w:hint="eastAsia"/>
          <w:kern w:val="0"/>
        </w:rPr>
        <w:t>确定果蔬成熟度的方法、采后处理各程序作用及分级、包装的关键操作技术。难点：果蔬预冷方式、配套设备及其应用管理技术。</w:t>
      </w:r>
    </w:p>
    <w:p w14:paraId="5D37E8DC" w14:textId="77777777" w:rsidR="00F5289E" w:rsidRDefault="00C91173">
      <w:pPr>
        <w:widowControl/>
        <w:snapToGrid w:val="0"/>
        <w:spacing w:line="360" w:lineRule="auto"/>
        <w:textAlignment w:val="baseline"/>
        <w:rPr>
          <w:rFonts w:ascii="宋体" w:hAnsi="宋体"/>
          <w:b/>
        </w:rPr>
      </w:pPr>
      <w:r>
        <w:rPr>
          <w:rFonts w:ascii="宋体" w:hAnsi="宋体" w:hint="eastAsia"/>
          <w:b/>
        </w:rPr>
        <w:t>主要教学内容及要求：</w:t>
      </w:r>
    </w:p>
    <w:p w14:paraId="44ED34BC"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了解：果蔬采收基本原则、采收方法及注意事项。果蔬</w:t>
      </w:r>
      <w:r>
        <w:rPr>
          <w:rFonts w:ascii="宋体" w:hAnsi="宋体" w:hint="eastAsia"/>
          <w:color w:val="000000"/>
          <w:kern w:val="0"/>
        </w:rPr>
        <w:t>商品化处理各程序（分级、晾晒与愈伤、清洗、防腐、催熟与脱涩、预冷、包装）的作用。</w:t>
      </w:r>
    </w:p>
    <w:p w14:paraId="5B0CF0F4" w14:textId="77777777" w:rsidR="00F5289E" w:rsidRDefault="00C91173">
      <w:pPr>
        <w:widowControl/>
        <w:snapToGrid w:val="0"/>
        <w:spacing w:line="360" w:lineRule="auto"/>
        <w:ind w:firstLineChars="200" w:firstLine="420"/>
        <w:textAlignment w:val="baseline"/>
        <w:rPr>
          <w:rFonts w:ascii="宋体" w:hAnsi="宋体"/>
          <w:color w:val="000000"/>
          <w:kern w:val="0"/>
        </w:rPr>
      </w:pPr>
      <w:r>
        <w:rPr>
          <w:rFonts w:ascii="宋体" w:hAnsi="宋体" w:hint="eastAsia"/>
          <w:kern w:val="0"/>
        </w:rPr>
        <w:t>理解：确定</w:t>
      </w:r>
      <w:r>
        <w:rPr>
          <w:rFonts w:ascii="宋体" w:hAnsi="宋体" w:hint="eastAsia"/>
          <w:color w:val="000000"/>
          <w:kern w:val="0"/>
        </w:rPr>
        <w:t>果蔬</w:t>
      </w:r>
      <w:r>
        <w:rPr>
          <w:rFonts w:ascii="宋体" w:hAnsi="宋体" w:hint="eastAsia"/>
          <w:kern w:val="0"/>
        </w:rPr>
        <w:t>采收期考虑因素与收获后果蔬的商品质量关系。</w:t>
      </w:r>
      <w:r>
        <w:rPr>
          <w:rFonts w:ascii="宋体" w:hAnsi="宋体" w:hint="eastAsia"/>
          <w:color w:val="000000"/>
          <w:kern w:val="0"/>
        </w:rPr>
        <w:t>不同包装设计类型、方法与商品质量变化的关系。</w:t>
      </w:r>
    </w:p>
    <w:p w14:paraId="1A84A69F" w14:textId="77777777" w:rsidR="00F5289E" w:rsidRDefault="00C91173">
      <w:pPr>
        <w:widowControl/>
        <w:snapToGrid w:val="0"/>
        <w:spacing w:line="360" w:lineRule="auto"/>
        <w:ind w:firstLineChars="200" w:firstLine="420"/>
        <w:textAlignment w:val="baseline"/>
        <w:rPr>
          <w:rFonts w:ascii="宋体" w:hAnsi="宋体"/>
          <w:color w:val="000000"/>
          <w:kern w:val="0"/>
        </w:rPr>
      </w:pPr>
      <w:r>
        <w:rPr>
          <w:rFonts w:ascii="宋体" w:hAnsi="宋体" w:hint="eastAsia"/>
          <w:color w:val="000000"/>
          <w:kern w:val="0"/>
        </w:rPr>
        <w:t>掌握：</w:t>
      </w:r>
      <w:r>
        <w:rPr>
          <w:rFonts w:ascii="宋体" w:hAnsi="宋体" w:hint="eastAsia"/>
          <w:kern w:val="0"/>
        </w:rPr>
        <w:t>判断果蔬</w:t>
      </w:r>
      <w:r>
        <w:rPr>
          <w:rFonts w:ascii="宋体" w:hAnsi="宋体" w:hint="eastAsia"/>
          <w:color w:val="000000"/>
          <w:kern w:val="0"/>
        </w:rPr>
        <w:t>成熟度的标准、方法。商品化处理（分级、清洗、防腐、催熟、包装）各程序操作的关键技术。</w:t>
      </w:r>
    </w:p>
    <w:p w14:paraId="6DF8DD67" w14:textId="77777777" w:rsidR="00F5289E" w:rsidRDefault="00C91173">
      <w:pPr>
        <w:widowControl/>
        <w:snapToGrid w:val="0"/>
        <w:spacing w:line="360" w:lineRule="auto"/>
        <w:ind w:firstLineChars="200" w:firstLine="420"/>
        <w:textAlignment w:val="baseline"/>
        <w:rPr>
          <w:rFonts w:ascii="宋体" w:hAnsi="宋体"/>
          <w:color w:val="000000"/>
          <w:kern w:val="0"/>
        </w:rPr>
      </w:pPr>
      <w:r>
        <w:rPr>
          <w:rFonts w:ascii="宋体" w:hAnsi="宋体" w:hint="eastAsia"/>
          <w:color w:val="000000"/>
          <w:kern w:val="0"/>
        </w:rPr>
        <w:t>熟练掌握：不同预冷方式、配套设备特点及其操作关键技术。</w:t>
      </w:r>
    </w:p>
    <w:p w14:paraId="7F52A8BB" w14:textId="77777777" w:rsidR="00F5289E" w:rsidRDefault="00C91173">
      <w:pPr>
        <w:widowControl/>
        <w:snapToGrid w:val="0"/>
        <w:spacing w:line="360" w:lineRule="auto"/>
        <w:rPr>
          <w:rFonts w:ascii="宋体" w:hAnsi="宋体"/>
          <w:color w:val="0000FF"/>
          <w:szCs w:val="20"/>
        </w:rPr>
      </w:pPr>
      <w:r>
        <w:rPr>
          <w:rFonts w:ascii="宋体" w:hAnsi="宋体" w:hint="eastAsia"/>
          <w:b/>
          <w:bCs/>
        </w:rPr>
        <w:t>教学组织与实施：</w:t>
      </w:r>
    </w:p>
    <w:p w14:paraId="212018EE" w14:textId="77777777" w:rsidR="00F5289E" w:rsidRDefault="00C91173">
      <w:pPr>
        <w:widowControl/>
        <w:snapToGrid w:val="0"/>
        <w:spacing w:line="360" w:lineRule="auto"/>
        <w:ind w:firstLineChars="200" w:firstLine="420"/>
        <w:rPr>
          <w:rFonts w:eastAsiaTheme="minorEastAsia"/>
          <w:kern w:val="0"/>
          <w:szCs w:val="21"/>
        </w:rPr>
      </w:pPr>
      <w:r>
        <w:rPr>
          <w:rFonts w:eastAsiaTheme="minorEastAsia" w:hint="eastAsia"/>
          <w:kern w:val="0"/>
          <w:szCs w:val="21"/>
        </w:rPr>
        <w:t>以班级授课的形式，讲述影响</w:t>
      </w:r>
      <w:r>
        <w:rPr>
          <w:rFonts w:hAnsi="宋体" w:hint="eastAsia"/>
          <w:kern w:val="0"/>
        </w:rPr>
        <w:t>园艺产品采收原则和采收方法；同时利用视频展示园艺产品国际先进的机械化采收方法，深入、直观的让学生了解目前国际上园艺产品采收的现状，并掌握一些基本的采收原则与采收方法等</w:t>
      </w:r>
      <w:r>
        <w:rPr>
          <w:rFonts w:eastAsiaTheme="minorEastAsia" w:hint="eastAsia"/>
          <w:kern w:val="0"/>
          <w:szCs w:val="21"/>
        </w:rPr>
        <w:t>（</w:t>
      </w:r>
      <w:r>
        <w:rPr>
          <w:rFonts w:eastAsiaTheme="minorEastAsia" w:hint="eastAsia"/>
          <w:kern w:val="0"/>
          <w:szCs w:val="21"/>
        </w:rPr>
        <w:t>2</w:t>
      </w:r>
      <w:r>
        <w:rPr>
          <w:rFonts w:eastAsiaTheme="minorEastAsia" w:hint="eastAsia"/>
          <w:kern w:val="0"/>
          <w:szCs w:val="21"/>
        </w:rPr>
        <w:t>学时）。</w:t>
      </w:r>
    </w:p>
    <w:p w14:paraId="676913D6" w14:textId="77777777" w:rsidR="00F5289E" w:rsidRDefault="00C91173">
      <w:pPr>
        <w:widowControl/>
        <w:snapToGrid w:val="0"/>
        <w:spacing w:line="360" w:lineRule="auto"/>
        <w:ind w:firstLineChars="200" w:firstLine="420"/>
        <w:rPr>
          <w:rFonts w:hAnsi="宋体"/>
          <w:kern w:val="0"/>
        </w:rPr>
      </w:pPr>
      <w:r>
        <w:rPr>
          <w:rFonts w:eastAsiaTheme="minorEastAsia" w:hint="eastAsia"/>
          <w:kern w:val="0"/>
          <w:szCs w:val="21"/>
        </w:rPr>
        <w:t>以课堂授课的形式，讲述影响</w:t>
      </w:r>
      <w:r>
        <w:rPr>
          <w:rFonts w:hAnsi="宋体" w:hint="eastAsia"/>
          <w:kern w:val="0"/>
        </w:rPr>
        <w:t>园艺产品采后商品化处理程序；同时利用视频展示园艺产品采后商品化处理流水线（分级、药剂处理、包装、预冷与催熟），直观的让学生了解并掌握目前园艺产品采后商品化处理流程</w:t>
      </w:r>
      <w:r>
        <w:rPr>
          <w:rFonts w:eastAsiaTheme="minorEastAsia" w:hint="eastAsia"/>
          <w:kern w:val="0"/>
          <w:szCs w:val="21"/>
        </w:rPr>
        <w:t>（</w:t>
      </w:r>
      <w:r>
        <w:rPr>
          <w:rFonts w:eastAsiaTheme="minorEastAsia" w:hint="eastAsia"/>
          <w:kern w:val="0"/>
          <w:szCs w:val="21"/>
        </w:rPr>
        <w:t>2</w:t>
      </w:r>
      <w:r>
        <w:rPr>
          <w:rFonts w:eastAsiaTheme="minorEastAsia" w:hint="eastAsia"/>
          <w:kern w:val="0"/>
          <w:szCs w:val="21"/>
        </w:rPr>
        <w:t>学时）。</w:t>
      </w:r>
    </w:p>
    <w:p w14:paraId="452AED7B" w14:textId="77777777" w:rsidR="00F5289E" w:rsidRDefault="00C91173">
      <w:pPr>
        <w:widowControl/>
        <w:snapToGrid w:val="0"/>
        <w:spacing w:beforeLines="50" w:before="156" w:afterLines="50" w:after="156" w:line="360" w:lineRule="auto"/>
        <w:jc w:val="right"/>
        <w:outlineLvl w:val="3"/>
        <w:rPr>
          <w:rFonts w:hAnsi="宋体"/>
          <w:b/>
          <w:kern w:val="0"/>
        </w:rPr>
      </w:pPr>
      <w:r>
        <w:rPr>
          <w:rFonts w:hAnsi="宋体" w:hint="eastAsia"/>
          <w:b/>
          <w:kern w:val="0"/>
        </w:rPr>
        <w:t>第五章</w:t>
      </w:r>
      <w:r>
        <w:rPr>
          <w:rFonts w:hAnsi="宋体" w:hint="eastAsia"/>
          <w:b/>
          <w:kern w:val="0"/>
        </w:rPr>
        <w:t xml:space="preserve">  </w:t>
      </w:r>
      <w:r>
        <w:rPr>
          <w:rFonts w:hAnsi="宋体" w:hint="eastAsia"/>
          <w:b/>
          <w:kern w:val="0"/>
        </w:rPr>
        <w:t>果品蔬菜的物流</w:t>
      </w:r>
      <w:r>
        <w:rPr>
          <w:rFonts w:hAnsi="宋体" w:hint="eastAsia"/>
          <w:b/>
          <w:kern w:val="0"/>
        </w:rPr>
        <w:t xml:space="preserve">                          </w:t>
      </w:r>
      <w:r>
        <w:rPr>
          <w:rFonts w:hAnsi="宋体"/>
          <w:b/>
          <w:kern w:val="0"/>
        </w:rPr>
        <w:t>学时</w:t>
      </w:r>
      <w:r>
        <w:rPr>
          <w:rFonts w:hAnsi="宋体" w:hint="eastAsia"/>
          <w:b/>
          <w:kern w:val="0"/>
        </w:rPr>
        <w:t>数：</w:t>
      </w:r>
      <w:r>
        <w:rPr>
          <w:rFonts w:hAnsi="宋体" w:hint="eastAsia"/>
          <w:b/>
          <w:color w:val="000000" w:themeColor="text1"/>
          <w:kern w:val="0"/>
        </w:rPr>
        <w:t>1</w:t>
      </w:r>
    </w:p>
    <w:p w14:paraId="1AE56160" w14:textId="77777777" w:rsidR="00F5289E" w:rsidRDefault="00C91173">
      <w:pPr>
        <w:widowControl/>
        <w:snapToGrid w:val="0"/>
        <w:spacing w:line="360" w:lineRule="auto"/>
        <w:jc w:val="left"/>
        <w:outlineLvl w:val="3"/>
        <w:rPr>
          <w:rFonts w:ascii="宋体" w:hAnsi="宋体"/>
          <w:b/>
        </w:rPr>
      </w:pPr>
      <w:r>
        <w:rPr>
          <w:rFonts w:ascii="宋体" w:hAnsi="宋体" w:hint="eastAsia"/>
          <w:b/>
        </w:rPr>
        <w:t>教学目</w:t>
      </w:r>
      <w:r>
        <w:rPr>
          <w:rFonts w:ascii="宋体" w:hAnsi="宋体" w:hint="eastAsia"/>
          <w:b/>
          <w:bCs/>
        </w:rPr>
        <w:t>标</w:t>
      </w:r>
      <w:r>
        <w:rPr>
          <w:rFonts w:ascii="宋体" w:hAnsi="宋体" w:hint="eastAsia"/>
          <w:b/>
        </w:rPr>
        <w:t>：</w:t>
      </w:r>
      <w:r>
        <w:rPr>
          <w:rFonts w:ascii="宋体" w:hAnsi="宋体" w:hint="eastAsia"/>
          <w:kern w:val="0"/>
        </w:rPr>
        <w:t>了解物流的概念</w:t>
      </w:r>
      <w:r>
        <w:rPr>
          <w:rFonts w:ascii="宋体" w:hAnsi="宋体" w:hint="eastAsia"/>
          <w:color w:val="000000"/>
          <w:kern w:val="0"/>
        </w:rPr>
        <w:t>及国内外物流发展概况，使学生掌握果蔬产品运输的基本要求及运输环境因素对产品质量影响，明确实现我国果蔬产品冷链流通贮运</w:t>
      </w:r>
      <w:r>
        <w:rPr>
          <w:rFonts w:ascii="宋体" w:hAnsi="宋体" w:hint="eastAsia"/>
          <w:kern w:val="0"/>
        </w:rPr>
        <w:t>发展的方向。</w:t>
      </w:r>
    </w:p>
    <w:p w14:paraId="6CD5639C" w14:textId="77777777" w:rsidR="00F5289E" w:rsidRDefault="00C91173">
      <w:pPr>
        <w:widowControl/>
        <w:snapToGrid w:val="0"/>
        <w:spacing w:line="360" w:lineRule="auto"/>
        <w:textAlignment w:val="baseline"/>
        <w:rPr>
          <w:rFonts w:ascii="宋体" w:hAnsi="宋体"/>
          <w:kern w:val="0"/>
        </w:rPr>
      </w:pPr>
      <w:r>
        <w:rPr>
          <w:rFonts w:ascii="宋体" w:hAnsi="宋体" w:hint="eastAsia"/>
          <w:b/>
        </w:rPr>
        <w:t>教学重点和难点：</w:t>
      </w:r>
      <w:r>
        <w:rPr>
          <w:rFonts w:ascii="宋体" w:hAnsi="宋体" w:hint="eastAsia"/>
          <w:kern w:val="0"/>
        </w:rPr>
        <w:t>物流定义；果蔬的冷链流通体系组成及实现冷链的条件；运输环境条件对果蔬生理变化及产品质量的影响规律；难点：实现果蔬冷链流通体系的关键环节衔接与相关技术管理。</w:t>
      </w:r>
    </w:p>
    <w:p w14:paraId="515B394D" w14:textId="77777777" w:rsidR="00F5289E" w:rsidRDefault="00C91173">
      <w:pPr>
        <w:widowControl/>
        <w:adjustRightInd w:val="0"/>
        <w:snapToGrid w:val="0"/>
        <w:spacing w:line="360" w:lineRule="auto"/>
        <w:rPr>
          <w:rFonts w:ascii="宋体" w:hAnsi="宋体"/>
          <w:b/>
        </w:rPr>
      </w:pPr>
      <w:r>
        <w:rPr>
          <w:rFonts w:ascii="宋体" w:hAnsi="宋体" w:hint="eastAsia"/>
          <w:b/>
        </w:rPr>
        <w:t>主要教学内容及要求：</w:t>
      </w:r>
    </w:p>
    <w:p w14:paraId="33B232E3"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kern w:val="0"/>
        </w:rPr>
        <w:t>（1）物流的发展与构成因素</w:t>
      </w:r>
    </w:p>
    <w:p w14:paraId="5657083A"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kern w:val="0"/>
        </w:rPr>
        <w:t>（2）果品蔬菜的运输</w:t>
      </w:r>
    </w:p>
    <w:p w14:paraId="63E38A23"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kern w:val="0"/>
        </w:rPr>
        <w:t>（3）果品蔬菜的物流系统及冷链流通</w:t>
      </w:r>
    </w:p>
    <w:p w14:paraId="2B373E3A"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kern w:val="0"/>
        </w:rPr>
        <w:lastRenderedPageBreak/>
        <w:t>了解：物流概念、构成要素及国内外物流发展的概况；园艺产品运输的基本要求。</w:t>
      </w:r>
    </w:p>
    <w:p w14:paraId="015B04ED"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color w:val="000000"/>
          <w:kern w:val="0"/>
        </w:rPr>
        <w:t>理解：实现冷链的3P、3T、3C及3Q原则与果蔬产品质量的关系。运输环境条件（车辆振动、运输温度、湿度）对</w:t>
      </w:r>
      <w:r>
        <w:rPr>
          <w:rFonts w:ascii="宋体" w:hAnsi="宋体" w:hint="eastAsia"/>
          <w:kern w:val="0"/>
        </w:rPr>
        <w:t>产品生理代谢及</w:t>
      </w:r>
      <w:r>
        <w:rPr>
          <w:rFonts w:ascii="宋体" w:hAnsi="宋体" w:hint="eastAsia"/>
          <w:color w:val="000000"/>
          <w:kern w:val="0"/>
        </w:rPr>
        <w:t>商品质量的影响；果蔬采后生理变化与冷链流通优越性的关系。</w:t>
      </w:r>
    </w:p>
    <w:p w14:paraId="1BD8A103" w14:textId="77777777" w:rsidR="00F5289E" w:rsidRDefault="00C91173">
      <w:pPr>
        <w:widowControl/>
        <w:adjustRightInd w:val="0"/>
        <w:snapToGrid w:val="0"/>
        <w:spacing w:line="360" w:lineRule="auto"/>
        <w:ind w:firstLineChars="200" w:firstLine="420"/>
        <w:rPr>
          <w:rFonts w:ascii="宋体" w:hAnsi="宋体"/>
          <w:kern w:val="0"/>
        </w:rPr>
      </w:pPr>
      <w:r>
        <w:rPr>
          <w:rFonts w:ascii="宋体" w:hAnsi="宋体" w:hint="eastAsia"/>
          <w:kern w:val="0"/>
        </w:rPr>
        <w:t>掌握：冷链的概念；实现冷链的条件；不同运输方式、运输工具特点及其相关管理技术。果蔬产品在</w:t>
      </w:r>
      <w:r>
        <w:rPr>
          <w:rFonts w:ascii="宋体" w:hAnsi="宋体" w:hint="eastAsia"/>
          <w:color w:val="000000"/>
          <w:kern w:val="0"/>
        </w:rPr>
        <w:t>运输中应注意事项。</w:t>
      </w:r>
    </w:p>
    <w:p w14:paraId="60A5AA4F" w14:textId="77777777" w:rsidR="00F5289E" w:rsidRDefault="00C91173">
      <w:pPr>
        <w:widowControl/>
        <w:adjustRightInd w:val="0"/>
        <w:snapToGrid w:val="0"/>
        <w:spacing w:line="360" w:lineRule="auto"/>
        <w:ind w:firstLineChars="200" w:firstLine="420"/>
        <w:rPr>
          <w:rFonts w:hAnsi="宋体"/>
          <w:b/>
          <w:bCs/>
          <w:kern w:val="0"/>
        </w:rPr>
      </w:pPr>
      <w:r>
        <w:rPr>
          <w:rFonts w:ascii="宋体" w:hAnsi="宋体" w:hint="eastAsia"/>
          <w:kern w:val="0"/>
        </w:rPr>
        <w:t>熟练掌握：果蔬物流冷链系统组成及其环节衔接管理的关键技术。</w:t>
      </w:r>
      <w:r>
        <w:rPr>
          <w:rFonts w:hAnsi="宋体" w:hint="eastAsia"/>
          <w:b/>
          <w:bCs/>
          <w:kern w:val="0"/>
        </w:rPr>
        <w:t xml:space="preserve"> </w:t>
      </w:r>
    </w:p>
    <w:p w14:paraId="4E838336" w14:textId="77777777" w:rsidR="00F5289E" w:rsidRDefault="00C91173">
      <w:pPr>
        <w:widowControl/>
        <w:snapToGrid w:val="0"/>
        <w:spacing w:line="360" w:lineRule="auto"/>
        <w:rPr>
          <w:rFonts w:ascii="宋体" w:hAnsi="宋体"/>
          <w:color w:val="0000FF"/>
          <w:szCs w:val="20"/>
        </w:rPr>
      </w:pPr>
      <w:r>
        <w:rPr>
          <w:rFonts w:ascii="宋体" w:hAnsi="宋体" w:hint="eastAsia"/>
          <w:b/>
          <w:bCs/>
        </w:rPr>
        <w:t>教学组织与实施：</w:t>
      </w:r>
    </w:p>
    <w:p w14:paraId="264D7CFE" w14:textId="77777777" w:rsidR="00F5289E" w:rsidRDefault="00C91173">
      <w:pPr>
        <w:widowControl/>
        <w:snapToGrid w:val="0"/>
        <w:spacing w:line="360" w:lineRule="auto"/>
        <w:ind w:firstLineChars="200" w:firstLine="420"/>
        <w:rPr>
          <w:rFonts w:hAnsi="宋体"/>
          <w:kern w:val="0"/>
        </w:rPr>
      </w:pPr>
      <w:r>
        <w:rPr>
          <w:rFonts w:eastAsiaTheme="minorEastAsia" w:hint="eastAsia"/>
          <w:kern w:val="0"/>
          <w:szCs w:val="21"/>
        </w:rPr>
        <w:t>以课堂授课的形式，讲述</w:t>
      </w:r>
      <w:r>
        <w:rPr>
          <w:rFonts w:ascii="宋体" w:hAnsi="宋体" w:hint="eastAsia"/>
          <w:kern w:val="0"/>
        </w:rPr>
        <w:t>果蔬的冷链流通体系、实现冷链的条件及运输方式等</w:t>
      </w:r>
      <w:r>
        <w:rPr>
          <w:rFonts w:hAnsi="宋体" w:hint="eastAsia"/>
          <w:kern w:val="0"/>
        </w:rPr>
        <w:t>，课程内容中加入大量的相关图片和视频，让学生掌握果蔬物流系统及冷链流通体系</w:t>
      </w:r>
      <w:r>
        <w:rPr>
          <w:rFonts w:eastAsiaTheme="minorEastAsia" w:hint="eastAsia"/>
          <w:kern w:val="0"/>
          <w:szCs w:val="21"/>
        </w:rPr>
        <w:t>（</w:t>
      </w:r>
      <w:r>
        <w:rPr>
          <w:rFonts w:eastAsiaTheme="minorEastAsia" w:hint="eastAsia"/>
          <w:kern w:val="0"/>
          <w:szCs w:val="21"/>
        </w:rPr>
        <w:t>1</w:t>
      </w:r>
      <w:r>
        <w:rPr>
          <w:rFonts w:eastAsiaTheme="minorEastAsia" w:hint="eastAsia"/>
          <w:kern w:val="0"/>
          <w:szCs w:val="21"/>
        </w:rPr>
        <w:t>学时）。</w:t>
      </w:r>
    </w:p>
    <w:p w14:paraId="05C0F5F7" w14:textId="77777777" w:rsidR="00F5289E" w:rsidRDefault="00C91173">
      <w:pPr>
        <w:widowControl/>
        <w:snapToGrid w:val="0"/>
        <w:spacing w:beforeLines="50" w:before="156" w:afterLines="50" w:after="156" w:line="360" w:lineRule="auto"/>
        <w:ind w:left="843" w:hangingChars="400" w:hanging="843"/>
        <w:jc w:val="right"/>
        <w:textAlignment w:val="baseline"/>
        <w:outlineLvl w:val="3"/>
        <w:rPr>
          <w:rFonts w:ascii="宋体" w:hAnsi="宋体"/>
          <w:kern w:val="0"/>
          <w:sz w:val="24"/>
        </w:rPr>
      </w:pPr>
      <w:r>
        <w:rPr>
          <w:rFonts w:hAnsi="宋体" w:hint="eastAsia"/>
          <w:b/>
          <w:kern w:val="0"/>
        </w:rPr>
        <w:t>第六章</w:t>
      </w:r>
      <w:r>
        <w:rPr>
          <w:rFonts w:hAnsi="宋体" w:hint="eastAsia"/>
          <w:b/>
          <w:kern w:val="0"/>
        </w:rPr>
        <w:t xml:space="preserve">  </w:t>
      </w:r>
      <w:r>
        <w:rPr>
          <w:rFonts w:hAnsi="宋体" w:hint="eastAsia"/>
          <w:b/>
          <w:kern w:val="0"/>
        </w:rPr>
        <w:t>果品蔬菜的贮藏方式与管理</w:t>
      </w:r>
      <w:r>
        <w:rPr>
          <w:rFonts w:hAnsi="宋体" w:hint="eastAsia"/>
          <w:b/>
          <w:kern w:val="0"/>
        </w:rPr>
        <w:t xml:space="preserve">  </w:t>
      </w:r>
      <w:r>
        <w:rPr>
          <w:rFonts w:ascii="黑体" w:eastAsia="黑体" w:hAnsi="宋体" w:hint="eastAsia"/>
          <w:b/>
          <w:kern w:val="0"/>
          <w:sz w:val="24"/>
        </w:rPr>
        <w:t xml:space="preserve">             </w:t>
      </w:r>
      <w:r>
        <w:rPr>
          <w:rFonts w:hAnsi="宋体"/>
          <w:b/>
          <w:kern w:val="0"/>
        </w:rPr>
        <w:t>学时</w:t>
      </w:r>
      <w:r>
        <w:rPr>
          <w:rFonts w:hAnsi="宋体" w:hint="eastAsia"/>
          <w:b/>
          <w:kern w:val="0"/>
        </w:rPr>
        <w:t>数：</w:t>
      </w:r>
      <w:r>
        <w:rPr>
          <w:rFonts w:hAnsi="宋体" w:hint="eastAsia"/>
          <w:b/>
          <w:kern w:val="0"/>
        </w:rPr>
        <w:t>2</w:t>
      </w:r>
    </w:p>
    <w:p w14:paraId="56A8C877" w14:textId="77777777" w:rsidR="00F5289E" w:rsidRDefault="00C91173">
      <w:pPr>
        <w:widowControl/>
        <w:snapToGrid w:val="0"/>
        <w:spacing w:line="360" w:lineRule="auto"/>
        <w:jc w:val="left"/>
        <w:textAlignment w:val="baseline"/>
        <w:rPr>
          <w:rFonts w:ascii="宋体" w:hAnsi="宋体"/>
          <w:b/>
        </w:rPr>
      </w:pPr>
      <w:r>
        <w:rPr>
          <w:rFonts w:ascii="宋体" w:hAnsi="宋体" w:hint="eastAsia"/>
          <w:b/>
        </w:rPr>
        <w:t>教学目</w:t>
      </w:r>
      <w:r>
        <w:rPr>
          <w:rFonts w:ascii="宋体" w:hAnsi="宋体" w:hint="eastAsia"/>
          <w:b/>
          <w:bCs/>
        </w:rPr>
        <w:t>标</w:t>
      </w:r>
      <w:r>
        <w:rPr>
          <w:rFonts w:ascii="宋体" w:hAnsi="宋体" w:hint="eastAsia"/>
          <w:b/>
        </w:rPr>
        <w:t>：</w:t>
      </w:r>
      <w:r>
        <w:rPr>
          <w:rFonts w:ascii="宋体" w:hAnsi="宋体" w:hint="eastAsia"/>
          <w:kern w:val="0"/>
        </w:rPr>
        <w:t>了解园艺产品贮藏方式及特点，掌握机械冷藏、气调贮藏原理及主要设施设备组成特点及贮藏管理关键技术。</w:t>
      </w:r>
    </w:p>
    <w:p w14:paraId="241F5EDD" w14:textId="77777777" w:rsidR="00F5289E" w:rsidRDefault="00C91173">
      <w:pPr>
        <w:widowControl/>
        <w:snapToGrid w:val="0"/>
        <w:spacing w:line="360" w:lineRule="auto"/>
        <w:jc w:val="left"/>
        <w:textAlignment w:val="baseline"/>
        <w:rPr>
          <w:rFonts w:ascii="宋体" w:hAnsi="宋体"/>
          <w:b/>
        </w:rPr>
      </w:pPr>
      <w:r>
        <w:rPr>
          <w:rFonts w:ascii="宋体" w:hAnsi="宋体" w:hint="eastAsia"/>
          <w:b/>
        </w:rPr>
        <w:t>教学重点和难点</w:t>
      </w:r>
      <w:r>
        <w:rPr>
          <w:rFonts w:ascii="宋体" w:hAnsi="宋体" w:hint="eastAsia"/>
          <w:kern w:val="0"/>
        </w:rPr>
        <w:t>：机械制冷原理及设备组成；果品蔬菜冷库结构设施组成、冷藏管理关键技术。气调贮藏基本原理；难点气调贮藏库设施构造组成及相关设备运行管理技术。</w:t>
      </w:r>
    </w:p>
    <w:p w14:paraId="628711C2" w14:textId="77777777" w:rsidR="00F5289E" w:rsidRDefault="00C91173">
      <w:pPr>
        <w:widowControl/>
        <w:snapToGrid w:val="0"/>
        <w:spacing w:line="360" w:lineRule="auto"/>
        <w:jc w:val="left"/>
        <w:textAlignment w:val="baseline"/>
        <w:rPr>
          <w:rFonts w:ascii="宋体" w:hAnsi="宋体"/>
          <w:kern w:val="0"/>
        </w:rPr>
      </w:pPr>
      <w:r>
        <w:rPr>
          <w:rFonts w:ascii="宋体" w:hAnsi="宋体" w:hint="eastAsia"/>
          <w:b/>
        </w:rPr>
        <w:t>主要教学内容及要求</w:t>
      </w:r>
      <w:r>
        <w:rPr>
          <w:rFonts w:ascii="宋体" w:hAnsi="宋体" w:hint="eastAsia"/>
          <w:kern w:val="0"/>
        </w:rPr>
        <w:t>：</w:t>
      </w:r>
    </w:p>
    <w:p w14:paraId="72C138A2"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（1）简易贮藏</w:t>
      </w:r>
    </w:p>
    <w:p w14:paraId="79A69409"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（2）机械冷藏</w:t>
      </w:r>
    </w:p>
    <w:p w14:paraId="068A20C6"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（3）气调贮藏</w:t>
      </w:r>
    </w:p>
    <w:p w14:paraId="7C17F703"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（4）其它贮藏方式及辅助处理</w:t>
      </w:r>
    </w:p>
    <w:p w14:paraId="3E6C18F0"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了解：果品蔬菜常温贮藏（堆藏、沟藏、窖藏、冻藏和假植贮藏、土窑洞贮藏）、减压贮藏及冰温贮藏的原理、设施构造特点及技术管理措施。主要制冷剂的特性。</w:t>
      </w:r>
    </w:p>
    <w:p w14:paraId="540589ED"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理解：根据不同常温贮藏方式与不同地区自然资源条件、不同产品生理特性及品质变化的特点，确定适宜产品的贮藏设施及配套管理技术。CA与MA的关系与区别。</w:t>
      </w:r>
    </w:p>
    <w:p w14:paraId="738921A9"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掌握：气调贮藏（CA）、限气贮藏（MA）的定义；机械制冷原理、气调贮藏原理；冷藏库、气调库设施结构特点；制冷设备、气调库调节气体设备组成及温、湿度的管理设备组成及其配套技术管理。</w:t>
      </w:r>
    </w:p>
    <w:p w14:paraId="6EDD450E" w14:textId="77777777" w:rsidR="00F5289E" w:rsidRDefault="00C91173">
      <w:pPr>
        <w:widowControl/>
        <w:snapToGrid w:val="0"/>
        <w:spacing w:line="360" w:lineRule="auto"/>
        <w:ind w:firstLineChars="200" w:firstLine="420"/>
        <w:jc w:val="left"/>
        <w:textAlignment w:val="baseline"/>
        <w:rPr>
          <w:rFonts w:ascii="宋体" w:hAnsi="宋体"/>
          <w:kern w:val="0"/>
        </w:rPr>
      </w:pPr>
      <w:r>
        <w:rPr>
          <w:rFonts w:ascii="宋体" w:hAnsi="宋体" w:hint="eastAsia"/>
          <w:kern w:val="0"/>
        </w:rPr>
        <w:t>熟练掌握：果蔬冷藏、气调贮藏关键管理技术；在贮运生产中，果蔬MA包装应用的主要方式及相关管理技术措施。</w:t>
      </w:r>
    </w:p>
    <w:p w14:paraId="39AF233F"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0EE7F6CA" w14:textId="77777777" w:rsidR="00F5289E" w:rsidRDefault="00C91173">
      <w:pPr>
        <w:widowControl/>
        <w:snapToGrid w:val="0"/>
        <w:spacing w:line="360" w:lineRule="auto"/>
        <w:ind w:firstLineChars="200" w:firstLine="420"/>
        <w:rPr>
          <w:rFonts w:ascii="宋体" w:hAnsi="宋体"/>
          <w:color w:val="0000FF"/>
          <w:szCs w:val="20"/>
        </w:rPr>
      </w:pPr>
      <w:r>
        <w:rPr>
          <w:rFonts w:ascii="宋体" w:hAnsi="宋体" w:hint="eastAsia"/>
        </w:rPr>
        <w:t>以</w:t>
      </w:r>
      <w:r>
        <w:rPr>
          <w:rFonts w:ascii="宋体" w:hAnsi="宋体"/>
        </w:rPr>
        <w:t>课程</w:t>
      </w:r>
      <w:r>
        <w:rPr>
          <w:rFonts w:ascii="宋体" w:hAnsi="宋体" w:hint="eastAsia"/>
        </w:rPr>
        <w:t>授课的方式，同时结合图片、微</w:t>
      </w:r>
      <w:r>
        <w:rPr>
          <w:rFonts w:ascii="宋体" w:hAnsi="宋体"/>
        </w:rPr>
        <w:t>视频</w:t>
      </w:r>
      <w:r>
        <w:rPr>
          <w:rFonts w:ascii="宋体" w:hAnsi="宋体" w:hint="eastAsia"/>
        </w:rPr>
        <w:t>等多媒体资料深入浅出</w:t>
      </w:r>
      <w:r>
        <w:rPr>
          <w:rFonts w:ascii="宋体" w:hAnsi="宋体"/>
        </w:rPr>
        <w:t>、生动形象的讲解</w:t>
      </w:r>
      <w:r>
        <w:rPr>
          <w:rFonts w:ascii="宋体" w:hAnsi="宋体" w:hint="eastAsia"/>
        </w:rPr>
        <w:t>果品蔬菜的贮藏方式与管理，</w:t>
      </w:r>
      <w:r>
        <w:rPr>
          <w:rFonts w:ascii="宋体" w:hAnsi="宋体"/>
        </w:rPr>
        <w:t>在教学过程中与学生进行充分的互动，加深对课堂知识的理解与认识</w:t>
      </w:r>
      <w:r>
        <w:rPr>
          <w:rFonts w:ascii="宋体" w:hAnsi="宋体" w:hint="eastAsia"/>
        </w:rPr>
        <w:t>。同时，</w:t>
      </w:r>
      <w:r>
        <w:rPr>
          <w:rFonts w:ascii="宋体" w:hAnsi="宋体" w:hint="eastAsia"/>
        </w:rPr>
        <w:lastRenderedPageBreak/>
        <w:t>授课前要求学生提前预习</w:t>
      </w:r>
      <w:r>
        <w:rPr>
          <w:rFonts w:ascii="宋体" w:hAnsi="宋体"/>
        </w:rPr>
        <w:t>课本本章节内容，充分利用互联网查阅相关知识，做好课前准备工作</w:t>
      </w:r>
      <w:r>
        <w:rPr>
          <w:rFonts w:eastAsiaTheme="minorEastAsia" w:hint="eastAsia"/>
          <w:kern w:val="0"/>
          <w:szCs w:val="21"/>
        </w:rPr>
        <w:t>（</w:t>
      </w:r>
      <w:r>
        <w:rPr>
          <w:rFonts w:eastAsiaTheme="minorEastAsia" w:hint="eastAsia"/>
          <w:kern w:val="0"/>
          <w:szCs w:val="21"/>
        </w:rPr>
        <w:t>2</w:t>
      </w:r>
      <w:r>
        <w:rPr>
          <w:rFonts w:eastAsiaTheme="minorEastAsia" w:hint="eastAsia"/>
          <w:kern w:val="0"/>
          <w:szCs w:val="21"/>
        </w:rPr>
        <w:t>学时）</w:t>
      </w:r>
      <w:r>
        <w:rPr>
          <w:rFonts w:ascii="宋体" w:hAnsi="宋体"/>
        </w:rPr>
        <w:t>。</w:t>
      </w:r>
    </w:p>
    <w:p w14:paraId="73F3611F" w14:textId="77777777" w:rsidR="00F5289E" w:rsidRDefault="00C91173">
      <w:pPr>
        <w:widowControl/>
        <w:wordWrap w:val="0"/>
        <w:snapToGrid w:val="0"/>
        <w:spacing w:beforeLines="50" w:before="156" w:afterLines="50" w:after="156" w:line="360" w:lineRule="auto"/>
        <w:jc w:val="right"/>
        <w:outlineLvl w:val="3"/>
        <w:rPr>
          <w:rFonts w:ascii="宋体" w:hAnsi="宋体"/>
          <w:b/>
        </w:rPr>
      </w:pPr>
      <w:r>
        <w:rPr>
          <w:rFonts w:hAnsi="宋体" w:hint="eastAsia"/>
          <w:b/>
          <w:kern w:val="0"/>
        </w:rPr>
        <w:t>第七章</w:t>
      </w:r>
      <w:r>
        <w:rPr>
          <w:rFonts w:hAnsi="宋体" w:hint="eastAsia"/>
          <w:b/>
          <w:kern w:val="0"/>
        </w:rPr>
        <w:t xml:space="preserve">  </w:t>
      </w:r>
      <w:r>
        <w:rPr>
          <w:rFonts w:hAnsi="宋体" w:hint="eastAsia"/>
          <w:b/>
          <w:kern w:val="0"/>
        </w:rPr>
        <w:t>各类果品、蔬菜、花卉贮藏</w:t>
      </w:r>
      <w:r>
        <w:rPr>
          <w:rFonts w:ascii="黑体" w:eastAsia="黑体" w:hAnsi="宋体" w:hint="eastAsia"/>
          <w:b/>
          <w:kern w:val="0"/>
          <w:sz w:val="24"/>
        </w:rPr>
        <w:t xml:space="preserve">            </w:t>
      </w:r>
      <w:r>
        <w:rPr>
          <w:rFonts w:hAnsi="宋体"/>
          <w:b/>
          <w:kern w:val="0"/>
        </w:rPr>
        <w:t>学时</w:t>
      </w:r>
      <w:r>
        <w:rPr>
          <w:rFonts w:hAnsi="宋体" w:hint="eastAsia"/>
          <w:b/>
          <w:kern w:val="0"/>
        </w:rPr>
        <w:t>数：</w:t>
      </w:r>
      <w:r>
        <w:rPr>
          <w:rFonts w:hAnsi="宋体" w:hint="eastAsia"/>
          <w:b/>
          <w:kern w:val="0"/>
        </w:rPr>
        <w:t>5</w:t>
      </w:r>
    </w:p>
    <w:p w14:paraId="5AE1D5E0" w14:textId="77777777" w:rsidR="00F5289E" w:rsidRDefault="00C91173">
      <w:pPr>
        <w:widowControl/>
        <w:snapToGrid w:val="0"/>
        <w:spacing w:line="360" w:lineRule="auto"/>
        <w:textAlignment w:val="baseline"/>
        <w:rPr>
          <w:rFonts w:ascii="宋体" w:hAnsi="宋体"/>
          <w:kern w:val="0"/>
        </w:rPr>
      </w:pPr>
      <w:r>
        <w:rPr>
          <w:rFonts w:ascii="宋体" w:hAnsi="宋体" w:hint="eastAsia"/>
          <w:b/>
        </w:rPr>
        <w:t>教学目</w:t>
      </w:r>
      <w:r>
        <w:rPr>
          <w:rFonts w:ascii="宋体" w:hAnsi="宋体" w:hint="eastAsia"/>
          <w:b/>
          <w:bCs/>
        </w:rPr>
        <w:t>标</w:t>
      </w:r>
      <w:r>
        <w:rPr>
          <w:rFonts w:ascii="宋体" w:hAnsi="宋体" w:hint="eastAsia"/>
          <w:b/>
        </w:rPr>
        <w:t>：</w:t>
      </w:r>
      <w:r>
        <w:rPr>
          <w:rFonts w:ascii="宋体" w:hAnsi="宋体" w:hint="eastAsia"/>
          <w:kern w:val="0"/>
        </w:rPr>
        <w:t>了解主要果品、蔬菜及常见鲜切花的贮藏特性（品种、生理、贮藏条件），掌握商业化贮藏方式及贮藏关键技术要点，制订主要园艺产品贮藏运输技术方案。</w:t>
      </w:r>
    </w:p>
    <w:p w14:paraId="24D6D6B5" w14:textId="77777777" w:rsidR="00F5289E" w:rsidRDefault="00C91173">
      <w:pPr>
        <w:widowControl/>
        <w:snapToGrid w:val="0"/>
        <w:spacing w:line="360" w:lineRule="auto"/>
        <w:textAlignment w:val="baseline"/>
        <w:rPr>
          <w:kern w:val="0"/>
        </w:rPr>
      </w:pPr>
      <w:r>
        <w:rPr>
          <w:rFonts w:ascii="宋体" w:hAnsi="宋体" w:hint="eastAsia"/>
          <w:b/>
        </w:rPr>
        <w:t>教学重点和难点</w:t>
      </w:r>
      <w:r>
        <w:rPr>
          <w:rFonts w:ascii="宋体" w:hAnsi="宋体" w:hint="eastAsia"/>
          <w:kern w:val="0"/>
        </w:rPr>
        <w:t>：几种主要果品、蔬菜商业贮藏方式及贮藏关键技术管理。难点：不同果品、蔬菜及贮藏特性及采取的相应贮藏技术和操作管理措施。</w:t>
      </w:r>
    </w:p>
    <w:p w14:paraId="60F7998C" w14:textId="77777777" w:rsidR="00F5289E" w:rsidRDefault="00C91173">
      <w:pPr>
        <w:widowControl/>
        <w:snapToGrid w:val="0"/>
        <w:spacing w:line="360" w:lineRule="auto"/>
        <w:textAlignment w:val="baseline"/>
        <w:rPr>
          <w:rFonts w:ascii="宋体" w:hAnsi="宋体"/>
          <w:kern w:val="0"/>
        </w:rPr>
      </w:pPr>
      <w:r>
        <w:rPr>
          <w:rFonts w:ascii="宋体" w:hAnsi="宋体" w:hint="eastAsia"/>
          <w:b/>
        </w:rPr>
        <w:t>主要教学内容及要求</w:t>
      </w:r>
      <w:r>
        <w:rPr>
          <w:rFonts w:ascii="宋体" w:hAnsi="宋体" w:hint="eastAsia"/>
          <w:kern w:val="0"/>
        </w:rPr>
        <w:t>：</w:t>
      </w:r>
    </w:p>
    <w:p w14:paraId="15CA67C1"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（1）果品贮藏</w:t>
      </w:r>
    </w:p>
    <w:p w14:paraId="10FB0D11"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（2）蔬菜贮藏</w:t>
      </w:r>
    </w:p>
    <w:p w14:paraId="0A30F043"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（3）鲜切花贮运</w:t>
      </w:r>
    </w:p>
    <w:p w14:paraId="127DFED4"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了解：影响主要果品类（苹果、梨、香蕉、柑橘、葡萄、猕猴桃、大枣、核果类（桃、李、杏）、坚果类、浆果类（十字、石榴及草莓）贮藏特性；影响叶菜类（绿叶菜、甘蓝、芹菜）、果菜类（番茄、辣椒、茄子、菜豆和黄瓜、苦瓜、冬瓜和南瓜）、花菜类（花椰菜、青花菜、蒜薹）、地下茎类（萝卜和胡萝卜、马铃薯、洋葱、大蒜、山药）、西甜瓜的贮藏特性；了解常见鲜切花（月季、康乃馨、菊花、非洲菊）等的贮运特性。</w:t>
      </w:r>
    </w:p>
    <w:p w14:paraId="06A5BF3F"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理解：不同果品、蔬菜、鲜切花贮运生理特性与采后常见病害（侵染、生理）发生、产品质量变化的关系。</w:t>
      </w:r>
    </w:p>
    <w:p w14:paraId="1FA67828"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掌握：主要果品、蔬菜种类、常见几种鲜切花的贮藏技术及关键技术参数；主要果品、蔬菜种类常见病害发病原因及防治措施。</w:t>
      </w:r>
    </w:p>
    <w:p w14:paraId="505C46B6" w14:textId="77777777" w:rsidR="00F5289E" w:rsidRDefault="00C91173">
      <w:pPr>
        <w:widowControl/>
        <w:snapToGrid w:val="0"/>
        <w:spacing w:line="360" w:lineRule="auto"/>
        <w:ind w:firstLineChars="200" w:firstLine="420"/>
        <w:textAlignment w:val="baseline"/>
        <w:rPr>
          <w:rFonts w:ascii="宋体" w:hAnsi="宋体"/>
          <w:kern w:val="0"/>
        </w:rPr>
      </w:pPr>
      <w:r>
        <w:rPr>
          <w:rFonts w:ascii="宋体" w:hAnsi="宋体" w:hint="eastAsia"/>
          <w:kern w:val="0"/>
        </w:rPr>
        <w:t>熟练掌握：主要果品、蔬菜及常见几种鲜切花的商业贮藏技术、商品化处理主要程序及</w:t>
      </w:r>
      <w:r>
        <w:rPr>
          <w:rFonts w:hAnsi="宋体" w:hint="eastAsia"/>
          <w:kern w:val="0"/>
        </w:rPr>
        <w:t>冷链</w:t>
      </w:r>
      <w:r>
        <w:rPr>
          <w:rFonts w:ascii="宋体" w:hAnsi="宋体" w:hint="eastAsia"/>
          <w:kern w:val="0"/>
        </w:rPr>
        <w:t>流通环节的技术关键及相关操作管理。</w:t>
      </w:r>
    </w:p>
    <w:p w14:paraId="7F118616" w14:textId="77777777" w:rsidR="00F5289E" w:rsidRDefault="00C91173">
      <w:pPr>
        <w:widowControl/>
        <w:adjustRightInd w:val="0"/>
        <w:snapToGrid w:val="0"/>
        <w:spacing w:line="360" w:lineRule="auto"/>
        <w:rPr>
          <w:rFonts w:ascii="宋体" w:hAnsi="宋体"/>
          <w:b/>
          <w:bCs/>
        </w:rPr>
      </w:pPr>
      <w:r>
        <w:rPr>
          <w:rFonts w:ascii="宋体" w:hAnsi="宋体" w:hint="eastAsia"/>
          <w:b/>
          <w:bCs/>
        </w:rPr>
        <w:t>教学组织与实施：</w:t>
      </w:r>
    </w:p>
    <w:p w14:paraId="5E51EF41" w14:textId="77777777" w:rsidR="00F5289E" w:rsidRDefault="00C91173">
      <w:pPr>
        <w:widowControl/>
        <w:adjustRightInd w:val="0"/>
        <w:snapToGrid w:val="0"/>
        <w:spacing w:line="360" w:lineRule="auto"/>
        <w:ind w:firstLineChars="200" w:firstLine="420"/>
        <w:rPr>
          <w:kern w:val="0"/>
          <w:szCs w:val="21"/>
        </w:rPr>
      </w:pPr>
      <w:r>
        <w:rPr>
          <w:rFonts w:ascii="宋体" w:hAnsi="宋体" w:hint="eastAsia"/>
          <w:kern w:val="0"/>
        </w:rPr>
        <w:t>采取翻转课堂的形式，由学生</w:t>
      </w:r>
      <w:r>
        <w:rPr>
          <w:rFonts w:ascii="宋体" w:hAnsi="宋体" w:hint="eastAsia"/>
        </w:rPr>
        <w:t>讲述</w:t>
      </w:r>
      <w:r>
        <w:rPr>
          <w:rFonts w:ascii="宋体" w:hAnsi="宋体" w:hint="eastAsia"/>
          <w:kern w:val="0"/>
        </w:rPr>
        <w:t>主要果品、蔬菜及常见鲜切花的贮藏特性和商业化贮藏方式及贮藏关键技术要点，教师点评并作补充。提前半个月布置课堂任务，由2-3人1组，选定一种果蔬，查阅资料，精心准备PPT，介绍其贮藏特性、贮藏方式和贮藏管理的关键技术环节等。考核要求每个同学都要参与讲课，表达清晰，形式完整，内容具有系性。教师提问并作补充，制定评分细则，根据每个同学表现现场打分，计入平时成绩。通过翻转课堂，让同学们把前面学习过的园艺产品贮藏保鲜基本原理和贮藏管理知识进行回顾和融会贯通，加深学习效果（5学时）。</w:t>
      </w:r>
    </w:p>
    <w:p w14:paraId="085474CC" w14:textId="77777777" w:rsidR="00F5289E" w:rsidRDefault="00C91173">
      <w:pPr>
        <w:widowControl/>
        <w:snapToGrid w:val="0"/>
        <w:spacing w:line="360" w:lineRule="auto"/>
        <w:jc w:val="left"/>
        <w:rPr>
          <w:rFonts w:hAnsi="宋体"/>
          <w:bCs/>
          <w:kern w:val="0"/>
          <w:szCs w:val="21"/>
        </w:rPr>
      </w:pPr>
      <w:r>
        <w:rPr>
          <w:rFonts w:hAnsi="宋体" w:hint="eastAsia"/>
          <w:b/>
          <w:bCs/>
          <w:kern w:val="0"/>
          <w:szCs w:val="21"/>
        </w:rPr>
        <w:t>五</w:t>
      </w:r>
      <w:r>
        <w:rPr>
          <w:rFonts w:hAnsi="宋体"/>
          <w:b/>
          <w:bCs/>
          <w:kern w:val="0"/>
          <w:szCs w:val="21"/>
        </w:rPr>
        <w:t>、实验教学内容及学时分配</w:t>
      </w:r>
      <w:r>
        <w:rPr>
          <w:b/>
          <w:bCs/>
          <w:kern w:val="0"/>
          <w:szCs w:val="21"/>
        </w:rPr>
        <w:t> </w:t>
      </w:r>
      <w:r>
        <w:rPr>
          <w:rFonts w:hAnsi="宋体" w:hint="eastAsia"/>
          <w:b/>
          <w:bCs/>
          <w:kern w:val="0"/>
          <w:szCs w:val="21"/>
        </w:rPr>
        <w:t>（</w:t>
      </w:r>
      <w:r>
        <w:rPr>
          <w:rFonts w:hAnsi="宋体" w:hint="eastAsia"/>
          <w:b/>
          <w:bCs/>
          <w:kern w:val="0"/>
          <w:szCs w:val="21"/>
        </w:rPr>
        <w:t>12</w:t>
      </w:r>
      <w:r>
        <w:rPr>
          <w:rFonts w:hAnsi="宋体"/>
          <w:b/>
          <w:bCs/>
          <w:kern w:val="0"/>
          <w:szCs w:val="21"/>
        </w:rPr>
        <w:t>学时</w:t>
      </w:r>
      <w:r>
        <w:rPr>
          <w:rFonts w:hAnsi="宋体" w:hint="eastAsia"/>
          <w:b/>
          <w:bCs/>
          <w:kern w:val="0"/>
          <w:szCs w:val="21"/>
        </w:rPr>
        <w:t>）</w:t>
      </w:r>
    </w:p>
    <w:p w14:paraId="2B1163F8" w14:textId="77777777" w:rsidR="00F5289E" w:rsidRDefault="00C91173">
      <w:pPr>
        <w:snapToGrid w:val="0"/>
        <w:spacing w:line="360" w:lineRule="auto"/>
        <w:rPr>
          <w:rFonts w:ascii="宋体" w:hAnsi="宋体"/>
          <w:b/>
          <w:bCs/>
          <w:szCs w:val="21"/>
        </w:rPr>
      </w:pPr>
      <w:r>
        <w:rPr>
          <w:rFonts w:ascii="宋体" w:hAnsi="宋体" w:hint="eastAsia"/>
          <w:b/>
          <w:szCs w:val="21"/>
        </w:rPr>
        <w:t>（一）</w:t>
      </w:r>
      <w:r>
        <w:rPr>
          <w:rFonts w:ascii="宋体" w:hAnsi="宋体" w:hint="eastAsia"/>
          <w:b/>
          <w:bCs/>
          <w:szCs w:val="21"/>
        </w:rPr>
        <w:t>实验课程简介</w:t>
      </w:r>
    </w:p>
    <w:p w14:paraId="5534DADD" w14:textId="77777777" w:rsidR="00F5289E" w:rsidRDefault="00C91173">
      <w:pPr>
        <w:snapToGrid w:val="0"/>
        <w:spacing w:line="360" w:lineRule="auto"/>
        <w:ind w:firstLineChars="200" w:firstLine="420"/>
      </w:pPr>
      <w:r>
        <w:t>园艺产品采后处理实验是配合园艺产品贮运保鲜技术理论而开设的实验课，要求学生具备扎实的有机化学、分析化学、植物生理、生物化学等专业基础知识。主要进行采后果蔬的物理性状、</w:t>
      </w:r>
      <w:r>
        <w:lastRenderedPageBreak/>
        <w:t>营养品质及</w:t>
      </w:r>
      <w:r>
        <w:rPr>
          <w:rFonts w:hint="eastAsia"/>
        </w:rPr>
        <w:t>几种</w:t>
      </w:r>
      <w:r>
        <w:t>采后生理指标测定分析，加深学生对园艺产品保鲜基本原理的理解，通过</w:t>
      </w:r>
      <w:r>
        <w:rPr>
          <w:rFonts w:hint="eastAsia"/>
        </w:rPr>
        <w:t>综合性实验</w:t>
      </w:r>
      <w:r>
        <w:t>，培养学生的基本实验操作技能</w:t>
      </w:r>
      <w:r>
        <w:rPr>
          <w:rFonts w:hint="eastAsia"/>
        </w:rPr>
        <w:t>、</w:t>
      </w:r>
      <w:r>
        <w:t>科学研究</w:t>
      </w:r>
      <w:r>
        <w:rPr>
          <w:rFonts w:hint="eastAsia"/>
        </w:rPr>
        <w:t>及综合分析</w:t>
      </w:r>
      <w:r>
        <w:t>的能力。</w:t>
      </w:r>
    </w:p>
    <w:p w14:paraId="67BD2BD8"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5F47FC52" w14:textId="77777777" w:rsidR="00F5289E" w:rsidRDefault="00C91173">
      <w:pPr>
        <w:snapToGrid w:val="0"/>
        <w:spacing w:line="360" w:lineRule="auto"/>
        <w:ind w:firstLineChars="200" w:firstLine="420"/>
      </w:pPr>
      <w:r>
        <w:t>教学目的是使学生熟悉和掌握基本仪器的使用方法，要求学生掌握各种分析方法</w:t>
      </w:r>
      <w:r>
        <w:rPr>
          <w:rFonts w:hint="eastAsia"/>
        </w:rPr>
        <w:t>原理及测定</w:t>
      </w:r>
      <w:r>
        <w:t>的</w:t>
      </w:r>
      <w:r>
        <w:rPr>
          <w:rFonts w:hint="eastAsia"/>
        </w:rPr>
        <w:t>各个</w:t>
      </w:r>
      <w:r>
        <w:t>操作环节，并独立完成实验报告。</w:t>
      </w:r>
    </w:p>
    <w:p w14:paraId="67A7C37B" w14:textId="77777777" w:rsidR="00F5289E" w:rsidRDefault="00C91173">
      <w:pPr>
        <w:snapToGrid w:val="0"/>
        <w:spacing w:line="360" w:lineRule="auto"/>
        <w:ind w:firstLineChars="200" w:firstLine="420"/>
      </w:pPr>
      <w:r>
        <w:t>1</w:t>
      </w:r>
      <w:r>
        <w:t>、对学生进行果实主要营养品质、采后生理指标测定方法的操作训练，使学生掌握测定分析方法、技能。</w:t>
      </w:r>
    </w:p>
    <w:p w14:paraId="2A0342E4" w14:textId="77777777" w:rsidR="00F5289E" w:rsidRDefault="00C91173">
      <w:pPr>
        <w:snapToGrid w:val="0"/>
        <w:spacing w:after="156" w:line="360" w:lineRule="auto"/>
        <w:ind w:firstLineChars="200" w:firstLine="420"/>
      </w:pPr>
      <w:r>
        <w:t>2</w:t>
      </w:r>
      <w:r>
        <w:t>、</w:t>
      </w:r>
      <w:r>
        <w:rPr>
          <w:rFonts w:hint="eastAsia"/>
        </w:rPr>
        <w:t>通过一些综合试验</w:t>
      </w:r>
      <w:r>
        <w:t>，</w:t>
      </w:r>
      <w:r>
        <w:rPr>
          <w:rFonts w:hint="eastAsia"/>
        </w:rPr>
        <w:t>使学生</w:t>
      </w:r>
      <w:r>
        <w:t>初步掌握</w:t>
      </w:r>
      <w:r>
        <w:rPr>
          <w:rFonts w:hint="eastAsia"/>
        </w:rPr>
        <w:t>果蔬采后成熟衰老调控</w:t>
      </w:r>
      <w:r>
        <w:t>方法</w:t>
      </w:r>
      <w:r>
        <w:rPr>
          <w:rFonts w:hint="eastAsia"/>
        </w:rPr>
        <w:t>，进而培养学生综合分析能力</w:t>
      </w:r>
      <w:r>
        <w:t>。</w:t>
      </w:r>
    </w:p>
    <w:p w14:paraId="5A29EC4F" w14:textId="77777777" w:rsidR="00F5289E" w:rsidRDefault="00C91173">
      <w:pPr>
        <w:snapToGrid w:val="0"/>
        <w:spacing w:line="360" w:lineRule="auto"/>
        <w:rPr>
          <w:b/>
        </w:rPr>
      </w:pPr>
      <w:r>
        <w:rPr>
          <w:rFonts w:hint="eastAsia"/>
          <w:b/>
        </w:rPr>
        <w:t>（三）实验安全操作规范</w:t>
      </w:r>
    </w:p>
    <w:p w14:paraId="155B777B" w14:textId="77777777" w:rsidR="00F5289E" w:rsidRDefault="00C91173">
      <w:pPr>
        <w:snapToGrid w:val="0"/>
        <w:spacing w:line="360" w:lineRule="auto"/>
        <w:ind w:firstLineChars="200" w:firstLine="420"/>
      </w:pPr>
      <w:r>
        <w:t>1</w:t>
      </w:r>
      <w:r>
        <w:rPr>
          <w:rFonts w:hint="eastAsia"/>
        </w:rPr>
        <w:t>、实验室守则</w:t>
      </w:r>
    </w:p>
    <w:p w14:paraId="710368EC" w14:textId="77777777" w:rsidR="00F5289E" w:rsidRDefault="00C91173">
      <w:pPr>
        <w:snapToGrid w:val="0"/>
        <w:spacing w:line="360" w:lineRule="auto"/>
        <w:ind w:firstLineChars="200" w:firstLine="420"/>
      </w:pPr>
      <w:r>
        <w:rPr>
          <w:rFonts w:hint="eastAsia"/>
        </w:rPr>
        <w:t>学生进行课程实验时，应遵从以下守则：</w:t>
      </w:r>
    </w:p>
    <w:p w14:paraId="2ADD0B44" w14:textId="77777777" w:rsidR="00F5289E" w:rsidRDefault="00C91173">
      <w:pPr>
        <w:snapToGrid w:val="0"/>
        <w:spacing w:line="360" w:lineRule="auto"/>
        <w:ind w:firstLineChars="200" w:firstLine="420"/>
      </w:pPr>
      <w:r>
        <w:rPr>
          <w:rFonts w:hint="eastAsia"/>
        </w:rPr>
        <w:t>（</w:t>
      </w:r>
      <w:r>
        <w:t>1</w:t>
      </w:r>
      <w:r>
        <w:rPr>
          <w:rFonts w:hint="eastAsia"/>
        </w:rPr>
        <w:t>）进入园艺学院本科实验室工作时，必须穿工作服，离开实验室时应脱下。工作服应经常保持整洁，禁止穿工作服进入公共场所。在进行任何有可能碰伤、刺激或烧伤眼睛的工作时，必须戴防护眼镜。</w:t>
      </w:r>
    </w:p>
    <w:p w14:paraId="7D05E7F9" w14:textId="77777777" w:rsidR="00F5289E" w:rsidRDefault="00C91173">
      <w:pPr>
        <w:snapToGrid w:val="0"/>
        <w:spacing w:line="360" w:lineRule="auto"/>
        <w:ind w:firstLineChars="200" w:firstLine="420"/>
      </w:pPr>
      <w:r>
        <w:rPr>
          <w:rFonts w:hint="eastAsia"/>
        </w:rPr>
        <w:t>（</w:t>
      </w:r>
      <w:r>
        <w:t>2</w:t>
      </w:r>
      <w:r>
        <w:rPr>
          <w:rFonts w:hint="eastAsia"/>
        </w:rPr>
        <w:t>）禁止在实验室内吸烟及吃东西。不准使用试验器皿作茶杯或餐具，不得用嘴巴品尝味道的方法来鉴别未知物。</w:t>
      </w:r>
    </w:p>
    <w:p w14:paraId="66A1251B" w14:textId="77777777" w:rsidR="00F5289E" w:rsidRDefault="00C91173">
      <w:pPr>
        <w:snapToGrid w:val="0"/>
        <w:spacing w:line="360" w:lineRule="auto"/>
        <w:ind w:firstLineChars="200" w:firstLine="420"/>
      </w:pPr>
      <w:r>
        <w:rPr>
          <w:rFonts w:hint="eastAsia"/>
        </w:rPr>
        <w:t>（</w:t>
      </w:r>
      <w:r>
        <w:t>3</w:t>
      </w:r>
      <w:r>
        <w:rPr>
          <w:rFonts w:hint="eastAsia"/>
        </w:rPr>
        <w:t>）工作完毕后离开实验室时应用肥皂洗手。</w:t>
      </w:r>
    </w:p>
    <w:p w14:paraId="4F195B25" w14:textId="77777777" w:rsidR="00F5289E" w:rsidRDefault="00C91173">
      <w:pPr>
        <w:snapToGrid w:val="0"/>
        <w:spacing w:line="360" w:lineRule="auto"/>
        <w:ind w:firstLineChars="200" w:firstLine="420"/>
      </w:pPr>
      <w:r>
        <w:rPr>
          <w:rFonts w:hint="eastAsia"/>
        </w:rPr>
        <w:t>（</w:t>
      </w:r>
      <w:r>
        <w:t>4</w:t>
      </w:r>
      <w:r>
        <w:rPr>
          <w:rFonts w:hint="eastAsia"/>
        </w:rPr>
        <w:t>）实验室停止供电、供水时应将水源、电源开关全部关上，以防恢复供电、供水时由于开关未关而发生事故。离开实验室时应检查门、窗、水、电、气是否安全及关闭。</w:t>
      </w:r>
    </w:p>
    <w:p w14:paraId="1ACA6838" w14:textId="77777777" w:rsidR="00F5289E" w:rsidRDefault="00C91173">
      <w:pPr>
        <w:snapToGrid w:val="0"/>
        <w:spacing w:line="360" w:lineRule="auto"/>
        <w:ind w:firstLineChars="200" w:firstLine="420"/>
      </w:pPr>
      <w:r>
        <w:rPr>
          <w:rFonts w:hint="eastAsia"/>
        </w:rPr>
        <w:t>（</w:t>
      </w:r>
      <w:r>
        <w:t>5</w:t>
      </w:r>
      <w:r>
        <w:rPr>
          <w:rFonts w:hint="eastAsia"/>
        </w:rPr>
        <w:t>）实验室内的每瓶试剂必须贴有明显的与试剂相符的标签、并标明试剂名称、浓度及配制日期或标定日期。</w:t>
      </w:r>
    </w:p>
    <w:p w14:paraId="620CF4A6" w14:textId="77777777" w:rsidR="00F5289E" w:rsidRDefault="00C91173">
      <w:pPr>
        <w:snapToGrid w:val="0"/>
        <w:spacing w:line="360" w:lineRule="auto"/>
        <w:ind w:firstLineChars="200" w:firstLine="420"/>
      </w:pPr>
      <w:r>
        <w:rPr>
          <w:rFonts w:hint="eastAsia"/>
        </w:rPr>
        <w:t>（</w:t>
      </w:r>
      <w:r>
        <w:t>6</w:t>
      </w:r>
      <w:r>
        <w:rPr>
          <w:rFonts w:hint="eastAsia"/>
        </w:rPr>
        <w:t>）开启园艺产品采后处理学课程涉及到的试剂，如盐酸、氢氧化钠等时，一定要注意安全。</w:t>
      </w:r>
    </w:p>
    <w:p w14:paraId="26126903" w14:textId="77777777" w:rsidR="00F5289E" w:rsidRDefault="00C91173">
      <w:pPr>
        <w:snapToGrid w:val="0"/>
        <w:spacing w:line="360" w:lineRule="auto"/>
        <w:ind w:firstLineChars="200" w:firstLine="420"/>
      </w:pPr>
      <w:r>
        <w:rPr>
          <w:rFonts w:hint="eastAsia"/>
        </w:rPr>
        <w:t>（</w:t>
      </w:r>
      <w:r>
        <w:t>7</w:t>
      </w:r>
      <w:r>
        <w:rPr>
          <w:rFonts w:hint="eastAsia"/>
        </w:rPr>
        <w:t>）取下正在加热至近沸的水或溶夜时，应用玻璃棒进行搅拌，驱除气泡，或用烧杯夹将其轻轻摇动后方可取下</w:t>
      </w:r>
      <w:r>
        <w:t>,</w:t>
      </w:r>
      <w:r>
        <w:rPr>
          <w:rFonts w:hint="eastAsia"/>
        </w:rPr>
        <w:t>防止突然产生大气泡并飞溅伤人。煮沸有大量沉淀的液体时应用玻璃棒不断搅拌</w:t>
      </w:r>
      <w:r>
        <w:t>,</w:t>
      </w:r>
      <w:r>
        <w:rPr>
          <w:rFonts w:hint="eastAsia"/>
        </w:rPr>
        <w:t>以免发生爆沸。</w:t>
      </w:r>
    </w:p>
    <w:p w14:paraId="2B53505D" w14:textId="77777777" w:rsidR="00F5289E" w:rsidRDefault="00C91173">
      <w:pPr>
        <w:snapToGrid w:val="0"/>
        <w:spacing w:line="360" w:lineRule="auto"/>
        <w:ind w:firstLineChars="200" w:firstLine="420"/>
      </w:pPr>
      <w:r>
        <w:rPr>
          <w:rFonts w:hint="eastAsia"/>
        </w:rPr>
        <w:t>（</w:t>
      </w:r>
      <w:r>
        <w:t>8</w:t>
      </w:r>
      <w:r>
        <w:rPr>
          <w:rFonts w:hint="eastAsia"/>
        </w:rPr>
        <w:t>）园艺产品采后处理学实验室的仪器在未掌握安全操作规程前不得随意动用。</w:t>
      </w:r>
    </w:p>
    <w:p w14:paraId="363EC312" w14:textId="77777777" w:rsidR="00F5289E" w:rsidRDefault="00C91173">
      <w:pPr>
        <w:snapToGrid w:val="0"/>
        <w:spacing w:line="360" w:lineRule="auto"/>
        <w:ind w:firstLineChars="200" w:firstLine="420"/>
        <w:rPr>
          <w:rFonts w:ascii="宋体" w:hAnsi="宋体"/>
          <w:shd w:val="clear" w:color="auto" w:fill="FFFFFF"/>
        </w:rPr>
      </w:pPr>
      <w:r>
        <w:t>2</w:t>
      </w:r>
      <w:r>
        <w:rPr>
          <w:rFonts w:hint="eastAsia"/>
        </w:rPr>
        <w:t>、</w:t>
      </w:r>
      <w:r>
        <w:rPr>
          <w:rFonts w:ascii="宋体" w:hAnsi="宋体" w:hint="eastAsia"/>
          <w:shd w:val="clear" w:color="auto" w:fill="FFFFFF"/>
        </w:rPr>
        <w:t>电器、易燃、易爆、有毒有害试剂</w:t>
      </w:r>
    </w:p>
    <w:p w14:paraId="20CE67BA" w14:textId="77777777" w:rsidR="00F5289E" w:rsidRDefault="00C91173">
      <w:pPr>
        <w:snapToGrid w:val="0"/>
        <w:spacing w:line="360" w:lineRule="auto"/>
        <w:ind w:firstLineChars="200" w:firstLine="420"/>
      </w:pPr>
      <w:r>
        <w:rPr>
          <w:rFonts w:hint="eastAsia"/>
        </w:rPr>
        <w:t>（</w:t>
      </w:r>
      <w:r>
        <w:t>1</w:t>
      </w:r>
      <w:r>
        <w:rPr>
          <w:rFonts w:hint="eastAsia"/>
        </w:rPr>
        <w:t>）电器安全操作规程</w:t>
      </w:r>
    </w:p>
    <w:p w14:paraId="296E0A69" w14:textId="77777777" w:rsidR="00F5289E" w:rsidRDefault="00C91173">
      <w:pPr>
        <w:snapToGrid w:val="0"/>
        <w:spacing w:line="360" w:lineRule="auto"/>
        <w:ind w:firstLineChars="200" w:firstLine="420"/>
      </w:pPr>
      <w:r>
        <w:t xml:space="preserve">1.1 </w:t>
      </w:r>
      <w:r>
        <w:rPr>
          <w:rFonts w:hint="eastAsia"/>
        </w:rPr>
        <w:t>实验室内不得有裸露的电线、闸刀开关应完全合上或断开，以防止接触不好产生火花进而引起易燃物的爆炸，拔下插头时应用手捏住插头再拔，不得只拉电线。</w:t>
      </w:r>
    </w:p>
    <w:p w14:paraId="7D922EB0" w14:textId="77777777" w:rsidR="00F5289E" w:rsidRDefault="00C91173">
      <w:pPr>
        <w:snapToGrid w:val="0"/>
        <w:spacing w:line="360" w:lineRule="auto"/>
        <w:ind w:firstLineChars="200" w:firstLine="420"/>
      </w:pPr>
      <w:r>
        <w:t xml:space="preserve">1.2 </w:t>
      </w:r>
      <w:r>
        <w:rPr>
          <w:rFonts w:hint="eastAsia"/>
        </w:rPr>
        <w:t>各种电器设备及电线应始终保持干燥，不得浸湿，以防短路引起火灾或烧坏电器设备。</w:t>
      </w:r>
    </w:p>
    <w:p w14:paraId="6C162041" w14:textId="77777777" w:rsidR="00F5289E" w:rsidRDefault="00C91173">
      <w:pPr>
        <w:snapToGrid w:val="0"/>
        <w:spacing w:line="360" w:lineRule="auto"/>
        <w:ind w:firstLineChars="200" w:firstLine="420"/>
      </w:pPr>
      <w:r>
        <w:t xml:space="preserve">1.3 </w:t>
      </w:r>
      <w:r>
        <w:rPr>
          <w:rFonts w:hint="eastAsia"/>
        </w:rPr>
        <w:t>各类电器设备发生异常或故障时，应及时断电，由专业人员检修。</w:t>
      </w:r>
    </w:p>
    <w:p w14:paraId="27E04371" w14:textId="77777777" w:rsidR="00F5289E" w:rsidRDefault="00C91173">
      <w:pPr>
        <w:snapToGrid w:val="0"/>
        <w:spacing w:line="360" w:lineRule="auto"/>
        <w:ind w:firstLineChars="200" w:firstLine="420"/>
      </w:pPr>
      <w:r>
        <w:lastRenderedPageBreak/>
        <w:t xml:space="preserve">1.4 </w:t>
      </w:r>
      <w:r>
        <w:rPr>
          <w:rFonts w:hint="eastAsia"/>
        </w:rPr>
        <w:t>保险丝熔断时，应查清原因，不得任意增加或加粗保险丝，更不得以铜丝代替。</w:t>
      </w:r>
    </w:p>
    <w:p w14:paraId="61881A32" w14:textId="77777777" w:rsidR="00F5289E" w:rsidRDefault="00C91173">
      <w:pPr>
        <w:snapToGrid w:val="0"/>
        <w:spacing w:line="360" w:lineRule="auto"/>
        <w:ind w:firstLineChars="200" w:firstLine="420"/>
      </w:pPr>
      <w:r>
        <w:rPr>
          <w:rFonts w:hint="eastAsia"/>
        </w:rPr>
        <w:t>（</w:t>
      </w:r>
      <w:r>
        <w:t>2</w:t>
      </w:r>
      <w:r>
        <w:rPr>
          <w:rFonts w:hint="eastAsia"/>
        </w:rPr>
        <w:t>）化学药品的安全操作规程</w:t>
      </w:r>
    </w:p>
    <w:p w14:paraId="3D61C954" w14:textId="77777777" w:rsidR="00F5289E" w:rsidRDefault="00C91173">
      <w:pPr>
        <w:snapToGrid w:val="0"/>
        <w:spacing w:line="360" w:lineRule="auto"/>
        <w:ind w:firstLineChars="200" w:firstLine="420"/>
      </w:pPr>
      <w:r>
        <w:t xml:space="preserve">2.1 </w:t>
      </w:r>
      <w:r>
        <w:rPr>
          <w:rFonts w:hint="eastAsia"/>
        </w:rPr>
        <w:t>浓硫酸与水混合时，必须边搅拌边将硫酸徐徐注入存有冷却水的耐热玻璃杯中，不得将水倒入硫酸中。否则将引起爆炸与烧伤事故。凡是在稀释能放出大量热的酸、碱时都应按此规定操作。</w:t>
      </w:r>
    </w:p>
    <w:p w14:paraId="6B757B32" w14:textId="77777777" w:rsidR="00F5289E" w:rsidRDefault="00C91173">
      <w:pPr>
        <w:snapToGrid w:val="0"/>
        <w:spacing w:line="360" w:lineRule="auto"/>
        <w:ind w:firstLineChars="200" w:firstLine="420"/>
      </w:pPr>
      <w:r>
        <w:t xml:space="preserve">2.2 </w:t>
      </w:r>
      <w:r>
        <w:rPr>
          <w:rFonts w:hint="eastAsia"/>
        </w:rPr>
        <w:t>搬运大瓶（或坛装）酸、碱或腐蚀性液体时，应特别小心，注意容器有无裂纹，外包装是否牢固，搬运时最好用手推车。从大容器中分装时应用虹吸管移取，不得将</w:t>
      </w:r>
      <w:r>
        <w:t>10</w:t>
      </w:r>
      <w:r>
        <w:rPr>
          <w:rFonts w:hint="eastAsia"/>
        </w:rPr>
        <w:t>公斤以上的玻璃器皿用手来倾倒。</w:t>
      </w:r>
    </w:p>
    <w:p w14:paraId="15042BA5" w14:textId="77777777" w:rsidR="00F5289E" w:rsidRDefault="00C91173">
      <w:pPr>
        <w:snapToGrid w:val="0"/>
        <w:spacing w:line="360" w:lineRule="auto"/>
        <w:ind w:firstLineChars="200" w:firstLine="420"/>
      </w:pPr>
      <w:r>
        <w:t xml:space="preserve">2.3 </w:t>
      </w:r>
      <w:r>
        <w:rPr>
          <w:rFonts w:hint="eastAsia"/>
        </w:rPr>
        <w:t>实验室不得存放大量易燃药品和废液，例如：乙醇、甲醇、丙酮、及其他易燃有机溶剂等，对少量易燃药品应放在远离热源的地方。注意其盛装容器的密封性，以防挥发后的气体与空气混合形成爆炸性气体。使用易燃药品时，附近不得有明火、电炉及电源开关，更不得在明火或炉上直接加热。</w:t>
      </w:r>
    </w:p>
    <w:p w14:paraId="5C0B23CB" w14:textId="77777777" w:rsidR="00F5289E" w:rsidRDefault="00C91173">
      <w:pPr>
        <w:snapToGrid w:val="0"/>
        <w:spacing w:line="360" w:lineRule="auto"/>
        <w:ind w:firstLineChars="200" w:firstLine="420"/>
      </w:pPr>
      <w:r>
        <w:t xml:space="preserve">2.4 </w:t>
      </w:r>
      <w:r>
        <w:rPr>
          <w:rFonts w:hint="eastAsia"/>
        </w:rPr>
        <w:t>废液、废物的处理</w:t>
      </w:r>
    </w:p>
    <w:p w14:paraId="32690E32" w14:textId="77777777" w:rsidR="00F5289E" w:rsidRDefault="00C91173">
      <w:pPr>
        <w:snapToGrid w:val="0"/>
        <w:spacing w:line="360" w:lineRule="auto"/>
        <w:ind w:firstLineChars="200" w:firstLine="420"/>
      </w:pPr>
      <w:r>
        <w:t xml:space="preserve">2.4.1 </w:t>
      </w:r>
      <w:r>
        <w:rPr>
          <w:rFonts w:hint="eastAsia"/>
        </w:rPr>
        <w:t>一切不溶固体或衣酸、浓碱溶液严禁到入水池，以防堵塞和腐蚀水管</w:t>
      </w:r>
      <w:r>
        <w:t>,</w:t>
      </w:r>
      <w:r>
        <w:rPr>
          <w:rFonts w:hint="eastAsia"/>
        </w:rPr>
        <w:t>浓酸、浓碱应经稀释后才能放入水池。</w:t>
      </w:r>
    </w:p>
    <w:p w14:paraId="035259C7" w14:textId="77777777" w:rsidR="00F5289E" w:rsidRDefault="00C91173">
      <w:pPr>
        <w:snapToGrid w:val="0"/>
        <w:spacing w:line="360" w:lineRule="auto"/>
        <w:ind w:firstLineChars="200" w:firstLine="420"/>
      </w:pPr>
      <w:r>
        <w:t xml:space="preserve">2.4.2 </w:t>
      </w:r>
      <w:r>
        <w:rPr>
          <w:rFonts w:hint="eastAsia"/>
        </w:rPr>
        <w:t>大量有机溶剂废液不得放入下水道，应回收至废液桶中集中处理。</w:t>
      </w:r>
    </w:p>
    <w:p w14:paraId="094AD0F5" w14:textId="77777777" w:rsidR="00F5289E" w:rsidRDefault="00C91173">
      <w:pPr>
        <w:snapToGrid w:val="0"/>
        <w:spacing w:line="360" w:lineRule="auto"/>
        <w:ind w:firstLineChars="200" w:firstLine="420"/>
      </w:pPr>
      <w:r>
        <w:t>3</w:t>
      </w:r>
      <w:r>
        <w:rPr>
          <w:rFonts w:hint="eastAsia"/>
        </w:rPr>
        <w:t>、灭火与急救</w:t>
      </w:r>
    </w:p>
    <w:p w14:paraId="163EFA2F" w14:textId="77777777" w:rsidR="00F5289E" w:rsidRDefault="00C91173">
      <w:pPr>
        <w:snapToGrid w:val="0"/>
        <w:spacing w:line="360" w:lineRule="auto"/>
        <w:ind w:firstLineChars="200" w:firstLine="420"/>
      </w:pPr>
      <w:r>
        <w:rPr>
          <w:rFonts w:hint="eastAsia"/>
        </w:rPr>
        <w:t>（</w:t>
      </w:r>
      <w:r>
        <w:t>1</w:t>
      </w:r>
      <w:r>
        <w:rPr>
          <w:rFonts w:hint="eastAsia"/>
        </w:rPr>
        <w:t>）灭火</w:t>
      </w:r>
    </w:p>
    <w:p w14:paraId="0910A9DF" w14:textId="77777777" w:rsidR="00F5289E" w:rsidRDefault="00C91173">
      <w:pPr>
        <w:snapToGrid w:val="0"/>
        <w:spacing w:line="360" w:lineRule="auto"/>
        <w:ind w:firstLineChars="200" w:firstLine="420"/>
      </w:pPr>
      <w:r>
        <w:t xml:space="preserve">1.1 </w:t>
      </w:r>
      <w:r>
        <w:rPr>
          <w:rFonts w:hint="eastAsia"/>
        </w:rPr>
        <w:t>实验室失火后，一定要沉着、不要惊慌，要根据起火原因与火势大小，及时采取以下措施：</w:t>
      </w:r>
    </w:p>
    <w:p w14:paraId="5F517B35" w14:textId="77777777" w:rsidR="00F5289E" w:rsidRDefault="00C91173">
      <w:pPr>
        <w:snapToGrid w:val="0"/>
        <w:spacing w:line="360" w:lineRule="auto"/>
        <w:ind w:firstLineChars="200" w:firstLine="420"/>
      </w:pPr>
      <w:r>
        <w:t xml:space="preserve">1.1.1 </w:t>
      </w:r>
      <w:r>
        <w:rPr>
          <w:rFonts w:hint="eastAsia"/>
        </w:rPr>
        <w:t>立即关掉电源、气源及通风机</w:t>
      </w:r>
    </w:p>
    <w:p w14:paraId="53F0825F" w14:textId="77777777" w:rsidR="00F5289E" w:rsidRDefault="00C91173">
      <w:pPr>
        <w:snapToGrid w:val="0"/>
        <w:spacing w:line="360" w:lineRule="auto"/>
        <w:ind w:firstLineChars="200" w:firstLine="420"/>
      </w:pPr>
      <w:r>
        <w:t xml:space="preserve">1.1.2 </w:t>
      </w:r>
      <w:r>
        <w:rPr>
          <w:rFonts w:hint="eastAsia"/>
        </w:rPr>
        <w:t>将室内易燃、易爆物</w:t>
      </w:r>
      <w:r>
        <w:t>(</w:t>
      </w:r>
      <w:r>
        <w:rPr>
          <w:rFonts w:hint="eastAsia"/>
        </w:rPr>
        <w:t>例如压缩气瓶</w:t>
      </w:r>
      <w:r>
        <w:t>)</w:t>
      </w:r>
      <w:r>
        <w:rPr>
          <w:rFonts w:hint="eastAsia"/>
        </w:rPr>
        <w:t>小心搬离火源，注意搬动时切不可碰撞，以免引起更大火灾。</w:t>
      </w:r>
    </w:p>
    <w:p w14:paraId="4CC65E10" w14:textId="77777777" w:rsidR="00F5289E" w:rsidRDefault="00C91173">
      <w:pPr>
        <w:snapToGrid w:val="0"/>
        <w:spacing w:line="360" w:lineRule="auto"/>
        <w:ind w:firstLineChars="200" w:firstLine="420"/>
      </w:pPr>
      <w:r>
        <w:t xml:space="preserve">1.1.3 </w:t>
      </w:r>
      <w:r>
        <w:rPr>
          <w:rFonts w:hint="eastAsia"/>
        </w:rPr>
        <w:t>迅速选用适当的灭火器，将刚起的火扑灭。注意不要用水来扑灭不溶于水的油类以及其他有机溶剂等可燃物。</w:t>
      </w:r>
    </w:p>
    <w:p w14:paraId="711366B3" w14:textId="77777777" w:rsidR="00F5289E" w:rsidRDefault="00C91173">
      <w:pPr>
        <w:snapToGrid w:val="0"/>
        <w:spacing w:line="360" w:lineRule="auto"/>
        <w:ind w:firstLineChars="200" w:firstLine="420"/>
      </w:pPr>
      <w:r>
        <w:t xml:space="preserve">1.1.4 </w:t>
      </w:r>
      <w:r>
        <w:rPr>
          <w:rFonts w:hint="eastAsia"/>
        </w:rPr>
        <w:t>及时报警：火警电话</w:t>
      </w:r>
      <w:r>
        <w:t>119</w:t>
      </w:r>
      <w:r>
        <w:rPr>
          <w:rFonts w:hint="eastAsia"/>
        </w:rPr>
        <w:t>。</w:t>
      </w:r>
    </w:p>
    <w:p w14:paraId="1057C788" w14:textId="77777777" w:rsidR="00F5289E" w:rsidRDefault="00C91173">
      <w:pPr>
        <w:snapToGrid w:val="0"/>
        <w:spacing w:line="360" w:lineRule="auto"/>
        <w:ind w:firstLineChars="200" w:firstLine="420"/>
      </w:pPr>
      <w:r>
        <w:t xml:space="preserve">1.2 </w:t>
      </w:r>
      <w:r>
        <w:rPr>
          <w:rFonts w:hint="eastAsia"/>
        </w:rPr>
        <w:t>身上衣服着火时，切不可任意跑动。应用石棉毯裹在身，以隔绝空气而灭火。如无石棉毯或薄毯时，可就地躺下打滚以灭火。</w:t>
      </w:r>
    </w:p>
    <w:p w14:paraId="128E7278" w14:textId="77777777" w:rsidR="00F5289E" w:rsidRDefault="00C91173">
      <w:pPr>
        <w:snapToGrid w:val="0"/>
        <w:spacing w:line="360" w:lineRule="auto"/>
        <w:ind w:firstLineChars="200" w:firstLine="420"/>
      </w:pPr>
      <w:r>
        <w:t xml:space="preserve">1.3 </w:t>
      </w:r>
      <w:r>
        <w:rPr>
          <w:rFonts w:hint="eastAsia"/>
        </w:rPr>
        <w:t>实验室应装备必要的灭火设备。</w:t>
      </w:r>
    </w:p>
    <w:p w14:paraId="7DCA12B2" w14:textId="77777777" w:rsidR="00F5289E" w:rsidRDefault="00C91173">
      <w:pPr>
        <w:snapToGrid w:val="0"/>
        <w:spacing w:line="360" w:lineRule="auto"/>
        <w:ind w:firstLineChars="200" w:firstLine="420"/>
      </w:pPr>
      <w:r>
        <w:rPr>
          <w:rFonts w:hint="eastAsia"/>
        </w:rPr>
        <w:t>（</w:t>
      </w:r>
      <w:r>
        <w:t>2</w:t>
      </w:r>
      <w:r>
        <w:rPr>
          <w:rFonts w:hint="eastAsia"/>
        </w:rPr>
        <w:t>）急救</w:t>
      </w:r>
    </w:p>
    <w:p w14:paraId="4C3C4434" w14:textId="77777777" w:rsidR="00F5289E" w:rsidRDefault="00C91173">
      <w:pPr>
        <w:snapToGrid w:val="0"/>
        <w:spacing w:line="360" w:lineRule="auto"/>
        <w:ind w:firstLineChars="200" w:firstLine="420"/>
      </w:pPr>
      <w:r>
        <w:t xml:space="preserve">2.1 </w:t>
      </w:r>
      <w:r>
        <w:rPr>
          <w:rFonts w:hint="eastAsia"/>
        </w:rPr>
        <w:t>实验室应备有急救箱，并经常检查，保证齐备无缺。</w:t>
      </w:r>
    </w:p>
    <w:p w14:paraId="3F115D60" w14:textId="77777777" w:rsidR="00F5289E" w:rsidRDefault="00C91173">
      <w:pPr>
        <w:snapToGrid w:val="0"/>
        <w:spacing w:line="360" w:lineRule="auto"/>
        <w:ind w:firstLineChars="200" w:firstLine="420"/>
      </w:pPr>
      <w:r>
        <w:t xml:space="preserve">2.2 </w:t>
      </w:r>
      <w:r>
        <w:rPr>
          <w:rFonts w:hint="eastAsia"/>
        </w:rPr>
        <w:t>当眼睛里溅入腐蚀性药品时</w:t>
      </w:r>
      <w:r>
        <w:t>:</w:t>
      </w:r>
      <w:r>
        <w:rPr>
          <w:rFonts w:hint="eastAsia"/>
        </w:rPr>
        <w:t>应立即用实验室配备的洗眼器冲洗，但应注意水压不可太大，以免眼球受伤，待药物被充分洗净后，再到医务室就医。</w:t>
      </w:r>
    </w:p>
    <w:p w14:paraId="18380797" w14:textId="77777777" w:rsidR="00F5289E" w:rsidRDefault="00C91173">
      <w:pPr>
        <w:snapToGrid w:val="0"/>
        <w:spacing w:line="360" w:lineRule="auto"/>
        <w:ind w:firstLineChars="200" w:firstLine="420"/>
      </w:pPr>
      <w:r>
        <w:t xml:space="preserve">2.3 </w:t>
      </w:r>
      <w:r>
        <w:rPr>
          <w:rFonts w:hint="eastAsia"/>
        </w:rPr>
        <w:t>当眼睛里进入碎玻璃或其他异物时，应闭上眼睛。不要转动，立即到医务室就医，切记不可用手揉眼睛，以免引起更严重的擦伤。</w:t>
      </w:r>
    </w:p>
    <w:p w14:paraId="3887EBEC" w14:textId="77777777" w:rsidR="00F5289E" w:rsidRDefault="00C91173">
      <w:pPr>
        <w:snapToGrid w:val="0"/>
        <w:spacing w:line="360" w:lineRule="auto"/>
        <w:ind w:firstLineChars="200" w:firstLine="420"/>
      </w:pPr>
      <w:r>
        <w:lastRenderedPageBreak/>
        <w:t xml:space="preserve">2.4 </w:t>
      </w:r>
      <w:r>
        <w:rPr>
          <w:rFonts w:hint="eastAsia"/>
        </w:rPr>
        <w:t>浓酸或碱洒在衣服上，或沾在皮肤上，应立即用大量水冲洗，随后分别用碳酸氢钠溶液（</w:t>
      </w:r>
      <w:r>
        <w:t>2%</w:t>
      </w:r>
      <w:r>
        <w:rPr>
          <w:rFonts w:hint="eastAsia"/>
        </w:rPr>
        <w:t>）或乙酸溶液（</w:t>
      </w:r>
      <w:r>
        <w:t>3-4%</w:t>
      </w:r>
      <w:r>
        <w:rPr>
          <w:rFonts w:hint="eastAsia"/>
        </w:rPr>
        <w:t>）轻轻擦洗，必要时去医务室就医。</w:t>
      </w:r>
    </w:p>
    <w:p w14:paraId="51727BD3" w14:textId="77777777" w:rsidR="00F5289E" w:rsidRDefault="00C91173">
      <w:pPr>
        <w:snapToGrid w:val="0"/>
        <w:spacing w:line="360" w:lineRule="auto"/>
        <w:ind w:firstLineChars="200" w:firstLine="420"/>
      </w:pPr>
      <w:r>
        <w:t xml:space="preserve">2.5 </w:t>
      </w:r>
      <w:r>
        <w:rPr>
          <w:rFonts w:hint="eastAsia"/>
        </w:rPr>
        <w:t>人员触电后，应立即切断电源，或用非导电体将电线从触电者身上移开。如果触电者已经休克，应迅速将其移到新鲜空气处，立即进行人工呼吸，并请医务人员到现场抢救。</w:t>
      </w:r>
    </w:p>
    <w:p w14:paraId="3005253F"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（四）实验项目名称与学时分配</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118"/>
        <w:gridCol w:w="709"/>
        <w:gridCol w:w="1134"/>
        <w:gridCol w:w="1276"/>
        <w:gridCol w:w="1276"/>
      </w:tblGrid>
      <w:tr w:rsidR="00F5289E" w14:paraId="02B60921" w14:textId="77777777">
        <w:tc>
          <w:tcPr>
            <w:tcW w:w="1276" w:type="dxa"/>
            <w:vAlign w:val="center"/>
          </w:tcPr>
          <w:p w14:paraId="5072A253" w14:textId="77777777" w:rsidR="00F5289E" w:rsidRDefault="00C91173">
            <w:pPr>
              <w:spacing w:line="312" w:lineRule="auto"/>
              <w:jc w:val="center"/>
              <w:rPr>
                <w:rFonts w:eastAsiaTheme="minorEastAsia"/>
                <w:b/>
                <w:szCs w:val="21"/>
              </w:rPr>
            </w:pPr>
            <w:r>
              <w:rPr>
                <w:rFonts w:eastAsiaTheme="minorEastAsia" w:hint="eastAsia"/>
                <w:b/>
                <w:szCs w:val="21"/>
              </w:rPr>
              <w:t>序号</w:t>
            </w:r>
          </w:p>
        </w:tc>
        <w:tc>
          <w:tcPr>
            <w:tcW w:w="3118" w:type="dxa"/>
            <w:vAlign w:val="center"/>
          </w:tcPr>
          <w:p w14:paraId="58CA2C15" w14:textId="77777777" w:rsidR="00F5289E" w:rsidRDefault="00C91173">
            <w:pPr>
              <w:spacing w:line="312" w:lineRule="auto"/>
              <w:jc w:val="left"/>
              <w:rPr>
                <w:rFonts w:eastAsiaTheme="minorEastAsia"/>
                <w:b/>
                <w:szCs w:val="21"/>
              </w:rPr>
            </w:pPr>
            <w:r>
              <w:rPr>
                <w:rFonts w:eastAsiaTheme="minorEastAsia" w:hint="eastAsia"/>
                <w:b/>
                <w:szCs w:val="21"/>
              </w:rPr>
              <w:t>实验名称</w:t>
            </w:r>
          </w:p>
        </w:tc>
        <w:tc>
          <w:tcPr>
            <w:tcW w:w="709" w:type="dxa"/>
            <w:vAlign w:val="center"/>
          </w:tcPr>
          <w:p w14:paraId="5F0A0AFA" w14:textId="77777777" w:rsidR="00F5289E" w:rsidRDefault="00C91173">
            <w:pPr>
              <w:spacing w:line="312" w:lineRule="auto"/>
              <w:jc w:val="center"/>
              <w:rPr>
                <w:rFonts w:eastAsiaTheme="minorEastAsia"/>
                <w:b/>
                <w:szCs w:val="21"/>
              </w:rPr>
            </w:pPr>
            <w:r>
              <w:rPr>
                <w:rFonts w:eastAsiaTheme="minorEastAsia" w:hint="eastAsia"/>
                <w:b/>
                <w:szCs w:val="21"/>
              </w:rPr>
              <w:t>学时</w:t>
            </w:r>
          </w:p>
        </w:tc>
        <w:tc>
          <w:tcPr>
            <w:tcW w:w="1134" w:type="dxa"/>
            <w:vAlign w:val="center"/>
          </w:tcPr>
          <w:p w14:paraId="1F54017F" w14:textId="77777777" w:rsidR="00F5289E" w:rsidRDefault="00C91173">
            <w:pPr>
              <w:spacing w:line="312" w:lineRule="auto"/>
              <w:jc w:val="center"/>
              <w:rPr>
                <w:rFonts w:eastAsiaTheme="minorEastAsia"/>
                <w:b/>
                <w:szCs w:val="21"/>
              </w:rPr>
            </w:pPr>
            <w:r>
              <w:rPr>
                <w:rFonts w:eastAsiaTheme="minorEastAsia" w:hint="eastAsia"/>
                <w:b/>
                <w:szCs w:val="21"/>
              </w:rPr>
              <w:t>类型</w:t>
            </w:r>
          </w:p>
        </w:tc>
        <w:tc>
          <w:tcPr>
            <w:tcW w:w="1276" w:type="dxa"/>
            <w:vAlign w:val="center"/>
          </w:tcPr>
          <w:p w14:paraId="74CA3575" w14:textId="77777777" w:rsidR="00F5289E" w:rsidRDefault="00C91173">
            <w:pPr>
              <w:spacing w:line="312" w:lineRule="auto"/>
              <w:jc w:val="center"/>
              <w:rPr>
                <w:rFonts w:eastAsiaTheme="minorEastAsia"/>
                <w:b/>
                <w:szCs w:val="21"/>
              </w:rPr>
            </w:pPr>
            <w:r>
              <w:rPr>
                <w:rFonts w:eastAsiaTheme="minorEastAsia" w:hint="eastAsia"/>
                <w:b/>
                <w:szCs w:val="21"/>
              </w:rPr>
              <w:t>实验要求</w:t>
            </w:r>
          </w:p>
        </w:tc>
        <w:tc>
          <w:tcPr>
            <w:tcW w:w="1276" w:type="dxa"/>
          </w:tcPr>
          <w:p w14:paraId="0C71BEEC" w14:textId="77777777" w:rsidR="00F5289E" w:rsidRDefault="00C91173">
            <w:pPr>
              <w:spacing w:line="312" w:lineRule="auto"/>
              <w:jc w:val="center"/>
              <w:rPr>
                <w:rFonts w:eastAsiaTheme="minorEastAsia"/>
                <w:b/>
                <w:szCs w:val="21"/>
              </w:rPr>
            </w:pPr>
            <w:r>
              <w:rPr>
                <w:rFonts w:eastAsiaTheme="minorEastAsia" w:hint="eastAsia"/>
                <w:b/>
                <w:szCs w:val="21"/>
              </w:rPr>
              <w:t>每组人数</w:t>
            </w:r>
          </w:p>
        </w:tc>
      </w:tr>
      <w:tr w:rsidR="00F5289E" w14:paraId="58690793" w14:textId="77777777">
        <w:trPr>
          <w:trHeight w:val="242"/>
        </w:trPr>
        <w:tc>
          <w:tcPr>
            <w:tcW w:w="1276" w:type="dxa"/>
          </w:tcPr>
          <w:p w14:paraId="1C88DC9B" w14:textId="77777777" w:rsidR="00F5289E" w:rsidRDefault="00C91173">
            <w:pPr>
              <w:jc w:val="center"/>
              <w:rPr>
                <w:rFonts w:eastAsiaTheme="minorEastAsia"/>
                <w:szCs w:val="21"/>
              </w:rPr>
            </w:pPr>
            <w:r>
              <w:rPr>
                <w:rFonts w:eastAsiaTheme="minorEastAsia"/>
                <w:kern w:val="0"/>
                <w:szCs w:val="21"/>
              </w:rPr>
              <w:t>190110</w:t>
            </w:r>
            <w:r>
              <w:rPr>
                <w:rFonts w:eastAsiaTheme="minorEastAsia" w:hint="eastAsia"/>
                <w:kern w:val="0"/>
                <w:szCs w:val="21"/>
              </w:rPr>
              <w:t>5</w:t>
            </w:r>
            <w:r>
              <w:rPr>
                <w:rFonts w:eastAsiaTheme="minorEastAsia"/>
                <w:kern w:val="0"/>
                <w:szCs w:val="21"/>
              </w:rPr>
              <w:t>0</w:t>
            </w:r>
            <w:r>
              <w:rPr>
                <w:rFonts w:eastAsiaTheme="minorEastAsia" w:hint="eastAsia"/>
                <w:kern w:val="0"/>
                <w:szCs w:val="21"/>
              </w:rPr>
              <w:t>0</w:t>
            </w:r>
            <w:r>
              <w:rPr>
                <w:rFonts w:eastAsiaTheme="minorEastAsia"/>
                <w:kern w:val="0"/>
                <w:szCs w:val="21"/>
              </w:rPr>
              <w:t>1</w:t>
            </w:r>
          </w:p>
        </w:tc>
        <w:tc>
          <w:tcPr>
            <w:tcW w:w="3118" w:type="dxa"/>
            <w:vAlign w:val="center"/>
          </w:tcPr>
          <w:p w14:paraId="4983E0D4" w14:textId="77777777" w:rsidR="00F5289E" w:rsidRDefault="00C91173">
            <w:pPr>
              <w:widowControl/>
              <w:snapToGrid w:val="0"/>
              <w:spacing w:line="312" w:lineRule="auto"/>
              <w:jc w:val="center"/>
              <w:rPr>
                <w:rFonts w:eastAsiaTheme="minorEastAsia"/>
                <w:bCs/>
                <w:kern w:val="0"/>
                <w:szCs w:val="21"/>
              </w:rPr>
            </w:pPr>
            <w:r>
              <w:rPr>
                <w:rFonts w:eastAsiaTheme="minorEastAsia"/>
                <w:kern w:val="0"/>
                <w:szCs w:val="21"/>
              </w:rPr>
              <w:t>果品蔬菜一般物理性状的测定</w:t>
            </w:r>
          </w:p>
        </w:tc>
        <w:tc>
          <w:tcPr>
            <w:tcW w:w="709" w:type="dxa"/>
            <w:vAlign w:val="center"/>
          </w:tcPr>
          <w:p w14:paraId="63551089"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Cs w:val="21"/>
              </w:rPr>
              <w:t>2</w:t>
            </w:r>
          </w:p>
        </w:tc>
        <w:tc>
          <w:tcPr>
            <w:tcW w:w="1134" w:type="dxa"/>
            <w:vAlign w:val="center"/>
          </w:tcPr>
          <w:p w14:paraId="51684AB5"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Cs w:val="21"/>
              </w:rPr>
              <w:t>验证性</w:t>
            </w:r>
          </w:p>
        </w:tc>
        <w:tc>
          <w:tcPr>
            <w:tcW w:w="1276" w:type="dxa"/>
            <w:vAlign w:val="center"/>
          </w:tcPr>
          <w:p w14:paraId="2906F405"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Cs w:val="21"/>
              </w:rPr>
              <w:t>必做</w:t>
            </w:r>
          </w:p>
        </w:tc>
        <w:tc>
          <w:tcPr>
            <w:tcW w:w="1276" w:type="dxa"/>
          </w:tcPr>
          <w:p w14:paraId="0ACC3DBC"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Cs w:val="21"/>
              </w:rPr>
              <w:t>3-5</w:t>
            </w:r>
          </w:p>
        </w:tc>
      </w:tr>
      <w:tr w:rsidR="00F5289E" w14:paraId="5A8E9AC5" w14:textId="77777777">
        <w:tc>
          <w:tcPr>
            <w:tcW w:w="1276" w:type="dxa"/>
          </w:tcPr>
          <w:p w14:paraId="505467AC" w14:textId="77777777" w:rsidR="00F5289E" w:rsidRDefault="00C91173">
            <w:pPr>
              <w:jc w:val="center"/>
              <w:rPr>
                <w:rFonts w:eastAsiaTheme="minorEastAsia"/>
                <w:szCs w:val="21"/>
              </w:rPr>
            </w:pPr>
            <w:r>
              <w:rPr>
                <w:rFonts w:eastAsiaTheme="minorEastAsia"/>
                <w:kern w:val="0"/>
                <w:szCs w:val="21"/>
              </w:rPr>
              <w:t>190110</w:t>
            </w:r>
            <w:r>
              <w:rPr>
                <w:rFonts w:eastAsiaTheme="minorEastAsia" w:hint="eastAsia"/>
                <w:kern w:val="0"/>
                <w:szCs w:val="21"/>
              </w:rPr>
              <w:t>5</w:t>
            </w:r>
            <w:r>
              <w:rPr>
                <w:rFonts w:eastAsiaTheme="minorEastAsia"/>
                <w:kern w:val="0"/>
                <w:szCs w:val="21"/>
              </w:rPr>
              <w:t>0</w:t>
            </w:r>
            <w:r>
              <w:rPr>
                <w:rFonts w:eastAsiaTheme="minorEastAsia" w:hint="eastAsia"/>
                <w:kern w:val="0"/>
                <w:szCs w:val="21"/>
              </w:rPr>
              <w:t>0</w:t>
            </w:r>
            <w:r>
              <w:rPr>
                <w:rFonts w:eastAsiaTheme="minorEastAsia"/>
                <w:kern w:val="0"/>
                <w:szCs w:val="21"/>
              </w:rPr>
              <w:t>2</w:t>
            </w:r>
          </w:p>
        </w:tc>
        <w:tc>
          <w:tcPr>
            <w:tcW w:w="3118" w:type="dxa"/>
            <w:vAlign w:val="center"/>
          </w:tcPr>
          <w:p w14:paraId="511A0015" w14:textId="77777777" w:rsidR="00F5289E" w:rsidRDefault="00C91173">
            <w:pPr>
              <w:widowControl/>
              <w:snapToGrid w:val="0"/>
              <w:spacing w:line="312" w:lineRule="auto"/>
              <w:jc w:val="center"/>
              <w:rPr>
                <w:rFonts w:eastAsiaTheme="minorEastAsia"/>
                <w:bCs/>
                <w:kern w:val="0"/>
                <w:szCs w:val="21"/>
              </w:rPr>
            </w:pPr>
            <w:r>
              <w:rPr>
                <w:rFonts w:eastAsiaTheme="minorEastAsia"/>
                <w:kern w:val="0"/>
                <w:szCs w:val="21"/>
              </w:rPr>
              <w:t>果品蔬菜可滴定酸含量、可溶性固形物含量的测定及固</w:t>
            </w:r>
            <w:r>
              <w:rPr>
                <w:rFonts w:eastAsiaTheme="minorEastAsia"/>
                <w:kern w:val="0"/>
                <w:szCs w:val="21"/>
              </w:rPr>
              <w:t>/</w:t>
            </w:r>
            <w:r>
              <w:rPr>
                <w:rFonts w:eastAsiaTheme="minorEastAsia"/>
                <w:kern w:val="0"/>
                <w:szCs w:val="21"/>
              </w:rPr>
              <w:t>酸比值的计算</w:t>
            </w:r>
          </w:p>
        </w:tc>
        <w:tc>
          <w:tcPr>
            <w:tcW w:w="709" w:type="dxa"/>
            <w:vAlign w:val="center"/>
          </w:tcPr>
          <w:p w14:paraId="6D821438"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Cs w:val="21"/>
              </w:rPr>
              <w:t>2</w:t>
            </w:r>
          </w:p>
        </w:tc>
        <w:tc>
          <w:tcPr>
            <w:tcW w:w="1134" w:type="dxa"/>
          </w:tcPr>
          <w:p w14:paraId="324EAC72" w14:textId="77777777" w:rsidR="00F5289E" w:rsidRDefault="00C91173">
            <w:pPr>
              <w:jc w:val="center"/>
              <w:rPr>
                <w:rFonts w:eastAsiaTheme="minorEastAsia"/>
                <w:szCs w:val="21"/>
              </w:rPr>
            </w:pPr>
            <w:r>
              <w:rPr>
                <w:rFonts w:eastAsiaTheme="minorEastAsia" w:hint="eastAsia"/>
                <w:bCs/>
                <w:kern w:val="0"/>
                <w:szCs w:val="21"/>
              </w:rPr>
              <w:t>设计性</w:t>
            </w:r>
          </w:p>
        </w:tc>
        <w:tc>
          <w:tcPr>
            <w:tcW w:w="1276" w:type="dxa"/>
            <w:vAlign w:val="center"/>
          </w:tcPr>
          <w:p w14:paraId="0F3A4DE2"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Cs w:val="21"/>
              </w:rPr>
              <w:t>必做</w:t>
            </w:r>
          </w:p>
        </w:tc>
        <w:tc>
          <w:tcPr>
            <w:tcW w:w="1276" w:type="dxa"/>
          </w:tcPr>
          <w:p w14:paraId="4ACAA0FB" w14:textId="77777777" w:rsidR="00F5289E" w:rsidRDefault="00C91173">
            <w:pPr>
              <w:widowControl/>
              <w:snapToGrid w:val="0"/>
              <w:spacing w:line="312" w:lineRule="auto"/>
              <w:jc w:val="center"/>
              <w:rPr>
                <w:rFonts w:eastAsiaTheme="minorEastAsia"/>
                <w:bCs/>
                <w:kern w:val="0"/>
                <w:szCs w:val="21"/>
              </w:rPr>
            </w:pPr>
            <w:r>
              <w:rPr>
                <w:rFonts w:eastAsiaTheme="minorEastAsia"/>
                <w:szCs w:val="21"/>
              </w:rPr>
              <w:t>3-5</w:t>
            </w:r>
          </w:p>
        </w:tc>
      </w:tr>
      <w:tr w:rsidR="00F5289E" w14:paraId="6A4D310D" w14:textId="77777777">
        <w:tc>
          <w:tcPr>
            <w:tcW w:w="1276" w:type="dxa"/>
          </w:tcPr>
          <w:p w14:paraId="2BD44C63" w14:textId="77777777" w:rsidR="00F5289E" w:rsidRDefault="00C91173">
            <w:pPr>
              <w:jc w:val="center"/>
              <w:rPr>
                <w:rFonts w:eastAsiaTheme="minorEastAsia"/>
                <w:szCs w:val="21"/>
              </w:rPr>
            </w:pPr>
            <w:r>
              <w:rPr>
                <w:rFonts w:eastAsiaTheme="minorEastAsia"/>
                <w:kern w:val="0"/>
                <w:szCs w:val="21"/>
              </w:rPr>
              <w:t>190110</w:t>
            </w:r>
            <w:r>
              <w:rPr>
                <w:rFonts w:eastAsiaTheme="minorEastAsia" w:hint="eastAsia"/>
                <w:kern w:val="0"/>
                <w:szCs w:val="21"/>
              </w:rPr>
              <w:t>5</w:t>
            </w:r>
            <w:r>
              <w:rPr>
                <w:rFonts w:eastAsiaTheme="minorEastAsia"/>
                <w:kern w:val="0"/>
                <w:szCs w:val="21"/>
              </w:rPr>
              <w:t>0</w:t>
            </w:r>
            <w:r>
              <w:rPr>
                <w:rFonts w:eastAsiaTheme="minorEastAsia" w:hint="eastAsia"/>
                <w:kern w:val="0"/>
                <w:szCs w:val="21"/>
              </w:rPr>
              <w:t>03</w:t>
            </w:r>
          </w:p>
        </w:tc>
        <w:tc>
          <w:tcPr>
            <w:tcW w:w="3118" w:type="dxa"/>
            <w:vAlign w:val="center"/>
          </w:tcPr>
          <w:p w14:paraId="0A833D1F" w14:textId="77777777" w:rsidR="00F5289E" w:rsidRDefault="00C91173">
            <w:pPr>
              <w:widowControl/>
              <w:snapToGrid w:val="0"/>
              <w:spacing w:line="312" w:lineRule="auto"/>
              <w:jc w:val="center"/>
              <w:rPr>
                <w:rFonts w:eastAsiaTheme="minorEastAsia"/>
                <w:bCs/>
                <w:kern w:val="0"/>
                <w:szCs w:val="21"/>
              </w:rPr>
            </w:pPr>
            <w:r>
              <w:rPr>
                <w:rFonts w:eastAsiaTheme="minorEastAsia"/>
                <w:kern w:val="0"/>
                <w:szCs w:val="21"/>
              </w:rPr>
              <w:t>果品蔬菜还原型</w:t>
            </w:r>
            <w:proofErr w:type="spellStart"/>
            <w:r>
              <w:rPr>
                <w:rFonts w:eastAsiaTheme="minorEastAsia"/>
                <w:kern w:val="0"/>
                <w:szCs w:val="21"/>
              </w:rPr>
              <w:t>Vc</w:t>
            </w:r>
            <w:proofErr w:type="spellEnd"/>
            <w:r>
              <w:rPr>
                <w:rFonts w:eastAsiaTheme="minorEastAsia"/>
                <w:kern w:val="0"/>
                <w:szCs w:val="21"/>
              </w:rPr>
              <w:t>含量的测定</w:t>
            </w:r>
          </w:p>
        </w:tc>
        <w:tc>
          <w:tcPr>
            <w:tcW w:w="709" w:type="dxa"/>
            <w:vAlign w:val="center"/>
          </w:tcPr>
          <w:p w14:paraId="67CC88DB"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Cs w:val="21"/>
              </w:rPr>
              <w:t>2</w:t>
            </w:r>
          </w:p>
        </w:tc>
        <w:tc>
          <w:tcPr>
            <w:tcW w:w="1134" w:type="dxa"/>
          </w:tcPr>
          <w:p w14:paraId="2CAB150C" w14:textId="77777777" w:rsidR="00F5289E" w:rsidRDefault="00C91173">
            <w:pPr>
              <w:jc w:val="center"/>
              <w:rPr>
                <w:rFonts w:eastAsiaTheme="minorEastAsia"/>
                <w:szCs w:val="21"/>
              </w:rPr>
            </w:pPr>
            <w:r>
              <w:rPr>
                <w:rFonts w:eastAsiaTheme="minorEastAsia" w:hint="eastAsia"/>
                <w:bCs/>
                <w:kern w:val="0"/>
                <w:szCs w:val="21"/>
              </w:rPr>
              <w:t>设计性</w:t>
            </w:r>
          </w:p>
        </w:tc>
        <w:tc>
          <w:tcPr>
            <w:tcW w:w="1276" w:type="dxa"/>
            <w:vAlign w:val="center"/>
          </w:tcPr>
          <w:p w14:paraId="3A533EE2"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Cs w:val="21"/>
              </w:rPr>
              <w:t>必做</w:t>
            </w:r>
          </w:p>
        </w:tc>
        <w:tc>
          <w:tcPr>
            <w:tcW w:w="1276" w:type="dxa"/>
          </w:tcPr>
          <w:p w14:paraId="26A02F8E" w14:textId="77777777" w:rsidR="00F5289E" w:rsidRDefault="00C91173">
            <w:pPr>
              <w:widowControl/>
              <w:snapToGrid w:val="0"/>
              <w:spacing w:line="312" w:lineRule="auto"/>
              <w:jc w:val="center"/>
              <w:rPr>
                <w:rFonts w:eastAsiaTheme="minorEastAsia"/>
                <w:bCs/>
                <w:kern w:val="0"/>
                <w:szCs w:val="21"/>
              </w:rPr>
            </w:pPr>
            <w:r>
              <w:rPr>
                <w:rFonts w:eastAsiaTheme="minorEastAsia"/>
                <w:szCs w:val="21"/>
              </w:rPr>
              <w:t>3-5</w:t>
            </w:r>
          </w:p>
        </w:tc>
      </w:tr>
      <w:tr w:rsidR="00F5289E" w14:paraId="3BBE8B97" w14:textId="77777777">
        <w:tc>
          <w:tcPr>
            <w:tcW w:w="1276" w:type="dxa"/>
          </w:tcPr>
          <w:p w14:paraId="2E5FB117" w14:textId="77777777" w:rsidR="00F5289E" w:rsidRDefault="00C91173">
            <w:pPr>
              <w:jc w:val="center"/>
              <w:rPr>
                <w:rFonts w:eastAsiaTheme="minorEastAsia"/>
                <w:szCs w:val="21"/>
              </w:rPr>
            </w:pPr>
            <w:r>
              <w:rPr>
                <w:rFonts w:eastAsiaTheme="minorEastAsia"/>
                <w:kern w:val="0"/>
                <w:szCs w:val="21"/>
              </w:rPr>
              <w:t>190110</w:t>
            </w:r>
            <w:r>
              <w:rPr>
                <w:rFonts w:eastAsiaTheme="minorEastAsia" w:hint="eastAsia"/>
                <w:kern w:val="0"/>
                <w:szCs w:val="21"/>
              </w:rPr>
              <w:t>5</w:t>
            </w:r>
            <w:r>
              <w:rPr>
                <w:rFonts w:eastAsiaTheme="minorEastAsia"/>
                <w:kern w:val="0"/>
                <w:szCs w:val="21"/>
              </w:rPr>
              <w:t>0</w:t>
            </w:r>
            <w:r>
              <w:rPr>
                <w:rFonts w:eastAsiaTheme="minorEastAsia" w:hint="eastAsia"/>
                <w:kern w:val="0"/>
                <w:szCs w:val="21"/>
              </w:rPr>
              <w:t>04</w:t>
            </w:r>
          </w:p>
        </w:tc>
        <w:tc>
          <w:tcPr>
            <w:tcW w:w="3118" w:type="dxa"/>
            <w:vAlign w:val="center"/>
          </w:tcPr>
          <w:p w14:paraId="28199261" w14:textId="77777777" w:rsidR="00F5289E" w:rsidRDefault="00C91173">
            <w:pPr>
              <w:widowControl/>
              <w:snapToGrid w:val="0"/>
              <w:spacing w:line="312" w:lineRule="auto"/>
              <w:jc w:val="center"/>
              <w:rPr>
                <w:rFonts w:eastAsiaTheme="minorEastAsia"/>
                <w:bCs/>
                <w:kern w:val="0"/>
                <w:szCs w:val="21"/>
              </w:rPr>
            </w:pPr>
            <w:r>
              <w:rPr>
                <w:rFonts w:eastAsiaTheme="minorEastAsia"/>
                <w:kern w:val="0"/>
                <w:szCs w:val="21"/>
              </w:rPr>
              <w:t>果品蔬菜呼吸强度测定</w:t>
            </w:r>
          </w:p>
        </w:tc>
        <w:tc>
          <w:tcPr>
            <w:tcW w:w="709" w:type="dxa"/>
            <w:vAlign w:val="center"/>
          </w:tcPr>
          <w:p w14:paraId="7811509A" w14:textId="77777777" w:rsidR="00F5289E" w:rsidRDefault="00C91173">
            <w:pPr>
              <w:widowControl/>
              <w:snapToGrid w:val="0"/>
              <w:spacing w:line="312" w:lineRule="auto"/>
              <w:jc w:val="center"/>
              <w:rPr>
                <w:rFonts w:eastAsiaTheme="minorEastAsia"/>
                <w:bCs/>
                <w:kern w:val="0"/>
                <w:szCs w:val="21"/>
              </w:rPr>
            </w:pPr>
            <w:r>
              <w:rPr>
                <w:rFonts w:eastAsiaTheme="minorEastAsia"/>
                <w:bCs/>
                <w:kern w:val="0"/>
                <w:szCs w:val="21"/>
              </w:rPr>
              <w:t>3</w:t>
            </w:r>
          </w:p>
        </w:tc>
        <w:tc>
          <w:tcPr>
            <w:tcW w:w="1134" w:type="dxa"/>
          </w:tcPr>
          <w:p w14:paraId="4B4E1B15" w14:textId="77777777" w:rsidR="00F5289E" w:rsidRDefault="00C91173">
            <w:pPr>
              <w:jc w:val="center"/>
              <w:rPr>
                <w:rFonts w:eastAsiaTheme="minorEastAsia"/>
                <w:szCs w:val="21"/>
              </w:rPr>
            </w:pPr>
            <w:r>
              <w:rPr>
                <w:rFonts w:eastAsiaTheme="minorEastAsia" w:hint="eastAsia"/>
                <w:bCs/>
                <w:kern w:val="0"/>
                <w:szCs w:val="21"/>
              </w:rPr>
              <w:t>验证性</w:t>
            </w:r>
          </w:p>
        </w:tc>
        <w:tc>
          <w:tcPr>
            <w:tcW w:w="1276" w:type="dxa"/>
            <w:vAlign w:val="center"/>
          </w:tcPr>
          <w:p w14:paraId="0E71C747" w14:textId="77777777" w:rsidR="00F5289E" w:rsidRDefault="00C91173">
            <w:pPr>
              <w:widowControl/>
              <w:snapToGrid w:val="0"/>
              <w:spacing w:line="312" w:lineRule="auto"/>
              <w:jc w:val="center"/>
              <w:rPr>
                <w:rFonts w:eastAsiaTheme="minorEastAsia"/>
                <w:bCs/>
                <w:kern w:val="0"/>
                <w:szCs w:val="21"/>
              </w:rPr>
            </w:pPr>
            <w:r>
              <w:rPr>
                <w:rFonts w:eastAsiaTheme="minorEastAsia" w:hint="eastAsia"/>
                <w:bCs/>
                <w:kern w:val="0"/>
                <w:szCs w:val="21"/>
              </w:rPr>
              <w:t>必做</w:t>
            </w:r>
          </w:p>
        </w:tc>
        <w:tc>
          <w:tcPr>
            <w:tcW w:w="1276" w:type="dxa"/>
          </w:tcPr>
          <w:p w14:paraId="3DF6AFAE" w14:textId="77777777" w:rsidR="00F5289E" w:rsidRDefault="00C91173">
            <w:pPr>
              <w:widowControl/>
              <w:snapToGrid w:val="0"/>
              <w:spacing w:line="312" w:lineRule="auto"/>
              <w:jc w:val="center"/>
              <w:rPr>
                <w:rFonts w:eastAsiaTheme="minorEastAsia"/>
                <w:bCs/>
                <w:kern w:val="0"/>
                <w:szCs w:val="21"/>
              </w:rPr>
            </w:pPr>
            <w:r>
              <w:rPr>
                <w:rFonts w:eastAsiaTheme="minorEastAsia"/>
                <w:szCs w:val="21"/>
              </w:rPr>
              <w:t>3-5</w:t>
            </w:r>
          </w:p>
        </w:tc>
      </w:tr>
      <w:tr w:rsidR="00F5289E" w14:paraId="3B492185" w14:textId="77777777">
        <w:tc>
          <w:tcPr>
            <w:tcW w:w="1276" w:type="dxa"/>
            <w:vAlign w:val="center"/>
          </w:tcPr>
          <w:p w14:paraId="17FDF07B" w14:textId="77777777" w:rsidR="00F5289E" w:rsidRDefault="00C91173">
            <w:pPr>
              <w:widowControl/>
              <w:snapToGrid w:val="0"/>
              <w:spacing w:line="360" w:lineRule="auto"/>
              <w:rPr>
                <w:rFonts w:ascii="宋体" w:hAnsi="宋体"/>
                <w:kern w:val="0"/>
                <w:szCs w:val="21"/>
              </w:rPr>
            </w:pPr>
            <w:r>
              <w:rPr>
                <w:rFonts w:eastAsiaTheme="minorEastAsia"/>
                <w:kern w:val="0"/>
                <w:szCs w:val="21"/>
              </w:rPr>
              <w:t>190110</w:t>
            </w:r>
            <w:r>
              <w:rPr>
                <w:rFonts w:eastAsiaTheme="minorEastAsia" w:hint="eastAsia"/>
                <w:kern w:val="0"/>
                <w:szCs w:val="21"/>
              </w:rPr>
              <w:t>5</w:t>
            </w:r>
            <w:r>
              <w:rPr>
                <w:rFonts w:eastAsiaTheme="minorEastAsia"/>
                <w:kern w:val="0"/>
                <w:szCs w:val="21"/>
              </w:rPr>
              <w:t>0</w:t>
            </w:r>
            <w:r>
              <w:rPr>
                <w:rFonts w:eastAsiaTheme="minorEastAsia" w:hint="eastAsia"/>
                <w:kern w:val="0"/>
                <w:szCs w:val="21"/>
              </w:rPr>
              <w:t>05</w:t>
            </w:r>
          </w:p>
        </w:tc>
        <w:tc>
          <w:tcPr>
            <w:tcW w:w="3118" w:type="dxa"/>
            <w:vAlign w:val="center"/>
          </w:tcPr>
          <w:p w14:paraId="03FF633F" w14:textId="77777777" w:rsidR="00F5289E" w:rsidRDefault="00C91173">
            <w:pPr>
              <w:widowControl/>
              <w:snapToGrid w:val="0"/>
              <w:spacing w:line="360" w:lineRule="auto"/>
              <w:jc w:val="center"/>
              <w:rPr>
                <w:kern w:val="0"/>
                <w:szCs w:val="21"/>
              </w:rPr>
            </w:pPr>
            <w:r>
              <w:rPr>
                <w:rFonts w:eastAsiaTheme="minorEastAsia"/>
                <w:kern w:val="0"/>
                <w:szCs w:val="21"/>
              </w:rPr>
              <w:t>果品蔬菜</w:t>
            </w:r>
            <w:r>
              <w:rPr>
                <w:bCs/>
                <w:szCs w:val="21"/>
              </w:rPr>
              <w:t>采后成熟</w:t>
            </w:r>
            <w:r>
              <w:rPr>
                <w:rFonts w:hint="eastAsia"/>
                <w:bCs/>
                <w:szCs w:val="21"/>
              </w:rPr>
              <w:t>衰老</w:t>
            </w:r>
            <w:r>
              <w:rPr>
                <w:bCs/>
                <w:szCs w:val="21"/>
              </w:rPr>
              <w:t>调控</w:t>
            </w:r>
          </w:p>
        </w:tc>
        <w:tc>
          <w:tcPr>
            <w:tcW w:w="709" w:type="dxa"/>
            <w:vAlign w:val="center"/>
          </w:tcPr>
          <w:p w14:paraId="778F2314" w14:textId="77777777" w:rsidR="00F5289E" w:rsidRDefault="00C91173">
            <w:pPr>
              <w:widowControl/>
              <w:snapToGrid w:val="0"/>
              <w:spacing w:line="360" w:lineRule="auto"/>
              <w:ind w:firstLineChars="100" w:firstLine="210"/>
              <w:rPr>
                <w:kern w:val="0"/>
                <w:szCs w:val="21"/>
              </w:rPr>
            </w:pPr>
            <w:r>
              <w:rPr>
                <w:kern w:val="0"/>
                <w:szCs w:val="21"/>
              </w:rPr>
              <w:t>3</w:t>
            </w:r>
          </w:p>
        </w:tc>
        <w:tc>
          <w:tcPr>
            <w:tcW w:w="1134" w:type="dxa"/>
            <w:vAlign w:val="center"/>
          </w:tcPr>
          <w:p w14:paraId="4941A323" w14:textId="77777777" w:rsidR="00F5289E" w:rsidRDefault="00C91173">
            <w:pPr>
              <w:widowControl/>
              <w:snapToGrid w:val="0"/>
              <w:spacing w:line="360" w:lineRule="auto"/>
              <w:ind w:firstLineChars="100" w:firstLine="210"/>
              <w:rPr>
                <w:rFonts w:ascii="宋体" w:hAnsi="宋体"/>
                <w:kern w:val="0"/>
                <w:szCs w:val="21"/>
              </w:rPr>
            </w:pPr>
            <w:r>
              <w:rPr>
                <w:rFonts w:ascii="宋体" w:hAnsi="宋体" w:hint="eastAsia"/>
                <w:kern w:val="0"/>
                <w:szCs w:val="21"/>
              </w:rPr>
              <w:t>综合性</w:t>
            </w:r>
          </w:p>
        </w:tc>
        <w:tc>
          <w:tcPr>
            <w:tcW w:w="1276" w:type="dxa"/>
            <w:vAlign w:val="center"/>
          </w:tcPr>
          <w:p w14:paraId="761C4CB4" w14:textId="77777777" w:rsidR="00F5289E" w:rsidRDefault="00C91173">
            <w:pPr>
              <w:widowControl/>
              <w:snapToGrid w:val="0"/>
              <w:spacing w:line="360" w:lineRule="auto"/>
              <w:jc w:val="center"/>
              <w:rPr>
                <w:rFonts w:ascii="宋体" w:hAnsi="宋体"/>
                <w:kern w:val="0"/>
                <w:szCs w:val="21"/>
              </w:rPr>
            </w:pPr>
            <w:r>
              <w:rPr>
                <w:rFonts w:ascii="宋体" w:hAnsi="宋体" w:hint="eastAsia"/>
                <w:kern w:val="0"/>
                <w:szCs w:val="21"/>
              </w:rPr>
              <w:t>必做</w:t>
            </w:r>
          </w:p>
        </w:tc>
        <w:tc>
          <w:tcPr>
            <w:tcW w:w="1276" w:type="dxa"/>
          </w:tcPr>
          <w:p w14:paraId="36B7912C" w14:textId="77777777" w:rsidR="00F5289E" w:rsidRDefault="00C91173">
            <w:pPr>
              <w:widowControl/>
              <w:snapToGrid w:val="0"/>
              <w:spacing w:line="312" w:lineRule="auto"/>
              <w:jc w:val="center"/>
              <w:rPr>
                <w:rFonts w:eastAsiaTheme="minorEastAsia"/>
                <w:szCs w:val="21"/>
              </w:rPr>
            </w:pPr>
            <w:r>
              <w:rPr>
                <w:rFonts w:eastAsiaTheme="minorEastAsia"/>
                <w:szCs w:val="21"/>
              </w:rPr>
              <w:t>3-5</w:t>
            </w:r>
          </w:p>
        </w:tc>
      </w:tr>
    </w:tbl>
    <w:p w14:paraId="7F97D1AA" w14:textId="77777777" w:rsidR="00F5289E" w:rsidRDefault="00F5289E">
      <w:pPr>
        <w:snapToGrid w:val="0"/>
        <w:spacing w:afterLines="50" w:after="156" w:line="360" w:lineRule="auto"/>
        <w:rPr>
          <w:rFonts w:ascii="宋体" w:hAnsi="宋体"/>
          <w:b/>
          <w:bCs/>
          <w:szCs w:val="21"/>
        </w:rPr>
      </w:pPr>
    </w:p>
    <w:p w14:paraId="7E536B9A"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6153F518" w14:textId="77777777" w:rsidR="00F5289E" w:rsidRDefault="00C91173">
      <w:pPr>
        <w:spacing w:line="360" w:lineRule="auto"/>
        <w:ind w:leftChars="87" w:left="183" w:firstLineChars="200" w:firstLine="420"/>
        <w:jc w:val="left"/>
      </w:pPr>
      <w:r>
        <w:t>1</w:t>
      </w:r>
      <w:r>
        <w:t>、以</w:t>
      </w:r>
      <w:r>
        <w:t>3-5</w:t>
      </w:r>
      <w:r>
        <w:t>人一组为单位，共同完成一个实验。要求学生严格按照实验要求独立完成单元操作。独立完成实验报告。</w:t>
      </w:r>
    </w:p>
    <w:p w14:paraId="6CEE8730" w14:textId="77777777" w:rsidR="00F5289E" w:rsidRDefault="00C91173">
      <w:pPr>
        <w:spacing w:line="360" w:lineRule="auto"/>
        <w:ind w:leftChars="87" w:left="183" w:firstLineChars="200" w:firstLine="420"/>
        <w:jc w:val="left"/>
      </w:pPr>
      <w:r>
        <w:t>2</w:t>
      </w:r>
      <w:r>
        <w:t>、要求学生掌握果蔬品质指标、采后生理指标测定的原理、方法及操作步骤，独立完成测定实验过程，撰写并提交实验报告。</w:t>
      </w:r>
    </w:p>
    <w:p w14:paraId="15C524BE" w14:textId="77777777" w:rsidR="00F5289E" w:rsidRDefault="00C91173">
      <w:pPr>
        <w:spacing w:line="360" w:lineRule="auto"/>
        <w:ind w:leftChars="87" w:left="183" w:firstLineChars="200" w:firstLine="420"/>
        <w:jc w:val="left"/>
      </w:pPr>
      <w:r>
        <w:rPr>
          <w:rFonts w:hint="eastAsia"/>
        </w:rPr>
        <w:t>3</w:t>
      </w:r>
      <w:r>
        <w:rPr>
          <w:rFonts w:hint="eastAsia"/>
        </w:rPr>
        <w:t>、要求学生掌握利用所学基本原理及实验技能解决实际问题的能力。</w:t>
      </w:r>
    </w:p>
    <w:p w14:paraId="471F3A81" w14:textId="77777777" w:rsidR="00F5289E" w:rsidRDefault="00C91173">
      <w:pPr>
        <w:snapToGrid w:val="0"/>
        <w:spacing w:line="360" w:lineRule="auto"/>
        <w:rPr>
          <w:rFonts w:ascii="宋体" w:hAnsi="宋体"/>
          <w:b/>
          <w:szCs w:val="21"/>
        </w:rPr>
      </w:pPr>
      <w:r>
        <w:rPr>
          <w:rFonts w:ascii="宋体" w:hAnsi="宋体" w:hint="eastAsia"/>
          <w:b/>
          <w:bCs/>
          <w:szCs w:val="21"/>
        </w:rPr>
        <w:t>（六）</w:t>
      </w:r>
      <w:r>
        <w:rPr>
          <w:rFonts w:ascii="宋体" w:hAnsi="宋体" w:hint="eastAsia"/>
          <w:b/>
          <w:szCs w:val="21"/>
        </w:rPr>
        <w:t>实验内容安排</w:t>
      </w:r>
    </w:p>
    <w:p w14:paraId="14144A85" w14:textId="77777777" w:rsidR="00F5289E" w:rsidRDefault="00C91173">
      <w:pPr>
        <w:spacing w:line="360" w:lineRule="auto"/>
        <w:rPr>
          <w:b/>
          <w:bCs/>
        </w:rPr>
      </w:pPr>
      <w:r>
        <w:t>【</w:t>
      </w:r>
      <w:r>
        <w:rPr>
          <w:b/>
        </w:rPr>
        <w:t>实验一</w:t>
      </w:r>
      <w:r>
        <w:rPr>
          <w:b/>
          <w:bCs/>
        </w:rPr>
        <w:t>】</w:t>
      </w:r>
      <w:r>
        <w:rPr>
          <w:rFonts w:hint="eastAsia"/>
          <w:b/>
          <w:bCs/>
        </w:rPr>
        <w:t>果品蔬菜一般物理性状的测定</w:t>
      </w:r>
    </w:p>
    <w:p w14:paraId="697B9A1E" w14:textId="77777777" w:rsidR="00F5289E" w:rsidRDefault="00C91173">
      <w:pPr>
        <w:spacing w:line="360" w:lineRule="auto"/>
        <w:ind w:firstLineChars="200" w:firstLine="422"/>
      </w:pPr>
      <w:r>
        <w:rPr>
          <w:b/>
          <w:bCs/>
        </w:rPr>
        <w:t>1.</w:t>
      </w:r>
      <w:r>
        <w:rPr>
          <w:b/>
          <w:bCs/>
        </w:rPr>
        <w:t>实验学时：</w:t>
      </w:r>
      <w:r>
        <w:rPr>
          <w:rFonts w:hint="eastAsia"/>
        </w:rPr>
        <w:t>2</w:t>
      </w:r>
      <w:r>
        <w:t>学时</w:t>
      </w:r>
    </w:p>
    <w:p w14:paraId="45D46DE1" w14:textId="77777777" w:rsidR="00F5289E" w:rsidRDefault="00C91173">
      <w:pPr>
        <w:snapToGrid w:val="0"/>
        <w:spacing w:line="360" w:lineRule="auto"/>
        <w:ind w:firstLineChars="200" w:firstLine="422"/>
      </w:pPr>
      <w:r>
        <w:rPr>
          <w:b/>
        </w:rPr>
        <w:t>2.</w:t>
      </w:r>
      <w:r>
        <w:rPr>
          <w:b/>
        </w:rPr>
        <w:t>实验目的：</w:t>
      </w:r>
      <w:r>
        <w:t>果蔬物理性状是判断果蔬感官品质、商品质量、品种特性、确定果蔬采收成熟度、贮藏期及加工适应性的重要依据</w:t>
      </w:r>
      <w:r>
        <w:rPr>
          <w:rFonts w:hint="eastAsia"/>
        </w:rPr>
        <w:t>，</w:t>
      </w:r>
      <w:r>
        <w:t>也是判断果蔬贮藏特性变化的重要指标。掌握各种果蔬物理性状的测定方法，为制订各种贮藏技术措施提供依据。</w:t>
      </w:r>
    </w:p>
    <w:p w14:paraId="018829AF" w14:textId="77777777" w:rsidR="00F5289E" w:rsidRDefault="00C91173">
      <w:pPr>
        <w:snapToGrid w:val="0"/>
        <w:spacing w:line="360" w:lineRule="auto"/>
        <w:ind w:firstLineChars="200" w:firstLine="422"/>
      </w:pPr>
      <w:r>
        <w:rPr>
          <w:b/>
        </w:rPr>
        <w:t>3.</w:t>
      </w:r>
      <w:r>
        <w:rPr>
          <w:b/>
        </w:rPr>
        <w:t>实验内容：</w:t>
      </w:r>
      <w:r>
        <w:t>测定果实的重量、果形指数、比重、果实硬度、出汁率、容重等物理性状。进行果实的重量、果形指数、比重、硬度、可溶性固形物含量测定时，选不同种类、品种果实分别取</w:t>
      </w:r>
      <w:r>
        <w:t>5-10</w:t>
      </w:r>
      <w:r>
        <w:t>个果实测定，取其平均值。</w:t>
      </w:r>
    </w:p>
    <w:p w14:paraId="5FB3C2FD" w14:textId="77777777" w:rsidR="00F5289E" w:rsidRDefault="00C91173">
      <w:pPr>
        <w:spacing w:line="360" w:lineRule="auto"/>
        <w:ind w:firstLineChars="200" w:firstLine="422"/>
      </w:pPr>
      <w:r>
        <w:rPr>
          <w:b/>
        </w:rPr>
        <w:t>4.</w:t>
      </w:r>
      <w:r>
        <w:rPr>
          <w:b/>
        </w:rPr>
        <w:t>实验要求：</w:t>
      </w:r>
      <w:r>
        <w:t>要求掌握游标卡尺、硬度计、手持糖量计</w:t>
      </w:r>
      <w:r>
        <w:rPr>
          <w:rFonts w:hint="eastAsia"/>
        </w:rPr>
        <w:t>（折光仪）</w:t>
      </w:r>
      <w:r>
        <w:t>的操作方法。掌握果实重量、果形指数、比重、果实硬度</w:t>
      </w:r>
      <w:r>
        <w:rPr>
          <w:rFonts w:hint="eastAsia"/>
        </w:rPr>
        <w:t>、</w:t>
      </w:r>
      <w:r>
        <w:t>出汁率的测定方法。</w:t>
      </w:r>
      <w:r>
        <w:rPr>
          <w:color w:val="000000"/>
        </w:rPr>
        <w:t>   </w:t>
      </w:r>
    </w:p>
    <w:p w14:paraId="0E4C4865" w14:textId="77777777" w:rsidR="00F5289E" w:rsidRDefault="00C91173">
      <w:pPr>
        <w:spacing w:line="360" w:lineRule="auto"/>
        <w:ind w:firstLineChars="200" w:firstLine="422"/>
      </w:pPr>
      <w:r>
        <w:rPr>
          <w:b/>
        </w:rPr>
        <w:t>5.</w:t>
      </w:r>
      <w:r>
        <w:rPr>
          <w:b/>
        </w:rPr>
        <w:t>实验设备及器材：</w:t>
      </w:r>
      <w:r>
        <w:t>游标卡尺、硬度计、分析天平、手持糖量计。</w:t>
      </w:r>
    </w:p>
    <w:p w14:paraId="1F81F986" w14:textId="77777777" w:rsidR="00F5289E" w:rsidRDefault="00C91173">
      <w:pPr>
        <w:spacing w:line="360" w:lineRule="auto"/>
        <w:rPr>
          <w:b/>
          <w:bCs/>
        </w:rPr>
      </w:pPr>
      <w:r>
        <w:rPr>
          <w:b/>
          <w:bCs/>
        </w:rPr>
        <w:lastRenderedPageBreak/>
        <w:t>【实验二】</w:t>
      </w:r>
      <w:r>
        <w:rPr>
          <w:rFonts w:hint="eastAsia"/>
          <w:b/>
          <w:bCs/>
        </w:rPr>
        <w:t>果品蔬菜可滴定酸含量、可溶性固形物含量的测定及固</w:t>
      </w:r>
      <w:r>
        <w:rPr>
          <w:rFonts w:hint="eastAsia"/>
          <w:b/>
          <w:bCs/>
        </w:rPr>
        <w:t>/</w:t>
      </w:r>
      <w:r>
        <w:rPr>
          <w:rFonts w:hint="eastAsia"/>
          <w:b/>
          <w:bCs/>
        </w:rPr>
        <w:t>酸比值的计算</w:t>
      </w:r>
    </w:p>
    <w:p w14:paraId="584E514F" w14:textId="77777777" w:rsidR="00F5289E" w:rsidRDefault="00C91173">
      <w:pPr>
        <w:spacing w:line="360" w:lineRule="auto"/>
        <w:ind w:firstLineChars="200" w:firstLine="422"/>
      </w:pPr>
      <w:r>
        <w:rPr>
          <w:b/>
          <w:bCs/>
        </w:rPr>
        <w:t>1.</w:t>
      </w:r>
      <w:r>
        <w:rPr>
          <w:b/>
          <w:bCs/>
        </w:rPr>
        <w:t>实验学时：</w:t>
      </w:r>
      <w:r>
        <w:t>2</w:t>
      </w:r>
      <w:r>
        <w:t>学时</w:t>
      </w:r>
    </w:p>
    <w:p w14:paraId="4F92366A" w14:textId="77777777" w:rsidR="00F5289E" w:rsidRDefault="00C91173">
      <w:pPr>
        <w:spacing w:line="360" w:lineRule="auto"/>
        <w:ind w:firstLineChars="200" w:firstLine="422"/>
      </w:pPr>
      <w:r>
        <w:rPr>
          <w:b/>
          <w:bCs/>
        </w:rPr>
        <w:t>2.</w:t>
      </w:r>
      <w:r>
        <w:rPr>
          <w:b/>
          <w:bCs/>
        </w:rPr>
        <w:t>实验目的：</w:t>
      </w:r>
      <w:r>
        <w:t>果蔬中可溶性固形物含量及含酸量是衡量鉴别果蔬质量的重要指标之一，与新鲜果蔬及贮藏、加工后产品的品质风味关系密切。了解其含量对评价果蔬品质质量有重要作用。通过实验</w:t>
      </w:r>
      <w:r>
        <w:rPr>
          <w:rFonts w:hint="eastAsia"/>
        </w:rPr>
        <w:t>比较不同果品蔬菜的</w:t>
      </w:r>
      <w:r>
        <w:t>可溶性固形物含量、可滴定酸含量</w:t>
      </w:r>
      <w:r>
        <w:rPr>
          <w:rFonts w:hint="eastAsia"/>
        </w:rPr>
        <w:t>，了解影响果实口感和品质的主要因素。</w:t>
      </w:r>
    </w:p>
    <w:p w14:paraId="373E5DDF" w14:textId="77777777" w:rsidR="00F5289E" w:rsidRDefault="00C91173">
      <w:pPr>
        <w:spacing w:line="360" w:lineRule="auto"/>
        <w:ind w:firstLine="420"/>
        <w:rPr>
          <w:b/>
        </w:rPr>
      </w:pPr>
      <w:r>
        <w:rPr>
          <w:b/>
        </w:rPr>
        <w:t>3.</w:t>
      </w:r>
      <w:r>
        <w:rPr>
          <w:b/>
        </w:rPr>
        <w:t>实验内容：</w:t>
      </w:r>
    </w:p>
    <w:p w14:paraId="6EA3F3EC" w14:textId="77777777" w:rsidR="00F5289E" w:rsidRDefault="00C91173">
      <w:pPr>
        <w:spacing w:line="360" w:lineRule="auto"/>
        <w:ind w:firstLineChars="200" w:firstLine="420"/>
      </w:pPr>
      <w:r>
        <w:rPr>
          <w:rFonts w:hAnsi="宋体" w:hint="eastAsia"/>
          <w:bCs/>
          <w:kern w:val="0"/>
          <w:szCs w:val="21"/>
        </w:rPr>
        <w:t>（</w:t>
      </w:r>
      <w:r>
        <w:rPr>
          <w:rFonts w:hAnsi="宋体" w:hint="eastAsia"/>
          <w:bCs/>
          <w:kern w:val="0"/>
          <w:szCs w:val="21"/>
        </w:rPr>
        <w:t>1</w:t>
      </w:r>
      <w:r>
        <w:rPr>
          <w:rFonts w:hAnsi="宋体" w:hint="eastAsia"/>
          <w:bCs/>
          <w:kern w:val="0"/>
          <w:szCs w:val="21"/>
        </w:rPr>
        <w:t>）</w:t>
      </w:r>
      <w:r>
        <w:t>用手持糖量计测定果实</w:t>
      </w:r>
      <w:r>
        <w:t>TSS</w:t>
      </w:r>
      <w:r>
        <w:t>含量：每个果实取赤道线</w:t>
      </w:r>
      <w:r>
        <w:t>4</w:t>
      </w:r>
      <w:r>
        <w:t>个部位取果汁测定，求其平均值。</w:t>
      </w:r>
    </w:p>
    <w:p w14:paraId="22D1A29E" w14:textId="77777777" w:rsidR="00F5289E" w:rsidRDefault="00C91173">
      <w:pPr>
        <w:spacing w:line="360" w:lineRule="auto"/>
        <w:ind w:firstLineChars="200" w:firstLine="420"/>
      </w:pPr>
      <w:r>
        <w:rPr>
          <w:rFonts w:hAnsi="宋体" w:hint="eastAsia"/>
          <w:bCs/>
          <w:kern w:val="0"/>
          <w:szCs w:val="21"/>
        </w:rPr>
        <w:t>（</w:t>
      </w:r>
      <w:r>
        <w:rPr>
          <w:rFonts w:hAnsi="宋体" w:hint="eastAsia"/>
          <w:bCs/>
          <w:kern w:val="0"/>
          <w:szCs w:val="21"/>
        </w:rPr>
        <w:t>2</w:t>
      </w:r>
      <w:r>
        <w:rPr>
          <w:rFonts w:hAnsi="宋体" w:hint="eastAsia"/>
          <w:bCs/>
          <w:kern w:val="0"/>
          <w:szCs w:val="21"/>
        </w:rPr>
        <w:t>）</w:t>
      </w:r>
      <w:r>
        <w:t>测定果实可滴定酸的含量：根据酸碱中和的原理，以苹果、番茄、柑橘、葡萄等果蔬为样品，测定果实中可滴定酸的含量。</w:t>
      </w:r>
    </w:p>
    <w:p w14:paraId="5F5840DE" w14:textId="77777777" w:rsidR="00F5289E" w:rsidRDefault="00C91173">
      <w:pPr>
        <w:spacing w:line="360" w:lineRule="auto"/>
        <w:ind w:firstLineChars="200" w:firstLine="420"/>
      </w:pPr>
      <w:r>
        <w:rPr>
          <w:rFonts w:hAnsi="宋体" w:hint="eastAsia"/>
          <w:bCs/>
          <w:kern w:val="0"/>
          <w:szCs w:val="21"/>
        </w:rPr>
        <w:t>（</w:t>
      </w:r>
      <w:r>
        <w:rPr>
          <w:rFonts w:hAnsi="宋体" w:hint="eastAsia"/>
          <w:bCs/>
          <w:kern w:val="0"/>
          <w:szCs w:val="21"/>
        </w:rPr>
        <w:t>3</w:t>
      </w:r>
      <w:r>
        <w:rPr>
          <w:rFonts w:hAnsi="宋体" w:hint="eastAsia"/>
          <w:bCs/>
          <w:kern w:val="0"/>
          <w:szCs w:val="21"/>
        </w:rPr>
        <w:t>）</w:t>
      </w:r>
      <w:r>
        <w:t>计算果实的固酸比。理解果实的风味与糖、酸及固酸比的关系。</w:t>
      </w:r>
    </w:p>
    <w:p w14:paraId="57BD6AB3" w14:textId="77777777" w:rsidR="00F5289E" w:rsidRDefault="00C91173">
      <w:pPr>
        <w:spacing w:line="360" w:lineRule="auto"/>
        <w:ind w:firstLineChars="200" w:firstLine="422"/>
      </w:pPr>
      <w:r>
        <w:rPr>
          <w:b/>
        </w:rPr>
        <w:t>4.</w:t>
      </w:r>
      <w:r>
        <w:rPr>
          <w:b/>
        </w:rPr>
        <w:t>实验要求：</w:t>
      </w:r>
      <w:r>
        <w:t>掌握可溶性固形物及果蔬可滴定酸含量测定具体操作方法。</w:t>
      </w:r>
    </w:p>
    <w:p w14:paraId="18B33E01" w14:textId="77777777" w:rsidR="00F5289E" w:rsidRDefault="00C91173">
      <w:pPr>
        <w:spacing w:line="360" w:lineRule="auto"/>
        <w:ind w:firstLineChars="200" w:firstLine="422"/>
        <w:rPr>
          <w:b/>
        </w:rPr>
      </w:pPr>
      <w:r>
        <w:rPr>
          <w:b/>
        </w:rPr>
        <w:t>5.</w:t>
      </w:r>
      <w:r>
        <w:rPr>
          <w:b/>
        </w:rPr>
        <w:t>实验设备及器材：</w:t>
      </w:r>
      <w:r>
        <w:t>手持糖量计、碱式滴定管、移液管、容量瓶、研钵、天平等。</w:t>
      </w:r>
    </w:p>
    <w:p w14:paraId="2F5E7233" w14:textId="77777777" w:rsidR="00F5289E" w:rsidRDefault="00C91173">
      <w:pPr>
        <w:spacing w:line="360" w:lineRule="auto"/>
        <w:rPr>
          <w:b/>
          <w:bCs/>
        </w:rPr>
      </w:pPr>
      <w:r>
        <w:rPr>
          <w:b/>
        </w:rPr>
        <w:t>【实验三】</w:t>
      </w:r>
      <w:r>
        <w:rPr>
          <w:rFonts w:hint="eastAsia"/>
          <w:b/>
          <w:bCs/>
        </w:rPr>
        <w:t>果品蔬菜还原型</w:t>
      </w:r>
      <w:r>
        <w:rPr>
          <w:rFonts w:hint="eastAsia"/>
          <w:b/>
          <w:bCs/>
        </w:rPr>
        <w:t xml:space="preserve"> </w:t>
      </w:r>
      <w:proofErr w:type="spellStart"/>
      <w:r>
        <w:rPr>
          <w:rFonts w:hint="eastAsia"/>
          <w:b/>
          <w:bCs/>
        </w:rPr>
        <w:t>Vc</w:t>
      </w:r>
      <w:proofErr w:type="spellEnd"/>
      <w:r>
        <w:rPr>
          <w:rFonts w:hint="eastAsia"/>
          <w:b/>
          <w:bCs/>
        </w:rPr>
        <w:t>含量的测定</w:t>
      </w:r>
    </w:p>
    <w:p w14:paraId="554FCD17" w14:textId="77777777" w:rsidR="00F5289E" w:rsidRDefault="00C91173">
      <w:pPr>
        <w:spacing w:line="360" w:lineRule="auto"/>
        <w:ind w:firstLineChars="200" w:firstLine="422"/>
      </w:pPr>
      <w:r>
        <w:rPr>
          <w:b/>
          <w:bCs/>
        </w:rPr>
        <w:t>1.</w:t>
      </w:r>
      <w:r>
        <w:rPr>
          <w:b/>
          <w:bCs/>
        </w:rPr>
        <w:t>实验学</w:t>
      </w:r>
      <w:r>
        <w:rPr>
          <w:b/>
        </w:rPr>
        <w:t>时：</w:t>
      </w:r>
      <w:r>
        <w:rPr>
          <w:rFonts w:hint="eastAsia"/>
        </w:rPr>
        <w:t>2</w:t>
      </w:r>
      <w:r>
        <w:t>学时</w:t>
      </w:r>
    </w:p>
    <w:p w14:paraId="717BDEE4" w14:textId="77777777" w:rsidR="00F5289E" w:rsidRDefault="00C91173">
      <w:pPr>
        <w:spacing w:line="360" w:lineRule="auto"/>
        <w:ind w:firstLineChars="200" w:firstLine="422"/>
      </w:pPr>
      <w:r>
        <w:rPr>
          <w:b/>
        </w:rPr>
        <w:t>2.</w:t>
      </w:r>
      <w:r>
        <w:rPr>
          <w:b/>
        </w:rPr>
        <w:t>实验目的：</w:t>
      </w:r>
      <w:r>
        <w:t>维生素</w:t>
      </w:r>
      <w:r>
        <w:t>C</w:t>
      </w:r>
      <w:r>
        <w:t>含量是评价果蔬营养价值的重要指标之一。要求通过本实验了解果蔬中维生素</w:t>
      </w:r>
      <w:r>
        <w:t>C</w:t>
      </w:r>
      <w:r>
        <w:t>测定的基本原理</w:t>
      </w:r>
      <w:r>
        <w:rPr>
          <w:rFonts w:hint="eastAsia"/>
        </w:rPr>
        <w:t>和常见果蔬</w:t>
      </w:r>
      <w:proofErr w:type="spellStart"/>
      <w:r>
        <w:rPr>
          <w:rFonts w:hint="eastAsia"/>
        </w:rPr>
        <w:t>Vc</w:t>
      </w:r>
      <w:proofErr w:type="spellEnd"/>
      <w:r>
        <w:rPr>
          <w:rFonts w:hint="eastAsia"/>
        </w:rPr>
        <w:t>含量的差别，为日常</w:t>
      </w:r>
      <w:proofErr w:type="spellStart"/>
      <w:r>
        <w:rPr>
          <w:rFonts w:hint="eastAsia"/>
        </w:rPr>
        <w:t>Vc</w:t>
      </w:r>
      <w:proofErr w:type="spellEnd"/>
      <w:r>
        <w:rPr>
          <w:rFonts w:hint="eastAsia"/>
        </w:rPr>
        <w:t>摄取量提供指导</w:t>
      </w:r>
      <w:r>
        <w:t>。</w:t>
      </w:r>
    </w:p>
    <w:p w14:paraId="3822D47A" w14:textId="77777777" w:rsidR="00F5289E" w:rsidRDefault="00C91173">
      <w:pPr>
        <w:spacing w:line="360" w:lineRule="auto"/>
        <w:ind w:firstLineChars="200" w:firstLine="422"/>
      </w:pPr>
      <w:r>
        <w:rPr>
          <w:b/>
        </w:rPr>
        <w:t>3.</w:t>
      </w:r>
      <w:r>
        <w:rPr>
          <w:b/>
        </w:rPr>
        <w:t>实验内容</w:t>
      </w:r>
      <w:r>
        <w:rPr>
          <w:b/>
          <w:bCs/>
        </w:rPr>
        <w:t>：</w:t>
      </w:r>
      <w:r>
        <w:t>用碘量法或</w:t>
      </w:r>
      <w:r>
        <w:t>2</w:t>
      </w:r>
      <w:r>
        <w:t>，</w:t>
      </w:r>
      <w:r>
        <w:t>6</w:t>
      </w:r>
      <w:r>
        <w:t>二氯靛酚钠测定法测定柑橘、猕猴桃、大枣、花椰菜、青椒等果蔬的维生素</w:t>
      </w:r>
      <w:r>
        <w:t>C</w:t>
      </w:r>
      <w:r>
        <w:t>含量。</w:t>
      </w:r>
    </w:p>
    <w:p w14:paraId="2B3E2BB5" w14:textId="77777777" w:rsidR="00F5289E" w:rsidRDefault="00C91173">
      <w:pPr>
        <w:spacing w:line="360" w:lineRule="auto"/>
        <w:ind w:firstLineChars="200" w:firstLine="422"/>
        <w:rPr>
          <w:spacing w:val="15"/>
          <w:kern w:val="0"/>
        </w:rPr>
      </w:pPr>
      <w:r>
        <w:rPr>
          <w:b/>
        </w:rPr>
        <w:t>4.</w:t>
      </w:r>
      <w:r>
        <w:rPr>
          <w:b/>
        </w:rPr>
        <w:t>实验要求：</w:t>
      </w:r>
      <w:r>
        <w:rPr>
          <w:spacing w:val="15"/>
          <w:kern w:val="0"/>
        </w:rPr>
        <w:t>掌握果蔬</w:t>
      </w:r>
      <w:proofErr w:type="spellStart"/>
      <w:r>
        <w:rPr>
          <w:spacing w:val="15"/>
          <w:kern w:val="0"/>
        </w:rPr>
        <w:t>Vc</w:t>
      </w:r>
      <w:proofErr w:type="spellEnd"/>
      <w:r>
        <w:rPr>
          <w:spacing w:val="15"/>
          <w:kern w:val="0"/>
        </w:rPr>
        <w:t>含量测定方法及操作方法。</w:t>
      </w:r>
    </w:p>
    <w:p w14:paraId="0B1F7B00" w14:textId="77777777" w:rsidR="00F5289E" w:rsidRDefault="00C91173">
      <w:pPr>
        <w:spacing w:line="360" w:lineRule="auto"/>
        <w:ind w:firstLineChars="200" w:firstLine="422"/>
      </w:pPr>
      <w:r>
        <w:rPr>
          <w:b/>
        </w:rPr>
        <w:t>5.</w:t>
      </w:r>
      <w:r>
        <w:rPr>
          <w:b/>
        </w:rPr>
        <w:t>实验设备及器材：</w:t>
      </w:r>
      <w:r>
        <w:t>天平、微量滴定管、移液管、容量瓶。</w:t>
      </w:r>
    </w:p>
    <w:p w14:paraId="51BE63F9" w14:textId="77777777" w:rsidR="00F5289E" w:rsidRDefault="00C91173">
      <w:pPr>
        <w:spacing w:line="360" w:lineRule="auto"/>
        <w:rPr>
          <w:b/>
        </w:rPr>
      </w:pPr>
      <w:r>
        <w:t>【</w:t>
      </w:r>
      <w:r>
        <w:rPr>
          <w:b/>
        </w:rPr>
        <w:t>实验四】</w:t>
      </w:r>
      <w:r>
        <w:rPr>
          <w:rFonts w:hint="eastAsia"/>
          <w:b/>
        </w:rPr>
        <w:t>果品蔬菜呼吸强度测定</w:t>
      </w:r>
    </w:p>
    <w:p w14:paraId="100E3169" w14:textId="77777777" w:rsidR="00F5289E" w:rsidRDefault="00C91173">
      <w:pPr>
        <w:spacing w:line="360" w:lineRule="auto"/>
        <w:ind w:firstLineChars="200" w:firstLine="422"/>
      </w:pPr>
      <w:r>
        <w:rPr>
          <w:b/>
        </w:rPr>
        <w:t>1.</w:t>
      </w:r>
      <w:r>
        <w:rPr>
          <w:b/>
        </w:rPr>
        <w:t>实验学时：</w:t>
      </w:r>
      <w:r>
        <w:rPr>
          <w:rFonts w:hint="eastAsia"/>
        </w:rPr>
        <w:t>3</w:t>
      </w:r>
      <w:r>
        <w:t>学时</w:t>
      </w:r>
    </w:p>
    <w:p w14:paraId="0B8A367B" w14:textId="77777777" w:rsidR="00F5289E" w:rsidRDefault="00C91173">
      <w:pPr>
        <w:spacing w:line="360" w:lineRule="auto"/>
        <w:ind w:firstLineChars="200" w:firstLine="422"/>
      </w:pPr>
      <w:r>
        <w:rPr>
          <w:b/>
        </w:rPr>
        <w:t>2.</w:t>
      </w:r>
      <w:r>
        <w:rPr>
          <w:b/>
        </w:rPr>
        <w:t>实验目的：</w:t>
      </w:r>
      <w:r>
        <w:t>呼吸强度可衡量呼吸作用强弱，了解果蔬采后生理状态，为低温和气调贮运以及呼吸热的计算提供必要参考数据。</w:t>
      </w:r>
    </w:p>
    <w:p w14:paraId="5058BC0A" w14:textId="77777777" w:rsidR="00F5289E" w:rsidRDefault="00C91173">
      <w:pPr>
        <w:spacing w:line="360" w:lineRule="auto"/>
        <w:ind w:firstLineChars="200" w:firstLine="420"/>
      </w:pPr>
      <w:r>
        <w:t>通常是采用一定碱液吸收果蔬在一定时间内呼吸所释放出来的</w:t>
      </w:r>
      <w:r>
        <w:t>CO</w:t>
      </w:r>
      <w:r>
        <w:rPr>
          <w:vertAlign w:val="subscript"/>
        </w:rPr>
        <w:t>2</w:t>
      </w:r>
      <w:r>
        <w:t>，再用酸滴定剩余的碱，然后计算呼吸所释放</w:t>
      </w:r>
      <w:r>
        <w:t>CO</w:t>
      </w:r>
      <w:r>
        <w:rPr>
          <w:vertAlign w:val="subscript"/>
        </w:rPr>
        <w:t>2</w:t>
      </w:r>
      <w:r>
        <w:t>量，求出呼吸强度。呼吸强度单位为每公斤每小时果蔬释放</w:t>
      </w:r>
      <w:r>
        <w:t>CO</w:t>
      </w:r>
      <w:r>
        <w:rPr>
          <w:vertAlign w:val="subscript"/>
        </w:rPr>
        <w:t>2</w:t>
      </w:r>
      <w:r>
        <w:t>毫克数。</w:t>
      </w:r>
    </w:p>
    <w:p w14:paraId="77329DAD" w14:textId="77777777" w:rsidR="00F5289E" w:rsidRDefault="00C91173">
      <w:pPr>
        <w:spacing w:line="360" w:lineRule="auto"/>
        <w:rPr>
          <w:sz w:val="18"/>
        </w:rPr>
      </w:pPr>
      <w:r>
        <w:t>通过实验掌握用气流法、静置法测定呼吸强度的操作方法步</w:t>
      </w:r>
      <w:r>
        <w:rPr>
          <w:sz w:val="18"/>
        </w:rPr>
        <w:t>骤。</w:t>
      </w:r>
    </w:p>
    <w:p w14:paraId="6BD7F214" w14:textId="77777777" w:rsidR="00F5289E" w:rsidRDefault="00C91173">
      <w:pPr>
        <w:spacing w:line="360" w:lineRule="auto"/>
        <w:ind w:firstLineChars="200" w:firstLine="422"/>
      </w:pPr>
      <w:r>
        <w:rPr>
          <w:b/>
        </w:rPr>
        <w:lastRenderedPageBreak/>
        <w:t>3.</w:t>
      </w:r>
      <w:r>
        <w:rPr>
          <w:b/>
        </w:rPr>
        <w:t>实验内容</w:t>
      </w:r>
      <w:r>
        <w:rPr>
          <w:rFonts w:hint="eastAsia"/>
          <w:b/>
        </w:rPr>
        <w:t>：</w:t>
      </w:r>
      <w:r>
        <w:t>气流法、静置法测定果蔬（如苹果、番茄</w:t>
      </w:r>
      <w:r>
        <w:rPr>
          <w:rFonts w:hint="eastAsia"/>
        </w:rPr>
        <w:t>、</w:t>
      </w:r>
      <w:r>
        <w:t>青椒、叶菜等）呼吸强度。</w:t>
      </w:r>
    </w:p>
    <w:p w14:paraId="566EC966" w14:textId="77777777" w:rsidR="00F5289E" w:rsidRDefault="00C91173">
      <w:pPr>
        <w:spacing w:line="360" w:lineRule="auto"/>
        <w:ind w:firstLineChars="200" w:firstLine="422"/>
      </w:pPr>
      <w:r>
        <w:rPr>
          <w:b/>
        </w:rPr>
        <w:t>4.</w:t>
      </w:r>
      <w:r>
        <w:rPr>
          <w:b/>
        </w:rPr>
        <w:t>实验要求：</w:t>
      </w:r>
      <w:r>
        <w:t>掌握测定果品蔬菜呼吸强度原理及操作方法步骤。</w:t>
      </w:r>
    </w:p>
    <w:p w14:paraId="733129B0" w14:textId="77777777" w:rsidR="00F5289E" w:rsidRDefault="00C91173">
      <w:pPr>
        <w:spacing w:line="360" w:lineRule="auto"/>
        <w:ind w:firstLineChars="200" w:firstLine="422"/>
      </w:pPr>
      <w:r>
        <w:rPr>
          <w:b/>
        </w:rPr>
        <w:t>5.</w:t>
      </w:r>
      <w:r>
        <w:rPr>
          <w:b/>
        </w:rPr>
        <w:t>实验设备及器材：</w:t>
      </w:r>
      <w:r>
        <w:t>真空干燥器、大气采样器、吸收管、滴定管架、铁夹、培养皿。</w:t>
      </w:r>
    </w:p>
    <w:p w14:paraId="40194AC2" w14:textId="77777777" w:rsidR="00F5289E" w:rsidRDefault="00C91173">
      <w:pPr>
        <w:spacing w:line="360" w:lineRule="auto"/>
        <w:rPr>
          <w:b/>
          <w:szCs w:val="21"/>
        </w:rPr>
      </w:pPr>
      <w:r>
        <w:rPr>
          <w:b/>
          <w:szCs w:val="21"/>
        </w:rPr>
        <w:t>【实验</w:t>
      </w:r>
      <w:r>
        <w:rPr>
          <w:rFonts w:hint="eastAsia"/>
          <w:b/>
          <w:szCs w:val="21"/>
        </w:rPr>
        <w:t>五</w:t>
      </w:r>
      <w:r>
        <w:rPr>
          <w:b/>
          <w:szCs w:val="21"/>
        </w:rPr>
        <w:t>】果</w:t>
      </w:r>
      <w:r>
        <w:rPr>
          <w:rFonts w:hint="eastAsia"/>
          <w:b/>
          <w:szCs w:val="21"/>
        </w:rPr>
        <w:t>品蔬菜</w:t>
      </w:r>
      <w:r>
        <w:rPr>
          <w:b/>
          <w:szCs w:val="21"/>
        </w:rPr>
        <w:t>采后成熟</w:t>
      </w:r>
      <w:r>
        <w:rPr>
          <w:rFonts w:hint="eastAsia"/>
          <w:b/>
          <w:szCs w:val="21"/>
        </w:rPr>
        <w:t>衰老调控</w:t>
      </w:r>
    </w:p>
    <w:p w14:paraId="2555DE34" w14:textId="77777777" w:rsidR="00F5289E" w:rsidRDefault="00C91173">
      <w:pPr>
        <w:spacing w:line="360" w:lineRule="auto"/>
        <w:ind w:firstLineChars="200" w:firstLine="422"/>
        <w:rPr>
          <w:b/>
          <w:szCs w:val="21"/>
        </w:rPr>
      </w:pPr>
      <w:r>
        <w:rPr>
          <w:b/>
          <w:szCs w:val="21"/>
        </w:rPr>
        <w:t>1.</w:t>
      </w:r>
      <w:r>
        <w:rPr>
          <w:b/>
          <w:szCs w:val="21"/>
        </w:rPr>
        <w:t>实验学时：</w:t>
      </w:r>
      <w:r>
        <w:rPr>
          <w:rFonts w:hint="eastAsia"/>
          <w:szCs w:val="21"/>
        </w:rPr>
        <w:t>3</w:t>
      </w:r>
      <w:r>
        <w:rPr>
          <w:szCs w:val="21"/>
        </w:rPr>
        <w:t>学时</w:t>
      </w:r>
    </w:p>
    <w:p w14:paraId="6A3A2FAE" w14:textId="77777777" w:rsidR="00F5289E" w:rsidRDefault="00C91173">
      <w:pPr>
        <w:spacing w:line="360" w:lineRule="auto"/>
        <w:ind w:firstLine="420"/>
        <w:rPr>
          <w:szCs w:val="21"/>
        </w:rPr>
      </w:pPr>
      <w:r>
        <w:rPr>
          <w:b/>
          <w:szCs w:val="21"/>
        </w:rPr>
        <w:t>2.</w:t>
      </w:r>
      <w:r>
        <w:rPr>
          <w:b/>
          <w:szCs w:val="21"/>
        </w:rPr>
        <w:t>实验目的：</w:t>
      </w:r>
      <w:r>
        <w:rPr>
          <w:szCs w:val="21"/>
        </w:rPr>
        <w:t>了解果蔬</w:t>
      </w:r>
      <w:r>
        <w:rPr>
          <w:rFonts w:hint="eastAsia"/>
          <w:szCs w:val="21"/>
        </w:rPr>
        <w:t>采后调控的</w:t>
      </w:r>
      <w:r>
        <w:rPr>
          <w:szCs w:val="21"/>
        </w:rPr>
        <w:t>原理和方法</w:t>
      </w:r>
      <w:r>
        <w:rPr>
          <w:rFonts w:hint="eastAsia"/>
          <w:szCs w:val="21"/>
        </w:rPr>
        <w:t>。</w:t>
      </w:r>
      <w:r>
        <w:rPr>
          <w:szCs w:val="21"/>
        </w:rPr>
        <w:t>掌握乙烯利等常用催熟剂的催熟原理</w:t>
      </w:r>
      <w:r>
        <w:rPr>
          <w:rFonts w:hint="eastAsia"/>
          <w:szCs w:val="21"/>
        </w:rPr>
        <w:t>和乙烯作用抑制剂</w:t>
      </w:r>
      <w:r>
        <w:rPr>
          <w:rFonts w:hint="eastAsia"/>
          <w:szCs w:val="21"/>
        </w:rPr>
        <w:t>1-MCP</w:t>
      </w:r>
      <w:r>
        <w:rPr>
          <w:rFonts w:hint="eastAsia"/>
          <w:szCs w:val="21"/>
        </w:rPr>
        <w:t>等物质延长果蔬贮藏寿命的原理，掌握调控果蔬成熟及衰老的</w:t>
      </w:r>
      <w:r>
        <w:rPr>
          <w:szCs w:val="21"/>
        </w:rPr>
        <w:t>使用方法。</w:t>
      </w:r>
    </w:p>
    <w:p w14:paraId="5544084B" w14:textId="77777777" w:rsidR="00F5289E" w:rsidRDefault="00C91173">
      <w:pPr>
        <w:spacing w:line="360" w:lineRule="auto"/>
        <w:ind w:firstLineChars="200" w:firstLine="422"/>
        <w:rPr>
          <w:b/>
          <w:szCs w:val="21"/>
        </w:rPr>
      </w:pPr>
      <w:r>
        <w:rPr>
          <w:b/>
          <w:szCs w:val="21"/>
        </w:rPr>
        <w:t>3.</w:t>
      </w:r>
      <w:r>
        <w:rPr>
          <w:b/>
          <w:szCs w:val="21"/>
        </w:rPr>
        <w:t>实验内容：</w:t>
      </w:r>
    </w:p>
    <w:p w14:paraId="2DFEF62C" w14:textId="77777777" w:rsidR="00F5289E" w:rsidRDefault="00C91173">
      <w:pPr>
        <w:spacing w:line="360" w:lineRule="auto"/>
        <w:ind w:firstLineChars="200" w:firstLine="420"/>
        <w:rPr>
          <w:rFonts w:hAnsi="宋体"/>
          <w:bCs/>
          <w:kern w:val="0"/>
          <w:szCs w:val="21"/>
        </w:rPr>
      </w:pPr>
      <w:r>
        <w:rPr>
          <w:rFonts w:hAnsi="宋体"/>
          <w:bCs/>
          <w:kern w:val="0"/>
          <w:szCs w:val="21"/>
        </w:rPr>
        <w:t>（</w:t>
      </w:r>
      <w:r>
        <w:rPr>
          <w:rFonts w:hAnsi="宋体"/>
          <w:bCs/>
          <w:kern w:val="0"/>
          <w:szCs w:val="21"/>
        </w:rPr>
        <w:t>1</w:t>
      </w:r>
      <w:r>
        <w:rPr>
          <w:rFonts w:hAnsi="宋体"/>
          <w:bCs/>
          <w:kern w:val="0"/>
          <w:szCs w:val="21"/>
        </w:rPr>
        <w:t>）挑选成熟度一致</w:t>
      </w:r>
      <w:r>
        <w:rPr>
          <w:rFonts w:hAnsi="宋体" w:hint="eastAsia"/>
          <w:bCs/>
          <w:kern w:val="0"/>
          <w:szCs w:val="21"/>
        </w:rPr>
        <w:t>、</w:t>
      </w:r>
      <w:r>
        <w:rPr>
          <w:rFonts w:hAnsi="宋体"/>
          <w:bCs/>
          <w:kern w:val="0"/>
          <w:szCs w:val="21"/>
        </w:rPr>
        <w:t>完整的</w:t>
      </w:r>
      <w:r>
        <w:rPr>
          <w:rFonts w:hAnsi="宋体" w:hint="eastAsia"/>
          <w:bCs/>
          <w:kern w:val="0"/>
          <w:szCs w:val="21"/>
        </w:rPr>
        <w:t>果蔬，</w:t>
      </w:r>
      <w:r>
        <w:rPr>
          <w:rFonts w:hAnsi="宋体"/>
          <w:bCs/>
          <w:kern w:val="0"/>
          <w:szCs w:val="21"/>
        </w:rPr>
        <w:t>测定</w:t>
      </w:r>
      <w:r>
        <w:rPr>
          <w:rFonts w:hAnsi="宋体" w:hint="eastAsia"/>
          <w:bCs/>
          <w:kern w:val="0"/>
          <w:szCs w:val="21"/>
        </w:rPr>
        <w:t>样品的硬度、可溶性固形物含量、可滴定酸，描述果实的颜色等</w:t>
      </w:r>
      <w:r>
        <w:rPr>
          <w:rFonts w:hAnsi="宋体"/>
          <w:bCs/>
          <w:kern w:val="0"/>
          <w:szCs w:val="21"/>
        </w:rPr>
        <w:t>各项主要感官品质指标的初始值</w:t>
      </w:r>
      <w:r>
        <w:rPr>
          <w:rFonts w:hAnsi="宋体" w:hint="eastAsia"/>
          <w:bCs/>
          <w:kern w:val="0"/>
          <w:szCs w:val="21"/>
        </w:rPr>
        <w:t>。</w:t>
      </w:r>
    </w:p>
    <w:p w14:paraId="2936B00E" w14:textId="77777777" w:rsidR="00F5289E" w:rsidRDefault="00C91173">
      <w:pPr>
        <w:spacing w:line="360" w:lineRule="auto"/>
        <w:ind w:firstLineChars="200" w:firstLine="420"/>
        <w:rPr>
          <w:rFonts w:hAnsi="宋体"/>
          <w:bCs/>
          <w:kern w:val="0"/>
          <w:szCs w:val="21"/>
        </w:rPr>
      </w:pPr>
      <w:r>
        <w:rPr>
          <w:rFonts w:hAnsi="宋体" w:hint="eastAsia"/>
          <w:bCs/>
          <w:kern w:val="0"/>
          <w:szCs w:val="21"/>
        </w:rPr>
        <w:t>（</w:t>
      </w:r>
      <w:r>
        <w:rPr>
          <w:rFonts w:hAnsi="宋体" w:hint="eastAsia"/>
          <w:bCs/>
          <w:kern w:val="0"/>
          <w:szCs w:val="21"/>
        </w:rPr>
        <w:t>2</w:t>
      </w:r>
      <w:r>
        <w:rPr>
          <w:rFonts w:hAnsi="宋体" w:hint="eastAsia"/>
          <w:bCs/>
          <w:kern w:val="0"/>
          <w:szCs w:val="21"/>
        </w:rPr>
        <w:t>）对样品进行成熟衰老调控物质的处理：</w:t>
      </w:r>
    </w:p>
    <w:p w14:paraId="320CDA29" w14:textId="77777777" w:rsidR="00F5289E" w:rsidRDefault="00C91173">
      <w:pPr>
        <w:spacing w:line="360" w:lineRule="auto"/>
        <w:ind w:firstLineChars="200" w:firstLine="420"/>
        <w:rPr>
          <w:szCs w:val="21"/>
        </w:rPr>
      </w:pPr>
      <w:r>
        <w:rPr>
          <w:rFonts w:hAnsi="宋体"/>
          <w:bCs/>
          <w:kern w:val="0"/>
          <w:szCs w:val="21"/>
        </w:rPr>
        <w:t>A</w:t>
      </w:r>
      <w:r>
        <w:rPr>
          <w:rFonts w:hAnsi="宋体" w:hint="eastAsia"/>
          <w:bCs/>
          <w:kern w:val="0"/>
          <w:szCs w:val="21"/>
        </w:rPr>
        <w:t>：</w:t>
      </w:r>
      <w:r>
        <w:rPr>
          <w:rFonts w:hint="eastAsia"/>
          <w:szCs w:val="21"/>
        </w:rPr>
        <w:t>用乙烯利或其他催熟剂处理果蔬；</w:t>
      </w:r>
    </w:p>
    <w:p w14:paraId="321A1EE7" w14:textId="77777777" w:rsidR="00F5289E" w:rsidRDefault="00C91173">
      <w:pPr>
        <w:spacing w:line="360" w:lineRule="auto"/>
        <w:ind w:firstLineChars="200" w:firstLine="420"/>
        <w:rPr>
          <w:szCs w:val="21"/>
        </w:rPr>
      </w:pPr>
      <w:r>
        <w:rPr>
          <w:rFonts w:hint="eastAsia"/>
          <w:szCs w:val="21"/>
        </w:rPr>
        <w:t>B</w:t>
      </w:r>
      <w:r>
        <w:rPr>
          <w:rFonts w:hint="eastAsia"/>
          <w:szCs w:val="21"/>
        </w:rPr>
        <w:t>：用乙烯作用抑制剂</w:t>
      </w:r>
      <w:r>
        <w:rPr>
          <w:rFonts w:hint="eastAsia"/>
          <w:szCs w:val="21"/>
        </w:rPr>
        <w:t>1-MCP</w:t>
      </w:r>
      <w:r>
        <w:rPr>
          <w:rFonts w:hint="eastAsia"/>
          <w:szCs w:val="21"/>
        </w:rPr>
        <w:t>处理果蔬；</w:t>
      </w:r>
    </w:p>
    <w:p w14:paraId="2F204CC0" w14:textId="77777777" w:rsidR="00F5289E" w:rsidRDefault="00C91173">
      <w:pPr>
        <w:spacing w:line="360" w:lineRule="auto"/>
        <w:ind w:firstLineChars="200" w:firstLine="420"/>
        <w:rPr>
          <w:rFonts w:hAnsi="宋体"/>
          <w:bCs/>
          <w:kern w:val="0"/>
          <w:szCs w:val="21"/>
        </w:rPr>
      </w:pPr>
      <w:r>
        <w:rPr>
          <w:rFonts w:hint="eastAsia"/>
          <w:szCs w:val="21"/>
        </w:rPr>
        <w:t>C</w:t>
      </w:r>
      <w:r>
        <w:rPr>
          <w:rFonts w:hint="eastAsia"/>
          <w:szCs w:val="21"/>
        </w:rPr>
        <w:t>：</w:t>
      </w:r>
      <w:r>
        <w:rPr>
          <w:rFonts w:hAnsi="宋体"/>
          <w:bCs/>
          <w:kern w:val="0"/>
          <w:szCs w:val="21"/>
        </w:rPr>
        <w:t>不进行任何药物处理</w:t>
      </w:r>
      <w:r>
        <w:rPr>
          <w:rFonts w:hAnsi="宋体" w:hint="eastAsia"/>
          <w:bCs/>
          <w:kern w:val="0"/>
          <w:szCs w:val="21"/>
        </w:rPr>
        <w:t>，</w:t>
      </w:r>
      <w:r>
        <w:rPr>
          <w:rFonts w:hAnsi="宋体"/>
          <w:bCs/>
          <w:kern w:val="0"/>
          <w:szCs w:val="21"/>
        </w:rPr>
        <w:t>作为对照</w:t>
      </w:r>
      <w:r>
        <w:rPr>
          <w:rFonts w:hAnsi="宋体" w:hint="eastAsia"/>
          <w:bCs/>
          <w:kern w:val="0"/>
          <w:szCs w:val="21"/>
        </w:rPr>
        <w:t>。</w:t>
      </w:r>
    </w:p>
    <w:p w14:paraId="052D2A82" w14:textId="77777777" w:rsidR="00F5289E" w:rsidRDefault="00C91173">
      <w:pPr>
        <w:spacing w:line="360" w:lineRule="auto"/>
        <w:ind w:firstLineChars="200" w:firstLine="420"/>
        <w:rPr>
          <w:szCs w:val="21"/>
        </w:rPr>
      </w:pPr>
      <w:r>
        <w:rPr>
          <w:rFonts w:hAnsi="宋体" w:hint="eastAsia"/>
          <w:bCs/>
          <w:kern w:val="0"/>
          <w:szCs w:val="21"/>
        </w:rPr>
        <w:t>各处理及对照均在自然状态下贮藏</w:t>
      </w:r>
      <w:r>
        <w:rPr>
          <w:rFonts w:hint="eastAsia"/>
          <w:szCs w:val="21"/>
        </w:rPr>
        <w:t>，</w:t>
      </w:r>
      <w:r>
        <w:rPr>
          <w:rFonts w:hint="eastAsia"/>
          <w:szCs w:val="21"/>
        </w:rPr>
        <w:t>1</w:t>
      </w:r>
      <w:r>
        <w:rPr>
          <w:rFonts w:hint="eastAsia"/>
          <w:szCs w:val="21"/>
        </w:rPr>
        <w:t>周后测定其各项主要感官品质指标。</w:t>
      </w:r>
    </w:p>
    <w:p w14:paraId="30C47F04" w14:textId="77777777" w:rsidR="00F5289E" w:rsidRDefault="00C91173">
      <w:pPr>
        <w:spacing w:line="360" w:lineRule="auto"/>
        <w:ind w:firstLineChars="200" w:firstLine="420"/>
        <w:rPr>
          <w:szCs w:val="21"/>
        </w:rPr>
      </w:pPr>
      <w:r>
        <w:rPr>
          <w:rFonts w:hint="eastAsia"/>
          <w:szCs w:val="21"/>
        </w:rPr>
        <w:t>（</w:t>
      </w:r>
      <w:r>
        <w:rPr>
          <w:rFonts w:hint="eastAsia"/>
          <w:szCs w:val="21"/>
        </w:rPr>
        <w:t>3</w:t>
      </w:r>
      <w:r>
        <w:rPr>
          <w:rFonts w:hint="eastAsia"/>
          <w:szCs w:val="21"/>
        </w:rPr>
        <w:t>）分析处理前后果蔬的主要感官品质变化情况，掌握催熟剂和乙烯作用抑制剂</w:t>
      </w:r>
      <w:r>
        <w:rPr>
          <w:rFonts w:hint="eastAsia"/>
          <w:szCs w:val="21"/>
        </w:rPr>
        <w:t>1-MCP</w:t>
      </w:r>
      <w:r>
        <w:rPr>
          <w:rFonts w:hint="eastAsia"/>
          <w:szCs w:val="21"/>
        </w:rPr>
        <w:t>的作用原理及对果实成熟衰老的调控作用，理解乙烯在调控果蔬采后成熟衰老的重要作用。</w:t>
      </w:r>
    </w:p>
    <w:p w14:paraId="7D49825C" w14:textId="77777777" w:rsidR="00F5289E" w:rsidRDefault="00C91173">
      <w:pPr>
        <w:spacing w:line="360" w:lineRule="auto"/>
        <w:ind w:firstLineChars="200" w:firstLine="422"/>
        <w:rPr>
          <w:spacing w:val="15"/>
          <w:kern w:val="0"/>
          <w:szCs w:val="21"/>
        </w:rPr>
      </w:pPr>
      <w:r>
        <w:rPr>
          <w:b/>
          <w:szCs w:val="21"/>
        </w:rPr>
        <w:t>4.</w:t>
      </w:r>
      <w:r>
        <w:rPr>
          <w:b/>
          <w:szCs w:val="21"/>
        </w:rPr>
        <w:t>实验要求</w:t>
      </w:r>
      <w:r>
        <w:rPr>
          <w:rFonts w:hint="eastAsia"/>
          <w:b/>
          <w:szCs w:val="21"/>
        </w:rPr>
        <w:t>：</w:t>
      </w:r>
      <w:r>
        <w:rPr>
          <w:rFonts w:hint="eastAsia"/>
          <w:szCs w:val="21"/>
        </w:rPr>
        <w:t>分析不同处理的果蔬</w:t>
      </w:r>
      <w:r>
        <w:rPr>
          <w:rFonts w:hint="eastAsia"/>
          <w:szCs w:val="21"/>
        </w:rPr>
        <w:t>1</w:t>
      </w:r>
      <w:r>
        <w:rPr>
          <w:rFonts w:hint="eastAsia"/>
          <w:szCs w:val="21"/>
        </w:rPr>
        <w:t>周内的硬度、可溶性固形物含量、可滴定酸、果实的颜色等主要感官品质指标的变化规律，分析不同处理产生差异的原因；</w:t>
      </w:r>
      <w:r>
        <w:rPr>
          <w:szCs w:val="21"/>
        </w:rPr>
        <w:t>理解</w:t>
      </w:r>
      <w:r>
        <w:rPr>
          <w:rFonts w:hint="eastAsia"/>
          <w:szCs w:val="21"/>
        </w:rPr>
        <w:t>果蔬采后采用的常用的化学调控方法，掌握乙烯及</w:t>
      </w:r>
      <w:r>
        <w:rPr>
          <w:rFonts w:hint="eastAsia"/>
          <w:szCs w:val="21"/>
        </w:rPr>
        <w:t>1-MCP</w:t>
      </w:r>
      <w:r>
        <w:rPr>
          <w:rFonts w:hint="eastAsia"/>
          <w:szCs w:val="21"/>
        </w:rPr>
        <w:t>等对果蔬采后成熟衰老调控的意义</w:t>
      </w:r>
      <w:r>
        <w:rPr>
          <w:szCs w:val="21"/>
        </w:rPr>
        <w:t>。</w:t>
      </w:r>
    </w:p>
    <w:p w14:paraId="081AEF53" w14:textId="77777777" w:rsidR="00F5289E" w:rsidRDefault="00C91173">
      <w:pPr>
        <w:widowControl/>
        <w:adjustRightInd w:val="0"/>
        <w:snapToGrid w:val="0"/>
        <w:spacing w:beforeLines="50" w:before="156" w:line="360" w:lineRule="auto"/>
        <w:jc w:val="left"/>
        <w:rPr>
          <w:szCs w:val="21"/>
        </w:rPr>
      </w:pPr>
      <w:r>
        <w:rPr>
          <w:b/>
          <w:szCs w:val="21"/>
        </w:rPr>
        <w:t>5.</w:t>
      </w:r>
      <w:r>
        <w:rPr>
          <w:b/>
          <w:szCs w:val="21"/>
        </w:rPr>
        <w:t>实验设备及器材</w:t>
      </w:r>
      <w:r>
        <w:rPr>
          <w:b/>
          <w:szCs w:val="21"/>
        </w:rPr>
        <w:t xml:space="preserve"> </w:t>
      </w:r>
      <w:r>
        <w:rPr>
          <w:rFonts w:hint="eastAsia"/>
          <w:b/>
          <w:szCs w:val="21"/>
        </w:rPr>
        <w:t>：</w:t>
      </w:r>
      <w:r>
        <w:rPr>
          <w:szCs w:val="21"/>
        </w:rPr>
        <w:t>硬度计</w:t>
      </w:r>
      <w:r>
        <w:rPr>
          <w:rFonts w:hint="eastAsia"/>
          <w:szCs w:val="21"/>
        </w:rPr>
        <w:t>、</w:t>
      </w:r>
      <w:r>
        <w:rPr>
          <w:szCs w:val="21"/>
        </w:rPr>
        <w:t>手持糖量计</w:t>
      </w:r>
      <w:r>
        <w:rPr>
          <w:rFonts w:hint="eastAsia"/>
          <w:szCs w:val="21"/>
        </w:rPr>
        <w:t>、滴定管、容量瓶、</w:t>
      </w:r>
      <w:r>
        <w:rPr>
          <w:szCs w:val="21"/>
        </w:rPr>
        <w:t>标签纸</w:t>
      </w:r>
      <w:r>
        <w:rPr>
          <w:rFonts w:hint="eastAsia"/>
          <w:szCs w:val="21"/>
        </w:rPr>
        <w:t>、</w:t>
      </w:r>
      <w:r>
        <w:rPr>
          <w:szCs w:val="21"/>
        </w:rPr>
        <w:t>乙烯薄膜袋等。</w:t>
      </w:r>
    </w:p>
    <w:p w14:paraId="0C5BE5D9" w14:textId="77777777" w:rsidR="00F5289E" w:rsidRDefault="00C91173">
      <w:pPr>
        <w:snapToGrid w:val="0"/>
        <w:spacing w:line="360" w:lineRule="auto"/>
        <w:rPr>
          <w:rFonts w:ascii="宋体" w:hAnsi="宋体"/>
          <w:b/>
          <w:szCs w:val="21"/>
        </w:rPr>
      </w:pPr>
      <w:r>
        <w:rPr>
          <w:rFonts w:ascii="宋体" w:hAnsi="宋体" w:hint="eastAsia"/>
          <w:b/>
          <w:szCs w:val="21"/>
        </w:rPr>
        <w:t>六</w:t>
      </w:r>
      <w:r>
        <w:rPr>
          <w:rFonts w:ascii="宋体" w:hAnsi="宋体"/>
          <w:b/>
          <w:szCs w:val="21"/>
        </w:rPr>
        <w:t>、</w:t>
      </w:r>
      <w:r>
        <w:rPr>
          <w:rFonts w:ascii="宋体" w:hAnsi="宋体" w:hint="eastAsia"/>
          <w:b/>
          <w:szCs w:val="21"/>
        </w:rPr>
        <w:t>课程思政</w:t>
      </w:r>
    </w:p>
    <w:p w14:paraId="3C8D6D21" w14:textId="77777777" w:rsidR="00F5289E" w:rsidRDefault="00C91173">
      <w:pPr>
        <w:snapToGrid w:val="0"/>
        <w:spacing w:line="360" w:lineRule="auto"/>
        <w:ind w:firstLineChars="200" w:firstLine="420"/>
      </w:pPr>
      <w:r>
        <w:rPr>
          <w:rFonts w:hint="eastAsia"/>
        </w:rPr>
        <w:t>坚持“实现立德树人根本任务”的大思政综合教育理念，在课程教学过程中将政治认同、家国情怀、文化素养、法治意识、道德修养等思想政治元素融入专业教育，隐性和显性教育相融合，知识育才和精神育才相结合。</w:t>
      </w:r>
      <w:r>
        <w:t>例如</w:t>
      </w:r>
      <w:r>
        <w:rPr>
          <w:rFonts w:hint="eastAsia"/>
        </w:rPr>
        <w:t>，绪论部分通过介绍园艺产品在人们生活中的地位、采后调控在园艺产业链中的重要作用，使学生潜移默化的了解本门课程的重要性，树立专业自信及三农情怀；在讲解园艺产品的采后生理章节时，有效融入我国园艺产品采后生理调控的最新研究进展，让学生更直观的了解我国的园艺产品采后分子生物学调控基础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w:t>
      </w:r>
      <w:r>
        <w:rPr>
          <w:rFonts w:hint="eastAsia"/>
        </w:rPr>
        <w:lastRenderedPageBreak/>
        <w:t>国意识、专业自信和三农情怀等，实现高校“立德树人”的人才培养目标</w:t>
      </w:r>
      <w:r>
        <w:t>。</w:t>
      </w:r>
    </w:p>
    <w:p w14:paraId="18A066C7" w14:textId="77777777" w:rsidR="00F5289E" w:rsidRDefault="00F5289E">
      <w:pPr>
        <w:widowControl/>
        <w:adjustRightInd w:val="0"/>
        <w:snapToGrid w:val="0"/>
        <w:spacing w:beforeLines="50" w:before="156" w:line="360" w:lineRule="auto"/>
        <w:jc w:val="left"/>
        <w:rPr>
          <w:szCs w:val="21"/>
        </w:rPr>
      </w:pPr>
    </w:p>
    <w:p w14:paraId="5C93A753" w14:textId="77777777" w:rsidR="00F5289E" w:rsidRDefault="00C91173">
      <w:pPr>
        <w:widowControl/>
        <w:adjustRightInd w:val="0"/>
        <w:snapToGrid w:val="0"/>
        <w:spacing w:beforeLines="50" w:before="156" w:line="360" w:lineRule="auto"/>
        <w:jc w:val="left"/>
        <w:rPr>
          <w:kern w:val="0"/>
          <w:szCs w:val="21"/>
        </w:rPr>
      </w:pPr>
      <w:r>
        <w:rPr>
          <w:rFonts w:hAnsi="宋体" w:hint="eastAsia"/>
          <w:b/>
          <w:bCs/>
          <w:kern w:val="0"/>
          <w:szCs w:val="21"/>
        </w:rPr>
        <w:t>七</w:t>
      </w:r>
      <w:r>
        <w:rPr>
          <w:rFonts w:hAnsi="宋体"/>
          <w:b/>
          <w:bCs/>
          <w:kern w:val="0"/>
          <w:szCs w:val="21"/>
        </w:rPr>
        <w:t>、使用教材</w:t>
      </w:r>
    </w:p>
    <w:p w14:paraId="2786FC7C"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0090F904"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（1）理论课教材：</w:t>
      </w:r>
    </w:p>
    <w:p w14:paraId="54ADCB5E"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bCs/>
          <w:kern w:val="0"/>
          <w:szCs w:val="21"/>
        </w:rPr>
        <w:t>果品蔬菜贮藏运销学（第三版）．刘兴华、陈维信主编．中国农业出版社，2014年</w:t>
      </w:r>
    </w:p>
    <w:p w14:paraId="2A5FC8D7"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bCs/>
          <w:kern w:val="0"/>
          <w:szCs w:val="21"/>
        </w:rPr>
        <w:t>（2）实验课教材：</w:t>
      </w:r>
    </w:p>
    <w:p w14:paraId="37A8B06E"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bCs/>
          <w:kern w:val="0"/>
          <w:szCs w:val="21"/>
        </w:rPr>
        <w:t>园艺产品采后处理实验指导．王兰菊、胡青霞、张惠梅编．（自编）</w:t>
      </w:r>
    </w:p>
    <w:p w14:paraId="5D853B02"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5B35ADC4" w14:textId="77777777" w:rsidR="00F5289E" w:rsidRDefault="00C91173">
      <w:pPr>
        <w:widowControl/>
        <w:snapToGrid w:val="0"/>
        <w:spacing w:line="360" w:lineRule="auto"/>
        <w:ind w:firstLineChars="200" w:firstLine="420"/>
        <w:jc w:val="left"/>
        <w:rPr>
          <w:kern w:val="0"/>
        </w:rPr>
      </w:pPr>
      <w:r>
        <w:rPr>
          <w:rFonts w:hAnsi="宋体"/>
          <w:kern w:val="0"/>
        </w:rPr>
        <w:t>（</w:t>
      </w:r>
      <w:r>
        <w:rPr>
          <w:kern w:val="0"/>
        </w:rPr>
        <w:t>1</w:t>
      </w:r>
      <w:r>
        <w:rPr>
          <w:rFonts w:hAnsi="宋体"/>
          <w:kern w:val="0"/>
        </w:rPr>
        <w:t>）园艺产品贮藏运销学．程运江主编．中国农业出版社，</w:t>
      </w:r>
      <w:r>
        <w:rPr>
          <w:kern w:val="0"/>
        </w:rPr>
        <w:t>2019</w:t>
      </w:r>
      <w:r>
        <w:rPr>
          <w:rFonts w:hAnsi="宋体"/>
          <w:kern w:val="0"/>
        </w:rPr>
        <w:t>年</w:t>
      </w:r>
    </w:p>
    <w:p w14:paraId="35582394" w14:textId="77777777" w:rsidR="00F5289E" w:rsidRDefault="00C91173">
      <w:pPr>
        <w:widowControl/>
        <w:snapToGrid w:val="0"/>
        <w:spacing w:line="360" w:lineRule="auto"/>
        <w:ind w:firstLineChars="200" w:firstLine="420"/>
        <w:jc w:val="left"/>
        <w:rPr>
          <w:kern w:val="0"/>
        </w:rPr>
      </w:pPr>
      <w:r>
        <w:rPr>
          <w:rFonts w:hAnsi="宋体"/>
          <w:kern w:val="0"/>
        </w:rPr>
        <w:t>（</w:t>
      </w:r>
      <w:r>
        <w:rPr>
          <w:kern w:val="0"/>
        </w:rPr>
        <w:t>2</w:t>
      </w:r>
      <w:r>
        <w:rPr>
          <w:rFonts w:hAnsi="宋体"/>
          <w:kern w:val="0"/>
        </w:rPr>
        <w:t>）园艺产品贮藏加工学</w:t>
      </w:r>
      <w:r>
        <w:rPr>
          <w:kern w:val="0"/>
        </w:rPr>
        <w:t>—</w:t>
      </w:r>
      <w:r>
        <w:rPr>
          <w:rFonts w:hAnsi="宋体"/>
          <w:kern w:val="0"/>
        </w:rPr>
        <w:t>贮藏篇．罗云波、蔡同一主编．中国农业大学出版社，</w:t>
      </w:r>
      <w:r>
        <w:rPr>
          <w:kern w:val="0"/>
        </w:rPr>
        <w:t>2007</w:t>
      </w:r>
      <w:r>
        <w:rPr>
          <w:rFonts w:hAnsi="宋体"/>
          <w:kern w:val="0"/>
        </w:rPr>
        <w:t>年</w:t>
      </w:r>
    </w:p>
    <w:p w14:paraId="1159A369" w14:textId="77777777" w:rsidR="00F5289E" w:rsidRDefault="00C91173">
      <w:pPr>
        <w:widowControl/>
        <w:snapToGrid w:val="0"/>
        <w:spacing w:line="360" w:lineRule="auto"/>
        <w:ind w:firstLineChars="200" w:firstLine="420"/>
        <w:jc w:val="left"/>
        <w:rPr>
          <w:kern w:val="0"/>
        </w:rPr>
      </w:pPr>
      <w:r>
        <w:rPr>
          <w:rFonts w:hAnsi="宋体"/>
          <w:kern w:val="0"/>
        </w:rPr>
        <w:t>（</w:t>
      </w:r>
      <w:r>
        <w:rPr>
          <w:kern w:val="0"/>
        </w:rPr>
        <w:t>3</w:t>
      </w:r>
      <w:r>
        <w:rPr>
          <w:rFonts w:hAnsi="宋体"/>
          <w:kern w:val="0"/>
        </w:rPr>
        <w:t>）果蔬贮运学．周山涛主编．化学工业出版社，</w:t>
      </w:r>
      <w:r>
        <w:rPr>
          <w:kern w:val="0"/>
        </w:rPr>
        <w:t>1998</w:t>
      </w:r>
      <w:r>
        <w:rPr>
          <w:rFonts w:hAnsi="宋体"/>
          <w:kern w:val="0"/>
        </w:rPr>
        <w:t>年</w:t>
      </w:r>
    </w:p>
    <w:p w14:paraId="36DEA0ED" w14:textId="77777777" w:rsidR="00F5289E" w:rsidRDefault="00C91173">
      <w:pPr>
        <w:widowControl/>
        <w:snapToGrid w:val="0"/>
        <w:spacing w:line="360" w:lineRule="auto"/>
        <w:ind w:firstLineChars="200" w:firstLine="420"/>
        <w:jc w:val="left"/>
        <w:rPr>
          <w:rFonts w:hAnsi="宋体"/>
          <w:bCs/>
          <w:color w:val="0000FF"/>
          <w:kern w:val="0"/>
          <w:szCs w:val="21"/>
        </w:rPr>
      </w:pPr>
      <w:r>
        <w:rPr>
          <w:rFonts w:hAnsi="宋体"/>
          <w:kern w:val="0"/>
        </w:rPr>
        <w:t>（</w:t>
      </w:r>
      <w:r>
        <w:rPr>
          <w:kern w:val="0"/>
        </w:rPr>
        <w:t>4</w:t>
      </w:r>
      <w:r>
        <w:rPr>
          <w:rFonts w:hAnsi="宋体"/>
          <w:kern w:val="0"/>
        </w:rPr>
        <w:t>）</w:t>
      </w:r>
      <w:r>
        <w:rPr>
          <w:kern w:val="0"/>
        </w:rPr>
        <w:t xml:space="preserve">Postharvest Technology of Horticultural crops. Kader A </w:t>
      </w:r>
      <w:proofErr w:type="spellStart"/>
      <w:r>
        <w:rPr>
          <w:kern w:val="0"/>
        </w:rPr>
        <w:t>A</w:t>
      </w:r>
      <w:proofErr w:type="spellEnd"/>
      <w:r>
        <w:rPr>
          <w:kern w:val="0"/>
        </w:rPr>
        <w:t>. University of California, Publication</w:t>
      </w:r>
    </w:p>
    <w:p w14:paraId="15D07D44" w14:textId="77777777" w:rsidR="00F5289E" w:rsidRDefault="00C91173">
      <w:pPr>
        <w:widowControl/>
        <w:snapToGrid w:val="0"/>
        <w:spacing w:line="360" w:lineRule="auto"/>
        <w:ind w:firstLineChars="200" w:firstLine="422"/>
        <w:jc w:val="left"/>
        <w:rPr>
          <w:b/>
          <w:kern w:val="0"/>
          <w:szCs w:val="21"/>
        </w:rPr>
      </w:pPr>
      <w:r>
        <w:rPr>
          <w:rFonts w:hint="eastAsia"/>
          <w:b/>
          <w:kern w:val="0"/>
          <w:szCs w:val="21"/>
        </w:rPr>
        <w:t>3.</w:t>
      </w:r>
      <w:r>
        <w:rPr>
          <w:rFonts w:hint="eastAsia"/>
          <w:b/>
          <w:kern w:val="0"/>
          <w:szCs w:val="21"/>
        </w:rPr>
        <w:t>推荐网站：</w:t>
      </w:r>
    </w:p>
    <w:p w14:paraId="7A625305" w14:textId="50DF7CED" w:rsidR="00F5289E" w:rsidRDefault="00C91173">
      <w:pPr>
        <w:widowControl/>
        <w:snapToGrid w:val="0"/>
        <w:spacing w:line="360" w:lineRule="auto"/>
        <w:ind w:leftChars="200" w:left="420"/>
        <w:jc w:val="left"/>
        <w:rPr>
          <w:kern w:val="0"/>
        </w:rPr>
      </w:pPr>
      <w:r>
        <w:rPr>
          <w:rFonts w:hAnsi="宋体"/>
        </w:rPr>
        <w:t>（</w:t>
      </w:r>
      <w:r>
        <w:rPr>
          <w:rFonts w:hint="eastAsia"/>
        </w:rPr>
        <w:t>1</w:t>
      </w:r>
      <w:r>
        <w:rPr>
          <w:rFonts w:hAnsi="宋体"/>
        </w:rPr>
        <w:t>）</w:t>
      </w:r>
      <w:r>
        <w:rPr>
          <w:rFonts w:hAnsi="宋体" w:hint="eastAsia"/>
        </w:rPr>
        <w:t>国家</w:t>
      </w:r>
      <w:r>
        <w:rPr>
          <w:rFonts w:hAnsi="宋体"/>
        </w:rPr>
        <w:t>农产品保鲜工程</w:t>
      </w:r>
      <w:r>
        <w:rPr>
          <w:rFonts w:hAnsi="宋体" w:hint="eastAsia"/>
        </w:rPr>
        <w:t xml:space="preserve"> </w:t>
      </w:r>
      <w:r>
        <w:rPr>
          <w:rFonts w:hAnsi="宋体" w:hint="eastAsia"/>
        </w:rPr>
        <w:t>技术研究中心（天津）网站</w:t>
      </w:r>
      <w:r>
        <w:rPr>
          <w:rFonts w:hAnsi="宋体"/>
        </w:rPr>
        <w:t>，网址</w:t>
      </w:r>
      <w:r w:rsidR="00957CC0">
        <w:rPr>
          <w:rFonts w:hint="eastAsia"/>
          <w:kern w:val="0"/>
        </w:rPr>
        <w:t>：</w:t>
      </w:r>
      <w:r w:rsidRPr="00957CC0">
        <w:rPr>
          <w:kern w:val="0"/>
        </w:rPr>
        <w:t>http://www.luda.com.cn</w:t>
      </w:r>
      <w:r>
        <w:rPr>
          <w:kern w:val="0"/>
        </w:rPr>
        <w:br/>
      </w:r>
      <w:r>
        <w:rPr>
          <w:kern w:val="0"/>
        </w:rPr>
        <w:t>（</w:t>
      </w:r>
      <w:r>
        <w:rPr>
          <w:rFonts w:hint="eastAsia"/>
          <w:kern w:val="0"/>
        </w:rPr>
        <w:t>2</w:t>
      </w:r>
      <w:r>
        <w:rPr>
          <w:kern w:val="0"/>
        </w:rPr>
        <w:t>）食品伙伴网，网址</w:t>
      </w:r>
      <w:r>
        <w:rPr>
          <w:kern w:val="0"/>
        </w:rPr>
        <w:t xml:space="preserve">http://down.foodmate.net </w:t>
      </w:r>
    </w:p>
    <w:p w14:paraId="2917E54C" w14:textId="77777777" w:rsidR="00F5289E" w:rsidRDefault="00C91173">
      <w:pPr>
        <w:widowControl/>
        <w:snapToGrid w:val="0"/>
        <w:spacing w:line="360" w:lineRule="auto"/>
        <w:ind w:leftChars="200" w:left="420"/>
        <w:jc w:val="left"/>
        <w:rPr>
          <w:kern w:val="0"/>
          <w:u w:val="single"/>
        </w:rPr>
      </w:pPr>
      <w:r>
        <w:rPr>
          <w:rFonts w:hint="eastAsia"/>
          <w:kern w:val="0"/>
        </w:rPr>
        <w:t>（</w:t>
      </w:r>
      <w:r>
        <w:rPr>
          <w:rFonts w:hint="eastAsia"/>
          <w:kern w:val="0"/>
        </w:rPr>
        <w:t>3</w:t>
      </w:r>
      <w:r>
        <w:rPr>
          <w:rFonts w:hint="eastAsia"/>
          <w:kern w:val="0"/>
        </w:rPr>
        <w:t>）中国农产品保鲜网，网址</w:t>
      </w:r>
      <w:r>
        <w:rPr>
          <w:kern w:val="0"/>
        </w:rPr>
        <w:t>http://www.cnbaoxian.com</w:t>
      </w:r>
    </w:p>
    <w:p w14:paraId="14C45F77"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w:t>
      </w:r>
      <w:r>
        <w:rPr>
          <w:rFonts w:hAnsi="宋体"/>
          <w:b/>
          <w:bCs/>
          <w:kern w:val="0"/>
          <w:szCs w:val="21"/>
        </w:rPr>
        <w:t>、</w:t>
      </w:r>
      <w:r>
        <w:rPr>
          <w:rFonts w:hAnsi="宋体" w:hint="eastAsia"/>
          <w:b/>
          <w:bCs/>
          <w:kern w:val="0"/>
          <w:szCs w:val="21"/>
        </w:rPr>
        <w:t>教学条件</w:t>
      </w:r>
    </w:p>
    <w:p w14:paraId="4C8F1D50" w14:textId="77777777" w:rsidR="00F5289E" w:rsidRDefault="00C91173">
      <w:pPr>
        <w:widowControl/>
        <w:snapToGrid w:val="0"/>
        <w:spacing w:line="360" w:lineRule="auto"/>
        <w:ind w:leftChars="50" w:left="105" w:firstLine="419"/>
        <w:jc w:val="left"/>
        <w:rPr>
          <w:rFonts w:ascii="宋体" w:hAnsi="宋体"/>
          <w:szCs w:val="21"/>
        </w:rPr>
      </w:pPr>
      <w:r>
        <w:rPr>
          <w:rFonts w:ascii="宋体" w:hAnsi="宋体" w:hint="eastAsia"/>
          <w:szCs w:val="21"/>
        </w:rPr>
        <w:t>该课程开展依托园艺产品采后处理教学团队，授课教师具备相关知识背景，其中理论课开展需要多媒体教室，实验课程开展需要园艺产品采后处理实验室，并配备各种满足开设实验课程的各种仪器设备和实验管理员。</w:t>
      </w:r>
    </w:p>
    <w:p w14:paraId="29647209"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九、教学考核评价</w:t>
      </w:r>
    </w:p>
    <w:p w14:paraId="0D77934C" w14:textId="77777777" w:rsidR="00F5289E" w:rsidRDefault="00C91173">
      <w:pPr>
        <w:snapToGrid w:val="0"/>
        <w:spacing w:line="360" w:lineRule="auto"/>
        <w:ind w:firstLine="420"/>
        <w:rPr>
          <w:rFonts w:ascii="宋体" w:hAnsi="宋体"/>
          <w:szCs w:val="21"/>
        </w:rPr>
      </w:pPr>
      <w:r>
        <w:rPr>
          <w:rFonts w:hAnsi="宋体" w:hint="eastAsia"/>
          <w:b/>
          <w:bCs/>
          <w:kern w:val="0"/>
          <w:szCs w:val="21"/>
        </w:rPr>
        <w:t>1</w:t>
      </w:r>
      <w:r>
        <w:rPr>
          <w:rFonts w:hAnsi="宋体" w:hint="eastAsia"/>
          <w:b/>
          <w:bCs/>
          <w:kern w:val="0"/>
          <w:szCs w:val="21"/>
        </w:rPr>
        <w:t>、过程性评价：</w:t>
      </w:r>
    </w:p>
    <w:p w14:paraId="3F5A7DC9" w14:textId="77777777" w:rsidR="00F5289E" w:rsidRDefault="00C91173">
      <w:pPr>
        <w:widowControl/>
        <w:spacing w:line="360" w:lineRule="auto"/>
        <w:ind w:firstLineChars="200" w:firstLine="420"/>
        <w:jc w:val="left"/>
        <w:rPr>
          <w:szCs w:val="21"/>
        </w:rPr>
      </w:pPr>
      <w:r>
        <w:rPr>
          <w:rFonts w:hint="eastAsia"/>
          <w:szCs w:val="21"/>
        </w:rPr>
        <w:t>本</w:t>
      </w:r>
      <w:r>
        <w:rPr>
          <w:szCs w:val="21"/>
        </w:rPr>
        <w:t>课程的过程性考核分为平时成绩、实验成绩</w:t>
      </w:r>
      <w:r>
        <w:rPr>
          <w:rFonts w:hint="eastAsia"/>
          <w:szCs w:val="21"/>
        </w:rPr>
        <w:t>和期中</w:t>
      </w:r>
      <w:r>
        <w:rPr>
          <w:szCs w:val="21"/>
        </w:rPr>
        <w:t>翻转课堂</w:t>
      </w:r>
      <w:r>
        <w:rPr>
          <w:rFonts w:hint="eastAsia"/>
          <w:szCs w:val="21"/>
        </w:rPr>
        <w:t>测试</w:t>
      </w:r>
      <w:r>
        <w:rPr>
          <w:szCs w:val="21"/>
        </w:rPr>
        <w:t>三个环节</w:t>
      </w:r>
      <w:r>
        <w:rPr>
          <w:rFonts w:hint="eastAsia"/>
          <w:szCs w:val="21"/>
        </w:rPr>
        <w:t>，总占比</w:t>
      </w:r>
      <w:r>
        <w:rPr>
          <w:rFonts w:hint="eastAsia"/>
          <w:szCs w:val="21"/>
        </w:rPr>
        <w:t>50%</w:t>
      </w:r>
      <w:r>
        <w:rPr>
          <w:rFonts w:hint="eastAsia"/>
          <w:szCs w:val="21"/>
        </w:rPr>
        <w:t>。其中</w:t>
      </w:r>
      <w:r>
        <w:rPr>
          <w:szCs w:val="21"/>
        </w:rPr>
        <w:t>平时成绩包括平时学习情况、课堂提问、</w:t>
      </w:r>
      <w:r>
        <w:rPr>
          <w:rFonts w:hint="eastAsia"/>
          <w:szCs w:val="21"/>
        </w:rPr>
        <w:t>线上学习、</w:t>
      </w:r>
      <w:r>
        <w:rPr>
          <w:szCs w:val="21"/>
        </w:rPr>
        <w:t>小组讨论表现、作业、考勤等，占比</w:t>
      </w:r>
      <w:r>
        <w:rPr>
          <w:szCs w:val="21"/>
        </w:rPr>
        <w:t>10%</w:t>
      </w:r>
      <w:r>
        <w:rPr>
          <w:szCs w:val="21"/>
        </w:rPr>
        <w:t>；实验成绩包括</w:t>
      </w:r>
      <w:r>
        <w:rPr>
          <w:rFonts w:hint="eastAsia"/>
          <w:szCs w:val="21"/>
        </w:rPr>
        <w:t>实验操作</w:t>
      </w:r>
      <w:r>
        <w:rPr>
          <w:szCs w:val="21"/>
        </w:rPr>
        <w:t>和实验报告，占比</w:t>
      </w:r>
      <w:r>
        <w:rPr>
          <w:rFonts w:hint="eastAsia"/>
          <w:szCs w:val="21"/>
        </w:rPr>
        <w:t>3</w:t>
      </w:r>
      <w:r>
        <w:rPr>
          <w:szCs w:val="21"/>
        </w:rPr>
        <w:t>0%</w:t>
      </w:r>
      <w:r>
        <w:rPr>
          <w:szCs w:val="21"/>
        </w:rPr>
        <w:t>；</w:t>
      </w:r>
      <w:r>
        <w:rPr>
          <w:rFonts w:hint="eastAsia"/>
          <w:szCs w:val="21"/>
        </w:rPr>
        <w:t>期中</w:t>
      </w:r>
      <w:r>
        <w:rPr>
          <w:szCs w:val="21"/>
        </w:rPr>
        <w:t>翻转课堂主要是分小组进行课程相关内容</w:t>
      </w:r>
      <w:r>
        <w:rPr>
          <w:rFonts w:hint="eastAsia"/>
          <w:szCs w:val="21"/>
        </w:rPr>
        <w:t>的</w:t>
      </w:r>
      <w:r>
        <w:rPr>
          <w:rFonts w:hint="eastAsia"/>
          <w:szCs w:val="21"/>
        </w:rPr>
        <w:t>PPT</w:t>
      </w:r>
      <w:r>
        <w:rPr>
          <w:rFonts w:hint="eastAsia"/>
          <w:szCs w:val="21"/>
        </w:rPr>
        <w:t>制作和</w:t>
      </w:r>
      <w:r>
        <w:rPr>
          <w:szCs w:val="21"/>
        </w:rPr>
        <w:t>讲解，占比</w:t>
      </w:r>
      <w:r>
        <w:rPr>
          <w:rFonts w:hint="eastAsia"/>
          <w:szCs w:val="21"/>
        </w:rPr>
        <w:t>1</w:t>
      </w:r>
      <w:r>
        <w:rPr>
          <w:szCs w:val="21"/>
        </w:rPr>
        <w:t>0%</w:t>
      </w:r>
      <w:r>
        <w:rPr>
          <w:szCs w:val="21"/>
        </w:rPr>
        <w:t>。</w:t>
      </w:r>
    </w:p>
    <w:p w14:paraId="0D98642F"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r>
        <w:rPr>
          <w:rFonts w:hAnsi="宋体"/>
        </w:rPr>
        <w:t>闭卷考试</w:t>
      </w:r>
      <w:r>
        <w:rPr>
          <w:kern w:val="0"/>
          <w:szCs w:val="21"/>
        </w:rPr>
        <w:t>，占比</w:t>
      </w:r>
      <w:r>
        <w:rPr>
          <w:rFonts w:hint="eastAsia"/>
          <w:kern w:val="0"/>
          <w:szCs w:val="21"/>
        </w:rPr>
        <w:t>5</w:t>
      </w:r>
      <w:r>
        <w:rPr>
          <w:kern w:val="0"/>
          <w:szCs w:val="21"/>
        </w:rPr>
        <w:t>0%</w:t>
      </w:r>
      <w:r>
        <w:rPr>
          <w:kern w:val="0"/>
          <w:szCs w:val="21"/>
        </w:rPr>
        <w:t>。</w:t>
      </w:r>
    </w:p>
    <w:p w14:paraId="2A482296" w14:textId="77777777" w:rsidR="00F5289E" w:rsidRDefault="00C91173">
      <w:pPr>
        <w:widowControl/>
        <w:snapToGrid w:val="0"/>
        <w:spacing w:line="360" w:lineRule="auto"/>
        <w:ind w:firstLine="420"/>
        <w:jc w:val="left"/>
        <w:rPr>
          <w:rFonts w:eastAsiaTheme="minorEastAsia" w:hAnsiTheme="minorEastAsia"/>
          <w:szCs w:val="21"/>
        </w:rPr>
      </w:pPr>
      <w:r>
        <w:rPr>
          <w:rFonts w:hAnsi="宋体" w:hint="eastAsia"/>
          <w:b/>
          <w:bCs/>
          <w:kern w:val="0"/>
          <w:szCs w:val="21"/>
        </w:rPr>
        <w:t>3</w:t>
      </w:r>
      <w:r>
        <w:rPr>
          <w:rFonts w:hAnsi="宋体" w:hint="eastAsia"/>
          <w:b/>
          <w:bCs/>
          <w:kern w:val="0"/>
          <w:szCs w:val="21"/>
        </w:rPr>
        <w:t>、课程综合评价：</w:t>
      </w:r>
      <w:r>
        <w:rPr>
          <w:rFonts w:eastAsiaTheme="minorEastAsia" w:hAnsiTheme="minorEastAsia" w:hint="eastAsia"/>
          <w:szCs w:val="21"/>
        </w:rPr>
        <w:t>本课程</w:t>
      </w:r>
      <w:r>
        <w:rPr>
          <w:rFonts w:ascii="宋体" w:hAnsi="宋体" w:hint="eastAsia"/>
          <w:szCs w:val="21"/>
        </w:rPr>
        <w:t>综合评价采用过程性考核与终结性考核相结合的方式，</w:t>
      </w:r>
      <w:r>
        <w:rPr>
          <w:kern w:val="0"/>
          <w:szCs w:val="21"/>
        </w:rPr>
        <w:t>过程性评价</w:t>
      </w:r>
      <w:r>
        <w:rPr>
          <w:rFonts w:hint="eastAsia"/>
          <w:kern w:val="0"/>
          <w:szCs w:val="21"/>
        </w:rPr>
        <w:t>50%</w:t>
      </w:r>
      <w:r>
        <w:rPr>
          <w:kern w:val="0"/>
          <w:szCs w:val="21"/>
        </w:rPr>
        <w:t>+</w:t>
      </w:r>
      <w:r>
        <w:rPr>
          <w:rFonts w:hint="eastAsia"/>
          <w:kern w:val="0"/>
          <w:szCs w:val="21"/>
        </w:rPr>
        <w:t>终结性</w:t>
      </w:r>
      <w:r>
        <w:rPr>
          <w:kern w:val="0"/>
          <w:szCs w:val="21"/>
        </w:rPr>
        <w:t>评价</w:t>
      </w:r>
      <w:r>
        <w:rPr>
          <w:rFonts w:hint="eastAsia"/>
          <w:kern w:val="0"/>
          <w:szCs w:val="21"/>
        </w:rPr>
        <w:t>50</w:t>
      </w:r>
      <w:r>
        <w:rPr>
          <w:kern w:val="0"/>
          <w:szCs w:val="21"/>
        </w:rPr>
        <w:t>%</w:t>
      </w:r>
      <w:r>
        <w:rPr>
          <w:rFonts w:hint="eastAsia"/>
          <w:kern w:val="0"/>
          <w:szCs w:val="21"/>
        </w:rPr>
        <w:t>。</w:t>
      </w:r>
    </w:p>
    <w:p w14:paraId="2C63A138" w14:textId="77777777" w:rsidR="00F5289E" w:rsidRDefault="00C91173">
      <w:pPr>
        <w:widowControl/>
        <w:jc w:val="left"/>
        <w:rPr>
          <w:rFonts w:ascii="宋体" w:hAnsi="宋体"/>
          <w:b/>
          <w:sz w:val="28"/>
          <w:szCs w:val="28"/>
        </w:rPr>
      </w:pPr>
      <w:r>
        <w:rPr>
          <w:rFonts w:ascii="宋体" w:hAnsi="宋体"/>
          <w:b/>
          <w:sz w:val="28"/>
          <w:szCs w:val="28"/>
        </w:rPr>
        <w:br w:type="page"/>
      </w:r>
    </w:p>
    <w:p w14:paraId="052CBB30" w14:textId="77777777" w:rsidR="00F5289E" w:rsidRDefault="00C91173">
      <w:pPr>
        <w:pStyle w:val="1"/>
      </w:pPr>
      <w:bookmarkStart w:id="158" w:name="_Toc138606264"/>
      <w:r>
        <w:rPr>
          <w:rFonts w:hint="eastAsia"/>
        </w:rPr>
        <w:lastRenderedPageBreak/>
        <w:t>植物生长调节剂与利用</w:t>
      </w:r>
      <w:bookmarkEnd w:id="158"/>
    </w:p>
    <w:p w14:paraId="2015CBC0" w14:textId="77777777" w:rsidR="00F5289E" w:rsidRPr="001B3040" w:rsidRDefault="001B3040">
      <w:pPr>
        <w:snapToGrid w:val="0"/>
        <w:spacing w:line="360" w:lineRule="auto"/>
        <w:jc w:val="center"/>
        <w:rPr>
          <w:iCs/>
          <w:color w:val="0000FF"/>
          <w:sz w:val="24"/>
        </w:rPr>
      </w:pPr>
      <w:r>
        <w:rPr>
          <w:rFonts w:hint="eastAsia"/>
          <w:iCs/>
          <w:sz w:val="24"/>
        </w:rPr>
        <w:t>（</w:t>
      </w:r>
      <w:r>
        <w:rPr>
          <w:rFonts w:hint="eastAsia"/>
          <w:iCs/>
          <w:sz w:val="24"/>
        </w:rPr>
        <w:t>P</w:t>
      </w:r>
      <w:r w:rsidRPr="001B3040">
        <w:rPr>
          <w:rFonts w:hint="eastAsia"/>
          <w:iCs/>
          <w:sz w:val="24"/>
        </w:rPr>
        <w:t xml:space="preserve">lant </w:t>
      </w:r>
      <w:r>
        <w:rPr>
          <w:iCs/>
          <w:sz w:val="24"/>
        </w:rPr>
        <w:t>G</w:t>
      </w:r>
      <w:r w:rsidRPr="001B3040">
        <w:rPr>
          <w:rFonts w:hint="eastAsia"/>
          <w:iCs/>
          <w:sz w:val="24"/>
        </w:rPr>
        <w:t xml:space="preserve">rowth </w:t>
      </w:r>
      <w:r>
        <w:rPr>
          <w:iCs/>
          <w:sz w:val="24"/>
        </w:rPr>
        <w:t>R</w:t>
      </w:r>
      <w:r w:rsidRPr="001B3040">
        <w:rPr>
          <w:rFonts w:hint="eastAsia"/>
          <w:iCs/>
          <w:sz w:val="24"/>
        </w:rPr>
        <w:t xml:space="preserve">egulator and </w:t>
      </w:r>
      <w:r>
        <w:rPr>
          <w:iCs/>
          <w:sz w:val="24"/>
        </w:rPr>
        <w:t>A</w:t>
      </w:r>
      <w:r w:rsidRPr="001B3040">
        <w:rPr>
          <w:rFonts w:hint="eastAsia"/>
          <w:iCs/>
          <w:sz w:val="24"/>
        </w:rPr>
        <w:t>pplication</w:t>
      </w:r>
      <w:r>
        <w:rPr>
          <w:rFonts w:hint="eastAsia"/>
          <w:iCs/>
          <w:sz w:val="24"/>
        </w:rPr>
        <w:t>）</w:t>
      </w:r>
    </w:p>
    <w:p w14:paraId="7F3637C6" w14:textId="77777777" w:rsidR="00F5289E" w:rsidRDefault="00F5289E">
      <w:pPr>
        <w:snapToGrid w:val="0"/>
        <w:spacing w:line="360" w:lineRule="auto"/>
        <w:jc w:val="center"/>
        <w:rPr>
          <w:b/>
          <w:szCs w:val="21"/>
        </w:rPr>
      </w:pPr>
    </w:p>
    <w:p w14:paraId="5E069B84"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32DF0943" w14:textId="77777777">
        <w:tc>
          <w:tcPr>
            <w:tcW w:w="1666" w:type="pct"/>
          </w:tcPr>
          <w:p w14:paraId="3E890912"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19011051</w:t>
            </w:r>
          </w:p>
        </w:tc>
        <w:tc>
          <w:tcPr>
            <w:tcW w:w="1453" w:type="pct"/>
          </w:tcPr>
          <w:p w14:paraId="2A2DC385" w14:textId="77777777" w:rsidR="00F5289E" w:rsidRDefault="00C91173">
            <w:pPr>
              <w:spacing w:line="300" w:lineRule="auto"/>
              <w:rPr>
                <w:rFonts w:ascii="宋体" w:hAnsi="宋体"/>
                <w:b/>
                <w:bCs/>
                <w:szCs w:val="21"/>
              </w:rPr>
            </w:pPr>
            <w:r>
              <w:rPr>
                <w:rFonts w:ascii="宋体" w:hAnsi="宋体" w:hint="eastAsia"/>
                <w:b/>
                <w:bCs/>
                <w:szCs w:val="21"/>
              </w:rPr>
              <w:t>课程总学时：</w:t>
            </w:r>
            <w:r>
              <w:rPr>
                <w:bCs/>
                <w:szCs w:val="21"/>
              </w:rPr>
              <w:t>16</w:t>
            </w:r>
          </w:p>
        </w:tc>
        <w:tc>
          <w:tcPr>
            <w:tcW w:w="1881" w:type="pct"/>
          </w:tcPr>
          <w:p w14:paraId="38B27FD6" w14:textId="60B06AD5" w:rsidR="00F5289E" w:rsidRDefault="00C91173">
            <w:pPr>
              <w:spacing w:line="300" w:lineRule="auto"/>
              <w:rPr>
                <w:rFonts w:ascii="宋体" w:hAnsi="宋体"/>
                <w:b/>
                <w:bCs/>
                <w:szCs w:val="21"/>
              </w:rPr>
            </w:pPr>
            <w:r>
              <w:rPr>
                <w:rFonts w:ascii="宋体" w:hAnsi="宋体" w:hint="eastAsia"/>
                <w:b/>
                <w:bCs/>
                <w:szCs w:val="21"/>
              </w:rPr>
              <w:t>实验学时：</w:t>
            </w:r>
            <w:r>
              <w:rPr>
                <w:rFonts w:ascii="宋体" w:hAnsi="宋体" w:hint="eastAsia"/>
                <w:szCs w:val="21"/>
              </w:rPr>
              <w:t>0</w:t>
            </w:r>
          </w:p>
        </w:tc>
      </w:tr>
      <w:tr w:rsidR="00F5289E" w14:paraId="25D16E25" w14:textId="77777777">
        <w:tc>
          <w:tcPr>
            <w:tcW w:w="1666" w:type="pct"/>
          </w:tcPr>
          <w:p w14:paraId="317324FC" w14:textId="77777777" w:rsidR="00F5289E" w:rsidRDefault="00C91173">
            <w:pPr>
              <w:spacing w:line="300" w:lineRule="auto"/>
              <w:rPr>
                <w:rFonts w:ascii="宋体" w:hAnsi="宋体"/>
                <w:b/>
                <w:bCs/>
                <w:szCs w:val="21"/>
              </w:rPr>
            </w:pPr>
            <w:r>
              <w:rPr>
                <w:rFonts w:ascii="宋体" w:hAnsi="宋体" w:hint="eastAsia"/>
                <w:b/>
                <w:bCs/>
                <w:szCs w:val="21"/>
              </w:rPr>
              <w:t>课程性质：</w:t>
            </w:r>
            <w:r>
              <w:rPr>
                <w:rFonts w:ascii="宋体" w:hAnsi="宋体" w:hint="eastAsia"/>
                <w:szCs w:val="21"/>
              </w:rPr>
              <w:t>选修</w:t>
            </w:r>
          </w:p>
        </w:tc>
        <w:tc>
          <w:tcPr>
            <w:tcW w:w="1453" w:type="pct"/>
          </w:tcPr>
          <w:p w14:paraId="295EA2A0" w14:textId="77777777" w:rsidR="00F5289E" w:rsidRDefault="00C91173">
            <w:pPr>
              <w:spacing w:line="300" w:lineRule="auto"/>
              <w:rPr>
                <w:rFonts w:ascii="宋体" w:hAnsi="宋体"/>
                <w:b/>
                <w:bCs/>
                <w:szCs w:val="21"/>
              </w:rPr>
            </w:pPr>
            <w:r>
              <w:rPr>
                <w:rFonts w:ascii="宋体" w:hAnsi="宋体" w:hint="eastAsia"/>
                <w:b/>
                <w:szCs w:val="21"/>
              </w:rPr>
              <w:t>课程属性:</w:t>
            </w:r>
            <w:r>
              <w:rPr>
                <w:rFonts w:ascii="宋体" w:hAnsi="宋体" w:hint="eastAsia"/>
                <w:szCs w:val="21"/>
              </w:rPr>
              <w:t>专业类</w:t>
            </w:r>
          </w:p>
        </w:tc>
        <w:tc>
          <w:tcPr>
            <w:tcW w:w="1881" w:type="pct"/>
          </w:tcPr>
          <w:p w14:paraId="2E91AE1E" w14:textId="77777777" w:rsidR="00F5289E" w:rsidRDefault="00C91173">
            <w:pPr>
              <w:spacing w:line="300" w:lineRule="auto"/>
              <w:rPr>
                <w:rFonts w:ascii="宋体" w:hAnsi="宋体"/>
                <w:b/>
                <w:bCs/>
                <w:szCs w:val="21"/>
              </w:rPr>
            </w:pPr>
            <w:r>
              <w:rPr>
                <w:rFonts w:ascii="宋体" w:hAnsi="宋体" w:hint="eastAsia"/>
                <w:b/>
                <w:bCs/>
                <w:szCs w:val="21"/>
              </w:rPr>
              <w:t>开设学期：</w:t>
            </w:r>
            <w:r>
              <w:rPr>
                <w:rFonts w:ascii="宋体" w:hAnsi="宋体" w:hint="eastAsia"/>
                <w:bCs/>
                <w:szCs w:val="21"/>
              </w:rPr>
              <w:t>第</w:t>
            </w:r>
            <w:r>
              <w:rPr>
                <w:rFonts w:ascii="宋体" w:hAnsi="宋体"/>
                <w:bCs/>
                <w:szCs w:val="21"/>
              </w:rPr>
              <w:t>8</w:t>
            </w:r>
            <w:r>
              <w:rPr>
                <w:rFonts w:ascii="宋体" w:hAnsi="宋体" w:hint="eastAsia"/>
                <w:bCs/>
                <w:szCs w:val="21"/>
              </w:rPr>
              <w:t>学期</w:t>
            </w:r>
          </w:p>
        </w:tc>
      </w:tr>
      <w:tr w:rsidR="00F5289E" w14:paraId="7BAFAC39" w14:textId="77777777">
        <w:tc>
          <w:tcPr>
            <w:tcW w:w="1666" w:type="pct"/>
          </w:tcPr>
          <w:p w14:paraId="6E7B5296" w14:textId="77777777" w:rsidR="00F5289E" w:rsidRDefault="00C91173">
            <w:pPr>
              <w:spacing w:line="300" w:lineRule="auto"/>
              <w:rPr>
                <w:rFonts w:ascii="宋体" w:hAnsi="宋体"/>
                <w:b/>
                <w:bCs/>
                <w:szCs w:val="21"/>
              </w:rPr>
            </w:pPr>
            <w:r>
              <w:rPr>
                <w:rFonts w:ascii="宋体" w:hAnsi="宋体" w:hint="eastAsia"/>
                <w:b/>
                <w:bCs/>
                <w:szCs w:val="21"/>
              </w:rPr>
              <w:t>课程负责人：</w:t>
            </w:r>
            <w:r>
              <w:rPr>
                <w:rFonts w:ascii="宋体" w:hAnsi="宋体" w:hint="eastAsia"/>
                <w:bCs/>
                <w:szCs w:val="21"/>
              </w:rPr>
              <w:t>朱磊</w:t>
            </w:r>
          </w:p>
        </w:tc>
        <w:tc>
          <w:tcPr>
            <w:tcW w:w="1453" w:type="pct"/>
          </w:tcPr>
          <w:p w14:paraId="0C1C39D5" w14:textId="77777777" w:rsidR="00F5289E" w:rsidRDefault="00C91173">
            <w:pPr>
              <w:spacing w:line="300" w:lineRule="auto"/>
              <w:rPr>
                <w:rFonts w:ascii="宋体" w:hAnsi="宋体"/>
                <w:b/>
                <w:bCs/>
                <w:szCs w:val="21"/>
              </w:rPr>
            </w:pPr>
            <w:r>
              <w:rPr>
                <w:rFonts w:ascii="宋体" w:hAnsi="宋体" w:hint="eastAsia"/>
                <w:b/>
                <w:bCs/>
                <w:szCs w:val="21"/>
              </w:rPr>
              <w:t>课程团队：</w:t>
            </w:r>
            <w:r>
              <w:rPr>
                <w:rFonts w:ascii="宋体" w:hAnsi="宋体" w:hint="eastAsia"/>
                <w:szCs w:val="21"/>
              </w:rPr>
              <w:t>王伟</w:t>
            </w:r>
            <w:r>
              <w:rPr>
                <w:rFonts w:ascii="宋体" w:hAnsi="宋体"/>
                <w:szCs w:val="21"/>
              </w:rPr>
              <w:t>,王永,宋春晖</w:t>
            </w:r>
          </w:p>
        </w:tc>
        <w:tc>
          <w:tcPr>
            <w:tcW w:w="1881" w:type="pct"/>
          </w:tcPr>
          <w:p w14:paraId="31E3653D" w14:textId="77777777" w:rsidR="00F5289E" w:rsidRDefault="00C91173">
            <w:pPr>
              <w:spacing w:line="300" w:lineRule="auto"/>
              <w:rPr>
                <w:rFonts w:ascii="宋体" w:hAnsi="宋体"/>
                <w:b/>
                <w:bCs/>
                <w:szCs w:val="21"/>
              </w:rPr>
            </w:pPr>
            <w:r>
              <w:rPr>
                <w:rFonts w:ascii="宋体" w:hAnsi="宋体" w:hint="eastAsia"/>
                <w:b/>
                <w:bCs/>
                <w:szCs w:val="21"/>
              </w:rPr>
              <w:t>授课语言：</w:t>
            </w:r>
            <w:r>
              <w:rPr>
                <w:rFonts w:ascii="宋体" w:hAnsi="宋体" w:hint="eastAsia"/>
                <w:bCs/>
                <w:szCs w:val="21"/>
              </w:rPr>
              <w:t>中文</w:t>
            </w:r>
          </w:p>
        </w:tc>
      </w:tr>
      <w:tr w:rsidR="00F5289E" w14:paraId="47CAA5FE" w14:textId="77777777">
        <w:tc>
          <w:tcPr>
            <w:tcW w:w="5000" w:type="pct"/>
            <w:gridSpan w:val="3"/>
          </w:tcPr>
          <w:p w14:paraId="1D6F0976" w14:textId="77777777" w:rsidR="00F5289E" w:rsidRDefault="00C91173">
            <w:pPr>
              <w:spacing w:line="300" w:lineRule="auto"/>
              <w:ind w:rightChars="-81" w:right="-170"/>
              <w:rPr>
                <w:rFonts w:ascii="宋体" w:hAnsi="宋体"/>
                <w:bCs/>
                <w:color w:val="0000FF"/>
                <w:szCs w:val="21"/>
              </w:rPr>
            </w:pPr>
            <w:r>
              <w:rPr>
                <w:rFonts w:ascii="宋体" w:hAnsi="宋体" w:hint="eastAsia"/>
                <w:b/>
                <w:bCs/>
                <w:szCs w:val="21"/>
              </w:rPr>
              <w:t>适用专业：</w:t>
            </w:r>
            <w:r>
              <w:rPr>
                <w:rFonts w:ascii="宋体" w:hAnsi="宋体" w:hint="eastAsia"/>
                <w:szCs w:val="21"/>
              </w:rPr>
              <w:t>园艺、茶学、设施农业工程、葡萄栽培与利用</w:t>
            </w:r>
            <w:r>
              <w:rPr>
                <w:rFonts w:ascii="宋体" w:hAnsi="宋体" w:hint="eastAsia"/>
                <w:bCs/>
                <w:color w:val="0000FF"/>
                <w:szCs w:val="21"/>
              </w:rPr>
              <w:t>。</w:t>
            </w:r>
          </w:p>
        </w:tc>
      </w:tr>
      <w:tr w:rsidR="00F5289E" w14:paraId="233276F0" w14:textId="77777777">
        <w:tc>
          <w:tcPr>
            <w:tcW w:w="5000" w:type="pct"/>
            <w:gridSpan w:val="3"/>
          </w:tcPr>
          <w:p w14:paraId="444EEEF8" w14:textId="77777777" w:rsidR="00F5289E" w:rsidRDefault="00C91173">
            <w:pPr>
              <w:spacing w:line="300" w:lineRule="auto"/>
              <w:rPr>
                <w:rFonts w:ascii="宋体" w:hAnsi="宋体"/>
                <w:b/>
                <w:bCs/>
                <w:szCs w:val="21"/>
              </w:rPr>
            </w:pPr>
            <w:r>
              <w:rPr>
                <w:rFonts w:ascii="宋体" w:hAnsi="宋体" w:hint="eastAsia"/>
                <w:b/>
                <w:bCs/>
                <w:szCs w:val="21"/>
              </w:rPr>
              <w:t>对先修的要求：</w:t>
            </w:r>
            <w:r>
              <w:rPr>
                <w:rFonts w:ascii="宋体" w:hAnsi="宋体" w:hint="eastAsia"/>
                <w:szCs w:val="21"/>
              </w:rPr>
              <w:t>化学、植物学、植物生理、园艺植物栽培学、分子生物学基础</w:t>
            </w:r>
          </w:p>
        </w:tc>
      </w:tr>
      <w:tr w:rsidR="00F5289E" w14:paraId="25CC30E7" w14:textId="77777777">
        <w:tc>
          <w:tcPr>
            <w:tcW w:w="5000" w:type="pct"/>
            <w:gridSpan w:val="3"/>
          </w:tcPr>
          <w:p w14:paraId="62099CAB" w14:textId="77777777" w:rsidR="00F5289E" w:rsidRDefault="00C91173">
            <w:pPr>
              <w:spacing w:line="300" w:lineRule="auto"/>
              <w:rPr>
                <w:rFonts w:ascii="宋体" w:hAnsi="宋体"/>
                <w:b/>
                <w:bCs/>
                <w:szCs w:val="21"/>
              </w:rPr>
            </w:pPr>
            <w:r>
              <w:rPr>
                <w:rFonts w:ascii="宋体" w:hAnsi="宋体" w:hint="eastAsia"/>
                <w:b/>
                <w:bCs/>
                <w:szCs w:val="21"/>
              </w:rPr>
              <w:t>对后续的支撑：</w:t>
            </w:r>
            <w:r>
              <w:rPr>
                <w:rFonts w:ascii="宋体" w:hAnsi="宋体" w:hint="eastAsia"/>
                <w:bCs/>
                <w:szCs w:val="21"/>
              </w:rPr>
              <w:t>无</w:t>
            </w:r>
          </w:p>
        </w:tc>
      </w:tr>
      <w:tr w:rsidR="00F5289E" w14:paraId="30C01A69" w14:textId="77777777">
        <w:tc>
          <w:tcPr>
            <w:tcW w:w="1666" w:type="pct"/>
          </w:tcPr>
          <w:p w14:paraId="257CCD29"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bCs/>
                <w:szCs w:val="21"/>
              </w:rPr>
              <w:t>朱磊，</w:t>
            </w:r>
            <w:r>
              <w:rPr>
                <w:rFonts w:ascii="宋体" w:hAnsi="宋体"/>
                <w:bCs/>
                <w:szCs w:val="21"/>
              </w:rPr>
              <w:t>王永，王伟</w:t>
            </w:r>
            <w:r>
              <w:rPr>
                <w:rFonts w:ascii="宋体" w:hAnsi="宋体" w:hint="eastAsia"/>
                <w:bCs/>
                <w:szCs w:val="21"/>
              </w:rPr>
              <w:t>，</w:t>
            </w:r>
            <w:r>
              <w:rPr>
                <w:rFonts w:ascii="宋体" w:hAnsi="宋体"/>
                <w:bCs/>
                <w:szCs w:val="21"/>
              </w:rPr>
              <w:t>宋春晖</w:t>
            </w:r>
          </w:p>
        </w:tc>
        <w:tc>
          <w:tcPr>
            <w:tcW w:w="1453" w:type="pct"/>
          </w:tcPr>
          <w:p w14:paraId="3FD75D0F"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朱磊</w:t>
            </w:r>
          </w:p>
        </w:tc>
        <w:tc>
          <w:tcPr>
            <w:tcW w:w="1881" w:type="pct"/>
          </w:tcPr>
          <w:p w14:paraId="4419E702"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bCs/>
                <w:szCs w:val="21"/>
              </w:rPr>
              <w:t>2023.</w:t>
            </w:r>
            <w:r w:rsidR="001B3040">
              <w:rPr>
                <w:rFonts w:ascii="宋体" w:hAnsi="宋体"/>
                <w:bCs/>
                <w:szCs w:val="21"/>
              </w:rPr>
              <w:t>0</w:t>
            </w:r>
            <w:r>
              <w:rPr>
                <w:rFonts w:ascii="宋体" w:hAnsi="宋体" w:hint="eastAsia"/>
                <w:bCs/>
                <w:szCs w:val="21"/>
              </w:rPr>
              <w:t>5</w:t>
            </w:r>
          </w:p>
        </w:tc>
      </w:tr>
    </w:tbl>
    <w:p w14:paraId="54C1EA16" w14:textId="77777777" w:rsidR="00F5289E" w:rsidRDefault="00F5289E">
      <w:pPr>
        <w:widowControl/>
        <w:snapToGrid w:val="0"/>
        <w:spacing w:line="360" w:lineRule="auto"/>
        <w:jc w:val="left"/>
        <w:rPr>
          <w:rFonts w:hAnsi="宋体"/>
          <w:b/>
          <w:bCs/>
          <w:kern w:val="0"/>
          <w:szCs w:val="21"/>
        </w:rPr>
      </w:pPr>
    </w:p>
    <w:p w14:paraId="2E3E33D2" w14:textId="77777777" w:rsidR="00F5289E" w:rsidRDefault="00C91173">
      <w:pPr>
        <w:widowControl/>
        <w:snapToGrid w:val="0"/>
        <w:spacing w:line="360" w:lineRule="auto"/>
        <w:jc w:val="left"/>
        <w:rPr>
          <w:kern w:val="0"/>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2356D35C" w14:textId="77777777" w:rsidR="00F5289E" w:rsidRDefault="00C91173">
      <w:pPr>
        <w:spacing w:line="360" w:lineRule="auto"/>
        <w:ind w:firstLineChars="200" w:firstLine="420"/>
        <w:rPr>
          <w:kern w:val="0"/>
          <w:szCs w:val="21"/>
        </w:rPr>
      </w:pPr>
      <w:r>
        <w:rPr>
          <w:rFonts w:hint="eastAsia"/>
          <w:kern w:val="0"/>
          <w:szCs w:val="21"/>
        </w:rPr>
        <w:t>本</w:t>
      </w:r>
      <w:r>
        <w:rPr>
          <w:kern w:val="0"/>
          <w:szCs w:val="21"/>
        </w:rPr>
        <w:t>课程是专业</w:t>
      </w:r>
      <w:r>
        <w:rPr>
          <w:rFonts w:hint="eastAsia"/>
          <w:kern w:val="0"/>
          <w:szCs w:val="21"/>
        </w:rPr>
        <w:t>选修课</w:t>
      </w:r>
      <w:r>
        <w:rPr>
          <w:kern w:val="0"/>
          <w:szCs w:val="21"/>
        </w:rPr>
        <w:t>，以园艺前言研究进展为核心内容，旨在拓展和深化</w:t>
      </w:r>
      <w:r>
        <w:rPr>
          <w:rFonts w:hint="eastAsia"/>
          <w:kern w:val="0"/>
          <w:szCs w:val="21"/>
        </w:rPr>
        <w:t>植物</w:t>
      </w:r>
      <w:r>
        <w:rPr>
          <w:kern w:val="0"/>
          <w:szCs w:val="21"/>
        </w:rPr>
        <w:t>激素的研究与应用，</w:t>
      </w:r>
      <w:r>
        <w:rPr>
          <w:rFonts w:hint="eastAsia"/>
          <w:kern w:val="0"/>
          <w:szCs w:val="21"/>
        </w:rPr>
        <w:t>促使</w:t>
      </w:r>
      <w:r>
        <w:rPr>
          <w:kern w:val="0"/>
          <w:szCs w:val="21"/>
        </w:rPr>
        <w:t>理论联系实际，同时也为</w:t>
      </w:r>
      <w:r>
        <w:rPr>
          <w:rFonts w:hint="eastAsia"/>
          <w:kern w:val="0"/>
          <w:szCs w:val="21"/>
        </w:rPr>
        <w:t>高级园艺</w:t>
      </w:r>
      <w:r>
        <w:rPr>
          <w:kern w:val="0"/>
          <w:szCs w:val="21"/>
        </w:rPr>
        <w:t>人才培养提供理论基础和前瞻引导作用。</w:t>
      </w:r>
      <w:r>
        <w:rPr>
          <w:rFonts w:hint="eastAsia"/>
          <w:kern w:val="0"/>
          <w:szCs w:val="21"/>
        </w:rPr>
        <w:t>通过</w:t>
      </w:r>
      <w:r>
        <w:rPr>
          <w:kern w:val="0"/>
          <w:szCs w:val="21"/>
        </w:rPr>
        <w:t>本课程的学习</w:t>
      </w:r>
      <w:r>
        <w:rPr>
          <w:rFonts w:hint="eastAsia"/>
          <w:kern w:val="0"/>
          <w:szCs w:val="21"/>
        </w:rPr>
        <w:t>拓展</w:t>
      </w:r>
      <w:r>
        <w:rPr>
          <w:kern w:val="0"/>
          <w:szCs w:val="21"/>
        </w:rPr>
        <w:t>学生的知识结构</w:t>
      </w:r>
      <w:r>
        <w:rPr>
          <w:rFonts w:hint="eastAsia"/>
          <w:kern w:val="0"/>
          <w:szCs w:val="21"/>
        </w:rPr>
        <w:t>，促进</w:t>
      </w:r>
      <w:r>
        <w:rPr>
          <w:kern w:val="0"/>
          <w:szCs w:val="21"/>
        </w:rPr>
        <w:t>理论联系实际</w:t>
      </w:r>
      <w:r>
        <w:rPr>
          <w:rFonts w:hint="eastAsia"/>
          <w:kern w:val="0"/>
          <w:szCs w:val="21"/>
        </w:rPr>
        <w:t>和</w:t>
      </w:r>
      <w:r>
        <w:rPr>
          <w:kern w:val="0"/>
          <w:szCs w:val="21"/>
        </w:rPr>
        <w:t>解决实际生产问题的</w:t>
      </w:r>
      <w:r>
        <w:rPr>
          <w:rFonts w:hint="eastAsia"/>
          <w:kern w:val="0"/>
          <w:szCs w:val="21"/>
        </w:rPr>
        <w:t>能力，</w:t>
      </w:r>
      <w:r>
        <w:rPr>
          <w:kern w:val="0"/>
          <w:szCs w:val="21"/>
        </w:rPr>
        <w:t>提高</w:t>
      </w:r>
      <w:r>
        <w:rPr>
          <w:rFonts w:hint="eastAsia"/>
          <w:kern w:val="0"/>
          <w:szCs w:val="21"/>
        </w:rPr>
        <w:t>园艺</w:t>
      </w:r>
      <w:r>
        <w:rPr>
          <w:kern w:val="0"/>
          <w:szCs w:val="21"/>
        </w:rPr>
        <w:t>专业素质，</w:t>
      </w:r>
      <w:r>
        <w:rPr>
          <w:rFonts w:hint="eastAsia"/>
          <w:kern w:val="0"/>
          <w:szCs w:val="21"/>
        </w:rPr>
        <w:t>为适应创新型</w:t>
      </w:r>
      <w:r>
        <w:rPr>
          <w:kern w:val="0"/>
          <w:szCs w:val="21"/>
        </w:rPr>
        <w:t>、</w:t>
      </w:r>
      <w:r>
        <w:rPr>
          <w:rFonts w:hint="eastAsia"/>
          <w:kern w:val="0"/>
          <w:szCs w:val="21"/>
        </w:rPr>
        <w:t>复合型和</w:t>
      </w:r>
      <w:r>
        <w:rPr>
          <w:kern w:val="0"/>
          <w:szCs w:val="21"/>
        </w:rPr>
        <w:t>应用型人才的培养</w:t>
      </w:r>
      <w:r>
        <w:rPr>
          <w:rFonts w:hint="eastAsia"/>
          <w:kern w:val="0"/>
          <w:szCs w:val="21"/>
        </w:rPr>
        <w:t>提供保障</w:t>
      </w:r>
      <w:r>
        <w:rPr>
          <w:kern w:val="0"/>
          <w:szCs w:val="21"/>
        </w:rPr>
        <w:t>。</w:t>
      </w:r>
    </w:p>
    <w:p w14:paraId="54F7429E" w14:textId="77777777" w:rsidR="00F5289E" w:rsidRDefault="00C91173">
      <w:pPr>
        <w:spacing w:line="360" w:lineRule="auto"/>
        <w:ind w:firstLineChars="200" w:firstLine="420"/>
      </w:pPr>
      <w:r>
        <w:rPr>
          <w:rFonts w:hint="eastAsia"/>
        </w:rPr>
        <w:t>本课程是在学习植物生理学、作物栽培学和</w:t>
      </w:r>
      <w:r>
        <w:t>分子生物学</w:t>
      </w:r>
      <w:r>
        <w:rPr>
          <w:rFonts w:hint="eastAsia"/>
        </w:rPr>
        <w:t>等专业课程的基础上，通过</w:t>
      </w:r>
      <w:r>
        <w:t>讲授、讨论、文献阅读</w:t>
      </w:r>
      <w:r>
        <w:rPr>
          <w:rFonts w:hint="eastAsia"/>
        </w:rPr>
        <w:t>、</w:t>
      </w:r>
      <w:r>
        <w:t>调查</w:t>
      </w:r>
      <w:r>
        <w:rPr>
          <w:rFonts w:hint="eastAsia"/>
        </w:rPr>
        <w:t>和</w:t>
      </w:r>
      <w:r>
        <w:t>咨询等方法</w:t>
      </w:r>
      <w:r>
        <w:rPr>
          <w:rFonts w:hint="eastAsia"/>
        </w:rPr>
        <w:t>对植物生长发育的化学调控理论和实践应用技术深入了解的一门选修课。本课程的任务是让学生了解在传统栽培的基础上，用化学方法可以调控植物的生长发育，并使学生懂得植物生长调节剂的作用原理和应用实践。本课程的目的是培养学生理论联系实际，将植物生长物质知识应用于农业生产，解决生产问题的能力。要求学生掌握植物生长调节剂的种类、作用原理、生产中的应用实践和今后的应用前景。</w:t>
      </w:r>
    </w:p>
    <w:p w14:paraId="2CC38B34" w14:textId="77777777" w:rsidR="00F5289E" w:rsidRDefault="00C91173">
      <w:pPr>
        <w:widowControl/>
        <w:snapToGrid w:val="0"/>
        <w:spacing w:line="360" w:lineRule="auto"/>
        <w:jc w:val="left"/>
        <w:rPr>
          <w:kern w:val="0"/>
          <w:szCs w:val="21"/>
        </w:rPr>
      </w:pPr>
      <w:r>
        <w:rPr>
          <w:rFonts w:hAnsi="宋体"/>
          <w:b/>
          <w:bCs/>
          <w:kern w:val="0"/>
          <w:szCs w:val="21"/>
        </w:rPr>
        <w:t>二、课程教学的基本要求</w:t>
      </w:r>
    </w:p>
    <w:p w14:paraId="64C021A1" w14:textId="77777777" w:rsidR="00F5289E" w:rsidRDefault="00C91173">
      <w:pPr>
        <w:widowControl/>
        <w:snapToGrid w:val="0"/>
        <w:spacing w:line="360" w:lineRule="auto"/>
        <w:ind w:firstLineChars="200" w:firstLine="420"/>
        <w:jc w:val="left"/>
        <w:rPr>
          <w:kern w:val="0"/>
          <w:szCs w:val="21"/>
        </w:rPr>
      </w:pPr>
      <w:r>
        <w:rPr>
          <w:rFonts w:hint="eastAsia"/>
          <w:kern w:val="0"/>
          <w:szCs w:val="21"/>
        </w:rPr>
        <w:t>1.</w:t>
      </w:r>
      <w:r>
        <w:rPr>
          <w:rFonts w:hAnsi="宋体"/>
          <w:kern w:val="0"/>
          <w:szCs w:val="21"/>
        </w:rPr>
        <w:t>理论知识方面：</w:t>
      </w:r>
      <w:r>
        <w:rPr>
          <w:color w:val="000000"/>
          <w:szCs w:val="21"/>
        </w:rPr>
        <w:t>全面掌握植物</w:t>
      </w:r>
      <w:r>
        <w:rPr>
          <w:rFonts w:hint="eastAsia"/>
          <w:color w:val="000000"/>
          <w:szCs w:val="21"/>
        </w:rPr>
        <w:t>生长调节剂</w:t>
      </w:r>
      <w:r>
        <w:rPr>
          <w:color w:val="000000"/>
          <w:szCs w:val="21"/>
        </w:rPr>
        <w:t>的基本概念、基本原理和基本</w:t>
      </w:r>
      <w:r>
        <w:rPr>
          <w:rFonts w:hint="eastAsia"/>
          <w:color w:val="000000"/>
          <w:szCs w:val="21"/>
        </w:rPr>
        <w:t>应用</w:t>
      </w:r>
      <w:r>
        <w:rPr>
          <w:color w:val="000000"/>
          <w:szCs w:val="21"/>
        </w:rPr>
        <w:t>，了解控制实用技术和植物生长调节剂的评价方法和管理体系，深刻认识植物化学控制技术是实现定向诱导植物生长发育及促进现代种植业技术发展的重要技术资源。</w:t>
      </w:r>
      <w:r>
        <w:rPr>
          <w:rFonts w:hAnsi="宋体" w:hint="eastAsia"/>
          <w:kern w:val="0"/>
          <w:szCs w:val="21"/>
        </w:rPr>
        <w:t>能够灵活准确的利用植物生长调节剂解决实际生产中存在的问题，掌握</w:t>
      </w:r>
      <w:r>
        <w:rPr>
          <w:color w:val="000000"/>
          <w:szCs w:val="21"/>
        </w:rPr>
        <w:t>农林生产上应用的技巧和关键技术，</w:t>
      </w:r>
      <w:r>
        <w:rPr>
          <w:rFonts w:hint="eastAsia"/>
          <w:color w:val="000000"/>
          <w:szCs w:val="21"/>
        </w:rPr>
        <w:t>并</w:t>
      </w:r>
      <w:r>
        <w:rPr>
          <w:color w:val="000000"/>
          <w:szCs w:val="21"/>
        </w:rPr>
        <w:t>扩展对化学控制技术在农林生产中的应用能力，以实现现代农林植物（作物、果树、蔬菜、花卉和林木等）高产、优质、高效、安全及可持续发展的目标。</w:t>
      </w:r>
    </w:p>
    <w:p w14:paraId="39D7123A" w14:textId="77777777" w:rsidR="00F5289E" w:rsidRDefault="00C91173">
      <w:pPr>
        <w:widowControl/>
        <w:snapToGrid w:val="0"/>
        <w:spacing w:line="360" w:lineRule="auto"/>
        <w:ind w:firstLineChars="200" w:firstLine="420"/>
        <w:jc w:val="left"/>
        <w:rPr>
          <w:rFonts w:hAnsi="宋体"/>
          <w:bCs/>
          <w:color w:val="0000FF"/>
          <w:kern w:val="0"/>
          <w:szCs w:val="21"/>
        </w:rPr>
      </w:pPr>
      <w:r>
        <w:rPr>
          <w:rFonts w:hint="eastAsia"/>
          <w:kern w:val="0"/>
          <w:szCs w:val="21"/>
        </w:rPr>
        <w:lastRenderedPageBreak/>
        <w:t>2.</w:t>
      </w:r>
      <w:r>
        <w:rPr>
          <w:rFonts w:hAnsi="宋体"/>
          <w:kern w:val="0"/>
          <w:szCs w:val="21"/>
        </w:rPr>
        <w:t>实验技能方面：</w:t>
      </w:r>
      <w:r>
        <w:rPr>
          <w:rFonts w:hAnsi="宋体" w:hint="eastAsia"/>
          <w:bCs/>
          <w:kern w:val="0"/>
          <w:szCs w:val="21"/>
        </w:rPr>
        <w:t>无</w:t>
      </w:r>
    </w:p>
    <w:p w14:paraId="0AE314C3" w14:textId="77777777" w:rsidR="00F5289E" w:rsidRDefault="00C91173">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Ansi="宋体" w:hint="eastAsia"/>
          <w:b/>
          <w:bCs/>
          <w:kern w:val="0"/>
          <w:szCs w:val="21"/>
        </w:rPr>
        <w:t>课程的教学设计</w:t>
      </w:r>
    </w:p>
    <w:p w14:paraId="44A04093" w14:textId="77777777" w:rsidR="00F5289E" w:rsidRDefault="00C91173">
      <w:pPr>
        <w:spacing w:line="360" w:lineRule="auto"/>
        <w:ind w:firstLineChars="200" w:firstLine="420"/>
        <w:rPr>
          <w:rFonts w:hAnsi="宋体"/>
          <w:bCs/>
          <w:kern w:val="0"/>
          <w:szCs w:val="21"/>
        </w:rPr>
      </w:pPr>
      <w:r>
        <w:rPr>
          <w:rFonts w:hAnsi="宋体" w:hint="eastAsia"/>
          <w:bCs/>
          <w:kern w:val="0"/>
          <w:szCs w:val="21"/>
        </w:rPr>
        <w:t>1.</w:t>
      </w:r>
      <w:r>
        <w:rPr>
          <w:rFonts w:hAnsi="宋体" w:hint="eastAsia"/>
          <w:bCs/>
          <w:kern w:val="0"/>
          <w:szCs w:val="21"/>
        </w:rPr>
        <w:t>教学设计说明</w:t>
      </w:r>
    </w:p>
    <w:p w14:paraId="52DA2908" w14:textId="77777777" w:rsidR="00F5289E" w:rsidRDefault="00C91173">
      <w:pPr>
        <w:spacing w:line="360" w:lineRule="auto"/>
        <w:ind w:firstLineChars="200" w:firstLine="420"/>
        <w:rPr>
          <w:rFonts w:ascii="宋体" w:hAnsi="宋体" w:cs="宋体"/>
          <w:bCs/>
          <w:color w:val="0000FF"/>
          <w:kern w:val="0"/>
          <w:szCs w:val="21"/>
        </w:rPr>
      </w:pPr>
      <w:r>
        <w:rPr>
          <w:rFonts w:hAnsi="宋体" w:hint="eastAsia"/>
          <w:kern w:val="0"/>
          <w:szCs w:val="21"/>
        </w:rPr>
        <w:t>为了</w:t>
      </w:r>
      <w:r>
        <w:rPr>
          <w:rFonts w:hAnsi="宋体"/>
          <w:kern w:val="0"/>
          <w:szCs w:val="21"/>
        </w:rPr>
        <w:t>有效的</w:t>
      </w:r>
      <w:r>
        <w:rPr>
          <w:rFonts w:hAnsi="宋体" w:hint="eastAsia"/>
          <w:kern w:val="0"/>
          <w:szCs w:val="21"/>
        </w:rPr>
        <w:t>完成课程</w:t>
      </w:r>
      <w:r>
        <w:rPr>
          <w:rFonts w:hAnsi="宋体"/>
          <w:kern w:val="0"/>
          <w:szCs w:val="21"/>
        </w:rPr>
        <w:t>主要目的</w:t>
      </w:r>
      <w:r>
        <w:rPr>
          <w:rFonts w:hAnsi="宋体" w:hint="eastAsia"/>
          <w:kern w:val="0"/>
          <w:szCs w:val="21"/>
        </w:rPr>
        <w:t>，本课程</w:t>
      </w:r>
      <w:r>
        <w:rPr>
          <w:rFonts w:hAnsi="宋体"/>
          <w:kern w:val="0"/>
          <w:szCs w:val="21"/>
        </w:rPr>
        <w:t>主要围绕五大类植物激素的合成</w:t>
      </w:r>
      <w:r>
        <w:rPr>
          <w:rFonts w:hAnsi="宋体" w:hint="eastAsia"/>
          <w:kern w:val="0"/>
          <w:szCs w:val="21"/>
        </w:rPr>
        <w:t>、</w:t>
      </w:r>
      <w:r>
        <w:rPr>
          <w:rFonts w:hAnsi="宋体"/>
          <w:kern w:val="0"/>
          <w:szCs w:val="21"/>
        </w:rPr>
        <w:t>代谢运输</w:t>
      </w:r>
      <w:r>
        <w:rPr>
          <w:rFonts w:hAnsi="宋体" w:hint="eastAsia"/>
          <w:kern w:val="0"/>
          <w:szCs w:val="21"/>
        </w:rPr>
        <w:t>、</w:t>
      </w:r>
      <w:r>
        <w:rPr>
          <w:rFonts w:hAnsi="宋体"/>
          <w:kern w:val="0"/>
          <w:szCs w:val="21"/>
        </w:rPr>
        <w:t>信号传导和应用原理与技术等内容，通过课堂讲授、课下</w:t>
      </w:r>
      <w:r>
        <w:rPr>
          <w:rFonts w:hAnsi="宋体" w:hint="eastAsia"/>
          <w:kern w:val="0"/>
          <w:szCs w:val="21"/>
        </w:rPr>
        <w:t>拓展与</w:t>
      </w:r>
      <w:r>
        <w:rPr>
          <w:rFonts w:hAnsi="宋体"/>
          <w:kern w:val="0"/>
          <w:szCs w:val="21"/>
        </w:rPr>
        <w:t>问答</w:t>
      </w:r>
      <w:r>
        <w:rPr>
          <w:rFonts w:hAnsi="宋体" w:hint="eastAsia"/>
          <w:kern w:val="0"/>
          <w:szCs w:val="21"/>
        </w:rPr>
        <w:t>（课程</w:t>
      </w:r>
      <w:r>
        <w:rPr>
          <w:rFonts w:hAnsi="宋体"/>
          <w:kern w:val="0"/>
          <w:szCs w:val="21"/>
        </w:rPr>
        <w:t>交流微信群和超</w:t>
      </w:r>
      <w:r>
        <w:rPr>
          <w:rFonts w:hAnsi="宋体" w:hint="eastAsia"/>
          <w:kern w:val="0"/>
          <w:szCs w:val="21"/>
        </w:rPr>
        <w:t>星资源</w:t>
      </w:r>
      <w:r>
        <w:rPr>
          <w:rFonts w:hAnsi="宋体"/>
          <w:kern w:val="0"/>
          <w:szCs w:val="21"/>
        </w:rPr>
        <w:t>共享群）、</w:t>
      </w:r>
      <w:r>
        <w:rPr>
          <w:rFonts w:hAnsi="宋体" w:hint="eastAsia"/>
          <w:kern w:val="0"/>
          <w:szCs w:val="21"/>
        </w:rPr>
        <w:t>小组</w:t>
      </w:r>
      <w:r>
        <w:rPr>
          <w:rFonts w:hAnsi="宋体"/>
          <w:kern w:val="0"/>
          <w:szCs w:val="21"/>
        </w:rPr>
        <w:t>讨论、个人试讲等方式</w:t>
      </w:r>
      <w:r>
        <w:rPr>
          <w:rFonts w:hAnsi="宋体" w:hint="eastAsia"/>
          <w:kern w:val="0"/>
          <w:szCs w:val="21"/>
        </w:rPr>
        <w:t>组织</w:t>
      </w:r>
      <w:r>
        <w:rPr>
          <w:rFonts w:hAnsi="宋体"/>
          <w:kern w:val="0"/>
          <w:szCs w:val="21"/>
        </w:rPr>
        <w:t>教学活动，</w:t>
      </w:r>
      <w:r>
        <w:rPr>
          <w:rFonts w:hAnsi="宋体" w:hint="eastAsia"/>
          <w:kern w:val="0"/>
          <w:szCs w:val="21"/>
        </w:rPr>
        <w:t>积极</w:t>
      </w:r>
      <w:r>
        <w:rPr>
          <w:rFonts w:hAnsi="宋体"/>
          <w:kern w:val="0"/>
          <w:szCs w:val="21"/>
        </w:rPr>
        <w:t>的提高学生的主动性，注重学生的个人创新和发现问题能力的培养，以平时成绩和最终</w:t>
      </w:r>
      <w:r>
        <w:rPr>
          <w:rFonts w:hAnsi="宋体" w:hint="eastAsia"/>
          <w:kern w:val="0"/>
          <w:szCs w:val="21"/>
        </w:rPr>
        <w:t>课程</w:t>
      </w:r>
      <w:r>
        <w:rPr>
          <w:rFonts w:hAnsi="宋体"/>
          <w:kern w:val="0"/>
          <w:szCs w:val="21"/>
        </w:rPr>
        <w:t>论文成绩系统的评价学生的学习情况。</w:t>
      </w:r>
    </w:p>
    <w:p w14:paraId="16650BC0" w14:textId="77777777" w:rsidR="00F5289E" w:rsidRDefault="00C91173">
      <w:pPr>
        <w:spacing w:line="360" w:lineRule="auto"/>
        <w:ind w:firstLineChars="200" w:firstLine="420"/>
        <w:rPr>
          <w:rFonts w:hAnsi="宋体"/>
          <w:bCs/>
          <w:color w:val="0000FF"/>
          <w:kern w:val="0"/>
          <w:szCs w:val="21"/>
        </w:rPr>
      </w:pPr>
      <w:r>
        <w:rPr>
          <w:rFonts w:hAnsi="宋体" w:hint="eastAsia"/>
          <w:bCs/>
          <w:kern w:val="0"/>
          <w:szCs w:val="21"/>
        </w:rPr>
        <w:t>2.</w:t>
      </w:r>
      <w:r>
        <w:rPr>
          <w:rFonts w:hAnsi="宋体" w:hint="eastAsia"/>
          <w:bCs/>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016571AD"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D80712F"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382E6E7"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FE0E2B1" w14:textId="77777777" w:rsidR="00F5289E" w:rsidRDefault="00C91173">
            <w:pPr>
              <w:spacing w:line="320" w:lineRule="exact"/>
              <w:jc w:val="center"/>
              <w:rPr>
                <w:rFonts w:ascii="宋体" w:hAnsi="宋体" w:cs="宋体"/>
                <w:b/>
                <w:bCs/>
                <w:sz w:val="18"/>
                <w:szCs w:val="18"/>
              </w:rPr>
            </w:pPr>
            <w:r>
              <w:rPr>
                <w:rFonts w:ascii="宋体" w:hAnsi="宋体" w:cs="宋体" w:hint="eastAsia"/>
                <w:b/>
                <w:bCs/>
                <w:sz w:val="18"/>
                <w:szCs w:val="18"/>
              </w:rPr>
              <w:t>毕业要求</w:t>
            </w:r>
          </w:p>
        </w:tc>
      </w:tr>
      <w:tr w:rsidR="00F5289E" w14:paraId="638BAD8A"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2BC6B75E" w14:textId="77777777" w:rsidR="00F5289E" w:rsidRDefault="00C91173">
            <w:pPr>
              <w:spacing w:line="320" w:lineRule="exact"/>
              <w:jc w:val="center"/>
              <w:rPr>
                <w:rFonts w:eastAsiaTheme="minorEastAsia"/>
                <w:sz w:val="18"/>
                <w:szCs w:val="18"/>
              </w:rPr>
            </w:pPr>
            <w:r>
              <w:rPr>
                <w:rFonts w:eastAsiaTheme="minorEastAsia"/>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01754980" w14:textId="6EB13CCF" w:rsidR="00F5289E" w:rsidRDefault="00C91173">
            <w:pPr>
              <w:spacing w:line="320" w:lineRule="exact"/>
              <w:jc w:val="left"/>
              <w:rPr>
                <w:rFonts w:eastAsiaTheme="minorEastAsia"/>
                <w:sz w:val="18"/>
                <w:szCs w:val="18"/>
              </w:rPr>
            </w:pPr>
            <w:r>
              <w:rPr>
                <w:rFonts w:eastAsiaTheme="minorEastAsia" w:hint="eastAsia"/>
                <w:sz w:val="18"/>
                <w:szCs w:val="18"/>
              </w:rPr>
              <w:t>目标</w:t>
            </w:r>
            <w:r>
              <w:rPr>
                <w:rFonts w:eastAsiaTheme="minorEastAsia"/>
                <w:sz w:val="18"/>
                <w:szCs w:val="18"/>
              </w:rPr>
              <w:t>1</w:t>
            </w:r>
            <w:r>
              <w:rPr>
                <w:rFonts w:eastAsiaTheme="minorEastAsia" w:hint="eastAsia"/>
                <w:sz w:val="18"/>
                <w:szCs w:val="18"/>
              </w:rPr>
              <w:t>：提高</w:t>
            </w:r>
            <w:r>
              <w:rPr>
                <w:rFonts w:eastAsiaTheme="minorEastAsia"/>
                <w:sz w:val="18"/>
                <w:szCs w:val="18"/>
              </w:rPr>
              <w:t>学生知识</w:t>
            </w:r>
            <w:r>
              <w:rPr>
                <w:rFonts w:eastAsiaTheme="minorEastAsia" w:hint="eastAsia"/>
                <w:sz w:val="18"/>
                <w:szCs w:val="18"/>
              </w:rPr>
              <w:t>结构</w:t>
            </w:r>
            <w:r>
              <w:rPr>
                <w:rFonts w:eastAsiaTheme="minorEastAsia"/>
                <w:sz w:val="18"/>
                <w:szCs w:val="18"/>
              </w:rPr>
              <w:t>的拓展，促进</w:t>
            </w:r>
            <w:r>
              <w:rPr>
                <w:rFonts w:eastAsiaTheme="minorEastAsia" w:hint="eastAsia"/>
                <w:sz w:val="18"/>
                <w:szCs w:val="18"/>
              </w:rPr>
              <w:t>不同</w:t>
            </w:r>
            <w:r>
              <w:rPr>
                <w:rFonts w:eastAsiaTheme="minorEastAsia"/>
                <w:sz w:val="18"/>
                <w:szCs w:val="18"/>
              </w:rPr>
              <w:t>知识</w:t>
            </w:r>
            <w:r>
              <w:rPr>
                <w:rFonts w:eastAsiaTheme="minorEastAsia" w:hint="eastAsia"/>
                <w:sz w:val="18"/>
                <w:szCs w:val="18"/>
              </w:rPr>
              <w:t>体系</w:t>
            </w:r>
            <w:r>
              <w:rPr>
                <w:rFonts w:eastAsiaTheme="minorEastAsia"/>
                <w:sz w:val="18"/>
                <w:szCs w:val="18"/>
              </w:rPr>
              <w:t>的</w:t>
            </w:r>
            <w:r>
              <w:rPr>
                <w:rFonts w:eastAsiaTheme="minorEastAsia" w:hint="eastAsia"/>
                <w:sz w:val="18"/>
                <w:szCs w:val="18"/>
              </w:rPr>
              <w:t>融合，新</w:t>
            </w:r>
            <w:r>
              <w:rPr>
                <w:rFonts w:eastAsiaTheme="minorEastAsia"/>
                <w:sz w:val="18"/>
                <w:szCs w:val="18"/>
              </w:rPr>
              <w:t>思路、新技术和新观点等创新意识的培养</w:t>
            </w:r>
            <w:r>
              <w:rPr>
                <w:rFonts w:eastAsiaTheme="minorEastAsia" w:hint="eastAsia"/>
                <w:sz w:val="18"/>
                <w:szCs w:val="18"/>
              </w:rPr>
              <w:t>。</w:t>
            </w:r>
          </w:p>
        </w:tc>
        <w:tc>
          <w:tcPr>
            <w:tcW w:w="1052" w:type="dxa"/>
            <w:tcBorders>
              <w:top w:val="single" w:sz="4" w:space="0" w:color="auto"/>
              <w:left w:val="single" w:sz="4" w:space="0" w:color="auto"/>
              <w:bottom w:val="single" w:sz="4" w:space="0" w:color="auto"/>
              <w:right w:val="single" w:sz="4" w:space="0" w:color="auto"/>
            </w:tcBorders>
            <w:vAlign w:val="center"/>
          </w:tcPr>
          <w:p w14:paraId="2AB00B1B" w14:textId="77777777" w:rsidR="00F5289E" w:rsidRDefault="00FE3AE6">
            <w:pPr>
              <w:spacing w:line="320" w:lineRule="exact"/>
              <w:jc w:val="center"/>
              <w:rPr>
                <w:rFonts w:eastAsiaTheme="minorEastAsia"/>
                <w:sz w:val="18"/>
                <w:szCs w:val="18"/>
              </w:rPr>
            </w:pPr>
            <w:r>
              <w:rPr>
                <w:rFonts w:eastAsiaTheme="minorEastAsia" w:hint="eastAsia"/>
                <w:sz w:val="18"/>
                <w:szCs w:val="18"/>
              </w:rPr>
              <w:t>4</w:t>
            </w:r>
          </w:p>
          <w:p w14:paraId="0B9162E5" w14:textId="3EA6D211" w:rsidR="00FE3AE6" w:rsidRPr="00343C46" w:rsidRDefault="00FE3AE6">
            <w:pPr>
              <w:spacing w:line="320" w:lineRule="exact"/>
              <w:jc w:val="center"/>
              <w:rPr>
                <w:rFonts w:eastAsiaTheme="minorEastAsia"/>
                <w:sz w:val="18"/>
                <w:szCs w:val="18"/>
              </w:rPr>
            </w:pPr>
            <w:r>
              <w:rPr>
                <w:rFonts w:eastAsiaTheme="minorEastAsia" w:hint="eastAsia"/>
                <w:sz w:val="18"/>
                <w:szCs w:val="18"/>
              </w:rPr>
              <w:t>7</w:t>
            </w:r>
          </w:p>
        </w:tc>
      </w:tr>
      <w:tr w:rsidR="00F5289E" w14:paraId="2300C6A4"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008D79A1" w14:textId="77777777" w:rsidR="00F5289E" w:rsidRDefault="00C91173">
            <w:pPr>
              <w:spacing w:line="320" w:lineRule="exact"/>
              <w:jc w:val="center"/>
              <w:rPr>
                <w:rFonts w:eastAsiaTheme="minorEastAsia"/>
                <w:sz w:val="18"/>
                <w:szCs w:val="18"/>
              </w:rPr>
            </w:pPr>
            <w:r>
              <w:rPr>
                <w:rFonts w:eastAsiaTheme="minorEastAsia"/>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4E7FB795" w14:textId="77777777" w:rsidR="00F5289E" w:rsidRDefault="00C91173">
            <w:pPr>
              <w:spacing w:line="320" w:lineRule="exact"/>
              <w:jc w:val="left"/>
              <w:rPr>
                <w:rFonts w:eastAsiaTheme="minorEastAsia" w:hAnsiTheme="minorEastAsia"/>
                <w:sz w:val="18"/>
                <w:szCs w:val="18"/>
                <w:highlight w:val="yellow"/>
              </w:rPr>
            </w:pPr>
            <w:r>
              <w:rPr>
                <w:rFonts w:eastAsiaTheme="minorEastAsia" w:hAnsiTheme="minorEastAsia"/>
                <w:sz w:val="18"/>
                <w:szCs w:val="18"/>
              </w:rPr>
              <w:t>目标</w:t>
            </w:r>
            <w:r>
              <w:rPr>
                <w:rFonts w:eastAsiaTheme="minorEastAsia"/>
                <w:sz w:val="18"/>
                <w:szCs w:val="18"/>
              </w:rPr>
              <w:t>2</w:t>
            </w:r>
            <w:r>
              <w:rPr>
                <w:rFonts w:eastAsiaTheme="minorEastAsia" w:hAnsiTheme="minorEastAsia"/>
                <w:sz w:val="18"/>
                <w:szCs w:val="18"/>
              </w:rPr>
              <w:t>：</w:t>
            </w:r>
            <w:r>
              <w:rPr>
                <w:rFonts w:eastAsiaTheme="minorEastAsia" w:hAnsiTheme="minorEastAsia" w:hint="eastAsia"/>
                <w:sz w:val="18"/>
                <w:szCs w:val="18"/>
              </w:rPr>
              <w:t>使学生</w:t>
            </w:r>
            <w:r>
              <w:rPr>
                <w:rFonts w:eastAsiaTheme="minorEastAsia" w:hAnsiTheme="minorEastAsia"/>
                <w:sz w:val="18"/>
                <w:szCs w:val="18"/>
              </w:rPr>
              <w:t>具备理论联系实际的能力</w:t>
            </w:r>
            <w:r>
              <w:rPr>
                <w:rFonts w:eastAsiaTheme="minorEastAsia" w:hAnsiTheme="minorEastAsia" w:hint="eastAsia"/>
                <w:sz w:val="18"/>
                <w:szCs w:val="18"/>
              </w:rPr>
              <w:t>，</w:t>
            </w:r>
            <w:r>
              <w:rPr>
                <w:rFonts w:eastAsiaTheme="minorEastAsia" w:hAnsiTheme="minorEastAsia"/>
                <w:sz w:val="18"/>
                <w:szCs w:val="18"/>
              </w:rPr>
              <w:t>能针对</w:t>
            </w:r>
            <w:r>
              <w:rPr>
                <w:rFonts w:eastAsiaTheme="minorEastAsia" w:hAnsiTheme="minorEastAsia" w:hint="eastAsia"/>
                <w:sz w:val="18"/>
                <w:szCs w:val="18"/>
              </w:rPr>
              <w:t>具体</w:t>
            </w:r>
            <w:r>
              <w:rPr>
                <w:rFonts w:eastAsiaTheme="minorEastAsia" w:hAnsiTheme="minorEastAsia"/>
                <w:sz w:val="18"/>
                <w:szCs w:val="18"/>
              </w:rPr>
              <w:t>的</w:t>
            </w:r>
            <w:r>
              <w:rPr>
                <w:rFonts w:eastAsiaTheme="minorEastAsia" w:hAnsiTheme="minorEastAsia" w:hint="eastAsia"/>
                <w:sz w:val="18"/>
                <w:szCs w:val="18"/>
              </w:rPr>
              <w:t>生产问题</w:t>
            </w:r>
            <w:r>
              <w:rPr>
                <w:rFonts w:eastAsiaTheme="minorEastAsia" w:hAnsiTheme="minorEastAsia"/>
                <w:sz w:val="18"/>
                <w:szCs w:val="18"/>
              </w:rPr>
              <w:t>，</w:t>
            </w:r>
            <w:r>
              <w:rPr>
                <w:rFonts w:eastAsiaTheme="minorEastAsia" w:hAnsiTheme="minorEastAsia" w:hint="eastAsia"/>
                <w:sz w:val="18"/>
                <w:szCs w:val="18"/>
              </w:rPr>
              <w:t>提出</w:t>
            </w:r>
            <w:r>
              <w:rPr>
                <w:rFonts w:eastAsiaTheme="minorEastAsia" w:hAnsiTheme="minorEastAsia"/>
                <w:sz w:val="18"/>
                <w:szCs w:val="18"/>
              </w:rPr>
              <w:t>有针对性的激素</w:t>
            </w:r>
            <w:r>
              <w:rPr>
                <w:rFonts w:eastAsiaTheme="minorEastAsia" w:hAnsiTheme="minorEastAsia" w:hint="eastAsia"/>
                <w:sz w:val="18"/>
                <w:szCs w:val="18"/>
              </w:rPr>
              <w:t>运用</w:t>
            </w:r>
            <w:r>
              <w:rPr>
                <w:rFonts w:eastAsiaTheme="minorEastAsia" w:hAnsiTheme="minorEastAsia"/>
                <w:sz w:val="18"/>
                <w:szCs w:val="18"/>
              </w:rPr>
              <w:t>方法或技术。</w:t>
            </w:r>
          </w:p>
        </w:tc>
        <w:tc>
          <w:tcPr>
            <w:tcW w:w="1052" w:type="dxa"/>
            <w:tcBorders>
              <w:top w:val="single" w:sz="4" w:space="0" w:color="auto"/>
              <w:left w:val="single" w:sz="4" w:space="0" w:color="auto"/>
              <w:bottom w:val="single" w:sz="4" w:space="0" w:color="auto"/>
              <w:right w:val="single" w:sz="4" w:space="0" w:color="auto"/>
            </w:tcBorders>
            <w:vAlign w:val="center"/>
          </w:tcPr>
          <w:p w14:paraId="7CF5B08E" w14:textId="77777777" w:rsidR="00FE3AE6" w:rsidRDefault="00FE3AE6">
            <w:pPr>
              <w:spacing w:line="320" w:lineRule="exact"/>
              <w:jc w:val="center"/>
              <w:rPr>
                <w:rFonts w:eastAsiaTheme="minorEastAsia"/>
                <w:sz w:val="18"/>
                <w:szCs w:val="18"/>
              </w:rPr>
            </w:pPr>
            <w:r>
              <w:rPr>
                <w:rFonts w:eastAsiaTheme="minorEastAsia"/>
                <w:sz w:val="18"/>
                <w:szCs w:val="18"/>
              </w:rPr>
              <w:t>5</w:t>
            </w:r>
          </w:p>
          <w:p w14:paraId="14B29B69" w14:textId="3F500C53" w:rsidR="00F5289E" w:rsidRDefault="00343C46">
            <w:pPr>
              <w:spacing w:line="320" w:lineRule="exact"/>
              <w:jc w:val="center"/>
              <w:rPr>
                <w:rFonts w:eastAsiaTheme="minorEastAsia"/>
                <w:sz w:val="18"/>
                <w:szCs w:val="18"/>
              </w:rPr>
            </w:pPr>
            <w:r>
              <w:rPr>
                <w:rFonts w:eastAsiaTheme="minorEastAsia" w:hint="eastAsia"/>
                <w:sz w:val="18"/>
                <w:szCs w:val="18"/>
              </w:rPr>
              <w:t>6</w:t>
            </w:r>
          </w:p>
        </w:tc>
      </w:tr>
      <w:tr w:rsidR="00F5289E" w14:paraId="513BEBFD"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FD13D98" w14:textId="77777777" w:rsidR="00F5289E" w:rsidRDefault="00C91173">
            <w:pPr>
              <w:spacing w:line="320" w:lineRule="exact"/>
              <w:jc w:val="center"/>
              <w:rPr>
                <w:rFonts w:eastAsiaTheme="minorEastAsia"/>
                <w:sz w:val="18"/>
                <w:szCs w:val="18"/>
              </w:rPr>
            </w:pPr>
            <w:r>
              <w:rPr>
                <w:rFonts w:eastAsiaTheme="minorEastAsia"/>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4934DD04" w14:textId="77777777" w:rsidR="00F5289E" w:rsidRDefault="00C91173">
            <w:pPr>
              <w:spacing w:line="320" w:lineRule="exact"/>
              <w:jc w:val="left"/>
              <w:rPr>
                <w:rFonts w:eastAsiaTheme="minorEastAsia"/>
                <w:sz w:val="18"/>
                <w:szCs w:val="18"/>
              </w:rPr>
            </w:pPr>
            <w:r>
              <w:rPr>
                <w:rFonts w:eastAsiaTheme="minorEastAsia" w:hAnsiTheme="minorEastAsia"/>
                <w:sz w:val="18"/>
                <w:szCs w:val="18"/>
              </w:rPr>
              <w:t>目标</w:t>
            </w:r>
            <w:r>
              <w:rPr>
                <w:rFonts w:eastAsiaTheme="minorEastAsia"/>
                <w:sz w:val="18"/>
                <w:szCs w:val="18"/>
              </w:rPr>
              <w:t>3</w:t>
            </w:r>
            <w:r>
              <w:rPr>
                <w:rFonts w:eastAsiaTheme="minorEastAsia" w:hAnsiTheme="minorEastAsia"/>
                <w:sz w:val="18"/>
                <w:szCs w:val="18"/>
              </w:rPr>
              <w:t>：</w:t>
            </w:r>
            <w:r>
              <w:rPr>
                <w:rFonts w:eastAsiaTheme="minorEastAsia" w:hAnsiTheme="minorEastAsia" w:hint="eastAsia"/>
                <w:sz w:val="18"/>
                <w:szCs w:val="18"/>
              </w:rPr>
              <w:t>提升课程</w:t>
            </w:r>
            <w:r>
              <w:rPr>
                <w:rFonts w:eastAsiaTheme="minorEastAsia" w:hAnsiTheme="minorEastAsia"/>
                <w:sz w:val="18"/>
                <w:szCs w:val="18"/>
              </w:rPr>
              <w:t>内容和专业</w:t>
            </w:r>
            <w:r>
              <w:rPr>
                <w:rFonts w:eastAsiaTheme="minorEastAsia" w:hAnsiTheme="minorEastAsia" w:hint="eastAsia"/>
                <w:sz w:val="18"/>
                <w:szCs w:val="18"/>
              </w:rPr>
              <w:t>知识</w:t>
            </w:r>
            <w:r>
              <w:rPr>
                <w:rFonts w:eastAsiaTheme="minorEastAsia" w:hAnsiTheme="minorEastAsia"/>
                <w:sz w:val="18"/>
                <w:szCs w:val="18"/>
              </w:rPr>
              <w:t>的</w:t>
            </w:r>
            <w:r>
              <w:rPr>
                <w:rFonts w:eastAsiaTheme="minorEastAsia" w:hAnsiTheme="minorEastAsia" w:hint="eastAsia"/>
                <w:sz w:val="18"/>
                <w:szCs w:val="18"/>
              </w:rPr>
              <w:t>高度</w:t>
            </w:r>
            <w:r>
              <w:rPr>
                <w:rFonts w:eastAsiaTheme="minorEastAsia" w:hAnsiTheme="minorEastAsia"/>
                <w:sz w:val="18"/>
                <w:szCs w:val="18"/>
              </w:rPr>
              <w:t>，</w:t>
            </w:r>
            <w:r>
              <w:rPr>
                <w:rFonts w:eastAsiaTheme="minorEastAsia" w:hint="eastAsia"/>
                <w:sz w:val="18"/>
                <w:szCs w:val="18"/>
              </w:rPr>
              <w:t>使学生具备初步</w:t>
            </w:r>
            <w:r>
              <w:rPr>
                <w:rFonts w:eastAsiaTheme="minorEastAsia"/>
                <w:sz w:val="18"/>
                <w:szCs w:val="18"/>
              </w:rPr>
              <w:t>的科研</w:t>
            </w:r>
            <w:r>
              <w:rPr>
                <w:rFonts w:eastAsiaTheme="minorEastAsia" w:hint="eastAsia"/>
                <w:sz w:val="18"/>
                <w:szCs w:val="18"/>
              </w:rPr>
              <w:t>文献</w:t>
            </w:r>
            <w:r>
              <w:rPr>
                <w:rFonts w:eastAsiaTheme="minorEastAsia"/>
                <w:sz w:val="18"/>
                <w:szCs w:val="18"/>
              </w:rPr>
              <w:t>查阅、分析</w:t>
            </w:r>
            <w:r>
              <w:rPr>
                <w:rFonts w:eastAsiaTheme="minorEastAsia" w:hint="eastAsia"/>
                <w:sz w:val="18"/>
                <w:szCs w:val="18"/>
              </w:rPr>
              <w:t>和创新</w:t>
            </w:r>
            <w:r>
              <w:rPr>
                <w:rFonts w:eastAsiaTheme="minorEastAsia"/>
                <w:sz w:val="18"/>
                <w:szCs w:val="18"/>
              </w:rPr>
              <w:t>的能力。</w:t>
            </w:r>
          </w:p>
        </w:tc>
        <w:tc>
          <w:tcPr>
            <w:tcW w:w="1052" w:type="dxa"/>
            <w:tcBorders>
              <w:top w:val="single" w:sz="4" w:space="0" w:color="auto"/>
              <w:left w:val="single" w:sz="4" w:space="0" w:color="auto"/>
              <w:bottom w:val="single" w:sz="4" w:space="0" w:color="auto"/>
              <w:right w:val="single" w:sz="4" w:space="0" w:color="auto"/>
            </w:tcBorders>
            <w:vAlign w:val="center"/>
          </w:tcPr>
          <w:p w14:paraId="0C0FB268" w14:textId="3A0CF619" w:rsidR="00F5289E" w:rsidRDefault="00FE3AE6">
            <w:pPr>
              <w:spacing w:line="320" w:lineRule="exact"/>
              <w:jc w:val="center"/>
              <w:rPr>
                <w:rFonts w:eastAsiaTheme="minorEastAsia"/>
                <w:sz w:val="18"/>
                <w:szCs w:val="18"/>
              </w:rPr>
            </w:pPr>
            <w:r>
              <w:rPr>
                <w:rFonts w:eastAsiaTheme="minorEastAsia" w:hint="eastAsia"/>
                <w:sz w:val="18"/>
                <w:szCs w:val="18"/>
              </w:rPr>
              <w:t>1</w:t>
            </w:r>
            <w:r>
              <w:rPr>
                <w:rFonts w:eastAsiaTheme="minorEastAsia"/>
                <w:sz w:val="18"/>
                <w:szCs w:val="18"/>
              </w:rPr>
              <w:t>0</w:t>
            </w:r>
          </w:p>
        </w:tc>
      </w:tr>
    </w:tbl>
    <w:p w14:paraId="02D92932" w14:textId="77777777" w:rsidR="00F5289E" w:rsidRDefault="00F5289E">
      <w:pPr>
        <w:spacing w:line="360" w:lineRule="auto"/>
        <w:ind w:firstLineChars="200" w:firstLine="420"/>
        <w:rPr>
          <w:rFonts w:hAnsi="宋体"/>
          <w:bCs/>
          <w:color w:val="0000FF"/>
          <w:kern w:val="0"/>
          <w:szCs w:val="21"/>
        </w:rPr>
      </w:pPr>
    </w:p>
    <w:p w14:paraId="600E264C" w14:textId="77777777" w:rsidR="00F5289E" w:rsidRDefault="00C91173">
      <w:pPr>
        <w:widowControl/>
        <w:snapToGrid w:val="0"/>
        <w:spacing w:line="360" w:lineRule="auto"/>
        <w:jc w:val="left"/>
        <w:rPr>
          <w:rFonts w:hAnsi="宋体"/>
          <w:bCs/>
          <w:color w:val="0000FF"/>
          <w:kern w:val="0"/>
          <w:szCs w:val="21"/>
        </w:rPr>
      </w:pPr>
      <w:r>
        <w:rPr>
          <w:rFonts w:hAnsi="宋体" w:hint="eastAsia"/>
          <w:b/>
          <w:bCs/>
          <w:kern w:val="0"/>
          <w:szCs w:val="21"/>
        </w:rPr>
        <w:t>四</w:t>
      </w:r>
      <w:r>
        <w:rPr>
          <w:rFonts w:hAnsi="宋体"/>
          <w:b/>
          <w:bCs/>
          <w:kern w:val="0"/>
          <w:szCs w:val="21"/>
        </w:rPr>
        <w:t>、理论教学内容及学时分配</w:t>
      </w:r>
      <w:r>
        <w:rPr>
          <w:rFonts w:hAnsi="宋体" w:hint="eastAsia"/>
          <w:b/>
          <w:bCs/>
          <w:kern w:val="0"/>
          <w:szCs w:val="21"/>
        </w:rPr>
        <w:t>（</w:t>
      </w:r>
      <w:r>
        <w:rPr>
          <w:rFonts w:hAnsi="宋体"/>
          <w:b/>
          <w:bCs/>
          <w:kern w:val="0"/>
          <w:szCs w:val="21"/>
        </w:rPr>
        <w:t>16</w:t>
      </w:r>
      <w:r>
        <w:rPr>
          <w:rFonts w:hAnsi="宋体" w:hint="eastAsia"/>
          <w:b/>
          <w:bCs/>
          <w:kern w:val="0"/>
          <w:szCs w:val="21"/>
        </w:rPr>
        <w:t>学时）</w:t>
      </w:r>
    </w:p>
    <w:tbl>
      <w:tblPr>
        <w:tblStyle w:val="af6"/>
        <w:tblW w:w="0" w:type="auto"/>
        <w:tblInd w:w="4" w:type="dxa"/>
        <w:tblCellMar>
          <w:left w:w="0" w:type="dxa"/>
          <w:right w:w="0" w:type="dxa"/>
        </w:tblCellMar>
        <w:tblLook w:val="04A0" w:firstRow="1" w:lastRow="0" w:firstColumn="1" w:lastColumn="0" w:noHBand="0" w:noVBand="1"/>
      </w:tblPr>
      <w:tblGrid>
        <w:gridCol w:w="2965"/>
        <w:gridCol w:w="2965"/>
        <w:gridCol w:w="2966"/>
      </w:tblGrid>
      <w:tr w:rsidR="00F5289E" w14:paraId="65319724" w14:textId="77777777">
        <w:trPr>
          <w:trHeight w:val="270"/>
        </w:trPr>
        <w:tc>
          <w:tcPr>
            <w:tcW w:w="2965" w:type="dxa"/>
            <w:tcBorders>
              <w:top w:val="nil"/>
              <w:left w:val="nil"/>
              <w:bottom w:val="nil"/>
              <w:right w:val="nil"/>
            </w:tcBorders>
            <w:vAlign w:val="center"/>
          </w:tcPr>
          <w:p w14:paraId="19E0283A"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14:paraId="4773F1CA" w14:textId="77777777" w:rsidR="00F5289E" w:rsidRDefault="00C91173">
            <w:pPr>
              <w:widowControl/>
              <w:snapToGrid w:val="0"/>
              <w:spacing w:line="360" w:lineRule="auto"/>
              <w:jc w:val="center"/>
              <w:rPr>
                <w:rFonts w:hAnsi="宋体"/>
                <w:b/>
                <w:bCs/>
                <w:kern w:val="0"/>
                <w:szCs w:val="21"/>
              </w:rPr>
            </w:pPr>
            <w:r>
              <w:rPr>
                <w:rFonts w:hAnsi="宋体" w:hint="eastAsia"/>
                <w:b/>
                <w:bCs/>
                <w:kern w:val="0"/>
                <w:szCs w:val="21"/>
              </w:rPr>
              <w:t>绪论</w:t>
            </w:r>
          </w:p>
        </w:tc>
        <w:tc>
          <w:tcPr>
            <w:tcW w:w="2966" w:type="dxa"/>
            <w:tcBorders>
              <w:top w:val="nil"/>
              <w:left w:val="nil"/>
              <w:bottom w:val="nil"/>
              <w:right w:val="nil"/>
            </w:tcBorders>
            <w:vAlign w:val="center"/>
          </w:tcPr>
          <w:p w14:paraId="460FBF7A" w14:textId="77777777" w:rsidR="00F5289E" w:rsidRDefault="00C91173">
            <w:pPr>
              <w:widowControl/>
              <w:snapToGrid w:val="0"/>
              <w:spacing w:line="360" w:lineRule="auto"/>
              <w:jc w:val="right"/>
              <w:rPr>
                <w:rFonts w:hAnsi="宋体"/>
                <w:b/>
                <w:bCs/>
                <w:kern w:val="0"/>
                <w:szCs w:val="21"/>
              </w:rPr>
            </w:pPr>
            <w:r>
              <w:rPr>
                <w:rFonts w:hAnsi="宋体"/>
                <w:b/>
                <w:bCs/>
                <w:kern w:val="0"/>
                <w:szCs w:val="21"/>
              </w:rPr>
              <w:t>学时</w:t>
            </w:r>
            <w:r>
              <w:rPr>
                <w:rFonts w:hAnsi="宋体" w:hint="eastAsia"/>
                <w:b/>
                <w:bCs/>
                <w:kern w:val="0"/>
                <w:szCs w:val="21"/>
              </w:rPr>
              <w:t>数：</w:t>
            </w:r>
            <w:r>
              <w:rPr>
                <w:rFonts w:hAnsi="宋体"/>
                <w:b/>
                <w:bCs/>
                <w:kern w:val="0"/>
                <w:szCs w:val="21"/>
              </w:rPr>
              <w:t>1</w:t>
            </w:r>
          </w:p>
        </w:tc>
      </w:tr>
    </w:tbl>
    <w:p w14:paraId="3A802887" w14:textId="77777777" w:rsidR="00F5289E" w:rsidRDefault="00C91173">
      <w:pPr>
        <w:widowControl/>
        <w:snapToGrid w:val="0"/>
        <w:spacing w:line="360" w:lineRule="auto"/>
        <w:rPr>
          <w:rFonts w:hAnsi="宋体"/>
          <w:b/>
          <w:bCs/>
          <w:kern w:val="0"/>
          <w:szCs w:val="21"/>
        </w:rPr>
      </w:pPr>
      <w:r>
        <w:rPr>
          <w:rFonts w:ascii="宋体" w:hAnsi="宋体" w:hint="eastAsia"/>
          <w:b/>
          <w:bCs/>
        </w:rPr>
        <w:t>教学目标：</w:t>
      </w:r>
      <w:r>
        <w:rPr>
          <w:rFonts w:ascii="宋体" w:hAnsi="宋体" w:cs="宋体" w:hint="eastAsia"/>
          <w:szCs w:val="21"/>
        </w:rPr>
        <w:t>对植物生长调节剂的发现、利用和研究进行初步的认识和了解。</w:t>
      </w:r>
    </w:p>
    <w:p w14:paraId="619FA4D3" w14:textId="77777777" w:rsidR="00F5289E" w:rsidRDefault="00C91173">
      <w:pPr>
        <w:widowControl/>
        <w:snapToGrid w:val="0"/>
        <w:spacing w:line="360" w:lineRule="auto"/>
        <w:rPr>
          <w:rFonts w:ascii="宋体" w:hAnsi="宋体"/>
          <w:bCs/>
          <w:color w:val="0000FF"/>
        </w:rPr>
      </w:pPr>
      <w:r>
        <w:rPr>
          <w:rFonts w:ascii="宋体" w:hAnsi="宋体" w:hint="eastAsia"/>
          <w:b/>
          <w:bCs/>
        </w:rPr>
        <w:t>教学重点和难点：</w:t>
      </w:r>
    </w:p>
    <w:p w14:paraId="44830E11"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重点：植物激素和植物生长调节剂的相关概念、特点和知识体系</w:t>
      </w:r>
    </w:p>
    <w:p w14:paraId="72BF6CBA"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难点：国内外植物生长调节剂应用的主要进展</w:t>
      </w:r>
    </w:p>
    <w:p w14:paraId="34BB1182" w14:textId="77777777" w:rsidR="00F5289E" w:rsidRDefault="00C91173">
      <w:pPr>
        <w:pStyle w:val="a7"/>
        <w:snapToGrid w:val="0"/>
        <w:spacing w:line="360" w:lineRule="auto"/>
        <w:ind w:firstLineChars="0" w:firstLine="0"/>
        <w:rPr>
          <w:rFonts w:ascii="宋体" w:hAnsi="宋体"/>
          <w:color w:val="0000FF"/>
        </w:rPr>
      </w:pPr>
      <w:r>
        <w:rPr>
          <w:rFonts w:ascii="宋体" w:hAnsi="宋体" w:hint="eastAsia"/>
          <w:b/>
        </w:rPr>
        <w:t>主要教学内容及要求：</w:t>
      </w:r>
    </w:p>
    <w:p w14:paraId="079B7E79" w14:textId="77777777" w:rsidR="00F5289E" w:rsidRDefault="00C91173">
      <w:pPr>
        <w:widowControl/>
        <w:wordWrap w:val="0"/>
        <w:snapToGrid w:val="0"/>
        <w:spacing w:line="360" w:lineRule="auto"/>
        <w:ind w:firstLineChars="200" w:firstLine="420"/>
        <w:rPr>
          <w:rFonts w:ascii="宋体" w:hAnsi="宋体"/>
          <w:b/>
          <w:bCs/>
        </w:rPr>
      </w:pPr>
      <w:r>
        <w:rPr>
          <w:rFonts w:ascii="宋体" w:hAnsi="宋体" w:cs="宋体" w:hint="eastAsia"/>
          <w:color w:val="000000"/>
          <w:szCs w:val="21"/>
        </w:rPr>
        <w:t>了解国内外植物生长调节剂应用的主要进展。</w:t>
      </w:r>
    </w:p>
    <w:p w14:paraId="734F9E0D" w14:textId="77777777" w:rsidR="00F5289E" w:rsidRDefault="00C91173">
      <w:pPr>
        <w:widowControl/>
        <w:wordWrap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掌握植物生长调节剂的概念。</w:t>
      </w:r>
    </w:p>
    <w:p w14:paraId="506F5E78" w14:textId="77777777" w:rsidR="00F5289E" w:rsidRDefault="00C91173">
      <w:pPr>
        <w:pStyle w:val="a7"/>
        <w:snapToGrid w:val="0"/>
        <w:spacing w:line="360" w:lineRule="auto"/>
        <w:rPr>
          <w:rFonts w:ascii="宋体" w:hAnsi="宋体"/>
          <w:color w:val="0000FF"/>
        </w:rPr>
      </w:pPr>
      <w:r>
        <w:rPr>
          <w:rFonts w:ascii="宋体" w:hAnsi="宋体" w:cs="宋体" w:hint="eastAsia"/>
          <w:color w:val="000000"/>
          <w:szCs w:val="21"/>
        </w:rPr>
        <w:t>理解植物生长调节剂的特点、意义、任务和知识体系。</w:t>
      </w:r>
    </w:p>
    <w:p w14:paraId="5B880446" w14:textId="77777777" w:rsidR="00F5289E" w:rsidRDefault="00C91173">
      <w:pPr>
        <w:widowControl/>
        <w:snapToGrid w:val="0"/>
        <w:spacing w:line="360" w:lineRule="auto"/>
        <w:rPr>
          <w:rFonts w:ascii="宋体" w:hAnsi="宋体"/>
          <w:b/>
          <w:bCs/>
        </w:rPr>
      </w:pPr>
      <w:r>
        <w:rPr>
          <w:rFonts w:ascii="宋体" w:hAnsi="宋体" w:hint="eastAsia"/>
          <w:b/>
          <w:bCs/>
        </w:rPr>
        <w:t>教学组织与实施：</w:t>
      </w:r>
    </w:p>
    <w:p w14:paraId="0C18D3BD" w14:textId="77777777" w:rsidR="00F5289E" w:rsidRDefault="00C91173">
      <w:pPr>
        <w:widowControl/>
        <w:snapToGrid w:val="0"/>
        <w:spacing w:line="360" w:lineRule="auto"/>
        <w:ind w:firstLineChars="200" w:firstLine="420"/>
        <w:rPr>
          <w:rFonts w:hAnsi="宋体"/>
          <w:kern w:val="0"/>
          <w:szCs w:val="21"/>
        </w:rPr>
      </w:pPr>
      <w:r>
        <w:rPr>
          <w:rFonts w:ascii="宋体" w:hAnsi="宋体" w:hint="eastAsia"/>
          <w:bCs/>
        </w:rPr>
        <w:t>以</w:t>
      </w:r>
      <w:r>
        <w:rPr>
          <w:rFonts w:ascii="宋体" w:hAnsi="宋体"/>
          <w:bCs/>
        </w:rPr>
        <w:t>学生为本，</w:t>
      </w:r>
      <w:r>
        <w:rPr>
          <w:rFonts w:hAnsi="宋体"/>
          <w:kern w:val="0"/>
          <w:szCs w:val="21"/>
        </w:rPr>
        <w:t>通过课堂讲授</w:t>
      </w:r>
      <w:r>
        <w:rPr>
          <w:rFonts w:hAnsi="宋体" w:hint="eastAsia"/>
          <w:kern w:val="0"/>
          <w:szCs w:val="21"/>
        </w:rPr>
        <w:t>和</w:t>
      </w:r>
      <w:r>
        <w:rPr>
          <w:rFonts w:hAnsi="宋体"/>
          <w:kern w:val="0"/>
          <w:szCs w:val="21"/>
        </w:rPr>
        <w:t>课下</w:t>
      </w:r>
      <w:r>
        <w:rPr>
          <w:rFonts w:hAnsi="宋体" w:hint="eastAsia"/>
          <w:kern w:val="0"/>
          <w:szCs w:val="21"/>
        </w:rPr>
        <w:t>拓展与</w:t>
      </w:r>
      <w:r>
        <w:rPr>
          <w:rFonts w:hAnsi="宋体"/>
          <w:kern w:val="0"/>
          <w:szCs w:val="21"/>
        </w:rPr>
        <w:t>问答等方式</w:t>
      </w:r>
      <w:r>
        <w:rPr>
          <w:rFonts w:hAnsi="宋体" w:hint="eastAsia"/>
          <w:kern w:val="0"/>
          <w:szCs w:val="21"/>
        </w:rPr>
        <w:t>组织</w:t>
      </w:r>
      <w:r>
        <w:rPr>
          <w:rFonts w:hAnsi="宋体"/>
          <w:kern w:val="0"/>
          <w:szCs w:val="21"/>
        </w:rPr>
        <w:t>教学活动</w:t>
      </w:r>
      <w:r>
        <w:rPr>
          <w:rFonts w:hAnsi="宋体" w:hint="eastAsia"/>
          <w:kern w:val="0"/>
          <w:szCs w:val="21"/>
        </w:rPr>
        <w:t>。</w:t>
      </w:r>
    </w:p>
    <w:p w14:paraId="2F7FB920" w14:textId="77777777" w:rsidR="00F5289E" w:rsidRDefault="00F5289E">
      <w:pPr>
        <w:widowControl/>
        <w:snapToGrid w:val="0"/>
        <w:spacing w:line="360" w:lineRule="auto"/>
        <w:ind w:firstLineChars="200" w:firstLine="422"/>
        <w:rPr>
          <w:rFonts w:ascii="宋体" w:hAnsi="宋体"/>
          <w:b/>
          <w:bCs/>
        </w:rPr>
      </w:pPr>
    </w:p>
    <w:p w14:paraId="51EDD4B2" w14:textId="77777777" w:rsidR="00F5289E" w:rsidRDefault="00C91173">
      <w:pPr>
        <w:widowControl/>
        <w:wordWrap w:val="0"/>
        <w:snapToGrid w:val="0"/>
        <w:spacing w:line="360" w:lineRule="auto"/>
        <w:ind w:left="1265" w:hangingChars="600" w:hanging="1265"/>
        <w:jc w:val="right"/>
        <w:rPr>
          <w:rFonts w:ascii="宋体" w:hAnsi="宋体" w:cs="宋体"/>
          <w:b/>
          <w:bCs/>
          <w:kern w:val="0"/>
          <w:szCs w:val="21"/>
        </w:rPr>
      </w:pPr>
      <w:r>
        <w:rPr>
          <w:rFonts w:ascii="宋体" w:hAnsi="宋体" w:cs="宋体" w:hint="eastAsia"/>
          <w:b/>
          <w:bCs/>
          <w:kern w:val="0"/>
          <w:szCs w:val="21"/>
        </w:rPr>
        <w:t>第一章 植物生长调节剂的种类及其性质               学时数</w:t>
      </w:r>
      <w:r>
        <w:rPr>
          <w:rFonts w:ascii="宋体" w:hAnsi="宋体" w:cs="宋体"/>
          <w:b/>
          <w:bCs/>
          <w:kern w:val="0"/>
          <w:szCs w:val="21"/>
        </w:rPr>
        <w:t>：</w:t>
      </w:r>
      <w:r>
        <w:rPr>
          <w:rFonts w:ascii="宋体" w:hAnsi="宋体" w:cs="宋体" w:hint="eastAsia"/>
          <w:b/>
          <w:bCs/>
          <w:kern w:val="0"/>
          <w:szCs w:val="21"/>
        </w:rPr>
        <w:t>3</w:t>
      </w:r>
      <w:r>
        <w:rPr>
          <w:rFonts w:ascii="宋体" w:hAnsi="宋体" w:cs="宋体"/>
          <w:b/>
          <w:bCs/>
          <w:kern w:val="0"/>
          <w:szCs w:val="21"/>
        </w:rPr>
        <w:t xml:space="preserve"> </w:t>
      </w:r>
    </w:p>
    <w:p w14:paraId="2C0582DD" w14:textId="77777777" w:rsidR="00F5289E" w:rsidRDefault="00C91173">
      <w:pPr>
        <w:pStyle w:val="af1"/>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第一节 植物生长促进剂（1学时）</w:t>
      </w:r>
    </w:p>
    <w:p w14:paraId="6A7A15B9"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lastRenderedPageBreak/>
        <w:t>教学目的：</w:t>
      </w:r>
    </w:p>
    <w:p w14:paraId="68A0584F"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w:t>
      </w:r>
      <w:r>
        <w:rPr>
          <w:rFonts w:ascii="宋体" w:hAnsi="宋体" w:cs="宋体" w:hint="eastAsia"/>
          <w:color w:val="000000"/>
          <w:szCs w:val="21"/>
        </w:rPr>
        <w:t>植物生长促进剂</w:t>
      </w:r>
      <w:r>
        <w:rPr>
          <w:rFonts w:ascii="宋体" w:hAnsi="宋体" w:cs="宋体" w:hint="eastAsia"/>
          <w:szCs w:val="21"/>
        </w:rPr>
        <w:t>的种类、理化性质、生理作用和调控机理等。</w:t>
      </w:r>
    </w:p>
    <w:p w14:paraId="6A68C36F"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501E7960"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重点：植物生长促进剂的分布、合成、代谢、运输、生理功能。</w:t>
      </w:r>
    </w:p>
    <w:p w14:paraId="3C2341F9"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color w:val="000000"/>
          <w:sz w:val="21"/>
          <w:szCs w:val="21"/>
        </w:rPr>
        <w:t>难点：植物生长促进剂的信号系统和作用机理。</w:t>
      </w:r>
    </w:p>
    <w:p w14:paraId="2FA6CF17"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主要教学内容及要求：</w:t>
      </w:r>
    </w:p>
    <w:p w14:paraId="2D6372D5"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了解激动素（KT）、CPPU的功能、作用机理和施用方法；</w:t>
      </w:r>
    </w:p>
    <w:p w14:paraId="5B39282C"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理解</w:t>
      </w:r>
      <w:r>
        <w:rPr>
          <w:rFonts w:ascii="宋体" w:eastAsia="宋体" w:hAnsi="宋体" w:cs="宋体"/>
          <w:color w:val="000000"/>
          <w:sz w:val="21"/>
          <w:szCs w:val="21"/>
        </w:rPr>
        <w:t>独角金内酯</w:t>
      </w:r>
      <w:r>
        <w:rPr>
          <w:rFonts w:ascii="宋体" w:eastAsia="宋体" w:hAnsi="宋体" w:cs="宋体" w:hint="eastAsia"/>
          <w:color w:val="000000"/>
          <w:sz w:val="21"/>
          <w:szCs w:val="21"/>
        </w:rPr>
        <w:t>、乙烯利（ETH）、油菜素内酯（BR）、多胺、水杨酸等的功能、作用机理和施用方法；</w:t>
      </w:r>
    </w:p>
    <w:p w14:paraId="3AC7152C"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掌握吲哚乙酸（IAA）、吲哚丁酸 (IBA)、 萘乙酸 (NAA)）、2，4－D、防落素（PCPA或4-CPA）、赤霉素（GA</w:t>
      </w:r>
      <w:r>
        <w:rPr>
          <w:rFonts w:ascii="宋体" w:eastAsia="宋体" w:hAnsi="宋体" w:cs="宋体" w:hint="eastAsia"/>
          <w:color w:val="000000"/>
          <w:sz w:val="21"/>
          <w:szCs w:val="21"/>
          <w:vertAlign w:val="subscript"/>
        </w:rPr>
        <w:t>3</w:t>
      </w:r>
      <w:r>
        <w:rPr>
          <w:rFonts w:ascii="宋体" w:eastAsia="宋体" w:hAnsi="宋体" w:cs="宋体" w:hint="eastAsia"/>
          <w:color w:val="000000"/>
          <w:sz w:val="21"/>
          <w:szCs w:val="21"/>
        </w:rPr>
        <w:t>）、6-苄基氨基嘌呤（6－BA）的功能、作用机理和施用方法。</w:t>
      </w:r>
    </w:p>
    <w:p w14:paraId="02841620"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205174A3" w14:textId="77777777" w:rsidR="00F5289E" w:rsidRDefault="00C91173">
      <w:pPr>
        <w:pStyle w:val="af1"/>
        <w:wordWrap w:val="0"/>
        <w:spacing w:before="0" w:beforeAutospacing="0" w:after="0" w:afterAutospacing="0" w:line="360" w:lineRule="auto"/>
        <w:ind w:firstLineChars="200" w:firstLine="420"/>
        <w:jc w:val="both"/>
        <w:rPr>
          <w:rFonts w:asciiTheme="minorEastAsia" w:eastAsiaTheme="minorEastAsia" w:hAnsiTheme="minorEastAsia" w:cs="宋体"/>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组织学生认知</w:t>
      </w:r>
      <w:r>
        <w:rPr>
          <w:rFonts w:ascii="宋体" w:eastAsia="宋体" w:hAnsi="宋体" w:cs="宋体"/>
          <w:color w:val="000000"/>
          <w:sz w:val="21"/>
          <w:szCs w:val="21"/>
        </w:rPr>
        <w:t>和接受课程内容</w:t>
      </w:r>
      <w:r>
        <w:rPr>
          <w:rFonts w:ascii="宋体" w:eastAsia="宋体" w:hAnsi="宋体" w:cs="宋体" w:hint="eastAsia"/>
          <w:color w:val="000000"/>
          <w:sz w:val="21"/>
          <w:szCs w:val="21"/>
        </w:rPr>
        <w:t>。</w:t>
      </w:r>
    </w:p>
    <w:p w14:paraId="6FF44EBB" w14:textId="77777777" w:rsidR="00F5289E" w:rsidRDefault="00C91173" w:rsidP="00A115EF">
      <w:pPr>
        <w:pStyle w:val="af1"/>
        <w:numPr>
          <w:ilvl w:val="0"/>
          <w:numId w:val="48"/>
        </w:numPr>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植物生长抑制剂（1学时）</w:t>
      </w:r>
    </w:p>
    <w:p w14:paraId="0A7D51A6"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04B20E92"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w:t>
      </w:r>
      <w:r>
        <w:rPr>
          <w:rFonts w:ascii="宋体" w:hAnsi="宋体" w:cs="宋体" w:hint="eastAsia"/>
          <w:color w:val="000000"/>
          <w:szCs w:val="21"/>
        </w:rPr>
        <w:t>植物生长抑制剂</w:t>
      </w:r>
      <w:r>
        <w:rPr>
          <w:rFonts w:ascii="宋体" w:hAnsi="宋体" w:cs="宋体" w:hint="eastAsia"/>
          <w:szCs w:val="21"/>
        </w:rPr>
        <w:t>的种类、生理作用和调控机理等。</w:t>
      </w:r>
    </w:p>
    <w:p w14:paraId="3DE5B288"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2FFEEDCA"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重点：植物生长抑制剂的分布、合成、代谢、运输、生理功能。</w:t>
      </w:r>
    </w:p>
    <w:p w14:paraId="61F524D0"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难点：植物生长抑制剂的信号系统和作用机理。</w:t>
      </w:r>
    </w:p>
    <w:p w14:paraId="149235E1"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主要教学内容及要求：</w:t>
      </w:r>
    </w:p>
    <w:p w14:paraId="4829A4F2"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了解和理解脱落酸（ABA）、青鲜素（MH）、三碘苯甲酸（TIBA）、整型素、增甘膦等生长抑制剂的功能、作用机制和施用方法等。</w:t>
      </w:r>
    </w:p>
    <w:p w14:paraId="00A9B833"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0A0C3FAB"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组织学生认知</w:t>
      </w:r>
      <w:r>
        <w:rPr>
          <w:rFonts w:ascii="宋体" w:eastAsia="宋体" w:hAnsi="宋体" w:cs="宋体"/>
          <w:color w:val="000000"/>
          <w:sz w:val="21"/>
          <w:szCs w:val="21"/>
        </w:rPr>
        <w:t>和接受课程内容</w:t>
      </w:r>
      <w:r>
        <w:rPr>
          <w:rFonts w:ascii="宋体" w:eastAsia="宋体" w:hAnsi="宋体" w:cs="宋体" w:hint="eastAsia"/>
          <w:color w:val="000000"/>
          <w:sz w:val="21"/>
          <w:szCs w:val="21"/>
        </w:rPr>
        <w:t>。</w:t>
      </w:r>
    </w:p>
    <w:p w14:paraId="12F32D03" w14:textId="77777777" w:rsidR="00F5289E" w:rsidRDefault="00C91173">
      <w:pPr>
        <w:pStyle w:val="af1"/>
        <w:wordWrap w:val="0"/>
        <w:spacing w:before="0" w:beforeAutospacing="0" w:after="0" w:afterAutospacing="0" w:line="360" w:lineRule="auto"/>
        <w:jc w:val="both"/>
        <w:rPr>
          <w:rFonts w:ascii="宋体" w:eastAsia="宋体" w:hAnsi="宋体" w:cs="宋体"/>
          <w:b/>
          <w:bCs/>
          <w:sz w:val="21"/>
          <w:szCs w:val="21"/>
        </w:rPr>
      </w:pPr>
      <w:r>
        <w:rPr>
          <w:rFonts w:ascii="宋体" w:eastAsia="宋体" w:hAnsi="宋体" w:cs="宋体" w:hint="eastAsia"/>
          <w:b/>
          <w:bCs/>
          <w:color w:val="000000"/>
          <w:sz w:val="21"/>
          <w:szCs w:val="21"/>
        </w:rPr>
        <w:t>第三节 植物生长延缓剂（1学时）</w:t>
      </w:r>
    </w:p>
    <w:p w14:paraId="16127950"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5DC4AA25"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w:t>
      </w:r>
      <w:r>
        <w:rPr>
          <w:rFonts w:ascii="宋体" w:hAnsi="宋体" w:cs="宋体" w:hint="eastAsia"/>
          <w:color w:val="000000"/>
          <w:szCs w:val="21"/>
        </w:rPr>
        <w:t>植物生长延缓剂</w:t>
      </w:r>
      <w:r>
        <w:rPr>
          <w:rFonts w:ascii="宋体" w:hAnsi="宋体" w:cs="宋体" w:hint="eastAsia"/>
          <w:szCs w:val="21"/>
        </w:rPr>
        <w:t>的种类、生理作用和调控机理等。</w:t>
      </w:r>
    </w:p>
    <w:p w14:paraId="5CC038DA"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5551D876"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w:t>
      </w:r>
      <w:r>
        <w:rPr>
          <w:rFonts w:ascii="宋体" w:hAnsi="宋体" w:cs="宋体" w:hint="eastAsia"/>
          <w:color w:val="000000"/>
          <w:sz w:val="21"/>
          <w:szCs w:val="21"/>
        </w:rPr>
        <w:t>延缓</w:t>
      </w:r>
      <w:r>
        <w:rPr>
          <w:rFonts w:ascii="宋体" w:eastAsia="宋体" w:hAnsi="宋体" w:cs="宋体" w:hint="eastAsia"/>
          <w:color w:val="000000"/>
          <w:sz w:val="21"/>
          <w:szCs w:val="21"/>
        </w:rPr>
        <w:t>剂的分布、合成、代谢、运输、生理功能。</w:t>
      </w:r>
    </w:p>
    <w:p w14:paraId="3FEA1BD5"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难点：植物生长</w:t>
      </w:r>
      <w:r>
        <w:rPr>
          <w:rFonts w:ascii="宋体" w:hAnsi="宋体" w:cs="宋体" w:hint="eastAsia"/>
          <w:color w:val="000000"/>
          <w:sz w:val="21"/>
          <w:szCs w:val="21"/>
        </w:rPr>
        <w:t>延缓</w:t>
      </w:r>
      <w:r>
        <w:rPr>
          <w:rFonts w:ascii="宋体" w:eastAsia="宋体" w:hAnsi="宋体" w:cs="宋体" w:hint="eastAsia"/>
          <w:color w:val="000000"/>
          <w:sz w:val="21"/>
          <w:szCs w:val="21"/>
        </w:rPr>
        <w:t>剂的信号系统和作用机理。</w:t>
      </w:r>
    </w:p>
    <w:p w14:paraId="133A829D"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lastRenderedPageBreak/>
        <w:t>主要教学内容及要求：</w:t>
      </w:r>
    </w:p>
    <w:p w14:paraId="46B17868"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了解和理解矮壮素（CCC）、比久（B9）、多效唑（PP333）、粉锈宁、氯化胆碱、烯效唑等生长</w:t>
      </w:r>
      <w:r>
        <w:rPr>
          <w:rFonts w:ascii="宋体" w:hAnsi="宋体" w:cs="宋体" w:hint="eastAsia"/>
          <w:color w:val="000000"/>
          <w:sz w:val="21"/>
          <w:szCs w:val="21"/>
        </w:rPr>
        <w:t>延缓</w:t>
      </w:r>
      <w:r>
        <w:rPr>
          <w:rFonts w:ascii="宋体" w:eastAsia="宋体" w:hAnsi="宋体" w:cs="宋体" w:hint="eastAsia"/>
          <w:color w:val="000000"/>
          <w:sz w:val="21"/>
          <w:szCs w:val="21"/>
        </w:rPr>
        <w:t xml:space="preserve">剂的功能、作用机制和施用方法等。 </w:t>
      </w:r>
    </w:p>
    <w:p w14:paraId="2165108A"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3D38410B"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组织学生认知</w:t>
      </w:r>
      <w:r>
        <w:rPr>
          <w:rFonts w:ascii="宋体" w:eastAsia="宋体" w:hAnsi="宋体" w:cs="宋体"/>
          <w:color w:val="000000"/>
          <w:sz w:val="21"/>
          <w:szCs w:val="21"/>
        </w:rPr>
        <w:t>和接受课程内容</w:t>
      </w:r>
      <w:r>
        <w:rPr>
          <w:rFonts w:ascii="宋体" w:eastAsia="宋体" w:hAnsi="宋体" w:cs="宋体" w:hint="eastAsia"/>
          <w:color w:val="000000"/>
          <w:sz w:val="21"/>
          <w:szCs w:val="21"/>
        </w:rPr>
        <w:t>。</w:t>
      </w:r>
    </w:p>
    <w:p w14:paraId="322424B4" w14:textId="77777777" w:rsidR="00F5289E" w:rsidRDefault="00F5289E">
      <w:pPr>
        <w:pStyle w:val="af1"/>
        <w:wordWrap w:val="0"/>
        <w:spacing w:before="0" w:beforeAutospacing="0" w:after="0" w:afterAutospacing="0" w:line="360" w:lineRule="auto"/>
        <w:ind w:firstLine="420"/>
        <w:jc w:val="both"/>
        <w:rPr>
          <w:rFonts w:ascii="宋体" w:eastAsia="宋体" w:hAnsi="宋体" w:cs="宋体"/>
          <w:color w:val="000000"/>
          <w:sz w:val="21"/>
          <w:szCs w:val="21"/>
        </w:rPr>
      </w:pPr>
    </w:p>
    <w:p w14:paraId="2FA0E1D6" w14:textId="77777777" w:rsidR="00F5289E" w:rsidRDefault="00C91173">
      <w:pPr>
        <w:widowControl/>
        <w:wordWrap w:val="0"/>
        <w:snapToGrid w:val="0"/>
        <w:spacing w:line="360" w:lineRule="auto"/>
        <w:ind w:left="1265" w:hangingChars="600" w:hanging="1265"/>
        <w:jc w:val="right"/>
        <w:rPr>
          <w:rFonts w:ascii="宋体" w:hAnsi="宋体" w:cs="宋体"/>
          <w:b/>
          <w:bCs/>
          <w:kern w:val="0"/>
          <w:szCs w:val="21"/>
        </w:rPr>
      </w:pPr>
      <w:r>
        <w:rPr>
          <w:rFonts w:ascii="宋体" w:hAnsi="宋体" w:cs="宋体" w:hint="eastAsia"/>
          <w:b/>
          <w:bCs/>
          <w:kern w:val="0"/>
          <w:szCs w:val="21"/>
        </w:rPr>
        <w:t>第二章 植物生长调节剂施用原理及技术          学时数</w:t>
      </w:r>
      <w:r>
        <w:rPr>
          <w:rFonts w:ascii="宋体" w:hAnsi="宋体" w:cs="宋体"/>
          <w:b/>
          <w:bCs/>
          <w:kern w:val="0"/>
          <w:szCs w:val="21"/>
        </w:rPr>
        <w:t>：</w:t>
      </w:r>
      <w:r>
        <w:rPr>
          <w:rFonts w:ascii="宋体" w:hAnsi="宋体" w:cs="宋体" w:hint="eastAsia"/>
          <w:b/>
          <w:bCs/>
          <w:kern w:val="0"/>
          <w:szCs w:val="21"/>
        </w:rPr>
        <w:t>4学时</w:t>
      </w:r>
    </w:p>
    <w:p w14:paraId="4A049D6B" w14:textId="77777777" w:rsidR="00F5289E" w:rsidRDefault="00C91173">
      <w:pPr>
        <w:pStyle w:val="af1"/>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第一节 植物生长调节的吸收与运转（1学时）</w:t>
      </w:r>
    </w:p>
    <w:p w14:paraId="2E17E112"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65224927"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w:t>
      </w:r>
      <w:r>
        <w:rPr>
          <w:rFonts w:ascii="宋体" w:hAnsi="宋体" w:cs="宋体" w:hint="eastAsia"/>
          <w:color w:val="000000"/>
          <w:szCs w:val="21"/>
        </w:rPr>
        <w:t>植物生长调节的吸收与运转的作用机制</w:t>
      </w:r>
      <w:r>
        <w:rPr>
          <w:rFonts w:ascii="宋体" w:hAnsi="宋体" w:cs="宋体" w:hint="eastAsia"/>
          <w:szCs w:val="21"/>
        </w:rPr>
        <w:t>。</w:t>
      </w:r>
    </w:p>
    <w:p w14:paraId="6F5D404C"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6778895C"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重点：植物生长调节剂的吸收与运转的信号系统和作用机理。</w:t>
      </w:r>
    </w:p>
    <w:p w14:paraId="163A820A"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难点：植物生长调节剂的合成路径。</w:t>
      </w:r>
    </w:p>
    <w:p w14:paraId="5D9B7786"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30452ADE"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了解生长调节剂是如何进入植物体内的？通过叶片和茎部进入、通过根部进入等不同介入部位的差异与联系。</w:t>
      </w:r>
    </w:p>
    <w:p w14:paraId="688A62A9"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理解植物生长调节剂在植物体内是如何运转的。</w:t>
      </w:r>
    </w:p>
    <w:p w14:paraId="1FF7C955"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7FF396D8"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组织学生学习相关</w:t>
      </w:r>
      <w:r>
        <w:rPr>
          <w:rFonts w:ascii="宋体" w:eastAsia="宋体" w:hAnsi="宋体" w:cs="宋体"/>
          <w:color w:val="000000"/>
          <w:sz w:val="21"/>
          <w:szCs w:val="21"/>
        </w:rPr>
        <w:t>的课程内容</w:t>
      </w:r>
      <w:r>
        <w:rPr>
          <w:rFonts w:ascii="宋体" w:eastAsia="宋体" w:hAnsi="宋体" w:cs="宋体" w:hint="eastAsia"/>
          <w:color w:val="000000"/>
          <w:sz w:val="21"/>
          <w:szCs w:val="21"/>
        </w:rPr>
        <w:t>。</w:t>
      </w:r>
    </w:p>
    <w:p w14:paraId="3EEEDBEC" w14:textId="77777777" w:rsidR="00F5289E" w:rsidRDefault="00C91173" w:rsidP="00A115EF">
      <w:pPr>
        <w:pStyle w:val="af1"/>
        <w:numPr>
          <w:ilvl w:val="0"/>
          <w:numId w:val="49"/>
        </w:numPr>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植物生长调节剂的剂型与施用方法（1学时）</w:t>
      </w:r>
    </w:p>
    <w:p w14:paraId="6C77C586"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49E188E2"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了解和掌握常见的</w:t>
      </w:r>
      <w:r>
        <w:rPr>
          <w:rFonts w:ascii="宋体" w:hAnsi="宋体" w:cs="宋体" w:hint="eastAsia"/>
          <w:color w:val="000000"/>
          <w:szCs w:val="21"/>
        </w:rPr>
        <w:t>植物生长调节的剂型和施用方法及注意事项</w:t>
      </w:r>
      <w:r>
        <w:rPr>
          <w:rFonts w:ascii="宋体" w:hAnsi="宋体" w:cs="宋体" w:hint="eastAsia"/>
          <w:szCs w:val="21"/>
        </w:rPr>
        <w:t>。</w:t>
      </w:r>
    </w:p>
    <w:p w14:paraId="6C4D32D2"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68A391A1"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重点：植物生长调节剂的施用方法及注意事项。</w:t>
      </w:r>
    </w:p>
    <w:p w14:paraId="6616CAB1"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难点：植物生长调节剂间的拮抗作用和使用浓度的把控。</w:t>
      </w:r>
    </w:p>
    <w:p w14:paraId="136AD626"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04A62E39"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了解和掌握不同生长调节剂剂型的差异和应用；理解生长调节剂的配合使用；掌握不同生长调节剂的使用浓度和注意事项。</w:t>
      </w:r>
    </w:p>
    <w:p w14:paraId="7647FFF2"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4332CC71"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组织学生学习相关</w:t>
      </w:r>
      <w:r>
        <w:rPr>
          <w:rFonts w:ascii="宋体" w:eastAsia="宋体" w:hAnsi="宋体" w:cs="宋体"/>
          <w:color w:val="000000"/>
          <w:sz w:val="21"/>
          <w:szCs w:val="21"/>
        </w:rPr>
        <w:t>的课程内容</w:t>
      </w:r>
      <w:r>
        <w:rPr>
          <w:rFonts w:ascii="宋体" w:eastAsia="宋体" w:hAnsi="宋体" w:cs="宋体" w:hint="eastAsia"/>
          <w:color w:val="000000"/>
          <w:sz w:val="21"/>
          <w:szCs w:val="21"/>
        </w:rPr>
        <w:t>。</w:t>
      </w:r>
    </w:p>
    <w:p w14:paraId="0ED9E9B0" w14:textId="77777777" w:rsidR="00F5289E" w:rsidRDefault="00C91173" w:rsidP="00A115EF">
      <w:pPr>
        <w:pStyle w:val="af1"/>
        <w:numPr>
          <w:ilvl w:val="0"/>
          <w:numId w:val="49"/>
        </w:numPr>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lastRenderedPageBreak/>
        <w:t>生长调节剂应用的策略（2学时）</w:t>
      </w:r>
    </w:p>
    <w:p w14:paraId="58E6C839"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289C10E5"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了解和掌握实际生产中</w:t>
      </w:r>
      <w:r>
        <w:rPr>
          <w:rFonts w:ascii="宋体" w:hAnsi="宋体" w:cs="宋体" w:hint="eastAsia"/>
          <w:color w:val="000000"/>
          <w:szCs w:val="21"/>
        </w:rPr>
        <w:t>植物生长调节的具体应用策略</w:t>
      </w:r>
      <w:r>
        <w:rPr>
          <w:rFonts w:ascii="宋体" w:hAnsi="宋体" w:cs="宋体" w:hint="eastAsia"/>
          <w:szCs w:val="21"/>
        </w:rPr>
        <w:t>。</w:t>
      </w:r>
    </w:p>
    <w:p w14:paraId="0640E109"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0205C075"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重点：植物生长调节剂的施用方法及注意事项。</w:t>
      </w:r>
    </w:p>
    <w:p w14:paraId="31B50619"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难点：无。</w:t>
      </w:r>
    </w:p>
    <w:p w14:paraId="08B7AC67"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095DA232"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了解生长调节剂施用中存在问题的实质，掌握适当的处理方案：</w:t>
      </w:r>
    </w:p>
    <w:p w14:paraId="6824032C"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熟练掌握生长调节剂种类的合理选用、施用时期确定、处理部位、剂型、拟定施用浓度和次数、小规模预备试验及农业配合技术措施等。</w:t>
      </w:r>
    </w:p>
    <w:p w14:paraId="489A92DD"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6D0106FE"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以PPT和</w:t>
      </w:r>
      <w:r>
        <w:rPr>
          <w:rFonts w:ascii="宋体" w:eastAsia="宋体" w:hAnsi="宋体" w:cs="宋体"/>
          <w:color w:val="000000"/>
          <w:sz w:val="21"/>
          <w:szCs w:val="21"/>
        </w:rPr>
        <w:t>视频为主，通过讲授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组织学生学习相关</w:t>
      </w:r>
      <w:r>
        <w:rPr>
          <w:rFonts w:ascii="宋体" w:eastAsia="宋体" w:hAnsi="宋体" w:cs="宋体"/>
          <w:color w:val="000000"/>
          <w:sz w:val="21"/>
          <w:szCs w:val="21"/>
        </w:rPr>
        <w:t>的课程内容</w:t>
      </w:r>
      <w:r>
        <w:rPr>
          <w:rFonts w:ascii="宋体" w:eastAsia="宋体" w:hAnsi="宋体" w:cs="宋体" w:hint="eastAsia"/>
          <w:color w:val="000000"/>
          <w:sz w:val="21"/>
          <w:szCs w:val="21"/>
        </w:rPr>
        <w:t>。</w:t>
      </w:r>
    </w:p>
    <w:p w14:paraId="5B762EE4" w14:textId="77777777" w:rsidR="00F5289E" w:rsidRDefault="00F5289E">
      <w:pPr>
        <w:pStyle w:val="af1"/>
        <w:wordWrap w:val="0"/>
        <w:spacing w:before="0" w:beforeAutospacing="0" w:after="0" w:afterAutospacing="0" w:line="360" w:lineRule="auto"/>
        <w:ind w:firstLine="420"/>
        <w:jc w:val="both"/>
        <w:rPr>
          <w:rFonts w:ascii="宋体" w:eastAsia="宋体" w:hAnsi="宋体" w:cs="宋体"/>
          <w:color w:val="000000"/>
          <w:sz w:val="21"/>
          <w:szCs w:val="21"/>
        </w:rPr>
      </w:pPr>
    </w:p>
    <w:p w14:paraId="5FF1BAF7" w14:textId="77777777" w:rsidR="00F5289E" w:rsidRDefault="00C91173">
      <w:pPr>
        <w:widowControl/>
        <w:wordWrap w:val="0"/>
        <w:snapToGrid w:val="0"/>
        <w:spacing w:line="360" w:lineRule="auto"/>
        <w:ind w:left="1265" w:hangingChars="600" w:hanging="1265"/>
        <w:jc w:val="right"/>
        <w:rPr>
          <w:rFonts w:ascii="宋体" w:hAnsi="宋体" w:cs="宋体"/>
          <w:b/>
          <w:bCs/>
          <w:kern w:val="0"/>
          <w:szCs w:val="21"/>
        </w:rPr>
      </w:pPr>
      <w:r>
        <w:rPr>
          <w:rFonts w:ascii="宋体" w:hAnsi="宋体" w:cs="宋体" w:hint="eastAsia"/>
          <w:b/>
          <w:bCs/>
          <w:kern w:val="0"/>
          <w:szCs w:val="21"/>
        </w:rPr>
        <w:t>第三章 生长调节剂在植物生长发育中的研究与应用       学时数</w:t>
      </w:r>
      <w:r>
        <w:rPr>
          <w:rFonts w:ascii="宋体" w:hAnsi="宋体" w:cs="宋体"/>
          <w:b/>
          <w:bCs/>
          <w:kern w:val="0"/>
          <w:szCs w:val="21"/>
        </w:rPr>
        <w:t>：</w:t>
      </w:r>
      <w:r>
        <w:rPr>
          <w:rFonts w:ascii="宋体" w:hAnsi="宋体" w:cs="宋体" w:hint="eastAsia"/>
          <w:b/>
          <w:bCs/>
          <w:kern w:val="0"/>
          <w:szCs w:val="21"/>
        </w:rPr>
        <w:t>4学时</w:t>
      </w:r>
    </w:p>
    <w:p w14:paraId="579E8346" w14:textId="77777777" w:rsidR="00F5289E" w:rsidRDefault="00C91173">
      <w:pPr>
        <w:pStyle w:val="af1"/>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第一节 生长相关的调节（1学时）</w:t>
      </w:r>
    </w:p>
    <w:p w14:paraId="771F03B2"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7BDDB9BF"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了解和掌握生长调节剂在延长和打破休眠、促进生长、扦插生根和延缓衰老等方面的应</w:t>
      </w:r>
    </w:p>
    <w:p w14:paraId="042BDEC9" w14:textId="77777777" w:rsidR="00F5289E" w:rsidRDefault="00C91173">
      <w:pPr>
        <w:widowControl/>
        <w:wordWrap w:val="0"/>
        <w:snapToGrid w:val="0"/>
        <w:spacing w:line="360" w:lineRule="auto"/>
        <w:rPr>
          <w:rFonts w:ascii="宋体" w:hAnsi="宋体" w:cs="宋体"/>
          <w:szCs w:val="21"/>
        </w:rPr>
      </w:pPr>
      <w:r>
        <w:rPr>
          <w:rFonts w:ascii="宋体" w:hAnsi="宋体" w:cs="宋体" w:hint="eastAsia"/>
          <w:szCs w:val="21"/>
        </w:rPr>
        <w:t>用技术和方法。</w:t>
      </w:r>
    </w:p>
    <w:p w14:paraId="220E6504"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1D461370"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重点：植物生长调节剂打破休眠、促进生根、延缓衰老等方面的相关实例和应用技术。</w:t>
      </w:r>
    </w:p>
    <w:p w14:paraId="24646005"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难点：无。</w:t>
      </w:r>
    </w:p>
    <w:p w14:paraId="39C4595D"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3CA50B71"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了解打破休眠和促进萌发技术；掌握马铃薯、洋葱、大蒜、萝卜、胡萝卜等蔬菜的贮藏技术；</w:t>
      </w:r>
    </w:p>
    <w:p w14:paraId="22B4D2E8"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掌握营养生长和生殖生长调控技术；掌握延缓叶片衰老技术；</w:t>
      </w:r>
    </w:p>
    <w:p w14:paraId="0E0BD47E"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熟练掌握扦插生根技术。</w:t>
      </w:r>
    </w:p>
    <w:p w14:paraId="76E3A0D0"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159D50DD"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color w:val="000000"/>
          <w:sz w:val="21"/>
          <w:szCs w:val="21"/>
        </w:rPr>
        <w:t>以学生</w:t>
      </w:r>
      <w:r>
        <w:rPr>
          <w:rFonts w:ascii="宋体" w:eastAsia="宋体" w:hAnsi="宋体" w:cs="宋体"/>
          <w:color w:val="000000"/>
          <w:sz w:val="21"/>
          <w:szCs w:val="21"/>
        </w:rPr>
        <w:t>为主</w:t>
      </w:r>
      <w:r>
        <w:rPr>
          <w:rFonts w:ascii="宋体" w:eastAsia="宋体" w:hAnsi="宋体" w:cs="宋体" w:hint="eastAsia"/>
          <w:color w:val="000000"/>
          <w:sz w:val="21"/>
          <w:szCs w:val="21"/>
        </w:rPr>
        <w:t>体</w:t>
      </w:r>
      <w:r>
        <w:rPr>
          <w:rFonts w:ascii="宋体" w:eastAsia="宋体" w:hAnsi="宋体" w:cs="宋体"/>
          <w:color w:val="000000"/>
          <w:sz w:val="21"/>
          <w:szCs w:val="21"/>
        </w:rPr>
        <w:t>，通过</w:t>
      </w:r>
      <w:r>
        <w:rPr>
          <w:rFonts w:ascii="宋体" w:eastAsia="宋体" w:hAnsi="宋体" w:cs="宋体" w:hint="eastAsia"/>
          <w:color w:val="000000"/>
          <w:sz w:val="21"/>
          <w:szCs w:val="21"/>
        </w:rPr>
        <w:t>同学</w:t>
      </w:r>
      <w:r>
        <w:rPr>
          <w:rFonts w:ascii="宋体" w:eastAsia="宋体" w:hAnsi="宋体" w:cs="宋体"/>
          <w:color w:val="000000"/>
          <w:sz w:val="21"/>
          <w:szCs w:val="21"/>
        </w:rPr>
        <w:t>们自己收集资料，制作</w:t>
      </w:r>
      <w:r>
        <w:rPr>
          <w:rFonts w:ascii="宋体" w:eastAsia="宋体" w:hAnsi="宋体" w:cs="宋体" w:hint="eastAsia"/>
          <w:color w:val="000000"/>
          <w:sz w:val="21"/>
          <w:szCs w:val="21"/>
        </w:rPr>
        <w:t>PPT，</w:t>
      </w:r>
      <w:r>
        <w:rPr>
          <w:rFonts w:ascii="宋体" w:eastAsia="宋体" w:hAnsi="宋体" w:cs="宋体"/>
          <w:color w:val="000000"/>
          <w:sz w:val="21"/>
          <w:szCs w:val="21"/>
        </w:rPr>
        <w:t>并上台讲授</w:t>
      </w:r>
      <w:r>
        <w:rPr>
          <w:rFonts w:ascii="宋体" w:eastAsia="宋体" w:hAnsi="宋体" w:cs="宋体" w:hint="eastAsia"/>
          <w:color w:val="000000"/>
          <w:sz w:val="21"/>
          <w:szCs w:val="21"/>
        </w:rPr>
        <w:t>，</w:t>
      </w:r>
      <w:r>
        <w:rPr>
          <w:rFonts w:ascii="宋体" w:eastAsia="宋体" w:hAnsi="宋体" w:cs="宋体"/>
          <w:color w:val="000000"/>
          <w:sz w:val="21"/>
          <w:szCs w:val="21"/>
        </w:rPr>
        <w:t>其他同学对其进行提问</w:t>
      </w:r>
      <w:r>
        <w:rPr>
          <w:rFonts w:ascii="宋体" w:eastAsia="宋体" w:hAnsi="宋体" w:cs="宋体" w:hint="eastAsia"/>
          <w:color w:val="000000"/>
          <w:sz w:val="21"/>
          <w:szCs w:val="21"/>
        </w:rPr>
        <w:t>、评价和</w:t>
      </w:r>
      <w:r>
        <w:rPr>
          <w:rFonts w:ascii="宋体" w:eastAsia="宋体" w:hAnsi="宋体" w:cs="宋体"/>
          <w:color w:val="000000"/>
          <w:sz w:val="21"/>
          <w:szCs w:val="21"/>
        </w:rPr>
        <w:t>答疑等，来完成课程主要相关的内容</w:t>
      </w:r>
      <w:r>
        <w:rPr>
          <w:rFonts w:ascii="宋体" w:eastAsia="宋体" w:hAnsi="宋体" w:cs="宋体" w:hint="eastAsia"/>
          <w:color w:val="000000"/>
          <w:sz w:val="21"/>
          <w:szCs w:val="21"/>
        </w:rPr>
        <w:t>。</w:t>
      </w:r>
    </w:p>
    <w:p w14:paraId="4F33E728" w14:textId="77777777" w:rsidR="00F5289E" w:rsidRDefault="00C91173">
      <w:pPr>
        <w:pStyle w:val="af1"/>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第二节 开花相关的调节（1学时）</w:t>
      </w:r>
    </w:p>
    <w:p w14:paraId="1537BE34"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16888E1C"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了解和掌握生长调节剂在花芽分化、化学杀雄和切花保鲜等方面的应用技术和方法。</w:t>
      </w:r>
    </w:p>
    <w:p w14:paraId="0FC08B03"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lastRenderedPageBreak/>
        <w:t>教重点和难点：</w:t>
      </w:r>
    </w:p>
    <w:p w14:paraId="68A1A676"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重点：植物生长调节剂调控花芽形成的相关实例和应用技术。</w:t>
      </w:r>
    </w:p>
    <w:p w14:paraId="1C7BFBCC"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难点：无。</w:t>
      </w:r>
    </w:p>
    <w:p w14:paraId="5B778F68"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14C581DE"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了解保鲜剂的种类和切花保鲜技术；</w:t>
      </w:r>
    </w:p>
    <w:p w14:paraId="7813E980"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掌握花芽形成的调控技术；掌握诱导雌花、诱导雄花、化学去雄等调控技术。</w:t>
      </w:r>
    </w:p>
    <w:p w14:paraId="2EF1DB1F"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0F70056A"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以学生</w:t>
      </w:r>
      <w:r>
        <w:rPr>
          <w:rFonts w:ascii="宋体" w:eastAsia="宋体" w:hAnsi="宋体" w:cs="宋体"/>
          <w:color w:val="000000"/>
          <w:sz w:val="21"/>
          <w:szCs w:val="21"/>
        </w:rPr>
        <w:t>为主</w:t>
      </w:r>
      <w:r>
        <w:rPr>
          <w:rFonts w:ascii="宋体" w:eastAsia="宋体" w:hAnsi="宋体" w:cs="宋体" w:hint="eastAsia"/>
          <w:color w:val="000000"/>
          <w:sz w:val="21"/>
          <w:szCs w:val="21"/>
        </w:rPr>
        <w:t>体</w:t>
      </w:r>
      <w:r>
        <w:rPr>
          <w:rFonts w:ascii="宋体" w:eastAsia="宋体" w:hAnsi="宋体" w:cs="宋体"/>
          <w:color w:val="000000"/>
          <w:sz w:val="21"/>
          <w:szCs w:val="21"/>
        </w:rPr>
        <w:t>，通过</w:t>
      </w:r>
      <w:r>
        <w:rPr>
          <w:rFonts w:ascii="宋体" w:eastAsia="宋体" w:hAnsi="宋体" w:cs="宋体" w:hint="eastAsia"/>
          <w:color w:val="000000"/>
          <w:sz w:val="21"/>
          <w:szCs w:val="21"/>
        </w:rPr>
        <w:t>同学</w:t>
      </w:r>
      <w:r>
        <w:rPr>
          <w:rFonts w:ascii="宋体" w:eastAsia="宋体" w:hAnsi="宋体" w:cs="宋体"/>
          <w:color w:val="000000"/>
          <w:sz w:val="21"/>
          <w:szCs w:val="21"/>
        </w:rPr>
        <w:t>们自己收集资料，制作</w:t>
      </w:r>
      <w:r>
        <w:rPr>
          <w:rFonts w:ascii="宋体" w:eastAsia="宋体" w:hAnsi="宋体" w:cs="宋体" w:hint="eastAsia"/>
          <w:color w:val="000000"/>
          <w:sz w:val="21"/>
          <w:szCs w:val="21"/>
        </w:rPr>
        <w:t>PPT，</w:t>
      </w:r>
      <w:r>
        <w:rPr>
          <w:rFonts w:ascii="宋体" w:eastAsia="宋体" w:hAnsi="宋体" w:cs="宋体"/>
          <w:color w:val="000000"/>
          <w:sz w:val="21"/>
          <w:szCs w:val="21"/>
        </w:rPr>
        <w:t>并上台讲授</w:t>
      </w:r>
      <w:r>
        <w:rPr>
          <w:rFonts w:ascii="宋体" w:eastAsia="宋体" w:hAnsi="宋体" w:cs="宋体" w:hint="eastAsia"/>
          <w:color w:val="000000"/>
          <w:sz w:val="21"/>
          <w:szCs w:val="21"/>
        </w:rPr>
        <w:t>，</w:t>
      </w:r>
      <w:r>
        <w:rPr>
          <w:rFonts w:ascii="宋体" w:eastAsia="宋体" w:hAnsi="宋体" w:cs="宋体"/>
          <w:color w:val="000000"/>
          <w:sz w:val="21"/>
          <w:szCs w:val="21"/>
        </w:rPr>
        <w:t>其他同学对其进行提问</w:t>
      </w:r>
      <w:r>
        <w:rPr>
          <w:rFonts w:ascii="宋体" w:eastAsia="宋体" w:hAnsi="宋体" w:cs="宋体" w:hint="eastAsia"/>
          <w:color w:val="000000"/>
          <w:sz w:val="21"/>
          <w:szCs w:val="21"/>
        </w:rPr>
        <w:t>、评价和</w:t>
      </w:r>
      <w:r>
        <w:rPr>
          <w:rFonts w:ascii="宋体" w:eastAsia="宋体" w:hAnsi="宋体" w:cs="宋体"/>
          <w:color w:val="000000"/>
          <w:sz w:val="21"/>
          <w:szCs w:val="21"/>
        </w:rPr>
        <w:t>答疑等，来完成课程主要相关的内容</w:t>
      </w:r>
      <w:r>
        <w:rPr>
          <w:rFonts w:ascii="宋体" w:eastAsia="宋体" w:hAnsi="宋体" w:cs="宋体" w:hint="eastAsia"/>
          <w:color w:val="000000"/>
          <w:sz w:val="21"/>
          <w:szCs w:val="21"/>
        </w:rPr>
        <w:t>。</w:t>
      </w:r>
    </w:p>
    <w:p w14:paraId="578C5C1E" w14:textId="77777777" w:rsidR="00F5289E" w:rsidRDefault="00C91173" w:rsidP="00A115EF">
      <w:pPr>
        <w:pStyle w:val="af1"/>
        <w:numPr>
          <w:ilvl w:val="0"/>
          <w:numId w:val="50"/>
        </w:numPr>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结实相关的调节（2学时）</w:t>
      </w:r>
    </w:p>
    <w:p w14:paraId="3EB6D5F9"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073B7A97"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了解和掌握生长调节剂在保花保果、催熟和改善产量与品种等方面的应用技术和方法。</w:t>
      </w:r>
    </w:p>
    <w:p w14:paraId="0FDAB120"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53C9C9ED" w14:textId="77777777" w:rsidR="00F5289E" w:rsidRDefault="00C91173">
      <w:pPr>
        <w:pStyle w:val="af1"/>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重点：植物生长调节剂保花保果技术、果菜类的催熟、提高产量和改良品质的相关实例和应用技术。</w:t>
      </w:r>
    </w:p>
    <w:p w14:paraId="7F5476DD" w14:textId="77777777" w:rsidR="00F5289E" w:rsidRDefault="00C91173">
      <w:pPr>
        <w:pStyle w:val="af1"/>
        <w:wordWrap w:val="0"/>
        <w:spacing w:before="0" w:beforeAutospacing="0" w:after="0" w:afterAutospacing="0" w:line="360" w:lineRule="auto"/>
        <w:ind w:left="420"/>
        <w:jc w:val="both"/>
        <w:rPr>
          <w:rFonts w:ascii="宋体" w:eastAsia="宋体" w:hAnsi="宋体" w:cs="宋体"/>
          <w:sz w:val="21"/>
          <w:szCs w:val="21"/>
        </w:rPr>
      </w:pPr>
      <w:r>
        <w:rPr>
          <w:rFonts w:ascii="宋体" w:eastAsia="宋体" w:hAnsi="宋体" w:cs="宋体" w:hint="eastAsia"/>
          <w:color w:val="000000"/>
          <w:sz w:val="21"/>
          <w:szCs w:val="21"/>
        </w:rPr>
        <w:t>难点：无。</w:t>
      </w:r>
    </w:p>
    <w:p w14:paraId="66610075"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325B723B" w14:textId="77777777" w:rsidR="00F5289E" w:rsidRDefault="00C91173">
      <w:pPr>
        <w:pStyle w:val="af1"/>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了解无籽果实生产技术。。</w:t>
      </w:r>
    </w:p>
    <w:p w14:paraId="793A0038"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掌握保花保果和疏花疏果常用生长调节剂的种类和应用技术；掌握乙烯的催熟技术；掌握生长调节剂提高产量和改良品质的技术方法</w:t>
      </w:r>
    </w:p>
    <w:p w14:paraId="41276CCA"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20855262"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以学生</w:t>
      </w:r>
      <w:r>
        <w:rPr>
          <w:rFonts w:ascii="宋体" w:eastAsia="宋体" w:hAnsi="宋体" w:cs="宋体"/>
          <w:color w:val="000000"/>
          <w:sz w:val="21"/>
          <w:szCs w:val="21"/>
        </w:rPr>
        <w:t>为主</w:t>
      </w:r>
      <w:r>
        <w:rPr>
          <w:rFonts w:ascii="宋体" w:eastAsia="宋体" w:hAnsi="宋体" w:cs="宋体" w:hint="eastAsia"/>
          <w:color w:val="000000"/>
          <w:sz w:val="21"/>
          <w:szCs w:val="21"/>
        </w:rPr>
        <w:t>体</w:t>
      </w:r>
      <w:r>
        <w:rPr>
          <w:rFonts w:ascii="宋体" w:eastAsia="宋体" w:hAnsi="宋体" w:cs="宋体"/>
          <w:color w:val="000000"/>
          <w:sz w:val="21"/>
          <w:szCs w:val="21"/>
        </w:rPr>
        <w:t>，通过</w:t>
      </w:r>
      <w:r>
        <w:rPr>
          <w:rFonts w:ascii="宋体" w:eastAsia="宋体" w:hAnsi="宋体" w:cs="宋体" w:hint="eastAsia"/>
          <w:color w:val="000000"/>
          <w:sz w:val="21"/>
          <w:szCs w:val="21"/>
        </w:rPr>
        <w:t>同学</w:t>
      </w:r>
      <w:r>
        <w:rPr>
          <w:rFonts w:ascii="宋体" w:eastAsia="宋体" w:hAnsi="宋体" w:cs="宋体"/>
          <w:color w:val="000000"/>
          <w:sz w:val="21"/>
          <w:szCs w:val="21"/>
        </w:rPr>
        <w:t>们自己收集资料，制作</w:t>
      </w:r>
      <w:r>
        <w:rPr>
          <w:rFonts w:ascii="宋体" w:eastAsia="宋体" w:hAnsi="宋体" w:cs="宋体" w:hint="eastAsia"/>
          <w:color w:val="000000"/>
          <w:sz w:val="21"/>
          <w:szCs w:val="21"/>
        </w:rPr>
        <w:t>PPT，</w:t>
      </w:r>
      <w:r>
        <w:rPr>
          <w:rFonts w:ascii="宋体" w:eastAsia="宋体" w:hAnsi="宋体" w:cs="宋体"/>
          <w:color w:val="000000"/>
          <w:sz w:val="21"/>
          <w:szCs w:val="21"/>
        </w:rPr>
        <w:t>并上台讲授</w:t>
      </w:r>
      <w:r>
        <w:rPr>
          <w:rFonts w:ascii="宋体" w:eastAsia="宋体" w:hAnsi="宋体" w:cs="宋体" w:hint="eastAsia"/>
          <w:color w:val="000000"/>
          <w:sz w:val="21"/>
          <w:szCs w:val="21"/>
        </w:rPr>
        <w:t>，</w:t>
      </w:r>
      <w:r>
        <w:rPr>
          <w:rFonts w:ascii="宋体" w:eastAsia="宋体" w:hAnsi="宋体" w:cs="宋体"/>
          <w:color w:val="000000"/>
          <w:sz w:val="21"/>
          <w:szCs w:val="21"/>
        </w:rPr>
        <w:t>其他同学对其进行提问</w:t>
      </w:r>
      <w:r>
        <w:rPr>
          <w:rFonts w:ascii="宋体" w:eastAsia="宋体" w:hAnsi="宋体" w:cs="宋体" w:hint="eastAsia"/>
          <w:color w:val="000000"/>
          <w:sz w:val="21"/>
          <w:szCs w:val="21"/>
        </w:rPr>
        <w:t>、评价和</w:t>
      </w:r>
      <w:r>
        <w:rPr>
          <w:rFonts w:ascii="宋体" w:eastAsia="宋体" w:hAnsi="宋体" w:cs="宋体"/>
          <w:color w:val="000000"/>
          <w:sz w:val="21"/>
          <w:szCs w:val="21"/>
        </w:rPr>
        <w:t>答疑等，来完成课程主要相关的内容</w:t>
      </w:r>
      <w:r>
        <w:rPr>
          <w:rFonts w:ascii="宋体" w:eastAsia="宋体" w:hAnsi="宋体" w:cs="宋体" w:hint="eastAsia"/>
          <w:color w:val="000000"/>
          <w:sz w:val="21"/>
          <w:szCs w:val="21"/>
        </w:rPr>
        <w:t>。</w:t>
      </w:r>
    </w:p>
    <w:p w14:paraId="35B63AA4" w14:textId="77777777" w:rsidR="00F5289E" w:rsidRDefault="00F5289E">
      <w:pPr>
        <w:pStyle w:val="af1"/>
        <w:wordWrap w:val="0"/>
        <w:spacing w:before="0" w:beforeAutospacing="0" w:after="0" w:afterAutospacing="0" w:line="360" w:lineRule="auto"/>
        <w:ind w:left="420"/>
        <w:jc w:val="both"/>
        <w:rPr>
          <w:rFonts w:ascii="宋体" w:eastAsia="宋体" w:hAnsi="宋体" w:cs="宋体"/>
          <w:color w:val="000000"/>
          <w:sz w:val="21"/>
          <w:szCs w:val="21"/>
        </w:rPr>
      </w:pPr>
    </w:p>
    <w:p w14:paraId="2AF47288" w14:textId="77777777" w:rsidR="00F5289E" w:rsidRDefault="00C91173">
      <w:pPr>
        <w:widowControl/>
        <w:wordWrap w:val="0"/>
        <w:snapToGrid w:val="0"/>
        <w:spacing w:line="360" w:lineRule="auto"/>
        <w:jc w:val="right"/>
        <w:rPr>
          <w:rFonts w:ascii="宋体" w:hAnsi="宋体" w:cs="宋体"/>
          <w:b/>
          <w:bCs/>
          <w:kern w:val="0"/>
          <w:szCs w:val="21"/>
        </w:rPr>
      </w:pPr>
      <w:r>
        <w:rPr>
          <w:rFonts w:ascii="宋体" w:hAnsi="宋体" w:cs="宋体" w:hint="eastAsia"/>
          <w:b/>
          <w:bCs/>
          <w:kern w:val="0"/>
          <w:szCs w:val="21"/>
        </w:rPr>
        <w:t>第四章 生长调节剂在植物抗逆性方面的研究与应用       学时数</w:t>
      </w:r>
      <w:r>
        <w:rPr>
          <w:rFonts w:ascii="宋体" w:hAnsi="宋体" w:cs="宋体"/>
          <w:b/>
          <w:bCs/>
          <w:kern w:val="0"/>
          <w:szCs w:val="21"/>
        </w:rPr>
        <w:t>：</w:t>
      </w:r>
      <w:r>
        <w:rPr>
          <w:rFonts w:ascii="宋体" w:hAnsi="宋体" w:cs="宋体" w:hint="eastAsia"/>
          <w:b/>
          <w:bCs/>
          <w:kern w:val="0"/>
          <w:szCs w:val="21"/>
        </w:rPr>
        <w:t>4学时</w:t>
      </w:r>
    </w:p>
    <w:p w14:paraId="7EDA93C9" w14:textId="77777777" w:rsidR="00F5289E" w:rsidRDefault="00C91173">
      <w:pPr>
        <w:pStyle w:val="af1"/>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第一节 生长调节剂与抗逆性（2学时）</w:t>
      </w:r>
    </w:p>
    <w:p w14:paraId="226471B2"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026A6DE5"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了解生长调节剂对植物抗逆性的作用。</w:t>
      </w:r>
    </w:p>
    <w:p w14:paraId="48068E75"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3E93F50D" w14:textId="77777777" w:rsidR="00F5289E" w:rsidRDefault="00C91173" w:rsidP="00A115EF">
      <w:pPr>
        <w:pStyle w:val="af1"/>
        <w:numPr>
          <w:ilvl w:val="0"/>
          <w:numId w:val="51"/>
        </w:numPr>
        <w:wordWrap w:val="0"/>
        <w:spacing w:before="0" w:beforeAutospacing="0" w:after="0" w:afterAutospacing="0" w:line="360" w:lineRule="auto"/>
        <w:ind w:left="420"/>
        <w:jc w:val="both"/>
        <w:rPr>
          <w:rFonts w:ascii="宋体" w:eastAsia="宋体" w:hAnsi="宋体" w:cs="宋体"/>
          <w:color w:val="000000"/>
          <w:sz w:val="21"/>
          <w:szCs w:val="21"/>
        </w:rPr>
      </w:pPr>
      <w:r>
        <w:rPr>
          <w:rFonts w:ascii="宋体" w:eastAsia="宋体" w:hAnsi="宋体" w:cs="宋体" w:hint="eastAsia"/>
          <w:color w:val="000000"/>
          <w:sz w:val="21"/>
          <w:szCs w:val="21"/>
        </w:rPr>
        <w:t>重点：不同植物生长调节剂与抗逆性的关系。</w:t>
      </w:r>
    </w:p>
    <w:p w14:paraId="4D2CB655"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color w:val="000000"/>
          <w:sz w:val="21"/>
          <w:szCs w:val="21"/>
        </w:rPr>
        <w:t>2．难点：植物生长调节剂的抗逆性研究进展和作用机理。</w:t>
      </w:r>
    </w:p>
    <w:p w14:paraId="475BC713"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lastRenderedPageBreak/>
        <w:t>主要教学内容及要求：</w:t>
      </w:r>
    </w:p>
    <w:p w14:paraId="26F108D5" w14:textId="77777777" w:rsidR="00F5289E" w:rsidRDefault="00C91173" w:rsidP="00A115EF">
      <w:pPr>
        <w:pStyle w:val="af1"/>
        <w:numPr>
          <w:ilvl w:val="0"/>
          <w:numId w:val="52"/>
        </w:numPr>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了解乙烯、油菜素内酯、脱落酸等生长调节剂与抗逆性的关系；</w:t>
      </w:r>
    </w:p>
    <w:p w14:paraId="07ECA08F" w14:textId="77777777" w:rsidR="00F5289E" w:rsidRDefault="00C91173" w:rsidP="00A115EF">
      <w:pPr>
        <w:pStyle w:val="af1"/>
        <w:numPr>
          <w:ilvl w:val="0"/>
          <w:numId w:val="52"/>
        </w:numPr>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color w:val="000000"/>
          <w:sz w:val="21"/>
          <w:szCs w:val="21"/>
        </w:rPr>
        <w:t>理解逆境条件下生长调节剂的调控原理，及其交叉应用中的作用</w:t>
      </w:r>
      <w:r>
        <w:rPr>
          <w:rFonts w:ascii="宋体" w:eastAsia="宋体" w:hAnsi="宋体" w:cs="宋体" w:hint="eastAsia"/>
          <w:sz w:val="21"/>
          <w:szCs w:val="21"/>
        </w:rPr>
        <w:t>和原理。</w:t>
      </w:r>
    </w:p>
    <w:p w14:paraId="1BD844E0" w14:textId="77777777" w:rsidR="00F5289E" w:rsidRDefault="00C91173">
      <w:pPr>
        <w:pStyle w:val="af1"/>
        <w:wordWrap w:val="0"/>
        <w:spacing w:before="0" w:beforeAutospacing="0" w:after="0" w:afterAutospacing="0" w:line="360" w:lineRule="auto"/>
        <w:jc w:val="both"/>
        <w:rPr>
          <w:rFonts w:ascii="宋体" w:eastAsia="宋体" w:hAnsi="宋体" w:cs="宋体"/>
          <w:b/>
          <w:color w:val="000000"/>
          <w:sz w:val="21"/>
          <w:szCs w:val="21"/>
        </w:rPr>
      </w:pPr>
      <w:r>
        <w:rPr>
          <w:rFonts w:ascii="宋体" w:eastAsia="宋体" w:hAnsi="宋体" w:cs="宋体" w:hint="eastAsia"/>
          <w:b/>
          <w:color w:val="000000"/>
          <w:sz w:val="21"/>
          <w:szCs w:val="21"/>
        </w:rPr>
        <w:t>教学组织与实施：</w:t>
      </w:r>
    </w:p>
    <w:p w14:paraId="52D6FE52"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以近两年</w:t>
      </w:r>
      <w:r>
        <w:rPr>
          <w:rFonts w:ascii="宋体" w:eastAsia="宋体" w:hAnsi="宋体" w:cs="宋体"/>
          <w:color w:val="000000"/>
          <w:sz w:val="21"/>
          <w:szCs w:val="21"/>
        </w:rPr>
        <w:t>的最新发表</w:t>
      </w:r>
      <w:r>
        <w:rPr>
          <w:rFonts w:ascii="宋体" w:eastAsia="宋体" w:hAnsi="宋体" w:cs="宋体" w:hint="eastAsia"/>
          <w:color w:val="000000"/>
          <w:sz w:val="21"/>
          <w:szCs w:val="21"/>
        </w:rPr>
        <w:t>的学科</w:t>
      </w:r>
      <w:r>
        <w:rPr>
          <w:rFonts w:ascii="宋体" w:eastAsia="宋体" w:hAnsi="宋体" w:cs="宋体"/>
          <w:color w:val="000000"/>
          <w:sz w:val="21"/>
          <w:szCs w:val="21"/>
        </w:rPr>
        <w:t>Top影响力期刊或文章为主，通过</w:t>
      </w:r>
      <w:r>
        <w:rPr>
          <w:rFonts w:ascii="宋体" w:eastAsia="宋体" w:hAnsi="宋体" w:cs="宋体" w:hint="eastAsia"/>
          <w:color w:val="000000"/>
          <w:sz w:val="21"/>
          <w:szCs w:val="21"/>
        </w:rPr>
        <w:t>思路</w:t>
      </w:r>
      <w:r>
        <w:rPr>
          <w:rFonts w:ascii="宋体" w:eastAsia="宋体" w:hAnsi="宋体" w:cs="宋体"/>
          <w:color w:val="000000"/>
          <w:sz w:val="21"/>
          <w:szCs w:val="21"/>
        </w:rPr>
        <w:t>分析、技术讲解和课程内容联系讲授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组织学生认知</w:t>
      </w:r>
      <w:r>
        <w:rPr>
          <w:rFonts w:ascii="宋体" w:eastAsia="宋体" w:hAnsi="宋体" w:cs="宋体"/>
          <w:color w:val="000000"/>
          <w:sz w:val="21"/>
          <w:szCs w:val="21"/>
        </w:rPr>
        <w:t>和接受课程内容</w:t>
      </w:r>
      <w:r>
        <w:rPr>
          <w:rFonts w:ascii="宋体" w:eastAsia="宋体" w:hAnsi="宋体" w:cs="宋体" w:hint="eastAsia"/>
          <w:color w:val="000000"/>
          <w:sz w:val="21"/>
          <w:szCs w:val="21"/>
        </w:rPr>
        <w:t>。</w:t>
      </w:r>
    </w:p>
    <w:p w14:paraId="1CE76B6E" w14:textId="77777777" w:rsidR="00F5289E" w:rsidRDefault="00C91173" w:rsidP="00A115EF">
      <w:pPr>
        <w:pStyle w:val="af1"/>
        <w:numPr>
          <w:ilvl w:val="0"/>
          <w:numId w:val="53"/>
        </w:numPr>
        <w:wordWrap w:val="0"/>
        <w:spacing w:before="0" w:beforeAutospacing="0" w:after="0" w:afterAutospacing="0" w:line="360" w:lineRule="auto"/>
        <w:jc w:val="both"/>
        <w:rPr>
          <w:rFonts w:ascii="宋体" w:eastAsia="宋体" w:hAnsi="宋体" w:cs="宋体"/>
          <w:b/>
          <w:bCs/>
          <w:color w:val="000000"/>
          <w:sz w:val="21"/>
          <w:szCs w:val="21"/>
        </w:rPr>
      </w:pPr>
      <w:r>
        <w:rPr>
          <w:rFonts w:ascii="宋体" w:eastAsia="宋体" w:hAnsi="宋体" w:cs="宋体" w:hint="eastAsia"/>
          <w:b/>
          <w:bCs/>
          <w:color w:val="000000"/>
          <w:sz w:val="21"/>
          <w:szCs w:val="21"/>
        </w:rPr>
        <w:t>生长调节剂在植物抗逆性中的应用（2学时）</w:t>
      </w:r>
    </w:p>
    <w:p w14:paraId="7511140E"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教学目的：</w:t>
      </w:r>
    </w:p>
    <w:p w14:paraId="2B3B46A9" w14:textId="77777777" w:rsidR="00F5289E" w:rsidRDefault="00C91173">
      <w:pPr>
        <w:widowControl/>
        <w:wordWrap w:val="0"/>
        <w:snapToGrid w:val="0"/>
        <w:spacing w:line="360" w:lineRule="auto"/>
        <w:ind w:leftChars="200" w:left="1260" w:hangingChars="400" w:hanging="840"/>
        <w:rPr>
          <w:rFonts w:ascii="宋体" w:hAnsi="宋体" w:cs="宋体"/>
          <w:szCs w:val="21"/>
        </w:rPr>
      </w:pPr>
      <w:r>
        <w:rPr>
          <w:rFonts w:ascii="宋体" w:hAnsi="宋体" w:cs="宋体" w:hint="eastAsia"/>
          <w:szCs w:val="21"/>
        </w:rPr>
        <w:t>了解生长调节剂对植物抗逆性的调控技术。</w:t>
      </w:r>
    </w:p>
    <w:p w14:paraId="1C1298B0" w14:textId="77777777" w:rsidR="00F5289E" w:rsidRDefault="00C91173">
      <w:pPr>
        <w:widowControl/>
        <w:wordWrap w:val="0"/>
        <w:snapToGrid w:val="0"/>
        <w:spacing w:line="360" w:lineRule="auto"/>
        <w:ind w:left="1265" w:hangingChars="600" w:hanging="1265"/>
        <w:rPr>
          <w:rFonts w:ascii="宋体" w:hAnsi="宋体"/>
          <w:b/>
          <w:bCs/>
        </w:rPr>
      </w:pPr>
      <w:r>
        <w:rPr>
          <w:rFonts w:ascii="宋体" w:hAnsi="宋体" w:hint="eastAsia"/>
          <w:b/>
          <w:bCs/>
        </w:rPr>
        <w:t>教重点和难点：</w:t>
      </w:r>
    </w:p>
    <w:p w14:paraId="107862DE"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color w:val="000000"/>
          <w:sz w:val="21"/>
          <w:szCs w:val="21"/>
        </w:rPr>
      </w:pPr>
      <w:r>
        <w:rPr>
          <w:rFonts w:ascii="宋体" w:eastAsia="宋体" w:hAnsi="宋体" w:cs="宋体" w:hint="eastAsia"/>
          <w:color w:val="000000"/>
          <w:sz w:val="21"/>
          <w:szCs w:val="21"/>
        </w:rPr>
        <w:t>1．重点：</w:t>
      </w:r>
      <w:r>
        <w:rPr>
          <w:rFonts w:ascii="宋体" w:hAnsi="宋体" w:cs="宋体" w:hint="eastAsia"/>
          <w:sz w:val="21"/>
          <w:szCs w:val="21"/>
        </w:rPr>
        <w:t>生长调节剂在植物抗逆性中的应用。</w:t>
      </w:r>
    </w:p>
    <w:p w14:paraId="7575AAB3"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color w:val="000000"/>
          <w:sz w:val="21"/>
          <w:szCs w:val="21"/>
        </w:rPr>
        <w:t>2．难点：无。</w:t>
      </w:r>
    </w:p>
    <w:p w14:paraId="3E227CE1" w14:textId="77777777" w:rsidR="00F5289E" w:rsidRDefault="00C91173">
      <w:pPr>
        <w:widowControl/>
        <w:wordWrap w:val="0"/>
        <w:snapToGrid w:val="0"/>
        <w:spacing w:line="360" w:lineRule="auto"/>
        <w:ind w:left="1265" w:hangingChars="600" w:hanging="1265"/>
        <w:rPr>
          <w:rFonts w:ascii="宋体" w:hAnsi="宋体" w:cs="宋体"/>
          <w:color w:val="000000"/>
          <w:szCs w:val="21"/>
        </w:rPr>
      </w:pPr>
      <w:r>
        <w:rPr>
          <w:rFonts w:ascii="宋体" w:hAnsi="宋体" w:hint="eastAsia"/>
          <w:b/>
          <w:bCs/>
        </w:rPr>
        <w:t>主要教学内容及要求：</w:t>
      </w:r>
    </w:p>
    <w:p w14:paraId="4C1D9449" w14:textId="77777777" w:rsidR="00F5289E" w:rsidRDefault="00C91173">
      <w:pPr>
        <w:pStyle w:val="af1"/>
        <w:wordWrap w:val="0"/>
        <w:spacing w:before="0" w:beforeAutospacing="0" w:after="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rPr>
        <w:t>了解如何使用植物生长调节剂增强抗冷性，及其在作物上的应用；了解植物生长调节剂在增强抗热性中的应用；了解植物生长调节剂在增强抗旱性中的应用；了解植物生长调节剂在增强抗病性中的应用。</w:t>
      </w:r>
    </w:p>
    <w:p w14:paraId="25CE987A" w14:textId="77777777" w:rsidR="00F5289E" w:rsidRDefault="00C91173">
      <w:pPr>
        <w:pStyle w:val="af1"/>
        <w:wordWrap w:val="0"/>
        <w:spacing w:before="0" w:beforeAutospacing="0" w:after="0" w:afterAutospacing="0" w:line="360" w:lineRule="auto"/>
        <w:jc w:val="both"/>
        <w:rPr>
          <w:rFonts w:asciiTheme="minorEastAsia" w:eastAsiaTheme="minorEastAsia" w:hAnsiTheme="minorEastAsia"/>
          <w:b/>
          <w:bCs/>
          <w:sz w:val="21"/>
          <w:szCs w:val="21"/>
        </w:rPr>
      </w:pPr>
      <w:r>
        <w:rPr>
          <w:rFonts w:asciiTheme="minorEastAsia" w:eastAsiaTheme="minorEastAsia" w:hAnsiTheme="minorEastAsia" w:hint="eastAsia"/>
          <w:b/>
          <w:bCs/>
          <w:sz w:val="21"/>
          <w:szCs w:val="21"/>
        </w:rPr>
        <w:t>教学组织与实施：</w:t>
      </w:r>
    </w:p>
    <w:p w14:paraId="01BC3FA4" w14:textId="77777777" w:rsidR="00F5289E" w:rsidRDefault="00C91173">
      <w:pPr>
        <w:pStyle w:val="af1"/>
        <w:wordWrap w:val="0"/>
        <w:spacing w:before="0" w:beforeAutospacing="0" w:after="0" w:afterAutospacing="0" w:line="360" w:lineRule="auto"/>
        <w:ind w:firstLine="420"/>
        <w:jc w:val="both"/>
        <w:rPr>
          <w:rFonts w:ascii="宋体" w:eastAsia="宋体" w:hAnsi="宋体" w:cs="宋体"/>
          <w:b/>
          <w:sz w:val="21"/>
          <w:szCs w:val="21"/>
        </w:rPr>
      </w:pPr>
      <w:r>
        <w:rPr>
          <w:rFonts w:ascii="宋体" w:eastAsia="宋体" w:hAnsi="宋体" w:cs="宋体" w:hint="eastAsia"/>
          <w:color w:val="000000"/>
          <w:sz w:val="21"/>
          <w:szCs w:val="21"/>
        </w:rPr>
        <w:t>以近两年</w:t>
      </w:r>
      <w:r>
        <w:rPr>
          <w:rFonts w:ascii="宋体" w:eastAsia="宋体" w:hAnsi="宋体" w:cs="宋体"/>
          <w:color w:val="000000"/>
          <w:sz w:val="21"/>
          <w:szCs w:val="21"/>
        </w:rPr>
        <w:t>的最新发表</w:t>
      </w:r>
      <w:r>
        <w:rPr>
          <w:rFonts w:ascii="宋体" w:eastAsia="宋体" w:hAnsi="宋体" w:cs="宋体" w:hint="eastAsia"/>
          <w:color w:val="000000"/>
          <w:sz w:val="21"/>
          <w:szCs w:val="21"/>
        </w:rPr>
        <w:t>的学科</w:t>
      </w:r>
      <w:r>
        <w:rPr>
          <w:rFonts w:ascii="宋体" w:eastAsia="宋体" w:hAnsi="宋体" w:cs="宋体"/>
          <w:color w:val="000000"/>
          <w:sz w:val="21"/>
          <w:szCs w:val="21"/>
        </w:rPr>
        <w:t>Top影响力期刊或文章为主，通过</w:t>
      </w:r>
      <w:r>
        <w:rPr>
          <w:rFonts w:ascii="宋体" w:eastAsia="宋体" w:hAnsi="宋体" w:cs="宋体" w:hint="eastAsia"/>
          <w:color w:val="000000"/>
          <w:sz w:val="21"/>
          <w:szCs w:val="21"/>
        </w:rPr>
        <w:t>思路</w:t>
      </w:r>
      <w:r>
        <w:rPr>
          <w:rFonts w:ascii="宋体" w:eastAsia="宋体" w:hAnsi="宋体" w:cs="宋体"/>
          <w:color w:val="000000"/>
          <w:sz w:val="21"/>
          <w:szCs w:val="21"/>
        </w:rPr>
        <w:t>分析、技术讲解和课程内容联系讲授</w:t>
      </w:r>
      <w:r>
        <w:rPr>
          <w:rFonts w:ascii="宋体" w:eastAsia="宋体" w:hAnsi="宋体" w:cs="宋体" w:hint="eastAsia"/>
          <w:color w:val="000000"/>
          <w:sz w:val="21"/>
          <w:szCs w:val="21"/>
        </w:rPr>
        <w:t>、</w:t>
      </w:r>
      <w:r>
        <w:rPr>
          <w:rFonts w:ascii="宋体" w:eastAsia="宋体" w:hAnsi="宋体" w:cs="宋体"/>
          <w:color w:val="000000"/>
          <w:sz w:val="21"/>
          <w:szCs w:val="21"/>
        </w:rPr>
        <w:t>提问</w:t>
      </w:r>
      <w:r>
        <w:rPr>
          <w:rFonts w:ascii="宋体" w:eastAsia="宋体" w:hAnsi="宋体" w:cs="宋体" w:hint="eastAsia"/>
          <w:color w:val="000000"/>
          <w:sz w:val="21"/>
          <w:szCs w:val="21"/>
        </w:rPr>
        <w:t>、</w:t>
      </w:r>
      <w:r>
        <w:rPr>
          <w:rFonts w:ascii="宋体" w:eastAsia="宋体" w:hAnsi="宋体" w:cs="宋体"/>
          <w:color w:val="000000"/>
          <w:sz w:val="21"/>
          <w:szCs w:val="21"/>
        </w:rPr>
        <w:t>课下拓展</w:t>
      </w:r>
      <w:r>
        <w:rPr>
          <w:rFonts w:ascii="宋体" w:eastAsia="宋体" w:hAnsi="宋体" w:cs="宋体" w:hint="eastAsia"/>
          <w:color w:val="000000"/>
          <w:sz w:val="21"/>
          <w:szCs w:val="21"/>
        </w:rPr>
        <w:t>组织学生认知</w:t>
      </w:r>
      <w:r>
        <w:rPr>
          <w:rFonts w:ascii="宋体" w:eastAsia="宋体" w:hAnsi="宋体" w:cs="宋体"/>
          <w:color w:val="000000"/>
          <w:sz w:val="21"/>
          <w:szCs w:val="21"/>
        </w:rPr>
        <w:t>和接受课程内容</w:t>
      </w:r>
      <w:r>
        <w:rPr>
          <w:rFonts w:ascii="宋体" w:eastAsia="宋体" w:hAnsi="宋体" w:cs="宋体" w:hint="eastAsia"/>
          <w:color w:val="000000"/>
          <w:sz w:val="21"/>
          <w:szCs w:val="21"/>
        </w:rPr>
        <w:t>。</w:t>
      </w:r>
    </w:p>
    <w:p w14:paraId="2DE21659" w14:textId="77777777" w:rsidR="00F5289E" w:rsidRDefault="00C91173">
      <w:pPr>
        <w:snapToGrid w:val="0"/>
        <w:spacing w:line="360" w:lineRule="auto"/>
        <w:rPr>
          <w:rFonts w:ascii="宋体" w:hAnsi="宋体"/>
          <w:b/>
          <w:szCs w:val="21"/>
        </w:rPr>
      </w:pPr>
      <w:r>
        <w:rPr>
          <w:rFonts w:ascii="宋体" w:hAnsi="宋体" w:hint="eastAsia"/>
          <w:b/>
          <w:szCs w:val="21"/>
        </w:rPr>
        <w:t>五</w:t>
      </w:r>
      <w:r>
        <w:rPr>
          <w:rFonts w:ascii="宋体" w:hAnsi="宋体"/>
          <w:b/>
          <w:szCs w:val="21"/>
        </w:rPr>
        <w:t>、</w:t>
      </w:r>
      <w:r>
        <w:rPr>
          <w:rFonts w:ascii="宋体" w:hAnsi="宋体" w:hint="eastAsia"/>
          <w:b/>
          <w:szCs w:val="21"/>
        </w:rPr>
        <w:t>课程思政</w:t>
      </w:r>
    </w:p>
    <w:p w14:paraId="55802EC6" w14:textId="77777777" w:rsidR="00F5289E" w:rsidRDefault="00C91173">
      <w:pPr>
        <w:snapToGrid w:val="0"/>
        <w:spacing w:line="360" w:lineRule="auto"/>
        <w:ind w:firstLineChars="200" w:firstLine="420"/>
        <w:rPr>
          <w:rFonts w:hAnsi="宋体"/>
          <w:szCs w:val="21"/>
        </w:rPr>
      </w:pPr>
      <w:r>
        <w:rPr>
          <w:rFonts w:hAnsi="宋体" w:hint="eastAsia"/>
          <w:szCs w:val="21"/>
        </w:rPr>
        <w:t>（在课程教学过程中将政治认同、家国情怀、文化素养、宪法法治意识、道德修养等思政元素融入专业教育，并举例说明）</w:t>
      </w:r>
    </w:p>
    <w:p w14:paraId="318F35A0" w14:textId="77777777" w:rsidR="00F5289E" w:rsidRDefault="00C91173">
      <w:pPr>
        <w:snapToGrid w:val="0"/>
        <w:spacing w:line="360" w:lineRule="auto"/>
        <w:ind w:firstLineChars="200" w:firstLine="420"/>
        <w:rPr>
          <w:rFonts w:hAnsi="宋体"/>
          <w:szCs w:val="21"/>
        </w:rPr>
      </w:pPr>
      <w:r>
        <w:rPr>
          <w:rFonts w:hAnsi="宋体" w:hint="eastAsia"/>
          <w:szCs w:val="21"/>
        </w:rPr>
        <w:t>（一）《植物生长调节剂与利用》课程思政建设主要有以下</w:t>
      </w:r>
      <w:r>
        <w:rPr>
          <w:rFonts w:hAnsi="宋体" w:hint="eastAsia"/>
          <w:szCs w:val="21"/>
        </w:rPr>
        <w:t>3</w:t>
      </w:r>
      <w:r>
        <w:rPr>
          <w:rFonts w:hAnsi="宋体" w:hint="eastAsia"/>
          <w:szCs w:val="21"/>
        </w:rPr>
        <w:t>个目标：</w:t>
      </w:r>
    </w:p>
    <w:p w14:paraId="5E0910D7" w14:textId="77777777" w:rsidR="00F5289E" w:rsidRDefault="00C91173">
      <w:pPr>
        <w:snapToGrid w:val="0"/>
        <w:spacing w:line="360" w:lineRule="auto"/>
        <w:ind w:firstLineChars="200" w:firstLine="420"/>
        <w:rPr>
          <w:rFonts w:hAnsi="宋体"/>
          <w:szCs w:val="21"/>
        </w:rPr>
      </w:pPr>
      <w:r>
        <w:rPr>
          <w:rFonts w:hAnsi="宋体" w:hint="eastAsia"/>
          <w:szCs w:val="21"/>
        </w:rPr>
        <w:t>目标</w:t>
      </w:r>
      <w:r>
        <w:rPr>
          <w:rFonts w:hAnsi="宋体" w:hint="eastAsia"/>
          <w:szCs w:val="21"/>
        </w:rPr>
        <w:t xml:space="preserve"> 1</w:t>
      </w:r>
      <w:r>
        <w:rPr>
          <w:rFonts w:hAnsi="宋体" w:hint="eastAsia"/>
          <w:szCs w:val="21"/>
        </w:rPr>
        <w:t>：国家情怀，社会责任。具有坚定正确的政治方向，自觉践行社会主义核心价值观。</w:t>
      </w:r>
    </w:p>
    <w:p w14:paraId="1CD80085" w14:textId="77777777" w:rsidR="00F5289E" w:rsidRDefault="00C91173">
      <w:pPr>
        <w:snapToGrid w:val="0"/>
        <w:spacing w:line="360" w:lineRule="auto"/>
        <w:ind w:firstLineChars="200" w:firstLine="420"/>
        <w:rPr>
          <w:rFonts w:hAnsi="宋体"/>
          <w:szCs w:val="21"/>
        </w:rPr>
      </w:pPr>
      <w:r>
        <w:rPr>
          <w:rFonts w:hAnsi="宋体" w:hint="eastAsia"/>
          <w:szCs w:val="21"/>
        </w:rPr>
        <w:t>目标</w:t>
      </w:r>
      <w:r>
        <w:rPr>
          <w:rFonts w:hAnsi="宋体" w:hint="eastAsia"/>
          <w:szCs w:val="21"/>
        </w:rPr>
        <w:t xml:space="preserve"> 2</w:t>
      </w:r>
      <w:r>
        <w:rPr>
          <w:rFonts w:hAnsi="宋体" w:hint="eastAsia"/>
          <w:szCs w:val="21"/>
        </w:rPr>
        <w:t>：科学家精神。以著名科学家为榜样，点燃学生科技兴农梦，引导学生树立正确的人生观与价值观。</w:t>
      </w:r>
    </w:p>
    <w:p w14:paraId="25989DD3" w14:textId="77777777" w:rsidR="00F5289E" w:rsidRDefault="00C91173">
      <w:pPr>
        <w:snapToGrid w:val="0"/>
        <w:spacing w:line="360" w:lineRule="auto"/>
        <w:ind w:firstLineChars="200" w:firstLine="420"/>
        <w:rPr>
          <w:rFonts w:hAnsi="宋体"/>
          <w:szCs w:val="21"/>
        </w:rPr>
      </w:pPr>
      <w:r>
        <w:rPr>
          <w:rFonts w:hAnsi="宋体" w:hint="eastAsia"/>
          <w:szCs w:val="21"/>
        </w:rPr>
        <w:t>目标</w:t>
      </w:r>
      <w:r>
        <w:rPr>
          <w:rFonts w:hAnsi="宋体" w:hint="eastAsia"/>
          <w:szCs w:val="21"/>
        </w:rPr>
        <w:t xml:space="preserve"> 3</w:t>
      </w:r>
      <w:r>
        <w:rPr>
          <w:rFonts w:hAnsi="宋体" w:hint="eastAsia"/>
          <w:szCs w:val="21"/>
        </w:rPr>
        <w:t>：社会主义生态文明观。传递正确的社会主义生态文明观，引导学生学以致用，积极参与生态化生产、绿色化生活、打造优质化环境的建设实践。</w:t>
      </w:r>
    </w:p>
    <w:p w14:paraId="6AEB6145" w14:textId="77777777" w:rsidR="00F5289E" w:rsidRDefault="00C91173">
      <w:pPr>
        <w:snapToGrid w:val="0"/>
        <w:spacing w:line="360" w:lineRule="auto"/>
        <w:ind w:firstLineChars="200" w:firstLine="420"/>
        <w:rPr>
          <w:rFonts w:hAnsi="宋体"/>
          <w:szCs w:val="21"/>
        </w:rPr>
      </w:pPr>
      <w:r>
        <w:rPr>
          <w:rFonts w:hAnsi="宋体" w:hint="eastAsia"/>
          <w:szCs w:val="21"/>
        </w:rPr>
        <w:t>（二）对应思政育人目标，本课程共设计</w:t>
      </w:r>
      <w:r>
        <w:rPr>
          <w:rFonts w:hAnsi="宋体" w:hint="eastAsia"/>
          <w:szCs w:val="21"/>
        </w:rPr>
        <w:t>3</w:t>
      </w:r>
      <w:r>
        <w:rPr>
          <w:rFonts w:hAnsi="宋体" w:hint="eastAsia"/>
          <w:szCs w:val="21"/>
        </w:rPr>
        <w:t>个案例融入课堂教学，具体如下：</w:t>
      </w:r>
    </w:p>
    <w:p w14:paraId="62FF880E" w14:textId="77777777" w:rsidR="00F5289E" w:rsidRDefault="00C91173">
      <w:pPr>
        <w:snapToGrid w:val="0"/>
        <w:spacing w:line="360" w:lineRule="auto"/>
        <w:ind w:firstLineChars="200" w:firstLine="420"/>
        <w:rPr>
          <w:rFonts w:hAnsi="宋体"/>
          <w:szCs w:val="21"/>
        </w:rPr>
      </w:pPr>
      <w:r>
        <w:rPr>
          <w:rFonts w:hAnsi="宋体" w:hint="eastAsia"/>
          <w:szCs w:val="21"/>
        </w:rPr>
        <w:t>（</w:t>
      </w:r>
      <w:r>
        <w:rPr>
          <w:rFonts w:hAnsi="宋体" w:hint="eastAsia"/>
          <w:szCs w:val="21"/>
        </w:rPr>
        <w:t>1</w:t>
      </w:r>
      <w:r>
        <w:rPr>
          <w:rFonts w:hAnsi="宋体" w:hint="eastAsia"/>
          <w:szCs w:val="21"/>
        </w:rPr>
        <w:t>）在讲解赤霉素类生长调节剂时，融入案例</w:t>
      </w:r>
      <w:r>
        <w:rPr>
          <w:rFonts w:hAnsi="宋体" w:hint="eastAsia"/>
          <w:szCs w:val="21"/>
        </w:rPr>
        <w:t>1</w:t>
      </w:r>
      <w:r>
        <w:rPr>
          <w:rFonts w:hAnsi="宋体" w:hint="eastAsia"/>
          <w:szCs w:val="21"/>
        </w:rPr>
        <w:t>：以赤霉素引发的农业第一次“绿色革命”和中国学者吹响新“绿色革命”的号角为例，让学生感受到祖国的迅猛发展与我国科学家的卓著贡</w:t>
      </w:r>
      <w:r>
        <w:rPr>
          <w:rFonts w:hAnsi="宋体" w:hint="eastAsia"/>
          <w:szCs w:val="21"/>
        </w:rPr>
        <w:lastRenderedPageBreak/>
        <w:t>献，进而增强民族自信心与自豪感，并使学生明晰责任与担当是家国情怀的精髓之所在。</w:t>
      </w:r>
      <w:r>
        <w:rPr>
          <w:rFonts w:hAnsi="宋体" w:hint="eastAsia"/>
          <w:szCs w:val="21"/>
        </w:rPr>
        <w:t xml:space="preserve">20 </w:t>
      </w:r>
      <w:r>
        <w:rPr>
          <w:rFonts w:hAnsi="宋体" w:hint="eastAsia"/>
          <w:szCs w:val="21"/>
        </w:rPr>
        <w:t>世纪</w:t>
      </w:r>
      <w:r>
        <w:rPr>
          <w:rFonts w:hAnsi="宋体" w:hint="eastAsia"/>
          <w:szCs w:val="21"/>
        </w:rPr>
        <w:t xml:space="preserve">60 </w:t>
      </w:r>
      <w:r>
        <w:rPr>
          <w:rFonts w:hAnsi="宋体" w:hint="eastAsia"/>
          <w:szCs w:val="21"/>
        </w:rPr>
        <w:t>年代中期，饥饿、营养不良在一些亚洲国家中成为普遍现象。通过赤霉素研究引发的第一次“绿色革命”，培育获得了高产、抗倒伏的作物植株，使得主要粮食作物（如水稻、小麦）的产量大幅度提升，解决了由人口快速增长对粮食安全带来的严峻危机。自</w:t>
      </w:r>
      <w:r>
        <w:rPr>
          <w:rFonts w:hAnsi="宋体" w:hint="eastAsia"/>
          <w:szCs w:val="21"/>
        </w:rPr>
        <w:t xml:space="preserve">20 </w:t>
      </w:r>
      <w:r>
        <w:rPr>
          <w:rFonts w:hAnsi="宋体" w:hint="eastAsia"/>
          <w:szCs w:val="21"/>
        </w:rPr>
        <w:t>世纪</w:t>
      </w:r>
      <w:r>
        <w:rPr>
          <w:rFonts w:hAnsi="宋体" w:hint="eastAsia"/>
          <w:szCs w:val="21"/>
        </w:rPr>
        <w:t xml:space="preserve">90 </w:t>
      </w:r>
      <w:r>
        <w:rPr>
          <w:rFonts w:hAnsi="宋体" w:hint="eastAsia"/>
          <w:szCs w:val="21"/>
        </w:rPr>
        <w:t>年代以来，大批具有海外留学经历的中青年科学家回国服务，组建了一支具有国际竞争力的科研队伍，在植物激素的生物合成、体内运输、组织分布、信号转导、激素互作等领域取得了一系列突破性的研究成果。至</w:t>
      </w:r>
      <w:r>
        <w:rPr>
          <w:rFonts w:hAnsi="宋体" w:hint="eastAsia"/>
          <w:szCs w:val="21"/>
        </w:rPr>
        <w:t xml:space="preserve">2020 </w:t>
      </w:r>
      <w:r>
        <w:rPr>
          <w:rFonts w:hAnsi="宋体" w:hint="eastAsia"/>
          <w:szCs w:val="21"/>
        </w:rPr>
        <w:t>年，我国粮食总产量为</w:t>
      </w:r>
      <w:r>
        <w:rPr>
          <w:rFonts w:hAnsi="宋体" w:hint="eastAsia"/>
          <w:szCs w:val="21"/>
        </w:rPr>
        <w:t xml:space="preserve">6695 </w:t>
      </w:r>
      <w:r>
        <w:rPr>
          <w:rFonts w:hAnsi="宋体" w:hint="eastAsia"/>
          <w:szCs w:val="21"/>
        </w:rPr>
        <w:t>亿</w:t>
      </w:r>
      <w:r>
        <w:rPr>
          <w:rFonts w:hAnsi="宋体" w:hint="eastAsia"/>
          <w:szCs w:val="21"/>
        </w:rPr>
        <w:t>kg</w:t>
      </w:r>
      <w:r>
        <w:rPr>
          <w:rFonts w:hAnsi="宋体" w:hint="eastAsia"/>
          <w:szCs w:val="21"/>
        </w:rPr>
        <w:t>，中国已实现从温饱不足到全面小康的历史跨越。此外，我国科学家傅向东研究员带领团队成员进行长期科研攻关，找到提高水稻氮素使用效率的秘诀，实现了少投入、多产出、保护环境的育种理念，此项研究成果预示着一场新的“绿色革命”即将到来。</w:t>
      </w:r>
    </w:p>
    <w:p w14:paraId="001361D3" w14:textId="77777777" w:rsidR="00F5289E" w:rsidRDefault="00C91173">
      <w:pPr>
        <w:snapToGrid w:val="0"/>
        <w:spacing w:line="360" w:lineRule="auto"/>
        <w:ind w:firstLineChars="200" w:firstLine="420"/>
        <w:rPr>
          <w:rFonts w:hAnsi="宋体"/>
          <w:szCs w:val="21"/>
        </w:rPr>
      </w:pPr>
      <w:r>
        <w:rPr>
          <w:rFonts w:hAnsi="宋体" w:hint="eastAsia"/>
          <w:szCs w:val="21"/>
        </w:rPr>
        <w:t>（</w:t>
      </w:r>
      <w:r>
        <w:rPr>
          <w:rFonts w:hAnsi="宋体" w:hint="eastAsia"/>
          <w:szCs w:val="21"/>
        </w:rPr>
        <w:t>2</w:t>
      </w:r>
      <w:r>
        <w:rPr>
          <w:rFonts w:hAnsi="宋体" w:hint="eastAsia"/>
          <w:szCs w:val="21"/>
        </w:rPr>
        <w:t>）在讲解植物激素的发展和研究方面，融入案例</w:t>
      </w:r>
      <w:r>
        <w:rPr>
          <w:rFonts w:hAnsi="宋体" w:hint="eastAsia"/>
          <w:szCs w:val="21"/>
        </w:rPr>
        <w:t>2</w:t>
      </w:r>
      <w:r>
        <w:rPr>
          <w:rFonts w:hAnsi="宋体" w:hint="eastAsia"/>
          <w:szCs w:val="21"/>
        </w:rPr>
        <w:t>：以著名科学家为榜样，点燃学生科技兴农梦，引导学生树立正确的人生观与价值观。我国谢道昕院士，长期从事植物激素的研究，并用“笨鸟先飞”来形容自己的学术生涯，他阐明了茉莉酸和独脚金内酯的受体感知机制，对于揭示植物生命活动的本质、改善生态环境和保障粮食安全具有重要意义。</w:t>
      </w:r>
      <w:r>
        <w:rPr>
          <w:rFonts w:hAnsi="宋体" w:hint="eastAsia"/>
          <w:szCs w:val="21"/>
        </w:rPr>
        <w:t xml:space="preserve">2006 </w:t>
      </w:r>
      <w:r>
        <w:rPr>
          <w:rFonts w:hAnsi="宋体" w:hint="eastAsia"/>
          <w:szCs w:val="21"/>
        </w:rPr>
        <w:t>年，谢道昕从新加坡回国至清华任教，希望自己做好一颗“螺丝钉”，他认为能够为祖国的科学事业发展和人才培养尽微薄之力是责任、义务与荣耀。</w:t>
      </w:r>
    </w:p>
    <w:p w14:paraId="029C7BE0" w14:textId="77777777" w:rsidR="00F5289E" w:rsidRDefault="00C91173">
      <w:pPr>
        <w:snapToGrid w:val="0"/>
        <w:spacing w:line="360" w:lineRule="auto"/>
        <w:ind w:firstLineChars="200" w:firstLine="420"/>
        <w:rPr>
          <w:rFonts w:hAnsi="宋体"/>
          <w:szCs w:val="21"/>
        </w:rPr>
      </w:pPr>
      <w:r>
        <w:rPr>
          <w:rFonts w:hAnsi="宋体" w:hint="eastAsia"/>
          <w:szCs w:val="21"/>
        </w:rPr>
        <w:t>（</w:t>
      </w:r>
      <w:r>
        <w:rPr>
          <w:rFonts w:hAnsi="宋体" w:hint="eastAsia"/>
          <w:szCs w:val="21"/>
        </w:rPr>
        <w:t>3</w:t>
      </w:r>
      <w:r>
        <w:rPr>
          <w:rFonts w:hAnsi="宋体" w:hint="eastAsia"/>
          <w:szCs w:val="21"/>
        </w:rPr>
        <w:t>）在讲解植物生长调节剂应用方面，融入案例</w:t>
      </w:r>
      <w:r>
        <w:rPr>
          <w:rFonts w:hAnsi="宋体" w:hint="eastAsia"/>
          <w:szCs w:val="21"/>
        </w:rPr>
        <w:t>3</w:t>
      </w:r>
      <w:r>
        <w:rPr>
          <w:rFonts w:hAnsi="宋体" w:hint="eastAsia"/>
          <w:szCs w:val="21"/>
        </w:rPr>
        <w:t>：生态文明建设功在当代，利在千秋。随着人口的增加及食物的过度消费导致食品供需关系间的鸿沟日益扩大，而果蔬采摘后的损失和浪费更令人触目惊心。常规使用的低温贮藏等物理方法能耗高，且有效性因瓜果蔬菜产品而异；化学方法虽简单有效，但因其化学残留危害使消费者无法接受；通过生物技术方法合理调控植物激素能够安全、无毒、高效延长新鲜农产品的贮藏期。研究表明，赤霉素类、细胞分裂素类、油菜素内酯类等六类植物激素可以通过激活防御基因表达和抑制衰老相关基因表达等途径参与果蔬采后保鲜的调控机制，以达到高效绿色贮藏采后农产品的目标。此外，生长素类、细胞分裂素类、赤霉素类植物生长调节剂能够微量高效的调控植物生长；脱落酸类、水杨酸类及乙烯类植物生长调节剂能够有效提升植物的抗逆及抗病性，进而减少化学农药的使用，以达到高效绿色的农业生产目标。</w:t>
      </w:r>
    </w:p>
    <w:p w14:paraId="4848F7E6" w14:textId="77777777" w:rsidR="00F5289E" w:rsidRDefault="00C91173">
      <w:pPr>
        <w:widowControl/>
        <w:snapToGrid w:val="0"/>
        <w:spacing w:line="360" w:lineRule="auto"/>
        <w:jc w:val="left"/>
        <w:rPr>
          <w:kern w:val="0"/>
          <w:szCs w:val="21"/>
        </w:rPr>
      </w:pPr>
      <w:r>
        <w:rPr>
          <w:rFonts w:hAnsi="宋体" w:hint="eastAsia"/>
          <w:b/>
          <w:bCs/>
          <w:kern w:val="0"/>
          <w:szCs w:val="21"/>
        </w:rPr>
        <w:t>六</w:t>
      </w:r>
      <w:r>
        <w:rPr>
          <w:rFonts w:hAnsi="宋体"/>
          <w:b/>
          <w:bCs/>
          <w:kern w:val="0"/>
          <w:szCs w:val="21"/>
        </w:rPr>
        <w:t>、教材</w:t>
      </w:r>
      <w:r>
        <w:rPr>
          <w:rFonts w:hAnsi="宋体" w:hint="eastAsia"/>
          <w:b/>
          <w:bCs/>
          <w:kern w:val="0"/>
          <w:szCs w:val="21"/>
        </w:rPr>
        <w:t>及教学参考书</w:t>
      </w:r>
    </w:p>
    <w:p w14:paraId="325B0A8A"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hAnsi="宋体" w:hint="eastAsia"/>
          <w:b/>
          <w:bCs/>
          <w:kern w:val="0"/>
          <w:szCs w:val="21"/>
        </w:rPr>
        <w:t>选用</w:t>
      </w:r>
      <w:r>
        <w:rPr>
          <w:rFonts w:hAnsi="宋体"/>
          <w:b/>
          <w:bCs/>
          <w:kern w:val="0"/>
          <w:szCs w:val="21"/>
        </w:rPr>
        <w:t>教材：</w:t>
      </w:r>
    </w:p>
    <w:p w14:paraId="69B02B8B" w14:textId="77777777" w:rsidR="00F5289E" w:rsidRDefault="00C91173">
      <w:pPr>
        <w:snapToGrid w:val="0"/>
        <w:spacing w:line="360" w:lineRule="auto"/>
        <w:ind w:firstLineChars="200" w:firstLine="420"/>
        <w:rPr>
          <w:rFonts w:hAnsi="宋体"/>
          <w:bCs/>
          <w:kern w:val="0"/>
          <w:szCs w:val="21"/>
        </w:rPr>
      </w:pPr>
      <w:r>
        <w:rPr>
          <w:rFonts w:hAnsi="宋体" w:hint="eastAsia"/>
          <w:bCs/>
          <w:kern w:val="0"/>
          <w:szCs w:val="21"/>
        </w:rPr>
        <w:t>理论课教材：</w:t>
      </w:r>
      <w:r>
        <w:rPr>
          <w:rFonts w:hAnsi="宋体"/>
          <w:bCs/>
          <w:kern w:val="0"/>
          <w:szCs w:val="21"/>
        </w:rPr>
        <w:t>植物激素作用的分子机理，许智宏，薛红卫编著，上海科学技术出版社出版社，</w:t>
      </w:r>
      <w:r>
        <w:rPr>
          <w:rFonts w:hAnsi="宋体"/>
          <w:bCs/>
          <w:kern w:val="0"/>
          <w:szCs w:val="21"/>
        </w:rPr>
        <w:t>2023</w:t>
      </w:r>
      <w:r>
        <w:rPr>
          <w:rFonts w:hAnsi="宋体"/>
          <w:bCs/>
          <w:kern w:val="0"/>
          <w:szCs w:val="21"/>
        </w:rPr>
        <w:t>年</w:t>
      </w:r>
      <w:r>
        <w:rPr>
          <w:rFonts w:hAnsi="宋体" w:hint="eastAsia"/>
          <w:bCs/>
          <w:kern w:val="0"/>
          <w:szCs w:val="21"/>
        </w:rPr>
        <w:t>。</w:t>
      </w:r>
    </w:p>
    <w:p w14:paraId="2683646A" w14:textId="77777777" w:rsidR="00F5289E" w:rsidRDefault="00C91173">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hAnsi="宋体"/>
          <w:b/>
          <w:bCs/>
          <w:kern w:val="0"/>
          <w:szCs w:val="21"/>
        </w:rPr>
        <w:t>参考书：</w:t>
      </w:r>
    </w:p>
    <w:p w14:paraId="19B00616"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rFonts w:hAnsi="宋体"/>
          <w:bCs/>
          <w:kern w:val="0"/>
          <w:szCs w:val="21"/>
        </w:rPr>
        <w:t>1</w:t>
      </w:r>
      <w:r>
        <w:rPr>
          <w:rFonts w:hAnsi="宋体"/>
          <w:bCs/>
          <w:kern w:val="0"/>
          <w:szCs w:val="21"/>
        </w:rPr>
        <w:t>）植物生长调节剂科学使用指南</w:t>
      </w:r>
      <w:r>
        <w:rPr>
          <w:rFonts w:hAnsi="宋体" w:hint="eastAsia"/>
          <w:bCs/>
          <w:kern w:val="0"/>
          <w:szCs w:val="21"/>
        </w:rPr>
        <w:t>．</w:t>
      </w:r>
      <w:hyperlink r:id="rId22" w:tgtFrame="_blank" w:history="1">
        <w:r>
          <w:rPr>
            <w:rFonts w:hAnsi="宋体"/>
            <w:bCs/>
            <w:kern w:val="0"/>
            <w:szCs w:val="21"/>
          </w:rPr>
          <w:t>张宗俭</w:t>
        </w:r>
      </w:hyperlink>
      <w:r>
        <w:rPr>
          <w:rFonts w:hAnsi="宋体"/>
          <w:bCs/>
          <w:kern w:val="0"/>
          <w:szCs w:val="21"/>
        </w:rPr>
        <w:t>、</w:t>
      </w:r>
      <w:hyperlink r:id="rId23" w:tgtFrame="_blank" w:history="1">
        <w:r>
          <w:rPr>
            <w:rFonts w:hAnsi="宋体"/>
            <w:bCs/>
            <w:kern w:val="0"/>
            <w:szCs w:val="21"/>
          </w:rPr>
          <w:t>邵振润</w:t>
        </w:r>
      </w:hyperlink>
      <w:r>
        <w:rPr>
          <w:rFonts w:hAnsi="宋体"/>
          <w:bCs/>
          <w:kern w:val="0"/>
          <w:szCs w:val="21"/>
        </w:rPr>
        <w:t>、</w:t>
      </w:r>
      <w:hyperlink r:id="rId24" w:tgtFrame="_blank" w:history="1">
        <w:r>
          <w:rPr>
            <w:rFonts w:hAnsi="宋体"/>
            <w:bCs/>
            <w:kern w:val="0"/>
            <w:szCs w:val="21"/>
          </w:rPr>
          <w:t>束放</w:t>
        </w:r>
      </w:hyperlink>
      <w:r>
        <w:rPr>
          <w:rFonts w:hAnsi="宋体" w:hint="eastAsia"/>
          <w:bCs/>
          <w:kern w:val="0"/>
          <w:szCs w:val="21"/>
        </w:rPr>
        <w:t>．</w:t>
      </w:r>
      <w:r>
        <w:rPr>
          <w:rFonts w:hAnsi="宋体"/>
          <w:bCs/>
          <w:kern w:val="0"/>
          <w:szCs w:val="21"/>
        </w:rPr>
        <w:t>化学工业出版社</w:t>
      </w:r>
      <w:r>
        <w:rPr>
          <w:rFonts w:hAnsi="宋体" w:hint="eastAsia"/>
          <w:bCs/>
          <w:kern w:val="0"/>
          <w:szCs w:val="21"/>
        </w:rPr>
        <w:t>, 2</w:t>
      </w:r>
      <w:r>
        <w:rPr>
          <w:rFonts w:hAnsi="宋体"/>
          <w:bCs/>
          <w:kern w:val="0"/>
          <w:szCs w:val="21"/>
        </w:rPr>
        <w:t>015</w:t>
      </w:r>
    </w:p>
    <w:p w14:paraId="10E629BA" w14:textId="77777777" w:rsidR="00F5289E" w:rsidRDefault="00C91173">
      <w:pPr>
        <w:snapToGrid w:val="0"/>
        <w:spacing w:line="360" w:lineRule="auto"/>
        <w:ind w:firstLineChars="200" w:firstLine="420"/>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asciiTheme="minorEastAsia" w:eastAsiaTheme="minorEastAsia" w:hAnsiTheme="minorEastAsia" w:hint="eastAsia"/>
          <w:bCs/>
          <w:kern w:val="0"/>
          <w:szCs w:val="21"/>
        </w:rPr>
        <w:t>《现代</w:t>
      </w:r>
      <w:r>
        <w:rPr>
          <w:rFonts w:asciiTheme="minorEastAsia" w:eastAsiaTheme="minorEastAsia" w:hAnsiTheme="minorEastAsia"/>
          <w:bCs/>
          <w:kern w:val="0"/>
          <w:szCs w:val="21"/>
        </w:rPr>
        <w:t>植物生长调节剂技术手册》</w:t>
      </w:r>
      <w:r>
        <w:rPr>
          <w:rFonts w:asciiTheme="minorEastAsia" w:eastAsiaTheme="minorEastAsia" w:hAnsiTheme="minorEastAsia" w:hint="eastAsia"/>
          <w:bCs/>
          <w:kern w:val="0"/>
          <w:szCs w:val="21"/>
        </w:rPr>
        <w:t>。</w:t>
      </w:r>
      <w:r>
        <w:rPr>
          <w:rFonts w:asciiTheme="minorEastAsia" w:eastAsiaTheme="minorEastAsia" w:hAnsiTheme="minorEastAsia"/>
          <w:bCs/>
          <w:kern w:val="0"/>
          <w:szCs w:val="21"/>
        </w:rPr>
        <w:t>李</w:t>
      </w:r>
      <w:r>
        <w:rPr>
          <w:rFonts w:asciiTheme="minorEastAsia" w:eastAsiaTheme="minorEastAsia" w:hAnsiTheme="minorEastAsia" w:hint="eastAsia"/>
          <w:bCs/>
          <w:kern w:val="0"/>
          <w:szCs w:val="21"/>
        </w:rPr>
        <w:t>玲</w:t>
      </w:r>
      <w:r>
        <w:rPr>
          <w:rFonts w:asciiTheme="minorEastAsia" w:eastAsiaTheme="minorEastAsia" w:hAnsiTheme="minorEastAsia"/>
          <w:bCs/>
          <w:kern w:val="0"/>
          <w:szCs w:val="21"/>
        </w:rPr>
        <w:t>，肖浪涛，谭伟</w:t>
      </w:r>
      <w:r>
        <w:rPr>
          <w:rFonts w:asciiTheme="minorEastAsia" w:eastAsiaTheme="minorEastAsia" w:hAnsiTheme="minorEastAsia" w:hint="eastAsia"/>
          <w:bCs/>
          <w:kern w:val="0"/>
          <w:szCs w:val="21"/>
        </w:rPr>
        <w:t>明</w:t>
      </w:r>
      <w:r>
        <w:rPr>
          <w:rFonts w:asciiTheme="minorEastAsia" w:eastAsiaTheme="minorEastAsia" w:hAnsiTheme="minorEastAsia"/>
          <w:bCs/>
          <w:kern w:val="0"/>
          <w:szCs w:val="21"/>
        </w:rPr>
        <w:t>，化学工业出版社，</w:t>
      </w:r>
      <w:r>
        <w:rPr>
          <w:rFonts w:asciiTheme="minorEastAsia" w:eastAsiaTheme="minorEastAsia" w:hAnsiTheme="minorEastAsia" w:hint="eastAsia"/>
          <w:bCs/>
          <w:kern w:val="0"/>
          <w:szCs w:val="21"/>
        </w:rPr>
        <w:t>2018</w:t>
      </w:r>
    </w:p>
    <w:p w14:paraId="68DB6CBB" w14:textId="77777777" w:rsidR="00F5289E" w:rsidRDefault="00C91173">
      <w:pPr>
        <w:pStyle w:val="a5"/>
        <w:spacing w:line="360" w:lineRule="auto"/>
        <w:ind w:right="4" w:firstLineChars="200" w:firstLine="420"/>
        <w:rPr>
          <w:szCs w:val="21"/>
        </w:rPr>
      </w:pPr>
      <w:r>
        <w:rPr>
          <w:rFonts w:hAnsi="宋体" w:hint="eastAsia"/>
          <w:bCs/>
          <w:kern w:val="0"/>
          <w:szCs w:val="21"/>
        </w:rPr>
        <w:t>（</w:t>
      </w:r>
      <w:r>
        <w:rPr>
          <w:rFonts w:hAnsi="宋体" w:hint="eastAsia"/>
          <w:bCs/>
          <w:kern w:val="0"/>
          <w:szCs w:val="21"/>
        </w:rPr>
        <w:t>3</w:t>
      </w:r>
      <w:r>
        <w:rPr>
          <w:rFonts w:hAnsi="宋体" w:hint="eastAsia"/>
          <w:bCs/>
          <w:kern w:val="0"/>
          <w:szCs w:val="21"/>
        </w:rPr>
        <w:t>）</w:t>
      </w:r>
      <w:r>
        <w:rPr>
          <w:rFonts w:hint="eastAsia"/>
          <w:szCs w:val="21"/>
        </w:rPr>
        <w:t>《</w:t>
      </w:r>
      <w:r>
        <w:fldChar w:fldCharType="begin"/>
      </w:r>
      <w:r>
        <w:instrText xml:space="preserve">HYPERLINK "http://product.dangdang.com/21099824.html" \t "http://search.dangdang.com/_blank" \o " </w:instrText>
      </w:r>
      <w:r>
        <w:instrText>植物生长调节剂原理与应用</w:instrText>
      </w:r>
      <w:r>
        <w:instrText xml:space="preserve">   "</w:instrText>
      </w:r>
      <w:r>
        <w:fldChar w:fldCharType="separate"/>
      </w:r>
      <w:r>
        <w:rPr>
          <w:rFonts w:hint="eastAsia"/>
          <w:szCs w:val="21"/>
        </w:rPr>
        <w:t>植物生长调节剂原理与应用</w:t>
      </w:r>
      <w:r>
        <w:rPr>
          <w:szCs w:val="21"/>
        </w:rPr>
        <w:fldChar w:fldCharType="end"/>
      </w:r>
      <w:r>
        <w:rPr>
          <w:rFonts w:hint="eastAsia"/>
          <w:szCs w:val="21"/>
        </w:rPr>
        <w:t>》。潘瑞炽，李玲编著。广东高等教育出版社，</w:t>
      </w:r>
      <w:r>
        <w:rPr>
          <w:rFonts w:hint="eastAsia"/>
          <w:szCs w:val="21"/>
        </w:rPr>
        <w:t>2007</w:t>
      </w:r>
      <w:r>
        <w:rPr>
          <w:rFonts w:hint="eastAsia"/>
          <w:szCs w:val="21"/>
        </w:rPr>
        <w:t>。</w:t>
      </w:r>
    </w:p>
    <w:p w14:paraId="44E7298F" w14:textId="77777777" w:rsidR="00F5289E" w:rsidRDefault="00C91173">
      <w:pPr>
        <w:widowControl/>
        <w:snapToGrid w:val="0"/>
        <w:spacing w:line="360" w:lineRule="auto"/>
        <w:ind w:firstLineChars="200" w:firstLine="422"/>
        <w:jc w:val="left"/>
        <w:rPr>
          <w:b/>
          <w:kern w:val="0"/>
          <w:szCs w:val="21"/>
        </w:rPr>
      </w:pPr>
      <w:r>
        <w:rPr>
          <w:b/>
          <w:kern w:val="0"/>
          <w:szCs w:val="21"/>
        </w:rPr>
        <w:lastRenderedPageBreak/>
        <w:t>3.</w:t>
      </w:r>
      <w:r>
        <w:rPr>
          <w:b/>
          <w:kern w:val="0"/>
          <w:szCs w:val="21"/>
        </w:rPr>
        <w:t>推荐网站</w:t>
      </w:r>
      <w:r>
        <w:rPr>
          <w:rFonts w:hint="eastAsia"/>
          <w:b/>
          <w:kern w:val="0"/>
          <w:szCs w:val="21"/>
        </w:rPr>
        <w:t>（线上资源）</w:t>
      </w:r>
      <w:r>
        <w:rPr>
          <w:b/>
          <w:kern w:val="0"/>
          <w:szCs w:val="21"/>
        </w:rPr>
        <w:t>：</w:t>
      </w:r>
    </w:p>
    <w:p w14:paraId="733234CE" w14:textId="77777777" w:rsidR="00F5289E" w:rsidRDefault="00C91173">
      <w:pPr>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（1）美国</w:t>
      </w:r>
      <w:r>
        <w:rPr>
          <w:rFonts w:asciiTheme="minorEastAsia" w:eastAsiaTheme="minorEastAsia" w:hAnsiTheme="minorEastAsia"/>
          <w:szCs w:val="21"/>
        </w:rPr>
        <w:t>国家生物信息中心</w:t>
      </w:r>
      <w:r>
        <w:rPr>
          <w:rFonts w:asciiTheme="minorEastAsia" w:eastAsiaTheme="minorEastAsia" w:hAnsiTheme="minorEastAsia" w:hint="eastAsia"/>
          <w:szCs w:val="21"/>
        </w:rPr>
        <w:t>搜索</w:t>
      </w:r>
      <w:r>
        <w:rPr>
          <w:rFonts w:asciiTheme="minorEastAsia" w:eastAsiaTheme="minorEastAsia" w:hAnsiTheme="minorEastAsia"/>
          <w:szCs w:val="21"/>
        </w:rPr>
        <w:t>，</w:t>
      </w:r>
      <w:r>
        <w:rPr>
          <w:rFonts w:asciiTheme="minorEastAsia" w:eastAsiaTheme="minorEastAsia" w:hAnsiTheme="minorEastAsia"/>
        </w:rPr>
        <w:t>http://www.ncbi.nlm.nih.gov/pubmed/</w:t>
      </w:r>
    </w:p>
    <w:p w14:paraId="6820A537" w14:textId="77777777" w:rsidR="00F5289E" w:rsidRDefault="00C91173">
      <w:pPr>
        <w:widowControl/>
        <w:snapToGrid w:val="0"/>
        <w:spacing w:line="360" w:lineRule="auto"/>
        <w:ind w:firstLineChars="200" w:firstLine="420"/>
        <w:jc w:val="left"/>
        <w:rPr>
          <w:rFonts w:asciiTheme="minorEastAsia" w:eastAsiaTheme="minorEastAsia" w:hAnsiTheme="minorEastAsia"/>
          <w:kern w:val="0"/>
        </w:rPr>
      </w:pPr>
      <w:r>
        <w:rPr>
          <w:rFonts w:asciiTheme="minorEastAsia" w:eastAsiaTheme="minorEastAsia" w:hAnsiTheme="minorEastAsia" w:hint="eastAsia"/>
          <w:szCs w:val="21"/>
        </w:rPr>
        <w:t>（2）C</w:t>
      </w:r>
      <w:r>
        <w:rPr>
          <w:rFonts w:asciiTheme="minorEastAsia" w:eastAsiaTheme="minorEastAsia" w:hAnsiTheme="minorEastAsia"/>
          <w:szCs w:val="21"/>
        </w:rPr>
        <w:t>NKI</w:t>
      </w:r>
      <w:r>
        <w:rPr>
          <w:rFonts w:asciiTheme="minorEastAsia" w:eastAsiaTheme="minorEastAsia" w:hAnsiTheme="minorEastAsia" w:hint="eastAsia"/>
          <w:szCs w:val="21"/>
        </w:rPr>
        <w:t>全文</w:t>
      </w:r>
      <w:r>
        <w:rPr>
          <w:rFonts w:asciiTheme="minorEastAsia" w:eastAsiaTheme="minorEastAsia" w:hAnsiTheme="minorEastAsia"/>
          <w:szCs w:val="21"/>
        </w:rPr>
        <w:t>数据库搜索</w:t>
      </w:r>
      <w:r>
        <w:rPr>
          <w:rFonts w:asciiTheme="minorEastAsia" w:eastAsiaTheme="minorEastAsia" w:hAnsiTheme="minorEastAsia" w:hint="eastAsia"/>
          <w:szCs w:val="21"/>
        </w:rPr>
        <w:t>，</w:t>
      </w:r>
      <w:r>
        <w:rPr>
          <w:rFonts w:asciiTheme="minorEastAsia" w:eastAsiaTheme="minorEastAsia" w:hAnsiTheme="minorEastAsia"/>
        </w:rPr>
        <w:t>https://www.cnki.net/</w:t>
      </w:r>
    </w:p>
    <w:p w14:paraId="476F1BDA"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七</w:t>
      </w:r>
      <w:r>
        <w:rPr>
          <w:rFonts w:hAnsi="宋体"/>
          <w:b/>
          <w:bCs/>
          <w:kern w:val="0"/>
          <w:szCs w:val="21"/>
        </w:rPr>
        <w:t>、</w:t>
      </w:r>
      <w:r>
        <w:rPr>
          <w:rFonts w:hAnsi="宋体" w:hint="eastAsia"/>
          <w:b/>
          <w:bCs/>
          <w:kern w:val="0"/>
          <w:szCs w:val="21"/>
        </w:rPr>
        <w:t>教学条件</w:t>
      </w:r>
    </w:p>
    <w:p w14:paraId="0C8C511E"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szCs w:val="21"/>
        </w:rPr>
        <w:t>教学</w:t>
      </w:r>
      <w:r>
        <w:rPr>
          <w:rFonts w:ascii="宋体" w:hAnsi="宋体"/>
          <w:szCs w:val="21"/>
        </w:rPr>
        <w:t>主要以讲授和讨论等形式开展，需要有</w:t>
      </w:r>
      <w:r>
        <w:rPr>
          <w:rFonts w:ascii="宋体" w:hAnsi="宋体" w:hint="eastAsia"/>
          <w:szCs w:val="21"/>
        </w:rPr>
        <w:t>多媒体</w:t>
      </w:r>
      <w:r>
        <w:rPr>
          <w:rFonts w:ascii="宋体" w:hAnsi="宋体"/>
          <w:szCs w:val="21"/>
        </w:rPr>
        <w:t>教室，安装在线联网</w:t>
      </w:r>
      <w:r>
        <w:rPr>
          <w:rFonts w:ascii="宋体" w:hAnsi="宋体" w:hint="eastAsia"/>
          <w:szCs w:val="21"/>
        </w:rPr>
        <w:t>、</w:t>
      </w:r>
      <w:r>
        <w:rPr>
          <w:rFonts w:ascii="宋体" w:hAnsi="宋体"/>
          <w:szCs w:val="21"/>
        </w:rPr>
        <w:t>超星教育系统等</w:t>
      </w:r>
      <w:r>
        <w:rPr>
          <w:rFonts w:ascii="宋体" w:hAnsi="宋体" w:hint="eastAsia"/>
          <w:color w:val="0000FF"/>
          <w:szCs w:val="21"/>
        </w:rPr>
        <w:t>。</w:t>
      </w:r>
    </w:p>
    <w:p w14:paraId="7E1093FB" w14:textId="77777777" w:rsidR="00F5289E" w:rsidRDefault="00C91173">
      <w:pPr>
        <w:widowControl/>
        <w:snapToGrid w:val="0"/>
        <w:spacing w:line="360" w:lineRule="auto"/>
        <w:jc w:val="left"/>
        <w:rPr>
          <w:rFonts w:hAnsi="宋体"/>
          <w:b/>
          <w:bCs/>
          <w:kern w:val="0"/>
          <w:szCs w:val="21"/>
        </w:rPr>
      </w:pPr>
      <w:r>
        <w:rPr>
          <w:rFonts w:hAnsi="宋体" w:hint="eastAsia"/>
          <w:b/>
          <w:bCs/>
          <w:kern w:val="0"/>
          <w:szCs w:val="21"/>
        </w:rPr>
        <w:t>八、教学考核评价</w:t>
      </w:r>
    </w:p>
    <w:p w14:paraId="5D0A0B34" w14:textId="77777777" w:rsidR="00F5289E" w:rsidRDefault="00C91173">
      <w:pPr>
        <w:widowControl/>
        <w:snapToGrid w:val="0"/>
        <w:spacing w:line="360" w:lineRule="auto"/>
        <w:ind w:firstLine="420"/>
        <w:jc w:val="left"/>
        <w:rPr>
          <w:rFonts w:ascii="宋体" w:hAnsi="宋体"/>
          <w:szCs w:val="21"/>
        </w:rPr>
      </w:pPr>
      <w:r>
        <w:rPr>
          <w:rFonts w:hAnsi="宋体" w:hint="eastAsia"/>
          <w:b/>
          <w:bCs/>
          <w:kern w:val="0"/>
          <w:szCs w:val="21"/>
        </w:rPr>
        <w:t>1.</w:t>
      </w:r>
      <w:r>
        <w:rPr>
          <w:rFonts w:hAnsi="宋体" w:hint="eastAsia"/>
          <w:b/>
          <w:bCs/>
          <w:kern w:val="0"/>
          <w:szCs w:val="21"/>
        </w:rPr>
        <w:t>过程性评价：</w:t>
      </w:r>
      <w:r>
        <w:rPr>
          <w:rFonts w:ascii="宋体" w:hAnsi="宋体" w:hint="eastAsia"/>
          <w:szCs w:val="21"/>
        </w:rPr>
        <w:t>考勤</w:t>
      </w:r>
      <w:r>
        <w:rPr>
          <w:rFonts w:ascii="宋体" w:hAnsi="宋体"/>
          <w:szCs w:val="21"/>
        </w:rPr>
        <w:t>成绩</w:t>
      </w:r>
      <w:r>
        <w:rPr>
          <w:rFonts w:ascii="宋体" w:hAnsi="宋体" w:hint="eastAsia"/>
          <w:szCs w:val="21"/>
        </w:rPr>
        <w:t>、</w:t>
      </w:r>
      <w:r>
        <w:rPr>
          <w:rFonts w:ascii="宋体" w:hAnsi="宋体"/>
          <w:szCs w:val="21"/>
        </w:rPr>
        <w:t>课堂作业</w:t>
      </w:r>
      <w:r>
        <w:rPr>
          <w:rFonts w:ascii="宋体" w:hAnsi="宋体" w:hint="eastAsia"/>
          <w:szCs w:val="21"/>
        </w:rPr>
        <w:t>、</w:t>
      </w:r>
      <w:r>
        <w:rPr>
          <w:rFonts w:ascii="宋体" w:hAnsi="宋体"/>
          <w:szCs w:val="21"/>
        </w:rPr>
        <w:t>提问回答、上台演讲等均纳入平时成绩进行多元化考核</w:t>
      </w:r>
      <w:r>
        <w:rPr>
          <w:rFonts w:ascii="宋体" w:hAnsi="宋体" w:hint="eastAsia"/>
          <w:szCs w:val="21"/>
        </w:rPr>
        <w:t>，</w:t>
      </w:r>
      <w:r>
        <w:rPr>
          <w:rFonts w:ascii="宋体" w:hAnsi="宋体"/>
          <w:szCs w:val="21"/>
        </w:rPr>
        <w:t>该部分为平时成绩，占比为</w:t>
      </w:r>
      <w:r>
        <w:rPr>
          <w:rFonts w:ascii="宋体" w:hAnsi="宋体" w:hint="eastAsia"/>
          <w:szCs w:val="21"/>
        </w:rPr>
        <w:t>30</w:t>
      </w:r>
      <w:r>
        <w:rPr>
          <w:rFonts w:ascii="宋体" w:hAnsi="宋体"/>
          <w:szCs w:val="21"/>
        </w:rPr>
        <w:t>%。</w:t>
      </w:r>
    </w:p>
    <w:p w14:paraId="655CB004" w14:textId="77777777" w:rsidR="00F5289E" w:rsidRDefault="00C91173">
      <w:pPr>
        <w:widowControl/>
        <w:snapToGrid w:val="0"/>
        <w:spacing w:line="360" w:lineRule="auto"/>
        <w:ind w:firstLine="420"/>
        <w:jc w:val="left"/>
        <w:rPr>
          <w:rFonts w:hAnsi="宋体"/>
          <w:b/>
          <w:bCs/>
          <w:kern w:val="0"/>
          <w:szCs w:val="21"/>
        </w:rPr>
      </w:pPr>
      <w:r>
        <w:rPr>
          <w:rFonts w:hAnsi="宋体" w:hint="eastAsia"/>
          <w:b/>
          <w:bCs/>
          <w:kern w:val="0"/>
          <w:szCs w:val="21"/>
        </w:rPr>
        <w:t>2.</w:t>
      </w:r>
      <w:r>
        <w:rPr>
          <w:rFonts w:hAnsi="宋体" w:hint="eastAsia"/>
          <w:b/>
          <w:bCs/>
          <w:kern w:val="0"/>
          <w:szCs w:val="21"/>
        </w:rPr>
        <w:t>终结性评价：</w:t>
      </w:r>
    </w:p>
    <w:p w14:paraId="2FD97966" w14:textId="77777777" w:rsidR="00F5289E" w:rsidRDefault="00C91173">
      <w:pPr>
        <w:widowControl/>
        <w:snapToGrid w:val="0"/>
        <w:spacing w:line="360" w:lineRule="auto"/>
        <w:ind w:firstLine="420"/>
        <w:jc w:val="left"/>
        <w:rPr>
          <w:rFonts w:hAnsi="宋体"/>
          <w:bCs/>
          <w:kern w:val="0"/>
          <w:szCs w:val="21"/>
        </w:rPr>
      </w:pPr>
      <w:r>
        <w:rPr>
          <w:rFonts w:hAnsi="宋体" w:hint="eastAsia"/>
          <w:bCs/>
          <w:kern w:val="0"/>
          <w:szCs w:val="21"/>
        </w:rPr>
        <w:t>采用</w:t>
      </w:r>
      <w:r>
        <w:rPr>
          <w:rFonts w:ascii="宋体" w:hAnsi="宋体" w:hint="eastAsia"/>
        </w:rPr>
        <w:t>课程论文的</w:t>
      </w:r>
      <w:r>
        <w:rPr>
          <w:rFonts w:ascii="宋体" w:hAnsi="宋体"/>
        </w:rPr>
        <w:t>形式进行考核</w:t>
      </w:r>
      <w:r>
        <w:rPr>
          <w:rFonts w:ascii="宋体" w:hAnsi="宋体" w:hint="eastAsia"/>
        </w:rPr>
        <w:t>；占比</w:t>
      </w:r>
      <w:r>
        <w:rPr>
          <w:rFonts w:ascii="宋体" w:hAnsi="宋体"/>
        </w:rPr>
        <w:t>为</w:t>
      </w:r>
      <w:r>
        <w:rPr>
          <w:rFonts w:ascii="宋体" w:hAnsi="宋体" w:hint="eastAsia"/>
        </w:rPr>
        <w:t>70</w:t>
      </w:r>
      <w:r>
        <w:rPr>
          <w:rFonts w:ascii="宋体" w:hAnsi="宋体"/>
        </w:rPr>
        <w:t>%</w:t>
      </w:r>
    </w:p>
    <w:p w14:paraId="4512FFC4" w14:textId="77777777" w:rsidR="00F5289E" w:rsidRDefault="00C91173">
      <w:pPr>
        <w:widowControl/>
        <w:snapToGrid w:val="0"/>
        <w:spacing w:line="360" w:lineRule="auto"/>
        <w:ind w:firstLine="420"/>
        <w:jc w:val="left"/>
        <w:rPr>
          <w:rFonts w:hAnsi="宋体"/>
          <w:bCs/>
          <w:color w:val="0000FF"/>
          <w:kern w:val="0"/>
          <w:szCs w:val="21"/>
        </w:rPr>
      </w:pPr>
      <w:r>
        <w:rPr>
          <w:rFonts w:hAnsi="宋体" w:hint="eastAsia"/>
          <w:b/>
          <w:bCs/>
          <w:kern w:val="0"/>
          <w:szCs w:val="21"/>
        </w:rPr>
        <w:t>3.</w:t>
      </w:r>
      <w:r>
        <w:rPr>
          <w:rFonts w:hAnsi="宋体" w:hint="eastAsia"/>
          <w:b/>
          <w:bCs/>
          <w:kern w:val="0"/>
          <w:szCs w:val="21"/>
        </w:rPr>
        <w:t>课程综合评价：</w:t>
      </w:r>
    </w:p>
    <w:p w14:paraId="04EAE783" w14:textId="77777777" w:rsidR="00F5289E" w:rsidRDefault="00C91173">
      <w:pPr>
        <w:widowControl/>
        <w:snapToGrid w:val="0"/>
        <w:spacing w:line="360" w:lineRule="auto"/>
        <w:ind w:firstLine="420"/>
        <w:jc w:val="left"/>
        <w:rPr>
          <w:szCs w:val="21"/>
        </w:rPr>
      </w:pPr>
      <w:r>
        <w:rPr>
          <w:rFonts w:hint="eastAsia"/>
          <w:szCs w:val="21"/>
        </w:rPr>
        <w:t>综合</w:t>
      </w:r>
      <w:r>
        <w:rPr>
          <w:szCs w:val="21"/>
        </w:rPr>
        <w:t>评价由过程性评价和终结性评价构成。</w:t>
      </w:r>
      <w:r>
        <w:rPr>
          <w:rFonts w:hint="eastAsia"/>
          <w:szCs w:val="21"/>
        </w:rPr>
        <w:t>其中过程性评价包括考勤（</w:t>
      </w:r>
      <w:r>
        <w:rPr>
          <w:rFonts w:hint="eastAsia"/>
          <w:szCs w:val="21"/>
        </w:rPr>
        <w:t>40</w:t>
      </w:r>
      <w:r>
        <w:rPr>
          <w:rFonts w:hint="eastAsia"/>
          <w:szCs w:val="21"/>
        </w:rPr>
        <w:t>％）、课堂作业</w:t>
      </w:r>
      <w:r>
        <w:rPr>
          <w:rFonts w:hint="eastAsia"/>
          <w:szCs w:val="21"/>
        </w:rPr>
        <w:t>/</w:t>
      </w:r>
      <w:r>
        <w:rPr>
          <w:rFonts w:hint="eastAsia"/>
          <w:szCs w:val="21"/>
        </w:rPr>
        <w:t>回答提问</w:t>
      </w:r>
      <w:r>
        <w:rPr>
          <w:rFonts w:hint="eastAsia"/>
          <w:szCs w:val="21"/>
        </w:rPr>
        <w:t>/</w:t>
      </w:r>
      <w:r>
        <w:rPr>
          <w:rFonts w:hint="eastAsia"/>
          <w:szCs w:val="21"/>
        </w:rPr>
        <w:t>演讲（</w:t>
      </w:r>
      <w:r>
        <w:rPr>
          <w:rFonts w:hint="eastAsia"/>
          <w:szCs w:val="21"/>
        </w:rPr>
        <w:t>60</w:t>
      </w:r>
      <w:r>
        <w:rPr>
          <w:rFonts w:hint="eastAsia"/>
          <w:szCs w:val="21"/>
        </w:rPr>
        <w:t>％</w:t>
      </w:r>
      <w:r>
        <w:rPr>
          <w:szCs w:val="21"/>
        </w:rPr>
        <w:t>）</w:t>
      </w:r>
      <w:r>
        <w:rPr>
          <w:rFonts w:hint="eastAsia"/>
          <w:szCs w:val="21"/>
        </w:rPr>
        <w:t>，</w:t>
      </w:r>
      <w:r>
        <w:rPr>
          <w:szCs w:val="21"/>
        </w:rPr>
        <w:t>这两项为平时成绩</w:t>
      </w:r>
      <w:r>
        <w:rPr>
          <w:rFonts w:hint="eastAsia"/>
          <w:szCs w:val="21"/>
        </w:rPr>
        <w:t>共</w:t>
      </w:r>
      <w:r>
        <w:rPr>
          <w:szCs w:val="21"/>
        </w:rPr>
        <w:t>占综合评价的</w:t>
      </w:r>
      <w:r>
        <w:rPr>
          <w:rFonts w:hint="eastAsia"/>
          <w:szCs w:val="21"/>
        </w:rPr>
        <w:t>30</w:t>
      </w:r>
      <w:r>
        <w:rPr>
          <w:szCs w:val="21"/>
        </w:rPr>
        <w:t>%</w:t>
      </w:r>
      <w:r>
        <w:rPr>
          <w:rFonts w:hint="eastAsia"/>
          <w:szCs w:val="21"/>
        </w:rPr>
        <w:t>，</w:t>
      </w:r>
      <w:r>
        <w:rPr>
          <w:szCs w:val="21"/>
        </w:rPr>
        <w:t>对于</w:t>
      </w:r>
      <w:r>
        <w:rPr>
          <w:rFonts w:hint="eastAsia"/>
          <w:szCs w:val="21"/>
        </w:rPr>
        <w:t>课程</w:t>
      </w:r>
      <w:r>
        <w:rPr>
          <w:szCs w:val="21"/>
        </w:rPr>
        <w:t>目标</w:t>
      </w:r>
      <w:r>
        <w:rPr>
          <w:rFonts w:hint="eastAsia"/>
          <w:szCs w:val="21"/>
        </w:rPr>
        <w:t>1</w:t>
      </w:r>
      <w:r>
        <w:rPr>
          <w:rFonts w:hint="eastAsia"/>
          <w:szCs w:val="21"/>
        </w:rPr>
        <w:t>和</w:t>
      </w:r>
      <w:r>
        <w:rPr>
          <w:rFonts w:hint="eastAsia"/>
          <w:szCs w:val="21"/>
        </w:rPr>
        <w:t>3</w:t>
      </w:r>
      <w:r>
        <w:rPr>
          <w:rFonts w:hint="eastAsia"/>
          <w:szCs w:val="21"/>
        </w:rPr>
        <w:t>；终结性</w:t>
      </w:r>
      <w:r>
        <w:rPr>
          <w:szCs w:val="21"/>
        </w:rPr>
        <w:t>评价</w:t>
      </w:r>
      <w:r>
        <w:rPr>
          <w:rFonts w:hint="eastAsia"/>
          <w:szCs w:val="21"/>
        </w:rPr>
        <w:t>采用课程论文形式，</w:t>
      </w:r>
      <w:r>
        <w:rPr>
          <w:szCs w:val="21"/>
        </w:rPr>
        <w:t>占综合评价的</w:t>
      </w:r>
      <w:r>
        <w:rPr>
          <w:rFonts w:hint="eastAsia"/>
          <w:szCs w:val="21"/>
        </w:rPr>
        <w:t>70</w:t>
      </w:r>
      <w:r>
        <w:rPr>
          <w:rFonts w:hint="eastAsia"/>
          <w:szCs w:val="21"/>
        </w:rPr>
        <w:t>％，</w:t>
      </w:r>
      <w:r>
        <w:rPr>
          <w:szCs w:val="21"/>
        </w:rPr>
        <w:t>对应课程目标</w:t>
      </w:r>
      <w:r>
        <w:rPr>
          <w:rFonts w:hint="eastAsia"/>
          <w:szCs w:val="21"/>
        </w:rPr>
        <w:t>2</w:t>
      </w:r>
      <w:r>
        <w:rPr>
          <w:rFonts w:hint="eastAsia"/>
          <w:szCs w:val="21"/>
        </w:rPr>
        <w:t>和</w:t>
      </w:r>
      <w:r>
        <w:rPr>
          <w:rFonts w:hint="eastAsia"/>
          <w:szCs w:val="21"/>
        </w:rPr>
        <w:t>3</w:t>
      </w:r>
      <w:r>
        <w:rPr>
          <w:rFonts w:hint="eastAsia"/>
          <w:szCs w:val="21"/>
        </w:rPr>
        <w:t>。</w:t>
      </w:r>
    </w:p>
    <w:p w14:paraId="42C02FE2" w14:textId="77777777" w:rsidR="00F5289E" w:rsidRDefault="00C91173">
      <w:pPr>
        <w:widowControl/>
        <w:snapToGrid w:val="0"/>
        <w:spacing w:line="360" w:lineRule="auto"/>
        <w:ind w:firstLine="420"/>
        <w:jc w:val="left"/>
        <w:rPr>
          <w:rFonts w:ascii="宋体" w:hAnsi="宋体"/>
        </w:rPr>
      </w:pPr>
      <w:r>
        <w:rPr>
          <w:rFonts w:hint="eastAsia"/>
          <w:szCs w:val="21"/>
        </w:rPr>
        <w:t>总成绩计算</w:t>
      </w:r>
      <w:r>
        <w:rPr>
          <w:rFonts w:hint="eastAsia"/>
          <w:szCs w:val="21"/>
        </w:rPr>
        <w:t>=</w:t>
      </w:r>
      <w:r>
        <w:rPr>
          <w:rFonts w:hint="eastAsia"/>
          <w:szCs w:val="21"/>
        </w:rPr>
        <w:t>（考勤成绩</w:t>
      </w:r>
      <w:r>
        <w:rPr>
          <w:rFonts w:hint="eastAsia"/>
          <w:szCs w:val="21"/>
        </w:rPr>
        <w:t>*40</w:t>
      </w:r>
      <w:r>
        <w:rPr>
          <w:rFonts w:hint="eastAsia"/>
          <w:szCs w:val="21"/>
        </w:rPr>
        <w:t>％</w:t>
      </w:r>
      <w:r>
        <w:rPr>
          <w:rFonts w:hint="eastAsia"/>
          <w:szCs w:val="21"/>
        </w:rPr>
        <w:t>+</w:t>
      </w:r>
      <w:r>
        <w:rPr>
          <w:rFonts w:hint="eastAsia"/>
          <w:szCs w:val="21"/>
        </w:rPr>
        <w:t>课堂作业</w:t>
      </w:r>
      <w:r>
        <w:rPr>
          <w:rFonts w:hint="eastAsia"/>
          <w:szCs w:val="21"/>
        </w:rPr>
        <w:t>/</w:t>
      </w:r>
      <w:r>
        <w:rPr>
          <w:rFonts w:hint="eastAsia"/>
          <w:szCs w:val="21"/>
        </w:rPr>
        <w:t>回答提问</w:t>
      </w:r>
      <w:r>
        <w:rPr>
          <w:rFonts w:hint="eastAsia"/>
          <w:szCs w:val="21"/>
        </w:rPr>
        <w:t>/</w:t>
      </w:r>
      <w:r>
        <w:rPr>
          <w:rFonts w:hint="eastAsia"/>
          <w:szCs w:val="21"/>
        </w:rPr>
        <w:t>演讲</w:t>
      </w:r>
      <w:r>
        <w:rPr>
          <w:rFonts w:hint="eastAsia"/>
          <w:szCs w:val="21"/>
        </w:rPr>
        <w:t>*60%</w:t>
      </w:r>
      <w:r>
        <w:rPr>
          <w:rFonts w:hint="eastAsia"/>
          <w:szCs w:val="21"/>
        </w:rPr>
        <w:t>）</w:t>
      </w:r>
      <w:r>
        <w:rPr>
          <w:rFonts w:hint="eastAsia"/>
          <w:szCs w:val="21"/>
        </w:rPr>
        <w:t>*30%+</w:t>
      </w:r>
      <w:r>
        <w:rPr>
          <w:rFonts w:hint="eastAsia"/>
          <w:szCs w:val="21"/>
        </w:rPr>
        <w:t>课程论文</w:t>
      </w:r>
      <w:r>
        <w:rPr>
          <w:rFonts w:hint="eastAsia"/>
          <w:szCs w:val="21"/>
        </w:rPr>
        <w:t>*70</w:t>
      </w:r>
      <w:r>
        <w:rPr>
          <w:rFonts w:hint="eastAsia"/>
          <w:szCs w:val="21"/>
        </w:rPr>
        <w:t>％</w:t>
      </w:r>
    </w:p>
    <w:p w14:paraId="61F9B9C8"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44590ED7" w14:textId="77777777" w:rsidR="00F5289E" w:rsidRDefault="00C91173">
      <w:pPr>
        <w:pStyle w:val="1"/>
      </w:pPr>
      <w:bookmarkStart w:id="159" w:name="_Toc2645"/>
      <w:bookmarkStart w:id="160" w:name="_Toc138606265"/>
      <w:r>
        <w:rPr>
          <w:rFonts w:hint="eastAsia"/>
        </w:rPr>
        <w:lastRenderedPageBreak/>
        <w:t>文献检索与科技论文写作</w:t>
      </w:r>
      <w:bookmarkEnd w:id="159"/>
      <w:bookmarkEnd w:id="160"/>
    </w:p>
    <w:p w14:paraId="279B1823" w14:textId="77777777" w:rsidR="00F5289E" w:rsidRDefault="00C91173">
      <w:pPr>
        <w:snapToGrid w:val="0"/>
        <w:spacing w:line="360" w:lineRule="auto"/>
        <w:jc w:val="center"/>
        <w:rPr>
          <w:i/>
          <w:iCs/>
          <w:sz w:val="24"/>
        </w:rPr>
      </w:pPr>
      <w:r>
        <w:rPr>
          <w:rFonts w:hint="eastAsia"/>
          <w:iCs/>
          <w:sz w:val="24"/>
        </w:rPr>
        <w:t>（</w:t>
      </w:r>
      <w:r>
        <w:rPr>
          <w:rFonts w:hint="eastAsia"/>
          <w:sz w:val="24"/>
        </w:rPr>
        <w:t>Literature Search and</w:t>
      </w:r>
      <w:r>
        <w:rPr>
          <w:sz w:val="24"/>
        </w:rPr>
        <w:t xml:space="preserve"> </w:t>
      </w:r>
      <w:r>
        <w:rPr>
          <w:rFonts w:hint="eastAsia"/>
          <w:sz w:val="24"/>
        </w:rPr>
        <w:t>Thesis</w:t>
      </w:r>
      <w:r>
        <w:rPr>
          <w:rFonts w:hint="eastAsia"/>
          <w:sz w:val="24"/>
        </w:rPr>
        <w:t>）</w:t>
      </w:r>
    </w:p>
    <w:p w14:paraId="03F9BBE1" w14:textId="77777777" w:rsidR="00F5289E" w:rsidRDefault="00C91173">
      <w:pPr>
        <w:snapToGrid w:val="0"/>
        <w:spacing w:beforeLines="50" w:before="156" w:line="360" w:lineRule="auto"/>
        <w:jc w:val="center"/>
        <w:rPr>
          <w:rFonts w:hAnsi="宋体"/>
          <w:b/>
          <w:szCs w:val="21"/>
        </w:rPr>
      </w:pPr>
      <w:r>
        <w:rPr>
          <w:rFonts w:hAnsi="宋体"/>
          <w:b/>
          <w:szCs w:val="21"/>
        </w:rPr>
        <w:t>课程基本信息</w:t>
      </w:r>
    </w:p>
    <w:tbl>
      <w:tblPr>
        <w:tblW w:w="8472" w:type="dxa"/>
        <w:tblLayout w:type="fixed"/>
        <w:tblLook w:val="04A0" w:firstRow="1" w:lastRow="0" w:firstColumn="1" w:lastColumn="0" w:noHBand="0" w:noVBand="1"/>
      </w:tblPr>
      <w:tblGrid>
        <w:gridCol w:w="2824"/>
        <w:gridCol w:w="2462"/>
        <w:gridCol w:w="3118"/>
        <w:gridCol w:w="68"/>
      </w:tblGrid>
      <w:tr w:rsidR="00F5289E" w14:paraId="658882C8" w14:textId="77777777">
        <w:trPr>
          <w:gridAfter w:val="1"/>
          <w:wAfter w:w="50" w:type="dxa"/>
        </w:trPr>
        <w:tc>
          <w:tcPr>
            <w:tcW w:w="2627" w:type="dxa"/>
          </w:tcPr>
          <w:p w14:paraId="1EA94CF4" w14:textId="77777777" w:rsidR="00F5289E" w:rsidRDefault="00C91173">
            <w:pPr>
              <w:spacing w:line="360" w:lineRule="auto"/>
              <w:rPr>
                <w:rFonts w:hAnsi="宋体"/>
                <w:b/>
                <w:bCs/>
                <w:szCs w:val="21"/>
              </w:rPr>
            </w:pPr>
            <w:r>
              <w:rPr>
                <w:rFonts w:hAnsi="宋体" w:hint="eastAsia"/>
                <w:b/>
                <w:bCs/>
                <w:szCs w:val="21"/>
              </w:rPr>
              <w:t>课程编号：</w:t>
            </w:r>
            <w:r w:rsidRPr="001B3040">
              <w:rPr>
                <w:rFonts w:hAnsi="宋体" w:hint="eastAsia"/>
                <w:bCs/>
                <w:szCs w:val="21"/>
              </w:rPr>
              <w:t>19011055</w:t>
            </w:r>
          </w:p>
        </w:tc>
        <w:tc>
          <w:tcPr>
            <w:tcW w:w="3577" w:type="dxa"/>
          </w:tcPr>
          <w:p w14:paraId="5FF9F88B" w14:textId="77777777" w:rsidR="00F5289E" w:rsidRDefault="00C91173">
            <w:pPr>
              <w:spacing w:line="360" w:lineRule="auto"/>
              <w:rPr>
                <w:rFonts w:hAnsi="宋体"/>
                <w:b/>
                <w:bCs/>
                <w:szCs w:val="21"/>
              </w:rPr>
            </w:pPr>
            <w:r>
              <w:rPr>
                <w:rFonts w:hAnsi="宋体" w:hint="eastAsia"/>
                <w:b/>
                <w:bCs/>
                <w:szCs w:val="21"/>
              </w:rPr>
              <w:t>课程总学时：</w:t>
            </w:r>
            <w:r w:rsidRPr="005E1242">
              <w:rPr>
                <w:rFonts w:hAnsi="宋体" w:hint="eastAsia"/>
                <w:bCs/>
                <w:szCs w:val="21"/>
              </w:rPr>
              <w:t>16</w:t>
            </w:r>
          </w:p>
        </w:tc>
        <w:tc>
          <w:tcPr>
            <w:tcW w:w="2268" w:type="dxa"/>
          </w:tcPr>
          <w:p w14:paraId="13C0C66A" w14:textId="5F47B669" w:rsidR="00F5289E" w:rsidRDefault="00C91173">
            <w:pPr>
              <w:spacing w:line="360" w:lineRule="auto"/>
              <w:rPr>
                <w:rFonts w:hAnsi="宋体"/>
                <w:b/>
                <w:bCs/>
                <w:szCs w:val="21"/>
              </w:rPr>
            </w:pPr>
            <w:r>
              <w:rPr>
                <w:rFonts w:hAnsi="宋体" w:hint="eastAsia"/>
                <w:b/>
                <w:bCs/>
                <w:szCs w:val="21"/>
              </w:rPr>
              <w:t>实验学时：</w:t>
            </w:r>
            <w:r w:rsidRPr="001B3040">
              <w:rPr>
                <w:rFonts w:hAnsi="宋体" w:hint="eastAsia"/>
                <w:bCs/>
                <w:szCs w:val="21"/>
              </w:rPr>
              <w:t>0</w:t>
            </w:r>
          </w:p>
        </w:tc>
      </w:tr>
      <w:tr w:rsidR="00F5289E" w14:paraId="2554FD88" w14:textId="77777777">
        <w:trPr>
          <w:gridAfter w:val="1"/>
          <w:wAfter w:w="50" w:type="dxa"/>
        </w:trPr>
        <w:tc>
          <w:tcPr>
            <w:tcW w:w="2627" w:type="dxa"/>
          </w:tcPr>
          <w:p w14:paraId="410E2E4A" w14:textId="77777777" w:rsidR="00F5289E" w:rsidRDefault="00C91173">
            <w:pPr>
              <w:spacing w:line="360" w:lineRule="auto"/>
              <w:rPr>
                <w:rFonts w:hAnsi="宋体"/>
                <w:b/>
                <w:bCs/>
                <w:szCs w:val="21"/>
              </w:rPr>
            </w:pPr>
            <w:r>
              <w:rPr>
                <w:rFonts w:hAnsi="宋体" w:hint="eastAsia"/>
                <w:b/>
                <w:bCs/>
                <w:szCs w:val="21"/>
              </w:rPr>
              <w:t>课程性质：</w:t>
            </w:r>
            <w:r w:rsidRPr="001B3040">
              <w:rPr>
                <w:rFonts w:hAnsi="宋体" w:hint="eastAsia"/>
                <w:bCs/>
                <w:szCs w:val="21"/>
              </w:rPr>
              <w:t>选修</w:t>
            </w:r>
          </w:p>
        </w:tc>
        <w:tc>
          <w:tcPr>
            <w:tcW w:w="3577" w:type="dxa"/>
          </w:tcPr>
          <w:p w14:paraId="58129B7B" w14:textId="77777777" w:rsidR="00F5289E" w:rsidRDefault="00C91173">
            <w:pPr>
              <w:spacing w:line="360" w:lineRule="auto"/>
              <w:rPr>
                <w:rFonts w:hAnsi="宋体"/>
                <w:b/>
                <w:bCs/>
                <w:szCs w:val="21"/>
              </w:rPr>
            </w:pPr>
            <w:r>
              <w:rPr>
                <w:rFonts w:hAnsi="宋体" w:hint="eastAsia"/>
                <w:b/>
                <w:bCs/>
                <w:szCs w:val="21"/>
              </w:rPr>
              <w:t>课程属性：</w:t>
            </w:r>
            <w:r w:rsidRPr="001B3040">
              <w:rPr>
                <w:rFonts w:hAnsi="宋体" w:hint="eastAsia"/>
                <w:bCs/>
                <w:szCs w:val="21"/>
              </w:rPr>
              <w:t>专业类</w:t>
            </w:r>
          </w:p>
        </w:tc>
        <w:tc>
          <w:tcPr>
            <w:tcW w:w="2268" w:type="dxa"/>
          </w:tcPr>
          <w:p w14:paraId="5CE3AC47" w14:textId="77777777" w:rsidR="00F5289E" w:rsidRDefault="00C91173">
            <w:pPr>
              <w:spacing w:line="360" w:lineRule="auto"/>
              <w:rPr>
                <w:rFonts w:hAnsi="宋体"/>
                <w:b/>
                <w:bCs/>
                <w:szCs w:val="21"/>
              </w:rPr>
            </w:pPr>
            <w:r>
              <w:rPr>
                <w:rFonts w:hAnsi="宋体" w:hint="eastAsia"/>
                <w:b/>
                <w:bCs/>
                <w:szCs w:val="21"/>
              </w:rPr>
              <w:t>开设学期：</w:t>
            </w:r>
            <w:r w:rsidRPr="001B3040">
              <w:rPr>
                <w:rFonts w:hAnsi="宋体" w:hint="eastAsia"/>
                <w:bCs/>
                <w:szCs w:val="21"/>
              </w:rPr>
              <w:t>第</w:t>
            </w:r>
            <w:r w:rsidRPr="001B3040">
              <w:rPr>
                <w:rFonts w:hAnsi="宋体" w:hint="eastAsia"/>
                <w:bCs/>
                <w:szCs w:val="21"/>
              </w:rPr>
              <w:t>8</w:t>
            </w:r>
            <w:r w:rsidRPr="001B3040">
              <w:rPr>
                <w:rFonts w:hAnsi="宋体" w:hint="eastAsia"/>
                <w:bCs/>
                <w:szCs w:val="21"/>
              </w:rPr>
              <w:t>学期</w:t>
            </w:r>
          </w:p>
        </w:tc>
      </w:tr>
      <w:tr w:rsidR="00F5289E" w14:paraId="59100924" w14:textId="77777777">
        <w:trPr>
          <w:gridAfter w:val="1"/>
          <w:wAfter w:w="50" w:type="dxa"/>
        </w:trPr>
        <w:tc>
          <w:tcPr>
            <w:tcW w:w="2627" w:type="dxa"/>
          </w:tcPr>
          <w:p w14:paraId="488F06CC" w14:textId="77777777" w:rsidR="00F5289E" w:rsidRDefault="00C91173">
            <w:pPr>
              <w:spacing w:line="360" w:lineRule="auto"/>
              <w:rPr>
                <w:rFonts w:hAnsi="宋体"/>
                <w:b/>
                <w:bCs/>
                <w:szCs w:val="21"/>
              </w:rPr>
            </w:pPr>
            <w:r>
              <w:rPr>
                <w:rFonts w:hAnsi="宋体" w:hint="eastAsia"/>
                <w:b/>
                <w:bCs/>
                <w:szCs w:val="21"/>
              </w:rPr>
              <w:t>课程负责人：</w:t>
            </w:r>
            <w:r w:rsidRPr="001B3040">
              <w:rPr>
                <w:rFonts w:hAnsi="宋体" w:hint="eastAsia"/>
                <w:bCs/>
                <w:szCs w:val="21"/>
              </w:rPr>
              <w:t>薛东齐</w:t>
            </w:r>
          </w:p>
        </w:tc>
        <w:tc>
          <w:tcPr>
            <w:tcW w:w="3577" w:type="dxa"/>
          </w:tcPr>
          <w:p w14:paraId="3204A963" w14:textId="77777777" w:rsidR="00F5289E" w:rsidRDefault="00C91173">
            <w:pPr>
              <w:spacing w:line="360" w:lineRule="auto"/>
              <w:rPr>
                <w:rFonts w:hAnsi="宋体"/>
                <w:b/>
                <w:bCs/>
                <w:szCs w:val="21"/>
              </w:rPr>
            </w:pPr>
            <w:r>
              <w:rPr>
                <w:rFonts w:hAnsi="宋体" w:hint="eastAsia"/>
                <w:b/>
                <w:bCs/>
                <w:szCs w:val="21"/>
              </w:rPr>
              <w:t>课程团队：</w:t>
            </w:r>
            <w:r w:rsidRPr="001B3040">
              <w:rPr>
                <w:rFonts w:hAnsi="宋体" w:hint="eastAsia"/>
                <w:bCs/>
                <w:szCs w:val="21"/>
              </w:rPr>
              <w:t>薛东齐，豆峻岭，高艳娜</w:t>
            </w:r>
          </w:p>
        </w:tc>
        <w:tc>
          <w:tcPr>
            <w:tcW w:w="2268" w:type="dxa"/>
          </w:tcPr>
          <w:p w14:paraId="77E2F64E" w14:textId="25CA4776" w:rsidR="00F5289E" w:rsidRDefault="00C91173">
            <w:pPr>
              <w:spacing w:line="360" w:lineRule="auto"/>
              <w:rPr>
                <w:rFonts w:hAnsi="宋体"/>
                <w:b/>
                <w:bCs/>
                <w:szCs w:val="21"/>
              </w:rPr>
            </w:pPr>
            <w:r>
              <w:rPr>
                <w:rFonts w:hAnsi="宋体" w:hint="eastAsia"/>
                <w:b/>
                <w:bCs/>
                <w:szCs w:val="21"/>
              </w:rPr>
              <w:t>授课语言：</w:t>
            </w:r>
            <w:r w:rsidR="00343C46">
              <w:rPr>
                <w:rFonts w:hAnsi="宋体" w:hint="eastAsia"/>
                <w:b/>
                <w:bCs/>
                <w:szCs w:val="21"/>
              </w:rPr>
              <w:t>中文</w:t>
            </w:r>
          </w:p>
        </w:tc>
      </w:tr>
      <w:tr w:rsidR="00F5289E" w14:paraId="2556F0F8" w14:textId="77777777">
        <w:tc>
          <w:tcPr>
            <w:tcW w:w="5000" w:type="pct"/>
            <w:gridSpan w:val="4"/>
          </w:tcPr>
          <w:p w14:paraId="573B9F31" w14:textId="77777777" w:rsidR="00F5289E" w:rsidRDefault="00C91173">
            <w:pPr>
              <w:spacing w:line="300" w:lineRule="auto"/>
              <w:ind w:rightChars="-81" w:right="-170"/>
              <w:rPr>
                <w:rFonts w:ascii="宋体" w:hAnsi="宋体"/>
                <w:bCs/>
                <w:kern w:val="0"/>
                <w:sz w:val="20"/>
                <w:szCs w:val="21"/>
              </w:rPr>
            </w:pPr>
            <w:r>
              <w:rPr>
                <w:rFonts w:ascii="Calibri" w:hAnsi="宋体" w:hint="eastAsia"/>
                <w:b/>
                <w:bCs/>
                <w:szCs w:val="21"/>
              </w:rPr>
              <w:t>适用专业：</w:t>
            </w:r>
            <w:r w:rsidRPr="001B3040">
              <w:rPr>
                <w:rFonts w:ascii="Calibri" w:hAnsi="宋体" w:hint="eastAsia"/>
                <w:bCs/>
                <w:szCs w:val="21"/>
              </w:rPr>
              <w:t>园艺、设施农业科学与工程、茶学</w:t>
            </w:r>
          </w:p>
        </w:tc>
      </w:tr>
      <w:tr w:rsidR="00F5289E" w14:paraId="789970FE" w14:textId="77777777">
        <w:tc>
          <w:tcPr>
            <w:tcW w:w="5000" w:type="pct"/>
            <w:gridSpan w:val="4"/>
          </w:tcPr>
          <w:p w14:paraId="13672F97" w14:textId="77777777" w:rsidR="00F5289E" w:rsidRDefault="00C91173">
            <w:pPr>
              <w:spacing w:line="300" w:lineRule="auto"/>
              <w:rPr>
                <w:rFonts w:ascii="Calibri" w:hAnsi="宋体"/>
                <w:b/>
                <w:bCs/>
                <w:szCs w:val="21"/>
              </w:rPr>
            </w:pPr>
            <w:r>
              <w:rPr>
                <w:rFonts w:ascii="Calibri" w:hAnsi="宋体" w:hint="eastAsia"/>
                <w:b/>
                <w:bCs/>
                <w:szCs w:val="21"/>
              </w:rPr>
              <w:t>对先修的要求：</w:t>
            </w:r>
            <w:r w:rsidRPr="001B3040">
              <w:rPr>
                <w:rFonts w:ascii="Calibri" w:hAnsi="宋体" w:hint="eastAsia"/>
                <w:bCs/>
                <w:szCs w:val="21"/>
              </w:rPr>
              <w:t>要求学生掌握英语和计算机操作的基础知识，拥有简单查阅资料和总结应用的能力。</w:t>
            </w:r>
          </w:p>
        </w:tc>
      </w:tr>
      <w:tr w:rsidR="00F5289E" w14:paraId="1A76CB96" w14:textId="77777777">
        <w:tc>
          <w:tcPr>
            <w:tcW w:w="5000" w:type="pct"/>
            <w:gridSpan w:val="4"/>
          </w:tcPr>
          <w:p w14:paraId="3190C8DE" w14:textId="77777777" w:rsidR="00F5289E" w:rsidRDefault="00C91173">
            <w:pPr>
              <w:rPr>
                <w:rFonts w:ascii="Calibri" w:hAnsi="宋体"/>
                <w:b/>
                <w:bCs/>
                <w:szCs w:val="21"/>
              </w:rPr>
            </w:pPr>
            <w:r>
              <w:rPr>
                <w:rFonts w:ascii="Calibri" w:hAnsi="宋体" w:hint="eastAsia"/>
                <w:b/>
                <w:bCs/>
                <w:szCs w:val="21"/>
              </w:rPr>
              <w:t>对后续的支撑：</w:t>
            </w:r>
            <w:r w:rsidRPr="001B3040">
              <w:rPr>
                <w:rFonts w:ascii="Calibri" w:hAnsi="宋体" w:hint="eastAsia"/>
                <w:bCs/>
                <w:szCs w:val="21"/>
              </w:rPr>
              <w:t>要求学生掌握文献信息收集、整理、加工与利用的能力，使学生能够掌握文献信息检索的基础知识，信息处理技能。</w:t>
            </w:r>
          </w:p>
        </w:tc>
      </w:tr>
      <w:tr w:rsidR="00F5289E" w14:paraId="0E01DAD8" w14:textId="77777777">
        <w:tc>
          <w:tcPr>
            <w:tcW w:w="1666" w:type="pct"/>
          </w:tcPr>
          <w:p w14:paraId="5A6CF249" w14:textId="77777777" w:rsidR="00F5289E" w:rsidRDefault="00C91173">
            <w:pPr>
              <w:spacing w:line="300" w:lineRule="auto"/>
              <w:rPr>
                <w:rFonts w:ascii="Calibri" w:hAnsi="宋体"/>
                <w:b/>
                <w:bCs/>
                <w:szCs w:val="21"/>
              </w:rPr>
            </w:pPr>
            <w:r>
              <w:rPr>
                <w:rFonts w:ascii="Calibri" w:hAnsi="宋体" w:hint="eastAsia"/>
                <w:b/>
                <w:bCs/>
                <w:szCs w:val="21"/>
              </w:rPr>
              <w:t>主撰人：豆</w:t>
            </w:r>
            <w:r w:rsidRPr="001B3040">
              <w:rPr>
                <w:rFonts w:ascii="Calibri" w:hAnsi="宋体" w:hint="eastAsia"/>
                <w:bCs/>
                <w:szCs w:val="21"/>
              </w:rPr>
              <w:t>峻岭、高艳娜</w:t>
            </w:r>
          </w:p>
        </w:tc>
        <w:tc>
          <w:tcPr>
            <w:tcW w:w="1453" w:type="pct"/>
          </w:tcPr>
          <w:p w14:paraId="2097CE96" w14:textId="77777777" w:rsidR="00F5289E" w:rsidRDefault="00C91173">
            <w:pPr>
              <w:spacing w:line="300" w:lineRule="auto"/>
              <w:ind w:firstLine="279"/>
              <w:rPr>
                <w:rFonts w:ascii="Calibri" w:hAnsi="宋体"/>
                <w:b/>
                <w:bCs/>
                <w:szCs w:val="21"/>
              </w:rPr>
            </w:pPr>
            <w:r>
              <w:rPr>
                <w:rFonts w:ascii="Calibri" w:hAnsi="宋体" w:hint="eastAsia"/>
                <w:b/>
                <w:bCs/>
                <w:szCs w:val="21"/>
              </w:rPr>
              <w:t>审核人：</w:t>
            </w:r>
            <w:r w:rsidRPr="001B3040">
              <w:rPr>
                <w:rFonts w:ascii="Calibri" w:hAnsi="宋体" w:hint="eastAsia"/>
                <w:bCs/>
                <w:szCs w:val="21"/>
              </w:rPr>
              <w:t>薛东齐</w:t>
            </w:r>
          </w:p>
        </w:tc>
        <w:tc>
          <w:tcPr>
            <w:tcW w:w="1881" w:type="pct"/>
            <w:gridSpan w:val="2"/>
          </w:tcPr>
          <w:p w14:paraId="7ADD11D4" w14:textId="77777777" w:rsidR="00F5289E" w:rsidRDefault="00C91173">
            <w:pPr>
              <w:spacing w:line="300" w:lineRule="auto"/>
              <w:rPr>
                <w:rFonts w:ascii="Calibri" w:hAnsi="宋体"/>
                <w:b/>
                <w:bCs/>
                <w:szCs w:val="21"/>
              </w:rPr>
            </w:pPr>
            <w:r>
              <w:rPr>
                <w:rFonts w:ascii="Calibri" w:hAnsi="宋体" w:hint="eastAsia"/>
                <w:b/>
                <w:bCs/>
                <w:szCs w:val="21"/>
              </w:rPr>
              <w:t>大纲制定（修订）日期：</w:t>
            </w:r>
            <w:r w:rsidR="001B3040" w:rsidRPr="001B3040">
              <w:rPr>
                <w:szCs w:val="21"/>
              </w:rPr>
              <w:t>2023.0</w:t>
            </w:r>
            <w:r w:rsidR="001B3040" w:rsidRPr="001B3040">
              <w:rPr>
                <w:b/>
                <w:bCs/>
                <w:szCs w:val="21"/>
              </w:rPr>
              <w:t>5</w:t>
            </w:r>
          </w:p>
        </w:tc>
      </w:tr>
    </w:tbl>
    <w:p w14:paraId="78354870" w14:textId="77777777" w:rsidR="00F5289E" w:rsidRDefault="00C91173">
      <w:pPr>
        <w:spacing w:beforeLines="50" w:before="156" w:line="360" w:lineRule="auto"/>
        <w:rPr>
          <w:szCs w:val="21"/>
        </w:rPr>
      </w:pPr>
      <w:r>
        <w:rPr>
          <w:rFonts w:hAnsi="宋体"/>
          <w:b/>
          <w:bCs/>
          <w:kern w:val="0"/>
          <w:szCs w:val="21"/>
        </w:rPr>
        <w:t>一、课程的</w:t>
      </w:r>
      <w:r>
        <w:rPr>
          <w:rFonts w:hAnsi="宋体" w:hint="eastAsia"/>
          <w:b/>
          <w:bCs/>
          <w:kern w:val="0"/>
          <w:szCs w:val="21"/>
        </w:rPr>
        <w:t>教学理念、性质、目标和</w:t>
      </w:r>
      <w:r>
        <w:rPr>
          <w:rFonts w:hAnsi="宋体"/>
          <w:b/>
          <w:bCs/>
          <w:kern w:val="0"/>
          <w:szCs w:val="21"/>
        </w:rPr>
        <w:t>任务</w:t>
      </w:r>
    </w:p>
    <w:p w14:paraId="2F28E4D4" w14:textId="77777777" w:rsidR="00F5289E" w:rsidRDefault="00C91173">
      <w:pPr>
        <w:widowControl/>
        <w:shd w:val="clear" w:color="auto" w:fill="FFFFFF"/>
        <w:spacing w:line="360" w:lineRule="auto"/>
        <w:ind w:firstLine="480"/>
        <w:jc w:val="left"/>
        <w:rPr>
          <w:rFonts w:hAnsi="宋体"/>
          <w:szCs w:val="21"/>
        </w:rPr>
      </w:pPr>
      <w:r>
        <w:rPr>
          <w:rFonts w:hAnsi="宋体" w:hint="eastAsia"/>
          <w:szCs w:val="21"/>
        </w:rPr>
        <w:t>文献检索与科技论文写作课程是</w:t>
      </w:r>
      <w:r>
        <w:rPr>
          <w:rFonts w:hAnsi="宋体"/>
          <w:szCs w:val="21"/>
        </w:rPr>
        <w:t>园艺学本科及其相关专业的专业选修课程之一</w:t>
      </w:r>
      <w:r>
        <w:rPr>
          <w:rFonts w:hAnsi="宋体" w:hint="eastAsia"/>
          <w:szCs w:val="21"/>
        </w:rPr>
        <w:t>，授课对象主要是开展毕业论文（或毕业设计）的大四年级学生。该课程是一门融理论、方法、实践于一体，能激发大学生创新意识和培养创新能力的科学方法课。其目的就是使大学生、研究生获得一定的文献信息收集、整理、加工与利用能力，以利其课程论文或毕业论文的顺利完成；同时，促进大学生的信息意识、信息价值、信息道德与信息安全等信息素质观念的形成与发展，提高学生学习、研究和创新能力，以便更好地适应当今知识经济时代，满足信息社会的需要。本门课程以全新的视角，将一些检索工具与传统的和现代的手段有机地融为一体，具体内容涉及各种文献特点与分布，传统文献检索工具的编排组织规则和使用方法，电子文献检索技术，国内外著名的题录、文摘或索引数据库、引文数据库、全文数据库的特点及使用方法，文献的合理使用，学术论文的写作规范、撰写方法以及投稿技巧等。</w:t>
      </w:r>
    </w:p>
    <w:p w14:paraId="4EDF6179" w14:textId="77777777" w:rsidR="00F5289E" w:rsidRDefault="00C91173">
      <w:pPr>
        <w:widowControl/>
        <w:snapToGrid w:val="0"/>
        <w:spacing w:beforeLines="50" w:before="156" w:line="360" w:lineRule="auto"/>
        <w:jc w:val="left"/>
        <w:rPr>
          <w:kern w:val="0"/>
          <w:szCs w:val="21"/>
        </w:rPr>
      </w:pPr>
      <w:r>
        <w:rPr>
          <w:rFonts w:hAnsi="宋体"/>
          <w:b/>
          <w:bCs/>
          <w:kern w:val="0"/>
          <w:szCs w:val="21"/>
        </w:rPr>
        <w:t>二、课程教学的基本要求</w:t>
      </w:r>
    </w:p>
    <w:p w14:paraId="6AAB2B3B" w14:textId="77777777" w:rsidR="00F5289E" w:rsidRDefault="00C91173">
      <w:pPr>
        <w:widowControl/>
        <w:snapToGrid w:val="0"/>
        <w:spacing w:line="360" w:lineRule="auto"/>
        <w:ind w:firstLine="420"/>
        <w:jc w:val="left"/>
        <w:rPr>
          <w:rFonts w:hAnsi="宋体"/>
          <w:kern w:val="0"/>
          <w:szCs w:val="21"/>
        </w:rPr>
      </w:pPr>
      <w:r>
        <w:rPr>
          <w:rFonts w:hAnsi="宋体"/>
          <w:kern w:val="0"/>
          <w:szCs w:val="21"/>
        </w:rPr>
        <w:t>掌握检索语言、文献记录、检索字段等基本知识；熟悉科技论文的体裁、类型及各自写作特点要求，学会分析科技论文的信息，并能正确应用于科研实践</w:t>
      </w:r>
      <w:r>
        <w:rPr>
          <w:rFonts w:hAnsi="宋体" w:hint="eastAsia"/>
          <w:kern w:val="0"/>
          <w:szCs w:val="21"/>
        </w:rPr>
        <w:t>，具体到以下</w:t>
      </w:r>
      <w:r>
        <w:rPr>
          <w:rFonts w:hAnsi="宋体" w:hint="eastAsia"/>
          <w:kern w:val="0"/>
          <w:szCs w:val="21"/>
        </w:rPr>
        <w:t>4</w:t>
      </w:r>
      <w:r>
        <w:rPr>
          <w:rFonts w:hAnsi="宋体" w:hint="eastAsia"/>
          <w:kern w:val="0"/>
          <w:szCs w:val="21"/>
        </w:rPr>
        <w:t>点：</w:t>
      </w:r>
    </w:p>
    <w:p w14:paraId="43A67330" w14:textId="77777777" w:rsidR="00F5289E" w:rsidRDefault="00C91173">
      <w:pPr>
        <w:widowControl/>
        <w:snapToGrid w:val="0"/>
        <w:spacing w:line="360" w:lineRule="auto"/>
        <w:ind w:firstLine="420"/>
        <w:jc w:val="left"/>
        <w:rPr>
          <w:rFonts w:hAnsi="宋体"/>
          <w:kern w:val="0"/>
          <w:szCs w:val="21"/>
        </w:rPr>
      </w:pPr>
      <w:r>
        <w:rPr>
          <w:rFonts w:hAnsi="宋体" w:hint="eastAsia"/>
          <w:kern w:val="0"/>
          <w:szCs w:val="21"/>
        </w:rPr>
        <w:t>1</w:t>
      </w:r>
      <w:r>
        <w:rPr>
          <w:rFonts w:hAnsi="宋体" w:hint="eastAsia"/>
          <w:kern w:val="0"/>
          <w:szCs w:val="21"/>
        </w:rPr>
        <w:t>、从培养学生信息意识、自学意识、自学能力和知识创新能力出发，通过本课的教学和实习，使学生养成自主学习的习惯和独立获取信息的能力。</w:t>
      </w:r>
    </w:p>
    <w:p w14:paraId="639DE2D5" w14:textId="77777777" w:rsidR="00F5289E" w:rsidRDefault="00C91173">
      <w:pPr>
        <w:widowControl/>
        <w:snapToGrid w:val="0"/>
        <w:spacing w:line="360" w:lineRule="auto"/>
        <w:ind w:firstLine="420"/>
        <w:jc w:val="left"/>
        <w:rPr>
          <w:rFonts w:hAnsi="宋体"/>
          <w:kern w:val="0"/>
          <w:szCs w:val="21"/>
        </w:rPr>
      </w:pPr>
      <w:r>
        <w:rPr>
          <w:rFonts w:hAnsi="宋体" w:hint="eastAsia"/>
          <w:kern w:val="0"/>
          <w:szCs w:val="21"/>
        </w:rPr>
        <w:lastRenderedPageBreak/>
        <w:t>2</w:t>
      </w:r>
      <w:r>
        <w:rPr>
          <w:rFonts w:hAnsi="宋体" w:hint="eastAsia"/>
          <w:kern w:val="0"/>
          <w:szCs w:val="21"/>
        </w:rPr>
        <w:t>、通过本课程的学习，使学生了解信息社会中文献信息检索的重要性及其发展趋势，了解信息与信息检索的基本知识。</w:t>
      </w:r>
    </w:p>
    <w:p w14:paraId="3B1402E2" w14:textId="77777777" w:rsidR="00F5289E" w:rsidRDefault="00C91173">
      <w:pPr>
        <w:widowControl/>
        <w:snapToGrid w:val="0"/>
        <w:spacing w:line="360" w:lineRule="auto"/>
        <w:ind w:firstLine="420"/>
        <w:jc w:val="left"/>
        <w:rPr>
          <w:rFonts w:hAnsi="宋体"/>
          <w:kern w:val="0"/>
          <w:szCs w:val="21"/>
        </w:rPr>
      </w:pPr>
      <w:r>
        <w:rPr>
          <w:rFonts w:hAnsi="宋体" w:hint="eastAsia"/>
          <w:kern w:val="0"/>
          <w:szCs w:val="21"/>
        </w:rPr>
        <w:t>3</w:t>
      </w:r>
      <w:r>
        <w:rPr>
          <w:rFonts w:hAnsi="宋体" w:hint="eastAsia"/>
          <w:kern w:val="0"/>
          <w:szCs w:val="21"/>
        </w:rPr>
        <w:t>、通过直接面对各种检索课题，以及具体实例分析和实际操作训练，了解掌握常用各种检索工具的结构及使用方法，熟悉本校图书馆馆藏资源的检索与利用，逐步培养独立分析问题、选择和鉴别信息、获取与处理信息并解决问题的能力。</w:t>
      </w:r>
    </w:p>
    <w:p w14:paraId="09BF7B76" w14:textId="77777777" w:rsidR="00F5289E" w:rsidRDefault="00C91173">
      <w:pPr>
        <w:widowControl/>
        <w:snapToGrid w:val="0"/>
        <w:spacing w:line="360" w:lineRule="auto"/>
        <w:ind w:firstLine="420"/>
        <w:jc w:val="left"/>
        <w:rPr>
          <w:kern w:val="0"/>
          <w:szCs w:val="21"/>
        </w:rPr>
      </w:pPr>
      <w:r>
        <w:rPr>
          <w:rFonts w:hAnsi="宋体" w:hint="eastAsia"/>
          <w:kern w:val="0"/>
          <w:szCs w:val="21"/>
        </w:rPr>
        <w:t>4</w:t>
      </w:r>
      <w:r>
        <w:rPr>
          <w:rFonts w:hAnsi="宋体" w:hint="eastAsia"/>
          <w:kern w:val="0"/>
          <w:szCs w:val="21"/>
        </w:rPr>
        <w:t>、通过对综合网络资源的介绍，熟练掌握网络信息资源的检索途径及方法，能利用国内相关数据库迅速获取相关文献信息，鼓励学生将网络运用于学习，提高学生对网络信息资源的获取能力和在信息化、网络化环境中进行创造性学习的能力。</w:t>
      </w:r>
    </w:p>
    <w:p w14:paraId="11F00BCD" w14:textId="77777777" w:rsidR="00F5289E" w:rsidRDefault="00C91173">
      <w:pPr>
        <w:widowControl/>
        <w:snapToGrid w:val="0"/>
        <w:spacing w:beforeLines="50" w:before="156" w:line="360" w:lineRule="auto"/>
        <w:jc w:val="left"/>
        <w:rPr>
          <w:rFonts w:hAnsi="宋体"/>
          <w:b/>
          <w:bCs/>
          <w:kern w:val="0"/>
          <w:szCs w:val="21"/>
        </w:rPr>
      </w:pPr>
      <w:r>
        <w:rPr>
          <w:rFonts w:hAnsi="宋体"/>
          <w:b/>
          <w:bCs/>
          <w:kern w:val="0"/>
          <w:szCs w:val="21"/>
        </w:rPr>
        <w:t>三、</w:t>
      </w:r>
      <w:r>
        <w:rPr>
          <w:rFonts w:hAnsi="宋体" w:hint="eastAsia"/>
          <w:b/>
          <w:bCs/>
          <w:kern w:val="0"/>
          <w:szCs w:val="21"/>
        </w:rPr>
        <w:t>课程的教学设计</w:t>
      </w:r>
    </w:p>
    <w:p w14:paraId="41017836" w14:textId="77777777" w:rsidR="00F5289E" w:rsidRDefault="00C91173">
      <w:pPr>
        <w:spacing w:line="360" w:lineRule="auto"/>
        <w:ind w:firstLineChars="200" w:firstLine="420"/>
        <w:rPr>
          <w:bCs/>
          <w:kern w:val="0"/>
          <w:szCs w:val="21"/>
        </w:rPr>
      </w:pPr>
      <w:r>
        <w:rPr>
          <w:bCs/>
          <w:kern w:val="0"/>
          <w:szCs w:val="21"/>
        </w:rPr>
        <w:t>1.</w:t>
      </w:r>
      <w:r>
        <w:rPr>
          <w:bCs/>
          <w:kern w:val="0"/>
          <w:szCs w:val="21"/>
        </w:rPr>
        <w:t>教学设计说明</w:t>
      </w:r>
    </w:p>
    <w:p w14:paraId="706D870E" w14:textId="77777777" w:rsidR="00F5289E" w:rsidRDefault="00C91173">
      <w:pPr>
        <w:widowControl/>
        <w:snapToGrid w:val="0"/>
        <w:spacing w:line="360" w:lineRule="auto"/>
        <w:ind w:firstLine="420"/>
        <w:jc w:val="left"/>
        <w:rPr>
          <w:rFonts w:hAnsi="宋体"/>
          <w:bCs/>
          <w:kern w:val="0"/>
          <w:szCs w:val="21"/>
        </w:rPr>
      </w:pPr>
      <w:r>
        <w:rPr>
          <w:rFonts w:hAnsi="宋体"/>
          <w:kern w:val="0"/>
          <w:szCs w:val="21"/>
        </w:rPr>
        <w:t>本课程通过对文献手工检索和计算机检索方法的线下课堂教学，系统和全面地介绍了各类文献检索工具书及其手检和机检的方法、计算机检索的各种渠道、网上检索和阅览技能以及相关网站。本课程是配合学生的毕业论文和设计工作，以及今后从事科学研究而开设的专业选修课程。课程注重对</w:t>
      </w:r>
      <w:r>
        <w:rPr>
          <w:rFonts w:hAnsi="宋体" w:hint="eastAsia"/>
          <w:kern w:val="0"/>
          <w:szCs w:val="21"/>
        </w:rPr>
        <w:t>学生在</w:t>
      </w:r>
      <w:r>
        <w:rPr>
          <w:rFonts w:hAnsi="宋体"/>
          <w:kern w:val="0"/>
          <w:szCs w:val="21"/>
        </w:rPr>
        <w:t>实践检索</w:t>
      </w:r>
      <w:r>
        <w:rPr>
          <w:rFonts w:hAnsi="宋体" w:hint="eastAsia"/>
          <w:kern w:val="0"/>
          <w:szCs w:val="21"/>
        </w:rPr>
        <w:t>、</w:t>
      </w:r>
      <w:r>
        <w:rPr>
          <w:rFonts w:hint="eastAsia"/>
          <w:bCs/>
          <w:kern w:val="0"/>
          <w:szCs w:val="21"/>
        </w:rPr>
        <w:t>论文规范与写作技巧、学位论文与写作要领、课题类型与科研选题、投稿与论文发表、外文科技论文的翻译、科技报告、知识产权等知识。</w:t>
      </w:r>
      <w:r>
        <w:rPr>
          <w:rFonts w:hAnsi="宋体"/>
          <w:kern w:val="0"/>
          <w:szCs w:val="21"/>
        </w:rPr>
        <w:t>为了使学生系统掌握</w:t>
      </w:r>
      <w:r>
        <w:rPr>
          <w:szCs w:val="21"/>
        </w:rPr>
        <w:t>文献检索与科技论文写作</w:t>
      </w:r>
      <w:r>
        <w:rPr>
          <w:rFonts w:hAnsi="宋体"/>
          <w:kern w:val="0"/>
          <w:szCs w:val="21"/>
        </w:rPr>
        <w:t>的理论知识和实践操作技能</w:t>
      </w:r>
      <w:r>
        <w:rPr>
          <w:rFonts w:hAnsi="宋体"/>
          <w:bCs/>
          <w:kern w:val="0"/>
          <w:szCs w:val="21"/>
        </w:rPr>
        <w:t>线下教学方法有教师课堂讲授、小组讨论、翻转课堂、学生上机操作等。</w:t>
      </w:r>
    </w:p>
    <w:p w14:paraId="34E32351" w14:textId="77777777" w:rsidR="00F5289E" w:rsidRDefault="00C91173">
      <w:pPr>
        <w:spacing w:line="360" w:lineRule="auto"/>
        <w:ind w:firstLineChars="200" w:firstLine="420"/>
        <w:rPr>
          <w:bCs/>
          <w:kern w:val="0"/>
          <w:szCs w:val="21"/>
        </w:rPr>
      </w:pPr>
      <w:r>
        <w:rPr>
          <w:bCs/>
          <w:kern w:val="0"/>
          <w:szCs w:val="21"/>
        </w:rPr>
        <w:t>2.</w:t>
      </w:r>
      <w:r>
        <w:rPr>
          <w:bCs/>
          <w:kern w:val="0"/>
          <w:szCs w:val="21"/>
        </w:rPr>
        <w:t>课程目标及对毕业要求的支撑</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5534"/>
        <w:gridCol w:w="2364"/>
      </w:tblGrid>
      <w:tr w:rsidR="00F5289E" w14:paraId="000C65CD"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7E6E6"/>
            <w:vAlign w:val="center"/>
          </w:tcPr>
          <w:p w14:paraId="08CE9E64" w14:textId="77777777" w:rsidR="00F5289E" w:rsidRDefault="00C91173">
            <w:pPr>
              <w:spacing w:line="320" w:lineRule="exact"/>
              <w:jc w:val="center"/>
              <w:rPr>
                <w:b/>
                <w:bCs/>
                <w:sz w:val="18"/>
                <w:szCs w:val="18"/>
              </w:rPr>
            </w:pPr>
            <w:r>
              <w:rPr>
                <w:b/>
                <w:bCs/>
                <w:sz w:val="18"/>
                <w:szCs w:val="18"/>
              </w:rPr>
              <w:t>序号</w:t>
            </w:r>
          </w:p>
        </w:tc>
        <w:tc>
          <w:tcPr>
            <w:tcW w:w="5534" w:type="dxa"/>
            <w:tcBorders>
              <w:top w:val="single" w:sz="4" w:space="0" w:color="auto"/>
              <w:left w:val="single" w:sz="4" w:space="0" w:color="auto"/>
              <w:bottom w:val="single" w:sz="4" w:space="0" w:color="auto"/>
              <w:right w:val="single" w:sz="4" w:space="0" w:color="auto"/>
            </w:tcBorders>
            <w:shd w:val="clear" w:color="auto" w:fill="E7E6E6"/>
            <w:vAlign w:val="center"/>
          </w:tcPr>
          <w:p w14:paraId="799F0C23" w14:textId="77777777" w:rsidR="00F5289E" w:rsidRDefault="00C91173">
            <w:pPr>
              <w:spacing w:line="320" w:lineRule="exact"/>
              <w:jc w:val="center"/>
              <w:rPr>
                <w:b/>
                <w:bCs/>
                <w:sz w:val="18"/>
                <w:szCs w:val="18"/>
              </w:rPr>
            </w:pPr>
            <w:r>
              <w:rPr>
                <w:b/>
                <w:bCs/>
                <w:sz w:val="18"/>
                <w:szCs w:val="18"/>
              </w:rPr>
              <w:t>课程目标</w:t>
            </w:r>
          </w:p>
        </w:tc>
        <w:tc>
          <w:tcPr>
            <w:tcW w:w="2364" w:type="dxa"/>
            <w:tcBorders>
              <w:top w:val="single" w:sz="4" w:space="0" w:color="auto"/>
              <w:left w:val="single" w:sz="4" w:space="0" w:color="auto"/>
              <w:bottom w:val="single" w:sz="4" w:space="0" w:color="auto"/>
              <w:right w:val="single" w:sz="4" w:space="0" w:color="auto"/>
            </w:tcBorders>
            <w:shd w:val="clear" w:color="auto" w:fill="E7E6E6"/>
            <w:vAlign w:val="center"/>
          </w:tcPr>
          <w:p w14:paraId="65A18230" w14:textId="77777777" w:rsidR="00F5289E" w:rsidRDefault="00C91173">
            <w:pPr>
              <w:spacing w:line="320" w:lineRule="exact"/>
              <w:jc w:val="center"/>
              <w:rPr>
                <w:b/>
                <w:bCs/>
                <w:sz w:val="18"/>
                <w:szCs w:val="18"/>
              </w:rPr>
            </w:pPr>
            <w:r>
              <w:rPr>
                <w:b/>
                <w:bCs/>
                <w:sz w:val="18"/>
                <w:szCs w:val="18"/>
              </w:rPr>
              <w:t>毕业要求</w:t>
            </w:r>
          </w:p>
        </w:tc>
      </w:tr>
      <w:tr w:rsidR="00F5289E" w14:paraId="4D539537" w14:textId="77777777">
        <w:trPr>
          <w:trHeight w:val="703"/>
          <w:jc w:val="center"/>
        </w:trPr>
        <w:tc>
          <w:tcPr>
            <w:tcW w:w="999" w:type="dxa"/>
            <w:tcBorders>
              <w:top w:val="single" w:sz="4" w:space="0" w:color="auto"/>
              <w:left w:val="single" w:sz="4" w:space="0" w:color="auto"/>
              <w:bottom w:val="single" w:sz="4" w:space="0" w:color="auto"/>
              <w:right w:val="single" w:sz="4" w:space="0" w:color="auto"/>
            </w:tcBorders>
            <w:vAlign w:val="center"/>
          </w:tcPr>
          <w:p w14:paraId="76AA0E56" w14:textId="77777777" w:rsidR="00F5289E" w:rsidRDefault="00C91173">
            <w:pPr>
              <w:spacing w:line="320" w:lineRule="exact"/>
              <w:jc w:val="center"/>
              <w:rPr>
                <w:sz w:val="18"/>
                <w:szCs w:val="18"/>
              </w:rPr>
            </w:pPr>
            <w:r>
              <w:rPr>
                <w:sz w:val="18"/>
                <w:szCs w:val="18"/>
              </w:rPr>
              <w:t>1</w:t>
            </w:r>
          </w:p>
        </w:tc>
        <w:tc>
          <w:tcPr>
            <w:tcW w:w="5534" w:type="dxa"/>
            <w:tcBorders>
              <w:top w:val="single" w:sz="4" w:space="0" w:color="auto"/>
              <w:left w:val="single" w:sz="4" w:space="0" w:color="auto"/>
              <w:bottom w:val="single" w:sz="4" w:space="0" w:color="auto"/>
              <w:right w:val="single" w:sz="4" w:space="0" w:color="auto"/>
            </w:tcBorders>
            <w:vAlign w:val="center"/>
          </w:tcPr>
          <w:p w14:paraId="74F4E12B" w14:textId="77777777" w:rsidR="00F5289E" w:rsidRDefault="00C91173">
            <w:pPr>
              <w:spacing w:line="320" w:lineRule="exact"/>
              <w:jc w:val="left"/>
              <w:rPr>
                <w:sz w:val="18"/>
                <w:szCs w:val="18"/>
              </w:rPr>
            </w:pPr>
            <w:r>
              <w:rPr>
                <w:rFonts w:hint="eastAsia"/>
                <w:sz w:val="18"/>
                <w:szCs w:val="18"/>
              </w:rPr>
              <w:t>目标</w:t>
            </w:r>
            <w:r>
              <w:rPr>
                <w:rFonts w:hint="eastAsia"/>
                <w:sz w:val="18"/>
                <w:szCs w:val="18"/>
              </w:rPr>
              <w:t>1</w:t>
            </w:r>
            <w:r>
              <w:rPr>
                <w:rFonts w:hint="eastAsia"/>
                <w:sz w:val="18"/>
                <w:szCs w:val="18"/>
              </w:rPr>
              <w:t>：使学生初步具备中英文文献检索的技能。</w:t>
            </w:r>
          </w:p>
        </w:tc>
        <w:tc>
          <w:tcPr>
            <w:tcW w:w="2364" w:type="dxa"/>
            <w:tcBorders>
              <w:top w:val="single" w:sz="4" w:space="0" w:color="auto"/>
              <w:left w:val="single" w:sz="4" w:space="0" w:color="auto"/>
              <w:bottom w:val="single" w:sz="4" w:space="0" w:color="auto"/>
              <w:right w:val="single" w:sz="4" w:space="0" w:color="auto"/>
            </w:tcBorders>
            <w:vAlign w:val="center"/>
          </w:tcPr>
          <w:p w14:paraId="716F13B2" w14:textId="24F3505C" w:rsidR="00F5289E" w:rsidRDefault="00343C46">
            <w:pPr>
              <w:spacing w:line="320" w:lineRule="exact"/>
              <w:jc w:val="center"/>
              <w:rPr>
                <w:sz w:val="18"/>
                <w:szCs w:val="18"/>
              </w:rPr>
            </w:pPr>
            <w:r>
              <w:rPr>
                <w:rFonts w:hint="eastAsia"/>
                <w:sz w:val="18"/>
                <w:szCs w:val="18"/>
              </w:rPr>
              <w:t>3</w:t>
            </w:r>
          </w:p>
        </w:tc>
      </w:tr>
      <w:tr w:rsidR="00F5289E" w14:paraId="1769CDCA" w14:textId="77777777">
        <w:trPr>
          <w:trHeight w:val="716"/>
          <w:jc w:val="center"/>
        </w:trPr>
        <w:tc>
          <w:tcPr>
            <w:tcW w:w="999" w:type="dxa"/>
            <w:tcBorders>
              <w:top w:val="single" w:sz="4" w:space="0" w:color="auto"/>
              <w:left w:val="single" w:sz="4" w:space="0" w:color="auto"/>
              <w:bottom w:val="single" w:sz="4" w:space="0" w:color="auto"/>
              <w:right w:val="single" w:sz="4" w:space="0" w:color="auto"/>
            </w:tcBorders>
            <w:vAlign w:val="center"/>
          </w:tcPr>
          <w:p w14:paraId="1A903B12" w14:textId="77777777" w:rsidR="00F5289E" w:rsidRDefault="00C91173">
            <w:pPr>
              <w:spacing w:line="320" w:lineRule="exact"/>
              <w:jc w:val="center"/>
              <w:rPr>
                <w:sz w:val="18"/>
                <w:szCs w:val="18"/>
              </w:rPr>
            </w:pPr>
            <w:r>
              <w:rPr>
                <w:sz w:val="18"/>
                <w:szCs w:val="18"/>
              </w:rPr>
              <w:t>2</w:t>
            </w:r>
          </w:p>
        </w:tc>
        <w:tc>
          <w:tcPr>
            <w:tcW w:w="5534" w:type="dxa"/>
            <w:tcBorders>
              <w:top w:val="single" w:sz="4" w:space="0" w:color="auto"/>
              <w:left w:val="single" w:sz="4" w:space="0" w:color="auto"/>
              <w:bottom w:val="single" w:sz="4" w:space="0" w:color="auto"/>
              <w:right w:val="single" w:sz="4" w:space="0" w:color="auto"/>
            </w:tcBorders>
            <w:vAlign w:val="center"/>
          </w:tcPr>
          <w:p w14:paraId="2A36DE15" w14:textId="77777777" w:rsidR="00F5289E" w:rsidRDefault="00C91173">
            <w:pPr>
              <w:spacing w:line="320" w:lineRule="exact"/>
              <w:jc w:val="left"/>
              <w:rPr>
                <w:sz w:val="18"/>
                <w:szCs w:val="18"/>
                <w:highlight w:val="yellow"/>
              </w:rPr>
            </w:pPr>
            <w:r>
              <w:rPr>
                <w:rFonts w:hint="eastAsia"/>
                <w:sz w:val="18"/>
                <w:szCs w:val="18"/>
              </w:rPr>
              <w:t>目标</w:t>
            </w:r>
            <w:r>
              <w:rPr>
                <w:rFonts w:hint="eastAsia"/>
                <w:sz w:val="18"/>
                <w:szCs w:val="18"/>
              </w:rPr>
              <w:t>2</w:t>
            </w:r>
            <w:r>
              <w:rPr>
                <w:rFonts w:hint="eastAsia"/>
                <w:sz w:val="18"/>
                <w:szCs w:val="18"/>
              </w:rPr>
              <w:t>：使学生掌握科技论文写作的规范与技巧，为后续毕业论文写作以提供指导。</w:t>
            </w:r>
          </w:p>
        </w:tc>
        <w:tc>
          <w:tcPr>
            <w:tcW w:w="2364" w:type="dxa"/>
            <w:tcBorders>
              <w:top w:val="single" w:sz="4" w:space="0" w:color="auto"/>
              <w:left w:val="single" w:sz="4" w:space="0" w:color="auto"/>
              <w:bottom w:val="single" w:sz="4" w:space="0" w:color="auto"/>
              <w:right w:val="single" w:sz="4" w:space="0" w:color="auto"/>
            </w:tcBorders>
            <w:vAlign w:val="center"/>
          </w:tcPr>
          <w:p w14:paraId="15F29C7B" w14:textId="255E9ECF" w:rsidR="00F5289E" w:rsidRDefault="00343C46">
            <w:pPr>
              <w:spacing w:line="320" w:lineRule="exact"/>
              <w:jc w:val="center"/>
              <w:rPr>
                <w:sz w:val="18"/>
                <w:szCs w:val="18"/>
              </w:rPr>
            </w:pPr>
            <w:r>
              <w:rPr>
                <w:rFonts w:hint="eastAsia"/>
                <w:sz w:val="18"/>
                <w:szCs w:val="18"/>
              </w:rPr>
              <w:t>6</w:t>
            </w:r>
          </w:p>
        </w:tc>
      </w:tr>
      <w:tr w:rsidR="00F5289E" w14:paraId="6023E853" w14:textId="77777777">
        <w:trPr>
          <w:trHeight w:val="538"/>
          <w:jc w:val="center"/>
        </w:trPr>
        <w:tc>
          <w:tcPr>
            <w:tcW w:w="999" w:type="dxa"/>
            <w:tcBorders>
              <w:top w:val="single" w:sz="4" w:space="0" w:color="auto"/>
              <w:left w:val="single" w:sz="4" w:space="0" w:color="auto"/>
              <w:bottom w:val="single" w:sz="4" w:space="0" w:color="auto"/>
              <w:right w:val="single" w:sz="4" w:space="0" w:color="auto"/>
            </w:tcBorders>
            <w:vAlign w:val="center"/>
          </w:tcPr>
          <w:p w14:paraId="51086D36" w14:textId="77777777" w:rsidR="00F5289E" w:rsidRDefault="00C91173">
            <w:pPr>
              <w:spacing w:line="320" w:lineRule="exact"/>
              <w:jc w:val="center"/>
              <w:rPr>
                <w:sz w:val="18"/>
                <w:szCs w:val="18"/>
              </w:rPr>
            </w:pPr>
            <w:r>
              <w:rPr>
                <w:sz w:val="18"/>
                <w:szCs w:val="18"/>
              </w:rPr>
              <w:t>3</w:t>
            </w:r>
          </w:p>
        </w:tc>
        <w:tc>
          <w:tcPr>
            <w:tcW w:w="5534" w:type="dxa"/>
            <w:tcBorders>
              <w:top w:val="single" w:sz="4" w:space="0" w:color="auto"/>
              <w:left w:val="single" w:sz="4" w:space="0" w:color="auto"/>
              <w:bottom w:val="single" w:sz="4" w:space="0" w:color="auto"/>
              <w:right w:val="single" w:sz="4" w:space="0" w:color="auto"/>
            </w:tcBorders>
            <w:vAlign w:val="center"/>
          </w:tcPr>
          <w:p w14:paraId="4B529E9D" w14:textId="77777777" w:rsidR="00F5289E" w:rsidRDefault="00C91173">
            <w:pPr>
              <w:spacing w:line="320" w:lineRule="exact"/>
              <w:jc w:val="left"/>
              <w:rPr>
                <w:sz w:val="18"/>
                <w:szCs w:val="18"/>
              </w:rPr>
            </w:pPr>
            <w:r>
              <w:rPr>
                <w:rFonts w:hint="eastAsia"/>
                <w:sz w:val="18"/>
                <w:szCs w:val="18"/>
              </w:rPr>
              <w:t>目标</w:t>
            </w:r>
            <w:r>
              <w:rPr>
                <w:rFonts w:hint="eastAsia"/>
                <w:sz w:val="18"/>
                <w:szCs w:val="18"/>
              </w:rPr>
              <w:t>3</w:t>
            </w:r>
            <w:r>
              <w:rPr>
                <w:rFonts w:hint="eastAsia"/>
                <w:sz w:val="18"/>
                <w:szCs w:val="18"/>
              </w:rPr>
              <w:t>：使学生初步了解科技论文的投稿规则、步骤与发表流程。</w:t>
            </w:r>
          </w:p>
        </w:tc>
        <w:tc>
          <w:tcPr>
            <w:tcW w:w="2364" w:type="dxa"/>
            <w:tcBorders>
              <w:top w:val="single" w:sz="4" w:space="0" w:color="auto"/>
              <w:left w:val="single" w:sz="4" w:space="0" w:color="auto"/>
              <w:bottom w:val="single" w:sz="4" w:space="0" w:color="auto"/>
              <w:right w:val="single" w:sz="4" w:space="0" w:color="auto"/>
            </w:tcBorders>
            <w:vAlign w:val="center"/>
          </w:tcPr>
          <w:p w14:paraId="3B9BB963" w14:textId="74BE05B0" w:rsidR="00F5289E" w:rsidRDefault="00343C46">
            <w:pPr>
              <w:spacing w:line="320" w:lineRule="exact"/>
              <w:jc w:val="center"/>
              <w:rPr>
                <w:sz w:val="18"/>
                <w:szCs w:val="18"/>
              </w:rPr>
            </w:pPr>
            <w:r>
              <w:rPr>
                <w:rFonts w:hint="eastAsia"/>
                <w:sz w:val="18"/>
                <w:szCs w:val="18"/>
              </w:rPr>
              <w:t>8</w:t>
            </w:r>
          </w:p>
        </w:tc>
      </w:tr>
    </w:tbl>
    <w:p w14:paraId="5C949E6E" w14:textId="77777777" w:rsidR="00F5289E" w:rsidRDefault="00F5289E">
      <w:pPr>
        <w:widowControl/>
        <w:snapToGrid w:val="0"/>
        <w:spacing w:line="360" w:lineRule="auto"/>
        <w:jc w:val="left"/>
        <w:rPr>
          <w:rFonts w:hAnsi="宋体"/>
          <w:bCs/>
          <w:kern w:val="0"/>
          <w:szCs w:val="21"/>
        </w:rPr>
      </w:pPr>
    </w:p>
    <w:p w14:paraId="4C8EB97A" w14:textId="77777777" w:rsidR="00F5289E" w:rsidRDefault="00C91173">
      <w:pPr>
        <w:widowControl/>
        <w:snapToGrid w:val="0"/>
        <w:spacing w:beforeLines="50" w:before="156" w:line="360" w:lineRule="auto"/>
        <w:jc w:val="left"/>
        <w:rPr>
          <w:b/>
          <w:bCs/>
          <w:kern w:val="0"/>
          <w:szCs w:val="21"/>
        </w:rPr>
      </w:pPr>
      <w:r>
        <w:rPr>
          <w:rFonts w:hAnsi="宋体" w:hint="eastAsia"/>
          <w:b/>
          <w:bCs/>
          <w:kern w:val="0"/>
          <w:szCs w:val="21"/>
        </w:rPr>
        <w:t>四</w:t>
      </w:r>
      <w:r>
        <w:rPr>
          <w:rFonts w:hAnsi="宋体"/>
          <w:b/>
          <w:bCs/>
          <w:kern w:val="0"/>
          <w:szCs w:val="21"/>
        </w:rPr>
        <w:t>、理论教学内容及学时分配（</w:t>
      </w:r>
      <w:r>
        <w:rPr>
          <w:b/>
          <w:bCs/>
          <w:kern w:val="0"/>
          <w:szCs w:val="21"/>
        </w:rPr>
        <w:t>16</w:t>
      </w:r>
      <w:r>
        <w:rPr>
          <w:rFonts w:hAnsi="宋体"/>
          <w:b/>
          <w:bCs/>
          <w:kern w:val="0"/>
          <w:szCs w:val="21"/>
        </w:rPr>
        <w:t>学时）</w:t>
      </w:r>
    </w:p>
    <w:p w14:paraId="1A6E5D28" w14:textId="77777777" w:rsidR="00F5289E" w:rsidRDefault="00C91173">
      <w:pPr>
        <w:widowControl/>
        <w:snapToGrid w:val="0"/>
        <w:spacing w:beforeLines="50" w:before="156" w:line="360" w:lineRule="auto"/>
        <w:jc w:val="right"/>
        <w:rPr>
          <w:kern w:val="0"/>
          <w:szCs w:val="21"/>
        </w:rPr>
      </w:pPr>
      <w:r>
        <w:rPr>
          <w:rFonts w:hAnsi="宋体" w:hint="eastAsia"/>
          <w:b/>
          <w:bCs/>
          <w:kern w:val="0"/>
          <w:szCs w:val="21"/>
        </w:rPr>
        <w:t>第一章</w:t>
      </w:r>
      <w:r>
        <w:rPr>
          <w:rFonts w:hAnsi="宋体" w:hint="eastAsia"/>
          <w:b/>
          <w:bCs/>
          <w:kern w:val="0"/>
          <w:szCs w:val="21"/>
        </w:rPr>
        <w:t xml:space="preserve">  </w:t>
      </w:r>
      <w:r>
        <w:rPr>
          <w:rFonts w:hAnsi="宋体" w:hint="eastAsia"/>
          <w:b/>
          <w:bCs/>
          <w:kern w:val="0"/>
          <w:szCs w:val="21"/>
        </w:rPr>
        <w:t>文献检索信息概论</w:t>
      </w:r>
      <w:r>
        <w:rPr>
          <w:b/>
          <w:bCs/>
          <w:kern w:val="0"/>
          <w:szCs w:val="21"/>
        </w:rPr>
        <w:t xml:space="preserve">                 </w:t>
      </w:r>
      <w:r>
        <w:rPr>
          <w:rFonts w:hAnsi="宋体"/>
          <w:b/>
          <w:bCs/>
          <w:kern w:val="0"/>
          <w:szCs w:val="21"/>
        </w:rPr>
        <w:t>学时数：</w:t>
      </w:r>
      <w:r>
        <w:rPr>
          <w:b/>
          <w:bCs/>
          <w:kern w:val="0"/>
          <w:szCs w:val="21"/>
        </w:rPr>
        <w:t>1</w:t>
      </w:r>
    </w:p>
    <w:p w14:paraId="16F88739" w14:textId="77777777" w:rsidR="00F5289E" w:rsidRDefault="00C91173">
      <w:pPr>
        <w:widowControl/>
        <w:shd w:val="clear" w:color="auto" w:fill="FFFFFF"/>
        <w:spacing w:line="360" w:lineRule="auto"/>
        <w:jc w:val="left"/>
        <w:rPr>
          <w:b/>
          <w:bCs/>
          <w:kern w:val="0"/>
          <w:szCs w:val="21"/>
        </w:rPr>
      </w:pPr>
      <w:r>
        <w:rPr>
          <w:rFonts w:hAnsi="宋体"/>
          <w:b/>
          <w:bCs/>
          <w:szCs w:val="21"/>
        </w:rPr>
        <w:t>教学目</w:t>
      </w:r>
      <w:r>
        <w:rPr>
          <w:rFonts w:hAnsi="宋体" w:hint="eastAsia"/>
          <w:b/>
          <w:bCs/>
          <w:szCs w:val="21"/>
        </w:rPr>
        <w:t>标</w:t>
      </w:r>
      <w:r>
        <w:rPr>
          <w:rFonts w:hAnsi="宋体"/>
          <w:b/>
          <w:bCs/>
          <w:szCs w:val="21"/>
        </w:rPr>
        <w:t>：</w:t>
      </w:r>
      <w:r>
        <w:rPr>
          <w:rFonts w:hAnsi="宋体" w:hint="eastAsia"/>
          <w:szCs w:val="21"/>
        </w:rPr>
        <w:t>了解文献的定义、类型及特点</w:t>
      </w:r>
      <w:r>
        <w:rPr>
          <w:rFonts w:hAnsi="宋体"/>
          <w:kern w:val="0"/>
          <w:szCs w:val="21"/>
        </w:rPr>
        <w:t>及相关基础知识和信息检索概念及信息检原理；</w:t>
      </w:r>
      <w:r>
        <w:rPr>
          <w:rFonts w:hAnsi="宋体" w:hint="eastAsia"/>
          <w:szCs w:val="21"/>
        </w:rPr>
        <w:t>了解文献信息检索基础知识，掌握文献检索的途径、方法与步骤。</w:t>
      </w:r>
    </w:p>
    <w:p w14:paraId="57685851" w14:textId="77777777" w:rsidR="00F5289E" w:rsidRDefault="00C91173">
      <w:pPr>
        <w:widowControl/>
        <w:snapToGrid w:val="0"/>
        <w:spacing w:line="360" w:lineRule="auto"/>
        <w:rPr>
          <w:szCs w:val="21"/>
        </w:rPr>
      </w:pPr>
      <w:r>
        <w:rPr>
          <w:rFonts w:hAnsi="宋体"/>
          <w:b/>
          <w:bCs/>
          <w:szCs w:val="21"/>
        </w:rPr>
        <w:t>教学重点和难点：</w:t>
      </w:r>
      <w:r>
        <w:rPr>
          <w:rFonts w:hAnsi="宋体"/>
          <w:kern w:val="0"/>
          <w:szCs w:val="21"/>
        </w:rPr>
        <w:t>掌握检索语言、文献记录、检索字段等基本知识；</w:t>
      </w:r>
      <w:r>
        <w:rPr>
          <w:rFonts w:hAnsi="宋体"/>
          <w:szCs w:val="21"/>
        </w:rPr>
        <w:t>掌握自然科学方法与社会科学方法、科学方法与技术方法的异同。</w:t>
      </w:r>
    </w:p>
    <w:p w14:paraId="5911079F" w14:textId="77777777" w:rsidR="00F5289E" w:rsidRDefault="00C91173">
      <w:pPr>
        <w:widowControl/>
        <w:shd w:val="clear" w:color="auto" w:fill="FFFFFF"/>
        <w:spacing w:line="360" w:lineRule="auto"/>
        <w:jc w:val="left"/>
        <w:rPr>
          <w:b/>
          <w:bCs/>
          <w:szCs w:val="21"/>
        </w:rPr>
      </w:pPr>
      <w:r>
        <w:rPr>
          <w:rFonts w:hAnsi="宋体"/>
          <w:b/>
          <w:bCs/>
          <w:szCs w:val="21"/>
        </w:rPr>
        <w:t>主要教学内容及要求：</w:t>
      </w:r>
    </w:p>
    <w:p w14:paraId="7D5E43B0" w14:textId="77777777" w:rsidR="00F5289E" w:rsidRDefault="00C91173">
      <w:pPr>
        <w:widowControl/>
        <w:shd w:val="clear" w:color="auto" w:fill="FFFFFF"/>
        <w:spacing w:line="360" w:lineRule="auto"/>
        <w:ind w:firstLineChars="196" w:firstLine="412"/>
        <w:jc w:val="left"/>
        <w:rPr>
          <w:rFonts w:hAnsi="宋体"/>
          <w:szCs w:val="21"/>
        </w:rPr>
      </w:pPr>
      <w:r>
        <w:rPr>
          <w:rFonts w:hAnsi="宋体"/>
          <w:szCs w:val="21"/>
        </w:rPr>
        <w:lastRenderedPageBreak/>
        <w:t>了解</w:t>
      </w:r>
      <w:r>
        <w:rPr>
          <w:rFonts w:hAnsi="宋体" w:hint="eastAsia"/>
          <w:szCs w:val="21"/>
        </w:rPr>
        <w:t>：</w:t>
      </w:r>
      <w:r>
        <w:rPr>
          <w:rFonts w:hAnsi="宋体"/>
          <w:szCs w:val="21"/>
        </w:rPr>
        <w:t>一般</w:t>
      </w:r>
      <w:r>
        <w:rPr>
          <w:rFonts w:hAnsi="宋体"/>
          <w:kern w:val="0"/>
          <w:szCs w:val="21"/>
          <w:lang w:val="zh-CN"/>
        </w:rPr>
        <w:t>科学技术研究的方法</w:t>
      </w:r>
      <w:r>
        <w:rPr>
          <w:rFonts w:hAnsi="宋体" w:hint="eastAsia"/>
          <w:szCs w:val="21"/>
        </w:rPr>
        <w:t>。</w:t>
      </w:r>
    </w:p>
    <w:p w14:paraId="2457AA7B" w14:textId="77777777" w:rsidR="00F5289E" w:rsidRDefault="00C91173">
      <w:pPr>
        <w:widowControl/>
        <w:shd w:val="clear" w:color="auto" w:fill="FFFFFF"/>
        <w:spacing w:line="360" w:lineRule="auto"/>
        <w:ind w:firstLineChars="196" w:firstLine="412"/>
        <w:jc w:val="left"/>
        <w:rPr>
          <w:kern w:val="0"/>
          <w:szCs w:val="21"/>
          <w:lang w:val="zh-CN"/>
        </w:rPr>
      </w:pPr>
      <w:r>
        <w:rPr>
          <w:rFonts w:hAnsi="宋体"/>
          <w:szCs w:val="21"/>
        </w:rPr>
        <w:t>理解</w:t>
      </w:r>
      <w:r>
        <w:rPr>
          <w:rFonts w:hAnsi="宋体" w:hint="eastAsia"/>
          <w:szCs w:val="21"/>
        </w:rPr>
        <w:t>：</w:t>
      </w:r>
      <w:r>
        <w:rPr>
          <w:rFonts w:hAnsi="宋体"/>
          <w:kern w:val="0"/>
          <w:szCs w:val="21"/>
          <w:lang w:val="zh-CN"/>
        </w:rPr>
        <w:t>自然与社会科学方法的关系</w:t>
      </w:r>
      <w:r>
        <w:rPr>
          <w:rFonts w:hAnsi="宋体"/>
          <w:szCs w:val="21"/>
        </w:rPr>
        <w:t>，</w:t>
      </w:r>
      <w:r>
        <w:rPr>
          <w:rFonts w:hAnsi="宋体"/>
          <w:kern w:val="0"/>
          <w:szCs w:val="21"/>
          <w:lang w:val="zh-CN"/>
        </w:rPr>
        <w:t>科学研究方法的特性和功能</w:t>
      </w:r>
      <w:r>
        <w:rPr>
          <w:rFonts w:hAnsi="宋体" w:hint="eastAsia"/>
          <w:kern w:val="0"/>
          <w:szCs w:val="21"/>
          <w:lang w:val="zh-CN"/>
        </w:rPr>
        <w:t>。</w:t>
      </w:r>
    </w:p>
    <w:p w14:paraId="5233E7C1" w14:textId="77777777" w:rsidR="00F5289E" w:rsidRDefault="00C91173">
      <w:pPr>
        <w:widowControl/>
        <w:shd w:val="clear" w:color="auto" w:fill="FFFFFF"/>
        <w:spacing w:line="360" w:lineRule="auto"/>
        <w:ind w:firstLineChars="196" w:firstLine="412"/>
        <w:jc w:val="left"/>
        <w:rPr>
          <w:rFonts w:hAnsi="宋体"/>
          <w:kern w:val="0"/>
          <w:szCs w:val="21"/>
          <w:lang w:val="zh-CN"/>
        </w:rPr>
      </w:pPr>
      <w:r>
        <w:rPr>
          <w:rFonts w:hAnsi="宋体"/>
          <w:kern w:val="0"/>
          <w:szCs w:val="21"/>
        </w:rPr>
        <w:t>掌握</w:t>
      </w:r>
      <w:r>
        <w:rPr>
          <w:rFonts w:hAnsi="宋体" w:hint="eastAsia"/>
          <w:kern w:val="0"/>
          <w:szCs w:val="21"/>
        </w:rPr>
        <w:t>：</w:t>
      </w:r>
      <w:r>
        <w:rPr>
          <w:rFonts w:hAnsi="宋体"/>
          <w:kern w:val="0"/>
          <w:szCs w:val="21"/>
        </w:rPr>
        <w:t>网络搜索引擎的检索技巧，学会使用搜索引擎快速、全面、准确的查询网络信息资源；掌握常用中文数据库的各种检索方法，能按照检索要求独立地完成电子图书、电子期刊、论文等多种类型的信息资源的查询任务。</w:t>
      </w:r>
      <w:r>
        <w:rPr>
          <w:rFonts w:hAnsi="宋体"/>
          <w:kern w:val="0"/>
          <w:szCs w:val="21"/>
          <w:lang w:val="zh-CN"/>
        </w:rPr>
        <w:t>科学技术写作的概述；学习科技方法与写作的意义</w:t>
      </w:r>
      <w:r>
        <w:rPr>
          <w:rFonts w:hAnsi="宋体" w:hint="eastAsia"/>
          <w:kern w:val="0"/>
          <w:szCs w:val="21"/>
          <w:lang w:val="zh-CN"/>
        </w:rPr>
        <w:t>。</w:t>
      </w:r>
    </w:p>
    <w:p w14:paraId="2C4EC45C" w14:textId="77777777" w:rsidR="00F5289E" w:rsidRDefault="00C91173">
      <w:pPr>
        <w:widowControl/>
        <w:shd w:val="clear" w:color="auto" w:fill="FFFFFF"/>
        <w:spacing w:line="360" w:lineRule="auto"/>
        <w:ind w:firstLineChars="196" w:firstLine="412"/>
        <w:jc w:val="left"/>
        <w:rPr>
          <w:rFonts w:hAnsi="宋体"/>
          <w:szCs w:val="21"/>
        </w:rPr>
      </w:pPr>
      <w:r>
        <w:rPr>
          <w:rFonts w:hAnsi="宋体"/>
          <w:szCs w:val="21"/>
        </w:rPr>
        <w:t>熟练掌握</w:t>
      </w:r>
      <w:r>
        <w:rPr>
          <w:rFonts w:hAnsi="宋体" w:hint="eastAsia"/>
          <w:szCs w:val="21"/>
        </w:rPr>
        <w:t>：</w:t>
      </w:r>
      <w:r>
        <w:rPr>
          <w:rFonts w:hAnsi="宋体"/>
          <w:szCs w:val="21"/>
        </w:rPr>
        <w:t>论文的要素与功能、科技写作人称的选择与运用</w:t>
      </w:r>
      <w:r>
        <w:rPr>
          <w:rFonts w:hAnsi="宋体" w:hint="eastAsia"/>
          <w:szCs w:val="21"/>
        </w:rPr>
        <w:t>，</w:t>
      </w:r>
      <w:r>
        <w:rPr>
          <w:rFonts w:hAnsi="宋体"/>
          <w:szCs w:val="21"/>
        </w:rPr>
        <w:t>通过学习达到掌握科技论文写作的特点和应用科研资料撰写科技论文的要求。</w:t>
      </w:r>
    </w:p>
    <w:p w14:paraId="64CFD0D1"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138AC223" w14:textId="77777777" w:rsidR="00F5289E" w:rsidRDefault="00C91173">
      <w:pPr>
        <w:spacing w:line="360" w:lineRule="auto"/>
        <w:ind w:firstLine="420"/>
        <w:rPr>
          <w:szCs w:val="21"/>
          <w:lang w:val="zh-CN"/>
        </w:rPr>
      </w:pPr>
      <w:r>
        <w:rPr>
          <w:rFonts w:hint="eastAsia"/>
          <w:szCs w:val="21"/>
          <w:lang w:val="zh-CN"/>
        </w:rPr>
        <w:t>采用教师课堂讲授为主，设置文献检索信息的相关话题，学生积极参与课堂讨论，分组与学生课堂提问等环节互动。</w:t>
      </w:r>
    </w:p>
    <w:p w14:paraId="4D4674E2" w14:textId="77777777" w:rsidR="00F5289E" w:rsidRDefault="00C91173">
      <w:pPr>
        <w:widowControl/>
        <w:snapToGrid w:val="0"/>
        <w:spacing w:beforeLines="50" w:before="156" w:line="360" w:lineRule="auto"/>
        <w:jc w:val="right"/>
        <w:rPr>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Ansi="宋体"/>
          <w:b/>
          <w:bCs/>
          <w:kern w:val="0"/>
          <w:szCs w:val="21"/>
        </w:rPr>
        <w:t>信息资源及信息检索原理</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宋体"/>
          <w:b/>
          <w:bCs/>
          <w:kern w:val="0"/>
          <w:szCs w:val="21"/>
        </w:rPr>
        <w:t>学时数：</w:t>
      </w:r>
      <w:r>
        <w:rPr>
          <w:b/>
          <w:bCs/>
          <w:kern w:val="0"/>
          <w:szCs w:val="21"/>
        </w:rPr>
        <w:t>3</w:t>
      </w:r>
    </w:p>
    <w:p w14:paraId="22FED679" w14:textId="77777777" w:rsidR="00F5289E" w:rsidRDefault="00C91173">
      <w:pPr>
        <w:widowControl/>
        <w:shd w:val="clear" w:color="auto" w:fill="FFFFFF"/>
        <w:spacing w:line="360" w:lineRule="auto"/>
        <w:jc w:val="left"/>
        <w:rPr>
          <w:szCs w:val="21"/>
        </w:rPr>
      </w:pPr>
      <w:r>
        <w:rPr>
          <w:rFonts w:hAnsi="宋体"/>
          <w:b/>
          <w:bCs/>
          <w:szCs w:val="21"/>
        </w:rPr>
        <w:t>教学目</w:t>
      </w:r>
      <w:r>
        <w:rPr>
          <w:rFonts w:hAnsi="宋体" w:hint="eastAsia"/>
          <w:b/>
          <w:bCs/>
          <w:szCs w:val="21"/>
        </w:rPr>
        <w:t>标</w:t>
      </w:r>
      <w:r>
        <w:rPr>
          <w:rFonts w:hAnsi="宋体"/>
          <w:b/>
          <w:bCs/>
          <w:szCs w:val="21"/>
        </w:rPr>
        <w:t>：</w:t>
      </w:r>
      <w:r>
        <w:rPr>
          <w:rFonts w:hAnsi="宋体"/>
          <w:szCs w:val="21"/>
        </w:rPr>
        <w:t>了解积累资料的作用、科技文献的种类和资料搜集的途径</w:t>
      </w:r>
      <w:r>
        <w:rPr>
          <w:rFonts w:hAnsi="宋体" w:hint="eastAsia"/>
          <w:szCs w:val="21"/>
        </w:rPr>
        <w:t>；掌握</w:t>
      </w:r>
      <w:r>
        <w:rPr>
          <w:rFonts w:hAnsi="宋体"/>
          <w:szCs w:val="21"/>
        </w:rPr>
        <w:t>信息知识、文献、情报的概念和明确资源及其类型</w:t>
      </w:r>
      <w:r>
        <w:rPr>
          <w:rFonts w:hAnsi="宋体" w:hint="eastAsia"/>
          <w:szCs w:val="21"/>
        </w:rPr>
        <w:t>。</w:t>
      </w:r>
    </w:p>
    <w:p w14:paraId="2576A7AA" w14:textId="77777777" w:rsidR="00F5289E" w:rsidRDefault="00C91173">
      <w:pPr>
        <w:widowControl/>
        <w:shd w:val="clear" w:color="auto" w:fill="FFFFFF"/>
        <w:spacing w:line="360" w:lineRule="auto"/>
        <w:jc w:val="left"/>
        <w:rPr>
          <w:szCs w:val="21"/>
        </w:rPr>
      </w:pPr>
      <w:r>
        <w:rPr>
          <w:rFonts w:hAnsi="宋体"/>
          <w:b/>
          <w:bCs/>
          <w:szCs w:val="21"/>
        </w:rPr>
        <w:t>教学重点和难点：</w:t>
      </w:r>
      <w:r>
        <w:rPr>
          <w:rFonts w:hAnsi="宋体"/>
          <w:szCs w:val="21"/>
        </w:rPr>
        <w:t>不同文献出版形式的信息资源多种类型；信息与知识、文献、情报的关系。网络检索方法与本专业主要网址；科技综述的概念与特点、作用与意义；科技综述写作方法。</w:t>
      </w:r>
    </w:p>
    <w:p w14:paraId="540AF814" w14:textId="77777777" w:rsidR="00F5289E" w:rsidRDefault="00C91173">
      <w:pPr>
        <w:widowControl/>
        <w:shd w:val="clear" w:color="auto" w:fill="FFFFFF"/>
        <w:spacing w:line="360" w:lineRule="auto"/>
        <w:jc w:val="left"/>
        <w:rPr>
          <w:b/>
          <w:bCs/>
          <w:szCs w:val="21"/>
        </w:rPr>
      </w:pPr>
      <w:r>
        <w:rPr>
          <w:rFonts w:hAnsi="宋体"/>
          <w:b/>
          <w:bCs/>
          <w:szCs w:val="21"/>
        </w:rPr>
        <w:t>主要教学内容及要求：</w:t>
      </w:r>
    </w:p>
    <w:p w14:paraId="43DBF081" w14:textId="77777777" w:rsidR="00F5289E" w:rsidRDefault="00C91173">
      <w:pPr>
        <w:widowControl/>
        <w:shd w:val="clear" w:color="auto" w:fill="FFFFFF"/>
        <w:spacing w:line="360" w:lineRule="auto"/>
        <w:ind w:firstLineChars="200" w:firstLine="420"/>
        <w:jc w:val="left"/>
        <w:rPr>
          <w:kern w:val="0"/>
          <w:szCs w:val="21"/>
        </w:rPr>
      </w:pPr>
      <w:r>
        <w:rPr>
          <w:rFonts w:hAnsi="宋体"/>
          <w:szCs w:val="21"/>
        </w:rPr>
        <w:t>了解</w:t>
      </w:r>
      <w:r>
        <w:rPr>
          <w:rFonts w:hAnsi="宋体" w:hint="eastAsia"/>
          <w:szCs w:val="21"/>
        </w:rPr>
        <w:t>：</w:t>
      </w:r>
      <w:r>
        <w:rPr>
          <w:rFonts w:hAnsi="宋体"/>
          <w:szCs w:val="21"/>
        </w:rPr>
        <w:t>科技信息获取的途径与方法及</w:t>
      </w:r>
      <w:r>
        <w:rPr>
          <w:rFonts w:hAnsi="宋体"/>
          <w:kern w:val="0"/>
          <w:szCs w:val="21"/>
        </w:rPr>
        <w:t>搜索引擎定义及构成；理解搜索引擎工作原理及任务</w:t>
      </w:r>
      <w:r>
        <w:rPr>
          <w:rFonts w:hAnsi="宋体" w:hint="eastAsia"/>
          <w:kern w:val="0"/>
          <w:szCs w:val="21"/>
        </w:rPr>
        <w:t>。</w:t>
      </w:r>
    </w:p>
    <w:p w14:paraId="67A66B83" w14:textId="77777777" w:rsidR="00F5289E" w:rsidRDefault="00C91173">
      <w:pPr>
        <w:widowControl/>
        <w:shd w:val="clear" w:color="auto" w:fill="FFFFFF"/>
        <w:spacing w:line="360" w:lineRule="auto"/>
        <w:ind w:firstLineChars="200" w:firstLine="420"/>
        <w:jc w:val="left"/>
        <w:rPr>
          <w:szCs w:val="21"/>
        </w:rPr>
      </w:pPr>
      <w:r>
        <w:rPr>
          <w:rFonts w:hAnsi="宋体"/>
          <w:szCs w:val="21"/>
        </w:rPr>
        <w:t>理解</w:t>
      </w:r>
      <w:r>
        <w:rPr>
          <w:rFonts w:hAnsi="宋体" w:hint="eastAsia"/>
          <w:szCs w:val="21"/>
        </w:rPr>
        <w:t>：</w:t>
      </w:r>
      <w:r>
        <w:rPr>
          <w:rFonts w:hAnsi="宋体"/>
          <w:szCs w:val="21"/>
        </w:rPr>
        <w:t>不同文献出版形式的信息资源多种类型；信息与知识、文献、情报的关系</w:t>
      </w:r>
      <w:r>
        <w:rPr>
          <w:rFonts w:hAnsi="宋体" w:hint="eastAsia"/>
          <w:szCs w:val="21"/>
        </w:rPr>
        <w:t>。</w:t>
      </w:r>
    </w:p>
    <w:p w14:paraId="76777AF2" w14:textId="77777777" w:rsidR="00F5289E" w:rsidRDefault="00C91173">
      <w:pPr>
        <w:widowControl/>
        <w:shd w:val="clear" w:color="auto" w:fill="FFFFFF"/>
        <w:spacing w:line="360" w:lineRule="auto"/>
        <w:ind w:firstLineChars="200" w:firstLine="420"/>
        <w:jc w:val="left"/>
        <w:rPr>
          <w:rFonts w:hAnsi="宋体"/>
          <w:szCs w:val="21"/>
        </w:rPr>
      </w:pPr>
      <w:r>
        <w:rPr>
          <w:rFonts w:hAnsi="宋体"/>
          <w:kern w:val="0"/>
          <w:szCs w:val="21"/>
        </w:rPr>
        <w:t>掌握</w:t>
      </w:r>
      <w:r>
        <w:rPr>
          <w:rFonts w:hAnsi="宋体" w:hint="eastAsia"/>
          <w:szCs w:val="21"/>
        </w:rPr>
        <w:t>：</w:t>
      </w:r>
      <w:r>
        <w:rPr>
          <w:rFonts w:hAnsi="宋体"/>
          <w:kern w:val="0"/>
          <w:szCs w:val="21"/>
        </w:rPr>
        <w:t>常用中文搜索引擎的使用技巧和常用搜索引擎的检索方法；</w:t>
      </w:r>
      <w:r>
        <w:rPr>
          <w:rFonts w:hAnsi="宋体"/>
          <w:szCs w:val="21"/>
        </w:rPr>
        <w:t>理解科技综述的特点、作用和写作方法；掌握科技文献分类及文献资料检索内容、文献资料检索途径与方法</w:t>
      </w:r>
      <w:r>
        <w:rPr>
          <w:rFonts w:hAnsi="宋体" w:hint="eastAsia"/>
          <w:szCs w:val="21"/>
        </w:rPr>
        <w:t>。</w:t>
      </w:r>
    </w:p>
    <w:p w14:paraId="60B48781" w14:textId="77777777" w:rsidR="00F5289E" w:rsidRDefault="00C91173">
      <w:pPr>
        <w:widowControl/>
        <w:shd w:val="clear" w:color="auto" w:fill="FFFFFF"/>
        <w:spacing w:line="360" w:lineRule="auto"/>
        <w:ind w:firstLineChars="200" w:firstLine="420"/>
        <w:jc w:val="left"/>
        <w:rPr>
          <w:szCs w:val="21"/>
        </w:rPr>
      </w:pPr>
      <w:r>
        <w:rPr>
          <w:rFonts w:hAnsi="宋体"/>
          <w:szCs w:val="21"/>
        </w:rPr>
        <w:t>熟练掌握</w:t>
      </w:r>
      <w:r>
        <w:rPr>
          <w:rFonts w:hAnsi="宋体" w:hint="eastAsia"/>
          <w:szCs w:val="21"/>
        </w:rPr>
        <w:t>：</w:t>
      </w:r>
      <w:r>
        <w:rPr>
          <w:rFonts w:hAnsi="宋体"/>
          <w:szCs w:val="21"/>
        </w:rPr>
        <w:t>文献资料检索主要方法。</w:t>
      </w:r>
    </w:p>
    <w:p w14:paraId="08BF47CB" w14:textId="77777777" w:rsidR="00F5289E" w:rsidRDefault="00C91173">
      <w:pPr>
        <w:spacing w:line="360" w:lineRule="auto"/>
        <w:ind w:firstLine="420"/>
        <w:rPr>
          <w:szCs w:val="21"/>
        </w:rPr>
      </w:pPr>
      <w:r>
        <w:rPr>
          <w:rFonts w:hAnsi="宋体"/>
          <w:szCs w:val="21"/>
        </w:rPr>
        <w:t>主要的基本概念和知识点：</w:t>
      </w:r>
    </w:p>
    <w:p w14:paraId="2D31E7C0" w14:textId="77777777" w:rsidR="00F5289E" w:rsidRDefault="00C91173">
      <w:pPr>
        <w:spacing w:line="360" w:lineRule="auto"/>
        <w:ind w:firstLineChars="200" w:firstLine="420"/>
        <w:rPr>
          <w:szCs w:val="21"/>
        </w:rPr>
      </w:pPr>
      <w:r>
        <w:rPr>
          <w:rFonts w:hAnsi="宋体"/>
          <w:szCs w:val="21"/>
        </w:rPr>
        <w:t>（</w:t>
      </w:r>
      <w:r>
        <w:rPr>
          <w:szCs w:val="21"/>
        </w:rPr>
        <w:t>1</w:t>
      </w:r>
      <w:r>
        <w:rPr>
          <w:rFonts w:hAnsi="宋体"/>
          <w:szCs w:val="21"/>
        </w:rPr>
        <w:t>）基本概念：文献出版形式；文献</w:t>
      </w:r>
      <w:r>
        <w:rPr>
          <w:rFonts w:hAnsi="宋体"/>
          <w:kern w:val="0"/>
          <w:szCs w:val="21"/>
        </w:rPr>
        <w:t>检索语言；</w:t>
      </w:r>
      <w:r>
        <w:rPr>
          <w:rFonts w:hAnsi="宋体"/>
          <w:szCs w:val="21"/>
        </w:rPr>
        <w:t>科技综述；科技报告；文献资料检索。</w:t>
      </w:r>
    </w:p>
    <w:p w14:paraId="6E9482A5" w14:textId="77777777" w:rsidR="00F5289E" w:rsidRDefault="00C91173">
      <w:pPr>
        <w:spacing w:line="360" w:lineRule="auto"/>
        <w:ind w:firstLineChars="200" w:firstLine="420"/>
        <w:rPr>
          <w:szCs w:val="21"/>
        </w:rPr>
      </w:pPr>
      <w:r>
        <w:rPr>
          <w:rFonts w:hAnsi="宋体"/>
          <w:szCs w:val="21"/>
        </w:rPr>
        <w:t>（</w:t>
      </w:r>
      <w:r>
        <w:rPr>
          <w:szCs w:val="21"/>
        </w:rPr>
        <w:t>2</w:t>
      </w:r>
      <w:r>
        <w:rPr>
          <w:rFonts w:hAnsi="宋体"/>
          <w:szCs w:val="21"/>
        </w:rPr>
        <w:t>）知识点：网络检索方法；科技综述观点的提炼。</w:t>
      </w:r>
    </w:p>
    <w:p w14:paraId="5264E23C" w14:textId="77777777" w:rsidR="00F5289E" w:rsidRDefault="00C91173">
      <w:pPr>
        <w:widowControl/>
        <w:shd w:val="clear" w:color="auto" w:fill="FFFFFF"/>
        <w:spacing w:line="360" w:lineRule="auto"/>
        <w:ind w:firstLineChars="200" w:firstLine="420"/>
        <w:jc w:val="left"/>
        <w:rPr>
          <w:rFonts w:hAnsi="宋体"/>
          <w:szCs w:val="21"/>
        </w:rPr>
      </w:pPr>
      <w:r>
        <w:rPr>
          <w:rFonts w:hAnsi="宋体"/>
          <w:szCs w:val="21"/>
        </w:rPr>
        <w:t>（</w:t>
      </w:r>
      <w:r>
        <w:rPr>
          <w:szCs w:val="21"/>
        </w:rPr>
        <w:t>3</w:t>
      </w:r>
      <w:r>
        <w:rPr>
          <w:rFonts w:hAnsi="宋体"/>
          <w:szCs w:val="21"/>
        </w:rPr>
        <w:t>）学会使用</w:t>
      </w:r>
      <w:r>
        <w:rPr>
          <w:rFonts w:hAnsi="宋体" w:hint="eastAsia"/>
          <w:szCs w:val="21"/>
        </w:rPr>
        <w:t>中国知网</w:t>
      </w:r>
      <w:r>
        <w:rPr>
          <w:rFonts w:hAnsi="宋体"/>
          <w:szCs w:val="21"/>
        </w:rPr>
        <w:t>数据资源系统的单库检索和跨库检索，能根据检索要求正确选择多个或单个数据库进行检索。</w:t>
      </w:r>
    </w:p>
    <w:p w14:paraId="03480007"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7C35B30E" w14:textId="77777777" w:rsidR="00F5289E" w:rsidRDefault="00C91173">
      <w:pPr>
        <w:widowControl/>
        <w:shd w:val="clear" w:color="auto" w:fill="FFFFFF"/>
        <w:spacing w:line="360" w:lineRule="auto"/>
        <w:ind w:firstLineChars="200" w:firstLine="420"/>
        <w:jc w:val="left"/>
        <w:rPr>
          <w:kern w:val="0"/>
          <w:szCs w:val="21"/>
        </w:rPr>
      </w:pPr>
      <w:r>
        <w:rPr>
          <w:rFonts w:hint="eastAsia"/>
          <w:szCs w:val="21"/>
          <w:lang w:val="zh-CN"/>
        </w:rPr>
        <w:t>采用教师课堂讲授为主，讲授</w:t>
      </w:r>
      <w:r>
        <w:rPr>
          <w:rFonts w:hAnsi="宋体"/>
          <w:szCs w:val="21"/>
        </w:rPr>
        <w:t>信息知识、文献、情报的概念和类型</w:t>
      </w:r>
      <w:r>
        <w:rPr>
          <w:rFonts w:hAnsi="宋体" w:hint="eastAsia"/>
          <w:szCs w:val="21"/>
        </w:rPr>
        <w:t>，分组与学生探讨</w:t>
      </w:r>
      <w:r>
        <w:rPr>
          <w:rFonts w:hAnsi="宋体"/>
          <w:szCs w:val="21"/>
        </w:rPr>
        <w:t>科技文献的种类和资料搜集的途径</w:t>
      </w:r>
      <w:r>
        <w:rPr>
          <w:rFonts w:hint="eastAsia"/>
          <w:szCs w:val="21"/>
          <w:lang w:val="zh-CN"/>
        </w:rPr>
        <w:t>。</w:t>
      </w:r>
    </w:p>
    <w:p w14:paraId="332307DD" w14:textId="77777777" w:rsidR="00F5289E" w:rsidRDefault="00C91173">
      <w:pPr>
        <w:spacing w:beforeLines="50" w:before="156" w:line="360" w:lineRule="auto"/>
        <w:ind w:firstLineChars="500" w:firstLine="1054"/>
        <w:jc w:val="right"/>
        <w:rPr>
          <w:b/>
          <w:bCs/>
          <w:kern w:val="0"/>
          <w:szCs w:val="21"/>
        </w:rPr>
      </w:pPr>
      <w:r>
        <w:rPr>
          <w:rFonts w:hAnsi="宋体"/>
          <w:b/>
          <w:bCs/>
          <w:kern w:val="0"/>
          <w:szCs w:val="21"/>
        </w:rPr>
        <w:lastRenderedPageBreak/>
        <w:t>第</w:t>
      </w:r>
      <w:r>
        <w:rPr>
          <w:rFonts w:hAnsi="宋体" w:hint="eastAsia"/>
          <w:b/>
          <w:bCs/>
          <w:kern w:val="0"/>
          <w:szCs w:val="21"/>
        </w:rPr>
        <w:t>三</w:t>
      </w:r>
      <w:r>
        <w:rPr>
          <w:rFonts w:hAnsi="宋体"/>
          <w:b/>
          <w:bCs/>
          <w:kern w:val="0"/>
          <w:szCs w:val="21"/>
        </w:rPr>
        <w:t>章</w:t>
      </w:r>
      <w:r>
        <w:rPr>
          <w:b/>
          <w:bCs/>
          <w:kern w:val="0"/>
          <w:szCs w:val="21"/>
        </w:rPr>
        <w:t xml:space="preserve">  </w:t>
      </w:r>
      <w:r>
        <w:rPr>
          <w:rFonts w:hAnsi="宋体"/>
          <w:b/>
          <w:bCs/>
          <w:kern w:val="0"/>
          <w:szCs w:val="21"/>
        </w:rPr>
        <w:t>课题类型与科研选题</w:t>
      </w:r>
      <w:r>
        <w:rPr>
          <w:b/>
          <w:bCs/>
          <w:kern w:val="0"/>
          <w:szCs w:val="21"/>
        </w:rPr>
        <w:t xml:space="preserve">  </w:t>
      </w:r>
      <w:r>
        <w:rPr>
          <w:b/>
          <w:szCs w:val="21"/>
        </w:rPr>
        <w:t xml:space="preserve">                 </w:t>
      </w:r>
      <w:r>
        <w:rPr>
          <w:rFonts w:hAnsi="宋体"/>
          <w:b/>
          <w:bCs/>
          <w:kern w:val="0"/>
          <w:szCs w:val="21"/>
        </w:rPr>
        <w:t>学时数：</w:t>
      </w:r>
      <w:r>
        <w:rPr>
          <w:b/>
          <w:bCs/>
          <w:kern w:val="0"/>
          <w:szCs w:val="21"/>
        </w:rPr>
        <w:t>2</w:t>
      </w:r>
    </w:p>
    <w:p w14:paraId="61F189B7" w14:textId="77777777" w:rsidR="00F5289E" w:rsidRDefault="00C91173">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科学研究课题的类型、科研选题的基本概念与目的意义</w:t>
      </w:r>
      <w:r>
        <w:rPr>
          <w:rFonts w:hAnsi="宋体" w:hint="eastAsia"/>
          <w:szCs w:val="21"/>
          <w:lang w:val="zh-CN"/>
        </w:rPr>
        <w:t>。</w:t>
      </w:r>
    </w:p>
    <w:p w14:paraId="0A3D28EB" w14:textId="77777777" w:rsidR="00F5289E" w:rsidRDefault="00C91173">
      <w:pPr>
        <w:widowControl/>
        <w:snapToGrid w:val="0"/>
        <w:spacing w:line="360" w:lineRule="auto"/>
        <w:rPr>
          <w:b/>
          <w:bCs/>
          <w:kern w:val="0"/>
          <w:szCs w:val="21"/>
        </w:rPr>
      </w:pPr>
      <w:r>
        <w:rPr>
          <w:rFonts w:hAnsi="宋体"/>
          <w:b/>
          <w:bCs/>
          <w:szCs w:val="21"/>
        </w:rPr>
        <w:t>教学重点和难点：</w:t>
      </w:r>
      <w:r>
        <w:rPr>
          <w:rFonts w:hAnsi="宋体"/>
          <w:szCs w:val="21"/>
        </w:rPr>
        <w:t>科研选题的一般程序与注意事项</w:t>
      </w:r>
      <w:r>
        <w:rPr>
          <w:rFonts w:hAnsi="宋体" w:hint="eastAsia"/>
          <w:szCs w:val="21"/>
        </w:rPr>
        <w:t>。</w:t>
      </w:r>
    </w:p>
    <w:p w14:paraId="67578760" w14:textId="77777777" w:rsidR="00F5289E" w:rsidRDefault="00C91173">
      <w:pPr>
        <w:widowControl/>
        <w:snapToGrid w:val="0"/>
        <w:spacing w:line="360" w:lineRule="auto"/>
        <w:rPr>
          <w:rFonts w:hAnsi="宋体"/>
          <w:b/>
          <w:bCs/>
          <w:szCs w:val="21"/>
        </w:rPr>
      </w:pPr>
      <w:r>
        <w:rPr>
          <w:rFonts w:hAnsi="宋体"/>
          <w:b/>
          <w:bCs/>
          <w:szCs w:val="21"/>
        </w:rPr>
        <w:t>主要教学内容及要求：</w:t>
      </w:r>
    </w:p>
    <w:p w14:paraId="23F15D12" w14:textId="77777777" w:rsidR="00F5289E" w:rsidRDefault="00C91173">
      <w:pPr>
        <w:widowControl/>
        <w:snapToGrid w:val="0"/>
        <w:spacing w:line="360" w:lineRule="auto"/>
        <w:ind w:firstLineChars="200" w:firstLine="420"/>
        <w:rPr>
          <w:rFonts w:hAnsi="宋体"/>
          <w:szCs w:val="21"/>
          <w:lang w:val="zh-CN"/>
        </w:rPr>
      </w:pPr>
      <w:r>
        <w:rPr>
          <w:rFonts w:hAnsi="宋体" w:hint="eastAsia"/>
          <w:bCs/>
          <w:szCs w:val="21"/>
        </w:rPr>
        <w:t>了解：</w:t>
      </w:r>
      <w:r>
        <w:rPr>
          <w:rFonts w:hAnsi="宋体"/>
          <w:szCs w:val="21"/>
          <w:lang w:val="zh-CN"/>
        </w:rPr>
        <w:t>科学研究课题的类型</w:t>
      </w:r>
      <w:r>
        <w:rPr>
          <w:rFonts w:hAnsi="宋体" w:hint="eastAsia"/>
          <w:szCs w:val="21"/>
          <w:lang w:val="zh-CN"/>
        </w:rPr>
        <w:t>。</w:t>
      </w:r>
    </w:p>
    <w:p w14:paraId="7D8C444A" w14:textId="77777777" w:rsidR="00F5289E" w:rsidRDefault="00C91173">
      <w:pPr>
        <w:widowControl/>
        <w:snapToGrid w:val="0"/>
        <w:spacing w:line="360" w:lineRule="auto"/>
        <w:ind w:firstLineChars="200" w:firstLine="420"/>
        <w:rPr>
          <w:kern w:val="0"/>
          <w:szCs w:val="21"/>
        </w:rPr>
      </w:pPr>
      <w:r>
        <w:rPr>
          <w:rFonts w:hAnsi="宋体" w:hint="eastAsia"/>
          <w:szCs w:val="21"/>
          <w:lang w:val="zh-CN"/>
        </w:rPr>
        <w:t>理解：</w:t>
      </w:r>
      <w:r>
        <w:rPr>
          <w:rFonts w:hAnsi="宋体"/>
          <w:szCs w:val="21"/>
        </w:rPr>
        <w:t>科学研究选题的方法</w:t>
      </w:r>
      <w:r>
        <w:rPr>
          <w:rFonts w:hAnsi="宋体" w:hint="eastAsia"/>
          <w:szCs w:val="21"/>
        </w:rPr>
        <w:t>。</w:t>
      </w:r>
    </w:p>
    <w:p w14:paraId="0924D966" w14:textId="77777777" w:rsidR="00F5289E" w:rsidRDefault="00C91173">
      <w:pPr>
        <w:widowControl/>
        <w:snapToGrid w:val="0"/>
        <w:spacing w:line="360" w:lineRule="auto"/>
        <w:ind w:firstLineChars="200" w:firstLine="420"/>
        <w:rPr>
          <w:kern w:val="0"/>
          <w:szCs w:val="21"/>
          <w:highlight w:val="yellow"/>
        </w:rPr>
      </w:pPr>
      <w:r>
        <w:rPr>
          <w:rFonts w:hAnsi="宋体"/>
          <w:szCs w:val="21"/>
        </w:rPr>
        <w:t>掌握</w:t>
      </w:r>
      <w:r>
        <w:rPr>
          <w:rFonts w:hAnsi="宋体" w:hint="eastAsia"/>
          <w:szCs w:val="21"/>
        </w:rPr>
        <w:t>：</w:t>
      </w:r>
      <w:r>
        <w:rPr>
          <w:rFonts w:hAnsi="宋体"/>
          <w:szCs w:val="21"/>
        </w:rPr>
        <w:t>科研选题的基本原则。</w:t>
      </w:r>
    </w:p>
    <w:p w14:paraId="65B4E41C" w14:textId="77777777" w:rsidR="00F5289E" w:rsidRDefault="00C91173">
      <w:pPr>
        <w:spacing w:line="360" w:lineRule="auto"/>
        <w:ind w:firstLine="420"/>
        <w:rPr>
          <w:szCs w:val="21"/>
        </w:rPr>
      </w:pPr>
      <w:r>
        <w:rPr>
          <w:rFonts w:hAnsi="宋体"/>
          <w:szCs w:val="21"/>
        </w:rPr>
        <w:t>教学的基本概念和知识点</w:t>
      </w:r>
      <w:r>
        <w:rPr>
          <w:rFonts w:hAnsi="宋体" w:hint="eastAsia"/>
          <w:szCs w:val="21"/>
        </w:rPr>
        <w:t>：</w:t>
      </w:r>
    </w:p>
    <w:p w14:paraId="67A00001" w14:textId="77777777" w:rsidR="00F5289E" w:rsidRDefault="00C91173">
      <w:pPr>
        <w:spacing w:line="360" w:lineRule="auto"/>
        <w:ind w:firstLine="420"/>
        <w:rPr>
          <w:szCs w:val="21"/>
        </w:rPr>
      </w:pPr>
      <w:r>
        <w:rPr>
          <w:rFonts w:hAnsi="宋体"/>
          <w:szCs w:val="21"/>
        </w:rPr>
        <w:t>（</w:t>
      </w:r>
      <w:r>
        <w:rPr>
          <w:szCs w:val="21"/>
        </w:rPr>
        <w:t>1</w:t>
      </w:r>
      <w:r>
        <w:rPr>
          <w:rFonts w:hAnsi="宋体"/>
          <w:szCs w:val="21"/>
        </w:rPr>
        <w:t>）基本概念：课题</w:t>
      </w:r>
      <w:r>
        <w:rPr>
          <w:rFonts w:hAnsi="宋体" w:hint="eastAsia"/>
          <w:szCs w:val="21"/>
        </w:rPr>
        <w:t>、</w:t>
      </w:r>
      <w:r>
        <w:rPr>
          <w:rFonts w:hAnsi="宋体"/>
          <w:szCs w:val="21"/>
        </w:rPr>
        <w:t>论题</w:t>
      </w:r>
      <w:r>
        <w:rPr>
          <w:rFonts w:hAnsi="宋体" w:hint="eastAsia"/>
          <w:szCs w:val="21"/>
        </w:rPr>
        <w:t>、</w:t>
      </w:r>
      <w:r>
        <w:rPr>
          <w:rFonts w:hAnsi="宋体"/>
          <w:szCs w:val="21"/>
        </w:rPr>
        <w:t>题目</w:t>
      </w:r>
      <w:r>
        <w:rPr>
          <w:rFonts w:hAnsi="宋体" w:hint="eastAsia"/>
          <w:szCs w:val="21"/>
        </w:rPr>
        <w:t>、</w:t>
      </w:r>
      <w:r>
        <w:rPr>
          <w:rFonts w:hAnsi="宋体"/>
          <w:szCs w:val="21"/>
        </w:rPr>
        <w:t>选题。</w:t>
      </w:r>
    </w:p>
    <w:p w14:paraId="002D0D8B" w14:textId="77777777" w:rsidR="00F5289E" w:rsidRDefault="00C91173">
      <w:pPr>
        <w:spacing w:line="360" w:lineRule="auto"/>
        <w:ind w:firstLine="420"/>
        <w:rPr>
          <w:szCs w:val="21"/>
        </w:rPr>
      </w:pPr>
      <w:r>
        <w:rPr>
          <w:rFonts w:hAnsi="宋体"/>
          <w:szCs w:val="21"/>
        </w:rPr>
        <w:t>（</w:t>
      </w:r>
      <w:r>
        <w:rPr>
          <w:szCs w:val="21"/>
        </w:rPr>
        <w:t>2</w:t>
      </w:r>
      <w:r>
        <w:rPr>
          <w:rFonts w:hAnsi="宋体"/>
          <w:szCs w:val="21"/>
        </w:rPr>
        <w:t>）知识点：选题的主要途径与注意事项。</w:t>
      </w:r>
    </w:p>
    <w:p w14:paraId="5B6D458B"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0A11BA3F" w14:textId="77777777" w:rsidR="00F5289E" w:rsidRDefault="00C91173">
      <w:pPr>
        <w:widowControl/>
        <w:shd w:val="clear" w:color="auto" w:fill="FFFFFF"/>
        <w:spacing w:line="360" w:lineRule="auto"/>
        <w:ind w:firstLineChars="200" w:firstLine="420"/>
        <w:jc w:val="left"/>
        <w:rPr>
          <w:szCs w:val="21"/>
          <w:lang w:val="zh-CN"/>
        </w:rPr>
      </w:pPr>
      <w:r>
        <w:rPr>
          <w:rFonts w:hint="eastAsia"/>
          <w:szCs w:val="21"/>
          <w:lang w:val="zh-CN"/>
        </w:rPr>
        <w:t>采用教师课堂讲授为主，讲授</w:t>
      </w:r>
      <w:r>
        <w:rPr>
          <w:rFonts w:hAnsi="宋体"/>
          <w:szCs w:val="21"/>
          <w:lang w:val="zh-CN"/>
        </w:rPr>
        <w:t>科研选题的基本概念</w:t>
      </w:r>
      <w:r>
        <w:rPr>
          <w:rFonts w:hAnsi="宋体" w:hint="eastAsia"/>
          <w:szCs w:val="21"/>
          <w:lang w:val="zh-CN"/>
        </w:rPr>
        <w:t>和</w:t>
      </w:r>
      <w:r>
        <w:rPr>
          <w:rFonts w:hAnsi="宋体"/>
          <w:szCs w:val="21"/>
          <w:lang w:val="zh-CN"/>
        </w:rPr>
        <w:t>类型</w:t>
      </w:r>
      <w:r>
        <w:rPr>
          <w:rFonts w:hAnsi="宋体" w:hint="eastAsia"/>
          <w:szCs w:val="21"/>
          <w:lang w:val="zh-CN"/>
        </w:rPr>
        <w:t>，</w:t>
      </w:r>
      <w:r>
        <w:rPr>
          <w:rFonts w:hAnsi="宋体" w:hint="eastAsia"/>
          <w:szCs w:val="21"/>
        </w:rPr>
        <w:t>分组与学生探讨</w:t>
      </w:r>
      <w:r>
        <w:rPr>
          <w:rFonts w:hAnsi="宋体"/>
          <w:szCs w:val="21"/>
        </w:rPr>
        <w:t>科学研究选题的方法</w:t>
      </w:r>
      <w:r>
        <w:rPr>
          <w:rFonts w:hint="eastAsia"/>
          <w:szCs w:val="21"/>
          <w:lang w:val="zh-CN"/>
        </w:rPr>
        <w:t>。</w:t>
      </w:r>
    </w:p>
    <w:p w14:paraId="6522AF18" w14:textId="77777777" w:rsidR="00F5289E" w:rsidRDefault="00C91173">
      <w:pPr>
        <w:spacing w:beforeLines="50" w:before="156" w:line="360" w:lineRule="auto"/>
        <w:ind w:firstLineChars="800" w:firstLine="1687"/>
        <w:jc w:val="right"/>
        <w:rPr>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b/>
          <w:bCs/>
          <w:kern w:val="0"/>
          <w:szCs w:val="21"/>
        </w:rPr>
        <w:t xml:space="preserve">  </w:t>
      </w:r>
      <w:r>
        <w:rPr>
          <w:rFonts w:hAnsi="宋体"/>
          <w:b/>
          <w:bCs/>
          <w:kern w:val="0"/>
          <w:szCs w:val="21"/>
        </w:rPr>
        <w:t>论文规范与写作技巧</w:t>
      </w:r>
      <w:r>
        <w:rPr>
          <w:b/>
          <w:bCs/>
          <w:kern w:val="0"/>
          <w:szCs w:val="21"/>
        </w:rPr>
        <w:t xml:space="preserve">    </w:t>
      </w:r>
      <w:r>
        <w:rPr>
          <w:b/>
          <w:szCs w:val="21"/>
        </w:rPr>
        <w:t xml:space="preserve">              </w:t>
      </w:r>
      <w:r>
        <w:rPr>
          <w:rFonts w:hAnsi="宋体"/>
          <w:b/>
          <w:bCs/>
          <w:kern w:val="0"/>
          <w:szCs w:val="21"/>
        </w:rPr>
        <w:t>学时数：</w:t>
      </w:r>
      <w:r>
        <w:rPr>
          <w:rFonts w:hint="eastAsia"/>
          <w:b/>
          <w:bCs/>
          <w:kern w:val="0"/>
          <w:szCs w:val="21"/>
        </w:rPr>
        <w:t>3</w:t>
      </w:r>
    </w:p>
    <w:p w14:paraId="7EA40C00" w14:textId="77777777" w:rsidR="00F5289E" w:rsidRDefault="00C91173">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科技论文的基本要求与撰写步骤</w:t>
      </w:r>
      <w:r>
        <w:rPr>
          <w:rFonts w:hAnsi="宋体" w:hint="eastAsia"/>
          <w:szCs w:val="21"/>
          <w:lang w:val="zh-CN"/>
        </w:rPr>
        <w:t>。</w:t>
      </w:r>
    </w:p>
    <w:p w14:paraId="766D457F" w14:textId="77777777" w:rsidR="00F5289E" w:rsidRDefault="00C91173">
      <w:pPr>
        <w:widowControl/>
        <w:snapToGrid w:val="0"/>
        <w:spacing w:line="360" w:lineRule="auto"/>
        <w:rPr>
          <w:b/>
          <w:bCs/>
          <w:kern w:val="0"/>
          <w:szCs w:val="21"/>
        </w:rPr>
      </w:pPr>
      <w:r>
        <w:rPr>
          <w:rFonts w:hAnsi="宋体"/>
          <w:b/>
          <w:bCs/>
          <w:szCs w:val="21"/>
        </w:rPr>
        <w:t>教学重点和难点：</w:t>
      </w:r>
      <w:r>
        <w:rPr>
          <w:rFonts w:hAnsi="宋体"/>
          <w:szCs w:val="21"/>
        </w:rPr>
        <w:t>科研选题的一般程序与注意事项</w:t>
      </w:r>
      <w:r>
        <w:rPr>
          <w:rFonts w:hAnsi="宋体" w:hint="eastAsia"/>
          <w:szCs w:val="21"/>
        </w:rPr>
        <w:t>。</w:t>
      </w:r>
    </w:p>
    <w:p w14:paraId="59100FBF" w14:textId="77777777" w:rsidR="00F5289E" w:rsidRDefault="00C91173">
      <w:pPr>
        <w:spacing w:line="360" w:lineRule="auto"/>
        <w:rPr>
          <w:rFonts w:hAnsi="宋体"/>
          <w:b/>
          <w:bCs/>
          <w:szCs w:val="21"/>
        </w:rPr>
      </w:pPr>
      <w:r>
        <w:rPr>
          <w:rFonts w:hAnsi="宋体"/>
          <w:b/>
          <w:bCs/>
          <w:szCs w:val="21"/>
        </w:rPr>
        <w:t>主要教学内容及要求：</w:t>
      </w:r>
    </w:p>
    <w:p w14:paraId="583900E8" w14:textId="77777777" w:rsidR="00F5289E" w:rsidRDefault="00C91173">
      <w:pPr>
        <w:spacing w:line="360" w:lineRule="auto"/>
        <w:ind w:firstLineChars="200" w:firstLine="420"/>
        <w:rPr>
          <w:rFonts w:hAnsi="宋体"/>
          <w:szCs w:val="21"/>
          <w:lang w:val="zh-CN"/>
        </w:rPr>
      </w:pPr>
      <w:r>
        <w:rPr>
          <w:rFonts w:hAnsi="宋体"/>
          <w:szCs w:val="21"/>
        </w:rPr>
        <w:t>了解</w:t>
      </w:r>
      <w:r>
        <w:rPr>
          <w:rFonts w:hAnsi="宋体" w:hint="eastAsia"/>
          <w:szCs w:val="21"/>
        </w:rPr>
        <w:t>：</w:t>
      </w:r>
      <w:r>
        <w:rPr>
          <w:rFonts w:hAnsi="宋体"/>
          <w:szCs w:val="21"/>
          <w:lang w:val="zh-CN"/>
        </w:rPr>
        <w:t>科技论文的基本要求与撰写</w:t>
      </w:r>
      <w:r>
        <w:rPr>
          <w:rFonts w:hAnsi="宋体" w:hint="eastAsia"/>
          <w:szCs w:val="21"/>
          <w:lang w:val="zh-CN"/>
        </w:rPr>
        <w:t>规范。</w:t>
      </w:r>
    </w:p>
    <w:p w14:paraId="1DE49B0D" w14:textId="77777777" w:rsidR="00F5289E" w:rsidRDefault="00C91173">
      <w:pPr>
        <w:spacing w:line="360" w:lineRule="auto"/>
        <w:ind w:firstLineChars="200" w:firstLine="420"/>
        <w:rPr>
          <w:rFonts w:hAnsi="宋体"/>
          <w:szCs w:val="21"/>
        </w:rPr>
      </w:pPr>
      <w:r>
        <w:rPr>
          <w:rFonts w:hAnsi="宋体"/>
          <w:szCs w:val="21"/>
        </w:rPr>
        <w:t>掌握</w:t>
      </w:r>
      <w:r>
        <w:rPr>
          <w:rFonts w:hAnsi="宋体" w:hint="eastAsia"/>
          <w:szCs w:val="21"/>
        </w:rPr>
        <w:t>：</w:t>
      </w:r>
      <w:r>
        <w:rPr>
          <w:rFonts w:hAnsi="宋体"/>
          <w:szCs w:val="21"/>
          <w:lang w:val="zh-CN"/>
        </w:rPr>
        <w:t>科技论文的表达方式与写作技巧</w:t>
      </w:r>
      <w:r>
        <w:rPr>
          <w:rFonts w:hAnsi="宋体" w:hint="eastAsia"/>
          <w:szCs w:val="21"/>
        </w:rPr>
        <w:t>。</w:t>
      </w:r>
    </w:p>
    <w:p w14:paraId="661D023C" w14:textId="77777777" w:rsidR="00F5289E" w:rsidRDefault="00C91173">
      <w:pPr>
        <w:spacing w:line="360" w:lineRule="auto"/>
        <w:ind w:firstLineChars="200" w:firstLine="420"/>
        <w:rPr>
          <w:szCs w:val="21"/>
        </w:rPr>
      </w:pPr>
      <w:r>
        <w:rPr>
          <w:rFonts w:hAnsi="宋体"/>
          <w:szCs w:val="21"/>
        </w:rPr>
        <w:t>熟练掌握</w:t>
      </w:r>
      <w:r>
        <w:rPr>
          <w:rFonts w:hAnsi="宋体" w:hint="eastAsia"/>
          <w:szCs w:val="21"/>
        </w:rPr>
        <w:t>：</w:t>
      </w:r>
      <w:r>
        <w:rPr>
          <w:rFonts w:hAnsi="宋体"/>
          <w:szCs w:val="21"/>
          <w:lang w:val="zh-CN"/>
        </w:rPr>
        <w:t>科技论文的写作格式</w:t>
      </w:r>
      <w:r>
        <w:rPr>
          <w:rFonts w:hAnsi="宋体"/>
          <w:szCs w:val="21"/>
        </w:rPr>
        <w:t>。</w:t>
      </w:r>
    </w:p>
    <w:p w14:paraId="01EBA0B3" w14:textId="77777777" w:rsidR="00F5289E" w:rsidRDefault="00C91173">
      <w:pPr>
        <w:spacing w:line="360" w:lineRule="auto"/>
        <w:ind w:firstLineChars="200" w:firstLine="420"/>
        <w:rPr>
          <w:szCs w:val="21"/>
        </w:rPr>
      </w:pPr>
      <w:r>
        <w:rPr>
          <w:rFonts w:hAnsi="宋体" w:hint="eastAsia"/>
          <w:szCs w:val="21"/>
        </w:rPr>
        <w:t>1</w:t>
      </w:r>
      <w:r>
        <w:rPr>
          <w:rFonts w:hAnsi="宋体" w:hint="eastAsia"/>
          <w:szCs w:val="21"/>
        </w:rPr>
        <w:t>、</w:t>
      </w:r>
      <w:r>
        <w:rPr>
          <w:rFonts w:hAnsi="宋体"/>
          <w:szCs w:val="21"/>
        </w:rPr>
        <w:t>教学主要内容</w:t>
      </w:r>
      <w:r>
        <w:rPr>
          <w:rFonts w:hAnsi="宋体" w:hint="eastAsia"/>
          <w:szCs w:val="21"/>
        </w:rPr>
        <w:t>：</w:t>
      </w:r>
    </w:p>
    <w:p w14:paraId="4780B1E4" w14:textId="77777777" w:rsidR="00F5289E" w:rsidRDefault="00C91173">
      <w:pPr>
        <w:spacing w:line="360" w:lineRule="auto"/>
        <w:ind w:firstLineChars="200" w:firstLine="420"/>
        <w:rPr>
          <w:szCs w:val="21"/>
        </w:rPr>
      </w:pPr>
      <w:r>
        <w:rPr>
          <w:rFonts w:hAnsi="宋体"/>
          <w:szCs w:val="21"/>
        </w:rPr>
        <w:t>（</w:t>
      </w:r>
      <w:r>
        <w:rPr>
          <w:szCs w:val="21"/>
        </w:rPr>
        <w:t>1</w:t>
      </w:r>
      <w:r>
        <w:rPr>
          <w:rFonts w:hAnsi="宋体"/>
          <w:szCs w:val="21"/>
        </w:rPr>
        <w:t>）学术论文分类；</w:t>
      </w:r>
    </w:p>
    <w:p w14:paraId="2F3560E2" w14:textId="77777777" w:rsidR="00F5289E" w:rsidRDefault="00C91173">
      <w:pPr>
        <w:spacing w:line="360" w:lineRule="auto"/>
        <w:ind w:firstLineChars="200" w:firstLine="420"/>
        <w:rPr>
          <w:szCs w:val="21"/>
        </w:rPr>
      </w:pPr>
      <w:r>
        <w:rPr>
          <w:rFonts w:hAnsi="宋体"/>
          <w:szCs w:val="21"/>
        </w:rPr>
        <w:t>（</w:t>
      </w:r>
      <w:r>
        <w:rPr>
          <w:szCs w:val="21"/>
        </w:rPr>
        <w:t>2</w:t>
      </w:r>
      <w:r>
        <w:rPr>
          <w:rFonts w:hAnsi="宋体"/>
          <w:szCs w:val="21"/>
        </w:rPr>
        <w:t>）学术论文格式；</w:t>
      </w:r>
    </w:p>
    <w:p w14:paraId="2DD27B8B" w14:textId="77777777" w:rsidR="00F5289E" w:rsidRDefault="00C91173">
      <w:pPr>
        <w:spacing w:line="360" w:lineRule="auto"/>
        <w:ind w:firstLineChars="200" w:firstLine="420"/>
        <w:rPr>
          <w:szCs w:val="21"/>
        </w:rPr>
      </w:pPr>
      <w:r>
        <w:rPr>
          <w:rFonts w:hAnsi="宋体"/>
          <w:szCs w:val="21"/>
        </w:rPr>
        <w:t>（</w:t>
      </w:r>
      <w:r>
        <w:rPr>
          <w:szCs w:val="21"/>
        </w:rPr>
        <w:t>3</w:t>
      </w:r>
      <w:r>
        <w:rPr>
          <w:rFonts w:hAnsi="宋体"/>
          <w:szCs w:val="21"/>
        </w:rPr>
        <w:t>）学术论文写作标准；</w:t>
      </w:r>
    </w:p>
    <w:p w14:paraId="7EDA5B3C" w14:textId="77777777" w:rsidR="00F5289E" w:rsidRDefault="00C91173">
      <w:pPr>
        <w:spacing w:line="360" w:lineRule="auto"/>
        <w:ind w:firstLineChars="200" w:firstLine="420"/>
        <w:rPr>
          <w:szCs w:val="21"/>
        </w:rPr>
      </w:pPr>
      <w:r>
        <w:rPr>
          <w:rFonts w:hAnsi="宋体"/>
          <w:szCs w:val="21"/>
        </w:rPr>
        <w:t>（</w:t>
      </w:r>
      <w:r>
        <w:rPr>
          <w:szCs w:val="21"/>
        </w:rPr>
        <w:t>4</w:t>
      </w:r>
      <w:r>
        <w:rPr>
          <w:rFonts w:hAnsi="宋体"/>
          <w:szCs w:val="21"/>
        </w:rPr>
        <w:t>）学术论文的编排结构；</w:t>
      </w:r>
    </w:p>
    <w:p w14:paraId="19EB018A" w14:textId="77777777" w:rsidR="00F5289E" w:rsidRDefault="00C91173">
      <w:pPr>
        <w:spacing w:line="360" w:lineRule="auto"/>
        <w:ind w:firstLineChars="200" w:firstLine="420"/>
        <w:rPr>
          <w:szCs w:val="21"/>
        </w:rPr>
      </w:pPr>
      <w:r>
        <w:rPr>
          <w:rFonts w:hAnsi="宋体"/>
          <w:szCs w:val="21"/>
        </w:rPr>
        <w:t>（</w:t>
      </w:r>
      <w:r>
        <w:rPr>
          <w:szCs w:val="21"/>
        </w:rPr>
        <w:t>5</w:t>
      </w:r>
      <w:r>
        <w:rPr>
          <w:rFonts w:hAnsi="宋体"/>
          <w:szCs w:val="21"/>
        </w:rPr>
        <w:t>）学术论文的题目及署名；</w:t>
      </w:r>
    </w:p>
    <w:p w14:paraId="67A6BE9B" w14:textId="77777777" w:rsidR="00F5289E" w:rsidRDefault="00C91173">
      <w:pPr>
        <w:spacing w:line="360" w:lineRule="auto"/>
        <w:ind w:firstLineChars="200" w:firstLine="420"/>
        <w:rPr>
          <w:szCs w:val="21"/>
        </w:rPr>
      </w:pPr>
      <w:r>
        <w:rPr>
          <w:rFonts w:hAnsi="宋体"/>
          <w:szCs w:val="21"/>
        </w:rPr>
        <w:t>（</w:t>
      </w:r>
      <w:r>
        <w:rPr>
          <w:szCs w:val="21"/>
        </w:rPr>
        <w:t>6</w:t>
      </w:r>
      <w:r>
        <w:rPr>
          <w:rFonts w:hAnsi="宋体"/>
          <w:szCs w:val="21"/>
        </w:rPr>
        <w:t>）学术论文的摘要、关键词及外文翻译；</w:t>
      </w:r>
    </w:p>
    <w:p w14:paraId="02EB3859" w14:textId="77777777" w:rsidR="00F5289E" w:rsidRDefault="00C91173">
      <w:pPr>
        <w:spacing w:line="360" w:lineRule="auto"/>
        <w:ind w:firstLineChars="200" w:firstLine="420"/>
        <w:rPr>
          <w:szCs w:val="21"/>
        </w:rPr>
      </w:pPr>
      <w:r>
        <w:rPr>
          <w:rFonts w:hAnsi="宋体"/>
          <w:szCs w:val="21"/>
        </w:rPr>
        <w:t>（</w:t>
      </w:r>
      <w:r>
        <w:rPr>
          <w:szCs w:val="21"/>
        </w:rPr>
        <w:t>7</w:t>
      </w:r>
      <w:r>
        <w:rPr>
          <w:rFonts w:hAnsi="宋体"/>
          <w:szCs w:val="21"/>
        </w:rPr>
        <w:t>）学术论文（引言、正文、结论、致谢等）；</w:t>
      </w:r>
    </w:p>
    <w:p w14:paraId="14DD615C" w14:textId="77777777" w:rsidR="00F5289E" w:rsidRDefault="00C91173">
      <w:pPr>
        <w:spacing w:line="360" w:lineRule="auto"/>
        <w:ind w:firstLineChars="200" w:firstLine="420"/>
        <w:rPr>
          <w:szCs w:val="21"/>
        </w:rPr>
      </w:pPr>
      <w:r>
        <w:rPr>
          <w:rFonts w:hAnsi="宋体"/>
          <w:szCs w:val="21"/>
        </w:rPr>
        <w:t>（</w:t>
      </w:r>
      <w:r>
        <w:rPr>
          <w:szCs w:val="21"/>
        </w:rPr>
        <w:t>8</w:t>
      </w:r>
      <w:r>
        <w:rPr>
          <w:rFonts w:hAnsi="宋体"/>
          <w:szCs w:val="21"/>
        </w:rPr>
        <w:t>）学术论文的参考文献及其格式；</w:t>
      </w:r>
    </w:p>
    <w:p w14:paraId="0BECD4A7" w14:textId="77777777" w:rsidR="00F5289E" w:rsidRDefault="00C91173">
      <w:pPr>
        <w:spacing w:line="360" w:lineRule="auto"/>
        <w:ind w:firstLineChars="200" w:firstLine="420"/>
        <w:rPr>
          <w:szCs w:val="21"/>
        </w:rPr>
      </w:pPr>
      <w:r>
        <w:rPr>
          <w:rFonts w:hAnsi="宋体"/>
          <w:szCs w:val="21"/>
          <w:lang w:val="zh-CN"/>
        </w:rPr>
        <w:t>（</w:t>
      </w:r>
      <w:r>
        <w:rPr>
          <w:szCs w:val="21"/>
          <w:lang w:val="zh-CN"/>
        </w:rPr>
        <w:t>9</w:t>
      </w:r>
      <w:r>
        <w:rPr>
          <w:rFonts w:hAnsi="宋体"/>
          <w:szCs w:val="21"/>
          <w:lang w:val="zh-CN"/>
        </w:rPr>
        <w:t>）科技论文的写作技巧</w:t>
      </w:r>
      <w:r>
        <w:rPr>
          <w:rFonts w:hAnsi="宋体" w:hint="eastAsia"/>
          <w:szCs w:val="21"/>
          <w:lang w:val="zh-CN"/>
        </w:rPr>
        <w:t>。</w:t>
      </w:r>
    </w:p>
    <w:p w14:paraId="17A6C710" w14:textId="77777777" w:rsidR="00F5289E" w:rsidRDefault="00C91173">
      <w:pPr>
        <w:spacing w:line="360" w:lineRule="auto"/>
        <w:ind w:left="540"/>
        <w:rPr>
          <w:szCs w:val="21"/>
        </w:rPr>
      </w:pPr>
      <w:r>
        <w:rPr>
          <w:rFonts w:hint="eastAsia"/>
          <w:szCs w:val="21"/>
        </w:rPr>
        <w:lastRenderedPageBreak/>
        <w:t>2</w:t>
      </w:r>
      <w:r>
        <w:rPr>
          <w:rFonts w:hint="eastAsia"/>
          <w:szCs w:val="21"/>
        </w:rPr>
        <w:t>、</w:t>
      </w:r>
      <w:r>
        <w:rPr>
          <w:rFonts w:hAnsi="宋体"/>
          <w:szCs w:val="21"/>
        </w:rPr>
        <w:t>基本概念和知识点</w:t>
      </w:r>
      <w:r>
        <w:rPr>
          <w:rFonts w:hAnsi="宋体" w:hint="eastAsia"/>
          <w:szCs w:val="21"/>
        </w:rPr>
        <w:t>：</w:t>
      </w:r>
    </w:p>
    <w:p w14:paraId="742F73B8" w14:textId="77777777" w:rsidR="00F5289E" w:rsidRDefault="00C91173">
      <w:pPr>
        <w:spacing w:line="360" w:lineRule="auto"/>
        <w:ind w:left="142" w:firstLineChars="189" w:firstLine="397"/>
        <w:rPr>
          <w:szCs w:val="21"/>
        </w:rPr>
      </w:pPr>
      <w:r>
        <w:rPr>
          <w:rFonts w:hAnsi="宋体"/>
          <w:szCs w:val="21"/>
        </w:rPr>
        <w:t>（</w:t>
      </w:r>
      <w:r>
        <w:rPr>
          <w:szCs w:val="21"/>
        </w:rPr>
        <w:t>1</w:t>
      </w:r>
      <w:r>
        <w:rPr>
          <w:rFonts w:hAnsi="宋体"/>
          <w:szCs w:val="21"/>
        </w:rPr>
        <w:t>）基本概念：科研论文</w:t>
      </w:r>
      <w:r>
        <w:rPr>
          <w:rFonts w:hAnsi="宋体" w:hint="eastAsia"/>
          <w:szCs w:val="21"/>
        </w:rPr>
        <w:t>、</w:t>
      </w:r>
      <w:r>
        <w:rPr>
          <w:rFonts w:hAnsi="宋体"/>
          <w:szCs w:val="21"/>
          <w:lang w:val="zh-CN"/>
        </w:rPr>
        <w:t>报道性文摘</w:t>
      </w:r>
      <w:r>
        <w:rPr>
          <w:rFonts w:hAnsi="宋体" w:hint="eastAsia"/>
          <w:szCs w:val="21"/>
          <w:lang w:val="zh-CN"/>
        </w:rPr>
        <w:t>、</w:t>
      </w:r>
      <w:r>
        <w:rPr>
          <w:rFonts w:hAnsi="宋体"/>
          <w:szCs w:val="21"/>
          <w:lang w:val="zh-CN"/>
        </w:rPr>
        <w:t>指示性文摘</w:t>
      </w:r>
      <w:r>
        <w:rPr>
          <w:rFonts w:hAnsi="宋体" w:hint="eastAsia"/>
          <w:szCs w:val="21"/>
          <w:lang w:val="zh-CN"/>
        </w:rPr>
        <w:t>、</w:t>
      </w:r>
      <w:r>
        <w:rPr>
          <w:rFonts w:hAnsi="宋体"/>
          <w:szCs w:val="21"/>
          <w:lang w:val="zh-CN"/>
        </w:rPr>
        <w:t>报道</w:t>
      </w:r>
      <w:r>
        <w:rPr>
          <w:szCs w:val="21"/>
          <w:lang w:val="zh-CN"/>
        </w:rPr>
        <w:t>-</w:t>
      </w:r>
      <w:r>
        <w:rPr>
          <w:rFonts w:hAnsi="宋体"/>
          <w:szCs w:val="21"/>
          <w:lang w:val="zh-CN"/>
        </w:rPr>
        <w:t>指示性文摘</w:t>
      </w:r>
      <w:r>
        <w:rPr>
          <w:rFonts w:hAnsi="宋体" w:hint="eastAsia"/>
          <w:szCs w:val="21"/>
          <w:lang w:val="zh-CN"/>
        </w:rPr>
        <w:t>、</w:t>
      </w:r>
      <w:r>
        <w:rPr>
          <w:rFonts w:hAnsi="宋体"/>
          <w:szCs w:val="21"/>
          <w:lang w:val="zh-CN"/>
        </w:rPr>
        <w:t>关键词</w:t>
      </w:r>
      <w:r>
        <w:rPr>
          <w:rFonts w:hAnsi="宋体" w:hint="eastAsia"/>
          <w:szCs w:val="21"/>
          <w:lang w:val="zh-CN"/>
        </w:rPr>
        <w:t>、</w:t>
      </w:r>
      <w:r>
        <w:rPr>
          <w:rFonts w:hAnsi="宋体"/>
          <w:szCs w:val="21"/>
          <w:lang w:val="zh-CN"/>
        </w:rPr>
        <w:t>主题词</w:t>
      </w:r>
      <w:r>
        <w:rPr>
          <w:rFonts w:hAnsi="宋体" w:hint="eastAsia"/>
          <w:szCs w:val="21"/>
          <w:lang w:val="zh-CN"/>
        </w:rPr>
        <w:t>、</w:t>
      </w:r>
      <w:r>
        <w:rPr>
          <w:rFonts w:hAnsi="宋体"/>
          <w:szCs w:val="21"/>
          <w:lang w:val="zh-CN"/>
        </w:rPr>
        <w:t>分类号</w:t>
      </w:r>
      <w:r>
        <w:rPr>
          <w:rFonts w:hAnsi="宋体" w:hint="eastAsia"/>
          <w:szCs w:val="21"/>
          <w:lang w:val="zh-CN"/>
        </w:rPr>
        <w:t>、</w:t>
      </w:r>
      <w:r>
        <w:rPr>
          <w:rFonts w:hAnsi="宋体"/>
          <w:szCs w:val="21"/>
          <w:lang w:val="zh-CN"/>
        </w:rPr>
        <w:t>顺序编码制</w:t>
      </w:r>
      <w:r>
        <w:rPr>
          <w:rFonts w:hAnsi="宋体" w:hint="eastAsia"/>
          <w:szCs w:val="21"/>
          <w:lang w:val="zh-CN"/>
        </w:rPr>
        <w:t>、</w:t>
      </w:r>
      <w:r>
        <w:rPr>
          <w:rFonts w:hAnsi="宋体"/>
          <w:szCs w:val="21"/>
          <w:lang w:val="zh-CN"/>
        </w:rPr>
        <w:t>著者</w:t>
      </w:r>
      <w:r>
        <w:rPr>
          <w:szCs w:val="21"/>
          <w:lang w:val="zh-CN"/>
        </w:rPr>
        <w:t>—</w:t>
      </w:r>
      <w:r>
        <w:rPr>
          <w:rFonts w:hAnsi="宋体"/>
          <w:szCs w:val="21"/>
          <w:lang w:val="zh-CN"/>
        </w:rPr>
        <w:t>出版年制。</w:t>
      </w:r>
    </w:p>
    <w:p w14:paraId="5B7761EA" w14:textId="77777777" w:rsidR="00F5289E" w:rsidRDefault="00C91173">
      <w:pPr>
        <w:spacing w:line="360" w:lineRule="auto"/>
        <w:ind w:left="540"/>
        <w:rPr>
          <w:szCs w:val="21"/>
        </w:rPr>
      </w:pPr>
      <w:r>
        <w:rPr>
          <w:rFonts w:hAnsi="宋体"/>
          <w:szCs w:val="21"/>
        </w:rPr>
        <w:t>（</w:t>
      </w:r>
      <w:r>
        <w:rPr>
          <w:szCs w:val="21"/>
        </w:rPr>
        <w:t>2</w:t>
      </w:r>
      <w:r>
        <w:rPr>
          <w:rFonts w:hAnsi="宋体"/>
          <w:szCs w:val="21"/>
        </w:rPr>
        <w:t>）知识点：</w:t>
      </w:r>
      <w:r>
        <w:rPr>
          <w:rFonts w:hAnsi="宋体"/>
          <w:szCs w:val="21"/>
          <w:lang w:val="zh-CN"/>
        </w:rPr>
        <w:t>科技论文的表达方式与写作技巧。</w:t>
      </w:r>
    </w:p>
    <w:p w14:paraId="0DF42275"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69DA8AD0" w14:textId="77777777" w:rsidR="00F5289E" w:rsidRDefault="00C91173">
      <w:pPr>
        <w:widowControl/>
        <w:shd w:val="clear" w:color="auto" w:fill="FFFFFF"/>
        <w:spacing w:line="360" w:lineRule="auto"/>
        <w:ind w:firstLineChars="200" w:firstLine="420"/>
        <w:jc w:val="left"/>
        <w:rPr>
          <w:szCs w:val="21"/>
          <w:lang w:val="zh-CN"/>
        </w:rPr>
      </w:pPr>
      <w:r>
        <w:rPr>
          <w:rFonts w:hint="eastAsia"/>
          <w:szCs w:val="21"/>
          <w:lang w:val="zh-CN"/>
        </w:rPr>
        <w:t>采用教师课堂讲授为主，讲授科技论文的撰写规范，以及相关的写作技巧，并就科技论文的分类、写作标准等进行详细讲述。课堂布置</w:t>
      </w:r>
      <w:r>
        <w:rPr>
          <w:rFonts w:hint="eastAsia"/>
          <w:szCs w:val="21"/>
          <w:lang w:val="zh-CN"/>
        </w:rPr>
        <w:t>2-3</w:t>
      </w:r>
      <w:r>
        <w:rPr>
          <w:rFonts w:hint="eastAsia"/>
          <w:szCs w:val="21"/>
          <w:lang w:val="zh-CN"/>
        </w:rPr>
        <w:t>个课堂讨论，增加学生对论文写作规范和写作技巧的认知。</w:t>
      </w:r>
    </w:p>
    <w:p w14:paraId="000C4321" w14:textId="77777777" w:rsidR="00F5289E" w:rsidRDefault="00C91173">
      <w:pPr>
        <w:spacing w:beforeLines="50" w:before="156" w:line="360" w:lineRule="auto"/>
        <w:jc w:val="right"/>
        <w:rPr>
          <w:b/>
          <w:bCs/>
          <w:kern w:val="0"/>
          <w:szCs w:val="21"/>
        </w:rPr>
      </w:pPr>
      <w:r>
        <w:rPr>
          <w:rFonts w:hAnsi="宋体"/>
          <w:b/>
          <w:bCs/>
          <w:kern w:val="0"/>
          <w:szCs w:val="21"/>
        </w:rPr>
        <w:t>第</w:t>
      </w:r>
      <w:r>
        <w:rPr>
          <w:rFonts w:hAnsi="宋体" w:hint="eastAsia"/>
          <w:b/>
          <w:bCs/>
          <w:kern w:val="0"/>
          <w:szCs w:val="21"/>
        </w:rPr>
        <w:t>五</w:t>
      </w:r>
      <w:r>
        <w:rPr>
          <w:rFonts w:hAnsi="宋体"/>
          <w:b/>
          <w:bCs/>
          <w:kern w:val="0"/>
          <w:szCs w:val="21"/>
        </w:rPr>
        <w:t>章</w:t>
      </w:r>
      <w:r>
        <w:rPr>
          <w:b/>
          <w:bCs/>
          <w:kern w:val="0"/>
          <w:szCs w:val="21"/>
        </w:rPr>
        <w:t xml:space="preserve">  </w:t>
      </w:r>
      <w:r>
        <w:rPr>
          <w:rFonts w:hAnsi="宋体"/>
          <w:b/>
          <w:bCs/>
          <w:kern w:val="0"/>
          <w:szCs w:val="21"/>
        </w:rPr>
        <w:t>学位论文与写作要领</w:t>
      </w:r>
      <w:r>
        <w:rPr>
          <w:b/>
          <w:bCs/>
          <w:kern w:val="0"/>
          <w:szCs w:val="21"/>
        </w:rPr>
        <w:t xml:space="preserve">          </w:t>
      </w:r>
      <w:r>
        <w:rPr>
          <w:b/>
          <w:szCs w:val="21"/>
        </w:rPr>
        <w:t xml:space="preserve">       </w:t>
      </w:r>
      <w:r>
        <w:rPr>
          <w:rFonts w:hAnsi="宋体"/>
          <w:b/>
          <w:bCs/>
          <w:kern w:val="0"/>
          <w:szCs w:val="21"/>
        </w:rPr>
        <w:t>学时数：</w:t>
      </w:r>
      <w:r>
        <w:rPr>
          <w:rFonts w:hint="eastAsia"/>
          <w:b/>
          <w:bCs/>
          <w:kern w:val="0"/>
          <w:szCs w:val="21"/>
        </w:rPr>
        <w:t>3</w:t>
      </w:r>
    </w:p>
    <w:p w14:paraId="7177FC3D" w14:textId="77777777" w:rsidR="00F5289E" w:rsidRDefault="00C91173">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学位论文的基本概念与意义</w:t>
      </w:r>
      <w:r>
        <w:rPr>
          <w:rFonts w:hAnsi="宋体" w:hint="eastAsia"/>
          <w:szCs w:val="21"/>
          <w:lang w:val="zh-CN"/>
        </w:rPr>
        <w:t>。</w:t>
      </w:r>
    </w:p>
    <w:p w14:paraId="2314934B" w14:textId="77777777" w:rsidR="00F5289E" w:rsidRDefault="00C91173">
      <w:pPr>
        <w:widowControl/>
        <w:snapToGrid w:val="0"/>
        <w:spacing w:line="360" w:lineRule="auto"/>
        <w:rPr>
          <w:b/>
          <w:bCs/>
          <w:kern w:val="0"/>
          <w:szCs w:val="21"/>
        </w:rPr>
      </w:pPr>
      <w:r>
        <w:rPr>
          <w:rFonts w:hAnsi="宋体"/>
          <w:b/>
          <w:bCs/>
          <w:szCs w:val="21"/>
        </w:rPr>
        <w:t>教学重点和难点：</w:t>
      </w:r>
      <w:r>
        <w:rPr>
          <w:rFonts w:hAnsi="宋体"/>
          <w:szCs w:val="21"/>
        </w:rPr>
        <w:t>学位论文的规格；</w:t>
      </w:r>
      <w:r>
        <w:rPr>
          <w:rFonts w:hAnsi="宋体"/>
          <w:szCs w:val="21"/>
          <w:lang w:val="zh-CN"/>
        </w:rPr>
        <w:t>学位论文的选题；</w:t>
      </w:r>
      <w:r>
        <w:rPr>
          <w:rFonts w:hAnsi="宋体"/>
          <w:szCs w:val="21"/>
        </w:rPr>
        <w:t>开题报告的写作及规范要求</w:t>
      </w:r>
      <w:r>
        <w:rPr>
          <w:rFonts w:hAnsi="宋体" w:hint="eastAsia"/>
          <w:szCs w:val="21"/>
        </w:rPr>
        <w:t>。</w:t>
      </w:r>
    </w:p>
    <w:p w14:paraId="67637158" w14:textId="77777777" w:rsidR="00F5289E" w:rsidRDefault="00C91173">
      <w:pPr>
        <w:spacing w:line="360" w:lineRule="auto"/>
        <w:rPr>
          <w:szCs w:val="21"/>
        </w:rPr>
      </w:pPr>
      <w:r>
        <w:rPr>
          <w:rFonts w:hAnsi="宋体"/>
          <w:b/>
          <w:bCs/>
          <w:szCs w:val="21"/>
        </w:rPr>
        <w:t>主要教学内容及要求：</w:t>
      </w:r>
      <w:r>
        <w:rPr>
          <w:szCs w:val="21"/>
        </w:rPr>
        <w:t xml:space="preserve"> </w:t>
      </w:r>
    </w:p>
    <w:p w14:paraId="6D0039A6" w14:textId="77777777" w:rsidR="00F5289E" w:rsidRDefault="00C91173">
      <w:pPr>
        <w:spacing w:line="360" w:lineRule="auto"/>
        <w:ind w:firstLineChars="250" w:firstLine="525"/>
        <w:rPr>
          <w:szCs w:val="21"/>
        </w:rPr>
      </w:pPr>
      <w:r>
        <w:rPr>
          <w:rFonts w:hAnsi="宋体"/>
          <w:szCs w:val="21"/>
        </w:rPr>
        <w:t>了解</w:t>
      </w:r>
      <w:r>
        <w:rPr>
          <w:rFonts w:hAnsi="宋体" w:hint="eastAsia"/>
          <w:szCs w:val="21"/>
        </w:rPr>
        <w:t>：</w:t>
      </w:r>
      <w:r>
        <w:rPr>
          <w:rFonts w:hAnsi="宋体"/>
          <w:szCs w:val="21"/>
        </w:rPr>
        <w:t>学位论文的概念、特点、作用与要求</w:t>
      </w:r>
      <w:r>
        <w:rPr>
          <w:rFonts w:hAnsi="宋体" w:hint="eastAsia"/>
          <w:szCs w:val="21"/>
        </w:rPr>
        <w:t>。</w:t>
      </w:r>
    </w:p>
    <w:p w14:paraId="3CB078BC" w14:textId="77777777" w:rsidR="00F5289E" w:rsidRDefault="00C91173">
      <w:pPr>
        <w:spacing w:line="360" w:lineRule="auto"/>
        <w:ind w:firstLineChars="250" w:firstLine="525"/>
        <w:rPr>
          <w:szCs w:val="21"/>
        </w:rPr>
      </w:pPr>
      <w:r>
        <w:rPr>
          <w:rFonts w:hAnsi="宋体"/>
          <w:szCs w:val="21"/>
        </w:rPr>
        <w:t>掌握</w:t>
      </w:r>
      <w:r>
        <w:rPr>
          <w:rFonts w:hAnsi="宋体" w:hint="eastAsia"/>
          <w:szCs w:val="21"/>
        </w:rPr>
        <w:t>：</w:t>
      </w:r>
      <w:r>
        <w:rPr>
          <w:rFonts w:hAnsi="宋体"/>
          <w:szCs w:val="21"/>
        </w:rPr>
        <w:t>学位论文的选题原则，试验结果的正确处理与整理</w:t>
      </w:r>
      <w:r>
        <w:rPr>
          <w:rFonts w:hAnsi="宋体" w:hint="eastAsia"/>
          <w:szCs w:val="21"/>
        </w:rPr>
        <w:t>。</w:t>
      </w:r>
    </w:p>
    <w:p w14:paraId="59149FA2" w14:textId="77777777" w:rsidR="00F5289E" w:rsidRDefault="00C91173">
      <w:pPr>
        <w:spacing w:line="360" w:lineRule="auto"/>
        <w:ind w:firstLineChars="250" w:firstLine="525"/>
        <w:rPr>
          <w:szCs w:val="21"/>
        </w:rPr>
      </w:pPr>
      <w:r>
        <w:rPr>
          <w:rFonts w:hAnsi="宋体"/>
          <w:szCs w:val="21"/>
        </w:rPr>
        <w:t>熟练掌握</w:t>
      </w:r>
      <w:r>
        <w:rPr>
          <w:rFonts w:hAnsi="宋体" w:hint="eastAsia"/>
          <w:szCs w:val="21"/>
        </w:rPr>
        <w:t>：</w:t>
      </w:r>
      <w:r>
        <w:rPr>
          <w:rFonts w:hAnsi="宋体"/>
          <w:szCs w:val="21"/>
          <w:lang w:val="zh-CN"/>
        </w:rPr>
        <w:t>学位论文的撰写与答辩</w:t>
      </w:r>
      <w:r>
        <w:rPr>
          <w:rFonts w:hAnsi="宋体"/>
          <w:szCs w:val="21"/>
        </w:rPr>
        <w:t>。</w:t>
      </w:r>
    </w:p>
    <w:p w14:paraId="073CF3CE" w14:textId="77777777" w:rsidR="00F5289E" w:rsidRDefault="00C91173">
      <w:pPr>
        <w:spacing w:line="360" w:lineRule="auto"/>
        <w:ind w:left="540"/>
        <w:rPr>
          <w:szCs w:val="21"/>
        </w:rPr>
      </w:pPr>
      <w:r>
        <w:rPr>
          <w:rFonts w:hAnsi="宋体"/>
          <w:szCs w:val="21"/>
        </w:rPr>
        <w:t>基本概念和知识点</w:t>
      </w:r>
      <w:r>
        <w:rPr>
          <w:rFonts w:hAnsi="宋体" w:hint="eastAsia"/>
          <w:szCs w:val="21"/>
        </w:rPr>
        <w:t>：</w:t>
      </w:r>
    </w:p>
    <w:p w14:paraId="4861D32B" w14:textId="77777777" w:rsidR="00F5289E" w:rsidRDefault="00C91173">
      <w:pPr>
        <w:spacing w:line="360" w:lineRule="auto"/>
        <w:ind w:left="540"/>
        <w:rPr>
          <w:szCs w:val="21"/>
        </w:rPr>
      </w:pPr>
      <w:r>
        <w:rPr>
          <w:rFonts w:hAnsi="宋体"/>
          <w:szCs w:val="21"/>
        </w:rPr>
        <w:t>（</w:t>
      </w:r>
      <w:r>
        <w:rPr>
          <w:szCs w:val="21"/>
        </w:rPr>
        <w:t>1</w:t>
      </w:r>
      <w:r>
        <w:rPr>
          <w:rFonts w:hAnsi="宋体"/>
          <w:szCs w:val="21"/>
        </w:rPr>
        <w:t>）基本概念：毕业论文</w:t>
      </w:r>
      <w:r>
        <w:rPr>
          <w:rFonts w:hAnsi="宋体" w:hint="eastAsia"/>
          <w:szCs w:val="21"/>
        </w:rPr>
        <w:t>、</w:t>
      </w:r>
      <w:r>
        <w:rPr>
          <w:rFonts w:hAnsi="宋体"/>
          <w:szCs w:val="21"/>
        </w:rPr>
        <w:t>学位论文</w:t>
      </w:r>
      <w:r>
        <w:rPr>
          <w:rFonts w:hAnsi="宋体" w:hint="eastAsia"/>
          <w:szCs w:val="21"/>
        </w:rPr>
        <w:t>、</w:t>
      </w:r>
      <w:r>
        <w:rPr>
          <w:rFonts w:hAnsi="宋体"/>
          <w:szCs w:val="21"/>
        </w:rPr>
        <w:t>毕业设计</w:t>
      </w:r>
      <w:r>
        <w:rPr>
          <w:rFonts w:hAnsi="宋体" w:hint="eastAsia"/>
          <w:szCs w:val="21"/>
        </w:rPr>
        <w:t>、</w:t>
      </w:r>
      <w:r>
        <w:rPr>
          <w:rFonts w:hAnsi="宋体"/>
          <w:szCs w:val="21"/>
          <w:lang w:val="zh-CN"/>
        </w:rPr>
        <w:t>变异本式摘要</w:t>
      </w:r>
      <w:r>
        <w:rPr>
          <w:rFonts w:hAnsi="宋体" w:hint="eastAsia"/>
          <w:szCs w:val="21"/>
          <w:lang w:val="zh-CN"/>
        </w:rPr>
        <w:t>、</w:t>
      </w:r>
      <w:r>
        <w:rPr>
          <w:rFonts w:hAnsi="宋体"/>
          <w:szCs w:val="21"/>
          <w:lang w:val="zh-CN"/>
        </w:rPr>
        <w:t>附录</w:t>
      </w:r>
      <w:r>
        <w:rPr>
          <w:rFonts w:hAnsi="宋体" w:hint="eastAsia"/>
          <w:szCs w:val="21"/>
          <w:lang w:val="zh-CN"/>
        </w:rPr>
        <w:t>、</w:t>
      </w:r>
      <w:r>
        <w:rPr>
          <w:rFonts w:hAnsi="宋体"/>
          <w:szCs w:val="21"/>
        </w:rPr>
        <w:t>注释表。</w:t>
      </w:r>
    </w:p>
    <w:p w14:paraId="6BEEEE56" w14:textId="77777777" w:rsidR="00F5289E" w:rsidRDefault="00C91173">
      <w:pPr>
        <w:spacing w:line="360" w:lineRule="auto"/>
        <w:ind w:left="540"/>
        <w:rPr>
          <w:rFonts w:hAnsi="宋体"/>
          <w:szCs w:val="21"/>
          <w:lang w:val="zh-CN"/>
        </w:rPr>
      </w:pPr>
      <w:r>
        <w:rPr>
          <w:rFonts w:hAnsi="宋体"/>
          <w:szCs w:val="21"/>
        </w:rPr>
        <w:t>（</w:t>
      </w:r>
      <w:r>
        <w:rPr>
          <w:szCs w:val="21"/>
        </w:rPr>
        <w:t>2</w:t>
      </w:r>
      <w:r>
        <w:rPr>
          <w:rFonts w:hAnsi="宋体"/>
          <w:szCs w:val="21"/>
        </w:rPr>
        <w:t>）知识点：</w:t>
      </w:r>
      <w:r>
        <w:rPr>
          <w:rFonts w:hAnsi="宋体"/>
          <w:szCs w:val="21"/>
          <w:lang w:val="zh-CN"/>
        </w:rPr>
        <w:t>学位论文的特点与撰写。</w:t>
      </w:r>
    </w:p>
    <w:p w14:paraId="483A51A7"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005B499D" w14:textId="77777777" w:rsidR="00F5289E" w:rsidRDefault="00C91173">
      <w:pPr>
        <w:widowControl/>
        <w:shd w:val="clear" w:color="auto" w:fill="FFFFFF"/>
        <w:spacing w:line="360" w:lineRule="auto"/>
        <w:ind w:firstLineChars="200" w:firstLine="420"/>
        <w:jc w:val="left"/>
        <w:rPr>
          <w:szCs w:val="21"/>
          <w:lang w:val="zh-CN"/>
        </w:rPr>
      </w:pPr>
      <w:r>
        <w:rPr>
          <w:rFonts w:hint="eastAsia"/>
          <w:szCs w:val="21"/>
          <w:lang w:val="zh-CN"/>
        </w:rPr>
        <w:t>采用教师课堂讲授为主，讲授学位论文的选题、开题报道的撰写和写作规范，并以“河南农业大学学位论文撰写规范”为例与学生共同探讨学位论文的撰写要领。</w:t>
      </w:r>
    </w:p>
    <w:p w14:paraId="4923CCA0" w14:textId="77777777" w:rsidR="00F5289E" w:rsidRDefault="00C91173">
      <w:pPr>
        <w:spacing w:beforeLines="50" w:before="156" w:line="360" w:lineRule="auto"/>
        <w:jc w:val="right"/>
        <w:rPr>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b/>
          <w:bCs/>
          <w:kern w:val="0"/>
          <w:szCs w:val="21"/>
        </w:rPr>
        <w:t xml:space="preserve">  </w:t>
      </w:r>
      <w:r>
        <w:rPr>
          <w:rFonts w:hAnsi="宋体"/>
          <w:b/>
          <w:bCs/>
          <w:kern w:val="0"/>
          <w:szCs w:val="21"/>
        </w:rPr>
        <w:t>投稿与论文发表</w:t>
      </w:r>
      <w:r>
        <w:rPr>
          <w:b/>
          <w:bCs/>
          <w:kern w:val="0"/>
          <w:szCs w:val="21"/>
        </w:rPr>
        <w:t xml:space="preserve">        </w:t>
      </w:r>
      <w:r>
        <w:rPr>
          <w:b/>
          <w:szCs w:val="21"/>
        </w:rPr>
        <w:t xml:space="preserve">  </w:t>
      </w:r>
      <w:r>
        <w:rPr>
          <w:rFonts w:hint="eastAsia"/>
          <w:b/>
          <w:szCs w:val="21"/>
        </w:rPr>
        <w:t xml:space="preserve"> </w:t>
      </w:r>
      <w:r>
        <w:rPr>
          <w:b/>
          <w:szCs w:val="21"/>
        </w:rPr>
        <w:t xml:space="preserve">        </w:t>
      </w:r>
      <w:r>
        <w:rPr>
          <w:rFonts w:hAnsi="宋体"/>
          <w:b/>
          <w:bCs/>
          <w:kern w:val="0"/>
          <w:szCs w:val="21"/>
        </w:rPr>
        <w:t>学时数：</w:t>
      </w:r>
      <w:r>
        <w:rPr>
          <w:b/>
          <w:bCs/>
          <w:kern w:val="0"/>
          <w:szCs w:val="21"/>
        </w:rPr>
        <w:t>2</w:t>
      </w:r>
    </w:p>
    <w:p w14:paraId="7D6DDFA1" w14:textId="77777777" w:rsidR="00F5289E" w:rsidRDefault="00C91173">
      <w:pPr>
        <w:widowControl/>
        <w:snapToGrid w:val="0"/>
        <w:spacing w:line="360" w:lineRule="auto"/>
        <w:rPr>
          <w:b/>
          <w:bCs/>
          <w:kern w:val="0"/>
          <w:szCs w:val="21"/>
        </w:rPr>
      </w:pPr>
      <w:r>
        <w:rPr>
          <w:rFonts w:hAnsi="宋体"/>
          <w:b/>
          <w:bCs/>
          <w:szCs w:val="21"/>
        </w:rPr>
        <w:t>教学目的：</w:t>
      </w:r>
      <w:r>
        <w:rPr>
          <w:rFonts w:hAnsi="宋体"/>
          <w:szCs w:val="21"/>
        </w:rPr>
        <w:t>了解学术刊物的一般特点与分类</w:t>
      </w:r>
      <w:r>
        <w:rPr>
          <w:rFonts w:hAnsi="宋体" w:hint="eastAsia"/>
          <w:szCs w:val="21"/>
        </w:rPr>
        <w:t>。</w:t>
      </w:r>
    </w:p>
    <w:p w14:paraId="7B2912FA" w14:textId="77777777" w:rsidR="00F5289E" w:rsidRDefault="00C91173">
      <w:pPr>
        <w:widowControl/>
        <w:snapToGrid w:val="0"/>
        <w:spacing w:line="360" w:lineRule="auto"/>
        <w:rPr>
          <w:b/>
          <w:bCs/>
          <w:kern w:val="0"/>
          <w:szCs w:val="21"/>
        </w:rPr>
      </w:pPr>
      <w:r>
        <w:rPr>
          <w:rFonts w:hAnsi="宋体"/>
          <w:b/>
          <w:bCs/>
          <w:szCs w:val="21"/>
        </w:rPr>
        <w:t>教学重点和难点：</w:t>
      </w:r>
      <w:r>
        <w:rPr>
          <w:rFonts w:hAnsi="宋体"/>
          <w:szCs w:val="21"/>
        </w:rPr>
        <w:t>国内外科技刊物的特点与投稿注意事项</w:t>
      </w:r>
      <w:r>
        <w:rPr>
          <w:rFonts w:hAnsi="宋体" w:hint="eastAsia"/>
          <w:szCs w:val="21"/>
        </w:rPr>
        <w:t>。</w:t>
      </w:r>
    </w:p>
    <w:p w14:paraId="71CA0BCF" w14:textId="77777777" w:rsidR="00F5289E" w:rsidRDefault="00C91173">
      <w:pPr>
        <w:spacing w:line="360" w:lineRule="auto"/>
        <w:rPr>
          <w:b/>
          <w:bCs/>
          <w:szCs w:val="21"/>
        </w:rPr>
      </w:pPr>
      <w:r>
        <w:rPr>
          <w:rFonts w:hAnsi="宋体"/>
          <w:b/>
          <w:bCs/>
          <w:szCs w:val="21"/>
        </w:rPr>
        <w:t>主要教学内容及要求：</w:t>
      </w:r>
    </w:p>
    <w:p w14:paraId="6F34024D" w14:textId="77777777" w:rsidR="00F5289E" w:rsidRDefault="00C91173">
      <w:pPr>
        <w:spacing w:line="360" w:lineRule="auto"/>
        <w:ind w:firstLineChars="200" w:firstLine="420"/>
        <w:rPr>
          <w:szCs w:val="21"/>
        </w:rPr>
      </w:pPr>
      <w:r>
        <w:rPr>
          <w:rFonts w:hAnsi="宋体"/>
          <w:szCs w:val="21"/>
        </w:rPr>
        <w:t>了解</w:t>
      </w:r>
      <w:r>
        <w:rPr>
          <w:rFonts w:hAnsi="宋体" w:hint="eastAsia"/>
          <w:szCs w:val="21"/>
        </w:rPr>
        <w:t>：</w:t>
      </w:r>
      <w:r>
        <w:rPr>
          <w:rFonts w:hAnsi="宋体"/>
          <w:szCs w:val="21"/>
          <w:lang w:val="zh-CN"/>
        </w:rPr>
        <w:t>适合本专业投稿的国外刊物信息</w:t>
      </w:r>
      <w:r>
        <w:rPr>
          <w:rFonts w:hAnsi="宋体" w:hint="eastAsia"/>
          <w:szCs w:val="21"/>
        </w:rPr>
        <w:t>。</w:t>
      </w:r>
    </w:p>
    <w:p w14:paraId="394938C9" w14:textId="77777777" w:rsidR="00F5289E" w:rsidRDefault="00C91173">
      <w:pPr>
        <w:spacing w:line="360" w:lineRule="auto"/>
        <w:ind w:firstLineChars="200" w:firstLine="420"/>
        <w:rPr>
          <w:szCs w:val="21"/>
          <w:lang w:val="zh-CN"/>
        </w:rPr>
      </w:pPr>
      <w:r>
        <w:rPr>
          <w:rFonts w:hAnsi="宋体"/>
          <w:szCs w:val="21"/>
        </w:rPr>
        <w:t>掌握</w:t>
      </w:r>
      <w:r>
        <w:rPr>
          <w:rFonts w:hAnsi="宋体" w:hint="eastAsia"/>
          <w:szCs w:val="21"/>
        </w:rPr>
        <w:t>：</w:t>
      </w:r>
      <w:r>
        <w:rPr>
          <w:rFonts w:hAnsi="宋体"/>
          <w:szCs w:val="21"/>
        </w:rPr>
        <w:t>期刊级别及投稿的方式和技巧；中、外文献期刊投稿模板；</w:t>
      </w:r>
      <w:r>
        <w:rPr>
          <w:rFonts w:hAnsi="宋体"/>
          <w:szCs w:val="21"/>
          <w:lang w:val="zh-CN"/>
        </w:rPr>
        <w:t>科技论文的投稿与校对</w:t>
      </w:r>
      <w:r>
        <w:rPr>
          <w:rFonts w:hAnsi="宋体" w:hint="eastAsia"/>
          <w:szCs w:val="21"/>
          <w:lang w:val="zh-CN"/>
        </w:rPr>
        <w:t>。</w:t>
      </w:r>
    </w:p>
    <w:p w14:paraId="491457C0" w14:textId="77777777" w:rsidR="00F5289E" w:rsidRDefault="00C91173">
      <w:pPr>
        <w:spacing w:line="360" w:lineRule="auto"/>
        <w:ind w:firstLineChars="200" w:firstLine="420"/>
        <w:rPr>
          <w:szCs w:val="21"/>
        </w:rPr>
      </w:pPr>
      <w:r>
        <w:rPr>
          <w:rFonts w:hAnsi="宋体"/>
          <w:szCs w:val="21"/>
        </w:rPr>
        <w:t>熟练掌握</w:t>
      </w:r>
      <w:r>
        <w:rPr>
          <w:rFonts w:hAnsi="宋体" w:hint="eastAsia"/>
          <w:szCs w:val="21"/>
        </w:rPr>
        <w:t>：</w:t>
      </w:r>
      <w:r>
        <w:rPr>
          <w:rFonts w:hAnsi="宋体"/>
          <w:szCs w:val="21"/>
          <w:lang w:val="zh-CN"/>
        </w:rPr>
        <w:t>科技论文的投稿与校对</w:t>
      </w:r>
      <w:r>
        <w:rPr>
          <w:rFonts w:hAnsi="宋体"/>
          <w:szCs w:val="21"/>
        </w:rPr>
        <w:t>，学术论文的评审；电子信息类核心期刊及投稿技巧。</w:t>
      </w:r>
    </w:p>
    <w:p w14:paraId="2C774DB2" w14:textId="77777777" w:rsidR="00F5289E" w:rsidRDefault="00C91173">
      <w:pPr>
        <w:spacing w:line="360" w:lineRule="auto"/>
        <w:ind w:firstLine="420"/>
        <w:rPr>
          <w:szCs w:val="21"/>
        </w:rPr>
      </w:pPr>
      <w:r>
        <w:rPr>
          <w:rFonts w:hAnsi="宋体"/>
          <w:szCs w:val="21"/>
        </w:rPr>
        <w:t>基本概念和知识点</w:t>
      </w:r>
      <w:r>
        <w:rPr>
          <w:rFonts w:hAnsi="宋体" w:hint="eastAsia"/>
          <w:szCs w:val="21"/>
        </w:rPr>
        <w:t>：</w:t>
      </w:r>
    </w:p>
    <w:p w14:paraId="77EC838C" w14:textId="77777777" w:rsidR="00F5289E" w:rsidRDefault="00C91173">
      <w:pPr>
        <w:spacing w:line="360" w:lineRule="auto"/>
        <w:ind w:firstLine="420"/>
        <w:rPr>
          <w:szCs w:val="21"/>
        </w:rPr>
      </w:pPr>
      <w:r>
        <w:rPr>
          <w:rFonts w:hAnsi="宋体"/>
          <w:szCs w:val="21"/>
        </w:rPr>
        <w:lastRenderedPageBreak/>
        <w:t>（</w:t>
      </w:r>
      <w:r>
        <w:rPr>
          <w:szCs w:val="21"/>
        </w:rPr>
        <w:t>1</w:t>
      </w:r>
      <w:r>
        <w:rPr>
          <w:rFonts w:hAnsi="宋体"/>
          <w:szCs w:val="21"/>
        </w:rPr>
        <w:t>）基本概念：投稿</w:t>
      </w:r>
      <w:r>
        <w:rPr>
          <w:rFonts w:hAnsi="宋体" w:hint="eastAsia"/>
          <w:szCs w:val="21"/>
        </w:rPr>
        <w:t>、</w:t>
      </w:r>
      <w:r>
        <w:rPr>
          <w:rFonts w:hAnsi="宋体"/>
          <w:szCs w:val="21"/>
        </w:rPr>
        <w:t>录用</w:t>
      </w:r>
      <w:r>
        <w:rPr>
          <w:rFonts w:hAnsi="宋体" w:hint="eastAsia"/>
          <w:szCs w:val="21"/>
        </w:rPr>
        <w:t>、</w:t>
      </w:r>
      <w:r>
        <w:rPr>
          <w:rFonts w:hAnsi="宋体"/>
          <w:szCs w:val="21"/>
        </w:rPr>
        <w:t>发表</w:t>
      </w:r>
      <w:r>
        <w:rPr>
          <w:rFonts w:hAnsi="宋体" w:hint="eastAsia"/>
          <w:szCs w:val="21"/>
        </w:rPr>
        <w:t>、</w:t>
      </w:r>
      <w:r>
        <w:rPr>
          <w:rFonts w:hAnsi="宋体"/>
          <w:szCs w:val="21"/>
        </w:rPr>
        <w:t>退修</w:t>
      </w:r>
      <w:r>
        <w:rPr>
          <w:rFonts w:hAnsi="宋体" w:hint="eastAsia"/>
          <w:szCs w:val="21"/>
        </w:rPr>
        <w:t>、</w:t>
      </w:r>
      <w:r>
        <w:rPr>
          <w:rFonts w:hAnsi="宋体"/>
          <w:szCs w:val="21"/>
        </w:rPr>
        <w:t>退稿</w:t>
      </w:r>
      <w:r>
        <w:rPr>
          <w:rFonts w:hAnsi="宋体" w:hint="eastAsia"/>
          <w:szCs w:val="21"/>
        </w:rPr>
        <w:t>、</w:t>
      </w:r>
      <w:r>
        <w:rPr>
          <w:rFonts w:hAnsi="宋体"/>
          <w:szCs w:val="21"/>
        </w:rPr>
        <w:t>校对。</w:t>
      </w:r>
    </w:p>
    <w:p w14:paraId="477F828D" w14:textId="77777777" w:rsidR="00F5289E" w:rsidRDefault="00C91173">
      <w:pPr>
        <w:spacing w:line="360" w:lineRule="auto"/>
        <w:ind w:firstLineChars="200" w:firstLine="420"/>
        <w:rPr>
          <w:rFonts w:hAnsi="宋体"/>
          <w:szCs w:val="21"/>
        </w:rPr>
      </w:pPr>
      <w:r>
        <w:rPr>
          <w:rFonts w:hAnsi="宋体"/>
          <w:szCs w:val="21"/>
        </w:rPr>
        <w:t>（</w:t>
      </w:r>
      <w:r>
        <w:rPr>
          <w:szCs w:val="21"/>
        </w:rPr>
        <w:t>2</w:t>
      </w:r>
      <w:r>
        <w:rPr>
          <w:rFonts w:hAnsi="宋体"/>
          <w:szCs w:val="21"/>
        </w:rPr>
        <w:t>）知识点：投稿刊物的选择与论文修稿。</w:t>
      </w:r>
    </w:p>
    <w:p w14:paraId="01C03C42"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46D46C12" w14:textId="77777777" w:rsidR="00F5289E" w:rsidRDefault="00C91173">
      <w:pPr>
        <w:widowControl/>
        <w:shd w:val="clear" w:color="auto" w:fill="FFFFFF"/>
        <w:spacing w:line="360" w:lineRule="auto"/>
        <w:ind w:firstLineChars="200" w:firstLine="420"/>
        <w:jc w:val="left"/>
        <w:rPr>
          <w:szCs w:val="21"/>
        </w:rPr>
      </w:pPr>
      <w:r>
        <w:rPr>
          <w:rFonts w:hint="eastAsia"/>
          <w:szCs w:val="21"/>
          <w:lang w:val="zh-CN"/>
        </w:rPr>
        <w:t>采用教师课堂讲授为主，讲授</w:t>
      </w:r>
      <w:r>
        <w:rPr>
          <w:rFonts w:hAnsi="宋体"/>
          <w:szCs w:val="21"/>
        </w:rPr>
        <w:t>学术刊物的一般特点与分类</w:t>
      </w:r>
      <w:r>
        <w:rPr>
          <w:rFonts w:hAnsi="宋体" w:hint="eastAsia"/>
          <w:szCs w:val="21"/>
        </w:rPr>
        <w:t>，重点讲述科技期刊的</w:t>
      </w:r>
      <w:r>
        <w:rPr>
          <w:rFonts w:hAnsi="宋体"/>
          <w:szCs w:val="21"/>
        </w:rPr>
        <w:t>投稿注意事项</w:t>
      </w:r>
      <w:r>
        <w:rPr>
          <w:rFonts w:hint="eastAsia"/>
          <w:szCs w:val="21"/>
          <w:lang w:val="zh-CN"/>
        </w:rPr>
        <w:t>，并与学生就期刊的</w:t>
      </w:r>
      <w:r>
        <w:rPr>
          <w:rFonts w:hAnsi="宋体"/>
          <w:szCs w:val="21"/>
        </w:rPr>
        <w:t>投稿</w:t>
      </w:r>
      <w:r>
        <w:rPr>
          <w:rFonts w:hAnsi="宋体" w:hint="eastAsia"/>
          <w:szCs w:val="21"/>
        </w:rPr>
        <w:t>、</w:t>
      </w:r>
      <w:r>
        <w:rPr>
          <w:rFonts w:hAnsi="宋体"/>
          <w:szCs w:val="21"/>
        </w:rPr>
        <w:t>录用</w:t>
      </w:r>
      <w:r>
        <w:rPr>
          <w:rFonts w:hAnsi="宋体" w:hint="eastAsia"/>
          <w:szCs w:val="21"/>
        </w:rPr>
        <w:t>、</w:t>
      </w:r>
      <w:r>
        <w:rPr>
          <w:rFonts w:hAnsi="宋体"/>
          <w:szCs w:val="21"/>
        </w:rPr>
        <w:t>发表</w:t>
      </w:r>
      <w:r>
        <w:rPr>
          <w:rFonts w:hAnsi="宋体" w:hint="eastAsia"/>
          <w:szCs w:val="21"/>
        </w:rPr>
        <w:t>、</w:t>
      </w:r>
      <w:r>
        <w:rPr>
          <w:rFonts w:hAnsi="宋体"/>
          <w:szCs w:val="21"/>
        </w:rPr>
        <w:t>退修</w:t>
      </w:r>
      <w:r>
        <w:rPr>
          <w:rFonts w:hAnsi="宋体" w:hint="eastAsia"/>
          <w:szCs w:val="21"/>
        </w:rPr>
        <w:t>、</w:t>
      </w:r>
      <w:r>
        <w:rPr>
          <w:rFonts w:hAnsi="宋体"/>
          <w:szCs w:val="21"/>
        </w:rPr>
        <w:t>退稿</w:t>
      </w:r>
      <w:r>
        <w:rPr>
          <w:rFonts w:hAnsi="宋体" w:hint="eastAsia"/>
          <w:szCs w:val="21"/>
        </w:rPr>
        <w:t>、</w:t>
      </w:r>
      <w:r>
        <w:rPr>
          <w:rFonts w:hAnsi="宋体"/>
          <w:szCs w:val="21"/>
        </w:rPr>
        <w:t>校对</w:t>
      </w:r>
      <w:r>
        <w:rPr>
          <w:rFonts w:hAnsi="宋体" w:hint="eastAsia"/>
          <w:szCs w:val="21"/>
        </w:rPr>
        <w:t>等环节的注意事项进行讨论。</w:t>
      </w:r>
    </w:p>
    <w:p w14:paraId="5E42BBF1" w14:textId="77777777" w:rsidR="00F5289E" w:rsidRDefault="00C91173">
      <w:pPr>
        <w:spacing w:beforeLines="50" w:before="156" w:line="360" w:lineRule="auto"/>
        <w:ind w:firstLineChars="700" w:firstLine="1476"/>
        <w:jc w:val="right"/>
        <w:rPr>
          <w:b/>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b/>
          <w:bCs/>
          <w:kern w:val="0"/>
          <w:szCs w:val="21"/>
        </w:rPr>
        <w:t xml:space="preserve">  </w:t>
      </w:r>
      <w:r>
        <w:rPr>
          <w:rFonts w:hAnsi="宋体"/>
          <w:b/>
          <w:bCs/>
          <w:kern w:val="0"/>
          <w:szCs w:val="21"/>
        </w:rPr>
        <w:t>外文科技论文的翻译及示例分析</w:t>
      </w:r>
      <w:r>
        <w:rPr>
          <w:b/>
          <w:bCs/>
          <w:kern w:val="0"/>
          <w:szCs w:val="21"/>
        </w:rPr>
        <w:t xml:space="preserve">    </w:t>
      </w:r>
      <w:r>
        <w:rPr>
          <w:b/>
          <w:szCs w:val="21"/>
        </w:rPr>
        <w:t xml:space="preserve">       </w:t>
      </w:r>
      <w:r>
        <w:rPr>
          <w:rFonts w:hAnsi="宋体"/>
          <w:b/>
          <w:bCs/>
          <w:kern w:val="0"/>
          <w:szCs w:val="21"/>
        </w:rPr>
        <w:t>学时数：</w:t>
      </w:r>
      <w:r>
        <w:rPr>
          <w:b/>
          <w:bCs/>
          <w:kern w:val="0"/>
          <w:szCs w:val="21"/>
        </w:rPr>
        <w:t>2</w:t>
      </w:r>
    </w:p>
    <w:p w14:paraId="4130EF62" w14:textId="77777777" w:rsidR="00F5289E" w:rsidRDefault="00C91173">
      <w:pPr>
        <w:widowControl/>
        <w:snapToGrid w:val="0"/>
        <w:spacing w:line="360" w:lineRule="auto"/>
        <w:rPr>
          <w:b/>
          <w:bCs/>
          <w:kern w:val="0"/>
          <w:szCs w:val="21"/>
        </w:rPr>
      </w:pPr>
      <w:r>
        <w:rPr>
          <w:rFonts w:hAnsi="宋体"/>
          <w:b/>
          <w:bCs/>
          <w:szCs w:val="21"/>
        </w:rPr>
        <w:t>教学目的：</w:t>
      </w:r>
      <w:r>
        <w:rPr>
          <w:rFonts w:hAnsi="宋体"/>
          <w:szCs w:val="21"/>
        </w:rPr>
        <w:t>了解国外先进</w:t>
      </w:r>
      <w:r>
        <w:rPr>
          <w:rFonts w:hAnsi="宋体"/>
          <w:szCs w:val="21"/>
          <w:lang w:val="zh-CN"/>
        </w:rPr>
        <w:t>科学研究的国际动向，为科研选题提供参考</w:t>
      </w:r>
      <w:r>
        <w:rPr>
          <w:rFonts w:hAnsi="宋体" w:hint="eastAsia"/>
          <w:szCs w:val="21"/>
          <w:lang w:val="zh-CN"/>
        </w:rPr>
        <w:t>。</w:t>
      </w:r>
    </w:p>
    <w:p w14:paraId="0D5C4C7C" w14:textId="77777777" w:rsidR="00F5289E" w:rsidRDefault="00C91173">
      <w:pPr>
        <w:widowControl/>
        <w:snapToGrid w:val="0"/>
        <w:spacing w:line="360" w:lineRule="auto"/>
        <w:rPr>
          <w:b/>
          <w:bCs/>
          <w:kern w:val="0"/>
          <w:szCs w:val="21"/>
        </w:rPr>
      </w:pPr>
      <w:r>
        <w:rPr>
          <w:rFonts w:hAnsi="宋体"/>
          <w:b/>
          <w:bCs/>
          <w:szCs w:val="21"/>
        </w:rPr>
        <w:t>教学重点和难点：</w:t>
      </w:r>
      <w:r>
        <w:rPr>
          <w:rFonts w:hAnsi="宋体"/>
          <w:szCs w:val="21"/>
        </w:rPr>
        <w:t>最新专业期刊的研读</w:t>
      </w:r>
      <w:r>
        <w:rPr>
          <w:rFonts w:hAnsi="宋体" w:hint="eastAsia"/>
          <w:szCs w:val="21"/>
        </w:rPr>
        <w:t>。</w:t>
      </w:r>
    </w:p>
    <w:p w14:paraId="28EEE845" w14:textId="77777777" w:rsidR="00F5289E" w:rsidRDefault="00C91173">
      <w:pPr>
        <w:spacing w:line="360" w:lineRule="auto"/>
        <w:rPr>
          <w:rFonts w:hAnsi="宋体"/>
          <w:szCs w:val="21"/>
        </w:rPr>
      </w:pPr>
      <w:r>
        <w:rPr>
          <w:rFonts w:hAnsi="宋体"/>
          <w:b/>
          <w:bCs/>
          <w:szCs w:val="21"/>
        </w:rPr>
        <w:t>主要教学内容及要求：</w:t>
      </w:r>
      <w:r>
        <w:rPr>
          <w:rFonts w:hAnsi="宋体"/>
          <w:szCs w:val="21"/>
        </w:rPr>
        <w:t>选取</w:t>
      </w:r>
      <w:r>
        <w:rPr>
          <w:szCs w:val="21"/>
        </w:rPr>
        <w:t>2</w:t>
      </w:r>
      <w:r>
        <w:rPr>
          <w:rFonts w:hAnsi="宋体"/>
          <w:szCs w:val="21"/>
        </w:rPr>
        <w:t>到</w:t>
      </w:r>
      <w:r>
        <w:rPr>
          <w:szCs w:val="21"/>
        </w:rPr>
        <w:t>3</w:t>
      </w:r>
      <w:r>
        <w:rPr>
          <w:rFonts w:hAnsi="宋体"/>
          <w:szCs w:val="21"/>
        </w:rPr>
        <w:t>篇有代表性的与本专业相关的外文科技论文进行翻译，讲解翻译技巧和方法以及注意问题。掌握外文科技论文翻译技巧和方法。</w:t>
      </w:r>
    </w:p>
    <w:p w14:paraId="705173E2" w14:textId="77777777" w:rsidR="00F5289E" w:rsidRDefault="00C91173">
      <w:pPr>
        <w:spacing w:line="360" w:lineRule="auto"/>
        <w:rPr>
          <w:b/>
          <w:bCs/>
          <w:szCs w:val="21"/>
        </w:rPr>
      </w:pPr>
      <w:r>
        <w:rPr>
          <w:rFonts w:hAnsi="宋体"/>
          <w:b/>
          <w:bCs/>
          <w:szCs w:val="21"/>
        </w:rPr>
        <w:t>教学</w:t>
      </w:r>
      <w:r>
        <w:rPr>
          <w:rFonts w:hAnsi="宋体" w:hint="eastAsia"/>
          <w:b/>
          <w:bCs/>
          <w:szCs w:val="21"/>
        </w:rPr>
        <w:t>组织与实施</w:t>
      </w:r>
      <w:r>
        <w:rPr>
          <w:rFonts w:hAnsi="宋体"/>
          <w:b/>
          <w:bCs/>
          <w:szCs w:val="21"/>
        </w:rPr>
        <w:t>：</w:t>
      </w:r>
    </w:p>
    <w:p w14:paraId="7FD7969D" w14:textId="77777777" w:rsidR="00F5289E" w:rsidRDefault="00C91173">
      <w:pPr>
        <w:widowControl/>
        <w:shd w:val="clear" w:color="auto" w:fill="FFFFFF"/>
        <w:spacing w:line="360" w:lineRule="auto"/>
        <w:ind w:firstLineChars="200" w:firstLine="420"/>
        <w:jc w:val="left"/>
        <w:rPr>
          <w:rFonts w:hAnsi="宋体"/>
          <w:szCs w:val="21"/>
        </w:rPr>
      </w:pPr>
      <w:r>
        <w:rPr>
          <w:rFonts w:hint="eastAsia"/>
          <w:szCs w:val="21"/>
          <w:lang w:val="zh-CN"/>
        </w:rPr>
        <w:t>采用学生讲授为主，对学生进行分组，每组选取一个本专业相关的外文文献进行翻译，并分组进行课堂讲述，教师以及其他学生提出问题，并讨论</w:t>
      </w:r>
      <w:r>
        <w:rPr>
          <w:rFonts w:hAnsi="宋体"/>
          <w:szCs w:val="21"/>
        </w:rPr>
        <w:t>外文科技论文翻译技巧</w:t>
      </w:r>
      <w:r>
        <w:rPr>
          <w:rFonts w:hAnsi="宋体" w:hint="eastAsia"/>
          <w:szCs w:val="21"/>
        </w:rPr>
        <w:t>。</w:t>
      </w:r>
    </w:p>
    <w:p w14:paraId="0CBA0C6F" w14:textId="77777777" w:rsidR="00F5289E" w:rsidRDefault="00F5289E">
      <w:pPr>
        <w:widowControl/>
        <w:shd w:val="clear" w:color="auto" w:fill="FFFFFF"/>
        <w:spacing w:line="360" w:lineRule="auto"/>
        <w:ind w:firstLineChars="200" w:firstLine="420"/>
        <w:jc w:val="left"/>
        <w:rPr>
          <w:szCs w:val="21"/>
          <w:lang w:val="zh-CN"/>
        </w:rPr>
      </w:pPr>
    </w:p>
    <w:p w14:paraId="587BBA7E" w14:textId="77777777" w:rsidR="00F5289E" w:rsidRDefault="00C91173">
      <w:pPr>
        <w:snapToGrid w:val="0"/>
        <w:spacing w:line="360" w:lineRule="auto"/>
        <w:rPr>
          <w:b/>
          <w:szCs w:val="21"/>
        </w:rPr>
      </w:pPr>
      <w:r>
        <w:rPr>
          <w:rFonts w:hint="eastAsia"/>
          <w:b/>
          <w:szCs w:val="21"/>
        </w:rPr>
        <w:t>五</w:t>
      </w:r>
      <w:r>
        <w:rPr>
          <w:b/>
          <w:szCs w:val="21"/>
        </w:rPr>
        <w:t>、课程思政</w:t>
      </w:r>
    </w:p>
    <w:p w14:paraId="1DAE4825" w14:textId="77777777" w:rsidR="00F5289E" w:rsidRDefault="00C91173">
      <w:pPr>
        <w:spacing w:line="360" w:lineRule="auto"/>
        <w:ind w:firstLineChars="200" w:firstLine="420"/>
        <w:rPr>
          <w:szCs w:val="21"/>
        </w:rPr>
      </w:pPr>
      <w:r>
        <w:rPr>
          <w:szCs w:val="21"/>
        </w:rPr>
        <w:t>在课程教学过程中将思政元素与专业课教育、学科教育相结合，注重教学内容与最新科研成果相结合、理论教学与实践教学相结合、线上教学与线下教学相结合，并将思政元素有效融入各个环节当中，使得专业课学习具有连贯性、系统性与引导性。</w:t>
      </w:r>
    </w:p>
    <w:p w14:paraId="42127B26" w14:textId="77777777" w:rsidR="00F5289E" w:rsidRDefault="00C91173">
      <w:pPr>
        <w:spacing w:line="360" w:lineRule="auto"/>
        <w:ind w:firstLineChars="200" w:firstLine="420"/>
      </w:pPr>
      <w:r>
        <w:rPr>
          <w:szCs w:val="21"/>
        </w:rPr>
        <w:t>例如，</w:t>
      </w:r>
      <w:r>
        <w:t>在讲解</w:t>
      </w:r>
      <w:r>
        <w:rPr>
          <w:rFonts w:hint="eastAsia"/>
        </w:rPr>
        <w:t>论文的写作与发表时要引入我国论文发表数量的变化，以此来了解我国科研能力的提升，国家强则科研强，科研强映射出国家强，国家的荣辱与个人命运息息相关，从而提高国家的民族自豪感与个人荣誉感。在讲解投稿时，要引入学术道德与学术诚信，引导学生树立正确的人生观、价值观。</w:t>
      </w:r>
    </w:p>
    <w:p w14:paraId="5A0B3420" w14:textId="77777777" w:rsidR="00F5289E" w:rsidRDefault="00C91173">
      <w:pPr>
        <w:widowControl/>
        <w:snapToGrid w:val="0"/>
        <w:spacing w:beforeLines="50" w:before="156" w:line="360" w:lineRule="auto"/>
        <w:jc w:val="left"/>
        <w:rPr>
          <w:b/>
          <w:bCs/>
          <w:kern w:val="0"/>
          <w:szCs w:val="21"/>
        </w:rPr>
      </w:pPr>
      <w:r>
        <w:rPr>
          <w:rFonts w:hAnsi="宋体" w:hint="eastAsia"/>
          <w:b/>
          <w:bCs/>
          <w:kern w:val="0"/>
          <w:szCs w:val="21"/>
        </w:rPr>
        <w:t>六</w:t>
      </w:r>
      <w:r>
        <w:rPr>
          <w:rFonts w:hAnsi="宋体"/>
          <w:b/>
          <w:bCs/>
          <w:kern w:val="0"/>
          <w:szCs w:val="21"/>
        </w:rPr>
        <w:t>、</w:t>
      </w:r>
      <w:r>
        <w:rPr>
          <w:rFonts w:hAnsi="宋体" w:hint="eastAsia"/>
          <w:b/>
          <w:bCs/>
          <w:kern w:val="0"/>
          <w:szCs w:val="21"/>
        </w:rPr>
        <w:t>使用</w:t>
      </w:r>
      <w:r>
        <w:rPr>
          <w:rFonts w:hAnsi="宋体"/>
          <w:b/>
          <w:bCs/>
          <w:kern w:val="0"/>
          <w:szCs w:val="21"/>
        </w:rPr>
        <w:t>教材</w:t>
      </w:r>
    </w:p>
    <w:p w14:paraId="7ADB88DD" w14:textId="77777777" w:rsidR="00F5289E" w:rsidRDefault="00C91173">
      <w:pPr>
        <w:widowControl/>
        <w:snapToGrid w:val="0"/>
        <w:spacing w:line="360" w:lineRule="auto"/>
        <w:ind w:firstLine="420"/>
        <w:jc w:val="left"/>
        <w:rPr>
          <w:b/>
          <w:bCs/>
          <w:kern w:val="0"/>
          <w:szCs w:val="21"/>
        </w:rPr>
      </w:pPr>
      <w:r>
        <w:rPr>
          <w:b/>
          <w:bCs/>
          <w:kern w:val="0"/>
          <w:szCs w:val="21"/>
        </w:rPr>
        <w:t>1</w:t>
      </w:r>
      <w:r>
        <w:rPr>
          <w:rFonts w:hAnsi="宋体"/>
          <w:b/>
          <w:bCs/>
          <w:kern w:val="0"/>
          <w:szCs w:val="21"/>
        </w:rPr>
        <w:t>、选用教材：</w:t>
      </w:r>
    </w:p>
    <w:p w14:paraId="531E6CF0" w14:textId="77777777" w:rsidR="00F5289E" w:rsidRDefault="00C91173">
      <w:pPr>
        <w:adjustRightInd w:val="0"/>
        <w:snapToGrid w:val="0"/>
        <w:spacing w:line="360" w:lineRule="auto"/>
        <w:ind w:firstLine="420"/>
        <w:rPr>
          <w:szCs w:val="21"/>
        </w:rPr>
      </w:pPr>
      <w:r>
        <w:rPr>
          <w:rFonts w:hAnsi="宋体" w:hint="eastAsia"/>
          <w:szCs w:val="21"/>
        </w:rPr>
        <w:t>（</w:t>
      </w:r>
      <w:r>
        <w:rPr>
          <w:rFonts w:hAnsi="宋体" w:hint="eastAsia"/>
          <w:szCs w:val="21"/>
        </w:rPr>
        <w:t>1</w:t>
      </w:r>
      <w:r>
        <w:rPr>
          <w:rFonts w:hAnsi="宋体" w:hint="eastAsia"/>
          <w:szCs w:val="21"/>
        </w:rPr>
        <w:t>）文献检索与科技论文写作（第三版），黄军左</w:t>
      </w:r>
      <w:r>
        <w:rPr>
          <w:rFonts w:hAnsi="宋体" w:hint="eastAsia"/>
          <w:szCs w:val="21"/>
        </w:rPr>
        <w:t xml:space="preserve"> </w:t>
      </w:r>
      <w:r>
        <w:rPr>
          <w:rFonts w:hAnsi="宋体"/>
          <w:szCs w:val="21"/>
        </w:rPr>
        <w:t>编著，</w:t>
      </w:r>
      <w:r>
        <w:rPr>
          <w:rFonts w:hAnsi="宋体" w:hint="eastAsia"/>
          <w:szCs w:val="21"/>
        </w:rPr>
        <w:t>中国石化出版社</w:t>
      </w:r>
      <w:r>
        <w:rPr>
          <w:rFonts w:hAnsi="宋体"/>
          <w:szCs w:val="21"/>
        </w:rPr>
        <w:t>，</w:t>
      </w:r>
      <w:r>
        <w:rPr>
          <w:szCs w:val="21"/>
        </w:rPr>
        <w:t>201</w:t>
      </w:r>
      <w:r>
        <w:rPr>
          <w:rFonts w:hint="eastAsia"/>
          <w:szCs w:val="21"/>
        </w:rPr>
        <w:t>9</w:t>
      </w:r>
      <w:r>
        <w:rPr>
          <w:rFonts w:hint="eastAsia"/>
          <w:szCs w:val="21"/>
        </w:rPr>
        <w:t>年</w:t>
      </w:r>
    </w:p>
    <w:p w14:paraId="51460755" w14:textId="77777777" w:rsidR="00F5289E" w:rsidRDefault="00C91173">
      <w:pPr>
        <w:adjustRightInd w:val="0"/>
        <w:snapToGrid w:val="0"/>
        <w:spacing w:line="360" w:lineRule="auto"/>
        <w:ind w:firstLine="420"/>
        <w:rPr>
          <w:szCs w:val="21"/>
        </w:rPr>
      </w:pPr>
      <w:r>
        <w:rPr>
          <w:rFonts w:hAnsi="宋体" w:hint="eastAsia"/>
          <w:szCs w:val="21"/>
        </w:rPr>
        <w:t>（</w:t>
      </w:r>
      <w:r>
        <w:rPr>
          <w:rFonts w:hAnsi="宋体" w:hint="eastAsia"/>
          <w:szCs w:val="21"/>
        </w:rPr>
        <w:t>2</w:t>
      </w:r>
      <w:r>
        <w:rPr>
          <w:rFonts w:hAnsi="宋体" w:hint="eastAsia"/>
          <w:szCs w:val="21"/>
        </w:rPr>
        <w:t>）科技文献检索与利用（第二版），马三梅</w:t>
      </w:r>
      <w:r>
        <w:rPr>
          <w:rFonts w:hint="eastAsia"/>
          <w:szCs w:val="21"/>
        </w:rPr>
        <w:t xml:space="preserve"> </w:t>
      </w:r>
      <w:r>
        <w:rPr>
          <w:rFonts w:hAnsi="宋体"/>
          <w:szCs w:val="21"/>
        </w:rPr>
        <w:t>编著</w:t>
      </w:r>
      <w:r>
        <w:rPr>
          <w:rFonts w:hint="eastAsia"/>
          <w:szCs w:val="21"/>
        </w:rPr>
        <w:t>，</w:t>
      </w:r>
      <w:r>
        <w:rPr>
          <w:rFonts w:hAnsi="宋体" w:hint="eastAsia"/>
          <w:szCs w:val="21"/>
        </w:rPr>
        <w:t>科学出版社</w:t>
      </w:r>
      <w:r>
        <w:rPr>
          <w:rFonts w:hint="eastAsia"/>
          <w:szCs w:val="21"/>
        </w:rPr>
        <w:t>，</w:t>
      </w:r>
      <w:r>
        <w:rPr>
          <w:szCs w:val="21"/>
        </w:rPr>
        <w:t>20</w:t>
      </w:r>
      <w:r>
        <w:rPr>
          <w:rFonts w:hint="eastAsia"/>
          <w:szCs w:val="21"/>
        </w:rPr>
        <w:t>19</w:t>
      </w:r>
      <w:r>
        <w:rPr>
          <w:rFonts w:hint="eastAsia"/>
          <w:szCs w:val="21"/>
        </w:rPr>
        <w:t>年</w:t>
      </w:r>
    </w:p>
    <w:p w14:paraId="0694210C" w14:textId="77777777" w:rsidR="00F5289E" w:rsidRDefault="00C91173">
      <w:pPr>
        <w:widowControl/>
        <w:snapToGrid w:val="0"/>
        <w:spacing w:line="360" w:lineRule="auto"/>
        <w:ind w:firstLine="420"/>
        <w:jc w:val="left"/>
        <w:rPr>
          <w:b/>
          <w:bCs/>
          <w:kern w:val="0"/>
          <w:szCs w:val="21"/>
        </w:rPr>
      </w:pPr>
      <w:r>
        <w:rPr>
          <w:b/>
          <w:bCs/>
          <w:kern w:val="0"/>
          <w:szCs w:val="21"/>
        </w:rPr>
        <w:t>2</w:t>
      </w:r>
      <w:r>
        <w:rPr>
          <w:rFonts w:hAnsi="宋体"/>
          <w:b/>
          <w:bCs/>
          <w:kern w:val="0"/>
          <w:szCs w:val="21"/>
        </w:rPr>
        <w:t>、参考书：</w:t>
      </w:r>
    </w:p>
    <w:p w14:paraId="7BC482AD" w14:textId="77777777" w:rsidR="00F5289E" w:rsidRDefault="00C91173">
      <w:pPr>
        <w:spacing w:line="360" w:lineRule="auto"/>
        <w:ind w:leftChars="200" w:left="420"/>
        <w:rPr>
          <w:szCs w:val="21"/>
        </w:rPr>
      </w:pPr>
      <w:r>
        <w:rPr>
          <w:rFonts w:hAnsi="宋体" w:hint="eastAsia"/>
          <w:szCs w:val="21"/>
        </w:rPr>
        <w:t>（</w:t>
      </w:r>
      <w:r>
        <w:rPr>
          <w:rFonts w:hAnsi="宋体" w:hint="eastAsia"/>
          <w:szCs w:val="21"/>
        </w:rPr>
        <w:t>1</w:t>
      </w:r>
      <w:r>
        <w:rPr>
          <w:rFonts w:hAnsi="宋体" w:hint="eastAsia"/>
          <w:szCs w:val="21"/>
        </w:rPr>
        <w:t>）文献检索与论文写作</w:t>
      </w:r>
      <w:r>
        <w:rPr>
          <w:rFonts w:hint="eastAsia"/>
          <w:szCs w:val="21"/>
        </w:rPr>
        <w:t>．李振华</w:t>
      </w:r>
      <w:r>
        <w:rPr>
          <w:rFonts w:hint="eastAsia"/>
          <w:szCs w:val="21"/>
        </w:rPr>
        <w:t xml:space="preserve"> </w:t>
      </w:r>
      <w:r>
        <w:rPr>
          <w:rFonts w:hint="eastAsia"/>
          <w:szCs w:val="21"/>
        </w:rPr>
        <w:t>编著．清华大学出版社，</w:t>
      </w:r>
      <w:r>
        <w:rPr>
          <w:rFonts w:hint="eastAsia"/>
          <w:szCs w:val="21"/>
        </w:rPr>
        <w:t>2016</w:t>
      </w:r>
      <w:r>
        <w:rPr>
          <w:rFonts w:hint="eastAsia"/>
          <w:szCs w:val="21"/>
        </w:rPr>
        <w:t>年</w:t>
      </w:r>
    </w:p>
    <w:p w14:paraId="3CD62554" w14:textId="77777777" w:rsidR="00F5289E" w:rsidRDefault="00C91173">
      <w:pPr>
        <w:widowControl/>
        <w:spacing w:line="360" w:lineRule="auto"/>
        <w:ind w:leftChars="200" w:left="420"/>
        <w:jc w:val="left"/>
        <w:rPr>
          <w:szCs w:val="21"/>
        </w:rPr>
      </w:pPr>
      <w:r>
        <w:rPr>
          <w:rFonts w:hAnsi="宋体" w:hint="eastAsia"/>
          <w:szCs w:val="21"/>
        </w:rPr>
        <w:t>（</w:t>
      </w:r>
      <w:r>
        <w:rPr>
          <w:rFonts w:hAnsi="宋体" w:hint="eastAsia"/>
          <w:szCs w:val="21"/>
        </w:rPr>
        <w:t>2</w:t>
      </w:r>
      <w:r>
        <w:rPr>
          <w:rFonts w:hAnsi="宋体" w:hint="eastAsia"/>
          <w:szCs w:val="21"/>
        </w:rPr>
        <w:t>）文献检索与论文写作（第二版）</w:t>
      </w:r>
      <w:r>
        <w:rPr>
          <w:rFonts w:hint="eastAsia"/>
          <w:szCs w:val="21"/>
        </w:rPr>
        <w:t>．</w:t>
      </w:r>
      <w:r>
        <w:rPr>
          <w:rFonts w:hAnsi="宋体" w:hint="eastAsia"/>
          <w:szCs w:val="21"/>
        </w:rPr>
        <w:t>邓富民</w:t>
      </w:r>
      <w:r>
        <w:rPr>
          <w:rFonts w:hAnsi="宋体" w:hint="eastAsia"/>
          <w:szCs w:val="21"/>
        </w:rPr>
        <w:t xml:space="preserve"> </w:t>
      </w:r>
      <w:r>
        <w:rPr>
          <w:rFonts w:hAnsi="宋体" w:hint="eastAsia"/>
          <w:szCs w:val="21"/>
        </w:rPr>
        <w:t>编著</w:t>
      </w:r>
      <w:r>
        <w:rPr>
          <w:rFonts w:hint="eastAsia"/>
          <w:szCs w:val="21"/>
        </w:rPr>
        <w:t>．</w:t>
      </w:r>
      <w:r>
        <w:rPr>
          <w:rFonts w:hAnsi="宋体" w:hint="eastAsia"/>
          <w:szCs w:val="21"/>
        </w:rPr>
        <w:t>经济管理出版社，</w:t>
      </w:r>
      <w:r>
        <w:rPr>
          <w:rFonts w:hAnsi="宋体" w:hint="eastAsia"/>
          <w:szCs w:val="21"/>
        </w:rPr>
        <w:t>2017</w:t>
      </w:r>
      <w:r>
        <w:rPr>
          <w:rFonts w:hAnsi="宋体" w:hint="eastAsia"/>
          <w:szCs w:val="21"/>
        </w:rPr>
        <w:t>年</w:t>
      </w:r>
    </w:p>
    <w:p w14:paraId="7E62D25E" w14:textId="77777777" w:rsidR="00F5289E" w:rsidRDefault="00C91173">
      <w:pPr>
        <w:spacing w:line="360" w:lineRule="auto"/>
        <w:ind w:leftChars="200" w:left="420"/>
        <w:rPr>
          <w:szCs w:val="21"/>
        </w:rPr>
      </w:pPr>
      <w:r>
        <w:rPr>
          <w:rFonts w:hAnsi="宋体" w:hint="eastAsia"/>
          <w:szCs w:val="21"/>
        </w:rPr>
        <w:t>（</w:t>
      </w:r>
      <w:r>
        <w:rPr>
          <w:rFonts w:hAnsi="宋体" w:hint="eastAsia"/>
          <w:szCs w:val="21"/>
        </w:rPr>
        <w:t>3</w:t>
      </w:r>
      <w:r>
        <w:rPr>
          <w:rFonts w:hAnsi="宋体" w:hint="eastAsia"/>
          <w:szCs w:val="21"/>
        </w:rPr>
        <w:t>）科技文献检索与科教论文写作</w:t>
      </w:r>
      <w:r>
        <w:rPr>
          <w:rFonts w:hint="eastAsia"/>
          <w:szCs w:val="21"/>
        </w:rPr>
        <w:t>．</w:t>
      </w:r>
      <w:r>
        <w:rPr>
          <w:rFonts w:hAnsi="宋体" w:hint="eastAsia"/>
          <w:szCs w:val="21"/>
        </w:rPr>
        <w:t>张虎芳</w:t>
      </w:r>
      <w:r>
        <w:rPr>
          <w:rFonts w:hAnsi="宋体" w:hint="eastAsia"/>
          <w:szCs w:val="21"/>
        </w:rPr>
        <w:t xml:space="preserve"> </w:t>
      </w:r>
      <w:r>
        <w:rPr>
          <w:rFonts w:hAnsi="宋体" w:hint="eastAsia"/>
          <w:szCs w:val="21"/>
        </w:rPr>
        <w:t>编著</w:t>
      </w:r>
      <w:r>
        <w:rPr>
          <w:rFonts w:hint="eastAsia"/>
          <w:szCs w:val="21"/>
        </w:rPr>
        <w:t>．</w:t>
      </w:r>
      <w:r>
        <w:rPr>
          <w:rFonts w:hAnsi="宋体" w:hint="eastAsia"/>
          <w:szCs w:val="21"/>
        </w:rPr>
        <w:t>中国石化出版社，</w:t>
      </w:r>
      <w:r>
        <w:rPr>
          <w:rFonts w:hAnsi="宋体" w:hint="eastAsia"/>
          <w:szCs w:val="21"/>
        </w:rPr>
        <w:t>2017</w:t>
      </w:r>
      <w:r>
        <w:rPr>
          <w:rFonts w:hAnsi="宋体" w:hint="eastAsia"/>
          <w:szCs w:val="21"/>
        </w:rPr>
        <w:t>年</w:t>
      </w:r>
    </w:p>
    <w:p w14:paraId="302D4B99" w14:textId="77777777" w:rsidR="00F5289E" w:rsidRDefault="00C91173">
      <w:pPr>
        <w:spacing w:line="360" w:lineRule="auto"/>
        <w:ind w:leftChars="200" w:left="420"/>
        <w:rPr>
          <w:szCs w:val="21"/>
        </w:rPr>
      </w:pPr>
      <w:r>
        <w:rPr>
          <w:b/>
          <w:bCs/>
          <w:kern w:val="0"/>
          <w:szCs w:val="21"/>
        </w:rPr>
        <w:lastRenderedPageBreak/>
        <w:t>3</w:t>
      </w:r>
      <w:r>
        <w:rPr>
          <w:rFonts w:hAnsi="宋体"/>
          <w:b/>
          <w:bCs/>
          <w:kern w:val="0"/>
          <w:szCs w:val="21"/>
        </w:rPr>
        <w:t>、参考网站</w:t>
      </w:r>
      <w:r>
        <w:rPr>
          <w:rFonts w:hAnsi="宋体"/>
          <w:kern w:val="0"/>
          <w:szCs w:val="21"/>
        </w:rPr>
        <w:t>：</w:t>
      </w:r>
    </w:p>
    <w:p w14:paraId="54B9F257" w14:textId="77777777" w:rsidR="00F5289E" w:rsidRDefault="00C91173">
      <w:pPr>
        <w:spacing w:line="360" w:lineRule="auto"/>
        <w:ind w:leftChars="200" w:left="420"/>
        <w:rPr>
          <w:szCs w:val="21"/>
        </w:rPr>
      </w:pPr>
      <w:r>
        <w:rPr>
          <w:rFonts w:hint="eastAsia"/>
          <w:kern w:val="0"/>
          <w:szCs w:val="21"/>
        </w:rPr>
        <w:t>（</w:t>
      </w:r>
      <w:r>
        <w:rPr>
          <w:rFonts w:hint="eastAsia"/>
          <w:kern w:val="0"/>
          <w:szCs w:val="21"/>
        </w:rPr>
        <w:t>1</w:t>
      </w:r>
      <w:r>
        <w:rPr>
          <w:rFonts w:hint="eastAsia"/>
          <w:kern w:val="0"/>
          <w:szCs w:val="21"/>
        </w:rPr>
        <w:t>）中国知网</w:t>
      </w:r>
      <w:r>
        <w:rPr>
          <w:rFonts w:hint="eastAsia"/>
          <w:kern w:val="0"/>
          <w:szCs w:val="21"/>
        </w:rPr>
        <w:t>CNKI</w:t>
      </w:r>
      <w:r>
        <w:rPr>
          <w:rFonts w:hint="eastAsia"/>
          <w:kern w:val="0"/>
          <w:szCs w:val="21"/>
        </w:rPr>
        <w:t>学术，</w:t>
      </w:r>
      <w:r>
        <w:rPr>
          <w:rFonts w:hint="eastAsia"/>
          <w:kern w:val="0"/>
          <w:szCs w:val="21"/>
        </w:rPr>
        <w:t>https://www.cnki.net/</w:t>
      </w:r>
    </w:p>
    <w:p w14:paraId="7C92D190" w14:textId="77777777" w:rsidR="00F5289E" w:rsidRDefault="00C91173">
      <w:pPr>
        <w:widowControl/>
        <w:snapToGrid w:val="0"/>
        <w:spacing w:beforeLines="50" w:before="156" w:line="360" w:lineRule="auto"/>
        <w:jc w:val="left"/>
        <w:rPr>
          <w:b/>
          <w:bCs/>
          <w:kern w:val="0"/>
          <w:szCs w:val="21"/>
        </w:rPr>
      </w:pPr>
      <w:r>
        <w:rPr>
          <w:rFonts w:hAnsi="宋体" w:hint="eastAsia"/>
          <w:b/>
          <w:bCs/>
          <w:kern w:val="0"/>
          <w:szCs w:val="21"/>
        </w:rPr>
        <w:t>七</w:t>
      </w:r>
      <w:r>
        <w:rPr>
          <w:rFonts w:hAnsi="宋体"/>
          <w:b/>
          <w:bCs/>
          <w:kern w:val="0"/>
          <w:szCs w:val="21"/>
        </w:rPr>
        <w:t>、</w:t>
      </w:r>
      <w:r>
        <w:rPr>
          <w:rFonts w:hAnsi="宋体" w:hint="eastAsia"/>
          <w:b/>
          <w:bCs/>
          <w:kern w:val="0"/>
          <w:szCs w:val="21"/>
        </w:rPr>
        <w:t>教学条件</w:t>
      </w:r>
    </w:p>
    <w:p w14:paraId="277E78FA" w14:textId="77777777" w:rsidR="00F5289E" w:rsidRDefault="00C91173">
      <w:pPr>
        <w:spacing w:line="360" w:lineRule="auto"/>
        <w:ind w:firstLine="420"/>
        <w:rPr>
          <w:rFonts w:hAnsi="宋体"/>
          <w:szCs w:val="21"/>
        </w:rPr>
      </w:pPr>
      <w:r>
        <w:rPr>
          <w:rFonts w:hAnsi="宋体" w:hint="eastAsia"/>
          <w:szCs w:val="21"/>
        </w:rPr>
        <w:t>学校图书馆具备完善的科技文献和图书管理系统，并购置有中国知网、万方、</w:t>
      </w:r>
      <w:r>
        <w:rPr>
          <w:rFonts w:hAnsi="宋体"/>
          <w:szCs w:val="21"/>
        </w:rPr>
        <w:t>Springer</w:t>
      </w:r>
      <w:r>
        <w:rPr>
          <w:rFonts w:hAnsi="宋体" w:hint="eastAsia"/>
          <w:szCs w:val="21"/>
        </w:rPr>
        <w:t>等中英文数据库的使用权，可供学生充分学习科技文献的检索；园艺学院具备配套的计算机机房，可供学生进行相应的上机操作练习。</w:t>
      </w:r>
    </w:p>
    <w:p w14:paraId="39F3C572" w14:textId="77777777" w:rsidR="00F5289E" w:rsidRDefault="00C91173">
      <w:pPr>
        <w:widowControl/>
        <w:snapToGrid w:val="0"/>
        <w:spacing w:beforeLines="50" w:before="156" w:line="360" w:lineRule="auto"/>
        <w:jc w:val="left"/>
        <w:rPr>
          <w:rFonts w:hAnsi="宋体"/>
          <w:b/>
          <w:bCs/>
          <w:kern w:val="0"/>
          <w:szCs w:val="21"/>
        </w:rPr>
      </w:pPr>
      <w:r>
        <w:rPr>
          <w:rFonts w:hAnsi="宋体" w:hint="eastAsia"/>
          <w:b/>
          <w:bCs/>
          <w:kern w:val="0"/>
          <w:szCs w:val="21"/>
        </w:rPr>
        <w:t>八、教学考核评价</w:t>
      </w:r>
    </w:p>
    <w:p w14:paraId="57EA69D9" w14:textId="77777777" w:rsidR="00F5289E" w:rsidRDefault="00C91173">
      <w:pPr>
        <w:snapToGrid w:val="0"/>
        <w:spacing w:line="360" w:lineRule="auto"/>
        <w:ind w:firstLineChars="200" w:firstLine="422"/>
        <w:rPr>
          <w:rFonts w:hAnsi="宋体"/>
          <w:kern w:val="0"/>
          <w:szCs w:val="21"/>
        </w:rPr>
      </w:pPr>
      <w:r>
        <w:rPr>
          <w:rFonts w:hint="eastAsia"/>
          <w:b/>
          <w:bCs/>
          <w:kern w:val="0"/>
          <w:szCs w:val="21"/>
        </w:rPr>
        <w:t>1</w:t>
      </w:r>
      <w:r>
        <w:rPr>
          <w:rFonts w:hint="eastAsia"/>
          <w:b/>
          <w:bCs/>
          <w:kern w:val="0"/>
          <w:szCs w:val="21"/>
        </w:rPr>
        <w:t>．考试方法：</w:t>
      </w:r>
      <w:r>
        <w:rPr>
          <w:rFonts w:hAnsi="宋体"/>
          <w:kern w:val="0"/>
          <w:szCs w:val="21"/>
        </w:rPr>
        <w:t>本门课程的考核分为平时</w:t>
      </w:r>
      <w:r>
        <w:rPr>
          <w:rFonts w:hAnsi="宋体" w:hint="eastAsia"/>
          <w:kern w:val="0"/>
          <w:szCs w:val="21"/>
        </w:rPr>
        <w:t>成绩和</w:t>
      </w:r>
      <w:r>
        <w:rPr>
          <w:rFonts w:hAnsi="宋体"/>
          <w:kern w:val="0"/>
          <w:szCs w:val="21"/>
        </w:rPr>
        <w:t>期末课程论文</w:t>
      </w:r>
      <w:r>
        <w:rPr>
          <w:rFonts w:hAnsi="宋体" w:hint="eastAsia"/>
          <w:kern w:val="0"/>
          <w:szCs w:val="21"/>
        </w:rPr>
        <w:t>成绩两部分</w:t>
      </w:r>
      <w:r>
        <w:rPr>
          <w:rFonts w:hAnsi="宋体"/>
          <w:kern w:val="0"/>
          <w:szCs w:val="21"/>
        </w:rPr>
        <w:t>。平时成绩包括课堂提问、小组讨论表现、作业、考勤；期末</w:t>
      </w:r>
      <w:r>
        <w:rPr>
          <w:rFonts w:hAnsi="宋体" w:hint="eastAsia"/>
          <w:kern w:val="0"/>
          <w:szCs w:val="21"/>
        </w:rPr>
        <w:t>考核</w:t>
      </w:r>
      <w:r>
        <w:rPr>
          <w:rFonts w:hAnsi="宋体"/>
          <w:kern w:val="0"/>
          <w:szCs w:val="21"/>
        </w:rPr>
        <w:t>为每人撰写一份符合河南农业大学本科毕业论文写作规范的科技论文。期末课程论文</w:t>
      </w:r>
      <w:r>
        <w:rPr>
          <w:rFonts w:hAnsi="宋体" w:hint="eastAsia"/>
          <w:kern w:val="0"/>
          <w:szCs w:val="21"/>
        </w:rPr>
        <w:t>成绩满分</w:t>
      </w:r>
      <w:r>
        <w:rPr>
          <w:rFonts w:hAnsi="宋体" w:hint="eastAsia"/>
          <w:kern w:val="0"/>
          <w:szCs w:val="21"/>
        </w:rPr>
        <w:t>100</w:t>
      </w:r>
      <w:r>
        <w:rPr>
          <w:rFonts w:hAnsi="宋体" w:hint="eastAsia"/>
          <w:kern w:val="0"/>
          <w:szCs w:val="21"/>
        </w:rPr>
        <w:t>分，</w:t>
      </w:r>
      <w:r>
        <w:rPr>
          <w:rFonts w:cs="宋体" w:hint="eastAsia"/>
          <w:bCs/>
          <w:kern w:val="0"/>
          <w:szCs w:val="21"/>
        </w:rPr>
        <w:t>占课程成绩的</w:t>
      </w:r>
      <w:r>
        <w:rPr>
          <w:rFonts w:cs="宋体" w:hint="eastAsia"/>
          <w:bCs/>
          <w:kern w:val="0"/>
          <w:szCs w:val="21"/>
        </w:rPr>
        <w:t>60%</w:t>
      </w:r>
      <w:r>
        <w:rPr>
          <w:rFonts w:cs="宋体" w:hint="eastAsia"/>
          <w:bCs/>
          <w:kern w:val="0"/>
          <w:szCs w:val="21"/>
        </w:rPr>
        <w:t>，平时成绩满分为</w:t>
      </w:r>
      <w:r>
        <w:rPr>
          <w:rFonts w:cs="宋体" w:hint="eastAsia"/>
          <w:bCs/>
          <w:kern w:val="0"/>
          <w:szCs w:val="21"/>
        </w:rPr>
        <w:t>100</w:t>
      </w:r>
      <w:r>
        <w:rPr>
          <w:rFonts w:cs="宋体" w:hint="eastAsia"/>
          <w:bCs/>
          <w:kern w:val="0"/>
          <w:szCs w:val="21"/>
        </w:rPr>
        <w:t>分，占课程成绩的</w:t>
      </w:r>
      <w:r>
        <w:rPr>
          <w:rFonts w:cs="宋体" w:hint="eastAsia"/>
          <w:bCs/>
          <w:kern w:val="0"/>
          <w:szCs w:val="21"/>
        </w:rPr>
        <w:t>40%</w:t>
      </w:r>
      <w:r>
        <w:rPr>
          <w:rFonts w:cs="宋体" w:hint="eastAsia"/>
          <w:bCs/>
          <w:kern w:val="0"/>
          <w:szCs w:val="21"/>
        </w:rPr>
        <w:t>。</w:t>
      </w:r>
    </w:p>
    <w:p w14:paraId="56EB95F4" w14:textId="77777777" w:rsidR="00F5289E" w:rsidRDefault="00C91173">
      <w:pPr>
        <w:spacing w:line="360" w:lineRule="auto"/>
        <w:ind w:firstLine="420"/>
      </w:pPr>
      <w:r>
        <w:rPr>
          <w:rFonts w:hint="eastAsia"/>
          <w:b/>
          <w:bCs/>
          <w:kern w:val="0"/>
          <w:szCs w:val="21"/>
        </w:rPr>
        <w:t>2</w:t>
      </w:r>
      <w:r>
        <w:rPr>
          <w:rFonts w:hint="eastAsia"/>
          <w:b/>
          <w:bCs/>
          <w:kern w:val="0"/>
          <w:szCs w:val="21"/>
        </w:rPr>
        <w:t>．过程性评价：</w:t>
      </w:r>
    </w:p>
    <w:p w14:paraId="26E48F9A" w14:textId="77777777" w:rsidR="00F5289E" w:rsidRDefault="00C91173">
      <w:pPr>
        <w:spacing w:line="360" w:lineRule="auto"/>
        <w:ind w:firstLineChars="200" w:firstLine="420"/>
        <w:rPr>
          <w:rFonts w:cs="宋体"/>
          <w:bCs/>
          <w:kern w:val="0"/>
          <w:szCs w:val="21"/>
        </w:rPr>
      </w:pPr>
      <w:r>
        <w:rPr>
          <w:rFonts w:cs="宋体" w:hint="eastAsia"/>
          <w:bCs/>
          <w:kern w:val="0"/>
          <w:szCs w:val="21"/>
        </w:rPr>
        <w:t>任课教师在授课过程中随时观察、分析学生在课堂讨论、课程作业、课程评价中的反馈情况，及时解决和完善课程教学中存在的问题和不足，并给出合理的学习建议。课程结束后，任课教师对本门课程的整体考试情况，综合分析学生在知识掌握、论文撰写、学习方法等方面的问题，提出学习建议和在今后教学中应注意的事项。</w:t>
      </w:r>
    </w:p>
    <w:p w14:paraId="2965D83F" w14:textId="77777777" w:rsidR="00F5289E" w:rsidRDefault="00F5289E">
      <w:pPr>
        <w:snapToGrid w:val="0"/>
        <w:spacing w:line="360" w:lineRule="auto"/>
        <w:rPr>
          <w:rFonts w:ascii="宋体" w:hAnsi="宋体"/>
          <w:b/>
          <w:sz w:val="24"/>
        </w:rPr>
      </w:pPr>
    </w:p>
    <w:p w14:paraId="43259F6F" w14:textId="77777777" w:rsidR="00F5289E" w:rsidRDefault="00F5289E"/>
    <w:p w14:paraId="15624828"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7676F068" w14:textId="77777777" w:rsidR="00F5289E" w:rsidRDefault="00C91173">
      <w:pPr>
        <w:pStyle w:val="1"/>
      </w:pPr>
      <w:bookmarkStart w:id="161" w:name="_Toc489359107"/>
      <w:bookmarkStart w:id="162" w:name="_Toc138606266"/>
      <w:r>
        <w:rPr>
          <w:rFonts w:hint="eastAsia"/>
        </w:rPr>
        <w:lastRenderedPageBreak/>
        <w:t>园艺产品营养学</w:t>
      </w:r>
      <w:bookmarkEnd w:id="161"/>
      <w:bookmarkEnd w:id="162"/>
    </w:p>
    <w:p w14:paraId="4BF1C9BB" w14:textId="77777777" w:rsidR="00F5289E" w:rsidRDefault="00C91173">
      <w:pPr>
        <w:snapToGrid w:val="0"/>
        <w:spacing w:line="360" w:lineRule="auto"/>
        <w:jc w:val="center"/>
        <w:rPr>
          <w:i/>
          <w:color w:val="000000" w:themeColor="text1"/>
          <w:sz w:val="24"/>
        </w:rPr>
      </w:pPr>
      <w:r>
        <w:rPr>
          <w:color w:val="000000" w:themeColor="text1"/>
          <w:sz w:val="24"/>
        </w:rPr>
        <w:t>（</w:t>
      </w:r>
      <w:r>
        <w:rPr>
          <w:color w:val="000000" w:themeColor="text1"/>
          <w:sz w:val="24"/>
        </w:rPr>
        <w:t xml:space="preserve">Horticultural products </w:t>
      </w:r>
      <w:proofErr w:type="spellStart"/>
      <w:r>
        <w:rPr>
          <w:color w:val="000000" w:themeColor="text1"/>
          <w:sz w:val="24"/>
        </w:rPr>
        <w:t>nutriology</w:t>
      </w:r>
      <w:proofErr w:type="spellEnd"/>
      <w:r>
        <w:rPr>
          <w:color w:val="000000" w:themeColor="text1"/>
          <w:sz w:val="24"/>
        </w:rPr>
        <w:t>）</w:t>
      </w:r>
    </w:p>
    <w:p w14:paraId="15D4DFD5" w14:textId="77777777" w:rsidR="00F5289E" w:rsidRDefault="00F5289E">
      <w:pPr>
        <w:snapToGrid w:val="0"/>
        <w:spacing w:line="360" w:lineRule="auto"/>
        <w:jc w:val="center"/>
        <w:rPr>
          <w:b/>
          <w:color w:val="000000" w:themeColor="text1"/>
          <w:szCs w:val="21"/>
        </w:rPr>
      </w:pPr>
    </w:p>
    <w:p w14:paraId="229B9A24" w14:textId="77777777" w:rsidR="00F5289E" w:rsidRDefault="00C91173">
      <w:pPr>
        <w:snapToGrid w:val="0"/>
        <w:spacing w:line="360" w:lineRule="auto"/>
        <w:jc w:val="center"/>
        <w:rPr>
          <w:b/>
          <w:color w:val="000000" w:themeColor="text1"/>
          <w:szCs w:val="21"/>
        </w:rPr>
      </w:pPr>
      <w:r>
        <w:rPr>
          <w:rFonts w:hint="eastAsia"/>
          <w:b/>
          <w:color w:val="000000" w:themeColor="text1"/>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05ABE87D" w14:textId="77777777">
        <w:tc>
          <w:tcPr>
            <w:tcW w:w="1666" w:type="pct"/>
          </w:tcPr>
          <w:p w14:paraId="46750D8D"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课程编号：</w:t>
            </w:r>
            <w:r w:rsidRPr="001B3040">
              <w:rPr>
                <w:rFonts w:eastAsiaTheme="minorEastAsia"/>
                <w:color w:val="000000" w:themeColor="text1"/>
                <w:szCs w:val="21"/>
              </w:rPr>
              <w:t>19011061</w:t>
            </w:r>
          </w:p>
        </w:tc>
        <w:tc>
          <w:tcPr>
            <w:tcW w:w="1453" w:type="pct"/>
          </w:tcPr>
          <w:p w14:paraId="1395B616"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课程总学时：</w:t>
            </w:r>
            <w:r w:rsidRPr="001B3040">
              <w:rPr>
                <w:rFonts w:eastAsiaTheme="minorEastAsia"/>
                <w:color w:val="000000" w:themeColor="text1"/>
                <w:szCs w:val="21"/>
              </w:rPr>
              <w:t>32</w:t>
            </w:r>
          </w:p>
        </w:tc>
        <w:tc>
          <w:tcPr>
            <w:tcW w:w="1881" w:type="pct"/>
          </w:tcPr>
          <w:p w14:paraId="717737FD" w14:textId="34CF722D"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实验学时：</w:t>
            </w:r>
            <w:r w:rsidRPr="001B3040">
              <w:rPr>
                <w:rFonts w:eastAsiaTheme="minorEastAsia"/>
                <w:color w:val="000000" w:themeColor="text1"/>
                <w:szCs w:val="21"/>
              </w:rPr>
              <w:t>0</w:t>
            </w:r>
          </w:p>
        </w:tc>
      </w:tr>
      <w:tr w:rsidR="00F5289E" w14:paraId="7F3EE1FA" w14:textId="77777777">
        <w:tc>
          <w:tcPr>
            <w:tcW w:w="1666" w:type="pct"/>
          </w:tcPr>
          <w:p w14:paraId="2F02B564"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课程性质：</w:t>
            </w:r>
            <w:r w:rsidRPr="001B3040">
              <w:rPr>
                <w:rFonts w:eastAsiaTheme="minorEastAsia" w:hAnsiTheme="minorEastAsia"/>
                <w:color w:val="000000" w:themeColor="text1"/>
                <w:szCs w:val="21"/>
              </w:rPr>
              <w:t>选修</w:t>
            </w:r>
          </w:p>
        </w:tc>
        <w:tc>
          <w:tcPr>
            <w:tcW w:w="1453" w:type="pct"/>
          </w:tcPr>
          <w:p w14:paraId="15F576BA" w14:textId="77777777" w:rsidR="00F5289E" w:rsidRDefault="00C91173">
            <w:pPr>
              <w:spacing w:line="300" w:lineRule="auto"/>
              <w:rPr>
                <w:rFonts w:ascii="宋体" w:hAnsi="宋体"/>
                <w:b/>
                <w:bCs/>
                <w:color w:val="000000" w:themeColor="text1"/>
                <w:szCs w:val="21"/>
              </w:rPr>
            </w:pPr>
            <w:r>
              <w:rPr>
                <w:rFonts w:ascii="宋体" w:hAnsi="宋体" w:hint="eastAsia"/>
                <w:b/>
                <w:color w:val="000000" w:themeColor="text1"/>
                <w:szCs w:val="21"/>
              </w:rPr>
              <w:t>课程属性:</w:t>
            </w:r>
            <w:r>
              <w:rPr>
                <w:rFonts w:eastAsiaTheme="minorEastAsia" w:hAnsiTheme="minorEastAsia"/>
                <w:b/>
                <w:color w:val="000000" w:themeColor="text1"/>
                <w:szCs w:val="21"/>
              </w:rPr>
              <w:t xml:space="preserve"> </w:t>
            </w:r>
            <w:r w:rsidRPr="001B3040">
              <w:rPr>
                <w:rFonts w:eastAsiaTheme="minorEastAsia" w:hAnsiTheme="minorEastAsia"/>
                <w:color w:val="000000" w:themeColor="text1"/>
                <w:szCs w:val="21"/>
              </w:rPr>
              <w:t>专业类</w:t>
            </w:r>
          </w:p>
        </w:tc>
        <w:tc>
          <w:tcPr>
            <w:tcW w:w="1881" w:type="pct"/>
          </w:tcPr>
          <w:p w14:paraId="04D8764C"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开设学期：</w:t>
            </w:r>
            <w:r w:rsidRPr="001B3040">
              <w:rPr>
                <w:rFonts w:ascii="宋体" w:hAnsi="宋体" w:hint="eastAsia"/>
                <w:color w:val="000000" w:themeColor="text1"/>
                <w:szCs w:val="21"/>
              </w:rPr>
              <w:t>第 8 学期</w:t>
            </w:r>
          </w:p>
        </w:tc>
      </w:tr>
      <w:tr w:rsidR="00F5289E" w14:paraId="69262274" w14:textId="77777777">
        <w:tc>
          <w:tcPr>
            <w:tcW w:w="1666" w:type="pct"/>
          </w:tcPr>
          <w:p w14:paraId="2A701FA5"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课程负责人：</w:t>
            </w:r>
            <w:r w:rsidRPr="001B3040">
              <w:rPr>
                <w:rFonts w:ascii="宋体" w:hAnsi="宋体" w:hint="eastAsia"/>
                <w:color w:val="000000" w:themeColor="text1"/>
                <w:szCs w:val="21"/>
              </w:rPr>
              <w:t>贾</w:t>
            </w:r>
            <w:r w:rsidRPr="001B3040">
              <w:rPr>
                <w:rFonts w:eastAsiaTheme="minorEastAsia" w:hAnsiTheme="minorEastAsia"/>
                <w:color w:val="000000" w:themeColor="text1"/>
                <w:szCs w:val="21"/>
              </w:rPr>
              <w:t>芝琪</w:t>
            </w:r>
          </w:p>
        </w:tc>
        <w:tc>
          <w:tcPr>
            <w:tcW w:w="1453" w:type="pct"/>
          </w:tcPr>
          <w:p w14:paraId="2A7ABF1B"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课程团队：</w:t>
            </w:r>
            <w:r w:rsidRPr="001B3040">
              <w:rPr>
                <w:rFonts w:ascii="宋体" w:hAnsi="宋体" w:hint="eastAsia"/>
                <w:color w:val="000000" w:themeColor="text1"/>
                <w:szCs w:val="21"/>
              </w:rPr>
              <w:t>园艺产品营养学教学团队</w:t>
            </w:r>
          </w:p>
        </w:tc>
        <w:tc>
          <w:tcPr>
            <w:tcW w:w="1881" w:type="pct"/>
          </w:tcPr>
          <w:p w14:paraId="42023132"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授课语言：</w:t>
            </w:r>
            <w:r w:rsidRPr="001B3040">
              <w:rPr>
                <w:rFonts w:ascii="宋体" w:hAnsi="宋体" w:hint="eastAsia"/>
                <w:color w:val="000000" w:themeColor="text1"/>
                <w:szCs w:val="21"/>
              </w:rPr>
              <w:t>中文</w:t>
            </w:r>
          </w:p>
        </w:tc>
      </w:tr>
      <w:tr w:rsidR="00F5289E" w14:paraId="097E4761" w14:textId="77777777">
        <w:tc>
          <w:tcPr>
            <w:tcW w:w="5000" w:type="pct"/>
            <w:gridSpan w:val="3"/>
          </w:tcPr>
          <w:p w14:paraId="7704AD6E" w14:textId="77777777" w:rsidR="00F5289E" w:rsidRDefault="00C91173">
            <w:pPr>
              <w:spacing w:line="300" w:lineRule="auto"/>
              <w:ind w:rightChars="-81" w:right="-170"/>
              <w:rPr>
                <w:rFonts w:ascii="宋体" w:hAnsi="宋体"/>
                <w:bCs/>
                <w:color w:val="000000" w:themeColor="text1"/>
                <w:szCs w:val="21"/>
              </w:rPr>
            </w:pPr>
            <w:r>
              <w:rPr>
                <w:rFonts w:ascii="宋体" w:hAnsi="宋体" w:hint="eastAsia"/>
                <w:b/>
                <w:bCs/>
                <w:color w:val="000000" w:themeColor="text1"/>
                <w:szCs w:val="21"/>
              </w:rPr>
              <w:t>适用专业：</w:t>
            </w:r>
            <w:r w:rsidRPr="001B3040">
              <w:rPr>
                <w:rFonts w:eastAsiaTheme="minorEastAsia" w:hAnsiTheme="minorEastAsia"/>
                <w:color w:val="000000" w:themeColor="text1"/>
                <w:kern w:val="0"/>
                <w:szCs w:val="21"/>
              </w:rPr>
              <w:t>园艺、设施农业</w:t>
            </w:r>
            <w:r w:rsidRPr="001B3040">
              <w:rPr>
                <w:rFonts w:eastAsiaTheme="minorEastAsia" w:hAnsiTheme="minorEastAsia" w:hint="eastAsia"/>
                <w:color w:val="000000" w:themeColor="text1"/>
                <w:kern w:val="0"/>
                <w:szCs w:val="21"/>
              </w:rPr>
              <w:t>科学</w:t>
            </w:r>
            <w:r w:rsidRPr="001B3040">
              <w:rPr>
                <w:rFonts w:eastAsiaTheme="minorEastAsia" w:hAnsiTheme="minorEastAsia"/>
                <w:color w:val="000000" w:themeColor="text1"/>
                <w:kern w:val="0"/>
                <w:szCs w:val="21"/>
              </w:rPr>
              <w:t>与工程、茶学</w:t>
            </w:r>
          </w:p>
        </w:tc>
      </w:tr>
      <w:tr w:rsidR="00F5289E" w14:paraId="28A230D7" w14:textId="77777777">
        <w:tc>
          <w:tcPr>
            <w:tcW w:w="5000" w:type="pct"/>
            <w:gridSpan w:val="3"/>
          </w:tcPr>
          <w:p w14:paraId="4C8515CD"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对先修的要求：</w:t>
            </w:r>
            <w:r w:rsidRPr="001B3040">
              <w:rPr>
                <w:rFonts w:ascii="宋体" w:hAnsi="宋体" w:hint="eastAsia"/>
                <w:color w:val="000000" w:themeColor="text1"/>
                <w:szCs w:val="21"/>
              </w:rPr>
              <w:t>要求学生掌握</w:t>
            </w:r>
            <w:r w:rsidRPr="001B3040">
              <w:rPr>
                <w:rFonts w:eastAsiaTheme="minorEastAsia" w:hAnsiTheme="minorEastAsia"/>
                <w:color w:val="000000" w:themeColor="text1"/>
                <w:szCs w:val="21"/>
              </w:rPr>
              <w:t>有机化学、生物化学</w:t>
            </w:r>
            <w:r w:rsidRPr="001B3040">
              <w:rPr>
                <w:rFonts w:eastAsiaTheme="minorEastAsia" w:hAnsiTheme="minorEastAsia" w:hint="eastAsia"/>
                <w:color w:val="000000" w:themeColor="text1"/>
                <w:szCs w:val="21"/>
              </w:rPr>
              <w:t>、蔬菜栽培学、果树栽培学的基础知识，拥有简单的查阅资料能力。</w:t>
            </w:r>
          </w:p>
        </w:tc>
      </w:tr>
      <w:tr w:rsidR="00F5289E" w14:paraId="1EAD404C" w14:textId="77777777">
        <w:tc>
          <w:tcPr>
            <w:tcW w:w="5000" w:type="pct"/>
            <w:gridSpan w:val="3"/>
          </w:tcPr>
          <w:p w14:paraId="71387A00" w14:textId="77777777" w:rsidR="00F5289E" w:rsidRPr="001B3040" w:rsidRDefault="00C91173">
            <w:pPr>
              <w:spacing w:line="300" w:lineRule="auto"/>
              <w:rPr>
                <w:rFonts w:ascii="宋体" w:hAnsi="宋体"/>
                <w:color w:val="000000" w:themeColor="text1"/>
                <w:szCs w:val="21"/>
              </w:rPr>
            </w:pPr>
            <w:r w:rsidRPr="001B3040">
              <w:rPr>
                <w:rFonts w:ascii="宋体" w:hAnsi="宋体" w:hint="eastAsia"/>
                <w:color w:val="000000" w:themeColor="text1"/>
                <w:szCs w:val="21"/>
              </w:rPr>
              <w:t>对后续的支撑：</w:t>
            </w:r>
            <w:r w:rsidRPr="001B3040">
              <w:rPr>
                <w:rFonts w:eastAsiaTheme="minorEastAsia" w:hAnsiTheme="minorEastAsia" w:hint="eastAsia"/>
                <w:color w:val="000000" w:themeColor="text1"/>
                <w:szCs w:val="21"/>
              </w:rPr>
              <w:t>通过学生掌握的园艺产品的营养成分、功能及营养素形成调控，可为后期进行相关科研研究提供兴趣思路，并培养学生的综合素质能力。</w:t>
            </w:r>
          </w:p>
        </w:tc>
      </w:tr>
      <w:tr w:rsidR="00F5289E" w14:paraId="784405B3" w14:textId="77777777">
        <w:tc>
          <w:tcPr>
            <w:tcW w:w="1666" w:type="pct"/>
          </w:tcPr>
          <w:p w14:paraId="77886578"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主撰人：</w:t>
            </w:r>
            <w:r w:rsidRPr="001B3040">
              <w:rPr>
                <w:rFonts w:ascii="宋体" w:hAnsi="宋体" w:hint="eastAsia"/>
                <w:color w:val="000000" w:themeColor="text1"/>
                <w:szCs w:val="21"/>
              </w:rPr>
              <w:t>贾</w:t>
            </w:r>
            <w:r w:rsidRPr="001B3040">
              <w:rPr>
                <w:rFonts w:eastAsiaTheme="minorEastAsia" w:hAnsiTheme="minorEastAsia"/>
                <w:color w:val="000000" w:themeColor="text1"/>
                <w:szCs w:val="21"/>
              </w:rPr>
              <w:t>芝琪</w:t>
            </w:r>
            <w:r w:rsidRPr="001B3040">
              <w:rPr>
                <w:rFonts w:eastAsiaTheme="minorEastAsia" w:hAnsiTheme="minorEastAsia" w:hint="eastAsia"/>
                <w:color w:val="000000" w:themeColor="text1"/>
                <w:szCs w:val="21"/>
              </w:rPr>
              <w:t xml:space="preserve"> </w:t>
            </w:r>
            <w:r w:rsidRPr="001B3040">
              <w:rPr>
                <w:rFonts w:eastAsiaTheme="minorEastAsia" w:hAnsiTheme="minorEastAsia" w:hint="eastAsia"/>
                <w:color w:val="000000" w:themeColor="text1"/>
                <w:szCs w:val="21"/>
              </w:rPr>
              <w:t>侯娟</w:t>
            </w:r>
            <w:r w:rsidRPr="001B3040">
              <w:rPr>
                <w:rFonts w:eastAsiaTheme="minorEastAsia" w:hAnsiTheme="minorEastAsia" w:hint="eastAsia"/>
                <w:color w:val="000000" w:themeColor="text1"/>
                <w:szCs w:val="21"/>
              </w:rPr>
              <w:t xml:space="preserve"> </w:t>
            </w:r>
            <w:r w:rsidRPr="001B3040">
              <w:rPr>
                <w:rFonts w:eastAsiaTheme="minorEastAsia" w:hAnsiTheme="minorEastAsia" w:hint="eastAsia"/>
                <w:color w:val="000000" w:themeColor="text1"/>
                <w:szCs w:val="21"/>
              </w:rPr>
              <w:t>张海朋</w:t>
            </w:r>
          </w:p>
        </w:tc>
        <w:tc>
          <w:tcPr>
            <w:tcW w:w="1453" w:type="pct"/>
          </w:tcPr>
          <w:p w14:paraId="46A99FD5"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审核人：</w:t>
            </w:r>
            <w:r w:rsidRPr="001B3040">
              <w:rPr>
                <w:rFonts w:eastAsiaTheme="minorEastAsia" w:hAnsiTheme="minorEastAsia"/>
                <w:color w:val="000000" w:themeColor="text1"/>
                <w:szCs w:val="21"/>
              </w:rPr>
              <w:t>王兰菊</w:t>
            </w:r>
          </w:p>
        </w:tc>
        <w:tc>
          <w:tcPr>
            <w:tcW w:w="1881" w:type="pct"/>
          </w:tcPr>
          <w:p w14:paraId="7465964D"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大纲制定（修订）日期：</w:t>
            </w:r>
            <w:r w:rsidRPr="001B3040">
              <w:rPr>
                <w:rFonts w:ascii="宋体" w:hAnsi="宋体" w:hint="eastAsia"/>
                <w:color w:val="000000" w:themeColor="text1"/>
                <w:szCs w:val="21"/>
              </w:rPr>
              <w:t>202</w:t>
            </w:r>
            <w:r w:rsidR="001B3040">
              <w:rPr>
                <w:rFonts w:ascii="宋体" w:hAnsi="宋体"/>
                <w:color w:val="000000" w:themeColor="text1"/>
                <w:szCs w:val="21"/>
              </w:rPr>
              <w:t>3.05</w:t>
            </w:r>
          </w:p>
        </w:tc>
      </w:tr>
    </w:tbl>
    <w:p w14:paraId="649B9C6F" w14:textId="77777777" w:rsidR="00F5289E" w:rsidRDefault="00F5289E">
      <w:pPr>
        <w:widowControl/>
        <w:snapToGrid w:val="0"/>
        <w:spacing w:line="360" w:lineRule="auto"/>
        <w:jc w:val="left"/>
        <w:rPr>
          <w:rFonts w:hAnsi="宋体"/>
          <w:b/>
          <w:bCs/>
          <w:color w:val="000000" w:themeColor="text1"/>
          <w:kern w:val="0"/>
          <w:szCs w:val="21"/>
        </w:rPr>
      </w:pPr>
    </w:p>
    <w:p w14:paraId="40CD4AA1" w14:textId="77777777" w:rsidR="00F5289E" w:rsidRDefault="00C91173">
      <w:pPr>
        <w:widowControl/>
        <w:snapToGrid w:val="0"/>
        <w:spacing w:line="360" w:lineRule="auto"/>
        <w:jc w:val="left"/>
        <w:rPr>
          <w:color w:val="000000" w:themeColor="text1"/>
          <w:kern w:val="0"/>
          <w:szCs w:val="21"/>
        </w:rPr>
      </w:pPr>
      <w:r>
        <w:rPr>
          <w:rFonts w:hAnsi="宋体"/>
          <w:b/>
          <w:bCs/>
          <w:color w:val="000000" w:themeColor="text1"/>
          <w:kern w:val="0"/>
          <w:szCs w:val="21"/>
        </w:rPr>
        <w:t>一、课程的</w:t>
      </w:r>
      <w:r>
        <w:rPr>
          <w:rFonts w:hAnsi="宋体" w:hint="eastAsia"/>
          <w:b/>
          <w:bCs/>
          <w:color w:val="000000" w:themeColor="text1"/>
          <w:kern w:val="0"/>
          <w:szCs w:val="21"/>
        </w:rPr>
        <w:t>教学理念、性质、目标和</w:t>
      </w:r>
      <w:r>
        <w:rPr>
          <w:rFonts w:hAnsi="宋体"/>
          <w:b/>
          <w:bCs/>
          <w:color w:val="000000" w:themeColor="text1"/>
          <w:kern w:val="0"/>
          <w:szCs w:val="21"/>
        </w:rPr>
        <w:t>任务</w:t>
      </w:r>
    </w:p>
    <w:p w14:paraId="1EB4E971" w14:textId="77777777" w:rsidR="00F5289E" w:rsidRDefault="00C91173">
      <w:pPr>
        <w:widowControl/>
        <w:snapToGrid w:val="0"/>
        <w:spacing w:line="360" w:lineRule="auto"/>
        <w:ind w:firstLine="420"/>
        <w:jc w:val="left"/>
        <w:rPr>
          <w:rFonts w:eastAsiaTheme="minorEastAsia" w:hAnsiTheme="minorEastAsia"/>
          <w:color w:val="000000" w:themeColor="text1"/>
          <w:szCs w:val="21"/>
        </w:rPr>
      </w:pPr>
      <w:r>
        <w:rPr>
          <w:rFonts w:asciiTheme="minorEastAsia" w:eastAsiaTheme="minorEastAsia" w:hAnsiTheme="minorEastAsia" w:cstheme="minorEastAsia" w:hint="eastAsia"/>
          <w:color w:val="000000" w:themeColor="text1"/>
          <w:kern w:val="0"/>
          <w:szCs w:val="21"/>
        </w:rPr>
        <w:t>《园艺产品营养学》是</w:t>
      </w:r>
      <w:r>
        <w:rPr>
          <w:rFonts w:eastAsiaTheme="minorEastAsia" w:hAnsiTheme="minorEastAsia"/>
          <w:color w:val="000000" w:themeColor="text1"/>
          <w:szCs w:val="21"/>
        </w:rPr>
        <w:t>园艺、茶学、设施农业科学与工程专业的选修课</w:t>
      </w:r>
      <w:r>
        <w:rPr>
          <w:rFonts w:asciiTheme="minorEastAsia" w:eastAsiaTheme="minorEastAsia" w:hAnsiTheme="minorEastAsia" w:cstheme="minorEastAsia" w:hint="eastAsia"/>
          <w:color w:val="000000" w:themeColor="text1"/>
          <w:kern w:val="0"/>
          <w:szCs w:val="21"/>
        </w:rPr>
        <w:t>，</w:t>
      </w:r>
      <w:r>
        <w:rPr>
          <w:rFonts w:hint="eastAsia"/>
          <w:color w:val="000000" w:themeColor="text1"/>
          <w:szCs w:val="21"/>
          <w:shd w:val="clear" w:color="auto" w:fill="FFFFFF"/>
        </w:rPr>
        <w:t>园艺产品在人们生活中，最重要的作用之一就是提供人们日常食物中所需的果蔬产品。随着园艺产业的发展以及人们对“吃”的方面要求的提高，目前人们对果蔬等园艺产品的消费需求方向也在不断发生变化，在园艺产品的消费过程中更加注重营养品质，由此园艺产业的发展也从数量型向质量型转变。</w:t>
      </w:r>
      <w:r>
        <w:rPr>
          <w:rFonts w:asciiTheme="minorEastAsia" w:eastAsiaTheme="minorEastAsia" w:hAnsiTheme="minorEastAsia" w:cstheme="minorEastAsia" w:hint="eastAsia"/>
          <w:color w:val="000000" w:themeColor="text1"/>
          <w:kern w:val="0"/>
          <w:szCs w:val="21"/>
        </w:rPr>
        <w:t>本课程从营养学角度对不同种类的园艺产品及其功能成分进行分析阐述，重点介绍了基础营养学、园艺产品的营养构成、园艺产品的营养与功能、园艺产品营养的形成与调控等。</w:t>
      </w:r>
      <w:r>
        <w:rPr>
          <w:rFonts w:eastAsiaTheme="minorEastAsia" w:hAnsiTheme="minorEastAsia"/>
          <w:color w:val="000000" w:themeColor="text1"/>
          <w:szCs w:val="21"/>
        </w:rPr>
        <w:t>本课程的开设可进一步</w:t>
      </w:r>
      <w:r>
        <w:rPr>
          <w:rFonts w:eastAsiaTheme="minorEastAsia" w:hAnsiTheme="minorEastAsia" w:hint="eastAsia"/>
          <w:color w:val="000000" w:themeColor="text1"/>
          <w:szCs w:val="21"/>
        </w:rPr>
        <w:t>让学生了解</w:t>
      </w:r>
      <w:r>
        <w:rPr>
          <w:rFonts w:hint="eastAsia"/>
          <w:color w:val="000000" w:themeColor="text1"/>
          <w:szCs w:val="21"/>
          <w:shd w:val="clear" w:color="auto" w:fill="FFFFFF"/>
        </w:rPr>
        <w:t>园艺产品与人类生活、人体健康、产业发展等的联系</w:t>
      </w:r>
      <w:r>
        <w:rPr>
          <w:rFonts w:eastAsiaTheme="minorEastAsia" w:hAnsiTheme="minorEastAsia" w:hint="eastAsia"/>
          <w:color w:val="000000" w:themeColor="text1"/>
          <w:szCs w:val="21"/>
        </w:rPr>
        <w:t>，提高对园艺产品的认知水平，</w:t>
      </w:r>
      <w:r>
        <w:rPr>
          <w:rFonts w:eastAsiaTheme="minorEastAsia" w:hAnsiTheme="minorEastAsia"/>
          <w:color w:val="000000" w:themeColor="text1"/>
          <w:szCs w:val="21"/>
        </w:rPr>
        <w:t>加强学生的综合素质培养，增强学生发现问题、分析问题和解决问题的能力，推动我国</w:t>
      </w:r>
      <w:r>
        <w:rPr>
          <w:rFonts w:eastAsiaTheme="minorEastAsia" w:hAnsiTheme="minorEastAsia" w:hint="eastAsia"/>
          <w:color w:val="000000" w:themeColor="text1"/>
          <w:szCs w:val="21"/>
        </w:rPr>
        <w:t>园艺产品品质调控的</w:t>
      </w:r>
      <w:r>
        <w:rPr>
          <w:rFonts w:eastAsiaTheme="minorEastAsia" w:hAnsiTheme="minorEastAsia"/>
          <w:color w:val="000000" w:themeColor="text1"/>
          <w:szCs w:val="21"/>
        </w:rPr>
        <w:t>研究与应用。</w:t>
      </w:r>
      <w:r>
        <w:rPr>
          <w:rFonts w:eastAsiaTheme="minorEastAsia" w:hAnsiTheme="minorEastAsia" w:hint="eastAsia"/>
          <w:color w:val="000000" w:themeColor="text1"/>
          <w:szCs w:val="21"/>
        </w:rPr>
        <w:t>本课程最重要的教学理念就是以学生为本，一切为了学生的发展，采用教师讲授和翻转课堂相结合的教学方法。</w:t>
      </w:r>
      <w:r>
        <w:rPr>
          <w:rFonts w:asciiTheme="minorEastAsia" w:eastAsiaTheme="minorEastAsia" w:hAnsiTheme="minorEastAsia" w:cstheme="minorEastAsia" w:hint="eastAsia"/>
          <w:color w:val="000000" w:themeColor="text1"/>
          <w:kern w:val="0"/>
          <w:szCs w:val="21"/>
        </w:rPr>
        <w:t>通过该课程的学习，</w:t>
      </w:r>
      <w:r>
        <w:rPr>
          <w:rFonts w:asciiTheme="minorEastAsia" w:eastAsiaTheme="minorEastAsia" w:hAnsiTheme="minorEastAsia" w:cstheme="minorEastAsia" w:hint="eastAsia"/>
          <w:color w:val="000000" w:themeColor="text1"/>
        </w:rPr>
        <w:t>学生能全面了解园艺产品营养学理论，掌握园艺营养保健相关的功能成分、营养价值及其应用前景；熟悉园艺产品的营养保健功能，园艺产品营养形成与调控的路径，为开发高营养价值的园艺产品，调整人们膳食结构提供基本知识和信息。</w:t>
      </w:r>
    </w:p>
    <w:p w14:paraId="1D6C5D8F" w14:textId="77777777" w:rsidR="00F5289E" w:rsidRDefault="00C91173">
      <w:pPr>
        <w:widowControl/>
        <w:snapToGrid w:val="0"/>
        <w:spacing w:line="360" w:lineRule="auto"/>
        <w:jc w:val="left"/>
        <w:rPr>
          <w:color w:val="000000" w:themeColor="text1"/>
          <w:kern w:val="0"/>
          <w:szCs w:val="21"/>
        </w:rPr>
      </w:pPr>
      <w:r>
        <w:rPr>
          <w:rFonts w:hAnsi="宋体"/>
          <w:b/>
          <w:bCs/>
          <w:color w:val="000000" w:themeColor="text1"/>
          <w:kern w:val="0"/>
          <w:szCs w:val="21"/>
        </w:rPr>
        <w:t>二、课程教学的基本要求</w:t>
      </w:r>
    </w:p>
    <w:p w14:paraId="614DF1B1"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本课程在教学中应注重理论联系实际，通过本课程的学习，学生能结合实际生活中的遇到的问题，加以科学分析，从理论上了解园艺产品营养成分和功能，为科学制定膳食营养计划、园艺产品的开发和利用、改善人民营养水平、增进人民体质做出贡献。</w:t>
      </w:r>
    </w:p>
    <w:p w14:paraId="063DFCBB" w14:textId="77777777" w:rsidR="00F5289E" w:rsidRDefault="00C91173">
      <w:pPr>
        <w:widowControl/>
        <w:snapToGrid w:val="0"/>
        <w:spacing w:line="360" w:lineRule="auto"/>
        <w:jc w:val="left"/>
        <w:rPr>
          <w:rFonts w:hAnsi="宋体"/>
          <w:b/>
          <w:bCs/>
          <w:color w:val="000000" w:themeColor="text1"/>
          <w:kern w:val="0"/>
          <w:szCs w:val="21"/>
        </w:rPr>
      </w:pPr>
      <w:r>
        <w:rPr>
          <w:rFonts w:hAnsi="宋体"/>
          <w:b/>
          <w:bCs/>
          <w:color w:val="000000" w:themeColor="text1"/>
          <w:kern w:val="0"/>
          <w:szCs w:val="21"/>
        </w:rPr>
        <w:t>三、</w:t>
      </w:r>
      <w:r>
        <w:rPr>
          <w:rFonts w:hAnsi="宋体" w:hint="eastAsia"/>
          <w:b/>
          <w:bCs/>
          <w:color w:val="000000" w:themeColor="text1"/>
          <w:kern w:val="0"/>
          <w:szCs w:val="21"/>
        </w:rPr>
        <w:t>课程的教学设计</w:t>
      </w:r>
    </w:p>
    <w:p w14:paraId="131534DA"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lastRenderedPageBreak/>
        <w:t>1.</w:t>
      </w:r>
      <w:r>
        <w:rPr>
          <w:rFonts w:hAnsi="宋体" w:hint="eastAsia"/>
          <w:bCs/>
          <w:color w:val="000000" w:themeColor="text1"/>
          <w:kern w:val="0"/>
          <w:szCs w:val="21"/>
        </w:rPr>
        <w:t>教学设计说明</w:t>
      </w:r>
    </w:p>
    <w:p w14:paraId="2F995B66" w14:textId="77777777" w:rsidR="00F5289E" w:rsidRDefault="00C91173">
      <w:pPr>
        <w:pStyle w:val="a9"/>
        <w:snapToGrid w:val="0"/>
        <w:spacing w:line="360" w:lineRule="auto"/>
        <w:ind w:rightChars="-138" w:right="-290" w:firstLineChars="200" w:firstLine="420"/>
        <w:rPr>
          <w:rFonts w:ascii="Times New Roman" w:hAnsi="宋体" w:cs="Times New Roman"/>
          <w:bCs/>
          <w:color w:val="000000" w:themeColor="text1"/>
          <w:kern w:val="0"/>
        </w:rPr>
      </w:pPr>
      <w:r>
        <w:rPr>
          <w:rFonts w:ascii="Times New Roman" w:hAnsi="宋体" w:cs="Times New Roman" w:hint="eastAsia"/>
          <w:bCs/>
          <w:color w:val="000000" w:themeColor="text1"/>
          <w:kern w:val="0"/>
        </w:rPr>
        <w:t>围绕课程教学目标及教学内容，</w:t>
      </w:r>
      <w:r>
        <w:rPr>
          <w:rFonts w:ascii="Times New Roman" w:hAnsi="宋体" w:cs="Times New Roman"/>
          <w:bCs/>
          <w:color w:val="000000" w:themeColor="text1"/>
          <w:kern w:val="0"/>
        </w:rPr>
        <w:t>总体上采取“教—学—</w:t>
      </w:r>
      <w:r>
        <w:rPr>
          <w:rFonts w:ascii="Times New Roman" w:hAnsi="宋体" w:cs="Times New Roman" w:hint="eastAsia"/>
          <w:bCs/>
          <w:color w:val="000000" w:themeColor="text1"/>
          <w:kern w:val="0"/>
        </w:rPr>
        <w:t>讨论</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翻转课堂</w:t>
      </w:r>
      <w:r>
        <w:rPr>
          <w:rFonts w:ascii="Times New Roman" w:hAnsi="宋体" w:cs="Times New Roman"/>
          <w:bCs/>
          <w:color w:val="000000" w:themeColor="text1"/>
          <w:kern w:val="0"/>
        </w:rPr>
        <w:t>”一体化的教学</w:t>
      </w:r>
      <w:r>
        <w:rPr>
          <w:rFonts w:ascii="Times New Roman" w:hAnsi="宋体" w:cs="Times New Roman" w:hint="eastAsia"/>
          <w:bCs/>
          <w:color w:val="000000" w:themeColor="text1"/>
          <w:kern w:val="0"/>
        </w:rPr>
        <w:t>策略</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基础营养学部分</w:t>
      </w:r>
      <w:r>
        <w:rPr>
          <w:rFonts w:ascii="Times New Roman" w:hAnsi="宋体" w:cs="Times New Roman"/>
          <w:bCs/>
          <w:color w:val="000000" w:themeColor="text1"/>
          <w:kern w:val="0"/>
        </w:rPr>
        <w:t>以教师为主导、学生为主体的方式，</w:t>
      </w:r>
      <w:r>
        <w:rPr>
          <w:rFonts w:ascii="Times New Roman" w:hAnsi="宋体" w:cs="Times New Roman" w:hint="eastAsia"/>
          <w:bCs/>
          <w:color w:val="000000" w:themeColor="text1"/>
          <w:kern w:val="0"/>
        </w:rPr>
        <w:t>园艺产品营养各论部分</w:t>
      </w:r>
      <w:r>
        <w:rPr>
          <w:rFonts w:ascii="Times New Roman" w:hAnsi="宋体" w:cs="Times New Roman"/>
          <w:bCs/>
          <w:color w:val="000000" w:themeColor="text1"/>
          <w:kern w:val="0"/>
        </w:rPr>
        <w:t>以学生为主导、</w:t>
      </w:r>
      <w:r>
        <w:rPr>
          <w:rFonts w:ascii="Times New Roman" w:hAnsi="宋体" w:cs="Times New Roman" w:hint="eastAsia"/>
          <w:bCs/>
          <w:color w:val="000000" w:themeColor="text1"/>
          <w:kern w:val="0"/>
        </w:rPr>
        <w:t>教师</w:t>
      </w:r>
      <w:r>
        <w:rPr>
          <w:rFonts w:ascii="Times New Roman" w:hAnsi="宋体" w:cs="Times New Roman"/>
          <w:bCs/>
          <w:color w:val="000000" w:themeColor="text1"/>
          <w:kern w:val="0"/>
        </w:rPr>
        <w:t>辅助的方式开展教学工作。主要</w:t>
      </w:r>
      <w:r>
        <w:rPr>
          <w:rFonts w:ascii="Times New Roman" w:hAnsi="宋体" w:cs="Times New Roman" w:hint="eastAsia"/>
          <w:bCs/>
          <w:color w:val="000000" w:themeColor="text1"/>
          <w:kern w:val="0"/>
        </w:rPr>
        <w:t>采用以下</w:t>
      </w:r>
      <w:r>
        <w:rPr>
          <w:rFonts w:ascii="Times New Roman" w:hAnsi="宋体" w:cs="Times New Roman"/>
          <w:bCs/>
          <w:color w:val="000000" w:themeColor="text1"/>
          <w:kern w:val="0"/>
        </w:rPr>
        <w:t>教学方法：教学团队专题式教学，成立课程</w:t>
      </w:r>
      <w:r>
        <w:rPr>
          <w:rFonts w:ascii="Times New Roman" w:hAnsi="宋体" w:cs="Times New Roman" w:hint="eastAsia"/>
          <w:bCs/>
          <w:color w:val="000000" w:themeColor="text1"/>
          <w:kern w:val="0"/>
        </w:rPr>
        <w:t>团队</w:t>
      </w:r>
      <w:r>
        <w:rPr>
          <w:rFonts w:ascii="Times New Roman" w:hAnsi="宋体" w:cs="Times New Roman"/>
          <w:bCs/>
          <w:color w:val="000000" w:themeColor="text1"/>
          <w:kern w:val="0"/>
        </w:rPr>
        <w:t>，</w:t>
      </w:r>
      <w:r>
        <w:rPr>
          <w:rFonts w:ascii="Times New Roman" w:hAnsi="宋体" w:cs="Times New Roman" w:hint="eastAsia"/>
          <w:bCs/>
          <w:color w:val="000000" w:themeColor="text1"/>
          <w:kern w:val="0"/>
        </w:rPr>
        <w:t>每位老师</w:t>
      </w:r>
      <w:r>
        <w:rPr>
          <w:rFonts w:ascii="Times New Roman" w:hAnsi="宋体" w:cs="Times New Roman"/>
          <w:bCs/>
          <w:color w:val="000000" w:themeColor="text1"/>
          <w:kern w:val="0"/>
        </w:rPr>
        <w:t>分别在自己</w:t>
      </w:r>
      <w:r>
        <w:rPr>
          <w:rFonts w:ascii="Times New Roman" w:hAnsi="宋体" w:cs="Times New Roman" w:hint="eastAsia"/>
          <w:bCs/>
          <w:color w:val="000000" w:themeColor="text1"/>
          <w:kern w:val="0"/>
        </w:rPr>
        <w:t>最</w:t>
      </w:r>
      <w:r>
        <w:rPr>
          <w:rFonts w:ascii="Times New Roman" w:hAnsi="宋体" w:cs="Times New Roman"/>
          <w:bCs/>
          <w:color w:val="000000" w:themeColor="text1"/>
          <w:kern w:val="0"/>
        </w:rPr>
        <w:t>擅长的方面，给学生进行专题教学；结合教学大纲，将章节内容系统化，突出重难点、考核目标，让学生明确考</w:t>
      </w:r>
      <w:r>
        <w:rPr>
          <w:rFonts w:ascii="Times New Roman" w:hAnsi="宋体" w:cs="Times New Roman" w:hint="eastAsia"/>
          <w:bCs/>
          <w:color w:val="000000" w:themeColor="text1"/>
          <w:kern w:val="0"/>
        </w:rPr>
        <w:t>核</w:t>
      </w:r>
      <w:r>
        <w:rPr>
          <w:rFonts w:ascii="Times New Roman" w:hAnsi="宋体" w:cs="Times New Roman"/>
          <w:bCs/>
          <w:color w:val="000000" w:themeColor="text1"/>
          <w:kern w:val="0"/>
        </w:rPr>
        <w:t>内容和要求，更有方向地学习本课程；</w:t>
      </w:r>
      <w:r>
        <w:rPr>
          <w:rFonts w:ascii="Times New Roman" w:hAnsi="宋体" w:cs="Times New Roman" w:hint="eastAsia"/>
          <w:bCs/>
          <w:color w:val="000000" w:themeColor="text1"/>
          <w:kern w:val="0"/>
        </w:rPr>
        <w:t>基础营养学部分，</w:t>
      </w:r>
      <w:r>
        <w:rPr>
          <w:rFonts w:ascii="Times New Roman" w:hAnsi="宋体" w:cs="Times New Roman"/>
          <w:bCs/>
          <w:color w:val="000000" w:themeColor="text1"/>
          <w:kern w:val="0"/>
        </w:rPr>
        <w:t>理论课小班授课，以教师为主导、学生为主体，采用案例启示、课堂讲授、观摩相关视频、与学生互动，鼓励学生积极参与教学中等多种教学方法，最大程度地激发学生的主观能动性；</w:t>
      </w:r>
      <w:r>
        <w:rPr>
          <w:rFonts w:ascii="Times New Roman" w:hAnsi="宋体" w:cs="Times New Roman" w:hint="eastAsia"/>
          <w:bCs/>
          <w:color w:val="000000" w:themeColor="text1"/>
          <w:kern w:val="0"/>
        </w:rPr>
        <w:t>园艺产品营养各论部分及营养形成调控部分，以学生为主导</w:t>
      </w:r>
      <w:r>
        <w:rPr>
          <w:rFonts w:ascii="Times New Roman" w:hAnsi="宋体" w:cs="Times New Roman"/>
          <w:bCs/>
          <w:color w:val="000000" w:themeColor="text1"/>
          <w:kern w:val="0"/>
        </w:rPr>
        <w:t>、老师进行辅助，</w:t>
      </w:r>
      <w:r>
        <w:rPr>
          <w:rFonts w:ascii="Times New Roman" w:hAnsi="宋体" w:cs="Times New Roman" w:hint="eastAsia"/>
          <w:bCs/>
          <w:color w:val="000000" w:themeColor="text1"/>
          <w:kern w:val="0"/>
        </w:rPr>
        <w:t>采用翻转课堂，让学生搜集信息、制作课程内容讲解与讨论，</w:t>
      </w:r>
      <w:r>
        <w:rPr>
          <w:rFonts w:ascii="Times New Roman" w:hAnsi="宋体" w:cs="Times New Roman"/>
          <w:bCs/>
          <w:color w:val="000000" w:themeColor="text1"/>
          <w:kern w:val="0"/>
        </w:rPr>
        <w:t>鼓励学生动手操作，加强动手操作能力培养；并对</w:t>
      </w:r>
      <w:r>
        <w:rPr>
          <w:rFonts w:ascii="Times New Roman" w:hAnsi="宋体" w:cs="Times New Roman" w:hint="eastAsia"/>
          <w:bCs/>
          <w:color w:val="000000" w:themeColor="text1"/>
          <w:kern w:val="0"/>
        </w:rPr>
        <w:t>课堂讨论、学生讲解内容丰富度、充实度、准确度、层次性、讲解表达仪态等方面</w:t>
      </w:r>
      <w:r>
        <w:rPr>
          <w:rFonts w:ascii="Times New Roman" w:hAnsi="宋体" w:cs="Times New Roman"/>
          <w:bCs/>
          <w:color w:val="000000" w:themeColor="text1"/>
          <w:kern w:val="0"/>
        </w:rPr>
        <w:t>进行</w:t>
      </w:r>
      <w:r>
        <w:rPr>
          <w:rFonts w:ascii="Times New Roman" w:hAnsi="宋体" w:cs="Times New Roman" w:hint="eastAsia"/>
          <w:bCs/>
          <w:color w:val="000000" w:themeColor="text1"/>
          <w:kern w:val="0"/>
        </w:rPr>
        <w:t>过程性评价，最后以课程论文形式进行终结性评价，促使学生</w:t>
      </w:r>
      <w:r>
        <w:rPr>
          <w:rFonts w:ascii="Times New Roman" w:hAnsi="宋体" w:cs="Times New Roman"/>
          <w:bCs/>
          <w:color w:val="000000" w:themeColor="text1"/>
          <w:kern w:val="0"/>
        </w:rPr>
        <w:t>更好的掌握相关知识。</w:t>
      </w:r>
    </w:p>
    <w:p w14:paraId="2954277B" w14:textId="77777777" w:rsidR="00F5289E" w:rsidRDefault="00C91173">
      <w:pPr>
        <w:spacing w:line="360" w:lineRule="auto"/>
        <w:ind w:firstLineChars="200" w:firstLine="420"/>
        <w:rPr>
          <w:rFonts w:hAnsi="宋体"/>
          <w:bCs/>
          <w:color w:val="000000" w:themeColor="text1"/>
          <w:kern w:val="0"/>
          <w:szCs w:val="21"/>
        </w:rPr>
      </w:pPr>
      <w:r>
        <w:rPr>
          <w:rFonts w:hAnsi="宋体" w:hint="eastAsia"/>
          <w:bCs/>
          <w:color w:val="000000" w:themeColor="text1"/>
          <w:kern w:val="0"/>
          <w:szCs w:val="21"/>
        </w:rPr>
        <w:t>2.</w:t>
      </w:r>
      <w:r>
        <w:rPr>
          <w:rFonts w:hAnsi="宋体" w:hint="eastAsia"/>
          <w:bCs/>
          <w:color w:val="000000" w:themeColor="text1"/>
          <w:kern w:val="0"/>
          <w:szCs w:val="21"/>
        </w:rPr>
        <w:t>课程目标及对毕业要求的支撑</w:t>
      </w:r>
    </w:p>
    <w:tbl>
      <w:tblPr>
        <w:tblStyle w:val="af6"/>
        <w:tblW w:w="8897" w:type="dxa"/>
        <w:jc w:val="center"/>
        <w:tblLook w:val="04A0" w:firstRow="1" w:lastRow="0" w:firstColumn="1" w:lastColumn="0" w:noHBand="0" w:noVBand="1"/>
      </w:tblPr>
      <w:tblGrid>
        <w:gridCol w:w="999"/>
        <w:gridCol w:w="6846"/>
        <w:gridCol w:w="1052"/>
      </w:tblGrid>
      <w:tr w:rsidR="00F5289E" w14:paraId="4BEF3D5D" w14:textId="77777777">
        <w:trPr>
          <w:trHeight w:val="403"/>
          <w:jc w:val="center"/>
        </w:trPr>
        <w:tc>
          <w:tcPr>
            <w:tcW w:w="9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C7B61D8"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序号</w:t>
            </w:r>
          </w:p>
        </w:tc>
        <w:tc>
          <w:tcPr>
            <w:tcW w:w="68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4654BDF"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课程目标</w:t>
            </w:r>
          </w:p>
        </w:tc>
        <w:tc>
          <w:tcPr>
            <w:tcW w:w="10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D1C90E3" w14:textId="77777777" w:rsidR="00F5289E" w:rsidRDefault="00C91173">
            <w:pPr>
              <w:spacing w:line="320" w:lineRule="exact"/>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毕业要求</w:t>
            </w:r>
          </w:p>
        </w:tc>
      </w:tr>
      <w:tr w:rsidR="00F5289E" w14:paraId="4F43978C"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3411FE04"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1</w:t>
            </w:r>
          </w:p>
        </w:tc>
        <w:tc>
          <w:tcPr>
            <w:tcW w:w="6846" w:type="dxa"/>
            <w:tcBorders>
              <w:top w:val="single" w:sz="4" w:space="0" w:color="auto"/>
              <w:left w:val="single" w:sz="4" w:space="0" w:color="auto"/>
              <w:bottom w:val="single" w:sz="4" w:space="0" w:color="auto"/>
              <w:right w:val="single" w:sz="4" w:space="0" w:color="auto"/>
            </w:tcBorders>
            <w:vAlign w:val="center"/>
          </w:tcPr>
          <w:p w14:paraId="314AA224" w14:textId="77777777" w:rsidR="00F5289E" w:rsidRDefault="00C91173">
            <w:pPr>
              <w:spacing w:line="320" w:lineRule="exact"/>
              <w:jc w:val="left"/>
              <w:rPr>
                <w:rFonts w:eastAsiaTheme="minorEastAsia" w:hAnsiTheme="minorEastAsia"/>
                <w:color w:val="000000" w:themeColor="text1"/>
                <w:sz w:val="18"/>
                <w:szCs w:val="18"/>
              </w:rPr>
            </w:pPr>
            <w:r>
              <w:rPr>
                <w:rFonts w:eastAsiaTheme="minorEastAsia" w:hAnsiTheme="minorEastAsia" w:hint="eastAsia"/>
                <w:color w:val="000000" w:themeColor="text1"/>
                <w:sz w:val="18"/>
                <w:szCs w:val="21"/>
              </w:rPr>
              <w:t>目标</w:t>
            </w:r>
            <w:r>
              <w:rPr>
                <w:rFonts w:eastAsiaTheme="minorEastAsia" w:hAnsiTheme="minorEastAsia" w:hint="eastAsia"/>
                <w:color w:val="000000" w:themeColor="text1"/>
                <w:sz w:val="18"/>
                <w:szCs w:val="21"/>
              </w:rPr>
              <w:t>1</w:t>
            </w:r>
            <w:r>
              <w:rPr>
                <w:rFonts w:eastAsiaTheme="minorEastAsia" w:hAnsiTheme="minorEastAsia" w:hint="eastAsia"/>
                <w:color w:val="000000" w:themeColor="text1"/>
                <w:sz w:val="18"/>
                <w:szCs w:val="21"/>
              </w:rPr>
              <w:t>：通过课程的学习，培养学生热爱祖国，热爱人民，具有正确的政治方向，拥护中国共产党的领导。树立正确的世界观、价值观和人生观，自觉践行社会主义核心价值观，做到四个自信。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sz="4" w:space="0" w:color="auto"/>
              <w:left w:val="single" w:sz="4" w:space="0" w:color="auto"/>
              <w:bottom w:val="single" w:sz="4" w:space="0" w:color="auto"/>
              <w:right w:val="single" w:sz="4" w:space="0" w:color="auto"/>
            </w:tcBorders>
            <w:vAlign w:val="center"/>
          </w:tcPr>
          <w:p w14:paraId="173B0BE2"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1</w:t>
            </w:r>
          </w:p>
        </w:tc>
      </w:tr>
      <w:tr w:rsidR="00F5289E" w14:paraId="2A9CE096"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6F19A368"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2</w:t>
            </w:r>
          </w:p>
        </w:tc>
        <w:tc>
          <w:tcPr>
            <w:tcW w:w="6846" w:type="dxa"/>
            <w:tcBorders>
              <w:top w:val="single" w:sz="4" w:space="0" w:color="auto"/>
              <w:left w:val="single" w:sz="4" w:space="0" w:color="auto"/>
              <w:bottom w:val="single" w:sz="4" w:space="0" w:color="auto"/>
              <w:right w:val="single" w:sz="4" w:space="0" w:color="auto"/>
            </w:tcBorders>
            <w:vAlign w:val="center"/>
          </w:tcPr>
          <w:p w14:paraId="459ECCE9" w14:textId="77777777" w:rsidR="00F5289E" w:rsidRDefault="00C91173">
            <w:pPr>
              <w:spacing w:line="320" w:lineRule="exact"/>
              <w:jc w:val="left"/>
              <w:rPr>
                <w:rFonts w:eastAsiaTheme="minorEastAsia" w:hAnsiTheme="minorEastAsia"/>
                <w:color w:val="000000" w:themeColor="text1"/>
                <w:sz w:val="18"/>
                <w:szCs w:val="18"/>
                <w:highlight w:val="yellow"/>
              </w:rPr>
            </w:pPr>
            <w:r>
              <w:rPr>
                <w:rFonts w:eastAsiaTheme="minorEastAsia" w:hAnsiTheme="minorEastAsia" w:hint="eastAsia"/>
                <w:color w:val="000000" w:themeColor="text1"/>
                <w:sz w:val="18"/>
                <w:szCs w:val="21"/>
              </w:rPr>
              <w:t>目标</w:t>
            </w:r>
            <w:r>
              <w:rPr>
                <w:rFonts w:eastAsiaTheme="minorEastAsia" w:hAnsiTheme="minorEastAsia" w:hint="eastAsia"/>
                <w:color w:val="000000" w:themeColor="text1"/>
                <w:sz w:val="18"/>
                <w:szCs w:val="21"/>
              </w:rPr>
              <w:t>2</w:t>
            </w:r>
            <w:r>
              <w:rPr>
                <w:rFonts w:eastAsiaTheme="minorEastAsia" w:hAnsiTheme="minorEastAsia" w:hint="eastAsia"/>
                <w:color w:val="000000" w:themeColor="text1"/>
                <w:sz w:val="18"/>
                <w:szCs w:val="21"/>
              </w:rPr>
              <w:t>：</w:t>
            </w:r>
            <w:r>
              <w:rPr>
                <w:rFonts w:eastAsiaTheme="minorEastAsia" w:hAnsiTheme="minorEastAsia"/>
                <w:color w:val="000000" w:themeColor="text1"/>
                <w:sz w:val="18"/>
                <w:szCs w:val="21"/>
              </w:rPr>
              <w:t>本课程的开设可进一步加强学生的综合素质和创新能力的培养，增强学生在植物生产中发现问题、分析问题和解决问题的能力，推动我国</w:t>
            </w:r>
            <w:r>
              <w:rPr>
                <w:rFonts w:eastAsiaTheme="minorEastAsia" w:hAnsiTheme="minorEastAsia" w:hint="eastAsia"/>
                <w:color w:val="000000" w:themeColor="text1"/>
                <w:sz w:val="18"/>
                <w:szCs w:val="21"/>
              </w:rPr>
              <w:t>园艺产品品质营养调控的</w:t>
            </w:r>
            <w:r>
              <w:rPr>
                <w:rFonts w:eastAsiaTheme="minorEastAsia" w:hAnsiTheme="minorEastAsia"/>
                <w:color w:val="000000" w:themeColor="text1"/>
                <w:sz w:val="18"/>
                <w:szCs w:val="21"/>
              </w:rPr>
              <w:t>研究与应用。</w:t>
            </w:r>
          </w:p>
        </w:tc>
        <w:tc>
          <w:tcPr>
            <w:tcW w:w="1052" w:type="dxa"/>
            <w:tcBorders>
              <w:top w:val="single" w:sz="4" w:space="0" w:color="auto"/>
              <w:left w:val="single" w:sz="4" w:space="0" w:color="auto"/>
              <w:bottom w:val="single" w:sz="4" w:space="0" w:color="auto"/>
              <w:right w:val="single" w:sz="4" w:space="0" w:color="auto"/>
            </w:tcBorders>
            <w:vAlign w:val="center"/>
          </w:tcPr>
          <w:p w14:paraId="7827D17F"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4</w:t>
            </w:r>
          </w:p>
        </w:tc>
      </w:tr>
      <w:tr w:rsidR="00F5289E" w14:paraId="6A1E32EB" w14:textId="77777777">
        <w:trPr>
          <w:trHeight w:val="963"/>
          <w:jc w:val="center"/>
        </w:trPr>
        <w:tc>
          <w:tcPr>
            <w:tcW w:w="999" w:type="dxa"/>
            <w:tcBorders>
              <w:top w:val="single" w:sz="4" w:space="0" w:color="auto"/>
              <w:left w:val="single" w:sz="4" w:space="0" w:color="auto"/>
              <w:bottom w:val="single" w:sz="4" w:space="0" w:color="auto"/>
              <w:right w:val="single" w:sz="4" w:space="0" w:color="auto"/>
            </w:tcBorders>
            <w:vAlign w:val="center"/>
          </w:tcPr>
          <w:p w14:paraId="5F60A040" w14:textId="77777777" w:rsidR="00F5289E" w:rsidRDefault="00C91173">
            <w:pPr>
              <w:spacing w:line="320" w:lineRule="exact"/>
              <w:jc w:val="center"/>
              <w:rPr>
                <w:rFonts w:eastAsiaTheme="minorEastAsia"/>
                <w:color w:val="000000" w:themeColor="text1"/>
                <w:sz w:val="18"/>
                <w:szCs w:val="18"/>
              </w:rPr>
            </w:pPr>
            <w:r>
              <w:rPr>
                <w:rFonts w:eastAsiaTheme="minorEastAsia"/>
                <w:color w:val="000000" w:themeColor="text1"/>
                <w:sz w:val="18"/>
                <w:szCs w:val="18"/>
              </w:rPr>
              <w:t>3</w:t>
            </w:r>
          </w:p>
        </w:tc>
        <w:tc>
          <w:tcPr>
            <w:tcW w:w="6846" w:type="dxa"/>
            <w:tcBorders>
              <w:top w:val="single" w:sz="4" w:space="0" w:color="auto"/>
              <w:left w:val="single" w:sz="4" w:space="0" w:color="auto"/>
              <w:bottom w:val="single" w:sz="4" w:space="0" w:color="auto"/>
              <w:right w:val="single" w:sz="4" w:space="0" w:color="auto"/>
            </w:tcBorders>
            <w:vAlign w:val="center"/>
          </w:tcPr>
          <w:p w14:paraId="18F09536" w14:textId="77777777" w:rsidR="00F5289E" w:rsidRDefault="00C91173">
            <w:pPr>
              <w:spacing w:line="320" w:lineRule="exact"/>
              <w:jc w:val="left"/>
              <w:rPr>
                <w:rFonts w:eastAsiaTheme="minorEastAsia"/>
                <w:color w:val="000000" w:themeColor="text1"/>
                <w:sz w:val="18"/>
                <w:szCs w:val="18"/>
              </w:rPr>
            </w:pPr>
            <w:r>
              <w:rPr>
                <w:rFonts w:eastAsiaTheme="minorEastAsia" w:hAnsiTheme="minorEastAsia"/>
                <w:color w:val="000000" w:themeColor="text1"/>
                <w:sz w:val="18"/>
                <w:szCs w:val="21"/>
              </w:rPr>
              <w:t>目标</w:t>
            </w:r>
            <w:r>
              <w:rPr>
                <w:rFonts w:eastAsiaTheme="minorEastAsia" w:hAnsiTheme="minorEastAsia"/>
                <w:color w:val="000000" w:themeColor="text1"/>
                <w:sz w:val="18"/>
                <w:szCs w:val="21"/>
              </w:rPr>
              <w:t>3</w:t>
            </w:r>
            <w:r>
              <w:rPr>
                <w:rFonts w:eastAsiaTheme="minorEastAsia" w:hAnsiTheme="minorEastAsia"/>
                <w:color w:val="000000" w:themeColor="text1"/>
                <w:sz w:val="18"/>
                <w:szCs w:val="21"/>
              </w:rPr>
              <w:t>：</w:t>
            </w:r>
            <w:r>
              <w:rPr>
                <w:rFonts w:eastAsiaTheme="minorEastAsia" w:hAnsiTheme="minorEastAsia" w:hint="eastAsia"/>
                <w:color w:val="000000" w:themeColor="text1"/>
                <w:sz w:val="18"/>
                <w:szCs w:val="21"/>
              </w:rPr>
              <w:t>通过课程的学习，使学生了解园艺产品的营养成分、园艺产品与人类生活、营养成分与人体健康、产业发展等的联系，提高对园艺产品的认知水平</w:t>
            </w:r>
            <w:r>
              <w:rPr>
                <w:rFonts w:eastAsiaTheme="minorEastAsia" w:hAnsiTheme="minorEastAsia"/>
                <w:color w:val="000000" w:themeColor="text1"/>
                <w:sz w:val="18"/>
                <w:szCs w:val="21"/>
              </w:rPr>
              <w:t>，为学生将来从事</w:t>
            </w:r>
            <w:r>
              <w:rPr>
                <w:rFonts w:eastAsiaTheme="minorEastAsia" w:hAnsiTheme="minorEastAsia" w:hint="eastAsia"/>
                <w:color w:val="000000" w:themeColor="text1"/>
                <w:sz w:val="18"/>
                <w:szCs w:val="21"/>
              </w:rPr>
              <w:t>园艺产品营养学</w:t>
            </w:r>
            <w:r>
              <w:rPr>
                <w:rFonts w:eastAsiaTheme="minorEastAsia" w:hAnsiTheme="minorEastAsia"/>
                <w:color w:val="000000" w:themeColor="text1"/>
                <w:sz w:val="18"/>
                <w:szCs w:val="21"/>
              </w:rPr>
              <w:t>相关教学、科研和经营</w:t>
            </w:r>
            <w:r>
              <w:rPr>
                <w:rFonts w:eastAsiaTheme="minorEastAsia" w:hAnsiTheme="minorEastAsia" w:hint="eastAsia"/>
                <w:color w:val="000000" w:themeColor="text1"/>
                <w:sz w:val="18"/>
                <w:szCs w:val="21"/>
              </w:rPr>
              <w:t>实践</w:t>
            </w:r>
            <w:r>
              <w:rPr>
                <w:rFonts w:eastAsiaTheme="minorEastAsia" w:hAnsiTheme="minorEastAsia"/>
                <w:color w:val="000000" w:themeColor="text1"/>
                <w:sz w:val="18"/>
                <w:szCs w:val="21"/>
              </w:rPr>
              <w:t>等多方面工作奠定良好的基础。</w:t>
            </w:r>
          </w:p>
        </w:tc>
        <w:tc>
          <w:tcPr>
            <w:tcW w:w="1052" w:type="dxa"/>
            <w:tcBorders>
              <w:top w:val="single" w:sz="4" w:space="0" w:color="auto"/>
              <w:left w:val="single" w:sz="4" w:space="0" w:color="auto"/>
              <w:bottom w:val="single" w:sz="4" w:space="0" w:color="auto"/>
              <w:right w:val="single" w:sz="4" w:space="0" w:color="auto"/>
            </w:tcBorders>
            <w:vAlign w:val="center"/>
          </w:tcPr>
          <w:p w14:paraId="609909EA" w14:textId="77777777" w:rsidR="00F5289E" w:rsidRDefault="00C91173">
            <w:pPr>
              <w:spacing w:line="320" w:lineRule="exact"/>
              <w:jc w:val="center"/>
              <w:rPr>
                <w:rFonts w:eastAsiaTheme="minorEastAsia"/>
                <w:color w:val="000000" w:themeColor="text1"/>
                <w:sz w:val="18"/>
                <w:szCs w:val="18"/>
              </w:rPr>
            </w:pPr>
            <w:r>
              <w:rPr>
                <w:rFonts w:eastAsiaTheme="minorEastAsia" w:hint="eastAsia"/>
                <w:color w:val="000000" w:themeColor="text1"/>
                <w:sz w:val="18"/>
                <w:szCs w:val="18"/>
              </w:rPr>
              <w:t>5</w:t>
            </w:r>
            <w:r>
              <w:rPr>
                <w:rFonts w:eastAsiaTheme="minorEastAsia" w:hint="eastAsia"/>
                <w:color w:val="000000" w:themeColor="text1"/>
                <w:sz w:val="18"/>
                <w:szCs w:val="18"/>
              </w:rPr>
              <w:t>、</w:t>
            </w:r>
            <w:r>
              <w:rPr>
                <w:rFonts w:eastAsiaTheme="minorEastAsia" w:hint="eastAsia"/>
                <w:color w:val="000000" w:themeColor="text1"/>
                <w:sz w:val="18"/>
                <w:szCs w:val="18"/>
              </w:rPr>
              <w:t>7</w:t>
            </w:r>
          </w:p>
        </w:tc>
      </w:tr>
    </w:tbl>
    <w:p w14:paraId="23944434" w14:textId="77777777" w:rsidR="00F5289E" w:rsidRDefault="00F5289E">
      <w:pPr>
        <w:pStyle w:val="a9"/>
        <w:snapToGrid w:val="0"/>
        <w:spacing w:line="360" w:lineRule="auto"/>
        <w:ind w:rightChars="-138" w:right="-290" w:firstLineChars="200" w:firstLine="420"/>
        <w:rPr>
          <w:rFonts w:ascii="Times New Roman" w:hAnsi="宋体" w:cs="Times New Roman"/>
          <w:bCs/>
          <w:color w:val="000000" w:themeColor="text1"/>
          <w:kern w:val="0"/>
        </w:rPr>
      </w:pPr>
    </w:p>
    <w:p w14:paraId="0A0948C6" w14:textId="77777777" w:rsidR="00F5289E" w:rsidRDefault="00C91173" w:rsidP="00A115EF">
      <w:pPr>
        <w:widowControl/>
        <w:numPr>
          <w:ilvl w:val="0"/>
          <w:numId w:val="54"/>
        </w:numPr>
        <w:snapToGrid w:val="0"/>
        <w:spacing w:line="360" w:lineRule="auto"/>
        <w:jc w:val="left"/>
        <w:rPr>
          <w:rFonts w:hAnsi="宋体"/>
          <w:b/>
          <w:bCs/>
          <w:color w:val="000000" w:themeColor="text1"/>
          <w:kern w:val="0"/>
          <w:szCs w:val="21"/>
        </w:rPr>
      </w:pPr>
      <w:r>
        <w:rPr>
          <w:rFonts w:hAnsi="宋体"/>
          <w:b/>
          <w:bCs/>
          <w:color w:val="000000" w:themeColor="text1"/>
          <w:kern w:val="0"/>
          <w:szCs w:val="21"/>
        </w:rPr>
        <w:t>理论教学内容及学时分配</w:t>
      </w:r>
      <w:r>
        <w:rPr>
          <w:rFonts w:hAnsi="宋体" w:hint="eastAsia"/>
          <w:b/>
          <w:bCs/>
          <w:color w:val="000000" w:themeColor="text1"/>
          <w:kern w:val="0"/>
          <w:szCs w:val="21"/>
        </w:rPr>
        <w:t>（</w:t>
      </w:r>
      <w:r>
        <w:rPr>
          <w:rFonts w:hAnsi="宋体" w:hint="eastAsia"/>
          <w:b/>
          <w:bCs/>
          <w:color w:val="000000" w:themeColor="text1"/>
          <w:kern w:val="0"/>
          <w:szCs w:val="21"/>
        </w:rPr>
        <w:t>32</w:t>
      </w:r>
      <w:r>
        <w:rPr>
          <w:rFonts w:hAnsi="宋体" w:hint="eastAsia"/>
          <w:b/>
          <w:bCs/>
          <w:color w:val="000000" w:themeColor="text1"/>
          <w:kern w:val="0"/>
          <w:szCs w:val="21"/>
        </w:rPr>
        <w:t>学时）</w:t>
      </w:r>
    </w:p>
    <w:p w14:paraId="21398B27" w14:textId="77777777" w:rsidR="00F5289E" w:rsidRDefault="00C91173">
      <w:pPr>
        <w:widowControl/>
        <w:wordWrap w:val="0"/>
        <w:snapToGrid w:val="0"/>
        <w:spacing w:line="360" w:lineRule="auto"/>
        <w:jc w:val="right"/>
        <w:rPr>
          <w:rFonts w:ascii="宋体" w:hAnsi="宋体"/>
          <w:b/>
          <w:bCs/>
          <w:color w:val="000000" w:themeColor="text1"/>
        </w:rPr>
      </w:pPr>
      <w:r>
        <w:rPr>
          <w:b/>
          <w:bCs/>
          <w:color w:val="000000" w:themeColor="text1"/>
          <w:kern w:val="0"/>
          <w:szCs w:val="21"/>
        </w:rPr>
        <w:t> </w:t>
      </w:r>
      <w:r>
        <w:rPr>
          <w:rFonts w:asciiTheme="minorEastAsia" w:eastAsiaTheme="minorEastAsia" w:hAnsiTheme="minorEastAsia" w:cstheme="minorEastAsia" w:hint="eastAsia"/>
          <w:b/>
          <w:bCs/>
          <w:color w:val="000000" w:themeColor="text1"/>
          <w:kern w:val="0"/>
          <w:szCs w:val="21"/>
        </w:rPr>
        <w:t>绪  论</w:t>
      </w:r>
      <w:r>
        <w:rPr>
          <w:b/>
          <w:bCs/>
          <w:color w:val="000000" w:themeColor="text1"/>
          <w:kern w:val="0"/>
          <w:szCs w:val="21"/>
        </w:rPr>
        <w:t>     </w:t>
      </w:r>
      <w:r>
        <w:rPr>
          <w:rFonts w:hint="eastAsia"/>
          <w:b/>
          <w:bCs/>
          <w:color w:val="000000" w:themeColor="text1"/>
          <w:kern w:val="0"/>
          <w:szCs w:val="21"/>
        </w:rPr>
        <w:t xml:space="preserve">              </w:t>
      </w:r>
      <w:r>
        <w:rPr>
          <w:b/>
          <w:bCs/>
          <w:color w:val="000000" w:themeColor="text1"/>
          <w:kern w:val="0"/>
          <w:szCs w:val="21"/>
        </w:rPr>
        <w:t>                     </w:t>
      </w:r>
      <w:r>
        <w:rPr>
          <w:rFonts w:hAnsi="宋体"/>
          <w:b/>
          <w:bCs/>
          <w:color w:val="000000" w:themeColor="text1"/>
          <w:kern w:val="0"/>
          <w:szCs w:val="21"/>
        </w:rPr>
        <w:t>学时</w:t>
      </w:r>
      <w:r>
        <w:rPr>
          <w:rFonts w:hAnsi="宋体" w:hint="eastAsia"/>
          <w:b/>
          <w:bCs/>
          <w:color w:val="000000" w:themeColor="text1"/>
          <w:kern w:val="0"/>
          <w:szCs w:val="21"/>
        </w:rPr>
        <w:t>数：</w:t>
      </w:r>
      <w:r>
        <w:rPr>
          <w:rFonts w:hAnsi="宋体" w:hint="eastAsia"/>
          <w:b/>
          <w:bCs/>
          <w:color w:val="000000" w:themeColor="text1"/>
          <w:kern w:val="0"/>
          <w:szCs w:val="21"/>
        </w:rPr>
        <w:t>2</w:t>
      </w:r>
      <w:r>
        <w:rPr>
          <w:rFonts w:hAnsi="宋体" w:hint="eastAsia"/>
          <w:b/>
          <w:bCs/>
          <w:color w:val="000000" w:themeColor="text1"/>
          <w:kern w:val="0"/>
          <w:szCs w:val="21"/>
        </w:rPr>
        <w:t>学时</w:t>
      </w:r>
    </w:p>
    <w:p w14:paraId="379C2BFD" w14:textId="77777777" w:rsidR="00F5289E" w:rsidRDefault="00C91173">
      <w:pPr>
        <w:spacing w:line="360" w:lineRule="auto"/>
        <w:rPr>
          <w:b/>
          <w:color w:val="000000" w:themeColor="text1"/>
          <w:kern w:val="0"/>
          <w:szCs w:val="21"/>
        </w:rPr>
      </w:pPr>
      <w:r>
        <w:rPr>
          <w:rFonts w:hint="eastAsia"/>
          <w:b/>
          <w:color w:val="000000" w:themeColor="text1"/>
          <w:kern w:val="0"/>
          <w:szCs w:val="21"/>
        </w:rPr>
        <w:t>教学目标：</w:t>
      </w:r>
    </w:p>
    <w:p w14:paraId="7D50540F" w14:textId="77777777" w:rsidR="00F5289E" w:rsidRDefault="00C91173">
      <w:pPr>
        <w:spacing w:line="360" w:lineRule="auto"/>
        <w:ind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w:t>
      </w:r>
      <w:r>
        <w:rPr>
          <w:rFonts w:asciiTheme="minorEastAsia" w:eastAsiaTheme="minorEastAsia" w:hAnsiTheme="minorEastAsia" w:cstheme="minorEastAsia" w:hint="eastAsia"/>
          <w:color w:val="000000" w:themeColor="text1"/>
        </w:rPr>
        <w:t>明确本课程的学习目标及主要学习内容，掌握营养学的相关概念，了解食品营养学的发展历史以及国内外的饮食营养状况</w:t>
      </w:r>
      <w:r>
        <w:rPr>
          <w:rFonts w:asciiTheme="minorEastAsia" w:eastAsiaTheme="minorEastAsia" w:hAnsiTheme="minorEastAsia" w:cstheme="minorEastAsia" w:hint="eastAsia"/>
          <w:color w:val="000000" w:themeColor="text1"/>
          <w:szCs w:val="21"/>
        </w:rPr>
        <w:t>，熟悉我国居民的主要营养问题。</w:t>
      </w:r>
    </w:p>
    <w:p w14:paraId="0DB5CAC6" w14:textId="77777777" w:rsidR="00F5289E" w:rsidRDefault="00C91173">
      <w:pPr>
        <w:spacing w:line="360" w:lineRule="auto"/>
        <w:ind w:firstLine="420"/>
        <w:rPr>
          <w:b/>
          <w:color w:val="000000" w:themeColor="text1"/>
          <w:kern w:val="0"/>
          <w:szCs w:val="21"/>
        </w:rPr>
      </w:pPr>
      <w:r>
        <w:rPr>
          <w:rFonts w:asciiTheme="minorEastAsia" w:eastAsiaTheme="minorEastAsia" w:hAnsiTheme="minorEastAsia" w:cstheme="minorEastAsia" w:hint="eastAsia"/>
          <w:color w:val="000000" w:themeColor="text1"/>
          <w:szCs w:val="21"/>
        </w:rPr>
        <w:t>2.通过对营养学相关知识的探讨，使学生充分认识到食物、营养与健康的关系。</w:t>
      </w:r>
    </w:p>
    <w:p w14:paraId="1230C335" w14:textId="77777777" w:rsidR="00F5289E" w:rsidRDefault="00C91173">
      <w:pPr>
        <w:spacing w:line="360" w:lineRule="auto"/>
        <w:rPr>
          <w:b/>
          <w:color w:val="000000" w:themeColor="text1"/>
          <w:kern w:val="0"/>
          <w:szCs w:val="21"/>
        </w:rPr>
      </w:pPr>
      <w:r>
        <w:rPr>
          <w:rFonts w:hint="eastAsia"/>
          <w:b/>
          <w:color w:val="000000" w:themeColor="text1"/>
          <w:kern w:val="0"/>
          <w:szCs w:val="21"/>
        </w:rPr>
        <w:t>教学重点和难点：</w:t>
      </w:r>
      <w:r>
        <w:rPr>
          <w:rFonts w:asciiTheme="minorEastAsia" w:eastAsiaTheme="minorEastAsia" w:hAnsiTheme="minorEastAsia" w:cstheme="minorEastAsia" w:hint="eastAsia"/>
          <w:bCs/>
          <w:color w:val="000000" w:themeColor="text1"/>
        </w:rPr>
        <w:t>园艺产品营养学的重要意义；中国居民膳食指南的内容。</w:t>
      </w:r>
    </w:p>
    <w:p w14:paraId="73BD8159" w14:textId="77777777" w:rsidR="00F5289E" w:rsidRDefault="00C91173">
      <w:pPr>
        <w:spacing w:line="360" w:lineRule="auto"/>
        <w:rPr>
          <w:b/>
          <w:color w:val="000000" w:themeColor="text1"/>
          <w:kern w:val="0"/>
          <w:szCs w:val="21"/>
        </w:rPr>
      </w:pPr>
      <w:r>
        <w:rPr>
          <w:rFonts w:hint="eastAsia"/>
          <w:b/>
          <w:color w:val="000000" w:themeColor="text1"/>
          <w:kern w:val="0"/>
          <w:szCs w:val="21"/>
        </w:rPr>
        <w:t>主要教学内容及要求：</w:t>
      </w:r>
    </w:p>
    <w:p w14:paraId="48181CE8"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主要内容：</w:t>
      </w:r>
    </w:p>
    <w:p w14:paraId="6019C792"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kern w:val="0"/>
        </w:rPr>
      </w:pPr>
      <w:r>
        <w:rPr>
          <w:rFonts w:asciiTheme="minorEastAsia" w:eastAsiaTheme="minorEastAsia" w:hAnsiTheme="minorEastAsia" w:cstheme="minorEastAsia" w:hint="eastAsia"/>
          <w:bCs/>
          <w:color w:val="000000" w:themeColor="text1"/>
        </w:rPr>
        <w:t>营养学基本概念及发展简史；营养与人体健康；营养平衡与膳食指南；</w:t>
      </w:r>
      <w:r>
        <w:rPr>
          <w:rFonts w:asciiTheme="minorEastAsia" w:eastAsiaTheme="minorEastAsia" w:hAnsiTheme="minorEastAsia" w:cstheme="minorEastAsia" w:hint="eastAsia"/>
          <w:color w:val="000000" w:themeColor="text1"/>
        </w:rPr>
        <w:t>园艺产品营养学的形成</w:t>
      </w:r>
      <w:r>
        <w:rPr>
          <w:rFonts w:asciiTheme="minorEastAsia" w:eastAsiaTheme="minorEastAsia" w:hAnsiTheme="minorEastAsia" w:cstheme="minorEastAsia" w:hint="eastAsia"/>
          <w:color w:val="000000" w:themeColor="text1"/>
        </w:rPr>
        <w:lastRenderedPageBreak/>
        <w:t>和发展；</w:t>
      </w:r>
      <w:r>
        <w:rPr>
          <w:rFonts w:asciiTheme="minorEastAsia" w:eastAsiaTheme="minorEastAsia" w:hAnsiTheme="minorEastAsia" w:cstheme="minorEastAsia" w:hint="eastAsia"/>
          <w:bCs/>
          <w:color w:val="000000" w:themeColor="text1"/>
        </w:rPr>
        <w:t>学习园艺产品营养学的重要意义。</w:t>
      </w:r>
    </w:p>
    <w:p w14:paraId="580A1D54" w14:textId="77777777" w:rsidR="00F5289E" w:rsidRDefault="00C91173">
      <w:pPr>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kern w:val="0"/>
          <w:szCs w:val="21"/>
        </w:rPr>
        <w:t>要求：</w:t>
      </w:r>
    </w:p>
    <w:p w14:paraId="171411EF"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了解：</w:t>
      </w:r>
      <w:r>
        <w:rPr>
          <w:rFonts w:asciiTheme="minorEastAsia" w:eastAsiaTheme="minorEastAsia" w:hAnsiTheme="minorEastAsia" w:cstheme="minorEastAsia" w:hint="eastAsia"/>
          <w:bCs/>
          <w:color w:val="000000" w:themeColor="text1"/>
        </w:rPr>
        <w:t>营养学基本概念及发展简史。</w:t>
      </w:r>
    </w:p>
    <w:p w14:paraId="7800BF4F"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理解：</w:t>
      </w:r>
      <w:r>
        <w:rPr>
          <w:rFonts w:asciiTheme="minorEastAsia" w:eastAsiaTheme="minorEastAsia" w:hAnsiTheme="minorEastAsia" w:cstheme="minorEastAsia" w:hint="eastAsia"/>
          <w:bCs/>
          <w:color w:val="000000" w:themeColor="text1"/>
        </w:rPr>
        <w:t>园艺产品营养学的重要意义；</w:t>
      </w:r>
      <w:r>
        <w:rPr>
          <w:rFonts w:asciiTheme="minorEastAsia" w:eastAsiaTheme="minorEastAsia" w:hAnsiTheme="minorEastAsia" w:cstheme="minorEastAsia" w:hint="eastAsia"/>
          <w:color w:val="000000" w:themeColor="text1"/>
        </w:rPr>
        <w:t>园艺产品营养学的形成和发展过程</w:t>
      </w:r>
      <w:r>
        <w:rPr>
          <w:rFonts w:asciiTheme="minorEastAsia" w:eastAsiaTheme="minorEastAsia" w:hAnsiTheme="minorEastAsia" w:cstheme="minorEastAsia" w:hint="eastAsia"/>
          <w:bCs/>
          <w:color w:val="000000" w:themeColor="text1"/>
        </w:rPr>
        <w:t>。</w:t>
      </w:r>
    </w:p>
    <w:p w14:paraId="4FB83076"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掌握：</w:t>
      </w:r>
      <w:r>
        <w:rPr>
          <w:rFonts w:asciiTheme="minorEastAsia" w:eastAsiaTheme="minorEastAsia" w:hAnsiTheme="minorEastAsia" w:cstheme="minorEastAsia" w:hint="eastAsia"/>
          <w:color w:val="000000" w:themeColor="text1"/>
          <w:szCs w:val="21"/>
        </w:rPr>
        <w:t>食物、营养与健康的关系。</w:t>
      </w:r>
    </w:p>
    <w:p w14:paraId="6827F4F5" w14:textId="77777777" w:rsidR="00F5289E" w:rsidRDefault="00C91173">
      <w:pPr>
        <w:spacing w:line="360" w:lineRule="auto"/>
        <w:ind w:firstLineChars="200" w:firstLine="420"/>
        <w:rPr>
          <w:rFonts w:ascii="宋体" w:hAnsi="宋体"/>
          <w:b/>
          <w:bCs/>
          <w:color w:val="000000" w:themeColor="text1"/>
        </w:rPr>
      </w:pPr>
      <w:r>
        <w:rPr>
          <w:rFonts w:hint="eastAsia"/>
          <w:color w:val="000000" w:themeColor="text1"/>
          <w:kern w:val="0"/>
          <w:szCs w:val="21"/>
        </w:rPr>
        <w:t>熟练掌握：</w:t>
      </w:r>
      <w:r>
        <w:rPr>
          <w:rFonts w:asciiTheme="minorEastAsia" w:eastAsiaTheme="minorEastAsia" w:hAnsiTheme="minorEastAsia" w:cstheme="minorEastAsia" w:hint="eastAsia"/>
          <w:bCs/>
          <w:color w:val="000000" w:themeColor="text1"/>
        </w:rPr>
        <w:t>中国居民膳食指南的内容。</w:t>
      </w:r>
    </w:p>
    <w:p w14:paraId="5FED4FE4" w14:textId="77777777" w:rsidR="00F5289E" w:rsidRDefault="00C91173">
      <w:pPr>
        <w:widowControl/>
        <w:snapToGrid w:val="0"/>
        <w:spacing w:line="360" w:lineRule="auto"/>
        <w:rPr>
          <w:rFonts w:ascii="宋体" w:hAnsi="宋体"/>
          <w:color w:val="000000" w:themeColor="text1"/>
        </w:rPr>
      </w:pPr>
      <w:r>
        <w:rPr>
          <w:rFonts w:ascii="宋体" w:hAnsi="宋体" w:hint="eastAsia"/>
          <w:b/>
          <w:bCs/>
          <w:color w:val="000000" w:themeColor="text1"/>
        </w:rPr>
        <w:t>教学组织与实施：</w:t>
      </w:r>
      <w:r>
        <w:rPr>
          <w:rFonts w:ascii="宋体" w:hAnsi="宋体" w:hint="eastAsia"/>
          <w:color w:val="000000" w:themeColor="text1"/>
        </w:rPr>
        <w:t>课堂讲授方式结合大量图片资料介绍营养学的意义和发展过程，通过实例介绍中国居民膳食指南内容，引导学生分析自己的膳食结构是否合理。</w:t>
      </w:r>
    </w:p>
    <w:p w14:paraId="2E1EC575" w14:textId="77777777" w:rsidR="00F5289E" w:rsidRDefault="00F5289E">
      <w:pPr>
        <w:widowControl/>
        <w:snapToGrid w:val="0"/>
        <w:spacing w:line="360" w:lineRule="auto"/>
        <w:jc w:val="left"/>
        <w:rPr>
          <w:rFonts w:hAnsi="宋体"/>
          <w:b/>
          <w:bCs/>
          <w:color w:val="000000" w:themeColor="text1"/>
          <w:kern w:val="0"/>
          <w:szCs w:val="21"/>
        </w:rPr>
      </w:pPr>
    </w:p>
    <w:p w14:paraId="6D89D4FF" w14:textId="77777777" w:rsidR="00F5289E" w:rsidRDefault="00C91173">
      <w:pPr>
        <w:widowControl/>
        <w:wordWrap w:val="0"/>
        <w:snapToGrid w:val="0"/>
        <w:spacing w:beforeLines="50" w:before="156" w:line="360" w:lineRule="auto"/>
        <w:jc w:val="right"/>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kern w:val="0"/>
          <w:szCs w:val="21"/>
        </w:rPr>
        <w:t xml:space="preserve">                            第一章  营养学基础 </w:t>
      </w:r>
      <w:r>
        <w:rPr>
          <w:rFonts w:asciiTheme="minorEastAsia" w:eastAsiaTheme="minorEastAsia" w:hAnsiTheme="minorEastAsia" w:cstheme="minorEastAsia"/>
          <w:b/>
          <w:bCs/>
          <w:color w:val="000000" w:themeColor="text1"/>
          <w:kern w:val="0"/>
          <w:szCs w:val="21"/>
        </w:rPr>
        <w:t xml:space="preserve">    </w:t>
      </w:r>
      <w:r>
        <w:rPr>
          <w:rFonts w:asciiTheme="minorEastAsia" w:eastAsiaTheme="minorEastAsia" w:hAnsiTheme="minorEastAsia" w:cstheme="minorEastAsia" w:hint="eastAsia"/>
          <w:b/>
          <w:bCs/>
          <w:color w:val="000000" w:themeColor="text1"/>
          <w:kern w:val="0"/>
          <w:szCs w:val="21"/>
        </w:rPr>
        <w:t xml:space="preserve">         </w:t>
      </w:r>
      <w:r>
        <w:rPr>
          <w:rFonts w:asciiTheme="minorEastAsia" w:eastAsiaTheme="minorEastAsia" w:hAnsiTheme="minorEastAsia" w:cstheme="minorEastAsia"/>
          <w:b/>
          <w:bCs/>
          <w:color w:val="000000" w:themeColor="text1"/>
          <w:kern w:val="0"/>
          <w:szCs w:val="21"/>
        </w:rPr>
        <w:t xml:space="preserve">         </w:t>
      </w:r>
      <w:r>
        <w:rPr>
          <w:rFonts w:asciiTheme="minorEastAsia" w:eastAsiaTheme="minorEastAsia" w:hAnsiTheme="minorEastAsia" w:cstheme="minorEastAsia" w:hint="eastAsia"/>
          <w:b/>
          <w:bCs/>
          <w:color w:val="000000" w:themeColor="text1"/>
          <w:kern w:val="0"/>
          <w:szCs w:val="21"/>
        </w:rPr>
        <w:t>学时数：6</w:t>
      </w:r>
    </w:p>
    <w:p w14:paraId="5BBD1D04"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 xml:space="preserve">第一节  </w:t>
      </w:r>
      <w:r>
        <w:rPr>
          <w:rFonts w:asciiTheme="minorEastAsia" w:eastAsiaTheme="minorEastAsia" w:hAnsiTheme="minorEastAsia" w:cstheme="minorEastAsia" w:hint="eastAsia"/>
          <w:b/>
          <w:color w:val="000000" w:themeColor="text1"/>
          <w:szCs w:val="21"/>
        </w:rPr>
        <w:t>能量</w:t>
      </w:r>
      <w:r>
        <w:rPr>
          <w:rFonts w:asciiTheme="minorEastAsia" w:eastAsiaTheme="minorEastAsia" w:hAnsiTheme="minorEastAsia" w:cstheme="minorEastAsia" w:hint="eastAsia"/>
          <w:b/>
          <w:bCs/>
          <w:color w:val="000000" w:themeColor="text1"/>
        </w:rPr>
        <w:t xml:space="preserve">    1学时</w:t>
      </w:r>
    </w:p>
    <w:p w14:paraId="010F0F54"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学习与人体能量相关的一些概念，要求掌握影响人体能量消耗的因素。</w:t>
      </w:r>
    </w:p>
    <w:p w14:paraId="39CBBA12"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57AE12FD" w14:textId="77777777" w:rsidR="00F5289E" w:rsidRDefault="00C91173">
      <w:pPr>
        <w:pStyle w:val="a9"/>
        <w:spacing w:line="360" w:lineRule="auto"/>
        <w:ind w:firstLineChars="200" w:firstLine="420"/>
        <w:rPr>
          <w:rFonts w:asciiTheme="minorEastAsia" w:eastAsiaTheme="minorEastAsia" w:hAnsiTheme="minorEastAsia" w:cstheme="minorEastAsia"/>
          <w:b/>
          <w:bCs/>
          <w:color w:val="000000" w:themeColor="text1"/>
          <w:kern w:val="0"/>
        </w:rPr>
      </w:pPr>
      <w:r>
        <w:rPr>
          <w:rFonts w:asciiTheme="minorEastAsia" w:eastAsiaTheme="minorEastAsia" w:hAnsiTheme="minorEastAsia" w:cstheme="minorEastAsia" w:hint="eastAsia"/>
          <w:color w:val="000000" w:themeColor="text1"/>
        </w:rPr>
        <w:t>基础代谢（率）的概念；影响人体能量消耗的因素；影响基础代谢率的因素。</w:t>
      </w:r>
      <w:r>
        <w:rPr>
          <w:rFonts w:asciiTheme="minorEastAsia" w:eastAsiaTheme="minorEastAsia" w:hAnsiTheme="minorEastAsia" w:cstheme="minorEastAsia" w:hint="eastAsia"/>
          <w:bCs/>
          <w:color w:val="000000" w:themeColor="text1"/>
        </w:rPr>
        <w:t>几种产能营养素的生理有效能量的计算；人体消能量耗的测定与计算。</w:t>
      </w:r>
    </w:p>
    <w:p w14:paraId="4C1B6008"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513FF0DE"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内容：</w:t>
      </w:r>
    </w:p>
    <w:p w14:paraId="1D0845F3"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能量的来源与能量系数；人体能量消耗的构成因素；人体能量消耗的测定方法；能量平衡及其影响因素；能量的供给量与食物来源。</w:t>
      </w:r>
    </w:p>
    <w:p w14:paraId="617031D3"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28344E7C" w14:textId="77777777" w:rsidR="00F5289E" w:rsidRDefault="00C91173">
      <w:pPr>
        <w:spacing w:line="360" w:lineRule="auto"/>
        <w:ind w:leftChars="200" w:left="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了解：基础代谢、食物热效应的概念。</w:t>
      </w:r>
    </w:p>
    <w:p w14:paraId="79B3B4EC" w14:textId="77777777" w:rsidR="00F5289E" w:rsidRDefault="00C91173">
      <w:pPr>
        <w:spacing w:line="360" w:lineRule="auto"/>
        <w:ind w:leftChars="200" w:left="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理解：人体能量消耗的测定。</w:t>
      </w:r>
    </w:p>
    <w:p w14:paraId="7E30C5AE" w14:textId="77777777" w:rsidR="00F5289E" w:rsidRDefault="00C91173">
      <w:pPr>
        <w:spacing w:line="360" w:lineRule="auto"/>
        <w:ind w:leftChars="200" w:left="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掌握：能量的供给量标准与食物来源。</w:t>
      </w:r>
    </w:p>
    <w:p w14:paraId="301C9F78" w14:textId="77777777" w:rsidR="00F5289E" w:rsidRDefault="00C91173">
      <w:pPr>
        <w:spacing w:line="360" w:lineRule="auto"/>
        <w:ind w:leftChars="200" w:left="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熟练掌握：影响人体能量消耗的因素。</w:t>
      </w:r>
    </w:p>
    <w:p w14:paraId="551E90CA"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教学组织与实施：</w:t>
      </w:r>
      <w:r>
        <w:rPr>
          <w:rFonts w:ascii="宋体" w:hAnsi="宋体" w:hint="eastAsia"/>
          <w:color w:val="000000" w:themeColor="text1"/>
          <w:szCs w:val="20"/>
        </w:rPr>
        <w:t>通过课堂讲授介绍能量的来源，人体消耗能量的测定方法，能量的供给量，组织学生讨论并计算自己每天的能量摄入量和能量消耗量是否平衡。</w:t>
      </w:r>
    </w:p>
    <w:p w14:paraId="10A57931" w14:textId="77777777" w:rsidR="00F5289E" w:rsidRDefault="00C91173">
      <w:pPr>
        <w:snapToGrid w:val="0"/>
        <w:spacing w:beforeLines="50" w:before="156"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 xml:space="preserve">第二节  </w:t>
      </w:r>
      <w:r>
        <w:rPr>
          <w:rFonts w:asciiTheme="minorEastAsia" w:eastAsiaTheme="minorEastAsia" w:hAnsiTheme="minorEastAsia" w:cstheme="minorEastAsia" w:hint="eastAsia"/>
          <w:b/>
          <w:bCs/>
          <w:color w:val="000000" w:themeColor="text1"/>
          <w:szCs w:val="21"/>
        </w:rPr>
        <w:t>碳水化合物</w:t>
      </w:r>
      <w:r>
        <w:rPr>
          <w:rFonts w:asciiTheme="minorEastAsia" w:eastAsiaTheme="minorEastAsia" w:hAnsiTheme="minorEastAsia" w:cstheme="minorEastAsia" w:hint="eastAsia"/>
          <w:b/>
          <w:bCs/>
          <w:color w:val="000000" w:themeColor="text1"/>
        </w:rPr>
        <w:t xml:space="preserve">    1学时</w:t>
      </w:r>
    </w:p>
    <w:p w14:paraId="3726FE2E" w14:textId="77777777" w:rsidR="00F5289E" w:rsidRDefault="00C91173">
      <w:pPr>
        <w:pStyle w:val="a9"/>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学习碳水化合物的分类及生理功能，要求掌握碳水化合物的供给量及食物来源。</w:t>
      </w:r>
    </w:p>
    <w:p w14:paraId="6DF1F915"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76ED9AAE" w14:textId="77777777" w:rsidR="00F5289E" w:rsidRDefault="00C91173">
      <w:pPr>
        <w:spacing w:line="360" w:lineRule="auto"/>
        <w:ind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节约蛋白质作用、抗生酮作用；食物的血糖指生成数的概念和应用。</w:t>
      </w:r>
    </w:p>
    <w:p w14:paraId="1453EF63"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lastRenderedPageBreak/>
        <w:t>主要教学内容及要求：</w:t>
      </w:r>
    </w:p>
    <w:p w14:paraId="73136B46"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内容：</w:t>
      </w:r>
    </w:p>
    <w:p w14:paraId="4B07531E"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碳水化合物的分类；碳水化合物的生理功能；碳水化合物的代谢；碳水化合物在食品加工中的变化；食物的血糖指生成数；碳水化合物的参考摄入量与食物来源。</w:t>
      </w:r>
    </w:p>
    <w:p w14:paraId="730C74F2"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3FEF59F5"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了解：</w:t>
      </w:r>
      <w:r>
        <w:rPr>
          <w:rFonts w:asciiTheme="minorEastAsia" w:eastAsiaTheme="minorEastAsia" w:hAnsiTheme="minorEastAsia" w:cstheme="minorEastAsia" w:hint="eastAsia"/>
          <w:color w:val="000000" w:themeColor="text1"/>
        </w:rPr>
        <w:t>节约蛋白质作用、抗生酮作用、血糖指数的定义和作用</w:t>
      </w:r>
      <w:r>
        <w:rPr>
          <w:rFonts w:asciiTheme="minorEastAsia" w:eastAsiaTheme="minorEastAsia" w:hAnsiTheme="minorEastAsia" w:cstheme="minorEastAsia" w:hint="eastAsia"/>
          <w:color w:val="000000" w:themeColor="text1"/>
          <w:lang w:val="en-GB"/>
        </w:rPr>
        <w:t>。</w:t>
      </w:r>
    </w:p>
    <w:p w14:paraId="5C5AD129"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理解：</w:t>
      </w:r>
      <w:r>
        <w:rPr>
          <w:rFonts w:asciiTheme="minorEastAsia" w:eastAsiaTheme="minorEastAsia" w:hAnsiTheme="minorEastAsia" w:cstheme="minorEastAsia" w:hint="eastAsia"/>
          <w:color w:val="000000" w:themeColor="text1"/>
        </w:rPr>
        <w:t>碳水化合物在食品加工中的变化</w:t>
      </w:r>
      <w:r>
        <w:rPr>
          <w:rFonts w:asciiTheme="minorEastAsia" w:eastAsiaTheme="minorEastAsia" w:hAnsiTheme="minorEastAsia" w:cstheme="minorEastAsia" w:hint="eastAsia"/>
          <w:color w:val="000000" w:themeColor="text1"/>
          <w:lang w:val="en-GB"/>
        </w:rPr>
        <w:t>。</w:t>
      </w:r>
    </w:p>
    <w:p w14:paraId="231704D6"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掌握：</w:t>
      </w:r>
      <w:r>
        <w:rPr>
          <w:rFonts w:asciiTheme="minorEastAsia" w:eastAsiaTheme="minorEastAsia" w:hAnsiTheme="minorEastAsia" w:cstheme="minorEastAsia" w:hint="eastAsia"/>
          <w:color w:val="000000" w:themeColor="text1"/>
        </w:rPr>
        <w:t>食品中碳水化合物的分类和生理功能</w:t>
      </w:r>
      <w:r>
        <w:rPr>
          <w:rFonts w:asciiTheme="minorEastAsia" w:eastAsiaTheme="minorEastAsia" w:hAnsiTheme="minorEastAsia" w:cstheme="minorEastAsia" w:hint="eastAsia"/>
          <w:color w:val="000000" w:themeColor="text1"/>
          <w:lang w:val="en-GB"/>
        </w:rPr>
        <w:t>。</w:t>
      </w:r>
    </w:p>
    <w:p w14:paraId="452151A5"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熟练掌握：</w:t>
      </w:r>
      <w:r>
        <w:rPr>
          <w:rFonts w:asciiTheme="minorEastAsia" w:eastAsiaTheme="minorEastAsia" w:hAnsiTheme="minorEastAsia" w:cstheme="minorEastAsia" w:hint="eastAsia"/>
          <w:color w:val="000000" w:themeColor="text1"/>
        </w:rPr>
        <w:t>碳水化合物的供给量及食物来源</w:t>
      </w:r>
      <w:r>
        <w:rPr>
          <w:rFonts w:asciiTheme="minorEastAsia" w:eastAsiaTheme="minorEastAsia" w:hAnsiTheme="minorEastAsia" w:cstheme="minorEastAsia" w:hint="eastAsia"/>
          <w:color w:val="000000" w:themeColor="text1"/>
          <w:lang w:val="en-GB"/>
        </w:rPr>
        <w:t>。</w:t>
      </w:r>
    </w:p>
    <w:p w14:paraId="2A4600DB" w14:textId="77777777" w:rsidR="00F5289E" w:rsidRDefault="00C91173">
      <w:pPr>
        <w:widowControl/>
        <w:snapToGrid w:val="0"/>
        <w:spacing w:line="360" w:lineRule="auto"/>
        <w:rPr>
          <w:rFonts w:ascii="宋体" w:eastAsiaTheme="minorEastAsia" w:hAnsi="宋体"/>
          <w:b/>
          <w:bCs/>
          <w:color w:val="000000" w:themeColor="text1"/>
        </w:rPr>
      </w:pPr>
      <w:r>
        <w:rPr>
          <w:rFonts w:ascii="宋体" w:hAnsi="宋体" w:hint="eastAsia"/>
          <w:b/>
          <w:bCs/>
          <w:color w:val="000000" w:themeColor="text1"/>
        </w:rPr>
        <w:t>教学组织与实施：</w:t>
      </w:r>
      <w:r>
        <w:rPr>
          <w:rFonts w:ascii="宋体" w:hAnsi="宋体" w:hint="eastAsia"/>
          <w:color w:val="000000" w:themeColor="text1"/>
        </w:rPr>
        <w:t>课堂讲授结合大量图片和视频介绍碳水化合物的分类和生理功能，结合学生自身情况分析</w:t>
      </w:r>
      <w:r>
        <w:rPr>
          <w:rFonts w:asciiTheme="minorEastAsia" w:eastAsiaTheme="minorEastAsia" w:hAnsiTheme="minorEastAsia" w:cstheme="minorEastAsia" w:hint="eastAsia"/>
          <w:color w:val="000000" w:themeColor="text1"/>
        </w:rPr>
        <w:t>血糖指数的定义和作用</w:t>
      </w:r>
      <w:r>
        <w:rPr>
          <w:rFonts w:asciiTheme="minorEastAsia" w:eastAsiaTheme="minorEastAsia" w:hAnsiTheme="minorEastAsia" w:cstheme="minorEastAsia" w:hint="eastAsia"/>
          <w:color w:val="000000" w:themeColor="text1"/>
          <w:lang w:val="en-GB"/>
        </w:rPr>
        <w:t>。</w:t>
      </w:r>
    </w:p>
    <w:p w14:paraId="5A9BAA33" w14:textId="77777777" w:rsidR="00F5289E" w:rsidRDefault="00C91173">
      <w:pPr>
        <w:snapToGrid w:val="0"/>
        <w:spacing w:beforeLines="50" w:before="156"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 xml:space="preserve">第三节  </w:t>
      </w:r>
      <w:r>
        <w:rPr>
          <w:rFonts w:asciiTheme="minorEastAsia" w:eastAsiaTheme="minorEastAsia" w:hAnsiTheme="minorEastAsia" w:cstheme="minorEastAsia" w:hint="eastAsia"/>
          <w:b/>
          <w:bCs/>
          <w:color w:val="000000" w:themeColor="text1"/>
          <w:szCs w:val="21"/>
        </w:rPr>
        <w:t>脂类</w:t>
      </w:r>
      <w:r>
        <w:rPr>
          <w:rFonts w:asciiTheme="minorEastAsia" w:eastAsiaTheme="minorEastAsia" w:hAnsiTheme="minorEastAsia" w:cstheme="minorEastAsia" w:hint="eastAsia"/>
          <w:b/>
          <w:bCs/>
          <w:color w:val="000000" w:themeColor="text1"/>
        </w:rPr>
        <w:t xml:space="preserve">    1学时</w:t>
      </w:r>
    </w:p>
    <w:p w14:paraId="20DD3BCC" w14:textId="77777777" w:rsidR="00F5289E" w:rsidRDefault="00C91173">
      <w:pPr>
        <w:pStyle w:val="a9"/>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学习脂类的分类及生理功能，脂类在食品加工中的变化，脂类的参考摄入量及食物来源。</w:t>
      </w:r>
    </w:p>
    <w:p w14:paraId="624BCFB5"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116C415A" w14:textId="77777777" w:rsidR="00F5289E" w:rsidRDefault="00C91173">
      <w:pPr>
        <w:spacing w:line="360" w:lineRule="auto"/>
        <w:ind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脂类的生理功能；必需脂肪酸及其生理功能；评价油脂的营养价值的指标；饱和脂肪酸，不饱和脂肪酸，必须脂肪酸，脂蛋白的概念。</w:t>
      </w:r>
    </w:p>
    <w:p w14:paraId="0113D112"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主要教学内容及要求：</w:t>
      </w:r>
    </w:p>
    <w:p w14:paraId="70485BEE"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内容：</w:t>
      </w:r>
    </w:p>
    <w:p w14:paraId="22FBA2BD"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脂类的分类；脂类的生理功能；脂肪酸的分类；必须脂肪酸的定义和生理功能；磷脂和胆固醇的生理功能；脂类的营养价值评价；脂肪在食品加工中的变化；脂类的参考摄入量及食物来源。</w:t>
      </w:r>
    </w:p>
    <w:p w14:paraId="2A9EF39E"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2EF4CEC3"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了解：</w:t>
      </w:r>
      <w:r>
        <w:rPr>
          <w:rFonts w:asciiTheme="minorEastAsia" w:eastAsiaTheme="minorEastAsia" w:hAnsiTheme="minorEastAsia" w:cstheme="minorEastAsia" w:hint="eastAsia"/>
          <w:color w:val="000000" w:themeColor="text1"/>
        </w:rPr>
        <w:t>从哪些方面评价油脂的营养价值。</w:t>
      </w:r>
    </w:p>
    <w:p w14:paraId="00ACEAEE"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理解：</w:t>
      </w:r>
      <w:r>
        <w:rPr>
          <w:rFonts w:asciiTheme="minorEastAsia" w:eastAsiaTheme="minorEastAsia" w:hAnsiTheme="minorEastAsia" w:cstheme="minorEastAsia" w:hint="eastAsia"/>
          <w:color w:val="000000" w:themeColor="text1"/>
        </w:rPr>
        <w:t>食品加工对脂类的变化</w:t>
      </w:r>
      <w:r>
        <w:rPr>
          <w:rFonts w:asciiTheme="minorEastAsia" w:eastAsiaTheme="minorEastAsia" w:hAnsiTheme="minorEastAsia" w:cstheme="minorEastAsia" w:hint="eastAsia"/>
          <w:color w:val="000000" w:themeColor="text1"/>
          <w:lang w:val="en-GB"/>
        </w:rPr>
        <w:t>。</w:t>
      </w:r>
    </w:p>
    <w:p w14:paraId="04BD6902"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掌握：</w:t>
      </w:r>
      <w:r>
        <w:rPr>
          <w:rFonts w:asciiTheme="minorEastAsia" w:eastAsiaTheme="minorEastAsia" w:hAnsiTheme="minorEastAsia" w:cstheme="minorEastAsia" w:hint="eastAsia"/>
          <w:color w:val="000000" w:themeColor="text1"/>
        </w:rPr>
        <w:t>脂类的供给量及食物来源</w:t>
      </w:r>
      <w:r>
        <w:rPr>
          <w:rFonts w:asciiTheme="minorEastAsia" w:eastAsiaTheme="minorEastAsia" w:hAnsiTheme="minorEastAsia" w:cstheme="minorEastAsia" w:hint="eastAsia"/>
          <w:color w:val="000000" w:themeColor="text1"/>
          <w:lang w:val="en-GB"/>
        </w:rPr>
        <w:t>。</w:t>
      </w:r>
    </w:p>
    <w:p w14:paraId="71721C36"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熟练掌握：</w:t>
      </w:r>
      <w:r>
        <w:rPr>
          <w:rFonts w:asciiTheme="minorEastAsia" w:eastAsiaTheme="minorEastAsia" w:hAnsiTheme="minorEastAsia" w:cstheme="minorEastAsia" w:hint="eastAsia"/>
          <w:color w:val="000000" w:themeColor="text1"/>
        </w:rPr>
        <w:t>脂类的分类和生理功能；掌握必需脂肪酸及其生理功能</w:t>
      </w:r>
      <w:r>
        <w:rPr>
          <w:rFonts w:asciiTheme="minorEastAsia" w:eastAsiaTheme="minorEastAsia" w:hAnsiTheme="minorEastAsia" w:cstheme="minorEastAsia" w:hint="eastAsia"/>
          <w:color w:val="000000" w:themeColor="text1"/>
          <w:lang w:val="en-GB"/>
        </w:rPr>
        <w:t>。</w:t>
      </w:r>
    </w:p>
    <w:p w14:paraId="41B12894"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教学组织与实施：</w:t>
      </w:r>
      <w:r>
        <w:rPr>
          <w:rFonts w:ascii="宋体" w:hAnsi="宋体" w:hint="eastAsia"/>
          <w:color w:val="000000" w:themeColor="text1"/>
        </w:rPr>
        <w:t>课堂讲授结合大量图片与视频介绍脂类的分类和生理功能，让学生学会辨别和评价油脂的营养价值</w:t>
      </w:r>
      <w:r>
        <w:rPr>
          <w:rFonts w:asciiTheme="minorEastAsia" w:eastAsiaTheme="minorEastAsia" w:hAnsiTheme="minorEastAsia" w:cstheme="minorEastAsia" w:hint="eastAsia"/>
          <w:color w:val="000000" w:themeColor="text1"/>
          <w:lang w:val="en-GB"/>
        </w:rPr>
        <w:t>。</w:t>
      </w:r>
    </w:p>
    <w:p w14:paraId="446E9201" w14:textId="77777777" w:rsidR="00F5289E" w:rsidRDefault="00C91173">
      <w:pPr>
        <w:spacing w:line="360" w:lineRule="auto"/>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b/>
          <w:bCs/>
          <w:color w:val="000000" w:themeColor="text1"/>
          <w:lang w:val="en-GB"/>
        </w:rPr>
        <w:t>第四节</w:t>
      </w:r>
      <w:r>
        <w:rPr>
          <w:rFonts w:asciiTheme="minorEastAsia" w:eastAsiaTheme="minorEastAsia" w:hAnsiTheme="minorEastAsia" w:cstheme="minorEastAsia" w:hint="eastAsia"/>
          <w:b/>
          <w:bCs/>
          <w:color w:val="000000" w:themeColor="text1"/>
        </w:rPr>
        <w:t xml:space="preserve">  </w:t>
      </w:r>
      <w:r>
        <w:rPr>
          <w:rFonts w:asciiTheme="minorEastAsia" w:eastAsiaTheme="minorEastAsia" w:hAnsiTheme="minorEastAsia" w:cstheme="minorEastAsia" w:hint="eastAsia"/>
          <w:b/>
          <w:bCs/>
          <w:color w:val="000000" w:themeColor="text1"/>
          <w:szCs w:val="21"/>
        </w:rPr>
        <w:t>蛋白质</w:t>
      </w:r>
      <w:r>
        <w:rPr>
          <w:rFonts w:asciiTheme="minorEastAsia" w:eastAsiaTheme="minorEastAsia" w:hAnsiTheme="minorEastAsia" w:cstheme="minorEastAsia" w:hint="eastAsia"/>
          <w:color w:val="000000" w:themeColor="text1"/>
          <w:szCs w:val="21"/>
        </w:rPr>
        <w:t xml:space="preserve">    </w:t>
      </w:r>
      <w:r>
        <w:rPr>
          <w:rFonts w:asciiTheme="minorEastAsia" w:eastAsiaTheme="minorEastAsia" w:hAnsiTheme="minorEastAsia" w:cstheme="minorEastAsia" w:hint="eastAsia"/>
          <w:b/>
          <w:bCs/>
          <w:color w:val="000000" w:themeColor="text1"/>
        </w:rPr>
        <w:t>1学时</w:t>
      </w:r>
    </w:p>
    <w:p w14:paraId="60E3FAD7"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学习蛋白质的分类、功能及营养价值评价，掌握蛋白质的生理功能及加工过程中对蛋白</w:t>
      </w:r>
      <w:r>
        <w:rPr>
          <w:rFonts w:asciiTheme="minorEastAsia" w:eastAsiaTheme="minorEastAsia" w:hAnsiTheme="minorEastAsia" w:cstheme="minorEastAsia" w:hint="eastAsia"/>
          <w:color w:val="000000" w:themeColor="text1"/>
        </w:rPr>
        <w:lastRenderedPageBreak/>
        <w:t>质的影响。</w:t>
      </w:r>
    </w:p>
    <w:p w14:paraId="251AF914"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16D2281E"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蛋白质的生理功能；必需氨基酸的概念；蛋白质互补作用及应用；食物蛋白质营养价值的主要评价指标；蛋白质在食品加工中的变化；食物蛋白质营养价值的主要评价指标。</w:t>
      </w:r>
    </w:p>
    <w:p w14:paraId="1759D50D"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主要教学内容及要求：</w:t>
      </w:r>
    </w:p>
    <w:p w14:paraId="6C4F1881"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内容：</w:t>
      </w:r>
    </w:p>
    <w:p w14:paraId="316C0353"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蛋白质的分类、生理功能；氨基酸的分类；必需氨基酸、限制氨基酸、蛋白质互补作用的定义；食物蛋白质的营养价值评价；蛋白质的代谢及氮平衡；蛋白质营养不良；蛋白质在食品加工中的变化；蛋白质的参考摄入量及食物来源。</w:t>
      </w:r>
    </w:p>
    <w:p w14:paraId="17C867BD"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7E40764D"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了解：食物蛋白质营养价值的主要评价指标，氨基酸模式、限制氨基酸、蛋白质互补作用的概念及应用。</w:t>
      </w:r>
    </w:p>
    <w:p w14:paraId="0A077478"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理解：食品加工对蛋白质和氨基酸的变化。</w:t>
      </w:r>
    </w:p>
    <w:p w14:paraId="5B0BC2E2"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掌握：膳食蛋白质供给量及食物来源。</w:t>
      </w:r>
    </w:p>
    <w:p w14:paraId="6D404725"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熟练掌握：蛋白质的生理功能、食物蛋白质的分类及各类蛋白质的主要限制氨基酸。</w:t>
      </w:r>
    </w:p>
    <w:p w14:paraId="55F6379F"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教学组织与实施：</w:t>
      </w:r>
      <w:r>
        <w:rPr>
          <w:rFonts w:ascii="宋体" w:hAnsi="宋体" w:hint="eastAsia"/>
          <w:color w:val="000000" w:themeColor="text1"/>
        </w:rPr>
        <w:t>课堂讲授结合大量图片和视频介绍蛋白质的分类和生理功能，引导学生分析食物中的蛋白质的含量，组织讨论蛋白质缺乏对人体的危害。</w:t>
      </w:r>
    </w:p>
    <w:p w14:paraId="61C0BF3A" w14:textId="77777777" w:rsidR="00F5289E" w:rsidRDefault="00C91173">
      <w:pPr>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kern w:val="0"/>
          <w:szCs w:val="21"/>
        </w:rPr>
        <w:t>第五节  矿物质</w:t>
      </w:r>
      <w:r>
        <w:rPr>
          <w:rFonts w:asciiTheme="minorEastAsia" w:eastAsiaTheme="minorEastAsia" w:hAnsiTheme="minorEastAsia" w:cstheme="minorEastAsia" w:hint="eastAsia"/>
          <w:color w:val="000000" w:themeColor="text1"/>
          <w:kern w:val="0"/>
          <w:szCs w:val="21"/>
        </w:rPr>
        <w:t xml:space="preserve">    </w:t>
      </w:r>
      <w:r>
        <w:rPr>
          <w:rFonts w:asciiTheme="minorEastAsia" w:eastAsiaTheme="minorEastAsia" w:hAnsiTheme="minorEastAsia" w:cstheme="minorEastAsia" w:hint="eastAsia"/>
          <w:b/>
          <w:bCs/>
          <w:color w:val="000000" w:themeColor="text1"/>
        </w:rPr>
        <w:t>1学时</w:t>
      </w:r>
    </w:p>
    <w:p w14:paraId="3A750690"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学习矿物元素的分类、特点和生理功能，要求掌握各种矿物质的生理功能、吸收与代谢、缺乏症与过量、参考摄入量与及食物来源。</w:t>
      </w:r>
    </w:p>
    <w:p w14:paraId="36898AC5"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559D73D8"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钙、铁、碘、锌、硒的生理功能、吸收与代谢、缺乏症与过量、参考摄入量与及食物来源。</w:t>
      </w:r>
    </w:p>
    <w:p w14:paraId="1471FBDD"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主要教学内容及要求：</w:t>
      </w:r>
    </w:p>
    <w:p w14:paraId="73D81151"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内容：</w:t>
      </w:r>
    </w:p>
    <w:p w14:paraId="431D4DEE"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矿物元素的分类、特点和生理功能；成酸食品和成碱食品；钙、磷、镁、钾、钠、铁、碘、锌、硒、铜、氟等矿物质的生理功能、吸收与代谢、缺乏症与过量、参考摄入量与及食物来源等；矿物质在食品加工中的变化。</w:t>
      </w:r>
    </w:p>
    <w:p w14:paraId="564386E4"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779AB416"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了解：</w:t>
      </w:r>
      <w:r>
        <w:rPr>
          <w:rFonts w:asciiTheme="minorEastAsia" w:eastAsiaTheme="minorEastAsia" w:hAnsiTheme="minorEastAsia" w:cstheme="minorEastAsia" w:hint="eastAsia"/>
          <w:color w:val="000000" w:themeColor="text1"/>
        </w:rPr>
        <w:t>矿物元素的分类、特点和生理功能</w:t>
      </w:r>
      <w:r>
        <w:rPr>
          <w:rFonts w:asciiTheme="minorEastAsia" w:eastAsiaTheme="minorEastAsia" w:hAnsiTheme="minorEastAsia" w:cstheme="minorEastAsia" w:hint="eastAsia"/>
          <w:color w:val="000000" w:themeColor="text1"/>
          <w:lang w:val="en-GB"/>
        </w:rPr>
        <w:t>。</w:t>
      </w:r>
    </w:p>
    <w:p w14:paraId="04FBB957"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理解：</w:t>
      </w:r>
      <w:r>
        <w:rPr>
          <w:rFonts w:asciiTheme="minorEastAsia" w:eastAsiaTheme="minorEastAsia" w:hAnsiTheme="minorEastAsia" w:cstheme="minorEastAsia" w:hint="eastAsia"/>
          <w:color w:val="000000" w:themeColor="text1"/>
        </w:rPr>
        <w:t>矿物质在食品加工中的变化</w:t>
      </w:r>
      <w:r>
        <w:rPr>
          <w:rFonts w:asciiTheme="minorEastAsia" w:eastAsiaTheme="minorEastAsia" w:hAnsiTheme="minorEastAsia" w:cstheme="minorEastAsia" w:hint="eastAsia"/>
          <w:color w:val="000000" w:themeColor="text1"/>
          <w:lang w:val="en-GB"/>
        </w:rPr>
        <w:t>。</w:t>
      </w:r>
    </w:p>
    <w:p w14:paraId="4801F022"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lastRenderedPageBreak/>
        <w:t>掌握：</w:t>
      </w:r>
      <w:r>
        <w:rPr>
          <w:rFonts w:asciiTheme="minorEastAsia" w:eastAsiaTheme="minorEastAsia" w:hAnsiTheme="minorEastAsia" w:cstheme="minorEastAsia" w:hint="eastAsia"/>
          <w:color w:val="000000" w:themeColor="text1"/>
        </w:rPr>
        <w:t>各种矿物质的生理功能、吸收与代谢、缺乏症与过量、参考摄入量与及食物来源。</w:t>
      </w:r>
    </w:p>
    <w:p w14:paraId="0D6624AB"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熟练掌握：</w:t>
      </w:r>
      <w:r>
        <w:rPr>
          <w:rFonts w:asciiTheme="minorEastAsia" w:eastAsiaTheme="minorEastAsia" w:hAnsiTheme="minorEastAsia" w:cstheme="minorEastAsia" w:hint="eastAsia"/>
          <w:color w:val="000000" w:themeColor="text1"/>
        </w:rPr>
        <w:t>矿物元素的共同特点和生理功能</w:t>
      </w:r>
      <w:r>
        <w:rPr>
          <w:rFonts w:asciiTheme="minorEastAsia" w:eastAsiaTheme="minorEastAsia" w:hAnsiTheme="minorEastAsia" w:cstheme="minorEastAsia" w:hint="eastAsia"/>
          <w:color w:val="000000" w:themeColor="text1"/>
          <w:lang w:val="en-GB"/>
        </w:rPr>
        <w:t>。</w:t>
      </w:r>
    </w:p>
    <w:p w14:paraId="22995F35" w14:textId="77777777" w:rsidR="00F5289E" w:rsidRDefault="00C91173">
      <w:pPr>
        <w:widowControl/>
        <w:snapToGrid w:val="0"/>
        <w:spacing w:line="360" w:lineRule="auto"/>
        <w:rPr>
          <w:rFonts w:ascii="宋体" w:hAnsi="宋体"/>
          <w:b/>
          <w:bCs/>
          <w:color w:val="000000" w:themeColor="text1"/>
        </w:rPr>
      </w:pPr>
      <w:r>
        <w:rPr>
          <w:rFonts w:ascii="宋体" w:hAnsi="宋体" w:hint="eastAsia"/>
          <w:b/>
          <w:bCs/>
          <w:color w:val="000000" w:themeColor="text1"/>
        </w:rPr>
        <w:t>教学组织与实施：</w:t>
      </w:r>
      <w:r>
        <w:rPr>
          <w:rFonts w:ascii="宋体" w:hAnsi="宋体" w:hint="eastAsia"/>
          <w:color w:val="000000" w:themeColor="text1"/>
        </w:rPr>
        <w:t>课堂讲授结合大量图片与视频介绍蛋白质的分类和生理功能，引导学生学会分析食物成分表，了解矿物质在食物中的含量。</w:t>
      </w:r>
    </w:p>
    <w:p w14:paraId="70E638BC" w14:textId="77777777" w:rsidR="00F5289E" w:rsidRDefault="00F5289E">
      <w:pPr>
        <w:widowControl/>
        <w:snapToGrid w:val="0"/>
        <w:spacing w:line="360" w:lineRule="auto"/>
        <w:rPr>
          <w:rFonts w:ascii="宋体" w:hAnsi="宋体"/>
          <w:b/>
          <w:bCs/>
          <w:color w:val="000000" w:themeColor="text1"/>
        </w:rPr>
      </w:pPr>
    </w:p>
    <w:p w14:paraId="4B1B8540" w14:textId="77777777" w:rsidR="00F5289E" w:rsidRDefault="00C91173">
      <w:pPr>
        <w:spacing w:line="360" w:lineRule="auto"/>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 xml:space="preserve">第六节  </w:t>
      </w:r>
      <w:r>
        <w:rPr>
          <w:rFonts w:asciiTheme="minorEastAsia" w:eastAsiaTheme="minorEastAsia" w:hAnsiTheme="minorEastAsia" w:cstheme="minorEastAsia" w:hint="eastAsia"/>
          <w:b/>
          <w:bCs/>
          <w:color w:val="000000" w:themeColor="text1"/>
          <w:szCs w:val="21"/>
        </w:rPr>
        <w:t xml:space="preserve">维生素 </w:t>
      </w:r>
      <w:r>
        <w:rPr>
          <w:rFonts w:asciiTheme="minorEastAsia" w:eastAsiaTheme="minorEastAsia" w:hAnsiTheme="minorEastAsia" w:cstheme="minorEastAsia" w:hint="eastAsia"/>
          <w:b/>
          <w:color w:val="000000" w:themeColor="text1"/>
          <w:szCs w:val="21"/>
        </w:rPr>
        <w:t xml:space="preserve">   </w:t>
      </w:r>
      <w:r>
        <w:rPr>
          <w:rFonts w:asciiTheme="minorEastAsia" w:eastAsiaTheme="minorEastAsia" w:hAnsiTheme="minorEastAsia" w:cstheme="minorEastAsia" w:hint="eastAsia"/>
          <w:b/>
          <w:bCs/>
          <w:color w:val="000000" w:themeColor="text1"/>
        </w:rPr>
        <w:t>1学时</w:t>
      </w:r>
    </w:p>
    <w:p w14:paraId="79D3B2F3"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教学目标：</w:t>
      </w:r>
      <w:r>
        <w:rPr>
          <w:rFonts w:asciiTheme="minorEastAsia" w:eastAsiaTheme="minorEastAsia" w:hAnsiTheme="minorEastAsia" w:cstheme="minorEastAsia" w:hint="eastAsia"/>
          <w:color w:val="000000" w:themeColor="text1"/>
        </w:rPr>
        <w:t>学习维生素的概念、共同特点、分类、缺乏症的原因；要求掌握各种维生素的理化性质、生理功能、吸收与代谢、缺乏症和过量、参考摄入量与膳食来源。</w:t>
      </w:r>
    </w:p>
    <w:p w14:paraId="49851827"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11FC5E06" w14:textId="77777777" w:rsidR="00F5289E" w:rsidRDefault="00C91173">
      <w:pPr>
        <w:pStyle w:val="a9"/>
        <w:spacing w:line="360" w:lineRule="auto"/>
        <w:ind w:firstLine="413"/>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各种维生素的生理功能、吸收与代谢、缺乏症和过量；烫漂与沥滤、冷冻、脱水、加热、食品添加剂、辐射对维生素的影响。</w:t>
      </w:r>
    </w:p>
    <w:p w14:paraId="19AFB518"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主要教学内容及要求：</w:t>
      </w:r>
    </w:p>
    <w:p w14:paraId="04C313F1"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内容：</w:t>
      </w:r>
    </w:p>
    <w:p w14:paraId="4AE0BD32"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维生素的概念、共同特点、分类、缺乏症的原因；脂溶性维生素A、D、E、K和水溶性维生素C、B1、B2 、PP、B6、B12、叶酸、泛酸、生物素、胆碱的理化性质、生理功能、吸收与代谢、缺乏症和过量、参考摄入量与膳食来源。</w:t>
      </w:r>
    </w:p>
    <w:p w14:paraId="2AC70D4B"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3155BFD4"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了解：</w:t>
      </w:r>
      <w:r>
        <w:rPr>
          <w:rFonts w:asciiTheme="minorEastAsia" w:eastAsiaTheme="minorEastAsia" w:hAnsiTheme="minorEastAsia" w:cstheme="minorEastAsia" w:hint="eastAsia"/>
          <w:color w:val="000000" w:themeColor="text1"/>
        </w:rPr>
        <w:t>维生素的概念、分类</w:t>
      </w:r>
      <w:r>
        <w:rPr>
          <w:rFonts w:asciiTheme="minorEastAsia" w:eastAsiaTheme="minorEastAsia" w:hAnsiTheme="minorEastAsia" w:cstheme="minorEastAsia" w:hint="eastAsia"/>
          <w:color w:val="000000" w:themeColor="text1"/>
          <w:lang w:val="en-GB"/>
        </w:rPr>
        <w:t>。</w:t>
      </w:r>
    </w:p>
    <w:p w14:paraId="41ACE9BA"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理解：</w:t>
      </w:r>
      <w:r>
        <w:rPr>
          <w:rFonts w:asciiTheme="minorEastAsia" w:eastAsiaTheme="minorEastAsia" w:hAnsiTheme="minorEastAsia" w:cstheme="minorEastAsia" w:hint="eastAsia"/>
          <w:color w:val="000000" w:themeColor="text1"/>
        </w:rPr>
        <w:t>维生素在食品加工中的变化</w:t>
      </w:r>
      <w:r>
        <w:rPr>
          <w:rFonts w:asciiTheme="minorEastAsia" w:eastAsiaTheme="minorEastAsia" w:hAnsiTheme="minorEastAsia" w:cstheme="minorEastAsia" w:hint="eastAsia"/>
          <w:color w:val="000000" w:themeColor="text1"/>
          <w:lang w:val="en-GB"/>
        </w:rPr>
        <w:t>。</w:t>
      </w:r>
    </w:p>
    <w:p w14:paraId="218F69E0"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掌握：</w:t>
      </w:r>
      <w:r>
        <w:rPr>
          <w:rFonts w:asciiTheme="minorEastAsia" w:eastAsiaTheme="minorEastAsia" w:hAnsiTheme="minorEastAsia" w:cstheme="minorEastAsia" w:hint="eastAsia"/>
          <w:color w:val="000000" w:themeColor="text1"/>
        </w:rPr>
        <w:t>维生素的共同特点和缺乏症的原因</w:t>
      </w:r>
      <w:r>
        <w:rPr>
          <w:rFonts w:asciiTheme="minorEastAsia" w:eastAsiaTheme="minorEastAsia" w:hAnsiTheme="minorEastAsia" w:cstheme="minorEastAsia" w:hint="eastAsia"/>
          <w:color w:val="000000" w:themeColor="text1"/>
          <w:lang w:val="en-GB"/>
        </w:rPr>
        <w:t>。</w:t>
      </w:r>
    </w:p>
    <w:p w14:paraId="15DD8008"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lang w:val="en-GB"/>
        </w:rPr>
      </w:pPr>
      <w:r>
        <w:rPr>
          <w:rFonts w:asciiTheme="minorEastAsia" w:eastAsiaTheme="minorEastAsia" w:hAnsiTheme="minorEastAsia" w:cstheme="minorEastAsia" w:hint="eastAsia"/>
          <w:color w:val="000000" w:themeColor="text1"/>
          <w:lang w:val="en-GB"/>
        </w:rPr>
        <w:t>熟练掌握：</w:t>
      </w:r>
      <w:r>
        <w:rPr>
          <w:rFonts w:asciiTheme="minorEastAsia" w:eastAsiaTheme="minorEastAsia" w:hAnsiTheme="minorEastAsia" w:cstheme="minorEastAsia" w:hint="eastAsia"/>
          <w:color w:val="000000" w:themeColor="text1"/>
        </w:rPr>
        <w:t>各种维生素的理化性质、生理功能、吸收与代谢、缺乏症和过量、参考摄入量与膳食来源</w:t>
      </w:r>
      <w:r>
        <w:rPr>
          <w:rFonts w:asciiTheme="minorEastAsia" w:eastAsiaTheme="minorEastAsia" w:hAnsiTheme="minorEastAsia" w:cstheme="minorEastAsia" w:hint="eastAsia"/>
          <w:color w:val="000000" w:themeColor="text1"/>
          <w:lang w:val="en-GB"/>
        </w:rPr>
        <w:t>。</w:t>
      </w:r>
    </w:p>
    <w:p w14:paraId="6D857B96" w14:textId="77777777" w:rsidR="00F5289E" w:rsidRDefault="00C91173">
      <w:pPr>
        <w:widowControl/>
        <w:snapToGrid w:val="0"/>
        <w:spacing w:line="360" w:lineRule="auto"/>
        <w:rPr>
          <w:rFonts w:hAnsi="宋体"/>
          <w:b/>
          <w:bCs/>
          <w:color w:val="000000" w:themeColor="text1"/>
          <w:kern w:val="0"/>
          <w:szCs w:val="21"/>
        </w:rPr>
      </w:pPr>
      <w:r>
        <w:rPr>
          <w:rFonts w:ascii="宋体" w:hAnsi="宋体" w:hint="eastAsia"/>
          <w:b/>
          <w:bCs/>
          <w:color w:val="000000" w:themeColor="text1"/>
        </w:rPr>
        <w:t>教学组织与实施：</w:t>
      </w:r>
      <w:r>
        <w:rPr>
          <w:rFonts w:ascii="宋体" w:hAnsi="宋体" w:hint="eastAsia"/>
          <w:color w:val="000000" w:themeColor="text1"/>
        </w:rPr>
        <w:t>课堂讲授结合大量图片与视频介绍维生素的种类和功能，带领学生分析维生素缺乏导致的疾病问题，引导学生形成健康的饮食习惯。</w:t>
      </w:r>
    </w:p>
    <w:p w14:paraId="34E30AAD" w14:textId="77777777" w:rsidR="00F5289E" w:rsidRDefault="00C91173">
      <w:pPr>
        <w:wordWrap w:val="0"/>
        <w:spacing w:line="360" w:lineRule="auto"/>
        <w:jc w:val="right"/>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 xml:space="preserve">    第二章  园艺产品的营养成分 </w:t>
      </w:r>
      <w:r>
        <w:rPr>
          <w:rFonts w:asciiTheme="minorEastAsia" w:eastAsiaTheme="minorEastAsia" w:hAnsiTheme="minorEastAsia" w:cstheme="minorEastAsia"/>
          <w:b/>
          <w:bCs/>
          <w:color w:val="000000" w:themeColor="text1"/>
        </w:rPr>
        <w:t xml:space="preserve"> </w:t>
      </w:r>
      <w:r>
        <w:rPr>
          <w:rFonts w:asciiTheme="minorEastAsia" w:eastAsiaTheme="minorEastAsia" w:hAnsiTheme="minorEastAsia" w:cstheme="minorEastAsia" w:hint="eastAsia"/>
          <w:b/>
          <w:bCs/>
          <w:color w:val="000000" w:themeColor="text1"/>
        </w:rPr>
        <w:t xml:space="preserve">                  </w:t>
      </w:r>
      <w:r>
        <w:rPr>
          <w:rFonts w:eastAsiaTheme="minorEastAsia" w:hAnsiTheme="minorEastAsia"/>
          <w:b/>
          <w:bCs/>
          <w:color w:val="000000" w:themeColor="text1"/>
          <w:kern w:val="0"/>
          <w:szCs w:val="21"/>
        </w:rPr>
        <w:t>学时数</w:t>
      </w:r>
      <w:r>
        <w:rPr>
          <w:rFonts w:eastAsiaTheme="minorEastAsia"/>
          <w:b/>
          <w:bCs/>
          <w:color w:val="000000" w:themeColor="text1"/>
          <w:kern w:val="0"/>
          <w:szCs w:val="21"/>
        </w:rPr>
        <w:t>：</w:t>
      </w:r>
      <w:r>
        <w:rPr>
          <w:rFonts w:eastAsiaTheme="minorEastAsia" w:hint="eastAsia"/>
          <w:b/>
          <w:bCs/>
          <w:color w:val="000000" w:themeColor="text1"/>
          <w:kern w:val="0"/>
          <w:szCs w:val="21"/>
        </w:rPr>
        <w:t>8</w:t>
      </w:r>
    </w:p>
    <w:p w14:paraId="051D58F5"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szCs w:val="21"/>
        </w:rPr>
        <w:t xml:space="preserve">第一节  </w:t>
      </w:r>
      <w:r>
        <w:rPr>
          <w:rFonts w:asciiTheme="minorEastAsia" w:eastAsiaTheme="minorEastAsia" w:hAnsiTheme="minorEastAsia" w:cstheme="minorEastAsia" w:hint="eastAsia"/>
          <w:b/>
          <w:bCs/>
          <w:color w:val="000000" w:themeColor="text1"/>
        </w:rPr>
        <w:t>园艺产品的生化属性</w:t>
      </w:r>
      <w:r>
        <w:rPr>
          <w:rFonts w:asciiTheme="minorEastAsia" w:eastAsiaTheme="minorEastAsia" w:hAnsiTheme="minorEastAsia" w:cstheme="minorEastAsia" w:hint="eastAsia"/>
          <w:color w:val="000000" w:themeColor="text1"/>
        </w:rPr>
        <w:t xml:space="preserve">    </w:t>
      </w:r>
      <w:r>
        <w:rPr>
          <w:rFonts w:asciiTheme="minorEastAsia" w:eastAsiaTheme="minorEastAsia" w:hAnsiTheme="minorEastAsia" w:cstheme="minorEastAsia" w:hint="eastAsia"/>
          <w:b/>
          <w:bCs/>
          <w:color w:val="000000" w:themeColor="text1"/>
        </w:rPr>
        <w:t>3学时</w:t>
      </w:r>
    </w:p>
    <w:p w14:paraId="51EA54C4"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rPr>
        <w:t>介绍主要园艺产品包括水果蔬菜富含的生化属性营养物质，包括水分、碳水化合物、蛋白质、脂肪、矿物质、维生素，以及相应的营养特点。</w:t>
      </w:r>
    </w:p>
    <w:p w14:paraId="25C2D206"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3DFFFC75"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Cs/>
          <w:color w:val="000000" w:themeColor="text1"/>
        </w:rPr>
        <w:t>重点：</w:t>
      </w:r>
      <w:r>
        <w:rPr>
          <w:rFonts w:asciiTheme="minorEastAsia" w:eastAsiaTheme="minorEastAsia" w:hAnsiTheme="minorEastAsia" w:cstheme="minorEastAsia" w:hint="eastAsia"/>
          <w:color w:val="000000" w:themeColor="text1"/>
        </w:rPr>
        <w:t>园艺产品中含有的生化属性营养成分及其种类。</w:t>
      </w:r>
    </w:p>
    <w:p w14:paraId="2084EAE6" w14:textId="77777777" w:rsidR="00F5289E" w:rsidRDefault="00C91173">
      <w:pPr>
        <w:widowControl/>
        <w:snapToGrid w:val="0"/>
        <w:spacing w:line="360" w:lineRule="auto"/>
        <w:ind w:firstLineChars="200" w:firstLine="420"/>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Cs/>
          <w:color w:val="000000" w:themeColor="text1"/>
        </w:rPr>
        <w:lastRenderedPageBreak/>
        <w:t>难点：</w:t>
      </w:r>
      <w:r>
        <w:rPr>
          <w:rFonts w:asciiTheme="minorEastAsia" w:eastAsiaTheme="minorEastAsia" w:hAnsiTheme="minorEastAsia" w:cstheme="minorEastAsia" w:hint="eastAsia"/>
          <w:color w:val="000000" w:themeColor="text1"/>
        </w:rPr>
        <w:t>园艺产品生化属性营养成分的营养特点。</w:t>
      </w:r>
    </w:p>
    <w:p w14:paraId="26343D97"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3D2BA0FF"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内容：</w:t>
      </w:r>
    </w:p>
    <w:p w14:paraId="4DCC39FE"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一、园艺产品中的生化属性营养成分；</w:t>
      </w:r>
    </w:p>
    <w:p w14:paraId="2ED99992"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二、园艺产品生化属性营养成分的营养特点及保健功能。</w:t>
      </w:r>
    </w:p>
    <w:p w14:paraId="6CE536C6"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307347BC"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了解：生化属性包括哪些营养元素种类及其在果蔬中的含量范围。</w:t>
      </w:r>
    </w:p>
    <w:p w14:paraId="5193D03C"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理解：园艺产品中的生化属性营养成分及其功能。</w:t>
      </w:r>
    </w:p>
    <w:p w14:paraId="2EA87EF1"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掌握：园艺产品中含有的生化属性营养成分及其种类。</w:t>
      </w:r>
    </w:p>
    <w:p w14:paraId="111AA1AB"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熟练掌握：园艺产品生化属性营养成分特点。</w:t>
      </w:r>
    </w:p>
    <w:p w14:paraId="45B8E6DA"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617D08D8"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以班级授课的形式讲授园艺产品中所含有的生化属性营养成分，授课过程中在课件里添加大量园艺产品中生化属性营养成分及功能的相关图片与视频，使学生掌握园艺产品中所含有的生化属性功能成分及保健功能（</w:t>
      </w:r>
      <w:r>
        <w:rPr>
          <w:rFonts w:eastAsiaTheme="minorEastAsia" w:hint="eastAsia"/>
          <w:color w:val="000000" w:themeColor="text1"/>
          <w:kern w:val="0"/>
          <w:szCs w:val="21"/>
        </w:rPr>
        <w:t>3</w:t>
      </w:r>
      <w:r>
        <w:rPr>
          <w:rFonts w:eastAsiaTheme="minorEastAsia" w:hint="eastAsia"/>
          <w:color w:val="000000" w:themeColor="text1"/>
          <w:kern w:val="0"/>
          <w:szCs w:val="21"/>
        </w:rPr>
        <w:t>学时）。</w:t>
      </w:r>
      <w:r>
        <w:rPr>
          <w:rFonts w:eastAsiaTheme="minorEastAsia" w:hint="eastAsia"/>
          <w:color w:val="000000" w:themeColor="text1"/>
          <w:kern w:val="0"/>
          <w:szCs w:val="21"/>
        </w:rPr>
        <w:t xml:space="preserve"> </w:t>
      </w:r>
    </w:p>
    <w:p w14:paraId="14C92388" w14:textId="77777777" w:rsidR="00F5289E" w:rsidRDefault="00C91173">
      <w:pPr>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szCs w:val="21"/>
        </w:rPr>
        <w:t xml:space="preserve">第二节  </w:t>
      </w:r>
      <w:r>
        <w:rPr>
          <w:rFonts w:asciiTheme="minorEastAsia" w:eastAsiaTheme="minorEastAsia" w:hAnsiTheme="minorEastAsia" w:cstheme="minorEastAsia" w:hint="eastAsia"/>
          <w:b/>
          <w:bCs/>
          <w:color w:val="000000" w:themeColor="text1"/>
        </w:rPr>
        <w:t>园艺产品的感官属性</w:t>
      </w:r>
      <w:r>
        <w:rPr>
          <w:rFonts w:asciiTheme="minorEastAsia" w:eastAsiaTheme="minorEastAsia" w:hAnsiTheme="minorEastAsia" w:cstheme="minorEastAsia" w:hint="eastAsia"/>
          <w:color w:val="000000" w:themeColor="text1"/>
        </w:rPr>
        <w:t xml:space="preserve">    </w:t>
      </w:r>
      <w:r>
        <w:rPr>
          <w:rFonts w:asciiTheme="minorEastAsia" w:eastAsiaTheme="minorEastAsia" w:hAnsiTheme="minorEastAsia" w:cstheme="minorEastAsia" w:hint="eastAsia"/>
          <w:b/>
          <w:bCs/>
          <w:color w:val="000000" w:themeColor="text1"/>
        </w:rPr>
        <w:t>3学时</w:t>
      </w:r>
    </w:p>
    <w:p w14:paraId="0364E2D0"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rPr>
        <w:t>介绍主要园艺产品包括水果蔬菜富含的感官属性营养物质，包括色泽功能成分（各类色素）、风味物质功能成分（糖、酸、苦、涩、辣、鲜味）、香气功能成分（酯类、醇类、酮类、醛类、酚类等）、质地功能成分（果胶）等，及其生理功能和保健应用。</w:t>
      </w:r>
    </w:p>
    <w:p w14:paraId="505E0733"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42470DDD"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Cs/>
          <w:color w:val="000000" w:themeColor="text1"/>
        </w:rPr>
        <w:t>重点：</w:t>
      </w:r>
      <w:r>
        <w:rPr>
          <w:rFonts w:asciiTheme="minorEastAsia" w:eastAsiaTheme="minorEastAsia" w:hAnsiTheme="minorEastAsia" w:cstheme="minorEastAsia" w:hint="eastAsia"/>
          <w:color w:val="000000" w:themeColor="text1"/>
        </w:rPr>
        <w:t>园艺产品中含有的感官属性营养成分及其种类。</w:t>
      </w:r>
    </w:p>
    <w:p w14:paraId="3AEBA510" w14:textId="77777777" w:rsidR="00F5289E" w:rsidRDefault="00C91173">
      <w:pPr>
        <w:widowControl/>
        <w:snapToGrid w:val="0"/>
        <w:spacing w:line="360" w:lineRule="auto"/>
        <w:ind w:firstLineChars="200" w:firstLine="420"/>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Cs/>
          <w:color w:val="000000" w:themeColor="text1"/>
        </w:rPr>
        <w:t>难点：</w:t>
      </w:r>
      <w:r>
        <w:rPr>
          <w:rFonts w:asciiTheme="minorEastAsia" w:eastAsiaTheme="minorEastAsia" w:hAnsiTheme="minorEastAsia" w:cstheme="minorEastAsia" w:hint="eastAsia"/>
          <w:color w:val="000000" w:themeColor="text1"/>
        </w:rPr>
        <w:t>园艺产品感官属性营养成分的营养特点。</w:t>
      </w:r>
    </w:p>
    <w:p w14:paraId="7D281F1D"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073EA69B" w14:textId="77777777" w:rsidR="00F5289E" w:rsidRDefault="00C91173">
      <w:pPr>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内容：</w:t>
      </w:r>
    </w:p>
    <w:p w14:paraId="098A4095"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一、园艺产品中的感官属性营养成分；</w:t>
      </w:r>
    </w:p>
    <w:p w14:paraId="17DC576B"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二、园艺产品感官属性营养成分的营养特点及保健功能。</w:t>
      </w:r>
    </w:p>
    <w:p w14:paraId="7B125BB0"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0A547B82"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了解：感官属性包括哪些营养元素种类及其含量丰富的园艺产品。</w:t>
      </w:r>
    </w:p>
    <w:p w14:paraId="6612D469"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理解：园艺产品中的感官属性营养成分及其功能。</w:t>
      </w:r>
    </w:p>
    <w:p w14:paraId="7B6BA418"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掌握：园艺产品中含有的感官属性营养成分及其种类。</w:t>
      </w:r>
    </w:p>
    <w:p w14:paraId="6B8338C2"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熟练掌握：园艺产品感官属性营养成分特点。</w:t>
      </w:r>
    </w:p>
    <w:p w14:paraId="2425570D"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478948D7"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lastRenderedPageBreak/>
        <w:t>以班级授课的形式讲授园艺产品中所含有的</w:t>
      </w:r>
      <w:r>
        <w:rPr>
          <w:rFonts w:asciiTheme="minorEastAsia" w:eastAsiaTheme="minorEastAsia" w:hAnsiTheme="minorEastAsia" w:cstheme="minorEastAsia" w:hint="eastAsia"/>
          <w:color w:val="000000" w:themeColor="text1"/>
        </w:rPr>
        <w:t>感官</w:t>
      </w:r>
      <w:r>
        <w:rPr>
          <w:rFonts w:eastAsiaTheme="minorEastAsia" w:hint="eastAsia"/>
          <w:color w:val="000000" w:themeColor="text1"/>
          <w:kern w:val="0"/>
          <w:szCs w:val="21"/>
        </w:rPr>
        <w:t>属性营养成分，授课过程中在课件里添加园艺产品中</w:t>
      </w:r>
      <w:r>
        <w:rPr>
          <w:rFonts w:asciiTheme="minorEastAsia" w:eastAsiaTheme="minorEastAsia" w:hAnsiTheme="minorEastAsia" w:cstheme="minorEastAsia" w:hint="eastAsia"/>
          <w:color w:val="000000" w:themeColor="text1"/>
        </w:rPr>
        <w:t>感官</w:t>
      </w:r>
      <w:r>
        <w:rPr>
          <w:rFonts w:eastAsiaTheme="minorEastAsia" w:hint="eastAsia"/>
          <w:color w:val="000000" w:themeColor="text1"/>
          <w:kern w:val="0"/>
          <w:szCs w:val="21"/>
        </w:rPr>
        <w:t>属性营养成分及功能的相关图片与视频，使学生掌握园艺产品中所含有的</w:t>
      </w:r>
      <w:r>
        <w:rPr>
          <w:rFonts w:asciiTheme="minorEastAsia" w:eastAsiaTheme="minorEastAsia" w:hAnsiTheme="minorEastAsia" w:cstheme="minorEastAsia" w:hint="eastAsia"/>
          <w:color w:val="000000" w:themeColor="text1"/>
        </w:rPr>
        <w:t>感官</w:t>
      </w:r>
      <w:r>
        <w:rPr>
          <w:rFonts w:eastAsiaTheme="minorEastAsia" w:hint="eastAsia"/>
          <w:color w:val="000000" w:themeColor="text1"/>
          <w:kern w:val="0"/>
          <w:szCs w:val="21"/>
        </w:rPr>
        <w:t>属性功能成分及保健功能（</w:t>
      </w:r>
      <w:r>
        <w:rPr>
          <w:rFonts w:eastAsiaTheme="minorEastAsia" w:hint="eastAsia"/>
          <w:color w:val="000000" w:themeColor="text1"/>
          <w:kern w:val="0"/>
          <w:szCs w:val="21"/>
        </w:rPr>
        <w:t>3</w:t>
      </w:r>
      <w:r>
        <w:rPr>
          <w:rFonts w:eastAsiaTheme="minorEastAsia" w:hint="eastAsia"/>
          <w:color w:val="000000" w:themeColor="text1"/>
          <w:kern w:val="0"/>
          <w:szCs w:val="21"/>
        </w:rPr>
        <w:t>学时）。</w:t>
      </w:r>
    </w:p>
    <w:p w14:paraId="78BC4601" w14:textId="77777777" w:rsidR="00F5289E" w:rsidRDefault="00C91173">
      <w:pPr>
        <w:spacing w:line="360" w:lineRule="auto"/>
        <w:rPr>
          <w:rFonts w:asciiTheme="minorEastAsia" w:eastAsiaTheme="minorEastAsia" w:hAnsiTheme="minorEastAsia" w:cstheme="minorEastAsia"/>
          <w:b/>
          <w:bCs/>
          <w:color w:val="000000" w:themeColor="text1"/>
          <w:szCs w:val="21"/>
        </w:rPr>
      </w:pPr>
      <w:r>
        <w:rPr>
          <w:rFonts w:asciiTheme="minorEastAsia" w:eastAsiaTheme="minorEastAsia" w:hAnsiTheme="minorEastAsia" w:cstheme="minorEastAsia" w:hint="eastAsia"/>
          <w:b/>
          <w:bCs/>
          <w:color w:val="000000" w:themeColor="text1"/>
          <w:szCs w:val="21"/>
        </w:rPr>
        <w:t>第三节  园艺产品功能成分、嫌忌成分与人体健康    2学时</w:t>
      </w:r>
    </w:p>
    <w:p w14:paraId="69D695C3"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rPr>
        <w:t>介绍园艺产品中主要的功能活性物质和嫌忌成分，包括功能活性物质（活性低聚糖、活性多糖、活性脂、活性肽、白藜芦醇、大豆异黄酮等）、嫌忌成分（龙葵素、凝集素、蛋白酶抑制剂、毒苷等），及其相应功能和危害。</w:t>
      </w:r>
    </w:p>
    <w:p w14:paraId="683C4E5A" w14:textId="77777777" w:rsidR="00F5289E" w:rsidRDefault="00C91173">
      <w:pPr>
        <w:pStyle w:val="a9"/>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6C96BDD7"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Cs/>
          <w:color w:val="000000" w:themeColor="text1"/>
        </w:rPr>
        <w:t>重点：</w:t>
      </w:r>
      <w:r>
        <w:rPr>
          <w:rFonts w:asciiTheme="minorEastAsia" w:eastAsiaTheme="minorEastAsia" w:hAnsiTheme="minorEastAsia" w:cstheme="minorEastAsia" w:hint="eastAsia"/>
          <w:color w:val="000000" w:themeColor="text1"/>
        </w:rPr>
        <w:t>园艺产品中呈味物质的种类；</w:t>
      </w:r>
    </w:p>
    <w:p w14:paraId="6DFDD791" w14:textId="77777777" w:rsidR="00F5289E" w:rsidRDefault="00C91173">
      <w:pPr>
        <w:widowControl/>
        <w:snapToGrid w:val="0"/>
        <w:spacing w:line="360" w:lineRule="auto"/>
        <w:ind w:firstLineChars="200" w:firstLine="420"/>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Cs/>
          <w:color w:val="000000" w:themeColor="text1"/>
        </w:rPr>
        <w:t>难点：</w:t>
      </w:r>
      <w:r>
        <w:rPr>
          <w:rFonts w:asciiTheme="minorEastAsia" w:eastAsiaTheme="minorEastAsia" w:hAnsiTheme="minorEastAsia" w:cstheme="minorEastAsia" w:hint="eastAsia"/>
          <w:color w:val="000000" w:themeColor="text1"/>
        </w:rPr>
        <w:t>烹调对维生素的稳定性的影响</w:t>
      </w:r>
      <w:r>
        <w:rPr>
          <w:rFonts w:asciiTheme="minorEastAsia" w:eastAsiaTheme="minorEastAsia" w:hAnsiTheme="minorEastAsia" w:cstheme="minorEastAsia" w:hint="eastAsia"/>
          <w:color w:val="000000" w:themeColor="text1"/>
          <w:kern w:val="0"/>
          <w:szCs w:val="21"/>
        </w:rPr>
        <w:t>。</w:t>
      </w:r>
    </w:p>
    <w:p w14:paraId="3E43B642"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46B3E10F" w14:textId="77777777" w:rsidR="00F5289E" w:rsidRDefault="00C91173">
      <w:pPr>
        <w:widowControl/>
        <w:snapToGrid w:val="0"/>
        <w:spacing w:line="36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b/>
          <w:bCs/>
          <w:color w:val="000000" w:themeColor="text1"/>
        </w:rPr>
        <w:t>内容：</w:t>
      </w:r>
    </w:p>
    <w:p w14:paraId="7DCDE98B" w14:textId="77777777" w:rsidR="00F5289E" w:rsidRDefault="00C91173">
      <w:pPr>
        <w:pStyle w:val="a9"/>
        <w:spacing w:line="360" w:lineRule="auto"/>
        <w:ind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一、园艺产品中其它功能活性物质；</w:t>
      </w:r>
    </w:p>
    <w:p w14:paraId="5F856551" w14:textId="77777777" w:rsidR="00F5289E" w:rsidRDefault="00C91173">
      <w:pPr>
        <w:pStyle w:val="a9"/>
        <w:spacing w:line="360" w:lineRule="auto"/>
        <w:ind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二、园艺产品中的嫌忌成分；</w:t>
      </w:r>
    </w:p>
    <w:p w14:paraId="1B8CBCF4" w14:textId="77777777" w:rsidR="00F5289E" w:rsidRDefault="00C91173">
      <w:pPr>
        <w:pStyle w:val="a9"/>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三、相应成分的功能和危害。</w:t>
      </w:r>
    </w:p>
    <w:p w14:paraId="01399F08"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要求：</w:t>
      </w:r>
    </w:p>
    <w:p w14:paraId="1A96A6D6"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了解：园艺产品中其它功能活性物质。</w:t>
      </w:r>
    </w:p>
    <w:p w14:paraId="208B2AAD"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理解：园艺产品中的嫌忌成分。</w:t>
      </w:r>
    </w:p>
    <w:p w14:paraId="15F0E00A"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掌握：园艺产品中的其它功能活性物质和保健功能。</w:t>
      </w:r>
    </w:p>
    <w:p w14:paraId="54CFAFC5" w14:textId="77777777" w:rsidR="00F5289E" w:rsidRDefault="00C91173">
      <w:pPr>
        <w:spacing w:line="360" w:lineRule="auto"/>
        <w:ind w:firstLineChars="200" w:firstLine="420"/>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熟练掌握：富含功能成分的园艺产品品类。</w:t>
      </w:r>
    </w:p>
    <w:p w14:paraId="3E96E961"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3E83F113"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以班级授课的形式讲授园艺产品中所含有的</w:t>
      </w:r>
      <w:r>
        <w:rPr>
          <w:rFonts w:asciiTheme="minorEastAsia" w:eastAsiaTheme="minorEastAsia" w:hAnsiTheme="minorEastAsia" w:cstheme="minorEastAsia" w:hint="eastAsia"/>
          <w:color w:val="000000" w:themeColor="text1"/>
        </w:rPr>
        <w:t>其它活性功能</w:t>
      </w:r>
      <w:r>
        <w:rPr>
          <w:rFonts w:eastAsiaTheme="minorEastAsia" w:hint="eastAsia"/>
          <w:color w:val="000000" w:themeColor="text1"/>
          <w:kern w:val="0"/>
          <w:szCs w:val="21"/>
        </w:rPr>
        <w:t>成分和嫌忌成分，授课过程中在课件里添加园艺产品</w:t>
      </w:r>
      <w:r>
        <w:rPr>
          <w:rFonts w:asciiTheme="minorEastAsia" w:eastAsiaTheme="minorEastAsia" w:hAnsiTheme="minorEastAsia" w:cstheme="minorEastAsia" w:hint="eastAsia"/>
          <w:color w:val="000000" w:themeColor="text1"/>
        </w:rPr>
        <w:t>活性功能</w:t>
      </w:r>
      <w:r>
        <w:rPr>
          <w:rFonts w:eastAsiaTheme="minorEastAsia" w:hint="eastAsia"/>
          <w:color w:val="000000" w:themeColor="text1"/>
          <w:kern w:val="0"/>
          <w:szCs w:val="21"/>
        </w:rPr>
        <w:t>成分和嫌忌成分及功能的相关图片与视频，使学生掌握园艺产品中所含有的</w:t>
      </w:r>
      <w:r>
        <w:rPr>
          <w:rFonts w:asciiTheme="minorEastAsia" w:eastAsiaTheme="minorEastAsia" w:hAnsiTheme="minorEastAsia" w:cstheme="minorEastAsia" w:hint="eastAsia"/>
          <w:color w:val="000000" w:themeColor="text1"/>
        </w:rPr>
        <w:t>其它活性功能</w:t>
      </w:r>
      <w:r>
        <w:rPr>
          <w:rFonts w:eastAsiaTheme="minorEastAsia" w:hint="eastAsia"/>
          <w:color w:val="000000" w:themeColor="text1"/>
          <w:kern w:val="0"/>
          <w:szCs w:val="21"/>
        </w:rPr>
        <w:t>成分、保健功能及嫌忌成分、危害（</w:t>
      </w:r>
      <w:r>
        <w:rPr>
          <w:rFonts w:eastAsiaTheme="minorEastAsia" w:hint="eastAsia"/>
          <w:color w:val="000000" w:themeColor="text1"/>
          <w:kern w:val="0"/>
          <w:szCs w:val="21"/>
        </w:rPr>
        <w:t>2</w:t>
      </w:r>
      <w:r>
        <w:rPr>
          <w:rFonts w:eastAsiaTheme="minorEastAsia" w:hint="eastAsia"/>
          <w:color w:val="000000" w:themeColor="text1"/>
          <w:kern w:val="0"/>
          <w:szCs w:val="21"/>
        </w:rPr>
        <w:t>学时）。</w:t>
      </w:r>
    </w:p>
    <w:p w14:paraId="66C440A3" w14:textId="77777777" w:rsidR="00F5289E" w:rsidRDefault="00C91173">
      <w:pPr>
        <w:widowControl/>
        <w:wordWrap w:val="0"/>
        <w:snapToGrid w:val="0"/>
        <w:spacing w:beforeLines="50" w:before="156" w:line="360" w:lineRule="auto"/>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kern w:val="0"/>
          <w:szCs w:val="21"/>
        </w:rPr>
        <w:t xml:space="preserve">第三章 </w:t>
      </w:r>
      <w:r>
        <w:rPr>
          <w:rFonts w:asciiTheme="minorEastAsia" w:eastAsiaTheme="minorEastAsia" w:hAnsiTheme="minorEastAsia" w:cstheme="minorEastAsia"/>
          <w:b/>
          <w:bCs/>
          <w:color w:val="000000" w:themeColor="text1"/>
          <w:kern w:val="0"/>
          <w:szCs w:val="21"/>
        </w:rPr>
        <w:t xml:space="preserve"> </w:t>
      </w:r>
      <w:r>
        <w:rPr>
          <w:rFonts w:asciiTheme="minorEastAsia" w:eastAsiaTheme="minorEastAsia" w:hAnsiTheme="minorEastAsia" w:cstheme="minorEastAsia" w:hint="eastAsia"/>
          <w:b/>
          <w:bCs/>
          <w:color w:val="000000" w:themeColor="text1"/>
          <w:kern w:val="0"/>
          <w:szCs w:val="21"/>
        </w:rPr>
        <w:t xml:space="preserve">园艺产品营养各论                   </w:t>
      </w:r>
      <w:r>
        <w:rPr>
          <w:rFonts w:asciiTheme="minorEastAsia" w:eastAsiaTheme="minorEastAsia" w:hAnsiTheme="minorEastAsia" w:cstheme="minorEastAsia"/>
          <w:b/>
          <w:bCs/>
          <w:color w:val="000000" w:themeColor="text1"/>
          <w:kern w:val="0"/>
          <w:szCs w:val="21"/>
        </w:rPr>
        <w:t xml:space="preserve">  </w:t>
      </w:r>
      <w:r>
        <w:rPr>
          <w:rFonts w:asciiTheme="minorEastAsia" w:eastAsiaTheme="minorEastAsia" w:hAnsiTheme="minorEastAsia" w:cstheme="minorEastAsia" w:hint="eastAsia"/>
          <w:b/>
          <w:bCs/>
          <w:color w:val="000000" w:themeColor="text1"/>
          <w:kern w:val="0"/>
          <w:szCs w:val="21"/>
        </w:rPr>
        <w:t>学时</w:t>
      </w:r>
      <w:r>
        <w:rPr>
          <w:rFonts w:eastAsiaTheme="minorEastAsia" w:hAnsiTheme="minorEastAsia"/>
          <w:b/>
          <w:bCs/>
          <w:color w:val="000000" w:themeColor="text1"/>
          <w:kern w:val="0"/>
          <w:szCs w:val="21"/>
        </w:rPr>
        <w:t>数：</w:t>
      </w:r>
      <w:r>
        <w:rPr>
          <w:rFonts w:eastAsiaTheme="minorEastAsia" w:hint="eastAsia"/>
          <w:b/>
          <w:bCs/>
          <w:color w:val="000000" w:themeColor="text1"/>
          <w:kern w:val="0"/>
          <w:szCs w:val="21"/>
        </w:rPr>
        <w:t>10</w:t>
      </w:r>
    </w:p>
    <w:p w14:paraId="11F0AC26" w14:textId="77777777" w:rsidR="00F5289E" w:rsidRDefault="00C91173">
      <w:pPr>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第一节  果品的营养与功能    5学时</w:t>
      </w:r>
    </w:p>
    <w:p w14:paraId="5908D5BE"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kern w:val="0"/>
          <w:szCs w:val="21"/>
        </w:rPr>
        <w:t>学习各类水果的营养特点及功能。</w:t>
      </w:r>
    </w:p>
    <w:p w14:paraId="42FCACBF"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727BE33D" w14:textId="77777777" w:rsidR="00F5289E" w:rsidRDefault="00C91173">
      <w:pPr>
        <w:widowControl/>
        <w:snapToGrid w:val="0"/>
        <w:spacing w:line="360" w:lineRule="auto"/>
        <w:ind w:firstLineChars="200" w:firstLine="420"/>
        <w:rPr>
          <w:rFonts w:asciiTheme="minorEastAsia" w:eastAsiaTheme="minorEastAsia" w:hAnsiTheme="minorEastAsia" w:cstheme="minorEastAsia"/>
          <w:bCs/>
          <w:color w:val="000000" w:themeColor="text1"/>
        </w:rPr>
      </w:pPr>
      <w:r>
        <w:rPr>
          <w:rFonts w:asciiTheme="minorEastAsia" w:eastAsiaTheme="minorEastAsia" w:hAnsiTheme="minorEastAsia" w:cstheme="minorEastAsia" w:hint="eastAsia"/>
          <w:bCs/>
          <w:color w:val="000000" w:themeColor="text1"/>
        </w:rPr>
        <w:t>重点：</w:t>
      </w:r>
      <w:r>
        <w:rPr>
          <w:rFonts w:asciiTheme="minorEastAsia" w:eastAsiaTheme="minorEastAsia" w:hAnsiTheme="minorEastAsia" w:cstheme="minorEastAsia" w:hint="eastAsia"/>
          <w:color w:val="000000" w:themeColor="text1"/>
          <w:kern w:val="0"/>
          <w:szCs w:val="21"/>
        </w:rPr>
        <w:t>各类果品所具有的营养成分。</w:t>
      </w:r>
    </w:p>
    <w:p w14:paraId="15C9A2C9" w14:textId="77777777" w:rsidR="00F5289E" w:rsidRDefault="00C91173">
      <w:pPr>
        <w:widowControl/>
        <w:snapToGrid w:val="0"/>
        <w:spacing w:line="360" w:lineRule="auto"/>
        <w:ind w:firstLineChars="200" w:firstLine="420"/>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Cs/>
          <w:color w:val="000000" w:themeColor="text1"/>
        </w:rPr>
        <w:t>难点：</w:t>
      </w:r>
      <w:r>
        <w:rPr>
          <w:rFonts w:asciiTheme="minorEastAsia" w:eastAsiaTheme="minorEastAsia" w:hAnsiTheme="minorEastAsia" w:cstheme="minorEastAsia" w:hint="eastAsia"/>
          <w:color w:val="000000" w:themeColor="text1"/>
          <w:kern w:val="0"/>
          <w:szCs w:val="21"/>
        </w:rPr>
        <w:t>果品中各种营养成分的功能。</w:t>
      </w:r>
    </w:p>
    <w:p w14:paraId="7376A3CD"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2976E4D0"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内容：</w:t>
      </w:r>
    </w:p>
    <w:p w14:paraId="5134C46C"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lastRenderedPageBreak/>
        <w:t>一、仁果类水果（梨、苹果、枇杷和山楂）的营养成分及功能</w:t>
      </w:r>
    </w:p>
    <w:p w14:paraId="70603A4C"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二、核果类水果（芒果、桃、李、枣、樱桃和杨梅）的营养成分及功能</w:t>
      </w:r>
    </w:p>
    <w:p w14:paraId="36A9785C"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三、浆果类水果（猕猴桃、葡萄、柿、香蕉、蓝莓、番木瓜和石榴）的营养成分及功能</w:t>
      </w:r>
    </w:p>
    <w:p w14:paraId="1E7B39EA"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四、柑果类水果（柑橘、脐橙、柠檬、柚子）的营养成分及功能</w:t>
      </w:r>
    </w:p>
    <w:p w14:paraId="78698D56"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五、荔果类水果（荔枝和龙眼）的营养成分及功能</w:t>
      </w:r>
    </w:p>
    <w:p w14:paraId="04601974"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六、聚复果类水果（菠萝和草莓）的营养成分及功能</w:t>
      </w:r>
    </w:p>
    <w:p w14:paraId="75BD1855" w14:textId="77777777" w:rsidR="00F5289E" w:rsidRDefault="00C91173">
      <w:pPr>
        <w:pStyle w:val="13"/>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七、坚果类（板栗、核桃、松子、开心果和巴旦木）的营养成分及功能</w:t>
      </w:r>
    </w:p>
    <w:p w14:paraId="725B60A0"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要求：</w:t>
      </w:r>
    </w:p>
    <w:p w14:paraId="3696BBC2"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了解：各类果品的基本概况。</w:t>
      </w:r>
    </w:p>
    <w:p w14:paraId="4FADCF07"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理解：各类果品的基本生物学特性。</w:t>
      </w:r>
    </w:p>
    <w:p w14:paraId="59EC194E"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掌握：各类果品所具有的营养成分功能。</w:t>
      </w:r>
    </w:p>
    <w:p w14:paraId="5193B667"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熟练掌握：常见果品的营养特点及功能。</w:t>
      </w:r>
    </w:p>
    <w:p w14:paraId="2AC96AEE"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0C17FA51"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以学生为主，利用翻转课堂的形式，学生选取一类水果，来讲授相应水果中所含有的</w:t>
      </w:r>
      <w:r>
        <w:rPr>
          <w:rFonts w:asciiTheme="minorEastAsia" w:eastAsiaTheme="minorEastAsia" w:hAnsiTheme="minorEastAsia" w:cstheme="minorEastAsia" w:hint="eastAsia"/>
          <w:color w:val="000000" w:themeColor="text1"/>
        </w:rPr>
        <w:t>营养成分及功能</w:t>
      </w:r>
      <w:r>
        <w:rPr>
          <w:rFonts w:eastAsiaTheme="minorEastAsia" w:hint="eastAsia"/>
          <w:color w:val="000000" w:themeColor="text1"/>
          <w:kern w:val="0"/>
          <w:szCs w:val="21"/>
        </w:rPr>
        <w:t>，要求学生在课件中加入相关图片与视频，深入使学生掌握各类果品中所含有的</w:t>
      </w:r>
      <w:r>
        <w:rPr>
          <w:rFonts w:asciiTheme="minorEastAsia" w:eastAsiaTheme="minorEastAsia" w:hAnsiTheme="minorEastAsia" w:cstheme="minorEastAsia" w:hint="eastAsia"/>
          <w:color w:val="000000" w:themeColor="text1"/>
        </w:rPr>
        <w:t>营养成分及保健功能</w:t>
      </w:r>
      <w:r>
        <w:rPr>
          <w:rFonts w:eastAsiaTheme="minorEastAsia" w:hint="eastAsia"/>
          <w:color w:val="000000" w:themeColor="text1"/>
          <w:kern w:val="0"/>
          <w:szCs w:val="21"/>
        </w:rPr>
        <w:t>（</w:t>
      </w:r>
      <w:r>
        <w:rPr>
          <w:rFonts w:eastAsiaTheme="minorEastAsia" w:hint="eastAsia"/>
          <w:color w:val="000000" w:themeColor="text1"/>
          <w:kern w:val="0"/>
          <w:szCs w:val="21"/>
        </w:rPr>
        <w:t>5</w:t>
      </w:r>
      <w:r>
        <w:rPr>
          <w:rFonts w:eastAsiaTheme="minorEastAsia" w:hint="eastAsia"/>
          <w:color w:val="000000" w:themeColor="text1"/>
          <w:kern w:val="0"/>
          <w:szCs w:val="21"/>
        </w:rPr>
        <w:t>学时）。</w:t>
      </w:r>
    </w:p>
    <w:p w14:paraId="0EEA9E57" w14:textId="77777777" w:rsidR="00F5289E" w:rsidRDefault="00C91173">
      <w:pPr>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第二节  蔬菜的营养与功能    5学时</w:t>
      </w:r>
    </w:p>
    <w:p w14:paraId="59C929D3"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kern w:val="0"/>
          <w:szCs w:val="21"/>
        </w:rPr>
        <w:t>学习各类蔬菜的营养特点及功能，并理解部分蔬菜中的有害化学成分对人体健康的危害。</w:t>
      </w:r>
    </w:p>
    <w:p w14:paraId="155662AA"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2E13D386" w14:textId="77777777" w:rsidR="00F5289E" w:rsidRDefault="00C91173">
      <w:pPr>
        <w:widowControl/>
        <w:snapToGrid w:val="0"/>
        <w:spacing w:line="360" w:lineRule="auto"/>
        <w:ind w:firstLineChars="200" w:firstLine="420"/>
        <w:rPr>
          <w:rFonts w:asciiTheme="minorEastAsia" w:eastAsiaTheme="minorEastAsia" w:hAnsiTheme="minorEastAsia" w:cstheme="minorEastAsia"/>
          <w:bCs/>
          <w:color w:val="000000" w:themeColor="text1"/>
        </w:rPr>
      </w:pPr>
      <w:r>
        <w:rPr>
          <w:rFonts w:asciiTheme="minorEastAsia" w:eastAsiaTheme="minorEastAsia" w:hAnsiTheme="minorEastAsia" w:cstheme="minorEastAsia" w:hint="eastAsia"/>
          <w:bCs/>
          <w:color w:val="000000" w:themeColor="text1"/>
        </w:rPr>
        <w:t>重点：</w:t>
      </w:r>
      <w:r>
        <w:rPr>
          <w:rFonts w:asciiTheme="minorEastAsia" w:eastAsiaTheme="minorEastAsia" w:hAnsiTheme="minorEastAsia" w:cstheme="minorEastAsia" w:hint="eastAsia"/>
          <w:color w:val="000000" w:themeColor="text1"/>
          <w:kern w:val="0"/>
          <w:szCs w:val="21"/>
        </w:rPr>
        <w:t>各类蔬菜所具有的营养成分。</w:t>
      </w:r>
    </w:p>
    <w:p w14:paraId="49A68542" w14:textId="77777777" w:rsidR="00F5289E" w:rsidRDefault="00C91173">
      <w:pPr>
        <w:widowControl/>
        <w:snapToGrid w:val="0"/>
        <w:spacing w:line="360" w:lineRule="auto"/>
        <w:ind w:firstLineChars="200" w:firstLine="420"/>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Cs/>
          <w:color w:val="000000" w:themeColor="text1"/>
        </w:rPr>
        <w:t>难点：</w:t>
      </w:r>
      <w:r>
        <w:rPr>
          <w:rFonts w:asciiTheme="minorEastAsia" w:eastAsiaTheme="minorEastAsia" w:hAnsiTheme="minorEastAsia" w:cstheme="minorEastAsia" w:hint="eastAsia"/>
          <w:color w:val="000000" w:themeColor="text1"/>
          <w:kern w:val="0"/>
          <w:szCs w:val="21"/>
        </w:rPr>
        <w:t>蔬菜中各种营养成分的功能以及部分蔬菜中有害化学成分的危害。</w:t>
      </w:r>
    </w:p>
    <w:p w14:paraId="14531D0E"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538E6106"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内容：</w:t>
      </w:r>
    </w:p>
    <w:p w14:paraId="182D1333"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一、叶菜类蔬菜（大白菜、菠菜、芹菜、莴苣、茼蒿、苋菜、甘蓝、芥菜、荠菜）的营养成分及相应功能，有害化学成分及相应危害。</w:t>
      </w:r>
    </w:p>
    <w:p w14:paraId="14465436"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二、根菜类蔬菜（萝卜、胡萝卜、根甜菜）的营养成分及功能。</w:t>
      </w:r>
    </w:p>
    <w:p w14:paraId="6919566F"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三、茄果类蔬菜（番茄、茄子、辣椒、茄瓜）的营养成分及功能，有害化学成分及相应危害。</w:t>
      </w:r>
    </w:p>
    <w:p w14:paraId="0C15D0B8"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四、瓜类蔬菜（黄瓜、冬瓜、南瓜、西瓜、丝瓜、苦瓜、佛手瓜）的营养成分及功能。</w:t>
      </w:r>
    </w:p>
    <w:p w14:paraId="3BF4E801"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五、豆类蔬菜（菜豆、毛豆、豌豆、扁豆、）的营养成分及功能，有害化学成分及相应危害。</w:t>
      </w:r>
    </w:p>
    <w:p w14:paraId="3D753AF1"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六、葱蒜类蔬菜（大葱、洋葱、大蒜）的营养成分及功能。</w:t>
      </w:r>
    </w:p>
    <w:p w14:paraId="5562FB74"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七、花菜类蔬菜（花椰菜、青花菜、黄花菜）的营养成分及功能。</w:t>
      </w:r>
    </w:p>
    <w:p w14:paraId="51556B0E"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八、薯芋类蔬菜（马铃薯、姜、芋、山药、甘薯、魔芋、葛、菊芋）的营养成分及功能。</w:t>
      </w:r>
    </w:p>
    <w:p w14:paraId="54F8D0BA"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九、水生类蔬菜（莲藕、茭白、荸荠、海带、紫菜）的营养成分及功能。</w:t>
      </w:r>
    </w:p>
    <w:p w14:paraId="686C44D6"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lastRenderedPageBreak/>
        <w:t>十、多年生蔬菜（竹笋、芦笋、百合、香椿、枸杞）的营养成分及功能。</w:t>
      </w:r>
    </w:p>
    <w:p w14:paraId="1C99BAB5"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十一、食用菌类蔬菜（黑木耳、银耳、香菇、金针菇、茶树菇、杏鲍菇、牛肝菌、竹荪）的营养成分及功能，有害化学成分及相应危害。</w:t>
      </w:r>
    </w:p>
    <w:p w14:paraId="509C79FC"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十二、野生类蔬菜（蕨菜、鱼腥草、马齿苋、小根蒜、蒲公英、地耳）的营养成分及功能。</w:t>
      </w:r>
    </w:p>
    <w:p w14:paraId="1E009649"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要求：</w:t>
      </w:r>
    </w:p>
    <w:p w14:paraId="17922AEA"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了解：各类蔬菜的基本概况。</w:t>
      </w:r>
    </w:p>
    <w:p w14:paraId="5D8515EB"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理解：各类蔬菜的基本生物学特性。</w:t>
      </w:r>
    </w:p>
    <w:p w14:paraId="55A6BA14"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掌握：蔬菜中所含的营养成分的功能以及天然有害化学成分的危害。</w:t>
      </w:r>
    </w:p>
    <w:p w14:paraId="783D65B5"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熟练掌握：常见蔬菜的营养特点及功能。</w:t>
      </w:r>
    </w:p>
    <w:p w14:paraId="6673C5CA"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0277CC19"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以学生为主，利用翻转课堂的形式，学生选取一类蔬菜，来讲授相应蔬菜中所含有的</w:t>
      </w:r>
      <w:r>
        <w:rPr>
          <w:rFonts w:asciiTheme="minorEastAsia" w:eastAsiaTheme="minorEastAsia" w:hAnsiTheme="minorEastAsia" w:cstheme="minorEastAsia" w:hint="eastAsia"/>
          <w:color w:val="000000" w:themeColor="text1"/>
        </w:rPr>
        <w:t>营养成分及功能、嫌忌成分及功能</w:t>
      </w:r>
      <w:r>
        <w:rPr>
          <w:rFonts w:eastAsiaTheme="minorEastAsia" w:hint="eastAsia"/>
          <w:color w:val="000000" w:themeColor="text1"/>
          <w:kern w:val="0"/>
          <w:szCs w:val="21"/>
        </w:rPr>
        <w:t>，要求学生在课件中加入相关图片与视频，深入使学生掌握各类蔬菜中所含有的</w:t>
      </w:r>
      <w:r>
        <w:rPr>
          <w:rFonts w:asciiTheme="minorEastAsia" w:eastAsiaTheme="minorEastAsia" w:hAnsiTheme="minorEastAsia" w:cstheme="minorEastAsia" w:hint="eastAsia"/>
          <w:color w:val="000000" w:themeColor="text1"/>
        </w:rPr>
        <w:t>营养成分及保健功能、嫌忌成分及功能</w:t>
      </w:r>
      <w:r>
        <w:rPr>
          <w:rFonts w:eastAsiaTheme="minorEastAsia" w:hint="eastAsia"/>
          <w:color w:val="000000" w:themeColor="text1"/>
          <w:kern w:val="0"/>
          <w:szCs w:val="21"/>
        </w:rPr>
        <w:t>（</w:t>
      </w:r>
      <w:r>
        <w:rPr>
          <w:rFonts w:eastAsiaTheme="minorEastAsia" w:hint="eastAsia"/>
          <w:color w:val="000000" w:themeColor="text1"/>
          <w:kern w:val="0"/>
          <w:szCs w:val="21"/>
        </w:rPr>
        <w:t>5</w:t>
      </w:r>
      <w:r>
        <w:rPr>
          <w:rFonts w:eastAsiaTheme="minorEastAsia" w:hint="eastAsia"/>
          <w:color w:val="000000" w:themeColor="text1"/>
          <w:kern w:val="0"/>
          <w:szCs w:val="21"/>
        </w:rPr>
        <w:t>学时）。</w:t>
      </w:r>
    </w:p>
    <w:p w14:paraId="48DD9C45" w14:textId="77777777" w:rsidR="00F5289E" w:rsidRDefault="00C91173">
      <w:pPr>
        <w:widowControl/>
        <w:snapToGrid w:val="0"/>
        <w:spacing w:beforeLines="50" w:before="156" w:line="360" w:lineRule="auto"/>
        <w:jc w:val="right"/>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kern w:val="0"/>
          <w:szCs w:val="21"/>
        </w:rPr>
        <w:t>第四章  园艺产品营养的形成与调控             学时数：6</w:t>
      </w:r>
    </w:p>
    <w:p w14:paraId="78C0DDF4"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rPr>
        <w:t>教学目</w:t>
      </w:r>
      <w:r>
        <w:rPr>
          <w:rFonts w:ascii="宋体" w:hAnsi="宋体" w:hint="eastAsia"/>
          <w:b/>
          <w:bCs/>
          <w:color w:val="000000" w:themeColor="text1"/>
        </w:rPr>
        <w:t>标</w:t>
      </w:r>
      <w:r>
        <w:rPr>
          <w:rFonts w:asciiTheme="minorEastAsia" w:eastAsiaTheme="minorEastAsia" w:hAnsiTheme="minorEastAsia" w:cstheme="minorEastAsia" w:hint="eastAsia"/>
          <w:b/>
          <w:bCs/>
          <w:color w:val="000000" w:themeColor="text1"/>
        </w:rPr>
        <w:t>：</w:t>
      </w:r>
      <w:r>
        <w:rPr>
          <w:rFonts w:asciiTheme="minorEastAsia" w:eastAsiaTheme="minorEastAsia" w:hAnsiTheme="minorEastAsia" w:cstheme="minorEastAsia" w:hint="eastAsia"/>
          <w:color w:val="000000" w:themeColor="text1"/>
          <w:kern w:val="0"/>
          <w:szCs w:val="21"/>
        </w:rPr>
        <w:t>学习园艺产品营养素的形成及影响因素，并理解营养素的调控技术及采后加工、储藏对营养素的影响。</w:t>
      </w:r>
    </w:p>
    <w:p w14:paraId="1A0FD726" w14:textId="77777777" w:rsidR="00F5289E" w:rsidRDefault="00C91173">
      <w:pPr>
        <w:widowControl/>
        <w:snapToGrid w:val="0"/>
        <w:spacing w:line="360" w:lineRule="auto"/>
        <w:rPr>
          <w:rFonts w:asciiTheme="minorEastAsia" w:eastAsiaTheme="minorEastAsia" w:hAnsiTheme="minorEastAsia" w:cstheme="minorEastAsia"/>
          <w:b/>
          <w:bCs/>
          <w:color w:val="000000" w:themeColor="text1"/>
        </w:rPr>
      </w:pPr>
      <w:r>
        <w:rPr>
          <w:rFonts w:asciiTheme="minorEastAsia" w:eastAsiaTheme="minorEastAsia" w:hAnsiTheme="minorEastAsia" w:cstheme="minorEastAsia" w:hint="eastAsia"/>
          <w:b/>
          <w:bCs/>
          <w:color w:val="000000" w:themeColor="text1"/>
        </w:rPr>
        <w:t>教学重点和难点：</w:t>
      </w:r>
    </w:p>
    <w:p w14:paraId="6CBD89DE" w14:textId="77777777" w:rsidR="00F5289E" w:rsidRDefault="00C91173">
      <w:pPr>
        <w:widowControl/>
        <w:snapToGrid w:val="0"/>
        <w:spacing w:line="360" w:lineRule="auto"/>
        <w:ind w:firstLineChars="200" w:firstLine="420"/>
        <w:rPr>
          <w:rFonts w:asciiTheme="minorEastAsia" w:eastAsiaTheme="minorEastAsia" w:hAnsiTheme="minorEastAsia" w:cstheme="minorEastAsia"/>
          <w:bCs/>
          <w:color w:val="000000" w:themeColor="text1"/>
        </w:rPr>
      </w:pPr>
      <w:r>
        <w:rPr>
          <w:rFonts w:asciiTheme="minorEastAsia" w:eastAsiaTheme="minorEastAsia" w:hAnsiTheme="minorEastAsia" w:cstheme="minorEastAsia" w:hint="eastAsia"/>
          <w:bCs/>
          <w:color w:val="000000" w:themeColor="text1"/>
        </w:rPr>
        <w:t>重点：园艺产品营养素形成的影响因素及调控技术。</w:t>
      </w:r>
    </w:p>
    <w:p w14:paraId="3E5F0B46" w14:textId="77777777" w:rsidR="00F5289E" w:rsidRDefault="00C91173">
      <w:pPr>
        <w:widowControl/>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rPr>
        <w:t>难点：</w:t>
      </w:r>
      <w:r>
        <w:rPr>
          <w:rFonts w:asciiTheme="minorEastAsia" w:eastAsiaTheme="minorEastAsia" w:hAnsiTheme="minorEastAsia" w:cstheme="minorEastAsia" w:hint="eastAsia"/>
          <w:bCs/>
          <w:color w:val="000000" w:themeColor="text1"/>
          <w:kern w:val="0"/>
          <w:szCs w:val="21"/>
        </w:rPr>
        <w:t>采后加工和贮藏对营养价值的影响。</w:t>
      </w:r>
    </w:p>
    <w:p w14:paraId="5F405F8F" w14:textId="77777777" w:rsidR="00F5289E" w:rsidRDefault="00C91173">
      <w:pPr>
        <w:widowControl/>
        <w:snapToGrid w:val="0"/>
        <w:spacing w:line="360" w:lineRule="auto"/>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b/>
          <w:bCs/>
          <w:color w:val="000000" w:themeColor="text1"/>
        </w:rPr>
        <w:t>主要教学内容及要求：</w:t>
      </w:r>
    </w:p>
    <w:p w14:paraId="439ED6B4"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内容：</w:t>
      </w:r>
    </w:p>
    <w:p w14:paraId="3F9F847E"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一、园艺产品营养素的形成及其影响因素。</w:t>
      </w:r>
    </w:p>
    <w:p w14:paraId="65AAAC17"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二、园艺产品营养素的调控技术途径。</w:t>
      </w:r>
    </w:p>
    <w:p w14:paraId="5F98D1C9"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三、园艺产品营养素的保藏。</w:t>
      </w:r>
    </w:p>
    <w:p w14:paraId="04B4E749"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四、加工对园艺产品营养素的影响</w:t>
      </w:r>
    </w:p>
    <w:p w14:paraId="2B199823" w14:textId="77777777" w:rsidR="00F5289E" w:rsidRDefault="00C91173">
      <w:pPr>
        <w:widowControl/>
        <w:snapToGrid w:val="0"/>
        <w:spacing w:line="360" w:lineRule="auto"/>
        <w:rPr>
          <w:rFonts w:asciiTheme="minorEastAsia" w:eastAsiaTheme="minorEastAsia" w:hAnsiTheme="minorEastAsia" w:cstheme="minorEastAsia"/>
          <w:b/>
          <w:color w:val="000000" w:themeColor="text1"/>
          <w:kern w:val="0"/>
          <w:szCs w:val="21"/>
        </w:rPr>
      </w:pPr>
      <w:r>
        <w:rPr>
          <w:rFonts w:asciiTheme="minorEastAsia" w:eastAsiaTheme="minorEastAsia" w:hAnsiTheme="minorEastAsia" w:cstheme="minorEastAsia" w:hint="eastAsia"/>
          <w:b/>
          <w:color w:val="000000" w:themeColor="text1"/>
          <w:kern w:val="0"/>
          <w:szCs w:val="21"/>
        </w:rPr>
        <w:t>要求：</w:t>
      </w:r>
    </w:p>
    <w:p w14:paraId="0FEE4E89"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了解：园艺产品营养素的形成。</w:t>
      </w:r>
    </w:p>
    <w:p w14:paraId="44478CC0"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理解：采后贮藏和加工对园艺产品营养素的影响。</w:t>
      </w:r>
    </w:p>
    <w:p w14:paraId="07EF7752"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掌握：园艺产品营养素形成的影响因素。</w:t>
      </w:r>
    </w:p>
    <w:p w14:paraId="08C148E7" w14:textId="77777777" w:rsidR="00F5289E" w:rsidRDefault="00C91173">
      <w:pPr>
        <w:widowControl/>
        <w:snapToGrid w:val="0"/>
        <w:spacing w:line="360" w:lineRule="auto"/>
        <w:ind w:firstLineChars="200" w:firstLine="420"/>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熟练掌握：园艺产品营养素的调控技术。</w:t>
      </w:r>
    </w:p>
    <w:p w14:paraId="7A167DA9" w14:textId="77777777" w:rsidR="00F5289E" w:rsidRDefault="00C91173">
      <w:pPr>
        <w:spacing w:line="360" w:lineRule="auto"/>
        <w:rPr>
          <w:rFonts w:asciiTheme="minorEastAsia" w:eastAsiaTheme="minorEastAsia" w:hAnsiTheme="minorEastAsia" w:cstheme="minorEastAsia"/>
          <w:b/>
          <w:bCs/>
          <w:color w:val="000000" w:themeColor="text1"/>
          <w:lang w:val="en-GB"/>
        </w:rPr>
      </w:pPr>
      <w:r>
        <w:rPr>
          <w:rFonts w:asciiTheme="minorEastAsia" w:eastAsiaTheme="minorEastAsia" w:hAnsiTheme="minorEastAsia" w:cstheme="minorEastAsia" w:hint="eastAsia"/>
          <w:b/>
          <w:bCs/>
          <w:color w:val="000000" w:themeColor="text1"/>
          <w:lang w:val="en-GB"/>
        </w:rPr>
        <w:t>教学组织与实施：</w:t>
      </w:r>
    </w:p>
    <w:p w14:paraId="4BDFC1FE"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以班级授课的形式讲授园艺产品中营养素的形成与调控机制，授课过程中在课件里添加最新的园艺产品营养调控相关的研究进展，使学生深入理解园艺产品营养素形成调控原理（</w:t>
      </w:r>
      <w:r>
        <w:rPr>
          <w:rFonts w:eastAsiaTheme="minorEastAsia" w:hint="eastAsia"/>
          <w:color w:val="000000" w:themeColor="text1"/>
          <w:kern w:val="0"/>
          <w:szCs w:val="21"/>
        </w:rPr>
        <w:t>2</w:t>
      </w:r>
      <w:r>
        <w:rPr>
          <w:rFonts w:eastAsiaTheme="minorEastAsia" w:hint="eastAsia"/>
          <w:color w:val="000000" w:themeColor="text1"/>
          <w:kern w:val="0"/>
          <w:szCs w:val="21"/>
        </w:rPr>
        <w:t>学时）。</w:t>
      </w:r>
    </w:p>
    <w:p w14:paraId="62220204" w14:textId="77777777" w:rsidR="00F5289E" w:rsidRDefault="00C91173">
      <w:pPr>
        <w:widowControl/>
        <w:snapToGrid w:val="0"/>
        <w:spacing w:line="36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lastRenderedPageBreak/>
        <w:t>以学生为主，利用翻转课堂的形式，分小组来讲授最新园艺产品中营养素调控的相关文章，让学生理解园艺产品营养素调控相关的研究，为其以后的科研工作、以及生产中园艺产品营养素保藏调控提供一定的指导（</w:t>
      </w:r>
      <w:r>
        <w:rPr>
          <w:rFonts w:eastAsiaTheme="minorEastAsia" w:hint="eastAsia"/>
          <w:color w:val="000000" w:themeColor="text1"/>
          <w:kern w:val="0"/>
          <w:szCs w:val="21"/>
        </w:rPr>
        <w:t>4</w:t>
      </w:r>
      <w:r>
        <w:rPr>
          <w:rFonts w:eastAsiaTheme="minorEastAsia" w:hint="eastAsia"/>
          <w:color w:val="000000" w:themeColor="text1"/>
          <w:kern w:val="0"/>
          <w:szCs w:val="21"/>
        </w:rPr>
        <w:t>学时）。</w:t>
      </w:r>
    </w:p>
    <w:p w14:paraId="4DB43E00" w14:textId="77777777" w:rsidR="00F5289E" w:rsidRDefault="00C91173">
      <w:pPr>
        <w:snapToGrid w:val="0"/>
        <w:spacing w:line="360" w:lineRule="auto"/>
        <w:rPr>
          <w:rFonts w:ascii="宋体" w:hAnsi="宋体"/>
          <w:b/>
          <w:color w:val="000000" w:themeColor="text1"/>
          <w:szCs w:val="21"/>
        </w:rPr>
      </w:pPr>
      <w:r>
        <w:rPr>
          <w:rFonts w:hAnsi="宋体" w:hint="eastAsia"/>
          <w:b/>
          <w:bCs/>
          <w:color w:val="000000" w:themeColor="text1"/>
          <w:kern w:val="0"/>
          <w:szCs w:val="21"/>
        </w:rPr>
        <w:t>五</w:t>
      </w:r>
      <w:r>
        <w:rPr>
          <w:rFonts w:ascii="宋体" w:hAnsi="宋体"/>
          <w:b/>
          <w:color w:val="000000" w:themeColor="text1"/>
          <w:szCs w:val="21"/>
        </w:rPr>
        <w:t>、</w:t>
      </w:r>
      <w:r>
        <w:rPr>
          <w:rFonts w:ascii="宋体" w:hAnsi="宋体" w:hint="eastAsia"/>
          <w:b/>
          <w:color w:val="000000" w:themeColor="text1"/>
          <w:szCs w:val="21"/>
        </w:rPr>
        <w:t>课程思政</w:t>
      </w:r>
    </w:p>
    <w:p w14:paraId="16BB6B15" w14:textId="77777777" w:rsidR="00F5289E" w:rsidRDefault="00C91173">
      <w:pPr>
        <w:snapToGrid w:val="0"/>
        <w:spacing w:line="360" w:lineRule="auto"/>
        <w:ind w:firstLineChars="200" w:firstLine="420"/>
        <w:rPr>
          <w:color w:val="000000" w:themeColor="text1"/>
        </w:rPr>
      </w:pPr>
      <w:r>
        <w:rPr>
          <w:rFonts w:hint="eastAsia"/>
          <w:color w:val="000000" w:themeColor="text1"/>
        </w:rPr>
        <w:t>坚持“实现立德树人根本任务”的大思政综合教育理念，在课程教学过程中将政治认同、家国情怀、文化素养、宪法法治意识、道德修养等思想政治元素融入专业教育，隐性和显性教育相融合，知识育才和精神育才相结合。</w:t>
      </w:r>
    </w:p>
    <w:p w14:paraId="2F07B961" w14:textId="77777777" w:rsidR="00F5289E" w:rsidRDefault="00C91173">
      <w:pPr>
        <w:snapToGrid w:val="0"/>
        <w:spacing w:line="360" w:lineRule="auto"/>
        <w:ind w:firstLineChars="200" w:firstLine="420"/>
        <w:rPr>
          <w:color w:val="000000" w:themeColor="text1"/>
        </w:rPr>
      </w:pPr>
      <w:r>
        <w:rPr>
          <w:color w:val="000000" w:themeColor="text1"/>
        </w:rPr>
        <w:t>例如</w:t>
      </w:r>
      <w:r>
        <w:rPr>
          <w:rFonts w:hint="eastAsia"/>
          <w:color w:val="000000" w:themeColor="text1"/>
        </w:rPr>
        <w:t>，在讲授植园艺产品及其中的营养成分在我们生活中的重要性时，介绍一下园艺产业在人们生活中的地位、现状：随着园艺产业的发展以及人们对“吃”及健康等的方面要求的提高，人们对果蔬等园艺产品的消费需求方向不断发生变化，也就是在园艺产品的消费过程中更加注重品质及营养，园艺产业的发展也在从数量型向质量型转变，在人们生活中占据着非常重要的地位，通过这些讲述使学生潜移默化的树立专业自信及三农情怀；在讲解园艺产品营养的形成与调控章节时，有效融入我国园艺产品品质营养调控的最新研究成果，让学生更直观的了解我国的基础科学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家国情怀，实现高校“立德树人”的人才培养目标</w:t>
      </w:r>
      <w:r>
        <w:rPr>
          <w:color w:val="000000" w:themeColor="text1"/>
        </w:rPr>
        <w:t>。</w:t>
      </w:r>
    </w:p>
    <w:p w14:paraId="565F9348" w14:textId="77777777" w:rsidR="00F5289E" w:rsidRDefault="00C91173">
      <w:pPr>
        <w:widowControl/>
        <w:snapToGrid w:val="0"/>
        <w:spacing w:line="360" w:lineRule="auto"/>
        <w:rPr>
          <w:rFonts w:eastAsiaTheme="minorEastAsia"/>
          <w:color w:val="000000" w:themeColor="text1"/>
          <w:kern w:val="0"/>
          <w:szCs w:val="21"/>
        </w:rPr>
      </w:pPr>
      <w:r>
        <w:rPr>
          <w:rFonts w:hAnsi="宋体" w:hint="eastAsia"/>
          <w:b/>
          <w:bCs/>
          <w:color w:val="000000" w:themeColor="text1"/>
          <w:kern w:val="0"/>
          <w:szCs w:val="21"/>
        </w:rPr>
        <w:t>六</w:t>
      </w:r>
      <w:r>
        <w:rPr>
          <w:rFonts w:hAnsi="宋体"/>
          <w:b/>
          <w:bCs/>
          <w:color w:val="000000" w:themeColor="text1"/>
          <w:kern w:val="0"/>
          <w:szCs w:val="21"/>
        </w:rPr>
        <w:t>、教材</w:t>
      </w:r>
      <w:r>
        <w:rPr>
          <w:rFonts w:hAnsi="宋体" w:hint="eastAsia"/>
          <w:b/>
          <w:bCs/>
          <w:color w:val="000000" w:themeColor="text1"/>
          <w:kern w:val="0"/>
          <w:szCs w:val="21"/>
        </w:rPr>
        <w:t>及教学参考书</w:t>
      </w:r>
    </w:p>
    <w:p w14:paraId="2BA21137" w14:textId="77777777" w:rsidR="00F5289E" w:rsidRDefault="00C91173">
      <w:pPr>
        <w:widowControl/>
        <w:snapToGrid w:val="0"/>
        <w:spacing w:line="360" w:lineRule="auto"/>
        <w:ind w:firstLineChars="200" w:firstLine="422"/>
        <w:jc w:val="left"/>
        <w:rPr>
          <w:rFonts w:hAnsi="宋体"/>
          <w:b/>
          <w:bCs/>
          <w:color w:val="000000" w:themeColor="text1"/>
          <w:kern w:val="0"/>
          <w:szCs w:val="21"/>
        </w:rPr>
      </w:pPr>
      <w:r>
        <w:rPr>
          <w:b/>
          <w:bCs/>
          <w:color w:val="000000" w:themeColor="text1"/>
          <w:kern w:val="0"/>
          <w:szCs w:val="21"/>
        </w:rPr>
        <w:t>1</w:t>
      </w:r>
      <w:r>
        <w:rPr>
          <w:rFonts w:hAnsi="宋体" w:hint="eastAsia"/>
          <w:b/>
          <w:bCs/>
          <w:color w:val="000000" w:themeColor="text1"/>
          <w:kern w:val="0"/>
          <w:szCs w:val="21"/>
        </w:rPr>
        <w:t>.</w:t>
      </w:r>
      <w:r>
        <w:rPr>
          <w:rFonts w:hAnsi="宋体" w:hint="eastAsia"/>
          <w:b/>
          <w:bCs/>
          <w:color w:val="000000" w:themeColor="text1"/>
          <w:kern w:val="0"/>
          <w:szCs w:val="21"/>
        </w:rPr>
        <w:t>选用</w:t>
      </w:r>
      <w:r>
        <w:rPr>
          <w:rFonts w:hAnsi="宋体"/>
          <w:b/>
          <w:bCs/>
          <w:color w:val="000000" w:themeColor="text1"/>
          <w:kern w:val="0"/>
          <w:szCs w:val="21"/>
        </w:rPr>
        <w:t>教材：</w:t>
      </w:r>
    </w:p>
    <w:p w14:paraId="037B3F94" w14:textId="77777777" w:rsidR="00F5289E" w:rsidRDefault="00C91173">
      <w:pPr>
        <w:widowControl/>
        <w:snapToGrid w:val="0"/>
        <w:spacing w:line="360" w:lineRule="auto"/>
        <w:ind w:firstLineChars="200" w:firstLine="420"/>
        <w:jc w:val="left"/>
        <w:rPr>
          <w:rFonts w:asciiTheme="minorEastAsia" w:eastAsiaTheme="minorEastAsia" w:hAnsiTheme="minorEastAsia" w:cstheme="minorEastAsia"/>
          <w:b/>
          <w:bCs/>
          <w:strike/>
          <w:color w:val="000000" w:themeColor="text1"/>
          <w:kern w:val="0"/>
          <w:szCs w:val="21"/>
        </w:rPr>
      </w:pPr>
      <w:r>
        <w:rPr>
          <w:rFonts w:asciiTheme="minorEastAsia" w:eastAsiaTheme="minorEastAsia" w:hAnsiTheme="minorEastAsia" w:cstheme="minorEastAsia" w:hint="eastAsia"/>
          <w:bCs/>
          <w:color w:val="000000" w:themeColor="text1"/>
          <w:kern w:val="0"/>
          <w:szCs w:val="21"/>
        </w:rPr>
        <w:t>果蔬营养与健康，王仁才 编著，化学工业出版社，2013年</w:t>
      </w:r>
    </w:p>
    <w:p w14:paraId="2A42C704" w14:textId="77777777" w:rsidR="00F5289E" w:rsidRDefault="00C91173">
      <w:pPr>
        <w:widowControl/>
        <w:snapToGrid w:val="0"/>
        <w:spacing w:line="360" w:lineRule="auto"/>
        <w:ind w:firstLineChars="200" w:firstLine="422"/>
        <w:jc w:val="left"/>
        <w:rPr>
          <w:color w:val="000000" w:themeColor="text1"/>
          <w:kern w:val="0"/>
          <w:szCs w:val="21"/>
        </w:rPr>
      </w:pPr>
      <w:r>
        <w:rPr>
          <w:b/>
          <w:bCs/>
          <w:color w:val="000000" w:themeColor="text1"/>
          <w:kern w:val="0"/>
          <w:szCs w:val="21"/>
        </w:rPr>
        <w:t>2</w:t>
      </w:r>
      <w:r>
        <w:rPr>
          <w:rFonts w:hAnsi="宋体" w:hint="eastAsia"/>
          <w:b/>
          <w:bCs/>
          <w:color w:val="000000" w:themeColor="text1"/>
          <w:kern w:val="0"/>
          <w:szCs w:val="21"/>
        </w:rPr>
        <w:t>.</w:t>
      </w:r>
      <w:r>
        <w:rPr>
          <w:rFonts w:hAnsi="宋体"/>
          <w:b/>
          <w:bCs/>
          <w:color w:val="000000" w:themeColor="text1"/>
          <w:kern w:val="0"/>
          <w:szCs w:val="21"/>
        </w:rPr>
        <w:t>参考书：</w:t>
      </w:r>
    </w:p>
    <w:p w14:paraId="5ED9AB69"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kern w:val="0"/>
          <w:szCs w:val="21"/>
        </w:rPr>
        <w:t>（1）园艺产品营养与品质分析，童斌、杨薇红 编著，西北农林科技大学出版社，2006年</w:t>
      </w:r>
    </w:p>
    <w:p w14:paraId="5F91B582"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kern w:val="0"/>
          <w:szCs w:val="21"/>
        </w:rPr>
        <w:t>（2）果蔬营养与健康，王仁才 编著，化学工业出版社，2013年</w:t>
      </w:r>
    </w:p>
    <w:p w14:paraId="73ED1850"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kern w:val="0"/>
          <w:szCs w:val="21"/>
        </w:rPr>
        <w:t>（3）园艺产品功能成分，马兆成、徐娟 编著，中国农业出版社，2015年</w:t>
      </w:r>
    </w:p>
    <w:p w14:paraId="69CA97F7"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kern w:val="0"/>
          <w:szCs w:val="21"/>
        </w:rPr>
        <w:t>（4）蔬菜营养与健康，张和义、李苏迎 编著，西北农林科技大学出版社，2012年</w:t>
      </w:r>
    </w:p>
    <w:p w14:paraId="1C34D5F2" w14:textId="77777777" w:rsidR="00F5289E" w:rsidRDefault="00C91173">
      <w:pPr>
        <w:snapToGrid w:val="0"/>
        <w:spacing w:line="360" w:lineRule="auto"/>
        <w:ind w:firstLineChars="200" w:firstLine="420"/>
        <w:rPr>
          <w:rFonts w:asciiTheme="minorEastAsia" w:eastAsiaTheme="minorEastAsia" w:hAnsiTheme="minorEastAsia" w:cstheme="minorEastAsia"/>
          <w:bCs/>
          <w:color w:val="000000" w:themeColor="text1"/>
          <w:kern w:val="0"/>
          <w:szCs w:val="21"/>
        </w:rPr>
      </w:pPr>
      <w:r>
        <w:rPr>
          <w:rFonts w:asciiTheme="minorEastAsia" w:eastAsiaTheme="minorEastAsia" w:hAnsiTheme="minorEastAsia" w:cstheme="minorEastAsia" w:hint="eastAsia"/>
          <w:bCs/>
          <w:color w:val="000000" w:themeColor="text1"/>
          <w:kern w:val="0"/>
          <w:szCs w:val="21"/>
        </w:rPr>
        <w:t>（5）蔬菜营养分析，任虹、曹学丽 编著，化学工业出版社，2010年</w:t>
      </w:r>
    </w:p>
    <w:p w14:paraId="32005804" w14:textId="77777777" w:rsidR="00F5289E" w:rsidRDefault="00C91173">
      <w:pPr>
        <w:snapToGrid w:val="0"/>
        <w:spacing w:line="360" w:lineRule="auto"/>
        <w:ind w:firstLineChars="200" w:firstLine="420"/>
        <w:rPr>
          <w:rFonts w:asciiTheme="minorEastAsia" w:eastAsiaTheme="minorEastAsia" w:hAnsiTheme="minorEastAsia" w:cstheme="minorEastAsia"/>
          <w:b/>
          <w:bCs/>
          <w:strike/>
          <w:color w:val="000000" w:themeColor="text1"/>
          <w:kern w:val="0"/>
          <w:szCs w:val="21"/>
        </w:rPr>
      </w:pPr>
      <w:r>
        <w:rPr>
          <w:rFonts w:asciiTheme="minorEastAsia" w:eastAsiaTheme="minorEastAsia" w:hAnsiTheme="minorEastAsia" w:cstheme="minorEastAsia" w:hint="eastAsia"/>
          <w:bCs/>
          <w:color w:val="000000" w:themeColor="text1"/>
          <w:kern w:val="0"/>
          <w:szCs w:val="21"/>
        </w:rPr>
        <w:t>（6）果品营养与健康，王云 编著，中国农业出版社，2012年</w:t>
      </w:r>
    </w:p>
    <w:p w14:paraId="523D66A5" w14:textId="77777777" w:rsidR="00F5289E" w:rsidRDefault="00C91173">
      <w:pPr>
        <w:widowControl/>
        <w:snapToGrid w:val="0"/>
        <w:spacing w:line="360" w:lineRule="auto"/>
        <w:ind w:firstLineChars="200" w:firstLine="422"/>
        <w:jc w:val="left"/>
        <w:rPr>
          <w:b/>
          <w:color w:val="000000" w:themeColor="text1"/>
          <w:kern w:val="0"/>
          <w:szCs w:val="21"/>
        </w:rPr>
      </w:pPr>
      <w:r>
        <w:rPr>
          <w:rFonts w:hint="eastAsia"/>
          <w:b/>
          <w:color w:val="000000" w:themeColor="text1"/>
          <w:kern w:val="0"/>
          <w:szCs w:val="21"/>
        </w:rPr>
        <w:t>3.</w:t>
      </w:r>
      <w:r>
        <w:rPr>
          <w:rFonts w:hint="eastAsia"/>
          <w:b/>
          <w:color w:val="000000" w:themeColor="text1"/>
          <w:kern w:val="0"/>
          <w:szCs w:val="21"/>
        </w:rPr>
        <w:t>推荐网站：</w:t>
      </w:r>
    </w:p>
    <w:p w14:paraId="1897B5F0" w14:textId="77777777" w:rsidR="00F5289E" w:rsidRDefault="00C91173">
      <w:pPr>
        <w:snapToGrid w:val="0"/>
        <w:spacing w:line="360" w:lineRule="auto"/>
        <w:ind w:firstLineChars="200" w:firstLine="420"/>
        <w:rPr>
          <w:color w:val="000000" w:themeColor="text1"/>
        </w:rPr>
      </w:pPr>
      <w:r>
        <w:rPr>
          <w:color w:val="000000" w:themeColor="text1"/>
        </w:rPr>
        <w:t>（</w:t>
      </w:r>
      <w:r>
        <w:rPr>
          <w:color w:val="000000" w:themeColor="text1"/>
        </w:rPr>
        <w:t>1</w:t>
      </w:r>
      <w:r>
        <w:rPr>
          <w:color w:val="000000" w:themeColor="text1"/>
        </w:rPr>
        <w:t>）中国食品营养网，网址</w:t>
      </w:r>
      <w:r>
        <w:rPr>
          <w:color w:val="000000" w:themeColor="text1"/>
        </w:rPr>
        <w:t>http://www.chinafcd.com/</w:t>
      </w:r>
    </w:p>
    <w:p w14:paraId="0F2B848B" w14:textId="77777777" w:rsidR="00F5289E" w:rsidRDefault="00C91173">
      <w:pPr>
        <w:snapToGrid w:val="0"/>
        <w:spacing w:line="360" w:lineRule="auto"/>
        <w:ind w:firstLineChars="200" w:firstLine="420"/>
        <w:rPr>
          <w:color w:val="000000" w:themeColor="text1"/>
        </w:rPr>
      </w:pPr>
      <w:r>
        <w:rPr>
          <w:color w:val="000000" w:themeColor="text1"/>
        </w:rPr>
        <w:t>（</w:t>
      </w:r>
      <w:r>
        <w:rPr>
          <w:color w:val="000000" w:themeColor="text1"/>
        </w:rPr>
        <w:t>2</w:t>
      </w:r>
      <w:r>
        <w:rPr>
          <w:color w:val="000000" w:themeColor="text1"/>
        </w:rPr>
        <w:t>）天天营养网，网址</w:t>
      </w:r>
      <w:r>
        <w:rPr>
          <w:color w:val="000000" w:themeColor="text1"/>
        </w:rPr>
        <w:t xml:space="preserve"> http://eat.51ttyy.com/</w:t>
      </w:r>
    </w:p>
    <w:p w14:paraId="13887F7F" w14:textId="77777777" w:rsidR="00F5289E" w:rsidRDefault="00C91173">
      <w:pPr>
        <w:widowControl/>
        <w:snapToGrid w:val="0"/>
        <w:spacing w:line="360" w:lineRule="auto"/>
        <w:ind w:firstLineChars="200" w:firstLine="420"/>
        <w:jc w:val="left"/>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）中国大学</w:t>
      </w:r>
      <w:r>
        <w:rPr>
          <w:rFonts w:hint="eastAsia"/>
          <w:color w:val="000000" w:themeColor="text1"/>
        </w:rPr>
        <w:t>MOOC</w:t>
      </w:r>
      <w:r>
        <w:rPr>
          <w:rFonts w:hint="eastAsia"/>
          <w:color w:val="000000" w:themeColor="text1"/>
        </w:rPr>
        <w:t>《园艺产品品质与营养健康》，网址</w:t>
      </w:r>
      <w:r>
        <w:rPr>
          <w:color w:val="000000" w:themeColor="text1"/>
        </w:rPr>
        <w:t>https://www.icourse163.org/course/ZJU-1206619848?from=searchPage&amp;outVendor=zw_mooc_pcssjg_</w:t>
      </w:r>
    </w:p>
    <w:p w14:paraId="768FEB0C" w14:textId="77777777" w:rsidR="00F5289E" w:rsidRDefault="00F5289E">
      <w:pPr>
        <w:snapToGrid w:val="0"/>
        <w:spacing w:line="360" w:lineRule="auto"/>
        <w:ind w:firstLineChars="200" w:firstLine="420"/>
        <w:rPr>
          <w:color w:val="000000" w:themeColor="text1"/>
        </w:rPr>
      </w:pPr>
    </w:p>
    <w:p w14:paraId="0A39293E" w14:textId="77777777" w:rsidR="00F5289E" w:rsidRDefault="00C91173">
      <w:pPr>
        <w:widowControl/>
        <w:snapToGrid w:val="0"/>
        <w:spacing w:line="360" w:lineRule="auto"/>
        <w:jc w:val="left"/>
        <w:rPr>
          <w:rFonts w:hAnsi="宋体"/>
          <w:b/>
          <w:bCs/>
          <w:color w:val="000000" w:themeColor="text1"/>
          <w:kern w:val="0"/>
          <w:szCs w:val="21"/>
        </w:rPr>
      </w:pPr>
      <w:r>
        <w:rPr>
          <w:rFonts w:hAnsi="宋体" w:hint="eastAsia"/>
          <w:b/>
          <w:bCs/>
          <w:color w:val="000000" w:themeColor="text1"/>
          <w:kern w:val="0"/>
          <w:szCs w:val="21"/>
        </w:rPr>
        <w:t>七</w:t>
      </w:r>
      <w:r>
        <w:rPr>
          <w:rFonts w:hAnsi="宋体"/>
          <w:b/>
          <w:bCs/>
          <w:color w:val="000000" w:themeColor="text1"/>
          <w:kern w:val="0"/>
          <w:szCs w:val="21"/>
        </w:rPr>
        <w:t>、</w:t>
      </w:r>
      <w:r>
        <w:rPr>
          <w:rFonts w:hAnsi="宋体" w:hint="eastAsia"/>
          <w:b/>
          <w:bCs/>
          <w:color w:val="000000" w:themeColor="text1"/>
          <w:kern w:val="0"/>
          <w:szCs w:val="21"/>
        </w:rPr>
        <w:t>教学条件</w:t>
      </w:r>
    </w:p>
    <w:p w14:paraId="4DEFE8FE"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本课程教学要求授课教师具备从事园艺专业相关教学、园艺产品品质调控相关知识及研究的</w:t>
      </w:r>
      <w:r>
        <w:rPr>
          <w:rFonts w:ascii="宋体" w:hAnsi="宋体" w:hint="eastAsia"/>
          <w:color w:val="000000" w:themeColor="text1"/>
          <w:szCs w:val="21"/>
        </w:rPr>
        <w:lastRenderedPageBreak/>
        <w:t>背景，并具备从事多媒体教学的技能；授课教室需具备多媒体设备。</w:t>
      </w:r>
    </w:p>
    <w:p w14:paraId="07CA3E54" w14:textId="77777777" w:rsidR="00F5289E" w:rsidRDefault="00C91173">
      <w:pPr>
        <w:widowControl/>
        <w:snapToGrid w:val="0"/>
        <w:spacing w:line="360" w:lineRule="auto"/>
        <w:jc w:val="left"/>
        <w:rPr>
          <w:rFonts w:hAnsi="宋体"/>
          <w:b/>
          <w:bCs/>
          <w:color w:val="000000" w:themeColor="text1"/>
          <w:kern w:val="0"/>
          <w:szCs w:val="21"/>
        </w:rPr>
      </w:pPr>
      <w:r>
        <w:rPr>
          <w:rFonts w:hAnsi="宋体" w:hint="eastAsia"/>
          <w:b/>
          <w:bCs/>
          <w:color w:val="000000" w:themeColor="text1"/>
          <w:kern w:val="0"/>
          <w:szCs w:val="21"/>
        </w:rPr>
        <w:t>八、教学考核评价</w:t>
      </w:r>
    </w:p>
    <w:p w14:paraId="74C5DF20" w14:textId="77777777" w:rsidR="00F5289E" w:rsidRDefault="00C91173">
      <w:pPr>
        <w:widowControl/>
        <w:snapToGrid w:val="0"/>
        <w:spacing w:line="360" w:lineRule="auto"/>
        <w:ind w:firstLine="420"/>
        <w:jc w:val="left"/>
        <w:rPr>
          <w:rFonts w:ascii="宋体" w:hAnsi="宋体"/>
          <w:color w:val="000000" w:themeColor="text1"/>
          <w:szCs w:val="21"/>
        </w:rPr>
      </w:pPr>
      <w:r>
        <w:rPr>
          <w:rFonts w:hAnsi="宋体" w:hint="eastAsia"/>
          <w:b/>
          <w:bCs/>
          <w:color w:val="000000" w:themeColor="text1"/>
          <w:kern w:val="0"/>
          <w:szCs w:val="21"/>
        </w:rPr>
        <w:t>1.</w:t>
      </w:r>
      <w:r>
        <w:rPr>
          <w:rFonts w:hAnsi="宋体" w:hint="eastAsia"/>
          <w:b/>
          <w:bCs/>
          <w:color w:val="000000" w:themeColor="text1"/>
          <w:kern w:val="0"/>
          <w:szCs w:val="21"/>
        </w:rPr>
        <w:t>过程性评价：</w:t>
      </w:r>
    </w:p>
    <w:p w14:paraId="660DBAD2" w14:textId="77777777" w:rsidR="00F5289E" w:rsidRDefault="00C91173">
      <w:pPr>
        <w:snapToGrid w:val="0"/>
        <w:spacing w:line="360" w:lineRule="auto"/>
        <w:ind w:firstLineChars="300" w:firstLine="630"/>
        <w:rPr>
          <w:rFonts w:ascii="宋体" w:hAnsi="宋体"/>
          <w:color w:val="000000" w:themeColor="text1"/>
          <w:szCs w:val="21"/>
        </w:rPr>
      </w:pPr>
      <w:r>
        <w:rPr>
          <w:rFonts w:eastAsiaTheme="minorEastAsia" w:hAnsiTheme="minorEastAsia" w:hint="eastAsia"/>
          <w:color w:val="000000" w:themeColor="text1"/>
          <w:szCs w:val="21"/>
        </w:rPr>
        <w:t>针对本门课程提高学生园艺产品营养学认知水平的教学目标</w:t>
      </w:r>
      <w:r>
        <w:rPr>
          <w:rFonts w:ascii="宋体" w:hAnsi="宋体" w:hint="eastAsia"/>
          <w:color w:val="000000" w:themeColor="text1"/>
          <w:szCs w:val="21"/>
        </w:rPr>
        <w:t>，考核方式采用过程性考核与终结性考核相结合的方式。过程性评价主要体现于考勤、课堂教学活动参与度、翻转课堂分组讲课答辩环节；对于课堂教学活动参与度，是将</w:t>
      </w:r>
      <w:r>
        <w:rPr>
          <w:rFonts w:eastAsiaTheme="minorEastAsia" w:hAnsiTheme="minorEastAsia" w:hint="eastAsia"/>
          <w:color w:val="000000" w:themeColor="text1"/>
          <w:szCs w:val="21"/>
        </w:rPr>
        <w:t>学生参与问答、讨论、作业等教学内容相关活动设定不同分数，计入平时成绩，从而进行过程性评价；对于</w:t>
      </w:r>
      <w:r>
        <w:rPr>
          <w:rFonts w:ascii="宋体" w:hAnsi="宋体" w:hint="eastAsia"/>
          <w:color w:val="000000" w:themeColor="text1"/>
          <w:szCs w:val="21"/>
        </w:rPr>
        <w:t>翻转课堂分组讲课答辩，从学生课程PPT制作、课程内容丰富度、充实度、准确度、层次性、讲解表达仪态等方面进行过程性评价。</w:t>
      </w:r>
      <w:r>
        <w:rPr>
          <w:color w:val="000000" w:themeColor="text1"/>
          <w:szCs w:val="21"/>
        </w:rPr>
        <w:t>过程性考核分为平时成绩</w:t>
      </w:r>
      <w:r>
        <w:rPr>
          <w:rFonts w:hint="eastAsia"/>
          <w:color w:val="000000" w:themeColor="text1"/>
          <w:szCs w:val="21"/>
        </w:rPr>
        <w:t>和</w:t>
      </w:r>
      <w:r>
        <w:rPr>
          <w:color w:val="000000" w:themeColor="text1"/>
          <w:szCs w:val="21"/>
        </w:rPr>
        <w:t>翻转课堂</w:t>
      </w:r>
      <w:r>
        <w:rPr>
          <w:rFonts w:hint="eastAsia"/>
          <w:color w:val="000000" w:themeColor="text1"/>
          <w:szCs w:val="21"/>
        </w:rPr>
        <w:t>考核，占比</w:t>
      </w:r>
      <w:r>
        <w:rPr>
          <w:rFonts w:hint="eastAsia"/>
          <w:color w:val="000000" w:themeColor="text1"/>
          <w:szCs w:val="21"/>
        </w:rPr>
        <w:t>55%</w:t>
      </w:r>
      <w:r>
        <w:rPr>
          <w:rFonts w:hint="eastAsia"/>
          <w:color w:val="000000" w:themeColor="text1"/>
          <w:szCs w:val="21"/>
        </w:rPr>
        <w:t>。</w:t>
      </w:r>
      <w:r>
        <w:rPr>
          <w:color w:val="000000" w:themeColor="text1"/>
          <w:szCs w:val="21"/>
        </w:rPr>
        <w:t>平时成绩包括平时学习情况、课堂提问、小组讨论表现、作业、考勤等，占比</w:t>
      </w:r>
      <w:r>
        <w:rPr>
          <w:rFonts w:hint="eastAsia"/>
          <w:color w:val="000000" w:themeColor="text1"/>
          <w:szCs w:val="21"/>
        </w:rPr>
        <w:t>1</w:t>
      </w:r>
      <w:r>
        <w:rPr>
          <w:color w:val="000000" w:themeColor="text1"/>
          <w:szCs w:val="21"/>
        </w:rPr>
        <w:t>0%</w:t>
      </w:r>
      <w:r>
        <w:rPr>
          <w:color w:val="000000" w:themeColor="text1"/>
          <w:szCs w:val="21"/>
        </w:rPr>
        <w:t>；翻转课堂主要是分小组进行课程相关内容</w:t>
      </w:r>
      <w:r>
        <w:rPr>
          <w:rFonts w:hint="eastAsia"/>
          <w:color w:val="000000" w:themeColor="text1"/>
          <w:szCs w:val="21"/>
        </w:rPr>
        <w:t>的</w:t>
      </w:r>
      <w:r>
        <w:rPr>
          <w:rFonts w:hint="eastAsia"/>
          <w:color w:val="000000" w:themeColor="text1"/>
          <w:szCs w:val="21"/>
        </w:rPr>
        <w:t>PPT</w:t>
      </w:r>
      <w:r>
        <w:rPr>
          <w:rFonts w:hint="eastAsia"/>
          <w:color w:val="000000" w:themeColor="text1"/>
          <w:szCs w:val="21"/>
        </w:rPr>
        <w:t>制作及</w:t>
      </w:r>
      <w:r>
        <w:rPr>
          <w:color w:val="000000" w:themeColor="text1"/>
          <w:szCs w:val="21"/>
        </w:rPr>
        <w:t>讲解，占比</w:t>
      </w:r>
      <w:r>
        <w:rPr>
          <w:rFonts w:hint="eastAsia"/>
          <w:color w:val="000000" w:themeColor="text1"/>
          <w:szCs w:val="21"/>
        </w:rPr>
        <w:t>45</w:t>
      </w:r>
      <w:r>
        <w:rPr>
          <w:color w:val="000000" w:themeColor="text1"/>
          <w:szCs w:val="21"/>
        </w:rPr>
        <w:t>%</w:t>
      </w:r>
      <w:r>
        <w:rPr>
          <w:color w:val="000000" w:themeColor="text1"/>
          <w:szCs w:val="21"/>
        </w:rPr>
        <w:t>。</w:t>
      </w:r>
    </w:p>
    <w:p w14:paraId="37C4EF38" w14:textId="77777777" w:rsidR="00F5289E" w:rsidRDefault="00C91173">
      <w:pPr>
        <w:widowControl/>
        <w:snapToGrid w:val="0"/>
        <w:spacing w:line="360" w:lineRule="auto"/>
        <w:ind w:firstLine="420"/>
        <w:jc w:val="left"/>
        <w:rPr>
          <w:b/>
          <w:bCs/>
          <w:color w:val="000000" w:themeColor="text1"/>
          <w:kern w:val="0"/>
          <w:szCs w:val="21"/>
        </w:rPr>
      </w:pPr>
      <w:r>
        <w:rPr>
          <w:rFonts w:hAnsi="宋体" w:hint="eastAsia"/>
          <w:b/>
          <w:bCs/>
          <w:color w:val="000000" w:themeColor="text1"/>
          <w:kern w:val="0"/>
          <w:szCs w:val="21"/>
        </w:rPr>
        <w:t>2.</w:t>
      </w:r>
      <w:r>
        <w:rPr>
          <w:rFonts w:hAnsi="宋体" w:hint="eastAsia"/>
          <w:b/>
          <w:bCs/>
          <w:color w:val="000000" w:themeColor="text1"/>
          <w:kern w:val="0"/>
          <w:szCs w:val="21"/>
        </w:rPr>
        <w:t>终结性评价：</w:t>
      </w:r>
      <w:r>
        <w:rPr>
          <w:color w:val="000000" w:themeColor="text1"/>
          <w:kern w:val="0"/>
          <w:szCs w:val="21"/>
        </w:rPr>
        <w:t>主要以期末</w:t>
      </w:r>
      <w:r>
        <w:rPr>
          <w:rFonts w:hint="eastAsia"/>
          <w:color w:val="000000" w:themeColor="text1"/>
          <w:kern w:val="0"/>
          <w:szCs w:val="21"/>
        </w:rPr>
        <w:t>课程论文</w:t>
      </w:r>
      <w:r>
        <w:rPr>
          <w:color w:val="000000" w:themeColor="text1"/>
          <w:kern w:val="0"/>
          <w:szCs w:val="21"/>
        </w:rPr>
        <w:t>为主，</w:t>
      </w:r>
      <w:r>
        <w:rPr>
          <w:rFonts w:hint="eastAsia"/>
          <w:color w:val="000000" w:themeColor="text1"/>
          <w:kern w:val="0"/>
          <w:szCs w:val="21"/>
        </w:rPr>
        <w:t>要求学生撰写园艺产品营养学相关的课程论文，</w:t>
      </w:r>
      <w:r>
        <w:rPr>
          <w:color w:val="000000" w:themeColor="text1"/>
          <w:kern w:val="0"/>
          <w:szCs w:val="21"/>
        </w:rPr>
        <w:t>占比</w:t>
      </w:r>
      <w:r>
        <w:rPr>
          <w:rFonts w:hint="eastAsia"/>
          <w:color w:val="000000" w:themeColor="text1"/>
          <w:kern w:val="0"/>
          <w:szCs w:val="21"/>
        </w:rPr>
        <w:t>4</w:t>
      </w:r>
      <w:r>
        <w:rPr>
          <w:color w:val="000000" w:themeColor="text1"/>
          <w:kern w:val="0"/>
          <w:szCs w:val="21"/>
        </w:rPr>
        <w:t>0%</w:t>
      </w:r>
      <w:r>
        <w:rPr>
          <w:color w:val="000000" w:themeColor="text1"/>
          <w:kern w:val="0"/>
          <w:szCs w:val="21"/>
        </w:rPr>
        <w:t>。</w:t>
      </w:r>
    </w:p>
    <w:p w14:paraId="191A0486" w14:textId="77777777" w:rsidR="00F5289E" w:rsidRDefault="00C91173">
      <w:pPr>
        <w:widowControl/>
        <w:snapToGrid w:val="0"/>
        <w:spacing w:line="360" w:lineRule="auto"/>
        <w:ind w:firstLine="420"/>
        <w:jc w:val="left"/>
        <w:rPr>
          <w:color w:val="000000" w:themeColor="text1"/>
        </w:rPr>
      </w:pPr>
      <w:r>
        <w:rPr>
          <w:rFonts w:hAnsi="宋体" w:hint="eastAsia"/>
          <w:b/>
          <w:bCs/>
          <w:color w:val="000000" w:themeColor="text1"/>
          <w:kern w:val="0"/>
          <w:szCs w:val="21"/>
        </w:rPr>
        <w:t>3.</w:t>
      </w:r>
      <w:r>
        <w:rPr>
          <w:rFonts w:hAnsi="宋体" w:hint="eastAsia"/>
          <w:b/>
          <w:bCs/>
          <w:color w:val="000000" w:themeColor="text1"/>
          <w:kern w:val="0"/>
          <w:szCs w:val="21"/>
        </w:rPr>
        <w:t>课程综合评价：</w:t>
      </w:r>
      <w:r>
        <w:rPr>
          <w:color w:val="000000" w:themeColor="text1"/>
          <w:kern w:val="0"/>
          <w:szCs w:val="21"/>
        </w:rPr>
        <w:t>过程性评价</w:t>
      </w:r>
      <w:r>
        <w:rPr>
          <w:rFonts w:hint="eastAsia"/>
          <w:color w:val="000000" w:themeColor="text1"/>
          <w:kern w:val="0"/>
          <w:szCs w:val="21"/>
        </w:rPr>
        <w:t>平时成绩</w:t>
      </w:r>
      <w:r>
        <w:rPr>
          <w:rFonts w:hint="eastAsia"/>
          <w:color w:val="000000" w:themeColor="text1"/>
          <w:kern w:val="0"/>
          <w:szCs w:val="21"/>
        </w:rPr>
        <w:t>10%+</w:t>
      </w:r>
      <w:r>
        <w:rPr>
          <w:rFonts w:hint="eastAsia"/>
          <w:color w:val="000000" w:themeColor="text1"/>
          <w:kern w:val="0"/>
          <w:szCs w:val="21"/>
        </w:rPr>
        <w:t>过程性评价翻转课堂成绩</w:t>
      </w:r>
      <w:r>
        <w:rPr>
          <w:rFonts w:hint="eastAsia"/>
          <w:color w:val="000000" w:themeColor="text1"/>
          <w:kern w:val="0"/>
          <w:szCs w:val="21"/>
        </w:rPr>
        <w:t>45%</w:t>
      </w:r>
      <w:r>
        <w:rPr>
          <w:color w:val="000000" w:themeColor="text1"/>
          <w:kern w:val="0"/>
          <w:szCs w:val="21"/>
        </w:rPr>
        <w:t>+</w:t>
      </w:r>
      <w:r>
        <w:rPr>
          <w:rFonts w:hint="eastAsia"/>
          <w:color w:val="000000" w:themeColor="text1"/>
          <w:kern w:val="0"/>
          <w:szCs w:val="21"/>
        </w:rPr>
        <w:t xml:space="preserve"> </w:t>
      </w:r>
      <w:r>
        <w:rPr>
          <w:rFonts w:hint="eastAsia"/>
          <w:color w:val="000000" w:themeColor="text1"/>
          <w:kern w:val="0"/>
          <w:szCs w:val="21"/>
        </w:rPr>
        <w:t>终结性课程论文</w:t>
      </w:r>
      <w:r>
        <w:rPr>
          <w:color w:val="000000" w:themeColor="text1"/>
          <w:kern w:val="0"/>
          <w:szCs w:val="21"/>
        </w:rPr>
        <w:t>评价</w:t>
      </w:r>
      <w:r>
        <w:rPr>
          <w:rFonts w:hint="eastAsia"/>
          <w:color w:val="000000" w:themeColor="text1"/>
          <w:kern w:val="0"/>
          <w:szCs w:val="21"/>
        </w:rPr>
        <w:t>45</w:t>
      </w:r>
      <w:r>
        <w:rPr>
          <w:color w:val="000000" w:themeColor="text1"/>
          <w:kern w:val="0"/>
          <w:szCs w:val="21"/>
        </w:rPr>
        <w:t>%</w:t>
      </w:r>
    </w:p>
    <w:p w14:paraId="162C3F9B" w14:textId="77777777" w:rsidR="00F5289E" w:rsidRDefault="00F5289E">
      <w:pPr>
        <w:widowControl/>
        <w:snapToGrid w:val="0"/>
        <w:spacing w:line="360" w:lineRule="auto"/>
        <w:ind w:firstLine="420"/>
        <w:jc w:val="left"/>
        <w:rPr>
          <w:rFonts w:ascii="宋体" w:hAnsi="宋体"/>
          <w:color w:val="000000" w:themeColor="text1"/>
        </w:rPr>
      </w:pPr>
    </w:p>
    <w:p w14:paraId="3A90D641" w14:textId="77777777" w:rsidR="00F5289E" w:rsidRDefault="00F5289E">
      <w:pPr>
        <w:snapToGrid w:val="0"/>
        <w:spacing w:line="360" w:lineRule="auto"/>
        <w:ind w:firstLineChars="300" w:firstLine="630"/>
        <w:rPr>
          <w:rFonts w:ascii="宋体" w:hAnsi="宋体"/>
          <w:color w:val="000000" w:themeColor="text1"/>
          <w:szCs w:val="21"/>
        </w:rPr>
      </w:pPr>
    </w:p>
    <w:p w14:paraId="61785740" w14:textId="77777777" w:rsidR="00F5289E" w:rsidRDefault="00F5289E">
      <w:pPr>
        <w:snapToGrid w:val="0"/>
        <w:spacing w:line="360" w:lineRule="auto"/>
        <w:ind w:firstLineChars="200" w:firstLine="420"/>
        <w:rPr>
          <w:rFonts w:ascii="宋体" w:hAnsi="宋体"/>
          <w:color w:val="000000" w:themeColor="text1"/>
          <w:szCs w:val="21"/>
        </w:rPr>
      </w:pPr>
    </w:p>
    <w:p w14:paraId="60B811B5" w14:textId="77777777" w:rsidR="00F5289E" w:rsidRDefault="00F5289E">
      <w:pPr>
        <w:widowControl/>
        <w:snapToGrid w:val="0"/>
        <w:spacing w:line="360" w:lineRule="auto"/>
        <w:jc w:val="left"/>
        <w:rPr>
          <w:color w:val="000000" w:themeColor="text1"/>
          <w:kern w:val="0"/>
        </w:rPr>
      </w:pPr>
    </w:p>
    <w:p w14:paraId="108C3655" w14:textId="77777777" w:rsidR="00F5289E" w:rsidRDefault="00F5289E">
      <w:pPr>
        <w:snapToGrid w:val="0"/>
        <w:spacing w:line="360" w:lineRule="auto"/>
        <w:rPr>
          <w:color w:val="000000" w:themeColor="text1"/>
        </w:rPr>
      </w:pPr>
    </w:p>
    <w:p w14:paraId="6E0D0BBB"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0587EF43" w14:textId="77777777" w:rsidR="00F5289E" w:rsidRPr="001B3040" w:rsidRDefault="00C91173">
      <w:pPr>
        <w:pStyle w:val="1"/>
      </w:pPr>
      <w:bookmarkStart w:id="163" w:name="_Toc138606267"/>
      <w:r w:rsidRPr="001B3040">
        <w:rPr>
          <w:rFonts w:hint="eastAsia"/>
        </w:rPr>
        <w:lastRenderedPageBreak/>
        <w:t>设施园艺研究进展</w:t>
      </w:r>
      <w:bookmarkEnd w:id="163"/>
    </w:p>
    <w:p w14:paraId="4AF28739" w14:textId="77777777" w:rsidR="00F5289E" w:rsidRPr="001B3040" w:rsidRDefault="00C91173">
      <w:pPr>
        <w:shd w:val="solid" w:color="FFFFFF" w:fill="auto"/>
        <w:autoSpaceDN w:val="0"/>
        <w:spacing w:line="360" w:lineRule="auto"/>
        <w:ind w:right="369"/>
        <w:jc w:val="center"/>
        <w:rPr>
          <w:bCs/>
          <w:sz w:val="24"/>
          <w:shd w:val="clear" w:color="auto" w:fill="FFFFFF"/>
        </w:rPr>
      </w:pPr>
      <w:r w:rsidRPr="001B3040">
        <w:rPr>
          <w:bCs/>
          <w:sz w:val="24"/>
        </w:rPr>
        <w:t>（</w:t>
      </w:r>
      <w:r w:rsidRPr="001B3040">
        <w:rPr>
          <w:rFonts w:hint="eastAsia"/>
          <w:sz w:val="24"/>
          <w:shd w:val="clear" w:color="auto" w:fill="FFFFFF"/>
        </w:rPr>
        <w:t>Process in Protected Horticulture</w:t>
      </w:r>
      <w:r w:rsidRPr="001B3040">
        <w:rPr>
          <w:bCs/>
          <w:sz w:val="24"/>
          <w:shd w:val="clear" w:color="auto" w:fill="FFFFFF"/>
        </w:rPr>
        <w:t>)</w:t>
      </w:r>
    </w:p>
    <w:p w14:paraId="553A8426" w14:textId="77777777" w:rsidR="00F5289E" w:rsidRDefault="00F5289E">
      <w:pPr>
        <w:shd w:val="solid" w:color="FFFFFF" w:fill="auto"/>
        <w:autoSpaceDN w:val="0"/>
        <w:spacing w:line="360" w:lineRule="auto"/>
        <w:ind w:right="369"/>
        <w:jc w:val="center"/>
        <w:rPr>
          <w:b/>
          <w:bCs/>
          <w:iCs/>
          <w:sz w:val="24"/>
        </w:rPr>
      </w:pPr>
    </w:p>
    <w:p w14:paraId="40EC9BF8" w14:textId="77777777" w:rsidR="00F5289E" w:rsidRDefault="00C91173">
      <w:pPr>
        <w:snapToGrid w:val="0"/>
        <w:spacing w:line="360" w:lineRule="auto"/>
        <w:jc w:val="center"/>
        <w:rPr>
          <w:b/>
          <w:szCs w:val="21"/>
        </w:rPr>
      </w:pPr>
      <w:r>
        <w:rPr>
          <w:b/>
          <w:szCs w:val="21"/>
        </w:rPr>
        <w:t>课程基本信息</w:t>
      </w:r>
    </w:p>
    <w:tbl>
      <w:tblPr>
        <w:tblW w:w="0" w:type="auto"/>
        <w:tblLayout w:type="fixed"/>
        <w:tblLook w:val="04A0" w:firstRow="1" w:lastRow="0" w:firstColumn="1" w:lastColumn="0" w:noHBand="0" w:noVBand="1"/>
      </w:tblPr>
      <w:tblGrid>
        <w:gridCol w:w="3038"/>
        <w:gridCol w:w="2649"/>
        <w:gridCol w:w="3429"/>
      </w:tblGrid>
      <w:tr w:rsidR="00F5289E" w14:paraId="5161E8E2" w14:textId="77777777">
        <w:tc>
          <w:tcPr>
            <w:tcW w:w="3038" w:type="dxa"/>
          </w:tcPr>
          <w:p w14:paraId="50283DBA" w14:textId="77777777" w:rsidR="00F5289E" w:rsidRDefault="00C91173">
            <w:pPr>
              <w:spacing w:line="300" w:lineRule="auto"/>
              <w:rPr>
                <w:b/>
                <w:bCs/>
                <w:szCs w:val="21"/>
              </w:rPr>
            </w:pPr>
            <w:r>
              <w:rPr>
                <w:b/>
                <w:bCs/>
                <w:szCs w:val="21"/>
              </w:rPr>
              <w:t>课程编号：</w:t>
            </w:r>
            <w:r w:rsidRPr="001B3040">
              <w:rPr>
                <w:szCs w:val="21"/>
                <w:shd w:val="clear" w:color="auto" w:fill="FFFFFF"/>
              </w:rPr>
              <w:t>19011</w:t>
            </w:r>
            <w:r w:rsidRPr="001B3040">
              <w:rPr>
                <w:rFonts w:hint="eastAsia"/>
                <w:szCs w:val="21"/>
                <w:shd w:val="clear" w:color="auto" w:fill="FFFFFF"/>
              </w:rPr>
              <w:t>153</w:t>
            </w:r>
          </w:p>
        </w:tc>
        <w:tc>
          <w:tcPr>
            <w:tcW w:w="2649" w:type="dxa"/>
          </w:tcPr>
          <w:p w14:paraId="32D4F119" w14:textId="77777777" w:rsidR="00F5289E" w:rsidRDefault="00C91173">
            <w:pPr>
              <w:spacing w:line="300" w:lineRule="auto"/>
              <w:rPr>
                <w:b/>
                <w:bCs/>
                <w:szCs w:val="21"/>
              </w:rPr>
            </w:pPr>
            <w:r>
              <w:rPr>
                <w:b/>
                <w:bCs/>
                <w:szCs w:val="21"/>
              </w:rPr>
              <w:t>课程总学时：</w:t>
            </w:r>
            <w:r w:rsidRPr="001B3040">
              <w:rPr>
                <w:rFonts w:hint="eastAsia"/>
                <w:szCs w:val="21"/>
              </w:rPr>
              <w:t>24</w:t>
            </w:r>
          </w:p>
        </w:tc>
        <w:tc>
          <w:tcPr>
            <w:tcW w:w="3429" w:type="dxa"/>
          </w:tcPr>
          <w:p w14:paraId="2E320E78" w14:textId="77777777" w:rsidR="00F5289E" w:rsidRDefault="00C91173">
            <w:pPr>
              <w:spacing w:line="300" w:lineRule="auto"/>
              <w:rPr>
                <w:b/>
                <w:bCs/>
                <w:szCs w:val="21"/>
              </w:rPr>
            </w:pPr>
            <w:r>
              <w:rPr>
                <w:b/>
                <w:bCs/>
                <w:szCs w:val="21"/>
              </w:rPr>
              <w:t>实验学时：</w:t>
            </w:r>
            <w:r w:rsidRPr="001B3040">
              <w:rPr>
                <w:rFonts w:hint="eastAsia"/>
                <w:szCs w:val="21"/>
              </w:rPr>
              <w:t>4</w:t>
            </w:r>
          </w:p>
        </w:tc>
      </w:tr>
      <w:tr w:rsidR="00F5289E" w14:paraId="230292C6" w14:textId="77777777">
        <w:tc>
          <w:tcPr>
            <w:tcW w:w="3038" w:type="dxa"/>
          </w:tcPr>
          <w:p w14:paraId="34301765" w14:textId="77777777" w:rsidR="00F5289E" w:rsidRDefault="00C91173">
            <w:pPr>
              <w:spacing w:line="300" w:lineRule="auto"/>
              <w:rPr>
                <w:b/>
                <w:bCs/>
                <w:color w:val="FF0000"/>
                <w:szCs w:val="21"/>
              </w:rPr>
            </w:pPr>
            <w:r>
              <w:rPr>
                <w:b/>
                <w:bCs/>
                <w:szCs w:val="21"/>
              </w:rPr>
              <w:t>课程性质：</w:t>
            </w:r>
            <w:r w:rsidRPr="001B3040">
              <w:rPr>
                <w:rFonts w:hint="eastAsia"/>
                <w:szCs w:val="21"/>
              </w:rPr>
              <w:t>选修</w:t>
            </w:r>
          </w:p>
        </w:tc>
        <w:tc>
          <w:tcPr>
            <w:tcW w:w="2649" w:type="dxa"/>
          </w:tcPr>
          <w:p w14:paraId="33FE49BF" w14:textId="77777777" w:rsidR="00F5289E" w:rsidRDefault="00C91173">
            <w:pPr>
              <w:spacing w:line="300" w:lineRule="auto"/>
              <w:rPr>
                <w:b/>
                <w:bCs/>
                <w:color w:val="FF0000"/>
                <w:szCs w:val="21"/>
              </w:rPr>
            </w:pPr>
            <w:r>
              <w:rPr>
                <w:b/>
                <w:szCs w:val="21"/>
              </w:rPr>
              <w:t>课程属性</w:t>
            </w:r>
            <w:r>
              <w:rPr>
                <w:b/>
                <w:szCs w:val="21"/>
              </w:rPr>
              <w:t xml:space="preserve">: </w:t>
            </w:r>
            <w:r w:rsidRPr="001B3040">
              <w:rPr>
                <w:rFonts w:hint="eastAsia"/>
                <w:szCs w:val="21"/>
              </w:rPr>
              <w:t>专业深化</w:t>
            </w:r>
            <w:r w:rsidRPr="001B3040">
              <w:rPr>
                <w:szCs w:val="21"/>
              </w:rPr>
              <w:t>类</w:t>
            </w:r>
          </w:p>
        </w:tc>
        <w:tc>
          <w:tcPr>
            <w:tcW w:w="3429" w:type="dxa"/>
          </w:tcPr>
          <w:p w14:paraId="3D5FE5E0" w14:textId="77777777" w:rsidR="00F5289E" w:rsidRDefault="00C91173">
            <w:pPr>
              <w:spacing w:line="300" w:lineRule="auto"/>
              <w:rPr>
                <w:b/>
                <w:bCs/>
                <w:szCs w:val="21"/>
              </w:rPr>
            </w:pPr>
            <w:r>
              <w:rPr>
                <w:b/>
                <w:bCs/>
                <w:szCs w:val="21"/>
              </w:rPr>
              <w:t>开设学期：</w:t>
            </w:r>
            <w:r w:rsidRPr="001B3040">
              <w:rPr>
                <w:szCs w:val="21"/>
              </w:rPr>
              <w:t>第</w:t>
            </w:r>
            <w:r w:rsidRPr="001B3040">
              <w:rPr>
                <w:rFonts w:hint="eastAsia"/>
                <w:szCs w:val="21"/>
              </w:rPr>
              <w:t>8</w:t>
            </w:r>
            <w:r w:rsidRPr="001B3040">
              <w:rPr>
                <w:szCs w:val="21"/>
              </w:rPr>
              <w:t>学期</w:t>
            </w:r>
          </w:p>
        </w:tc>
      </w:tr>
    </w:tbl>
    <w:p w14:paraId="34C58BF3" w14:textId="77777777" w:rsidR="00F5289E" w:rsidRDefault="00F5289E">
      <w:pPr>
        <w:rPr>
          <w:vanish/>
        </w:rPr>
      </w:pPr>
    </w:p>
    <w:tbl>
      <w:tblPr>
        <w:tblW w:w="9116" w:type="dxa"/>
        <w:tblBorders>
          <w:insideH w:val="single" w:sz="4" w:space="0" w:color="auto"/>
          <w:insideV w:val="single" w:sz="4" w:space="0" w:color="auto"/>
        </w:tblBorders>
        <w:tblLayout w:type="fixed"/>
        <w:tblLook w:val="04A0" w:firstRow="1" w:lastRow="0" w:firstColumn="1" w:lastColumn="0" w:noHBand="0" w:noVBand="1"/>
      </w:tblPr>
      <w:tblGrid>
        <w:gridCol w:w="3038"/>
        <w:gridCol w:w="2649"/>
        <w:gridCol w:w="3429"/>
      </w:tblGrid>
      <w:tr w:rsidR="00F5289E" w14:paraId="338C09B6" w14:textId="77777777">
        <w:tc>
          <w:tcPr>
            <w:tcW w:w="3038" w:type="dxa"/>
            <w:tcBorders>
              <w:top w:val="nil"/>
              <w:left w:val="nil"/>
              <w:bottom w:val="nil"/>
              <w:right w:val="nil"/>
            </w:tcBorders>
          </w:tcPr>
          <w:p w14:paraId="1996B0D6" w14:textId="77777777" w:rsidR="00F5289E" w:rsidRDefault="00C91173">
            <w:pPr>
              <w:spacing w:line="300" w:lineRule="auto"/>
              <w:rPr>
                <w:rFonts w:ascii="宋体" w:hAnsi="宋体"/>
                <w:b/>
                <w:bCs/>
                <w:szCs w:val="21"/>
              </w:rPr>
            </w:pPr>
            <w:proofErr w:type="spellStart"/>
            <w:r>
              <w:rPr>
                <w:rFonts w:ascii="宋体" w:eastAsia="Times New Roman" w:hAnsi="宋体" w:hint="eastAsia"/>
                <w:b/>
                <w:bCs/>
              </w:rPr>
              <w:t>课程负责人</w:t>
            </w:r>
            <w:proofErr w:type="spellEnd"/>
            <w:r>
              <w:rPr>
                <w:rFonts w:ascii="宋体" w:eastAsia="Times New Roman" w:hAnsi="宋体" w:hint="eastAsia"/>
                <w:b/>
                <w:bCs/>
              </w:rPr>
              <w:t>：</w:t>
            </w:r>
            <w:r w:rsidRPr="001B3040">
              <w:rPr>
                <w:rFonts w:ascii="宋体" w:hAnsi="宋体" w:hint="eastAsia"/>
                <w:szCs w:val="21"/>
              </w:rPr>
              <w:t>杜南山</w:t>
            </w:r>
          </w:p>
        </w:tc>
        <w:tc>
          <w:tcPr>
            <w:tcW w:w="2649" w:type="dxa"/>
            <w:tcBorders>
              <w:top w:val="nil"/>
              <w:left w:val="nil"/>
              <w:bottom w:val="nil"/>
              <w:right w:val="nil"/>
            </w:tcBorders>
          </w:tcPr>
          <w:p w14:paraId="450AC720" w14:textId="77777777" w:rsidR="00F5289E" w:rsidRDefault="00C91173">
            <w:pPr>
              <w:spacing w:line="300" w:lineRule="auto"/>
              <w:jc w:val="left"/>
              <w:rPr>
                <w:rFonts w:ascii="宋体" w:hAnsi="宋体"/>
                <w:b/>
                <w:bCs/>
              </w:rPr>
            </w:pPr>
            <w:proofErr w:type="spellStart"/>
            <w:r>
              <w:rPr>
                <w:rFonts w:ascii="宋体" w:eastAsia="Times New Roman" w:hAnsi="宋体" w:hint="eastAsia"/>
                <w:b/>
                <w:bCs/>
              </w:rPr>
              <w:t>课程团队</w:t>
            </w:r>
            <w:proofErr w:type="spellEnd"/>
            <w:r>
              <w:rPr>
                <w:rFonts w:ascii="宋体" w:eastAsia="Times New Roman" w:hAnsi="宋体" w:hint="eastAsia"/>
                <w:b/>
                <w:bCs/>
              </w:rPr>
              <w:t>：</w:t>
            </w:r>
            <w:r w:rsidRPr="001B3040">
              <w:rPr>
                <w:rFonts w:ascii="宋体" w:hAnsi="宋体" w:hint="eastAsia"/>
              </w:rPr>
              <w:t>董韩、</w:t>
            </w:r>
            <w:r w:rsidRPr="001B3040">
              <w:rPr>
                <w:rFonts w:ascii="宋体" w:hAnsi="宋体" w:hint="eastAsia"/>
                <w:szCs w:val="21"/>
              </w:rPr>
              <w:t>汪虎、李猛</w:t>
            </w:r>
          </w:p>
        </w:tc>
        <w:tc>
          <w:tcPr>
            <w:tcW w:w="3429" w:type="dxa"/>
            <w:tcBorders>
              <w:top w:val="nil"/>
              <w:left w:val="nil"/>
              <w:bottom w:val="nil"/>
              <w:right w:val="nil"/>
            </w:tcBorders>
          </w:tcPr>
          <w:p w14:paraId="4985F81B" w14:textId="77777777" w:rsidR="00F5289E" w:rsidRDefault="00C91173">
            <w:pPr>
              <w:spacing w:line="300" w:lineRule="auto"/>
              <w:jc w:val="left"/>
              <w:rPr>
                <w:rFonts w:ascii="宋体" w:eastAsia="Times New Roman" w:hAnsi="宋体"/>
                <w:b/>
                <w:bCs/>
              </w:rPr>
            </w:pPr>
            <w:proofErr w:type="spellStart"/>
            <w:r>
              <w:rPr>
                <w:rFonts w:ascii="宋体" w:eastAsia="Times New Roman" w:hAnsi="宋体" w:hint="eastAsia"/>
                <w:b/>
                <w:bCs/>
              </w:rPr>
              <w:t>授课语言</w:t>
            </w:r>
            <w:proofErr w:type="spellEnd"/>
            <w:r>
              <w:rPr>
                <w:rFonts w:ascii="宋体" w:eastAsia="Times New Roman" w:hAnsi="宋体" w:hint="eastAsia"/>
                <w:b/>
                <w:bCs/>
              </w:rPr>
              <w:t>：</w:t>
            </w:r>
            <w:r w:rsidRPr="001B3040">
              <w:rPr>
                <w:rFonts w:ascii="DengXian" w:eastAsia="DengXian" w:hAnsi="DengXian" w:hint="eastAsia"/>
              </w:rPr>
              <w:t>中文</w:t>
            </w:r>
          </w:p>
        </w:tc>
      </w:tr>
    </w:tbl>
    <w:p w14:paraId="1E5D6628" w14:textId="77777777" w:rsidR="00F5289E" w:rsidRDefault="00F5289E">
      <w:pPr>
        <w:rPr>
          <w:vanish/>
        </w:rPr>
      </w:pPr>
    </w:p>
    <w:tbl>
      <w:tblPr>
        <w:tblW w:w="9116" w:type="dxa"/>
        <w:tblLayout w:type="fixed"/>
        <w:tblLook w:val="04A0" w:firstRow="1" w:lastRow="0" w:firstColumn="1" w:lastColumn="0" w:noHBand="0" w:noVBand="1"/>
      </w:tblPr>
      <w:tblGrid>
        <w:gridCol w:w="3038"/>
        <w:gridCol w:w="2649"/>
        <w:gridCol w:w="3429"/>
      </w:tblGrid>
      <w:tr w:rsidR="00F5289E" w14:paraId="20E3507D" w14:textId="77777777">
        <w:tc>
          <w:tcPr>
            <w:tcW w:w="9116" w:type="dxa"/>
            <w:gridSpan w:val="3"/>
          </w:tcPr>
          <w:p w14:paraId="0024DA9C" w14:textId="77777777" w:rsidR="00F5289E" w:rsidRDefault="00C91173">
            <w:pPr>
              <w:spacing w:line="300" w:lineRule="auto"/>
              <w:rPr>
                <w:b/>
                <w:bCs/>
                <w:szCs w:val="21"/>
              </w:rPr>
            </w:pPr>
            <w:r>
              <w:rPr>
                <w:b/>
                <w:bCs/>
                <w:szCs w:val="21"/>
              </w:rPr>
              <w:t>适用专业：</w:t>
            </w:r>
            <w:r>
              <w:rPr>
                <w:rFonts w:hint="eastAsia"/>
                <w:b/>
                <w:bCs/>
                <w:szCs w:val="21"/>
              </w:rPr>
              <w:t>设</w:t>
            </w:r>
            <w:r w:rsidRPr="001B3040">
              <w:rPr>
                <w:rFonts w:hint="eastAsia"/>
                <w:szCs w:val="21"/>
              </w:rPr>
              <w:t>施农业科学与工程</w:t>
            </w:r>
          </w:p>
        </w:tc>
      </w:tr>
      <w:tr w:rsidR="00F5289E" w14:paraId="1A5D61CD" w14:textId="77777777">
        <w:tc>
          <w:tcPr>
            <w:tcW w:w="9116" w:type="dxa"/>
            <w:gridSpan w:val="3"/>
          </w:tcPr>
          <w:p w14:paraId="4B939FA1" w14:textId="77777777" w:rsidR="00F5289E" w:rsidRDefault="00C91173">
            <w:pPr>
              <w:rPr>
                <w:b/>
                <w:bCs/>
                <w:szCs w:val="21"/>
              </w:rPr>
            </w:pPr>
            <w:r>
              <w:rPr>
                <w:rFonts w:ascii="宋体" w:hAnsi="宋体" w:hint="eastAsia"/>
                <w:b/>
                <w:bCs/>
              </w:rPr>
              <w:t>对先修的要求：</w:t>
            </w:r>
            <w:r w:rsidRPr="001B3040">
              <w:rPr>
                <w:rFonts w:ascii="宋体" w:hAnsi="宋体" w:hint="eastAsia"/>
              </w:rPr>
              <w:t>农业</w:t>
            </w:r>
            <w:r w:rsidRPr="001B3040">
              <w:rPr>
                <w:rFonts w:hint="eastAsia"/>
                <w:szCs w:val="21"/>
              </w:rPr>
              <w:t>设施工程学</w:t>
            </w:r>
            <w:r w:rsidRPr="001B3040">
              <w:rPr>
                <w:szCs w:val="21"/>
              </w:rPr>
              <w:t>、</w:t>
            </w:r>
            <w:r w:rsidRPr="001B3040">
              <w:rPr>
                <w:rFonts w:hint="eastAsia"/>
                <w:szCs w:val="21"/>
              </w:rPr>
              <w:t>设施环境与控</w:t>
            </w:r>
            <w:r>
              <w:rPr>
                <w:rFonts w:hint="eastAsia"/>
                <w:b/>
                <w:bCs/>
                <w:szCs w:val="21"/>
              </w:rPr>
              <w:t>制</w:t>
            </w:r>
          </w:p>
          <w:p w14:paraId="795FD201" w14:textId="77777777" w:rsidR="00F5289E" w:rsidRDefault="00C91173">
            <w:pPr>
              <w:spacing w:line="300" w:lineRule="auto"/>
              <w:rPr>
                <w:b/>
                <w:bCs/>
                <w:szCs w:val="21"/>
              </w:rPr>
            </w:pPr>
            <w:r>
              <w:rPr>
                <w:rFonts w:hint="eastAsia"/>
                <w:b/>
                <w:bCs/>
                <w:szCs w:val="21"/>
              </w:rPr>
              <w:t>对后续的支撑：</w:t>
            </w:r>
            <w:r>
              <w:rPr>
                <w:rFonts w:hint="eastAsia"/>
                <w:b/>
                <w:bCs/>
                <w:szCs w:val="21"/>
              </w:rPr>
              <w:t xml:space="preserve"> </w:t>
            </w:r>
            <w:r w:rsidRPr="001B3040">
              <w:rPr>
                <w:rFonts w:hint="eastAsia"/>
                <w:szCs w:val="21"/>
              </w:rPr>
              <w:t>无</w:t>
            </w:r>
          </w:p>
          <w:p w14:paraId="6C086D7E" w14:textId="77777777" w:rsidR="00F5289E" w:rsidRDefault="00F5289E">
            <w:pPr>
              <w:spacing w:line="300" w:lineRule="auto"/>
              <w:rPr>
                <w:b/>
                <w:bCs/>
                <w:szCs w:val="21"/>
              </w:rPr>
            </w:pPr>
          </w:p>
        </w:tc>
      </w:tr>
      <w:tr w:rsidR="00F5289E" w14:paraId="5F91EF18" w14:textId="77777777">
        <w:tc>
          <w:tcPr>
            <w:tcW w:w="3038" w:type="dxa"/>
          </w:tcPr>
          <w:p w14:paraId="0B7DC606" w14:textId="77777777" w:rsidR="00F5289E" w:rsidRDefault="00C91173">
            <w:pPr>
              <w:spacing w:line="300" w:lineRule="auto"/>
              <w:rPr>
                <w:b/>
                <w:bCs/>
                <w:szCs w:val="21"/>
              </w:rPr>
            </w:pPr>
            <w:r>
              <w:rPr>
                <w:b/>
                <w:bCs/>
                <w:szCs w:val="21"/>
              </w:rPr>
              <w:t>主撰人：</w:t>
            </w:r>
            <w:r w:rsidRPr="001B3040">
              <w:rPr>
                <w:rFonts w:hint="eastAsia"/>
                <w:szCs w:val="21"/>
              </w:rPr>
              <w:t>董韩</w:t>
            </w:r>
          </w:p>
        </w:tc>
        <w:tc>
          <w:tcPr>
            <w:tcW w:w="2649" w:type="dxa"/>
          </w:tcPr>
          <w:p w14:paraId="732291C5" w14:textId="77777777" w:rsidR="00F5289E" w:rsidRDefault="00C91173">
            <w:pPr>
              <w:spacing w:line="300" w:lineRule="auto"/>
              <w:rPr>
                <w:b/>
                <w:bCs/>
                <w:szCs w:val="21"/>
              </w:rPr>
            </w:pPr>
            <w:r>
              <w:rPr>
                <w:b/>
                <w:bCs/>
                <w:szCs w:val="21"/>
              </w:rPr>
              <w:t>审核人：</w:t>
            </w:r>
            <w:r w:rsidRPr="001B3040">
              <w:rPr>
                <w:rFonts w:hint="eastAsia"/>
                <w:szCs w:val="21"/>
              </w:rPr>
              <w:t>杜南山</w:t>
            </w:r>
          </w:p>
        </w:tc>
        <w:tc>
          <w:tcPr>
            <w:tcW w:w="3429" w:type="dxa"/>
          </w:tcPr>
          <w:p w14:paraId="103F183F" w14:textId="77777777" w:rsidR="00F5289E" w:rsidRDefault="00C91173">
            <w:pPr>
              <w:spacing w:line="300" w:lineRule="auto"/>
              <w:rPr>
                <w:b/>
                <w:bCs/>
                <w:szCs w:val="21"/>
              </w:rPr>
            </w:pPr>
            <w:r>
              <w:rPr>
                <w:b/>
                <w:bCs/>
                <w:szCs w:val="21"/>
              </w:rPr>
              <w:t>大纲制定（修订）日期</w:t>
            </w:r>
            <w:r>
              <w:rPr>
                <w:rFonts w:hint="eastAsia"/>
                <w:b/>
                <w:bCs/>
                <w:szCs w:val="21"/>
              </w:rPr>
              <w:t>：</w:t>
            </w:r>
            <w:r w:rsidRPr="001B3040">
              <w:rPr>
                <w:szCs w:val="21"/>
              </w:rPr>
              <w:t>2023</w:t>
            </w:r>
            <w:r w:rsidRPr="001B3040">
              <w:rPr>
                <w:rFonts w:hint="eastAsia"/>
                <w:szCs w:val="21"/>
              </w:rPr>
              <w:t>.</w:t>
            </w:r>
            <w:r w:rsidR="001B3040">
              <w:rPr>
                <w:szCs w:val="21"/>
              </w:rPr>
              <w:t>05</w:t>
            </w:r>
          </w:p>
        </w:tc>
      </w:tr>
    </w:tbl>
    <w:p w14:paraId="7C8E4D1F" w14:textId="77777777" w:rsidR="00F5289E" w:rsidRDefault="00F5289E">
      <w:pPr>
        <w:widowControl/>
        <w:snapToGrid w:val="0"/>
        <w:spacing w:line="360" w:lineRule="auto"/>
        <w:jc w:val="left"/>
        <w:rPr>
          <w:b/>
          <w:bCs/>
          <w:kern w:val="0"/>
          <w:szCs w:val="21"/>
        </w:rPr>
      </w:pPr>
    </w:p>
    <w:p w14:paraId="7A31A38E" w14:textId="77777777" w:rsidR="00F5289E" w:rsidRDefault="00C91173">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14:paraId="5D5C842E" w14:textId="77777777" w:rsidR="00F5289E" w:rsidRDefault="00C91173">
      <w:pPr>
        <w:spacing w:line="360" w:lineRule="auto"/>
        <w:ind w:firstLineChars="200" w:firstLine="420"/>
        <w:rPr>
          <w:color w:val="262600"/>
        </w:rPr>
      </w:pPr>
      <w:r>
        <w:rPr>
          <w:color w:val="262600"/>
        </w:rPr>
        <w:t>《</w:t>
      </w:r>
      <w:r>
        <w:rPr>
          <w:rFonts w:hint="eastAsia"/>
          <w:color w:val="262600"/>
        </w:rPr>
        <w:t>设施园艺研究进展</w:t>
      </w:r>
      <w:r>
        <w:rPr>
          <w:color w:val="262600"/>
        </w:rPr>
        <w:t>》</w:t>
      </w:r>
      <w:r>
        <w:rPr>
          <w:rFonts w:hint="eastAsia"/>
          <w:kern w:val="13"/>
          <w:szCs w:val="21"/>
        </w:rPr>
        <w:t>是一门集现代园艺科学、环境工程科学、信息技术科学和现代农业经济科学等为一体的多学科交叉的学科领域，是在新农科建设背景下开设的一门多学科融合的现代农业应用性课程。课程主要基于案例式、项目式教学方法，将专业基础知识与科学研究融合，基于农业现代化大背景和设施园艺领域研究进展，讲授最新科研成果在设施园艺生产中的应用，包括高级设施类型、环境调控、设施栽培的新技术新设备和新模式以及设施园艺生产相关案例等内容，旨在</w:t>
      </w:r>
      <w:r>
        <w:rPr>
          <w:rFonts w:hint="eastAsia"/>
        </w:rPr>
        <w:t>让</w:t>
      </w:r>
      <w:r>
        <w:t>学生</w:t>
      </w:r>
      <w:r>
        <w:rPr>
          <w:rFonts w:hint="eastAsia"/>
        </w:rPr>
        <w:t>了解设施农业产业和技术的前沿动态及发展趋势，具备设施农业生产及管理的基础知识和基本理论，</w:t>
      </w:r>
      <w:r>
        <w:rPr>
          <w:rFonts w:hint="eastAsia"/>
          <w:kern w:val="13"/>
          <w:szCs w:val="21"/>
        </w:rPr>
        <w:t>增强学生对专业知识的综合应用能力，更好地适应乡村振兴和设施园艺高质量发展的需要。</w:t>
      </w:r>
    </w:p>
    <w:p w14:paraId="4147D3D2" w14:textId="77777777" w:rsidR="00F5289E" w:rsidRDefault="00C91173">
      <w:pPr>
        <w:spacing w:line="400" w:lineRule="exact"/>
        <w:rPr>
          <w:kern w:val="0"/>
          <w:szCs w:val="21"/>
        </w:rPr>
      </w:pPr>
      <w:r>
        <w:rPr>
          <w:b/>
          <w:bCs/>
          <w:kern w:val="0"/>
          <w:szCs w:val="21"/>
        </w:rPr>
        <w:t>二、课程教学的基本要求</w:t>
      </w:r>
    </w:p>
    <w:p w14:paraId="7B95E378" w14:textId="77777777" w:rsidR="00F5289E" w:rsidRDefault="00C91173">
      <w:pPr>
        <w:spacing w:line="400" w:lineRule="exact"/>
        <w:ind w:firstLineChars="200" w:firstLine="420"/>
        <w:rPr>
          <w:kern w:val="0"/>
          <w:szCs w:val="21"/>
        </w:rPr>
      </w:pPr>
      <w:r>
        <w:rPr>
          <w:kern w:val="0"/>
          <w:szCs w:val="21"/>
        </w:rPr>
        <w:t>1</w:t>
      </w:r>
      <w:r>
        <w:rPr>
          <w:rFonts w:hint="eastAsia"/>
          <w:kern w:val="0"/>
          <w:szCs w:val="21"/>
        </w:rPr>
        <w:t>、</w:t>
      </w:r>
      <w:r>
        <w:rPr>
          <w:kern w:val="0"/>
          <w:szCs w:val="21"/>
        </w:rPr>
        <w:t>理论知识方面：</w:t>
      </w:r>
    </w:p>
    <w:p w14:paraId="40447E09" w14:textId="77777777" w:rsidR="00F5289E" w:rsidRDefault="00C91173">
      <w:pPr>
        <w:spacing w:line="400" w:lineRule="exact"/>
        <w:ind w:firstLineChars="200" w:firstLine="420"/>
        <w:rPr>
          <w:color w:val="262600"/>
        </w:rPr>
      </w:pPr>
      <w:r>
        <w:rPr>
          <w:color w:val="262600"/>
        </w:rPr>
        <w:t>（</w:t>
      </w:r>
      <w:r>
        <w:rPr>
          <w:color w:val="262600"/>
        </w:rPr>
        <w:t>1</w:t>
      </w:r>
      <w:r>
        <w:rPr>
          <w:color w:val="262600"/>
        </w:rPr>
        <w:t>）</w:t>
      </w:r>
      <w:r>
        <w:rPr>
          <w:rFonts w:hint="eastAsia"/>
          <w:bCs/>
          <w:szCs w:val="21"/>
        </w:rPr>
        <w:t>了解我国设施园艺产业的发展现状，能够为我国设施园艺未来发展提出建议；</w:t>
      </w:r>
    </w:p>
    <w:p w14:paraId="1EA3FA76" w14:textId="77777777" w:rsidR="00F5289E" w:rsidRDefault="00C91173">
      <w:pPr>
        <w:spacing w:line="360" w:lineRule="auto"/>
        <w:ind w:firstLineChars="200" w:firstLine="420"/>
        <w:rPr>
          <w:color w:val="262600"/>
        </w:rPr>
      </w:pPr>
      <w:r>
        <w:rPr>
          <w:color w:val="262600"/>
        </w:rPr>
        <w:t>（</w:t>
      </w:r>
      <w:r>
        <w:rPr>
          <w:color w:val="262600"/>
        </w:rPr>
        <w:t>2</w:t>
      </w:r>
      <w:r>
        <w:rPr>
          <w:color w:val="262600"/>
        </w:rPr>
        <w:t>）了解设施园艺新技术，掌握设施园艺发展的新成果、新动态和新理念</w:t>
      </w:r>
      <w:r>
        <w:rPr>
          <w:rFonts w:hint="eastAsia"/>
          <w:color w:val="262600"/>
        </w:rPr>
        <w:t>；</w:t>
      </w:r>
    </w:p>
    <w:p w14:paraId="13CC3685" w14:textId="77777777" w:rsidR="00F5289E" w:rsidRDefault="00C91173">
      <w:pPr>
        <w:spacing w:line="360" w:lineRule="auto"/>
        <w:ind w:firstLineChars="200" w:firstLine="420"/>
        <w:rPr>
          <w:color w:val="262600"/>
        </w:rPr>
      </w:pPr>
      <w:r>
        <w:rPr>
          <w:color w:val="262600"/>
        </w:rPr>
        <w:t>（</w:t>
      </w:r>
      <w:r>
        <w:rPr>
          <w:color w:val="262600"/>
        </w:rPr>
        <w:t>3</w:t>
      </w:r>
      <w:r>
        <w:rPr>
          <w:color w:val="262600"/>
        </w:rPr>
        <w:t>）了解设施环境特性，掌握设施环境调控</w:t>
      </w:r>
      <w:r>
        <w:rPr>
          <w:rFonts w:hint="eastAsia"/>
          <w:color w:val="262600"/>
        </w:rPr>
        <w:t>新</w:t>
      </w:r>
      <w:r>
        <w:rPr>
          <w:color w:val="262600"/>
        </w:rPr>
        <w:t>技术；</w:t>
      </w:r>
    </w:p>
    <w:p w14:paraId="1C5441E5" w14:textId="77777777" w:rsidR="00F5289E" w:rsidRDefault="00C91173">
      <w:pPr>
        <w:spacing w:line="360" w:lineRule="auto"/>
        <w:ind w:firstLineChars="200" w:firstLine="420"/>
        <w:rPr>
          <w:color w:val="262600"/>
        </w:rPr>
      </w:pPr>
      <w:r>
        <w:rPr>
          <w:color w:val="262600"/>
        </w:rPr>
        <w:t>（</w:t>
      </w:r>
      <w:r>
        <w:rPr>
          <w:color w:val="262600"/>
        </w:rPr>
        <w:t>4</w:t>
      </w:r>
      <w:r>
        <w:rPr>
          <w:color w:val="262600"/>
        </w:rPr>
        <w:t>）</w:t>
      </w:r>
      <w:r>
        <w:rPr>
          <w:rFonts w:hint="eastAsia"/>
          <w:szCs w:val="21"/>
        </w:rPr>
        <w:t>具备良好的设施农业生产管理知识贮备，熟悉设施农业产业关键环节的技术要点。</w:t>
      </w:r>
    </w:p>
    <w:p w14:paraId="67709CCB" w14:textId="77777777" w:rsidR="00F5289E" w:rsidRDefault="00C91173">
      <w:pPr>
        <w:spacing w:line="360" w:lineRule="auto"/>
        <w:ind w:firstLineChars="200" w:firstLine="420"/>
        <w:rPr>
          <w:color w:val="262600"/>
          <w:szCs w:val="21"/>
        </w:rPr>
      </w:pPr>
      <w:r>
        <w:rPr>
          <w:color w:val="262600"/>
          <w:szCs w:val="21"/>
        </w:rPr>
        <w:t>2</w:t>
      </w:r>
      <w:r>
        <w:rPr>
          <w:rFonts w:ascii="宋体" w:hAnsi="宋体"/>
          <w:color w:val="262600"/>
          <w:szCs w:val="21"/>
        </w:rPr>
        <w:t>、实验技能方面：</w:t>
      </w:r>
    </w:p>
    <w:p w14:paraId="663C1732" w14:textId="77777777" w:rsidR="00F5289E" w:rsidRDefault="00C91173">
      <w:pPr>
        <w:spacing w:line="360" w:lineRule="auto"/>
        <w:ind w:firstLineChars="200" w:firstLine="420"/>
        <w:rPr>
          <w:color w:val="262600"/>
        </w:rPr>
      </w:pPr>
      <w:r>
        <w:rPr>
          <w:rFonts w:hint="eastAsia"/>
          <w:color w:val="262600"/>
        </w:rPr>
        <w:lastRenderedPageBreak/>
        <w:t>通过园艺设施类型的参观调查，使学生对我国设施园艺的类型、结构、性能和应用有一个全面、具体、直观的了解；通过设施内现代智能化装备、水肥一体化设施、无土栽培等现代化技术的参观和学习，使学生了解设施园艺新技术，掌握设施园艺发展的新成果、新动态和新理念。</w:t>
      </w:r>
    </w:p>
    <w:p w14:paraId="2A52D83E" w14:textId="77777777" w:rsidR="00F5289E" w:rsidRDefault="00C91173">
      <w:pPr>
        <w:widowControl/>
        <w:snapToGrid w:val="0"/>
        <w:spacing w:line="360" w:lineRule="auto"/>
        <w:jc w:val="left"/>
        <w:rPr>
          <w:rFonts w:hAnsi="宋体"/>
          <w:b/>
          <w:bCs/>
          <w:kern w:val="0"/>
          <w:szCs w:val="21"/>
        </w:rPr>
      </w:pPr>
      <w:r>
        <w:rPr>
          <w:rFonts w:ascii="宋体" w:hAnsi="宋体"/>
          <w:b/>
          <w:bCs/>
          <w:kern w:val="0"/>
          <w:szCs w:val="21"/>
        </w:rPr>
        <w:t>三、</w:t>
      </w:r>
      <w:r>
        <w:rPr>
          <w:rFonts w:ascii="宋体" w:hAnsi="宋体" w:hint="eastAsia"/>
          <w:b/>
          <w:bCs/>
          <w:kern w:val="0"/>
          <w:szCs w:val="21"/>
        </w:rPr>
        <w:t>课程的教学设计</w:t>
      </w:r>
    </w:p>
    <w:p w14:paraId="473E9EC3" w14:textId="77777777" w:rsidR="00F5289E" w:rsidRDefault="00C91173">
      <w:pPr>
        <w:autoSpaceDE w:val="0"/>
        <w:spacing w:line="360" w:lineRule="auto"/>
        <w:ind w:firstLineChars="200" w:firstLine="420"/>
        <w:rPr>
          <w:rFonts w:hAnsi="宋体"/>
          <w:bCs/>
          <w:color w:val="000000"/>
          <w:kern w:val="0"/>
          <w:szCs w:val="21"/>
        </w:rPr>
      </w:pPr>
      <w:r>
        <w:rPr>
          <w:rFonts w:hint="eastAsia"/>
          <w:bCs/>
          <w:color w:val="000000"/>
          <w:kern w:val="0"/>
          <w:szCs w:val="21"/>
        </w:rPr>
        <w:t>1.</w:t>
      </w:r>
      <w:r>
        <w:rPr>
          <w:rFonts w:ascii="宋体" w:hAnsi="宋体" w:hint="eastAsia"/>
          <w:bCs/>
          <w:color w:val="000000"/>
          <w:kern w:val="0"/>
          <w:szCs w:val="21"/>
        </w:rPr>
        <w:t>教学设计说明</w:t>
      </w:r>
    </w:p>
    <w:p w14:paraId="485D6952" w14:textId="77777777" w:rsidR="00F5289E" w:rsidRDefault="00C91173">
      <w:pPr>
        <w:spacing w:line="360" w:lineRule="auto"/>
        <w:ind w:firstLineChars="200" w:firstLine="420"/>
        <w:rPr>
          <w:color w:val="262600"/>
        </w:rPr>
      </w:pPr>
      <w:r>
        <w:rPr>
          <w:rFonts w:hint="eastAsia"/>
          <w:color w:val="262600"/>
        </w:rPr>
        <w:t>课程组按照课程实验教学大纲要求，建立完善的课堂教学体系和实验教学体系。采用“教学实验、参观学习和生产实习一体化”的实践教学模式，使学生系统掌握课程理论知识，培养学生系统分析问题的能力；通过案例分析式、项目式以专题形式讲授各个章节内容，进一步拓展学生的知识面。在保证实现培养目标的前提下，突破以知识传授为中心的教学模式，探索以能力培养为主线的教学模式，采用精讲多实践、教学基地现场教学、实践中教学的理念和方法，</w:t>
      </w:r>
      <w:r>
        <w:rPr>
          <w:kern w:val="13"/>
          <w:szCs w:val="21"/>
        </w:rPr>
        <w:t>在理论教学过程中培养和锻炼学生的研究能力、思维能力、创新能力、表达能力和团队协作精神。</w:t>
      </w:r>
    </w:p>
    <w:p w14:paraId="429E3765" w14:textId="77777777" w:rsidR="00F5289E" w:rsidRDefault="00C91173">
      <w:pPr>
        <w:spacing w:line="360" w:lineRule="auto"/>
        <w:ind w:firstLineChars="200" w:firstLine="420"/>
        <w:rPr>
          <w:color w:val="000000"/>
        </w:rPr>
      </w:pPr>
      <w:r>
        <w:rPr>
          <w:rFonts w:hint="eastAsia"/>
          <w:color w:val="000000"/>
        </w:rPr>
        <w:t>2.</w:t>
      </w:r>
      <w:r>
        <w:rPr>
          <w:rFonts w:hint="eastAsia"/>
          <w:color w:val="000000"/>
        </w:rPr>
        <w:t>课程目标及对毕业要求的支撑</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337"/>
        <w:gridCol w:w="1561"/>
      </w:tblGrid>
      <w:tr w:rsidR="00F5289E" w14:paraId="3AE4E245" w14:textId="77777777">
        <w:trPr>
          <w:trHeight w:val="403"/>
          <w:jc w:val="center"/>
        </w:trPr>
        <w:tc>
          <w:tcPr>
            <w:tcW w:w="811" w:type="dxa"/>
            <w:tcBorders>
              <w:top w:val="single" w:sz="4" w:space="0" w:color="auto"/>
              <w:left w:val="single" w:sz="4" w:space="0" w:color="auto"/>
              <w:bottom w:val="single" w:sz="4" w:space="0" w:color="auto"/>
              <w:right w:val="single" w:sz="4" w:space="0" w:color="auto"/>
            </w:tcBorders>
            <w:shd w:val="clear" w:color="auto" w:fill="EEECE1"/>
            <w:vAlign w:val="center"/>
          </w:tcPr>
          <w:p w14:paraId="4ABFF7E8" w14:textId="77777777" w:rsidR="00F5289E" w:rsidRDefault="00C91173">
            <w:pPr>
              <w:spacing w:line="360" w:lineRule="auto"/>
              <w:rPr>
                <w:b/>
                <w:bCs/>
                <w:color w:val="000000"/>
              </w:rPr>
            </w:pPr>
            <w:r>
              <w:rPr>
                <w:rFonts w:hint="eastAsia"/>
                <w:b/>
                <w:bCs/>
                <w:color w:val="000000"/>
              </w:rPr>
              <w:t>序号</w:t>
            </w:r>
          </w:p>
        </w:tc>
        <w:tc>
          <w:tcPr>
            <w:tcW w:w="6337" w:type="dxa"/>
            <w:tcBorders>
              <w:top w:val="single" w:sz="4" w:space="0" w:color="auto"/>
              <w:left w:val="nil"/>
              <w:bottom w:val="single" w:sz="4" w:space="0" w:color="auto"/>
              <w:right w:val="single" w:sz="4" w:space="0" w:color="auto"/>
            </w:tcBorders>
            <w:shd w:val="clear" w:color="auto" w:fill="EEECE1"/>
            <w:vAlign w:val="center"/>
          </w:tcPr>
          <w:p w14:paraId="41964D6F" w14:textId="77777777" w:rsidR="00F5289E" w:rsidRDefault="00C91173">
            <w:pPr>
              <w:spacing w:line="360" w:lineRule="auto"/>
              <w:ind w:firstLineChars="200" w:firstLine="422"/>
              <w:rPr>
                <w:b/>
                <w:bCs/>
                <w:color w:val="000000"/>
              </w:rPr>
            </w:pPr>
            <w:r>
              <w:rPr>
                <w:rFonts w:hint="eastAsia"/>
                <w:b/>
                <w:bCs/>
                <w:color w:val="000000"/>
              </w:rPr>
              <w:t>课程目标</w:t>
            </w:r>
          </w:p>
        </w:tc>
        <w:tc>
          <w:tcPr>
            <w:tcW w:w="1561" w:type="dxa"/>
            <w:tcBorders>
              <w:top w:val="single" w:sz="4" w:space="0" w:color="auto"/>
              <w:left w:val="nil"/>
              <w:bottom w:val="single" w:sz="4" w:space="0" w:color="auto"/>
              <w:right w:val="single" w:sz="4" w:space="0" w:color="auto"/>
            </w:tcBorders>
            <w:shd w:val="clear" w:color="auto" w:fill="EEECE1"/>
            <w:vAlign w:val="center"/>
          </w:tcPr>
          <w:p w14:paraId="3E25601C" w14:textId="77777777" w:rsidR="00F5289E" w:rsidRDefault="00C91173">
            <w:pPr>
              <w:spacing w:line="360" w:lineRule="auto"/>
              <w:ind w:firstLineChars="200" w:firstLine="422"/>
              <w:rPr>
                <w:b/>
                <w:bCs/>
                <w:color w:val="000000"/>
              </w:rPr>
            </w:pPr>
            <w:r>
              <w:rPr>
                <w:rFonts w:hint="eastAsia"/>
                <w:b/>
                <w:bCs/>
                <w:color w:val="000000"/>
              </w:rPr>
              <w:t>毕业要求</w:t>
            </w:r>
          </w:p>
        </w:tc>
      </w:tr>
      <w:tr w:rsidR="00F5289E" w14:paraId="3C63B40C"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79C95192" w14:textId="77777777" w:rsidR="00F5289E" w:rsidRDefault="00C91173">
            <w:pPr>
              <w:spacing w:line="360" w:lineRule="auto"/>
              <w:ind w:firstLineChars="200" w:firstLine="420"/>
              <w:rPr>
                <w:color w:val="000000"/>
              </w:rPr>
            </w:pPr>
            <w:r>
              <w:rPr>
                <w:color w:val="000000"/>
              </w:rPr>
              <w:t>1</w:t>
            </w:r>
          </w:p>
        </w:tc>
        <w:tc>
          <w:tcPr>
            <w:tcW w:w="6337" w:type="dxa"/>
            <w:tcBorders>
              <w:top w:val="single" w:sz="4" w:space="0" w:color="auto"/>
              <w:left w:val="single" w:sz="4" w:space="0" w:color="auto"/>
              <w:bottom w:val="single" w:sz="4" w:space="0" w:color="auto"/>
              <w:right w:val="single" w:sz="4" w:space="0" w:color="auto"/>
            </w:tcBorders>
            <w:vAlign w:val="center"/>
          </w:tcPr>
          <w:p w14:paraId="3B4B4C72" w14:textId="77777777" w:rsidR="00F5289E" w:rsidRDefault="00C91173">
            <w:pPr>
              <w:spacing w:line="320" w:lineRule="exact"/>
              <w:jc w:val="left"/>
              <w:rPr>
                <w:color w:val="000000"/>
                <w:sz w:val="18"/>
                <w:szCs w:val="18"/>
              </w:rPr>
            </w:pPr>
            <w:r>
              <w:rPr>
                <w:rFonts w:ascii="宋体" w:hAnsi="宋体"/>
                <w:color w:val="000000"/>
                <w:sz w:val="18"/>
                <w:szCs w:val="18"/>
              </w:rPr>
              <w:t>目标</w:t>
            </w:r>
            <w:r>
              <w:rPr>
                <w:color w:val="000000"/>
                <w:sz w:val="18"/>
                <w:szCs w:val="18"/>
              </w:rPr>
              <w:t>1</w:t>
            </w:r>
            <w:r>
              <w:rPr>
                <w:rFonts w:ascii="宋体" w:hAnsi="宋体"/>
                <w:color w:val="000000"/>
                <w:sz w:val="18"/>
                <w:szCs w:val="18"/>
              </w:rPr>
              <w:t>：通过课程的学习，使学生具备</w:t>
            </w:r>
            <w:r>
              <w:rPr>
                <w:rFonts w:ascii="宋体" w:hAnsi="宋体" w:hint="eastAsia"/>
                <w:color w:val="000000"/>
                <w:sz w:val="18"/>
                <w:szCs w:val="18"/>
              </w:rPr>
              <w:t>懂农业、爱农村、爱农民，立志服务“三农”，</w:t>
            </w:r>
            <w:r>
              <w:rPr>
                <w:rFonts w:ascii="宋体" w:hAnsi="宋体"/>
                <w:color w:val="000000"/>
                <w:sz w:val="18"/>
                <w:szCs w:val="18"/>
              </w:rPr>
              <w:t>解决园艺生产领域实际问题的素质和能力</w:t>
            </w:r>
            <w:r>
              <w:rPr>
                <w:rFonts w:ascii="宋体" w:hAnsi="宋体" w:hint="eastAsia"/>
                <w:color w:val="000000"/>
                <w:sz w:val="18"/>
                <w:szCs w:val="18"/>
              </w:rPr>
              <w:t>，践行可持续发展理念</w:t>
            </w:r>
            <w:r>
              <w:rPr>
                <w:rFonts w:ascii="宋体" w:hAnsi="宋体"/>
                <w:color w:val="000000"/>
                <w:sz w:val="18"/>
                <w:szCs w:val="18"/>
              </w:rPr>
              <w:t>。</w:t>
            </w:r>
          </w:p>
        </w:tc>
        <w:tc>
          <w:tcPr>
            <w:tcW w:w="1561" w:type="dxa"/>
            <w:tcBorders>
              <w:top w:val="single" w:sz="4" w:space="0" w:color="auto"/>
              <w:left w:val="nil"/>
              <w:bottom w:val="single" w:sz="4" w:space="0" w:color="auto"/>
              <w:right w:val="single" w:sz="4" w:space="0" w:color="auto"/>
            </w:tcBorders>
            <w:vAlign w:val="center"/>
          </w:tcPr>
          <w:p w14:paraId="52C07560" w14:textId="77777777" w:rsidR="00F5289E" w:rsidRDefault="00C91173">
            <w:pPr>
              <w:spacing w:line="320" w:lineRule="exact"/>
              <w:jc w:val="center"/>
              <w:rPr>
                <w:rFonts w:eastAsia="DengXian"/>
                <w:color w:val="000000"/>
                <w:sz w:val="18"/>
                <w:szCs w:val="18"/>
              </w:rPr>
            </w:pPr>
            <w:r>
              <w:rPr>
                <w:rFonts w:eastAsia="DengXian"/>
                <w:color w:val="000000"/>
                <w:sz w:val="18"/>
                <w:szCs w:val="18"/>
              </w:rPr>
              <w:t>2</w:t>
            </w:r>
          </w:p>
        </w:tc>
      </w:tr>
      <w:tr w:rsidR="00F5289E" w14:paraId="726A4B92"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57FF17D6" w14:textId="77777777" w:rsidR="00F5289E" w:rsidRDefault="00C91173">
            <w:pPr>
              <w:spacing w:line="360" w:lineRule="auto"/>
              <w:ind w:firstLineChars="200" w:firstLine="420"/>
              <w:rPr>
                <w:color w:val="000000"/>
              </w:rPr>
            </w:pPr>
            <w:r>
              <w:rPr>
                <w:color w:val="000000"/>
              </w:rPr>
              <w:t>2</w:t>
            </w:r>
          </w:p>
        </w:tc>
        <w:tc>
          <w:tcPr>
            <w:tcW w:w="6337" w:type="dxa"/>
            <w:tcBorders>
              <w:top w:val="single" w:sz="4" w:space="0" w:color="auto"/>
              <w:left w:val="single" w:sz="4" w:space="0" w:color="auto"/>
              <w:bottom w:val="single" w:sz="4" w:space="0" w:color="auto"/>
              <w:right w:val="single" w:sz="4" w:space="0" w:color="auto"/>
            </w:tcBorders>
            <w:vAlign w:val="center"/>
          </w:tcPr>
          <w:p w14:paraId="704240A9" w14:textId="77777777" w:rsidR="00F5289E" w:rsidRDefault="00C91173">
            <w:pPr>
              <w:spacing w:line="320" w:lineRule="exact"/>
              <w:jc w:val="left"/>
              <w:rPr>
                <w:color w:val="000000"/>
                <w:sz w:val="18"/>
                <w:szCs w:val="18"/>
                <w:highlight w:val="yellow"/>
              </w:rPr>
            </w:pPr>
            <w:r>
              <w:rPr>
                <w:rFonts w:ascii="宋体" w:hAnsi="宋体"/>
                <w:color w:val="000000"/>
                <w:sz w:val="18"/>
                <w:szCs w:val="18"/>
              </w:rPr>
              <w:t>目标</w:t>
            </w:r>
            <w:r>
              <w:rPr>
                <w:color w:val="000000"/>
                <w:sz w:val="18"/>
                <w:szCs w:val="18"/>
              </w:rPr>
              <w:t>2</w:t>
            </w:r>
            <w:r>
              <w:rPr>
                <w:rFonts w:ascii="宋体" w:hAnsi="宋体"/>
                <w:color w:val="000000"/>
                <w:sz w:val="18"/>
                <w:szCs w:val="18"/>
              </w:rPr>
              <w:t>：通过课程学习，使学生</w:t>
            </w:r>
            <w:r>
              <w:rPr>
                <w:rFonts w:ascii="宋体" w:hAnsi="宋体" w:hint="eastAsia"/>
                <w:color w:val="000000"/>
                <w:sz w:val="18"/>
                <w:szCs w:val="18"/>
              </w:rPr>
              <w:t>了解设施农业学科的发展动态，具备能够独立承担从事指导设施设计建造和设施农业生产、经营、管理、技术推广的能力，能灵活应用本专业知识解决设施农业及相关领域的实际问题。</w:t>
            </w:r>
          </w:p>
        </w:tc>
        <w:tc>
          <w:tcPr>
            <w:tcW w:w="1561" w:type="dxa"/>
            <w:tcBorders>
              <w:top w:val="single" w:sz="4" w:space="0" w:color="auto"/>
              <w:left w:val="nil"/>
              <w:bottom w:val="single" w:sz="4" w:space="0" w:color="auto"/>
              <w:right w:val="single" w:sz="4" w:space="0" w:color="auto"/>
            </w:tcBorders>
            <w:vAlign w:val="center"/>
          </w:tcPr>
          <w:p w14:paraId="38B77E05" w14:textId="77777777" w:rsidR="00F5289E" w:rsidRDefault="00C91173">
            <w:pPr>
              <w:spacing w:line="320" w:lineRule="exact"/>
              <w:jc w:val="center"/>
              <w:rPr>
                <w:rFonts w:eastAsia="DengXian"/>
                <w:color w:val="000000"/>
                <w:sz w:val="18"/>
                <w:szCs w:val="18"/>
              </w:rPr>
            </w:pPr>
            <w:r>
              <w:rPr>
                <w:rFonts w:eastAsia="DengXian"/>
                <w:color w:val="000000"/>
                <w:sz w:val="18"/>
                <w:szCs w:val="18"/>
              </w:rPr>
              <w:t>5</w:t>
            </w:r>
          </w:p>
        </w:tc>
      </w:tr>
      <w:tr w:rsidR="00F5289E" w14:paraId="4AD73B9D" w14:textId="77777777">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72E2245C" w14:textId="77777777" w:rsidR="00F5289E" w:rsidRDefault="00C91173">
            <w:pPr>
              <w:spacing w:line="360" w:lineRule="auto"/>
              <w:ind w:firstLineChars="200" w:firstLine="420"/>
              <w:rPr>
                <w:color w:val="000000"/>
              </w:rPr>
            </w:pPr>
            <w:r>
              <w:rPr>
                <w:color w:val="000000"/>
              </w:rPr>
              <w:t>3</w:t>
            </w:r>
          </w:p>
        </w:tc>
        <w:tc>
          <w:tcPr>
            <w:tcW w:w="6337" w:type="dxa"/>
            <w:tcBorders>
              <w:top w:val="single" w:sz="4" w:space="0" w:color="auto"/>
              <w:left w:val="single" w:sz="4" w:space="0" w:color="auto"/>
              <w:bottom w:val="single" w:sz="4" w:space="0" w:color="auto"/>
              <w:right w:val="single" w:sz="4" w:space="0" w:color="auto"/>
            </w:tcBorders>
            <w:vAlign w:val="center"/>
          </w:tcPr>
          <w:p w14:paraId="6899D53B" w14:textId="77777777" w:rsidR="00F5289E" w:rsidRDefault="00C91173">
            <w:pPr>
              <w:spacing w:line="320" w:lineRule="exact"/>
              <w:jc w:val="left"/>
              <w:rPr>
                <w:color w:val="000000"/>
                <w:sz w:val="18"/>
                <w:szCs w:val="18"/>
              </w:rPr>
            </w:pPr>
            <w:r>
              <w:rPr>
                <w:rFonts w:ascii="宋体" w:hAnsi="宋体"/>
                <w:color w:val="000000"/>
                <w:sz w:val="18"/>
                <w:szCs w:val="18"/>
              </w:rPr>
              <w:t>目标</w:t>
            </w:r>
            <w:r>
              <w:rPr>
                <w:color w:val="000000"/>
                <w:sz w:val="18"/>
                <w:szCs w:val="18"/>
              </w:rPr>
              <w:t>3</w:t>
            </w:r>
            <w:r>
              <w:rPr>
                <w:rFonts w:ascii="宋体" w:hAnsi="宋体"/>
                <w:color w:val="000000"/>
                <w:sz w:val="18"/>
                <w:szCs w:val="18"/>
              </w:rPr>
              <w:t>：通过课程</w:t>
            </w:r>
            <w:r>
              <w:rPr>
                <w:rFonts w:ascii="宋体" w:hAnsi="宋体" w:hint="eastAsia"/>
                <w:color w:val="000000"/>
                <w:sz w:val="18"/>
                <w:szCs w:val="18"/>
              </w:rPr>
              <w:t>学习</w:t>
            </w:r>
            <w:r>
              <w:rPr>
                <w:rFonts w:ascii="宋体" w:hAnsi="宋体"/>
                <w:color w:val="000000"/>
                <w:sz w:val="18"/>
                <w:szCs w:val="18"/>
              </w:rPr>
              <w:t>，使学生</w:t>
            </w:r>
            <w:r>
              <w:rPr>
                <w:rFonts w:ascii="宋体" w:hAnsi="宋体" w:hint="eastAsia"/>
                <w:color w:val="000000"/>
                <w:sz w:val="18"/>
                <w:szCs w:val="18"/>
              </w:rPr>
              <w:t>具备较强的沟通表达和协调能力；具有组织、管理与领导能力；具有较强的团队合作精神。</w:t>
            </w:r>
          </w:p>
        </w:tc>
        <w:tc>
          <w:tcPr>
            <w:tcW w:w="1561" w:type="dxa"/>
            <w:tcBorders>
              <w:top w:val="single" w:sz="4" w:space="0" w:color="auto"/>
              <w:left w:val="nil"/>
              <w:bottom w:val="single" w:sz="4" w:space="0" w:color="auto"/>
              <w:right w:val="single" w:sz="4" w:space="0" w:color="auto"/>
            </w:tcBorders>
            <w:vAlign w:val="center"/>
          </w:tcPr>
          <w:p w14:paraId="7096235B" w14:textId="77777777" w:rsidR="00F5289E" w:rsidRDefault="00C91173">
            <w:pPr>
              <w:spacing w:line="320" w:lineRule="exact"/>
              <w:jc w:val="center"/>
              <w:rPr>
                <w:rFonts w:eastAsia="DengXian"/>
                <w:color w:val="000000"/>
                <w:sz w:val="18"/>
                <w:szCs w:val="18"/>
              </w:rPr>
            </w:pPr>
            <w:r>
              <w:rPr>
                <w:rFonts w:eastAsia="DengXian" w:hint="eastAsia"/>
                <w:color w:val="000000"/>
                <w:sz w:val="18"/>
                <w:szCs w:val="18"/>
              </w:rPr>
              <w:t>7</w:t>
            </w:r>
          </w:p>
        </w:tc>
      </w:tr>
    </w:tbl>
    <w:p w14:paraId="3E16E30E" w14:textId="77777777" w:rsidR="00F5289E" w:rsidRDefault="00F5289E">
      <w:pPr>
        <w:spacing w:line="360" w:lineRule="auto"/>
        <w:ind w:firstLineChars="200" w:firstLine="420"/>
        <w:rPr>
          <w:color w:val="FF0000"/>
        </w:rPr>
      </w:pPr>
    </w:p>
    <w:p w14:paraId="0F1174F1" w14:textId="77777777" w:rsidR="00F5289E" w:rsidRDefault="00C91173">
      <w:pPr>
        <w:spacing w:line="360" w:lineRule="auto"/>
        <w:rPr>
          <w:color w:val="262600"/>
        </w:rPr>
      </w:pPr>
      <w:r>
        <w:rPr>
          <w:rFonts w:hint="eastAsia"/>
          <w:b/>
          <w:bCs/>
          <w:color w:val="262600"/>
        </w:rPr>
        <w:t>四</w:t>
      </w:r>
      <w:r>
        <w:rPr>
          <w:b/>
          <w:bCs/>
          <w:color w:val="262600"/>
        </w:rPr>
        <w:t>、理论教学内容及学时分配（</w:t>
      </w:r>
      <w:r>
        <w:rPr>
          <w:b/>
          <w:bCs/>
          <w:color w:val="262600"/>
        </w:rPr>
        <w:t>20</w:t>
      </w:r>
      <w:r>
        <w:rPr>
          <w:b/>
          <w:bCs/>
          <w:color w:val="262600"/>
        </w:rPr>
        <w:t>学时）</w:t>
      </w:r>
    </w:p>
    <w:p w14:paraId="2BC007C3" w14:textId="77777777" w:rsidR="00F5289E" w:rsidRDefault="00C91173">
      <w:pPr>
        <w:spacing w:beforeLines="50" w:before="156" w:afterLines="50" w:after="156" w:line="360" w:lineRule="auto"/>
        <w:ind w:firstLineChars="1500" w:firstLine="3162"/>
        <w:jc w:val="right"/>
        <w:rPr>
          <w:b/>
          <w:bCs/>
        </w:rPr>
      </w:pPr>
      <w:r>
        <w:rPr>
          <w:b/>
          <w:bCs/>
        </w:rPr>
        <w:t>第一章</w:t>
      </w:r>
      <w:r>
        <w:rPr>
          <w:rFonts w:hint="eastAsia"/>
          <w:b/>
          <w:bCs/>
        </w:rPr>
        <w:t xml:space="preserve">  </w:t>
      </w:r>
      <w:r>
        <w:rPr>
          <w:b/>
          <w:bCs/>
        </w:rPr>
        <w:t>绪</w:t>
      </w:r>
      <w:r>
        <w:rPr>
          <w:b/>
          <w:bCs/>
        </w:rPr>
        <w:t xml:space="preserve">  </w:t>
      </w:r>
      <w:r>
        <w:rPr>
          <w:b/>
          <w:bCs/>
        </w:rPr>
        <w:t>论</w:t>
      </w:r>
      <w:r>
        <w:rPr>
          <w:rFonts w:hint="eastAsia"/>
          <w:b/>
          <w:bCs/>
        </w:rPr>
        <w:t xml:space="preserve"> </w:t>
      </w:r>
      <w:r>
        <w:rPr>
          <w:b/>
          <w:bCs/>
        </w:rPr>
        <w:t xml:space="preserve">                          </w:t>
      </w:r>
      <w:r>
        <w:rPr>
          <w:b/>
          <w:bCs/>
        </w:rPr>
        <w:t>学时数</w:t>
      </w:r>
      <w:r>
        <w:rPr>
          <w:rFonts w:hint="eastAsia"/>
          <w:b/>
          <w:bCs/>
        </w:rPr>
        <w:t>：</w:t>
      </w:r>
      <w:r>
        <w:rPr>
          <w:rFonts w:hint="eastAsia"/>
          <w:b/>
          <w:bCs/>
        </w:rPr>
        <w:t>2</w:t>
      </w:r>
    </w:p>
    <w:p w14:paraId="00F67EE3" w14:textId="77777777" w:rsidR="00F5289E" w:rsidRDefault="00C91173">
      <w:pPr>
        <w:spacing w:line="360" w:lineRule="auto"/>
        <w:rPr>
          <w:color w:val="262600"/>
        </w:rPr>
      </w:pPr>
      <w:r>
        <w:rPr>
          <w:b/>
          <w:bCs/>
        </w:rPr>
        <w:t>教学</w:t>
      </w:r>
      <w:r>
        <w:rPr>
          <w:rFonts w:hint="eastAsia"/>
          <w:b/>
          <w:bCs/>
        </w:rPr>
        <w:t>目标</w:t>
      </w:r>
      <w:r>
        <w:rPr>
          <w:color w:val="262600"/>
        </w:rPr>
        <w:t>：了解</w:t>
      </w:r>
      <w:r>
        <w:rPr>
          <w:rFonts w:hint="eastAsia"/>
          <w:color w:val="262600"/>
        </w:rPr>
        <w:t>设施园艺产业发展现状与展望</w:t>
      </w:r>
    </w:p>
    <w:p w14:paraId="0B6E830A" w14:textId="77777777" w:rsidR="00F5289E" w:rsidRDefault="00C91173">
      <w:pPr>
        <w:spacing w:line="360" w:lineRule="auto"/>
      </w:pPr>
      <w:r>
        <w:rPr>
          <w:rFonts w:hint="eastAsia"/>
          <w:b/>
          <w:bCs/>
        </w:rPr>
        <w:t>教学重点和难点</w:t>
      </w:r>
      <w:r>
        <w:rPr>
          <w:rFonts w:hint="eastAsia"/>
        </w:rPr>
        <w:t>：国外设施园艺发展历程对我国设施园艺的启示</w:t>
      </w:r>
    </w:p>
    <w:p w14:paraId="29A5CF6E" w14:textId="77777777" w:rsidR="00F5289E" w:rsidRDefault="00C91173">
      <w:pPr>
        <w:spacing w:line="360" w:lineRule="auto"/>
        <w:rPr>
          <w:color w:val="262600"/>
        </w:rPr>
      </w:pPr>
      <w:r>
        <w:rPr>
          <w:rFonts w:hint="eastAsia"/>
          <w:b/>
          <w:bCs/>
        </w:rPr>
        <w:t>主要教学内容及要求</w:t>
      </w:r>
      <w:r>
        <w:rPr>
          <w:rFonts w:hint="eastAsia"/>
        </w:rPr>
        <w:t>：设施园艺的发展需求与动力；国外设施园艺发展历程与现状；我国设施园艺发展历程、我国设施园艺提升空间等</w:t>
      </w:r>
      <w:r>
        <w:rPr>
          <w:color w:val="262600"/>
        </w:rPr>
        <w:t>。</w:t>
      </w:r>
    </w:p>
    <w:p w14:paraId="59138829" w14:textId="77777777" w:rsidR="00F5289E" w:rsidRDefault="00C91173">
      <w:pPr>
        <w:spacing w:line="360" w:lineRule="auto"/>
        <w:rPr>
          <w:color w:val="262600"/>
        </w:rPr>
      </w:pPr>
      <w:r>
        <w:rPr>
          <w:color w:val="262600"/>
        </w:rPr>
        <w:t>第一节</w:t>
      </w:r>
      <w:r>
        <w:rPr>
          <w:color w:val="262600"/>
        </w:rPr>
        <w:t xml:space="preserve">  </w:t>
      </w:r>
      <w:r>
        <w:rPr>
          <w:color w:val="262600"/>
        </w:rPr>
        <w:t>设施园艺及其在农业中的地位</w:t>
      </w:r>
    </w:p>
    <w:p w14:paraId="5D5B833E" w14:textId="77777777" w:rsidR="00F5289E" w:rsidRDefault="00C91173">
      <w:pPr>
        <w:spacing w:line="360" w:lineRule="auto"/>
        <w:ind w:firstLineChars="200" w:firstLine="420"/>
        <w:rPr>
          <w:color w:val="262600"/>
        </w:rPr>
      </w:pPr>
      <w:r>
        <w:rPr>
          <w:color w:val="262600"/>
        </w:rPr>
        <w:t>一、设施园艺业概况</w:t>
      </w:r>
    </w:p>
    <w:p w14:paraId="1AC6CABA" w14:textId="77777777" w:rsidR="00F5289E" w:rsidRDefault="00C91173">
      <w:pPr>
        <w:spacing w:line="360" w:lineRule="auto"/>
        <w:ind w:firstLineChars="200" w:firstLine="420"/>
        <w:rPr>
          <w:color w:val="262600"/>
        </w:rPr>
      </w:pPr>
      <w:r>
        <w:rPr>
          <w:color w:val="262600"/>
        </w:rPr>
        <w:lastRenderedPageBreak/>
        <w:t>二、设施园艺业</w:t>
      </w:r>
      <w:r>
        <w:rPr>
          <w:rFonts w:hint="eastAsia"/>
          <w:color w:val="262600"/>
        </w:rPr>
        <w:t>发展需求与动力</w:t>
      </w:r>
    </w:p>
    <w:p w14:paraId="575BF5F2" w14:textId="77777777" w:rsidR="00F5289E" w:rsidRDefault="00C91173">
      <w:pPr>
        <w:spacing w:line="360" w:lineRule="auto"/>
        <w:rPr>
          <w:color w:val="262600"/>
        </w:rPr>
      </w:pPr>
      <w:r>
        <w:rPr>
          <w:color w:val="262600"/>
        </w:rPr>
        <w:t>第二节</w:t>
      </w:r>
      <w:r>
        <w:rPr>
          <w:color w:val="262600"/>
        </w:rPr>
        <w:t xml:space="preserve">  </w:t>
      </w:r>
      <w:r>
        <w:rPr>
          <w:color w:val="262600"/>
        </w:rPr>
        <w:t>国内外设施园艺的</w:t>
      </w:r>
      <w:r>
        <w:rPr>
          <w:rFonts w:hint="eastAsia"/>
          <w:color w:val="262600"/>
        </w:rPr>
        <w:t>发展历程与现状</w:t>
      </w:r>
    </w:p>
    <w:p w14:paraId="7DF71D7A" w14:textId="77777777" w:rsidR="00F5289E" w:rsidRDefault="00C91173">
      <w:pPr>
        <w:spacing w:line="360" w:lineRule="auto"/>
        <w:ind w:firstLineChars="200" w:firstLine="420"/>
        <w:rPr>
          <w:color w:val="262600"/>
        </w:rPr>
      </w:pPr>
      <w:r>
        <w:rPr>
          <w:color w:val="262600"/>
        </w:rPr>
        <w:t>一、中国设施园艺的发展现状</w:t>
      </w:r>
    </w:p>
    <w:p w14:paraId="0C32C5FD" w14:textId="77777777" w:rsidR="00F5289E" w:rsidRDefault="00C91173">
      <w:pPr>
        <w:spacing w:line="360" w:lineRule="auto"/>
        <w:ind w:firstLineChars="200" w:firstLine="420"/>
        <w:rPr>
          <w:color w:val="262600"/>
        </w:rPr>
      </w:pPr>
      <w:r>
        <w:rPr>
          <w:color w:val="262600"/>
        </w:rPr>
        <w:t>二、国外设施园艺的发展现状</w:t>
      </w:r>
    </w:p>
    <w:p w14:paraId="12E22759" w14:textId="77777777" w:rsidR="00F5289E" w:rsidRDefault="00C91173">
      <w:pPr>
        <w:ind w:firstLineChars="200" w:firstLine="420"/>
        <w:rPr>
          <w:color w:val="262600"/>
        </w:rPr>
      </w:pPr>
      <w:r>
        <w:rPr>
          <w:color w:val="262600"/>
        </w:rPr>
        <w:t>三、</w:t>
      </w:r>
      <w:r>
        <w:rPr>
          <w:rFonts w:hint="eastAsia"/>
          <w:color w:val="262600"/>
        </w:rPr>
        <w:t>设施园艺强国特征及启示</w:t>
      </w:r>
    </w:p>
    <w:p w14:paraId="090C29CC" w14:textId="77777777" w:rsidR="00F5289E" w:rsidRDefault="00C91173">
      <w:pPr>
        <w:rPr>
          <w:szCs w:val="21"/>
        </w:rPr>
      </w:pPr>
      <w:r>
        <w:rPr>
          <w:rFonts w:ascii="宋体" w:hAnsi="宋体" w:hint="eastAsia"/>
          <w:b/>
          <w:bCs/>
          <w:szCs w:val="21"/>
        </w:rPr>
        <w:t>教学组织与实施：</w:t>
      </w:r>
    </w:p>
    <w:p w14:paraId="32AC2DE2" w14:textId="77777777" w:rsidR="00F5289E" w:rsidRDefault="00C91173">
      <w:pPr>
        <w:spacing w:line="360" w:lineRule="auto"/>
        <w:ind w:firstLineChars="200" w:firstLine="420"/>
        <w:rPr>
          <w:color w:val="262600"/>
        </w:rPr>
      </w:pPr>
      <w:r>
        <w:rPr>
          <w:rFonts w:hint="eastAsia"/>
          <w:color w:val="262600"/>
        </w:rPr>
        <w:t>以案例分析、</w:t>
      </w:r>
      <w:r>
        <w:rPr>
          <w:color w:val="262600"/>
        </w:rPr>
        <w:t>数据图例分析</w:t>
      </w:r>
      <w:r>
        <w:rPr>
          <w:rFonts w:hint="eastAsia"/>
          <w:color w:val="262600"/>
        </w:rPr>
        <w:t>法为主；采用图文并茂并</w:t>
      </w:r>
      <w:r>
        <w:rPr>
          <w:color w:val="262600"/>
        </w:rPr>
        <w:t>结合教学视频</w:t>
      </w:r>
      <w:r>
        <w:rPr>
          <w:rFonts w:hint="eastAsia"/>
          <w:color w:val="262600"/>
        </w:rPr>
        <w:t>的方式展示设施园艺</w:t>
      </w:r>
      <w:r>
        <w:rPr>
          <w:color w:val="262600"/>
        </w:rPr>
        <w:t>的发展历史及研究进展</w:t>
      </w:r>
      <w:r>
        <w:rPr>
          <w:rFonts w:hint="eastAsia"/>
          <w:color w:val="262600"/>
        </w:rPr>
        <w:t>；综合考虑学生前期</w:t>
      </w:r>
      <w:r>
        <w:rPr>
          <w:color w:val="262600"/>
        </w:rPr>
        <w:t>的</w:t>
      </w:r>
      <w:r>
        <w:rPr>
          <w:rFonts w:hint="eastAsia"/>
          <w:color w:val="262600"/>
        </w:rPr>
        <w:t>学习基础</w:t>
      </w:r>
      <w:r>
        <w:rPr>
          <w:color w:val="262600"/>
        </w:rPr>
        <w:t>，</w:t>
      </w:r>
      <w:r>
        <w:rPr>
          <w:rFonts w:hint="eastAsia"/>
          <w:color w:val="262600"/>
        </w:rPr>
        <w:t>分析设施</w:t>
      </w:r>
      <w:r>
        <w:rPr>
          <w:color w:val="262600"/>
        </w:rPr>
        <w:t>园艺的发展前景和经营特点</w:t>
      </w:r>
      <w:r>
        <w:rPr>
          <w:rFonts w:hint="eastAsia"/>
          <w:color w:val="262600"/>
        </w:rPr>
        <w:t>；通过对比过去与现在人民生活水平的变化，了解设施园艺发展的重要性，理解其发展需求与动力。能够为我国设施园艺发展现状提出自己的理解和建议。</w:t>
      </w:r>
    </w:p>
    <w:p w14:paraId="1269087A" w14:textId="77777777" w:rsidR="00F5289E" w:rsidRDefault="00C91173">
      <w:pPr>
        <w:spacing w:beforeLines="50" w:before="156" w:afterLines="50" w:after="156" w:line="360" w:lineRule="auto"/>
        <w:jc w:val="center"/>
        <w:rPr>
          <w:b/>
          <w:bCs/>
          <w:color w:val="262600"/>
        </w:rPr>
      </w:pPr>
      <w:r>
        <w:rPr>
          <w:b/>
          <w:bCs/>
        </w:rPr>
        <w:t>第二章</w:t>
      </w:r>
      <w:r>
        <w:rPr>
          <w:b/>
          <w:bCs/>
          <w:color w:val="FF0000"/>
        </w:rPr>
        <w:t xml:space="preserve">  </w:t>
      </w:r>
      <w:r>
        <w:rPr>
          <w:rFonts w:hint="eastAsia"/>
          <w:b/>
          <w:bCs/>
          <w:color w:val="000000"/>
        </w:rPr>
        <w:t>园艺设施结构研究进展</w:t>
      </w:r>
      <w:r>
        <w:rPr>
          <w:rFonts w:hint="eastAsia"/>
          <w:b/>
          <w:bCs/>
          <w:color w:val="000000"/>
        </w:rPr>
        <w:t xml:space="preserve">  </w:t>
      </w:r>
      <w:r>
        <w:rPr>
          <w:rFonts w:hint="eastAsia"/>
          <w:b/>
          <w:bCs/>
          <w:color w:val="262600"/>
        </w:rPr>
        <w:t xml:space="preserve">         </w:t>
      </w:r>
      <w:r>
        <w:rPr>
          <w:b/>
          <w:bCs/>
          <w:color w:val="262600"/>
        </w:rPr>
        <w:t>学时数</w:t>
      </w:r>
      <w:r>
        <w:rPr>
          <w:rFonts w:hint="eastAsia"/>
          <w:b/>
          <w:bCs/>
          <w:color w:val="262600"/>
        </w:rPr>
        <w:t>：</w:t>
      </w:r>
      <w:r>
        <w:rPr>
          <w:rFonts w:hint="eastAsia"/>
          <w:b/>
          <w:bCs/>
          <w:color w:val="262600"/>
        </w:rPr>
        <w:t>2</w:t>
      </w:r>
    </w:p>
    <w:p w14:paraId="6276EDD6" w14:textId="77777777" w:rsidR="00F5289E" w:rsidRDefault="00C91173">
      <w:pPr>
        <w:spacing w:line="360" w:lineRule="auto"/>
        <w:rPr>
          <w:color w:val="262600"/>
          <w:szCs w:val="21"/>
        </w:rPr>
      </w:pPr>
      <w:r>
        <w:rPr>
          <w:rFonts w:ascii="宋体" w:hAnsi="宋体"/>
          <w:b/>
          <w:bCs/>
          <w:szCs w:val="21"/>
        </w:rPr>
        <w:t>教学</w:t>
      </w:r>
      <w:r>
        <w:rPr>
          <w:rFonts w:ascii="宋体" w:hAnsi="宋体" w:hint="eastAsia"/>
          <w:b/>
          <w:bCs/>
          <w:szCs w:val="21"/>
        </w:rPr>
        <w:t>目标</w:t>
      </w:r>
      <w:r>
        <w:rPr>
          <w:rFonts w:ascii="宋体" w:hAnsi="宋体"/>
          <w:color w:val="262600"/>
          <w:szCs w:val="21"/>
        </w:rPr>
        <w:t>：本课程的重点章节，掌握各种保护设施的结构，性能和应用范围。</w:t>
      </w:r>
    </w:p>
    <w:p w14:paraId="078F0975" w14:textId="77777777" w:rsidR="00F5289E" w:rsidRDefault="00C91173">
      <w:pPr>
        <w:spacing w:line="360" w:lineRule="auto"/>
        <w:rPr>
          <w:color w:val="262600"/>
          <w:szCs w:val="21"/>
        </w:rPr>
      </w:pPr>
      <w:r>
        <w:rPr>
          <w:rFonts w:ascii="宋体" w:hAnsi="宋体"/>
          <w:b/>
          <w:bCs/>
          <w:szCs w:val="21"/>
        </w:rPr>
        <w:t>教学重点和难点</w:t>
      </w:r>
      <w:r>
        <w:rPr>
          <w:rFonts w:ascii="宋体" w:hAnsi="宋体"/>
          <w:color w:val="262600"/>
          <w:szCs w:val="21"/>
        </w:rPr>
        <w:t>：各种保护设施的基本组成，各个部位的连接，环境条件的产生和影响，</w:t>
      </w:r>
      <w:r>
        <w:rPr>
          <w:rFonts w:ascii="宋体" w:hAnsi="宋体" w:hint="eastAsia"/>
          <w:color w:val="262600"/>
          <w:szCs w:val="21"/>
        </w:rPr>
        <w:t>设施</w:t>
      </w:r>
      <w:r>
        <w:rPr>
          <w:rFonts w:ascii="宋体" w:hAnsi="宋体"/>
          <w:color w:val="262600"/>
          <w:szCs w:val="21"/>
        </w:rPr>
        <w:t>的</w:t>
      </w:r>
      <w:r>
        <w:rPr>
          <w:rFonts w:ascii="宋体" w:hAnsi="宋体" w:hint="eastAsia"/>
          <w:color w:val="262600"/>
          <w:szCs w:val="21"/>
        </w:rPr>
        <w:t>应用范围。</w:t>
      </w:r>
    </w:p>
    <w:p w14:paraId="156A7166" w14:textId="77777777" w:rsidR="00F5289E" w:rsidRDefault="00C91173">
      <w:pPr>
        <w:spacing w:line="360" w:lineRule="auto"/>
        <w:rPr>
          <w:color w:val="262600"/>
          <w:szCs w:val="21"/>
        </w:rPr>
      </w:pPr>
      <w:r>
        <w:rPr>
          <w:rFonts w:ascii="宋体" w:hAnsi="宋体"/>
          <w:b/>
          <w:bCs/>
          <w:szCs w:val="21"/>
        </w:rPr>
        <w:t>主要教学内容及要求</w:t>
      </w:r>
      <w:r>
        <w:rPr>
          <w:rFonts w:ascii="宋体" w:hAnsi="宋体"/>
          <w:color w:val="262600"/>
          <w:szCs w:val="21"/>
        </w:rPr>
        <w:t>：</w:t>
      </w:r>
      <w:r>
        <w:rPr>
          <w:rFonts w:ascii="宋体" w:hAnsi="宋体" w:hint="eastAsia"/>
          <w:color w:val="262600"/>
          <w:szCs w:val="21"/>
        </w:rPr>
        <w:t>了解</w:t>
      </w:r>
      <w:r>
        <w:rPr>
          <w:rFonts w:ascii="宋体" w:hAnsi="宋体"/>
          <w:color w:val="262600"/>
          <w:szCs w:val="21"/>
        </w:rPr>
        <w:t>简易保护设施的类型，结构；</w:t>
      </w:r>
      <w:r>
        <w:rPr>
          <w:rFonts w:ascii="宋体" w:hAnsi="宋体" w:hint="eastAsia"/>
          <w:color w:val="262600"/>
          <w:szCs w:val="21"/>
        </w:rPr>
        <w:t>理解</w:t>
      </w:r>
      <w:r>
        <w:rPr>
          <w:rFonts w:ascii="宋体" w:hAnsi="宋体"/>
          <w:color w:val="262600"/>
          <w:szCs w:val="21"/>
        </w:rPr>
        <w:t>不同结构类型之间的</w:t>
      </w:r>
      <w:r>
        <w:rPr>
          <w:rFonts w:ascii="宋体" w:hAnsi="宋体" w:hint="eastAsia"/>
          <w:color w:val="262600"/>
          <w:szCs w:val="21"/>
        </w:rPr>
        <w:t>差异；熟练掌握</w:t>
      </w:r>
      <w:r>
        <w:rPr>
          <w:rFonts w:ascii="宋体" w:hAnsi="宋体"/>
          <w:color w:val="262600"/>
          <w:szCs w:val="21"/>
        </w:rPr>
        <w:t>日光温室</w:t>
      </w:r>
      <w:r>
        <w:rPr>
          <w:rFonts w:ascii="宋体" w:hAnsi="宋体" w:hint="eastAsia"/>
          <w:color w:val="262600"/>
          <w:szCs w:val="21"/>
        </w:rPr>
        <w:t>、</w:t>
      </w:r>
      <w:r>
        <w:rPr>
          <w:rFonts w:ascii="宋体" w:hAnsi="宋体"/>
          <w:color w:val="262600"/>
          <w:szCs w:val="21"/>
        </w:rPr>
        <w:t>现代温室</w:t>
      </w:r>
      <w:r>
        <w:rPr>
          <w:rFonts w:ascii="宋体" w:hAnsi="宋体" w:hint="eastAsia"/>
          <w:color w:val="262600"/>
          <w:szCs w:val="21"/>
        </w:rPr>
        <w:t>和</w:t>
      </w:r>
      <w:r>
        <w:rPr>
          <w:rFonts w:ascii="宋体" w:hAnsi="宋体"/>
          <w:color w:val="262600"/>
          <w:szCs w:val="21"/>
        </w:rPr>
        <w:t>塑料拱棚</w:t>
      </w:r>
      <w:r>
        <w:rPr>
          <w:rFonts w:ascii="宋体" w:hAnsi="宋体" w:hint="eastAsia"/>
          <w:color w:val="262600"/>
          <w:szCs w:val="21"/>
        </w:rPr>
        <w:t>的类型、</w:t>
      </w:r>
      <w:r>
        <w:rPr>
          <w:rFonts w:ascii="宋体" w:hAnsi="宋体"/>
          <w:color w:val="262600"/>
          <w:szCs w:val="21"/>
        </w:rPr>
        <w:t>结构和性能</w:t>
      </w:r>
      <w:r>
        <w:rPr>
          <w:rFonts w:ascii="宋体" w:hAnsi="宋体" w:hint="eastAsia"/>
          <w:color w:val="262600"/>
          <w:szCs w:val="21"/>
        </w:rPr>
        <w:t>。</w:t>
      </w:r>
    </w:p>
    <w:p w14:paraId="2F8D09C2" w14:textId="77777777" w:rsidR="00F5289E" w:rsidRDefault="00C91173">
      <w:pPr>
        <w:spacing w:line="360" w:lineRule="auto"/>
        <w:rPr>
          <w:color w:val="262600"/>
          <w:szCs w:val="21"/>
        </w:rPr>
      </w:pPr>
      <w:r>
        <w:rPr>
          <w:rFonts w:ascii="宋体" w:hAnsi="宋体"/>
          <w:color w:val="262600"/>
          <w:szCs w:val="21"/>
        </w:rPr>
        <w:t>第一节</w:t>
      </w:r>
      <w:r>
        <w:rPr>
          <w:color w:val="262600"/>
          <w:szCs w:val="21"/>
        </w:rPr>
        <w:t xml:space="preserve">  </w:t>
      </w:r>
      <w:r>
        <w:rPr>
          <w:rFonts w:ascii="宋体" w:hAnsi="宋体"/>
          <w:color w:val="262600"/>
          <w:szCs w:val="21"/>
        </w:rPr>
        <w:t>设施结构类型介绍</w:t>
      </w:r>
    </w:p>
    <w:p w14:paraId="50BC17B0" w14:textId="77777777" w:rsidR="00F5289E" w:rsidRDefault="00C91173">
      <w:pPr>
        <w:spacing w:line="360" w:lineRule="auto"/>
        <w:ind w:firstLineChars="200" w:firstLine="420"/>
        <w:rPr>
          <w:color w:val="262600"/>
          <w:szCs w:val="21"/>
        </w:rPr>
      </w:pPr>
      <w:r>
        <w:rPr>
          <w:rFonts w:ascii="宋体" w:hAnsi="宋体"/>
          <w:color w:val="262600"/>
          <w:szCs w:val="21"/>
        </w:rPr>
        <w:t>掌握不同类型园艺设施的结构、构成和性能，以及各种设施的用途</w:t>
      </w:r>
      <w:r>
        <w:rPr>
          <w:rFonts w:ascii="宋体" w:hAnsi="宋体" w:hint="eastAsia"/>
          <w:color w:val="262600"/>
          <w:szCs w:val="21"/>
        </w:rPr>
        <w:t>。</w:t>
      </w:r>
    </w:p>
    <w:p w14:paraId="5AE5AE53" w14:textId="77777777" w:rsidR="00F5289E" w:rsidRDefault="00C91173">
      <w:pPr>
        <w:spacing w:line="360" w:lineRule="auto"/>
        <w:ind w:firstLineChars="200" w:firstLine="420"/>
        <w:rPr>
          <w:color w:val="262600"/>
          <w:szCs w:val="21"/>
        </w:rPr>
      </w:pPr>
      <w:r>
        <w:rPr>
          <w:rFonts w:ascii="宋体" w:hAnsi="宋体"/>
          <w:color w:val="262600"/>
          <w:szCs w:val="21"/>
        </w:rPr>
        <w:t>理解各种类型设施的光照、温度变化原理</w:t>
      </w:r>
      <w:r>
        <w:rPr>
          <w:rFonts w:ascii="宋体" w:hAnsi="宋体" w:hint="eastAsia"/>
          <w:color w:val="262600"/>
          <w:szCs w:val="21"/>
        </w:rPr>
        <w:t>。</w:t>
      </w:r>
    </w:p>
    <w:p w14:paraId="385D9BDE" w14:textId="77777777" w:rsidR="00F5289E" w:rsidRDefault="00C91173">
      <w:pPr>
        <w:spacing w:line="360" w:lineRule="auto"/>
        <w:ind w:firstLineChars="200" w:firstLine="420"/>
        <w:rPr>
          <w:rFonts w:ascii="宋体" w:hAnsi="宋体"/>
          <w:color w:val="262600"/>
          <w:szCs w:val="21"/>
        </w:rPr>
      </w:pPr>
      <w:r>
        <w:rPr>
          <w:rFonts w:ascii="宋体" w:hAnsi="宋体"/>
          <w:color w:val="262600"/>
          <w:szCs w:val="21"/>
        </w:rPr>
        <w:t>了解园艺设施的建造步骤。</w:t>
      </w:r>
    </w:p>
    <w:p w14:paraId="7A3154D5" w14:textId="77777777" w:rsidR="00F5289E" w:rsidRDefault="00C91173">
      <w:pPr>
        <w:spacing w:line="360" w:lineRule="auto"/>
        <w:ind w:left="420"/>
        <w:rPr>
          <w:color w:val="262600"/>
          <w:szCs w:val="21"/>
        </w:rPr>
      </w:pPr>
      <w:r>
        <w:rPr>
          <w:rFonts w:ascii="宋体" w:hAnsi="宋体"/>
          <w:color w:val="262600"/>
          <w:szCs w:val="21"/>
        </w:rPr>
        <w:t>一、简易保护设施</w:t>
      </w:r>
    </w:p>
    <w:p w14:paraId="519070A1" w14:textId="77777777" w:rsidR="00F5289E" w:rsidRDefault="00C91173">
      <w:pPr>
        <w:spacing w:line="360" w:lineRule="auto"/>
        <w:ind w:left="420"/>
        <w:rPr>
          <w:color w:val="262600"/>
          <w:szCs w:val="21"/>
        </w:rPr>
      </w:pPr>
      <w:r>
        <w:rPr>
          <w:rFonts w:ascii="宋体" w:hAnsi="宋体"/>
          <w:color w:val="262600"/>
          <w:szCs w:val="21"/>
        </w:rPr>
        <w:t>二、塑料薄膜拱棚</w:t>
      </w:r>
    </w:p>
    <w:p w14:paraId="2D3DB711" w14:textId="77777777" w:rsidR="00F5289E" w:rsidRDefault="00C91173">
      <w:pPr>
        <w:spacing w:line="360" w:lineRule="auto"/>
        <w:ind w:left="420"/>
        <w:rPr>
          <w:color w:val="262600"/>
          <w:szCs w:val="21"/>
        </w:rPr>
      </w:pPr>
      <w:r>
        <w:rPr>
          <w:rFonts w:ascii="宋体" w:hAnsi="宋体"/>
          <w:color w:val="262600"/>
          <w:szCs w:val="21"/>
        </w:rPr>
        <w:t>三、日光温室</w:t>
      </w:r>
    </w:p>
    <w:p w14:paraId="33A4D434" w14:textId="77777777" w:rsidR="00F5289E" w:rsidRDefault="00C91173">
      <w:pPr>
        <w:spacing w:line="360" w:lineRule="auto"/>
        <w:ind w:left="420"/>
        <w:rPr>
          <w:color w:val="262600"/>
          <w:szCs w:val="21"/>
        </w:rPr>
      </w:pPr>
      <w:r>
        <w:rPr>
          <w:rFonts w:ascii="宋体" w:hAnsi="宋体"/>
          <w:color w:val="262600"/>
          <w:szCs w:val="21"/>
        </w:rPr>
        <w:t>四、现代化温室</w:t>
      </w:r>
    </w:p>
    <w:p w14:paraId="556D9E3D" w14:textId="77777777" w:rsidR="00F5289E" w:rsidRDefault="00C91173">
      <w:pPr>
        <w:spacing w:line="360" w:lineRule="auto"/>
        <w:ind w:left="420"/>
        <w:rPr>
          <w:color w:val="262600"/>
          <w:szCs w:val="21"/>
        </w:rPr>
      </w:pPr>
      <w:r>
        <w:rPr>
          <w:rFonts w:ascii="宋体" w:hAnsi="宋体"/>
          <w:color w:val="262600"/>
          <w:szCs w:val="21"/>
        </w:rPr>
        <w:t>五、夏季保护设施</w:t>
      </w:r>
    </w:p>
    <w:p w14:paraId="695C71B5" w14:textId="77777777" w:rsidR="00F5289E" w:rsidRDefault="00C91173">
      <w:pPr>
        <w:rPr>
          <w:szCs w:val="21"/>
        </w:rPr>
      </w:pPr>
      <w:r>
        <w:rPr>
          <w:rFonts w:ascii="宋体" w:hAnsi="宋体" w:hint="eastAsia"/>
          <w:b/>
          <w:bCs/>
          <w:szCs w:val="21"/>
        </w:rPr>
        <w:t>教学组织与实施：</w:t>
      </w:r>
    </w:p>
    <w:p w14:paraId="1A832E02"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根据</w:t>
      </w:r>
      <w:r>
        <w:rPr>
          <w:rFonts w:ascii="宋体" w:hAnsi="宋体"/>
          <w:color w:val="262600"/>
          <w:szCs w:val="21"/>
        </w:rPr>
        <w:t>学生认知规律和接受特点，从最基础的简易保护设施如风障畦、阳畦温床等案例出发，到塑料大棚的开发与</w:t>
      </w:r>
      <w:r>
        <w:rPr>
          <w:rFonts w:ascii="宋体" w:hAnsi="宋体" w:hint="eastAsia"/>
          <w:color w:val="262600"/>
          <w:szCs w:val="21"/>
        </w:rPr>
        <w:t>应用</w:t>
      </w:r>
      <w:r>
        <w:rPr>
          <w:rFonts w:ascii="宋体" w:hAnsi="宋体"/>
          <w:color w:val="262600"/>
          <w:szCs w:val="21"/>
        </w:rPr>
        <w:t>，日光温室的发展与建造特性</w:t>
      </w:r>
      <w:r>
        <w:rPr>
          <w:rFonts w:ascii="宋体" w:hAnsi="宋体" w:hint="eastAsia"/>
          <w:color w:val="262600"/>
          <w:szCs w:val="21"/>
        </w:rPr>
        <w:t>，</w:t>
      </w:r>
      <w:r>
        <w:rPr>
          <w:rFonts w:ascii="宋体" w:hAnsi="宋体"/>
          <w:color w:val="262600"/>
          <w:szCs w:val="21"/>
        </w:rPr>
        <w:t>最终熟练掌握现代温室的结构特点，采用</w:t>
      </w:r>
      <w:r>
        <w:rPr>
          <w:rFonts w:ascii="宋体" w:hAnsi="宋体" w:hint="eastAsia"/>
          <w:color w:val="262600"/>
          <w:szCs w:val="21"/>
        </w:rPr>
        <w:t>采用图文并茂并</w:t>
      </w:r>
      <w:r>
        <w:rPr>
          <w:rFonts w:ascii="宋体" w:hAnsi="宋体"/>
          <w:color w:val="262600"/>
          <w:szCs w:val="21"/>
        </w:rPr>
        <w:t>结合教学视频</w:t>
      </w:r>
      <w:r>
        <w:rPr>
          <w:rFonts w:ascii="宋体" w:hAnsi="宋体" w:hint="eastAsia"/>
          <w:color w:val="262600"/>
          <w:szCs w:val="21"/>
        </w:rPr>
        <w:t>的方式讲授本章</w:t>
      </w:r>
      <w:r>
        <w:rPr>
          <w:rFonts w:ascii="宋体" w:hAnsi="宋体"/>
          <w:color w:val="262600"/>
          <w:szCs w:val="21"/>
        </w:rPr>
        <w:t>内容</w:t>
      </w:r>
      <w:r>
        <w:rPr>
          <w:rFonts w:ascii="宋体" w:hAnsi="宋体" w:hint="eastAsia"/>
          <w:color w:val="262600"/>
          <w:szCs w:val="21"/>
        </w:rPr>
        <w:t>；结合</w:t>
      </w:r>
      <w:r>
        <w:rPr>
          <w:rFonts w:ascii="宋体" w:hAnsi="宋体"/>
          <w:color w:val="262600"/>
          <w:szCs w:val="21"/>
        </w:rPr>
        <w:t>课堂作业和提问</w:t>
      </w:r>
      <w:r>
        <w:rPr>
          <w:rFonts w:ascii="宋体" w:hAnsi="宋体" w:hint="eastAsia"/>
          <w:color w:val="262600"/>
          <w:szCs w:val="21"/>
        </w:rPr>
        <w:t>互动</w:t>
      </w:r>
      <w:r>
        <w:rPr>
          <w:rFonts w:ascii="宋体" w:hAnsi="宋体"/>
          <w:color w:val="262600"/>
          <w:szCs w:val="21"/>
        </w:rPr>
        <w:t>增强学生</w:t>
      </w:r>
      <w:r>
        <w:rPr>
          <w:rFonts w:ascii="宋体" w:hAnsi="宋体" w:hint="eastAsia"/>
          <w:color w:val="262600"/>
          <w:szCs w:val="21"/>
        </w:rPr>
        <w:t>掌握</w:t>
      </w:r>
      <w:r>
        <w:rPr>
          <w:rFonts w:ascii="宋体" w:hAnsi="宋体"/>
          <w:color w:val="262600"/>
          <w:szCs w:val="21"/>
        </w:rPr>
        <w:t>重点内容</w:t>
      </w:r>
      <w:r>
        <w:rPr>
          <w:rFonts w:ascii="宋体" w:hAnsi="宋体" w:hint="eastAsia"/>
          <w:color w:val="262600"/>
          <w:szCs w:val="21"/>
        </w:rPr>
        <w:t>。</w:t>
      </w:r>
    </w:p>
    <w:p w14:paraId="3588C2DE" w14:textId="77777777" w:rsidR="00F5289E" w:rsidRDefault="00C91173">
      <w:pPr>
        <w:spacing w:beforeLines="50" w:before="156" w:afterLines="50" w:after="156" w:line="360" w:lineRule="auto"/>
        <w:jc w:val="center"/>
        <w:rPr>
          <w:b/>
          <w:bCs/>
          <w:color w:val="262600"/>
        </w:rPr>
      </w:pPr>
      <w:r>
        <w:rPr>
          <w:b/>
          <w:bCs/>
          <w:color w:val="262600"/>
        </w:rPr>
        <w:lastRenderedPageBreak/>
        <w:t>第</w:t>
      </w:r>
      <w:r>
        <w:rPr>
          <w:rFonts w:hint="eastAsia"/>
          <w:b/>
          <w:bCs/>
        </w:rPr>
        <w:t>三</w:t>
      </w:r>
      <w:r>
        <w:rPr>
          <w:b/>
          <w:bCs/>
          <w:color w:val="262600"/>
        </w:rPr>
        <w:t>章</w:t>
      </w:r>
      <w:r>
        <w:rPr>
          <w:b/>
          <w:bCs/>
          <w:color w:val="262600"/>
        </w:rPr>
        <w:t xml:space="preserve">  </w:t>
      </w:r>
      <w:r>
        <w:rPr>
          <w:rFonts w:hint="eastAsia"/>
          <w:b/>
          <w:bCs/>
          <w:color w:val="262600"/>
        </w:rPr>
        <w:t>设施温光环境调控研究进展</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rFonts w:hint="eastAsia"/>
          <w:b/>
          <w:bCs/>
          <w:color w:val="262600"/>
        </w:rPr>
        <w:t>4</w:t>
      </w:r>
    </w:p>
    <w:p w14:paraId="5AA884B5" w14:textId="77777777" w:rsidR="00F5289E" w:rsidRDefault="00C91173">
      <w:pPr>
        <w:spacing w:line="360" w:lineRule="auto"/>
        <w:rPr>
          <w:color w:val="262600"/>
          <w:szCs w:val="21"/>
        </w:rPr>
      </w:pPr>
      <w:r>
        <w:rPr>
          <w:rFonts w:ascii="宋体" w:hAnsi="宋体"/>
          <w:b/>
          <w:bCs/>
          <w:szCs w:val="21"/>
        </w:rPr>
        <w:t>教学</w:t>
      </w:r>
      <w:r>
        <w:rPr>
          <w:rFonts w:ascii="宋体" w:hAnsi="宋体" w:hint="eastAsia"/>
          <w:b/>
          <w:bCs/>
          <w:szCs w:val="21"/>
        </w:rPr>
        <w:t>目标</w:t>
      </w:r>
      <w:r>
        <w:rPr>
          <w:rFonts w:ascii="宋体" w:hAnsi="宋体"/>
          <w:color w:val="262600"/>
          <w:szCs w:val="21"/>
        </w:rPr>
        <w:t>：掌握保护设施</w:t>
      </w:r>
      <w:r>
        <w:rPr>
          <w:rFonts w:ascii="宋体" w:hAnsi="宋体" w:hint="eastAsia"/>
          <w:color w:val="262600"/>
          <w:szCs w:val="21"/>
        </w:rPr>
        <w:t>温度和光照环境调控研究进展。</w:t>
      </w:r>
    </w:p>
    <w:p w14:paraId="0DF7E73A" w14:textId="77777777" w:rsidR="00F5289E" w:rsidRDefault="00C91173">
      <w:pPr>
        <w:spacing w:line="360" w:lineRule="auto"/>
        <w:rPr>
          <w:color w:val="262600"/>
          <w:szCs w:val="21"/>
        </w:rPr>
      </w:pPr>
      <w:r>
        <w:rPr>
          <w:rFonts w:ascii="宋体" w:hAnsi="宋体"/>
          <w:b/>
          <w:bCs/>
          <w:szCs w:val="21"/>
        </w:rPr>
        <w:t>教学重点和难点</w:t>
      </w:r>
      <w:r>
        <w:rPr>
          <w:rFonts w:ascii="宋体" w:hAnsi="宋体"/>
          <w:color w:val="262600"/>
          <w:szCs w:val="21"/>
        </w:rPr>
        <w:t>：</w:t>
      </w:r>
      <w:r>
        <w:rPr>
          <w:rFonts w:ascii="宋体" w:hAnsi="宋体" w:hint="eastAsia"/>
          <w:color w:val="262600"/>
          <w:szCs w:val="21"/>
        </w:rPr>
        <w:t>温光环境调控在设施栽培中的研究和应用。</w:t>
      </w:r>
    </w:p>
    <w:p w14:paraId="7A6E5CE1" w14:textId="77777777" w:rsidR="00F5289E" w:rsidRDefault="00C91173">
      <w:pPr>
        <w:spacing w:line="360" w:lineRule="auto"/>
        <w:rPr>
          <w:color w:val="262600"/>
          <w:szCs w:val="21"/>
        </w:rPr>
      </w:pPr>
      <w:r>
        <w:rPr>
          <w:rFonts w:ascii="宋体" w:hAnsi="宋体"/>
          <w:b/>
          <w:bCs/>
          <w:szCs w:val="21"/>
        </w:rPr>
        <w:t>主要教学内容及要求</w:t>
      </w:r>
      <w:r>
        <w:rPr>
          <w:rFonts w:ascii="宋体" w:hAnsi="宋体"/>
          <w:color w:val="262600"/>
          <w:szCs w:val="21"/>
        </w:rPr>
        <w:t>：</w:t>
      </w:r>
      <w:r>
        <w:rPr>
          <w:rFonts w:ascii="宋体" w:hAnsi="宋体" w:hint="eastAsia"/>
          <w:color w:val="262600"/>
          <w:szCs w:val="21"/>
        </w:rPr>
        <w:t>光环境在设施园艺植物栽培中的重要性，重点讲解高温、低温、光质、光强、光周期调控在设施栽培中的研究、应用和前景。再结合我国设施温光环境特点的基础上，能够为我国设施园艺作物高效优质栽培提供技术支撑。</w:t>
      </w:r>
    </w:p>
    <w:p w14:paraId="76EE2882" w14:textId="77777777" w:rsidR="00F5289E" w:rsidRDefault="00C91173">
      <w:pPr>
        <w:spacing w:line="360" w:lineRule="auto"/>
        <w:rPr>
          <w:color w:val="262600"/>
          <w:szCs w:val="21"/>
        </w:rPr>
      </w:pPr>
      <w:r>
        <w:rPr>
          <w:rFonts w:ascii="宋体" w:hAnsi="宋体"/>
          <w:color w:val="262600"/>
          <w:szCs w:val="21"/>
        </w:rPr>
        <w:t>第一节</w:t>
      </w:r>
      <w:r>
        <w:rPr>
          <w:rFonts w:ascii="宋体" w:hAnsi="宋体" w:hint="eastAsia"/>
          <w:color w:val="262600"/>
          <w:szCs w:val="21"/>
        </w:rPr>
        <w:t xml:space="preserve"> 温度调控在设施栽培中的研究</w:t>
      </w:r>
    </w:p>
    <w:p w14:paraId="2994FE56"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一、温度与植物</w:t>
      </w:r>
    </w:p>
    <w:p w14:paraId="53EDED80" w14:textId="77777777" w:rsidR="00F5289E" w:rsidRDefault="00C91173">
      <w:pPr>
        <w:spacing w:line="360" w:lineRule="auto"/>
        <w:ind w:left="420"/>
        <w:rPr>
          <w:color w:val="262600"/>
          <w:szCs w:val="21"/>
        </w:rPr>
      </w:pPr>
      <w:r>
        <w:rPr>
          <w:rFonts w:ascii="宋体" w:hAnsi="宋体" w:hint="eastAsia"/>
          <w:color w:val="262600"/>
          <w:szCs w:val="21"/>
        </w:rPr>
        <w:t>二、温度调控在设施栽培中的研究</w:t>
      </w:r>
    </w:p>
    <w:p w14:paraId="69BD338B" w14:textId="77777777" w:rsidR="00F5289E" w:rsidRDefault="00C91173">
      <w:pPr>
        <w:spacing w:line="360" w:lineRule="auto"/>
        <w:ind w:left="420"/>
        <w:rPr>
          <w:color w:val="262600"/>
          <w:szCs w:val="21"/>
        </w:rPr>
      </w:pPr>
      <w:r>
        <w:rPr>
          <w:rFonts w:ascii="宋体" w:hAnsi="宋体" w:hint="eastAsia"/>
          <w:color w:val="262600"/>
          <w:szCs w:val="21"/>
        </w:rPr>
        <w:t>三、温度调控在设施栽培中的应用和前景</w:t>
      </w:r>
    </w:p>
    <w:p w14:paraId="1A6F58DB" w14:textId="77777777" w:rsidR="00F5289E" w:rsidRDefault="00C91173">
      <w:pPr>
        <w:spacing w:line="360" w:lineRule="auto"/>
        <w:rPr>
          <w:rFonts w:ascii="宋体" w:hAnsi="宋体"/>
          <w:color w:val="262600"/>
          <w:szCs w:val="21"/>
        </w:rPr>
      </w:pPr>
      <w:r>
        <w:rPr>
          <w:rFonts w:ascii="宋体" w:hAnsi="宋体"/>
          <w:color w:val="262600"/>
          <w:szCs w:val="21"/>
        </w:rPr>
        <w:t>第二节</w:t>
      </w:r>
      <w:r>
        <w:rPr>
          <w:rFonts w:ascii="宋体" w:hAnsi="宋体" w:hint="eastAsia"/>
          <w:color w:val="262600"/>
          <w:szCs w:val="21"/>
        </w:rPr>
        <w:t xml:space="preserve"> 温度调控在设施栽培中的研究</w:t>
      </w:r>
    </w:p>
    <w:p w14:paraId="3CB0789D"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一、光环境和植物</w:t>
      </w:r>
    </w:p>
    <w:p w14:paraId="590FFB92"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二、光环境调控在设施栽培中的研究</w:t>
      </w:r>
    </w:p>
    <w:p w14:paraId="5532F664" w14:textId="77777777" w:rsidR="00F5289E" w:rsidRDefault="00C91173">
      <w:pPr>
        <w:spacing w:line="360" w:lineRule="auto"/>
        <w:ind w:left="420"/>
        <w:rPr>
          <w:color w:val="262600"/>
          <w:szCs w:val="21"/>
        </w:rPr>
      </w:pPr>
      <w:r>
        <w:rPr>
          <w:rFonts w:ascii="宋体" w:hAnsi="宋体" w:hint="eastAsia"/>
          <w:color w:val="262600"/>
          <w:szCs w:val="21"/>
        </w:rPr>
        <w:t>三、光环境调控在设施栽培中的应用和前景</w:t>
      </w:r>
    </w:p>
    <w:p w14:paraId="1F2338D1" w14:textId="77777777" w:rsidR="00F5289E" w:rsidRDefault="00C91173">
      <w:pPr>
        <w:rPr>
          <w:szCs w:val="21"/>
        </w:rPr>
      </w:pPr>
      <w:r>
        <w:rPr>
          <w:rFonts w:ascii="宋体" w:hAnsi="宋体" w:hint="eastAsia"/>
          <w:b/>
          <w:bCs/>
          <w:szCs w:val="21"/>
        </w:rPr>
        <w:t>教学组织与实施：</w:t>
      </w:r>
    </w:p>
    <w:p w14:paraId="25475F47"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从</w:t>
      </w:r>
      <w:r>
        <w:rPr>
          <w:rFonts w:ascii="宋体" w:hAnsi="宋体" w:hint="eastAsia"/>
          <w:szCs w:val="21"/>
        </w:rPr>
        <w:t>温度和光环境对植物生长发育的影响，过渡到设施栽培过程中通过去改变植物生长环境中的温度和光照条件，从而达到调控作物生长的目的，最终通过温光环境调控在设施栽培中的应用实例和前景展望，进一步加强同学们对设施温光环境调控在设施生产中研究应用的认识。课堂</w:t>
      </w:r>
      <w:r>
        <w:rPr>
          <w:rFonts w:ascii="宋体" w:hAnsi="宋体" w:hint="eastAsia"/>
          <w:color w:val="262600"/>
          <w:szCs w:val="21"/>
        </w:rPr>
        <w:t>采用</w:t>
      </w:r>
      <w:r>
        <w:rPr>
          <w:rFonts w:ascii="宋体" w:hAnsi="宋体"/>
          <w:color w:val="262600"/>
          <w:szCs w:val="21"/>
        </w:rPr>
        <w:t>图文和视频展示</w:t>
      </w:r>
      <w:r>
        <w:rPr>
          <w:rFonts w:ascii="宋体" w:hAnsi="宋体" w:hint="eastAsia"/>
          <w:color w:val="262600"/>
          <w:szCs w:val="21"/>
        </w:rPr>
        <w:t>，</w:t>
      </w:r>
      <w:r>
        <w:rPr>
          <w:rFonts w:ascii="宋体" w:hAnsi="宋体"/>
          <w:color w:val="262600"/>
          <w:szCs w:val="21"/>
        </w:rPr>
        <w:t>让学生在课堂中充分理解相关内容，</w:t>
      </w:r>
      <w:r>
        <w:rPr>
          <w:rFonts w:ascii="宋体" w:hAnsi="宋体" w:hint="eastAsia"/>
          <w:color w:val="262600"/>
          <w:szCs w:val="21"/>
        </w:rPr>
        <w:t>结合</w:t>
      </w:r>
      <w:r>
        <w:rPr>
          <w:rFonts w:ascii="宋体" w:hAnsi="宋体"/>
          <w:color w:val="262600"/>
          <w:szCs w:val="21"/>
        </w:rPr>
        <w:t>课堂作业和提问</w:t>
      </w:r>
      <w:r>
        <w:rPr>
          <w:rFonts w:ascii="宋体" w:hAnsi="宋体" w:hint="eastAsia"/>
          <w:color w:val="262600"/>
          <w:szCs w:val="21"/>
        </w:rPr>
        <w:t>互动</w:t>
      </w:r>
      <w:r>
        <w:rPr>
          <w:rFonts w:ascii="宋体" w:hAnsi="宋体"/>
          <w:color w:val="262600"/>
          <w:szCs w:val="21"/>
        </w:rPr>
        <w:t>增强学生</w:t>
      </w:r>
      <w:r>
        <w:rPr>
          <w:rFonts w:ascii="宋体" w:hAnsi="宋体" w:hint="eastAsia"/>
          <w:color w:val="262600"/>
          <w:szCs w:val="21"/>
        </w:rPr>
        <w:t>掌握</w:t>
      </w:r>
      <w:r>
        <w:rPr>
          <w:rFonts w:ascii="宋体" w:hAnsi="宋体"/>
          <w:color w:val="262600"/>
          <w:szCs w:val="21"/>
        </w:rPr>
        <w:t>重点内容</w:t>
      </w:r>
      <w:r>
        <w:rPr>
          <w:rFonts w:ascii="宋体" w:hAnsi="宋体" w:hint="eastAsia"/>
          <w:color w:val="262600"/>
          <w:szCs w:val="21"/>
        </w:rPr>
        <w:t>。</w:t>
      </w:r>
    </w:p>
    <w:p w14:paraId="3E1EE6DB" w14:textId="77777777" w:rsidR="00F5289E" w:rsidRDefault="00F5289E">
      <w:pPr>
        <w:spacing w:line="360" w:lineRule="auto"/>
        <w:rPr>
          <w:color w:val="262600"/>
        </w:rPr>
      </w:pPr>
    </w:p>
    <w:p w14:paraId="428B4503" w14:textId="77777777" w:rsidR="00F5289E" w:rsidRDefault="00C91173">
      <w:pPr>
        <w:spacing w:beforeLines="50" w:before="156" w:afterLines="50" w:after="156" w:line="360" w:lineRule="auto"/>
        <w:jc w:val="center"/>
        <w:rPr>
          <w:b/>
          <w:color w:val="262600"/>
        </w:rPr>
      </w:pPr>
      <w:r>
        <w:rPr>
          <w:b/>
          <w:color w:val="262600"/>
        </w:rPr>
        <w:t>第</w:t>
      </w:r>
      <w:r>
        <w:rPr>
          <w:rFonts w:hint="eastAsia"/>
          <w:b/>
        </w:rPr>
        <w:t>四</w:t>
      </w:r>
      <w:r>
        <w:rPr>
          <w:b/>
          <w:color w:val="262600"/>
        </w:rPr>
        <w:t>章</w:t>
      </w:r>
      <w:r>
        <w:rPr>
          <w:b/>
          <w:color w:val="262600"/>
        </w:rPr>
        <w:t xml:space="preserve">  </w:t>
      </w:r>
      <w:r>
        <w:rPr>
          <w:rFonts w:hint="eastAsia"/>
          <w:b/>
          <w:color w:val="262600"/>
        </w:rPr>
        <w:t>植物工厂科技进展与关键技术问题剖析</w:t>
      </w:r>
      <w:r>
        <w:rPr>
          <w:rFonts w:hint="eastAsia"/>
          <w:b/>
          <w:color w:val="262600"/>
        </w:rPr>
        <w:t xml:space="preserve">       </w:t>
      </w:r>
      <w:r>
        <w:rPr>
          <w:b/>
          <w:color w:val="262600"/>
        </w:rPr>
        <w:t xml:space="preserve"> </w:t>
      </w:r>
      <w:r>
        <w:rPr>
          <w:b/>
          <w:bCs/>
          <w:color w:val="262600"/>
        </w:rPr>
        <w:t>学时数</w:t>
      </w:r>
      <w:r>
        <w:rPr>
          <w:rFonts w:hint="eastAsia"/>
          <w:b/>
          <w:bCs/>
          <w:color w:val="262600"/>
        </w:rPr>
        <w:t>：</w:t>
      </w:r>
      <w:r>
        <w:rPr>
          <w:rFonts w:hint="eastAsia"/>
          <w:b/>
          <w:bCs/>
          <w:color w:val="262600"/>
        </w:rPr>
        <w:t>2</w:t>
      </w:r>
    </w:p>
    <w:p w14:paraId="73E35BAE" w14:textId="77777777" w:rsidR="00F5289E" w:rsidRDefault="00C91173">
      <w:pPr>
        <w:spacing w:line="360" w:lineRule="auto"/>
        <w:rPr>
          <w:color w:val="262600"/>
          <w:szCs w:val="21"/>
        </w:rPr>
      </w:pPr>
      <w:r>
        <w:rPr>
          <w:rFonts w:ascii="宋体" w:hAnsi="宋体"/>
          <w:b/>
          <w:bCs/>
          <w:szCs w:val="21"/>
        </w:rPr>
        <w:t>教学目</w:t>
      </w:r>
      <w:r>
        <w:rPr>
          <w:rFonts w:ascii="宋体" w:hAnsi="宋体" w:hint="eastAsia"/>
          <w:b/>
          <w:bCs/>
          <w:szCs w:val="21"/>
        </w:rPr>
        <w:t>标</w:t>
      </w:r>
      <w:r>
        <w:rPr>
          <w:rFonts w:ascii="宋体" w:hAnsi="宋体"/>
          <w:color w:val="262600"/>
          <w:szCs w:val="21"/>
        </w:rPr>
        <w:t>：要求掌握</w:t>
      </w:r>
      <w:r>
        <w:rPr>
          <w:rFonts w:ascii="宋体" w:hAnsi="宋体" w:hint="eastAsia"/>
          <w:color w:val="262600"/>
          <w:szCs w:val="21"/>
        </w:rPr>
        <w:t>植物工厂的特点及在设施农业生产中的具体应用。</w:t>
      </w:r>
    </w:p>
    <w:p w14:paraId="74410902" w14:textId="77777777" w:rsidR="00F5289E" w:rsidRDefault="00C91173">
      <w:pPr>
        <w:spacing w:line="360" w:lineRule="auto"/>
        <w:rPr>
          <w:color w:val="262600"/>
          <w:szCs w:val="21"/>
        </w:rPr>
      </w:pPr>
      <w:r>
        <w:rPr>
          <w:rFonts w:ascii="宋体" w:hAnsi="宋体"/>
          <w:b/>
          <w:bCs/>
          <w:szCs w:val="21"/>
        </w:rPr>
        <w:t>教学重点和难点</w:t>
      </w:r>
      <w:r>
        <w:rPr>
          <w:rFonts w:ascii="宋体" w:hAnsi="宋体"/>
          <w:color w:val="262600"/>
          <w:szCs w:val="21"/>
        </w:rPr>
        <w:t>：</w:t>
      </w:r>
      <w:r>
        <w:rPr>
          <w:rFonts w:ascii="宋体" w:hAnsi="宋体" w:hint="eastAsia"/>
          <w:color w:val="262600"/>
          <w:szCs w:val="21"/>
        </w:rPr>
        <w:t>植物工厂的特点及存在问题；植物工厂的核心技术。</w:t>
      </w:r>
    </w:p>
    <w:p w14:paraId="7E039A05" w14:textId="77777777" w:rsidR="00F5289E" w:rsidRDefault="00C91173">
      <w:pPr>
        <w:spacing w:line="360" w:lineRule="auto"/>
        <w:rPr>
          <w:rFonts w:ascii="宋体" w:hAnsi="宋体"/>
          <w:color w:val="262600"/>
          <w:szCs w:val="21"/>
        </w:rPr>
      </w:pPr>
      <w:r>
        <w:rPr>
          <w:rFonts w:ascii="宋体" w:hAnsi="宋体"/>
          <w:b/>
          <w:bCs/>
          <w:szCs w:val="21"/>
        </w:rPr>
        <w:t>主要教学内容及要求</w:t>
      </w:r>
      <w:r>
        <w:rPr>
          <w:rFonts w:ascii="宋体" w:hAnsi="宋体"/>
          <w:color w:val="262600"/>
          <w:szCs w:val="21"/>
        </w:rPr>
        <w:t>：</w:t>
      </w:r>
      <w:r>
        <w:rPr>
          <w:rFonts w:ascii="宋体" w:hAnsi="宋体" w:hint="eastAsia"/>
          <w:color w:val="262600"/>
          <w:szCs w:val="21"/>
        </w:rPr>
        <w:t>通过案例，了解植物工厂的定义、特点、核心技术及存在问题，能够为我国工厂化农业发展提供宝贵建议。</w:t>
      </w:r>
    </w:p>
    <w:p w14:paraId="6B389B3D" w14:textId="77777777" w:rsidR="00F5289E" w:rsidRDefault="00C91173">
      <w:pPr>
        <w:spacing w:line="360" w:lineRule="auto"/>
        <w:rPr>
          <w:b/>
          <w:color w:val="262600"/>
          <w:szCs w:val="21"/>
        </w:rPr>
      </w:pPr>
      <w:r>
        <w:rPr>
          <w:rFonts w:ascii="宋体" w:hAnsi="宋体"/>
          <w:b/>
          <w:color w:val="262600"/>
          <w:szCs w:val="21"/>
        </w:rPr>
        <w:t>第一节</w:t>
      </w:r>
      <w:r>
        <w:rPr>
          <w:b/>
          <w:color w:val="262600"/>
          <w:szCs w:val="21"/>
        </w:rPr>
        <w:t xml:space="preserve">  </w:t>
      </w:r>
      <w:r>
        <w:rPr>
          <w:rFonts w:ascii="宋体" w:hAnsi="宋体"/>
          <w:b/>
          <w:color w:val="262600"/>
          <w:szCs w:val="21"/>
        </w:rPr>
        <w:t>光环境特点及其调控</w:t>
      </w:r>
    </w:p>
    <w:p w14:paraId="75A862E0" w14:textId="77777777" w:rsidR="00F5289E" w:rsidRDefault="00C91173">
      <w:pPr>
        <w:spacing w:line="360" w:lineRule="auto"/>
        <w:ind w:firstLineChars="200" w:firstLine="420"/>
        <w:rPr>
          <w:color w:val="262600"/>
          <w:szCs w:val="21"/>
        </w:rPr>
      </w:pPr>
      <w:r>
        <w:rPr>
          <w:rFonts w:ascii="宋体" w:hAnsi="宋体"/>
          <w:szCs w:val="21"/>
        </w:rPr>
        <w:t>了</w:t>
      </w:r>
      <w:r>
        <w:rPr>
          <w:rFonts w:ascii="宋体" w:hAnsi="宋体"/>
          <w:color w:val="262600"/>
          <w:szCs w:val="21"/>
        </w:rPr>
        <w:t>解</w:t>
      </w:r>
      <w:r>
        <w:rPr>
          <w:rFonts w:ascii="宋体" w:hAnsi="宋体" w:hint="eastAsia"/>
          <w:color w:val="262600"/>
          <w:szCs w:val="21"/>
        </w:rPr>
        <w:t>植物工厂的定义和应用案例。</w:t>
      </w:r>
    </w:p>
    <w:p w14:paraId="57E624FC" w14:textId="77777777" w:rsidR="00F5289E" w:rsidRDefault="00C91173">
      <w:pPr>
        <w:spacing w:line="360" w:lineRule="auto"/>
        <w:ind w:firstLineChars="200" w:firstLine="420"/>
        <w:rPr>
          <w:color w:val="262600"/>
          <w:szCs w:val="21"/>
        </w:rPr>
      </w:pPr>
      <w:r>
        <w:rPr>
          <w:rFonts w:ascii="宋体" w:hAnsi="宋体"/>
          <w:color w:val="262600"/>
          <w:szCs w:val="21"/>
        </w:rPr>
        <w:t>理解</w:t>
      </w:r>
      <w:r>
        <w:rPr>
          <w:rFonts w:ascii="宋体" w:hAnsi="宋体" w:hint="eastAsia"/>
          <w:color w:val="262600"/>
          <w:szCs w:val="21"/>
        </w:rPr>
        <w:t>植物工厂的存在问题。</w:t>
      </w:r>
    </w:p>
    <w:p w14:paraId="3325A9E5" w14:textId="77777777" w:rsidR="00F5289E" w:rsidRDefault="00C91173">
      <w:pPr>
        <w:spacing w:line="360" w:lineRule="auto"/>
        <w:ind w:firstLineChars="200" w:firstLine="420"/>
        <w:rPr>
          <w:color w:val="262600"/>
          <w:szCs w:val="21"/>
        </w:rPr>
      </w:pPr>
      <w:r>
        <w:rPr>
          <w:rFonts w:ascii="宋体" w:hAnsi="宋体"/>
          <w:color w:val="262600"/>
          <w:szCs w:val="21"/>
        </w:rPr>
        <w:lastRenderedPageBreak/>
        <w:t>掌握植</w:t>
      </w:r>
      <w:r>
        <w:rPr>
          <w:rFonts w:ascii="宋体" w:hAnsi="宋体" w:hint="eastAsia"/>
          <w:color w:val="262600"/>
          <w:szCs w:val="21"/>
        </w:rPr>
        <w:t>物工厂的特点和核心技术。</w:t>
      </w:r>
    </w:p>
    <w:p w14:paraId="46F38192"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一、植物工厂的定义和发展史</w:t>
      </w:r>
    </w:p>
    <w:p w14:paraId="06BE8D8B"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二、植物工厂分类、特点和核心技术</w:t>
      </w:r>
    </w:p>
    <w:p w14:paraId="5748B642" w14:textId="77777777" w:rsidR="00F5289E" w:rsidRDefault="00C91173">
      <w:pPr>
        <w:spacing w:line="360" w:lineRule="auto"/>
        <w:ind w:left="420"/>
        <w:rPr>
          <w:rFonts w:ascii="宋体" w:hAnsi="宋体"/>
          <w:color w:val="262600"/>
          <w:szCs w:val="21"/>
        </w:rPr>
      </w:pPr>
      <w:r>
        <w:rPr>
          <w:rFonts w:ascii="宋体" w:hAnsi="宋体" w:hint="eastAsia"/>
          <w:color w:val="262600"/>
          <w:szCs w:val="21"/>
        </w:rPr>
        <w:t>三、植物工厂的主要问题</w:t>
      </w:r>
    </w:p>
    <w:p w14:paraId="1B84D4A0" w14:textId="77777777" w:rsidR="00F5289E" w:rsidRDefault="00C91173">
      <w:pPr>
        <w:spacing w:line="360" w:lineRule="auto"/>
        <w:ind w:left="420"/>
        <w:rPr>
          <w:color w:val="262600"/>
          <w:szCs w:val="21"/>
        </w:rPr>
      </w:pPr>
      <w:r>
        <w:rPr>
          <w:rFonts w:ascii="宋体" w:hAnsi="宋体" w:hint="eastAsia"/>
          <w:color w:val="262600"/>
          <w:szCs w:val="21"/>
        </w:rPr>
        <w:t>四、植物工厂案例</w:t>
      </w:r>
    </w:p>
    <w:p w14:paraId="51DDBF03" w14:textId="77777777" w:rsidR="00F5289E" w:rsidRDefault="00C91173">
      <w:pPr>
        <w:rPr>
          <w:szCs w:val="21"/>
        </w:rPr>
      </w:pPr>
      <w:r>
        <w:rPr>
          <w:rFonts w:ascii="宋体" w:hAnsi="宋体" w:hint="eastAsia"/>
          <w:b/>
          <w:bCs/>
          <w:szCs w:val="21"/>
        </w:rPr>
        <w:t>教学组织与实施：</w:t>
      </w:r>
    </w:p>
    <w:p w14:paraId="42F5BB78"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本章</w:t>
      </w:r>
      <w:r>
        <w:rPr>
          <w:rFonts w:ascii="宋体" w:hAnsi="宋体"/>
          <w:color w:val="262600"/>
          <w:szCs w:val="21"/>
        </w:rPr>
        <w:t>从植物工厂的</w:t>
      </w:r>
      <w:r>
        <w:rPr>
          <w:rFonts w:ascii="宋体" w:hAnsi="宋体" w:hint="eastAsia"/>
          <w:color w:val="262600"/>
          <w:szCs w:val="21"/>
        </w:rPr>
        <w:t>定义和发展史出发图文并茂的了解植物工厂的由来</w:t>
      </w:r>
      <w:r>
        <w:rPr>
          <w:rFonts w:ascii="宋体" w:hAnsi="宋体"/>
          <w:color w:val="262600"/>
          <w:szCs w:val="21"/>
        </w:rPr>
        <w:t>，进一步通过课堂讲解，</w:t>
      </w:r>
      <w:r>
        <w:rPr>
          <w:rFonts w:ascii="宋体" w:hAnsi="宋体" w:hint="eastAsia"/>
          <w:color w:val="262600"/>
          <w:szCs w:val="21"/>
        </w:rPr>
        <w:t>视频</w:t>
      </w:r>
      <w:r>
        <w:rPr>
          <w:rFonts w:ascii="宋体" w:hAnsi="宋体"/>
          <w:color w:val="262600"/>
          <w:szCs w:val="21"/>
        </w:rPr>
        <w:t>资料</w:t>
      </w:r>
      <w:r>
        <w:rPr>
          <w:rFonts w:ascii="宋体" w:hAnsi="宋体" w:hint="eastAsia"/>
          <w:color w:val="262600"/>
          <w:szCs w:val="21"/>
        </w:rPr>
        <w:t>教学</w:t>
      </w:r>
      <w:r>
        <w:rPr>
          <w:rFonts w:ascii="宋体" w:hAnsi="宋体"/>
          <w:color w:val="262600"/>
          <w:szCs w:val="21"/>
        </w:rPr>
        <w:t>学习现代</w:t>
      </w:r>
      <w:r>
        <w:rPr>
          <w:rFonts w:ascii="宋体" w:hAnsi="宋体" w:hint="eastAsia"/>
          <w:color w:val="262600"/>
          <w:szCs w:val="21"/>
        </w:rPr>
        <w:t>植物工厂的分类、特点和核心技术</w:t>
      </w:r>
      <w:r>
        <w:rPr>
          <w:rFonts w:ascii="宋体" w:hAnsi="宋体"/>
          <w:color w:val="262600"/>
          <w:szCs w:val="21"/>
        </w:rPr>
        <w:t>，</w:t>
      </w:r>
      <w:r>
        <w:rPr>
          <w:rFonts w:ascii="宋体" w:hAnsi="宋体" w:hint="eastAsia"/>
          <w:color w:val="262600"/>
          <w:szCs w:val="21"/>
        </w:rPr>
        <w:t>之后结合讲解内容和目前的发展现状分析存在的主要问题，最后通过植物工厂案例分享使同学们深刻感受到植物工厂在设施农业中的应用。让</w:t>
      </w:r>
      <w:r>
        <w:rPr>
          <w:rFonts w:ascii="宋体" w:hAnsi="宋体"/>
          <w:color w:val="262600"/>
          <w:szCs w:val="21"/>
        </w:rPr>
        <w:t>学生们系统全面的</w:t>
      </w:r>
      <w:r>
        <w:rPr>
          <w:rFonts w:ascii="宋体" w:hAnsi="宋体" w:hint="eastAsia"/>
          <w:color w:val="262600"/>
          <w:szCs w:val="21"/>
        </w:rPr>
        <w:t>掌握</w:t>
      </w:r>
      <w:r>
        <w:rPr>
          <w:rFonts w:ascii="宋体" w:hAnsi="宋体"/>
          <w:color w:val="262600"/>
          <w:szCs w:val="21"/>
        </w:rPr>
        <w:t>本章内容</w:t>
      </w:r>
      <w:r>
        <w:rPr>
          <w:rFonts w:ascii="宋体" w:hAnsi="宋体" w:hint="eastAsia"/>
          <w:color w:val="262600"/>
          <w:szCs w:val="21"/>
        </w:rPr>
        <w:t>。</w:t>
      </w:r>
    </w:p>
    <w:p w14:paraId="6825BB37" w14:textId="77777777" w:rsidR="00F5289E" w:rsidRDefault="00F5289E">
      <w:pPr>
        <w:spacing w:beforeLines="50" w:before="156" w:afterLines="50" w:after="156" w:line="360" w:lineRule="auto"/>
        <w:jc w:val="center"/>
        <w:rPr>
          <w:b/>
          <w:bCs/>
          <w:color w:val="262600"/>
        </w:rPr>
      </w:pPr>
    </w:p>
    <w:p w14:paraId="0A8C17E8" w14:textId="77777777" w:rsidR="00F5289E" w:rsidRDefault="00C91173">
      <w:pPr>
        <w:spacing w:beforeLines="50" w:before="156" w:afterLines="50" w:after="156" w:line="360" w:lineRule="auto"/>
        <w:jc w:val="center"/>
        <w:rPr>
          <w:b/>
          <w:bCs/>
        </w:rPr>
      </w:pPr>
      <w:r>
        <w:rPr>
          <w:b/>
          <w:bCs/>
          <w:color w:val="262600"/>
        </w:rPr>
        <w:t>第</w:t>
      </w:r>
      <w:r>
        <w:rPr>
          <w:rFonts w:hint="eastAsia"/>
          <w:b/>
          <w:bCs/>
        </w:rPr>
        <w:t>五</w:t>
      </w:r>
      <w:r>
        <w:rPr>
          <w:b/>
          <w:bCs/>
          <w:color w:val="262600"/>
        </w:rPr>
        <w:t>章</w:t>
      </w:r>
      <w:r>
        <w:rPr>
          <w:b/>
          <w:bCs/>
          <w:color w:val="262600"/>
        </w:rPr>
        <w:t xml:space="preserve">  </w:t>
      </w:r>
      <w:r>
        <w:rPr>
          <w:rFonts w:hint="eastAsia"/>
          <w:b/>
          <w:bCs/>
          <w:color w:val="262600"/>
        </w:rPr>
        <w:t>蔬菜设施高效利用与土壤连作障碍防治</w:t>
      </w:r>
      <w:r>
        <w:rPr>
          <w:rFonts w:hint="eastAsia"/>
          <w:b/>
          <w:bCs/>
        </w:rPr>
        <w:t xml:space="preserve">         </w:t>
      </w:r>
      <w:r>
        <w:rPr>
          <w:b/>
          <w:bCs/>
        </w:rPr>
        <w:t xml:space="preserve"> </w:t>
      </w:r>
      <w:r>
        <w:rPr>
          <w:b/>
          <w:bCs/>
          <w:color w:val="262600"/>
        </w:rPr>
        <w:t>学时数</w:t>
      </w:r>
      <w:r>
        <w:rPr>
          <w:rFonts w:hint="eastAsia"/>
          <w:b/>
          <w:bCs/>
          <w:color w:val="262600"/>
        </w:rPr>
        <w:t>：</w:t>
      </w:r>
      <w:r>
        <w:rPr>
          <w:rFonts w:hint="eastAsia"/>
          <w:b/>
          <w:bCs/>
          <w:color w:val="262600"/>
        </w:rPr>
        <w:t>4</w:t>
      </w:r>
    </w:p>
    <w:p w14:paraId="3B7DDA7A" w14:textId="77777777" w:rsidR="00F5289E" w:rsidRDefault="00C91173">
      <w:pPr>
        <w:spacing w:line="360" w:lineRule="auto"/>
      </w:pPr>
      <w:r>
        <w:rPr>
          <w:b/>
          <w:bCs/>
        </w:rPr>
        <w:t>教学</w:t>
      </w:r>
      <w:r>
        <w:rPr>
          <w:rFonts w:hint="eastAsia"/>
          <w:b/>
          <w:bCs/>
        </w:rPr>
        <w:t>目标</w:t>
      </w:r>
      <w:r>
        <w:t>：</w:t>
      </w:r>
      <w:r>
        <w:rPr>
          <w:rFonts w:hint="eastAsia"/>
        </w:rPr>
        <w:t>要求掌握几种主要果菜类蔬菜的岔口安排、栽培模式和关键技术，掌握设施内土壤连作障碍产生的原因及综合防治方法。</w:t>
      </w:r>
    </w:p>
    <w:p w14:paraId="663340D3" w14:textId="77777777" w:rsidR="00F5289E" w:rsidRDefault="00C91173">
      <w:pPr>
        <w:spacing w:line="360" w:lineRule="auto"/>
      </w:pPr>
      <w:r>
        <w:rPr>
          <w:b/>
          <w:bCs/>
        </w:rPr>
        <w:t>教学重点和难点</w:t>
      </w:r>
      <w:r>
        <w:t>：</w:t>
      </w:r>
      <w:r>
        <w:rPr>
          <w:rFonts w:hint="eastAsia"/>
        </w:rPr>
        <w:t>主要果菜类蔬菜的岔口安排、设施土壤修复与连作障碍防控的技术要点</w:t>
      </w:r>
      <w:r>
        <w:t>。</w:t>
      </w:r>
    </w:p>
    <w:p w14:paraId="574ADBEE" w14:textId="77777777" w:rsidR="00F5289E" w:rsidRDefault="00C91173">
      <w:pPr>
        <w:spacing w:line="360" w:lineRule="auto"/>
      </w:pPr>
      <w:r>
        <w:rPr>
          <w:b/>
          <w:bCs/>
        </w:rPr>
        <w:t>主要教学内容及要求</w:t>
      </w:r>
      <w:r>
        <w:t>：</w:t>
      </w:r>
      <w:r>
        <w:rPr>
          <w:rFonts w:hint="eastAsia"/>
        </w:rPr>
        <w:t>掌握设施蔬菜栽培的岔口安排、栽培模式和关键技术，逐步具有应用先进技术解决蔬菜设施栽培实际问题的能力。掌握设施土壤连作障碍产生的原因及综合防治措施，逐步具有应用理论知识分析和解决实际问题的能力。</w:t>
      </w:r>
    </w:p>
    <w:p w14:paraId="6DE42E46" w14:textId="77777777" w:rsidR="00F5289E" w:rsidRDefault="00C91173">
      <w:pPr>
        <w:spacing w:line="360" w:lineRule="auto"/>
        <w:rPr>
          <w:b/>
        </w:rPr>
      </w:pPr>
      <w:r>
        <w:rPr>
          <w:b/>
        </w:rPr>
        <w:t>第一节</w:t>
      </w:r>
      <w:r>
        <w:rPr>
          <w:b/>
        </w:rPr>
        <w:t xml:space="preserve">  </w:t>
      </w:r>
      <w:r>
        <w:rPr>
          <w:b/>
          <w:color w:val="262600"/>
        </w:rPr>
        <w:t>蔬菜</w:t>
      </w:r>
      <w:r>
        <w:rPr>
          <w:rFonts w:hint="eastAsia"/>
          <w:b/>
          <w:color w:val="262600"/>
        </w:rPr>
        <w:t>蔬菜高效</w:t>
      </w:r>
      <w:r>
        <w:rPr>
          <w:b/>
          <w:color w:val="262600"/>
        </w:rPr>
        <w:t>栽培技术</w:t>
      </w:r>
    </w:p>
    <w:p w14:paraId="65D01416" w14:textId="77777777" w:rsidR="00F5289E" w:rsidRDefault="00C91173">
      <w:pPr>
        <w:spacing w:line="360" w:lineRule="auto"/>
        <w:ind w:firstLineChars="200" w:firstLine="420"/>
        <w:rPr>
          <w:color w:val="262600"/>
        </w:rPr>
      </w:pPr>
      <w:r>
        <w:rPr>
          <w:rFonts w:hint="eastAsia"/>
          <w:color w:val="262600"/>
        </w:rPr>
        <w:t>了解蔬菜设施</w:t>
      </w:r>
      <w:r>
        <w:rPr>
          <w:color w:val="262600"/>
        </w:rPr>
        <w:t>栽培的主要特点，栽培方式及主要种类</w:t>
      </w:r>
      <w:r>
        <w:rPr>
          <w:rFonts w:hint="eastAsia"/>
          <w:color w:val="262600"/>
        </w:rPr>
        <w:t>。</w:t>
      </w:r>
    </w:p>
    <w:p w14:paraId="7A9F761E" w14:textId="77777777" w:rsidR="00F5289E" w:rsidRDefault="00C91173">
      <w:pPr>
        <w:spacing w:line="360" w:lineRule="auto"/>
        <w:ind w:firstLineChars="200" w:firstLine="420"/>
        <w:rPr>
          <w:color w:val="262600"/>
        </w:rPr>
      </w:pPr>
      <w:r>
        <w:rPr>
          <w:rFonts w:hint="eastAsia"/>
          <w:color w:val="262600"/>
        </w:rPr>
        <w:t>理解我国蔬菜</w:t>
      </w:r>
      <w:r>
        <w:rPr>
          <w:color w:val="262600"/>
        </w:rPr>
        <w:t>设施栽培的区划及其主要茬口类型</w:t>
      </w:r>
      <w:r>
        <w:rPr>
          <w:rFonts w:hint="eastAsia"/>
          <w:color w:val="262600"/>
        </w:rPr>
        <w:t>。</w:t>
      </w:r>
    </w:p>
    <w:p w14:paraId="52834CD7" w14:textId="77777777" w:rsidR="00F5289E" w:rsidRDefault="00C91173">
      <w:pPr>
        <w:spacing w:line="360" w:lineRule="auto"/>
        <w:ind w:firstLineChars="200" w:firstLine="420"/>
        <w:rPr>
          <w:color w:val="262600"/>
        </w:rPr>
      </w:pPr>
      <w:r>
        <w:rPr>
          <w:rFonts w:hint="eastAsia"/>
          <w:color w:val="262600"/>
        </w:rPr>
        <w:t>掌握促成栽培</w:t>
      </w:r>
      <w:r>
        <w:rPr>
          <w:color w:val="262600"/>
        </w:rPr>
        <w:t>、半促成栽培、延迟栽培和越夏栽培的概念</w:t>
      </w:r>
      <w:r>
        <w:rPr>
          <w:rFonts w:hint="eastAsia"/>
          <w:color w:val="262600"/>
        </w:rPr>
        <w:t>。</w:t>
      </w:r>
    </w:p>
    <w:p w14:paraId="1227BC55" w14:textId="77777777" w:rsidR="00F5289E" w:rsidRDefault="00C91173">
      <w:pPr>
        <w:spacing w:line="360" w:lineRule="auto"/>
        <w:ind w:firstLineChars="200" w:firstLine="420"/>
        <w:rPr>
          <w:color w:val="262600"/>
        </w:rPr>
      </w:pPr>
      <w:r>
        <w:rPr>
          <w:rFonts w:hint="eastAsia"/>
          <w:color w:val="262600"/>
        </w:rPr>
        <w:t>熟练掌握主要设施</w:t>
      </w:r>
      <w:r>
        <w:rPr>
          <w:color w:val="262600"/>
        </w:rPr>
        <w:t>蔬菜的栽培技术要点</w:t>
      </w:r>
      <w:r>
        <w:rPr>
          <w:rFonts w:hint="eastAsia"/>
          <w:color w:val="262600"/>
        </w:rPr>
        <w:t>。</w:t>
      </w:r>
    </w:p>
    <w:p w14:paraId="1970D5C2" w14:textId="77777777" w:rsidR="00F5289E" w:rsidRDefault="00C91173">
      <w:pPr>
        <w:spacing w:line="360" w:lineRule="auto"/>
        <w:ind w:firstLineChars="200" w:firstLine="420"/>
        <w:rPr>
          <w:color w:val="262600"/>
        </w:rPr>
      </w:pPr>
      <w:r>
        <w:rPr>
          <w:color w:val="262600"/>
        </w:rPr>
        <w:t>一、茄果类作物设施栽培技术要点</w:t>
      </w:r>
    </w:p>
    <w:p w14:paraId="18C534E4" w14:textId="77777777" w:rsidR="00F5289E" w:rsidRDefault="00C91173">
      <w:pPr>
        <w:spacing w:line="360" w:lineRule="auto"/>
        <w:ind w:firstLineChars="200" w:firstLine="420"/>
        <w:rPr>
          <w:color w:val="262600"/>
        </w:rPr>
      </w:pPr>
      <w:r>
        <w:rPr>
          <w:color w:val="262600"/>
        </w:rPr>
        <w:t>二、瓜类的作物设施栽培技术要点</w:t>
      </w:r>
    </w:p>
    <w:p w14:paraId="608AD842" w14:textId="77777777" w:rsidR="00F5289E" w:rsidRDefault="00C91173">
      <w:pPr>
        <w:spacing w:line="360" w:lineRule="auto"/>
        <w:rPr>
          <w:b/>
          <w:color w:val="262600"/>
        </w:rPr>
      </w:pPr>
      <w:r>
        <w:rPr>
          <w:b/>
          <w:color w:val="262600"/>
        </w:rPr>
        <w:t>第二节</w:t>
      </w:r>
      <w:r>
        <w:rPr>
          <w:b/>
          <w:color w:val="262600"/>
        </w:rPr>
        <w:t xml:space="preserve">  </w:t>
      </w:r>
      <w:r>
        <w:rPr>
          <w:rFonts w:hint="eastAsia"/>
          <w:b/>
          <w:color w:val="262600"/>
        </w:rPr>
        <w:t>设施土壤连作障碍防治</w:t>
      </w:r>
    </w:p>
    <w:p w14:paraId="4997361D" w14:textId="77777777" w:rsidR="00F5289E" w:rsidRDefault="00C91173">
      <w:pPr>
        <w:spacing w:line="360" w:lineRule="auto"/>
        <w:ind w:firstLineChars="200" w:firstLine="420"/>
        <w:rPr>
          <w:color w:val="262600"/>
        </w:rPr>
      </w:pPr>
      <w:r>
        <w:t>了</w:t>
      </w:r>
      <w:r>
        <w:rPr>
          <w:color w:val="262600"/>
        </w:rPr>
        <w:t>解园艺设施连作障碍的成因</w:t>
      </w:r>
      <w:r>
        <w:rPr>
          <w:rFonts w:hint="eastAsia"/>
          <w:color w:val="262600"/>
        </w:rPr>
        <w:t>。</w:t>
      </w:r>
    </w:p>
    <w:p w14:paraId="4903E415" w14:textId="77777777" w:rsidR="00F5289E" w:rsidRDefault="00C91173">
      <w:pPr>
        <w:spacing w:line="360" w:lineRule="auto"/>
        <w:ind w:firstLineChars="200" w:firstLine="420"/>
        <w:rPr>
          <w:color w:val="262600"/>
        </w:rPr>
      </w:pPr>
      <w:r>
        <w:rPr>
          <w:color w:val="262600"/>
        </w:rPr>
        <w:t>理解园艺设施连作障碍的危害因素</w:t>
      </w:r>
      <w:r>
        <w:rPr>
          <w:rFonts w:hint="eastAsia"/>
          <w:color w:val="262600"/>
        </w:rPr>
        <w:t>。</w:t>
      </w:r>
    </w:p>
    <w:p w14:paraId="3551C289" w14:textId="77777777" w:rsidR="00F5289E" w:rsidRDefault="00C91173">
      <w:pPr>
        <w:spacing w:line="360" w:lineRule="auto"/>
        <w:ind w:firstLineChars="200" w:firstLine="420"/>
        <w:rPr>
          <w:color w:val="262600"/>
        </w:rPr>
      </w:pPr>
      <w:r>
        <w:rPr>
          <w:color w:val="262600"/>
        </w:rPr>
        <w:t>掌握园艺设施连作障碍的克服途径</w:t>
      </w:r>
      <w:r>
        <w:rPr>
          <w:rFonts w:hint="eastAsia"/>
          <w:color w:val="262600"/>
        </w:rPr>
        <w:t>。</w:t>
      </w:r>
    </w:p>
    <w:p w14:paraId="1CA0D17F" w14:textId="77777777" w:rsidR="00F5289E" w:rsidRDefault="00C91173">
      <w:pPr>
        <w:spacing w:line="360" w:lineRule="auto"/>
        <w:ind w:firstLineChars="200" w:firstLine="420"/>
        <w:rPr>
          <w:color w:val="262600"/>
        </w:rPr>
      </w:pPr>
      <w:r>
        <w:rPr>
          <w:color w:val="262600"/>
        </w:rPr>
        <w:lastRenderedPageBreak/>
        <w:t>熟练掌握园艺设施减少连作障害的原理和措施</w:t>
      </w:r>
      <w:r>
        <w:rPr>
          <w:rFonts w:hint="eastAsia"/>
          <w:color w:val="262600"/>
        </w:rPr>
        <w:t>。</w:t>
      </w:r>
    </w:p>
    <w:p w14:paraId="6091B2CD" w14:textId="77777777" w:rsidR="00F5289E" w:rsidRDefault="00C91173">
      <w:pPr>
        <w:spacing w:line="360" w:lineRule="auto"/>
        <w:ind w:firstLineChars="200" w:firstLine="420"/>
        <w:rPr>
          <w:color w:val="262600"/>
        </w:rPr>
      </w:pPr>
      <w:r>
        <w:rPr>
          <w:color w:val="262600"/>
        </w:rPr>
        <w:t>一、设施内连作障碍产生的原因</w:t>
      </w:r>
    </w:p>
    <w:p w14:paraId="50854F1E" w14:textId="77777777" w:rsidR="00F5289E" w:rsidRDefault="00C91173">
      <w:pPr>
        <w:spacing w:line="360" w:lineRule="auto"/>
        <w:ind w:firstLineChars="200" w:firstLine="420"/>
        <w:rPr>
          <w:color w:val="262600"/>
        </w:rPr>
      </w:pPr>
      <w:r>
        <w:rPr>
          <w:color w:val="262600"/>
        </w:rPr>
        <w:t>二、设施内连作障碍的防治措施</w:t>
      </w:r>
      <w:r>
        <w:rPr>
          <w:rFonts w:hint="eastAsia"/>
          <w:color w:val="262600"/>
        </w:rPr>
        <w:t>研究进展</w:t>
      </w:r>
      <w:r>
        <w:rPr>
          <w:color w:val="262600"/>
        </w:rPr>
        <w:t>。</w:t>
      </w:r>
    </w:p>
    <w:p w14:paraId="25391A47" w14:textId="77777777" w:rsidR="00F5289E" w:rsidRDefault="00C91173">
      <w:pPr>
        <w:rPr>
          <w:szCs w:val="21"/>
        </w:rPr>
      </w:pPr>
      <w:r>
        <w:rPr>
          <w:rFonts w:ascii="宋体" w:hAnsi="宋体" w:hint="eastAsia"/>
          <w:b/>
          <w:bCs/>
          <w:szCs w:val="21"/>
        </w:rPr>
        <w:t>教学组织与实施：</w:t>
      </w:r>
    </w:p>
    <w:p w14:paraId="1AB1CA3F" w14:textId="77777777" w:rsidR="00F5289E" w:rsidRDefault="00C91173">
      <w:pPr>
        <w:widowControl/>
        <w:spacing w:line="360" w:lineRule="auto"/>
        <w:ind w:firstLineChars="200" w:firstLine="420"/>
        <w:jc w:val="left"/>
        <w:rPr>
          <w:color w:val="000000"/>
          <w:highlight w:val="yellow"/>
        </w:rPr>
      </w:pPr>
      <w:r>
        <w:rPr>
          <w:rFonts w:hint="eastAsia"/>
          <w:color w:val="262600"/>
        </w:rPr>
        <w:t>以讲解法、案例分析法为主；采用图文并茂并</w:t>
      </w:r>
      <w:r>
        <w:rPr>
          <w:color w:val="262600"/>
        </w:rPr>
        <w:t>结合教学视频</w:t>
      </w:r>
      <w:r>
        <w:rPr>
          <w:rFonts w:hint="eastAsia"/>
          <w:color w:val="262600"/>
        </w:rPr>
        <w:t>的方式展示主要设施蔬菜高效栽培技术进展</w:t>
      </w:r>
      <w:r>
        <w:rPr>
          <w:color w:val="262600"/>
        </w:rPr>
        <w:t>、</w:t>
      </w:r>
      <w:r>
        <w:rPr>
          <w:rFonts w:hint="eastAsia"/>
          <w:color w:val="262600"/>
        </w:rPr>
        <w:t>连作障碍的调控机制</w:t>
      </w:r>
      <w:r>
        <w:rPr>
          <w:color w:val="262600"/>
        </w:rPr>
        <w:t>要点</w:t>
      </w:r>
      <w:r>
        <w:rPr>
          <w:rFonts w:hint="eastAsia"/>
          <w:color w:val="262600"/>
        </w:rPr>
        <w:t>；结合课堂视频教学、提问</w:t>
      </w:r>
      <w:r>
        <w:rPr>
          <w:color w:val="262600"/>
        </w:rPr>
        <w:t>互动</w:t>
      </w:r>
      <w:r>
        <w:rPr>
          <w:rFonts w:hint="eastAsia"/>
          <w:color w:val="262600"/>
        </w:rPr>
        <w:t>增强学生学习兴趣和理解能力</w:t>
      </w:r>
      <w:r>
        <w:rPr>
          <w:color w:val="262600"/>
        </w:rPr>
        <w:t>。</w:t>
      </w:r>
    </w:p>
    <w:p w14:paraId="31A88C0F" w14:textId="77777777" w:rsidR="00F5289E" w:rsidRDefault="00F5289E">
      <w:pPr>
        <w:spacing w:beforeLines="50" w:before="156" w:afterLines="50" w:after="156" w:line="360" w:lineRule="auto"/>
        <w:jc w:val="center"/>
        <w:rPr>
          <w:b/>
          <w:bCs/>
          <w:color w:val="262600"/>
        </w:rPr>
      </w:pPr>
    </w:p>
    <w:p w14:paraId="2A11E5A1" w14:textId="77777777" w:rsidR="00F5289E" w:rsidRDefault="00C91173">
      <w:pPr>
        <w:spacing w:beforeLines="50" w:before="156" w:afterLines="50" w:after="156" w:line="360" w:lineRule="auto"/>
        <w:jc w:val="center"/>
        <w:rPr>
          <w:b/>
          <w:bCs/>
          <w:color w:val="262600"/>
        </w:rPr>
      </w:pPr>
      <w:r>
        <w:rPr>
          <w:b/>
          <w:bCs/>
          <w:color w:val="262600"/>
        </w:rPr>
        <w:t>第</w:t>
      </w:r>
      <w:r>
        <w:rPr>
          <w:rFonts w:hint="eastAsia"/>
          <w:b/>
          <w:bCs/>
        </w:rPr>
        <w:t>六</w:t>
      </w:r>
      <w:r>
        <w:rPr>
          <w:b/>
          <w:bCs/>
          <w:color w:val="262600"/>
        </w:rPr>
        <w:t>章</w:t>
      </w:r>
      <w:r>
        <w:rPr>
          <w:b/>
          <w:bCs/>
          <w:color w:val="262600"/>
        </w:rPr>
        <w:t xml:space="preserve">  </w:t>
      </w:r>
      <w:r>
        <w:rPr>
          <w:rFonts w:hint="eastAsia"/>
          <w:b/>
          <w:bCs/>
          <w:color w:val="262600"/>
        </w:rPr>
        <w:t>国内外设施园艺和无土栽培的发展现状与研究热点领域</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rFonts w:hint="eastAsia"/>
          <w:b/>
          <w:bCs/>
          <w:color w:val="262600"/>
        </w:rPr>
        <w:t>4</w:t>
      </w:r>
    </w:p>
    <w:p w14:paraId="0BA32496" w14:textId="77777777" w:rsidR="00F5289E" w:rsidRDefault="00C91173">
      <w:pPr>
        <w:spacing w:line="360" w:lineRule="auto"/>
        <w:rPr>
          <w:color w:val="262600"/>
        </w:rPr>
      </w:pPr>
      <w:r>
        <w:rPr>
          <w:b/>
          <w:bCs/>
        </w:rPr>
        <w:t>教学目</w:t>
      </w:r>
      <w:r>
        <w:rPr>
          <w:rFonts w:hint="eastAsia"/>
          <w:b/>
          <w:bCs/>
        </w:rPr>
        <w:t>标</w:t>
      </w:r>
      <w:r>
        <w:rPr>
          <w:color w:val="262600"/>
        </w:rPr>
        <w:t>：</w:t>
      </w:r>
      <w:r>
        <w:rPr>
          <w:rFonts w:hint="eastAsia"/>
          <w:kern w:val="13"/>
          <w:szCs w:val="21"/>
        </w:rPr>
        <w:t>掌握设施园艺和无土栽培的概念、在农业中的地位及其作用、国内外的发展现状与趋势以及研究热点领域和问题。</w:t>
      </w:r>
    </w:p>
    <w:p w14:paraId="0CBF52D5" w14:textId="77777777" w:rsidR="00F5289E" w:rsidRDefault="00C91173">
      <w:pPr>
        <w:tabs>
          <w:tab w:val="left" w:pos="4770"/>
        </w:tabs>
        <w:spacing w:line="360" w:lineRule="auto"/>
        <w:rPr>
          <w:color w:val="262600"/>
        </w:rPr>
      </w:pPr>
      <w:r>
        <w:rPr>
          <w:b/>
          <w:bCs/>
        </w:rPr>
        <w:t>教学重点和难点</w:t>
      </w:r>
      <w:r>
        <w:rPr>
          <w:color w:val="262600"/>
        </w:rPr>
        <w:t xml:space="preserve">: </w:t>
      </w:r>
      <w:r>
        <w:rPr>
          <w:color w:val="262600"/>
        </w:rPr>
        <w:t>无土栽培基质和营养液配制</w:t>
      </w:r>
      <w:r>
        <w:rPr>
          <w:color w:val="262600"/>
        </w:rPr>
        <w:tab/>
      </w:r>
    </w:p>
    <w:p w14:paraId="22D95BAB" w14:textId="77777777" w:rsidR="00F5289E" w:rsidRDefault="00C91173">
      <w:pPr>
        <w:spacing w:line="360" w:lineRule="auto"/>
        <w:rPr>
          <w:color w:val="262600"/>
        </w:rPr>
      </w:pPr>
      <w:r>
        <w:rPr>
          <w:b/>
          <w:bCs/>
        </w:rPr>
        <w:t>主要教学内容及要求</w:t>
      </w:r>
      <w:r>
        <w:rPr>
          <w:color w:val="262600"/>
        </w:rPr>
        <w:t>：</w:t>
      </w:r>
      <w:r>
        <w:rPr>
          <w:rFonts w:hint="eastAsia"/>
          <w:color w:val="262600"/>
        </w:rPr>
        <w:t>了解设施园艺和无土栽培在农业中的地位与作用、国内外的发展现状，了解设施园艺和无土栽培的发展趋势以及重要研究热点问题。</w:t>
      </w:r>
      <w:r>
        <w:rPr>
          <w:color w:val="262600"/>
        </w:rPr>
        <w:t>掌握</w:t>
      </w:r>
      <w:r>
        <w:rPr>
          <w:rFonts w:hint="eastAsia"/>
          <w:color w:val="262600"/>
        </w:rPr>
        <w:t>无土栽培</w:t>
      </w:r>
      <w:r>
        <w:rPr>
          <w:color w:val="262600"/>
        </w:rPr>
        <w:t>营养液的配制技术，</w:t>
      </w:r>
      <w:r>
        <w:rPr>
          <w:rFonts w:hint="eastAsia"/>
          <w:color w:val="262600"/>
        </w:rPr>
        <w:t>熟练</w:t>
      </w:r>
      <w:r>
        <w:rPr>
          <w:color w:val="262600"/>
        </w:rPr>
        <w:t>掌握</w:t>
      </w:r>
      <w:r>
        <w:rPr>
          <w:rFonts w:hint="eastAsia"/>
          <w:color w:val="262600"/>
        </w:rPr>
        <w:t>无土栽培中</w:t>
      </w:r>
      <w:r>
        <w:rPr>
          <w:color w:val="262600"/>
        </w:rPr>
        <w:t>基质的选择及营养液的管理。</w:t>
      </w:r>
    </w:p>
    <w:p w14:paraId="079E81FF" w14:textId="77777777" w:rsidR="00F5289E" w:rsidRDefault="00C91173">
      <w:pPr>
        <w:spacing w:line="360" w:lineRule="auto"/>
        <w:rPr>
          <w:b/>
          <w:color w:val="262600"/>
        </w:rPr>
      </w:pPr>
      <w:r>
        <w:rPr>
          <w:b/>
          <w:color w:val="262600"/>
        </w:rPr>
        <w:t>第</w:t>
      </w:r>
      <w:r>
        <w:rPr>
          <w:rFonts w:hint="eastAsia"/>
          <w:b/>
          <w:color w:val="262600"/>
        </w:rPr>
        <w:t>一</w:t>
      </w:r>
      <w:r>
        <w:rPr>
          <w:b/>
          <w:color w:val="262600"/>
        </w:rPr>
        <w:t>节</w:t>
      </w:r>
      <w:r>
        <w:rPr>
          <w:b/>
          <w:color w:val="262600"/>
        </w:rPr>
        <w:t xml:space="preserve">  </w:t>
      </w:r>
      <w:r>
        <w:rPr>
          <w:rFonts w:hint="eastAsia"/>
          <w:b/>
          <w:color w:val="262600"/>
        </w:rPr>
        <w:t>无土栽培的发展历史和现状</w:t>
      </w:r>
    </w:p>
    <w:p w14:paraId="66EDC310" w14:textId="77777777" w:rsidR="00F5289E" w:rsidRDefault="00C91173">
      <w:pPr>
        <w:spacing w:line="360" w:lineRule="auto"/>
        <w:ind w:firstLineChars="200" w:firstLine="420"/>
        <w:rPr>
          <w:color w:val="262600"/>
        </w:rPr>
      </w:pPr>
      <w:r>
        <w:t>了</w:t>
      </w:r>
      <w:r>
        <w:rPr>
          <w:color w:val="262600"/>
        </w:rPr>
        <w:t>解</w:t>
      </w:r>
      <w:r>
        <w:rPr>
          <w:rFonts w:hint="eastAsia"/>
          <w:color w:val="262600"/>
        </w:rPr>
        <w:t>无土栽培的</w:t>
      </w:r>
      <w:r>
        <w:rPr>
          <w:color w:val="262600"/>
        </w:rPr>
        <w:t>发展概况</w:t>
      </w:r>
      <w:r>
        <w:rPr>
          <w:rFonts w:hint="eastAsia"/>
          <w:color w:val="262600"/>
        </w:rPr>
        <w:t>。</w:t>
      </w:r>
    </w:p>
    <w:p w14:paraId="4A613C31" w14:textId="77777777" w:rsidR="00F5289E" w:rsidRDefault="00C91173">
      <w:pPr>
        <w:spacing w:line="360" w:lineRule="auto"/>
        <w:ind w:firstLineChars="200" w:firstLine="420"/>
        <w:rPr>
          <w:color w:val="262600"/>
        </w:rPr>
      </w:pPr>
      <w:r>
        <w:rPr>
          <w:color w:val="262600"/>
        </w:rPr>
        <w:t>一、</w:t>
      </w:r>
      <w:r>
        <w:rPr>
          <w:rFonts w:hint="eastAsia"/>
          <w:color w:val="262600"/>
        </w:rPr>
        <w:t>国外无土栽培</w:t>
      </w:r>
      <w:r>
        <w:rPr>
          <w:color w:val="262600"/>
        </w:rPr>
        <w:t>的发展概况</w:t>
      </w:r>
      <w:r>
        <w:rPr>
          <w:rFonts w:hint="eastAsia"/>
          <w:color w:val="262600"/>
        </w:rPr>
        <w:t>和现状</w:t>
      </w:r>
    </w:p>
    <w:p w14:paraId="0F4EF58D" w14:textId="77777777" w:rsidR="00F5289E" w:rsidRDefault="00C91173">
      <w:pPr>
        <w:spacing w:line="360" w:lineRule="auto"/>
        <w:ind w:firstLineChars="200" w:firstLine="420"/>
        <w:rPr>
          <w:color w:val="262600"/>
        </w:rPr>
      </w:pPr>
      <w:r>
        <w:rPr>
          <w:color w:val="262600"/>
        </w:rPr>
        <w:t>二、</w:t>
      </w:r>
      <w:r>
        <w:rPr>
          <w:rFonts w:hint="eastAsia"/>
          <w:color w:val="262600"/>
        </w:rPr>
        <w:t>我国无土栽培的发展历史和现状</w:t>
      </w:r>
    </w:p>
    <w:p w14:paraId="632EDC37" w14:textId="77777777" w:rsidR="00F5289E" w:rsidRDefault="00C91173">
      <w:pPr>
        <w:spacing w:line="360" w:lineRule="auto"/>
        <w:ind w:firstLineChars="200" w:firstLine="420"/>
        <w:rPr>
          <w:color w:val="262600"/>
        </w:rPr>
      </w:pPr>
      <w:r>
        <w:rPr>
          <w:rFonts w:hint="eastAsia"/>
          <w:color w:val="262600"/>
        </w:rPr>
        <w:t>三</w:t>
      </w:r>
      <w:r>
        <w:rPr>
          <w:color w:val="262600"/>
        </w:rPr>
        <w:t>、</w:t>
      </w:r>
      <w:r>
        <w:rPr>
          <w:rFonts w:hint="eastAsia"/>
          <w:color w:val="262600"/>
        </w:rPr>
        <w:t>无土栽培技术前景展望</w:t>
      </w:r>
    </w:p>
    <w:p w14:paraId="17C31A73" w14:textId="77777777" w:rsidR="00F5289E" w:rsidRDefault="00C91173">
      <w:pPr>
        <w:spacing w:line="360" w:lineRule="auto"/>
        <w:rPr>
          <w:b/>
          <w:color w:val="262600"/>
        </w:rPr>
      </w:pPr>
      <w:r>
        <w:rPr>
          <w:b/>
          <w:color w:val="262600"/>
        </w:rPr>
        <w:t>第</w:t>
      </w:r>
      <w:r>
        <w:rPr>
          <w:rFonts w:hint="eastAsia"/>
          <w:b/>
          <w:color w:val="262600"/>
        </w:rPr>
        <w:t>二</w:t>
      </w:r>
      <w:r>
        <w:rPr>
          <w:b/>
          <w:color w:val="262600"/>
        </w:rPr>
        <w:t>节</w:t>
      </w:r>
      <w:r>
        <w:rPr>
          <w:b/>
          <w:color w:val="262600"/>
        </w:rPr>
        <w:t xml:space="preserve">  </w:t>
      </w:r>
      <w:r>
        <w:rPr>
          <w:rFonts w:hint="eastAsia"/>
          <w:b/>
          <w:color w:val="262600"/>
        </w:rPr>
        <w:t>营养液及固体基质</w:t>
      </w:r>
      <w:r>
        <w:rPr>
          <w:b/>
          <w:color w:val="262600"/>
        </w:rPr>
        <w:t>栽培</w:t>
      </w:r>
      <w:r>
        <w:rPr>
          <w:rFonts w:hint="eastAsia"/>
          <w:b/>
          <w:color w:val="262600"/>
        </w:rPr>
        <w:t>新</w:t>
      </w:r>
      <w:r>
        <w:rPr>
          <w:b/>
          <w:color w:val="262600"/>
        </w:rPr>
        <w:t>技术</w:t>
      </w:r>
    </w:p>
    <w:p w14:paraId="32DA79E8" w14:textId="77777777" w:rsidR="00F5289E" w:rsidRDefault="00C91173">
      <w:pPr>
        <w:spacing w:line="360" w:lineRule="auto"/>
        <w:ind w:firstLineChars="200" w:firstLine="420"/>
        <w:rPr>
          <w:color w:val="262600"/>
        </w:rPr>
      </w:pPr>
      <w:r>
        <w:rPr>
          <w:rFonts w:hint="eastAsia"/>
          <w:color w:val="262600"/>
        </w:rPr>
        <w:t>了解营养液、固体基质的分类</w:t>
      </w:r>
      <w:r>
        <w:rPr>
          <w:color w:val="262600"/>
        </w:rPr>
        <w:t>及发展概况</w:t>
      </w:r>
      <w:r>
        <w:rPr>
          <w:rFonts w:hint="eastAsia"/>
          <w:color w:val="262600"/>
        </w:rPr>
        <w:t>。</w:t>
      </w:r>
    </w:p>
    <w:p w14:paraId="028381BE" w14:textId="77777777" w:rsidR="00F5289E" w:rsidRDefault="00C91173">
      <w:pPr>
        <w:spacing w:line="360" w:lineRule="auto"/>
        <w:ind w:firstLineChars="200" w:firstLine="420"/>
        <w:rPr>
          <w:color w:val="262600"/>
        </w:rPr>
      </w:pPr>
      <w:r>
        <w:rPr>
          <w:color w:val="262600"/>
        </w:rPr>
        <w:t>掌握</w:t>
      </w:r>
      <w:r>
        <w:rPr>
          <w:rFonts w:hint="eastAsia"/>
          <w:color w:val="262600"/>
        </w:rPr>
        <w:t>营养液的</w:t>
      </w:r>
      <w:r>
        <w:rPr>
          <w:color w:val="262600"/>
        </w:rPr>
        <w:t>配制及管理</w:t>
      </w:r>
      <w:r>
        <w:rPr>
          <w:rFonts w:hint="eastAsia"/>
          <w:color w:val="262600"/>
        </w:rPr>
        <w:t>。</w:t>
      </w:r>
    </w:p>
    <w:p w14:paraId="0A14FBF1" w14:textId="77777777" w:rsidR="00F5289E" w:rsidRDefault="00C91173">
      <w:pPr>
        <w:spacing w:line="360" w:lineRule="auto"/>
        <w:ind w:firstLineChars="200" w:firstLine="420"/>
        <w:rPr>
          <w:color w:val="262600"/>
        </w:rPr>
      </w:pPr>
      <w:r>
        <w:rPr>
          <w:color w:val="262600"/>
        </w:rPr>
        <w:t>掌握</w:t>
      </w:r>
      <w:r>
        <w:rPr>
          <w:rFonts w:hint="eastAsia"/>
          <w:color w:val="262600"/>
        </w:rPr>
        <w:t>固体基质的</w:t>
      </w:r>
      <w:r>
        <w:rPr>
          <w:color w:val="262600"/>
        </w:rPr>
        <w:t>配制及管理</w:t>
      </w:r>
      <w:r>
        <w:rPr>
          <w:rFonts w:hint="eastAsia"/>
          <w:color w:val="262600"/>
        </w:rPr>
        <w:t>。</w:t>
      </w:r>
    </w:p>
    <w:p w14:paraId="6211FC95" w14:textId="77777777" w:rsidR="00F5289E" w:rsidRDefault="00C91173">
      <w:pPr>
        <w:spacing w:line="360" w:lineRule="auto"/>
        <w:ind w:firstLineChars="200" w:firstLine="420"/>
        <w:rPr>
          <w:color w:val="262600"/>
        </w:rPr>
      </w:pPr>
      <w:r>
        <w:rPr>
          <w:color w:val="262600"/>
        </w:rPr>
        <w:t>一、营养液的配制及管理</w:t>
      </w:r>
      <w:r>
        <w:rPr>
          <w:rFonts w:hint="eastAsia"/>
          <w:color w:val="262600"/>
        </w:rPr>
        <w:t>。</w:t>
      </w:r>
    </w:p>
    <w:p w14:paraId="6713BB28" w14:textId="77777777" w:rsidR="00F5289E" w:rsidRDefault="00C91173">
      <w:pPr>
        <w:spacing w:line="360" w:lineRule="auto"/>
        <w:ind w:firstLineChars="200" w:firstLine="420"/>
        <w:rPr>
          <w:color w:val="262600"/>
        </w:rPr>
      </w:pPr>
      <w:r>
        <w:rPr>
          <w:color w:val="262600"/>
        </w:rPr>
        <w:t>二、</w:t>
      </w:r>
      <w:r>
        <w:rPr>
          <w:rFonts w:hint="eastAsia"/>
          <w:color w:val="262600"/>
        </w:rPr>
        <w:t>固体基质的</w:t>
      </w:r>
      <w:r>
        <w:rPr>
          <w:color w:val="262600"/>
        </w:rPr>
        <w:t>类型与分类</w:t>
      </w:r>
    </w:p>
    <w:p w14:paraId="7AFFD2AE" w14:textId="77777777" w:rsidR="00F5289E" w:rsidRDefault="00C91173">
      <w:pPr>
        <w:spacing w:line="360" w:lineRule="auto"/>
        <w:ind w:firstLineChars="200" w:firstLine="420"/>
        <w:rPr>
          <w:color w:val="262600"/>
        </w:rPr>
      </w:pPr>
      <w:r>
        <w:rPr>
          <w:rFonts w:hint="eastAsia"/>
          <w:color w:val="262600"/>
        </w:rPr>
        <w:t>三</w:t>
      </w:r>
      <w:r>
        <w:rPr>
          <w:color w:val="262600"/>
        </w:rPr>
        <w:t>、</w:t>
      </w:r>
      <w:r>
        <w:rPr>
          <w:rFonts w:hint="eastAsia"/>
          <w:color w:val="262600"/>
        </w:rPr>
        <w:t>固体基质</w:t>
      </w:r>
      <w:r>
        <w:rPr>
          <w:color w:val="262600"/>
        </w:rPr>
        <w:t>配制及</w:t>
      </w:r>
      <w:r>
        <w:rPr>
          <w:rFonts w:hint="eastAsia"/>
          <w:color w:val="262600"/>
        </w:rPr>
        <w:t>栽培</w:t>
      </w:r>
      <w:r>
        <w:rPr>
          <w:color w:val="262600"/>
        </w:rPr>
        <w:t>管理</w:t>
      </w:r>
      <w:r>
        <w:rPr>
          <w:rFonts w:hint="eastAsia"/>
          <w:color w:val="262600"/>
        </w:rPr>
        <w:t>新技术</w:t>
      </w:r>
    </w:p>
    <w:p w14:paraId="434265A8" w14:textId="77777777" w:rsidR="00F5289E" w:rsidRDefault="00C91173">
      <w:pPr>
        <w:widowControl/>
        <w:snapToGrid w:val="0"/>
        <w:spacing w:line="360" w:lineRule="auto"/>
        <w:rPr>
          <w:rFonts w:ascii="宋体" w:hAnsi="宋体"/>
          <w:b/>
          <w:bCs/>
          <w:szCs w:val="21"/>
        </w:rPr>
      </w:pPr>
      <w:r>
        <w:rPr>
          <w:rFonts w:ascii="宋体" w:hAnsi="宋体" w:hint="eastAsia"/>
          <w:b/>
          <w:bCs/>
          <w:szCs w:val="21"/>
        </w:rPr>
        <w:lastRenderedPageBreak/>
        <w:t>教学组织与实施：</w:t>
      </w:r>
      <w:r>
        <w:rPr>
          <w:rFonts w:ascii="宋体" w:hAnsi="宋体" w:hint="eastAsia"/>
          <w:szCs w:val="21"/>
        </w:rPr>
        <w:t>利用多媒体设备，以</w:t>
      </w:r>
      <w:r>
        <w:rPr>
          <w:rFonts w:ascii="宋体" w:hAnsi="宋体"/>
          <w:bCs/>
        </w:rPr>
        <w:t>“</w:t>
      </w:r>
      <w:r>
        <w:rPr>
          <w:rFonts w:ascii="宋体" w:hAnsi="宋体" w:hint="eastAsia"/>
          <w:bCs/>
        </w:rPr>
        <w:t>你所</w:t>
      </w:r>
      <w:r>
        <w:rPr>
          <w:rFonts w:ascii="宋体" w:hAnsi="宋体"/>
          <w:bCs/>
        </w:rPr>
        <w:t>了解的无土栽培是什么样的?”</w:t>
      </w:r>
      <w:r>
        <w:rPr>
          <w:rFonts w:ascii="宋体" w:hAnsi="宋体" w:hint="eastAsia"/>
          <w:bCs/>
        </w:rPr>
        <w:t>展开讨论，</w:t>
      </w:r>
      <w:r>
        <w:rPr>
          <w:rFonts w:ascii="宋体" w:hAnsi="宋体" w:hint="eastAsia"/>
          <w:szCs w:val="21"/>
        </w:rPr>
        <w:t>根据学生的理解程度对知识点进行讲解；以目前实际生产中应用的不同基质栽培新技术成果等案例分析，</w:t>
      </w:r>
      <w:r>
        <w:rPr>
          <w:rFonts w:ascii="宋体" w:hAnsi="宋体"/>
          <w:szCs w:val="21"/>
        </w:rPr>
        <w:t>加强</w:t>
      </w:r>
      <w:r>
        <w:rPr>
          <w:rFonts w:ascii="宋体" w:hAnsi="宋体" w:hint="eastAsia"/>
          <w:szCs w:val="21"/>
        </w:rPr>
        <w:t>学生</w:t>
      </w:r>
      <w:r>
        <w:rPr>
          <w:rFonts w:ascii="宋体" w:hAnsi="宋体"/>
          <w:szCs w:val="21"/>
        </w:rPr>
        <w:t>对无土栽培固体基质类型</w:t>
      </w:r>
      <w:r>
        <w:rPr>
          <w:rFonts w:ascii="宋体" w:hAnsi="宋体" w:hint="eastAsia"/>
          <w:szCs w:val="21"/>
        </w:rPr>
        <w:t>的</w:t>
      </w:r>
      <w:r>
        <w:rPr>
          <w:rFonts w:ascii="宋体" w:hAnsi="宋体"/>
          <w:szCs w:val="21"/>
        </w:rPr>
        <w:t>区分</w:t>
      </w:r>
      <w:r>
        <w:rPr>
          <w:rFonts w:ascii="宋体" w:hAnsi="宋体" w:hint="eastAsia"/>
          <w:szCs w:val="21"/>
        </w:rPr>
        <w:t>；分小组讨论无土栽培发展中存在的问题及解决办法。</w:t>
      </w:r>
    </w:p>
    <w:p w14:paraId="6542AF07" w14:textId="77777777" w:rsidR="00F5289E" w:rsidRDefault="00C91173">
      <w:pPr>
        <w:spacing w:beforeLines="50" w:before="156" w:afterLines="50" w:after="156" w:line="360" w:lineRule="auto"/>
        <w:jc w:val="center"/>
        <w:rPr>
          <w:b/>
          <w:bCs/>
          <w:color w:val="262600"/>
        </w:rPr>
      </w:pPr>
      <w:r>
        <w:rPr>
          <w:b/>
          <w:bCs/>
          <w:color w:val="262600"/>
        </w:rPr>
        <w:t>第</w:t>
      </w:r>
      <w:r>
        <w:rPr>
          <w:rFonts w:hint="eastAsia"/>
          <w:b/>
          <w:bCs/>
        </w:rPr>
        <w:t>七</w:t>
      </w:r>
      <w:r>
        <w:rPr>
          <w:b/>
          <w:bCs/>
          <w:color w:val="262600"/>
        </w:rPr>
        <w:t>章</w:t>
      </w:r>
      <w:r>
        <w:rPr>
          <w:b/>
          <w:bCs/>
          <w:color w:val="262600"/>
        </w:rPr>
        <w:t xml:space="preserve">  </w:t>
      </w:r>
      <w:r>
        <w:rPr>
          <w:rFonts w:hint="eastAsia"/>
          <w:b/>
          <w:bCs/>
          <w:color w:val="262600"/>
        </w:rPr>
        <w:t>设施园艺抗逆调控原理与技术</w:t>
      </w:r>
      <w:r>
        <w:rPr>
          <w:rFonts w:hint="eastAsia"/>
          <w:b/>
          <w:bCs/>
          <w:color w:val="262600"/>
        </w:rPr>
        <w:t xml:space="preserve">    </w:t>
      </w:r>
      <w:r>
        <w:rPr>
          <w:b/>
          <w:bCs/>
          <w:color w:val="262600"/>
        </w:rPr>
        <w:t xml:space="preserve"> </w:t>
      </w:r>
      <w:r>
        <w:rPr>
          <w:b/>
          <w:bCs/>
          <w:color w:val="262600"/>
        </w:rPr>
        <w:t>学时数</w:t>
      </w:r>
      <w:r>
        <w:rPr>
          <w:rFonts w:hint="eastAsia"/>
          <w:b/>
          <w:bCs/>
          <w:color w:val="262600"/>
        </w:rPr>
        <w:t>：</w:t>
      </w:r>
      <w:r>
        <w:rPr>
          <w:rFonts w:hint="eastAsia"/>
          <w:b/>
          <w:bCs/>
          <w:color w:val="262600"/>
        </w:rPr>
        <w:t>2</w:t>
      </w:r>
    </w:p>
    <w:p w14:paraId="4A4186F2" w14:textId="77777777" w:rsidR="00F5289E" w:rsidRDefault="00C91173">
      <w:pPr>
        <w:spacing w:line="360" w:lineRule="auto"/>
        <w:rPr>
          <w:rFonts w:ascii="宋体" w:hAnsi="宋体"/>
          <w:color w:val="262600"/>
          <w:szCs w:val="21"/>
        </w:rPr>
      </w:pPr>
      <w:r>
        <w:rPr>
          <w:rFonts w:ascii="宋体" w:hAnsi="宋体"/>
          <w:b/>
          <w:bCs/>
          <w:szCs w:val="21"/>
        </w:rPr>
        <w:t>教学目</w:t>
      </w:r>
      <w:r>
        <w:rPr>
          <w:rFonts w:ascii="宋体" w:hAnsi="宋体" w:hint="eastAsia"/>
          <w:b/>
          <w:bCs/>
          <w:szCs w:val="21"/>
        </w:rPr>
        <w:t>标</w:t>
      </w:r>
      <w:r>
        <w:rPr>
          <w:rFonts w:ascii="宋体" w:hAnsi="宋体"/>
          <w:color w:val="262600"/>
          <w:szCs w:val="21"/>
        </w:rPr>
        <w:t>：学习和了解</w:t>
      </w:r>
      <w:r>
        <w:rPr>
          <w:rFonts w:ascii="宋体" w:hAnsi="宋体" w:hint="eastAsia"/>
          <w:color w:val="262600"/>
          <w:szCs w:val="21"/>
        </w:rPr>
        <w:t>设施园艺常见蔬菜逆境类型及调控原理与技术</w:t>
      </w:r>
    </w:p>
    <w:p w14:paraId="4EE2BEDD" w14:textId="77777777" w:rsidR="00F5289E" w:rsidRDefault="00C91173">
      <w:pPr>
        <w:spacing w:line="360" w:lineRule="auto"/>
        <w:rPr>
          <w:color w:val="262600"/>
          <w:szCs w:val="21"/>
        </w:rPr>
      </w:pPr>
      <w:r>
        <w:rPr>
          <w:rFonts w:ascii="宋体" w:hAnsi="宋体"/>
          <w:b/>
          <w:bCs/>
          <w:szCs w:val="21"/>
        </w:rPr>
        <w:t>教学重点和难点</w:t>
      </w:r>
      <w:r>
        <w:rPr>
          <w:color w:val="262600"/>
          <w:szCs w:val="21"/>
        </w:rPr>
        <w:t xml:space="preserve">: </w:t>
      </w:r>
      <w:r>
        <w:rPr>
          <w:rFonts w:ascii="宋体" w:hAnsi="宋体" w:hint="eastAsia"/>
          <w:color w:val="262600"/>
          <w:szCs w:val="21"/>
        </w:rPr>
        <w:t>设施蔬菜常见逆境类型及调控原理</w:t>
      </w:r>
    </w:p>
    <w:p w14:paraId="6BC11307" w14:textId="77777777" w:rsidR="00F5289E" w:rsidRDefault="00C91173">
      <w:pPr>
        <w:spacing w:line="360" w:lineRule="auto"/>
        <w:rPr>
          <w:color w:val="262600"/>
          <w:szCs w:val="21"/>
        </w:rPr>
      </w:pPr>
      <w:r>
        <w:rPr>
          <w:rFonts w:ascii="宋体" w:hAnsi="宋体"/>
          <w:b/>
          <w:bCs/>
          <w:szCs w:val="21"/>
        </w:rPr>
        <w:t>主要教学内容及要求</w:t>
      </w:r>
      <w:r>
        <w:rPr>
          <w:rFonts w:ascii="宋体" w:hAnsi="宋体"/>
          <w:color w:val="262600"/>
          <w:szCs w:val="21"/>
        </w:rPr>
        <w:t>：</w:t>
      </w:r>
      <w:r>
        <w:rPr>
          <w:rFonts w:ascii="宋体" w:hAnsi="宋体" w:hint="eastAsia"/>
          <w:color w:val="262600"/>
          <w:szCs w:val="21"/>
        </w:rPr>
        <w:t>了解设施园艺抗逆调控原理与技术</w:t>
      </w:r>
      <w:r>
        <w:rPr>
          <w:rFonts w:ascii="宋体" w:hAnsi="宋体"/>
          <w:color w:val="262600"/>
          <w:szCs w:val="21"/>
        </w:rPr>
        <w:t>，</w:t>
      </w:r>
      <w:r>
        <w:rPr>
          <w:rFonts w:ascii="宋体" w:hAnsi="宋体" w:hint="eastAsia"/>
          <w:color w:val="262600"/>
          <w:szCs w:val="21"/>
        </w:rPr>
        <w:t>理解植物逆境</w:t>
      </w:r>
      <w:r>
        <w:rPr>
          <w:rFonts w:ascii="宋体" w:hAnsi="宋体"/>
          <w:color w:val="262600"/>
          <w:szCs w:val="21"/>
        </w:rPr>
        <w:t>的概念、类型及分类；掌握</w:t>
      </w:r>
      <w:r>
        <w:rPr>
          <w:rFonts w:ascii="宋体" w:hAnsi="宋体" w:hint="eastAsia"/>
          <w:color w:val="262600"/>
          <w:szCs w:val="21"/>
        </w:rPr>
        <w:t>逆境调控的原理与技术</w:t>
      </w:r>
      <w:r>
        <w:rPr>
          <w:rFonts w:ascii="宋体" w:hAnsi="宋体"/>
          <w:color w:val="262600"/>
          <w:szCs w:val="21"/>
        </w:rPr>
        <w:t>。</w:t>
      </w:r>
    </w:p>
    <w:p w14:paraId="6903DF36" w14:textId="77777777" w:rsidR="00F5289E" w:rsidRDefault="00C91173">
      <w:pPr>
        <w:spacing w:line="360" w:lineRule="auto"/>
        <w:rPr>
          <w:rFonts w:ascii="宋体" w:hAnsi="宋体"/>
          <w:b/>
          <w:color w:val="262600"/>
          <w:szCs w:val="21"/>
        </w:rPr>
      </w:pPr>
      <w:r>
        <w:rPr>
          <w:rFonts w:ascii="宋体" w:hAnsi="宋体"/>
          <w:b/>
          <w:color w:val="262600"/>
          <w:szCs w:val="21"/>
        </w:rPr>
        <w:t>第</w:t>
      </w:r>
      <w:r>
        <w:rPr>
          <w:rFonts w:ascii="宋体" w:hAnsi="宋体" w:hint="eastAsia"/>
          <w:b/>
          <w:color w:val="262600"/>
          <w:szCs w:val="21"/>
        </w:rPr>
        <w:t>一</w:t>
      </w:r>
      <w:r>
        <w:rPr>
          <w:rFonts w:ascii="宋体" w:hAnsi="宋体"/>
          <w:b/>
          <w:color w:val="262600"/>
          <w:szCs w:val="21"/>
        </w:rPr>
        <w:t>节</w:t>
      </w:r>
      <w:r>
        <w:rPr>
          <w:b/>
          <w:color w:val="262600"/>
          <w:szCs w:val="21"/>
        </w:rPr>
        <w:t xml:space="preserve">  </w:t>
      </w:r>
      <w:r>
        <w:rPr>
          <w:rFonts w:ascii="宋体" w:hAnsi="宋体" w:hint="eastAsia"/>
          <w:b/>
          <w:color w:val="262600"/>
          <w:szCs w:val="21"/>
        </w:rPr>
        <w:t>设施园艺蔬菜逆境障碍因子及其危害</w:t>
      </w:r>
    </w:p>
    <w:p w14:paraId="54971B91" w14:textId="77777777" w:rsidR="00F5289E" w:rsidRDefault="00C91173">
      <w:pPr>
        <w:spacing w:line="360" w:lineRule="auto"/>
        <w:ind w:firstLineChars="200" w:firstLine="420"/>
        <w:rPr>
          <w:color w:val="262600"/>
          <w:szCs w:val="21"/>
        </w:rPr>
      </w:pPr>
      <w:r>
        <w:rPr>
          <w:rFonts w:ascii="宋体" w:hAnsi="宋体"/>
          <w:szCs w:val="21"/>
        </w:rPr>
        <w:t>了</w:t>
      </w:r>
      <w:r>
        <w:rPr>
          <w:rFonts w:ascii="宋体" w:hAnsi="宋体"/>
          <w:color w:val="262600"/>
          <w:szCs w:val="21"/>
        </w:rPr>
        <w:t>解</w:t>
      </w:r>
      <w:r>
        <w:rPr>
          <w:rFonts w:ascii="宋体" w:hAnsi="宋体" w:hint="eastAsia"/>
          <w:color w:val="262600"/>
          <w:szCs w:val="21"/>
        </w:rPr>
        <w:t>设施园艺蔬菜常见逆境障碍因子概念、类型及其危害。</w:t>
      </w:r>
    </w:p>
    <w:p w14:paraId="44097AAB" w14:textId="77777777" w:rsidR="00F5289E" w:rsidRDefault="00C91173">
      <w:pPr>
        <w:spacing w:line="360" w:lineRule="auto"/>
        <w:ind w:firstLineChars="200" w:firstLine="420"/>
        <w:rPr>
          <w:color w:val="262600"/>
          <w:szCs w:val="21"/>
        </w:rPr>
      </w:pPr>
      <w:r>
        <w:rPr>
          <w:rFonts w:ascii="宋体" w:hAnsi="宋体"/>
          <w:color w:val="262600"/>
          <w:szCs w:val="21"/>
        </w:rPr>
        <w:t>理解</w:t>
      </w:r>
      <w:r>
        <w:rPr>
          <w:rFonts w:ascii="宋体" w:hAnsi="宋体" w:hint="eastAsia"/>
          <w:color w:val="262600"/>
          <w:szCs w:val="21"/>
        </w:rPr>
        <w:t>设施园艺蔬菜常见生物逆境因子、非生物逆境因子和连作障碍的现状和问题。</w:t>
      </w:r>
    </w:p>
    <w:p w14:paraId="3AB3C8AA" w14:textId="77777777" w:rsidR="00F5289E" w:rsidRDefault="00C91173">
      <w:pPr>
        <w:spacing w:line="360" w:lineRule="auto"/>
        <w:ind w:firstLineChars="200" w:firstLine="420"/>
        <w:rPr>
          <w:color w:val="262600"/>
          <w:szCs w:val="21"/>
        </w:rPr>
      </w:pPr>
      <w:r>
        <w:rPr>
          <w:rFonts w:ascii="宋体" w:hAnsi="宋体"/>
          <w:color w:val="262600"/>
          <w:szCs w:val="21"/>
        </w:rPr>
        <w:t>掌握</w:t>
      </w:r>
      <w:r>
        <w:rPr>
          <w:rFonts w:ascii="宋体" w:hAnsi="宋体" w:hint="eastAsia"/>
          <w:color w:val="262600"/>
          <w:szCs w:val="21"/>
        </w:rPr>
        <w:t>设施园艺蔬菜常见抗逆技术。</w:t>
      </w:r>
    </w:p>
    <w:p w14:paraId="1E25F3BB" w14:textId="77777777" w:rsidR="00F5289E" w:rsidRDefault="00C91173">
      <w:pPr>
        <w:spacing w:line="360" w:lineRule="auto"/>
        <w:ind w:firstLineChars="200" w:firstLine="420"/>
        <w:rPr>
          <w:rFonts w:ascii="宋体" w:hAnsi="宋体"/>
          <w:color w:val="262600"/>
          <w:szCs w:val="21"/>
        </w:rPr>
      </w:pPr>
      <w:r>
        <w:rPr>
          <w:rFonts w:ascii="宋体" w:hAnsi="宋体"/>
          <w:color w:val="262600"/>
          <w:szCs w:val="21"/>
        </w:rPr>
        <w:t>一、</w:t>
      </w:r>
      <w:r>
        <w:rPr>
          <w:rFonts w:ascii="宋体" w:hAnsi="宋体" w:hint="eastAsia"/>
          <w:color w:val="262600"/>
          <w:szCs w:val="21"/>
        </w:rPr>
        <w:t>生物逆境因子</w:t>
      </w:r>
    </w:p>
    <w:p w14:paraId="31041BD6" w14:textId="77777777" w:rsidR="00F5289E" w:rsidRDefault="00C91173">
      <w:pPr>
        <w:spacing w:line="360" w:lineRule="auto"/>
        <w:ind w:firstLineChars="200" w:firstLine="420"/>
        <w:rPr>
          <w:color w:val="262600"/>
          <w:szCs w:val="21"/>
        </w:rPr>
      </w:pPr>
      <w:r>
        <w:rPr>
          <w:rFonts w:ascii="宋体" w:hAnsi="宋体"/>
          <w:color w:val="262600"/>
          <w:szCs w:val="21"/>
        </w:rPr>
        <w:t>二、</w:t>
      </w:r>
      <w:r>
        <w:rPr>
          <w:rFonts w:ascii="宋体" w:hAnsi="宋体" w:hint="eastAsia"/>
          <w:color w:val="262600"/>
          <w:szCs w:val="21"/>
        </w:rPr>
        <w:t>非生物逆境因子</w:t>
      </w:r>
    </w:p>
    <w:p w14:paraId="05AC9E7D" w14:textId="77777777" w:rsidR="00F5289E" w:rsidRDefault="00C91173">
      <w:pPr>
        <w:spacing w:line="360" w:lineRule="auto"/>
        <w:ind w:firstLineChars="200" w:firstLine="420"/>
        <w:rPr>
          <w:color w:val="262600"/>
          <w:szCs w:val="21"/>
        </w:rPr>
      </w:pPr>
      <w:r>
        <w:rPr>
          <w:rFonts w:ascii="宋体" w:hAnsi="宋体" w:hint="eastAsia"/>
          <w:color w:val="262600"/>
          <w:szCs w:val="21"/>
        </w:rPr>
        <w:t>三</w:t>
      </w:r>
      <w:r>
        <w:rPr>
          <w:rFonts w:ascii="宋体" w:hAnsi="宋体"/>
          <w:color w:val="262600"/>
          <w:szCs w:val="21"/>
        </w:rPr>
        <w:t>、</w:t>
      </w:r>
      <w:r>
        <w:rPr>
          <w:rFonts w:ascii="宋体" w:hAnsi="宋体" w:hint="eastAsia"/>
          <w:color w:val="262600"/>
          <w:szCs w:val="21"/>
        </w:rPr>
        <w:t>连作障碍</w:t>
      </w:r>
    </w:p>
    <w:p w14:paraId="4A48C84C" w14:textId="77777777" w:rsidR="00F5289E" w:rsidRDefault="00C91173">
      <w:pPr>
        <w:spacing w:line="360" w:lineRule="auto"/>
        <w:rPr>
          <w:rFonts w:ascii="宋体" w:hAnsi="宋体"/>
          <w:b/>
          <w:color w:val="262600"/>
          <w:szCs w:val="21"/>
        </w:rPr>
      </w:pPr>
      <w:r>
        <w:rPr>
          <w:rFonts w:ascii="宋体" w:hAnsi="宋体"/>
          <w:b/>
          <w:color w:val="262600"/>
          <w:szCs w:val="21"/>
        </w:rPr>
        <w:t>第</w:t>
      </w:r>
      <w:r>
        <w:rPr>
          <w:rFonts w:ascii="宋体" w:hAnsi="宋体" w:hint="eastAsia"/>
          <w:b/>
          <w:color w:val="262600"/>
          <w:szCs w:val="21"/>
        </w:rPr>
        <w:t>二</w:t>
      </w:r>
      <w:r>
        <w:rPr>
          <w:rFonts w:ascii="宋体" w:hAnsi="宋体"/>
          <w:b/>
          <w:color w:val="262600"/>
          <w:szCs w:val="21"/>
        </w:rPr>
        <w:t>节</w:t>
      </w:r>
      <w:r>
        <w:rPr>
          <w:rFonts w:ascii="宋体" w:hAnsi="宋体" w:hint="eastAsia"/>
          <w:b/>
          <w:color w:val="262600"/>
          <w:szCs w:val="21"/>
        </w:rPr>
        <w:t xml:space="preserve"> 蔬菜逆境适应性和抗逆栽培机制</w:t>
      </w:r>
    </w:p>
    <w:p w14:paraId="6538EFDD" w14:textId="77777777" w:rsidR="00F5289E" w:rsidRDefault="00C91173">
      <w:pPr>
        <w:spacing w:line="360" w:lineRule="auto"/>
        <w:ind w:firstLineChars="200" w:firstLine="420"/>
        <w:rPr>
          <w:color w:val="262600"/>
          <w:szCs w:val="21"/>
        </w:rPr>
      </w:pPr>
      <w:r>
        <w:rPr>
          <w:rFonts w:ascii="宋体" w:hAnsi="宋体"/>
          <w:szCs w:val="21"/>
        </w:rPr>
        <w:t>了</w:t>
      </w:r>
      <w:r>
        <w:rPr>
          <w:rFonts w:ascii="宋体" w:hAnsi="宋体"/>
          <w:color w:val="262600"/>
          <w:szCs w:val="21"/>
        </w:rPr>
        <w:t>解</w:t>
      </w:r>
      <w:r>
        <w:rPr>
          <w:rFonts w:ascii="宋体" w:hAnsi="宋体" w:hint="eastAsia"/>
          <w:color w:val="262600"/>
          <w:szCs w:val="21"/>
        </w:rPr>
        <w:t>蔬菜</w:t>
      </w:r>
      <w:r>
        <w:rPr>
          <w:rFonts w:ascii="宋体" w:hAnsi="宋体" w:hint="eastAsia"/>
          <w:szCs w:val="21"/>
        </w:rPr>
        <w:t>逆境适应性和抗逆栽培机制、国内外研究现状。</w:t>
      </w:r>
    </w:p>
    <w:p w14:paraId="5456CC79" w14:textId="77777777" w:rsidR="00F5289E" w:rsidRDefault="00C91173">
      <w:pPr>
        <w:spacing w:line="360" w:lineRule="auto"/>
        <w:ind w:firstLineChars="200" w:firstLine="420"/>
        <w:rPr>
          <w:color w:val="262600"/>
          <w:szCs w:val="21"/>
        </w:rPr>
      </w:pPr>
      <w:r>
        <w:rPr>
          <w:rFonts w:ascii="宋体" w:hAnsi="宋体"/>
          <w:color w:val="262600"/>
          <w:szCs w:val="21"/>
        </w:rPr>
        <w:t>理解</w:t>
      </w:r>
      <w:r>
        <w:rPr>
          <w:rFonts w:ascii="宋体" w:hAnsi="宋体" w:hint="eastAsia"/>
          <w:color w:val="262600"/>
          <w:szCs w:val="21"/>
        </w:rPr>
        <w:t>抗逆栽培机制。</w:t>
      </w:r>
    </w:p>
    <w:p w14:paraId="20EF19F9" w14:textId="77777777" w:rsidR="00F5289E" w:rsidRDefault="00C91173">
      <w:pPr>
        <w:spacing w:line="360" w:lineRule="auto"/>
        <w:ind w:firstLineChars="200" w:firstLine="420"/>
        <w:rPr>
          <w:color w:val="262600"/>
          <w:szCs w:val="21"/>
        </w:rPr>
      </w:pPr>
      <w:r>
        <w:rPr>
          <w:rFonts w:ascii="宋体" w:hAnsi="宋体"/>
          <w:color w:val="262600"/>
          <w:szCs w:val="21"/>
        </w:rPr>
        <w:t>掌握</w:t>
      </w:r>
      <w:r>
        <w:rPr>
          <w:rFonts w:ascii="宋体" w:hAnsi="宋体" w:hint="eastAsia"/>
          <w:color w:val="262600"/>
          <w:szCs w:val="21"/>
        </w:rPr>
        <w:t>蔬菜抗逆栽培技术。</w:t>
      </w:r>
    </w:p>
    <w:p w14:paraId="0FC41B09" w14:textId="77777777" w:rsidR="00F5289E" w:rsidRDefault="00C91173">
      <w:pPr>
        <w:spacing w:line="360" w:lineRule="auto"/>
        <w:ind w:firstLineChars="200" w:firstLine="420"/>
        <w:rPr>
          <w:rFonts w:ascii="宋体" w:hAnsi="宋体"/>
          <w:color w:val="262600"/>
          <w:szCs w:val="21"/>
        </w:rPr>
      </w:pPr>
      <w:r>
        <w:rPr>
          <w:rFonts w:ascii="宋体" w:hAnsi="宋体"/>
          <w:color w:val="262600"/>
          <w:szCs w:val="21"/>
        </w:rPr>
        <w:t>一、</w:t>
      </w:r>
      <w:r>
        <w:rPr>
          <w:rFonts w:ascii="宋体" w:hAnsi="宋体" w:hint="eastAsia"/>
          <w:color w:val="262600"/>
          <w:szCs w:val="21"/>
        </w:rPr>
        <w:t>形态结构适应性变化</w:t>
      </w:r>
    </w:p>
    <w:p w14:paraId="714DD6DF" w14:textId="77777777" w:rsidR="00F5289E" w:rsidRDefault="00C91173">
      <w:pPr>
        <w:spacing w:line="360" w:lineRule="auto"/>
        <w:ind w:firstLineChars="200" w:firstLine="420"/>
        <w:rPr>
          <w:color w:val="262600"/>
          <w:szCs w:val="21"/>
        </w:rPr>
      </w:pPr>
      <w:r>
        <w:rPr>
          <w:rFonts w:ascii="宋体" w:hAnsi="宋体"/>
          <w:color w:val="262600"/>
          <w:szCs w:val="21"/>
        </w:rPr>
        <w:t>二、</w:t>
      </w:r>
      <w:r>
        <w:rPr>
          <w:rFonts w:ascii="宋体" w:hAnsi="宋体" w:hint="eastAsia"/>
          <w:color w:val="262600"/>
          <w:szCs w:val="21"/>
        </w:rPr>
        <w:t>抗逆栽培机制</w:t>
      </w:r>
    </w:p>
    <w:p w14:paraId="52392877" w14:textId="77777777" w:rsidR="00F5289E" w:rsidRDefault="00C91173">
      <w:pPr>
        <w:spacing w:line="360" w:lineRule="auto"/>
        <w:ind w:firstLineChars="200" w:firstLine="420"/>
        <w:rPr>
          <w:color w:val="262600"/>
          <w:szCs w:val="21"/>
        </w:rPr>
      </w:pPr>
      <w:r>
        <w:rPr>
          <w:rFonts w:ascii="宋体" w:hAnsi="宋体" w:hint="eastAsia"/>
          <w:color w:val="262600"/>
          <w:szCs w:val="21"/>
        </w:rPr>
        <w:t>三</w:t>
      </w:r>
      <w:r>
        <w:rPr>
          <w:rFonts w:ascii="宋体" w:hAnsi="宋体"/>
          <w:color w:val="262600"/>
          <w:szCs w:val="21"/>
        </w:rPr>
        <w:t>、</w:t>
      </w:r>
      <w:r>
        <w:rPr>
          <w:rFonts w:ascii="宋体" w:hAnsi="宋体" w:hint="eastAsia"/>
          <w:color w:val="262600"/>
          <w:szCs w:val="21"/>
        </w:rPr>
        <w:t>蔬菜抗逆栽培生产实践（技术）</w:t>
      </w:r>
    </w:p>
    <w:p w14:paraId="75D23604"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四、国内外设施蔬菜抗逆研究进展</w:t>
      </w:r>
    </w:p>
    <w:p w14:paraId="1C6F4106" w14:textId="77777777" w:rsidR="00F5289E" w:rsidRDefault="00C91173">
      <w:pPr>
        <w:widowControl/>
        <w:snapToGrid w:val="0"/>
        <w:spacing w:line="360" w:lineRule="auto"/>
        <w:rPr>
          <w:rFonts w:ascii="宋体" w:hAnsi="宋体"/>
          <w:szCs w:val="21"/>
        </w:rPr>
      </w:pPr>
      <w:r>
        <w:rPr>
          <w:rFonts w:ascii="宋体" w:hAnsi="宋体" w:hint="eastAsia"/>
          <w:b/>
          <w:bCs/>
          <w:szCs w:val="21"/>
        </w:rPr>
        <w:t>教学组织与实施：</w:t>
      </w:r>
      <w:r>
        <w:rPr>
          <w:rFonts w:ascii="宋体" w:hAnsi="宋体" w:hint="eastAsia"/>
          <w:szCs w:val="21"/>
        </w:rPr>
        <w:t>利用多媒体设备，文献等资料，根据学生的理解程度对知识点进行讲解；让学生充分了解设施园艺蔬菜常见逆境障碍因子概念、类型及其危害；并理解设施园艺蔬菜常见生物逆境因子、非生物逆境因子和连作障碍的现状和问题；掌握设施园艺蔬菜常见抗逆技术；通过分小组讨论让学生充分了解设施抗逆栽培原理及技术。</w:t>
      </w:r>
    </w:p>
    <w:p w14:paraId="731E4989" w14:textId="77777777" w:rsidR="00F5289E" w:rsidRDefault="00F5289E">
      <w:pPr>
        <w:widowControl/>
        <w:snapToGrid w:val="0"/>
        <w:spacing w:line="360" w:lineRule="auto"/>
        <w:rPr>
          <w:rFonts w:ascii="宋体" w:hAnsi="宋体"/>
          <w:b/>
          <w:bCs/>
          <w:szCs w:val="21"/>
        </w:rPr>
      </w:pPr>
    </w:p>
    <w:p w14:paraId="6BF7FC1C" w14:textId="77777777" w:rsidR="00F5289E" w:rsidRDefault="00C91173">
      <w:pPr>
        <w:rPr>
          <w:b/>
          <w:bCs/>
          <w:kern w:val="0"/>
          <w:szCs w:val="21"/>
        </w:rPr>
      </w:pPr>
      <w:r>
        <w:rPr>
          <w:rFonts w:ascii="宋体" w:hAnsi="宋体" w:hint="eastAsia"/>
          <w:b/>
          <w:bCs/>
          <w:kern w:val="0"/>
          <w:szCs w:val="21"/>
        </w:rPr>
        <w:t>五、实验教学内容及学时分配</w:t>
      </w:r>
      <w:r>
        <w:rPr>
          <w:b/>
          <w:bCs/>
          <w:kern w:val="0"/>
          <w:szCs w:val="21"/>
        </w:rPr>
        <w:t xml:space="preserve"> </w:t>
      </w:r>
      <w:r>
        <w:rPr>
          <w:rFonts w:ascii="宋体" w:hAnsi="宋体"/>
          <w:b/>
          <w:bCs/>
          <w:kern w:val="0"/>
          <w:szCs w:val="21"/>
        </w:rPr>
        <w:t>（</w:t>
      </w:r>
      <w:r>
        <w:rPr>
          <w:rFonts w:hint="eastAsia"/>
          <w:b/>
          <w:bCs/>
          <w:kern w:val="0"/>
          <w:szCs w:val="21"/>
        </w:rPr>
        <w:t>4</w:t>
      </w:r>
      <w:r>
        <w:rPr>
          <w:rFonts w:ascii="宋体" w:hAnsi="宋体"/>
          <w:b/>
          <w:bCs/>
          <w:kern w:val="0"/>
          <w:szCs w:val="21"/>
        </w:rPr>
        <w:t>学时）</w:t>
      </w:r>
    </w:p>
    <w:p w14:paraId="238FBB61"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（一）实验课程简介</w:t>
      </w:r>
    </w:p>
    <w:p w14:paraId="5C143FC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lastRenderedPageBreak/>
        <w:t>该课程是《设施园艺研究进展》课程的重要组成部分，共</w:t>
      </w:r>
      <w:r>
        <w:rPr>
          <w:szCs w:val="21"/>
        </w:rPr>
        <w:t>4</w:t>
      </w:r>
      <w:r>
        <w:rPr>
          <w:rFonts w:ascii="宋体" w:hAnsi="宋体" w:hint="eastAsia"/>
          <w:szCs w:val="21"/>
        </w:rPr>
        <w:t>学时，通过设施类型的调查、现代设施智能化装备、水肥一体化装备等设施智能化装备的调研，是提高教学质量的重要环节。</w:t>
      </w:r>
    </w:p>
    <w:p w14:paraId="0FE03A7F" w14:textId="77777777" w:rsidR="00F5289E" w:rsidRDefault="00C91173">
      <w:pPr>
        <w:snapToGrid w:val="0"/>
        <w:spacing w:line="360" w:lineRule="auto"/>
        <w:rPr>
          <w:rFonts w:ascii="宋体" w:hAnsi="宋体"/>
          <w:b/>
          <w:bCs/>
          <w:szCs w:val="21"/>
        </w:rPr>
      </w:pPr>
      <w:r>
        <w:rPr>
          <w:rFonts w:ascii="宋体" w:hAnsi="宋体" w:hint="eastAsia"/>
          <w:b/>
          <w:bCs/>
          <w:szCs w:val="21"/>
        </w:rPr>
        <w:t>（二）实验教学目的和基本要求</w:t>
      </w:r>
    </w:p>
    <w:p w14:paraId="2830D542"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通过实验课的学习，使学生验证所学理论基础和知识。要求全体学生参加，根据实验内容进行分组进行。要求学生必须掌握设施类型的调查，掌握设施栽培现代智能化装备、水肥一体化装备等的技术和原理，并能应用到生产实践中去。</w:t>
      </w:r>
    </w:p>
    <w:p w14:paraId="74720483" w14:textId="77777777" w:rsidR="00F5289E" w:rsidRDefault="00C91173">
      <w:pPr>
        <w:snapToGrid w:val="0"/>
        <w:spacing w:line="360" w:lineRule="auto"/>
        <w:ind w:firstLineChars="200" w:firstLine="420"/>
        <w:rPr>
          <w:szCs w:val="21"/>
        </w:rPr>
      </w:pPr>
      <w:r>
        <w:rPr>
          <w:szCs w:val="21"/>
        </w:rPr>
        <w:t xml:space="preserve"> </w:t>
      </w:r>
    </w:p>
    <w:p w14:paraId="552416FD" w14:textId="77777777" w:rsidR="00F5289E" w:rsidRDefault="00C91173">
      <w:pPr>
        <w:snapToGrid w:val="0"/>
        <w:spacing w:line="360" w:lineRule="auto"/>
        <w:rPr>
          <w:b/>
          <w:szCs w:val="21"/>
        </w:rPr>
      </w:pPr>
      <w:r>
        <w:rPr>
          <w:rFonts w:ascii="宋体" w:hAnsi="宋体" w:hint="eastAsia"/>
          <w:b/>
          <w:szCs w:val="21"/>
        </w:rPr>
        <w:t>（三）实验安全操作规范</w:t>
      </w:r>
    </w:p>
    <w:p w14:paraId="6492DC6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实验前，学生应认真预习实验册及课本有关内容，充分了解实验目的、内容和方法，并事前检查相关实验器材、设备是否齐全完好。实验中必须听从老师的指导，步骤科学、严肃认真。实验结束并认真清理实验台，归还相关仪器设备；认真、独立分析实验结果，完成相关实验报告。</w:t>
      </w:r>
    </w:p>
    <w:p w14:paraId="711F0661" w14:textId="77777777" w:rsidR="00F5289E" w:rsidRDefault="00C91173">
      <w:pPr>
        <w:snapToGrid w:val="0"/>
        <w:spacing w:line="360" w:lineRule="auto"/>
        <w:ind w:firstLineChars="200" w:firstLine="420"/>
        <w:rPr>
          <w:szCs w:val="21"/>
        </w:rPr>
      </w:pPr>
      <w:r>
        <w:rPr>
          <w:szCs w:val="21"/>
        </w:rPr>
        <w:t xml:space="preserve"> </w:t>
      </w:r>
    </w:p>
    <w:p w14:paraId="4E44ADB3" w14:textId="77777777" w:rsidR="00F5289E" w:rsidRDefault="00C91173">
      <w:pPr>
        <w:snapToGrid w:val="0"/>
        <w:spacing w:afterLines="50" w:after="156" w:line="360" w:lineRule="auto"/>
        <w:rPr>
          <w:rFonts w:ascii="宋体" w:hAnsi="宋体"/>
          <w:b/>
          <w:bCs/>
          <w:szCs w:val="21"/>
        </w:rPr>
      </w:pPr>
      <w:r>
        <w:rPr>
          <w:rFonts w:ascii="宋体" w:hAnsi="宋体" w:hint="eastAsia"/>
          <w:b/>
          <w:bCs/>
          <w:szCs w:val="21"/>
        </w:rPr>
        <w:t>（四）实验项目名称与学时分配</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1"/>
        <w:gridCol w:w="709"/>
        <w:gridCol w:w="1134"/>
        <w:gridCol w:w="1418"/>
        <w:gridCol w:w="1134"/>
      </w:tblGrid>
      <w:tr w:rsidR="00F5289E" w14:paraId="28CE08D4" w14:textId="77777777">
        <w:tc>
          <w:tcPr>
            <w:tcW w:w="1701" w:type="dxa"/>
            <w:tcBorders>
              <w:top w:val="single" w:sz="4" w:space="0" w:color="auto"/>
              <w:left w:val="single" w:sz="4" w:space="0" w:color="auto"/>
              <w:bottom w:val="single" w:sz="4" w:space="0" w:color="auto"/>
              <w:right w:val="single" w:sz="4" w:space="0" w:color="auto"/>
            </w:tcBorders>
            <w:vAlign w:val="center"/>
          </w:tcPr>
          <w:p w14:paraId="3BC88C9C" w14:textId="77777777" w:rsidR="00F5289E" w:rsidRDefault="00C91173">
            <w:pPr>
              <w:spacing w:line="360" w:lineRule="auto"/>
              <w:jc w:val="center"/>
              <w:rPr>
                <w:b/>
                <w:bCs/>
                <w:sz w:val="18"/>
                <w:szCs w:val="18"/>
              </w:rPr>
            </w:pPr>
            <w:r>
              <w:rPr>
                <w:rFonts w:ascii="宋体" w:hAnsi="宋体"/>
                <w:b/>
                <w:bCs/>
                <w:sz w:val="18"/>
                <w:szCs w:val="18"/>
              </w:rPr>
              <w:t>序号</w:t>
            </w:r>
          </w:p>
        </w:tc>
        <w:tc>
          <w:tcPr>
            <w:tcW w:w="2551" w:type="dxa"/>
            <w:tcBorders>
              <w:top w:val="single" w:sz="4" w:space="0" w:color="auto"/>
              <w:left w:val="nil"/>
              <w:bottom w:val="single" w:sz="4" w:space="0" w:color="auto"/>
              <w:right w:val="single" w:sz="4" w:space="0" w:color="auto"/>
            </w:tcBorders>
            <w:vAlign w:val="center"/>
          </w:tcPr>
          <w:p w14:paraId="17C71BAF" w14:textId="77777777" w:rsidR="00F5289E" w:rsidRDefault="00C91173">
            <w:pPr>
              <w:spacing w:line="360" w:lineRule="auto"/>
              <w:jc w:val="center"/>
              <w:rPr>
                <w:b/>
                <w:bCs/>
                <w:sz w:val="18"/>
                <w:szCs w:val="18"/>
              </w:rPr>
            </w:pPr>
            <w:r>
              <w:rPr>
                <w:rFonts w:ascii="宋体" w:hAnsi="宋体"/>
                <w:b/>
                <w:bCs/>
                <w:sz w:val="18"/>
                <w:szCs w:val="18"/>
              </w:rPr>
              <w:t>实验名称</w:t>
            </w:r>
          </w:p>
        </w:tc>
        <w:tc>
          <w:tcPr>
            <w:tcW w:w="709" w:type="dxa"/>
            <w:tcBorders>
              <w:top w:val="single" w:sz="4" w:space="0" w:color="auto"/>
              <w:left w:val="nil"/>
              <w:bottom w:val="single" w:sz="4" w:space="0" w:color="auto"/>
              <w:right w:val="single" w:sz="4" w:space="0" w:color="auto"/>
            </w:tcBorders>
            <w:vAlign w:val="center"/>
          </w:tcPr>
          <w:p w14:paraId="4C7DC856" w14:textId="77777777" w:rsidR="00F5289E" w:rsidRDefault="00C91173">
            <w:pPr>
              <w:spacing w:line="360" w:lineRule="auto"/>
              <w:jc w:val="center"/>
              <w:rPr>
                <w:b/>
                <w:bCs/>
                <w:sz w:val="18"/>
                <w:szCs w:val="18"/>
              </w:rPr>
            </w:pPr>
            <w:r>
              <w:rPr>
                <w:rFonts w:ascii="宋体" w:hAnsi="宋体"/>
                <w:b/>
                <w:bCs/>
                <w:sz w:val="18"/>
                <w:szCs w:val="18"/>
              </w:rPr>
              <w:t>学时</w:t>
            </w:r>
          </w:p>
        </w:tc>
        <w:tc>
          <w:tcPr>
            <w:tcW w:w="1134" w:type="dxa"/>
            <w:tcBorders>
              <w:top w:val="single" w:sz="4" w:space="0" w:color="auto"/>
              <w:left w:val="nil"/>
              <w:bottom w:val="single" w:sz="4" w:space="0" w:color="auto"/>
              <w:right w:val="single" w:sz="4" w:space="0" w:color="auto"/>
            </w:tcBorders>
            <w:vAlign w:val="center"/>
          </w:tcPr>
          <w:p w14:paraId="107B7B30" w14:textId="77777777" w:rsidR="00F5289E" w:rsidRDefault="00C91173">
            <w:pPr>
              <w:spacing w:line="360" w:lineRule="auto"/>
              <w:jc w:val="center"/>
              <w:rPr>
                <w:b/>
                <w:bCs/>
                <w:sz w:val="18"/>
                <w:szCs w:val="18"/>
              </w:rPr>
            </w:pPr>
            <w:r>
              <w:rPr>
                <w:rFonts w:ascii="宋体" w:hAnsi="宋体"/>
                <w:b/>
                <w:bCs/>
                <w:sz w:val="18"/>
                <w:szCs w:val="18"/>
              </w:rPr>
              <w:t>类型</w:t>
            </w:r>
          </w:p>
        </w:tc>
        <w:tc>
          <w:tcPr>
            <w:tcW w:w="1418" w:type="dxa"/>
            <w:tcBorders>
              <w:top w:val="single" w:sz="4" w:space="0" w:color="auto"/>
              <w:left w:val="nil"/>
              <w:bottom w:val="single" w:sz="4" w:space="0" w:color="auto"/>
              <w:right w:val="single" w:sz="4" w:space="0" w:color="auto"/>
            </w:tcBorders>
            <w:vAlign w:val="center"/>
          </w:tcPr>
          <w:p w14:paraId="6C31A226" w14:textId="77777777" w:rsidR="00F5289E" w:rsidRDefault="00C91173">
            <w:pPr>
              <w:spacing w:line="360" w:lineRule="auto"/>
              <w:jc w:val="center"/>
              <w:rPr>
                <w:b/>
                <w:bCs/>
                <w:sz w:val="18"/>
                <w:szCs w:val="18"/>
              </w:rPr>
            </w:pPr>
            <w:r>
              <w:rPr>
                <w:rFonts w:ascii="宋体" w:hAnsi="宋体"/>
                <w:b/>
                <w:bCs/>
                <w:sz w:val="18"/>
                <w:szCs w:val="18"/>
              </w:rPr>
              <w:t>实验要求</w:t>
            </w:r>
          </w:p>
        </w:tc>
        <w:tc>
          <w:tcPr>
            <w:tcW w:w="1134" w:type="dxa"/>
            <w:tcBorders>
              <w:top w:val="single" w:sz="4" w:space="0" w:color="auto"/>
              <w:left w:val="nil"/>
              <w:bottom w:val="single" w:sz="4" w:space="0" w:color="auto"/>
              <w:right w:val="single" w:sz="4" w:space="0" w:color="auto"/>
            </w:tcBorders>
          </w:tcPr>
          <w:p w14:paraId="4726711C" w14:textId="77777777" w:rsidR="00F5289E" w:rsidRDefault="00C91173">
            <w:pPr>
              <w:spacing w:line="360" w:lineRule="auto"/>
              <w:jc w:val="center"/>
              <w:rPr>
                <w:b/>
                <w:bCs/>
                <w:sz w:val="18"/>
                <w:szCs w:val="18"/>
              </w:rPr>
            </w:pPr>
            <w:r>
              <w:rPr>
                <w:rFonts w:ascii="宋体" w:hAnsi="宋体"/>
                <w:b/>
                <w:bCs/>
                <w:sz w:val="18"/>
                <w:szCs w:val="18"/>
              </w:rPr>
              <w:t>每组人数</w:t>
            </w:r>
          </w:p>
        </w:tc>
      </w:tr>
      <w:tr w:rsidR="00F5289E" w14:paraId="685A6E82" w14:textId="77777777">
        <w:trPr>
          <w:trHeight w:val="358"/>
        </w:trPr>
        <w:tc>
          <w:tcPr>
            <w:tcW w:w="1701" w:type="dxa"/>
            <w:tcBorders>
              <w:top w:val="nil"/>
              <w:left w:val="single" w:sz="8" w:space="0" w:color="000000"/>
              <w:bottom w:val="single" w:sz="8" w:space="0" w:color="000000"/>
              <w:right w:val="single" w:sz="8" w:space="0" w:color="000000"/>
            </w:tcBorders>
            <w:vAlign w:val="center"/>
          </w:tcPr>
          <w:p w14:paraId="033575B3" w14:textId="77777777" w:rsidR="00F5289E" w:rsidRDefault="00C91173">
            <w:pPr>
              <w:widowControl/>
              <w:jc w:val="center"/>
              <w:rPr>
                <w:color w:val="000000"/>
                <w:kern w:val="0"/>
                <w:sz w:val="18"/>
                <w:szCs w:val="18"/>
              </w:rPr>
            </w:pPr>
            <w:r>
              <w:rPr>
                <w:color w:val="000000"/>
                <w:sz w:val="18"/>
                <w:szCs w:val="18"/>
              </w:rPr>
              <w:t>1901109901</w:t>
            </w:r>
          </w:p>
        </w:tc>
        <w:tc>
          <w:tcPr>
            <w:tcW w:w="2551" w:type="dxa"/>
            <w:tcBorders>
              <w:top w:val="single" w:sz="4" w:space="0" w:color="auto"/>
              <w:left w:val="nil"/>
              <w:bottom w:val="single" w:sz="4" w:space="0" w:color="auto"/>
              <w:right w:val="single" w:sz="4" w:space="0" w:color="auto"/>
            </w:tcBorders>
            <w:vAlign w:val="center"/>
          </w:tcPr>
          <w:p w14:paraId="34F10ED9" w14:textId="77777777" w:rsidR="00F5289E" w:rsidRDefault="00C91173">
            <w:pPr>
              <w:spacing w:line="360" w:lineRule="auto"/>
              <w:jc w:val="center"/>
              <w:rPr>
                <w:kern w:val="0"/>
                <w:sz w:val="18"/>
                <w:szCs w:val="18"/>
              </w:rPr>
            </w:pPr>
            <w:r>
              <w:rPr>
                <w:rFonts w:ascii="宋体" w:hAnsi="宋体"/>
                <w:kern w:val="0"/>
                <w:sz w:val="18"/>
                <w:szCs w:val="18"/>
              </w:rPr>
              <w:t>园艺栽培设施类型的调查</w:t>
            </w:r>
          </w:p>
        </w:tc>
        <w:tc>
          <w:tcPr>
            <w:tcW w:w="709" w:type="dxa"/>
            <w:tcBorders>
              <w:top w:val="single" w:sz="4" w:space="0" w:color="auto"/>
              <w:left w:val="nil"/>
              <w:bottom w:val="single" w:sz="4" w:space="0" w:color="auto"/>
              <w:right w:val="single" w:sz="4" w:space="0" w:color="auto"/>
            </w:tcBorders>
            <w:vAlign w:val="center"/>
          </w:tcPr>
          <w:p w14:paraId="1ED364DE" w14:textId="77777777" w:rsidR="00F5289E" w:rsidRDefault="00C91173">
            <w:pPr>
              <w:spacing w:line="360" w:lineRule="auto"/>
              <w:jc w:val="center"/>
              <w:rPr>
                <w:kern w:val="0"/>
                <w:sz w:val="18"/>
                <w:szCs w:val="18"/>
              </w:rPr>
            </w:pPr>
            <w:r>
              <w:rPr>
                <w:kern w:val="0"/>
                <w:sz w:val="18"/>
                <w:szCs w:val="18"/>
              </w:rPr>
              <w:t>2</w:t>
            </w:r>
          </w:p>
        </w:tc>
        <w:tc>
          <w:tcPr>
            <w:tcW w:w="1134" w:type="dxa"/>
            <w:tcBorders>
              <w:top w:val="single" w:sz="4" w:space="0" w:color="auto"/>
              <w:left w:val="nil"/>
              <w:bottom w:val="single" w:sz="4" w:space="0" w:color="auto"/>
              <w:right w:val="single" w:sz="4" w:space="0" w:color="auto"/>
            </w:tcBorders>
            <w:vAlign w:val="center"/>
          </w:tcPr>
          <w:p w14:paraId="2ED14E73" w14:textId="77777777" w:rsidR="00F5289E" w:rsidRDefault="00C91173">
            <w:pPr>
              <w:spacing w:line="360" w:lineRule="auto"/>
              <w:jc w:val="center"/>
              <w:rPr>
                <w:kern w:val="0"/>
                <w:sz w:val="18"/>
                <w:szCs w:val="18"/>
              </w:rPr>
            </w:pPr>
            <w:r>
              <w:rPr>
                <w:rFonts w:ascii="宋体" w:hAnsi="宋体"/>
                <w:kern w:val="0"/>
                <w:sz w:val="18"/>
                <w:szCs w:val="18"/>
              </w:rPr>
              <w:t>综合性</w:t>
            </w:r>
          </w:p>
        </w:tc>
        <w:tc>
          <w:tcPr>
            <w:tcW w:w="1418" w:type="dxa"/>
            <w:tcBorders>
              <w:top w:val="single" w:sz="4" w:space="0" w:color="auto"/>
              <w:left w:val="nil"/>
              <w:bottom w:val="single" w:sz="4" w:space="0" w:color="auto"/>
              <w:right w:val="single" w:sz="4" w:space="0" w:color="auto"/>
            </w:tcBorders>
            <w:vAlign w:val="center"/>
          </w:tcPr>
          <w:p w14:paraId="2EBB554A" w14:textId="77777777" w:rsidR="00F5289E" w:rsidRDefault="00C91173">
            <w:pPr>
              <w:spacing w:line="360" w:lineRule="auto"/>
              <w:jc w:val="center"/>
              <w:rPr>
                <w:kern w:val="0"/>
                <w:sz w:val="18"/>
                <w:szCs w:val="18"/>
              </w:rPr>
            </w:pPr>
            <w:r>
              <w:rPr>
                <w:rFonts w:ascii="宋体" w:hAnsi="宋体"/>
                <w:kern w:val="0"/>
                <w:sz w:val="18"/>
                <w:szCs w:val="18"/>
              </w:rPr>
              <w:t>必做</w:t>
            </w:r>
          </w:p>
        </w:tc>
        <w:tc>
          <w:tcPr>
            <w:tcW w:w="1134" w:type="dxa"/>
            <w:tcBorders>
              <w:top w:val="single" w:sz="4" w:space="0" w:color="auto"/>
              <w:left w:val="nil"/>
              <w:bottom w:val="single" w:sz="4" w:space="0" w:color="auto"/>
              <w:right w:val="single" w:sz="4" w:space="0" w:color="auto"/>
            </w:tcBorders>
          </w:tcPr>
          <w:p w14:paraId="63C3C49C" w14:textId="77777777" w:rsidR="00F5289E" w:rsidRDefault="00C91173">
            <w:pPr>
              <w:spacing w:line="360" w:lineRule="auto"/>
              <w:jc w:val="center"/>
              <w:rPr>
                <w:kern w:val="0"/>
                <w:sz w:val="18"/>
                <w:szCs w:val="18"/>
              </w:rPr>
            </w:pPr>
            <w:r>
              <w:rPr>
                <w:kern w:val="0"/>
                <w:sz w:val="18"/>
                <w:szCs w:val="18"/>
              </w:rPr>
              <w:t>5</w:t>
            </w:r>
          </w:p>
        </w:tc>
      </w:tr>
      <w:tr w:rsidR="00F5289E" w14:paraId="14968286" w14:textId="77777777">
        <w:tc>
          <w:tcPr>
            <w:tcW w:w="1701" w:type="dxa"/>
            <w:tcBorders>
              <w:top w:val="nil"/>
              <w:left w:val="single" w:sz="8" w:space="0" w:color="000000"/>
              <w:bottom w:val="single" w:sz="8" w:space="0" w:color="000000"/>
              <w:right w:val="single" w:sz="8" w:space="0" w:color="000000"/>
            </w:tcBorders>
            <w:vAlign w:val="center"/>
          </w:tcPr>
          <w:p w14:paraId="704E6942" w14:textId="77777777" w:rsidR="00F5289E" w:rsidRDefault="00C91173">
            <w:pPr>
              <w:jc w:val="center"/>
              <w:rPr>
                <w:color w:val="000000"/>
                <w:sz w:val="18"/>
                <w:szCs w:val="18"/>
              </w:rPr>
            </w:pPr>
            <w:r>
              <w:rPr>
                <w:color w:val="000000"/>
                <w:sz w:val="18"/>
                <w:szCs w:val="18"/>
              </w:rPr>
              <w:t>1901109902</w:t>
            </w:r>
          </w:p>
        </w:tc>
        <w:tc>
          <w:tcPr>
            <w:tcW w:w="2551" w:type="dxa"/>
            <w:tcBorders>
              <w:top w:val="single" w:sz="4" w:space="0" w:color="auto"/>
              <w:left w:val="nil"/>
              <w:bottom w:val="single" w:sz="4" w:space="0" w:color="auto"/>
              <w:right w:val="single" w:sz="4" w:space="0" w:color="auto"/>
            </w:tcBorders>
            <w:vAlign w:val="center"/>
          </w:tcPr>
          <w:p w14:paraId="0B2908BC" w14:textId="77777777" w:rsidR="00F5289E" w:rsidRDefault="00C91173">
            <w:pPr>
              <w:spacing w:line="360" w:lineRule="auto"/>
              <w:jc w:val="center"/>
              <w:rPr>
                <w:rFonts w:ascii="宋体" w:hAnsi="宋体"/>
                <w:kern w:val="0"/>
                <w:sz w:val="18"/>
                <w:szCs w:val="18"/>
              </w:rPr>
            </w:pPr>
            <w:r>
              <w:rPr>
                <w:rFonts w:ascii="宋体" w:hAnsi="宋体" w:hint="eastAsia"/>
                <w:kern w:val="0"/>
                <w:sz w:val="18"/>
                <w:szCs w:val="18"/>
              </w:rPr>
              <w:t>水肥一体化装备、设施智能化装备参观学习</w:t>
            </w:r>
          </w:p>
        </w:tc>
        <w:tc>
          <w:tcPr>
            <w:tcW w:w="709" w:type="dxa"/>
            <w:tcBorders>
              <w:top w:val="single" w:sz="4" w:space="0" w:color="auto"/>
              <w:left w:val="nil"/>
              <w:bottom w:val="single" w:sz="4" w:space="0" w:color="auto"/>
              <w:right w:val="single" w:sz="4" w:space="0" w:color="auto"/>
            </w:tcBorders>
            <w:vAlign w:val="center"/>
          </w:tcPr>
          <w:p w14:paraId="4040BC3C" w14:textId="77777777" w:rsidR="00F5289E" w:rsidRDefault="00C91173">
            <w:pPr>
              <w:spacing w:line="360" w:lineRule="auto"/>
              <w:jc w:val="center"/>
              <w:rPr>
                <w:kern w:val="0"/>
                <w:sz w:val="18"/>
                <w:szCs w:val="18"/>
              </w:rPr>
            </w:pPr>
            <w:r>
              <w:rPr>
                <w:kern w:val="0"/>
                <w:sz w:val="18"/>
                <w:szCs w:val="18"/>
              </w:rPr>
              <w:t>2</w:t>
            </w:r>
          </w:p>
        </w:tc>
        <w:tc>
          <w:tcPr>
            <w:tcW w:w="1134" w:type="dxa"/>
            <w:tcBorders>
              <w:top w:val="single" w:sz="4" w:space="0" w:color="auto"/>
              <w:left w:val="nil"/>
              <w:bottom w:val="single" w:sz="4" w:space="0" w:color="auto"/>
              <w:right w:val="single" w:sz="4" w:space="0" w:color="auto"/>
            </w:tcBorders>
            <w:vAlign w:val="center"/>
          </w:tcPr>
          <w:p w14:paraId="0E821C85" w14:textId="77777777" w:rsidR="00F5289E" w:rsidRDefault="00C91173">
            <w:pPr>
              <w:spacing w:line="360" w:lineRule="auto"/>
              <w:jc w:val="center"/>
              <w:rPr>
                <w:kern w:val="0"/>
                <w:sz w:val="18"/>
                <w:szCs w:val="18"/>
              </w:rPr>
            </w:pPr>
            <w:r>
              <w:rPr>
                <w:rFonts w:ascii="宋体" w:hAnsi="宋体" w:hint="eastAsia"/>
                <w:kern w:val="0"/>
                <w:sz w:val="18"/>
                <w:szCs w:val="18"/>
              </w:rPr>
              <w:t>综合性</w:t>
            </w:r>
          </w:p>
        </w:tc>
        <w:tc>
          <w:tcPr>
            <w:tcW w:w="1418" w:type="dxa"/>
            <w:tcBorders>
              <w:top w:val="single" w:sz="4" w:space="0" w:color="auto"/>
              <w:left w:val="nil"/>
              <w:bottom w:val="single" w:sz="4" w:space="0" w:color="auto"/>
              <w:right w:val="single" w:sz="4" w:space="0" w:color="auto"/>
            </w:tcBorders>
            <w:vAlign w:val="center"/>
          </w:tcPr>
          <w:p w14:paraId="308CE22D" w14:textId="77777777" w:rsidR="00F5289E" w:rsidRDefault="00C91173">
            <w:pPr>
              <w:spacing w:line="360" w:lineRule="auto"/>
              <w:jc w:val="center"/>
              <w:rPr>
                <w:kern w:val="0"/>
                <w:sz w:val="18"/>
                <w:szCs w:val="18"/>
              </w:rPr>
            </w:pPr>
            <w:r>
              <w:rPr>
                <w:rFonts w:ascii="宋体" w:hAnsi="宋体"/>
                <w:kern w:val="0"/>
                <w:sz w:val="18"/>
                <w:szCs w:val="18"/>
              </w:rPr>
              <w:t>必做</w:t>
            </w:r>
          </w:p>
        </w:tc>
        <w:tc>
          <w:tcPr>
            <w:tcW w:w="1134" w:type="dxa"/>
            <w:tcBorders>
              <w:top w:val="single" w:sz="4" w:space="0" w:color="auto"/>
              <w:left w:val="nil"/>
              <w:bottom w:val="single" w:sz="4" w:space="0" w:color="auto"/>
              <w:right w:val="single" w:sz="4" w:space="0" w:color="auto"/>
            </w:tcBorders>
          </w:tcPr>
          <w:p w14:paraId="27CD933E" w14:textId="77777777" w:rsidR="00F5289E" w:rsidRDefault="00C91173">
            <w:pPr>
              <w:spacing w:line="360" w:lineRule="auto"/>
              <w:jc w:val="center"/>
              <w:rPr>
                <w:kern w:val="0"/>
                <w:sz w:val="18"/>
                <w:szCs w:val="18"/>
              </w:rPr>
            </w:pPr>
            <w:r>
              <w:rPr>
                <w:kern w:val="0"/>
                <w:sz w:val="18"/>
                <w:szCs w:val="18"/>
              </w:rPr>
              <w:t>6</w:t>
            </w:r>
          </w:p>
        </w:tc>
      </w:tr>
    </w:tbl>
    <w:p w14:paraId="6D1A0FB7" w14:textId="77777777" w:rsidR="00F5289E" w:rsidRDefault="00C91173">
      <w:pPr>
        <w:snapToGrid w:val="0"/>
        <w:spacing w:line="360" w:lineRule="auto"/>
        <w:rPr>
          <w:rFonts w:ascii="宋体" w:hAnsi="宋体"/>
          <w:b/>
          <w:bCs/>
          <w:szCs w:val="21"/>
        </w:rPr>
      </w:pPr>
      <w:r>
        <w:rPr>
          <w:rFonts w:ascii="宋体" w:hAnsi="宋体" w:hint="eastAsia"/>
          <w:b/>
          <w:bCs/>
          <w:szCs w:val="21"/>
        </w:rPr>
        <w:t xml:space="preserve"> </w:t>
      </w:r>
    </w:p>
    <w:p w14:paraId="1BD9D2CC" w14:textId="77777777" w:rsidR="00F5289E" w:rsidRDefault="00C91173">
      <w:pPr>
        <w:snapToGrid w:val="0"/>
        <w:spacing w:line="360" w:lineRule="auto"/>
        <w:rPr>
          <w:rFonts w:ascii="宋体" w:hAnsi="宋体"/>
          <w:b/>
          <w:bCs/>
          <w:szCs w:val="21"/>
        </w:rPr>
      </w:pPr>
      <w:r>
        <w:rPr>
          <w:rFonts w:ascii="宋体" w:hAnsi="宋体" w:hint="eastAsia"/>
          <w:b/>
          <w:bCs/>
          <w:szCs w:val="21"/>
        </w:rPr>
        <w:t>（五）实验方式及基本要求</w:t>
      </w:r>
    </w:p>
    <w:p w14:paraId="0E78A492" w14:textId="77777777" w:rsidR="00F5289E" w:rsidRDefault="00C91173">
      <w:pPr>
        <w:spacing w:line="360" w:lineRule="auto"/>
        <w:ind w:firstLineChars="200" w:firstLine="420"/>
        <w:rPr>
          <w:rFonts w:ascii="宋体" w:hAnsi="宋体"/>
          <w:kern w:val="0"/>
          <w:szCs w:val="21"/>
        </w:rPr>
      </w:pPr>
      <w:r>
        <w:rPr>
          <w:rFonts w:ascii="宋体" w:hAnsi="宋体" w:hint="eastAsia"/>
          <w:szCs w:val="21"/>
        </w:rPr>
        <w:t>根据实验内容安排具体方式，实验1为综合性实验需要学生深入基地进行，其它实验在实验基地进行。每次试验后要写出实验报告。</w:t>
      </w:r>
    </w:p>
    <w:p w14:paraId="454E1AF4" w14:textId="77777777" w:rsidR="00F5289E" w:rsidRDefault="00C91173">
      <w:pPr>
        <w:snapToGrid w:val="0"/>
        <w:spacing w:line="360" w:lineRule="auto"/>
        <w:rPr>
          <w:rFonts w:ascii="宋体" w:hAnsi="宋体"/>
          <w:b/>
          <w:bCs/>
          <w:szCs w:val="21"/>
        </w:rPr>
      </w:pPr>
      <w:r>
        <w:rPr>
          <w:rFonts w:ascii="宋体" w:hAnsi="宋体" w:hint="eastAsia"/>
          <w:b/>
          <w:bCs/>
          <w:szCs w:val="21"/>
        </w:rPr>
        <w:t>（六）实验内容安排</w:t>
      </w:r>
    </w:p>
    <w:p w14:paraId="606CD908" w14:textId="77777777" w:rsidR="00F5289E" w:rsidRDefault="00C91173">
      <w:pPr>
        <w:widowControl/>
        <w:snapToGrid w:val="0"/>
        <w:spacing w:line="360" w:lineRule="auto"/>
        <w:jc w:val="left"/>
        <w:rPr>
          <w:kern w:val="0"/>
          <w:szCs w:val="21"/>
        </w:rPr>
      </w:pPr>
      <w:r>
        <w:rPr>
          <w:rFonts w:ascii="宋体" w:hAnsi="宋体" w:hint="eastAsia"/>
          <w:b/>
          <w:bCs/>
          <w:szCs w:val="21"/>
        </w:rPr>
        <w:t>【实验一】</w:t>
      </w:r>
      <w:r>
        <w:rPr>
          <w:rFonts w:ascii="宋体" w:hAnsi="宋体" w:hint="eastAsia"/>
          <w:b/>
          <w:bCs/>
          <w:kern w:val="0"/>
          <w:szCs w:val="21"/>
        </w:rPr>
        <w:t>园艺栽培设施类型的调查</w:t>
      </w:r>
    </w:p>
    <w:p w14:paraId="4ACEF24E" w14:textId="77777777" w:rsidR="00F5289E" w:rsidRDefault="00C91173">
      <w:pPr>
        <w:widowControl/>
        <w:snapToGrid w:val="0"/>
        <w:spacing w:line="360" w:lineRule="auto"/>
        <w:jc w:val="left"/>
        <w:rPr>
          <w:b/>
          <w:bCs/>
          <w:kern w:val="0"/>
          <w:szCs w:val="21"/>
        </w:rPr>
      </w:pPr>
      <w:r>
        <w:rPr>
          <w:rFonts w:ascii="宋体" w:hAnsi="宋体" w:hint="eastAsia"/>
          <w:b/>
          <w:bCs/>
          <w:kern w:val="0"/>
          <w:szCs w:val="21"/>
        </w:rPr>
        <w:t>实验基本知识与操作</w:t>
      </w:r>
    </w:p>
    <w:p w14:paraId="0032717B" w14:textId="77777777" w:rsidR="00F5289E" w:rsidRDefault="00C91173">
      <w:pPr>
        <w:snapToGrid w:val="0"/>
        <w:spacing w:line="360" w:lineRule="auto"/>
        <w:ind w:firstLineChars="196" w:firstLine="413"/>
        <w:rPr>
          <w:szCs w:val="21"/>
        </w:rPr>
      </w:pPr>
      <w:r>
        <w:rPr>
          <w:b/>
          <w:bCs/>
          <w:szCs w:val="21"/>
        </w:rPr>
        <w:t>1.</w:t>
      </w:r>
      <w:r>
        <w:rPr>
          <w:rFonts w:ascii="宋体" w:hAnsi="宋体" w:hint="eastAsia"/>
          <w:b/>
          <w:bCs/>
          <w:szCs w:val="21"/>
        </w:rPr>
        <w:t>实验学时：</w:t>
      </w:r>
      <w:r>
        <w:rPr>
          <w:szCs w:val="21"/>
        </w:rPr>
        <w:t>2</w:t>
      </w:r>
    </w:p>
    <w:p w14:paraId="2A3838AD" w14:textId="77777777" w:rsidR="00F5289E" w:rsidRDefault="00C91173">
      <w:pPr>
        <w:snapToGrid w:val="0"/>
        <w:spacing w:line="360" w:lineRule="auto"/>
        <w:ind w:firstLineChars="200" w:firstLine="422"/>
        <w:rPr>
          <w:szCs w:val="21"/>
        </w:rPr>
      </w:pPr>
      <w:r>
        <w:rPr>
          <w:b/>
          <w:bCs/>
          <w:szCs w:val="21"/>
        </w:rPr>
        <w:t>2.</w:t>
      </w:r>
      <w:r>
        <w:rPr>
          <w:rFonts w:ascii="宋体" w:hAnsi="宋体" w:hint="eastAsia"/>
          <w:b/>
          <w:bCs/>
          <w:szCs w:val="21"/>
        </w:rPr>
        <w:t>实验目的：</w:t>
      </w:r>
      <w:r>
        <w:rPr>
          <w:rFonts w:ascii="宋体" w:hAnsi="宋体" w:hint="eastAsia"/>
          <w:szCs w:val="21"/>
        </w:rPr>
        <w:t>了解目前生产中常用的园艺设施状况</w:t>
      </w:r>
    </w:p>
    <w:p w14:paraId="49E31925" w14:textId="77777777" w:rsidR="00F5289E" w:rsidRDefault="00C91173">
      <w:pPr>
        <w:snapToGrid w:val="0"/>
        <w:spacing w:line="360" w:lineRule="auto"/>
        <w:ind w:firstLineChars="200" w:firstLine="422"/>
        <w:rPr>
          <w:szCs w:val="21"/>
        </w:rPr>
      </w:pPr>
      <w:r>
        <w:rPr>
          <w:b/>
          <w:bCs/>
          <w:szCs w:val="21"/>
        </w:rPr>
        <w:t>3.</w:t>
      </w:r>
      <w:r>
        <w:rPr>
          <w:rFonts w:ascii="宋体" w:hAnsi="宋体" w:hint="eastAsia"/>
          <w:b/>
          <w:bCs/>
          <w:szCs w:val="21"/>
        </w:rPr>
        <w:t>实验内容：</w:t>
      </w:r>
      <w:r>
        <w:rPr>
          <w:rFonts w:ascii="宋体" w:hAnsi="宋体" w:hint="eastAsia"/>
          <w:szCs w:val="21"/>
        </w:rPr>
        <w:t>到郑州市近郊县各种设施园艺基地进行园艺设施的调查</w:t>
      </w:r>
    </w:p>
    <w:p w14:paraId="28486F91" w14:textId="77777777" w:rsidR="00F5289E" w:rsidRDefault="00C91173">
      <w:pPr>
        <w:snapToGrid w:val="0"/>
        <w:spacing w:line="360" w:lineRule="auto"/>
        <w:ind w:firstLineChars="200" w:firstLine="422"/>
        <w:rPr>
          <w:szCs w:val="21"/>
        </w:rPr>
      </w:pPr>
      <w:r>
        <w:rPr>
          <w:b/>
          <w:bCs/>
          <w:szCs w:val="21"/>
        </w:rPr>
        <w:t>4.</w:t>
      </w:r>
      <w:r>
        <w:rPr>
          <w:rFonts w:ascii="宋体" w:hAnsi="宋体" w:hint="eastAsia"/>
          <w:b/>
          <w:bCs/>
          <w:szCs w:val="21"/>
        </w:rPr>
        <w:t>实验要求：</w:t>
      </w:r>
      <w:r>
        <w:rPr>
          <w:rFonts w:ascii="宋体" w:hAnsi="宋体" w:hint="eastAsia"/>
          <w:szCs w:val="21"/>
        </w:rPr>
        <w:t>每个调查四种以上的园艺设施，包裹结构类型、规模（长度、高度、跨度、墙体厚度等）、栽培作物状况（种类、种植期、生长状况等）调查结束写出实验报告。</w:t>
      </w:r>
    </w:p>
    <w:p w14:paraId="7DECE051" w14:textId="77777777" w:rsidR="00F5289E" w:rsidRDefault="00C91173">
      <w:pPr>
        <w:snapToGrid w:val="0"/>
        <w:spacing w:line="360" w:lineRule="auto"/>
        <w:ind w:firstLineChars="200" w:firstLine="422"/>
        <w:rPr>
          <w:szCs w:val="21"/>
        </w:rPr>
      </w:pPr>
      <w:r>
        <w:rPr>
          <w:b/>
          <w:bCs/>
          <w:szCs w:val="21"/>
        </w:rPr>
        <w:t>5.</w:t>
      </w:r>
      <w:r>
        <w:rPr>
          <w:rFonts w:ascii="宋体" w:hAnsi="宋体" w:hint="eastAsia"/>
          <w:b/>
          <w:bCs/>
          <w:szCs w:val="21"/>
        </w:rPr>
        <w:t>实验设备及器材：</w:t>
      </w:r>
      <w:r>
        <w:rPr>
          <w:rFonts w:ascii="宋体" w:hAnsi="宋体" w:hint="eastAsia"/>
          <w:szCs w:val="21"/>
        </w:rPr>
        <w:t>卷尺、高度仪等</w:t>
      </w:r>
    </w:p>
    <w:p w14:paraId="0366910B" w14:textId="77777777" w:rsidR="00F5289E" w:rsidRDefault="00C91173">
      <w:pPr>
        <w:widowControl/>
        <w:snapToGrid w:val="0"/>
        <w:spacing w:line="360" w:lineRule="auto"/>
        <w:jc w:val="left"/>
        <w:rPr>
          <w:kern w:val="0"/>
          <w:szCs w:val="21"/>
        </w:rPr>
      </w:pPr>
      <w:r>
        <w:rPr>
          <w:rFonts w:ascii="宋体" w:hAnsi="宋体" w:hint="eastAsia"/>
          <w:b/>
          <w:bCs/>
          <w:szCs w:val="21"/>
        </w:rPr>
        <w:t>【实验二】设施智能化装备和水肥一体化等现代技术在设施园艺中的应用和发展</w:t>
      </w:r>
    </w:p>
    <w:p w14:paraId="10D7122A" w14:textId="77777777" w:rsidR="00F5289E" w:rsidRDefault="00C91173">
      <w:pPr>
        <w:widowControl/>
        <w:snapToGrid w:val="0"/>
        <w:spacing w:line="360" w:lineRule="auto"/>
        <w:jc w:val="left"/>
        <w:rPr>
          <w:b/>
          <w:bCs/>
          <w:kern w:val="0"/>
          <w:szCs w:val="21"/>
        </w:rPr>
      </w:pPr>
      <w:r>
        <w:rPr>
          <w:rFonts w:ascii="宋体" w:hAnsi="宋体" w:hint="eastAsia"/>
          <w:b/>
          <w:bCs/>
          <w:kern w:val="0"/>
          <w:szCs w:val="21"/>
        </w:rPr>
        <w:t>实验基本知识与操作</w:t>
      </w:r>
    </w:p>
    <w:p w14:paraId="25E08D75" w14:textId="77777777" w:rsidR="00F5289E" w:rsidRDefault="00C91173">
      <w:pPr>
        <w:snapToGrid w:val="0"/>
        <w:spacing w:line="360" w:lineRule="auto"/>
        <w:ind w:firstLineChars="196" w:firstLine="413"/>
        <w:rPr>
          <w:szCs w:val="21"/>
        </w:rPr>
      </w:pPr>
      <w:r>
        <w:rPr>
          <w:b/>
          <w:bCs/>
          <w:szCs w:val="21"/>
        </w:rPr>
        <w:t>1.</w:t>
      </w:r>
      <w:r>
        <w:rPr>
          <w:rFonts w:ascii="宋体" w:hAnsi="宋体" w:hint="eastAsia"/>
          <w:b/>
          <w:bCs/>
          <w:szCs w:val="21"/>
        </w:rPr>
        <w:t>实验学时：</w:t>
      </w:r>
      <w:r>
        <w:rPr>
          <w:szCs w:val="21"/>
        </w:rPr>
        <w:t>2</w:t>
      </w:r>
    </w:p>
    <w:p w14:paraId="329F7DD3" w14:textId="77777777" w:rsidR="00F5289E" w:rsidRDefault="00C91173">
      <w:pPr>
        <w:snapToGrid w:val="0"/>
        <w:spacing w:line="360" w:lineRule="auto"/>
        <w:ind w:firstLineChars="200" w:firstLine="422"/>
        <w:rPr>
          <w:szCs w:val="21"/>
        </w:rPr>
      </w:pPr>
      <w:r>
        <w:rPr>
          <w:b/>
          <w:bCs/>
          <w:szCs w:val="21"/>
        </w:rPr>
        <w:lastRenderedPageBreak/>
        <w:t>2.</w:t>
      </w:r>
      <w:r>
        <w:rPr>
          <w:rFonts w:ascii="宋体" w:hAnsi="宋体" w:hint="eastAsia"/>
          <w:b/>
          <w:bCs/>
          <w:szCs w:val="21"/>
        </w:rPr>
        <w:t>实验目的：</w:t>
      </w:r>
      <w:r>
        <w:rPr>
          <w:rFonts w:ascii="宋体" w:hAnsi="宋体" w:hint="eastAsia"/>
          <w:szCs w:val="21"/>
        </w:rPr>
        <w:t>了解目前生产中常用智能化装备</w:t>
      </w:r>
    </w:p>
    <w:p w14:paraId="2BAAC399" w14:textId="77777777" w:rsidR="00F5289E" w:rsidRDefault="00C91173">
      <w:pPr>
        <w:snapToGrid w:val="0"/>
        <w:spacing w:line="360" w:lineRule="auto"/>
        <w:ind w:firstLineChars="200" w:firstLine="422"/>
        <w:rPr>
          <w:szCs w:val="21"/>
        </w:rPr>
      </w:pPr>
      <w:r>
        <w:rPr>
          <w:b/>
          <w:bCs/>
          <w:szCs w:val="21"/>
        </w:rPr>
        <w:t>3.</w:t>
      </w:r>
      <w:r>
        <w:rPr>
          <w:rFonts w:ascii="宋体" w:hAnsi="宋体" w:hint="eastAsia"/>
          <w:b/>
          <w:bCs/>
          <w:szCs w:val="21"/>
        </w:rPr>
        <w:t>实验内容：</w:t>
      </w:r>
      <w:r>
        <w:rPr>
          <w:rFonts w:ascii="宋体" w:hAnsi="宋体" w:hint="eastAsia"/>
          <w:szCs w:val="21"/>
        </w:rPr>
        <w:t>到郑州市近郊县各种现代化智能温室参观调查</w:t>
      </w:r>
    </w:p>
    <w:p w14:paraId="511E840C" w14:textId="77777777" w:rsidR="00F5289E" w:rsidRDefault="00C91173">
      <w:pPr>
        <w:snapToGrid w:val="0"/>
        <w:spacing w:line="360" w:lineRule="auto"/>
        <w:ind w:firstLineChars="200" w:firstLine="422"/>
        <w:rPr>
          <w:rFonts w:ascii="宋体" w:hAnsi="宋体"/>
          <w:szCs w:val="21"/>
        </w:rPr>
      </w:pPr>
      <w:r>
        <w:rPr>
          <w:b/>
          <w:bCs/>
          <w:szCs w:val="21"/>
        </w:rPr>
        <w:t>4.</w:t>
      </w:r>
      <w:r>
        <w:rPr>
          <w:rFonts w:ascii="宋体" w:hAnsi="宋体" w:hint="eastAsia"/>
          <w:b/>
          <w:bCs/>
          <w:szCs w:val="21"/>
        </w:rPr>
        <w:t>实验要求：</w:t>
      </w:r>
      <w:r>
        <w:rPr>
          <w:rFonts w:ascii="宋体" w:hAnsi="宋体" w:hint="eastAsia"/>
          <w:szCs w:val="21"/>
        </w:rPr>
        <w:t>调查现代化智能温室中的环境控制系统、水肥控制系统、电子信息系统、机械采收、机械种植装备等，调查结束写出，结束后写出实验报告。</w:t>
      </w:r>
    </w:p>
    <w:p w14:paraId="1ABC946E" w14:textId="77777777" w:rsidR="00F5289E" w:rsidRDefault="00C91173">
      <w:pPr>
        <w:snapToGrid w:val="0"/>
        <w:spacing w:line="360" w:lineRule="auto"/>
        <w:ind w:firstLineChars="200" w:firstLine="422"/>
        <w:rPr>
          <w:szCs w:val="21"/>
        </w:rPr>
      </w:pPr>
      <w:r>
        <w:rPr>
          <w:b/>
          <w:bCs/>
          <w:szCs w:val="21"/>
        </w:rPr>
        <w:t>5.</w:t>
      </w:r>
      <w:r>
        <w:rPr>
          <w:rFonts w:ascii="宋体" w:hAnsi="宋体" w:hint="eastAsia"/>
          <w:b/>
          <w:bCs/>
          <w:szCs w:val="21"/>
        </w:rPr>
        <w:t>实验设备及器材：</w:t>
      </w:r>
      <w:r>
        <w:rPr>
          <w:rFonts w:ascii="宋体" w:hAnsi="宋体" w:hint="eastAsia"/>
          <w:szCs w:val="21"/>
        </w:rPr>
        <w:t>温度计、湿度计、照度计、CO</w:t>
      </w:r>
      <w:r>
        <w:rPr>
          <w:rFonts w:ascii="宋体" w:hAnsi="宋体" w:hint="eastAsia"/>
          <w:szCs w:val="21"/>
          <w:vertAlign w:val="subscript"/>
        </w:rPr>
        <w:t>2</w:t>
      </w:r>
      <w:r>
        <w:rPr>
          <w:rFonts w:ascii="宋体" w:hAnsi="宋体" w:hint="eastAsia"/>
          <w:szCs w:val="21"/>
        </w:rPr>
        <w:t>分析仪等</w:t>
      </w:r>
    </w:p>
    <w:p w14:paraId="4F971228" w14:textId="77777777" w:rsidR="00F5289E" w:rsidRDefault="00C91173">
      <w:pPr>
        <w:snapToGrid w:val="0"/>
        <w:spacing w:line="360" w:lineRule="auto"/>
        <w:rPr>
          <w:rFonts w:ascii="宋体" w:hAnsi="宋体"/>
          <w:szCs w:val="21"/>
        </w:rPr>
      </w:pPr>
      <w:r>
        <w:rPr>
          <w:rFonts w:ascii="宋体" w:hAnsi="宋体" w:hint="eastAsia"/>
          <w:b/>
          <w:bCs/>
          <w:szCs w:val="21"/>
        </w:rPr>
        <w:t xml:space="preserve"> (七)考核方式及成绩评定</w:t>
      </w:r>
    </w:p>
    <w:p w14:paraId="71A06C55" w14:textId="77777777" w:rsidR="00F5289E" w:rsidRDefault="00C91173">
      <w:pPr>
        <w:widowControl/>
        <w:snapToGrid w:val="0"/>
        <w:spacing w:line="360" w:lineRule="auto"/>
        <w:ind w:firstLineChars="200" w:firstLine="420"/>
        <w:jc w:val="left"/>
        <w:rPr>
          <w:szCs w:val="21"/>
        </w:rPr>
      </w:pPr>
      <w:r>
        <w:rPr>
          <w:rFonts w:ascii="宋体" w:hAnsi="宋体"/>
          <w:szCs w:val="21"/>
        </w:rPr>
        <w:t>教师对每次的实验根据学生参与度和实验报告撰写情况进行考核，分为优秀、良好、及格和不及格四个档次。实验总成绩占该门课程成绩的</w:t>
      </w:r>
      <w:r>
        <w:rPr>
          <w:szCs w:val="21"/>
        </w:rPr>
        <w:t>20%</w:t>
      </w:r>
      <w:r>
        <w:rPr>
          <w:rFonts w:ascii="宋体" w:hAnsi="宋体"/>
          <w:szCs w:val="21"/>
        </w:rPr>
        <w:t>。</w:t>
      </w:r>
    </w:p>
    <w:p w14:paraId="3268F6FC" w14:textId="77777777" w:rsidR="00F5289E" w:rsidRDefault="00C91173">
      <w:pPr>
        <w:rPr>
          <w:rFonts w:ascii="宋体" w:hAnsi="宋体"/>
          <w:b/>
          <w:bCs/>
          <w:kern w:val="0"/>
          <w:szCs w:val="21"/>
        </w:rPr>
      </w:pPr>
      <w:r>
        <w:rPr>
          <w:rFonts w:ascii="宋体" w:hAnsi="宋体" w:hint="eastAsia"/>
          <w:b/>
          <w:bCs/>
          <w:kern w:val="0"/>
          <w:szCs w:val="21"/>
        </w:rPr>
        <w:t>六、课程思政</w:t>
      </w:r>
    </w:p>
    <w:p w14:paraId="7FD7EFFE"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设施园艺研究进展》开设的目的是帮助学生了解和掌握设施园艺和无土栽培的新理论、新方法、新技术、新设备和新模式，掌握设施蔬菜产业问题的研究方法与关键技能，培养学生的创新性思维和综合实验能力。在理论和实验教学的各个环节，融入思政教育元素，培养适应国家、中原地区和河南地方经济发展需要，具备扎实的自然科学、人文社会科学知识的新时代高级复合型人才。具体目标如下：</w:t>
      </w:r>
    </w:p>
    <w:p w14:paraId="1A1EEA4C"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1）了解设施园艺在国民经济和人民生活中的重要地位和作用，掌握国内外设施园艺的发展历史、现状及未来前景，引导学生厚植爱国主义情怀，增强学生服务农业农村现代化和服务乡村振兴的使命感和责任感。</w:t>
      </w:r>
    </w:p>
    <w:p w14:paraId="2F0F2560"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（2）</w:t>
      </w:r>
      <w:r>
        <w:rPr>
          <w:rFonts w:ascii="宋体" w:hAnsi="宋体" w:cs="宋体" w:hint="eastAsia"/>
          <w:sz w:val="22"/>
          <w:szCs w:val="22"/>
        </w:rPr>
        <w:t>了解</w:t>
      </w:r>
      <w:r>
        <w:rPr>
          <w:rFonts w:ascii="宋体" w:hAnsi="宋体" w:hint="eastAsia"/>
          <w:bCs/>
          <w:kern w:val="0"/>
          <w:szCs w:val="21"/>
        </w:rPr>
        <w:t>我国设施园艺产业取得巨大成就，培养学生对“四个自信”的认知，</w:t>
      </w:r>
      <w:r>
        <w:rPr>
          <w:rFonts w:ascii="宋体" w:hAnsi="宋体" w:cs="宋体" w:hint="eastAsia"/>
          <w:sz w:val="22"/>
          <w:szCs w:val="22"/>
        </w:rPr>
        <w:t>能够将现代化的园艺学、农业工程学、管理学、信息学等知识综合运用到农业生产中</w:t>
      </w:r>
      <w:r>
        <w:rPr>
          <w:rFonts w:ascii="宋体" w:hAnsi="宋体" w:hint="eastAsia"/>
          <w:bCs/>
          <w:kern w:val="0"/>
          <w:szCs w:val="21"/>
        </w:rPr>
        <w:t>。</w:t>
      </w:r>
    </w:p>
    <w:p w14:paraId="73199D74"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（3）通过学习设施园艺研究进展，将书本理论知识和实践应用进展有机结合，引导学生养成求真崇实、敢于探索、坚定执着的科学精神。</w:t>
      </w:r>
    </w:p>
    <w:p w14:paraId="38BA5338" w14:textId="77777777" w:rsidR="00F5289E" w:rsidRDefault="00C91173">
      <w:pPr>
        <w:spacing w:line="360" w:lineRule="auto"/>
        <w:ind w:firstLineChars="200" w:firstLine="420"/>
        <w:rPr>
          <w:rFonts w:ascii="宋体" w:hAnsi="宋体"/>
          <w:bCs/>
          <w:kern w:val="0"/>
          <w:szCs w:val="21"/>
        </w:rPr>
      </w:pPr>
      <w:r>
        <w:rPr>
          <w:rFonts w:ascii="宋体" w:hAnsi="宋体" w:hint="eastAsia"/>
          <w:bCs/>
          <w:kern w:val="0"/>
          <w:szCs w:val="21"/>
        </w:rPr>
        <w:t>（4）实验教学过程中以小组分工、合作形式展开，注重培养和锻炼学生的研究能力、思维能力、创新能力、表达能力和团队协作精神。</w:t>
      </w:r>
    </w:p>
    <w:p w14:paraId="5F174A5B" w14:textId="77777777" w:rsidR="00F5289E" w:rsidRDefault="00F5289E">
      <w:pPr>
        <w:ind w:firstLineChars="200" w:firstLine="420"/>
        <w:rPr>
          <w:rFonts w:ascii="宋体" w:hAnsi="宋体"/>
          <w:bCs/>
          <w:color w:val="FF0000"/>
          <w:kern w:val="0"/>
          <w:szCs w:val="21"/>
        </w:rPr>
      </w:pPr>
    </w:p>
    <w:p w14:paraId="1B8C7C0C" w14:textId="77777777" w:rsidR="00F5289E" w:rsidRDefault="00C91173">
      <w:pPr>
        <w:rPr>
          <w:szCs w:val="21"/>
        </w:rPr>
      </w:pPr>
      <w:r>
        <w:rPr>
          <w:rFonts w:ascii="宋体" w:hAnsi="宋体" w:hint="eastAsia"/>
          <w:b/>
          <w:bCs/>
          <w:kern w:val="0"/>
          <w:szCs w:val="21"/>
        </w:rPr>
        <w:t>七</w:t>
      </w:r>
      <w:r>
        <w:rPr>
          <w:rFonts w:ascii="宋体" w:hAnsi="宋体"/>
          <w:b/>
          <w:bCs/>
          <w:kern w:val="0"/>
          <w:szCs w:val="21"/>
        </w:rPr>
        <w:t>、使用教材</w:t>
      </w:r>
      <w:r>
        <w:rPr>
          <w:rFonts w:ascii="宋体" w:hAnsi="宋体" w:hint="eastAsia"/>
          <w:szCs w:val="21"/>
        </w:rPr>
        <w:t>（教材的选用应符合教育部和学校教材选用规定，教学资源丰富多样，体现思想性、科学性与时代性）</w:t>
      </w:r>
    </w:p>
    <w:p w14:paraId="777F9CEA" w14:textId="77777777" w:rsidR="00F5289E" w:rsidRDefault="00C91173">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ascii="宋体" w:hAnsi="宋体" w:hint="eastAsia"/>
          <w:b/>
          <w:bCs/>
          <w:kern w:val="0"/>
          <w:szCs w:val="21"/>
        </w:rPr>
        <w:t>选用</w:t>
      </w:r>
      <w:r>
        <w:rPr>
          <w:rFonts w:ascii="宋体" w:hAnsi="宋体"/>
          <w:b/>
          <w:bCs/>
          <w:kern w:val="0"/>
          <w:szCs w:val="21"/>
        </w:rPr>
        <w:t>教材：</w:t>
      </w:r>
    </w:p>
    <w:p w14:paraId="75B3C4ED" w14:textId="77777777" w:rsidR="00F5289E" w:rsidRDefault="00C91173">
      <w:pPr>
        <w:widowControl/>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（1）理论课教材：</w:t>
      </w:r>
    </w:p>
    <w:p w14:paraId="0C96A51F" w14:textId="77777777" w:rsidR="00F5289E" w:rsidRDefault="00C91173">
      <w:pPr>
        <w:spacing w:line="360" w:lineRule="auto"/>
        <w:ind w:firstLineChars="200" w:firstLine="420"/>
        <w:rPr>
          <w:rFonts w:ascii="宋体" w:hAnsi="宋体" w:cs="宋体"/>
          <w:kern w:val="0"/>
          <w:szCs w:val="21"/>
        </w:rPr>
      </w:pPr>
      <w:r>
        <w:rPr>
          <w:rFonts w:ascii="宋体" w:hAnsi="宋体" w:cs="宋体" w:hint="eastAsia"/>
          <w:kern w:val="0"/>
          <w:szCs w:val="21"/>
        </w:rPr>
        <w:t>①设施园艺学（第三版），郭世荣，孙锦编著，中国农业出版社，2020年；</w:t>
      </w:r>
    </w:p>
    <w:p w14:paraId="0A4954D5" w14:textId="77777777" w:rsidR="00F5289E" w:rsidRDefault="00C91173">
      <w:pPr>
        <w:spacing w:line="360" w:lineRule="auto"/>
        <w:ind w:firstLineChars="200" w:firstLine="420"/>
        <w:rPr>
          <w:rFonts w:ascii="宋体" w:hAnsi="宋体" w:cs="宋体"/>
          <w:kern w:val="0"/>
          <w:szCs w:val="21"/>
        </w:rPr>
      </w:pPr>
      <w:r>
        <w:rPr>
          <w:rFonts w:ascii="宋体" w:hAnsi="宋体" w:cs="宋体" w:hint="eastAsia"/>
          <w:kern w:val="0"/>
          <w:szCs w:val="21"/>
        </w:rPr>
        <w:t>②设施园艺科技创新进展，杨其长，（日）古在丰树，（荷）伯特（Gerard P.A.B）主编，中国农业科学技术出版社，2018年</w:t>
      </w:r>
    </w:p>
    <w:p w14:paraId="3A481631" w14:textId="77777777" w:rsidR="00F5289E" w:rsidRDefault="00C91173">
      <w:pPr>
        <w:widowControl/>
        <w:snapToGrid w:val="0"/>
        <w:spacing w:line="360" w:lineRule="auto"/>
        <w:ind w:firstLineChars="200" w:firstLine="420"/>
        <w:jc w:val="left"/>
        <w:rPr>
          <w:kern w:val="0"/>
          <w:szCs w:val="21"/>
        </w:rPr>
      </w:pPr>
      <w:r>
        <w:rPr>
          <w:rFonts w:ascii="宋体" w:hAnsi="宋体"/>
          <w:szCs w:val="21"/>
        </w:rPr>
        <w:t>（</w:t>
      </w:r>
      <w:r>
        <w:rPr>
          <w:szCs w:val="21"/>
        </w:rPr>
        <w:t>2</w:t>
      </w:r>
      <w:r>
        <w:rPr>
          <w:rFonts w:ascii="宋体" w:hAnsi="宋体"/>
          <w:szCs w:val="21"/>
        </w:rPr>
        <w:t>）实验课教材：设施园艺学（第三版），郭世荣，孙锦编著，中国农业出版社，</w:t>
      </w:r>
      <w:r>
        <w:rPr>
          <w:szCs w:val="21"/>
        </w:rPr>
        <w:t>2020</w:t>
      </w:r>
      <w:r>
        <w:rPr>
          <w:rFonts w:ascii="宋体" w:hAnsi="宋体"/>
          <w:szCs w:val="21"/>
        </w:rPr>
        <w:t>年</w:t>
      </w:r>
    </w:p>
    <w:p w14:paraId="7A883315" w14:textId="77777777" w:rsidR="00F5289E" w:rsidRDefault="00C91173">
      <w:pPr>
        <w:widowControl/>
        <w:snapToGrid w:val="0"/>
        <w:spacing w:line="360" w:lineRule="auto"/>
        <w:ind w:firstLineChars="200" w:firstLine="422"/>
        <w:jc w:val="left"/>
        <w:rPr>
          <w:kern w:val="0"/>
          <w:szCs w:val="21"/>
        </w:rPr>
      </w:pPr>
      <w:r>
        <w:rPr>
          <w:b/>
          <w:bCs/>
          <w:kern w:val="0"/>
          <w:szCs w:val="21"/>
        </w:rPr>
        <w:lastRenderedPageBreak/>
        <w:t>2</w:t>
      </w:r>
      <w:r>
        <w:rPr>
          <w:rFonts w:hAnsi="宋体" w:hint="eastAsia"/>
          <w:b/>
          <w:bCs/>
          <w:kern w:val="0"/>
          <w:szCs w:val="21"/>
        </w:rPr>
        <w:t>.</w:t>
      </w:r>
      <w:r>
        <w:rPr>
          <w:rFonts w:ascii="宋体" w:hAnsi="宋体"/>
          <w:b/>
          <w:bCs/>
          <w:kern w:val="0"/>
          <w:szCs w:val="21"/>
        </w:rPr>
        <w:t>参考书：</w:t>
      </w:r>
    </w:p>
    <w:p w14:paraId="561CB24D" w14:textId="77777777" w:rsidR="00F5289E" w:rsidRDefault="00C91173">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1</w:t>
      </w:r>
      <w:r>
        <w:rPr>
          <w:rFonts w:ascii="宋体" w:hAnsi="宋体" w:hint="eastAsia"/>
          <w:szCs w:val="21"/>
        </w:rPr>
        <w:t>）</w:t>
      </w:r>
      <w:r>
        <w:rPr>
          <w:rFonts w:ascii="宋体" w:hAnsi="宋体"/>
          <w:szCs w:val="21"/>
        </w:rPr>
        <w:t>设施园艺学</w:t>
      </w:r>
      <w:r>
        <w:rPr>
          <w:rFonts w:ascii="宋体" w:hAnsi="宋体" w:hint="eastAsia"/>
          <w:szCs w:val="21"/>
        </w:rPr>
        <w:t>．</w:t>
      </w:r>
      <w:r>
        <w:rPr>
          <w:rFonts w:ascii="宋体" w:hAnsi="宋体"/>
          <w:szCs w:val="21"/>
        </w:rPr>
        <w:t>张福墁主编</w:t>
      </w:r>
      <w:r>
        <w:rPr>
          <w:rFonts w:ascii="宋体" w:hAnsi="宋体" w:hint="eastAsia"/>
          <w:szCs w:val="21"/>
        </w:rPr>
        <w:t>．</w:t>
      </w:r>
      <w:r>
        <w:rPr>
          <w:rFonts w:ascii="宋体" w:hAnsi="宋体"/>
          <w:szCs w:val="21"/>
        </w:rPr>
        <w:t>北京：中国农业出版社，</w:t>
      </w:r>
      <w:r>
        <w:rPr>
          <w:szCs w:val="21"/>
        </w:rPr>
        <w:t>2014</w:t>
      </w:r>
      <w:r>
        <w:rPr>
          <w:rFonts w:ascii="宋体" w:hAnsi="宋体"/>
          <w:szCs w:val="21"/>
        </w:rPr>
        <w:t>年第</w:t>
      </w:r>
      <w:r>
        <w:rPr>
          <w:szCs w:val="21"/>
        </w:rPr>
        <w:t>2</w:t>
      </w:r>
      <w:r>
        <w:rPr>
          <w:rFonts w:ascii="宋体" w:hAnsi="宋体"/>
          <w:szCs w:val="21"/>
        </w:rPr>
        <w:t>版</w:t>
      </w:r>
    </w:p>
    <w:p w14:paraId="25F10F9D" w14:textId="77777777" w:rsidR="00F5289E" w:rsidRDefault="00C91173">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2</w:t>
      </w:r>
      <w:r>
        <w:rPr>
          <w:rFonts w:ascii="宋体" w:hAnsi="宋体" w:hint="eastAsia"/>
          <w:szCs w:val="21"/>
        </w:rPr>
        <w:t>）</w:t>
      </w:r>
      <w:r>
        <w:rPr>
          <w:rFonts w:ascii="宋体" w:hAnsi="宋体"/>
          <w:szCs w:val="21"/>
        </w:rPr>
        <w:t>园艺通论</w:t>
      </w:r>
      <w:r>
        <w:rPr>
          <w:rFonts w:ascii="宋体" w:hAnsi="宋体" w:hint="eastAsia"/>
          <w:szCs w:val="21"/>
        </w:rPr>
        <w:t>．</w:t>
      </w:r>
      <w:r>
        <w:rPr>
          <w:rFonts w:ascii="宋体" w:hAnsi="宋体"/>
          <w:szCs w:val="21"/>
        </w:rPr>
        <w:t>李光晨</w:t>
      </w:r>
      <w:r>
        <w:rPr>
          <w:rFonts w:ascii="宋体" w:hAnsi="宋体" w:hint="eastAsia"/>
          <w:szCs w:val="21"/>
        </w:rPr>
        <w:t>．</w:t>
      </w:r>
      <w:r>
        <w:rPr>
          <w:rFonts w:ascii="宋体" w:hAnsi="宋体"/>
          <w:szCs w:val="21"/>
        </w:rPr>
        <w:t>中国农业大学出版社，</w:t>
      </w:r>
      <w:r>
        <w:rPr>
          <w:szCs w:val="21"/>
        </w:rPr>
        <w:t>2000</w:t>
      </w:r>
      <w:r>
        <w:rPr>
          <w:rFonts w:ascii="宋体" w:hAnsi="宋体"/>
          <w:szCs w:val="21"/>
        </w:rPr>
        <w:t>年</w:t>
      </w:r>
      <w:r>
        <w:rPr>
          <w:szCs w:val="21"/>
        </w:rPr>
        <w:t>9</w:t>
      </w:r>
      <w:r>
        <w:rPr>
          <w:rFonts w:ascii="宋体" w:hAnsi="宋体"/>
          <w:szCs w:val="21"/>
        </w:rPr>
        <w:t>月第</w:t>
      </w:r>
      <w:r>
        <w:rPr>
          <w:szCs w:val="21"/>
        </w:rPr>
        <w:t>1</w:t>
      </w:r>
      <w:r>
        <w:rPr>
          <w:rFonts w:ascii="宋体" w:hAnsi="宋体"/>
          <w:szCs w:val="21"/>
        </w:rPr>
        <w:t>版</w:t>
      </w:r>
    </w:p>
    <w:p w14:paraId="2BF0B322" w14:textId="77777777" w:rsidR="00F5289E" w:rsidRDefault="00C91173">
      <w:pPr>
        <w:widowControl/>
        <w:snapToGrid w:val="0"/>
        <w:spacing w:line="360" w:lineRule="auto"/>
        <w:ind w:firstLineChars="200" w:firstLine="422"/>
        <w:jc w:val="left"/>
        <w:rPr>
          <w:b/>
          <w:bCs/>
          <w:kern w:val="0"/>
          <w:szCs w:val="21"/>
        </w:rPr>
      </w:pPr>
      <w:r>
        <w:rPr>
          <w:rFonts w:hint="eastAsia"/>
          <w:b/>
          <w:bCs/>
          <w:kern w:val="0"/>
          <w:szCs w:val="21"/>
        </w:rPr>
        <w:t xml:space="preserve"> 3.</w:t>
      </w:r>
      <w:r>
        <w:rPr>
          <w:rFonts w:ascii="宋体" w:hAnsi="宋体" w:hint="eastAsia"/>
          <w:b/>
          <w:bCs/>
          <w:kern w:val="0"/>
          <w:szCs w:val="21"/>
        </w:rPr>
        <w:t>推荐网站：</w:t>
      </w:r>
    </w:p>
    <w:p w14:paraId="4C14E290" w14:textId="77777777" w:rsidR="00F5289E" w:rsidRPr="001B3040" w:rsidRDefault="00C91173" w:rsidP="001B3040">
      <w:pPr>
        <w:widowControl/>
        <w:adjustRightInd w:val="0"/>
        <w:snapToGrid w:val="0"/>
        <w:spacing w:line="360" w:lineRule="auto"/>
        <w:ind w:firstLineChars="150" w:firstLine="315"/>
        <w:jc w:val="left"/>
        <w:rPr>
          <w:color w:val="000000" w:themeColor="text1"/>
          <w:szCs w:val="21"/>
        </w:rPr>
      </w:pPr>
      <w:r>
        <w:rPr>
          <w:rFonts w:ascii="宋体" w:hAnsi="宋体" w:hint="eastAsia"/>
          <w:szCs w:val="21"/>
        </w:rPr>
        <w:t>（</w:t>
      </w:r>
      <w:r>
        <w:rPr>
          <w:rFonts w:hint="eastAsia"/>
          <w:szCs w:val="21"/>
        </w:rPr>
        <w:t>1</w:t>
      </w:r>
      <w:r>
        <w:rPr>
          <w:rFonts w:ascii="宋体" w:hAnsi="宋体" w:hint="eastAsia"/>
          <w:szCs w:val="21"/>
        </w:rPr>
        <w:t>）</w:t>
      </w:r>
      <w:r>
        <w:rPr>
          <w:rFonts w:ascii="宋体" w:hAnsi="宋体"/>
          <w:szCs w:val="21"/>
        </w:rPr>
        <w:t>华中蔬菜网</w:t>
      </w:r>
      <w:r w:rsidRPr="001B3040">
        <w:rPr>
          <w:rFonts w:ascii="宋体" w:hAnsi="宋体" w:hint="eastAsia"/>
          <w:color w:val="000000" w:themeColor="text1"/>
          <w:szCs w:val="21"/>
        </w:rPr>
        <w:t>，</w:t>
      </w:r>
      <w:r w:rsidRPr="001B3040">
        <w:rPr>
          <w:color w:val="000000" w:themeColor="text1"/>
          <w:szCs w:val="21"/>
        </w:rPr>
        <w:t>www.hzshucai.com</w:t>
      </w:r>
    </w:p>
    <w:p w14:paraId="58448587" w14:textId="77777777" w:rsidR="00F5289E" w:rsidRPr="001B3040" w:rsidRDefault="00C91173">
      <w:pPr>
        <w:widowControl/>
        <w:adjustRightInd w:val="0"/>
        <w:snapToGrid w:val="0"/>
        <w:spacing w:line="360" w:lineRule="auto"/>
        <w:ind w:firstLineChars="150" w:firstLine="315"/>
        <w:jc w:val="left"/>
        <w:rPr>
          <w:color w:val="000000" w:themeColor="text1"/>
          <w:szCs w:val="21"/>
        </w:rPr>
      </w:pPr>
      <w:r w:rsidRPr="001B3040">
        <w:rPr>
          <w:rFonts w:ascii="宋体" w:hAnsi="宋体" w:hint="eastAsia"/>
          <w:color w:val="000000" w:themeColor="text1"/>
          <w:szCs w:val="21"/>
        </w:rPr>
        <w:t>（</w:t>
      </w:r>
      <w:r w:rsidRPr="001B3040">
        <w:rPr>
          <w:rFonts w:hint="eastAsia"/>
          <w:color w:val="000000" w:themeColor="text1"/>
          <w:szCs w:val="21"/>
        </w:rPr>
        <w:t>2</w:t>
      </w:r>
      <w:r w:rsidRPr="001B3040">
        <w:rPr>
          <w:rFonts w:ascii="宋体" w:hAnsi="宋体" w:hint="eastAsia"/>
          <w:color w:val="000000" w:themeColor="text1"/>
          <w:szCs w:val="21"/>
        </w:rPr>
        <w:t>）</w:t>
      </w:r>
      <w:r w:rsidRPr="001B3040">
        <w:rPr>
          <w:rFonts w:ascii="宋体" w:hAnsi="宋体"/>
          <w:color w:val="000000" w:themeColor="text1"/>
          <w:szCs w:val="21"/>
        </w:rPr>
        <w:t>园艺设施学精品课程网</w:t>
      </w:r>
      <w:r w:rsidRPr="001B3040">
        <w:rPr>
          <w:rFonts w:ascii="宋体" w:hAnsi="宋体" w:hint="eastAsia"/>
          <w:color w:val="000000" w:themeColor="text1"/>
          <w:szCs w:val="21"/>
        </w:rPr>
        <w:t>，</w:t>
      </w:r>
      <w:r w:rsidRPr="001B3040">
        <w:rPr>
          <w:color w:val="000000" w:themeColor="text1"/>
          <w:szCs w:val="21"/>
        </w:rPr>
        <w:t>http://netc.nwsuaf.edu.cn/yuanyi</w:t>
      </w:r>
    </w:p>
    <w:p w14:paraId="57C3765D" w14:textId="77777777" w:rsidR="00F5289E" w:rsidRPr="001B3040" w:rsidRDefault="00C91173">
      <w:pPr>
        <w:widowControl/>
        <w:adjustRightInd w:val="0"/>
        <w:snapToGrid w:val="0"/>
        <w:spacing w:line="360" w:lineRule="auto"/>
        <w:ind w:firstLineChars="150" w:firstLine="315"/>
        <w:jc w:val="left"/>
        <w:rPr>
          <w:color w:val="000000" w:themeColor="text1"/>
          <w:szCs w:val="21"/>
        </w:rPr>
      </w:pPr>
      <w:r w:rsidRPr="001B3040">
        <w:rPr>
          <w:rFonts w:ascii="宋体" w:hAnsi="宋体" w:hint="eastAsia"/>
          <w:color w:val="000000" w:themeColor="text1"/>
          <w:szCs w:val="21"/>
        </w:rPr>
        <w:t>（</w:t>
      </w:r>
      <w:r w:rsidRPr="001B3040">
        <w:rPr>
          <w:rFonts w:hint="eastAsia"/>
          <w:color w:val="000000" w:themeColor="text1"/>
          <w:szCs w:val="21"/>
        </w:rPr>
        <w:t>3</w:t>
      </w:r>
      <w:r w:rsidRPr="001B3040">
        <w:rPr>
          <w:rFonts w:ascii="宋体" w:hAnsi="宋体" w:hint="eastAsia"/>
          <w:color w:val="000000" w:themeColor="text1"/>
          <w:szCs w:val="21"/>
        </w:rPr>
        <w:t>）</w:t>
      </w:r>
      <w:r w:rsidRPr="001B3040">
        <w:rPr>
          <w:rFonts w:ascii="宋体" w:hAnsi="宋体"/>
          <w:color w:val="000000" w:themeColor="text1"/>
          <w:szCs w:val="21"/>
        </w:rPr>
        <w:t>中国温室网</w:t>
      </w:r>
      <w:r w:rsidRPr="001B3040">
        <w:rPr>
          <w:rFonts w:ascii="宋体" w:hAnsi="宋体" w:hint="eastAsia"/>
          <w:color w:val="000000" w:themeColor="text1"/>
          <w:szCs w:val="21"/>
        </w:rPr>
        <w:t>，</w:t>
      </w:r>
      <w:r w:rsidRPr="001B3040">
        <w:rPr>
          <w:color w:val="000000" w:themeColor="text1"/>
          <w:szCs w:val="21"/>
        </w:rPr>
        <w:t>http://chinagreenhouse.com</w:t>
      </w:r>
    </w:p>
    <w:p w14:paraId="00A0C453" w14:textId="77777777" w:rsidR="00F5289E" w:rsidRDefault="00C91173">
      <w:pPr>
        <w:widowControl/>
        <w:snapToGrid w:val="0"/>
        <w:spacing w:line="360" w:lineRule="auto"/>
        <w:jc w:val="left"/>
        <w:rPr>
          <w:rFonts w:hAnsi="宋体"/>
          <w:b/>
          <w:bCs/>
          <w:kern w:val="0"/>
          <w:szCs w:val="21"/>
        </w:rPr>
      </w:pPr>
      <w:r>
        <w:rPr>
          <w:rFonts w:ascii="宋体" w:hAnsi="宋体" w:hint="eastAsia"/>
          <w:b/>
          <w:bCs/>
          <w:kern w:val="0"/>
          <w:szCs w:val="21"/>
        </w:rPr>
        <w:t>八</w:t>
      </w:r>
      <w:r>
        <w:rPr>
          <w:rFonts w:ascii="宋体" w:hAnsi="宋体"/>
          <w:b/>
          <w:bCs/>
          <w:kern w:val="0"/>
          <w:szCs w:val="21"/>
        </w:rPr>
        <w:t>、</w:t>
      </w:r>
      <w:r>
        <w:rPr>
          <w:rFonts w:ascii="宋体" w:hAnsi="宋体" w:hint="eastAsia"/>
          <w:b/>
          <w:bCs/>
          <w:kern w:val="0"/>
          <w:szCs w:val="21"/>
        </w:rPr>
        <w:t>教学条件</w:t>
      </w:r>
    </w:p>
    <w:p w14:paraId="32986544" w14:textId="77777777" w:rsidR="00F5289E" w:rsidRDefault="00C91173" w:rsidP="001B3040">
      <w:pPr>
        <w:spacing w:line="360" w:lineRule="auto"/>
        <w:ind w:firstLineChars="200" w:firstLine="420"/>
        <w:rPr>
          <w:kern w:val="13"/>
          <w:szCs w:val="21"/>
        </w:rPr>
      </w:pPr>
      <w:r>
        <w:rPr>
          <w:rFonts w:ascii="宋体" w:hAnsi="宋体" w:hint="eastAsia"/>
          <w:szCs w:val="21"/>
        </w:rPr>
        <w:t>《设施</w:t>
      </w:r>
      <w:r>
        <w:rPr>
          <w:rFonts w:ascii="宋体" w:hAnsi="宋体"/>
          <w:szCs w:val="21"/>
        </w:rPr>
        <w:t>园艺</w:t>
      </w:r>
      <w:r>
        <w:rPr>
          <w:rFonts w:ascii="宋体" w:hAnsi="宋体" w:hint="eastAsia"/>
          <w:szCs w:val="21"/>
        </w:rPr>
        <w:t>研究进展》课程是在《设施园艺学》课程的基础上，针对设施农业科学与工程专业学生开设的一门专业深化类选修课，沿用“教学实验、参观学习和生产实习一体化”的实践教学模式设施若干个实验：通过讲授设施园艺研究前沿进展，</w:t>
      </w:r>
      <w:r>
        <w:rPr>
          <w:kern w:val="13"/>
          <w:szCs w:val="21"/>
        </w:rPr>
        <w:t>帮助学生了解和掌握</w:t>
      </w:r>
      <w:r>
        <w:rPr>
          <w:rFonts w:hint="eastAsia"/>
          <w:kern w:val="13"/>
          <w:szCs w:val="21"/>
        </w:rPr>
        <w:t>设施园艺和无土栽培</w:t>
      </w:r>
      <w:r>
        <w:rPr>
          <w:kern w:val="13"/>
          <w:szCs w:val="21"/>
        </w:rPr>
        <w:t>的新理论</w:t>
      </w:r>
      <w:r>
        <w:rPr>
          <w:rFonts w:hint="eastAsia"/>
          <w:kern w:val="13"/>
          <w:szCs w:val="21"/>
        </w:rPr>
        <w:t>、新方法、</w:t>
      </w:r>
      <w:r>
        <w:rPr>
          <w:kern w:val="13"/>
          <w:szCs w:val="21"/>
        </w:rPr>
        <w:t>新技术</w:t>
      </w:r>
      <w:r>
        <w:rPr>
          <w:rFonts w:hint="eastAsia"/>
          <w:kern w:val="13"/>
          <w:szCs w:val="21"/>
        </w:rPr>
        <w:t>、新设备和新模式</w:t>
      </w:r>
      <w:r>
        <w:rPr>
          <w:rFonts w:ascii="宋体" w:hAnsi="宋体" w:hint="eastAsia"/>
          <w:szCs w:val="21"/>
        </w:rPr>
        <w:t>；通过参观校内外基地，使学生系统掌握课程理论知识，培养学生系统分析问题的能力；目前</w:t>
      </w:r>
      <w:r>
        <w:rPr>
          <w:rFonts w:ascii="宋体" w:hAnsi="宋体"/>
          <w:szCs w:val="21"/>
        </w:rPr>
        <w:t>拥有</w:t>
      </w:r>
      <w:r>
        <w:rPr>
          <w:rFonts w:ascii="宋体" w:hAnsi="宋体" w:hint="eastAsia"/>
          <w:szCs w:val="21"/>
        </w:rPr>
        <w:t>三区科教园区、毛庄科教园区、扶沟蔬菜研究院等校内实习基地以及毛庄绿园生产基地、鄢陵建业绿色基地、弘亿农业科技有限公司生产基地、中牟国家农业公园、中鹤农业园区、鹤壁建业绿色基地、农科院原阳基地等校外基地。</w:t>
      </w:r>
    </w:p>
    <w:p w14:paraId="1B71B5A0" w14:textId="77777777" w:rsidR="00F5289E" w:rsidRDefault="00F5289E">
      <w:pPr>
        <w:snapToGrid w:val="0"/>
        <w:spacing w:line="360" w:lineRule="auto"/>
        <w:ind w:firstLineChars="200" w:firstLine="420"/>
        <w:rPr>
          <w:rFonts w:ascii="宋体" w:hAnsi="宋体"/>
          <w:szCs w:val="21"/>
        </w:rPr>
      </w:pPr>
    </w:p>
    <w:p w14:paraId="74518AE2" w14:textId="77777777" w:rsidR="00F5289E" w:rsidRDefault="00C91173">
      <w:pPr>
        <w:widowControl/>
        <w:snapToGrid w:val="0"/>
        <w:spacing w:line="360" w:lineRule="auto"/>
        <w:jc w:val="left"/>
        <w:rPr>
          <w:rFonts w:hAnsi="宋体"/>
          <w:b/>
          <w:bCs/>
          <w:kern w:val="0"/>
          <w:szCs w:val="21"/>
        </w:rPr>
      </w:pPr>
      <w:r>
        <w:rPr>
          <w:rFonts w:ascii="宋体" w:hAnsi="宋体" w:hint="eastAsia"/>
          <w:b/>
          <w:bCs/>
          <w:kern w:val="0"/>
          <w:szCs w:val="21"/>
        </w:rPr>
        <w:t>九、教学考核评价</w:t>
      </w:r>
    </w:p>
    <w:p w14:paraId="379B5881" w14:textId="77777777" w:rsidR="00890F27" w:rsidRDefault="00890F27" w:rsidP="00890F27">
      <w:pPr>
        <w:widowControl/>
        <w:snapToGrid w:val="0"/>
        <w:spacing w:line="360" w:lineRule="auto"/>
        <w:ind w:firstLine="420"/>
        <w:jc w:val="left"/>
        <w:rPr>
          <w:rFonts w:ascii="宋体" w:hAnsi="宋体"/>
          <w:b/>
          <w:bCs/>
          <w:kern w:val="0"/>
          <w:szCs w:val="21"/>
        </w:rPr>
      </w:pPr>
      <w:r>
        <w:rPr>
          <w:rFonts w:hint="eastAsia"/>
          <w:b/>
          <w:bCs/>
          <w:kern w:val="0"/>
          <w:szCs w:val="21"/>
        </w:rPr>
        <w:t>1.</w:t>
      </w:r>
      <w:r>
        <w:rPr>
          <w:rFonts w:ascii="宋体" w:hAnsi="宋体" w:hint="eastAsia"/>
          <w:b/>
          <w:bCs/>
          <w:kern w:val="0"/>
          <w:szCs w:val="21"/>
        </w:rPr>
        <w:t>过程性评价：</w:t>
      </w:r>
    </w:p>
    <w:p w14:paraId="5D9F0C07" w14:textId="77777777" w:rsidR="00890F27" w:rsidRDefault="00890F27" w:rsidP="00890F27">
      <w:pPr>
        <w:widowControl/>
        <w:snapToGrid w:val="0"/>
        <w:spacing w:line="360" w:lineRule="auto"/>
        <w:ind w:firstLine="420"/>
        <w:jc w:val="left"/>
        <w:rPr>
          <w:rFonts w:hAnsi="宋体"/>
          <w:bCs/>
          <w:kern w:val="0"/>
          <w:szCs w:val="21"/>
        </w:rPr>
      </w:pPr>
      <w:r>
        <w:rPr>
          <w:rFonts w:hAnsi="宋体" w:hint="eastAsia"/>
          <w:kern w:val="0"/>
          <w:szCs w:val="21"/>
        </w:rPr>
        <w:t>本门课程采取多元化过程性考核评价方法，</w:t>
      </w:r>
      <w:r>
        <w:rPr>
          <w:rFonts w:hAnsi="宋体" w:hint="eastAsia"/>
          <w:bCs/>
          <w:kern w:val="0"/>
          <w:szCs w:val="21"/>
        </w:rPr>
        <w:t>包括学生课堂表现、课后作业、小组讨论情况等考评环节及内容。</w:t>
      </w:r>
      <w:r>
        <w:rPr>
          <w:rFonts w:hAnsi="宋体" w:hint="eastAsia"/>
          <w:kern w:val="0"/>
          <w:szCs w:val="21"/>
        </w:rPr>
        <w:t>这些共同组成过程性评价成绩，最终的</w:t>
      </w:r>
      <w:r>
        <w:rPr>
          <w:rFonts w:hAnsi="宋体"/>
          <w:bCs/>
          <w:kern w:val="0"/>
          <w:szCs w:val="21"/>
        </w:rPr>
        <w:t>平时成绩占比</w:t>
      </w:r>
      <w:r>
        <w:rPr>
          <w:rFonts w:hAnsi="宋体" w:hint="eastAsia"/>
          <w:bCs/>
          <w:kern w:val="0"/>
          <w:szCs w:val="21"/>
        </w:rPr>
        <w:t>4</w:t>
      </w:r>
      <w:r>
        <w:rPr>
          <w:rFonts w:hAnsi="宋体"/>
          <w:bCs/>
          <w:kern w:val="0"/>
          <w:szCs w:val="21"/>
        </w:rPr>
        <w:t>0%</w:t>
      </w:r>
      <w:r>
        <w:rPr>
          <w:rFonts w:hAnsi="宋体" w:hint="eastAsia"/>
          <w:bCs/>
          <w:kern w:val="0"/>
          <w:szCs w:val="21"/>
        </w:rPr>
        <w:t>。</w:t>
      </w:r>
    </w:p>
    <w:p w14:paraId="399D471A" w14:textId="77777777" w:rsidR="00890F27" w:rsidRDefault="00890F27" w:rsidP="00890F27">
      <w:pPr>
        <w:widowControl/>
        <w:snapToGrid w:val="0"/>
        <w:spacing w:line="360" w:lineRule="auto"/>
        <w:ind w:firstLine="420"/>
        <w:jc w:val="left"/>
        <w:rPr>
          <w:rFonts w:ascii="宋体" w:hAnsi="宋体"/>
          <w:szCs w:val="21"/>
        </w:rPr>
      </w:pPr>
      <w:r>
        <w:rPr>
          <w:rFonts w:ascii="宋体" w:hAnsi="宋体" w:hint="eastAsia"/>
          <w:szCs w:val="21"/>
        </w:rPr>
        <w:t>平时成绩（</w:t>
      </w:r>
      <w:r>
        <w:rPr>
          <w:rFonts w:ascii="宋体" w:hAnsi="宋体"/>
          <w:szCs w:val="21"/>
        </w:rPr>
        <w:t>20</w:t>
      </w:r>
      <w:r>
        <w:rPr>
          <w:rFonts w:ascii="宋体" w:hAnsi="宋体" w:hint="eastAsia"/>
          <w:szCs w:val="21"/>
        </w:rPr>
        <w:t>%）：含课堂表现、小组学习讨论、课后作业等</w:t>
      </w:r>
    </w:p>
    <w:p w14:paraId="61BD9320" w14:textId="77777777" w:rsidR="00890F27" w:rsidRDefault="00890F27" w:rsidP="00890F27">
      <w:pPr>
        <w:widowControl/>
        <w:snapToGrid w:val="0"/>
        <w:spacing w:line="360" w:lineRule="auto"/>
        <w:ind w:firstLine="420"/>
        <w:jc w:val="left"/>
        <w:rPr>
          <w:rFonts w:ascii="宋体" w:hAnsi="宋体"/>
          <w:szCs w:val="21"/>
        </w:rPr>
      </w:pPr>
      <w:r>
        <w:rPr>
          <w:rFonts w:ascii="宋体" w:hAnsi="宋体" w:hint="eastAsia"/>
          <w:szCs w:val="21"/>
        </w:rPr>
        <w:t>实验课成绩（</w:t>
      </w:r>
      <w:r>
        <w:rPr>
          <w:rFonts w:ascii="宋体" w:hAnsi="宋体"/>
          <w:szCs w:val="21"/>
        </w:rPr>
        <w:t>20</w:t>
      </w:r>
      <w:r>
        <w:rPr>
          <w:rFonts w:ascii="宋体" w:hAnsi="宋体" w:hint="eastAsia"/>
          <w:szCs w:val="21"/>
        </w:rPr>
        <w:t>%）：实验</w:t>
      </w:r>
      <w:r>
        <w:rPr>
          <w:rFonts w:ascii="宋体" w:hAnsi="宋体"/>
          <w:szCs w:val="21"/>
        </w:rPr>
        <w:t>报告</w:t>
      </w:r>
      <w:r>
        <w:rPr>
          <w:rFonts w:ascii="宋体" w:hAnsi="宋体" w:hint="eastAsia"/>
          <w:szCs w:val="21"/>
        </w:rPr>
        <w:t>及实验</w:t>
      </w:r>
      <w:r>
        <w:rPr>
          <w:rFonts w:ascii="宋体" w:hAnsi="宋体"/>
          <w:szCs w:val="21"/>
        </w:rPr>
        <w:t>参与度</w:t>
      </w:r>
    </w:p>
    <w:p w14:paraId="40C214EE" w14:textId="77777777" w:rsidR="00890F27" w:rsidRDefault="00890F27" w:rsidP="00890F27">
      <w:pPr>
        <w:widowControl/>
        <w:snapToGrid w:val="0"/>
        <w:spacing w:line="360" w:lineRule="auto"/>
        <w:ind w:firstLine="420"/>
        <w:jc w:val="left"/>
        <w:rPr>
          <w:rFonts w:ascii="宋体" w:hAnsi="宋体"/>
          <w:b/>
          <w:bCs/>
          <w:kern w:val="0"/>
          <w:szCs w:val="21"/>
        </w:rPr>
      </w:pPr>
      <w:r>
        <w:rPr>
          <w:rFonts w:hint="eastAsia"/>
          <w:b/>
          <w:bCs/>
          <w:kern w:val="0"/>
          <w:szCs w:val="21"/>
        </w:rPr>
        <w:t>2.</w:t>
      </w:r>
      <w:r>
        <w:rPr>
          <w:rFonts w:ascii="宋体" w:hAnsi="宋体" w:hint="eastAsia"/>
          <w:b/>
          <w:bCs/>
          <w:kern w:val="0"/>
          <w:szCs w:val="21"/>
        </w:rPr>
        <w:t>终结性评价：</w:t>
      </w:r>
    </w:p>
    <w:p w14:paraId="70A9D449" w14:textId="77777777" w:rsidR="00890F27" w:rsidRDefault="00890F27" w:rsidP="00890F27">
      <w:pPr>
        <w:widowControl/>
        <w:snapToGrid w:val="0"/>
        <w:spacing w:line="360" w:lineRule="auto"/>
        <w:ind w:firstLine="420"/>
        <w:jc w:val="left"/>
        <w:rPr>
          <w:rFonts w:ascii="宋体" w:hAnsi="宋体"/>
          <w:bCs/>
          <w:kern w:val="0"/>
          <w:szCs w:val="21"/>
        </w:rPr>
      </w:pPr>
      <w:r>
        <w:rPr>
          <w:rFonts w:ascii="宋体" w:hAnsi="宋体" w:hint="eastAsia"/>
          <w:kern w:val="0"/>
          <w:szCs w:val="21"/>
        </w:rPr>
        <w:t>期末成绩</w:t>
      </w:r>
      <w:r>
        <w:rPr>
          <w:rFonts w:ascii="宋体" w:hAnsi="宋体" w:hint="eastAsia"/>
          <w:bCs/>
          <w:kern w:val="0"/>
          <w:szCs w:val="21"/>
        </w:rPr>
        <w:t>（6</w:t>
      </w:r>
      <w:r>
        <w:rPr>
          <w:rFonts w:ascii="宋体" w:hAnsi="宋体"/>
          <w:bCs/>
          <w:kern w:val="0"/>
          <w:szCs w:val="21"/>
        </w:rPr>
        <w:t>0%</w:t>
      </w:r>
      <w:r>
        <w:rPr>
          <w:rFonts w:ascii="宋体" w:hAnsi="宋体" w:hint="eastAsia"/>
          <w:bCs/>
          <w:kern w:val="0"/>
          <w:szCs w:val="21"/>
        </w:rPr>
        <w:t>）</w:t>
      </w:r>
      <w:r>
        <w:rPr>
          <w:rFonts w:ascii="宋体" w:hAnsi="宋体" w:hint="eastAsia"/>
          <w:kern w:val="0"/>
          <w:szCs w:val="21"/>
        </w:rPr>
        <w:t>：以</w:t>
      </w:r>
      <w:r>
        <w:rPr>
          <w:rFonts w:ascii="宋体" w:hAnsi="宋体" w:hint="eastAsia"/>
          <w:bCs/>
          <w:kern w:val="0"/>
          <w:szCs w:val="21"/>
        </w:rPr>
        <w:t>课程论文形式考核。</w:t>
      </w:r>
    </w:p>
    <w:p w14:paraId="3E41EEF4" w14:textId="77777777" w:rsidR="00890F27" w:rsidRDefault="00890F27" w:rsidP="00890F27">
      <w:pPr>
        <w:widowControl/>
        <w:snapToGrid w:val="0"/>
        <w:spacing w:line="360" w:lineRule="auto"/>
        <w:ind w:firstLine="420"/>
        <w:jc w:val="left"/>
        <w:rPr>
          <w:rFonts w:ascii="宋体" w:hAnsi="宋体"/>
          <w:szCs w:val="21"/>
        </w:rPr>
      </w:pPr>
      <w:r>
        <w:rPr>
          <w:rFonts w:hint="eastAsia"/>
          <w:b/>
          <w:bCs/>
          <w:kern w:val="0"/>
          <w:szCs w:val="21"/>
        </w:rPr>
        <w:t>3.</w:t>
      </w:r>
      <w:r>
        <w:rPr>
          <w:rFonts w:ascii="宋体" w:hAnsi="宋体" w:hint="eastAsia"/>
          <w:b/>
          <w:bCs/>
          <w:kern w:val="0"/>
          <w:szCs w:val="21"/>
        </w:rPr>
        <w:t>课程综合评价：</w:t>
      </w:r>
      <w:r>
        <w:rPr>
          <w:rFonts w:ascii="宋体" w:hAnsi="宋体" w:hint="eastAsia"/>
          <w:szCs w:val="21"/>
        </w:rPr>
        <w:t>平时成绩（</w:t>
      </w:r>
      <w:r>
        <w:rPr>
          <w:rFonts w:ascii="宋体" w:hAnsi="宋体"/>
          <w:szCs w:val="21"/>
        </w:rPr>
        <w:t>20</w:t>
      </w:r>
      <w:r>
        <w:rPr>
          <w:rFonts w:ascii="宋体" w:hAnsi="宋体" w:hint="eastAsia"/>
          <w:szCs w:val="21"/>
        </w:rPr>
        <w:t>%）+实验课成绩（</w:t>
      </w:r>
      <w:r>
        <w:rPr>
          <w:rFonts w:ascii="宋体" w:hAnsi="宋体"/>
          <w:szCs w:val="21"/>
        </w:rPr>
        <w:t>20</w:t>
      </w:r>
      <w:r>
        <w:rPr>
          <w:rFonts w:ascii="宋体" w:hAnsi="宋体" w:hint="eastAsia"/>
          <w:szCs w:val="21"/>
        </w:rPr>
        <w:t>%）+期末成绩（</w:t>
      </w:r>
      <w:r>
        <w:rPr>
          <w:rFonts w:ascii="宋体" w:hAnsi="宋体"/>
          <w:szCs w:val="21"/>
        </w:rPr>
        <w:t>60</w:t>
      </w:r>
      <w:r>
        <w:rPr>
          <w:rFonts w:ascii="宋体" w:hAnsi="宋体" w:hint="eastAsia"/>
          <w:szCs w:val="21"/>
        </w:rPr>
        <w:t>%）</w:t>
      </w:r>
    </w:p>
    <w:p w14:paraId="53A2755F" w14:textId="6823947E" w:rsidR="00374000" w:rsidRDefault="00374000">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7CD480F1" w14:textId="77777777" w:rsidR="00374000" w:rsidRPr="00374000" w:rsidRDefault="00374000" w:rsidP="00374000">
      <w:pPr>
        <w:pStyle w:val="1"/>
        <w:rPr>
          <w:b w:val="0"/>
          <w:bCs w:val="0"/>
          <w:szCs w:val="28"/>
        </w:rPr>
      </w:pPr>
      <w:bookmarkStart w:id="164" w:name="_Toc138606268"/>
      <w:r w:rsidRPr="00374000">
        <w:rPr>
          <w:rStyle w:val="10"/>
          <w:rFonts w:hint="eastAsia"/>
          <w:b/>
          <w:bCs/>
        </w:rPr>
        <w:lastRenderedPageBreak/>
        <w:t>设施园艺学</w:t>
      </w:r>
      <w:bookmarkEnd w:id="164"/>
    </w:p>
    <w:p w14:paraId="7F639CC7" w14:textId="77777777" w:rsidR="00374000" w:rsidRPr="00374000" w:rsidRDefault="00374000" w:rsidP="00374000">
      <w:pPr>
        <w:shd w:val="solid" w:color="FFFFFF" w:fill="auto"/>
        <w:autoSpaceDN w:val="0"/>
        <w:spacing w:line="360" w:lineRule="auto"/>
        <w:ind w:right="369"/>
        <w:jc w:val="center"/>
        <w:rPr>
          <w:bCs/>
          <w:iCs/>
          <w:sz w:val="24"/>
          <w:shd w:val="clear" w:color="auto" w:fill="FFFFFF"/>
        </w:rPr>
      </w:pPr>
      <w:r w:rsidRPr="00374000">
        <w:rPr>
          <w:bCs/>
          <w:iCs/>
          <w:sz w:val="24"/>
        </w:rPr>
        <w:t>（</w:t>
      </w:r>
      <w:r w:rsidRPr="00374000">
        <w:rPr>
          <w:iCs/>
          <w:sz w:val="24"/>
          <w:shd w:val="clear" w:color="auto" w:fill="FFFFFF"/>
        </w:rPr>
        <w:t>Science of Protected Horticulture</w:t>
      </w:r>
      <w:r w:rsidRPr="00374000">
        <w:rPr>
          <w:bCs/>
          <w:iCs/>
          <w:sz w:val="24"/>
          <w:shd w:val="clear" w:color="auto" w:fill="FFFFFF"/>
        </w:rPr>
        <w:t>)</w:t>
      </w:r>
    </w:p>
    <w:p w14:paraId="2B82689E" w14:textId="77777777" w:rsidR="00374000" w:rsidRDefault="00374000" w:rsidP="00374000">
      <w:pPr>
        <w:shd w:val="solid" w:color="FFFFFF" w:fill="auto"/>
        <w:autoSpaceDN w:val="0"/>
        <w:spacing w:line="360" w:lineRule="auto"/>
        <w:ind w:right="369"/>
        <w:jc w:val="center"/>
        <w:rPr>
          <w:b/>
          <w:bCs/>
          <w:iCs/>
          <w:sz w:val="24"/>
        </w:rPr>
      </w:pPr>
    </w:p>
    <w:p w14:paraId="44F445A6" w14:textId="77777777" w:rsidR="00374000" w:rsidRDefault="00374000" w:rsidP="00374000">
      <w:pPr>
        <w:snapToGrid w:val="0"/>
        <w:spacing w:line="360" w:lineRule="auto"/>
        <w:jc w:val="center"/>
        <w:rPr>
          <w:b/>
          <w:szCs w:val="21"/>
        </w:rPr>
      </w:pPr>
      <w:r>
        <w:rPr>
          <w:b/>
          <w:szCs w:val="21"/>
        </w:rPr>
        <w:t>课程基本信息</w:t>
      </w:r>
    </w:p>
    <w:tbl>
      <w:tblPr>
        <w:tblW w:w="0" w:type="auto"/>
        <w:tblLayout w:type="fixed"/>
        <w:tblLook w:val="0000" w:firstRow="0" w:lastRow="0" w:firstColumn="0" w:lastColumn="0" w:noHBand="0" w:noVBand="0"/>
      </w:tblPr>
      <w:tblGrid>
        <w:gridCol w:w="3038"/>
        <w:gridCol w:w="2649"/>
        <w:gridCol w:w="3429"/>
      </w:tblGrid>
      <w:tr w:rsidR="00374000" w14:paraId="255EDB45" w14:textId="77777777" w:rsidTr="00C91173">
        <w:tc>
          <w:tcPr>
            <w:tcW w:w="3038" w:type="dxa"/>
          </w:tcPr>
          <w:p w14:paraId="6A20B962" w14:textId="5F4B5ACF" w:rsidR="00374000" w:rsidRDefault="00374000" w:rsidP="00C91173">
            <w:pPr>
              <w:spacing w:line="300" w:lineRule="auto"/>
              <w:rPr>
                <w:b/>
                <w:bCs/>
                <w:szCs w:val="21"/>
              </w:rPr>
            </w:pPr>
            <w:r>
              <w:rPr>
                <w:b/>
                <w:bCs/>
                <w:szCs w:val="21"/>
              </w:rPr>
              <w:t>课程编号：</w:t>
            </w:r>
            <w:r w:rsidRPr="00374000">
              <w:rPr>
                <w:rFonts w:hint="eastAsia"/>
                <w:szCs w:val="21"/>
              </w:rPr>
              <w:t>1</w:t>
            </w:r>
            <w:r w:rsidRPr="00374000">
              <w:rPr>
                <w:szCs w:val="21"/>
              </w:rPr>
              <w:t>9011066</w:t>
            </w:r>
          </w:p>
        </w:tc>
        <w:tc>
          <w:tcPr>
            <w:tcW w:w="2649" w:type="dxa"/>
          </w:tcPr>
          <w:p w14:paraId="0474DAC4" w14:textId="77777777" w:rsidR="00374000" w:rsidRDefault="00374000" w:rsidP="00C91173">
            <w:pPr>
              <w:spacing w:line="300" w:lineRule="auto"/>
              <w:rPr>
                <w:b/>
                <w:bCs/>
                <w:szCs w:val="21"/>
              </w:rPr>
            </w:pPr>
            <w:r>
              <w:rPr>
                <w:b/>
                <w:bCs/>
                <w:szCs w:val="21"/>
              </w:rPr>
              <w:t>课程总学时：</w:t>
            </w:r>
            <w:r w:rsidRPr="00374000">
              <w:rPr>
                <w:szCs w:val="21"/>
              </w:rPr>
              <w:t>32</w:t>
            </w:r>
          </w:p>
        </w:tc>
        <w:tc>
          <w:tcPr>
            <w:tcW w:w="3429" w:type="dxa"/>
          </w:tcPr>
          <w:p w14:paraId="11F955D7" w14:textId="77777777" w:rsidR="00374000" w:rsidRDefault="00374000" w:rsidP="00C91173">
            <w:pPr>
              <w:spacing w:line="300" w:lineRule="auto"/>
              <w:rPr>
                <w:b/>
                <w:bCs/>
                <w:szCs w:val="21"/>
              </w:rPr>
            </w:pPr>
            <w:r>
              <w:rPr>
                <w:b/>
                <w:bCs/>
                <w:szCs w:val="21"/>
              </w:rPr>
              <w:t>实验学时：</w:t>
            </w:r>
            <w:r w:rsidRPr="00374000">
              <w:rPr>
                <w:rFonts w:hint="eastAsia"/>
                <w:szCs w:val="21"/>
              </w:rPr>
              <w:t>0</w:t>
            </w:r>
          </w:p>
        </w:tc>
      </w:tr>
      <w:tr w:rsidR="00374000" w14:paraId="2F4E2BAB" w14:textId="77777777" w:rsidTr="00C91173">
        <w:tc>
          <w:tcPr>
            <w:tcW w:w="3038" w:type="dxa"/>
          </w:tcPr>
          <w:p w14:paraId="430EA874" w14:textId="77777777" w:rsidR="00374000" w:rsidRDefault="00374000" w:rsidP="00C91173">
            <w:pPr>
              <w:spacing w:line="300" w:lineRule="auto"/>
              <w:rPr>
                <w:b/>
                <w:bCs/>
                <w:szCs w:val="21"/>
              </w:rPr>
            </w:pPr>
            <w:r>
              <w:rPr>
                <w:b/>
                <w:bCs/>
                <w:szCs w:val="21"/>
              </w:rPr>
              <w:t>课程性质：</w:t>
            </w:r>
            <w:r w:rsidRPr="00374000">
              <w:rPr>
                <w:rFonts w:hint="eastAsia"/>
                <w:szCs w:val="21"/>
              </w:rPr>
              <w:t>选修</w:t>
            </w:r>
          </w:p>
        </w:tc>
        <w:tc>
          <w:tcPr>
            <w:tcW w:w="2649" w:type="dxa"/>
          </w:tcPr>
          <w:p w14:paraId="2461416F" w14:textId="77777777" w:rsidR="00374000" w:rsidRDefault="00374000" w:rsidP="00C91173">
            <w:pPr>
              <w:spacing w:line="300" w:lineRule="auto"/>
              <w:rPr>
                <w:b/>
                <w:bCs/>
                <w:szCs w:val="21"/>
              </w:rPr>
            </w:pPr>
            <w:r>
              <w:rPr>
                <w:b/>
                <w:szCs w:val="21"/>
              </w:rPr>
              <w:t>课程属性</w:t>
            </w:r>
            <w:r>
              <w:rPr>
                <w:b/>
                <w:szCs w:val="21"/>
              </w:rPr>
              <w:t xml:space="preserve">: </w:t>
            </w:r>
            <w:r w:rsidRPr="00374000">
              <w:rPr>
                <w:rFonts w:hint="eastAsia"/>
                <w:szCs w:val="21"/>
              </w:rPr>
              <w:t>公选课</w:t>
            </w:r>
            <w:r w:rsidRPr="00374000">
              <w:rPr>
                <w:szCs w:val="21"/>
              </w:rPr>
              <w:t>类</w:t>
            </w:r>
          </w:p>
        </w:tc>
        <w:tc>
          <w:tcPr>
            <w:tcW w:w="3429" w:type="dxa"/>
          </w:tcPr>
          <w:p w14:paraId="42180A41" w14:textId="77777777" w:rsidR="00374000" w:rsidRDefault="00374000" w:rsidP="00C91173">
            <w:pPr>
              <w:spacing w:line="300" w:lineRule="auto"/>
              <w:rPr>
                <w:b/>
                <w:bCs/>
                <w:szCs w:val="21"/>
              </w:rPr>
            </w:pPr>
            <w:r>
              <w:rPr>
                <w:b/>
                <w:bCs/>
                <w:szCs w:val="21"/>
              </w:rPr>
              <w:t>开设学期：</w:t>
            </w:r>
            <w:r w:rsidRPr="00374000">
              <w:rPr>
                <w:szCs w:val="21"/>
              </w:rPr>
              <w:t>第</w:t>
            </w:r>
            <w:r w:rsidRPr="00374000">
              <w:rPr>
                <w:rFonts w:hint="eastAsia"/>
                <w:szCs w:val="21"/>
              </w:rPr>
              <w:t>5</w:t>
            </w:r>
            <w:r w:rsidRPr="00374000">
              <w:rPr>
                <w:szCs w:val="21"/>
              </w:rPr>
              <w:t>学期</w:t>
            </w:r>
          </w:p>
        </w:tc>
      </w:tr>
    </w:tbl>
    <w:p w14:paraId="64EE009B" w14:textId="77777777" w:rsidR="00374000" w:rsidRDefault="00374000" w:rsidP="00374000">
      <w:pPr>
        <w:rPr>
          <w:vanish/>
        </w:rPr>
      </w:pPr>
    </w:p>
    <w:tbl>
      <w:tblPr>
        <w:tblW w:w="9116" w:type="dxa"/>
        <w:tblBorders>
          <w:insideH w:val="single" w:sz="4" w:space="0" w:color="auto"/>
          <w:insideV w:val="single" w:sz="4" w:space="0" w:color="auto"/>
        </w:tblBorders>
        <w:tblLayout w:type="fixed"/>
        <w:tblLook w:val="0000" w:firstRow="0" w:lastRow="0" w:firstColumn="0" w:lastColumn="0" w:noHBand="0" w:noVBand="0"/>
      </w:tblPr>
      <w:tblGrid>
        <w:gridCol w:w="3038"/>
        <w:gridCol w:w="2649"/>
        <w:gridCol w:w="3429"/>
      </w:tblGrid>
      <w:tr w:rsidR="00374000" w14:paraId="12503E9D" w14:textId="77777777" w:rsidTr="00C91173">
        <w:tc>
          <w:tcPr>
            <w:tcW w:w="3038" w:type="dxa"/>
            <w:tcBorders>
              <w:top w:val="nil"/>
              <w:left w:val="nil"/>
              <w:bottom w:val="nil"/>
              <w:right w:val="nil"/>
            </w:tcBorders>
          </w:tcPr>
          <w:p w14:paraId="199A3113" w14:textId="77777777" w:rsidR="00374000" w:rsidRDefault="00374000" w:rsidP="00C91173">
            <w:pPr>
              <w:spacing w:line="300" w:lineRule="auto"/>
              <w:rPr>
                <w:rFonts w:ascii="宋体" w:eastAsia="Times New Roman" w:hAnsi="宋体"/>
                <w:b/>
                <w:bCs/>
                <w:szCs w:val="21"/>
              </w:rPr>
            </w:pPr>
            <w:proofErr w:type="spellStart"/>
            <w:r>
              <w:rPr>
                <w:rFonts w:ascii="宋体" w:eastAsia="Times New Roman" w:hAnsi="宋体" w:hint="eastAsia"/>
                <w:b/>
                <w:bCs/>
              </w:rPr>
              <w:t>课程负责人</w:t>
            </w:r>
            <w:proofErr w:type="spellEnd"/>
            <w:r>
              <w:rPr>
                <w:rFonts w:ascii="宋体" w:eastAsia="Times New Roman" w:hAnsi="宋体" w:hint="eastAsia"/>
                <w:b/>
                <w:bCs/>
              </w:rPr>
              <w:t>：</w:t>
            </w:r>
            <w:r w:rsidRPr="00374000">
              <w:rPr>
                <w:rFonts w:ascii="宋体" w:hAnsi="宋体" w:hint="eastAsia"/>
                <w:szCs w:val="21"/>
              </w:rPr>
              <w:t>肖怀娟</w:t>
            </w:r>
          </w:p>
        </w:tc>
        <w:tc>
          <w:tcPr>
            <w:tcW w:w="2649" w:type="dxa"/>
            <w:tcBorders>
              <w:top w:val="nil"/>
              <w:left w:val="nil"/>
              <w:bottom w:val="nil"/>
              <w:right w:val="nil"/>
            </w:tcBorders>
          </w:tcPr>
          <w:p w14:paraId="4B59558E" w14:textId="77777777" w:rsidR="00374000" w:rsidRDefault="00374000" w:rsidP="00C91173">
            <w:pPr>
              <w:spacing w:line="300" w:lineRule="auto"/>
              <w:jc w:val="left"/>
              <w:rPr>
                <w:rFonts w:ascii="宋体" w:hAnsi="宋体"/>
                <w:b/>
                <w:bCs/>
              </w:rPr>
            </w:pPr>
            <w:proofErr w:type="spellStart"/>
            <w:r>
              <w:rPr>
                <w:rFonts w:ascii="宋体" w:eastAsia="Times New Roman" w:hAnsi="宋体" w:hint="eastAsia"/>
                <w:b/>
                <w:bCs/>
              </w:rPr>
              <w:t>课程团队</w:t>
            </w:r>
            <w:proofErr w:type="spellEnd"/>
            <w:r>
              <w:rPr>
                <w:rFonts w:ascii="宋体" w:eastAsia="Times New Roman" w:hAnsi="宋体" w:hint="eastAsia"/>
                <w:b/>
                <w:bCs/>
              </w:rPr>
              <w:t>：</w:t>
            </w:r>
            <w:r w:rsidRPr="00374000">
              <w:rPr>
                <w:rFonts w:ascii="宋体" w:hAnsi="宋体" w:hint="eastAsia"/>
              </w:rPr>
              <w:t>朴凤</w:t>
            </w:r>
            <w:r w:rsidRPr="00374000">
              <w:rPr>
                <w:rFonts w:ascii="宋体" w:hAnsi="宋体"/>
              </w:rPr>
              <w:t>植</w:t>
            </w:r>
            <w:r w:rsidRPr="00374000">
              <w:rPr>
                <w:rFonts w:ascii="宋体" w:hAnsi="宋体" w:hint="eastAsia"/>
              </w:rPr>
              <w:t>、</w:t>
            </w:r>
            <w:r w:rsidRPr="00374000">
              <w:rPr>
                <w:rFonts w:ascii="宋体" w:hAnsi="宋体"/>
                <w:szCs w:val="21"/>
              </w:rPr>
              <w:t>杜南山</w:t>
            </w:r>
            <w:r w:rsidRPr="00374000">
              <w:rPr>
                <w:rFonts w:ascii="宋体" w:hAnsi="宋体" w:hint="eastAsia"/>
                <w:szCs w:val="21"/>
              </w:rPr>
              <w:t>、张涛、李猛</w:t>
            </w:r>
          </w:p>
        </w:tc>
        <w:tc>
          <w:tcPr>
            <w:tcW w:w="3429" w:type="dxa"/>
            <w:tcBorders>
              <w:top w:val="nil"/>
              <w:left w:val="nil"/>
              <w:bottom w:val="nil"/>
              <w:right w:val="nil"/>
            </w:tcBorders>
          </w:tcPr>
          <w:p w14:paraId="3D341682" w14:textId="77777777" w:rsidR="00374000" w:rsidRDefault="00374000" w:rsidP="00C91173">
            <w:pPr>
              <w:spacing w:line="300" w:lineRule="auto"/>
              <w:jc w:val="left"/>
              <w:rPr>
                <w:rFonts w:ascii="宋体" w:eastAsia="Times New Roman" w:hAnsi="宋体"/>
                <w:b/>
                <w:bCs/>
              </w:rPr>
            </w:pPr>
            <w:proofErr w:type="spellStart"/>
            <w:r>
              <w:rPr>
                <w:rFonts w:ascii="宋体" w:eastAsia="Times New Roman" w:hAnsi="宋体" w:hint="eastAsia"/>
                <w:b/>
                <w:bCs/>
              </w:rPr>
              <w:t>授课语言</w:t>
            </w:r>
            <w:proofErr w:type="spellEnd"/>
            <w:r>
              <w:rPr>
                <w:rFonts w:ascii="宋体" w:eastAsia="Times New Roman" w:hAnsi="宋体" w:hint="eastAsia"/>
                <w:b/>
                <w:bCs/>
              </w:rPr>
              <w:t>：</w:t>
            </w:r>
            <w:r w:rsidRPr="00374000">
              <w:rPr>
                <w:rFonts w:ascii="DengXian" w:eastAsia="DengXian" w:hAnsi="DengXian" w:hint="eastAsia"/>
              </w:rPr>
              <w:t>中文</w:t>
            </w:r>
          </w:p>
        </w:tc>
      </w:tr>
    </w:tbl>
    <w:p w14:paraId="2B7EC828" w14:textId="77777777" w:rsidR="00374000" w:rsidRDefault="00374000" w:rsidP="00374000">
      <w:pPr>
        <w:rPr>
          <w:vanish/>
        </w:rPr>
      </w:pPr>
    </w:p>
    <w:tbl>
      <w:tblPr>
        <w:tblW w:w="9116" w:type="dxa"/>
        <w:tblLayout w:type="fixed"/>
        <w:tblLook w:val="0000" w:firstRow="0" w:lastRow="0" w:firstColumn="0" w:lastColumn="0" w:noHBand="0" w:noVBand="0"/>
      </w:tblPr>
      <w:tblGrid>
        <w:gridCol w:w="3038"/>
        <w:gridCol w:w="2649"/>
        <w:gridCol w:w="3429"/>
      </w:tblGrid>
      <w:tr w:rsidR="00374000" w14:paraId="31459B94" w14:textId="77777777" w:rsidTr="00C91173">
        <w:tc>
          <w:tcPr>
            <w:tcW w:w="9116" w:type="dxa"/>
            <w:gridSpan w:val="3"/>
          </w:tcPr>
          <w:p w14:paraId="39D16612" w14:textId="77777777" w:rsidR="00374000" w:rsidRDefault="00374000" w:rsidP="00C91173">
            <w:pPr>
              <w:spacing w:line="300" w:lineRule="auto"/>
              <w:rPr>
                <w:b/>
                <w:bCs/>
                <w:szCs w:val="21"/>
              </w:rPr>
            </w:pPr>
            <w:r>
              <w:rPr>
                <w:b/>
                <w:bCs/>
                <w:szCs w:val="21"/>
              </w:rPr>
              <w:t>适用专业：</w:t>
            </w:r>
            <w:r w:rsidRPr="00374000">
              <w:rPr>
                <w:rFonts w:hint="eastAsia"/>
                <w:szCs w:val="21"/>
              </w:rPr>
              <w:t>所有专业</w:t>
            </w:r>
          </w:p>
        </w:tc>
      </w:tr>
      <w:tr w:rsidR="00374000" w14:paraId="2BDD0ABE" w14:textId="77777777" w:rsidTr="00C91173">
        <w:tc>
          <w:tcPr>
            <w:tcW w:w="9116" w:type="dxa"/>
            <w:gridSpan w:val="3"/>
          </w:tcPr>
          <w:p w14:paraId="566E4AD7" w14:textId="77777777" w:rsidR="00374000" w:rsidRPr="00374000" w:rsidRDefault="00374000" w:rsidP="00C91173">
            <w:pPr>
              <w:rPr>
                <w:szCs w:val="21"/>
              </w:rPr>
            </w:pPr>
            <w:r>
              <w:rPr>
                <w:rFonts w:ascii="宋体" w:hAnsi="宋体" w:hint="eastAsia"/>
                <w:b/>
                <w:bCs/>
              </w:rPr>
              <w:t>对先修的要求：</w:t>
            </w:r>
            <w:r w:rsidRPr="00374000">
              <w:rPr>
                <w:szCs w:val="21"/>
              </w:rPr>
              <w:t>植物学、植物生理学</w:t>
            </w:r>
          </w:p>
          <w:p w14:paraId="6039FE48" w14:textId="77777777" w:rsidR="00374000" w:rsidRDefault="00374000" w:rsidP="00C91173">
            <w:pPr>
              <w:spacing w:line="300" w:lineRule="auto"/>
              <w:rPr>
                <w:b/>
                <w:bCs/>
                <w:szCs w:val="21"/>
              </w:rPr>
            </w:pPr>
            <w:r>
              <w:rPr>
                <w:rFonts w:hint="eastAsia"/>
                <w:b/>
                <w:bCs/>
                <w:szCs w:val="21"/>
              </w:rPr>
              <w:t>对后续的支撑：</w:t>
            </w:r>
            <w:r w:rsidRPr="00374000">
              <w:rPr>
                <w:rFonts w:hint="eastAsia"/>
                <w:szCs w:val="21"/>
              </w:rPr>
              <w:t xml:space="preserve"> </w:t>
            </w:r>
            <w:r w:rsidRPr="00374000">
              <w:rPr>
                <w:rFonts w:hint="eastAsia"/>
                <w:szCs w:val="21"/>
              </w:rPr>
              <w:t>对后续的《智慧园艺》、《创意农业》、《设施装备与智能化》等选修课程中的育苗设施、栽培设施类型及管理技术要点提供理论和技术支撑。</w:t>
            </w:r>
          </w:p>
        </w:tc>
      </w:tr>
      <w:tr w:rsidR="00374000" w14:paraId="49C49522" w14:textId="77777777" w:rsidTr="00C91173">
        <w:tc>
          <w:tcPr>
            <w:tcW w:w="3038" w:type="dxa"/>
          </w:tcPr>
          <w:p w14:paraId="59F1D4CB" w14:textId="77777777" w:rsidR="00374000" w:rsidRDefault="00374000" w:rsidP="00C91173">
            <w:pPr>
              <w:spacing w:line="300" w:lineRule="auto"/>
              <w:rPr>
                <w:b/>
                <w:bCs/>
                <w:szCs w:val="21"/>
              </w:rPr>
            </w:pPr>
            <w:r>
              <w:rPr>
                <w:b/>
                <w:bCs/>
                <w:szCs w:val="21"/>
              </w:rPr>
              <w:t>主撰人：</w:t>
            </w:r>
            <w:r w:rsidRPr="00374000">
              <w:rPr>
                <w:rFonts w:hint="eastAsia"/>
                <w:szCs w:val="21"/>
              </w:rPr>
              <w:t>肖怀娟</w:t>
            </w:r>
          </w:p>
        </w:tc>
        <w:tc>
          <w:tcPr>
            <w:tcW w:w="2649" w:type="dxa"/>
          </w:tcPr>
          <w:p w14:paraId="2D7D4B4F" w14:textId="77777777" w:rsidR="00374000" w:rsidRDefault="00374000" w:rsidP="00C91173">
            <w:pPr>
              <w:spacing w:line="300" w:lineRule="auto"/>
              <w:rPr>
                <w:b/>
                <w:bCs/>
                <w:szCs w:val="21"/>
              </w:rPr>
            </w:pPr>
            <w:r>
              <w:rPr>
                <w:b/>
                <w:bCs/>
                <w:szCs w:val="21"/>
              </w:rPr>
              <w:t>审核人：</w:t>
            </w:r>
            <w:r w:rsidRPr="00374000">
              <w:rPr>
                <w:rFonts w:hint="eastAsia"/>
                <w:szCs w:val="21"/>
              </w:rPr>
              <w:t>李猛</w:t>
            </w:r>
          </w:p>
        </w:tc>
        <w:tc>
          <w:tcPr>
            <w:tcW w:w="3429" w:type="dxa"/>
          </w:tcPr>
          <w:p w14:paraId="3ABEEE31" w14:textId="1033431C" w:rsidR="00374000" w:rsidRDefault="00374000" w:rsidP="00C91173">
            <w:pPr>
              <w:spacing w:line="300" w:lineRule="auto"/>
              <w:rPr>
                <w:b/>
                <w:bCs/>
                <w:szCs w:val="21"/>
              </w:rPr>
            </w:pPr>
            <w:r>
              <w:rPr>
                <w:b/>
                <w:bCs/>
                <w:szCs w:val="21"/>
              </w:rPr>
              <w:t>大纲制定（修订）日期</w:t>
            </w:r>
            <w:r>
              <w:rPr>
                <w:rFonts w:hint="eastAsia"/>
                <w:b/>
                <w:bCs/>
                <w:szCs w:val="21"/>
              </w:rPr>
              <w:t>：</w:t>
            </w:r>
            <w:r w:rsidRPr="00374000">
              <w:rPr>
                <w:szCs w:val="21"/>
              </w:rPr>
              <w:t>202</w:t>
            </w:r>
            <w:r>
              <w:rPr>
                <w:szCs w:val="21"/>
              </w:rPr>
              <w:t>3.05</w:t>
            </w:r>
          </w:p>
        </w:tc>
      </w:tr>
    </w:tbl>
    <w:p w14:paraId="159A1032" w14:textId="77777777" w:rsidR="00374000" w:rsidRDefault="00374000" w:rsidP="00374000">
      <w:pPr>
        <w:widowControl/>
        <w:snapToGrid w:val="0"/>
        <w:spacing w:line="360" w:lineRule="auto"/>
        <w:jc w:val="left"/>
        <w:rPr>
          <w:b/>
          <w:bCs/>
          <w:kern w:val="0"/>
          <w:szCs w:val="21"/>
        </w:rPr>
      </w:pPr>
    </w:p>
    <w:p w14:paraId="526C15A5" w14:textId="77777777" w:rsidR="00374000" w:rsidRDefault="00374000" w:rsidP="00374000">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14:paraId="17873FB9" w14:textId="77777777" w:rsidR="00374000" w:rsidRDefault="00374000" w:rsidP="00374000">
      <w:pPr>
        <w:spacing w:line="360" w:lineRule="auto"/>
        <w:ind w:firstLineChars="200" w:firstLine="420"/>
      </w:pPr>
      <w:r>
        <w:t>《设施园艺学》是园艺作物设施生产的一门基础理论与应用技术相结合的科学</w:t>
      </w:r>
      <w:r>
        <w:rPr>
          <w:rFonts w:hint="eastAsia"/>
        </w:rPr>
        <w:t>，是</w:t>
      </w:r>
      <w:r>
        <w:t>一门集</w:t>
      </w:r>
      <w:r>
        <w:rPr>
          <w:rFonts w:hint="eastAsia"/>
        </w:rPr>
        <w:t>现代</w:t>
      </w:r>
      <w:r>
        <w:t>园艺科学、环境工程科学、信息技术科学和现代农业经济科学等为一体的多学科交叉的综合学科领域</w:t>
      </w:r>
      <w:r>
        <w:rPr>
          <w:rFonts w:hint="eastAsia"/>
        </w:rPr>
        <w:t>，属于茶学专业的专业深化类课程。</w:t>
      </w:r>
      <w:r>
        <w:t>通过课堂教学和实验，使学生能了解风障、阳畦、地膜覆盖、遮阳网、防虫网、无纺布覆盖、大、中、小棚、连栋大栅和温室等园艺作物栽培的主要设施类型、结构及性能；掌握塑料大棚建造过程及其技术要点，掌握日光温室的保温和采光设计及建造技术要点，掌握防虫网、遮阳网的使用技术，了解现代温室的各个系统、设施栽培的环境调控技术和栽培技术等，为学生将从事园艺作物设施栽培生产实践打下基础。</w:t>
      </w:r>
    </w:p>
    <w:p w14:paraId="3AA45B72" w14:textId="77777777" w:rsidR="00374000" w:rsidRDefault="00374000" w:rsidP="00374000">
      <w:pPr>
        <w:spacing w:line="400" w:lineRule="exact"/>
        <w:rPr>
          <w:kern w:val="0"/>
          <w:szCs w:val="21"/>
        </w:rPr>
      </w:pPr>
      <w:r>
        <w:rPr>
          <w:b/>
          <w:bCs/>
          <w:kern w:val="0"/>
          <w:szCs w:val="21"/>
        </w:rPr>
        <w:t>二、课程教学的基本要求</w:t>
      </w:r>
    </w:p>
    <w:p w14:paraId="4E5509F1" w14:textId="77777777" w:rsidR="00374000" w:rsidRDefault="00374000" w:rsidP="00374000">
      <w:pPr>
        <w:spacing w:line="400" w:lineRule="exact"/>
        <w:ind w:firstLineChars="200" w:firstLine="420"/>
        <w:rPr>
          <w:kern w:val="0"/>
          <w:szCs w:val="21"/>
        </w:rPr>
      </w:pPr>
      <w:r>
        <w:rPr>
          <w:kern w:val="0"/>
          <w:szCs w:val="21"/>
        </w:rPr>
        <w:t>1</w:t>
      </w:r>
      <w:r>
        <w:rPr>
          <w:rFonts w:hint="eastAsia"/>
          <w:kern w:val="0"/>
          <w:szCs w:val="21"/>
        </w:rPr>
        <w:t>、</w:t>
      </w:r>
      <w:r>
        <w:rPr>
          <w:kern w:val="0"/>
          <w:szCs w:val="21"/>
        </w:rPr>
        <w:t>理论知识方面：</w:t>
      </w:r>
    </w:p>
    <w:p w14:paraId="2F6B411D" w14:textId="77777777" w:rsidR="00374000" w:rsidRDefault="00374000" w:rsidP="00374000">
      <w:pPr>
        <w:spacing w:line="400" w:lineRule="exact"/>
        <w:ind w:firstLineChars="200" w:firstLine="420"/>
      </w:pPr>
      <w:r>
        <w:t>（</w:t>
      </w:r>
      <w:r>
        <w:t>1</w:t>
      </w:r>
      <w:r>
        <w:t>）了解设施园艺及设施园艺学的基本概念和特点，了解设施园艺产业在农业及农业现代化中的地位及作用，了解国内外设施园艺发展概况和趋势。</w:t>
      </w:r>
    </w:p>
    <w:p w14:paraId="40ADB1DA" w14:textId="77777777" w:rsidR="00374000" w:rsidRDefault="00374000" w:rsidP="00374000">
      <w:pPr>
        <w:spacing w:line="360" w:lineRule="auto"/>
        <w:ind w:firstLineChars="200" w:firstLine="420"/>
      </w:pPr>
      <w:r>
        <w:t>（</w:t>
      </w:r>
      <w:r>
        <w:t>2</w:t>
      </w:r>
      <w:r>
        <w:t>）学习设施园艺的生理生态基础理论，掌握主要园艺栽培设施的结构与性能，掌握覆盖材料的种类与性能；能够灵活运用设施园艺的基本理论，能够因地制宜选用合适的设施类型和覆盖材料。</w:t>
      </w:r>
    </w:p>
    <w:p w14:paraId="628CDA80" w14:textId="77777777" w:rsidR="00374000" w:rsidRDefault="00374000" w:rsidP="00374000">
      <w:pPr>
        <w:spacing w:line="360" w:lineRule="auto"/>
        <w:ind w:firstLineChars="200" w:firstLine="420"/>
      </w:pPr>
      <w:r>
        <w:t>（</w:t>
      </w:r>
      <w:r>
        <w:t>3</w:t>
      </w:r>
      <w:r>
        <w:t>）了解设施环境特性，掌握设施环境调控技术；了解设施作物生育特性，掌握设施育苗技</w:t>
      </w:r>
      <w:r>
        <w:lastRenderedPageBreak/>
        <w:t>术和主要园艺作物设施栽培技术。</w:t>
      </w:r>
    </w:p>
    <w:p w14:paraId="50A74654" w14:textId="77777777" w:rsidR="00374000" w:rsidRDefault="00374000" w:rsidP="00374000">
      <w:pPr>
        <w:spacing w:line="360" w:lineRule="auto"/>
        <w:ind w:firstLineChars="200" w:firstLine="420"/>
      </w:pPr>
      <w:r>
        <w:t>（</w:t>
      </w:r>
      <w:r>
        <w:t>4</w:t>
      </w:r>
      <w:r>
        <w:t>）了解设施园艺新技术，掌握设施园艺发展的新成果、新动态和新理念。</w:t>
      </w:r>
    </w:p>
    <w:p w14:paraId="3C41D896" w14:textId="77777777" w:rsidR="00374000" w:rsidRDefault="00374000" w:rsidP="00374000">
      <w:pPr>
        <w:spacing w:line="360" w:lineRule="auto"/>
        <w:ind w:firstLineChars="200" w:firstLine="420"/>
        <w:rPr>
          <w:szCs w:val="21"/>
        </w:rPr>
      </w:pPr>
      <w:r>
        <w:rPr>
          <w:szCs w:val="21"/>
        </w:rPr>
        <w:t>2</w:t>
      </w:r>
      <w:r>
        <w:rPr>
          <w:rFonts w:ascii="宋体" w:hAnsi="宋体"/>
          <w:szCs w:val="21"/>
        </w:rPr>
        <w:t>、实验技能方面：</w:t>
      </w:r>
    </w:p>
    <w:p w14:paraId="451EC4B0" w14:textId="77777777" w:rsidR="00374000" w:rsidRDefault="00374000" w:rsidP="00374000">
      <w:pPr>
        <w:spacing w:line="360" w:lineRule="auto"/>
        <w:ind w:firstLineChars="200" w:firstLine="420"/>
        <w:rPr>
          <w:szCs w:val="21"/>
        </w:rPr>
      </w:pPr>
      <w:r>
        <w:rPr>
          <w:rFonts w:ascii="宋体" w:hAnsi="宋体"/>
          <w:szCs w:val="21"/>
        </w:rPr>
        <w:t>通过园艺设施类型的参观调查，使学生对设施园艺的类型、结构、性能和应用有一个全面、具体、直观的了解；通过设施内温湿度和光照条件的日变化观测，使学生掌握主要设施类型的环境变化规律，为进一步进行环境调控和结构设计打下基础；</w:t>
      </w:r>
      <w:r>
        <w:rPr>
          <w:rFonts w:ascii="宋体" w:hAnsi="宋体" w:hint="eastAsia"/>
          <w:szCs w:val="21"/>
        </w:rPr>
        <w:t>从而</w:t>
      </w:r>
      <w:r>
        <w:rPr>
          <w:rFonts w:ascii="宋体" w:hAnsi="宋体"/>
          <w:szCs w:val="21"/>
        </w:rPr>
        <w:t>掌握设施栽培的关键技术。</w:t>
      </w:r>
    </w:p>
    <w:p w14:paraId="486C77BE" w14:textId="77777777" w:rsidR="00374000" w:rsidRDefault="00374000" w:rsidP="00374000">
      <w:pPr>
        <w:spacing w:line="360" w:lineRule="auto"/>
        <w:ind w:firstLineChars="200" w:firstLine="420"/>
      </w:pPr>
    </w:p>
    <w:p w14:paraId="043A8BC5" w14:textId="77777777" w:rsidR="00374000" w:rsidRDefault="00374000" w:rsidP="00374000">
      <w:pPr>
        <w:widowControl/>
        <w:snapToGrid w:val="0"/>
        <w:spacing w:line="360" w:lineRule="auto"/>
        <w:jc w:val="left"/>
        <w:rPr>
          <w:rFonts w:hAnsi="宋体"/>
          <w:b/>
          <w:bCs/>
          <w:kern w:val="0"/>
          <w:szCs w:val="21"/>
        </w:rPr>
      </w:pPr>
      <w:r>
        <w:rPr>
          <w:rFonts w:ascii="宋体" w:hAnsi="宋体"/>
          <w:b/>
          <w:bCs/>
          <w:kern w:val="0"/>
          <w:szCs w:val="21"/>
        </w:rPr>
        <w:t>三、</w:t>
      </w:r>
      <w:r>
        <w:rPr>
          <w:rFonts w:ascii="宋体" w:hAnsi="宋体" w:hint="eastAsia"/>
          <w:b/>
          <w:bCs/>
          <w:kern w:val="0"/>
          <w:szCs w:val="21"/>
        </w:rPr>
        <w:t>课程的教学设计</w:t>
      </w:r>
    </w:p>
    <w:p w14:paraId="5510AC94" w14:textId="77777777" w:rsidR="00374000" w:rsidRDefault="00374000" w:rsidP="00374000">
      <w:pPr>
        <w:autoSpaceDE w:val="0"/>
        <w:spacing w:line="360" w:lineRule="auto"/>
        <w:ind w:firstLineChars="200" w:firstLine="420"/>
        <w:rPr>
          <w:rFonts w:hAnsi="宋体"/>
          <w:bCs/>
          <w:kern w:val="0"/>
          <w:szCs w:val="21"/>
        </w:rPr>
      </w:pPr>
      <w:r>
        <w:rPr>
          <w:rFonts w:hint="eastAsia"/>
          <w:bCs/>
          <w:kern w:val="0"/>
          <w:szCs w:val="21"/>
        </w:rPr>
        <w:t>1.</w:t>
      </w:r>
      <w:r>
        <w:rPr>
          <w:rFonts w:ascii="宋体" w:hAnsi="宋体" w:hint="eastAsia"/>
          <w:bCs/>
          <w:kern w:val="0"/>
          <w:szCs w:val="21"/>
        </w:rPr>
        <w:t>教学设计说明</w:t>
      </w:r>
    </w:p>
    <w:p w14:paraId="7BB98374" w14:textId="77777777" w:rsidR="00374000" w:rsidRDefault="00374000" w:rsidP="00374000">
      <w:pPr>
        <w:spacing w:line="360" w:lineRule="auto"/>
        <w:ind w:firstLineChars="200" w:firstLine="420"/>
      </w:pPr>
      <w:r>
        <w:rPr>
          <w:rFonts w:hint="eastAsia"/>
        </w:rPr>
        <w:t>课程组按照课程实验教学大纲要求，建立完善的课堂教学体系、实验教学体系以及课程教学实习体系。采用“教学实验、参观学习和生产实习一体化”的实践教学模式，使学生系统掌握课程理论知识，培养学生系统分析问题的能力；通过到校内外基地进行生产实习，学生将理论运用到园艺产业生产实践中，培养学生发现问题，解决问题的能力。在保证实现培养目标的前提下，突破以知识传授为中心的教学模式，探索以能力培养为主线的教学模式，采用精讲多实践、教学基地现场教学、实践中教学的理念和方法，形成大班集中讲授，小班分组实验实习的课程讲授体系，注重提高学生专业学习兴趣，全面培养学生独立获取知识的能力、观察问题、发现问题、思考问题、解决问题的能力。科学制定实践教学方案，规范设置实践教学环节，高质量开展课内实践教学和校外实习实训，实验实训课程开课率及学生覆盖率高；创新创业教育改革成效显著。</w:t>
      </w:r>
    </w:p>
    <w:p w14:paraId="16F4E33E" w14:textId="77777777" w:rsidR="00374000" w:rsidRDefault="00374000" w:rsidP="00374000">
      <w:pPr>
        <w:spacing w:line="360" w:lineRule="auto"/>
        <w:ind w:firstLineChars="200" w:firstLine="420"/>
      </w:pPr>
      <w:r>
        <w:rPr>
          <w:rFonts w:hint="eastAsia"/>
        </w:rPr>
        <w:t>2.</w:t>
      </w:r>
      <w:r>
        <w:rPr>
          <w:rFonts w:hint="eastAsia"/>
        </w:rPr>
        <w:t>课程目标及对毕业要求的支撑</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6337"/>
        <w:gridCol w:w="1561"/>
      </w:tblGrid>
      <w:tr w:rsidR="00374000" w14:paraId="624E19B0" w14:textId="77777777" w:rsidTr="00C91173">
        <w:trPr>
          <w:trHeight w:val="403"/>
          <w:jc w:val="center"/>
        </w:trPr>
        <w:tc>
          <w:tcPr>
            <w:tcW w:w="811" w:type="dxa"/>
            <w:tcBorders>
              <w:top w:val="single" w:sz="4" w:space="0" w:color="auto"/>
              <w:left w:val="single" w:sz="4" w:space="0" w:color="auto"/>
              <w:bottom w:val="single" w:sz="4" w:space="0" w:color="auto"/>
              <w:right w:val="single" w:sz="4" w:space="0" w:color="auto"/>
            </w:tcBorders>
            <w:shd w:val="clear" w:color="auto" w:fill="EEECE1"/>
            <w:vAlign w:val="center"/>
          </w:tcPr>
          <w:p w14:paraId="4BBE7CCB" w14:textId="77777777" w:rsidR="00374000" w:rsidRDefault="00374000" w:rsidP="00C91173">
            <w:pPr>
              <w:spacing w:line="360" w:lineRule="auto"/>
              <w:rPr>
                <w:b/>
                <w:bCs/>
              </w:rPr>
            </w:pPr>
            <w:r>
              <w:rPr>
                <w:rFonts w:hint="eastAsia"/>
                <w:b/>
                <w:bCs/>
              </w:rPr>
              <w:t>序号</w:t>
            </w:r>
          </w:p>
        </w:tc>
        <w:tc>
          <w:tcPr>
            <w:tcW w:w="6337" w:type="dxa"/>
            <w:tcBorders>
              <w:top w:val="single" w:sz="4" w:space="0" w:color="auto"/>
              <w:left w:val="nil"/>
              <w:bottom w:val="single" w:sz="4" w:space="0" w:color="auto"/>
              <w:right w:val="single" w:sz="4" w:space="0" w:color="auto"/>
            </w:tcBorders>
            <w:shd w:val="clear" w:color="auto" w:fill="EEECE1"/>
            <w:vAlign w:val="center"/>
          </w:tcPr>
          <w:p w14:paraId="65C64538" w14:textId="77777777" w:rsidR="00374000" w:rsidRDefault="00374000" w:rsidP="00C91173">
            <w:pPr>
              <w:spacing w:line="360" w:lineRule="auto"/>
              <w:ind w:firstLineChars="200" w:firstLine="422"/>
              <w:rPr>
                <w:b/>
                <w:bCs/>
              </w:rPr>
            </w:pPr>
            <w:r>
              <w:rPr>
                <w:rFonts w:hint="eastAsia"/>
                <w:b/>
                <w:bCs/>
              </w:rPr>
              <w:t>课程目标</w:t>
            </w:r>
          </w:p>
        </w:tc>
        <w:tc>
          <w:tcPr>
            <w:tcW w:w="1561" w:type="dxa"/>
            <w:tcBorders>
              <w:top w:val="single" w:sz="4" w:space="0" w:color="auto"/>
              <w:left w:val="nil"/>
              <w:bottom w:val="single" w:sz="4" w:space="0" w:color="auto"/>
              <w:right w:val="single" w:sz="4" w:space="0" w:color="auto"/>
            </w:tcBorders>
            <w:shd w:val="clear" w:color="auto" w:fill="EEECE1"/>
            <w:vAlign w:val="center"/>
          </w:tcPr>
          <w:p w14:paraId="025A6E82" w14:textId="77777777" w:rsidR="00374000" w:rsidRDefault="00374000" w:rsidP="00C91173">
            <w:pPr>
              <w:spacing w:line="360" w:lineRule="auto"/>
              <w:ind w:firstLineChars="200" w:firstLine="422"/>
              <w:rPr>
                <w:b/>
                <w:bCs/>
              </w:rPr>
            </w:pPr>
            <w:r>
              <w:rPr>
                <w:rFonts w:hint="eastAsia"/>
                <w:b/>
                <w:bCs/>
              </w:rPr>
              <w:t>毕业要求</w:t>
            </w:r>
          </w:p>
        </w:tc>
      </w:tr>
      <w:tr w:rsidR="00374000" w14:paraId="137A02D8" w14:textId="77777777" w:rsidTr="00C91173">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693C5213" w14:textId="77777777" w:rsidR="00374000" w:rsidRDefault="00374000" w:rsidP="00C91173">
            <w:pPr>
              <w:spacing w:line="360" w:lineRule="auto"/>
              <w:ind w:firstLineChars="200" w:firstLine="420"/>
            </w:pPr>
            <w:r>
              <w:t>1</w:t>
            </w:r>
          </w:p>
        </w:tc>
        <w:tc>
          <w:tcPr>
            <w:tcW w:w="6337" w:type="dxa"/>
            <w:tcBorders>
              <w:top w:val="single" w:sz="4" w:space="0" w:color="auto"/>
              <w:left w:val="single" w:sz="4" w:space="0" w:color="auto"/>
              <w:bottom w:val="single" w:sz="4" w:space="0" w:color="auto"/>
              <w:right w:val="single" w:sz="4" w:space="0" w:color="auto"/>
            </w:tcBorders>
            <w:vAlign w:val="center"/>
          </w:tcPr>
          <w:p w14:paraId="4A258B47" w14:textId="77777777" w:rsidR="00374000" w:rsidRDefault="00374000" w:rsidP="00C91173">
            <w:pPr>
              <w:spacing w:line="320" w:lineRule="exact"/>
              <w:jc w:val="left"/>
              <w:rPr>
                <w:sz w:val="18"/>
                <w:szCs w:val="18"/>
              </w:rPr>
            </w:pPr>
            <w:r>
              <w:rPr>
                <w:rFonts w:ascii="宋体" w:hAnsi="宋体"/>
                <w:sz w:val="18"/>
                <w:szCs w:val="18"/>
              </w:rPr>
              <w:t>目标</w:t>
            </w:r>
            <w:r>
              <w:rPr>
                <w:sz w:val="18"/>
                <w:szCs w:val="18"/>
              </w:rPr>
              <w:t>1</w:t>
            </w:r>
            <w:r>
              <w:rPr>
                <w:rFonts w:ascii="宋体" w:hAnsi="宋体"/>
                <w:sz w:val="18"/>
                <w:szCs w:val="18"/>
              </w:rPr>
              <w:t>：通过课程的学习，使学生具备</w:t>
            </w:r>
            <w:r>
              <w:rPr>
                <w:rFonts w:ascii="宋体" w:hAnsi="宋体" w:hint="eastAsia"/>
                <w:sz w:val="18"/>
                <w:szCs w:val="18"/>
              </w:rPr>
              <w:t>懂农业、爱农村、爱农民，立志服务“三农”，</w:t>
            </w:r>
            <w:r>
              <w:rPr>
                <w:rFonts w:ascii="宋体" w:hAnsi="宋体"/>
                <w:sz w:val="18"/>
                <w:szCs w:val="18"/>
              </w:rPr>
              <w:t>解决园艺生产领域实际问题的素质和能力</w:t>
            </w:r>
            <w:r>
              <w:rPr>
                <w:rFonts w:ascii="宋体" w:hAnsi="宋体" w:hint="eastAsia"/>
                <w:sz w:val="18"/>
                <w:szCs w:val="18"/>
              </w:rPr>
              <w:t>，践行可持续发展理念</w:t>
            </w:r>
            <w:r>
              <w:rPr>
                <w:rFonts w:ascii="宋体" w:hAnsi="宋体"/>
                <w:sz w:val="18"/>
                <w:szCs w:val="18"/>
              </w:rPr>
              <w:t>。</w:t>
            </w:r>
          </w:p>
        </w:tc>
        <w:tc>
          <w:tcPr>
            <w:tcW w:w="1561" w:type="dxa"/>
            <w:tcBorders>
              <w:top w:val="single" w:sz="4" w:space="0" w:color="auto"/>
              <w:left w:val="nil"/>
              <w:bottom w:val="single" w:sz="4" w:space="0" w:color="auto"/>
              <w:right w:val="single" w:sz="4" w:space="0" w:color="auto"/>
            </w:tcBorders>
            <w:vAlign w:val="center"/>
          </w:tcPr>
          <w:p w14:paraId="1D5CFD9C" w14:textId="77777777" w:rsidR="00374000" w:rsidRDefault="00374000" w:rsidP="00C91173">
            <w:pPr>
              <w:spacing w:line="320" w:lineRule="exact"/>
              <w:jc w:val="center"/>
              <w:rPr>
                <w:rFonts w:eastAsia="DengXian"/>
                <w:sz w:val="18"/>
                <w:szCs w:val="18"/>
              </w:rPr>
            </w:pPr>
            <w:r>
              <w:rPr>
                <w:rFonts w:eastAsia="DengXian"/>
                <w:sz w:val="18"/>
                <w:szCs w:val="18"/>
              </w:rPr>
              <w:t>2</w:t>
            </w:r>
          </w:p>
        </w:tc>
      </w:tr>
      <w:tr w:rsidR="00374000" w14:paraId="5B4634C3" w14:textId="77777777" w:rsidTr="00C91173">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4ACBE2A6" w14:textId="77777777" w:rsidR="00374000" w:rsidRDefault="00374000" w:rsidP="00C91173">
            <w:pPr>
              <w:spacing w:line="360" w:lineRule="auto"/>
              <w:ind w:firstLineChars="200" w:firstLine="420"/>
            </w:pPr>
            <w:r>
              <w:t>2</w:t>
            </w:r>
          </w:p>
        </w:tc>
        <w:tc>
          <w:tcPr>
            <w:tcW w:w="6337" w:type="dxa"/>
            <w:tcBorders>
              <w:top w:val="single" w:sz="4" w:space="0" w:color="auto"/>
              <w:left w:val="single" w:sz="4" w:space="0" w:color="auto"/>
              <w:bottom w:val="single" w:sz="4" w:space="0" w:color="auto"/>
              <w:right w:val="single" w:sz="4" w:space="0" w:color="auto"/>
            </w:tcBorders>
            <w:vAlign w:val="center"/>
          </w:tcPr>
          <w:p w14:paraId="0AC2CD67" w14:textId="77777777" w:rsidR="00374000" w:rsidRDefault="00374000" w:rsidP="00C91173">
            <w:pPr>
              <w:spacing w:line="320" w:lineRule="exact"/>
              <w:jc w:val="left"/>
              <w:rPr>
                <w:sz w:val="18"/>
                <w:szCs w:val="18"/>
                <w:highlight w:val="yellow"/>
              </w:rPr>
            </w:pPr>
            <w:r>
              <w:rPr>
                <w:rFonts w:ascii="宋体" w:hAnsi="宋体"/>
                <w:sz w:val="18"/>
                <w:szCs w:val="18"/>
              </w:rPr>
              <w:t>目标</w:t>
            </w:r>
            <w:r>
              <w:rPr>
                <w:sz w:val="18"/>
                <w:szCs w:val="18"/>
              </w:rPr>
              <w:t>2</w:t>
            </w:r>
            <w:r>
              <w:rPr>
                <w:rFonts w:ascii="宋体" w:hAnsi="宋体"/>
                <w:sz w:val="18"/>
                <w:szCs w:val="18"/>
              </w:rPr>
              <w:t>：通过课程学习，使学生</w:t>
            </w:r>
            <w:r>
              <w:rPr>
                <w:rFonts w:ascii="宋体" w:hAnsi="宋体" w:hint="eastAsia"/>
                <w:sz w:val="18"/>
                <w:szCs w:val="18"/>
              </w:rPr>
              <w:t>掌握设施栽培管理、设施环境调控等理论知识和基本技能，具备利用所学知识进行创新创业能力。</w:t>
            </w:r>
          </w:p>
        </w:tc>
        <w:tc>
          <w:tcPr>
            <w:tcW w:w="1561" w:type="dxa"/>
            <w:tcBorders>
              <w:top w:val="single" w:sz="4" w:space="0" w:color="auto"/>
              <w:left w:val="nil"/>
              <w:bottom w:val="single" w:sz="4" w:space="0" w:color="auto"/>
              <w:right w:val="single" w:sz="4" w:space="0" w:color="auto"/>
            </w:tcBorders>
            <w:vAlign w:val="center"/>
          </w:tcPr>
          <w:p w14:paraId="6E4EACC0" w14:textId="77777777" w:rsidR="00374000" w:rsidRDefault="00374000" w:rsidP="00C91173">
            <w:pPr>
              <w:spacing w:line="320" w:lineRule="exact"/>
              <w:jc w:val="center"/>
              <w:rPr>
                <w:rFonts w:eastAsia="DengXian"/>
                <w:sz w:val="18"/>
                <w:szCs w:val="18"/>
              </w:rPr>
            </w:pPr>
            <w:r>
              <w:rPr>
                <w:rFonts w:eastAsia="DengXian"/>
                <w:sz w:val="18"/>
                <w:szCs w:val="18"/>
              </w:rPr>
              <w:t>5</w:t>
            </w:r>
          </w:p>
        </w:tc>
      </w:tr>
      <w:tr w:rsidR="00374000" w14:paraId="76719228" w14:textId="77777777" w:rsidTr="00C91173">
        <w:trPr>
          <w:trHeight w:val="963"/>
          <w:jc w:val="center"/>
        </w:trPr>
        <w:tc>
          <w:tcPr>
            <w:tcW w:w="811" w:type="dxa"/>
            <w:tcBorders>
              <w:top w:val="single" w:sz="4" w:space="0" w:color="auto"/>
              <w:left w:val="single" w:sz="4" w:space="0" w:color="auto"/>
              <w:bottom w:val="single" w:sz="4" w:space="0" w:color="auto"/>
              <w:right w:val="single" w:sz="4" w:space="0" w:color="auto"/>
            </w:tcBorders>
            <w:vAlign w:val="center"/>
          </w:tcPr>
          <w:p w14:paraId="2F631626" w14:textId="77777777" w:rsidR="00374000" w:rsidRDefault="00374000" w:rsidP="00C91173">
            <w:pPr>
              <w:spacing w:line="360" w:lineRule="auto"/>
              <w:ind w:firstLineChars="200" w:firstLine="420"/>
            </w:pPr>
            <w:r>
              <w:t>3</w:t>
            </w:r>
          </w:p>
        </w:tc>
        <w:tc>
          <w:tcPr>
            <w:tcW w:w="6337" w:type="dxa"/>
            <w:tcBorders>
              <w:top w:val="single" w:sz="4" w:space="0" w:color="auto"/>
              <w:left w:val="single" w:sz="4" w:space="0" w:color="auto"/>
              <w:bottom w:val="single" w:sz="4" w:space="0" w:color="auto"/>
              <w:right w:val="single" w:sz="4" w:space="0" w:color="auto"/>
            </w:tcBorders>
            <w:vAlign w:val="center"/>
          </w:tcPr>
          <w:p w14:paraId="07558C92" w14:textId="77777777" w:rsidR="00374000" w:rsidRDefault="00374000" w:rsidP="00C91173">
            <w:pPr>
              <w:spacing w:line="320" w:lineRule="exact"/>
              <w:jc w:val="left"/>
              <w:rPr>
                <w:sz w:val="18"/>
                <w:szCs w:val="18"/>
              </w:rPr>
            </w:pPr>
            <w:r>
              <w:rPr>
                <w:rFonts w:ascii="宋体" w:hAnsi="宋体"/>
                <w:sz w:val="18"/>
                <w:szCs w:val="18"/>
              </w:rPr>
              <w:t>目标</w:t>
            </w:r>
            <w:r>
              <w:rPr>
                <w:sz w:val="18"/>
                <w:szCs w:val="18"/>
              </w:rPr>
              <w:t>3</w:t>
            </w:r>
            <w:r>
              <w:rPr>
                <w:rFonts w:ascii="宋体" w:hAnsi="宋体"/>
                <w:sz w:val="18"/>
                <w:szCs w:val="18"/>
              </w:rPr>
              <w:t>：通过课程</w:t>
            </w:r>
            <w:r>
              <w:rPr>
                <w:rFonts w:ascii="宋体" w:hAnsi="宋体" w:hint="eastAsia"/>
                <w:sz w:val="18"/>
                <w:szCs w:val="18"/>
              </w:rPr>
              <w:t>学习</w:t>
            </w:r>
            <w:r>
              <w:rPr>
                <w:rFonts w:ascii="宋体" w:hAnsi="宋体"/>
                <w:sz w:val="18"/>
                <w:szCs w:val="18"/>
              </w:rPr>
              <w:t>，使学生</w:t>
            </w:r>
            <w:r>
              <w:rPr>
                <w:rFonts w:ascii="宋体" w:hAnsi="宋体" w:hint="eastAsia"/>
                <w:sz w:val="18"/>
                <w:szCs w:val="18"/>
              </w:rPr>
              <w:t>具备较强的沟通表达和协调能力；具有较强的团队合作精神。</w:t>
            </w:r>
          </w:p>
        </w:tc>
        <w:tc>
          <w:tcPr>
            <w:tcW w:w="1561" w:type="dxa"/>
            <w:tcBorders>
              <w:top w:val="single" w:sz="4" w:space="0" w:color="auto"/>
              <w:left w:val="nil"/>
              <w:bottom w:val="single" w:sz="4" w:space="0" w:color="auto"/>
              <w:right w:val="single" w:sz="4" w:space="0" w:color="auto"/>
            </w:tcBorders>
            <w:vAlign w:val="center"/>
          </w:tcPr>
          <w:p w14:paraId="77FE6B91" w14:textId="77777777" w:rsidR="00374000" w:rsidRDefault="00374000" w:rsidP="00C91173">
            <w:pPr>
              <w:spacing w:line="320" w:lineRule="exact"/>
              <w:jc w:val="center"/>
              <w:rPr>
                <w:rFonts w:eastAsia="DengXian"/>
                <w:sz w:val="18"/>
                <w:szCs w:val="18"/>
              </w:rPr>
            </w:pPr>
            <w:r>
              <w:rPr>
                <w:rFonts w:eastAsia="DengXian"/>
                <w:sz w:val="18"/>
                <w:szCs w:val="18"/>
              </w:rPr>
              <w:t>6</w:t>
            </w:r>
          </w:p>
        </w:tc>
      </w:tr>
    </w:tbl>
    <w:p w14:paraId="7E010BBA" w14:textId="77777777" w:rsidR="00374000" w:rsidRDefault="00374000" w:rsidP="00374000">
      <w:pPr>
        <w:spacing w:line="360" w:lineRule="auto"/>
        <w:ind w:firstLineChars="200" w:firstLine="420"/>
      </w:pPr>
    </w:p>
    <w:p w14:paraId="092BE0E0" w14:textId="77777777" w:rsidR="00374000" w:rsidRDefault="00374000" w:rsidP="00374000">
      <w:pPr>
        <w:spacing w:line="360" w:lineRule="auto"/>
      </w:pPr>
      <w:r>
        <w:rPr>
          <w:rFonts w:hint="eastAsia"/>
          <w:b/>
          <w:bCs/>
        </w:rPr>
        <w:t>四</w:t>
      </w:r>
      <w:r>
        <w:rPr>
          <w:b/>
          <w:bCs/>
        </w:rPr>
        <w:t>、理论教学内容及学时分配（</w:t>
      </w:r>
      <w:r>
        <w:rPr>
          <w:b/>
          <w:bCs/>
        </w:rPr>
        <w:t>20</w:t>
      </w:r>
      <w:r>
        <w:rPr>
          <w:b/>
          <w:bCs/>
        </w:rPr>
        <w:t>学时）</w:t>
      </w:r>
      <w:r>
        <w:t></w:t>
      </w:r>
    </w:p>
    <w:p w14:paraId="735EA00D" w14:textId="77777777" w:rsidR="00374000" w:rsidRDefault="00374000" w:rsidP="00374000">
      <w:pPr>
        <w:spacing w:beforeLines="50" w:before="156" w:afterLines="50" w:after="156" w:line="360" w:lineRule="auto"/>
        <w:ind w:firstLineChars="1500" w:firstLine="3162"/>
        <w:jc w:val="right"/>
        <w:rPr>
          <w:b/>
          <w:bCs/>
        </w:rPr>
      </w:pPr>
      <w:r>
        <w:rPr>
          <w:b/>
          <w:bCs/>
        </w:rPr>
        <w:t>第一章</w:t>
      </w:r>
      <w:r>
        <w:rPr>
          <w:rFonts w:hint="eastAsia"/>
          <w:b/>
          <w:bCs/>
        </w:rPr>
        <w:t xml:space="preserve">  </w:t>
      </w:r>
      <w:r>
        <w:rPr>
          <w:b/>
          <w:bCs/>
        </w:rPr>
        <w:t>绪</w:t>
      </w:r>
      <w:r>
        <w:rPr>
          <w:b/>
          <w:bCs/>
        </w:rPr>
        <w:t xml:space="preserve">  </w:t>
      </w:r>
      <w:r>
        <w:rPr>
          <w:b/>
          <w:bCs/>
        </w:rPr>
        <w:t>论</w:t>
      </w:r>
      <w:r>
        <w:rPr>
          <w:rFonts w:hint="eastAsia"/>
          <w:b/>
          <w:bCs/>
        </w:rPr>
        <w:t xml:space="preserve"> </w:t>
      </w:r>
      <w:r>
        <w:rPr>
          <w:b/>
          <w:bCs/>
        </w:rPr>
        <w:t xml:space="preserve">                          </w:t>
      </w:r>
      <w:r>
        <w:rPr>
          <w:b/>
          <w:bCs/>
        </w:rPr>
        <w:t>学时数</w:t>
      </w:r>
      <w:r>
        <w:rPr>
          <w:rFonts w:hint="eastAsia"/>
          <w:b/>
          <w:bCs/>
        </w:rPr>
        <w:t>：</w:t>
      </w:r>
      <w:r>
        <w:rPr>
          <w:rFonts w:hint="eastAsia"/>
          <w:b/>
          <w:bCs/>
        </w:rPr>
        <w:t>2</w:t>
      </w:r>
    </w:p>
    <w:p w14:paraId="102F1926" w14:textId="77777777" w:rsidR="00374000" w:rsidRDefault="00374000" w:rsidP="00374000">
      <w:pPr>
        <w:spacing w:line="360" w:lineRule="auto"/>
      </w:pPr>
      <w:r>
        <w:rPr>
          <w:b/>
          <w:bCs/>
        </w:rPr>
        <w:lastRenderedPageBreak/>
        <w:t>教学</w:t>
      </w:r>
      <w:r>
        <w:rPr>
          <w:rFonts w:hint="eastAsia"/>
          <w:b/>
          <w:bCs/>
        </w:rPr>
        <w:t>目标</w:t>
      </w:r>
      <w:r>
        <w:t>：了解设施园艺学包含的内容与发展过程</w:t>
      </w:r>
      <w:r>
        <w:rPr>
          <w:rFonts w:hint="eastAsia"/>
        </w:rPr>
        <w:t>。</w:t>
      </w:r>
    </w:p>
    <w:p w14:paraId="79E4752F" w14:textId="77777777" w:rsidR="00374000" w:rsidRDefault="00374000" w:rsidP="00374000">
      <w:pPr>
        <w:spacing w:line="360" w:lineRule="auto"/>
        <w:rPr>
          <w:b/>
          <w:bCs/>
        </w:rPr>
      </w:pPr>
      <w:r>
        <w:rPr>
          <w:rFonts w:hint="eastAsia"/>
          <w:b/>
          <w:bCs/>
        </w:rPr>
        <w:t>教学重点和难点</w:t>
      </w:r>
      <w:r>
        <w:rPr>
          <w:rFonts w:hint="eastAsia"/>
        </w:rPr>
        <w:t>：</w:t>
      </w:r>
      <w:r>
        <w:t>设施园艺的概念和发展趋势</w:t>
      </w:r>
      <w:r>
        <w:rPr>
          <w:rFonts w:hint="eastAsia"/>
        </w:rPr>
        <w:t>。</w:t>
      </w:r>
    </w:p>
    <w:p w14:paraId="4C70769F" w14:textId="77777777" w:rsidR="00374000" w:rsidRDefault="00374000" w:rsidP="00374000">
      <w:pPr>
        <w:spacing w:line="360" w:lineRule="auto"/>
      </w:pPr>
      <w:r>
        <w:rPr>
          <w:rFonts w:hint="eastAsia"/>
          <w:b/>
          <w:bCs/>
        </w:rPr>
        <w:t>主要教学内容及要求</w:t>
      </w:r>
      <w:r>
        <w:rPr>
          <w:rFonts w:hint="eastAsia"/>
        </w:rPr>
        <w:t>：了解</w:t>
      </w:r>
      <w:r>
        <w:t>设施园艺及其在农业中的地位，设施园艺的历史、现状与将来，中国设施园艺的发展前景</w:t>
      </w:r>
      <w:r>
        <w:rPr>
          <w:rFonts w:hint="eastAsia"/>
        </w:rPr>
        <w:t>；掌握</w:t>
      </w:r>
      <w:r>
        <w:t>设施园艺的经营特点</w:t>
      </w:r>
      <w:r>
        <w:rPr>
          <w:rFonts w:hint="eastAsia"/>
        </w:rPr>
        <w:t>；熟练</w:t>
      </w:r>
      <w:r>
        <w:t>掌握设施园艺学的概念等。</w:t>
      </w:r>
    </w:p>
    <w:p w14:paraId="118396FE" w14:textId="77777777" w:rsidR="00374000" w:rsidRDefault="00374000" w:rsidP="00374000">
      <w:pPr>
        <w:spacing w:line="360" w:lineRule="auto"/>
      </w:pPr>
      <w:r>
        <w:t>第一节</w:t>
      </w:r>
      <w:r>
        <w:t xml:space="preserve">  </w:t>
      </w:r>
      <w:r>
        <w:t>设施园艺及其在农业中的地位</w:t>
      </w:r>
    </w:p>
    <w:p w14:paraId="004450F7" w14:textId="77777777" w:rsidR="00374000" w:rsidRDefault="00374000" w:rsidP="00374000">
      <w:pPr>
        <w:spacing w:line="360" w:lineRule="auto"/>
        <w:ind w:firstLineChars="200" w:firstLine="420"/>
      </w:pPr>
      <w:r>
        <w:t>一、设施园艺业概况</w:t>
      </w:r>
    </w:p>
    <w:p w14:paraId="57E2BA2B" w14:textId="77777777" w:rsidR="00374000" w:rsidRDefault="00374000" w:rsidP="00374000">
      <w:pPr>
        <w:spacing w:line="360" w:lineRule="auto"/>
        <w:ind w:firstLineChars="200" w:firstLine="420"/>
      </w:pPr>
      <w:r>
        <w:t>二、设施园艺业在农业中的地位</w:t>
      </w:r>
    </w:p>
    <w:p w14:paraId="300CE46E" w14:textId="77777777" w:rsidR="00374000" w:rsidRDefault="00374000" w:rsidP="00374000">
      <w:pPr>
        <w:spacing w:line="360" w:lineRule="auto"/>
      </w:pPr>
      <w:r>
        <w:t>第二节</w:t>
      </w:r>
      <w:r>
        <w:t xml:space="preserve">  </w:t>
      </w:r>
      <w:r>
        <w:t>国内外设施园艺的发展简史</w:t>
      </w:r>
    </w:p>
    <w:p w14:paraId="79A42BE5" w14:textId="77777777" w:rsidR="00374000" w:rsidRDefault="00374000" w:rsidP="00374000">
      <w:pPr>
        <w:spacing w:line="360" w:lineRule="auto"/>
        <w:ind w:firstLineChars="200" w:firstLine="420"/>
      </w:pPr>
      <w:r>
        <w:t>一、中国设施园艺的发展简史与现状</w:t>
      </w:r>
    </w:p>
    <w:p w14:paraId="2A34EB86" w14:textId="77777777" w:rsidR="00374000" w:rsidRDefault="00374000" w:rsidP="00374000">
      <w:pPr>
        <w:spacing w:line="360" w:lineRule="auto"/>
        <w:ind w:firstLineChars="200" w:firstLine="420"/>
      </w:pPr>
      <w:r>
        <w:t>二、国外设施园艺的发展简史与现状</w:t>
      </w:r>
    </w:p>
    <w:p w14:paraId="4B3C4CEB" w14:textId="77777777" w:rsidR="00374000" w:rsidRDefault="00374000" w:rsidP="00374000">
      <w:pPr>
        <w:spacing w:line="360" w:lineRule="auto"/>
        <w:ind w:firstLineChars="200" w:firstLine="420"/>
      </w:pPr>
      <w:r>
        <w:t>三、中国设施园艺的发展前景</w:t>
      </w:r>
    </w:p>
    <w:p w14:paraId="635FBA05" w14:textId="77777777" w:rsidR="00374000" w:rsidRDefault="00374000" w:rsidP="00374000">
      <w:pPr>
        <w:rPr>
          <w:szCs w:val="21"/>
        </w:rPr>
      </w:pPr>
      <w:r>
        <w:rPr>
          <w:rFonts w:ascii="宋体" w:hAnsi="宋体" w:hint="eastAsia"/>
          <w:b/>
          <w:bCs/>
          <w:szCs w:val="21"/>
        </w:rPr>
        <w:t>教学组织与实施：</w:t>
      </w:r>
    </w:p>
    <w:p w14:paraId="6A704C2C" w14:textId="77777777" w:rsidR="00374000" w:rsidRDefault="00374000" w:rsidP="00374000">
      <w:pPr>
        <w:spacing w:line="360" w:lineRule="auto"/>
        <w:ind w:firstLineChars="200" w:firstLine="420"/>
      </w:pPr>
      <w:r>
        <w:rPr>
          <w:rFonts w:hint="eastAsia"/>
        </w:rPr>
        <w:t>以案例分析、</w:t>
      </w:r>
      <w:r>
        <w:t>数据图例分析</w:t>
      </w:r>
      <w:r>
        <w:rPr>
          <w:rFonts w:hint="eastAsia"/>
        </w:rPr>
        <w:t>法为主；采用图文并茂并</w:t>
      </w:r>
      <w:r>
        <w:t>结合教学视频</w:t>
      </w:r>
      <w:r>
        <w:rPr>
          <w:rFonts w:hint="eastAsia"/>
        </w:rPr>
        <w:t>的方式展示设施园艺</w:t>
      </w:r>
      <w:r>
        <w:t>的发展历史及研究进展</w:t>
      </w:r>
      <w:r>
        <w:rPr>
          <w:rFonts w:hint="eastAsia"/>
        </w:rPr>
        <w:t>；综合考虑学生前期</w:t>
      </w:r>
      <w:r>
        <w:t>的</w:t>
      </w:r>
      <w:r>
        <w:rPr>
          <w:rFonts w:hint="eastAsia"/>
        </w:rPr>
        <w:t>学习基础</w:t>
      </w:r>
      <w:r>
        <w:t>，</w:t>
      </w:r>
      <w:r>
        <w:rPr>
          <w:rFonts w:hint="eastAsia"/>
        </w:rPr>
        <w:t>分析设施</w:t>
      </w:r>
      <w:r>
        <w:t>园艺的发展前景和经营特点</w:t>
      </w:r>
      <w:r>
        <w:rPr>
          <w:rFonts w:hint="eastAsia"/>
        </w:rPr>
        <w:t>；同时注重通过学生亲眼观察、亲身的体会，后期课程</w:t>
      </w:r>
      <w:r>
        <w:t>实习过程中</w:t>
      </w:r>
      <w:r>
        <w:rPr>
          <w:rFonts w:hint="eastAsia"/>
        </w:rPr>
        <w:t>安排学生进行基地调研。</w:t>
      </w:r>
    </w:p>
    <w:p w14:paraId="71272593" w14:textId="77777777" w:rsidR="00374000" w:rsidRDefault="00374000" w:rsidP="00374000">
      <w:pPr>
        <w:spacing w:beforeLines="50" w:before="156" w:afterLines="50" w:after="156" w:line="360" w:lineRule="auto"/>
        <w:ind w:firstLineChars="1500" w:firstLine="3162"/>
        <w:jc w:val="right"/>
        <w:rPr>
          <w:b/>
          <w:bCs/>
        </w:rPr>
      </w:pPr>
      <w:r>
        <w:rPr>
          <w:b/>
          <w:bCs/>
        </w:rPr>
        <w:t>第二章</w:t>
      </w:r>
      <w:r>
        <w:rPr>
          <w:b/>
          <w:bCs/>
        </w:rPr>
        <w:t xml:space="preserve">  </w:t>
      </w:r>
      <w:r>
        <w:rPr>
          <w:b/>
          <w:bCs/>
        </w:rPr>
        <w:t>设施的类型、结构和性能</w:t>
      </w:r>
      <w:r>
        <w:rPr>
          <w:rFonts w:hint="eastAsia"/>
          <w:b/>
          <w:bCs/>
        </w:rPr>
        <w:t xml:space="preserve">          </w:t>
      </w:r>
      <w:r>
        <w:rPr>
          <w:b/>
          <w:bCs/>
        </w:rPr>
        <w:t>学时数</w:t>
      </w:r>
      <w:r>
        <w:rPr>
          <w:rFonts w:hint="eastAsia"/>
          <w:b/>
          <w:bCs/>
        </w:rPr>
        <w:t>：</w:t>
      </w:r>
      <w:r>
        <w:rPr>
          <w:rFonts w:hint="eastAsia"/>
          <w:b/>
          <w:bCs/>
        </w:rPr>
        <w:t>10</w:t>
      </w:r>
    </w:p>
    <w:p w14:paraId="05D96055" w14:textId="77777777" w:rsidR="00374000" w:rsidRDefault="00374000" w:rsidP="00374000">
      <w:pPr>
        <w:spacing w:line="360" w:lineRule="auto"/>
      </w:pPr>
      <w:r>
        <w:rPr>
          <w:b/>
          <w:bCs/>
        </w:rPr>
        <w:t>教学</w:t>
      </w:r>
      <w:r>
        <w:rPr>
          <w:rFonts w:hint="eastAsia"/>
          <w:b/>
          <w:bCs/>
        </w:rPr>
        <w:t>目标</w:t>
      </w:r>
      <w:r>
        <w:t>：本课程的重点章节，掌握各种保护设施的结构，性能和应用范围。</w:t>
      </w:r>
    </w:p>
    <w:p w14:paraId="7F514DF4" w14:textId="77777777" w:rsidR="00374000" w:rsidRDefault="00374000" w:rsidP="00374000">
      <w:pPr>
        <w:spacing w:line="360" w:lineRule="auto"/>
      </w:pPr>
      <w:r>
        <w:rPr>
          <w:b/>
          <w:bCs/>
        </w:rPr>
        <w:t>教学重点和难点</w:t>
      </w:r>
      <w:r>
        <w:t>：各种保护设施的基本组成，各个部位的连接，环境条件的产生和影响，</w:t>
      </w:r>
      <w:r>
        <w:rPr>
          <w:rFonts w:hint="eastAsia"/>
        </w:rPr>
        <w:t>设施</w:t>
      </w:r>
      <w:r>
        <w:t>的</w:t>
      </w:r>
      <w:r>
        <w:rPr>
          <w:rFonts w:hint="eastAsia"/>
        </w:rPr>
        <w:t>应用范围。</w:t>
      </w:r>
    </w:p>
    <w:p w14:paraId="6D2888DE" w14:textId="77777777" w:rsidR="00374000" w:rsidRDefault="00374000" w:rsidP="00374000">
      <w:pPr>
        <w:spacing w:line="360" w:lineRule="auto"/>
      </w:pPr>
      <w:r>
        <w:rPr>
          <w:b/>
          <w:bCs/>
        </w:rPr>
        <w:t>主要教学内容及要求</w:t>
      </w:r>
      <w:r>
        <w:t>：</w:t>
      </w:r>
      <w:r>
        <w:rPr>
          <w:rFonts w:hint="eastAsia"/>
        </w:rPr>
        <w:t>了解</w:t>
      </w:r>
      <w:r>
        <w:t>简易保护设施的类型，结构；</w:t>
      </w:r>
      <w:r>
        <w:rPr>
          <w:rFonts w:hint="eastAsia"/>
        </w:rPr>
        <w:t>理解</w:t>
      </w:r>
      <w:r>
        <w:t>不同结构类型之间的</w:t>
      </w:r>
      <w:r>
        <w:rPr>
          <w:rFonts w:hint="eastAsia"/>
        </w:rPr>
        <w:t>差异；熟练掌握</w:t>
      </w:r>
      <w:r>
        <w:t>日光温室</w:t>
      </w:r>
      <w:r>
        <w:rPr>
          <w:rFonts w:hint="eastAsia"/>
        </w:rPr>
        <w:t>、</w:t>
      </w:r>
      <w:r>
        <w:t>现代温室</w:t>
      </w:r>
      <w:r>
        <w:rPr>
          <w:rFonts w:hint="eastAsia"/>
        </w:rPr>
        <w:t>和</w:t>
      </w:r>
      <w:r>
        <w:t>塑料拱棚</w:t>
      </w:r>
      <w:r>
        <w:rPr>
          <w:rFonts w:hint="eastAsia"/>
        </w:rPr>
        <w:t>的类型、</w:t>
      </w:r>
      <w:r>
        <w:t>结构和性能</w:t>
      </w:r>
      <w:r>
        <w:rPr>
          <w:rFonts w:hint="eastAsia"/>
        </w:rPr>
        <w:t>。</w:t>
      </w:r>
    </w:p>
    <w:p w14:paraId="471796F9" w14:textId="77777777" w:rsidR="00374000" w:rsidRDefault="00374000" w:rsidP="00374000">
      <w:pPr>
        <w:spacing w:line="360" w:lineRule="auto"/>
      </w:pPr>
      <w:r>
        <w:t>第一节</w:t>
      </w:r>
      <w:r>
        <w:t xml:space="preserve">  </w:t>
      </w:r>
      <w:r>
        <w:t>简易保护设施</w:t>
      </w:r>
    </w:p>
    <w:p w14:paraId="6F079EB4" w14:textId="77777777" w:rsidR="00374000" w:rsidRDefault="00374000" w:rsidP="00374000">
      <w:pPr>
        <w:spacing w:line="360" w:lineRule="auto"/>
        <w:ind w:firstLineChars="200" w:firstLine="420"/>
      </w:pPr>
      <w:r>
        <w:t>了解简易园艺设施的结构、构成和性能，各种设施的用途</w:t>
      </w:r>
      <w:r>
        <w:rPr>
          <w:rFonts w:hint="eastAsia"/>
        </w:rPr>
        <w:t>。</w:t>
      </w:r>
    </w:p>
    <w:p w14:paraId="12604DD7" w14:textId="77777777" w:rsidR="00374000" w:rsidRDefault="00374000" w:rsidP="00374000">
      <w:pPr>
        <w:spacing w:line="360" w:lineRule="auto"/>
        <w:ind w:firstLineChars="200" w:firstLine="420"/>
      </w:pPr>
      <w:r>
        <w:t>理解各种简易设施的温度变化原理</w:t>
      </w:r>
      <w:r>
        <w:rPr>
          <w:rFonts w:hint="eastAsia"/>
        </w:rPr>
        <w:t>。</w:t>
      </w:r>
    </w:p>
    <w:p w14:paraId="1396DAB2" w14:textId="77777777" w:rsidR="00374000" w:rsidRDefault="00374000" w:rsidP="00374000">
      <w:pPr>
        <w:spacing w:line="360" w:lineRule="auto"/>
        <w:ind w:firstLineChars="200" w:firstLine="420"/>
      </w:pPr>
      <w:r>
        <w:t>掌握园艺设施的构造，能够自行建造简易园艺设施</w:t>
      </w:r>
      <w:r>
        <w:rPr>
          <w:rFonts w:hint="eastAsia"/>
        </w:rPr>
        <w:t>。</w:t>
      </w:r>
    </w:p>
    <w:p w14:paraId="1D508AE0" w14:textId="77777777" w:rsidR="00374000" w:rsidRDefault="00374000" w:rsidP="00374000">
      <w:pPr>
        <w:spacing w:line="360" w:lineRule="auto"/>
        <w:ind w:firstLineChars="200" w:firstLine="420"/>
      </w:pPr>
      <w:r>
        <w:t>熟练掌握简易园艺设施的建造步骤和温度变化情况和产生原因。</w:t>
      </w:r>
    </w:p>
    <w:p w14:paraId="35EC6D4C" w14:textId="77777777" w:rsidR="00374000" w:rsidRDefault="00374000" w:rsidP="00374000">
      <w:pPr>
        <w:spacing w:line="360" w:lineRule="auto"/>
        <w:ind w:firstLineChars="200" w:firstLine="420"/>
      </w:pPr>
      <w:r>
        <w:t>一、风障和风障畦</w:t>
      </w:r>
    </w:p>
    <w:p w14:paraId="4A29BFBF" w14:textId="77777777" w:rsidR="00374000" w:rsidRDefault="00374000" w:rsidP="00374000">
      <w:pPr>
        <w:spacing w:line="360" w:lineRule="auto"/>
        <w:ind w:firstLineChars="200" w:firstLine="420"/>
      </w:pPr>
      <w:r>
        <w:t>二、阳畦</w:t>
      </w:r>
    </w:p>
    <w:p w14:paraId="3EADD2A3" w14:textId="77777777" w:rsidR="00374000" w:rsidRDefault="00374000" w:rsidP="00374000">
      <w:pPr>
        <w:spacing w:line="360" w:lineRule="auto"/>
        <w:ind w:firstLineChars="200" w:firstLine="420"/>
      </w:pPr>
      <w:r>
        <w:t>三、电热温床</w:t>
      </w:r>
    </w:p>
    <w:p w14:paraId="2D767F4C" w14:textId="77777777" w:rsidR="00374000" w:rsidRDefault="00374000" w:rsidP="00374000">
      <w:pPr>
        <w:spacing w:line="360" w:lineRule="auto"/>
        <w:ind w:firstLineChars="200" w:firstLine="420"/>
      </w:pPr>
      <w:r>
        <w:lastRenderedPageBreak/>
        <w:t>四、简易覆盖</w:t>
      </w:r>
    </w:p>
    <w:p w14:paraId="35FE5669" w14:textId="77777777" w:rsidR="00374000" w:rsidRDefault="00374000" w:rsidP="00374000">
      <w:pPr>
        <w:spacing w:line="360" w:lineRule="auto"/>
      </w:pPr>
      <w:r>
        <w:t>第二节</w:t>
      </w:r>
      <w:r>
        <w:t xml:space="preserve">  </w:t>
      </w:r>
      <w:r>
        <w:t>塑料薄膜拱棚</w:t>
      </w:r>
    </w:p>
    <w:p w14:paraId="7945BEC7" w14:textId="77777777" w:rsidR="00374000" w:rsidRDefault="00374000" w:rsidP="00374000">
      <w:pPr>
        <w:spacing w:line="360" w:lineRule="auto"/>
        <w:ind w:firstLineChars="200" w:firstLine="420"/>
      </w:pPr>
      <w:r>
        <w:t>了解塑料薄膜拱棚的结构、构成和性能，各种设施的用途</w:t>
      </w:r>
      <w:r>
        <w:rPr>
          <w:rFonts w:hint="eastAsia"/>
        </w:rPr>
        <w:t>。</w:t>
      </w:r>
    </w:p>
    <w:p w14:paraId="03B4C0D2" w14:textId="77777777" w:rsidR="00374000" w:rsidRDefault="00374000" w:rsidP="00374000">
      <w:pPr>
        <w:spacing w:line="360" w:lineRule="auto"/>
        <w:ind w:firstLineChars="200" w:firstLine="420"/>
      </w:pPr>
      <w:r>
        <w:t>理解塑料薄膜拱棚的温度变化原理</w:t>
      </w:r>
      <w:r>
        <w:rPr>
          <w:rFonts w:hint="eastAsia"/>
        </w:rPr>
        <w:t>。</w:t>
      </w:r>
    </w:p>
    <w:p w14:paraId="4855FAC0" w14:textId="77777777" w:rsidR="00374000" w:rsidRDefault="00374000" w:rsidP="00374000">
      <w:pPr>
        <w:spacing w:line="360" w:lineRule="auto"/>
        <w:ind w:firstLineChars="200" w:firstLine="420"/>
      </w:pPr>
      <w:r>
        <w:t>掌握塑料薄膜拱棚的构造，能够自行建造竹木结构塑料薄膜拱棚，塑料拱棚蔬菜果树花卉的应用状况。</w:t>
      </w:r>
    </w:p>
    <w:p w14:paraId="25817603" w14:textId="77777777" w:rsidR="00374000" w:rsidRDefault="00374000" w:rsidP="00374000">
      <w:pPr>
        <w:spacing w:line="360" w:lineRule="auto"/>
        <w:ind w:firstLineChars="200" w:firstLine="420"/>
      </w:pPr>
      <w:r>
        <w:t>熟练掌握塑料薄膜拱棚的建造步骤和温度光照变化情况和产生原因。</w:t>
      </w:r>
    </w:p>
    <w:p w14:paraId="729917E5" w14:textId="77777777" w:rsidR="00374000" w:rsidRDefault="00374000" w:rsidP="00374000">
      <w:pPr>
        <w:spacing w:line="360" w:lineRule="auto"/>
        <w:ind w:firstLineChars="200" w:firstLine="420"/>
      </w:pPr>
      <w:r>
        <w:t>一、中、小拱棚</w:t>
      </w:r>
    </w:p>
    <w:p w14:paraId="76369EFB" w14:textId="77777777" w:rsidR="00374000" w:rsidRDefault="00374000" w:rsidP="00374000">
      <w:pPr>
        <w:spacing w:line="360" w:lineRule="auto"/>
        <w:ind w:firstLineChars="200" w:firstLine="420"/>
      </w:pPr>
      <w:r>
        <w:t>二、塑料大棚</w:t>
      </w:r>
      <w:r>
        <w:t xml:space="preserve">  </w:t>
      </w:r>
    </w:p>
    <w:p w14:paraId="287DE784" w14:textId="77777777" w:rsidR="00374000" w:rsidRDefault="00374000" w:rsidP="00374000">
      <w:pPr>
        <w:spacing w:line="360" w:lineRule="auto"/>
      </w:pPr>
      <w:r>
        <w:t>第三节</w:t>
      </w:r>
      <w:r>
        <w:t xml:space="preserve">  </w:t>
      </w:r>
      <w:r>
        <w:t>日光温室</w:t>
      </w:r>
    </w:p>
    <w:p w14:paraId="01276ED3" w14:textId="77777777" w:rsidR="00374000" w:rsidRDefault="00374000" w:rsidP="00374000">
      <w:pPr>
        <w:spacing w:line="360" w:lineRule="auto"/>
        <w:ind w:firstLineChars="200" w:firstLine="420"/>
      </w:pPr>
      <w:r>
        <w:t>了解日光温室的结构、构成和性能和用途</w:t>
      </w:r>
    </w:p>
    <w:p w14:paraId="60D34D26" w14:textId="77777777" w:rsidR="00374000" w:rsidRDefault="00374000" w:rsidP="00374000">
      <w:pPr>
        <w:spacing w:line="360" w:lineRule="auto"/>
        <w:ind w:firstLineChars="200" w:firstLine="420"/>
      </w:pPr>
      <w:r>
        <w:t>理解日光温室的采光和保温原理</w:t>
      </w:r>
    </w:p>
    <w:p w14:paraId="25438300" w14:textId="77777777" w:rsidR="00374000" w:rsidRDefault="00374000" w:rsidP="00374000">
      <w:pPr>
        <w:spacing w:line="360" w:lineRule="auto"/>
        <w:ind w:firstLineChars="200" w:firstLine="420"/>
      </w:pPr>
      <w:r>
        <w:t>掌握日光温室的采光和保温原理，日光温室内温度、光照的季节性变化，各种园艺作物的茬次安排等。</w:t>
      </w:r>
    </w:p>
    <w:p w14:paraId="2A054DED" w14:textId="77777777" w:rsidR="00374000" w:rsidRDefault="00374000" w:rsidP="00374000">
      <w:pPr>
        <w:spacing w:line="360" w:lineRule="auto"/>
        <w:ind w:firstLineChars="200" w:firstLine="420"/>
      </w:pPr>
      <w:r>
        <w:t>熟练掌握日光温室的合理参数、各部结构和建造步骤以及设施蔬菜的栽培利用状况。</w:t>
      </w:r>
    </w:p>
    <w:p w14:paraId="288B360B" w14:textId="77777777" w:rsidR="00374000" w:rsidRDefault="00374000" w:rsidP="00374000">
      <w:pPr>
        <w:spacing w:line="360" w:lineRule="auto"/>
        <w:ind w:firstLineChars="200" w:firstLine="420"/>
      </w:pPr>
      <w:r>
        <w:t>一、日光温室的主要类型</w:t>
      </w:r>
    </w:p>
    <w:p w14:paraId="7FA51FA1" w14:textId="77777777" w:rsidR="00374000" w:rsidRDefault="00374000" w:rsidP="00374000">
      <w:pPr>
        <w:spacing w:line="360" w:lineRule="auto"/>
        <w:ind w:firstLineChars="200" w:firstLine="420"/>
      </w:pPr>
      <w:r>
        <w:t>二、日光温室的采光及采光设计</w:t>
      </w:r>
    </w:p>
    <w:p w14:paraId="7CBB694F" w14:textId="77777777" w:rsidR="00374000" w:rsidRDefault="00374000" w:rsidP="00374000">
      <w:pPr>
        <w:spacing w:line="360" w:lineRule="auto"/>
        <w:ind w:firstLineChars="200" w:firstLine="420"/>
      </w:pPr>
      <w:r>
        <w:t>三、日光温室的保温及保温设计</w:t>
      </w:r>
    </w:p>
    <w:p w14:paraId="3CC3E56C" w14:textId="77777777" w:rsidR="00374000" w:rsidRDefault="00374000" w:rsidP="00374000">
      <w:pPr>
        <w:spacing w:line="360" w:lineRule="auto"/>
        <w:ind w:firstLineChars="200" w:firstLine="420"/>
      </w:pPr>
      <w:r>
        <w:t>四、日光温室的建造</w:t>
      </w:r>
    </w:p>
    <w:p w14:paraId="42454576" w14:textId="77777777" w:rsidR="00374000" w:rsidRDefault="00374000" w:rsidP="00374000">
      <w:pPr>
        <w:spacing w:line="360" w:lineRule="auto"/>
        <w:ind w:firstLineChars="200" w:firstLine="420"/>
      </w:pPr>
      <w:r>
        <w:t>五、日光温室的应用</w:t>
      </w:r>
    </w:p>
    <w:p w14:paraId="7686A8EA" w14:textId="77777777" w:rsidR="00374000" w:rsidRDefault="00374000" w:rsidP="00374000">
      <w:pPr>
        <w:spacing w:line="360" w:lineRule="auto"/>
      </w:pPr>
      <w:r>
        <w:t>第四节</w:t>
      </w:r>
      <w:r>
        <w:t xml:space="preserve">  </w:t>
      </w:r>
      <w:r>
        <w:t>现代化温室</w:t>
      </w:r>
    </w:p>
    <w:p w14:paraId="270B0C2D" w14:textId="77777777" w:rsidR="00374000" w:rsidRDefault="00374000" w:rsidP="00374000">
      <w:pPr>
        <w:spacing w:line="360" w:lineRule="auto"/>
        <w:ind w:firstLineChars="200" w:firstLine="420"/>
      </w:pPr>
      <w:r>
        <w:t>了解现代化温室的结构、构成、性能和用途</w:t>
      </w:r>
      <w:r>
        <w:rPr>
          <w:rFonts w:hint="eastAsia"/>
        </w:rPr>
        <w:t>。</w:t>
      </w:r>
    </w:p>
    <w:p w14:paraId="6DDED4DD" w14:textId="77777777" w:rsidR="00374000" w:rsidRDefault="00374000" w:rsidP="00374000">
      <w:pPr>
        <w:spacing w:line="360" w:lineRule="auto"/>
        <w:ind w:firstLineChars="200" w:firstLine="420"/>
      </w:pPr>
      <w:r>
        <w:t>理解现代化温室的采光和保温原理</w:t>
      </w:r>
      <w:r>
        <w:rPr>
          <w:rFonts w:hint="eastAsia"/>
        </w:rPr>
        <w:t>。</w:t>
      </w:r>
    </w:p>
    <w:p w14:paraId="18991D2C" w14:textId="77777777" w:rsidR="00374000" w:rsidRDefault="00374000" w:rsidP="00374000">
      <w:pPr>
        <w:spacing w:line="360" w:lineRule="auto"/>
        <w:ind w:firstLineChars="200" w:firstLine="420"/>
      </w:pPr>
      <w:r>
        <w:t>掌握现代化温室结构各个节点的构成和利用状况</w:t>
      </w:r>
      <w:r>
        <w:rPr>
          <w:rFonts w:hint="eastAsia"/>
        </w:rPr>
        <w:t>。</w:t>
      </w:r>
    </w:p>
    <w:p w14:paraId="4500D044" w14:textId="77777777" w:rsidR="00374000" w:rsidRDefault="00374000" w:rsidP="00374000">
      <w:pPr>
        <w:spacing w:line="360" w:lineRule="auto"/>
        <w:ind w:firstLineChars="200" w:firstLine="420"/>
      </w:pPr>
      <w:r>
        <w:t>熟练掌握各种系统的构成现代化温室</w:t>
      </w:r>
      <w:r>
        <w:rPr>
          <w:rFonts w:hint="eastAsia"/>
        </w:rPr>
        <w:t>。</w:t>
      </w:r>
    </w:p>
    <w:p w14:paraId="4B428BC8" w14:textId="77777777" w:rsidR="00374000" w:rsidRDefault="00374000" w:rsidP="00374000">
      <w:pPr>
        <w:spacing w:line="360" w:lineRule="auto"/>
        <w:ind w:firstLineChars="200" w:firstLine="420"/>
      </w:pPr>
      <w:r>
        <w:t>一、现代化温室的主要类型及特点</w:t>
      </w:r>
    </w:p>
    <w:p w14:paraId="52F951A5" w14:textId="77777777" w:rsidR="00374000" w:rsidRDefault="00374000" w:rsidP="00374000">
      <w:pPr>
        <w:spacing w:line="360" w:lineRule="auto"/>
        <w:ind w:firstLineChars="200" w:firstLine="420"/>
      </w:pPr>
      <w:r>
        <w:t>二、现代化温室的配套设备及应用</w:t>
      </w:r>
    </w:p>
    <w:p w14:paraId="41BE068D" w14:textId="77777777" w:rsidR="00374000" w:rsidRDefault="00374000" w:rsidP="00374000">
      <w:pPr>
        <w:spacing w:line="360" w:lineRule="auto"/>
      </w:pPr>
      <w:r>
        <w:t>第五节</w:t>
      </w:r>
      <w:r>
        <w:t xml:space="preserve">  </w:t>
      </w:r>
      <w:r>
        <w:t>夏季保护设施</w:t>
      </w:r>
    </w:p>
    <w:p w14:paraId="320E205F" w14:textId="77777777" w:rsidR="00374000" w:rsidRDefault="00374000" w:rsidP="00374000">
      <w:pPr>
        <w:spacing w:line="360" w:lineRule="auto"/>
        <w:ind w:firstLineChars="200" w:firstLine="420"/>
      </w:pPr>
      <w:r>
        <w:t>了解夏季保护设施的结构、构成和性能，各种设施的用途</w:t>
      </w:r>
      <w:r>
        <w:rPr>
          <w:rFonts w:hint="eastAsia"/>
        </w:rPr>
        <w:t>。</w:t>
      </w:r>
    </w:p>
    <w:p w14:paraId="62FCAB7C" w14:textId="77777777" w:rsidR="00374000" w:rsidRDefault="00374000" w:rsidP="00374000">
      <w:pPr>
        <w:spacing w:line="360" w:lineRule="auto"/>
        <w:ind w:firstLineChars="200" w:firstLine="420"/>
      </w:pPr>
      <w:r>
        <w:lastRenderedPageBreak/>
        <w:t>理解夏季保护设施降温减光原理</w:t>
      </w:r>
      <w:r>
        <w:rPr>
          <w:rFonts w:hint="eastAsia"/>
        </w:rPr>
        <w:t>。</w:t>
      </w:r>
    </w:p>
    <w:p w14:paraId="124B9F1F" w14:textId="77777777" w:rsidR="00374000" w:rsidRDefault="00374000" w:rsidP="00374000">
      <w:pPr>
        <w:spacing w:line="360" w:lineRule="auto"/>
        <w:ind w:firstLineChars="200" w:firstLine="420"/>
      </w:pPr>
      <w:r>
        <w:t>掌握夏季保护设施的构造，能够自行建造夏季保护设施</w:t>
      </w:r>
      <w:r>
        <w:rPr>
          <w:rFonts w:hint="eastAsia"/>
        </w:rPr>
        <w:t>。</w:t>
      </w:r>
    </w:p>
    <w:p w14:paraId="7A243163" w14:textId="77777777" w:rsidR="00374000" w:rsidRDefault="00374000" w:rsidP="00374000">
      <w:pPr>
        <w:spacing w:line="360" w:lineRule="auto"/>
        <w:ind w:firstLineChars="200" w:firstLine="420"/>
      </w:pPr>
      <w:r>
        <w:t>熟练掌握夏季保护设施的蔬菜花卉的应用状况。</w:t>
      </w:r>
    </w:p>
    <w:p w14:paraId="5987ADF5" w14:textId="77777777" w:rsidR="00374000" w:rsidRDefault="00374000" w:rsidP="00374000">
      <w:pPr>
        <w:spacing w:line="360" w:lineRule="auto"/>
        <w:ind w:firstLineChars="200" w:firstLine="420"/>
      </w:pPr>
      <w:r>
        <w:t>一、遮阳网覆盖</w:t>
      </w:r>
    </w:p>
    <w:p w14:paraId="452967BF" w14:textId="77777777" w:rsidR="00374000" w:rsidRDefault="00374000" w:rsidP="00374000">
      <w:pPr>
        <w:spacing w:line="360" w:lineRule="auto"/>
        <w:ind w:firstLineChars="200" w:firstLine="420"/>
      </w:pPr>
      <w:r>
        <w:t>二、防雨棚及应用技术</w:t>
      </w:r>
    </w:p>
    <w:p w14:paraId="607DD8C3" w14:textId="77777777" w:rsidR="00374000" w:rsidRDefault="00374000" w:rsidP="00374000">
      <w:pPr>
        <w:spacing w:line="360" w:lineRule="auto"/>
        <w:ind w:firstLineChars="200" w:firstLine="420"/>
      </w:pPr>
      <w:r>
        <w:t>三、防虫网及应用技术</w:t>
      </w:r>
    </w:p>
    <w:p w14:paraId="56F18A87" w14:textId="77777777" w:rsidR="00374000" w:rsidRDefault="00374000" w:rsidP="00374000">
      <w:pPr>
        <w:rPr>
          <w:szCs w:val="21"/>
        </w:rPr>
      </w:pPr>
      <w:r>
        <w:rPr>
          <w:rFonts w:ascii="宋体" w:hAnsi="宋体" w:hint="eastAsia"/>
          <w:b/>
          <w:bCs/>
          <w:szCs w:val="21"/>
        </w:rPr>
        <w:t>教学组织与实施：</w:t>
      </w:r>
    </w:p>
    <w:p w14:paraId="0B5C4725" w14:textId="77777777" w:rsidR="00374000" w:rsidRDefault="00374000" w:rsidP="00374000">
      <w:pPr>
        <w:spacing w:line="360" w:lineRule="auto"/>
        <w:ind w:firstLineChars="200" w:firstLine="420"/>
      </w:pPr>
      <w:r>
        <w:rPr>
          <w:rFonts w:hint="eastAsia"/>
        </w:rPr>
        <w:t>根据</w:t>
      </w:r>
      <w:r>
        <w:t>学生认知规律和接受特点，从最基础的简易保护设施如风障畦、阳畦温床等案例出发，到塑料大棚的开发与</w:t>
      </w:r>
      <w:r>
        <w:rPr>
          <w:rFonts w:hint="eastAsia"/>
        </w:rPr>
        <w:t>应用</w:t>
      </w:r>
      <w:r>
        <w:t>，日光温室的发展与建造特性</w:t>
      </w:r>
      <w:r>
        <w:rPr>
          <w:rFonts w:hint="eastAsia"/>
        </w:rPr>
        <w:t>，</w:t>
      </w:r>
      <w:r>
        <w:t>最终熟练掌握现代温室的结构特点，采用</w:t>
      </w:r>
      <w:r>
        <w:rPr>
          <w:rFonts w:hint="eastAsia"/>
        </w:rPr>
        <w:t>采用图文并茂并</w:t>
      </w:r>
      <w:r>
        <w:t>结合教学视频</w:t>
      </w:r>
      <w:r>
        <w:rPr>
          <w:rFonts w:hint="eastAsia"/>
        </w:rPr>
        <w:t>的方式讲授本章</w:t>
      </w:r>
      <w:r>
        <w:t>内容</w:t>
      </w:r>
      <w:r>
        <w:rPr>
          <w:rFonts w:hint="eastAsia"/>
        </w:rPr>
        <w:t>；结合</w:t>
      </w:r>
      <w:r>
        <w:t>课堂作业和提问</w:t>
      </w:r>
      <w:r>
        <w:rPr>
          <w:rFonts w:hint="eastAsia"/>
        </w:rPr>
        <w:t>互动</w:t>
      </w:r>
      <w:r>
        <w:t>增强学生</w:t>
      </w:r>
      <w:r>
        <w:rPr>
          <w:rFonts w:hint="eastAsia"/>
        </w:rPr>
        <w:t>掌握</w:t>
      </w:r>
      <w:r>
        <w:t>重点内容</w:t>
      </w:r>
      <w:r>
        <w:rPr>
          <w:rFonts w:hint="eastAsia"/>
        </w:rPr>
        <w:t>。</w:t>
      </w:r>
    </w:p>
    <w:p w14:paraId="6E2211B5" w14:textId="77777777" w:rsidR="00374000" w:rsidRDefault="00374000" w:rsidP="00374000">
      <w:pPr>
        <w:spacing w:beforeLines="50" w:before="156" w:afterLines="50" w:after="156" w:line="360" w:lineRule="auto"/>
        <w:ind w:firstLineChars="1500" w:firstLine="3162"/>
        <w:jc w:val="right"/>
        <w:rPr>
          <w:b/>
          <w:bCs/>
        </w:rPr>
      </w:pPr>
    </w:p>
    <w:p w14:paraId="2C0E4098" w14:textId="77777777" w:rsidR="00374000" w:rsidRDefault="00374000" w:rsidP="00374000">
      <w:pPr>
        <w:spacing w:beforeLines="50" w:before="156" w:afterLines="50" w:after="156" w:line="360" w:lineRule="auto"/>
        <w:ind w:firstLineChars="1500" w:firstLine="3162"/>
        <w:jc w:val="right"/>
        <w:rPr>
          <w:b/>
          <w:bCs/>
        </w:rPr>
      </w:pPr>
      <w:r>
        <w:rPr>
          <w:b/>
          <w:bCs/>
        </w:rPr>
        <w:t>第</w:t>
      </w:r>
      <w:r>
        <w:rPr>
          <w:rFonts w:hint="eastAsia"/>
          <w:b/>
          <w:bCs/>
        </w:rPr>
        <w:t>三</w:t>
      </w:r>
      <w:r>
        <w:rPr>
          <w:b/>
          <w:bCs/>
        </w:rPr>
        <w:t>章</w:t>
      </w:r>
      <w:r>
        <w:rPr>
          <w:b/>
          <w:bCs/>
        </w:rPr>
        <w:t xml:space="preserve">  </w:t>
      </w:r>
      <w:r>
        <w:rPr>
          <w:b/>
          <w:bCs/>
        </w:rPr>
        <w:t>覆盖材料的种类和性能</w:t>
      </w:r>
      <w:r>
        <w:rPr>
          <w:rFonts w:hint="eastAsia"/>
          <w:b/>
          <w:bCs/>
        </w:rPr>
        <w:t xml:space="preserve">       </w:t>
      </w:r>
      <w:r>
        <w:rPr>
          <w:b/>
          <w:bCs/>
        </w:rPr>
        <w:t xml:space="preserve">      </w:t>
      </w:r>
      <w:r>
        <w:rPr>
          <w:b/>
          <w:bCs/>
        </w:rPr>
        <w:t>学时数</w:t>
      </w:r>
      <w:r>
        <w:rPr>
          <w:rFonts w:hint="eastAsia"/>
          <w:b/>
          <w:bCs/>
        </w:rPr>
        <w:t>：</w:t>
      </w:r>
      <w:r>
        <w:rPr>
          <w:b/>
          <w:bCs/>
        </w:rPr>
        <w:t>2</w:t>
      </w:r>
    </w:p>
    <w:p w14:paraId="39D0DA2A" w14:textId="77777777" w:rsidR="00374000" w:rsidRDefault="00374000" w:rsidP="00374000">
      <w:pPr>
        <w:spacing w:line="360" w:lineRule="auto"/>
      </w:pPr>
      <w:r>
        <w:rPr>
          <w:b/>
          <w:bCs/>
        </w:rPr>
        <w:t>教学</w:t>
      </w:r>
      <w:r>
        <w:rPr>
          <w:rFonts w:hint="eastAsia"/>
          <w:b/>
          <w:bCs/>
        </w:rPr>
        <w:t>目标</w:t>
      </w:r>
      <w:r>
        <w:t>：了解掌握保护设施透明覆盖材料的特性与应用</w:t>
      </w:r>
      <w:r>
        <w:rPr>
          <w:rFonts w:hint="eastAsia"/>
        </w:rPr>
        <w:t>。</w:t>
      </w:r>
    </w:p>
    <w:p w14:paraId="1C4E5A06" w14:textId="77777777" w:rsidR="00374000" w:rsidRDefault="00374000" w:rsidP="00374000">
      <w:pPr>
        <w:spacing w:line="360" w:lineRule="auto"/>
      </w:pPr>
      <w:r>
        <w:rPr>
          <w:b/>
          <w:bCs/>
        </w:rPr>
        <w:t>教学重点和难点</w:t>
      </w:r>
      <w:r>
        <w:t>：各种覆盖材料的光学特性和热特性</w:t>
      </w:r>
      <w:r>
        <w:rPr>
          <w:rFonts w:hint="eastAsia"/>
        </w:rPr>
        <w:t>。</w:t>
      </w:r>
    </w:p>
    <w:p w14:paraId="04E046B7" w14:textId="77777777" w:rsidR="00374000" w:rsidRDefault="00374000" w:rsidP="00374000">
      <w:pPr>
        <w:spacing w:line="360" w:lineRule="auto"/>
      </w:pPr>
      <w:r>
        <w:rPr>
          <w:b/>
          <w:bCs/>
        </w:rPr>
        <w:t>主要教学内容及要求</w:t>
      </w:r>
      <w:r>
        <w:t>：透明覆盖材料的光学特性和热特性，透明覆盖材料（塑料薄膜，半硬质塑料膜，硬质塑料板，玻璃，新型多功能覆盖材料）的种类与应用，其它（地膜、透气性覆盖材料）覆盖材料，日光温室外覆盖保温材料</w:t>
      </w:r>
      <w:r>
        <w:rPr>
          <w:rFonts w:hint="eastAsia"/>
        </w:rPr>
        <w:t>。</w:t>
      </w:r>
    </w:p>
    <w:p w14:paraId="2B05863D" w14:textId="77777777" w:rsidR="00374000" w:rsidRDefault="00374000" w:rsidP="00374000">
      <w:pPr>
        <w:spacing w:line="360" w:lineRule="auto"/>
      </w:pPr>
      <w:r>
        <w:t>第一节</w:t>
      </w:r>
      <w:r>
        <w:rPr>
          <w:rFonts w:hint="eastAsia"/>
        </w:rPr>
        <w:t xml:space="preserve"> </w:t>
      </w:r>
      <w:r>
        <w:t>透明覆盖材料的种类和性能</w:t>
      </w:r>
    </w:p>
    <w:p w14:paraId="0DFBAF00" w14:textId="77777777" w:rsidR="00374000" w:rsidRDefault="00374000" w:rsidP="00374000">
      <w:pPr>
        <w:spacing w:line="360" w:lineRule="auto"/>
        <w:ind w:firstLineChars="200" w:firstLine="420"/>
      </w:pPr>
      <w:r>
        <w:t>了解透明覆盖材料光学特性和热特性</w:t>
      </w:r>
      <w:r>
        <w:rPr>
          <w:rFonts w:hint="eastAsia"/>
        </w:rPr>
        <w:t>。</w:t>
      </w:r>
    </w:p>
    <w:p w14:paraId="0B754881" w14:textId="77777777" w:rsidR="00374000" w:rsidRDefault="00374000" w:rsidP="00374000">
      <w:pPr>
        <w:spacing w:line="360" w:lineRule="auto"/>
        <w:ind w:firstLineChars="200" w:firstLine="420"/>
      </w:pPr>
      <w:r>
        <w:t>理解透明覆盖材料光学特性和热特性原理</w:t>
      </w:r>
      <w:r>
        <w:rPr>
          <w:rFonts w:hint="eastAsia"/>
        </w:rPr>
        <w:t>。</w:t>
      </w:r>
    </w:p>
    <w:p w14:paraId="2D6B2480" w14:textId="77777777" w:rsidR="00374000" w:rsidRDefault="00374000" w:rsidP="00374000">
      <w:pPr>
        <w:spacing w:line="360" w:lineRule="auto"/>
        <w:ind w:firstLineChars="200" w:firstLine="420"/>
      </w:pPr>
      <w:r>
        <w:t>掌握透明覆盖材料的应用状况</w:t>
      </w:r>
      <w:r>
        <w:rPr>
          <w:rFonts w:hint="eastAsia"/>
        </w:rPr>
        <w:t>。</w:t>
      </w:r>
    </w:p>
    <w:p w14:paraId="02641FB7" w14:textId="77777777" w:rsidR="00374000" w:rsidRDefault="00374000" w:rsidP="00374000">
      <w:pPr>
        <w:spacing w:line="360" w:lineRule="auto"/>
        <w:ind w:firstLineChars="200" w:firstLine="420"/>
      </w:pPr>
      <w:r>
        <w:t>熟练掌握塑料薄膜、玻璃、</w:t>
      </w:r>
      <w:r>
        <w:t>PC</w:t>
      </w:r>
      <w:r>
        <w:t>版的光热特点和应用状况</w:t>
      </w:r>
      <w:r>
        <w:rPr>
          <w:rFonts w:hint="eastAsia"/>
        </w:rPr>
        <w:t>。</w:t>
      </w:r>
    </w:p>
    <w:p w14:paraId="56216175" w14:textId="77777777" w:rsidR="00374000" w:rsidRDefault="00374000" w:rsidP="00374000">
      <w:pPr>
        <w:spacing w:line="360" w:lineRule="auto"/>
        <w:ind w:firstLineChars="200" w:firstLine="420"/>
      </w:pPr>
      <w:r>
        <w:t>一、透明覆盖材料的种类</w:t>
      </w:r>
    </w:p>
    <w:p w14:paraId="59A4A543" w14:textId="77777777" w:rsidR="00374000" w:rsidRDefault="00374000" w:rsidP="00374000">
      <w:pPr>
        <w:spacing w:line="360" w:lineRule="auto"/>
        <w:ind w:firstLineChars="200" w:firstLine="420"/>
      </w:pPr>
      <w:r>
        <w:t>二、透明覆盖材料的性能</w:t>
      </w:r>
    </w:p>
    <w:p w14:paraId="1C64F16E" w14:textId="77777777" w:rsidR="00374000" w:rsidRDefault="00374000" w:rsidP="00374000">
      <w:pPr>
        <w:spacing w:line="360" w:lineRule="auto"/>
        <w:ind w:firstLineChars="200" w:firstLine="420"/>
      </w:pPr>
      <w:r>
        <w:t>三、透明覆盖材料的应用</w:t>
      </w:r>
    </w:p>
    <w:p w14:paraId="678EC6A0" w14:textId="77777777" w:rsidR="00374000" w:rsidRDefault="00374000" w:rsidP="00374000">
      <w:pPr>
        <w:spacing w:line="360" w:lineRule="auto"/>
        <w:ind w:firstLineChars="200" w:firstLine="420"/>
      </w:pPr>
      <w:r>
        <w:rPr>
          <w:rFonts w:hint="eastAsia"/>
        </w:rPr>
        <w:t>（</w:t>
      </w:r>
      <w:r>
        <w:rPr>
          <w:rFonts w:hint="eastAsia"/>
        </w:rPr>
        <w:t>1</w:t>
      </w:r>
      <w:r>
        <w:rPr>
          <w:rFonts w:hint="eastAsia"/>
        </w:rPr>
        <w:t>）</w:t>
      </w:r>
      <w:r>
        <w:t>塑料薄膜</w:t>
      </w:r>
    </w:p>
    <w:p w14:paraId="6B66D4C5" w14:textId="77777777" w:rsidR="00374000" w:rsidRDefault="00374000" w:rsidP="00374000">
      <w:pPr>
        <w:spacing w:line="360" w:lineRule="auto"/>
        <w:ind w:firstLineChars="200" w:firstLine="420"/>
      </w:pPr>
      <w:r>
        <w:rPr>
          <w:rFonts w:hint="eastAsia"/>
        </w:rPr>
        <w:t>（</w:t>
      </w:r>
      <w:r>
        <w:rPr>
          <w:rFonts w:hint="eastAsia"/>
        </w:rPr>
        <w:t>2</w:t>
      </w:r>
      <w:r>
        <w:rPr>
          <w:rFonts w:hint="eastAsia"/>
        </w:rPr>
        <w:t>）</w:t>
      </w:r>
      <w:r>
        <w:t>半硬质塑料膜及硬质塑料板</w:t>
      </w:r>
    </w:p>
    <w:p w14:paraId="62FD71F1" w14:textId="77777777" w:rsidR="00374000" w:rsidRDefault="00374000" w:rsidP="00374000">
      <w:pPr>
        <w:spacing w:line="360" w:lineRule="auto"/>
        <w:ind w:firstLineChars="200" w:firstLine="420"/>
      </w:pPr>
      <w:r>
        <w:rPr>
          <w:rFonts w:hint="eastAsia"/>
        </w:rPr>
        <w:t>（</w:t>
      </w:r>
      <w:r>
        <w:rPr>
          <w:rFonts w:hint="eastAsia"/>
        </w:rPr>
        <w:t>3</w:t>
      </w:r>
      <w:r>
        <w:rPr>
          <w:rFonts w:hint="eastAsia"/>
        </w:rPr>
        <w:t>）</w:t>
      </w:r>
      <w:r>
        <w:t>玻璃</w:t>
      </w:r>
    </w:p>
    <w:p w14:paraId="30090571" w14:textId="77777777" w:rsidR="00374000" w:rsidRDefault="00374000" w:rsidP="00374000">
      <w:pPr>
        <w:spacing w:line="360" w:lineRule="auto"/>
        <w:ind w:firstLineChars="200" w:firstLine="420"/>
      </w:pPr>
      <w:r>
        <w:rPr>
          <w:rFonts w:hint="eastAsia"/>
        </w:rPr>
        <w:lastRenderedPageBreak/>
        <w:t>（</w:t>
      </w:r>
      <w:r>
        <w:rPr>
          <w:rFonts w:hint="eastAsia"/>
        </w:rPr>
        <w:t>4</w:t>
      </w:r>
      <w:r>
        <w:rPr>
          <w:rFonts w:hint="eastAsia"/>
        </w:rPr>
        <w:t>）</w:t>
      </w:r>
      <w:r>
        <w:t>新型多功能覆盖材料</w:t>
      </w:r>
    </w:p>
    <w:p w14:paraId="65228030" w14:textId="77777777" w:rsidR="00374000" w:rsidRDefault="00374000" w:rsidP="00374000">
      <w:pPr>
        <w:spacing w:line="360" w:lineRule="auto"/>
        <w:ind w:firstLineChars="200" w:firstLine="420"/>
      </w:pPr>
      <w:r>
        <w:rPr>
          <w:rFonts w:hint="eastAsia"/>
        </w:rPr>
        <w:t>（</w:t>
      </w:r>
      <w:r>
        <w:rPr>
          <w:rFonts w:hint="eastAsia"/>
        </w:rPr>
        <w:t>5</w:t>
      </w:r>
      <w:r>
        <w:rPr>
          <w:rFonts w:hint="eastAsia"/>
        </w:rPr>
        <w:t>）</w:t>
      </w:r>
      <w:r>
        <w:t>其他透明覆盖材料</w:t>
      </w:r>
    </w:p>
    <w:p w14:paraId="779C9DDB" w14:textId="77777777" w:rsidR="00374000" w:rsidRDefault="00374000" w:rsidP="00374000">
      <w:pPr>
        <w:spacing w:line="360" w:lineRule="auto"/>
      </w:pPr>
      <w:r>
        <w:t>第二节</w:t>
      </w:r>
      <w:r>
        <w:t xml:space="preserve">  </w:t>
      </w:r>
      <w:r>
        <w:t>外覆盖保温材料</w:t>
      </w:r>
    </w:p>
    <w:p w14:paraId="4E60D464" w14:textId="77777777" w:rsidR="00374000" w:rsidRDefault="00374000" w:rsidP="00374000">
      <w:pPr>
        <w:spacing w:line="360" w:lineRule="auto"/>
        <w:ind w:firstLineChars="200" w:firstLine="420"/>
      </w:pPr>
      <w:r>
        <w:t>了解外覆盖保温材料热特性</w:t>
      </w:r>
      <w:r>
        <w:rPr>
          <w:rFonts w:hint="eastAsia"/>
        </w:rPr>
        <w:t>。</w:t>
      </w:r>
    </w:p>
    <w:p w14:paraId="73C0E7A7" w14:textId="77777777" w:rsidR="00374000" w:rsidRDefault="00374000" w:rsidP="00374000">
      <w:pPr>
        <w:spacing w:line="360" w:lineRule="auto"/>
        <w:ind w:firstLineChars="200" w:firstLine="420"/>
      </w:pPr>
      <w:r>
        <w:t>理解外覆盖保温材料热特性原理</w:t>
      </w:r>
      <w:r>
        <w:rPr>
          <w:rFonts w:hint="eastAsia"/>
        </w:rPr>
        <w:t>。</w:t>
      </w:r>
    </w:p>
    <w:p w14:paraId="4A83DE04" w14:textId="77777777" w:rsidR="00374000" w:rsidRDefault="00374000" w:rsidP="00374000">
      <w:pPr>
        <w:spacing w:line="360" w:lineRule="auto"/>
        <w:ind w:firstLineChars="200" w:firstLine="420"/>
      </w:pPr>
      <w:r>
        <w:t>掌握外覆盖保温材料的应用状况</w:t>
      </w:r>
      <w:r>
        <w:rPr>
          <w:rFonts w:hint="eastAsia"/>
        </w:rPr>
        <w:t>。</w:t>
      </w:r>
    </w:p>
    <w:p w14:paraId="3FE90C1B" w14:textId="77777777" w:rsidR="00374000" w:rsidRDefault="00374000" w:rsidP="00374000">
      <w:pPr>
        <w:spacing w:line="360" w:lineRule="auto"/>
        <w:ind w:firstLineChars="200" w:firstLine="420"/>
      </w:pPr>
      <w:r>
        <w:t>熟练掌握草苫和保温被的光热特点和应用状况</w:t>
      </w:r>
      <w:r>
        <w:rPr>
          <w:rFonts w:hint="eastAsia"/>
        </w:rPr>
        <w:t>。</w:t>
      </w:r>
    </w:p>
    <w:p w14:paraId="6A823AAD" w14:textId="77777777" w:rsidR="00374000" w:rsidRDefault="00374000" w:rsidP="00374000">
      <w:pPr>
        <w:spacing w:line="360" w:lineRule="auto"/>
        <w:ind w:firstLineChars="200" w:firstLine="420"/>
      </w:pPr>
      <w:r>
        <w:t>一、草苫（帘）</w:t>
      </w:r>
    </w:p>
    <w:p w14:paraId="2111FB02" w14:textId="77777777" w:rsidR="00374000" w:rsidRDefault="00374000" w:rsidP="00374000">
      <w:pPr>
        <w:spacing w:line="360" w:lineRule="auto"/>
        <w:ind w:firstLineChars="200" w:firstLine="420"/>
      </w:pPr>
      <w:r>
        <w:t>二、纸被</w:t>
      </w:r>
    </w:p>
    <w:p w14:paraId="49D72E61" w14:textId="77777777" w:rsidR="00374000" w:rsidRDefault="00374000" w:rsidP="00374000">
      <w:pPr>
        <w:spacing w:line="360" w:lineRule="auto"/>
        <w:ind w:firstLineChars="200" w:firstLine="420"/>
      </w:pPr>
      <w:r>
        <w:t>三、保温被</w:t>
      </w:r>
    </w:p>
    <w:p w14:paraId="5F1B10FC" w14:textId="77777777" w:rsidR="00374000" w:rsidRDefault="00374000" w:rsidP="00374000">
      <w:pPr>
        <w:spacing w:line="360" w:lineRule="auto"/>
        <w:ind w:firstLineChars="200" w:firstLine="420"/>
      </w:pPr>
      <w:r>
        <w:t>四、外覆盖保温材料的日常管理</w:t>
      </w:r>
    </w:p>
    <w:p w14:paraId="2C6773E8" w14:textId="77777777" w:rsidR="00374000" w:rsidRDefault="00374000" w:rsidP="00374000">
      <w:pPr>
        <w:rPr>
          <w:szCs w:val="21"/>
        </w:rPr>
      </w:pPr>
      <w:r>
        <w:rPr>
          <w:rFonts w:ascii="宋体" w:hAnsi="宋体" w:hint="eastAsia"/>
          <w:b/>
          <w:bCs/>
          <w:szCs w:val="21"/>
        </w:rPr>
        <w:t>教学组织与实施：</w:t>
      </w:r>
    </w:p>
    <w:p w14:paraId="17D65563" w14:textId="77777777" w:rsidR="00374000" w:rsidRDefault="00374000" w:rsidP="00374000">
      <w:pPr>
        <w:spacing w:line="360" w:lineRule="auto"/>
        <w:ind w:firstLineChars="200" w:firstLine="420"/>
      </w:pPr>
      <w:r>
        <w:rPr>
          <w:rFonts w:hint="eastAsia"/>
        </w:rPr>
        <w:t>根据覆盖材料</w:t>
      </w:r>
      <w:r>
        <w:t>的</w:t>
      </w:r>
      <w:r>
        <w:rPr>
          <w:rFonts w:hint="eastAsia"/>
        </w:rPr>
        <w:t>开发和</w:t>
      </w:r>
      <w:r>
        <w:t>应用</w:t>
      </w:r>
      <w:r>
        <w:rPr>
          <w:rFonts w:hint="eastAsia"/>
        </w:rPr>
        <w:t>时间</w:t>
      </w:r>
      <w:r>
        <w:t>顺序的规律特点，</w:t>
      </w:r>
      <w:r>
        <w:rPr>
          <w:rFonts w:hint="eastAsia"/>
        </w:rPr>
        <w:t>采用</w:t>
      </w:r>
      <w:r>
        <w:t>图文并茂并结合</w:t>
      </w:r>
      <w:r>
        <w:rPr>
          <w:rFonts w:hint="eastAsia"/>
        </w:rPr>
        <w:t>课堂</w:t>
      </w:r>
      <w:r>
        <w:t>实物演示</w:t>
      </w:r>
      <w:r>
        <w:rPr>
          <w:rFonts w:hint="eastAsia"/>
        </w:rPr>
        <w:t>，</w:t>
      </w:r>
      <w:r>
        <w:t>让学生在课堂中亲眼观察、体会不同覆盖材料的特性区别，最终熟练掌握</w:t>
      </w:r>
      <w:r>
        <w:rPr>
          <w:rFonts w:hint="eastAsia"/>
        </w:rPr>
        <w:t>PE</w:t>
      </w:r>
      <w:r>
        <w:rPr>
          <w:rFonts w:hint="eastAsia"/>
        </w:rPr>
        <w:t>、</w:t>
      </w:r>
      <w:r>
        <w:rPr>
          <w:rFonts w:hint="eastAsia"/>
        </w:rPr>
        <w:t>PVC</w:t>
      </w:r>
      <w:r>
        <w:rPr>
          <w:rFonts w:hint="eastAsia"/>
        </w:rPr>
        <w:t>、</w:t>
      </w:r>
      <w:r>
        <w:rPr>
          <w:rFonts w:hint="eastAsia"/>
        </w:rPr>
        <w:t>EVA</w:t>
      </w:r>
      <w:r>
        <w:rPr>
          <w:rFonts w:hint="eastAsia"/>
        </w:rPr>
        <w:t>等</w:t>
      </w:r>
      <w:r>
        <w:t>常用材料之间的性能区别和联系，</w:t>
      </w:r>
      <w:r>
        <w:rPr>
          <w:rFonts w:hint="eastAsia"/>
        </w:rPr>
        <w:t>结合</w:t>
      </w:r>
      <w:r>
        <w:t>课堂作业和提问</w:t>
      </w:r>
      <w:r>
        <w:rPr>
          <w:rFonts w:hint="eastAsia"/>
        </w:rPr>
        <w:t>互动</w:t>
      </w:r>
      <w:r>
        <w:t>增强学生</w:t>
      </w:r>
      <w:r>
        <w:rPr>
          <w:rFonts w:hint="eastAsia"/>
        </w:rPr>
        <w:t>掌握</w:t>
      </w:r>
      <w:r>
        <w:t>重点内容</w:t>
      </w:r>
      <w:r>
        <w:rPr>
          <w:rFonts w:hint="eastAsia"/>
        </w:rPr>
        <w:t>。</w:t>
      </w:r>
    </w:p>
    <w:p w14:paraId="14968318" w14:textId="77777777" w:rsidR="00374000" w:rsidRDefault="00374000" w:rsidP="00374000">
      <w:pPr>
        <w:spacing w:line="360" w:lineRule="auto"/>
      </w:pPr>
    </w:p>
    <w:p w14:paraId="6D2FF82C" w14:textId="77777777" w:rsidR="00374000" w:rsidRDefault="00374000" w:rsidP="00374000">
      <w:pPr>
        <w:spacing w:beforeLines="50" w:before="156" w:afterLines="50" w:after="156" w:line="360" w:lineRule="auto"/>
        <w:ind w:firstLineChars="1200" w:firstLine="2530"/>
        <w:jc w:val="right"/>
        <w:rPr>
          <w:b/>
        </w:rPr>
      </w:pPr>
      <w:r>
        <w:rPr>
          <w:b/>
        </w:rPr>
        <w:t>第</w:t>
      </w:r>
      <w:r>
        <w:rPr>
          <w:rFonts w:hint="eastAsia"/>
          <w:b/>
        </w:rPr>
        <w:t>四</w:t>
      </w:r>
      <w:r>
        <w:rPr>
          <w:b/>
        </w:rPr>
        <w:t>章</w:t>
      </w:r>
      <w:r>
        <w:rPr>
          <w:b/>
        </w:rPr>
        <w:t xml:space="preserve">  </w:t>
      </w:r>
      <w:r>
        <w:rPr>
          <w:b/>
        </w:rPr>
        <w:t>设施环境的变化规律及其调控技术</w:t>
      </w:r>
      <w:r>
        <w:rPr>
          <w:rFonts w:hint="eastAsia"/>
          <w:b/>
        </w:rPr>
        <w:t xml:space="preserve">       </w:t>
      </w:r>
      <w:r>
        <w:rPr>
          <w:b/>
        </w:rPr>
        <w:t xml:space="preserve"> </w:t>
      </w:r>
      <w:r>
        <w:rPr>
          <w:b/>
          <w:bCs/>
        </w:rPr>
        <w:t>学时数</w:t>
      </w:r>
      <w:r>
        <w:rPr>
          <w:rFonts w:hint="eastAsia"/>
          <w:b/>
          <w:bCs/>
        </w:rPr>
        <w:t>：</w:t>
      </w:r>
      <w:r>
        <w:rPr>
          <w:rFonts w:hint="eastAsia"/>
          <w:b/>
          <w:bCs/>
        </w:rPr>
        <w:t>10</w:t>
      </w:r>
    </w:p>
    <w:p w14:paraId="6450A29F" w14:textId="77777777" w:rsidR="00374000" w:rsidRDefault="00374000" w:rsidP="00374000">
      <w:pPr>
        <w:spacing w:line="360" w:lineRule="auto"/>
      </w:pPr>
      <w:r>
        <w:rPr>
          <w:b/>
          <w:bCs/>
        </w:rPr>
        <w:t>教学目</w:t>
      </w:r>
      <w:r>
        <w:rPr>
          <w:rFonts w:hint="eastAsia"/>
          <w:b/>
          <w:bCs/>
        </w:rPr>
        <w:t>标</w:t>
      </w:r>
      <w:r>
        <w:t>：要求掌握设施内环境条件形成的原因和控制措施</w:t>
      </w:r>
      <w:r>
        <w:rPr>
          <w:rFonts w:hint="eastAsia"/>
        </w:rPr>
        <w:t>。</w:t>
      </w:r>
    </w:p>
    <w:p w14:paraId="047BAAAC" w14:textId="77777777" w:rsidR="00374000" w:rsidRDefault="00374000" w:rsidP="00374000">
      <w:pPr>
        <w:spacing w:line="360" w:lineRule="auto"/>
      </w:pPr>
      <w:r>
        <w:rPr>
          <w:b/>
          <w:bCs/>
        </w:rPr>
        <w:t>教学重点和难点</w:t>
      </w:r>
      <w:r>
        <w:t>：设施内温度</w:t>
      </w:r>
      <w:r>
        <w:rPr>
          <w:rFonts w:hint="eastAsia"/>
        </w:rPr>
        <w:t>、</w:t>
      </w:r>
      <w:r>
        <w:t>湿度</w:t>
      </w:r>
      <w:r>
        <w:rPr>
          <w:rFonts w:hint="eastAsia"/>
        </w:rPr>
        <w:t>、</w:t>
      </w:r>
      <w:r>
        <w:t>光照</w:t>
      </w:r>
      <w:r>
        <w:rPr>
          <w:rFonts w:hint="eastAsia"/>
        </w:rPr>
        <w:t>、</w:t>
      </w:r>
      <w:r>
        <w:t>气体条件等形成的原因和控制方法</w:t>
      </w:r>
      <w:r>
        <w:rPr>
          <w:rFonts w:hint="eastAsia"/>
        </w:rPr>
        <w:t>。</w:t>
      </w:r>
    </w:p>
    <w:p w14:paraId="174F3418" w14:textId="77777777" w:rsidR="00374000" w:rsidRDefault="00374000" w:rsidP="00374000">
      <w:pPr>
        <w:spacing w:line="360" w:lineRule="auto"/>
      </w:pPr>
      <w:r>
        <w:rPr>
          <w:b/>
          <w:bCs/>
        </w:rPr>
        <w:t>主要教学内容及要求</w:t>
      </w:r>
      <w:r>
        <w:t>：</w:t>
      </w:r>
      <w:r>
        <w:rPr>
          <w:rFonts w:hint="eastAsia"/>
        </w:rPr>
        <w:t>了解设施</w:t>
      </w:r>
      <w:r>
        <w:t>内光、温度、湿度、气体</w:t>
      </w:r>
      <w:r>
        <w:rPr>
          <w:rFonts w:hint="eastAsia"/>
        </w:rPr>
        <w:t>和</w:t>
      </w:r>
      <w:r>
        <w:t>根际环境</w:t>
      </w:r>
      <w:r>
        <w:rPr>
          <w:rFonts w:hint="eastAsia"/>
        </w:rPr>
        <w:t>特点</w:t>
      </w:r>
      <w:r>
        <w:t>及发生原因</w:t>
      </w:r>
      <w:r>
        <w:rPr>
          <w:rFonts w:hint="eastAsia"/>
        </w:rPr>
        <w:t>；</w:t>
      </w:r>
      <w:r>
        <w:t>掌握影响设施光</w:t>
      </w:r>
      <w:r>
        <w:rPr>
          <w:rFonts w:hint="eastAsia"/>
        </w:rPr>
        <w:t>、</w:t>
      </w:r>
      <w:r>
        <w:t>温度和湿度环境的主要因素</w:t>
      </w:r>
      <w:r>
        <w:rPr>
          <w:rFonts w:hint="eastAsia"/>
        </w:rPr>
        <w:t>；熟练掌握</w:t>
      </w:r>
      <w:r>
        <w:t>设施光环境</w:t>
      </w:r>
      <w:r>
        <w:rPr>
          <w:rFonts w:hint="eastAsia"/>
        </w:rPr>
        <w:t>、温度</w:t>
      </w:r>
      <w:r>
        <w:t>、湿度和</w:t>
      </w:r>
      <w:r>
        <w:t>CO</w:t>
      </w:r>
      <w:r>
        <w:rPr>
          <w:vertAlign w:val="subscript"/>
        </w:rPr>
        <w:t>2</w:t>
      </w:r>
      <w:r>
        <w:t>环境的调控</w:t>
      </w:r>
      <w:r>
        <w:rPr>
          <w:rFonts w:hint="eastAsia"/>
        </w:rPr>
        <w:t>措施</w:t>
      </w:r>
      <w:r>
        <w:t>，作物连作障碍产生的原因，连作障碍的防治措施，根际环境及其调控</w:t>
      </w:r>
      <w:r>
        <w:rPr>
          <w:rFonts w:hint="eastAsia"/>
        </w:rPr>
        <w:t>等。</w:t>
      </w:r>
    </w:p>
    <w:p w14:paraId="548E4B9E" w14:textId="77777777" w:rsidR="00374000" w:rsidRDefault="00374000" w:rsidP="00374000">
      <w:pPr>
        <w:spacing w:line="360" w:lineRule="auto"/>
        <w:rPr>
          <w:b/>
        </w:rPr>
      </w:pPr>
      <w:r>
        <w:rPr>
          <w:b/>
        </w:rPr>
        <w:t>第一节</w:t>
      </w:r>
      <w:r>
        <w:rPr>
          <w:b/>
        </w:rPr>
        <w:t xml:space="preserve">  </w:t>
      </w:r>
      <w:r>
        <w:rPr>
          <w:b/>
        </w:rPr>
        <w:t>光环境特点及其调控</w:t>
      </w:r>
    </w:p>
    <w:p w14:paraId="71F7D080" w14:textId="77777777" w:rsidR="00374000" w:rsidRDefault="00374000" w:rsidP="00374000">
      <w:pPr>
        <w:spacing w:line="360" w:lineRule="auto"/>
        <w:ind w:firstLineChars="200" w:firstLine="420"/>
      </w:pPr>
      <w:r>
        <w:t>了解光环境的特点和主要因素</w:t>
      </w:r>
      <w:r>
        <w:rPr>
          <w:rFonts w:hint="eastAsia"/>
        </w:rPr>
        <w:t>。</w:t>
      </w:r>
    </w:p>
    <w:p w14:paraId="4B06B21D" w14:textId="77777777" w:rsidR="00374000" w:rsidRDefault="00374000" w:rsidP="00374000">
      <w:pPr>
        <w:spacing w:line="360" w:lineRule="auto"/>
        <w:ind w:firstLineChars="200" w:firstLine="420"/>
      </w:pPr>
      <w:r>
        <w:t>理解设施的采光原理</w:t>
      </w:r>
      <w:r>
        <w:rPr>
          <w:rFonts w:hint="eastAsia"/>
        </w:rPr>
        <w:t>。</w:t>
      </w:r>
    </w:p>
    <w:p w14:paraId="5AEBE6DD" w14:textId="77777777" w:rsidR="00374000" w:rsidRDefault="00374000" w:rsidP="00374000">
      <w:pPr>
        <w:spacing w:line="360" w:lineRule="auto"/>
        <w:ind w:firstLineChars="200" w:firstLine="420"/>
      </w:pPr>
      <w:r>
        <w:t>掌握光环境调控技术</w:t>
      </w:r>
      <w:r>
        <w:rPr>
          <w:rFonts w:hint="eastAsia"/>
        </w:rPr>
        <w:t>。</w:t>
      </w:r>
    </w:p>
    <w:p w14:paraId="27048E71" w14:textId="77777777" w:rsidR="00374000" w:rsidRDefault="00374000" w:rsidP="00374000">
      <w:pPr>
        <w:spacing w:line="360" w:lineRule="auto"/>
        <w:ind w:firstLineChars="200" w:firstLine="420"/>
      </w:pPr>
      <w:r>
        <w:t>熟练掌握园艺设施增加光照和降低光照的原理和技术。</w:t>
      </w:r>
    </w:p>
    <w:p w14:paraId="74D95CF0" w14:textId="77777777" w:rsidR="00374000" w:rsidRDefault="00374000" w:rsidP="00374000">
      <w:pPr>
        <w:spacing w:line="360" w:lineRule="auto"/>
        <w:ind w:firstLineChars="200" w:firstLine="420"/>
      </w:pPr>
      <w:r>
        <w:t>一、设施内的光环境特征</w:t>
      </w:r>
    </w:p>
    <w:p w14:paraId="51CF65DD" w14:textId="77777777" w:rsidR="00374000" w:rsidRDefault="00374000" w:rsidP="00374000">
      <w:pPr>
        <w:spacing w:line="360" w:lineRule="auto"/>
        <w:ind w:firstLineChars="200" w:firstLine="420"/>
      </w:pPr>
      <w:r>
        <w:t>二、影响设施内的光环境的主要因素</w:t>
      </w:r>
    </w:p>
    <w:p w14:paraId="1C83A0BC" w14:textId="77777777" w:rsidR="00374000" w:rsidRDefault="00374000" w:rsidP="00374000">
      <w:pPr>
        <w:spacing w:line="360" w:lineRule="auto"/>
        <w:ind w:firstLineChars="200" w:firstLine="420"/>
      </w:pPr>
      <w:r>
        <w:lastRenderedPageBreak/>
        <w:t>三、光环境的调控</w:t>
      </w:r>
    </w:p>
    <w:p w14:paraId="00BA10C9" w14:textId="77777777" w:rsidR="00374000" w:rsidRDefault="00374000" w:rsidP="00374000">
      <w:pPr>
        <w:spacing w:line="360" w:lineRule="auto"/>
        <w:rPr>
          <w:b/>
        </w:rPr>
      </w:pPr>
      <w:r>
        <w:rPr>
          <w:b/>
        </w:rPr>
        <w:t>第二节</w:t>
      </w:r>
      <w:r>
        <w:rPr>
          <w:b/>
        </w:rPr>
        <w:t xml:space="preserve">  </w:t>
      </w:r>
      <w:r>
        <w:rPr>
          <w:b/>
        </w:rPr>
        <w:t>温度及其调控</w:t>
      </w:r>
    </w:p>
    <w:p w14:paraId="7D22A33E" w14:textId="77777777" w:rsidR="00374000" w:rsidRDefault="00374000" w:rsidP="00374000">
      <w:pPr>
        <w:spacing w:line="360" w:lineRule="auto"/>
        <w:ind w:firstLineChars="200" w:firstLine="420"/>
      </w:pPr>
      <w:r>
        <w:t>了解园艺设施温度环境的特点和影响因素</w:t>
      </w:r>
      <w:r>
        <w:rPr>
          <w:rFonts w:hint="eastAsia"/>
        </w:rPr>
        <w:t>。</w:t>
      </w:r>
    </w:p>
    <w:p w14:paraId="34DD7284" w14:textId="77777777" w:rsidR="00374000" w:rsidRDefault="00374000" w:rsidP="00374000">
      <w:pPr>
        <w:spacing w:line="360" w:lineRule="auto"/>
        <w:ind w:firstLineChars="200" w:firstLine="420"/>
      </w:pPr>
      <w:r>
        <w:t>理解园艺设施温度变化原理</w:t>
      </w:r>
      <w:r>
        <w:rPr>
          <w:rFonts w:hint="eastAsia"/>
        </w:rPr>
        <w:t>。</w:t>
      </w:r>
    </w:p>
    <w:p w14:paraId="2E7F1409" w14:textId="77777777" w:rsidR="00374000" w:rsidRDefault="00374000" w:rsidP="00374000">
      <w:pPr>
        <w:spacing w:line="360" w:lineRule="auto"/>
        <w:ind w:firstLineChars="200" w:firstLine="420"/>
      </w:pPr>
      <w:r>
        <w:t>掌握园艺设施温度调控技术</w:t>
      </w:r>
      <w:r>
        <w:rPr>
          <w:rFonts w:hint="eastAsia"/>
        </w:rPr>
        <w:t>。</w:t>
      </w:r>
    </w:p>
    <w:p w14:paraId="5C306E31" w14:textId="77777777" w:rsidR="00374000" w:rsidRDefault="00374000" w:rsidP="00374000">
      <w:pPr>
        <w:spacing w:line="360" w:lineRule="auto"/>
        <w:ind w:firstLineChars="200" w:firstLine="420"/>
      </w:pPr>
      <w:r>
        <w:t>熟练掌握园艺设施保温、加温和降温原理和技术。</w:t>
      </w:r>
    </w:p>
    <w:p w14:paraId="49002E3C" w14:textId="77777777" w:rsidR="00374000" w:rsidRDefault="00374000" w:rsidP="00374000">
      <w:pPr>
        <w:spacing w:line="360" w:lineRule="auto"/>
        <w:ind w:firstLineChars="200" w:firstLine="420"/>
      </w:pPr>
      <w:r>
        <w:t>一、作物对温度的基本要求</w:t>
      </w:r>
    </w:p>
    <w:p w14:paraId="26FA84DF" w14:textId="77777777" w:rsidR="00374000" w:rsidRDefault="00374000" w:rsidP="00374000">
      <w:pPr>
        <w:spacing w:line="360" w:lineRule="auto"/>
        <w:ind w:firstLineChars="200" w:firstLine="420"/>
      </w:pPr>
      <w:r>
        <w:t>二、温室的热平衡及温度环境特点</w:t>
      </w:r>
    </w:p>
    <w:p w14:paraId="73C82704" w14:textId="77777777" w:rsidR="00374000" w:rsidRDefault="00374000" w:rsidP="00374000">
      <w:pPr>
        <w:spacing w:line="360" w:lineRule="auto"/>
        <w:ind w:firstLineChars="200" w:firstLine="420"/>
      </w:pPr>
      <w:r>
        <w:t>三、保温与加温技术</w:t>
      </w:r>
    </w:p>
    <w:p w14:paraId="608DB3A5" w14:textId="77777777" w:rsidR="00374000" w:rsidRDefault="00374000" w:rsidP="00374000">
      <w:pPr>
        <w:spacing w:line="360" w:lineRule="auto"/>
        <w:ind w:firstLineChars="200" w:firstLine="420"/>
      </w:pPr>
      <w:r>
        <w:t>四、降温技术</w:t>
      </w:r>
    </w:p>
    <w:p w14:paraId="3731B010" w14:textId="77777777" w:rsidR="00374000" w:rsidRDefault="00374000" w:rsidP="00374000">
      <w:pPr>
        <w:spacing w:line="360" w:lineRule="auto"/>
        <w:rPr>
          <w:b/>
        </w:rPr>
      </w:pPr>
      <w:r>
        <w:rPr>
          <w:b/>
        </w:rPr>
        <w:t>第三节</w:t>
      </w:r>
      <w:r>
        <w:rPr>
          <w:b/>
        </w:rPr>
        <w:t xml:space="preserve">  </w:t>
      </w:r>
      <w:r>
        <w:rPr>
          <w:b/>
        </w:rPr>
        <w:t>湿度环境及调控</w:t>
      </w:r>
    </w:p>
    <w:p w14:paraId="083C179A" w14:textId="77777777" w:rsidR="00374000" w:rsidRDefault="00374000" w:rsidP="00374000">
      <w:pPr>
        <w:spacing w:line="360" w:lineRule="auto"/>
        <w:ind w:firstLineChars="200" w:firstLine="420"/>
      </w:pPr>
      <w:r>
        <w:t>了解园艺设施湿度环境的特点和影响因素</w:t>
      </w:r>
      <w:r>
        <w:rPr>
          <w:rFonts w:hint="eastAsia"/>
        </w:rPr>
        <w:t>。</w:t>
      </w:r>
    </w:p>
    <w:p w14:paraId="046234DB" w14:textId="77777777" w:rsidR="00374000" w:rsidRDefault="00374000" w:rsidP="00374000">
      <w:pPr>
        <w:spacing w:line="360" w:lineRule="auto"/>
        <w:ind w:firstLineChars="200" w:firstLine="420"/>
      </w:pPr>
      <w:r>
        <w:t>理解园艺设施湿度变化原理</w:t>
      </w:r>
      <w:r>
        <w:rPr>
          <w:rFonts w:hint="eastAsia"/>
        </w:rPr>
        <w:t>。</w:t>
      </w:r>
    </w:p>
    <w:p w14:paraId="46927B18" w14:textId="77777777" w:rsidR="00374000" w:rsidRDefault="00374000" w:rsidP="00374000">
      <w:pPr>
        <w:spacing w:line="360" w:lineRule="auto"/>
        <w:ind w:firstLineChars="200" w:firstLine="420"/>
      </w:pPr>
      <w:r>
        <w:t>掌握园艺设施湿度调控技术</w:t>
      </w:r>
      <w:r>
        <w:rPr>
          <w:rFonts w:hint="eastAsia"/>
        </w:rPr>
        <w:t>。</w:t>
      </w:r>
    </w:p>
    <w:p w14:paraId="7C8910C5" w14:textId="77777777" w:rsidR="00374000" w:rsidRDefault="00374000" w:rsidP="00374000">
      <w:pPr>
        <w:spacing w:line="360" w:lineRule="auto"/>
        <w:ind w:firstLineChars="200" w:firstLine="420"/>
      </w:pPr>
      <w:r>
        <w:t>熟练掌握园艺设施保湿、增湿和降湿原理和措施。</w:t>
      </w:r>
    </w:p>
    <w:p w14:paraId="31555997" w14:textId="77777777" w:rsidR="00374000" w:rsidRDefault="00374000" w:rsidP="00374000">
      <w:pPr>
        <w:spacing w:line="360" w:lineRule="auto"/>
        <w:ind w:firstLineChars="200" w:firstLine="420"/>
      </w:pPr>
      <w:r>
        <w:t>一、设施内湿度的产生</w:t>
      </w:r>
    </w:p>
    <w:p w14:paraId="325AD1CB" w14:textId="77777777" w:rsidR="00374000" w:rsidRDefault="00374000" w:rsidP="00374000">
      <w:pPr>
        <w:spacing w:line="360" w:lineRule="auto"/>
        <w:ind w:firstLineChars="200" w:firstLine="420"/>
      </w:pPr>
      <w:r>
        <w:t>二、设施内湿度环境特征</w:t>
      </w:r>
    </w:p>
    <w:p w14:paraId="612F2DB7" w14:textId="77777777" w:rsidR="00374000" w:rsidRDefault="00374000" w:rsidP="00374000">
      <w:pPr>
        <w:spacing w:line="360" w:lineRule="auto"/>
        <w:ind w:firstLineChars="200" w:firstLine="420"/>
      </w:pPr>
      <w:r>
        <w:t>三、设施内湿度与作物生长发能及病虫害发生的关系</w:t>
      </w:r>
    </w:p>
    <w:p w14:paraId="69F99E91" w14:textId="77777777" w:rsidR="00374000" w:rsidRDefault="00374000" w:rsidP="00374000">
      <w:pPr>
        <w:spacing w:line="360" w:lineRule="auto"/>
        <w:ind w:firstLineChars="200" w:firstLine="420"/>
      </w:pPr>
      <w:r>
        <w:t>四、设施湿度的调控</w:t>
      </w:r>
    </w:p>
    <w:p w14:paraId="28451FC2" w14:textId="77777777" w:rsidR="00374000" w:rsidRDefault="00374000" w:rsidP="00374000">
      <w:pPr>
        <w:spacing w:line="360" w:lineRule="auto"/>
        <w:rPr>
          <w:b/>
        </w:rPr>
      </w:pPr>
      <w:r>
        <w:rPr>
          <w:b/>
        </w:rPr>
        <w:t>第四节</w:t>
      </w:r>
      <w:r>
        <w:rPr>
          <w:b/>
        </w:rPr>
        <w:t xml:space="preserve">  </w:t>
      </w:r>
      <w:r>
        <w:rPr>
          <w:b/>
        </w:rPr>
        <w:t>设施内的气体环境及调控</w:t>
      </w:r>
    </w:p>
    <w:p w14:paraId="7EE00B59" w14:textId="77777777" w:rsidR="00374000" w:rsidRDefault="00374000" w:rsidP="00374000">
      <w:pPr>
        <w:spacing w:line="360" w:lineRule="auto"/>
        <w:ind w:firstLineChars="200" w:firstLine="420"/>
      </w:pPr>
      <w:r>
        <w:t>了解园艺设施气体环境的特点和影响因素</w:t>
      </w:r>
      <w:r>
        <w:rPr>
          <w:rFonts w:hint="eastAsia"/>
        </w:rPr>
        <w:t>。</w:t>
      </w:r>
    </w:p>
    <w:p w14:paraId="7420462C" w14:textId="77777777" w:rsidR="00374000" w:rsidRDefault="00374000" w:rsidP="00374000">
      <w:pPr>
        <w:spacing w:line="360" w:lineRule="auto"/>
        <w:ind w:firstLineChars="200" w:firstLine="420"/>
      </w:pPr>
      <w:r>
        <w:t>理解园艺设施气体变化原理</w:t>
      </w:r>
      <w:r>
        <w:rPr>
          <w:rFonts w:hint="eastAsia"/>
        </w:rPr>
        <w:t>。</w:t>
      </w:r>
    </w:p>
    <w:p w14:paraId="1530F51B" w14:textId="77777777" w:rsidR="00374000" w:rsidRDefault="00374000" w:rsidP="00374000">
      <w:pPr>
        <w:spacing w:line="360" w:lineRule="auto"/>
        <w:ind w:firstLineChars="200" w:firstLine="420"/>
      </w:pPr>
      <w:r>
        <w:t>掌握园艺设施</w:t>
      </w:r>
      <w:r>
        <w:t>CO</w:t>
      </w:r>
      <w:r>
        <w:rPr>
          <w:sz w:val="15"/>
          <w:szCs w:val="13"/>
        </w:rPr>
        <w:t>2</w:t>
      </w:r>
      <w:r>
        <w:t>调控技术</w:t>
      </w:r>
      <w:r>
        <w:rPr>
          <w:rFonts w:hint="eastAsia"/>
        </w:rPr>
        <w:t>。</w:t>
      </w:r>
    </w:p>
    <w:p w14:paraId="1237CEAC" w14:textId="77777777" w:rsidR="00374000" w:rsidRDefault="00374000" w:rsidP="00374000">
      <w:pPr>
        <w:spacing w:line="360" w:lineRule="auto"/>
        <w:ind w:firstLineChars="200" w:firstLine="420"/>
      </w:pPr>
      <w:r>
        <w:t>熟练掌握园艺设施减少有害气体增加</w:t>
      </w:r>
      <w:r>
        <w:t>CO</w:t>
      </w:r>
      <w:r>
        <w:rPr>
          <w:sz w:val="15"/>
          <w:szCs w:val="13"/>
        </w:rPr>
        <w:t>2</w:t>
      </w:r>
      <w:r>
        <w:t>的原理和措施。</w:t>
      </w:r>
    </w:p>
    <w:p w14:paraId="0200695D" w14:textId="77777777" w:rsidR="00374000" w:rsidRDefault="00374000" w:rsidP="00374000">
      <w:pPr>
        <w:spacing w:line="360" w:lineRule="auto"/>
        <w:ind w:firstLineChars="200" w:firstLine="420"/>
      </w:pPr>
      <w:r>
        <w:t>一、</w:t>
      </w:r>
      <w:r>
        <w:t>CO</w:t>
      </w:r>
      <w:r>
        <w:rPr>
          <w:vertAlign w:val="subscript"/>
        </w:rPr>
        <w:t>2</w:t>
      </w:r>
      <w:r>
        <w:t>及其调控</w:t>
      </w:r>
    </w:p>
    <w:p w14:paraId="64D6D632" w14:textId="77777777" w:rsidR="00374000" w:rsidRDefault="00374000" w:rsidP="00374000">
      <w:pPr>
        <w:spacing w:line="360" w:lineRule="auto"/>
        <w:ind w:firstLineChars="200" w:firstLine="420"/>
      </w:pPr>
      <w:r>
        <w:t>二、设施内有害气体及排除</w:t>
      </w:r>
    </w:p>
    <w:p w14:paraId="20E42BF6" w14:textId="77777777" w:rsidR="00374000" w:rsidRDefault="00374000" w:rsidP="00374000">
      <w:pPr>
        <w:spacing w:line="360" w:lineRule="auto"/>
        <w:rPr>
          <w:b/>
        </w:rPr>
      </w:pPr>
      <w:r>
        <w:rPr>
          <w:b/>
        </w:rPr>
        <w:t>第五节</w:t>
      </w:r>
      <w:r>
        <w:rPr>
          <w:b/>
        </w:rPr>
        <w:t xml:space="preserve">  </w:t>
      </w:r>
      <w:r>
        <w:rPr>
          <w:b/>
        </w:rPr>
        <w:t>连作障碍</w:t>
      </w:r>
    </w:p>
    <w:p w14:paraId="6C774725" w14:textId="77777777" w:rsidR="00374000" w:rsidRDefault="00374000" w:rsidP="00374000">
      <w:pPr>
        <w:spacing w:line="360" w:lineRule="auto"/>
        <w:ind w:firstLineChars="200" w:firstLine="420"/>
      </w:pPr>
      <w:r>
        <w:t>了解园艺设施连作障碍的成因</w:t>
      </w:r>
      <w:r>
        <w:rPr>
          <w:rFonts w:hint="eastAsia"/>
        </w:rPr>
        <w:t>。</w:t>
      </w:r>
    </w:p>
    <w:p w14:paraId="36F13AEC" w14:textId="77777777" w:rsidR="00374000" w:rsidRDefault="00374000" w:rsidP="00374000">
      <w:pPr>
        <w:spacing w:line="360" w:lineRule="auto"/>
        <w:ind w:firstLineChars="200" w:firstLine="420"/>
      </w:pPr>
      <w:r>
        <w:t>理解园艺设施连作障碍的危害因素</w:t>
      </w:r>
      <w:r>
        <w:rPr>
          <w:rFonts w:hint="eastAsia"/>
        </w:rPr>
        <w:t>。</w:t>
      </w:r>
    </w:p>
    <w:p w14:paraId="5F6E398A" w14:textId="77777777" w:rsidR="00374000" w:rsidRDefault="00374000" w:rsidP="00374000">
      <w:pPr>
        <w:spacing w:line="360" w:lineRule="auto"/>
        <w:ind w:firstLineChars="200" w:firstLine="420"/>
      </w:pPr>
      <w:r>
        <w:lastRenderedPageBreak/>
        <w:t>掌握园艺设施连作障碍的克服途径</w:t>
      </w:r>
      <w:r>
        <w:rPr>
          <w:rFonts w:hint="eastAsia"/>
        </w:rPr>
        <w:t>。</w:t>
      </w:r>
    </w:p>
    <w:p w14:paraId="22A239C1" w14:textId="77777777" w:rsidR="00374000" w:rsidRDefault="00374000" w:rsidP="00374000">
      <w:pPr>
        <w:spacing w:line="360" w:lineRule="auto"/>
        <w:ind w:firstLineChars="200" w:firstLine="420"/>
      </w:pPr>
      <w:r>
        <w:t>熟练掌握园艺设施减少连作障害的原理和措施</w:t>
      </w:r>
      <w:r>
        <w:rPr>
          <w:rFonts w:hint="eastAsia"/>
        </w:rPr>
        <w:t>。</w:t>
      </w:r>
    </w:p>
    <w:p w14:paraId="448E53B1" w14:textId="77777777" w:rsidR="00374000" w:rsidRDefault="00374000" w:rsidP="00374000">
      <w:pPr>
        <w:spacing w:line="360" w:lineRule="auto"/>
        <w:ind w:firstLineChars="200" w:firstLine="420"/>
      </w:pPr>
      <w:r>
        <w:t>一、设施内连作障碍产生的原因</w:t>
      </w:r>
    </w:p>
    <w:p w14:paraId="232D7815" w14:textId="77777777" w:rsidR="00374000" w:rsidRDefault="00374000" w:rsidP="00374000">
      <w:pPr>
        <w:spacing w:line="360" w:lineRule="auto"/>
        <w:ind w:firstLineChars="200" w:firstLine="420"/>
      </w:pPr>
      <w:r>
        <w:t>二、设施内连作障碍的防治措施。</w:t>
      </w:r>
    </w:p>
    <w:p w14:paraId="22647BBF" w14:textId="77777777" w:rsidR="00374000" w:rsidRDefault="00374000" w:rsidP="00374000">
      <w:pPr>
        <w:rPr>
          <w:szCs w:val="21"/>
        </w:rPr>
      </w:pPr>
      <w:r>
        <w:rPr>
          <w:rFonts w:ascii="宋体" w:hAnsi="宋体" w:hint="eastAsia"/>
          <w:b/>
          <w:bCs/>
          <w:szCs w:val="21"/>
        </w:rPr>
        <w:t>教学组织与实施：</w:t>
      </w:r>
    </w:p>
    <w:p w14:paraId="03EC181F" w14:textId="77777777" w:rsidR="00374000" w:rsidRDefault="00374000" w:rsidP="00374000">
      <w:pPr>
        <w:spacing w:line="360" w:lineRule="auto"/>
        <w:ind w:firstLineChars="200" w:firstLine="420"/>
      </w:pPr>
      <w:r>
        <w:rPr>
          <w:rFonts w:hint="eastAsia"/>
        </w:rPr>
        <w:t>本章</w:t>
      </w:r>
      <w:r>
        <w:t>为该课程的重点内容，</w:t>
      </w:r>
      <w:r>
        <w:rPr>
          <w:rFonts w:hint="eastAsia"/>
        </w:rPr>
        <w:t>根据学生</w:t>
      </w:r>
      <w:r>
        <w:t>前期的学习基础，从植物生长所需的光、温、水、气</w:t>
      </w:r>
      <w:r>
        <w:rPr>
          <w:rFonts w:hint="eastAsia"/>
        </w:rPr>
        <w:t>和土壤</w:t>
      </w:r>
      <w:r>
        <w:t>环境五个方面，</w:t>
      </w:r>
      <w:r>
        <w:rPr>
          <w:rFonts w:hint="eastAsia"/>
        </w:rPr>
        <w:t>通过</w:t>
      </w:r>
      <w:r>
        <w:t>课堂讲解，</w:t>
      </w:r>
      <w:r>
        <w:rPr>
          <w:rFonts w:hint="eastAsia"/>
        </w:rPr>
        <w:t>视频</w:t>
      </w:r>
      <w:r>
        <w:t>资料，以及结合后期教学基地实地实验</w:t>
      </w:r>
      <w:r>
        <w:rPr>
          <w:rFonts w:hint="eastAsia"/>
        </w:rPr>
        <w:t>教学</w:t>
      </w:r>
      <w:r>
        <w:t>，</w:t>
      </w:r>
      <w:r>
        <w:rPr>
          <w:rFonts w:hint="eastAsia"/>
        </w:rPr>
        <w:t>形成大班集中讲授，小班分组实验实习的课程讲授体系，让</w:t>
      </w:r>
      <w:r>
        <w:t>学生们系统全面的</w:t>
      </w:r>
      <w:r>
        <w:rPr>
          <w:rFonts w:hint="eastAsia"/>
        </w:rPr>
        <w:t>掌握</w:t>
      </w:r>
      <w:r>
        <w:t>本章内容</w:t>
      </w:r>
      <w:r>
        <w:rPr>
          <w:rFonts w:hint="eastAsia"/>
        </w:rPr>
        <w:t>。</w:t>
      </w:r>
    </w:p>
    <w:p w14:paraId="1366068D" w14:textId="77777777" w:rsidR="00374000" w:rsidRDefault="00374000" w:rsidP="00374000">
      <w:pPr>
        <w:spacing w:line="360" w:lineRule="auto"/>
        <w:ind w:firstLineChars="200" w:firstLine="420"/>
      </w:pPr>
    </w:p>
    <w:p w14:paraId="4C1605EB" w14:textId="77777777" w:rsidR="00374000" w:rsidRDefault="00374000" w:rsidP="00374000">
      <w:pPr>
        <w:spacing w:beforeLines="50" w:before="156" w:afterLines="50" w:after="156" w:line="360" w:lineRule="auto"/>
        <w:ind w:firstLineChars="1700" w:firstLine="3584"/>
        <w:jc w:val="right"/>
        <w:rPr>
          <w:b/>
          <w:bCs/>
        </w:rPr>
      </w:pPr>
      <w:r>
        <w:rPr>
          <w:b/>
          <w:bCs/>
        </w:rPr>
        <w:t>第</w:t>
      </w:r>
      <w:r>
        <w:rPr>
          <w:rFonts w:hint="eastAsia"/>
          <w:b/>
          <w:bCs/>
        </w:rPr>
        <w:t>五</w:t>
      </w:r>
      <w:r>
        <w:rPr>
          <w:b/>
          <w:bCs/>
        </w:rPr>
        <w:t>章</w:t>
      </w:r>
      <w:r>
        <w:rPr>
          <w:b/>
          <w:bCs/>
        </w:rPr>
        <w:t xml:space="preserve">  </w:t>
      </w:r>
      <w:r>
        <w:rPr>
          <w:b/>
          <w:bCs/>
        </w:rPr>
        <w:t>设施育苗技术</w:t>
      </w:r>
      <w:r>
        <w:rPr>
          <w:rFonts w:hint="eastAsia"/>
          <w:b/>
          <w:bCs/>
        </w:rPr>
        <w:t xml:space="preserve">               </w:t>
      </w:r>
      <w:r>
        <w:rPr>
          <w:b/>
          <w:bCs/>
        </w:rPr>
        <w:t xml:space="preserve"> </w:t>
      </w:r>
      <w:r>
        <w:rPr>
          <w:b/>
          <w:bCs/>
        </w:rPr>
        <w:t>学时数</w:t>
      </w:r>
      <w:r>
        <w:rPr>
          <w:rFonts w:hint="eastAsia"/>
          <w:b/>
          <w:bCs/>
        </w:rPr>
        <w:t>：</w:t>
      </w:r>
      <w:r>
        <w:rPr>
          <w:rFonts w:hint="eastAsia"/>
          <w:b/>
          <w:bCs/>
        </w:rPr>
        <w:t>4</w:t>
      </w:r>
    </w:p>
    <w:p w14:paraId="03EDF924" w14:textId="77777777" w:rsidR="00374000" w:rsidRDefault="00374000" w:rsidP="00374000">
      <w:pPr>
        <w:spacing w:line="360" w:lineRule="auto"/>
      </w:pPr>
      <w:r>
        <w:rPr>
          <w:b/>
          <w:bCs/>
        </w:rPr>
        <w:t>教学</w:t>
      </w:r>
      <w:r>
        <w:rPr>
          <w:rFonts w:hint="eastAsia"/>
          <w:b/>
          <w:bCs/>
        </w:rPr>
        <w:t>目标</w:t>
      </w:r>
      <w:r>
        <w:t>：要求掌握设施育苗的关键技术</w:t>
      </w:r>
    </w:p>
    <w:p w14:paraId="5B7B9BB7" w14:textId="77777777" w:rsidR="00374000" w:rsidRDefault="00374000" w:rsidP="00374000">
      <w:pPr>
        <w:spacing w:line="360" w:lineRule="auto"/>
      </w:pPr>
      <w:r>
        <w:rPr>
          <w:b/>
          <w:bCs/>
        </w:rPr>
        <w:t>教学重点和难点</w:t>
      </w:r>
      <w:r>
        <w:t>：穴盘苗培育的关键技术（基质选配、育苗过程、营养液配置和苗期管理等。</w:t>
      </w:r>
    </w:p>
    <w:p w14:paraId="301199D1" w14:textId="77777777" w:rsidR="00374000" w:rsidRDefault="00374000" w:rsidP="00374000">
      <w:pPr>
        <w:spacing w:line="360" w:lineRule="auto"/>
      </w:pPr>
      <w:r>
        <w:rPr>
          <w:b/>
          <w:bCs/>
        </w:rPr>
        <w:t>主要教学内容及要求</w:t>
      </w:r>
      <w:r>
        <w:t>：</w:t>
      </w:r>
      <w:r>
        <w:rPr>
          <w:rFonts w:hint="eastAsia"/>
        </w:rPr>
        <w:t>了解</w:t>
      </w:r>
      <w:r>
        <w:t>设施育苗的</w:t>
      </w:r>
      <w:r>
        <w:rPr>
          <w:rFonts w:hint="eastAsia"/>
        </w:rPr>
        <w:t>发展</w:t>
      </w:r>
      <w:r>
        <w:t>概况，掌握</w:t>
      </w:r>
      <w:r>
        <w:rPr>
          <w:rFonts w:hint="eastAsia"/>
        </w:rPr>
        <w:t>工厂化</w:t>
      </w:r>
      <w:r>
        <w:t>穴盘育苗的概念、穴盘育苗的关键设备及</w:t>
      </w:r>
      <w:r>
        <w:rPr>
          <w:rFonts w:hint="eastAsia"/>
        </w:rPr>
        <w:t>育苗流程</w:t>
      </w:r>
      <w:r>
        <w:t>，熟练掌握蔬菜嫁接育苗技术</w:t>
      </w:r>
      <w:r>
        <w:rPr>
          <w:rFonts w:hint="eastAsia"/>
        </w:rPr>
        <w:t>和</w:t>
      </w:r>
      <w:r>
        <w:t>穴盘育苗技术</w:t>
      </w:r>
      <w:r>
        <w:rPr>
          <w:rFonts w:hint="eastAsia"/>
        </w:rPr>
        <w:t>。</w:t>
      </w:r>
    </w:p>
    <w:p w14:paraId="2E46B4B4" w14:textId="77777777" w:rsidR="00374000" w:rsidRDefault="00374000" w:rsidP="00374000">
      <w:pPr>
        <w:spacing w:line="360" w:lineRule="auto"/>
        <w:rPr>
          <w:b/>
        </w:rPr>
      </w:pPr>
      <w:r>
        <w:rPr>
          <w:b/>
        </w:rPr>
        <w:t>第一节</w:t>
      </w:r>
      <w:r>
        <w:rPr>
          <w:b/>
        </w:rPr>
        <w:t xml:space="preserve">  </w:t>
      </w:r>
      <w:r>
        <w:rPr>
          <w:b/>
        </w:rPr>
        <w:t>嫁接育苗</w:t>
      </w:r>
    </w:p>
    <w:p w14:paraId="698F25B2" w14:textId="77777777" w:rsidR="00374000" w:rsidRDefault="00374000" w:rsidP="00374000">
      <w:pPr>
        <w:spacing w:line="360" w:lineRule="auto"/>
        <w:ind w:firstLineChars="200" w:firstLine="420"/>
      </w:pPr>
      <w:r>
        <w:t>了解嫁接育苗的特点和影响因素</w:t>
      </w:r>
      <w:r>
        <w:rPr>
          <w:rFonts w:hint="eastAsia"/>
        </w:rPr>
        <w:t>。</w:t>
      </w:r>
    </w:p>
    <w:p w14:paraId="33A6025E" w14:textId="77777777" w:rsidR="00374000" w:rsidRDefault="00374000" w:rsidP="00374000">
      <w:pPr>
        <w:spacing w:line="360" w:lineRule="auto"/>
        <w:ind w:firstLineChars="200" w:firstLine="420"/>
      </w:pPr>
      <w:r>
        <w:t>理解嫁接育苗抗病耐低温原理</w:t>
      </w:r>
      <w:r>
        <w:rPr>
          <w:rFonts w:hint="eastAsia"/>
        </w:rPr>
        <w:t>。</w:t>
      </w:r>
    </w:p>
    <w:p w14:paraId="02B5AEC9" w14:textId="77777777" w:rsidR="00374000" w:rsidRDefault="00374000" w:rsidP="00374000">
      <w:pPr>
        <w:spacing w:line="360" w:lineRule="auto"/>
        <w:ind w:firstLineChars="200" w:firstLine="420"/>
      </w:pPr>
      <w:r>
        <w:t>掌握嫁接育苗技术</w:t>
      </w:r>
      <w:r>
        <w:rPr>
          <w:rFonts w:hint="eastAsia"/>
        </w:rPr>
        <w:t>。</w:t>
      </w:r>
    </w:p>
    <w:p w14:paraId="0EFF184F" w14:textId="77777777" w:rsidR="00374000" w:rsidRDefault="00374000" w:rsidP="00374000">
      <w:pPr>
        <w:spacing w:line="360" w:lineRule="auto"/>
        <w:ind w:firstLineChars="200" w:firstLine="420"/>
      </w:pPr>
      <w:r>
        <w:t>熟练掌握采用插接、切接等嫁接育苗方法，能够进行嫁接育苗工作。</w:t>
      </w:r>
    </w:p>
    <w:p w14:paraId="6B544685" w14:textId="77777777" w:rsidR="00374000" w:rsidRDefault="00374000" w:rsidP="00374000">
      <w:pPr>
        <w:spacing w:line="360" w:lineRule="auto"/>
        <w:ind w:firstLineChars="200" w:firstLine="420"/>
      </w:pPr>
      <w:r>
        <w:t>一、嫁接育苗的意义及应用现状</w:t>
      </w:r>
    </w:p>
    <w:p w14:paraId="1B225986" w14:textId="77777777" w:rsidR="00374000" w:rsidRDefault="00374000" w:rsidP="00374000">
      <w:pPr>
        <w:spacing w:line="360" w:lineRule="auto"/>
        <w:ind w:firstLineChars="200" w:firstLine="420"/>
      </w:pPr>
      <w:r>
        <w:t>二、蔬菜作物的嫁接方法</w:t>
      </w:r>
    </w:p>
    <w:p w14:paraId="0FD1313D" w14:textId="77777777" w:rsidR="00374000" w:rsidRDefault="00374000" w:rsidP="00374000">
      <w:pPr>
        <w:spacing w:line="360" w:lineRule="auto"/>
        <w:ind w:firstLineChars="200" w:firstLine="420"/>
      </w:pPr>
      <w:r>
        <w:t>三、蔬菜嫁接苗的生理特点及管理技术</w:t>
      </w:r>
    </w:p>
    <w:p w14:paraId="675AB68B" w14:textId="77777777" w:rsidR="00374000" w:rsidRDefault="00374000" w:rsidP="00374000">
      <w:pPr>
        <w:spacing w:line="360" w:lineRule="auto"/>
        <w:rPr>
          <w:b/>
        </w:rPr>
      </w:pPr>
      <w:r>
        <w:rPr>
          <w:b/>
        </w:rPr>
        <w:t>第二节</w:t>
      </w:r>
      <w:r>
        <w:rPr>
          <w:b/>
        </w:rPr>
        <w:t xml:space="preserve">  </w:t>
      </w:r>
      <w:r>
        <w:rPr>
          <w:b/>
        </w:rPr>
        <w:t>穴盘育苗技术</w:t>
      </w:r>
    </w:p>
    <w:p w14:paraId="1E19D3FB" w14:textId="77777777" w:rsidR="00374000" w:rsidRDefault="00374000" w:rsidP="00374000">
      <w:pPr>
        <w:spacing w:line="360" w:lineRule="auto"/>
        <w:ind w:firstLineChars="200" w:firstLine="420"/>
      </w:pPr>
      <w:r>
        <w:t>了解穴盘育苗的特点、所用设备</w:t>
      </w:r>
      <w:r>
        <w:rPr>
          <w:rFonts w:hint="eastAsia"/>
        </w:rPr>
        <w:t>。</w:t>
      </w:r>
    </w:p>
    <w:p w14:paraId="5FE603B9" w14:textId="77777777" w:rsidR="00374000" w:rsidRDefault="00374000" w:rsidP="00374000">
      <w:pPr>
        <w:spacing w:line="360" w:lineRule="auto"/>
        <w:ind w:firstLineChars="200" w:firstLine="420"/>
      </w:pPr>
      <w:r>
        <w:t>理解穴盘育苗的护根原理和基质理化性质成因和设备工作原理</w:t>
      </w:r>
      <w:r>
        <w:rPr>
          <w:rFonts w:hint="eastAsia"/>
        </w:rPr>
        <w:t>。</w:t>
      </w:r>
    </w:p>
    <w:p w14:paraId="1629AB3F" w14:textId="77777777" w:rsidR="00374000" w:rsidRDefault="00374000" w:rsidP="00374000">
      <w:pPr>
        <w:spacing w:line="360" w:lineRule="auto"/>
        <w:ind w:firstLineChars="200" w:firstLine="420"/>
      </w:pPr>
      <w:r>
        <w:t>掌握穴盘育苗技术</w:t>
      </w:r>
      <w:r>
        <w:rPr>
          <w:rFonts w:hint="eastAsia"/>
        </w:rPr>
        <w:t>。</w:t>
      </w:r>
    </w:p>
    <w:p w14:paraId="579B5DF6" w14:textId="77777777" w:rsidR="00374000" w:rsidRDefault="00374000" w:rsidP="00374000">
      <w:pPr>
        <w:spacing w:line="360" w:lineRule="auto"/>
        <w:ind w:firstLineChars="200" w:firstLine="420"/>
      </w:pPr>
      <w:r>
        <w:t>熟练掌握穴盘育苗方法，能够进行穴盘育苗工作。</w:t>
      </w:r>
    </w:p>
    <w:p w14:paraId="7E708A8B" w14:textId="77777777" w:rsidR="00374000" w:rsidRDefault="00374000" w:rsidP="00374000">
      <w:pPr>
        <w:spacing w:line="360" w:lineRule="auto"/>
        <w:ind w:firstLineChars="200" w:firstLine="420"/>
      </w:pPr>
      <w:r>
        <w:t>一、穴盘育苗的关键设备</w:t>
      </w:r>
    </w:p>
    <w:p w14:paraId="3E7FF114" w14:textId="77777777" w:rsidR="00374000" w:rsidRDefault="00374000" w:rsidP="00374000">
      <w:pPr>
        <w:spacing w:line="360" w:lineRule="auto"/>
        <w:ind w:firstLineChars="200" w:firstLine="420"/>
      </w:pPr>
      <w:r>
        <w:t>二、穴盘育苗常用基质及性能</w:t>
      </w:r>
    </w:p>
    <w:p w14:paraId="4D506C66" w14:textId="77777777" w:rsidR="00374000" w:rsidRDefault="00374000" w:rsidP="00374000">
      <w:pPr>
        <w:spacing w:line="360" w:lineRule="auto"/>
        <w:ind w:firstLineChars="200" w:firstLine="420"/>
      </w:pPr>
      <w:r>
        <w:lastRenderedPageBreak/>
        <w:t>三、穴盘育苗的营养液配方与管理</w:t>
      </w:r>
    </w:p>
    <w:p w14:paraId="215B609F" w14:textId="77777777" w:rsidR="00374000" w:rsidRDefault="00374000" w:rsidP="00374000">
      <w:pPr>
        <w:spacing w:line="360" w:lineRule="auto"/>
        <w:ind w:firstLineChars="200" w:firstLine="420"/>
      </w:pPr>
      <w:r>
        <w:t>四、穴盘育苗的技术流程</w:t>
      </w:r>
    </w:p>
    <w:p w14:paraId="499665E3" w14:textId="77777777" w:rsidR="00374000" w:rsidRDefault="00374000" w:rsidP="00374000">
      <w:pPr>
        <w:spacing w:line="360" w:lineRule="auto"/>
        <w:ind w:firstLineChars="200" w:firstLine="420"/>
      </w:pPr>
      <w:r>
        <w:t>五、穴盘苗的质量控制技术</w:t>
      </w:r>
    </w:p>
    <w:p w14:paraId="29CFA329" w14:textId="77777777" w:rsidR="00374000" w:rsidRDefault="00374000" w:rsidP="00374000">
      <w:pPr>
        <w:rPr>
          <w:szCs w:val="21"/>
        </w:rPr>
      </w:pPr>
      <w:r>
        <w:rPr>
          <w:rFonts w:ascii="宋体" w:hAnsi="宋体" w:hint="eastAsia"/>
          <w:b/>
          <w:bCs/>
          <w:szCs w:val="21"/>
        </w:rPr>
        <w:t>教学组织与实施：</w:t>
      </w:r>
    </w:p>
    <w:p w14:paraId="1DB332BD" w14:textId="77777777" w:rsidR="00374000" w:rsidRDefault="00374000" w:rsidP="00374000">
      <w:pPr>
        <w:spacing w:line="360" w:lineRule="auto"/>
        <w:ind w:firstLineChars="200" w:firstLine="420"/>
      </w:pPr>
      <w:r>
        <w:rPr>
          <w:rFonts w:hint="eastAsia"/>
        </w:rPr>
        <w:t>以讲解法、案例分析法为主；采用图文并茂并</w:t>
      </w:r>
      <w:r>
        <w:t>结合教学视频</w:t>
      </w:r>
      <w:r>
        <w:rPr>
          <w:rFonts w:hint="eastAsia"/>
        </w:rPr>
        <w:t>的方式展示工厂化育苗</w:t>
      </w:r>
      <w:r>
        <w:t>的流程、优秀</w:t>
      </w:r>
      <w:r>
        <w:rPr>
          <w:rFonts w:hint="eastAsia"/>
        </w:rPr>
        <w:t>育苗</w:t>
      </w:r>
      <w:r>
        <w:t>企业园区管理技术要点</w:t>
      </w:r>
      <w:r>
        <w:rPr>
          <w:rFonts w:hint="eastAsia"/>
        </w:rPr>
        <w:t>；结合课堂提问</w:t>
      </w:r>
      <w:r>
        <w:t>互动</w:t>
      </w:r>
      <w:r>
        <w:rPr>
          <w:rFonts w:hint="eastAsia"/>
        </w:rPr>
        <w:t>培养</w:t>
      </w:r>
      <w:r>
        <w:t>学生专业学习兴趣。</w:t>
      </w:r>
      <w:r>
        <w:rPr>
          <w:rFonts w:hint="eastAsia"/>
        </w:rPr>
        <w:t>并结合</w:t>
      </w:r>
      <w:r>
        <w:t>后期实验实地教学让学生熟练掌握穴盘育苗</w:t>
      </w:r>
      <w:r>
        <w:rPr>
          <w:rFonts w:hint="eastAsia"/>
        </w:rPr>
        <w:t>技术</w:t>
      </w:r>
      <w:r>
        <w:t>。</w:t>
      </w:r>
    </w:p>
    <w:p w14:paraId="7EAE4423" w14:textId="77777777" w:rsidR="00374000" w:rsidRDefault="00374000" w:rsidP="00374000">
      <w:pPr>
        <w:spacing w:line="360" w:lineRule="auto"/>
        <w:ind w:firstLineChars="200" w:firstLine="420"/>
      </w:pPr>
    </w:p>
    <w:p w14:paraId="7E78FDDA" w14:textId="77777777" w:rsidR="00374000" w:rsidRDefault="00374000" w:rsidP="00374000">
      <w:pPr>
        <w:spacing w:beforeLines="50" w:before="156" w:afterLines="50" w:after="156" w:line="360" w:lineRule="auto"/>
        <w:ind w:firstLineChars="1700" w:firstLine="3584"/>
        <w:jc w:val="right"/>
        <w:rPr>
          <w:b/>
          <w:bCs/>
        </w:rPr>
      </w:pPr>
      <w:r>
        <w:rPr>
          <w:b/>
          <w:bCs/>
        </w:rPr>
        <w:t>第</w:t>
      </w:r>
      <w:r>
        <w:rPr>
          <w:rFonts w:hint="eastAsia"/>
          <w:b/>
          <w:bCs/>
        </w:rPr>
        <w:t>六</w:t>
      </w:r>
      <w:r>
        <w:rPr>
          <w:b/>
          <w:bCs/>
        </w:rPr>
        <w:t>章</w:t>
      </w:r>
      <w:r>
        <w:rPr>
          <w:b/>
          <w:bCs/>
        </w:rPr>
        <w:t xml:space="preserve">  </w:t>
      </w:r>
      <w:r>
        <w:rPr>
          <w:b/>
          <w:bCs/>
        </w:rPr>
        <w:t>无土栽培</w:t>
      </w:r>
      <w:r>
        <w:rPr>
          <w:rFonts w:hint="eastAsia"/>
          <w:b/>
          <w:bCs/>
        </w:rPr>
        <w:t xml:space="preserve">                   </w:t>
      </w:r>
      <w:r>
        <w:rPr>
          <w:b/>
          <w:bCs/>
        </w:rPr>
        <w:t xml:space="preserve"> </w:t>
      </w:r>
      <w:r>
        <w:rPr>
          <w:b/>
          <w:bCs/>
        </w:rPr>
        <w:t>学时数</w:t>
      </w:r>
      <w:r>
        <w:rPr>
          <w:rFonts w:hint="eastAsia"/>
          <w:b/>
          <w:bCs/>
        </w:rPr>
        <w:t>：</w:t>
      </w:r>
      <w:r>
        <w:rPr>
          <w:rFonts w:hint="eastAsia"/>
          <w:b/>
          <w:bCs/>
        </w:rPr>
        <w:t>4</w:t>
      </w:r>
    </w:p>
    <w:p w14:paraId="02AFA03E" w14:textId="77777777" w:rsidR="00374000" w:rsidRDefault="00374000" w:rsidP="00374000">
      <w:pPr>
        <w:spacing w:line="360" w:lineRule="auto"/>
      </w:pPr>
      <w:r>
        <w:rPr>
          <w:b/>
          <w:bCs/>
        </w:rPr>
        <w:t>教学目</w:t>
      </w:r>
      <w:r>
        <w:rPr>
          <w:rFonts w:hint="eastAsia"/>
          <w:b/>
          <w:bCs/>
        </w:rPr>
        <w:t>标</w:t>
      </w:r>
      <w:r>
        <w:t>：学习和了解无土栽培技术的概念和主要类型和方法</w:t>
      </w:r>
    </w:p>
    <w:p w14:paraId="26A30A5F" w14:textId="77777777" w:rsidR="00374000" w:rsidRDefault="00374000" w:rsidP="00374000">
      <w:pPr>
        <w:tabs>
          <w:tab w:val="left" w:pos="4770"/>
        </w:tabs>
        <w:spacing w:line="360" w:lineRule="auto"/>
      </w:pPr>
      <w:r>
        <w:rPr>
          <w:b/>
          <w:bCs/>
        </w:rPr>
        <w:t>教学重点和难点</w:t>
      </w:r>
      <w:r>
        <w:t xml:space="preserve">: </w:t>
      </w:r>
      <w:r>
        <w:t>无土栽培基质和营养液配制</w:t>
      </w:r>
      <w:r>
        <w:tab/>
      </w:r>
    </w:p>
    <w:p w14:paraId="57D1998E" w14:textId="77777777" w:rsidR="00374000" w:rsidRDefault="00374000" w:rsidP="00374000">
      <w:pPr>
        <w:spacing w:line="360" w:lineRule="auto"/>
      </w:pPr>
      <w:r>
        <w:rPr>
          <w:b/>
          <w:bCs/>
        </w:rPr>
        <w:t>主要教学内容及要求</w:t>
      </w:r>
      <w:r>
        <w:t>：</w:t>
      </w:r>
      <w:r>
        <w:rPr>
          <w:rFonts w:hint="eastAsia"/>
        </w:rPr>
        <w:t>了解</w:t>
      </w:r>
      <w:r>
        <w:t>无土栽培的发展历史及研究进展，</w:t>
      </w:r>
      <w:r>
        <w:rPr>
          <w:rFonts w:hint="eastAsia"/>
        </w:rPr>
        <w:t>理解</w:t>
      </w:r>
      <w:r>
        <w:t>无土栽培的概念、</w:t>
      </w:r>
      <w:r>
        <w:rPr>
          <w:rFonts w:hint="eastAsia"/>
        </w:rPr>
        <w:t>不同</w:t>
      </w:r>
      <w:r>
        <w:t>无土栽培的类型及分类；掌握</w:t>
      </w:r>
      <w:r>
        <w:rPr>
          <w:rFonts w:hint="eastAsia"/>
        </w:rPr>
        <w:t>无土栽培</w:t>
      </w:r>
      <w:r>
        <w:t>营养液的配制技术，</w:t>
      </w:r>
      <w:r>
        <w:rPr>
          <w:rFonts w:hint="eastAsia"/>
        </w:rPr>
        <w:t>熟练</w:t>
      </w:r>
      <w:r>
        <w:t>掌握</w:t>
      </w:r>
      <w:r>
        <w:rPr>
          <w:rFonts w:hint="eastAsia"/>
        </w:rPr>
        <w:t>无土栽培中</w:t>
      </w:r>
      <w:r>
        <w:t>基质的选择及营养液的管理。</w:t>
      </w:r>
    </w:p>
    <w:p w14:paraId="1EFCD287" w14:textId="77777777" w:rsidR="00374000" w:rsidRDefault="00374000" w:rsidP="00374000">
      <w:pPr>
        <w:spacing w:line="360" w:lineRule="auto"/>
        <w:rPr>
          <w:b/>
        </w:rPr>
      </w:pPr>
      <w:r>
        <w:rPr>
          <w:b/>
        </w:rPr>
        <w:t>第</w:t>
      </w:r>
      <w:r>
        <w:rPr>
          <w:rFonts w:hint="eastAsia"/>
          <w:b/>
        </w:rPr>
        <w:t>一</w:t>
      </w:r>
      <w:r>
        <w:rPr>
          <w:b/>
        </w:rPr>
        <w:t>节</w:t>
      </w:r>
      <w:r>
        <w:rPr>
          <w:b/>
        </w:rPr>
        <w:t xml:space="preserve">  </w:t>
      </w:r>
      <w:r>
        <w:rPr>
          <w:rFonts w:hint="eastAsia"/>
          <w:b/>
        </w:rPr>
        <w:t>无土栽培</w:t>
      </w:r>
      <w:r>
        <w:rPr>
          <w:b/>
        </w:rPr>
        <w:t>概念及分类</w:t>
      </w:r>
    </w:p>
    <w:p w14:paraId="642534C5" w14:textId="77777777" w:rsidR="00374000" w:rsidRDefault="00374000" w:rsidP="00374000">
      <w:pPr>
        <w:spacing w:line="360" w:lineRule="auto"/>
        <w:ind w:firstLineChars="200" w:firstLine="420"/>
      </w:pPr>
      <w:r>
        <w:t>了解</w:t>
      </w:r>
      <w:r>
        <w:rPr>
          <w:rFonts w:hint="eastAsia"/>
        </w:rPr>
        <w:t>无土栽培的</w:t>
      </w:r>
      <w:r>
        <w:t>发展概况</w:t>
      </w:r>
      <w:r>
        <w:rPr>
          <w:rFonts w:hint="eastAsia"/>
        </w:rPr>
        <w:t>。</w:t>
      </w:r>
    </w:p>
    <w:p w14:paraId="02665E75" w14:textId="77777777" w:rsidR="00374000" w:rsidRDefault="00374000" w:rsidP="00374000">
      <w:pPr>
        <w:spacing w:line="360" w:lineRule="auto"/>
        <w:ind w:firstLineChars="200" w:firstLine="420"/>
      </w:pPr>
      <w:r>
        <w:t>理解</w:t>
      </w:r>
      <w:r>
        <w:rPr>
          <w:rFonts w:hint="eastAsia"/>
        </w:rPr>
        <w:t>无土栽培</w:t>
      </w:r>
      <w:r>
        <w:t>的类型与分类</w:t>
      </w:r>
      <w:r>
        <w:rPr>
          <w:rFonts w:hint="eastAsia"/>
        </w:rPr>
        <w:t>。</w:t>
      </w:r>
    </w:p>
    <w:p w14:paraId="2C426FC5" w14:textId="77777777" w:rsidR="00374000" w:rsidRDefault="00374000" w:rsidP="00374000">
      <w:pPr>
        <w:spacing w:line="360" w:lineRule="auto"/>
        <w:ind w:firstLineChars="200" w:firstLine="420"/>
      </w:pPr>
      <w:r>
        <w:t>掌握</w:t>
      </w:r>
      <w:r>
        <w:rPr>
          <w:rFonts w:hint="eastAsia"/>
        </w:rPr>
        <w:t>营养液的</w:t>
      </w:r>
      <w:r>
        <w:t>配制及管理</w:t>
      </w:r>
      <w:r>
        <w:rPr>
          <w:rFonts w:hint="eastAsia"/>
        </w:rPr>
        <w:t>。</w:t>
      </w:r>
    </w:p>
    <w:p w14:paraId="0BC69411" w14:textId="77777777" w:rsidR="00374000" w:rsidRDefault="00374000" w:rsidP="00374000">
      <w:pPr>
        <w:spacing w:line="360" w:lineRule="auto"/>
        <w:ind w:firstLineChars="200" w:firstLine="420"/>
      </w:pPr>
      <w:r>
        <w:t>一、</w:t>
      </w:r>
      <w:r>
        <w:rPr>
          <w:rFonts w:hint="eastAsia"/>
        </w:rPr>
        <w:t>无土栽培</w:t>
      </w:r>
      <w:r>
        <w:t>的发展概况</w:t>
      </w:r>
    </w:p>
    <w:p w14:paraId="5C2AFCD5" w14:textId="77777777" w:rsidR="00374000" w:rsidRDefault="00374000" w:rsidP="00374000">
      <w:pPr>
        <w:spacing w:line="360" w:lineRule="auto"/>
        <w:ind w:firstLineChars="200" w:firstLine="420"/>
      </w:pPr>
      <w:r>
        <w:t>二、</w:t>
      </w:r>
      <w:r>
        <w:rPr>
          <w:rFonts w:hint="eastAsia"/>
        </w:rPr>
        <w:t>无土栽培的</w:t>
      </w:r>
      <w:r>
        <w:t>类型与分类</w:t>
      </w:r>
    </w:p>
    <w:p w14:paraId="78325B1B" w14:textId="77777777" w:rsidR="00374000" w:rsidRDefault="00374000" w:rsidP="00374000">
      <w:pPr>
        <w:spacing w:line="360" w:lineRule="auto"/>
        <w:ind w:firstLineChars="200" w:firstLine="420"/>
      </w:pPr>
      <w:r>
        <w:rPr>
          <w:rFonts w:hint="eastAsia"/>
        </w:rPr>
        <w:t>三</w:t>
      </w:r>
      <w:r>
        <w:t>、营养液的配制及管理</w:t>
      </w:r>
    </w:p>
    <w:p w14:paraId="3EDE11F2" w14:textId="77777777" w:rsidR="00374000" w:rsidRDefault="00374000" w:rsidP="00374000">
      <w:pPr>
        <w:spacing w:line="360" w:lineRule="auto"/>
        <w:rPr>
          <w:b/>
        </w:rPr>
      </w:pPr>
      <w:r>
        <w:rPr>
          <w:b/>
        </w:rPr>
        <w:t>第</w:t>
      </w:r>
      <w:r>
        <w:rPr>
          <w:rFonts w:hint="eastAsia"/>
          <w:b/>
        </w:rPr>
        <w:t>二</w:t>
      </w:r>
      <w:r>
        <w:rPr>
          <w:b/>
        </w:rPr>
        <w:t>节</w:t>
      </w:r>
      <w:r>
        <w:rPr>
          <w:b/>
        </w:rPr>
        <w:t xml:space="preserve">  </w:t>
      </w:r>
      <w:r>
        <w:rPr>
          <w:rFonts w:hint="eastAsia"/>
          <w:b/>
        </w:rPr>
        <w:t>固体基质</w:t>
      </w:r>
      <w:r>
        <w:rPr>
          <w:b/>
        </w:rPr>
        <w:t>栽培技术</w:t>
      </w:r>
    </w:p>
    <w:p w14:paraId="6863438F" w14:textId="77777777" w:rsidR="00374000" w:rsidRDefault="00374000" w:rsidP="00374000">
      <w:pPr>
        <w:spacing w:line="360" w:lineRule="auto"/>
        <w:ind w:firstLineChars="200" w:firstLine="420"/>
      </w:pPr>
      <w:r>
        <w:t>了解</w:t>
      </w:r>
      <w:r>
        <w:rPr>
          <w:rFonts w:hint="eastAsia"/>
        </w:rPr>
        <w:t>固体基质的分类</w:t>
      </w:r>
      <w:r>
        <w:t>及发展概况</w:t>
      </w:r>
      <w:r>
        <w:rPr>
          <w:rFonts w:hint="eastAsia"/>
        </w:rPr>
        <w:t>。</w:t>
      </w:r>
    </w:p>
    <w:p w14:paraId="4323AC33" w14:textId="77777777" w:rsidR="00374000" w:rsidRDefault="00374000" w:rsidP="00374000">
      <w:pPr>
        <w:spacing w:line="360" w:lineRule="auto"/>
        <w:ind w:firstLineChars="200" w:firstLine="420"/>
      </w:pPr>
      <w:r>
        <w:t>理解</w:t>
      </w:r>
      <w:r>
        <w:rPr>
          <w:rFonts w:hint="eastAsia"/>
        </w:rPr>
        <w:t>固体基质</w:t>
      </w:r>
      <w:r>
        <w:t>的类型与分类</w:t>
      </w:r>
      <w:r>
        <w:rPr>
          <w:rFonts w:hint="eastAsia"/>
        </w:rPr>
        <w:t>。</w:t>
      </w:r>
    </w:p>
    <w:p w14:paraId="4A9205E8" w14:textId="77777777" w:rsidR="00374000" w:rsidRDefault="00374000" w:rsidP="00374000">
      <w:pPr>
        <w:spacing w:line="360" w:lineRule="auto"/>
        <w:ind w:firstLineChars="200" w:firstLine="420"/>
      </w:pPr>
      <w:r>
        <w:t>掌握</w:t>
      </w:r>
      <w:r>
        <w:rPr>
          <w:rFonts w:hint="eastAsia"/>
        </w:rPr>
        <w:t>固体基质的</w:t>
      </w:r>
      <w:r>
        <w:t>配制及管理</w:t>
      </w:r>
      <w:r>
        <w:rPr>
          <w:rFonts w:hint="eastAsia"/>
        </w:rPr>
        <w:t>。</w:t>
      </w:r>
    </w:p>
    <w:p w14:paraId="5EF965E7" w14:textId="77777777" w:rsidR="00374000" w:rsidRDefault="00374000" w:rsidP="00374000">
      <w:pPr>
        <w:spacing w:line="360" w:lineRule="auto"/>
        <w:ind w:firstLineChars="200" w:firstLine="420"/>
      </w:pPr>
      <w:r>
        <w:t>一、</w:t>
      </w:r>
      <w:r>
        <w:rPr>
          <w:rFonts w:hint="eastAsia"/>
        </w:rPr>
        <w:t>固体基质</w:t>
      </w:r>
      <w:r>
        <w:t>的发展概况</w:t>
      </w:r>
    </w:p>
    <w:p w14:paraId="20C739D8" w14:textId="77777777" w:rsidR="00374000" w:rsidRDefault="00374000" w:rsidP="00374000">
      <w:pPr>
        <w:spacing w:line="360" w:lineRule="auto"/>
        <w:ind w:firstLineChars="200" w:firstLine="420"/>
      </w:pPr>
      <w:r>
        <w:t>二、</w:t>
      </w:r>
      <w:r>
        <w:rPr>
          <w:rFonts w:hint="eastAsia"/>
        </w:rPr>
        <w:t>固体基质的</w:t>
      </w:r>
      <w:r>
        <w:t>类型与分类</w:t>
      </w:r>
    </w:p>
    <w:p w14:paraId="1602CEAA" w14:textId="77777777" w:rsidR="00374000" w:rsidRDefault="00374000" w:rsidP="00374000">
      <w:pPr>
        <w:spacing w:line="360" w:lineRule="auto"/>
        <w:ind w:firstLineChars="200" w:firstLine="420"/>
      </w:pPr>
      <w:r>
        <w:rPr>
          <w:rFonts w:hint="eastAsia"/>
        </w:rPr>
        <w:t>三</w:t>
      </w:r>
      <w:r>
        <w:t>、</w:t>
      </w:r>
      <w:r>
        <w:rPr>
          <w:rFonts w:hint="eastAsia"/>
        </w:rPr>
        <w:t>固体基质</w:t>
      </w:r>
      <w:r>
        <w:t>配制及</w:t>
      </w:r>
      <w:r>
        <w:rPr>
          <w:rFonts w:hint="eastAsia"/>
        </w:rPr>
        <w:t>栽培</w:t>
      </w:r>
      <w:r>
        <w:t>管理</w:t>
      </w:r>
      <w:r>
        <w:rPr>
          <w:rFonts w:hint="eastAsia"/>
        </w:rPr>
        <w:t>技术</w:t>
      </w:r>
    </w:p>
    <w:p w14:paraId="04BF1645" w14:textId="77777777" w:rsidR="00374000" w:rsidRDefault="00374000" w:rsidP="00374000">
      <w:pPr>
        <w:widowControl/>
        <w:snapToGrid w:val="0"/>
        <w:spacing w:line="360" w:lineRule="auto"/>
        <w:rPr>
          <w:rFonts w:ascii="宋体" w:hAnsi="宋体"/>
          <w:b/>
          <w:bCs/>
          <w:szCs w:val="21"/>
        </w:rPr>
      </w:pPr>
      <w:r>
        <w:rPr>
          <w:rFonts w:ascii="宋体" w:hAnsi="宋体" w:hint="eastAsia"/>
          <w:b/>
          <w:bCs/>
          <w:szCs w:val="21"/>
        </w:rPr>
        <w:lastRenderedPageBreak/>
        <w:t>教学组织与实施：</w:t>
      </w:r>
      <w:r>
        <w:rPr>
          <w:rFonts w:ascii="宋体" w:hAnsi="宋体" w:hint="eastAsia"/>
          <w:szCs w:val="21"/>
        </w:rPr>
        <w:t>利用多媒体设备，根据学生的理解程度对知识点进行讲解；以不同基质</w:t>
      </w:r>
      <w:r>
        <w:rPr>
          <w:rFonts w:ascii="宋体" w:hAnsi="宋体"/>
          <w:szCs w:val="21"/>
        </w:rPr>
        <w:t>种类实物在课堂中让学生亲身感受，加强对无土栽培固体基质类型</w:t>
      </w:r>
      <w:r>
        <w:rPr>
          <w:rFonts w:ascii="宋体" w:hAnsi="宋体" w:hint="eastAsia"/>
          <w:szCs w:val="21"/>
        </w:rPr>
        <w:t>的</w:t>
      </w:r>
      <w:r>
        <w:rPr>
          <w:rFonts w:ascii="宋体" w:hAnsi="宋体"/>
          <w:szCs w:val="21"/>
        </w:rPr>
        <w:t>区分</w:t>
      </w:r>
      <w:r>
        <w:rPr>
          <w:rFonts w:ascii="宋体" w:hAnsi="宋体" w:hint="eastAsia"/>
          <w:szCs w:val="21"/>
        </w:rPr>
        <w:t>；分小组讨论无土栽培发展中存在的问题及解决办法。</w:t>
      </w:r>
    </w:p>
    <w:p w14:paraId="31C6059F" w14:textId="77777777" w:rsidR="00374000" w:rsidRDefault="00374000" w:rsidP="00374000">
      <w:pPr>
        <w:widowControl/>
        <w:snapToGrid w:val="0"/>
        <w:spacing w:line="360" w:lineRule="auto"/>
        <w:jc w:val="left"/>
      </w:pPr>
    </w:p>
    <w:p w14:paraId="14D27337" w14:textId="77777777" w:rsidR="00374000" w:rsidRDefault="00374000" w:rsidP="00374000">
      <w:pPr>
        <w:rPr>
          <w:rFonts w:ascii="宋体" w:hAnsi="宋体"/>
          <w:b/>
          <w:bCs/>
          <w:kern w:val="0"/>
          <w:szCs w:val="21"/>
        </w:rPr>
      </w:pPr>
      <w:r>
        <w:rPr>
          <w:rFonts w:ascii="宋体" w:hAnsi="宋体" w:hint="eastAsia"/>
          <w:b/>
          <w:bCs/>
          <w:kern w:val="0"/>
          <w:szCs w:val="21"/>
        </w:rPr>
        <w:t>五、课程思政</w:t>
      </w:r>
    </w:p>
    <w:p w14:paraId="689ABF46" w14:textId="77777777" w:rsidR="00374000" w:rsidRDefault="00374000" w:rsidP="00374000">
      <w:pPr>
        <w:spacing w:line="360" w:lineRule="auto"/>
        <w:ind w:firstLineChars="200" w:firstLine="420"/>
        <w:rPr>
          <w:rFonts w:ascii="宋体" w:hAnsi="宋体"/>
          <w:bCs/>
          <w:kern w:val="0"/>
          <w:szCs w:val="21"/>
        </w:rPr>
      </w:pPr>
      <w:r>
        <w:rPr>
          <w:rFonts w:ascii="宋体" w:hAnsi="宋体" w:hint="eastAsia"/>
          <w:bCs/>
          <w:kern w:val="0"/>
          <w:szCs w:val="21"/>
        </w:rPr>
        <w:t>根据该课程的特点，结合设施园艺的主要内容，在理论和实验教学的各个环节，融入思政教育元素，培养适应国家、中原地区和河南地方经济发展需要，具备扎实的自然科学、人文社会科学知识的新时代高级复合型人才。具体目标如下：</w:t>
      </w:r>
    </w:p>
    <w:p w14:paraId="13A8C669" w14:textId="77777777" w:rsidR="00374000" w:rsidRDefault="00374000" w:rsidP="00374000">
      <w:pPr>
        <w:spacing w:line="360" w:lineRule="auto"/>
        <w:ind w:firstLineChars="200" w:firstLine="420"/>
        <w:rPr>
          <w:rFonts w:ascii="宋体" w:hAnsi="宋体"/>
          <w:bCs/>
          <w:kern w:val="0"/>
          <w:szCs w:val="21"/>
        </w:rPr>
      </w:pPr>
      <w:r>
        <w:rPr>
          <w:rFonts w:ascii="宋体" w:hAnsi="宋体" w:hint="eastAsia"/>
          <w:bCs/>
          <w:kern w:val="0"/>
          <w:szCs w:val="21"/>
        </w:rPr>
        <w:t>（1）了解设施园艺在国民经济和人民生活中的重要地位和作用，掌握国内外设施园艺的发展历史、现状及未来前景，引导学生厚植爱国主义情怀，增强学生服务农业农村现代化和服务乡村振兴的使命感和责任感。</w:t>
      </w:r>
    </w:p>
    <w:p w14:paraId="4CD065C9" w14:textId="77777777" w:rsidR="00374000" w:rsidRDefault="00374000" w:rsidP="00374000">
      <w:pPr>
        <w:spacing w:line="360" w:lineRule="auto"/>
        <w:ind w:firstLineChars="200" w:firstLine="420"/>
        <w:rPr>
          <w:rFonts w:ascii="宋体" w:hAnsi="宋体"/>
          <w:bCs/>
          <w:kern w:val="0"/>
          <w:szCs w:val="21"/>
        </w:rPr>
      </w:pPr>
      <w:r>
        <w:rPr>
          <w:rFonts w:ascii="宋体" w:hAnsi="宋体" w:hint="eastAsia"/>
          <w:bCs/>
          <w:kern w:val="0"/>
          <w:szCs w:val="21"/>
        </w:rPr>
        <w:t>（2）通过对中国设施栽培的悠久历史和新中国成立以来中国设施园艺产业取得巨大成就的介绍，培养学生对“四个自信”的认知，即使同学们坚信在中国共产党领导下，中国设施园艺产业将会更加繁荣，人民生活也会更加美好。</w:t>
      </w:r>
    </w:p>
    <w:p w14:paraId="71DDC056" w14:textId="77777777" w:rsidR="00374000" w:rsidRDefault="00374000" w:rsidP="00374000">
      <w:pPr>
        <w:spacing w:line="360" w:lineRule="auto"/>
        <w:ind w:firstLineChars="200" w:firstLine="420"/>
        <w:rPr>
          <w:rFonts w:ascii="宋体" w:hAnsi="宋体"/>
          <w:bCs/>
          <w:kern w:val="0"/>
          <w:szCs w:val="21"/>
        </w:rPr>
      </w:pPr>
      <w:r>
        <w:rPr>
          <w:rFonts w:ascii="宋体" w:hAnsi="宋体" w:hint="eastAsia"/>
          <w:bCs/>
          <w:kern w:val="0"/>
          <w:szCs w:val="21"/>
        </w:rPr>
        <w:t>（3）了解园艺设施类型和园艺设施覆盖材料从无到有、从简单到复杂、从初级到高级，种类越来越丰富，功能越来越齐全的发展规律，引导学生养成求真崇实、敢于探索、坚定执着的科学精神和精益求精的大国工匠精神。</w:t>
      </w:r>
    </w:p>
    <w:p w14:paraId="632887CB" w14:textId="77777777" w:rsidR="00374000" w:rsidRDefault="00374000" w:rsidP="00374000">
      <w:pPr>
        <w:spacing w:line="360" w:lineRule="auto"/>
        <w:ind w:firstLineChars="200" w:firstLine="420"/>
        <w:rPr>
          <w:rFonts w:ascii="宋体" w:hAnsi="宋体"/>
          <w:bCs/>
          <w:kern w:val="0"/>
          <w:szCs w:val="21"/>
        </w:rPr>
      </w:pPr>
      <w:r>
        <w:rPr>
          <w:rFonts w:ascii="宋体" w:hAnsi="宋体" w:hint="eastAsia"/>
          <w:bCs/>
          <w:kern w:val="0"/>
          <w:szCs w:val="21"/>
        </w:rPr>
        <w:t>（4）设施园艺学理论和实践教学紧密结合，实验教学过程中以小组分工、合作形式展开，注重学生沟通表达和协调能力、组织协调能力、团队合作精神的培养，使学生在实操过程中体会专业精神、团队精神、创新意识、纪律意识和集体荣誉感。</w:t>
      </w:r>
    </w:p>
    <w:p w14:paraId="24EE6DF5" w14:textId="77777777" w:rsidR="00374000" w:rsidRDefault="00374000" w:rsidP="00374000">
      <w:pPr>
        <w:ind w:firstLineChars="200" w:firstLine="420"/>
        <w:rPr>
          <w:rFonts w:ascii="宋体" w:hAnsi="宋体"/>
          <w:bCs/>
          <w:kern w:val="0"/>
          <w:szCs w:val="21"/>
        </w:rPr>
      </w:pPr>
    </w:p>
    <w:p w14:paraId="69FD2977" w14:textId="77777777" w:rsidR="00374000" w:rsidRDefault="00374000" w:rsidP="00374000">
      <w:pPr>
        <w:rPr>
          <w:szCs w:val="21"/>
        </w:rPr>
      </w:pPr>
      <w:r>
        <w:rPr>
          <w:rFonts w:ascii="宋体" w:hAnsi="宋体" w:hint="eastAsia"/>
          <w:b/>
          <w:bCs/>
          <w:kern w:val="0"/>
          <w:szCs w:val="21"/>
        </w:rPr>
        <w:t>六</w:t>
      </w:r>
      <w:r>
        <w:rPr>
          <w:rFonts w:ascii="宋体" w:hAnsi="宋体"/>
          <w:b/>
          <w:bCs/>
          <w:kern w:val="0"/>
          <w:szCs w:val="21"/>
        </w:rPr>
        <w:t>、使用教材</w:t>
      </w:r>
      <w:r>
        <w:rPr>
          <w:rFonts w:ascii="宋体" w:hAnsi="宋体" w:hint="eastAsia"/>
          <w:szCs w:val="21"/>
        </w:rPr>
        <w:t>（教材的选用应符合教育部和学校教材选用规定，教学资源丰富多样，体现思想性、科学性与时代性）</w:t>
      </w:r>
    </w:p>
    <w:p w14:paraId="302CB5CA" w14:textId="77777777" w:rsidR="00374000" w:rsidRDefault="00374000" w:rsidP="00374000">
      <w:pPr>
        <w:widowControl/>
        <w:snapToGrid w:val="0"/>
        <w:spacing w:line="360" w:lineRule="auto"/>
        <w:ind w:firstLineChars="200" w:firstLine="422"/>
        <w:jc w:val="left"/>
        <w:rPr>
          <w:rFonts w:hAnsi="宋体"/>
          <w:b/>
          <w:bCs/>
          <w:kern w:val="0"/>
          <w:szCs w:val="21"/>
        </w:rPr>
      </w:pPr>
      <w:r>
        <w:rPr>
          <w:b/>
          <w:bCs/>
          <w:kern w:val="0"/>
          <w:szCs w:val="21"/>
        </w:rPr>
        <w:t>1</w:t>
      </w:r>
      <w:r>
        <w:rPr>
          <w:rFonts w:hAnsi="宋体" w:hint="eastAsia"/>
          <w:b/>
          <w:bCs/>
          <w:kern w:val="0"/>
          <w:szCs w:val="21"/>
        </w:rPr>
        <w:t>.</w:t>
      </w:r>
      <w:r>
        <w:rPr>
          <w:rFonts w:ascii="宋体" w:hAnsi="宋体" w:hint="eastAsia"/>
          <w:b/>
          <w:bCs/>
          <w:kern w:val="0"/>
          <w:szCs w:val="21"/>
        </w:rPr>
        <w:t>选用</w:t>
      </w:r>
      <w:r>
        <w:rPr>
          <w:rFonts w:ascii="宋体" w:hAnsi="宋体"/>
          <w:b/>
          <w:bCs/>
          <w:kern w:val="0"/>
          <w:szCs w:val="21"/>
        </w:rPr>
        <w:t>教材：</w:t>
      </w:r>
    </w:p>
    <w:p w14:paraId="3E46CE04" w14:textId="77777777" w:rsidR="00374000" w:rsidRDefault="00374000" w:rsidP="00374000">
      <w:pPr>
        <w:widowControl/>
        <w:snapToGrid w:val="0"/>
        <w:spacing w:line="360" w:lineRule="auto"/>
        <w:ind w:firstLineChars="200" w:firstLine="420"/>
        <w:jc w:val="left"/>
        <w:rPr>
          <w:szCs w:val="21"/>
        </w:rPr>
      </w:pPr>
      <w:r>
        <w:rPr>
          <w:rFonts w:ascii="宋体" w:hAnsi="宋体"/>
          <w:kern w:val="0"/>
          <w:szCs w:val="21"/>
        </w:rPr>
        <w:t>（</w:t>
      </w:r>
      <w:r>
        <w:rPr>
          <w:kern w:val="0"/>
          <w:szCs w:val="21"/>
        </w:rPr>
        <w:t>1</w:t>
      </w:r>
      <w:r>
        <w:rPr>
          <w:rFonts w:ascii="宋体" w:hAnsi="宋体"/>
          <w:kern w:val="0"/>
          <w:szCs w:val="21"/>
        </w:rPr>
        <w:t>）理论课教材：</w:t>
      </w:r>
      <w:r>
        <w:rPr>
          <w:rFonts w:ascii="宋体" w:hAnsi="宋体"/>
          <w:szCs w:val="21"/>
        </w:rPr>
        <w:t>设施园艺学（第三版），郭世荣，孙锦编著，中国农业出版社，</w:t>
      </w:r>
      <w:r>
        <w:rPr>
          <w:szCs w:val="21"/>
        </w:rPr>
        <w:t>2020</w:t>
      </w:r>
      <w:r>
        <w:rPr>
          <w:rFonts w:ascii="宋体" w:hAnsi="宋体"/>
          <w:szCs w:val="21"/>
        </w:rPr>
        <w:t>年</w:t>
      </w:r>
    </w:p>
    <w:p w14:paraId="3D5A3BCE" w14:textId="77777777" w:rsidR="00374000" w:rsidRDefault="00374000" w:rsidP="00374000">
      <w:pPr>
        <w:widowControl/>
        <w:snapToGrid w:val="0"/>
        <w:spacing w:line="360" w:lineRule="auto"/>
        <w:ind w:firstLineChars="200" w:firstLine="420"/>
        <w:jc w:val="left"/>
        <w:rPr>
          <w:kern w:val="0"/>
          <w:szCs w:val="21"/>
        </w:rPr>
      </w:pPr>
      <w:r>
        <w:rPr>
          <w:rFonts w:ascii="宋体" w:hAnsi="宋体"/>
          <w:szCs w:val="21"/>
        </w:rPr>
        <w:t>（</w:t>
      </w:r>
      <w:r>
        <w:rPr>
          <w:szCs w:val="21"/>
        </w:rPr>
        <w:t>2</w:t>
      </w:r>
      <w:r>
        <w:rPr>
          <w:rFonts w:ascii="宋体" w:hAnsi="宋体"/>
          <w:szCs w:val="21"/>
        </w:rPr>
        <w:t>）实验课教材：设施园艺学（第三版），郭世荣，孙锦编著，中国农业出版社，</w:t>
      </w:r>
      <w:r>
        <w:rPr>
          <w:szCs w:val="21"/>
        </w:rPr>
        <w:t>2020</w:t>
      </w:r>
      <w:r>
        <w:rPr>
          <w:rFonts w:ascii="宋体" w:hAnsi="宋体"/>
          <w:szCs w:val="21"/>
        </w:rPr>
        <w:t>年</w:t>
      </w:r>
    </w:p>
    <w:p w14:paraId="49B52B32" w14:textId="77777777" w:rsidR="00374000" w:rsidRDefault="00374000" w:rsidP="00374000">
      <w:pPr>
        <w:widowControl/>
        <w:snapToGrid w:val="0"/>
        <w:spacing w:line="360" w:lineRule="auto"/>
        <w:ind w:firstLineChars="200" w:firstLine="420"/>
        <w:jc w:val="left"/>
        <w:rPr>
          <w:kern w:val="0"/>
          <w:szCs w:val="21"/>
        </w:rPr>
      </w:pPr>
      <w:r>
        <w:rPr>
          <w:rFonts w:ascii="宋体" w:hAnsi="宋体"/>
          <w:szCs w:val="21"/>
        </w:rPr>
        <w:t>（</w:t>
      </w:r>
      <w:r>
        <w:rPr>
          <w:szCs w:val="21"/>
        </w:rPr>
        <w:t>3</w:t>
      </w:r>
      <w:r>
        <w:rPr>
          <w:rFonts w:ascii="宋体" w:hAnsi="宋体"/>
          <w:szCs w:val="21"/>
        </w:rPr>
        <w:t>）实习指导书：设施园艺学（第三版），郭世荣，孙锦编著，中国农业出版社，</w:t>
      </w:r>
      <w:r>
        <w:rPr>
          <w:szCs w:val="21"/>
        </w:rPr>
        <w:t>2020</w:t>
      </w:r>
      <w:r>
        <w:rPr>
          <w:rFonts w:ascii="宋体" w:hAnsi="宋体"/>
          <w:szCs w:val="21"/>
        </w:rPr>
        <w:t>年</w:t>
      </w:r>
    </w:p>
    <w:p w14:paraId="46470371" w14:textId="77777777" w:rsidR="00374000" w:rsidRDefault="00374000" w:rsidP="00374000">
      <w:pPr>
        <w:widowControl/>
        <w:snapToGrid w:val="0"/>
        <w:spacing w:line="360" w:lineRule="auto"/>
        <w:ind w:firstLineChars="200" w:firstLine="422"/>
        <w:jc w:val="left"/>
        <w:rPr>
          <w:kern w:val="0"/>
          <w:szCs w:val="21"/>
        </w:rPr>
      </w:pPr>
      <w:r>
        <w:rPr>
          <w:b/>
          <w:bCs/>
          <w:kern w:val="0"/>
          <w:szCs w:val="21"/>
        </w:rPr>
        <w:t>2</w:t>
      </w:r>
      <w:r>
        <w:rPr>
          <w:rFonts w:hAnsi="宋体" w:hint="eastAsia"/>
          <w:b/>
          <w:bCs/>
          <w:kern w:val="0"/>
          <w:szCs w:val="21"/>
        </w:rPr>
        <w:t>.</w:t>
      </w:r>
      <w:r>
        <w:rPr>
          <w:rFonts w:ascii="宋体" w:hAnsi="宋体"/>
          <w:b/>
          <w:bCs/>
          <w:kern w:val="0"/>
          <w:szCs w:val="21"/>
        </w:rPr>
        <w:t>参考书：</w:t>
      </w:r>
    </w:p>
    <w:p w14:paraId="2D5BDD92" w14:textId="77777777" w:rsidR="00374000" w:rsidRDefault="00374000" w:rsidP="00374000">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1</w:t>
      </w:r>
      <w:r>
        <w:rPr>
          <w:rFonts w:ascii="宋体" w:hAnsi="宋体" w:hint="eastAsia"/>
          <w:szCs w:val="21"/>
        </w:rPr>
        <w:t>）</w:t>
      </w:r>
      <w:r>
        <w:rPr>
          <w:rFonts w:ascii="宋体" w:hAnsi="宋体"/>
          <w:szCs w:val="21"/>
        </w:rPr>
        <w:t>设施园艺学</w:t>
      </w:r>
      <w:r>
        <w:rPr>
          <w:rFonts w:ascii="宋体" w:hAnsi="宋体" w:hint="eastAsia"/>
          <w:szCs w:val="21"/>
        </w:rPr>
        <w:t>．</w:t>
      </w:r>
      <w:r>
        <w:rPr>
          <w:rFonts w:ascii="宋体" w:hAnsi="宋体"/>
          <w:szCs w:val="21"/>
        </w:rPr>
        <w:t>张福墁主编</w:t>
      </w:r>
      <w:r>
        <w:rPr>
          <w:rFonts w:ascii="宋体" w:hAnsi="宋体" w:hint="eastAsia"/>
          <w:szCs w:val="21"/>
        </w:rPr>
        <w:t>．</w:t>
      </w:r>
      <w:r>
        <w:rPr>
          <w:rFonts w:ascii="宋体" w:hAnsi="宋体"/>
          <w:szCs w:val="21"/>
        </w:rPr>
        <w:t>北京：中国农业出版社，</w:t>
      </w:r>
      <w:r>
        <w:rPr>
          <w:szCs w:val="21"/>
        </w:rPr>
        <w:t>2014</w:t>
      </w:r>
      <w:r>
        <w:rPr>
          <w:rFonts w:ascii="宋体" w:hAnsi="宋体"/>
          <w:szCs w:val="21"/>
        </w:rPr>
        <w:t>年第</w:t>
      </w:r>
      <w:r>
        <w:rPr>
          <w:szCs w:val="21"/>
        </w:rPr>
        <w:t>2</w:t>
      </w:r>
      <w:r>
        <w:rPr>
          <w:rFonts w:ascii="宋体" w:hAnsi="宋体"/>
          <w:szCs w:val="21"/>
        </w:rPr>
        <w:t>版</w:t>
      </w:r>
    </w:p>
    <w:p w14:paraId="384FE383" w14:textId="77777777" w:rsidR="00374000" w:rsidRDefault="00374000" w:rsidP="00374000">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2</w:t>
      </w:r>
      <w:r>
        <w:rPr>
          <w:rFonts w:ascii="宋体" w:hAnsi="宋体" w:hint="eastAsia"/>
          <w:szCs w:val="21"/>
        </w:rPr>
        <w:t>）</w:t>
      </w:r>
      <w:r>
        <w:rPr>
          <w:rFonts w:ascii="宋体" w:hAnsi="宋体"/>
          <w:szCs w:val="21"/>
        </w:rPr>
        <w:t>蔬菜栽培学保护地栽培（第二版）</w:t>
      </w:r>
      <w:r>
        <w:rPr>
          <w:rFonts w:ascii="宋体" w:hAnsi="宋体" w:hint="eastAsia"/>
          <w:szCs w:val="21"/>
        </w:rPr>
        <w:t>．</w:t>
      </w:r>
      <w:r>
        <w:rPr>
          <w:rFonts w:ascii="宋体" w:hAnsi="宋体"/>
          <w:szCs w:val="21"/>
        </w:rPr>
        <w:t>北京农业大学主编</w:t>
      </w:r>
      <w:r>
        <w:rPr>
          <w:rFonts w:ascii="宋体" w:hAnsi="宋体" w:hint="eastAsia"/>
          <w:szCs w:val="21"/>
        </w:rPr>
        <w:t>．</w:t>
      </w:r>
      <w:r>
        <w:rPr>
          <w:rFonts w:ascii="宋体" w:hAnsi="宋体"/>
          <w:szCs w:val="21"/>
        </w:rPr>
        <w:t>北京：农业出版社，</w:t>
      </w:r>
      <w:r>
        <w:rPr>
          <w:szCs w:val="21"/>
        </w:rPr>
        <w:t>1989</w:t>
      </w:r>
      <w:r>
        <w:rPr>
          <w:rFonts w:ascii="宋体" w:hAnsi="宋体"/>
          <w:szCs w:val="21"/>
        </w:rPr>
        <w:t>年</w:t>
      </w:r>
    </w:p>
    <w:p w14:paraId="6BD7D847" w14:textId="77777777" w:rsidR="00374000" w:rsidRDefault="00374000" w:rsidP="00374000">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3</w:t>
      </w:r>
      <w:r>
        <w:rPr>
          <w:rFonts w:ascii="宋体" w:hAnsi="宋体" w:hint="eastAsia"/>
          <w:szCs w:val="21"/>
        </w:rPr>
        <w:t>）</w:t>
      </w:r>
      <w:r>
        <w:rPr>
          <w:rFonts w:ascii="宋体" w:hAnsi="宋体"/>
          <w:szCs w:val="21"/>
        </w:rPr>
        <w:t>园艺通论</w:t>
      </w:r>
      <w:r>
        <w:rPr>
          <w:rFonts w:ascii="宋体" w:hAnsi="宋体" w:hint="eastAsia"/>
          <w:szCs w:val="21"/>
        </w:rPr>
        <w:t>．</w:t>
      </w:r>
      <w:r>
        <w:rPr>
          <w:rFonts w:ascii="宋体" w:hAnsi="宋体"/>
          <w:szCs w:val="21"/>
        </w:rPr>
        <w:t>李光晨</w:t>
      </w:r>
      <w:r>
        <w:rPr>
          <w:rFonts w:ascii="宋体" w:hAnsi="宋体" w:hint="eastAsia"/>
          <w:szCs w:val="21"/>
        </w:rPr>
        <w:t>．</w:t>
      </w:r>
      <w:r>
        <w:rPr>
          <w:rFonts w:ascii="宋体" w:hAnsi="宋体"/>
          <w:szCs w:val="21"/>
        </w:rPr>
        <w:t>中国农业大学出版社，</w:t>
      </w:r>
      <w:r>
        <w:rPr>
          <w:szCs w:val="21"/>
        </w:rPr>
        <w:t>2000</w:t>
      </w:r>
      <w:r>
        <w:rPr>
          <w:rFonts w:ascii="宋体" w:hAnsi="宋体"/>
          <w:szCs w:val="21"/>
        </w:rPr>
        <w:t>年</w:t>
      </w:r>
      <w:r>
        <w:rPr>
          <w:szCs w:val="21"/>
        </w:rPr>
        <w:t>9</w:t>
      </w:r>
      <w:r>
        <w:rPr>
          <w:rFonts w:ascii="宋体" w:hAnsi="宋体"/>
          <w:szCs w:val="21"/>
        </w:rPr>
        <w:t>月第</w:t>
      </w:r>
      <w:r>
        <w:rPr>
          <w:szCs w:val="21"/>
        </w:rPr>
        <w:t>1</w:t>
      </w:r>
      <w:r>
        <w:rPr>
          <w:rFonts w:ascii="宋体" w:hAnsi="宋体"/>
          <w:szCs w:val="21"/>
        </w:rPr>
        <w:t>版</w:t>
      </w:r>
    </w:p>
    <w:p w14:paraId="529104C4" w14:textId="77777777" w:rsidR="00374000" w:rsidRDefault="00374000" w:rsidP="00374000">
      <w:pPr>
        <w:widowControl/>
        <w:snapToGrid w:val="0"/>
        <w:spacing w:line="360" w:lineRule="auto"/>
        <w:ind w:firstLineChars="200" w:firstLine="422"/>
        <w:jc w:val="left"/>
        <w:rPr>
          <w:b/>
          <w:bCs/>
          <w:kern w:val="0"/>
          <w:szCs w:val="21"/>
        </w:rPr>
      </w:pPr>
      <w:r>
        <w:rPr>
          <w:rFonts w:hint="eastAsia"/>
          <w:b/>
          <w:bCs/>
          <w:kern w:val="0"/>
          <w:szCs w:val="21"/>
        </w:rPr>
        <w:t xml:space="preserve"> 3.</w:t>
      </w:r>
      <w:r>
        <w:rPr>
          <w:rFonts w:ascii="宋体" w:hAnsi="宋体" w:hint="eastAsia"/>
          <w:b/>
          <w:bCs/>
          <w:kern w:val="0"/>
          <w:szCs w:val="21"/>
        </w:rPr>
        <w:t>推荐网站：</w:t>
      </w:r>
    </w:p>
    <w:p w14:paraId="2070BF7A" w14:textId="26C87A42" w:rsidR="00374000" w:rsidRPr="00374000" w:rsidRDefault="00374000" w:rsidP="00374000">
      <w:pPr>
        <w:widowControl/>
        <w:adjustRightInd w:val="0"/>
        <w:snapToGrid w:val="0"/>
        <w:spacing w:line="360" w:lineRule="auto"/>
        <w:ind w:firstLineChars="200" w:firstLine="420"/>
        <w:jc w:val="left"/>
        <w:rPr>
          <w:szCs w:val="21"/>
        </w:rPr>
      </w:pPr>
      <w:r>
        <w:rPr>
          <w:rFonts w:ascii="宋体" w:hAnsi="宋体" w:hint="eastAsia"/>
          <w:szCs w:val="21"/>
        </w:rPr>
        <w:t>（</w:t>
      </w:r>
      <w:r>
        <w:rPr>
          <w:rFonts w:hint="eastAsia"/>
          <w:szCs w:val="21"/>
        </w:rPr>
        <w:t>1</w:t>
      </w:r>
      <w:r>
        <w:rPr>
          <w:rFonts w:ascii="宋体" w:hAnsi="宋体" w:hint="eastAsia"/>
          <w:szCs w:val="21"/>
        </w:rPr>
        <w:t>）</w:t>
      </w:r>
      <w:r>
        <w:rPr>
          <w:rFonts w:ascii="宋体" w:hAnsi="宋体"/>
          <w:szCs w:val="21"/>
        </w:rPr>
        <w:t>华中蔬</w:t>
      </w:r>
      <w:r w:rsidRPr="00374000">
        <w:rPr>
          <w:rFonts w:ascii="宋体" w:hAnsi="宋体"/>
          <w:szCs w:val="21"/>
        </w:rPr>
        <w:t>菜网</w:t>
      </w:r>
      <w:r w:rsidRPr="00374000">
        <w:rPr>
          <w:rFonts w:ascii="宋体" w:hAnsi="宋体" w:hint="eastAsia"/>
          <w:szCs w:val="21"/>
        </w:rPr>
        <w:t>，</w:t>
      </w:r>
      <w:r w:rsidRPr="00374000">
        <w:rPr>
          <w:szCs w:val="21"/>
        </w:rPr>
        <w:t>www.hzshucai.com</w:t>
      </w:r>
    </w:p>
    <w:p w14:paraId="206E70DB" w14:textId="7EB8AC96" w:rsidR="00374000" w:rsidRPr="00374000" w:rsidRDefault="00374000" w:rsidP="00374000">
      <w:pPr>
        <w:widowControl/>
        <w:adjustRightInd w:val="0"/>
        <w:snapToGrid w:val="0"/>
        <w:spacing w:line="360" w:lineRule="auto"/>
        <w:ind w:firstLineChars="150" w:firstLine="315"/>
        <w:jc w:val="left"/>
        <w:rPr>
          <w:szCs w:val="21"/>
        </w:rPr>
      </w:pPr>
      <w:r w:rsidRPr="00374000">
        <w:rPr>
          <w:rFonts w:ascii="宋体" w:hAnsi="宋体" w:hint="eastAsia"/>
          <w:szCs w:val="21"/>
        </w:rPr>
        <w:lastRenderedPageBreak/>
        <w:t>（</w:t>
      </w:r>
      <w:r w:rsidRPr="00374000">
        <w:rPr>
          <w:rFonts w:hint="eastAsia"/>
          <w:szCs w:val="21"/>
        </w:rPr>
        <w:t>2</w:t>
      </w:r>
      <w:r w:rsidRPr="00374000">
        <w:rPr>
          <w:rFonts w:ascii="宋体" w:hAnsi="宋体" w:hint="eastAsia"/>
          <w:szCs w:val="21"/>
        </w:rPr>
        <w:t>）</w:t>
      </w:r>
      <w:r w:rsidRPr="00374000">
        <w:rPr>
          <w:rFonts w:ascii="宋体" w:hAnsi="宋体"/>
          <w:szCs w:val="21"/>
        </w:rPr>
        <w:t>园艺设施学精品课程网</w:t>
      </w:r>
      <w:r w:rsidRPr="00374000">
        <w:rPr>
          <w:rFonts w:ascii="宋体" w:hAnsi="宋体" w:hint="eastAsia"/>
          <w:szCs w:val="21"/>
        </w:rPr>
        <w:t>，</w:t>
      </w:r>
      <w:r w:rsidRPr="00374000">
        <w:rPr>
          <w:szCs w:val="21"/>
        </w:rPr>
        <w:t>http://netc.nwsuaf.edu.cn/yuanyi</w:t>
      </w:r>
    </w:p>
    <w:p w14:paraId="47EC4A9D" w14:textId="65DCB3EE" w:rsidR="00374000" w:rsidRPr="00374000" w:rsidRDefault="00374000" w:rsidP="00374000">
      <w:pPr>
        <w:widowControl/>
        <w:adjustRightInd w:val="0"/>
        <w:snapToGrid w:val="0"/>
        <w:spacing w:line="360" w:lineRule="auto"/>
        <w:ind w:firstLineChars="150" w:firstLine="315"/>
        <w:jc w:val="left"/>
        <w:rPr>
          <w:szCs w:val="21"/>
        </w:rPr>
      </w:pPr>
      <w:r w:rsidRPr="00374000">
        <w:rPr>
          <w:rFonts w:ascii="宋体" w:hAnsi="宋体" w:hint="eastAsia"/>
          <w:szCs w:val="21"/>
        </w:rPr>
        <w:t>（</w:t>
      </w:r>
      <w:r w:rsidRPr="00374000">
        <w:rPr>
          <w:rFonts w:hint="eastAsia"/>
          <w:szCs w:val="21"/>
        </w:rPr>
        <w:t>3</w:t>
      </w:r>
      <w:r w:rsidRPr="00374000">
        <w:rPr>
          <w:rFonts w:ascii="宋体" w:hAnsi="宋体" w:hint="eastAsia"/>
          <w:szCs w:val="21"/>
        </w:rPr>
        <w:t>）</w:t>
      </w:r>
      <w:r w:rsidRPr="00374000">
        <w:rPr>
          <w:rFonts w:ascii="宋体" w:hAnsi="宋体"/>
          <w:szCs w:val="21"/>
        </w:rPr>
        <w:t>中国温室网</w:t>
      </w:r>
      <w:r w:rsidRPr="00374000">
        <w:rPr>
          <w:rFonts w:ascii="宋体" w:hAnsi="宋体" w:hint="eastAsia"/>
          <w:szCs w:val="21"/>
        </w:rPr>
        <w:t>，</w:t>
      </w:r>
      <w:r w:rsidRPr="00374000">
        <w:rPr>
          <w:szCs w:val="21"/>
        </w:rPr>
        <w:t>http://chinagreenhouse.com</w:t>
      </w:r>
    </w:p>
    <w:p w14:paraId="4EF746B2" w14:textId="77777777" w:rsidR="00374000" w:rsidRDefault="00374000" w:rsidP="00374000">
      <w:pPr>
        <w:widowControl/>
        <w:snapToGrid w:val="0"/>
        <w:spacing w:line="360" w:lineRule="auto"/>
        <w:jc w:val="left"/>
        <w:rPr>
          <w:rFonts w:hAnsi="宋体"/>
          <w:b/>
          <w:bCs/>
          <w:kern w:val="0"/>
          <w:szCs w:val="21"/>
        </w:rPr>
      </w:pPr>
      <w:r>
        <w:rPr>
          <w:rFonts w:ascii="宋体" w:hAnsi="宋体" w:hint="eastAsia"/>
          <w:b/>
          <w:bCs/>
          <w:kern w:val="0"/>
          <w:szCs w:val="21"/>
        </w:rPr>
        <w:t>七</w:t>
      </w:r>
      <w:r>
        <w:rPr>
          <w:rFonts w:ascii="宋体" w:hAnsi="宋体"/>
          <w:b/>
          <w:bCs/>
          <w:kern w:val="0"/>
          <w:szCs w:val="21"/>
        </w:rPr>
        <w:t>、</w:t>
      </w:r>
      <w:r>
        <w:rPr>
          <w:rFonts w:ascii="宋体" w:hAnsi="宋体" w:hint="eastAsia"/>
          <w:b/>
          <w:bCs/>
          <w:kern w:val="0"/>
          <w:szCs w:val="21"/>
        </w:rPr>
        <w:t>教学条件</w:t>
      </w:r>
    </w:p>
    <w:p w14:paraId="7F5FF673" w14:textId="77777777" w:rsidR="00374000" w:rsidRDefault="00374000" w:rsidP="00374000">
      <w:pPr>
        <w:snapToGrid w:val="0"/>
        <w:spacing w:line="360" w:lineRule="auto"/>
        <w:ind w:firstLineChars="200" w:firstLine="420"/>
        <w:rPr>
          <w:rFonts w:ascii="宋体" w:hAnsi="宋体"/>
          <w:szCs w:val="21"/>
        </w:rPr>
      </w:pPr>
      <w:r>
        <w:rPr>
          <w:rFonts w:ascii="宋体" w:hAnsi="宋体" w:hint="eastAsia"/>
          <w:szCs w:val="21"/>
        </w:rPr>
        <w:t>《设施</w:t>
      </w:r>
      <w:r>
        <w:rPr>
          <w:rFonts w:ascii="宋体" w:hAnsi="宋体"/>
          <w:szCs w:val="21"/>
        </w:rPr>
        <w:t>园艺学</w:t>
      </w:r>
      <w:r>
        <w:rPr>
          <w:rFonts w:ascii="宋体" w:hAnsi="宋体" w:hint="eastAsia"/>
          <w:szCs w:val="21"/>
        </w:rPr>
        <w:t>》课程</w:t>
      </w:r>
      <w:r>
        <w:rPr>
          <w:rFonts w:ascii="宋体" w:hAnsi="宋体"/>
          <w:szCs w:val="21"/>
        </w:rPr>
        <w:t>一直</w:t>
      </w:r>
      <w:r>
        <w:rPr>
          <w:rFonts w:ascii="宋体" w:hAnsi="宋体" w:hint="eastAsia"/>
          <w:szCs w:val="21"/>
        </w:rPr>
        <w:t>采用“教学实验、参观学习和生产实习一体化”的实践教学模式设施若干个实验：通过设施类型的调查、简易设施的建造、设施内小气候观测、育苗和栽培技术等实验教学，提高学生的独立获取知识的能力；通过参观校内外基地，使学生系统掌握课程理论知识，培养学生系统分析问题的能力；目前</w:t>
      </w:r>
      <w:r>
        <w:rPr>
          <w:rFonts w:ascii="宋体" w:hAnsi="宋体"/>
          <w:szCs w:val="21"/>
        </w:rPr>
        <w:t>拥有</w:t>
      </w:r>
      <w:r>
        <w:rPr>
          <w:rFonts w:ascii="宋体" w:hAnsi="宋体" w:hint="eastAsia"/>
          <w:szCs w:val="21"/>
        </w:rPr>
        <w:t>三区科教园区、毛庄科教园区、扶沟蔬菜研究院等校内实习基地以及毛庄绿园生产基地、鄢陵建业绿色基地、弘亿农业科技有限公司生产基地、中牟国家农业公园、中鹤农业园区、鹤壁建业绿色基地、农科院原阳基地等校外基地。进一步加强和完善基地建设，计划在毛庄科教园区建设2个塑料大棚和1个日光温室，并与校外多个基地合作，保证学生实验实训和创新教育的顺利完成。</w:t>
      </w:r>
    </w:p>
    <w:p w14:paraId="1F7E872D" w14:textId="77777777" w:rsidR="00374000" w:rsidRDefault="00374000" w:rsidP="00374000">
      <w:pPr>
        <w:widowControl/>
        <w:snapToGrid w:val="0"/>
        <w:spacing w:line="360" w:lineRule="auto"/>
        <w:jc w:val="left"/>
        <w:rPr>
          <w:rFonts w:hAnsi="宋体"/>
          <w:b/>
          <w:bCs/>
          <w:kern w:val="0"/>
          <w:szCs w:val="21"/>
        </w:rPr>
      </w:pPr>
      <w:r>
        <w:rPr>
          <w:rFonts w:ascii="宋体" w:hAnsi="宋体" w:hint="eastAsia"/>
          <w:b/>
          <w:bCs/>
          <w:kern w:val="0"/>
          <w:szCs w:val="21"/>
        </w:rPr>
        <w:t>八、教学考核评价</w:t>
      </w:r>
    </w:p>
    <w:p w14:paraId="54148451" w14:textId="77777777" w:rsidR="00374000" w:rsidRDefault="00374000" w:rsidP="00374000">
      <w:pPr>
        <w:widowControl/>
        <w:snapToGrid w:val="0"/>
        <w:spacing w:line="360" w:lineRule="auto"/>
        <w:ind w:firstLine="420"/>
        <w:jc w:val="left"/>
        <w:rPr>
          <w:rFonts w:ascii="宋体" w:hAnsi="宋体"/>
          <w:b/>
          <w:bCs/>
          <w:kern w:val="0"/>
          <w:szCs w:val="21"/>
        </w:rPr>
      </w:pPr>
      <w:r>
        <w:rPr>
          <w:rFonts w:hint="eastAsia"/>
          <w:b/>
          <w:bCs/>
          <w:kern w:val="0"/>
          <w:szCs w:val="21"/>
        </w:rPr>
        <w:t>1.</w:t>
      </w:r>
      <w:r>
        <w:rPr>
          <w:rFonts w:ascii="宋体" w:hAnsi="宋体" w:hint="eastAsia"/>
          <w:b/>
          <w:bCs/>
          <w:kern w:val="0"/>
          <w:szCs w:val="21"/>
        </w:rPr>
        <w:t>过程性评价：</w:t>
      </w:r>
    </w:p>
    <w:p w14:paraId="3224EF65" w14:textId="77777777" w:rsidR="00374000" w:rsidRDefault="00374000" w:rsidP="00374000">
      <w:pPr>
        <w:widowControl/>
        <w:snapToGrid w:val="0"/>
        <w:spacing w:line="360" w:lineRule="auto"/>
        <w:ind w:firstLine="420"/>
        <w:jc w:val="left"/>
        <w:rPr>
          <w:rFonts w:ascii="宋体" w:hAnsi="宋体"/>
          <w:szCs w:val="21"/>
        </w:rPr>
      </w:pPr>
      <w:r>
        <w:rPr>
          <w:rFonts w:ascii="宋体" w:hAnsi="宋体" w:hint="eastAsia"/>
          <w:szCs w:val="21"/>
        </w:rPr>
        <w:t>平时成绩（40%）：含课堂表现、小组学习讨论、课后作业等</w:t>
      </w:r>
    </w:p>
    <w:p w14:paraId="4E00B29C" w14:textId="77777777" w:rsidR="00374000" w:rsidRDefault="00374000" w:rsidP="00374000">
      <w:pPr>
        <w:widowControl/>
        <w:snapToGrid w:val="0"/>
        <w:spacing w:line="360" w:lineRule="auto"/>
        <w:ind w:firstLine="420"/>
        <w:jc w:val="left"/>
        <w:rPr>
          <w:rFonts w:hAnsi="宋体"/>
          <w:b/>
          <w:bCs/>
          <w:kern w:val="0"/>
          <w:szCs w:val="21"/>
        </w:rPr>
      </w:pPr>
      <w:r>
        <w:rPr>
          <w:rFonts w:hint="eastAsia"/>
          <w:b/>
          <w:bCs/>
          <w:kern w:val="0"/>
          <w:szCs w:val="21"/>
        </w:rPr>
        <w:t>2.</w:t>
      </w:r>
      <w:r>
        <w:rPr>
          <w:rFonts w:ascii="宋体" w:hAnsi="宋体" w:hint="eastAsia"/>
          <w:b/>
          <w:bCs/>
          <w:kern w:val="0"/>
          <w:szCs w:val="21"/>
        </w:rPr>
        <w:t>终结性评价：</w:t>
      </w:r>
      <w:r>
        <w:rPr>
          <w:rFonts w:ascii="宋体" w:hAnsi="宋体" w:hint="eastAsia"/>
          <w:kern w:val="0"/>
          <w:szCs w:val="21"/>
        </w:rPr>
        <w:t>期末成绩以</w:t>
      </w:r>
      <w:r>
        <w:rPr>
          <w:rFonts w:ascii="宋体" w:hAnsi="宋体" w:hint="eastAsia"/>
          <w:bCs/>
          <w:kern w:val="0"/>
          <w:szCs w:val="21"/>
        </w:rPr>
        <w:t>课程论文形式考核（6</w:t>
      </w:r>
      <w:r>
        <w:rPr>
          <w:rFonts w:ascii="宋体" w:hAnsi="宋体"/>
          <w:bCs/>
          <w:kern w:val="0"/>
          <w:szCs w:val="21"/>
        </w:rPr>
        <w:t>0%</w:t>
      </w:r>
      <w:r>
        <w:rPr>
          <w:rFonts w:ascii="宋体" w:hAnsi="宋体" w:hint="eastAsia"/>
          <w:bCs/>
          <w:kern w:val="0"/>
          <w:szCs w:val="21"/>
        </w:rPr>
        <w:t>）</w:t>
      </w:r>
    </w:p>
    <w:p w14:paraId="0BD0D800" w14:textId="77777777" w:rsidR="00374000" w:rsidRDefault="00374000" w:rsidP="00374000">
      <w:pPr>
        <w:widowControl/>
        <w:snapToGrid w:val="0"/>
        <w:spacing w:line="360" w:lineRule="auto"/>
        <w:ind w:firstLine="420"/>
        <w:jc w:val="left"/>
        <w:rPr>
          <w:rFonts w:ascii="宋体" w:hAnsi="宋体"/>
          <w:szCs w:val="21"/>
        </w:rPr>
      </w:pPr>
      <w:r>
        <w:rPr>
          <w:rFonts w:hint="eastAsia"/>
          <w:b/>
          <w:bCs/>
          <w:kern w:val="0"/>
          <w:szCs w:val="21"/>
        </w:rPr>
        <w:t>3.</w:t>
      </w:r>
      <w:r>
        <w:rPr>
          <w:rFonts w:ascii="宋体" w:hAnsi="宋体" w:hint="eastAsia"/>
          <w:b/>
          <w:bCs/>
          <w:kern w:val="0"/>
          <w:szCs w:val="21"/>
        </w:rPr>
        <w:t>课程综合评价：</w:t>
      </w:r>
      <w:r>
        <w:rPr>
          <w:rFonts w:ascii="宋体" w:hAnsi="宋体" w:hint="eastAsia"/>
          <w:szCs w:val="21"/>
        </w:rPr>
        <w:t>平时成绩（4</w:t>
      </w:r>
      <w:r>
        <w:rPr>
          <w:rFonts w:ascii="宋体" w:hAnsi="宋体"/>
          <w:szCs w:val="21"/>
        </w:rPr>
        <w:t>0</w:t>
      </w:r>
      <w:r>
        <w:rPr>
          <w:rFonts w:ascii="宋体" w:hAnsi="宋体" w:hint="eastAsia"/>
          <w:szCs w:val="21"/>
        </w:rPr>
        <w:t>%）+期末成绩（</w:t>
      </w:r>
      <w:r>
        <w:rPr>
          <w:rFonts w:ascii="宋体" w:hAnsi="宋体"/>
          <w:szCs w:val="21"/>
        </w:rPr>
        <w:t>60</w:t>
      </w:r>
      <w:r>
        <w:rPr>
          <w:rFonts w:ascii="宋体" w:hAnsi="宋体" w:hint="eastAsia"/>
          <w:szCs w:val="21"/>
        </w:rPr>
        <w:t>%）</w:t>
      </w:r>
    </w:p>
    <w:p w14:paraId="65FB3CDB" w14:textId="77777777" w:rsidR="00374000" w:rsidRDefault="00374000" w:rsidP="00374000">
      <w:pPr>
        <w:widowControl/>
        <w:snapToGrid w:val="0"/>
        <w:spacing w:line="360" w:lineRule="auto"/>
        <w:jc w:val="left"/>
        <w:rPr>
          <w:rFonts w:ascii="宋体" w:hAnsi="宋体"/>
          <w:kern w:val="0"/>
          <w:szCs w:val="21"/>
        </w:rPr>
      </w:pPr>
    </w:p>
    <w:p w14:paraId="725A9AFC"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18F8B84D"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18C3141A"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0EE6F0C8"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4CAFD922"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1129DB33"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0DCAF1F2"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3DB09027" w14:textId="77777777" w:rsidR="00374000" w:rsidRDefault="00374000" w:rsidP="00374000">
      <w:pPr>
        <w:pStyle w:val="af1"/>
        <w:snapToGrid w:val="0"/>
        <w:spacing w:before="0" w:beforeAutospacing="0" w:after="0" w:afterAutospacing="0" w:line="360" w:lineRule="auto"/>
        <w:rPr>
          <w:rFonts w:ascii="Times New Roman" w:eastAsia="宋体" w:hAnsi="Times New Roman" w:cs="Times New Roman"/>
          <w:bCs/>
          <w:kern w:val="2"/>
          <w:sz w:val="21"/>
          <w:szCs w:val="21"/>
        </w:rPr>
      </w:pPr>
    </w:p>
    <w:p w14:paraId="1AB72493" w14:textId="77777777" w:rsidR="00374000" w:rsidRDefault="00374000">
      <w:pPr>
        <w:widowControl/>
        <w:jc w:val="left"/>
        <w:rPr>
          <w:rFonts w:ascii="宋体" w:hAnsi="宋体" w:cs="宋体"/>
          <w:b/>
          <w:bCs/>
          <w:kern w:val="36"/>
          <w:sz w:val="28"/>
          <w:szCs w:val="48"/>
        </w:rPr>
      </w:pPr>
      <w:r>
        <w:br w:type="page"/>
      </w:r>
    </w:p>
    <w:p w14:paraId="759B6F32" w14:textId="07CB3B85" w:rsidR="00374000" w:rsidRPr="003C7710" w:rsidRDefault="00374000" w:rsidP="00374000">
      <w:pPr>
        <w:pStyle w:val="1"/>
      </w:pPr>
      <w:bookmarkStart w:id="165" w:name="_Toc138606269"/>
      <w:r>
        <w:rPr>
          <w:rFonts w:hint="eastAsia"/>
        </w:rPr>
        <w:lastRenderedPageBreak/>
        <w:t>无土栽培学</w:t>
      </w:r>
      <w:bookmarkEnd w:id="165"/>
    </w:p>
    <w:p w14:paraId="6705C261" w14:textId="77777777" w:rsidR="00374000" w:rsidRPr="00003BE2" w:rsidRDefault="00374000" w:rsidP="00374000">
      <w:pPr>
        <w:snapToGrid w:val="0"/>
        <w:spacing w:line="360" w:lineRule="auto"/>
        <w:jc w:val="center"/>
        <w:rPr>
          <w:color w:val="000000" w:themeColor="text1"/>
          <w:sz w:val="24"/>
        </w:rPr>
      </w:pPr>
      <w:r w:rsidRPr="00003BE2">
        <w:rPr>
          <w:color w:val="000000" w:themeColor="text1"/>
          <w:sz w:val="24"/>
        </w:rPr>
        <w:t>（</w:t>
      </w:r>
      <w:r w:rsidRPr="00003BE2">
        <w:rPr>
          <w:rFonts w:hint="eastAsia"/>
          <w:color w:val="000000" w:themeColor="text1"/>
          <w:sz w:val="24"/>
        </w:rPr>
        <w:t>Soilless Culture</w:t>
      </w:r>
      <w:r w:rsidRPr="00003BE2">
        <w:rPr>
          <w:color w:val="000000" w:themeColor="text1"/>
          <w:sz w:val="24"/>
        </w:rPr>
        <w:t>）</w:t>
      </w:r>
    </w:p>
    <w:p w14:paraId="62FEEEC2" w14:textId="77777777" w:rsidR="00374000" w:rsidRPr="003C7710" w:rsidRDefault="00374000" w:rsidP="00374000">
      <w:pPr>
        <w:snapToGrid w:val="0"/>
        <w:spacing w:line="360" w:lineRule="auto"/>
        <w:jc w:val="center"/>
        <w:rPr>
          <w:b/>
          <w:szCs w:val="21"/>
        </w:rPr>
      </w:pPr>
    </w:p>
    <w:p w14:paraId="691A7B6A" w14:textId="77777777" w:rsidR="00374000" w:rsidRPr="003C7710" w:rsidRDefault="00374000" w:rsidP="00374000">
      <w:pPr>
        <w:snapToGrid w:val="0"/>
        <w:spacing w:line="360" w:lineRule="auto"/>
        <w:jc w:val="center"/>
        <w:rPr>
          <w:b/>
          <w:szCs w:val="21"/>
        </w:rPr>
      </w:pPr>
      <w:r w:rsidRPr="003C7710">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6"/>
        <w:gridCol w:w="2586"/>
        <w:gridCol w:w="3348"/>
      </w:tblGrid>
      <w:tr w:rsidR="00374000" w:rsidRPr="003C7710" w14:paraId="4386FE71" w14:textId="77777777" w:rsidTr="00C91173">
        <w:tc>
          <w:tcPr>
            <w:tcW w:w="1666" w:type="pct"/>
          </w:tcPr>
          <w:p w14:paraId="37FD83C6"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课程编号：</w:t>
            </w:r>
            <w:r w:rsidRPr="00374000">
              <w:rPr>
                <w:rFonts w:ascii="宋体" w:hAnsi="宋体"/>
                <w:szCs w:val="21"/>
              </w:rPr>
              <w:t>19011163</w:t>
            </w:r>
          </w:p>
        </w:tc>
        <w:tc>
          <w:tcPr>
            <w:tcW w:w="1453" w:type="pct"/>
          </w:tcPr>
          <w:p w14:paraId="13B51CD9"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课程总学时：</w:t>
            </w:r>
            <w:r w:rsidRPr="00374000">
              <w:rPr>
                <w:rFonts w:ascii="宋体" w:hAnsi="宋体"/>
                <w:szCs w:val="21"/>
              </w:rPr>
              <w:t>32</w:t>
            </w:r>
          </w:p>
        </w:tc>
        <w:tc>
          <w:tcPr>
            <w:tcW w:w="1881" w:type="pct"/>
          </w:tcPr>
          <w:p w14:paraId="2620631C" w14:textId="6FA42B4E" w:rsidR="00374000" w:rsidRPr="003C7710" w:rsidRDefault="00374000" w:rsidP="00374000">
            <w:pPr>
              <w:spacing w:line="300" w:lineRule="auto"/>
              <w:rPr>
                <w:rFonts w:ascii="宋体" w:hAnsi="宋体"/>
                <w:b/>
                <w:bCs/>
                <w:szCs w:val="21"/>
              </w:rPr>
            </w:pPr>
            <w:r w:rsidRPr="003C7710">
              <w:rPr>
                <w:rFonts w:ascii="宋体" w:hAnsi="宋体" w:hint="eastAsia"/>
                <w:b/>
                <w:bCs/>
                <w:szCs w:val="21"/>
              </w:rPr>
              <w:t>实验学时：</w:t>
            </w:r>
            <w:r w:rsidRPr="00374000">
              <w:rPr>
                <w:rFonts w:ascii="宋体" w:hAnsi="宋体"/>
                <w:szCs w:val="21"/>
              </w:rPr>
              <w:t>0</w:t>
            </w:r>
          </w:p>
        </w:tc>
      </w:tr>
      <w:tr w:rsidR="00374000" w:rsidRPr="003C7710" w14:paraId="2950A7A4" w14:textId="77777777" w:rsidTr="00C91173">
        <w:tc>
          <w:tcPr>
            <w:tcW w:w="1666" w:type="pct"/>
          </w:tcPr>
          <w:p w14:paraId="2CDC03A7"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课程性质：</w:t>
            </w:r>
            <w:r w:rsidRPr="00374000">
              <w:rPr>
                <w:rFonts w:ascii="宋体" w:hAnsi="宋体" w:hint="eastAsia"/>
                <w:szCs w:val="21"/>
              </w:rPr>
              <w:t>公共</w:t>
            </w:r>
            <w:r w:rsidRPr="00374000">
              <w:rPr>
                <w:rFonts w:asciiTheme="minorEastAsia" w:eastAsiaTheme="minorEastAsia" w:hAnsiTheme="minorEastAsia" w:cstheme="minorEastAsia" w:hint="eastAsia"/>
                <w:color w:val="000000" w:themeColor="text1"/>
                <w:kern w:val="0"/>
                <w:szCs w:val="21"/>
              </w:rPr>
              <w:t>选修课</w:t>
            </w:r>
          </w:p>
        </w:tc>
        <w:tc>
          <w:tcPr>
            <w:tcW w:w="1453" w:type="pct"/>
          </w:tcPr>
          <w:p w14:paraId="0F84E5E7" w14:textId="501B48EF" w:rsidR="00374000" w:rsidRPr="003C7710" w:rsidRDefault="00374000" w:rsidP="00374000">
            <w:pPr>
              <w:spacing w:line="300" w:lineRule="auto"/>
              <w:rPr>
                <w:rFonts w:ascii="宋体" w:hAnsi="宋体"/>
                <w:b/>
                <w:bCs/>
                <w:szCs w:val="21"/>
              </w:rPr>
            </w:pPr>
            <w:r w:rsidRPr="003C7710">
              <w:rPr>
                <w:rFonts w:ascii="宋体" w:hAnsi="宋体" w:hint="eastAsia"/>
                <w:b/>
                <w:szCs w:val="21"/>
              </w:rPr>
              <w:t>课程属性:</w:t>
            </w:r>
            <w:r w:rsidRPr="00374000">
              <w:rPr>
                <w:rFonts w:ascii="宋体" w:hAnsi="宋体" w:hint="eastAsia"/>
                <w:szCs w:val="21"/>
              </w:rPr>
              <w:t>公选课</w:t>
            </w:r>
            <w:r w:rsidRPr="00374000">
              <w:rPr>
                <w:rFonts w:asciiTheme="minorEastAsia" w:eastAsiaTheme="minorEastAsia" w:hAnsiTheme="minorEastAsia" w:cstheme="minorEastAsia" w:hint="eastAsia"/>
                <w:color w:val="000000" w:themeColor="text1"/>
                <w:kern w:val="0"/>
                <w:szCs w:val="21"/>
              </w:rPr>
              <w:t>类</w:t>
            </w:r>
          </w:p>
        </w:tc>
        <w:tc>
          <w:tcPr>
            <w:tcW w:w="1881" w:type="pct"/>
          </w:tcPr>
          <w:p w14:paraId="78748649"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开设学期：</w:t>
            </w:r>
            <w:r w:rsidRPr="00374000">
              <w:rPr>
                <w:rFonts w:ascii="宋体" w:hAnsi="宋体" w:hint="eastAsia"/>
                <w:szCs w:val="21"/>
              </w:rPr>
              <w:t xml:space="preserve">第 </w:t>
            </w:r>
            <w:r w:rsidRPr="00374000">
              <w:rPr>
                <w:rFonts w:ascii="宋体" w:hAnsi="宋体"/>
                <w:color w:val="000000" w:themeColor="text1"/>
                <w:szCs w:val="21"/>
              </w:rPr>
              <w:t>5</w:t>
            </w:r>
            <w:r w:rsidRPr="00374000">
              <w:rPr>
                <w:rFonts w:ascii="宋体" w:hAnsi="宋体" w:hint="eastAsia"/>
                <w:szCs w:val="21"/>
              </w:rPr>
              <w:t xml:space="preserve"> 学期</w:t>
            </w:r>
          </w:p>
        </w:tc>
      </w:tr>
      <w:tr w:rsidR="00374000" w:rsidRPr="003C7710" w14:paraId="71FF100C" w14:textId="77777777" w:rsidTr="00C91173">
        <w:tc>
          <w:tcPr>
            <w:tcW w:w="1666" w:type="pct"/>
          </w:tcPr>
          <w:p w14:paraId="163C01A4"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课程负责人：</w:t>
            </w:r>
            <w:r w:rsidRPr="00374000">
              <w:rPr>
                <w:rFonts w:ascii="宋体" w:hAnsi="宋体" w:hint="eastAsia"/>
                <w:szCs w:val="21"/>
              </w:rPr>
              <w:t>吴帼秀</w:t>
            </w:r>
          </w:p>
        </w:tc>
        <w:tc>
          <w:tcPr>
            <w:tcW w:w="1453" w:type="pct"/>
          </w:tcPr>
          <w:p w14:paraId="1717B9DC"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课程团队：</w:t>
            </w:r>
            <w:r w:rsidRPr="00374000">
              <w:rPr>
                <w:rFonts w:ascii="宋体" w:hAnsi="宋体" w:hint="eastAsia"/>
                <w:szCs w:val="21"/>
              </w:rPr>
              <w:t>李胜利、李阳、李严曼</w:t>
            </w:r>
          </w:p>
        </w:tc>
        <w:tc>
          <w:tcPr>
            <w:tcW w:w="1881" w:type="pct"/>
          </w:tcPr>
          <w:p w14:paraId="0441F921" w14:textId="60635BA6" w:rsidR="00374000" w:rsidRPr="003C7710" w:rsidRDefault="00374000" w:rsidP="00374000">
            <w:pPr>
              <w:spacing w:line="300" w:lineRule="auto"/>
              <w:rPr>
                <w:rFonts w:ascii="宋体" w:hAnsi="宋体"/>
                <w:b/>
                <w:bCs/>
                <w:szCs w:val="21"/>
              </w:rPr>
            </w:pPr>
            <w:r w:rsidRPr="003C7710">
              <w:rPr>
                <w:rFonts w:ascii="宋体" w:hAnsi="宋体" w:hint="eastAsia"/>
                <w:b/>
                <w:bCs/>
                <w:szCs w:val="21"/>
              </w:rPr>
              <w:t>授课语言：</w:t>
            </w:r>
            <w:r w:rsidRPr="00374000">
              <w:rPr>
                <w:rFonts w:ascii="宋体" w:hAnsi="宋体" w:hint="eastAsia"/>
                <w:szCs w:val="21"/>
              </w:rPr>
              <w:t>中文</w:t>
            </w:r>
          </w:p>
        </w:tc>
      </w:tr>
      <w:tr w:rsidR="00374000" w:rsidRPr="00924E85" w14:paraId="5F37B094" w14:textId="77777777" w:rsidTr="00C91173">
        <w:tc>
          <w:tcPr>
            <w:tcW w:w="5000" w:type="pct"/>
            <w:gridSpan w:val="3"/>
          </w:tcPr>
          <w:p w14:paraId="61178AE0" w14:textId="0AC22DF2" w:rsidR="00374000" w:rsidRPr="00924E85" w:rsidRDefault="00374000" w:rsidP="00374000">
            <w:pPr>
              <w:spacing w:line="300" w:lineRule="auto"/>
              <w:ind w:rightChars="-81" w:right="-170"/>
              <w:rPr>
                <w:rFonts w:ascii="宋体" w:hAnsi="宋体"/>
                <w:bCs/>
                <w:color w:val="0000FF"/>
                <w:szCs w:val="21"/>
              </w:rPr>
            </w:pPr>
            <w:r w:rsidRPr="00924E85">
              <w:rPr>
                <w:rFonts w:ascii="宋体" w:hAnsi="宋体" w:hint="eastAsia"/>
                <w:b/>
                <w:bCs/>
                <w:szCs w:val="21"/>
              </w:rPr>
              <w:t>适用专业：</w:t>
            </w:r>
            <w:r w:rsidRPr="00374000">
              <w:rPr>
                <w:rFonts w:ascii="宋体" w:hAnsi="宋体" w:hint="eastAsia"/>
                <w:szCs w:val="21"/>
              </w:rPr>
              <w:t>所有专业</w:t>
            </w:r>
          </w:p>
        </w:tc>
      </w:tr>
      <w:tr w:rsidR="00374000" w:rsidRPr="003C7710" w14:paraId="259ED575" w14:textId="77777777" w:rsidTr="00C91173">
        <w:tc>
          <w:tcPr>
            <w:tcW w:w="5000" w:type="pct"/>
            <w:gridSpan w:val="3"/>
          </w:tcPr>
          <w:p w14:paraId="767E0B9C" w14:textId="77777777" w:rsidR="00374000" w:rsidRDefault="00374000" w:rsidP="00374000">
            <w:pPr>
              <w:spacing w:line="300" w:lineRule="auto"/>
              <w:rPr>
                <w:rFonts w:ascii="宋体" w:hAnsi="宋体"/>
                <w:b/>
                <w:bCs/>
                <w:szCs w:val="21"/>
              </w:rPr>
            </w:pPr>
            <w:r w:rsidRPr="003C7710">
              <w:rPr>
                <w:rFonts w:ascii="宋体" w:hAnsi="宋体" w:hint="eastAsia"/>
                <w:b/>
                <w:bCs/>
                <w:szCs w:val="21"/>
              </w:rPr>
              <w:t>对先修的要求：</w:t>
            </w:r>
            <w:r w:rsidRPr="00374000">
              <w:rPr>
                <w:rFonts w:ascii="宋体" w:hAnsi="宋体" w:hint="eastAsia"/>
                <w:szCs w:val="21"/>
              </w:rPr>
              <w:t>对</w:t>
            </w:r>
            <w:r w:rsidRPr="00374000">
              <w:rPr>
                <w:rFonts w:ascii="宋体" w:hAnsi="宋体"/>
                <w:szCs w:val="21"/>
              </w:rPr>
              <w:t>植物分类、生长特性</w:t>
            </w:r>
            <w:r w:rsidRPr="00374000">
              <w:rPr>
                <w:rFonts w:ascii="宋体" w:hAnsi="宋体" w:hint="eastAsia"/>
                <w:szCs w:val="21"/>
              </w:rPr>
              <w:t>、生命</w:t>
            </w:r>
            <w:r w:rsidRPr="00374000">
              <w:rPr>
                <w:rFonts w:ascii="宋体" w:hAnsi="宋体"/>
                <w:szCs w:val="21"/>
              </w:rPr>
              <w:t>活动等有基本的认知</w:t>
            </w:r>
            <w:r w:rsidRPr="00374000">
              <w:rPr>
                <w:rFonts w:ascii="宋体" w:hAnsi="宋体" w:hint="eastAsia"/>
                <w:szCs w:val="21"/>
              </w:rPr>
              <w:t>，对</w:t>
            </w:r>
            <w:r w:rsidRPr="00374000">
              <w:rPr>
                <w:rFonts w:ascii="宋体" w:hAnsi="宋体"/>
                <w:szCs w:val="21"/>
              </w:rPr>
              <w:t>园艺作物的分类、生长特性</w:t>
            </w:r>
            <w:r w:rsidRPr="00374000">
              <w:rPr>
                <w:rFonts w:ascii="宋体" w:hAnsi="宋体" w:hint="eastAsia"/>
                <w:szCs w:val="21"/>
              </w:rPr>
              <w:t>、</w:t>
            </w:r>
            <w:r w:rsidRPr="00374000">
              <w:rPr>
                <w:rFonts w:ascii="宋体" w:hAnsi="宋体"/>
                <w:szCs w:val="21"/>
              </w:rPr>
              <w:t>栽培基础</w:t>
            </w:r>
            <w:r w:rsidRPr="00374000">
              <w:rPr>
                <w:rFonts w:ascii="宋体" w:hAnsi="宋体" w:hint="eastAsia"/>
                <w:szCs w:val="21"/>
              </w:rPr>
              <w:t>、</w:t>
            </w:r>
            <w:r w:rsidRPr="00374000">
              <w:rPr>
                <w:rFonts w:ascii="宋体" w:hAnsi="宋体"/>
                <w:szCs w:val="21"/>
              </w:rPr>
              <w:t>设施结构有基本的了解</w:t>
            </w:r>
            <w:r w:rsidRPr="00374000">
              <w:rPr>
                <w:rFonts w:ascii="宋体" w:hAnsi="宋体" w:hint="eastAsia"/>
                <w:szCs w:val="21"/>
              </w:rPr>
              <w:t>。</w:t>
            </w:r>
          </w:p>
          <w:p w14:paraId="5C904473" w14:textId="7F4B9139" w:rsidR="00374000" w:rsidRPr="003C7710" w:rsidRDefault="00374000" w:rsidP="00374000">
            <w:pPr>
              <w:spacing w:line="300" w:lineRule="auto"/>
              <w:rPr>
                <w:rFonts w:ascii="宋体" w:hAnsi="宋体"/>
                <w:b/>
                <w:bCs/>
                <w:szCs w:val="21"/>
              </w:rPr>
            </w:pPr>
            <w:r w:rsidRPr="007122E0">
              <w:rPr>
                <w:rFonts w:ascii="宋体" w:hAnsi="宋体" w:hint="eastAsia"/>
                <w:b/>
                <w:bCs/>
                <w:color w:val="000000" w:themeColor="text1"/>
                <w:szCs w:val="21"/>
              </w:rPr>
              <w:t>先修课程</w:t>
            </w:r>
            <w:r w:rsidRPr="007122E0">
              <w:rPr>
                <w:rFonts w:asciiTheme="minorEastAsia" w:eastAsiaTheme="minorEastAsia" w:hAnsiTheme="minorEastAsia" w:cstheme="minorEastAsia" w:hint="eastAsia"/>
                <w:b/>
                <w:bCs/>
                <w:color w:val="000000" w:themeColor="text1"/>
                <w:kern w:val="0"/>
                <w:szCs w:val="21"/>
              </w:rPr>
              <w:t>：</w:t>
            </w:r>
            <w:r w:rsidRPr="00374000">
              <w:rPr>
                <w:rFonts w:asciiTheme="minorEastAsia" w:eastAsiaTheme="minorEastAsia" w:hAnsiTheme="minorEastAsia" w:cstheme="minorEastAsia" w:hint="eastAsia"/>
                <w:kern w:val="0"/>
                <w:szCs w:val="21"/>
              </w:rPr>
              <w:t>植物学</w:t>
            </w:r>
            <w:r>
              <w:rPr>
                <w:rFonts w:asciiTheme="minorEastAsia" w:eastAsiaTheme="minorEastAsia" w:hAnsiTheme="minorEastAsia" w:cstheme="minorEastAsia" w:hint="eastAsia"/>
                <w:kern w:val="0"/>
                <w:szCs w:val="21"/>
              </w:rPr>
              <w:t>、</w:t>
            </w:r>
            <w:r w:rsidRPr="00374000">
              <w:rPr>
                <w:rFonts w:asciiTheme="minorEastAsia" w:eastAsiaTheme="minorEastAsia" w:hAnsiTheme="minorEastAsia" w:cstheme="minorEastAsia" w:hint="eastAsia"/>
                <w:kern w:val="0"/>
                <w:szCs w:val="21"/>
              </w:rPr>
              <w:t>分析</w:t>
            </w:r>
            <w:r w:rsidRPr="00374000">
              <w:rPr>
                <w:rFonts w:asciiTheme="minorEastAsia" w:eastAsiaTheme="minorEastAsia" w:hAnsiTheme="minorEastAsia" w:cstheme="minorEastAsia"/>
                <w:kern w:val="0"/>
                <w:szCs w:val="21"/>
              </w:rPr>
              <w:t>化学</w:t>
            </w:r>
            <w:r>
              <w:rPr>
                <w:rFonts w:asciiTheme="minorEastAsia" w:eastAsiaTheme="minorEastAsia" w:hAnsiTheme="minorEastAsia" w:cstheme="minorEastAsia" w:hint="eastAsia"/>
                <w:kern w:val="0"/>
                <w:szCs w:val="21"/>
              </w:rPr>
              <w:t>。</w:t>
            </w:r>
          </w:p>
        </w:tc>
      </w:tr>
      <w:tr w:rsidR="00374000" w:rsidRPr="003C7710" w14:paraId="2CB1DAA8" w14:textId="77777777" w:rsidTr="00C91173">
        <w:tc>
          <w:tcPr>
            <w:tcW w:w="5000" w:type="pct"/>
            <w:gridSpan w:val="3"/>
          </w:tcPr>
          <w:p w14:paraId="596FAFA3"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对后续的支撑：</w:t>
            </w:r>
            <w:r w:rsidRPr="00374000">
              <w:rPr>
                <w:rFonts w:asciiTheme="minorEastAsia" w:eastAsiaTheme="minorEastAsia" w:hAnsiTheme="minorEastAsia" w:cstheme="minorEastAsia" w:hint="eastAsia"/>
                <w:kern w:val="0"/>
                <w:szCs w:val="21"/>
              </w:rPr>
              <w:t>无</w:t>
            </w:r>
          </w:p>
        </w:tc>
      </w:tr>
      <w:tr w:rsidR="00374000" w:rsidRPr="003C7710" w14:paraId="7A09B114" w14:textId="77777777" w:rsidTr="00C91173">
        <w:tc>
          <w:tcPr>
            <w:tcW w:w="1666" w:type="pct"/>
          </w:tcPr>
          <w:p w14:paraId="3E1E1BB9" w14:textId="77777777" w:rsidR="00374000" w:rsidRPr="003C7710" w:rsidRDefault="00374000" w:rsidP="00374000">
            <w:pPr>
              <w:spacing w:line="300" w:lineRule="auto"/>
              <w:rPr>
                <w:rFonts w:ascii="宋体" w:hAnsi="宋体"/>
                <w:b/>
                <w:bCs/>
                <w:szCs w:val="21"/>
              </w:rPr>
            </w:pPr>
            <w:r w:rsidRPr="003C7710">
              <w:rPr>
                <w:rFonts w:ascii="宋体" w:hAnsi="宋体" w:hint="eastAsia"/>
                <w:b/>
                <w:bCs/>
                <w:szCs w:val="21"/>
              </w:rPr>
              <w:t>主撰人：</w:t>
            </w:r>
            <w:r w:rsidRPr="00374000">
              <w:rPr>
                <w:rFonts w:ascii="宋体" w:hAnsi="宋体" w:hint="eastAsia"/>
                <w:szCs w:val="21"/>
              </w:rPr>
              <w:t>吴帼秀</w:t>
            </w:r>
          </w:p>
        </w:tc>
        <w:tc>
          <w:tcPr>
            <w:tcW w:w="1453" w:type="pct"/>
          </w:tcPr>
          <w:p w14:paraId="241A66FE" w14:textId="18AEDFC5" w:rsidR="00374000" w:rsidRPr="003C7710" w:rsidRDefault="00374000" w:rsidP="00374000">
            <w:pPr>
              <w:spacing w:line="300" w:lineRule="auto"/>
              <w:rPr>
                <w:rFonts w:ascii="宋体" w:hAnsi="宋体"/>
                <w:b/>
                <w:bCs/>
                <w:szCs w:val="21"/>
              </w:rPr>
            </w:pPr>
            <w:r w:rsidRPr="003C7710">
              <w:rPr>
                <w:rFonts w:ascii="宋体" w:hAnsi="宋体" w:hint="eastAsia"/>
                <w:b/>
                <w:bCs/>
                <w:szCs w:val="21"/>
              </w:rPr>
              <w:t>审核人：</w:t>
            </w:r>
            <w:r w:rsidRPr="00374000">
              <w:rPr>
                <w:rFonts w:ascii="宋体" w:hAnsi="宋体" w:hint="eastAsia"/>
                <w:szCs w:val="21"/>
              </w:rPr>
              <w:t>李阳</w:t>
            </w:r>
          </w:p>
        </w:tc>
        <w:tc>
          <w:tcPr>
            <w:tcW w:w="1881" w:type="pct"/>
          </w:tcPr>
          <w:p w14:paraId="23EDEF7F" w14:textId="49DC7A3B" w:rsidR="00374000" w:rsidRPr="003C7710" w:rsidRDefault="00374000" w:rsidP="00374000">
            <w:pPr>
              <w:spacing w:line="300" w:lineRule="auto"/>
              <w:rPr>
                <w:rFonts w:ascii="宋体" w:hAnsi="宋体"/>
                <w:b/>
                <w:bCs/>
                <w:szCs w:val="21"/>
              </w:rPr>
            </w:pPr>
            <w:r w:rsidRPr="003C7710">
              <w:rPr>
                <w:rFonts w:ascii="宋体" w:hAnsi="宋体" w:hint="eastAsia"/>
                <w:b/>
                <w:bCs/>
                <w:szCs w:val="21"/>
              </w:rPr>
              <w:t>大纲制定（修订）日期：</w:t>
            </w:r>
            <w:r w:rsidRPr="00374000">
              <w:rPr>
                <w:rFonts w:ascii="宋体" w:hAnsi="宋体" w:hint="eastAsia"/>
                <w:szCs w:val="21"/>
              </w:rPr>
              <w:t>202</w:t>
            </w:r>
            <w:r>
              <w:rPr>
                <w:rFonts w:ascii="宋体" w:hAnsi="宋体"/>
                <w:szCs w:val="21"/>
              </w:rPr>
              <w:t>3.05</w:t>
            </w:r>
          </w:p>
        </w:tc>
      </w:tr>
    </w:tbl>
    <w:p w14:paraId="60DB3337" w14:textId="77777777" w:rsidR="00374000" w:rsidRDefault="00374000" w:rsidP="00374000">
      <w:pPr>
        <w:widowControl/>
        <w:snapToGrid w:val="0"/>
        <w:spacing w:line="360" w:lineRule="auto"/>
        <w:jc w:val="left"/>
        <w:rPr>
          <w:rFonts w:hAnsi="宋体"/>
          <w:b/>
          <w:bCs/>
          <w:kern w:val="0"/>
          <w:szCs w:val="21"/>
        </w:rPr>
      </w:pPr>
    </w:p>
    <w:p w14:paraId="5448B4FF" w14:textId="77777777" w:rsidR="00374000" w:rsidRPr="003C7710" w:rsidRDefault="00374000" w:rsidP="00374000">
      <w:pPr>
        <w:widowControl/>
        <w:snapToGrid w:val="0"/>
        <w:spacing w:line="360" w:lineRule="auto"/>
        <w:jc w:val="left"/>
        <w:rPr>
          <w:kern w:val="0"/>
          <w:szCs w:val="21"/>
        </w:rPr>
      </w:pPr>
      <w:r w:rsidRPr="003C7710">
        <w:rPr>
          <w:rFonts w:hAnsi="宋体"/>
          <w:b/>
          <w:bCs/>
          <w:kern w:val="0"/>
          <w:szCs w:val="21"/>
        </w:rPr>
        <w:t>一、课程的</w:t>
      </w:r>
      <w:r>
        <w:rPr>
          <w:rFonts w:hAnsi="宋体" w:hint="eastAsia"/>
          <w:b/>
          <w:bCs/>
          <w:kern w:val="0"/>
          <w:szCs w:val="21"/>
        </w:rPr>
        <w:t>教学理念、性质、目标和</w:t>
      </w:r>
      <w:r w:rsidRPr="003C7710">
        <w:rPr>
          <w:rFonts w:hAnsi="宋体"/>
          <w:b/>
          <w:bCs/>
          <w:kern w:val="0"/>
          <w:szCs w:val="21"/>
        </w:rPr>
        <w:t>任务</w:t>
      </w:r>
      <w:r w:rsidRPr="003C7710">
        <w:rPr>
          <w:rFonts w:ascii="宋体" w:hAnsi="宋体" w:cs="宋体" w:hint="eastAsia"/>
          <w:b/>
          <w:bCs/>
          <w:kern w:val="0"/>
          <w:szCs w:val="21"/>
        </w:rPr>
        <w:t></w:t>
      </w:r>
    </w:p>
    <w:p w14:paraId="045489AF" w14:textId="77777777" w:rsidR="00374000" w:rsidRDefault="00374000" w:rsidP="00374000">
      <w:pPr>
        <w:spacing w:line="300" w:lineRule="auto"/>
        <w:ind w:rightChars="-81" w:right="-170" w:firstLine="285"/>
        <w:rPr>
          <w:rFonts w:ascii="宋体" w:hAnsi="宋体"/>
          <w:bCs/>
          <w:color w:val="000000" w:themeColor="text1"/>
          <w:szCs w:val="21"/>
        </w:rPr>
      </w:pPr>
      <w:r w:rsidRPr="004B19A1">
        <w:rPr>
          <w:rFonts w:ascii="宋体" w:hAnsi="宋体" w:hint="eastAsia"/>
          <w:b/>
          <w:bCs/>
          <w:color w:val="000000" w:themeColor="text1"/>
          <w:szCs w:val="21"/>
        </w:rPr>
        <w:t>理念</w:t>
      </w:r>
      <w:r w:rsidRPr="004B19A1">
        <w:rPr>
          <w:rFonts w:ascii="宋体" w:hAnsi="宋体"/>
          <w:b/>
          <w:bCs/>
          <w:color w:val="000000" w:themeColor="text1"/>
          <w:szCs w:val="21"/>
        </w:rPr>
        <w:t>：</w:t>
      </w:r>
      <w:r w:rsidRPr="004B19A1">
        <w:rPr>
          <w:rFonts w:ascii="宋体" w:hAnsi="宋体" w:hint="eastAsia"/>
          <w:bCs/>
          <w:color w:val="000000" w:themeColor="text1"/>
          <w:szCs w:val="21"/>
        </w:rPr>
        <w:t>以问题为导向，以实践为抓手，以育人为目标</w:t>
      </w:r>
      <w:r>
        <w:rPr>
          <w:rFonts w:ascii="宋体" w:hAnsi="宋体" w:hint="eastAsia"/>
          <w:bCs/>
          <w:color w:val="000000" w:themeColor="text1"/>
          <w:szCs w:val="21"/>
        </w:rPr>
        <w:t>。</w:t>
      </w:r>
    </w:p>
    <w:p w14:paraId="3A32B965" w14:textId="77777777" w:rsidR="00374000" w:rsidRDefault="00374000" w:rsidP="00374000">
      <w:pPr>
        <w:spacing w:line="300" w:lineRule="auto"/>
        <w:ind w:rightChars="-81" w:right="-170" w:firstLine="285"/>
        <w:rPr>
          <w:rFonts w:ascii="宋体" w:hAnsi="宋体"/>
          <w:bCs/>
          <w:color w:val="000000" w:themeColor="text1"/>
          <w:szCs w:val="21"/>
        </w:rPr>
      </w:pPr>
      <w:r w:rsidRPr="004B19A1">
        <w:rPr>
          <w:rFonts w:ascii="宋体" w:hAnsi="宋体" w:hint="eastAsia"/>
          <w:b/>
          <w:bCs/>
          <w:color w:val="000000" w:themeColor="text1"/>
          <w:szCs w:val="21"/>
        </w:rPr>
        <w:t>性质</w:t>
      </w:r>
      <w:r w:rsidRPr="004B19A1">
        <w:rPr>
          <w:rFonts w:ascii="宋体" w:hAnsi="宋体"/>
          <w:b/>
          <w:bCs/>
          <w:color w:val="000000" w:themeColor="text1"/>
          <w:szCs w:val="21"/>
        </w:rPr>
        <w:t>：</w:t>
      </w:r>
      <w:r w:rsidRPr="00E93330">
        <w:rPr>
          <w:rFonts w:ascii="宋体" w:hAnsi="宋体" w:hint="eastAsia"/>
          <w:bCs/>
          <w:color w:val="000000" w:themeColor="text1"/>
          <w:szCs w:val="21"/>
        </w:rPr>
        <w:t>《无土栽培学》是一门研究无土栽培技术原理、栽培方式和管理技术的一门综合性应用科学，是</w:t>
      </w:r>
      <w:r>
        <w:rPr>
          <w:rFonts w:ascii="宋体" w:hAnsi="宋体" w:hint="eastAsia"/>
          <w:bCs/>
          <w:color w:val="000000" w:themeColor="text1"/>
          <w:szCs w:val="21"/>
        </w:rPr>
        <w:t>园艺学院</w:t>
      </w:r>
      <w:r w:rsidRPr="00E93330">
        <w:rPr>
          <w:rFonts w:ascii="宋体" w:hAnsi="宋体" w:hint="eastAsia"/>
          <w:bCs/>
          <w:color w:val="000000" w:themeColor="text1"/>
          <w:szCs w:val="21"/>
        </w:rPr>
        <w:t>的</w:t>
      </w:r>
      <w:r>
        <w:rPr>
          <w:rFonts w:ascii="宋体" w:hAnsi="宋体" w:hint="eastAsia"/>
          <w:bCs/>
          <w:color w:val="000000" w:themeColor="text1"/>
          <w:szCs w:val="21"/>
        </w:rPr>
        <w:t>公共选修</w:t>
      </w:r>
      <w:r w:rsidRPr="00E93330">
        <w:rPr>
          <w:rFonts w:ascii="宋体" w:hAnsi="宋体" w:hint="eastAsia"/>
          <w:bCs/>
          <w:color w:val="000000" w:themeColor="text1"/>
          <w:szCs w:val="21"/>
        </w:rPr>
        <w:t>课程。</w:t>
      </w:r>
    </w:p>
    <w:p w14:paraId="46FF21B8" w14:textId="77777777" w:rsidR="00374000" w:rsidRPr="004B19A1" w:rsidRDefault="00374000" w:rsidP="00374000">
      <w:pPr>
        <w:spacing w:line="300" w:lineRule="auto"/>
        <w:ind w:rightChars="-81" w:right="-170" w:firstLine="285"/>
        <w:rPr>
          <w:rFonts w:ascii="宋体" w:hAnsi="宋体"/>
          <w:b/>
          <w:bCs/>
          <w:color w:val="000000" w:themeColor="text1"/>
          <w:szCs w:val="21"/>
        </w:rPr>
      </w:pPr>
      <w:r w:rsidRPr="004B19A1">
        <w:rPr>
          <w:rFonts w:ascii="宋体" w:hAnsi="宋体" w:hint="eastAsia"/>
          <w:b/>
          <w:bCs/>
          <w:color w:val="000000" w:themeColor="text1"/>
          <w:szCs w:val="21"/>
        </w:rPr>
        <w:t>目标</w:t>
      </w:r>
      <w:r>
        <w:rPr>
          <w:rFonts w:ascii="宋体" w:hAnsi="宋体" w:hint="eastAsia"/>
          <w:b/>
          <w:bCs/>
          <w:color w:val="000000" w:themeColor="text1"/>
          <w:szCs w:val="21"/>
        </w:rPr>
        <w:t>和</w:t>
      </w:r>
      <w:r>
        <w:rPr>
          <w:rFonts w:ascii="宋体" w:hAnsi="宋体"/>
          <w:b/>
          <w:bCs/>
          <w:color w:val="000000" w:themeColor="text1"/>
          <w:szCs w:val="21"/>
        </w:rPr>
        <w:t>任务</w:t>
      </w:r>
      <w:r w:rsidRPr="004B19A1">
        <w:rPr>
          <w:rFonts w:ascii="宋体" w:hAnsi="宋体" w:hint="eastAsia"/>
          <w:b/>
          <w:bCs/>
          <w:color w:val="000000" w:themeColor="text1"/>
          <w:szCs w:val="21"/>
        </w:rPr>
        <w:t>：</w:t>
      </w:r>
      <w:r>
        <w:rPr>
          <w:rFonts w:ascii="宋体" w:hAnsi="宋体" w:hint="eastAsia"/>
          <w:bCs/>
          <w:color w:val="000000" w:themeColor="text1"/>
          <w:szCs w:val="21"/>
        </w:rPr>
        <w:t>知识方面，</w:t>
      </w:r>
      <w:r w:rsidRPr="00E93330">
        <w:rPr>
          <w:rFonts w:ascii="宋体" w:hAnsi="宋体" w:hint="eastAsia"/>
          <w:bCs/>
          <w:color w:val="000000" w:themeColor="text1"/>
          <w:szCs w:val="21"/>
        </w:rPr>
        <w:t>认识植物在无土栽培条件下对养分、水分、氧气的需求规律，掌握营养液的配制及管理</w:t>
      </w:r>
      <w:r>
        <w:rPr>
          <w:rFonts w:ascii="宋体" w:hAnsi="宋体" w:hint="eastAsia"/>
          <w:bCs/>
          <w:color w:val="000000" w:themeColor="text1"/>
          <w:szCs w:val="21"/>
        </w:rPr>
        <w:t>技术、固体基质的性质及选配原则、常用无土栽培生产设施与管理办法，常见无土栽培作物的种植管理方法。能力上：了解无土</w:t>
      </w:r>
      <w:r>
        <w:rPr>
          <w:rFonts w:ascii="宋体" w:hAnsi="宋体"/>
          <w:bCs/>
          <w:color w:val="000000" w:themeColor="text1"/>
          <w:szCs w:val="21"/>
        </w:rPr>
        <w:t>栽培领域发展</w:t>
      </w:r>
      <w:r w:rsidRPr="004B19A1">
        <w:rPr>
          <w:rFonts w:ascii="宋体" w:hAnsi="宋体" w:hint="eastAsia"/>
          <w:bCs/>
          <w:color w:val="000000" w:themeColor="text1"/>
          <w:szCs w:val="21"/>
        </w:rPr>
        <w:t>，加强学生</w:t>
      </w:r>
      <w:r>
        <w:rPr>
          <w:rFonts w:ascii="宋体" w:hAnsi="宋体" w:hint="eastAsia"/>
          <w:bCs/>
          <w:color w:val="000000" w:themeColor="text1"/>
          <w:szCs w:val="21"/>
        </w:rPr>
        <w:t>熟悉</w:t>
      </w:r>
      <w:r w:rsidRPr="004B19A1">
        <w:rPr>
          <w:rFonts w:ascii="宋体" w:hAnsi="宋体" w:hint="eastAsia"/>
          <w:bCs/>
          <w:color w:val="000000" w:themeColor="text1"/>
          <w:szCs w:val="21"/>
        </w:rPr>
        <w:t>现代化高新技术并将其有效应用于农业生产的潜能，最终使学生具备勇于探索、乐于创新、勤学务实、扎实肯干的素质，培养新时代“三农”人才，从而服务于乡村振兴。</w:t>
      </w:r>
    </w:p>
    <w:p w14:paraId="44BD7B5E" w14:textId="77777777" w:rsidR="00374000" w:rsidRPr="00C07E80" w:rsidRDefault="00374000" w:rsidP="00374000">
      <w:pPr>
        <w:widowControl/>
        <w:snapToGrid w:val="0"/>
        <w:spacing w:line="360" w:lineRule="auto"/>
        <w:jc w:val="left"/>
        <w:rPr>
          <w:kern w:val="0"/>
          <w:szCs w:val="21"/>
        </w:rPr>
      </w:pPr>
      <w:r w:rsidRPr="00C07E80">
        <w:rPr>
          <w:rFonts w:hAnsi="宋体"/>
          <w:b/>
          <w:bCs/>
          <w:kern w:val="0"/>
          <w:szCs w:val="21"/>
        </w:rPr>
        <w:t>二、课程教学的基本要求</w:t>
      </w:r>
    </w:p>
    <w:p w14:paraId="343291BA" w14:textId="77777777" w:rsidR="00374000" w:rsidRPr="00046E1A" w:rsidRDefault="00374000" w:rsidP="00374000">
      <w:pPr>
        <w:widowControl/>
        <w:snapToGrid w:val="0"/>
        <w:spacing w:line="360" w:lineRule="auto"/>
        <w:jc w:val="left"/>
        <w:rPr>
          <w:rFonts w:hAnsi="宋体"/>
          <w:color w:val="000000" w:themeColor="text1"/>
          <w:kern w:val="0"/>
          <w:szCs w:val="21"/>
        </w:rPr>
      </w:pPr>
      <w:r w:rsidRPr="00C07E80">
        <w:rPr>
          <w:kern w:val="0"/>
          <w:szCs w:val="21"/>
        </w:rPr>
        <w:t>   </w:t>
      </w:r>
      <w:r>
        <w:rPr>
          <w:color w:val="000000" w:themeColor="text1"/>
          <w:kern w:val="0"/>
          <w:szCs w:val="21"/>
        </w:rPr>
        <w:t xml:space="preserve">   </w:t>
      </w:r>
      <w:r>
        <w:rPr>
          <w:rFonts w:hAnsi="宋体" w:hint="eastAsia"/>
          <w:color w:val="000000" w:themeColor="text1"/>
          <w:kern w:val="0"/>
          <w:szCs w:val="21"/>
        </w:rPr>
        <w:t>了解</w:t>
      </w:r>
      <w:r w:rsidRPr="003A6AF5">
        <w:rPr>
          <w:rFonts w:hAnsi="宋体" w:hint="eastAsia"/>
          <w:color w:val="000000" w:themeColor="text1"/>
          <w:kern w:val="0"/>
          <w:szCs w:val="21"/>
        </w:rPr>
        <w:t>无土栽培营养液的配制及管理技术，固体基质的性质、作用及选用原则，常见水培、雾培、基质栽培的设施与管理及栽培技术</w:t>
      </w:r>
      <w:r>
        <w:rPr>
          <w:rFonts w:hAnsi="宋体" w:hint="eastAsia"/>
          <w:color w:val="000000" w:themeColor="text1"/>
          <w:kern w:val="0"/>
          <w:szCs w:val="21"/>
        </w:rPr>
        <w:t>、</w:t>
      </w:r>
      <w:r w:rsidRPr="003A6AF5">
        <w:rPr>
          <w:rFonts w:hAnsi="宋体" w:hint="eastAsia"/>
          <w:color w:val="000000" w:themeColor="text1"/>
          <w:kern w:val="0"/>
          <w:szCs w:val="21"/>
        </w:rPr>
        <w:t>无土栽培的应用领域及前景。</w:t>
      </w:r>
      <w:r w:rsidRPr="003A6AF5">
        <w:rPr>
          <w:rFonts w:hAnsi="宋体" w:hint="eastAsia"/>
          <w:bCs/>
          <w:color w:val="000000" w:themeColor="text1"/>
          <w:kern w:val="0"/>
          <w:szCs w:val="21"/>
        </w:rPr>
        <w:t xml:space="preserve"> </w:t>
      </w:r>
    </w:p>
    <w:p w14:paraId="130D587A" w14:textId="77777777" w:rsidR="00374000" w:rsidRPr="00924E85" w:rsidRDefault="00374000" w:rsidP="00374000">
      <w:pPr>
        <w:widowControl/>
        <w:snapToGrid w:val="0"/>
        <w:spacing w:line="360" w:lineRule="auto"/>
        <w:jc w:val="left"/>
        <w:rPr>
          <w:rFonts w:hAnsi="宋体"/>
          <w:b/>
          <w:bCs/>
          <w:kern w:val="0"/>
          <w:szCs w:val="21"/>
        </w:rPr>
      </w:pPr>
      <w:r w:rsidRPr="00924E85">
        <w:rPr>
          <w:rFonts w:hAnsi="宋体"/>
          <w:b/>
          <w:bCs/>
          <w:kern w:val="0"/>
          <w:szCs w:val="21"/>
        </w:rPr>
        <w:t>三、</w:t>
      </w:r>
      <w:r w:rsidRPr="00924E85">
        <w:rPr>
          <w:rFonts w:hAnsi="宋体" w:hint="eastAsia"/>
          <w:b/>
          <w:bCs/>
          <w:kern w:val="0"/>
          <w:szCs w:val="21"/>
        </w:rPr>
        <w:t>课程的教学设计</w:t>
      </w:r>
    </w:p>
    <w:p w14:paraId="0207F3E0" w14:textId="77777777" w:rsidR="00374000" w:rsidRDefault="00374000" w:rsidP="00374000">
      <w:pPr>
        <w:widowControl/>
        <w:snapToGrid w:val="0"/>
        <w:spacing w:line="360" w:lineRule="auto"/>
        <w:ind w:firstLineChars="200" w:firstLine="420"/>
        <w:jc w:val="left"/>
        <w:rPr>
          <w:rFonts w:hAnsi="宋体"/>
          <w:bCs/>
          <w:color w:val="000000" w:themeColor="text1"/>
          <w:kern w:val="0"/>
          <w:szCs w:val="21"/>
        </w:rPr>
      </w:pPr>
      <w:r>
        <w:rPr>
          <w:rFonts w:hAnsi="宋体" w:hint="eastAsia"/>
          <w:bCs/>
          <w:color w:val="000000" w:themeColor="text1"/>
          <w:kern w:val="0"/>
          <w:szCs w:val="21"/>
        </w:rPr>
        <w:t>采用提问</w:t>
      </w:r>
      <w:r>
        <w:rPr>
          <w:rFonts w:hAnsi="宋体"/>
          <w:bCs/>
          <w:color w:val="000000" w:themeColor="text1"/>
          <w:kern w:val="0"/>
          <w:szCs w:val="21"/>
        </w:rPr>
        <w:t>、视频等形式进行课程导入，</w:t>
      </w:r>
      <w:r w:rsidRPr="00333E9B">
        <w:rPr>
          <w:rFonts w:hAnsi="宋体" w:hint="eastAsia"/>
          <w:bCs/>
          <w:color w:val="000000" w:themeColor="text1"/>
          <w:kern w:val="0"/>
          <w:szCs w:val="21"/>
        </w:rPr>
        <w:t>课中教师利用翻转课堂</w:t>
      </w:r>
      <w:r>
        <w:rPr>
          <w:rFonts w:hAnsi="宋体" w:hint="eastAsia"/>
          <w:bCs/>
          <w:color w:val="000000" w:themeColor="text1"/>
          <w:kern w:val="0"/>
          <w:szCs w:val="21"/>
        </w:rPr>
        <w:t>、</w:t>
      </w:r>
      <w:r>
        <w:rPr>
          <w:rFonts w:hAnsi="宋体"/>
          <w:bCs/>
          <w:color w:val="000000" w:themeColor="text1"/>
          <w:kern w:val="0"/>
          <w:szCs w:val="21"/>
        </w:rPr>
        <w:t>讨论</w:t>
      </w:r>
      <w:r w:rsidRPr="00333E9B">
        <w:rPr>
          <w:rFonts w:hAnsi="宋体" w:hint="eastAsia"/>
          <w:bCs/>
          <w:color w:val="000000" w:themeColor="text1"/>
          <w:kern w:val="0"/>
          <w:szCs w:val="21"/>
        </w:rPr>
        <w:t>等形式</w:t>
      </w:r>
      <w:r>
        <w:rPr>
          <w:rFonts w:hAnsi="宋体" w:hint="eastAsia"/>
          <w:bCs/>
          <w:color w:val="000000" w:themeColor="text1"/>
          <w:kern w:val="0"/>
          <w:szCs w:val="21"/>
        </w:rPr>
        <w:t>进行教学</w:t>
      </w:r>
      <w:r w:rsidRPr="00333E9B">
        <w:rPr>
          <w:rFonts w:hAnsi="宋体" w:hint="eastAsia"/>
          <w:bCs/>
          <w:color w:val="000000" w:themeColor="text1"/>
          <w:kern w:val="0"/>
          <w:szCs w:val="21"/>
        </w:rPr>
        <w:t>，</w:t>
      </w:r>
      <w:r>
        <w:rPr>
          <w:rFonts w:hAnsi="宋体" w:hint="eastAsia"/>
          <w:bCs/>
          <w:color w:val="000000" w:themeColor="text1"/>
          <w:kern w:val="0"/>
          <w:szCs w:val="21"/>
        </w:rPr>
        <w:t>提高</w:t>
      </w:r>
      <w:r>
        <w:rPr>
          <w:rFonts w:hAnsi="宋体"/>
          <w:bCs/>
          <w:color w:val="000000" w:themeColor="text1"/>
          <w:kern w:val="0"/>
          <w:szCs w:val="21"/>
        </w:rPr>
        <w:t>学生参与度</w:t>
      </w:r>
      <w:r>
        <w:rPr>
          <w:rFonts w:hAnsi="宋体" w:hint="eastAsia"/>
          <w:bCs/>
          <w:color w:val="000000" w:themeColor="text1"/>
          <w:kern w:val="0"/>
          <w:szCs w:val="21"/>
        </w:rPr>
        <w:t>，</w:t>
      </w:r>
      <w:r>
        <w:rPr>
          <w:rFonts w:hAnsi="宋体"/>
          <w:bCs/>
          <w:color w:val="000000" w:themeColor="text1"/>
          <w:kern w:val="0"/>
          <w:szCs w:val="21"/>
        </w:rPr>
        <w:t>并</w:t>
      </w:r>
      <w:r w:rsidRPr="00333E9B">
        <w:rPr>
          <w:rFonts w:hAnsi="宋体" w:hint="eastAsia"/>
          <w:bCs/>
          <w:color w:val="000000" w:themeColor="text1"/>
          <w:kern w:val="0"/>
          <w:szCs w:val="21"/>
        </w:rPr>
        <w:t>解析重点难点问题，</w:t>
      </w:r>
      <w:r>
        <w:rPr>
          <w:rFonts w:hAnsi="宋体" w:hint="eastAsia"/>
          <w:bCs/>
          <w:color w:val="000000" w:themeColor="text1"/>
          <w:kern w:val="0"/>
          <w:szCs w:val="21"/>
        </w:rPr>
        <w:t>补充相关</w:t>
      </w:r>
      <w:r>
        <w:rPr>
          <w:rFonts w:hAnsi="宋体"/>
          <w:bCs/>
          <w:color w:val="000000" w:themeColor="text1"/>
          <w:kern w:val="0"/>
          <w:szCs w:val="21"/>
        </w:rPr>
        <w:t>科技</w:t>
      </w:r>
      <w:r>
        <w:rPr>
          <w:rFonts w:hAnsi="宋体" w:hint="eastAsia"/>
          <w:bCs/>
          <w:color w:val="000000" w:themeColor="text1"/>
          <w:kern w:val="0"/>
          <w:szCs w:val="21"/>
        </w:rPr>
        <w:t>前沿研究</w:t>
      </w:r>
      <w:r>
        <w:rPr>
          <w:rFonts w:hAnsi="宋体"/>
          <w:bCs/>
          <w:color w:val="000000" w:themeColor="text1"/>
          <w:kern w:val="0"/>
          <w:szCs w:val="21"/>
        </w:rPr>
        <w:t>内容，</w:t>
      </w:r>
      <w:r w:rsidRPr="00333E9B">
        <w:rPr>
          <w:rFonts w:hAnsi="宋体" w:hint="eastAsia"/>
          <w:bCs/>
          <w:color w:val="000000" w:themeColor="text1"/>
          <w:kern w:val="0"/>
          <w:szCs w:val="21"/>
        </w:rPr>
        <w:t>同时融入课程思政，升华主题。</w:t>
      </w:r>
      <w:r w:rsidRPr="00736439">
        <w:rPr>
          <w:rFonts w:hAnsi="宋体" w:hint="eastAsia"/>
          <w:bCs/>
          <w:color w:val="000000" w:themeColor="text1"/>
          <w:kern w:val="0"/>
          <w:szCs w:val="21"/>
        </w:rPr>
        <w:t>采用设置疑问、引导、讨论等多种教学方法，鼓励学生积极思考，自由发言，激发学习兴趣；以比较、归纳的方法总结知识点，采用多媒体教学，形象地向学生展示、讲解；采用归纳、提问的形式，总结及检验学习效果。</w:t>
      </w:r>
    </w:p>
    <w:p w14:paraId="06238AA8" w14:textId="77777777" w:rsidR="00374000" w:rsidRPr="00D73B31" w:rsidRDefault="00374000" w:rsidP="00374000">
      <w:pPr>
        <w:widowControl/>
        <w:snapToGrid w:val="0"/>
        <w:spacing w:line="360" w:lineRule="auto"/>
        <w:ind w:firstLineChars="200" w:firstLine="420"/>
        <w:jc w:val="left"/>
        <w:rPr>
          <w:rFonts w:hAnsi="宋体"/>
          <w:bCs/>
          <w:color w:val="000000" w:themeColor="text1"/>
          <w:kern w:val="0"/>
          <w:szCs w:val="21"/>
        </w:rPr>
      </w:pPr>
    </w:p>
    <w:p w14:paraId="1C8AFDF1" w14:textId="77777777" w:rsidR="00374000" w:rsidRPr="004B350B" w:rsidRDefault="00374000" w:rsidP="00374000">
      <w:pPr>
        <w:widowControl/>
        <w:snapToGrid w:val="0"/>
        <w:spacing w:line="360" w:lineRule="auto"/>
        <w:jc w:val="left"/>
        <w:rPr>
          <w:rFonts w:hAnsi="宋体"/>
          <w:b/>
          <w:bCs/>
          <w:kern w:val="0"/>
          <w:szCs w:val="21"/>
        </w:rPr>
      </w:pPr>
      <w:r>
        <w:rPr>
          <w:rFonts w:hAnsi="宋体" w:hint="eastAsia"/>
          <w:b/>
          <w:bCs/>
          <w:kern w:val="0"/>
          <w:szCs w:val="21"/>
        </w:rPr>
        <w:lastRenderedPageBreak/>
        <w:t>四</w:t>
      </w:r>
      <w:r w:rsidRPr="00C07E80">
        <w:rPr>
          <w:rFonts w:hAnsi="宋体"/>
          <w:b/>
          <w:bCs/>
          <w:kern w:val="0"/>
          <w:szCs w:val="21"/>
        </w:rPr>
        <w:t>、理论教学内容及学时分配</w:t>
      </w:r>
      <w:r>
        <w:rPr>
          <w:rFonts w:hAnsi="宋体" w:hint="eastAsia"/>
          <w:b/>
          <w:bCs/>
          <w:kern w:val="0"/>
          <w:szCs w:val="21"/>
        </w:rPr>
        <w:t>（</w:t>
      </w:r>
      <w:r>
        <w:rPr>
          <w:rFonts w:hAnsi="宋体"/>
          <w:b/>
          <w:bCs/>
          <w:kern w:val="0"/>
          <w:szCs w:val="21"/>
        </w:rPr>
        <w:t>32</w:t>
      </w:r>
      <w:r>
        <w:rPr>
          <w:rFonts w:hAnsi="宋体" w:hint="eastAsia"/>
          <w:b/>
          <w:bCs/>
          <w:kern w:val="0"/>
          <w:szCs w:val="21"/>
        </w:rPr>
        <w:t>学时）</w:t>
      </w:r>
      <w:r w:rsidRPr="004B350B">
        <w:rPr>
          <w:rFonts w:hAnsi="宋体" w:hint="eastAsia"/>
          <w:b/>
          <w:bCs/>
          <w:kern w:val="0"/>
          <w:szCs w:val="21"/>
        </w:rPr>
        <w:t></w:t>
      </w:r>
    </w:p>
    <w:p w14:paraId="1B3CC5C9" w14:textId="77777777" w:rsidR="00374000" w:rsidRPr="00C07E80" w:rsidRDefault="00374000" w:rsidP="00374000">
      <w:pPr>
        <w:widowControl/>
        <w:wordWrap w:val="0"/>
        <w:snapToGrid w:val="0"/>
        <w:spacing w:line="360" w:lineRule="auto"/>
        <w:jc w:val="right"/>
        <w:rPr>
          <w:kern w:val="0"/>
          <w:szCs w:val="21"/>
        </w:rPr>
      </w:pPr>
      <w:r>
        <w:rPr>
          <w:rFonts w:hAnsi="宋体" w:hint="eastAsia"/>
          <w:b/>
          <w:bCs/>
          <w:kern w:val="0"/>
          <w:szCs w:val="21"/>
        </w:rPr>
        <w:t>第一章</w:t>
      </w:r>
      <w:r>
        <w:rPr>
          <w:rFonts w:hAnsi="宋体" w:hint="eastAsia"/>
          <w:b/>
          <w:bCs/>
          <w:kern w:val="0"/>
          <w:szCs w:val="21"/>
        </w:rPr>
        <w:t xml:space="preserve"> </w:t>
      </w:r>
      <w:r>
        <w:rPr>
          <w:rFonts w:hAnsi="宋体" w:hint="eastAsia"/>
          <w:b/>
          <w:bCs/>
          <w:kern w:val="0"/>
          <w:szCs w:val="21"/>
        </w:rPr>
        <w:t>绪论</w:t>
      </w:r>
      <w:r>
        <w:rPr>
          <w:rFonts w:hAnsi="宋体"/>
          <w:b/>
          <w:bCs/>
          <w:kern w:val="0"/>
          <w:szCs w:val="21"/>
        </w:rPr>
        <w:t xml:space="preserve">              </w:t>
      </w:r>
      <w:r>
        <w:rPr>
          <w:rFonts w:hAnsi="宋体" w:hint="eastAsia"/>
          <w:b/>
          <w:bCs/>
          <w:kern w:val="0"/>
          <w:szCs w:val="21"/>
        </w:rPr>
        <w:t xml:space="preserve">              </w:t>
      </w:r>
      <w:r w:rsidRPr="00C07E80">
        <w:rPr>
          <w:b/>
          <w:bCs/>
          <w:kern w:val="0"/>
          <w:szCs w:val="21"/>
        </w:rPr>
        <w:t> </w:t>
      </w:r>
      <w:r w:rsidRPr="00C07E80">
        <w:rPr>
          <w:rFonts w:hAnsi="宋体"/>
          <w:b/>
          <w:bCs/>
          <w:kern w:val="0"/>
          <w:szCs w:val="21"/>
        </w:rPr>
        <w:t>学时</w:t>
      </w:r>
      <w:r>
        <w:rPr>
          <w:rFonts w:hAnsi="宋体" w:hint="eastAsia"/>
          <w:b/>
          <w:bCs/>
          <w:kern w:val="0"/>
          <w:szCs w:val="21"/>
        </w:rPr>
        <w:t>数：</w:t>
      </w:r>
      <w:r>
        <w:rPr>
          <w:rFonts w:hAnsi="宋体"/>
          <w:b/>
          <w:bCs/>
          <w:color w:val="000000" w:themeColor="text1"/>
          <w:kern w:val="0"/>
          <w:szCs w:val="21"/>
        </w:rPr>
        <w:t>2</w:t>
      </w:r>
      <w:r w:rsidRPr="00924E85">
        <w:rPr>
          <w:rFonts w:hAnsi="宋体" w:hint="eastAsia"/>
          <w:bCs/>
          <w:color w:val="0000FF"/>
          <w:kern w:val="0"/>
          <w:szCs w:val="21"/>
        </w:rPr>
        <w:t xml:space="preserve"> </w:t>
      </w:r>
    </w:p>
    <w:p w14:paraId="057C5FF1" w14:textId="77777777" w:rsidR="00374000" w:rsidRPr="0063467C" w:rsidRDefault="00374000" w:rsidP="00374000">
      <w:pPr>
        <w:widowControl/>
        <w:snapToGrid w:val="0"/>
        <w:spacing w:line="360" w:lineRule="auto"/>
        <w:rPr>
          <w:rFonts w:ascii="宋体" w:hAnsi="宋体"/>
          <w:bCs/>
        </w:rPr>
      </w:pPr>
      <w:r w:rsidRPr="006A0F7D">
        <w:rPr>
          <w:rFonts w:ascii="宋体" w:hAnsi="宋体" w:hint="eastAsia"/>
          <w:b/>
          <w:bCs/>
        </w:rPr>
        <w:t>教学目的：</w:t>
      </w:r>
      <w:r w:rsidRPr="0063467C">
        <w:rPr>
          <w:rFonts w:ascii="宋体" w:hAnsi="宋体" w:hint="eastAsia"/>
          <w:bCs/>
        </w:rPr>
        <w:t>了解无土栽培的发展历史、现状及趋势，掌握无土栽培的概念、分类及特点。</w:t>
      </w:r>
      <w:r>
        <w:rPr>
          <w:rFonts w:ascii="宋体" w:hAnsi="宋体" w:hint="eastAsia"/>
          <w:bCs/>
        </w:rPr>
        <w:t>意识到掌握</w:t>
      </w:r>
      <w:r>
        <w:rPr>
          <w:rFonts w:ascii="宋体" w:hAnsi="宋体"/>
          <w:bCs/>
        </w:rPr>
        <w:t>无土栽培技术对现代农业发展的重要性。</w:t>
      </w:r>
    </w:p>
    <w:p w14:paraId="0F7946F4" w14:textId="77777777" w:rsidR="00374000" w:rsidRPr="0063467C" w:rsidRDefault="00374000" w:rsidP="00374000">
      <w:pPr>
        <w:widowControl/>
        <w:snapToGrid w:val="0"/>
        <w:spacing w:line="360" w:lineRule="auto"/>
        <w:rPr>
          <w:rFonts w:ascii="宋体" w:hAnsi="宋体"/>
          <w:bCs/>
        </w:rPr>
      </w:pPr>
      <w:r w:rsidRPr="006A0F7D">
        <w:rPr>
          <w:rFonts w:ascii="宋体" w:hAnsi="宋体" w:hint="eastAsia"/>
          <w:b/>
          <w:bCs/>
        </w:rPr>
        <w:t>教学重点和难点：</w:t>
      </w:r>
      <w:r w:rsidRPr="0063467C">
        <w:rPr>
          <w:rFonts w:ascii="宋体" w:hAnsi="宋体" w:hint="eastAsia"/>
          <w:bCs/>
        </w:rPr>
        <w:t>无土栽培的概念、优缺点</w:t>
      </w:r>
      <w:r>
        <w:rPr>
          <w:rFonts w:ascii="宋体" w:hAnsi="宋体" w:hint="eastAsia"/>
          <w:bCs/>
        </w:rPr>
        <w:t>及分类</w:t>
      </w:r>
      <w:r w:rsidRPr="0063467C">
        <w:rPr>
          <w:rFonts w:ascii="宋体" w:hAnsi="宋体" w:hint="eastAsia"/>
          <w:bCs/>
        </w:rPr>
        <w:t>。</w:t>
      </w:r>
    </w:p>
    <w:p w14:paraId="3AA3C8C8" w14:textId="77777777" w:rsidR="00374000" w:rsidRDefault="00374000" w:rsidP="00374000">
      <w:pPr>
        <w:widowControl/>
        <w:snapToGrid w:val="0"/>
        <w:spacing w:line="360" w:lineRule="auto"/>
        <w:rPr>
          <w:rFonts w:hAnsi="宋体"/>
          <w:kern w:val="0"/>
          <w:szCs w:val="21"/>
        </w:rPr>
      </w:pPr>
      <w:r w:rsidRPr="006A0F7D">
        <w:rPr>
          <w:rFonts w:ascii="宋体" w:hAnsi="宋体" w:hint="eastAsia"/>
          <w:b/>
          <w:bCs/>
        </w:rPr>
        <w:t>主要教学内容及要求：</w:t>
      </w:r>
      <w:r>
        <w:rPr>
          <w:rFonts w:hAnsi="宋体" w:hint="eastAsia"/>
          <w:kern w:val="0"/>
          <w:szCs w:val="21"/>
        </w:rPr>
        <w:t>了解无土栽培技术的发展历史及现状；理解无土栽培的未来趋势；掌握无土栽培的应用领域；熟练掌握无土栽培的分类与特点。</w:t>
      </w:r>
    </w:p>
    <w:p w14:paraId="385A8373" w14:textId="77777777" w:rsidR="00374000" w:rsidRPr="0063467C" w:rsidRDefault="00374000" w:rsidP="00A115EF">
      <w:pPr>
        <w:pStyle w:val="afd"/>
        <w:widowControl/>
        <w:numPr>
          <w:ilvl w:val="0"/>
          <w:numId w:val="19"/>
        </w:numPr>
        <w:snapToGrid w:val="0"/>
        <w:spacing w:line="360" w:lineRule="auto"/>
        <w:ind w:left="845" w:firstLineChars="0"/>
        <w:rPr>
          <w:rFonts w:hAnsi="宋体"/>
          <w:kern w:val="0"/>
          <w:szCs w:val="21"/>
        </w:rPr>
      </w:pPr>
      <w:r w:rsidRPr="0063467C">
        <w:rPr>
          <w:rFonts w:hAnsi="宋体" w:hint="eastAsia"/>
          <w:kern w:val="0"/>
          <w:szCs w:val="21"/>
        </w:rPr>
        <w:t>无土栽培的分类与特点</w:t>
      </w:r>
    </w:p>
    <w:p w14:paraId="0371AC65" w14:textId="77777777" w:rsidR="00374000" w:rsidRPr="0063467C" w:rsidRDefault="00374000" w:rsidP="00A115EF">
      <w:pPr>
        <w:pStyle w:val="afd"/>
        <w:widowControl/>
        <w:numPr>
          <w:ilvl w:val="0"/>
          <w:numId w:val="19"/>
        </w:numPr>
        <w:snapToGrid w:val="0"/>
        <w:spacing w:line="360" w:lineRule="auto"/>
        <w:ind w:left="845" w:firstLineChars="0"/>
        <w:rPr>
          <w:rFonts w:hAnsi="宋体"/>
          <w:kern w:val="0"/>
          <w:szCs w:val="21"/>
        </w:rPr>
      </w:pPr>
      <w:r w:rsidRPr="0063467C">
        <w:rPr>
          <w:rFonts w:hint="eastAsia"/>
          <w:bCs/>
          <w:kern w:val="0"/>
          <w:szCs w:val="21"/>
        </w:rPr>
        <w:t>无土栽培技术的发展历史</w:t>
      </w:r>
    </w:p>
    <w:p w14:paraId="3AEF5B75" w14:textId="77777777" w:rsidR="00374000" w:rsidRPr="0063467C" w:rsidRDefault="00374000" w:rsidP="00A115EF">
      <w:pPr>
        <w:pStyle w:val="afd"/>
        <w:widowControl/>
        <w:numPr>
          <w:ilvl w:val="0"/>
          <w:numId w:val="19"/>
        </w:numPr>
        <w:snapToGrid w:val="0"/>
        <w:spacing w:line="360" w:lineRule="auto"/>
        <w:ind w:left="845" w:firstLineChars="0"/>
        <w:rPr>
          <w:rFonts w:hAnsi="宋体"/>
          <w:kern w:val="0"/>
          <w:szCs w:val="21"/>
        </w:rPr>
      </w:pPr>
      <w:r>
        <w:rPr>
          <w:rFonts w:hint="eastAsia"/>
          <w:bCs/>
          <w:kern w:val="0"/>
          <w:szCs w:val="21"/>
        </w:rPr>
        <w:t>无土栽培的现状与展望</w:t>
      </w:r>
      <w:r w:rsidRPr="0063467C">
        <w:rPr>
          <w:bCs/>
          <w:kern w:val="0"/>
          <w:szCs w:val="21"/>
        </w:rPr>
        <w:t>    </w:t>
      </w:r>
    </w:p>
    <w:p w14:paraId="0B947D43" w14:textId="77777777" w:rsidR="00374000" w:rsidRDefault="00374000" w:rsidP="00374000">
      <w:pPr>
        <w:widowControl/>
        <w:snapToGrid w:val="0"/>
        <w:spacing w:line="360" w:lineRule="auto"/>
        <w:rPr>
          <w:rFonts w:ascii="宋体" w:hAnsi="宋体"/>
          <w:b/>
          <w:bCs/>
        </w:rPr>
      </w:pPr>
      <w:r w:rsidRPr="00924E85">
        <w:rPr>
          <w:rFonts w:ascii="宋体" w:hAnsi="宋体" w:hint="eastAsia"/>
          <w:b/>
          <w:bCs/>
        </w:rPr>
        <w:t>教学组织与实施：</w:t>
      </w:r>
    </w:p>
    <w:p w14:paraId="5A961A14"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你所</w:t>
      </w:r>
      <w:r>
        <w:rPr>
          <w:rFonts w:ascii="宋体" w:hAnsi="宋体"/>
          <w:bCs/>
        </w:rPr>
        <w:t>了解的无土栽培是什么样的?”,</w:t>
      </w:r>
      <w:r>
        <w:rPr>
          <w:rFonts w:ascii="宋体" w:hAnsi="宋体" w:hint="eastAsia"/>
          <w:bCs/>
        </w:rPr>
        <w:t>并</w:t>
      </w:r>
      <w:r>
        <w:rPr>
          <w:rFonts w:ascii="宋体" w:hAnsi="宋体"/>
          <w:bCs/>
        </w:rPr>
        <w:t>上传课件等学习资料，让学生进行自学。</w:t>
      </w:r>
    </w:p>
    <w:p w14:paraId="4B734795" w14:textId="77777777" w:rsidR="00374000" w:rsidRDefault="00374000" w:rsidP="00374000">
      <w:pPr>
        <w:widowControl/>
        <w:snapToGrid w:val="0"/>
        <w:spacing w:line="360" w:lineRule="auto"/>
        <w:rPr>
          <w:rFonts w:ascii="宋体" w:hAnsi="宋体"/>
          <w:bCs/>
        </w:rPr>
      </w:pPr>
      <w:r>
        <w:rPr>
          <w:rFonts w:ascii="宋体" w:hAnsi="宋体"/>
          <w:bCs/>
        </w:rPr>
        <w:t>2.</w:t>
      </w:r>
      <w:r>
        <w:rPr>
          <w:rFonts w:ascii="宋体" w:hAnsi="宋体" w:hint="eastAsia"/>
          <w:bCs/>
        </w:rPr>
        <w:t>采用</w:t>
      </w:r>
      <w:r>
        <w:rPr>
          <w:rFonts w:ascii="宋体" w:hAnsi="宋体"/>
          <w:bCs/>
        </w:rPr>
        <w:t>导入课程等手段，使学生认识到本课程的地位</w:t>
      </w:r>
      <w:r>
        <w:rPr>
          <w:rFonts w:ascii="宋体" w:hAnsi="宋体" w:hint="eastAsia"/>
          <w:bCs/>
        </w:rPr>
        <w:t>、</w:t>
      </w:r>
      <w:r>
        <w:rPr>
          <w:rFonts w:ascii="宋体" w:hAnsi="宋体"/>
          <w:bCs/>
        </w:rPr>
        <w:t>对生产的意义，并检验课前自学情况。</w:t>
      </w:r>
    </w:p>
    <w:p w14:paraId="208E0290" w14:textId="77777777" w:rsidR="00374000" w:rsidRPr="00965B57" w:rsidRDefault="00374000" w:rsidP="00374000">
      <w:pPr>
        <w:widowControl/>
        <w:snapToGrid w:val="0"/>
        <w:spacing w:line="360" w:lineRule="auto"/>
        <w:rPr>
          <w:rFonts w:ascii="宋体" w:hAnsi="宋体"/>
          <w:bCs/>
        </w:rPr>
      </w:pPr>
      <w:r>
        <w:rPr>
          <w:rFonts w:ascii="宋体" w:hAnsi="宋体"/>
          <w:bCs/>
        </w:rPr>
        <w:t>3.</w:t>
      </w:r>
      <w:r w:rsidRPr="00965B57">
        <w:rPr>
          <w:rFonts w:ascii="宋体" w:hAnsi="宋体" w:hint="eastAsia"/>
          <w:bCs/>
        </w:rPr>
        <w:t xml:space="preserve"> </w:t>
      </w:r>
      <w:r>
        <w:rPr>
          <w:rFonts w:ascii="宋体" w:hAnsi="宋体" w:hint="eastAsia"/>
          <w:bCs/>
        </w:rPr>
        <w:t>以</w:t>
      </w:r>
      <w:r>
        <w:rPr>
          <w:rFonts w:ascii="宋体" w:hAnsi="宋体"/>
          <w:bCs/>
        </w:rPr>
        <w:t>比较、归纳的方法</w:t>
      </w:r>
      <w:r>
        <w:rPr>
          <w:rFonts w:ascii="宋体" w:hAnsi="宋体" w:hint="eastAsia"/>
          <w:bCs/>
        </w:rPr>
        <w:t>总结</w:t>
      </w:r>
      <w:r>
        <w:rPr>
          <w:rFonts w:ascii="宋体" w:hAnsi="宋体"/>
          <w:bCs/>
        </w:rPr>
        <w:t>知识点，</w:t>
      </w:r>
      <w:r w:rsidRPr="0086473D">
        <w:rPr>
          <w:rFonts w:ascii="宋体" w:hAnsi="宋体" w:hint="eastAsia"/>
          <w:bCs/>
        </w:rPr>
        <w:t>采用</w:t>
      </w:r>
      <w:r w:rsidRPr="0086473D">
        <w:rPr>
          <w:rFonts w:ascii="宋体" w:hAnsi="宋体"/>
          <w:bCs/>
        </w:rPr>
        <w:t>多媒体教学，</w:t>
      </w:r>
      <w:r w:rsidRPr="0086473D">
        <w:rPr>
          <w:rFonts w:ascii="宋体" w:hAnsi="宋体" w:hint="eastAsia"/>
          <w:bCs/>
        </w:rPr>
        <w:t>形象地</w:t>
      </w:r>
      <w:r w:rsidRPr="0086473D">
        <w:rPr>
          <w:rFonts w:ascii="宋体" w:hAnsi="宋体"/>
          <w:bCs/>
        </w:rPr>
        <w:t>向学生展示、讲解</w:t>
      </w:r>
      <w:r>
        <w:rPr>
          <w:rFonts w:ascii="宋体" w:hAnsi="宋体" w:hint="eastAsia"/>
          <w:bCs/>
        </w:rPr>
        <w:t>重点</w:t>
      </w:r>
      <w:r>
        <w:rPr>
          <w:rFonts w:ascii="宋体" w:hAnsi="宋体"/>
          <w:bCs/>
        </w:rPr>
        <w:t>难点问题。</w:t>
      </w:r>
    </w:p>
    <w:p w14:paraId="03050337" w14:textId="77777777" w:rsidR="00374000" w:rsidRDefault="00374000" w:rsidP="00374000">
      <w:pPr>
        <w:widowControl/>
        <w:snapToGrid w:val="0"/>
        <w:spacing w:line="360" w:lineRule="auto"/>
        <w:rPr>
          <w:rFonts w:ascii="宋体" w:hAnsi="宋体"/>
          <w:bCs/>
        </w:rPr>
      </w:pPr>
      <w:r>
        <w:rPr>
          <w:rFonts w:ascii="宋体" w:hAnsi="宋体"/>
          <w:bCs/>
        </w:rPr>
        <w:t>4.</w:t>
      </w:r>
      <w:r>
        <w:rPr>
          <w:rFonts w:ascii="宋体" w:hAnsi="宋体" w:hint="eastAsia"/>
          <w:bCs/>
        </w:rPr>
        <w:t>采用归纳</w:t>
      </w:r>
      <w:r>
        <w:rPr>
          <w:rFonts w:ascii="宋体" w:hAnsi="宋体"/>
          <w:bCs/>
        </w:rPr>
        <w:t>、提问</w:t>
      </w:r>
      <w:r>
        <w:rPr>
          <w:rFonts w:ascii="宋体" w:hAnsi="宋体" w:hint="eastAsia"/>
          <w:bCs/>
        </w:rPr>
        <w:t>的</w:t>
      </w:r>
      <w:r>
        <w:rPr>
          <w:rFonts w:ascii="宋体" w:hAnsi="宋体"/>
          <w:bCs/>
        </w:rPr>
        <w:t>形式，总结</w:t>
      </w:r>
      <w:r>
        <w:rPr>
          <w:rFonts w:ascii="宋体" w:hAnsi="宋体" w:hint="eastAsia"/>
          <w:bCs/>
        </w:rPr>
        <w:t>章节</w:t>
      </w:r>
      <w:r>
        <w:rPr>
          <w:rFonts w:ascii="宋体" w:hAnsi="宋体"/>
          <w:bCs/>
        </w:rPr>
        <w:t>知识点，引入课程思政，并引出下节学习</w:t>
      </w:r>
      <w:r>
        <w:rPr>
          <w:rFonts w:ascii="宋体" w:hAnsi="宋体" w:hint="eastAsia"/>
          <w:bCs/>
        </w:rPr>
        <w:t>内容</w:t>
      </w:r>
      <w:r>
        <w:rPr>
          <w:rFonts w:ascii="宋体" w:hAnsi="宋体"/>
          <w:bCs/>
        </w:rPr>
        <w:t>。</w:t>
      </w:r>
    </w:p>
    <w:p w14:paraId="72591198" w14:textId="77777777" w:rsidR="00374000" w:rsidRPr="00E13BB8" w:rsidRDefault="00374000" w:rsidP="00374000">
      <w:pPr>
        <w:widowControl/>
        <w:wordWrap w:val="0"/>
        <w:snapToGrid w:val="0"/>
        <w:spacing w:line="360" w:lineRule="auto"/>
        <w:jc w:val="right"/>
        <w:rPr>
          <w:rFonts w:hAnsi="宋体"/>
          <w:b/>
          <w:bCs/>
          <w:kern w:val="0"/>
          <w:szCs w:val="21"/>
        </w:rPr>
      </w:pPr>
      <w:r w:rsidRPr="00C07E80">
        <w:rPr>
          <w:b/>
          <w:bCs/>
          <w:kern w:val="0"/>
          <w:szCs w:val="21"/>
        </w:rPr>
        <w:t>   </w:t>
      </w:r>
      <w:r w:rsidRPr="00C07E80">
        <w:rPr>
          <w:rFonts w:hAnsi="宋体"/>
          <w:b/>
          <w:bCs/>
          <w:kern w:val="0"/>
          <w:szCs w:val="21"/>
        </w:rPr>
        <w:t>第</w:t>
      </w:r>
      <w:r>
        <w:rPr>
          <w:rFonts w:hAnsi="宋体" w:hint="eastAsia"/>
          <w:b/>
          <w:bCs/>
          <w:kern w:val="0"/>
          <w:szCs w:val="21"/>
        </w:rPr>
        <w:t>二</w:t>
      </w:r>
      <w:r w:rsidRPr="00C07E80">
        <w:rPr>
          <w:rFonts w:hAnsi="宋体"/>
          <w:b/>
          <w:bCs/>
          <w:kern w:val="0"/>
          <w:szCs w:val="21"/>
        </w:rPr>
        <w:t>章</w:t>
      </w:r>
      <w:r w:rsidRPr="00C07E80">
        <w:rPr>
          <w:b/>
          <w:bCs/>
          <w:kern w:val="0"/>
          <w:szCs w:val="21"/>
        </w:rPr>
        <w:t>   </w:t>
      </w:r>
      <w:r w:rsidRPr="00924E85">
        <w:rPr>
          <w:b/>
          <w:bCs/>
          <w:kern w:val="0"/>
          <w:szCs w:val="21"/>
        </w:rPr>
        <w:t> </w:t>
      </w:r>
      <w:r>
        <w:rPr>
          <w:rFonts w:ascii="宋体" w:hAnsi="宋体" w:hint="eastAsia"/>
          <w:b/>
          <w:bCs/>
        </w:rPr>
        <w:t>无土栽培</w:t>
      </w:r>
      <w:r>
        <w:rPr>
          <w:rFonts w:ascii="宋体" w:hAnsi="宋体"/>
          <w:b/>
          <w:bCs/>
        </w:rPr>
        <w:t>的理论基础</w:t>
      </w:r>
      <w:r w:rsidRPr="00924E85">
        <w:rPr>
          <w:b/>
          <w:bCs/>
          <w:kern w:val="0"/>
          <w:szCs w:val="21"/>
        </w:rPr>
        <w:t>  </w:t>
      </w:r>
      <w:r w:rsidRPr="00C07E80">
        <w:rPr>
          <w:b/>
          <w:bCs/>
          <w:kern w:val="0"/>
          <w:szCs w:val="21"/>
        </w:rPr>
        <w:t> </w:t>
      </w:r>
      <w:r>
        <w:rPr>
          <w:rFonts w:hint="eastAsia"/>
          <w:b/>
          <w:bCs/>
          <w:kern w:val="0"/>
          <w:szCs w:val="21"/>
        </w:rPr>
        <w:t xml:space="preserve">             </w:t>
      </w:r>
      <w:r w:rsidRPr="00C07E80">
        <w:rPr>
          <w:b/>
          <w:bCs/>
          <w:kern w:val="0"/>
          <w:szCs w:val="21"/>
        </w:rPr>
        <w:t>                     </w:t>
      </w:r>
      <w:r w:rsidRPr="00C07E80">
        <w:rPr>
          <w:rFonts w:hAnsi="宋体"/>
          <w:b/>
          <w:bCs/>
          <w:kern w:val="0"/>
          <w:szCs w:val="21"/>
        </w:rPr>
        <w:t>学时</w:t>
      </w:r>
      <w:r>
        <w:rPr>
          <w:rFonts w:hAnsi="宋体" w:hint="eastAsia"/>
          <w:b/>
          <w:bCs/>
          <w:kern w:val="0"/>
          <w:szCs w:val="21"/>
        </w:rPr>
        <w:t>数：</w:t>
      </w:r>
      <w:r>
        <w:rPr>
          <w:rFonts w:hAnsi="宋体"/>
          <w:b/>
          <w:bCs/>
          <w:kern w:val="0"/>
          <w:szCs w:val="21"/>
        </w:rPr>
        <w:t>2</w:t>
      </w:r>
    </w:p>
    <w:p w14:paraId="5E04F266" w14:textId="77777777" w:rsidR="00374000" w:rsidRPr="00361B68" w:rsidRDefault="00374000" w:rsidP="00374000">
      <w:pPr>
        <w:widowControl/>
        <w:snapToGrid w:val="0"/>
        <w:spacing w:line="360" w:lineRule="auto"/>
        <w:rPr>
          <w:rFonts w:ascii="宋体" w:hAnsi="宋体"/>
          <w:bCs/>
        </w:rPr>
      </w:pPr>
      <w:r w:rsidRPr="006A0F7D">
        <w:rPr>
          <w:rFonts w:ascii="宋体" w:hAnsi="宋体" w:hint="eastAsia"/>
          <w:b/>
          <w:bCs/>
        </w:rPr>
        <w:t>教学目的：</w:t>
      </w:r>
      <w:r w:rsidRPr="00361B68">
        <w:rPr>
          <w:rFonts w:ascii="宋体" w:hAnsi="宋体" w:hint="eastAsia"/>
          <w:bCs/>
        </w:rPr>
        <w:t>理解</w:t>
      </w:r>
      <w:r w:rsidRPr="00361B68">
        <w:rPr>
          <w:rFonts w:ascii="宋体" w:hAnsi="宋体"/>
          <w:bCs/>
        </w:rPr>
        <w:t>无土栽培的理论基础</w:t>
      </w:r>
      <w:r w:rsidRPr="00361B68">
        <w:rPr>
          <w:rFonts w:ascii="宋体" w:hAnsi="宋体" w:hint="eastAsia"/>
          <w:bCs/>
        </w:rPr>
        <w:t>；</w:t>
      </w:r>
      <w:r w:rsidRPr="00361B68">
        <w:rPr>
          <w:rFonts w:ascii="宋体" w:hAnsi="宋体"/>
          <w:bCs/>
        </w:rPr>
        <w:t>掌握根系吸水吸肥特性</w:t>
      </w:r>
      <w:r w:rsidRPr="00361B68">
        <w:rPr>
          <w:rFonts w:ascii="宋体" w:hAnsi="宋体" w:hint="eastAsia"/>
          <w:bCs/>
        </w:rPr>
        <w:t>；了解各</w:t>
      </w:r>
      <w:r w:rsidRPr="00361B68">
        <w:rPr>
          <w:rFonts w:ascii="宋体" w:hAnsi="宋体"/>
          <w:bCs/>
        </w:rPr>
        <w:t>营养元素的</w:t>
      </w:r>
      <w:r w:rsidRPr="00361B68">
        <w:rPr>
          <w:rFonts w:ascii="宋体" w:hAnsi="宋体" w:hint="eastAsia"/>
          <w:bCs/>
        </w:rPr>
        <w:t>功能</w:t>
      </w:r>
      <w:r w:rsidRPr="00361B68">
        <w:rPr>
          <w:rFonts w:ascii="宋体" w:hAnsi="宋体"/>
          <w:bCs/>
        </w:rPr>
        <w:t>。</w:t>
      </w:r>
    </w:p>
    <w:p w14:paraId="7ED41F79" w14:textId="77777777" w:rsidR="00374000" w:rsidRPr="00361B68" w:rsidRDefault="00374000" w:rsidP="00374000">
      <w:pPr>
        <w:widowControl/>
        <w:snapToGrid w:val="0"/>
        <w:spacing w:line="360" w:lineRule="auto"/>
        <w:rPr>
          <w:rFonts w:ascii="宋体" w:hAnsi="宋体"/>
          <w:bCs/>
        </w:rPr>
      </w:pPr>
      <w:r w:rsidRPr="006A0F7D">
        <w:rPr>
          <w:rFonts w:ascii="宋体" w:hAnsi="宋体" w:hint="eastAsia"/>
          <w:b/>
          <w:bCs/>
        </w:rPr>
        <w:t>教学重点和难点：</w:t>
      </w:r>
      <w:r w:rsidRPr="00361B68">
        <w:rPr>
          <w:rFonts w:ascii="宋体" w:hAnsi="宋体"/>
          <w:bCs/>
        </w:rPr>
        <w:t>根系吸水吸肥特性</w:t>
      </w:r>
      <w:r w:rsidRPr="00361B68">
        <w:rPr>
          <w:rFonts w:ascii="宋体" w:hAnsi="宋体" w:hint="eastAsia"/>
          <w:bCs/>
        </w:rPr>
        <w:t>；矿质营养</w:t>
      </w:r>
      <w:r w:rsidRPr="00361B68">
        <w:rPr>
          <w:rFonts w:ascii="宋体" w:hAnsi="宋体"/>
          <w:bCs/>
        </w:rPr>
        <w:t>学说。</w:t>
      </w:r>
    </w:p>
    <w:p w14:paraId="2AC85ECB" w14:textId="77777777" w:rsidR="00374000" w:rsidRDefault="00374000" w:rsidP="00374000">
      <w:pPr>
        <w:widowControl/>
        <w:snapToGrid w:val="0"/>
        <w:spacing w:line="360" w:lineRule="auto"/>
        <w:rPr>
          <w:rFonts w:ascii="宋体" w:hAnsi="宋体"/>
          <w:bCs/>
        </w:rPr>
      </w:pPr>
      <w:r w:rsidRPr="006A0F7D">
        <w:rPr>
          <w:rFonts w:ascii="宋体" w:hAnsi="宋体" w:hint="eastAsia"/>
          <w:b/>
          <w:bCs/>
        </w:rPr>
        <w:t>主要教学内容及要求：</w:t>
      </w:r>
      <w:r w:rsidRPr="00361B68">
        <w:rPr>
          <w:rFonts w:ascii="宋体" w:hAnsi="宋体" w:hint="eastAsia"/>
          <w:bCs/>
        </w:rPr>
        <w:t>理解无土</w:t>
      </w:r>
      <w:r w:rsidRPr="00361B68">
        <w:rPr>
          <w:rFonts w:ascii="宋体" w:hAnsi="宋体"/>
          <w:bCs/>
        </w:rPr>
        <w:t>栽培的理论基础是矿质营养学说；</w:t>
      </w:r>
      <w:r w:rsidRPr="00361B68">
        <w:rPr>
          <w:rFonts w:ascii="宋体" w:hAnsi="宋体" w:hint="eastAsia"/>
          <w:bCs/>
        </w:rPr>
        <w:t>掌握</w:t>
      </w:r>
      <w:r w:rsidRPr="00361B68">
        <w:rPr>
          <w:rFonts w:ascii="宋体" w:hAnsi="宋体"/>
          <w:bCs/>
        </w:rPr>
        <w:t>根系对水分和养分的吸收过程和影响因素；了解植物必需营养元素的功能及缺乏所产生的功能障碍；了解表观吸收组成浓度在作物专用营养液配方研究中的</w:t>
      </w:r>
      <w:r w:rsidRPr="00361B68">
        <w:rPr>
          <w:rFonts w:ascii="宋体" w:hAnsi="宋体" w:hint="eastAsia"/>
          <w:bCs/>
        </w:rPr>
        <w:t>原理</w:t>
      </w:r>
      <w:r w:rsidRPr="00361B68">
        <w:rPr>
          <w:rFonts w:ascii="宋体" w:hAnsi="宋体"/>
          <w:bCs/>
        </w:rPr>
        <w:t>与技术。</w:t>
      </w:r>
    </w:p>
    <w:p w14:paraId="63E952B5" w14:textId="77777777" w:rsidR="00374000" w:rsidRDefault="00374000" w:rsidP="00374000">
      <w:pPr>
        <w:widowControl/>
        <w:snapToGrid w:val="0"/>
        <w:spacing w:line="360" w:lineRule="auto"/>
        <w:rPr>
          <w:rFonts w:ascii="宋体" w:hAnsi="宋体"/>
          <w:bCs/>
        </w:rPr>
      </w:pPr>
      <w:r>
        <w:rPr>
          <w:rFonts w:ascii="宋体" w:hAnsi="宋体" w:hint="eastAsia"/>
          <w:bCs/>
        </w:rPr>
        <w:t xml:space="preserve"> </w:t>
      </w:r>
      <w:r>
        <w:rPr>
          <w:rFonts w:ascii="宋体" w:hAnsi="宋体"/>
          <w:bCs/>
        </w:rPr>
        <w:t xml:space="preserve">    </w:t>
      </w:r>
      <w:r>
        <w:rPr>
          <w:rFonts w:ascii="宋体" w:hAnsi="宋体" w:hint="eastAsia"/>
          <w:bCs/>
        </w:rPr>
        <w:t>第一节 植物</w:t>
      </w:r>
      <w:r>
        <w:rPr>
          <w:rFonts w:ascii="宋体" w:hAnsi="宋体"/>
          <w:bCs/>
        </w:rPr>
        <w:t>的矿质营养学说</w:t>
      </w:r>
    </w:p>
    <w:p w14:paraId="0916D61B" w14:textId="77777777" w:rsidR="00374000" w:rsidRDefault="00374000" w:rsidP="00374000">
      <w:pPr>
        <w:widowControl/>
        <w:snapToGrid w:val="0"/>
        <w:spacing w:line="360" w:lineRule="auto"/>
        <w:rPr>
          <w:rFonts w:ascii="宋体" w:hAnsi="宋体"/>
          <w:bCs/>
        </w:rPr>
      </w:pPr>
      <w:r>
        <w:rPr>
          <w:rFonts w:ascii="宋体" w:hAnsi="宋体"/>
          <w:bCs/>
        </w:rPr>
        <w:t xml:space="preserve">     </w:t>
      </w:r>
      <w:r>
        <w:rPr>
          <w:rFonts w:ascii="宋体" w:hAnsi="宋体" w:hint="eastAsia"/>
          <w:bCs/>
        </w:rPr>
        <w:t>第二节 植物对</w:t>
      </w:r>
      <w:r>
        <w:rPr>
          <w:rFonts w:ascii="宋体" w:hAnsi="宋体"/>
          <w:bCs/>
        </w:rPr>
        <w:t>矿质营养元素的吸收和利用</w:t>
      </w:r>
    </w:p>
    <w:p w14:paraId="4C206FF2" w14:textId="77777777" w:rsidR="00374000" w:rsidRDefault="00374000" w:rsidP="00374000">
      <w:pPr>
        <w:widowControl/>
        <w:snapToGrid w:val="0"/>
        <w:spacing w:line="360" w:lineRule="auto"/>
        <w:rPr>
          <w:rFonts w:ascii="宋体" w:hAnsi="宋体"/>
          <w:b/>
          <w:bCs/>
        </w:rPr>
      </w:pPr>
      <w:r w:rsidRPr="00ED5B57">
        <w:rPr>
          <w:rFonts w:ascii="宋体" w:hAnsi="宋体" w:hint="eastAsia"/>
          <w:b/>
          <w:bCs/>
        </w:rPr>
        <w:t>教学组织与实施：</w:t>
      </w:r>
    </w:p>
    <w:p w14:paraId="13738237" w14:textId="77777777" w:rsidR="00374000" w:rsidRDefault="00374000" w:rsidP="00374000">
      <w:pPr>
        <w:widowControl/>
        <w:snapToGrid w:val="0"/>
        <w:spacing w:line="360" w:lineRule="auto"/>
        <w:rPr>
          <w:rFonts w:ascii="宋体" w:hAnsi="宋体"/>
          <w:bCs/>
        </w:rPr>
      </w:pPr>
      <w:r>
        <w:rPr>
          <w:rFonts w:ascii="宋体" w:hAnsi="宋体" w:hint="eastAsia"/>
          <w:bCs/>
        </w:rPr>
        <w:t>1.</w:t>
      </w:r>
      <w:r w:rsidRPr="00361B68">
        <w:rPr>
          <w:rFonts w:ascii="宋体" w:hAnsi="宋体" w:hint="eastAsia"/>
          <w:bCs/>
        </w:rPr>
        <w:t>课前</w:t>
      </w:r>
      <w:r w:rsidRPr="00361B68">
        <w:rPr>
          <w:rFonts w:ascii="宋体" w:hAnsi="宋体"/>
          <w:bCs/>
        </w:rPr>
        <w:t>在</w:t>
      </w:r>
      <w:r>
        <w:rPr>
          <w:rFonts w:ascii="宋体" w:hAnsi="宋体" w:hint="eastAsia"/>
          <w:bCs/>
        </w:rPr>
        <w:t>超星</w:t>
      </w:r>
      <w:r>
        <w:rPr>
          <w:rFonts w:ascii="宋体" w:hAnsi="宋体"/>
          <w:bCs/>
        </w:rPr>
        <w:t>学习通上</w:t>
      </w:r>
      <w:r>
        <w:rPr>
          <w:rFonts w:ascii="宋体" w:hAnsi="宋体" w:hint="eastAsia"/>
          <w:bCs/>
        </w:rPr>
        <w:t>上传</w:t>
      </w:r>
      <w:r>
        <w:rPr>
          <w:rFonts w:ascii="宋体" w:hAnsi="宋体"/>
          <w:bCs/>
        </w:rPr>
        <w:t>文献等学习资料，让学生自学，了解</w:t>
      </w:r>
      <w:r>
        <w:rPr>
          <w:rFonts w:ascii="宋体" w:hAnsi="宋体" w:hint="eastAsia"/>
          <w:bCs/>
        </w:rPr>
        <w:t>植物</w:t>
      </w:r>
      <w:r>
        <w:rPr>
          <w:rFonts w:ascii="宋体" w:hAnsi="宋体"/>
          <w:bCs/>
        </w:rPr>
        <w:t>营养相关的研究进展。</w:t>
      </w:r>
    </w:p>
    <w:p w14:paraId="51572FA7" w14:textId="77777777" w:rsidR="00374000" w:rsidRDefault="00374000" w:rsidP="00374000">
      <w:pPr>
        <w:widowControl/>
        <w:snapToGrid w:val="0"/>
        <w:spacing w:line="360" w:lineRule="auto"/>
        <w:rPr>
          <w:rFonts w:ascii="宋体" w:hAnsi="宋体"/>
          <w:bCs/>
        </w:rPr>
      </w:pPr>
      <w:r>
        <w:rPr>
          <w:rFonts w:ascii="宋体" w:hAnsi="宋体"/>
          <w:bCs/>
        </w:rPr>
        <w:t>2.</w:t>
      </w:r>
      <w:r>
        <w:rPr>
          <w:rFonts w:ascii="宋体" w:hAnsi="宋体" w:hint="eastAsia"/>
          <w:bCs/>
        </w:rPr>
        <w:t>课上</w:t>
      </w:r>
      <w:r>
        <w:rPr>
          <w:rFonts w:ascii="宋体" w:hAnsi="宋体"/>
          <w:bCs/>
        </w:rPr>
        <w:t>以讲解、</w:t>
      </w:r>
      <w:r>
        <w:rPr>
          <w:rFonts w:ascii="宋体" w:hAnsi="宋体" w:hint="eastAsia"/>
          <w:bCs/>
        </w:rPr>
        <w:t>拓展</w:t>
      </w:r>
      <w:r>
        <w:rPr>
          <w:rFonts w:ascii="宋体" w:hAnsi="宋体"/>
          <w:bCs/>
        </w:rPr>
        <w:t>、讨论等形式，了解</w:t>
      </w:r>
      <w:r>
        <w:rPr>
          <w:rFonts w:ascii="宋体" w:hAnsi="宋体" w:hint="eastAsia"/>
          <w:bCs/>
        </w:rPr>
        <w:t>学生</w:t>
      </w:r>
      <w:r>
        <w:rPr>
          <w:rFonts w:ascii="宋体" w:hAnsi="宋体"/>
          <w:bCs/>
        </w:rPr>
        <w:t>学习</w:t>
      </w:r>
      <w:r>
        <w:rPr>
          <w:rFonts w:ascii="宋体" w:hAnsi="宋体" w:hint="eastAsia"/>
          <w:bCs/>
        </w:rPr>
        <w:t>效果，</w:t>
      </w:r>
      <w:r>
        <w:rPr>
          <w:rFonts w:ascii="宋体" w:hAnsi="宋体"/>
          <w:bCs/>
        </w:rPr>
        <w:t>强化重点、难点的学习。</w:t>
      </w:r>
    </w:p>
    <w:p w14:paraId="18CBF1F0" w14:textId="77777777" w:rsidR="00374000" w:rsidRPr="00B93FFA" w:rsidRDefault="00374000" w:rsidP="00374000">
      <w:pPr>
        <w:widowControl/>
        <w:snapToGrid w:val="0"/>
        <w:spacing w:line="360" w:lineRule="auto"/>
        <w:rPr>
          <w:rFonts w:ascii="宋体" w:hAnsi="宋体"/>
          <w:b/>
          <w:bCs/>
        </w:rPr>
      </w:pPr>
      <w:r>
        <w:rPr>
          <w:rFonts w:ascii="宋体" w:hAnsi="宋体"/>
          <w:bCs/>
        </w:rPr>
        <w:t>3.</w:t>
      </w:r>
      <w:r>
        <w:rPr>
          <w:rFonts w:ascii="宋体" w:hAnsi="宋体" w:hint="eastAsia"/>
          <w:bCs/>
        </w:rPr>
        <w:t>总结</w:t>
      </w:r>
      <w:r>
        <w:rPr>
          <w:rFonts w:ascii="宋体" w:hAnsi="宋体"/>
          <w:bCs/>
        </w:rPr>
        <w:t>、归纳知识点，理论联系</w:t>
      </w:r>
      <w:r>
        <w:rPr>
          <w:rFonts w:ascii="宋体" w:hAnsi="宋体" w:hint="eastAsia"/>
          <w:bCs/>
        </w:rPr>
        <w:t>实践</w:t>
      </w:r>
      <w:r>
        <w:rPr>
          <w:rFonts w:ascii="宋体" w:hAnsi="宋体"/>
          <w:bCs/>
        </w:rPr>
        <w:t>解决生产中存在的问题</w:t>
      </w:r>
      <w:r>
        <w:rPr>
          <w:rFonts w:ascii="宋体" w:hAnsi="宋体" w:hint="eastAsia"/>
          <w:bCs/>
        </w:rPr>
        <w:t>，</w:t>
      </w:r>
      <w:r>
        <w:rPr>
          <w:rFonts w:ascii="宋体" w:hAnsi="宋体"/>
          <w:bCs/>
        </w:rPr>
        <w:t>引出下节内容。</w:t>
      </w:r>
    </w:p>
    <w:p w14:paraId="630D369D" w14:textId="77777777" w:rsidR="00374000" w:rsidRPr="00361B68" w:rsidRDefault="00374000" w:rsidP="00374000">
      <w:pPr>
        <w:widowControl/>
        <w:snapToGrid w:val="0"/>
        <w:spacing w:line="360" w:lineRule="auto"/>
        <w:rPr>
          <w:rFonts w:ascii="宋体" w:hAnsi="宋体"/>
          <w:bCs/>
        </w:rPr>
      </w:pPr>
    </w:p>
    <w:p w14:paraId="0CF5083E" w14:textId="77777777" w:rsidR="00374000" w:rsidRPr="00C07E80" w:rsidRDefault="00374000" w:rsidP="00374000">
      <w:pPr>
        <w:widowControl/>
        <w:wordWrap w:val="0"/>
        <w:snapToGrid w:val="0"/>
        <w:spacing w:line="360" w:lineRule="auto"/>
        <w:jc w:val="right"/>
        <w:rPr>
          <w:kern w:val="0"/>
          <w:szCs w:val="21"/>
        </w:rPr>
      </w:pPr>
      <w:r w:rsidRPr="00C07E80">
        <w:rPr>
          <w:b/>
          <w:bCs/>
          <w:kern w:val="0"/>
          <w:szCs w:val="21"/>
        </w:rPr>
        <w:t>   </w:t>
      </w:r>
      <w:r w:rsidRPr="00C07E80">
        <w:rPr>
          <w:rFonts w:hAnsi="宋体"/>
          <w:b/>
          <w:bCs/>
          <w:kern w:val="0"/>
          <w:szCs w:val="21"/>
        </w:rPr>
        <w:t>第</w:t>
      </w:r>
      <w:r>
        <w:rPr>
          <w:rFonts w:hAnsi="宋体" w:hint="eastAsia"/>
          <w:b/>
          <w:bCs/>
          <w:kern w:val="0"/>
          <w:szCs w:val="21"/>
        </w:rPr>
        <w:t>三</w:t>
      </w:r>
      <w:r w:rsidRPr="00C07E80">
        <w:rPr>
          <w:rFonts w:hAnsi="宋体"/>
          <w:b/>
          <w:bCs/>
          <w:kern w:val="0"/>
          <w:szCs w:val="21"/>
        </w:rPr>
        <w:t>章</w:t>
      </w:r>
      <w:r w:rsidRPr="00C07E80">
        <w:rPr>
          <w:b/>
          <w:bCs/>
          <w:kern w:val="0"/>
          <w:szCs w:val="21"/>
        </w:rPr>
        <w:t>   </w:t>
      </w:r>
      <w:r w:rsidRPr="00924E85">
        <w:rPr>
          <w:b/>
          <w:bCs/>
          <w:kern w:val="0"/>
          <w:szCs w:val="21"/>
        </w:rPr>
        <w:t> </w:t>
      </w:r>
      <w:r w:rsidRPr="00E417FA">
        <w:rPr>
          <w:rFonts w:ascii="宋体" w:hAnsi="宋体" w:hint="eastAsia"/>
          <w:b/>
          <w:bCs/>
        </w:rPr>
        <w:t>营养液</w:t>
      </w:r>
      <w:r w:rsidRPr="00924E85">
        <w:rPr>
          <w:b/>
          <w:bCs/>
          <w:kern w:val="0"/>
          <w:szCs w:val="21"/>
        </w:rPr>
        <w:t>  </w:t>
      </w:r>
      <w:r w:rsidRPr="00C07E80">
        <w:rPr>
          <w:b/>
          <w:bCs/>
          <w:kern w:val="0"/>
          <w:szCs w:val="21"/>
        </w:rPr>
        <w:t> </w:t>
      </w:r>
      <w:r>
        <w:rPr>
          <w:rFonts w:hint="eastAsia"/>
          <w:b/>
          <w:bCs/>
          <w:kern w:val="0"/>
          <w:szCs w:val="21"/>
        </w:rPr>
        <w:t xml:space="preserve">             </w:t>
      </w:r>
      <w:r w:rsidRPr="00C07E80">
        <w:rPr>
          <w:b/>
          <w:bCs/>
          <w:kern w:val="0"/>
          <w:szCs w:val="21"/>
        </w:rPr>
        <w:t>                     </w:t>
      </w:r>
      <w:r w:rsidRPr="00C07E80">
        <w:rPr>
          <w:rFonts w:hAnsi="宋体"/>
          <w:b/>
          <w:bCs/>
          <w:kern w:val="0"/>
          <w:szCs w:val="21"/>
        </w:rPr>
        <w:t>学时</w:t>
      </w:r>
      <w:r>
        <w:rPr>
          <w:rFonts w:hAnsi="宋体" w:hint="eastAsia"/>
          <w:b/>
          <w:bCs/>
          <w:kern w:val="0"/>
          <w:szCs w:val="21"/>
        </w:rPr>
        <w:t>数：</w:t>
      </w:r>
      <w:r>
        <w:rPr>
          <w:rFonts w:hAnsi="宋体"/>
          <w:b/>
          <w:bCs/>
          <w:kern w:val="0"/>
          <w:szCs w:val="21"/>
        </w:rPr>
        <w:t>6</w:t>
      </w:r>
    </w:p>
    <w:p w14:paraId="2F49F8E2" w14:textId="77777777" w:rsidR="00374000" w:rsidRPr="00A51F5C" w:rsidRDefault="00374000" w:rsidP="00374000">
      <w:pPr>
        <w:widowControl/>
        <w:snapToGrid w:val="0"/>
        <w:spacing w:line="360" w:lineRule="auto"/>
        <w:jc w:val="left"/>
        <w:rPr>
          <w:rFonts w:ascii="宋体" w:hAnsi="宋体"/>
          <w:bCs/>
        </w:rPr>
      </w:pPr>
      <w:r w:rsidRPr="006A0F7D">
        <w:rPr>
          <w:rFonts w:ascii="宋体" w:hAnsi="宋体" w:hint="eastAsia"/>
          <w:b/>
          <w:bCs/>
        </w:rPr>
        <w:t>教学目的：</w:t>
      </w:r>
      <w:r>
        <w:rPr>
          <w:rFonts w:hAnsi="宋体" w:hint="eastAsia"/>
          <w:kern w:val="0"/>
          <w:szCs w:val="21"/>
        </w:rPr>
        <w:t>理解无土栽培的理论基础是矿质营养学说；</w:t>
      </w:r>
      <w:r>
        <w:rPr>
          <w:rFonts w:ascii="宋体" w:hAnsi="宋体" w:hint="eastAsia"/>
          <w:bCs/>
        </w:rPr>
        <w:t>掌握</w:t>
      </w:r>
      <w:r w:rsidRPr="00A51F5C">
        <w:rPr>
          <w:rFonts w:ascii="宋体" w:hAnsi="宋体" w:hint="eastAsia"/>
          <w:bCs/>
        </w:rPr>
        <w:t>营养液的原料及其要求，掌握营养液的</w:t>
      </w:r>
      <w:r>
        <w:rPr>
          <w:rFonts w:ascii="宋体" w:hAnsi="宋体" w:hint="eastAsia"/>
          <w:bCs/>
        </w:rPr>
        <w:t>组成</w:t>
      </w:r>
      <w:r>
        <w:rPr>
          <w:rFonts w:ascii="宋体" w:hAnsi="宋体"/>
          <w:bCs/>
        </w:rPr>
        <w:t>、</w:t>
      </w:r>
      <w:r w:rsidRPr="00A51F5C">
        <w:rPr>
          <w:rFonts w:ascii="宋体" w:hAnsi="宋体" w:hint="eastAsia"/>
          <w:bCs/>
        </w:rPr>
        <w:t>配制方法及管理技术。</w:t>
      </w:r>
      <w:r>
        <w:rPr>
          <w:rFonts w:ascii="宋体" w:hAnsi="宋体" w:hint="eastAsia"/>
          <w:bCs/>
        </w:rPr>
        <w:t>认识到</w:t>
      </w:r>
      <w:r>
        <w:rPr>
          <w:rFonts w:ascii="宋体" w:hAnsi="宋体"/>
          <w:bCs/>
        </w:rPr>
        <w:t>营养液在</w:t>
      </w:r>
      <w:r>
        <w:rPr>
          <w:rFonts w:ascii="宋体" w:hAnsi="宋体" w:hint="eastAsia"/>
          <w:bCs/>
        </w:rPr>
        <w:t>无土</w:t>
      </w:r>
      <w:r>
        <w:rPr>
          <w:rFonts w:ascii="宋体" w:hAnsi="宋体"/>
          <w:bCs/>
        </w:rPr>
        <w:t>栽培过程中的关键作用。</w:t>
      </w:r>
    </w:p>
    <w:p w14:paraId="43DDBF15" w14:textId="77777777" w:rsidR="00374000" w:rsidRPr="00A51F5C" w:rsidRDefault="00374000" w:rsidP="00374000">
      <w:pPr>
        <w:widowControl/>
        <w:snapToGrid w:val="0"/>
        <w:spacing w:line="360" w:lineRule="auto"/>
        <w:jc w:val="left"/>
        <w:rPr>
          <w:rFonts w:ascii="宋体" w:hAnsi="宋体"/>
          <w:bCs/>
        </w:rPr>
      </w:pPr>
      <w:r w:rsidRPr="006A0F7D">
        <w:rPr>
          <w:rFonts w:ascii="宋体" w:hAnsi="宋体" w:hint="eastAsia"/>
          <w:b/>
          <w:bCs/>
        </w:rPr>
        <w:t>教学重点和难点：</w:t>
      </w:r>
      <w:r w:rsidRPr="00A51F5C">
        <w:rPr>
          <w:rFonts w:ascii="宋体" w:hAnsi="宋体" w:hint="eastAsia"/>
          <w:bCs/>
        </w:rPr>
        <w:t>营养液的组成原则和确定方法；营养液的</w:t>
      </w:r>
      <w:r>
        <w:rPr>
          <w:rFonts w:ascii="宋体" w:hAnsi="宋体" w:hint="eastAsia"/>
          <w:bCs/>
        </w:rPr>
        <w:t>配制及</w:t>
      </w:r>
      <w:r>
        <w:rPr>
          <w:rFonts w:ascii="宋体" w:hAnsi="宋体"/>
          <w:bCs/>
        </w:rPr>
        <w:t>管理技术</w:t>
      </w:r>
      <w:r w:rsidRPr="00A51F5C">
        <w:rPr>
          <w:rFonts w:ascii="宋体" w:hAnsi="宋体" w:hint="eastAsia"/>
          <w:bCs/>
        </w:rPr>
        <w:t>。</w:t>
      </w:r>
    </w:p>
    <w:p w14:paraId="2CF85F53"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lastRenderedPageBreak/>
        <w:t>主要教学内容及要求：</w:t>
      </w:r>
      <w:r w:rsidRPr="004D6837">
        <w:rPr>
          <w:rFonts w:ascii="宋体" w:hAnsi="宋体" w:hint="eastAsia"/>
          <w:bCs/>
        </w:rPr>
        <w:t>了解</w:t>
      </w:r>
      <w:r>
        <w:rPr>
          <w:rFonts w:ascii="宋体" w:hAnsi="宋体" w:hint="eastAsia"/>
          <w:bCs/>
        </w:rPr>
        <w:t>营养液</w:t>
      </w:r>
      <w:r w:rsidRPr="004D6837">
        <w:rPr>
          <w:rFonts w:ascii="宋体" w:hAnsi="宋体" w:hint="eastAsia"/>
          <w:bCs/>
        </w:rPr>
        <w:t>的变化规律、调控措施及其循环利用技术</w:t>
      </w:r>
      <w:r>
        <w:rPr>
          <w:rFonts w:ascii="宋体" w:hAnsi="宋体" w:hint="eastAsia"/>
          <w:bCs/>
        </w:rPr>
        <w:t>，了解营养液的多种配方；理解</w:t>
      </w:r>
      <w:r w:rsidRPr="00817C1E">
        <w:rPr>
          <w:rFonts w:ascii="宋体" w:hAnsi="宋体" w:hint="eastAsia"/>
        </w:rPr>
        <w:t>矿质营养学说与无土栽培</w:t>
      </w:r>
      <w:r>
        <w:rPr>
          <w:rFonts w:ascii="宋体" w:hAnsi="宋体" w:hint="eastAsia"/>
        </w:rPr>
        <w:t>的关系</w:t>
      </w:r>
      <w:r>
        <w:rPr>
          <w:rFonts w:ascii="宋体" w:hAnsi="宋体"/>
        </w:rPr>
        <w:t>，</w:t>
      </w:r>
      <w:r w:rsidRPr="004D6837">
        <w:rPr>
          <w:rFonts w:ascii="宋体" w:hAnsi="宋体" w:hint="eastAsia"/>
          <w:bCs/>
        </w:rPr>
        <w:t>理解营养液</w:t>
      </w:r>
      <w:r>
        <w:rPr>
          <w:rFonts w:ascii="宋体" w:hAnsi="宋体" w:hint="eastAsia"/>
          <w:bCs/>
        </w:rPr>
        <w:t>对水质和化合物的要求及营养液原料的理化性质；</w:t>
      </w:r>
      <w:r w:rsidRPr="004D6837">
        <w:rPr>
          <w:rFonts w:ascii="宋体" w:hAnsi="宋体" w:hint="eastAsia"/>
          <w:bCs/>
        </w:rPr>
        <w:t>掌握</w:t>
      </w:r>
      <w:r w:rsidRPr="00A51F5C">
        <w:rPr>
          <w:rFonts w:ascii="宋体" w:hAnsi="宋体" w:hint="eastAsia"/>
          <w:bCs/>
        </w:rPr>
        <w:t>营养液的</w:t>
      </w:r>
      <w:r>
        <w:rPr>
          <w:rFonts w:ascii="宋体" w:hAnsi="宋体" w:hint="eastAsia"/>
          <w:bCs/>
        </w:rPr>
        <w:t>表示方法、</w:t>
      </w:r>
      <w:r w:rsidRPr="00A51F5C">
        <w:rPr>
          <w:rFonts w:ascii="宋体" w:hAnsi="宋体" w:hint="eastAsia"/>
          <w:bCs/>
        </w:rPr>
        <w:t>组成原则和确定方法</w:t>
      </w:r>
      <w:r>
        <w:rPr>
          <w:rFonts w:ascii="宋体" w:hAnsi="宋体" w:hint="eastAsia"/>
          <w:bCs/>
        </w:rPr>
        <w:t>；熟练掌握营养液的配制方法及管理技术。</w:t>
      </w:r>
    </w:p>
    <w:p w14:paraId="4F6DACB2" w14:textId="77777777" w:rsidR="00374000" w:rsidRPr="00256335" w:rsidRDefault="00374000" w:rsidP="00A115EF">
      <w:pPr>
        <w:pStyle w:val="afd"/>
        <w:widowControl/>
        <w:numPr>
          <w:ilvl w:val="0"/>
          <w:numId w:val="20"/>
        </w:numPr>
        <w:snapToGrid w:val="0"/>
        <w:spacing w:line="360" w:lineRule="auto"/>
        <w:ind w:left="845" w:firstLineChars="0"/>
        <w:rPr>
          <w:rFonts w:ascii="宋体" w:hAnsi="宋体"/>
        </w:rPr>
      </w:pPr>
      <w:r w:rsidRPr="00817C1E">
        <w:rPr>
          <w:rFonts w:ascii="宋体" w:hAnsi="宋体" w:hint="eastAsia"/>
        </w:rPr>
        <w:t>植物的矿质营养学说与无土栽培</w:t>
      </w:r>
    </w:p>
    <w:p w14:paraId="3D8715AF" w14:textId="77777777" w:rsidR="00374000" w:rsidRPr="004D6837" w:rsidRDefault="00374000" w:rsidP="00A115EF">
      <w:pPr>
        <w:pStyle w:val="afd"/>
        <w:widowControl/>
        <w:numPr>
          <w:ilvl w:val="0"/>
          <w:numId w:val="20"/>
        </w:numPr>
        <w:snapToGrid w:val="0"/>
        <w:spacing w:line="360" w:lineRule="auto"/>
        <w:ind w:left="845" w:firstLineChars="0"/>
        <w:jc w:val="left"/>
        <w:rPr>
          <w:rFonts w:ascii="宋体" w:hAnsi="宋体"/>
          <w:bCs/>
        </w:rPr>
      </w:pPr>
      <w:r w:rsidRPr="004D6837">
        <w:rPr>
          <w:rFonts w:ascii="宋体" w:hAnsi="宋体" w:hint="eastAsia"/>
          <w:bCs/>
        </w:rPr>
        <w:t>营养液的原料及其要求</w:t>
      </w:r>
    </w:p>
    <w:p w14:paraId="0257BF6F" w14:textId="77777777" w:rsidR="00374000" w:rsidRDefault="00374000" w:rsidP="00A115EF">
      <w:pPr>
        <w:pStyle w:val="afd"/>
        <w:widowControl/>
        <w:numPr>
          <w:ilvl w:val="0"/>
          <w:numId w:val="20"/>
        </w:numPr>
        <w:snapToGrid w:val="0"/>
        <w:spacing w:line="360" w:lineRule="auto"/>
        <w:ind w:left="845" w:firstLineChars="0"/>
        <w:jc w:val="left"/>
        <w:rPr>
          <w:rFonts w:ascii="宋体" w:hAnsi="宋体"/>
          <w:bCs/>
        </w:rPr>
      </w:pPr>
      <w:r>
        <w:rPr>
          <w:rFonts w:ascii="宋体" w:hAnsi="宋体" w:hint="eastAsia"/>
          <w:bCs/>
        </w:rPr>
        <w:t>营养液的组成</w:t>
      </w:r>
    </w:p>
    <w:p w14:paraId="7B57A52A" w14:textId="77777777" w:rsidR="00374000" w:rsidRDefault="00374000" w:rsidP="00A115EF">
      <w:pPr>
        <w:pStyle w:val="afd"/>
        <w:widowControl/>
        <w:numPr>
          <w:ilvl w:val="0"/>
          <w:numId w:val="20"/>
        </w:numPr>
        <w:snapToGrid w:val="0"/>
        <w:spacing w:line="360" w:lineRule="auto"/>
        <w:ind w:left="845" w:firstLineChars="0"/>
        <w:jc w:val="left"/>
        <w:rPr>
          <w:rFonts w:ascii="宋体" w:hAnsi="宋体"/>
          <w:bCs/>
        </w:rPr>
      </w:pPr>
      <w:r>
        <w:rPr>
          <w:rFonts w:ascii="宋体" w:hAnsi="宋体" w:hint="eastAsia"/>
          <w:bCs/>
        </w:rPr>
        <w:t>营养液的配制</w:t>
      </w:r>
    </w:p>
    <w:p w14:paraId="6C684407" w14:textId="77777777" w:rsidR="00374000" w:rsidRDefault="00374000" w:rsidP="00A115EF">
      <w:pPr>
        <w:pStyle w:val="afd"/>
        <w:widowControl/>
        <w:numPr>
          <w:ilvl w:val="0"/>
          <w:numId w:val="20"/>
        </w:numPr>
        <w:snapToGrid w:val="0"/>
        <w:spacing w:line="360" w:lineRule="auto"/>
        <w:ind w:left="845" w:firstLineChars="0"/>
        <w:jc w:val="left"/>
        <w:rPr>
          <w:rFonts w:ascii="宋体" w:hAnsi="宋体"/>
          <w:bCs/>
        </w:rPr>
      </w:pPr>
      <w:r>
        <w:rPr>
          <w:rFonts w:ascii="宋体" w:hAnsi="宋体" w:hint="eastAsia"/>
          <w:bCs/>
        </w:rPr>
        <w:t>营养液的管理</w:t>
      </w:r>
    </w:p>
    <w:p w14:paraId="7706B68D" w14:textId="77777777" w:rsidR="00374000" w:rsidRDefault="00374000" w:rsidP="00374000">
      <w:pPr>
        <w:widowControl/>
        <w:snapToGrid w:val="0"/>
        <w:spacing w:line="360" w:lineRule="auto"/>
        <w:rPr>
          <w:rFonts w:ascii="宋体" w:hAnsi="宋体"/>
          <w:b/>
          <w:bCs/>
        </w:rPr>
      </w:pPr>
      <w:r w:rsidRPr="00ED5B57">
        <w:rPr>
          <w:rFonts w:ascii="宋体" w:hAnsi="宋体" w:hint="eastAsia"/>
          <w:b/>
          <w:bCs/>
        </w:rPr>
        <w:t>教学组织与实施：</w:t>
      </w:r>
    </w:p>
    <w:p w14:paraId="579642B8" w14:textId="77777777" w:rsidR="00374000" w:rsidRPr="00211EF1"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及问题</w:t>
      </w:r>
      <w:r>
        <w:rPr>
          <w:rFonts w:ascii="宋体" w:hAnsi="宋体"/>
          <w:bCs/>
        </w:rPr>
        <w:t>,</w:t>
      </w:r>
      <w:r>
        <w:rPr>
          <w:rFonts w:ascii="宋体" w:hAnsi="宋体" w:hint="eastAsia"/>
          <w:bCs/>
        </w:rPr>
        <w:t>并</w:t>
      </w:r>
      <w:r>
        <w:rPr>
          <w:rFonts w:ascii="宋体" w:hAnsi="宋体"/>
          <w:bCs/>
        </w:rPr>
        <w:t>上传课件等学习资料，让学生进行自学。</w:t>
      </w:r>
    </w:p>
    <w:p w14:paraId="3A8A84A8" w14:textId="77777777" w:rsidR="00374000" w:rsidRDefault="00374000" w:rsidP="00374000">
      <w:pPr>
        <w:widowControl/>
        <w:snapToGrid w:val="0"/>
        <w:spacing w:line="360" w:lineRule="auto"/>
        <w:rPr>
          <w:rFonts w:ascii="宋体" w:hAnsi="宋体"/>
          <w:bCs/>
        </w:rPr>
      </w:pPr>
      <w:r>
        <w:rPr>
          <w:rFonts w:ascii="宋体" w:hAnsi="宋体" w:hint="eastAsia"/>
          <w:bCs/>
        </w:rPr>
        <w:t>2.</w:t>
      </w:r>
      <w:r w:rsidRPr="00ED5B57">
        <w:rPr>
          <w:rFonts w:ascii="宋体" w:hAnsi="宋体" w:hint="eastAsia"/>
          <w:bCs/>
        </w:rPr>
        <w:t>采用引导</w:t>
      </w:r>
      <w:r>
        <w:rPr>
          <w:rFonts w:ascii="宋体" w:hAnsi="宋体" w:hint="eastAsia"/>
          <w:bCs/>
        </w:rPr>
        <w:t>法，</w:t>
      </w:r>
      <w:r>
        <w:rPr>
          <w:rFonts w:ascii="宋体" w:hAnsi="宋体"/>
          <w:bCs/>
        </w:rPr>
        <w:t>引出本章的学习内容，</w:t>
      </w:r>
      <w:r>
        <w:rPr>
          <w:rFonts w:ascii="宋体" w:hAnsi="宋体" w:hint="eastAsia"/>
          <w:bCs/>
        </w:rPr>
        <w:t>激发</w:t>
      </w:r>
      <w:r>
        <w:rPr>
          <w:rFonts w:ascii="宋体" w:hAnsi="宋体"/>
          <w:bCs/>
        </w:rPr>
        <w:t>学习兴趣，</w:t>
      </w:r>
      <w:r>
        <w:rPr>
          <w:rFonts w:ascii="宋体" w:hAnsi="宋体" w:hint="eastAsia"/>
          <w:bCs/>
        </w:rPr>
        <w:t>明确</w:t>
      </w:r>
      <w:r>
        <w:rPr>
          <w:rFonts w:ascii="宋体" w:hAnsi="宋体"/>
          <w:bCs/>
        </w:rPr>
        <w:t>学习目标</w:t>
      </w:r>
      <w:r w:rsidRPr="00ED5B57">
        <w:rPr>
          <w:rFonts w:ascii="宋体" w:hAnsi="宋体"/>
          <w:bCs/>
        </w:rPr>
        <w:t>；</w:t>
      </w:r>
      <w:r>
        <w:rPr>
          <w:rFonts w:ascii="宋体" w:hAnsi="宋体" w:hint="eastAsia"/>
          <w:bCs/>
        </w:rPr>
        <w:t>以</w:t>
      </w:r>
      <w:r w:rsidRPr="00ED5B57">
        <w:rPr>
          <w:rFonts w:ascii="宋体" w:hAnsi="宋体"/>
          <w:bCs/>
        </w:rPr>
        <w:t>多媒体</w:t>
      </w:r>
      <w:r>
        <w:rPr>
          <w:rFonts w:ascii="宋体" w:hAnsi="宋体" w:hint="eastAsia"/>
          <w:bCs/>
        </w:rPr>
        <w:t>的形式</w:t>
      </w:r>
      <w:r w:rsidRPr="00ED5B57">
        <w:rPr>
          <w:rFonts w:ascii="宋体" w:hAnsi="宋体"/>
          <w:bCs/>
        </w:rPr>
        <w:t>，</w:t>
      </w:r>
      <w:r w:rsidRPr="00ED5B57">
        <w:rPr>
          <w:rFonts w:ascii="宋体" w:hAnsi="宋体" w:hint="eastAsia"/>
          <w:bCs/>
        </w:rPr>
        <w:t>形象地</w:t>
      </w:r>
      <w:r w:rsidRPr="00ED5B57">
        <w:rPr>
          <w:rFonts w:ascii="宋体" w:hAnsi="宋体"/>
          <w:bCs/>
        </w:rPr>
        <w:t>向学生展示、讲解</w:t>
      </w:r>
      <w:r>
        <w:rPr>
          <w:rFonts w:ascii="宋体" w:hAnsi="宋体" w:hint="eastAsia"/>
          <w:bCs/>
        </w:rPr>
        <w:t>知识点</w:t>
      </w:r>
      <w:r>
        <w:rPr>
          <w:rFonts w:ascii="宋体" w:hAnsi="宋体"/>
          <w:bCs/>
        </w:rPr>
        <w:t>，并结合具体的生产案例进行分析</w:t>
      </w:r>
      <w:r>
        <w:rPr>
          <w:rFonts w:ascii="宋体" w:hAnsi="宋体" w:hint="eastAsia"/>
          <w:bCs/>
        </w:rPr>
        <w:t>，有助于</w:t>
      </w:r>
      <w:r>
        <w:rPr>
          <w:rFonts w:ascii="宋体" w:hAnsi="宋体"/>
          <w:bCs/>
        </w:rPr>
        <w:t>学生发散思维，</w:t>
      </w:r>
      <w:r>
        <w:rPr>
          <w:rFonts w:ascii="宋体" w:hAnsi="宋体" w:hint="eastAsia"/>
          <w:bCs/>
        </w:rPr>
        <w:t>提高</w:t>
      </w:r>
      <w:r>
        <w:rPr>
          <w:rFonts w:ascii="宋体" w:hAnsi="宋体"/>
          <w:bCs/>
        </w:rPr>
        <w:t>学习兴趣及主动性</w:t>
      </w:r>
      <w:r>
        <w:rPr>
          <w:rFonts w:ascii="宋体" w:hAnsi="宋体" w:hint="eastAsia"/>
          <w:bCs/>
        </w:rPr>
        <w:t>。</w:t>
      </w:r>
    </w:p>
    <w:p w14:paraId="6F0FE583" w14:textId="77777777" w:rsidR="00374000" w:rsidRPr="003272F8" w:rsidRDefault="00374000" w:rsidP="00374000">
      <w:pPr>
        <w:widowControl/>
        <w:snapToGrid w:val="0"/>
        <w:spacing w:line="360" w:lineRule="auto"/>
        <w:rPr>
          <w:rFonts w:ascii="宋体" w:hAnsi="宋体"/>
          <w:b/>
          <w:bCs/>
        </w:rPr>
      </w:pPr>
      <w:r>
        <w:rPr>
          <w:rFonts w:ascii="宋体" w:hAnsi="宋体"/>
          <w:bCs/>
        </w:rPr>
        <w:t>3.</w:t>
      </w:r>
      <w:r>
        <w:rPr>
          <w:rFonts w:ascii="宋体" w:hAnsi="宋体" w:hint="eastAsia"/>
          <w:bCs/>
        </w:rPr>
        <w:t>最后</w:t>
      </w:r>
      <w:r w:rsidRPr="00ED5B57">
        <w:rPr>
          <w:rFonts w:ascii="宋体" w:hAnsi="宋体" w:hint="eastAsia"/>
          <w:bCs/>
        </w:rPr>
        <w:t>归纳</w:t>
      </w:r>
      <w:r>
        <w:rPr>
          <w:rFonts w:ascii="宋体" w:hAnsi="宋体" w:hint="eastAsia"/>
          <w:bCs/>
        </w:rPr>
        <w:t>本章</w:t>
      </w:r>
      <w:r>
        <w:rPr>
          <w:rFonts w:ascii="宋体" w:hAnsi="宋体"/>
          <w:bCs/>
        </w:rPr>
        <w:t>知识点</w:t>
      </w:r>
      <w:r>
        <w:rPr>
          <w:rFonts w:ascii="宋体" w:hAnsi="宋体" w:hint="eastAsia"/>
          <w:bCs/>
        </w:rPr>
        <w:t>，强调</w:t>
      </w:r>
      <w:r>
        <w:rPr>
          <w:rFonts w:ascii="宋体" w:hAnsi="宋体"/>
          <w:bCs/>
        </w:rPr>
        <w:t>重点、难点，并以</w:t>
      </w:r>
      <w:r w:rsidRPr="00ED5B57">
        <w:rPr>
          <w:rFonts w:ascii="宋体" w:hAnsi="宋体"/>
          <w:bCs/>
        </w:rPr>
        <w:t>提问</w:t>
      </w:r>
      <w:r w:rsidRPr="00ED5B57">
        <w:rPr>
          <w:rFonts w:ascii="宋体" w:hAnsi="宋体" w:hint="eastAsia"/>
          <w:bCs/>
        </w:rPr>
        <w:t>的</w:t>
      </w:r>
      <w:r w:rsidRPr="00ED5B57">
        <w:rPr>
          <w:rFonts w:ascii="宋体" w:hAnsi="宋体"/>
          <w:bCs/>
        </w:rPr>
        <w:t>形式，总结及检验学习效果</w:t>
      </w:r>
      <w:r>
        <w:rPr>
          <w:rFonts w:ascii="宋体" w:hAnsi="宋体" w:hint="eastAsia"/>
          <w:bCs/>
        </w:rPr>
        <w:t>；</w:t>
      </w:r>
      <w:r>
        <w:rPr>
          <w:rFonts w:ascii="宋体" w:hAnsi="宋体"/>
          <w:bCs/>
        </w:rPr>
        <w:t>提出问题，鼓励学生</w:t>
      </w:r>
      <w:r>
        <w:rPr>
          <w:rFonts w:ascii="宋体" w:hAnsi="宋体" w:hint="eastAsia"/>
          <w:bCs/>
        </w:rPr>
        <w:t>自主</w:t>
      </w:r>
      <w:r>
        <w:rPr>
          <w:rFonts w:ascii="宋体" w:hAnsi="宋体"/>
          <w:bCs/>
        </w:rPr>
        <w:t>学习，查阅相关资料，为下一章的学习做铺垫。</w:t>
      </w:r>
    </w:p>
    <w:p w14:paraId="4FE4D38A" w14:textId="77777777" w:rsidR="00374000" w:rsidRDefault="00374000" w:rsidP="00374000">
      <w:pPr>
        <w:pStyle w:val="afd"/>
        <w:widowControl/>
        <w:snapToGrid w:val="0"/>
        <w:spacing w:line="360" w:lineRule="auto"/>
        <w:ind w:left="420" w:firstLineChars="1000" w:firstLine="2108"/>
        <w:jc w:val="left"/>
        <w:rPr>
          <w:rFonts w:ascii="宋体" w:hAnsi="宋体"/>
          <w:b/>
          <w:bCs/>
        </w:rPr>
      </w:pPr>
    </w:p>
    <w:p w14:paraId="18944634" w14:textId="77777777" w:rsidR="00374000" w:rsidRPr="000E0D97" w:rsidRDefault="00374000" w:rsidP="00374000">
      <w:pPr>
        <w:pStyle w:val="afd"/>
        <w:widowControl/>
        <w:snapToGrid w:val="0"/>
        <w:spacing w:line="360" w:lineRule="auto"/>
        <w:ind w:left="420" w:firstLineChars="750" w:firstLine="1581"/>
        <w:jc w:val="left"/>
        <w:rPr>
          <w:rFonts w:ascii="宋体" w:hAnsi="宋体"/>
          <w:b/>
          <w:bCs/>
        </w:rPr>
      </w:pPr>
      <w:r>
        <w:rPr>
          <w:rFonts w:ascii="宋体" w:hAnsi="宋体" w:hint="eastAsia"/>
          <w:b/>
          <w:bCs/>
        </w:rPr>
        <w:t>第四</w:t>
      </w:r>
      <w:r w:rsidRPr="000E0D97">
        <w:rPr>
          <w:rFonts w:ascii="宋体" w:hAnsi="宋体" w:hint="eastAsia"/>
          <w:b/>
          <w:bCs/>
        </w:rPr>
        <w:t>章 水培和雾培设施与管理技术                  学时数：4</w:t>
      </w:r>
    </w:p>
    <w:p w14:paraId="0B55F00B"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教学目的：</w:t>
      </w:r>
      <w:r w:rsidRPr="000E0D97">
        <w:rPr>
          <w:rFonts w:ascii="宋体" w:hAnsi="宋体" w:hint="eastAsia"/>
          <w:bCs/>
        </w:rPr>
        <w:t>了解水培和雾培的应用现状，掌握主要的水培和雾培类型、特点及应用领域</w:t>
      </w:r>
      <w:r>
        <w:rPr>
          <w:rFonts w:ascii="宋体" w:hAnsi="宋体" w:hint="eastAsia"/>
          <w:bCs/>
        </w:rPr>
        <w:t>。</w:t>
      </w:r>
    </w:p>
    <w:p w14:paraId="7AE67D7B" w14:textId="77777777" w:rsidR="00374000" w:rsidRPr="000E0D97" w:rsidRDefault="00374000" w:rsidP="00374000">
      <w:pPr>
        <w:widowControl/>
        <w:snapToGrid w:val="0"/>
        <w:spacing w:line="360" w:lineRule="auto"/>
        <w:jc w:val="left"/>
        <w:rPr>
          <w:rFonts w:ascii="宋体" w:hAnsi="宋体"/>
          <w:bCs/>
        </w:rPr>
      </w:pPr>
      <w:r w:rsidRPr="006A0F7D">
        <w:rPr>
          <w:rFonts w:ascii="宋体" w:hAnsi="宋体" w:hint="eastAsia"/>
          <w:b/>
          <w:bCs/>
        </w:rPr>
        <w:t>教学重点和难点：</w:t>
      </w:r>
      <w:r w:rsidRPr="000E0D97">
        <w:rPr>
          <w:rFonts w:ascii="宋体" w:hAnsi="宋体" w:hint="eastAsia"/>
          <w:bCs/>
        </w:rPr>
        <w:t>主要水培和雾培类型的特征及组成结构，以及管理技术要点。</w:t>
      </w:r>
    </w:p>
    <w:p w14:paraId="7768CD51"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sidRPr="0019236C">
        <w:rPr>
          <w:rFonts w:ascii="宋体" w:hAnsi="宋体" w:hint="eastAsia"/>
          <w:bCs/>
        </w:rPr>
        <w:t>了解水培和雾培设施在现代农业生产中的应用情况</w:t>
      </w:r>
      <w:r>
        <w:rPr>
          <w:rFonts w:ascii="宋体" w:hAnsi="宋体" w:hint="eastAsia"/>
          <w:bCs/>
        </w:rPr>
        <w:t>及栽培管理技术要点</w:t>
      </w:r>
      <w:r w:rsidRPr="0019236C">
        <w:rPr>
          <w:rFonts w:ascii="宋体" w:hAnsi="宋体" w:hint="eastAsia"/>
          <w:bCs/>
        </w:rPr>
        <w:t>；理解各种水培和雾培设施的区别；掌握水培和雾培设施的主要类型、基本特征及组成结构；熟练掌握深夜流水培技术、营养液膜水培技术及雾培技术。</w:t>
      </w:r>
    </w:p>
    <w:p w14:paraId="0A99A386" w14:textId="77777777" w:rsidR="00374000" w:rsidRPr="0019236C" w:rsidRDefault="00374000" w:rsidP="00A115EF">
      <w:pPr>
        <w:pStyle w:val="afd"/>
        <w:widowControl/>
        <w:numPr>
          <w:ilvl w:val="0"/>
          <w:numId w:val="21"/>
        </w:numPr>
        <w:snapToGrid w:val="0"/>
        <w:spacing w:line="360" w:lineRule="auto"/>
        <w:ind w:firstLineChars="0"/>
        <w:jc w:val="left"/>
        <w:rPr>
          <w:rFonts w:ascii="宋体" w:hAnsi="宋体"/>
          <w:bCs/>
        </w:rPr>
      </w:pPr>
      <w:r w:rsidRPr="0019236C">
        <w:rPr>
          <w:rFonts w:ascii="宋体" w:hAnsi="宋体" w:hint="eastAsia"/>
          <w:bCs/>
        </w:rPr>
        <w:t>深夜流技术</w:t>
      </w:r>
    </w:p>
    <w:p w14:paraId="43231256" w14:textId="77777777" w:rsidR="00374000" w:rsidRPr="0019236C" w:rsidRDefault="00374000" w:rsidP="00A115EF">
      <w:pPr>
        <w:pStyle w:val="afd"/>
        <w:widowControl/>
        <w:numPr>
          <w:ilvl w:val="0"/>
          <w:numId w:val="21"/>
        </w:numPr>
        <w:snapToGrid w:val="0"/>
        <w:spacing w:line="360" w:lineRule="auto"/>
        <w:ind w:firstLineChars="0"/>
        <w:jc w:val="left"/>
        <w:rPr>
          <w:rFonts w:ascii="宋体" w:hAnsi="宋体"/>
          <w:bCs/>
        </w:rPr>
      </w:pPr>
      <w:r w:rsidRPr="0019236C">
        <w:rPr>
          <w:rFonts w:ascii="宋体" w:hAnsi="宋体" w:hint="eastAsia"/>
          <w:bCs/>
        </w:rPr>
        <w:t>营养液膜技术</w:t>
      </w:r>
    </w:p>
    <w:p w14:paraId="33835219" w14:textId="77777777" w:rsidR="00374000" w:rsidRPr="0019236C" w:rsidRDefault="00374000" w:rsidP="00A115EF">
      <w:pPr>
        <w:pStyle w:val="afd"/>
        <w:widowControl/>
        <w:numPr>
          <w:ilvl w:val="0"/>
          <w:numId w:val="21"/>
        </w:numPr>
        <w:snapToGrid w:val="0"/>
        <w:spacing w:line="360" w:lineRule="auto"/>
        <w:ind w:firstLineChars="0"/>
        <w:jc w:val="left"/>
        <w:rPr>
          <w:rFonts w:ascii="宋体" w:hAnsi="宋体"/>
          <w:bCs/>
        </w:rPr>
      </w:pPr>
      <w:r w:rsidRPr="0019236C">
        <w:rPr>
          <w:rFonts w:ascii="宋体" w:hAnsi="宋体" w:hint="eastAsia"/>
          <w:bCs/>
        </w:rPr>
        <w:t>雾培技术</w:t>
      </w:r>
    </w:p>
    <w:p w14:paraId="4FF14F4A" w14:textId="77777777" w:rsidR="00374000" w:rsidRPr="00590304" w:rsidRDefault="00374000" w:rsidP="00A115EF">
      <w:pPr>
        <w:pStyle w:val="afd"/>
        <w:widowControl/>
        <w:numPr>
          <w:ilvl w:val="0"/>
          <w:numId w:val="21"/>
        </w:numPr>
        <w:snapToGrid w:val="0"/>
        <w:spacing w:line="360" w:lineRule="auto"/>
        <w:ind w:firstLineChars="0"/>
        <w:jc w:val="left"/>
        <w:rPr>
          <w:rFonts w:ascii="宋体" w:hAnsi="宋体"/>
          <w:bCs/>
        </w:rPr>
      </w:pPr>
      <w:r w:rsidRPr="0019236C">
        <w:rPr>
          <w:rFonts w:ascii="宋体" w:hAnsi="宋体" w:hint="eastAsia"/>
          <w:bCs/>
        </w:rPr>
        <w:t>其他水培技术</w:t>
      </w:r>
    </w:p>
    <w:p w14:paraId="777BAB49" w14:textId="77777777" w:rsidR="00374000" w:rsidRDefault="00374000" w:rsidP="00374000">
      <w:pPr>
        <w:widowControl/>
        <w:snapToGrid w:val="0"/>
        <w:spacing w:line="360" w:lineRule="auto"/>
        <w:jc w:val="left"/>
        <w:rPr>
          <w:rFonts w:ascii="宋体" w:hAnsi="宋体"/>
          <w:b/>
          <w:bCs/>
        </w:rPr>
      </w:pPr>
      <w:r w:rsidRPr="00B33567">
        <w:rPr>
          <w:rFonts w:ascii="宋体" w:hAnsi="宋体" w:hint="eastAsia"/>
          <w:b/>
          <w:bCs/>
        </w:rPr>
        <w:t>教学组织与实施：</w:t>
      </w:r>
    </w:p>
    <w:p w14:paraId="5E6714D1"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发布问题及</w:t>
      </w:r>
      <w:r>
        <w:rPr>
          <w:rFonts w:ascii="宋体" w:hAnsi="宋体"/>
          <w:bCs/>
        </w:rPr>
        <w:t>讨论,</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33967529" w14:textId="77777777" w:rsidR="00374000" w:rsidRDefault="00374000" w:rsidP="00374000">
      <w:pPr>
        <w:widowControl/>
        <w:snapToGrid w:val="0"/>
        <w:spacing w:line="360" w:lineRule="auto"/>
        <w:jc w:val="left"/>
        <w:rPr>
          <w:rFonts w:ascii="宋体" w:hAnsi="宋体"/>
          <w:bCs/>
        </w:rPr>
      </w:pPr>
      <w:r>
        <w:rPr>
          <w:rFonts w:ascii="宋体" w:hAnsi="宋体"/>
          <w:bCs/>
        </w:rPr>
        <w:t>2.</w:t>
      </w:r>
      <w:r w:rsidRPr="00B33567">
        <w:rPr>
          <w:rFonts w:ascii="宋体" w:hAnsi="宋体" w:hint="eastAsia"/>
          <w:bCs/>
        </w:rPr>
        <w:t>回顾旧知识</w:t>
      </w:r>
      <w:r w:rsidRPr="00B33567">
        <w:rPr>
          <w:rFonts w:ascii="宋体" w:hAnsi="宋体"/>
          <w:bCs/>
        </w:rPr>
        <w:t>，</w:t>
      </w:r>
      <w:r>
        <w:rPr>
          <w:rFonts w:ascii="宋体" w:hAnsi="宋体" w:hint="eastAsia"/>
          <w:bCs/>
        </w:rPr>
        <w:t>并</w:t>
      </w:r>
      <w:r>
        <w:rPr>
          <w:rFonts w:ascii="宋体" w:hAnsi="宋体"/>
          <w:bCs/>
        </w:rPr>
        <w:t>通过</w:t>
      </w:r>
      <w:r>
        <w:rPr>
          <w:rFonts w:ascii="宋体" w:hAnsi="宋体" w:hint="eastAsia"/>
          <w:bCs/>
        </w:rPr>
        <w:t>观察</w:t>
      </w:r>
      <w:r>
        <w:rPr>
          <w:rFonts w:ascii="宋体" w:hAnsi="宋体"/>
          <w:bCs/>
        </w:rPr>
        <w:t>图片</w:t>
      </w:r>
      <w:r>
        <w:rPr>
          <w:rFonts w:ascii="宋体" w:hAnsi="宋体" w:hint="eastAsia"/>
          <w:bCs/>
        </w:rPr>
        <w:t>、</w:t>
      </w:r>
      <w:r>
        <w:rPr>
          <w:rFonts w:ascii="宋体" w:hAnsi="宋体"/>
          <w:bCs/>
        </w:rPr>
        <w:t>视频等</w:t>
      </w:r>
      <w:r>
        <w:rPr>
          <w:rFonts w:ascii="宋体" w:hAnsi="宋体" w:hint="eastAsia"/>
          <w:bCs/>
        </w:rPr>
        <w:t>形式直观</w:t>
      </w:r>
      <w:r>
        <w:rPr>
          <w:rFonts w:ascii="宋体" w:hAnsi="宋体"/>
          <w:bCs/>
        </w:rPr>
        <w:t>导入</w:t>
      </w:r>
      <w:r>
        <w:rPr>
          <w:rFonts w:ascii="宋体" w:hAnsi="宋体" w:hint="eastAsia"/>
          <w:bCs/>
        </w:rPr>
        <w:t>新的</w:t>
      </w:r>
      <w:r w:rsidRPr="00B33567">
        <w:rPr>
          <w:rFonts w:ascii="宋体" w:hAnsi="宋体"/>
          <w:bCs/>
        </w:rPr>
        <w:t>学习内容，学习目标；</w:t>
      </w:r>
      <w:r w:rsidRPr="00B33567">
        <w:rPr>
          <w:rFonts w:ascii="宋体" w:hAnsi="宋体" w:hint="eastAsia"/>
          <w:bCs/>
        </w:rPr>
        <w:t>以</w:t>
      </w:r>
      <w:r w:rsidRPr="00B33567">
        <w:rPr>
          <w:rFonts w:ascii="宋体" w:hAnsi="宋体"/>
          <w:bCs/>
        </w:rPr>
        <w:t>多媒体</w:t>
      </w:r>
      <w:r w:rsidRPr="00B33567">
        <w:rPr>
          <w:rFonts w:ascii="宋体" w:hAnsi="宋体" w:hint="eastAsia"/>
          <w:bCs/>
        </w:rPr>
        <w:t>的形式</w:t>
      </w:r>
      <w:r w:rsidRPr="00B33567">
        <w:rPr>
          <w:rFonts w:ascii="宋体" w:hAnsi="宋体"/>
          <w:bCs/>
        </w:rPr>
        <w:t>，</w:t>
      </w:r>
      <w:r>
        <w:rPr>
          <w:rFonts w:ascii="宋体" w:hAnsi="宋体" w:hint="eastAsia"/>
          <w:bCs/>
        </w:rPr>
        <w:t>利用</w:t>
      </w:r>
      <w:r>
        <w:rPr>
          <w:rFonts w:ascii="宋体" w:hAnsi="宋体"/>
          <w:bCs/>
        </w:rPr>
        <w:t>生动的图片及具有代表性的视频文件</w:t>
      </w:r>
      <w:r w:rsidRPr="00B33567">
        <w:rPr>
          <w:rFonts w:ascii="宋体" w:hAnsi="宋体" w:hint="eastAsia"/>
          <w:bCs/>
        </w:rPr>
        <w:t>形象地</w:t>
      </w:r>
      <w:r w:rsidRPr="00B33567">
        <w:rPr>
          <w:rFonts w:ascii="宋体" w:hAnsi="宋体"/>
          <w:bCs/>
        </w:rPr>
        <w:t>向学生展示、讲解</w:t>
      </w:r>
      <w:r w:rsidRPr="00B33567">
        <w:rPr>
          <w:rFonts w:ascii="宋体" w:hAnsi="宋体" w:hint="eastAsia"/>
          <w:bCs/>
        </w:rPr>
        <w:t>知识点</w:t>
      </w:r>
      <w:r w:rsidRPr="00B33567">
        <w:rPr>
          <w:rFonts w:ascii="宋体" w:hAnsi="宋体"/>
          <w:bCs/>
        </w:rPr>
        <w:t>，</w:t>
      </w:r>
      <w:r>
        <w:rPr>
          <w:rFonts w:ascii="宋体" w:hAnsi="宋体" w:hint="eastAsia"/>
          <w:bCs/>
        </w:rPr>
        <w:t>同时</w:t>
      </w:r>
      <w:r w:rsidRPr="00B33567">
        <w:rPr>
          <w:rFonts w:ascii="宋体" w:hAnsi="宋体"/>
          <w:bCs/>
        </w:rPr>
        <w:t>注重与学生的互动，并结合具体的生产案例进行分析</w:t>
      </w:r>
      <w:r w:rsidRPr="00B33567">
        <w:rPr>
          <w:rFonts w:ascii="宋体" w:hAnsi="宋体" w:hint="eastAsia"/>
          <w:bCs/>
        </w:rPr>
        <w:t>，提高</w:t>
      </w:r>
      <w:r w:rsidRPr="00B33567">
        <w:rPr>
          <w:rFonts w:ascii="宋体" w:hAnsi="宋体"/>
          <w:bCs/>
        </w:rPr>
        <w:t>学习兴趣及主动性；</w:t>
      </w:r>
      <w:r>
        <w:rPr>
          <w:rFonts w:ascii="宋体" w:hAnsi="宋体" w:hint="eastAsia"/>
          <w:bCs/>
        </w:rPr>
        <w:t>学习</w:t>
      </w:r>
      <w:r>
        <w:rPr>
          <w:rFonts w:ascii="宋体" w:hAnsi="宋体"/>
          <w:bCs/>
        </w:rPr>
        <w:t>过程中，鼓励学生发散思维，</w:t>
      </w:r>
      <w:r>
        <w:rPr>
          <w:rFonts w:ascii="宋体" w:hAnsi="宋体" w:hint="eastAsia"/>
          <w:bCs/>
        </w:rPr>
        <w:t>并以</w:t>
      </w:r>
      <w:r>
        <w:rPr>
          <w:rFonts w:ascii="宋体" w:hAnsi="宋体"/>
          <w:bCs/>
        </w:rPr>
        <w:t>讨论的形式</w:t>
      </w:r>
      <w:r>
        <w:rPr>
          <w:rFonts w:ascii="宋体" w:hAnsi="宋体" w:hint="eastAsia"/>
          <w:bCs/>
        </w:rPr>
        <w:t>强化学习</w:t>
      </w:r>
      <w:r>
        <w:rPr>
          <w:rFonts w:ascii="宋体" w:hAnsi="宋体"/>
          <w:bCs/>
        </w:rPr>
        <w:t>内容</w:t>
      </w:r>
      <w:r>
        <w:rPr>
          <w:rFonts w:ascii="宋体" w:hAnsi="宋体" w:hint="eastAsia"/>
          <w:bCs/>
        </w:rPr>
        <w:t>。</w:t>
      </w:r>
    </w:p>
    <w:p w14:paraId="2E197A91" w14:textId="77777777" w:rsidR="00374000" w:rsidRPr="00B33567" w:rsidRDefault="00374000" w:rsidP="00374000">
      <w:pPr>
        <w:widowControl/>
        <w:snapToGrid w:val="0"/>
        <w:spacing w:line="360" w:lineRule="auto"/>
        <w:jc w:val="left"/>
        <w:rPr>
          <w:rFonts w:ascii="宋体" w:hAnsi="宋体"/>
          <w:bCs/>
        </w:rPr>
      </w:pPr>
      <w:r>
        <w:rPr>
          <w:rFonts w:ascii="宋体" w:hAnsi="宋体"/>
          <w:bCs/>
        </w:rPr>
        <w:t>3.</w:t>
      </w:r>
      <w:r w:rsidRPr="00B33567">
        <w:rPr>
          <w:rFonts w:ascii="宋体" w:hAnsi="宋体" w:hint="eastAsia"/>
          <w:bCs/>
        </w:rPr>
        <w:t>最后归纳本章</w:t>
      </w:r>
      <w:r w:rsidRPr="00B33567">
        <w:rPr>
          <w:rFonts w:ascii="宋体" w:hAnsi="宋体"/>
          <w:bCs/>
        </w:rPr>
        <w:t>知识点</w:t>
      </w:r>
      <w:r w:rsidRPr="00B33567">
        <w:rPr>
          <w:rFonts w:ascii="宋体" w:hAnsi="宋体" w:hint="eastAsia"/>
          <w:bCs/>
        </w:rPr>
        <w:t>，强调</w:t>
      </w:r>
      <w:r w:rsidRPr="00B33567">
        <w:rPr>
          <w:rFonts w:ascii="宋体" w:hAnsi="宋体"/>
          <w:bCs/>
        </w:rPr>
        <w:t>重点、难点，并以提问</w:t>
      </w:r>
      <w:r>
        <w:rPr>
          <w:rFonts w:ascii="宋体" w:hAnsi="宋体" w:hint="eastAsia"/>
          <w:bCs/>
        </w:rPr>
        <w:t>及</w:t>
      </w:r>
      <w:r>
        <w:rPr>
          <w:rFonts w:ascii="宋体" w:hAnsi="宋体"/>
          <w:bCs/>
        </w:rPr>
        <w:t>回顾</w:t>
      </w:r>
      <w:r w:rsidRPr="00B33567">
        <w:rPr>
          <w:rFonts w:ascii="宋体" w:hAnsi="宋体" w:hint="eastAsia"/>
          <w:bCs/>
        </w:rPr>
        <w:t>的</w:t>
      </w:r>
      <w:r w:rsidRPr="00B33567">
        <w:rPr>
          <w:rFonts w:ascii="宋体" w:hAnsi="宋体"/>
          <w:bCs/>
        </w:rPr>
        <w:t>形式，总结</w:t>
      </w:r>
      <w:r>
        <w:rPr>
          <w:rFonts w:ascii="宋体" w:hAnsi="宋体" w:hint="eastAsia"/>
          <w:bCs/>
        </w:rPr>
        <w:t>和</w:t>
      </w:r>
      <w:r w:rsidRPr="00B33567">
        <w:rPr>
          <w:rFonts w:ascii="宋体" w:hAnsi="宋体"/>
          <w:bCs/>
        </w:rPr>
        <w:t>检验学习效果。</w:t>
      </w:r>
    </w:p>
    <w:p w14:paraId="227FC9E5" w14:textId="77777777" w:rsidR="00374000" w:rsidRPr="00736439" w:rsidRDefault="00374000" w:rsidP="00374000">
      <w:pPr>
        <w:pStyle w:val="afd"/>
        <w:widowControl/>
        <w:snapToGrid w:val="0"/>
        <w:spacing w:line="360" w:lineRule="auto"/>
        <w:ind w:left="420" w:firstLineChars="1000" w:firstLine="2108"/>
        <w:jc w:val="left"/>
        <w:rPr>
          <w:rFonts w:ascii="宋体" w:hAnsi="宋体"/>
          <w:b/>
          <w:bCs/>
        </w:rPr>
      </w:pPr>
    </w:p>
    <w:p w14:paraId="1B711908" w14:textId="77777777" w:rsidR="00374000" w:rsidRPr="000E0D97" w:rsidRDefault="00374000" w:rsidP="00374000">
      <w:pPr>
        <w:pStyle w:val="afd"/>
        <w:widowControl/>
        <w:snapToGrid w:val="0"/>
        <w:spacing w:line="360" w:lineRule="auto"/>
        <w:ind w:left="420" w:firstLineChars="1000" w:firstLine="2108"/>
        <w:jc w:val="left"/>
        <w:rPr>
          <w:rFonts w:ascii="宋体" w:hAnsi="宋体"/>
          <w:b/>
          <w:bCs/>
        </w:rPr>
      </w:pPr>
      <w:r>
        <w:rPr>
          <w:rFonts w:ascii="宋体" w:hAnsi="宋体" w:hint="eastAsia"/>
          <w:b/>
          <w:bCs/>
        </w:rPr>
        <w:t xml:space="preserve">第五章 固体基质                             </w:t>
      </w:r>
      <w:r w:rsidRPr="000E0D97">
        <w:rPr>
          <w:rFonts w:ascii="宋体" w:hAnsi="宋体" w:hint="eastAsia"/>
          <w:b/>
          <w:bCs/>
        </w:rPr>
        <w:t>学时数：</w:t>
      </w:r>
      <w:r>
        <w:rPr>
          <w:rFonts w:ascii="宋体" w:hAnsi="宋体"/>
          <w:b/>
          <w:bCs/>
        </w:rPr>
        <w:t>4</w:t>
      </w:r>
    </w:p>
    <w:p w14:paraId="5CD9FC48" w14:textId="77777777" w:rsidR="00374000" w:rsidRPr="00F64D37" w:rsidRDefault="00374000" w:rsidP="00374000">
      <w:pPr>
        <w:widowControl/>
        <w:snapToGrid w:val="0"/>
        <w:spacing w:line="360" w:lineRule="auto"/>
        <w:rPr>
          <w:rFonts w:ascii="宋体" w:hAnsi="宋体"/>
          <w:bCs/>
        </w:rPr>
      </w:pPr>
      <w:r w:rsidRPr="006A0F7D">
        <w:rPr>
          <w:rFonts w:ascii="宋体" w:hAnsi="宋体" w:hint="eastAsia"/>
          <w:b/>
          <w:bCs/>
        </w:rPr>
        <w:t>教学目的：</w:t>
      </w:r>
      <w:r w:rsidRPr="00F64D37">
        <w:rPr>
          <w:rFonts w:ascii="宋体" w:hAnsi="宋体" w:hint="eastAsia"/>
          <w:bCs/>
        </w:rPr>
        <w:t>了解常见无土栽培固体基质的种类及特性，</w:t>
      </w:r>
      <w:r>
        <w:rPr>
          <w:rFonts w:ascii="宋体" w:hAnsi="宋体" w:hint="eastAsia"/>
          <w:bCs/>
        </w:rPr>
        <w:t>能够根据基质的性质正确选择固体基质，并掌握配制植物生长所需混合基质的方法，基质</w:t>
      </w:r>
      <w:r>
        <w:rPr>
          <w:rFonts w:ascii="宋体" w:hAnsi="宋体"/>
          <w:bCs/>
        </w:rPr>
        <w:t>最新</w:t>
      </w:r>
      <w:r>
        <w:rPr>
          <w:rFonts w:ascii="宋体" w:hAnsi="宋体" w:hint="eastAsia"/>
          <w:bCs/>
        </w:rPr>
        <w:t>研究</w:t>
      </w:r>
      <w:r>
        <w:rPr>
          <w:rFonts w:ascii="宋体" w:hAnsi="宋体"/>
          <w:bCs/>
        </w:rPr>
        <w:t>进展。</w:t>
      </w:r>
    </w:p>
    <w:p w14:paraId="31B02EB9"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教学重点和难点：</w:t>
      </w:r>
      <w:r w:rsidRPr="00442A02">
        <w:rPr>
          <w:rFonts w:ascii="宋体" w:hAnsi="宋体" w:hint="eastAsia"/>
          <w:bCs/>
        </w:rPr>
        <w:t>植物对固体基质的要求，</w:t>
      </w:r>
      <w:r>
        <w:rPr>
          <w:rFonts w:ascii="宋体" w:hAnsi="宋体" w:hint="eastAsia"/>
          <w:bCs/>
        </w:rPr>
        <w:t>基质的选用原则及固体混合基质的配制方法；基质中的微生物及其</w:t>
      </w:r>
      <w:r>
        <w:rPr>
          <w:rFonts w:ascii="宋体" w:hAnsi="宋体"/>
          <w:bCs/>
        </w:rPr>
        <w:t>对植物生长发育的影响。</w:t>
      </w:r>
    </w:p>
    <w:p w14:paraId="4EFD3D82"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sidRPr="00F64D37">
        <w:rPr>
          <w:rFonts w:ascii="宋体" w:hAnsi="宋体" w:hint="eastAsia"/>
          <w:bCs/>
        </w:rPr>
        <w:t>了解常用固体基质的种类；理解固体基质的作用、选用原则及固体基质的分类</w:t>
      </w:r>
      <w:r>
        <w:rPr>
          <w:rFonts w:ascii="宋体" w:hAnsi="宋体" w:hint="eastAsia"/>
          <w:bCs/>
        </w:rPr>
        <w:t>；掌握固体基质的消毒与再利用方法；熟练无土栽培中对固体基质的要求以及固体混合基质的配制方法；</w:t>
      </w:r>
      <w:r>
        <w:rPr>
          <w:rFonts w:ascii="宋体" w:hAnsi="宋体"/>
          <w:bCs/>
        </w:rPr>
        <w:t>了解</w:t>
      </w:r>
      <w:r>
        <w:rPr>
          <w:rFonts w:ascii="宋体" w:hAnsi="宋体" w:hint="eastAsia"/>
          <w:bCs/>
        </w:rPr>
        <w:t>基质</w:t>
      </w:r>
      <w:r>
        <w:rPr>
          <w:rFonts w:ascii="宋体" w:hAnsi="宋体"/>
          <w:bCs/>
        </w:rPr>
        <w:t>中微生物的作用。</w:t>
      </w:r>
    </w:p>
    <w:p w14:paraId="642D76F2" w14:textId="77777777" w:rsidR="00374000" w:rsidRDefault="00374000" w:rsidP="00A115EF">
      <w:pPr>
        <w:pStyle w:val="afd"/>
        <w:widowControl/>
        <w:numPr>
          <w:ilvl w:val="0"/>
          <w:numId w:val="22"/>
        </w:numPr>
        <w:snapToGrid w:val="0"/>
        <w:spacing w:line="360" w:lineRule="auto"/>
        <w:ind w:left="840" w:firstLineChars="0"/>
        <w:jc w:val="left"/>
        <w:rPr>
          <w:rFonts w:ascii="宋体" w:hAnsi="宋体"/>
          <w:bCs/>
        </w:rPr>
      </w:pPr>
      <w:r>
        <w:rPr>
          <w:rFonts w:ascii="宋体" w:hAnsi="宋体" w:hint="eastAsia"/>
          <w:bCs/>
        </w:rPr>
        <w:t>固体基质的种类与特性</w:t>
      </w:r>
    </w:p>
    <w:p w14:paraId="3F391022" w14:textId="77777777" w:rsidR="00374000" w:rsidRDefault="00374000" w:rsidP="00A115EF">
      <w:pPr>
        <w:pStyle w:val="afd"/>
        <w:widowControl/>
        <w:numPr>
          <w:ilvl w:val="0"/>
          <w:numId w:val="22"/>
        </w:numPr>
        <w:snapToGrid w:val="0"/>
        <w:spacing w:line="360" w:lineRule="auto"/>
        <w:ind w:left="840" w:firstLineChars="0"/>
        <w:jc w:val="left"/>
        <w:rPr>
          <w:rFonts w:ascii="宋体" w:hAnsi="宋体"/>
          <w:bCs/>
        </w:rPr>
      </w:pPr>
      <w:r>
        <w:rPr>
          <w:rFonts w:ascii="宋体" w:hAnsi="宋体" w:hint="eastAsia"/>
          <w:bCs/>
        </w:rPr>
        <w:t>固体基质的配制</w:t>
      </w:r>
    </w:p>
    <w:p w14:paraId="0B2CC99D" w14:textId="77777777" w:rsidR="00374000" w:rsidRPr="00442A02" w:rsidRDefault="00374000" w:rsidP="00A115EF">
      <w:pPr>
        <w:pStyle w:val="afd"/>
        <w:widowControl/>
        <w:numPr>
          <w:ilvl w:val="0"/>
          <w:numId w:val="22"/>
        </w:numPr>
        <w:snapToGrid w:val="0"/>
        <w:spacing w:line="360" w:lineRule="auto"/>
        <w:ind w:left="840" w:firstLineChars="0"/>
        <w:jc w:val="left"/>
        <w:rPr>
          <w:rFonts w:ascii="宋体" w:hAnsi="宋体"/>
          <w:bCs/>
        </w:rPr>
      </w:pPr>
      <w:r>
        <w:rPr>
          <w:rFonts w:ascii="宋体" w:hAnsi="宋体" w:hint="eastAsia"/>
          <w:bCs/>
        </w:rPr>
        <w:t>新型无土</w:t>
      </w:r>
      <w:r>
        <w:rPr>
          <w:rFonts w:ascii="宋体" w:hAnsi="宋体"/>
          <w:bCs/>
        </w:rPr>
        <w:t>栽培</w:t>
      </w:r>
      <w:r>
        <w:rPr>
          <w:rFonts w:ascii="宋体" w:hAnsi="宋体" w:hint="eastAsia"/>
          <w:bCs/>
        </w:rPr>
        <w:t>基质</w:t>
      </w:r>
      <w:r>
        <w:rPr>
          <w:rFonts w:ascii="宋体" w:hAnsi="宋体"/>
          <w:bCs/>
        </w:rPr>
        <w:t>的研发</w:t>
      </w:r>
    </w:p>
    <w:p w14:paraId="503F36AB" w14:textId="77777777" w:rsidR="00374000" w:rsidRPr="00590304" w:rsidRDefault="00374000" w:rsidP="00A115EF">
      <w:pPr>
        <w:pStyle w:val="afd"/>
        <w:widowControl/>
        <w:numPr>
          <w:ilvl w:val="0"/>
          <w:numId w:val="22"/>
        </w:numPr>
        <w:snapToGrid w:val="0"/>
        <w:spacing w:line="360" w:lineRule="auto"/>
        <w:ind w:left="840" w:firstLineChars="0"/>
        <w:jc w:val="left"/>
        <w:rPr>
          <w:rFonts w:ascii="宋体" w:hAnsi="宋体"/>
          <w:bCs/>
        </w:rPr>
      </w:pPr>
      <w:r>
        <w:rPr>
          <w:rFonts w:ascii="宋体" w:hAnsi="宋体" w:hint="eastAsia"/>
          <w:bCs/>
        </w:rPr>
        <w:t>基质中的微生物及其</w:t>
      </w:r>
      <w:r>
        <w:rPr>
          <w:rFonts w:ascii="宋体" w:hAnsi="宋体"/>
          <w:bCs/>
        </w:rPr>
        <w:t>对植物生长发育的影响</w:t>
      </w:r>
    </w:p>
    <w:p w14:paraId="24212586" w14:textId="77777777" w:rsidR="00374000" w:rsidRDefault="00374000" w:rsidP="00374000">
      <w:pPr>
        <w:widowControl/>
        <w:snapToGrid w:val="0"/>
        <w:spacing w:line="360" w:lineRule="auto"/>
        <w:rPr>
          <w:rFonts w:ascii="宋体" w:hAnsi="宋体"/>
          <w:b/>
          <w:bCs/>
        </w:rPr>
      </w:pPr>
      <w:r w:rsidRPr="0022731F">
        <w:rPr>
          <w:rFonts w:ascii="宋体" w:hAnsi="宋体" w:hint="eastAsia"/>
          <w:b/>
          <w:bCs/>
        </w:rPr>
        <w:t>教学组织与实施：</w:t>
      </w:r>
    </w:p>
    <w:p w14:paraId="26A952A2"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w:t>
      </w:r>
      <w:r>
        <w:rPr>
          <w:rFonts w:ascii="宋体" w:hAnsi="宋体"/>
          <w:bCs/>
        </w:rPr>
        <w:t>讨论</w:t>
      </w:r>
      <w:r>
        <w:rPr>
          <w:rFonts w:ascii="宋体" w:hAnsi="宋体" w:hint="eastAsia"/>
          <w:bCs/>
        </w:rPr>
        <w:t>及问题</w:t>
      </w:r>
      <w:r>
        <w:rPr>
          <w:rFonts w:ascii="宋体" w:hAnsi="宋体"/>
          <w:bCs/>
        </w:rPr>
        <w:t>,</w:t>
      </w:r>
      <w:r>
        <w:rPr>
          <w:rFonts w:ascii="宋体" w:hAnsi="宋体" w:hint="eastAsia"/>
          <w:bCs/>
        </w:rPr>
        <w:t>并</w:t>
      </w:r>
      <w:r>
        <w:rPr>
          <w:rFonts w:ascii="宋体" w:hAnsi="宋体"/>
          <w:bCs/>
        </w:rPr>
        <w:t>上传课件等学习资料，让学生进行自学。</w:t>
      </w:r>
    </w:p>
    <w:p w14:paraId="48D3D93B" w14:textId="77777777" w:rsidR="00374000" w:rsidRDefault="00374000" w:rsidP="00374000">
      <w:pPr>
        <w:widowControl/>
        <w:snapToGrid w:val="0"/>
        <w:spacing w:line="360" w:lineRule="auto"/>
        <w:rPr>
          <w:rFonts w:ascii="宋体" w:hAnsi="宋体"/>
          <w:bCs/>
        </w:rPr>
      </w:pPr>
      <w:r>
        <w:rPr>
          <w:rFonts w:ascii="宋体" w:hAnsi="宋体"/>
          <w:bCs/>
        </w:rPr>
        <w:t>2.</w:t>
      </w:r>
      <w:r w:rsidRPr="0022731F">
        <w:rPr>
          <w:rFonts w:ascii="宋体" w:hAnsi="宋体" w:hint="eastAsia"/>
          <w:bCs/>
        </w:rPr>
        <w:t>回顾</w:t>
      </w:r>
      <w:r>
        <w:rPr>
          <w:rFonts w:ascii="宋体" w:hAnsi="宋体" w:hint="eastAsia"/>
          <w:bCs/>
        </w:rPr>
        <w:t>旧知识</w:t>
      </w:r>
      <w:r>
        <w:rPr>
          <w:rFonts w:ascii="宋体" w:hAnsi="宋体"/>
          <w:bCs/>
        </w:rPr>
        <w:t>，</w:t>
      </w:r>
      <w:r>
        <w:rPr>
          <w:rFonts w:ascii="宋体" w:hAnsi="宋体" w:hint="eastAsia"/>
          <w:bCs/>
        </w:rPr>
        <w:t>发现问题</w:t>
      </w:r>
      <w:r>
        <w:rPr>
          <w:rFonts w:ascii="宋体" w:hAnsi="宋体"/>
          <w:bCs/>
        </w:rPr>
        <w:t>，</w:t>
      </w:r>
      <w:r w:rsidRPr="0022731F">
        <w:rPr>
          <w:rFonts w:ascii="宋体" w:hAnsi="宋体"/>
          <w:bCs/>
        </w:rPr>
        <w:t>引出本章的学习内容，学习目标；</w:t>
      </w:r>
      <w:r w:rsidRPr="0022731F">
        <w:rPr>
          <w:rFonts w:ascii="宋体" w:hAnsi="宋体" w:hint="eastAsia"/>
          <w:bCs/>
        </w:rPr>
        <w:t>以</w:t>
      </w:r>
      <w:r w:rsidRPr="0022731F">
        <w:rPr>
          <w:rFonts w:ascii="宋体" w:hAnsi="宋体"/>
          <w:bCs/>
        </w:rPr>
        <w:t>多媒体</w:t>
      </w:r>
      <w:r w:rsidRPr="0022731F">
        <w:rPr>
          <w:rFonts w:ascii="宋体" w:hAnsi="宋体" w:hint="eastAsia"/>
          <w:bCs/>
        </w:rPr>
        <w:t>的形式</w:t>
      </w:r>
      <w:r w:rsidRPr="0022731F">
        <w:rPr>
          <w:rFonts w:ascii="宋体" w:hAnsi="宋体"/>
          <w:bCs/>
        </w:rPr>
        <w:t>，</w:t>
      </w:r>
      <w:r w:rsidRPr="0022731F">
        <w:rPr>
          <w:rFonts w:ascii="宋体" w:hAnsi="宋体" w:hint="eastAsia"/>
          <w:bCs/>
        </w:rPr>
        <w:t>形象地</w:t>
      </w:r>
      <w:r w:rsidRPr="0022731F">
        <w:rPr>
          <w:rFonts w:ascii="宋体" w:hAnsi="宋体"/>
          <w:bCs/>
        </w:rPr>
        <w:t>向学生展示、讲解</w:t>
      </w:r>
      <w:r w:rsidRPr="0022731F">
        <w:rPr>
          <w:rFonts w:ascii="宋体" w:hAnsi="宋体" w:hint="eastAsia"/>
          <w:bCs/>
        </w:rPr>
        <w:t>知识点</w:t>
      </w:r>
      <w:r w:rsidRPr="0022731F">
        <w:rPr>
          <w:rFonts w:ascii="宋体" w:hAnsi="宋体"/>
          <w:bCs/>
        </w:rPr>
        <w:t>，</w:t>
      </w:r>
      <w:r>
        <w:rPr>
          <w:rFonts w:ascii="宋体" w:hAnsi="宋体" w:hint="eastAsia"/>
          <w:bCs/>
        </w:rPr>
        <w:t>在</w:t>
      </w:r>
      <w:r>
        <w:rPr>
          <w:rFonts w:ascii="宋体" w:hAnsi="宋体"/>
          <w:bCs/>
        </w:rPr>
        <w:t>讲解的过程中</w:t>
      </w:r>
      <w:r>
        <w:rPr>
          <w:rFonts w:ascii="宋体" w:hAnsi="宋体" w:hint="eastAsia"/>
          <w:bCs/>
        </w:rPr>
        <w:t>灵活</w:t>
      </w:r>
      <w:r>
        <w:rPr>
          <w:rFonts w:ascii="宋体" w:hAnsi="宋体"/>
          <w:bCs/>
        </w:rPr>
        <w:t>设置问题，注重与学生的互动，</w:t>
      </w:r>
      <w:r w:rsidRPr="0022731F">
        <w:rPr>
          <w:rFonts w:ascii="宋体" w:hAnsi="宋体"/>
          <w:bCs/>
        </w:rPr>
        <w:t>并结合具体的生产案例进行分析</w:t>
      </w:r>
      <w:r w:rsidRPr="0022731F">
        <w:rPr>
          <w:rFonts w:ascii="宋体" w:hAnsi="宋体" w:hint="eastAsia"/>
          <w:bCs/>
        </w:rPr>
        <w:t>，提高</w:t>
      </w:r>
      <w:r>
        <w:rPr>
          <w:rFonts w:ascii="宋体" w:hAnsi="宋体"/>
          <w:bCs/>
        </w:rPr>
        <w:t>学习兴趣及主动性</w:t>
      </w:r>
      <w:r>
        <w:rPr>
          <w:rFonts w:ascii="宋体" w:hAnsi="宋体" w:hint="eastAsia"/>
          <w:bCs/>
        </w:rPr>
        <w:t>。</w:t>
      </w:r>
    </w:p>
    <w:p w14:paraId="0241981C" w14:textId="77777777" w:rsidR="00374000" w:rsidRPr="003272F8" w:rsidRDefault="00374000" w:rsidP="00374000">
      <w:pPr>
        <w:widowControl/>
        <w:snapToGrid w:val="0"/>
        <w:spacing w:line="360" w:lineRule="auto"/>
        <w:rPr>
          <w:rFonts w:ascii="宋体" w:hAnsi="宋体"/>
          <w:b/>
          <w:bCs/>
        </w:rPr>
      </w:pPr>
      <w:r>
        <w:rPr>
          <w:rFonts w:ascii="宋体" w:hAnsi="宋体"/>
          <w:bCs/>
        </w:rPr>
        <w:t>3.</w:t>
      </w:r>
      <w:r w:rsidRPr="0022731F">
        <w:rPr>
          <w:rFonts w:ascii="宋体" w:hAnsi="宋体" w:hint="eastAsia"/>
          <w:bCs/>
        </w:rPr>
        <w:t>最后归纳本章</w:t>
      </w:r>
      <w:r w:rsidRPr="0022731F">
        <w:rPr>
          <w:rFonts w:ascii="宋体" w:hAnsi="宋体"/>
          <w:bCs/>
        </w:rPr>
        <w:t>知识点</w:t>
      </w:r>
      <w:r w:rsidRPr="0022731F">
        <w:rPr>
          <w:rFonts w:ascii="宋体" w:hAnsi="宋体" w:hint="eastAsia"/>
          <w:bCs/>
        </w:rPr>
        <w:t>，</w:t>
      </w:r>
      <w:r>
        <w:rPr>
          <w:rFonts w:ascii="宋体" w:hAnsi="宋体" w:hint="eastAsia"/>
          <w:bCs/>
        </w:rPr>
        <w:t>强调</w:t>
      </w:r>
      <w:r>
        <w:rPr>
          <w:rFonts w:ascii="宋体" w:hAnsi="宋体"/>
          <w:bCs/>
        </w:rPr>
        <w:t>重点、难点，</w:t>
      </w:r>
      <w:r w:rsidRPr="0022731F">
        <w:rPr>
          <w:rFonts w:ascii="宋体" w:hAnsi="宋体"/>
          <w:bCs/>
        </w:rPr>
        <w:t>并以提问</w:t>
      </w:r>
      <w:r w:rsidRPr="0022731F">
        <w:rPr>
          <w:rFonts w:ascii="宋体" w:hAnsi="宋体" w:hint="eastAsia"/>
          <w:bCs/>
        </w:rPr>
        <w:t>的</w:t>
      </w:r>
      <w:r w:rsidRPr="0022731F">
        <w:rPr>
          <w:rFonts w:ascii="宋体" w:hAnsi="宋体"/>
          <w:bCs/>
        </w:rPr>
        <w:t>形式，总结及检验学习效果。</w:t>
      </w:r>
    </w:p>
    <w:p w14:paraId="29751E53" w14:textId="77777777" w:rsidR="00374000" w:rsidRDefault="00374000" w:rsidP="00374000">
      <w:pPr>
        <w:pStyle w:val="afd"/>
        <w:widowControl/>
        <w:snapToGrid w:val="0"/>
        <w:spacing w:line="360" w:lineRule="auto"/>
        <w:ind w:left="420" w:firstLineChars="750" w:firstLine="1581"/>
        <w:jc w:val="left"/>
        <w:rPr>
          <w:rFonts w:ascii="宋体" w:hAnsi="宋体"/>
          <w:b/>
          <w:bCs/>
        </w:rPr>
      </w:pPr>
    </w:p>
    <w:p w14:paraId="0D1919D2" w14:textId="77777777" w:rsidR="00374000" w:rsidRDefault="00374000" w:rsidP="00374000">
      <w:pPr>
        <w:pStyle w:val="afd"/>
        <w:widowControl/>
        <w:snapToGrid w:val="0"/>
        <w:spacing w:line="360" w:lineRule="auto"/>
        <w:ind w:left="420" w:firstLineChars="750" w:firstLine="1581"/>
        <w:jc w:val="left"/>
        <w:rPr>
          <w:rFonts w:ascii="宋体" w:hAnsi="宋体"/>
          <w:b/>
          <w:bCs/>
        </w:rPr>
      </w:pPr>
    </w:p>
    <w:p w14:paraId="1700323B" w14:textId="77777777" w:rsidR="00374000" w:rsidRDefault="00374000" w:rsidP="00374000">
      <w:pPr>
        <w:pStyle w:val="afd"/>
        <w:widowControl/>
        <w:snapToGrid w:val="0"/>
        <w:spacing w:line="360" w:lineRule="auto"/>
        <w:ind w:left="420" w:firstLineChars="750" w:firstLine="1581"/>
        <w:jc w:val="left"/>
        <w:rPr>
          <w:rFonts w:ascii="宋体" w:hAnsi="宋体"/>
          <w:b/>
          <w:bCs/>
        </w:rPr>
      </w:pPr>
      <w:r w:rsidRPr="00442A02">
        <w:rPr>
          <w:rFonts w:ascii="宋体" w:hAnsi="宋体" w:hint="eastAsia"/>
          <w:b/>
          <w:bCs/>
        </w:rPr>
        <w:t>第</w:t>
      </w:r>
      <w:r>
        <w:rPr>
          <w:rFonts w:ascii="宋体" w:hAnsi="宋体" w:hint="eastAsia"/>
          <w:b/>
          <w:bCs/>
        </w:rPr>
        <w:t>六</w:t>
      </w:r>
      <w:r w:rsidRPr="00442A02">
        <w:rPr>
          <w:rFonts w:ascii="宋体" w:hAnsi="宋体" w:hint="eastAsia"/>
          <w:b/>
          <w:bCs/>
        </w:rPr>
        <w:t>章 固体基质栽培设施构成与管理技术</w:t>
      </w:r>
      <w:r>
        <w:rPr>
          <w:rFonts w:ascii="宋体" w:hAnsi="宋体" w:hint="eastAsia"/>
          <w:b/>
          <w:bCs/>
        </w:rPr>
        <w:t xml:space="preserve">            </w:t>
      </w:r>
      <w:r w:rsidRPr="000E0D97">
        <w:rPr>
          <w:rFonts w:ascii="宋体" w:hAnsi="宋体" w:hint="eastAsia"/>
          <w:b/>
          <w:bCs/>
        </w:rPr>
        <w:t>学时数：</w:t>
      </w:r>
      <w:r>
        <w:rPr>
          <w:rFonts w:ascii="宋体" w:hAnsi="宋体"/>
          <w:b/>
          <w:bCs/>
        </w:rPr>
        <w:t>4</w:t>
      </w:r>
    </w:p>
    <w:p w14:paraId="7D93C9F6" w14:textId="77777777" w:rsidR="00374000" w:rsidRPr="00442A02" w:rsidRDefault="00374000" w:rsidP="00374000">
      <w:pPr>
        <w:widowControl/>
        <w:snapToGrid w:val="0"/>
        <w:spacing w:line="360" w:lineRule="auto"/>
        <w:jc w:val="left"/>
        <w:rPr>
          <w:rFonts w:ascii="宋体" w:hAnsi="宋体"/>
          <w:b/>
          <w:bCs/>
        </w:rPr>
      </w:pPr>
      <w:r w:rsidRPr="00442A02">
        <w:rPr>
          <w:rFonts w:ascii="宋体" w:hAnsi="宋体" w:hint="eastAsia"/>
          <w:b/>
          <w:bCs/>
        </w:rPr>
        <w:t>教学目的：</w:t>
      </w:r>
      <w:r>
        <w:rPr>
          <w:rFonts w:ascii="宋体" w:hAnsi="宋体" w:hint="eastAsia"/>
          <w:bCs/>
        </w:rPr>
        <w:t>掌握</w:t>
      </w:r>
      <w:r w:rsidRPr="0028740F">
        <w:rPr>
          <w:rFonts w:ascii="宋体" w:hAnsi="宋体" w:hint="eastAsia"/>
          <w:bCs/>
        </w:rPr>
        <w:t>固体基质栽培的种类及特点，</w:t>
      </w:r>
      <w:r>
        <w:rPr>
          <w:rFonts w:ascii="宋体" w:hAnsi="宋体" w:hint="eastAsia"/>
          <w:bCs/>
        </w:rPr>
        <w:t>了解基质栽培的技术要点。</w:t>
      </w:r>
    </w:p>
    <w:p w14:paraId="29B7DBFA" w14:textId="77777777" w:rsidR="00374000" w:rsidRDefault="00374000" w:rsidP="00374000">
      <w:pPr>
        <w:widowControl/>
        <w:snapToGrid w:val="0"/>
        <w:spacing w:line="360" w:lineRule="auto"/>
        <w:jc w:val="left"/>
        <w:rPr>
          <w:rFonts w:ascii="宋体" w:hAnsi="宋体"/>
          <w:b/>
          <w:bCs/>
        </w:rPr>
      </w:pPr>
      <w:r w:rsidRPr="006A0F7D">
        <w:rPr>
          <w:rFonts w:ascii="宋体" w:hAnsi="宋体" w:hint="eastAsia"/>
          <w:b/>
          <w:bCs/>
        </w:rPr>
        <w:t>教学重点和难点：</w:t>
      </w:r>
      <w:r w:rsidRPr="00986BA7">
        <w:rPr>
          <w:rFonts w:ascii="宋体" w:hAnsi="宋体" w:hint="eastAsia"/>
          <w:bCs/>
        </w:rPr>
        <w:t>常见基质栽培设施结构特点，</w:t>
      </w:r>
      <w:r w:rsidRPr="0028740F">
        <w:rPr>
          <w:rFonts w:ascii="宋体" w:hAnsi="宋体" w:hint="eastAsia"/>
          <w:bCs/>
        </w:rPr>
        <w:t>岩棉栽培床结构及供液和排液方式</w:t>
      </w:r>
      <w:r>
        <w:rPr>
          <w:rFonts w:ascii="宋体" w:hAnsi="宋体" w:hint="eastAsia"/>
          <w:bCs/>
        </w:rPr>
        <w:t>。</w:t>
      </w:r>
    </w:p>
    <w:p w14:paraId="0D7ED82B"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sidRPr="0028740F">
        <w:rPr>
          <w:rFonts w:ascii="宋体" w:hAnsi="宋体" w:hint="eastAsia"/>
          <w:bCs/>
        </w:rPr>
        <w:t>了解固体基质栽培管理技术要点；理解固体基质栽培与水培的区别；掌握固体基质设施的主要类型、特征及其结构</w:t>
      </w:r>
      <w:r>
        <w:rPr>
          <w:rFonts w:ascii="宋体" w:hAnsi="宋体" w:hint="eastAsia"/>
          <w:bCs/>
        </w:rPr>
        <w:t>，有机生态型无土栽培的特点及应用</w:t>
      </w:r>
      <w:r w:rsidRPr="0028740F">
        <w:rPr>
          <w:rFonts w:ascii="宋体" w:hAnsi="宋体" w:hint="eastAsia"/>
          <w:bCs/>
        </w:rPr>
        <w:t>；熟悉掌握开放式和封闭式岩棉栽培床结构及供液和排液方式</w:t>
      </w:r>
      <w:r>
        <w:rPr>
          <w:rFonts w:ascii="宋体" w:hAnsi="宋体" w:hint="eastAsia"/>
          <w:bCs/>
        </w:rPr>
        <w:t>。</w:t>
      </w:r>
    </w:p>
    <w:p w14:paraId="5637B4FF" w14:textId="77777777" w:rsidR="00374000" w:rsidRPr="0028740F" w:rsidRDefault="00374000" w:rsidP="00A115EF">
      <w:pPr>
        <w:pStyle w:val="afd"/>
        <w:widowControl/>
        <w:numPr>
          <w:ilvl w:val="0"/>
          <w:numId w:val="23"/>
        </w:numPr>
        <w:snapToGrid w:val="0"/>
        <w:spacing w:line="360" w:lineRule="auto"/>
        <w:ind w:left="840" w:firstLineChars="0"/>
        <w:jc w:val="left"/>
        <w:rPr>
          <w:rFonts w:ascii="宋体" w:hAnsi="宋体"/>
          <w:bCs/>
        </w:rPr>
      </w:pPr>
      <w:r w:rsidRPr="0028740F">
        <w:rPr>
          <w:rFonts w:ascii="宋体" w:hAnsi="宋体" w:hint="eastAsia"/>
          <w:bCs/>
        </w:rPr>
        <w:t>袋培</w:t>
      </w:r>
    </w:p>
    <w:p w14:paraId="32279080" w14:textId="77777777" w:rsidR="00374000" w:rsidRDefault="00374000" w:rsidP="00A115EF">
      <w:pPr>
        <w:pStyle w:val="afd"/>
        <w:widowControl/>
        <w:numPr>
          <w:ilvl w:val="0"/>
          <w:numId w:val="23"/>
        </w:numPr>
        <w:snapToGrid w:val="0"/>
        <w:spacing w:line="360" w:lineRule="auto"/>
        <w:ind w:left="840" w:firstLineChars="0"/>
        <w:jc w:val="left"/>
        <w:rPr>
          <w:rFonts w:ascii="宋体" w:hAnsi="宋体"/>
          <w:bCs/>
        </w:rPr>
      </w:pPr>
      <w:r>
        <w:rPr>
          <w:rFonts w:ascii="宋体" w:hAnsi="宋体" w:hint="eastAsia"/>
          <w:bCs/>
        </w:rPr>
        <w:t>槽培</w:t>
      </w:r>
    </w:p>
    <w:p w14:paraId="32DF4DA0" w14:textId="77777777" w:rsidR="00374000" w:rsidRDefault="00374000" w:rsidP="00A115EF">
      <w:pPr>
        <w:pStyle w:val="afd"/>
        <w:widowControl/>
        <w:numPr>
          <w:ilvl w:val="0"/>
          <w:numId w:val="23"/>
        </w:numPr>
        <w:snapToGrid w:val="0"/>
        <w:spacing w:line="360" w:lineRule="auto"/>
        <w:ind w:left="840" w:firstLineChars="0"/>
        <w:jc w:val="left"/>
        <w:rPr>
          <w:rFonts w:ascii="宋体" w:hAnsi="宋体"/>
          <w:bCs/>
        </w:rPr>
      </w:pPr>
      <w:r>
        <w:rPr>
          <w:rFonts w:ascii="宋体" w:hAnsi="宋体" w:hint="eastAsia"/>
          <w:bCs/>
        </w:rPr>
        <w:t>岩棉栽培</w:t>
      </w:r>
    </w:p>
    <w:p w14:paraId="3BB1C5C6" w14:textId="77777777" w:rsidR="00374000" w:rsidRDefault="00374000" w:rsidP="00A115EF">
      <w:pPr>
        <w:pStyle w:val="afd"/>
        <w:widowControl/>
        <w:numPr>
          <w:ilvl w:val="0"/>
          <w:numId w:val="23"/>
        </w:numPr>
        <w:snapToGrid w:val="0"/>
        <w:spacing w:line="360" w:lineRule="auto"/>
        <w:ind w:left="840" w:firstLineChars="0"/>
        <w:jc w:val="left"/>
        <w:rPr>
          <w:rFonts w:ascii="宋体" w:hAnsi="宋体"/>
          <w:bCs/>
        </w:rPr>
      </w:pPr>
      <w:r>
        <w:rPr>
          <w:rFonts w:ascii="宋体" w:hAnsi="宋体" w:hint="eastAsia"/>
          <w:bCs/>
        </w:rPr>
        <w:t>其他基质栽培方式</w:t>
      </w:r>
    </w:p>
    <w:p w14:paraId="2DFCFDD2" w14:textId="77777777" w:rsidR="00374000" w:rsidRDefault="00374000" w:rsidP="00374000">
      <w:pPr>
        <w:widowControl/>
        <w:snapToGrid w:val="0"/>
        <w:spacing w:line="360" w:lineRule="auto"/>
        <w:jc w:val="left"/>
        <w:rPr>
          <w:rFonts w:ascii="宋体" w:hAnsi="宋体"/>
          <w:b/>
          <w:bCs/>
        </w:rPr>
      </w:pPr>
      <w:r w:rsidRPr="002D478D">
        <w:rPr>
          <w:rFonts w:ascii="宋体" w:hAnsi="宋体" w:hint="eastAsia"/>
          <w:b/>
          <w:bCs/>
        </w:rPr>
        <w:t>教学组织与实施：</w:t>
      </w:r>
    </w:p>
    <w:p w14:paraId="5DA2204D"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发布问题及</w:t>
      </w:r>
      <w:r>
        <w:rPr>
          <w:rFonts w:ascii="宋体" w:hAnsi="宋体"/>
          <w:bCs/>
        </w:rPr>
        <w:t>讨论,</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2FBE20F6" w14:textId="77777777" w:rsidR="00374000" w:rsidRDefault="00374000" w:rsidP="00374000">
      <w:pPr>
        <w:widowControl/>
        <w:snapToGrid w:val="0"/>
        <w:spacing w:line="360" w:lineRule="auto"/>
        <w:jc w:val="left"/>
        <w:rPr>
          <w:rFonts w:ascii="宋体" w:hAnsi="宋体"/>
          <w:bCs/>
        </w:rPr>
      </w:pPr>
      <w:r>
        <w:rPr>
          <w:rFonts w:ascii="宋体" w:hAnsi="宋体"/>
          <w:bCs/>
        </w:rPr>
        <w:lastRenderedPageBreak/>
        <w:t>2.</w:t>
      </w:r>
      <w:r w:rsidRPr="002D478D">
        <w:rPr>
          <w:rFonts w:ascii="宋体" w:hAnsi="宋体" w:hint="eastAsia"/>
          <w:bCs/>
        </w:rPr>
        <w:t>回顾旧知识</w:t>
      </w:r>
      <w:r w:rsidRPr="002D478D">
        <w:rPr>
          <w:rFonts w:ascii="宋体" w:hAnsi="宋体"/>
          <w:bCs/>
        </w:rPr>
        <w:t>，</w:t>
      </w:r>
      <w:r>
        <w:rPr>
          <w:rFonts w:ascii="宋体" w:hAnsi="宋体" w:hint="eastAsia"/>
          <w:bCs/>
        </w:rPr>
        <w:t>设置</w:t>
      </w:r>
      <w:r>
        <w:rPr>
          <w:rFonts w:ascii="宋体" w:hAnsi="宋体"/>
          <w:bCs/>
        </w:rPr>
        <w:t>悬念，</w:t>
      </w:r>
      <w:r w:rsidRPr="002D478D">
        <w:rPr>
          <w:rFonts w:ascii="宋体" w:hAnsi="宋体"/>
          <w:bCs/>
        </w:rPr>
        <w:t>导入</w:t>
      </w:r>
      <w:r>
        <w:rPr>
          <w:rFonts w:ascii="宋体" w:hAnsi="宋体" w:hint="eastAsia"/>
          <w:bCs/>
        </w:rPr>
        <w:t>本章</w:t>
      </w:r>
      <w:r w:rsidRPr="002D478D">
        <w:rPr>
          <w:rFonts w:ascii="宋体" w:hAnsi="宋体"/>
          <w:bCs/>
        </w:rPr>
        <w:t>学习内容，学习目标；</w:t>
      </w:r>
      <w:r w:rsidRPr="002D478D">
        <w:rPr>
          <w:rFonts w:ascii="宋体" w:hAnsi="宋体" w:hint="eastAsia"/>
          <w:bCs/>
        </w:rPr>
        <w:t>以</w:t>
      </w:r>
      <w:r w:rsidRPr="002D478D">
        <w:rPr>
          <w:rFonts w:ascii="宋体" w:hAnsi="宋体"/>
          <w:bCs/>
        </w:rPr>
        <w:t>多媒体</w:t>
      </w:r>
      <w:r w:rsidRPr="002D478D">
        <w:rPr>
          <w:rFonts w:ascii="宋体" w:hAnsi="宋体" w:hint="eastAsia"/>
          <w:bCs/>
        </w:rPr>
        <w:t>的形式</w:t>
      </w:r>
      <w:r w:rsidRPr="002D478D">
        <w:rPr>
          <w:rFonts w:ascii="宋体" w:hAnsi="宋体"/>
          <w:bCs/>
        </w:rPr>
        <w:t>，</w:t>
      </w:r>
      <w:r w:rsidRPr="002D478D">
        <w:rPr>
          <w:rFonts w:ascii="宋体" w:hAnsi="宋体" w:hint="eastAsia"/>
          <w:bCs/>
        </w:rPr>
        <w:t>利用</w:t>
      </w:r>
      <w:r w:rsidRPr="002D478D">
        <w:rPr>
          <w:rFonts w:ascii="宋体" w:hAnsi="宋体"/>
          <w:bCs/>
        </w:rPr>
        <w:t>生动的图片及具有代表性的视频文件</w:t>
      </w:r>
      <w:r w:rsidRPr="002D478D">
        <w:rPr>
          <w:rFonts w:ascii="宋体" w:hAnsi="宋体" w:hint="eastAsia"/>
          <w:bCs/>
        </w:rPr>
        <w:t>形象地</w:t>
      </w:r>
      <w:r w:rsidRPr="002D478D">
        <w:rPr>
          <w:rFonts w:ascii="宋体" w:hAnsi="宋体"/>
          <w:bCs/>
        </w:rPr>
        <w:t>向学生展示、讲解</w:t>
      </w:r>
      <w:r w:rsidRPr="002D478D">
        <w:rPr>
          <w:rFonts w:ascii="宋体" w:hAnsi="宋体" w:hint="eastAsia"/>
          <w:bCs/>
        </w:rPr>
        <w:t>知识点</w:t>
      </w:r>
      <w:r w:rsidRPr="002D478D">
        <w:rPr>
          <w:rFonts w:ascii="宋体" w:hAnsi="宋体"/>
          <w:bCs/>
        </w:rPr>
        <w:t>，</w:t>
      </w:r>
      <w:r w:rsidRPr="002D478D">
        <w:rPr>
          <w:rFonts w:ascii="宋体" w:hAnsi="宋体" w:hint="eastAsia"/>
          <w:bCs/>
        </w:rPr>
        <w:t>同时</w:t>
      </w:r>
      <w:r w:rsidRPr="002D478D">
        <w:rPr>
          <w:rFonts w:ascii="宋体" w:hAnsi="宋体"/>
          <w:bCs/>
        </w:rPr>
        <w:t>注重与学生的互动，并结合具体的生产案例进行分析</w:t>
      </w:r>
      <w:r w:rsidRPr="002D478D">
        <w:rPr>
          <w:rFonts w:ascii="宋体" w:hAnsi="宋体" w:hint="eastAsia"/>
          <w:bCs/>
        </w:rPr>
        <w:t>，提高</w:t>
      </w:r>
      <w:r w:rsidRPr="002D478D">
        <w:rPr>
          <w:rFonts w:ascii="宋体" w:hAnsi="宋体"/>
          <w:bCs/>
        </w:rPr>
        <w:t>学习兴趣及主动性；</w:t>
      </w:r>
      <w:r>
        <w:rPr>
          <w:rFonts w:ascii="宋体" w:hAnsi="宋体" w:hint="eastAsia"/>
          <w:bCs/>
        </w:rPr>
        <w:t>学习</w:t>
      </w:r>
      <w:r>
        <w:rPr>
          <w:rFonts w:ascii="宋体" w:hAnsi="宋体"/>
          <w:bCs/>
        </w:rPr>
        <w:t>过程中，鼓励学生发散思维，</w:t>
      </w:r>
      <w:r>
        <w:rPr>
          <w:rFonts w:ascii="宋体" w:hAnsi="宋体" w:hint="eastAsia"/>
          <w:bCs/>
        </w:rPr>
        <w:t>并以</w:t>
      </w:r>
      <w:r>
        <w:rPr>
          <w:rFonts w:ascii="宋体" w:hAnsi="宋体"/>
          <w:bCs/>
        </w:rPr>
        <w:t>讨论的形式</w:t>
      </w:r>
      <w:r>
        <w:rPr>
          <w:rFonts w:ascii="宋体" w:hAnsi="宋体" w:hint="eastAsia"/>
          <w:bCs/>
        </w:rPr>
        <w:t>强化学习</w:t>
      </w:r>
      <w:r>
        <w:rPr>
          <w:rFonts w:ascii="宋体" w:hAnsi="宋体"/>
          <w:bCs/>
        </w:rPr>
        <w:t>内容</w:t>
      </w:r>
      <w:r>
        <w:rPr>
          <w:rFonts w:ascii="宋体" w:hAnsi="宋体" w:hint="eastAsia"/>
          <w:bCs/>
        </w:rPr>
        <w:t>。</w:t>
      </w:r>
    </w:p>
    <w:p w14:paraId="2C0341EE" w14:textId="77777777" w:rsidR="00374000" w:rsidRPr="003272F8" w:rsidRDefault="00374000" w:rsidP="00374000">
      <w:pPr>
        <w:widowControl/>
        <w:snapToGrid w:val="0"/>
        <w:spacing w:line="360" w:lineRule="auto"/>
        <w:jc w:val="left"/>
        <w:rPr>
          <w:rFonts w:ascii="宋体" w:hAnsi="宋体"/>
          <w:bCs/>
        </w:rPr>
      </w:pPr>
      <w:r>
        <w:rPr>
          <w:rFonts w:ascii="宋体" w:hAnsi="宋体"/>
          <w:bCs/>
        </w:rPr>
        <w:t>3.</w:t>
      </w:r>
      <w:r w:rsidRPr="002D478D">
        <w:rPr>
          <w:rFonts w:ascii="宋体" w:hAnsi="宋体" w:hint="eastAsia"/>
          <w:bCs/>
        </w:rPr>
        <w:t>最后归纳本章</w:t>
      </w:r>
      <w:r w:rsidRPr="002D478D">
        <w:rPr>
          <w:rFonts w:ascii="宋体" w:hAnsi="宋体"/>
          <w:bCs/>
        </w:rPr>
        <w:t>知识点</w:t>
      </w:r>
      <w:r w:rsidRPr="002D478D">
        <w:rPr>
          <w:rFonts w:ascii="宋体" w:hAnsi="宋体" w:hint="eastAsia"/>
          <w:bCs/>
        </w:rPr>
        <w:t>，强调</w:t>
      </w:r>
      <w:r w:rsidRPr="002D478D">
        <w:rPr>
          <w:rFonts w:ascii="宋体" w:hAnsi="宋体"/>
          <w:bCs/>
        </w:rPr>
        <w:t>重点、难点，并以提问</w:t>
      </w:r>
      <w:r w:rsidRPr="002D478D">
        <w:rPr>
          <w:rFonts w:ascii="宋体" w:hAnsi="宋体" w:hint="eastAsia"/>
          <w:bCs/>
        </w:rPr>
        <w:t>及</w:t>
      </w:r>
      <w:r w:rsidRPr="002D478D">
        <w:rPr>
          <w:rFonts w:ascii="宋体" w:hAnsi="宋体"/>
          <w:bCs/>
        </w:rPr>
        <w:t>回顾</w:t>
      </w:r>
      <w:r w:rsidRPr="002D478D">
        <w:rPr>
          <w:rFonts w:ascii="宋体" w:hAnsi="宋体" w:hint="eastAsia"/>
          <w:bCs/>
        </w:rPr>
        <w:t>的</w:t>
      </w:r>
      <w:r w:rsidRPr="002D478D">
        <w:rPr>
          <w:rFonts w:ascii="宋体" w:hAnsi="宋体"/>
          <w:bCs/>
        </w:rPr>
        <w:t>形式，总结</w:t>
      </w:r>
      <w:r w:rsidRPr="002D478D">
        <w:rPr>
          <w:rFonts w:ascii="宋体" w:hAnsi="宋体" w:hint="eastAsia"/>
          <w:bCs/>
        </w:rPr>
        <w:t>和</w:t>
      </w:r>
      <w:r w:rsidRPr="002D478D">
        <w:rPr>
          <w:rFonts w:ascii="宋体" w:hAnsi="宋体"/>
          <w:bCs/>
        </w:rPr>
        <w:t>检验学习效果。</w:t>
      </w:r>
    </w:p>
    <w:p w14:paraId="140502A8" w14:textId="77777777" w:rsidR="00374000" w:rsidRDefault="00374000" w:rsidP="00374000">
      <w:pPr>
        <w:pStyle w:val="afd"/>
        <w:widowControl/>
        <w:snapToGrid w:val="0"/>
        <w:spacing w:line="360" w:lineRule="auto"/>
        <w:ind w:left="420" w:firstLineChars="750" w:firstLine="1581"/>
        <w:jc w:val="left"/>
        <w:rPr>
          <w:rFonts w:ascii="宋体" w:hAnsi="宋体"/>
          <w:b/>
          <w:bCs/>
        </w:rPr>
      </w:pPr>
    </w:p>
    <w:p w14:paraId="1F43AD8B" w14:textId="77777777" w:rsidR="00374000" w:rsidRDefault="00374000" w:rsidP="00374000">
      <w:pPr>
        <w:pStyle w:val="afd"/>
        <w:widowControl/>
        <w:snapToGrid w:val="0"/>
        <w:spacing w:line="360" w:lineRule="auto"/>
        <w:ind w:left="420" w:firstLineChars="750" w:firstLine="1581"/>
        <w:jc w:val="left"/>
        <w:rPr>
          <w:rFonts w:ascii="宋体" w:hAnsi="宋体"/>
          <w:b/>
          <w:bCs/>
        </w:rPr>
      </w:pPr>
      <w:r w:rsidRPr="0098456C">
        <w:rPr>
          <w:rFonts w:ascii="宋体" w:hAnsi="宋体" w:hint="eastAsia"/>
          <w:b/>
          <w:bCs/>
        </w:rPr>
        <w:t>第</w:t>
      </w:r>
      <w:r>
        <w:rPr>
          <w:rFonts w:ascii="宋体" w:hAnsi="宋体" w:hint="eastAsia"/>
          <w:b/>
          <w:bCs/>
        </w:rPr>
        <w:t>七</w:t>
      </w:r>
      <w:r w:rsidRPr="0098456C">
        <w:rPr>
          <w:rFonts w:ascii="宋体" w:hAnsi="宋体" w:hint="eastAsia"/>
          <w:b/>
          <w:bCs/>
        </w:rPr>
        <w:t>章 无土育苗技术</w:t>
      </w:r>
      <w:r>
        <w:rPr>
          <w:rFonts w:ascii="宋体" w:hAnsi="宋体" w:hint="eastAsia"/>
          <w:bCs/>
        </w:rPr>
        <w:t xml:space="preserve">    </w:t>
      </w:r>
      <w:r>
        <w:rPr>
          <w:rFonts w:ascii="宋体" w:hAnsi="宋体"/>
          <w:bCs/>
        </w:rPr>
        <w:t xml:space="preserve">        </w:t>
      </w:r>
      <w:r>
        <w:rPr>
          <w:rFonts w:ascii="宋体" w:hAnsi="宋体" w:hint="eastAsia"/>
          <w:bCs/>
        </w:rPr>
        <w:t xml:space="preserve"> </w:t>
      </w:r>
      <w:r>
        <w:rPr>
          <w:rFonts w:ascii="宋体" w:hAnsi="宋体"/>
          <w:bCs/>
        </w:rPr>
        <w:t xml:space="preserve">  </w:t>
      </w:r>
      <w:r>
        <w:rPr>
          <w:rFonts w:ascii="宋体" w:hAnsi="宋体" w:hint="eastAsia"/>
          <w:bCs/>
        </w:rPr>
        <w:t xml:space="preserve">               </w:t>
      </w:r>
      <w:r w:rsidRPr="000E0D97">
        <w:rPr>
          <w:rFonts w:ascii="宋体" w:hAnsi="宋体" w:hint="eastAsia"/>
          <w:b/>
          <w:bCs/>
        </w:rPr>
        <w:t>学时数：</w:t>
      </w:r>
      <w:r>
        <w:rPr>
          <w:rFonts w:ascii="宋体" w:hAnsi="宋体"/>
          <w:b/>
          <w:bCs/>
        </w:rPr>
        <w:t>4</w:t>
      </w:r>
    </w:p>
    <w:p w14:paraId="02655E0E" w14:textId="77777777" w:rsidR="00374000" w:rsidRPr="0098456C" w:rsidRDefault="00374000" w:rsidP="00374000">
      <w:pPr>
        <w:widowControl/>
        <w:snapToGrid w:val="0"/>
        <w:spacing w:line="360" w:lineRule="auto"/>
        <w:jc w:val="left"/>
        <w:rPr>
          <w:rFonts w:ascii="宋体" w:hAnsi="宋体"/>
          <w:bCs/>
        </w:rPr>
      </w:pPr>
      <w:r w:rsidRPr="00442A02">
        <w:rPr>
          <w:rFonts w:ascii="宋体" w:hAnsi="宋体" w:hint="eastAsia"/>
          <w:b/>
          <w:bCs/>
        </w:rPr>
        <w:t>教学目的：</w:t>
      </w:r>
      <w:r>
        <w:rPr>
          <w:rFonts w:ascii="宋体" w:hAnsi="宋体" w:hint="eastAsia"/>
          <w:szCs w:val="21"/>
        </w:rPr>
        <w:t>了解</w:t>
      </w:r>
      <w:r w:rsidRPr="00C31C5D">
        <w:rPr>
          <w:rFonts w:ascii="宋体" w:hAnsi="宋体" w:hint="eastAsia"/>
          <w:szCs w:val="21"/>
        </w:rPr>
        <w:t>无</w:t>
      </w:r>
      <w:r>
        <w:rPr>
          <w:rFonts w:ascii="宋体" w:hAnsi="宋体" w:hint="eastAsia"/>
          <w:szCs w:val="21"/>
        </w:rPr>
        <w:t>土育苗的概念、优点、操作与管理技术；掌握其主要方式、</w:t>
      </w:r>
      <w:r w:rsidRPr="00C31C5D">
        <w:rPr>
          <w:rFonts w:ascii="宋体" w:hAnsi="宋体" w:hint="eastAsia"/>
          <w:szCs w:val="21"/>
        </w:rPr>
        <w:t>设施条件</w:t>
      </w:r>
      <w:r>
        <w:rPr>
          <w:rFonts w:ascii="宋体" w:hAnsi="宋体" w:hint="eastAsia"/>
          <w:szCs w:val="21"/>
        </w:rPr>
        <w:t>、养分管理要点</w:t>
      </w:r>
      <w:r w:rsidRPr="00C31C5D">
        <w:rPr>
          <w:rFonts w:ascii="宋体" w:hAnsi="宋体" w:hint="eastAsia"/>
          <w:szCs w:val="21"/>
        </w:rPr>
        <w:t>。</w:t>
      </w:r>
    </w:p>
    <w:p w14:paraId="05D5E72D" w14:textId="77777777" w:rsidR="00374000" w:rsidRDefault="00374000" w:rsidP="00374000">
      <w:pPr>
        <w:widowControl/>
        <w:snapToGrid w:val="0"/>
        <w:spacing w:line="360" w:lineRule="auto"/>
        <w:jc w:val="left"/>
        <w:rPr>
          <w:rFonts w:ascii="宋体" w:hAnsi="宋体"/>
          <w:b/>
          <w:bCs/>
        </w:rPr>
      </w:pPr>
      <w:r w:rsidRPr="006A0F7D">
        <w:rPr>
          <w:rFonts w:ascii="宋体" w:hAnsi="宋体" w:hint="eastAsia"/>
          <w:b/>
          <w:bCs/>
        </w:rPr>
        <w:t>教学重点和难点：</w:t>
      </w:r>
      <w:r w:rsidRPr="00D04CB4">
        <w:rPr>
          <w:rFonts w:ascii="宋体" w:hAnsi="宋体" w:hint="eastAsia"/>
          <w:bCs/>
        </w:rPr>
        <w:t>穴盘</w:t>
      </w:r>
      <w:r w:rsidRPr="00084D7D">
        <w:rPr>
          <w:rFonts w:ascii="宋体" w:hAnsi="宋体" w:hint="eastAsia"/>
          <w:bCs/>
        </w:rPr>
        <w:t>无土育苗的工艺流程及其对基质的要求，基质养分</w:t>
      </w:r>
      <w:r>
        <w:rPr>
          <w:rFonts w:ascii="宋体" w:hAnsi="宋体" w:hint="eastAsia"/>
          <w:bCs/>
        </w:rPr>
        <w:t>、营养液的</w:t>
      </w:r>
      <w:r w:rsidRPr="00084D7D">
        <w:rPr>
          <w:rFonts w:ascii="宋体" w:hAnsi="宋体" w:hint="eastAsia"/>
          <w:bCs/>
        </w:rPr>
        <w:t>管理要点。</w:t>
      </w:r>
    </w:p>
    <w:p w14:paraId="7A1263A4"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Pr>
          <w:rFonts w:ascii="宋体" w:hAnsi="宋体" w:hint="eastAsia"/>
          <w:bCs/>
        </w:rPr>
        <w:t>了解无土育苗的主要设施设备及特点；理解无土育苗的几种主要方式及管理技术要点；掌握无土栽培与土壤育苗相比的优点，水培育苗的关键技术；熟练掌握无土育苗对育苗基质的要求及养分管理技术要点。</w:t>
      </w:r>
    </w:p>
    <w:p w14:paraId="2E85878D" w14:textId="77777777" w:rsidR="00374000" w:rsidRPr="00D04CB4" w:rsidRDefault="00374000" w:rsidP="00A115EF">
      <w:pPr>
        <w:pStyle w:val="afd"/>
        <w:widowControl/>
        <w:numPr>
          <w:ilvl w:val="0"/>
          <w:numId w:val="24"/>
        </w:numPr>
        <w:snapToGrid w:val="0"/>
        <w:spacing w:line="360" w:lineRule="auto"/>
        <w:ind w:firstLineChars="0"/>
        <w:jc w:val="left"/>
        <w:rPr>
          <w:rFonts w:ascii="宋体" w:hAnsi="宋体"/>
          <w:bCs/>
        </w:rPr>
      </w:pPr>
      <w:r w:rsidRPr="00D04CB4">
        <w:rPr>
          <w:rFonts w:ascii="宋体" w:hAnsi="宋体" w:hint="eastAsia"/>
          <w:bCs/>
        </w:rPr>
        <w:t>无土育苗的设施设备</w:t>
      </w:r>
    </w:p>
    <w:p w14:paraId="53ADF607" w14:textId="77777777" w:rsidR="00374000" w:rsidRDefault="00374000" w:rsidP="00A115EF">
      <w:pPr>
        <w:pStyle w:val="afd"/>
        <w:widowControl/>
        <w:numPr>
          <w:ilvl w:val="0"/>
          <w:numId w:val="24"/>
        </w:numPr>
        <w:snapToGrid w:val="0"/>
        <w:spacing w:line="360" w:lineRule="auto"/>
        <w:ind w:firstLineChars="0"/>
        <w:jc w:val="left"/>
        <w:rPr>
          <w:rFonts w:ascii="宋体" w:hAnsi="宋体"/>
          <w:bCs/>
        </w:rPr>
      </w:pPr>
      <w:r>
        <w:rPr>
          <w:rFonts w:ascii="宋体" w:hAnsi="宋体" w:hint="eastAsia"/>
          <w:bCs/>
        </w:rPr>
        <w:t>无土育苗的</w:t>
      </w:r>
      <w:r>
        <w:rPr>
          <w:rFonts w:ascii="宋体" w:hAnsi="宋体"/>
          <w:bCs/>
        </w:rPr>
        <w:t>操作技术及管理</w:t>
      </w:r>
    </w:p>
    <w:p w14:paraId="53C44129" w14:textId="77777777" w:rsidR="00374000" w:rsidRPr="003272F8" w:rsidRDefault="00374000" w:rsidP="00374000">
      <w:pPr>
        <w:widowControl/>
        <w:snapToGrid w:val="0"/>
        <w:spacing w:line="360" w:lineRule="auto"/>
        <w:jc w:val="left"/>
        <w:rPr>
          <w:rFonts w:ascii="宋体" w:hAnsi="宋体"/>
          <w:bCs/>
        </w:rPr>
      </w:pPr>
      <w:r w:rsidRPr="00600EEB">
        <w:rPr>
          <w:rFonts w:ascii="宋体" w:hAnsi="宋体" w:hint="eastAsia"/>
          <w:b/>
          <w:bCs/>
        </w:rPr>
        <w:t>教学组织与实施：</w:t>
      </w:r>
      <w:r>
        <w:rPr>
          <w:rFonts w:ascii="宋体" w:hAnsi="宋体" w:hint="eastAsia"/>
          <w:bCs/>
        </w:rPr>
        <w:t>引出育苗</w:t>
      </w:r>
      <w:r>
        <w:rPr>
          <w:rFonts w:ascii="宋体" w:hAnsi="宋体"/>
          <w:bCs/>
        </w:rPr>
        <w:t>的重要性</w:t>
      </w:r>
      <w:r w:rsidRPr="00600EEB">
        <w:rPr>
          <w:rFonts w:ascii="宋体" w:hAnsi="宋体"/>
          <w:bCs/>
        </w:rPr>
        <w:t>；</w:t>
      </w:r>
      <w:r w:rsidRPr="00600EEB">
        <w:rPr>
          <w:rFonts w:ascii="宋体" w:hAnsi="宋体" w:hint="eastAsia"/>
          <w:bCs/>
        </w:rPr>
        <w:t>以</w:t>
      </w:r>
      <w:r w:rsidRPr="00600EEB">
        <w:rPr>
          <w:rFonts w:ascii="宋体" w:hAnsi="宋体"/>
          <w:bCs/>
        </w:rPr>
        <w:t>多媒体</w:t>
      </w:r>
      <w:r w:rsidRPr="00600EEB">
        <w:rPr>
          <w:rFonts w:ascii="宋体" w:hAnsi="宋体" w:hint="eastAsia"/>
          <w:bCs/>
        </w:rPr>
        <w:t>的形式</w:t>
      </w:r>
      <w:r w:rsidRPr="00600EEB">
        <w:rPr>
          <w:rFonts w:ascii="宋体" w:hAnsi="宋体"/>
          <w:bCs/>
        </w:rPr>
        <w:t>，</w:t>
      </w:r>
      <w:r w:rsidRPr="00600EEB">
        <w:rPr>
          <w:rFonts w:ascii="宋体" w:hAnsi="宋体" w:hint="eastAsia"/>
          <w:bCs/>
        </w:rPr>
        <w:t>利用</w:t>
      </w:r>
      <w:r w:rsidRPr="00600EEB">
        <w:rPr>
          <w:rFonts w:ascii="宋体" w:hAnsi="宋体"/>
          <w:bCs/>
        </w:rPr>
        <w:t>生动的图片及具有代表性的视频文件</w:t>
      </w:r>
      <w:r w:rsidRPr="00600EEB">
        <w:rPr>
          <w:rFonts w:ascii="宋体" w:hAnsi="宋体" w:hint="eastAsia"/>
          <w:bCs/>
        </w:rPr>
        <w:t>形象地</w:t>
      </w:r>
      <w:r w:rsidRPr="00600EEB">
        <w:rPr>
          <w:rFonts w:ascii="宋体" w:hAnsi="宋体"/>
          <w:bCs/>
        </w:rPr>
        <w:t>向学生展示</w:t>
      </w:r>
      <w:r>
        <w:rPr>
          <w:rFonts w:ascii="宋体" w:hAnsi="宋体" w:hint="eastAsia"/>
          <w:bCs/>
        </w:rPr>
        <w:t>产业的</w:t>
      </w:r>
      <w:r>
        <w:rPr>
          <w:rFonts w:ascii="宋体" w:hAnsi="宋体"/>
          <w:bCs/>
        </w:rPr>
        <w:t>发展情况</w:t>
      </w:r>
      <w:r w:rsidRPr="00600EEB">
        <w:rPr>
          <w:rFonts w:ascii="宋体" w:hAnsi="宋体"/>
          <w:bCs/>
        </w:rPr>
        <w:t>，并结合具体的生产案例进行分析</w:t>
      </w:r>
      <w:r w:rsidRPr="00600EEB">
        <w:rPr>
          <w:rFonts w:ascii="宋体" w:hAnsi="宋体" w:hint="eastAsia"/>
          <w:bCs/>
        </w:rPr>
        <w:t>，提高</w:t>
      </w:r>
      <w:r w:rsidRPr="00600EEB">
        <w:rPr>
          <w:rFonts w:ascii="宋体" w:hAnsi="宋体"/>
          <w:bCs/>
        </w:rPr>
        <w:t>学习兴趣及主动性；</w:t>
      </w:r>
      <w:r w:rsidRPr="00600EEB">
        <w:rPr>
          <w:rFonts w:ascii="宋体" w:hAnsi="宋体" w:hint="eastAsia"/>
          <w:bCs/>
        </w:rPr>
        <w:t>最后归纳本章</w:t>
      </w:r>
      <w:r w:rsidRPr="00600EEB">
        <w:rPr>
          <w:rFonts w:ascii="宋体" w:hAnsi="宋体"/>
          <w:bCs/>
        </w:rPr>
        <w:t>知识点</w:t>
      </w:r>
      <w:r w:rsidRPr="00600EEB">
        <w:rPr>
          <w:rFonts w:ascii="宋体" w:hAnsi="宋体" w:hint="eastAsia"/>
          <w:bCs/>
        </w:rPr>
        <w:t>，强调</w:t>
      </w:r>
      <w:r w:rsidRPr="00600EEB">
        <w:rPr>
          <w:rFonts w:ascii="宋体" w:hAnsi="宋体"/>
          <w:bCs/>
        </w:rPr>
        <w:t>重点、难点，并以提问</w:t>
      </w:r>
      <w:r w:rsidRPr="00600EEB">
        <w:rPr>
          <w:rFonts w:ascii="宋体" w:hAnsi="宋体" w:hint="eastAsia"/>
          <w:bCs/>
        </w:rPr>
        <w:t>及</w:t>
      </w:r>
      <w:r w:rsidRPr="00600EEB">
        <w:rPr>
          <w:rFonts w:ascii="宋体" w:hAnsi="宋体"/>
          <w:bCs/>
        </w:rPr>
        <w:t>回顾</w:t>
      </w:r>
      <w:r w:rsidRPr="00600EEB">
        <w:rPr>
          <w:rFonts w:ascii="宋体" w:hAnsi="宋体" w:hint="eastAsia"/>
          <w:bCs/>
        </w:rPr>
        <w:t>的</w:t>
      </w:r>
      <w:r w:rsidRPr="00600EEB">
        <w:rPr>
          <w:rFonts w:ascii="宋体" w:hAnsi="宋体"/>
          <w:bCs/>
        </w:rPr>
        <w:t>形式，总结</w:t>
      </w:r>
      <w:r w:rsidRPr="00600EEB">
        <w:rPr>
          <w:rFonts w:ascii="宋体" w:hAnsi="宋体" w:hint="eastAsia"/>
          <w:bCs/>
        </w:rPr>
        <w:t>和</w:t>
      </w:r>
      <w:r w:rsidRPr="00600EEB">
        <w:rPr>
          <w:rFonts w:ascii="宋体" w:hAnsi="宋体"/>
          <w:bCs/>
        </w:rPr>
        <w:t>检验学习效果。</w:t>
      </w:r>
    </w:p>
    <w:p w14:paraId="2B049AD6" w14:textId="77777777" w:rsidR="00374000" w:rsidRDefault="00374000" w:rsidP="00374000">
      <w:pPr>
        <w:pStyle w:val="afd"/>
        <w:widowControl/>
        <w:snapToGrid w:val="0"/>
        <w:spacing w:line="360" w:lineRule="auto"/>
        <w:ind w:left="420" w:firstLineChars="750" w:firstLine="1581"/>
        <w:jc w:val="left"/>
        <w:rPr>
          <w:rFonts w:ascii="宋体" w:hAnsi="宋体"/>
          <w:b/>
          <w:bCs/>
        </w:rPr>
      </w:pPr>
      <w:r w:rsidRPr="001C1B2F">
        <w:rPr>
          <w:rFonts w:ascii="宋体" w:hAnsi="宋体" w:hint="eastAsia"/>
          <w:b/>
          <w:bCs/>
        </w:rPr>
        <w:t>第</w:t>
      </w:r>
      <w:r>
        <w:rPr>
          <w:rFonts w:ascii="宋体" w:hAnsi="宋体" w:hint="eastAsia"/>
          <w:b/>
          <w:bCs/>
        </w:rPr>
        <w:t>八</w:t>
      </w:r>
      <w:r w:rsidRPr="001C1B2F">
        <w:rPr>
          <w:rFonts w:ascii="宋体" w:hAnsi="宋体" w:hint="eastAsia"/>
          <w:b/>
          <w:bCs/>
        </w:rPr>
        <w:t>章 蔬菜</w:t>
      </w:r>
      <w:r>
        <w:rPr>
          <w:rFonts w:ascii="宋体" w:hAnsi="宋体" w:hint="eastAsia"/>
          <w:b/>
          <w:bCs/>
        </w:rPr>
        <w:t>及</w:t>
      </w:r>
      <w:r>
        <w:rPr>
          <w:rFonts w:ascii="宋体" w:hAnsi="宋体"/>
          <w:b/>
          <w:bCs/>
        </w:rPr>
        <w:t>花卉</w:t>
      </w:r>
      <w:r w:rsidRPr="001C1B2F">
        <w:rPr>
          <w:rFonts w:ascii="宋体" w:hAnsi="宋体" w:hint="eastAsia"/>
          <w:b/>
          <w:bCs/>
        </w:rPr>
        <w:t>无土栽培技术</w:t>
      </w:r>
      <w:r>
        <w:rPr>
          <w:rFonts w:ascii="宋体" w:hAnsi="宋体" w:hint="eastAsia"/>
          <w:bCs/>
        </w:rPr>
        <w:t xml:space="preserve">                </w:t>
      </w:r>
      <w:r w:rsidRPr="000E0D97">
        <w:rPr>
          <w:rFonts w:ascii="宋体" w:hAnsi="宋体" w:hint="eastAsia"/>
          <w:b/>
          <w:bCs/>
        </w:rPr>
        <w:t>学时数：</w:t>
      </w:r>
      <w:r>
        <w:rPr>
          <w:rFonts w:ascii="宋体" w:hAnsi="宋体"/>
          <w:b/>
          <w:bCs/>
        </w:rPr>
        <w:t>4</w:t>
      </w:r>
    </w:p>
    <w:p w14:paraId="6AB4CE85" w14:textId="77777777" w:rsidR="00374000" w:rsidRDefault="00374000" w:rsidP="00374000">
      <w:pPr>
        <w:widowControl/>
        <w:snapToGrid w:val="0"/>
        <w:spacing w:line="360" w:lineRule="auto"/>
        <w:jc w:val="left"/>
        <w:rPr>
          <w:rFonts w:ascii="宋体" w:hAnsi="宋体"/>
          <w:b/>
          <w:bCs/>
        </w:rPr>
      </w:pPr>
      <w:r w:rsidRPr="00442A02">
        <w:rPr>
          <w:rFonts w:ascii="宋体" w:hAnsi="宋体" w:hint="eastAsia"/>
          <w:b/>
          <w:bCs/>
        </w:rPr>
        <w:t>教学目的：</w:t>
      </w:r>
      <w:r w:rsidRPr="001147F3">
        <w:rPr>
          <w:rFonts w:ascii="宋体" w:hAnsi="宋体" w:hint="eastAsia"/>
          <w:bCs/>
        </w:rPr>
        <w:t>了解常见</w:t>
      </w:r>
      <w:r>
        <w:rPr>
          <w:rFonts w:ascii="宋体" w:hAnsi="宋体" w:hint="eastAsia"/>
          <w:bCs/>
        </w:rPr>
        <w:t>果菜类</w:t>
      </w:r>
      <w:r w:rsidRPr="001147F3">
        <w:rPr>
          <w:rFonts w:ascii="宋体" w:hAnsi="宋体" w:hint="eastAsia"/>
          <w:bCs/>
        </w:rPr>
        <w:t>、叶菜类蔬菜的无土栽培形式，掌握</w:t>
      </w:r>
      <w:r>
        <w:rPr>
          <w:rFonts w:ascii="宋体" w:hAnsi="宋体" w:hint="eastAsia"/>
          <w:bCs/>
        </w:rPr>
        <w:t>其</w:t>
      </w:r>
      <w:r w:rsidRPr="001147F3">
        <w:rPr>
          <w:rFonts w:ascii="宋体" w:hAnsi="宋体" w:hint="eastAsia"/>
          <w:bCs/>
        </w:rPr>
        <w:t>无土栽培关键技术。</w:t>
      </w:r>
    </w:p>
    <w:p w14:paraId="3563A8CC" w14:textId="77777777" w:rsidR="00374000" w:rsidRDefault="00374000" w:rsidP="00374000">
      <w:pPr>
        <w:widowControl/>
        <w:snapToGrid w:val="0"/>
        <w:spacing w:line="360" w:lineRule="auto"/>
        <w:jc w:val="left"/>
        <w:rPr>
          <w:rFonts w:ascii="宋体" w:hAnsi="宋体"/>
          <w:b/>
          <w:bCs/>
        </w:rPr>
      </w:pPr>
      <w:r w:rsidRPr="006A0F7D">
        <w:rPr>
          <w:rFonts w:ascii="宋体" w:hAnsi="宋体" w:hint="eastAsia"/>
          <w:b/>
          <w:bCs/>
        </w:rPr>
        <w:t>教学重点和难点：</w:t>
      </w:r>
      <w:r>
        <w:rPr>
          <w:rFonts w:ascii="宋体" w:hAnsi="宋体" w:hint="eastAsia"/>
          <w:bCs/>
        </w:rPr>
        <w:t>无土栽培方式的选择及基质、营养液的管理技术。</w:t>
      </w:r>
    </w:p>
    <w:p w14:paraId="4B4F63D7" w14:textId="77777777" w:rsidR="00374000" w:rsidRPr="00370AA4"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sidRPr="001147F3">
        <w:rPr>
          <w:rFonts w:ascii="宋体" w:hAnsi="宋体" w:hint="eastAsia"/>
          <w:bCs/>
        </w:rPr>
        <w:t>了解常见</w:t>
      </w:r>
      <w:r>
        <w:rPr>
          <w:rFonts w:ascii="宋体" w:hAnsi="宋体" w:hint="eastAsia"/>
          <w:bCs/>
        </w:rPr>
        <w:t>果菜类</w:t>
      </w:r>
      <w:r>
        <w:rPr>
          <w:rFonts w:ascii="宋体" w:hAnsi="宋体"/>
          <w:bCs/>
        </w:rPr>
        <w:t>及叶菜类蔬菜</w:t>
      </w:r>
      <w:r>
        <w:rPr>
          <w:rFonts w:ascii="宋体" w:hAnsi="宋体" w:hint="eastAsia"/>
          <w:bCs/>
        </w:rPr>
        <w:t>无土栽培方式；理解选择不同无土栽培方式的原因；掌握果菜类蔬菜、叶菜类蔬菜的无土栽培关键管理技术；熟练掌握果菜类基质栽培技术、叶菜类水培技术。</w:t>
      </w:r>
    </w:p>
    <w:p w14:paraId="3FB5FEC1" w14:textId="77777777" w:rsidR="00374000" w:rsidRDefault="00374000" w:rsidP="00A115EF">
      <w:pPr>
        <w:pStyle w:val="afd"/>
        <w:widowControl/>
        <w:numPr>
          <w:ilvl w:val="0"/>
          <w:numId w:val="25"/>
        </w:numPr>
        <w:snapToGrid w:val="0"/>
        <w:spacing w:line="360" w:lineRule="auto"/>
        <w:ind w:left="855" w:firstLineChars="0"/>
        <w:jc w:val="left"/>
        <w:rPr>
          <w:rFonts w:ascii="宋体" w:hAnsi="宋体"/>
          <w:bCs/>
        </w:rPr>
      </w:pPr>
      <w:r>
        <w:rPr>
          <w:rFonts w:ascii="宋体" w:hAnsi="宋体" w:hint="eastAsia"/>
          <w:bCs/>
        </w:rPr>
        <w:t>果菜类蔬菜无土栽培技术</w:t>
      </w:r>
    </w:p>
    <w:p w14:paraId="43FB0F2D" w14:textId="77777777" w:rsidR="00374000" w:rsidRPr="0038364C" w:rsidRDefault="00374000" w:rsidP="00A115EF">
      <w:pPr>
        <w:pStyle w:val="afd"/>
        <w:widowControl/>
        <w:numPr>
          <w:ilvl w:val="0"/>
          <w:numId w:val="25"/>
        </w:numPr>
        <w:snapToGrid w:val="0"/>
        <w:spacing w:line="360" w:lineRule="auto"/>
        <w:ind w:left="855" w:firstLineChars="0"/>
        <w:jc w:val="left"/>
        <w:rPr>
          <w:rFonts w:ascii="宋体" w:hAnsi="宋体"/>
          <w:bCs/>
        </w:rPr>
      </w:pPr>
      <w:r>
        <w:rPr>
          <w:rFonts w:ascii="宋体" w:hAnsi="宋体" w:hint="eastAsia"/>
          <w:bCs/>
        </w:rPr>
        <w:t>叶菜类蔬菜</w:t>
      </w:r>
      <w:r w:rsidRPr="0038364C">
        <w:rPr>
          <w:rFonts w:ascii="宋体" w:hAnsi="宋体" w:hint="eastAsia"/>
          <w:bCs/>
        </w:rPr>
        <w:t>无土栽培技术</w:t>
      </w:r>
    </w:p>
    <w:p w14:paraId="1181FBC1" w14:textId="77777777" w:rsidR="00374000" w:rsidRDefault="00374000" w:rsidP="00374000">
      <w:pPr>
        <w:widowControl/>
        <w:snapToGrid w:val="0"/>
        <w:spacing w:line="360" w:lineRule="auto"/>
        <w:jc w:val="left"/>
        <w:rPr>
          <w:rFonts w:ascii="宋体" w:hAnsi="宋体"/>
          <w:b/>
          <w:bCs/>
        </w:rPr>
      </w:pPr>
      <w:r w:rsidRPr="00600EEB">
        <w:rPr>
          <w:rFonts w:ascii="宋体" w:hAnsi="宋体" w:hint="eastAsia"/>
          <w:b/>
          <w:bCs/>
        </w:rPr>
        <w:t>教学组织与实施：</w:t>
      </w:r>
    </w:p>
    <w:p w14:paraId="42A3DCC0"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发布问题“如何</w:t>
      </w:r>
      <w:r>
        <w:rPr>
          <w:rFonts w:ascii="宋体" w:hAnsi="宋体"/>
          <w:bCs/>
        </w:rPr>
        <w:t>进行</w:t>
      </w:r>
      <w:r>
        <w:rPr>
          <w:rFonts w:ascii="宋体" w:hAnsi="宋体" w:hint="eastAsia"/>
          <w:bCs/>
        </w:rPr>
        <w:t>生菜的</w:t>
      </w:r>
      <w:r>
        <w:rPr>
          <w:rFonts w:ascii="宋体" w:hAnsi="宋体"/>
          <w:bCs/>
        </w:rPr>
        <w:t>无土栽培</w:t>
      </w:r>
      <w:r>
        <w:rPr>
          <w:rFonts w:ascii="宋体" w:hAnsi="宋体" w:hint="eastAsia"/>
          <w:bCs/>
        </w:rPr>
        <w:t>”</w:t>
      </w:r>
      <w:r>
        <w:rPr>
          <w:rFonts w:ascii="宋体" w:hAnsi="宋体"/>
          <w:bCs/>
        </w:rPr>
        <w:t>,</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23589016" w14:textId="77777777" w:rsidR="00374000" w:rsidRDefault="00374000" w:rsidP="00374000">
      <w:pPr>
        <w:widowControl/>
        <w:snapToGrid w:val="0"/>
        <w:spacing w:line="360" w:lineRule="auto"/>
        <w:jc w:val="left"/>
        <w:rPr>
          <w:rFonts w:ascii="宋体" w:hAnsi="宋体"/>
          <w:bCs/>
        </w:rPr>
      </w:pPr>
      <w:r>
        <w:rPr>
          <w:rFonts w:ascii="宋体" w:hAnsi="宋体"/>
          <w:bCs/>
        </w:rPr>
        <w:t>2.</w:t>
      </w:r>
      <w:r w:rsidRPr="00600EEB">
        <w:rPr>
          <w:rFonts w:ascii="宋体" w:hAnsi="宋体"/>
          <w:bCs/>
        </w:rPr>
        <w:t>导入</w:t>
      </w:r>
      <w:r w:rsidRPr="00600EEB">
        <w:rPr>
          <w:rFonts w:ascii="宋体" w:hAnsi="宋体" w:hint="eastAsia"/>
          <w:bCs/>
        </w:rPr>
        <w:t>本章</w:t>
      </w:r>
      <w:r w:rsidRPr="00600EEB">
        <w:rPr>
          <w:rFonts w:ascii="宋体" w:hAnsi="宋体"/>
          <w:bCs/>
        </w:rPr>
        <w:t>学习</w:t>
      </w:r>
      <w:r>
        <w:rPr>
          <w:rFonts w:ascii="宋体" w:hAnsi="宋体" w:hint="eastAsia"/>
          <w:bCs/>
        </w:rPr>
        <w:t>的</w:t>
      </w:r>
      <w:r>
        <w:rPr>
          <w:rFonts w:ascii="宋体" w:hAnsi="宋体"/>
          <w:bCs/>
        </w:rPr>
        <w:t>必要性，学习内容</w:t>
      </w:r>
      <w:r>
        <w:rPr>
          <w:rFonts w:ascii="宋体" w:hAnsi="宋体" w:hint="eastAsia"/>
          <w:bCs/>
        </w:rPr>
        <w:t>及</w:t>
      </w:r>
      <w:r w:rsidRPr="00600EEB">
        <w:rPr>
          <w:rFonts w:ascii="宋体" w:hAnsi="宋体"/>
          <w:bCs/>
        </w:rPr>
        <w:t>学习目标；</w:t>
      </w:r>
      <w:r w:rsidRPr="00600EEB">
        <w:rPr>
          <w:rFonts w:ascii="宋体" w:hAnsi="宋体" w:hint="eastAsia"/>
          <w:bCs/>
        </w:rPr>
        <w:t>以</w:t>
      </w:r>
      <w:r w:rsidRPr="00600EEB">
        <w:rPr>
          <w:rFonts w:ascii="宋体" w:hAnsi="宋体"/>
          <w:bCs/>
        </w:rPr>
        <w:t>多媒体</w:t>
      </w:r>
      <w:r w:rsidRPr="00600EEB">
        <w:rPr>
          <w:rFonts w:ascii="宋体" w:hAnsi="宋体" w:hint="eastAsia"/>
          <w:bCs/>
        </w:rPr>
        <w:t>的形式</w:t>
      </w:r>
      <w:r w:rsidRPr="00600EEB">
        <w:rPr>
          <w:rFonts w:ascii="宋体" w:hAnsi="宋体"/>
          <w:bCs/>
        </w:rPr>
        <w:t>，</w:t>
      </w:r>
      <w:r w:rsidRPr="00600EEB">
        <w:rPr>
          <w:rFonts w:ascii="宋体" w:hAnsi="宋体" w:hint="eastAsia"/>
          <w:bCs/>
        </w:rPr>
        <w:t>利用</w:t>
      </w:r>
      <w:r w:rsidRPr="00600EEB">
        <w:rPr>
          <w:rFonts w:ascii="宋体" w:hAnsi="宋体"/>
          <w:bCs/>
        </w:rPr>
        <w:t>生动的图片及具有代表性的视频文件</w:t>
      </w:r>
      <w:r w:rsidRPr="00600EEB">
        <w:rPr>
          <w:rFonts w:ascii="宋体" w:hAnsi="宋体" w:hint="eastAsia"/>
          <w:bCs/>
        </w:rPr>
        <w:t>形象地</w:t>
      </w:r>
      <w:r w:rsidRPr="00600EEB">
        <w:rPr>
          <w:rFonts w:ascii="宋体" w:hAnsi="宋体"/>
          <w:bCs/>
        </w:rPr>
        <w:t>向学生展示、讲解</w:t>
      </w:r>
      <w:r w:rsidRPr="00600EEB">
        <w:rPr>
          <w:rFonts w:ascii="宋体" w:hAnsi="宋体" w:hint="eastAsia"/>
          <w:bCs/>
        </w:rPr>
        <w:t>知识点</w:t>
      </w:r>
      <w:r w:rsidRPr="00600EEB">
        <w:rPr>
          <w:rFonts w:ascii="宋体" w:hAnsi="宋体"/>
          <w:bCs/>
        </w:rPr>
        <w:t>，并结合具体的生产案例进行分析</w:t>
      </w:r>
      <w:r w:rsidRPr="00600EEB">
        <w:rPr>
          <w:rFonts w:ascii="宋体" w:hAnsi="宋体" w:hint="eastAsia"/>
          <w:bCs/>
        </w:rPr>
        <w:t>，提高</w:t>
      </w:r>
      <w:r w:rsidRPr="00600EEB">
        <w:rPr>
          <w:rFonts w:ascii="宋体" w:hAnsi="宋体"/>
          <w:bCs/>
        </w:rPr>
        <w:t>学习兴趣及主动性</w:t>
      </w:r>
      <w:r>
        <w:rPr>
          <w:rFonts w:ascii="宋体" w:hAnsi="宋体" w:hint="eastAsia"/>
          <w:bCs/>
        </w:rPr>
        <w:t>，</w:t>
      </w:r>
      <w:r>
        <w:rPr>
          <w:rFonts w:ascii="宋体" w:hAnsi="宋体"/>
          <w:bCs/>
        </w:rPr>
        <w:t>加强学习效果</w:t>
      </w:r>
      <w:r w:rsidRPr="00600EEB">
        <w:rPr>
          <w:rFonts w:ascii="宋体" w:hAnsi="宋体"/>
          <w:bCs/>
        </w:rPr>
        <w:t>；</w:t>
      </w:r>
      <w:r w:rsidRPr="00600EEB">
        <w:rPr>
          <w:rFonts w:ascii="宋体" w:hAnsi="宋体" w:hint="eastAsia"/>
          <w:bCs/>
        </w:rPr>
        <w:t>学习</w:t>
      </w:r>
      <w:r w:rsidRPr="00600EEB">
        <w:rPr>
          <w:rFonts w:ascii="宋体" w:hAnsi="宋体"/>
          <w:bCs/>
        </w:rPr>
        <w:t>过程中，鼓励学生发散思维，</w:t>
      </w:r>
      <w:r>
        <w:rPr>
          <w:rFonts w:ascii="宋体" w:hAnsi="宋体" w:hint="eastAsia"/>
          <w:bCs/>
        </w:rPr>
        <w:t>提出并</w:t>
      </w:r>
      <w:r>
        <w:rPr>
          <w:rFonts w:ascii="宋体" w:hAnsi="宋体"/>
          <w:bCs/>
        </w:rPr>
        <w:t>解决生产中</w:t>
      </w:r>
      <w:r>
        <w:rPr>
          <w:rFonts w:ascii="宋体" w:hAnsi="宋体" w:hint="eastAsia"/>
          <w:bCs/>
        </w:rPr>
        <w:t>存在</w:t>
      </w:r>
      <w:r>
        <w:rPr>
          <w:rFonts w:ascii="宋体" w:hAnsi="宋体"/>
          <w:bCs/>
        </w:rPr>
        <w:t>的问题</w:t>
      </w:r>
      <w:r>
        <w:rPr>
          <w:rFonts w:ascii="宋体" w:hAnsi="宋体" w:hint="eastAsia"/>
          <w:bCs/>
        </w:rPr>
        <w:t>。</w:t>
      </w:r>
    </w:p>
    <w:p w14:paraId="179C69C5" w14:textId="77777777" w:rsidR="00374000" w:rsidRPr="003272F8" w:rsidRDefault="00374000" w:rsidP="00374000">
      <w:pPr>
        <w:widowControl/>
        <w:snapToGrid w:val="0"/>
        <w:spacing w:line="360" w:lineRule="auto"/>
        <w:jc w:val="left"/>
        <w:rPr>
          <w:rFonts w:ascii="宋体" w:hAnsi="宋体"/>
          <w:bCs/>
        </w:rPr>
      </w:pPr>
      <w:r>
        <w:rPr>
          <w:rFonts w:ascii="宋体" w:hAnsi="宋体"/>
          <w:bCs/>
        </w:rPr>
        <w:t>3.</w:t>
      </w:r>
      <w:r w:rsidRPr="00600EEB">
        <w:rPr>
          <w:rFonts w:ascii="宋体" w:hAnsi="宋体" w:hint="eastAsia"/>
          <w:bCs/>
        </w:rPr>
        <w:t>最后归纳本章</w:t>
      </w:r>
      <w:r w:rsidRPr="00600EEB">
        <w:rPr>
          <w:rFonts w:ascii="宋体" w:hAnsi="宋体"/>
          <w:bCs/>
        </w:rPr>
        <w:t>知识点</w:t>
      </w:r>
      <w:r w:rsidRPr="00600EEB">
        <w:rPr>
          <w:rFonts w:ascii="宋体" w:hAnsi="宋体" w:hint="eastAsia"/>
          <w:bCs/>
        </w:rPr>
        <w:t>，强调</w:t>
      </w:r>
      <w:r w:rsidRPr="00600EEB">
        <w:rPr>
          <w:rFonts w:ascii="宋体" w:hAnsi="宋体"/>
          <w:bCs/>
        </w:rPr>
        <w:t>重点、难点，并以提问</w:t>
      </w:r>
      <w:r w:rsidRPr="00600EEB">
        <w:rPr>
          <w:rFonts w:ascii="宋体" w:hAnsi="宋体" w:hint="eastAsia"/>
          <w:bCs/>
        </w:rPr>
        <w:t>及</w:t>
      </w:r>
      <w:r w:rsidRPr="00600EEB">
        <w:rPr>
          <w:rFonts w:ascii="宋体" w:hAnsi="宋体"/>
          <w:bCs/>
        </w:rPr>
        <w:t>回顾</w:t>
      </w:r>
      <w:r w:rsidRPr="00600EEB">
        <w:rPr>
          <w:rFonts w:ascii="宋体" w:hAnsi="宋体" w:hint="eastAsia"/>
          <w:bCs/>
        </w:rPr>
        <w:t>的</w:t>
      </w:r>
      <w:r w:rsidRPr="00600EEB">
        <w:rPr>
          <w:rFonts w:ascii="宋体" w:hAnsi="宋体"/>
          <w:bCs/>
        </w:rPr>
        <w:t>形式，总结</w:t>
      </w:r>
      <w:r w:rsidRPr="00600EEB">
        <w:rPr>
          <w:rFonts w:ascii="宋体" w:hAnsi="宋体" w:hint="eastAsia"/>
          <w:bCs/>
        </w:rPr>
        <w:t>和</w:t>
      </w:r>
      <w:r w:rsidRPr="00600EEB">
        <w:rPr>
          <w:rFonts w:ascii="宋体" w:hAnsi="宋体"/>
          <w:bCs/>
        </w:rPr>
        <w:t>检验学习效果。</w:t>
      </w:r>
    </w:p>
    <w:p w14:paraId="669272DF" w14:textId="77777777" w:rsidR="00374000" w:rsidRDefault="00374000" w:rsidP="00374000">
      <w:pPr>
        <w:widowControl/>
        <w:snapToGrid w:val="0"/>
        <w:spacing w:line="360" w:lineRule="auto"/>
        <w:ind w:firstLineChars="1399" w:firstLine="2949"/>
        <w:jc w:val="left"/>
        <w:rPr>
          <w:rFonts w:ascii="宋体" w:hAnsi="宋体"/>
          <w:b/>
          <w:bCs/>
        </w:rPr>
      </w:pPr>
    </w:p>
    <w:p w14:paraId="1B4DB9B8" w14:textId="77777777" w:rsidR="00374000" w:rsidRPr="00057BD7" w:rsidRDefault="00374000" w:rsidP="00374000">
      <w:pPr>
        <w:widowControl/>
        <w:snapToGrid w:val="0"/>
        <w:spacing w:line="360" w:lineRule="auto"/>
        <w:ind w:firstLineChars="1399" w:firstLine="2949"/>
        <w:jc w:val="left"/>
        <w:rPr>
          <w:rFonts w:ascii="宋体" w:hAnsi="宋体"/>
          <w:b/>
          <w:bCs/>
        </w:rPr>
      </w:pPr>
      <w:r>
        <w:rPr>
          <w:rFonts w:ascii="宋体" w:hAnsi="宋体" w:hint="eastAsia"/>
          <w:b/>
          <w:bCs/>
        </w:rPr>
        <w:lastRenderedPageBreak/>
        <w:t>第九</w:t>
      </w:r>
      <w:r w:rsidRPr="00057BD7">
        <w:rPr>
          <w:rFonts w:ascii="宋体" w:hAnsi="宋体" w:hint="eastAsia"/>
          <w:b/>
          <w:bCs/>
        </w:rPr>
        <w:t xml:space="preserve">章 无土栽培技术的拓展应用      </w:t>
      </w:r>
      <w:r>
        <w:rPr>
          <w:rFonts w:ascii="宋体" w:hAnsi="宋体"/>
          <w:b/>
          <w:bCs/>
        </w:rPr>
        <w:t xml:space="preserve">  </w:t>
      </w:r>
      <w:r w:rsidRPr="00057BD7">
        <w:rPr>
          <w:rFonts w:ascii="宋体" w:hAnsi="宋体" w:hint="eastAsia"/>
          <w:b/>
          <w:bCs/>
        </w:rPr>
        <w:t xml:space="preserve">           学时数：2</w:t>
      </w:r>
    </w:p>
    <w:p w14:paraId="0FDA801E" w14:textId="77777777" w:rsidR="00374000" w:rsidRDefault="00374000" w:rsidP="00374000">
      <w:pPr>
        <w:widowControl/>
        <w:snapToGrid w:val="0"/>
        <w:spacing w:line="360" w:lineRule="auto"/>
        <w:jc w:val="left"/>
        <w:rPr>
          <w:rFonts w:ascii="宋体" w:hAnsi="宋体"/>
          <w:b/>
          <w:bCs/>
        </w:rPr>
      </w:pPr>
      <w:r w:rsidRPr="00442A02">
        <w:rPr>
          <w:rFonts w:ascii="宋体" w:hAnsi="宋体" w:hint="eastAsia"/>
          <w:b/>
          <w:bCs/>
        </w:rPr>
        <w:t>教学目的：</w:t>
      </w:r>
      <w:r w:rsidRPr="00E635BD">
        <w:rPr>
          <w:rFonts w:ascii="宋体" w:hAnsi="宋体" w:hint="eastAsia"/>
          <w:bCs/>
        </w:rPr>
        <w:t>了解无土栽培技术在新领域中的应用，掌握家庭小型</w:t>
      </w:r>
      <w:r>
        <w:rPr>
          <w:rFonts w:ascii="宋体" w:hAnsi="宋体" w:hint="eastAsia"/>
          <w:bCs/>
        </w:rPr>
        <w:t>装置</w:t>
      </w:r>
      <w:r w:rsidRPr="00E635BD">
        <w:rPr>
          <w:rFonts w:ascii="宋体" w:hAnsi="宋体" w:hint="eastAsia"/>
          <w:bCs/>
        </w:rPr>
        <w:t>、屋顶绿化、观光农业的无土栽培关键技术。</w:t>
      </w:r>
    </w:p>
    <w:p w14:paraId="4C71C22F" w14:textId="77777777" w:rsidR="00374000" w:rsidRDefault="00374000" w:rsidP="00374000">
      <w:pPr>
        <w:widowControl/>
        <w:snapToGrid w:val="0"/>
        <w:spacing w:line="360" w:lineRule="auto"/>
        <w:jc w:val="left"/>
        <w:rPr>
          <w:rFonts w:ascii="宋体" w:hAnsi="宋体"/>
          <w:b/>
          <w:bCs/>
        </w:rPr>
      </w:pPr>
      <w:r w:rsidRPr="006A0F7D">
        <w:rPr>
          <w:rFonts w:ascii="宋体" w:hAnsi="宋体" w:hint="eastAsia"/>
          <w:b/>
          <w:bCs/>
        </w:rPr>
        <w:t>教学重点和难点：</w:t>
      </w:r>
      <w:r>
        <w:rPr>
          <w:rFonts w:ascii="宋体" w:hAnsi="宋体" w:hint="eastAsia"/>
          <w:bCs/>
        </w:rPr>
        <w:t>观光型无土栽培类型及观光型作物树式栽培关键技术，家庭无土栽培的类型及特点。</w:t>
      </w:r>
    </w:p>
    <w:p w14:paraId="43336342" w14:textId="77777777" w:rsidR="00374000" w:rsidRDefault="00374000" w:rsidP="00374000">
      <w:pPr>
        <w:widowControl/>
        <w:snapToGrid w:val="0"/>
        <w:spacing w:line="360" w:lineRule="auto"/>
        <w:jc w:val="left"/>
        <w:rPr>
          <w:rFonts w:ascii="宋体" w:hAnsi="宋体"/>
          <w:bCs/>
        </w:rPr>
      </w:pPr>
      <w:r w:rsidRPr="006A0F7D">
        <w:rPr>
          <w:rFonts w:ascii="宋体" w:hAnsi="宋体" w:hint="eastAsia"/>
          <w:b/>
          <w:bCs/>
        </w:rPr>
        <w:t>主要教学内容及要求：</w:t>
      </w:r>
      <w:r w:rsidRPr="00F04B7E">
        <w:rPr>
          <w:rFonts w:ascii="宋体" w:hAnsi="宋体" w:hint="eastAsia"/>
          <w:bCs/>
        </w:rPr>
        <w:t>了解屋顶绿化</w:t>
      </w:r>
      <w:r>
        <w:rPr>
          <w:rFonts w:ascii="宋体" w:hAnsi="宋体" w:hint="eastAsia"/>
          <w:bCs/>
        </w:rPr>
        <w:t>对建筑的要求及适宜屋顶绿化的无土栽培方式，植物工厂栽培系统的特点及存在的问题和发展的方向；理解观光型雾培技术、立柱栽培技术、管道栽培技术；掌握蔬菜树式栽培关键技术；熟练掌握家庭无土栽培的类型及特点。</w:t>
      </w:r>
    </w:p>
    <w:p w14:paraId="2573C12E" w14:textId="77777777" w:rsidR="00374000" w:rsidRPr="005D270D" w:rsidRDefault="00374000" w:rsidP="00A115EF">
      <w:pPr>
        <w:pStyle w:val="afd"/>
        <w:widowControl/>
        <w:numPr>
          <w:ilvl w:val="0"/>
          <w:numId w:val="26"/>
        </w:numPr>
        <w:snapToGrid w:val="0"/>
        <w:spacing w:line="360" w:lineRule="auto"/>
        <w:ind w:left="780" w:firstLineChars="0"/>
        <w:jc w:val="left"/>
        <w:rPr>
          <w:rFonts w:ascii="宋体" w:hAnsi="宋体"/>
          <w:bCs/>
        </w:rPr>
      </w:pPr>
      <w:r w:rsidRPr="005D270D">
        <w:rPr>
          <w:rFonts w:ascii="宋体" w:hAnsi="宋体" w:hint="eastAsia"/>
          <w:bCs/>
        </w:rPr>
        <w:t>家庭小型无土栽培技术</w:t>
      </w:r>
    </w:p>
    <w:p w14:paraId="64C6D242" w14:textId="77777777" w:rsidR="00374000" w:rsidRPr="005D270D" w:rsidRDefault="00374000" w:rsidP="00A115EF">
      <w:pPr>
        <w:pStyle w:val="afd"/>
        <w:widowControl/>
        <w:numPr>
          <w:ilvl w:val="0"/>
          <w:numId w:val="26"/>
        </w:numPr>
        <w:snapToGrid w:val="0"/>
        <w:spacing w:line="360" w:lineRule="auto"/>
        <w:ind w:left="780" w:firstLineChars="0"/>
        <w:jc w:val="left"/>
        <w:rPr>
          <w:rFonts w:ascii="宋体" w:hAnsi="宋体"/>
          <w:bCs/>
        </w:rPr>
      </w:pPr>
      <w:r w:rsidRPr="005D270D">
        <w:rPr>
          <w:rFonts w:ascii="宋体" w:hAnsi="宋体" w:hint="eastAsia"/>
          <w:bCs/>
        </w:rPr>
        <w:t>无土栽培技术在屋顶绿化中的应用</w:t>
      </w:r>
    </w:p>
    <w:p w14:paraId="3A7D11EE" w14:textId="77777777" w:rsidR="00374000" w:rsidRPr="005D270D" w:rsidRDefault="00374000" w:rsidP="00A115EF">
      <w:pPr>
        <w:pStyle w:val="afd"/>
        <w:widowControl/>
        <w:numPr>
          <w:ilvl w:val="0"/>
          <w:numId w:val="26"/>
        </w:numPr>
        <w:snapToGrid w:val="0"/>
        <w:spacing w:line="360" w:lineRule="auto"/>
        <w:ind w:left="780" w:firstLineChars="0"/>
        <w:jc w:val="left"/>
        <w:rPr>
          <w:rFonts w:ascii="宋体" w:hAnsi="宋体"/>
          <w:bCs/>
        </w:rPr>
      </w:pPr>
      <w:r w:rsidRPr="005D270D">
        <w:rPr>
          <w:rFonts w:ascii="宋体" w:hAnsi="宋体" w:hint="eastAsia"/>
          <w:bCs/>
        </w:rPr>
        <w:t>观光型无土栽培技术</w:t>
      </w:r>
    </w:p>
    <w:p w14:paraId="6B25BD23" w14:textId="77777777" w:rsidR="00374000" w:rsidRDefault="00374000" w:rsidP="00374000">
      <w:pPr>
        <w:widowControl/>
        <w:snapToGrid w:val="0"/>
        <w:spacing w:line="360" w:lineRule="auto"/>
        <w:jc w:val="left"/>
        <w:rPr>
          <w:rFonts w:ascii="宋体" w:hAnsi="宋体"/>
          <w:b/>
          <w:bCs/>
        </w:rPr>
      </w:pPr>
      <w:r w:rsidRPr="00600EEB">
        <w:rPr>
          <w:rFonts w:ascii="宋体" w:hAnsi="宋体" w:hint="eastAsia"/>
          <w:b/>
          <w:bCs/>
        </w:rPr>
        <w:t>教学组织与实施：</w:t>
      </w:r>
    </w:p>
    <w:p w14:paraId="21D5D437" w14:textId="77777777" w:rsidR="00374000" w:rsidRDefault="00374000" w:rsidP="00374000">
      <w:pPr>
        <w:widowControl/>
        <w:snapToGrid w:val="0"/>
        <w:spacing w:line="360" w:lineRule="auto"/>
        <w:rPr>
          <w:rFonts w:ascii="宋体" w:hAnsi="宋体"/>
          <w:bCs/>
        </w:rPr>
      </w:pPr>
      <w:r w:rsidRPr="00965B57">
        <w:rPr>
          <w:rFonts w:ascii="宋体" w:hAnsi="宋体" w:hint="eastAsia"/>
          <w:bCs/>
        </w:rPr>
        <w:t>1.课前</w:t>
      </w:r>
      <w:r>
        <w:rPr>
          <w:rFonts w:ascii="宋体" w:hAnsi="宋体" w:hint="eastAsia"/>
          <w:bCs/>
        </w:rPr>
        <w:t>在超星</w:t>
      </w:r>
      <w:r>
        <w:rPr>
          <w:rFonts w:ascii="宋体" w:hAnsi="宋体"/>
          <w:bCs/>
        </w:rPr>
        <w:t>学习通上</w:t>
      </w:r>
      <w:r>
        <w:rPr>
          <w:rFonts w:ascii="宋体" w:hAnsi="宋体" w:hint="eastAsia"/>
          <w:bCs/>
        </w:rPr>
        <w:t>发布问题“你发现</w:t>
      </w:r>
      <w:r>
        <w:rPr>
          <w:rFonts w:ascii="宋体" w:hAnsi="宋体"/>
          <w:bCs/>
        </w:rPr>
        <w:t>了哪些新型无土栽培形式</w:t>
      </w:r>
      <w:r>
        <w:rPr>
          <w:rFonts w:ascii="宋体" w:hAnsi="宋体" w:hint="eastAsia"/>
          <w:bCs/>
        </w:rPr>
        <w:t>?</w:t>
      </w:r>
      <w:r>
        <w:rPr>
          <w:rFonts w:ascii="宋体" w:hAnsi="宋体"/>
          <w:bCs/>
        </w:rPr>
        <w:t>”,</w:t>
      </w:r>
      <w:r>
        <w:rPr>
          <w:rFonts w:ascii="宋体" w:hAnsi="宋体" w:hint="eastAsia"/>
          <w:bCs/>
        </w:rPr>
        <w:t>并</w:t>
      </w:r>
      <w:r>
        <w:rPr>
          <w:rFonts w:ascii="宋体" w:hAnsi="宋体"/>
          <w:bCs/>
        </w:rPr>
        <w:t>上传课件等学习资料，</w:t>
      </w:r>
      <w:r>
        <w:rPr>
          <w:rFonts w:ascii="宋体" w:hAnsi="宋体" w:hint="eastAsia"/>
          <w:bCs/>
        </w:rPr>
        <w:t>引导</w:t>
      </w:r>
      <w:r>
        <w:rPr>
          <w:rFonts w:ascii="宋体" w:hAnsi="宋体"/>
          <w:bCs/>
        </w:rPr>
        <w:t>学生进行自学。</w:t>
      </w:r>
    </w:p>
    <w:p w14:paraId="233AF60F" w14:textId="77777777" w:rsidR="00374000" w:rsidRDefault="00374000" w:rsidP="00374000">
      <w:pPr>
        <w:widowControl/>
        <w:snapToGrid w:val="0"/>
        <w:spacing w:line="360" w:lineRule="auto"/>
        <w:jc w:val="left"/>
        <w:rPr>
          <w:rFonts w:ascii="宋体" w:hAnsi="宋体"/>
          <w:bCs/>
        </w:rPr>
      </w:pPr>
      <w:r>
        <w:rPr>
          <w:rFonts w:ascii="宋体" w:hAnsi="宋体" w:hint="eastAsia"/>
          <w:bCs/>
        </w:rPr>
        <w:t>2.</w:t>
      </w:r>
      <w:r w:rsidRPr="003272F8">
        <w:rPr>
          <w:rFonts w:ascii="宋体" w:hAnsi="宋体" w:hint="eastAsia"/>
          <w:bCs/>
        </w:rPr>
        <w:t>以</w:t>
      </w:r>
      <w:r w:rsidRPr="003272F8">
        <w:rPr>
          <w:rFonts w:ascii="宋体" w:hAnsi="宋体"/>
          <w:bCs/>
        </w:rPr>
        <w:t>图片、视频的形式</w:t>
      </w:r>
      <w:r w:rsidRPr="00600EEB">
        <w:rPr>
          <w:rFonts w:ascii="宋体" w:hAnsi="宋体"/>
          <w:bCs/>
        </w:rPr>
        <w:t>导入</w:t>
      </w:r>
      <w:r w:rsidRPr="00600EEB">
        <w:rPr>
          <w:rFonts w:ascii="宋体" w:hAnsi="宋体" w:hint="eastAsia"/>
          <w:bCs/>
        </w:rPr>
        <w:t>本章</w:t>
      </w:r>
      <w:r>
        <w:rPr>
          <w:rFonts w:ascii="宋体" w:hAnsi="宋体" w:hint="eastAsia"/>
          <w:bCs/>
        </w:rPr>
        <w:t>的</w:t>
      </w:r>
      <w:r w:rsidRPr="00600EEB">
        <w:rPr>
          <w:rFonts w:ascii="宋体" w:hAnsi="宋体"/>
          <w:bCs/>
        </w:rPr>
        <w:t>学习内容</w:t>
      </w:r>
      <w:r w:rsidRPr="00600EEB">
        <w:rPr>
          <w:rFonts w:ascii="宋体" w:hAnsi="宋体" w:hint="eastAsia"/>
          <w:bCs/>
        </w:rPr>
        <w:t>及</w:t>
      </w:r>
      <w:r w:rsidRPr="00600EEB">
        <w:rPr>
          <w:rFonts w:ascii="宋体" w:hAnsi="宋体"/>
          <w:bCs/>
        </w:rPr>
        <w:t>学习目标；</w:t>
      </w:r>
      <w:r w:rsidRPr="00600EEB">
        <w:rPr>
          <w:rFonts w:ascii="宋体" w:hAnsi="宋体" w:hint="eastAsia"/>
          <w:bCs/>
        </w:rPr>
        <w:t>以</w:t>
      </w:r>
      <w:r w:rsidRPr="00600EEB">
        <w:rPr>
          <w:rFonts w:ascii="宋体" w:hAnsi="宋体"/>
          <w:bCs/>
        </w:rPr>
        <w:t>多媒体</w:t>
      </w:r>
      <w:r w:rsidRPr="00600EEB">
        <w:rPr>
          <w:rFonts w:ascii="宋体" w:hAnsi="宋体" w:hint="eastAsia"/>
          <w:bCs/>
        </w:rPr>
        <w:t>的形式</w:t>
      </w:r>
      <w:r w:rsidRPr="00600EEB">
        <w:rPr>
          <w:rFonts w:ascii="宋体" w:hAnsi="宋体"/>
          <w:bCs/>
        </w:rPr>
        <w:t>，</w:t>
      </w:r>
      <w:r w:rsidRPr="00600EEB">
        <w:rPr>
          <w:rFonts w:ascii="宋体" w:hAnsi="宋体" w:hint="eastAsia"/>
          <w:bCs/>
        </w:rPr>
        <w:t>利用</w:t>
      </w:r>
      <w:r w:rsidRPr="00600EEB">
        <w:rPr>
          <w:rFonts w:ascii="宋体" w:hAnsi="宋体"/>
          <w:bCs/>
        </w:rPr>
        <w:t>生动的图片及具有代表性的视频文件</w:t>
      </w:r>
      <w:r w:rsidRPr="00600EEB">
        <w:rPr>
          <w:rFonts w:ascii="宋体" w:hAnsi="宋体" w:hint="eastAsia"/>
          <w:bCs/>
        </w:rPr>
        <w:t>形象地</w:t>
      </w:r>
      <w:r w:rsidRPr="00600EEB">
        <w:rPr>
          <w:rFonts w:ascii="宋体" w:hAnsi="宋体"/>
          <w:bCs/>
        </w:rPr>
        <w:t>向学生展示</w:t>
      </w:r>
      <w:r>
        <w:rPr>
          <w:rFonts w:ascii="宋体" w:hAnsi="宋体" w:hint="eastAsia"/>
          <w:bCs/>
        </w:rPr>
        <w:t>无土栽培</w:t>
      </w:r>
      <w:r>
        <w:rPr>
          <w:rFonts w:ascii="宋体" w:hAnsi="宋体"/>
          <w:bCs/>
        </w:rPr>
        <w:t>的新领域</w:t>
      </w:r>
      <w:r w:rsidRPr="00600EEB">
        <w:rPr>
          <w:rFonts w:ascii="宋体" w:hAnsi="宋体"/>
          <w:bCs/>
        </w:rPr>
        <w:t>，并结合具体的生产案例进行分析</w:t>
      </w:r>
      <w:r w:rsidRPr="00600EEB">
        <w:rPr>
          <w:rFonts w:ascii="宋体" w:hAnsi="宋体" w:hint="eastAsia"/>
          <w:bCs/>
        </w:rPr>
        <w:t>，提高</w:t>
      </w:r>
      <w:r w:rsidRPr="00600EEB">
        <w:rPr>
          <w:rFonts w:ascii="宋体" w:hAnsi="宋体"/>
          <w:bCs/>
        </w:rPr>
        <w:t>学习兴趣及主动性</w:t>
      </w:r>
      <w:r w:rsidRPr="00600EEB">
        <w:rPr>
          <w:rFonts w:ascii="宋体" w:hAnsi="宋体" w:hint="eastAsia"/>
          <w:bCs/>
        </w:rPr>
        <w:t>，</w:t>
      </w:r>
      <w:r w:rsidRPr="00600EEB">
        <w:rPr>
          <w:rFonts w:ascii="宋体" w:hAnsi="宋体"/>
          <w:bCs/>
        </w:rPr>
        <w:t>加强学习效果；</w:t>
      </w:r>
      <w:r w:rsidRPr="00600EEB">
        <w:rPr>
          <w:rFonts w:ascii="宋体" w:hAnsi="宋体" w:hint="eastAsia"/>
          <w:bCs/>
        </w:rPr>
        <w:t>学习</w:t>
      </w:r>
      <w:r w:rsidRPr="00600EEB">
        <w:rPr>
          <w:rFonts w:ascii="宋体" w:hAnsi="宋体"/>
          <w:bCs/>
        </w:rPr>
        <w:t>过程中，鼓励学生发散思维，</w:t>
      </w:r>
      <w:r w:rsidRPr="00600EEB">
        <w:rPr>
          <w:rFonts w:ascii="宋体" w:hAnsi="宋体" w:hint="eastAsia"/>
          <w:bCs/>
        </w:rPr>
        <w:t>提出并</w:t>
      </w:r>
      <w:r w:rsidRPr="00600EEB">
        <w:rPr>
          <w:rFonts w:ascii="宋体" w:hAnsi="宋体"/>
          <w:bCs/>
        </w:rPr>
        <w:t>解决生产中</w:t>
      </w:r>
      <w:r w:rsidRPr="00600EEB">
        <w:rPr>
          <w:rFonts w:ascii="宋体" w:hAnsi="宋体" w:hint="eastAsia"/>
          <w:bCs/>
        </w:rPr>
        <w:t>存在</w:t>
      </w:r>
      <w:r>
        <w:rPr>
          <w:rFonts w:ascii="宋体" w:hAnsi="宋体"/>
          <w:bCs/>
        </w:rPr>
        <w:t>的问题.</w:t>
      </w:r>
    </w:p>
    <w:p w14:paraId="27FE5A25" w14:textId="77777777" w:rsidR="00374000" w:rsidRDefault="00374000" w:rsidP="00374000">
      <w:pPr>
        <w:widowControl/>
        <w:snapToGrid w:val="0"/>
        <w:spacing w:line="360" w:lineRule="auto"/>
        <w:jc w:val="left"/>
        <w:rPr>
          <w:rFonts w:ascii="宋体" w:hAnsi="宋体"/>
          <w:bCs/>
        </w:rPr>
      </w:pPr>
      <w:r>
        <w:rPr>
          <w:rFonts w:ascii="宋体" w:hAnsi="宋体"/>
          <w:bCs/>
        </w:rPr>
        <w:t>3.</w:t>
      </w:r>
      <w:r w:rsidRPr="00600EEB">
        <w:rPr>
          <w:rFonts w:ascii="宋体" w:hAnsi="宋体" w:hint="eastAsia"/>
          <w:bCs/>
        </w:rPr>
        <w:t>最后归纳本章</w:t>
      </w:r>
      <w:r w:rsidRPr="00600EEB">
        <w:rPr>
          <w:rFonts w:ascii="宋体" w:hAnsi="宋体"/>
          <w:bCs/>
        </w:rPr>
        <w:t>知识点</w:t>
      </w:r>
      <w:r w:rsidRPr="00600EEB">
        <w:rPr>
          <w:rFonts w:ascii="宋体" w:hAnsi="宋体" w:hint="eastAsia"/>
          <w:bCs/>
        </w:rPr>
        <w:t>，强调</w:t>
      </w:r>
      <w:r w:rsidRPr="00600EEB">
        <w:rPr>
          <w:rFonts w:ascii="宋体" w:hAnsi="宋体"/>
          <w:bCs/>
        </w:rPr>
        <w:t>重点、难点，并以提问</w:t>
      </w:r>
      <w:r w:rsidRPr="00600EEB">
        <w:rPr>
          <w:rFonts w:ascii="宋体" w:hAnsi="宋体" w:hint="eastAsia"/>
          <w:bCs/>
        </w:rPr>
        <w:t>及</w:t>
      </w:r>
      <w:r w:rsidRPr="00600EEB">
        <w:rPr>
          <w:rFonts w:ascii="宋体" w:hAnsi="宋体"/>
          <w:bCs/>
        </w:rPr>
        <w:t>回顾</w:t>
      </w:r>
      <w:r w:rsidRPr="00600EEB">
        <w:rPr>
          <w:rFonts w:ascii="宋体" w:hAnsi="宋体" w:hint="eastAsia"/>
          <w:bCs/>
        </w:rPr>
        <w:t>的</w:t>
      </w:r>
      <w:r w:rsidRPr="00600EEB">
        <w:rPr>
          <w:rFonts w:ascii="宋体" w:hAnsi="宋体"/>
          <w:bCs/>
        </w:rPr>
        <w:t>形式，总结</w:t>
      </w:r>
      <w:r w:rsidRPr="00600EEB">
        <w:rPr>
          <w:rFonts w:ascii="宋体" w:hAnsi="宋体" w:hint="eastAsia"/>
          <w:bCs/>
        </w:rPr>
        <w:t>和</w:t>
      </w:r>
      <w:r w:rsidRPr="00600EEB">
        <w:rPr>
          <w:rFonts w:ascii="宋体" w:hAnsi="宋体"/>
          <w:bCs/>
        </w:rPr>
        <w:t>检验学习效果。</w:t>
      </w:r>
    </w:p>
    <w:p w14:paraId="63D4F5DC" w14:textId="77777777" w:rsidR="00374000" w:rsidRDefault="00374000" w:rsidP="00374000">
      <w:pPr>
        <w:snapToGrid w:val="0"/>
        <w:spacing w:line="360" w:lineRule="auto"/>
        <w:rPr>
          <w:rFonts w:ascii="宋体" w:hAnsi="宋体"/>
          <w:b/>
          <w:szCs w:val="21"/>
        </w:rPr>
      </w:pPr>
      <w:r>
        <w:rPr>
          <w:rFonts w:ascii="宋体" w:hAnsi="宋体" w:hint="eastAsia"/>
          <w:b/>
          <w:szCs w:val="21"/>
        </w:rPr>
        <w:t>五</w:t>
      </w:r>
      <w:r>
        <w:rPr>
          <w:rFonts w:ascii="宋体" w:hAnsi="宋体"/>
          <w:b/>
          <w:szCs w:val="21"/>
        </w:rPr>
        <w:t>、</w:t>
      </w:r>
      <w:r>
        <w:rPr>
          <w:rFonts w:ascii="宋体" w:hAnsi="宋体" w:hint="eastAsia"/>
          <w:b/>
          <w:szCs w:val="21"/>
        </w:rPr>
        <w:t>课程思政</w:t>
      </w:r>
    </w:p>
    <w:p w14:paraId="7BE8F081" w14:textId="77777777" w:rsidR="00374000" w:rsidRPr="006F4244" w:rsidRDefault="00374000" w:rsidP="00374000">
      <w:pPr>
        <w:spacing w:beforeLines="50" w:before="156" w:line="360" w:lineRule="auto"/>
        <w:ind w:firstLineChars="1000" w:firstLine="2100"/>
        <w:rPr>
          <w:szCs w:val="21"/>
        </w:rPr>
      </w:pPr>
      <w:r w:rsidRPr="006F4244">
        <w:rPr>
          <w:szCs w:val="21"/>
        </w:rPr>
        <w:t>表</w:t>
      </w:r>
      <w:r w:rsidRPr="006F4244">
        <w:rPr>
          <w:szCs w:val="21"/>
        </w:rPr>
        <w:t xml:space="preserve"> </w:t>
      </w:r>
      <w:r w:rsidRPr="006F4244">
        <w:rPr>
          <w:szCs w:val="21"/>
        </w:rPr>
        <w:t>无土栽培课程思政融入理论教学内容一览表</w:t>
      </w:r>
    </w:p>
    <w:tbl>
      <w:tblPr>
        <w:tblStyle w:val="af6"/>
        <w:tblW w:w="0" w:type="auto"/>
        <w:jc w:val="center"/>
        <w:tblLayout w:type="fixed"/>
        <w:tblLook w:val="04A0" w:firstRow="1" w:lastRow="0" w:firstColumn="1" w:lastColumn="0" w:noHBand="0" w:noVBand="1"/>
      </w:tblPr>
      <w:tblGrid>
        <w:gridCol w:w="1139"/>
        <w:gridCol w:w="2126"/>
        <w:gridCol w:w="4227"/>
      </w:tblGrid>
      <w:tr w:rsidR="00374000" w:rsidRPr="00067BC7" w14:paraId="2DC93C48" w14:textId="77777777" w:rsidTr="00C91173">
        <w:trPr>
          <w:trHeight w:val="531"/>
          <w:jc w:val="center"/>
        </w:trPr>
        <w:tc>
          <w:tcPr>
            <w:tcW w:w="1139" w:type="dxa"/>
            <w:vAlign w:val="center"/>
          </w:tcPr>
          <w:p w14:paraId="325F812C"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标题</w:t>
            </w:r>
          </w:p>
        </w:tc>
        <w:tc>
          <w:tcPr>
            <w:tcW w:w="2126" w:type="dxa"/>
            <w:vAlign w:val="center"/>
          </w:tcPr>
          <w:p w14:paraId="14EB35A7"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课程内容</w:t>
            </w:r>
          </w:p>
        </w:tc>
        <w:tc>
          <w:tcPr>
            <w:tcW w:w="4227" w:type="dxa"/>
            <w:vAlign w:val="center"/>
          </w:tcPr>
          <w:p w14:paraId="1E75F1C8"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思政内容</w:t>
            </w:r>
          </w:p>
        </w:tc>
      </w:tr>
      <w:tr w:rsidR="00374000" w:rsidRPr="00067BC7" w14:paraId="733BF6F3" w14:textId="77777777" w:rsidTr="00C91173">
        <w:trPr>
          <w:trHeight w:val="1089"/>
          <w:jc w:val="center"/>
        </w:trPr>
        <w:tc>
          <w:tcPr>
            <w:tcW w:w="1139" w:type="dxa"/>
            <w:vAlign w:val="center"/>
          </w:tcPr>
          <w:p w14:paraId="1C1A5998"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绪论</w:t>
            </w:r>
            <w:r w:rsidRPr="00067BC7">
              <w:rPr>
                <w:sz w:val="18"/>
                <w:szCs w:val="18"/>
              </w:rPr>
              <w:t xml:space="preserve"> </w:t>
            </w:r>
          </w:p>
        </w:tc>
        <w:tc>
          <w:tcPr>
            <w:tcW w:w="2126" w:type="dxa"/>
            <w:vAlign w:val="center"/>
          </w:tcPr>
          <w:p w14:paraId="39EBE1FA"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无土栽培发展历史及现状</w:t>
            </w:r>
          </w:p>
        </w:tc>
        <w:tc>
          <w:tcPr>
            <w:tcW w:w="4227" w:type="dxa"/>
            <w:vAlign w:val="center"/>
          </w:tcPr>
          <w:p w14:paraId="294911C8" w14:textId="77777777" w:rsidR="00374000" w:rsidRPr="00067BC7" w:rsidRDefault="00374000" w:rsidP="00C91173">
            <w:pPr>
              <w:spacing w:beforeLines="50" w:before="156" w:line="360" w:lineRule="auto"/>
              <w:ind w:firstLine="360"/>
              <w:rPr>
                <w:sz w:val="18"/>
                <w:szCs w:val="18"/>
              </w:rPr>
            </w:pPr>
            <w:r w:rsidRPr="00067BC7">
              <w:rPr>
                <w:sz w:val="18"/>
                <w:szCs w:val="18"/>
              </w:rPr>
              <w:t>为学生传输我国现代农业的迅速发展，使他们为日益强大的祖国、逐渐增强的科技力量和劳动人民智慧感到自豪。</w:t>
            </w:r>
          </w:p>
        </w:tc>
      </w:tr>
      <w:tr w:rsidR="00374000" w:rsidRPr="00067BC7" w14:paraId="7BDC1650" w14:textId="77777777" w:rsidTr="00C91173">
        <w:trPr>
          <w:trHeight w:val="531"/>
          <w:jc w:val="center"/>
        </w:trPr>
        <w:tc>
          <w:tcPr>
            <w:tcW w:w="1139" w:type="dxa"/>
            <w:vAlign w:val="center"/>
          </w:tcPr>
          <w:p w14:paraId="5E7DCB8D"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无土栽培的营养液</w:t>
            </w:r>
          </w:p>
        </w:tc>
        <w:tc>
          <w:tcPr>
            <w:tcW w:w="2126" w:type="dxa"/>
            <w:vAlign w:val="center"/>
          </w:tcPr>
          <w:p w14:paraId="1AF6C30E"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了解营养液的原料及性质、掌握营养液的配制方法及管理技术</w:t>
            </w:r>
          </w:p>
        </w:tc>
        <w:tc>
          <w:tcPr>
            <w:tcW w:w="4227" w:type="dxa"/>
            <w:vAlign w:val="center"/>
          </w:tcPr>
          <w:p w14:paraId="07A5B9F8" w14:textId="77777777" w:rsidR="00374000" w:rsidRPr="00067BC7" w:rsidRDefault="00374000" w:rsidP="00C91173">
            <w:pPr>
              <w:spacing w:beforeLines="50" w:before="156" w:line="360" w:lineRule="auto"/>
              <w:ind w:firstLine="360"/>
              <w:rPr>
                <w:sz w:val="18"/>
                <w:szCs w:val="18"/>
              </w:rPr>
            </w:pPr>
            <w:r w:rsidRPr="00067BC7">
              <w:rPr>
                <w:sz w:val="18"/>
                <w:szCs w:val="18"/>
              </w:rPr>
              <w:t>栽培一棵蔬菜，就像培育一个人一样，需要充足的营养长身体，又需要外界助力进行抗性锻炼，待成才后，将其所有奉献给社会。</w:t>
            </w:r>
          </w:p>
        </w:tc>
      </w:tr>
      <w:tr w:rsidR="00374000" w:rsidRPr="00067BC7" w14:paraId="61224657" w14:textId="77777777" w:rsidTr="00C91173">
        <w:trPr>
          <w:trHeight w:val="542"/>
          <w:jc w:val="center"/>
        </w:trPr>
        <w:tc>
          <w:tcPr>
            <w:tcW w:w="1139" w:type="dxa"/>
            <w:vAlign w:val="center"/>
          </w:tcPr>
          <w:p w14:paraId="4550F63F"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无土栽</w:t>
            </w:r>
            <w:r w:rsidRPr="00067BC7">
              <w:rPr>
                <w:sz w:val="18"/>
                <w:szCs w:val="18"/>
              </w:rPr>
              <w:lastRenderedPageBreak/>
              <w:t>培的固体基质</w:t>
            </w:r>
          </w:p>
        </w:tc>
        <w:tc>
          <w:tcPr>
            <w:tcW w:w="2126" w:type="dxa"/>
            <w:vAlign w:val="center"/>
          </w:tcPr>
          <w:p w14:paraId="4E039A0A" w14:textId="77777777" w:rsidR="00374000" w:rsidRPr="00067BC7" w:rsidRDefault="00374000" w:rsidP="00C91173">
            <w:pPr>
              <w:spacing w:beforeLines="50" w:before="156" w:line="360" w:lineRule="auto"/>
              <w:ind w:firstLine="360"/>
              <w:jc w:val="center"/>
              <w:rPr>
                <w:sz w:val="18"/>
                <w:szCs w:val="18"/>
              </w:rPr>
            </w:pPr>
            <w:r w:rsidRPr="00067BC7">
              <w:rPr>
                <w:sz w:val="18"/>
                <w:szCs w:val="18"/>
              </w:rPr>
              <w:lastRenderedPageBreak/>
              <w:t>了解基质的种类及</w:t>
            </w:r>
            <w:r w:rsidRPr="00067BC7">
              <w:rPr>
                <w:sz w:val="18"/>
                <w:szCs w:val="18"/>
              </w:rPr>
              <w:lastRenderedPageBreak/>
              <w:t>特点、基质的配制原则及方法</w:t>
            </w:r>
          </w:p>
        </w:tc>
        <w:tc>
          <w:tcPr>
            <w:tcW w:w="4227" w:type="dxa"/>
            <w:vAlign w:val="center"/>
          </w:tcPr>
          <w:p w14:paraId="7B395296" w14:textId="77777777" w:rsidR="00374000" w:rsidRPr="00067BC7" w:rsidRDefault="00374000" w:rsidP="00C91173">
            <w:pPr>
              <w:spacing w:beforeLines="50" w:before="156" w:line="360" w:lineRule="auto"/>
              <w:ind w:firstLine="360"/>
              <w:rPr>
                <w:sz w:val="18"/>
                <w:szCs w:val="18"/>
              </w:rPr>
            </w:pPr>
            <w:r w:rsidRPr="00067BC7">
              <w:rPr>
                <w:sz w:val="18"/>
                <w:szCs w:val="18"/>
              </w:rPr>
              <w:lastRenderedPageBreak/>
              <w:t>每一个人就像固体基质一样都有其独特的特</w:t>
            </w:r>
            <w:r w:rsidRPr="00067BC7">
              <w:rPr>
                <w:sz w:val="18"/>
                <w:szCs w:val="18"/>
              </w:rPr>
              <w:lastRenderedPageBreak/>
              <w:t>点，只要我们善于发现并合理利用，就会成为发光的金子。</w:t>
            </w:r>
          </w:p>
        </w:tc>
      </w:tr>
      <w:tr w:rsidR="00374000" w:rsidRPr="00067BC7" w14:paraId="6B50D456" w14:textId="77777777" w:rsidTr="00C91173">
        <w:trPr>
          <w:trHeight w:val="531"/>
          <w:jc w:val="center"/>
        </w:trPr>
        <w:tc>
          <w:tcPr>
            <w:tcW w:w="1139" w:type="dxa"/>
            <w:vAlign w:val="center"/>
          </w:tcPr>
          <w:p w14:paraId="7AF16F90" w14:textId="77777777" w:rsidR="00374000" w:rsidRPr="00067BC7" w:rsidRDefault="00374000" w:rsidP="00C91173">
            <w:pPr>
              <w:spacing w:beforeLines="50" w:before="156" w:line="360" w:lineRule="auto"/>
              <w:ind w:firstLine="360"/>
              <w:jc w:val="center"/>
              <w:rPr>
                <w:sz w:val="18"/>
                <w:szCs w:val="18"/>
              </w:rPr>
            </w:pPr>
            <w:r w:rsidRPr="00067BC7">
              <w:rPr>
                <w:sz w:val="18"/>
                <w:szCs w:val="18"/>
              </w:rPr>
              <w:lastRenderedPageBreak/>
              <w:t>水培和雾培的生产设施与管理</w:t>
            </w:r>
          </w:p>
        </w:tc>
        <w:tc>
          <w:tcPr>
            <w:tcW w:w="2126" w:type="dxa"/>
            <w:vAlign w:val="center"/>
          </w:tcPr>
          <w:p w14:paraId="1B51E019"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掌握水培、雾培的主要类型、特征及结构，了解栽培管理技术要点</w:t>
            </w:r>
          </w:p>
        </w:tc>
        <w:tc>
          <w:tcPr>
            <w:tcW w:w="4227" w:type="dxa"/>
            <w:vAlign w:val="center"/>
          </w:tcPr>
          <w:p w14:paraId="2F0EF16E" w14:textId="77777777" w:rsidR="00374000" w:rsidRPr="00067BC7" w:rsidRDefault="00374000" w:rsidP="00C91173">
            <w:pPr>
              <w:spacing w:beforeLines="50" w:before="156" w:line="360" w:lineRule="auto"/>
              <w:ind w:firstLine="360"/>
              <w:rPr>
                <w:sz w:val="18"/>
                <w:szCs w:val="18"/>
              </w:rPr>
            </w:pPr>
            <w:r w:rsidRPr="00067BC7">
              <w:rPr>
                <w:sz w:val="18"/>
                <w:szCs w:val="18"/>
              </w:rPr>
              <w:t>在没有土壤的地方也可以栽培。面对任何困难，只要努力创造条件，都会找到解决的方法，而且可能会取得更好的效果。</w:t>
            </w:r>
          </w:p>
        </w:tc>
      </w:tr>
      <w:tr w:rsidR="00374000" w:rsidRPr="00067BC7" w14:paraId="2FC1FEBD" w14:textId="77777777" w:rsidTr="00C91173">
        <w:trPr>
          <w:trHeight w:val="860"/>
          <w:jc w:val="center"/>
        </w:trPr>
        <w:tc>
          <w:tcPr>
            <w:tcW w:w="1139" w:type="dxa"/>
            <w:vAlign w:val="center"/>
          </w:tcPr>
          <w:p w14:paraId="16EEDD1B"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基质培生产设施与管理</w:t>
            </w:r>
          </w:p>
        </w:tc>
        <w:tc>
          <w:tcPr>
            <w:tcW w:w="2126" w:type="dxa"/>
            <w:vAlign w:val="center"/>
          </w:tcPr>
          <w:p w14:paraId="64A52402"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掌握基质培的主要类型、特征及结构，了解栽培管理技术要点</w:t>
            </w:r>
          </w:p>
        </w:tc>
        <w:tc>
          <w:tcPr>
            <w:tcW w:w="4227" w:type="dxa"/>
            <w:vAlign w:val="center"/>
          </w:tcPr>
          <w:p w14:paraId="2E633A58" w14:textId="77777777" w:rsidR="00374000" w:rsidRPr="00067BC7" w:rsidRDefault="00374000" w:rsidP="00C91173">
            <w:pPr>
              <w:spacing w:beforeLines="50" w:before="156" w:line="360" w:lineRule="auto"/>
              <w:ind w:firstLine="360"/>
              <w:rPr>
                <w:sz w:val="18"/>
                <w:szCs w:val="18"/>
              </w:rPr>
            </w:pPr>
            <w:r w:rsidRPr="00067BC7">
              <w:rPr>
                <w:sz w:val="18"/>
                <w:szCs w:val="18"/>
              </w:rPr>
              <w:t>本着节约与废弃物再利用的原则，积极响应国家政策，发展绿色农业，减少浪费减少污染，坚持可持续发展。</w:t>
            </w:r>
          </w:p>
        </w:tc>
      </w:tr>
      <w:tr w:rsidR="00374000" w:rsidRPr="00067BC7" w14:paraId="7496E085" w14:textId="77777777" w:rsidTr="00C91173">
        <w:trPr>
          <w:trHeight w:val="531"/>
          <w:jc w:val="center"/>
        </w:trPr>
        <w:tc>
          <w:tcPr>
            <w:tcW w:w="1139" w:type="dxa"/>
            <w:vAlign w:val="center"/>
          </w:tcPr>
          <w:p w14:paraId="4056580D"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蔬菜无土栽培</w:t>
            </w:r>
          </w:p>
        </w:tc>
        <w:tc>
          <w:tcPr>
            <w:tcW w:w="2126" w:type="dxa"/>
            <w:vAlign w:val="center"/>
          </w:tcPr>
          <w:p w14:paraId="4B7CB7D3"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掌握黄瓜、番茄、生菜无土栽培方式及关键技术</w:t>
            </w:r>
          </w:p>
        </w:tc>
        <w:tc>
          <w:tcPr>
            <w:tcW w:w="4227" w:type="dxa"/>
            <w:vAlign w:val="center"/>
          </w:tcPr>
          <w:p w14:paraId="0AA4EFF9" w14:textId="77777777" w:rsidR="00374000" w:rsidRPr="00067BC7" w:rsidRDefault="00374000" w:rsidP="00C91173">
            <w:pPr>
              <w:spacing w:beforeLines="50" w:before="156" w:line="360" w:lineRule="auto"/>
              <w:ind w:firstLine="360"/>
              <w:rPr>
                <w:sz w:val="18"/>
                <w:szCs w:val="18"/>
              </w:rPr>
            </w:pPr>
            <w:r w:rsidRPr="00067BC7">
              <w:rPr>
                <w:sz w:val="18"/>
                <w:szCs w:val="18"/>
              </w:rPr>
              <w:t>树立正确的人生观、价值观，只要你有技术有能力，在不同的阶段都要做好充分的准备，为长成大树积累力量。</w:t>
            </w:r>
          </w:p>
        </w:tc>
      </w:tr>
      <w:tr w:rsidR="00374000" w:rsidRPr="00067BC7" w14:paraId="6A4C73D4" w14:textId="77777777" w:rsidTr="00C91173">
        <w:trPr>
          <w:trHeight w:val="1174"/>
          <w:jc w:val="center"/>
        </w:trPr>
        <w:tc>
          <w:tcPr>
            <w:tcW w:w="1139" w:type="dxa"/>
            <w:vAlign w:val="center"/>
          </w:tcPr>
          <w:p w14:paraId="5B304FF1"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无土栽培的拓展应用</w:t>
            </w:r>
          </w:p>
        </w:tc>
        <w:tc>
          <w:tcPr>
            <w:tcW w:w="2126" w:type="dxa"/>
            <w:vAlign w:val="center"/>
          </w:tcPr>
          <w:p w14:paraId="6777B3AE" w14:textId="77777777" w:rsidR="00374000" w:rsidRPr="00067BC7" w:rsidRDefault="00374000" w:rsidP="00C91173">
            <w:pPr>
              <w:spacing w:beforeLines="50" w:before="156" w:line="360" w:lineRule="auto"/>
              <w:ind w:firstLine="360"/>
              <w:jc w:val="center"/>
              <w:rPr>
                <w:sz w:val="18"/>
                <w:szCs w:val="18"/>
              </w:rPr>
            </w:pPr>
            <w:r w:rsidRPr="00067BC7">
              <w:rPr>
                <w:sz w:val="18"/>
                <w:szCs w:val="18"/>
              </w:rPr>
              <w:t>掌握家庭型、观光型、树式无土栽培关键技术</w:t>
            </w:r>
          </w:p>
        </w:tc>
        <w:tc>
          <w:tcPr>
            <w:tcW w:w="4227" w:type="dxa"/>
            <w:vAlign w:val="center"/>
          </w:tcPr>
          <w:p w14:paraId="7634FFF6" w14:textId="77777777" w:rsidR="00374000" w:rsidRPr="00067BC7" w:rsidRDefault="00374000" w:rsidP="00C91173">
            <w:pPr>
              <w:spacing w:beforeLines="50" w:before="156" w:line="360" w:lineRule="auto"/>
              <w:ind w:firstLine="360"/>
              <w:rPr>
                <w:sz w:val="18"/>
                <w:szCs w:val="18"/>
              </w:rPr>
            </w:pPr>
            <w:r w:rsidRPr="00067BC7">
              <w:rPr>
                <w:sz w:val="18"/>
                <w:szCs w:val="18"/>
              </w:rPr>
              <w:t>感受现代农业的美妙，感受丰收的喜悦，为发展高产高效的农业奉献力量，为提高</w:t>
            </w:r>
            <w:r w:rsidRPr="00067BC7">
              <w:rPr>
                <w:sz w:val="18"/>
                <w:szCs w:val="18"/>
              </w:rPr>
              <w:t xml:space="preserve"> </w:t>
            </w:r>
            <w:r w:rsidRPr="00067BC7">
              <w:rPr>
                <w:sz w:val="18"/>
                <w:szCs w:val="18"/>
              </w:rPr>
              <w:t>人民生活水平出谋划策。</w:t>
            </w:r>
          </w:p>
        </w:tc>
      </w:tr>
    </w:tbl>
    <w:p w14:paraId="120488C6" w14:textId="77777777" w:rsidR="00374000" w:rsidRPr="00067BC7" w:rsidRDefault="00374000" w:rsidP="00374000">
      <w:pPr>
        <w:widowControl/>
        <w:snapToGrid w:val="0"/>
        <w:spacing w:line="360" w:lineRule="auto"/>
        <w:jc w:val="left"/>
        <w:rPr>
          <w:rFonts w:ascii="宋体" w:hAnsi="宋体"/>
          <w:bCs/>
          <w:color w:val="0000FF"/>
          <w:szCs w:val="21"/>
        </w:rPr>
      </w:pPr>
    </w:p>
    <w:p w14:paraId="52FFD7F7" w14:textId="77777777" w:rsidR="00374000" w:rsidRPr="00C07E80" w:rsidRDefault="00374000" w:rsidP="00374000">
      <w:pPr>
        <w:widowControl/>
        <w:snapToGrid w:val="0"/>
        <w:spacing w:line="360" w:lineRule="auto"/>
        <w:jc w:val="left"/>
        <w:rPr>
          <w:kern w:val="0"/>
          <w:szCs w:val="21"/>
        </w:rPr>
      </w:pPr>
      <w:r>
        <w:rPr>
          <w:rFonts w:hAnsi="宋体" w:hint="eastAsia"/>
          <w:b/>
          <w:bCs/>
          <w:kern w:val="0"/>
          <w:szCs w:val="21"/>
        </w:rPr>
        <w:t>六</w:t>
      </w:r>
      <w:r>
        <w:rPr>
          <w:rFonts w:hAnsi="宋体"/>
          <w:b/>
          <w:bCs/>
          <w:kern w:val="0"/>
          <w:szCs w:val="21"/>
        </w:rPr>
        <w:t>、教材</w:t>
      </w:r>
      <w:r>
        <w:rPr>
          <w:rFonts w:hAnsi="宋体" w:hint="eastAsia"/>
          <w:b/>
          <w:bCs/>
          <w:kern w:val="0"/>
          <w:szCs w:val="21"/>
        </w:rPr>
        <w:t>及教学参考书</w:t>
      </w:r>
    </w:p>
    <w:p w14:paraId="3C0CF5DF" w14:textId="77777777" w:rsidR="00374000" w:rsidRDefault="00374000" w:rsidP="00374000">
      <w:pPr>
        <w:widowControl/>
        <w:snapToGrid w:val="0"/>
        <w:spacing w:line="360" w:lineRule="auto"/>
        <w:ind w:firstLineChars="200" w:firstLine="422"/>
        <w:jc w:val="left"/>
        <w:rPr>
          <w:rFonts w:hAnsi="宋体"/>
          <w:b/>
          <w:bCs/>
          <w:kern w:val="0"/>
          <w:szCs w:val="21"/>
        </w:rPr>
      </w:pPr>
      <w:r w:rsidRPr="00C07E80">
        <w:rPr>
          <w:b/>
          <w:bCs/>
          <w:kern w:val="0"/>
          <w:szCs w:val="21"/>
        </w:rPr>
        <w:t>1</w:t>
      </w:r>
      <w:r>
        <w:rPr>
          <w:rFonts w:hAnsi="宋体" w:hint="eastAsia"/>
          <w:b/>
          <w:bCs/>
          <w:kern w:val="0"/>
          <w:szCs w:val="21"/>
        </w:rPr>
        <w:t>.</w:t>
      </w:r>
      <w:r>
        <w:rPr>
          <w:rFonts w:hAnsi="宋体" w:hint="eastAsia"/>
          <w:b/>
          <w:bCs/>
          <w:kern w:val="0"/>
          <w:szCs w:val="21"/>
        </w:rPr>
        <w:t>选用</w:t>
      </w:r>
      <w:r w:rsidRPr="00C07E80">
        <w:rPr>
          <w:rFonts w:hAnsi="宋体"/>
          <w:b/>
          <w:bCs/>
          <w:kern w:val="0"/>
          <w:szCs w:val="21"/>
        </w:rPr>
        <w:t>教材：</w:t>
      </w:r>
    </w:p>
    <w:p w14:paraId="58414F5E" w14:textId="77777777" w:rsidR="00374000" w:rsidRPr="00FF61DA" w:rsidRDefault="00374000" w:rsidP="00374000">
      <w:pPr>
        <w:widowControl/>
        <w:snapToGrid w:val="0"/>
        <w:spacing w:line="360" w:lineRule="auto"/>
        <w:ind w:firstLineChars="200" w:firstLine="420"/>
        <w:jc w:val="left"/>
        <w:rPr>
          <w:rFonts w:eastAsiaTheme="minorEastAsia"/>
        </w:rPr>
      </w:pPr>
      <w:r w:rsidRPr="00FF61DA">
        <w:rPr>
          <w:rFonts w:eastAsiaTheme="minorEastAsia"/>
          <w:bCs/>
          <w:kern w:val="0"/>
          <w:szCs w:val="21"/>
        </w:rPr>
        <w:t>（</w:t>
      </w:r>
      <w:r w:rsidRPr="00FF61DA">
        <w:rPr>
          <w:rFonts w:eastAsiaTheme="minorEastAsia"/>
          <w:bCs/>
          <w:kern w:val="0"/>
          <w:szCs w:val="21"/>
        </w:rPr>
        <w:t>1</w:t>
      </w:r>
      <w:r w:rsidRPr="00FF61DA">
        <w:rPr>
          <w:rFonts w:eastAsiaTheme="minorEastAsia"/>
          <w:bCs/>
          <w:kern w:val="0"/>
          <w:szCs w:val="21"/>
        </w:rPr>
        <w:t>）理论课教材：</w:t>
      </w:r>
      <w:r w:rsidRPr="00FF61DA">
        <w:rPr>
          <w:rFonts w:eastAsiaTheme="minorEastAsia"/>
        </w:rPr>
        <w:t>《无土栽培学》，高丽红、别之龙主编，中国农业大学出版社，</w:t>
      </w:r>
      <w:r w:rsidRPr="00FF61DA">
        <w:rPr>
          <w:rFonts w:eastAsiaTheme="minorEastAsia"/>
        </w:rPr>
        <w:t>2017</w:t>
      </w:r>
      <w:r w:rsidRPr="00FF61DA">
        <w:rPr>
          <w:rFonts w:eastAsiaTheme="minorEastAsia"/>
        </w:rPr>
        <w:t>年</w:t>
      </w:r>
    </w:p>
    <w:p w14:paraId="5C8E9D71" w14:textId="77777777" w:rsidR="00374000" w:rsidRPr="00FF61DA" w:rsidRDefault="00374000" w:rsidP="00374000">
      <w:pPr>
        <w:widowControl/>
        <w:snapToGrid w:val="0"/>
        <w:spacing w:line="360" w:lineRule="auto"/>
        <w:ind w:firstLineChars="200" w:firstLine="420"/>
        <w:jc w:val="left"/>
        <w:rPr>
          <w:rFonts w:eastAsiaTheme="minorEastAsia"/>
        </w:rPr>
      </w:pPr>
      <w:r w:rsidRPr="00FF61DA">
        <w:rPr>
          <w:rFonts w:eastAsiaTheme="minorEastAsia"/>
        </w:rPr>
        <w:t>（</w:t>
      </w:r>
      <w:r w:rsidRPr="00FF61DA">
        <w:rPr>
          <w:rFonts w:eastAsiaTheme="minorEastAsia"/>
        </w:rPr>
        <w:t>2</w:t>
      </w:r>
      <w:r w:rsidRPr="00FF61DA">
        <w:rPr>
          <w:rFonts w:eastAsiaTheme="minorEastAsia"/>
        </w:rPr>
        <w:t>）实验课教材：《无土栽培学》，高丽红、别之龙主编，中国农业大学出版社，</w:t>
      </w:r>
      <w:r w:rsidRPr="00FF61DA">
        <w:rPr>
          <w:rFonts w:eastAsiaTheme="minorEastAsia"/>
        </w:rPr>
        <w:t>2017</w:t>
      </w:r>
      <w:r w:rsidRPr="00FF61DA">
        <w:rPr>
          <w:rFonts w:eastAsiaTheme="minorEastAsia"/>
        </w:rPr>
        <w:t>年</w:t>
      </w:r>
    </w:p>
    <w:p w14:paraId="663ADF26" w14:textId="77777777" w:rsidR="00374000" w:rsidRPr="00FF61DA" w:rsidRDefault="00374000" w:rsidP="00374000">
      <w:pPr>
        <w:widowControl/>
        <w:snapToGrid w:val="0"/>
        <w:spacing w:line="360" w:lineRule="auto"/>
        <w:ind w:firstLineChars="200" w:firstLine="420"/>
        <w:jc w:val="left"/>
        <w:rPr>
          <w:rFonts w:eastAsiaTheme="minorEastAsia"/>
          <w:bCs/>
          <w:color w:val="0000FF"/>
          <w:kern w:val="0"/>
          <w:szCs w:val="21"/>
        </w:rPr>
      </w:pPr>
      <w:r w:rsidRPr="00FF61DA">
        <w:rPr>
          <w:rFonts w:eastAsiaTheme="minorEastAsia"/>
        </w:rPr>
        <w:t>（</w:t>
      </w:r>
      <w:r w:rsidRPr="00FF61DA">
        <w:rPr>
          <w:rFonts w:eastAsiaTheme="minorEastAsia"/>
        </w:rPr>
        <w:t>3</w:t>
      </w:r>
      <w:r w:rsidRPr="00FF61DA">
        <w:rPr>
          <w:rFonts w:eastAsiaTheme="minorEastAsia"/>
        </w:rPr>
        <w:t>）实习指导书：</w:t>
      </w:r>
      <w:r w:rsidRPr="00FF61DA">
        <w:rPr>
          <w:rFonts w:eastAsiaTheme="minorEastAsia"/>
          <w:bCs/>
          <w:color w:val="000000" w:themeColor="text1"/>
          <w:kern w:val="0"/>
          <w:szCs w:val="21"/>
        </w:rPr>
        <w:t>无</w:t>
      </w:r>
    </w:p>
    <w:p w14:paraId="7B8FB29B" w14:textId="77777777" w:rsidR="00374000" w:rsidRPr="00C07E80" w:rsidRDefault="00374000" w:rsidP="00374000">
      <w:pPr>
        <w:widowControl/>
        <w:snapToGrid w:val="0"/>
        <w:spacing w:line="360" w:lineRule="auto"/>
        <w:ind w:firstLineChars="200" w:firstLine="422"/>
        <w:jc w:val="left"/>
        <w:rPr>
          <w:kern w:val="0"/>
          <w:szCs w:val="21"/>
        </w:rPr>
      </w:pPr>
      <w:r w:rsidRPr="00C07E80">
        <w:rPr>
          <w:b/>
          <w:bCs/>
          <w:kern w:val="0"/>
          <w:szCs w:val="21"/>
        </w:rPr>
        <w:t>2</w:t>
      </w:r>
      <w:r>
        <w:rPr>
          <w:rFonts w:hAnsi="宋体" w:hint="eastAsia"/>
          <w:b/>
          <w:bCs/>
          <w:kern w:val="0"/>
          <w:szCs w:val="21"/>
        </w:rPr>
        <w:t>.</w:t>
      </w:r>
      <w:r w:rsidRPr="00C07E80">
        <w:rPr>
          <w:rFonts w:hAnsi="宋体"/>
          <w:b/>
          <w:bCs/>
          <w:kern w:val="0"/>
          <w:szCs w:val="21"/>
        </w:rPr>
        <w:t>参考书：</w:t>
      </w:r>
    </w:p>
    <w:p w14:paraId="52C3E389" w14:textId="77777777" w:rsidR="00374000" w:rsidRPr="00FF61DA" w:rsidRDefault="00374000" w:rsidP="00374000">
      <w:pPr>
        <w:snapToGrid w:val="0"/>
        <w:spacing w:line="276" w:lineRule="auto"/>
        <w:ind w:firstLineChars="200" w:firstLine="420"/>
        <w:rPr>
          <w:rFonts w:eastAsiaTheme="minorEastAsia"/>
        </w:rPr>
      </w:pPr>
      <w:r w:rsidRPr="00FF61DA">
        <w:rPr>
          <w:rFonts w:eastAsiaTheme="minorEastAsia"/>
          <w:bCs/>
          <w:kern w:val="0"/>
          <w:szCs w:val="21"/>
        </w:rPr>
        <w:t>（</w:t>
      </w:r>
      <w:r w:rsidRPr="00FF61DA">
        <w:rPr>
          <w:rFonts w:eastAsiaTheme="minorEastAsia"/>
          <w:bCs/>
          <w:kern w:val="0"/>
          <w:szCs w:val="21"/>
        </w:rPr>
        <w:t>1</w:t>
      </w:r>
      <w:r w:rsidRPr="00FF61DA">
        <w:rPr>
          <w:rFonts w:eastAsiaTheme="minorEastAsia"/>
          <w:bCs/>
          <w:kern w:val="0"/>
          <w:szCs w:val="21"/>
        </w:rPr>
        <w:t>）</w:t>
      </w:r>
      <w:r w:rsidRPr="00FF61DA">
        <w:rPr>
          <w:rFonts w:eastAsiaTheme="minorEastAsia"/>
        </w:rPr>
        <w:t>《无土栽培学》</w:t>
      </w:r>
      <w:r>
        <w:rPr>
          <w:rFonts w:eastAsiaTheme="minorEastAsia" w:hint="eastAsia"/>
        </w:rPr>
        <w:t>（</w:t>
      </w:r>
      <w:r>
        <w:rPr>
          <w:rFonts w:eastAsiaTheme="minorEastAsia"/>
        </w:rPr>
        <w:t>第二版）</w:t>
      </w:r>
      <w:r w:rsidRPr="00FF61DA">
        <w:rPr>
          <w:rFonts w:eastAsiaTheme="minorEastAsia"/>
        </w:rPr>
        <w:t>，郭世荣，中国农业出版社，</w:t>
      </w:r>
      <w:r w:rsidRPr="00FF61DA">
        <w:rPr>
          <w:rFonts w:eastAsiaTheme="minorEastAsia"/>
        </w:rPr>
        <w:t>20</w:t>
      </w:r>
      <w:r>
        <w:rPr>
          <w:rFonts w:eastAsiaTheme="minorEastAsia"/>
        </w:rPr>
        <w:t>11</w:t>
      </w:r>
    </w:p>
    <w:p w14:paraId="3FFCE918" w14:textId="77777777" w:rsidR="00374000" w:rsidRPr="00FF61DA" w:rsidRDefault="00374000" w:rsidP="00374000">
      <w:pPr>
        <w:spacing w:line="276" w:lineRule="auto"/>
        <w:ind w:firstLineChars="200" w:firstLine="420"/>
        <w:rPr>
          <w:rFonts w:eastAsiaTheme="minorEastAsia"/>
        </w:rPr>
      </w:pPr>
      <w:r w:rsidRPr="00FF61DA">
        <w:rPr>
          <w:rFonts w:eastAsiaTheme="minorEastAsia"/>
          <w:bCs/>
          <w:kern w:val="0"/>
          <w:szCs w:val="21"/>
        </w:rPr>
        <w:t>（</w:t>
      </w:r>
      <w:r w:rsidRPr="00FF61DA">
        <w:rPr>
          <w:rFonts w:eastAsiaTheme="minorEastAsia"/>
          <w:bCs/>
          <w:kern w:val="0"/>
          <w:szCs w:val="21"/>
        </w:rPr>
        <w:t>2</w:t>
      </w:r>
      <w:r w:rsidRPr="00FF61DA">
        <w:rPr>
          <w:rFonts w:eastAsiaTheme="minorEastAsia"/>
          <w:bCs/>
          <w:kern w:val="0"/>
          <w:szCs w:val="21"/>
        </w:rPr>
        <w:t>）</w:t>
      </w:r>
      <w:r w:rsidRPr="00FF61DA">
        <w:rPr>
          <w:rFonts w:eastAsiaTheme="minorEastAsia"/>
        </w:rPr>
        <w:t>《无土栽培学》</w:t>
      </w:r>
      <w:r>
        <w:rPr>
          <w:rFonts w:eastAsiaTheme="minorEastAsia" w:hint="eastAsia"/>
        </w:rPr>
        <w:t>（</w:t>
      </w:r>
      <w:r>
        <w:rPr>
          <w:rFonts w:eastAsiaTheme="minorEastAsia"/>
        </w:rPr>
        <w:t>第三版）</w:t>
      </w:r>
      <w:r w:rsidRPr="00FF61DA">
        <w:rPr>
          <w:rFonts w:eastAsiaTheme="minorEastAsia"/>
        </w:rPr>
        <w:t>，郭世荣，中国农业出版社，</w:t>
      </w:r>
      <w:r w:rsidRPr="00FF61DA">
        <w:rPr>
          <w:rFonts w:eastAsiaTheme="minorEastAsia"/>
        </w:rPr>
        <w:t xml:space="preserve">2018 </w:t>
      </w:r>
    </w:p>
    <w:p w14:paraId="64870DE4" w14:textId="77777777" w:rsidR="00374000" w:rsidRPr="007A4EE3" w:rsidRDefault="00374000" w:rsidP="00374000">
      <w:pPr>
        <w:widowControl/>
        <w:snapToGrid w:val="0"/>
        <w:spacing w:line="360" w:lineRule="auto"/>
        <w:ind w:firstLineChars="200" w:firstLine="422"/>
        <w:jc w:val="left"/>
        <w:rPr>
          <w:b/>
          <w:kern w:val="0"/>
          <w:szCs w:val="21"/>
        </w:rPr>
      </w:pPr>
      <w:r w:rsidRPr="007A4EE3">
        <w:rPr>
          <w:rFonts w:hint="eastAsia"/>
          <w:b/>
          <w:kern w:val="0"/>
          <w:szCs w:val="21"/>
        </w:rPr>
        <w:t>3</w:t>
      </w:r>
      <w:r>
        <w:rPr>
          <w:rFonts w:hint="eastAsia"/>
          <w:b/>
          <w:kern w:val="0"/>
          <w:szCs w:val="21"/>
        </w:rPr>
        <w:t>.</w:t>
      </w:r>
      <w:r w:rsidRPr="007A4EE3">
        <w:rPr>
          <w:rFonts w:hint="eastAsia"/>
          <w:b/>
          <w:kern w:val="0"/>
          <w:szCs w:val="21"/>
        </w:rPr>
        <w:t>推荐网站：</w:t>
      </w:r>
    </w:p>
    <w:p w14:paraId="2C2CCB4E" w14:textId="77777777" w:rsidR="00374000" w:rsidRPr="00C34140" w:rsidRDefault="00374000" w:rsidP="00374000">
      <w:pPr>
        <w:snapToGrid w:val="0"/>
        <w:spacing w:line="360" w:lineRule="auto"/>
        <w:ind w:firstLineChars="200" w:firstLine="420"/>
        <w:rPr>
          <w:rFonts w:eastAsiaTheme="minorEastAsia"/>
          <w:szCs w:val="21"/>
        </w:rPr>
      </w:pPr>
      <w:r w:rsidRPr="00C34140">
        <w:rPr>
          <w:rFonts w:eastAsiaTheme="minorEastAsia" w:hAnsiTheme="minorEastAsia"/>
          <w:szCs w:val="21"/>
        </w:rPr>
        <w:t>（</w:t>
      </w:r>
      <w:r w:rsidRPr="00C34140">
        <w:rPr>
          <w:rFonts w:eastAsiaTheme="minorEastAsia"/>
          <w:szCs w:val="21"/>
        </w:rPr>
        <w:t>1</w:t>
      </w:r>
      <w:r w:rsidRPr="00C34140">
        <w:rPr>
          <w:rFonts w:eastAsiaTheme="minorEastAsia" w:hAnsiTheme="minorEastAsia"/>
          <w:szCs w:val="21"/>
        </w:rPr>
        <w:t>）</w:t>
      </w:r>
      <w:r>
        <w:rPr>
          <w:rFonts w:eastAsiaTheme="minorEastAsia" w:hAnsiTheme="minorEastAsia" w:hint="eastAsia"/>
          <w:szCs w:val="21"/>
        </w:rPr>
        <w:t>中国设施农业信息网</w:t>
      </w:r>
      <w:r w:rsidRPr="00C34140">
        <w:rPr>
          <w:rFonts w:eastAsiaTheme="minorEastAsia" w:hAnsiTheme="minorEastAsia"/>
          <w:szCs w:val="21"/>
        </w:rPr>
        <w:t>，</w:t>
      </w:r>
      <w:r w:rsidRPr="00C34140">
        <w:rPr>
          <w:rFonts w:eastAsiaTheme="minorEastAsia" w:hAnsiTheme="minorEastAsia"/>
          <w:szCs w:val="21"/>
        </w:rPr>
        <w:t>http://www.camafa.net/</w:t>
      </w:r>
    </w:p>
    <w:p w14:paraId="4D804341" w14:textId="77777777" w:rsidR="00374000" w:rsidRPr="00C34140" w:rsidRDefault="00374000" w:rsidP="00374000">
      <w:pPr>
        <w:widowControl/>
        <w:snapToGrid w:val="0"/>
        <w:spacing w:line="360" w:lineRule="auto"/>
        <w:ind w:firstLineChars="200" w:firstLine="420"/>
        <w:jc w:val="left"/>
        <w:rPr>
          <w:rFonts w:eastAsiaTheme="minorEastAsia"/>
          <w:kern w:val="0"/>
        </w:rPr>
      </w:pPr>
      <w:r w:rsidRPr="00C34140">
        <w:rPr>
          <w:rFonts w:eastAsiaTheme="minorEastAsia" w:hAnsiTheme="minorEastAsia"/>
          <w:szCs w:val="21"/>
        </w:rPr>
        <w:t>（</w:t>
      </w:r>
      <w:r w:rsidRPr="00C34140">
        <w:rPr>
          <w:rFonts w:eastAsiaTheme="minorEastAsia"/>
          <w:szCs w:val="21"/>
        </w:rPr>
        <w:t>2</w:t>
      </w:r>
      <w:r w:rsidRPr="00C34140">
        <w:rPr>
          <w:rFonts w:eastAsiaTheme="minorEastAsia" w:hAnsiTheme="minorEastAsia"/>
          <w:szCs w:val="21"/>
        </w:rPr>
        <w:t>）</w:t>
      </w:r>
      <w:r>
        <w:rPr>
          <w:rFonts w:eastAsiaTheme="minorEastAsia" w:hAnsiTheme="minorEastAsia" w:hint="eastAsia"/>
          <w:szCs w:val="21"/>
        </w:rPr>
        <w:t>中国设施园艺信息网</w:t>
      </w:r>
      <w:r w:rsidRPr="00C34140">
        <w:rPr>
          <w:rFonts w:eastAsiaTheme="minorEastAsia" w:hAnsiTheme="minorEastAsia"/>
          <w:szCs w:val="21"/>
        </w:rPr>
        <w:t>，</w:t>
      </w:r>
      <w:r w:rsidRPr="00484272">
        <w:rPr>
          <w:rFonts w:eastAsiaTheme="minorEastAsia" w:hAnsiTheme="minorEastAsia"/>
          <w:szCs w:val="21"/>
        </w:rPr>
        <w:t>http://www.sheshiyuanyi.com/</w:t>
      </w:r>
    </w:p>
    <w:p w14:paraId="4CA0FF3C" w14:textId="77777777" w:rsidR="00374000" w:rsidRDefault="00374000" w:rsidP="00374000">
      <w:pPr>
        <w:snapToGrid w:val="0"/>
        <w:spacing w:line="360" w:lineRule="auto"/>
        <w:ind w:firstLineChars="200" w:firstLine="420"/>
        <w:rPr>
          <w:rFonts w:eastAsiaTheme="minorEastAsia"/>
        </w:rPr>
      </w:pPr>
      <w:r>
        <w:rPr>
          <w:rFonts w:eastAsiaTheme="minorEastAsia" w:hint="eastAsia"/>
        </w:rPr>
        <w:t>（</w:t>
      </w:r>
      <w:r>
        <w:rPr>
          <w:rFonts w:eastAsiaTheme="minorEastAsia" w:hint="eastAsia"/>
        </w:rPr>
        <w:t>3</w:t>
      </w:r>
      <w:r>
        <w:rPr>
          <w:rFonts w:eastAsiaTheme="minorEastAsia" w:hint="eastAsia"/>
        </w:rPr>
        <w:t>）中国无土栽培技术网，</w:t>
      </w:r>
      <w:r>
        <w:fldChar w:fldCharType="begin"/>
      </w:r>
      <w:r>
        <w:instrText>HYPERLINK "http://www.china-sct.com/"</w:instrText>
      </w:r>
      <w:r>
        <w:fldChar w:fldCharType="separate"/>
      </w:r>
      <w:r w:rsidRPr="0098369F">
        <w:rPr>
          <w:rStyle w:val="afa"/>
          <w:rFonts w:eastAsiaTheme="minorEastAsia"/>
        </w:rPr>
        <w:t>http://www.china-sct.com/</w:t>
      </w:r>
      <w:r>
        <w:rPr>
          <w:rStyle w:val="afa"/>
          <w:rFonts w:eastAsiaTheme="minorEastAsia"/>
        </w:rPr>
        <w:fldChar w:fldCharType="end"/>
      </w:r>
    </w:p>
    <w:p w14:paraId="576C8CD8" w14:textId="77777777" w:rsidR="00374000" w:rsidRPr="00C34140" w:rsidRDefault="00374000" w:rsidP="00374000">
      <w:pPr>
        <w:snapToGrid w:val="0"/>
        <w:spacing w:line="360" w:lineRule="auto"/>
        <w:ind w:firstLineChars="200" w:firstLine="420"/>
        <w:rPr>
          <w:rFonts w:eastAsiaTheme="minorEastAsia"/>
        </w:rPr>
      </w:pPr>
      <w:r>
        <w:rPr>
          <w:rFonts w:eastAsiaTheme="minorEastAsia" w:hint="eastAsia"/>
        </w:rPr>
        <w:t>（</w:t>
      </w:r>
      <w:r>
        <w:rPr>
          <w:rFonts w:eastAsiaTheme="minorEastAsia" w:hint="eastAsia"/>
        </w:rPr>
        <w:t>4</w:t>
      </w:r>
      <w:r>
        <w:rPr>
          <w:rFonts w:eastAsiaTheme="minorEastAsia" w:hint="eastAsia"/>
        </w:rPr>
        <w:t>）中国</w:t>
      </w:r>
      <w:r>
        <w:rPr>
          <w:rFonts w:eastAsiaTheme="minorEastAsia"/>
        </w:rPr>
        <w:t>大学</w:t>
      </w:r>
      <w:r>
        <w:rPr>
          <w:rFonts w:eastAsiaTheme="minorEastAsia" w:hint="eastAsia"/>
        </w:rPr>
        <w:t>MOOC</w:t>
      </w:r>
      <w:r>
        <w:rPr>
          <w:rFonts w:eastAsiaTheme="minorEastAsia" w:hint="eastAsia"/>
        </w:rPr>
        <w:t>，</w:t>
      </w:r>
      <w:r w:rsidRPr="00245D11">
        <w:rPr>
          <w:rFonts w:eastAsiaTheme="minorEastAsia"/>
        </w:rPr>
        <w:t>https://www.icourse163.org/</w:t>
      </w:r>
    </w:p>
    <w:p w14:paraId="7A641175" w14:textId="77777777" w:rsidR="00374000" w:rsidRDefault="00374000" w:rsidP="00374000">
      <w:pPr>
        <w:widowControl/>
        <w:snapToGrid w:val="0"/>
        <w:spacing w:line="360" w:lineRule="auto"/>
        <w:jc w:val="left"/>
        <w:rPr>
          <w:rFonts w:hAnsi="宋体"/>
          <w:b/>
          <w:bCs/>
          <w:kern w:val="0"/>
          <w:szCs w:val="21"/>
        </w:rPr>
      </w:pPr>
      <w:r>
        <w:rPr>
          <w:rFonts w:hAnsi="宋体" w:hint="eastAsia"/>
          <w:b/>
          <w:bCs/>
          <w:kern w:val="0"/>
          <w:szCs w:val="21"/>
        </w:rPr>
        <w:t>七</w:t>
      </w:r>
      <w:r w:rsidRPr="00C07E80">
        <w:rPr>
          <w:rFonts w:hAnsi="宋体"/>
          <w:b/>
          <w:bCs/>
          <w:kern w:val="0"/>
          <w:szCs w:val="21"/>
        </w:rPr>
        <w:t>、</w:t>
      </w:r>
      <w:r>
        <w:rPr>
          <w:rFonts w:hAnsi="宋体" w:hint="eastAsia"/>
          <w:b/>
          <w:bCs/>
          <w:kern w:val="0"/>
          <w:szCs w:val="21"/>
        </w:rPr>
        <w:t>教学条件</w:t>
      </w:r>
    </w:p>
    <w:p w14:paraId="6BFEB148" w14:textId="77777777" w:rsidR="00374000" w:rsidRDefault="00374000" w:rsidP="00374000">
      <w:pPr>
        <w:snapToGrid w:val="0"/>
        <w:spacing w:line="360" w:lineRule="auto"/>
        <w:ind w:firstLineChars="200" w:firstLine="420"/>
        <w:rPr>
          <w:rFonts w:ascii="宋体" w:hAnsi="宋体"/>
          <w:color w:val="0000FF"/>
          <w:szCs w:val="21"/>
        </w:rPr>
      </w:pPr>
      <w:r w:rsidRPr="009D6A79">
        <w:rPr>
          <w:rFonts w:ascii="宋体" w:hAnsi="宋体" w:hint="eastAsia"/>
          <w:color w:val="000000" w:themeColor="text1"/>
          <w:szCs w:val="21"/>
        </w:rPr>
        <w:lastRenderedPageBreak/>
        <w:t>理论课</w:t>
      </w:r>
      <w:r w:rsidRPr="009D6A79">
        <w:rPr>
          <w:rFonts w:ascii="宋体" w:hAnsi="宋体"/>
          <w:color w:val="000000" w:themeColor="text1"/>
          <w:szCs w:val="21"/>
        </w:rPr>
        <w:t>学习需要多媒体</w:t>
      </w:r>
      <w:r w:rsidRPr="009D6A79">
        <w:rPr>
          <w:rFonts w:ascii="宋体" w:hAnsi="宋体" w:hint="eastAsia"/>
          <w:color w:val="000000" w:themeColor="text1"/>
          <w:szCs w:val="21"/>
        </w:rPr>
        <w:t>教室</w:t>
      </w:r>
      <w:r>
        <w:rPr>
          <w:rFonts w:ascii="宋体" w:hAnsi="宋体" w:hint="eastAsia"/>
          <w:color w:val="000000" w:themeColor="text1"/>
          <w:szCs w:val="21"/>
        </w:rPr>
        <w:t>。</w:t>
      </w:r>
      <w:r>
        <w:rPr>
          <w:rFonts w:ascii="宋体" w:hAnsi="宋体"/>
          <w:color w:val="0000FF"/>
          <w:szCs w:val="21"/>
        </w:rPr>
        <w:t xml:space="preserve"> </w:t>
      </w:r>
    </w:p>
    <w:p w14:paraId="24E41A0F" w14:textId="77777777" w:rsidR="00374000" w:rsidRPr="00B5770F" w:rsidRDefault="00374000" w:rsidP="00374000">
      <w:pPr>
        <w:widowControl/>
        <w:snapToGrid w:val="0"/>
        <w:spacing w:line="360" w:lineRule="auto"/>
        <w:jc w:val="left"/>
        <w:rPr>
          <w:b/>
          <w:bCs/>
          <w:color w:val="000000" w:themeColor="text1"/>
          <w:kern w:val="0"/>
          <w:szCs w:val="21"/>
        </w:rPr>
      </w:pPr>
      <w:r>
        <w:rPr>
          <w:rFonts w:hint="eastAsia"/>
          <w:b/>
          <w:bCs/>
          <w:color w:val="000000" w:themeColor="text1"/>
          <w:kern w:val="0"/>
          <w:szCs w:val="21"/>
        </w:rPr>
        <w:t>八</w:t>
      </w:r>
      <w:r w:rsidRPr="00EC2817">
        <w:rPr>
          <w:b/>
          <w:bCs/>
          <w:color w:val="000000" w:themeColor="text1"/>
          <w:kern w:val="0"/>
          <w:szCs w:val="21"/>
        </w:rPr>
        <w:t>、教学考核评价</w:t>
      </w:r>
    </w:p>
    <w:p w14:paraId="5DC87183" w14:textId="77777777" w:rsidR="00374000" w:rsidRDefault="00374000" w:rsidP="00374000">
      <w:pPr>
        <w:widowControl/>
        <w:snapToGrid w:val="0"/>
        <w:spacing w:line="360" w:lineRule="auto"/>
        <w:ind w:firstLine="420"/>
        <w:jc w:val="left"/>
        <w:rPr>
          <w:rFonts w:ascii="宋体" w:hAnsi="宋体"/>
          <w:color w:val="0000FF"/>
        </w:rPr>
      </w:pPr>
      <w:r>
        <w:rPr>
          <w:rFonts w:hAnsi="宋体" w:hint="eastAsia"/>
          <w:b/>
          <w:bCs/>
          <w:kern w:val="0"/>
          <w:szCs w:val="21"/>
        </w:rPr>
        <w:t>1.</w:t>
      </w:r>
      <w:r>
        <w:rPr>
          <w:rFonts w:hAnsi="宋体" w:hint="eastAsia"/>
          <w:b/>
          <w:bCs/>
          <w:kern w:val="0"/>
          <w:szCs w:val="21"/>
        </w:rPr>
        <w:t>过程性评价：</w:t>
      </w:r>
      <w:r w:rsidRPr="003A6AF5">
        <w:rPr>
          <w:rFonts w:hAnsi="宋体" w:hint="eastAsia"/>
          <w:bCs/>
          <w:kern w:val="0"/>
          <w:szCs w:val="21"/>
        </w:rPr>
        <w:t>线上</w:t>
      </w:r>
      <w:r w:rsidRPr="003A6AF5">
        <w:rPr>
          <w:rFonts w:hAnsi="宋体"/>
          <w:bCs/>
          <w:kern w:val="0"/>
          <w:szCs w:val="21"/>
        </w:rPr>
        <w:t>学习、课后作业、实验报告、考勤等</w:t>
      </w:r>
      <w:r w:rsidRPr="003A6AF5">
        <w:rPr>
          <w:rFonts w:hAnsi="宋体" w:hint="eastAsia"/>
          <w:bCs/>
          <w:kern w:val="0"/>
          <w:szCs w:val="21"/>
        </w:rPr>
        <w:t>，</w:t>
      </w:r>
      <w:r w:rsidRPr="003A6AF5">
        <w:rPr>
          <w:rFonts w:hAnsi="宋体"/>
          <w:bCs/>
          <w:kern w:val="0"/>
          <w:szCs w:val="21"/>
        </w:rPr>
        <w:t>占</w:t>
      </w:r>
      <w:r w:rsidRPr="003A6AF5">
        <w:rPr>
          <w:rFonts w:hAnsi="宋体" w:hint="eastAsia"/>
          <w:bCs/>
          <w:kern w:val="0"/>
          <w:szCs w:val="21"/>
        </w:rPr>
        <w:t>40</w:t>
      </w:r>
      <w:r w:rsidRPr="003A6AF5">
        <w:rPr>
          <w:rFonts w:hAnsi="宋体"/>
          <w:bCs/>
          <w:kern w:val="0"/>
          <w:szCs w:val="21"/>
        </w:rPr>
        <w:t>%</w:t>
      </w:r>
      <w:r w:rsidRPr="003A6AF5">
        <w:rPr>
          <w:rFonts w:hAnsi="宋体"/>
          <w:bCs/>
          <w:kern w:val="0"/>
          <w:szCs w:val="21"/>
        </w:rPr>
        <w:t>。</w:t>
      </w:r>
    </w:p>
    <w:p w14:paraId="6DB7940A" w14:textId="77777777" w:rsidR="00374000" w:rsidRDefault="00374000" w:rsidP="00374000">
      <w:pPr>
        <w:widowControl/>
        <w:snapToGrid w:val="0"/>
        <w:spacing w:line="360" w:lineRule="auto"/>
        <w:ind w:firstLine="420"/>
        <w:jc w:val="left"/>
        <w:rPr>
          <w:rFonts w:ascii="宋体" w:hAnsi="宋体"/>
          <w:color w:val="0000FF"/>
        </w:rPr>
      </w:pPr>
      <w:r>
        <w:rPr>
          <w:rFonts w:hAnsi="宋体" w:hint="eastAsia"/>
          <w:b/>
          <w:bCs/>
          <w:kern w:val="0"/>
          <w:szCs w:val="21"/>
        </w:rPr>
        <w:t>2.</w:t>
      </w:r>
      <w:r>
        <w:rPr>
          <w:rFonts w:hAnsi="宋体" w:hint="eastAsia"/>
          <w:b/>
          <w:bCs/>
          <w:kern w:val="0"/>
          <w:szCs w:val="21"/>
        </w:rPr>
        <w:t>终结性评价：</w:t>
      </w:r>
      <w:r w:rsidRPr="003A6AF5">
        <w:rPr>
          <w:rFonts w:hAnsi="宋体" w:hint="eastAsia"/>
          <w:bCs/>
          <w:kern w:val="0"/>
          <w:szCs w:val="21"/>
        </w:rPr>
        <w:t>期末</w:t>
      </w:r>
      <w:r>
        <w:rPr>
          <w:rFonts w:hAnsi="宋体" w:hint="eastAsia"/>
          <w:bCs/>
          <w:kern w:val="0"/>
          <w:szCs w:val="21"/>
        </w:rPr>
        <w:t>考核</w:t>
      </w:r>
      <w:r w:rsidRPr="003A6AF5">
        <w:rPr>
          <w:rFonts w:hAnsi="宋体" w:hint="eastAsia"/>
          <w:bCs/>
          <w:kern w:val="0"/>
          <w:szCs w:val="21"/>
        </w:rPr>
        <w:t>，占</w:t>
      </w:r>
      <w:r w:rsidRPr="003A6AF5">
        <w:rPr>
          <w:rFonts w:hAnsi="宋体" w:hint="eastAsia"/>
          <w:bCs/>
          <w:kern w:val="0"/>
          <w:szCs w:val="21"/>
        </w:rPr>
        <w:t>60</w:t>
      </w:r>
      <w:r w:rsidRPr="003A6AF5">
        <w:rPr>
          <w:rFonts w:hAnsi="宋体"/>
          <w:bCs/>
          <w:kern w:val="0"/>
          <w:szCs w:val="21"/>
        </w:rPr>
        <w:t>%</w:t>
      </w:r>
      <w:r>
        <w:rPr>
          <w:rFonts w:ascii="宋体" w:hAnsi="宋体" w:hint="eastAsia"/>
          <w:color w:val="0000FF"/>
        </w:rPr>
        <w:t>。</w:t>
      </w:r>
    </w:p>
    <w:p w14:paraId="36B74197" w14:textId="77777777" w:rsidR="00374000" w:rsidRDefault="00374000" w:rsidP="00374000">
      <w:pPr>
        <w:widowControl/>
        <w:snapToGrid w:val="0"/>
        <w:spacing w:line="360" w:lineRule="auto"/>
        <w:ind w:firstLine="420"/>
        <w:jc w:val="left"/>
        <w:rPr>
          <w:rFonts w:hAnsi="宋体"/>
          <w:b/>
          <w:bCs/>
          <w:kern w:val="0"/>
          <w:szCs w:val="21"/>
        </w:rPr>
      </w:pPr>
      <w:r>
        <w:rPr>
          <w:rFonts w:hAnsi="宋体" w:hint="eastAsia"/>
          <w:b/>
          <w:bCs/>
          <w:kern w:val="0"/>
          <w:szCs w:val="21"/>
        </w:rPr>
        <w:t>3.</w:t>
      </w:r>
      <w:r>
        <w:rPr>
          <w:rFonts w:hAnsi="宋体" w:hint="eastAsia"/>
          <w:b/>
          <w:bCs/>
          <w:kern w:val="0"/>
          <w:szCs w:val="21"/>
        </w:rPr>
        <w:t>课程综合评价：</w:t>
      </w:r>
    </w:p>
    <w:p w14:paraId="2F5BFE5F" w14:textId="77777777" w:rsidR="00374000" w:rsidRPr="003A6AF5" w:rsidRDefault="00374000" w:rsidP="00374000">
      <w:pPr>
        <w:widowControl/>
        <w:snapToGrid w:val="0"/>
        <w:spacing w:line="360" w:lineRule="auto"/>
        <w:ind w:firstLine="420"/>
        <w:jc w:val="left"/>
        <w:rPr>
          <w:rFonts w:hAnsi="宋体"/>
          <w:bCs/>
          <w:color w:val="000000" w:themeColor="text1"/>
          <w:kern w:val="0"/>
          <w:szCs w:val="21"/>
        </w:rPr>
      </w:pPr>
      <w:r w:rsidRPr="003A6AF5">
        <w:rPr>
          <w:rFonts w:hAnsi="宋体" w:hint="eastAsia"/>
          <w:bCs/>
          <w:color w:val="000000" w:themeColor="text1"/>
          <w:kern w:val="0"/>
          <w:szCs w:val="21"/>
        </w:rPr>
        <w:t>综合成绩</w:t>
      </w:r>
      <w:r w:rsidRPr="003A6AF5">
        <w:rPr>
          <w:rFonts w:hAnsi="宋体" w:hint="eastAsia"/>
          <w:bCs/>
          <w:color w:val="000000" w:themeColor="text1"/>
          <w:kern w:val="0"/>
          <w:szCs w:val="21"/>
        </w:rPr>
        <w:t>=</w:t>
      </w:r>
      <w:r w:rsidRPr="003A6AF5">
        <w:rPr>
          <w:rFonts w:hAnsi="宋体" w:hint="eastAsia"/>
          <w:bCs/>
          <w:color w:val="000000" w:themeColor="text1"/>
          <w:kern w:val="0"/>
          <w:szCs w:val="21"/>
        </w:rPr>
        <w:t>期末成绩</w:t>
      </w:r>
      <w:r w:rsidRPr="003A6AF5">
        <w:rPr>
          <w:rFonts w:hAnsi="宋体" w:hint="eastAsia"/>
          <w:bCs/>
          <w:color w:val="000000" w:themeColor="text1"/>
          <w:kern w:val="0"/>
          <w:szCs w:val="21"/>
        </w:rPr>
        <w:t>*60%+</w:t>
      </w:r>
      <w:r w:rsidRPr="003A6AF5">
        <w:rPr>
          <w:rFonts w:hAnsi="宋体" w:hint="eastAsia"/>
          <w:bCs/>
          <w:color w:val="000000" w:themeColor="text1"/>
          <w:kern w:val="0"/>
          <w:szCs w:val="21"/>
        </w:rPr>
        <w:t>平时成绩</w:t>
      </w:r>
      <w:r w:rsidRPr="003A6AF5">
        <w:rPr>
          <w:rFonts w:hAnsi="宋体" w:hint="eastAsia"/>
          <w:bCs/>
          <w:color w:val="000000" w:themeColor="text1"/>
          <w:kern w:val="0"/>
          <w:szCs w:val="21"/>
        </w:rPr>
        <w:t>*40%</w:t>
      </w:r>
    </w:p>
    <w:p w14:paraId="773A450C" w14:textId="77777777" w:rsidR="00374000" w:rsidRPr="003A6AF5" w:rsidRDefault="00374000" w:rsidP="00374000">
      <w:pPr>
        <w:widowControl/>
        <w:snapToGrid w:val="0"/>
        <w:spacing w:line="360" w:lineRule="auto"/>
        <w:ind w:firstLine="420"/>
        <w:jc w:val="left"/>
        <w:rPr>
          <w:rFonts w:ascii="宋体" w:hAnsi="宋体"/>
          <w:color w:val="000000" w:themeColor="text1"/>
          <w:szCs w:val="21"/>
        </w:rPr>
      </w:pPr>
      <w:r w:rsidRPr="003A6AF5">
        <w:rPr>
          <w:rFonts w:hAnsi="宋体" w:hint="eastAsia"/>
          <w:bCs/>
          <w:color w:val="000000" w:themeColor="text1"/>
          <w:kern w:val="0"/>
          <w:szCs w:val="21"/>
        </w:rPr>
        <w:t>掌握</w:t>
      </w:r>
      <w:r w:rsidRPr="003A6AF5">
        <w:rPr>
          <w:rFonts w:hAnsi="宋体"/>
          <w:bCs/>
          <w:color w:val="000000" w:themeColor="text1"/>
          <w:kern w:val="0"/>
          <w:szCs w:val="21"/>
        </w:rPr>
        <w:t>基本理论知识，了解本领域发展前沿</w:t>
      </w:r>
      <w:r w:rsidRPr="003A6AF5">
        <w:rPr>
          <w:rFonts w:hAnsi="宋体" w:hint="eastAsia"/>
          <w:bCs/>
          <w:color w:val="000000" w:themeColor="text1"/>
          <w:kern w:val="0"/>
          <w:szCs w:val="21"/>
        </w:rPr>
        <w:t>，</w:t>
      </w:r>
      <w:r w:rsidRPr="003A6AF5">
        <w:rPr>
          <w:rFonts w:hAnsi="宋体"/>
          <w:bCs/>
          <w:color w:val="000000" w:themeColor="text1"/>
          <w:kern w:val="0"/>
          <w:szCs w:val="21"/>
        </w:rPr>
        <w:t>能够发现并解决生产中的问题，具有一定的创新创造能力</w:t>
      </w:r>
      <w:r w:rsidRPr="003A6AF5">
        <w:rPr>
          <w:rFonts w:hAnsi="宋体" w:hint="eastAsia"/>
          <w:bCs/>
          <w:color w:val="000000" w:themeColor="text1"/>
          <w:kern w:val="0"/>
          <w:szCs w:val="21"/>
        </w:rPr>
        <w:t>。</w:t>
      </w:r>
    </w:p>
    <w:p w14:paraId="3804A18E" w14:textId="77777777" w:rsidR="00374000" w:rsidRPr="00890F27" w:rsidRDefault="00374000">
      <w:pPr>
        <w:widowControl/>
        <w:jc w:val="left"/>
        <w:rPr>
          <w:rFonts w:ascii="宋体" w:hAnsi="宋体" w:cs="Arial Unicode MS"/>
          <w:b/>
          <w:bCs/>
          <w:kern w:val="0"/>
          <w:sz w:val="72"/>
          <w:szCs w:val="72"/>
        </w:rPr>
        <w:sectPr w:rsidR="00374000" w:rsidRPr="00890F27">
          <w:footerReference w:type="default" r:id="rId25"/>
          <w:pgSz w:w="11906" w:h="16838"/>
          <w:pgMar w:top="1418" w:right="1588" w:bottom="1588" w:left="1418" w:header="851" w:footer="992" w:gutter="0"/>
          <w:pgNumType w:start="1"/>
          <w:cols w:space="425"/>
          <w:docGrid w:type="lines" w:linePitch="312"/>
        </w:sectPr>
      </w:pPr>
    </w:p>
    <w:p w14:paraId="549580B7" w14:textId="77777777" w:rsidR="005C191C" w:rsidRDefault="005C191C">
      <w:pPr>
        <w:widowControl/>
        <w:jc w:val="center"/>
        <w:rPr>
          <w:rFonts w:ascii="宋体" w:hAnsi="宋体" w:cs="Arial Unicode MS"/>
          <w:b/>
          <w:bCs/>
          <w:kern w:val="0"/>
          <w:sz w:val="72"/>
          <w:szCs w:val="72"/>
        </w:rPr>
      </w:pPr>
    </w:p>
    <w:p w14:paraId="3D059DB1" w14:textId="77777777" w:rsidR="005C191C" w:rsidRDefault="005C191C">
      <w:pPr>
        <w:widowControl/>
        <w:jc w:val="center"/>
        <w:rPr>
          <w:rFonts w:ascii="宋体" w:hAnsi="宋体" w:cs="Arial Unicode MS"/>
          <w:b/>
          <w:bCs/>
          <w:kern w:val="0"/>
          <w:sz w:val="72"/>
          <w:szCs w:val="72"/>
        </w:rPr>
      </w:pPr>
    </w:p>
    <w:p w14:paraId="032AADA8" w14:textId="77777777" w:rsidR="005C191C" w:rsidRDefault="005C191C">
      <w:pPr>
        <w:widowControl/>
        <w:jc w:val="center"/>
        <w:rPr>
          <w:rFonts w:ascii="宋体" w:hAnsi="宋体" w:cs="Arial Unicode MS"/>
          <w:b/>
          <w:bCs/>
          <w:kern w:val="0"/>
          <w:sz w:val="72"/>
          <w:szCs w:val="72"/>
        </w:rPr>
      </w:pPr>
    </w:p>
    <w:p w14:paraId="29F88F69" w14:textId="77777777" w:rsidR="005C191C" w:rsidRDefault="005C191C">
      <w:pPr>
        <w:widowControl/>
        <w:jc w:val="center"/>
        <w:rPr>
          <w:rFonts w:ascii="宋体" w:hAnsi="宋体" w:cs="Arial Unicode MS"/>
          <w:b/>
          <w:bCs/>
          <w:kern w:val="0"/>
          <w:sz w:val="72"/>
          <w:szCs w:val="72"/>
        </w:rPr>
      </w:pPr>
    </w:p>
    <w:p w14:paraId="1A7D8D8A" w14:textId="1754C439" w:rsidR="00F5289E" w:rsidRDefault="00C91173">
      <w:pPr>
        <w:widowControl/>
        <w:jc w:val="center"/>
        <w:rPr>
          <w:rFonts w:ascii="宋体" w:hAnsi="宋体" w:cs="Arial Unicode MS"/>
          <w:b/>
          <w:bCs/>
          <w:kern w:val="0"/>
          <w:sz w:val="72"/>
          <w:szCs w:val="72"/>
        </w:rPr>
      </w:pPr>
      <w:r>
        <w:rPr>
          <w:rFonts w:ascii="宋体" w:hAnsi="宋体" w:cs="Arial Unicode MS" w:hint="eastAsia"/>
          <w:b/>
          <w:bCs/>
          <w:kern w:val="0"/>
          <w:sz w:val="72"/>
          <w:szCs w:val="72"/>
        </w:rPr>
        <w:t>第二篇 实习教学大纲</w:t>
      </w:r>
    </w:p>
    <w:p w14:paraId="5DAB9A4F"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pPr>
    </w:p>
    <w:p w14:paraId="1B4BA4DD"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pPr>
    </w:p>
    <w:p w14:paraId="400075CC"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pPr>
    </w:p>
    <w:p w14:paraId="6CB3DFD5"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sectPr w:rsidR="00F5289E">
          <w:footerReference w:type="default" r:id="rId26"/>
          <w:pgSz w:w="11906" w:h="16838"/>
          <w:pgMar w:top="1418" w:right="1588" w:bottom="1588" w:left="1418" w:header="851" w:footer="992" w:gutter="0"/>
          <w:pgNumType w:start="1"/>
          <w:cols w:space="425"/>
          <w:docGrid w:type="lines" w:linePitch="312"/>
        </w:sectPr>
      </w:pPr>
    </w:p>
    <w:p w14:paraId="4B9EEE95" w14:textId="77777777" w:rsidR="00F5289E" w:rsidRDefault="00C91173">
      <w:pPr>
        <w:pStyle w:val="1"/>
      </w:pPr>
      <w:bookmarkStart w:id="166" w:name="_Toc138606270"/>
      <w:r>
        <w:rPr>
          <w:rFonts w:hint="eastAsia"/>
        </w:rPr>
        <w:lastRenderedPageBreak/>
        <w:t>设施农业科学与工程实习教学大纲</w:t>
      </w:r>
      <w:bookmarkEnd w:id="166"/>
    </w:p>
    <w:p w14:paraId="2B339BE1" w14:textId="77777777" w:rsidR="00F5289E" w:rsidRDefault="00C91173">
      <w:pPr>
        <w:snapToGrid w:val="0"/>
        <w:spacing w:line="360" w:lineRule="auto"/>
        <w:jc w:val="center"/>
        <w:rPr>
          <w:color w:val="000000" w:themeColor="text1"/>
          <w:sz w:val="24"/>
        </w:rPr>
      </w:pPr>
      <w:r>
        <w:rPr>
          <w:sz w:val="24"/>
        </w:rPr>
        <w:t>（</w:t>
      </w:r>
      <w:r>
        <w:rPr>
          <w:color w:val="000000" w:themeColor="text1"/>
          <w:sz w:val="24"/>
        </w:rPr>
        <w:t>The Outline of Practice Teaching in Facility Agriculture Science and Engineering</w:t>
      </w:r>
      <w:r>
        <w:rPr>
          <w:color w:val="000000" w:themeColor="text1"/>
          <w:sz w:val="24"/>
        </w:rPr>
        <w:t>）</w:t>
      </w:r>
    </w:p>
    <w:p w14:paraId="75EFC0BB" w14:textId="77777777" w:rsidR="00F5289E" w:rsidRDefault="00F5289E">
      <w:pPr>
        <w:spacing w:line="300" w:lineRule="auto"/>
        <w:rPr>
          <w:color w:val="000000" w:themeColor="text1"/>
        </w:rPr>
      </w:pPr>
    </w:p>
    <w:p w14:paraId="09C1B668"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szCs w:val="21"/>
        </w:rPr>
        <w:t>一、前言</w:t>
      </w:r>
    </w:p>
    <w:p w14:paraId="677F599E"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themeColor="text1"/>
          <w:szCs w:val="21"/>
        </w:rPr>
      </w:pPr>
      <w:r>
        <w:rPr>
          <w:rFonts w:ascii="宋体" w:hAnsi="宋体" w:cs="宋体" w:hint="eastAsia"/>
          <w:color w:val="000000" w:themeColor="text1"/>
          <w:kern w:val="0"/>
          <w:szCs w:val="21"/>
        </w:rPr>
        <w:t>设施农业科学与工程专业是一个边缘学科。学科专业涵盖建筑科学、环境科学和农业（生物）科学的知识范畴，也是理论和实践结合度很高的学科，要有大量的实践知识才能了解、理解和掌握该学科的内容。本专业安排了军事理论及训练、课程实习、生产实习、毕业实习（毕业论文或毕业设计）、社会实践等层次等实践教学环节。军事理论及训练在入学后进行，由校武装部组织开展，本大纲不涉及。课程实习主要安排了1</w:t>
      </w:r>
      <w:r>
        <w:rPr>
          <w:rFonts w:ascii="宋体" w:hAnsi="宋体" w:cs="宋体"/>
          <w:color w:val="000000" w:themeColor="text1"/>
          <w:kern w:val="0"/>
          <w:szCs w:val="21"/>
        </w:rPr>
        <w:t>0</w:t>
      </w:r>
      <w:r>
        <w:rPr>
          <w:rFonts w:ascii="宋体" w:hAnsi="宋体" w:cs="宋体" w:hint="eastAsia"/>
          <w:color w:val="000000" w:themeColor="text1"/>
          <w:kern w:val="0"/>
          <w:szCs w:val="21"/>
        </w:rPr>
        <w:t>门实践性较强的课程，每门课安排一个综合实习，包括植物学、设施环境与调控、工厂化育苗原理与技术、设施蔬菜栽培、农业设施工程学、园艺植物病虫害防治、设施花卉栽培学、设施果树栽培学、无土栽培学、农业园区规划与管理，有参观考察、有装置制作，也有图纸绘制等可以在授课学期进行，也可综合开展。生产实习结合毕业实习进行，安排在第6学期，可以使学生进行一个生于周期的实习。毕业论文数据的收集结合生产实习进行。毕业论文的撰写和答辩安排在第8学期进行。社会实践活动贯穿在整个学习周期，第一学期以了解专业内容、巩固专业思想组织专业参观学习，第二学期以后主要结合课程的展开，以暑期社会实践活动的形式，围绕专业开着那社会调查和考察进行。使实践教学贯穿于整个学习过程。</w:t>
      </w:r>
    </w:p>
    <w:p w14:paraId="1B9DF830" w14:textId="77777777" w:rsidR="00F5289E" w:rsidRDefault="00C91173">
      <w:pPr>
        <w:snapToGrid w:val="0"/>
        <w:spacing w:line="360" w:lineRule="auto"/>
        <w:jc w:val="center"/>
        <w:rPr>
          <w:rFonts w:ascii="宋体" w:hAnsi="宋体"/>
          <w:b/>
          <w:color w:val="000000"/>
          <w:szCs w:val="21"/>
        </w:rPr>
      </w:pPr>
      <w:r>
        <w:rPr>
          <w:rFonts w:ascii="宋体" w:hAnsi="宋体" w:cs="宋体"/>
          <w:b/>
          <w:kern w:val="0"/>
          <w:szCs w:val="21"/>
        </w:rPr>
        <w:t>总体要求与学分分配</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138"/>
        <w:gridCol w:w="997"/>
        <w:gridCol w:w="2572"/>
      </w:tblGrid>
      <w:tr w:rsidR="00F5289E" w14:paraId="07B32195" w14:textId="77777777">
        <w:trPr>
          <w:jc w:val="center"/>
        </w:trPr>
        <w:tc>
          <w:tcPr>
            <w:tcW w:w="2291" w:type="pct"/>
            <w:tcBorders>
              <w:left w:val="single" w:sz="4" w:space="0" w:color="auto"/>
            </w:tcBorders>
            <w:shd w:val="clear" w:color="auto" w:fill="EEECE1" w:themeFill="background2"/>
          </w:tcPr>
          <w:p w14:paraId="16471199" w14:textId="77777777" w:rsidR="00F5289E" w:rsidRDefault="00C91173">
            <w:pPr>
              <w:jc w:val="center"/>
              <w:rPr>
                <w:rFonts w:ascii="宋体" w:hAnsi="宋体"/>
                <w:b/>
                <w:sz w:val="18"/>
                <w:szCs w:val="18"/>
              </w:rPr>
            </w:pPr>
            <w:r>
              <w:rPr>
                <w:rFonts w:ascii="宋体" w:hAnsi="宋体" w:hint="eastAsia"/>
                <w:b/>
                <w:sz w:val="18"/>
                <w:szCs w:val="18"/>
              </w:rPr>
              <w:t>实践环节</w:t>
            </w:r>
          </w:p>
        </w:tc>
        <w:tc>
          <w:tcPr>
            <w:tcW w:w="655" w:type="pct"/>
            <w:shd w:val="clear" w:color="auto" w:fill="EEECE1" w:themeFill="background2"/>
          </w:tcPr>
          <w:p w14:paraId="3F7ACAFC" w14:textId="77777777" w:rsidR="00F5289E" w:rsidRDefault="00C91173">
            <w:pPr>
              <w:jc w:val="center"/>
              <w:rPr>
                <w:rFonts w:ascii="宋体" w:hAnsi="宋体"/>
                <w:b/>
                <w:sz w:val="18"/>
                <w:szCs w:val="18"/>
              </w:rPr>
            </w:pPr>
            <w:r>
              <w:rPr>
                <w:rFonts w:ascii="宋体" w:hAnsi="宋体" w:hint="eastAsia"/>
                <w:b/>
                <w:sz w:val="18"/>
                <w:szCs w:val="18"/>
              </w:rPr>
              <w:t>学时（周）</w:t>
            </w:r>
          </w:p>
        </w:tc>
        <w:tc>
          <w:tcPr>
            <w:tcW w:w="574" w:type="pct"/>
            <w:shd w:val="clear" w:color="auto" w:fill="EEECE1" w:themeFill="background2"/>
          </w:tcPr>
          <w:p w14:paraId="64CA0C6C" w14:textId="77777777" w:rsidR="00F5289E" w:rsidRDefault="00C91173">
            <w:pPr>
              <w:jc w:val="center"/>
              <w:rPr>
                <w:rFonts w:ascii="宋体" w:hAnsi="宋体"/>
                <w:b/>
                <w:sz w:val="18"/>
                <w:szCs w:val="18"/>
              </w:rPr>
            </w:pPr>
            <w:r>
              <w:rPr>
                <w:rFonts w:ascii="宋体" w:hAnsi="宋体" w:hint="eastAsia"/>
                <w:b/>
                <w:sz w:val="18"/>
                <w:szCs w:val="18"/>
              </w:rPr>
              <w:t>学分</w:t>
            </w:r>
          </w:p>
        </w:tc>
        <w:tc>
          <w:tcPr>
            <w:tcW w:w="1480" w:type="pct"/>
            <w:tcBorders>
              <w:right w:val="single" w:sz="4" w:space="0" w:color="auto"/>
            </w:tcBorders>
            <w:shd w:val="clear" w:color="auto" w:fill="EEECE1" w:themeFill="background2"/>
          </w:tcPr>
          <w:p w14:paraId="364B7423" w14:textId="77777777" w:rsidR="00F5289E" w:rsidRDefault="00C91173">
            <w:pPr>
              <w:jc w:val="center"/>
              <w:rPr>
                <w:rFonts w:ascii="宋体" w:hAnsi="宋体"/>
                <w:b/>
                <w:sz w:val="18"/>
                <w:szCs w:val="18"/>
              </w:rPr>
            </w:pPr>
            <w:r>
              <w:rPr>
                <w:rFonts w:ascii="宋体" w:hAnsi="宋体" w:hint="eastAsia"/>
                <w:b/>
                <w:sz w:val="18"/>
                <w:szCs w:val="18"/>
              </w:rPr>
              <w:t>时间安排</w:t>
            </w:r>
          </w:p>
        </w:tc>
      </w:tr>
      <w:tr w:rsidR="00F5289E" w14:paraId="4F650E32" w14:textId="77777777">
        <w:trPr>
          <w:jc w:val="center"/>
        </w:trPr>
        <w:tc>
          <w:tcPr>
            <w:tcW w:w="2291" w:type="pct"/>
            <w:tcBorders>
              <w:left w:val="single" w:sz="4" w:space="0" w:color="auto"/>
            </w:tcBorders>
            <w:vAlign w:val="center"/>
          </w:tcPr>
          <w:p w14:paraId="196B6AB7" w14:textId="77777777" w:rsidR="00F5289E" w:rsidRDefault="00C91173">
            <w:pPr>
              <w:jc w:val="left"/>
              <w:rPr>
                <w:rFonts w:ascii="宋体" w:hAnsi="宋体"/>
                <w:sz w:val="18"/>
                <w:szCs w:val="18"/>
              </w:rPr>
            </w:pPr>
            <w:r>
              <w:rPr>
                <w:rFonts w:ascii="宋体" w:hAnsi="宋体" w:hint="eastAsia"/>
                <w:sz w:val="18"/>
                <w:szCs w:val="18"/>
              </w:rPr>
              <w:t>设施环境与调控实习</w:t>
            </w:r>
          </w:p>
        </w:tc>
        <w:tc>
          <w:tcPr>
            <w:tcW w:w="655" w:type="pct"/>
            <w:vAlign w:val="center"/>
          </w:tcPr>
          <w:p w14:paraId="48E9A241"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46028529"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69BB3ECC" w14:textId="77777777" w:rsidR="00F5289E" w:rsidRDefault="00C91173">
            <w:pPr>
              <w:jc w:val="center"/>
            </w:pPr>
            <w:r>
              <w:rPr>
                <w:rFonts w:ascii="宋体" w:hAnsi="宋体" w:hint="eastAsia"/>
                <w:sz w:val="18"/>
                <w:szCs w:val="18"/>
              </w:rPr>
              <w:t>第</w:t>
            </w:r>
            <w:r>
              <w:rPr>
                <w:rFonts w:ascii="宋体" w:hAnsi="宋体"/>
                <w:sz w:val="18"/>
                <w:szCs w:val="18"/>
              </w:rPr>
              <w:t>4</w:t>
            </w:r>
            <w:r>
              <w:rPr>
                <w:rFonts w:ascii="宋体" w:hAnsi="宋体" w:hint="eastAsia"/>
                <w:sz w:val="18"/>
                <w:szCs w:val="18"/>
              </w:rPr>
              <w:t>学期</w:t>
            </w:r>
          </w:p>
        </w:tc>
      </w:tr>
      <w:tr w:rsidR="00F5289E" w14:paraId="20CDC2A2" w14:textId="77777777">
        <w:trPr>
          <w:jc w:val="center"/>
        </w:trPr>
        <w:tc>
          <w:tcPr>
            <w:tcW w:w="2291" w:type="pct"/>
            <w:tcBorders>
              <w:left w:val="single" w:sz="4" w:space="0" w:color="auto"/>
            </w:tcBorders>
            <w:vAlign w:val="center"/>
          </w:tcPr>
          <w:p w14:paraId="72DE7831" w14:textId="77777777" w:rsidR="00F5289E" w:rsidRDefault="00C91173">
            <w:pPr>
              <w:jc w:val="left"/>
              <w:rPr>
                <w:rFonts w:ascii="宋体" w:hAnsi="宋体"/>
                <w:sz w:val="18"/>
                <w:szCs w:val="18"/>
              </w:rPr>
            </w:pPr>
            <w:r>
              <w:rPr>
                <w:rFonts w:ascii="宋体" w:hAnsi="宋体" w:hint="eastAsia"/>
                <w:sz w:val="18"/>
                <w:szCs w:val="18"/>
              </w:rPr>
              <w:t>工厂化育苗原理与技术实习</w:t>
            </w:r>
          </w:p>
        </w:tc>
        <w:tc>
          <w:tcPr>
            <w:tcW w:w="655" w:type="pct"/>
            <w:vAlign w:val="center"/>
          </w:tcPr>
          <w:p w14:paraId="5BB5DC72"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6AD6E9F0"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51D984F0" w14:textId="77777777" w:rsidR="00F5289E" w:rsidRDefault="00C91173">
            <w:pPr>
              <w:jc w:val="center"/>
            </w:pPr>
            <w:r>
              <w:rPr>
                <w:rFonts w:ascii="宋体" w:hAnsi="宋体" w:hint="eastAsia"/>
                <w:sz w:val="18"/>
                <w:szCs w:val="18"/>
              </w:rPr>
              <w:t>第4学期</w:t>
            </w:r>
          </w:p>
        </w:tc>
      </w:tr>
      <w:tr w:rsidR="00F5289E" w14:paraId="7D86237A" w14:textId="77777777">
        <w:trPr>
          <w:jc w:val="center"/>
        </w:trPr>
        <w:tc>
          <w:tcPr>
            <w:tcW w:w="2291" w:type="pct"/>
            <w:tcBorders>
              <w:left w:val="single" w:sz="4" w:space="0" w:color="auto"/>
            </w:tcBorders>
            <w:vAlign w:val="center"/>
          </w:tcPr>
          <w:p w14:paraId="10B0735B" w14:textId="77777777" w:rsidR="00F5289E" w:rsidRDefault="00C91173">
            <w:pPr>
              <w:jc w:val="left"/>
              <w:rPr>
                <w:rFonts w:ascii="宋体" w:hAnsi="宋体"/>
                <w:sz w:val="18"/>
                <w:szCs w:val="18"/>
              </w:rPr>
            </w:pPr>
            <w:r>
              <w:rPr>
                <w:rFonts w:ascii="宋体" w:hAnsi="宋体" w:hint="eastAsia"/>
                <w:sz w:val="18"/>
                <w:szCs w:val="18"/>
              </w:rPr>
              <w:t>设施蔬菜栽培学实习</w:t>
            </w:r>
          </w:p>
        </w:tc>
        <w:tc>
          <w:tcPr>
            <w:tcW w:w="655" w:type="pct"/>
            <w:vAlign w:val="center"/>
          </w:tcPr>
          <w:p w14:paraId="5C462DDE" w14:textId="77777777" w:rsidR="00F5289E" w:rsidRDefault="00C91173">
            <w:pPr>
              <w:jc w:val="center"/>
              <w:rPr>
                <w:rFonts w:ascii="宋体" w:hAnsi="宋体"/>
                <w:sz w:val="18"/>
                <w:szCs w:val="18"/>
              </w:rPr>
            </w:pPr>
            <w:r>
              <w:rPr>
                <w:rFonts w:ascii="宋体" w:hAnsi="宋体"/>
                <w:sz w:val="18"/>
                <w:szCs w:val="18"/>
              </w:rPr>
              <w:t>10</w:t>
            </w:r>
          </w:p>
        </w:tc>
        <w:tc>
          <w:tcPr>
            <w:tcW w:w="574" w:type="pct"/>
            <w:vAlign w:val="center"/>
          </w:tcPr>
          <w:p w14:paraId="0B5A8640" w14:textId="77777777" w:rsidR="00F5289E" w:rsidRDefault="00C91173">
            <w:pPr>
              <w:jc w:val="center"/>
              <w:rPr>
                <w:rFonts w:ascii="宋体" w:hAnsi="宋体"/>
                <w:sz w:val="18"/>
                <w:szCs w:val="18"/>
              </w:rPr>
            </w:pPr>
            <w:r>
              <w:rPr>
                <w:rFonts w:ascii="宋体" w:hAnsi="宋体"/>
                <w:sz w:val="18"/>
                <w:szCs w:val="18"/>
              </w:rPr>
              <w:t>1</w:t>
            </w:r>
          </w:p>
        </w:tc>
        <w:tc>
          <w:tcPr>
            <w:tcW w:w="1480" w:type="pct"/>
            <w:tcBorders>
              <w:right w:val="single" w:sz="4" w:space="0" w:color="auto"/>
            </w:tcBorders>
          </w:tcPr>
          <w:p w14:paraId="2ADD0E9B" w14:textId="77777777" w:rsidR="00F5289E" w:rsidRDefault="00C91173">
            <w:pPr>
              <w:jc w:val="center"/>
            </w:pPr>
            <w:r>
              <w:rPr>
                <w:rFonts w:ascii="宋体" w:hAnsi="宋体" w:hint="eastAsia"/>
                <w:sz w:val="18"/>
                <w:szCs w:val="18"/>
              </w:rPr>
              <w:t>第</w:t>
            </w:r>
            <w:r>
              <w:rPr>
                <w:rFonts w:ascii="宋体" w:hAnsi="宋体"/>
                <w:sz w:val="18"/>
                <w:szCs w:val="18"/>
              </w:rPr>
              <w:t>4</w:t>
            </w:r>
            <w:r>
              <w:rPr>
                <w:rFonts w:ascii="宋体" w:hAnsi="宋体" w:hint="eastAsia"/>
                <w:sz w:val="18"/>
                <w:szCs w:val="18"/>
              </w:rPr>
              <w:t>学期</w:t>
            </w:r>
          </w:p>
        </w:tc>
      </w:tr>
      <w:tr w:rsidR="00F5289E" w14:paraId="3D17EFCA" w14:textId="77777777">
        <w:trPr>
          <w:jc w:val="center"/>
        </w:trPr>
        <w:tc>
          <w:tcPr>
            <w:tcW w:w="2291" w:type="pct"/>
            <w:tcBorders>
              <w:left w:val="single" w:sz="4" w:space="0" w:color="auto"/>
            </w:tcBorders>
            <w:vAlign w:val="center"/>
          </w:tcPr>
          <w:p w14:paraId="1E0BF0FD" w14:textId="77777777" w:rsidR="00F5289E" w:rsidRDefault="00C91173">
            <w:pPr>
              <w:jc w:val="left"/>
              <w:rPr>
                <w:rFonts w:ascii="宋体" w:hAnsi="宋体"/>
                <w:sz w:val="18"/>
                <w:szCs w:val="18"/>
              </w:rPr>
            </w:pPr>
            <w:r>
              <w:rPr>
                <w:rFonts w:ascii="宋体" w:hAnsi="宋体" w:hint="eastAsia"/>
                <w:sz w:val="18"/>
                <w:szCs w:val="18"/>
              </w:rPr>
              <w:t>农业设施工程学实习</w:t>
            </w:r>
          </w:p>
        </w:tc>
        <w:tc>
          <w:tcPr>
            <w:tcW w:w="655" w:type="pct"/>
            <w:vAlign w:val="center"/>
          </w:tcPr>
          <w:p w14:paraId="4B28E284"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7A86BC2A"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1DED8BC6" w14:textId="77777777" w:rsidR="00F5289E" w:rsidRDefault="00C91173">
            <w:pPr>
              <w:jc w:val="center"/>
            </w:pPr>
            <w:r>
              <w:rPr>
                <w:rFonts w:ascii="宋体" w:hAnsi="宋体" w:hint="eastAsia"/>
                <w:sz w:val="18"/>
                <w:szCs w:val="18"/>
              </w:rPr>
              <w:t>第</w:t>
            </w:r>
            <w:r>
              <w:rPr>
                <w:rFonts w:ascii="宋体" w:hAnsi="宋体"/>
                <w:sz w:val="18"/>
                <w:szCs w:val="18"/>
              </w:rPr>
              <w:t>4</w:t>
            </w:r>
            <w:r>
              <w:rPr>
                <w:rFonts w:ascii="宋体" w:hAnsi="宋体" w:hint="eastAsia"/>
                <w:sz w:val="18"/>
                <w:szCs w:val="18"/>
              </w:rPr>
              <w:t>学期</w:t>
            </w:r>
          </w:p>
        </w:tc>
      </w:tr>
      <w:tr w:rsidR="00F5289E" w14:paraId="7FD2E510" w14:textId="77777777">
        <w:trPr>
          <w:jc w:val="center"/>
        </w:trPr>
        <w:tc>
          <w:tcPr>
            <w:tcW w:w="2291" w:type="pct"/>
            <w:tcBorders>
              <w:left w:val="single" w:sz="4" w:space="0" w:color="auto"/>
            </w:tcBorders>
            <w:vAlign w:val="center"/>
          </w:tcPr>
          <w:p w14:paraId="7EB2643B" w14:textId="77777777" w:rsidR="00F5289E" w:rsidRDefault="00C91173">
            <w:pPr>
              <w:jc w:val="left"/>
              <w:rPr>
                <w:rFonts w:ascii="宋体" w:hAnsi="宋体"/>
                <w:sz w:val="18"/>
                <w:szCs w:val="18"/>
              </w:rPr>
            </w:pPr>
            <w:r>
              <w:rPr>
                <w:rFonts w:ascii="宋体" w:hAnsi="宋体" w:hint="eastAsia"/>
                <w:sz w:val="18"/>
                <w:szCs w:val="18"/>
              </w:rPr>
              <w:t>设施花卉栽培学实习</w:t>
            </w:r>
          </w:p>
        </w:tc>
        <w:tc>
          <w:tcPr>
            <w:tcW w:w="655" w:type="pct"/>
            <w:vAlign w:val="center"/>
          </w:tcPr>
          <w:p w14:paraId="1CBC3A19"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7C0DA4EC"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vAlign w:val="center"/>
          </w:tcPr>
          <w:p w14:paraId="327CFBC1" w14:textId="77777777" w:rsidR="00F5289E" w:rsidRDefault="00C91173">
            <w:pPr>
              <w:jc w:val="center"/>
              <w:rPr>
                <w:rFonts w:ascii="宋体" w:hAnsi="宋体"/>
                <w:sz w:val="18"/>
                <w:szCs w:val="18"/>
              </w:rPr>
            </w:pPr>
            <w:r>
              <w:rPr>
                <w:rFonts w:ascii="宋体" w:hAnsi="宋体" w:hint="eastAsia"/>
                <w:sz w:val="18"/>
                <w:szCs w:val="18"/>
              </w:rPr>
              <w:t>第</w:t>
            </w:r>
            <w:r>
              <w:rPr>
                <w:rFonts w:ascii="宋体" w:hAnsi="宋体"/>
                <w:sz w:val="18"/>
                <w:szCs w:val="18"/>
              </w:rPr>
              <w:t>5</w:t>
            </w:r>
            <w:r>
              <w:rPr>
                <w:rFonts w:ascii="宋体" w:hAnsi="宋体" w:hint="eastAsia"/>
                <w:sz w:val="18"/>
                <w:szCs w:val="18"/>
              </w:rPr>
              <w:t>学期</w:t>
            </w:r>
          </w:p>
        </w:tc>
      </w:tr>
      <w:tr w:rsidR="00F5289E" w14:paraId="234D2323" w14:textId="77777777">
        <w:trPr>
          <w:jc w:val="center"/>
        </w:trPr>
        <w:tc>
          <w:tcPr>
            <w:tcW w:w="2291" w:type="pct"/>
            <w:tcBorders>
              <w:left w:val="single" w:sz="4" w:space="0" w:color="auto"/>
            </w:tcBorders>
            <w:vAlign w:val="center"/>
          </w:tcPr>
          <w:p w14:paraId="58AAA1BA" w14:textId="77777777" w:rsidR="00F5289E" w:rsidRDefault="00C91173">
            <w:pPr>
              <w:jc w:val="left"/>
              <w:rPr>
                <w:rFonts w:ascii="宋体" w:hAnsi="宋体"/>
                <w:sz w:val="18"/>
                <w:szCs w:val="18"/>
              </w:rPr>
            </w:pPr>
            <w:r>
              <w:rPr>
                <w:rFonts w:ascii="宋体" w:hAnsi="宋体" w:hint="eastAsia"/>
                <w:sz w:val="18"/>
                <w:szCs w:val="18"/>
              </w:rPr>
              <w:t>设施果树栽培学实习</w:t>
            </w:r>
          </w:p>
        </w:tc>
        <w:tc>
          <w:tcPr>
            <w:tcW w:w="655" w:type="pct"/>
            <w:vAlign w:val="center"/>
          </w:tcPr>
          <w:p w14:paraId="250B53C8"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3E99F91F"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33F6EF75" w14:textId="77777777" w:rsidR="00F5289E" w:rsidRDefault="00C91173">
            <w:pPr>
              <w:jc w:val="center"/>
            </w:pPr>
            <w:r>
              <w:rPr>
                <w:rFonts w:ascii="宋体" w:hAnsi="宋体" w:hint="eastAsia"/>
                <w:sz w:val="18"/>
                <w:szCs w:val="18"/>
              </w:rPr>
              <w:t>第</w:t>
            </w:r>
            <w:r>
              <w:rPr>
                <w:rFonts w:ascii="宋体" w:hAnsi="宋体"/>
                <w:sz w:val="18"/>
                <w:szCs w:val="18"/>
              </w:rPr>
              <w:t>5</w:t>
            </w:r>
            <w:r>
              <w:rPr>
                <w:rFonts w:ascii="宋体" w:hAnsi="宋体" w:hint="eastAsia"/>
                <w:sz w:val="18"/>
                <w:szCs w:val="18"/>
              </w:rPr>
              <w:t>学期</w:t>
            </w:r>
          </w:p>
        </w:tc>
      </w:tr>
      <w:tr w:rsidR="00F5289E" w14:paraId="1FC17536" w14:textId="77777777">
        <w:trPr>
          <w:jc w:val="center"/>
        </w:trPr>
        <w:tc>
          <w:tcPr>
            <w:tcW w:w="2291" w:type="pct"/>
            <w:tcBorders>
              <w:left w:val="single" w:sz="4" w:space="0" w:color="auto"/>
            </w:tcBorders>
            <w:vAlign w:val="center"/>
          </w:tcPr>
          <w:p w14:paraId="6149C211" w14:textId="77777777" w:rsidR="00F5289E" w:rsidRDefault="00C91173">
            <w:pPr>
              <w:jc w:val="left"/>
              <w:rPr>
                <w:rFonts w:ascii="宋体" w:hAnsi="宋体"/>
                <w:sz w:val="18"/>
                <w:szCs w:val="18"/>
              </w:rPr>
            </w:pPr>
            <w:r>
              <w:rPr>
                <w:rFonts w:ascii="宋体" w:hAnsi="宋体" w:hint="eastAsia"/>
                <w:sz w:val="18"/>
                <w:szCs w:val="18"/>
              </w:rPr>
              <w:t>无土栽培学实习</w:t>
            </w:r>
          </w:p>
        </w:tc>
        <w:tc>
          <w:tcPr>
            <w:tcW w:w="655" w:type="pct"/>
            <w:vAlign w:val="center"/>
          </w:tcPr>
          <w:p w14:paraId="65A6E389"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4E73E50C"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4F26D4E0" w14:textId="77777777" w:rsidR="00F5289E" w:rsidRDefault="00C91173">
            <w:pPr>
              <w:jc w:val="center"/>
            </w:pPr>
            <w:r>
              <w:rPr>
                <w:rFonts w:ascii="宋体" w:hAnsi="宋体" w:hint="eastAsia"/>
                <w:sz w:val="18"/>
                <w:szCs w:val="18"/>
              </w:rPr>
              <w:t>第</w:t>
            </w:r>
            <w:r>
              <w:rPr>
                <w:rFonts w:ascii="宋体" w:hAnsi="宋体"/>
                <w:sz w:val="18"/>
                <w:szCs w:val="18"/>
              </w:rPr>
              <w:t>5</w:t>
            </w:r>
            <w:r>
              <w:rPr>
                <w:rFonts w:ascii="宋体" w:hAnsi="宋体" w:hint="eastAsia"/>
                <w:sz w:val="18"/>
                <w:szCs w:val="18"/>
              </w:rPr>
              <w:t>学期</w:t>
            </w:r>
          </w:p>
        </w:tc>
      </w:tr>
      <w:tr w:rsidR="00F5289E" w14:paraId="7F73376F" w14:textId="77777777">
        <w:trPr>
          <w:jc w:val="center"/>
        </w:trPr>
        <w:tc>
          <w:tcPr>
            <w:tcW w:w="2291" w:type="pct"/>
            <w:tcBorders>
              <w:left w:val="single" w:sz="4" w:space="0" w:color="auto"/>
            </w:tcBorders>
            <w:vAlign w:val="center"/>
          </w:tcPr>
          <w:p w14:paraId="5BBA584E" w14:textId="77777777" w:rsidR="00F5289E" w:rsidRDefault="00C91173">
            <w:pPr>
              <w:jc w:val="left"/>
              <w:rPr>
                <w:rFonts w:ascii="宋体" w:hAnsi="宋体"/>
                <w:sz w:val="18"/>
                <w:szCs w:val="18"/>
              </w:rPr>
            </w:pPr>
            <w:r>
              <w:rPr>
                <w:rFonts w:ascii="宋体" w:hAnsi="宋体" w:hint="eastAsia"/>
                <w:sz w:val="18"/>
                <w:szCs w:val="18"/>
              </w:rPr>
              <w:t>农业园区规划与管理实习</w:t>
            </w:r>
          </w:p>
        </w:tc>
        <w:tc>
          <w:tcPr>
            <w:tcW w:w="655" w:type="pct"/>
            <w:vAlign w:val="center"/>
          </w:tcPr>
          <w:p w14:paraId="16DA9150" w14:textId="77777777" w:rsidR="00F5289E" w:rsidRDefault="00C91173">
            <w:pPr>
              <w:jc w:val="center"/>
              <w:rPr>
                <w:rFonts w:ascii="宋体" w:hAnsi="宋体"/>
                <w:sz w:val="18"/>
                <w:szCs w:val="18"/>
              </w:rPr>
            </w:pPr>
            <w:r>
              <w:rPr>
                <w:rFonts w:ascii="宋体" w:hAnsi="宋体"/>
                <w:sz w:val="18"/>
                <w:szCs w:val="18"/>
              </w:rPr>
              <w:t>5</w:t>
            </w:r>
          </w:p>
        </w:tc>
        <w:tc>
          <w:tcPr>
            <w:tcW w:w="574" w:type="pct"/>
            <w:vAlign w:val="center"/>
          </w:tcPr>
          <w:p w14:paraId="5A056FE5" w14:textId="77777777" w:rsidR="00F5289E" w:rsidRDefault="00C91173">
            <w:pPr>
              <w:jc w:val="center"/>
              <w:rPr>
                <w:rFonts w:ascii="宋体" w:hAnsi="宋体"/>
                <w:sz w:val="18"/>
                <w:szCs w:val="18"/>
              </w:rPr>
            </w:pPr>
            <w:r>
              <w:rPr>
                <w:rFonts w:ascii="宋体" w:hAnsi="宋体"/>
                <w:sz w:val="18"/>
                <w:szCs w:val="18"/>
              </w:rPr>
              <w:t>0.5</w:t>
            </w:r>
          </w:p>
        </w:tc>
        <w:tc>
          <w:tcPr>
            <w:tcW w:w="1480" w:type="pct"/>
            <w:tcBorders>
              <w:right w:val="single" w:sz="4" w:space="0" w:color="auto"/>
            </w:tcBorders>
          </w:tcPr>
          <w:p w14:paraId="1DA2891F" w14:textId="77777777" w:rsidR="00F5289E" w:rsidRDefault="00C91173">
            <w:pPr>
              <w:jc w:val="center"/>
            </w:pPr>
            <w:r>
              <w:rPr>
                <w:rFonts w:ascii="宋体" w:hAnsi="宋体" w:hint="eastAsia"/>
                <w:sz w:val="18"/>
                <w:szCs w:val="18"/>
              </w:rPr>
              <w:t>第</w:t>
            </w:r>
            <w:r>
              <w:rPr>
                <w:rFonts w:ascii="宋体" w:hAnsi="宋体"/>
                <w:sz w:val="18"/>
                <w:szCs w:val="18"/>
              </w:rPr>
              <w:t>5</w:t>
            </w:r>
            <w:r>
              <w:rPr>
                <w:rFonts w:ascii="宋体" w:hAnsi="宋体" w:hint="eastAsia"/>
                <w:sz w:val="18"/>
                <w:szCs w:val="18"/>
              </w:rPr>
              <w:t>学期</w:t>
            </w:r>
          </w:p>
        </w:tc>
      </w:tr>
      <w:tr w:rsidR="00F5289E" w14:paraId="1FFD5A68" w14:textId="77777777">
        <w:trPr>
          <w:jc w:val="center"/>
        </w:trPr>
        <w:tc>
          <w:tcPr>
            <w:tcW w:w="2291" w:type="pct"/>
            <w:tcBorders>
              <w:left w:val="single" w:sz="4" w:space="0" w:color="auto"/>
            </w:tcBorders>
            <w:vAlign w:val="center"/>
          </w:tcPr>
          <w:p w14:paraId="0222A0FA" w14:textId="77777777" w:rsidR="00F5289E" w:rsidRDefault="00C91173">
            <w:pPr>
              <w:jc w:val="left"/>
              <w:rPr>
                <w:rFonts w:ascii="宋体" w:hAnsi="宋体"/>
                <w:sz w:val="18"/>
                <w:szCs w:val="18"/>
              </w:rPr>
            </w:pPr>
            <w:r>
              <w:rPr>
                <w:rFonts w:ascii="宋体" w:hAnsi="宋体" w:hint="eastAsia"/>
                <w:sz w:val="18"/>
                <w:szCs w:val="18"/>
              </w:rPr>
              <w:t>毕业（生产）实习</w:t>
            </w:r>
          </w:p>
        </w:tc>
        <w:tc>
          <w:tcPr>
            <w:tcW w:w="655" w:type="pct"/>
            <w:vAlign w:val="center"/>
          </w:tcPr>
          <w:p w14:paraId="05864FD8" w14:textId="77777777" w:rsidR="00F5289E" w:rsidRDefault="00C91173">
            <w:pPr>
              <w:jc w:val="center"/>
              <w:rPr>
                <w:rFonts w:ascii="宋体" w:hAnsi="宋体"/>
                <w:sz w:val="18"/>
                <w:szCs w:val="18"/>
              </w:rPr>
            </w:pPr>
            <w:r>
              <w:rPr>
                <w:rFonts w:ascii="宋体" w:hAnsi="宋体"/>
                <w:sz w:val="18"/>
                <w:szCs w:val="18"/>
              </w:rPr>
              <w:t>190</w:t>
            </w:r>
          </w:p>
        </w:tc>
        <w:tc>
          <w:tcPr>
            <w:tcW w:w="574" w:type="pct"/>
            <w:vAlign w:val="center"/>
          </w:tcPr>
          <w:p w14:paraId="0CB1CDB8" w14:textId="77777777" w:rsidR="00F5289E" w:rsidRDefault="00C91173">
            <w:pPr>
              <w:jc w:val="center"/>
              <w:rPr>
                <w:rFonts w:ascii="宋体" w:hAnsi="宋体"/>
                <w:sz w:val="18"/>
                <w:szCs w:val="18"/>
              </w:rPr>
            </w:pPr>
            <w:r>
              <w:rPr>
                <w:rFonts w:ascii="宋体" w:hAnsi="宋体"/>
                <w:sz w:val="18"/>
                <w:szCs w:val="18"/>
              </w:rPr>
              <w:t>19</w:t>
            </w:r>
          </w:p>
        </w:tc>
        <w:tc>
          <w:tcPr>
            <w:tcW w:w="1480" w:type="pct"/>
            <w:tcBorders>
              <w:right w:val="single" w:sz="4" w:space="0" w:color="auto"/>
            </w:tcBorders>
          </w:tcPr>
          <w:p w14:paraId="1C2DB173" w14:textId="77777777" w:rsidR="00F5289E" w:rsidRDefault="00C91173">
            <w:pPr>
              <w:jc w:val="center"/>
            </w:pPr>
            <w:r>
              <w:rPr>
                <w:rFonts w:ascii="宋体" w:hAnsi="宋体" w:hint="eastAsia"/>
                <w:sz w:val="18"/>
                <w:szCs w:val="18"/>
              </w:rPr>
              <w:t>第</w:t>
            </w:r>
            <w:r>
              <w:rPr>
                <w:rFonts w:ascii="宋体" w:hAnsi="宋体"/>
                <w:sz w:val="18"/>
                <w:szCs w:val="18"/>
              </w:rPr>
              <w:t>6</w:t>
            </w:r>
            <w:r>
              <w:rPr>
                <w:rFonts w:ascii="宋体" w:hAnsi="宋体" w:hint="eastAsia"/>
                <w:sz w:val="18"/>
                <w:szCs w:val="18"/>
              </w:rPr>
              <w:t>学期</w:t>
            </w:r>
          </w:p>
        </w:tc>
      </w:tr>
      <w:tr w:rsidR="00F5289E" w14:paraId="77C2AE26" w14:textId="77777777">
        <w:trPr>
          <w:jc w:val="center"/>
        </w:trPr>
        <w:tc>
          <w:tcPr>
            <w:tcW w:w="2291" w:type="pct"/>
            <w:tcBorders>
              <w:left w:val="single" w:sz="4" w:space="0" w:color="auto"/>
            </w:tcBorders>
            <w:vAlign w:val="center"/>
          </w:tcPr>
          <w:p w14:paraId="725872FE" w14:textId="77777777" w:rsidR="00F5289E" w:rsidRDefault="00C91173">
            <w:pPr>
              <w:jc w:val="left"/>
              <w:rPr>
                <w:rFonts w:ascii="宋体" w:hAnsi="宋体"/>
                <w:sz w:val="18"/>
                <w:szCs w:val="18"/>
              </w:rPr>
            </w:pPr>
            <w:r>
              <w:rPr>
                <w:rFonts w:ascii="宋体" w:hAnsi="宋体" w:hint="eastAsia"/>
                <w:sz w:val="18"/>
                <w:szCs w:val="18"/>
              </w:rPr>
              <w:t>合计</w:t>
            </w:r>
          </w:p>
        </w:tc>
        <w:tc>
          <w:tcPr>
            <w:tcW w:w="655" w:type="pct"/>
            <w:vAlign w:val="center"/>
          </w:tcPr>
          <w:p w14:paraId="464081F8" w14:textId="58C22A60" w:rsidR="00F5289E" w:rsidRDefault="00C91173">
            <w:pPr>
              <w:jc w:val="center"/>
              <w:rPr>
                <w:rFonts w:ascii="宋体" w:hAnsi="宋体"/>
                <w:sz w:val="18"/>
                <w:szCs w:val="18"/>
              </w:rPr>
            </w:pPr>
            <w:r>
              <w:rPr>
                <w:rFonts w:ascii="宋体" w:hAnsi="宋体" w:hint="eastAsia"/>
                <w:sz w:val="18"/>
                <w:szCs w:val="18"/>
              </w:rPr>
              <w:t>2</w:t>
            </w:r>
            <w:r w:rsidR="00736DFF">
              <w:rPr>
                <w:rFonts w:ascii="宋体" w:hAnsi="宋体"/>
                <w:sz w:val="18"/>
                <w:szCs w:val="18"/>
              </w:rPr>
              <w:t>3</w:t>
            </w:r>
            <w:r>
              <w:rPr>
                <w:rFonts w:ascii="宋体" w:hAnsi="宋体"/>
                <w:sz w:val="18"/>
                <w:szCs w:val="18"/>
              </w:rPr>
              <w:t>5</w:t>
            </w:r>
          </w:p>
        </w:tc>
        <w:tc>
          <w:tcPr>
            <w:tcW w:w="574" w:type="pct"/>
            <w:vAlign w:val="center"/>
          </w:tcPr>
          <w:p w14:paraId="33C6DF23" w14:textId="611EC4FC" w:rsidR="00F5289E" w:rsidRDefault="00C91173">
            <w:pPr>
              <w:jc w:val="center"/>
              <w:rPr>
                <w:rFonts w:ascii="宋体" w:hAnsi="宋体"/>
                <w:sz w:val="18"/>
                <w:szCs w:val="18"/>
              </w:rPr>
            </w:pPr>
            <w:r>
              <w:rPr>
                <w:rFonts w:ascii="宋体" w:hAnsi="宋体" w:hint="eastAsia"/>
                <w:sz w:val="18"/>
                <w:szCs w:val="18"/>
              </w:rPr>
              <w:t>2</w:t>
            </w:r>
            <w:r w:rsidR="00736DFF">
              <w:rPr>
                <w:rFonts w:ascii="宋体" w:hAnsi="宋体"/>
                <w:sz w:val="18"/>
                <w:szCs w:val="18"/>
              </w:rPr>
              <w:t>3</w:t>
            </w:r>
            <w:r>
              <w:rPr>
                <w:rFonts w:ascii="宋体" w:hAnsi="宋体"/>
                <w:sz w:val="18"/>
                <w:szCs w:val="18"/>
              </w:rPr>
              <w:t>.5</w:t>
            </w:r>
          </w:p>
        </w:tc>
        <w:tc>
          <w:tcPr>
            <w:tcW w:w="1480" w:type="pct"/>
            <w:tcBorders>
              <w:right w:val="single" w:sz="4" w:space="0" w:color="auto"/>
            </w:tcBorders>
            <w:vAlign w:val="center"/>
          </w:tcPr>
          <w:p w14:paraId="6F6B0599" w14:textId="77777777" w:rsidR="00F5289E" w:rsidRDefault="00F5289E">
            <w:pPr>
              <w:jc w:val="center"/>
              <w:rPr>
                <w:rFonts w:ascii="宋体" w:hAnsi="宋体"/>
                <w:sz w:val="18"/>
                <w:szCs w:val="18"/>
              </w:rPr>
            </w:pPr>
          </w:p>
        </w:tc>
      </w:tr>
    </w:tbl>
    <w:p w14:paraId="029FD37B"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二、专业课程名称实习教学大纲</w:t>
      </w:r>
    </w:p>
    <w:p w14:paraId="4880C9E9" w14:textId="584A8ADC" w:rsidR="00F5289E" w:rsidRDefault="00C91173">
      <w:pPr>
        <w:rPr>
          <w:b/>
          <w:bCs/>
        </w:rPr>
      </w:pPr>
      <w:r>
        <w:rPr>
          <w:rFonts w:hint="eastAsia"/>
          <w:b/>
          <w:bCs/>
        </w:rPr>
        <w:t>（</w:t>
      </w:r>
      <w:r w:rsidR="00736DFF">
        <w:rPr>
          <w:rFonts w:hint="eastAsia"/>
          <w:b/>
          <w:bCs/>
        </w:rPr>
        <w:t>一</w:t>
      </w:r>
      <w:r>
        <w:rPr>
          <w:rFonts w:hint="eastAsia"/>
          <w:b/>
          <w:bCs/>
        </w:rPr>
        <w:t>）设施环境与调控实习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34C16E4C" w14:textId="77777777">
        <w:trPr>
          <w:trHeight w:val="435"/>
        </w:trPr>
        <w:tc>
          <w:tcPr>
            <w:tcW w:w="1666" w:type="pct"/>
            <w:vAlign w:val="center"/>
          </w:tcPr>
          <w:p w14:paraId="0FCEBA47" w14:textId="77777777" w:rsidR="00F5289E" w:rsidRDefault="00C91173">
            <w:r>
              <w:rPr>
                <w:b/>
              </w:rPr>
              <w:t>开设学期</w:t>
            </w:r>
            <w:r>
              <w:rPr>
                <w:szCs w:val="21"/>
              </w:rPr>
              <w:t>：第</w:t>
            </w:r>
            <w:r>
              <w:rPr>
                <w:rFonts w:hint="eastAsia"/>
                <w:szCs w:val="21"/>
              </w:rPr>
              <w:t>4</w:t>
            </w:r>
            <w:r>
              <w:rPr>
                <w:szCs w:val="21"/>
              </w:rPr>
              <w:t>学期</w:t>
            </w:r>
          </w:p>
        </w:tc>
        <w:tc>
          <w:tcPr>
            <w:tcW w:w="1453" w:type="pct"/>
            <w:vAlign w:val="center"/>
          </w:tcPr>
          <w:p w14:paraId="08CCFCFB" w14:textId="77777777" w:rsidR="00F5289E" w:rsidRDefault="00C91173">
            <w:r>
              <w:rPr>
                <w:b/>
              </w:rPr>
              <w:t>实习周数</w:t>
            </w:r>
            <w:r>
              <w:rPr>
                <w:szCs w:val="21"/>
              </w:rPr>
              <w:t>：</w:t>
            </w:r>
            <w:r>
              <w:rPr>
                <w:szCs w:val="21"/>
              </w:rPr>
              <w:t>0.5</w:t>
            </w:r>
          </w:p>
        </w:tc>
        <w:tc>
          <w:tcPr>
            <w:tcW w:w="1881" w:type="pct"/>
            <w:vAlign w:val="center"/>
          </w:tcPr>
          <w:p w14:paraId="3B11CBBA" w14:textId="77777777" w:rsidR="00F5289E" w:rsidRDefault="00C91173">
            <w:r>
              <w:rPr>
                <w:b/>
              </w:rPr>
              <w:t>学分</w:t>
            </w:r>
            <w:r>
              <w:rPr>
                <w:szCs w:val="21"/>
              </w:rPr>
              <w:t>：</w:t>
            </w:r>
            <w:r>
              <w:rPr>
                <w:szCs w:val="21"/>
              </w:rPr>
              <w:t>0.5</w:t>
            </w:r>
          </w:p>
        </w:tc>
      </w:tr>
      <w:tr w:rsidR="00F5289E" w14:paraId="53D6C513" w14:textId="77777777">
        <w:trPr>
          <w:trHeight w:val="435"/>
        </w:trPr>
        <w:tc>
          <w:tcPr>
            <w:tcW w:w="5000" w:type="pct"/>
            <w:gridSpan w:val="3"/>
            <w:vAlign w:val="center"/>
          </w:tcPr>
          <w:p w14:paraId="7BB11746" w14:textId="77777777" w:rsidR="00F5289E" w:rsidRDefault="00C91173">
            <w:pPr>
              <w:rPr>
                <w:rFonts w:eastAsia="黑体"/>
                <w:color w:val="0000FF"/>
              </w:rPr>
            </w:pPr>
            <w:r>
              <w:rPr>
                <w:b/>
              </w:rPr>
              <w:t>适用专业</w:t>
            </w:r>
            <w:r>
              <w:t>：</w:t>
            </w:r>
            <w:r>
              <w:rPr>
                <w:rFonts w:ascii="宋体" w:hAnsi="宋体" w:hint="eastAsia"/>
                <w:bCs/>
                <w:szCs w:val="21"/>
              </w:rPr>
              <w:t>设施农业科学与工程，农学，园</w:t>
            </w:r>
            <w:r>
              <w:rPr>
                <w:rFonts w:ascii="宋体" w:hAnsi="宋体" w:hint="eastAsia"/>
                <w:bCs/>
                <w:color w:val="000000"/>
                <w:szCs w:val="21"/>
              </w:rPr>
              <w:t>艺</w:t>
            </w:r>
          </w:p>
        </w:tc>
      </w:tr>
      <w:tr w:rsidR="00F5289E" w14:paraId="248E0859" w14:textId="77777777">
        <w:trPr>
          <w:trHeight w:val="435"/>
        </w:trPr>
        <w:tc>
          <w:tcPr>
            <w:tcW w:w="5000" w:type="pct"/>
            <w:gridSpan w:val="3"/>
            <w:vAlign w:val="center"/>
          </w:tcPr>
          <w:p w14:paraId="7153526D" w14:textId="77777777" w:rsidR="00F5289E" w:rsidRDefault="00C91173">
            <w:pPr>
              <w:rPr>
                <w:rFonts w:eastAsia="黑体"/>
              </w:rPr>
            </w:pPr>
            <w:r>
              <w:rPr>
                <w:b/>
              </w:rPr>
              <w:t>先修课程</w:t>
            </w:r>
            <w:r>
              <w:rPr>
                <w:rFonts w:eastAsia="黑体"/>
              </w:rPr>
              <w:t>：</w:t>
            </w:r>
            <w:r>
              <w:rPr>
                <w:color w:val="000000"/>
                <w:szCs w:val="21"/>
              </w:rPr>
              <w:t>植物学、植物生理学、土壤肥料学、农业气象学、设施农业导论</w:t>
            </w:r>
          </w:p>
        </w:tc>
      </w:tr>
      <w:tr w:rsidR="00F5289E" w14:paraId="2B3ECDB7" w14:textId="77777777">
        <w:trPr>
          <w:trHeight w:val="435"/>
        </w:trPr>
        <w:tc>
          <w:tcPr>
            <w:tcW w:w="1666" w:type="pct"/>
            <w:vAlign w:val="center"/>
          </w:tcPr>
          <w:p w14:paraId="77E315C5" w14:textId="77777777" w:rsidR="00F5289E" w:rsidRDefault="00C91173">
            <w:r>
              <w:rPr>
                <w:b/>
              </w:rPr>
              <w:t>主撰人</w:t>
            </w:r>
            <w:r>
              <w:t>：</w:t>
            </w:r>
            <w:r>
              <w:rPr>
                <w:color w:val="000000"/>
                <w:szCs w:val="21"/>
              </w:rPr>
              <w:t>李严曼</w:t>
            </w:r>
          </w:p>
        </w:tc>
        <w:tc>
          <w:tcPr>
            <w:tcW w:w="1453" w:type="pct"/>
            <w:vAlign w:val="center"/>
          </w:tcPr>
          <w:p w14:paraId="5DC725CB" w14:textId="77777777" w:rsidR="00F5289E" w:rsidRDefault="00C91173">
            <w:pPr>
              <w:rPr>
                <w:rFonts w:eastAsia="黑体"/>
              </w:rPr>
            </w:pPr>
            <w:r>
              <w:rPr>
                <w:b/>
              </w:rPr>
              <w:t>审核人</w:t>
            </w:r>
            <w:r>
              <w:t>：</w:t>
            </w:r>
            <w:r>
              <w:rPr>
                <w:rFonts w:hint="eastAsia"/>
                <w:color w:val="000000"/>
                <w:szCs w:val="21"/>
              </w:rPr>
              <w:t>杜清洁</w:t>
            </w:r>
          </w:p>
        </w:tc>
        <w:tc>
          <w:tcPr>
            <w:tcW w:w="1881" w:type="pct"/>
            <w:vAlign w:val="center"/>
          </w:tcPr>
          <w:p w14:paraId="3C01C712" w14:textId="77777777" w:rsidR="00F5289E" w:rsidRDefault="00C91173">
            <w:r>
              <w:rPr>
                <w:b/>
              </w:rPr>
              <w:t>大纲制定（修订）日期</w:t>
            </w:r>
            <w:r>
              <w:t>：</w:t>
            </w:r>
            <w:r>
              <w:rPr>
                <w:rFonts w:eastAsia="黑体" w:hint="eastAsia"/>
              </w:rPr>
              <w:t>2023</w:t>
            </w:r>
            <w:r>
              <w:rPr>
                <w:rFonts w:eastAsia="黑体"/>
              </w:rPr>
              <w:t>.05</w:t>
            </w:r>
          </w:p>
        </w:tc>
      </w:tr>
    </w:tbl>
    <w:p w14:paraId="2366A698"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1.课程简介</w:t>
      </w:r>
    </w:p>
    <w:p w14:paraId="3411E924" w14:textId="77777777" w:rsidR="00F5289E" w:rsidRDefault="00C91173">
      <w:pPr>
        <w:spacing w:line="360" w:lineRule="auto"/>
        <w:ind w:rightChars="-81" w:right="-170" w:firstLineChars="224" w:firstLine="470"/>
      </w:pPr>
      <w:r>
        <w:rPr>
          <w:rFonts w:hAnsi="宋体" w:hint="eastAsia"/>
          <w:bCs/>
          <w:kern w:val="0"/>
          <w:szCs w:val="21"/>
        </w:rPr>
        <w:lastRenderedPageBreak/>
        <w:t>《设施环境与调控》</w:t>
      </w:r>
      <w:r>
        <w:rPr>
          <w:rFonts w:ascii="宋体" w:hAnsi="宋体" w:cs="宋体" w:hint="eastAsia"/>
          <w:kern w:val="0"/>
          <w:szCs w:val="21"/>
        </w:rPr>
        <w:t>是一门多学科交叉和综合性很强的学科，涉及多个领域，应用较广。它是设施农业科学与工程专业的一门重要专业核心课程，</w:t>
      </w:r>
      <w:r>
        <w:rPr>
          <w:rFonts w:ascii="宋体" w:hAnsi="宋体" w:hint="eastAsia"/>
          <w:szCs w:val="21"/>
        </w:rPr>
        <w:t>同时也可以作为农学、园艺等专业的教学用书</w:t>
      </w:r>
      <w:r>
        <w:rPr>
          <w:rFonts w:ascii="宋体" w:hAnsi="宋体"/>
          <w:szCs w:val="21"/>
        </w:rPr>
        <w:t>。</w:t>
      </w:r>
      <w:r>
        <w:rPr>
          <w:rFonts w:ascii="宋体" w:hAnsi="宋体" w:hint="eastAsia"/>
          <w:szCs w:val="21"/>
        </w:rPr>
        <w:t>本课程主要侧重于设施园艺作物对设施环境条件的要求，设施内环境条件的分布变化规律及其调控技术的阐述。</w:t>
      </w:r>
      <w:r>
        <w:rPr>
          <w:rFonts w:ascii="宋体" w:hAnsi="宋体" w:cs="宋体" w:hint="eastAsia"/>
          <w:kern w:val="0"/>
          <w:szCs w:val="21"/>
        </w:rPr>
        <w:t>设施园艺已成为我国新世纪农业中最具活力的新兴产业之一，对促进农业增效、农民增收、繁荣农村经济发挥主导作用。</w:t>
      </w:r>
      <w:r>
        <w:rPr>
          <w:rFonts w:hAnsi="宋体" w:hint="eastAsia"/>
          <w:bCs/>
          <w:kern w:val="0"/>
          <w:szCs w:val="21"/>
        </w:rPr>
        <w:t>设施环境与调控</w:t>
      </w:r>
      <w:r>
        <w:rPr>
          <w:rFonts w:ascii="宋体" w:hAnsi="宋体" w:cs="宋体" w:hint="eastAsia"/>
          <w:kern w:val="0"/>
          <w:szCs w:val="21"/>
        </w:rPr>
        <w:t>作为设施园艺的一部分，</w:t>
      </w:r>
      <w:r>
        <w:rPr>
          <w:rFonts w:ascii="宋体" w:hAnsi="宋体" w:cs="宋体"/>
          <w:kern w:val="0"/>
          <w:szCs w:val="21"/>
        </w:rPr>
        <w:t>通过</w:t>
      </w:r>
      <w:r>
        <w:rPr>
          <w:rFonts w:ascii="宋体" w:hAnsi="宋体" w:cs="宋体" w:hint="eastAsia"/>
          <w:kern w:val="0"/>
          <w:szCs w:val="21"/>
        </w:rPr>
        <w:t>本课程</w:t>
      </w:r>
      <w:r>
        <w:rPr>
          <w:rFonts w:ascii="宋体" w:hAnsi="宋体" w:cs="宋体"/>
          <w:kern w:val="0"/>
          <w:szCs w:val="21"/>
        </w:rPr>
        <w:t>系统的学习，</w:t>
      </w:r>
      <w:r>
        <w:rPr>
          <w:rFonts w:ascii="宋体" w:hAnsi="宋体" w:cs="宋体" w:hint="eastAsia"/>
          <w:kern w:val="0"/>
          <w:szCs w:val="21"/>
        </w:rPr>
        <w:t>希望学生可以</w:t>
      </w:r>
      <w:r>
        <w:rPr>
          <w:rFonts w:ascii="宋体" w:hAnsi="宋体" w:cs="宋体"/>
          <w:kern w:val="0"/>
          <w:szCs w:val="21"/>
        </w:rPr>
        <w:t>全面掌握</w:t>
      </w:r>
      <w:r>
        <w:rPr>
          <w:rFonts w:ascii="宋体" w:hAnsi="宋体" w:cs="宋体" w:hint="eastAsia"/>
          <w:kern w:val="0"/>
          <w:szCs w:val="21"/>
        </w:rPr>
        <w:t>设施环境特性及调控技术的</w:t>
      </w:r>
      <w:r>
        <w:rPr>
          <w:rFonts w:ascii="宋体" w:hAnsi="宋体" w:cs="宋体"/>
          <w:kern w:val="0"/>
          <w:szCs w:val="21"/>
        </w:rPr>
        <w:t>基本理论和研究方法</w:t>
      </w:r>
      <w:r>
        <w:rPr>
          <w:rFonts w:ascii="宋体" w:hAnsi="宋体" w:cs="宋体" w:hint="eastAsia"/>
          <w:kern w:val="0"/>
          <w:szCs w:val="21"/>
        </w:rPr>
        <w:t>，</w:t>
      </w:r>
      <w:r>
        <w:rPr>
          <w:rFonts w:hint="eastAsia"/>
        </w:rPr>
        <w:t>为将来从事园艺作物设施栽培生产实践打下基础。</w:t>
      </w:r>
    </w:p>
    <w:p w14:paraId="2E29CE57" w14:textId="77777777" w:rsidR="00F5289E" w:rsidRDefault="00C91173" w:rsidP="00A115EF">
      <w:pPr>
        <w:numPr>
          <w:ilvl w:val="0"/>
          <w:numId w:val="55"/>
        </w:numPr>
        <w:spacing w:line="360" w:lineRule="auto"/>
        <w:ind w:firstLineChars="200" w:firstLine="422"/>
        <w:rPr>
          <w:rFonts w:ascii="宋体" w:hAnsi="宋体"/>
          <w:b/>
          <w:szCs w:val="21"/>
        </w:rPr>
      </w:pPr>
      <w:r>
        <w:rPr>
          <w:rFonts w:ascii="宋体" w:hAnsi="宋体" w:hint="eastAsia"/>
          <w:b/>
          <w:szCs w:val="21"/>
        </w:rPr>
        <w:t>课程劳动教育</w:t>
      </w:r>
    </w:p>
    <w:p w14:paraId="14DDA54B" w14:textId="77777777" w:rsidR="00F5289E" w:rsidRDefault="00C91173">
      <w:pPr>
        <w:spacing w:line="360" w:lineRule="auto"/>
        <w:ind w:firstLineChars="200" w:firstLine="420"/>
        <w:rPr>
          <w:rFonts w:ascii="宋体" w:hAnsi="宋体" w:cs="宋体"/>
          <w:kern w:val="0"/>
          <w:szCs w:val="21"/>
        </w:rPr>
      </w:pPr>
      <w:r>
        <w:rPr>
          <w:rFonts w:ascii="宋体" w:hAnsi="宋体" w:hint="eastAsia"/>
          <w:bCs/>
          <w:szCs w:val="21"/>
        </w:rPr>
        <w:t>通过</w:t>
      </w:r>
      <w:r>
        <w:rPr>
          <w:rFonts w:ascii="宋体" w:hAnsi="宋体" w:hint="eastAsia"/>
          <w:szCs w:val="21"/>
        </w:rPr>
        <w:t>教学实习主要安排室外实践活动，通过到实践基地等生产一线现场实习地学习，跟学生讲授</w:t>
      </w:r>
      <w:r>
        <w:rPr>
          <w:rFonts w:ascii="宋体" w:hAnsi="宋体" w:cs="宋体" w:hint="eastAsia"/>
          <w:kern w:val="0"/>
          <w:szCs w:val="21"/>
        </w:rPr>
        <w:t>园艺设施的类型、结构、设施环境特性及调控设备等的同时，会给学生讲解一些以王吉庆教授为代表的一些专家服务生产一线的具体事例，当地设施农业发展情况，或者</w:t>
      </w:r>
      <w:r>
        <w:rPr>
          <w:rFonts w:ascii="宋体" w:hAnsi="宋体" w:cs="宋体" w:hint="eastAsia"/>
          <w:bCs/>
          <w:kern w:val="0"/>
        </w:rPr>
        <w:t>设施园艺对当地经济带来的影响等，</w:t>
      </w:r>
      <w:r>
        <w:rPr>
          <w:rFonts w:ascii="宋体" w:hAnsi="宋体" w:hint="eastAsia"/>
          <w:bCs/>
          <w:szCs w:val="21"/>
        </w:rPr>
        <w:t>增强学生服务“三农”和农业农村现代化的使命感和责任感</w:t>
      </w:r>
      <w:r>
        <w:rPr>
          <w:rFonts w:ascii="宋体" w:hAnsi="宋体" w:cs="宋体" w:hint="eastAsia"/>
          <w:bCs/>
          <w:kern w:val="0"/>
        </w:rPr>
        <w:t>。</w:t>
      </w:r>
    </w:p>
    <w:p w14:paraId="161ADEE1" w14:textId="77777777" w:rsidR="00F5289E" w:rsidRDefault="00C91173">
      <w:pPr>
        <w:spacing w:line="360" w:lineRule="auto"/>
        <w:ind w:firstLineChars="200" w:firstLine="422"/>
        <w:rPr>
          <w:rFonts w:ascii="宋体" w:hAnsi="宋体"/>
          <w:b/>
          <w:szCs w:val="21"/>
        </w:rPr>
      </w:pPr>
      <w:r>
        <w:rPr>
          <w:rFonts w:ascii="宋体" w:hAnsi="宋体" w:hint="eastAsia"/>
          <w:b/>
          <w:szCs w:val="21"/>
        </w:rPr>
        <w:t>3.实习目的和要求</w:t>
      </w:r>
    </w:p>
    <w:p w14:paraId="1FE50CCC" w14:textId="77777777" w:rsidR="00F5289E" w:rsidRDefault="00C91173">
      <w:pPr>
        <w:pStyle w:val="21"/>
        <w:adjustRightInd w:val="0"/>
        <w:rPr>
          <w:rFonts w:ascii="宋体" w:hAnsi="宋体"/>
        </w:rPr>
      </w:pPr>
      <w:r>
        <w:rPr>
          <w:rFonts w:ascii="宋体" w:hAnsi="宋体" w:hint="eastAsia"/>
        </w:rPr>
        <w:t>设施园艺教学实习主要安排室外实践活动，</w:t>
      </w:r>
      <w:r>
        <w:rPr>
          <w:rFonts w:ascii="宋体" w:hAnsi="宋体" w:hint="eastAsia"/>
          <w:szCs w:val="21"/>
        </w:rPr>
        <w:t>其目的是使学生通过现场观摩，亲自实际操作，以加深和丰富课堂讲授内容，将理论和实践联系起来；通过实习使学生对</w:t>
      </w:r>
      <w:r>
        <w:rPr>
          <w:rFonts w:ascii="宋体" w:hAnsi="宋体" w:cs="宋体" w:hint="eastAsia"/>
          <w:kern w:val="0"/>
          <w:szCs w:val="21"/>
        </w:rPr>
        <w:t>园艺设施的类型、结构、设施环境特性及调控设备等</w:t>
      </w:r>
      <w:r>
        <w:rPr>
          <w:rFonts w:hint="eastAsia"/>
          <w:color w:val="262600"/>
        </w:rPr>
        <w:t>有一个全面、具体、直观的了解；可以接触到设施园艺新技术，掌握设施园艺发展的新成果、新动态和新理念。</w:t>
      </w:r>
      <w:r>
        <w:rPr>
          <w:rFonts w:ascii="宋体" w:hAnsi="宋体" w:hint="eastAsia"/>
        </w:rPr>
        <w:t>学生必须参加教学实习，并完成实习总结报告，达到及格以上成绩。</w:t>
      </w:r>
    </w:p>
    <w:p w14:paraId="3128A449" w14:textId="77777777" w:rsidR="00F5289E" w:rsidRDefault="00C91173">
      <w:pPr>
        <w:spacing w:line="360" w:lineRule="auto"/>
        <w:ind w:firstLineChars="200" w:firstLine="422"/>
        <w:rPr>
          <w:rFonts w:ascii="宋体" w:hAnsi="宋体"/>
          <w:b/>
          <w:szCs w:val="21"/>
        </w:rPr>
      </w:pPr>
      <w:r>
        <w:rPr>
          <w:rFonts w:ascii="宋体" w:hAnsi="宋体" w:hint="eastAsia"/>
          <w:b/>
          <w:szCs w:val="21"/>
        </w:rPr>
        <w:t>4</w:t>
      </w:r>
      <w:r>
        <w:rPr>
          <w:rFonts w:ascii="宋体" w:hAnsi="宋体" w:cs="宋体" w:hint="eastAsia"/>
          <w:b/>
          <w:kern w:val="0"/>
          <w:szCs w:val="21"/>
        </w:rPr>
        <w:t>.</w:t>
      </w:r>
      <w:r>
        <w:rPr>
          <w:rFonts w:ascii="宋体" w:hAnsi="宋体" w:hint="eastAsia"/>
          <w:b/>
          <w:szCs w:val="21"/>
        </w:rPr>
        <w:t>实习地点及内容</w:t>
      </w:r>
    </w:p>
    <w:p w14:paraId="7F334481" w14:textId="77777777" w:rsidR="00F5289E" w:rsidRDefault="00C91173">
      <w:pPr>
        <w:tabs>
          <w:tab w:val="left" w:pos="3720"/>
          <w:tab w:val="left" w:pos="3780"/>
          <w:tab w:val="left" w:pos="4305"/>
        </w:tabs>
        <w:adjustRightInd w:val="0"/>
        <w:spacing w:line="360" w:lineRule="auto"/>
        <w:ind w:firstLineChars="196" w:firstLine="413"/>
        <w:rPr>
          <w:rFonts w:ascii="宋体" w:hAnsi="宋体"/>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ascii="宋体" w:hAnsi="宋体" w:hint="eastAsia"/>
        </w:rPr>
        <w:t>设施园艺科技示范园区、农业企业</w:t>
      </w:r>
    </w:p>
    <w:p w14:paraId="6CD80DB5" w14:textId="77777777" w:rsidR="00F5289E" w:rsidRDefault="00C91173">
      <w:pPr>
        <w:adjustRightInd w:val="0"/>
        <w:spacing w:line="360" w:lineRule="auto"/>
        <w:ind w:firstLineChars="200" w:firstLine="422"/>
        <w:rPr>
          <w:rFonts w:ascii="宋体" w:hAnsi="宋体"/>
          <w:color w:val="0000FF"/>
          <w:szCs w:val="21"/>
        </w:rPr>
      </w:pPr>
      <w:r>
        <w:rPr>
          <w:rFonts w:ascii="宋体" w:hAnsi="宋体" w:hint="eastAsia"/>
          <w:b/>
          <w:szCs w:val="21"/>
        </w:rPr>
        <w:t>（2）</w:t>
      </w:r>
      <w:r>
        <w:rPr>
          <w:rFonts w:ascii="宋体" w:hAnsi="宋体" w:hint="eastAsia"/>
          <w:b/>
          <w:bCs/>
          <w:szCs w:val="21"/>
        </w:rPr>
        <w:t>实习内容：</w:t>
      </w:r>
      <w:r>
        <w:rPr>
          <w:rFonts w:ascii="宋体" w:hAnsi="宋体" w:hint="eastAsia"/>
          <w:szCs w:val="21"/>
        </w:rPr>
        <w:t>了解主要的</w:t>
      </w:r>
      <w:r>
        <w:rPr>
          <w:rFonts w:ascii="宋体" w:hAnsi="宋体" w:hint="eastAsia"/>
        </w:rPr>
        <w:t>园艺设施类型、不同类型园艺设施的结构性能和应用、设施的环境调控方式、设施环境调控设施设备的配置和利用以及设施作物生产情况等。</w:t>
      </w:r>
    </w:p>
    <w:p w14:paraId="3792DAE8" w14:textId="77777777" w:rsidR="00F5289E" w:rsidRDefault="00C91173">
      <w:pPr>
        <w:spacing w:line="360" w:lineRule="auto"/>
        <w:ind w:firstLineChars="200" w:firstLine="422"/>
        <w:rPr>
          <w:rFonts w:ascii="宋体" w:hAnsi="宋体"/>
          <w:b/>
          <w:szCs w:val="21"/>
        </w:rPr>
      </w:pPr>
      <w:r>
        <w:rPr>
          <w:rFonts w:ascii="宋体" w:hAnsi="宋体" w:hint="eastAsia"/>
          <w:b/>
          <w:szCs w:val="21"/>
        </w:rPr>
        <w:t>5.实习时间安排</w:t>
      </w:r>
    </w:p>
    <w:p w14:paraId="17E4BD64" w14:textId="77777777" w:rsidR="00F5289E" w:rsidRDefault="00C91173">
      <w:pPr>
        <w:spacing w:line="360" w:lineRule="auto"/>
        <w:ind w:firstLineChars="200" w:firstLine="420"/>
        <w:rPr>
          <w:rFonts w:ascii="宋体" w:hAnsi="宋体"/>
        </w:rPr>
      </w:pPr>
      <w:r>
        <w:t>设施环境与调控教学实习（</w:t>
      </w:r>
      <w:r>
        <w:t>0.5</w:t>
      </w:r>
      <w:r>
        <w:t>周）安排在第</w:t>
      </w:r>
      <w:r>
        <w:rPr>
          <w:rFonts w:hint="eastAsia"/>
        </w:rPr>
        <w:t>四</w:t>
      </w:r>
      <w:r>
        <w:t>学期</w:t>
      </w:r>
      <w:r>
        <w:rPr>
          <w:rFonts w:ascii="宋体" w:hAnsi="宋体" w:hint="eastAsia"/>
        </w:rPr>
        <w:t>。</w:t>
      </w:r>
    </w:p>
    <w:p w14:paraId="3D426744" w14:textId="77777777" w:rsidR="00F5289E" w:rsidRDefault="00C91173">
      <w:pPr>
        <w:spacing w:line="360" w:lineRule="auto"/>
        <w:ind w:firstLineChars="200" w:firstLine="422"/>
        <w:rPr>
          <w:rFonts w:ascii="宋体" w:hAnsi="宋体"/>
          <w:b/>
          <w:szCs w:val="21"/>
        </w:rPr>
      </w:pPr>
      <w:r>
        <w:rPr>
          <w:rFonts w:ascii="宋体" w:hAnsi="宋体" w:hint="eastAsia"/>
          <w:b/>
          <w:szCs w:val="21"/>
        </w:rPr>
        <w:t>6.实习具体要求</w:t>
      </w:r>
    </w:p>
    <w:p w14:paraId="37806F8C" w14:textId="77777777" w:rsidR="00F5289E" w:rsidRDefault="00C91173">
      <w:pPr>
        <w:spacing w:line="360" w:lineRule="auto"/>
        <w:ind w:firstLineChars="200" w:firstLine="420"/>
        <w:rPr>
          <w:b/>
          <w:szCs w:val="21"/>
        </w:rPr>
      </w:pPr>
      <w:r>
        <w:rPr>
          <w:bCs/>
          <w:szCs w:val="21"/>
        </w:rPr>
        <w:t>实习期间要求</w:t>
      </w:r>
      <w:r>
        <w:rPr>
          <w:rFonts w:hint="eastAsia"/>
          <w:bCs/>
          <w:szCs w:val="21"/>
        </w:rPr>
        <w:t>全体</w:t>
      </w:r>
      <w:r>
        <w:rPr>
          <w:bCs/>
          <w:szCs w:val="21"/>
        </w:rPr>
        <w:t>学生带好相机和笔记本，不得无故旷课或迟到。实习结束后要学生</w:t>
      </w:r>
      <w:r>
        <w:rPr>
          <w:szCs w:val="21"/>
        </w:rPr>
        <w:t>撰写一份实习报告，字数不少于</w:t>
      </w:r>
      <w:r>
        <w:rPr>
          <w:szCs w:val="21"/>
        </w:rPr>
        <w:t>3000</w:t>
      </w:r>
      <w:r>
        <w:rPr>
          <w:szCs w:val="21"/>
        </w:rPr>
        <w:t>字，打印上交。报告内容包括参观收获和存在的问题和建议等。其中</w:t>
      </w:r>
      <w:r>
        <w:rPr>
          <w:szCs w:val="21"/>
        </w:rPr>
        <w:lastRenderedPageBreak/>
        <w:t>参观收获要具体，不要写成流水账，不少于</w:t>
      </w:r>
      <w:r>
        <w:rPr>
          <w:szCs w:val="21"/>
        </w:rPr>
        <w:t>1000</w:t>
      </w:r>
      <w:r>
        <w:rPr>
          <w:szCs w:val="21"/>
        </w:rPr>
        <w:t>字。存在的问题建议要结合专业所学，</w:t>
      </w:r>
      <w:r>
        <w:t>调查园区设施类型</w:t>
      </w:r>
      <w:r>
        <w:rPr>
          <w:rFonts w:hint="eastAsia"/>
        </w:rPr>
        <w:t>、</w:t>
      </w:r>
      <w:r>
        <w:t>设施结构组成</w:t>
      </w:r>
      <w:r>
        <w:rPr>
          <w:rFonts w:hint="eastAsia"/>
        </w:rPr>
        <w:t>、</w:t>
      </w:r>
      <w:r>
        <w:t>设施所用覆盖材料和建筑材料</w:t>
      </w:r>
      <w:r>
        <w:rPr>
          <w:rFonts w:hint="eastAsia"/>
        </w:rPr>
        <w:t>、</w:t>
      </w:r>
      <w:r>
        <w:rPr>
          <w:szCs w:val="21"/>
        </w:rPr>
        <w:t>各类设施环境控制系统</w:t>
      </w:r>
      <w:r>
        <w:rPr>
          <w:rFonts w:hint="eastAsia"/>
          <w:szCs w:val="21"/>
        </w:rPr>
        <w:t>、</w:t>
      </w:r>
      <w:r>
        <w:t>设施应用情况，</w:t>
      </w:r>
      <w:r>
        <w:rPr>
          <w:szCs w:val="21"/>
        </w:rPr>
        <w:t>分析</w:t>
      </w:r>
      <w:r>
        <w:t>所存在的问题及建议，</w:t>
      </w:r>
      <w:r>
        <w:rPr>
          <w:szCs w:val="21"/>
        </w:rPr>
        <w:t>要针对某一、两个方面有针对的写，不少于</w:t>
      </w:r>
      <w:r>
        <w:rPr>
          <w:szCs w:val="21"/>
        </w:rPr>
        <w:t>2000</w:t>
      </w:r>
      <w:r>
        <w:rPr>
          <w:szCs w:val="21"/>
        </w:rPr>
        <w:t>字。</w:t>
      </w:r>
    </w:p>
    <w:p w14:paraId="55443183" w14:textId="77777777" w:rsidR="00F5289E" w:rsidRDefault="00C91173">
      <w:pPr>
        <w:widowControl/>
        <w:spacing w:line="360" w:lineRule="auto"/>
        <w:ind w:firstLineChars="200" w:firstLine="422"/>
        <w:jc w:val="left"/>
        <w:rPr>
          <w:b/>
          <w:kern w:val="0"/>
          <w:szCs w:val="21"/>
        </w:rPr>
      </w:pPr>
      <w:r>
        <w:rPr>
          <w:rFonts w:hint="eastAsia"/>
          <w:b/>
          <w:szCs w:val="21"/>
        </w:rPr>
        <w:t>7</w:t>
      </w:r>
      <w:r>
        <w:rPr>
          <w:b/>
          <w:kern w:val="0"/>
          <w:szCs w:val="21"/>
        </w:rPr>
        <w:t xml:space="preserve">. </w:t>
      </w:r>
      <w:r>
        <w:rPr>
          <w:b/>
          <w:kern w:val="0"/>
          <w:szCs w:val="21"/>
        </w:rPr>
        <w:t>考核方式与成绩评定标准</w:t>
      </w:r>
    </w:p>
    <w:p w14:paraId="342C5EC2" w14:textId="77777777" w:rsidR="00F5289E" w:rsidRDefault="00C91173">
      <w:pPr>
        <w:adjustRightInd w:val="0"/>
        <w:spacing w:line="360" w:lineRule="auto"/>
        <w:ind w:firstLineChars="200" w:firstLine="420"/>
        <w:rPr>
          <w:rFonts w:ascii="宋体" w:hAnsi="宋体"/>
        </w:rPr>
      </w:pPr>
      <w:r>
        <w:rPr>
          <w:rFonts w:ascii="宋体" w:hAnsi="宋体" w:hint="eastAsia"/>
        </w:rPr>
        <w:t xml:space="preserve">学生应完成教学实习的全部内容，写出实习报告，由担任实习的指导教师根据实习报告和在实习中的实际表现，按优秀、良好、及格和不及格四级评定成绩。 </w:t>
      </w:r>
    </w:p>
    <w:p w14:paraId="253C0F18"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8. 教材及主要参考资料</w:t>
      </w:r>
    </w:p>
    <w:p w14:paraId="0C1BE4AA" w14:textId="77777777" w:rsidR="00F5289E" w:rsidRDefault="00C91173">
      <w:pPr>
        <w:widowControl/>
        <w:adjustRightInd w:val="0"/>
        <w:spacing w:line="360" w:lineRule="auto"/>
        <w:ind w:firstLineChars="200" w:firstLine="420"/>
        <w:jc w:val="left"/>
        <w:rPr>
          <w:kern w:val="0"/>
          <w:szCs w:val="21"/>
        </w:rPr>
      </w:pPr>
      <w:r>
        <w:t>(1)</w:t>
      </w:r>
      <w:r>
        <w:rPr>
          <w:kern w:val="0"/>
          <w:szCs w:val="21"/>
        </w:rPr>
        <w:t>设施农业环境工程学，邹志荣</w:t>
      </w:r>
      <w:r>
        <w:rPr>
          <w:kern w:val="0"/>
          <w:szCs w:val="21"/>
        </w:rPr>
        <w:t xml:space="preserve"> </w:t>
      </w:r>
      <w:r>
        <w:rPr>
          <w:kern w:val="0"/>
          <w:szCs w:val="21"/>
        </w:rPr>
        <w:t>邵孝候</w:t>
      </w:r>
      <w:r>
        <w:rPr>
          <w:kern w:val="0"/>
          <w:szCs w:val="21"/>
        </w:rPr>
        <w:t xml:space="preserve"> </w:t>
      </w:r>
      <w:r>
        <w:rPr>
          <w:kern w:val="0"/>
          <w:szCs w:val="21"/>
        </w:rPr>
        <w:t>主编，中国农业出版社，</w:t>
      </w:r>
      <w:r>
        <w:rPr>
          <w:kern w:val="0"/>
          <w:szCs w:val="21"/>
        </w:rPr>
        <w:t>2007</w:t>
      </w:r>
      <w:r>
        <w:rPr>
          <w:kern w:val="0"/>
          <w:szCs w:val="21"/>
        </w:rPr>
        <w:t>年</w:t>
      </w:r>
    </w:p>
    <w:p w14:paraId="251FF22D" w14:textId="77777777" w:rsidR="00F5289E" w:rsidRDefault="00C91173">
      <w:pPr>
        <w:spacing w:line="360" w:lineRule="auto"/>
        <w:ind w:firstLineChars="200" w:firstLine="420"/>
        <w:rPr>
          <w:bCs/>
          <w:color w:val="0000FF"/>
          <w:kern w:val="0"/>
          <w:szCs w:val="21"/>
        </w:rPr>
      </w:pPr>
      <w:r>
        <w:t>(2)</w:t>
      </w:r>
      <w:r>
        <w:rPr>
          <w:kern w:val="0"/>
          <w:szCs w:val="21"/>
        </w:rPr>
        <w:t>设施园艺学，张福墁主编，中国农业大学出版社，</w:t>
      </w:r>
      <w:r>
        <w:rPr>
          <w:bCs/>
          <w:kern w:val="0"/>
          <w:szCs w:val="21"/>
        </w:rPr>
        <w:t>2010</w:t>
      </w:r>
      <w:r>
        <w:rPr>
          <w:bCs/>
          <w:kern w:val="0"/>
          <w:szCs w:val="21"/>
        </w:rPr>
        <w:t>年</w:t>
      </w:r>
    </w:p>
    <w:p w14:paraId="559A6676" w14:textId="77777777" w:rsidR="00F5289E" w:rsidRDefault="00C91173">
      <w:pPr>
        <w:widowControl/>
        <w:spacing w:line="360" w:lineRule="auto"/>
        <w:ind w:firstLineChars="200" w:firstLine="420"/>
        <w:jc w:val="left"/>
        <w:rPr>
          <w:bCs/>
          <w:kern w:val="0"/>
          <w:szCs w:val="21"/>
        </w:rPr>
      </w:pPr>
      <w:r>
        <w:t>(3)</w:t>
      </w:r>
      <w:r>
        <w:rPr>
          <w:bCs/>
          <w:kern w:val="0"/>
          <w:szCs w:val="21"/>
        </w:rPr>
        <w:t>园艺设施，张志轩主编，重庆大学出版社，</w:t>
      </w:r>
      <w:r>
        <w:rPr>
          <w:bCs/>
          <w:kern w:val="0"/>
          <w:szCs w:val="21"/>
        </w:rPr>
        <w:t>2014</w:t>
      </w:r>
      <w:r>
        <w:rPr>
          <w:bCs/>
          <w:kern w:val="0"/>
          <w:szCs w:val="21"/>
        </w:rPr>
        <w:t>年</w:t>
      </w:r>
    </w:p>
    <w:p w14:paraId="1F59ACF6" w14:textId="77777777" w:rsidR="00F5289E" w:rsidRDefault="00C91173">
      <w:pPr>
        <w:widowControl/>
        <w:spacing w:line="360" w:lineRule="auto"/>
        <w:ind w:firstLineChars="200" w:firstLine="420"/>
        <w:jc w:val="left"/>
        <w:rPr>
          <w:bCs/>
          <w:kern w:val="0"/>
          <w:szCs w:val="21"/>
        </w:rPr>
      </w:pPr>
      <w:r>
        <w:t>(</w:t>
      </w:r>
      <w:r>
        <w:rPr>
          <w:rFonts w:hint="eastAsia"/>
        </w:rPr>
        <w:t>4</w:t>
      </w:r>
      <w:r>
        <w:t>)</w:t>
      </w:r>
      <w:r>
        <w:rPr>
          <w:bCs/>
          <w:kern w:val="0"/>
          <w:szCs w:val="21"/>
        </w:rPr>
        <w:t>园艺设施</w:t>
      </w:r>
      <w:r>
        <w:rPr>
          <w:rFonts w:hint="eastAsia"/>
          <w:bCs/>
          <w:kern w:val="0"/>
          <w:szCs w:val="21"/>
        </w:rPr>
        <w:t>建造与环境调控</w:t>
      </w:r>
      <w:r>
        <w:rPr>
          <w:bCs/>
          <w:kern w:val="0"/>
          <w:szCs w:val="21"/>
        </w:rPr>
        <w:t>，</w:t>
      </w:r>
      <w:r>
        <w:rPr>
          <w:rFonts w:hint="eastAsia"/>
          <w:bCs/>
          <w:kern w:val="0"/>
          <w:szCs w:val="21"/>
        </w:rPr>
        <w:t>李青云</w:t>
      </w:r>
      <w:r>
        <w:rPr>
          <w:bCs/>
          <w:kern w:val="0"/>
          <w:szCs w:val="21"/>
        </w:rPr>
        <w:t>主编，</w:t>
      </w:r>
      <w:r>
        <w:rPr>
          <w:rFonts w:hint="eastAsia"/>
          <w:bCs/>
          <w:kern w:val="0"/>
          <w:szCs w:val="21"/>
        </w:rPr>
        <w:t>金盾</w:t>
      </w:r>
      <w:r>
        <w:rPr>
          <w:bCs/>
          <w:kern w:val="0"/>
          <w:szCs w:val="21"/>
        </w:rPr>
        <w:t>出版社，</w:t>
      </w:r>
      <w:r>
        <w:rPr>
          <w:bCs/>
          <w:kern w:val="0"/>
          <w:szCs w:val="21"/>
        </w:rPr>
        <w:t>20</w:t>
      </w:r>
      <w:r>
        <w:rPr>
          <w:rFonts w:hint="eastAsia"/>
          <w:bCs/>
          <w:kern w:val="0"/>
          <w:szCs w:val="21"/>
        </w:rPr>
        <w:t>08</w:t>
      </w:r>
      <w:r>
        <w:rPr>
          <w:bCs/>
          <w:kern w:val="0"/>
          <w:szCs w:val="21"/>
        </w:rPr>
        <w:t>年</w:t>
      </w:r>
    </w:p>
    <w:p w14:paraId="4E4D2904" w14:textId="77777777" w:rsidR="00F5289E" w:rsidRDefault="00C91173">
      <w:pPr>
        <w:widowControl/>
        <w:spacing w:line="360" w:lineRule="auto"/>
        <w:ind w:firstLineChars="200" w:firstLine="420"/>
        <w:jc w:val="left"/>
        <w:rPr>
          <w:bCs/>
          <w:kern w:val="0"/>
          <w:szCs w:val="21"/>
        </w:rPr>
      </w:pPr>
      <w:r>
        <w:t>(</w:t>
      </w:r>
      <w:r>
        <w:rPr>
          <w:rFonts w:hint="eastAsia"/>
        </w:rPr>
        <w:t>5</w:t>
      </w:r>
      <w:r>
        <w:t>)</w:t>
      </w:r>
      <w:r>
        <w:rPr>
          <w:bCs/>
          <w:kern w:val="0"/>
          <w:szCs w:val="21"/>
        </w:rPr>
        <w:t>园艺设施</w:t>
      </w:r>
      <w:r>
        <w:rPr>
          <w:rFonts w:hint="eastAsia"/>
          <w:bCs/>
          <w:kern w:val="0"/>
          <w:szCs w:val="21"/>
        </w:rPr>
        <w:t>学</w:t>
      </w:r>
      <w:r>
        <w:rPr>
          <w:bCs/>
          <w:kern w:val="0"/>
          <w:szCs w:val="21"/>
        </w:rPr>
        <w:t>，</w:t>
      </w:r>
      <w:r>
        <w:rPr>
          <w:rFonts w:hint="eastAsia"/>
          <w:bCs/>
          <w:kern w:val="0"/>
          <w:szCs w:val="21"/>
        </w:rPr>
        <w:t>邹志荣</w:t>
      </w:r>
      <w:r>
        <w:rPr>
          <w:bCs/>
          <w:kern w:val="0"/>
          <w:szCs w:val="21"/>
        </w:rPr>
        <w:t>主编，</w:t>
      </w:r>
      <w:r>
        <w:rPr>
          <w:rFonts w:hint="eastAsia"/>
          <w:bCs/>
          <w:kern w:val="0"/>
          <w:szCs w:val="21"/>
        </w:rPr>
        <w:t>中国农业</w:t>
      </w:r>
      <w:r>
        <w:rPr>
          <w:bCs/>
          <w:kern w:val="0"/>
          <w:szCs w:val="21"/>
        </w:rPr>
        <w:t>出版社，</w:t>
      </w:r>
      <w:r>
        <w:rPr>
          <w:bCs/>
          <w:kern w:val="0"/>
          <w:szCs w:val="21"/>
        </w:rPr>
        <w:t>20</w:t>
      </w:r>
      <w:r>
        <w:rPr>
          <w:rFonts w:hint="eastAsia"/>
          <w:bCs/>
          <w:kern w:val="0"/>
          <w:szCs w:val="21"/>
        </w:rPr>
        <w:t>02</w:t>
      </w:r>
      <w:r>
        <w:rPr>
          <w:bCs/>
          <w:kern w:val="0"/>
          <w:szCs w:val="21"/>
        </w:rPr>
        <w:t>年</w:t>
      </w:r>
    </w:p>
    <w:p w14:paraId="012B5B85" w14:textId="77777777" w:rsidR="00F5289E" w:rsidRDefault="00C91173">
      <w:pPr>
        <w:widowControl/>
        <w:spacing w:line="360" w:lineRule="auto"/>
        <w:ind w:firstLineChars="200" w:firstLine="420"/>
        <w:jc w:val="left"/>
        <w:rPr>
          <w:bCs/>
          <w:kern w:val="0"/>
          <w:szCs w:val="21"/>
        </w:rPr>
      </w:pPr>
      <w:r>
        <w:t>(</w:t>
      </w:r>
      <w:r>
        <w:rPr>
          <w:rFonts w:hint="eastAsia"/>
        </w:rPr>
        <w:t>6</w:t>
      </w:r>
      <w:r>
        <w:t>)</w:t>
      </w:r>
      <w:r>
        <w:rPr>
          <w:bCs/>
          <w:kern w:val="0"/>
          <w:szCs w:val="21"/>
        </w:rPr>
        <w:t>园艺设施</w:t>
      </w:r>
      <w:r>
        <w:rPr>
          <w:rFonts w:hint="eastAsia"/>
          <w:bCs/>
          <w:kern w:val="0"/>
          <w:szCs w:val="21"/>
        </w:rPr>
        <w:t>工程学</w:t>
      </w:r>
      <w:r>
        <w:rPr>
          <w:bCs/>
          <w:kern w:val="0"/>
          <w:szCs w:val="21"/>
        </w:rPr>
        <w:t>，</w:t>
      </w:r>
      <w:r>
        <w:rPr>
          <w:rFonts w:hint="eastAsia"/>
          <w:bCs/>
          <w:kern w:val="0"/>
          <w:szCs w:val="21"/>
        </w:rPr>
        <w:t>吴凤芝</w:t>
      </w:r>
      <w:r>
        <w:rPr>
          <w:bCs/>
          <w:kern w:val="0"/>
          <w:szCs w:val="21"/>
        </w:rPr>
        <w:t>主编，</w:t>
      </w:r>
      <w:r>
        <w:rPr>
          <w:rFonts w:hint="eastAsia"/>
          <w:bCs/>
          <w:kern w:val="0"/>
          <w:szCs w:val="21"/>
        </w:rPr>
        <w:t>科学</w:t>
      </w:r>
      <w:r>
        <w:rPr>
          <w:bCs/>
          <w:kern w:val="0"/>
          <w:szCs w:val="21"/>
        </w:rPr>
        <w:t>出版社，</w:t>
      </w:r>
      <w:r>
        <w:rPr>
          <w:bCs/>
          <w:kern w:val="0"/>
          <w:szCs w:val="21"/>
        </w:rPr>
        <w:t>20</w:t>
      </w:r>
      <w:r>
        <w:rPr>
          <w:rFonts w:hint="eastAsia"/>
          <w:bCs/>
          <w:kern w:val="0"/>
          <w:szCs w:val="21"/>
        </w:rPr>
        <w:t>12</w:t>
      </w:r>
      <w:r>
        <w:rPr>
          <w:bCs/>
          <w:kern w:val="0"/>
          <w:szCs w:val="21"/>
        </w:rPr>
        <w:t>年</w:t>
      </w:r>
    </w:p>
    <w:p w14:paraId="7762A15B" w14:textId="77777777" w:rsidR="00F5289E" w:rsidRDefault="00C91173">
      <w:pPr>
        <w:spacing w:line="360" w:lineRule="auto"/>
        <w:ind w:firstLineChars="200" w:firstLine="420"/>
      </w:pPr>
      <w:r>
        <w:t>(</w:t>
      </w:r>
      <w:r>
        <w:rPr>
          <w:rFonts w:hint="eastAsia"/>
        </w:rPr>
        <w:t>7</w:t>
      </w:r>
      <w:r>
        <w:t>)</w:t>
      </w:r>
      <w:r>
        <w:rPr>
          <w:kern w:val="0"/>
          <w:szCs w:val="21"/>
        </w:rPr>
        <w:t>园艺设施工程学，吴凤芝主编，科学技术出版社，</w:t>
      </w:r>
      <w:r>
        <w:rPr>
          <w:kern w:val="0"/>
          <w:szCs w:val="21"/>
        </w:rPr>
        <w:t>2012</w:t>
      </w:r>
      <w:r>
        <w:rPr>
          <w:kern w:val="0"/>
          <w:szCs w:val="21"/>
        </w:rPr>
        <w:t>年</w:t>
      </w:r>
    </w:p>
    <w:p w14:paraId="1DD50810" w14:textId="77777777" w:rsidR="00F5289E" w:rsidRDefault="00C91173">
      <w:pPr>
        <w:widowControl/>
        <w:jc w:val="left"/>
        <w:rPr>
          <w:rFonts w:ascii="宋体" w:hAnsi="宋体" w:cs="Arial Unicode MS"/>
          <w:kern w:val="0"/>
        </w:rPr>
      </w:pPr>
      <w:r>
        <w:rPr>
          <w:rFonts w:ascii="宋体" w:hAnsi="宋体"/>
        </w:rPr>
        <w:br w:type="page"/>
      </w:r>
    </w:p>
    <w:p w14:paraId="10A31153" w14:textId="1C174528" w:rsidR="00F5289E" w:rsidRDefault="00C91173">
      <w:pPr>
        <w:rPr>
          <w:b/>
          <w:bCs/>
        </w:rPr>
      </w:pPr>
      <w:r>
        <w:rPr>
          <w:rFonts w:hint="eastAsia"/>
          <w:b/>
          <w:bCs/>
        </w:rPr>
        <w:lastRenderedPageBreak/>
        <w:t>（</w:t>
      </w:r>
      <w:r w:rsidR="00736DFF">
        <w:rPr>
          <w:rFonts w:hint="eastAsia"/>
          <w:b/>
          <w:bCs/>
        </w:rPr>
        <w:t>二</w:t>
      </w:r>
      <w:r>
        <w:rPr>
          <w:rFonts w:hint="eastAsia"/>
          <w:b/>
          <w:bCs/>
        </w:rPr>
        <w:t>）工厂化育苗原理与技术实习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13A12B14" w14:textId="77777777">
        <w:trPr>
          <w:trHeight w:val="435"/>
        </w:trPr>
        <w:tc>
          <w:tcPr>
            <w:tcW w:w="1666" w:type="pct"/>
            <w:vAlign w:val="center"/>
          </w:tcPr>
          <w:p w14:paraId="5ADC69E1" w14:textId="77777777" w:rsidR="00F5289E" w:rsidRDefault="00C91173">
            <w:pPr>
              <w:rPr>
                <w:rFonts w:ascii="黑体" w:eastAsia="黑体"/>
              </w:rPr>
            </w:pPr>
            <w:r>
              <w:rPr>
                <w:rFonts w:ascii="宋体" w:hAnsi="宋体" w:hint="eastAsia"/>
                <w:b/>
              </w:rPr>
              <w:t>开设学期</w:t>
            </w:r>
            <w:r>
              <w:rPr>
                <w:rFonts w:ascii="宋体" w:hAnsi="宋体" w:hint="eastAsia"/>
                <w:szCs w:val="21"/>
              </w:rPr>
              <w:t>：第4学期</w:t>
            </w:r>
          </w:p>
        </w:tc>
        <w:tc>
          <w:tcPr>
            <w:tcW w:w="1453" w:type="pct"/>
            <w:vAlign w:val="center"/>
          </w:tcPr>
          <w:p w14:paraId="54D6B694" w14:textId="77777777" w:rsidR="00F5289E" w:rsidRDefault="00C91173">
            <w:pPr>
              <w:rPr>
                <w:rFonts w:ascii="黑体" w:eastAsia="黑体"/>
              </w:rPr>
            </w:pPr>
            <w:r>
              <w:rPr>
                <w:rFonts w:ascii="宋体" w:hAnsi="宋体" w:hint="eastAsia"/>
                <w:b/>
              </w:rPr>
              <w:t>实习周数</w:t>
            </w:r>
            <w:r>
              <w:rPr>
                <w:rFonts w:ascii="宋体" w:hAnsi="宋体" w:hint="eastAsia"/>
                <w:szCs w:val="21"/>
              </w:rPr>
              <w:t>：0</w:t>
            </w:r>
            <w:r>
              <w:rPr>
                <w:rFonts w:ascii="宋体" w:hAnsi="宋体"/>
                <w:szCs w:val="21"/>
              </w:rPr>
              <w:t>.5</w:t>
            </w:r>
          </w:p>
        </w:tc>
        <w:tc>
          <w:tcPr>
            <w:tcW w:w="1881" w:type="pct"/>
            <w:vAlign w:val="center"/>
          </w:tcPr>
          <w:p w14:paraId="4C271D70" w14:textId="77777777" w:rsidR="00F5289E" w:rsidRDefault="00C91173">
            <w:pPr>
              <w:rPr>
                <w:rFonts w:ascii="黑体" w:eastAsia="黑体"/>
              </w:rPr>
            </w:pPr>
            <w:r>
              <w:rPr>
                <w:rFonts w:ascii="宋体" w:hAnsi="宋体" w:hint="eastAsia"/>
                <w:b/>
              </w:rPr>
              <w:t>学分</w:t>
            </w:r>
            <w:r>
              <w:rPr>
                <w:rFonts w:ascii="宋体" w:hAnsi="宋体" w:hint="eastAsia"/>
                <w:szCs w:val="21"/>
              </w:rPr>
              <w:t>：0</w:t>
            </w:r>
            <w:r>
              <w:rPr>
                <w:rFonts w:ascii="宋体" w:hAnsi="宋体"/>
                <w:szCs w:val="21"/>
              </w:rPr>
              <w:t>.5</w:t>
            </w:r>
          </w:p>
        </w:tc>
      </w:tr>
      <w:tr w:rsidR="00F5289E" w14:paraId="4394E987" w14:textId="77777777">
        <w:trPr>
          <w:trHeight w:val="435"/>
        </w:trPr>
        <w:tc>
          <w:tcPr>
            <w:tcW w:w="5000" w:type="pct"/>
            <w:gridSpan w:val="3"/>
            <w:vAlign w:val="center"/>
          </w:tcPr>
          <w:p w14:paraId="28FE6C7E" w14:textId="77777777" w:rsidR="00F5289E" w:rsidRDefault="00C91173">
            <w:pPr>
              <w:rPr>
                <w:rFonts w:ascii="黑体" w:eastAsia="黑体"/>
                <w:color w:val="0000FF"/>
              </w:rPr>
            </w:pPr>
            <w:r>
              <w:rPr>
                <w:rFonts w:ascii="宋体" w:hAnsi="宋体" w:hint="eastAsia"/>
                <w:b/>
              </w:rPr>
              <w:t>适用专业</w:t>
            </w:r>
            <w:r>
              <w:rPr>
                <w:rFonts w:ascii="宋体" w:hAnsi="宋体" w:hint="eastAsia"/>
              </w:rPr>
              <w:t>：</w:t>
            </w:r>
            <w:r>
              <w:rPr>
                <w:rFonts w:hint="eastAsia"/>
              </w:rPr>
              <w:t>设施农业科学与工程</w:t>
            </w:r>
          </w:p>
        </w:tc>
      </w:tr>
      <w:tr w:rsidR="00F5289E" w14:paraId="34071CB3" w14:textId="77777777">
        <w:trPr>
          <w:trHeight w:val="435"/>
        </w:trPr>
        <w:tc>
          <w:tcPr>
            <w:tcW w:w="5000" w:type="pct"/>
            <w:gridSpan w:val="3"/>
            <w:vAlign w:val="center"/>
          </w:tcPr>
          <w:p w14:paraId="42CFAC05" w14:textId="77777777" w:rsidR="00F5289E" w:rsidRDefault="00C91173">
            <w:pPr>
              <w:rPr>
                <w:rFonts w:ascii="黑体"/>
              </w:rPr>
            </w:pPr>
            <w:r>
              <w:rPr>
                <w:rFonts w:ascii="宋体" w:hAnsi="宋体" w:hint="eastAsia"/>
                <w:b/>
              </w:rPr>
              <w:t>先修课程</w:t>
            </w:r>
            <w:r>
              <w:rPr>
                <w:rFonts w:ascii="黑体" w:eastAsia="黑体" w:hint="eastAsia"/>
              </w:rPr>
              <w:t>：</w:t>
            </w:r>
            <w:r>
              <w:rPr>
                <w:rFonts w:ascii="宋体" w:hAnsi="宋体" w:hint="eastAsia"/>
              </w:rPr>
              <w:t>植物学、植物生理学、土壤肥料学</w:t>
            </w:r>
          </w:p>
        </w:tc>
      </w:tr>
      <w:tr w:rsidR="00F5289E" w14:paraId="2BE2A98B" w14:textId="77777777">
        <w:trPr>
          <w:trHeight w:val="767"/>
        </w:trPr>
        <w:tc>
          <w:tcPr>
            <w:tcW w:w="1666" w:type="pct"/>
            <w:vAlign w:val="center"/>
          </w:tcPr>
          <w:p w14:paraId="0FE4D38D" w14:textId="77777777" w:rsidR="00F5289E" w:rsidRDefault="00C91173">
            <w:pPr>
              <w:rPr>
                <w:rFonts w:ascii="宋体" w:hAnsi="宋体"/>
                <w:b/>
              </w:rPr>
            </w:pPr>
            <w:r>
              <w:rPr>
                <w:rFonts w:ascii="宋体" w:hAnsi="宋体" w:hint="eastAsia"/>
                <w:b/>
              </w:rPr>
              <w:t>主撰人：</w:t>
            </w:r>
            <w:r>
              <w:rPr>
                <w:rFonts w:ascii="宋体" w:hAnsi="宋体" w:hint="eastAsia"/>
              </w:rPr>
              <w:t>李阳</w:t>
            </w:r>
          </w:p>
        </w:tc>
        <w:tc>
          <w:tcPr>
            <w:tcW w:w="1453" w:type="pct"/>
            <w:vAlign w:val="center"/>
          </w:tcPr>
          <w:p w14:paraId="58947780" w14:textId="77777777" w:rsidR="00F5289E" w:rsidRDefault="00C91173">
            <w:pPr>
              <w:rPr>
                <w:rFonts w:ascii="黑体" w:eastAsia="黑体"/>
              </w:rPr>
            </w:pPr>
            <w:r>
              <w:rPr>
                <w:rFonts w:ascii="宋体" w:hAnsi="宋体" w:hint="eastAsia"/>
                <w:b/>
              </w:rPr>
              <w:t>审核人</w:t>
            </w:r>
            <w:r>
              <w:rPr>
                <w:rFonts w:ascii="宋体" w:hAnsi="宋体" w:hint="eastAsia"/>
              </w:rPr>
              <w:t>：李胜利</w:t>
            </w:r>
          </w:p>
        </w:tc>
        <w:tc>
          <w:tcPr>
            <w:tcW w:w="1881" w:type="pct"/>
            <w:vAlign w:val="center"/>
          </w:tcPr>
          <w:p w14:paraId="52B95AF1" w14:textId="77777777" w:rsidR="00F5289E" w:rsidRDefault="00C91173">
            <w:pPr>
              <w:rPr>
                <w:rFonts w:ascii="宋体" w:hAnsi="宋体"/>
              </w:rPr>
            </w:pPr>
            <w:r>
              <w:rPr>
                <w:rFonts w:ascii="宋体" w:hAnsi="宋体" w:hint="eastAsia"/>
                <w:b/>
              </w:rPr>
              <w:t>大纲制定（修订）日期</w:t>
            </w:r>
            <w:r>
              <w:rPr>
                <w:rFonts w:ascii="宋体" w:hAnsi="宋体" w:hint="eastAsia"/>
              </w:rPr>
              <w:t>：</w:t>
            </w:r>
            <w:r>
              <w:t>20</w:t>
            </w:r>
            <w:r>
              <w:rPr>
                <w:rFonts w:hint="eastAsia"/>
              </w:rPr>
              <w:t>23</w:t>
            </w:r>
            <w:r>
              <w:rPr>
                <w:rFonts w:hint="eastAsia"/>
              </w:rPr>
              <w:t>年</w:t>
            </w:r>
          </w:p>
        </w:tc>
      </w:tr>
    </w:tbl>
    <w:p w14:paraId="318EF2BE"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1.课程简介</w:t>
      </w:r>
    </w:p>
    <w:p w14:paraId="5403342B" w14:textId="77777777" w:rsidR="00F5289E" w:rsidRDefault="00C91173">
      <w:pPr>
        <w:spacing w:line="360" w:lineRule="auto"/>
        <w:ind w:firstLineChars="200" w:firstLine="420"/>
        <w:rPr>
          <w:kern w:val="0"/>
          <w:szCs w:val="21"/>
        </w:rPr>
      </w:pPr>
      <w:r>
        <w:rPr>
          <w:rFonts w:hint="eastAsia"/>
          <w:kern w:val="0"/>
          <w:szCs w:val="21"/>
        </w:rPr>
        <w:t>工厂化育苗是集现代生物技术、工程技术、环境调控技术、信息技术等为一体的现代育苗方式，是现代农业中集约化程度最高、经济效益最好的生产方式之一。工厂化育苗原理与技术是设施农业科学与工程专业的专业核心课程，同时也作为园艺专业的选修课程。本门课程主要讲授育苗基础知识、育苗设施与设备、育苗基质、育苗方式、育苗质量控制、主要园艺作物工厂化育苗技术、种苗的经营与管理等内容，培养适应现代种苗产业需要的专业素质和基本技能。课程重在拓宽学生的专业视野，强化园艺植物育苗方面的知识与技能，满足现代种苗产业兴起和快速发展对高素质专门人才的需求，有利于实现宽口径培养人才的目标。</w:t>
      </w:r>
    </w:p>
    <w:p w14:paraId="19F54AF6" w14:textId="77777777" w:rsidR="00F5289E" w:rsidRDefault="00C91173">
      <w:pPr>
        <w:spacing w:line="360" w:lineRule="auto"/>
        <w:ind w:firstLineChars="200" w:firstLine="422"/>
        <w:rPr>
          <w:rFonts w:ascii="宋体" w:hAnsi="宋体"/>
          <w:b/>
          <w:szCs w:val="21"/>
        </w:rPr>
      </w:pPr>
      <w:r>
        <w:rPr>
          <w:rFonts w:ascii="宋体" w:hAnsi="宋体" w:hint="eastAsia"/>
          <w:b/>
          <w:szCs w:val="21"/>
        </w:rPr>
        <w:t>2.课程劳动教育</w:t>
      </w:r>
    </w:p>
    <w:p w14:paraId="72498413" w14:textId="77777777" w:rsidR="00F5289E" w:rsidRDefault="00C91173">
      <w:pPr>
        <w:spacing w:line="360" w:lineRule="auto"/>
        <w:ind w:firstLineChars="200" w:firstLine="420"/>
        <w:rPr>
          <w:rFonts w:ascii="宋体" w:hAnsi="宋体"/>
          <w:szCs w:val="21"/>
        </w:rPr>
      </w:pPr>
      <w:r>
        <w:rPr>
          <w:rFonts w:ascii="宋体" w:hAnsi="宋体" w:cs="宋体" w:hint="eastAsia"/>
          <w:kern w:val="0"/>
          <w:szCs w:val="21"/>
        </w:rPr>
        <w:t>《工厂化育苗原理与技术》课程实习</w:t>
      </w:r>
      <w:r>
        <w:rPr>
          <w:rFonts w:ascii="宋体" w:hAnsi="宋体" w:hint="eastAsia"/>
          <w:szCs w:val="21"/>
        </w:rPr>
        <w:t>到省内不同规模育苗场</w:t>
      </w:r>
      <w:r>
        <w:rPr>
          <w:rFonts w:hint="eastAsia"/>
        </w:rPr>
        <w:t>的生产和科研基地，实地考察各种育苗设施类型（连栋温室、日光温室、塑料大棚等）的结构、工厂化育苗的生产设备、环境调控装备等；了解蔬菜工厂化育苗的种类、规模和产销情况，深入调查工厂化育苗生产各环节的技术要求、产业收益及面临的问题和挑战等，</w:t>
      </w:r>
      <w:r>
        <w:rPr>
          <w:rFonts w:ascii="宋体" w:hAnsi="宋体" w:hint="eastAsia"/>
          <w:szCs w:val="21"/>
        </w:rPr>
        <w:t>增强学生服务“三农”和农业农村现代化的使命感和责任感，让学生走进农村、走近农民、走向农业，了解乡情民情，学习乡土文化，提升学生学农、知农、爱农的情怀和专业实践能力。</w:t>
      </w:r>
    </w:p>
    <w:p w14:paraId="095CBC66" w14:textId="77777777" w:rsidR="00F5289E" w:rsidRDefault="00C91173">
      <w:pPr>
        <w:spacing w:line="360" w:lineRule="auto"/>
        <w:ind w:firstLineChars="200" w:firstLine="422"/>
        <w:rPr>
          <w:rFonts w:ascii="宋体" w:hAnsi="宋体"/>
          <w:b/>
          <w:szCs w:val="21"/>
        </w:rPr>
      </w:pPr>
      <w:r>
        <w:rPr>
          <w:rFonts w:ascii="宋体" w:hAnsi="宋体" w:hint="eastAsia"/>
          <w:b/>
          <w:szCs w:val="21"/>
        </w:rPr>
        <w:t>3</w:t>
      </w:r>
      <w:r>
        <w:rPr>
          <w:rFonts w:ascii="宋体" w:hAnsi="宋体" w:cs="宋体" w:hint="eastAsia"/>
          <w:b/>
          <w:kern w:val="0"/>
          <w:szCs w:val="21"/>
        </w:rPr>
        <w:t>.</w:t>
      </w:r>
      <w:r>
        <w:rPr>
          <w:rFonts w:ascii="宋体" w:hAnsi="宋体" w:hint="eastAsia"/>
          <w:b/>
          <w:szCs w:val="21"/>
        </w:rPr>
        <w:t>实习目的和要求</w:t>
      </w:r>
    </w:p>
    <w:p w14:paraId="45B45352" w14:textId="77777777" w:rsidR="00F5289E" w:rsidRDefault="00C91173">
      <w:pPr>
        <w:spacing w:line="360" w:lineRule="auto"/>
        <w:ind w:firstLineChars="200" w:firstLine="420"/>
        <w:rPr>
          <w:color w:val="262600"/>
        </w:rPr>
      </w:pPr>
      <w:r>
        <w:rPr>
          <w:rFonts w:hint="eastAsia"/>
          <w:color w:val="262600"/>
        </w:rPr>
        <w:t>了解国内工厂化育苗的发展现状；了解工厂化育苗所需要的设施、设备；了解机械化、自动化和智能化设备在工厂化育苗中的应用；掌握工厂化育苗基质的选择与配比；掌握常见蔬菜的嫁接育苗技术；了解工厂化育苗企业的经营与管理。</w:t>
      </w:r>
    </w:p>
    <w:p w14:paraId="31ED4875" w14:textId="77777777" w:rsidR="00F5289E" w:rsidRDefault="00C91173">
      <w:pPr>
        <w:spacing w:line="360" w:lineRule="auto"/>
        <w:ind w:firstLineChars="200" w:firstLine="422"/>
        <w:rPr>
          <w:rFonts w:ascii="宋体" w:hAnsi="宋体"/>
          <w:b/>
          <w:szCs w:val="21"/>
        </w:rPr>
      </w:pPr>
      <w:r>
        <w:rPr>
          <w:rFonts w:ascii="宋体" w:hAnsi="宋体" w:hint="eastAsia"/>
          <w:b/>
          <w:szCs w:val="21"/>
        </w:rPr>
        <w:t>4</w:t>
      </w:r>
      <w:r>
        <w:rPr>
          <w:rFonts w:ascii="宋体" w:hAnsi="宋体" w:cs="宋体" w:hint="eastAsia"/>
          <w:b/>
          <w:kern w:val="0"/>
          <w:szCs w:val="21"/>
        </w:rPr>
        <w:t>.</w:t>
      </w:r>
      <w:r>
        <w:rPr>
          <w:rFonts w:ascii="宋体" w:hAnsi="宋体" w:hint="eastAsia"/>
          <w:b/>
          <w:szCs w:val="21"/>
        </w:rPr>
        <w:t>实习地点及内容</w:t>
      </w:r>
    </w:p>
    <w:p w14:paraId="770177E8"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rFonts w:ascii="宋体" w:hAnsi="宋体"/>
          <w:color w:val="0000FF"/>
          <w:szCs w:val="21"/>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hint="eastAsia"/>
          <w:color w:val="262600"/>
        </w:rPr>
        <w:t>河南农业大学科教园区；河南省农业科学院原阳基地；郑州市蔬菜研究所；许昌市鄢陵建业绿色基地。</w:t>
      </w:r>
    </w:p>
    <w:p w14:paraId="0E620375"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rFonts w:ascii="宋体" w:hAnsi="宋体"/>
          <w:color w:val="0000FF"/>
          <w:szCs w:val="21"/>
        </w:rPr>
      </w:pPr>
      <w:r>
        <w:rPr>
          <w:rFonts w:ascii="宋体" w:hAnsi="宋体" w:hint="eastAsia"/>
          <w:b/>
          <w:szCs w:val="21"/>
        </w:rPr>
        <w:t>（2）</w:t>
      </w:r>
      <w:r>
        <w:rPr>
          <w:rFonts w:ascii="宋体" w:hAnsi="宋体" w:hint="eastAsia"/>
          <w:b/>
          <w:bCs/>
          <w:szCs w:val="21"/>
        </w:rPr>
        <w:t>实习内容：</w:t>
      </w:r>
      <w:r>
        <w:rPr>
          <w:rFonts w:hint="eastAsia"/>
          <w:color w:val="262600"/>
        </w:rPr>
        <w:t>掌握蔬菜秧苗质量评价标准及相关实验方法；掌握育苗基质的配制技术；掌握工厂化育苗营养液的配制与管理；掌握常见蔬菜穴盘育苗技术；熟练掌握瓜类、茄果类蔬菜嫁接</w:t>
      </w:r>
      <w:r>
        <w:rPr>
          <w:rFonts w:hint="eastAsia"/>
          <w:color w:val="262600"/>
        </w:rPr>
        <w:lastRenderedPageBreak/>
        <w:t>育苗技术。</w:t>
      </w:r>
    </w:p>
    <w:p w14:paraId="612B62DD" w14:textId="77777777" w:rsidR="00F5289E" w:rsidRDefault="00C91173">
      <w:pPr>
        <w:spacing w:line="360" w:lineRule="auto"/>
        <w:ind w:firstLineChars="200" w:firstLine="422"/>
        <w:rPr>
          <w:rFonts w:ascii="宋体" w:hAnsi="宋体"/>
          <w:b/>
          <w:szCs w:val="21"/>
        </w:rPr>
      </w:pPr>
      <w:r>
        <w:rPr>
          <w:rFonts w:ascii="宋体" w:hAnsi="宋体" w:hint="eastAsia"/>
          <w:b/>
          <w:szCs w:val="21"/>
        </w:rPr>
        <w:t>5</w:t>
      </w:r>
      <w:r>
        <w:rPr>
          <w:rFonts w:ascii="宋体" w:hAnsi="宋体" w:cs="宋体" w:hint="eastAsia"/>
          <w:b/>
          <w:kern w:val="0"/>
          <w:szCs w:val="21"/>
        </w:rPr>
        <w:t>.</w:t>
      </w:r>
      <w:r>
        <w:rPr>
          <w:rFonts w:ascii="宋体" w:hAnsi="宋体" w:hint="eastAsia"/>
          <w:b/>
          <w:szCs w:val="21"/>
        </w:rPr>
        <w:t>实习时间安排</w:t>
      </w:r>
    </w:p>
    <w:p w14:paraId="587C9D70"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rFonts w:ascii="宋体" w:hAnsi="宋体"/>
          <w:szCs w:val="21"/>
        </w:rPr>
      </w:pPr>
      <w:r>
        <w:rPr>
          <w:rFonts w:ascii="宋体" w:hAnsi="宋体" w:hint="eastAsia"/>
          <w:bCs/>
          <w:szCs w:val="21"/>
        </w:rPr>
        <w:t>每年的</w:t>
      </w:r>
      <w:r>
        <w:rPr>
          <w:rFonts w:ascii="宋体" w:hAnsi="宋体"/>
          <w:bCs/>
          <w:szCs w:val="21"/>
        </w:rPr>
        <w:t>5</w:t>
      </w:r>
      <w:r>
        <w:rPr>
          <w:rFonts w:ascii="宋体" w:hAnsi="宋体" w:hint="eastAsia"/>
          <w:bCs/>
          <w:szCs w:val="21"/>
        </w:rPr>
        <w:t>月下旬或</w:t>
      </w:r>
      <w:r>
        <w:rPr>
          <w:rFonts w:ascii="宋体" w:hAnsi="宋体"/>
          <w:bCs/>
          <w:szCs w:val="21"/>
        </w:rPr>
        <w:t>6</w:t>
      </w:r>
      <w:r>
        <w:rPr>
          <w:rFonts w:ascii="宋体" w:hAnsi="宋体" w:hint="eastAsia"/>
          <w:bCs/>
          <w:szCs w:val="21"/>
        </w:rPr>
        <w:t>月上旬，时间为</w:t>
      </w:r>
      <w:r>
        <w:rPr>
          <w:rFonts w:ascii="宋体" w:hAnsi="宋体"/>
          <w:bCs/>
          <w:szCs w:val="21"/>
        </w:rPr>
        <w:t>2.5</w:t>
      </w:r>
      <w:r>
        <w:rPr>
          <w:rFonts w:ascii="宋体" w:hAnsi="宋体" w:hint="eastAsia"/>
          <w:bCs/>
          <w:szCs w:val="21"/>
        </w:rPr>
        <w:t>天。</w:t>
      </w:r>
    </w:p>
    <w:p w14:paraId="3FB0B3C5" w14:textId="77777777" w:rsidR="00F5289E" w:rsidRDefault="00C91173">
      <w:pPr>
        <w:spacing w:line="360" w:lineRule="auto"/>
        <w:ind w:firstLineChars="200" w:firstLine="422"/>
        <w:rPr>
          <w:rFonts w:ascii="宋体" w:hAnsi="宋体"/>
          <w:b/>
          <w:szCs w:val="21"/>
        </w:rPr>
      </w:pPr>
      <w:r>
        <w:rPr>
          <w:rFonts w:ascii="宋体" w:hAnsi="宋体" w:hint="eastAsia"/>
          <w:b/>
          <w:szCs w:val="21"/>
        </w:rPr>
        <w:t>6</w:t>
      </w:r>
      <w:r>
        <w:rPr>
          <w:rFonts w:ascii="宋体" w:hAnsi="宋体" w:cs="宋体" w:hint="eastAsia"/>
          <w:b/>
          <w:kern w:val="0"/>
          <w:szCs w:val="21"/>
        </w:rPr>
        <w:t xml:space="preserve">. </w:t>
      </w:r>
      <w:r>
        <w:rPr>
          <w:rFonts w:ascii="宋体" w:hAnsi="宋体" w:hint="eastAsia"/>
          <w:b/>
          <w:szCs w:val="21"/>
        </w:rPr>
        <w:t>实习具体要求</w:t>
      </w:r>
    </w:p>
    <w:p w14:paraId="78ED5D7C" w14:textId="77777777" w:rsidR="00F5289E" w:rsidRDefault="00C91173">
      <w:pPr>
        <w:widowControl/>
        <w:spacing w:line="360" w:lineRule="auto"/>
        <w:ind w:firstLineChars="200" w:firstLine="420"/>
        <w:jc w:val="left"/>
        <w:rPr>
          <w:color w:val="262600"/>
        </w:rPr>
      </w:pPr>
      <w:r>
        <w:rPr>
          <w:rFonts w:hint="eastAsia"/>
          <w:color w:val="262600"/>
        </w:rPr>
        <w:t>（</w:t>
      </w:r>
      <w:r>
        <w:rPr>
          <w:color w:val="262600"/>
        </w:rPr>
        <w:t>1</w:t>
      </w:r>
      <w:r>
        <w:rPr>
          <w:color w:val="262600"/>
        </w:rPr>
        <w:t>）参观园艺学院设施农业科学与工程实验室，了解光合测定仪、叶面积仪、根系分析仪、叶绿素测定仪、人工气候箱、</w:t>
      </w:r>
      <w:r>
        <w:rPr>
          <w:color w:val="262600"/>
        </w:rPr>
        <w:t>pH</w:t>
      </w:r>
      <w:r>
        <w:rPr>
          <w:color w:val="262600"/>
        </w:rPr>
        <w:t>计、</w:t>
      </w:r>
      <w:r>
        <w:rPr>
          <w:color w:val="262600"/>
        </w:rPr>
        <w:t>EC</w:t>
      </w:r>
      <w:r>
        <w:rPr>
          <w:color w:val="262600"/>
        </w:rPr>
        <w:t>计的性能和使用方法。</w:t>
      </w:r>
    </w:p>
    <w:p w14:paraId="452864D8" w14:textId="77777777" w:rsidR="00F5289E" w:rsidRDefault="00C91173">
      <w:pPr>
        <w:widowControl/>
        <w:spacing w:line="360" w:lineRule="auto"/>
        <w:ind w:firstLineChars="200" w:firstLine="420"/>
        <w:jc w:val="left"/>
        <w:rPr>
          <w:color w:val="262600"/>
        </w:rPr>
      </w:pPr>
      <w:r>
        <w:rPr>
          <w:rFonts w:hint="eastAsia"/>
          <w:color w:val="262600"/>
        </w:rPr>
        <w:t>（</w:t>
      </w:r>
      <w:r>
        <w:rPr>
          <w:color w:val="262600"/>
        </w:rPr>
        <w:t>2</w:t>
      </w:r>
      <w:r>
        <w:rPr>
          <w:color w:val="262600"/>
        </w:rPr>
        <w:t>）参观省内主要的育苗公司及科研单位，调查育苗场生产设施结构、性能、利用情况；年育苗量、供货期、价格、生产成本、技术体系和管理制度，掌握现阶段我国工厂化育苗目前的技术水平及发展趋势。</w:t>
      </w:r>
    </w:p>
    <w:p w14:paraId="39B1839E" w14:textId="77777777" w:rsidR="00F5289E" w:rsidRDefault="00C91173">
      <w:pPr>
        <w:widowControl/>
        <w:spacing w:line="360" w:lineRule="auto"/>
        <w:ind w:firstLineChars="200" w:firstLine="420"/>
        <w:jc w:val="left"/>
        <w:rPr>
          <w:color w:val="262600"/>
        </w:rPr>
      </w:pPr>
      <w:r>
        <w:rPr>
          <w:rFonts w:hint="eastAsia"/>
          <w:color w:val="262600"/>
        </w:rPr>
        <w:t>（</w:t>
      </w:r>
      <w:r>
        <w:rPr>
          <w:color w:val="262600"/>
        </w:rPr>
        <w:t>3</w:t>
      </w:r>
      <w:r>
        <w:rPr>
          <w:color w:val="262600"/>
        </w:rPr>
        <w:t>）综合实习报告撰写，完成《年产</w:t>
      </w:r>
      <w:r>
        <w:rPr>
          <w:color w:val="262600"/>
        </w:rPr>
        <w:t>1000</w:t>
      </w:r>
      <w:r>
        <w:rPr>
          <w:color w:val="262600"/>
        </w:rPr>
        <w:t>万株蔬菜秧苗育苗场规划设计方案》，内容包括：政策文件的扶持，当地气候条件调查，当地经济发展程度，规划平面图，建设必要性，建设规模，育苗计划，投资概算，劳动组织，成本估算，效益评价。</w:t>
      </w:r>
    </w:p>
    <w:p w14:paraId="6A13135F"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hint="eastAsia"/>
          <w:b/>
          <w:szCs w:val="21"/>
        </w:rPr>
        <w:t>7</w:t>
      </w:r>
      <w:r>
        <w:rPr>
          <w:rFonts w:ascii="宋体" w:hAnsi="宋体" w:cs="宋体" w:hint="eastAsia"/>
          <w:b/>
          <w:kern w:val="0"/>
          <w:szCs w:val="21"/>
        </w:rPr>
        <w:t>. 考核方式与成绩评定标准</w:t>
      </w:r>
    </w:p>
    <w:p w14:paraId="78DB0E95" w14:textId="77777777" w:rsidR="00F5289E" w:rsidRDefault="00C91173">
      <w:pPr>
        <w:widowControl/>
        <w:spacing w:line="360" w:lineRule="auto"/>
        <w:ind w:firstLineChars="200" w:firstLine="420"/>
        <w:rPr>
          <w:color w:val="262600"/>
        </w:rPr>
      </w:pPr>
      <w:r>
        <w:rPr>
          <w:rFonts w:hint="eastAsia"/>
          <w:color w:val="262600"/>
        </w:rPr>
        <w:t>实习结束，每个实习小组完成《年产</w:t>
      </w:r>
      <w:r>
        <w:rPr>
          <w:color w:val="262600"/>
        </w:rPr>
        <w:t>1000</w:t>
      </w:r>
      <w:r>
        <w:rPr>
          <w:color w:val="262600"/>
        </w:rPr>
        <w:t>万株蔬菜秧苗育苗场规划设计方案》并形成文字，每个小组派出一名学生代表以</w:t>
      </w:r>
      <w:r>
        <w:rPr>
          <w:color w:val="262600"/>
        </w:rPr>
        <w:t>PPT</w:t>
      </w:r>
      <w:r>
        <w:rPr>
          <w:color w:val="262600"/>
        </w:rPr>
        <w:t>形式讲解设计方法，通过教师评价及学生互评的形式得出综合成绩。</w:t>
      </w:r>
    </w:p>
    <w:p w14:paraId="06CB59A0"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8. 教材及主要参考资料</w:t>
      </w:r>
    </w:p>
    <w:p w14:paraId="423A0D64" w14:textId="77777777" w:rsidR="00F5289E" w:rsidRDefault="00C91173">
      <w:pPr>
        <w:snapToGrid w:val="0"/>
        <w:spacing w:line="360" w:lineRule="auto"/>
        <w:rPr>
          <w:color w:val="262600"/>
        </w:rPr>
      </w:pPr>
      <w:r>
        <w:rPr>
          <w:rFonts w:hint="eastAsia"/>
          <w:color w:val="262600"/>
        </w:rPr>
        <w:t>（</w:t>
      </w:r>
      <w:r>
        <w:rPr>
          <w:color w:val="262600"/>
        </w:rPr>
        <w:t>1</w:t>
      </w:r>
      <w:r>
        <w:rPr>
          <w:color w:val="262600"/>
        </w:rPr>
        <w:t>）工厂化育苗原理与技术，别之龙、黄丹枫主编</w:t>
      </w:r>
      <w:r>
        <w:rPr>
          <w:rFonts w:hint="eastAsia"/>
          <w:color w:val="262600"/>
        </w:rPr>
        <w:t>。</w:t>
      </w:r>
      <w:r>
        <w:rPr>
          <w:color w:val="262600"/>
        </w:rPr>
        <w:t>中国农业出版社，</w:t>
      </w:r>
      <w:r>
        <w:rPr>
          <w:color w:val="262600"/>
        </w:rPr>
        <w:t>2019</w:t>
      </w:r>
      <w:r>
        <w:rPr>
          <w:color w:val="262600"/>
        </w:rPr>
        <w:t>年。</w:t>
      </w:r>
    </w:p>
    <w:p w14:paraId="48208CFE" w14:textId="77777777" w:rsidR="00F5289E" w:rsidRDefault="00C91173">
      <w:pPr>
        <w:snapToGrid w:val="0"/>
        <w:spacing w:line="360" w:lineRule="auto"/>
        <w:rPr>
          <w:color w:val="262600"/>
        </w:rPr>
      </w:pPr>
      <w:r>
        <w:rPr>
          <w:rFonts w:hint="eastAsia"/>
          <w:color w:val="262600"/>
        </w:rPr>
        <w:t>（</w:t>
      </w:r>
      <w:r>
        <w:rPr>
          <w:color w:val="262600"/>
        </w:rPr>
        <w:t>2</w:t>
      </w:r>
      <w:r>
        <w:rPr>
          <w:color w:val="262600"/>
        </w:rPr>
        <w:t>）工厂化育苗，武春成、狄文伟主编</w:t>
      </w:r>
      <w:r>
        <w:rPr>
          <w:rFonts w:hint="eastAsia"/>
          <w:color w:val="262600"/>
        </w:rPr>
        <w:t>。</w:t>
      </w:r>
      <w:r>
        <w:rPr>
          <w:color w:val="262600"/>
        </w:rPr>
        <w:t>科学出版社，</w:t>
      </w:r>
      <w:r>
        <w:rPr>
          <w:color w:val="262600"/>
        </w:rPr>
        <w:t>2017</w:t>
      </w:r>
      <w:r>
        <w:rPr>
          <w:color w:val="262600"/>
        </w:rPr>
        <w:t>年。</w:t>
      </w:r>
    </w:p>
    <w:p w14:paraId="23CDDA0C" w14:textId="77777777" w:rsidR="00F5289E" w:rsidRDefault="00C91173">
      <w:pPr>
        <w:snapToGrid w:val="0"/>
        <w:spacing w:line="360" w:lineRule="auto"/>
        <w:rPr>
          <w:color w:val="262600"/>
        </w:rPr>
      </w:pPr>
      <w:r>
        <w:rPr>
          <w:rFonts w:hint="eastAsia"/>
          <w:color w:val="262600"/>
        </w:rPr>
        <w:t>（</w:t>
      </w:r>
      <w:r>
        <w:rPr>
          <w:color w:val="262600"/>
        </w:rPr>
        <w:t>3</w:t>
      </w:r>
      <w:r>
        <w:rPr>
          <w:color w:val="262600"/>
        </w:rPr>
        <w:t>）无土栽培学，郭世荣主编</w:t>
      </w:r>
      <w:r>
        <w:rPr>
          <w:rFonts w:hint="eastAsia"/>
          <w:color w:val="262600"/>
        </w:rPr>
        <w:t>。</w:t>
      </w:r>
      <w:r>
        <w:rPr>
          <w:color w:val="262600"/>
        </w:rPr>
        <w:t>中国农业出版社，</w:t>
      </w:r>
      <w:r>
        <w:rPr>
          <w:color w:val="262600"/>
        </w:rPr>
        <w:t>2011</w:t>
      </w:r>
      <w:r>
        <w:rPr>
          <w:color w:val="262600"/>
        </w:rPr>
        <w:t>年。</w:t>
      </w:r>
    </w:p>
    <w:p w14:paraId="2B32B5CF" w14:textId="77777777" w:rsidR="00F5289E" w:rsidRDefault="00C91173">
      <w:pPr>
        <w:snapToGrid w:val="0"/>
        <w:spacing w:line="360" w:lineRule="auto"/>
        <w:rPr>
          <w:color w:val="262600"/>
        </w:rPr>
      </w:pPr>
      <w:r>
        <w:rPr>
          <w:rFonts w:hint="eastAsia"/>
          <w:color w:val="262600"/>
        </w:rPr>
        <w:t>（</w:t>
      </w:r>
      <w:r>
        <w:rPr>
          <w:color w:val="262600"/>
        </w:rPr>
        <w:t>4</w:t>
      </w:r>
      <w:r>
        <w:rPr>
          <w:color w:val="262600"/>
        </w:rPr>
        <w:t>）蔬菜工厂化育苗，王秀峰、陈振德主编</w:t>
      </w:r>
      <w:r>
        <w:rPr>
          <w:rFonts w:hint="eastAsia"/>
          <w:color w:val="262600"/>
        </w:rPr>
        <w:t>。</w:t>
      </w:r>
      <w:r>
        <w:rPr>
          <w:color w:val="262600"/>
        </w:rPr>
        <w:t>中国农业出版社，</w:t>
      </w:r>
      <w:r>
        <w:rPr>
          <w:color w:val="262600"/>
        </w:rPr>
        <w:t>2000</w:t>
      </w:r>
      <w:r>
        <w:rPr>
          <w:color w:val="262600"/>
        </w:rPr>
        <w:t>年。</w:t>
      </w:r>
    </w:p>
    <w:p w14:paraId="5375898F" w14:textId="77777777" w:rsidR="00F5289E" w:rsidRDefault="00C91173">
      <w:pPr>
        <w:snapToGrid w:val="0"/>
        <w:spacing w:line="360" w:lineRule="auto"/>
        <w:rPr>
          <w:color w:val="262600"/>
        </w:rPr>
      </w:pPr>
      <w:r>
        <w:rPr>
          <w:rFonts w:hint="eastAsia"/>
          <w:color w:val="262600"/>
        </w:rPr>
        <w:t>（</w:t>
      </w:r>
      <w:r>
        <w:rPr>
          <w:color w:val="262600"/>
        </w:rPr>
        <w:t>5</w:t>
      </w:r>
      <w:r>
        <w:rPr>
          <w:color w:val="262600"/>
        </w:rPr>
        <w:t>）蔬菜工厂化嫁接育苗生产装备与技术，辜松</w:t>
      </w:r>
      <w:r>
        <w:rPr>
          <w:rFonts w:hint="eastAsia"/>
          <w:color w:val="262600"/>
        </w:rPr>
        <w:t>主编。</w:t>
      </w:r>
      <w:r>
        <w:rPr>
          <w:color w:val="262600"/>
        </w:rPr>
        <w:t>中国农业出版社，</w:t>
      </w:r>
      <w:r>
        <w:rPr>
          <w:color w:val="262600"/>
        </w:rPr>
        <w:t>2006</w:t>
      </w:r>
      <w:r>
        <w:rPr>
          <w:color w:val="262600"/>
        </w:rPr>
        <w:t>年</w:t>
      </w:r>
      <w:r>
        <w:rPr>
          <w:rFonts w:hint="eastAsia"/>
          <w:color w:val="262600"/>
        </w:rPr>
        <w:t>。</w:t>
      </w:r>
    </w:p>
    <w:p w14:paraId="5F2B181A" w14:textId="77777777" w:rsidR="00F5289E" w:rsidRDefault="00C91173">
      <w:pPr>
        <w:widowControl/>
        <w:jc w:val="left"/>
        <w:rPr>
          <w:rFonts w:ascii="宋体" w:hAnsi="宋体"/>
          <w:b/>
          <w:szCs w:val="21"/>
        </w:rPr>
      </w:pPr>
      <w:r>
        <w:rPr>
          <w:rFonts w:ascii="宋体" w:hAnsi="宋体"/>
          <w:b/>
          <w:szCs w:val="21"/>
        </w:rPr>
        <w:br w:type="page"/>
      </w:r>
    </w:p>
    <w:p w14:paraId="13487F88" w14:textId="77777777" w:rsidR="00F5289E" w:rsidRDefault="00C91173">
      <w:pPr>
        <w:rPr>
          <w:b/>
          <w:bCs/>
        </w:rPr>
      </w:pPr>
      <w:r>
        <w:rPr>
          <w:rFonts w:hint="eastAsia"/>
          <w:b/>
          <w:bCs/>
        </w:rPr>
        <w:lastRenderedPageBreak/>
        <w:t>（三）设施蔬菜栽培学实习</w:t>
      </w:r>
    </w:p>
    <w:tbl>
      <w:tblPr>
        <w:tblW w:w="8528" w:type="dxa"/>
        <w:tblLayout w:type="fixed"/>
        <w:tblLook w:val="04A0" w:firstRow="1" w:lastRow="0" w:firstColumn="1" w:lastColumn="0" w:noHBand="0" w:noVBand="1"/>
      </w:tblPr>
      <w:tblGrid>
        <w:gridCol w:w="2842"/>
        <w:gridCol w:w="2478"/>
        <w:gridCol w:w="3208"/>
      </w:tblGrid>
      <w:tr w:rsidR="00F5289E" w14:paraId="45389AE3" w14:textId="77777777">
        <w:trPr>
          <w:trHeight w:val="435"/>
        </w:trPr>
        <w:tc>
          <w:tcPr>
            <w:tcW w:w="2842" w:type="dxa"/>
            <w:vAlign w:val="center"/>
          </w:tcPr>
          <w:p w14:paraId="5F512EF7" w14:textId="77777777" w:rsidR="00F5289E" w:rsidRDefault="00C91173">
            <w:pPr>
              <w:spacing w:line="360" w:lineRule="auto"/>
              <w:rPr>
                <w:rFonts w:ascii="黑体" w:eastAsia="黑体"/>
                <w:b/>
                <w:szCs w:val="21"/>
              </w:rPr>
            </w:pPr>
            <w:r>
              <w:rPr>
                <w:rFonts w:ascii="宋体" w:hAnsi="宋体" w:hint="eastAsia"/>
                <w:b/>
                <w:szCs w:val="21"/>
              </w:rPr>
              <w:t>开设学期：</w:t>
            </w:r>
            <w:r>
              <w:rPr>
                <w:rFonts w:ascii="宋体" w:hAnsi="宋体" w:hint="eastAsia"/>
                <w:szCs w:val="21"/>
              </w:rPr>
              <w:t>第4学期</w:t>
            </w:r>
          </w:p>
        </w:tc>
        <w:tc>
          <w:tcPr>
            <w:tcW w:w="2478" w:type="dxa"/>
            <w:vAlign w:val="center"/>
          </w:tcPr>
          <w:p w14:paraId="48839A2A" w14:textId="77777777" w:rsidR="00F5289E" w:rsidRDefault="00C91173">
            <w:pPr>
              <w:spacing w:line="360" w:lineRule="auto"/>
              <w:rPr>
                <w:rFonts w:ascii="黑体" w:eastAsia="黑体"/>
                <w:b/>
                <w:szCs w:val="21"/>
              </w:rPr>
            </w:pPr>
            <w:r>
              <w:rPr>
                <w:rFonts w:ascii="宋体" w:hAnsi="宋体" w:hint="eastAsia"/>
                <w:b/>
                <w:szCs w:val="21"/>
              </w:rPr>
              <w:t>实习周数：</w:t>
            </w:r>
            <w:r>
              <w:rPr>
                <w:rFonts w:ascii="宋体" w:hAnsi="宋体" w:hint="eastAsia"/>
                <w:szCs w:val="21"/>
              </w:rPr>
              <w:t>1</w:t>
            </w:r>
          </w:p>
        </w:tc>
        <w:tc>
          <w:tcPr>
            <w:tcW w:w="3208" w:type="dxa"/>
            <w:vAlign w:val="center"/>
          </w:tcPr>
          <w:p w14:paraId="7BBE0E54" w14:textId="77777777" w:rsidR="00F5289E" w:rsidRDefault="00C91173">
            <w:pPr>
              <w:spacing w:line="360" w:lineRule="auto"/>
              <w:rPr>
                <w:rFonts w:ascii="黑体" w:eastAsia="黑体"/>
                <w:b/>
                <w:szCs w:val="21"/>
              </w:rPr>
            </w:pPr>
            <w:r>
              <w:rPr>
                <w:rFonts w:ascii="宋体" w:hAnsi="宋体" w:hint="eastAsia"/>
                <w:b/>
                <w:szCs w:val="21"/>
              </w:rPr>
              <w:t>学分：</w:t>
            </w:r>
            <w:r>
              <w:rPr>
                <w:rFonts w:ascii="宋体" w:hAnsi="宋体" w:hint="eastAsia"/>
                <w:szCs w:val="21"/>
              </w:rPr>
              <w:t>1</w:t>
            </w:r>
          </w:p>
        </w:tc>
      </w:tr>
    </w:tbl>
    <w:p w14:paraId="279ABF5F" w14:textId="77777777" w:rsidR="00F5289E" w:rsidRDefault="00C91173">
      <w:pPr>
        <w:snapToGrid w:val="0"/>
        <w:spacing w:line="360" w:lineRule="auto"/>
        <w:jc w:val="left"/>
        <w:rPr>
          <w:rFonts w:ascii="宋体" w:hAnsi="宋体"/>
          <w:b/>
          <w:szCs w:val="21"/>
        </w:rPr>
      </w:pPr>
      <w:r>
        <w:rPr>
          <w:rFonts w:ascii="宋体" w:hAnsi="宋体" w:hint="eastAsia"/>
          <w:b/>
          <w:kern w:val="0"/>
          <w:szCs w:val="21"/>
        </w:rPr>
        <w:t>适用专业：</w:t>
      </w:r>
      <w:r>
        <w:rPr>
          <w:rFonts w:hint="eastAsia"/>
          <w:kern w:val="0"/>
          <w:szCs w:val="21"/>
        </w:rPr>
        <w:t>设施农业科学与工程；核心</w:t>
      </w:r>
    </w:p>
    <w:p w14:paraId="76AC6F3B" w14:textId="77777777" w:rsidR="00F5289E" w:rsidRDefault="00C91173">
      <w:pPr>
        <w:spacing w:line="360" w:lineRule="auto"/>
        <w:rPr>
          <w:rFonts w:ascii="宋体" w:hAnsi="宋体"/>
          <w:b/>
          <w:kern w:val="0"/>
          <w:szCs w:val="21"/>
        </w:rPr>
      </w:pPr>
      <w:r>
        <w:rPr>
          <w:rFonts w:ascii="宋体" w:hAnsi="宋体" w:hint="eastAsia"/>
          <w:b/>
          <w:kern w:val="0"/>
          <w:szCs w:val="21"/>
        </w:rPr>
        <w:t>先修课程：</w:t>
      </w:r>
      <w:r>
        <w:rPr>
          <w:rFonts w:ascii="宋体" w:hAnsi="宋体" w:hint="eastAsia"/>
          <w:kern w:val="0"/>
          <w:szCs w:val="21"/>
        </w:rPr>
        <w:t>植物学、植物生理学、生物化学、气象学、</w:t>
      </w:r>
      <w:r>
        <w:rPr>
          <w:rFonts w:asciiTheme="minorEastAsia" w:eastAsiaTheme="minorEastAsia" w:hAnsiTheme="minorEastAsia" w:cstheme="minorEastAsia" w:hint="eastAsia"/>
          <w:bCs/>
          <w:kern w:val="0"/>
          <w:szCs w:val="21"/>
        </w:rPr>
        <w:t>农业设施工程学</w:t>
      </w:r>
      <w:r>
        <w:rPr>
          <w:rFonts w:ascii="宋体" w:hAnsi="宋体" w:hint="eastAsia"/>
          <w:kern w:val="0"/>
          <w:szCs w:val="21"/>
        </w:rPr>
        <w:t>。</w:t>
      </w:r>
    </w:p>
    <w:tbl>
      <w:tblPr>
        <w:tblW w:w="8528" w:type="dxa"/>
        <w:tblLayout w:type="fixed"/>
        <w:tblLook w:val="04A0" w:firstRow="1" w:lastRow="0" w:firstColumn="1" w:lastColumn="0" w:noHBand="0" w:noVBand="1"/>
      </w:tblPr>
      <w:tblGrid>
        <w:gridCol w:w="2842"/>
        <w:gridCol w:w="2478"/>
        <w:gridCol w:w="3208"/>
      </w:tblGrid>
      <w:tr w:rsidR="00F5289E" w14:paraId="1FAB6E67" w14:textId="77777777">
        <w:tc>
          <w:tcPr>
            <w:tcW w:w="2842" w:type="dxa"/>
          </w:tcPr>
          <w:p w14:paraId="503434D3" w14:textId="77777777" w:rsidR="00F5289E" w:rsidRDefault="00C91173">
            <w:pPr>
              <w:spacing w:line="360" w:lineRule="auto"/>
              <w:rPr>
                <w:rFonts w:ascii="宋体" w:hAnsi="宋体"/>
                <w:b/>
                <w:kern w:val="0"/>
                <w:szCs w:val="21"/>
              </w:rPr>
            </w:pPr>
            <w:r>
              <w:rPr>
                <w:rFonts w:ascii="宋体" w:hAnsi="宋体" w:hint="eastAsia"/>
                <w:b/>
                <w:kern w:val="0"/>
                <w:szCs w:val="21"/>
              </w:rPr>
              <w:t>主撰人：</w:t>
            </w:r>
            <w:r>
              <w:rPr>
                <w:rFonts w:ascii="宋体" w:hAnsi="宋体" w:cs="宋体" w:hint="eastAsia"/>
                <w:kern w:val="0"/>
                <w:szCs w:val="21"/>
              </w:rPr>
              <w:t>李娟起</w:t>
            </w:r>
          </w:p>
        </w:tc>
        <w:tc>
          <w:tcPr>
            <w:tcW w:w="2478" w:type="dxa"/>
          </w:tcPr>
          <w:p w14:paraId="7DDB6F5F" w14:textId="77777777" w:rsidR="00F5289E" w:rsidRDefault="00C91173">
            <w:pPr>
              <w:spacing w:line="360" w:lineRule="auto"/>
              <w:rPr>
                <w:rFonts w:ascii="宋体" w:hAnsi="宋体"/>
                <w:b/>
                <w:kern w:val="0"/>
                <w:szCs w:val="21"/>
              </w:rPr>
            </w:pPr>
            <w:r>
              <w:rPr>
                <w:rFonts w:ascii="宋体" w:hAnsi="宋体" w:hint="eastAsia"/>
                <w:b/>
                <w:kern w:val="0"/>
                <w:szCs w:val="21"/>
              </w:rPr>
              <w:t>审核人：</w:t>
            </w:r>
            <w:r>
              <w:rPr>
                <w:rFonts w:ascii="宋体" w:hAnsi="宋体" w:hint="eastAsia"/>
                <w:kern w:val="0"/>
                <w:szCs w:val="21"/>
              </w:rPr>
              <w:t>王吉庆</w:t>
            </w:r>
          </w:p>
        </w:tc>
        <w:tc>
          <w:tcPr>
            <w:tcW w:w="3208" w:type="dxa"/>
          </w:tcPr>
          <w:p w14:paraId="664C7EDA" w14:textId="77777777" w:rsidR="00F5289E" w:rsidRDefault="00C91173">
            <w:pPr>
              <w:spacing w:line="360" w:lineRule="auto"/>
              <w:rPr>
                <w:rFonts w:ascii="宋体" w:hAnsi="宋体"/>
                <w:b/>
                <w:kern w:val="0"/>
                <w:szCs w:val="21"/>
              </w:rPr>
            </w:pPr>
            <w:r>
              <w:rPr>
                <w:rFonts w:ascii="宋体" w:hAnsi="宋体" w:hint="eastAsia"/>
                <w:b/>
                <w:kern w:val="0"/>
                <w:szCs w:val="21"/>
              </w:rPr>
              <w:t>大纲制定（修订）日期：</w:t>
            </w:r>
            <w:r>
              <w:rPr>
                <w:rFonts w:ascii="宋体" w:hAnsi="宋体" w:hint="eastAsia"/>
                <w:kern w:val="0"/>
                <w:szCs w:val="21"/>
              </w:rPr>
              <w:t>202</w:t>
            </w:r>
            <w:r>
              <w:rPr>
                <w:rFonts w:ascii="宋体" w:hAnsi="宋体"/>
                <w:kern w:val="0"/>
                <w:szCs w:val="21"/>
              </w:rPr>
              <w:t>3.05</w:t>
            </w:r>
          </w:p>
        </w:tc>
      </w:tr>
    </w:tbl>
    <w:p w14:paraId="0EB72CE7" w14:textId="77777777" w:rsidR="00F5289E" w:rsidRDefault="00C91173">
      <w:pPr>
        <w:spacing w:beforeLines="50" w:before="156" w:afterLines="50" w:after="156" w:line="360" w:lineRule="auto"/>
        <w:ind w:firstLineChars="200" w:firstLine="422"/>
        <w:rPr>
          <w:rFonts w:ascii="宋体" w:hAnsi="宋体"/>
          <w:b/>
          <w:szCs w:val="21"/>
        </w:rPr>
      </w:pPr>
      <w:r>
        <w:rPr>
          <w:rFonts w:ascii="宋体" w:hAnsi="宋体" w:hint="eastAsia"/>
          <w:b/>
          <w:szCs w:val="21"/>
        </w:rPr>
        <w:t xml:space="preserve">1. 课程简介 </w:t>
      </w:r>
    </w:p>
    <w:p w14:paraId="24425856" w14:textId="77777777" w:rsidR="00F5289E" w:rsidRDefault="00C91173">
      <w:pPr>
        <w:adjustRightInd w:val="0"/>
        <w:snapToGrid w:val="0"/>
        <w:spacing w:line="360" w:lineRule="auto"/>
        <w:ind w:firstLine="391"/>
        <w:rPr>
          <w:rFonts w:ascii="宋体" w:hAnsi="宋体" w:cs="宋体"/>
          <w:bCs/>
          <w:kern w:val="0"/>
          <w:szCs w:val="21"/>
        </w:rPr>
      </w:pPr>
      <w:r>
        <w:rPr>
          <w:rFonts w:hint="eastAsia"/>
          <w:kern w:val="0"/>
          <w:szCs w:val="21"/>
        </w:rPr>
        <w:t>《设施蔬菜栽培学》</w:t>
      </w:r>
      <w:r>
        <w:rPr>
          <w:rFonts w:ascii="宋体" w:hAnsi="宋体" w:cs="宋体" w:hint="eastAsia"/>
          <w:bCs/>
          <w:kern w:val="0"/>
          <w:szCs w:val="21"/>
        </w:rPr>
        <w:t>是设施农业科学与工程专业的一门专业必修课，属核心课程。该课程以生物学和设施环境学知识为理论基础，讲述设施条件下的蔬菜种植理论与技术，属应用科学，旨在培养学生理论联系实际和专业实践操作技能及创新意识。</w:t>
      </w:r>
      <w:r>
        <w:rPr>
          <w:rFonts w:ascii="宋体" w:hAnsi="宋体" w:cs="宋体"/>
          <w:bCs/>
          <w:kern w:val="0"/>
          <w:szCs w:val="21"/>
        </w:rPr>
        <w:t>本课程培养学生掌握蔬菜栽培生理生态、设施环境调控的基本理论、基本知识和栽培管理技术的基本操作技能，培养学生</w:t>
      </w:r>
      <w:r>
        <w:rPr>
          <w:rFonts w:ascii="宋体" w:hAnsi="宋体" w:cs="宋体" w:hint="eastAsia"/>
          <w:bCs/>
          <w:kern w:val="0"/>
          <w:szCs w:val="21"/>
        </w:rPr>
        <w:t>具有观察、发现、分析和解决蔬菜生产中存在问题的能力，具备从事蔬菜教学、科研、生产、企业管理、技术推广和产品营销工作应有的栽培学知识和能力。</w:t>
      </w:r>
    </w:p>
    <w:p w14:paraId="20439A7C" w14:textId="77777777" w:rsidR="00F5289E" w:rsidRDefault="00C91173">
      <w:pPr>
        <w:spacing w:line="360" w:lineRule="auto"/>
        <w:ind w:firstLineChars="200" w:firstLine="422"/>
        <w:rPr>
          <w:rFonts w:ascii="宋体" w:hAnsi="宋体"/>
          <w:b/>
          <w:szCs w:val="21"/>
        </w:rPr>
      </w:pPr>
      <w:r>
        <w:rPr>
          <w:rFonts w:ascii="宋体" w:hAnsi="宋体" w:hint="eastAsia"/>
          <w:b/>
          <w:szCs w:val="21"/>
        </w:rPr>
        <w:t>2. 课程劳动教育</w:t>
      </w:r>
    </w:p>
    <w:p w14:paraId="5C8A4636" w14:textId="77777777" w:rsidR="00F5289E" w:rsidRDefault="00C91173">
      <w:pPr>
        <w:spacing w:line="360" w:lineRule="auto"/>
        <w:ind w:firstLineChars="200" w:firstLine="420"/>
        <w:rPr>
          <w:rFonts w:ascii="宋体" w:hAnsi="宋体" w:cs="宋体"/>
          <w:bCs/>
          <w:kern w:val="0"/>
          <w:szCs w:val="21"/>
        </w:rPr>
      </w:pPr>
      <w:r>
        <w:rPr>
          <w:rFonts w:ascii="宋体" w:hAnsi="宋体" w:cs="宋体" w:hint="eastAsia"/>
          <w:bCs/>
          <w:kern w:val="0"/>
          <w:szCs w:val="21"/>
        </w:rPr>
        <w:t>课程实习主要参观蔬菜生产基地、农资市场、科研单位、交易市场、菜博会等，了解我国在蔬菜生产存在的问题，增强科技强国的责任感和使命感，培养学生的“大国三农”情怀，课程思政建设目标是：</w:t>
      </w:r>
      <w:r>
        <w:rPr>
          <w:rFonts w:hint="eastAsia"/>
          <w:szCs w:val="21"/>
        </w:rPr>
        <w:t>培养学生“懂农业、爱农村，爱农民”，增强学生强农兴农、服务农业农村现代化、服务乡村全面振兴的使命感和责任感</w:t>
      </w:r>
      <w:r>
        <w:rPr>
          <w:rFonts w:ascii="宋体" w:hAnsi="宋体" w:cs="宋体" w:hint="eastAsia"/>
          <w:bCs/>
          <w:kern w:val="0"/>
          <w:szCs w:val="21"/>
        </w:rPr>
        <w:t>。</w:t>
      </w:r>
    </w:p>
    <w:p w14:paraId="3FB4642D" w14:textId="77777777" w:rsidR="00F5289E" w:rsidRDefault="00C91173">
      <w:pPr>
        <w:spacing w:line="360" w:lineRule="auto"/>
        <w:ind w:firstLineChars="200" w:firstLine="422"/>
        <w:rPr>
          <w:rFonts w:ascii="宋体" w:hAnsi="宋体"/>
          <w:b/>
          <w:szCs w:val="21"/>
        </w:rPr>
      </w:pPr>
      <w:r>
        <w:rPr>
          <w:rFonts w:ascii="宋体" w:hAnsi="宋体"/>
          <w:b/>
          <w:szCs w:val="21"/>
        </w:rPr>
        <w:t xml:space="preserve">3. </w:t>
      </w:r>
      <w:r>
        <w:rPr>
          <w:rFonts w:ascii="宋体" w:hAnsi="宋体" w:hint="eastAsia"/>
          <w:b/>
          <w:szCs w:val="21"/>
        </w:rPr>
        <w:t>实习目的和要求</w:t>
      </w:r>
    </w:p>
    <w:p w14:paraId="0673F508" w14:textId="77777777" w:rsidR="00F5289E" w:rsidRDefault="00C91173">
      <w:pPr>
        <w:spacing w:line="360" w:lineRule="auto"/>
        <w:ind w:firstLine="435"/>
        <w:rPr>
          <w:rFonts w:ascii="宋体" w:hAnsi="宋体"/>
          <w:szCs w:val="21"/>
        </w:rPr>
      </w:pPr>
      <w:r>
        <w:rPr>
          <w:rFonts w:ascii="宋体" w:hAnsi="宋体" w:hint="eastAsia"/>
          <w:szCs w:val="21"/>
        </w:rPr>
        <w:t>全面了解蔬菜栽培生态生理常用仪器的原理和使用方法；了解蔬菜科学研究现状与进展；了解蔬菜主要生产资料规格、型号、产地、价格、购进渠道；熟悉蔬菜种植园构成要素及设计、了解蔬菜生产茬次、产量、收获期、劳动定额；了解蔬菜销售渠道及批发交易流程。练习蔬菜生产园建设、运行、生产成本估算、经济效益评估及生产基地项目建设申请报告的撰写方法。</w:t>
      </w:r>
    </w:p>
    <w:p w14:paraId="298BEFDA" w14:textId="77777777" w:rsidR="00F5289E" w:rsidRDefault="00C91173">
      <w:pPr>
        <w:spacing w:line="360" w:lineRule="auto"/>
        <w:ind w:firstLineChars="200" w:firstLine="422"/>
        <w:rPr>
          <w:rFonts w:ascii="宋体" w:hAnsi="宋体"/>
          <w:b/>
          <w:szCs w:val="21"/>
        </w:rPr>
      </w:pPr>
      <w:r>
        <w:rPr>
          <w:rFonts w:ascii="宋体" w:hAnsi="宋体"/>
          <w:b/>
          <w:szCs w:val="21"/>
        </w:rPr>
        <w:t>4</w:t>
      </w:r>
      <w:r>
        <w:rPr>
          <w:rFonts w:ascii="宋体" w:hAnsi="宋体" w:cs="宋体" w:hint="eastAsia"/>
          <w:b/>
          <w:kern w:val="0"/>
          <w:szCs w:val="21"/>
        </w:rPr>
        <w:t xml:space="preserve">. </w:t>
      </w:r>
      <w:r>
        <w:rPr>
          <w:rFonts w:ascii="宋体" w:hAnsi="宋体" w:hint="eastAsia"/>
          <w:b/>
          <w:szCs w:val="21"/>
        </w:rPr>
        <w:t>实习地点及内容</w:t>
      </w:r>
    </w:p>
    <w:p w14:paraId="787D3DA8" w14:textId="77777777" w:rsidR="00F5289E" w:rsidRDefault="00C91173">
      <w:pPr>
        <w:tabs>
          <w:tab w:val="left" w:pos="3720"/>
          <w:tab w:val="left" w:pos="3780"/>
          <w:tab w:val="left" w:pos="4305"/>
        </w:tabs>
        <w:adjustRightInd w:val="0"/>
        <w:snapToGrid w:val="0"/>
        <w:spacing w:line="360" w:lineRule="auto"/>
        <w:ind w:firstLineChars="196" w:firstLine="413"/>
        <w:rPr>
          <w:rFonts w:ascii="宋体" w:hAnsi="宋体"/>
          <w:szCs w:val="21"/>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ascii="宋体" w:hAnsi="宋体" w:hint="eastAsia"/>
          <w:szCs w:val="21"/>
        </w:rPr>
        <w:t>园艺学院中心实验室；河南省蔬菜科研单位；蔬菜生产资料市场（设施资材市场、农资市场）；蔬菜批发市场；蔬菜生产基地。</w:t>
      </w:r>
    </w:p>
    <w:p w14:paraId="77B35076" w14:textId="77777777" w:rsidR="00F5289E" w:rsidRDefault="00C91173">
      <w:pPr>
        <w:tabs>
          <w:tab w:val="left" w:pos="3720"/>
          <w:tab w:val="left" w:pos="3780"/>
          <w:tab w:val="left" w:pos="4305"/>
        </w:tabs>
        <w:adjustRightInd w:val="0"/>
        <w:snapToGrid w:val="0"/>
        <w:spacing w:line="360" w:lineRule="auto"/>
        <w:ind w:firstLineChars="196" w:firstLine="413"/>
        <w:rPr>
          <w:rFonts w:ascii="宋体" w:hAnsi="宋体"/>
          <w:szCs w:val="21"/>
        </w:rPr>
      </w:pPr>
      <w:r>
        <w:rPr>
          <w:rFonts w:ascii="宋体" w:hAnsi="宋体" w:hint="eastAsia"/>
          <w:b/>
          <w:szCs w:val="21"/>
        </w:rPr>
        <w:t>（2）</w:t>
      </w:r>
      <w:r>
        <w:rPr>
          <w:rFonts w:ascii="宋体" w:hAnsi="宋体" w:hint="eastAsia"/>
          <w:b/>
          <w:bCs/>
          <w:szCs w:val="21"/>
        </w:rPr>
        <w:t>实习内容：</w:t>
      </w:r>
      <w:r>
        <w:rPr>
          <w:rFonts w:ascii="宋体" w:hAnsi="宋体" w:hint="eastAsia"/>
          <w:szCs w:val="21"/>
        </w:rPr>
        <w:t>了解、熟悉蔬菜栽培生态生理常用仪器的功能和使用方法；了解蔬菜科研现状与进展情况；了解种子、肥料、农膜、基质等主要生产资料规格、型号、产地、价格；调查蔬菜种植园构成要素，了解蔬菜生产茬次、产量、收获期、劳动定额；了解蔬菜销售渠道及批发交易流程。模拟蔬菜生产园建设、运行、生产成本估算及经济效益评估。</w:t>
      </w:r>
    </w:p>
    <w:p w14:paraId="3522B794" w14:textId="77777777" w:rsidR="00F5289E" w:rsidRDefault="00C91173">
      <w:pPr>
        <w:spacing w:line="360" w:lineRule="auto"/>
        <w:ind w:firstLineChars="200" w:firstLine="422"/>
        <w:rPr>
          <w:rFonts w:ascii="宋体" w:hAnsi="宋体"/>
          <w:b/>
          <w:szCs w:val="21"/>
        </w:rPr>
      </w:pPr>
      <w:r>
        <w:rPr>
          <w:rFonts w:ascii="宋体" w:hAnsi="宋体"/>
          <w:b/>
          <w:szCs w:val="21"/>
        </w:rPr>
        <w:t>5</w:t>
      </w:r>
      <w:r>
        <w:rPr>
          <w:rFonts w:ascii="宋体" w:hAnsi="宋体" w:hint="eastAsia"/>
          <w:b/>
          <w:szCs w:val="21"/>
        </w:rPr>
        <w:t>. 实习时间安排</w:t>
      </w:r>
    </w:p>
    <w:p w14:paraId="0FE97439"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szCs w:val="21"/>
        </w:rPr>
      </w:pPr>
      <w:r>
        <w:rPr>
          <w:rFonts w:ascii="宋体" w:hAnsi="宋体" w:hint="eastAsia"/>
          <w:color w:val="000000"/>
          <w:szCs w:val="21"/>
        </w:rPr>
        <w:t>（1）学院中心实验室实习1天；</w:t>
      </w:r>
    </w:p>
    <w:p w14:paraId="0A1C5ED1"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szCs w:val="21"/>
        </w:rPr>
      </w:pPr>
      <w:r>
        <w:rPr>
          <w:rFonts w:ascii="宋体" w:hAnsi="宋体" w:hint="eastAsia"/>
          <w:color w:val="000000"/>
          <w:szCs w:val="21"/>
        </w:rPr>
        <w:lastRenderedPageBreak/>
        <w:t>（2）科研单位、生产资料公司参观调查1天；</w:t>
      </w:r>
    </w:p>
    <w:p w14:paraId="7D6E1C90"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szCs w:val="21"/>
        </w:rPr>
      </w:pPr>
      <w:r>
        <w:rPr>
          <w:rFonts w:ascii="宋体" w:hAnsi="宋体" w:hint="eastAsia"/>
          <w:color w:val="000000"/>
          <w:szCs w:val="21"/>
        </w:rPr>
        <w:t>（3）生产企业、蔬菜批发市场参观调查1天；</w:t>
      </w:r>
    </w:p>
    <w:p w14:paraId="044AB9B3"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szCs w:val="21"/>
        </w:rPr>
      </w:pPr>
      <w:r>
        <w:rPr>
          <w:rFonts w:ascii="宋体" w:hAnsi="宋体" w:hint="eastAsia"/>
          <w:color w:val="000000"/>
          <w:szCs w:val="21"/>
        </w:rPr>
        <w:t>（4）综合实习报告撰写1.5天；</w:t>
      </w:r>
    </w:p>
    <w:p w14:paraId="41C2C565"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00"/>
          <w:szCs w:val="21"/>
        </w:rPr>
      </w:pPr>
      <w:r>
        <w:rPr>
          <w:rFonts w:ascii="宋体" w:hAnsi="宋体" w:hint="eastAsia"/>
          <w:color w:val="000000"/>
          <w:szCs w:val="21"/>
        </w:rPr>
        <w:t>（5）实习报告讲评0.5天。</w:t>
      </w:r>
    </w:p>
    <w:p w14:paraId="681B8476" w14:textId="77777777" w:rsidR="00F5289E" w:rsidRDefault="00C91173">
      <w:pPr>
        <w:spacing w:line="360" w:lineRule="auto"/>
        <w:ind w:firstLineChars="200" w:firstLine="422"/>
        <w:rPr>
          <w:rFonts w:ascii="宋体" w:hAnsi="宋体"/>
          <w:b/>
          <w:szCs w:val="21"/>
        </w:rPr>
      </w:pPr>
      <w:r>
        <w:rPr>
          <w:rFonts w:ascii="宋体" w:hAnsi="宋体"/>
          <w:b/>
          <w:szCs w:val="21"/>
        </w:rPr>
        <w:t>6</w:t>
      </w:r>
      <w:r>
        <w:rPr>
          <w:rFonts w:ascii="宋体" w:hAnsi="宋体" w:hint="eastAsia"/>
          <w:b/>
          <w:szCs w:val="21"/>
        </w:rPr>
        <w:t>. 实习具体要求</w:t>
      </w:r>
    </w:p>
    <w:p w14:paraId="02B59BBB" w14:textId="77777777" w:rsidR="00F5289E" w:rsidRDefault="00C91173">
      <w:pPr>
        <w:spacing w:line="360" w:lineRule="auto"/>
        <w:ind w:firstLineChars="200" w:firstLine="420"/>
        <w:rPr>
          <w:rFonts w:ascii="宋体" w:hAnsi="宋体"/>
          <w:bCs/>
          <w:szCs w:val="21"/>
        </w:rPr>
      </w:pPr>
      <w:r>
        <w:rPr>
          <w:rFonts w:ascii="宋体" w:hAnsi="宋体" w:hint="eastAsia"/>
          <w:bCs/>
          <w:szCs w:val="21"/>
        </w:rPr>
        <w:t>（1）参观中心实验室，了解光合测定仪、叶面积仪、根系分析仪、叶绿素测定仪、定氮仪、紫外分光光度计、火焰光度计、原子吸收光谱分析仪、电子天平、干燥箱、人工气候箱、pH计、EC计、溶氧测定仪的性能和使用方法。</w:t>
      </w:r>
    </w:p>
    <w:p w14:paraId="0C2407E3" w14:textId="77777777" w:rsidR="00F5289E" w:rsidRDefault="00C91173">
      <w:pPr>
        <w:spacing w:line="360" w:lineRule="auto"/>
        <w:ind w:firstLineChars="200" w:firstLine="420"/>
        <w:rPr>
          <w:rFonts w:ascii="宋体" w:hAnsi="宋体"/>
          <w:bCs/>
          <w:szCs w:val="21"/>
        </w:rPr>
      </w:pPr>
      <w:r>
        <w:rPr>
          <w:rFonts w:ascii="宋体" w:hAnsi="宋体" w:hint="eastAsia"/>
          <w:bCs/>
          <w:szCs w:val="21"/>
        </w:rPr>
        <w:t>（2）参观主要蔬菜科研单位，了解蔬菜科研现状。</w:t>
      </w:r>
    </w:p>
    <w:p w14:paraId="5D4F56B9" w14:textId="77777777" w:rsidR="00F5289E" w:rsidRDefault="00C91173">
      <w:pPr>
        <w:spacing w:line="360" w:lineRule="auto"/>
        <w:ind w:firstLineChars="200" w:firstLine="420"/>
        <w:rPr>
          <w:rFonts w:ascii="宋体" w:hAnsi="宋体"/>
          <w:bCs/>
          <w:szCs w:val="21"/>
        </w:rPr>
      </w:pPr>
      <w:r>
        <w:rPr>
          <w:rFonts w:ascii="宋体" w:hAnsi="宋体" w:hint="eastAsia"/>
          <w:bCs/>
          <w:szCs w:val="21"/>
        </w:rPr>
        <w:t>（3）参观农资市场及企业，了解种子、农药、化肥、农膜、基质、温室建造材料</w:t>
      </w:r>
      <w:r>
        <w:rPr>
          <w:rFonts w:ascii="宋体" w:hAnsi="宋体" w:hint="eastAsia"/>
          <w:szCs w:val="21"/>
        </w:rPr>
        <w:t>购进渠道及规格、型号、产地、价格等。</w:t>
      </w:r>
    </w:p>
    <w:p w14:paraId="47BEDE13" w14:textId="77777777" w:rsidR="00F5289E" w:rsidRDefault="00C91173">
      <w:pPr>
        <w:spacing w:line="360" w:lineRule="auto"/>
        <w:ind w:firstLineChars="200" w:firstLine="420"/>
        <w:rPr>
          <w:rFonts w:ascii="宋体" w:hAnsi="宋体"/>
          <w:bCs/>
          <w:szCs w:val="21"/>
        </w:rPr>
      </w:pPr>
      <w:r>
        <w:rPr>
          <w:rFonts w:ascii="宋体" w:hAnsi="宋体" w:hint="eastAsia"/>
          <w:bCs/>
          <w:szCs w:val="21"/>
        </w:rPr>
        <w:t>（4）参观省内蔬菜生产基地，调查园区构成要素的尺寸、生产设施结构、性能、利用情况；蔬菜产量、上市期、价格，产值，生产资料投入，劳动用工，管理制度、运行状况等。</w:t>
      </w:r>
    </w:p>
    <w:p w14:paraId="005A5885" w14:textId="77777777" w:rsidR="00F5289E" w:rsidRDefault="00C91173">
      <w:pPr>
        <w:spacing w:line="360" w:lineRule="auto"/>
        <w:ind w:firstLineChars="200" w:firstLine="420"/>
        <w:rPr>
          <w:rFonts w:ascii="宋体" w:hAnsi="宋体"/>
          <w:bCs/>
          <w:szCs w:val="21"/>
        </w:rPr>
      </w:pPr>
      <w:r>
        <w:rPr>
          <w:rFonts w:ascii="宋体" w:hAnsi="宋体" w:hint="eastAsia"/>
          <w:bCs/>
          <w:szCs w:val="21"/>
        </w:rPr>
        <w:t>（5）参观蔬菜批发市场，调查蔬菜种类、产地、价格，了解批发交易流程。</w:t>
      </w:r>
    </w:p>
    <w:p w14:paraId="2502A316" w14:textId="77777777" w:rsidR="00F5289E" w:rsidRDefault="00C91173">
      <w:pPr>
        <w:spacing w:line="360" w:lineRule="auto"/>
        <w:ind w:firstLineChars="200" w:firstLine="420"/>
        <w:rPr>
          <w:rFonts w:ascii="宋体" w:hAnsi="宋体"/>
          <w:szCs w:val="21"/>
        </w:rPr>
      </w:pPr>
      <w:r>
        <w:rPr>
          <w:rFonts w:ascii="宋体" w:hAnsi="宋体" w:hint="eastAsia"/>
          <w:bCs/>
          <w:szCs w:val="21"/>
        </w:rPr>
        <w:t>（6）</w:t>
      </w:r>
      <w:r>
        <w:rPr>
          <w:rFonts w:ascii="宋体" w:hAnsi="宋体" w:hint="eastAsia"/>
          <w:color w:val="000000"/>
          <w:szCs w:val="21"/>
        </w:rPr>
        <w:t>综合实习报告撰写</w:t>
      </w:r>
      <w:r>
        <w:rPr>
          <w:rFonts w:ascii="宋体" w:hAnsi="宋体" w:hint="eastAsia"/>
          <w:bCs/>
          <w:szCs w:val="21"/>
        </w:rPr>
        <w:t>，</w:t>
      </w:r>
      <w:r>
        <w:rPr>
          <w:rFonts w:ascii="宋体" w:hAnsi="宋体" w:hint="eastAsia"/>
          <w:szCs w:val="21"/>
        </w:rPr>
        <w:t>完成《百亩蔬菜种植园规划建设实施方案》综合性实习报告，内容包括：规划平面图，建设必要性，可能性，建设规模，建设内容，种植计划，投资概算，劳动组织，成本估算，效益评价。</w:t>
      </w:r>
    </w:p>
    <w:p w14:paraId="71374261" w14:textId="77777777" w:rsidR="00F5289E" w:rsidRDefault="00C91173">
      <w:pPr>
        <w:spacing w:line="360" w:lineRule="auto"/>
        <w:ind w:firstLineChars="200" w:firstLine="422"/>
        <w:rPr>
          <w:rFonts w:ascii="宋体" w:hAnsi="宋体"/>
          <w:b/>
          <w:szCs w:val="21"/>
        </w:rPr>
      </w:pPr>
      <w:r>
        <w:rPr>
          <w:rFonts w:ascii="宋体" w:hAnsi="宋体"/>
          <w:b/>
          <w:szCs w:val="21"/>
        </w:rPr>
        <w:t>7</w:t>
      </w:r>
      <w:r>
        <w:rPr>
          <w:rFonts w:ascii="宋体" w:hAnsi="宋体" w:hint="eastAsia"/>
          <w:b/>
          <w:szCs w:val="21"/>
        </w:rPr>
        <w:t>.考核方式与成绩评定标准</w:t>
      </w:r>
    </w:p>
    <w:p w14:paraId="6FFA8516" w14:textId="77777777" w:rsidR="00F5289E" w:rsidRDefault="00C91173">
      <w:pPr>
        <w:spacing w:line="360" w:lineRule="auto"/>
        <w:ind w:firstLineChars="250" w:firstLine="525"/>
        <w:rPr>
          <w:rFonts w:ascii="宋体" w:hAnsi="宋体"/>
          <w:bCs/>
          <w:color w:val="000000"/>
          <w:szCs w:val="21"/>
        </w:rPr>
      </w:pPr>
      <w:r>
        <w:rPr>
          <w:rFonts w:ascii="宋体" w:hAnsi="宋体" w:hint="eastAsia"/>
          <w:szCs w:val="21"/>
        </w:rPr>
        <w:t>考试采用考查方式，以实习小组为单位完成《百亩蔬菜种植园规划建设实施方案》综合实习报告并进行讲评，根据报告完成情况和讲评情况评定成绩，综合实习报告占70%，讲评占30%。</w:t>
      </w:r>
    </w:p>
    <w:p w14:paraId="78D094F3" w14:textId="77777777" w:rsidR="00F5289E" w:rsidRDefault="00C91173">
      <w:pPr>
        <w:spacing w:line="360" w:lineRule="auto"/>
        <w:ind w:firstLineChars="200" w:firstLine="422"/>
        <w:rPr>
          <w:rFonts w:ascii="宋体" w:hAnsi="宋体"/>
          <w:b/>
          <w:szCs w:val="21"/>
        </w:rPr>
      </w:pPr>
      <w:r>
        <w:rPr>
          <w:rFonts w:ascii="宋体" w:hAnsi="宋体"/>
          <w:b/>
          <w:szCs w:val="21"/>
        </w:rPr>
        <w:t>8</w:t>
      </w:r>
      <w:r>
        <w:rPr>
          <w:rFonts w:ascii="宋体" w:hAnsi="宋体" w:hint="eastAsia"/>
          <w:b/>
          <w:szCs w:val="21"/>
        </w:rPr>
        <w:t>.教材及主要参考资料</w:t>
      </w:r>
    </w:p>
    <w:p w14:paraId="74EF2722" w14:textId="77777777" w:rsidR="00F5289E" w:rsidRDefault="00C91173">
      <w:pPr>
        <w:widowControl/>
        <w:snapToGrid w:val="0"/>
        <w:spacing w:line="360" w:lineRule="auto"/>
        <w:ind w:firstLineChars="147" w:firstLine="310"/>
        <w:jc w:val="left"/>
        <w:rPr>
          <w:rFonts w:hAnsi="宋体"/>
          <w:b/>
          <w:bCs/>
          <w:kern w:val="0"/>
          <w:szCs w:val="21"/>
        </w:rPr>
      </w:pPr>
      <w:r>
        <w:rPr>
          <w:rFonts w:hAnsi="宋体" w:hint="eastAsia"/>
          <w:b/>
          <w:bCs/>
          <w:kern w:val="0"/>
          <w:szCs w:val="21"/>
        </w:rPr>
        <w:t>（</w:t>
      </w:r>
      <w:r>
        <w:rPr>
          <w:rFonts w:hAnsi="宋体" w:hint="eastAsia"/>
          <w:b/>
          <w:bCs/>
          <w:kern w:val="0"/>
          <w:szCs w:val="21"/>
        </w:rPr>
        <w:t>1</w:t>
      </w:r>
      <w:r>
        <w:rPr>
          <w:rFonts w:hAnsi="宋体" w:hint="eastAsia"/>
          <w:b/>
          <w:bCs/>
          <w:kern w:val="0"/>
          <w:szCs w:val="21"/>
        </w:rPr>
        <w:t>）实习课教材：</w:t>
      </w:r>
    </w:p>
    <w:p w14:paraId="15BD431B" w14:textId="77777777" w:rsidR="00F5289E" w:rsidRDefault="00C91173">
      <w:pPr>
        <w:widowControl/>
        <w:snapToGrid w:val="0"/>
        <w:spacing w:line="360" w:lineRule="auto"/>
        <w:ind w:firstLineChars="200" w:firstLine="420"/>
        <w:jc w:val="left"/>
        <w:rPr>
          <w:rFonts w:ascii="宋体" w:hAnsi="宋体"/>
        </w:rPr>
      </w:pPr>
      <w:r>
        <w:rPr>
          <w:rFonts w:ascii="宋体" w:hAnsi="宋体" w:hint="eastAsia"/>
        </w:rPr>
        <w:t>设施蔬菜栽培学实践教学指导书，王久兴、宋士清 主编，中国农业科学技术出版社，2012</w:t>
      </w:r>
    </w:p>
    <w:p w14:paraId="18C4311D" w14:textId="77777777" w:rsidR="00F5289E" w:rsidRDefault="00C91173">
      <w:pPr>
        <w:widowControl/>
        <w:snapToGrid w:val="0"/>
        <w:spacing w:line="360" w:lineRule="auto"/>
        <w:ind w:firstLineChars="200" w:firstLine="420"/>
        <w:jc w:val="left"/>
        <w:rPr>
          <w:rFonts w:hAnsi="宋体"/>
          <w:b/>
          <w:bCs/>
          <w:strike/>
          <w:color w:val="0000FF"/>
          <w:kern w:val="0"/>
          <w:szCs w:val="21"/>
        </w:rPr>
      </w:pPr>
      <w:r>
        <w:rPr>
          <w:rFonts w:ascii="宋体" w:hAnsi="宋体" w:hint="eastAsia"/>
        </w:rPr>
        <w:t>设施蔬菜栽培学实验指导（第6次修订），河南农业大学设施蔬菜栽培课程组 编，2018</w:t>
      </w:r>
    </w:p>
    <w:p w14:paraId="399CD1E5" w14:textId="77777777" w:rsidR="00F5289E" w:rsidRDefault="00C91173">
      <w:pPr>
        <w:widowControl/>
        <w:snapToGrid w:val="0"/>
        <w:spacing w:line="360" w:lineRule="auto"/>
        <w:ind w:firstLineChars="147" w:firstLine="310"/>
        <w:jc w:val="left"/>
        <w:rPr>
          <w:rFonts w:hAnsi="宋体"/>
          <w:b/>
          <w:bCs/>
          <w:kern w:val="0"/>
          <w:szCs w:val="21"/>
        </w:rPr>
      </w:pPr>
      <w:r>
        <w:rPr>
          <w:rFonts w:hint="eastAsia"/>
          <w:b/>
          <w:bCs/>
          <w:kern w:val="0"/>
          <w:szCs w:val="21"/>
        </w:rPr>
        <w:t>（</w:t>
      </w:r>
      <w:r>
        <w:rPr>
          <w:rFonts w:hint="eastAsia"/>
          <w:b/>
          <w:bCs/>
          <w:kern w:val="0"/>
          <w:szCs w:val="21"/>
        </w:rPr>
        <w:t>2</w:t>
      </w:r>
      <w:r>
        <w:rPr>
          <w:rFonts w:hint="eastAsia"/>
          <w:b/>
          <w:bCs/>
          <w:kern w:val="0"/>
          <w:szCs w:val="21"/>
        </w:rPr>
        <w:t>）</w:t>
      </w:r>
      <w:r>
        <w:rPr>
          <w:rFonts w:hAnsi="宋体"/>
          <w:b/>
          <w:bCs/>
          <w:kern w:val="0"/>
          <w:szCs w:val="21"/>
        </w:rPr>
        <w:t>参考书：</w:t>
      </w:r>
    </w:p>
    <w:p w14:paraId="502D060C" w14:textId="77777777" w:rsidR="00F5289E" w:rsidRDefault="00C91173">
      <w:pPr>
        <w:widowControl/>
        <w:snapToGrid w:val="0"/>
        <w:spacing w:line="360" w:lineRule="auto"/>
        <w:ind w:firstLineChars="200" w:firstLine="420"/>
        <w:jc w:val="left"/>
      </w:pPr>
      <w:r>
        <w:rPr>
          <w:rFonts w:hint="eastAsia"/>
        </w:rPr>
        <w:t>中国蔬菜栽培学（第二版）</w:t>
      </w:r>
      <w:r>
        <w:rPr>
          <w:rFonts w:hint="eastAsia"/>
        </w:rPr>
        <w:t>.</w:t>
      </w:r>
      <w:r>
        <w:rPr>
          <w:rFonts w:hint="eastAsia"/>
        </w:rPr>
        <w:t>中国农业科学院蔬菜花卉研究所编</w:t>
      </w:r>
      <w:r>
        <w:rPr>
          <w:rFonts w:hint="eastAsia"/>
        </w:rPr>
        <w:t xml:space="preserve">. </w:t>
      </w:r>
      <w:r>
        <w:rPr>
          <w:rFonts w:hint="eastAsia"/>
        </w:rPr>
        <w:t>中国农业出版社，</w:t>
      </w:r>
      <w:r>
        <w:rPr>
          <w:rFonts w:hint="eastAsia"/>
        </w:rPr>
        <w:t>2010</w:t>
      </w:r>
    </w:p>
    <w:p w14:paraId="6A4DDB9D"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蔬菜栽培学各论（第四版）．王秀峰．中国农业出版社，2011</w:t>
      </w:r>
    </w:p>
    <w:p w14:paraId="47EF0D65" w14:textId="77777777" w:rsidR="00F5289E" w:rsidRDefault="00C91173">
      <w:pPr>
        <w:widowControl/>
        <w:snapToGrid w:val="0"/>
        <w:spacing w:line="360" w:lineRule="auto"/>
        <w:ind w:firstLineChars="200" w:firstLine="420"/>
        <w:jc w:val="left"/>
        <w:rPr>
          <w:rFonts w:ascii="宋体" w:hAnsi="宋体"/>
          <w:bCs/>
          <w:kern w:val="0"/>
          <w:szCs w:val="21"/>
        </w:rPr>
      </w:pPr>
      <w:r>
        <w:rPr>
          <w:rFonts w:ascii="Verdana" w:hAnsi="Verdana"/>
        </w:rPr>
        <w:t>设施园艺学（第二版）</w:t>
      </w:r>
      <w:r>
        <w:rPr>
          <w:rFonts w:ascii="Verdana" w:hAnsi="Verdana" w:hint="eastAsia"/>
        </w:rPr>
        <w:t>.</w:t>
      </w:r>
      <w:r>
        <w:rPr>
          <w:rFonts w:ascii="Verdana" w:hAnsi="Verdana"/>
        </w:rPr>
        <w:t>李式军、郭世荣</w:t>
      </w:r>
      <w:r>
        <w:rPr>
          <w:rFonts w:ascii="Verdana" w:hAnsi="Verdana" w:hint="eastAsia"/>
        </w:rPr>
        <w:t>编</w:t>
      </w:r>
      <w:r>
        <w:rPr>
          <w:rFonts w:ascii="Verdana" w:hAnsi="Verdana" w:hint="eastAsia"/>
        </w:rPr>
        <w:t>.</w:t>
      </w:r>
      <w:r>
        <w:rPr>
          <w:rFonts w:ascii="宋体" w:hAnsi="宋体" w:hint="eastAsia"/>
          <w:bCs/>
          <w:kern w:val="0"/>
          <w:szCs w:val="21"/>
        </w:rPr>
        <w:t xml:space="preserve"> 中国农业出版社，2011</w:t>
      </w:r>
    </w:p>
    <w:p w14:paraId="38E1C318" w14:textId="77777777" w:rsidR="00F5289E" w:rsidRDefault="00C91173">
      <w:pPr>
        <w:widowControl/>
        <w:snapToGrid w:val="0"/>
        <w:spacing w:line="360" w:lineRule="auto"/>
        <w:ind w:firstLineChars="200" w:firstLine="420"/>
        <w:jc w:val="left"/>
        <w:rPr>
          <w:rFonts w:ascii="宋体" w:hAnsi="宋体"/>
          <w:bCs/>
          <w:kern w:val="0"/>
          <w:szCs w:val="21"/>
        </w:rPr>
      </w:pPr>
      <w:r>
        <w:rPr>
          <w:rFonts w:ascii="宋体" w:hAnsi="宋体" w:hint="eastAsia"/>
          <w:bCs/>
          <w:kern w:val="0"/>
          <w:szCs w:val="21"/>
        </w:rPr>
        <w:t>设施植物栽培学. 钟凤林、林义章 编. 科学出版社，2018</w:t>
      </w:r>
    </w:p>
    <w:p w14:paraId="48063CAC" w14:textId="77777777" w:rsidR="00F5289E" w:rsidRDefault="00C91173">
      <w:pPr>
        <w:widowControl/>
        <w:jc w:val="left"/>
        <w:rPr>
          <w:rFonts w:ascii="宋体" w:hAnsi="宋体"/>
          <w:b/>
          <w:szCs w:val="21"/>
        </w:rPr>
      </w:pPr>
      <w:r>
        <w:rPr>
          <w:rFonts w:ascii="宋体" w:hAnsi="宋体"/>
          <w:b/>
          <w:szCs w:val="21"/>
        </w:rPr>
        <w:br w:type="page"/>
      </w:r>
    </w:p>
    <w:p w14:paraId="32525ADE" w14:textId="6F4BCBF4" w:rsidR="00F5289E" w:rsidRDefault="00C91173">
      <w:pPr>
        <w:rPr>
          <w:b/>
          <w:bCs/>
        </w:rPr>
      </w:pPr>
      <w:r>
        <w:rPr>
          <w:rFonts w:hint="eastAsia"/>
          <w:b/>
          <w:bCs/>
        </w:rPr>
        <w:lastRenderedPageBreak/>
        <w:t>（</w:t>
      </w:r>
      <w:r w:rsidR="00736DFF">
        <w:rPr>
          <w:rFonts w:hint="eastAsia"/>
          <w:b/>
          <w:bCs/>
        </w:rPr>
        <w:t>四</w:t>
      </w:r>
      <w:r>
        <w:rPr>
          <w:rFonts w:hint="eastAsia"/>
          <w:b/>
          <w:bCs/>
        </w:rPr>
        <w:t>）农业设施工程学实习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2B01E7C" w14:textId="77777777">
        <w:trPr>
          <w:trHeight w:val="435"/>
        </w:trPr>
        <w:tc>
          <w:tcPr>
            <w:tcW w:w="1666" w:type="pct"/>
            <w:vAlign w:val="center"/>
          </w:tcPr>
          <w:p w14:paraId="1C74BBF6" w14:textId="77777777" w:rsidR="00F5289E" w:rsidRDefault="00C91173">
            <w:pPr>
              <w:rPr>
                <w:rFonts w:ascii="黑体" w:eastAsia="黑体"/>
              </w:rPr>
            </w:pPr>
            <w:r>
              <w:rPr>
                <w:rFonts w:ascii="宋体" w:hAnsi="宋体" w:hint="eastAsia"/>
                <w:b/>
              </w:rPr>
              <w:t>开设学期</w:t>
            </w:r>
            <w:r>
              <w:rPr>
                <w:rFonts w:ascii="宋体" w:hAnsi="宋体" w:hint="eastAsia"/>
                <w:szCs w:val="21"/>
              </w:rPr>
              <w:t>：第4学期</w:t>
            </w:r>
          </w:p>
        </w:tc>
        <w:tc>
          <w:tcPr>
            <w:tcW w:w="1453" w:type="pct"/>
            <w:vAlign w:val="center"/>
          </w:tcPr>
          <w:p w14:paraId="455B8084" w14:textId="77777777" w:rsidR="00F5289E" w:rsidRDefault="00C91173">
            <w:pPr>
              <w:rPr>
                <w:rFonts w:ascii="黑体" w:eastAsia="黑体"/>
              </w:rPr>
            </w:pPr>
            <w:r>
              <w:rPr>
                <w:rFonts w:ascii="宋体" w:hAnsi="宋体" w:hint="eastAsia"/>
                <w:b/>
              </w:rPr>
              <w:t>实习周数</w:t>
            </w:r>
            <w:r>
              <w:rPr>
                <w:rFonts w:ascii="宋体" w:hAnsi="宋体" w:hint="eastAsia"/>
                <w:szCs w:val="21"/>
              </w:rPr>
              <w:t>：0</w:t>
            </w:r>
            <w:r>
              <w:rPr>
                <w:rFonts w:ascii="宋体" w:hAnsi="宋体"/>
                <w:szCs w:val="21"/>
              </w:rPr>
              <w:t>.5</w:t>
            </w:r>
          </w:p>
        </w:tc>
        <w:tc>
          <w:tcPr>
            <w:tcW w:w="1881" w:type="pct"/>
            <w:vAlign w:val="center"/>
          </w:tcPr>
          <w:p w14:paraId="625E31FA" w14:textId="77777777" w:rsidR="00F5289E" w:rsidRDefault="00C91173">
            <w:pPr>
              <w:rPr>
                <w:rFonts w:ascii="黑体" w:eastAsia="黑体"/>
              </w:rPr>
            </w:pPr>
            <w:r>
              <w:rPr>
                <w:rFonts w:ascii="宋体" w:hAnsi="宋体" w:hint="eastAsia"/>
                <w:b/>
              </w:rPr>
              <w:t>学分</w:t>
            </w:r>
            <w:r>
              <w:rPr>
                <w:rFonts w:ascii="宋体" w:hAnsi="宋体" w:hint="eastAsia"/>
                <w:szCs w:val="21"/>
              </w:rPr>
              <w:t>：0</w:t>
            </w:r>
            <w:r>
              <w:rPr>
                <w:rFonts w:ascii="宋体" w:hAnsi="宋体"/>
                <w:szCs w:val="21"/>
              </w:rPr>
              <w:t>.5</w:t>
            </w:r>
          </w:p>
        </w:tc>
      </w:tr>
      <w:tr w:rsidR="00F5289E" w14:paraId="731F285C" w14:textId="77777777">
        <w:trPr>
          <w:trHeight w:val="435"/>
        </w:trPr>
        <w:tc>
          <w:tcPr>
            <w:tcW w:w="5000" w:type="pct"/>
            <w:gridSpan w:val="3"/>
            <w:vAlign w:val="center"/>
          </w:tcPr>
          <w:p w14:paraId="498E4CA5" w14:textId="77777777" w:rsidR="00F5289E" w:rsidRDefault="00C91173">
            <w:pPr>
              <w:rPr>
                <w:rFonts w:ascii="黑体" w:eastAsia="黑体"/>
                <w:color w:val="0000FF"/>
              </w:rPr>
            </w:pPr>
            <w:r>
              <w:rPr>
                <w:rFonts w:ascii="宋体" w:hAnsi="宋体" w:hint="eastAsia"/>
                <w:b/>
              </w:rPr>
              <w:t>适用专业</w:t>
            </w:r>
            <w:r>
              <w:rPr>
                <w:rFonts w:ascii="宋体" w:hAnsi="宋体" w:hint="eastAsia"/>
              </w:rPr>
              <w:t>：</w:t>
            </w:r>
            <w:r>
              <w:rPr>
                <w:rFonts w:hint="eastAsia"/>
              </w:rPr>
              <w:t>设施农业科学与工程</w:t>
            </w:r>
          </w:p>
        </w:tc>
      </w:tr>
      <w:tr w:rsidR="00F5289E" w14:paraId="2894C5CE" w14:textId="77777777">
        <w:trPr>
          <w:trHeight w:val="435"/>
        </w:trPr>
        <w:tc>
          <w:tcPr>
            <w:tcW w:w="5000" w:type="pct"/>
            <w:gridSpan w:val="3"/>
            <w:vAlign w:val="center"/>
          </w:tcPr>
          <w:p w14:paraId="0D5C4A23" w14:textId="77777777" w:rsidR="00F5289E" w:rsidRDefault="00C91173">
            <w:pPr>
              <w:rPr>
                <w:rFonts w:ascii="黑体"/>
              </w:rPr>
            </w:pPr>
            <w:r>
              <w:rPr>
                <w:rFonts w:ascii="宋体" w:hAnsi="宋体" w:hint="eastAsia"/>
                <w:b/>
              </w:rPr>
              <w:t>先修课程</w:t>
            </w:r>
            <w:r>
              <w:rPr>
                <w:rFonts w:ascii="黑体" w:eastAsia="黑体" w:hint="eastAsia"/>
              </w:rPr>
              <w:t>：</w:t>
            </w:r>
            <w:r>
              <w:rPr>
                <w:rFonts w:hint="eastAsia"/>
              </w:rPr>
              <w:t>现代工程图学、工程力学、应用气象学、传热学</w:t>
            </w:r>
          </w:p>
        </w:tc>
      </w:tr>
      <w:tr w:rsidR="00F5289E" w14:paraId="61369AB9" w14:textId="77777777">
        <w:trPr>
          <w:trHeight w:val="767"/>
        </w:trPr>
        <w:tc>
          <w:tcPr>
            <w:tcW w:w="1666" w:type="pct"/>
            <w:vAlign w:val="center"/>
          </w:tcPr>
          <w:p w14:paraId="6E75464D" w14:textId="77777777" w:rsidR="00F5289E" w:rsidRDefault="00C91173">
            <w:pPr>
              <w:rPr>
                <w:rFonts w:ascii="宋体" w:hAnsi="宋体"/>
                <w:b/>
              </w:rPr>
            </w:pPr>
            <w:r>
              <w:rPr>
                <w:rFonts w:ascii="宋体" w:hAnsi="宋体" w:hint="eastAsia"/>
                <w:b/>
              </w:rPr>
              <w:t>主撰人：</w:t>
            </w:r>
            <w:r>
              <w:rPr>
                <w:rFonts w:ascii="宋体" w:hAnsi="宋体" w:hint="eastAsia"/>
              </w:rPr>
              <w:t>董晓星</w:t>
            </w:r>
          </w:p>
        </w:tc>
        <w:tc>
          <w:tcPr>
            <w:tcW w:w="1453" w:type="pct"/>
            <w:vAlign w:val="center"/>
          </w:tcPr>
          <w:p w14:paraId="2416E957" w14:textId="77777777" w:rsidR="00F5289E" w:rsidRDefault="00C91173">
            <w:pPr>
              <w:rPr>
                <w:rFonts w:ascii="黑体" w:eastAsia="黑体"/>
              </w:rPr>
            </w:pPr>
            <w:r>
              <w:rPr>
                <w:rFonts w:ascii="宋体" w:hAnsi="宋体" w:hint="eastAsia"/>
                <w:b/>
              </w:rPr>
              <w:t>审核人</w:t>
            </w:r>
            <w:r>
              <w:rPr>
                <w:rFonts w:ascii="宋体" w:hAnsi="宋体" w:hint="eastAsia"/>
              </w:rPr>
              <w:t>：</w:t>
            </w:r>
            <w:r>
              <w:rPr>
                <w:rFonts w:ascii="宋体" w:hAnsi="宋体" w:hint="eastAsia"/>
                <w:bCs/>
              </w:rPr>
              <w:t>国志信</w:t>
            </w:r>
          </w:p>
        </w:tc>
        <w:tc>
          <w:tcPr>
            <w:tcW w:w="1881" w:type="pct"/>
            <w:vAlign w:val="center"/>
          </w:tcPr>
          <w:p w14:paraId="1E0281B4" w14:textId="77777777" w:rsidR="00F5289E" w:rsidRDefault="00C91173">
            <w:pPr>
              <w:rPr>
                <w:rFonts w:ascii="宋体" w:hAnsi="宋体"/>
              </w:rPr>
            </w:pPr>
            <w:r>
              <w:rPr>
                <w:rFonts w:ascii="宋体" w:hAnsi="宋体" w:hint="eastAsia"/>
                <w:b/>
              </w:rPr>
              <w:t>大纲制定（修订）日期</w:t>
            </w:r>
            <w:r>
              <w:rPr>
                <w:rFonts w:ascii="宋体" w:hAnsi="宋体" w:hint="eastAsia"/>
              </w:rPr>
              <w:t>：</w:t>
            </w:r>
            <w:r>
              <w:t>20</w:t>
            </w:r>
            <w:r>
              <w:rPr>
                <w:rFonts w:hint="eastAsia"/>
              </w:rPr>
              <w:t>23</w:t>
            </w:r>
            <w:r>
              <w:rPr>
                <w:rFonts w:hint="eastAsia"/>
              </w:rPr>
              <w:t>年</w:t>
            </w:r>
          </w:p>
        </w:tc>
      </w:tr>
    </w:tbl>
    <w:p w14:paraId="06DA9E3A"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1.课程简介</w:t>
      </w:r>
    </w:p>
    <w:p w14:paraId="0BF4C395" w14:textId="77777777" w:rsidR="00F5289E" w:rsidRDefault="00C91173">
      <w:pPr>
        <w:spacing w:line="360" w:lineRule="auto"/>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农业设施工程学》是设施农业科学与工程专业的核心专业课，是实现设工专业人才培养目标的关键一环。课程内容主要包括园艺设施材料、类型、性能、设计、建造和应用的内容，系统阐述了不同园艺设施类型、特点和设计建造要点，是一门</w:t>
      </w:r>
      <w:r>
        <w:rPr>
          <w:rFonts w:asciiTheme="minorEastAsia" w:eastAsiaTheme="minorEastAsia" w:hAnsiTheme="minorEastAsia" w:cstheme="minorEastAsia" w:hint="eastAsia"/>
          <w:szCs w:val="21"/>
        </w:rPr>
        <w:t>涉及园艺学、建筑工程学、材料学和环境调节学等的跨学科综合性课程。通过课程学习，</w:t>
      </w:r>
      <w:r>
        <w:rPr>
          <w:rFonts w:asciiTheme="minorEastAsia" w:eastAsiaTheme="minorEastAsia" w:hAnsiTheme="minorEastAsia" w:cstheme="minorEastAsia" w:hint="eastAsia"/>
          <w:kern w:val="0"/>
          <w:szCs w:val="21"/>
        </w:rPr>
        <w:t>学生掌握农业设施的类型与性能、规划与设计、材料与施工的基本知识与理论，锻炼从事农业设施工程设计、建造的技能，探索发现当前园艺设施设计和应用的局限性，理解产业发展方向，提升自主学习、批判性思维和沟通协作的能力，具备大胆质疑、积极求真和勇于创新的科学素养，认识到农科学生的社会责任，为农业增效、农民增收和繁荣农村经济助力。</w:t>
      </w:r>
    </w:p>
    <w:p w14:paraId="47FFDA8F" w14:textId="77777777" w:rsidR="00F5289E" w:rsidRDefault="00C91173">
      <w:pPr>
        <w:spacing w:line="360" w:lineRule="auto"/>
        <w:ind w:firstLineChars="200" w:firstLine="422"/>
        <w:rPr>
          <w:rFonts w:ascii="宋体" w:hAnsi="宋体"/>
          <w:b/>
          <w:szCs w:val="21"/>
        </w:rPr>
      </w:pPr>
      <w:r>
        <w:rPr>
          <w:rFonts w:ascii="宋体" w:hAnsi="宋体" w:hint="eastAsia"/>
          <w:b/>
          <w:szCs w:val="21"/>
        </w:rPr>
        <w:t>2.课程劳动教育</w:t>
      </w:r>
    </w:p>
    <w:p w14:paraId="3D7078F7" w14:textId="77777777" w:rsidR="00F5289E" w:rsidRDefault="00C91173">
      <w:pPr>
        <w:spacing w:line="360" w:lineRule="auto"/>
        <w:ind w:firstLineChars="200" w:firstLine="420"/>
        <w:rPr>
          <w:rFonts w:ascii="宋体" w:hAnsi="宋体"/>
          <w:szCs w:val="21"/>
        </w:rPr>
      </w:pPr>
      <w:r>
        <w:rPr>
          <w:rFonts w:asciiTheme="minorEastAsia" w:eastAsiaTheme="minorEastAsia" w:hAnsiTheme="minorEastAsia" w:cstheme="minorEastAsia" w:hint="eastAsia"/>
          <w:kern w:val="0"/>
          <w:szCs w:val="21"/>
        </w:rPr>
        <w:t>《农业设施工程学》课程实习</w:t>
      </w:r>
      <w:r>
        <w:rPr>
          <w:rFonts w:ascii="宋体" w:hAnsi="宋体" w:hint="eastAsia"/>
          <w:szCs w:val="21"/>
        </w:rPr>
        <w:t>到郑州市周边的</w:t>
      </w:r>
      <w:r>
        <w:rPr>
          <w:rFonts w:hint="eastAsia"/>
        </w:rPr>
        <w:t>设施蔬菜、设施花卉和设施果蔬的生产、科研基地，进行实地考察各种设施类型（连栋温室、日光温室、塑料大棚等）的结构、各部位构成等；了解设施内园艺作物种植的种类，类型、品种种植时间、种植方式、生长状况，产业受益及面临的问题和挑战等，</w:t>
      </w:r>
      <w:r>
        <w:rPr>
          <w:rFonts w:ascii="宋体" w:hAnsi="宋体" w:hint="eastAsia"/>
          <w:szCs w:val="21"/>
        </w:rPr>
        <w:t>增强学生服务“三农”和农业农村现代化的使命感和责任感，让学生走进农村、走近农民、走向农业，了解乡情民情，学习乡土文化，提升学生学农知农爱农素养和专业实践能力</w:t>
      </w:r>
    </w:p>
    <w:p w14:paraId="1EDD6D7B" w14:textId="77777777" w:rsidR="00F5289E" w:rsidRDefault="00C91173">
      <w:pPr>
        <w:spacing w:line="360" w:lineRule="auto"/>
        <w:ind w:firstLineChars="200" w:firstLine="422"/>
        <w:rPr>
          <w:rFonts w:ascii="宋体" w:hAnsi="宋体"/>
          <w:b/>
          <w:szCs w:val="21"/>
        </w:rPr>
      </w:pPr>
      <w:r>
        <w:rPr>
          <w:rFonts w:ascii="宋体" w:hAnsi="宋体" w:hint="eastAsia"/>
          <w:b/>
          <w:szCs w:val="21"/>
        </w:rPr>
        <w:t>3</w:t>
      </w:r>
      <w:r>
        <w:rPr>
          <w:rFonts w:ascii="宋体" w:hAnsi="宋体" w:cs="宋体" w:hint="eastAsia"/>
          <w:b/>
          <w:kern w:val="0"/>
          <w:szCs w:val="21"/>
        </w:rPr>
        <w:t>.</w:t>
      </w:r>
      <w:r>
        <w:rPr>
          <w:rFonts w:ascii="宋体" w:hAnsi="宋体" w:hint="eastAsia"/>
          <w:b/>
          <w:szCs w:val="21"/>
        </w:rPr>
        <w:t>实习目的和要求</w:t>
      </w:r>
    </w:p>
    <w:p w14:paraId="2FBDC1AE"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t>了解各种园艺设施了类型、结构和应用状况，设施内环境变化和园艺作物种植和生产状况。</w:t>
      </w:r>
    </w:p>
    <w:p w14:paraId="1DBBFA51" w14:textId="77777777" w:rsidR="00F5289E" w:rsidRDefault="00C91173">
      <w:pPr>
        <w:spacing w:line="360" w:lineRule="auto"/>
        <w:ind w:firstLineChars="200" w:firstLine="422"/>
        <w:rPr>
          <w:rFonts w:ascii="宋体" w:hAnsi="宋体"/>
          <w:b/>
          <w:szCs w:val="21"/>
        </w:rPr>
      </w:pPr>
      <w:r>
        <w:rPr>
          <w:rFonts w:ascii="宋体" w:hAnsi="宋体" w:hint="eastAsia"/>
          <w:b/>
          <w:szCs w:val="21"/>
        </w:rPr>
        <w:t>4</w:t>
      </w:r>
      <w:r>
        <w:rPr>
          <w:rFonts w:ascii="宋体" w:hAnsi="宋体" w:cs="宋体" w:hint="eastAsia"/>
          <w:b/>
          <w:kern w:val="0"/>
          <w:szCs w:val="21"/>
        </w:rPr>
        <w:t>.</w:t>
      </w:r>
      <w:r>
        <w:rPr>
          <w:rFonts w:ascii="宋体" w:hAnsi="宋体" w:hint="eastAsia"/>
          <w:b/>
          <w:szCs w:val="21"/>
        </w:rPr>
        <w:t>实习地点及内容</w:t>
      </w:r>
    </w:p>
    <w:p w14:paraId="4F7EC18D" w14:textId="77777777" w:rsidR="00F5289E" w:rsidRDefault="00C91173">
      <w:pPr>
        <w:tabs>
          <w:tab w:val="left" w:pos="3720"/>
          <w:tab w:val="left" w:pos="3780"/>
          <w:tab w:val="left" w:pos="4305"/>
        </w:tabs>
        <w:adjustRightInd w:val="0"/>
        <w:snapToGrid w:val="0"/>
        <w:spacing w:line="360" w:lineRule="auto"/>
        <w:ind w:firstLineChars="200" w:firstLine="422"/>
        <w:rPr>
          <w:rFonts w:ascii="宋体" w:hAnsi="宋体"/>
          <w:color w:val="0000FF"/>
          <w:szCs w:val="21"/>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hint="eastAsia"/>
          <w:color w:val="262600"/>
        </w:rPr>
        <w:t>河南省郑州市周边县区的设施园艺生产基地</w:t>
      </w:r>
    </w:p>
    <w:p w14:paraId="4CD42D0B" w14:textId="77777777" w:rsidR="00F5289E" w:rsidRDefault="00C91173">
      <w:pPr>
        <w:tabs>
          <w:tab w:val="left" w:pos="3720"/>
          <w:tab w:val="left" w:pos="3780"/>
          <w:tab w:val="left" w:pos="4305"/>
        </w:tabs>
        <w:adjustRightInd w:val="0"/>
        <w:snapToGrid w:val="0"/>
        <w:spacing w:line="360" w:lineRule="auto"/>
        <w:ind w:firstLineChars="200" w:firstLine="422"/>
        <w:rPr>
          <w:rFonts w:ascii="宋体" w:hAnsi="宋体"/>
          <w:color w:val="0000FF"/>
          <w:szCs w:val="21"/>
        </w:rPr>
      </w:pPr>
      <w:r>
        <w:rPr>
          <w:rFonts w:ascii="宋体" w:hAnsi="宋体" w:hint="eastAsia"/>
          <w:b/>
          <w:szCs w:val="21"/>
        </w:rPr>
        <w:t>（2）</w:t>
      </w:r>
      <w:r>
        <w:rPr>
          <w:rFonts w:ascii="宋体" w:hAnsi="宋体" w:hint="eastAsia"/>
          <w:b/>
          <w:bCs/>
          <w:szCs w:val="21"/>
        </w:rPr>
        <w:t>实习内容：</w:t>
      </w:r>
      <w:r>
        <w:rPr>
          <w:rFonts w:hint="eastAsia"/>
          <w:color w:val="262600"/>
        </w:rPr>
        <w:t>参观学习和实地考察</w:t>
      </w:r>
    </w:p>
    <w:p w14:paraId="02D0CB47" w14:textId="77777777" w:rsidR="00F5289E" w:rsidRDefault="00C91173">
      <w:pPr>
        <w:spacing w:line="360" w:lineRule="auto"/>
        <w:ind w:firstLineChars="200" w:firstLine="422"/>
        <w:rPr>
          <w:rFonts w:ascii="宋体" w:hAnsi="宋体"/>
          <w:b/>
          <w:szCs w:val="21"/>
        </w:rPr>
      </w:pPr>
      <w:r>
        <w:rPr>
          <w:rFonts w:ascii="宋体" w:hAnsi="宋体" w:hint="eastAsia"/>
          <w:b/>
          <w:szCs w:val="21"/>
        </w:rPr>
        <w:t>5</w:t>
      </w:r>
      <w:r>
        <w:rPr>
          <w:rFonts w:ascii="宋体" w:hAnsi="宋体" w:cs="宋体" w:hint="eastAsia"/>
          <w:b/>
          <w:kern w:val="0"/>
          <w:szCs w:val="21"/>
        </w:rPr>
        <w:t>.</w:t>
      </w:r>
      <w:r>
        <w:rPr>
          <w:rFonts w:ascii="宋体" w:hAnsi="宋体" w:hint="eastAsia"/>
          <w:b/>
          <w:szCs w:val="21"/>
        </w:rPr>
        <w:t>实习时间安排</w:t>
      </w:r>
    </w:p>
    <w:p w14:paraId="1F1312D3"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rFonts w:ascii="宋体" w:hAnsi="宋体"/>
          <w:szCs w:val="21"/>
        </w:rPr>
      </w:pPr>
      <w:r>
        <w:rPr>
          <w:rFonts w:ascii="宋体" w:hAnsi="宋体" w:hint="eastAsia"/>
          <w:bCs/>
          <w:szCs w:val="21"/>
        </w:rPr>
        <w:t>每年的</w:t>
      </w:r>
      <w:r>
        <w:rPr>
          <w:rFonts w:ascii="宋体" w:hAnsi="宋体"/>
          <w:bCs/>
          <w:szCs w:val="21"/>
        </w:rPr>
        <w:t>5</w:t>
      </w:r>
      <w:r>
        <w:rPr>
          <w:rFonts w:ascii="宋体" w:hAnsi="宋体" w:hint="eastAsia"/>
          <w:bCs/>
          <w:szCs w:val="21"/>
        </w:rPr>
        <w:t>月下旬或</w:t>
      </w:r>
      <w:r>
        <w:rPr>
          <w:rFonts w:ascii="宋体" w:hAnsi="宋体"/>
          <w:bCs/>
          <w:szCs w:val="21"/>
        </w:rPr>
        <w:t>6</w:t>
      </w:r>
      <w:r>
        <w:rPr>
          <w:rFonts w:ascii="宋体" w:hAnsi="宋体" w:hint="eastAsia"/>
          <w:bCs/>
          <w:szCs w:val="21"/>
        </w:rPr>
        <w:t>月上旬，时间为</w:t>
      </w:r>
      <w:r>
        <w:rPr>
          <w:rFonts w:ascii="宋体" w:hAnsi="宋体"/>
          <w:bCs/>
          <w:szCs w:val="21"/>
        </w:rPr>
        <w:t>2.5</w:t>
      </w:r>
      <w:r>
        <w:rPr>
          <w:rFonts w:ascii="宋体" w:hAnsi="宋体" w:hint="eastAsia"/>
          <w:bCs/>
          <w:szCs w:val="21"/>
        </w:rPr>
        <w:t>天。</w:t>
      </w:r>
    </w:p>
    <w:p w14:paraId="39C5ECB1" w14:textId="77777777" w:rsidR="00F5289E" w:rsidRDefault="00C91173">
      <w:pPr>
        <w:spacing w:line="360" w:lineRule="auto"/>
        <w:ind w:firstLineChars="200" w:firstLine="422"/>
        <w:rPr>
          <w:rFonts w:ascii="宋体" w:hAnsi="宋体"/>
          <w:b/>
          <w:szCs w:val="21"/>
        </w:rPr>
      </w:pPr>
      <w:r>
        <w:rPr>
          <w:rFonts w:ascii="宋体" w:hAnsi="宋体" w:hint="eastAsia"/>
          <w:b/>
          <w:szCs w:val="21"/>
        </w:rPr>
        <w:t>6</w:t>
      </w:r>
      <w:r>
        <w:rPr>
          <w:rFonts w:ascii="宋体" w:hAnsi="宋体" w:cs="宋体" w:hint="eastAsia"/>
          <w:b/>
          <w:kern w:val="0"/>
          <w:szCs w:val="21"/>
        </w:rPr>
        <w:t xml:space="preserve">. </w:t>
      </w:r>
      <w:r>
        <w:rPr>
          <w:rFonts w:ascii="宋体" w:hAnsi="宋体" w:hint="eastAsia"/>
          <w:b/>
          <w:szCs w:val="21"/>
        </w:rPr>
        <w:t>实习具体要求</w:t>
      </w:r>
    </w:p>
    <w:p w14:paraId="79160A14" w14:textId="77777777" w:rsidR="00F5289E" w:rsidRDefault="00C91173">
      <w:pPr>
        <w:tabs>
          <w:tab w:val="left" w:pos="3720"/>
          <w:tab w:val="left" w:pos="3780"/>
          <w:tab w:val="left" w:pos="4305"/>
        </w:tabs>
        <w:adjustRightInd w:val="0"/>
        <w:snapToGrid w:val="0"/>
        <w:spacing w:beforeLines="50" w:before="156" w:line="300" w:lineRule="auto"/>
        <w:ind w:firstLineChars="196" w:firstLine="412"/>
        <w:rPr>
          <w:color w:val="262600"/>
        </w:rPr>
      </w:pPr>
      <w:r>
        <w:rPr>
          <w:rFonts w:hint="eastAsia"/>
          <w:color w:val="262600"/>
        </w:rPr>
        <w:t>到设施园艺园区，包括设施蔬菜、设施花卉和设施果蔬的生产、科研基地，进行实地考察各种</w:t>
      </w:r>
      <w:r>
        <w:rPr>
          <w:rFonts w:hint="eastAsia"/>
          <w:color w:val="262600"/>
        </w:rPr>
        <w:lastRenderedPageBreak/>
        <w:t>设施类型（连栋温室、日光温室、塑料大棚等）的结构、各部位构成等；了解设施内园艺作物种植的种类，类型、品种种植时间、种植方式、生长状况等。可以和无土栽培学、工厂化育苗、设施蔬菜栽培学、设施果蔬栽培学、设施花卉栽培学以及园艺专业的设施园艺学园艺研究法等课程结合进行。其中</w:t>
      </w:r>
      <w:r>
        <w:rPr>
          <w:rFonts w:hint="eastAsia"/>
          <w:color w:val="262600"/>
        </w:rPr>
        <w:t>2</w:t>
      </w:r>
      <w:r>
        <w:rPr>
          <w:rFonts w:hint="eastAsia"/>
          <w:color w:val="262600"/>
        </w:rPr>
        <w:t>天时间进行现场学习，</w:t>
      </w:r>
      <w:r>
        <w:rPr>
          <w:rFonts w:hint="eastAsia"/>
          <w:color w:val="262600"/>
        </w:rPr>
        <w:t>0</w:t>
      </w:r>
      <w:r>
        <w:rPr>
          <w:color w:val="262600"/>
        </w:rPr>
        <w:t>.5</w:t>
      </w:r>
      <w:r>
        <w:rPr>
          <w:rFonts w:hint="eastAsia"/>
          <w:color w:val="262600"/>
        </w:rPr>
        <w:t>天时间进行总结讨论。</w:t>
      </w:r>
    </w:p>
    <w:p w14:paraId="5D8DA1EB"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hint="eastAsia"/>
          <w:b/>
          <w:szCs w:val="21"/>
        </w:rPr>
        <w:t>7</w:t>
      </w:r>
      <w:r>
        <w:rPr>
          <w:rFonts w:ascii="宋体" w:hAnsi="宋体" w:cs="宋体" w:hint="eastAsia"/>
          <w:b/>
          <w:kern w:val="0"/>
          <w:szCs w:val="21"/>
        </w:rPr>
        <w:t>. 考核方式与成绩评定标准</w:t>
      </w:r>
    </w:p>
    <w:p w14:paraId="1D898991" w14:textId="77777777" w:rsidR="00F5289E" w:rsidRDefault="00C91173">
      <w:pPr>
        <w:tabs>
          <w:tab w:val="left" w:pos="3720"/>
          <w:tab w:val="left" w:pos="3780"/>
          <w:tab w:val="left" w:pos="4305"/>
        </w:tabs>
        <w:adjustRightInd w:val="0"/>
        <w:snapToGrid w:val="0"/>
        <w:spacing w:beforeLines="50" w:before="156" w:line="300" w:lineRule="auto"/>
        <w:ind w:firstLineChars="196" w:firstLine="412"/>
        <w:rPr>
          <w:color w:val="262600"/>
        </w:rPr>
      </w:pPr>
      <w:r>
        <w:rPr>
          <w:rFonts w:hint="eastAsia"/>
          <w:color w:val="262600"/>
        </w:rPr>
        <w:t>实习结束，每个学生写出实习总结，根据实习总结和参与度评定成绩，分为及格、良好和优秀三个档次。</w:t>
      </w:r>
    </w:p>
    <w:p w14:paraId="406F474F"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8. 教材及主要参考资料</w:t>
      </w:r>
    </w:p>
    <w:p w14:paraId="080F6E0E" w14:textId="77777777" w:rsidR="00F5289E" w:rsidRDefault="00C91173">
      <w:pPr>
        <w:snapToGrid w:val="0"/>
        <w:spacing w:beforeLines="50" w:before="156" w:line="360" w:lineRule="auto"/>
        <w:ind w:firstLine="420"/>
        <w:rPr>
          <w:color w:val="262600"/>
        </w:rPr>
      </w:pPr>
      <w:r>
        <w:rPr>
          <w:rFonts w:hint="eastAsia"/>
          <w:color w:val="262600"/>
        </w:rPr>
        <w:t>园艺设施工程学，吴凤芝，科学出版社，</w:t>
      </w:r>
      <w:r>
        <w:rPr>
          <w:rFonts w:hint="eastAsia"/>
          <w:color w:val="262600"/>
        </w:rPr>
        <w:t>2</w:t>
      </w:r>
      <w:r>
        <w:rPr>
          <w:color w:val="262600"/>
        </w:rPr>
        <w:t>012</w:t>
      </w:r>
      <w:r>
        <w:rPr>
          <w:rFonts w:hint="eastAsia"/>
          <w:color w:val="262600"/>
        </w:rPr>
        <w:t>年</w:t>
      </w:r>
    </w:p>
    <w:p w14:paraId="52FDC615" w14:textId="77777777" w:rsidR="00F5289E" w:rsidRDefault="00C91173">
      <w:pPr>
        <w:widowControl/>
        <w:adjustRightInd w:val="0"/>
        <w:snapToGrid w:val="0"/>
        <w:spacing w:line="360" w:lineRule="auto"/>
        <w:ind w:firstLine="432"/>
        <w:jc w:val="left"/>
        <w:rPr>
          <w:rFonts w:eastAsiaTheme="minorEastAsia"/>
          <w:kern w:val="0"/>
          <w:szCs w:val="21"/>
        </w:rPr>
      </w:pPr>
      <w:r>
        <w:rPr>
          <w:rFonts w:eastAsiaTheme="minorEastAsia"/>
          <w:kern w:val="0"/>
          <w:szCs w:val="21"/>
        </w:rPr>
        <w:t>中国温室网</w:t>
      </w:r>
      <w:r>
        <w:rPr>
          <w:rFonts w:eastAsiaTheme="minorEastAsia" w:hint="eastAsia"/>
          <w:kern w:val="0"/>
          <w:szCs w:val="21"/>
        </w:rPr>
        <w:t>，</w:t>
      </w:r>
      <w:r>
        <w:rPr>
          <w:rFonts w:eastAsiaTheme="minorEastAsia"/>
          <w:kern w:val="0"/>
          <w:szCs w:val="21"/>
        </w:rPr>
        <w:t>http://www.chinagreenhouse.com/</w:t>
      </w:r>
    </w:p>
    <w:p w14:paraId="6CA4F9E7" w14:textId="77777777" w:rsidR="00F5289E" w:rsidRDefault="00C91173">
      <w:pPr>
        <w:widowControl/>
        <w:adjustRightInd w:val="0"/>
        <w:snapToGrid w:val="0"/>
        <w:spacing w:line="360" w:lineRule="auto"/>
        <w:ind w:firstLineChars="200" w:firstLine="420"/>
        <w:jc w:val="left"/>
        <w:rPr>
          <w:rFonts w:ascii="宋体" w:hAnsi="宋体"/>
          <w:szCs w:val="21"/>
        </w:rPr>
      </w:pPr>
      <w:r>
        <w:rPr>
          <w:rFonts w:ascii="宋体" w:hAnsi="宋体" w:hint="eastAsia"/>
          <w:szCs w:val="21"/>
        </w:rPr>
        <w:t>温室园艺资讯，微信公众号</w:t>
      </w:r>
    </w:p>
    <w:p w14:paraId="101410CD" w14:textId="77777777" w:rsidR="00F5289E" w:rsidRDefault="00C91173">
      <w:pPr>
        <w:widowControl/>
        <w:adjustRightInd w:val="0"/>
        <w:snapToGrid w:val="0"/>
        <w:spacing w:line="360" w:lineRule="auto"/>
        <w:ind w:firstLineChars="200" w:firstLine="420"/>
        <w:jc w:val="left"/>
        <w:rPr>
          <w:color w:val="262600"/>
        </w:rPr>
      </w:pPr>
      <w:r>
        <w:rPr>
          <w:rFonts w:ascii="宋体" w:hAnsi="宋体" w:hint="eastAsia"/>
          <w:szCs w:val="21"/>
        </w:rPr>
        <w:t>农业工程技术，微信公众号</w:t>
      </w:r>
    </w:p>
    <w:p w14:paraId="6CD541F1" w14:textId="77777777" w:rsidR="00F5289E" w:rsidRDefault="00C91173">
      <w:pPr>
        <w:widowControl/>
        <w:jc w:val="left"/>
        <w:rPr>
          <w:rFonts w:ascii="宋体" w:hAnsi="宋体" w:cs="Arial Unicode MS"/>
          <w:b/>
          <w:bCs/>
          <w:kern w:val="0"/>
          <w:sz w:val="72"/>
          <w:szCs w:val="72"/>
        </w:rPr>
      </w:pPr>
      <w:r>
        <w:rPr>
          <w:rFonts w:ascii="宋体" w:hAnsi="宋体" w:cs="Arial Unicode MS"/>
          <w:b/>
          <w:bCs/>
          <w:kern w:val="0"/>
          <w:sz w:val="72"/>
          <w:szCs w:val="72"/>
        </w:rPr>
        <w:br w:type="page"/>
      </w:r>
    </w:p>
    <w:p w14:paraId="4C4FA09A" w14:textId="24C77998" w:rsidR="00F5289E" w:rsidRDefault="00C91173">
      <w:pPr>
        <w:rPr>
          <w:b/>
          <w:bCs/>
        </w:rPr>
      </w:pPr>
      <w:r>
        <w:rPr>
          <w:b/>
          <w:bCs/>
        </w:rPr>
        <w:lastRenderedPageBreak/>
        <w:t>（</w:t>
      </w:r>
      <w:r w:rsidR="00736DFF">
        <w:rPr>
          <w:rFonts w:hint="eastAsia"/>
          <w:b/>
          <w:bCs/>
        </w:rPr>
        <w:t>五</w:t>
      </w:r>
      <w:r>
        <w:rPr>
          <w:b/>
          <w:bCs/>
        </w:rPr>
        <w:t>）设施花卉栽培学实习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4F8271E4" w14:textId="77777777">
        <w:trPr>
          <w:trHeight w:val="435"/>
        </w:trPr>
        <w:tc>
          <w:tcPr>
            <w:tcW w:w="1666" w:type="pct"/>
            <w:vAlign w:val="center"/>
          </w:tcPr>
          <w:p w14:paraId="25D11D12" w14:textId="77777777" w:rsidR="00F5289E" w:rsidRDefault="00C91173">
            <w:pPr>
              <w:rPr>
                <w:color w:val="000000" w:themeColor="text1"/>
              </w:rPr>
            </w:pPr>
            <w:r>
              <w:rPr>
                <w:b/>
                <w:color w:val="000000" w:themeColor="text1"/>
              </w:rPr>
              <w:t>开设学期</w:t>
            </w:r>
            <w:r>
              <w:rPr>
                <w:color w:val="000000" w:themeColor="text1"/>
                <w:szCs w:val="21"/>
              </w:rPr>
              <w:t>：第</w:t>
            </w:r>
            <w:r>
              <w:rPr>
                <w:color w:val="000000" w:themeColor="text1"/>
                <w:szCs w:val="21"/>
              </w:rPr>
              <w:t>5</w:t>
            </w:r>
            <w:r>
              <w:rPr>
                <w:color w:val="000000" w:themeColor="text1"/>
                <w:szCs w:val="21"/>
              </w:rPr>
              <w:t>学期</w:t>
            </w:r>
          </w:p>
        </w:tc>
        <w:tc>
          <w:tcPr>
            <w:tcW w:w="1453" w:type="pct"/>
            <w:vAlign w:val="center"/>
          </w:tcPr>
          <w:p w14:paraId="62550F4F" w14:textId="77777777" w:rsidR="00F5289E" w:rsidRDefault="00C91173">
            <w:pPr>
              <w:rPr>
                <w:color w:val="000000" w:themeColor="text1"/>
              </w:rPr>
            </w:pPr>
            <w:r>
              <w:rPr>
                <w:b/>
                <w:color w:val="000000" w:themeColor="text1"/>
              </w:rPr>
              <w:t>实习周数</w:t>
            </w:r>
            <w:r>
              <w:rPr>
                <w:color w:val="000000" w:themeColor="text1"/>
                <w:szCs w:val="21"/>
              </w:rPr>
              <w:t>：</w:t>
            </w:r>
            <w:r>
              <w:rPr>
                <w:color w:val="000000" w:themeColor="text1"/>
                <w:szCs w:val="21"/>
              </w:rPr>
              <w:t>0.5</w:t>
            </w:r>
          </w:p>
        </w:tc>
        <w:tc>
          <w:tcPr>
            <w:tcW w:w="1881" w:type="pct"/>
            <w:vAlign w:val="center"/>
          </w:tcPr>
          <w:p w14:paraId="74392662" w14:textId="77777777" w:rsidR="00F5289E" w:rsidRDefault="00C91173">
            <w:pPr>
              <w:rPr>
                <w:color w:val="000000" w:themeColor="text1"/>
              </w:rPr>
            </w:pPr>
            <w:r>
              <w:rPr>
                <w:b/>
                <w:color w:val="000000" w:themeColor="text1"/>
              </w:rPr>
              <w:t>学分</w:t>
            </w:r>
            <w:r>
              <w:rPr>
                <w:color w:val="000000" w:themeColor="text1"/>
                <w:szCs w:val="21"/>
              </w:rPr>
              <w:t>：</w:t>
            </w:r>
            <w:r>
              <w:rPr>
                <w:color w:val="000000" w:themeColor="text1"/>
                <w:szCs w:val="21"/>
              </w:rPr>
              <w:t>1</w:t>
            </w:r>
          </w:p>
        </w:tc>
      </w:tr>
      <w:tr w:rsidR="00F5289E" w14:paraId="7F20A4FF" w14:textId="77777777">
        <w:trPr>
          <w:trHeight w:val="435"/>
        </w:trPr>
        <w:tc>
          <w:tcPr>
            <w:tcW w:w="5000" w:type="pct"/>
            <w:gridSpan w:val="3"/>
            <w:vAlign w:val="center"/>
          </w:tcPr>
          <w:p w14:paraId="5A580E12" w14:textId="77777777" w:rsidR="00F5289E" w:rsidRDefault="00C91173">
            <w:pPr>
              <w:rPr>
                <w:color w:val="000000" w:themeColor="text1"/>
              </w:rPr>
            </w:pPr>
            <w:r>
              <w:rPr>
                <w:b/>
                <w:color w:val="000000" w:themeColor="text1"/>
              </w:rPr>
              <w:t>适用专业</w:t>
            </w:r>
            <w:r>
              <w:rPr>
                <w:color w:val="000000" w:themeColor="text1"/>
              </w:rPr>
              <w:t>：设施农业科学与工程</w:t>
            </w:r>
          </w:p>
        </w:tc>
      </w:tr>
      <w:tr w:rsidR="00F5289E" w14:paraId="5D552248" w14:textId="77777777">
        <w:trPr>
          <w:trHeight w:val="435"/>
        </w:trPr>
        <w:tc>
          <w:tcPr>
            <w:tcW w:w="5000" w:type="pct"/>
            <w:gridSpan w:val="3"/>
            <w:vAlign w:val="center"/>
          </w:tcPr>
          <w:p w14:paraId="2266D063" w14:textId="77777777" w:rsidR="00F5289E" w:rsidRDefault="00C91173">
            <w:pPr>
              <w:rPr>
                <w:rFonts w:eastAsia="黑体"/>
                <w:color w:val="000000" w:themeColor="text1"/>
              </w:rPr>
            </w:pPr>
            <w:r>
              <w:rPr>
                <w:b/>
                <w:color w:val="000000" w:themeColor="text1"/>
              </w:rPr>
              <w:t>先修课程</w:t>
            </w:r>
            <w:r>
              <w:rPr>
                <w:rFonts w:eastAsia="黑体"/>
                <w:color w:val="000000" w:themeColor="text1"/>
              </w:rPr>
              <w:t>：</w:t>
            </w:r>
            <w:r>
              <w:rPr>
                <w:color w:val="000000" w:themeColor="text1"/>
              </w:rPr>
              <w:t xml:space="preserve"> </w:t>
            </w:r>
            <w:r>
              <w:rPr>
                <w:color w:val="000000" w:themeColor="text1"/>
              </w:rPr>
              <w:t>植物学，植物生理学，土壤学，遗传学</w:t>
            </w:r>
          </w:p>
        </w:tc>
      </w:tr>
      <w:tr w:rsidR="00F5289E" w14:paraId="1CCDD0A5" w14:textId="77777777">
        <w:trPr>
          <w:trHeight w:val="435"/>
        </w:trPr>
        <w:tc>
          <w:tcPr>
            <w:tcW w:w="1666" w:type="pct"/>
            <w:vAlign w:val="center"/>
          </w:tcPr>
          <w:p w14:paraId="26110677" w14:textId="77777777" w:rsidR="00F5289E" w:rsidRDefault="00C91173">
            <w:pPr>
              <w:rPr>
                <w:color w:val="000000" w:themeColor="text1"/>
              </w:rPr>
            </w:pPr>
            <w:r>
              <w:rPr>
                <w:b/>
                <w:color w:val="000000" w:themeColor="text1"/>
              </w:rPr>
              <w:t>主撰人</w:t>
            </w:r>
            <w:r>
              <w:rPr>
                <w:color w:val="000000" w:themeColor="text1"/>
              </w:rPr>
              <w:t>：</w:t>
            </w:r>
            <w:r>
              <w:rPr>
                <w:b/>
                <w:bCs/>
                <w:color w:val="000000" w:themeColor="text1"/>
              </w:rPr>
              <w:t>豆峻岭，王永</w:t>
            </w:r>
          </w:p>
        </w:tc>
        <w:tc>
          <w:tcPr>
            <w:tcW w:w="1453" w:type="pct"/>
            <w:vAlign w:val="center"/>
          </w:tcPr>
          <w:p w14:paraId="7631C2B1" w14:textId="77777777" w:rsidR="00F5289E" w:rsidRDefault="00C91173">
            <w:pPr>
              <w:rPr>
                <w:rFonts w:eastAsia="黑体"/>
                <w:color w:val="000000" w:themeColor="text1"/>
              </w:rPr>
            </w:pPr>
            <w:r>
              <w:rPr>
                <w:b/>
                <w:color w:val="000000" w:themeColor="text1"/>
              </w:rPr>
              <w:t>审核人</w:t>
            </w:r>
            <w:r>
              <w:rPr>
                <w:color w:val="000000" w:themeColor="text1"/>
              </w:rPr>
              <w:t>：</w:t>
            </w:r>
            <w:r>
              <w:rPr>
                <w:rFonts w:eastAsia="黑体"/>
                <w:color w:val="000000" w:themeColor="text1"/>
              </w:rPr>
              <w:t xml:space="preserve"> </w:t>
            </w:r>
            <w:r>
              <w:rPr>
                <w:rFonts w:eastAsia="黑体"/>
                <w:color w:val="000000" w:themeColor="text1"/>
              </w:rPr>
              <w:t>薛东齐</w:t>
            </w:r>
          </w:p>
        </w:tc>
        <w:tc>
          <w:tcPr>
            <w:tcW w:w="1881" w:type="pct"/>
            <w:vAlign w:val="center"/>
          </w:tcPr>
          <w:p w14:paraId="6E06FABB" w14:textId="77777777" w:rsidR="00F5289E" w:rsidRDefault="00C91173">
            <w:pPr>
              <w:rPr>
                <w:color w:val="000000" w:themeColor="text1"/>
              </w:rPr>
            </w:pPr>
            <w:r>
              <w:rPr>
                <w:b/>
                <w:color w:val="000000" w:themeColor="text1"/>
              </w:rPr>
              <w:t>大纲制定（修订）日期</w:t>
            </w:r>
            <w:r>
              <w:rPr>
                <w:color w:val="000000" w:themeColor="text1"/>
              </w:rPr>
              <w:t>：</w:t>
            </w:r>
            <w:r>
              <w:rPr>
                <w:color w:val="000000" w:themeColor="text1"/>
              </w:rPr>
              <w:t>2023</w:t>
            </w:r>
            <w:r>
              <w:rPr>
                <w:color w:val="000000" w:themeColor="text1"/>
              </w:rPr>
              <w:t>年</w:t>
            </w:r>
            <w:r>
              <w:rPr>
                <w:rFonts w:eastAsia="黑体"/>
                <w:color w:val="000000" w:themeColor="text1"/>
              </w:rPr>
              <w:t xml:space="preserve"> </w:t>
            </w:r>
          </w:p>
        </w:tc>
      </w:tr>
    </w:tbl>
    <w:p w14:paraId="1ECA1566" w14:textId="77777777" w:rsidR="00F5289E" w:rsidRDefault="00C91173">
      <w:pPr>
        <w:widowControl/>
        <w:spacing w:line="360" w:lineRule="auto"/>
        <w:ind w:firstLineChars="200" w:firstLine="422"/>
        <w:jc w:val="left"/>
        <w:rPr>
          <w:b/>
          <w:color w:val="000000" w:themeColor="text1"/>
          <w:kern w:val="0"/>
          <w:szCs w:val="21"/>
        </w:rPr>
      </w:pPr>
      <w:r>
        <w:rPr>
          <w:b/>
          <w:color w:val="000000" w:themeColor="text1"/>
          <w:kern w:val="0"/>
          <w:szCs w:val="21"/>
        </w:rPr>
        <w:t>1.</w:t>
      </w:r>
      <w:r>
        <w:rPr>
          <w:b/>
          <w:color w:val="000000" w:themeColor="text1"/>
          <w:kern w:val="0"/>
          <w:szCs w:val="21"/>
        </w:rPr>
        <w:t>课程简介</w:t>
      </w:r>
    </w:p>
    <w:p w14:paraId="49A39A29"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bCs/>
          <w:color w:val="000000" w:themeColor="text1"/>
          <w:szCs w:val="21"/>
        </w:rPr>
        <w:t>通过设施花卉栽培学理论教学，在掌握设施花卉栽培学的基本理论、基本知识的基础上，进行花卉栽培学的实习，通过实验要求能够识别花卉种类及常见品种，熟悉各类花卉的生物学特性和生态学习性，掌握花卉的繁殖栽培方法，为花卉在园林中应用和实现花卉产业化奠定理论和技术基础。</w:t>
      </w:r>
    </w:p>
    <w:p w14:paraId="245DE1E6" w14:textId="77777777" w:rsidR="00F5289E" w:rsidRDefault="00C91173">
      <w:pPr>
        <w:spacing w:line="360" w:lineRule="auto"/>
        <w:ind w:firstLineChars="200" w:firstLine="422"/>
        <w:rPr>
          <w:b/>
          <w:color w:val="000000" w:themeColor="text1"/>
          <w:szCs w:val="21"/>
        </w:rPr>
      </w:pPr>
      <w:r>
        <w:rPr>
          <w:b/>
          <w:color w:val="000000" w:themeColor="text1"/>
          <w:szCs w:val="21"/>
        </w:rPr>
        <w:t>2.</w:t>
      </w:r>
      <w:r>
        <w:rPr>
          <w:b/>
          <w:color w:val="000000" w:themeColor="text1"/>
          <w:szCs w:val="21"/>
        </w:rPr>
        <w:t>课程劳动教育</w:t>
      </w:r>
    </w:p>
    <w:p w14:paraId="40B00793" w14:textId="77777777" w:rsidR="00F5289E" w:rsidRDefault="00C91173">
      <w:pPr>
        <w:spacing w:line="360" w:lineRule="auto"/>
        <w:ind w:firstLineChars="200" w:firstLine="420"/>
        <w:rPr>
          <w:color w:val="000000" w:themeColor="text1"/>
          <w:szCs w:val="21"/>
        </w:rPr>
      </w:pPr>
      <w:r>
        <w:rPr>
          <w:color w:val="000000" w:themeColor="text1"/>
          <w:szCs w:val="21"/>
        </w:rPr>
        <w:t>设施花卉栽培学课程秉持</w:t>
      </w:r>
      <w:r>
        <w:rPr>
          <w:color w:val="000000" w:themeColor="text1"/>
          <w:szCs w:val="21"/>
        </w:rPr>
        <w:t>“</w:t>
      </w:r>
      <w:r>
        <w:rPr>
          <w:color w:val="000000" w:themeColor="text1"/>
          <w:szCs w:val="21"/>
        </w:rPr>
        <w:t>勤读力耕、立己达人</w:t>
      </w:r>
      <w:r>
        <w:rPr>
          <w:color w:val="000000" w:themeColor="text1"/>
          <w:szCs w:val="21"/>
        </w:rPr>
        <w:t>”</w:t>
      </w:r>
      <w:r>
        <w:rPr>
          <w:color w:val="000000" w:themeColor="text1"/>
          <w:szCs w:val="21"/>
        </w:rPr>
        <w:t>精神，结合国家发展、</w:t>
      </w:r>
      <w:r>
        <w:rPr>
          <w:color w:val="000000" w:themeColor="text1"/>
          <w:szCs w:val="21"/>
        </w:rPr>
        <w:t>“</w:t>
      </w:r>
      <w:r>
        <w:rPr>
          <w:color w:val="000000" w:themeColor="text1"/>
          <w:szCs w:val="21"/>
        </w:rPr>
        <w:t>三农发展</w:t>
      </w:r>
      <w:r>
        <w:rPr>
          <w:color w:val="000000" w:themeColor="text1"/>
          <w:szCs w:val="21"/>
        </w:rPr>
        <w:t>”</w:t>
      </w:r>
      <w:r>
        <w:rPr>
          <w:color w:val="000000" w:themeColor="text1"/>
          <w:szCs w:val="21"/>
        </w:rPr>
        <w:t>和专业特色一方面，安排学生到河南农业大学耕读教育实践基地，进行月季整形和管理，通过</w:t>
      </w:r>
      <w:r>
        <w:rPr>
          <w:color w:val="000000" w:themeColor="text1"/>
          <w:szCs w:val="21"/>
        </w:rPr>
        <w:t>“</w:t>
      </w:r>
      <w:r>
        <w:rPr>
          <w:color w:val="000000" w:themeColor="text1"/>
          <w:szCs w:val="21"/>
        </w:rPr>
        <w:t>一人一树</w:t>
      </w:r>
      <w:r>
        <w:rPr>
          <w:color w:val="000000" w:themeColor="text1"/>
          <w:szCs w:val="21"/>
        </w:rPr>
        <w:t>”“</w:t>
      </w:r>
      <w:r>
        <w:rPr>
          <w:color w:val="000000" w:themeColor="text1"/>
          <w:szCs w:val="21"/>
        </w:rPr>
        <w:t>一人一花</w:t>
      </w:r>
      <w:r>
        <w:rPr>
          <w:color w:val="000000" w:themeColor="text1"/>
          <w:szCs w:val="21"/>
        </w:rPr>
        <w:t>”“</w:t>
      </w:r>
      <w:r>
        <w:rPr>
          <w:color w:val="000000" w:themeColor="text1"/>
          <w:szCs w:val="21"/>
        </w:rPr>
        <w:t>包干到人</w:t>
      </w:r>
      <w:r>
        <w:rPr>
          <w:color w:val="000000" w:themeColor="text1"/>
          <w:szCs w:val="21"/>
        </w:rPr>
        <w:t>”</w:t>
      </w:r>
      <w:r>
        <w:rPr>
          <w:color w:val="000000" w:themeColor="text1"/>
          <w:szCs w:val="21"/>
        </w:rPr>
        <w:t>的方式，积极引导学生在劳动中结合所学专业深度思考、大胆创新；另一方面，安排学生到开放性公园、植物园、</w:t>
      </w:r>
      <w:r>
        <w:rPr>
          <w:bCs/>
          <w:color w:val="000000" w:themeColor="text1"/>
          <w:szCs w:val="21"/>
        </w:rPr>
        <w:t>花卉产业园区和科研单位等地，实地调研考察和学习花卉的应用和生产栽培技术，了解花农和花卉产业。</w:t>
      </w:r>
      <w:r>
        <w:rPr>
          <w:color w:val="000000" w:themeColor="text1"/>
          <w:szCs w:val="21"/>
        </w:rPr>
        <w:t>利用一系列的技能学习和实践活动，提高学生深度分析</w:t>
      </w:r>
      <w:r>
        <w:rPr>
          <w:color w:val="000000" w:themeColor="text1"/>
          <w:szCs w:val="21"/>
        </w:rPr>
        <w:t>“</w:t>
      </w:r>
      <w:r>
        <w:rPr>
          <w:color w:val="000000" w:themeColor="text1"/>
          <w:szCs w:val="21"/>
        </w:rPr>
        <w:t>三农</w:t>
      </w:r>
      <w:r>
        <w:rPr>
          <w:color w:val="000000" w:themeColor="text1"/>
          <w:szCs w:val="21"/>
        </w:rPr>
        <w:t>”</w:t>
      </w:r>
      <w:r>
        <w:rPr>
          <w:color w:val="000000" w:themeColor="text1"/>
          <w:szCs w:val="21"/>
        </w:rPr>
        <w:t>的能力，引导学生知农爱农、强农兴农。课程劳动教育学时可由实践过程学时进行抵消。</w:t>
      </w:r>
    </w:p>
    <w:p w14:paraId="3C1F7622" w14:textId="77777777" w:rsidR="00F5289E" w:rsidRDefault="00C91173">
      <w:pPr>
        <w:spacing w:line="360" w:lineRule="auto"/>
        <w:ind w:firstLineChars="200" w:firstLine="422"/>
        <w:rPr>
          <w:b/>
          <w:color w:val="000000" w:themeColor="text1"/>
          <w:szCs w:val="21"/>
        </w:rPr>
      </w:pPr>
      <w:r>
        <w:rPr>
          <w:b/>
          <w:color w:val="000000" w:themeColor="text1"/>
          <w:szCs w:val="21"/>
        </w:rPr>
        <w:t>3</w:t>
      </w:r>
      <w:r>
        <w:rPr>
          <w:b/>
          <w:color w:val="000000" w:themeColor="text1"/>
          <w:kern w:val="0"/>
          <w:szCs w:val="21"/>
        </w:rPr>
        <w:t>.</w:t>
      </w:r>
      <w:r>
        <w:rPr>
          <w:b/>
          <w:color w:val="000000" w:themeColor="text1"/>
          <w:szCs w:val="21"/>
        </w:rPr>
        <w:t>实习目的和要求</w:t>
      </w:r>
    </w:p>
    <w:p w14:paraId="1E03C720" w14:textId="77777777" w:rsidR="00F5289E" w:rsidRDefault="00C91173">
      <w:pPr>
        <w:spacing w:line="360" w:lineRule="auto"/>
        <w:ind w:firstLineChars="200" w:firstLine="420"/>
        <w:rPr>
          <w:bCs/>
          <w:color w:val="000000" w:themeColor="text1"/>
          <w:szCs w:val="21"/>
        </w:rPr>
      </w:pPr>
      <w:r>
        <w:rPr>
          <w:bCs/>
          <w:color w:val="000000" w:themeColor="text1"/>
          <w:szCs w:val="21"/>
        </w:rPr>
        <w:t>设施花卉栽培学实习，目的是让学生走出校门，在公园、植物园、花卉产业园区和科研单位等地，通过实地观察、实地调查、听取介绍和实践操作等形式，将所学的理论知识与生产实际有机结合，更好的了解不同类别花卉的生长习性、栽培特点、应用形式以及产业问题等，达到学以致用的目的，同时培养学生调查研究、发现问题、分析问题和解决问题的能力，激发学生学习的自觉性，培养学生的学习兴趣，使学生更加热爱自己的专业。</w:t>
      </w:r>
    </w:p>
    <w:p w14:paraId="11FAE920" w14:textId="77777777" w:rsidR="00F5289E" w:rsidRDefault="00C91173">
      <w:pPr>
        <w:spacing w:line="360" w:lineRule="auto"/>
        <w:ind w:firstLineChars="200" w:firstLine="420"/>
        <w:rPr>
          <w:bCs/>
          <w:color w:val="000000" w:themeColor="text1"/>
          <w:szCs w:val="21"/>
        </w:rPr>
      </w:pPr>
      <w:r>
        <w:rPr>
          <w:bCs/>
          <w:color w:val="000000" w:themeColor="text1"/>
          <w:szCs w:val="21"/>
        </w:rPr>
        <w:t>课程实习要求学生必须服从指导教师的安排，严格遵守各项纪律，全程参加课程实习的每一个环节。实习过程中，学生必须做好实习笔记，认真观察和记载，结合实际，综合运用所学知识评价和分析不同类别花卉在实际生产和应用中存在的问题并提出合理有效的解决方案，同时要尊重基层技术人员和花农的劳动成果，严禁随意摘花。实习结束后，要求学生及时进行总结并根据实习教学内容认真撰写实习报告。</w:t>
      </w:r>
    </w:p>
    <w:p w14:paraId="61CE2393" w14:textId="77777777" w:rsidR="00F5289E" w:rsidRDefault="00C91173">
      <w:pPr>
        <w:spacing w:line="360" w:lineRule="auto"/>
        <w:ind w:firstLineChars="200" w:firstLine="422"/>
        <w:rPr>
          <w:b/>
          <w:color w:val="000000" w:themeColor="text1"/>
          <w:szCs w:val="21"/>
        </w:rPr>
      </w:pPr>
      <w:r>
        <w:rPr>
          <w:b/>
          <w:color w:val="000000" w:themeColor="text1"/>
          <w:szCs w:val="21"/>
        </w:rPr>
        <w:t>4</w:t>
      </w:r>
      <w:r>
        <w:rPr>
          <w:b/>
          <w:color w:val="000000" w:themeColor="text1"/>
          <w:kern w:val="0"/>
          <w:szCs w:val="21"/>
        </w:rPr>
        <w:t>.</w:t>
      </w:r>
      <w:r>
        <w:rPr>
          <w:b/>
          <w:color w:val="000000" w:themeColor="text1"/>
          <w:szCs w:val="21"/>
        </w:rPr>
        <w:t>实习地点及内容</w:t>
      </w:r>
    </w:p>
    <w:p w14:paraId="3C37AC06" w14:textId="77777777" w:rsidR="00F5289E" w:rsidRDefault="00C91173">
      <w:pPr>
        <w:tabs>
          <w:tab w:val="left" w:pos="3720"/>
          <w:tab w:val="left" w:pos="3780"/>
          <w:tab w:val="left" w:pos="4305"/>
        </w:tabs>
        <w:adjustRightInd w:val="0"/>
        <w:snapToGrid w:val="0"/>
        <w:spacing w:line="360" w:lineRule="auto"/>
        <w:ind w:firstLineChars="200" w:firstLine="422"/>
        <w:rPr>
          <w:bCs/>
          <w:color w:val="000000" w:themeColor="text1"/>
          <w:szCs w:val="21"/>
        </w:rPr>
      </w:pPr>
      <w:r>
        <w:rPr>
          <w:b/>
          <w:color w:val="000000" w:themeColor="text1"/>
          <w:szCs w:val="21"/>
        </w:rPr>
        <w:t>（</w:t>
      </w:r>
      <w:r>
        <w:rPr>
          <w:b/>
          <w:color w:val="000000" w:themeColor="text1"/>
          <w:szCs w:val="21"/>
        </w:rPr>
        <w:t>1</w:t>
      </w:r>
      <w:r>
        <w:rPr>
          <w:b/>
          <w:color w:val="000000" w:themeColor="text1"/>
          <w:szCs w:val="21"/>
        </w:rPr>
        <w:t>）</w:t>
      </w:r>
      <w:r>
        <w:rPr>
          <w:b/>
          <w:bCs/>
          <w:color w:val="000000" w:themeColor="text1"/>
          <w:szCs w:val="21"/>
        </w:rPr>
        <w:t>实习</w:t>
      </w:r>
      <w:r>
        <w:rPr>
          <w:b/>
          <w:color w:val="000000" w:themeColor="text1"/>
          <w:szCs w:val="21"/>
        </w:rPr>
        <w:t>地点：</w:t>
      </w:r>
    </w:p>
    <w:p w14:paraId="3ECF320E"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河南农业大学耕读教育实践基地、开封市龙亭公园、开封市天波杨府公园、开封市清明上河</w:t>
      </w:r>
      <w:r>
        <w:rPr>
          <w:color w:val="000000" w:themeColor="text1"/>
          <w:szCs w:val="21"/>
        </w:rPr>
        <w:lastRenderedPageBreak/>
        <w:t>园、开封市铁塔公园、郑州植物园、鄢陵建业绿色基地、河南景逸花卉园艺基地、郑东花卉市场、郑州双桥花卉市场、郑州市林业科技示范中心、郑州月季法桐种质资源及园林科研基地、郑州月季公园、郑州绿博园、郑州北龙湖湿地公园、郑州西流湖公园、郑州龙子湖公园。</w:t>
      </w:r>
    </w:p>
    <w:p w14:paraId="2DC00EB1" w14:textId="77777777" w:rsidR="00F5289E" w:rsidRDefault="00C91173">
      <w:pPr>
        <w:tabs>
          <w:tab w:val="left" w:pos="3720"/>
          <w:tab w:val="left" w:pos="3780"/>
          <w:tab w:val="left" w:pos="4305"/>
        </w:tabs>
        <w:adjustRightInd w:val="0"/>
        <w:snapToGrid w:val="0"/>
        <w:spacing w:line="360" w:lineRule="auto"/>
        <w:ind w:firstLineChars="200" w:firstLine="422"/>
        <w:rPr>
          <w:color w:val="000000" w:themeColor="text1"/>
          <w:szCs w:val="21"/>
        </w:rPr>
      </w:pPr>
      <w:r>
        <w:rPr>
          <w:b/>
          <w:color w:val="000000" w:themeColor="text1"/>
          <w:szCs w:val="21"/>
        </w:rPr>
        <w:t>（</w:t>
      </w:r>
      <w:r>
        <w:rPr>
          <w:b/>
          <w:color w:val="000000" w:themeColor="text1"/>
          <w:szCs w:val="21"/>
        </w:rPr>
        <w:t>2</w:t>
      </w:r>
      <w:r>
        <w:rPr>
          <w:b/>
          <w:color w:val="000000" w:themeColor="text1"/>
          <w:szCs w:val="21"/>
        </w:rPr>
        <w:t>）</w:t>
      </w:r>
      <w:r>
        <w:rPr>
          <w:b/>
          <w:bCs/>
          <w:color w:val="000000" w:themeColor="text1"/>
          <w:szCs w:val="21"/>
        </w:rPr>
        <w:t>实习内容：</w:t>
      </w:r>
      <w:r>
        <w:rPr>
          <w:bCs/>
          <w:color w:val="000000" w:themeColor="text1"/>
          <w:szCs w:val="21"/>
        </w:rPr>
        <w:t>（宋体五号字，</w:t>
      </w:r>
      <w:r>
        <w:rPr>
          <w:color w:val="000000" w:themeColor="text1"/>
          <w:szCs w:val="21"/>
        </w:rPr>
        <w:t>1.5</w:t>
      </w:r>
      <w:r>
        <w:rPr>
          <w:color w:val="000000" w:themeColor="text1"/>
          <w:szCs w:val="21"/>
        </w:rPr>
        <w:t>倍行距）</w:t>
      </w:r>
    </w:p>
    <w:p w14:paraId="3C005A58"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1.</w:t>
      </w:r>
      <w:r>
        <w:rPr>
          <w:color w:val="000000" w:themeColor="text1"/>
          <w:szCs w:val="21"/>
        </w:rPr>
        <w:t>了解并识别不同种类花卉的形态特征。</w:t>
      </w:r>
    </w:p>
    <w:p w14:paraId="7496A4BA"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2.</w:t>
      </w:r>
      <w:r>
        <w:rPr>
          <w:color w:val="000000" w:themeColor="text1"/>
          <w:szCs w:val="21"/>
        </w:rPr>
        <w:t>了解不同花卉的生长习性、观赏及应用特点。</w:t>
      </w:r>
    </w:p>
    <w:p w14:paraId="523A6DB4"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3.</w:t>
      </w:r>
      <w:r>
        <w:rPr>
          <w:color w:val="000000" w:themeColor="text1"/>
          <w:szCs w:val="21"/>
        </w:rPr>
        <w:t>了解菊花的种类及其在中国的栽培发展历史和文化内涵。</w:t>
      </w:r>
    </w:p>
    <w:p w14:paraId="268F6F3B"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4.</w:t>
      </w:r>
      <w:r>
        <w:rPr>
          <w:color w:val="000000" w:themeColor="text1"/>
          <w:szCs w:val="21"/>
        </w:rPr>
        <w:t>了解菊花的造型艺术以及栽培管理技术。</w:t>
      </w:r>
    </w:p>
    <w:p w14:paraId="67AADFEE"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5.</w:t>
      </w:r>
      <w:r>
        <w:rPr>
          <w:color w:val="000000" w:themeColor="text1"/>
          <w:szCs w:val="21"/>
        </w:rPr>
        <w:t>了解月季的种类及其在中国的起源和发展史。</w:t>
      </w:r>
    </w:p>
    <w:p w14:paraId="215DA1D4"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6.</w:t>
      </w:r>
      <w:r>
        <w:rPr>
          <w:color w:val="000000" w:themeColor="text1"/>
          <w:szCs w:val="21"/>
        </w:rPr>
        <w:t>了解月季的嫁接、扦插、修剪及栽培管理技术。</w:t>
      </w:r>
    </w:p>
    <w:p w14:paraId="2015F8DE"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7.</w:t>
      </w:r>
      <w:r>
        <w:rPr>
          <w:color w:val="000000" w:themeColor="text1"/>
          <w:szCs w:val="21"/>
        </w:rPr>
        <w:t>了解红掌、盆栽木槿等切花及盆花的生产栽培管理技术及生产上存在的问题。</w:t>
      </w:r>
    </w:p>
    <w:p w14:paraId="05F90EA1" w14:textId="77777777" w:rsidR="00F5289E" w:rsidRDefault="00C91173">
      <w:pPr>
        <w:spacing w:line="360" w:lineRule="auto"/>
        <w:ind w:firstLineChars="200" w:firstLine="422"/>
        <w:rPr>
          <w:b/>
          <w:color w:val="000000" w:themeColor="text1"/>
          <w:szCs w:val="21"/>
        </w:rPr>
      </w:pPr>
      <w:r>
        <w:rPr>
          <w:b/>
          <w:color w:val="000000" w:themeColor="text1"/>
          <w:szCs w:val="21"/>
        </w:rPr>
        <w:t>5</w:t>
      </w:r>
      <w:r>
        <w:rPr>
          <w:b/>
          <w:color w:val="000000" w:themeColor="text1"/>
          <w:kern w:val="0"/>
          <w:szCs w:val="21"/>
        </w:rPr>
        <w:t>.</w:t>
      </w:r>
      <w:r>
        <w:rPr>
          <w:b/>
          <w:color w:val="000000" w:themeColor="text1"/>
          <w:szCs w:val="21"/>
        </w:rPr>
        <w:t>实习时间安排</w:t>
      </w:r>
      <w:r>
        <w:rPr>
          <w:bCs/>
          <w:color w:val="000000" w:themeColor="text1"/>
          <w:szCs w:val="21"/>
        </w:rPr>
        <w:t>（首行缩进</w:t>
      </w:r>
      <w:r>
        <w:rPr>
          <w:bCs/>
          <w:color w:val="000000" w:themeColor="text1"/>
          <w:szCs w:val="21"/>
        </w:rPr>
        <w:t>2</w:t>
      </w:r>
      <w:r>
        <w:rPr>
          <w:bCs/>
          <w:color w:val="000000" w:themeColor="text1"/>
          <w:szCs w:val="21"/>
        </w:rPr>
        <w:t>字符，宋体五号字，</w:t>
      </w:r>
      <w:r>
        <w:rPr>
          <w:color w:val="000000" w:themeColor="text1"/>
          <w:szCs w:val="21"/>
        </w:rPr>
        <w:t>1.5</w:t>
      </w:r>
      <w:r>
        <w:rPr>
          <w:color w:val="000000" w:themeColor="text1"/>
          <w:szCs w:val="21"/>
        </w:rPr>
        <w:t>倍行距）</w:t>
      </w:r>
    </w:p>
    <w:p w14:paraId="3EB2EFE2"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1.</w:t>
      </w:r>
      <w:r>
        <w:rPr>
          <w:color w:val="000000" w:themeColor="text1"/>
          <w:szCs w:val="21"/>
        </w:rPr>
        <w:t>花卉产业园参观和调查，时间</w:t>
      </w:r>
      <w:r>
        <w:rPr>
          <w:color w:val="000000" w:themeColor="text1"/>
          <w:szCs w:val="21"/>
        </w:rPr>
        <w:t>1</w:t>
      </w:r>
      <w:r>
        <w:rPr>
          <w:color w:val="000000" w:themeColor="text1"/>
          <w:szCs w:val="21"/>
        </w:rPr>
        <w:t>天。</w:t>
      </w:r>
    </w:p>
    <w:p w14:paraId="71A9902F"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2.</w:t>
      </w:r>
      <w:r>
        <w:rPr>
          <w:color w:val="000000" w:themeColor="text1"/>
          <w:szCs w:val="21"/>
        </w:rPr>
        <w:t>花卉科研基地参观和调查，时间</w:t>
      </w:r>
      <w:r>
        <w:rPr>
          <w:color w:val="000000" w:themeColor="text1"/>
          <w:szCs w:val="21"/>
        </w:rPr>
        <w:t>1</w:t>
      </w:r>
      <w:r>
        <w:rPr>
          <w:color w:val="000000" w:themeColor="text1"/>
          <w:szCs w:val="21"/>
        </w:rPr>
        <w:t>天。</w:t>
      </w:r>
    </w:p>
    <w:p w14:paraId="110D482C"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color w:val="000000" w:themeColor="text1"/>
          <w:szCs w:val="21"/>
        </w:rPr>
        <w:t>3.</w:t>
      </w:r>
      <w:r>
        <w:rPr>
          <w:color w:val="000000" w:themeColor="text1"/>
          <w:szCs w:val="21"/>
        </w:rPr>
        <w:t>菊花的参观和调查，时间</w:t>
      </w:r>
      <w:r>
        <w:rPr>
          <w:color w:val="000000" w:themeColor="text1"/>
          <w:szCs w:val="21"/>
        </w:rPr>
        <w:t>1</w:t>
      </w:r>
      <w:r>
        <w:rPr>
          <w:color w:val="000000" w:themeColor="text1"/>
          <w:szCs w:val="21"/>
        </w:rPr>
        <w:t>天。</w:t>
      </w:r>
    </w:p>
    <w:p w14:paraId="45968571" w14:textId="77777777" w:rsidR="00F5289E" w:rsidRDefault="00C91173">
      <w:pPr>
        <w:spacing w:line="360" w:lineRule="auto"/>
        <w:ind w:firstLineChars="200" w:firstLine="422"/>
        <w:rPr>
          <w:b/>
          <w:color w:val="000000" w:themeColor="text1"/>
          <w:szCs w:val="21"/>
        </w:rPr>
      </w:pPr>
      <w:r>
        <w:rPr>
          <w:b/>
          <w:color w:val="000000" w:themeColor="text1"/>
          <w:szCs w:val="21"/>
        </w:rPr>
        <w:t>6</w:t>
      </w:r>
      <w:r>
        <w:rPr>
          <w:b/>
          <w:color w:val="000000" w:themeColor="text1"/>
          <w:kern w:val="0"/>
          <w:szCs w:val="21"/>
        </w:rPr>
        <w:t xml:space="preserve">. </w:t>
      </w:r>
      <w:r>
        <w:rPr>
          <w:b/>
          <w:color w:val="000000" w:themeColor="text1"/>
          <w:szCs w:val="21"/>
        </w:rPr>
        <w:t>实习具体要求</w:t>
      </w:r>
    </w:p>
    <w:p w14:paraId="3A8A2880"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每</w:t>
      </w:r>
      <w:r>
        <w:rPr>
          <w:bCs/>
          <w:color w:val="000000" w:themeColor="text1"/>
          <w:szCs w:val="21"/>
        </w:rPr>
        <w:t xml:space="preserve"> 5 </w:t>
      </w:r>
      <w:r>
        <w:rPr>
          <w:bCs/>
          <w:color w:val="000000" w:themeColor="text1"/>
          <w:szCs w:val="21"/>
        </w:rPr>
        <w:t>人为一个实习小组。实习期间要求以小组为单位带好参考书、相机、笔记本，按照指定时间及时到达实习地点集合，排队或乘车进入实习场地。有事请假，不得无故旷课或迟到。路途中注意交通安全。在实习过程中要遵守纪律，听从指挥，遵守有关单位的规章制度，严禁乱采枝叶花草，注意环境卫生。</w:t>
      </w:r>
    </w:p>
    <w:p w14:paraId="61409848"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实习的具体要求包括：</w:t>
      </w:r>
    </w:p>
    <w:p w14:paraId="061EDD93"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1</w:t>
      </w:r>
      <w:r>
        <w:rPr>
          <w:bCs/>
          <w:color w:val="000000" w:themeColor="text1"/>
          <w:szCs w:val="21"/>
        </w:rPr>
        <w:t>）对菊花品种进行识别，掌握菊花的造型和培管理技术。</w:t>
      </w:r>
    </w:p>
    <w:p w14:paraId="6926F497"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2</w:t>
      </w:r>
      <w:r>
        <w:rPr>
          <w:bCs/>
          <w:color w:val="000000" w:themeColor="text1"/>
          <w:szCs w:val="21"/>
        </w:rPr>
        <w:t>）总结</w:t>
      </w:r>
      <w:r>
        <w:rPr>
          <w:color w:val="000000" w:themeColor="text1"/>
          <w:szCs w:val="21"/>
        </w:rPr>
        <w:t>切花及盆花的生产栽培管理技术及问题，提出解决措施。</w:t>
      </w:r>
    </w:p>
    <w:p w14:paraId="16823ACC"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3</w:t>
      </w:r>
      <w:r>
        <w:rPr>
          <w:bCs/>
          <w:color w:val="000000" w:themeColor="text1"/>
          <w:szCs w:val="21"/>
        </w:rPr>
        <w:t>）识别不同类别花卉，并进行拍照记录，列出植物名录表。</w:t>
      </w:r>
    </w:p>
    <w:p w14:paraId="1D1653D7"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bCs/>
          <w:color w:val="000000" w:themeColor="text1"/>
          <w:szCs w:val="21"/>
        </w:rPr>
        <w:t>（</w:t>
      </w:r>
      <w:r>
        <w:rPr>
          <w:bCs/>
          <w:color w:val="000000" w:themeColor="text1"/>
          <w:szCs w:val="21"/>
        </w:rPr>
        <w:t>4</w:t>
      </w:r>
      <w:r>
        <w:rPr>
          <w:bCs/>
          <w:color w:val="000000" w:themeColor="text1"/>
          <w:szCs w:val="21"/>
        </w:rPr>
        <w:t>）实习结束后进行实习总结，完成实习报告。实习报告应写出学生姓名、班级，实习课程名称、实习时间、地点，实习目的要求；实习报告按照实习具体要求整理。</w:t>
      </w:r>
    </w:p>
    <w:p w14:paraId="7C9B2DA0" w14:textId="77777777" w:rsidR="00F5289E" w:rsidRDefault="00C91173">
      <w:pPr>
        <w:widowControl/>
        <w:spacing w:line="360" w:lineRule="auto"/>
        <w:ind w:firstLineChars="200" w:firstLine="422"/>
        <w:jc w:val="left"/>
        <w:rPr>
          <w:b/>
          <w:color w:val="000000" w:themeColor="text1"/>
          <w:kern w:val="0"/>
          <w:szCs w:val="21"/>
        </w:rPr>
      </w:pPr>
      <w:r>
        <w:rPr>
          <w:b/>
          <w:color w:val="000000" w:themeColor="text1"/>
          <w:szCs w:val="21"/>
        </w:rPr>
        <w:t>7</w:t>
      </w:r>
      <w:r>
        <w:rPr>
          <w:b/>
          <w:color w:val="000000" w:themeColor="text1"/>
          <w:kern w:val="0"/>
          <w:szCs w:val="21"/>
        </w:rPr>
        <w:t xml:space="preserve">. </w:t>
      </w:r>
      <w:r>
        <w:rPr>
          <w:b/>
          <w:color w:val="000000" w:themeColor="text1"/>
          <w:kern w:val="0"/>
          <w:szCs w:val="21"/>
        </w:rPr>
        <w:t>考核方式与成绩评定标准</w:t>
      </w:r>
    </w:p>
    <w:p w14:paraId="6832611D"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bCs/>
          <w:color w:val="000000" w:themeColor="text1"/>
          <w:szCs w:val="21"/>
        </w:rPr>
        <w:t>教学实习以实习期间的考勤（</w:t>
      </w:r>
      <w:r>
        <w:rPr>
          <w:bCs/>
          <w:color w:val="000000" w:themeColor="text1"/>
          <w:szCs w:val="21"/>
        </w:rPr>
        <w:t>20%</w:t>
      </w:r>
      <w:r>
        <w:rPr>
          <w:bCs/>
          <w:color w:val="000000" w:themeColor="text1"/>
          <w:szCs w:val="21"/>
        </w:rPr>
        <w:t>）、互动表现（</w:t>
      </w:r>
      <w:r>
        <w:rPr>
          <w:bCs/>
          <w:color w:val="000000" w:themeColor="text1"/>
          <w:szCs w:val="21"/>
        </w:rPr>
        <w:t>30%</w:t>
      </w:r>
      <w:r>
        <w:rPr>
          <w:bCs/>
          <w:color w:val="000000" w:themeColor="text1"/>
          <w:szCs w:val="21"/>
        </w:rPr>
        <w:t>）以及实习报告（</w:t>
      </w:r>
      <w:r>
        <w:rPr>
          <w:bCs/>
          <w:color w:val="000000" w:themeColor="text1"/>
          <w:szCs w:val="21"/>
        </w:rPr>
        <w:t>50%</w:t>
      </w:r>
      <w:r>
        <w:rPr>
          <w:bCs/>
          <w:color w:val="000000" w:themeColor="text1"/>
          <w:szCs w:val="21"/>
        </w:rPr>
        <w:t>）考核方式进行学生成绩的综合评定，成绩单列。成绩评定根据实习报告确定，分为优秀（</w:t>
      </w:r>
      <w:r>
        <w:rPr>
          <w:bCs/>
          <w:color w:val="000000" w:themeColor="text1"/>
          <w:szCs w:val="21"/>
        </w:rPr>
        <w:t>90~100</w:t>
      </w:r>
      <w:r>
        <w:rPr>
          <w:bCs/>
          <w:color w:val="000000" w:themeColor="text1"/>
          <w:szCs w:val="21"/>
        </w:rPr>
        <w:t>分）、良好（</w:t>
      </w:r>
      <w:r>
        <w:rPr>
          <w:bCs/>
          <w:color w:val="000000" w:themeColor="text1"/>
          <w:szCs w:val="21"/>
        </w:rPr>
        <w:t xml:space="preserve">80~90 </w:t>
      </w:r>
      <w:r>
        <w:rPr>
          <w:bCs/>
          <w:color w:val="000000" w:themeColor="text1"/>
          <w:szCs w:val="21"/>
        </w:rPr>
        <w:t>分）、中等（</w:t>
      </w:r>
      <w:r>
        <w:rPr>
          <w:bCs/>
          <w:color w:val="000000" w:themeColor="text1"/>
          <w:szCs w:val="21"/>
        </w:rPr>
        <w:t xml:space="preserve">70~80 </w:t>
      </w:r>
      <w:r>
        <w:rPr>
          <w:bCs/>
          <w:color w:val="000000" w:themeColor="text1"/>
          <w:szCs w:val="21"/>
        </w:rPr>
        <w:t>分）、及格（</w:t>
      </w:r>
      <w:r>
        <w:rPr>
          <w:bCs/>
          <w:color w:val="000000" w:themeColor="text1"/>
          <w:szCs w:val="21"/>
        </w:rPr>
        <w:t xml:space="preserve">60~70 </w:t>
      </w:r>
      <w:r>
        <w:rPr>
          <w:bCs/>
          <w:color w:val="000000" w:themeColor="text1"/>
          <w:szCs w:val="21"/>
        </w:rPr>
        <w:t>分）和不及格（</w:t>
      </w:r>
      <w:r>
        <w:rPr>
          <w:bCs/>
          <w:color w:val="000000" w:themeColor="text1"/>
          <w:szCs w:val="21"/>
        </w:rPr>
        <w:t xml:space="preserve">60 </w:t>
      </w:r>
      <w:r>
        <w:rPr>
          <w:bCs/>
          <w:color w:val="000000" w:themeColor="text1"/>
          <w:szCs w:val="21"/>
        </w:rPr>
        <w:t>分以下）五个等次。</w:t>
      </w:r>
    </w:p>
    <w:p w14:paraId="6FC47777" w14:textId="77777777" w:rsidR="00F5289E" w:rsidRDefault="00C91173">
      <w:pPr>
        <w:widowControl/>
        <w:spacing w:line="360" w:lineRule="auto"/>
        <w:ind w:firstLineChars="200" w:firstLine="422"/>
        <w:jc w:val="left"/>
        <w:rPr>
          <w:b/>
          <w:color w:val="000000" w:themeColor="text1"/>
          <w:kern w:val="0"/>
          <w:szCs w:val="21"/>
        </w:rPr>
      </w:pPr>
      <w:r>
        <w:rPr>
          <w:b/>
          <w:color w:val="000000" w:themeColor="text1"/>
          <w:kern w:val="0"/>
          <w:szCs w:val="21"/>
        </w:rPr>
        <w:t xml:space="preserve">8. </w:t>
      </w:r>
      <w:r>
        <w:rPr>
          <w:b/>
          <w:color w:val="000000" w:themeColor="text1"/>
          <w:kern w:val="0"/>
          <w:szCs w:val="21"/>
        </w:rPr>
        <w:t>教材及主要参考资料</w:t>
      </w:r>
    </w:p>
    <w:p w14:paraId="5F27F994"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1</w:t>
      </w:r>
      <w:r>
        <w:rPr>
          <w:bCs/>
          <w:color w:val="000000" w:themeColor="text1"/>
          <w:szCs w:val="21"/>
        </w:rPr>
        <w:t>）《园林花卉学（第三版）》刘燕主编，中国林业出版社，</w:t>
      </w:r>
      <w:r>
        <w:rPr>
          <w:bCs/>
          <w:color w:val="000000" w:themeColor="text1"/>
          <w:szCs w:val="21"/>
        </w:rPr>
        <w:t>2019</w:t>
      </w:r>
      <w:r>
        <w:rPr>
          <w:bCs/>
          <w:color w:val="000000" w:themeColor="text1"/>
          <w:szCs w:val="21"/>
        </w:rPr>
        <w:t>年</w:t>
      </w:r>
    </w:p>
    <w:p w14:paraId="1B9E8B98"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2</w:t>
      </w:r>
      <w:r>
        <w:rPr>
          <w:bCs/>
          <w:color w:val="000000" w:themeColor="text1"/>
          <w:szCs w:val="21"/>
        </w:rPr>
        <w:t>）《</w:t>
      </w:r>
      <w:r>
        <w:rPr>
          <w:bCs/>
          <w:color w:val="000000" w:themeColor="text1"/>
          <w:szCs w:val="21"/>
        </w:rPr>
        <w:t>Floriculture: Principles and Species</w:t>
      </w:r>
      <w:r>
        <w:rPr>
          <w:bCs/>
          <w:color w:val="000000" w:themeColor="text1"/>
          <w:szCs w:val="21"/>
        </w:rPr>
        <w:t>》，</w:t>
      </w:r>
      <w:r>
        <w:rPr>
          <w:bCs/>
          <w:color w:val="000000" w:themeColor="text1"/>
          <w:szCs w:val="21"/>
        </w:rPr>
        <w:t>John M Dole</w:t>
      </w:r>
      <w:r>
        <w:rPr>
          <w:bCs/>
          <w:color w:val="000000" w:themeColor="text1"/>
          <w:szCs w:val="21"/>
        </w:rPr>
        <w:t>主编，</w:t>
      </w:r>
      <w:r>
        <w:rPr>
          <w:bCs/>
          <w:color w:val="000000" w:themeColor="text1"/>
          <w:szCs w:val="21"/>
        </w:rPr>
        <w:t>Pearson</w:t>
      </w:r>
      <w:r>
        <w:rPr>
          <w:bCs/>
          <w:color w:val="000000" w:themeColor="text1"/>
          <w:szCs w:val="21"/>
        </w:rPr>
        <w:t>，</w:t>
      </w:r>
      <w:r>
        <w:rPr>
          <w:bCs/>
          <w:color w:val="000000" w:themeColor="text1"/>
          <w:szCs w:val="21"/>
        </w:rPr>
        <w:t>2004</w:t>
      </w:r>
      <w:r>
        <w:rPr>
          <w:bCs/>
          <w:color w:val="000000" w:themeColor="text1"/>
          <w:szCs w:val="21"/>
        </w:rPr>
        <w:t>年</w:t>
      </w:r>
    </w:p>
    <w:p w14:paraId="2C5DFE1E"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lastRenderedPageBreak/>
        <w:t>（</w:t>
      </w:r>
      <w:r>
        <w:rPr>
          <w:bCs/>
          <w:color w:val="000000" w:themeColor="text1"/>
          <w:szCs w:val="21"/>
        </w:rPr>
        <w:t>3</w:t>
      </w:r>
      <w:r>
        <w:rPr>
          <w:bCs/>
          <w:color w:val="000000" w:themeColor="text1"/>
          <w:szCs w:val="21"/>
        </w:rPr>
        <w:t>）《中国花经》陈俊愉、程绪珂主编，上海文化出版社，</w:t>
      </w:r>
      <w:r>
        <w:rPr>
          <w:bCs/>
          <w:color w:val="000000" w:themeColor="text1"/>
          <w:szCs w:val="21"/>
        </w:rPr>
        <w:t>1990</w:t>
      </w:r>
      <w:r>
        <w:rPr>
          <w:bCs/>
          <w:color w:val="000000" w:themeColor="text1"/>
          <w:szCs w:val="21"/>
        </w:rPr>
        <w:t>年</w:t>
      </w:r>
    </w:p>
    <w:p w14:paraId="2CEA8BB5"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4</w:t>
      </w:r>
      <w:r>
        <w:rPr>
          <w:bCs/>
          <w:color w:val="000000" w:themeColor="text1"/>
          <w:szCs w:val="21"/>
        </w:rPr>
        <w:t>）《园林花卉》陈俊愉、刘师汉等编，上海科技出版社，</w:t>
      </w:r>
      <w:r>
        <w:rPr>
          <w:bCs/>
          <w:color w:val="000000" w:themeColor="text1"/>
          <w:szCs w:val="21"/>
        </w:rPr>
        <w:t>1994</w:t>
      </w:r>
      <w:r>
        <w:rPr>
          <w:bCs/>
          <w:color w:val="000000" w:themeColor="text1"/>
          <w:szCs w:val="21"/>
        </w:rPr>
        <w:t>年</w:t>
      </w:r>
    </w:p>
    <w:p w14:paraId="3CFE6B2E" w14:textId="77777777" w:rsidR="00F5289E" w:rsidRDefault="00C91173">
      <w:pPr>
        <w:tabs>
          <w:tab w:val="left" w:pos="3720"/>
          <w:tab w:val="left" w:pos="3780"/>
          <w:tab w:val="left" w:pos="4305"/>
        </w:tabs>
        <w:adjustRightInd w:val="0"/>
        <w:snapToGrid w:val="0"/>
        <w:spacing w:line="360" w:lineRule="auto"/>
        <w:ind w:firstLineChars="200" w:firstLine="420"/>
        <w:rPr>
          <w:bCs/>
          <w:color w:val="000000" w:themeColor="text1"/>
          <w:szCs w:val="21"/>
        </w:rPr>
      </w:pPr>
      <w:r>
        <w:rPr>
          <w:bCs/>
          <w:color w:val="000000" w:themeColor="text1"/>
          <w:szCs w:val="21"/>
        </w:rPr>
        <w:t>（</w:t>
      </w:r>
      <w:r>
        <w:rPr>
          <w:bCs/>
          <w:color w:val="000000" w:themeColor="text1"/>
          <w:szCs w:val="21"/>
        </w:rPr>
        <w:t>5</w:t>
      </w:r>
      <w:r>
        <w:rPr>
          <w:bCs/>
          <w:color w:val="000000" w:themeColor="text1"/>
          <w:szCs w:val="21"/>
        </w:rPr>
        <w:t>）《世界园林植物与花卉百科全书》杨秋生、李振宇主译，河南科学技术出版社，</w:t>
      </w:r>
      <w:r>
        <w:rPr>
          <w:bCs/>
          <w:color w:val="000000" w:themeColor="text1"/>
          <w:szCs w:val="21"/>
        </w:rPr>
        <w:t>2012</w:t>
      </w:r>
      <w:r>
        <w:rPr>
          <w:bCs/>
          <w:color w:val="000000" w:themeColor="text1"/>
          <w:szCs w:val="21"/>
        </w:rPr>
        <w:t>年</w:t>
      </w:r>
    </w:p>
    <w:p w14:paraId="0762A80B" w14:textId="77777777" w:rsidR="00F5289E" w:rsidRDefault="00C91173">
      <w:pPr>
        <w:tabs>
          <w:tab w:val="left" w:pos="3720"/>
          <w:tab w:val="left" w:pos="3780"/>
          <w:tab w:val="left" w:pos="4305"/>
        </w:tabs>
        <w:adjustRightInd w:val="0"/>
        <w:snapToGrid w:val="0"/>
        <w:spacing w:line="360" w:lineRule="auto"/>
        <w:ind w:firstLineChars="200" w:firstLine="420"/>
        <w:rPr>
          <w:color w:val="000000" w:themeColor="text1"/>
          <w:szCs w:val="21"/>
        </w:rPr>
      </w:pPr>
      <w:r>
        <w:rPr>
          <w:bCs/>
          <w:color w:val="000000" w:themeColor="text1"/>
          <w:szCs w:val="21"/>
        </w:rPr>
        <w:t>（</w:t>
      </w:r>
      <w:r>
        <w:rPr>
          <w:bCs/>
          <w:color w:val="000000" w:themeColor="text1"/>
          <w:szCs w:val="21"/>
        </w:rPr>
        <w:t>6</w:t>
      </w:r>
      <w:r>
        <w:rPr>
          <w:bCs/>
          <w:color w:val="000000" w:themeColor="text1"/>
          <w:szCs w:val="21"/>
        </w:rPr>
        <w:t>）《中国月季》张佐双、朱秀珍主编，中国林业出版社，</w:t>
      </w:r>
      <w:r>
        <w:rPr>
          <w:bCs/>
          <w:color w:val="000000" w:themeColor="text1"/>
          <w:szCs w:val="21"/>
        </w:rPr>
        <w:t>2006</w:t>
      </w:r>
      <w:r>
        <w:rPr>
          <w:bCs/>
          <w:color w:val="000000" w:themeColor="text1"/>
          <w:szCs w:val="21"/>
        </w:rPr>
        <w:t>年</w:t>
      </w:r>
    </w:p>
    <w:p w14:paraId="6ED569C9" w14:textId="77777777" w:rsidR="00F5289E" w:rsidRDefault="00C91173">
      <w:pPr>
        <w:widowControl/>
        <w:jc w:val="left"/>
        <w:rPr>
          <w:rFonts w:ascii="宋体" w:hAnsi="宋体"/>
          <w:b/>
          <w:szCs w:val="21"/>
        </w:rPr>
      </w:pPr>
      <w:r>
        <w:rPr>
          <w:rFonts w:ascii="宋体" w:hAnsi="宋体"/>
          <w:b/>
          <w:szCs w:val="21"/>
        </w:rPr>
        <w:br w:type="page"/>
      </w:r>
    </w:p>
    <w:p w14:paraId="0C484247" w14:textId="28CBDDCF" w:rsidR="00F5289E" w:rsidRDefault="00C91173">
      <w:pPr>
        <w:rPr>
          <w:b/>
          <w:bCs/>
        </w:rPr>
      </w:pPr>
      <w:r>
        <w:rPr>
          <w:rFonts w:hint="eastAsia"/>
          <w:b/>
          <w:bCs/>
        </w:rPr>
        <w:lastRenderedPageBreak/>
        <w:t>（</w:t>
      </w:r>
      <w:r w:rsidR="00736DFF">
        <w:rPr>
          <w:rFonts w:hint="eastAsia"/>
          <w:b/>
          <w:bCs/>
        </w:rPr>
        <w:t>六</w:t>
      </w:r>
      <w:r>
        <w:rPr>
          <w:rFonts w:hint="eastAsia"/>
          <w:b/>
          <w:bCs/>
        </w:rPr>
        <w:t>）设施果树栽培学实习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0D5D60D8" w14:textId="77777777">
        <w:trPr>
          <w:trHeight w:val="435"/>
        </w:trPr>
        <w:tc>
          <w:tcPr>
            <w:tcW w:w="1666" w:type="pct"/>
            <w:vAlign w:val="center"/>
          </w:tcPr>
          <w:p w14:paraId="4B2353D1" w14:textId="77777777" w:rsidR="00F5289E" w:rsidRDefault="00C91173">
            <w:pPr>
              <w:spacing w:line="360" w:lineRule="auto"/>
              <w:rPr>
                <w:rFonts w:ascii="黑体"/>
              </w:rPr>
            </w:pPr>
            <w:r>
              <w:rPr>
                <w:rFonts w:ascii="宋体" w:hAnsi="宋体" w:hint="eastAsia"/>
                <w:b/>
              </w:rPr>
              <w:t>开设学期</w:t>
            </w:r>
            <w:r>
              <w:rPr>
                <w:rFonts w:ascii="宋体" w:hAnsi="宋体" w:hint="eastAsia"/>
                <w:szCs w:val="21"/>
              </w:rPr>
              <w:t>：</w:t>
            </w:r>
            <w:r>
              <w:rPr>
                <w:rFonts w:ascii="宋体" w:hAnsi="宋体"/>
                <w:szCs w:val="21"/>
              </w:rPr>
              <w:t>5</w:t>
            </w:r>
          </w:p>
        </w:tc>
        <w:tc>
          <w:tcPr>
            <w:tcW w:w="1453" w:type="pct"/>
            <w:vAlign w:val="center"/>
          </w:tcPr>
          <w:p w14:paraId="25535158" w14:textId="77777777" w:rsidR="00F5289E" w:rsidRDefault="00C91173">
            <w:pPr>
              <w:spacing w:line="360" w:lineRule="auto"/>
              <w:rPr>
                <w:rFonts w:ascii="黑体"/>
              </w:rPr>
            </w:pPr>
            <w:r>
              <w:rPr>
                <w:rFonts w:ascii="宋体" w:hAnsi="宋体" w:hint="eastAsia"/>
                <w:b/>
              </w:rPr>
              <w:t>实习周数</w:t>
            </w:r>
            <w:r>
              <w:rPr>
                <w:rFonts w:ascii="宋体" w:hAnsi="宋体" w:hint="eastAsia"/>
                <w:szCs w:val="21"/>
              </w:rPr>
              <w:t>：0.5</w:t>
            </w:r>
          </w:p>
        </w:tc>
        <w:tc>
          <w:tcPr>
            <w:tcW w:w="1881" w:type="pct"/>
            <w:vAlign w:val="center"/>
          </w:tcPr>
          <w:p w14:paraId="08645D56" w14:textId="77777777" w:rsidR="00F5289E" w:rsidRDefault="00C91173">
            <w:pPr>
              <w:spacing w:line="360" w:lineRule="auto"/>
              <w:rPr>
                <w:rFonts w:ascii="黑体"/>
              </w:rPr>
            </w:pPr>
            <w:r>
              <w:rPr>
                <w:rFonts w:ascii="宋体" w:hAnsi="宋体" w:hint="eastAsia"/>
                <w:b/>
              </w:rPr>
              <w:t>学分</w:t>
            </w:r>
            <w:r>
              <w:rPr>
                <w:rFonts w:ascii="宋体" w:hAnsi="宋体" w:hint="eastAsia"/>
                <w:szCs w:val="21"/>
              </w:rPr>
              <w:t>：0.5</w:t>
            </w:r>
          </w:p>
        </w:tc>
      </w:tr>
      <w:tr w:rsidR="00F5289E" w14:paraId="3C37C0B4" w14:textId="77777777">
        <w:trPr>
          <w:trHeight w:val="435"/>
        </w:trPr>
        <w:tc>
          <w:tcPr>
            <w:tcW w:w="5000" w:type="pct"/>
            <w:gridSpan w:val="3"/>
            <w:vAlign w:val="center"/>
          </w:tcPr>
          <w:p w14:paraId="52590593" w14:textId="77777777" w:rsidR="00F5289E" w:rsidRDefault="00C91173">
            <w:pPr>
              <w:spacing w:line="360" w:lineRule="auto"/>
              <w:rPr>
                <w:rFonts w:ascii="黑体"/>
                <w:color w:val="0000FF"/>
              </w:rPr>
            </w:pPr>
            <w:r>
              <w:rPr>
                <w:rFonts w:ascii="宋体" w:hAnsi="宋体" w:hint="eastAsia"/>
                <w:b/>
              </w:rPr>
              <w:t>适用专业</w:t>
            </w:r>
            <w:r>
              <w:rPr>
                <w:rFonts w:ascii="宋体" w:hAnsi="宋体" w:hint="eastAsia"/>
              </w:rPr>
              <w:t>：设施农业科学与工程</w:t>
            </w:r>
          </w:p>
        </w:tc>
      </w:tr>
      <w:tr w:rsidR="00F5289E" w14:paraId="117F1A74" w14:textId="77777777">
        <w:trPr>
          <w:trHeight w:val="435"/>
        </w:trPr>
        <w:tc>
          <w:tcPr>
            <w:tcW w:w="5000" w:type="pct"/>
            <w:gridSpan w:val="3"/>
            <w:vAlign w:val="center"/>
          </w:tcPr>
          <w:p w14:paraId="41E88D3C" w14:textId="77777777" w:rsidR="00F5289E" w:rsidRDefault="00C91173">
            <w:pPr>
              <w:spacing w:line="360" w:lineRule="auto"/>
              <w:rPr>
                <w:rFonts w:ascii="黑体" w:eastAsia="黑体"/>
              </w:rPr>
            </w:pPr>
            <w:r>
              <w:rPr>
                <w:rFonts w:ascii="宋体" w:hAnsi="宋体" w:hint="eastAsia"/>
                <w:b/>
              </w:rPr>
              <w:t>先修课程</w:t>
            </w:r>
            <w:r>
              <w:rPr>
                <w:rFonts w:ascii="黑体" w:eastAsia="黑体" w:hint="eastAsia"/>
              </w:rPr>
              <w:t>：</w:t>
            </w:r>
            <w:r>
              <w:rPr>
                <w:rFonts w:ascii="宋体" w:hAnsi="宋体" w:hint="eastAsia"/>
              </w:rPr>
              <w:t xml:space="preserve"> 植物生理学，土壤肥料学，园艺设施学</w:t>
            </w:r>
          </w:p>
        </w:tc>
      </w:tr>
      <w:tr w:rsidR="00F5289E" w14:paraId="1AF0AE1D" w14:textId="77777777">
        <w:trPr>
          <w:trHeight w:val="435"/>
        </w:trPr>
        <w:tc>
          <w:tcPr>
            <w:tcW w:w="1666" w:type="pct"/>
            <w:vAlign w:val="center"/>
          </w:tcPr>
          <w:p w14:paraId="54269DF2" w14:textId="77777777" w:rsidR="00F5289E" w:rsidRDefault="00C91173">
            <w:pPr>
              <w:spacing w:line="360" w:lineRule="auto"/>
              <w:rPr>
                <w:rFonts w:ascii="宋体" w:hAnsi="宋体"/>
              </w:rPr>
            </w:pPr>
            <w:r>
              <w:rPr>
                <w:rFonts w:ascii="宋体" w:hAnsi="宋体" w:hint="eastAsia"/>
                <w:b/>
              </w:rPr>
              <w:t>主撰人</w:t>
            </w:r>
            <w:r>
              <w:rPr>
                <w:rFonts w:ascii="宋体" w:hAnsi="宋体" w:hint="eastAsia"/>
              </w:rPr>
              <w:t>：简在海，郝鹏博</w:t>
            </w:r>
          </w:p>
        </w:tc>
        <w:tc>
          <w:tcPr>
            <w:tcW w:w="1453" w:type="pct"/>
            <w:vAlign w:val="center"/>
          </w:tcPr>
          <w:p w14:paraId="68862387" w14:textId="77777777" w:rsidR="00F5289E" w:rsidRDefault="00C91173">
            <w:pPr>
              <w:spacing w:line="360" w:lineRule="auto"/>
              <w:rPr>
                <w:rFonts w:ascii="黑体" w:eastAsia="黑体"/>
              </w:rPr>
            </w:pPr>
            <w:r>
              <w:rPr>
                <w:rFonts w:ascii="宋体" w:hAnsi="宋体" w:hint="eastAsia"/>
                <w:b/>
              </w:rPr>
              <w:t>审核人</w:t>
            </w:r>
            <w:r>
              <w:rPr>
                <w:rFonts w:ascii="宋体" w:hAnsi="宋体" w:hint="eastAsia"/>
              </w:rPr>
              <w:t>：白团辉</w:t>
            </w:r>
          </w:p>
        </w:tc>
        <w:tc>
          <w:tcPr>
            <w:tcW w:w="1881" w:type="pct"/>
            <w:vAlign w:val="center"/>
          </w:tcPr>
          <w:p w14:paraId="7D0DF158" w14:textId="77777777" w:rsidR="00F5289E" w:rsidRDefault="00C91173">
            <w:pPr>
              <w:spacing w:line="360" w:lineRule="auto"/>
              <w:rPr>
                <w:rFonts w:ascii="宋体" w:eastAsia="黑体" w:hAnsi="宋体"/>
              </w:rPr>
            </w:pPr>
            <w:r>
              <w:rPr>
                <w:rFonts w:ascii="宋体" w:hAnsi="宋体" w:hint="eastAsia"/>
                <w:b/>
              </w:rPr>
              <w:t>大纲制定（修订）日期</w:t>
            </w:r>
            <w:r>
              <w:rPr>
                <w:rFonts w:ascii="宋体" w:hAnsi="宋体" w:hint="eastAsia"/>
              </w:rPr>
              <w:t>：</w:t>
            </w:r>
            <w:r>
              <w:rPr>
                <w:rFonts w:ascii="宋体" w:hAnsi="宋体"/>
              </w:rPr>
              <w:t>2023</w:t>
            </w:r>
          </w:p>
        </w:tc>
      </w:tr>
    </w:tbl>
    <w:p w14:paraId="1E544CCE"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1. 课程简介</w:t>
      </w:r>
    </w:p>
    <w:p w14:paraId="23132C24"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rFonts w:ascii="宋体" w:hAnsi="宋体"/>
          <w:szCs w:val="21"/>
        </w:rPr>
      </w:pPr>
      <w:r>
        <w:rPr>
          <w:rFonts w:ascii="宋体" w:hAnsi="宋体" w:cs="宋体" w:hint="eastAsia"/>
          <w:kern w:val="0"/>
          <w:szCs w:val="21"/>
        </w:rPr>
        <w:t>《设施果树栽培学》</w:t>
      </w:r>
      <w:r>
        <w:rPr>
          <w:rFonts w:ascii="宋体" w:hAnsi="宋体" w:hint="eastAsia"/>
          <w:szCs w:val="21"/>
        </w:rPr>
        <w:t>为设施专业的必修课之一。本课程的主要目的是使学生系统掌握设施果树的生长发育规律及其对环境条件的要求，从育苗、栽植、水肥管理到植株调整等基本设施栽培技术和原理，掌握多种设施果树的生物学特性及其栽培技术、各项栽培技术与其栽培作物生物学特性的联系，学会根据生物学特性理论联系实际地制定栽培技术措施。主要任务是利用现代生物科学理论和先进的管理技术来创造适宜栽培果树生长的环境条件，以获得高产、优质、安全卫生的设施果品。</w:t>
      </w:r>
    </w:p>
    <w:p w14:paraId="3191287C"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b/>
          <w:kern w:val="0"/>
          <w:szCs w:val="21"/>
        </w:rPr>
        <w:t>2.</w:t>
      </w:r>
      <w:r>
        <w:rPr>
          <w:rFonts w:ascii="宋体" w:hAnsi="宋体" w:cs="宋体" w:hint="eastAsia"/>
          <w:b/>
          <w:kern w:val="0"/>
          <w:szCs w:val="21"/>
        </w:rPr>
        <w:t>课程劳动教育</w:t>
      </w:r>
    </w:p>
    <w:p w14:paraId="28CAFADC" w14:textId="77777777" w:rsidR="00F5289E" w:rsidRDefault="00C91173">
      <w:pPr>
        <w:spacing w:line="360" w:lineRule="auto"/>
        <w:ind w:firstLineChars="200" w:firstLine="422"/>
        <w:rPr>
          <w:rFonts w:ascii="宋体" w:hAnsi="宋体"/>
          <w:b/>
          <w:szCs w:val="21"/>
        </w:rPr>
      </w:pPr>
      <w:r>
        <w:rPr>
          <w:rFonts w:ascii="宋体" w:hAnsi="宋体"/>
          <w:b/>
          <w:szCs w:val="21"/>
        </w:rPr>
        <w:t>2.</w:t>
      </w:r>
      <w:r>
        <w:rPr>
          <w:rFonts w:ascii="宋体" w:hAnsi="宋体" w:hint="eastAsia"/>
          <w:b/>
          <w:szCs w:val="21"/>
        </w:rPr>
        <w:t>课程劳动教育</w:t>
      </w:r>
    </w:p>
    <w:p w14:paraId="0E068D49" w14:textId="77777777" w:rsidR="00F5289E" w:rsidRDefault="00C91173">
      <w:pPr>
        <w:spacing w:line="360" w:lineRule="auto"/>
        <w:ind w:firstLineChars="200" w:firstLine="420"/>
        <w:rPr>
          <w:rFonts w:ascii="宋体" w:hAnsi="宋体"/>
          <w:szCs w:val="21"/>
        </w:rPr>
      </w:pPr>
      <w:r>
        <w:rPr>
          <w:rFonts w:ascii="宋体" w:hAnsi="宋体"/>
          <w:szCs w:val="21"/>
        </w:rPr>
        <w:t>安排学生到超市调查果品种类和果品市场，</w:t>
      </w:r>
      <w:r>
        <w:rPr>
          <w:rFonts w:ascii="宋体" w:hAnsi="宋体" w:hint="eastAsia"/>
          <w:szCs w:val="21"/>
        </w:rPr>
        <w:t>增强学生服务“三农”和农业农村现代化的使命感和责任感。安排学生到设施果树栽培基地调研设施果树栽培品种，栽培模式和生产效益，让学生解乡情民情，提升学生学农知农爱农素养和专业实践能力。</w:t>
      </w:r>
    </w:p>
    <w:p w14:paraId="2C66E850" w14:textId="77777777" w:rsidR="00F5289E" w:rsidRDefault="00C91173">
      <w:pPr>
        <w:spacing w:line="360" w:lineRule="auto"/>
        <w:ind w:firstLineChars="200" w:firstLine="422"/>
        <w:rPr>
          <w:rFonts w:ascii="宋体" w:hAnsi="宋体"/>
          <w:b/>
          <w:szCs w:val="21"/>
        </w:rPr>
      </w:pPr>
      <w:r>
        <w:rPr>
          <w:rFonts w:ascii="宋体" w:hAnsi="宋体"/>
          <w:b/>
          <w:szCs w:val="21"/>
        </w:rPr>
        <w:t>3</w:t>
      </w:r>
      <w:r>
        <w:rPr>
          <w:rFonts w:ascii="宋体" w:hAnsi="宋体" w:cs="宋体" w:hint="eastAsia"/>
          <w:b/>
          <w:kern w:val="0"/>
          <w:szCs w:val="21"/>
        </w:rPr>
        <w:t xml:space="preserve">. </w:t>
      </w:r>
      <w:r>
        <w:rPr>
          <w:rFonts w:ascii="宋体" w:hAnsi="宋体" w:hint="eastAsia"/>
          <w:b/>
          <w:szCs w:val="21"/>
        </w:rPr>
        <w:t>实习目的和要求</w:t>
      </w:r>
    </w:p>
    <w:p w14:paraId="02EB00C9"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rFonts w:ascii="宋体" w:hAnsi="宋体"/>
          <w:szCs w:val="21"/>
        </w:rPr>
      </w:pPr>
      <w:r>
        <w:rPr>
          <w:rFonts w:ascii="宋体" w:hAnsi="宋体" w:hint="eastAsia"/>
          <w:szCs w:val="21"/>
        </w:rPr>
        <w:t>设施果树栽培实践教学大纲是根据</w:t>
      </w:r>
      <w:r>
        <w:rPr>
          <w:rFonts w:ascii="宋体" w:hAnsi="宋体" w:hint="eastAsia"/>
        </w:rPr>
        <w:t>设施农业科学与工程</w:t>
      </w:r>
      <w:r>
        <w:rPr>
          <w:rFonts w:ascii="宋体" w:hAnsi="宋体" w:hint="eastAsia"/>
          <w:szCs w:val="21"/>
        </w:rPr>
        <w:t>教学计划中关于设施果树栽培实践教学内容和教学时数的规定而制定的，设施果树栽培实践教学大纲贯彻了教学计划及实践教学进程表所列的实践教学项目等内容。实习以能力培养为中心，结合理论教学，以技能为单位，独立安排实践内容，自成体系，把实践教学作为独立教学内容来对待。通过设施果树栽培实践教学，引导学生通过动手操作掌握技能要点，达到能独立应用的目的。</w:t>
      </w:r>
    </w:p>
    <w:p w14:paraId="0C89C995" w14:textId="77777777" w:rsidR="00F5289E" w:rsidRDefault="00C91173">
      <w:pPr>
        <w:spacing w:line="360" w:lineRule="auto"/>
        <w:ind w:firstLineChars="200" w:firstLine="422"/>
        <w:rPr>
          <w:rFonts w:ascii="宋体" w:hAnsi="宋体"/>
          <w:b/>
          <w:szCs w:val="21"/>
        </w:rPr>
      </w:pPr>
      <w:r>
        <w:rPr>
          <w:rFonts w:ascii="宋体" w:hAnsi="宋体"/>
          <w:b/>
          <w:szCs w:val="21"/>
        </w:rPr>
        <w:t>4</w:t>
      </w:r>
      <w:r>
        <w:rPr>
          <w:rFonts w:ascii="宋体" w:hAnsi="宋体" w:cs="宋体" w:hint="eastAsia"/>
          <w:b/>
          <w:kern w:val="0"/>
          <w:szCs w:val="21"/>
        </w:rPr>
        <w:t xml:space="preserve">. </w:t>
      </w:r>
      <w:r>
        <w:rPr>
          <w:rFonts w:ascii="宋体" w:hAnsi="宋体" w:hint="eastAsia"/>
          <w:b/>
          <w:szCs w:val="21"/>
        </w:rPr>
        <w:t>实习地点及内容</w:t>
      </w:r>
    </w:p>
    <w:p w14:paraId="1D071334" w14:textId="77777777" w:rsidR="00F5289E" w:rsidRDefault="00C91173">
      <w:pPr>
        <w:tabs>
          <w:tab w:val="left" w:pos="3720"/>
          <w:tab w:val="left" w:pos="3780"/>
          <w:tab w:val="left" w:pos="4305"/>
        </w:tabs>
        <w:adjustRightInd w:val="0"/>
        <w:snapToGrid w:val="0"/>
        <w:spacing w:line="360" w:lineRule="auto"/>
        <w:ind w:firstLineChars="196" w:firstLine="413"/>
        <w:rPr>
          <w:rFonts w:ascii="宋体" w:hAnsi="宋体"/>
          <w:szCs w:val="21"/>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ascii="宋体" w:hAnsi="宋体" w:hint="eastAsia"/>
          <w:szCs w:val="21"/>
        </w:rPr>
        <w:t>河南农业大学毛庄科教园区，郑州周边设施果树基地</w:t>
      </w:r>
    </w:p>
    <w:p w14:paraId="33787398" w14:textId="77777777" w:rsidR="00F5289E" w:rsidRDefault="00C91173">
      <w:pPr>
        <w:tabs>
          <w:tab w:val="left" w:pos="3720"/>
          <w:tab w:val="left" w:pos="3780"/>
          <w:tab w:val="left" w:pos="4305"/>
        </w:tabs>
        <w:adjustRightInd w:val="0"/>
        <w:snapToGrid w:val="0"/>
        <w:spacing w:line="360" w:lineRule="auto"/>
        <w:ind w:firstLineChars="196" w:firstLine="413"/>
        <w:rPr>
          <w:rFonts w:ascii="宋体" w:hAnsi="宋体"/>
          <w:b/>
          <w:bCs/>
          <w:szCs w:val="21"/>
        </w:rPr>
      </w:pPr>
      <w:r>
        <w:rPr>
          <w:rFonts w:ascii="宋体" w:hAnsi="宋体" w:hint="eastAsia"/>
          <w:b/>
          <w:szCs w:val="21"/>
        </w:rPr>
        <w:t>（2）</w:t>
      </w:r>
      <w:r>
        <w:rPr>
          <w:rFonts w:ascii="宋体" w:hAnsi="宋体" w:hint="eastAsia"/>
          <w:b/>
          <w:bCs/>
          <w:szCs w:val="21"/>
        </w:rPr>
        <w:t>实习内容：</w:t>
      </w:r>
      <w:r>
        <w:rPr>
          <w:rFonts w:ascii="宋体" w:hAnsi="宋体" w:hint="eastAsia"/>
          <w:szCs w:val="21"/>
        </w:rPr>
        <w:t>设施果树整形修剪技术，</w:t>
      </w:r>
      <w:r>
        <w:rPr>
          <w:rFonts w:hint="eastAsia"/>
          <w:szCs w:val="21"/>
        </w:rPr>
        <w:t>组织学生到附近设施草莓基地参观考察。</w:t>
      </w:r>
    </w:p>
    <w:p w14:paraId="2EF76446" w14:textId="77777777" w:rsidR="00F5289E" w:rsidRDefault="00C91173">
      <w:pPr>
        <w:spacing w:line="360" w:lineRule="auto"/>
        <w:ind w:firstLineChars="200" w:firstLine="422"/>
        <w:rPr>
          <w:rFonts w:ascii="宋体" w:hAnsi="宋体"/>
          <w:b/>
          <w:szCs w:val="21"/>
        </w:rPr>
      </w:pPr>
      <w:r>
        <w:rPr>
          <w:rFonts w:ascii="宋体" w:hAnsi="宋体"/>
          <w:b/>
          <w:szCs w:val="21"/>
        </w:rPr>
        <w:t>5</w:t>
      </w:r>
      <w:r>
        <w:rPr>
          <w:rFonts w:ascii="宋体" w:hAnsi="宋体" w:cs="宋体" w:hint="eastAsia"/>
          <w:b/>
          <w:kern w:val="0"/>
          <w:szCs w:val="21"/>
        </w:rPr>
        <w:t xml:space="preserve">. </w:t>
      </w:r>
      <w:r>
        <w:rPr>
          <w:rFonts w:ascii="宋体" w:hAnsi="宋体" w:hint="eastAsia"/>
          <w:b/>
          <w:szCs w:val="21"/>
        </w:rPr>
        <w:t>实习时间安排</w:t>
      </w:r>
    </w:p>
    <w:p w14:paraId="63CEAFA6"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szCs w:val="21"/>
        </w:rPr>
      </w:pPr>
      <w:r>
        <w:rPr>
          <w:rFonts w:ascii="宋体" w:hAnsi="宋体" w:hint="eastAsia"/>
          <w:szCs w:val="21"/>
        </w:rPr>
        <w:t>河南农业大学毛庄科教园区 1.5天。</w:t>
      </w:r>
    </w:p>
    <w:p w14:paraId="0B35702D"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szCs w:val="21"/>
        </w:rPr>
      </w:pPr>
      <w:r>
        <w:rPr>
          <w:rFonts w:ascii="宋体" w:hAnsi="宋体" w:hint="eastAsia"/>
          <w:szCs w:val="21"/>
        </w:rPr>
        <w:t>郑州周边设施果树基地 1天。</w:t>
      </w:r>
    </w:p>
    <w:p w14:paraId="1C1D29B2" w14:textId="77777777" w:rsidR="00F5289E" w:rsidRDefault="00C91173">
      <w:pPr>
        <w:spacing w:line="360" w:lineRule="auto"/>
        <w:ind w:firstLineChars="200" w:firstLine="422"/>
        <w:rPr>
          <w:rFonts w:ascii="宋体" w:hAnsi="宋体"/>
          <w:b/>
          <w:szCs w:val="21"/>
        </w:rPr>
      </w:pPr>
      <w:r>
        <w:rPr>
          <w:rFonts w:ascii="宋体" w:hAnsi="宋体"/>
          <w:b/>
          <w:szCs w:val="21"/>
        </w:rPr>
        <w:t>6</w:t>
      </w:r>
      <w:r>
        <w:rPr>
          <w:rFonts w:ascii="宋体" w:hAnsi="宋体" w:cs="宋体" w:hint="eastAsia"/>
          <w:b/>
          <w:kern w:val="0"/>
          <w:szCs w:val="21"/>
        </w:rPr>
        <w:t xml:space="preserve">. </w:t>
      </w:r>
      <w:r>
        <w:rPr>
          <w:rFonts w:ascii="宋体" w:hAnsi="宋体" w:hint="eastAsia"/>
          <w:b/>
          <w:szCs w:val="21"/>
        </w:rPr>
        <w:t>实习具体要求</w:t>
      </w:r>
    </w:p>
    <w:p w14:paraId="25D53FBF" w14:textId="77777777" w:rsidR="00F5289E" w:rsidRDefault="00C91173">
      <w:pPr>
        <w:spacing w:line="360" w:lineRule="auto"/>
        <w:ind w:firstLineChars="200" w:firstLine="420"/>
        <w:rPr>
          <w:rFonts w:ascii="宋体" w:hAnsi="宋体"/>
          <w:bCs/>
          <w:szCs w:val="21"/>
        </w:rPr>
      </w:pPr>
      <w:r>
        <w:rPr>
          <w:rFonts w:ascii="宋体" w:hAnsi="宋体" w:hint="eastAsia"/>
          <w:bCs/>
          <w:szCs w:val="21"/>
        </w:rPr>
        <w:t>每</w:t>
      </w:r>
      <w:r>
        <w:rPr>
          <w:rFonts w:ascii="宋体" w:hAnsi="宋体"/>
          <w:bCs/>
          <w:szCs w:val="21"/>
        </w:rPr>
        <w:t>3人为一个实习小组</w:t>
      </w:r>
      <w:r>
        <w:rPr>
          <w:rFonts w:ascii="宋体" w:hAnsi="宋体" w:hint="eastAsia"/>
          <w:bCs/>
          <w:szCs w:val="21"/>
        </w:rPr>
        <w:t>，</w:t>
      </w:r>
      <w:r>
        <w:rPr>
          <w:rFonts w:ascii="宋体" w:hAnsi="宋体"/>
          <w:bCs/>
          <w:szCs w:val="21"/>
        </w:rPr>
        <w:t>对每组成员要求进行合理的详细分工。实习期间要求学生以小组为</w:t>
      </w:r>
      <w:r>
        <w:rPr>
          <w:rFonts w:ascii="宋体" w:hAnsi="宋体"/>
          <w:bCs/>
          <w:szCs w:val="21"/>
        </w:rPr>
        <w:lastRenderedPageBreak/>
        <w:t>单位共同</w:t>
      </w:r>
      <w:r>
        <w:rPr>
          <w:rFonts w:ascii="宋体" w:hAnsi="宋体" w:hint="eastAsia"/>
          <w:bCs/>
          <w:szCs w:val="21"/>
        </w:rPr>
        <w:t>研究，</w:t>
      </w:r>
      <w:r>
        <w:rPr>
          <w:rFonts w:ascii="宋体" w:hAnsi="宋体"/>
          <w:bCs/>
          <w:szCs w:val="21"/>
        </w:rPr>
        <w:t>协作完成。</w:t>
      </w:r>
      <w:r>
        <w:rPr>
          <w:rFonts w:ascii="宋体" w:hAnsi="宋体" w:hint="eastAsia"/>
          <w:bCs/>
          <w:szCs w:val="21"/>
        </w:rPr>
        <w:t>每次实习结束，学生按照实习指导的作业要求及时完成和上交作业。</w:t>
      </w:r>
    </w:p>
    <w:p w14:paraId="00FB5111"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b/>
          <w:szCs w:val="21"/>
        </w:rPr>
        <w:t>7</w:t>
      </w:r>
      <w:r>
        <w:rPr>
          <w:rFonts w:ascii="宋体" w:hAnsi="宋体" w:cs="宋体" w:hint="eastAsia"/>
          <w:b/>
          <w:kern w:val="0"/>
          <w:szCs w:val="21"/>
        </w:rPr>
        <w:t>. 考核方式与成绩评定标准</w:t>
      </w:r>
    </w:p>
    <w:p w14:paraId="4461A203"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FF"/>
          <w:szCs w:val="21"/>
        </w:rPr>
      </w:pPr>
      <w:r>
        <w:rPr>
          <w:rFonts w:ascii="宋体" w:hAnsi="宋体" w:hint="eastAsia"/>
          <w:szCs w:val="21"/>
        </w:rPr>
        <w:t>设施果树栽培实践教学是技术性较强的教学活动，课程组对考核项目等级标准进行研究，按标准确定考核等级或分数。考试最终成绩构成：实习报告</w:t>
      </w:r>
      <w:r>
        <w:rPr>
          <w:rFonts w:ascii="Arial" w:hAnsi="Arial" w:cs="Arial"/>
          <w:szCs w:val="21"/>
        </w:rPr>
        <w:t>×</w:t>
      </w:r>
      <w:r>
        <w:rPr>
          <w:rFonts w:ascii="宋体" w:hAnsi="宋体" w:cs="宋体" w:hint="eastAsia"/>
          <w:szCs w:val="21"/>
        </w:rPr>
        <w:t>50％+实践操作</w:t>
      </w:r>
      <w:r>
        <w:rPr>
          <w:rFonts w:ascii="Arial" w:hAnsi="Arial" w:cs="Arial"/>
          <w:szCs w:val="21"/>
        </w:rPr>
        <w:t>×</w:t>
      </w:r>
      <w:r>
        <w:rPr>
          <w:rFonts w:ascii="宋体" w:hAnsi="宋体" w:cs="宋体" w:hint="eastAsia"/>
          <w:szCs w:val="21"/>
        </w:rPr>
        <w:t>50％；学生考核成绩60分以上为合格，合格即取得该实习课程的学分。</w:t>
      </w:r>
    </w:p>
    <w:p w14:paraId="709126B4" w14:textId="77777777" w:rsidR="00F5289E" w:rsidRDefault="00C91173">
      <w:pPr>
        <w:widowControl/>
        <w:spacing w:line="360" w:lineRule="auto"/>
        <w:ind w:firstLineChars="200" w:firstLine="422"/>
        <w:jc w:val="left"/>
        <w:rPr>
          <w:rFonts w:ascii="宋体" w:hAnsi="宋体" w:cs="宋体"/>
          <w:b/>
          <w:kern w:val="0"/>
          <w:szCs w:val="21"/>
        </w:rPr>
      </w:pPr>
      <w:r>
        <w:rPr>
          <w:rFonts w:ascii="宋体" w:hAnsi="宋体" w:cs="宋体"/>
          <w:b/>
          <w:kern w:val="0"/>
          <w:szCs w:val="21"/>
        </w:rPr>
        <w:t>8</w:t>
      </w:r>
      <w:r>
        <w:rPr>
          <w:rFonts w:ascii="宋体" w:hAnsi="宋体" w:cs="宋体" w:hint="eastAsia"/>
          <w:b/>
          <w:kern w:val="0"/>
          <w:szCs w:val="21"/>
        </w:rPr>
        <w:t>. 教材及主要参考资料</w:t>
      </w:r>
    </w:p>
    <w:p w14:paraId="0B86B5FD"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szCs w:val="21"/>
        </w:rPr>
      </w:pPr>
      <w:r>
        <w:rPr>
          <w:rFonts w:ascii="宋体" w:hAnsi="宋体" w:hint="eastAsia"/>
          <w:szCs w:val="21"/>
        </w:rPr>
        <w:t>（1）《果树设施栽培》，郭大龙 主编，科学技术出版社，</w:t>
      </w:r>
      <w:r>
        <w:rPr>
          <w:rFonts w:ascii="宋体" w:hAnsi="宋体"/>
          <w:szCs w:val="21"/>
        </w:rPr>
        <w:t>2018</w:t>
      </w:r>
      <w:r>
        <w:rPr>
          <w:rFonts w:ascii="宋体" w:hAnsi="宋体" w:hint="eastAsia"/>
          <w:szCs w:val="21"/>
        </w:rPr>
        <w:t>年；</w:t>
      </w:r>
    </w:p>
    <w:p w14:paraId="4A006248"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szCs w:val="21"/>
        </w:rPr>
      </w:pPr>
      <w:r>
        <w:rPr>
          <w:rFonts w:ascii="宋体" w:hAnsi="宋体" w:hint="eastAsia"/>
          <w:szCs w:val="21"/>
        </w:rPr>
        <w:t>（2）《果树栽培》,曹锦丽主编,科学出版社，2016年；</w:t>
      </w:r>
    </w:p>
    <w:p w14:paraId="0BC746EA" w14:textId="77777777" w:rsidR="00F5289E" w:rsidRDefault="00C91173">
      <w:pPr>
        <w:tabs>
          <w:tab w:val="left" w:pos="3720"/>
          <w:tab w:val="left" w:pos="3780"/>
          <w:tab w:val="left" w:pos="4305"/>
        </w:tabs>
        <w:adjustRightInd w:val="0"/>
        <w:snapToGrid w:val="0"/>
        <w:spacing w:line="360" w:lineRule="auto"/>
        <w:ind w:firstLineChars="196" w:firstLine="412"/>
        <w:rPr>
          <w:rFonts w:ascii="宋体" w:hAnsi="宋体"/>
          <w:color w:val="0000FF"/>
          <w:szCs w:val="21"/>
        </w:rPr>
      </w:pPr>
      <w:r>
        <w:rPr>
          <w:rFonts w:ascii="宋体" w:hAnsi="宋体" w:hint="eastAsia"/>
          <w:szCs w:val="21"/>
        </w:rPr>
        <w:t>（3）《设施果树栽培技术》，孙培博主编，中国农业出版社，2008年。</w:t>
      </w:r>
    </w:p>
    <w:p w14:paraId="76F841EA" w14:textId="77777777" w:rsidR="00F5289E" w:rsidRDefault="00F5289E">
      <w:pPr>
        <w:snapToGrid w:val="0"/>
        <w:spacing w:beforeLines="50" w:before="156" w:line="360" w:lineRule="auto"/>
        <w:rPr>
          <w:rFonts w:ascii="宋体" w:hAnsi="宋体"/>
          <w:color w:val="0000FF"/>
          <w:szCs w:val="21"/>
        </w:rPr>
      </w:pPr>
    </w:p>
    <w:p w14:paraId="2D05B614" w14:textId="77777777" w:rsidR="00F5289E" w:rsidRDefault="00C91173">
      <w:pPr>
        <w:widowControl/>
        <w:jc w:val="left"/>
        <w:rPr>
          <w:rFonts w:ascii="宋体" w:hAnsi="宋体"/>
          <w:b/>
          <w:szCs w:val="21"/>
        </w:rPr>
      </w:pPr>
      <w:r>
        <w:rPr>
          <w:rFonts w:ascii="宋体" w:hAnsi="宋体"/>
          <w:b/>
          <w:szCs w:val="21"/>
        </w:rPr>
        <w:br w:type="page"/>
      </w:r>
    </w:p>
    <w:p w14:paraId="4F26F1B6" w14:textId="68FBC8B1" w:rsidR="00F5289E" w:rsidRDefault="00C91173">
      <w:pPr>
        <w:rPr>
          <w:b/>
          <w:bCs/>
        </w:rPr>
      </w:pPr>
      <w:r>
        <w:rPr>
          <w:rFonts w:hint="eastAsia"/>
          <w:b/>
          <w:bCs/>
        </w:rPr>
        <w:lastRenderedPageBreak/>
        <w:t>（</w:t>
      </w:r>
      <w:r w:rsidR="00736DFF">
        <w:rPr>
          <w:rFonts w:hint="eastAsia"/>
          <w:b/>
          <w:bCs/>
        </w:rPr>
        <w:t>七</w:t>
      </w:r>
      <w:r>
        <w:rPr>
          <w:rFonts w:hint="eastAsia"/>
          <w:b/>
          <w:bCs/>
        </w:rPr>
        <w:t>）无土栽培学实习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783"/>
        <w:gridCol w:w="2586"/>
        <w:gridCol w:w="3348"/>
      </w:tblGrid>
      <w:tr w:rsidR="00F5289E" w14:paraId="0833562D" w14:textId="77777777">
        <w:trPr>
          <w:trHeight w:val="435"/>
        </w:trPr>
        <w:tc>
          <w:tcPr>
            <w:tcW w:w="1666" w:type="pct"/>
            <w:gridSpan w:val="2"/>
            <w:vAlign w:val="center"/>
          </w:tcPr>
          <w:p w14:paraId="2413A1CB" w14:textId="77777777" w:rsidR="00F5289E" w:rsidRDefault="00C91173">
            <w:pPr>
              <w:rPr>
                <w:rFonts w:ascii="黑体" w:eastAsia="黑体"/>
                <w:b/>
              </w:rPr>
            </w:pPr>
            <w:r>
              <w:rPr>
                <w:rFonts w:ascii="宋体" w:hAnsi="宋体" w:hint="eastAsia"/>
                <w:b/>
              </w:rPr>
              <w:t>开设学期</w:t>
            </w:r>
            <w:r>
              <w:rPr>
                <w:rFonts w:ascii="宋体" w:hAnsi="宋体" w:hint="eastAsia"/>
                <w:b/>
                <w:szCs w:val="21"/>
              </w:rPr>
              <w:t>：</w:t>
            </w:r>
            <w:r>
              <w:rPr>
                <w:rFonts w:ascii="宋体" w:hAnsi="宋体" w:hint="eastAsia"/>
                <w:bCs/>
                <w:szCs w:val="21"/>
              </w:rPr>
              <w:t>5</w:t>
            </w:r>
          </w:p>
        </w:tc>
        <w:tc>
          <w:tcPr>
            <w:tcW w:w="1453" w:type="pct"/>
            <w:vAlign w:val="center"/>
          </w:tcPr>
          <w:p w14:paraId="2032B7F3" w14:textId="77777777" w:rsidR="00F5289E" w:rsidRDefault="00C91173">
            <w:pPr>
              <w:rPr>
                <w:rFonts w:ascii="黑体" w:eastAsia="黑体"/>
                <w:b/>
              </w:rPr>
            </w:pPr>
            <w:r>
              <w:rPr>
                <w:rFonts w:ascii="宋体" w:hAnsi="宋体" w:hint="eastAsia"/>
                <w:b/>
              </w:rPr>
              <w:t>实习周数</w:t>
            </w:r>
            <w:r>
              <w:rPr>
                <w:rFonts w:ascii="宋体" w:hAnsi="宋体" w:hint="eastAsia"/>
                <w:b/>
                <w:szCs w:val="21"/>
              </w:rPr>
              <w:t>：</w:t>
            </w:r>
            <w:r>
              <w:rPr>
                <w:rFonts w:ascii="宋体" w:hAnsi="宋体" w:hint="eastAsia"/>
                <w:bCs/>
                <w:szCs w:val="21"/>
              </w:rPr>
              <w:t>0.5周</w:t>
            </w:r>
          </w:p>
        </w:tc>
        <w:tc>
          <w:tcPr>
            <w:tcW w:w="1881" w:type="pct"/>
            <w:vAlign w:val="center"/>
          </w:tcPr>
          <w:p w14:paraId="54C79887" w14:textId="77777777" w:rsidR="00F5289E" w:rsidRDefault="00C91173">
            <w:pPr>
              <w:rPr>
                <w:rFonts w:ascii="黑体" w:eastAsia="黑体"/>
                <w:b/>
              </w:rPr>
            </w:pPr>
            <w:r>
              <w:rPr>
                <w:rFonts w:ascii="宋体" w:hAnsi="宋体" w:hint="eastAsia"/>
                <w:b/>
              </w:rPr>
              <w:t>学分</w:t>
            </w:r>
            <w:r>
              <w:rPr>
                <w:rFonts w:ascii="宋体" w:hAnsi="宋体" w:hint="eastAsia"/>
                <w:b/>
                <w:szCs w:val="21"/>
              </w:rPr>
              <w:t>：</w:t>
            </w:r>
            <w:r>
              <w:rPr>
                <w:rFonts w:ascii="宋体" w:hAnsi="宋体" w:hint="eastAsia"/>
                <w:bCs/>
                <w:szCs w:val="21"/>
              </w:rPr>
              <w:t>0.5</w:t>
            </w:r>
          </w:p>
        </w:tc>
      </w:tr>
      <w:tr w:rsidR="00F5289E" w14:paraId="56980EC3" w14:textId="77777777">
        <w:trPr>
          <w:trHeight w:val="435"/>
        </w:trPr>
        <w:tc>
          <w:tcPr>
            <w:tcW w:w="5000" w:type="pct"/>
            <w:gridSpan w:val="4"/>
            <w:vAlign w:val="center"/>
          </w:tcPr>
          <w:p w14:paraId="347DBBBD" w14:textId="77777777" w:rsidR="00F5289E" w:rsidRDefault="00C91173">
            <w:pPr>
              <w:rPr>
                <w:rFonts w:ascii="黑体" w:eastAsia="黑体"/>
                <w:b/>
                <w:color w:val="0000FF"/>
              </w:rPr>
            </w:pPr>
            <w:r>
              <w:rPr>
                <w:rFonts w:ascii="宋体" w:hAnsi="宋体" w:hint="eastAsia"/>
                <w:b/>
              </w:rPr>
              <w:t>适用专业：</w:t>
            </w:r>
            <w:r>
              <w:rPr>
                <w:rFonts w:ascii="宋体" w:hAnsi="宋体" w:hint="eastAsia"/>
                <w:bCs/>
                <w:color w:val="000000" w:themeColor="text1"/>
              </w:rPr>
              <w:t>设施农业科学与工程</w:t>
            </w:r>
          </w:p>
        </w:tc>
      </w:tr>
      <w:tr w:rsidR="00F5289E" w14:paraId="694D52F5" w14:textId="77777777">
        <w:trPr>
          <w:trHeight w:val="435"/>
        </w:trPr>
        <w:tc>
          <w:tcPr>
            <w:tcW w:w="5000" w:type="pct"/>
            <w:gridSpan w:val="4"/>
            <w:vAlign w:val="center"/>
          </w:tcPr>
          <w:p w14:paraId="227B2529" w14:textId="77777777" w:rsidR="00F5289E" w:rsidRDefault="00C91173">
            <w:pPr>
              <w:rPr>
                <w:rFonts w:ascii="黑体" w:eastAsia="黑体"/>
                <w:b/>
              </w:rPr>
            </w:pPr>
            <w:r>
              <w:rPr>
                <w:rFonts w:ascii="宋体" w:hAnsi="宋体" w:hint="eastAsia"/>
                <w:b/>
              </w:rPr>
              <w:t>先修课程</w:t>
            </w:r>
            <w:r>
              <w:rPr>
                <w:rFonts w:ascii="黑体" w:eastAsia="黑体" w:hint="eastAsia"/>
                <w:b/>
              </w:rPr>
              <w:t>：</w:t>
            </w:r>
            <w:r>
              <w:rPr>
                <w:rFonts w:hint="eastAsia"/>
                <w:bCs/>
              </w:rPr>
              <w:t>植物学、植物生理学、分析化学、设施蔬菜栽培学、工厂化育苗原理</w:t>
            </w:r>
            <w:r>
              <w:rPr>
                <w:bCs/>
              </w:rPr>
              <w:t>与技术</w:t>
            </w:r>
          </w:p>
        </w:tc>
      </w:tr>
      <w:tr w:rsidR="00F5289E" w14:paraId="44BE1D7D" w14:textId="77777777">
        <w:trPr>
          <w:trHeight w:val="435"/>
        </w:trPr>
        <w:tc>
          <w:tcPr>
            <w:tcW w:w="1226" w:type="pct"/>
            <w:vAlign w:val="center"/>
          </w:tcPr>
          <w:p w14:paraId="567482A1" w14:textId="77777777" w:rsidR="00F5289E" w:rsidRDefault="00C91173">
            <w:pPr>
              <w:rPr>
                <w:rFonts w:ascii="宋体" w:hAnsi="宋体"/>
                <w:b/>
              </w:rPr>
            </w:pPr>
            <w:r>
              <w:rPr>
                <w:rFonts w:ascii="宋体" w:hAnsi="宋体" w:hint="eastAsia"/>
                <w:b/>
              </w:rPr>
              <w:t>主撰人：</w:t>
            </w:r>
            <w:r>
              <w:rPr>
                <w:rFonts w:ascii="宋体" w:hAnsi="宋体" w:hint="eastAsia"/>
                <w:bCs/>
              </w:rPr>
              <w:t xml:space="preserve"> 吴帼秀</w:t>
            </w:r>
          </w:p>
        </w:tc>
        <w:tc>
          <w:tcPr>
            <w:tcW w:w="1893" w:type="pct"/>
            <w:gridSpan w:val="2"/>
            <w:vAlign w:val="center"/>
          </w:tcPr>
          <w:p w14:paraId="4EC43D78" w14:textId="77777777" w:rsidR="00F5289E" w:rsidRDefault="00C91173">
            <w:pPr>
              <w:rPr>
                <w:rFonts w:ascii="黑体" w:eastAsia="黑体"/>
                <w:b/>
              </w:rPr>
            </w:pPr>
            <w:r>
              <w:rPr>
                <w:rFonts w:ascii="宋体" w:hAnsi="宋体" w:hint="eastAsia"/>
                <w:b/>
              </w:rPr>
              <w:t>审核人：</w:t>
            </w:r>
            <w:r>
              <w:rPr>
                <w:rFonts w:asciiTheme="minorEastAsia" w:eastAsiaTheme="minorEastAsia" w:hAnsiTheme="minorEastAsia" w:hint="eastAsia"/>
                <w:bCs/>
              </w:rPr>
              <w:t>李胜利</w:t>
            </w:r>
          </w:p>
        </w:tc>
        <w:tc>
          <w:tcPr>
            <w:tcW w:w="1881" w:type="pct"/>
            <w:vAlign w:val="center"/>
          </w:tcPr>
          <w:p w14:paraId="5976FC69" w14:textId="77777777" w:rsidR="00F5289E" w:rsidRDefault="00C91173">
            <w:pPr>
              <w:rPr>
                <w:rFonts w:ascii="宋体" w:hAnsi="宋体"/>
                <w:b/>
              </w:rPr>
            </w:pPr>
            <w:r>
              <w:rPr>
                <w:rFonts w:ascii="宋体" w:hAnsi="宋体" w:hint="eastAsia"/>
                <w:b/>
              </w:rPr>
              <w:t>大纲制定（修订）日期：</w:t>
            </w:r>
            <w:r>
              <w:rPr>
                <w:rFonts w:eastAsia="黑体"/>
                <w:bCs/>
              </w:rPr>
              <w:t>2023.05</w:t>
            </w:r>
          </w:p>
        </w:tc>
      </w:tr>
    </w:tbl>
    <w:p w14:paraId="4C7E19FA" w14:textId="77777777" w:rsidR="00F5289E" w:rsidRDefault="00C91173">
      <w:pPr>
        <w:widowControl/>
        <w:spacing w:line="300" w:lineRule="auto"/>
        <w:jc w:val="left"/>
        <w:rPr>
          <w:rFonts w:ascii="宋体" w:hAnsi="宋体" w:cs="宋体"/>
          <w:b/>
          <w:kern w:val="0"/>
          <w:szCs w:val="21"/>
        </w:rPr>
      </w:pPr>
      <w:r>
        <w:rPr>
          <w:rFonts w:ascii="宋体" w:hAnsi="宋体" w:cs="宋体" w:hint="eastAsia"/>
          <w:b/>
          <w:kern w:val="0"/>
          <w:szCs w:val="21"/>
        </w:rPr>
        <w:t>1. 课程简介</w:t>
      </w:r>
    </w:p>
    <w:p w14:paraId="1CB7764C"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t>《无土栽培学》是</w:t>
      </w:r>
      <w:r>
        <w:rPr>
          <w:rFonts w:ascii="宋体" w:hAnsi="宋体" w:hint="eastAsia"/>
          <w:color w:val="000000" w:themeColor="text1"/>
        </w:rPr>
        <w:t>设施农业科学与工程</w:t>
      </w:r>
      <w:r>
        <w:rPr>
          <w:rFonts w:hint="eastAsia"/>
          <w:color w:val="262600"/>
        </w:rPr>
        <w:t>专业的一门基础理论与应用技术相结合的科学。是高等农业院校</w:t>
      </w:r>
      <w:r>
        <w:rPr>
          <w:rFonts w:ascii="宋体" w:hAnsi="宋体" w:hint="eastAsia"/>
        </w:rPr>
        <w:t>设施农业科学与工程</w:t>
      </w:r>
      <w:r>
        <w:rPr>
          <w:rFonts w:hint="eastAsia"/>
          <w:color w:val="262600"/>
        </w:rPr>
        <w:t>专业的必修课程，通过课堂教学和实验，使学生能够掌握无土栽培的原理和技术，以及营养液、基质的配方组成、配制和管理技术。了解无土栽培的各种形式和利用途径。为学生将来从事园艺作物无土栽培生产实践打下基础。</w:t>
      </w:r>
    </w:p>
    <w:p w14:paraId="4541F95B" w14:textId="77777777" w:rsidR="00F5289E" w:rsidRDefault="00C91173">
      <w:pPr>
        <w:tabs>
          <w:tab w:val="left" w:pos="3720"/>
          <w:tab w:val="left" w:pos="3780"/>
          <w:tab w:val="left" w:pos="4305"/>
        </w:tabs>
        <w:adjustRightInd w:val="0"/>
        <w:snapToGrid w:val="0"/>
        <w:spacing w:beforeLines="50" w:before="156" w:line="360" w:lineRule="auto"/>
        <w:rPr>
          <w:rFonts w:ascii="宋体" w:hAnsi="宋体"/>
          <w:b/>
          <w:szCs w:val="21"/>
        </w:rPr>
      </w:pPr>
      <w:r>
        <w:rPr>
          <w:rFonts w:ascii="宋体" w:hAnsi="宋体"/>
          <w:b/>
          <w:szCs w:val="21"/>
        </w:rPr>
        <w:t>2.</w:t>
      </w:r>
      <w:r>
        <w:rPr>
          <w:rFonts w:ascii="宋体" w:hAnsi="宋体" w:hint="eastAsia"/>
          <w:b/>
          <w:szCs w:val="21"/>
        </w:rPr>
        <w:t>课程劳动教育</w:t>
      </w:r>
    </w:p>
    <w:p w14:paraId="0F07F74C" w14:textId="77777777" w:rsidR="00F5289E" w:rsidRDefault="00C91173">
      <w:pPr>
        <w:tabs>
          <w:tab w:val="left" w:pos="3720"/>
          <w:tab w:val="left" w:pos="3780"/>
          <w:tab w:val="left" w:pos="4305"/>
        </w:tabs>
        <w:adjustRightInd w:val="0"/>
        <w:snapToGrid w:val="0"/>
        <w:spacing w:beforeLines="50" w:before="156" w:line="360" w:lineRule="auto"/>
        <w:ind w:firstLineChars="200" w:firstLine="420"/>
        <w:rPr>
          <w:rFonts w:ascii="宋体" w:hAnsi="宋体"/>
          <w:color w:val="000000" w:themeColor="text1"/>
          <w:szCs w:val="21"/>
        </w:rPr>
      </w:pPr>
      <w:r>
        <w:rPr>
          <w:rFonts w:ascii="宋体" w:hAnsi="宋体" w:hint="eastAsia"/>
          <w:color w:val="000000" w:themeColor="text1"/>
          <w:szCs w:val="21"/>
        </w:rPr>
        <w:t>每学期有计划地安排学生到学校实践基地、到生产一线、</w:t>
      </w:r>
      <w:r>
        <w:rPr>
          <w:rFonts w:ascii="宋体" w:hAnsi="宋体"/>
          <w:color w:val="000000" w:themeColor="text1"/>
          <w:szCs w:val="21"/>
        </w:rPr>
        <w:t>现代化园区</w:t>
      </w:r>
      <w:r>
        <w:rPr>
          <w:rFonts w:ascii="宋体" w:hAnsi="宋体" w:hint="eastAsia"/>
          <w:color w:val="000000" w:themeColor="text1"/>
          <w:szCs w:val="21"/>
        </w:rPr>
        <w:t>现场调研考察、实地学习，增强学生服务“三农”和农业农村现代化的使命感和责任感，提升学生学农知农爱农素养和专业实践能力。</w:t>
      </w:r>
    </w:p>
    <w:p w14:paraId="3FA6CCEA" w14:textId="77777777" w:rsidR="00F5289E" w:rsidRDefault="00C91173">
      <w:pPr>
        <w:tabs>
          <w:tab w:val="left" w:pos="3720"/>
          <w:tab w:val="left" w:pos="3780"/>
          <w:tab w:val="left" w:pos="4305"/>
        </w:tabs>
        <w:adjustRightInd w:val="0"/>
        <w:snapToGrid w:val="0"/>
        <w:spacing w:beforeLines="50" w:before="156" w:line="360" w:lineRule="auto"/>
        <w:ind w:firstLineChars="200" w:firstLine="420"/>
        <w:rPr>
          <w:rFonts w:ascii="宋体" w:hAnsi="宋体"/>
          <w:color w:val="000000" w:themeColor="text1"/>
          <w:szCs w:val="21"/>
        </w:rPr>
      </w:pPr>
      <w:r>
        <w:rPr>
          <w:rFonts w:ascii="宋体" w:hAnsi="宋体"/>
          <w:color w:val="000000" w:themeColor="text1"/>
          <w:szCs w:val="21"/>
        </w:rPr>
        <w:t>如</w:t>
      </w:r>
      <w:r>
        <w:rPr>
          <w:rFonts w:ascii="宋体" w:hAnsi="宋体" w:hint="eastAsia"/>
          <w:color w:val="000000" w:themeColor="text1"/>
          <w:szCs w:val="21"/>
        </w:rPr>
        <w:t>参观鄢陵</w:t>
      </w:r>
      <w:r>
        <w:rPr>
          <w:rFonts w:ascii="宋体" w:hAnsi="宋体"/>
          <w:color w:val="000000" w:themeColor="text1"/>
          <w:szCs w:val="21"/>
        </w:rPr>
        <w:t>建业绿色基地的</w:t>
      </w:r>
      <w:r>
        <w:rPr>
          <w:rFonts w:ascii="宋体" w:hAnsi="宋体" w:hint="eastAsia"/>
          <w:color w:val="000000" w:themeColor="text1"/>
          <w:szCs w:val="21"/>
        </w:rPr>
        <w:t>现代化</w:t>
      </w:r>
      <w:r>
        <w:rPr>
          <w:rFonts w:ascii="宋体" w:hAnsi="宋体"/>
          <w:color w:val="000000" w:themeColor="text1"/>
          <w:szCs w:val="21"/>
        </w:rPr>
        <w:t>无土栽培连栋温室</w:t>
      </w:r>
      <w:r>
        <w:rPr>
          <w:rFonts w:ascii="宋体" w:hAnsi="宋体" w:hint="eastAsia"/>
          <w:color w:val="000000" w:themeColor="text1"/>
          <w:szCs w:val="21"/>
        </w:rPr>
        <w:t>，</w:t>
      </w:r>
      <w:r>
        <w:rPr>
          <w:rFonts w:ascii="宋体" w:hAnsi="宋体"/>
          <w:color w:val="000000" w:themeColor="text1"/>
          <w:szCs w:val="21"/>
        </w:rPr>
        <w:t>可以</w:t>
      </w:r>
      <w:r>
        <w:rPr>
          <w:rFonts w:ascii="宋体" w:hAnsi="宋体" w:hint="eastAsia"/>
          <w:color w:val="000000" w:themeColor="text1"/>
          <w:szCs w:val="21"/>
        </w:rPr>
        <w:t>加深</w:t>
      </w:r>
      <w:r>
        <w:rPr>
          <w:rFonts w:ascii="宋体" w:hAnsi="宋体"/>
          <w:color w:val="000000" w:themeColor="text1"/>
          <w:szCs w:val="21"/>
        </w:rPr>
        <w:t>理论学习，又</w:t>
      </w:r>
      <w:r>
        <w:rPr>
          <w:rFonts w:ascii="宋体" w:hAnsi="宋体" w:hint="eastAsia"/>
          <w:color w:val="000000" w:themeColor="text1"/>
          <w:szCs w:val="21"/>
        </w:rPr>
        <w:t>使</w:t>
      </w:r>
      <w:r>
        <w:rPr>
          <w:rFonts w:ascii="宋体" w:hAnsi="宋体"/>
          <w:color w:val="000000" w:themeColor="text1"/>
          <w:szCs w:val="21"/>
        </w:rPr>
        <w:t>学生了解到现代化</w:t>
      </w:r>
      <w:r>
        <w:rPr>
          <w:rFonts w:ascii="宋体" w:hAnsi="宋体" w:hint="eastAsia"/>
          <w:color w:val="000000" w:themeColor="text1"/>
          <w:szCs w:val="21"/>
        </w:rPr>
        <w:t>农业</w:t>
      </w:r>
      <w:r>
        <w:rPr>
          <w:rFonts w:ascii="宋体" w:hAnsi="宋体"/>
          <w:color w:val="000000" w:themeColor="text1"/>
          <w:szCs w:val="21"/>
        </w:rPr>
        <w:t>发展现状，</w:t>
      </w:r>
      <w:r>
        <w:rPr>
          <w:rFonts w:ascii="宋体" w:hAnsi="宋体" w:hint="eastAsia"/>
          <w:color w:val="000000" w:themeColor="text1"/>
          <w:szCs w:val="21"/>
        </w:rPr>
        <w:t>从而</w:t>
      </w:r>
      <w:r>
        <w:rPr>
          <w:rFonts w:ascii="宋体" w:hAnsi="宋体"/>
          <w:color w:val="000000" w:themeColor="text1"/>
          <w:szCs w:val="21"/>
        </w:rPr>
        <w:t>激发服务农业农村现代化建设的热情。</w:t>
      </w:r>
      <w:r>
        <w:rPr>
          <w:rFonts w:ascii="宋体" w:hAnsi="宋体" w:hint="eastAsia"/>
          <w:color w:val="000000" w:themeColor="text1"/>
          <w:szCs w:val="21"/>
        </w:rPr>
        <w:t>考察</w:t>
      </w:r>
      <w:r>
        <w:rPr>
          <w:rFonts w:ascii="宋体" w:hAnsi="宋体"/>
          <w:color w:val="000000" w:themeColor="text1"/>
          <w:szCs w:val="21"/>
        </w:rPr>
        <w:t>焦作马村仙果小镇的生产模式及运行过程，使学生深入认识到学农</w:t>
      </w:r>
      <w:r>
        <w:rPr>
          <w:rFonts w:ascii="宋体" w:hAnsi="宋体" w:hint="eastAsia"/>
          <w:color w:val="000000" w:themeColor="text1"/>
          <w:szCs w:val="21"/>
        </w:rPr>
        <w:t>知</w:t>
      </w:r>
      <w:r>
        <w:rPr>
          <w:rFonts w:ascii="宋体" w:hAnsi="宋体"/>
          <w:color w:val="000000" w:themeColor="text1"/>
          <w:szCs w:val="21"/>
        </w:rPr>
        <w:t>农的重要性</w:t>
      </w:r>
      <w:r>
        <w:rPr>
          <w:rFonts w:ascii="宋体" w:hAnsi="宋体" w:hint="eastAsia"/>
          <w:color w:val="000000" w:themeColor="text1"/>
          <w:szCs w:val="21"/>
        </w:rPr>
        <w:t>，了解到</w:t>
      </w:r>
      <w:r>
        <w:rPr>
          <w:rFonts w:ascii="宋体" w:hAnsi="宋体"/>
          <w:color w:val="000000" w:themeColor="text1"/>
          <w:szCs w:val="21"/>
        </w:rPr>
        <w:t>产学研相结合的优势</w:t>
      </w:r>
      <w:r>
        <w:rPr>
          <w:rFonts w:ascii="宋体" w:hAnsi="宋体" w:hint="eastAsia"/>
          <w:color w:val="000000" w:themeColor="text1"/>
          <w:szCs w:val="21"/>
        </w:rPr>
        <w:t>以及</w:t>
      </w:r>
      <w:r>
        <w:rPr>
          <w:rFonts w:ascii="宋体" w:hAnsi="宋体"/>
          <w:color w:val="000000" w:themeColor="text1"/>
          <w:szCs w:val="21"/>
        </w:rPr>
        <w:t>生产企业</w:t>
      </w:r>
      <w:r>
        <w:rPr>
          <w:rFonts w:ascii="宋体" w:hAnsi="宋体" w:hint="eastAsia"/>
          <w:color w:val="000000" w:themeColor="text1"/>
          <w:szCs w:val="21"/>
        </w:rPr>
        <w:t>对</w:t>
      </w:r>
      <w:r>
        <w:rPr>
          <w:rFonts w:ascii="宋体" w:hAnsi="宋体"/>
          <w:color w:val="000000" w:themeColor="text1"/>
          <w:szCs w:val="21"/>
        </w:rPr>
        <w:t>当地农业发展的带动性，加强了学生服务</w:t>
      </w:r>
      <w:r>
        <w:rPr>
          <w:rFonts w:ascii="宋体" w:hAnsi="宋体" w:hint="eastAsia"/>
          <w:color w:val="000000" w:themeColor="text1"/>
          <w:szCs w:val="21"/>
        </w:rPr>
        <w:t>“三农”的</w:t>
      </w:r>
      <w:r>
        <w:rPr>
          <w:rFonts w:ascii="宋体" w:hAnsi="宋体"/>
          <w:color w:val="000000" w:themeColor="text1"/>
          <w:szCs w:val="21"/>
        </w:rPr>
        <w:t>意识。</w:t>
      </w:r>
    </w:p>
    <w:p w14:paraId="7D101096" w14:textId="77777777" w:rsidR="00F5289E" w:rsidRDefault="00C91173">
      <w:pPr>
        <w:spacing w:line="360" w:lineRule="auto"/>
        <w:rPr>
          <w:rFonts w:ascii="宋体" w:hAnsi="宋体"/>
          <w:b/>
          <w:szCs w:val="21"/>
        </w:rPr>
      </w:pPr>
      <w:r>
        <w:rPr>
          <w:rFonts w:ascii="宋体" w:hAnsi="宋体"/>
          <w:b/>
          <w:szCs w:val="21"/>
        </w:rPr>
        <w:t>3</w:t>
      </w:r>
      <w:r>
        <w:rPr>
          <w:rFonts w:ascii="宋体" w:hAnsi="宋体" w:cs="宋体" w:hint="eastAsia"/>
          <w:b/>
          <w:kern w:val="0"/>
          <w:szCs w:val="21"/>
        </w:rPr>
        <w:t xml:space="preserve">. </w:t>
      </w:r>
      <w:r>
        <w:rPr>
          <w:rFonts w:ascii="宋体" w:hAnsi="宋体" w:hint="eastAsia"/>
          <w:b/>
          <w:szCs w:val="21"/>
        </w:rPr>
        <w:t>实习目的和要求</w:t>
      </w:r>
    </w:p>
    <w:p w14:paraId="6C5933B0"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t>实地</w:t>
      </w:r>
      <w:r>
        <w:rPr>
          <w:color w:val="262600"/>
        </w:rPr>
        <w:t>参观无土栽培生产基地，</w:t>
      </w:r>
      <w:r>
        <w:rPr>
          <w:rFonts w:hint="eastAsia"/>
          <w:color w:val="262600"/>
        </w:rPr>
        <w:t>了解无土栽培发展</w:t>
      </w:r>
      <w:r>
        <w:rPr>
          <w:color w:val="262600"/>
        </w:rPr>
        <w:t>现状</w:t>
      </w:r>
      <w:r>
        <w:rPr>
          <w:rFonts w:hint="eastAsia"/>
          <w:color w:val="262600"/>
        </w:rPr>
        <w:t>，</w:t>
      </w:r>
      <w:r>
        <w:rPr>
          <w:color w:val="262600"/>
        </w:rPr>
        <w:t>发现生产中</w:t>
      </w:r>
      <w:r>
        <w:rPr>
          <w:rFonts w:hint="eastAsia"/>
          <w:color w:val="262600"/>
        </w:rPr>
        <w:t>存在</w:t>
      </w:r>
      <w:r>
        <w:rPr>
          <w:color w:val="262600"/>
        </w:rPr>
        <w:t>的问题</w:t>
      </w:r>
      <w:r>
        <w:rPr>
          <w:rFonts w:hint="eastAsia"/>
          <w:color w:val="262600"/>
        </w:rPr>
        <w:t>。学使生开拓知识视野，了解领域发展，激发专业兴趣。</w:t>
      </w:r>
    </w:p>
    <w:p w14:paraId="3520E80A" w14:textId="77777777" w:rsidR="00F5289E" w:rsidRDefault="00C91173">
      <w:pPr>
        <w:spacing w:line="300" w:lineRule="auto"/>
        <w:rPr>
          <w:rFonts w:ascii="宋体" w:hAnsi="宋体"/>
          <w:b/>
          <w:szCs w:val="21"/>
        </w:rPr>
      </w:pPr>
      <w:r>
        <w:rPr>
          <w:rFonts w:ascii="宋体" w:hAnsi="宋体"/>
          <w:b/>
          <w:szCs w:val="21"/>
        </w:rPr>
        <w:t>4</w:t>
      </w:r>
      <w:r>
        <w:rPr>
          <w:rFonts w:ascii="宋体" w:hAnsi="宋体" w:cs="宋体" w:hint="eastAsia"/>
          <w:b/>
          <w:kern w:val="0"/>
          <w:szCs w:val="21"/>
        </w:rPr>
        <w:t xml:space="preserve">. </w:t>
      </w:r>
      <w:r>
        <w:rPr>
          <w:rFonts w:ascii="宋体" w:hAnsi="宋体" w:hint="eastAsia"/>
          <w:b/>
          <w:szCs w:val="21"/>
        </w:rPr>
        <w:t>实习地点及内容</w:t>
      </w:r>
    </w:p>
    <w:p w14:paraId="4A72A046"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rFonts w:ascii="宋体" w:hAnsi="宋体"/>
          <w:color w:val="0000FF"/>
          <w:szCs w:val="21"/>
        </w:rPr>
      </w:pPr>
      <w:r>
        <w:rPr>
          <w:rFonts w:ascii="宋体" w:hAnsi="宋体" w:hint="eastAsia"/>
          <w:b/>
          <w:szCs w:val="21"/>
        </w:rPr>
        <w:t>（1）</w:t>
      </w:r>
      <w:r>
        <w:rPr>
          <w:rFonts w:ascii="宋体" w:hAnsi="宋体" w:hint="eastAsia"/>
          <w:b/>
          <w:bCs/>
          <w:szCs w:val="21"/>
        </w:rPr>
        <w:t>实习</w:t>
      </w:r>
      <w:r>
        <w:rPr>
          <w:rFonts w:ascii="宋体" w:hAnsi="宋体" w:hint="eastAsia"/>
          <w:b/>
          <w:szCs w:val="21"/>
        </w:rPr>
        <w:t>地点：</w:t>
      </w:r>
      <w:r>
        <w:rPr>
          <w:rFonts w:ascii="宋体" w:hAnsi="宋体" w:hint="eastAsia"/>
          <w:szCs w:val="21"/>
        </w:rPr>
        <w:t>河南农业大学</w:t>
      </w:r>
      <w:r>
        <w:rPr>
          <w:rFonts w:ascii="宋体" w:hAnsi="宋体"/>
          <w:szCs w:val="21"/>
        </w:rPr>
        <w:t>科教园区、三区试验地、</w:t>
      </w:r>
      <w:r>
        <w:rPr>
          <w:rFonts w:ascii="宋体" w:hAnsi="宋体" w:hint="eastAsia"/>
          <w:szCs w:val="21"/>
        </w:rPr>
        <w:t>河南省</w:t>
      </w:r>
      <w:r>
        <w:rPr>
          <w:rFonts w:hint="eastAsia"/>
          <w:color w:val="262600"/>
        </w:rPr>
        <w:t>无土栽培</w:t>
      </w:r>
      <w:r>
        <w:rPr>
          <w:color w:val="262600"/>
        </w:rPr>
        <w:t>生产企业</w:t>
      </w:r>
      <w:r>
        <w:rPr>
          <w:rFonts w:hint="eastAsia"/>
          <w:color w:val="262600"/>
        </w:rPr>
        <w:t>。</w:t>
      </w:r>
    </w:p>
    <w:p w14:paraId="2A7B72B3" w14:textId="77777777" w:rsidR="00F5289E" w:rsidRDefault="00C91173">
      <w:pPr>
        <w:tabs>
          <w:tab w:val="left" w:pos="3720"/>
          <w:tab w:val="left" w:pos="3780"/>
          <w:tab w:val="left" w:pos="4305"/>
        </w:tabs>
        <w:adjustRightInd w:val="0"/>
        <w:snapToGrid w:val="0"/>
        <w:spacing w:beforeLines="50" w:before="156" w:line="360" w:lineRule="auto"/>
        <w:ind w:firstLineChars="196" w:firstLine="413"/>
        <w:rPr>
          <w:rFonts w:ascii="宋体" w:hAnsi="宋体"/>
          <w:color w:val="000000" w:themeColor="text1"/>
          <w:szCs w:val="21"/>
        </w:rPr>
      </w:pPr>
      <w:r>
        <w:rPr>
          <w:rFonts w:ascii="宋体" w:hAnsi="宋体" w:hint="eastAsia"/>
          <w:b/>
          <w:szCs w:val="21"/>
        </w:rPr>
        <w:t>（2）</w:t>
      </w:r>
      <w:r>
        <w:rPr>
          <w:rFonts w:ascii="宋体" w:hAnsi="宋体" w:hint="eastAsia"/>
          <w:b/>
          <w:bCs/>
          <w:szCs w:val="21"/>
        </w:rPr>
        <w:t>实习内容：</w:t>
      </w:r>
      <w:r>
        <w:rPr>
          <w:rFonts w:hint="eastAsia"/>
          <w:color w:val="262600"/>
        </w:rPr>
        <w:t>参观了解</w:t>
      </w:r>
      <w:r>
        <w:rPr>
          <w:color w:val="262600"/>
        </w:rPr>
        <w:t>生产基地的无土栽培</w:t>
      </w:r>
      <w:r>
        <w:rPr>
          <w:rFonts w:hint="eastAsia"/>
          <w:color w:val="262600"/>
        </w:rPr>
        <w:t>类型</w:t>
      </w:r>
      <w:r>
        <w:rPr>
          <w:color w:val="262600"/>
        </w:rPr>
        <w:t>、规模、运行模式、成本等</w:t>
      </w:r>
      <w:r>
        <w:rPr>
          <w:rFonts w:hint="eastAsia"/>
          <w:color w:val="262600"/>
        </w:rPr>
        <w:t>。</w:t>
      </w:r>
    </w:p>
    <w:p w14:paraId="5CEC0BA0" w14:textId="77777777" w:rsidR="00F5289E" w:rsidRDefault="00C91173">
      <w:pPr>
        <w:spacing w:line="360" w:lineRule="auto"/>
        <w:rPr>
          <w:rFonts w:ascii="宋体" w:hAnsi="宋体"/>
          <w:b/>
          <w:szCs w:val="21"/>
        </w:rPr>
      </w:pPr>
      <w:r>
        <w:rPr>
          <w:rFonts w:ascii="宋体" w:hAnsi="宋体"/>
          <w:b/>
          <w:szCs w:val="21"/>
        </w:rPr>
        <w:t>5</w:t>
      </w:r>
      <w:r>
        <w:rPr>
          <w:rFonts w:ascii="宋体" w:hAnsi="宋体" w:cs="宋体" w:hint="eastAsia"/>
          <w:b/>
          <w:kern w:val="0"/>
          <w:szCs w:val="21"/>
        </w:rPr>
        <w:t xml:space="preserve">. </w:t>
      </w:r>
      <w:r>
        <w:rPr>
          <w:rFonts w:ascii="宋体" w:hAnsi="宋体" w:hint="eastAsia"/>
          <w:b/>
          <w:szCs w:val="21"/>
        </w:rPr>
        <w:t>实习时间安排</w:t>
      </w:r>
    </w:p>
    <w:p w14:paraId="6686E7B8"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t>理论课程</w:t>
      </w:r>
      <w:r>
        <w:rPr>
          <w:color w:val="262600"/>
        </w:rPr>
        <w:t>基本结束时</w:t>
      </w:r>
      <w:r>
        <w:rPr>
          <w:rFonts w:hint="eastAsia"/>
          <w:color w:val="262600"/>
        </w:rPr>
        <w:t>，时间为</w:t>
      </w:r>
      <w:r>
        <w:rPr>
          <w:rFonts w:hint="eastAsia"/>
          <w:color w:val="262600"/>
        </w:rPr>
        <w:t>2.5</w:t>
      </w:r>
      <w:r>
        <w:rPr>
          <w:rFonts w:hint="eastAsia"/>
          <w:color w:val="262600"/>
        </w:rPr>
        <w:t>天。</w:t>
      </w:r>
    </w:p>
    <w:p w14:paraId="60745B94" w14:textId="77777777" w:rsidR="00F5289E" w:rsidRDefault="00C91173">
      <w:pPr>
        <w:spacing w:line="360" w:lineRule="auto"/>
        <w:rPr>
          <w:rFonts w:ascii="宋体" w:hAnsi="宋体"/>
          <w:b/>
          <w:szCs w:val="21"/>
        </w:rPr>
      </w:pPr>
      <w:r>
        <w:rPr>
          <w:rFonts w:ascii="宋体" w:hAnsi="宋体"/>
          <w:b/>
          <w:szCs w:val="21"/>
        </w:rPr>
        <w:t>6</w:t>
      </w:r>
      <w:r>
        <w:rPr>
          <w:rFonts w:ascii="宋体" w:hAnsi="宋体" w:cs="宋体" w:hint="eastAsia"/>
          <w:b/>
          <w:kern w:val="0"/>
          <w:szCs w:val="21"/>
        </w:rPr>
        <w:t xml:space="preserve">. </w:t>
      </w:r>
      <w:r>
        <w:rPr>
          <w:rFonts w:ascii="宋体" w:hAnsi="宋体" w:hint="eastAsia"/>
          <w:b/>
          <w:szCs w:val="21"/>
        </w:rPr>
        <w:t>实习具体要求</w:t>
      </w:r>
    </w:p>
    <w:p w14:paraId="6AEA1F85"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t>遵守</w:t>
      </w:r>
      <w:r>
        <w:rPr>
          <w:color w:val="262600"/>
        </w:rPr>
        <w:t>学校相关要求，</w:t>
      </w:r>
      <w:r>
        <w:rPr>
          <w:rFonts w:hint="eastAsia"/>
          <w:color w:val="262600"/>
        </w:rPr>
        <w:t>保障人身</w:t>
      </w:r>
      <w:r>
        <w:rPr>
          <w:color w:val="262600"/>
        </w:rPr>
        <w:t>安全</w:t>
      </w:r>
      <w:r>
        <w:rPr>
          <w:rFonts w:hint="eastAsia"/>
          <w:color w:val="262600"/>
        </w:rPr>
        <w:t>；遵守基地</w:t>
      </w:r>
      <w:r>
        <w:rPr>
          <w:color w:val="262600"/>
        </w:rPr>
        <w:t>规章制度，文明参观；认真记录所看所听，勤学好问，勤于思考。</w:t>
      </w:r>
    </w:p>
    <w:p w14:paraId="32C81A97" w14:textId="77777777" w:rsidR="00F5289E" w:rsidRDefault="00C91173">
      <w:pPr>
        <w:widowControl/>
        <w:spacing w:line="360" w:lineRule="auto"/>
        <w:jc w:val="left"/>
        <w:rPr>
          <w:rFonts w:ascii="宋体" w:hAnsi="宋体" w:cs="宋体"/>
          <w:b/>
          <w:kern w:val="0"/>
          <w:szCs w:val="21"/>
        </w:rPr>
      </w:pPr>
      <w:r>
        <w:rPr>
          <w:rFonts w:ascii="宋体" w:hAnsi="宋体"/>
          <w:b/>
          <w:szCs w:val="21"/>
        </w:rPr>
        <w:t>7</w:t>
      </w:r>
      <w:r>
        <w:rPr>
          <w:rFonts w:ascii="宋体" w:hAnsi="宋体" w:cs="宋体" w:hint="eastAsia"/>
          <w:b/>
          <w:kern w:val="0"/>
          <w:szCs w:val="21"/>
        </w:rPr>
        <w:t>. 考核方式与成绩评定标准</w:t>
      </w:r>
    </w:p>
    <w:p w14:paraId="41B0F4A3" w14:textId="77777777" w:rsidR="00F5289E" w:rsidRDefault="00C91173">
      <w:pPr>
        <w:tabs>
          <w:tab w:val="left" w:pos="3720"/>
          <w:tab w:val="left" w:pos="3780"/>
          <w:tab w:val="left" w:pos="4305"/>
        </w:tabs>
        <w:adjustRightInd w:val="0"/>
        <w:snapToGrid w:val="0"/>
        <w:spacing w:beforeLines="50" w:before="156" w:line="360" w:lineRule="auto"/>
        <w:ind w:firstLineChars="196" w:firstLine="412"/>
        <w:rPr>
          <w:color w:val="262600"/>
        </w:rPr>
      </w:pPr>
      <w:r>
        <w:rPr>
          <w:rFonts w:hint="eastAsia"/>
          <w:color w:val="262600"/>
        </w:rPr>
        <w:lastRenderedPageBreak/>
        <w:t>实习结束，撰写实习</w:t>
      </w:r>
      <w:r>
        <w:rPr>
          <w:color w:val="262600"/>
        </w:rPr>
        <w:t>报告</w:t>
      </w:r>
      <w:r>
        <w:rPr>
          <w:rFonts w:hint="eastAsia"/>
          <w:color w:val="262600"/>
        </w:rPr>
        <w:t>，描述</w:t>
      </w:r>
      <w:r>
        <w:rPr>
          <w:color w:val="262600"/>
        </w:rPr>
        <w:t>所看</w:t>
      </w:r>
      <w:r>
        <w:rPr>
          <w:rFonts w:hint="eastAsia"/>
          <w:color w:val="262600"/>
        </w:rPr>
        <w:t>、</w:t>
      </w:r>
      <w:r>
        <w:rPr>
          <w:color w:val="262600"/>
        </w:rPr>
        <w:t>所听</w:t>
      </w:r>
      <w:r>
        <w:rPr>
          <w:rFonts w:hint="eastAsia"/>
          <w:color w:val="262600"/>
        </w:rPr>
        <w:t>、</w:t>
      </w:r>
      <w:r>
        <w:rPr>
          <w:color w:val="262600"/>
        </w:rPr>
        <w:t>所学</w:t>
      </w:r>
      <w:r>
        <w:rPr>
          <w:rFonts w:hint="eastAsia"/>
          <w:color w:val="262600"/>
        </w:rPr>
        <w:t>、所思。</w:t>
      </w:r>
    </w:p>
    <w:p w14:paraId="3CA5ECA1" w14:textId="77777777" w:rsidR="00F5289E" w:rsidRDefault="00C91173">
      <w:pPr>
        <w:widowControl/>
        <w:spacing w:line="300" w:lineRule="auto"/>
        <w:jc w:val="left"/>
        <w:rPr>
          <w:rFonts w:ascii="宋体" w:hAnsi="宋体" w:cs="宋体"/>
          <w:b/>
          <w:kern w:val="0"/>
          <w:szCs w:val="21"/>
        </w:rPr>
      </w:pPr>
      <w:r>
        <w:rPr>
          <w:rFonts w:ascii="宋体" w:hAnsi="宋体" w:cs="宋体"/>
          <w:b/>
          <w:kern w:val="0"/>
          <w:szCs w:val="21"/>
        </w:rPr>
        <w:t>8</w:t>
      </w:r>
      <w:r>
        <w:rPr>
          <w:rFonts w:ascii="宋体" w:hAnsi="宋体" w:cs="宋体" w:hint="eastAsia"/>
          <w:b/>
          <w:kern w:val="0"/>
          <w:szCs w:val="21"/>
        </w:rPr>
        <w:t>. 教材及主要参考资料</w:t>
      </w:r>
    </w:p>
    <w:p w14:paraId="4473A70B" w14:textId="77777777" w:rsidR="00F5289E" w:rsidRDefault="00C91173">
      <w:pPr>
        <w:snapToGrid w:val="0"/>
        <w:spacing w:beforeLines="50" w:before="156" w:line="360" w:lineRule="auto"/>
        <w:rPr>
          <w:rFonts w:eastAsiaTheme="minorEastAsia"/>
        </w:rPr>
      </w:pPr>
      <w:r>
        <w:rPr>
          <w:rFonts w:eastAsiaTheme="minorEastAsia" w:hAnsiTheme="minorEastAsia"/>
        </w:rPr>
        <w:t>《无土栽培学》，高丽红、别之龙主编，中国农业大学出版社，</w:t>
      </w:r>
      <w:r>
        <w:rPr>
          <w:rFonts w:eastAsiaTheme="minorEastAsia"/>
        </w:rPr>
        <w:t>2017</w:t>
      </w:r>
      <w:r>
        <w:rPr>
          <w:rFonts w:eastAsiaTheme="minorEastAsia" w:hAnsiTheme="minorEastAsia"/>
        </w:rPr>
        <w:t>年</w:t>
      </w:r>
    </w:p>
    <w:p w14:paraId="23DC2092" w14:textId="77777777" w:rsidR="00F5289E" w:rsidRDefault="00C91173">
      <w:pPr>
        <w:snapToGrid w:val="0"/>
        <w:spacing w:line="360" w:lineRule="auto"/>
        <w:rPr>
          <w:rFonts w:eastAsiaTheme="minorEastAsia"/>
          <w:b/>
          <w:bCs/>
          <w:strike/>
          <w:color w:val="0000FF"/>
          <w:kern w:val="0"/>
          <w:szCs w:val="21"/>
        </w:rPr>
      </w:pPr>
      <w:r>
        <w:rPr>
          <w:rFonts w:eastAsiaTheme="minorEastAsia" w:hAnsiTheme="minorEastAsia"/>
        </w:rPr>
        <w:t>《无土栽培学》，郭世荣，中国农业出版社，</w:t>
      </w:r>
      <w:r>
        <w:rPr>
          <w:rFonts w:eastAsiaTheme="minorEastAsia"/>
        </w:rPr>
        <w:t>2003</w:t>
      </w:r>
    </w:p>
    <w:p w14:paraId="4EDA5722" w14:textId="77777777" w:rsidR="00F5289E" w:rsidRDefault="00C91173">
      <w:pPr>
        <w:rPr>
          <w:rFonts w:eastAsiaTheme="minorEastAsia"/>
        </w:rPr>
      </w:pPr>
      <w:r>
        <w:rPr>
          <w:rFonts w:eastAsiaTheme="minorEastAsia" w:hAnsiTheme="minorEastAsia"/>
        </w:rPr>
        <w:t>《无土栽培原理与技术》，刑禹贤，中国农业出版社，</w:t>
      </w:r>
      <w:r>
        <w:rPr>
          <w:rFonts w:eastAsiaTheme="minorEastAsia"/>
        </w:rPr>
        <w:t>2001</w:t>
      </w:r>
      <w:r>
        <w:rPr>
          <w:rFonts w:eastAsiaTheme="minorEastAsia" w:hAnsiTheme="minorEastAsia"/>
        </w:rPr>
        <w:t>年</w:t>
      </w:r>
    </w:p>
    <w:p w14:paraId="294D81E1" w14:textId="77777777" w:rsidR="00F5289E" w:rsidRDefault="00F5289E">
      <w:pPr>
        <w:snapToGrid w:val="0"/>
        <w:spacing w:beforeLines="50" w:before="156" w:line="360" w:lineRule="auto"/>
        <w:rPr>
          <w:rFonts w:eastAsiaTheme="minorEastAsia"/>
          <w:b/>
          <w:szCs w:val="21"/>
        </w:rPr>
      </w:pPr>
    </w:p>
    <w:p w14:paraId="1D7C5601" w14:textId="77777777" w:rsidR="00F5289E" w:rsidRDefault="00F5289E">
      <w:pPr>
        <w:snapToGrid w:val="0"/>
        <w:spacing w:line="360" w:lineRule="auto"/>
        <w:rPr>
          <w:rFonts w:ascii="宋体" w:hAnsi="宋体"/>
          <w:color w:val="0000FF"/>
          <w:szCs w:val="21"/>
        </w:rPr>
      </w:pPr>
    </w:p>
    <w:p w14:paraId="45FC1FDB" w14:textId="77777777" w:rsidR="00F5289E" w:rsidRDefault="00F5289E">
      <w:pPr>
        <w:snapToGrid w:val="0"/>
        <w:spacing w:line="360" w:lineRule="auto"/>
      </w:pPr>
    </w:p>
    <w:p w14:paraId="745EF6F0" w14:textId="77777777" w:rsidR="00F5289E" w:rsidRDefault="00C91173">
      <w:pPr>
        <w:widowControl/>
        <w:jc w:val="left"/>
        <w:rPr>
          <w:rFonts w:ascii="宋体" w:hAnsi="宋体"/>
          <w:b/>
          <w:color w:val="000000" w:themeColor="text1"/>
          <w:szCs w:val="21"/>
        </w:rPr>
      </w:pPr>
      <w:r>
        <w:rPr>
          <w:rFonts w:ascii="宋体" w:hAnsi="宋体"/>
          <w:b/>
          <w:color w:val="000000" w:themeColor="text1"/>
          <w:szCs w:val="21"/>
        </w:rPr>
        <w:br w:type="page"/>
      </w:r>
    </w:p>
    <w:p w14:paraId="7A3441FB" w14:textId="5D678BAA" w:rsidR="00F5289E" w:rsidRDefault="00C91173">
      <w:pPr>
        <w:rPr>
          <w:b/>
          <w:bCs/>
        </w:rPr>
      </w:pPr>
      <w:r>
        <w:rPr>
          <w:rFonts w:hint="eastAsia"/>
          <w:b/>
          <w:bCs/>
        </w:rPr>
        <w:lastRenderedPageBreak/>
        <w:t>（</w:t>
      </w:r>
      <w:r w:rsidR="00736DFF">
        <w:rPr>
          <w:rFonts w:hint="eastAsia"/>
          <w:b/>
          <w:bCs/>
        </w:rPr>
        <w:t>八</w:t>
      </w:r>
      <w:r>
        <w:rPr>
          <w:rFonts w:hint="eastAsia"/>
          <w:b/>
          <w:bCs/>
        </w:rPr>
        <w:t>）农业园区规划与管理实习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6B75C6A8" w14:textId="77777777">
        <w:trPr>
          <w:trHeight w:val="435"/>
        </w:trPr>
        <w:tc>
          <w:tcPr>
            <w:tcW w:w="1666" w:type="pct"/>
            <w:vAlign w:val="center"/>
          </w:tcPr>
          <w:p w14:paraId="41D4307F" w14:textId="77777777" w:rsidR="00F5289E" w:rsidRDefault="00C91173">
            <w:pPr>
              <w:rPr>
                <w:rFonts w:ascii="黑体" w:eastAsia="黑体"/>
                <w:color w:val="000000" w:themeColor="text1"/>
              </w:rPr>
            </w:pPr>
            <w:r>
              <w:rPr>
                <w:rFonts w:ascii="宋体" w:hAnsi="宋体" w:hint="eastAsia"/>
                <w:b/>
                <w:color w:val="000000" w:themeColor="text1"/>
              </w:rPr>
              <w:t>开设学期</w:t>
            </w:r>
            <w:r>
              <w:rPr>
                <w:rFonts w:ascii="宋体" w:hAnsi="宋体" w:hint="eastAsia"/>
                <w:color w:val="000000" w:themeColor="text1"/>
                <w:szCs w:val="21"/>
              </w:rPr>
              <w:t>：第5学期</w:t>
            </w:r>
          </w:p>
        </w:tc>
        <w:tc>
          <w:tcPr>
            <w:tcW w:w="1453" w:type="pct"/>
            <w:vAlign w:val="center"/>
          </w:tcPr>
          <w:p w14:paraId="04554AC9" w14:textId="77777777" w:rsidR="00F5289E" w:rsidRDefault="00C91173">
            <w:pPr>
              <w:rPr>
                <w:rFonts w:ascii="黑体" w:eastAsia="黑体"/>
                <w:color w:val="000000" w:themeColor="text1"/>
              </w:rPr>
            </w:pPr>
            <w:r>
              <w:rPr>
                <w:rFonts w:ascii="宋体" w:hAnsi="宋体" w:hint="eastAsia"/>
                <w:b/>
                <w:color w:val="000000" w:themeColor="text1"/>
              </w:rPr>
              <w:t>实习周数</w:t>
            </w:r>
            <w:r>
              <w:rPr>
                <w:rFonts w:ascii="宋体" w:hAnsi="宋体" w:hint="eastAsia"/>
                <w:color w:val="000000" w:themeColor="text1"/>
                <w:szCs w:val="21"/>
              </w:rPr>
              <w:t>：0</w:t>
            </w:r>
            <w:r>
              <w:rPr>
                <w:rFonts w:ascii="宋体" w:hAnsi="宋体"/>
                <w:color w:val="000000" w:themeColor="text1"/>
                <w:szCs w:val="21"/>
              </w:rPr>
              <w:t>.5</w:t>
            </w:r>
          </w:p>
        </w:tc>
        <w:tc>
          <w:tcPr>
            <w:tcW w:w="1881" w:type="pct"/>
            <w:vAlign w:val="center"/>
          </w:tcPr>
          <w:p w14:paraId="5722C1E8" w14:textId="77777777" w:rsidR="00F5289E" w:rsidRDefault="00C91173">
            <w:pPr>
              <w:rPr>
                <w:rFonts w:ascii="黑体" w:eastAsia="黑体"/>
                <w:color w:val="000000" w:themeColor="text1"/>
              </w:rPr>
            </w:pPr>
            <w:r>
              <w:rPr>
                <w:rFonts w:ascii="宋体" w:hAnsi="宋体" w:hint="eastAsia"/>
                <w:b/>
                <w:color w:val="000000" w:themeColor="text1"/>
              </w:rPr>
              <w:t>学分</w:t>
            </w:r>
            <w:r>
              <w:rPr>
                <w:rFonts w:ascii="宋体" w:hAnsi="宋体" w:hint="eastAsia"/>
                <w:color w:val="000000" w:themeColor="text1"/>
                <w:szCs w:val="21"/>
              </w:rPr>
              <w:t>：0</w:t>
            </w:r>
            <w:r>
              <w:rPr>
                <w:rFonts w:ascii="宋体" w:hAnsi="宋体"/>
                <w:color w:val="000000" w:themeColor="text1"/>
                <w:szCs w:val="21"/>
              </w:rPr>
              <w:t>.5</w:t>
            </w:r>
          </w:p>
        </w:tc>
      </w:tr>
      <w:tr w:rsidR="00F5289E" w14:paraId="2DE70E61" w14:textId="77777777">
        <w:trPr>
          <w:trHeight w:val="435"/>
        </w:trPr>
        <w:tc>
          <w:tcPr>
            <w:tcW w:w="5000" w:type="pct"/>
            <w:gridSpan w:val="3"/>
            <w:vAlign w:val="center"/>
          </w:tcPr>
          <w:p w14:paraId="20531205" w14:textId="77777777" w:rsidR="00F5289E" w:rsidRDefault="00C91173">
            <w:pPr>
              <w:rPr>
                <w:rFonts w:ascii="黑体" w:eastAsia="黑体"/>
                <w:color w:val="000000" w:themeColor="text1"/>
              </w:rPr>
            </w:pPr>
            <w:r>
              <w:rPr>
                <w:rFonts w:ascii="宋体" w:hAnsi="宋体" w:hint="eastAsia"/>
                <w:b/>
                <w:color w:val="000000" w:themeColor="text1"/>
              </w:rPr>
              <w:t>适用专业</w:t>
            </w:r>
            <w:r>
              <w:rPr>
                <w:rFonts w:ascii="宋体" w:hAnsi="宋体" w:hint="eastAsia"/>
                <w:color w:val="000000" w:themeColor="text1"/>
              </w:rPr>
              <w:t>：设施农业科学与工程</w:t>
            </w:r>
          </w:p>
        </w:tc>
      </w:tr>
      <w:tr w:rsidR="00F5289E" w14:paraId="11DD1AD6" w14:textId="77777777">
        <w:trPr>
          <w:trHeight w:val="435"/>
        </w:trPr>
        <w:tc>
          <w:tcPr>
            <w:tcW w:w="5000" w:type="pct"/>
            <w:gridSpan w:val="3"/>
            <w:vAlign w:val="center"/>
          </w:tcPr>
          <w:p w14:paraId="141F5A6F" w14:textId="77777777" w:rsidR="00F5289E" w:rsidRDefault="00C91173">
            <w:pPr>
              <w:rPr>
                <w:rFonts w:ascii="黑体" w:eastAsia="黑体"/>
                <w:color w:val="000000" w:themeColor="text1"/>
              </w:rPr>
            </w:pPr>
            <w:r>
              <w:rPr>
                <w:rFonts w:ascii="宋体" w:hAnsi="宋体" w:hint="eastAsia"/>
                <w:b/>
                <w:color w:val="000000" w:themeColor="text1"/>
              </w:rPr>
              <w:t>先修课程</w:t>
            </w:r>
            <w:r>
              <w:rPr>
                <w:rFonts w:ascii="黑体" w:eastAsia="黑体" w:hint="eastAsia"/>
                <w:color w:val="000000" w:themeColor="text1"/>
              </w:rPr>
              <w:t>：</w:t>
            </w:r>
            <w:r>
              <w:rPr>
                <w:rFonts w:ascii="宋体" w:hAnsi="宋体" w:hint="eastAsia"/>
                <w:color w:val="000000" w:themeColor="text1"/>
              </w:rPr>
              <w:t>设施环境与调控、厂化育苗原理与技术、农业设施工程学、现代工程图学、设施蔬菜在陪学</w:t>
            </w:r>
          </w:p>
        </w:tc>
      </w:tr>
      <w:tr w:rsidR="00F5289E" w14:paraId="4FA0D7C9" w14:textId="77777777">
        <w:trPr>
          <w:trHeight w:val="435"/>
        </w:trPr>
        <w:tc>
          <w:tcPr>
            <w:tcW w:w="1666" w:type="pct"/>
            <w:vAlign w:val="center"/>
          </w:tcPr>
          <w:p w14:paraId="6A5B344B" w14:textId="77777777" w:rsidR="00F5289E" w:rsidRDefault="00C91173">
            <w:pPr>
              <w:rPr>
                <w:rFonts w:ascii="宋体" w:hAnsi="宋体"/>
                <w:color w:val="000000" w:themeColor="text1"/>
              </w:rPr>
            </w:pPr>
            <w:r>
              <w:rPr>
                <w:rFonts w:ascii="宋体" w:hAnsi="宋体" w:hint="eastAsia"/>
                <w:b/>
                <w:color w:val="000000" w:themeColor="text1"/>
              </w:rPr>
              <w:t>主撰人</w:t>
            </w:r>
            <w:r>
              <w:rPr>
                <w:rFonts w:ascii="宋体" w:hAnsi="宋体" w:hint="eastAsia"/>
                <w:color w:val="000000" w:themeColor="text1"/>
              </w:rPr>
              <w:t>：李胜利</w:t>
            </w:r>
          </w:p>
        </w:tc>
        <w:tc>
          <w:tcPr>
            <w:tcW w:w="1453" w:type="pct"/>
            <w:vAlign w:val="center"/>
          </w:tcPr>
          <w:p w14:paraId="47F2160F" w14:textId="77777777" w:rsidR="00F5289E" w:rsidRDefault="00C91173">
            <w:pPr>
              <w:rPr>
                <w:rFonts w:ascii="黑体" w:eastAsia="黑体"/>
                <w:color w:val="000000" w:themeColor="text1"/>
              </w:rPr>
            </w:pPr>
            <w:r>
              <w:rPr>
                <w:rFonts w:ascii="宋体" w:hAnsi="宋体" w:hint="eastAsia"/>
                <w:b/>
                <w:color w:val="000000" w:themeColor="text1"/>
              </w:rPr>
              <w:t>审核人</w:t>
            </w:r>
            <w:r>
              <w:rPr>
                <w:rFonts w:ascii="宋体" w:hAnsi="宋体" w:hint="eastAsia"/>
                <w:color w:val="000000" w:themeColor="text1"/>
              </w:rPr>
              <w:t>：</w:t>
            </w:r>
            <w:r>
              <w:rPr>
                <w:rFonts w:asciiTheme="minorEastAsia" w:eastAsiaTheme="minorEastAsia" w:hAnsiTheme="minorEastAsia" w:hint="eastAsia"/>
                <w:color w:val="000000" w:themeColor="text1"/>
              </w:rPr>
              <w:t>李阳</w:t>
            </w:r>
          </w:p>
        </w:tc>
        <w:tc>
          <w:tcPr>
            <w:tcW w:w="1881" w:type="pct"/>
            <w:vAlign w:val="center"/>
          </w:tcPr>
          <w:p w14:paraId="2D451E1C" w14:textId="77777777" w:rsidR="00F5289E" w:rsidRDefault="00C91173">
            <w:pPr>
              <w:rPr>
                <w:rFonts w:ascii="宋体" w:hAnsi="宋体"/>
                <w:color w:val="000000" w:themeColor="text1"/>
              </w:rPr>
            </w:pPr>
            <w:r>
              <w:rPr>
                <w:rFonts w:ascii="宋体" w:hAnsi="宋体" w:hint="eastAsia"/>
                <w:b/>
                <w:color w:val="000000" w:themeColor="text1"/>
              </w:rPr>
              <w:t>大纲制定（修订）日期</w:t>
            </w:r>
            <w:r>
              <w:rPr>
                <w:rFonts w:ascii="宋体" w:hAnsi="宋体" w:hint="eastAsia"/>
                <w:color w:val="000000" w:themeColor="text1"/>
              </w:rPr>
              <w:t>：</w:t>
            </w:r>
            <w:r>
              <w:rPr>
                <w:rFonts w:asciiTheme="minorEastAsia" w:eastAsiaTheme="minorEastAsia" w:hAnsiTheme="minorEastAsia"/>
                <w:color w:val="000000" w:themeColor="text1"/>
              </w:rPr>
              <w:t>2023.05</w:t>
            </w:r>
          </w:p>
        </w:tc>
      </w:tr>
    </w:tbl>
    <w:p w14:paraId="68831C06" w14:textId="77777777" w:rsidR="00F5289E" w:rsidRDefault="00C91173">
      <w:pPr>
        <w:widowControl/>
        <w:spacing w:line="360" w:lineRule="auto"/>
        <w:ind w:firstLineChars="200" w:firstLine="422"/>
        <w:jc w:val="left"/>
        <w:rPr>
          <w:rFonts w:ascii="宋体" w:hAnsi="宋体" w:cs="宋体"/>
          <w:b/>
          <w:color w:val="000000" w:themeColor="text1"/>
          <w:kern w:val="0"/>
          <w:szCs w:val="21"/>
        </w:rPr>
      </w:pPr>
      <w:r>
        <w:rPr>
          <w:rFonts w:ascii="宋体" w:hAnsi="宋体" w:cs="宋体" w:hint="eastAsia"/>
          <w:b/>
          <w:color w:val="000000" w:themeColor="text1"/>
          <w:kern w:val="0"/>
          <w:szCs w:val="21"/>
        </w:rPr>
        <w:t>1.课程简介</w:t>
      </w:r>
    </w:p>
    <w:p w14:paraId="08D70280"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农业园区规划与管理》是设施农业科学与工程专业的核心课程之一，是一门以课堂讲授为主结合案例分析的专业课程。该门课程以要求学生在掌握农业园区的内涵、类型和基本特征之外，规范农业园区的规划和管理，对指导现代农业园区的建设和发展具有重要的意义。</w:t>
      </w:r>
    </w:p>
    <w:p w14:paraId="3B87A6B1" w14:textId="77777777" w:rsidR="00F5289E" w:rsidRDefault="00C91173">
      <w:pPr>
        <w:spacing w:line="360" w:lineRule="auto"/>
        <w:ind w:firstLineChars="200" w:firstLine="422"/>
        <w:rPr>
          <w:rFonts w:ascii="宋体" w:hAnsi="宋体"/>
          <w:b/>
          <w:color w:val="000000" w:themeColor="text1"/>
          <w:szCs w:val="21"/>
        </w:rPr>
      </w:pPr>
      <w:r>
        <w:rPr>
          <w:rFonts w:ascii="宋体" w:hAnsi="宋体"/>
          <w:b/>
          <w:color w:val="000000" w:themeColor="text1"/>
          <w:szCs w:val="21"/>
        </w:rPr>
        <w:t>2.</w:t>
      </w:r>
      <w:r>
        <w:rPr>
          <w:rFonts w:ascii="宋体" w:hAnsi="宋体" w:hint="eastAsia"/>
          <w:b/>
          <w:color w:val="000000" w:themeColor="text1"/>
          <w:szCs w:val="21"/>
        </w:rPr>
        <w:t>课程劳动教育</w:t>
      </w:r>
    </w:p>
    <w:p w14:paraId="5E12A4FF" w14:textId="77777777" w:rsidR="00F5289E" w:rsidRDefault="00C91173">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农业园区规划与管理》课程实习到省内的育苗企业、设施蔬菜、设施花卉、设施果树和现代化农业园区，实地考察不同功能农业园区的地理位置、园区定位和功能布局；了解现代化农业园区建设规划的方针政策，深入调查农业园区从立项到最终产品销售全流程的各个缓解，在调研的基础上分析现代化农业园区已有的优秀生产模式和存在的问题，树立学生投身建设现代化农业强国的信心和决心，增强学生服务“三农”和农业农村现代化的使命感和责任感，提升学生学农、知农、爱农的情怀和专业实践能力。</w:t>
      </w:r>
    </w:p>
    <w:p w14:paraId="0C50BC88" w14:textId="77777777" w:rsidR="00F5289E" w:rsidRDefault="00C91173">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w:t>
      </w:r>
      <w:r>
        <w:rPr>
          <w:rFonts w:ascii="宋体" w:hAnsi="宋体" w:cs="宋体" w:hint="eastAsia"/>
          <w:b/>
          <w:color w:val="000000" w:themeColor="text1"/>
          <w:kern w:val="0"/>
          <w:szCs w:val="21"/>
        </w:rPr>
        <w:t>.</w:t>
      </w:r>
      <w:r>
        <w:rPr>
          <w:rFonts w:ascii="宋体" w:hAnsi="宋体" w:hint="eastAsia"/>
          <w:b/>
          <w:color w:val="000000" w:themeColor="text1"/>
          <w:szCs w:val="21"/>
        </w:rPr>
        <w:t>实习目的和要求</w:t>
      </w:r>
    </w:p>
    <w:p w14:paraId="105D647B" w14:textId="77777777" w:rsidR="00F5289E" w:rsidRDefault="00C91173">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通过《农业园区规划与管理》的课程实习，使学生对园区的规划有一个感性的认识，加深学生对课堂所学知识的认识和理解。使学生加深对农业园区规划有关理论、农业园区规划的内容与工作特点的了解，使学生对农业园区规划应遵循的原则、农业园区详细规划（特别是农业园区详细规划中的产业规划和专项规划的内容）有进一步的了解、认识和掌握；使学生的课堂理论基础知识与实践相结合，加强学生的观察分析能力、实际动手能力，加深学生对课堂讲授内容的理解，并初步掌握实地考察的基本工作方法。</w:t>
      </w:r>
    </w:p>
    <w:p w14:paraId="69E48990" w14:textId="77777777" w:rsidR="00F5289E" w:rsidRDefault="00C91173">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w:t>
      </w:r>
      <w:r>
        <w:rPr>
          <w:rFonts w:ascii="宋体" w:hAnsi="宋体" w:cs="宋体" w:hint="eastAsia"/>
          <w:b/>
          <w:color w:val="000000" w:themeColor="text1"/>
          <w:kern w:val="0"/>
          <w:szCs w:val="21"/>
        </w:rPr>
        <w:t>.</w:t>
      </w:r>
      <w:r>
        <w:rPr>
          <w:rFonts w:ascii="宋体" w:hAnsi="宋体" w:hint="eastAsia"/>
          <w:b/>
          <w:color w:val="000000" w:themeColor="text1"/>
          <w:szCs w:val="21"/>
        </w:rPr>
        <w:t>实习地点及内容</w:t>
      </w:r>
    </w:p>
    <w:p w14:paraId="7F7E5311" w14:textId="77777777" w:rsidR="00F5289E" w:rsidRDefault="00C91173">
      <w:pPr>
        <w:tabs>
          <w:tab w:val="left" w:pos="3720"/>
          <w:tab w:val="left" w:pos="3780"/>
          <w:tab w:val="left" w:pos="4305"/>
        </w:tabs>
        <w:adjustRightInd w:val="0"/>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w:t>
      </w:r>
      <w:r>
        <w:rPr>
          <w:rFonts w:ascii="宋体" w:hAnsi="宋体" w:hint="eastAsia"/>
          <w:b/>
          <w:bCs/>
          <w:color w:val="000000" w:themeColor="text1"/>
          <w:szCs w:val="21"/>
        </w:rPr>
        <w:t>实习</w:t>
      </w:r>
      <w:r>
        <w:rPr>
          <w:rFonts w:ascii="宋体" w:hAnsi="宋体" w:hint="eastAsia"/>
          <w:b/>
          <w:color w:val="000000" w:themeColor="text1"/>
          <w:szCs w:val="21"/>
        </w:rPr>
        <w:t>地点：</w:t>
      </w:r>
      <w:r>
        <w:rPr>
          <w:rFonts w:ascii="宋体" w:hAnsi="宋体" w:hint="eastAsia"/>
          <w:color w:val="000000" w:themeColor="text1"/>
          <w:szCs w:val="21"/>
        </w:rPr>
        <w:t>河南农业大学科教园区，河南现代农业研究开发基地，许昌市鄢陵建业绿色基地。</w:t>
      </w:r>
    </w:p>
    <w:p w14:paraId="2C45B9C0" w14:textId="77777777" w:rsidR="00F5289E" w:rsidRDefault="00C91173">
      <w:pPr>
        <w:tabs>
          <w:tab w:val="left" w:pos="3720"/>
          <w:tab w:val="left" w:pos="3780"/>
          <w:tab w:val="left" w:pos="4305"/>
        </w:tabs>
        <w:adjustRightInd w:val="0"/>
        <w:snapToGrid w:val="0"/>
        <w:spacing w:line="360" w:lineRule="auto"/>
        <w:ind w:firstLineChars="200" w:firstLine="422"/>
        <w:rPr>
          <w:rFonts w:ascii="宋体" w:hAnsi="宋体"/>
          <w:bCs/>
          <w:color w:val="000000" w:themeColor="text1"/>
          <w:szCs w:val="21"/>
        </w:rPr>
      </w:pPr>
      <w:r>
        <w:rPr>
          <w:rFonts w:ascii="宋体" w:hAnsi="宋体" w:hint="eastAsia"/>
          <w:b/>
          <w:color w:val="000000" w:themeColor="text1"/>
          <w:szCs w:val="21"/>
        </w:rPr>
        <w:t>（2）</w:t>
      </w:r>
      <w:r>
        <w:rPr>
          <w:rFonts w:ascii="宋体" w:hAnsi="宋体" w:hint="eastAsia"/>
          <w:b/>
          <w:bCs/>
          <w:color w:val="000000" w:themeColor="text1"/>
          <w:szCs w:val="21"/>
        </w:rPr>
        <w:t>实习内容：</w:t>
      </w:r>
    </w:p>
    <w:p w14:paraId="09F3B6EC"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①通过对农业园区规划图、沙盘的观察与分析，加深对农业园区规划有关理论的了解；</w:t>
      </w:r>
    </w:p>
    <w:p w14:paraId="65BD29BD"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②通过对农业园区的实地观察，使学生对农业园区规划应遵循的原则有进一步的理解和掌握；对可行性研究报告的编写有进一步的理解和掌握。</w:t>
      </w:r>
    </w:p>
    <w:p w14:paraId="24F725BB"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③通过对农业园区的实地观察，加深对农业园区规划的内容与工作特点的了解；</w:t>
      </w:r>
    </w:p>
    <w:p w14:paraId="386F4A41"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④通过对农业园区的实地观察，加深对农业园区详细规划得了解和掌握；</w:t>
      </w:r>
    </w:p>
    <w:p w14:paraId="208078DB"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⑤通过对农业园区的实地观察，使学生对农业园区详细规划中的产业规划和专项规划的内容有进一步的认识和掌握。</w:t>
      </w:r>
    </w:p>
    <w:p w14:paraId="7BA929D8" w14:textId="77777777" w:rsidR="00F5289E" w:rsidRDefault="00C91173">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5</w:t>
      </w:r>
      <w:r>
        <w:rPr>
          <w:rFonts w:ascii="宋体" w:hAnsi="宋体" w:cs="宋体" w:hint="eastAsia"/>
          <w:b/>
          <w:color w:val="000000" w:themeColor="text1"/>
          <w:kern w:val="0"/>
          <w:szCs w:val="21"/>
        </w:rPr>
        <w:t>.</w:t>
      </w:r>
      <w:r>
        <w:rPr>
          <w:rFonts w:ascii="宋体" w:hAnsi="宋体" w:hint="eastAsia"/>
          <w:b/>
          <w:color w:val="000000" w:themeColor="text1"/>
          <w:szCs w:val="21"/>
        </w:rPr>
        <w:t>实习时间安排</w:t>
      </w:r>
    </w:p>
    <w:p w14:paraId="23B73DD4"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每年的</w:t>
      </w:r>
      <w:r>
        <w:rPr>
          <w:rFonts w:ascii="宋体" w:hAnsi="宋体"/>
          <w:bCs/>
          <w:color w:val="000000" w:themeColor="text1"/>
          <w:szCs w:val="21"/>
        </w:rPr>
        <w:t>10</w:t>
      </w:r>
      <w:r>
        <w:rPr>
          <w:rFonts w:ascii="宋体" w:hAnsi="宋体" w:hint="eastAsia"/>
          <w:bCs/>
          <w:color w:val="000000" w:themeColor="text1"/>
          <w:szCs w:val="21"/>
        </w:rPr>
        <w:t>月下旬或1</w:t>
      </w:r>
      <w:r>
        <w:rPr>
          <w:rFonts w:ascii="宋体" w:hAnsi="宋体"/>
          <w:bCs/>
          <w:color w:val="000000" w:themeColor="text1"/>
          <w:szCs w:val="21"/>
        </w:rPr>
        <w:t>1</w:t>
      </w:r>
      <w:r>
        <w:rPr>
          <w:rFonts w:ascii="宋体" w:hAnsi="宋体" w:hint="eastAsia"/>
          <w:bCs/>
          <w:color w:val="000000" w:themeColor="text1"/>
          <w:szCs w:val="21"/>
        </w:rPr>
        <w:t>月上旬，时间为</w:t>
      </w:r>
      <w:r>
        <w:rPr>
          <w:rFonts w:ascii="宋体" w:hAnsi="宋体"/>
          <w:bCs/>
          <w:color w:val="000000" w:themeColor="text1"/>
          <w:szCs w:val="21"/>
        </w:rPr>
        <w:t>2.5</w:t>
      </w:r>
      <w:r>
        <w:rPr>
          <w:rFonts w:ascii="宋体" w:hAnsi="宋体" w:hint="eastAsia"/>
          <w:bCs/>
          <w:color w:val="000000" w:themeColor="text1"/>
          <w:szCs w:val="21"/>
        </w:rPr>
        <w:t>天</w:t>
      </w:r>
    </w:p>
    <w:p w14:paraId="47CBB952" w14:textId="77777777" w:rsidR="00F5289E" w:rsidRDefault="00C91173">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6</w:t>
      </w:r>
      <w:r>
        <w:rPr>
          <w:rFonts w:ascii="宋体" w:hAnsi="宋体" w:cs="宋体" w:hint="eastAsia"/>
          <w:b/>
          <w:color w:val="000000" w:themeColor="text1"/>
          <w:kern w:val="0"/>
          <w:szCs w:val="21"/>
        </w:rPr>
        <w:t xml:space="preserve">. </w:t>
      </w:r>
      <w:r>
        <w:rPr>
          <w:rFonts w:ascii="宋体" w:hAnsi="宋体" w:hint="eastAsia"/>
          <w:b/>
          <w:color w:val="000000" w:themeColor="text1"/>
          <w:szCs w:val="21"/>
        </w:rPr>
        <w:t>实习具体要求</w:t>
      </w:r>
    </w:p>
    <w:p w14:paraId="6D914751"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（1）实习前由实习指导教师为学生复习课程所讲内容以及课程实习注意事项；</w:t>
      </w:r>
    </w:p>
    <w:p w14:paraId="7969E808"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（2）由专业人员对整个园区的情况进行讲解；</w:t>
      </w:r>
    </w:p>
    <w:p w14:paraId="6EF7739D"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（3）带领学生到实地，在专家的讲解下进行参观、考察，观察记载一些必要的数据，联系课堂教学中的内容，进行分组讨论，得出结论；</w:t>
      </w:r>
    </w:p>
    <w:p w14:paraId="261B3FDA"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（4）从实习地返回学校，每位学生撰写一份项目可行性研究报告。根据所掌握的知识提出合理化的建议或意见。</w:t>
      </w:r>
    </w:p>
    <w:p w14:paraId="7E6D64BC" w14:textId="77777777" w:rsidR="00F5289E" w:rsidRDefault="00C91173">
      <w:pPr>
        <w:widowControl/>
        <w:spacing w:line="360" w:lineRule="auto"/>
        <w:ind w:firstLineChars="200" w:firstLine="422"/>
        <w:jc w:val="left"/>
        <w:rPr>
          <w:rFonts w:ascii="宋体" w:hAnsi="宋体" w:cs="宋体"/>
          <w:b/>
          <w:color w:val="000000" w:themeColor="text1"/>
          <w:kern w:val="0"/>
          <w:szCs w:val="21"/>
        </w:rPr>
      </w:pPr>
      <w:r>
        <w:rPr>
          <w:rFonts w:ascii="宋体" w:hAnsi="宋体" w:hint="eastAsia"/>
          <w:b/>
          <w:color w:val="000000" w:themeColor="text1"/>
          <w:szCs w:val="21"/>
        </w:rPr>
        <w:t>7</w:t>
      </w:r>
      <w:r>
        <w:rPr>
          <w:rFonts w:ascii="宋体" w:hAnsi="宋体" w:cs="宋体" w:hint="eastAsia"/>
          <w:b/>
          <w:color w:val="000000" w:themeColor="text1"/>
          <w:kern w:val="0"/>
          <w:szCs w:val="21"/>
        </w:rPr>
        <w:t>. 考核方式与成绩评定标准</w:t>
      </w:r>
    </w:p>
    <w:p w14:paraId="45BE78A2"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于实习结束后1周内，每位同学提交项目可行性研究报告一份。实习成绩根据学生在实习过程中三个方面的表现评定成绩。</w:t>
      </w:r>
    </w:p>
    <w:p w14:paraId="3726ADE7"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其中：（1）综合表现（思想表现、实习态度、团结互助、劳动观念以及遵守纪律等）占20%；（2）实际观察能力占20%；（3）可行性分析报告占60%。</w:t>
      </w:r>
    </w:p>
    <w:p w14:paraId="61EA4298" w14:textId="77777777" w:rsidR="00F5289E" w:rsidRDefault="00C91173">
      <w:pPr>
        <w:widowControl/>
        <w:spacing w:line="360" w:lineRule="auto"/>
        <w:ind w:firstLineChars="200" w:firstLine="422"/>
        <w:jc w:val="left"/>
        <w:rPr>
          <w:rFonts w:ascii="宋体" w:hAnsi="宋体" w:cs="宋体"/>
          <w:b/>
          <w:color w:val="000000" w:themeColor="text1"/>
          <w:kern w:val="0"/>
          <w:szCs w:val="21"/>
        </w:rPr>
      </w:pPr>
      <w:r>
        <w:rPr>
          <w:rFonts w:ascii="宋体" w:hAnsi="宋体" w:cs="宋体" w:hint="eastAsia"/>
          <w:b/>
          <w:color w:val="000000" w:themeColor="text1"/>
          <w:kern w:val="0"/>
          <w:szCs w:val="21"/>
        </w:rPr>
        <w:t>8. 教材及主要参考资料</w:t>
      </w:r>
    </w:p>
    <w:p w14:paraId="7309AC97"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（1）农业园区规划与管理，邹志荣主编。中国农业出版社，2007。</w:t>
      </w:r>
    </w:p>
    <w:p w14:paraId="552F01DC"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（2）现代农业园区规划与案例分析，张天柱主编。中国轻工业出版社，2008年。</w:t>
      </w:r>
    </w:p>
    <w:p w14:paraId="07672912"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 xml:space="preserve">（3）休闲农业园区规划设计，郭焕成，吕明伟，任国柱著。中国建筑工业出版社.2007年 </w:t>
      </w:r>
    </w:p>
    <w:p w14:paraId="1B9F4A58" w14:textId="77777777" w:rsidR="00F5289E"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（4）农业园区规划设计，王树进编著。科学出版社，2011年。</w:t>
      </w:r>
    </w:p>
    <w:p w14:paraId="48F3CB4A" w14:textId="7E82F2F9" w:rsidR="004F20D1" w:rsidRDefault="00C91173">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（5）现代农业园区规划与管理，蔡飞著。西北工业大学出版社，2015年。</w:t>
      </w:r>
    </w:p>
    <w:p w14:paraId="00B024DC" w14:textId="77777777" w:rsidR="004F20D1" w:rsidRDefault="004F20D1">
      <w:pPr>
        <w:widowControl/>
        <w:jc w:val="left"/>
        <w:rPr>
          <w:rFonts w:ascii="宋体" w:hAnsi="宋体"/>
          <w:bCs/>
          <w:color w:val="000000" w:themeColor="text1"/>
          <w:szCs w:val="21"/>
        </w:rPr>
      </w:pPr>
      <w:r>
        <w:rPr>
          <w:rFonts w:ascii="宋体" w:hAnsi="宋体"/>
          <w:bCs/>
          <w:color w:val="000000" w:themeColor="text1"/>
          <w:szCs w:val="21"/>
        </w:rPr>
        <w:br w:type="page"/>
      </w:r>
    </w:p>
    <w:p w14:paraId="0175F049" w14:textId="28804466" w:rsidR="003B6841" w:rsidRDefault="003B6841" w:rsidP="003B6841">
      <w:pPr>
        <w:rPr>
          <w:b/>
          <w:bCs/>
        </w:rPr>
      </w:pPr>
      <w:r>
        <w:rPr>
          <w:rFonts w:hint="eastAsia"/>
          <w:b/>
          <w:bCs/>
        </w:rPr>
        <w:lastRenderedPageBreak/>
        <w:t>（</w:t>
      </w:r>
      <w:r w:rsidR="00736DFF">
        <w:rPr>
          <w:rFonts w:hint="eastAsia"/>
          <w:b/>
          <w:bCs/>
        </w:rPr>
        <w:t>九</w:t>
      </w:r>
      <w:r>
        <w:rPr>
          <w:rFonts w:hint="eastAsia"/>
          <w:b/>
          <w:bCs/>
        </w:rPr>
        <w:t>）</w:t>
      </w:r>
      <w:r w:rsidR="00272C1C">
        <w:rPr>
          <w:rFonts w:hint="eastAsia"/>
          <w:b/>
          <w:bCs/>
        </w:rPr>
        <w:t>毕业（生产）实习</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783"/>
        <w:gridCol w:w="2586"/>
        <w:gridCol w:w="3348"/>
      </w:tblGrid>
      <w:tr w:rsidR="003B6841" w14:paraId="15896B32" w14:textId="77777777" w:rsidTr="00C91173">
        <w:trPr>
          <w:trHeight w:val="435"/>
        </w:trPr>
        <w:tc>
          <w:tcPr>
            <w:tcW w:w="1666" w:type="pct"/>
            <w:gridSpan w:val="2"/>
            <w:vAlign w:val="center"/>
          </w:tcPr>
          <w:p w14:paraId="248FD6C5" w14:textId="766A413F" w:rsidR="003B6841" w:rsidRDefault="003B6841" w:rsidP="00C91173">
            <w:pPr>
              <w:rPr>
                <w:rFonts w:ascii="黑体" w:eastAsia="黑体"/>
                <w:b/>
              </w:rPr>
            </w:pPr>
            <w:r>
              <w:rPr>
                <w:rFonts w:ascii="宋体" w:hAnsi="宋体" w:hint="eastAsia"/>
                <w:b/>
              </w:rPr>
              <w:t>开设学期</w:t>
            </w:r>
            <w:r>
              <w:rPr>
                <w:rFonts w:ascii="宋体" w:hAnsi="宋体" w:hint="eastAsia"/>
                <w:b/>
                <w:szCs w:val="21"/>
              </w:rPr>
              <w:t>：</w:t>
            </w:r>
            <w:r w:rsidR="00272C1C">
              <w:rPr>
                <w:rFonts w:ascii="宋体" w:hAnsi="宋体" w:hint="eastAsia"/>
                <w:b/>
                <w:szCs w:val="21"/>
              </w:rPr>
              <w:t>6</w:t>
            </w:r>
          </w:p>
        </w:tc>
        <w:tc>
          <w:tcPr>
            <w:tcW w:w="1453" w:type="pct"/>
            <w:vAlign w:val="center"/>
          </w:tcPr>
          <w:p w14:paraId="3D2F0A86" w14:textId="0887E143" w:rsidR="003B6841" w:rsidRDefault="003B6841" w:rsidP="00C91173">
            <w:pPr>
              <w:rPr>
                <w:rFonts w:ascii="黑体" w:eastAsia="黑体"/>
                <w:b/>
              </w:rPr>
            </w:pPr>
            <w:r>
              <w:rPr>
                <w:rFonts w:ascii="宋体" w:hAnsi="宋体" w:hint="eastAsia"/>
                <w:b/>
              </w:rPr>
              <w:t>实习周数</w:t>
            </w:r>
            <w:r>
              <w:rPr>
                <w:rFonts w:ascii="宋体" w:hAnsi="宋体" w:hint="eastAsia"/>
                <w:b/>
                <w:szCs w:val="21"/>
              </w:rPr>
              <w:t>：</w:t>
            </w:r>
            <w:r w:rsidR="00272C1C">
              <w:rPr>
                <w:rFonts w:ascii="宋体" w:hAnsi="宋体"/>
                <w:bCs/>
                <w:szCs w:val="21"/>
              </w:rPr>
              <w:t>19</w:t>
            </w:r>
            <w:r>
              <w:rPr>
                <w:rFonts w:ascii="宋体" w:hAnsi="宋体" w:hint="eastAsia"/>
                <w:bCs/>
                <w:szCs w:val="21"/>
              </w:rPr>
              <w:t>周</w:t>
            </w:r>
          </w:p>
        </w:tc>
        <w:tc>
          <w:tcPr>
            <w:tcW w:w="1881" w:type="pct"/>
            <w:vAlign w:val="center"/>
          </w:tcPr>
          <w:p w14:paraId="50B39C8B" w14:textId="583E6191" w:rsidR="003B6841" w:rsidRDefault="003B6841" w:rsidP="00C91173">
            <w:pPr>
              <w:rPr>
                <w:rFonts w:ascii="黑体" w:eastAsia="黑体"/>
                <w:b/>
              </w:rPr>
            </w:pPr>
            <w:r>
              <w:rPr>
                <w:rFonts w:ascii="宋体" w:hAnsi="宋体" w:hint="eastAsia"/>
                <w:b/>
              </w:rPr>
              <w:t>学分</w:t>
            </w:r>
            <w:r>
              <w:rPr>
                <w:rFonts w:ascii="宋体" w:hAnsi="宋体" w:hint="eastAsia"/>
                <w:b/>
                <w:szCs w:val="21"/>
              </w:rPr>
              <w:t>：</w:t>
            </w:r>
            <w:r w:rsidR="00272C1C">
              <w:rPr>
                <w:rFonts w:ascii="宋体" w:hAnsi="宋体"/>
                <w:bCs/>
                <w:szCs w:val="21"/>
              </w:rPr>
              <w:t>19</w:t>
            </w:r>
          </w:p>
        </w:tc>
      </w:tr>
      <w:tr w:rsidR="003B6841" w14:paraId="266B09CC" w14:textId="77777777" w:rsidTr="00C91173">
        <w:trPr>
          <w:trHeight w:val="435"/>
        </w:trPr>
        <w:tc>
          <w:tcPr>
            <w:tcW w:w="5000" w:type="pct"/>
            <w:gridSpan w:val="4"/>
            <w:vAlign w:val="center"/>
          </w:tcPr>
          <w:p w14:paraId="53E229D1" w14:textId="77777777" w:rsidR="003B6841" w:rsidRDefault="003B6841" w:rsidP="00C91173">
            <w:pPr>
              <w:rPr>
                <w:rFonts w:ascii="黑体" w:eastAsia="黑体"/>
                <w:b/>
                <w:color w:val="0000FF"/>
              </w:rPr>
            </w:pPr>
            <w:r>
              <w:rPr>
                <w:rFonts w:ascii="宋体" w:hAnsi="宋体" w:hint="eastAsia"/>
                <w:b/>
              </w:rPr>
              <w:t>适用专业：</w:t>
            </w:r>
            <w:r>
              <w:rPr>
                <w:rFonts w:ascii="宋体" w:hAnsi="宋体" w:hint="eastAsia"/>
                <w:bCs/>
                <w:color w:val="000000" w:themeColor="text1"/>
              </w:rPr>
              <w:t>设施农业科学与工程</w:t>
            </w:r>
          </w:p>
        </w:tc>
      </w:tr>
      <w:tr w:rsidR="003B6841" w14:paraId="51ECF2EF" w14:textId="77777777" w:rsidTr="00C91173">
        <w:trPr>
          <w:trHeight w:val="435"/>
        </w:trPr>
        <w:tc>
          <w:tcPr>
            <w:tcW w:w="5000" w:type="pct"/>
            <w:gridSpan w:val="4"/>
            <w:vAlign w:val="center"/>
          </w:tcPr>
          <w:p w14:paraId="7363ACE6" w14:textId="61BD43E5" w:rsidR="003B6841" w:rsidRDefault="003B6841" w:rsidP="00C91173">
            <w:pPr>
              <w:rPr>
                <w:rFonts w:ascii="黑体" w:eastAsia="黑体"/>
                <w:b/>
              </w:rPr>
            </w:pPr>
            <w:r>
              <w:rPr>
                <w:rFonts w:ascii="宋体" w:hAnsi="宋体" w:hint="eastAsia"/>
                <w:b/>
              </w:rPr>
              <w:t>先修课程</w:t>
            </w:r>
            <w:r>
              <w:rPr>
                <w:rFonts w:ascii="黑体" w:eastAsia="黑体" w:hint="eastAsia"/>
                <w:b/>
              </w:rPr>
              <w:t>：</w:t>
            </w:r>
            <w:r w:rsidR="00272C1C">
              <w:rPr>
                <w:rFonts w:hint="eastAsia"/>
                <w:bCs/>
              </w:rPr>
              <w:t>农业设施工程学、</w:t>
            </w:r>
            <w:r>
              <w:rPr>
                <w:rFonts w:hint="eastAsia"/>
                <w:bCs/>
              </w:rPr>
              <w:t>设施蔬菜栽培学、工厂化育苗原理</w:t>
            </w:r>
            <w:r>
              <w:rPr>
                <w:bCs/>
              </w:rPr>
              <w:t>与技术</w:t>
            </w:r>
            <w:r w:rsidR="00272C1C">
              <w:rPr>
                <w:rFonts w:hint="eastAsia"/>
                <w:bCs/>
              </w:rPr>
              <w:t>、设施果树栽培学，农业园区规划与管理、设施环境与调控、无土栽培学</w:t>
            </w:r>
          </w:p>
        </w:tc>
      </w:tr>
      <w:tr w:rsidR="003B6841" w14:paraId="19311D06" w14:textId="77777777" w:rsidTr="00C91173">
        <w:trPr>
          <w:trHeight w:val="435"/>
        </w:trPr>
        <w:tc>
          <w:tcPr>
            <w:tcW w:w="1226" w:type="pct"/>
            <w:vAlign w:val="center"/>
          </w:tcPr>
          <w:p w14:paraId="0A308C93" w14:textId="775B3195" w:rsidR="003B6841" w:rsidRDefault="003B6841" w:rsidP="00C91173">
            <w:pPr>
              <w:rPr>
                <w:rFonts w:ascii="宋体" w:hAnsi="宋体"/>
                <w:b/>
              </w:rPr>
            </w:pPr>
            <w:r>
              <w:rPr>
                <w:rFonts w:ascii="宋体" w:hAnsi="宋体" w:hint="eastAsia"/>
                <w:b/>
              </w:rPr>
              <w:t>主撰人：</w:t>
            </w:r>
            <w:r w:rsidR="00272C1C" w:rsidRPr="00272C1C">
              <w:rPr>
                <w:rFonts w:ascii="宋体" w:hAnsi="宋体" w:hint="eastAsia"/>
                <w:bCs/>
              </w:rPr>
              <w:t>李阳</w:t>
            </w:r>
          </w:p>
        </w:tc>
        <w:tc>
          <w:tcPr>
            <w:tcW w:w="1893" w:type="pct"/>
            <w:gridSpan w:val="2"/>
            <w:vAlign w:val="center"/>
          </w:tcPr>
          <w:p w14:paraId="038D9D67" w14:textId="3A978273" w:rsidR="003B6841" w:rsidRDefault="003B6841" w:rsidP="00C91173">
            <w:pPr>
              <w:rPr>
                <w:rFonts w:ascii="黑体" w:eastAsia="黑体"/>
                <w:b/>
              </w:rPr>
            </w:pPr>
            <w:r>
              <w:rPr>
                <w:rFonts w:ascii="宋体" w:hAnsi="宋体" w:hint="eastAsia"/>
                <w:b/>
              </w:rPr>
              <w:t>审核人：</w:t>
            </w:r>
            <w:r w:rsidR="00272C1C" w:rsidRPr="00272C1C">
              <w:rPr>
                <w:rFonts w:ascii="宋体" w:hAnsi="宋体" w:hint="eastAsia"/>
                <w:bCs/>
              </w:rPr>
              <w:t>肖怀娟</w:t>
            </w:r>
          </w:p>
        </w:tc>
        <w:tc>
          <w:tcPr>
            <w:tcW w:w="1881" w:type="pct"/>
            <w:vAlign w:val="center"/>
          </w:tcPr>
          <w:p w14:paraId="6ADC1C28" w14:textId="77777777" w:rsidR="003B6841" w:rsidRDefault="003B6841" w:rsidP="00C91173">
            <w:pPr>
              <w:rPr>
                <w:rFonts w:ascii="宋体" w:hAnsi="宋体"/>
                <w:b/>
              </w:rPr>
            </w:pPr>
            <w:r>
              <w:rPr>
                <w:rFonts w:ascii="宋体" w:hAnsi="宋体" w:hint="eastAsia"/>
                <w:b/>
              </w:rPr>
              <w:t>大纲制定（修订）日期：</w:t>
            </w:r>
            <w:r>
              <w:rPr>
                <w:rFonts w:eastAsia="黑体"/>
                <w:bCs/>
              </w:rPr>
              <w:t>2023.05</w:t>
            </w:r>
          </w:p>
        </w:tc>
      </w:tr>
    </w:tbl>
    <w:p w14:paraId="15D6642D" w14:textId="77777777" w:rsidR="00272C1C" w:rsidRDefault="00272C1C" w:rsidP="00272C1C">
      <w:pPr>
        <w:widowControl/>
        <w:spacing w:line="360" w:lineRule="auto"/>
        <w:ind w:firstLineChars="200" w:firstLine="422"/>
        <w:jc w:val="left"/>
        <w:rPr>
          <w:rFonts w:ascii="宋体" w:hAnsi="宋体" w:cs="宋体"/>
          <w:b/>
          <w:color w:val="000000" w:themeColor="text1"/>
          <w:kern w:val="0"/>
          <w:szCs w:val="21"/>
        </w:rPr>
      </w:pPr>
      <w:r>
        <w:rPr>
          <w:rFonts w:ascii="宋体" w:hAnsi="宋体" w:cs="宋体" w:hint="eastAsia"/>
          <w:b/>
          <w:color w:val="000000" w:themeColor="text1"/>
          <w:kern w:val="0"/>
          <w:szCs w:val="21"/>
        </w:rPr>
        <w:t>1.课程简介</w:t>
      </w:r>
    </w:p>
    <w:p w14:paraId="5CCDD87B" w14:textId="6A7A6B94" w:rsidR="00272C1C" w:rsidRDefault="00272C1C" w:rsidP="00272C1C">
      <w:pPr>
        <w:tabs>
          <w:tab w:val="left" w:pos="3720"/>
          <w:tab w:val="left" w:pos="3780"/>
          <w:tab w:val="left" w:pos="4305"/>
        </w:tabs>
        <w:adjustRightInd w:val="0"/>
        <w:snapToGrid w:val="0"/>
        <w:spacing w:line="360" w:lineRule="auto"/>
        <w:ind w:firstLineChars="200" w:firstLine="420"/>
        <w:rPr>
          <w:rFonts w:ascii="宋体" w:hAnsi="宋体"/>
          <w:bCs/>
          <w:color w:val="000000" w:themeColor="text1"/>
          <w:szCs w:val="21"/>
        </w:rPr>
      </w:pPr>
      <w:r w:rsidRPr="00272C1C">
        <w:rPr>
          <w:rFonts w:ascii="宋体" w:hAnsi="宋体" w:hint="eastAsia"/>
          <w:bCs/>
          <w:color w:val="000000" w:themeColor="text1"/>
          <w:szCs w:val="21"/>
        </w:rPr>
        <w:t>毕业(生产)实习是</w:t>
      </w:r>
      <w:r>
        <w:rPr>
          <w:rFonts w:ascii="宋体" w:hAnsi="宋体" w:hint="eastAsia"/>
          <w:bCs/>
          <w:color w:val="000000" w:themeColor="text1"/>
          <w:szCs w:val="21"/>
        </w:rPr>
        <w:t>设施农业科学与工程</w:t>
      </w:r>
      <w:r w:rsidRPr="00272C1C">
        <w:rPr>
          <w:rFonts w:ascii="宋体" w:hAnsi="宋体" w:hint="eastAsia"/>
          <w:bCs/>
          <w:color w:val="000000" w:themeColor="text1"/>
          <w:szCs w:val="21"/>
        </w:rPr>
        <w:t>专业学生的重要实践性教学环节之一，旨在让学生了解</w:t>
      </w:r>
      <w:r>
        <w:rPr>
          <w:rFonts w:ascii="宋体" w:hAnsi="宋体" w:hint="eastAsia"/>
          <w:bCs/>
          <w:color w:val="000000" w:themeColor="text1"/>
          <w:szCs w:val="21"/>
        </w:rPr>
        <w:t>设施园艺</w:t>
      </w:r>
      <w:r w:rsidRPr="00272C1C">
        <w:rPr>
          <w:rFonts w:ascii="宋体" w:hAnsi="宋体" w:hint="eastAsia"/>
          <w:bCs/>
          <w:color w:val="000000" w:themeColor="text1"/>
          <w:szCs w:val="21"/>
        </w:rPr>
        <w:t>产业，使理论与实践相结合，巩固所学专业理论知识，培养学生实际工作能力、创新创业能力和专业技能水平，同时为毕业论文搜集有关的技术资料、相关生产数据，为毕业论文的撰写 工作打下良好的基础</w:t>
      </w:r>
      <w:r>
        <w:rPr>
          <w:rFonts w:ascii="宋体" w:hAnsi="宋体" w:hint="eastAsia"/>
          <w:bCs/>
          <w:color w:val="000000" w:themeColor="text1"/>
          <w:szCs w:val="21"/>
        </w:rPr>
        <w:t>。</w:t>
      </w:r>
      <w:r w:rsidRPr="00272C1C">
        <w:rPr>
          <w:rFonts w:ascii="宋体" w:hAnsi="宋体" w:hint="eastAsia"/>
          <w:bCs/>
          <w:color w:val="000000" w:themeColor="text1"/>
          <w:szCs w:val="21"/>
        </w:rPr>
        <w:t>培育学生理论联系实 际、从实践中发现问题、思考问题并解决问题的逻辑思维能力，提升学生的实践导向、重视问题导向的</w:t>
      </w:r>
      <w:r>
        <w:rPr>
          <w:rFonts w:ascii="宋体" w:hAnsi="宋体" w:hint="eastAsia"/>
          <w:bCs/>
          <w:color w:val="000000" w:themeColor="text1"/>
          <w:szCs w:val="21"/>
        </w:rPr>
        <w:t>设施农业科学与工程专业</w:t>
      </w:r>
      <w:r w:rsidRPr="00272C1C">
        <w:rPr>
          <w:rFonts w:ascii="宋体" w:hAnsi="宋体" w:hint="eastAsia"/>
          <w:bCs/>
          <w:color w:val="000000" w:themeColor="text1"/>
          <w:szCs w:val="21"/>
        </w:rPr>
        <w:t>综合能力。</w:t>
      </w:r>
    </w:p>
    <w:p w14:paraId="55C3B260" w14:textId="50CA5595" w:rsidR="005C191C" w:rsidRDefault="005C191C" w:rsidP="005C191C">
      <w:pPr>
        <w:widowControl/>
        <w:spacing w:line="360" w:lineRule="auto"/>
        <w:ind w:firstLineChars="200" w:firstLine="422"/>
        <w:jc w:val="left"/>
        <w:rPr>
          <w:rFonts w:ascii="宋体" w:hAnsi="宋体" w:cs="宋体"/>
          <w:b/>
          <w:color w:val="000000" w:themeColor="text1"/>
          <w:kern w:val="0"/>
          <w:szCs w:val="21"/>
        </w:rPr>
      </w:pPr>
      <w:r>
        <w:rPr>
          <w:rFonts w:ascii="宋体" w:hAnsi="宋体" w:cs="宋体"/>
          <w:b/>
          <w:color w:val="000000" w:themeColor="text1"/>
          <w:kern w:val="0"/>
          <w:szCs w:val="21"/>
        </w:rPr>
        <w:t>2</w:t>
      </w:r>
      <w:r>
        <w:rPr>
          <w:rFonts w:ascii="宋体" w:hAnsi="宋体" w:cs="宋体" w:hint="eastAsia"/>
          <w:b/>
          <w:color w:val="000000" w:themeColor="text1"/>
          <w:kern w:val="0"/>
          <w:szCs w:val="21"/>
        </w:rPr>
        <w:t>.劳动教育</w:t>
      </w:r>
    </w:p>
    <w:p w14:paraId="5218C5AF" w14:textId="38CE12B5" w:rsidR="005C191C" w:rsidRPr="005C191C" w:rsidRDefault="005C191C" w:rsidP="00272C1C">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生产实习是设施农业科学与工程专业</w:t>
      </w:r>
      <w:r w:rsidRPr="005C191C">
        <w:rPr>
          <w:rFonts w:ascii="宋体" w:hAnsi="宋体" w:hint="eastAsia"/>
          <w:color w:val="000000" w:themeColor="text1"/>
          <w:szCs w:val="21"/>
        </w:rPr>
        <w:t xml:space="preserve"> “卓越园艺师”培养计划的主要环节，劳动教育是新时代党对教育的新要求，是中国特色社会主义教育制度的重要内容，是全面发展教育体系的重要组成部分。通过学生在生产第一线的实习劳动，引导学生认识社会，增强社会责任感，增强学生服务“三农”和农业农村现代化的使命感和责任感，让学生走进农村、走近农民、走向农业，了解乡情民情，学习乡土文化，提升学生学农知农爱农素养和专业实践能力。</w:t>
      </w:r>
    </w:p>
    <w:p w14:paraId="0EE1F337" w14:textId="77777777" w:rsidR="00272C1C" w:rsidRDefault="00272C1C" w:rsidP="00272C1C">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w:t>
      </w:r>
      <w:r>
        <w:rPr>
          <w:rFonts w:ascii="宋体" w:hAnsi="宋体" w:cs="宋体" w:hint="eastAsia"/>
          <w:b/>
          <w:color w:val="000000" w:themeColor="text1"/>
          <w:kern w:val="0"/>
          <w:szCs w:val="21"/>
        </w:rPr>
        <w:t>.</w:t>
      </w:r>
      <w:r>
        <w:rPr>
          <w:rFonts w:ascii="宋体" w:hAnsi="宋体" w:hint="eastAsia"/>
          <w:b/>
          <w:color w:val="000000" w:themeColor="text1"/>
          <w:szCs w:val="21"/>
        </w:rPr>
        <w:t>实习目的和要求</w:t>
      </w:r>
    </w:p>
    <w:p w14:paraId="0D3C2FD8" w14:textId="78D388CB" w:rsidR="00272C1C" w:rsidRDefault="00272C1C" w:rsidP="00272C1C">
      <w:pPr>
        <w:spacing w:line="360" w:lineRule="auto"/>
        <w:ind w:firstLineChars="200" w:firstLine="420"/>
        <w:rPr>
          <w:rFonts w:ascii="宋体" w:hAnsi="宋体"/>
          <w:color w:val="000000" w:themeColor="text1"/>
          <w:szCs w:val="21"/>
        </w:rPr>
      </w:pPr>
      <w:r w:rsidRPr="00272C1C">
        <w:rPr>
          <w:rFonts w:ascii="宋体" w:hAnsi="宋体" w:hint="eastAsia"/>
          <w:color w:val="000000" w:themeColor="text1"/>
          <w:szCs w:val="21"/>
        </w:rPr>
        <w:t>让学生了解</w:t>
      </w:r>
      <w:r>
        <w:rPr>
          <w:rFonts w:ascii="宋体" w:hAnsi="宋体" w:hint="eastAsia"/>
          <w:color w:val="000000" w:themeColor="text1"/>
          <w:szCs w:val="21"/>
        </w:rPr>
        <w:t>国内设施园艺产业，</w:t>
      </w:r>
      <w:r w:rsidRPr="00272C1C">
        <w:rPr>
          <w:rFonts w:ascii="宋体" w:hAnsi="宋体" w:hint="eastAsia"/>
          <w:color w:val="000000" w:themeColor="text1"/>
          <w:szCs w:val="21"/>
        </w:rPr>
        <w:t>接触实际生产，使理论与实践相结合，巩固所学专业理论知识，培养学生实际工作能力、创新创业能力和专业技能水平，同时为毕业论文搜集有关的技术资料、相关生产数据，为毕业论文的撰写工作打下良好的基础</w:t>
      </w:r>
      <w:r>
        <w:rPr>
          <w:rFonts w:ascii="宋体" w:hAnsi="宋体" w:hint="eastAsia"/>
          <w:color w:val="000000" w:themeColor="text1"/>
          <w:szCs w:val="21"/>
        </w:rPr>
        <w:t>。</w:t>
      </w:r>
    </w:p>
    <w:p w14:paraId="5904210C" w14:textId="77777777" w:rsidR="00272C1C" w:rsidRDefault="00272C1C" w:rsidP="00272C1C">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w:t>
      </w:r>
      <w:r>
        <w:rPr>
          <w:rFonts w:ascii="宋体" w:hAnsi="宋体" w:cs="宋体" w:hint="eastAsia"/>
          <w:b/>
          <w:color w:val="000000" w:themeColor="text1"/>
          <w:kern w:val="0"/>
          <w:szCs w:val="21"/>
        </w:rPr>
        <w:t>.</w:t>
      </w:r>
      <w:r>
        <w:rPr>
          <w:rFonts w:ascii="宋体" w:hAnsi="宋体" w:hint="eastAsia"/>
          <w:b/>
          <w:color w:val="000000" w:themeColor="text1"/>
          <w:szCs w:val="21"/>
        </w:rPr>
        <w:t>实习地点及内容</w:t>
      </w:r>
    </w:p>
    <w:p w14:paraId="0E74B050" w14:textId="3278B584" w:rsidR="00272C1C" w:rsidRDefault="00272C1C" w:rsidP="00272C1C">
      <w:pPr>
        <w:tabs>
          <w:tab w:val="left" w:pos="3720"/>
          <w:tab w:val="left" w:pos="3780"/>
          <w:tab w:val="left" w:pos="4305"/>
        </w:tabs>
        <w:adjustRightInd w:val="0"/>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w:t>
      </w:r>
      <w:r>
        <w:rPr>
          <w:rFonts w:ascii="宋体" w:hAnsi="宋体" w:hint="eastAsia"/>
          <w:b/>
          <w:bCs/>
          <w:color w:val="000000" w:themeColor="text1"/>
          <w:szCs w:val="21"/>
        </w:rPr>
        <w:t>实习</w:t>
      </w:r>
      <w:r>
        <w:rPr>
          <w:rFonts w:ascii="宋体" w:hAnsi="宋体" w:hint="eastAsia"/>
          <w:b/>
          <w:color w:val="000000" w:themeColor="text1"/>
          <w:szCs w:val="21"/>
        </w:rPr>
        <w:t>地点：</w:t>
      </w:r>
      <w:r>
        <w:rPr>
          <w:rFonts w:ascii="宋体" w:hAnsi="宋体" w:hint="eastAsia"/>
          <w:color w:val="000000" w:themeColor="text1"/>
          <w:szCs w:val="21"/>
        </w:rPr>
        <w:t>省内外从事设施园艺生产、科研的相关企业、事业单位和科研机构。</w:t>
      </w:r>
    </w:p>
    <w:p w14:paraId="2D9CB692" w14:textId="77777777" w:rsidR="00272C1C" w:rsidRDefault="00272C1C" w:rsidP="00272C1C">
      <w:pPr>
        <w:tabs>
          <w:tab w:val="left" w:pos="3720"/>
          <w:tab w:val="left" w:pos="3780"/>
          <w:tab w:val="left" w:pos="4305"/>
        </w:tabs>
        <w:adjustRightInd w:val="0"/>
        <w:snapToGrid w:val="0"/>
        <w:spacing w:line="360" w:lineRule="auto"/>
        <w:ind w:firstLineChars="200" w:firstLine="422"/>
        <w:rPr>
          <w:rFonts w:ascii="宋体" w:hAnsi="宋体"/>
          <w:bCs/>
          <w:color w:val="000000" w:themeColor="text1"/>
          <w:szCs w:val="21"/>
        </w:rPr>
      </w:pPr>
      <w:r>
        <w:rPr>
          <w:rFonts w:ascii="宋体" w:hAnsi="宋体" w:hint="eastAsia"/>
          <w:b/>
          <w:color w:val="000000" w:themeColor="text1"/>
          <w:szCs w:val="21"/>
        </w:rPr>
        <w:t>（2）</w:t>
      </w:r>
      <w:r>
        <w:rPr>
          <w:rFonts w:ascii="宋体" w:hAnsi="宋体" w:hint="eastAsia"/>
          <w:b/>
          <w:bCs/>
          <w:color w:val="000000" w:themeColor="text1"/>
          <w:szCs w:val="21"/>
        </w:rPr>
        <w:t>实习内容：</w:t>
      </w:r>
    </w:p>
    <w:p w14:paraId="58C52D25" w14:textId="50C464AA" w:rsidR="00272C1C" w:rsidRDefault="00272C1C" w:rsidP="00272C1C">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设施的设计和制造、园艺植物种苗的生产和销售、</w:t>
      </w:r>
      <w:r w:rsidR="004F20D1">
        <w:rPr>
          <w:rFonts w:ascii="宋体" w:hAnsi="宋体" w:hint="eastAsia"/>
          <w:color w:val="000000" w:themeColor="text1"/>
          <w:szCs w:val="21"/>
        </w:rPr>
        <w:t>果树、蔬菜和花卉的设施栽培技术。</w:t>
      </w:r>
    </w:p>
    <w:p w14:paraId="1F61D356" w14:textId="77777777" w:rsidR="00272C1C" w:rsidRDefault="00272C1C" w:rsidP="00272C1C">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5</w:t>
      </w:r>
      <w:r>
        <w:rPr>
          <w:rFonts w:ascii="宋体" w:hAnsi="宋体" w:cs="宋体" w:hint="eastAsia"/>
          <w:b/>
          <w:color w:val="000000" w:themeColor="text1"/>
          <w:kern w:val="0"/>
          <w:szCs w:val="21"/>
        </w:rPr>
        <w:t>.</w:t>
      </w:r>
      <w:r>
        <w:rPr>
          <w:rFonts w:ascii="宋体" w:hAnsi="宋体" w:hint="eastAsia"/>
          <w:b/>
          <w:color w:val="000000" w:themeColor="text1"/>
          <w:szCs w:val="21"/>
        </w:rPr>
        <w:t>实习时间安排</w:t>
      </w:r>
    </w:p>
    <w:p w14:paraId="06F55D7E" w14:textId="00C9B291" w:rsidR="00272C1C" w:rsidRDefault="004F20D1" w:rsidP="00272C1C">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第6学期开展</w:t>
      </w:r>
      <w:r>
        <w:rPr>
          <w:rFonts w:ascii="宋体" w:hAnsi="宋体"/>
          <w:bCs/>
          <w:color w:val="000000" w:themeColor="text1"/>
          <w:szCs w:val="21"/>
        </w:rPr>
        <w:t>19</w:t>
      </w:r>
      <w:r>
        <w:rPr>
          <w:rFonts w:ascii="宋体" w:hAnsi="宋体" w:hint="eastAsia"/>
          <w:bCs/>
          <w:color w:val="000000" w:themeColor="text1"/>
          <w:szCs w:val="21"/>
        </w:rPr>
        <w:t>周的生产实习。</w:t>
      </w:r>
    </w:p>
    <w:p w14:paraId="0E1056AF" w14:textId="77777777" w:rsidR="00272C1C" w:rsidRDefault="00272C1C" w:rsidP="00272C1C">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6</w:t>
      </w:r>
      <w:r>
        <w:rPr>
          <w:rFonts w:ascii="宋体" w:hAnsi="宋体" w:cs="宋体" w:hint="eastAsia"/>
          <w:b/>
          <w:color w:val="000000" w:themeColor="text1"/>
          <w:kern w:val="0"/>
          <w:szCs w:val="21"/>
        </w:rPr>
        <w:t xml:space="preserve">. </w:t>
      </w:r>
      <w:r>
        <w:rPr>
          <w:rFonts w:ascii="宋体" w:hAnsi="宋体" w:hint="eastAsia"/>
          <w:b/>
          <w:color w:val="000000" w:themeColor="text1"/>
          <w:szCs w:val="21"/>
        </w:rPr>
        <w:t>实习具体要求</w:t>
      </w:r>
    </w:p>
    <w:p w14:paraId="756B3132" w14:textId="5E7A939F" w:rsidR="004F20D1" w:rsidRDefault="004F20D1" w:rsidP="004F20D1">
      <w:pPr>
        <w:spacing w:line="360" w:lineRule="auto"/>
        <w:ind w:firstLineChars="200" w:firstLine="420"/>
        <w:rPr>
          <w:rFonts w:ascii="宋体" w:hAnsi="宋体"/>
          <w:color w:val="000000" w:themeColor="text1"/>
          <w:szCs w:val="21"/>
        </w:rPr>
      </w:pPr>
      <w:r w:rsidRPr="00272C1C">
        <w:rPr>
          <w:rFonts w:ascii="宋体" w:hAnsi="宋体" w:hint="eastAsia"/>
          <w:color w:val="000000" w:themeColor="text1"/>
          <w:szCs w:val="21"/>
        </w:rPr>
        <w:t>让学生了解</w:t>
      </w:r>
      <w:r>
        <w:rPr>
          <w:rFonts w:ascii="宋体" w:hAnsi="宋体" w:hint="eastAsia"/>
          <w:color w:val="000000" w:themeColor="text1"/>
          <w:szCs w:val="21"/>
        </w:rPr>
        <w:t>国内设施园艺产业，</w:t>
      </w:r>
      <w:r w:rsidRPr="00272C1C">
        <w:rPr>
          <w:rFonts w:ascii="宋体" w:hAnsi="宋体" w:hint="eastAsia"/>
          <w:color w:val="000000" w:themeColor="text1"/>
          <w:szCs w:val="21"/>
        </w:rPr>
        <w:t>接触实际生产，使理论与实践相结合，巩固所学专业理论知识，培养学生实际工作能力、创新创业能力和专业技能水平，同时为毕业论文搜集有关的技术资料、相关生产数据，为毕业论文的撰写工作打下良好的基础</w:t>
      </w:r>
      <w:r>
        <w:rPr>
          <w:rFonts w:ascii="宋体" w:hAnsi="宋体" w:hint="eastAsia"/>
          <w:color w:val="000000" w:themeColor="text1"/>
          <w:szCs w:val="21"/>
        </w:rPr>
        <w:t>。</w:t>
      </w:r>
    </w:p>
    <w:p w14:paraId="26E1D0B5" w14:textId="77777777" w:rsidR="00272C1C" w:rsidRDefault="00272C1C" w:rsidP="00272C1C">
      <w:pPr>
        <w:widowControl/>
        <w:spacing w:line="360" w:lineRule="auto"/>
        <w:ind w:firstLineChars="200" w:firstLine="422"/>
        <w:jc w:val="left"/>
        <w:rPr>
          <w:rFonts w:ascii="宋体" w:hAnsi="宋体" w:cs="宋体"/>
          <w:b/>
          <w:color w:val="000000" w:themeColor="text1"/>
          <w:kern w:val="0"/>
          <w:szCs w:val="21"/>
        </w:rPr>
      </w:pPr>
      <w:r>
        <w:rPr>
          <w:rFonts w:ascii="宋体" w:hAnsi="宋体" w:hint="eastAsia"/>
          <w:b/>
          <w:color w:val="000000" w:themeColor="text1"/>
          <w:szCs w:val="21"/>
        </w:rPr>
        <w:lastRenderedPageBreak/>
        <w:t>7</w:t>
      </w:r>
      <w:r>
        <w:rPr>
          <w:rFonts w:ascii="宋体" w:hAnsi="宋体" w:cs="宋体" w:hint="eastAsia"/>
          <w:b/>
          <w:color w:val="000000" w:themeColor="text1"/>
          <w:kern w:val="0"/>
          <w:szCs w:val="21"/>
        </w:rPr>
        <w:t>. 考核方式与成绩评定标准</w:t>
      </w:r>
    </w:p>
    <w:p w14:paraId="70984C52" w14:textId="77777777" w:rsidR="004F20D1" w:rsidRDefault="004F20D1" w:rsidP="00272C1C">
      <w:pPr>
        <w:widowControl/>
        <w:spacing w:line="360" w:lineRule="auto"/>
        <w:ind w:firstLineChars="200" w:firstLine="420"/>
        <w:jc w:val="left"/>
        <w:rPr>
          <w:rFonts w:ascii="宋体" w:hAnsi="宋体"/>
          <w:bCs/>
          <w:color w:val="000000" w:themeColor="text1"/>
          <w:szCs w:val="21"/>
        </w:rPr>
      </w:pPr>
      <w:r w:rsidRPr="004F20D1">
        <w:rPr>
          <w:rFonts w:ascii="宋体" w:hAnsi="宋体" w:hint="eastAsia"/>
          <w:bCs/>
          <w:color w:val="000000" w:themeColor="text1"/>
          <w:szCs w:val="21"/>
        </w:rPr>
        <w:t>由实习单位、指导教师共同评价学生的实习表现(40%)，学生的自我评价(40%)，实习日志 (20%)。</w:t>
      </w:r>
    </w:p>
    <w:p w14:paraId="6BBBCAFB" w14:textId="3FCE3442" w:rsidR="00272C1C" w:rsidRDefault="00272C1C" w:rsidP="00272C1C">
      <w:pPr>
        <w:widowControl/>
        <w:spacing w:line="360" w:lineRule="auto"/>
        <w:ind w:firstLineChars="200" w:firstLine="422"/>
        <w:jc w:val="left"/>
        <w:rPr>
          <w:rFonts w:ascii="宋体" w:hAnsi="宋体" w:cs="宋体"/>
          <w:b/>
          <w:color w:val="000000" w:themeColor="text1"/>
          <w:kern w:val="0"/>
          <w:szCs w:val="21"/>
        </w:rPr>
      </w:pPr>
      <w:r>
        <w:rPr>
          <w:rFonts w:ascii="宋体" w:hAnsi="宋体" w:cs="宋体" w:hint="eastAsia"/>
          <w:b/>
          <w:color w:val="000000" w:themeColor="text1"/>
          <w:kern w:val="0"/>
          <w:szCs w:val="21"/>
        </w:rPr>
        <w:t>8.教材及主要参考资料</w:t>
      </w:r>
    </w:p>
    <w:p w14:paraId="32731918" w14:textId="0149DDBD"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1</w:t>
      </w:r>
      <w:r w:rsidRPr="004F20D1">
        <w:rPr>
          <w:bCs/>
          <w:color w:val="000000" w:themeColor="text1"/>
          <w:szCs w:val="21"/>
        </w:rPr>
        <w:t>）设施农业环境工程学，邹志荣</w:t>
      </w:r>
      <w:r w:rsidRPr="004F20D1">
        <w:rPr>
          <w:bCs/>
          <w:color w:val="000000" w:themeColor="text1"/>
          <w:szCs w:val="21"/>
        </w:rPr>
        <w:t xml:space="preserve"> </w:t>
      </w:r>
      <w:r w:rsidRPr="004F20D1">
        <w:rPr>
          <w:bCs/>
          <w:color w:val="000000" w:themeColor="text1"/>
          <w:szCs w:val="21"/>
        </w:rPr>
        <w:t>邵孝候</w:t>
      </w:r>
      <w:r w:rsidRPr="004F20D1">
        <w:rPr>
          <w:bCs/>
          <w:color w:val="000000" w:themeColor="text1"/>
          <w:szCs w:val="21"/>
        </w:rPr>
        <w:t xml:space="preserve"> </w:t>
      </w:r>
      <w:r w:rsidRPr="004F20D1">
        <w:rPr>
          <w:bCs/>
          <w:color w:val="000000" w:themeColor="text1"/>
          <w:szCs w:val="21"/>
        </w:rPr>
        <w:t>主编，中国农业出版社，</w:t>
      </w:r>
      <w:r w:rsidRPr="004F20D1">
        <w:rPr>
          <w:bCs/>
          <w:color w:val="000000" w:themeColor="text1"/>
          <w:szCs w:val="21"/>
        </w:rPr>
        <w:t>2007</w:t>
      </w:r>
      <w:r w:rsidRPr="004F20D1">
        <w:rPr>
          <w:bCs/>
          <w:color w:val="000000" w:themeColor="text1"/>
          <w:szCs w:val="21"/>
        </w:rPr>
        <w:t>年</w:t>
      </w:r>
    </w:p>
    <w:p w14:paraId="04967E58" w14:textId="7CA6132A"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2</w:t>
      </w:r>
      <w:r w:rsidRPr="004F20D1">
        <w:rPr>
          <w:bCs/>
          <w:color w:val="000000" w:themeColor="text1"/>
          <w:szCs w:val="21"/>
        </w:rPr>
        <w:t>）工厂化育苗原理与技术，别之龙、黄丹枫主编。中国农业出版社，</w:t>
      </w:r>
      <w:r w:rsidRPr="004F20D1">
        <w:rPr>
          <w:bCs/>
          <w:color w:val="000000" w:themeColor="text1"/>
          <w:szCs w:val="21"/>
        </w:rPr>
        <w:t>2019</w:t>
      </w:r>
      <w:r w:rsidRPr="004F20D1">
        <w:rPr>
          <w:bCs/>
          <w:color w:val="000000" w:themeColor="text1"/>
          <w:szCs w:val="21"/>
        </w:rPr>
        <w:t>年。</w:t>
      </w:r>
    </w:p>
    <w:p w14:paraId="1C79BA88" w14:textId="38C7FB02"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3</w:t>
      </w:r>
      <w:r w:rsidRPr="004F20D1">
        <w:rPr>
          <w:bCs/>
          <w:color w:val="000000" w:themeColor="text1"/>
          <w:szCs w:val="21"/>
        </w:rPr>
        <w:t>）中国蔬菜栽培学（第二版）</w:t>
      </w:r>
      <w:r w:rsidRPr="004F20D1">
        <w:rPr>
          <w:bCs/>
          <w:color w:val="000000" w:themeColor="text1"/>
          <w:szCs w:val="21"/>
        </w:rPr>
        <w:t>.</w:t>
      </w:r>
      <w:r w:rsidRPr="004F20D1">
        <w:rPr>
          <w:bCs/>
          <w:color w:val="000000" w:themeColor="text1"/>
          <w:szCs w:val="21"/>
        </w:rPr>
        <w:t>中国农业科学院蔬菜花卉研究所编</w:t>
      </w:r>
      <w:r w:rsidRPr="004F20D1">
        <w:rPr>
          <w:bCs/>
          <w:color w:val="000000" w:themeColor="text1"/>
          <w:szCs w:val="21"/>
        </w:rPr>
        <w:t xml:space="preserve">. </w:t>
      </w:r>
      <w:r w:rsidRPr="004F20D1">
        <w:rPr>
          <w:bCs/>
          <w:color w:val="000000" w:themeColor="text1"/>
          <w:szCs w:val="21"/>
        </w:rPr>
        <w:t>中国农业出版社，</w:t>
      </w:r>
      <w:r w:rsidRPr="004F20D1">
        <w:rPr>
          <w:bCs/>
          <w:color w:val="000000" w:themeColor="text1"/>
          <w:szCs w:val="21"/>
        </w:rPr>
        <w:t>2010</w:t>
      </w:r>
    </w:p>
    <w:p w14:paraId="04F5AE9B" w14:textId="5E56CA93"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4</w:t>
      </w:r>
      <w:r w:rsidRPr="004F20D1">
        <w:rPr>
          <w:bCs/>
          <w:color w:val="000000" w:themeColor="text1"/>
          <w:szCs w:val="21"/>
        </w:rPr>
        <w:t>）园艺设施工程学，吴凤芝，科学出版社，</w:t>
      </w:r>
      <w:r w:rsidRPr="004F20D1">
        <w:rPr>
          <w:bCs/>
          <w:color w:val="000000" w:themeColor="text1"/>
          <w:szCs w:val="21"/>
        </w:rPr>
        <w:t>2012</w:t>
      </w:r>
      <w:r w:rsidRPr="004F20D1">
        <w:rPr>
          <w:bCs/>
          <w:color w:val="000000" w:themeColor="text1"/>
          <w:szCs w:val="21"/>
        </w:rPr>
        <w:t>年</w:t>
      </w:r>
    </w:p>
    <w:p w14:paraId="60381074" w14:textId="70BB6FCA"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5</w:t>
      </w:r>
      <w:r w:rsidRPr="004F20D1">
        <w:rPr>
          <w:bCs/>
          <w:color w:val="000000" w:themeColor="text1"/>
          <w:szCs w:val="21"/>
        </w:rPr>
        <w:t>）园林花卉学（第三版）刘燕主编，中国林业出版社，</w:t>
      </w:r>
      <w:r w:rsidRPr="004F20D1">
        <w:rPr>
          <w:bCs/>
          <w:color w:val="000000" w:themeColor="text1"/>
          <w:szCs w:val="21"/>
        </w:rPr>
        <w:t>2019</w:t>
      </w:r>
      <w:r w:rsidRPr="004F20D1">
        <w:rPr>
          <w:bCs/>
          <w:color w:val="000000" w:themeColor="text1"/>
          <w:szCs w:val="21"/>
        </w:rPr>
        <w:t>年</w:t>
      </w:r>
    </w:p>
    <w:p w14:paraId="61DC090E" w14:textId="6BB6391A"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6</w:t>
      </w:r>
      <w:r w:rsidRPr="004F20D1">
        <w:rPr>
          <w:bCs/>
          <w:color w:val="000000" w:themeColor="text1"/>
          <w:szCs w:val="21"/>
        </w:rPr>
        <w:t>）果树设施栽培，郭大龙</w:t>
      </w:r>
      <w:r w:rsidRPr="004F20D1">
        <w:rPr>
          <w:bCs/>
          <w:color w:val="000000" w:themeColor="text1"/>
          <w:szCs w:val="21"/>
        </w:rPr>
        <w:t xml:space="preserve"> </w:t>
      </w:r>
      <w:r w:rsidRPr="004F20D1">
        <w:rPr>
          <w:bCs/>
          <w:color w:val="000000" w:themeColor="text1"/>
          <w:szCs w:val="21"/>
        </w:rPr>
        <w:t>主编，科学技术出版社，</w:t>
      </w:r>
      <w:r w:rsidRPr="004F20D1">
        <w:rPr>
          <w:bCs/>
          <w:color w:val="000000" w:themeColor="text1"/>
          <w:szCs w:val="21"/>
        </w:rPr>
        <w:t>2018</w:t>
      </w:r>
      <w:r w:rsidRPr="004F20D1">
        <w:rPr>
          <w:bCs/>
          <w:color w:val="000000" w:themeColor="text1"/>
          <w:szCs w:val="21"/>
        </w:rPr>
        <w:t>年；</w:t>
      </w:r>
    </w:p>
    <w:p w14:paraId="515452E6" w14:textId="066ED994"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7</w:t>
      </w:r>
      <w:r w:rsidRPr="004F20D1">
        <w:rPr>
          <w:bCs/>
          <w:color w:val="000000" w:themeColor="text1"/>
          <w:szCs w:val="21"/>
        </w:rPr>
        <w:t>）无土栽培学，高丽红、别之龙主编，中国农业大学出版社，</w:t>
      </w:r>
      <w:r w:rsidRPr="004F20D1">
        <w:rPr>
          <w:bCs/>
          <w:color w:val="000000" w:themeColor="text1"/>
          <w:szCs w:val="21"/>
        </w:rPr>
        <w:t>2017</w:t>
      </w:r>
      <w:r w:rsidRPr="004F20D1">
        <w:rPr>
          <w:bCs/>
          <w:color w:val="000000" w:themeColor="text1"/>
          <w:szCs w:val="21"/>
        </w:rPr>
        <w:t>年</w:t>
      </w:r>
    </w:p>
    <w:p w14:paraId="7502569A" w14:textId="2626D9CF" w:rsidR="004F20D1" w:rsidRPr="004F20D1" w:rsidRDefault="004F20D1" w:rsidP="004F20D1">
      <w:pPr>
        <w:tabs>
          <w:tab w:val="left" w:pos="3720"/>
          <w:tab w:val="left" w:pos="3780"/>
          <w:tab w:val="left" w:pos="4305"/>
        </w:tabs>
        <w:adjustRightInd w:val="0"/>
        <w:snapToGrid w:val="0"/>
        <w:spacing w:line="360" w:lineRule="auto"/>
        <w:ind w:firstLineChars="200" w:firstLine="420"/>
        <w:rPr>
          <w:bCs/>
          <w:color w:val="000000" w:themeColor="text1"/>
          <w:szCs w:val="21"/>
        </w:rPr>
      </w:pPr>
      <w:r w:rsidRPr="004F20D1">
        <w:rPr>
          <w:bCs/>
          <w:color w:val="000000" w:themeColor="text1"/>
          <w:szCs w:val="21"/>
        </w:rPr>
        <w:t>（</w:t>
      </w:r>
      <w:r w:rsidRPr="004F20D1">
        <w:rPr>
          <w:bCs/>
          <w:color w:val="000000" w:themeColor="text1"/>
          <w:szCs w:val="21"/>
        </w:rPr>
        <w:t>8</w:t>
      </w:r>
      <w:r w:rsidRPr="004F20D1">
        <w:rPr>
          <w:bCs/>
          <w:color w:val="000000" w:themeColor="text1"/>
          <w:szCs w:val="21"/>
        </w:rPr>
        <w:t>）农业园区规划与管理，邹志荣主编。中国农业出版社，</w:t>
      </w:r>
      <w:r w:rsidRPr="004F20D1">
        <w:rPr>
          <w:bCs/>
          <w:color w:val="000000" w:themeColor="text1"/>
          <w:szCs w:val="21"/>
        </w:rPr>
        <w:t>2007</w:t>
      </w:r>
      <w:r w:rsidRPr="004F20D1">
        <w:rPr>
          <w:bCs/>
          <w:color w:val="000000" w:themeColor="text1"/>
          <w:szCs w:val="21"/>
        </w:rPr>
        <w:t>。</w:t>
      </w:r>
    </w:p>
    <w:p w14:paraId="5EFBB665" w14:textId="1DB4E552" w:rsidR="00272C1C" w:rsidRDefault="00272C1C" w:rsidP="00272C1C">
      <w:pPr>
        <w:tabs>
          <w:tab w:val="left" w:pos="3720"/>
          <w:tab w:val="left" w:pos="3780"/>
          <w:tab w:val="left" w:pos="4305"/>
        </w:tabs>
        <w:adjustRightInd w:val="0"/>
        <w:snapToGrid w:val="0"/>
        <w:spacing w:line="360" w:lineRule="auto"/>
        <w:ind w:firstLineChars="200" w:firstLine="420"/>
        <w:rPr>
          <w:rFonts w:ascii="宋体" w:hAnsi="宋体"/>
          <w:color w:val="000000" w:themeColor="text1"/>
          <w:szCs w:val="21"/>
        </w:rPr>
      </w:pPr>
    </w:p>
    <w:p w14:paraId="545E4FD5" w14:textId="77777777" w:rsidR="004F20D1" w:rsidRDefault="004F20D1">
      <w:pPr>
        <w:widowControl/>
        <w:jc w:val="left"/>
        <w:rPr>
          <w:rFonts w:ascii="宋体" w:hAnsi="宋体" w:cs="Arial Unicode MS"/>
          <w:b/>
          <w:bCs/>
          <w:kern w:val="0"/>
          <w:sz w:val="72"/>
          <w:szCs w:val="72"/>
        </w:rPr>
        <w:sectPr w:rsidR="004F20D1" w:rsidSect="00DF3F21">
          <w:footerReference w:type="default" r:id="rId27"/>
          <w:pgSz w:w="11906" w:h="16838"/>
          <w:pgMar w:top="1418" w:right="1588" w:bottom="1588" w:left="1418" w:header="851" w:footer="992" w:gutter="0"/>
          <w:pgNumType w:start="381"/>
          <w:cols w:space="425"/>
          <w:docGrid w:type="lines" w:linePitch="312"/>
        </w:sectPr>
      </w:pPr>
    </w:p>
    <w:p w14:paraId="54FBB06E" w14:textId="77777777" w:rsidR="005C191C" w:rsidRDefault="005C191C">
      <w:pPr>
        <w:widowControl/>
        <w:jc w:val="center"/>
        <w:rPr>
          <w:rFonts w:ascii="宋体" w:hAnsi="宋体" w:cs="Arial Unicode MS"/>
          <w:b/>
          <w:bCs/>
          <w:kern w:val="0"/>
          <w:sz w:val="72"/>
          <w:szCs w:val="72"/>
        </w:rPr>
      </w:pPr>
    </w:p>
    <w:p w14:paraId="2D06B83A" w14:textId="77777777" w:rsidR="005C191C" w:rsidRDefault="005C191C">
      <w:pPr>
        <w:widowControl/>
        <w:jc w:val="center"/>
        <w:rPr>
          <w:rFonts w:ascii="宋体" w:hAnsi="宋体" w:cs="Arial Unicode MS"/>
          <w:b/>
          <w:bCs/>
          <w:kern w:val="0"/>
          <w:sz w:val="72"/>
          <w:szCs w:val="72"/>
        </w:rPr>
      </w:pPr>
    </w:p>
    <w:p w14:paraId="3C86575A" w14:textId="77777777" w:rsidR="005C191C" w:rsidRDefault="005C191C">
      <w:pPr>
        <w:widowControl/>
        <w:jc w:val="center"/>
        <w:rPr>
          <w:rFonts w:ascii="宋体" w:hAnsi="宋体" w:cs="Arial Unicode MS"/>
          <w:b/>
          <w:bCs/>
          <w:kern w:val="0"/>
          <w:sz w:val="72"/>
          <w:szCs w:val="72"/>
        </w:rPr>
      </w:pPr>
    </w:p>
    <w:p w14:paraId="78517044" w14:textId="77777777" w:rsidR="005C191C" w:rsidRDefault="005C191C">
      <w:pPr>
        <w:widowControl/>
        <w:jc w:val="center"/>
        <w:rPr>
          <w:rFonts w:ascii="宋体" w:hAnsi="宋体" w:cs="Arial Unicode MS"/>
          <w:b/>
          <w:bCs/>
          <w:kern w:val="0"/>
          <w:sz w:val="72"/>
          <w:szCs w:val="72"/>
        </w:rPr>
      </w:pPr>
    </w:p>
    <w:p w14:paraId="398200DB" w14:textId="08D1EBD8" w:rsidR="00F5289E" w:rsidRDefault="00C91173">
      <w:pPr>
        <w:widowControl/>
        <w:jc w:val="center"/>
        <w:rPr>
          <w:rFonts w:ascii="宋体" w:hAnsi="宋体" w:cs="Arial Unicode MS"/>
          <w:b/>
          <w:bCs/>
          <w:kern w:val="0"/>
          <w:sz w:val="72"/>
          <w:szCs w:val="72"/>
        </w:rPr>
      </w:pPr>
      <w:r>
        <w:rPr>
          <w:rFonts w:ascii="宋体" w:hAnsi="宋体" w:cs="Arial Unicode MS" w:hint="eastAsia"/>
          <w:b/>
          <w:bCs/>
          <w:kern w:val="0"/>
          <w:sz w:val="72"/>
          <w:szCs w:val="72"/>
        </w:rPr>
        <w:t>第三篇 考核大纲</w:t>
      </w:r>
    </w:p>
    <w:p w14:paraId="4B6796A4" w14:textId="77777777" w:rsidR="00F5289E" w:rsidRDefault="00F5289E">
      <w:pPr>
        <w:widowControl/>
        <w:jc w:val="left"/>
        <w:rPr>
          <w:rFonts w:ascii="宋体" w:hAnsi="宋体" w:cs="Arial Unicode MS"/>
          <w:kern w:val="0"/>
        </w:rPr>
        <w:sectPr w:rsidR="00F5289E" w:rsidSect="004F20D1">
          <w:footerReference w:type="default" r:id="rId28"/>
          <w:pgSz w:w="11906" w:h="16838"/>
          <w:pgMar w:top="1418" w:right="1588" w:bottom="1588" w:left="1418" w:header="851" w:footer="851" w:gutter="0"/>
          <w:pgNumType w:start="364"/>
          <w:cols w:space="425"/>
          <w:docGrid w:type="lines" w:linePitch="312"/>
        </w:sectPr>
      </w:pPr>
    </w:p>
    <w:p w14:paraId="600AFD8C" w14:textId="77777777" w:rsidR="00F5289E" w:rsidRDefault="00F5289E">
      <w:pPr>
        <w:widowControl/>
        <w:jc w:val="left"/>
        <w:rPr>
          <w:rFonts w:ascii="宋体" w:hAnsi="宋体" w:cs="Arial Unicode MS"/>
          <w:kern w:val="0"/>
        </w:rPr>
      </w:pPr>
    </w:p>
    <w:p w14:paraId="20ADDA40" w14:textId="77777777" w:rsidR="00F5289E" w:rsidRDefault="00C91173">
      <w:pPr>
        <w:pStyle w:val="1"/>
      </w:pPr>
      <w:bookmarkStart w:id="167" w:name="_Toc138606271"/>
      <w:r>
        <w:t>传热学考核大纲</w:t>
      </w:r>
      <w:bookmarkEnd w:id="167"/>
    </w:p>
    <w:p w14:paraId="489A7C6D" w14:textId="77777777" w:rsidR="00F5289E" w:rsidRDefault="00C91173">
      <w:pPr>
        <w:snapToGrid w:val="0"/>
        <w:spacing w:line="360" w:lineRule="auto"/>
        <w:jc w:val="center"/>
        <w:rPr>
          <w:sz w:val="24"/>
        </w:rPr>
      </w:pPr>
      <w:r>
        <w:rPr>
          <w:rFonts w:hint="eastAsia"/>
          <w:sz w:val="24"/>
        </w:rPr>
        <w:t>（</w:t>
      </w:r>
      <w:r>
        <w:rPr>
          <w:sz w:val="24"/>
        </w:rPr>
        <w:t>Heat transfer</w:t>
      </w:r>
      <w:r>
        <w:rPr>
          <w:rFonts w:hint="eastAsia"/>
          <w:sz w:val="24"/>
        </w:rPr>
        <w:t>）</w:t>
      </w:r>
    </w:p>
    <w:p w14:paraId="69A43DC2" w14:textId="77777777" w:rsidR="00F5289E" w:rsidRDefault="00F5289E">
      <w:pPr>
        <w:widowControl/>
        <w:wordWrap w:val="0"/>
        <w:spacing w:before="120" w:after="120"/>
        <w:jc w:val="center"/>
        <w:outlineLvl w:val="0"/>
        <w:rPr>
          <w:rFonts w:eastAsia="黑体"/>
          <w:b/>
          <w:bCs/>
          <w:kern w:val="36"/>
          <w:sz w:val="24"/>
        </w:rPr>
      </w:pPr>
    </w:p>
    <w:p w14:paraId="5CE22559"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608F55CA" w14:textId="77777777">
        <w:tc>
          <w:tcPr>
            <w:tcW w:w="1665" w:type="pct"/>
          </w:tcPr>
          <w:p w14:paraId="6ABFBA6B" w14:textId="77777777" w:rsidR="00F5289E" w:rsidRDefault="00C91173">
            <w:pPr>
              <w:spacing w:line="300" w:lineRule="auto"/>
              <w:rPr>
                <w:b/>
                <w:bCs/>
                <w:szCs w:val="21"/>
              </w:rPr>
            </w:pPr>
            <w:r>
              <w:rPr>
                <w:b/>
                <w:bCs/>
                <w:szCs w:val="21"/>
              </w:rPr>
              <w:t>课程编号：</w:t>
            </w:r>
            <w:r w:rsidRPr="001B3040">
              <w:rPr>
                <w:szCs w:val="21"/>
              </w:rPr>
              <w:t>19011127</w:t>
            </w:r>
          </w:p>
        </w:tc>
        <w:tc>
          <w:tcPr>
            <w:tcW w:w="1234" w:type="pct"/>
          </w:tcPr>
          <w:p w14:paraId="585F9B12" w14:textId="77777777" w:rsidR="00F5289E" w:rsidRDefault="00C91173">
            <w:pPr>
              <w:spacing w:line="300" w:lineRule="auto"/>
              <w:rPr>
                <w:b/>
                <w:bCs/>
                <w:szCs w:val="21"/>
              </w:rPr>
            </w:pPr>
            <w:r>
              <w:rPr>
                <w:b/>
                <w:bCs/>
                <w:szCs w:val="21"/>
              </w:rPr>
              <w:t>课程学时：</w:t>
            </w:r>
            <w:r w:rsidRPr="001B3040">
              <w:rPr>
                <w:szCs w:val="21"/>
              </w:rPr>
              <w:t>32</w:t>
            </w:r>
          </w:p>
        </w:tc>
        <w:tc>
          <w:tcPr>
            <w:tcW w:w="2100" w:type="pct"/>
          </w:tcPr>
          <w:p w14:paraId="66CCF992" w14:textId="77777777" w:rsidR="00F5289E" w:rsidRDefault="00C91173">
            <w:pPr>
              <w:spacing w:line="300" w:lineRule="auto"/>
              <w:rPr>
                <w:b/>
                <w:bCs/>
                <w:szCs w:val="21"/>
              </w:rPr>
            </w:pPr>
            <w:r>
              <w:rPr>
                <w:b/>
                <w:bCs/>
                <w:szCs w:val="21"/>
              </w:rPr>
              <w:t>课程学分：</w:t>
            </w:r>
            <w:r w:rsidRPr="001B3040">
              <w:rPr>
                <w:szCs w:val="21"/>
              </w:rPr>
              <w:t>2.0</w:t>
            </w:r>
          </w:p>
        </w:tc>
      </w:tr>
      <w:tr w:rsidR="00F5289E" w14:paraId="300A7D0C" w14:textId="77777777">
        <w:tc>
          <w:tcPr>
            <w:tcW w:w="1665" w:type="pct"/>
          </w:tcPr>
          <w:p w14:paraId="75DB1AF8" w14:textId="77777777" w:rsidR="00F5289E" w:rsidRDefault="00C91173">
            <w:pPr>
              <w:spacing w:line="300" w:lineRule="auto"/>
              <w:rPr>
                <w:b/>
                <w:bCs/>
                <w:szCs w:val="21"/>
              </w:rPr>
            </w:pPr>
            <w:r>
              <w:rPr>
                <w:b/>
                <w:bCs/>
                <w:szCs w:val="21"/>
              </w:rPr>
              <w:t>主撰人</w:t>
            </w:r>
            <w:r w:rsidRPr="001B3040">
              <w:rPr>
                <w:szCs w:val="21"/>
              </w:rPr>
              <w:t>：崔丹丹</w:t>
            </w:r>
          </w:p>
        </w:tc>
        <w:tc>
          <w:tcPr>
            <w:tcW w:w="1234" w:type="pct"/>
          </w:tcPr>
          <w:p w14:paraId="71A68E35" w14:textId="77777777" w:rsidR="00F5289E" w:rsidRDefault="00C91173">
            <w:pPr>
              <w:spacing w:line="300" w:lineRule="auto"/>
              <w:rPr>
                <w:b/>
                <w:bCs/>
                <w:szCs w:val="21"/>
              </w:rPr>
            </w:pPr>
            <w:r>
              <w:rPr>
                <w:b/>
                <w:bCs/>
                <w:szCs w:val="21"/>
              </w:rPr>
              <w:t>审核人：</w:t>
            </w:r>
            <w:r w:rsidRPr="001B3040">
              <w:rPr>
                <w:rFonts w:hint="eastAsia"/>
                <w:szCs w:val="21"/>
              </w:rPr>
              <w:t>汪虎</w:t>
            </w:r>
          </w:p>
        </w:tc>
        <w:tc>
          <w:tcPr>
            <w:tcW w:w="2100" w:type="pct"/>
          </w:tcPr>
          <w:p w14:paraId="1DAA79AC" w14:textId="77777777" w:rsidR="00F5289E" w:rsidRDefault="00C91173">
            <w:pPr>
              <w:spacing w:line="300" w:lineRule="auto"/>
              <w:rPr>
                <w:b/>
                <w:bCs/>
                <w:szCs w:val="21"/>
              </w:rPr>
            </w:pPr>
            <w:r>
              <w:rPr>
                <w:b/>
                <w:bCs/>
                <w:szCs w:val="21"/>
              </w:rPr>
              <w:t>大纲制定（修订）日期：</w:t>
            </w:r>
            <w:r w:rsidRPr="001B3040">
              <w:rPr>
                <w:szCs w:val="21"/>
              </w:rPr>
              <w:t>2023.05</w:t>
            </w:r>
          </w:p>
        </w:tc>
      </w:tr>
    </w:tbl>
    <w:p w14:paraId="1D6C0CBA" w14:textId="77777777" w:rsidR="00F5289E" w:rsidRDefault="00F5289E">
      <w:pPr>
        <w:widowControl/>
        <w:snapToGrid w:val="0"/>
        <w:spacing w:line="360" w:lineRule="auto"/>
        <w:jc w:val="left"/>
        <w:outlineLvl w:val="1"/>
        <w:rPr>
          <w:rFonts w:eastAsiaTheme="majorEastAsia"/>
          <w:b/>
          <w:bCs/>
          <w:kern w:val="0"/>
          <w:szCs w:val="21"/>
        </w:rPr>
      </w:pPr>
    </w:p>
    <w:p w14:paraId="55310D77" w14:textId="77777777" w:rsidR="00F5289E" w:rsidRDefault="00C91173">
      <w:pPr>
        <w:pStyle w:val="a9"/>
        <w:spacing w:line="360" w:lineRule="auto"/>
        <w:rPr>
          <w:b/>
          <w:bCs/>
        </w:rPr>
      </w:pPr>
      <w:r>
        <w:rPr>
          <w:b/>
          <w:bCs/>
        </w:rPr>
        <w:t>一、课程的性质和地位</w:t>
      </w:r>
    </w:p>
    <w:p w14:paraId="55DE7C86" w14:textId="77777777" w:rsidR="00F5289E" w:rsidRDefault="00C91173">
      <w:pPr>
        <w:snapToGrid w:val="0"/>
        <w:spacing w:line="360" w:lineRule="auto"/>
        <w:ind w:firstLineChars="200" w:firstLine="420"/>
        <w:rPr>
          <w:color w:val="0000FF"/>
          <w:szCs w:val="21"/>
        </w:rPr>
      </w:pPr>
      <w:r>
        <w:rPr>
          <w:bCs/>
          <w:szCs w:val="21"/>
        </w:rPr>
        <w:t>《传热学》</w:t>
      </w:r>
      <w:r>
        <w:rPr>
          <w:kern w:val="0"/>
          <w:szCs w:val="21"/>
        </w:rPr>
        <w:t>是设施农业科学与工程专业的专业基础课程，温室大棚种植是我国现代农业发展的重要组成部分，大棚的热量传递和变化规律对于园艺作物的栽培和生产具有十分重要的意义。本门课程主要讲授与热量传递相关的热传导、热对流和热辐射三大传热方式的概念、分类、原理、影响因素，热量计算方法以及强化原则，通过本课程的学习，提升学生的专业知识素养，拓宽学生的专业视野，能够为从事设施农业、农业设施工程设计建造的工程技术人员打下必要的专业基础。</w:t>
      </w:r>
    </w:p>
    <w:p w14:paraId="535C08E7" w14:textId="77777777" w:rsidR="00F5289E" w:rsidRDefault="00C91173">
      <w:pPr>
        <w:pStyle w:val="a9"/>
        <w:spacing w:line="360" w:lineRule="auto"/>
        <w:rPr>
          <w:b/>
          <w:bCs/>
        </w:rPr>
      </w:pPr>
      <w:r>
        <w:rPr>
          <w:b/>
          <w:bCs/>
        </w:rPr>
        <w:t>二、理论教学部分的考核目标</w:t>
      </w:r>
    </w:p>
    <w:p w14:paraId="0CCE7929" w14:textId="77777777" w:rsidR="00F5289E" w:rsidRDefault="00C91173">
      <w:pPr>
        <w:snapToGrid w:val="0"/>
        <w:spacing w:line="360" w:lineRule="auto"/>
        <w:ind w:firstLineChars="200" w:firstLine="420"/>
        <w:rPr>
          <w:color w:val="0000FF"/>
          <w:szCs w:val="21"/>
        </w:rPr>
      </w:pPr>
      <w:r>
        <w:rPr>
          <w:bCs/>
          <w:szCs w:val="21"/>
        </w:rPr>
        <w:t>学习本课程的主要目的是使学生了解热传导、热对流和热辐射的换热特点和基本规律，掌握分析工程传热问题的基本能力。主要任务是利用传热学的理论知识分析生产中遇到的热量传递问题。</w:t>
      </w:r>
    </w:p>
    <w:p w14:paraId="680ADB4E" w14:textId="77777777" w:rsidR="00F5289E" w:rsidRDefault="00C91173">
      <w:pPr>
        <w:snapToGrid w:val="0"/>
        <w:spacing w:line="360" w:lineRule="auto"/>
        <w:ind w:firstLineChars="49" w:firstLine="103"/>
        <w:jc w:val="center"/>
        <w:rPr>
          <w:b/>
          <w:szCs w:val="21"/>
        </w:rPr>
      </w:pPr>
      <w:r>
        <w:rPr>
          <w:b/>
          <w:szCs w:val="21"/>
        </w:rPr>
        <w:t>第一章</w:t>
      </w:r>
      <w:r>
        <w:rPr>
          <w:b/>
          <w:szCs w:val="21"/>
        </w:rPr>
        <w:t xml:space="preserve">  </w:t>
      </w:r>
      <w:r>
        <w:rPr>
          <w:b/>
          <w:szCs w:val="21"/>
        </w:rPr>
        <w:t>绪论</w:t>
      </w:r>
    </w:p>
    <w:p w14:paraId="038C2F22" w14:textId="77777777" w:rsidR="00F5289E" w:rsidRDefault="00C91173">
      <w:pPr>
        <w:snapToGrid w:val="0"/>
        <w:spacing w:line="360" w:lineRule="auto"/>
        <w:rPr>
          <w:b/>
          <w:szCs w:val="21"/>
        </w:rPr>
      </w:pPr>
      <w:r>
        <w:rPr>
          <w:b/>
          <w:szCs w:val="21"/>
        </w:rPr>
        <w:t>（一）学习目标</w:t>
      </w:r>
    </w:p>
    <w:p w14:paraId="33F8DF21"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：传热学的发展史和研究方法。</w:t>
      </w:r>
    </w:p>
    <w:p w14:paraId="6D94BC2B"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t>三种热量传递方式的概念和特点。</w:t>
      </w:r>
    </w:p>
    <w:p w14:paraId="7E03ACE3"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：三种热量传递方式（热传导、热对流和热辐射）的定义、定律、方程和计算方法；传热过程和热阻的概念和计算方法。</w:t>
      </w:r>
    </w:p>
    <w:p w14:paraId="6E0C76A0" w14:textId="77777777" w:rsidR="00F5289E" w:rsidRDefault="00C91173">
      <w:pPr>
        <w:snapToGrid w:val="0"/>
        <w:spacing w:line="360" w:lineRule="auto"/>
        <w:rPr>
          <w:szCs w:val="21"/>
        </w:rPr>
      </w:pPr>
      <w:r>
        <w:rPr>
          <w:b/>
          <w:szCs w:val="21"/>
        </w:rPr>
        <w:t>（二）考核内容</w:t>
      </w:r>
    </w:p>
    <w:p w14:paraId="6F2FC332" w14:textId="77777777" w:rsidR="00F5289E" w:rsidRDefault="00C91173">
      <w:pPr>
        <w:snapToGrid w:val="0"/>
        <w:spacing w:line="360" w:lineRule="auto"/>
        <w:ind w:firstLineChars="200" w:firstLine="420"/>
        <w:rPr>
          <w:bCs/>
          <w:szCs w:val="21"/>
        </w:rPr>
      </w:pPr>
      <w:r>
        <w:rPr>
          <w:bCs/>
          <w:szCs w:val="21"/>
        </w:rPr>
        <w:t>1</w:t>
      </w:r>
      <w:r>
        <w:rPr>
          <w:bCs/>
          <w:szCs w:val="21"/>
        </w:rPr>
        <w:t>、传热学的定义</w:t>
      </w:r>
    </w:p>
    <w:p w14:paraId="166044BC" w14:textId="77777777" w:rsidR="00F5289E" w:rsidRDefault="00C91173">
      <w:pPr>
        <w:snapToGrid w:val="0"/>
        <w:spacing w:line="360" w:lineRule="auto"/>
        <w:ind w:firstLineChars="200" w:firstLine="420"/>
        <w:rPr>
          <w:bCs/>
          <w:szCs w:val="21"/>
        </w:rPr>
      </w:pPr>
      <w:r>
        <w:rPr>
          <w:bCs/>
          <w:szCs w:val="21"/>
        </w:rPr>
        <w:t>2</w:t>
      </w:r>
      <w:r>
        <w:rPr>
          <w:bCs/>
          <w:szCs w:val="21"/>
        </w:rPr>
        <w:t>、热传导的定义、遵循定律和方程式</w:t>
      </w:r>
    </w:p>
    <w:p w14:paraId="0639A59C" w14:textId="77777777" w:rsidR="00F5289E" w:rsidRDefault="00C91173">
      <w:pPr>
        <w:snapToGrid w:val="0"/>
        <w:spacing w:line="360" w:lineRule="auto"/>
        <w:ind w:firstLineChars="200" w:firstLine="420"/>
        <w:rPr>
          <w:bCs/>
          <w:szCs w:val="21"/>
        </w:rPr>
      </w:pPr>
      <w:r>
        <w:rPr>
          <w:bCs/>
          <w:szCs w:val="21"/>
        </w:rPr>
        <w:t>3</w:t>
      </w:r>
      <w:r>
        <w:rPr>
          <w:bCs/>
          <w:szCs w:val="21"/>
        </w:rPr>
        <w:t>、热对流的定义、遵循定律和方程式</w:t>
      </w:r>
    </w:p>
    <w:p w14:paraId="6C9305D2" w14:textId="77777777" w:rsidR="00F5289E" w:rsidRDefault="00C91173">
      <w:pPr>
        <w:snapToGrid w:val="0"/>
        <w:spacing w:line="360" w:lineRule="auto"/>
        <w:ind w:firstLineChars="200" w:firstLine="420"/>
        <w:rPr>
          <w:bCs/>
          <w:szCs w:val="21"/>
        </w:rPr>
      </w:pPr>
      <w:r>
        <w:rPr>
          <w:bCs/>
          <w:szCs w:val="21"/>
        </w:rPr>
        <w:t>4</w:t>
      </w:r>
      <w:r>
        <w:rPr>
          <w:bCs/>
          <w:szCs w:val="21"/>
        </w:rPr>
        <w:t>、热辐射的定义、定律和方程式</w:t>
      </w:r>
    </w:p>
    <w:p w14:paraId="5F533350" w14:textId="77777777" w:rsidR="00F5289E" w:rsidRDefault="00C91173">
      <w:pPr>
        <w:snapToGrid w:val="0"/>
        <w:spacing w:line="360" w:lineRule="auto"/>
        <w:ind w:firstLineChars="200" w:firstLine="420"/>
        <w:rPr>
          <w:bCs/>
          <w:szCs w:val="21"/>
        </w:rPr>
      </w:pPr>
      <w:r>
        <w:rPr>
          <w:bCs/>
          <w:szCs w:val="21"/>
        </w:rPr>
        <w:t>5</w:t>
      </w:r>
      <w:r>
        <w:rPr>
          <w:bCs/>
          <w:szCs w:val="21"/>
        </w:rPr>
        <w:t>、传热过程的热阻计算</w:t>
      </w:r>
    </w:p>
    <w:p w14:paraId="15E45ECE" w14:textId="77777777" w:rsidR="00F5289E" w:rsidRDefault="00C91173">
      <w:pPr>
        <w:snapToGrid w:val="0"/>
        <w:spacing w:line="360" w:lineRule="auto"/>
        <w:rPr>
          <w:b/>
          <w:szCs w:val="21"/>
        </w:rPr>
      </w:pPr>
      <w:r>
        <w:rPr>
          <w:b/>
          <w:szCs w:val="21"/>
        </w:rPr>
        <w:t>（三）考核要求</w:t>
      </w:r>
    </w:p>
    <w:p w14:paraId="7515B709"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：三种传热方式的概念、特点和计算方法。</w:t>
      </w:r>
    </w:p>
    <w:p w14:paraId="5D1BC8EE"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：不同传热方式的特点。</w:t>
      </w:r>
    </w:p>
    <w:p w14:paraId="0DF84BA0"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：三种传热方式的定律。</w:t>
      </w:r>
    </w:p>
    <w:p w14:paraId="0979E197" w14:textId="77777777" w:rsidR="00F5289E" w:rsidRDefault="00C91173">
      <w:pPr>
        <w:snapToGrid w:val="0"/>
        <w:spacing w:line="360" w:lineRule="auto"/>
        <w:ind w:firstLineChars="200" w:firstLine="422"/>
        <w:rPr>
          <w:szCs w:val="21"/>
        </w:rPr>
      </w:pPr>
      <w:r>
        <w:rPr>
          <w:b/>
          <w:szCs w:val="21"/>
        </w:rPr>
        <w:lastRenderedPageBreak/>
        <w:t>4.</w:t>
      </w:r>
      <w:r>
        <w:rPr>
          <w:b/>
          <w:szCs w:val="21"/>
        </w:rPr>
        <w:t>分析：</w:t>
      </w:r>
      <w:r>
        <w:rPr>
          <w:szCs w:val="21"/>
        </w:rPr>
        <w:t>传热过程的传热系数和热阻。</w:t>
      </w:r>
    </w:p>
    <w:p w14:paraId="23D014A1" w14:textId="77777777" w:rsidR="00F5289E" w:rsidRDefault="00C91173">
      <w:pPr>
        <w:snapToGrid w:val="0"/>
        <w:spacing w:line="360" w:lineRule="auto"/>
        <w:ind w:firstLineChars="200" w:firstLine="422"/>
        <w:jc w:val="center"/>
        <w:rPr>
          <w:b/>
        </w:rPr>
      </w:pPr>
      <w:r>
        <w:rPr>
          <w:b/>
        </w:rPr>
        <w:t>第二章</w:t>
      </w:r>
      <w:r>
        <w:rPr>
          <w:b/>
        </w:rPr>
        <w:t xml:space="preserve">  </w:t>
      </w:r>
      <w:r>
        <w:rPr>
          <w:b/>
        </w:rPr>
        <w:t>导热基本定律及稳态导热</w:t>
      </w:r>
    </w:p>
    <w:p w14:paraId="00B435DD" w14:textId="77777777" w:rsidR="00F5289E" w:rsidRDefault="00C91173">
      <w:pPr>
        <w:adjustRightInd w:val="0"/>
        <w:snapToGrid w:val="0"/>
        <w:spacing w:beforeLines="50" w:before="156" w:line="360" w:lineRule="auto"/>
        <w:rPr>
          <w:rFonts w:eastAsia="黑体"/>
          <w:szCs w:val="21"/>
        </w:rPr>
      </w:pPr>
      <w:r>
        <w:rPr>
          <w:b/>
          <w:szCs w:val="21"/>
        </w:rPr>
        <w:t>一、一般学习目的与要求</w:t>
      </w:r>
      <w:r>
        <w:rPr>
          <w:rFonts w:eastAsia="黑体"/>
          <w:szCs w:val="21"/>
        </w:rPr>
        <w:t xml:space="preserve"> </w:t>
      </w:r>
    </w:p>
    <w:p w14:paraId="1C831CCE" w14:textId="77777777" w:rsidR="00F5289E" w:rsidRDefault="00C91173">
      <w:pPr>
        <w:adjustRightInd w:val="0"/>
        <w:snapToGrid w:val="0"/>
        <w:spacing w:beforeLines="50" w:before="156" w:line="360" w:lineRule="auto"/>
        <w:rPr>
          <w:rFonts w:eastAsia="黑体"/>
          <w:szCs w:val="21"/>
        </w:rPr>
      </w:pPr>
      <w:r>
        <w:rPr>
          <w:b/>
          <w:szCs w:val="21"/>
        </w:rPr>
        <w:t xml:space="preserve">1. </w:t>
      </w:r>
      <w:r>
        <w:rPr>
          <w:b/>
          <w:szCs w:val="21"/>
        </w:rPr>
        <w:t>一般了解：</w:t>
      </w:r>
      <w:r>
        <w:rPr>
          <w:color w:val="000000" w:themeColor="text1"/>
          <w:szCs w:val="21"/>
        </w:rPr>
        <w:t>多维导热问题，肋片的导热原理。</w:t>
      </w:r>
    </w:p>
    <w:p w14:paraId="6CF4C32E" w14:textId="77777777" w:rsidR="00F5289E" w:rsidRDefault="00C91173">
      <w:pPr>
        <w:adjustRightInd w:val="0"/>
        <w:snapToGrid w:val="0"/>
        <w:spacing w:beforeLines="50" w:before="156" w:line="360" w:lineRule="auto"/>
        <w:rPr>
          <w:szCs w:val="21"/>
        </w:rPr>
      </w:pPr>
      <w:r>
        <w:rPr>
          <w:b/>
          <w:szCs w:val="21"/>
        </w:rPr>
        <w:t xml:space="preserve">2. </w:t>
      </w:r>
      <w:r>
        <w:rPr>
          <w:b/>
          <w:szCs w:val="21"/>
        </w:rPr>
        <w:t>一般掌握</w:t>
      </w:r>
      <w:r>
        <w:rPr>
          <w:szCs w:val="21"/>
        </w:rPr>
        <w:t>：</w:t>
      </w:r>
      <w:r>
        <w:rPr>
          <w:color w:val="000000" w:themeColor="text1"/>
          <w:szCs w:val="21"/>
        </w:rPr>
        <w:t>傅立叶定律及其应用，导热系数及其影响因素。</w:t>
      </w:r>
    </w:p>
    <w:p w14:paraId="04F0B7D5" w14:textId="77777777" w:rsidR="00F5289E" w:rsidRDefault="00C91173">
      <w:pPr>
        <w:adjustRightInd w:val="0"/>
        <w:snapToGrid w:val="0"/>
        <w:spacing w:beforeLines="50" w:before="156" w:line="360" w:lineRule="auto"/>
        <w:rPr>
          <w:b/>
          <w:szCs w:val="21"/>
        </w:rPr>
      </w:pPr>
      <w:r>
        <w:rPr>
          <w:b/>
          <w:szCs w:val="21"/>
        </w:rPr>
        <w:t xml:space="preserve">3. </w:t>
      </w:r>
      <w:r>
        <w:rPr>
          <w:b/>
          <w:szCs w:val="21"/>
        </w:rPr>
        <w:t>熟练掌握</w:t>
      </w:r>
      <w:r>
        <w:rPr>
          <w:szCs w:val="21"/>
        </w:rPr>
        <w:t>：</w:t>
      </w:r>
      <w:r>
        <w:rPr>
          <w:color w:val="000000" w:themeColor="text1"/>
          <w:szCs w:val="21"/>
        </w:rPr>
        <w:t>导热问题的数学描写，一维稳态导热问题的分析解法。</w:t>
      </w:r>
    </w:p>
    <w:p w14:paraId="21C928D8" w14:textId="77777777" w:rsidR="00F5289E" w:rsidRDefault="00C91173">
      <w:pPr>
        <w:adjustRightInd w:val="0"/>
        <w:snapToGrid w:val="0"/>
        <w:spacing w:beforeLines="50" w:before="156" w:line="360" w:lineRule="auto"/>
        <w:rPr>
          <w:szCs w:val="21"/>
        </w:rPr>
      </w:pPr>
      <w:r>
        <w:rPr>
          <w:b/>
          <w:szCs w:val="21"/>
        </w:rPr>
        <w:t>二、考核知识点</w:t>
      </w:r>
    </w:p>
    <w:p w14:paraId="3D309E5E" w14:textId="77777777" w:rsidR="00F5289E" w:rsidRDefault="00C91173">
      <w:pPr>
        <w:adjustRightInd w:val="0"/>
        <w:snapToGrid w:val="0"/>
        <w:spacing w:beforeLines="50" w:before="156" w:line="360" w:lineRule="auto"/>
        <w:ind w:firstLineChars="50" w:firstLine="105"/>
        <w:rPr>
          <w:color w:val="000000"/>
          <w:szCs w:val="21"/>
        </w:rPr>
      </w:pPr>
      <w:r>
        <w:rPr>
          <w:szCs w:val="21"/>
        </w:rPr>
        <w:t>1</w:t>
      </w:r>
      <w:r>
        <w:rPr>
          <w:szCs w:val="21"/>
        </w:rPr>
        <w:t>．</w:t>
      </w:r>
      <w:r>
        <w:rPr>
          <w:color w:val="000000"/>
          <w:szCs w:val="21"/>
        </w:rPr>
        <w:t>温度场和温度梯度的概念</w:t>
      </w:r>
    </w:p>
    <w:p w14:paraId="0D3842F6" w14:textId="77777777" w:rsidR="00F5289E" w:rsidRDefault="00C91173">
      <w:pPr>
        <w:adjustRightInd w:val="0"/>
        <w:snapToGrid w:val="0"/>
        <w:spacing w:beforeLines="50" w:before="156" w:line="360" w:lineRule="auto"/>
        <w:ind w:firstLineChars="50" w:firstLine="105"/>
        <w:rPr>
          <w:szCs w:val="21"/>
        </w:rPr>
      </w:pPr>
      <w:r>
        <w:rPr>
          <w:szCs w:val="21"/>
        </w:rPr>
        <w:t>2</w:t>
      </w:r>
      <w:r>
        <w:rPr>
          <w:szCs w:val="21"/>
        </w:rPr>
        <w:t>．</w:t>
      </w:r>
      <w:r>
        <w:rPr>
          <w:kern w:val="0"/>
          <w:szCs w:val="21"/>
        </w:rPr>
        <w:t>导热基本定律的原理和使用条件及参数的意义</w:t>
      </w:r>
    </w:p>
    <w:p w14:paraId="426D7D6E" w14:textId="77777777" w:rsidR="00F5289E" w:rsidRDefault="00C91173">
      <w:pPr>
        <w:adjustRightInd w:val="0"/>
        <w:snapToGrid w:val="0"/>
        <w:spacing w:beforeLines="50" w:before="156" w:line="360" w:lineRule="auto"/>
        <w:ind w:firstLineChars="50" w:firstLine="105"/>
        <w:rPr>
          <w:szCs w:val="21"/>
        </w:rPr>
      </w:pPr>
      <w:r>
        <w:rPr>
          <w:szCs w:val="21"/>
        </w:rPr>
        <w:t>3</w:t>
      </w:r>
      <w:r>
        <w:rPr>
          <w:szCs w:val="21"/>
        </w:rPr>
        <w:t>．导热系数的物理意义和影响因素</w:t>
      </w:r>
    </w:p>
    <w:p w14:paraId="7D71C949" w14:textId="77777777" w:rsidR="00F5289E" w:rsidRDefault="00C91173">
      <w:pPr>
        <w:adjustRightInd w:val="0"/>
        <w:snapToGrid w:val="0"/>
        <w:spacing w:beforeLines="50" w:before="156" w:line="360" w:lineRule="auto"/>
        <w:ind w:firstLineChars="50" w:firstLine="105"/>
        <w:rPr>
          <w:szCs w:val="21"/>
        </w:rPr>
      </w:pPr>
      <w:r>
        <w:rPr>
          <w:szCs w:val="21"/>
        </w:rPr>
        <w:t>4</w:t>
      </w:r>
      <w:r>
        <w:rPr>
          <w:szCs w:val="21"/>
        </w:rPr>
        <w:t>．导热问题的数学描写的组成及意义</w:t>
      </w:r>
    </w:p>
    <w:p w14:paraId="1143FE0B" w14:textId="77777777" w:rsidR="00F5289E" w:rsidRDefault="00C91173">
      <w:pPr>
        <w:adjustRightInd w:val="0"/>
        <w:snapToGrid w:val="0"/>
        <w:spacing w:beforeLines="50" w:before="156" w:line="360" w:lineRule="auto"/>
        <w:ind w:firstLineChars="50" w:firstLine="105"/>
        <w:rPr>
          <w:szCs w:val="21"/>
        </w:rPr>
      </w:pPr>
      <w:r>
        <w:rPr>
          <w:szCs w:val="21"/>
        </w:rPr>
        <w:t>5</w:t>
      </w:r>
      <w:r>
        <w:rPr>
          <w:szCs w:val="21"/>
        </w:rPr>
        <w:t>．不同前提条件下导热微分方程的化简和定解条件的分类</w:t>
      </w:r>
    </w:p>
    <w:p w14:paraId="78759DAC" w14:textId="77777777" w:rsidR="00F5289E" w:rsidRDefault="00C91173">
      <w:pPr>
        <w:adjustRightInd w:val="0"/>
        <w:snapToGrid w:val="0"/>
        <w:spacing w:beforeLines="50" w:before="156" w:line="360" w:lineRule="auto"/>
        <w:ind w:firstLineChars="50" w:firstLine="105"/>
        <w:rPr>
          <w:szCs w:val="21"/>
        </w:rPr>
      </w:pPr>
      <w:r>
        <w:rPr>
          <w:szCs w:val="21"/>
        </w:rPr>
        <w:t>6</w:t>
      </w:r>
      <w:r>
        <w:rPr>
          <w:szCs w:val="21"/>
        </w:rPr>
        <w:t>．三种边界条件的分类及应用</w:t>
      </w:r>
    </w:p>
    <w:p w14:paraId="532EB9BB" w14:textId="77777777" w:rsidR="00F5289E" w:rsidRDefault="00C91173">
      <w:pPr>
        <w:adjustRightInd w:val="0"/>
        <w:snapToGrid w:val="0"/>
        <w:spacing w:beforeLines="50" w:before="156" w:line="360" w:lineRule="auto"/>
        <w:ind w:firstLineChars="50" w:firstLine="105"/>
        <w:rPr>
          <w:szCs w:val="21"/>
        </w:rPr>
      </w:pPr>
      <w:r>
        <w:rPr>
          <w:szCs w:val="21"/>
        </w:rPr>
        <w:t>7</w:t>
      </w:r>
      <w:r>
        <w:rPr>
          <w:szCs w:val="21"/>
        </w:rPr>
        <w:t>．串联热阻法的使用和热阻的影响因素</w:t>
      </w:r>
    </w:p>
    <w:p w14:paraId="42982AA7" w14:textId="77777777" w:rsidR="00F5289E" w:rsidRDefault="00C91173">
      <w:pPr>
        <w:adjustRightInd w:val="0"/>
        <w:snapToGrid w:val="0"/>
        <w:spacing w:beforeLines="50" w:before="156" w:line="360" w:lineRule="auto"/>
        <w:ind w:firstLineChars="50" w:firstLine="105"/>
        <w:rPr>
          <w:szCs w:val="21"/>
        </w:rPr>
      </w:pPr>
      <w:r>
        <w:rPr>
          <w:szCs w:val="21"/>
        </w:rPr>
        <w:t>8</w:t>
      </w:r>
      <w:r>
        <w:rPr>
          <w:szCs w:val="21"/>
        </w:rPr>
        <w:t>．单层平壁和多层平壁的导热计算</w:t>
      </w:r>
    </w:p>
    <w:p w14:paraId="62A91BD6" w14:textId="77777777" w:rsidR="00F5289E" w:rsidRDefault="00C91173">
      <w:pPr>
        <w:adjustRightInd w:val="0"/>
        <w:snapToGrid w:val="0"/>
        <w:spacing w:beforeLines="50" w:before="156" w:line="360" w:lineRule="auto"/>
        <w:rPr>
          <w:b/>
          <w:szCs w:val="21"/>
        </w:rPr>
      </w:pPr>
      <w:r>
        <w:rPr>
          <w:b/>
          <w:szCs w:val="21"/>
        </w:rPr>
        <w:t>三、考核要求</w:t>
      </w:r>
    </w:p>
    <w:p w14:paraId="0C9DD269" w14:textId="77777777" w:rsidR="00F5289E" w:rsidRDefault="00C91173">
      <w:pPr>
        <w:adjustRightInd w:val="0"/>
        <w:snapToGrid w:val="0"/>
        <w:spacing w:beforeLines="50" w:before="156" w:line="360" w:lineRule="auto"/>
        <w:ind w:firstLineChars="50" w:firstLine="105"/>
        <w:rPr>
          <w:color w:val="000000"/>
          <w:szCs w:val="21"/>
        </w:rPr>
      </w:pPr>
      <w:r>
        <w:rPr>
          <w:b/>
          <w:bCs/>
          <w:szCs w:val="21"/>
        </w:rPr>
        <w:t>1</w:t>
      </w:r>
      <w:r>
        <w:rPr>
          <w:b/>
          <w:bCs/>
          <w:szCs w:val="21"/>
        </w:rPr>
        <w:t>．识记</w:t>
      </w:r>
      <w:r>
        <w:rPr>
          <w:b/>
          <w:bCs/>
          <w:szCs w:val="21"/>
        </w:rPr>
        <w:t xml:space="preserve">: </w:t>
      </w:r>
      <w:r>
        <w:rPr>
          <w:szCs w:val="21"/>
        </w:rPr>
        <w:t>导热的基本概念和</w:t>
      </w:r>
      <w:r>
        <w:rPr>
          <w:color w:val="000000"/>
          <w:szCs w:val="21"/>
        </w:rPr>
        <w:t>导热基本定律的原理。</w:t>
      </w:r>
    </w:p>
    <w:p w14:paraId="1D9DCEAD" w14:textId="77777777" w:rsidR="00F5289E" w:rsidRDefault="00C91173">
      <w:pPr>
        <w:adjustRightInd w:val="0"/>
        <w:snapToGrid w:val="0"/>
        <w:spacing w:beforeLines="50" w:before="156" w:line="360" w:lineRule="auto"/>
        <w:ind w:firstLineChars="50" w:firstLine="105"/>
        <w:rPr>
          <w:szCs w:val="21"/>
        </w:rPr>
      </w:pPr>
      <w:r>
        <w:rPr>
          <w:b/>
          <w:bCs/>
          <w:szCs w:val="21"/>
        </w:rPr>
        <w:t>2</w:t>
      </w:r>
      <w:r>
        <w:rPr>
          <w:b/>
          <w:bCs/>
          <w:szCs w:val="21"/>
        </w:rPr>
        <w:t>．领会</w:t>
      </w:r>
      <w:r>
        <w:rPr>
          <w:b/>
          <w:bCs/>
          <w:szCs w:val="21"/>
        </w:rPr>
        <w:t xml:space="preserve">: </w:t>
      </w:r>
      <w:r>
        <w:rPr>
          <w:color w:val="000000"/>
          <w:szCs w:val="21"/>
        </w:rPr>
        <w:t>导热问题的数学描写。</w:t>
      </w:r>
    </w:p>
    <w:p w14:paraId="4A0E9618" w14:textId="77777777" w:rsidR="00F5289E" w:rsidRDefault="00C91173">
      <w:pPr>
        <w:adjustRightInd w:val="0"/>
        <w:snapToGrid w:val="0"/>
        <w:spacing w:beforeLines="50" w:before="156" w:line="360" w:lineRule="auto"/>
        <w:ind w:firstLineChars="50" w:firstLine="105"/>
        <w:rPr>
          <w:szCs w:val="21"/>
        </w:rPr>
      </w:pPr>
      <w:r>
        <w:rPr>
          <w:b/>
          <w:bCs/>
          <w:szCs w:val="21"/>
        </w:rPr>
        <w:t>3</w:t>
      </w:r>
      <w:r>
        <w:rPr>
          <w:b/>
          <w:bCs/>
          <w:szCs w:val="21"/>
        </w:rPr>
        <w:t>．应用：</w:t>
      </w:r>
      <w:r>
        <w:rPr>
          <w:szCs w:val="21"/>
        </w:rPr>
        <w:t>典型一维稳态导热问题的分析解法。</w:t>
      </w:r>
    </w:p>
    <w:p w14:paraId="2CA0E8FE" w14:textId="77777777" w:rsidR="00F5289E" w:rsidRDefault="00C91173">
      <w:pPr>
        <w:adjustRightInd w:val="0"/>
        <w:snapToGrid w:val="0"/>
        <w:spacing w:beforeLines="50" w:before="156" w:line="360" w:lineRule="auto"/>
        <w:ind w:firstLineChars="50" w:firstLine="105"/>
        <w:rPr>
          <w:szCs w:val="21"/>
        </w:rPr>
      </w:pPr>
      <w:r>
        <w:rPr>
          <w:b/>
          <w:bCs/>
          <w:szCs w:val="21"/>
        </w:rPr>
        <w:t>4</w:t>
      </w:r>
      <w:r>
        <w:rPr>
          <w:b/>
          <w:bCs/>
          <w:szCs w:val="21"/>
        </w:rPr>
        <w:t>．分析：</w:t>
      </w:r>
      <w:r>
        <w:rPr>
          <w:szCs w:val="21"/>
        </w:rPr>
        <w:t>生产生活中的简单导热问题。</w:t>
      </w:r>
    </w:p>
    <w:p w14:paraId="34171CAF" w14:textId="77777777" w:rsidR="00F5289E" w:rsidRDefault="00C91173">
      <w:pPr>
        <w:snapToGrid w:val="0"/>
        <w:spacing w:line="360" w:lineRule="auto"/>
        <w:ind w:firstLineChars="200" w:firstLine="422"/>
        <w:jc w:val="center"/>
        <w:rPr>
          <w:b/>
        </w:rPr>
      </w:pPr>
      <w:r>
        <w:rPr>
          <w:b/>
        </w:rPr>
        <w:t>第三章</w:t>
      </w:r>
      <w:r>
        <w:rPr>
          <w:b/>
        </w:rPr>
        <w:t xml:space="preserve">  </w:t>
      </w:r>
      <w:r>
        <w:rPr>
          <w:b/>
        </w:rPr>
        <w:t>非稳态导热</w:t>
      </w:r>
    </w:p>
    <w:p w14:paraId="75B43931" w14:textId="77777777" w:rsidR="00F5289E" w:rsidRDefault="00C91173">
      <w:pPr>
        <w:adjustRightInd w:val="0"/>
        <w:snapToGrid w:val="0"/>
        <w:spacing w:beforeLines="50" w:before="156" w:line="360" w:lineRule="auto"/>
        <w:rPr>
          <w:rFonts w:eastAsia="黑体"/>
          <w:szCs w:val="21"/>
        </w:rPr>
      </w:pPr>
      <w:r>
        <w:rPr>
          <w:b/>
          <w:szCs w:val="21"/>
        </w:rPr>
        <w:t>一、一般学习目的与要求</w:t>
      </w:r>
      <w:r>
        <w:rPr>
          <w:rFonts w:eastAsia="黑体"/>
          <w:szCs w:val="21"/>
        </w:rPr>
        <w:t xml:space="preserve"> </w:t>
      </w:r>
    </w:p>
    <w:p w14:paraId="1E0301EB" w14:textId="77777777" w:rsidR="00F5289E" w:rsidRDefault="00C91173">
      <w:pPr>
        <w:adjustRightInd w:val="0"/>
        <w:snapToGrid w:val="0"/>
        <w:spacing w:beforeLines="50" w:before="156" w:line="360" w:lineRule="auto"/>
        <w:rPr>
          <w:rFonts w:eastAsia="黑体"/>
          <w:szCs w:val="21"/>
        </w:rPr>
      </w:pPr>
      <w:r>
        <w:rPr>
          <w:b/>
          <w:szCs w:val="21"/>
        </w:rPr>
        <w:t xml:space="preserve">1. </w:t>
      </w:r>
      <w:r>
        <w:rPr>
          <w:b/>
          <w:szCs w:val="21"/>
        </w:rPr>
        <w:t>一般了解：</w:t>
      </w:r>
      <w:r>
        <w:rPr>
          <w:color w:val="000000" w:themeColor="text1"/>
          <w:szCs w:val="21"/>
        </w:rPr>
        <w:t>无限大物体非稳态导热的基本特点。</w:t>
      </w:r>
    </w:p>
    <w:p w14:paraId="746D443F" w14:textId="77777777" w:rsidR="00F5289E" w:rsidRDefault="00C91173">
      <w:pPr>
        <w:adjustRightInd w:val="0"/>
        <w:snapToGrid w:val="0"/>
        <w:spacing w:beforeLines="50" w:before="156" w:line="360" w:lineRule="auto"/>
        <w:rPr>
          <w:szCs w:val="21"/>
        </w:rPr>
      </w:pPr>
      <w:r>
        <w:rPr>
          <w:b/>
          <w:szCs w:val="21"/>
        </w:rPr>
        <w:t xml:space="preserve">2. </w:t>
      </w:r>
      <w:r>
        <w:rPr>
          <w:b/>
          <w:szCs w:val="21"/>
        </w:rPr>
        <w:t>一般掌握</w:t>
      </w:r>
      <w:r>
        <w:rPr>
          <w:szCs w:val="21"/>
        </w:rPr>
        <w:t>：</w:t>
      </w:r>
      <w:r>
        <w:rPr>
          <w:color w:val="000000" w:themeColor="text1"/>
          <w:szCs w:val="21"/>
        </w:rPr>
        <w:t>确定瞬时温度场的方法，分析典型的一维非稳态导热问题。</w:t>
      </w:r>
    </w:p>
    <w:p w14:paraId="1EE027B7" w14:textId="77777777" w:rsidR="00F5289E" w:rsidRDefault="00C91173">
      <w:pPr>
        <w:adjustRightInd w:val="0"/>
        <w:snapToGrid w:val="0"/>
        <w:spacing w:beforeLines="50" w:before="156" w:line="360" w:lineRule="auto"/>
        <w:rPr>
          <w:b/>
          <w:szCs w:val="21"/>
        </w:rPr>
      </w:pPr>
      <w:r>
        <w:rPr>
          <w:b/>
          <w:szCs w:val="21"/>
        </w:rPr>
        <w:t xml:space="preserve">3. </w:t>
      </w:r>
      <w:r>
        <w:rPr>
          <w:b/>
          <w:szCs w:val="21"/>
        </w:rPr>
        <w:t>熟练掌握</w:t>
      </w:r>
      <w:r>
        <w:rPr>
          <w:szCs w:val="21"/>
        </w:rPr>
        <w:t>：</w:t>
      </w:r>
      <w:r>
        <w:rPr>
          <w:color w:val="000000" w:themeColor="text1"/>
          <w:szCs w:val="21"/>
        </w:rPr>
        <w:t>非稳态导热的基本概念及特点，集中参数法的基本原理及应用。</w:t>
      </w:r>
    </w:p>
    <w:p w14:paraId="186050A7" w14:textId="77777777" w:rsidR="00F5289E" w:rsidRDefault="00C91173">
      <w:pPr>
        <w:adjustRightInd w:val="0"/>
        <w:snapToGrid w:val="0"/>
        <w:spacing w:beforeLines="50" w:before="156" w:line="360" w:lineRule="auto"/>
        <w:rPr>
          <w:szCs w:val="21"/>
        </w:rPr>
      </w:pPr>
      <w:r>
        <w:rPr>
          <w:b/>
          <w:szCs w:val="21"/>
        </w:rPr>
        <w:lastRenderedPageBreak/>
        <w:t>二、考核知识点</w:t>
      </w:r>
    </w:p>
    <w:p w14:paraId="4202E0D9" w14:textId="77777777" w:rsidR="00F5289E" w:rsidRDefault="00C91173">
      <w:pPr>
        <w:adjustRightInd w:val="0"/>
        <w:snapToGrid w:val="0"/>
        <w:spacing w:beforeLines="50" w:before="156" w:line="360" w:lineRule="auto"/>
        <w:ind w:firstLineChars="50" w:firstLine="105"/>
        <w:rPr>
          <w:color w:val="000000"/>
          <w:szCs w:val="21"/>
        </w:rPr>
      </w:pPr>
      <w:r>
        <w:rPr>
          <w:szCs w:val="21"/>
        </w:rPr>
        <w:t>1</w:t>
      </w:r>
      <w:r>
        <w:rPr>
          <w:szCs w:val="21"/>
        </w:rPr>
        <w:t>．</w:t>
      </w:r>
      <w:r>
        <w:rPr>
          <w:color w:val="000000"/>
          <w:szCs w:val="21"/>
        </w:rPr>
        <w:t>非稳态导热的定义</w:t>
      </w:r>
    </w:p>
    <w:p w14:paraId="0378B7EE" w14:textId="77777777" w:rsidR="00F5289E" w:rsidRDefault="00C91173">
      <w:pPr>
        <w:adjustRightInd w:val="0"/>
        <w:snapToGrid w:val="0"/>
        <w:spacing w:beforeLines="50" w:before="156" w:line="360" w:lineRule="auto"/>
        <w:ind w:firstLineChars="50" w:firstLine="105"/>
        <w:rPr>
          <w:color w:val="000000"/>
          <w:szCs w:val="21"/>
        </w:rPr>
      </w:pPr>
      <w:r>
        <w:rPr>
          <w:szCs w:val="21"/>
        </w:rPr>
        <w:t>2</w:t>
      </w:r>
      <w:r>
        <w:rPr>
          <w:szCs w:val="21"/>
        </w:rPr>
        <w:t>．</w:t>
      </w:r>
      <w:r>
        <w:rPr>
          <w:color w:val="000000"/>
          <w:szCs w:val="21"/>
        </w:rPr>
        <w:t>非稳态导热的分类</w:t>
      </w:r>
    </w:p>
    <w:p w14:paraId="4934E9CC" w14:textId="77777777" w:rsidR="00F5289E" w:rsidRDefault="00C91173">
      <w:pPr>
        <w:adjustRightInd w:val="0"/>
        <w:snapToGrid w:val="0"/>
        <w:spacing w:beforeLines="50" w:before="156" w:line="360" w:lineRule="auto"/>
        <w:ind w:firstLineChars="50" w:firstLine="105"/>
        <w:rPr>
          <w:color w:val="000000"/>
          <w:szCs w:val="21"/>
        </w:rPr>
      </w:pPr>
      <w:r>
        <w:rPr>
          <w:szCs w:val="21"/>
        </w:rPr>
        <w:t>3</w:t>
      </w:r>
      <w:r>
        <w:rPr>
          <w:szCs w:val="21"/>
        </w:rPr>
        <w:t>．</w:t>
      </w:r>
      <w:r>
        <w:rPr>
          <w:color w:val="000000"/>
          <w:szCs w:val="21"/>
        </w:rPr>
        <w:t>非稳态导热的分布特点</w:t>
      </w:r>
    </w:p>
    <w:p w14:paraId="0DFA03C4" w14:textId="77777777" w:rsidR="00F5289E" w:rsidRDefault="00C91173">
      <w:pPr>
        <w:adjustRightInd w:val="0"/>
        <w:snapToGrid w:val="0"/>
        <w:spacing w:beforeLines="50" w:before="156" w:line="360" w:lineRule="auto"/>
        <w:ind w:firstLineChars="50" w:firstLine="105"/>
        <w:rPr>
          <w:szCs w:val="21"/>
        </w:rPr>
      </w:pPr>
      <w:r>
        <w:rPr>
          <w:szCs w:val="21"/>
        </w:rPr>
        <w:t>4</w:t>
      </w:r>
      <w:r>
        <w:rPr>
          <w:szCs w:val="21"/>
        </w:rPr>
        <w:t>．</w:t>
      </w:r>
      <w:r>
        <w:rPr>
          <w:kern w:val="0"/>
          <w:szCs w:val="21"/>
        </w:rPr>
        <w:t>毕渥数的意义及计算</w:t>
      </w:r>
    </w:p>
    <w:p w14:paraId="4B6F22B6" w14:textId="77777777" w:rsidR="00F5289E" w:rsidRDefault="00C91173">
      <w:pPr>
        <w:adjustRightInd w:val="0"/>
        <w:snapToGrid w:val="0"/>
        <w:spacing w:beforeLines="50" w:before="156" w:line="360" w:lineRule="auto"/>
        <w:ind w:firstLineChars="50" w:firstLine="105"/>
        <w:rPr>
          <w:szCs w:val="21"/>
        </w:rPr>
      </w:pPr>
      <w:r>
        <w:rPr>
          <w:szCs w:val="21"/>
        </w:rPr>
        <w:t>5</w:t>
      </w:r>
      <w:r>
        <w:rPr>
          <w:szCs w:val="21"/>
        </w:rPr>
        <w:t>．</w:t>
      </w:r>
      <w:r>
        <w:t>集中参数法的定义</w:t>
      </w:r>
    </w:p>
    <w:p w14:paraId="019375EA" w14:textId="77777777" w:rsidR="00F5289E" w:rsidRDefault="00C91173">
      <w:pPr>
        <w:adjustRightInd w:val="0"/>
        <w:snapToGrid w:val="0"/>
        <w:spacing w:beforeLines="50" w:before="156" w:line="360" w:lineRule="auto"/>
        <w:ind w:firstLineChars="50" w:firstLine="105"/>
        <w:rPr>
          <w:szCs w:val="21"/>
        </w:rPr>
      </w:pPr>
      <w:r>
        <w:rPr>
          <w:szCs w:val="21"/>
        </w:rPr>
        <w:t>6</w:t>
      </w:r>
      <w:r>
        <w:rPr>
          <w:szCs w:val="21"/>
        </w:rPr>
        <w:t>．集中参数法中温度分布和导热量计算</w:t>
      </w:r>
    </w:p>
    <w:p w14:paraId="111F44AA" w14:textId="77777777" w:rsidR="00F5289E" w:rsidRDefault="00C91173">
      <w:pPr>
        <w:adjustRightInd w:val="0"/>
        <w:snapToGrid w:val="0"/>
        <w:spacing w:beforeLines="50" w:before="156" w:line="360" w:lineRule="auto"/>
        <w:ind w:firstLineChars="50" w:firstLine="105"/>
        <w:rPr>
          <w:szCs w:val="21"/>
        </w:rPr>
      </w:pPr>
      <w:r>
        <w:rPr>
          <w:szCs w:val="21"/>
        </w:rPr>
        <w:t>7</w:t>
      </w:r>
      <w:r>
        <w:rPr>
          <w:szCs w:val="21"/>
        </w:rPr>
        <w:t>．</w:t>
      </w:r>
      <w:r>
        <w:rPr>
          <w:rFonts w:ascii="Cambria Math" w:hAnsi="Cambria Math" w:cs="Cambria Math"/>
          <w:szCs w:val="21"/>
        </w:rPr>
        <w:t>𝐵𝑖𝑣</w:t>
      </w:r>
      <w:r>
        <w:rPr>
          <w:szCs w:val="21"/>
        </w:rPr>
        <w:t> </w:t>
      </w:r>
      <w:r>
        <w:rPr>
          <w:rFonts w:ascii="Cambria Math" w:hAnsi="Cambria Math" w:cs="Cambria Math"/>
          <w:szCs w:val="21"/>
        </w:rPr>
        <w:t>𝐹𝑜𝑣</w:t>
      </w:r>
      <w:r>
        <w:rPr>
          <w:szCs w:val="21"/>
        </w:rPr>
        <w:t>的物理意义</w:t>
      </w:r>
      <w:r>
        <w:rPr>
          <w:rFonts w:ascii="Cambria Math" w:hAnsi="Cambria Math" w:cs="Cambria Math"/>
          <w:szCs w:val="21"/>
        </w:rPr>
        <w:t>𝐵𝑖𝑣</w:t>
      </w:r>
      <w:r>
        <w:rPr>
          <w:szCs w:val="21"/>
        </w:rPr>
        <w:t> </w:t>
      </w:r>
      <w:r>
        <w:rPr>
          <w:rFonts w:ascii="Cambria Math" w:hAnsi="Cambria Math" w:cs="Cambria Math"/>
          <w:szCs w:val="21"/>
        </w:rPr>
        <w:t>𝐹𝑜𝑣</w:t>
      </w:r>
      <w:r>
        <w:rPr>
          <w:szCs w:val="21"/>
        </w:rPr>
        <w:t>物理意义</w:t>
      </w:r>
    </w:p>
    <w:p w14:paraId="7799D924" w14:textId="77777777" w:rsidR="00F5289E" w:rsidRDefault="00C91173">
      <w:pPr>
        <w:adjustRightInd w:val="0"/>
        <w:snapToGrid w:val="0"/>
        <w:spacing w:beforeLines="50" w:before="156" w:line="360" w:lineRule="auto"/>
        <w:ind w:firstLineChars="50" w:firstLine="105"/>
        <w:rPr>
          <w:szCs w:val="21"/>
        </w:rPr>
      </w:pPr>
      <w:r>
        <w:rPr>
          <w:szCs w:val="21"/>
        </w:rPr>
        <w:t>8</w:t>
      </w:r>
      <w:r>
        <w:rPr>
          <w:szCs w:val="21"/>
        </w:rPr>
        <w:t>．集中参数法的应用条件</w:t>
      </w:r>
    </w:p>
    <w:p w14:paraId="642C25EF" w14:textId="77777777" w:rsidR="00F5289E" w:rsidRDefault="00C91173">
      <w:pPr>
        <w:adjustRightInd w:val="0"/>
        <w:snapToGrid w:val="0"/>
        <w:spacing w:beforeLines="50" w:before="156" w:line="360" w:lineRule="auto"/>
        <w:ind w:firstLineChars="50" w:firstLine="105"/>
        <w:rPr>
          <w:szCs w:val="21"/>
        </w:rPr>
      </w:pPr>
      <w:r>
        <w:rPr>
          <w:szCs w:val="21"/>
        </w:rPr>
        <w:t>9</w:t>
      </w:r>
      <w:r>
        <w:rPr>
          <w:szCs w:val="21"/>
        </w:rPr>
        <w:t>．典型一维物体非稳态导热的分析解原理</w:t>
      </w:r>
    </w:p>
    <w:p w14:paraId="0CB840FB" w14:textId="77777777" w:rsidR="00F5289E" w:rsidRDefault="00C91173">
      <w:pPr>
        <w:adjustRightInd w:val="0"/>
        <w:snapToGrid w:val="0"/>
        <w:spacing w:beforeLines="50" w:before="156" w:line="360" w:lineRule="auto"/>
        <w:ind w:firstLineChars="50" w:firstLine="105"/>
        <w:rPr>
          <w:szCs w:val="21"/>
        </w:rPr>
      </w:pPr>
      <w:r>
        <w:rPr>
          <w:szCs w:val="21"/>
        </w:rPr>
        <w:t>10</w:t>
      </w:r>
      <w:r>
        <w:rPr>
          <w:szCs w:val="21"/>
        </w:rPr>
        <w:t>．</w:t>
      </w:r>
      <w:r>
        <w:t>典型一维物体非稳态导热的温度场求解过程</w:t>
      </w:r>
    </w:p>
    <w:p w14:paraId="13A19A07" w14:textId="77777777" w:rsidR="00F5289E" w:rsidRDefault="00C91173">
      <w:pPr>
        <w:adjustRightInd w:val="0"/>
        <w:snapToGrid w:val="0"/>
        <w:spacing w:beforeLines="50" w:before="156" w:line="360" w:lineRule="auto"/>
        <w:rPr>
          <w:b/>
          <w:szCs w:val="21"/>
        </w:rPr>
      </w:pPr>
      <w:r>
        <w:rPr>
          <w:b/>
          <w:szCs w:val="21"/>
        </w:rPr>
        <w:t>三、考核要求</w:t>
      </w:r>
    </w:p>
    <w:p w14:paraId="399EC4E7" w14:textId="77777777" w:rsidR="00F5289E" w:rsidRDefault="00C91173">
      <w:pPr>
        <w:adjustRightInd w:val="0"/>
        <w:snapToGrid w:val="0"/>
        <w:spacing w:beforeLines="50" w:before="156" w:line="360" w:lineRule="auto"/>
        <w:ind w:firstLineChars="50" w:firstLine="105"/>
        <w:rPr>
          <w:color w:val="000000"/>
          <w:szCs w:val="21"/>
        </w:rPr>
      </w:pPr>
      <w:r>
        <w:rPr>
          <w:b/>
          <w:bCs/>
          <w:szCs w:val="21"/>
        </w:rPr>
        <w:t>1</w:t>
      </w:r>
      <w:r>
        <w:rPr>
          <w:b/>
          <w:bCs/>
          <w:szCs w:val="21"/>
        </w:rPr>
        <w:t>．识记</w:t>
      </w:r>
      <w:r>
        <w:rPr>
          <w:b/>
          <w:bCs/>
          <w:szCs w:val="21"/>
        </w:rPr>
        <w:t xml:space="preserve">: </w:t>
      </w:r>
      <w:r>
        <w:rPr>
          <w:kern w:val="0"/>
          <w:szCs w:val="21"/>
        </w:rPr>
        <w:t>非稳态导热的基本概念。</w:t>
      </w:r>
    </w:p>
    <w:p w14:paraId="1AF49AE7" w14:textId="77777777" w:rsidR="00F5289E" w:rsidRDefault="00C91173">
      <w:pPr>
        <w:adjustRightInd w:val="0"/>
        <w:snapToGrid w:val="0"/>
        <w:spacing w:beforeLines="50" w:before="156" w:line="360" w:lineRule="auto"/>
        <w:ind w:firstLineChars="50" w:firstLine="105"/>
        <w:rPr>
          <w:szCs w:val="21"/>
        </w:rPr>
      </w:pPr>
      <w:r>
        <w:rPr>
          <w:b/>
          <w:bCs/>
          <w:szCs w:val="21"/>
        </w:rPr>
        <w:t>2</w:t>
      </w:r>
      <w:r>
        <w:rPr>
          <w:b/>
          <w:bCs/>
          <w:szCs w:val="21"/>
        </w:rPr>
        <w:t>．领会</w:t>
      </w:r>
      <w:r>
        <w:rPr>
          <w:b/>
          <w:bCs/>
          <w:szCs w:val="21"/>
        </w:rPr>
        <w:t xml:space="preserve">: </w:t>
      </w:r>
      <w:r>
        <w:rPr>
          <w:kern w:val="0"/>
          <w:szCs w:val="21"/>
        </w:rPr>
        <w:t>零维问题、一维问题的导热微分方程的分析解法。</w:t>
      </w:r>
    </w:p>
    <w:p w14:paraId="34E7403F" w14:textId="77777777" w:rsidR="00F5289E" w:rsidRDefault="00C91173">
      <w:pPr>
        <w:adjustRightInd w:val="0"/>
        <w:snapToGrid w:val="0"/>
        <w:spacing w:beforeLines="50" w:before="156" w:line="360" w:lineRule="auto"/>
        <w:ind w:firstLineChars="50" w:firstLine="105"/>
        <w:rPr>
          <w:szCs w:val="21"/>
        </w:rPr>
      </w:pPr>
      <w:r>
        <w:rPr>
          <w:b/>
          <w:bCs/>
          <w:szCs w:val="21"/>
        </w:rPr>
        <w:t>3</w:t>
      </w:r>
      <w:r>
        <w:rPr>
          <w:b/>
          <w:bCs/>
          <w:szCs w:val="21"/>
        </w:rPr>
        <w:t>．应用：</w:t>
      </w:r>
      <w:r>
        <w:rPr>
          <w:szCs w:val="21"/>
        </w:rPr>
        <w:t>求解非稳态导热问题的一般策略。</w:t>
      </w:r>
    </w:p>
    <w:p w14:paraId="269890CC" w14:textId="77777777" w:rsidR="00F5289E" w:rsidRDefault="00C91173">
      <w:pPr>
        <w:adjustRightInd w:val="0"/>
        <w:snapToGrid w:val="0"/>
        <w:spacing w:beforeLines="50" w:before="156" w:line="360" w:lineRule="auto"/>
        <w:ind w:firstLineChars="50" w:firstLine="105"/>
        <w:rPr>
          <w:szCs w:val="21"/>
        </w:rPr>
      </w:pPr>
      <w:r>
        <w:rPr>
          <w:b/>
          <w:bCs/>
          <w:szCs w:val="21"/>
        </w:rPr>
        <w:t>4</w:t>
      </w:r>
      <w:r>
        <w:rPr>
          <w:b/>
          <w:bCs/>
          <w:szCs w:val="21"/>
        </w:rPr>
        <w:t>．分析：</w:t>
      </w:r>
      <w:r>
        <w:rPr>
          <w:szCs w:val="21"/>
        </w:rPr>
        <w:t>生产生活中简单的应用实例。</w:t>
      </w:r>
    </w:p>
    <w:p w14:paraId="45F7A8C4" w14:textId="77777777" w:rsidR="00F5289E" w:rsidRDefault="00C91173">
      <w:pPr>
        <w:snapToGrid w:val="0"/>
        <w:spacing w:line="360" w:lineRule="auto"/>
        <w:ind w:firstLineChars="49" w:firstLine="103"/>
        <w:jc w:val="center"/>
        <w:rPr>
          <w:b/>
          <w:szCs w:val="21"/>
        </w:rPr>
      </w:pPr>
      <w:r>
        <w:rPr>
          <w:b/>
          <w:szCs w:val="21"/>
        </w:rPr>
        <w:t>第四章</w:t>
      </w:r>
      <w:r>
        <w:rPr>
          <w:b/>
          <w:szCs w:val="21"/>
        </w:rPr>
        <w:t xml:space="preserve">  </w:t>
      </w:r>
      <w:r>
        <w:rPr>
          <w:b/>
          <w:szCs w:val="21"/>
        </w:rPr>
        <w:t>对流传热的理论基础</w:t>
      </w:r>
    </w:p>
    <w:p w14:paraId="49124C0E" w14:textId="77777777" w:rsidR="00F5289E" w:rsidRDefault="00C91173">
      <w:pPr>
        <w:snapToGrid w:val="0"/>
        <w:spacing w:line="360" w:lineRule="auto"/>
        <w:rPr>
          <w:b/>
          <w:szCs w:val="21"/>
        </w:rPr>
      </w:pPr>
      <w:r>
        <w:rPr>
          <w:b/>
          <w:szCs w:val="21"/>
        </w:rPr>
        <w:t>（一）学习目标</w:t>
      </w:r>
    </w:p>
    <w:p w14:paraId="5DFCA1A8"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：对流换热的研究方法；边界层微分方程组的导出和简化过程；相似原理的应用。</w:t>
      </w:r>
    </w:p>
    <w:p w14:paraId="3FD28B70" w14:textId="77777777" w:rsidR="00F5289E" w:rsidRDefault="00C91173">
      <w:pPr>
        <w:snapToGrid w:val="0"/>
        <w:spacing w:line="360" w:lineRule="auto"/>
        <w:ind w:firstLineChars="200" w:firstLine="422"/>
        <w:rPr>
          <w:bCs/>
          <w:color w:val="0000FF"/>
          <w:szCs w:val="21"/>
        </w:rPr>
      </w:pPr>
      <w:r>
        <w:rPr>
          <w:b/>
          <w:szCs w:val="21"/>
        </w:rPr>
        <w:t xml:space="preserve">2. </w:t>
      </w:r>
      <w:r>
        <w:rPr>
          <w:b/>
          <w:szCs w:val="21"/>
        </w:rPr>
        <w:t>一般掌握</w:t>
      </w:r>
      <w:r>
        <w:rPr>
          <w:szCs w:val="21"/>
        </w:rPr>
        <w:t>：</w:t>
      </w:r>
      <w:r>
        <w:t>边界层的物理意义；边界层的微分方程组、定解条件。</w:t>
      </w:r>
    </w:p>
    <w:p w14:paraId="0B3C26A0"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：对流换热的概念、特点、分类、影响因素；表面换热系数的方程式；边界层的概念和特点；边界层微分方程组的简化分析方法；相似原理的内容和相似特征数的导出方法；常用的相似准则数的意义和公式。</w:t>
      </w:r>
    </w:p>
    <w:p w14:paraId="1DA280EC" w14:textId="77777777" w:rsidR="00F5289E" w:rsidRDefault="00C91173">
      <w:pPr>
        <w:snapToGrid w:val="0"/>
        <w:spacing w:line="360" w:lineRule="auto"/>
        <w:rPr>
          <w:szCs w:val="21"/>
        </w:rPr>
      </w:pPr>
      <w:r>
        <w:rPr>
          <w:b/>
          <w:szCs w:val="21"/>
        </w:rPr>
        <w:t>（二）考核内容</w:t>
      </w:r>
    </w:p>
    <w:p w14:paraId="7E38AB6E" w14:textId="77777777" w:rsidR="00F5289E" w:rsidRDefault="00C91173">
      <w:pPr>
        <w:snapToGrid w:val="0"/>
        <w:spacing w:line="360" w:lineRule="auto"/>
        <w:ind w:firstLineChars="200" w:firstLine="420"/>
        <w:rPr>
          <w:bCs/>
          <w:szCs w:val="21"/>
        </w:rPr>
      </w:pPr>
      <w:r>
        <w:rPr>
          <w:bCs/>
          <w:szCs w:val="21"/>
        </w:rPr>
        <w:t>1</w:t>
      </w:r>
      <w:r>
        <w:rPr>
          <w:bCs/>
          <w:szCs w:val="21"/>
        </w:rPr>
        <w:t>、对流换热的概念、影响因素、分类和特点</w:t>
      </w:r>
    </w:p>
    <w:p w14:paraId="5F15A906" w14:textId="77777777" w:rsidR="00F5289E" w:rsidRDefault="00C91173">
      <w:pPr>
        <w:snapToGrid w:val="0"/>
        <w:spacing w:line="360" w:lineRule="auto"/>
        <w:ind w:firstLineChars="200" w:firstLine="420"/>
        <w:rPr>
          <w:bCs/>
          <w:szCs w:val="21"/>
        </w:rPr>
      </w:pPr>
      <w:r>
        <w:rPr>
          <w:bCs/>
          <w:szCs w:val="21"/>
        </w:rPr>
        <w:t>2</w:t>
      </w:r>
      <w:r>
        <w:rPr>
          <w:bCs/>
          <w:szCs w:val="21"/>
        </w:rPr>
        <w:t>、边界层的概念、特点和物理意义</w:t>
      </w:r>
    </w:p>
    <w:p w14:paraId="5D023401" w14:textId="77777777" w:rsidR="00F5289E" w:rsidRDefault="00C91173">
      <w:pPr>
        <w:snapToGrid w:val="0"/>
        <w:spacing w:line="360" w:lineRule="auto"/>
        <w:ind w:firstLineChars="200" w:firstLine="420"/>
        <w:rPr>
          <w:bCs/>
          <w:szCs w:val="21"/>
        </w:rPr>
      </w:pPr>
      <w:r>
        <w:rPr>
          <w:bCs/>
          <w:szCs w:val="21"/>
        </w:rPr>
        <w:t>3</w:t>
      </w:r>
      <w:r>
        <w:rPr>
          <w:bCs/>
          <w:szCs w:val="21"/>
        </w:rPr>
        <w:t>、边界层方程组的导出和简化</w:t>
      </w:r>
    </w:p>
    <w:p w14:paraId="3891E8A0" w14:textId="77777777" w:rsidR="00F5289E" w:rsidRDefault="00C91173">
      <w:pPr>
        <w:snapToGrid w:val="0"/>
        <w:spacing w:line="360" w:lineRule="auto"/>
        <w:ind w:firstLineChars="200" w:firstLine="420"/>
        <w:rPr>
          <w:bCs/>
          <w:szCs w:val="21"/>
        </w:rPr>
      </w:pPr>
      <w:r>
        <w:rPr>
          <w:bCs/>
          <w:szCs w:val="21"/>
        </w:rPr>
        <w:t>4</w:t>
      </w:r>
      <w:r>
        <w:rPr>
          <w:bCs/>
          <w:szCs w:val="21"/>
        </w:rPr>
        <w:t>、相似原理的内容</w:t>
      </w:r>
    </w:p>
    <w:p w14:paraId="509608EE" w14:textId="77777777" w:rsidR="00F5289E" w:rsidRDefault="00C91173">
      <w:pPr>
        <w:snapToGrid w:val="0"/>
        <w:spacing w:line="360" w:lineRule="auto"/>
        <w:ind w:firstLineChars="200" w:firstLine="420"/>
        <w:rPr>
          <w:bCs/>
          <w:szCs w:val="21"/>
        </w:rPr>
      </w:pPr>
      <w:r>
        <w:rPr>
          <w:bCs/>
          <w:szCs w:val="21"/>
        </w:rPr>
        <w:lastRenderedPageBreak/>
        <w:t>5</w:t>
      </w:r>
      <w:r>
        <w:rPr>
          <w:bCs/>
          <w:szCs w:val="21"/>
        </w:rPr>
        <w:t>、相似特征数的导出方法</w:t>
      </w:r>
    </w:p>
    <w:p w14:paraId="26E18541" w14:textId="77777777" w:rsidR="00F5289E" w:rsidRDefault="00C91173">
      <w:pPr>
        <w:snapToGrid w:val="0"/>
        <w:spacing w:line="360" w:lineRule="auto"/>
        <w:rPr>
          <w:b/>
          <w:szCs w:val="21"/>
        </w:rPr>
      </w:pPr>
      <w:r>
        <w:rPr>
          <w:b/>
          <w:szCs w:val="21"/>
        </w:rPr>
        <w:t>（三）考核要求</w:t>
      </w:r>
    </w:p>
    <w:p w14:paraId="34C1CC94"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：对流换热的概念、特点、影响因素和分类；边界层的概念和特点；相似原理的内容；常用相似特征数的意义和公式。</w:t>
      </w:r>
    </w:p>
    <w:p w14:paraId="09D22BED"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：表面传热系数的方程式；相似特征数的导出方法。</w:t>
      </w:r>
    </w:p>
    <w:p w14:paraId="5EEBD4A0"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：能够识别判断不同对流换热现象。</w:t>
      </w:r>
    </w:p>
    <w:p w14:paraId="1848DA70" w14:textId="77777777" w:rsidR="00F5289E" w:rsidRDefault="00C91173">
      <w:pPr>
        <w:snapToGrid w:val="0"/>
        <w:spacing w:line="360" w:lineRule="auto"/>
        <w:ind w:firstLineChars="200" w:firstLine="422"/>
        <w:rPr>
          <w:b/>
          <w:color w:val="0000FF"/>
          <w:szCs w:val="21"/>
        </w:rPr>
      </w:pPr>
      <w:r>
        <w:rPr>
          <w:b/>
          <w:szCs w:val="21"/>
        </w:rPr>
        <w:t>4.</w:t>
      </w:r>
      <w:r>
        <w:rPr>
          <w:b/>
          <w:szCs w:val="21"/>
        </w:rPr>
        <w:t>分析：</w:t>
      </w:r>
      <w:r>
        <w:rPr>
          <w:szCs w:val="21"/>
        </w:rPr>
        <w:t>对流换热问题的简化分析。</w:t>
      </w:r>
    </w:p>
    <w:p w14:paraId="3DF0CC23" w14:textId="77777777" w:rsidR="00F5289E" w:rsidRDefault="00C91173">
      <w:pPr>
        <w:snapToGrid w:val="0"/>
        <w:spacing w:line="360" w:lineRule="auto"/>
        <w:ind w:firstLineChars="49" w:firstLine="103"/>
        <w:jc w:val="center"/>
        <w:rPr>
          <w:b/>
          <w:szCs w:val="21"/>
        </w:rPr>
      </w:pPr>
      <w:r>
        <w:rPr>
          <w:b/>
          <w:szCs w:val="21"/>
        </w:rPr>
        <w:t>第五章</w:t>
      </w:r>
      <w:r>
        <w:rPr>
          <w:b/>
          <w:szCs w:val="21"/>
        </w:rPr>
        <w:t xml:space="preserve">  </w:t>
      </w:r>
      <w:r>
        <w:rPr>
          <w:b/>
          <w:szCs w:val="21"/>
        </w:rPr>
        <w:t>单相对流换热</w:t>
      </w:r>
    </w:p>
    <w:p w14:paraId="59D41F33" w14:textId="77777777" w:rsidR="00F5289E" w:rsidRDefault="00C91173">
      <w:pPr>
        <w:snapToGrid w:val="0"/>
        <w:spacing w:line="360" w:lineRule="auto"/>
        <w:rPr>
          <w:b/>
          <w:szCs w:val="21"/>
        </w:rPr>
      </w:pPr>
      <w:r>
        <w:rPr>
          <w:b/>
          <w:szCs w:val="21"/>
        </w:rPr>
        <w:t>（一）学习目标</w:t>
      </w:r>
    </w:p>
    <w:p w14:paraId="39BDC21E"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：外部强制对流换热和自然对流换热。</w:t>
      </w:r>
    </w:p>
    <w:p w14:paraId="3FCCC387" w14:textId="77777777" w:rsidR="00F5289E" w:rsidRDefault="00C91173">
      <w:pPr>
        <w:snapToGrid w:val="0"/>
        <w:spacing w:line="360" w:lineRule="auto"/>
        <w:ind w:firstLineChars="200" w:firstLine="422"/>
        <w:rPr>
          <w:bCs/>
          <w:color w:val="0000FF"/>
          <w:szCs w:val="21"/>
        </w:rPr>
      </w:pPr>
      <w:r>
        <w:rPr>
          <w:b/>
          <w:szCs w:val="21"/>
        </w:rPr>
        <w:t xml:space="preserve">2. </w:t>
      </w:r>
      <w:r>
        <w:rPr>
          <w:b/>
          <w:szCs w:val="21"/>
        </w:rPr>
        <w:t>一般掌握</w:t>
      </w:r>
      <w:r>
        <w:rPr>
          <w:szCs w:val="21"/>
        </w:rPr>
        <w:t>：</w:t>
      </w:r>
      <w:r>
        <w:t>管内强制对流换热的影响因素。</w:t>
      </w:r>
    </w:p>
    <w:p w14:paraId="2D75E896"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：管内强制对流换热的特点，临界雷诺数和适用关联式。</w:t>
      </w:r>
    </w:p>
    <w:p w14:paraId="1F689477" w14:textId="77777777" w:rsidR="00F5289E" w:rsidRDefault="00C91173">
      <w:pPr>
        <w:snapToGrid w:val="0"/>
        <w:spacing w:line="360" w:lineRule="auto"/>
        <w:rPr>
          <w:szCs w:val="21"/>
        </w:rPr>
      </w:pPr>
      <w:r>
        <w:rPr>
          <w:b/>
          <w:szCs w:val="21"/>
        </w:rPr>
        <w:t>（二）考核内容</w:t>
      </w:r>
    </w:p>
    <w:p w14:paraId="0A146822" w14:textId="77777777" w:rsidR="00F5289E" w:rsidRDefault="00C91173">
      <w:pPr>
        <w:snapToGrid w:val="0"/>
        <w:spacing w:line="360" w:lineRule="auto"/>
        <w:ind w:firstLineChars="200" w:firstLine="420"/>
        <w:rPr>
          <w:bCs/>
          <w:szCs w:val="21"/>
        </w:rPr>
      </w:pPr>
      <w:r>
        <w:rPr>
          <w:bCs/>
          <w:szCs w:val="21"/>
        </w:rPr>
        <w:t>1</w:t>
      </w:r>
      <w:r>
        <w:rPr>
          <w:bCs/>
          <w:szCs w:val="21"/>
        </w:rPr>
        <w:t>、单相对流换热的分类</w:t>
      </w:r>
    </w:p>
    <w:p w14:paraId="4BEB9E18" w14:textId="77777777" w:rsidR="00F5289E" w:rsidRDefault="00C91173">
      <w:pPr>
        <w:snapToGrid w:val="0"/>
        <w:spacing w:line="360" w:lineRule="auto"/>
        <w:ind w:firstLineChars="200" w:firstLine="420"/>
        <w:rPr>
          <w:bCs/>
          <w:szCs w:val="21"/>
        </w:rPr>
      </w:pPr>
      <w:r>
        <w:rPr>
          <w:bCs/>
          <w:szCs w:val="21"/>
        </w:rPr>
        <w:t>2</w:t>
      </w:r>
      <w:r>
        <w:rPr>
          <w:bCs/>
          <w:szCs w:val="21"/>
        </w:rPr>
        <w:t>、管内强制流动与换热的特点</w:t>
      </w:r>
    </w:p>
    <w:p w14:paraId="291CCBF9" w14:textId="77777777" w:rsidR="00F5289E" w:rsidRDefault="00C91173">
      <w:pPr>
        <w:snapToGrid w:val="0"/>
        <w:spacing w:line="360" w:lineRule="auto"/>
        <w:ind w:firstLineChars="200" w:firstLine="420"/>
        <w:rPr>
          <w:bCs/>
          <w:szCs w:val="21"/>
        </w:rPr>
      </w:pPr>
      <w:r>
        <w:rPr>
          <w:bCs/>
          <w:szCs w:val="21"/>
        </w:rPr>
        <w:t>3</w:t>
      </w:r>
      <w:r>
        <w:rPr>
          <w:bCs/>
          <w:szCs w:val="21"/>
        </w:rPr>
        <w:t>、管内强制对流换热的影响因素</w:t>
      </w:r>
    </w:p>
    <w:p w14:paraId="50C9CD59" w14:textId="77777777" w:rsidR="00F5289E" w:rsidRDefault="00C91173">
      <w:pPr>
        <w:snapToGrid w:val="0"/>
        <w:spacing w:line="360" w:lineRule="auto"/>
        <w:ind w:firstLineChars="200" w:firstLine="420"/>
        <w:rPr>
          <w:bCs/>
          <w:szCs w:val="21"/>
        </w:rPr>
      </w:pPr>
      <w:r>
        <w:rPr>
          <w:bCs/>
          <w:szCs w:val="21"/>
        </w:rPr>
        <w:t>4</w:t>
      </w:r>
      <w:r>
        <w:rPr>
          <w:bCs/>
          <w:szCs w:val="21"/>
        </w:rPr>
        <w:t>、管内强制对流换热的实验关联式</w:t>
      </w:r>
    </w:p>
    <w:p w14:paraId="68D7AA85" w14:textId="77777777" w:rsidR="00F5289E" w:rsidRDefault="00C91173">
      <w:pPr>
        <w:snapToGrid w:val="0"/>
        <w:spacing w:line="360" w:lineRule="auto"/>
        <w:ind w:firstLineChars="200" w:firstLine="420"/>
        <w:rPr>
          <w:bCs/>
          <w:szCs w:val="21"/>
        </w:rPr>
      </w:pPr>
      <w:r>
        <w:rPr>
          <w:bCs/>
          <w:szCs w:val="21"/>
        </w:rPr>
        <w:t>5</w:t>
      </w:r>
      <w:r>
        <w:rPr>
          <w:bCs/>
          <w:szCs w:val="21"/>
        </w:rPr>
        <w:t>、管内强制对流换热的流动状态判别依据</w:t>
      </w:r>
    </w:p>
    <w:p w14:paraId="34B58C54" w14:textId="77777777" w:rsidR="00F5289E" w:rsidRDefault="00C91173">
      <w:pPr>
        <w:snapToGrid w:val="0"/>
        <w:spacing w:line="360" w:lineRule="auto"/>
        <w:ind w:firstLineChars="200" w:firstLine="420"/>
        <w:rPr>
          <w:bCs/>
          <w:szCs w:val="21"/>
        </w:rPr>
      </w:pPr>
      <w:r>
        <w:rPr>
          <w:bCs/>
          <w:szCs w:val="21"/>
        </w:rPr>
        <w:t>6</w:t>
      </w:r>
      <w:r>
        <w:rPr>
          <w:bCs/>
          <w:szCs w:val="21"/>
        </w:rPr>
        <w:t>、不同关联式的适用范围和特征量选取</w:t>
      </w:r>
    </w:p>
    <w:p w14:paraId="33D54E74" w14:textId="77777777" w:rsidR="00F5289E" w:rsidRDefault="00C91173">
      <w:pPr>
        <w:snapToGrid w:val="0"/>
        <w:spacing w:line="360" w:lineRule="auto"/>
        <w:ind w:firstLineChars="200" w:firstLine="420"/>
        <w:rPr>
          <w:bCs/>
          <w:szCs w:val="21"/>
        </w:rPr>
      </w:pPr>
      <w:r>
        <w:rPr>
          <w:bCs/>
          <w:szCs w:val="21"/>
        </w:rPr>
        <w:t>7</w:t>
      </w:r>
      <w:r>
        <w:rPr>
          <w:bCs/>
          <w:szCs w:val="21"/>
        </w:rPr>
        <w:t>、外掠单管的特点</w:t>
      </w:r>
    </w:p>
    <w:p w14:paraId="192F8D1D" w14:textId="77777777" w:rsidR="00F5289E" w:rsidRDefault="00C91173">
      <w:pPr>
        <w:snapToGrid w:val="0"/>
        <w:spacing w:line="360" w:lineRule="auto"/>
        <w:ind w:firstLineChars="200" w:firstLine="420"/>
        <w:rPr>
          <w:bCs/>
          <w:szCs w:val="21"/>
        </w:rPr>
      </w:pPr>
      <w:r>
        <w:rPr>
          <w:bCs/>
          <w:szCs w:val="21"/>
        </w:rPr>
        <w:t>8</w:t>
      </w:r>
      <w:r>
        <w:rPr>
          <w:bCs/>
          <w:szCs w:val="21"/>
        </w:rPr>
        <w:t>、自然对流换热的流态判别依据</w:t>
      </w:r>
    </w:p>
    <w:p w14:paraId="50454443" w14:textId="77777777" w:rsidR="00F5289E" w:rsidRDefault="00C91173">
      <w:pPr>
        <w:snapToGrid w:val="0"/>
        <w:spacing w:line="360" w:lineRule="auto"/>
        <w:ind w:firstLineChars="200" w:firstLine="420"/>
        <w:rPr>
          <w:bCs/>
          <w:szCs w:val="21"/>
        </w:rPr>
      </w:pPr>
      <w:r>
        <w:rPr>
          <w:bCs/>
          <w:szCs w:val="21"/>
        </w:rPr>
        <w:t>9</w:t>
      </w:r>
      <w:r>
        <w:rPr>
          <w:bCs/>
          <w:szCs w:val="21"/>
        </w:rPr>
        <w:t>、有限空间自然对流换热的特点</w:t>
      </w:r>
    </w:p>
    <w:p w14:paraId="0C58970F" w14:textId="77777777" w:rsidR="00F5289E" w:rsidRDefault="00C91173">
      <w:pPr>
        <w:snapToGrid w:val="0"/>
        <w:spacing w:line="360" w:lineRule="auto"/>
        <w:rPr>
          <w:b/>
          <w:szCs w:val="21"/>
        </w:rPr>
      </w:pPr>
      <w:r>
        <w:rPr>
          <w:b/>
          <w:szCs w:val="21"/>
        </w:rPr>
        <w:t>（三）考核要求</w:t>
      </w:r>
    </w:p>
    <w:p w14:paraId="3DA7D053"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：管内强制流动与换热的特点。</w:t>
      </w:r>
    </w:p>
    <w:p w14:paraId="69EFCAA1"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：管内强制对流换热实验关联式的适用范围。</w:t>
      </w:r>
    </w:p>
    <w:p w14:paraId="2F3D7175"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：根据雷诺数大小，判断适用的实验关联式。</w:t>
      </w:r>
    </w:p>
    <w:p w14:paraId="63366FB7" w14:textId="77777777" w:rsidR="00F5289E" w:rsidRDefault="00C91173">
      <w:pPr>
        <w:snapToGrid w:val="0"/>
        <w:spacing w:line="360" w:lineRule="auto"/>
        <w:ind w:firstLineChars="200" w:firstLine="422"/>
        <w:rPr>
          <w:b/>
          <w:color w:val="0000FF"/>
          <w:szCs w:val="21"/>
        </w:rPr>
      </w:pPr>
      <w:r>
        <w:rPr>
          <w:b/>
          <w:szCs w:val="21"/>
        </w:rPr>
        <w:t>4.</w:t>
      </w:r>
      <w:r>
        <w:rPr>
          <w:b/>
          <w:szCs w:val="21"/>
        </w:rPr>
        <w:t>分析：</w:t>
      </w:r>
      <w:r>
        <w:rPr>
          <w:szCs w:val="21"/>
        </w:rPr>
        <w:t>管内强制对流换热的换热量计算。</w:t>
      </w:r>
    </w:p>
    <w:p w14:paraId="3A68B3FF" w14:textId="77777777" w:rsidR="00F5289E" w:rsidRDefault="00C91173">
      <w:pPr>
        <w:snapToGrid w:val="0"/>
        <w:spacing w:line="360" w:lineRule="auto"/>
        <w:ind w:firstLineChars="49" w:firstLine="103"/>
        <w:jc w:val="center"/>
        <w:rPr>
          <w:b/>
          <w:szCs w:val="21"/>
        </w:rPr>
      </w:pPr>
      <w:r>
        <w:rPr>
          <w:b/>
          <w:szCs w:val="21"/>
        </w:rPr>
        <w:t>第六章</w:t>
      </w:r>
      <w:r>
        <w:rPr>
          <w:b/>
          <w:szCs w:val="21"/>
        </w:rPr>
        <w:t xml:space="preserve">  </w:t>
      </w:r>
      <w:r>
        <w:rPr>
          <w:b/>
          <w:szCs w:val="21"/>
        </w:rPr>
        <w:t>相变对流换热</w:t>
      </w:r>
    </w:p>
    <w:p w14:paraId="5DCE026B" w14:textId="77777777" w:rsidR="00F5289E" w:rsidRDefault="00C91173">
      <w:pPr>
        <w:snapToGrid w:val="0"/>
        <w:spacing w:line="360" w:lineRule="auto"/>
        <w:rPr>
          <w:b/>
          <w:szCs w:val="21"/>
        </w:rPr>
      </w:pPr>
      <w:r>
        <w:rPr>
          <w:b/>
          <w:szCs w:val="21"/>
        </w:rPr>
        <w:t>（一）学习目标</w:t>
      </w:r>
    </w:p>
    <w:p w14:paraId="433FB955"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：相变对流换热的实验关联式。</w:t>
      </w:r>
    </w:p>
    <w:p w14:paraId="7EB5D262" w14:textId="77777777" w:rsidR="00F5289E" w:rsidRDefault="00C91173">
      <w:pPr>
        <w:snapToGrid w:val="0"/>
        <w:spacing w:line="360" w:lineRule="auto"/>
        <w:ind w:firstLineChars="200" w:firstLine="422"/>
        <w:rPr>
          <w:bCs/>
          <w:color w:val="0000FF"/>
          <w:szCs w:val="21"/>
        </w:rPr>
      </w:pPr>
      <w:r>
        <w:rPr>
          <w:b/>
          <w:szCs w:val="21"/>
        </w:rPr>
        <w:t xml:space="preserve">2. </w:t>
      </w:r>
      <w:r>
        <w:rPr>
          <w:b/>
          <w:szCs w:val="21"/>
        </w:rPr>
        <w:t>一般掌握</w:t>
      </w:r>
      <w:r>
        <w:rPr>
          <w:szCs w:val="21"/>
        </w:rPr>
        <w:t>：</w:t>
      </w:r>
      <w:r>
        <w:t>膜状凝结分析解的简化。</w:t>
      </w:r>
    </w:p>
    <w:p w14:paraId="2054F802"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：相变对流换热的类型、定义、换热特点和影响因素。</w:t>
      </w:r>
    </w:p>
    <w:p w14:paraId="76BB28AF" w14:textId="77777777" w:rsidR="00F5289E" w:rsidRDefault="00C91173">
      <w:pPr>
        <w:snapToGrid w:val="0"/>
        <w:spacing w:line="360" w:lineRule="auto"/>
        <w:rPr>
          <w:szCs w:val="21"/>
        </w:rPr>
      </w:pPr>
      <w:r>
        <w:rPr>
          <w:b/>
          <w:szCs w:val="21"/>
        </w:rPr>
        <w:t>（二）考核内容</w:t>
      </w:r>
    </w:p>
    <w:p w14:paraId="0514B81D" w14:textId="77777777" w:rsidR="00F5289E" w:rsidRDefault="00C91173">
      <w:pPr>
        <w:snapToGrid w:val="0"/>
        <w:spacing w:line="360" w:lineRule="auto"/>
        <w:ind w:firstLineChars="200" w:firstLine="420"/>
        <w:rPr>
          <w:bCs/>
          <w:szCs w:val="21"/>
        </w:rPr>
      </w:pPr>
      <w:r>
        <w:rPr>
          <w:bCs/>
          <w:szCs w:val="21"/>
        </w:rPr>
        <w:t>1</w:t>
      </w:r>
      <w:r>
        <w:rPr>
          <w:bCs/>
          <w:szCs w:val="21"/>
        </w:rPr>
        <w:t>、相变对流换热的类型</w:t>
      </w:r>
    </w:p>
    <w:p w14:paraId="06E7F1CD" w14:textId="77777777" w:rsidR="00F5289E" w:rsidRDefault="00C91173">
      <w:pPr>
        <w:snapToGrid w:val="0"/>
        <w:spacing w:line="360" w:lineRule="auto"/>
        <w:ind w:firstLineChars="200" w:firstLine="420"/>
        <w:rPr>
          <w:bCs/>
          <w:szCs w:val="21"/>
        </w:rPr>
      </w:pPr>
      <w:r>
        <w:rPr>
          <w:bCs/>
          <w:szCs w:val="21"/>
        </w:rPr>
        <w:lastRenderedPageBreak/>
        <w:t>2</w:t>
      </w:r>
      <w:r>
        <w:rPr>
          <w:bCs/>
          <w:szCs w:val="21"/>
        </w:rPr>
        <w:t>、凝结换热的分类和换热特点</w:t>
      </w:r>
    </w:p>
    <w:p w14:paraId="0B3400F8" w14:textId="77777777" w:rsidR="00F5289E" w:rsidRDefault="00C91173">
      <w:pPr>
        <w:snapToGrid w:val="0"/>
        <w:spacing w:line="360" w:lineRule="auto"/>
        <w:ind w:firstLineChars="200" w:firstLine="420"/>
        <w:rPr>
          <w:bCs/>
          <w:szCs w:val="21"/>
        </w:rPr>
      </w:pPr>
      <w:r>
        <w:rPr>
          <w:bCs/>
          <w:szCs w:val="21"/>
        </w:rPr>
        <w:t>3</w:t>
      </w:r>
      <w:r>
        <w:rPr>
          <w:bCs/>
          <w:szCs w:val="21"/>
        </w:rPr>
        <w:t>、膜状凝结分析解的简化</w:t>
      </w:r>
    </w:p>
    <w:p w14:paraId="6515E61C" w14:textId="77777777" w:rsidR="00F5289E" w:rsidRDefault="00C91173">
      <w:pPr>
        <w:snapToGrid w:val="0"/>
        <w:spacing w:line="360" w:lineRule="auto"/>
        <w:ind w:firstLineChars="200" w:firstLine="420"/>
        <w:rPr>
          <w:bCs/>
          <w:szCs w:val="21"/>
        </w:rPr>
      </w:pPr>
      <w:r>
        <w:rPr>
          <w:bCs/>
          <w:szCs w:val="21"/>
        </w:rPr>
        <w:t>4</w:t>
      </w:r>
      <w:r>
        <w:rPr>
          <w:bCs/>
          <w:szCs w:val="21"/>
        </w:rPr>
        <w:t>、膜状凝结流态判别依据</w:t>
      </w:r>
    </w:p>
    <w:p w14:paraId="1429ACF9" w14:textId="77777777" w:rsidR="00F5289E" w:rsidRDefault="00C91173">
      <w:pPr>
        <w:snapToGrid w:val="0"/>
        <w:spacing w:line="360" w:lineRule="auto"/>
        <w:ind w:firstLineChars="200" w:firstLine="420"/>
        <w:rPr>
          <w:bCs/>
          <w:szCs w:val="21"/>
        </w:rPr>
      </w:pPr>
      <w:r>
        <w:rPr>
          <w:bCs/>
          <w:szCs w:val="21"/>
        </w:rPr>
        <w:t>5</w:t>
      </w:r>
      <w:r>
        <w:rPr>
          <w:bCs/>
          <w:szCs w:val="21"/>
        </w:rPr>
        <w:t>、膜状凝结的影响因素和强化方式</w:t>
      </w:r>
    </w:p>
    <w:p w14:paraId="1DDD760B" w14:textId="77777777" w:rsidR="00F5289E" w:rsidRDefault="00C91173">
      <w:pPr>
        <w:snapToGrid w:val="0"/>
        <w:spacing w:line="360" w:lineRule="auto"/>
        <w:ind w:firstLineChars="200" w:firstLine="420"/>
        <w:rPr>
          <w:bCs/>
          <w:szCs w:val="21"/>
        </w:rPr>
      </w:pPr>
      <w:r>
        <w:rPr>
          <w:bCs/>
          <w:szCs w:val="21"/>
        </w:rPr>
        <w:t>6</w:t>
      </w:r>
      <w:r>
        <w:rPr>
          <w:bCs/>
          <w:szCs w:val="21"/>
        </w:rPr>
        <w:t>、沸腾换热的分类和定义</w:t>
      </w:r>
    </w:p>
    <w:p w14:paraId="54065691" w14:textId="77777777" w:rsidR="00F5289E" w:rsidRDefault="00C91173">
      <w:pPr>
        <w:snapToGrid w:val="0"/>
        <w:spacing w:line="360" w:lineRule="auto"/>
        <w:ind w:firstLineChars="200" w:firstLine="420"/>
        <w:rPr>
          <w:bCs/>
          <w:szCs w:val="21"/>
        </w:rPr>
      </w:pPr>
      <w:r>
        <w:rPr>
          <w:bCs/>
          <w:szCs w:val="21"/>
        </w:rPr>
        <w:t>7</w:t>
      </w:r>
      <w:r>
        <w:rPr>
          <w:bCs/>
          <w:szCs w:val="21"/>
        </w:rPr>
        <w:t>、过热度和汽化核心</w:t>
      </w:r>
    </w:p>
    <w:p w14:paraId="1233D8F6" w14:textId="77777777" w:rsidR="00F5289E" w:rsidRDefault="00C91173">
      <w:pPr>
        <w:snapToGrid w:val="0"/>
        <w:spacing w:line="360" w:lineRule="auto"/>
        <w:ind w:firstLineChars="200" w:firstLine="420"/>
        <w:rPr>
          <w:bCs/>
          <w:szCs w:val="21"/>
        </w:rPr>
      </w:pPr>
      <w:r>
        <w:rPr>
          <w:bCs/>
          <w:szCs w:val="21"/>
        </w:rPr>
        <w:t>8</w:t>
      </w:r>
      <w:r>
        <w:rPr>
          <w:bCs/>
          <w:szCs w:val="21"/>
        </w:rPr>
        <w:t>、大容器饱和沸腾曲线</w:t>
      </w:r>
    </w:p>
    <w:p w14:paraId="6A171880" w14:textId="77777777" w:rsidR="00F5289E" w:rsidRDefault="00C91173">
      <w:pPr>
        <w:snapToGrid w:val="0"/>
        <w:spacing w:line="360" w:lineRule="auto"/>
        <w:ind w:firstLineChars="200" w:firstLine="420"/>
        <w:rPr>
          <w:bCs/>
          <w:szCs w:val="21"/>
        </w:rPr>
      </w:pPr>
      <w:r>
        <w:rPr>
          <w:bCs/>
          <w:szCs w:val="21"/>
        </w:rPr>
        <w:t>9</w:t>
      </w:r>
      <w:r>
        <w:rPr>
          <w:bCs/>
          <w:szCs w:val="21"/>
        </w:rPr>
        <w:t>、沸腾换热的影响因素和强化方法</w:t>
      </w:r>
    </w:p>
    <w:p w14:paraId="1313DD1D" w14:textId="77777777" w:rsidR="00F5289E" w:rsidRDefault="00C91173">
      <w:pPr>
        <w:snapToGrid w:val="0"/>
        <w:spacing w:line="360" w:lineRule="auto"/>
        <w:rPr>
          <w:b/>
          <w:szCs w:val="21"/>
        </w:rPr>
      </w:pPr>
      <w:r>
        <w:rPr>
          <w:b/>
          <w:szCs w:val="21"/>
        </w:rPr>
        <w:t>（三）考核要求</w:t>
      </w:r>
    </w:p>
    <w:p w14:paraId="7C16699D"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：凝结换热的分类和换热特点。</w:t>
      </w:r>
    </w:p>
    <w:p w14:paraId="02DEA233"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：膜状凝结分析解的简化原理和思路。</w:t>
      </w:r>
    </w:p>
    <w:p w14:paraId="3201433D"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：根据雷诺数大小，判断膜状凝结的流态。</w:t>
      </w:r>
    </w:p>
    <w:p w14:paraId="757D444A" w14:textId="77777777" w:rsidR="00F5289E" w:rsidRDefault="00C91173">
      <w:pPr>
        <w:snapToGrid w:val="0"/>
        <w:spacing w:line="360" w:lineRule="auto"/>
        <w:ind w:firstLineChars="200" w:firstLine="422"/>
        <w:rPr>
          <w:szCs w:val="21"/>
        </w:rPr>
      </w:pPr>
      <w:r>
        <w:rPr>
          <w:b/>
          <w:szCs w:val="21"/>
        </w:rPr>
        <w:t>4.</w:t>
      </w:r>
      <w:r>
        <w:rPr>
          <w:b/>
          <w:szCs w:val="21"/>
        </w:rPr>
        <w:t>分析：</w:t>
      </w:r>
      <w:r>
        <w:rPr>
          <w:szCs w:val="21"/>
        </w:rPr>
        <w:t>膜状凝结和沸腾换热的强化思路。</w:t>
      </w:r>
    </w:p>
    <w:p w14:paraId="61B1C683" w14:textId="77777777" w:rsidR="00F5289E" w:rsidRDefault="00C91173">
      <w:pPr>
        <w:snapToGrid w:val="0"/>
        <w:spacing w:line="360" w:lineRule="auto"/>
        <w:ind w:firstLineChars="200" w:firstLine="422"/>
        <w:jc w:val="center"/>
        <w:rPr>
          <w:b/>
        </w:rPr>
      </w:pPr>
      <w:r>
        <w:rPr>
          <w:b/>
        </w:rPr>
        <w:t>第七章</w:t>
      </w:r>
      <w:r>
        <w:rPr>
          <w:b/>
        </w:rPr>
        <w:t xml:space="preserve">  </w:t>
      </w:r>
      <w:r>
        <w:rPr>
          <w:b/>
        </w:rPr>
        <w:t>热辐射基本定律及物体的辐射特性</w:t>
      </w:r>
    </w:p>
    <w:p w14:paraId="7C1984B3" w14:textId="77777777" w:rsidR="00F5289E" w:rsidRDefault="00C91173">
      <w:pPr>
        <w:adjustRightInd w:val="0"/>
        <w:snapToGrid w:val="0"/>
        <w:spacing w:beforeLines="50" w:before="156" w:line="360" w:lineRule="auto"/>
        <w:rPr>
          <w:rFonts w:eastAsia="黑体"/>
          <w:szCs w:val="21"/>
        </w:rPr>
      </w:pPr>
      <w:r>
        <w:rPr>
          <w:b/>
          <w:szCs w:val="21"/>
        </w:rPr>
        <w:t>一、一般学习目的与要求</w:t>
      </w:r>
      <w:r>
        <w:rPr>
          <w:rFonts w:eastAsia="黑体"/>
          <w:szCs w:val="21"/>
        </w:rPr>
        <w:t xml:space="preserve"> </w:t>
      </w:r>
    </w:p>
    <w:p w14:paraId="7A04C38E" w14:textId="77777777" w:rsidR="00F5289E" w:rsidRDefault="00C91173">
      <w:pPr>
        <w:adjustRightInd w:val="0"/>
        <w:snapToGrid w:val="0"/>
        <w:spacing w:beforeLines="50" w:before="156" w:line="360" w:lineRule="auto"/>
        <w:rPr>
          <w:rFonts w:eastAsia="黑体"/>
          <w:szCs w:val="21"/>
        </w:rPr>
      </w:pPr>
      <w:r>
        <w:rPr>
          <w:b/>
          <w:szCs w:val="21"/>
        </w:rPr>
        <w:t xml:space="preserve">1. </w:t>
      </w:r>
      <w:r>
        <w:rPr>
          <w:b/>
          <w:szCs w:val="21"/>
        </w:rPr>
        <w:t>一般了解：</w:t>
      </w:r>
      <w:r>
        <w:rPr>
          <w:color w:val="000000" w:themeColor="text1"/>
          <w:szCs w:val="21"/>
        </w:rPr>
        <w:t>太阳辐射的特性。</w:t>
      </w:r>
    </w:p>
    <w:p w14:paraId="23CF1A98" w14:textId="77777777" w:rsidR="00F5289E" w:rsidRDefault="00C91173">
      <w:pPr>
        <w:adjustRightInd w:val="0"/>
        <w:snapToGrid w:val="0"/>
        <w:spacing w:beforeLines="50" w:before="156" w:line="360" w:lineRule="auto"/>
        <w:rPr>
          <w:szCs w:val="21"/>
        </w:rPr>
      </w:pPr>
      <w:r>
        <w:rPr>
          <w:b/>
          <w:szCs w:val="21"/>
        </w:rPr>
        <w:t xml:space="preserve">2. </w:t>
      </w:r>
      <w:r>
        <w:rPr>
          <w:b/>
          <w:szCs w:val="21"/>
        </w:rPr>
        <w:t>一般掌握</w:t>
      </w:r>
      <w:r>
        <w:rPr>
          <w:szCs w:val="21"/>
        </w:rPr>
        <w:t>：</w:t>
      </w:r>
      <w:r>
        <w:rPr>
          <w:color w:val="000000" w:themeColor="text1"/>
          <w:szCs w:val="21"/>
        </w:rPr>
        <w:t>实际固体和液体的辐射特性及实际物体的吸收比和基尔霍夫定律。</w:t>
      </w:r>
    </w:p>
    <w:p w14:paraId="5B3C045F" w14:textId="77777777" w:rsidR="00F5289E" w:rsidRDefault="00C91173">
      <w:pPr>
        <w:adjustRightInd w:val="0"/>
        <w:snapToGrid w:val="0"/>
        <w:spacing w:beforeLines="50" w:before="156" w:line="360" w:lineRule="auto"/>
        <w:rPr>
          <w:b/>
          <w:szCs w:val="21"/>
        </w:rPr>
      </w:pPr>
      <w:r>
        <w:rPr>
          <w:b/>
          <w:szCs w:val="21"/>
        </w:rPr>
        <w:t xml:space="preserve">3. </w:t>
      </w:r>
      <w:r>
        <w:rPr>
          <w:b/>
          <w:szCs w:val="21"/>
        </w:rPr>
        <w:t>熟练掌握</w:t>
      </w:r>
      <w:r>
        <w:rPr>
          <w:szCs w:val="21"/>
        </w:rPr>
        <w:t>：</w:t>
      </w:r>
      <w:r>
        <w:rPr>
          <w:color w:val="000000" w:themeColor="text1"/>
          <w:szCs w:val="21"/>
        </w:rPr>
        <w:t>热辐射的基本概念及黑体辐射的基本定律。</w:t>
      </w:r>
    </w:p>
    <w:p w14:paraId="28809178" w14:textId="77777777" w:rsidR="00F5289E" w:rsidRDefault="00C91173">
      <w:pPr>
        <w:adjustRightInd w:val="0"/>
        <w:snapToGrid w:val="0"/>
        <w:spacing w:beforeLines="50" w:before="156" w:line="360" w:lineRule="auto"/>
        <w:rPr>
          <w:szCs w:val="21"/>
        </w:rPr>
      </w:pPr>
      <w:r>
        <w:rPr>
          <w:b/>
          <w:szCs w:val="21"/>
        </w:rPr>
        <w:t>二、考核知识点</w:t>
      </w:r>
    </w:p>
    <w:p w14:paraId="67598414" w14:textId="77777777" w:rsidR="00F5289E" w:rsidRDefault="00C91173">
      <w:pPr>
        <w:adjustRightInd w:val="0"/>
        <w:snapToGrid w:val="0"/>
        <w:spacing w:beforeLines="50" w:before="156" w:line="360" w:lineRule="auto"/>
        <w:ind w:firstLineChars="50" w:firstLine="105"/>
        <w:rPr>
          <w:color w:val="000000"/>
          <w:szCs w:val="21"/>
        </w:rPr>
      </w:pPr>
      <w:r>
        <w:rPr>
          <w:szCs w:val="21"/>
        </w:rPr>
        <w:t>1</w:t>
      </w:r>
      <w:r>
        <w:rPr>
          <w:szCs w:val="21"/>
        </w:rPr>
        <w:t>．</w:t>
      </w:r>
      <w:r>
        <w:rPr>
          <w:color w:val="000000"/>
          <w:szCs w:val="21"/>
        </w:rPr>
        <w:t>热辐射的基本概念及特点</w:t>
      </w:r>
    </w:p>
    <w:p w14:paraId="702CEB26" w14:textId="77777777" w:rsidR="00F5289E" w:rsidRDefault="00C91173">
      <w:pPr>
        <w:adjustRightInd w:val="0"/>
        <w:snapToGrid w:val="0"/>
        <w:spacing w:beforeLines="50" w:before="156" w:line="360" w:lineRule="auto"/>
        <w:ind w:firstLineChars="50" w:firstLine="105"/>
        <w:rPr>
          <w:color w:val="000000"/>
          <w:szCs w:val="21"/>
        </w:rPr>
      </w:pPr>
      <w:r>
        <w:rPr>
          <w:szCs w:val="21"/>
        </w:rPr>
        <w:t>2</w:t>
      </w:r>
      <w:r>
        <w:rPr>
          <w:szCs w:val="21"/>
        </w:rPr>
        <w:t>．热辐射的</w:t>
      </w:r>
      <w:r>
        <w:rPr>
          <w:color w:val="000000"/>
          <w:szCs w:val="21"/>
        </w:rPr>
        <w:t>电磁波谱特性</w:t>
      </w:r>
    </w:p>
    <w:p w14:paraId="064602A0" w14:textId="77777777" w:rsidR="00F5289E" w:rsidRDefault="00C91173">
      <w:pPr>
        <w:adjustRightInd w:val="0"/>
        <w:snapToGrid w:val="0"/>
        <w:spacing w:beforeLines="50" w:before="156" w:line="360" w:lineRule="auto"/>
        <w:ind w:firstLineChars="50" w:firstLine="105"/>
        <w:rPr>
          <w:color w:val="000000"/>
          <w:szCs w:val="21"/>
        </w:rPr>
      </w:pPr>
      <w:r>
        <w:rPr>
          <w:szCs w:val="21"/>
        </w:rPr>
        <w:t>3</w:t>
      </w:r>
      <w:r>
        <w:rPr>
          <w:szCs w:val="21"/>
        </w:rPr>
        <w:t>．</w:t>
      </w:r>
      <w:r>
        <w:rPr>
          <w:color w:val="000000"/>
          <w:szCs w:val="21"/>
        </w:rPr>
        <w:t>热辐射中的吸收、反射和穿透过程</w:t>
      </w:r>
    </w:p>
    <w:p w14:paraId="46DF644E" w14:textId="77777777" w:rsidR="00F5289E" w:rsidRDefault="00C91173">
      <w:pPr>
        <w:adjustRightInd w:val="0"/>
        <w:snapToGrid w:val="0"/>
        <w:spacing w:beforeLines="50" w:before="156" w:line="360" w:lineRule="auto"/>
        <w:ind w:firstLineChars="50" w:firstLine="105"/>
        <w:rPr>
          <w:szCs w:val="21"/>
        </w:rPr>
      </w:pPr>
      <w:r>
        <w:rPr>
          <w:szCs w:val="21"/>
        </w:rPr>
        <w:t>4</w:t>
      </w:r>
      <w:r>
        <w:rPr>
          <w:szCs w:val="21"/>
        </w:rPr>
        <w:t>．</w:t>
      </w:r>
      <w:r>
        <w:rPr>
          <w:kern w:val="0"/>
          <w:szCs w:val="21"/>
        </w:rPr>
        <w:t>黑体辐射的基本定律</w:t>
      </w:r>
    </w:p>
    <w:p w14:paraId="0317D650" w14:textId="77777777" w:rsidR="00F5289E" w:rsidRDefault="00C91173">
      <w:pPr>
        <w:adjustRightInd w:val="0"/>
        <w:snapToGrid w:val="0"/>
        <w:spacing w:beforeLines="50" w:before="156" w:line="360" w:lineRule="auto"/>
        <w:ind w:firstLineChars="50" w:firstLine="105"/>
        <w:rPr>
          <w:szCs w:val="21"/>
        </w:rPr>
      </w:pPr>
      <w:r>
        <w:rPr>
          <w:szCs w:val="21"/>
        </w:rPr>
        <w:t>5</w:t>
      </w:r>
      <w:r>
        <w:rPr>
          <w:szCs w:val="21"/>
        </w:rPr>
        <w:t>．</w:t>
      </w:r>
      <w:r>
        <w:t>黑体辐射函数及立体角的概念和计算</w:t>
      </w:r>
    </w:p>
    <w:p w14:paraId="44856399" w14:textId="77777777" w:rsidR="00F5289E" w:rsidRDefault="00C91173">
      <w:pPr>
        <w:adjustRightInd w:val="0"/>
        <w:snapToGrid w:val="0"/>
        <w:spacing w:beforeLines="50" w:before="156" w:line="360" w:lineRule="auto"/>
        <w:ind w:firstLineChars="50" w:firstLine="105"/>
        <w:rPr>
          <w:szCs w:val="21"/>
        </w:rPr>
      </w:pPr>
      <w:r>
        <w:rPr>
          <w:szCs w:val="21"/>
        </w:rPr>
        <w:t>6</w:t>
      </w:r>
      <w:r>
        <w:rPr>
          <w:szCs w:val="21"/>
        </w:rPr>
        <w:t>．定向辐射强度的概念和特点</w:t>
      </w:r>
    </w:p>
    <w:p w14:paraId="4C4AC8B0" w14:textId="77777777" w:rsidR="00F5289E" w:rsidRDefault="00C91173">
      <w:pPr>
        <w:adjustRightInd w:val="0"/>
        <w:snapToGrid w:val="0"/>
        <w:spacing w:beforeLines="50" w:before="156" w:line="360" w:lineRule="auto"/>
        <w:ind w:firstLineChars="50" w:firstLine="105"/>
        <w:rPr>
          <w:szCs w:val="21"/>
        </w:rPr>
      </w:pPr>
      <w:r>
        <w:rPr>
          <w:szCs w:val="21"/>
        </w:rPr>
        <w:t>7</w:t>
      </w:r>
      <w:r>
        <w:rPr>
          <w:szCs w:val="21"/>
        </w:rPr>
        <w:t>．兰贝特定律的应用条件</w:t>
      </w:r>
    </w:p>
    <w:p w14:paraId="6C01EC30" w14:textId="77777777" w:rsidR="00F5289E" w:rsidRDefault="00C91173">
      <w:pPr>
        <w:adjustRightInd w:val="0"/>
        <w:snapToGrid w:val="0"/>
        <w:spacing w:beforeLines="50" w:before="156" w:line="360" w:lineRule="auto"/>
        <w:ind w:firstLineChars="50" w:firstLine="105"/>
        <w:rPr>
          <w:szCs w:val="21"/>
        </w:rPr>
      </w:pPr>
      <w:r>
        <w:rPr>
          <w:szCs w:val="21"/>
        </w:rPr>
        <w:t>8</w:t>
      </w:r>
      <w:r>
        <w:rPr>
          <w:szCs w:val="21"/>
        </w:rPr>
        <w:t>．实际物体的辐射力、光谱辐射力和定向辐射强度的含义</w:t>
      </w:r>
    </w:p>
    <w:p w14:paraId="20CEEEFE" w14:textId="77777777" w:rsidR="00F5289E" w:rsidRDefault="00C91173">
      <w:pPr>
        <w:adjustRightInd w:val="0"/>
        <w:snapToGrid w:val="0"/>
        <w:spacing w:beforeLines="50" w:before="156" w:line="360" w:lineRule="auto"/>
        <w:ind w:firstLineChars="50" w:firstLine="105"/>
        <w:rPr>
          <w:szCs w:val="21"/>
        </w:rPr>
      </w:pPr>
      <w:r>
        <w:rPr>
          <w:szCs w:val="21"/>
        </w:rPr>
        <w:t>9</w:t>
      </w:r>
      <w:r>
        <w:rPr>
          <w:szCs w:val="21"/>
        </w:rPr>
        <w:t>．灰体的概念及应用条件</w:t>
      </w:r>
    </w:p>
    <w:p w14:paraId="3DB33BFF" w14:textId="77777777" w:rsidR="00F5289E" w:rsidRDefault="00C91173">
      <w:pPr>
        <w:adjustRightInd w:val="0"/>
        <w:snapToGrid w:val="0"/>
        <w:spacing w:beforeLines="50" w:before="156" w:line="360" w:lineRule="auto"/>
        <w:ind w:firstLineChars="50" w:firstLine="105"/>
        <w:rPr>
          <w:szCs w:val="21"/>
        </w:rPr>
      </w:pPr>
      <w:r>
        <w:rPr>
          <w:szCs w:val="21"/>
        </w:rPr>
        <w:lastRenderedPageBreak/>
        <w:t>10</w:t>
      </w:r>
      <w:r>
        <w:rPr>
          <w:szCs w:val="21"/>
        </w:rPr>
        <w:t>．</w:t>
      </w:r>
      <w:r>
        <w:t>温室效应形成的原理</w:t>
      </w:r>
    </w:p>
    <w:p w14:paraId="2011888B" w14:textId="77777777" w:rsidR="00F5289E" w:rsidRDefault="00C91173">
      <w:pPr>
        <w:adjustRightInd w:val="0"/>
        <w:snapToGrid w:val="0"/>
        <w:spacing w:beforeLines="50" w:before="156" w:line="360" w:lineRule="auto"/>
        <w:rPr>
          <w:b/>
          <w:szCs w:val="21"/>
        </w:rPr>
      </w:pPr>
      <w:r>
        <w:rPr>
          <w:b/>
          <w:szCs w:val="21"/>
        </w:rPr>
        <w:t>三、考核要求</w:t>
      </w:r>
    </w:p>
    <w:p w14:paraId="5BB00D58" w14:textId="77777777" w:rsidR="00F5289E" w:rsidRDefault="00C91173">
      <w:pPr>
        <w:adjustRightInd w:val="0"/>
        <w:snapToGrid w:val="0"/>
        <w:spacing w:beforeLines="50" w:before="156" w:line="360" w:lineRule="auto"/>
        <w:ind w:firstLineChars="50" w:firstLine="105"/>
        <w:rPr>
          <w:color w:val="000000"/>
          <w:szCs w:val="21"/>
        </w:rPr>
      </w:pPr>
      <w:r>
        <w:rPr>
          <w:b/>
          <w:bCs/>
          <w:szCs w:val="21"/>
        </w:rPr>
        <w:t>1</w:t>
      </w:r>
      <w:r>
        <w:rPr>
          <w:b/>
          <w:bCs/>
          <w:szCs w:val="21"/>
        </w:rPr>
        <w:t>．识记</w:t>
      </w:r>
      <w:r>
        <w:rPr>
          <w:b/>
          <w:bCs/>
          <w:szCs w:val="21"/>
        </w:rPr>
        <w:t>:</w:t>
      </w:r>
      <w:r>
        <w:rPr>
          <w:kern w:val="0"/>
          <w:szCs w:val="21"/>
        </w:rPr>
        <w:t xml:space="preserve"> </w:t>
      </w:r>
      <w:r>
        <w:rPr>
          <w:kern w:val="0"/>
          <w:szCs w:val="21"/>
        </w:rPr>
        <w:t>热辐射的基本概念。</w:t>
      </w:r>
    </w:p>
    <w:p w14:paraId="0BFCC270" w14:textId="77777777" w:rsidR="00F5289E" w:rsidRDefault="00C91173">
      <w:pPr>
        <w:adjustRightInd w:val="0"/>
        <w:snapToGrid w:val="0"/>
        <w:spacing w:beforeLines="50" w:before="156" w:line="360" w:lineRule="auto"/>
        <w:ind w:firstLineChars="50" w:firstLine="105"/>
        <w:rPr>
          <w:szCs w:val="21"/>
        </w:rPr>
      </w:pPr>
      <w:r>
        <w:rPr>
          <w:b/>
          <w:bCs/>
          <w:szCs w:val="21"/>
        </w:rPr>
        <w:t>2</w:t>
      </w:r>
      <w:r>
        <w:rPr>
          <w:b/>
          <w:bCs/>
          <w:szCs w:val="21"/>
        </w:rPr>
        <w:t>．领会</w:t>
      </w:r>
      <w:r>
        <w:rPr>
          <w:b/>
          <w:bCs/>
          <w:szCs w:val="21"/>
        </w:rPr>
        <w:t>:</w:t>
      </w:r>
      <w:r>
        <w:rPr>
          <w:kern w:val="0"/>
          <w:szCs w:val="21"/>
        </w:rPr>
        <w:t xml:space="preserve"> </w:t>
      </w:r>
      <w:r>
        <w:rPr>
          <w:kern w:val="0"/>
          <w:szCs w:val="21"/>
        </w:rPr>
        <w:t>黑体辐射的基本定律。</w:t>
      </w:r>
    </w:p>
    <w:p w14:paraId="7ABBF184" w14:textId="77777777" w:rsidR="00F5289E" w:rsidRDefault="00C91173">
      <w:pPr>
        <w:adjustRightInd w:val="0"/>
        <w:snapToGrid w:val="0"/>
        <w:spacing w:beforeLines="50" w:before="156" w:line="360" w:lineRule="auto"/>
        <w:ind w:firstLineChars="50" w:firstLine="105"/>
        <w:rPr>
          <w:szCs w:val="21"/>
        </w:rPr>
      </w:pPr>
      <w:r>
        <w:rPr>
          <w:b/>
          <w:bCs/>
          <w:szCs w:val="21"/>
        </w:rPr>
        <w:t>3</w:t>
      </w:r>
      <w:r>
        <w:rPr>
          <w:b/>
          <w:bCs/>
          <w:szCs w:val="21"/>
        </w:rPr>
        <w:t>．应用：</w:t>
      </w:r>
      <w:r>
        <w:rPr>
          <w:szCs w:val="21"/>
        </w:rPr>
        <w:t>研究固体、液体的辐射特性。</w:t>
      </w:r>
    </w:p>
    <w:p w14:paraId="172D42F3" w14:textId="77777777" w:rsidR="00F5289E" w:rsidRDefault="00C91173">
      <w:pPr>
        <w:adjustRightInd w:val="0"/>
        <w:snapToGrid w:val="0"/>
        <w:spacing w:beforeLines="50" w:before="156" w:line="360" w:lineRule="auto"/>
        <w:ind w:firstLineChars="50" w:firstLine="105"/>
        <w:rPr>
          <w:szCs w:val="21"/>
        </w:rPr>
      </w:pPr>
      <w:r>
        <w:rPr>
          <w:b/>
          <w:bCs/>
          <w:szCs w:val="21"/>
        </w:rPr>
        <w:t>4</w:t>
      </w:r>
      <w:r>
        <w:rPr>
          <w:b/>
          <w:bCs/>
          <w:szCs w:val="21"/>
        </w:rPr>
        <w:t>．分析：</w:t>
      </w:r>
      <w:r>
        <w:rPr>
          <w:szCs w:val="21"/>
        </w:rPr>
        <w:t>温室效应形成的原理。</w:t>
      </w:r>
    </w:p>
    <w:p w14:paraId="3E6E30A1" w14:textId="77777777" w:rsidR="00F5289E" w:rsidRDefault="00C91173">
      <w:pPr>
        <w:snapToGrid w:val="0"/>
        <w:spacing w:line="360" w:lineRule="auto"/>
        <w:ind w:firstLineChars="200" w:firstLine="422"/>
        <w:jc w:val="center"/>
        <w:rPr>
          <w:b/>
        </w:rPr>
      </w:pPr>
      <w:r>
        <w:rPr>
          <w:b/>
        </w:rPr>
        <w:t>第八章</w:t>
      </w:r>
      <w:r>
        <w:rPr>
          <w:b/>
        </w:rPr>
        <w:t xml:space="preserve">  </w:t>
      </w:r>
      <w:r>
        <w:rPr>
          <w:b/>
        </w:rPr>
        <w:t>辐射传热的计算</w:t>
      </w:r>
    </w:p>
    <w:p w14:paraId="244C6DDA" w14:textId="77777777" w:rsidR="00F5289E" w:rsidRDefault="00C91173">
      <w:pPr>
        <w:adjustRightInd w:val="0"/>
        <w:snapToGrid w:val="0"/>
        <w:spacing w:beforeLines="50" w:before="156" w:line="360" w:lineRule="auto"/>
        <w:rPr>
          <w:rFonts w:eastAsia="黑体"/>
          <w:szCs w:val="21"/>
        </w:rPr>
      </w:pPr>
      <w:r>
        <w:rPr>
          <w:b/>
          <w:szCs w:val="21"/>
        </w:rPr>
        <w:t>一、一般学习目的与要求</w:t>
      </w:r>
      <w:r>
        <w:rPr>
          <w:rFonts w:eastAsia="黑体"/>
          <w:szCs w:val="21"/>
        </w:rPr>
        <w:t xml:space="preserve"> </w:t>
      </w:r>
    </w:p>
    <w:p w14:paraId="231F041C" w14:textId="77777777" w:rsidR="00F5289E" w:rsidRDefault="00C91173">
      <w:pPr>
        <w:adjustRightInd w:val="0"/>
        <w:snapToGrid w:val="0"/>
        <w:spacing w:beforeLines="50" w:before="156" w:line="360" w:lineRule="auto"/>
        <w:rPr>
          <w:rFonts w:eastAsia="黑体"/>
          <w:szCs w:val="21"/>
        </w:rPr>
      </w:pPr>
      <w:r>
        <w:rPr>
          <w:b/>
          <w:szCs w:val="21"/>
        </w:rPr>
        <w:t xml:space="preserve">1. </w:t>
      </w:r>
      <w:r>
        <w:rPr>
          <w:b/>
          <w:szCs w:val="21"/>
        </w:rPr>
        <w:t>一般了解：</w:t>
      </w:r>
      <w:r>
        <w:rPr>
          <w:color w:val="000000" w:themeColor="text1"/>
          <w:szCs w:val="21"/>
        </w:rPr>
        <w:t>多表面系统的辐射传热和气体辐射。</w:t>
      </w:r>
    </w:p>
    <w:p w14:paraId="77ED7DAF" w14:textId="77777777" w:rsidR="00F5289E" w:rsidRDefault="00C91173">
      <w:pPr>
        <w:adjustRightInd w:val="0"/>
        <w:snapToGrid w:val="0"/>
        <w:spacing w:beforeLines="50" w:before="156" w:line="360" w:lineRule="auto"/>
        <w:rPr>
          <w:szCs w:val="21"/>
        </w:rPr>
      </w:pPr>
      <w:r>
        <w:rPr>
          <w:b/>
          <w:szCs w:val="21"/>
        </w:rPr>
        <w:t xml:space="preserve">2. </w:t>
      </w:r>
      <w:r>
        <w:rPr>
          <w:b/>
          <w:szCs w:val="21"/>
        </w:rPr>
        <w:t>一般掌握</w:t>
      </w:r>
      <w:r>
        <w:rPr>
          <w:szCs w:val="21"/>
        </w:rPr>
        <w:t>：</w:t>
      </w:r>
      <w:r>
        <w:rPr>
          <w:color w:val="000000" w:themeColor="text1"/>
          <w:szCs w:val="21"/>
        </w:rPr>
        <w:t>辐射传热的强化与削弱的原理和措施。</w:t>
      </w:r>
    </w:p>
    <w:p w14:paraId="6CFBA8C5" w14:textId="77777777" w:rsidR="00F5289E" w:rsidRDefault="00C91173">
      <w:pPr>
        <w:adjustRightInd w:val="0"/>
        <w:snapToGrid w:val="0"/>
        <w:spacing w:beforeLines="50" w:before="156" w:line="360" w:lineRule="auto"/>
        <w:rPr>
          <w:b/>
          <w:szCs w:val="21"/>
        </w:rPr>
      </w:pPr>
      <w:r>
        <w:rPr>
          <w:b/>
          <w:szCs w:val="21"/>
        </w:rPr>
        <w:t xml:space="preserve">3. </w:t>
      </w:r>
      <w:r>
        <w:rPr>
          <w:b/>
          <w:szCs w:val="21"/>
        </w:rPr>
        <w:t>熟练掌握</w:t>
      </w:r>
      <w:r>
        <w:rPr>
          <w:szCs w:val="21"/>
        </w:rPr>
        <w:t>：</w:t>
      </w:r>
      <w:r>
        <w:rPr>
          <w:color w:val="000000" w:themeColor="text1"/>
          <w:szCs w:val="21"/>
        </w:rPr>
        <w:t>角系数的定义、性质及计算及两表面封闭系统的辐射传热。</w:t>
      </w:r>
    </w:p>
    <w:p w14:paraId="0D8673B2" w14:textId="77777777" w:rsidR="00F5289E" w:rsidRDefault="00C91173">
      <w:pPr>
        <w:adjustRightInd w:val="0"/>
        <w:snapToGrid w:val="0"/>
        <w:spacing w:beforeLines="50" w:before="156" w:line="360" w:lineRule="auto"/>
        <w:rPr>
          <w:szCs w:val="21"/>
        </w:rPr>
      </w:pPr>
      <w:r>
        <w:rPr>
          <w:b/>
          <w:szCs w:val="21"/>
        </w:rPr>
        <w:t>二、考核知识点</w:t>
      </w:r>
    </w:p>
    <w:p w14:paraId="7A113D51" w14:textId="77777777" w:rsidR="00F5289E" w:rsidRDefault="00C91173">
      <w:pPr>
        <w:adjustRightInd w:val="0"/>
        <w:snapToGrid w:val="0"/>
        <w:spacing w:beforeLines="50" w:before="156" w:line="360" w:lineRule="auto"/>
        <w:ind w:firstLineChars="50" w:firstLine="105"/>
        <w:rPr>
          <w:color w:val="000000"/>
          <w:szCs w:val="21"/>
        </w:rPr>
      </w:pPr>
      <w:r>
        <w:rPr>
          <w:szCs w:val="21"/>
        </w:rPr>
        <w:t>1</w:t>
      </w:r>
      <w:r>
        <w:rPr>
          <w:szCs w:val="21"/>
        </w:rPr>
        <w:t>．</w:t>
      </w:r>
      <w:r>
        <w:rPr>
          <w:color w:val="000000"/>
          <w:szCs w:val="21"/>
        </w:rPr>
        <w:t>辐射传热中角系数的定义、性质和计算方法</w:t>
      </w:r>
    </w:p>
    <w:p w14:paraId="026A3B79" w14:textId="77777777" w:rsidR="00F5289E" w:rsidRDefault="00C91173">
      <w:pPr>
        <w:adjustRightInd w:val="0"/>
        <w:snapToGrid w:val="0"/>
        <w:spacing w:beforeLines="50" w:before="156" w:line="360" w:lineRule="auto"/>
        <w:ind w:firstLineChars="50" w:firstLine="105"/>
        <w:rPr>
          <w:color w:val="000000"/>
          <w:szCs w:val="21"/>
        </w:rPr>
      </w:pPr>
      <w:r>
        <w:rPr>
          <w:szCs w:val="21"/>
        </w:rPr>
        <w:t>2</w:t>
      </w:r>
      <w:r>
        <w:rPr>
          <w:szCs w:val="21"/>
        </w:rPr>
        <w:t>．两黑体表面组成的封闭系统的辐射换热量计算</w:t>
      </w:r>
    </w:p>
    <w:p w14:paraId="40784BED" w14:textId="77777777" w:rsidR="00F5289E" w:rsidRDefault="00C91173">
      <w:pPr>
        <w:adjustRightInd w:val="0"/>
        <w:snapToGrid w:val="0"/>
        <w:spacing w:beforeLines="50" w:before="156" w:line="360" w:lineRule="auto"/>
        <w:ind w:firstLineChars="50" w:firstLine="105"/>
        <w:rPr>
          <w:color w:val="000000"/>
          <w:szCs w:val="21"/>
        </w:rPr>
      </w:pPr>
      <w:r>
        <w:rPr>
          <w:szCs w:val="21"/>
        </w:rPr>
        <w:t>3</w:t>
      </w:r>
      <w:r>
        <w:rPr>
          <w:szCs w:val="21"/>
        </w:rPr>
        <w:t>．</w:t>
      </w:r>
      <w:r>
        <w:rPr>
          <w:color w:val="000000"/>
          <w:szCs w:val="21"/>
        </w:rPr>
        <w:t>两漫灰表面组成的封闭系统的三种特殊情形及换热量计算</w:t>
      </w:r>
    </w:p>
    <w:p w14:paraId="62059B10" w14:textId="77777777" w:rsidR="00F5289E" w:rsidRDefault="00C91173">
      <w:pPr>
        <w:adjustRightInd w:val="0"/>
        <w:snapToGrid w:val="0"/>
        <w:spacing w:beforeLines="50" w:before="156" w:line="360" w:lineRule="auto"/>
        <w:ind w:firstLineChars="50" w:firstLine="105"/>
        <w:rPr>
          <w:szCs w:val="21"/>
        </w:rPr>
      </w:pPr>
      <w:r>
        <w:rPr>
          <w:szCs w:val="21"/>
        </w:rPr>
        <w:t>4</w:t>
      </w:r>
      <w:r>
        <w:rPr>
          <w:szCs w:val="21"/>
        </w:rPr>
        <w:t>．</w:t>
      </w:r>
      <w:r>
        <w:rPr>
          <w:kern w:val="0"/>
          <w:szCs w:val="21"/>
        </w:rPr>
        <w:t>多表面封闭系统网络法求解的原理和实施步骤</w:t>
      </w:r>
    </w:p>
    <w:p w14:paraId="0C1AAF19" w14:textId="77777777" w:rsidR="00F5289E" w:rsidRDefault="00C91173">
      <w:pPr>
        <w:adjustRightInd w:val="0"/>
        <w:snapToGrid w:val="0"/>
        <w:spacing w:beforeLines="50" w:before="156" w:line="360" w:lineRule="auto"/>
        <w:ind w:firstLineChars="50" w:firstLine="105"/>
        <w:rPr>
          <w:szCs w:val="21"/>
        </w:rPr>
      </w:pPr>
      <w:r>
        <w:rPr>
          <w:szCs w:val="21"/>
        </w:rPr>
        <w:t>5</w:t>
      </w:r>
      <w:r>
        <w:rPr>
          <w:szCs w:val="21"/>
        </w:rPr>
        <w:t>．</w:t>
      </w:r>
      <w:r>
        <w:t>气体辐射的特点和气体辐射的衰减规律</w:t>
      </w:r>
    </w:p>
    <w:p w14:paraId="76BC1657" w14:textId="77777777" w:rsidR="00F5289E" w:rsidRDefault="00C91173">
      <w:pPr>
        <w:adjustRightInd w:val="0"/>
        <w:snapToGrid w:val="0"/>
        <w:spacing w:beforeLines="50" w:before="156" w:line="360" w:lineRule="auto"/>
        <w:ind w:firstLineChars="50" w:firstLine="105"/>
        <w:rPr>
          <w:szCs w:val="21"/>
        </w:rPr>
      </w:pPr>
      <w:r>
        <w:rPr>
          <w:szCs w:val="21"/>
        </w:rPr>
        <w:t>6</w:t>
      </w:r>
      <w:r>
        <w:rPr>
          <w:szCs w:val="21"/>
        </w:rPr>
        <w:t>．平均射线程长的概念及计算方法</w:t>
      </w:r>
    </w:p>
    <w:p w14:paraId="28B1F3A7" w14:textId="77777777" w:rsidR="00F5289E" w:rsidRDefault="00C91173">
      <w:pPr>
        <w:adjustRightInd w:val="0"/>
        <w:snapToGrid w:val="0"/>
        <w:spacing w:beforeLines="50" w:before="156" w:line="360" w:lineRule="auto"/>
        <w:ind w:firstLineChars="50" w:firstLine="105"/>
        <w:rPr>
          <w:szCs w:val="21"/>
        </w:rPr>
      </w:pPr>
      <w:r>
        <w:rPr>
          <w:szCs w:val="21"/>
        </w:rPr>
        <w:t>7</w:t>
      </w:r>
      <w:r>
        <w:rPr>
          <w:szCs w:val="21"/>
        </w:rPr>
        <w:t>．辐射传热的强化与削弱的原理</w:t>
      </w:r>
    </w:p>
    <w:p w14:paraId="4DDD24CF" w14:textId="77777777" w:rsidR="00F5289E" w:rsidRDefault="00C91173">
      <w:pPr>
        <w:adjustRightInd w:val="0"/>
        <w:snapToGrid w:val="0"/>
        <w:spacing w:beforeLines="50" w:before="156" w:line="360" w:lineRule="auto"/>
        <w:ind w:firstLineChars="50" w:firstLine="105"/>
        <w:rPr>
          <w:szCs w:val="21"/>
        </w:rPr>
      </w:pPr>
      <w:r>
        <w:rPr>
          <w:szCs w:val="21"/>
        </w:rPr>
        <w:t>8</w:t>
      </w:r>
      <w:r>
        <w:rPr>
          <w:szCs w:val="21"/>
        </w:rPr>
        <w:t>．辐射传热的强化与削弱的措施</w:t>
      </w:r>
    </w:p>
    <w:p w14:paraId="37D9FC8E" w14:textId="77777777" w:rsidR="00F5289E" w:rsidRDefault="00C91173">
      <w:pPr>
        <w:adjustRightInd w:val="0"/>
        <w:snapToGrid w:val="0"/>
        <w:spacing w:beforeLines="50" w:before="156" w:line="360" w:lineRule="auto"/>
        <w:ind w:firstLineChars="50" w:firstLine="105"/>
        <w:rPr>
          <w:szCs w:val="21"/>
        </w:rPr>
      </w:pPr>
      <w:r>
        <w:rPr>
          <w:szCs w:val="21"/>
        </w:rPr>
        <w:t>9</w:t>
      </w:r>
      <w:r>
        <w:rPr>
          <w:szCs w:val="21"/>
        </w:rPr>
        <w:t>．遮热板的应用原理</w:t>
      </w:r>
    </w:p>
    <w:p w14:paraId="40BAA7E1" w14:textId="77777777" w:rsidR="00F5289E" w:rsidRDefault="00C91173">
      <w:pPr>
        <w:adjustRightInd w:val="0"/>
        <w:snapToGrid w:val="0"/>
        <w:spacing w:beforeLines="50" w:before="156" w:line="360" w:lineRule="auto"/>
        <w:rPr>
          <w:b/>
          <w:szCs w:val="21"/>
        </w:rPr>
      </w:pPr>
      <w:r>
        <w:rPr>
          <w:b/>
          <w:szCs w:val="21"/>
        </w:rPr>
        <w:t>三、考核要求</w:t>
      </w:r>
    </w:p>
    <w:p w14:paraId="53C749D7" w14:textId="77777777" w:rsidR="00F5289E" w:rsidRDefault="00C91173">
      <w:pPr>
        <w:adjustRightInd w:val="0"/>
        <w:snapToGrid w:val="0"/>
        <w:spacing w:beforeLines="50" w:before="156" w:line="360" w:lineRule="auto"/>
        <w:ind w:firstLineChars="50" w:firstLine="105"/>
        <w:rPr>
          <w:kern w:val="0"/>
          <w:szCs w:val="21"/>
        </w:rPr>
      </w:pPr>
      <w:r>
        <w:rPr>
          <w:b/>
          <w:bCs/>
          <w:szCs w:val="21"/>
        </w:rPr>
        <w:t>1</w:t>
      </w:r>
      <w:r>
        <w:rPr>
          <w:b/>
          <w:bCs/>
          <w:szCs w:val="21"/>
        </w:rPr>
        <w:t>．识记</w:t>
      </w:r>
      <w:r>
        <w:rPr>
          <w:b/>
          <w:bCs/>
          <w:szCs w:val="21"/>
        </w:rPr>
        <w:t>:</w:t>
      </w:r>
      <w:r>
        <w:rPr>
          <w:kern w:val="0"/>
          <w:szCs w:val="21"/>
        </w:rPr>
        <w:t xml:space="preserve"> </w:t>
      </w:r>
      <w:r>
        <w:rPr>
          <w:kern w:val="0"/>
          <w:szCs w:val="21"/>
        </w:rPr>
        <w:t>辐射传热计算的角系数的定义、性质及其计算方法。</w:t>
      </w:r>
    </w:p>
    <w:p w14:paraId="1F68948D" w14:textId="77777777" w:rsidR="00F5289E" w:rsidRDefault="00C91173">
      <w:pPr>
        <w:adjustRightInd w:val="0"/>
        <w:snapToGrid w:val="0"/>
        <w:spacing w:beforeLines="50" w:before="156" w:line="360" w:lineRule="auto"/>
        <w:ind w:firstLineChars="50" w:firstLine="105"/>
        <w:rPr>
          <w:szCs w:val="21"/>
        </w:rPr>
      </w:pPr>
      <w:r>
        <w:rPr>
          <w:b/>
          <w:bCs/>
          <w:szCs w:val="21"/>
        </w:rPr>
        <w:t>2</w:t>
      </w:r>
      <w:r>
        <w:rPr>
          <w:b/>
          <w:bCs/>
          <w:szCs w:val="21"/>
        </w:rPr>
        <w:t>．领会</w:t>
      </w:r>
      <w:r>
        <w:rPr>
          <w:b/>
          <w:bCs/>
          <w:szCs w:val="21"/>
        </w:rPr>
        <w:t>:</w:t>
      </w:r>
      <w:r>
        <w:rPr>
          <w:kern w:val="0"/>
          <w:szCs w:val="21"/>
        </w:rPr>
        <w:t xml:space="preserve"> </w:t>
      </w:r>
      <w:r>
        <w:rPr>
          <w:kern w:val="0"/>
          <w:szCs w:val="21"/>
        </w:rPr>
        <w:t>由两个表面和多个表面组成的封闭腔内辐射传热的计算方法。</w:t>
      </w:r>
    </w:p>
    <w:p w14:paraId="0A1797BA" w14:textId="77777777" w:rsidR="00F5289E" w:rsidRDefault="00C91173">
      <w:pPr>
        <w:adjustRightInd w:val="0"/>
        <w:snapToGrid w:val="0"/>
        <w:spacing w:beforeLines="50" w:before="156" w:line="360" w:lineRule="auto"/>
        <w:ind w:firstLineChars="50" w:firstLine="105"/>
        <w:rPr>
          <w:szCs w:val="21"/>
        </w:rPr>
      </w:pPr>
      <w:r>
        <w:rPr>
          <w:b/>
          <w:bCs/>
          <w:szCs w:val="21"/>
        </w:rPr>
        <w:t>3</w:t>
      </w:r>
      <w:r>
        <w:rPr>
          <w:b/>
          <w:bCs/>
          <w:szCs w:val="21"/>
        </w:rPr>
        <w:t>．应用：</w:t>
      </w:r>
      <w:r>
        <w:rPr>
          <w:szCs w:val="21"/>
        </w:rPr>
        <w:t>结合具体案例分析辐射传热的计算。</w:t>
      </w:r>
    </w:p>
    <w:p w14:paraId="46247E61" w14:textId="77777777" w:rsidR="00F5289E" w:rsidRDefault="00C91173">
      <w:pPr>
        <w:adjustRightInd w:val="0"/>
        <w:snapToGrid w:val="0"/>
        <w:spacing w:beforeLines="50" w:before="156" w:line="360" w:lineRule="auto"/>
        <w:ind w:firstLineChars="50" w:firstLine="105"/>
        <w:rPr>
          <w:szCs w:val="21"/>
        </w:rPr>
      </w:pPr>
      <w:r>
        <w:rPr>
          <w:b/>
          <w:bCs/>
          <w:szCs w:val="21"/>
        </w:rPr>
        <w:lastRenderedPageBreak/>
        <w:t>4</w:t>
      </w:r>
      <w:r>
        <w:rPr>
          <w:b/>
          <w:bCs/>
          <w:szCs w:val="21"/>
        </w:rPr>
        <w:t>．分析：</w:t>
      </w:r>
      <w:r>
        <w:rPr>
          <w:szCs w:val="21"/>
        </w:rPr>
        <w:t>辐射传热的强化和削弱的方法。</w:t>
      </w:r>
    </w:p>
    <w:p w14:paraId="011137D8" w14:textId="77777777" w:rsidR="00F5289E" w:rsidRDefault="00C91173">
      <w:pPr>
        <w:pStyle w:val="a9"/>
        <w:spacing w:line="360" w:lineRule="auto"/>
        <w:rPr>
          <w:b/>
          <w:bCs/>
        </w:rPr>
      </w:pPr>
      <w:r>
        <w:rPr>
          <w:b/>
          <w:bCs/>
        </w:rPr>
        <w:t>三、考核方式</w:t>
      </w:r>
    </w:p>
    <w:p w14:paraId="0C97FC77" w14:textId="77777777" w:rsidR="00F5289E" w:rsidRDefault="00C91173">
      <w:pPr>
        <w:spacing w:line="360" w:lineRule="auto"/>
        <w:ind w:firstLineChars="154" w:firstLine="323"/>
        <w:rPr>
          <w:bCs/>
          <w:szCs w:val="21"/>
        </w:rPr>
      </w:pPr>
      <w:r>
        <w:rPr>
          <w:bCs/>
          <w:szCs w:val="21"/>
        </w:rPr>
        <w:t>考核方式包括过程性评价和终结性评价。</w:t>
      </w:r>
    </w:p>
    <w:p w14:paraId="3DBD0E0A" w14:textId="77777777" w:rsidR="00F5289E" w:rsidRDefault="00C91173">
      <w:pPr>
        <w:spacing w:line="360" w:lineRule="auto"/>
        <w:ind w:firstLineChars="154" w:firstLine="323"/>
        <w:rPr>
          <w:bCs/>
          <w:szCs w:val="21"/>
        </w:rPr>
      </w:pPr>
      <w:r>
        <w:rPr>
          <w:bCs/>
          <w:szCs w:val="21"/>
        </w:rPr>
        <w:t>过程性评价包括课堂表现、课后作业、小组讨论、课堂展示等。</w:t>
      </w:r>
    </w:p>
    <w:p w14:paraId="18D06C71" w14:textId="77777777" w:rsidR="00F5289E" w:rsidRDefault="00C91173">
      <w:pPr>
        <w:spacing w:line="360" w:lineRule="auto"/>
        <w:ind w:firstLineChars="154" w:firstLine="323"/>
        <w:rPr>
          <w:color w:val="0000FF"/>
          <w:szCs w:val="21"/>
        </w:rPr>
      </w:pPr>
      <w:r>
        <w:rPr>
          <w:bCs/>
          <w:szCs w:val="21"/>
        </w:rPr>
        <w:t>终结性评价的考试方式为笔试，考试时间为</w:t>
      </w:r>
      <w:r>
        <w:rPr>
          <w:bCs/>
          <w:szCs w:val="21"/>
        </w:rPr>
        <w:t>120</w:t>
      </w:r>
      <w:r>
        <w:rPr>
          <w:bCs/>
          <w:szCs w:val="21"/>
        </w:rPr>
        <w:t>分钟。</w:t>
      </w:r>
    </w:p>
    <w:p w14:paraId="0EDCDBE8" w14:textId="77777777" w:rsidR="00F5289E" w:rsidRDefault="00C91173">
      <w:pPr>
        <w:pStyle w:val="a9"/>
        <w:spacing w:line="360" w:lineRule="auto"/>
        <w:rPr>
          <w:b/>
          <w:bCs/>
        </w:rPr>
      </w:pPr>
      <w:r>
        <w:rPr>
          <w:b/>
          <w:bCs/>
        </w:rPr>
        <w:t>五、成绩评定</w:t>
      </w:r>
    </w:p>
    <w:p w14:paraId="49ED173E" w14:textId="77777777" w:rsidR="00F5289E" w:rsidRDefault="00C91173">
      <w:pPr>
        <w:snapToGrid w:val="0"/>
        <w:spacing w:line="360" w:lineRule="auto"/>
        <w:ind w:firstLineChars="200" w:firstLine="420"/>
        <w:rPr>
          <w:bCs/>
          <w:color w:val="0000FF"/>
          <w:szCs w:val="21"/>
        </w:rPr>
      </w:pPr>
      <w:r>
        <w:rPr>
          <w:color w:val="000000" w:themeColor="text1"/>
          <w:szCs w:val="21"/>
        </w:rPr>
        <w:t>1.</w:t>
      </w:r>
      <w:r>
        <w:rPr>
          <w:color w:val="000000" w:themeColor="text1"/>
          <w:szCs w:val="21"/>
        </w:rPr>
        <w:t>平时成绩</w:t>
      </w:r>
    </w:p>
    <w:p w14:paraId="27A175B3" w14:textId="77777777" w:rsidR="00F5289E" w:rsidRDefault="00C91173">
      <w:pPr>
        <w:snapToGrid w:val="0"/>
        <w:spacing w:line="360" w:lineRule="auto"/>
        <w:ind w:firstLineChars="200" w:firstLine="420"/>
        <w:rPr>
          <w:szCs w:val="21"/>
        </w:rPr>
      </w:pPr>
      <w:r>
        <w:rPr>
          <w:bCs/>
          <w:szCs w:val="21"/>
        </w:rPr>
        <w:t>平时成绩占</w:t>
      </w:r>
      <w:r>
        <w:rPr>
          <w:bCs/>
          <w:szCs w:val="21"/>
        </w:rPr>
        <w:t>50%</w:t>
      </w:r>
      <w:r>
        <w:rPr>
          <w:bCs/>
          <w:szCs w:val="21"/>
        </w:rPr>
        <w:t>，包含课堂考勤、课堂表现、课后作业、小组讨论、课堂展示。</w:t>
      </w:r>
    </w:p>
    <w:p w14:paraId="782D1523" w14:textId="77777777" w:rsidR="00F5289E" w:rsidRDefault="00C91173">
      <w:pPr>
        <w:snapToGrid w:val="0"/>
        <w:spacing w:line="360" w:lineRule="auto"/>
        <w:ind w:firstLineChars="200" w:firstLine="420"/>
        <w:rPr>
          <w:bCs/>
          <w:szCs w:val="21"/>
        </w:rPr>
      </w:pPr>
      <w:r>
        <w:t>2.</w:t>
      </w:r>
      <w:r>
        <w:t>期末成绩</w:t>
      </w:r>
    </w:p>
    <w:p w14:paraId="7490D9FF" w14:textId="77777777" w:rsidR="00F5289E" w:rsidRDefault="00C91173">
      <w:pPr>
        <w:snapToGrid w:val="0"/>
        <w:spacing w:line="360" w:lineRule="auto"/>
        <w:ind w:firstLineChars="200" w:firstLine="420"/>
        <w:rPr>
          <w:bCs/>
          <w:szCs w:val="21"/>
        </w:rPr>
      </w:pPr>
      <w:r>
        <w:rPr>
          <w:bCs/>
          <w:szCs w:val="21"/>
        </w:rPr>
        <w:t>笔试，占</w:t>
      </w:r>
      <w:r>
        <w:rPr>
          <w:bCs/>
          <w:szCs w:val="21"/>
        </w:rPr>
        <w:t>50%</w:t>
      </w:r>
    </w:p>
    <w:p w14:paraId="7407F642" w14:textId="77777777" w:rsidR="00F5289E" w:rsidRDefault="00C91173">
      <w:pPr>
        <w:snapToGrid w:val="0"/>
        <w:spacing w:line="360" w:lineRule="auto"/>
        <w:ind w:firstLineChars="200" w:firstLine="420"/>
        <w:rPr>
          <w:bCs/>
          <w:color w:val="0000FF"/>
          <w:szCs w:val="21"/>
        </w:rPr>
      </w:pPr>
      <w:r>
        <w:rPr>
          <w:color w:val="000000" w:themeColor="text1"/>
        </w:rPr>
        <w:t>3.</w:t>
      </w:r>
      <w:r>
        <w:rPr>
          <w:color w:val="000000" w:themeColor="text1"/>
        </w:rPr>
        <w:t>综合成绩</w:t>
      </w:r>
    </w:p>
    <w:p w14:paraId="707F2E18" w14:textId="77777777" w:rsidR="00F5289E" w:rsidRDefault="00C91173">
      <w:pPr>
        <w:snapToGrid w:val="0"/>
        <w:spacing w:line="360" w:lineRule="auto"/>
        <w:ind w:firstLineChars="200" w:firstLine="420"/>
        <w:rPr>
          <w:bCs/>
          <w:szCs w:val="21"/>
        </w:rPr>
      </w:pPr>
      <w:r>
        <w:rPr>
          <w:bCs/>
          <w:szCs w:val="21"/>
        </w:rPr>
        <w:t>综合成绩</w:t>
      </w:r>
      <w:r>
        <w:rPr>
          <w:bCs/>
          <w:szCs w:val="21"/>
        </w:rPr>
        <w:t>=</w:t>
      </w:r>
      <w:r>
        <w:rPr>
          <w:bCs/>
          <w:szCs w:val="21"/>
        </w:rPr>
        <w:t>平时成绩</w:t>
      </w:r>
      <w:r>
        <w:rPr>
          <w:bCs/>
          <w:szCs w:val="21"/>
        </w:rPr>
        <w:t>×50%+</w:t>
      </w:r>
      <w:r>
        <w:rPr>
          <w:bCs/>
          <w:szCs w:val="21"/>
        </w:rPr>
        <w:t>期末成绩</w:t>
      </w:r>
      <w:r>
        <w:rPr>
          <w:bCs/>
          <w:szCs w:val="21"/>
        </w:rPr>
        <w:t>×50%</w:t>
      </w:r>
    </w:p>
    <w:p w14:paraId="5A18531E" w14:textId="77777777" w:rsidR="00F5289E" w:rsidRDefault="00C91173">
      <w:pPr>
        <w:pStyle w:val="a9"/>
        <w:spacing w:line="360" w:lineRule="auto"/>
        <w:rPr>
          <w:b/>
          <w:bCs/>
        </w:rPr>
      </w:pPr>
      <w:r>
        <w:rPr>
          <w:b/>
          <w:bCs/>
        </w:rPr>
        <w:t>六、考核结果分析反馈</w:t>
      </w:r>
    </w:p>
    <w:p w14:paraId="72397E3C" w14:textId="77777777" w:rsidR="00F5289E" w:rsidRDefault="00C91173">
      <w:pPr>
        <w:snapToGrid w:val="0"/>
        <w:spacing w:line="360" w:lineRule="auto"/>
        <w:ind w:firstLineChars="200" w:firstLine="420"/>
        <w:rPr>
          <w:szCs w:val="21"/>
        </w:rPr>
      </w:pPr>
      <w:r>
        <w:rPr>
          <w:szCs w:val="21"/>
        </w:rPr>
        <w:t>考试结束后，通过综合成绩的评定得出最终成绩并反馈给学生。对学生考后的试卷进行考试分析，掌握学生的成绩分布，判断是否符合正态分布。根据学生考试成绩分布判断期末考试的题型难易程度是否合适，对今后考试的题型、重点和难点分配进行调整，从而提高教学效果。</w:t>
      </w:r>
    </w:p>
    <w:p w14:paraId="22ACC9EC" w14:textId="77777777" w:rsidR="00F5289E" w:rsidRDefault="00C91173">
      <w:pPr>
        <w:widowControl/>
        <w:jc w:val="left"/>
        <w:rPr>
          <w:b/>
          <w:sz w:val="28"/>
          <w:szCs w:val="28"/>
        </w:rPr>
      </w:pPr>
      <w:r>
        <w:rPr>
          <w:b/>
          <w:sz w:val="28"/>
          <w:szCs w:val="28"/>
        </w:rPr>
        <w:br w:type="page"/>
      </w:r>
    </w:p>
    <w:p w14:paraId="59CB1B9B" w14:textId="77777777" w:rsidR="00F5289E" w:rsidRDefault="00C91173">
      <w:pPr>
        <w:pStyle w:val="1"/>
      </w:pPr>
      <w:bookmarkStart w:id="168" w:name="_Toc138606272"/>
      <w:r>
        <w:lastRenderedPageBreak/>
        <w:t>设施工程力学</w:t>
      </w:r>
      <w:r>
        <w:rPr>
          <w:rFonts w:hint="eastAsia"/>
        </w:rPr>
        <w:t>考核大纲</w:t>
      </w:r>
      <w:bookmarkEnd w:id="168"/>
    </w:p>
    <w:p w14:paraId="5FEEDDFA" w14:textId="77777777" w:rsidR="00F5289E" w:rsidRDefault="00C91173">
      <w:pPr>
        <w:pStyle w:val="a9"/>
        <w:spacing w:line="360" w:lineRule="auto"/>
        <w:jc w:val="center"/>
        <w:rPr>
          <w:rFonts w:ascii="Times New Roman" w:eastAsia="黑体" w:hAnsi="Times New Roman" w:cs="Times New Roman"/>
          <w:kern w:val="36"/>
          <w:sz w:val="24"/>
          <w:szCs w:val="24"/>
        </w:rPr>
      </w:pPr>
      <w:r>
        <w:rPr>
          <w:rFonts w:ascii="Times New Roman" w:hAnsi="Times New Roman" w:cs="Times New Roman"/>
          <w:sz w:val="24"/>
          <w:szCs w:val="24"/>
        </w:rPr>
        <w:t>Protected Engineering Mechanics</w:t>
      </w:r>
    </w:p>
    <w:p w14:paraId="69C6A366" w14:textId="77777777" w:rsidR="00F5289E" w:rsidRDefault="00F5289E">
      <w:pPr>
        <w:widowControl/>
        <w:wordWrap w:val="0"/>
        <w:spacing w:before="120" w:after="120"/>
        <w:jc w:val="center"/>
        <w:outlineLvl w:val="0"/>
        <w:rPr>
          <w:rFonts w:eastAsia="黑体"/>
          <w:b/>
          <w:bCs/>
          <w:kern w:val="36"/>
          <w:sz w:val="24"/>
        </w:rPr>
      </w:pPr>
    </w:p>
    <w:p w14:paraId="04776942"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40E20C0A" w14:textId="77777777">
        <w:trPr>
          <w:trHeight w:val="559"/>
        </w:trPr>
        <w:tc>
          <w:tcPr>
            <w:tcW w:w="1666" w:type="pct"/>
            <w:vAlign w:val="center"/>
          </w:tcPr>
          <w:p w14:paraId="740DBD59" w14:textId="77777777" w:rsidR="00F5289E" w:rsidRDefault="00C91173">
            <w:pPr>
              <w:snapToGrid w:val="0"/>
              <w:rPr>
                <w:b/>
                <w:bCs/>
                <w:szCs w:val="21"/>
              </w:rPr>
            </w:pPr>
            <w:r>
              <w:rPr>
                <w:b/>
                <w:bCs/>
                <w:szCs w:val="21"/>
              </w:rPr>
              <w:t>课程编号：</w:t>
            </w:r>
            <w:r>
              <w:rPr>
                <w:bCs/>
                <w:szCs w:val="21"/>
              </w:rPr>
              <w:t>19011128</w:t>
            </w:r>
          </w:p>
        </w:tc>
        <w:tc>
          <w:tcPr>
            <w:tcW w:w="1234" w:type="pct"/>
            <w:vAlign w:val="center"/>
          </w:tcPr>
          <w:p w14:paraId="4E25FE43" w14:textId="77777777" w:rsidR="00F5289E" w:rsidRDefault="00C91173">
            <w:pPr>
              <w:snapToGrid w:val="0"/>
              <w:rPr>
                <w:b/>
                <w:bCs/>
                <w:szCs w:val="21"/>
              </w:rPr>
            </w:pPr>
            <w:r>
              <w:rPr>
                <w:b/>
                <w:bCs/>
                <w:szCs w:val="21"/>
              </w:rPr>
              <w:t>课程学时：</w:t>
            </w:r>
            <w:r>
              <w:rPr>
                <w:bCs/>
                <w:szCs w:val="21"/>
              </w:rPr>
              <w:t>40</w:t>
            </w:r>
          </w:p>
        </w:tc>
        <w:tc>
          <w:tcPr>
            <w:tcW w:w="2100" w:type="pct"/>
            <w:vAlign w:val="center"/>
          </w:tcPr>
          <w:p w14:paraId="22981ECB" w14:textId="77777777" w:rsidR="00F5289E" w:rsidRDefault="00C91173">
            <w:pPr>
              <w:snapToGrid w:val="0"/>
              <w:rPr>
                <w:b/>
                <w:bCs/>
                <w:szCs w:val="21"/>
              </w:rPr>
            </w:pPr>
            <w:r>
              <w:rPr>
                <w:b/>
                <w:bCs/>
                <w:szCs w:val="21"/>
              </w:rPr>
              <w:t>课程学分：</w:t>
            </w:r>
            <w:r>
              <w:rPr>
                <w:bCs/>
                <w:szCs w:val="21"/>
              </w:rPr>
              <w:t>2.5</w:t>
            </w:r>
          </w:p>
        </w:tc>
      </w:tr>
      <w:tr w:rsidR="00F5289E" w14:paraId="7FC10FCF" w14:textId="77777777">
        <w:trPr>
          <w:trHeight w:val="559"/>
        </w:trPr>
        <w:tc>
          <w:tcPr>
            <w:tcW w:w="1666" w:type="pct"/>
            <w:vAlign w:val="center"/>
          </w:tcPr>
          <w:p w14:paraId="3AF4C19C" w14:textId="77777777" w:rsidR="00F5289E" w:rsidRDefault="00C91173">
            <w:pPr>
              <w:snapToGrid w:val="0"/>
              <w:rPr>
                <w:b/>
                <w:bCs/>
                <w:szCs w:val="21"/>
              </w:rPr>
            </w:pPr>
            <w:r>
              <w:rPr>
                <w:b/>
                <w:bCs/>
                <w:szCs w:val="21"/>
              </w:rPr>
              <w:t>主撰人：</w:t>
            </w:r>
            <w:r>
              <w:rPr>
                <w:bCs/>
                <w:szCs w:val="21"/>
              </w:rPr>
              <w:t>杜清洁</w:t>
            </w:r>
          </w:p>
        </w:tc>
        <w:tc>
          <w:tcPr>
            <w:tcW w:w="1234" w:type="pct"/>
            <w:vAlign w:val="center"/>
          </w:tcPr>
          <w:p w14:paraId="5AB45FAD" w14:textId="77777777" w:rsidR="00F5289E" w:rsidRDefault="00C91173">
            <w:pPr>
              <w:snapToGrid w:val="0"/>
              <w:rPr>
                <w:b/>
                <w:bCs/>
                <w:szCs w:val="21"/>
              </w:rPr>
            </w:pPr>
            <w:r>
              <w:rPr>
                <w:b/>
                <w:bCs/>
                <w:szCs w:val="21"/>
              </w:rPr>
              <w:t>审核人：</w:t>
            </w:r>
            <w:r>
              <w:rPr>
                <w:rFonts w:hint="eastAsia"/>
                <w:szCs w:val="21"/>
              </w:rPr>
              <w:t>董晓星</w:t>
            </w:r>
          </w:p>
        </w:tc>
        <w:tc>
          <w:tcPr>
            <w:tcW w:w="2100" w:type="pct"/>
            <w:vAlign w:val="center"/>
          </w:tcPr>
          <w:p w14:paraId="54C7602A" w14:textId="77777777" w:rsidR="00F5289E" w:rsidRDefault="00C91173">
            <w:pPr>
              <w:snapToGrid w:val="0"/>
              <w:rPr>
                <w:b/>
                <w:bCs/>
                <w:szCs w:val="21"/>
              </w:rPr>
            </w:pPr>
            <w:r>
              <w:rPr>
                <w:b/>
                <w:bCs/>
                <w:szCs w:val="21"/>
              </w:rPr>
              <w:t>大纲制定（修订）日期：</w:t>
            </w:r>
            <w:r>
              <w:rPr>
                <w:szCs w:val="21"/>
              </w:rPr>
              <w:t>2023.05</w:t>
            </w:r>
          </w:p>
        </w:tc>
      </w:tr>
    </w:tbl>
    <w:p w14:paraId="2C886F43" w14:textId="77777777" w:rsidR="00F5289E" w:rsidRDefault="00F5289E">
      <w:pPr>
        <w:widowControl/>
        <w:snapToGrid w:val="0"/>
        <w:spacing w:line="360" w:lineRule="auto"/>
        <w:jc w:val="left"/>
        <w:outlineLvl w:val="1"/>
        <w:rPr>
          <w:rFonts w:eastAsiaTheme="majorEastAsia"/>
          <w:b/>
          <w:bCs/>
          <w:kern w:val="0"/>
          <w:szCs w:val="21"/>
        </w:rPr>
      </w:pPr>
    </w:p>
    <w:p w14:paraId="092128F2" w14:textId="77777777" w:rsidR="00F5289E" w:rsidRDefault="00C91173">
      <w:pPr>
        <w:pStyle w:val="a9"/>
        <w:spacing w:line="360" w:lineRule="auto"/>
        <w:rPr>
          <w:b/>
          <w:bCs/>
        </w:rPr>
      </w:pPr>
      <w:r>
        <w:rPr>
          <w:b/>
          <w:bCs/>
        </w:rPr>
        <w:t>一、课程的性质和地位</w:t>
      </w:r>
    </w:p>
    <w:p w14:paraId="582C89F4" w14:textId="77777777" w:rsidR="00F5289E" w:rsidRDefault="00C91173">
      <w:pPr>
        <w:snapToGrid w:val="0"/>
        <w:spacing w:line="360" w:lineRule="auto"/>
        <w:ind w:firstLineChars="200" w:firstLine="420"/>
        <w:rPr>
          <w:szCs w:val="21"/>
        </w:rPr>
      </w:pPr>
      <w:r>
        <w:rPr>
          <w:bCs/>
          <w:szCs w:val="21"/>
        </w:rPr>
        <w:t>设施工程力学是是设施农业科学与工程专业的一门专业基础课，在培养学生进行园艺设施设计与建造方面占有重要的地位。本课程主要包括包括理论力学和材料力学两部分。理解静力学的基本概念，培养学生具有一般结构受力分析的基本能力；掌握平面一般力系的简化和平衡方程的求解。对材料力学的概念有明确的认识；能够计算杆件在荷载作用下的内力，并做相应的内力图；掌握基本杆件的强度、刚度的基本概念和基本计算能力。最终，培养学生能利用工程力学的基本概念判断分析结果正确与否的能力，使学生具备综合应用所学力学知识分析、解决园艺设施中力学相关问题的素质，并为后续课程的学习奠定坚实的基础。</w:t>
      </w:r>
    </w:p>
    <w:p w14:paraId="3FB53EC4" w14:textId="77777777" w:rsidR="00F5289E" w:rsidRDefault="00C91173">
      <w:pPr>
        <w:pStyle w:val="a9"/>
        <w:spacing w:line="360" w:lineRule="auto"/>
        <w:rPr>
          <w:b/>
          <w:bCs/>
        </w:rPr>
      </w:pPr>
      <w:r>
        <w:rPr>
          <w:b/>
          <w:bCs/>
        </w:rPr>
        <w:t>二、理论教学部分的考核目标</w:t>
      </w:r>
    </w:p>
    <w:p w14:paraId="2735B8FA" w14:textId="77777777" w:rsidR="00F5289E" w:rsidRDefault="00C91173">
      <w:pPr>
        <w:snapToGrid w:val="0"/>
        <w:spacing w:line="360" w:lineRule="auto"/>
        <w:ind w:firstLineChars="200" w:firstLine="420"/>
        <w:rPr>
          <w:bCs/>
          <w:szCs w:val="21"/>
        </w:rPr>
      </w:pPr>
      <w:r>
        <w:rPr>
          <w:bCs/>
          <w:szCs w:val="21"/>
        </w:rPr>
        <w:t>对设施工程力学中的基本概念有明确的认识；掌握平衡物体的受力分析及受力图的画法，静力学的基本概念和公理。掌握基本力系，汇交力系合成与平衡的解析法；了解力矩的概念和合力矩定理；掌握力偶的概念、性质、力偶系的合成与平衡；了解常用园艺设施中材料的性能；结构的强度、刚度、稳定设计，组合变形研究思路。</w:t>
      </w:r>
    </w:p>
    <w:p w14:paraId="53060524" w14:textId="77777777" w:rsidR="00F5289E" w:rsidRDefault="00C91173">
      <w:pPr>
        <w:snapToGrid w:val="0"/>
        <w:spacing w:line="360" w:lineRule="auto"/>
        <w:jc w:val="center"/>
        <w:rPr>
          <w:b/>
          <w:szCs w:val="21"/>
        </w:rPr>
      </w:pPr>
      <w:r>
        <w:rPr>
          <w:b/>
          <w:szCs w:val="21"/>
        </w:rPr>
        <w:t>第一章</w:t>
      </w:r>
      <w:r>
        <w:rPr>
          <w:b/>
          <w:szCs w:val="21"/>
        </w:rPr>
        <w:t xml:space="preserve">  </w:t>
      </w:r>
      <w:r>
        <w:rPr>
          <w:b/>
          <w:szCs w:val="21"/>
        </w:rPr>
        <w:t>静力学基础</w:t>
      </w:r>
    </w:p>
    <w:p w14:paraId="29002A5E" w14:textId="77777777" w:rsidR="00F5289E" w:rsidRDefault="00C91173">
      <w:pPr>
        <w:snapToGrid w:val="0"/>
        <w:spacing w:line="360" w:lineRule="auto"/>
        <w:rPr>
          <w:b/>
          <w:szCs w:val="21"/>
        </w:rPr>
      </w:pPr>
      <w:r>
        <w:rPr>
          <w:b/>
          <w:szCs w:val="21"/>
        </w:rPr>
        <w:t>（一）学习目标</w:t>
      </w:r>
    </w:p>
    <w:p w14:paraId="06662E65"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平衡产生的原因</w:t>
      </w:r>
    </w:p>
    <w:p w14:paraId="190E8ECB"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力、力矩、力偶和约束力等概念</w:t>
      </w:r>
    </w:p>
    <w:p w14:paraId="5E88BAC4"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受力分析的方法</w:t>
      </w:r>
    </w:p>
    <w:p w14:paraId="3E71D3CF" w14:textId="77777777" w:rsidR="00F5289E" w:rsidRDefault="00C91173">
      <w:pPr>
        <w:snapToGrid w:val="0"/>
        <w:spacing w:line="360" w:lineRule="auto"/>
        <w:rPr>
          <w:szCs w:val="21"/>
        </w:rPr>
      </w:pPr>
      <w:r>
        <w:rPr>
          <w:b/>
          <w:szCs w:val="21"/>
        </w:rPr>
        <w:t>（二）考核内容</w:t>
      </w:r>
    </w:p>
    <w:p w14:paraId="2FD7878A" w14:textId="77777777" w:rsidR="00F5289E" w:rsidRDefault="00C91173">
      <w:pPr>
        <w:snapToGrid w:val="0"/>
        <w:spacing w:line="360" w:lineRule="auto"/>
        <w:ind w:firstLineChars="200" w:firstLine="420"/>
        <w:rPr>
          <w:bCs/>
          <w:szCs w:val="21"/>
        </w:rPr>
      </w:pPr>
      <w:r>
        <w:rPr>
          <w:bCs/>
          <w:szCs w:val="21"/>
        </w:rPr>
        <w:t>力和力矩；力偶及其性质；约束和约束力；受力分析方法和过程。</w:t>
      </w:r>
    </w:p>
    <w:p w14:paraId="7A777CB7" w14:textId="77777777" w:rsidR="00F5289E" w:rsidRDefault="00C91173">
      <w:pPr>
        <w:snapToGrid w:val="0"/>
        <w:spacing w:line="360" w:lineRule="auto"/>
        <w:rPr>
          <w:b/>
          <w:szCs w:val="21"/>
        </w:rPr>
      </w:pPr>
      <w:r>
        <w:rPr>
          <w:b/>
          <w:szCs w:val="21"/>
        </w:rPr>
        <w:t>（三）考核要求</w:t>
      </w:r>
    </w:p>
    <w:p w14:paraId="54F8728A"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力、力矩、力系、力偶的概念</w:t>
      </w:r>
    </w:p>
    <w:p w14:paraId="5A4EEDED"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：约束和约束力</w:t>
      </w:r>
    </w:p>
    <w:p w14:paraId="210A761D"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t>合力矩定理</w:t>
      </w:r>
    </w:p>
    <w:p w14:paraId="29620849" w14:textId="77777777" w:rsidR="00F5289E" w:rsidRDefault="00C91173">
      <w:pPr>
        <w:snapToGrid w:val="0"/>
        <w:spacing w:line="360" w:lineRule="auto"/>
        <w:ind w:firstLineChars="200" w:firstLine="422"/>
        <w:rPr>
          <w:b/>
          <w:szCs w:val="21"/>
        </w:rPr>
      </w:pPr>
      <w:r>
        <w:rPr>
          <w:b/>
          <w:szCs w:val="21"/>
        </w:rPr>
        <w:t xml:space="preserve">4. </w:t>
      </w:r>
      <w:r>
        <w:rPr>
          <w:b/>
          <w:szCs w:val="21"/>
        </w:rPr>
        <w:t>分析：</w:t>
      </w:r>
      <w:r>
        <w:rPr>
          <w:bCs/>
          <w:szCs w:val="21"/>
        </w:rPr>
        <w:t>受力分析方法和过程</w:t>
      </w:r>
    </w:p>
    <w:p w14:paraId="30E49284" w14:textId="77777777" w:rsidR="00F5289E" w:rsidRDefault="00C91173">
      <w:pPr>
        <w:snapToGrid w:val="0"/>
        <w:spacing w:line="360" w:lineRule="auto"/>
        <w:jc w:val="center"/>
        <w:rPr>
          <w:b/>
          <w:szCs w:val="21"/>
        </w:rPr>
      </w:pPr>
      <w:r>
        <w:rPr>
          <w:b/>
          <w:szCs w:val="21"/>
        </w:rPr>
        <w:lastRenderedPageBreak/>
        <w:t>第二章</w:t>
      </w:r>
      <w:r>
        <w:rPr>
          <w:b/>
          <w:szCs w:val="21"/>
        </w:rPr>
        <w:t xml:space="preserve">  </w:t>
      </w:r>
      <w:r>
        <w:rPr>
          <w:b/>
          <w:szCs w:val="21"/>
        </w:rPr>
        <w:t>力系的简化</w:t>
      </w:r>
    </w:p>
    <w:p w14:paraId="4BD59C0F" w14:textId="77777777" w:rsidR="00F5289E" w:rsidRDefault="00C91173">
      <w:pPr>
        <w:snapToGrid w:val="0"/>
        <w:spacing w:line="360" w:lineRule="auto"/>
        <w:rPr>
          <w:b/>
          <w:szCs w:val="21"/>
        </w:rPr>
      </w:pPr>
      <w:r>
        <w:rPr>
          <w:b/>
          <w:szCs w:val="21"/>
        </w:rPr>
        <w:t>（一）学习目标</w:t>
      </w:r>
    </w:p>
    <w:p w14:paraId="5CD0B793"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主矢和主矩</w:t>
      </w:r>
    </w:p>
    <w:p w14:paraId="4E1F7139"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力向一点平移定理</w:t>
      </w:r>
    </w:p>
    <w:p w14:paraId="274763FC"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平面力系的简化</w:t>
      </w:r>
    </w:p>
    <w:p w14:paraId="78D390F0" w14:textId="77777777" w:rsidR="00F5289E" w:rsidRDefault="00C91173">
      <w:pPr>
        <w:snapToGrid w:val="0"/>
        <w:spacing w:line="360" w:lineRule="auto"/>
        <w:rPr>
          <w:szCs w:val="21"/>
        </w:rPr>
      </w:pPr>
      <w:r>
        <w:rPr>
          <w:b/>
          <w:szCs w:val="21"/>
        </w:rPr>
        <w:t>（二）考核内容</w:t>
      </w:r>
    </w:p>
    <w:p w14:paraId="676C3195" w14:textId="77777777" w:rsidR="00F5289E" w:rsidRDefault="00C91173">
      <w:pPr>
        <w:snapToGrid w:val="0"/>
        <w:spacing w:line="360" w:lineRule="auto"/>
        <w:ind w:firstLineChars="200" w:firstLine="420"/>
        <w:rPr>
          <w:bCs/>
          <w:szCs w:val="21"/>
        </w:rPr>
      </w:pPr>
      <w:r>
        <w:rPr>
          <w:bCs/>
          <w:szCs w:val="21"/>
        </w:rPr>
        <w:t>力系基本特征量；力向一点平移定理；平面力系的简化；力系等效定理</w:t>
      </w:r>
    </w:p>
    <w:p w14:paraId="3CB71EA2" w14:textId="77777777" w:rsidR="00F5289E" w:rsidRDefault="00C91173">
      <w:pPr>
        <w:snapToGrid w:val="0"/>
        <w:spacing w:line="360" w:lineRule="auto"/>
        <w:rPr>
          <w:b/>
          <w:szCs w:val="21"/>
        </w:rPr>
      </w:pPr>
      <w:r>
        <w:rPr>
          <w:b/>
          <w:szCs w:val="21"/>
        </w:rPr>
        <w:t>（三）考核要求</w:t>
      </w:r>
    </w:p>
    <w:p w14:paraId="581F1035"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力系等效与简化</w:t>
      </w:r>
    </w:p>
    <w:p w14:paraId="3ABD958D"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bCs/>
          <w:szCs w:val="21"/>
        </w:rPr>
        <w:t>力系的简化</w:t>
      </w:r>
    </w:p>
    <w:p w14:paraId="161F02F7"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bCs/>
          <w:szCs w:val="21"/>
        </w:rPr>
        <w:t>力向一点平移定理</w:t>
      </w:r>
    </w:p>
    <w:p w14:paraId="3EC16ECF" w14:textId="77777777" w:rsidR="00F5289E" w:rsidRDefault="00C91173">
      <w:pPr>
        <w:snapToGrid w:val="0"/>
        <w:spacing w:line="360" w:lineRule="auto"/>
        <w:ind w:firstLineChars="200" w:firstLine="422"/>
        <w:rPr>
          <w:b/>
          <w:szCs w:val="21"/>
        </w:rPr>
      </w:pPr>
      <w:r>
        <w:rPr>
          <w:b/>
          <w:szCs w:val="21"/>
        </w:rPr>
        <w:t xml:space="preserve">4. </w:t>
      </w:r>
      <w:r>
        <w:rPr>
          <w:b/>
          <w:szCs w:val="21"/>
        </w:rPr>
        <w:t>分析：</w:t>
      </w:r>
      <w:r>
        <w:rPr>
          <w:bCs/>
          <w:szCs w:val="21"/>
        </w:rPr>
        <w:t>一般力系的简化方法、汇交力系的简化结果</w:t>
      </w:r>
    </w:p>
    <w:p w14:paraId="1DC4D411" w14:textId="77777777" w:rsidR="00F5289E" w:rsidRDefault="00C91173">
      <w:pPr>
        <w:snapToGrid w:val="0"/>
        <w:spacing w:line="360" w:lineRule="auto"/>
        <w:ind w:firstLineChars="200" w:firstLine="422"/>
        <w:rPr>
          <w:szCs w:val="21"/>
        </w:rPr>
      </w:pPr>
      <w:r>
        <w:rPr>
          <w:b/>
          <w:szCs w:val="21"/>
        </w:rPr>
        <w:t xml:space="preserve">5. </w:t>
      </w:r>
      <w:r>
        <w:rPr>
          <w:b/>
          <w:szCs w:val="21"/>
        </w:rPr>
        <w:t>综合</w:t>
      </w:r>
      <w:r>
        <w:rPr>
          <w:szCs w:val="21"/>
        </w:rPr>
        <w:t>：</w:t>
      </w:r>
      <w:r>
        <w:rPr>
          <w:bCs/>
          <w:szCs w:val="21"/>
        </w:rPr>
        <w:t>固定端约束的约束反力的画法</w:t>
      </w:r>
    </w:p>
    <w:p w14:paraId="230853FD" w14:textId="77777777" w:rsidR="00F5289E" w:rsidRDefault="00C91173">
      <w:pPr>
        <w:snapToGrid w:val="0"/>
        <w:spacing w:line="360" w:lineRule="auto"/>
        <w:jc w:val="center"/>
        <w:rPr>
          <w:b/>
          <w:szCs w:val="21"/>
        </w:rPr>
      </w:pPr>
      <w:r>
        <w:rPr>
          <w:b/>
          <w:szCs w:val="21"/>
        </w:rPr>
        <w:t>第三章</w:t>
      </w:r>
      <w:r>
        <w:rPr>
          <w:b/>
          <w:szCs w:val="21"/>
        </w:rPr>
        <w:t xml:space="preserve">  </w:t>
      </w:r>
      <w:r>
        <w:rPr>
          <w:b/>
          <w:szCs w:val="21"/>
        </w:rPr>
        <w:t>静力学平衡问题</w:t>
      </w:r>
    </w:p>
    <w:p w14:paraId="118AD326" w14:textId="77777777" w:rsidR="00F5289E" w:rsidRDefault="00C91173">
      <w:pPr>
        <w:snapToGrid w:val="0"/>
        <w:spacing w:line="360" w:lineRule="auto"/>
        <w:rPr>
          <w:b/>
          <w:szCs w:val="21"/>
        </w:rPr>
      </w:pPr>
      <w:r>
        <w:rPr>
          <w:b/>
          <w:szCs w:val="21"/>
        </w:rPr>
        <w:t>（一）学习目标</w:t>
      </w:r>
    </w:p>
    <w:p w14:paraId="15D3222A"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汇交力系和力偶系的平衡</w:t>
      </w:r>
    </w:p>
    <w:p w14:paraId="5FD25210"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平面一般力系的平衡方程</w:t>
      </w:r>
    </w:p>
    <w:p w14:paraId="22A3217B"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刚体系统平衡的计算方法</w:t>
      </w:r>
    </w:p>
    <w:p w14:paraId="67483436" w14:textId="77777777" w:rsidR="00F5289E" w:rsidRDefault="00C91173">
      <w:pPr>
        <w:snapToGrid w:val="0"/>
        <w:spacing w:line="360" w:lineRule="auto"/>
        <w:rPr>
          <w:szCs w:val="21"/>
        </w:rPr>
      </w:pPr>
      <w:r>
        <w:rPr>
          <w:b/>
          <w:szCs w:val="21"/>
        </w:rPr>
        <w:t>（二）考核内容</w:t>
      </w:r>
    </w:p>
    <w:p w14:paraId="5807F53A" w14:textId="77777777" w:rsidR="00F5289E" w:rsidRDefault="00C91173">
      <w:pPr>
        <w:snapToGrid w:val="0"/>
        <w:spacing w:line="360" w:lineRule="auto"/>
        <w:ind w:firstLineChars="200" w:firstLine="420"/>
        <w:rPr>
          <w:bCs/>
          <w:szCs w:val="21"/>
        </w:rPr>
      </w:pPr>
      <w:r>
        <w:rPr>
          <w:bCs/>
          <w:szCs w:val="21"/>
        </w:rPr>
        <w:t>平面力系的平衡条件和平衡方程；简单刚体系统的平衡问题</w:t>
      </w:r>
    </w:p>
    <w:p w14:paraId="44578457" w14:textId="77777777" w:rsidR="00F5289E" w:rsidRDefault="00C91173">
      <w:pPr>
        <w:snapToGrid w:val="0"/>
        <w:spacing w:line="360" w:lineRule="auto"/>
        <w:rPr>
          <w:b/>
          <w:szCs w:val="21"/>
        </w:rPr>
      </w:pPr>
      <w:r>
        <w:rPr>
          <w:b/>
          <w:szCs w:val="21"/>
        </w:rPr>
        <w:t>（三）考核要求</w:t>
      </w:r>
    </w:p>
    <w:p w14:paraId="6C7CE860"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工程构件静定、超静定</w:t>
      </w:r>
    </w:p>
    <w:p w14:paraId="0EEBA4DD" w14:textId="77777777" w:rsidR="00F5289E" w:rsidRDefault="00C91173">
      <w:pPr>
        <w:snapToGrid w:val="0"/>
        <w:spacing w:line="360" w:lineRule="auto"/>
        <w:ind w:firstLineChars="200" w:firstLine="422"/>
        <w:rPr>
          <w:b/>
          <w:szCs w:val="21"/>
        </w:rPr>
      </w:pPr>
      <w:r>
        <w:rPr>
          <w:b/>
          <w:szCs w:val="21"/>
        </w:rPr>
        <w:t xml:space="preserve">2. </w:t>
      </w:r>
      <w:r>
        <w:rPr>
          <w:b/>
          <w:szCs w:val="21"/>
        </w:rPr>
        <w:t>分析：</w:t>
      </w:r>
      <w:r>
        <w:rPr>
          <w:bCs/>
          <w:szCs w:val="21"/>
        </w:rPr>
        <w:t>简单刚体系统的平衡问题</w:t>
      </w:r>
    </w:p>
    <w:p w14:paraId="01205AAD" w14:textId="77777777" w:rsidR="00F5289E" w:rsidRDefault="00C91173">
      <w:pPr>
        <w:snapToGrid w:val="0"/>
        <w:spacing w:line="360" w:lineRule="auto"/>
        <w:ind w:firstLineChars="200" w:firstLine="422"/>
        <w:rPr>
          <w:szCs w:val="21"/>
        </w:rPr>
      </w:pPr>
      <w:r>
        <w:rPr>
          <w:b/>
          <w:szCs w:val="21"/>
        </w:rPr>
        <w:t xml:space="preserve">3. </w:t>
      </w:r>
      <w:r>
        <w:rPr>
          <w:b/>
          <w:szCs w:val="21"/>
        </w:rPr>
        <w:t>综合</w:t>
      </w:r>
      <w:r>
        <w:rPr>
          <w:szCs w:val="21"/>
        </w:rPr>
        <w:t>：平面一般力系的平衡、</w:t>
      </w:r>
      <w:r>
        <w:rPr>
          <w:bCs/>
          <w:szCs w:val="21"/>
        </w:rPr>
        <w:t>刚体系统平衡</w:t>
      </w:r>
    </w:p>
    <w:p w14:paraId="51434EA7" w14:textId="77777777" w:rsidR="00F5289E" w:rsidRDefault="00C91173">
      <w:pPr>
        <w:snapToGrid w:val="0"/>
        <w:spacing w:line="360" w:lineRule="auto"/>
        <w:jc w:val="center"/>
        <w:rPr>
          <w:b/>
          <w:szCs w:val="21"/>
        </w:rPr>
      </w:pPr>
      <w:r>
        <w:rPr>
          <w:b/>
          <w:szCs w:val="21"/>
        </w:rPr>
        <w:t>第四章</w:t>
      </w:r>
      <w:r>
        <w:rPr>
          <w:b/>
          <w:szCs w:val="21"/>
        </w:rPr>
        <w:t xml:space="preserve">  </w:t>
      </w:r>
      <w:r>
        <w:rPr>
          <w:b/>
          <w:szCs w:val="21"/>
        </w:rPr>
        <w:t>材料力学的基本概念</w:t>
      </w:r>
    </w:p>
    <w:p w14:paraId="1E2D322A" w14:textId="77777777" w:rsidR="00F5289E" w:rsidRDefault="00C91173">
      <w:pPr>
        <w:snapToGrid w:val="0"/>
        <w:spacing w:line="360" w:lineRule="auto"/>
        <w:rPr>
          <w:b/>
          <w:szCs w:val="21"/>
        </w:rPr>
      </w:pPr>
      <w:r>
        <w:rPr>
          <w:b/>
          <w:szCs w:val="21"/>
        </w:rPr>
        <w:t>（一）学习目标</w:t>
      </w:r>
    </w:p>
    <w:p w14:paraId="46EA3DDD"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静力学原理在材料力学中的可用性和限制性</w:t>
      </w:r>
    </w:p>
    <w:p w14:paraId="23542180"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材料的三种基本假定及杆件受力与变形的基本形式</w:t>
      </w:r>
    </w:p>
    <w:p w14:paraId="6D95F9A6"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杆件的应力分析方法</w:t>
      </w:r>
    </w:p>
    <w:p w14:paraId="2D974074" w14:textId="77777777" w:rsidR="00F5289E" w:rsidRDefault="00C91173">
      <w:pPr>
        <w:snapToGrid w:val="0"/>
        <w:spacing w:line="360" w:lineRule="auto"/>
        <w:rPr>
          <w:szCs w:val="21"/>
        </w:rPr>
      </w:pPr>
      <w:r>
        <w:rPr>
          <w:b/>
          <w:szCs w:val="21"/>
        </w:rPr>
        <w:t>（二）考核内容</w:t>
      </w:r>
    </w:p>
    <w:p w14:paraId="1E907264" w14:textId="77777777" w:rsidR="00F5289E" w:rsidRDefault="00C91173">
      <w:pPr>
        <w:snapToGrid w:val="0"/>
        <w:spacing w:line="360" w:lineRule="auto"/>
        <w:ind w:firstLineChars="200" w:firstLine="420"/>
        <w:rPr>
          <w:bCs/>
          <w:szCs w:val="21"/>
        </w:rPr>
      </w:pPr>
      <w:r>
        <w:rPr>
          <w:bCs/>
          <w:szCs w:val="21"/>
        </w:rPr>
        <w:t>弹性杆件的内力和外力；弹性体的受力和变形特点；杆件横截面上的应力；正应力和正应变；杆件变形的基本形式</w:t>
      </w:r>
    </w:p>
    <w:p w14:paraId="26812E69" w14:textId="77777777" w:rsidR="00F5289E" w:rsidRDefault="00C91173">
      <w:pPr>
        <w:snapToGrid w:val="0"/>
        <w:spacing w:line="360" w:lineRule="auto"/>
        <w:rPr>
          <w:b/>
          <w:szCs w:val="21"/>
        </w:rPr>
      </w:pPr>
      <w:r>
        <w:rPr>
          <w:b/>
          <w:szCs w:val="21"/>
        </w:rPr>
        <w:t>（三）考核要求</w:t>
      </w:r>
    </w:p>
    <w:p w14:paraId="44DE41F1" w14:textId="77777777" w:rsidR="00F5289E" w:rsidRDefault="00C91173">
      <w:pPr>
        <w:snapToGrid w:val="0"/>
        <w:spacing w:line="360" w:lineRule="auto"/>
        <w:ind w:firstLineChars="200" w:firstLine="422"/>
        <w:rPr>
          <w:b/>
          <w:szCs w:val="21"/>
        </w:rPr>
      </w:pPr>
      <w:r>
        <w:rPr>
          <w:b/>
          <w:szCs w:val="21"/>
        </w:rPr>
        <w:lastRenderedPageBreak/>
        <w:t xml:space="preserve">1. </w:t>
      </w:r>
      <w:r>
        <w:rPr>
          <w:b/>
          <w:szCs w:val="21"/>
        </w:rPr>
        <w:t>识记</w:t>
      </w:r>
      <w:r>
        <w:rPr>
          <w:szCs w:val="21"/>
        </w:rPr>
        <w:t>：</w:t>
      </w:r>
      <w:r>
        <w:rPr>
          <w:bCs/>
          <w:szCs w:val="21"/>
        </w:rPr>
        <w:t>内力、外力、</w:t>
      </w:r>
      <w:r>
        <w:rPr>
          <w:bCs/>
        </w:rPr>
        <w:t>正应力和切应力</w:t>
      </w:r>
      <w:r>
        <w:rPr>
          <w:bCs/>
          <w:szCs w:val="21"/>
        </w:rPr>
        <w:t>的概念</w:t>
      </w:r>
    </w:p>
    <w:p w14:paraId="1D94A58D"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bCs/>
          <w:szCs w:val="21"/>
        </w:rPr>
        <w:t>材料的基本假定</w:t>
      </w:r>
    </w:p>
    <w:p w14:paraId="6A9FD462" w14:textId="77777777" w:rsidR="00F5289E" w:rsidRDefault="00C91173">
      <w:pPr>
        <w:snapToGrid w:val="0"/>
        <w:spacing w:line="360" w:lineRule="auto"/>
        <w:ind w:firstLineChars="200" w:firstLine="422"/>
        <w:rPr>
          <w:b/>
          <w:szCs w:val="21"/>
        </w:rPr>
      </w:pPr>
      <w:r>
        <w:rPr>
          <w:b/>
          <w:szCs w:val="21"/>
        </w:rPr>
        <w:t xml:space="preserve">3. </w:t>
      </w:r>
      <w:r>
        <w:rPr>
          <w:b/>
          <w:szCs w:val="21"/>
        </w:rPr>
        <w:t>分析：</w:t>
      </w:r>
      <w:r>
        <w:rPr>
          <w:bCs/>
          <w:szCs w:val="21"/>
        </w:rPr>
        <w:t>弹性体的受力和变形特点</w:t>
      </w:r>
    </w:p>
    <w:p w14:paraId="10A39C5B" w14:textId="77777777" w:rsidR="00F5289E" w:rsidRDefault="00C91173">
      <w:pPr>
        <w:snapToGrid w:val="0"/>
        <w:spacing w:line="360" w:lineRule="auto"/>
        <w:ind w:firstLineChars="200" w:firstLine="422"/>
        <w:rPr>
          <w:szCs w:val="21"/>
        </w:rPr>
      </w:pPr>
      <w:r>
        <w:rPr>
          <w:b/>
          <w:szCs w:val="21"/>
        </w:rPr>
        <w:t xml:space="preserve">4. </w:t>
      </w:r>
      <w:r>
        <w:rPr>
          <w:b/>
          <w:szCs w:val="21"/>
        </w:rPr>
        <w:t>综合</w:t>
      </w:r>
      <w:r>
        <w:rPr>
          <w:szCs w:val="21"/>
        </w:rPr>
        <w:t>：</w:t>
      </w:r>
      <w:r>
        <w:rPr>
          <w:bCs/>
          <w:szCs w:val="21"/>
        </w:rPr>
        <w:t>应力和应变的关系</w:t>
      </w:r>
    </w:p>
    <w:p w14:paraId="6FB1FFFC" w14:textId="77777777" w:rsidR="00F5289E" w:rsidRDefault="00C91173">
      <w:pPr>
        <w:snapToGrid w:val="0"/>
        <w:spacing w:line="360" w:lineRule="auto"/>
        <w:jc w:val="center"/>
        <w:rPr>
          <w:b/>
          <w:szCs w:val="21"/>
        </w:rPr>
      </w:pPr>
      <w:r>
        <w:rPr>
          <w:b/>
          <w:szCs w:val="21"/>
        </w:rPr>
        <w:t>第五章</w:t>
      </w:r>
      <w:r>
        <w:rPr>
          <w:b/>
          <w:szCs w:val="21"/>
        </w:rPr>
        <w:t xml:space="preserve">  </w:t>
      </w:r>
      <w:r>
        <w:rPr>
          <w:b/>
          <w:szCs w:val="21"/>
        </w:rPr>
        <w:t>杆件的内力图</w:t>
      </w:r>
    </w:p>
    <w:p w14:paraId="1AB657D7" w14:textId="77777777" w:rsidR="00F5289E" w:rsidRDefault="00C91173">
      <w:pPr>
        <w:snapToGrid w:val="0"/>
        <w:spacing w:line="360" w:lineRule="auto"/>
        <w:rPr>
          <w:b/>
          <w:szCs w:val="21"/>
        </w:rPr>
      </w:pPr>
      <w:r>
        <w:rPr>
          <w:b/>
          <w:szCs w:val="21"/>
        </w:rPr>
        <w:t>（一）学习目标</w:t>
      </w:r>
    </w:p>
    <w:p w14:paraId="60549F28"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剪力、弯矩与载荷集度之间的微分关系</w:t>
      </w:r>
    </w:p>
    <w:p w14:paraId="296AA962"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杆件截面内力的确定</w:t>
      </w:r>
    </w:p>
    <w:p w14:paraId="7BF0E4FF"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轴力图、扭矩图、剪力图、弯矩图的分析与绘制方法</w:t>
      </w:r>
    </w:p>
    <w:p w14:paraId="638E0704" w14:textId="77777777" w:rsidR="00F5289E" w:rsidRDefault="00C91173">
      <w:pPr>
        <w:snapToGrid w:val="0"/>
        <w:spacing w:line="360" w:lineRule="auto"/>
        <w:rPr>
          <w:szCs w:val="21"/>
        </w:rPr>
      </w:pPr>
      <w:r>
        <w:rPr>
          <w:b/>
          <w:szCs w:val="21"/>
        </w:rPr>
        <w:t>（二）考核内容</w:t>
      </w:r>
    </w:p>
    <w:p w14:paraId="5AB0125F" w14:textId="77777777" w:rsidR="00F5289E" w:rsidRDefault="00C91173">
      <w:pPr>
        <w:snapToGrid w:val="0"/>
        <w:spacing w:line="360" w:lineRule="auto"/>
        <w:ind w:firstLineChars="200" w:firstLine="420"/>
        <w:rPr>
          <w:bCs/>
          <w:szCs w:val="21"/>
        </w:rPr>
      </w:pPr>
      <w:r>
        <w:rPr>
          <w:bCs/>
          <w:szCs w:val="21"/>
        </w:rPr>
        <w:t>内力分量的正负号规则；轴力图、扭矩图、剪力图与弯矩图</w:t>
      </w:r>
    </w:p>
    <w:p w14:paraId="2FBDB243" w14:textId="77777777" w:rsidR="00F5289E" w:rsidRDefault="00C91173">
      <w:pPr>
        <w:snapToGrid w:val="0"/>
        <w:spacing w:line="360" w:lineRule="auto"/>
        <w:rPr>
          <w:b/>
          <w:szCs w:val="21"/>
        </w:rPr>
      </w:pPr>
      <w:r>
        <w:rPr>
          <w:b/>
          <w:szCs w:val="21"/>
        </w:rPr>
        <w:t>（三）考核要求</w:t>
      </w:r>
    </w:p>
    <w:p w14:paraId="1B6C6F76"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轴力与轴力图、剪力方程、弯矩方程、剪力图</w:t>
      </w:r>
    </w:p>
    <w:p w14:paraId="29FCC168"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bCs/>
          <w:szCs w:val="21"/>
        </w:rPr>
        <w:t>拉压杆的应力与变形</w:t>
      </w:r>
    </w:p>
    <w:p w14:paraId="60948DD1"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bCs/>
          <w:szCs w:val="21"/>
        </w:rPr>
        <w:t>杆件截面内力的确定</w:t>
      </w:r>
    </w:p>
    <w:p w14:paraId="3E117F5D" w14:textId="77777777" w:rsidR="00F5289E" w:rsidRDefault="00C91173">
      <w:pPr>
        <w:snapToGrid w:val="0"/>
        <w:spacing w:line="360" w:lineRule="auto"/>
        <w:ind w:firstLineChars="200" w:firstLine="422"/>
        <w:rPr>
          <w:szCs w:val="21"/>
        </w:rPr>
      </w:pPr>
      <w:r>
        <w:rPr>
          <w:b/>
          <w:szCs w:val="21"/>
        </w:rPr>
        <w:t xml:space="preserve">4. </w:t>
      </w:r>
      <w:r>
        <w:rPr>
          <w:b/>
          <w:szCs w:val="21"/>
        </w:rPr>
        <w:t>综合</w:t>
      </w:r>
      <w:r>
        <w:rPr>
          <w:szCs w:val="21"/>
        </w:rPr>
        <w:t>：</w:t>
      </w:r>
      <w:r>
        <w:rPr>
          <w:bCs/>
          <w:szCs w:val="21"/>
        </w:rPr>
        <w:t>轴力图、扭矩图、剪力图、弯矩图的分析与绘制方法</w:t>
      </w:r>
    </w:p>
    <w:p w14:paraId="404FF6F7" w14:textId="77777777" w:rsidR="00F5289E" w:rsidRDefault="00C91173">
      <w:pPr>
        <w:snapToGrid w:val="0"/>
        <w:spacing w:line="360" w:lineRule="auto"/>
        <w:jc w:val="center"/>
        <w:rPr>
          <w:b/>
          <w:szCs w:val="21"/>
        </w:rPr>
      </w:pPr>
      <w:r>
        <w:rPr>
          <w:b/>
          <w:szCs w:val="21"/>
        </w:rPr>
        <w:t>第六章</w:t>
      </w:r>
      <w:r>
        <w:rPr>
          <w:b/>
          <w:szCs w:val="21"/>
        </w:rPr>
        <w:t xml:space="preserve">  </w:t>
      </w:r>
      <w:r>
        <w:rPr>
          <w:b/>
          <w:szCs w:val="21"/>
        </w:rPr>
        <w:t>拉压杆件的应力变形分析与强度设计</w:t>
      </w:r>
    </w:p>
    <w:p w14:paraId="56C235F3" w14:textId="77777777" w:rsidR="00F5289E" w:rsidRDefault="00C91173">
      <w:pPr>
        <w:snapToGrid w:val="0"/>
        <w:spacing w:line="360" w:lineRule="auto"/>
        <w:rPr>
          <w:b/>
          <w:szCs w:val="21"/>
        </w:rPr>
      </w:pPr>
      <w:r>
        <w:rPr>
          <w:b/>
          <w:szCs w:val="21"/>
        </w:rPr>
        <w:t>（一）学习目标</w:t>
      </w:r>
    </w:p>
    <w:p w14:paraId="739C8B68"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拉压杆件的超静定问题</w:t>
      </w:r>
    </w:p>
    <w:p w14:paraId="579D16B5"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拉伸和压缩时材料的力学性能</w:t>
      </w:r>
    </w:p>
    <w:p w14:paraId="407CF665"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拉压杆件的强度设计方法</w:t>
      </w:r>
    </w:p>
    <w:p w14:paraId="150555F6" w14:textId="77777777" w:rsidR="00F5289E" w:rsidRDefault="00C91173">
      <w:pPr>
        <w:snapToGrid w:val="0"/>
        <w:spacing w:line="360" w:lineRule="auto"/>
        <w:rPr>
          <w:szCs w:val="21"/>
        </w:rPr>
      </w:pPr>
      <w:r>
        <w:rPr>
          <w:b/>
          <w:szCs w:val="21"/>
        </w:rPr>
        <w:t>（二）考核内容</w:t>
      </w:r>
    </w:p>
    <w:p w14:paraId="08BF8CF8" w14:textId="77777777" w:rsidR="00F5289E" w:rsidRDefault="00C91173">
      <w:pPr>
        <w:snapToGrid w:val="0"/>
        <w:spacing w:line="360" w:lineRule="auto"/>
        <w:ind w:firstLineChars="200" w:firstLine="420"/>
        <w:rPr>
          <w:bCs/>
          <w:szCs w:val="21"/>
        </w:rPr>
      </w:pPr>
      <w:r>
        <w:rPr>
          <w:bCs/>
          <w:szCs w:val="21"/>
        </w:rPr>
        <w:t>拉伸与压缩杆件的强度设计；拉伸与压缩时材料的力学性能</w:t>
      </w:r>
    </w:p>
    <w:p w14:paraId="378FCE53" w14:textId="77777777" w:rsidR="00F5289E" w:rsidRDefault="00C91173">
      <w:pPr>
        <w:snapToGrid w:val="0"/>
        <w:spacing w:line="360" w:lineRule="auto"/>
        <w:rPr>
          <w:b/>
          <w:szCs w:val="21"/>
        </w:rPr>
      </w:pPr>
      <w:r>
        <w:rPr>
          <w:b/>
          <w:szCs w:val="21"/>
        </w:rPr>
        <w:t>（三）考核要求</w:t>
      </w:r>
    </w:p>
    <w:p w14:paraId="22EB23E4"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胡克定律、泊松比、比例极限、屈服应力等</w:t>
      </w:r>
    </w:p>
    <w:p w14:paraId="31CC9E39"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bCs/>
          <w:szCs w:val="21"/>
        </w:rPr>
        <w:t>拉压杆的应力与变形</w:t>
      </w:r>
    </w:p>
    <w:p w14:paraId="11DEB39F"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bCs/>
          <w:szCs w:val="21"/>
        </w:rPr>
        <w:t>拉压杆的强度的计算方法</w:t>
      </w:r>
    </w:p>
    <w:p w14:paraId="279D961B" w14:textId="77777777" w:rsidR="00F5289E" w:rsidRDefault="00C91173">
      <w:pPr>
        <w:snapToGrid w:val="0"/>
        <w:spacing w:line="360" w:lineRule="auto"/>
        <w:ind w:firstLineChars="200" w:firstLine="422"/>
        <w:rPr>
          <w:szCs w:val="21"/>
        </w:rPr>
      </w:pPr>
      <w:r>
        <w:rPr>
          <w:b/>
          <w:szCs w:val="21"/>
        </w:rPr>
        <w:t xml:space="preserve">4. </w:t>
      </w:r>
      <w:r>
        <w:rPr>
          <w:b/>
          <w:szCs w:val="21"/>
        </w:rPr>
        <w:t>综合</w:t>
      </w:r>
      <w:r>
        <w:rPr>
          <w:szCs w:val="21"/>
        </w:rPr>
        <w:t>：韧性材料和脆性</w:t>
      </w:r>
      <w:r>
        <w:rPr>
          <w:bCs/>
          <w:szCs w:val="21"/>
        </w:rPr>
        <w:t>材料的力学性能分析</w:t>
      </w:r>
    </w:p>
    <w:p w14:paraId="63945E40" w14:textId="77777777" w:rsidR="00F5289E" w:rsidRDefault="00C91173">
      <w:pPr>
        <w:snapToGrid w:val="0"/>
        <w:spacing w:line="360" w:lineRule="auto"/>
        <w:jc w:val="center"/>
        <w:rPr>
          <w:b/>
          <w:szCs w:val="21"/>
        </w:rPr>
      </w:pPr>
      <w:r>
        <w:rPr>
          <w:b/>
          <w:szCs w:val="21"/>
        </w:rPr>
        <w:t>第七章</w:t>
      </w:r>
      <w:r>
        <w:rPr>
          <w:b/>
          <w:szCs w:val="21"/>
        </w:rPr>
        <w:t xml:space="preserve">  </w:t>
      </w:r>
      <w:r>
        <w:rPr>
          <w:b/>
          <w:szCs w:val="21"/>
        </w:rPr>
        <w:t>梁的强度问题</w:t>
      </w:r>
    </w:p>
    <w:p w14:paraId="4DF0B24A" w14:textId="77777777" w:rsidR="00F5289E" w:rsidRDefault="00C91173">
      <w:pPr>
        <w:snapToGrid w:val="0"/>
        <w:spacing w:line="360" w:lineRule="auto"/>
        <w:rPr>
          <w:b/>
          <w:szCs w:val="21"/>
        </w:rPr>
      </w:pPr>
      <w:r>
        <w:rPr>
          <w:b/>
          <w:szCs w:val="21"/>
        </w:rPr>
        <w:t>（一）学习目标</w:t>
      </w:r>
    </w:p>
    <w:p w14:paraId="25F49015"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斜弯曲</w:t>
      </w:r>
    </w:p>
    <w:p w14:paraId="32484F3F"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与应力分析相关的截面图形的几何性质</w:t>
      </w:r>
    </w:p>
    <w:p w14:paraId="1B14E0A8"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平面弯曲时梁横截面上正应力分析方法及梁的强度计算方法</w:t>
      </w:r>
    </w:p>
    <w:p w14:paraId="0AFB4C6D" w14:textId="77777777" w:rsidR="00F5289E" w:rsidRDefault="00C91173">
      <w:pPr>
        <w:snapToGrid w:val="0"/>
        <w:spacing w:line="360" w:lineRule="auto"/>
        <w:rPr>
          <w:szCs w:val="21"/>
        </w:rPr>
      </w:pPr>
      <w:r>
        <w:rPr>
          <w:b/>
          <w:szCs w:val="21"/>
        </w:rPr>
        <w:lastRenderedPageBreak/>
        <w:t>（二）考核内容</w:t>
      </w:r>
    </w:p>
    <w:p w14:paraId="65AF9855" w14:textId="77777777" w:rsidR="00F5289E" w:rsidRDefault="00C91173">
      <w:pPr>
        <w:snapToGrid w:val="0"/>
        <w:spacing w:line="360" w:lineRule="auto"/>
        <w:ind w:firstLineChars="200" w:firstLine="420"/>
        <w:rPr>
          <w:bCs/>
          <w:szCs w:val="21"/>
        </w:rPr>
      </w:pPr>
      <w:r>
        <w:rPr>
          <w:bCs/>
          <w:szCs w:val="21"/>
        </w:rPr>
        <w:t>平面弯曲时梁横截面上的正应力；梁的强度计算。</w:t>
      </w:r>
    </w:p>
    <w:p w14:paraId="1C73F190" w14:textId="77777777" w:rsidR="00F5289E" w:rsidRDefault="00C91173">
      <w:pPr>
        <w:snapToGrid w:val="0"/>
        <w:spacing w:line="360" w:lineRule="auto"/>
        <w:rPr>
          <w:b/>
          <w:szCs w:val="21"/>
        </w:rPr>
      </w:pPr>
      <w:r>
        <w:rPr>
          <w:b/>
          <w:szCs w:val="21"/>
        </w:rPr>
        <w:t>（三）考核要求</w:t>
      </w:r>
    </w:p>
    <w:p w14:paraId="2706DE62"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惯性矩与惯性积的移轴定理和转轴定理</w:t>
      </w:r>
    </w:p>
    <w:p w14:paraId="4D8E0A80"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bCs/>
          <w:szCs w:val="21"/>
        </w:rPr>
        <w:t>静矩、形心及其相互关系</w:t>
      </w:r>
    </w:p>
    <w:p w14:paraId="5D35B37B" w14:textId="77777777" w:rsidR="00F5289E" w:rsidRDefault="00C91173">
      <w:pPr>
        <w:snapToGrid w:val="0"/>
        <w:spacing w:line="360" w:lineRule="auto"/>
        <w:ind w:firstLineChars="200" w:firstLine="422"/>
        <w:rPr>
          <w:b/>
          <w:szCs w:val="21"/>
        </w:rPr>
      </w:pPr>
      <w:r>
        <w:rPr>
          <w:b/>
          <w:szCs w:val="21"/>
        </w:rPr>
        <w:t xml:space="preserve">3 </w:t>
      </w:r>
      <w:r>
        <w:rPr>
          <w:b/>
          <w:szCs w:val="21"/>
        </w:rPr>
        <w:t>分析：平面曲时梁横截面上正应力分析</w:t>
      </w:r>
    </w:p>
    <w:p w14:paraId="70334D7F" w14:textId="77777777" w:rsidR="00F5289E" w:rsidRDefault="00C91173">
      <w:pPr>
        <w:snapToGrid w:val="0"/>
        <w:spacing w:line="360" w:lineRule="auto"/>
        <w:ind w:firstLineChars="200" w:firstLine="422"/>
        <w:rPr>
          <w:szCs w:val="21"/>
        </w:rPr>
      </w:pPr>
      <w:r>
        <w:rPr>
          <w:b/>
          <w:szCs w:val="21"/>
        </w:rPr>
        <w:t xml:space="preserve">4. </w:t>
      </w:r>
      <w:r>
        <w:rPr>
          <w:b/>
          <w:szCs w:val="21"/>
        </w:rPr>
        <w:t>综合</w:t>
      </w:r>
      <w:r>
        <w:rPr>
          <w:szCs w:val="21"/>
        </w:rPr>
        <w:t>：</w:t>
      </w:r>
      <w:r>
        <w:rPr>
          <w:bCs/>
          <w:szCs w:val="21"/>
        </w:rPr>
        <w:t>梁的强度计算</w:t>
      </w:r>
    </w:p>
    <w:p w14:paraId="7B30FCD7" w14:textId="77777777" w:rsidR="00F5289E" w:rsidRDefault="00C91173">
      <w:pPr>
        <w:snapToGrid w:val="0"/>
        <w:spacing w:line="360" w:lineRule="auto"/>
        <w:jc w:val="center"/>
        <w:rPr>
          <w:b/>
          <w:szCs w:val="21"/>
        </w:rPr>
      </w:pPr>
      <w:r>
        <w:rPr>
          <w:b/>
          <w:szCs w:val="21"/>
        </w:rPr>
        <w:t>第八章</w:t>
      </w:r>
      <w:r>
        <w:rPr>
          <w:b/>
          <w:szCs w:val="21"/>
        </w:rPr>
        <w:t xml:space="preserve">  </w:t>
      </w:r>
      <w:r>
        <w:rPr>
          <w:b/>
          <w:szCs w:val="21"/>
        </w:rPr>
        <w:t>梁的位移分析与刚度设计</w:t>
      </w:r>
    </w:p>
    <w:p w14:paraId="2160C01D" w14:textId="77777777" w:rsidR="00F5289E" w:rsidRDefault="00C91173">
      <w:pPr>
        <w:snapToGrid w:val="0"/>
        <w:spacing w:line="360" w:lineRule="auto"/>
        <w:rPr>
          <w:b/>
          <w:szCs w:val="21"/>
        </w:rPr>
      </w:pPr>
      <w:r>
        <w:rPr>
          <w:b/>
          <w:szCs w:val="21"/>
        </w:rPr>
        <w:t>（一）学习目标</w:t>
      </w:r>
    </w:p>
    <w:p w14:paraId="17B6E3B1"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求解超静定问题的方法</w:t>
      </w:r>
    </w:p>
    <w:p w14:paraId="5E49B7E5"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挠度、转角、挠度曲线</w:t>
      </w:r>
    </w:p>
    <w:p w14:paraId="4D20A7AE"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小挠度微分方程、叠加法及其在刚度设计中的应用</w:t>
      </w:r>
    </w:p>
    <w:p w14:paraId="78CD8FBB" w14:textId="77777777" w:rsidR="00F5289E" w:rsidRDefault="00C91173">
      <w:pPr>
        <w:snapToGrid w:val="0"/>
        <w:spacing w:line="360" w:lineRule="auto"/>
        <w:rPr>
          <w:szCs w:val="21"/>
        </w:rPr>
      </w:pPr>
      <w:r>
        <w:rPr>
          <w:b/>
          <w:szCs w:val="21"/>
        </w:rPr>
        <w:t>（二）考核内容</w:t>
      </w:r>
    </w:p>
    <w:p w14:paraId="010FEAC1" w14:textId="77777777" w:rsidR="00F5289E" w:rsidRDefault="00C91173">
      <w:pPr>
        <w:snapToGrid w:val="0"/>
        <w:spacing w:line="360" w:lineRule="auto"/>
        <w:ind w:firstLineChars="200" w:firstLine="420"/>
        <w:rPr>
          <w:bCs/>
          <w:szCs w:val="21"/>
        </w:rPr>
      </w:pPr>
      <w:r>
        <w:rPr>
          <w:bCs/>
          <w:szCs w:val="21"/>
        </w:rPr>
        <w:t>小挠度微分方程及其积分；工程中的叠加法；简单的超静定梁；梁的刚度设计。</w:t>
      </w:r>
    </w:p>
    <w:p w14:paraId="5AAD9E4A" w14:textId="77777777" w:rsidR="00F5289E" w:rsidRDefault="00C91173">
      <w:pPr>
        <w:snapToGrid w:val="0"/>
        <w:spacing w:line="360" w:lineRule="auto"/>
        <w:rPr>
          <w:b/>
          <w:szCs w:val="21"/>
        </w:rPr>
      </w:pPr>
      <w:r>
        <w:rPr>
          <w:b/>
          <w:szCs w:val="21"/>
        </w:rPr>
        <w:t>（三）考核要求</w:t>
      </w:r>
    </w:p>
    <w:p w14:paraId="519E7538"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
          <w:szCs w:val="21"/>
        </w:rPr>
        <w:t xml:space="preserve"> </w:t>
      </w:r>
      <w:r>
        <w:rPr>
          <w:bCs/>
          <w:szCs w:val="21"/>
        </w:rPr>
        <w:t>挠度、转角和挠度曲线</w:t>
      </w:r>
    </w:p>
    <w:p w14:paraId="4703BFB5" w14:textId="77777777" w:rsidR="00F5289E" w:rsidRDefault="00C91173">
      <w:pPr>
        <w:snapToGrid w:val="0"/>
        <w:spacing w:line="360" w:lineRule="auto"/>
        <w:ind w:firstLineChars="200" w:firstLine="422"/>
        <w:rPr>
          <w:szCs w:val="21"/>
        </w:rPr>
      </w:pPr>
      <w:r>
        <w:rPr>
          <w:b/>
          <w:szCs w:val="21"/>
        </w:rPr>
        <w:t xml:space="preserve">2. </w:t>
      </w:r>
      <w:r>
        <w:rPr>
          <w:b/>
          <w:szCs w:val="21"/>
        </w:rPr>
        <w:t>领会</w:t>
      </w:r>
      <w:r>
        <w:rPr>
          <w:szCs w:val="21"/>
        </w:rPr>
        <w:t>：</w:t>
      </w:r>
      <w:r>
        <w:rPr>
          <w:szCs w:val="21"/>
        </w:rPr>
        <w:t xml:space="preserve"> </w:t>
      </w:r>
      <w:r>
        <w:rPr>
          <w:szCs w:val="21"/>
        </w:rPr>
        <w:t>梁的位移与约束、梁位移分析的工程意义</w:t>
      </w:r>
    </w:p>
    <w:p w14:paraId="75DE5ED6"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bCs/>
          <w:szCs w:val="21"/>
        </w:rPr>
        <w:t>小挠度曲线微分方程的应用、叠加法应用于间断性分布载荷作用的情形</w:t>
      </w:r>
    </w:p>
    <w:p w14:paraId="6EE94102" w14:textId="77777777" w:rsidR="00F5289E" w:rsidRDefault="00C91173">
      <w:pPr>
        <w:snapToGrid w:val="0"/>
        <w:spacing w:line="360" w:lineRule="auto"/>
        <w:ind w:firstLineChars="200" w:firstLine="422"/>
        <w:rPr>
          <w:szCs w:val="21"/>
        </w:rPr>
      </w:pPr>
      <w:r>
        <w:rPr>
          <w:b/>
          <w:szCs w:val="21"/>
        </w:rPr>
        <w:t xml:space="preserve">4. </w:t>
      </w:r>
      <w:r>
        <w:rPr>
          <w:b/>
          <w:szCs w:val="21"/>
        </w:rPr>
        <w:t>综合</w:t>
      </w:r>
      <w:r>
        <w:rPr>
          <w:szCs w:val="21"/>
        </w:rPr>
        <w:t>：</w:t>
      </w:r>
      <w:r>
        <w:rPr>
          <w:bCs/>
          <w:szCs w:val="21"/>
        </w:rPr>
        <w:t>梁的刚度设计</w:t>
      </w:r>
    </w:p>
    <w:p w14:paraId="056FE0F1" w14:textId="77777777" w:rsidR="00F5289E" w:rsidRDefault="00C91173">
      <w:pPr>
        <w:snapToGrid w:val="0"/>
        <w:spacing w:line="360" w:lineRule="auto"/>
        <w:jc w:val="center"/>
        <w:rPr>
          <w:b/>
          <w:szCs w:val="21"/>
        </w:rPr>
      </w:pPr>
      <w:r>
        <w:rPr>
          <w:b/>
          <w:szCs w:val="21"/>
        </w:rPr>
        <w:t>第</w:t>
      </w:r>
      <w:r>
        <w:rPr>
          <w:b/>
          <w:bCs/>
          <w:kern w:val="0"/>
          <w:szCs w:val="21"/>
        </w:rPr>
        <w:t>九</w:t>
      </w:r>
      <w:r>
        <w:rPr>
          <w:b/>
          <w:szCs w:val="21"/>
        </w:rPr>
        <w:t>章</w:t>
      </w:r>
      <w:r>
        <w:rPr>
          <w:b/>
          <w:szCs w:val="21"/>
        </w:rPr>
        <w:t xml:space="preserve">  </w:t>
      </w:r>
      <w:r>
        <w:rPr>
          <w:b/>
          <w:szCs w:val="21"/>
        </w:rPr>
        <w:t>圆轴扭转时的应力变形分析与强度刚度设计</w:t>
      </w:r>
    </w:p>
    <w:p w14:paraId="301530BA" w14:textId="77777777" w:rsidR="00F5289E" w:rsidRDefault="00C91173">
      <w:pPr>
        <w:snapToGrid w:val="0"/>
        <w:spacing w:line="360" w:lineRule="auto"/>
        <w:rPr>
          <w:b/>
          <w:szCs w:val="21"/>
        </w:rPr>
      </w:pPr>
      <w:r>
        <w:rPr>
          <w:b/>
          <w:szCs w:val="21"/>
        </w:rPr>
        <w:t>（一）学习目标</w:t>
      </w:r>
    </w:p>
    <w:p w14:paraId="37FB2BBC"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sz w:val="24"/>
        </w:rPr>
        <w:t>矩形截面杆扭转时的切应力分析</w:t>
      </w:r>
    </w:p>
    <w:p w14:paraId="39C98ECF"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切应力互等定理</w:t>
      </w:r>
    </w:p>
    <w:p w14:paraId="047867EE"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圆轴扭转时切应力分析的方法及强度与刚度设计准则</w:t>
      </w:r>
    </w:p>
    <w:p w14:paraId="1A37C8F0" w14:textId="77777777" w:rsidR="00F5289E" w:rsidRDefault="00C91173">
      <w:pPr>
        <w:snapToGrid w:val="0"/>
        <w:spacing w:line="360" w:lineRule="auto"/>
        <w:rPr>
          <w:szCs w:val="21"/>
        </w:rPr>
      </w:pPr>
      <w:r>
        <w:rPr>
          <w:b/>
          <w:szCs w:val="21"/>
        </w:rPr>
        <w:t>（二）考核内容</w:t>
      </w:r>
    </w:p>
    <w:p w14:paraId="692470DB" w14:textId="77777777" w:rsidR="00F5289E" w:rsidRDefault="00C91173">
      <w:pPr>
        <w:snapToGrid w:val="0"/>
        <w:spacing w:line="360" w:lineRule="auto"/>
        <w:ind w:firstLineChars="200" w:firstLine="420"/>
        <w:rPr>
          <w:bCs/>
          <w:szCs w:val="21"/>
        </w:rPr>
      </w:pPr>
      <w:r>
        <w:rPr>
          <w:bCs/>
          <w:szCs w:val="21"/>
        </w:rPr>
        <w:t>切应力互等定理；圆轴扭转时的切应力分析；承受扭转时圆轴的强度设计与刚度设计。</w:t>
      </w:r>
    </w:p>
    <w:p w14:paraId="360A8150" w14:textId="77777777" w:rsidR="00F5289E" w:rsidRDefault="00C91173">
      <w:pPr>
        <w:snapToGrid w:val="0"/>
        <w:spacing w:line="360" w:lineRule="auto"/>
        <w:rPr>
          <w:b/>
          <w:szCs w:val="21"/>
        </w:rPr>
      </w:pPr>
      <w:r>
        <w:rPr>
          <w:b/>
          <w:szCs w:val="21"/>
        </w:rPr>
        <w:t>（三）考核要求</w:t>
      </w:r>
    </w:p>
    <w:p w14:paraId="4C0FA84A"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bCs/>
          <w:szCs w:val="21"/>
        </w:rPr>
        <w:t>切应力互等定理、</w:t>
      </w:r>
      <w:r>
        <w:t>圆轴扭转变形的概念</w:t>
      </w:r>
    </w:p>
    <w:p w14:paraId="0FB7EAA3" w14:textId="77777777" w:rsidR="00F5289E" w:rsidRDefault="00C91173">
      <w:pPr>
        <w:snapToGrid w:val="0"/>
        <w:spacing w:line="360" w:lineRule="auto"/>
        <w:ind w:firstLineChars="200" w:firstLine="422"/>
        <w:rPr>
          <w:szCs w:val="21"/>
        </w:rPr>
      </w:pPr>
      <w:r>
        <w:rPr>
          <w:b/>
          <w:szCs w:val="21"/>
        </w:rPr>
        <w:t xml:space="preserve">2. </w:t>
      </w:r>
      <w:r>
        <w:rPr>
          <w:b/>
          <w:szCs w:val="21"/>
        </w:rPr>
        <w:t>应用</w:t>
      </w:r>
      <w:r>
        <w:rPr>
          <w:szCs w:val="21"/>
        </w:rPr>
        <w:t>：</w:t>
      </w:r>
      <w:r>
        <w:rPr>
          <w:bCs/>
          <w:szCs w:val="21"/>
        </w:rPr>
        <w:t>切应力的计算</w:t>
      </w:r>
    </w:p>
    <w:p w14:paraId="1DB13B32" w14:textId="77777777" w:rsidR="00F5289E" w:rsidRDefault="00C91173">
      <w:pPr>
        <w:snapToGrid w:val="0"/>
        <w:spacing w:line="360" w:lineRule="auto"/>
        <w:ind w:firstLineChars="200" w:firstLine="422"/>
        <w:rPr>
          <w:szCs w:val="21"/>
        </w:rPr>
      </w:pPr>
      <w:r>
        <w:rPr>
          <w:b/>
          <w:szCs w:val="21"/>
        </w:rPr>
        <w:t xml:space="preserve">3. </w:t>
      </w:r>
      <w:r>
        <w:rPr>
          <w:b/>
          <w:szCs w:val="21"/>
        </w:rPr>
        <w:t>综合</w:t>
      </w:r>
      <w:r>
        <w:rPr>
          <w:szCs w:val="21"/>
        </w:rPr>
        <w:t>：</w:t>
      </w:r>
      <w:r>
        <w:rPr>
          <w:bCs/>
          <w:szCs w:val="21"/>
        </w:rPr>
        <w:t>切应力互等定理、圆轴扭转时的强度与刚度计算</w:t>
      </w:r>
    </w:p>
    <w:p w14:paraId="3338A7AF" w14:textId="77777777" w:rsidR="00F5289E" w:rsidRDefault="00C91173">
      <w:pPr>
        <w:pStyle w:val="a9"/>
        <w:spacing w:line="360" w:lineRule="auto"/>
        <w:rPr>
          <w:b/>
          <w:bCs/>
        </w:rPr>
      </w:pPr>
      <w:r>
        <w:rPr>
          <w:b/>
          <w:bCs/>
        </w:rPr>
        <w:t>三、实验、实习教学部分的考核要求</w:t>
      </w:r>
    </w:p>
    <w:p w14:paraId="1F85B918"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1.</w:t>
      </w:r>
      <w:r>
        <w:t xml:space="preserve"> </w:t>
      </w:r>
      <w:r>
        <w:rPr>
          <w:bCs/>
          <w:szCs w:val="21"/>
        </w:rPr>
        <w:t>学习并掌握工程力学计算机软件的使用方法</w:t>
      </w:r>
    </w:p>
    <w:p w14:paraId="681AA35C" w14:textId="77777777" w:rsidR="00F5289E" w:rsidRDefault="00C91173">
      <w:pPr>
        <w:widowControl/>
        <w:adjustRightInd w:val="0"/>
        <w:snapToGrid w:val="0"/>
        <w:spacing w:line="360" w:lineRule="auto"/>
        <w:ind w:firstLineChars="200" w:firstLine="420"/>
        <w:jc w:val="left"/>
        <w:rPr>
          <w:bCs/>
          <w:szCs w:val="21"/>
        </w:rPr>
      </w:pPr>
      <w:r>
        <w:rPr>
          <w:bCs/>
          <w:kern w:val="0"/>
          <w:szCs w:val="21"/>
        </w:rPr>
        <w:t>2.</w:t>
      </w:r>
      <w:r>
        <w:rPr>
          <w:bCs/>
          <w:szCs w:val="21"/>
        </w:rPr>
        <w:t xml:space="preserve"> </w:t>
      </w:r>
      <w:r>
        <w:rPr>
          <w:bCs/>
          <w:szCs w:val="21"/>
        </w:rPr>
        <w:t>能够建立任意体系的计算模型并做几何组成分析</w:t>
      </w:r>
    </w:p>
    <w:p w14:paraId="60F9F1DD" w14:textId="77777777" w:rsidR="00F5289E" w:rsidRDefault="00C91173">
      <w:pPr>
        <w:widowControl/>
        <w:adjustRightInd w:val="0"/>
        <w:snapToGrid w:val="0"/>
        <w:spacing w:line="360" w:lineRule="auto"/>
        <w:ind w:firstLineChars="200" w:firstLine="420"/>
        <w:jc w:val="left"/>
        <w:rPr>
          <w:bCs/>
          <w:kern w:val="0"/>
          <w:szCs w:val="21"/>
        </w:rPr>
      </w:pPr>
      <w:r>
        <w:rPr>
          <w:bCs/>
          <w:szCs w:val="21"/>
        </w:rPr>
        <w:lastRenderedPageBreak/>
        <w:t xml:space="preserve">3. </w:t>
      </w:r>
      <w:r>
        <w:rPr>
          <w:bCs/>
          <w:szCs w:val="21"/>
        </w:rPr>
        <w:t>具备运用相关软件开展力学分析和计算的根本能力</w:t>
      </w:r>
    </w:p>
    <w:p w14:paraId="6FC08545" w14:textId="77777777" w:rsidR="00F5289E" w:rsidRDefault="00C91173">
      <w:pPr>
        <w:pStyle w:val="a9"/>
        <w:spacing w:line="360" w:lineRule="auto"/>
        <w:rPr>
          <w:b/>
          <w:bCs/>
        </w:rPr>
      </w:pPr>
      <w:r>
        <w:rPr>
          <w:b/>
          <w:bCs/>
        </w:rPr>
        <w:t>四、考核方式</w:t>
      </w:r>
    </w:p>
    <w:p w14:paraId="47C5AE0A" w14:textId="77777777" w:rsidR="00F5289E" w:rsidRDefault="00C91173">
      <w:pPr>
        <w:snapToGrid w:val="0"/>
        <w:spacing w:line="360" w:lineRule="auto"/>
        <w:ind w:firstLineChars="154" w:firstLine="323"/>
        <w:rPr>
          <w:bCs/>
          <w:szCs w:val="21"/>
        </w:rPr>
      </w:pPr>
      <w:r>
        <w:rPr>
          <w:bCs/>
          <w:szCs w:val="21"/>
        </w:rPr>
        <w:t>该课程采用过程性考核和结果性考核相结合的方法，课程成绩可由平时成绩和期末考试成绩综合评定。课程根据学生课堂表现、课后作业、小组讨论情况和实验课成绩进行过程性评价。期末采用闭卷考试的方式进行。</w:t>
      </w:r>
    </w:p>
    <w:p w14:paraId="05B286C9" w14:textId="77777777" w:rsidR="00F5289E" w:rsidRDefault="00C91173">
      <w:pPr>
        <w:pStyle w:val="a9"/>
        <w:spacing w:line="360" w:lineRule="auto"/>
        <w:rPr>
          <w:b/>
          <w:bCs/>
        </w:rPr>
      </w:pPr>
      <w:r>
        <w:rPr>
          <w:b/>
          <w:bCs/>
        </w:rPr>
        <w:t>五、成绩评定</w:t>
      </w:r>
    </w:p>
    <w:p w14:paraId="2CE975A2" w14:textId="77777777" w:rsidR="00F5289E" w:rsidRDefault="00C91173">
      <w:pPr>
        <w:snapToGrid w:val="0"/>
        <w:spacing w:line="360" w:lineRule="auto"/>
        <w:ind w:firstLineChars="200" w:firstLine="420"/>
        <w:rPr>
          <w:szCs w:val="21"/>
        </w:rPr>
      </w:pPr>
      <w:r>
        <w:rPr>
          <w:szCs w:val="21"/>
        </w:rPr>
        <w:t xml:space="preserve">1. </w:t>
      </w:r>
      <w:r>
        <w:rPr>
          <w:szCs w:val="21"/>
        </w:rPr>
        <w:t>平时成绩</w:t>
      </w:r>
      <w:r>
        <w:rPr>
          <w:bCs/>
          <w:szCs w:val="21"/>
        </w:rPr>
        <w:t>：课堂表现占</w:t>
      </w:r>
      <w:r>
        <w:rPr>
          <w:bCs/>
          <w:szCs w:val="21"/>
        </w:rPr>
        <w:t>20%</w:t>
      </w:r>
      <w:r>
        <w:rPr>
          <w:bCs/>
          <w:szCs w:val="21"/>
        </w:rPr>
        <w:t>、课后作业占</w:t>
      </w:r>
      <w:r>
        <w:rPr>
          <w:bCs/>
          <w:szCs w:val="21"/>
        </w:rPr>
        <w:t>20%</w:t>
      </w:r>
      <w:r>
        <w:rPr>
          <w:bCs/>
          <w:szCs w:val="21"/>
        </w:rPr>
        <w:t>、小组讨论占</w:t>
      </w:r>
      <w:r>
        <w:rPr>
          <w:bCs/>
          <w:szCs w:val="21"/>
        </w:rPr>
        <w:t>20%</w:t>
      </w:r>
      <w:r>
        <w:rPr>
          <w:bCs/>
          <w:szCs w:val="21"/>
        </w:rPr>
        <w:t>和实验课程成绩占</w:t>
      </w:r>
      <w:r>
        <w:rPr>
          <w:bCs/>
          <w:szCs w:val="21"/>
        </w:rPr>
        <w:t>20%</w:t>
      </w:r>
      <w:r>
        <w:rPr>
          <w:bCs/>
          <w:szCs w:val="21"/>
        </w:rPr>
        <w:t>。</w:t>
      </w:r>
    </w:p>
    <w:p w14:paraId="13528C90" w14:textId="77777777" w:rsidR="00F5289E" w:rsidRDefault="00C91173">
      <w:pPr>
        <w:snapToGrid w:val="0"/>
        <w:spacing w:line="360" w:lineRule="auto"/>
        <w:ind w:firstLineChars="200" w:firstLine="420"/>
        <w:rPr>
          <w:bCs/>
          <w:szCs w:val="21"/>
        </w:rPr>
      </w:pPr>
      <w:r>
        <w:t xml:space="preserve">2. </w:t>
      </w:r>
      <w:r>
        <w:t>期末成绩：</w:t>
      </w:r>
      <w:r>
        <w:rPr>
          <w:bCs/>
          <w:szCs w:val="21"/>
        </w:rPr>
        <w:t>本课程考试方式为闭卷，卷面成绩占综合成绩</w:t>
      </w:r>
      <w:r>
        <w:rPr>
          <w:bCs/>
          <w:szCs w:val="21"/>
        </w:rPr>
        <w:t>60%</w:t>
      </w:r>
      <w:r>
        <w:rPr>
          <w:bCs/>
          <w:szCs w:val="21"/>
        </w:rPr>
        <w:t>。</w:t>
      </w:r>
    </w:p>
    <w:p w14:paraId="60E73971" w14:textId="77777777" w:rsidR="00F5289E" w:rsidRDefault="00C91173">
      <w:pPr>
        <w:snapToGrid w:val="0"/>
        <w:spacing w:line="360" w:lineRule="auto"/>
        <w:ind w:firstLineChars="200" w:firstLine="420"/>
        <w:rPr>
          <w:bCs/>
          <w:szCs w:val="21"/>
        </w:rPr>
      </w:pPr>
      <w:r>
        <w:t xml:space="preserve">3. </w:t>
      </w:r>
      <w:r>
        <w:t>综合成绩：</w:t>
      </w:r>
      <w:r>
        <w:rPr>
          <w:bCs/>
          <w:szCs w:val="21"/>
        </w:rPr>
        <w:t>综合课程成绩</w:t>
      </w:r>
      <w:r>
        <w:rPr>
          <w:bCs/>
          <w:szCs w:val="21"/>
        </w:rPr>
        <w:t xml:space="preserve"> = </w:t>
      </w:r>
      <w:r>
        <w:rPr>
          <w:bCs/>
          <w:szCs w:val="21"/>
        </w:rPr>
        <w:t>期末成绩</w:t>
      </w:r>
      <w:r>
        <w:rPr>
          <w:bCs/>
          <w:szCs w:val="21"/>
        </w:rPr>
        <w:t>×60%</w:t>
      </w:r>
      <w:r>
        <w:rPr>
          <w:bCs/>
          <w:szCs w:val="21"/>
        </w:rPr>
        <w:t>＋平时成绩</w:t>
      </w:r>
      <w:r>
        <w:rPr>
          <w:bCs/>
          <w:szCs w:val="21"/>
        </w:rPr>
        <w:t>×40%</w:t>
      </w:r>
    </w:p>
    <w:p w14:paraId="219388AF" w14:textId="77777777" w:rsidR="00F5289E" w:rsidRDefault="00C91173">
      <w:pPr>
        <w:pStyle w:val="a9"/>
        <w:spacing w:line="360" w:lineRule="auto"/>
        <w:rPr>
          <w:b/>
          <w:bCs/>
        </w:rPr>
      </w:pPr>
      <w:r>
        <w:rPr>
          <w:b/>
          <w:bCs/>
        </w:rPr>
        <w:t>六、考核结果分析反馈</w:t>
      </w:r>
    </w:p>
    <w:p w14:paraId="33EF52E1" w14:textId="77777777" w:rsidR="00F5289E" w:rsidRDefault="00C91173">
      <w:pPr>
        <w:snapToGrid w:val="0"/>
        <w:spacing w:line="360" w:lineRule="auto"/>
        <w:ind w:firstLineChars="200" w:firstLine="420"/>
        <w:rPr>
          <w:bCs/>
          <w:szCs w:val="21"/>
        </w:rPr>
      </w:pPr>
      <w:r>
        <w:rPr>
          <w:bCs/>
          <w:szCs w:val="21"/>
        </w:rPr>
        <w:t>通过采用课堂互动、课后作业、分组讨论和小组汇报等方式，加强与学生的交流，及时了解学生对知识点掌握情况，根据学生反馈结果调整教学内容、改变教学方式等，改善教学效果。</w:t>
      </w:r>
    </w:p>
    <w:p w14:paraId="7F4B4924" w14:textId="77777777" w:rsidR="00F5289E" w:rsidRDefault="00F5289E">
      <w:pPr>
        <w:snapToGrid w:val="0"/>
        <w:spacing w:line="360" w:lineRule="auto"/>
        <w:ind w:firstLineChars="200" w:firstLine="420"/>
        <w:rPr>
          <w:bCs/>
          <w:szCs w:val="21"/>
        </w:rPr>
      </w:pPr>
    </w:p>
    <w:p w14:paraId="0641EE41" w14:textId="77777777" w:rsidR="00F5289E" w:rsidRDefault="00F5289E">
      <w:pPr>
        <w:snapToGrid w:val="0"/>
        <w:spacing w:line="360" w:lineRule="auto"/>
        <w:rPr>
          <w:szCs w:val="21"/>
        </w:rPr>
      </w:pPr>
    </w:p>
    <w:p w14:paraId="2A5DF6FA" w14:textId="77777777" w:rsidR="00F5289E" w:rsidRDefault="00C91173">
      <w:pPr>
        <w:widowControl/>
        <w:jc w:val="left"/>
        <w:rPr>
          <w:rFonts w:ascii="宋体" w:hAnsi="宋体"/>
          <w:b/>
          <w:sz w:val="28"/>
          <w:szCs w:val="28"/>
        </w:rPr>
      </w:pPr>
      <w:r>
        <w:rPr>
          <w:rFonts w:ascii="宋体" w:hAnsi="宋体"/>
          <w:b/>
          <w:sz w:val="28"/>
          <w:szCs w:val="28"/>
        </w:rPr>
        <w:br w:type="page"/>
      </w:r>
    </w:p>
    <w:p w14:paraId="71D8939C" w14:textId="77777777" w:rsidR="00F5289E" w:rsidRDefault="00F5289E">
      <w:pPr>
        <w:widowControl/>
        <w:jc w:val="left"/>
        <w:rPr>
          <w:rFonts w:hAnsi="宋体"/>
          <w:b/>
          <w:sz w:val="28"/>
          <w:szCs w:val="28"/>
        </w:rPr>
      </w:pPr>
    </w:p>
    <w:p w14:paraId="1CA3A9C1" w14:textId="77777777" w:rsidR="00F5289E" w:rsidRDefault="00C91173">
      <w:pPr>
        <w:pStyle w:val="1"/>
      </w:pPr>
      <w:bookmarkStart w:id="169" w:name="_Toc138606273"/>
      <w:r>
        <w:rPr>
          <w:rFonts w:hint="eastAsia"/>
        </w:rPr>
        <w:t>分子生物学基础考核</w:t>
      </w:r>
      <w:r>
        <w:t>大纲</w:t>
      </w:r>
      <w:bookmarkEnd w:id="169"/>
    </w:p>
    <w:p w14:paraId="4DB4221C" w14:textId="77777777" w:rsidR="00F5289E" w:rsidRDefault="00C91173">
      <w:pPr>
        <w:snapToGrid w:val="0"/>
        <w:spacing w:line="360" w:lineRule="auto"/>
        <w:jc w:val="center"/>
        <w:rPr>
          <w:rFonts w:hAnsi="宋体"/>
          <w:sz w:val="28"/>
          <w:szCs w:val="28"/>
        </w:rPr>
      </w:pPr>
      <w:r>
        <w:rPr>
          <w:rFonts w:hAnsi="宋体" w:hint="eastAsia"/>
          <w:sz w:val="28"/>
          <w:szCs w:val="28"/>
        </w:rPr>
        <w:t>（</w:t>
      </w:r>
      <w:r>
        <w:rPr>
          <w:sz w:val="28"/>
          <w:szCs w:val="28"/>
        </w:rPr>
        <w:t>Molecular Biology</w:t>
      </w:r>
      <w:r>
        <w:rPr>
          <w:rFonts w:hAnsi="宋体"/>
          <w:sz w:val="28"/>
          <w:szCs w:val="28"/>
        </w:rPr>
        <w:t>）</w:t>
      </w:r>
    </w:p>
    <w:p w14:paraId="128D7393" w14:textId="77777777" w:rsidR="00F5289E" w:rsidRDefault="00F5289E">
      <w:pPr>
        <w:adjustRightInd w:val="0"/>
        <w:snapToGrid w:val="0"/>
        <w:spacing w:line="360" w:lineRule="auto"/>
        <w:jc w:val="center"/>
        <w:rPr>
          <w:b/>
          <w:szCs w:val="21"/>
        </w:rPr>
      </w:pPr>
    </w:p>
    <w:p w14:paraId="57979B5A" w14:textId="77777777" w:rsidR="00F5289E" w:rsidRDefault="00C91173">
      <w:pPr>
        <w:adjustRightInd w:val="0"/>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2A87C7B8" w14:textId="77777777">
        <w:tc>
          <w:tcPr>
            <w:tcW w:w="1666" w:type="pct"/>
          </w:tcPr>
          <w:p w14:paraId="6E2FBA70" w14:textId="77777777" w:rsidR="00F5289E" w:rsidRDefault="00C91173">
            <w:pPr>
              <w:adjustRightInd w:val="0"/>
              <w:snapToGrid w:val="0"/>
              <w:spacing w:line="360" w:lineRule="auto"/>
              <w:rPr>
                <w:b/>
                <w:bCs/>
                <w:szCs w:val="21"/>
              </w:rPr>
            </w:pPr>
            <w:r>
              <w:rPr>
                <w:b/>
                <w:bCs/>
                <w:szCs w:val="21"/>
              </w:rPr>
              <w:t>课程编号：</w:t>
            </w:r>
            <w:r w:rsidRPr="001B3040">
              <w:rPr>
                <w:rFonts w:ascii="宋体" w:hAnsi="宋体" w:hint="eastAsia"/>
                <w:szCs w:val="21"/>
              </w:rPr>
              <w:t>19011032</w:t>
            </w:r>
          </w:p>
        </w:tc>
        <w:tc>
          <w:tcPr>
            <w:tcW w:w="1453" w:type="pct"/>
          </w:tcPr>
          <w:p w14:paraId="3810465C" w14:textId="77777777" w:rsidR="00F5289E" w:rsidRDefault="00C91173">
            <w:pPr>
              <w:adjustRightInd w:val="0"/>
              <w:snapToGrid w:val="0"/>
              <w:spacing w:line="360" w:lineRule="auto"/>
              <w:rPr>
                <w:b/>
                <w:bCs/>
                <w:szCs w:val="21"/>
              </w:rPr>
            </w:pPr>
            <w:r>
              <w:rPr>
                <w:b/>
                <w:bCs/>
                <w:szCs w:val="21"/>
              </w:rPr>
              <w:t>课程学时：</w:t>
            </w:r>
            <w:r w:rsidRPr="001B3040">
              <w:rPr>
                <w:rFonts w:hint="eastAsia"/>
                <w:szCs w:val="21"/>
              </w:rPr>
              <w:t>48</w:t>
            </w:r>
          </w:p>
        </w:tc>
        <w:tc>
          <w:tcPr>
            <w:tcW w:w="1881" w:type="pct"/>
          </w:tcPr>
          <w:p w14:paraId="63681202" w14:textId="77777777" w:rsidR="00F5289E" w:rsidRDefault="00C91173">
            <w:pPr>
              <w:adjustRightInd w:val="0"/>
              <w:snapToGrid w:val="0"/>
              <w:spacing w:line="360" w:lineRule="auto"/>
              <w:rPr>
                <w:b/>
                <w:bCs/>
                <w:szCs w:val="21"/>
              </w:rPr>
            </w:pPr>
            <w:r>
              <w:rPr>
                <w:b/>
                <w:bCs/>
                <w:szCs w:val="21"/>
              </w:rPr>
              <w:t>课程学分：</w:t>
            </w:r>
            <w:r w:rsidRPr="001B3040">
              <w:rPr>
                <w:rFonts w:hint="eastAsia"/>
                <w:szCs w:val="21"/>
              </w:rPr>
              <w:t>3</w:t>
            </w:r>
          </w:p>
        </w:tc>
      </w:tr>
      <w:tr w:rsidR="00F5289E" w14:paraId="63E9C118" w14:textId="77777777">
        <w:tc>
          <w:tcPr>
            <w:tcW w:w="1666" w:type="pct"/>
          </w:tcPr>
          <w:p w14:paraId="3605B463" w14:textId="77777777" w:rsidR="00F5289E" w:rsidRDefault="00C91173">
            <w:pPr>
              <w:adjustRightInd w:val="0"/>
              <w:snapToGrid w:val="0"/>
              <w:spacing w:line="360" w:lineRule="auto"/>
              <w:ind w:left="843" w:hangingChars="400" w:hanging="843"/>
              <w:rPr>
                <w:b/>
                <w:bCs/>
                <w:szCs w:val="21"/>
              </w:rPr>
            </w:pPr>
            <w:r>
              <w:rPr>
                <w:b/>
                <w:bCs/>
                <w:szCs w:val="21"/>
              </w:rPr>
              <w:t>主撰人：</w:t>
            </w:r>
            <w:r w:rsidRPr="001B3040">
              <w:rPr>
                <w:rFonts w:hint="eastAsia"/>
                <w:szCs w:val="21"/>
              </w:rPr>
              <w:t>杨路明</w:t>
            </w:r>
            <w:r w:rsidRPr="001B3040">
              <w:rPr>
                <w:szCs w:val="21"/>
              </w:rPr>
              <w:t xml:space="preserve"> </w:t>
            </w:r>
            <w:r w:rsidRPr="001B3040">
              <w:rPr>
                <w:rFonts w:hint="eastAsia"/>
                <w:szCs w:val="21"/>
              </w:rPr>
              <w:t>李营</w:t>
            </w:r>
            <w:r w:rsidRPr="001B3040">
              <w:rPr>
                <w:szCs w:val="21"/>
              </w:rPr>
              <w:t xml:space="preserve">  </w:t>
            </w:r>
            <w:r w:rsidRPr="001B3040">
              <w:rPr>
                <w:rFonts w:hint="eastAsia"/>
                <w:szCs w:val="21"/>
              </w:rPr>
              <w:t>杨森</w:t>
            </w:r>
            <w:r w:rsidRPr="001B3040">
              <w:rPr>
                <w:szCs w:val="21"/>
              </w:rPr>
              <w:t xml:space="preserve"> </w:t>
            </w:r>
            <w:r w:rsidRPr="001B3040">
              <w:rPr>
                <w:rFonts w:hint="eastAsia"/>
                <w:szCs w:val="21"/>
              </w:rPr>
              <w:t>孙凯乐</w:t>
            </w:r>
            <w:r w:rsidRPr="001B3040">
              <w:rPr>
                <w:szCs w:val="21"/>
              </w:rPr>
              <w:t xml:space="preserve"> </w:t>
            </w:r>
            <w:r w:rsidRPr="001B3040">
              <w:rPr>
                <w:rFonts w:hint="eastAsia"/>
                <w:szCs w:val="21"/>
              </w:rPr>
              <w:t>李翔</w:t>
            </w:r>
            <w:r w:rsidRPr="001B3040">
              <w:rPr>
                <w:szCs w:val="21"/>
              </w:rPr>
              <w:t xml:space="preserve"> </w:t>
            </w:r>
            <w:r w:rsidRPr="001B3040">
              <w:rPr>
                <w:rFonts w:hint="eastAsia"/>
                <w:szCs w:val="21"/>
              </w:rPr>
              <w:t>安光辉</w:t>
            </w:r>
          </w:p>
        </w:tc>
        <w:tc>
          <w:tcPr>
            <w:tcW w:w="1453" w:type="pct"/>
          </w:tcPr>
          <w:p w14:paraId="13E60BF0" w14:textId="77777777" w:rsidR="00F5289E" w:rsidRDefault="00C91173">
            <w:pPr>
              <w:adjustRightInd w:val="0"/>
              <w:snapToGrid w:val="0"/>
              <w:spacing w:line="360" w:lineRule="auto"/>
              <w:rPr>
                <w:b/>
                <w:bCs/>
                <w:szCs w:val="21"/>
              </w:rPr>
            </w:pPr>
            <w:r>
              <w:rPr>
                <w:b/>
                <w:bCs/>
                <w:szCs w:val="21"/>
              </w:rPr>
              <w:t>审核人：</w:t>
            </w:r>
            <w:r w:rsidRPr="001B3040">
              <w:rPr>
                <w:rFonts w:hint="eastAsia"/>
                <w:szCs w:val="21"/>
              </w:rPr>
              <w:t>杨路明</w:t>
            </w:r>
          </w:p>
        </w:tc>
        <w:tc>
          <w:tcPr>
            <w:tcW w:w="1881" w:type="pct"/>
          </w:tcPr>
          <w:p w14:paraId="7B64C515" w14:textId="77777777" w:rsidR="00F5289E" w:rsidRDefault="00C91173">
            <w:pPr>
              <w:adjustRightInd w:val="0"/>
              <w:snapToGrid w:val="0"/>
              <w:spacing w:line="360" w:lineRule="auto"/>
              <w:rPr>
                <w:bCs/>
                <w:szCs w:val="21"/>
              </w:rPr>
            </w:pPr>
            <w:r>
              <w:rPr>
                <w:b/>
                <w:bCs/>
                <w:szCs w:val="21"/>
              </w:rPr>
              <w:t>大纲制定（修订）日期</w:t>
            </w:r>
            <w:r>
              <w:rPr>
                <w:rFonts w:hint="eastAsia"/>
                <w:b/>
                <w:bCs/>
                <w:szCs w:val="21"/>
              </w:rPr>
              <w:t>：</w:t>
            </w:r>
            <w:r w:rsidR="001B3040">
              <w:rPr>
                <w:bCs/>
                <w:szCs w:val="21"/>
              </w:rPr>
              <w:t>2023.05</w:t>
            </w:r>
          </w:p>
        </w:tc>
      </w:tr>
    </w:tbl>
    <w:p w14:paraId="19A1A956" w14:textId="77777777" w:rsidR="00F5289E" w:rsidRDefault="00C91173">
      <w:pPr>
        <w:pStyle w:val="a9"/>
        <w:spacing w:line="360" w:lineRule="auto"/>
        <w:rPr>
          <w:b/>
          <w:bCs/>
        </w:rPr>
      </w:pPr>
      <w:r>
        <w:rPr>
          <w:b/>
          <w:bCs/>
        </w:rPr>
        <w:t>一、课程的性质和地位</w:t>
      </w:r>
    </w:p>
    <w:p w14:paraId="69EA0621" w14:textId="77777777" w:rsidR="00F5289E" w:rsidRDefault="00C91173">
      <w:pPr>
        <w:adjustRightInd w:val="0"/>
        <w:snapToGrid w:val="0"/>
        <w:spacing w:line="360" w:lineRule="auto"/>
        <w:ind w:firstLineChars="200" w:firstLine="420"/>
        <w:rPr>
          <w:szCs w:val="21"/>
        </w:rPr>
      </w:pPr>
      <w:r>
        <w:rPr>
          <w:rFonts w:hint="eastAsia"/>
          <w:szCs w:val="21"/>
        </w:rPr>
        <w:t>分子生物学是研究核酸等生物大分子的功能、形态结构特征及其重要性和规律性的科学。分子生物学的理论和方法已在生命科学、医学</w:t>
      </w:r>
      <w:r>
        <w:rPr>
          <w:rFonts w:hint="eastAsia"/>
          <w:kern w:val="0"/>
          <w:szCs w:val="21"/>
        </w:rPr>
        <w:t>、农学、园艺等各个领域里得到广泛应用。通过本课程的学习应使学生了解生命科学发展的方向与前沿，了解分子生物学在生命科学等领域的应用与前景。使学生掌握分子生物学的概念、研究内容与特点，掌握生命活动中重要的生物大分子的结构与功能、遗传信息的表达及其调节控制等内容，</w:t>
      </w:r>
      <w:r>
        <w:rPr>
          <w:szCs w:val="21"/>
        </w:rPr>
        <w:t>是高等院校生物</w:t>
      </w:r>
      <w:r>
        <w:rPr>
          <w:rFonts w:hint="eastAsia"/>
          <w:szCs w:val="21"/>
        </w:rPr>
        <w:t>科</w:t>
      </w:r>
      <w:r>
        <w:rPr>
          <w:szCs w:val="21"/>
        </w:rPr>
        <w:t>学专业必修</w:t>
      </w:r>
      <w:r>
        <w:rPr>
          <w:rFonts w:hint="eastAsia"/>
          <w:szCs w:val="21"/>
        </w:rPr>
        <w:t>基础</w:t>
      </w:r>
      <w:r>
        <w:rPr>
          <w:szCs w:val="21"/>
        </w:rPr>
        <w:t>课程之一。</w:t>
      </w:r>
    </w:p>
    <w:p w14:paraId="51FA218A" w14:textId="77777777" w:rsidR="00F5289E" w:rsidRDefault="00C91173">
      <w:pPr>
        <w:adjustRightInd w:val="0"/>
        <w:snapToGrid w:val="0"/>
        <w:spacing w:line="360" w:lineRule="auto"/>
        <w:rPr>
          <w:b/>
          <w:szCs w:val="21"/>
        </w:rPr>
      </w:pPr>
      <w:r>
        <w:rPr>
          <w:b/>
          <w:szCs w:val="21"/>
        </w:rPr>
        <w:t>二、理论教学部分的考核目标</w:t>
      </w:r>
    </w:p>
    <w:p w14:paraId="03E58726" w14:textId="77777777" w:rsidR="00F5289E" w:rsidRDefault="00C91173">
      <w:pPr>
        <w:adjustRightInd w:val="0"/>
        <w:snapToGrid w:val="0"/>
        <w:spacing w:line="360" w:lineRule="auto"/>
        <w:ind w:firstLineChars="200" w:firstLine="420"/>
        <w:rPr>
          <w:szCs w:val="21"/>
        </w:rPr>
      </w:pPr>
      <w:r>
        <w:rPr>
          <w:rFonts w:hint="eastAsia"/>
          <w:kern w:val="0"/>
          <w:szCs w:val="21"/>
        </w:rPr>
        <w:t>考查学生掌握分子生物学的基本理论知识及应用理论知识分析、解决分子生物学问题的能力</w:t>
      </w:r>
      <w:r>
        <w:rPr>
          <w:szCs w:val="21"/>
        </w:rPr>
        <w:t>。</w:t>
      </w:r>
    </w:p>
    <w:p w14:paraId="177E7262" w14:textId="77777777" w:rsidR="00F5289E" w:rsidRDefault="00F5289E">
      <w:pPr>
        <w:adjustRightInd w:val="0"/>
        <w:snapToGrid w:val="0"/>
        <w:spacing w:afterLines="50" w:after="156" w:line="360" w:lineRule="auto"/>
        <w:ind w:firstLineChars="49" w:firstLine="103"/>
        <w:jc w:val="center"/>
        <w:rPr>
          <w:b/>
          <w:szCs w:val="21"/>
        </w:rPr>
      </w:pPr>
    </w:p>
    <w:p w14:paraId="68F6C834" w14:textId="77777777" w:rsidR="00F5289E" w:rsidRDefault="00C91173">
      <w:pPr>
        <w:adjustRightInd w:val="0"/>
        <w:snapToGrid w:val="0"/>
        <w:spacing w:afterLines="50" w:after="156" w:line="360" w:lineRule="auto"/>
        <w:ind w:firstLineChars="49" w:firstLine="103"/>
        <w:jc w:val="center"/>
        <w:rPr>
          <w:b/>
          <w:szCs w:val="21"/>
        </w:rPr>
      </w:pPr>
      <w:r>
        <w:rPr>
          <w:rFonts w:hint="eastAsia"/>
          <w:b/>
          <w:szCs w:val="21"/>
        </w:rPr>
        <w:t>绪论</w:t>
      </w:r>
    </w:p>
    <w:p w14:paraId="5E6B725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B0E72AF"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int="eastAsia"/>
          <w:kern w:val="0"/>
          <w:szCs w:val="21"/>
        </w:rPr>
        <w:t>分子生物学的发展简史及发展前景。</w:t>
      </w:r>
    </w:p>
    <w:p w14:paraId="54527FCF"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int="eastAsia"/>
          <w:kern w:val="0"/>
          <w:szCs w:val="21"/>
        </w:rPr>
        <w:t>分子生物学的定义</w:t>
      </w:r>
      <w:r>
        <w:rPr>
          <w:rFonts w:hint="eastAsia"/>
          <w:szCs w:val="21"/>
        </w:rPr>
        <w:t>。</w:t>
      </w:r>
    </w:p>
    <w:p w14:paraId="7BFE190A"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int="eastAsia"/>
          <w:kern w:val="0"/>
          <w:szCs w:val="21"/>
        </w:rPr>
        <w:t>分子生物学研究的主要内容</w:t>
      </w:r>
      <w:r>
        <w:rPr>
          <w:rFonts w:hint="eastAsia"/>
          <w:szCs w:val="21"/>
        </w:rPr>
        <w:t>。</w:t>
      </w:r>
    </w:p>
    <w:p w14:paraId="5E13839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2DAC853C" w14:textId="77777777" w:rsidR="00F5289E" w:rsidRDefault="00C91173">
      <w:pPr>
        <w:adjustRightInd w:val="0"/>
        <w:snapToGrid w:val="0"/>
        <w:spacing w:line="360" w:lineRule="auto"/>
        <w:ind w:firstLineChars="200" w:firstLine="420"/>
        <w:rPr>
          <w:b/>
          <w:szCs w:val="21"/>
        </w:rPr>
      </w:pPr>
      <w:r>
        <w:rPr>
          <w:rFonts w:hint="eastAsia"/>
          <w:kern w:val="0"/>
          <w:szCs w:val="21"/>
        </w:rPr>
        <w:t>分子生物学定义、发展简史和主要研究内容</w:t>
      </w:r>
      <w:r>
        <w:rPr>
          <w:rFonts w:hint="eastAsia"/>
          <w:szCs w:val="21"/>
        </w:rPr>
        <w:t>。</w:t>
      </w:r>
    </w:p>
    <w:p w14:paraId="4E8023E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4EEAF09"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rFonts w:hint="eastAsia"/>
          <w:kern w:val="0"/>
          <w:szCs w:val="21"/>
        </w:rPr>
        <w:t>分子生物学的发展简史及发展前景</w:t>
      </w:r>
      <w:r>
        <w:rPr>
          <w:kern w:val="0"/>
          <w:szCs w:val="21"/>
        </w:rPr>
        <w:t>。</w:t>
      </w:r>
    </w:p>
    <w:p w14:paraId="73BDBCBD"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int="eastAsia"/>
          <w:kern w:val="0"/>
          <w:szCs w:val="21"/>
        </w:rPr>
        <w:t>分子生物学的定义</w:t>
      </w:r>
      <w:r>
        <w:rPr>
          <w:rFonts w:hint="eastAsia"/>
          <w:szCs w:val="21"/>
        </w:rPr>
        <w:t>。</w:t>
      </w:r>
    </w:p>
    <w:p w14:paraId="50FEA202"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rFonts w:hint="eastAsia"/>
          <w:kern w:val="0"/>
          <w:szCs w:val="21"/>
        </w:rPr>
        <w:t>当代分子生物学研究的主要内容。</w:t>
      </w:r>
    </w:p>
    <w:p w14:paraId="539A1099" w14:textId="77777777" w:rsidR="00F5289E" w:rsidRDefault="00C91173">
      <w:pPr>
        <w:adjustRightInd w:val="0"/>
        <w:snapToGrid w:val="0"/>
        <w:spacing w:line="360" w:lineRule="auto"/>
        <w:ind w:leftChars="200" w:left="420"/>
        <w:rPr>
          <w:szCs w:val="21"/>
        </w:rPr>
      </w:pPr>
      <w:r>
        <w:rPr>
          <w:b/>
          <w:szCs w:val="21"/>
        </w:rPr>
        <w:t>4</w:t>
      </w:r>
      <w:r>
        <w:rPr>
          <w:b/>
          <w:szCs w:val="21"/>
        </w:rPr>
        <w:t>、综合</w:t>
      </w:r>
      <w:r>
        <w:rPr>
          <w:szCs w:val="21"/>
        </w:rPr>
        <w:t>：</w:t>
      </w:r>
      <w:bookmarkStart w:id="170" w:name="OLE_LINK8"/>
      <w:r>
        <w:rPr>
          <w:rFonts w:hint="eastAsia"/>
          <w:szCs w:val="21"/>
        </w:rPr>
        <w:t>当代分子生物学研究展望。</w:t>
      </w:r>
      <w:bookmarkEnd w:id="170"/>
    </w:p>
    <w:p w14:paraId="587BB0AC"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提问和课后</w:t>
      </w:r>
      <w:r>
        <w:rPr>
          <w:rFonts w:hint="eastAsia"/>
          <w:szCs w:val="21"/>
        </w:rPr>
        <w:t>作业。</w:t>
      </w:r>
    </w:p>
    <w:p w14:paraId="1C359053" w14:textId="77777777" w:rsidR="00F5289E" w:rsidRDefault="00F5289E">
      <w:pPr>
        <w:adjustRightInd w:val="0"/>
        <w:snapToGrid w:val="0"/>
        <w:spacing w:line="360" w:lineRule="auto"/>
        <w:rPr>
          <w:b/>
          <w:szCs w:val="21"/>
        </w:rPr>
      </w:pPr>
    </w:p>
    <w:p w14:paraId="4DEE91D3" w14:textId="77777777" w:rsidR="00F5289E" w:rsidRDefault="00F5289E">
      <w:pPr>
        <w:pStyle w:val="a9"/>
        <w:adjustRightInd w:val="0"/>
        <w:snapToGrid w:val="0"/>
        <w:spacing w:line="360" w:lineRule="auto"/>
        <w:jc w:val="center"/>
        <w:rPr>
          <w:rFonts w:ascii="Times New Roman" w:hAnsi="Times New Roman" w:cs="Times New Roman"/>
          <w:b/>
        </w:rPr>
      </w:pPr>
    </w:p>
    <w:p w14:paraId="545D250A"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一</w:t>
      </w:r>
      <w:r>
        <w:rPr>
          <w:rFonts w:ascii="Times New Roman" w:hAnsi="Times New Roman" w:cs="Times New Roman"/>
          <w:b/>
        </w:rPr>
        <w:t>章</w:t>
      </w:r>
      <w:r>
        <w:rPr>
          <w:rFonts w:ascii="Times New Roman" w:hAnsi="Times New Roman" w:cs="Times New Roman" w:hint="eastAsia"/>
          <w:b/>
        </w:rPr>
        <w:t xml:space="preserve">  </w:t>
      </w:r>
      <w:r>
        <w:rPr>
          <w:rFonts w:hint="eastAsia"/>
          <w:b/>
          <w:bCs/>
          <w:kern w:val="0"/>
        </w:rPr>
        <w:t>基因概念的演变与发展</w:t>
      </w:r>
    </w:p>
    <w:p w14:paraId="1462E539"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1008776"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int="eastAsia"/>
          <w:kern w:val="0"/>
          <w:szCs w:val="21"/>
        </w:rPr>
        <w:t>基因概念的发展历程、转座因子的研究进展</w:t>
      </w:r>
      <w:r>
        <w:rPr>
          <w:rFonts w:hAnsi="Arial" w:hint="eastAsia"/>
          <w:kern w:val="0"/>
          <w:szCs w:val="21"/>
        </w:rPr>
        <w:t>。</w:t>
      </w:r>
    </w:p>
    <w:p w14:paraId="7C5985D7" w14:textId="77777777" w:rsidR="00F5289E" w:rsidRDefault="00C91173">
      <w:pPr>
        <w:adjustRightInd w:val="0"/>
        <w:snapToGrid w:val="0"/>
        <w:spacing w:line="360" w:lineRule="auto"/>
        <w:ind w:leftChars="200" w:left="420"/>
        <w:rPr>
          <w:szCs w:val="21"/>
        </w:rPr>
      </w:pPr>
      <w:r>
        <w:rPr>
          <w:b/>
          <w:szCs w:val="21"/>
        </w:rPr>
        <w:t>2.</w:t>
      </w:r>
      <w:r>
        <w:rPr>
          <w:b/>
          <w:szCs w:val="21"/>
        </w:rPr>
        <w:t>掌握</w:t>
      </w:r>
      <w:r>
        <w:rPr>
          <w:szCs w:val="21"/>
        </w:rPr>
        <w:t>：</w:t>
      </w:r>
      <w:r>
        <w:rPr>
          <w:rFonts w:hAnsi="Arial" w:hint="eastAsia"/>
          <w:kern w:val="0"/>
          <w:szCs w:val="21"/>
        </w:rPr>
        <w:t>顺反子，重复序列、重叠基因，间隔基因，跳跃基因，假基因的概念以及</w:t>
      </w:r>
      <w:r>
        <w:rPr>
          <w:rFonts w:hAnsi="Arial" w:hint="eastAsia"/>
          <w:kern w:val="0"/>
          <w:szCs w:val="21"/>
        </w:rPr>
        <w:t>DNA</w:t>
      </w:r>
      <w:r>
        <w:rPr>
          <w:rFonts w:hAnsi="Arial" w:hint="eastAsia"/>
          <w:kern w:val="0"/>
          <w:szCs w:val="21"/>
        </w:rPr>
        <w:t>的变性及复性</w:t>
      </w:r>
      <w:r>
        <w:rPr>
          <w:rFonts w:hint="eastAsia"/>
          <w:szCs w:val="21"/>
        </w:rPr>
        <w:t>。</w:t>
      </w:r>
    </w:p>
    <w:p w14:paraId="1170905B"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Ansi="Arial" w:hint="eastAsia"/>
          <w:kern w:val="0"/>
          <w:szCs w:val="21"/>
        </w:rPr>
        <w:t>DNA</w:t>
      </w:r>
      <w:r>
        <w:rPr>
          <w:rFonts w:hAnsi="Arial" w:hint="eastAsia"/>
          <w:kern w:val="0"/>
          <w:szCs w:val="21"/>
        </w:rPr>
        <w:t>的一级、二级、三级结构，</w:t>
      </w:r>
      <w:r>
        <w:rPr>
          <w:rFonts w:hAnsi="Arial" w:hint="eastAsia"/>
          <w:kern w:val="0"/>
          <w:szCs w:val="21"/>
        </w:rPr>
        <w:t xml:space="preserve">DNA </w:t>
      </w:r>
      <w:r>
        <w:rPr>
          <w:rFonts w:hAnsi="Arial" w:hint="eastAsia"/>
          <w:kern w:val="0"/>
          <w:szCs w:val="21"/>
        </w:rPr>
        <w:t>双螺旋结构模型及影响其稳定性的因素。</w:t>
      </w:r>
    </w:p>
    <w:p w14:paraId="265EA14B"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75E707F" w14:textId="77777777" w:rsidR="00F5289E" w:rsidRDefault="00C91173">
      <w:pPr>
        <w:adjustRightInd w:val="0"/>
        <w:snapToGrid w:val="0"/>
        <w:spacing w:line="360" w:lineRule="auto"/>
        <w:ind w:firstLine="420"/>
        <w:rPr>
          <w:rFonts w:hAnsi="Arial"/>
          <w:kern w:val="0"/>
          <w:szCs w:val="21"/>
        </w:rPr>
      </w:pPr>
      <w:r>
        <w:rPr>
          <w:kern w:val="0"/>
          <w:szCs w:val="21"/>
        </w:rPr>
        <w:t>DNA</w:t>
      </w:r>
      <w:r>
        <w:rPr>
          <w:rFonts w:hAnsi="Arial"/>
          <w:kern w:val="0"/>
          <w:szCs w:val="21"/>
        </w:rPr>
        <w:t>的结构、性质和功能</w:t>
      </w:r>
      <w:r>
        <w:rPr>
          <w:rFonts w:hAnsi="Arial" w:hint="eastAsia"/>
          <w:kern w:val="0"/>
          <w:szCs w:val="21"/>
        </w:rPr>
        <w:t>；</w:t>
      </w:r>
      <w:r>
        <w:rPr>
          <w:rFonts w:hAnsi="Arial"/>
          <w:kern w:val="0"/>
          <w:szCs w:val="21"/>
        </w:rPr>
        <w:t>染色体的组装；核酸的变性、复性、分子杂交</w:t>
      </w:r>
      <w:r>
        <w:rPr>
          <w:rFonts w:hAnsi="Arial" w:hint="eastAsia"/>
          <w:kern w:val="0"/>
          <w:szCs w:val="21"/>
        </w:rPr>
        <w:t>及及影响其稳定性的因素，生物进化的</w:t>
      </w:r>
      <w:r>
        <w:rPr>
          <w:rFonts w:hAnsi="Arial" w:hint="eastAsia"/>
          <w:kern w:val="0"/>
          <w:szCs w:val="21"/>
        </w:rPr>
        <w:t>C</w:t>
      </w:r>
      <w:r>
        <w:rPr>
          <w:rFonts w:hAnsi="Arial" w:hint="eastAsia"/>
          <w:kern w:val="0"/>
          <w:szCs w:val="21"/>
        </w:rPr>
        <w:t>值矛盾。</w:t>
      </w:r>
    </w:p>
    <w:p w14:paraId="1D0E7F1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02E9615"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kern w:val="0"/>
          <w:szCs w:val="21"/>
        </w:rPr>
        <w:t>DNA</w:t>
      </w:r>
      <w:r>
        <w:rPr>
          <w:rFonts w:hAnsi="Arial"/>
          <w:kern w:val="0"/>
          <w:szCs w:val="21"/>
        </w:rPr>
        <w:t>的结构</w:t>
      </w:r>
      <w:r>
        <w:rPr>
          <w:rFonts w:hAnsi="Arial" w:hint="eastAsia"/>
          <w:kern w:val="0"/>
          <w:szCs w:val="21"/>
        </w:rPr>
        <w:t>（分子结构和空间结构）</w:t>
      </w:r>
      <w:r>
        <w:rPr>
          <w:rFonts w:hAnsi="Arial"/>
          <w:kern w:val="0"/>
          <w:szCs w:val="21"/>
        </w:rPr>
        <w:t>、性质和功能</w:t>
      </w:r>
      <w:r>
        <w:rPr>
          <w:rFonts w:hAnsi="Arial" w:hint="eastAsia"/>
          <w:kern w:val="0"/>
          <w:szCs w:val="21"/>
        </w:rPr>
        <w:t>；</w:t>
      </w:r>
      <w:r>
        <w:rPr>
          <w:rFonts w:hAnsi="Arial"/>
          <w:kern w:val="0"/>
          <w:szCs w:val="21"/>
        </w:rPr>
        <w:t>染色体的组装；核酸的变性、复性</w:t>
      </w:r>
      <w:r>
        <w:rPr>
          <w:rFonts w:hAnsi="Arial" w:hint="eastAsia"/>
          <w:kern w:val="0"/>
          <w:szCs w:val="21"/>
        </w:rPr>
        <w:t>。</w:t>
      </w:r>
    </w:p>
    <w:p w14:paraId="26407FB8"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kern w:val="0"/>
          <w:szCs w:val="21"/>
        </w:rPr>
        <w:t>DNA</w:t>
      </w:r>
      <w:r>
        <w:rPr>
          <w:rFonts w:hAnsi="Arial"/>
          <w:kern w:val="0"/>
          <w:szCs w:val="21"/>
        </w:rPr>
        <w:t>的结构、性质和功能</w:t>
      </w:r>
      <w:r>
        <w:rPr>
          <w:rFonts w:hint="eastAsia"/>
          <w:szCs w:val="21"/>
        </w:rPr>
        <w:t>。</w:t>
      </w:r>
    </w:p>
    <w:p w14:paraId="13707264"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kern w:val="0"/>
          <w:szCs w:val="21"/>
        </w:rPr>
        <w:t>DNA</w:t>
      </w:r>
      <w:r>
        <w:rPr>
          <w:rFonts w:hAnsi="Arial"/>
          <w:kern w:val="0"/>
          <w:szCs w:val="21"/>
        </w:rPr>
        <w:t>的结构、性质和功能</w:t>
      </w:r>
      <w:r>
        <w:rPr>
          <w:rFonts w:hAnsi="Arial" w:hint="eastAsia"/>
          <w:kern w:val="0"/>
          <w:szCs w:val="21"/>
        </w:rPr>
        <w:t>。</w:t>
      </w:r>
    </w:p>
    <w:p w14:paraId="5BE110D0" w14:textId="77777777" w:rsidR="00F5289E" w:rsidRDefault="00C91173">
      <w:pPr>
        <w:adjustRightInd w:val="0"/>
        <w:snapToGrid w:val="0"/>
        <w:spacing w:line="360" w:lineRule="auto"/>
        <w:ind w:leftChars="200" w:left="420"/>
        <w:rPr>
          <w:rFonts w:hAnsi="Arial"/>
          <w:kern w:val="0"/>
          <w:szCs w:val="21"/>
        </w:rPr>
      </w:pPr>
      <w:r>
        <w:rPr>
          <w:b/>
          <w:szCs w:val="21"/>
        </w:rPr>
        <w:t>4</w:t>
      </w:r>
      <w:r>
        <w:rPr>
          <w:b/>
          <w:szCs w:val="21"/>
        </w:rPr>
        <w:t>、综合</w:t>
      </w:r>
      <w:r>
        <w:rPr>
          <w:szCs w:val="21"/>
        </w:rPr>
        <w:t>：</w:t>
      </w:r>
      <w:r>
        <w:rPr>
          <w:rFonts w:hAnsi="Arial"/>
          <w:kern w:val="0"/>
          <w:szCs w:val="21"/>
        </w:rPr>
        <w:t>染色体的组装；核酸的变性、复性</w:t>
      </w:r>
      <w:r>
        <w:rPr>
          <w:rFonts w:hAnsi="Arial" w:hint="eastAsia"/>
          <w:kern w:val="0"/>
          <w:szCs w:val="21"/>
        </w:rPr>
        <w:t>；生物进化的</w:t>
      </w:r>
      <w:r>
        <w:rPr>
          <w:rFonts w:hAnsi="Arial" w:hint="eastAsia"/>
          <w:kern w:val="0"/>
          <w:szCs w:val="21"/>
        </w:rPr>
        <w:t>C</w:t>
      </w:r>
      <w:r>
        <w:rPr>
          <w:rFonts w:hAnsi="Arial" w:hint="eastAsia"/>
          <w:kern w:val="0"/>
          <w:szCs w:val="21"/>
        </w:rPr>
        <w:t>值矛盾。</w:t>
      </w:r>
    </w:p>
    <w:p w14:paraId="644ED506"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14:paraId="3F4F42BD" w14:textId="77777777" w:rsidR="00F5289E" w:rsidRDefault="00F5289E">
      <w:pPr>
        <w:adjustRightInd w:val="0"/>
        <w:snapToGrid w:val="0"/>
        <w:spacing w:line="360" w:lineRule="auto"/>
        <w:rPr>
          <w:szCs w:val="21"/>
        </w:rPr>
      </w:pPr>
    </w:p>
    <w:p w14:paraId="5EC0144A" w14:textId="77777777" w:rsidR="00F5289E" w:rsidRDefault="00F5289E">
      <w:pPr>
        <w:pStyle w:val="a9"/>
        <w:adjustRightInd w:val="0"/>
        <w:snapToGrid w:val="0"/>
        <w:spacing w:line="360" w:lineRule="auto"/>
        <w:jc w:val="center"/>
        <w:rPr>
          <w:rFonts w:ascii="Times New Roman" w:hAnsi="Times New Roman" w:cs="Times New Roman"/>
          <w:b/>
        </w:rPr>
      </w:pPr>
    </w:p>
    <w:p w14:paraId="09D74D9A"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二</w:t>
      </w:r>
      <w:r>
        <w:rPr>
          <w:rFonts w:ascii="Times New Roman" w:hAnsi="Times New Roman" w:cs="Times New Roman"/>
          <w:b/>
        </w:rPr>
        <w:t>章</w:t>
      </w:r>
      <w:r>
        <w:rPr>
          <w:rFonts w:ascii="Times New Roman" w:hAnsi="Times New Roman" w:cs="Times New Roman" w:hint="eastAsia"/>
          <w:b/>
        </w:rPr>
        <w:t xml:space="preserve">  </w:t>
      </w:r>
      <w:r>
        <w:rPr>
          <w:rFonts w:hint="eastAsia"/>
          <w:b/>
          <w:bCs/>
          <w:kern w:val="0"/>
        </w:rPr>
        <w:t>DNA复制</w:t>
      </w:r>
    </w:p>
    <w:p w14:paraId="23C8C3F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6811DAD3"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int="eastAsia"/>
          <w:szCs w:val="21"/>
        </w:rPr>
        <w:t>真核生物</w:t>
      </w:r>
      <w:r>
        <w:rPr>
          <w:rFonts w:hint="eastAsia"/>
          <w:szCs w:val="21"/>
        </w:rPr>
        <w:t xml:space="preserve">DNA </w:t>
      </w:r>
      <w:r>
        <w:rPr>
          <w:rFonts w:hint="eastAsia"/>
          <w:szCs w:val="21"/>
        </w:rPr>
        <w:t>复制的特点；</w:t>
      </w:r>
      <w:r>
        <w:rPr>
          <w:rFonts w:hint="eastAsia"/>
          <w:szCs w:val="21"/>
        </w:rPr>
        <w:t>DNA</w:t>
      </w:r>
      <w:r>
        <w:rPr>
          <w:rFonts w:hint="eastAsia"/>
          <w:szCs w:val="21"/>
        </w:rPr>
        <w:t>复制的调控特征。</w:t>
      </w:r>
    </w:p>
    <w:p w14:paraId="1004CE89"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bookmarkStart w:id="171" w:name="OLE_LINK9"/>
      <w:r>
        <w:rPr>
          <w:rFonts w:hAnsi="Arial" w:hint="eastAsia"/>
          <w:kern w:val="0"/>
          <w:szCs w:val="21"/>
        </w:rPr>
        <w:t>DNA</w:t>
      </w:r>
      <w:r>
        <w:rPr>
          <w:rFonts w:hAnsi="Arial" w:hint="eastAsia"/>
          <w:kern w:val="0"/>
          <w:szCs w:val="21"/>
        </w:rPr>
        <w:t>复制的基本特征，</w:t>
      </w:r>
      <w:r>
        <w:rPr>
          <w:rFonts w:hAnsi="Arial" w:hint="eastAsia"/>
          <w:kern w:val="0"/>
          <w:szCs w:val="21"/>
        </w:rPr>
        <w:t>DNA</w:t>
      </w:r>
      <w:r>
        <w:rPr>
          <w:rFonts w:hAnsi="Arial" w:hint="eastAsia"/>
          <w:kern w:val="0"/>
          <w:szCs w:val="21"/>
        </w:rPr>
        <w:t>复制的方向、起点；细菌</w:t>
      </w:r>
      <w:r>
        <w:rPr>
          <w:rFonts w:hAnsi="Arial" w:hint="eastAsia"/>
          <w:kern w:val="0"/>
          <w:szCs w:val="21"/>
        </w:rPr>
        <w:t>DNA</w:t>
      </w:r>
      <w:r>
        <w:rPr>
          <w:rFonts w:hAnsi="Arial" w:hint="eastAsia"/>
          <w:kern w:val="0"/>
          <w:szCs w:val="21"/>
        </w:rPr>
        <w:t>复制过程</w:t>
      </w:r>
      <w:r>
        <w:rPr>
          <w:rFonts w:hint="eastAsia"/>
          <w:szCs w:val="21"/>
        </w:rPr>
        <w:t>。</w:t>
      </w:r>
      <w:bookmarkEnd w:id="171"/>
    </w:p>
    <w:p w14:paraId="2374173E" w14:textId="77777777" w:rsidR="00F5289E" w:rsidRDefault="00C91173">
      <w:pPr>
        <w:ind w:leftChars="200" w:left="420"/>
        <w:rPr>
          <w:szCs w:val="21"/>
        </w:rPr>
      </w:pPr>
      <w:r>
        <w:rPr>
          <w:b/>
          <w:szCs w:val="21"/>
        </w:rPr>
        <w:t xml:space="preserve">3. </w:t>
      </w:r>
      <w:r>
        <w:rPr>
          <w:b/>
          <w:szCs w:val="21"/>
        </w:rPr>
        <w:t>熟练掌握</w:t>
      </w:r>
      <w:r>
        <w:rPr>
          <w:szCs w:val="21"/>
        </w:rPr>
        <w:t>：</w:t>
      </w:r>
      <w:r>
        <w:rPr>
          <w:rFonts w:hint="eastAsia"/>
          <w:szCs w:val="21"/>
        </w:rPr>
        <w:t>DNA</w:t>
      </w:r>
      <w:r>
        <w:rPr>
          <w:rFonts w:hint="eastAsia"/>
          <w:szCs w:val="21"/>
        </w:rPr>
        <w:t>复制中重要的酶和蛋白质；</w:t>
      </w:r>
      <w:r>
        <w:rPr>
          <w:rFonts w:hint="eastAsia"/>
          <w:szCs w:val="21"/>
        </w:rPr>
        <w:t>DNA</w:t>
      </w:r>
      <w:r>
        <w:rPr>
          <w:rFonts w:hint="eastAsia"/>
          <w:szCs w:val="21"/>
        </w:rPr>
        <w:t>复制的多种模式（滚环复制、</w:t>
      </w:r>
      <w:r>
        <w:rPr>
          <w:rFonts w:hint="eastAsia"/>
          <w:szCs w:val="21"/>
        </w:rPr>
        <w:t>D</w:t>
      </w:r>
      <w:r>
        <w:rPr>
          <w:rFonts w:hint="eastAsia"/>
          <w:szCs w:val="21"/>
        </w:rPr>
        <w:t>环复制、θ环复制等）。</w:t>
      </w:r>
    </w:p>
    <w:p w14:paraId="37AC6537"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6BB3B197" w14:textId="77777777" w:rsidR="00F5289E" w:rsidRDefault="00C91173">
      <w:pPr>
        <w:adjustRightInd w:val="0"/>
        <w:snapToGrid w:val="0"/>
        <w:spacing w:line="360" w:lineRule="auto"/>
        <w:ind w:firstLineChars="200" w:firstLine="420"/>
        <w:rPr>
          <w:b/>
          <w:szCs w:val="21"/>
        </w:rPr>
      </w:pPr>
      <w:r>
        <w:rPr>
          <w:szCs w:val="21"/>
        </w:rPr>
        <w:t>DNA</w:t>
      </w:r>
      <w:r>
        <w:rPr>
          <w:szCs w:val="21"/>
        </w:rPr>
        <w:t>复制的过程</w:t>
      </w:r>
      <w:r>
        <w:rPr>
          <w:rFonts w:hint="eastAsia"/>
          <w:szCs w:val="21"/>
        </w:rPr>
        <w:t>、特征和模式；</w:t>
      </w:r>
      <w:r>
        <w:rPr>
          <w:rFonts w:hint="eastAsia"/>
          <w:szCs w:val="21"/>
        </w:rPr>
        <w:t>DNA</w:t>
      </w:r>
      <w:r>
        <w:rPr>
          <w:rFonts w:hint="eastAsia"/>
          <w:szCs w:val="21"/>
        </w:rPr>
        <w:t>复制中重要的酶和蛋白质。</w:t>
      </w:r>
    </w:p>
    <w:p w14:paraId="67B0DA0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6AA09A8"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：原核生物</w:t>
      </w:r>
      <w:r>
        <w:rPr>
          <w:szCs w:val="21"/>
        </w:rPr>
        <w:t>DNA</w:t>
      </w:r>
      <w:r>
        <w:rPr>
          <w:szCs w:val="21"/>
        </w:rPr>
        <w:t>复制的过程</w:t>
      </w:r>
      <w:r>
        <w:rPr>
          <w:kern w:val="0"/>
          <w:szCs w:val="21"/>
        </w:rPr>
        <w:t>。</w:t>
      </w:r>
    </w:p>
    <w:p w14:paraId="444118D8"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szCs w:val="21"/>
        </w:rPr>
        <w:t>DNA</w:t>
      </w:r>
      <w:r>
        <w:rPr>
          <w:szCs w:val="21"/>
        </w:rPr>
        <w:t>复制的调控机制</w:t>
      </w:r>
      <w:r>
        <w:rPr>
          <w:rFonts w:hint="eastAsia"/>
          <w:szCs w:val="21"/>
        </w:rPr>
        <w:t>。</w:t>
      </w:r>
    </w:p>
    <w:p w14:paraId="1062F3C2" w14:textId="77777777" w:rsidR="00F5289E" w:rsidRDefault="00C91173">
      <w:pPr>
        <w:adjustRightInd w:val="0"/>
        <w:snapToGrid w:val="0"/>
        <w:spacing w:line="360" w:lineRule="auto"/>
        <w:ind w:leftChars="200" w:left="420"/>
        <w:rPr>
          <w:szCs w:val="21"/>
        </w:rPr>
      </w:pPr>
      <w:r>
        <w:rPr>
          <w:b/>
          <w:szCs w:val="21"/>
        </w:rPr>
        <w:t>3</w:t>
      </w:r>
      <w:r>
        <w:rPr>
          <w:b/>
          <w:szCs w:val="21"/>
        </w:rPr>
        <w:t>、应用</w:t>
      </w:r>
      <w:r>
        <w:rPr>
          <w:szCs w:val="21"/>
        </w:rPr>
        <w:t>：真核生物</w:t>
      </w:r>
      <w:r>
        <w:rPr>
          <w:rFonts w:hint="eastAsia"/>
          <w:szCs w:val="21"/>
        </w:rPr>
        <w:t>与原核生物</w:t>
      </w:r>
      <w:r>
        <w:rPr>
          <w:szCs w:val="21"/>
        </w:rPr>
        <w:t>DNA</w:t>
      </w:r>
      <w:r>
        <w:rPr>
          <w:szCs w:val="21"/>
        </w:rPr>
        <w:t>复制的</w:t>
      </w:r>
      <w:r>
        <w:rPr>
          <w:rFonts w:hint="eastAsia"/>
          <w:szCs w:val="21"/>
        </w:rPr>
        <w:t>区别；</w:t>
      </w:r>
      <w:r>
        <w:rPr>
          <w:szCs w:val="21"/>
        </w:rPr>
        <w:t>DNA</w:t>
      </w:r>
      <w:r>
        <w:rPr>
          <w:szCs w:val="21"/>
        </w:rPr>
        <w:t>复制的调控机制</w:t>
      </w:r>
      <w:r>
        <w:rPr>
          <w:rFonts w:hint="eastAsia"/>
          <w:szCs w:val="21"/>
        </w:rPr>
        <w:t>。</w:t>
      </w:r>
    </w:p>
    <w:p w14:paraId="3F2E126C" w14:textId="77777777" w:rsidR="00F5289E" w:rsidRDefault="00C91173">
      <w:pPr>
        <w:adjustRightInd w:val="0"/>
        <w:snapToGrid w:val="0"/>
        <w:spacing w:line="360" w:lineRule="auto"/>
        <w:ind w:leftChars="200" w:left="420"/>
        <w:rPr>
          <w:b/>
          <w:szCs w:val="21"/>
        </w:rPr>
      </w:pPr>
      <w:r>
        <w:rPr>
          <w:b/>
          <w:szCs w:val="21"/>
        </w:rPr>
        <w:t>4</w:t>
      </w:r>
      <w:r>
        <w:rPr>
          <w:b/>
          <w:szCs w:val="21"/>
        </w:rPr>
        <w:t>、综合</w:t>
      </w:r>
      <w:r>
        <w:rPr>
          <w:szCs w:val="21"/>
        </w:rPr>
        <w:t>：原核生物</w:t>
      </w:r>
      <w:r>
        <w:rPr>
          <w:szCs w:val="21"/>
        </w:rPr>
        <w:t>DNA</w:t>
      </w:r>
      <w:r>
        <w:rPr>
          <w:szCs w:val="21"/>
        </w:rPr>
        <w:t>复制的过程</w:t>
      </w:r>
      <w:r>
        <w:rPr>
          <w:rFonts w:hint="eastAsia"/>
          <w:szCs w:val="21"/>
        </w:rPr>
        <w:t>和复制的模式。</w:t>
      </w:r>
    </w:p>
    <w:p w14:paraId="658594DF"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14:paraId="50AD0E78" w14:textId="77777777" w:rsidR="00F5289E" w:rsidRDefault="00F5289E">
      <w:pPr>
        <w:pStyle w:val="a9"/>
        <w:adjustRightInd w:val="0"/>
        <w:snapToGrid w:val="0"/>
        <w:spacing w:line="360" w:lineRule="auto"/>
        <w:rPr>
          <w:rFonts w:ascii="Times New Roman" w:hAnsi="Times New Roman" w:cs="Times New Roman"/>
          <w:b/>
        </w:rPr>
      </w:pPr>
    </w:p>
    <w:p w14:paraId="1A10FB2C" w14:textId="77777777" w:rsidR="00F5289E" w:rsidRDefault="00F5289E">
      <w:pPr>
        <w:pStyle w:val="a9"/>
        <w:adjustRightInd w:val="0"/>
        <w:snapToGrid w:val="0"/>
        <w:spacing w:line="360" w:lineRule="auto"/>
        <w:rPr>
          <w:rFonts w:ascii="Times New Roman" w:hAnsi="Times New Roman" w:cs="Times New Roman"/>
          <w:b/>
        </w:rPr>
      </w:pPr>
    </w:p>
    <w:p w14:paraId="188077D7"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三</w:t>
      </w:r>
      <w:r>
        <w:rPr>
          <w:rFonts w:ascii="Times New Roman" w:hAnsi="Times New Roman" w:cs="Times New Roman"/>
          <w:b/>
        </w:rPr>
        <w:t>章</w:t>
      </w:r>
      <w:r>
        <w:rPr>
          <w:rFonts w:ascii="Times New Roman" w:hAnsi="Times New Roman" w:cs="Times New Roman" w:hint="eastAsia"/>
          <w:b/>
        </w:rPr>
        <w:t xml:space="preserve">  </w:t>
      </w:r>
      <w:r>
        <w:rPr>
          <w:rFonts w:hint="eastAsia"/>
          <w:b/>
          <w:bCs/>
          <w:kern w:val="0"/>
        </w:rPr>
        <w:t>RNA的转录</w:t>
      </w:r>
    </w:p>
    <w:p w14:paraId="1382371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587575A"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Ansi="Arial"/>
          <w:kern w:val="0"/>
          <w:szCs w:val="21"/>
        </w:rPr>
        <w:t>转录的一般特点；原核生物转录产物的加工</w:t>
      </w:r>
      <w:r>
        <w:rPr>
          <w:rFonts w:hAnsi="Arial" w:hint="eastAsia"/>
          <w:kern w:val="0"/>
          <w:szCs w:val="21"/>
        </w:rPr>
        <w:t>；</w:t>
      </w:r>
      <w:r>
        <w:rPr>
          <w:rFonts w:hAnsi="Arial"/>
          <w:kern w:val="0"/>
          <w:szCs w:val="21"/>
        </w:rPr>
        <w:t>真核生物</w:t>
      </w:r>
      <w:r>
        <w:rPr>
          <w:kern w:val="0"/>
          <w:szCs w:val="21"/>
        </w:rPr>
        <w:t>tRNA</w:t>
      </w:r>
      <w:r>
        <w:rPr>
          <w:rFonts w:hAnsi="Arial"/>
          <w:kern w:val="0"/>
          <w:szCs w:val="21"/>
        </w:rPr>
        <w:t>前体的转录后加工；真核生物</w:t>
      </w:r>
      <w:r>
        <w:rPr>
          <w:kern w:val="0"/>
          <w:szCs w:val="21"/>
        </w:rPr>
        <w:t>rRNA</w:t>
      </w:r>
      <w:r>
        <w:rPr>
          <w:rFonts w:hAnsi="Arial"/>
          <w:kern w:val="0"/>
          <w:szCs w:val="21"/>
        </w:rPr>
        <w:t>前体的转录后加工；</w:t>
      </w:r>
      <w:r>
        <w:rPr>
          <w:kern w:val="0"/>
          <w:szCs w:val="21"/>
        </w:rPr>
        <w:t>RNA</w:t>
      </w:r>
      <w:r>
        <w:rPr>
          <w:rFonts w:hAnsi="Arial"/>
          <w:kern w:val="0"/>
          <w:szCs w:val="21"/>
        </w:rPr>
        <w:t>指导下</w:t>
      </w:r>
      <w:r>
        <w:rPr>
          <w:kern w:val="0"/>
          <w:szCs w:val="21"/>
        </w:rPr>
        <w:t>RNA</w:t>
      </w:r>
      <w:r>
        <w:rPr>
          <w:rFonts w:hAnsi="Arial"/>
          <w:kern w:val="0"/>
          <w:szCs w:val="21"/>
        </w:rPr>
        <w:t>的生物合成</w:t>
      </w:r>
      <w:r>
        <w:rPr>
          <w:rFonts w:hAnsi="Arial" w:hint="eastAsia"/>
          <w:kern w:val="0"/>
          <w:szCs w:val="21"/>
        </w:rPr>
        <w:t>；</w:t>
      </w:r>
      <w:r>
        <w:rPr>
          <w:rFonts w:hAnsi="Arial" w:hint="eastAsia"/>
          <w:kern w:val="0"/>
          <w:szCs w:val="21"/>
        </w:rPr>
        <w:t>RNA</w:t>
      </w:r>
      <w:r>
        <w:rPr>
          <w:rFonts w:hAnsi="Arial" w:hint="eastAsia"/>
          <w:kern w:val="0"/>
          <w:szCs w:val="21"/>
        </w:rPr>
        <w:t>转录的抑制作用</w:t>
      </w:r>
      <w:r>
        <w:rPr>
          <w:rFonts w:hint="eastAsia"/>
          <w:kern w:val="0"/>
          <w:szCs w:val="21"/>
        </w:rPr>
        <w:t>。</w:t>
      </w:r>
    </w:p>
    <w:p w14:paraId="342ED8CF"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Ansi="Arial" w:hint="eastAsia"/>
          <w:kern w:val="0"/>
          <w:szCs w:val="21"/>
        </w:rPr>
        <w:t>转录反应的模板；</w:t>
      </w:r>
      <w:r>
        <w:rPr>
          <w:rFonts w:hAnsi="Arial" w:hint="eastAsia"/>
          <w:kern w:val="0"/>
          <w:szCs w:val="21"/>
        </w:rPr>
        <w:t>DNA</w:t>
      </w:r>
      <w:r>
        <w:rPr>
          <w:rFonts w:hAnsi="Arial" w:hint="eastAsia"/>
          <w:kern w:val="0"/>
          <w:szCs w:val="21"/>
        </w:rPr>
        <w:t>指导的</w:t>
      </w:r>
      <w:r>
        <w:rPr>
          <w:rFonts w:hAnsi="Arial" w:hint="eastAsia"/>
          <w:kern w:val="0"/>
          <w:szCs w:val="21"/>
        </w:rPr>
        <w:t>RNA</w:t>
      </w:r>
      <w:r>
        <w:rPr>
          <w:rFonts w:hAnsi="Arial" w:hint="eastAsia"/>
          <w:kern w:val="0"/>
          <w:szCs w:val="21"/>
        </w:rPr>
        <w:t>聚合酶；</w:t>
      </w:r>
      <w:r>
        <w:rPr>
          <w:rFonts w:hAnsi="Arial"/>
          <w:kern w:val="0"/>
          <w:szCs w:val="21"/>
        </w:rPr>
        <w:t>真核生物的</w:t>
      </w:r>
      <w:r>
        <w:rPr>
          <w:kern w:val="0"/>
          <w:szCs w:val="21"/>
        </w:rPr>
        <w:t>RNA</w:t>
      </w:r>
      <w:r>
        <w:rPr>
          <w:rFonts w:hAnsi="Arial"/>
          <w:kern w:val="0"/>
          <w:szCs w:val="21"/>
        </w:rPr>
        <w:t>聚合酶</w:t>
      </w:r>
      <w:r>
        <w:rPr>
          <w:rFonts w:ascii="宋体" w:hAnsi="宋体" w:hint="eastAsia"/>
          <w:kern w:val="0"/>
          <w:szCs w:val="21"/>
        </w:rPr>
        <w:t>Ⅱ</w:t>
      </w:r>
      <w:r>
        <w:rPr>
          <w:rFonts w:hAnsi="Arial" w:hint="eastAsia"/>
          <w:kern w:val="0"/>
          <w:szCs w:val="21"/>
        </w:rPr>
        <w:t>催化的转录过程；</w:t>
      </w:r>
      <w:r>
        <w:rPr>
          <w:kern w:val="0"/>
          <w:szCs w:val="21"/>
        </w:rPr>
        <w:t>RNA</w:t>
      </w:r>
      <w:r>
        <w:rPr>
          <w:rFonts w:hAnsi="Arial"/>
          <w:kern w:val="0"/>
          <w:szCs w:val="21"/>
        </w:rPr>
        <w:t>的剪接、编辑和再编码</w:t>
      </w:r>
      <w:r>
        <w:rPr>
          <w:rFonts w:hint="eastAsia"/>
          <w:szCs w:val="21"/>
        </w:rPr>
        <w:t>。</w:t>
      </w:r>
    </w:p>
    <w:p w14:paraId="0440511F"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Ansi="Arial"/>
          <w:kern w:val="0"/>
          <w:szCs w:val="21"/>
        </w:rPr>
        <w:t>转录</w:t>
      </w:r>
      <w:r>
        <w:rPr>
          <w:rFonts w:hAnsi="Arial" w:hint="eastAsia"/>
          <w:kern w:val="0"/>
          <w:szCs w:val="21"/>
        </w:rPr>
        <w:t>的</w:t>
      </w:r>
      <w:r>
        <w:rPr>
          <w:rFonts w:hint="eastAsia"/>
          <w:kern w:val="0"/>
          <w:szCs w:val="21"/>
        </w:rPr>
        <w:t>3</w:t>
      </w:r>
      <w:r>
        <w:rPr>
          <w:rFonts w:hAnsi="Arial"/>
          <w:kern w:val="0"/>
          <w:szCs w:val="21"/>
        </w:rPr>
        <w:t>个主要阶段</w:t>
      </w:r>
      <w:r>
        <w:rPr>
          <w:rFonts w:hAnsi="Arial" w:hint="eastAsia"/>
          <w:kern w:val="0"/>
          <w:szCs w:val="21"/>
        </w:rPr>
        <w:t>；启动子、转录因子、终止子；原核和真核生物</w:t>
      </w:r>
      <w:r>
        <w:rPr>
          <w:rFonts w:hAnsi="Arial" w:hint="eastAsia"/>
          <w:kern w:val="0"/>
          <w:szCs w:val="21"/>
        </w:rPr>
        <w:t>RNA</w:t>
      </w:r>
      <w:r>
        <w:rPr>
          <w:rFonts w:hAnsi="Arial" w:hint="eastAsia"/>
          <w:kern w:val="0"/>
          <w:szCs w:val="21"/>
        </w:rPr>
        <w:t>聚合酶的种类和作用；</w:t>
      </w:r>
      <w:r>
        <w:rPr>
          <w:rFonts w:hAnsi="Arial"/>
          <w:kern w:val="0"/>
          <w:szCs w:val="21"/>
        </w:rPr>
        <w:t>真核生物</w:t>
      </w:r>
      <w:r>
        <w:rPr>
          <w:kern w:val="0"/>
          <w:szCs w:val="21"/>
        </w:rPr>
        <w:t>mRNA</w:t>
      </w:r>
      <w:r>
        <w:rPr>
          <w:rFonts w:hAnsi="Arial"/>
          <w:kern w:val="0"/>
          <w:szCs w:val="21"/>
        </w:rPr>
        <w:t>前体的剪接</w:t>
      </w:r>
      <w:r>
        <w:rPr>
          <w:rFonts w:hint="eastAsia"/>
          <w:szCs w:val="21"/>
        </w:rPr>
        <w:t>。</w:t>
      </w:r>
    </w:p>
    <w:p w14:paraId="3274D686"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756985D" w14:textId="77777777" w:rsidR="00F5289E" w:rsidRDefault="00C91173">
      <w:pPr>
        <w:adjustRightInd w:val="0"/>
        <w:snapToGrid w:val="0"/>
        <w:spacing w:line="360" w:lineRule="auto"/>
        <w:ind w:firstLineChars="200" w:firstLine="420"/>
        <w:rPr>
          <w:szCs w:val="21"/>
        </w:rPr>
      </w:pPr>
      <w:r>
        <w:rPr>
          <w:szCs w:val="21"/>
        </w:rPr>
        <w:t>转录的反应体系。原核生物</w:t>
      </w:r>
      <w:r>
        <w:rPr>
          <w:szCs w:val="21"/>
        </w:rPr>
        <w:t>RNA</w:t>
      </w:r>
      <w:r>
        <w:rPr>
          <w:szCs w:val="21"/>
        </w:rPr>
        <w:t>聚合酶和真核生物中的</w:t>
      </w:r>
      <w:r>
        <w:rPr>
          <w:szCs w:val="21"/>
        </w:rPr>
        <w:t>RNA</w:t>
      </w:r>
      <w:r>
        <w:rPr>
          <w:szCs w:val="21"/>
        </w:rPr>
        <w:t>聚合酶的特点。转录的起始、延长、终止三个阶段。真核</w:t>
      </w:r>
      <w:r>
        <w:rPr>
          <w:szCs w:val="21"/>
        </w:rPr>
        <w:t>RNA</w:t>
      </w:r>
      <w:r>
        <w:rPr>
          <w:szCs w:val="21"/>
        </w:rPr>
        <w:t>的转录后加工，包括各种</w:t>
      </w:r>
      <w:r>
        <w:rPr>
          <w:szCs w:val="21"/>
        </w:rPr>
        <w:t>RNA</w:t>
      </w:r>
      <w:r>
        <w:rPr>
          <w:szCs w:val="21"/>
        </w:rPr>
        <w:t>前体的加工过程。</w:t>
      </w:r>
    </w:p>
    <w:p w14:paraId="601FFEC6"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67DEDB6"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：转录的起始、延长、终止三个阶段</w:t>
      </w:r>
      <w:r>
        <w:rPr>
          <w:rFonts w:hAnsi="Arial" w:hint="eastAsia"/>
          <w:kern w:val="0"/>
          <w:szCs w:val="21"/>
        </w:rPr>
        <w:t>；</w:t>
      </w:r>
      <w:r>
        <w:rPr>
          <w:rFonts w:hAnsi="Arial"/>
          <w:kern w:val="0"/>
          <w:szCs w:val="21"/>
        </w:rPr>
        <w:t>真核生物的</w:t>
      </w:r>
      <w:r>
        <w:rPr>
          <w:kern w:val="0"/>
          <w:szCs w:val="21"/>
        </w:rPr>
        <w:t>RNA</w:t>
      </w:r>
      <w:r>
        <w:rPr>
          <w:rFonts w:hAnsi="Arial"/>
          <w:kern w:val="0"/>
          <w:szCs w:val="21"/>
        </w:rPr>
        <w:t>聚合酶</w:t>
      </w:r>
      <w:r>
        <w:rPr>
          <w:rFonts w:ascii="宋体" w:hAnsi="宋体" w:hint="eastAsia"/>
          <w:kern w:val="0"/>
          <w:szCs w:val="21"/>
        </w:rPr>
        <w:t>Ⅱ</w:t>
      </w:r>
      <w:r>
        <w:rPr>
          <w:rFonts w:hAnsi="Arial" w:hint="eastAsia"/>
          <w:kern w:val="0"/>
          <w:szCs w:val="21"/>
        </w:rPr>
        <w:t>催化的转录过程</w:t>
      </w:r>
      <w:r>
        <w:rPr>
          <w:kern w:val="0"/>
          <w:szCs w:val="21"/>
        </w:rPr>
        <w:t>。</w:t>
      </w:r>
    </w:p>
    <w:p w14:paraId="68153BA7"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Ansi="Arial"/>
          <w:kern w:val="0"/>
          <w:szCs w:val="21"/>
        </w:rPr>
        <w:t>原核生物和真核生物基因转录的差异；原核生物转录产物的加工</w:t>
      </w:r>
      <w:r>
        <w:rPr>
          <w:rFonts w:hAnsi="Arial" w:hint="eastAsia"/>
          <w:kern w:val="0"/>
          <w:szCs w:val="21"/>
        </w:rPr>
        <w:t>；</w:t>
      </w:r>
      <w:r>
        <w:rPr>
          <w:rFonts w:hAnsi="Arial"/>
          <w:kern w:val="0"/>
          <w:szCs w:val="21"/>
        </w:rPr>
        <w:t>真核生物</w:t>
      </w:r>
      <w:r>
        <w:rPr>
          <w:kern w:val="0"/>
          <w:szCs w:val="21"/>
        </w:rPr>
        <w:t>tRNA</w:t>
      </w:r>
      <w:r>
        <w:rPr>
          <w:rFonts w:hAnsi="Arial"/>
          <w:kern w:val="0"/>
          <w:szCs w:val="21"/>
        </w:rPr>
        <w:t>前体的转录后加工；真核生物</w:t>
      </w:r>
      <w:r>
        <w:rPr>
          <w:kern w:val="0"/>
          <w:szCs w:val="21"/>
        </w:rPr>
        <w:t>rRNA</w:t>
      </w:r>
      <w:r>
        <w:rPr>
          <w:rFonts w:hAnsi="Arial"/>
          <w:kern w:val="0"/>
          <w:szCs w:val="21"/>
        </w:rPr>
        <w:t>前体的转录后加工；</w:t>
      </w:r>
      <w:r>
        <w:rPr>
          <w:kern w:val="0"/>
          <w:szCs w:val="21"/>
        </w:rPr>
        <w:t>RNA</w:t>
      </w:r>
      <w:r>
        <w:rPr>
          <w:rFonts w:hAnsi="Arial"/>
          <w:kern w:val="0"/>
          <w:szCs w:val="21"/>
        </w:rPr>
        <w:t>的剪接、编辑和再编码</w:t>
      </w:r>
      <w:r>
        <w:rPr>
          <w:rFonts w:hAnsi="Arial" w:hint="eastAsia"/>
          <w:kern w:val="0"/>
          <w:szCs w:val="21"/>
        </w:rPr>
        <w:t>；</w:t>
      </w:r>
      <w:r>
        <w:rPr>
          <w:kern w:val="0"/>
          <w:szCs w:val="21"/>
        </w:rPr>
        <w:t>RNA</w:t>
      </w:r>
      <w:r>
        <w:rPr>
          <w:rFonts w:hAnsi="Arial"/>
          <w:kern w:val="0"/>
          <w:szCs w:val="21"/>
        </w:rPr>
        <w:t>指导下</w:t>
      </w:r>
      <w:r>
        <w:rPr>
          <w:kern w:val="0"/>
          <w:szCs w:val="21"/>
        </w:rPr>
        <w:t>RNA</w:t>
      </w:r>
      <w:r>
        <w:rPr>
          <w:rFonts w:hAnsi="Arial"/>
          <w:kern w:val="0"/>
          <w:szCs w:val="21"/>
        </w:rPr>
        <w:t>的生物合成</w:t>
      </w:r>
      <w:r>
        <w:rPr>
          <w:rFonts w:hAnsi="Arial" w:hint="eastAsia"/>
          <w:kern w:val="0"/>
          <w:szCs w:val="21"/>
        </w:rPr>
        <w:t>；</w:t>
      </w:r>
      <w:r>
        <w:rPr>
          <w:rFonts w:hAnsi="Arial"/>
          <w:kern w:val="0"/>
          <w:szCs w:val="21"/>
        </w:rPr>
        <w:t>真核生物</w:t>
      </w:r>
      <w:r>
        <w:rPr>
          <w:kern w:val="0"/>
          <w:szCs w:val="21"/>
        </w:rPr>
        <w:t>mRNA</w:t>
      </w:r>
      <w:r>
        <w:rPr>
          <w:rFonts w:hAnsi="Arial"/>
          <w:kern w:val="0"/>
          <w:szCs w:val="21"/>
        </w:rPr>
        <w:t>前体剪接的机制</w:t>
      </w:r>
      <w:r>
        <w:rPr>
          <w:rFonts w:hAnsi="Arial" w:hint="eastAsia"/>
          <w:kern w:val="0"/>
          <w:szCs w:val="21"/>
        </w:rPr>
        <w:t>；</w:t>
      </w:r>
      <w:r>
        <w:rPr>
          <w:rFonts w:hAnsi="Arial"/>
          <w:kern w:val="0"/>
          <w:szCs w:val="21"/>
        </w:rPr>
        <w:t>真核生物的</w:t>
      </w:r>
      <w:r>
        <w:rPr>
          <w:kern w:val="0"/>
          <w:szCs w:val="21"/>
        </w:rPr>
        <w:t>RNA</w:t>
      </w:r>
      <w:r>
        <w:rPr>
          <w:rFonts w:hAnsi="Arial"/>
          <w:kern w:val="0"/>
          <w:szCs w:val="21"/>
        </w:rPr>
        <w:t>聚合酶</w:t>
      </w:r>
      <w:r>
        <w:rPr>
          <w:rFonts w:ascii="宋体" w:hAnsi="宋体" w:hint="eastAsia"/>
          <w:kern w:val="0"/>
          <w:szCs w:val="21"/>
        </w:rPr>
        <w:t>Ⅱ</w:t>
      </w:r>
      <w:r>
        <w:rPr>
          <w:rFonts w:hAnsi="Arial" w:hint="eastAsia"/>
          <w:kern w:val="0"/>
          <w:szCs w:val="21"/>
        </w:rPr>
        <w:t>催化的转录过程</w:t>
      </w:r>
      <w:r>
        <w:rPr>
          <w:rFonts w:hint="eastAsia"/>
          <w:szCs w:val="21"/>
        </w:rPr>
        <w:t>。</w:t>
      </w:r>
    </w:p>
    <w:p w14:paraId="119E5C06"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rFonts w:hAnsi="Arial" w:hint="eastAsia"/>
          <w:kern w:val="0"/>
          <w:szCs w:val="21"/>
        </w:rPr>
        <w:t>RNA</w:t>
      </w:r>
      <w:r>
        <w:rPr>
          <w:rFonts w:hAnsi="Arial" w:hint="eastAsia"/>
          <w:kern w:val="0"/>
          <w:szCs w:val="21"/>
        </w:rPr>
        <w:t>转录的抑制作用。</w:t>
      </w:r>
    </w:p>
    <w:p w14:paraId="033D0A4E" w14:textId="77777777" w:rsidR="00F5289E" w:rsidRDefault="00C91173">
      <w:pPr>
        <w:adjustRightInd w:val="0"/>
        <w:snapToGrid w:val="0"/>
        <w:spacing w:line="360" w:lineRule="auto"/>
        <w:ind w:leftChars="200" w:left="420"/>
        <w:rPr>
          <w:szCs w:val="21"/>
        </w:rPr>
      </w:pPr>
      <w:r>
        <w:rPr>
          <w:b/>
          <w:szCs w:val="21"/>
        </w:rPr>
        <w:t>4</w:t>
      </w:r>
      <w:r>
        <w:rPr>
          <w:b/>
          <w:szCs w:val="21"/>
        </w:rPr>
        <w:t>、综合</w:t>
      </w:r>
      <w:r>
        <w:rPr>
          <w:szCs w:val="21"/>
        </w:rPr>
        <w:t>：转录的起始、延长、终止三个阶段</w:t>
      </w:r>
      <w:r>
        <w:rPr>
          <w:rFonts w:hAnsi="Arial" w:hint="eastAsia"/>
          <w:kern w:val="0"/>
          <w:szCs w:val="21"/>
        </w:rPr>
        <w:t>；启动子、转录因子、终止子；原核和真核生物</w:t>
      </w:r>
      <w:r>
        <w:rPr>
          <w:rFonts w:hAnsi="Arial" w:hint="eastAsia"/>
          <w:kern w:val="0"/>
          <w:szCs w:val="21"/>
        </w:rPr>
        <w:t>RNA</w:t>
      </w:r>
      <w:r>
        <w:rPr>
          <w:rFonts w:hAnsi="Arial" w:hint="eastAsia"/>
          <w:kern w:val="0"/>
          <w:szCs w:val="21"/>
        </w:rPr>
        <w:t>聚合酶的种类和作用；</w:t>
      </w:r>
      <w:r>
        <w:rPr>
          <w:rFonts w:hAnsi="Arial"/>
          <w:kern w:val="0"/>
          <w:szCs w:val="21"/>
        </w:rPr>
        <w:t>真核生物</w:t>
      </w:r>
      <w:r>
        <w:rPr>
          <w:kern w:val="0"/>
          <w:szCs w:val="21"/>
        </w:rPr>
        <w:t>mRNA</w:t>
      </w:r>
      <w:r>
        <w:rPr>
          <w:rFonts w:hAnsi="Arial"/>
          <w:kern w:val="0"/>
          <w:szCs w:val="21"/>
        </w:rPr>
        <w:t>前体的剪接</w:t>
      </w:r>
      <w:r>
        <w:rPr>
          <w:rFonts w:hAnsi="Arial" w:hint="eastAsia"/>
          <w:kern w:val="0"/>
          <w:szCs w:val="21"/>
        </w:rPr>
        <w:t>。</w:t>
      </w:r>
    </w:p>
    <w:p w14:paraId="57C107AF"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14:paraId="2350AB01" w14:textId="77777777" w:rsidR="00F5289E" w:rsidRDefault="00F5289E">
      <w:pPr>
        <w:pStyle w:val="a9"/>
        <w:adjustRightInd w:val="0"/>
        <w:snapToGrid w:val="0"/>
        <w:spacing w:line="360" w:lineRule="auto"/>
        <w:rPr>
          <w:rFonts w:ascii="Times New Roman" w:hAnsi="Times New Roman" w:cs="Times New Roman"/>
          <w:b/>
        </w:rPr>
      </w:pPr>
    </w:p>
    <w:p w14:paraId="68BD1B74"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四</w:t>
      </w:r>
      <w:r>
        <w:rPr>
          <w:rFonts w:ascii="Times New Roman" w:hAnsi="Times New Roman" w:cs="Times New Roman"/>
          <w:b/>
        </w:rPr>
        <w:t>章</w:t>
      </w:r>
      <w:r>
        <w:rPr>
          <w:rFonts w:ascii="Times New Roman" w:hAnsi="Times New Roman" w:cs="Times New Roman" w:hint="eastAsia"/>
          <w:b/>
        </w:rPr>
        <w:t xml:space="preserve">  </w:t>
      </w:r>
      <w:r>
        <w:rPr>
          <w:rFonts w:hint="eastAsia"/>
          <w:b/>
          <w:bCs/>
          <w:kern w:val="0"/>
        </w:rPr>
        <w:t>蛋白质的翻译</w:t>
      </w:r>
    </w:p>
    <w:p w14:paraId="39D3260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466C22A"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Ansi="Arial" w:hint="eastAsia"/>
          <w:kern w:val="0"/>
          <w:szCs w:val="21"/>
        </w:rPr>
        <w:t>蛋白质前体的加工和运输过程、蛋白质合成抑制剂；</w:t>
      </w:r>
      <w:r>
        <w:rPr>
          <w:rFonts w:hAnsi="Arial"/>
          <w:kern w:val="0"/>
          <w:szCs w:val="21"/>
        </w:rPr>
        <w:t>真</w:t>
      </w:r>
      <w:r>
        <w:rPr>
          <w:kern w:val="0"/>
          <w:szCs w:val="21"/>
        </w:rPr>
        <w:t>核生物蛋白质生物合成机制</w:t>
      </w:r>
      <w:r>
        <w:rPr>
          <w:rFonts w:hint="eastAsia"/>
          <w:kern w:val="0"/>
          <w:szCs w:val="21"/>
        </w:rPr>
        <w:t>（与原核生物的差异）。</w:t>
      </w:r>
    </w:p>
    <w:p w14:paraId="2533CD7B"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int="eastAsia"/>
          <w:szCs w:val="21"/>
        </w:rPr>
        <w:t>mRNA</w:t>
      </w:r>
      <w:r>
        <w:rPr>
          <w:rFonts w:hint="eastAsia"/>
          <w:szCs w:val="21"/>
        </w:rPr>
        <w:t>、</w:t>
      </w:r>
      <w:r>
        <w:rPr>
          <w:rFonts w:hint="eastAsia"/>
          <w:szCs w:val="21"/>
        </w:rPr>
        <w:t>tRNA</w:t>
      </w:r>
      <w:r>
        <w:rPr>
          <w:rFonts w:hint="eastAsia"/>
          <w:szCs w:val="21"/>
        </w:rPr>
        <w:t>的结构与功能；</w:t>
      </w:r>
      <w:r>
        <w:rPr>
          <w:rFonts w:hAnsi="Arial" w:hint="eastAsia"/>
          <w:kern w:val="0"/>
          <w:szCs w:val="21"/>
        </w:rPr>
        <w:t>密码子的特点；</w:t>
      </w:r>
      <w:r>
        <w:rPr>
          <w:kern w:val="0"/>
          <w:szCs w:val="21"/>
        </w:rPr>
        <w:t>新生多肽链的折叠与加工</w:t>
      </w:r>
      <w:r>
        <w:rPr>
          <w:rFonts w:hint="eastAsia"/>
          <w:kern w:val="0"/>
          <w:szCs w:val="21"/>
        </w:rPr>
        <w:t>；</w:t>
      </w:r>
      <w:r>
        <w:rPr>
          <w:kern w:val="0"/>
          <w:szCs w:val="21"/>
        </w:rPr>
        <w:t>蛋白质的转运</w:t>
      </w:r>
      <w:r>
        <w:rPr>
          <w:rFonts w:hint="eastAsia"/>
          <w:kern w:val="0"/>
          <w:szCs w:val="21"/>
        </w:rPr>
        <w:t>；</w:t>
      </w:r>
      <w:r>
        <w:rPr>
          <w:rFonts w:hAnsi="Arial"/>
          <w:kern w:val="0"/>
          <w:szCs w:val="21"/>
        </w:rPr>
        <w:t>蛋白质的降解</w:t>
      </w:r>
      <w:r>
        <w:rPr>
          <w:rFonts w:hint="eastAsia"/>
          <w:szCs w:val="21"/>
        </w:rPr>
        <w:t>。</w:t>
      </w:r>
    </w:p>
    <w:p w14:paraId="4F5EA3DA"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Ansi="Arial" w:hint="eastAsia"/>
          <w:kern w:val="0"/>
          <w:szCs w:val="21"/>
        </w:rPr>
        <w:t>蛋白质合成的反应体系；核糖体的组成，结构和功能；原核生物蛋白质合成的生物学机制；保证蛋白质翻译准确起始的机制</w:t>
      </w:r>
      <w:r>
        <w:rPr>
          <w:rFonts w:hint="eastAsia"/>
          <w:szCs w:val="21"/>
        </w:rPr>
        <w:t>。</w:t>
      </w:r>
    </w:p>
    <w:p w14:paraId="7CC0B690" w14:textId="77777777" w:rsidR="00F5289E" w:rsidRDefault="00C91173">
      <w:pPr>
        <w:snapToGrid w:val="0"/>
        <w:spacing w:beforeLines="50" w:before="156" w:line="360" w:lineRule="auto"/>
        <w:rPr>
          <w:rFonts w:ascii="宋体" w:hAnsi="宋体"/>
          <w:szCs w:val="21"/>
        </w:rPr>
      </w:pPr>
      <w:r>
        <w:rPr>
          <w:rFonts w:ascii="宋体" w:hAnsi="宋体" w:hint="eastAsia"/>
          <w:b/>
          <w:szCs w:val="21"/>
        </w:rPr>
        <w:lastRenderedPageBreak/>
        <w:t>（二）考核内容</w:t>
      </w:r>
    </w:p>
    <w:p w14:paraId="0828A063" w14:textId="77777777" w:rsidR="00F5289E" w:rsidRDefault="00C91173">
      <w:pPr>
        <w:adjustRightInd w:val="0"/>
        <w:snapToGrid w:val="0"/>
        <w:spacing w:line="360" w:lineRule="auto"/>
        <w:ind w:firstLineChars="200" w:firstLine="420"/>
        <w:rPr>
          <w:b/>
          <w:szCs w:val="21"/>
        </w:rPr>
      </w:pPr>
      <w:r>
        <w:rPr>
          <w:szCs w:val="21"/>
        </w:rPr>
        <w:t>蛋白质合成的反应体系</w:t>
      </w:r>
      <w:r>
        <w:rPr>
          <w:rFonts w:hint="eastAsia"/>
          <w:szCs w:val="21"/>
        </w:rPr>
        <w:t>；</w:t>
      </w:r>
      <w:r>
        <w:rPr>
          <w:szCs w:val="21"/>
        </w:rPr>
        <w:t>三种</w:t>
      </w:r>
      <w:r>
        <w:rPr>
          <w:szCs w:val="21"/>
        </w:rPr>
        <w:t>RNA</w:t>
      </w:r>
      <w:r>
        <w:rPr>
          <w:szCs w:val="21"/>
        </w:rPr>
        <w:t>在翻译中的作用</w:t>
      </w:r>
      <w:r>
        <w:rPr>
          <w:rFonts w:hint="eastAsia"/>
          <w:szCs w:val="21"/>
        </w:rPr>
        <w:t>；</w:t>
      </w:r>
      <w:r>
        <w:rPr>
          <w:szCs w:val="21"/>
        </w:rPr>
        <w:t>蛋白质合成的起始、延长、终止三个阶段</w:t>
      </w:r>
      <w:r>
        <w:rPr>
          <w:rFonts w:hint="eastAsia"/>
          <w:szCs w:val="21"/>
        </w:rPr>
        <w:t>；</w:t>
      </w:r>
      <w:r>
        <w:rPr>
          <w:szCs w:val="21"/>
        </w:rPr>
        <w:t>原核生物翻译起始与真核生物的区别</w:t>
      </w:r>
      <w:r>
        <w:rPr>
          <w:rFonts w:hint="eastAsia"/>
          <w:szCs w:val="21"/>
        </w:rPr>
        <w:t>；</w:t>
      </w:r>
      <w:r>
        <w:rPr>
          <w:szCs w:val="21"/>
        </w:rPr>
        <w:t>肽链合成后的加工修饰</w:t>
      </w:r>
      <w:r>
        <w:rPr>
          <w:rFonts w:hint="eastAsia"/>
          <w:szCs w:val="21"/>
        </w:rPr>
        <w:t>；</w:t>
      </w:r>
      <w:r>
        <w:rPr>
          <w:szCs w:val="21"/>
        </w:rPr>
        <w:t>蛋白质的转运与降解。</w:t>
      </w:r>
    </w:p>
    <w:p w14:paraId="199DA300"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F82F0D8"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rFonts w:hAnsi="Arial" w:hint="eastAsia"/>
          <w:kern w:val="0"/>
          <w:szCs w:val="21"/>
        </w:rPr>
        <w:t>密码子的特点；</w:t>
      </w:r>
      <w:r>
        <w:rPr>
          <w:kern w:val="0"/>
          <w:szCs w:val="21"/>
        </w:rPr>
        <w:t>新生多肽链的折叠与加工</w:t>
      </w:r>
      <w:r>
        <w:rPr>
          <w:rFonts w:hint="eastAsia"/>
          <w:kern w:val="0"/>
          <w:szCs w:val="21"/>
        </w:rPr>
        <w:t>；</w:t>
      </w:r>
      <w:r>
        <w:rPr>
          <w:kern w:val="0"/>
          <w:szCs w:val="21"/>
        </w:rPr>
        <w:t>蛋白质的转运</w:t>
      </w:r>
      <w:r>
        <w:rPr>
          <w:rFonts w:hint="eastAsia"/>
          <w:kern w:val="0"/>
          <w:szCs w:val="21"/>
        </w:rPr>
        <w:t>；</w:t>
      </w:r>
      <w:r>
        <w:rPr>
          <w:rFonts w:hAnsi="Arial" w:hint="eastAsia"/>
          <w:kern w:val="0"/>
          <w:szCs w:val="21"/>
        </w:rPr>
        <w:t>蛋白质合成抑制剂</w:t>
      </w:r>
      <w:r>
        <w:rPr>
          <w:kern w:val="0"/>
          <w:szCs w:val="21"/>
        </w:rPr>
        <w:t>。</w:t>
      </w:r>
    </w:p>
    <w:p w14:paraId="6D5E70FF"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Ansi="Arial" w:hint="eastAsia"/>
          <w:kern w:val="0"/>
          <w:szCs w:val="21"/>
        </w:rPr>
        <w:t>蛋白质合成的反应体系（</w:t>
      </w:r>
      <w:r>
        <w:rPr>
          <w:rFonts w:hAnsi="Arial" w:hint="eastAsia"/>
          <w:kern w:val="0"/>
          <w:szCs w:val="21"/>
        </w:rPr>
        <w:t>mRNA</w:t>
      </w:r>
      <w:r>
        <w:rPr>
          <w:rFonts w:hAnsi="Arial" w:hint="eastAsia"/>
          <w:kern w:val="0"/>
          <w:szCs w:val="21"/>
        </w:rPr>
        <w:t>、</w:t>
      </w:r>
      <w:r>
        <w:rPr>
          <w:rFonts w:hAnsi="Arial" w:hint="eastAsia"/>
          <w:kern w:val="0"/>
          <w:szCs w:val="21"/>
        </w:rPr>
        <w:t>tRNA</w:t>
      </w:r>
      <w:r>
        <w:rPr>
          <w:rFonts w:hAnsi="Arial" w:hint="eastAsia"/>
          <w:kern w:val="0"/>
          <w:szCs w:val="21"/>
        </w:rPr>
        <w:t>、核糖体、酶和各种因子）；原核生物蛋白质合成的生物学机制（氨基酸的活化、翻译的起始、肽链的延伸、肽链的终止）</w:t>
      </w:r>
      <w:r>
        <w:rPr>
          <w:rFonts w:hint="eastAsia"/>
          <w:kern w:val="0"/>
          <w:szCs w:val="21"/>
        </w:rPr>
        <w:t>；</w:t>
      </w:r>
      <w:r>
        <w:rPr>
          <w:kern w:val="0"/>
          <w:szCs w:val="21"/>
        </w:rPr>
        <w:t>新生多肽链的折叠与加工</w:t>
      </w:r>
      <w:r>
        <w:rPr>
          <w:rFonts w:hint="eastAsia"/>
          <w:szCs w:val="21"/>
        </w:rPr>
        <w:t>。</w:t>
      </w:r>
    </w:p>
    <w:p w14:paraId="5B21E15E"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kern w:val="0"/>
          <w:szCs w:val="21"/>
        </w:rPr>
        <w:t>新生多肽链的折叠与加工</w:t>
      </w:r>
      <w:r>
        <w:rPr>
          <w:rFonts w:hint="eastAsia"/>
          <w:kern w:val="0"/>
          <w:szCs w:val="21"/>
        </w:rPr>
        <w:t>；</w:t>
      </w:r>
      <w:r>
        <w:rPr>
          <w:rFonts w:hAnsi="Arial"/>
          <w:kern w:val="0"/>
          <w:szCs w:val="21"/>
        </w:rPr>
        <w:t>蛋白质生物合成的抑制剂</w:t>
      </w:r>
      <w:r>
        <w:rPr>
          <w:rFonts w:hAnsi="Arial" w:hint="eastAsia"/>
          <w:kern w:val="0"/>
          <w:szCs w:val="21"/>
        </w:rPr>
        <w:t>。</w:t>
      </w:r>
    </w:p>
    <w:p w14:paraId="3DCFC15E" w14:textId="77777777" w:rsidR="00F5289E" w:rsidRDefault="00C91173">
      <w:pPr>
        <w:adjustRightInd w:val="0"/>
        <w:snapToGrid w:val="0"/>
        <w:spacing w:line="360" w:lineRule="auto"/>
        <w:ind w:leftChars="200" w:left="420"/>
        <w:rPr>
          <w:szCs w:val="21"/>
        </w:rPr>
      </w:pPr>
      <w:r>
        <w:rPr>
          <w:b/>
          <w:szCs w:val="21"/>
        </w:rPr>
        <w:t>4</w:t>
      </w:r>
      <w:r>
        <w:rPr>
          <w:b/>
          <w:szCs w:val="21"/>
        </w:rPr>
        <w:t>、综合</w:t>
      </w:r>
      <w:r>
        <w:rPr>
          <w:szCs w:val="21"/>
        </w:rPr>
        <w:t>：</w:t>
      </w:r>
      <w:r>
        <w:rPr>
          <w:rFonts w:hAnsi="Arial"/>
          <w:kern w:val="0"/>
          <w:szCs w:val="21"/>
        </w:rPr>
        <w:t>遗传密码的特性</w:t>
      </w:r>
      <w:r>
        <w:rPr>
          <w:rFonts w:hAnsi="Arial" w:hint="eastAsia"/>
          <w:kern w:val="0"/>
          <w:szCs w:val="21"/>
        </w:rPr>
        <w:t>；</w:t>
      </w:r>
      <w:r>
        <w:rPr>
          <w:rFonts w:hAnsi="Arial"/>
          <w:kern w:val="0"/>
          <w:szCs w:val="21"/>
        </w:rPr>
        <w:t>蛋白质合成的</w:t>
      </w:r>
      <w:r>
        <w:rPr>
          <w:rFonts w:hAnsi="Arial" w:hint="eastAsia"/>
          <w:kern w:val="0"/>
          <w:szCs w:val="21"/>
        </w:rPr>
        <w:t>体系和</w:t>
      </w:r>
      <w:r>
        <w:rPr>
          <w:rFonts w:hAnsi="Arial"/>
          <w:kern w:val="0"/>
          <w:szCs w:val="21"/>
        </w:rPr>
        <w:t>详细过程</w:t>
      </w:r>
      <w:r>
        <w:rPr>
          <w:rFonts w:hAnsi="Arial" w:hint="eastAsia"/>
          <w:kern w:val="0"/>
          <w:szCs w:val="21"/>
        </w:rPr>
        <w:t>；</w:t>
      </w:r>
      <w:r>
        <w:rPr>
          <w:szCs w:val="21"/>
        </w:rPr>
        <w:t>蛋白质的转运与降解</w:t>
      </w:r>
      <w:r>
        <w:rPr>
          <w:rFonts w:hint="eastAsia"/>
          <w:szCs w:val="21"/>
        </w:rPr>
        <w:t>。</w:t>
      </w:r>
    </w:p>
    <w:p w14:paraId="663A1467"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14:paraId="5D2DAAC7" w14:textId="77777777" w:rsidR="00F5289E" w:rsidRDefault="00F5289E">
      <w:pPr>
        <w:adjustRightInd w:val="0"/>
        <w:snapToGrid w:val="0"/>
        <w:spacing w:line="360" w:lineRule="auto"/>
        <w:rPr>
          <w:szCs w:val="21"/>
        </w:rPr>
      </w:pPr>
    </w:p>
    <w:p w14:paraId="3BFD7BB2"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五</w:t>
      </w:r>
      <w:r>
        <w:rPr>
          <w:rFonts w:ascii="Times New Roman" w:hAnsi="Times New Roman" w:cs="Times New Roman"/>
          <w:b/>
        </w:rPr>
        <w:t>章</w:t>
      </w:r>
      <w:r>
        <w:rPr>
          <w:rFonts w:ascii="Times New Roman" w:hAnsi="Times New Roman" w:cs="Times New Roman" w:hint="eastAsia"/>
          <w:b/>
        </w:rPr>
        <w:t xml:space="preserve">  </w:t>
      </w:r>
      <w:r>
        <w:rPr>
          <w:rFonts w:ascii="Times New Roman" w:hAnsi="Times New Roman" w:cs="Times New Roman" w:hint="eastAsia"/>
          <w:b/>
        </w:rPr>
        <w:t>基因表达调控</w:t>
      </w:r>
    </w:p>
    <w:p w14:paraId="067F289F"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745FDC7"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Ansi="宋体" w:hint="eastAsia"/>
          <w:bCs/>
          <w:szCs w:val="21"/>
        </w:rPr>
        <w:t>真核生物基因表达调控；翻译水平的调控；真核生物的基因表达调控的特殊类型</w:t>
      </w:r>
      <w:r>
        <w:rPr>
          <w:rFonts w:hint="eastAsia"/>
          <w:kern w:val="0"/>
          <w:szCs w:val="21"/>
        </w:rPr>
        <w:t>。</w:t>
      </w:r>
    </w:p>
    <w:p w14:paraId="3325A6F7"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int="eastAsia"/>
          <w:szCs w:val="21"/>
        </w:rPr>
        <w:t>原核基因调控机制的类型与特点；</w:t>
      </w:r>
      <w:r>
        <w:rPr>
          <w:rFonts w:hint="eastAsia"/>
          <w:kern w:val="0"/>
          <w:szCs w:val="21"/>
        </w:rPr>
        <w:t>翻译后基因表达调控</w:t>
      </w:r>
      <w:r>
        <w:rPr>
          <w:rFonts w:hint="eastAsia"/>
          <w:szCs w:val="21"/>
        </w:rPr>
        <w:t>。</w:t>
      </w:r>
    </w:p>
    <w:p w14:paraId="46832C3E"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int="eastAsia"/>
          <w:bCs/>
          <w:szCs w:val="21"/>
        </w:rPr>
        <w:t>真核生物转录后水平的调控—</w:t>
      </w:r>
      <w:r>
        <w:rPr>
          <w:rFonts w:hint="eastAsia"/>
          <w:bCs/>
          <w:szCs w:val="21"/>
        </w:rPr>
        <w:t>RNAi</w:t>
      </w:r>
      <w:r>
        <w:rPr>
          <w:rFonts w:hint="eastAsia"/>
          <w:bCs/>
          <w:szCs w:val="21"/>
        </w:rPr>
        <w:t>和反义</w:t>
      </w:r>
      <w:r>
        <w:rPr>
          <w:rFonts w:hint="eastAsia"/>
          <w:bCs/>
          <w:szCs w:val="21"/>
        </w:rPr>
        <w:t>RNA</w:t>
      </w:r>
      <w:r>
        <w:rPr>
          <w:rFonts w:hint="eastAsia"/>
          <w:bCs/>
          <w:szCs w:val="21"/>
        </w:rPr>
        <w:t>；</w:t>
      </w:r>
      <w:r>
        <w:rPr>
          <w:rFonts w:hAnsi="Arial"/>
          <w:bCs/>
          <w:kern w:val="0"/>
          <w:szCs w:val="21"/>
        </w:rPr>
        <w:t>乳糖操纵子</w:t>
      </w:r>
      <w:r>
        <w:rPr>
          <w:rFonts w:hAnsi="Arial" w:hint="eastAsia"/>
          <w:bCs/>
          <w:kern w:val="0"/>
          <w:szCs w:val="21"/>
        </w:rPr>
        <w:t>及</w:t>
      </w:r>
      <w:r>
        <w:rPr>
          <w:rFonts w:hAnsi="Arial"/>
          <w:bCs/>
          <w:kern w:val="0"/>
          <w:szCs w:val="21"/>
        </w:rPr>
        <w:t>色氨酸操纵子</w:t>
      </w:r>
      <w:r>
        <w:rPr>
          <w:rFonts w:hAnsi="Arial" w:hint="eastAsia"/>
          <w:bCs/>
          <w:kern w:val="0"/>
          <w:szCs w:val="21"/>
        </w:rPr>
        <w:t>模型</w:t>
      </w:r>
      <w:r>
        <w:rPr>
          <w:rFonts w:hint="eastAsia"/>
          <w:szCs w:val="21"/>
        </w:rPr>
        <w:t>。</w:t>
      </w:r>
    </w:p>
    <w:p w14:paraId="3145308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6644586" w14:textId="77777777" w:rsidR="00F5289E" w:rsidRDefault="00C91173">
      <w:pPr>
        <w:adjustRightInd w:val="0"/>
        <w:snapToGrid w:val="0"/>
        <w:spacing w:line="360" w:lineRule="auto"/>
        <w:ind w:firstLineChars="200" w:firstLine="420"/>
        <w:rPr>
          <w:b/>
          <w:szCs w:val="21"/>
        </w:rPr>
      </w:pPr>
      <w:r>
        <w:rPr>
          <w:rFonts w:hAnsi="Arial"/>
          <w:bCs/>
          <w:kern w:val="0"/>
          <w:szCs w:val="21"/>
        </w:rPr>
        <w:t>原核生物和真核生物基因表达调控</w:t>
      </w:r>
      <w:r>
        <w:rPr>
          <w:rFonts w:hint="eastAsia"/>
          <w:kern w:val="0"/>
          <w:szCs w:val="21"/>
        </w:rPr>
        <w:t>的类型与特点；</w:t>
      </w:r>
      <w:r>
        <w:rPr>
          <w:rFonts w:hint="eastAsia"/>
          <w:kern w:val="0"/>
          <w:szCs w:val="21"/>
        </w:rPr>
        <w:t>RNAi</w:t>
      </w:r>
      <w:r>
        <w:rPr>
          <w:rFonts w:hint="eastAsia"/>
          <w:kern w:val="0"/>
          <w:szCs w:val="21"/>
        </w:rPr>
        <w:t>和反义</w:t>
      </w:r>
      <w:r>
        <w:rPr>
          <w:rFonts w:hint="eastAsia"/>
          <w:kern w:val="0"/>
          <w:szCs w:val="21"/>
        </w:rPr>
        <w:t>RNA</w:t>
      </w:r>
      <w:r>
        <w:rPr>
          <w:rFonts w:hint="eastAsia"/>
          <w:kern w:val="0"/>
          <w:szCs w:val="21"/>
        </w:rPr>
        <w:t>；真核生物</w:t>
      </w:r>
      <w:r>
        <w:rPr>
          <w:rFonts w:hint="eastAsia"/>
          <w:kern w:val="0"/>
          <w:szCs w:val="21"/>
        </w:rPr>
        <w:t>DNA</w:t>
      </w:r>
      <w:r>
        <w:rPr>
          <w:rFonts w:hint="eastAsia"/>
          <w:kern w:val="0"/>
          <w:szCs w:val="21"/>
        </w:rPr>
        <w:t>甲基化和组蛋白乙酰化与基因活性的调控</w:t>
      </w:r>
      <w:r>
        <w:rPr>
          <w:rFonts w:hint="eastAsia"/>
          <w:szCs w:val="21"/>
        </w:rPr>
        <w:t>。</w:t>
      </w:r>
    </w:p>
    <w:p w14:paraId="0FCBF74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EDA3137"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rFonts w:hint="eastAsia"/>
          <w:kern w:val="0"/>
          <w:szCs w:val="21"/>
        </w:rPr>
        <w:t>原核基因调控机制的类型与特点；乳糖操纵子调控模型和色氨酸操纵子模型；</w:t>
      </w:r>
      <w:r>
        <w:rPr>
          <w:rFonts w:hint="eastAsia"/>
          <w:kern w:val="0"/>
          <w:szCs w:val="21"/>
        </w:rPr>
        <w:t>RNAi</w:t>
      </w:r>
      <w:r>
        <w:rPr>
          <w:rFonts w:hint="eastAsia"/>
          <w:kern w:val="0"/>
          <w:szCs w:val="21"/>
        </w:rPr>
        <w:t>和反义</w:t>
      </w:r>
      <w:r>
        <w:rPr>
          <w:rFonts w:hint="eastAsia"/>
          <w:kern w:val="0"/>
          <w:szCs w:val="21"/>
        </w:rPr>
        <w:t>RNA</w:t>
      </w:r>
      <w:r>
        <w:rPr>
          <w:rFonts w:hint="eastAsia"/>
          <w:kern w:val="0"/>
          <w:szCs w:val="21"/>
        </w:rPr>
        <w:t>；</w:t>
      </w:r>
      <w:r>
        <w:rPr>
          <w:rFonts w:hAnsi="Arial"/>
          <w:bCs/>
          <w:kern w:val="0"/>
          <w:szCs w:val="21"/>
        </w:rPr>
        <w:t>乳糖操纵子</w:t>
      </w:r>
      <w:r>
        <w:rPr>
          <w:rFonts w:hAnsi="Arial" w:hint="eastAsia"/>
          <w:bCs/>
          <w:kern w:val="0"/>
          <w:szCs w:val="21"/>
        </w:rPr>
        <w:t>；</w:t>
      </w:r>
      <w:r>
        <w:rPr>
          <w:rFonts w:hAnsi="Arial"/>
          <w:bCs/>
          <w:kern w:val="0"/>
          <w:szCs w:val="21"/>
        </w:rPr>
        <w:t>色氨酸操纵子</w:t>
      </w:r>
      <w:r>
        <w:rPr>
          <w:kern w:val="0"/>
          <w:szCs w:val="21"/>
        </w:rPr>
        <w:t>。</w:t>
      </w:r>
    </w:p>
    <w:p w14:paraId="339EDD54"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int="eastAsia"/>
          <w:szCs w:val="21"/>
        </w:rPr>
        <w:t>原核基因调控机制的类型；</w:t>
      </w:r>
      <w:r>
        <w:rPr>
          <w:rFonts w:hint="eastAsia"/>
          <w:szCs w:val="21"/>
        </w:rPr>
        <w:t>RNAi</w:t>
      </w:r>
      <w:r>
        <w:rPr>
          <w:rFonts w:hint="eastAsia"/>
          <w:szCs w:val="21"/>
        </w:rPr>
        <w:t>和反义</w:t>
      </w:r>
      <w:r>
        <w:rPr>
          <w:rFonts w:hint="eastAsia"/>
          <w:szCs w:val="21"/>
        </w:rPr>
        <w:t>RNA</w:t>
      </w:r>
      <w:r>
        <w:rPr>
          <w:rFonts w:hint="eastAsia"/>
          <w:kern w:val="0"/>
          <w:szCs w:val="21"/>
        </w:rPr>
        <w:t>。</w:t>
      </w:r>
    </w:p>
    <w:p w14:paraId="709DAAE4" w14:textId="77777777" w:rsidR="00F5289E" w:rsidRDefault="00C91173">
      <w:pPr>
        <w:adjustRightInd w:val="0"/>
        <w:snapToGrid w:val="0"/>
        <w:spacing w:line="360" w:lineRule="auto"/>
        <w:ind w:leftChars="200" w:left="420"/>
        <w:rPr>
          <w:b/>
          <w:szCs w:val="21"/>
        </w:rPr>
      </w:pPr>
      <w:r>
        <w:rPr>
          <w:b/>
          <w:szCs w:val="21"/>
        </w:rPr>
        <w:t>3</w:t>
      </w:r>
      <w:r>
        <w:rPr>
          <w:b/>
          <w:szCs w:val="21"/>
        </w:rPr>
        <w:t>、简单应用</w:t>
      </w:r>
      <w:r>
        <w:rPr>
          <w:szCs w:val="21"/>
        </w:rPr>
        <w:t>：</w:t>
      </w:r>
      <w:r>
        <w:rPr>
          <w:rFonts w:hint="eastAsia"/>
          <w:szCs w:val="21"/>
        </w:rPr>
        <w:t>RNAi</w:t>
      </w:r>
      <w:r>
        <w:rPr>
          <w:rFonts w:hint="eastAsia"/>
          <w:szCs w:val="21"/>
        </w:rPr>
        <w:t>和反义</w:t>
      </w:r>
      <w:r>
        <w:rPr>
          <w:rFonts w:hint="eastAsia"/>
          <w:szCs w:val="21"/>
        </w:rPr>
        <w:t>RNA</w:t>
      </w:r>
      <w:r>
        <w:rPr>
          <w:rFonts w:hint="eastAsia"/>
          <w:szCs w:val="21"/>
        </w:rPr>
        <w:t>；</w:t>
      </w:r>
      <w:r>
        <w:rPr>
          <w:rFonts w:hAnsi="Arial"/>
          <w:bCs/>
          <w:kern w:val="0"/>
          <w:szCs w:val="21"/>
        </w:rPr>
        <w:t>翻译水平的调控</w:t>
      </w:r>
      <w:r>
        <w:rPr>
          <w:rFonts w:hAnsi="Arial" w:hint="eastAsia"/>
          <w:bCs/>
          <w:kern w:val="0"/>
          <w:szCs w:val="21"/>
        </w:rPr>
        <w:t>；</w:t>
      </w:r>
      <w:r>
        <w:rPr>
          <w:rFonts w:hAnsi="Arial"/>
          <w:bCs/>
          <w:kern w:val="0"/>
          <w:szCs w:val="21"/>
        </w:rPr>
        <w:t>翻译后水平上的基因表达调控</w:t>
      </w:r>
      <w:r>
        <w:rPr>
          <w:rFonts w:hAnsi="Arial" w:hint="eastAsia"/>
          <w:kern w:val="0"/>
          <w:szCs w:val="21"/>
        </w:rPr>
        <w:t>。</w:t>
      </w:r>
    </w:p>
    <w:p w14:paraId="6BB1E2B0" w14:textId="77777777" w:rsidR="00F5289E" w:rsidRDefault="00C91173">
      <w:pPr>
        <w:adjustRightInd w:val="0"/>
        <w:snapToGrid w:val="0"/>
        <w:spacing w:line="360" w:lineRule="auto"/>
        <w:ind w:leftChars="200" w:left="420"/>
        <w:rPr>
          <w:rFonts w:hAnsi="宋体"/>
          <w:bCs/>
          <w:szCs w:val="21"/>
        </w:rPr>
      </w:pPr>
      <w:r>
        <w:rPr>
          <w:b/>
          <w:szCs w:val="21"/>
        </w:rPr>
        <w:t>4</w:t>
      </w:r>
      <w:r>
        <w:rPr>
          <w:b/>
          <w:szCs w:val="21"/>
        </w:rPr>
        <w:t>、综合应用</w:t>
      </w:r>
      <w:r>
        <w:rPr>
          <w:szCs w:val="21"/>
        </w:rPr>
        <w:t>：</w:t>
      </w:r>
      <w:r>
        <w:rPr>
          <w:rFonts w:hint="eastAsia"/>
          <w:kern w:val="0"/>
          <w:szCs w:val="21"/>
        </w:rPr>
        <w:t>真核生物</w:t>
      </w:r>
      <w:r>
        <w:rPr>
          <w:bCs/>
          <w:kern w:val="0"/>
          <w:szCs w:val="21"/>
        </w:rPr>
        <w:t>DNA</w:t>
      </w:r>
      <w:r>
        <w:rPr>
          <w:rFonts w:hAnsi="Arial"/>
          <w:bCs/>
          <w:kern w:val="0"/>
          <w:szCs w:val="21"/>
        </w:rPr>
        <w:t>水平上的调控</w:t>
      </w:r>
      <w:r>
        <w:rPr>
          <w:rFonts w:hAnsi="Arial" w:hint="eastAsia"/>
          <w:bCs/>
          <w:kern w:val="0"/>
          <w:szCs w:val="21"/>
        </w:rPr>
        <w:t>；</w:t>
      </w:r>
      <w:r>
        <w:rPr>
          <w:rFonts w:hAnsi="Arial"/>
          <w:bCs/>
          <w:kern w:val="0"/>
          <w:szCs w:val="21"/>
        </w:rPr>
        <w:t>染色体水平的调控</w:t>
      </w:r>
      <w:r>
        <w:rPr>
          <w:rFonts w:hAnsi="Arial" w:hint="eastAsia"/>
          <w:bCs/>
          <w:kern w:val="0"/>
          <w:szCs w:val="21"/>
        </w:rPr>
        <w:t>；</w:t>
      </w:r>
      <w:r>
        <w:rPr>
          <w:rFonts w:hAnsi="Arial"/>
          <w:bCs/>
          <w:kern w:val="0"/>
          <w:szCs w:val="21"/>
        </w:rPr>
        <w:t>转录水平上的基因表达调控</w:t>
      </w:r>
      <w:r>
        <w:rPr>
          <w:rFonts w:hAnsi="Arial" w:hint="eastAsia"/>
          <w:bCs/>
          <w:kern w:val="0"/>
          <w:szCs w:val="21"/>
        </w:rPr>
        <w:t>；</w:t>
      </w:r>
      <w:r>
        <w:rPr>
          <w:rFonts w:hAnsi="Arial"/>
          <w:bCs/>
          <w:kern w:val="0"/>
          <w:szCs w:val="21"/>
        </w:rPr>
        <w:t>转录后水平的调控</w:t>
      </w:r>
      <w:r>
        <w:rPr>
          <w:rFonts w:hAnsi="Arial" w:hint="eastAsia"/>
          <w:bCs/>
          <w:kern w:val="0"/>
          <w:szCs w:val="21"/>
        </w:rPr>
        <w:t>。</w:t>
      </w:r>
    </w:p>
    <w:p w14:paraId="22526F81"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14:paraId="4F8C5B30" w14:textId="77777777" w:rsidR="00F5289E" w:rsidRDefault="00F5289E">
      <w:pPr>
        <w:adjustRightInd w:val="0"/>
        <w:snapToGrid w:val="0"/>
        <w:spacing w:line="360" w:lineRule="auto"/>
        <w:rPr>
          <w:szCs w:val="21"/>
        </w:rPr>
      </w:pPr>
    </w:p>
    <w:p w14:paraId="56932A89" w14:textId="77777777" w:rsidR="00F5289E" w:rsidRDefault="00F5289E">
      <w:pPr>
        <w:pStyle w:val="a9"/>
        <w:adjustRightInd w:val="0"/>
        <w:snapToGrid w:val="0"/>
        <w:spacing w:line="360" w:lineRule="auto"/>
        <w:jc w:val="center"/>
        <w:rPr>
          <w:rFonts w:ascii="Times New Roman" w:hAnsi="Times New Roman" w:cs="Times New Roman"/>
        </w:rPr>
      </w:pPr>
    </w:p>
    <w:p w14:paraId="66D3AB66"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六</w:t>
      </w:r>
      <w:r>
        <w:rPr>
          <w:rFonts w:ascii="Times New Roman" w:hAnsi="Times New Roman" w:cs="Times New Roman"/>
          <w:b/>
        </w:rPr>
        <w:t>章</w:t>
      </w:r>
      <w:r>
        <w:rPr>
          <w:rFonts w:ascii="Times New Roman" w:hAnsi="Times New Roman" w:cs="Times New Roman" w:hint="eastAsia"/>
          <w:b/>
        </w:rPr>
        <w:t xml:space="preserve">  </w:t>
      </w:r>
      <w:r>
        <w:rPr>
          <w:rFonts w:hint="eastAsia"/>
          <w:b/>
          <w:bCs/>
          <w:kern w:val="0"/>
        </w:rPr>
        <w:t>基因突变和遗传重组的分子机制</w:t>
      </w:r>
    </w:p>
    <w:p w14:paraId="61635BE4"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（一）学习目标</w:t>
      </w:r>
    </w:p>
    <w:p w14:paraId="3BC932FD"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int="eastAsia"/>
          <w:szCs w:val="21"/>
        </w:rPr>
        <w:t>基因</w:t>
      </w:r>
      <w:r>
        <w:rPr>
          <w:rFonts w:hAnsi="宋体"/>
          <w:bCs/>
          <w:szCs w:val="21"/>
        </w:rPr>
        <w:t>突变的意义</w:t>
      </w:r>
      <w:r>
        <w:rPr>
          <w:rFonts w:hAnsi="宋体" w:hint="eastAsia"/>
          <w:bCs/>
          <w:szCs w:val="21"/>
        </w:rPr>
        <w:t>；</w:t>
      </w:r>
      <w:r>
        <w:rPr>
          <w:rFonts w:hAnsi="宋体" w:hint="eastAsia"/>
          <w:bCs/>
          <w:szCs w:val="21"/>
        </w:rPr>
        <w:t>DNA</w:t>
      </w:r>
      <w:r>
        <w:rPr>
          <w:rFonts w:hAnsi="宋体" w:hint="eastAsia"/>
          <w:bCs/>
          <w:szCs w:val="21"/>
        </w:rPr>
        <w:t>损伤的原因、类型</w:t>
      </w:r>
      <w:r>
        <w:rPr>
          <w:rFonts w:hint="eastAsia"/>
          <w:kern w:val="0"/>
          <w:szCs w:val="21"/>
        </w:rPr>
        <w:t>。</w:t>
      </w:r>
    </w:p>
    <w:p w14:paraId="30B5E2BC"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kern w:val="0"/>
          <w:szCs w:val="21"/>
        </w:rPr>
        <w:t>DNA</w:t>
      </w:r>
      <w:r>
        <w:rPr>
          <w:rFonts w:hAnsi="Arial"/>
          <w:kern w:val="0"/>
          <w:szCs w:val="21"/>
        </w:rPr>
        <w:t>损伤的修复</w:t>
      </w:r>
      <w:r>
        <w:rPr>
          <w:rFonts w:hAnsi="Arial" w:hint="eastAsia"/>
          <w:kern w:val="0"/>
          <w:szCs w:val="21"/>
        </w:rPr>
        <w:t>方式</w:t>
      </w:r>
      <w:r>
        <w:rPr>
          <w:rFonts w:hint="eastAsia"/>
          <w:szCs w:val="21"/>
        </w:rPr>
        <w:t>。</w:t>
      </w:r>
    </w:p>
    <w:p w14:paraId="4CC8236F"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bCs/>
          <w:szCs w:val="21"/>
        </w:rPr>
        <w:t>DNA</w:t>
      </w:r>
      <w:r>
        <w:rPr>
          <w:rFonts w:hAnsi="宋体"/>
          <w:bCs/>
          <w:szCs w:val="21"/>
        </w:rPr>
        <w:t>损伤产生的机</w:t>
      </w:r>
      <w:r>
        <w:rPr>
          <w:rFonts w:hAnsi="宋体" w:hint="eastAsia"/>
          <w:bCs/>
          <w:szCs w:val="21"/>
        </w:rPr>
        <w:t>制；</w:t>
      </w:r>
      <w:r>
        <w:rPr>
          <w:bCs/>
          <w:szCs w:val="21"/>
        </w:rPr>
        <w:t>DNA</w:t>
      </w:r>
      <w:r>
        <w:rPr>
          <w:rFonts w:hAnsi="宋体"/>
          <w:bCs/>
          <w:szCs w:val="21"/>
        </w:rPr>
        <w:t>重组的</w:t>
      </w:r>
      <w:r>
        <w:rPr>
          <w:rFonts w:hint="eastAsia"/>
          <w:bCs/>
          <w:kern w:val="0"/>
        </w:rPr>
        <w:t>分子机制</w:t>
      </w:r>
      <w:r>
        <w:rPr>
          <w:rFonts w:hint="eastAsia"/>
          <w:szCs w:val="21"/>
        </w:rPr>
        <w:t>。</w:t>
      </w:r>
    </w:p>
    <w:p w14:paraId="35042AB3"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BE6D28A" w14:textId="77777777" w:rsidR="00F5289E" w:rsidRDefault="00C91173">
      <w:pPr>
        <w:adjustRightInd w:val="0"/>
        <w:snapToGrid w:val="0"/>
        <w:spacing w:line="360" w:lineRule="auto"/>
        <w:ind w:firstLineChars="200" w:firstLine="420"/>
        <w:rPr>
          <w:b/>
          <w:szCs w:val="21"/>
        </w:rPr>
      </w:pPr>
      <w:r>
        <w:rPr>
          <w:kern w:val="0"/>
          <w:szCs w:val="21"/>
        </w:rPr>
        <w:t>DNA</w:t>
      </w:r>
      <w:r>
        <w:rPr>
          <w:rFonts w:hAnsi="Arial"/>
          <w:kern w:val="0"/>
          <w:szCs w:val="21"/>
        </w:rPr>
        <w:t>损伤产生的途径</w:t>
      </w:r>
      <w:r>
        <w:rPr>
          <w:rFonts w:hAnsi="Arial" w:hint="eastAsia"/>
          <w:kern w:val="0"/>
          <w:szCs w:val="21"/>
        </w:rPr>
        <w:t>、</w:t>
      </w:r>
      <w:r>
        <w:rPr>
          <w:rFonts w:hAnsi="Arial"/>
          <w:kern w:val="0"/>
          <w:szCs w:val="21"/>
        </w:rPr>
        <w:t>损伤修复的途径</w:t>
      </w:r>
      <w:r>
        <w:rPr>
          <w:rFonts w:hAnsi="宋体"/>
          <w:bCs/>
          <w:szCs w:val="21"/>
        </w:rPr>
        <w:t>及</w:t>
      </w:r>
      <w:r>
        <w:rPr>
          <w:bCs/>
          <w:szCs w:val="21"/>
        </w:rPr>
        <w:t>DNA</w:t>
      </w:r>
      <w:r>
        <w:rPr>
          <w:rFonts w:hAnsi="宋体"/>
          <w:bCs/>
          <w:szCs w:val="21"/>
        </w:rPr>
        <w:t>重组的</w:t>
      </w:r>
      <w:r>
        <w:rPr>
          <w:rFonts w:hint="eastAsia"/>
          <w:bCs/>
          <w:kern w:val="0"/>
        </w:rPr>
        <w:t>分子机制</w:t>
      </w:r>
      <w:r>
        <w:rPr>
          <w:rFonts w:hint="eastAsia"/>
          <w:szCs w:val="21"/>
        </w:rPr>
        <w:t>。</w:t>
      </w:r>
    </w:p>
    <w:p w14:paraId="6127FD3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629A482"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kern w:val="0"/>
          <w:szCs w:val="21"/>
        </w:rPr>
        <w:t>DNA</w:t>
      </w:r>
      <w:r>
        <w:rPr>
          <w:rFonts w:hAnsi="Arial"/>
          <w:kern w:val="0"/>
          <w:szCs w:val="21"/>
        </w:rPr>
        <w:t>损伤产生的途径</w:t>
      </w:r>
      <w:r>
        <w:rPr>
          <w:rFonts w:hAnsi="Arial" w:hint="eastAsia"/>
          <w:kern w:val="0"/>
          <w:szCs w:val="21"/>
        </w:rPr>
        <w:t>、</w:t>
      </w:r>
      <w:r>
        <w:rPr>
          <w:rFonts w:hAnsi="Arial"/>
          <w:kern w:val="0"/>
          <w:szCs w:val="21"/>
        </w:rPr>
        <w:t>损伤修复的途径</w:t>
      </w:r>
      <w:r>
        <w:rPr>
          <w:rFonts w:hAnsi="宋体"/>
          <w:bCs/>
          <w:szCs w:val="21"/>
        </w:rPr>
        <w:t>及</w:t>
      </w:r>
      <w:r>
        <w:rPr>
          <w:bCs/>
          <w:szCs w:val="21"/>
        </w:rPr>
        <w:t>DNA</w:t>
      </w:r>
      <w:r>
        <w:rPr>
          <w:rFonts w:hAnsi="宋体"/>
          <w:bCs/>
          <w:szCs w:val="21"/>
        </w:rPr>
        <w:t>重组的</w:t>
      </w:r>
      <w:r>
        <w:rPr>
          <w:rFonts w:hint="eastAsia"/>
          <w:bCs/>
          <w:kern w:val="0"/>
        </w:rPr>
        <w:t>分子机制</w:t>
      </w:r>
      <w:r>
        <w:rPr>
          <w:kern w:val="0"/>
          <w:szCs w:val="21"/>
        </w:rPr>
        <w:t>。</w:t>
      </w:r>
    </w:p>
    <w:p w14:paraId="1698E94B"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int="eastAsia"/>
          <w:szCs w:val="21"/>
        </w:rPr>
        <w:t>基因</w:t>
      </w:r>
      <w:r>
        <w:rPr>
          <w:rFonts w:hAnsi="宋体"/>
          <w:bCs/>
          <w:szCs w:val="21"/>
        </w:rPr>
        <w:t>突变的意义</w:t>
      </w:r>
      <w:r>
        <w:rPr>
          <w:rFonts w:hint="eastAsia"/>
          <w:kern w:val="0"/>
          <w:szCs w:val="21"/>
        </w:rPr>
        <w:t>。</w:t>
      </w:r>
    </w:p>
    <w:p w14:paraId="033AA277"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kern w:val="0"/>
          <w:szCs w:val="21"/>
        </w:rPr>
        <w:t>DNA</w:t>
      </w:r>
      <w:r>
        <w:rPr>
          <w:rFonts w:hAnsi="Arial"/>
          <w:kern w:val="0"/>
          <w:szCs w:val="21"/>
        </w:rPr>
        <w:t>损伤产生的途径</w:t>
      </w:r>
      <w:r>
        <w:rPr>
          <w:rFonts w:hAnsi="Arial" w:hint="eastAsia"/>
          <w:kern w:val="0"/>
          <w:szCs w:val="21"/>
        </w:rPr>
        <w:t>。</w:t>
      </w:r>
    </w:p>
    <w:p w14:paraId="7B7755E4" w14:textId="77777777" w:rsidR="00F5289E" w:rsidRDefault="00C91173">
      <w:pPr>
        <w:adjustRightInd w:val="0"/>
        <w:snapToGrid w:val="0"/>
        <w:spacing w:line="360" w:lineRule="auto"/>
        <w:ind w:leftChars="200" w:left="420"/>
        <w:rPr>
          <w:rFonts w:hAnsi="宋体"/>
          <w:bCs/>
          <w:szCs w:val="21"/>
        </w:rPr>
      </w:pPr>
      <w:r>
        <w:rPr>
          <w:b/>
          <w:szCs w:val="21"/>
        </w:rPr>
        <w:t>4</w:t>
      </w:r>
      <w:r>
        <w:rPr>
          <w:b/>
          <w:szCs w:val="21"/>
        </w:rPr>
        <w:t>、综合</w:t>
      </w:r>
      <w:r>
        <w:rPr>
          <w:szCs w:val="21"/>
        </w:rPr>
        <w:t>：</w:t>
      </w:r>
      <w:r>
        <w:rPr>
          <w:bCs/>
          <w:szCs w:val="21"/>
        </w:rPr>
        <w:t>DNA</w:t>
      </w:r>
      <w:r>
        <w:rPr>
          <w:rFonts w:hAnsi="宋体"/>
          <w:bCs/>
          <w:szCs w:val="21"/>
        </w:rPr>
        <w:t>重组</w:t>
      </w:r>
      <w:r>
        <w:rPr>
          <w:rFonts w:hAnsi="宋体" w:hint="eastAsia"/>
          <w:bCs/>
          <w:szCs w:val="21"/>
        </w:rPr>
        <w:t>交换</w:t>
      </w:r>
      <w:r>
        <w:rPr>
          <w:rFonts w:hAnsi="宋体"/>
          <w:bCs/>
          <w:szCs w:val="21"/>
        </w:rPr>
        <w:t>的</w:t>
      </w:r>
      <w:r>
        <w:rPr>
          <w:rFonts w:hAnsi="宋体" w:hint="eastAsia"/>
          <w:bCs/>
          <w:szCs w:val="21"/>
        </w:rPr>
        <w:t>分子机制。</w:t>
      </w:r>
    </w:p>
    <w:p w14:paraId="2C27018B"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14:paraId="6F7309AF" w14:textId="77777777" w:rsidR="00F5289E" w:rsidRDefault="00F5289E">
      <w:pPr>
        <w:adjustRightInd w:val="0"/>
        <w:snapToGrid w:val="0"/>
        <w:spacing w:line="360" w:lineRule="auto"/>
        <w:rPr>
          <w:szCs w:val="21"/>
        </w:rPr>
      </w:pPr>
    </w:p>
    <w:p w14:paraId="2B4776C3" w14:textId="77777777" w:rsidR="00F5289E" w:rsidRDefault="00F5289E">
      <w:pPr>
        <w:pStyle w:val="a9"/>
        <w:adjustRightInd w:val="0"/>
        <w:snapToGrid w:val="0"/>
        <w:spacing w:line="360" w:lineRule="auto"/>
        <w:jc w:val="center"/>
        <w:rPr>
          <w:rFonts w:ascii="Times New Roman" w:hAnsi="Times New Roman" w:cs="Times New Roman"/>
          <w:b/>
        </w:rPr>
      </w:pPr>
    </w:p>
    <w:p w14:paraId="6FA3D7CD"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七</w:t>
      </w:r>
      <w:r>
        <w:rPr>
          <w:rFonts w:ascii="Times New Roman" w:hAnsi="Times New Roman" w:cs="Times New Roman"/>
          <w:b/>
        </w:rPr>
        <w:t>章</w:t>
      </w:r>
      <w:r>
        <w:rPr>
          <w:rFonts w:ascii="Times New Roman" w:hAnsi="Times New Roman" w:cs="Times New Roman" w:hint="eastAsia"/>
          <w:b/>
        </w:rPr>
        <w:t xml:space="preserve">  </w:t>
      </w:r>
      <w:r>
        <w:rPr>
          <w:b/>
          <w:bCs/>
          <w:kern w:val="0"/>
        </w:rPr>
        <w:t>系统分子生物学</w:t>
      </w:r>
    </w:p>
    <w:p w14:paraId="7B9ABFD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ABDA7F0"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rFonts w:hAnsi="宋体" w:hint="eastAsia"/>
          <w:bCs/>
          <w:szCs w:val="21"/>
        </w:rPr>
        <w:t>各种技术平台的定义及相应的发展趋势</w:t>
      </w:r>
      <w:r>
        <w:rPr>
          <w:rFonts w:hint="eastAsia"/>
          <w:szCs w:val="21"/>
        </w:rPr>
        <w:t>。</w:t>
      </w:r>
    </w:p>
    <w:p w14:paraId="58E09B7F"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Ansi="宋体"/>
          <w:bCs/>
          <w:szCs w:val="21"/>
        </w:rPr>
        <w:t>系统分子生物学的主要技术平台、基</w:t>
      </w:r>
      <w:r>
        <w:rPr>
          <w:rFonts w:hAnsi="宋体" w:hint="eastAsia"/>
          <w:bCs/>
          <w:szCs w:val="21"/>
        </w:rPr>
        <w:t>本</w:t>
      </w:r>
      <w:r>
        <w:rPr>
          <w:rFonts w:hAnsi="宋体"/>
          <w:bCs/>
          <w:szCs w:val="21"/>
        </w:rPr>
        <w:t>工作流程及应用</w:t>
      </w:r>
      <w:r>
        <w:rPr>
          <w:rFonts w:hint="eastAsia"/>
          <w:kern w:val="0"/>
          <w:szCs w:val="21"/>
        </w:rPr>
        <w:t>。</w:t>
      </w:r>
    </w:p>
    <w:p w14:paraId="3BBA33F9" w14:textId="77777777" w:rsidR="00F5289E" w:rsidRDefault="00C91173">
      <w:pPr>
        <w:adjustRightInd w:val="0"/>
        <w:snapToGrid w:val="0"/>
        <w:spacing w:line="360" w:lineRule="auto"/>
        <w:ind w:leftChars="200" w:left="420"/>
        <w:rPr>
          <w:b/>
          <w:szCs w:val="21"/>
        </w:rPr>
      </w:pPr>
      <w:r>
        <w:rPr>
          <w:b/>
          <w:szCs w:val="21"/>
        </w:rPr>
        <w:t xml:space="preserve">3. </w:t>
      </w:r>
      <w:r>
        <w:rPr>
          <w:b/>
          <w:szCs w:val="21"/>
        </w:rPr>
        <w:t>熟练掌握</w:t>
      </w:r>
      <w:r>
        <w:rPr>
          <w:szCs w:val="21"/>
        </w:rPr>
        <w:t>：</w:t>
      </w:r>
      <w:r>
        <w:rPr>
          <w:rFonts w:hAnsi="宋体" w:hint="eastAsia"/>
          <w:bCs/>
          <w:szCs w:val="21"/>
        </w:rPr>
        <w:t>各种技术平台的</w:t>
      </w:r>
      <w:r>
        <w:rPr>
          <w:rFonts w:hAnsi="宋体"/>
          <w:bCs/>
          <w:szCs w:val="21"/>
        </w:rPr>
        <w:t>主要研究内容</w:t>
      </w:r>
      <w:r>
        <w:rPr>
          <w:rFonts w:hAnsi="宋体" w:hint="eastAsia"/>
          <w:bCs/>
          <w:szCs w:val="21"/>
        </w:rPr>
        <w:t>及</w:t>
      </w:r>
      <w:r>
        <w:rPr>
          <w:rFonts w:hAnsi="宋体"/>
          <w:bCs/>
          <w:szCs w:val="21"/>
        </w:rPr>
        <w:t>研究方法</w:t>
      </w:r>
      <w:r>
        <w:rPr>
          <w:rFonts w:hint="eastAsia"/>
          <w:szCs w:val="21"/>
        </w:rPr>
        <w:t>。</w:t>
      </w:r>
    </w:p>
    <w:p w14:paraId="7168B35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58B41ECA" w14:textId="77777777" w:rsidR="00F5289E" w:rsidRDefault="00C91173">
      <w:pPr>
        <w:adjustRightInd w:val="0"/>
        <w:snapToGrid w:val="0"/>
        <w:spacing w:line="360" w:lineRule="auto"/>
        <w:ind w:firstLineChars="200" w:firstLine="420"/>
        <w:rPr>
          <w:b/>
          <w:szCs w:val="21"/>
        </w:rPr>
      </w:pPr>
      <w:r>
        <w:rPr>
          <w:kern w:val="0"/>
          <w:szCs w:val="21"/>
        </w:rPr>
        <w:t>系统分子生物学的</w:t>
      </w:r>
      <w:r>
        <w:rPr>
          <w:rFonts w:hint="eastAsia"/>
          <w:kern w:val="0"/>
          <w:szCs w:val="21"/>
        </w:rPr>
        <w:t>各种技术平台的</w:t>
      </w:r>
      <w:r>
        <w:rPr>
          <w:kern w:val="0"/>
          <w:szCs w:val="21"/>
        </w:rPr>
        <w:t>研究内容</w:t>
      </w:r>
      <w:r>
        <w:rPr>
          <w:rFonts w:hint="eastAsia"/>
          <w:kern w:val="0"/>
          <w:szCs w:val="21"/>
        </w:rPr>
        <w:t>、研究方法及</w:t>
      </w:r>
      <w:r>
        <w:rPr>
          <w:kern w:val="0"/>
          <w:szCs w:val="21"/>
        </w:rPr>
        <w:t>其发展趋势</w:t>
      </w:r>
      <w:r>
        <w:rPr>
          <w:rFonts w:hint="eastAsia"/>
          <w:szCs w:val="21"/>
        </w:rPr>
        <w:t>。</w:t>
      </w:r>
    </w:p>
    <w:p w14:paraId="110E08A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26F676E"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rFonts w:hint="eastAsia"/>
          <w:szCs w:val="21"/>
        </w:rPr>
        <w:t>各种技术平台的定义、研究内容及研究方法</w:t>
      </w:r>
      <w:r>
        <w:rPr>
          <w:kern w:val="0"/>
          <w:szCs w:val="21"/>
        </w:rPr>
        <w:t>。</w:t>
      </w:r>
    </w:p>
    <w:p w14:paraId="66DFC299"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int="eastAsia"/>
          <w:szCs w:val="21"/>
        </w:rPr>
        <w:t>各种技术平台的发展趋势。</w:t>
      </w:r>
    </w:p>
    <w:p w14:paraId="3139470B" w14:textId="77777777" w:rsidR="00F5289E" w:rsidRDefault="00C91173">
      <w:pPr>
        <w:adjustRightInd w:val="0"/>
        <w:snapToGrid w:val="0"/>
        <w:spacing w:line="360" w:lineRule="auto"/>
        <w:ind w:leftChars="200" w:left="420"/>
        <w:rPr>
          <w:szCs w:val="21"/>
        </w:rPr>
      </w:pPr>
      <w:r>
        <w:rPr>
          <w:b/>
          <w:szCs w:val="21"/>
        </w:rPr>
        <w:t>3</w:t>
      </w:r>
      <w:r>
        <w:rPr>
          <w:b/>
          <w:szCs w:val="21"/>
        </w:rPr>
        <w:t>、应用</w:t>
      </w:r>
      <w:r>
        <w:rPr>
          <w:szCs w:val="21"/>
        </w:rPr>
        <w:t>：</w:t>
      </w:r>
      <w:r>
        <w:rPr>
          <w:rFonts w:hint="eastAsia"/>
          <w:szCs w:val="21"/>
        </w:rPr>
        <w:t>各种技术平台的基本工作流程及其应用。</w:t>
      </w:r>
    </w:p>
    <w:p w14:paraId="7D673434" w14:textId="77777777" w:rsidR="00F5289E" w:rsidRDefault="00C91173">
      <w:pPr>
        <w:adjustRightInd w:val="0"/>
        <w:snapToGrid w:val="0"/>
        <w:spacing w:line="360" w:lineRule="auto"/>
        <w:ind w:leftChars="200" w:left="420"/>
        <w:rPr>
          <w:szCs w:val="21"/>
        </w:rPr>
      </w:pPr>
      <w:r>
        <w:rPr>
          <w:b/>
          <w:szCs w:val="21"/>
        </w:rPr>
        <w:t>4</w:t>
      </w:r>
      <w:r>
        <w:rPr>
          <w:b/>
          <w:szCs w:val="21"/>
        </w:rPr>
        <w:t>、综合</w:t>
      </w:r>
      <w:r>
        <w:rPr>
          <w:szCs w:val="21"/>
        </w:rPr>
        <w:t>：</w:t>
      </w:r>
      <w:r>
        <w:rPr>
          <w:rFonts w:hint="eastAsia"/>
          <w:szCs w:val="21"/>
        </w:rPr>
        <w:t>各种技术平台的研究内容及研究方法。</w:t>
      </w:r>
    </w:p>
    <w:p w14:paraId="7B4AAC78"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14:paraId="7AC761EA" w14:textId="77777777" w:rsidR="00F5289E" w:rsidRDefault="00F5289E">
      <w:pPr>
        <w:adjustRightInd w:val="0"/>
        <w:snapToGrid w:val="0"/>
        <w:spacing w:line="360" w:lineRule="auto"/>
        <w:rPr>
          <w:szCs w:val="21"/>
        </w:rPr>
      </w:pPr>
    </w:p>
    <w:p w14:paraId="4E04449E" w14:textId="77777777" w:rsidR="00F5289E" w:rsidRDefault="00F5289E">
      <w:pPr>
        <w:pStyle w:val="a9"/>
        <w:adjustRightInd w:val="0"/>
        <w:snapToGrid w:val="0"/>
        <w:spacing w:line="360" w:lineRule="auto"/>
        <w:jc w:val="center"/>
        <w:rPr>
          <w:rFonts w:ascii="Times New Roman" w:hAnsi="Times New Roman" w:cs="Times New Roman"/>
          <w:b/>
        </w:rPr>
      </w:pPr>
    </w:p>
    <w:p w14:paraId="14C94FEC" w14:textId="77777777" w:rsidR="00F5289E" w:rsidRDefault="00C91173">
      <w:pPr>
        <w:pStyle w:val="a9"/>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ascii="Times New Roman" w:hAnsi="Times New Roman" w:cs="Times New Roman" w:hint="eastAsia"/>
          <w:b/>
        </w:rPr>
        <w:t>八</w:t>
      </w:r>
      <w:r>
        <w:rPr>
          <w:rFonts w:ascii="Times New Roman" w:hAnsi="Times New Roman" w:cs="Times New Roman"/>
          <w:b/>
        </w:rPr>
        <w:t>章</w:t>
      </w:r>
      <w:r>
        <w:rPr>
          <w:rFonts w:ascii="Times New Roman" w:hAnsi="Times New Roman" w:cs="Times New Roman" w:hint="eastAsia"/>
          <w:b/>
        </w:rPr>
        <w:t xml:space="preserve">  </w:t>
      </w:r>
      <w:r>
        <w:rPr>
          <w:b/>
          <w:bCs/>
          <w:kern w:val="0"/>
        </w:rPr>
        <w:t>分子生物学技术发展及其在农业科学中的应用</w:t>
      </w:r>
    </w:p>
    <w:p w14:paraId="0A0BC12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FFD4296" w14:textId="77777777" w:rsidR="00F5289E" w:rsidRDefault="00C91173">
      <w:pPr>
        <w:adjustRightInd w:val="0"/>
        <w:snapToGrid w:val="0"/>
        <w:spacing w:line="360" w:lineRule="auto"/>
        <w:ind w:leftChars="200" w:left="420"/>
        <w:rPr>
          <w:szCs w:val="21"/>
        </w:rPr>
      </w:pPr>
      <w:r>
        <w:rPr>
          <w:b/>
          <w:szCs w:val="21"/>
        </w:rPr>
        <w:t xml:space="preserve">1. </w:t>
      </w:r>
      <w:r>
        <w:rPr>
          <w:b/>
          <w:szCs w:val="21"/>
        </w:rPr>
        <w:t>一般了解</w:t>
      </w:r>
      <w:r>
        <w:rPr>
          <w:szCs w:val="21"/>
        </w:rPr>
        <w:t>：</w:t>
      </w:r>
      <w:r>
        <w:rPr>
          <w:kern w:val="0"/>
          <w:szCs w:val="21"/>
        </w:rPr>
        <w:t>各种分子生物学技术的</w:t>
      </w:r>
      <w:r>
        <w:rPr>
          <w:rFonts w:hint="eastAsia"/>
          <w:kern w:val="0"/>
          <w:szCs w:val="21"/>
        </w:rPr>
        <w:t>发展趋势。</w:t>
      </w:r>
    </w:p>
    <w:p w14:paraId="31F083C2" w14:textId="77777777" w:rsidR="00F5289E" w:rsidRDefault="00C91173">
      <w:pPr>
        <w:adjustRightInd w:val="0"/>
        <w:snapToGrid w:val="0"/>
        <w:spacing w:line="360" w:lineRule="auto"/>
        <w:ind w:leftChars="200" w:left="420"/>
        <w:rPr>
          <w:szCs w:val="21"/>
        </w:rPr>
      </w:pPr>
      <w:r>
        <w:rPr>
          <w:b/>
          <w:szCs w:val="21"/>
        </w:rPr>
        <w:t xml:space="preserve">2. </w:t>
      </w:r>
      <w:r>
        <w:rPr>
          <w:b/>
          <w:szCs w:val="21"/>
        </w:rPr>
        <w:t>一般掌握</w:t>
      </w:r>
      <w:r>
        <w:rPr>
          <w:szCs w:val="21"/>
        </w:rPr>
        <w:t>：</w:t>
      </w:r>
      <w:r>
        <w:rPr>
          <w:rFonts w:hint="eastAsia"/>
          <w:kern w:val="0"/>
          <w:szCs w:val="21"/>
        </w:rPr>
        <w:t>多种</w:t>
      </w:r>
      <w:r>
        <w:rPr>
          <w:kern w:val="0"/>
          <w:szCs w:val="21"/>
        </w:rPr>
        <w:t>分子生物学技术的原理</w:t>
      </w:r>
      <w:r>
        <w:rPr>
          <w:rFonts w:hint="eastAsia"/>
          <w:szCs w:val="21"/>
        </w:rPr>
        <w:t>。</w:t>
      </w:r>
    </w:p>
    <w:p w14:paraId="72FB6857" w14:textId="77777777" w:rsidR="00F5289E" w:rsidRDefault="00C91173">
      <w:pPr>
        <w:adjustRightInd w:val="0"/>
        <w:snapToGrid w:val="0"/>
        <w:spacing w:line="360" w:lineRule="auto"/>
        <w:ind w:leftChars="200" w:left="420"/>
        <w:rPr>
          <w:b/>
          <w:szCs w:val="21"/>
        </w:rPr>
      </w:pPr>
      <w:r>
        <w:rPr>
          <w:b/>
          <w:szCs w:val="21"/>
        </w:rPr>
        <w:lastRenderedPageBreak/>
        <w:t xml:space="preserve">3. </w:t>
      </w:r>
      <w:r>
        <w:rPr>
          <w:b/>
          <w:szCs w:val="21"/>
        </w:rPr>
        <w:t>熟练掌握</w:t>
      </w:r>
      <w:r>
        <w:rPr>
          <w:szCs w:val="21"/>
        </w:rPr>
        <w:t>：</w:t>
      </w:r>
      <w:r>
        <w:rPr>
          <w:rFonts w:hint="eastAsia"/>
          <w:kern w:val="0"/>
          <w:szCs w:val="21"/>
        </w:rPr>
        <w:t>多种</w:t>
      </w:r>
      <w:r>
        <w:rPr>
          <w:kern w:val="0"/>
          <w:szCs w:val="21"/>
        </w:rPr>
        <w:t>分子生物学技术</w:t>
      </w:r>
      <w:r>
        <w:rPr>
          <w:rFonts w:hint="eastAsia"/>
          <w:kern w:val="0"/>
          <w:szCs w:val="21"/>
        </w:rPr>
        <w:t>（</w:t>
      </w:r>
      <w:r>
        <w:rPr>
          <w:rFonts w:hint="eastAsia"/>
          <w:szCs w:val="21"/>
        </w:rPr>
        <w:t>PCR</w:t>
      </w:r>
      <w:r>
        <w:rPr>
          <w:rFonts w:hint="eastAsia"/>
          <w:szCs w:val="21"/>
        </w:rPr>
        <w:t>技术、分子标记技术、反义</w:t>
      </w:r>
      <w:r>
        <w:rPr>
          <w:rFonts w:hint="eastAsia"/>
          <w:szCs w:val="21"/>
        </w:rPr>
        <w:t>RNA</w:t>
      </w:r>
      <w:r>
        <w:rPr>
          <w:rFonts w:hint="eastAsia"/>
          <w:szCs w:val="21"/>
        </w:rPr>
        <w:t>技术、基因敲除技术</w:t>
      </w:r>
      <w:r>
        <w:rPr>
          <w:rFonts w:hint="eastAsia"/>
          <w:kern w:val="0"/>
          <w:szCs w:val="21"/>
        </w:rPr>
        <w:t>）</w:t>
      </w:r>
      <w:r>
        <w:rPr>
          <w:kern w:val="0"/>
          <w:szCs w:val="21"/>
        </w:rPr>
        <w:t>的应用</w:t>
      </w:r>
      <w:r>
        <w:rPr>
          <w:rFonts w:hint="eastAsia"/>
          <w:szCs w:val="21"/>
        </w:rPr>
        <w:t>。</w:t>
      </w:r>
    </w:p>
    <w:p w14:paraId="31DEBAA8"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8AB8BFB" w14:textId="77777777" w:rsidR="00F5289E" w:rsidRDefault="00C91173">
      <w:pPr>
        <w:adjustRightInd w:val="0"/>
        <w:snapToGrid w:val="0"/>
        <w:spacing w:line="360" w:lineRule="auto"/>
        <w:ind w:firstLineChars="200" w:firstLine="420"/>
        <w:rPr>
          <w:b/>
          <w:szCs w:val="21"/>
        </w:rPr>
      </w:pPr>
      <w:r>
        <w:rPr>
          <w:rFonts w:hint="eastAsia"/>
          <w:kern w:val="0"/>
          <w:szCs w:val="21"/>
        </w:rPr>
        <w:t>多种</w:t>
      </w:r>
      <w:r>
        <w:rPr>
          <w:kern w:val="0"/>
          <w:szCs w:val="21"/>
        </w:rPr>
        <w:t>分子生物学技术的原理</w:t>
      </w:r>
      <w:r>
        <w:rPr>
          <w:rFonts w:hint="eastAsia"/>
          <w:kern w:val="0"/>
          <w:szCs w:val="21"/>
        </w:rPr>
        <w:t>、</w:t>
      </w:r>
      <w:r>
        <w:rPr>
          <w:rFonts w:hint="eastAsia"/>
          <w:szCs w:val="21"/>
        </w:rPr>
        <w:t>应用及其发展趋势。</w:t>
      </w:r>
    </w:p>
    <w:p w14:paraId="78260AE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67E11C5" w14:textId="77777777" w:rsidR="00F5289E" w:rsidRDefault="00C91173">
      <w:pPr>
        <w:adjustRightInd w:val="0"/>
        <w:snapToGrid w:val="0"/>
        <w:spacing w:line="360" w:lineRule="auto"/>
        <w:ind w:leftChars="200" w:left="420"/>
        <w:rPr>
          <w:b/>
          <w:szCs w:val="21"/>
        </w:rPr>
      </w:pPr>
      <w:r>
        <w:rPr>
          <w:b/>
          <w:szCs w:val="21"/>
        </w:rPr>
        <w:t>1</w:t>
      </w:r>
      <w:r>
        <w:rPr>
          <w:b/>
          <w:szCs w:val="21"/>
        </w:rPr>
        <w:t>、识记</w:t>
      </w:r>
      <w:r>
        <w:rPr>
          <w:szCs w:val="21"/>
        </w:rPr>
        <w:t>：</w:t>
      </w:r>
      <w:r>
        <w:rPr>
          <w:kern w:val="0"/>
          <w:szCs w:val="21"/>
        </w:rPr>
        <w:t>各种分子生物学技术的</w:t>
      </w:r>
      <w:r>
        <w:rPr>
          <w:rFonts w:hint="eastAsia"/>
          <w:kern w:val="0"/>
          <w:szCs w:val="21"/>
        </w:rPr>
        <w:t>应用</w:t>
      </w:r>
      <w:r>
        <w:rPr>
          <w:kern w:val="0"/>
          <w:szCs w:val="21"/>
        </w:rPr>
        <w:t>。</w:t>
      </w:r>
    </w:p>
    <w:p w14:paraId="0D7C8D28" w14:textId="77777777" w:rsidR="00F5289E" w:rsidRDefault="00C91173">
      <w:pPr>
        <w:adjustRightInd w:val="0"/>
        <w:snapToGrid w:val="0"/>
        <w:spacing w:line="360" w:lineRule="auto"/>
        <w:ind w:leftChars="200" w:left="420"/>
        <w:rPr>
          <w:b/>
          <w:szCs w:val="21"/>
        </w:rPr>
      </w:pPr>
      <w:r>
        <w:rPr>
          <w:b/>
          <w:szCs w:val="21"/>
        </w:rPr>
        <w:t>2</w:t>
      </w:r>
      <w:r>
        <w:rPr>
          <w:b/>
          <w:szCs w:val="21"/>
        </w:rPr>
        <w:t>、领会</w:t>
      </w:r>
      <w:r>
        <w:rPr>
          <w:szCs w:val="21"/>
        </w:rPr>
        <w:t>：</w:t>
      </w:r>
      <w:r>
        <w:rPr>
          <w:rFonts w:hint="eastAsia"/>
          <w:kern w:val="0"/>
          <w:szCs w:val="21"/>
        </w:rPr>
        <w:t>多种</w:t>
      </w:r>
      <w:r>
        <w:rPr>
          <w:kern w:val="0"/>
          <w:szCs w:val="21"/>
        </w:rPr>
        <w:t>分子生物学技术的原理</w:t>
      </w:r>
      <w:r>
        <w:rPr>
          <w:rFonts w:hint="eastAsia"/>
          <w:szCs w:val="21"/>
        </w:rPr>
        <w:t>。</w:t>
      </w:r>
    </w:p>
    <w:p w14:paraId="7E400228" w14:textId="77777777" w:rsidR="00F5289E" w:rsidRDefault="00C91173">
      <w:pPr>
        <w:adjustRightInd w:val="0"/>
        <w:snapToGrid w:val="0"/>
        <w:spacing w:line="360" w:lineRule="auto"/>
        <w:ind w:leftChars="200" w:left="420"/>
        <w:rPr>
          <w:b/>
          <w:szCs w:val="21"/>
        </w:rPr>
      </w:pPr>
      <w:r>
        <w:rPr>
          <w:b/>
          <w:szCs w:val="21"/>
        </w:rPr>
        <w:t>3</w:t>
      </w:r>
      <w:r>
        <w:rPr>
          <w:b/>
          <w:szCs w:val="21"/>
        </w:rPr>
        <w:t>、应用</w:t>
      </w:r>
      <w:r>
        <w:rPr>
          <w:szCs w:val="21"/>
        </w:rPr>
        <w:t>：</w:t>
      </w:r>
      <w:r>
        <w:rPr>
          <w:rFonts w:hint="eastAsia"/>
          <w:kern w:val="0"/>
          <w:szCs w:val="21"/>
        </w:rPr>
        <w:t>多种</w:t>
      </w:r>
      <w:r>
        <w:rPr>
          <w:kern w:val="0"/>
          <w:szCs w:val="21"/>
        </w:rPr>
        <w:t>分子生物学技术的</w:t>
      </w:r>
      <w:r>
        <w:rPr>
          <w:rFonts w:hint="eastAsia"/>
          <w:kern w:val="0"/>
          <w:szCs w:val="21"/>
        </w:rPr>
        <w:t>发展趋势。</w:t>
      </w:r>
    </w:p>
    <w:p w14:paraId="789FB56F" w14:textId="77777777" w:rsidR="00F5289E" w:rsidRDefault="00C91173">
      <w:pPr>
        <w:adjustRightInd w:val="0"/>
        <w:snapToGrid w:val="0"/>
        <w:spacing w:line="360" w:lineRule="auto"/>
        <w:ind w:leftChars="200" w:left="420"/>
        <w:rPr>
          <w:rFonts w:hAnsi="宋体"/>
          <w:bCs/>
          <w:szCs w:val="21"/>
        </w:rPr>
      </w:pPr>
      <w:r>
        <w:rPr>
          <w:b/>
          <w:szCs w:val="21"/>
        </w:rPr>
        <w:t>4</w:t>
      </w:r>
      <w:r>
        <w:rPr>
          <w:b/>
          <w:szCs w:val="21"/>
        </w:rPr>
        <w:t>、综合</w:t>
      </w:r>
      <w:r>
        <w:rPr>
          <w:szCs w:val="21"/>
        </w:rPr>
        <w:t>：</w:t>
      </w:r>
      <w:r>
        <w:rPr>
          <w:rFonts w:hint="eastAsia"/>
          <w:szCs w:val="21"/>
        </w:rPr>
        <w:t>PCR</w:t>
      </w:r>
      <w:r>
        <w:rPr>
          <w:rFonts w:hint="eastAsia"/>
          <w:szCs w:val="21"/>
        </w:rPr>
        <w:t>技术、分子标记技术、基因表达谱研究技术、反义</w:t>
      </w:r>
      <w:r>
        <w:rPr>
          <w:rFonts w:hint="eastAsia"/>
          <w:szCs w:val="21"/>
        </w:rPr>
        <w:t>RNA</w:t>
      </w:r>
      <w:r>
        <w:rPr>
          <w:rFonts w:hint="eastAsia"/>
          <w:szCs w:val="21"/>
        </w:rPr>
        <w:t>技术、基因敲除技术及生物芯片技术的发展及其在农业科学中的应用</w:t>
      </w:r>
      <w:r>
        <w:rPr>
          <w:rFonts w:hAnsi="宋体" w:hint="eastAsia"/>
          <w:bCs/>
          <w:szCs w:val="21"/>
        </w:rPr>
        <w:t>。</w:t>
      </w:r>
    </w:p>
    <w:p w14:paraId="22005BBC" w14:textId="77777777" w:rsidR="00F5289E" w:rsidRDefault="00C91173">
      <w:pPr>
        <w:adjustRightInd w:val="0"/>
        <w:snapToGrid w:val="0"/>
        <w:spacing w:line="360" w:lineRule="auto"/>
        <w:ind w:leftChars="200" w:left="42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、课上讨论、学生</w:t>
      </w:r>
      <w:r>
        <w:rPr>
          <w:szCs w:val="21"/>
        </w:rPr>
        <w:t>互动和课后</w:t>
      </w:r>
      <w:r>
        <w:rPr>
          <w:rFonts w:hint="eastAsia"/>
          <w:szCs w:val="21"/>
        </w:rPr>
        <w:t>作业。</w:t>
      </w:r>
    </w:p>
    <w:p w14:paraId="02CC113E" w14:textId="77777777" w:rsidR="00F5289E" w:rsidRDefault="00F5289E">
      <w:pPr>
        <w:adjustRightInd w:val="0"/>
        <w:snapToGrid w:val="0"/>
        <w:spacing w:line="360" w:lineRule="auto"/>
        <w:rPr>
          <w:szCs w:val="21"/>
        </w:rPr>
      </w:pPr>
    </w:p>
    <w:p w14:paraId="69BE381C" w14:textId="77777777" w:rsidR="00F5289E" w:rsidRDefault="00C91173">
      <w:pPr>
        <w:adjustRightInd w:val="0"/>
        <w:snapToGrid w:val="0"/>
        <w:spacing w:line="360" w:lineRule="auto"/>
        <w:rPr>
          <w:b/>
          <w:szCs w:val="21"/>
        </w:rPr>
      </w:pPr>
      <w:r>
        <w:rPr>
          <w:b/>
          <w:szCs w:val="21"/>
        </w:rPr>
        <w:t>三、实验教学部分的考核要求</w:t>
      </w:r>
    </w:p>
    <w:p w14:paraId="417B7A0B" w14:textId="77777777" w:rsidR="00F5289E" w:rsidRDefault="00C91173">
      <w:pPr>
        <w:adjustRightInd w:val="0"/>
        <w:snapToGrid w:val="0"/>
        <w:spacing w:line="360" w:lineRule="auto"/>
        <w:ind w:firstLineChars="200" w:firstLine="420"/>
        <w:rPr>
          <w:szCs w:val="21"/>
        </w:rPr>
      </w:pPr>
      <w:r>
        <w:rPr>
          <w:rFonts w:hint="eastAsia"/>
          <w:szCs w:val="21"/>
        </w:rPr>
        <w:t>要求学生能认识实验相关的仪器，并能应用这些仪器进行简单的分子生物学实验；理解两个综合实验的基本原理，并能对实验结果进行分析。实验成绩分两部分</w:t>
      </w:r>
      <w:r>
        <w:rPr>
          <w:rFonts w:hint="eastAsia"/>
        </w:rPr>
        <w:t>：</w:t>
      </w:r>
      <w:r>
        <w:rPr>
          <w:rFonts w:hint="eastAsia"/>
          <w:szCs w:val="21"/>
        </w:rPr>
        <w:t>实验报告成绩占</w:t>
      </w:r>
      <w:r>
        <w:rPr>
          <w:rFonts w:hint="eastAsia"/>
          <w:szCs w:val="21"/>
        </w:rPr>
        <w:t>60</w:t>
      </w:r>
      <w:r>
        <w:rPr>
          <w:rFonts w:hint="eastAsia"/>
          <w:szCs w:val="21"/>
        </w:rPr>
        <w:t>％；</w:t>
      </w:r>
      <w:r>
        <w:rPr>
          <w:rFonts w:hint="eastAsia"/>
        </w:rPr>
        <w:t>平时课堂</w:t>
      </w:r>
      <w:r>
        <w:rPr>
          <w:rFonts w:hint="eastAsia"/>
          <w:szCs w:val="21"/>
        </w:rPr>
        <w:t>实验操作技能考核占</w:t>
      </w:r>
      <w:r>
        <w:rPr>
          <w:rFonts w:hint="eastAsia"/>
          <w:szCs w:val="21"/>
        </w:rPr>
        <w:t>40</w:t>
      </w:r>
      <w:r>
        <w:rPr>
          <w:rFonts w:hint="eastAsia"/>
          <w:szCs w:val="21"/>
        </w:rPr>
        <w:t>％。</w:t>
      </w:r>
    </w:p>
    <w:p w14:paraId="3905C9BE" w14:textId="77777777" w:rsidR="00F5289E" w:rsidRDefault="00F5289E">
      <w:pPr>
        <w:adjustRightInd w:val="0"/>
        <w:snapToGrid w:val="0"/>
        <w:spacing w:line="360" w:lineRule="auto"/>
        <w:ind w:firstLineChars="150" w:firstLine="315"/>
        <w:rPr>
          <w:szCs w:val="21"/>
        </w:rPr>
      </w:pPr>
    </w:p>
    <w:p w14:paraId="2E195E62" w14:textId="77777777" w:rsidR="00F5289E" w:rsidRDefault="00C91173">
      <w:pPr>
        <w:adjustRightInd w:val="0"/>
        <w:snapToGrid w:val="0"/>
        <w:spacing w:line="360" w:lineRule="auto"/>
        <w:rPr>
          <w:rFonts w:ascii="宋体" w:hAnsi="宋体"/>
          <w:b/>
          <w:szCs w:val="21"/>
        </w:rPr>
      </w:pPr>
      <w:r>
        <w:rPr>
          <w:rFonts w:hint="eastAsia"/>
          <w:b/>
          <w:szCs w:val="21"/>
        </w:rPr>
        <w:t>四</w:t>
      </w:r>
      <w:r>
        <w:rPr>
          <w:rFonts w:ascii="宋体" w:hAnsi="宋体" w:hint="eastAsia"/>
          <w:b/>
          <w:szCs w:val="21"/>
        </w:rPr>
        <w:t>、考核方式</w:t>
      </w:r>
    </w:p>
    <w:p w14:paraId="1E469FB5" w14:textId="77777777" w:rsidR="00F5289E" w:rsidRDefault="00C91173">
      <w:pPr>
        <w:adjustRightInd w:val="0"/>
        <w:snapToGrid w:val="0"/>
        <w:spacing w:line="360" w:lineRule="auto"/>
        <w:ind w:firstLineChars="147" w:firstLine="309"/>
        <w:rPr>
          <w:szCs w:val="21"/>
        </w:rPr>
      </w:pPr>
      <w:r>
        <w:rPr>
          <w:rFonts w:hint="eastAsia"/>
          <w:szCs w:val="21"/>
        </w:rPr>
        <w:t>（</w:t>
      </w:r>
      <w:r>
        <w:rPr>
          <w:rFonts w:hint="eastAsia"/>
          <w:szCs w:val="21"/>
        </w:rPr>
        <w:t>1</w:t>
      </w:r>
      <w:r>
        <w:rPr>
          <w:rFonts w:hint="eastAsia"/>
          <w:szCs w:val="21"/>
        </w:rPr>
        <w:t>）理论教学考试方式及时间</w:t>
      </w:r>
    </w:p>
    <w:p w14:paraId="1669AEE2" w14:textId="77777777" w:rsidR="00F5289E" w:rsidRDefault="00C91173">
      <w:pPr>
        <w:adjustRightInd w:val="0"/>
        <w:snapToGrid w:val="0"/>
        <w:spacing w:line="360" w:lineRule="auto"/>
        <w:ind w:firstLineChars="147" w:firstLine="309"/>
        <w:rPr>
          <w:szCs w:val="21"/>
        </w:rPr>
      </w:pPr>
      <w:r>
        <w:rPr>
          <w:rFonts w:hint="eastAsia"/>
          <w:szCs w:val="21"/>
        </w:rPr>
        <w:t>理论教学采用笔试，闭卷，考试时间为</w:t>
      </w:r>
      <w:r>
        <w:rPr>
          <w:rFonts w:hint="eastAsia"/>
          <w:szCs w:val="21"/>
        </w:rPr>
        <w:t>100</w:t>
      </w:r>
      <w:r>
        <w:rPr>
          <w:rFonts w:hint="eastAsia"/>
          <w:szCs w:val="21"/>
        </w:rPr>
        <w:t>分钟。一般在课程结束后的期末考试周进行。</w:t>
      </w:r>
    </w:p>
    <w:p w14:paraId="6F66DC8E" w14:textId="77777777" w:rsidR="00F5289E" w:rsidRDefault="00C91173">
      <w:pPr>
        <w:adjustRightInd w:val="0"/>
        <w:snapToGrid w:val="0"/>
        <w:spacing w:line="360" w:lineRule="auto"/>
        <w:ind w:firstLineChars="147" w:firstLine="309"/>
        <w:rPr>
          <w:szCs w:val="21"/>
        </w:rPr>
      </w:pPr>
      <w:r>
        <w:rPr>
          <w:rFonts w:hint="eastAsia"/>
          <w:szCs w:val="21"/>
        </w:rPr>
        <w:t>（</w:t>
      </w:r>
      <w:r>
        <w:rPr>
          <w:rFonts w:hint="eastAsia"/>
          <w:szCs w:val="21"/>
        </w:rPr>
        <w:t>2</w:t>
      </w:r>
      <w:r>
        <w:rPr>
          <w:rFonts w:hint="eastAsia"/>
          <w:szCs w:val="21"/>
        </w:rPr>
        <w:t>）实验教学考试方式及时间</w:t>
      </w:r>
    </w:p>
    <w:p w14:paraId="5828263A" w14:textId="77777777" w:rsidR="00F5289E" w:rsidRDefault="00C91173">
      <w:pPr>
        <w:adjustRightInd w:val="0"/>
        <w:snapToGrid w:val="0"/>
        <w:spacing w:line="360" w:lineRule="auto"/>
        <w:ind w:firstLineChars="147" w:firstLine="309"/>
        <w:rPr>
          <w:szCs w:val="21"/>
        </w:rPr>
      </w:pPr>
      <w:r>
        <w:rPr>
          <w:rFonts w:hint="eastAsia"/>
          <w:szCs w:val="21"/>
        </w:rPr>
        <w:t>实验教学采用考勤和实验报告评价的方式进行考评。</w:t>
      </w:r>
    </w:p>
    <w:p w14:paraId="174F559E" w14:textId="77777777" w:rsidR="00F5289E" w:rsidRDefault="00C91173">
      <w:pPr>
        <w:adjustRightInd w:val="0"/>
        <w:snapToGrid w:val="0"/>
        <w:spacing w:line="360" w:lineRule="auto"/>
        <w:ind w:firstLineChars="147" w:firstLine="309"/>
        <w:rPr>
          <w:szCs w:val="21"/>
        </w:rPr>
      </w:pPr>
      <w:r>
        <w:rPr>
          <w:rFonts w:hint="eastAsia"/>
          <w:szCs w:val="21"/>
        </w:rPr>
        <w:t>（</w:t>
      </w:r>
      <w:r>
        <w:rPr>
          <w:rFonts w:hint="eastAsia"/>
          <w:szCs w:val="21"/>
        </w:rPr>
        <w:t>3</w:t>
      </w:r>
      <w:r>
        <w:rPr>
          <w:rFonts w:hint="eastAsia"/>
          <w:szCs w:val="21"/>
        </w:rPr>
        <w:t>）考试题型包括：名词解释、填空题、判断题、简答题和问答题等</w:t>
      </w:r>
      <w:r>
        <w:rPr>
          <w:szCs w:val="21"/>
        </w:rPr>
        <w:t>5</w:t>
      </w:r>
      <w:r>
        <w:rPr>
          <w:rFonts w:hint="eastAsia"/>
          <w:szCs w:val="21"/>
        </w:rPr>
        <w:t>种类型。</w:t>
      </w:r>
    </w:p>
    <w:p w14:paraId="59943A01" w14:textId="77777777" w:rsidR="00F5289E" w:rsidRDefault="00C91173">
      <w:pPr>
        <w:adjustRightInd w:val="0"/>
        <w:snapToGrid w:val="0"/>
        <w:spacing w:line="360" w:lineRule="auto"/>
        <w:rPr>
          <w:rFonts w:ascii="宋体" w:hAnsi="宋体"/>
          <w:b/>
          <w:szCs w:val="21"/>
        </w:rPr>
      </w:pPr>
      <w:r>
        <w:rPr>
          <w:rFonts w:ascii="宋体" w:hAnsi="宋体" w:hint="eastAsia"/>
          <w:b/>
          <w:szCs w:val="21"/>
        </w:rPr>
        <w:t>五、成绩评定</w:t>
      </w:r>
    </w:p>
    <w:p w14:paraId="26822DA1" w14:textId="77777777" w:rsidR="00F5289E" w:rsidRDefault="00C91173">
      <w:pPr>
        <w:adjustRightInd w:val="0"/>
        <w:snapToGrid w:val="0"/>
        <w:spacing w:line="360" w:lineRule="auto"/>
        <w:ind w:firstLineChars="200" w:firstLine="420"/>
        <w:rPr>
          <w:szCs w:val="21"/>
        </w:rPr>
      </w:pPr>
      <w:r>
        <w:rPr>
          <w:szCs w:val="21"/>
        </w:rPr>
        <w:t>理论</w:t>
      </w:r>
      <w:r>
        <w:rPr>
          <w:rFonts w:hint="eastAsia"/>
          <w:szCs w:val="21"/>
        </w:rPr>
        <w:t>考试成绩占</w:t>
      </w:r>
      <w:r>
        <w:rPr>
          <w:szCs w:val="21"/>
        </w:rPr>
        <w:t>50%</w:t>
      </w:r>
      <w:r>
        <w:rPr>
          <w:rFonts w:hint="eastAsia"/>
          <w:szCs w:val="21"/>
        </w:rPr>
        <w:t>，实验成绩占</w:t>
      </w:r>
      <w:r>
        <w:rPr>
          <w:szCs w:val="21"/>
        </w:rPr>
        <w:t>3</w:t>
      </w:r>
      <w:r>
        <w:rPr>
          <w:rFonts w:hint="eastAsia"/>
          <w:szCs w:val="21"/>
        </w:rPr>
        <w:t>0%</w:t>
      </w:r>
      <w:r>
        <w:rPr>
          <w:rFonts w:hint="eastAsia"/>
          <w:szCs w:val="21"/>
        </w:rPr>
        <w:t>，平时成绩占</w:t>
      </w:r>
      <w:r>
        <w:rPr>
          <w:szCs w:val="21"/>
        </w:rPr>
        <w:t>20%</w:t>
      </w:r>
      <w:r>
        <w:rPr>
          <w:rFonts w:hint="eastAsia"/>
          <w:szCs w:val="21"/>
        </w:rPr>
        <w:t>。</w:t>
      </w:r>
    </w:p>
    <w:p w14:paraId="6B1D373A" w14:textId="77777777" w:rsidR="00F5289E" w:rsidRDefault="00C91173">
      <w:pPr>
        <w:snapToGrid w:val="0"/>
        <w:spacing w:line="360" w:lineRule="auto"/>
        <w:rPr>
          <w:rFonts w:ascii="宋体" w:hAnsi="宋体"/>
          <w:b/>
          <w:szCs w:val="21"/>
        </w:rPr>
      </w:pPr>
      <w:r>
        <w:rPr>
          <w:rFonts w:ascii="宋体" w:hAnsi="宋体" w:hint="eastAsia"/>
          <w:b/>
          <w:szCs w:val="21"/>
        </w:rPr>
        <w:t>六、考核结果分析反馈</w:t>
      </w:r>
    </w:p>
    <w:p w14:paraId="5ADC9FAF"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由于本课程涉及</w:t>
      </w:r>
      <w:r>
        <w:rPr>
          <w:rFonts w:ascii="宋体" w:hAnsi="宋体"/>
          <w:bCs/>
          <w:szCs w:val="21"/>
        </w:rPr>
        <w:t>的</w:t>
      </w:r>
      <w:r>
        <w:rPr>
          <w:rFonts w:ascii="宋体" w:hAnsi="宋体" w:hint="eastAsia"/>
          <w:bCs/>
          <w:szCs w:val="21"/>
        </w:rPr>
        <w:t>理论知识</w:t>
      </w:r>
      <w:r>
        <w:rPr>
          <w:rFonts w:ascii="宋体" w:hAnsi="宋体"/>
          <w:bCs/>
          <w:szCs w:val="21"/>
        </w:rPr>
        <w:t>和</w:t>
      </w:r>
      <w:r>
        <w:rPr>
          <w:rFonts w:ascii="宋体" w:hAnsi="宋体" w:hint="eastAsia"/>
          <w:bCs/>
          <w:szCs w:val="21"/>
        </w:rPr>
        <w:t>实验</w:t>
      </w:r>
      <w:r>
        <w:rPr>
          <w:rFonts w:ascii="宋体" w:hAnsi="宋体"/>
          <w:bCs/>
          <w:szCs w:val="21"/>
        </w:rPr>
        <w:t>操作技能相对</w:t>
      </w:r>
      <w:r>
        <w:rPr>
          <w:rFonts w:ascii="宋体" w:hAnsi="宋体" w:hint="eastAsia"/>
          <w:bCs/>
          <w:szCs w:val="21"/>
        </w:rPr>
        <w:t>较多</w:t>
      </w:r>
      <w:r>
        <w:rPr>
          <w:rFonts w:ascii="宋体" w:hAnsi="宋体"/>
          <w:bCs/>
          <w:szCs w:val="21"/>
        </w:rPr>
        <w:t>，</w:t>
      </w:r>
      <w:r>
        <w:rPr>
          <w:rFonts w:ascii="宋体" w:hAnsi="宋体" w:hint="eastAsia"/>
          <w:bCs/>
          <w:szCs w:val="21"/>
        </w:rPr>
        <w:t>而且基本知识比较抽象复杂</w:t>
      </w:r>
      <w:r>
        <w:rPr>
          <w:rFonts w:ascii="宋体" w:hAnsi="宋体"/>
          <w:bCs/>
          <w:szCs w:val="21"/>
        </w:rPr>
        <w:t>。</w:t>
      </w:r>
      <w:r>
        <w:rPr>
          <w:rFonts w:ascii="宋体" w:hAnsi="宋体" w:hint="eastAsia"/>
          <w:bCs/>
          <w:szCs w:val="21"/>
        </w:rPr>
        <w:t>为了</w:t>
      </w:r>
      <w:r>
        <w:rPr>
          <w:rFonts w:ascii="宋体" w:hAnsi="宋体"/>
          <w:bCs/>
          <w:szCs w:val="21"/>
        </w:rPr>
        <w:t>让学生更好的掌握</w:t>
      </w:r>
      <w:r>
        <w:rPr>
          <w:rFonts w:ascii="宋体" w:hAnsi="宋体" w:hint="eastAsia"/>
          <w:bCs/>
          <w:szCs w:val="21"/>
        </w:rPr>
        <w:t>分子生物学</w:t>
      </w:r>
      <w:r>
        <w:rPr>
          <w:rFonts w:ascii="宋体" w:hAnsi="宋体"/>
          <w:bCs/>
          <w:szCs w:val="21"/>
        </w:rPr>
        <w:t>的</w:t>
      </w:r>
      <w:r>
        <w:rPr>
          <w:rFonts w:ascii="宋体" w:hAnsi="宋体" w:hint="eastAsia"/>
          <w:bCs/>
          <w:szCs w:val="21"/>
        </w:rPr>
        <w:t>基本</w:t>
      </w:r>
      <w:r>
        <w:rPr>
          <w:rFonts w:ascii="宋体" w:hAnsi="宋体"/>
          <w:bCs/>
          <w:szCs w:val="21"/>
        </w:rPr>
        <w:t>原理和技术</w:t>
      </w:r>
      <w:r>
        <w:rPr>
          <w:rFonts w:ascii="宋体" w:hAnsi="宋体" w:hint="eastAsia"/>
          <w:bCs/>
          <w:szCs w:val="21"/>
        </w:rPr>
        <w:t>，</w:t>
      </w:r>
      <w:r>
        <w:rPr>
          <w:rFonts w:ascii="宋体" w:hAnsi="宋体"/>
          <w:bCs/>
          <w:szCs w:val="21"/>
        </w:rPr>
        <w:t>有必要及时</w:t>
      </w:r>
      <w:r>
        <w:rPr>
          <w:rFonts w:ascii="宋体" w:hAnsi="宋体" w:hint="eastAsia"/>
          <w:bCs/>
          <w:szCs w:val="21"/>
        </w:rPr>
        <w:t>跟踪</w:t>
      </w:r>
      <w:r>
        <w:rPr>
          <w:rFonts w:ascii="宋体" w:hAnsi="宋体"/>
          <w:bCs/>
          <w:szCs w:val="21"/>
        </w:rPr>
        <w:t>了解学生的学习情况</w:t>
      </w:r>
      <w:r>
        <w:rPr>
          <w:rFonts w:ascii="宋体" w:hAnsi="宋体" w:hint="eastAsia"/>
          <w:bCs/>
          <w:szCs w:val="21"/>
        </w:rPr>
        <w:t>。</w:t>
      </w:r>
      <w:r>
        <w:rPr>
          <w:rFonts w:eastAsiaTheme="minorEastAsia" w:hAnsiTheme="minorEastAsia" w:hint="eastAsia"/>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14:paraId="5CE6E0E7" w14:textId="77777777" w:rsidR="00F5289E" w:rsidRDefault="00C91173" w:rsidP="00A115EF">
      <w:pPr>
        <w:pStyle w:val="afd"/>
        <w:numPr>
          <w:ilvl w:val="0"/>
          <w:numId w:val="56"/>
        </w:numPr>
        <w:spacing w:after="200" w:line="360" w:lineRule="auto"/>
        <w:ind w:firstLineChars="0"/>
        <w:contextualSpacing/>
        <w:jc w:val="left"/>
        <w:rPr>
          <w:rFonts w:eastAsiaTheme="minorEastAsia" w:hAnsiTheme="minorEastAsia"/>
          <w:szCs w:val="21"/>
        </w:rPr>
      </w:pPr>
      <w:r>
        <w:rPr>
          <w:rFonts w:eastAsiaTheme="minorEastAsia" w:hAnsiTheme="minorEastAsia" w:hint="eastAsia"/>
          <w:szCs w:val="21"/>
        </w:rPr>
        <w:t>考核结果分析</w:t>
      </w:r>
    </w:p>
    <w:p w14:paraId="204EE014"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任课教师提供的本门课程考核结果分析应包括各环节成绩分析、总评成绩分析、和分析报告</w:t>
      </w:r>
      <w:r>
        <w:rPr>
          <w:rFonts w:eastAsiaTheme="minorEastAsia" w:hAnsiTheme="minorEastAsia" w:hint="eastAsia"/>
          <w:szCs w:val="21"/>
        </w:rPr>
        <w:lastRenderedPageBreak/>
        <w:t>三部分。成绩分析应包括平均分、最高分、最低分、标准差等，主要体现课程成绩总体分布情况。分析报告应包括分析依据、分析内容、综合评价，以及总结或建议。</w:t>
      </w:r>
    </w:p>
    <w:p w14:paraId="0CF710CC" w14:textId="77777777" w:rsidR="00F5289E" w:rsidRDefault="00C91173" w:rsidP="00A115EF">
      <w:pPr>
        <w:pStyle w:val="afd"/>
        <w:numPr>
          <w:ilvl w:val="0"/>
          <w:numId w:val="56"/>
        </w:numPr>
        <w:spacing w:after="200" w:line="360" w:lineRule="auto"/>
        <w:ind w:firstLineChars="0"/>
        <w:contextualSpacing/>
        <w:jc w:val="left"/>
        <w:rPr>
          <w:rFonts w:eastAsiaTheme="minorEastAsia" w:hAnsiTheme="minorEastAsia"/>
          <w:szCs w:val="21"/>
        </w:rPr>
      </w:pPr>
      <w:r>
        <w:rPr>
          <w:rFonts w:eastAsiaTheme="minorEastAsia" w:hAnsiTheme="minorEastAsia" w:hint="eastAsia"/>
          <w:szCs w:val="21"/>
        </w:rPr>
        <w:t>考核结果反馈</w:t>
      </w:r>
    </w:p>
    <w:p w14:paraId="7D4C180E" w14:textId="77777777" w:rsidR="00F5289E" w:rsidRDefault="00C91173">
      <w:pPr>
        <w:pStyle w:val="afd"/>
        <w:spacing w:line="360" w:lineRule="auto"/>
        <w:jc w:val="left"/>
      </w:pPr>
      <w:r>
        <w:rPr>
          <w:rFonts w:eastAsiaTheme="minorEastAsia" w:hAnsiTheme="minorEastAsia" w:hint="eastAsia"/>
          <w:szCs w:val="21"/>
        </w:rPr>
        <w:t>针对本门课程提高学生分子生物学综合素质的教学目标，考核形式分为理论课教学考核与实验课考核。针对理论课教学考核，反馈形式体现在平时的教学过程中，采用课堂集中形式对考核结果的共性问题进行统一讲解，查找原因。例如：原核表达与真核表达的差异、</w:t>
      </w:r>
      <w:r>
        <w:rPr>
          <w:rFonts w:hAnsi="Arial" w:hint="eastAsia"/>
          <w:kern w:val="0"/>
          <w:szCs w:val="21"/>
        </w:rPr>
        <w:t>蛋白质翻译准确起始的机制</w:t>
      </w:r>
      <w:r>
        <w:rPr>
          <w:rFonts w:eastAsiaTheme="minorEastAsia" w:hAnsiTheme="minorEastAsia" w:hint="eastAsia"/>
          <w:szCs w:val="21"/>
        </w:rPr>
        <w:t>等。对于实验课考核，反馈形式体现在学生对实验的熟练操作的掌握上。针对考核结果分析中成绩严重偏态分布的情况，应及时调整教学内容、教学方法、强化过程性考核。</w:t>
      </w:r>
    </w:p>
    <w:p w14:paraId="6B43C8E5" w14:textId="77777777" w:rsidR="00F5289E" w:rsidRDefault="00C91173">
      <w:pPr>
        <w:widowControl/>
        <w:jc w:val="left"/>
        <w:rPr>
          <w:b/>
          <w:sz w:val="28"/>
          <w:szCs w:val="28"/>
        </w:rPr>
      </w:pPr>
      <w:r>
        <w:rPr>
          <w:b/>
          <w:sz w:val="28"/>
          <w:szCs w:val="28"/>
        </w:rPr>
        <w:br w:type="page"/>
      </w:r>
    </w:p>
    <w:p w14:paraId="227EE41E" w14:textId="77777777" w:rsidR="00F5289E" w:rsidRDefault="00C91173">
      <w:pPr>
        <w:pStyle w:val="1"/>
      </w:pPr>
      <w:bookmarkStart w:id="172" w:name="_Toc138606274"/>
      <w:r>
        <w:rPr>
          <w:rFonts w:hint="eastAsia"/>
        </w:rPr>
        <w:lastRenderedPageBreak/>
        <w:t>现代园艺导论考核大纲</w:t>
      </w:r>
      <w:bookmarkEnd w:id="172"/>
      <w:r>
        <w:rPr>
          <w:rFonts w:hint="eastAsia"/>
        </w:rPr>
        <w:t xml:space="preserve"> </w:t>
      </w:r>
    </w:p>
    <w:p w14:paraId="79020E2A" w14:textId="77777777" w:rsidR="00F5289E" w:rsidRDefault="00C91173">
      <w:pPr>
        <w:snapToGrid w:val="0"/>
        <w:spacing w:line="360" w:lineRule="auto"/>
        <w:jc w:val="center"/>
        <w:rPr>
          <w:rFonts w:hAnsi="宋体"/>
          <w:bCs/>
          <w:color w:val="000000"/>
          <w:kern w:val="0"/>
          <w:sz w:val="24"/>
        </w:rPr>
      </w:pPr>
      <w:r>
        <w:rPr>
          <w:rFonts w:hAnsi="宋体"/>
          <w:bCs/>
          <w:color w:val="000000"/>
          <w:kern w:val="0"/>
          <w:sz w:val="24"/>
        </w:rPr>
        <w:t>（</w:t>
      </w:r>
      <w:r>
        <w:rPr>
          <w:rFonts w:hAnsi="宋体" w:hint="eastAsia"/>
          <w:bCs/>
          <w:color w:val="000000"/>
          <w:kern w:val="0"/>
          <w:sz w:val="24"/>
        </w:rPr>
        <w:t>I</w:t>
      </w:r>
      <w:r>
        <w:rPr>
          <w:rFonts w:hAnsi="宋体"/>
          <w:bCs/>
          <w:color w:val="000000"/>
          <w:kern w:val="0"/>
          <w:sz w:val="24"/>
        </w:rPr>
        <w:t>ntroduction to Modern Horticulture</w:t>
      </w:r>
      <w:r>
        <w:rPr>
          <w:rFonts w:hAnsi="宋体"/>
          <w:bCs/>
          <w:color w:val="000000"/>
          <w:kern w:val="0"/>
          <w:sz w:val="24"/>
        </w:rPr>
        <w:t>）</w:t>
      </w:r>
    </w:p>
    <w:p w14:paraId="5EE65518" w14:textId="77777777" w:rsidR="00F5289E" w:rsidRDefault="00F5289E">
      <w:pPr>
        <w:snapToGrid w:val="0"/>
        <w:spacing w:line="360" w:lineRule="auto"/>
        <w:jc w:val="center"/>
        <w:rPr>
          <w:b/>
          <w:szCs w:val="21"/>
        </w:rPr>
      </w:pPr>
    </w:p>
    <w:tbl>
      <w:tblPr>
        <w:tblW w:w="5000" w:type="pct"/>
        <w:tblLook w:val="04A0" w:firstRow="1" w:lastRow="0" w:firstColumn="1" w:lastColumn="0" w:noHBand="0" w:noVBand="1"/>
      </w:tblPr>
      <w:tblGrid>
        <w:gridCol w:w="2966"/>
        <w:gridCol w:w="2586"/>
        <w:gridCol w:w="3348"/>
      </w:tblGrid>
      <w:tr w:rsidR="00F5289E" w14:paraId="064E2A8F" w14:textId="77777777">
        <w:tc>
          <w:tcPr>
            <w:tcW w:w="1666" w:type="pct"/>
          </w:tcPr>
          <w:p w14:paraId="455B7307"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课程编号：</w:t>
            </w:r>
            <w:r w:rsidRPr="001B3040">
              <w:rPr>
                <w:rFonts w:ascii="宋体" w:hAnsi="宋体" w:hint="eastAsia"/>
                <w:szCs w:val="21"/>
              </w:rPr>
              <w:t>1</w:t>
            </w:r>
            <w:r w:rsidRPr="001B3040">
              <w:rPr>
                <w:rFonts w:ascii="宋体" w:hAnsi="宋体"/>
                <w:szCs w:val="21"/>
              </w:rPr>
              <w:t>9011111</w:t>
            </w:r>
          </w:p>
        </w:tc>
        <w:tc>
          <w:tcPr>
            <w:tcW w:w="1453" w:type="pct"/>
          </w:tcPr>
          <w:p w14:paraId="6058B04D"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课程学时：</w:t>
            </w:r>
            <w:r w:rsidRPr="001B3040">
              <w:rPr>
                <w:rFonts w:ascii="宋体" w:hAnsi="宋体" w:hint="eastAsia"/>
                <w:szCs w:val="21"/>
              </w:rPr>
              <w:t>2</w:t>
            </w:r>
            <w:r w:rsidRPr="001B3040">
              <w:rPr>
                <w:rFonts w:ascii="宋体" w:hAnsi="宋体"/>
                <w:szCs w:val="21"/>
              </w:rPr>
              <w:t>4</w:t>
            </w:r>
          </w:p>
        </w:tc>
        <w:tc>
          <w:tcPr>
            <w:tcW w:w="1881" w:type="pct"/>
          </w:tcPr>
          <w:p w14:paraId="4570753B"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课程学分：</w:t>
            </w:r>
            <w:r w:rsidRPr="001B3040">
              <w:rPr>
                <w:rFonts w:ascii="宋体" w:hAnsi="宋体" w:hint="eastAsia"/>
                <w:kern w:val="0"/>
                <w:sz w:val="20"/>
                <w:szCs w:val="21"/>
              </w:rPr>
              <w:t>1</w:t>
            </w:r>
            <w:r w:rsidRPr="001B3040">
              <w:rPr>
                <w:rFonts w:ascii="宋体" w:hAnsi="宋体"/>
                <w:kern w:val="0"/>
                <w:sz w:val="20"/>
                <w:szCs w:val="21"/>
              </w:rPr>
              <w:t>.5</w:t>
            </w:r>
          </w:p>
        </w:tc>
      </w:tr>
      <w:tr w:rsidR="00F5289E" w14:paraId="0D749C96" w14:textId="77777777">
        <w:tc>
          <w:tcPr>
            <w:tcW w:w="1666" w:type="pct"/>
          </w:tcPr>
          <w:p w14:paraId="7FC3666B"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主撰人：</w:t>
            </w:r>
            <w:r w:rsidRPr="001B3040">
              <w:rPr>
                <w:rFonts w:ascii="宋体" w:hAnsi="宋体" w:hint="eastAsia"/>
                <w:kern w:val="0"/>
                <w:sz w:val="20"/>
                <w:szCs w:val="21"/>
              </w:rPr>
              <w:t>郑先波</w:t>
            </w:r>
          </w:p>
        </w:tc>
        <w:tc>
          <w:tcPr>
            <w:tcW w:w="1453" w:type="pct"/>
          </w:tcPr>
          <w:p w14:paraId="063D191A"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审核人：孙</w:t>
            </w:r>
            <w:r w:rsidRPr="001B3040">
              <w:rPr>
                <w:rFonts w:ascii="宋体" w:hAnsi="宋体" w:hint="eastAsia"/>
                <w:kern w:val="0"/>
                <w:sz w:val="20"/>
                <w:szCs w:val="21"/>
              </w:rPr>
              <w:t>守如</w:t>
            </w:r>
          </w:p>
        </w:tc>
        <w:tc>
          <w:tcPr>
            <w:tcW w:w="1881" w:type="pct"/>
          </w:tcPr>
          <w:p w14:paraId="70F8A23B"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大纲制定（修订）日期：</w:t>
            </w:r>
            <w:r w:rsidRPr="001B3040">
              <w:rPr>
                <w:rFonts w:ascii="宋体" w:hAnsi="宋体" w:hint="eastAsia"/>
                <w:kern w:val="0"/>
                <w:sz w:val="20"/>
                <w:szCs w:val="21"/>
              </w:rPr>
              <w:t>20</w:t>
            </w:r>
            <w:r w:rsidRPr="001B3040">
              <w:rPr>
                <w:rFonts w:ascii="宋体" w:hAnsi="宋体"/>
                <w:kern w:val="0"/>
                <w:sz w:val="20"/>
                <w:szCs w:val="21"/>
              </w:rPr>
              <w:t>2</w:t>
            </w:r>
            <w:r w:rsidR="001B3040">
              <w:rPr>
                <w:rFonts w:ascii="宋体" w:hAnsi="宋体"/>
                <w:kern w:val="0"/>
                <w:sz w:val="20"/>
                <w:szCs w:val="21"/>
              </w:rPr>
              <w:t>3.05</w:t>
            </w:r>
          </w:p>
        </w:tc>
      </w:tr>
    </w:tbl>
    <w:p w14:paraId="4DA7D060" w14:textId="77777777" w:rsidR="00F5289E" w:rsidRDefault="00C91173">
      <w:pPr>
        <w:snapToGrid w:val="0"/>
        <w:spacing w:beforeLines="50" w:before="156" w:line="360" w:lineRule="auto"/>
        <w:rPr>
          <w:rFonts w:ascii="宋体"/>
          <w:b/>
          <w:szCs w:val="21"/>
        </w:rPr>
      </w:pPr>
      <w:r>
        <w:rPr>
          <w:rFonts w:ascii="宋体" w:hAnsi="宋体" w:hint="eastAsia"/>
          <w:b/>
          <w:szCs w:val="21"/>
        </w:rPr>
        <w:t>一、课程的性质、地位和任务</w:t>
      </w:r>
    </w:p>
    <w:p w14:paraId="39F1E152" w14:textId="77777777" w:rsidR="00F5289E" w:rsidRDefault="00C91173">
      <w:pPr>
        <w:spacing w:line="360" w:lineRule="auto"/>
        <w:ind w:rightChars="-81" w:right="-170" w:firstLineChars="200" w:firstLine="420"/>
        <w:rPr>
          <w:kern w:val="0"/>
          <w:szCs w:val="21"/>
        </w:rPr>
      </w:pPr>
      <w:r>
        <w:rPr>
          <w:rFonts w:hint="eastAsia"/>
          <w:kern w:val="0"/>
          <w:szCs w:val="21"/>
        </w:rPr>
        <w:t>《现代园艺导论》</w:t>
      </w:r>
      <w:r>
        <w:rPr>
          <w:kern w:val="0"/>
          <w:szCs w:val="21"/>
        </w:rPr>
        <w:t xml:space="preserve"> </w:t>
      </w:r>
      <w:r>
        <w:rPr>
          <w:rFonts w:hint="eastAsia"/>
          <w:kern w:val="0"/>
          <w:szCs w:val="21"/>
        </w:rPr>
        <w:t>为植物生产类（园艺类）专业先修课程，开设的主要目的是向大一新生介绍园艺类专业、课程体系及就业和研究方向等。课程主要针对园艺植物的起源、利用、历史与文化、育种、采后、贸易、经营等方面的知识对学生进行介绍。本课程旨在让学生了解这些园艺类的知识，并对园艺类专业产生兴趣，这样他们在四年里将会迎来快乐的专业学习。</w:t>
      </w:r>
    </w:p>
    <w:p w14:paraId="0F5DD697" w14:textId="77777777" w:rsidR="00F5289E" w:rsidRDefault="00C91173">
      <w:pPr>
        <w:spacing w:line="360" w:lineRule="auto"/>
        <w:ind w:rightChars="-81" w:right="-170" w:firstLineChars="200" w:firstLine="420"/>
        <w:rPr>
          <w:kern w:val="0"/>
          <w:szCs w:val="21"/>
        </w:rPr>
      </w:pPr>
      <w:r>
        <w:rPr>
          <w:rFonts w:hint="eastAsia"/>
          <w:kern w:val="0"/>
          <w:szCs w:val="21"/>
        </w:rPr>
        <w:t>《现代园艺导论》还针对园艺最新的研究进展向学生进行介绍，这样一方面可以让学生认识到园艺学是一门古老又新潮的学科，另一方面又可以激起学生对园艺学研究的积极性，为学生未来的择业和继续深造打下基础。</w:t>
      </w:r>
      <w:r>
        <w:rPr>
          <w:rFonts w:hint="eastAsia"/>
          <w:kern w:val="0"/>
          <w:szCs w:val="21"/>
        </w:rPr>
        <w:t xml:space="preserve"> </w:t>
      </w:r>
      <w:r>
        <w:rPr>
          <w:kern w:val="0"/>
          <w:szCs w:val="21"/>
        </w:rPr>
        <w:t xml:space="preserve"> </w:t>
      </w:r>
    </w:p>
    <w:p w14:paraId="1DFE237E" w14:textId="77777777" w:rsidR="00F5289E" w:rsidRDefault="00C91173">
      <w:pPr>
        <w:snapToGrid w:val="0"/>
        <w:spacing w:beforeLines="50" w:before="156" w:line="360" w:lineRule="auto"/>
        <w:rPr>
          <w:rFonts w:ascii="宋体"/>
          <w:b/>
          <w:szCs w:val="21"/>
        </w:rPr>
      </w:pPr>
      <w:r>
        <w:rPr>
          <w:rFonts w:ascii="宋体" w:hAnsi="宋体" w:hint="eastAsia"/>
          <w:b/>
          <w:szCs w:val="21"/>
        </w:rPr>
        <w:t>二、理论教学部分的考核目标</w:t>
      </w:r>
    </w:p>
    <w:p w14:paraId="39A45AF0" w14:textId="77777777" w:rsidR="00F5289E" w:rsidRDefault="00C91173">
      <w:pPr>
        <w:snapToGrid w:val="0"/>
        <w:spacing w:line="360" w:lineRule="auto"/>
        <w:ind w:firstLineChars="200" w:firstLine="420"/>
        <w:rPr>
          <w:kern w:val="0"/>
          <w:szCs w:val="21"/>
        </w:rPr>
      </w:pPr>
      <w:r>
        <w:rPr>
          <w:rFonts w:hint="eastAsia"/>
          <w:kern w:val="0"/>
          <w:szCs w:val="21"/>
        </w:rPr>
        <w:t>了解植物生产类（园艺类）专业学习和研究范畴；了解园艺的社会经济作用；了解高新技术在园艺业中的应用；了解植物生产类（园艺类）专业总体思路与培养目标、培养标准、学时分配、最低学分要求、核心课程体系建设和实践环节设置等，引导学生树立终身学习的习惯。</w:t>
      </w:r>
      <w:r>
        <w:rPr>
          <w:kern w:val="0"/>
          <w:szCs w:val="21"/>
        </w:rPr>
        <w:t xml:space="preserve"> </w:t>
      </w:r>
    </w:p>
    <w:p w14:paraId="71416B92" w14:textId="77777777" w:rsidR="00F5289E" w:rsidRDefault="00C91173">
      <w:pPr>
        <w:snapToGrid w:val="0"/>
        <w:spacing w:line="360" w:lineRule="auto"/>
        <w:ind w:firstLineChars="49" w:firstLine="103"/>
        <w:jc w:val="center"/>
        <w:rPr>
          <w:b/>
          <w:bCs/>
          <w:szCs w:val="21"/>
        </w:rPr>
      </w:pPr>
      <w:r>
        <w:rPr>
          <w:rFonts w:ascii="宋体" w:hAnsi="宋体" w:hint="eastAsia"/>
          <w:b/>
          <w:szCs w:val="21"/>
        </w:rPr>
        <w:t xml:space="preserve">第一章  </w:t>
      </w:r>
      <w:r>
        <w:rPr>
          <w:rFonts w:hint="eastAsia"/>
          <w:b/>
          <w:bCs/>
          <w:szCs w:val="21"/>
        </w:rPr>
        <w:t>园艺让生活更美好</w:t>
      </w:r>
    </w:p>
    <w:p w14:paraId="75C8BDB1" w14:textId="77777777" w:rsidR="00F5289E" w:rsidRDefault="00C91173">
      <w:pPr>
        <w:snapToGrid w:val="0"/>
        <w:spacing w:line="360" w:lineRule="auto"/>
        <w:ind w:firstLineChars="49" w:firstLine="103"/>
        <w:rPr>
          <w:rFonts w:ascii="宋体" w:hAnsi="宋体"/>
          <w:b/>
          <w:szCs w:val="21"/>
        </w:rPr>
      </w:pPr>
      <w:r>
        <w:rPr>
          <w:rFonts w:ascii="宋体" w:hAnsi="宋体" w:hint="eastAsia"/>
          <w:b/>
          <w:szCs w:val="21"/>
        </w:rPr>
        <w:t>（一）学习目标</w:t>
      </w:r>
    </w:p>
    <w:p w14:paraId="312220AB" w14:textId="77777777" w:rsidR="00F5289E" w:rsidRDefault="00C91173">
      <w:pPr>
        <w:snapToGrid w:val="0"/>
        <w:spacing w:line="360" w:lineRule="auto"/>
        <w:ind w:firstLineChars="200" w:firstLine="422"/>
        <w:rPr>
          <w:kern w:val="0"/>
          <w:szCs w:val="21"/>
        </w:rPr>
      </w:pPr>
      <w:r>
        <w:rPr>
          <w:rFonts w:ascii="宋体" w:hAnsi="宋体" w:hint="eastAsia"/>
          <w:b/>
          <w:szCs w:val="21"/>
        </w:rPr>
        <w:t>一般</w:t>
      </w:r>
      <w:bookmarkStart w:id="173" w:name="_Hlk137887343"/>
      <w:r>
        <w:rPr>
          <w:rFonts w:ascii="宋体" w:hAnsi="宋体" w:hint="eastAsia"/>
          <w:b/>
          <w:szCs w:val="21"/>
        </w:rPr>
        <w:t>了解</w:t>
      </w:r>
      <w:r>
        <w:rPr>
          <w:rFonts w:ascii="宋体" w:hAnsi="宋体" w:hint="eastAsia"/>
          <w:szCs w:val="21"/>
        </w:rPr>
        <w:t>：植</w:t>
      </w:r>
      <w:r>
        <w:rPr>
          <w:rFonts w:hAnsi="宋体" w:hint="eastAsia"/>
          <w:kern w:val="0"/>
          <w:szCs w:val="21"/>
        </w:rPr>
        <w:t>物生产类（园艺类）专业学习和研究范畴；了解园艺的社会经济作用；了解</w:t>
      </w:r>
      <w:r>
        <w:rPr>
          <w:rFonts w:ascii="宋体" w:hAnsi="宋体" w:hint="eastAsia"/>
          <w:szCs w:val="20"/>
        </w:rPr>
        <w:t>高新技术在园艺业中的应用；</w:t>
      </w:r>
      <w:r>
        <w:rPr>
          <w:rFonts w:hint="eastAsia"/>
          <w:kern w:val="0"/>
          <w:szCs w:val="21"/>
        </w:rPr>
        <w:t>了解植物生产类（园艺类）专业总体思路与培养目标、培养标准、学时分配、最低学分要求、核心课程体系建设和实践环节设置等，</w:t>
      </w:r>
      <w:r>
        <w:rPr>
          <w:rFonts w:ascii="宋体" w:hAnsi="宋体" w:hint="eastAsia"/>
          <w:szCs w:val="20"/>
        </w:rPr>
        <w:t>引导学生树立终身学习的习惯</w:t>
      </w:r>
      <w:r>
        <w:rPr>
          <w:rFonts w:ascii="宋体" w:hAnsi="宋体" w:hint="eastAsia"/>
        </w:rPr>
        <w:t>。</w:t>
      </w:r>
      <w:r>
        <w:rPr>
          <w:rFonts w:ascii="宋体" w:hAnsi="宋体"/>
          <w:szCs w:val="21"/>
        </w:rPr>
        <w:t xml:space="preserve"> </w:t>
      </w:r>
    </w:p>
    <w:bookmarkEnd w:id="173"/>
    <w:p w14:paraId="054C1338"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28A0FAD" w14:textId="77777777" w:rsidR="00F5289E" w:rsidRDefault="00C91173">
      <w:pPr>
        <w:snapToGrid w:val="0"/>
        <w:spacing w:line="360" w:lineRule="auto"/>
        <w:ind w:firstLineChars="200" w:firstLine="420"/>
        <w:rPr>
          <w:rFonts w:ascii="宋体" w:hAnsi="宋体"/>
          <w:szCs w:val="20"/>
        </w:rPr>
      </w:pPr>
      <w:r>
        <w:rPr>
          <w:rFonts w:ascii="宋体" w:hAnsi="宋体" w:hint="eastAsia"/>
          <w:szCs w:val="21"/>
        </w:rPr>
        <w:t>植</w:t>
      </w:r>
      <w:r>
        <w:rPr>
          <w:rFonts w:hAnsi="宋体" w:hint="eastAsia"/>
          <w:kern w:val="0"/>
          <w:szCs w:val="21"/>
        </w:rPr>
        <w:t>物生产类（园艺类）专业学习和研究范畴；园艺的社会经济作用；</w:t>
      </w:r>
      <w:r>
        <w:rPr>
          <w:rFonts w:ascii="宋体" w:hAnsi="宋体" w:hint="eastAsia"/>
          <w:szCs w:val="20"/>
        </w:rPr>
        <w:t>高新技术在园艺业中的应用；</w:t>
      </w:r>
    </w:p>
    <w:p w14:paraId="158852DE"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9DFBB28" w14:textId="77777777" w:rsidR="00F5289E" w:rsidRDefault="00C91173">
      <w:pPr>
        <w:snapToGrid w:val="0"/>
        <w:spacing w:line="360" w:lineRule="auto"/>
        <w:ind w:firstLineChars="200" w:firstLine="422"/>
        <w:rPr>
          <w:rFonts w:ascii="宋体" w:hAnsi="宋体"/>
          <w:szCs w:val="20"/>
        </w:rPr>
      </w:pPr>
      <w:r>
        <w:rPr>
          <w:rFonts w:ascii="宋体" w:hAnsi="宋体" w:hint="eastAsia"/>
          <w:b/>
          <w:szCs w:val="21"/>
        </w:rPr>
        <w:t>1.识记</w:t>
      </w:r>
      <w:r>
        <w:rPr>
          <w:rFonts w:ascii="宋体" w:hAnsi="宋体" w:hint="eastAsia"/>
          <w:szCs w:val="21"/>
        </w:rPr>
        <w:t>：植</w:t>
      </w:r>
      <w:r>
        <w:rPr>
          <w:rFonts w:hAnsi="宋体" w:hint="eastAsia"/>
          <w:kern w:val="0"/>
          <w:szCs w:val="21"/>
        </w:rPr>
        <w:t>物生产类（园艺类）专业学习和研究范畴；园艺的社会经济作用；</w:t>
      </w:r>
      <w:r>
        <w:rPr>
          <w:rFonts w:ascii="宋体" w:hAnsi="宋体" w:hint="eastAsia"/>
          <w:szCs w:val="20"/>
        </w:rPr>
        <w:t>高新技术在园艺业中的应用</w:t>
      </w:r>
      <w:r>
        <w:rPr>
          <w:rFonts w:hAnsi="宋体" w:hint="eastAsia"/>
          <w:kern w:val="0"/>
          <w:szCs w:val="21"/>
        </w:rPr>
        <w:t>。</w:t>
      </w:r>
    </w:p>
    <w:p w14:paraId="071BC354" w14:textId="77777777" w:rsidR="00F5289E" w:rsidRDefault="00C91173">
      <w:pPr>
        <w:pStyle w:val="a7"/>
        <w:snapToGrid w:val="0"/>
        <w:spacing w:line="360" w:lineRule="auto"/>
        <w:ind w:firstLine="422"/>
        <w:rPr>
          <w:rFonts w:ascii="宋体" w:hAnsi="宋体"/>
        </w:rPr>
      </w:pPr>
      <w:r>
        <w:rPr>
          <w:rFonts w:ascii="宋体" w:hAnsi="宋体"/>
          <w:b/>
          <w:szCs w:val="21"/>
        </w:rPr>
        <w:t>2</w:t>
      </w:r>
      <w:r>
        <w:rPr>
          <w:rFonts w:ascii="宋体" w:hAnsi="宋体" w:hint="eastAsia"/>
          <w:b/>
          <w:szCs w:val="21"/>
        </w:rPr>
        <w:t>.评价：</w:t>
      </w:r>
      <w:r>
        <w:rPr>
          <w:rFonts w:hint="eastAsia"/>
          <w:kern w:val="0"/>
          <w:szCs w:val="21"/>
        </w:rPr>
        <w:t>植物生产类（园艺类）专业后期如何分流到园艺专业、设施农业科与工程和茶学专业</w:t>
      </w:r>
      <w:r>
        <w:rPr>
          <w:rFonts w:ascii="宋体" w:hAnsi="宋体" w:hint="eastAsia"/>
          <w:szCs w:val="21"/>
        </w:rPr>
        <w:t>。</w:t>
      </w:r>
    </w:p>
    <w:p w14:paraId="4F21202B" w14:textId="77777777" w:rsidR="00F5289E" w:rsidRDefault="00C91173">
      <w:pPr>
        <w:snapToGrid w:val="0"/>
        <w:spacing w:line="360" w:lineRule="auto"/>
        <w:ind w:firstLineChars="49" w:firstLine="103"/>
        <w:jc w:val="center"/>
        <w:rPr>
          <w:b/>
          <w:color w:val="000000"/>
          <w:szCs w:val="21"/>
        </w:rPr>
      </w:pPr>
      <w:r>
        <w:rPr>
          <w:rFonts w:hint="eastAsia"/>
          <w:b/>
          <w:color w:val="000000"/>
          <w:szCs w:val="21"/>
        </w:rPr>
        <w:t>第二章</w:t>
      </w:r>
      <w:r>
        <w:rPr>
          <w:rFonts w:hint="eastAsia"/>
          <w:b/>
          <w:color w:val="000000"/>
          <w:szCs w:val="21"/>
        </w:rPr>
        <w:t xml:space="preserve">  </w:t>
      </w:r>
      <w:r>
        <w:rPr>
          <w:rFonts w:hint="eastAsia"/>
          <w:b/>
          <w:color w:val="000000"/>
          <w:szCs w:val="21"/>
        </w:rPr>
        <w:t>设施园艺是现代农业的引领产业</w:t>
      </w:r>
    </w:p>
    <w:p w14:paraId="44DBE35E" w14:textId="77777777" w:rsidR="00F5289E" w:rsidRDefault="00C91173">
      <w:pPr>
        <w:spacing w:line="360" w:lineRule="auto"/>
        <w:rPr>
          <w:rFonts w:ascii="宋体" w:hAnsi="宋体"/>
          <w:b/>
          <w:szCs w:val="21"/>
        </w:rPr>
      </w:pPr>
      <w:r>
        <w:rPr>
          <w:rFonts w:ascii="宋体" w:hAnsi="宋体" w:hint="eastAsia"/>
          <w:b/>
          <w:szCs w:val="21"/>
        </w:rPr>
        <w:t>（一）学习目标</w:t>
      </w:r>
    </w:p>
    <w:p w14:paraId="42AE6D82" w14:textId="77777777" w:rsidR="00F5289E" w:rsidRDefault="00C91173">
      <w:pPr>
        <w:spacing w:line="360" w:lineRule="auto"/>
        <w:ind w:firstLineChars="200" w:firstLine="420"/>
        <w:rPr>
          <w:rFonts w:ascii="宋体" w:hAnsi="宋体"/>
          <w:szCs w:val="21"/>
        </w:rPr>
      </w:pPr>
      <w:r>
        <w:rPr>
          <w:rFonts w:ascii="宋体" w:hAnsi="宋体" w:hint="eastAsia"/>
          <w:szCs w:val="21"/>
        </w:rPr>
        <w:lastRenderedPageBreak/>
        <w:t>1. 一般了解:(1)设施蔬菜产业发展的历史和现状；(2) 设施蔬菜生产和供应的特点。</w:t>
      </w:r>
    </w:p>
    <w:p w14:paraId="38ABDE55"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 （1）</w:t>
      </w:r>
      <w:bookmarkStart w:id="174" w:name="_Hlk137972711"/>
      <w:r>
        <w:rPr>
          <w:rFonts w:ascii="宋体" w:hAnsi="宋体" w:hint="eastAsia"/>
          <w:szCs w:val="21"/>
        </w:rPr>
        <w:t>发展设施园艺对充分利用农业资源的意义；（2）发展设施园艺对减轻劳动强度、保障食品安全的意义。</w:t>
      </w:r>
    </w:p>
    <w:bookmarkEnd w:id="174"/>
    <w:p w14:paraId="347D2F02"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 (1)</w:t>
      </w:r>
      <w:bookmarkStart w:id="175" w:name="_Hlk137972655"/>
      <w:bookmarkStart w:id="176" w:name="_Hlk137972698"/>
      <w:r>
        <w:rPr>
          <w:rFonts w:ascii="宋体" w:hAnsi="宋体" w:hint="eastAsia"/>
          <w:szCs w:val="21"/>
        </w:rPr>
        <w:t>设施农业的概念</w:t>
      </w:r>
      <w:bookmarkEnd w:id="175"/>
      <w:r>
        <w:rPr>
          <w:rFonts w:ascii="宋体" w:hAnsi="宋体" w:hint="eastAsia"/>
          <w:szCs w:val="21"/>
        </w:rPr>
        <w:t>；(2) 设施园艺的概念；（3）设施产业的概念</w:t>
      </w:r>
      <w:bookmarkEnd w:id="176"/>
      <w:r>
        <w:rPr>
          <w:rFonts w:ascii="宋体" w:hAnsi="宋体" w:hint="eastAsia"/>
          <w:szCs w:val="21"/>
        </w:rPr>
        <w:t>。</w:t>
      </w:r>
    </w:p>
    <w:p w14:paraId="4181282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2EF5F5B" w14:textId="77777777" w:rsidR="00F5289E" w:rsidRDefault="00C91173">
      <w:pPr>
        <w:spacing w:line="360" w:lineRule="auto"/>
        <w:ind w:firstLineChars="200" w:firstLine="420"/>
        <w:rPr>
          <w:szCs w:val="21"/>
        </w:rPr>
      </w:pPr>
      <w:r>
        <w:rPr>
          <w:rFonts w:hint="eastAsia"/>
          <w:szCs w:val="21"/>
        </w:rPr>
        <w:t>1.</w:t>
      </w:r>
      <w:r>
        <w:rPr>
          <w:rFonts w:ascii="宋体" w:hAnsi="宋体" w:hint="eastAsia"/>
          <w:szCs w:val="21"/>
        </w:rPr>
        <w:t xml:space="preserve"> 设施农业、设施园艺、设施产业的概念</w:t>
      </w:r>
      <w:r>
        <w:rPr>
          <w:rFonts w:hint="eastAsia"/>
          <w:szCs w:val="21"/>
        </w:rPr>
        <w:t>；</w:t>
      </w:r>
    </w:p>
    <w:p w14:paraId="0429D617" w14:textId="77777777" w:rsidR="00F5289E" w:rsidRDefault="00C91173">
      <w:pPr>
        <w:spacing w:line="360" w:lineRule="auto"/>
        <w:ind w:firstLineChars="200" w:firstLine="420"/>
        <w:rPr>
          <w:szCs w:val="21"/>
        </w:rPr>
      </w:pPr>
      <w:r>
        <w:rPr>
          <w:rFonts w:hint="eastAsia"/>
          <w:szCs w:val="21"/>
        </w:rPr>
        <w:t xml:space="preserve">2. </w:t>
      </w:r>
      <w:r>
        <w:rPr>
          <w:rFonts w:hint="eastAsia"/>
          <w:szCs w:val="21"/>
        </w:rPr>
        <w:t>国外发达国家设施园艺的发展现状与趋势；</w:t>
      </w:r>
    </w:p>
    <w:p w14:paraId="5406F464" w14:textId="77777777" w:rsidR="00F5289E" w:rsidRDefault="00C91173">
      <w:pPr>
        <w:spacing w:line="360" w:lineRule="auto"/>
        <w:ind w:firstLineChars="200" w:firstLine="420"/>
        <w:rPr>
          <w:szCs w:val="21"/>
        </w:rPr>
      </w:pPr>
      <w:r>
        <w:rPr>
          <w:rFonts w:hint="eastAsia"/>
          <w:szCs w:val="21"/>
        </w:rPr>
        <w:t xml:space="preserve">3. </w:t>
      </w:r>
      <w:r>
        <w:rPr>
          <w:rFonts w:hint="eastAsia"/>
          <w:szCs w:val="21"/>
        </w:rPr>
        <w:t>我国设施园艺存在的不足与发展趋势；</w:t>
      </w:r>
    </w:p>
    <w:p w14:paraId="29DA7779" w14:textId="77777777" w:rsidR="00F5289E" w:rsidRDefault="00C91173">
      <w:pPr>
        <w:spacing w:line="360" w:lineRule="auto"/>
        <w:ind w:firstLineChars="200" w:firstLine="420"/>
        <w:rPr>
          <w:szCs w:val="21"/>
        </w:rPr>
      </w:pPr>
      <w:r>
        <w:rPr>
          <w:rFonts w:hint="eastAsia"/>
          <w:szCs w:val="21"/>
        </w:rPr>
        <w:t xml:space="preserve">4. </w:t>
      </w:r>
      <w:r>
        <w:rPr>
          <w:rFonts w:hint="eastAsia"/>
          <w:szCs w:val="21"/>
        </w:rPr>
        <w:t>我国</w:t>
      </w:r>
      <w:r>
        <w:rPr>
          <w:rFonts w:ascii="宋体" w:hAnsi="宋体" w:cs="宋体" w:hint="eastAsia"/>
          <w:color w:val="353535"/>
          <w:kern w:val="0"/>
          <w:szCs w:val="21"/>
        </w:rPr>
        <w:t>设施园艺科学研究重点和工程技术需要解决的关键问题。</w:t>
      </w:r>
    </w:p>
    <w:p w14:paraId="3D2619F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9BE5392" w14:textId="77777777" w:rsidR="00F5289E" w:rsidRDefault="00C91173">
      <w:pPr>
        <w:spacing w:line="360" w:lineRule="auto"/>
        <w:ind w:firstLineChars="200" w:firstLine="420"/>
        <w:rPr>
          <w:szCs w:val="21"/>
        </w:rPr>
      </w:pPr>
      <w:r>
        <w:rPr>
          <w:rFonts w:hint="eastAsia"/>
          <w:szCs w:val="21"/>
        </w:rPr>
        <w:t xml:space="preserve">1. </w:t>
      </w:r>
      <w:r>
        <w:rPr>
          <w:rFonts w:hint="eastAsia"/>
          <w:szCs w:val="21"/>
        </w:rPr>
        <w:t>识记</w:t>
      </w:r>
      <w:r>
        <w:rPr>
          <w:rFonts w:hint="eastAsia"/>
          <w:szCs w:val="21"/>
        </w:rPr>
        <w:t xml:space="preserve">: </w:t>
      </w:r>
      <w:r>
        <w:rPr>
          <w:rFonts w:ascii="宋体" w:hAnsi="宋体" w:hint="eastAsia"/>
          <w:szCs w:val="21"/>
        </w:rPr>
        <w:t>设施农业、设施园艺、设施产业的概念</w:t>
      </w:r>
      <w:r>
        <w:rPr>
          <w:rFonts w:hint="eastAsia"/>
          <w:szCs w:val="21"/>
        </w:rPr>
        <w:t>；</w:t>
      </w:r>
    </w:p>
    <w:p w14:paraId="1598EF25" w14:textId="77777777" w:rsidR="00F5289E" w:rsidRDefault="00C91173">
      <w:pPr>
        <w:spacing w:line="360" w:lineRule="auto"/>
        <w:ind w:firstLineChars="200" w:firstLine="420"/>
        <w:rPr>
          <w:rFonts w:ascii="宋体" w:hAnsi="宋体"/>
          <w:szCs w:val="21"/>
        </w:rPr>
      </w:pPr>
      <w:r>
        <w:rPr>
          <w:rFonts w:hint="eastAsia"/>
          <w:szCs w:val="21"/>
        </w:rPr>
        <w:t xml:space="preserve">2. </w:t>
      </w:r>
      <w:r>
        <w:rPr>
          <w:rFonts w:hint="eastAsia"/>
          <w:szCs w:val="21"/>
        </w:rPr>
        <w:t>领会</w:t>
      </w:r>
      <w:r>
        <w:rPr>
          <w:rFonts w:hint="eastAsia"/>
          <w:szCs w:val="21"/>
        </w:rPr>
        <w:t xml:space="preserve">: </w:t>
      </w:r>
      <w:r>
        <w:rPr>
          <w:rFonts w:ascii="DengXian" w:eastAsia="DengXian" w:hAnsi="DengXian" w:cs="DengXian" w:hint="eastAsia"/>
          <w:color w:val="353535"/>
          <w:kern w:val="0"/>
          <w:szCs w:val="21"/>
        </w:rPr>
        <w:t>发展设施园艺对充分利用农业资源、减轻劳动强度、保障食品安全的意义；</w:t>
      </w:r>
    </w:p>
    <w:p w14:paraId="271B0F85" w14:textId="77777777" w:rsidR="00F5289E" w:rsidRDefault="00C91173">
      <w:pPr>
        <w:spacing w:line="360" w:lineRule="auto"/>
        <w:ind w:firstLineChars="200" w:firstLine="420"/>
        <w:rPr>
          <w:szCs w:val="21"/>
        </w:rPr>
      </w:pPr>
      <w:r>
        <w:rPr>
          <w:rFonts w:hint="eastAsia"/>
          <w:szCs w:val="21"/>
        </w:rPr>
        <w:t xml:space="preserve">3. </w:t>
      </w:r>
      <w:r>
        <w:rPr>
          <w:rFonts w:hint="eastAsia"/>
          <w:szCs w:val="21"/>
        </w:rPr>
        <w:t>应用：</w:t>
      </w:r>
      <w:bookmarkStart w:id="177" w:name="_Hlk137972836"/>
      <w:r>
        <w:rPr>
          <w:rFonts w:hint="eastAsia"/>
          <w:szCs w:val="21"/>
        </w:rPr>
        <w:t>我国设施园艺科学研究、工程技术发展的趋势</w:t>
      </w:r>
      <w:bookmarkEnd w:id="177"/>
      <w:r>
        <w:rPr>
          <w:rFonts w:hint="eastAsia"/>
          <w:szCs w:val="21"/>
        </w:rPr>
        <w:t>；</w:t>
      </w:r>
    </w:p>
    <w:p w14:paraId="542F3A2E" w14:textId="77777777" w:rsidR="00F5289E" w:rsidRDefault="00C91173">
      <w:pPr>
        <w:spacing w:line="360" w:lineRule="auto"/>
        <w:ind w:firstLineChars="200" w:firstLine="420"/>
        <w:rPr>
          <w:szCs w:val="21"/>
        </w:rPr>
      </w:pPr>
      <w:r>
        <w:rPr>
          <w:rFonts w:hint="eastAsia"/>
          <w:szCs w:val="21"/>
        </w:rPr>
        <w:t xml:space="preserve">4. </w:t>
      </w:r>
      <w:r>
        <w:rPr>
          <w:rFonts w:hint="eastAsia"/>
          <w:szCs w:val="21"/>
        </w:rPr>
        <w:t>分析：我国设施园艺存在的不足；</w:t>
      </w:r>
    </w:p>
    <w:p w14:paraId="32D7E0E3" w14:textId="77777777" w:rsidR="00F5289E" w:rsidRDefault="00C91173">
      <w:pPr>
        <w:spacing w:line="360" w:lineRule="auto"/>
        <w:ind w:firstLineChars="200" w:firstLine="420"/>
        <w:rPr>
          <w:szCs w:val="21"/>
        </w:rPr>
      </w:pPr>
      <w:r>
        <w:rPr>
          <w:rFonts w:hint="eastAsia"/>
          <w:szCs w:val="21"/>
        </w:rPr>
        <w:t xml:space="preserve">5. </w:t>
      </w:r>
      <w:r>
        <w:rPr>
          <w:rFonts w:hint="eastAsia"/>
          <w:szCs w:val="21"/>
        </w:rPr>
        <w:t>综合：我国</w:t>
      </w:r>
      <w:r>
        <w:rPr>
          <w:rFonts w:ascii="宋体" w:hAnsi="宋体" w:cs="宋体" w:hint="eastAsia"/>
          <w:color w:val="353535"/>
          <w:kern w:val="0"/>
          <w:szCs w:val="21"/>
        </w:rPr>
        <w:t>设施园艺科学研究重点和工程技术需要解决的关键问题</w:t>
      </w:r>
      <w:r>
        <w:rPr>
          <w:rFonts w:hint="eastAsia"/>
          <w:szCs w:val="21"/>
        </w:rPr>
        <w:t>；</w:t>
      </w:r>
    </w:p>
    <w:p w14:paraId="1EDB26B4" w14:textId="77777777" w:rsidR="00F5289E" w:rsidRDefault="00C91173">
      <w:pPr>
        <w:spacing w:line="360" w:lineRule="auto"/>
        <w:ind w:firstLineChars="200" w:firstLine="420"/>
        <w:rPr>
          <w:szCs w:val="21"/>
        </w:rPr>
      </w:pPr>
      <w:r>
        <w:rPr>
          <w:rFonts w:hint="eastAsia"/>
          <w:szCs w:val="21"/>
        </w:rPr>
        <w:t xml:space="preserve">6. </w:t>
      </w:r>
      <w:r>
        <w:rPr>
          <w:rFonts w:hint="eastAsia"/>
          <w:szCs w:val="21"/>
        </w:rPr>
        <w:t>评价：我国日光温室设施的优缺点及地区适应性。</w:t>
      </w:r>
    </w:p>
    <w:p w14:paraId="586890BF" w14:textId="77777777" w:rsidR="00F5289E" w:rsidRDefault="00C91173">
      <w:pPr>
        <w:snapToGrid w:val="0"/>
        <w:spacing w:line="360" w:lineRule="auto"/>
        <w:jc w:val="center"/>
        <w:rPr>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rFonts w:hint="eastAsia"/>
          <w:b/>
          <w:bCs/>
          <w:kern w:val="0"/>
          <w:szCs w:val="21"/>
        </w:rPr>
        <w:t xml:space="preserve">  </w:t>
      </w:r>
      <w:r>
        <w:rPr>
          <w:rFonts w:hint="eastAsia"/>
          <w:b/>
          <w:color w:val="000000"/>
          <w:szCs w:val="21"/>
        </w:rPr>
        <w:t>茶之源流</w:t>
      </w:r>
    </w:p>
    <w:p w14:paraId="3E85C28F"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C85B341"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茶学专业学习和研究范畴；世界茶叶的起源与发展；茶文化的范畴。</w:t>
      </w:r>
    </w:p>
    <w:p w14:paraId="203A8D25"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14597B1" w14:textId="77777777" w:rsidR="00F5289E" w:rsidRDefault="00C91173">
      <w:pPr>
        <w:snapToGrid w:val="0"/>
        <w:spacing w:line="360" w:lineRule="auto"/>
        <w:ind w:firstLineChars="200" w:firstLine="420"/>
        <w:rPr>
          <w:rFonts w:ascii="宋体" w:hAnsi="宋体"/>
          <w:szCs w:val="21"/>
        </w:rPr>
      </w:pPr>
      <w:r>
        <w:rPr>
          <w:rFonts w:hAnsi="宋体" w:hint="eastAsia"/>
          <w:kern w:val="0"/>
          <w:szCs w:val="21"/>
        </w:rPr>
        <w:t>茶学专业学习和研究范畴；世界茶叶的起源与发展；茶文化的范畴。</w:t>
      </w:r>
    </w:p>
    <w:p w14:paraId="65D90D3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52DC950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Ansi="宋体" w:hint="eastAsia"/>
          <w:kern w:val="0"/>
          <w:szCs w:val="21"/>
        </w:rPr>
        <w:t>茶学专业学习和研究范畴；世界茶叶的起源与发展；茶文化的范畴。</w:t>
      </w:r>
    </w:p>
    <w:p w14:paraId="734E0CA0" w14:textId="77777777" w:rsidR="00F5289E" w:rsidRDefault="00C91173">
      <w:pPr>
        <w:spacing w:line="360" w:lineRule="auto"/>
        <w:ind w:firstLineChars="200" w:firstLine="422"/>
      </w:pPr>
      <w:r>
        <w:rPr>
          <w:rFonts w:ascii="宋体" w:hAnsi="宋体"/>
          <w:b/>
          <w:szCs w:val="21"/>
        </w:rPr>
        <w:t>2</w:t>
      </w:r>
      <w:r>
        <w:rPr>
          <w:rFonts w:ascii="宋体" w:hAnsi="宋体" w:hint="eastAsia"/>
          <w:b/>
          <w:szCs w:val="21"/>
        </w:rPr>
        <w:t>.评价：</w:t>
      </w:r>
      <w:r>
        <w:rPr>
          <w:rFonts w:ascii="宋体" w:hAnsi="宋体" w:hint="eastAsia"/>
          <w:szCs w:val="21"/>
        </w:rPr>
        <w:t>茶学专业。</w:t>
      </w:r>
    </w:p>
    <w:p w14:paraId="14474339" w14:textId="77777777" w:rsidR="00F5289E" w:rsidRDefault="00C91173">
      <w:pPr>
        <w:snapToGrid w:val="0"/>
        <w:spacing w:line="360" w:lineRule="auto"/>
        <w:jc w:val="center"/>
        <w:rPr>
          <w:b/>
          <w:color w:val="00000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rFonts w:hint="eastAsia"/>
          <w:b/>
          <w:bCs/>
          <w:kern w:val="0"/>
          <w:szCs w:val="21"/>
        </w:rPr>
        <w:t xml:space="preserve">  </w:t>
      </w:r>
      <w:r>
        <w:rPr>
          <w:rFonts w:hint="eastAsia"/>
          <w:b/>
          <w:color w:val="000000"/>
          <w:szCs w:val="21"/>
        </w:rPr>
        <w:t>我国蔬菜产业现状及发展方向</w:t>
      </w:r>
    </w:p>
    <w:p w14:paraId="0CEAA72B"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11BDEB6" w14:textId="77777777" w:rsidR="00F5289E" w:rsidRDefault="00C91173">
      <w:pPr>
        <w:spacing w:line="360" w:lineRule="auto"/>
        <w:ind w:firstLineChars="200" w:firstLine="422"/>
      </w:pPr>
      <w:r>
        <w:rPr>
          <w:rFonts w:ascii="宋体" w:hAnsi="宋体" w:hint="eastAsia"/>
          <w:b/>
          <w:szCs w:val="21"/>
        </w:rPr>
        <w:t>1. 一般了解</w:t>
      </w:r>
      <w:r>
        <w:rPr>
          <w:rFonts w:ascii="宋体" w:hAnsi="宋体" w:hint="eastAsia"/>
          <w:szCs w:val="21"/>
        </w:rPr>
        <w:t>：</w:t>
      </w:r>
      <w:r>
        <w:rPr>
          <w:rFonts w:hint="eastAsia"/>
        </w:rPr>
        <w:t>通过本章的学习，熟悉我国蔬菜生产的历史、现状、问题及发展趋势。了解蔬菜产业在农业和国民经济中的地位，增强学生对园艺专业的认同感。</w:t>
      </w:r>
    </w:p>
    <w:p w14:paraId="453BA78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：国内外蔬菜生产区域、生产技术和产业形态。</w:t>
      </w:r>
    </w:p>
    <w:p w14:paraId="1C970E2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：栽培、设施、育种等专业知识在蔬菜生产中的应用，解决产业个环节的问题。</w:t>
      </w:r>
    </w:p>
    <w:p w14:paraId="6A07EBA0" w14:textId="77777777" w:rsidR="00F5289E" w:rsidRDefault="00C91173">
      <w:pPr>
        <w:snapToGrid w:val="0"/>
        <w:spacing w:line="360" w:lineRule="auto"/>
        <w:rPr>
          <w:rFonts w:ascii="宋体" w:hAnsi="宋体"/>
          <w:szCs w:val="21"/>
        </w:rPr>
      </w:pPr>
      <w:r>
        <w:rPr>
          <w:rFonts w:ascii="宋体" w:hAnsi="宋体" w:hint="eastAsia"/>
          <w:b/>
          <w:szCs w:val="21"/>
        </w:rPr>
        <w:lastRenderedPageBreak/>
        <w:t>（二）考核内容</w:t>
      </w:r>
    </w:p>
    <w:p w14:paraId="4CE74F10" w14:textId="77777777" w:rsidR="00F5289E" w:rsidRDefault="00C91173">
      <w:pPr>
        <w:snapToGrid w:val="0"/>
        <w:spacing w:line="360" w:lineRule="auto"/>
        <w:ind w:firstLineChars="200" w:firstLine="420"/>
        <w:rPr>
          <w:rFonts w:ascii="宋体" w:hAnsi="宋体"/>
          <w:szCs w:val="21"/>
        </w:rPr>
      </w:pPr>
      <w:r>
        <w:rPr>
          <w:rFonts w:ascii="宋体" w:hAnsi="宋体"/>
          <w:szCs w:val="21"/>
        </w:rPr>
        <w:t>1.</w:t>
      </w:r>
      <w:r>
        <w:rPr>
          <w:rFonts w:ascii="宋体" w:hAnsi="宋体" w:hint="eastAsia"/>
          <w:szCs w:val="21"/>
        </w:rPr>
        <w:t xml:space="preserve">蔬菜生产区域划分、流通特点、生产方式。 </w:t>
      </w:r>
    </w:p>
    <w:p w14:paraId="60D0EEE7" w14:textId="77777777" w:rsidR="00F5289E" w:rsidRDefault="00C91173">
      <w:pPr>
        <w:snapToGrid w:val="0"/>
        <w:spacing w:line="360" w:lineRule="auto"/>
        <w:ind w:firstLineChars="200" w:firstLine="420"/>
        <w:rPr>
          <w:rFonts w:ascii="宋体" w:hAnsi="宋体"/>
          <w:szCs w:val="21"/>
        </w:rPr>
      </w:pPr>
      <w:r>
        <w:rPr>
          <w:rFonts w:ascii="宋体" w:hAnsi="宋体"/>
          <w:szCs w:val="21"/>
        </w:rPr>
        <w:t>2.</w:t>
      </w:r>
      <w:r>
        <w:rPr>
          <w:rFonts w:ascii="宋体" w:hAnsi="宋体" w:hint="eastAsia"/>
          <w:szCs w:val="21"/>
        </w:rPr>
        <w:t>园艺专业知识在蔬菜产业发展中的应用。</w:t>
      </w:r>
    </w:p>
    <w:p w14:paraId="4A6A08CE"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0E0AE76"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：蔬菜生产区域布局</w:t>
      </w:r>
      <w:r>
        <w:rPr>
          <w:rFonts w:hint="eastAsia"/>
        </w:rPr>
        <w:t>、生产形式。</w:t>
      </w:r>
    </w:p>
    <w:p w14:paraId="2691C6BA" w14:textId="77777777" w:rsidR="00F5289E" w:rsidRDefault="00C91173">
      <w:pPr>
        <w:snapToGrid w:val="0"/>
        <w:spacing w:line="360" w:lineRule="auto"/>
        <w:ind w:firstLineChars="200" w:firstLine="422"/>
      </w:pPr>
      <w:r>
        <w:rPr>
          <w:rFonts w:ascii="宋体" w:hAnsi="宋体" w:hint="eastAsia"/>
          <w:b/>
          <w:szCs w:val="21"/>
        </w:rPr>
        <w:t>2.领会</w:t>
      </w:r>
      <w:r>
        <w:rPr>
          <w:rFonts w:ascii="宋体" w:hAnsi="宋体" w:hint="eastAsia"/>
          <w:szCs w:val="21"/>
        </w:rPr>
        <w:t>：蔬菜产业在农业中的地位，在国民经济中的重要作用</w:t>
      </w:r>
      <w:r>
        <w:rPr>
          <w:rFonts w:hint="eastAsia"/>
        </w:rPr>
        <w:t>。</w:t>
      </w:r>
    </w:p>
    <w:p w14:paraId="41818997" w14:textId="77777777" w:rsidR="00F5289E" w:rsidRDefault="00C91173">
      <w:pPr>
        <w:snapToGrid w:val="0"/>
        <w:spacing w:line="360" w:lineRule="auto"/>
        <w:ind w:firstLineChars="200" w:firstLine="422"/>
      </w:pPr>
      <w:r>
        <w:rPr>
          <w:rFonts w:ascii="宋体" w:hAnsi="宋体" w:hint="eastAsia"/>
          <w:b/>
          <w:szCs w:val="21"/>
        </w:rPr>
        <w:t>3.应用</w:t>
      </w:r>
      <w:r>
        <w:rPr>
          <w:rFonts w:ascii="宋体" w:hAnsi="宋体" w:hint="eastAsia"/>
          <w:szCs w:val="21"/>
        </w:rPr>
        <w:t>：能够利用气候特点、地理差异、生产传统等</w:t>
      </w:r>
      <w:r>
        <w:rPr>
          <w:rFonts w:hint="eastAsia"/>
        </w:rPr>
        <w:t>解释不同地区蔬菜生产现状及特点。</w:t>
      </w:r>
    </w:p>
    <w:p w14:paraId="21882C4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ascii="宋体" w:hAnsi="宋体" w:hint="eastAsia"/>
          <w:szCs w:val="21"/>
        </w:rPr>
        <w:t>：</w:t>
      </w:r>
      <w:r>
        <w:rPr>
          <w:rFonts w:hint="eastAsia"/>
        </w:rPr>
        <w:t>分析蔬菜产业前中后各环节中问题产生的原因及解决途径。</w:t>
      </w:r>
    </w:p>
    <w:p w14:paraId="0017E2D6" w14:textId="77777777" w:rsidR="00F5289E" w:rsidRDefault="00C91173">
      <w:pPr>
        <w:snapToGrid w:val="0"/>
        <w:spacing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能够利用专业知识分析蔬菜产业中的问题，并提出解决方案。</w:t>
      </w:r>
    </w:p>
    <w:p w14:paraId="2F65D7F4"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hint="eastAsia"/>
        </w:rPr>
        <w:t>能够利用本章知识初步评价国内外蔬菜产业业态的差异。</w:t>
      </w:r>
      <w:r>
        <w:rPr>
          <w:rFonts w:hint="eastAsia"/>
        </w:rPr>
        <w:t xml:space="preserve">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5"/>
        <w:gridCol w:w="2965"/>
      </w:tblGrid>
      <w:tr w:rsidR="00F5289E" w14:paraId="36D71CA4" w14:textId="77777777">
        <w:trPr>
          <w:trHeight w:val="270"/>
        </w:trPr>
        <w:tc>
          <w:tcPr>
            <w:tcW w:w="2965" w:type="dxa"/>
            <w:tcBorders>
              <w:top w:val="nil"/>
              <w:left w:val="nil"/>
              <w:bottom w:val="nil"/>
              <w:right w:val="nil"/>
            </w:tcBorders>
            <w:shd w:val="clear" w:color="auto" w:fill="auto"/>
            <w:vAlign w:val="center"/>
          </w:tcPr>
          <w:p w14:paraId="711A658F" w14:textId="77777777" w:rsidR="00F5289E" w:rsidRDefault="00F5289E">
            <w:pPr>
              <w:widowControl/>
              <w:snapToGrid w:val="0"/>
              <w:spacing w:line="360" w:lineRule="auto"/>
              <w:jc w:val="center"/>
              <w:rPr>
                <w:rFonts w:hAnsi="宋体"/>
                <w:b/>
                <w:bCs/>
                <w:kern w:val="0"/>
                <w:szCs w:val="21"/>
              </w:rPr>
            </w:pPr>
          </w:p>
        </w:tc>
        <w:tc>
          <w:tcPr>
            <w:tcW w:w="2965" w:type="dxa"/>
            <w:tcBorders>
              <w:top w:val="nil"/>
              <w:left w:val="nil"/>
              <w:bottom w:val="nil"/>
              <w:right w:val="nil"/>
            </w:tcBorders>
            <w:shd w:val="clear" w:color="auto" w:fill="auto"/>
            <w:vAlign w:val="center"/>
          </w:tcPr>
          <w:p w14:paraId="1CB71616" w14:textId="77777777" w:rsidR="00F5289E" w:rsidRDefault="00C91173">
            <w:pPr>
              <w:widowControl/>
              <w:snapToGrid w:val="0"/>
              <w:spacing w:line="360" w:lineRule="auto"/>
              <w:jc w:val="center"/>
              <w:rPr>
                <w:b/>
                <w:color w:val="000000"/>
                <w:szCs w:val="21"/>
              </w:rPr>
            </w:pPr>
            <w:r>
              <w:rPr>
                <w:b/>
                <w:color w:val="000000"/>
                <w:szCs w:val="21"/>
              </w:rPr>
              <w:t>第</w:t>
            </w:r>
            <w:r>
              <w:rPr>
                <w:rFonts w:hint="eastAsia"/>
                <w:b/>
                <w:color w:val="000000"/>
                <w:szCs w:val="21"/>
              </w:rPr>
              <w:t>五</w:t>
            </w:r>
            <w:r>
              <w:rPr>
                <w:b/>
                <w:color w:val="000000"/>
                <w:szCs w:val="21"/>
              </w:rPr>
              <w:t>章</w:t>
            </w:r>
            <w:r>
              <w:rPr>
                <w:rFonts w:hint="eastAsia"/>
                <w:b/>
                <w:color w:val="000000"/>
                <w:szCs w:val="21"/>
              </w:rPr>
              <w:t xml:space="preserve">  </w:t>
            </w:r>
            <w:r>
              <w:rPr>
                <w:rFonts w:hint="eastAsia"/>
                <w:b/>
                <w:color w:val="000000"/>
                <w:szCs w:val="21"/>
              </w:rPr>
              <w:t>蔬菜基因组与分子育种</w:t>
            </w:r>
          </w:p>
        </w:tc>
      </w:tr>
    </w:tbl>
    <w:p w14:paraId="7572807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4B73A9C" w14:textId="77777777" w:rsidR="00F5289E" w:rsidRDefault="00C91173">
      <w:pPr>
        <w:snapToGrid w:val="0"/>
        <w:spacing w:line="360" w:lineRule="auto"/>
        <w:ind w:firstLineChars="200" w:firstLine="422"/>
        <w:rPr>
          <w:rFonts w:ascii="宋体" w:hAnsi="宋体" w:cs="宋体"/>
          <w:kern w:val="0"/>
          <w:szCs w:val="21"/>
        </w:rPr>
      </w:pPr>
      <w:r>
        <w:rPr>
          <w:rFonts w:ascii="宋体" w:hAnsi="宋体" w:hint="eastAsia"/>
          <w:b/>
          <w:szCs w:val="21"/>
        </w:rPr>
        <w:t>1. 一般了解</w:t>
      </w:r>
      <w:r>
        <w:rPr>
          <w:rFonts w:ascii="宋体" w:hAnsi="宋体" w:hint="eastAsia"/>
          <w:szCs w:val="21"/>
        </w:rPr>
        <w:t>：</w:t>
      </w:r>
      <w:r>
        <w:rPr>
          <w:rFonts w:ascii="宋体" w:hAnsi="宋体" w:cs="宋体" w:hint="eastAsia"/>
          <w:kern w:val="0"/>
          <w:szCs w:val="21"/>
        </w:rPr>
        <w:t>基因组的概念及基因组测序的过程和基本原理；了解当前蔬菜作物基因组测序进展及其应用领域；了解分子育种在蔬菜品种改良中的应用及其发展趋势。</w:t>
      </w:r>
    </w:p>
    <w:p w14:paraId="4450435F" w14:textId="77777777" w:rsidR="00F5289E" w:rsidRDefault="00C91173">
      <w:pPr>
        <w:snapToGrid w:val="0"/>
        <w:spacing w:line="360" w:lineRule="auto"/>
        <w:rPr>
          <w:rFonts w:ascii="宋体" w:hAnsi="宋体"/>
          <w:b/>
          <w:szCs w:val="21"/>
        </w:rPr>
      </w:pPr>
      <w:r>
        <w:rPr>
          <w:rFonts w:ascii="宋体" w:hAnsi="宋体" w:hint="eastAsia"/>
          <w:b/>
          <w:szCs w:val="21"/>
        </w:rPr>
        <w:t>（二）考核内容</w:t>
      </w:r>
    </w:p>
    <w:p w14:paraId="56355F0A" w14:textId="77777777" w:rsidR="00F5289E" w:rsidRDefault="00C91173">
      <w:pPr>
        <w:widowControl/>
        <w:adjustRightInd w:val="0"/>
        <w:snapToGrid w:val="0"/>
        <w:spacing w:line="360" w:lineRule="auto"/>
        <w:ind w:firstLineChars="200" w:firstLine="420"/>
        <w:jc w:val="left"/>
        <w:rPr>
          <w:kern w:val="0"/>
          <w:szCs w:val="21"/>
        </w:rPr>
      </w:pPr>
      <w:r>
        <w:rPr>
          <w:rFonts w:hint="eastAsia"/>
          <w:kern w:val="0"/>
          <w:szCs w:val="21"/>
        </w:rPr>
        <w:t>全基因组测序计划及其测序的原理。</w:t>
      </w:r>
    </w:p>
    <w:p w14:paraId="588BE011"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91FD96D" w14:textId="77777777" w:rsidR="00F5289E" w:rsidRDefault="00C91173">
      <w:pPr>
        <w:widowControl/>
        <w:adjustRightInd w:val="0"/>
        <w:snapToGrid w:val="0"/>
        <w:spacing w:line="360" w:lineRule="auto"/>
        <w:ind w:firstLine="420"/>
        <w:jc w:val="left"/>
        <w:rPr>
          <w:kern w:val="0"/>
          <w:szCs w:val="21"/>
        </w:rPr>
      </w:pPr>
      <w:r>
        <w:rPr>
          <w:rFonts w:ascii="宋体" w:hAnsi="宋体" w:hint="eastAsia"/>
          <w:b/>
          <w:szCs w:val="21"/>
        </w:rPr>
        <w:t>1.识记</w:t>
      </w:r>
      <w:r>
        <w:rPr>
          <w:rFonts w:ascii="宋体" w:hAnsi="宋体" w:hint="eastAsia"/>
          <w:szCs w:val="21"/>
        </w:rPr>
        <w:t>：</w:t>
      </w:r>
      <w:r>
        <w:rPr>
          <w:rFonts w:hint="eastAsia"/>
          <w:kern w:val="0"/>
          <w:szCs w:val="21"/>
        </w:rPr>
        <w:t>蔬菜作物全基因组测序研究进展；未来生物技术育种的发展趋势。</w:t>
      </w:r>
    </w:p>
    <w:p w14:paraId="25E4D7A2" w14:textId="77777777" w:rsidR="00F5289E" w:rsidRDefault="00C91173">
      <w:pPr>
        <w:snapToGrid w:val="0"/>
        <w:spacing w:line="360" w:lineRule="auto"/>
        <w:ind w:firstLineChars="200" w:firstLine="422"/>
      </w:pPr>
      <w:r>
        <w:rPr>
          <w:rFonts w:ascii="宋体" w:hAnsi="宋体" w:hint="eastAsia"/>
          <w:b/>
          <w:szCs w:val="21"/>
        </w:rPr>
        <w:t>2.领会</w:t>
      </w:r>
      <w:r>
        <w:rPr>
          <w:rFonts w:ascii="宋体" w:hAnsi="宋体" w:hint="eastAsia"/>
          <w:szCs w:val="21"/>
        </w:rPr>
        <w:t>：</w:t>
      </w:r>
      <w:r>
        <w:rPr>
          <w:rFonts w:hint="eastAsia"/>
          <w:kern w:val="0"/>
          <w:szCs w:val="21"/>
        </w:rPr>
        <w:t>基因组</w:t>
      </w:r>
      <w:r>
        <w:rPr>
          <w:kern w:val="0"/>
          <w:szCs w:val="21"/>
        </w:rPr>
        <w:t>学的主要研究内容</w:t>
      </w:r>
    </w:p>
    <w:p w14:paraId="57311BB2" w14:textId="77777777" w:rsidR="00F5289E" w:rsidRDefault="00C91173">
      <w:pPr>
        <w:snapToGrid w:val="0"/>
        <w:spacing w:line="360" w:lineRule="auto"/>
        <w:jc w:val="center"/>
        <w:rPr>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color w:val="000000"/>
          <w:szCs w:val="21"/>
        </w:rPr>
        <w:t>我国茶产业发展现状及研究新进展</w:t>
      </w:r>
    </w:p>
    <w:p w14:paraId="12005E3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32A7889" w14:textId="77777777" w:rsidR="00F5289E" w:rsidRDefault="00C91173">
      <w:pPr>
        <w:spacing w:line="360" w:lineRule="auto"/>
        <w:ind w:firstLineChars="200" w:firstLine="422"/>
      </w:pPr>
      <w:r>
        <w:rPr>
          <w:rFonts w:ascii="宋体" w:hAnsi="宋体" w:hint="eastAsia"/>
          <w:b/>
          <w:szCs w:val="21"/>
        </w:rPr>
        <w:t>1. 一般了解</w:t>
      </w:r>
      <w:r>
        <w:rPr>
          <w:rFonts w:ascii="宋体" w:hAnsi="宋体" w:hint="eastAsia"/>
          <w:szCs w:val="21"/>
        </w:rPr>
        <w:t>：</w:t>
      </w:r>
      <w:r>
        <w:rPr>
          <w:rFonts w:hint="eastAsia"/>
        </w:rPr>
        <w:t>通过本章的学习，熟悉我国茶叶种植的历史、现状、问题及发展趋势。了解茶产业在农业和国民经济中的地位，增强学生对茶学专业的认同感。</w:t>
      </w:r>
    </w:p>
    <w:p w14:paraId="7F5EE77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：国内外茶叶种植区域、面积、产量。</w:t>
      </w:r>
    </w:p>
    <w:p w14:paraId="76E306A3"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：育种、栽培加工等专业知识在茶叶生产中的应用，解决产业个环节的问题。</w:t>
      </w:r>
    </w:p>
    <w:p w14:paraId="7E829AD0"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37A2AA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茶学专业知识在蔬菜产业发展中的应用。</w:t>
      </w:r>
    </w:p>
    <w:p w14:paraId="30C323B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493DA4E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：国内外茶叶种植区域、面积、产量</w:t>
      </w:r>
      <w:r>
        <w:rPr>
          <w:rFonts w:hint="eastAsia"/>
        </w:rPr>
        <w:t>。</w:t>
      </w:r>
    </w:p>
    <w:p w14:paraId="5CEC1D10" w14:textId="77777777" w:rsidR="00F5289E" w:rsidRDefault="00C91173">
      <w:pPr>
        <w:snapToGrid w:val="0"/>
        <w:spacing w:line="360" w:lineRule="auto"/>
        <w:ind w:firstLineChars="200" w:firstLine="422"/>
      </w:pPr>
      <w:r>
        <w:rPr>
          <w:rFonts w:ascii="宋体" w:hAnsi="宋体" w:hint="eastAsia"/>
          <w:b/>
          <w:szCs w:val="21"/>
        </w:rPr>
        <w:t>2.领会</w:t>
      </w:r>
      <w:r>
        <w:rPr>
          <w:rFonts w:ascii="宋体" w:hAnsi="宋体" w:hint="eastAsia"/>
          <w:szCs w:val="21"/>
        </w:rPr>
        <w:t>：茶产业在农业中的地位，在国民经济中的重要作用</w:t>
      </w:r>
      <w:r>
        <w:rPr>
          <w:rFonts w:hint="eastAsia"/>
        </w:rPr>
        <w:t>。</w:t>
      </w:r>
    </w:p>
    <w:p w14:paraId="6923E546" w14:textId="77777777" w:rsidR="00F5289E" w:rsidRDefault="00C91173">
      <w:pPr>
        <w:snapToGrid w:val="0"/>
        <w:spacing w:line="360" w:lineRule="auto"/>
        <w:ind w:firstLineChars="200" w:firstLine="422"/>
        <w:rPr>
          <w:rFonts w:ascii="宋体" w:hAnsi="宋体"/>
          <w:b/>
          <w:szCs w:val="21"/>
        </w:rPr>
      </w:pPr>
      <w:r>
        <w:rPr>
          <w:rFonts w:ascii="宋体" w:hAnsi="宋体"/>
          <w:b/>
          <w:szCs w:val="21"/>
        </w:rPr>
        <w:t>3</w:t>
      </w:r>
      <w:r>
        <w:rPr>
          <w:rFonts w:ascii="宋体" w:hAnsi="宋体" w:hint="eastAsia"/>
          <w:b/>
          <w:szCs w:val="21"/>
        </w:rPr>
        <w:t>.分析</w:t>
      </w:r>
      <w:r>
        <w:rPr>
          <w:rFonts w:ascii="宋体" w:hAnsi="宋体" w:hint="eastAsia"/>
          <w:szCs w:val="21"/>
        </w:rPr>
        <w:t>：</w:t>
      </w:r>
      <w:r>
        <w:rPr>
          <w:rFonts w:hint="eastAsia"/>
        </w:rPr>
        <w:t>分析茶产业前中后各环节中问题产生的原因及解决途径。</w:t>
      </w:r>
    </w:p>
    <w:p w14:paraId="211F8EF1" w14:textId="77777777" w:rsidR="00F5289E" w:rsidRDefault="00C91173">
      <w:pPr>
        <w:snapToGrid w:val="0"/>
        <w:spacing w:line="360" w:lineRule="auto"/>
        <w:jc w:val="center"/>
        <w:rPr>
          <w:kern w:val="0"/>
          <w:szCs w:val="21"/>
        </w:rPr>
      </w:pPr>
      <w:r>
        <w:rPr>
          <w:rFonts w:hAnsi="宋体"/>
          <w:b/>
          <w:bCs/>
          <w:kern w:val="0"/>
          <w:szCs w:val="21"/>
        </w:rPr>
        <w:t>第</w:t>
      </w:r>
      <w:r>
        <w:rPr>
          <w:rFonts w:hAnsi="宋体" w:hint="eastAsia"/>
          <w:b/>
          <w:bCs/>
          <w:kern w:val="0"/>
          <w:szCs w:val="21"/>
        </w:rPr>
        <w:t>七</w:t>
      </w:r>
      <w:r>
        <w:rPr>
          <w:rFonts w:hAnsi="宋体"/>
          <w:b/>
          <w:bCs/>
          <w:kern w:val="0"/>
          <w:szCs w:val="21"/>
        </w:rPr>
        <w:t>章</w:t>
      </w:r>
      <w:r>
        <w:rPr>
          <w:rFonts w:hint="eastAsia"/>
          <w:b/>
          <w:bCs/>
          <w:kern w:val="0"/>
          <w:szCs w:val="21"/>
        </w:rPr>
        <w:t xml:space="preserve">  </w:t>
      </w:r>
      <w:r>
        <w:rPr>
          <w:rFonts w:hint="eastAsia"/>
          <w:b/>
          <w:bCs/>
          <w:kern w:val="0"/>
          <w:szCs w:val="21"/>
        </w:rPr>
        <w:t>果树与美好人生</w:t>
      </w:r>
    </w:p>
    <w:p w14:paraId="52BB653A" w14:textId="77777777" w:rsidR="00F5289E" w:rsidRDefault="00C91173">
      <w:pPr>
        <w:snapToGrid w:val="0"/>
        <w:spacing w:line="360" w:lineRule="auto"/>
        <w:ind w:firstLineChars="49" w:firstLine="103"/>
        <w:rPr>
          <w:rFonts w:ascii="宋体" w:hAnsi="宋体"/>
          <w:b/>
          <w:szCs w:val="21"/>
        </w:rPr>
      </w:pPr>
      <w:r>
        <w:rPr>
          <w:rFonts w:ascii="宋体" w:hAnsi="宋体" w:hint="eastAsia"/>
          <w:b/>
          <w:szCs w:val="21"/>
        </w:rPr>
        <w:t>（一）学习目标</w:t>
      </w:r>
    </w:p>
    <w:p w14:paraId="7A274C51" w14:textId="77777777" w:rsidR="00F5289E" w:rsidRDefault="00C91173">
      <w:pPr>
        <w:widowControl/>
        <w:snapToGrid w:val="0"/>
        <w:spacing w:line="360" w:lineRule="auto"/>
        <w:ind w:firstLineChars="200" w:firstLine="422"/>
        <w:rPr>
          <w:rFonts w:hAnsi="宋体"/>
          <w:bCs/>
          <w:kern w:val="0"/>
          <w:szCs w:val="21"/>
        </w:rPr>
      </w:pPr>
      <w:r>
        <w:rPr>
          <w:rFonts w:ascii="宋体" w:hAnsi="宋体" w:hint="eastAsia"/>
          <w:b/>
          <w:szCs w:val="21"/>
        </w:rPr>
        <w:lastRenderedPageBreak/>
        <w:t>一般了解</w:t>
      </w:r>
      <w:r>
        <w:rPr>
          <w:rFonts w:ascii="宋体" w:hAnsi="宋体" w:hint="eastAsia"/>
          <w:szCs w:val="21"/>
        </w:rPr>
        <w:t>：</w:t>
      </w:r>
      <w:r>
        <w:rPr>
          <w:rFonts w:ascii="宋体" w:hAnsi="宋体" w:hint="eastAsia"/>
          <w:bCs/>
        </w:rPr>
        <w:t>我国及河南省果树产业发展现状，果树新的栽培技术和模式。</w:t>
      </w:r>
    </w:p>
    <w:p w14:paraId="50A7AEFE" w14:textId="77777777" w:rsidR="00F5289E" w:rsidRDefault="00C91173">
      <w:pPr>
        <w:snapToGrid w:val="0"/>
        <w:spacing w:line="360" w:lineRule="auto"/>
        <w:ind w:firstLineChars="200" w:firstLine="420"/>
        <w:rPr>
          <w:rFonts w:ascii="宋体" w:hAnsi="宋体"/>
          <w:szCs w:val="21"/>
        </w:rPr>
      </w:pPr>
      <w:r>
        <w:rPr>
          <w:rFonts w:ascii="宋体" w:hAnsi="宋体"/>
          <w:szCs w:val="21"/>
        </w:rPr>
        <w:t xml:space="preserve"> </w:t>
      </w:r>
      <w:r>
        <w:rPr>
          <w:rFonts w:ascii="宋体" w:hAnsi="宋体" w:hint="eastAsia"/>
          <w:b/>
          <w:szCs w:val="21"/>
        </w:rPr>
        <w:t>（二）考核内容</w:t>
      </w:r>
    </w:p>
    <w:p w14:paraId="4BF131F2" w14:textId="77777777" w:rsidR="00F5289E" w:rsidRDefault="00C91173">
      <w:pPr>
        <w:snapToGrid w:val="0"/>
        <w:spacing w:line="360" w:lineRule="auto"/>
        <w:ind w:firstLineChars="200" w:firstLine="420"/>
        <w:rPr>
          <w:rFonts w:ascii="宋体" w:hAnsi="宋体"/>
          <w:szCs w:val="20"/>
        </w:rPr>
      </w:pPr>
      <w:r>
        <w:rPr>
          <w:rFonts w:ascii="宋体" w:hAnsi="宋体" w:hint="eastAsia"/>
          <w:bCs/>
        </w:rPr>
        <w:t>果树产业发展中的主要品种、栽培技术等。</w:t>
      </w:r>
    </w:p>
    <w:p w14:paraId="7F15EB6D"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6F59EA0" w14:textId="77777777" w:rsidR="00F5289E" w:rsidRDefault="00C91173">
      <w:pPr>
        <w:snapToGrid w:val="0"/>
        <w:spacing w:line="360" w:lineRule="auto"/>
        <w:ind w:firstLineChars="200" w:firstLine="422"/>
        <w:rPr>
          <w:rFonts w:ascii="宋体" w:hAnsi="宋体"/>
          <w:szCs w:val="20"/>
        </w:rPr>
      </w:pPr>
      <w:r>
        <w:rPr>
          <w:rFonts w:ascii="宋体" w:hAnsi="宋体" w:hint="eastAsia"/>
          <w:b/>
          <w:szCs w:val="21"/>
        </w:rPr>
        <w:t>1.识记</w:t>
      </w:r>
      <w:r>
        <w:rPr>
          <w:rFonts w:ascii="宋体" w:hAnsi="宋体" w:hint="eastAsia"/>
          <w:szCs w:val="21"/>
        </w:rPr>
        <w:t>：</w:t>
      </w:r>
      <w:r>
        <w:rPr>
          <w:rFonts w:ascii="宋体" w:hAnsi="宋体" w:hint="eastAsia"/>
        </w:rPr>
        <w:t>我国果树产业和河南省果树产业发展的现状。</w:t>
      </w:r>
    </w:p>
    <w:p w14:paraId="17D31481" w14:textId="77777777" w:rsidR="00F5289E" w:rsidRDefault="00C91173">
      <w:pPr>
        <w:snapToGrid w:val="0"/>
        <w:spacing w:line="360" w:lineRule="auto"/>
        <w:ind w:firstLineChars="200" w:firstLine="422"/>
      </w:pPr>
      <w:r>
        <w:rPr>
          <w:rFonts w:ascii="宋体" w:hAnsi="宋体" w:hint="eastAsia"/>
          <w:b/>
          <w:szCs w:val="21"/>
        </w:rPr>
        <w:t>2.领会</w:t>
      </w:r>
      <w:r>
        <w:rPr>
          <w:rFonts w:ascii="宋体" w:hAnsi="宋体" w:hint="eastAsia"/>
          <w:szCs w:val="21"/>
        </w:rPr>
        <w:t>：果树产业在农业中的地位，在国民经济中的重要作用</w:t>
      </w:r>
      <w:r>
        <w:rPr>
          <w:rFonts w:hint="eastAsia"/>
        </w:rPr>
        <w:t>。</w:t>
      </w:r>
    </w:p>
    <w:p w14:paraId="17C64B11" w14:textId="77777777" w:rsidR="00F5289E" w:rsidRDefault="00C91173">
      <w:pPr>
        <w:snapToGrid w:val="0"/>
        <w:spacing w:line="360" w:lineRule="auto"/>
        <w:jc w:val="center"/>
        <w:rPr>
          <w:kern w:val="0"/>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rFonts w:hint="eastAsia"/>
          <w:b/>
          <w:bCs/>
          <w:kern w:val="0"/>
          <w:szCs w:val="21"/>
        </w:rPr>
        <w:t xml:space="preserve">  </w:t>
      </w:r>
      <w:r>
        <w:rPr>
          <w:rFonts w:hint="eastAsia"/>
          <w:b/>
          <w:bCs/>
          <w:szCs w:val="21"/>
        </w:rPr>
        <w:t>一株幼苗的由来</w:t>
      </w:r>
    </w:p>
    <w:p w14:paraId="2D3A997A" w14:textId="77777777" w:rsidR="00F5289E" w:rsidRDefault="00C91173">
      <w:pPr>
        <w:snapToGrid w:val="0"/>
        <w:spacing w:line="360" w:lineRule="auto"/>
        <w:ind w:firstLineChars="49" w:firstLine="103"/>
        <w:rPr>
          <w:rFonts w:ascii="宋体" w:hAnsi="宋体"/>
          <w:b/>
          <w:szCs w:val="21"/>
        </w:rPr>
      </w:pPr>
      <w:r>
        <w:rPr>
          <w:rFonts w:ascii="宋体" w:hAnsi="宋体" w:hint="eastAsia"/>
          <w:b/>
          <w:szCs w:val="21"/>
        </w:rPr>
        <w:t>（一）学习目标</w:t>
      </w:r>
    </w:p>
    <w:p w14:paraId="3C1EB00B" w14:textId="77777777" w:rsidR="00F5289E" w:rsidRDefault="00C91173">
      <w:pPr>
        <w:widowControl/>
        <w:snapToGrid w:val="0"/>
        <w:spacing w:line="360" w:lineRule="auto"/>
        <w:ind w:firstLineChars="200" w:firstLine="422"/>
        <w:rPr>
          <w:rFonts w:hAnsi="宋体"/>
          <w:kern w:val="0"/>
          <w:szCs w:val="21"/>
        </w:rPr>
      </w:pPr>
      <w:r>
        <w:rPr>
          <w:rFonts w:ascii="宋体" w:hAnsi="宋体" w:hint="eastAsia"/>
          <w:b/>
          <w:szCs w:val="21"/>
        </w:rPr>
        <w:t>一般了解</w:t>
      </w:r>
      <w:r>
        <w:rPr>
          <w:rFonts w:ascii="宋体" w:hAnsi="宋体" w:hint="eastAsia"/>
          <w:szCs w:val="21"/>
        </w:rPr>
        <w:t>：</w:t>
      </w:r>
      <w:r>
        <w:rPr>
          <w:rFonts w:ascii="宋体" w:hAnsi="宋体" w:hint="eastAsia"/>
        </w:rPr>
        <w:t>种苗对蔬菜产业的重要性。</w:t>
      </w:r>
    </w:p>
    <w:p w14:paraId="00545DDB"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FA15574" w14:textId="77777777" w:rsidR="00F5289E" w:rsidRDefault="00C91173">
      <w:pPr>
        <w:snapToGrid w:val="0"/>
        <w:spacing w:line="360" w:lineRule="auto"/>
        <w:ind w:firstLineChars="200" w:firstLine="420"/>
        <w:rPr>
          <w:rFonts w:ascii="宋体" w:hAnsi="宋体"/>
        </w:rPr>
      </w:pPr>
      <w:r>
        <w:rPr>
          <w:rFonts w:ascii="宋体" w:hAnsi="宋体" w:hint="eastAsia"/>
        </w:rPr>
        <w:t>为什么要为种苗换一条强大的根系；如何让种苗吃好、住好？</w:t>
      </w:r>
    </w:p>
    <w:p w14:paraId="2B58142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D097880" w14:textId="77777777" w:rsidR="00F5289E" w:rsidRDefault="00C91173">
      <w:pPr>
        <w:pStyle w:val="a7"/>
        <w:snapToGrid w:val="0"/>
        <w:spacing w:line="360" w:lineRule="auto"/>
        <w:ind w:firstLine="422"/>
        <w:rPr>
          <w:rFonts w:ascii="宋体" w:hAnsi="宋体"/>
          <w:szCs w:val="24"/>
        </w:rPr>
      </w:pPr>
      <w:r>
        <w:rPr>
          <w:rFonts w:ascii="宋体" w:hAnsi="宋体" w:hint="eastAsia"/>
          <w:b/>
          <w:szCs w:val="21"/>
        </w:rPr>
        <w:t>1.识记</w:t>
      </w:r>
      <w:r>
        <w:rPr>
          <w:rFonts w:ascii="宋体" w:hAnsi="宋体" w:hint="eastAsia"/>
          <w:szCs w:val="21"/>
        </w:rPr>
        <w:t>：</w:t>
      </w:r>
      <w:r>
        <w:rPr>
          <w:rFonts w:ascii="宋体" w:hAnsi="宋体" w:hint="eastAsia"/>
          <w:szCs w:val="24"/>
        </w:rPr>
        <w:t>种子、种苗对产业的作用。</w:t>
      </w:r>
    </w:p>
    <w:p w14:paraId="1F60B506" w14:textId="77777777" w:rsidR="00F5289E" w:rsidRDefault="00C91173">
      <w:pPr>
        <w:snapToGrid w:val="0"/>
        <w:spacing w:line="360" w:lineRule="auto"/>
        <w:ind w:firstLineChars="200" w:firstLine="422"/>
        <w:rPr>
          <w:rFonts w:ascii="宋体" w:hAnsi="宋体"/>
        </w:rPr>
      </w:pPr>
      <w:r>
        <w:rPr>
          <w:rFonts w:ascii="宋体" w:hAnsi="宋体" w:hint="eastAsia"/>
          <w:b/>
          <w:szCs w:val="21"/>
        </w:rPr>
        <w:t>2.领会</w:t>
      </w:r>
      <w:r>
        <w:rPr>
          <w:rFonts w:ascii="宋体" w:hAnsi="宋体" w:hint="eastAsia"/>
          <w:szCs w:val="21"/>
        </w:rPr>
        <w:t>：</w:t>
      </w:r>
      <w:r>
        <w:rPr>
          <w:rFonts w:ascii="宋体" w:hAnsi="宋体" w:hint="eastAsia"/>
        </w:rPr>
        <w:t>种苗、种子质量、种苗质量的内涵。</w:t>
      </w:r>
    </w:p>
    <w:p w14:paraId="5C0D57A8" w14:textId="77777777" w:rsidR="00F5289E" w:rsidRDefault="00C91173">
      <w:pPr>
        <w:snapToGrid w:val="0"/>
        <w:spacing w:line="360" w:lineRule="auto"/>
        <w:jc w:val="center"/>
        <w:rPr>
          <w:kern w:val="0"/>
          <w:szCs w:val="21"/>
        </w:rPr>
      </w:pPr>
      <w:r>
        <w:rPr>
          <w:rFonts w:hAnsi="宋体"/>
          <w:b/>
          <w:bCs/>
          <w:kern w:val="0"/>
          <w:szCs w:val="21"/>
        </w:rPr>
        <w:t>第</w:t>
      </w:r>
      <w:r>
        <w:rPr>
          <w:rFonts w:hAnsi="宋体" w:hint="eastAsia"/>
          <w:b/>
          <w:bCs/>
          <w:kern w:val="0"/>
          <w:szCs w:val="21"/>
        </w:rPr>
        <w:t>九</w:t>
      </w:r>
      <w:r>
        <w:rPr>
          <w:rFonts w:hAnsi="宋体"/>
          <w:b/>
          <w:bCs/>
          <w:kern w:val="0"/>
          <w:szCs w:val="21"/>
        </w:rPr>
        <w:t>章</w:t>
      </w:r>
      <w:r>
        <w:rPr>
          <w:rFonts w:hint="eastAsia"/>
          <w:b/>
          <w:bCs/>
          <w:kern w:val="0"/>
          <w:szCs w:val="21"/>
        </w:rPr>
        <w:t xml:space="preserve">  </w:t>
      </w:r>
      <w:r>
        <w:rPr>
          <w:rFonts w:hint="eastAsia"/>
          <w:b/>
          <w:bCs/>
          <w:szCs w:val="21"/>
        </w:rPr>
        <w:t>科技创新与园艺产业未来发展前景</w:t>
      </w:r>
    </w:p>
    <w:p w14:paraId="06E8B5E1" w14:textId="77777777" w:rsidR="00F5289E" w:rsidRDefault="00C91173">
      <w:pPr>
        <w:snapToGrid w:val="0"/>
        <w:spacing w:line="360" w:lineRule="auto"/>
        <w:ind w:firstLineChars="49" w:firstLine="103"/>
        <w:rPr>
          <w:rFonts w:ascii="宋体" w:hAnsi="宋体"/>
          <w:b/>
          <w:szCs w:val="21"/>
        </w:rPr>
      </w:pPr>
      <w:r>
        <w:rPr>
          <w:rFonts w:ascii="宋体" w:hAnsi="宋体" w:hint="eastAsia"/>
          <w:b/>
          <w:szCs w:val="21"/>
        </w:rPr>
        <w:t>（一）学习目标</w:t>
      </w:r>
    </w:p>
    <w:p w14:paraId="28963728" w14:textId="77777777" w:rsidR="00F5289E" w:rsidRDefault="00C91173">
      <w:pPr>
        <w:snapToGrid w:val="0"/>
        <w:spacing w:line="360" w:lineRule="auto"/>
        <w:rPr>
          <w:rFonts w:hAnsi="宋体"/>
          <w:kern w:val="0"/>
          <w:szCs w:val="21"/>
        </w:rPr>
      </w:pPr>
      <w:r>
        <w:rPr>
          <w:rFonts w:ascii="宋体" w:hAnsi="宋体" w:hint="eastAsia"/>
          <w:b/>
          <w:szCs w:val="21"/>
        </w:rPr>
        <w:t>一般了解</w:t>
      </w:r>
      <w:r>
        <w:rPr>
          <w:rFonts w:ascii="宋体" w:hAnsi="宋体" w:hint="eastAsia"/>
          <w:szCs w:val="21"/>
        </w:rPr>
        <w:t>：</w:t>
      </w:r>
      <w:r>
        <w:rPr>
          <w:rFonts w:hint="eastAsia"/>
          <w:kern w:val="0"/>
          <w:szCs w:val="21"/>
        </w:rPr>
        <w:t>园艺产业在农业和国民经济中的重要地位，激发学习兴趣，树立专业信心，培育学农爱农情怀。</w:t>
      </w:r>
    </w:p>
    <w:p w14:paraId="25CEB8C6"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6934319" w14:textId="77777777" w:rsidR="00F5289E" w:rsidRDefault="00C91173">
      <w:pPr>
        <w:widowControl/>
        <w:snapToGrid w:val="0"/>
        <w:spacing w:line="360" w:lineRule="auto"/>
        <w:ind w:firstLineChars="200" w:firstLine="420"/>
        <w:jc w:val="left"/>
        <w:rPr>
          <w:kern w:val="0"/>
          <w:szCs w:val="21"/>
        </w:rPr>
      </w:pPr>
      <w:r>
        <w:rPr>
          <w:rFonts w:hint="eastAsia"/>
          <w:kern w:val="0"/>
          <w:szCs w:val="21"/>
        </w:rPr>
        <w:t>科技是如何赋能园艺产业高质量发展的，园艺产业在发展中还有哪些卡脖子的关键问题。</w:t>
      </w:r>
    </w:p>
    <w:p w14:paraId="5A81CE47"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40D35C79" w14:textId="77777777" w:rsidR="00F5289E" w:rsidRDefault="00C91173">
      <w:pPr>
        <w:pStyle w:val="a7"/>
        <w:snapToGrid w:val="0"/>
        <w:spacing w:line="360" w:lineRule="auto"/>
        <w:ind w:firstLine="422"/>
        <w:rPr>
          <w:rFonts w:ascii="Times New Roman"/>
          <w:kern w:val="0"/>
          <w:szCs w:val="21"/>
        </w:rPr>
      </w:pPr>
      <w:r>
        <w:rPr>
          <w:rFonts w:ascii="宋体" w:hAnsi="宋体" w:hint="eastAsia"/>
          <w:b/>
          <w:szCs w:val="21"/>
        </w:rPr>
        <w:t>1.识记</w:t>
      </w:r>
      <w:r>
        <w:rPr>
          <w:rFonts w:ascii="宋体" w:hAnsi="宋体" w:hint="eastAsia"/>
          <w:szCs w:val="21"/>
        </w:rPr>
        <w:t>：</w:t>
      </w:r>
      <w:r>
        <w:rPr>
          <w:rFonts w:ascii="Times New Roman" w:hint="eastAsia"/>
          <w:kern w:val="0"/>
          <w:szCs w:val="21"/>
        </w:rPr>
        <w:t>园艺业产业发展现状，未来发展趋势。</w:t>
      </w:r>
    </w:p>
    <w:p w14:paraId="078F7044" w14:textId="77777777" w:rsidR="00F5289E" w:rsidRDefault="00C91173">
      <w:pPr>
        <w:pStyle w:val="a7"/>
        <w:snapToGrid w:val="0"/>
        <w:spacing w:line="360" w:lineRule="auto"/>
        <w:ind w:firstLine="422"/>
        <w:rPr>
          <w:rFonts w:ascii="Times New Roman"/>
          <w:kern w:val="0"/>
          <w:szCs w:val="21"/>
        </w:rPr>
      </w:pPr>
      <w:r>
        <w:rPr>
          <w:rFonts w:ascii="宋体" w:hAnsi="宋体" w:hint="eastAsia"/>
          <w:b/>
          <w:szCs w:val="21"/>
        </w:rPr>
        <w:t>2.领会</w:t>
      </w:r>
      <w:r>
        <w:rPr>
          <w:rFonts w:ascii="宋体" w:hAnsi="宋体" w:hint="eastAsia"/>
          <w:szCs w:val="21"/>
        </w:rPr>
        <w:t>：</w:t>
      </w:r>
      <w:r>
        <w:rPr>
          <w:rFonts w:ascii="Times New Roman" w:hint="eastAsia"/>
          <w:kern w:val="0"/>
          <w:szCs w:val="21"/>
        </w:rPr>
        <w:t>园艺产业发展中已经解决的，未解决的，亟待解决的关键科学问题。</w:t>
      </w:r>
    </w:p>
    <w:p w14:paraId="24D2A02B" w14:textId="77777777" w:rsidR="00F5289E" w:rsidRDefault="00C91173">
      <w:pPr>
        <w:snapToGrid w:val="0"/>
        <w:spacing w:line="360" w:lineRule="auto"/>
        <w:rPr>
          <w:rFonts w:ascii="宋体"/>
          <w:b/>
          <w:szCs w:val="21"/>
        </w:rPr>
      </w:pPr>
      <w:r>
        <w:rPr>
          <w:rFonts w:ascii="宋体" w:hAnsi="宋体" w:hint="eastAsia"/>
          <w:b/>
          <w:szCs w:val="21"/>
        </w:rPr>
        <w:t>三、实验教学部分的考核要求</w:t>
      </w:r>
    </w:p>
    <w:p w14:paraId="3F5765B1" w14:textId="77777777" w:rsidR="00F5289E" w:rsidRDefault="00C91173">
      <w:pPr>
        <w:widowControl/>
        <w:spacing w:line="360" w:lineRule="auto"/>
        <w:ind w:firstLineChars="200" w:firstLine="420"/>
        <w:jc w:val="left"/>
        <w:rPr>
          <w:rFonts w:ascii="宋体"/>
          <w:szCs w:val="21"/>
        </w:rPr>
      </w:pPr>
      <w:r>
        <w:rPr>
          <w:rFonts w:ascii="宋体" w:hAnsi="宋体" w:hint="eastAsia"/>
          <w:bCs/>
          <w:szCs w:val="21"/>
        </w:rPr>
        <w:t>无。</w:t>
      </w:r>
    </w:p>
    <w:p w14:paraId="16E50980" w14:textId="77777777" w:rsidR="00F5289E" w:rsidRDefault="00C91173">
      <w:pPr>
        <w:snapToGrid w:val="0"/>
        <w:spacing w:line="360" w:lineRule="auto"/>
        <w:rPr>
          <w:rFonts w:ascii="宋体"/>
          <w:b/>
          <w:szCs w:val="21"/>
        </w:rPr>
      </w:pPr>
      <w:r>
        <w:rPr>
          <w:rFonts w:ascii="宋体" w:hAnsi="宋体" w:hint="eastAsia"/>
          <w:b/>
          <w:szCs w:val="21"/>
        </w:rPr>
        <w:t>四、考核方式</w:t>
      </w:r>
    </w:p>
    <w:p w14:paraId="6BAA30F0" w14:textId="77777777" w:rsidR="00F5289E" w:rsidRDefault="00C91173">
      <w:pPr>
        <w:widowControl/>
        <w:snapToGrid w:val="0"/>
        <w:spacing w:line="360" w:lineRule="auto"/>
        <w:ind w:firstLine="420"/>
        <w:jc w:val="left"/>
        <w:rPr>
          <w:szCs w:val="21"/>
        </w:rPr>
      </w:pPr>
      <w:r>
        <w:rPr>
          <w:szCs w:val="21"/>
        </w:rPr>
        <w:t>本课程</w:t>
      </w:r>
      <w:r>
        <w:rPr>
          <w:rFonts w:hint="eastAsia"/>
          <w:szCs w:val="21"/>
        </w:rPr>
        <w:t>期末</w:t>
      </w:r>
      <w:r>
        <w:rPr>
          <w:szCs w:val="21"/>
        </w:rPr>
        <w:t>考核采用</w:t>
      </w:r>
      <w:r>
        <w:rPr>
          <w:rFonts w:hint="eastAsia"/>
          <w:szCs w:val="21"/>
        </w:rPr>
        <w:t>考核的方式，考核方式为撰写课程论文。总成绩计算办法为期末</w:t>
      </w:r>
      <w:r>
        <w:rPr>
          <w:szCs w:val="21"/>
        </w:rPr>
        <w:t>考试占</w:t>
      </w:r>
      <w:r>
        <w:rPr>
          <w:szCs w:val="21"/>
        </w:rPr>
        <w:t>60%</w:t>
      </w:r>
      <w:r>
        <w:rPr>
          <w:szCs w:val="21"/>
        </w:rPr>
        <w:t>，平时成绩为</w:t>
      </w:r>
      <w:r>
        <w:rPr>
          <w:rFonts w:hint="eastAsia"/>
          <w:szCs w:val="21"/>
        </w:rPr>
        <w:t>4</w:t>
      </w:r>
      <w:r>
        <w:rPr>
          <w:szCs w:val="21"/>
        </w:rPr>
        <w:t>0%</w:t>
      </w:r>
      <w:r>
        <w:rPr>
          <w:szCs w:val="21"/>
        </w:rPr>
        <w:t>。</w:t>
      </w:r>
    </w:p>
    <w:p w14:paraId="7B24654A" w14:textId="77777777" w:rsidR="00F5289E" w:rsidRDefault="00C91173">
      <w:pPr>
        <w:snapToGrid w:val="0"/>
        <w:spacing w:line="360" w:lineRule="auto"/>
        <w:rPr>
          <w:rFonts w:ascii="宋体" w:hAnsi="宋体"/>
          <w:b/>
          <w:szCs w:val="21"/>
        </w:rPr>
      </w:pPr>
      <w:r>
        <w:rPr>
          <w:rFonts w:ascii="宋体" w:hAnsi="宋体" w:hint="eastAsia"/>
          <w:b/>
          <w:szCs w:val="21"/>
        </w:rPr>
        <w:t>五、成绩评定</w:t>
      </w:r>
    </w:p>
    <w:p w14:paraId="3E4EBCB2"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1.平时成绩以在学习通完成作业、签到结合学生完成教师布置的任务结果进行评价。</w:t>
      </w:r>
    </w:p>
    <w:p w14:paraId="6DA9D965"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w:t>
      </w:r>
      <w:r>
        <w:rPr>
          <w:rFonts w:hint="eastAsia"/>
          <w:szCs w:val="21"/>
        </w:rPr>
        <w:t>最终成绩计算办法为期末</w:t>
      </w:r>
      <w:r>
        <w:rPr>
          <w:szCs w:val="21"/>
        </w:rPr>
        <w:t>考试占</w:t>
      </w:r>
      <w:r>
        <w:rPr>
          <w:rFonts w:hint="eastAsia"/>
          <w:szCs w:val="21"/>
        </w:rPr>
        <w:t>6</w:t>
      </w:r>
      <w:r>
        <w:rPr>
          <w:szCs w:val="21"/>
        </w:rPr>
        <w:t>0%</w:t>
      </w:r>
      <w:r>
        <w:rPr>
          <w:szCs w:val="21"/>
        </w:rPr>
        <w:t>，平时成绩为</w:t>
      </w:r>
      <w:r>
        <w:rPr>
          <w:szCs w:val="21"/>
        </w:rPr>
        <w:t>40%</w:t>
      </w:r>
      <w:r>
        <w:rPr>
          <w:szCs w:val="21"/>
        </w:rPr>
        <w:t>。</w:t>
      </w:r>
    </w:p>
    <w:p w14:paraId="2805E4A4" w14:textId="77777777" w:rsidR="00F5289E" w:rsidRDefault="00C91173">
      <w:pPr>
        <w:snapToGrid w:val="0"/>
        <w:spacing w:line="360" w:lineRule="auto"/>
        <w:rPr>
          <w:rFonts w:ascii="宋体" w:hAnsi="宋体"/>
          <w:b/>
          <w:szCs w:val="21"/>
        </w:rPr>
      </w:pPr>
      <w:r>
        <w:rPr>
          <w:rFonts w:ascii="宋体" w:hAnsi="宋体" w:hint="eastAsia"/>
          <w:b/>
          <w:szCs w:val="21"/>
        </w:rPr>
        <w:t>六、考核结果分析反馈</w:t>
      </w:r>
    </w:p>
    <w:p w14:paraId="05211F41" w14:textId="77777777" w:rsidR="00F5289E" w:rsidRDefault="00C91173">
      <w:pPr>
        <w:spacing w:line="360" w:lineRule="auto"/>
        <w:ind w:firstLineChars="200" w:firstLine="420"/>
        <w:rPr>
          <w:rFonts w:ascii="宋体"/>
          <w:szCs w:val="21"/>
        </w:rPr>
      </w:pPr>
      <w:r>
        <w:rPr>
          <w:rFonts w:ascii="宋体" w:hAnsi="宋体" w:hint="eastAsia"/>
          <w:bCs/>
          <w:szCs w:val="21"/>
        </w:rPr>
        <w:t>学生的作业、任务完成结果、项目完成结果会等及时反馈给学生；学生在学习中提出的完善建</w:t>
      </w:r>
      <w:r>
        <w:rPr>
          <w:rFonts w:ascii="宋体" w:hAnsi="宋体" w:hint="eastAsia"/>
          <w:bCs/>
          <w:szCs w:val="21"/>
        </w:rPr>
        <w:lastRenderedPageBreak/>
        <w:t>议、学生对课堂的评价、课堂实际情况、督导和其他教师的听课结果等会适时地反馈给授课教师；学生的择业偏好，最终的就业去向等会经过一定分析结合专业达成度进行反馈。</w:t>
      </w:r>
    </w:p>
    <w:p w14:paraId="62B8B284" w14:textId="77777777" w:rsidR="00F5289E" w:rsidRDefault="00C91173">
      <w:pPr>
        <w:widowControl/>
        <w:jc w:val="left"/>
        <w:rPr>
          <w:rFonts w:ascii="宋体" w:hAnsi="宋体"/>
          <w:b/>
          <w:sz w:val="28"/>
          <w:szCs w:val="28"/>
        </w:rPr>
      </w:pPr>
      <w:r>
        <w:rPr>
          <w:rFonts w:ascii="宋体" w:hAnsi="宋体"/>
          <w:b/>
          <w:sz w:val="28"/>
          <w:szCs w:val="28"/>
        </w:rPr>
        <w:br w:type="page"/>
      </w:r>
    </w:p>
    <w:p w14:paraId="62A54ABE" w14:textId="77777777" w:rsidR="00F5289E" w:rsidRDefault="00C91173">
      <w:pPr>
        <w:pStyle w:val="1"/>
      </w:pPr>
      <w:bookmarkStart w:id="178" w:name="_Toc138606275"/>
      <w:r>
        <w:rPr>
          <w:rFonts w:hint="eastAsia"/>
        </w:rPr>
        <w:lastRenderedPageBreak/>
        <w:t>农业设施工程学考核大纲</w:t>
      </w:r>
      <w:bookmarkEnd w:id="178"/>
    </w:p>
    <w:p w14:paraId="7A313E3A" w14:textId="77777777" w:rsidR="00F5289E" w:rsidRDefault="00C91173">
      <w:pPr>
        <w:snapToGrid w:val="0"/>
        <w:spacing w:line="360" w:lineRule="auto"/>
        <w:jc w:val="center"/>
        <w:rPr>
          <w:rFonts w:eastAsia="黑体" w:hAnsi="宋体" w:cs="宋体"/>
          <w:b/>
          <w:bCs/>
          <w:kern w:val="36"/>
          <w:sz w:val="24"/>
        </w:rPr>
      </w:pPr>
      <w:r>
        <w:rPr>
          <w:rFonts w:hint="eastAsia"/>
          <w:bCs/>
          <w:sz w:val="28"/>
          <w:szCs w:val="28"/>
        </w:rPr>
        <w:t>（</w:t>
      </w:r>
      <w:r>
        <w:rPr>
          <w:bCs/>
          <w:sz w:val="28"/>
          <w:szCs w:val="28"/>
        </w:rPr>
        <w:t>Protected Agriculture Engineering</w:t>
      </w:r>
      <w:r>
        <w:rPr>
          <w:rFonts w:hint="eastAsia"/>
          <w:bCs/>
          <w:sz w:val="28"/>
          <w:szCs w:val="28"/>
        </w:rPr>
        <w:t>）</w:t>
      </w:r>
    </w:p>
    <w:p w14:paraId="4E2D23CA"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082D2D1D" w14:textId="77777777">
        <w:tc>
          <w:tcPr>
            <w:tcW w:w="1665" w:type="pct"/>
          </w:tcPr>
          <w:p w14:paraId="34C2EBCD"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19011129h</w:t>
            </w:r>
          </w:p>
        </w:tc>
        <w:tc>
          <w:tcPr>
            <w:tcW w:w="1234" w:type="pct"/>
          </w:tcPr>
          <w:p w14:paraId="34DCF522"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hint="eastAsia"/>
                <w:szCs w:val="21"/>
              </w:rPr>
              <w:t>64</w:t>
            </w:r>
          </w:p>
        </w:tc>
        <w:tc>
          <w:tcPr>
            <w:tcW w:w="2100" w:type="pct"/>
          </w:tcPr>
          <w:p w14:paraId="1BB4F524"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hint="eastAsia"/>
                <w:szCs w:val="21"/>
              </w:rPr>
              <w:t>4.0</w:t>
            </w:r>
          </w:p>
        </w:tc>
      </w:tr>
      <w:tr w:rsidR="00F5289E" w14:paraId="7D29E0EF" w14:textId="77777777">
        <w:tc>
          <w:tcPr>
            <w:tcW w:w="1665" w:type="pct"/>
          </w:tcPr>
          <w:p w14:paraId="48286C81"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董晓星</w:t>
            </w:r>
          </w:p>
        </w:tc>
        <w:tc>
          <w:tcPr>
            <w:tcW w:w="1234" w:type="pct"/>
          </w:tcPr>
          <w:p w14:paraId="51D768D4"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国志信</w:t>
            </w:r>
          </w:p>
        </w:tc>
        <w:tc>
          <w:tcPr>
            <w:tcW w:w="2100" w:type="pct"/>
          </w:tcPr>
          <w:p w14:paraId="4FDD704C"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w:t>
            </w:r>
            <w:r>
              <w:rPr>
                <w:rFonts w:ascii="宋体" w:hAnsi="宋体"/>
                <w:szCs w:val="21"/>
              </w:rPr>
              <w:t>023.05</w:t>
            </w:r>
          </w:p>
        </w:tc>
      </w:tr>
    </w:tbl>
    <w:p w14:paraId="4AA71C0C" w14:textId="77777777" w:rsidR="00F5289E" w:rsidRDefault="00F5289E">
      <w:pPr>
        <w:widowControl/>
        <w:snapToGrid w:val="0"/>
        <w:spacing w:line="360" w:lineRule="auto"/>
        <w:jc w:val="left"/>
        <w:outlineLvl w:val="1"/>
        <w:rPr>
          <w:rFonts w:asciiTheme="majorEastAsia" w:eastAsiaTheme="majorEastAsia" w:hAnsiTheme="majorEastAsia" w:cstheme="majorEastAsia"/>
          <w:b/>
          <w:bCs/>
          <w:kern w:val="0"/>
          <w:szCs w:val="21"/>
        </w:rPr>
      </w:pPr>
    </w:p>
    <w:p w14:paraId="07EBCF81" w14:textId="77777777" w:rsidR="00F5289E" w:rsidRDefault="00C91173">
      <w:pPr>
        <w:pStyle w:val="a9"/>
        <w:spacing w:line="360" w:lineRule="auto"/>
        <w:rPr>
          <w:b/>
          <w:bCs/>
        </w:rPr>
      </w:pPr>
      <w:r>
        <w:rPr>
          <w:rFonts w:hint="eastAsia"/>
          <w:b/>
          <w:bCs/>
        </w:rPr>
        <w:t>一、课程的性质和地位</w:t>
      </w:r>
    </w:p>
    <w:p w14:paraId="7C8444DA" w14:textId="77777777" w:rsidR="00F5289E" w:rsidRDefault="00C91173">
      <w:pPr>
        <w:snapToGrid w:val="0"/>
        <w:spacing w:line="360" w:lineRule="auto"/>
        <w:ind w:firstLineChars="200" w:firstLine="420"/>
        <w:rPr>
          <w:rFonts w:ascii="宋体" w:hAnsi="宋体"/>
          <w:color w:val="0000FF"/>
          <w:szCs w:val="21"/>
        </w:rPr>
      </w:pPr>
      <w:r>
        <w:rPr>
          <w:rFonts w:asciiTheme="minorEastAsia" w:eastAsiaTheme="minorEastAsia" w:hAnsiTheme="minorEastAsia" w:cstheme="minorEastAsia" w:hint="eastAsia"/>
          <w:kern w:val="0"/>
          <w:szCs w:val="21"/>
        </w:rPr>
        <w:t>《农业设施工程学》是设施农业科学与工程专业的核心专业课，是实现设工专业人才培养目标的关键一环。课程内容主要包括园艺设施材料、类型、性能、设计、建造和应用的内容，系统阐述了不同园艺设施类型、特点和设计建造要点，是一门</w:t>
      </w:r>
      <w:r>
        <w:rPr>
          <w:rFonts w:asciiTheme="minorEastAsia" w:eastAsiaTheme="minorEastAsia" w:hAnsiTheme="minorEastAsia" w:cstheme="minorEastAsia" w:hint="eastAsia"/>
          <w:szCs w:val="21"/>
        </w:rPr>
        <w:t>涉及园艺学、建筑工程学、材料学和环境调节学等的跨学科综合性课程。通过课程学习，</w:t>
      </w:r>
      <w:r>
        <w:rPr>
          <w:rFonts w:asciiTheme="minorEastAsia" w:eastAsiaTheme="minorEastAsia" w:hAnsiTheme="minorEastAsia" w:cstheme="minorEastAsia" w:hint="eastAsia"/>
          <w:kern w:val="0"/>
          <w:szCs w:val="21"/>
        </w:rPr>
        <w:t>学生掌握农业设施的类型与性能、规划与设计、材料与施工的基本知识与理论，锻炼从事农业设施工程设计、建造的技能，探索发现当前园艺设施设计和应用的局限性，理解产业发展方向，提升自主学习、批判性思维和沟通协作的能力，具备大胆质疑、积极求真和勇于创新的科学素养，认识到农科学生的社会责任，为农业增效、农民增收和繁荣农村经济助力。</w:t>
      </w:r>
    </w:p>
    <w:p w14:paraId="795259DA" w14:textId="77777777" w:rsidR="00F5289E" w:rsidRDefault="00C91173">
      <w:pPr>
        <w:pStyle w:val="a9"/>
        <w:spacing w:line="360" w:lineRule="auto"/>
        <w:rPr>
          <w:b/>
          <w:bCs/>
        </w:rPr>
      </w:pPr>
      <w:r>
        <w:rPr>
          <w:rFonts w:hint="eastAsia"/>
          <w:b/>
          <w:bCs/>
        </w:rPr>
        <w:t>二、理论教学部分的考核目标</w:t>
      </w:r>
    </w:p>
    <w:p w14:paraId="674DE75F"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第一章  标题内容</w:t>
      </w:r>
    </w:p>
    <w:p w14:paraId="32B205FF"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第一章  绪论</w:t>
      </w:r>
    </w:p>
    <w:p w14:paraId="729CE359"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7CAB3C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w:t>
      </w:r>
      <w:r>
        <w:rPr>
          <w:rFonts w:ascii="宋体" w:hAnsi="宋体"/>
          <w:b/>
          <w:szCs w:val="21"/>
        </w:rPr>
        <w:t xml:space="preserve">. </w:t>
      </w:r>
      <w:r>
        <w:rPr>
          <w:rFonts w:ascii="宋体" w:hAnsi="宋体" w:hint="eastAsia"/>
          <w:b/>
          <w:szCs w:val="21"/>
        </w:rPr>
        <w:t>一般了解：</w:t>
      </w:r>
      <w:r>
        <w:rPr>
          <w:rFonts w:ascii="宋体" w:hAnsi="宋体"/>
          <w:szCs w:val="21"/>
        </w:rPr>
        <w:t>园艺设施的生产技术变革及发展</w:t>
      </w:r>
      <w:r>
        <w:rPr>
          <w:rFonts w:ascii="宋体" w:hAnsi="宋体" w:hint="eastAsia"/>
          <w:szCs w:val="21"/>
        </w:rPr>
        <w:t>；</w:t>
      </w:r>
      <w:r>
        <w:rPr>
          <w:rFonts w:ascii="宋体" w:hAnsi="宋体"/>
          <w:szCs w:val="21"/>
        </w:rPr>
        <w:t>园艺设施生产面积及装备现状及展望。</w:t>
      </w:r>
    </w:p>
    <w:p w14:paraId="065EFF02"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w:t>
      </w:r>
      <w:r>
        <w:rPr>
          <w:rFonts w:ascii="宋体" w:hAnsi="宋体"/>
          <w:b/>
          <w:szCs w:val="21"/>
        </w:rPr>
        <w:t xml:space="preserve">. </w:t>
      </w:r>
      <w:r>
        <w:rPr>
          <w:rFonts w:ascii="宋体" w:hAnsi="宋体" w:hint="eastAsia"/>
          <w:b/>
          <w:szCs w:val="21"/>
        </w:rPr>
        <w:t>一般掌握：</w:t>
      </w:r>
      <w:r>
        <w:rPr>
          <w:rFonts w:ascii="宋体" w:hAnsi="宋体" w:hint="eastAsia"/>
          <w:szCs w:val="21"/>
        </w:rPr>
        <w:t>设施园艺在农业生产和国民经济中的作用。</w:t>
      </w:r>
    </w:p>
    <w:p w14:paraId="0569A7ED"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设施园艺的概念和特点，</w:t>
      </w:r>
      <w:r>
        <w:rPr>
          <w:rFonts w:ascii="宋体" w:hAnsi="宋体"/>
          <w:szCs w:val="21"/>
        </w:rPr>
        <w:t>园艺设施</w:t>
      </w:r>
      <w:r>
        <w:rPr>
          <w:rFonts w:ascii="宋体" w:hAnsi="宋体" w:hint="eastAsia"/>
          <w:szCs w:val="21"/>
        </w:rPr>
        <w:t>的概念</w:t>
      </w:r>
      <w:r>
        <w:rPr>
          <w:rFonts w:ascii="宋体" w:hAnsi="宋体"/>
          <w:szCs w:val="21"/>
        </w:rPr>
        <w:t>。</w:t>
      </w:r>
    </w:p>
    <w:p w14:paraId="415BEB6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E6323CF" w14:textId="77777777" w:rsidR="00F5289E" w:rsidRDefault="00C91173">
      <w:pPr>
        <w:widowControl/>
        <w:tabs>
          <w:tab w:val="left" w:pos="360"/>
          <w:tab w:val="left" w:pos="540"/>
        </w:tabs>
        <w:adjustRightInd w:val="0"/>
        <w:snapToGrid w:val="0"/>
        <w:spacing w:line="360" w:lineRule="auto"/>
        <w:ind w:firstLineChars="100" w:firstLine="206"/>
        <w:jc w:val="left"/>
        <w:rPr>
          <w:rFonts w:ascii="宋体" w:hAnsi="宋体" w:cs="宋体"/>
          <w:spacing w:val="-2"/>
          <w:kern w:val="0"/>
          <w:szCs w:val="21"/>
        </w:rPr>
      </w:pPr>
      <w:r>
        <w:rPr>
          <w:rFonts w:ascii="宋体" w:hAnsi="宋体" w:cs="宋体" w:hint="eastAsia"/>
          <w:spacing w:val="-2"/>
          <w:kern w:val="0"/>
          <w:szCs w:val="21"/>
        </w:rPr>
        <w:t>设施园艺和园艺设施的概念，设施园艺生产主要特点及在生产上的地位和意义，</w:t>
      </w:r>
      <w:r>
        <w:rPr>
          <w:rFonts w:ascii="宋体" w:hAnsi="宋体" w:cs="宋体"/>
          <w:spacing w:val="-2"/>
          <w:kern w:val="0"/>
          <w:szCs w:val="21"/>
        </w:rPr>
        <w:t>园艺设施发展趋势</w:t>
      </w:r>
      <w:r>
        <w:rPr>
          <w:rFonts w:ascii="宋体" w:hAnsi="宋体" w:cs="宋体" w:hint="eastAsia"/>
          <w:spacing w:val="-2"/>
          <w:kern w:val="0"/>
          <w:szCs w:val="21"/>
        </w:rPr>
        <w:t>。</w:t>
      </w:r>
    </w:p>
    <w:p w14:paraId="3C61C86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E51787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pacing w:val="-2"/>
          <w:kern w:val="0"/>
          <w:szCs w:val="21"/>
        </w:rPr>
        <w:t>设施园艺和园艺设施的概念</w:t>
      </w:r>
    </w:p>
    <w:p w14:paraId="6687931F"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w:t>
      </w:r>
      <w:r>
        <w:rPr>
          <w:rFonts w:ascii="宋体" w:hAnsi="宋体" w:cs="宋体" w:hint="eastAsia"/>
          <w:spacing w:val="-2"/>
          <w:kern w:val="0"/>
          <w:szCs w:val="21"/>
        </w:rPr>
        <w:t>设施园艺生产主要特点</w:t>
      </w:r>
    </w:p>
    <w:p w14:paraId="7A23EBF1"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cs="宋体" w:hint="eastAsia"/>
          <w:spacing w:val="-2"/>
          <w:kern w:val="0"/>
          <w:szCs w:val="21"/>
        </w:rPr>
        <w:t>设施园艺生产在生产上的地位和意义</w:t>
      </w:r>
    </w:p>
    <w:p w14:paraId="4F1F7B0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lastRenderedPageBreak/>
        <w:t>4</w:t>
      </w:r>
      <w:r>
        <w:rPr>
          <w:rFonts w:ascii="宋体" w:hAnsi="宋体" w:hint="eastAsia"/>
          <w:b/>
          <w:szCs w:val="21"/>
        </w:rPr>
        <w:t>.综合</w:t>
      </w:r>
      <w:r>
        <w:rPr>
          <w:rFonts w:ascii="宋体" w:hAnsi="宋体" w:hint="eastAsia"/>
          <w:szCs w:val="21"/>
        </w:rPr>
        <w:t>：园艺设施</w:t>
      </w:r>
      <w:r>
        <w:rPr>
          <w:rFonts w:ascii="宋体" w:hAnsi="宋体"/>
          <w:szCs w:val="21"/>
        </w:rPr>
        <w:t>发展历史</w:t>
      </w:r>
    </w:p>
    <w:p w14:paraId="05BFACC3" w14:textId="77777777" w:rsidR="00F5289E" w:rsidRDefault="00C91173">
      <w:pPr>
        <w:pStyle w:val="a9"/>
        <w:snapToGrid w:val="0"/>
        <w:spacing w:line="360" w:lineRule="auto"/>
        <w:jc w:val="center"/>
        <w:rPr>
          <w:rFonts w:hAnsi="宋体"/>
          <w:b/>
        </w:rPr>
      </w:pPr>
      <w:r>
        <w:rPr>
          <w:rFonts w:hAnsi="宋体" w:hint="eastAsia"/>
          <w:b/>
          <w:bCs/>
        </w:rPr>
        <w:t>第二章 园艺设施建筑材料</w:t>
      </w:r>
    </w:p>
    <w:p w14:paraId="255379ED"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E793EB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cs="Tahoma" w:hint="eastAsia"/>
          <w:szCs w:val="21"/>
          <w:shd w:val="clear" w:color="auto" w:fill="FFFFFF"/>
        </w:rPr>
        <w:t>木材和</w:t>
      </w:r>
      <w:r>
        <w:rPr>
          <w:rFonts w:ascii="宋体" w:hAnsi="宋体" w:cs="Tahoma"/>
          <w:szCs w:val="21"/>
          <w:shd w:val="clear" w:color="auto" w:fill="FFFFFF"/>
        </w:rPr>
        <w:t>竹材</w:t>
      </w:r>
      <w:r>
        <w:rPr>
          <w:rFonts w:ascii="宋体" w:hAnsi="宋体" w:cs="Tahoma" w:hint="eastAsia"/>
          <w:szCs w:val="21"/>
          <w:shd w:val="clear" w:color="auto" w:fill="FFFFFF"/>
        </w:rPr>
        <w:t>的特点</w:t>
      </w:r>
      <w:r>
        <w:rPr>
          <w:rFonts w:ascii="宋体" w:hAnsi="宋体" w:cs="Tahoma"/>
          <w:szCs w:val="21"/>
          <w:shd w:val="clear" w:color="auto" w:fill="FFFFFF"/>
        </w:rPr>
        <w:t>、应用</w:t>
      </w:r>
      <w:r>
        <w:rPr>
          <w:rFonts w:ascii="宋体" w:hAnsi="宋体" w:cs="Tahoma" w:hint="eastAsia"/>
          <w:szCs w:val="21"/>
          <w:shd w:val="clear" w:color="auto" w:fill="FFFFFF"/>
        </w:rPr>
        <w:t>，防水材料的共性要求和分类，</w:t>
      </w:r>
      <w:r>
        <w:rPr>
          <w:rFonts w:ascii="宋体" w:hAnsi="宋体" w:hint="eastAsia"/>
          <w:bCs/>
          <w:szCs w:val="21"/>
        </w:rPr>
        <w:t>常见</w:t>
      </w:r>
      <w:r>
        <w:rPr>
          <w:rFonts w:ascii="宋体" w:hAnsi="宋体"/>
          <w:bCs/>
          <w:szCs w:val="21"/>
        </w:rPr>
        <w:t>相变材料的特性</w:t>
      </w:r>
      <w:r>
        <w:rPr>
          <w:rFonts w:ascii="宋体" w:hAnsi="宋体" w:hint="eastAsia"/>
          <w:bCs/>
          <w:szCs w:val="21"/>
        </w:rPr>
        <w:t>。</w:t>
      </w:r>
      <w:r>
        <w:rPr>
          <w:rFonts w:ascii="宋体" w:hAnsi="宋体" w:hint="eastAsia"/>
          <w:szCs w:val="21"/>
        </w:rPr>
        <w:t xml:space="preserve"> </w:t>
      </w:r>
    </w:p>
    <w:p w14:paraId="5C6775C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：块体材料</w:t>
      </w:r>
      <w:r>
        <w:rPr>
          <w:rFonts w:ascii="宋体" w:hAnsi="宋体"/>
          <w:szCs w:val="21"/>
        </w:rPr>
        <w:t>的分类和特点，</w:t>
      </w:r>
      <w:r>
        <w:rPr>
          <w:rFonts w:ascii="宋体" w:hAnsi="宋体" w:hint="eastAsia"/>
          <w:bCs/>
          <w:szCs w:val="21"/>
        </w:rPr>
        <w:t>胶凝材料的</w:t>
      </w:r>
      <w:r>
        <w:rPr>
          <w:rFonts w:ascii="宋体" w:hAnsi="宋体"/>
          <w:bCs/>
          <w:szCs w:val="21"/>
        </w:rPr>
        <w:t>分类、应用，</w:t>
      </w:r>
      <w:r>
        <w:rPr>
          <w:rFonts w:ascii="宋体" w:hAnsi="宋体" w:hint="eastAsia"/>
          <w:bCs/>
          <w:szCs w:val="21"/>
        </w:rPr>
        <w:t>砂浆</w:t>
      </w:r>
      <w:r>
        <w:rPr>
          <w:rFonts w:ascii="宋体" w:hAnsi="宋体"/>
          <w:bCs/>
          <w:szCs w:val="21"/>
        </w:rPr>
        <w:t>和混凝土的基本特性和技术性能。</w:t>
      </w:r>
    </w:p>
    <w:p w14:paraId="081E2CD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：钢材</w:t>
      </w:r>
      <w:r>
        <w:rPr>
          <w:rFonts w:ascii="宋体" w:hAnsi="宋体"/>
          <w:szCs w:val="21"/>
        </w:rPr>
        <w:t>的分类、</w:t>
      </w:r>
      <w:r>
        <w:rPr>
          <w:rFonts w:ascii="宋体" w:hAnsi="宋体" w:hint="eastAsia"/>
          <w:szCs w:val="21"/>
        </w:rPr>
        <w:t>应用</w:t>
      </w:r>
      <w:r>
        <w:rPr>
          <w:rFonts w:ascii="宋体" w:hAnsi="宋体"/>
          <w:szCs w:val="21"/>
        </w:rPr>
        <w:t>、性能</w:t>
      </w:r>
      <w:r>
        <w:rPr>
          <w:rFonts w:ascii="宋体" w:hAnsi="宋体" w:hint="eastAsia"/>
          <w:szCs w:val="21"/>
        </w:rPr>
        <w:t>、</w:t>
      </w:r>
      <w:r>
        <w:rPr>
          <w:rFonts w:ascii="宋体" w:hAnsi="宋体"/>
          <w:szCs w:val="21"/>
        </w:rPr>
        <w:t>防腐</w:t>
      </w:r>
      <w:r>
        <w:rPr>
          <w:rFonts w:ascii="宋体" w:hAnsi="宋体" w:hint="eastAsia"/>
          <w:szCs w:val="21"/>
        </w:rPr>
        <w:t>、和</w:t>
      </w:r>
      <w:r>
        <w:rPr>
          <w:rFonts w:ascii="宋体" w:hAnsi="宋体"/>
          <w:szCs w:val="21"/>
        </w:rPr>
        <w:t>连接方法</w:t>
      </w:r>
      <w:r>
        <w:rPr>
          <w:rFonts w:ascii="宋体" w:hAnsi="宋体" w:hint="eastAsia"/>
          <w:szCs w:val="21"/>
        </w:rPr>
        <w:t>，保温材料</w:t>
      </w:r>
      <w:r>
        <w:rPr>
          <w:rFonts w:ascii="宋体" w:hAnsi="宋体"/>
          <w:szCs w:val="21"/>
        </w:rPr>
        <w:t>的基本要求、</w:t>
      </w:r>
      <w:r>
        <w:rPr>
          <w:rFonts w:ascii="宋体" w:hAnsi="宋体" w:hint="eastAsia"/>
          <w:szCs w:val="21"/>
        </w:rPr>
        <w:t>保温</w:t>
      </w:r>
      <w:r>
        <w:rPr>
          <w:rFonts w:ascii="宋体" w:hAnsi="宋体"/>
          <w:szCs w:val="21"/>
        </w:rPr>
        <w:t>隔热原理、影响因素、分类和应用</w:t>
      </w:r>
      <w:r>
        <w:rPr>
          <w:rFonts w:ascii="宋体" w:hAnsi="宋体" w:hint="eastAsia"/>
          <w:szCs w:val="21"/>
        </w:rPr>
        <w:t>，相变材料</w:t>
      </w:r>
      <w:r>
        <w:rPr>
          <w:rFonts w:ascii="宋体" w:hAnsi="宋体"/>
          <w:szCs w:val="21"/>
        </w:rPr>
        <w:t>的概念和要求。</w:t>
      </w:r>
    </w:p>
    <w:p w14:paraId="08AAC38B"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A1C6F02"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块体材料</w:t>
      </w:r>
      <w:r>
        <w:rPr>
          <w:rFonts w:ascii="宋体" w:hAnsi="宋体"/>
          <w:szCs w:val="21"/>
        </w:rPr>
        <w:t>的分类和特点，</w:t>
      </w:r>
      <w:r>
        <w:rPr>
          <w:rFonts w:ascii="宋体" w:hAnsi="宋体" w:hint="eastAsia"/>
          <w:bCs/>
          <w:szCs w:val="21"/>
        </w:rPr>
        <w:t>胶凝材料的</w:t>
      </w:r>
      <w:r>
        <w:rPr>
          <w:rFonts w:ascii="宋体" w:hAnsi="宋体"/>
          <w:bCs/>
          <w:szCs w:val="21"/>
        </w:rPr>
        <w:t>分类、应用，</w:t>
      </w:r>
      <w:r>
        <w:rPr>
          <w:rFonts w:ascii="宋体" w:hAnsi="宋体" w:hint="eastAsia"/>
          <w:bCs/>
          <w:szCs w:val="21"/>
        </w:rPr>
        <w:t>砂浆</w:t>
      </w:r>
      <w:r>
        <w:rPr>
          <w:rFonts w:ascii="宋体" w:hAnsi="宋体"/>
          <w:bCs/>
          <w:szCs w:val="21"/>
        </w:rPr>
        <w:t>和混凝土的基本特性和技术性能。</w:t>
      </w:r>
      <w:r>
        <w:rPr>
          <w:rFonts w:ascii="宋体" w:hAnsi="宋体" w:cs="Tahoma" w:hint="eastAsia"/>
          <w:szCs w:val="21"/>
          <w:shd w:val="clear" w:color="auto" w:fill="FFFFFF"/>
        </w:rPr>
        <w:t>木材和</w:t>
      </w:r>
      <w:r>
        <w:rPr>
          <w:rFonts w:ascii="宋体" w:hAnsi="宋体" w:cs="Tahoma"/>
          <w:szCs w:val="21"/>
          <w:shd w:val="clear" w:color="auto" w:fill="FFFFFF"/>
        </w:rPr>
        <w:t>竹材</w:t>
      </w:r>
      <w:r>
        <w:rPr>
          <w:rFonts w:ascii="宋体" w:hAnsi="宋体" w:cs="Tahoma" w:hint="eastAsia"/>
          <w:szCs w:val="21"/>
          <w:shd w:val="clear" w:color="auto" w:fill="FFFFFF"/>
        </w:rPr>
        <w:t>的特点</w:t>
      </w:r>
      <w:r>
        <w:rPr>
          <w:rFonts w:ascii="宋体" w:hAnsi="宋体" w:cs="Tahoma"/>
          <w:szCs w:val="21"/>
          <w:shd w:val="clear" w:color="auto" w:fill="FFFFFF"/>
        </w:rPr>
        <w:t>、应用</w:t>
      </w:r>
      <w:r>
        <w:rPr>
          <w:rFonts w:ascii="宋体" w:hAnsi="宋体" w:cs="Tahoma" w:hint="eastAsia"/>
          <w:szCs w:val="21"/>
          <w:shd w:val="clear" w:color="auto" w:fill="FFFFFF"/>
        </w:rPr>
        <w:t>，</w:t>
      </w:r>
      <w:r>
        <w:rPr>
          <w:rFonts w:ascii="宋体" w:hAnsi="宋体" w:hint="eastAsia"/>
          <w:szCs w:val="21"/>
        </w:rPr>
        <w:t>钢材</w:t>
      </w:r>
      <w:r>
        <w:rPr>
          <w:rFonts w:ascii="宋体" w:hAnsi="宋体"/>
          <w:szCs w:val="21"/>
        </w:rPr>
        <w:t>的分类、</w:t>
      </w:r>
      <w:r>
        <w:rPr>
          <w:rFonts w:ascii="宋体" w:hAnsi="宋体" w:hint="eastAsia"/>
          <w:szCs w:val="21"/>
        </w:rPr>
        <w:t>应用</w:t>
      </w:r>
      <w:r>
        <w:rPr>
          <w:rFonts w:ascii="宋体" w:hAnsi="宋体"/>
          <w:szCs w:val="21"/>
        </w:rPr>
        <w:t>、性能</w:t>
      </w:r>
      <w:r>
        <w:rPr>
          <w:rFonts w:ascii="宋体" w:hAnsi="宋体" w:hint="eastAsia"/>
          <w:szCs w:val="21"/>
        </w:rPr>
        <w:t>、</w:t>
      </w:r>
      <w:r>
        <w:rPr>
          <w:rFonts w:ascii="宋体" w:hAnsi="宋体"/>
          <w:szCs w:val="21"/>
        </w:rPr>
        <w:t>防腐</w:t>
      </w:r>
      <w:r>
        <w:rPr>
          <w:rFonts w:ascii="宋体" w:hAnsi="宋体" w:hint="eastAsia"/>
          <w:szCs w:val="21"/>
        </w:rPr>
        <w:t>、和</w:t>
      </w:r>
      <w:r>
        <w:rPr>
          <w:rFonts w:ascii="宋体" w:hAnsi="宋体"/>
          <w:szCs w:val="21"/>
        </w:rPr>
        <w:t>连接方法</w:t>
      </w:r>
      <w:r>
        <w:rPr>
          <w:rFonts w:ascii="宋体" w:hAnsi="宋体" w:hint="eastAsia"/>
          <w:szCs w:val="21"/>
        </w:rPr>
        <w:t>，保温材料</w:t>
      </w:r>
      <w:r>
        <w:rPr>
          <w:rFonts w:ascii="宋体" w:hAnsi="宋体"/>
          <w:szCs w:val="21"/>
        </w:rPr>
        <w:t>的基本要求、</w:t>
      </w:r>
      <w:r>
        <w:rPr>
          <w:rFonts w:ascii="宋体" w:hAnsi="宋体" w:hint="eastAsia"/>
          <w:szCs w:val="21"/>
        </w:rPr>
        <w:t>保温</w:t>
      </w:r>
      <w:r>
        <w:rPr>
          <w:rFonts w:ascii="宋体" w:hAnsi="宋体"/>
          <w:szCs w:val="21"/>
        </w:rPr>
        <w:t>隔热原理、影响因素、分类和应用</w:t>
      </w:r>
      <w:r>
        <w:rPr>
          <w:rFonts w:ascii="宋体" w:hAnsi="宋体" w:hint="eastAsia"/>
          <w:szCs w:val="21"/>
        </w:rPr>
        <w:t>，相变材料</w:t>
      </w:r>
      <w:r>
        <w:rPr>
          <w:rFonts w:ascii="宋体" w:hAnsi="宋体"/>
          <w:szCs w:val="21"/>
        </w:rPr>
        <w:t>的概念和要求。</w:t>
      </w:r>
    </w:p>
    <w:p w14:paraId="4FDB6C7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FDC77F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szCs w:val="21"/>
        </w:rPr>
        <w:t>块体材料</w:t>
      </w:r>
      <w:r>
        <w:rPr>
          <w:rFonts w:ascii="宋体" w:hAnsi="宋体"/>
          <w:bCs/>
          <w:szCs w:val="21"/>
        </w:rPr>
        <w:t>、钢材、</w:t>
      </w:r>
      <w:r>
        <w:rPr>
          <w:rFonts w:ascii="宋体" w:hAnsi="宋体" w:hint="eastAsia"/>
          <w:bCs/>
          <w:szCs w:val="21"/>
        </w:rPr>
        <w:t>胶凝</w:t>
      </w:r>
      <w:r>
        <w:rPr>
          <w:rFonts w:ascii="宋体" w:hAnsi="宋体"/>
          <w:bCs/>
          <w:szCs w:val="21"/>
        </w:rPr>
        <w:t>材料</w:t>
      </w:r>
      <w:r>
        <w:rPr>
          <w:rFonts w:ascii="宋体" w:hAnsi="宋体" w:hint="eastAsia"/>
          <w:bCs/>
          <w:szCs w:val="21"/>
        </w:rPr>
        <w:t>的</w:t>
      </w:r>
      <w:r>
        <w:rPr>
          <w:rFonts w:ascii="宋体" w:hAnsi="宋体"/>
          <w:bCs/>
          <w:szCs w:val="21"/>
        </w:rPr>
        <w:t>分类</w:t>
      </w:r>
      <w:r>
        <w:rPr>
          <w:rFonts w:ascii="宋体" w:hAnsi="宋体" w:hint="eastAsia"/>
          <w:bCs/>
          <w:szCs w:val="21"/>
        </w:rPr>
        <w:t>、</w:t>
      </w:r>
      <w:r>
        <w:rPr>
          <w:rFonts w:ascii="宋体" w:hAnsi="宋体"/>
          <w:bCs/>
          <w:szCs w:val="21"/>
        </w:rPr>
        <w:t>相变材料的概念</w:t>
      </w:r>
    </w:p>
    <w:p w14:paraId="37F3A9D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szCs w:val="21"/>
        </w:rPr>
        <w:t>墙体材料</w:t>
      </w:r>
      <w:r>
        <w:rPr>
          <w:rFonts w:ascii="宋体" w:hAnsi="宋体"/>
          <w:bCs/>
          <w:szCs w:val="21"/>
        </w:rPr>
        <w:t>、</w:t>
      </w:r>
      <w:r>
        <w:rPr>
          <w:rFonts w:ascii="宋体" w:hAnsi="宋体" w:hint="eastAsia"/>
          <w:bCs/>
          <w:szCs w:val="21"/>
        </w:rPr>
        <w:t>骨架材料</w:t>
      </w:r>
      <w:r>
        <w:rPr>
          <w:rFonts w:ascii="宋体" w:hAnsi="宋体"/>
          <w:bCs/>
          <w:szCs w:val="21"/>
        </w:rPr>
        <w:t>、</w:t>
      </w:r>
      <w:r>
        <w:rPr>
          <w:rFonts w:ascii="宋体" w:hAnsi="宋体" w:hint="eastAsia"/>
          <w:bCs/>
          <w:szCs w:val="21"/>
        </w:rPr>
        <w:t>保温材料</w:t>
      </w:r>
      <w:r>
        <w:rPr>
          <w:rFonts w:ascii="宋体" w:hAnsi="宋体"/>
          <w:bCs/>
          <w:szCs w:val="21"/>
        </w:rPr>
        <w:t>、相变材料的</w:t>
      </w:r>
      <w:r>
        <w:rPr>
          <w:rFonts w:ascii="宋体" w:hAnsi="宋体" w:hint="eastAsia"/>
          <w:bCs/>
          <w:szCs w:val="21"/>
        </w:rPr>
        <w:t>要求</w:t>
      </w:r>
    </w:p>
    <w:p w14:paraId="19C80FF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：根据</w:t>
      </w:r>
      <w:r>
        <w:rPr>
          <w:rFonts w:ascii="宋体" w:hAnsi="宋体"/>
          <w:szCs w:val="21"/>
        </w:rPr>
        <w:t>不同的要求，</w:t>
      </w:r>
      <w:r>
        <w:rPr>
          <w:rFonts w:ascii="宋体" w:hAnsi="宋体" w:hint="eastAsia"/>
          <w:bCs/>
          <w:szCs w:val="21"/>
        </w:rPr>
        <w:t>正确选用合适的墙体材料</w:t>
      </w:r>
      <w:r>
        <w:rPr>
          <w:rFonts w:ascii="宋体" w:hAnsi="宋体"/>
          <w:bCs/>
          <w:szCs w:val="21"/>
        </w:rPr>
        <w:t>、</w:t>
      </w:r>
      <w:r>
        <w:rPr>
          <w:rFonts w:ascii="宋体" w:hAnsi="宋体" w:hint="eastAsia"/>
          <w:bCs/>
          <w:szCs w:val="21"/>
        </w:rPr>
        <w:t>骨架材料</w:t>
      </w:r>
      <w:r>
        <w:rPr>
          <w:rFonts w:ascii="宋体" w:hAnsi="宋体"/>
          <w:bCs/>
          <w:szCs w:val="21"/>
        </w:rPr>
        <w:t>、</w:t>
      </w:r>
      <w:r>
        <w:rPr>
          <w:rFonts w:ascii="宋体" w:hAnsi="宋体" w:hint="eastAsia"/>
          <w:bCs/>
          <w:szCs w:val="21"/>
        </w:rPr>
        <w:t>保温材料</w:t>
      </w:r>
    </w:p>
    <w:p w14:paraId="2B18AB81"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ascii="宋体" w:hAnsi="宋体" w:hint="eastAsia"/>
          <w:bCs/>
          <w:szCs w:val="21"/>
        </w:rPr>
        <w:t>新型建筑材料的特色</w:t>
      </w:r>
    </w:p>
    <w:p w14:paraId="6C783F9D" w14:textId="77777777" w:rsidR="00F5289E" w:rsidRDefault="00C91173">
      <w:pPr>
        <w:pStyle w:val="a9"/>
        <w:snapToGrid w:val="0"/>
        <w:spacing w:line="360" w:lineRule="auto"/>
        <w:jc w:val="center"/>
        <w:rPr>
          <w:rFonts w:hAnsi="宋体"/>
          <w:b/>
        </w:rPr>
      </w:pPr>
      <w:r>
        <w:rPr>
          <w:rFonts w:hAnsi="宋体" w:hint="eastAsia"/>
          <w:b/>
          <w:bCs/>
        </w:rPr>
        <w:t>第三章 园艺设施覆盖材料</w:t>
      </w:r>
    </w:p>
    <w:p w14:paraId="5C2D5C60"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33DAFE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园艺设施覆盖材料</w:t>
      </w:r>
      <w:r>
        <w:rPr>
          <w:rFonts w:ascii="宋体" w:hAnsi="宋体"/>
          <w:bCs/>
          <w:szCs w:val="21"/>
        </w:rPr>
        <w:t>的发展历史</w:t>
      </w:r>
    </w:p>
    <w:p w14:paraId="009239B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性能，</w:t>
      </w:r>
      <w:r>
        <w:rPr>
          <w:rFonts w:ascii="宋体" w:hAnsi="宋体"/>
          <w:bCs/>
          <w:szCs w:val="21"/>
        </w:rPr>
        <w:t>新型覆盖材料的发展方向</w:t>
      </w:r>
    </w:p>
    <w:p w14:paraId="04BDD511"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szCs w:val="21"/>
        </w:rPr>
        <w:t>设施园艺生产对透明</w:t>
      </w:r>
      <w:r>
        <w:rPr>
          <w:rFonts w:ascii="宋体" w:hAnsi="宋体"/>
          <w:bCs/>
          <w:szCs w:val="21"/>
        </w:rPr>
        <w:t>覆盖材料的要求，</w:t>
      </w:r>
      <w:r>
        <w:rPr>
          <w:rFonts w:ascii="宋体" w:hAnsi="宋体" w:hint="eastAsia"/>
          <w:bCs/>
          <w:szCs w:val="21"/>
        </w:rPr>
        <w:t>设施园艺生产对外保温</w:t>
      </w:r>
      <w:r>
        <w:rPr>
          <w:rFonts w:ascii="宋体" w:hAnsi="宋体"/>
          <w:bCs/>
          <w:szCs w:val="21"/>
        </w:rPr>
        <w:t>覆盖材料的要求，</w:t>
      </w:r>
      <w:r>
        <w:rPr>
          <w:rFonts w:ascii="宋体" w:hAnsi="宋体" w:hint="eastAsia"/>
          <w:bCs/>
          <w:szCs w:val="21"/>
        </w:rPr>
        <w:t>设施园艺生产内</w:t>
      </w:r>
      <w:r>
        <w:rPr>
          <w:rFonts w:ascii="宋体" w:hAnsi="宋体"/>
          <w:bCs/>
          <w:szCs w:val="21"/>
        </w:rPr>
        <w:t>覆盖材料的要求，</w:t>
      </w:r>
      <w:r>
        <w:rPr>
          <w:rFonts w:ascii="宋体" w:hAnsi="宋体" w:hint="eastAsia"/>
          <w:bCs/>
          <w:szCs w:val="21"/>
        </w:rPr>
        <w:t>农用塑料</w:t>
      </w:r>
      <w:r>
        <w:rPr>
          <w:rFonts w:ascii="宋体" w:hAnsi="宋体"/>
          <w:bCs/>
          <w:szCs w:val="21"/>
        </w:rPr>
        <w:t>薄膜</w:t>
      </w:r>
      <w:r>
        <w:rPr>
          <w:rFonts w:ascii="宋体" w:hAnsi="宋体" w:hint="eastAsia"/>
          <w:bCs/>
          <w:szCs w:val="21"/>
        </w:rPr>
        <w:t>、</w:t>
      </w:r>
      <w:r>
        <w:rPr>
          <w:rFonts w:ascii="宋体" w:hAnsi="宋体"/>
          <w:bCs/>
          <w:szCs w:val="21"/>
        </w:rPr>
        <w:t>硬质塑料板材</w:t>
      </w:r>
      <w:r>
        <w:rPr>
          <w:rFonts w:ascii="宋体" w:hAnsi="宋体" w:hint="eastAsia"/>
          <w:bCs/>
          <w:szCs w:val="21"/>
        </w:rPr>
        <w:t>、</w:t>
      </w:r>
      <w:r>
        <w:rPr>
          <w:rFonts w:ascii="宋体" w:hAnsi="宋体"/>
          <w:bCs/>
          <w:szCs w:val="21"/>
        </w:rPr>
        <w:t>玻璃的</w:t>
      </w:r>
      <w:r>
        <w:rPr>
          <w:rFonts w:ascii="宋体" w:hAnsi="宋体" w:hint="eastAsia"/>
          <w:bCs/>
          <w:szCs w:val="21"/>
        </w:rPr>
        <w:t>分类</w:t>
      </w:r>
      <w:r>
        <w:rPr>
          <w:rFonts w:ascii="宋体" w:hAnsi="宋体"/>
          <w:bCs/>
          <w:szCs w:val="21"/>
        </w:rPr>
        <w:t>、性能</w:t>
      </w:r>
      <w:r>
        <w:rPr>
          <w:rFonts w:ascii="宋体" w:hAnsi="宋体" w:hint="eastAsia"/>
          <w:bCs/>
          <w:szCs w:val="21"/>
        </w:rPr>
        <w:t>和</w:t>
      </w:r>
      <w:r>
        <w:rPr>
          <w:rFonts w:ascii="宋体" w:hAnsi="宋体"/>
          <w:bCs/>
          <w:szCs w:val="21"/>
        </w:rPr>
        <w:t>特点</w:t>
      </w:r>
      <w:r>
        <w:rPr>
          <w:rFonts w:ascii="宋体" w:hAnsi="宋体" w:hint="eastAsia"/>
          <w:bCs/>
          <w:szCs w:val="21"/>
        </w:rPr>
        <w:t>，</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选择</w:t>
      </w:r>
      <w:r>
        <w:rPr>
          <w:rFonts w:ascii="宋体" w:hAnsi="宋体"/>
          <w:bCs/>
          <w:szCs w:val="21"/>
        </w:rPr>
        <w:t>和</w:t>
      </w:r>
      <w:r>
        <w:rPr>
          <w:rFonts w:ascii="宋体" w:hAnsi="宋体" w:hint="eastAsia"/>
          <w:bCs/>
          <w:szCs w:val="21"/>
        </w:rPr>
        <w:t>应用</w:t>
      </w:r>
    </w:p>
    <w:p w14:paraId="01A392A5"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B3D7C04"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bCs/>
          <w:szCs w:val="21"/>
        </w:rPr>
        <w:t>园艺设施覆盖材料</w:t>
      </w:r>
      <w:r>
        <w:rPr>
          <w:rFonts w:ascii="宋体" w:hAnsi="宋体"/>
          <w:bCs/>
          <w:szCs w:val="21"/>
        </w:rPr>
        <w:t>的发展历史</w:t>
      </w:r>
      <w:r>
        <w:rPr>
          <w:rFonts w:ascii="宋体" w:hAnsi="宋体" w:hint="eastAsia"/>
          <w:bCs/>
          <w:szCs w:val="21"/>
        </w:rPr>
        <w:t>，设施园艺生产对透明</w:t>
      </w:r>
      <w:r>
        <w:rPr>
          <w:rFonts w:ascii="宋体" w:hAnsi="宋体"/>
          <w:bCs/>
          <w:szCs w:val="21"/>
        </w:rPr>
        <w:t>覆盖材料的要求，</w:t>
      </w:r>
      <w:r>
        <w:rPr>
          <w:rFonts w:ascii="宋体" w:hAnsi="宋体" w:hint="eastAsia"/>
          <w:bCs/>
          <w:szCs w:val="21"/>
        </w:rPr>
        <w:t>设施园艺生产对外保温</w:t>
      </w:r>
      <w:r>
        <w:rPr>
          <w:rFonts w:ascii="宋体" w:hAnsi="宋体"/>
          <w:bCs/>
          <w:szCs w:val="21"/>
        </w:rPr>
        <w:t>覆盖材料的要求，</w:t>
      </w:r>
      <w:r>
        <w:rPr>
          <w:rFonts w:ascii="宋体" w:hAnsi="宋体" w:hint="eastAsia"/>
          <w:bCs/>
          <w:szCs w:val="21"/>
        </w:rPr>
        <w:t>设施园艺生产内</w:t>
      </w:r>
      <w:r>
        <w:rPr>
          <w:rFonts w:ascii="宋体" w:hAnsi="宋体"/>
          <w:bCs/>
          <w:szCs w:val="21"/>
        </w:rPr>
        <w:t>覆盖材料的要求，</w:t>
      </w:r>
      <w:r>
        <w:rPr>
          <w:rFonts w:ascii="宋体" w:hAnsi="宋体" w:hint="eastAsia"/>
          <w:bCs/>
          <w:szCs w:val="21"/>
        </w:rPr>
        <w:t>农用塑料</w:t>
      </w:r>
      <w:r>
        <w:rPr>
          <w:rFonts w:ascii="宋体" w:hAnsi="宋体"/>
          <w:bCs/>
          <w:szCs w:val="21"/>
        </w:rPr>
        <w:t>薄膜</w:t>
      </w:r>
      <w:r>
        <w:rPr>
          <w:rFonts w:ascii="宋体" w:hAnsi="宋体" w:hint="eastAsia"/>
          <w:bCs/>
          <w:szCs w:val="21"/>
        </w:rPr>
        <w:t>、</w:t>
      </w:r>
      <w:r>
        <w:rPr>
          <w:rFonts w:ascii="宋体" w:hAnsi="宋体"/>
          <w:bCs/>
          <w:szCs w:val="21"/>
        </w:rPr>
        <w:t>硬质塑料板材</w:t>
      </w:r>
      <w:r>
        <w:rPr>
          <w:rFonts w:ascii="宋体" w:hAnsi="宋体" w:hint="eastAsia"/>
          <w:bCs/>
          <w:szCs w:val="21"/>
        </w:rPr>
        <w:t>、</w:t>
      </w:r>
      <w:r>
        <w:rPr>
          <w:rFonts w:ascii="宋体" w:hAnsi="宋体"/>
          <w:bCs/>
          <w:szCs w:val="21"/>
        </w:rPr>
        <w:t>玻璃</w:t>
      </w:r>
      <w:r>
        <w:rPr>
          <w:rFonts w:ascii="宋体" w:hAnsi="宋体" w:hint="eastAsia"/>
          <w:bCs/>
          <w:szCs w:val="21"/>
        </w:rPr>
        <w:t>、</w:t>
      </w:r>
      <w:r>
        <w:rPr>
          <w:rFonts w:ascii="宋体" w:hAnsi="宋体"/>
          <w:bCs/>
          <w:szCs w:val="21"/>
        </w:rPr>
        <w:t>保温被的</w:t>
      </w:r>
      <w:r>
        <w:rPr>
          <w:rFonts w:ascii="宋体" w:hAnsi="宋体" w:hint="eastAsia"/>
          <w:bCs/>
          <w:szCs w:val="21"/>
        </w:rPr>
        <w:t>分类</w:t>
      </w:r>
      <w:r>
        <w:rPr>
          <w:rFonts w:ascii="宋体" w:hAnsi="宋体"/>
          <w:bCs/>
          <w:szCs w:val="21"/>
        </w:rPr>
        <w:t>、性能</w:t>
      </w:r>
      <w:r>
        <w:rPr>
          <w:rFonts w:ascii="宋体" w:hAnsi="宋体" w:hint="eastAsia"/>
          <w:bCs/>
          <w:szCs w:val="21"/>
        </w:rPr>
        <w:t>和</w:t>
      </w:r>
      <w:r>
        <w:rPr>
          <w:rFonts w:ascii="宋体" w:hAnsi="宋体"/>
          <w:bCs/>
          <w:szCs w:val="21"/>
        </w:rPr>
        <w:t>特点</w:t>
      </w:r>
      <w:r>
        <w:rPr>
          <w:rFonts w:ascii="宋体" w:hAnsi="宋体" w:hint="eastAsia"/>
          <w:bCs/>
          <w:szCs w:val="21"/>
        </w:rPr>
        <w:t>，</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性能</w:t>
      </w:r>
      <w:r>
        <w:rPr>
          <w:rFonts w:ascii="宋体" w:hAnsi="宋体"/>
          <w:bCs/>
          <w:szCs w:val="21"/>
        </w:rPr>
        <w:t>、</w:t>
      </w:r>
      <w:r>
        <w:rPr>
          <w:rFonts w:ascii="宋体" w:hAnsi="宋体" w:hint="eastAsia"/>
          <w:bCs/>
          <w:szCs w:val="21"/>
        </w:rPr>
        <w:t>选择</w:t>
      </w:r>
      <w:r>
        <w:rPr>
          <w:rFonts w:ascii="宋体" w:hAnsi="宋体"/>
          <w:bCs/>
          <w:szCs w:val="21"/>
        </w:rPr>
        <w:t>和</w:t>
      </w:r>
      <w:r>
        <w:rPr>
          <w:rFonts w:ascii="宋体" w:hAnsi="宋体" w:hint="eastAsia"/>
          <w:bCs/>
          <w:szCs w:val="21"/>
        </w:rPr>
        <w:t>应用</w:t>
      </w:r>
      <w:r>
        <w:rPr>
          <w:rFonts w:ascii="宋体" w:hAnsi="宋体"/>
          <w:bCs/>
          <w:szCs w:val="21"/>
        </w:rPr>
        <w:t>，新型覆盖材料的发展方向</w:t>
      </w:r>
      <w:r>
        <w:rPr>
          <w:rFonts w:ascii="宋体" w:hAnsi="宋体" w:hint="eastAsia"/>
          <w:bCs/>
          <w:szCs w:val="21"/>
        </w:rPr>
        <w:t>。</w:t>
      </w:r>
    </w:p>
    <w:p w14:paraId="00CBAF9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lastRenderedPageBreak/>
        <w:t>（三）考核要求</w:t>
      </w:r>
    </w:p>
    <w:p w14:paraId="211C642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szCs w:val="21"/>
        </w:rPr>
        <w:t>农用塑料</w:t>
      </w:r>
      <w:r>
        <w:rPr>
          <w:rFonts w:ascii="宋体" w:hAnsi="宋体"/>
          <w:bCs/>
          <w:szCs w:val="21"/>
        </w:rPr>
        <w:t>薄膜</w:t>
      </w:r>
      <w:r>
        <w:rPr>
          <w:rFonts w:ascii="宋体" w:hAnsi="宋体" w:hint="eastAsia"/>
          <w:bCs/>
          <w:szCs w:val="21"/>
        </w:rPr>
        <w:t>、</w:t>
      </w:r>
      <w:r>
        <w:rPr>
          <w:rFonts w:ascii="宋体" w:hAnsi="宋体"/>
          <w:bCs/>
          <w:szCs w:val="21"/>
        </w:rPr>
        <w:t>硬质塑料板材</w:t>
      </w:r>
      <w:r>
        <w:rPr>
          <w:rFonts w:ascii="宋体" w:hAnsi="宋体" w:hint="eastAsia"/>
          <w:bCs/>
          <w:szCs w:val="21"/>
        </w:rPr>
        <w:t>、</w:t>
      </w:r>
      <w:r>
        <w:rPr>
          <w:rFonts w:ascii="宋体" w:hAnsi="宋体"/>
          <w:bCs/>
          <w:szCs w:val="21"/>
        </w:rPr>
        <w:t>玻璃的</w:t>
      </w:r>
      <w:r>
        <w:rPr>
          <w:rFonts w:ascii="宋体" w:hAnsi="宋体" w:hint="eastAsia"/>
          <w:bCs/>
          <w:szCs w:val="21"/>
        </w:rPr>
        <w:t>分类，</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规格</w:t>
      </w:r>
    </w:p>
    <w:p w14:paraId="593B6218"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szCs w:val="21"/>
        </w:rPr>
        <w:t>设施园艺生产对透明</w:t>
      </w:r>
      <w:r>
        <w:rPr>
          <w:rFonts w:ascii="宋体" w:hAnsi="宋体"/>
          <w:bCs/>
          <w:szCs w:val="21"/>
        </w:rPr>
        <w:t>覆盖材料的要求，</w:t>
      </w:r>
      <w:r>
        <w:rPr>
          <w:rFonts w:ascii="宋体" w:hAnsi="宋体" w:hint="eastAsia"/>
          <w:bCs/>
          <w:szCs w:val="21"/>
        </w:rPr>
        <w:t>设施园艺生产对外保温</w:t>
      </w:r>
      <w:r>
        <w:rPr>
          <w:rFonts w:ascii="宋体" w:hAnsi="宋体"/>
          <w:bCs/>
          <w:szCs w:val="21"/>
        </w:rPr>
        <w:t>覆盖材料的要求，</w:t>
      </w:r>
      <w:r>
        <w:rPr>
          <w:rFonts w:ascii="宋体" w:hAnsi="宋体" w:hint="eastAsia"/>
          <w:bCs/>
          <w:szCs w:val="21"/>
        </w:rPr>
        <w:t>设施园艺生产内</w:t>
      </w:r>
      <w:r>
        <w:rPr>
          <w:rFonts w:ascii="宋体" w:hAnsi="宋体"/>
          <w:bCs/>
          <w:szCs w:val="21"/>
        </w:rPr>
        <w:t>覆盖材料的要求</w:t>
      </w:r>
    </w:p>
    <w:p w14:paraId="562F18F5"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选择</w:t>
      </w:r>
      <w:r>
        <w:rPr>
          <w:rFonts w:ascii="宋体" w:hAnsi="宋体"/>
          <w:bCs/>
          <w:szCs w:val="21"/>
        </w:rPr>
        <w:t>和</w:t>
      </w:r>
      <w:r>
        <w:rPr>
          <w:rFonts w:ascii="宋体" w:hAnsi="宋体" w:hint="eastAsia"/>
          <w:bCs/>
          <w:szCs w:val="21"/>
        </w:rPr>
        <w:t>应用</w:t>
      </w:r>
    </w:p>
    <w:p w14:paraId="67DD5641"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ascii="宋体" w:hAnsi="宋体" w:hint="eastAsia"/>
          <w:bCs/>
          <w:szCs w:val="21"/>
        </w:rPr>
        <w:t>农用塑料</w:t>
      </w:r>
      <w:r>
        <w:rPr>
          <w:rFonts w:ascii="宋体" w:hAnsi="宋体"/>
          <w:bCs/>
          <w:szCs w:val="21"/>
        </w:rPr>
        <w:t>薄膜</w:t>
      </w:r>
      <w:r>
        <w:rPr>
          <w:rFonts w:ascii="宋体" w:hAnsi="宋体" w:hint="eastAsia"/>
          <w:bCs/>
          <w:szCs w:val="21"/>
        </w:rPr>
        <w:t>、</w:t>
      </w:r>
      <w:r>
        <w:rPr>
          <w:rFonts w:ascii="宋体" w:hAnsi="宋体"/>
          <w:bCs/>
          <w:szCs w:val="21"/>
        </w:rPr>
        <w:t>硬质塑料板材</w:t>
      </w:r>
      <w:r>
        <w:rPr>
          <w:rFonts w:ascii="宋体" w:hAnsi="宋体" w:hint="eastAsia"/>
          <w:bCs/>
          <w:szCs w:val="21"/>
        </w:rPr>
        <w:t>、</w:t>
      </w:r>
      <w:r>
        <w:rPr>
          <w:rFonts w:ascii="宋体" w:hAnsi="宋体"/>
          <w:bCs/>
          <w:szCs w:val="21"/>
        </w:rPr>
        <w:t>玻璃</w:t>
      </w:r>
      <w:r>
        <w:rPr>
          <w:rFonts w:ascii="宋体" w:hAnsi="宋体" w:hint="eastAsia"/>
          <w:bCs/>
          <w:szCs w:val="21"/>
        </w:rPr>
        <w:t>、</w:t>
      </w:r>
      <w:r>
        <w:rPr>
          <w:rFonts w:ascii="宋体" w:hAnsi="宋体"/>
          <w:bCs/>
          <w:szCs w:val="21"/>
        </w:rPr>
        <w:t>保温被的性能</w:t>
      </w:r>
      <w:r>
        <w:rPr>
          <w:rFonts w:ascii="宋体" w:hAnsi="宋体" w:hint="eastAsia"/>
          <w:bCs/>
          <w:szCs w:val="21"/>
        </w:rPr>
        <w:t>，</w:t>
      </w:r>
      <w:r>
        <w:rPr>
          <w:rFonts w:ascii="宋体" w:hAnsi="宋体"/>
          <w:bCs/>
          <w:szCs w:val="21"/>
        </w:rPr>
        <w:t>无纺布</w:t>
      </w:r>
      <w:r>
        <w:rPr>
          <w:rFonts w:ascii="宋体" w:hAnsi="宋体" w:hint="eastAsia"/>
          <w:bCs/>
          <w:szCs w:val="21"/>
        </w:rPr>
        <w:t>、</w:t>
      </w:r>
      <w:r>
        <w:rPr>
          <w:rFonts w:ascii="宋体" w:hAnsi="宋体"/>
          <w:bCs/>
          <w:szCs w:val="21"/>
        </w:rPr>
        <w:t>遮阳网</w:t>
      </w:r>
      <w:r>
        <w:rPr>
          <w:rFonts w:ascii="宋体" w:hAnsi="宋体" w:hint="eastAsia"/>
          <w:bCs/>
          <w:szCs w:val="21"/>
        </w:rPr>
        <w:t>和</w:t>
      </w:r>
      <w:r>
        <w:rPr>
          <w:rFonts w:ascii="宋体" w:hAnsi="宋体"/>
          <w:bCs/>
          <w:szCs w:val="21"/>
        </w:rPr>
        <w:t>防虫网的</w:t>
      </w:r>
      <w:r>
        <w:rPr>
          <w:rFonts w:ascii="宋体" w:hAnsi="宋体" w:hint="eastAsia"/>
          <w:bCs/>
          <w:szCs w:val="21"/>
        </w:rPr>
        <w:t>性能</w:t>
      </w:r>
    </w:p>
    <w:p w14:paraId="3142E0F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5.评价：</w:t>
      </w:r>
      <w:r>
        <w:rPr>
          <w:rFonts w:ascii="宋体" w:hAnsi="宋体" w:hint="eastAsia"/>
          <w:bCs/>
          <w:szCs w:val="21"/>
        </w:rPr>
        <w:t>不同类型</w:t>
      </w:r>
      <w:r>
        <w:rPr>
          <w:rFonts w:ascii="宋体" w:hAnsi="宋体"/>
          <w:bCs/>
          <w:szCs w:val="21"/>
        </w:rPr>
        <w:t>覆盖材料特点的</w:t>
      </w:r>
      <w:r>
        <w:rPr>
          <w:rFonts w:ascii="宋体" w:hAnsi="宋体" w:hint="eastAsia"/>
          <w:bCs/>
          <w:szCs w:val="21"/>
        </w:rPr>
        <w:t>比较</w:t>
      </w:r>
    </w:p>
    <w:p w14:paraId="6DBE40E5" w14:textId="77777777" w:rsidR="00F5289E" w:rsidRDefault="00C91173">
      <w:pPr>
        <w:pStyle w:val="a9"/>
        <w:snapToGrid w:val="0"/>
        <w:spacing w:line="360" w:lineRule="auto"/>
        <w:jc w:val="center"/>
        <w:rPr>
          <w:rFonts w:hAnsi="宋体"/>
          <w:b/>
        </w:rPr>
      </w:pPr>
      <w:r>
        <w:rPr>
          <w:rFonts w:hint="eastAsia"/>
          <w:b/>
        </w:rPr>
        <w:t>第四章 园艺栽培设施的类型、结构、性能与应用</w:t>
      </w:r>
    </w:p>
    <w:p w14:paraId="36CC7C1D"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DC2462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简易保护设施</w:t>
      </w:r>
      <w:r>
        <w:rPr>
          <w:rFonts w:ascii="宋体" w:hAnsi="宋体"/>
          <w:bCs/>
          <w:szCs w:val="21"/>
        </w:rPr>
        <w:t>的性能</w:t>
      </w:r>
      <w:r>
        <w:rPr>
          <w:rFonts w:ascii="宋体" w:hAnsi="宋体" w:hint="eastAsia"/>
          <w:bCs/>
          <w:szCs w:val="21"/>
        </w:rPr>
        <w:t>，</w:t>
      </w:r>
      <w:r>
        <w:rPr>
          <w:rFonts w:ascii="宋体" w:hAnsi="宋体"/>
          <w:bCs/>
          <w:szCs w:val="21"/>
        </w:rPr>
        <w:t>植物工厂的组成和应用</w:t>
      </w:r>
    </w:p>
    <w:p w14:paraId="010AAD1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塑料大棚、</w:t>
      </w:r>
      <w:r>
        <w:t>日光温室、连栋温室的</w:t>
      </w:r>
      <w:r>
        <w:rPr>
          <w:rFonts w:hint="eastAsia"/>
        </w:rPr>
        <w:t>性能</w:t>
      </w:r>
    </w:p>
    <w:p w14:paraId="119F6AE2"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szCs w:val="21"/>
        </w:rPr>
        <w:t>简易</w:t>
      </w:r>
      <w:r>
        <w:rPr>
          <w:rFonts w:hint="eastAsia"/>
        </w:rPr>
        <w:t>保护设施的</w:t>
      </w:r>
      <w:r>
        <w:t>类型和</w:t>
      </w:r>
      <w:r>
        <w:rPr>
          <w:rFonts w:hint="eastAsia"/>
        </w:rPr>
        <w:t>应用。塑料大棚、</w:t>
      </w:r>
      <w:r>
        <w:t>日光温室、连栋温室的</w:t>
      </w:r>
      <w:r>
        <w:rPr>
          <w:rFonts w:hint="eastAsia"/>
        </w:rPr>
        <w:t>特点、</w:t>
      </w:r>
      <w:r>
        <w:t>类型</w:t>
      </w:r>
      <w:r>
        <w:rPr>
          <w:rFonts w:hint="eastAsia"/>
        </w:rPr>
        <w:t>、</w:t>
      </w:r>
      <w:r>
        <w:t>基本结构和应用</w:t>
      </w:r>
    </w:p>
    <w:p w14:paraId="2BD4089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05964F4"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bCs/>
          <w:szCs w:val="21"/>
        </w:rPr>
        <w:t>简易</w:t>
      </w:r>
      <w:r>
        <w:rPr>
          <w:rFonts w:hint="eastAsia"/>
        </w:rPr>
        <w:t>保护设施的</w:t>
      </w:r>
      <w:r>
        <w:t>类型</w:t>
      </w:r>
      <w:r>
        <w:rPr>
          <w:rFonts w:hint="eastAsia"/>
        </w:rPr>
        <w:t>、性能</w:t>
      </w:r>
      <w:r>
        <w:t>和</w:t>
      </w:r>
      <w:r>
        <w:rPr>
          <w:rFonts w:hint="eastAsia"/>
        </w:rPr>
        <w:t>应用，塑料大棚、</w:t>
      </w:r>
      <w:r>
        <w:t>日光温室、连栋温室的</w:t>
      </w:r>
      <w:r>
        <w:rPr>
          <w:rFonts w:hint="eastAsia"/>
        </w:rPr>
        <w:t>特点、</w:t>
      </w:r>
      <w:r>
        <w:t>类型</w:t>
      </w:r>
      <w:r>
        <w:rPr>
          <w:rFonts w:hint="eastAsia"/>
        </w:rPr>
        <w:t>、性能和</w:t>
      </w:r>
      <w:r>
        <w:t>应用</w:t>
      </w:r>
      <w:r>
        <w:rPr>
          <w:rFonts w:hint="eastAsia"/>
        </w:rPr>
        <w:t>。</w:t>
      </w:r>
      <w:r>
        <w:rPr>
          <w:rFonts w:ascii="宋体" w:hAnsi="宋体" w:hint="eastAsia"/>
          <w:bCs/>
          <w:szCs w:val="21"/>
        </w:rPr>
        <w:t>（包含知识、能力、素质能方面的考核。首行缩进2字符，宋体五号字，</w:t>
      </w:r>
      <w:r>
        <w:rPr>
          <w:rFonts w:ascii="宋体" w:hAnsi="宋体" w:hint="eastAsia"/>
          <w:szCs w:val="21"/>
        </w:rPr>
        <w:t>1.5倍行距）</w:t>
      </w:r>
    </w:p>
    <w:p w14:paraId="00829E4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DFFADE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szCs w:val="21"/>
        </w:rPr>
        <w:t>简易</w:t>
      </w:r>
      <w:r>
        <w:rPr>
          <w:rFonts w:hint="eastAsia"/>
        </w:rPr>
        <w:t>保护设施的</w:t>
      </w:r>
      <w:r>
        <w:t>类型</w:t>
      </w:r>
      <w:r>
        <w:rPr>
          <w:rFonts w:hint="eastAsia"/>
        </w:rPr>
        <w:t>、塑料大棚、</w:t>
      </w:r>
      <w:r>
        <w:t>日光温室、连栋温室的</w:t>
      </w:r>
      <w:r>
        <w:rPr>
          <w:rFonts w:hint="eastAsia"/>
        </w:rPr>
        <w:t>定义</w:t>
      </w:r>
      <w:r>
        <w:t>和类型</w:t>
      </w:r>
    </w:p>
    <w:p w14:paraId="44BF50C8"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hint="eastAsia"/>
        </w:rPr>
        <w:t>塑料大棚、</w:t>
      </w:r>
      <w:r>
        <w:t>日光温室、连栋温室的</w:t>
      </w:r>
      <w:r>
        <w:rPr>
          <w:rFonts w:hint="eastAsia"/>
        </w:rPr>
        <w:t>特点</w:t>
      </w:r>
    </w:p>
    <w:p w14:paraId="7A8AE59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hint="eastAsia"/>
          <w:bCs/>
          <w:szCs w:val="21"/>
        </w:rPr>
        <w:t>简易</w:t>
      </w:r>
      <w:r>
        <w:rPr>
          <w:rFonts w:hint="eastAsia"/>
        </w:rPr>
        <w:t>保护设施的应用，塑料大棚、</w:t>
      </w:r>
      <w:r>
        <w:t>日光温室、连栋温室的应用</w:t>
      </w:r>
      <w:r>
        <w:rPr>
          <w:rFonts w:hint="eastAsia"/>
        </w:rPr>
        <w:t>。</w:t>
      </w:r>
    </w:p>
    <w:p w14:paraId="3D973E7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hint="eastAsia"/>
        </w:rPr>
        <w:t>塑料大棚、</w:t>
      </w:r>
      <w:r>
        <w:t>日光温室、连栋温室的</w:t>
      </w:r>
      <w:r>
        <w:rPr>
          <w:rFonts w:hint="eastAsia"/>
        </w:rPr>
        <w:t>性能</w:t>
      </w:r>
    </w:p>
    <w:p w14:paraId="6E44C022"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5</w:t>
      </w:r>
      <w:r>
        <w:rPr>
          <w:rFonts w:ascii="宋体" w:hAnsi="宋体" w:hint="eastAsia"/>
          <w:b/>
          <w:szCs w:val="21"/>
        </w:rPr>
        <w:t>.评价：</w:t>
      </w:r>
      <w:r>
        <w:rPr>
          <w:rFonts w:hint="eastAsia"/>
        </w:rPr>
        <w:t>塑料大棚、</w:t>
      </w:r>
      <w:r>
        <w:t>日光温室、连栋温室的</w:t>
      </w:r>
      <w:r>
        <w:rPr>
          <w:rFonts w:hint="eastAsia"/>
        </w:rPr>
        <w:t>性能和</w:t>
      </w:r>
      <w:r>
        <w:t>应用的差异</w:t>
      </w:r>
    </w:p>
    <w:p w14:paraId="5E8BD52E" w14:textId="77777777" w:rsidR="00F5289E" w:rsidRDefault="00C91173">
      <w:pPr>
        <w:pStyle w:val="a9"/>
        <w:snapToGrid w:val="0"/>
        <w:spacing w:line="360" w:lineRule="auto"/>
        <w:jc w:val="center"/>
        <w:rPr>
          <w:rFonts w:hAnsi="宋体"/>
          <w:b/>
        </w:rPr>
      </w:pPr>
      <w:r>
        <w:rPr>
          <w:rFonts w:hAnsi="宋体" w:hint="eastAsia"/>
          <w:b/>
          <w:bCs/>
        </w:rPr>
        <w:t>第五章 园艺设施的规划与设计</w:t>
      </w:r>
    </w:p>
    <w:p w14:paraId="357E373A"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6198D0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荷载组合和结构</w:t>
      </w:r>
      <w:r>
        <w:rPr>
          <w:rFonts w:ascii="宋体" w:hAnsi="宋体"/>
          <w:bCs/>
          <w:szCs w:val="21"/>
        </w:rPr>
        <w:t>构件安全性分析</w:t>
      </w:r>
    </w:p>
    <w:p w14:paraId="5D44210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bCs/>
          <w:szCs w:val="21"/>
        </w:rPr>
        <w:t>连栋温室配套设备</w:t>
      </w:r>
      <w:r>
        <w:rPr>
          <w:rFonts w:ascii="宋体" w:hAnsi="宋体" w:hint="eastAsia"/>
          <w:bCs/>
          <w:szCs w:val="21"/>
        </w:rPr>
        <w:t>，</w:t>
      </w:r>
      <w:r>
        <w:rPr>
          <w:rFonts w:ascii="宋体" w:hAnsi="宋体"/>
          <w:bCs/>
          <w:szCs w:val="21"/>
        </w:rPr>
        <w:t>日光温室的改良方向</w:t>
      </w:r>
    </w:p>
    <w:p w14:paraId="19B4016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lastRenderedPageBreak/>
        <w:t>3. 熟练掌握</w:t>
      </w:r>
      <w:r>
        <w:rPr>
          <w:rFonts w:ascii="宋体" w:hAnsi="宋体" w:hint="eastAsia"/>
          <w:szCs w:val="21"/>
        </w:rPr>
        <w:t>：</w:t>
      </w:r>
      <w:r>
        <w:rPr>
          <w:rFonts w:ascii="宋体" w:hAnsi="宋体" w:hint="eastAsia"/>
          <w:bCs/>
          <w:szCs w:val="21"/>
        </w:rPr>
        <w:t>园艺设施建筑特点</w:t>
      </w:r>
      <w:r>
        <w:rPr>
          <w:rFonts w:ascii="宋体" w:hAnsi="宋体"/>
          <w:bCs/>
          <w:szCs w:val="21"/>
        </w:rPr>
        <w:t>和要求，园艺设施场地规划要求，园艺设施荷载计算，</w:t>
      </w:r>
      <w:r>
        <w:rPr>
          <w:rFonts w:ascii="宋体" w:hAnsi="宋体" w:hint="eastAsia"/>
          <w:bCs/>
          <w:szCs w:val="21"/>
        </w:rPr>
        <w:t>塑料大棚</w:t>
      </w:r>
      <w:r>
        <w:rPr>
          <w:rFonts w:ascii="宋体" w:hAnsi="宋体"/>
          <w:bCs/>
          <w:szCs w:val="21"/>
        </w:rPr>
        <w:t>的结构参数</w:t>
      </w:r>
      <w:r>
        <w:rPr>
          <w:rFonts w:ascii="宋体" w:hAnsi="宋体" w:hint="eastAsia"/>
          <w:bCs/>
          <w:szCs w:val="21"/>
        </w:rPr>
        <w:t>和</w:t>
      </w:r>
      <w:r>
        <w:rPr>
          <w:rFonts w:ascii="宋体" w:hAnsi="宋体"/>
          <w:bCs/>
          <w:szCs w:val="21"/>
        </w:rPr>
        <w:t>结构构件，</w:t>
      </w:r>
      <w:r>
        <w:rPr>
          <w:rFonts w:ascii="宋体" w:hAnsi="宋体" w:hint="eastAsia"/>
          <w:bCs/>
          <w:szCs w:val="21"/>
        </w:rPr>
        <w:t>日光温室</w:t>
      </w:r>
      <w:r>
        <w:rPr>
          <w:rFonts w:ascii="宋体" w:hAnsi="宋体"/>
          <w:bCs/>
          <w:szCs w:val="21"/>
        </w:rPr>
        <w:t>结构参数和</w:t>
      </w:r>
      <w:r>
        <w:rPr>
          <w:rFonts w:ascii="宋体" w:hAnsi="宋体" w:hint="eastAsia"/>
          <w:bCs/>
          <w:szCs w:val="21"/>
        </w:rPr>
        <w:t>主要</w:t>
      </w:r>
      <w:r>
        <w:rPr>
          <w:rFonts w:ascii="宋体" w:hAnsi="宋体"/>
          <w:bCs/>
          <w:szCs w:val="21"/>
        </w:rPr>
        <w:t>结构，日光</w:t>
      </w:r>
      <w:r>
        <w:rPr>
          <w:rFonts w:ascii="宋体" w:hAnsi="宋体" w:hint="eastAsia"/>
          <w:bCs/>
          <w:szCs w:val="21"/>
        </w:rPr>
        <w:t>温室</w:t>
      </w:r>
      <w:r>
        <w:rPr>
          <w:rFonts w:ascii="宋体" w:hAnsi="宋体"/>
          <w:bCs/>
          <w:szCs w:val="21"/>
        </w:rPr>
        <w:t>剖面设计、日光</w:t>
      </w:r>
      <w:r>
        <w:rPr>
          <w:rFonts w:ascii="宋体" w:hAnsi="宋体" w:hint="eastAsia"/>
          <w:bCs/>
          <w:szCs w:val="21"/>
        </w:rPr>
        <w:t>温室</w:t>
      </w:r>
      <w:r>
        <w:rPr>
          <w:rFonts w:ascii="宋体" w:hAnsi="宋体"/>
          <w:bCs/>
          <w:szCs w:val="21"/>
        </w:rPr>
        <w:t>保温蓄热设计、日光温室平面布局，日光温室</w:t>
      </w:r>
      <w:r>
        <w:rPr>
          <w:rFonts w:ascii="宋体" w:hAnsi="宋体" w:hint="eastAsia"/>
          <w:bCs/>
          <w:szCs w:val="21"/>
        </w:rPr>
        <w:t>的</w:t>
      </w:r>
      <w:r>
        <w:rPr>
          <w:rFonts w:ascii="宋体" w:hAnsi="宋体"/>
          <w:bCs/>
          <w:szCs w:val="21"/>
        </w:rPr>
        <w:t>结构构件和安全性分析</w:t>
      </w:r>
      <w:r>
        <w:rPr>
          <w:rFonts w:ascii="宋体" w:hAnsi="宋体" w:hint="eastAsia"/>
          <w:bCs/>
          <w:szCs w:val="21"/>
        </w:rPr>
        <w:t>，</w:t>
      </w:r>
      <w:r>
        <w:rPr>
          <w:rFonts w:ascii="宋体" w:hAnsi="宋体"/>
          <w:bCs/>
          <w:szCs w:val="21"/>
        </w:rPr>
        <w:t>连栋温室的建筑设计、连栋温室的结构构件组成</w:t>
      </w:r>
    </w:p>
    <w:p w14:paraId="29A7A46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F5B4CFA"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bCs/>
          <w:szCs w:val="21"/>
        </w:rPr>
        <w:t>园艺设施建筑特点</w:t>
      </w:r>
      <w:r>
        <w:rPr>
          <w:rFonts w:ascii="宋体" w:hAnsi="宋体"/>
          <w:bCs/>
          <w:szCs w:val="21"/>
        </w:rPr>
        <w:t>和要求，园艺设施场地规划要求，园艺设施荷载计算，</w:t>
      </w:r>
      <w:r>
        <w:rPr>
          <w:rFonts w:ascii="宋体" w:hAnsi="宋体" w:hint="eastAsia"/>
          <w:bCs/>
          <w:szCs w:val="21"/>
        </w:rPr>
        <w:t>塑料大棚</w:t>
      </w:r>
      <w:r>
        <w:rPr>
          <w:rFonts w:ascii="宋体" w:hAnsi="宋体"/>
          <w:bCs/>
          <w:szCs w:val="21"/>
        </w:rPr>
        <w:t>的结构参数</w:t>
      </w:r>
      <w:r>
        <w:rPr>
          <w:rFonts w:ascii="宋体" w:hAnsi="宋体" w:hint="eastAsia"/>
          <w:bCs/>
          <w:szCs w:val="21"/>
        </w:rPr>
        <w:t>和</w:t>
      </w:r>
      <w:r>
        <w:rPr>
          <w:rFonts w:ascii="宋体" w:hAnsi="宋体"/>
          <w:bCs/>
          <w:szCs w:val="21"/>
        </w:rPr>
        <w:t>结构构件，</w:t>
      </w:r>
      <w:r>
        <w:rPr>
          <w:rFonts w:ascii="宋体" w:hAnsi="宋体" w:hint="eastAsia"/>
          <w:bCs/>
          <w:szCs w:val="21"/>
        </w:rPr>
        <w:t>日光温室</w:t>
      </w:r>
      <w:r>
        <w:rPr>
          <w:rFonts w:ascii="宋体" w:hAnsi="宋体"/>
          <w:bCs/>
          <w:szCs w:val="21"/>
        </w:rPr>
        <w:t>结构参数和</w:t>
      </w:r>
      <w:r>
        <w:rPr>
          <w:rFonts w:ascii="宋体" w:hAnsi="宋体" w:hint="eastAsia"/>
          <w:bCs/>
          <w:szCs w:val="21"/>
        </w:rPr>
        <w:t>主要</w:t>
      </w:r>
      <w:r>
        <w:rPr>
          <w:rFonts w:ascii="宋体" w:hAnsi="宋体"/>
          <w:bCs/>
          <w:szCs w:val="21"/>
        </w:rPr>
        <w:t>结构，日光</w:t>
      </w:r>
      <w:r>
        <w:rPr>
          <w:rFonts w:ascii="宋体" w:hAnsi="宋体" w:hint="eastAsia"/>
          <w:bCs/>
          <w:szCs w:val="21"/>
        </w:rPr>
        <w:t>温室</w:t>
      </w:r>
      <w:r>
        <w:rPr>
          <w:rFonts w:ascii="宋体" w:hAnsi="宋体"/>
          <w:bCs/>
          <w:szCs w:val="21"/>
        </w:rPr>
        <w:t>剖面设计、日光</w:t>
      </w:r>
      <w:r>
        <w:rPr>
          <w:rFonts w:ascii="宋体" w:hAnsi="宋体" w:hint="eastAsia"/>
          <w:bCs/>
          <w:szCs w:val="21"/>
        </w:rPr>
        <w:t>温室</w:t>
      </w:r>
      <w:r>
        <w:rPr>
          <w:rFonts w:ascii="宋体" w:hAnsi="宋体"/>
          <w:bCs/>
          <w:szCs w:val="21"/>
        </w:rPr>
        <w:t>保温蓄热设计、日光温室平面布局，日光温室</w:t>
      </w:r>
      <w:r>
        <w:rPr>
          <w:rFonts w:ascii="宋体" w:hAnsi="宋体" w:hint="eastAsia"/>
          <w:bCs/>
          <w:szCs w:val="21"/>
        </w:rPr>
        <w:t>的</w:t>
      </w:r>
      <w:r>
        <w:rPr>
          <w:rFonts w:ascii="宋体" w:hAnsi="宋体"/>
          <w:bCs/>
          <w:szCs w:val="21"/>
        </w:rPr>
        <w:t>结构构件</w:t>
      </w:r>
      <w:r>
        <w:rPr>
          <w:rFonts w:ascii="宋体" w:hAnsi="宋体" w:hint="eastAsia"/>
          <w:bCs/>
          <w:szCs w:val="21"/>
        </w:rPr>
        <w:t>组成</w:t>
      </w:r>
      <w:r>
        <w:rPr>
          <w:rFonts w:ascii="宋体" w:hAnsi="宋体"/>
          <w:bCs/>
          <w:szCs w:val="21"/>
        </w:rPr>
        <w:t>和安全性分析</w:t>
      </w:r>
      <w:r>
        <w:rPr>
          <w:rFonts w:ascii="宋体" w:hAnsi="宋体" w:hint="eastAsia"/>
          <w:bCs/>
          <w:szCs w:val="21"/>
        </w:rPr>
        <w:t>，</w:t>
      </w:r>
      <w:r>
        <w:rPr>
          <w:rFonts w:ascii="宋体" w:hAnsi="宋体"/>
          <w:bCs/>
          <w:szCs w:val="21"/>
        </w:rPr>
        <w:t>日光温室的改良方向</w:t>
      </w:r>
      <w:r>
        <w:rPr>
          <w:rFonts w:ascii="宋体" w:hAnsi="宋体" w:hint="eastAsia"/>
          <w:bCs/>
          <w:szCs w:val="21"/>
        </w:rPr>
        <w:t>，</w:t>
      </w:r>
      <w:r>
        <w:rPr>
          <w:rFonts w:ascii="宋体" w:hAnsi="宋体"/>
          <w:bCs/>
          <w:szCs w:val="21"/>
        </w:rPr>
        <w:t>连栋温室的</w:t>
      </w:r>
      <w:r>
        <w:rPr>
          <w:rFonts w:ascii="宋体" w:hAnsi="宋体" w:hint="eastAsia"/>
          <w:bCs/>
          <w:szCs w:val="21"/>
        </w:rPr>
        <w:t>结构参数和</w:t>
      </w:r>
      <w:r>
        <w:rPr>
          <w:rFonts w:ascii="宋体" w:hAnsi="宋体"/>
          <w:bCs/>
          <w:szCs w:val="21"/>
        </w:rPr>
        <w:t>建筑设计、连栋温室的结构构件组成</w:t>
      </w:r>
      <w:r>
        <w:rPr>
          <w:rFonts w:ascii="宋体" w:hAnsi="宋体" w:hint="eastAsia"/>
          <w:bCs/>
          <w:szCs w:val="21"/>
        </w:rPr>
        <w:t>，</w:t>
      </w:r>
      <w:r>
        <w:rPr>
          <w:rFonts w:ascii="宋体" w:hAnsi="宋体"/>
          <w:bCs/>
          <w:szCs w:val="21"/>
        </w:rPr>
        <w:t>连栋温室配套设备</w:t>
      </w:r>
    </w:p>
    <w:p w14:paraId="0CA4DDD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BDEBAAD"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szCs w:val="21"/>
        </w:rPr>
        <w:t>塑料大棚</w:t>
      </w:r>
      <w:r>
        <w:rPr>
          <w:rFonts w:ascii="宋体" w:hAnsi="宋体"/>
          <w:bCs/>
          <w:szCs w:val="21"/>
        </w:rPr>
        <w:t>的结构参数</w:t>
      </w:r>
      <w:r>
        <w:rPr>
          <w:rFonts w:ascii="宋体" w:hAnsi="宋体" w:hint="eastAsia"/>
          <w:bCs/>
          <w:szCs w:val="21"/>
        </w:rPr>
        <w:t>和</w:t>
      </w:r>
      <w:r>
        <w:rPr>
          <w:rFonts w:ascii="宋体" w:hAnsi="宋体"/>
          <w:bCs/>
          <w:szCs w:val="21"/>
        </w:rPr>
        <w:t>结构构件，</w:t>
      </w:r>
      <w:r>
        <w:rPr>
          <w:rFonts w:ascii="宋体" w:hAnsi="宋体" w:hint="eastAsia"/>
          <w:bCs/>
          <w:szCs w:val="21"/>
        </w:rPr>
        <w:t>日光温室</w:t>
      </w:r>
      <w:r>
        <w:rPr>
          <w:rFonts w:ascii="宋体" w:hAnsi="宋体"/>
          <w:bCs/>
          <w:szCs w:val="21"/>
        </w:rPr>
        <w:t>结构参数和</w:t>
      </w:r>
      <w:r>
        <w:rPr>
          <w:rFonts w:ascii="宋体" w:hAnsi="宋体" w:hint="eastAsia"/>
          <w:bCs/>
          <w:szCs w:val="21"/>
        </w:rPr>
        <w:t>主要</w:t>
      </w:r>
      <w:r>
        <w:rPr>
          <w:rFonts w:ascii="宋体" w:hAnsi="宋体"/>
          <w:bCs/>
          <w:szCs w:val="21"/>
        </w:rPr>
        <w:t>结构</w:t>
      </w:r>
    </w:p>
    <w:p w14:paraId="1AAC3C3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szCs w:val="21"/>
        </w:rPr>
        <w:t>园艺设施建筑特点</w:t>
      </w:r>
      <w:r>
        <w:rPr>
          <w:rFonts w:ascii="宋体" w:hAnsi="宋体"/>
          <w:bCs/>
          <w:szCs w:val="21"/>
        </w:rPr>
        <w:t>和要求</w:t>
      </w:r>
      <w:r>
        <w:rPr>
          <w:rFonts w:ascii="宋体" w:hAnsi="宋体" w:hint="eastAsia"/>
          <w:bCs/>
          <w:szCs w:val="21"/>
        </w:rPr>
        <w:t>，</w:t>
      </w:r>
      <w:r>
        <w:rPr>
          <w:rFonts w:ascii="宋体" w:hAnsi="宋体"/>
          <w:bCs/>
          <w:szCs w:val="21"/>
        </w:rPr>
        <w:t>园艺设施场地规划要求</w:t>
      </w:r>
    </w:p>
    <w:p w14:paraId="5C8EDAC0"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bCs/>
          <w:szCs w:val="21"/>
        </w:rPr>
        <w:t>园艺设施荷载计算</w:t>
      </w:r>
    </w:p>
    <w:p w14:paraId="6F6AF09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ascii="宋体" w:hAnsi="宋体" w:hint="eastAsia"/>
          <w:bCs/>
          <w:szCs w:val="21"/>
        </w:rPr>
        <w:t>日光温室和</w:t>
      </w:r>
      <w:r>
        <w:rPr>
          <w:rFonts w:ascii="宋体" w:hAnsi="宋体"/>
          <w:bCs/>
          <w:szCs w:val="21"/>
        </w:rPr>
        <w:t>连栋温室改良的方向</w:t>
      </w:r>
    </w:p>
    <w:p w14:paraId="749D69FC"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5.综合</w:t>
      </w:r>
      <w:r>
        <w:rPr>
          <w:rFonts w:ascii="宋体" w:hAnsi="宋体" w:hint="eastAsia"/>
          <w:szCs w:val="21"/>
        </w:rPr>
        <w:t>：</w:t>
      </w:r>
      <w:r>
        <w:rPr>
          <w:rFonts w:ascii="宋体" w:hAnsi="宋体"/>
          <w:bCs/>
          <w:szCs w:val="21"/>
        </w:rPr>
        <w:t>日光</w:t>
      </w:r>
      <w:r>
        <w:rPr>
          <w:rFonts w:ascii="宋体" w:hAnsi="宋体" w:hint="eastAsia"/>
          <w:bCs/>
          <w:szCs w:val="21"/>
        </w:rPr>
        <w:t>温室</w:t>
      </w:r>
      <w:r>
        <w:rPr>
          <w:rFonts w:ascii="宋体" w:hAnsi="宋体"/>
          <w:bCs/>
          <w:szCs w:val="21"/>
        </w:rPr>
        <w:t>剖面设计、日光</w:t>
      </w:r>
      <w:r>
        <w:rPr>
          <w:rFonts w:ascii="宋体" w:hAnsi="宋体" w:hint="eastAsia"/>
          <w:bCs/>
          <w:szCs w:val="21"/>
        </w:rPr>
        <w:t>温室</w:t>
      </w:r>
      <w:r>
        <w:rPr>
          <w:rFonts w:ascii="宋体" w:hAnsi="宋体"/>
          <w:bCs/>
          <w:szCs w:val="21"/>
        </w:rPr>
        <w:t>保温蓄热设计、日光温室平面布局</w:t>
      </w:r>
      <w:r>
        <w:rPr>
          <w:rFonts w:ascii="宋体" w:hAnsi="宋体" w:hint="eastAsia"/>
          <w:bCs/>
          <w:szCs w:val="21"/>
        </w:rPr>
        <w:t>、</w:t>
      </w:r>
      <w:r>
        <w:rPr>
          <w:rFonts w:ascii="宋体" w:hAnsi="宋体"/>
          <w:bCs/>
          <w:szCs w:val="21"/>
        </w:rPr>
        <w:t>日光温室</w:t>
      </w:r>
      <w:r>
        <w:rPr>
          <w:rFonts w:ascii="宋体" w:hAnsi="宋体" w:hint="eastAsia"/>
          <w:bCs/>
          <w:szCs w:val="21"/>
        </w:rPr>
        <w:t>的</w:t>
      </w:r>
      <w:r>
        <w:rPr>
          <w:rFonts w:ascii="宋体" w:hAnsi="宋体"/>
          <w:bCs/>
          <w:szCs w:val="21"/>
        </w:rPr>
        <w:t>结构构件</w:t>
      </w:r>
      <w:r>
        <w:rPr>
          <w:rFonts w:ascii="宋体" w:hAnsi="宋体" w:hint="eastAsia"/>
          <w:bCs/>
          <w:szCs w:val="21"/>
        </w:rPr>
        <w:t>组成，</w:t>
      </w:r>
      <w:r>
        <w:rPr>
          <w:rFonts w:ascii="宋体" w:hAnsi="宋体"/>
          <w:bCs/>
          <w:szCs w:val="21"/>
        </w:rPr>
        <w:t>连栋温室的建筑设计、连栋温室的结构构件组成</w:t>
      </w:r>
    </w:p>
    <w:p w14:paraId="55F7D62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6.评价：</w:t>
      </w:r>
      <w:r>
        <w:rPr>
          <w:rFonts w:ascii="宋体" w:hAnsi="宋体" w:hint="eastAsia"/>
          <w:bCs/>
          <w:szCs w:val="21"/>
        </w:rPr>
        <w:t>日光温室和</w:t>
      </w:r>
      <w:r>
        <w:rPr>
          <w:rFonts w:ascii="宋体" w:hAnsi="宋体"/>
          <w:bCs/>
          <w:szCs w:val="21"/>
        </w:rPr>
        <w:t>连栋温室</w:t>
      </w:r>
      <w:r>
        <w:rPr>
          <w:rFonts w:ascii="宋体" w:hAnsi="宋体" w:hint="eastAsia"/>
          <w:bCs/>
          <w:szCs w:val="21"/>
        </w:rPr>
        <w:t>存在</w:t>
      </w:r>
      <w:r>
        <w:rPr>
          <w:rFonts w:ascii="宋体" w:hAnsi="宋体"/>
          <w:bCs/>
          <w:szCs w:val="21"/>
        </w:rPr>
        <w:t>的不足和原因</w:t>
      </w:r>
    </w:p>
    <w:p w14:paraId="1FDFFF92" w14:textId="77777777" w:rsidR="00F5289E" w:rsidRDefault="00C91173">
      <w:pPr>
        <w:pStyle w:val="a9"/>
        <w:snapToGrid w:val="0"/>
        <w:spacing w:line="360" w:lineRule="auto"/>
        <w:jc w:val="center"/>
        <w:rPr>
          <w:rFonts w:hAnsi="宋体"/>
          <w:b/>
          <w:bCs/>
        </w:rPr>
      </w:pPr>
      <w:r>
        <w:rPr>
          <w:rFonts w:hAnsi="宋体" w:hint="eastAsia"/>
          <w:b/>
          <w:bCs/>
        </w:rPr>
        <w:t>第六章 园艺设施建造</w:t>
      </w:r>
    </w:p>
    <w:p w14:paraId="6F5C569C"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4737EF4"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定位放线、</w:t>
      </w:r>
      <w:r>
        <w:rPr>
          <w:rFonts w:ascii="宋体" w:hAnsi="宋体"/>
          <w:bCs/>
          <w:szCs w:val="21"/>
        </w:rPr>
        <w:t>土方工程、</w:t>
      </w:r>
      <w:r>
        <w:rPr>
          <w:rFonts w:ascii="宋体" w:hAnsi="宋体" w:hint="eastAsia"/>
          <w:bCs/>
          <w:szCs w:val="21"/>
        </w:rPr>
        <w:t>基础工程</w:t>
      </w:r>
      <w:r>
        <w:rPr>
          <w:rFonts w:ascii="宋体" w:hAnsi="宋体"/>
          <w:bCs/>
          <w:szCs w:val="21"/>
        </w:rPr>
        <w:t>、砌筑工程、金属工程</w:t>
      </w:r>
      <w:r>
        <w:rPr>
          <w:rFonts w:ascii="宋体" w:hAnsi="宋体" w:hint="eastAsia"/>
          <w:bCs/>
          <w:szCs w:val="21"/>
        </w:rPr>
        <w:t>的</w:t>
      </w:r>
      <w:r>
        <w:rPr>
          <w:rFonts w:ascii="宋体" w:hAnsi="宋体"/>
          <w:bCs/>
          <w:szCs w:val="21"/>
        </w:rPr>
        <w:t>技术要点</w:t>
      </w:r>
    </w:p>
    <w:p w14:paraId="1DDA403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bCs/>
          <w:szCs w:val="21"/>
        </w:rPr>
        <w:t>覆膜</w:t>
      </w:r>
      <w:r>
        <w:rPr>
          <w:rFonts w:ascii="宋体" w:hAnsi="宋体" w:hint="eastAsia"/>
          <w:bCs/>
          <w:szCs w:val="21"/>
        </w:rPr>
        <w:t>的技术要点</w:t>
      </w:r>
    </w:p>
    <w:p w14:paraId="58DE5532"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：塑料</w:t>
      </w:r>
      <w:r>
        <w:rPr>
          <w:rFonts w:ascii="宋体" w:hAnsi="宋体"/>
          <w:szCs w:val="21"/>
        </w:rPr>
        <w:t>大棚、日光温室、连栋温室的建造程序</w:t>
      </w:r>
      <w:r>
        <w:rPr>
          <w:rFonts w:ascii="宋体" w:hAnsi="宋体"/>
          <w:bCs/>
          <w:szCs w:val="21"/>
        </w:rPr>
        <w:t>。</w:t>
      </w:r>
    </w:p>
    <w:p w14:paraId="6477497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F4B1095" w14:textId="77777777" w:rsidR="00F5289E" w:rsidRDefault="00C91173">
      <w:pPr>
        <w:snapToGrid w:val="0"/>
        <w:spacing w:beforeLines="50" w:before="156" w:line="360" w:lineRule="auto"/>
        <w:rPr>
          <w:rFonts w:ascii="宋体" w:hAnsi="宋体"/>
          <w:bCs/>
          <w:szCs w:val="21"/>
        </w:rPr>
      </w:pPr>
      <w:r>
        <w:rPr>
          <w:rFonts w:ascii="宋体" w:hAnsi="宋体" w:hint="eastAsia"/>
          <w:szCs w:val="21"/>
        </w:rPr>
        <w:t>塑料</w:t>
      </w:r>
      <w:r>
        <w:rPr>
          <w:rFonts w:ascii="宋体" w:hAnsi="宋体"/>
          <w:szCs w:val="21"/>
        </w:rPr>
        <w:t>大棚、日光温室、连栋温室的建造程序，</w:t>
      </w:r>
      <w:r>
        <w:rPr>
          <w:rFonts w:ascii="宋体" w:hAnsi="宋体"/>
          <w:bCs/>
          <w:szCs w:val="21"/>
        </w:rPr>
        <w:t>覆膜</w:t>
      </w:r>
      <w:r>
        <w:rPr>
          <w:rFonts w:ascii="宋体" w:hAnsi="宋体" w:hint="eastAsia"/>
          <w:bCs/>
          <w:szCs w:val="21"/>
        </w:rPr>
        <w:t>的技术要点</w:t>
      </w:r>
      <w:r>
        <w:rPr>
          <w:rFonts w:ascii="宋体" w:hAnsi="宋体"/>
          <w:bCs/>
          <w:szCs w:val="21"/>
        </w:rPr>
        <w:t>。</w:t>
      </w:r>
    </w:p>
    <w:p w14:paraId="0DC80B9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E720D3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1</w:t>
      </w:r>
      <w:r>
        <w:rPr>
          <w:rFonts w:ascii="宋体" w:hAnsi="宋体" w:hint="eastAsia"/>
          <w:b/>
          <w:szCs w:val="21"/>
        </w:rPr>
        <w:t>.领会</w:t>
      </w:r>
      <w:r>
        <w:rPr>
          <w:rFonts w:ascii="宋体" w:hAnsi="宋体" w:hint="eastAsia"/>
          <w:szCs w:val="21"/>
        </w:rPr>
        <w:t>：塑料</w:t>
      </w:r>
      <w:r>
        <w:rPr>
          <w:rFonts w:ascii="宋体" w:hAnsi="宋体"/>
          <w:szCs w:val="21"/>
        </w:rPr>
        <w:t>大棚、日光温室、连栋温室的建造程序</w:t>
      </w:r>
    </w:p>
    <w:p w14:paraId="087254B2"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2</w:t>
      </w:r>
      <w:r>
        <w:rPr>
          <w:rFonts w:ascii="宋体" w:hAnsi="宋体" w:hint="eastAsia"/>
          <w:b/>
          <w:szCs w:val="21"/>
        </w:rPr>
        <w:t>.应用</w:t>
      </w:r>
      <w:r>
        <w:rPr>
          <w:rFonts w:ascii="宋体" w:hAnsi="宋体" w:hint="eastAsia"/>
          <w:szCs w:val="21"/>
        </w:rPr>
        <w:t>：</w:t>
      </w:r>
      <w:r>
        <w:rPr>
          <w:rFonts w:ascii="宋体" w:hAnsi="宋体" w:hint="eastAsia"/>
          <w:bCs/>
          <w:szCs w:val="21"/>
        </w:rPr>
        <w:t>定位放线、</w:t>
      </w:r>
      <w:r>
        <w:rPr>
          <w:rFonts w:ascii="宋体" w:hAnsi="宋体"/>
          <w:bCs/>
          <w:szCs w:val="21"/>
        </w:rPr>
        <w:t>土方工程、</w:t>
      </w:r>
      <w:r>
        <w:rPr>
          <w:rFonts w:ascii="宋体" w:hAnsi="宋体" w:hint="eastAsia"/>
          <w:bCs/>
          <w:szCs w:val="21"/>
        </w:rPr>
        <w:t>基础工程</w:t>
      </w:r>
      <w:r>
        <w:rPr>
          <w:rFonts w:ascii="宋体" w:hAnsi="宋体"/>
          <w:bCs/>
          <w:szCs w:val="21"/>
        </w:rPr>
        <w:t>、砌筑工程、金属工程</w:t>
      </w:r>
      <w:r>
        <w:rPr>
          <w:rFonts w:ascii="宋体" w:hAnsi="宋体" w:hint="eastAsia"/>
          <w:bCs/>
          <w:szCs w:val="21"/>
        </w:rPr>
        <w:t>、</w:t>
      </w:r>
      <w:r>
        <w:rPr>
          <w:rFonts w:ascii="宋体" w:hAnsi="宋体"/>
          <w:bCs/>
          <w:szCs w:val="21"/>
        </w:rPr>
        <w:t>覆膜</w:t>
      </w:r>
      <w:r>
        <w:rPr>
          <w:rFonts w:ascii="宋体" w:hAnsi="宋体" w:hint="eastAsia"/>
          <w:bCs/>
          <w:szCs w:val="21"/>
        </w:rPr>
        <w:t>的技术要点</w:t>
      </w:r>
    </w:p>
    <w:p w14:paraId="2527F659"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lastRenderedPageBreak/>
        <w:t>3</w:t>
      </w:r>
      <w:r>
        <w:rPr>
          <w:rFonts w:ascii="宋体" w:hAnsi="宋体" w:hint="eastAsia"/>
          <w:b/>
          <w:szCs w:val="21"/>
        </w:rPr>
        <w:t>.综合</w:t>
      </w:r>
      <w:r>
        <w:rPr>
          <w:rFonts w:ascii="宋体" w:hAnsi="宋体" w:hint="eastAsia"/>
          <w:szCs w:val="21"/>
        </w:rPr>
        <w:t>：</w:t>
      </w:r>
      <w:r>
        <w:rPr>
          <w:rFonts w:ascii="宋体" w:hAnsi="宋体" w:hint="eastAsia"/>
          <w:bCs/>
          <w:szCs w:val="21"/>
        </w:rPr>
        <w:t>园艺设施建造管理</w:t>
      </w:r>
    </w:p>
    <w:p w14:paraId="09228B54" w14:textId="77777777" w:rsidR="00F5289E" w:rsidRDefault="00C91173">
      <w:pPr>
        <w:pStyle w:val="a9"/>
        <w:spacing w:line="360" w:lineRule="auto"/>
        <w:rPr>
          <w:b/>
          <w:bCs/>
        </w:rPr>
      </w:pPr>
      <w:r>
        <w:rPr>
          <w:rFonts w:hint="eastAsia"/>
          <w:b/>
          <w:bCs/>
        </w:rPr>
        <w:t>三、实验、实习教学部分的考核要求</w:t>
      </w:r>
    </w:p>
    <w:p w14:paraId="0D47C493" w14:textId="77777777" w:rsidR="00F5289E" w:rsidRDefault="00C91173">
      <w:pPr>
        <w:widowControl/>
        <w:adjustRightInd w:val="0"/>
        <w:snapToGrid w:val="0"/>
        <w:spacing w:line="360" w:lineRule="auto"/>
        <w:ind w:firstLineChars="200" w:firstLine="420"/>
        <w:jc w:val="left"/>
        <w:rPr>
          <w:rFonts w:ascii="宋体" w:hAnsi="宋体" w:cs="宋体"/>
          <w:kern w:val="0"/>
          <w:szCs w:val="21"/>
        </w:rPr>
      </w:pPr>
      <w:r>
        <w:rPr>
          <w:rFonts w:ascii="宋体" w:hAnsi="宋体" w:cs="宋体" w:hint="eastAsia"/>
          <w:bCs/>
          <w:kern w:val="0"/>
          <w:szCs w:val="21"/>
        </w:rPr>
        <w:t>1.</w:t>
      </w:r>
      <w:r>
        <w:rPr>
          <w:rFonts w:ascii="宋体" w:hAnsi="宋体" w:cs="宋体" w:hint="eastAsia"/>
          <w:kern w:val="0"/>
          <w:szCs w:val="21"/>
        </w:rPr>
        <w:t>园艺设施学实验课是在学习理论课的基础上学生运用已学知识设计实验或进行验证性的实验，巩固和加深对课程中基本理论知识的理解，训练学生理论知识的运用能力、实验操作技能、实验数据的处理和分析能力。实验成绩实验结果评价占80%，出勤占20%。</w:t>
      </w:r>
    </w:p>
    <w:p w14:paraId="154CF194" w14:textId="77777777" w:rsidR="00F5289E" w:rsidRDefault="00C91173">
      <w:pPr>
        <w:adjustRightInd w:val="0"/>
        <w:snapToGrid w:val="0"/>
        <w:spacing w:line="360" w:lineRule="auto"/>
        <w:ind w:firstLineChars="200" w:firstLine="420"/>
        <w:rPr>
          <w:rFonts w:ascii="宋体" w:hAnsi="宋体"/>
        </w:rPr>
      </w:pPr>
      <w:r>
        <w:rPr>
          <w:rFonts w:ascii="宋体" w:hAnsi="宋体" w:cs="宋体" w:hint="eastAsia"/>
          <w:bCs/>
          <w:kern w:val="0"/>
          <w:szCs w:val="21"/>
        </w:rPr>
        <w:t>2.</w:t>
      </w:r>
      <w:r>
        <w:rPr>
          <w:rFonts w:ascii="宋体" w:hAnsi="宋体" w:hint="eastAsia"/>
        </w:rPr>
        <w:t>农业设施工程学教学实习主要安排农业园区实践活动，是学生学习园艺设施学的重要实践教学环节，其目的是使学生通过现场观察，亲自实际操作，锻炼学生实际动手能力。学生应完成教学实习，写出实习报告，</w:t>
      </w:r>
      <w:r>
        <w:rPr>
          <w:rFonts w:ascii="宋体" w:hAnsi="宋体" w:hint="eastAsia"/>
          <w:szCs w:val="21"/>
        </w:rPr>
        <w:t>实习教学部分采用考勤和综合性实验报告两者相结合的方式进行考核，</w:t>
      </w:r>
      <w:r>
        <w:rPr>
          <w:rFonts w:ascii="宋体" w:hAnsi="宋体" w:hint="eastAsia"/>
        </w:rPr>
        <w:t>根据实习报告和在实习中的实际表现，按优秀、良好、及格和不及格四级评定成绩，记入档案。</w:t>
      </w:r>
    </w:p>
    <w:p w14:paraId="43DC7AC1" w14:textId="77777777" w:rsidR="00F5289E" w:rsidRDefault="00C91173">
      <w:pPr>
        <w:pStyle w:val="a9"/>
        <w:spacing w:line="360" w:lineRule="auto"/>
        <w:rPr>
          <w:b/>
          <w:bCs/>
        </w:rPr>
      </w:pPr>
      <w:r>
        <w:rPr>
          <w:rFonts w:hint="eastAsia"/>
          <w:b/>
          <w:bCs/>
        </w:rPr>
        <w:t>四、考核方式</w:t>
      </w:r>
    </w:p>
    <w:p w14:paraId="7C5E1C98" w14:textId="77777777" w:rsidR="00F5289E" w:rsidRDefault="00C91173">
      <w:pPr>
        <w:snapToGrid w:val="0"/>
        <w:spacing w:line="360" w:lineRule="auto"/>
        <w:ind w:firstLineChars="200" w:firstLine="420"/>
        <w:rPr>
          <w:rFonts w:eastAsiaTheme="majorEastAsia"/>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评价和终结性评价各占</w:t>
      </w:r>
      <w:r>
        <w:rPr>
          <w:rFonts w:eastAsiaTheme="majorEastAsia"/>
          <w:szCs w:val="21"/>
        </w:rPr>
        <w:t>50%</w:t>
      </w:r>
      <w:r>
        <w:rPr>
          <w:rFonts w:eastAsiaTheme="majorEastAsia"/>
          <w:szCs w:val="21"/>
        </w:rPr>
        <w:t>。</w:t>
      </w:r>
    </w:p>
    <w:p w14:paraId="417BF54B"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1.</w:t>
      </w:r>
      <w:r>
        <w:rPr>
          <w:rFonts w:hAnsi="宋体" w:hint="eastAsia"/>
          <w:b/>
          <w:bCs/>
          <w:kern w:val="0"/>
          <w:szCs w:val="21"/>
        </w:rPr>
        <w:t>过程性评价：</w:t>
      </w:r>
      <w:r>
        <w:rPr>
          <w:rFonts w:eastAsiaTheme="majorEastAsia"/>
          <w:szCs w:val="21"/>
        </w:rPr>
        <w:t>过程</w:t>
      </w:r>
      <w:r>
        <w:rPr>
          <w:rFonts w:eastAsiaTheme="majorEastAsia" w:hint="eastAsia"/>
          <w:szCs w:val="21"/>
        </w:rPr>
        <w:t>性</w:t>
      </w:r>
      <w:r>
        <w:rPr>
          <w:rFonts w:eastAsiaTheme="majorEastAsia"/>
          <w:szCs w:val="21"/>
        </w:rPr>
        <w:t>评价计分点主要包括对课前学习、考勤、课堂测试、课堂讨论、单元测试、研究性学习报告、温室创新改良大赛、温室模型设计制作大赛的考评</w:t>
      </w:r>
      <w:r>
        <w:rPr>
          <w:rFonts w:eastAsiaTheme="majorEastAsia" w:hint="eastAsia"/>
          <w:szCs w:val="21"/>
        </w:rPr>
        <w:t>结果</w:t>
      </w:r>
      <w:r>
        <w:rPr>
          <w:rFonts w:eastAsiaTheme="majorEastAsia"/>
          <w:szCs w:val="21"/>
        </w:rPr>
        <w:t>。</w:t>
      </w:r>
    </w:p>
    <w:p w14:paraId="4B7E24AC" w14:textId="77777777" w:rsidR="00F5289E" w:rsidRDefault="00C91173">
      <w:pPr>
        <w:spacing w:line="360" w:lineRule="auto"/>
        <w:ind w:firstLineChars="200" w:firstLine="422"/>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eastAsiaTheme="majorEastAsia"/>
          <w:szCs w:val="21"/>
        </w:rPr>
        <w:t>终结性考核以产业需要和行业要求为导向，设计具有综合性、开放性、延伸性的题目。</w:t>
      </w:r>
    </w:p>
    <w:p w14:paraId="4151BFF0" w14:textId="77777777" w:rsidR="00F5289E" w:rsidRDefault="00C91173">
      <w:pPr>
        <w:pStyle w:val="a9"/>
        <w:spacing w:line="360" w:lineRule="auto"/>
        <w:rPr>
          <w:b/>
          <w:bCs/>
        </w:rPr>
      </w:pPr>
      <w:r>
        <w:rPr>
          <w:rFonts w:hint="eastAsia"/>
          <w:b/>
          <w:bCs/>
        </w:rPr>
        <w:t>五、成绩评定</w:t>
      </w:r>
    </w:p>
    <w:p w14:paraId="783D31C7"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color w:val="000000" w:themeColor="text1"/>
          <w:szCs w:val="21"/>
        </w:rPr>
        <w:t>1.平时成绩</w:t>
      </w:r>
      <w:r>
        <w:rPr>
          <w:rFonts w:eastAsiaTheme="majorEastAsia"/>
          <w:szCs w:val="21"/>
        </w:rPr>
        <w:t>计分点主要包括对</w:t>
      </w:r>
      <w:r>
        <w:rPr>
          <w:rFonts w:eastAsiaTheme="majorEastAsia" w:hint="eastAsia"/>
          <w:szCs w:val="21"/>
        </w:rPr>
        <w:t>线上平台</w:t>
      </w:r>
      <w:r>
        <w:rPr>
          <w:rFonts w:eastAsiaTheme="majorEastAsia"/>
          <w:szCs w:val="21"/>
        </w:rPr>
        <w:t>学习、考勤、课堂测试、课堂讨论、单元测试、研究性学习报告、</w:t>
      </w:r>
      <w:r>
        <w:rPr>
          <w:rFonts w:eastAsiaTheme="majorEastAsia" w:hint="eastAsia"/>
          <w:szCs w:val="21"/>
        </w:rPr>
        <w:t>实验报告和图纸、</w:t>
      </w:r>
      <w:r>
        <w:rPr>
          <w:rFonts w:eastAsiaTheme="majorEastAsia"/>
          <w:szCs w:val="21"/>
        </w:rPr>
        <w:t>温室创新改良大赛、温室模型设计制作大赛的考评。学生在学习过程中的行为均被记录并评分，得出平时成绩，其中，</w:t>
      </w:r>
      <w:r>
        <w:rPr>
          <w:rFonts w:eastAsiaTheme="majorEastAsia" w:hint="eastAsia"/>
          <w:szCs w:val="21"/>
        </w:rPr>
        <w:t>线上平台</w:t>
      </w:r>
      <w:r>
        <w:rPr>
          <w:rFonts w:eastAsiaTheme="majorEastAsia"/>
          <w:szCs w:val="21"/>
        </w:rPr>
        <w:t>学习、考勤、课堂测试、课堂讨论各占</w:t>
      </w:r>
      <w:r>
        <w:rPr>
          <w:rFonts w:eastAsiaTheme="majorEastAsia"/>
          <w:szCs w:val="21"/>
        </w:rPr>
        <w:t>5%</w:t>
      </w:r>
      <w:r>
        <w:rPr>
          <w:rFonts w:eastAsiaTheme="majorEastAsia"/>
          <w:szCs w:val="21"/>
        </w:rPr>
        <w:t>，</w:t>
      </w:r>
      <w:r>
        <w:rPr>
          <w:rFonts w:eastAsiaTheme="majorEastAsia" w:hint="eastAsia"/>
          <w:szCs w:val="21"/>
        </w:rPr>
        <w:t>3</w:t>
      </w:r>
      <w:r>
        <w:rPr>
          <w:rFonts w:eastAsiaTheme="majorEastAsia" w:hint="eastAsia"/>
          <w:szCs w:val="21"/>
        </w:rPr>
        <w:t>次实验报告和图纸</w:t>
      </w:r>
      <w:r>
        <w:rPr>
          <w:rFonts w:eastAsiaTheme="majorEastAsia"/>
          <w:szCs w:val="21"/>
        </w:rPr>
        <w:t>占</w:t>
      </w:r>
      <w:r>
        <w:rPr>
          <w:rFonts w:eastAsiaTheme="majorEastAsia"/>
          <w:szCs w:val="21"/>
        </w:rPr>
        <w:t>15%</w:t>
      </w:r>
      <w:r>
        <w:rPr>
          <w:rFonts w:eastAsiaTheme="majorEastAsia" w:hint="eastAsia"/>
          <w:szCs w:val="21"/>
        </w:rPr>
        <w:t>，</w:t>
      </w:r>
      <w:r>
        <w:rPr>
          <w:rFonts w:eastAsiaTheme="majorEastAsia" w:hint="eastAsia"/>
          <w:szCs w:val="21"/>
        </w:rPr>
        <w:t>3</w:t>
      </w:r>
      <w:r>
        <w:rPr>
          <w:rFonts w:eastAsiaTheme="majorEastAsia" w:hint="eastAsia"/>
          <w:szCs w:val="21"/>
        </w:rPr>
        <w:t>次</w:t>
      </w:r>
      <w:r>
        <w:rPr>
          <w:rFonts w:eastAsiaTheme="majorEastAsia"/>
          <w:szCs w:val="21"/>
        </w:rPr>
        <w:t>单元测试占</w:t>
      </w:r>
      <w:r>
        <w:rPr>
          <w:rFonts w:eastAsiaTheme="majorEastAsia"/>
          <w:szCs w:val="21"/>
        </w:rPr>
        <w:t>15%</w:t>
      </w:r>
      <w:r>
        <w:rPr>
          <w:rFonts w:eastAsiaTheme="majorEastAsia"/>
          <w:szCs w:val="21"/>
        </w:rPr>
        <w:t>，研究性学习报告、温室创新改良大赛和温室模型设计制作大赛共占</w:t>
      </w:r>
      <w:r>
        <w:rPr>
          <w:rFonts w:eastAsiaTheme="majorEastAsia"/>
          <w:szCs w:val="21"/>
        </w:rPr>
        <w:t>50%</w:t>
      </w:r>
      <w:r>
        <w:rPr>
          <w:rFonts w:eastAsiaTheme="majorEastAsia" w:hint="eastAsia"/>
          <w:szCs w:val="21"/>
        </w:rPr>
        <w:t>，并采取学生和教师共同评价的方式</w:t>
      </w:r>
      <w:r>
        <w:rPr>
          <w:rFonts w:eastAsiaTheme="majorEastAsia"/>
          <w:szCs w:val="21"/>
        </w:rPr>
        <w:t>。</w:t>
      </w:r>
    </w:p>
    <w:p w14:paraId="5EAB8618"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2.期末成绩</w:t>
      </w:r>
      <w:r>
        <w:rPr>
          <w:rFonts w:ascii="宋体" w:hAnsi="宋体" w:hint="eastAsia"/>
        </w:rPr>
        <w:t>笔试闭卷；占总成绩50%。</w:t>
      </w:r>
    </w:p>
    <w:p w14:paraId="754428A6" w14:textId="77777777" w:rsidR="00F5289E" w:rsidRDefault="00C91173">
      <w:pPr>
        <w:snapToGrid w:val="0"/>
        <w:spacing w:line="360" w:lineRule="auto"/>
        <w:ind w:leftChars="42" w:left="88" w:rightChars="58" w:right="122" w:firstLineChars="154" w:firstLine="323"/>
        <w:jc w:val="left"/>
        <w:rPr>
          <w:rFonts w:ascii="宋体" w:hAnsi="宋体"/>
          <w:bCs/>
          <w:color w:val="0000FF"/>
          <w:szCs w:val="21"/>
        </w:rPr>
      </w:pPr>
      <w:r>
        <w:rPr>
          <w:rFonts w:ascii="宋体" w:hAnsi="宋体" w:hint="eastAsia"/>
          <w:color w:val="000000" w:themeColor="text1"/>
        </w:rPr>
        <w:t>3.综合成绩中</w:t>
      </w:r>
      <w:r>
        <w:rPr>
          <w:rFonts w:ascii="宋体" w:hAnsi="宋体" w:hint="eastAsia"/>
        </w:rPr>
        <w:t>平时成绩占</w:t>
      </w:r>
      <w:r>
        <w:rPr>
          <w:rFonts w:ascii="宋体" w:hAnsi="宋体"/>
        </w:rPr>
        <w:t>5</w:t>
      </w:r>
      <w:r>
        <w:rPr>
          <w:rFonts w:ascii="宋体" w:hAnsi="宋体" w:hint="eastAsia"/>
        </w:rPr>
        <w:t>0%，期末成绩占</w:t>
      </w:r>
      <w:r>
        <w:rPr>
          <w:rFonts w:ascii="宋体" w:hAnsi="宋体"/>
        </w:rPr>
        <w:t>5</w:t>
      </w:r>
      <w:r>
        <w:rPr>
          <w:rFonts w:ascii="宋体" w:hAnsi="宋体" w:hint="eastAsia"/>
        </w:rPr>
        <w:t>0%。</w:t>
      </w:r>
    </w:p>
    <w:p w14:paraId="52D851A7" w14:textId="77777777" w:rsidR="00F5289E" w:rsidRDefault="00C91173">
      <w:pPr>
        <w:pStyle w:val="a9"/>
        <w:spacing w:line="360" w:lineRule="auto"/>
        <w:rPr>
          <w:b/>
          <w:bCs/>
        </w:rPr>
      </w:pPr>
      <w:r>
        <w:rPr>
          <w:rFonts w:hint="eastAsia"/>
          <w:b/>
          <w:bCs/>
        </w:rPr>
        <w:t>六、考核结果分析反馈</w:t>
      </w:r>
    </w:p>
    <w:p w14:paraId="4FC15C7E" w14:textId="77777777" w:rsidR="00F5289E" w:rsidRDefault="00C91173">
      <w:pPr>
        <w:adjustRightInd w:val="0"/>
        <w:snapToGrid w:val="0"/>
        <w:spacing w:line="360" w:lineRule="auto"/>
        <w:ind w:firstLineChars="150" w:firstLine="315"/>
        <w:rPr>
          <w:rFonts w:ascii="宋体" w:hAnsi="宋体"/>
          <w:bCs/>
          <w:szCs w:val="21"/>
        </w:rPr>
      </w:pPr>
      <w:r>
        <w:rPr>
          <w:rFonts w:ascii="宋体" w:hAnsi="宋体" w:hint="eastAsia"/>
          <w:bCs/>
          <w:szCs w:val="21"/>
        </w:rPr>
        <w:t>为了教学目标能够</w:t>
      </w:r>
      <w:r>
        <w:rPr>
          <w:rFonts w:ascii="宋体" w:hAnsi="宋体"/>
          <w:bCs/>
          <w:szCs w:val="21"/>
        </w:rPr>
        <w:t>有效达成，非常有必要了解学生情况，</w:t>
      </w:r>
      <w:r>
        <w:rPr>
          <w:rFonts w:ascii="宋体" w:hAnsi="宋体" w:hint="eastAsia"/>
          <w:bCs/>
          <w:szCs w:val="21"/>
        </w:rPr>
        <w:t>及时引导</w:t>
      </w:r>
      <w:r>
        <w:rPr>
          <w:rFonts w:ascii="宋体" w:hAnsi="宋体"/>
          <w:bCs/>
          <w:szCs w:val="21"/>
        </w:rPr>
        <w:t>学生，调整授课</w:t>
      </w:r>
      <w:r>
        <w:rPr>
          <w:rFonts w:ascii="宋体" w:hAnsi="宋体" w:hint="eastAsia"/>
          <w:bCs/>
          <w:szCs w:val="21"/>
        </w:rPr>
        <w:t>手段</w:t>
      </w:r>
      <w:r>
        <w:rPr>
          <w:rFonts w:ascii="宋体" w:hAnsi="宋体"/>
          <w:bCs/>
          <w:szCs w:val="21"/>
        </w:rPr>
        <w:t>和模式</w:t>
      </w:r>
      <w:r>
        <w:rPr>
          <w:rFonts w:ascii="宋体" w:hAnsi="宋体" w:hint="eastAsia"/>
          <w:bCs/>
          <w:szCs w:val="21"/>
        </w:rPr>
        <w:t>。从</w:t>
      </w:r>
      <w:r>
        <w:rPr>
          <w:rFonts w:ascii="宋体" w:hAnsi="宋体"/>
          <w:bCs/>
          <w:szCs w:val="21"/>
        </w:rPr>
        <w:t>过程性考核和结果性考核两个方面，通过</w:t>
      </w:r>
      <w:r>
        <w:rPr>
          <w:rFonts w:ascii="宋体" w:hAnsi="宋体" w:hint="eastAsia"/>
          <w:bCs/>
          <w:szCs w:val="21"/>
        </w:rPr>
        <w:t>以下</w:t>
      </w:r>
      <w:r>
        <w:rPr>
          <w:rFonts w:ascii="宋体" w:hAnsi="宋体"/>
          <w:bCs/>
          <w:szCs w:val="21"/>
        </w:rPr>
        <w:t>方式</w:t>
      </w:r>
      <w:r>
        <w:rPr>
          <w:rFonts w:ascii="宋体" w:hAnsi="宋体" w:hint="eastAsia"/>
          <w:bCs/>
          <w:szCs w:val="21"/>
        </w:rPr>
        <w:t>提高学习</w:t>
      </w:r>
      <w:r>
        <w:rPr>
          <w:rFonts w:ascii="宋体" w:hAnsi="宋体"/>
          <w:bCs/>
          <w:szCs w:val="21"/>
        </w:rPr>
        <w:t>的有效性</w:t>
      </w:r>
      <w:r>
        <w:rPr>
          <w:rFonts w:ascii="宋体" w:hAnsi="宋体" w:hint="eastAsia"/>
          <w:bCs/>
          <w:szCs w:val="21"/>
        </w:rPr>
        <w:t>和</w:t>
      </w:r>
      <w:r>
        <w:rPr>
          <w:rFonts w:ascii="宋体" w:hAnsi="宋体"/>
          <w:bCs/>
          <w:szCs w:val="21"/>
        </w:rPr>
        <w:t>考核结果的可反馈性：</w:t>
      </w:r>
    </w:p>
    <w:p w14:paraId="48062C08" w14:textId="77777777" w:rsidR="00F5289E" w:rsidRDefault="00C91173">
      <w:pPr>
        <w:adjustRightInd w:val="0"/>
        <w:snapToGrid w:val="0"/>
        <w:spacing w:line="360" w:lineRule="auto"/>
        <w:ind w:firstLineChars="200" w:firstLine="420"/>
        <w:rPr>
          <w:rFonts w:ascii="宋体" w:hAnsi="宋体"/>
          <w:bCs/>
          <w:szCs w:val="21"/>
        </w:rPr>
      </w:pPr>
      <w:r>
        <w:rPr>
          <w:rFonts w:ascii="宋体" w:hAnsi="宋体" w:hint="eastAsia"/>
          <w:bCs/>
          <w:szCs w:val="21"/>
        </w:rPr>
        <w:t>1.过程性</w:t>
      </w:r>
      <w:r>
        <w:rPr>
          <w:rFonts w:ascii="宋体" w:hAnsi="宋体"/>
          <w:bCs/>
          <w:szCs w:val="21"/>
        </w:rPr>
        <w:t>考核</w:t>
      </w:r>
      <w:r>
        <w:rPr>
          <w:rFonts w:ascii="宋体" w:hAnsi="宋体" w:hint="eastAsia"/>
          <w:bCs/>
          <w:szCs w:val="21"/>
        </w:rPr>
        <w:t>结果</w:t>
      </w:r>
      <w:r>
        <w:rPr>
          <w:rFonts w:ascii="宋体" w:hAnsi="宋体"/>
          <w:bCs/>
          <w:szCs w:val="21"/>
        </w:rPr>
        <w:t>分析</w:t>
      </w:r>
    </w:p>
    <w:p w14:paraId="2FD41C14"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1</w:t>
      </w:r>
      <w:r>
        <w:rPr>
          <w:szCs w:val="21"/>
        </w:rPr>
        <w:t>）</w:t>
      </w:r>
      <w:r>
        <w:rPr>
          <w:rFonts w:hint="eastAsia"/>
          <w:szCs w:val="21"/>
        </w:rPr>
        <w:t>通过提交思维导图</w:t>
      </w:r>
      <w:r>
        <w:rPr>
          <w:szCs w:val="21"/>
        </w:rPr>
        <w:t>，</w:t>
      </w:r>
      <w:r>
        <w:rPr>
          <w:rFonts w:hint="eastAsia"/>
          <w:szCs w:val="21"/>
        </w:rPr>
        <w:t>教师及时发现</w:t>
      </w:r>
      <w:r>
        <w:rPr>
          <w:szCs w:val="21"/>
        </w:rPr>
        <w:t>学生</w:t>
      </w:r>
      <w:r>
        <w:rPr>
          <w:rFonts w:hint="eastAsia"/>
          <w:szCs w:val="21"/>
        </w:rPr>
        <w:t>课前学习</w:t>
      </w:r>
      <w:r>
        <w:rPr>
          <w:szCs w:val="21"/>
        </w:rPr>
        <w:t>中存在的问题、不足和优点有那些，</w:t>
      </w:r>
      <w:r>
        <w:rPr>
          <w:rFonts w:hint="eastAsia"/>
          <w:szCs w:val="21"/>
        </w:rPr>
        <w:t>通过</w:t>
      </w:r>
      <w:r>
        <w:rPr>
          <w:szCs w:val="21"/>
        </w:rPr>
        <w:t>思维导图讲评，给出正确的建议和方法。</w:t>
      </w:r>
    </w:p>
    <w:p w14:paraId="7745F7B0" w14:textId="77777777" w:rsidR="00F5289E" w:rsidRDefault="00C91173">
      <w:pPr>
        <w:adjustRightInd w:val="0"/>
        <w:snapToGrid w:val="0"/>
        <w:spacing w:line="360" w:lineRule="auto"/>
        <w:ind w:firstLineChars="200" w:firstLine="420"/>
        <w:rPr>
          <w:szCs w:val="21"/>
        </w:rPr>
      </w:pPr>
      <w:r>
        <w:rPr>
          <w:rFonts w:hint="eastAsia"/>
          <w:szCs w:val="21"/>
        </w:rPr>
        <w:t>（</w:t>
      </w:r>
      <w:r>
        <w:rPr>
          <w:szCs w:val="21"/>
        </w:rPr>
        <w:t>2</w:t>
      </w:r>
      <w:r>
        <w:rPr>
          <w:rFonts w:hint="eastAsia"/>
          <w:szCs w:val="21"/>
        </w:rPr>
        <w:t>）</w:t>
      </w:r>
      <w:r>
        <w:rPr>
          <w:szCs w:val="21"/>
        </w:rPr>
        <w:t>通过课堂</w:t>
      </w:r>
      <w:r>
        <w:rPr>
          <w:rFonts w:hint="eastAsia"/>
          <w:szCs w:val="21"/>
        </w:rPr>
        <w:t>讨论</w:t>
      </w:r>
      <w:r>
        <w:rPr>
          <w:szCs w:val="21"/>
        </w:rPr>
        <w:t>，及时发现</w:t>
      </w:r>
      <w:r>
        <w:rPr>
          <w:rFonts w:hint="eastAsia"/>
          <w:szCs w:val="21"/>
        </w:rPr>
        <w:t>课前</w:t>
      </w:r>
      <w:r>
        <w:rPr>
          <w:szCs w:val="21"/>
        </w:rPr>
        <w:t>学习的</w:t>
      </w:r>
      <w:r>
        <w:rPr>
          <w:rFonts w:hint="eastAsia"/>
          <w:szCs w:val="21"/>
        </w:rPr>
        <w:t>系统</w:t>
      </w:r>
      <w:r>
        <w:rPr>
          <w:szCs w:val="21"/>
        </w:rPr>
        <w:t>问题，解决问题</w:t>
      </w:r>
      <w:r>
        <w:rPr>
          <w:rFonts w:hint="eastAsia"/>
          <w:szCs w:val="21"/>
        </w:rPr>
        <w:t>。</w:t>
      </w:r>
    </w:p>
    <w:p w14:paraId="523C25A1"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3</w:t>
      </w:r>
      <w:r>
        <w:rPr>
          <w:rFonts w:hint="eastAsia"/>
          <w:szCs w:val="21"/>
        </w:rPr>
        <w:t>）</w:t>
      </w:r>
      <w:r>
        <w:rPr>
          <w:szCs w:val="21"/>
        </w:rPr>
        <w:t>通过</w:t>
      </w:r>
      <w:r>
        <w:rPr>
          <w:rFonts w:hint="eastAsia"/>
          <w:szCs w:val="21"/>
        </w:rPr>
        <w:t>课后思维导图反思</w:t>
      </w:r>
      <w:r>
        <w:rPr>
          <w:szCs w:val="21"/>
        </w:rPr>
        <w:t>修改</w:t>
      </w:r>
      <w:r>
        <w:rPr>
          <w:rFonts w:hint="eastAsia"/>
          <w:szCs w:val="21"/>
        </w:rPr>
        <w:t>，</w:t>
      </w:r>
      <w:r>
        <w:rPr>
          <w:szCs w:val="21"/>
        </w:rPr>
        <w:t>加深学生对重点知识的理解</w:t>
      </w:r>
      <w:r>
        <w:rPr>
          <w:rFonts w:hint="eastAsia"/>
          <w:szCs w:val="21"/>
        </w:rPr>
        <w:t>。</w:t>
      </w:r>
    </w:p>
    <w:p w14:paraId="687C73B8"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4</w:t>
      </w:r>
      <w:r>
        <w:rPr>
          <w:rFonts w:hint="eastAsia"/>
          <w:szCs w:val="21"/>
        </w:rPr>
        <w:t>）</w:t>
      </w:r>
      <w:r>
        <w:rPr>
          <w:szCs w:val="21"/>
        </w:rPr>
        <w:t>通过</w:t>
      </w:r>
      <w:r>
        <w:rPr>
          <w:rFonts w:hint="eastAsia"/>
          <w:szCs w:val="21"/>
        </w:rPr>
        <w:t>课堂测验和</w:t>
      </w:r>
      <w:r>
        <w:rPr>
          <w:szCs w:val="21"/>
        </w:rPr>
        <w:t>单元测试，及时</w:t>
      </w:r>
      <w:r>
        <w:rPr>
          <w:rFonts w:hint="eastAsia"/>
          <w:szCs w:val="21"/>
        </w:rPr>
        <w:t>发现学生知识</w:t>
      </w:r>
      <w:r>
        <w:rPr>
          <w:szCs w:val="21"/>
        </w:rPr>
        <w:t>遗漏点</w:t>
      </w:r>
      <w:r>
        <w:rPr>
          <w:rFonts w:hint="eastAsia"/>
          <w:szCs w:val="21"/>
        </w:rPr>
        <w:t>，</w:t>
      </w:r>
      <w:r>
        <w:rPr>
          <w:szCs w:val="21"/>
        </w:rPr>
        <w:t>解决遗漏点</w:t>
      </w:r>
      <w:r>
        <w:rPr>
          <w:rFonts w:hint="eastAsia"/>
          <w:szCs w:val="21"/>
        </w:rPr>
        <w:t>，教师</w:t>
      </w:r>
      <w:r>
        <w:rPr>
          <w:szCs w:val="21"/>
        </w:rPr>
        <w:t>反思</w:t>
      </w:r>
      <w:r>
        <w:rPr>
          <w:rFonts w:hint="eastAsia"/>
          <w:szCs w:val="21"/>
        </w:rPr>
        <w:t>教学</w:t>
      </w:r>
      <w:r>
        <w:rPr>
          <w:szCs w:val="21"/>
        </w:rPr>
        <w:t>组织的</w:t>
      </w:r>
      <w:r>
        <w:rPr>
          <w:rFonts w:hint="eastAsia"/>
          <w:szCs w:val="21"/>
        </w:rPr>
        <w:t>遗漏</w:t>
      </w:r>
      <w:r>
        <w:rPr>
          <w:szCs w:val="21"/>
        </w:rPr>
        <w:t>，及时</w:t>
      </w:r>
      <w:r>
        <w:rPr>
          <w:rFonts w:hint="eastAsia"/>
          <w:szCs w:val="21"/>
        </w:rPr>
        <w:t>改进</w:t>
      </w:r>
      <w:r>
        <w:rPr>
          <w:szCs w:val="21"/>
        </w:rPr>
        <w:t>授课模式</w:t>
      </w:r>
      <w:r>
        <w:rPr>
          <w:rFonts w:hint="eastAsia"/>
          <w:szCs w:val="21"/>
        </w:rPr>
        <w:t>。</w:t>
      </w:r>
    </w:p>
    <w:p w14:paraId="097038B5" w14:textId="77777777" w:rsidR="00F5289E" w:rsidRDefault="00C91173">
      <w:pPr>
        <w:adjustRightInd w:val="0"/>
        <w:snapToGrid w:val="0"/>
        <w:spacing w:line="360" w:lineRule="auto"/>
        <w:ind w:firstLineChars="200" w:firstLine="420"/>
        <w:rPr>
          <w:szCs w:val="21"/>
        </w:rPr>
      </w:pPr>
      <w:r>
        <w:rPr>
          <w:rFonts w:hint="eastAsia"/>
          <w:szCs w:val="21"/>
        </w:rPr>
        <w:lastRenderedPageBreak/>
        <w:t>2.</w:t>
      </w:r>
      <w:r>
        <w:rPr>
          <w:rFonts w:hint="eastAsia"/>
          <w:szCs w:val="21"/>
        </w:rPr>
        <w:t>结果性</w:t>
      </w:r>
      <w:r>
        <w:rPr>
          <w:szCs w:val="21"/>
        </w:rPr>
        <w:t>考核结果</w:t>
      </w:r>
      <w:r>
        <w:rPr>
          <w:rFonts w:hint="eastAsia"/>
          <w:szCs w:val="21"/>
        </w:rPr>
        <w:t>分析</w:t>
      </w:r>
    </w:p>
    <w:p w14:paraId="313C2995"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1</w:t>
      </w:r>
      <w:r>
        <w:rPr>
          <w:szCs w:val="21"/>
        </w:rPr>
        <w:t>）</w:t>
      </w:r>
      <w:r>
        <w:rPr>
          <w:rFonts w:hint="eastAsia"/>
          <w:szCs w:val="21"/>
        </w:rPr>
        <w:t>本门课程的整体考试情况（包括使用同一试卷考试班级和本班考试成绩情况）：结合成绩分布情况，从难度、信度、效度、区分度等方面进行分析。</w:t>
      </w:r>
    </w:p>
    <w:p w14:paraId="6C140AF3" w14:textId="77777777" w:rsidR="00F5289E" w:rsidRDefault="00C91173">
      <w:pPr>
        <w:adjustRightInd w:val="0"/>
        <w:snapToGrid w:val="0"/>
        <w:spacing w:line="360" w:lineRule="auto"/>
        <w:ind w:firstLineChars="200" w:firstLine="420"/>
        <w:rPr>
          <w:szCs w:val="21"/>
        </w:rPr>
      </w:pPr>
      <w:r>
        <w:rPr>
          <w:rFonts w:hint="eastAsia"/>
          <w:szCs w:val="21"/>
        </w:rPr>
        <w:t>（</w:t>
      </w:r>
      <w:r>
        <w:rPr>
          <w:szCs w:val="21"/>
        </w:rPr>
        <w:t>2</w:t>
      </w:r>
      <w:r>
        <w:rPr>
          <w:rFonts w:hint="eastAsia"/>
          <w:szCs w:val="21"/>
        </w:rPr>
        <w:t>）本次试卷的特点：知识点覆盖范围、难易度情况、重点考核同学们哪些方面的能力、是否符合培养目标等。</w:t>
      </w:r>
    </w:p>
    <w:p w14:paraId="57F4F39A"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3</w:t>
      </w:r>
      <w:r>
        <w:rPr>
          <w:rFonts w:hint="eastAsia"/>
          <w:szCs w:val="21"/>
        </w:rPr>
        <w:t>）对试卷的具体分析：如哪些方面的题目答案正确率较高；哪些方面的题目失分较多；普遍掌握较为薄弱的知识点；哪些是较难的、综合性的题目；等等。</w:t>
      </w:r>
    </w:p>
    <w:p w14:paraId="6B32475D"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4</w:t>
      </w:r>
      <w:r>
        <w:rPr>
          <w:rFonts w:hint="eastAsia"/>
          <w:szCs w:val="21"/>
        </w:rPr>
        <w:t>）反映出的问题：包括形成性考核和终结性考核中所反映出来的问题。如学生在知识掌握、实验操作、学习报告撰写、学习方法等方面的问题；教师在教学过程中存在的问题等。</w:t>
      </w:r>
    </w:p>
    <w:p w14:paraId="02E8B49F" w14:textId="77777777" w:rsidR="00F5289E" w:rsidRDefault="00C91173">
      <w:pPr>
        <w:widowControl/>
        <w:jc w:val="left"/>
        <w:rPr>
          <w:rFonts w:ascii="宋体" w:hAnsi="宋体"/>
          <w:b/>
          <w:color w:val="000000" w:themeColor="text1"/>
          <w:sz w:val="28"/>
          <w:szCs w:val="28"/>
        </w:rPr>
      </w:pPr>
      <w:r>
        <w:rPr>
          <w:rFonts w:hint="eastAsia"/>
          <w:szCs w:val="21"/>
        </w:rPr>
        <w:t>（</w:t>
      </w:r>
      <w:r>
        <w:rPr>
          <w:szCs w:val="21"/>
        </w:rPr>
        <w:t>5</w:t>
      </w:r>
      <w:r>
        <w:rPr>
          <w:rFonts w:hint="eastAsia"/>
          <w:szCs w:val="21"/>
        </w:rPr>
        <w:t>）针对</w:t>
      </w:r>
      <w:r>
        <w:rPr>
          <w:szCs w:val="21"/>
        </w:rPr>
        <w:t>上述的分析反馈，教师</w:t>
      </w:r>
      <w:r>
        <w:rPr>
          <w:rFonts w:hint="eastAsia"/>
          <w:szCs w:val="21"/>
        </w:rPr>
        <w:t>修改</w:t>
      </w:r>
      <w:r>
        <w:rPr>
          <w:szCs w:val="21"/>
        </w:rPr>
        <w:t>下学期的</w:t>
      </w:r>
      <w:r>
        <w:rPr>
          <w:rFonts w:hint="eastAsia"/>
          <w:szCs w:val="21"/>
        </w:rPr>
        <w:t>授课计划</w:t>
      </w:r>
      <w:r>
        <w:rPr>
          <w:szCs w:val="21"/>
        </w:rPr>
        <w:t>和课程设计</w:t>
      </w:r>
      <w:r>
        <w:rPr>
          <w:rFonts w:ascii="宋体" w:hAnsi="宋体"/>
          <w:b/>
          <w:color w:val="000000" w:themeColor="text1"/>
          <w:sz w:val="28"/>
          <w:szCs w:val="28"/>
        </w:rPr>
        <w:br w:type="page"/>
      </w:r>
    </w:p>
    <w:p w14:paraId="3465F8BA" w14:textId="77777777" w:rsidR="00F5289E" w:rsidRDefault="00C91173">
      <w:pPr>
        <w:pStyle w:val="1"/>
      </w:pPr>
      <w:bookmarkStart w:id="179" w:name="_Toc138606276"/>
      <w:r>
        <w:rPr>
          <w:rFonts w:hint="eastAsia"/>
        </w:rPr>
        <w:lastRenderedPageBreak/>
        <w:t>设施环境与调控考核大纲</w:t>
      </w:r>
      <w:bookmarkEnd w:id="179"/>
      <w:r>
        <w:rPr>
          <w:rFonts w:hint="eastAsia"/>
        </w:rPr>
        <w:t xml:space="preserve"> </w:t>
      </w:r>
    </w:p>
    <w:p w14:paraId="4703BD8E" w14:textId="77777777" w:rsidR="00F5289E" w:rsidRDefault="00C91173">
      <w:pPr>
        <w:snapToGrid w:val="0"/>
        <w:spacing w:line="360" w:lineRule="auto"/>
        <w:jc w:val="center"/>
        <w:rPr>
          <w:b/>
          <w:szCs w:val="21"/>
        </w:rPr>
      </w:pPr>
      <w:r>
        <w:rPr>
          <w:sz w:val="24"/>
        </w:rPr>
        <w:t>（</w:t>
      </w:r>
      <w:r>
        <w:rPr>
          <w:rFonts w:hint="eastAsia"/>
          <w:sz w:val="24"/>
        </w:rPr>
        <w:t>Environment and Regulation of Facility Agriculture</w:t>
      </w:r>
      <w:r>
        <w:rPr>
          <w:sz w:val="24"/>
        </w:rPr>
        <w:t>）</w:t>
      </w:r>
    </w:p>
    <w:p w14:paraId="758BD416"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7595D2D" w14:textId="77777777">
        <w:tc>
          <w:tcPr>
            <w:tcW w:w="1666" w:type="pct"/>
          </w:tcPr>
          <w:p w14:paraId="10545897" w14:textId="77777777" w:rsidR="00F5289E" w:rsidRDefault="00C91173">
            <w:pPr>
              <w:widowControl/>
              <w:jc w:val="left"/>
              <w:rPr>
                <w:b/>
                <w:bCs/>
                <w:szCs w:val="21"/>
              </w:rPr>
            </w:pPr>
            <w:r>
              <w:rPr>
                <w:b/>
                <w:bCs/>
                <w:szCs w:val="21"/>
              </w:rPr>
              <w:t>课程编号：</w:t>
            </w:r>
            <w:r>
              <w:rPr>
                <w:color w:val="000000"/>
                <w:kern w:val="0"/>
                <w:sz w:val="18"/>
                <w:szCs w:val="18"/>
                <w:lang w:bidi="ar"/>
              </w:rPr>
              <w:t xml:space="preserve">19011130h </w:t>
            </w:r>
          </w:p>
        </w:tc>
        <w:tc>
          <w:tcPr>
            <w:tcW w:w="1453" w:type="pct"/>
          </w:tcPr>
          <w:p w14:paraId="0ED7516E" w14:textId="77777777" w:rsidR="00F5289E" w:rsidRDefault="00C91173">
            <w:pPr>
              <w:spacing w:line="300" w:lineRule="auto"/>
              <w:rPr>
                <w:b/>
                <w:bCs/>
                <w:szCs w:val="21"/>
              </w:rPr>
            </w:pPr>
            <w:r>
              <w:rPr>
                <w:b/>
                <w:bCs/>
                <w:szCs w:val="21"/>
              </w:rPr>
              <w:t>课程学时：</w:t>
            </w:r>
            <w:r>
              <w:rPr>
                <w:szCs w:val="21"/>
              </w:rPr>
              <w:t>4</w:t>
            </w:r>
            <w:r>
              <w:rPr>
                <w:rFonts w:hint="eastAsia"/>
                <w:szCs w:val="21"/>
              </w:rPr>
              <w:t>8</w:t>
            </w:r>
          </w:p>
        </w:tc>
        <w:tc>
          <w:tcPr>
            <w:tcW w:w="1881" w:type="pct"/>
          </w:tcPr>
          <w:p w14:paraId="755BA1C1" w14:textId="77777777" w:rsidR="00F5289E" w:rsidRDefault="00C91173">
            <w:pPr>
              <w:spacing w:line="300" w:lineRule="auto"/>
              <w:rPr>
                <w:b/>
                <w:bCs/>
                <w:szCs w:val="21"/>
              </w:rPr>
            </w:pPr>
            <w:r>
              <w:rPr>
                <w:b/>
                <w:bCs/>
                <w:szCs w:val="21"/>
              </w:rPr>
              <w:t>课程学分：</w:t>
            </w:r>
            <w:r>
              <w:rPr>
                <w:rFonts w:hint="eastAsia"/>
                <w:szCs w:val="21"/>
              </w:rPr>
              <w:t>3</w:t>
            </w:r>
          </w:p>
        </w:tc>
      </w:tr>
      <w:tr w:rsidR="00F5289E" w14:paraId="25D6E741" w14:textId="77777777">
        <w:tc>
          <w:tcPr>
            <w:tcW w:w="1666" w:type="pct"/>
          </w:tcPr>
          <w:p w14:paraId="1A586F20" w14:textId="77777777" w:rsidR="00F5289E" w:rsidRDefault="00C91173">
            <w:pPr>
              <w:spacing w:line="300" w:lineRule="auto"/>
              <w:rPr>
                <w:b/>
                <w:bCs/>
                <w:szCs w:val="21"/>
              </w:rPr>
            </w:pPr>
            <w:r>
              <w:rPr>
                <w:b/>
                <w:bCs/>
                <w:szCs w:val="21"/>
              </w:rPr>
              <w:t>主撰人：</w:t>
            </w:r>
            <w:r>
              <w:rPr>
                <w:szCs w:val="21"/>
              </w:rPr>
              <w:t>李严曼</w:t>
            </w:r>
          </w:p>
        </w:tc>
        <w:tc>
          <w:tcPr>
            <w:tcW w:w="1453" w:type="pct"/>
          </w:tcPr>
          <w:p w14:paraId="4DABE80E" w14:textId="77777777" w:rsidR="00F5289E" w:rsidRDefault="00C91173">
            <w:pPr>
              <w:spacing w:line="300" w:lineRule="auto"/>
              <w:rPr>
                <w:b/>
                <w:bCs/>
                <w:szCs w:val="21"/>
              </w:rPr>
            </w:pPr>
            <w:r>
              <w:rPr>
                <w:b/>
                <w:bCs/>
                <w:szCs w:val="21"/>
              </w:rPr>
              <w:t>审核人：</w:t>
            </w:r>
            <w:r>
              <w:rPr>
                <w:rFonts w:hint="eastAsia"/>
                <w:szCs w:val="21"/>
              </w:rPr>
              <w:t>杜清洁</w:t>
            </w:r>
          </w:p>
        </w:tc>
        <w:tc>
          <w:tcPr>
            <w:tcW w:w="1881" w:type="pct"/>
          </w:tcPr>
          <w:p w14:paraId="56F23B39" w14:textId="77777777" w:rsidR="00F5289E" w:rsidRDefault="00C91173">
            <w:pPr>
              <w:spacing w:line="300" w:lineRule="auto"/>
              <w:rPr>
                <w:b/>
                <w:bCs/>
                <w:szCs w:val="21"/>
              </w:rPr>
            </w:pPr>
            <w:r>
              <w:rPr>
                <w:b/>
                <w:bCs/>
                <w:szCs w:val="21"/>
              </w:rPr>
              <w:t>大纲制定（修订）日期：</w:t>
            </w:r>
            <w:r>
              <w:rPr>
                <w:rFonts w:hint="eastAsia"/>
                <w:szCs w:val="21"/>
              </w:rPr>
              <w:t>202</w:t>
            </w:r>
            <w:r>
              <w:rPr>
                <w:szCs w:val="21"/>
              </w:rPr>
              <w:t>3.05</w:t>
            </w:r>
          </w:p>
        </w:tc>
      </w:tr>
    </w:tbl>
    <w:p w14:paraId="40727185" w14:textId="77777777" w:rsidR="00F5289E" w:rsidRDefault="00C91173">
      <w:pPr>
        <w:pStyle w:val="a9"/>
        <w:spacing w:line="360" w:lineRule="auto"/>
        <w:rPr>
          <w:b/>
          <w:bCs/>
        </w:rPr>
      </w:pPr>
      <w:r>
        <w:rPr>
          <w:rFonts w:hint="eastAsia"/>
          <w:b/>
          <w:bCs/>
        </w:rPr>
        <w:t>一、课程的性质和地位</w:t>
      </w:r>
    </w:p>
    <w:p w14:paraId="0179CB0B" w14:textId="77777777" w:rsidR="00F5289E" w:rsidRDefault="00C91173">
      <w:pPr>
        <w:spacing w:line="360" w:lineRule="auto"/>
        <w:ind w:rightChars="-81" w:right="-170" w:firstLineChars="224" w:firstLine="470"/>
      </w:pPr>
      <w:r>
        <w:rPr>
          <w:rFonts w:hAnsi="宋体" w:hint="eastAsia"/>
          <w:bCs/>
          <w:kern w:val="0"/>
          <w:szCs w:val="21"/>
        </w:rPr>
        <w:t>《设施环境与调控》</w:t>
      </w:r>
      <w:r>
        <w:rPr>
          <w:rFonts w:ascii="宋体" w:hAnsi="宋体" w:cs="宋体" w:hint="eastAsia"/>
          <w:kern w:val="0"/>
          <w:szCs w:val="21"/>
        </w:rPr>
        <w:t>是一门多学科交叉和综合性很强的学科，涉及多个领域，应用较广。它是设施农业科学与工程专业的一门重要专业核心课程，</w:t>
      </w:r>
      <w:r>
        <w:rPr>
          <w:rFonts w:ascii="宋体" w:hAnsi="宋体" w:hint="eastAsia"/>
          <w:szCs w:val="21"/>
        </w:rPr>
        <w:t>同时也可以作为农学、园艺等专业的教学用书</w:t>
      </w:r>
      <w:r>
        <w:rPr>
          <w:rFonts w:ascii="宋体" w:hAnsi="宋体"/>
          <w:szCs w:val="21"/>
        </w:rPr>
        <w:t>。</w:t>
      </w:r>
      <w:r>
        <w:rPr>
          <w:rFonts w:ascii="宋体" w:hAnsi="宋体" w:hint="eastAsia"/>
          <w:szCs w:val="21"/>
        </w:rPr>
        <w:t>本课程主要侧重于设施园艺作物对设施环境条件的要求，设施内环境条件的分布变化规律及其调控技术的阐述。</w:t>
      </w:r>
      <w:r>
        <w:rPr>
          <w:rFonts w:ascii="宋体" w:hAnsi="宋体" w:cs="宋体" w:hint="eastAsia"/>
          <w:kern w:val="0"/>
          <w:szCs w:val="21"/>
        </w:rPr>
        <w:t>设施园艺已成为我国新世纪农业中最具活力的新兴产业之一，对促进农业增效、农民增收、繁荣农村经济发挥主导作用。</w:t>
      </w:r>
      <w:r>
        <w:rPr>
          <w:rFonts w:hAnsi="宋体" w:hint="eastAsia"/>
          <w:bCs/>
          <w:kern w:val="0"/>
          <w:szCs w:val="21"/>
        </w:rPr>
        <w:t>设施环境与调控</w:t>
      </w:r>
      <w:r>
        <w:rPr>
          <w:rFonts w:ascii="宋体" w:hAnsi="宋体" w:cs="宋体" w:hint="eastAsia"/>
          <w:kern w:val="0"/>
          <w:szCs w:val="21"/>
        </w:rPr>
        <w:t>作为设施园艺的一部分，</w:t>
      </w:r>
      <w:r>
        <w:rPr>
          <w:rFonts w:ascii="宋体" w:hAnsi="宋体" w:cs="宋体"/>
          <w:kern w:val="0"/>
          <w:szCs w:val="21"/>
        </w:rPr>
        <w:t>在教学上，要求学生通过</w:t>
      </w:r>
      <w:r>
        <w:rPr>
          <w:rFonts w:ascii="宋体" w:hAnsi="宋体" w:cs="宋体" w:hint="eastAsia"/>
          <w:kern w:val="0"/>
          <w:szCs w:val="21"/>
        </w:rPr>
        <w:t>本课程</w:t>
      </w:r>
      <w:r>
        <w:rPr>
          <w:rFonts w:ascii="宋体" w:hAnsi="宋体" w:cs="宋体"/>
          <w:kern w:val="0"/>
          <w:szCs w:val="21"/>
        </w:rPr>
        <w:t>系统的学习，全面掌握</w:t>
      </w:r>
      <w:r>
        <w:rPr>
          <w:rFonts w:ascii="宋体" w:hAnsi="宋体" w:cs="宋体" w:hint="eastAsia"/>
          <w:kern w:val="0"/>
          <w:szCs w:val="21"/>
        </w:rPr>
        <w:t>设施环境特性及其调控技术的</w:t>
      </w:r>
      <w:r>
        <w:rPr>
          <w:rFonts w:ascii="宋体" w:hAnsi="宋体" w:cs="宋体"/>
          <w:kern w:val="0"/>
          <w:szCs w:val="21"/>
        </w:rPr>
        <w:t>基本理论和研究方法</w:t>
      </w:r>
      <w:r>
        <w:rPr>
          <w:rFonts w:ascii="宋体" w:hAnsi="宋体" w:cs="宋体" w:hint="eastAsia"/>
          <w:kern w:val="0"/>
          <w:szCs w:val="21"/>
        </w:rPr>
        <w:t>，</w:t>
      </w:r>
      <w:r>
        <w:rPr>
          <w:rFonts w:hint="eastAsia"/>
        </w:rPr>
        <w:t>为学生将从事园艺作物设施栽培生产实践打下基础。</w:t>
      </w:r>
    </w:p>
    <w:p w14:paraId="386F22AA" w14:textId="77777777" w:rsidR="00F5289E" w:rsidRDefault="00C91173">
      <w:pPr>
        <w:spacing w:line="360" w:lineRule="auto"/>
        <w:rPr>
          <w:rFonts w:ascii="宋体" w:hAnsi="宋体"/>
          <w:b/>
          <w:szCs w:val="21"/>
        </w:rPr>
      </w:pPr>
      <w:r>
        <w:rPr>
          <w:rFonts w:ascii="宋体" w:hAnsi="宋体" w:hint="eastAsia"/>
          <w:b/>
          <w:szCs w:val="21"/>
        </w:rPr>
        <w:t>二、理论教学部分的考核目标</w:t>
      </w:r>
    </w:p>
    <w:p w14:paraId="1A919A0B" w14:textId="77777777" w:rsidR="00F5289E" w:rsidRDefault="00C91173">
      <w:pPr>
        <w:spacing w:line="360" w:lineRule="auto"/>
        <w:ind w:firstLineChars="200" w:firstLine="420"/>
        <w:rPr>
          <w:color w:val="262600"/>
        </w:rPr>
      </w:pPr>
      <w:r>
        <w:rPr>
          <w:rFonts w:ascii="宋体" w:hAnsi="宋体" w:hint="eastAsia"/>
          <w:szCs w:val="21"/>
        </w:rPr>
        <w:t>通过课程学习，</w:t>
      </w:r>
      <w:r>
        <w:rPr>
          <w:rFonts w:ascii="宋体" w:hAnsi="宋体"/>
        </w:rPr>
        <w:t>要求学生</w:t>
      </w:r>
      <w:r>
        <w:rPr>
          <w:rFonts w:ascii="宋体" w:hAnsi="宋体" w:hint="eastAsia"/>
        </w:rPr>
        <w:t>掌握</w:t>
      </w:r>
      <w:r>
        <w:rPr>
          <w:rFonts w:hint="eastAsia"/>
          <w:color w:val="262600"/>
        </w:rPr>
        <w:t>了解设施园艺作物生长发育过程中对环境因子的要求</w:t>
      </w:r>
      <w:r>
        <w:rPr>
          <w:rFonts w:ascii="宋体" w:hAnsi="宋体" w:hint="eastAsia"/>
        </w:rPr>
        <w:t>；掌握园艺设施</w:t>
      </w:r>
      <w:r>
        <w:rPr>
          <w:rFonts w:ascii="宋体" w:hAnsi="宋体"/>
        </w:rPr>
        <w:t>环境</w:t>
      </w:r>
      <w:r>
        <w:rPr>
          <w:rFonts w:ascii="宋体" w:hAnsi="宋体" w:hint="eastAsia"/>
        </w:rPr>
        <w:t>因子的分布特点及变化规律；掌握设施环境因子</w:t>
      </w:r>
      <w:r>
        <w:rPr>
          <w:rFonts w:ascii="宋体" w:hAnsi="宋体"/>
        </w:rPr>
        <w:t>调控</w:t>
      </w:r>
      <w:r>
        <w:rPr>
          <w:rFonts w:ascii="宋体" w:hAnsi="宋体" w:hint="eastAsia"/>
        </w:rPr>
        <w:t>的基础知识和方法，能</w:t>
      </w:r>
      <w:r>
        <w:t>够运用</w:t>
      </w:r>
      <w:r>
        <w:rPr>
          <w:rFonts w:hint="eastAsia"/>
        </w:rPr>
        <w:t>基本理论和技术建造一些园艺设施，</w:t>
      </w:r>
      <w:r>
        <w:t>配</w:t>
      </w:r>
      <w:r>
        <w:rPr>
          <w:rFonts w:hint="eastAsia"/>
        </w:rPr>
        <w:t>置</w:t>
      </w:r>
      <w:r>
        <w:t>有关</w:t>
      </w:r>
      <w:r>
        <w:rPr>
          <w:rFonts w:hint="eastAsia"/>
        </w:rPr>
        <w:t>的环境调控设备和装置，指导和管理园艺设施生产；</w:t>
      </w:r>
      <w:r>
        <w:rPr>
          <w:rFonts w:hint="eastAsia"/>
          <w:color w:val="262600"/>
        </w:rPr>
        <w:t>了解设施园艺环境调控新技术、新成果、新动态和新理念。</w:t>
      </w:r>
    </w:p>
    <w:p w14:paraId="5ECF6578" w14:textId="77777777" w:rsidR="00F5289E" w:rsidRDefault="00C91173">
      <w:pPr>
        <w:spacing w:line="360" w:lineRule="auto"/>
        <w:ind w:firstLineChars="49" w:firstLine="103"/>
        <w:jc w:val="center"/>
        <w:rPr>
          <w:rFonts w:ascii="宋体" w:hAnsi="宋体"/>
          <w:b/>
          <w:szCs w:val="21"/>
        </w:rPr>
      </w:pPr>
      <w:r>
        <w:rPr>
          <w:rFonts w:ascii="宋体" w:hAnsi="宋体" w:hint="eastAsia"/>
          <w:b/>
          <w:szCs w:val="21"/>
        </w:rPr>
        <w:t xml:space="preserve"> </w:t>
      </w:r>
      <w:r>
        <w:rPr>
          <w:rFonts w:hAnsi="宋体" w:hint="eastAsia"/>
          <w:b/>
          <w:bCs/>
          <w:kern w:val="0"/>
          <w:szCs w:val="21"/>
        </w:rPr>
        <w:t>绪论</w:t>
      </w:r>
    </w:p>
    <w:p w14:paraId="5574A5C0" w14:textId="77777777" w:rsidR="00F5289E" w:rsidRDefault="00C91173">
      <w:pPr>
        <w:spacing w:line="360" w:lineRule="auto"/>
        <w:rPr>
          <w:b/>
          <w:szCs w:val="21"/>
        </w:rPr>
      </w:pPr>
      <w:r>
        <w:rPr>
          <w:b/>
          <w:szCs w:val="21"/>
        </w:rPr>
        <w:t>（一）学习目标</w:t>
      </w:r>
    </w:p>
    <w:p w14:paraId="7707ABEF" w14:textId="77777777" w:rsidR="00F5289E" w:rsidRDefault="00C91173">
      <w:pPr>
        <w:adjustRightInd w:val="0"/>
        <w:spacing w:line="360" w:lineRule="auto"/>
        <w:rPr>
          <w:color w:val="000000" w:themeColor="text1"/>
        </w:rPr>
      </w:pPr>
      <w:r>
        <w:rPr>
          <w:bCs/>
          <w:szCs w:val="21"/>
        </w:rPr>
        <w:t xml:space="preserve"> </w:t>
      </w:r>
      <w:r>
        <w:rPr>
          <w:rFonts w:ascii="宋体" w:hAnsi="宋体" w:hint="eastAsia"/>
          <w:b/>
          <w:szCs w:val="21"/>
        </w:rPr>
        <w:t>一般掌握</w:t>
      </w:r>
      <w:r>
        <w:rPr>
          <w:bCs/>
          <w:szCs w:val="21"/>
        </w:rPr>
        <w:t>：</w:t>
      </w:r>
      <w:r>
        <w:rPr>
          <w:rFonts w:hint="eastAsia"/>
          <w:color w:val="000000" w:themeColor="text1"/>
        </w:rPr>
        <w:t>设施环境调控的主要研究内容和发展过程；我国设施栽培存在的问题和发展趋势</w:t>
      </w:r>
    </w:p>
    <w:p w14:paraId="7C5BF352" w14:textId="77777777" w:rsidR="00F5289E" w:rsidRDefault="00C91173">
      <w:pPr>
        <w:adjustRightInd w:val="0"/>
        <w:spacing w:line="360" w:lineRule="auto"/>
        <w:rPr>
          <w:szCs w:val="21"/>
        </w:rPr>
      </w:pPr>
      <w:r>
        <w:rPr>
          <w:rFonts w:hint="eastAsia"/>
          <w:color w:val="000000" w:themeColor="text1"/>
        </w:rPr>
        <w:t xml:space="preserve"> </w:t>
      </w:r>
      <w:r>
        <w:rPr>
          <w:rFonts w:ascii="宋体" w:hAnsi="宋体" w:hint="eastAsia"/>
          <w:b/>
          <w:szCs w:val="21"/>
        </w:rPr>
        <w:t>一般了解</w:t>
      </w:r>
      <w:r>
        <w:rPr>
          <w:rFonts w:hint="eastAsia"/>
          <w:color w:val="000000" w:themeColor="text1"/>
        </w:rPr>
        <w:t>：河南省的设施园艺概述</w:t>
      </w:r>
    </w:p>
    <w:p w14:paraId="6E928899" w14:textId="77777777" w:rsidR="00F5289E" w:rsidRDefault="00C91173">
      <w:pPr>
        <w:spacing w:line="360" w:lineRule="auto"/>
        <w:rPr>
          <w:szCs w:val="21"/>
        </w:rPr>
      </w:pPr>
      <w:r>
        <w:rPr>
          <w:b/>
          <w:szCs w:val="21"/>
        </w:rPr>
        <w:t>（二）考核内容</w:t>
      </w:r>
    </w:p>
    <w:p w14:paraId="068F4082" w14:textId="77777777" w:rsidR="00F5289E" w:rsidRDefault="00C91173">
      <w:pPr>
        <w:adjustRightInd w:val="0"/>
        <w:spacing w:line="360" w:lineRule="auto"/>
        <w:rPr>
          <w:color w:val="000000" w:themeColor="text1"/>
        </w:rPr>
      </w:pPr>
      <w:r>
        <w:rPr>
          <w:rFonts w:hint="eastAsia"/>
          <w:color w:val="000000" w:themeColor="text1"/>
        </w:rPr>
        <w:t>设施农业环境调控的主要研究内容及其在生产中的应用；设施环境调控的发展概述；我国设施栽培存在的问题和发展趋势</w:t>
      </w:r>
    </w:p>
    <w:p w14:paraId="40AA767F" w14:textId="77777777" w:rsidR="00F5289E" w:rsidRDefault="00C91173">
      <w:pPr>
        <w:spacing w:line="360" w:lineRule="auto"/>
        <w:rPr>
          <w:b/>
          <w:szCs w:val="21"/>
        </w:rPr>
      </w:pPr>
      <w:r>
        <w:rPr>
          <w:b/>
          <w:szCs w:val="21"/>
        </w:rPr>
        <w:t>（三）考核要求</w:t>
      </w:r>
    </w:p>
    <w:p w14:paraId="6690B39C" w14:textId="77777777" w:rsidR="00F5289E" w:rsidRDefault="00C91173">
      <w:pPr>
        <w:adjustRightInd w:val="0"/>
        <w:spacing w:line="360" w:lineRule="auto"/>
        <w:rPr>
          <w:bCs/>
          <w:color w:val="000000" w:themeColor="text1"/>
        </w:rPr>
      </w:pPr>
      <w:r>
        <w:rPr>
          <w:b/>
          <w:szCs w:val="21"/>
        </w:rPr>
        <w:t>1.</w:t>
      </w:r>
      <w:r>
        <w:rPr>
          <w:b/>
          <w:szCs w:val="21"/>
        </w:rPr>
        <w:t>识记</w:t>
      </w:r>
      <w:r>
        <w:rPr>
          <w:bCs/>
          <w:szCs w:val="21"/>
        </w:rPr>
        <w:t>：</w:t>
      </w:r>
      <w:r>
        <w:rPr>
          <w:rFonts w:hint="eastAsia"/>
          <w:bCs/>
          <w:color w:val="000000" w:themeColor="text1"/>
        </w:rPr>
        <w:t>设施农业环境调控的主要研究内容及其在生产中的应用；设施环境调控的发展概述</w:t>
      </w:r>
    </w:p>
    <w:p w14:paraId="584760D4" w14:textId="77777777" w:rsidR="00F5289E" w:rsidRDefault="00C91173">
      <w:pPr>
        <w:adjustRightInd w:val="0"/>
        <w:spacing w:line="360" w:lineRule="auto"/>
        <w:rPr>
          <w:b/>
          <w:bCs/>
          <w:color w:val="000000"/>
          <w:kern w:val="0"/>
          <w:szCs w:val="21"/>
        </w:rPr>
      </w:pPr>
      <w:r>
        <w:rPr>
          <w:b/>
          <w:szCs w:val="21"/>
        </w:rPr>
        <w:t>2.</w:t>
      </w:r>
      <w:r>
        <w:rPr>
          <w:b/>
          <w:szCs w:val="21"/>
        </w:rPr>
        <w:t>领会</w:t>
      </w:r>
      <w:r>
        <w:rPr>
          <w:bCs/>
          <w:szCs w:val="21"/>
        </w:rPr>
        <w:t>：</w:t>
      </w:r>
      <w:r>
        <w:rPr>
          <w:rFonts w:hint="eastAsia"/>
          <w:color w:val="000000" w:themeColor="text1"/>
        </w:rPr>
        <w:t>我国设施栽培存在的问题和发展趋势</w:t>
      </w:r>
    </w:p>
    <w:p w14:paraId="455A9A34" w14:textId="77777777" w:rsidR="00F5289E" w:rsidRDefault="00C91173">
      <w:pPr>
        <w:widowControl/>
        <w:adjustRightInd w:val="0"/>
        <w:spacing w:line="360" w:lineRule="auto"/>
        <w:jc w:val="center"/>
        <w:rPr>
          <w:color w:val="FF0000"/>
          <w:kern w:val="0"/>
          <w:szCs w:val="21"/>
        </w:rPr>
      </w:pPr>
      <w:r>
        <w:rPr>
          <w:b/>
          <w:bCs/>
          <w:color w:val="000000"/>
          <w:kern w:val="0"/>
          <w:szCs w:val="21"/>
        </w:rPr>
        <w:t>第一章</w:t>
      </w:r>
      <w:r>
        <w:rPr>
          <w:b/>
          <w:bCs/>
          <w:color w:val="000000"/>
          <w:kern w:val="0"/>
          <w:szCs w:val="21"/>
        </w:rPr>
        <w:t xml:space="preserve">  </w:t>
      </w:r>
      <w:r>
        <w:rPr>
          <w:b/>
          <w:color w:val="262600"/>
        </w:rPr>
        <w:t>设施</w:t>
      </w:r>
      <w:r>
        <w:rPr>
          <w:rFonts w:hint="eastAsia"/>
          <w:b/>
          <w:color w:val="262600"/>
        </w:rPr>
        <w:t>光照</w:t>
      </w:r>
      <w:r>
        <w:rPr>
          <w:b/>
          <w:color w:val="262600"/>
        </w:rPr>
        <w:t>环境特点与调控技术</w:t>
      </w:r>
    </w:p>
    <w:p w14:paraId="3FDA9A07" w14:textId="77777777" w:rsidR="00F5289E" w:rsidRDefault="00C91173">
      <w:pPr>
        <w:spacing w:line="360" w:lineRule="auto"/>
        <w:rPr>
          <w:b/>
          <w:szCs w:val="21"/>
        </w:rPr>
      </w:pPr>
      <w:r>
        <w:rPr>
          <w:b/>
          <w:szCs w:val="21"/>
        </w:rPr>
        <w:lastRenderedPageBreak/>
        <w:t>（一）学习目标</w:t>
      </w:r>
    </w:p>
    <w:p w14:paraId="4053CFEA" w14:textId="77777777" w:rsidR="00F5289E" w:rsidRDefault="00C91173">
      <w:pPr>
        <w:widowControl/>
        <w:adjustRightInd w:val="0"/>
        <w:spacing w:line="360" w:lineRule="auto"/>
        <w:ind w:right="720"/>
        <w:jc w:val="left"/>
        <w:rPr>
          <w:color w:val="000000"/>
          <w:kern w:val="0"/>
          <w:szCs w:val="21"/>
        </w:rPr>
      </w:pPr>
      <w:r>
        <w:rPr>
          <w:rFonts w:ascii="宋体" w:hAnsi="宋体" w:hint="eastAsia"/>
          <w:b/>
          <w:szCs w:val="21"/>
        </w:rPr>
        <w:t>一般了解</w:t>
      </w:r>
      <w:r>
        <w:rPr>
          <w:color w:val="000000"/>
          <w:kern w:val="0"/>
          <w:szCs w:val="21"/>
        </w:rPr>
        <w:t>：</w:t>
      </w:r>
      <w:r>
        <w:rPr>
          <w:rFonts w:hint="eastAsia"/>
          <w:color w:val="000000" w:themeColor="text1"/>
        </w:rPr>
        <w:t>作物对光照环境的要求</w:t>
      </w:r>
    </w:p>
    <w:p w14:paraId="6A5C27E3" w14:textId="77777777" w:rsidR="00F5289E" w:rsidRDefault="00C91173">
      <w:pPr>
        <w:widowControl/>
        <w:adjustRightInd w:val="0"/>
        <w:spacing w:line="360" w:lineRule="auto"/>
        <w:jc w:val="left"/>
        <w:rPr>
          <w:color w:val="000000"/>
          <w:kern w:val="0"/>
          <w:szCs w:val="21"/>
        </w:rPr>
      </w:pPr>
      <w:r>
        <w:rPr>
          <w:rFonts w:ascii="宋体" w:hAnsi="宋体" w:hint="eastAsia"/>
          <w:b/>
          <w:szCs w:val="21"/>
        </w:rPr>
        <w:t>一般</w:t>
      </w:r>
      <w:r>
        <w:rPr>
          <w:b/>
          <w:color w:val="000000"/>
          <w:kern w:val="0"/>
          <w:szCs w:val="21"/>
        </w:rPr>
        <w:t>掌握</w:t>
      </w:r>
      <w:r>
        <w:rPr>
          <w:color w:val="000000"/>
          <w:kern w:val="0"/>
          <w:szCs w:val="21"/>
        </w:rPr>
        <w:t>：</w:t>
      </w:r>
      <w:r>
        <w:rPr>
          <w:color w:val="262600"/>
        </w:rPr>
        <w:t>设施内光照条件形成</w:t>
      </w:r>
      <w:r>
        <w:rPr>
          <w:rFonts w:hint="eastAsia"/>
          <w:color w:val="262600"/>
        </w:rPr>
        <w:t>的原因</w:t>
      </w:r>
    </w:p>
    <w:p w14:paraId="6C730E2C" w14:textId="77777777" w:rsidR="00F5289E" w:rsidRDefault="00C91173">
      <w:pPr>
        <w:spacing w:line="360" w:lineRule="auto"/>
        <w:rPr>
          <w:rFonts w:ascii="宋体" w:hAnsi="宋体"/>
          <w:bCs/>
          <w:szCs w:val="21"/>
        </w:rPr>
      </w:pPr>
      <w:r>
        <w:rPr>
          <w:rFonts w:ascii="宋体" w:hAnsi="宋体" w:hint="eastAsia"/>
          <w:b/>
          <w:szCs w:val="21"/>
        </w:rPr>
        <w:t>熟练掌握：</w:t>
      </w:r>
      <w:r>
        <w:rPr>
          <w:bCs/>
          <w:color w:val="262600"/>
        </w:rPr>
        <w:t>设施内光照条件</w:t>
      </w:r>
      <w:r>
        <w:rPr>
          <w:rFonts w:hint="eastAsia"/>
          <w:bCs/>
          <w:color w:val="262600"/>
        </w:rPr>
        <w:t>的特点及</w:t>
      </w:r>
      <w:r>
        <w:rPr>
          <w:bCs/>
          <w:color w:val="262600"/>
        </w:rPr>
        <w:t>调控</w:t>
      </w:r>
      <w:r>
        <w:rPr>
          <w:rFonts w:hint="eastAsia"/>
          <w:bCs/>
          <w:color w:val="262600"/>
        </w:rPr>
        <w:t>措施</w:t>
      </w:r>
    </w:p>
    <w:p w14:paraId="14F39E9B" w14:textId="77777777" w:rsidR="00F5289E" w:rsidRDefault="00C91173">
      <w:pPr>
        <w:spacing w:line="360" w:lineRule="auto"/>
        <w:rPr>
          <w:szCs w:val="21"/>
        </w:rPr>
      </w:pPr>
      <w:r>
        <w:rPr>
          <w:b/>
          <w:szCs w:val="21"/>
        </w:rPr>
        <w:t>（二）考核内容</w:t>
      </w:r>
    </w:p>
    <w:p w14:paraId="61185415" w14:textId="77777777" w:rsidR="00F5289E" w:rsidRDefault="00C91173">
      <w:pPr>
        <w:spacing w:line="360" w:lineRule="auto"/>
        <w:rPr>
          <w:color w:val="000000"/>
          <w:szCs w:val="21"/>
        </w:rPr>
      </w:pPr>
      <w:r>
        <w:rPr>
          <w:color w:val="262600"/>
        </w:rPr>
        <w:t>光照环境的要素及度量单位，</w:t>
      </w:r>
      <w:r>
        <w:rPr>
          <w:rFonts w:hint="eastAsia"/>
          <w:color w:val="000000" w:themeColor="text1"/>
          <w:szCs w:val="21"/>
        </w:rPr>
        <w:t>作物对光照环境的要求</w:t>
      </w:r>
      <w:r>
        <w:rPr>
          <w:rFonts w:hint="eastAsia"/>
          <w:color w:val="262600"/>
        </w:rPr>
        <w:t>，</w:t>
      </w:r>
      <w:r>
        <w:rPr>
          <w:color w:val="262600"/>
        </w:rPr>
        <w:t>设施内的光环境特征，设施内的光环境的主要影响因素</w:t>
      </w:r>
      <w:r>
        <w:rPr>
          <w:rFonts w:hint="eastAsia"/>
          <w:color w:val="262600"/>
        </w:rPr>
        <w:t>，</w:t>
      </w:r>
      <w:r>
        <w:rPr>
          <w:color w:val="262600"/>
        </w:rPr>
        <w:t>光</w:t>
      </w:r>
      <w:r>
        <w:rPr>
          <w:rFonts w:hint="eastAsia"/>
          <w:color w:val="262600"/>
        </w:rPr>
        <w:t>量</w:t>
      </w:r>
      <w:r>
        <w:rPr>
          <w:color w:val="262600"/>
        </w:rPr>
        <w:t>的调节</w:t>
      </w:r>
      <w:r>
        <w:rPr>
          <w:rFonts w:hint="eastAsia"/>
          <w:color w:val="000000"/>
          <w:szCs w:val="21"/>
        </w:rPr>
        <w:t>（人</w:t>
      </w:r>
      <w:r>
        <w:rPr>
          <w:color w:val="000000"/>
          <w:szCs w:val="21"/>
        </w:rPr>
        <w:t>工光源的种类与选用</w:t>
      </w:r>
      <w:r>
        <w:rPr>
          <w:rFonts w:hint="eastAsia"/>
          <w:color w:val="000000"/>
          <w:szCs w:val="21"/>
        </w:rPr>
        <w:t>）</w:t>
      </w:r>
    </w:p>
    <w:p w14:paraId="7D5E972C" w14:textId="77777777" w:rsidR="00F5289E" w:rsidRDefault="00C91173">
      <w:pPr>
        <w:spacing w:line="360" w:lineRule="auto"/>
        <w:rPr>
          <w:b/>
          <w:szCs w:val="21"/>
        </w:rPr>
      </w:pPr>
      <w:r>
        <w:rPr>
          <w:b/>
          <w:szCs w:val="21"/>
        </w:rPr>
        <w:t>（三）考核要求</w:t>
      </w:r>
    </w:p>
    <w:p w14:paraId="30DA6241" w14:textId="77777777" w:rsidR="00F5289E" w:rsidRDefault="00C91173">
      <w:pPr>
        <w:spacing w:line="360" w:lineRule="auto"/>
        <w:ind w:firstLineChars="50" w:firstLine="105"/>
        <w:rPr>
          <w:rFonts w:ascii="宋体" w:hAnsi="宋体"/>
          <w:szCs w:val="21"/>
        </w:rPr>
      </w:pPr>
      <w:r>
        <w:rPr>
          <w:rFonts w:ascii="宋体" w:hAnsi="宋体" w:hint="eastAsia"/>
          <w:b/>
          <w:szCs w:val="21"/>
        </w:rPr>
        <w:t>1、识记</w:t>
      </w:r>
      <w:r>
        <w:rPr>
          <w:rFonts w:ascii="宋体" w:hAnsi="宋体" w:hint="eastAsia"/>
          <w:szCs w:val="21"/>
        </w:rPr>
        <w:t>：</w:t>
      </w:r>
      <w:r>
        <w:rPr>
          <w:rFonts w:hint="eastAsia"/>
          <w:color w:val="000000" w:themeColor="text1"/>
          <w:szCs w:val="21"/>
        </w:rPr>
        <w:t>设施外的太阳辐射组成；光照环境的要素及度量单位；作物对光照环境的要求</w:t>
      </w:r>
    </w:p>
    <w:p w14:paraId="44F82769" w14:textId="77777777" w:rsidR="00F5289E" w:rsidRDefault="00C91173">
      <w:pPr>
        <w:spacing w:line="360" w:lineRule="auto"/>
        <w:ind w:firstLineChars="50" w:firstLine="105"/>
        <w:rPr>
          <w:rFonts w:ascii="宋体" w:hAnsi="宋体"/>
          <w:bCs/>
          <w:szCs w:val="21"/>
        </w:rPr>
      </w:pPr>
      <w:r>
        <w:rPr>
          <w:rFonts w:ascii="宋体" w:hAnsi="宋体" w:hint="eastAsia"/>
          <w:b/>
          <w:szCs w:val="21"/>
        </w:rPr>
        <w:t>2、领会</w:t>
      </w:r>
      <w:r>
        <w:rPr>
          <w:rFonts w:ascii="宋体" w:hAnsi="宋体" w:hint="eastAsia"/>
          <w:szCs w:val="21"/>
        </w:rPr>
        <w:t>：</w:t>
      </w:r>
      <w:r>
        <w:rPr>
          <w:rFonts w:hint="eastAsia"/>
          <w:color w:val="000000" w:themeColor="text1"/>
          <w:szCs w:val="21"/>
        </w:rPr>
        <w:t>设施内的光环境特征及主要影响因素</w:t>
      </w:r>
    </w:p>
    <w:p w14:paraId="7F0CD223" w14:textId="77777777" w:rsidR="00F5289E" w:rsidRDefault="00C91173">
      <w:pPr>
        <w:spacing w:line="360" w:lineRule="auto"/>
        <w:ind w:firstLineChars="50" w:firstLine="105"/>
        <w:rPr>
          <w:b/>
          <w:bCs/>
          <w:color w:val="000000"/>
          <w:kern w:val="0"/>
          <w:szCs w:val="21"/>
        </w:rPr>
      </w:pPr>
      <w:r>
        <w:rPr>
          <w:rFonts w:ascii="宋体" w:hAnsi="宋体" w:hint="eastAsia"/>
          <w:b/>
          <w:szCs w:val="21"/>
        </w:rPr>
        <w:t>3、综合应用</w:t>
      </w:r>
      <w:r>
        <w:rPr>
          <w:rFonts w:ascii="宋体" w:hAnsi="宋体" w:hint="eastAsia"/>
          <w:szCs w:val="21"/>
        </w:rPr>
        <w:t>：</w:t>
      </w:r>
      <w:r>
        <w:rPr>
          <w:rFonts w:hint="eastAsia"/>
          <w:color w:val="000000" w:themeColor="text1"/>
          <w:szCs w:val="21"/>
        </w:rPr>
        <w:t>设施光照环境的调节</w:t>
      </w:r>
    </w:p>
    <w:p w14:paraId="29E6979B" w14:textId="77777777" w:rsidR="00F5289E" w:rsidRDefault="00C91173">
      <w:pPr>
        <w:widowControl/>
        <w:adjustRightInd w:val="0"/>
        <w:spacing w:line="360" w:lineRule="auto"/>
        <w:jc w:val="center"/>
        <w:rPr>
          <w:color w:val="000000"/>
          <w:kern w:val="0"/>
          <w:szCs w:val="21"/>
        </w:rPr>
      </w:pPr>
      <w:r>
        <w:rPr>
          <w:b/>
          <w:bCs/>
          <w:color w:val="000000"/>
          <w:kern w:val="0"/>
          <w:szCs w:val="21"/>
        </w:rPr>
        <w:t>第二章</w:t>
      </w:r>
      <w:r>
        <w:rPr>
          <w:b/>
          <w:bCs/>
          <w:color w:val="000000"/>
          <w:kern w:val="0"/>
          <w:szCs w:val="21"/>
        </w:rPr>
        <w:t xml:space="preserve">  </w:t>
      </w:r>
      <w:r>
        <w:rPr>
          <w:b/>
          <w:color w:val="262600"/>
        </w:rPr>
        <w:t>设施温度环境特点与调控技术</w:t>
      </w:r>
    </w:p>
    <w:p w14:paraId="0E52D7C6" w14:textId="77777777" w:rsidR="00F5289E" w:rsidRDefault="00C91173">
      <w:pPr>
        <w:spacing w:line="360" w:lineRule="auto"/>
        <w:rPr>
          <w:b/>
          <w:szCs w:val="21"/>
        </w:rPr>
      </w:pPr>
      <w:r>
        <w:rPr>
          <w:b/>
          <w:szCs w:val="21"/>
        </w:rPr>
        <w:t>（一）学习目标</w:t>
      </w:r>
    </w:p>
    <w:p w14:paraId="1B2C7ED4" w14:textId="77777777" w:rsidR="00F5289E" w:rsidRDefault="00C91173">
      <w:pPr>
        <w:widowControl/>
        <w:adjustRightInd w:val="0"/>
        <w:spacing w:line="360" w:lineRule="auto"/>
        <w:ind w:firstLineChars="100" w:firstLine="211"/>
        <w:jc w:val="left"/>
        <w:rPr>
          <w:color w:val="000000"/>
          <w:kern w:val="0"/>
          <w:szCs w:val="21"/>
        </w:rPr>
      </w:pPr>
      <w:r>
        <w:rPr>
          <w:b/>
          <w:bCs/>
          <w:color w:val="000000"/>
          <w:kern w:val="0"/>
          <w:szCs w:val="21"/>
        </w:rPr>
        <w:t>一般掌握</w:t>
      </w:r>
      <w:r>
        <w:rPr>
          <w:color w:val="000000"/>
          <w:kern w:val="0"/>
          <w:szCs w:val="21"/>
        </w:rPr>
        <w:t>：</w:t>
      </w:r>
      <w:r>
        <w:rPr>
          <w:color w:val="262600"/>
        </w:rPr>
        <w:t>温室的热平衡原理</w:t>
      </w:r>
      <w:r>
        <w:rPr>
          <w:rFonts w:hint="eastAsia"/>
          <w:color w:val="262600"/>
        </w:rPr>
        <w:t>；</w:t>
      </w:r>
      <w:r>
        <w:rPr>
          <w:rFonts w:hint="eastAsia"/>
          <w:color w:val="000000" w:themeColor="text1"/>
        </w:rPr>
        <w:t>作物对温度环境的要求</w:t>
      </w:r>
    </w:p>
    <w:p w14:paraId="150A51D3" w14:textId="77777777" w:rsidR="00F5289E" w:rsidRDefault="00C91173">
      <w:pPr>
        <w:widowControl/>
        <w:adjustRightInd w:val="0"/>
        <w:spacing w:line="360" w:lineRule="auto"/>
        <w:ind w:firstLineChars="100" w:firstLine="211"/>
        <w:jc w:val="left"/>
        <w:rPr>
          <w:color w:val="262600"/>
        </w:rPr>
      </w:pPr>
      <w:r>
        <w:rPr>
          <w:rFonts w:ascii="宋体" w:hAnsi="宋体" w:hint="eastAsia"/>
          <w:b/>
          <w:szCs w:val="21"/>
        </w:rPr>
        <w:t>熟练掌握</w:t>
      </w:r>
      <w:r>
        <w:rPr>
          <w:color w:val="000000"/>
          <w:kern w:val="0"/>
          <w:szCs w:val="21"/>
        </w:rPr>
        <w:t>：</w:t>
      </w:r>
      <w:r>
        <w:rPr>
          <w:color w:val="262600"/>
        </w:rPr>
        <w:t>设施内温度环境条件形成的原因和控制措施</w:t>
      </w:r>
    </w:p>
    <w:p w14:paraId="47F1D814" w14:textId="77777777" w:rsidR="00F5289E" w:rsidRDefault="00C91173">
      <w:pPr>
        <w:spacing w:line="360" w:lineRule="auto"/>
        <w:rPr>
          <w:szCs w:val="21"/>
        </w:rPr>
      </w:pPr>
      <w:r>
        <w:rPr>
          <w:b/>
          <w:szCs w:val="21"/>
        </w:rPr>
        <w:t>（二）考核内容</w:t>
      </w:r>
    </w:p>
    <w:p w14:paraId="23FB5B99" w14:textId="77777777" w:rsidR="00F5289E" w:rsidRDefault="00C91173">
      <w:pPr>
        <w:adjustRightInd w:val="0"/>
        <w:spacing w:line="360" w:lineRule="auto"/>
        <w:ind w:leftChars="100" w:left="210"/>
        <w:rPr>
          <w:kern w:val="0"/>
          <w:szCs w:val="21"/>
        </w:rPr>
      </w:pPr>
      <w:r>
        <w:rPr>
          <w:color w:val="262600"/>
          <w:szCs w:val="21"/>
        </w:rPr>
        <w:t>设施内温度环境特点</w:t>
      </w:r>
      <w:r>
        <w:rPr>
          <w:rFonts w:hint="eastAsia"/>
          <w:color w:val="262600"/>
          <w:szCs w:val="21"/>
        </w:rPr>
        <w:t>及产生原因；</w:t>
      </w:r>
      <w:r>
        <w:rPr>
          <w:rFonts w:hint="eastAsia"/>
          <w:color w:val="000000" w:themeColor="text1"/>
          <w:szCs w:val="21"/>
        </w:rPr>
        <w:t>作物对温度环境的要求；</w:t>
      </w:r>
      <w:r>
        <w:rPr>
          <w:color w:val="262600"/>
          <w:szCs w:val="21"/>
        </w:rPr>
        <w:t>温室的热平衡原理</w:t>
      </w:r>
      <w:r>
        <w:rPr>
          <w:rFonts w:hint="eastAsia"/>
          <w:color w:val="262600"/>
          <w:szCs w:val="21"/>
        </w:rPr>
        <w:t>；</w:t>
      </w:r>
      <w:r>
        <w:rPr>
          <w:color w:val="262600"/>
          <w:szCs w:val="21"/>
        </w:rPr>
        <w:t>保温</w:t>
      </w:r>
      <w:r>
        <w:rPr>
          <w:rFonts w:hint="eastAsia"/>
          <w:color w:val="262600"/>
          <w:szCs w:val="21"/>
        </w:rPr>
        <w:t>技术；加温技术（</w:t>
      </w:r>
      <w:r>
        <w:rPr>
          <w:szCs w:val="21"/>
        </w:rPr>
        <w:t>采暖设备设计的条件与程序</w:t>
      </w:r>
      <w:r>
        <w:rPr>
          <w:rFonts w:hint="eastAsia"/>
          <w:szCs w:val="21"/>
        </w:rPr>
        <w:t>，</w:t>
      </w:r>
      <w:r>
        <w:rPr>
          <w:szCs w:val="21"/>
        </w:rPr>
        <w:t>采暖负荷的计算</w:t>
      </w:r>
      <w:r>
        <w:rPr>
          <w:rFonts w:hint="eastAsia"/>
          <w:szCs w:val="21"/>
        </w:rPr>
        <w:t>，</w:t>
      </w:r>
      <w:r>
        <w:rPr>
          <w:szCs w:val="21"/>
        </w:rPr>
        <w:t>地上采暖设备的配置</w:t>
      </w:r>
      <w:r>
        <w:rPr>
          <w:rFonts w:hint="eastAsia"/>
          <w:szCs w:val="21"/>
        </w:rPr>
        <w:t>）</w:t>
      </w:r>
      <w:r>
        <w:rPr>
          <w:color w:val="262600"/>
          <w:szCs w:val="21"/>
        </w:rPr>
        <w:t>；</w:t>
      </w:r>
      <w:r>
        <w:rPr>
          <w:kern w:val="0"/>
          <w:szCs w:val="21"/>
        </w:rPr>
        <w:t>湿帘降温</w:t>
      </w:r>
      <w:r>
        <w:rPr>
          <w:rFonts w:hint="eastAsia"/>
          <w:kern w:val="0"/>
          <w:szCs w:val="21"/>
        </w:rPr>
        <w:t>、</w:t>
      </w:r>
      <w:r>
        <w:rPr>
          <w:kern w:val="0"/>
          <w:szCs w:val="21"/>
        </w:rPr>
        <w:t>屋面洒水</w:t>
      </w:r>
      <w:r>
        <w:rPr>
          <w:rFonts w:hint="eastAsia"/>
          <w:kern w:val="0"/>
          <w:szCs w:val="21"/>
        </w:rPr>
        <w:t>、</w:t>
      </w:r>
      <w:r>
        <w:rPr>
          <w:kern w:val="0"/>
          <w:szCs w:val="21"/>
        </w:rPr>
        <w:t>温室喷雾</w:t>
      </w:r>
      <w:r>
        <w:rPr>
          <w:rFonts w:hint="eastAsia"/>
          <w:szCs w:val="21"/>
        </w:rPr>
        <w:t>等</w:t>
      </w:r>
      <w:r>
        <w:rPr>
          <w:kern w:val="0"/>
          <w:szCs w:val="21"/>
        </w:rPr>
        <w:t>降温技术</w:t>
      </w:r>
      <w:r>
        <w:rPr>
          <w:szCs w:val="21"/>
        </w:rPr>
        <w:t>。</w:t>
      </w:r>
    </w:p>
    <w:p w14:paraId="7CF5B85F" w14:textId="77777777" w:rsidR="00F5289E" w:rsidRDefault="00C91173">
      <w:pPr>
        <w:spacing w:line="360" w:lineRule="auto"/>
        <w:rPr>
          <w:b/>
          <w:szCs w:val="21"/>
        </w:rPr>
      </w:pPr>
      <w:r>
        <w:rPr>
          <w:b/>
          <w:szCs w:val="21"/>
        </w:rPr>
        <w:t>（三）考核要求</w:t>
      </w:r>
    </w:p>
    <w:p w14:paraId="79AF12C3" w14:textId="77777777" w:rsidR="00F5289E" w:rsidRDefault="00C91173">
      <w:pPr>
        <w:spacing w:line="360" w:lineRule="auto"/>
        <w:ind w:firstLineChars="50" w:firstLine="105"/>
        <w:rPr>
          <w:color w:val="262600"/>
          <w:szCs w:val="21"/>
        </w:rPr>
      </w:pPr>
      <w:r>
        <w:rPr>
          <w:rFonts w:ascii="宋体" w:hAnsi="宋体" w:hint="eastAsia"/>
          <w:b/>
          <w:szCs w:val="21"/>
        </w:rPr>
        <w:t>1、识记</w:t>
      </w:r>
      <w:r>
        <w:rPr>
          <w:rFonts w:ascii="宋体" w:hAnsi="宋体" w:hint="eastAsia"/>
          <w:szCs w:val="21"/>
        </w:rPr>
        <w:t>：</w:t>
      </w:r>
      <w:r>
        <w:rPr>
          <w:color w:val="262600"/>
          <w:szCs w:val="21"/>
        </w:rPr>
        <w:t>温室的热平衡原理</w:t>
      </w:r>
    </w:p>
    <w:p w14:paraId="4C6FC597" w14:textId="77777777" w:rsidR="00F5289E" w:rsidRDefault="00C91173">
      <w:pPr>
        <w:spacing w:line="360" w:lineRule="auto"/>
        <w:ind w:firstLineChars="50" w:firstLine="105"/>
        <w:rPr>
          <w:rFonts w:ascii="宋体" w:hAnsi="宋体"/>
          <w:bCs/>
        </w:rPr>
      </w:pPr>
      <w:r>
        <w:rPr>
          <w:rFonts w:ascii="宋体" w:hAnsi="宋体" w:hint="eastAsia"/>
          <w:b/>
          <w:szCs w:val="21"/>
        </w:rPr>
        <w:t>2、领会</w:t>
      </w:r>
      <w:r>
        <w:rPr>
          <w:rFonts w:ascii="宋体" w:hAnsi="宋体" w:hint="eastAsia"/>
          <w:szCs w:val="21"/>
        </w:rPr>
        <w:t>：</w:t>
      </w:r>
      <w:r>
        <w:rPr>
          <w:rFonts w:hint="eastAsia"/>
          <w:iCs/>
          <w:color w:val="000000" w:themeColor="text1"/>
        </w:rPr>
        <w:t>园艺设施内温度条件特点及产生原因</w:t>
      </w:r>
    </w:p>
    <w:p w14:paraId="76FC0A58" w14:textId="77777777" w:rsidR="00F5289E" w:rsidRDefault="00C91173">
      <w:pPr>
        <w:spacing w:line="360" w:lineRule="auto"/>
        <w:ind w:firstLineChars="50" w:firstLine="105"/>
        <w:rPr>
          <w:color w:val="000000" w:themeColor="text1"/>
        </w:rPr>
      </w:pPr>
      <w:r>
        <w:rPr>
          <w:rFonts w:ascii="宋体" w:hAnsi="宋体" w:hint="eastAsia"/>
          <w:b/>
          <w:szCs w:val="21"/>
        </w:rPr>
        <w:t>3、简单应用</w:t>
      </w:r>
      <w:r>
        <w:rPr>
          <w:rFonts w:ascii="宋体" w:hAnsi="宋体" w:hint="eastAsia"/>
          <w:szCs w:val="21"/>
        </w:rPr>
        <w:t>：</w:t>
      </w:r>
      <w:r>
        <w:rPr>
          <w:rFonts w:hint="eastAsia"/>
          <w:color w:val="000000" w:themeColor="text1"/>
        </w:rPr>
        <w:t>作物对温度环境的要求</w:t>
      </w:r>
    </w:p>
    <w:p w14:paraId="3E25BFAA" w14:textId="77777777" w:rsidR="00F5289E" w:rsidRDefault="00C91173">
      <w:pPr>
        <w:spacing w:line="360" w:lineRule="auto"/>
        <w:ind w:firstLineChars="50" w:firstLine="105"/>
        <w:rPr>
          <w:b/>
          <w:szCs w:val="21"/>
        </w:rPr>
      </w:pPr>
      <w:r>
        <w:rPr>
          <w:rFonts w:ascii="宋体" w:hAnsi="宋体" w:hint="eastAsia"/>
          <w:b/>
          <w:szCs w:val="21"/>
        </w:rPr>
        <w:t>4、综合应用</w:t>
      </w:r>
      <w:r>
        <w:rPr>
          <w:rFonts w:ascii="宋体" w:hAnsi="宋体" w:hint="eastAsia"/>
          <w:szCs w:val="21"/>
        </w:rPr>
        <w:t>：</w:t>
      </w:r>
      <w:r>
        <w:rPr>
          <w:rFonts w:hint="eastAsia"/>
          <w:color w:val="000000" w:themeColor="text1"/>
        </w:rPr>
        <w:t>园艺设施内的温度环境调控（保温，加温和降温技术）</w:t>
      </w:r>
    </w:p>
    <w:p w14:paraId="4936B399" w14:textId="77777777" w:rsidR="00F5289E" w:rsidRDefault="00C91173">
      <w:pPr>
        <w:widowControl/>
        <w:adjustRightInd w:val="0"/>
        <w:spacing w:line="360" w:lineRule="auto"/>
        <w:jc w:val="center"/>
        <w:rPr>
          <w:color w:val="000000"/>
          <w:kern w:val="0"/>
          <w:szCs w:val="21"/>
        </w:rPr>
      </w:pPr>
      <w:r>
        <w:rPr>
          <w:b/>
          <w:bCs/>
          <w:color w:val="000000"/>
          <w:kern w:val="0"/>
          <w:szCs w:val="21"/>
        </w:rPr>
        <w:t xml:space="preserve">第三章　</w:t>
      </w:r>
      <w:r>
        <w:rPr>
          <w:b/>
          <w:color w:val="262600"/>
        </w:rPr>
        <w:t>设施水环境特点与调控技术</w:t>
      </w:r>
    </w:p>
    <w:p w14:paraId="5294E26D" w14:textId="77777777" w:rsidR="00F5289E" w:rsidRDefault="00C91173">
      <w:pPr>
        <w:spacing w:line="360" w:lineRule="auto"/>
        <w:rPr>
          <w:b/>
          <w:szCs w:val="21"/>
        </w:rPr>
      </w:pPr>
      <w:r>
        <w:rPr>
          <w:b/>
          <w:szCs w:val="21"/>
        </w:rPr>
        <w:t>（一）学习目标</w:t>
      </w:r>
    </w:p>
    <w:p w14:paraId="34BF5461" w14:textId="77777777" w:rsidR="00F5289E" w:rsidRDefault="00C91173">
      <w:pPr>
        <w:widowControl/>
        <w:adjustRightInd w:val="0"/>
        <w:spacing w:line="360" w:lineRule="auto"/>
        <w:rPr>
          <w:rFonts w:ascii="宋体" w:hAnsi="宋体" w:cs="宋体"/>
          <w:szCs w:val="21"/>
        </w:rPr>
      </w:pPr>
      <w:r>
        <w:rPr>
          <w:rFonts w:ascii="宋体" w:hAnsi="宋体" w:cs="宋体" w:hint="eastAsia"/>
          <w:b/>
          <w:szCs w:val="21"/>
        </w:rPr>
        <w:t>一般了解</w:t>
      </w:r>
      <w:r>
        <w:rPr>
          <w:rFonts w:ascii="宋体" w:hAnsi="宋体" w:cs="宋体" w:hint="eastAsia"/>
          <w:color w:val="000000"/>
          <w:kern w:val="0"/>
          <w:szCs w:val="21"/>
        </w:rPr>
        <w:t>：</w:t>
      </w:r>
      <w:r>
        <w:rPr>
          <w:rFonts w:ascii="宋体" w:hAnsi="宋体" w:hint="eastAsia"/>
          <w:szCs w:val="21"/>
        </w:rPr>
        <w:t>作物对设施内水环境的要求</w:t>
      </w:r>
      <w:r>
        <w:rPr>
          <w:rFonts w:ascii="宋体" w:hAnsi="宋体" w:cs="宋体" w:hint="eastAsia"/>
          <w:szCs w:val="21"/>
        </w:rPr>
        <w:t>；设施水环境的其它调节技术及设备</w:t>
      </w:r>
    </w:p>
    <w:p w14:paraId="2B14CC7B" w14:textId="77777777" w:rsidR="00F5289E" w:rsidRDefault="00C91173">
      <w:pPr>
        <w:pStyle w:val="110"/>
        <w:snapToGrid/>
        <w:spacing w:line="360" w:lineRule="auto"/>
        <w:rPr>
          <w:rFonts w:ascii="宋体" w:eastAsia="宋体" w:hAnsi="宋体" w:cs="宋体"/>
          <w:b/>
          <w:sz w:val="21"/>
          <w:szCs w:val="21"/>
        </w:rPr>
      </w:pPr>
      <w:r>
        <w:rPr>
          <w:rFonts w:ascii="宋体" w:eastAsia="宋体" w:hAnsi="宋体" w:cs="宋体" w:hint="eastAsia"/>
          <w:b/>
          <w:sz w:val="21"/>
          <w:szCs w:val="21"/>
        </w:rPr>
        <w:t>一般掌握：</w:t>
      </w:r>
      <w:r>
        <w:rPr>
          <w:rFonts w:ascii="宋体" w:eastAsia="宋体" w:hAnsi="宋体" w:cs="宋体" w:hint="eastAsia"/>
          <w:color w:val="000000"/>
          <w:sz w:val="21"/>
          <w:szCs w:val="21"/>
        </w:rPr>
        <w:t>设施灌溉系统的组成及主要类型，</w:t>
      </w:r>
      <w:r>
        <w:rPr>
          <w:rFonts w:ascii="宋体" w:eastAsia="宋体" w:hAnsi="宋体" w:cs="宋体" w:hint="eastAsia"/>
          <w:sz w:val="21"/>
          <w:szCs w:val="21"/>
        </w:rPr>
        <w:t>设施主要灌溉技术及设备</w:t>
      </w:r>
    </w:p>
    <w:p w14:paraId="57F549D9" w14:textId="77777777" w:rsidR="00F5289E" w:rsidRDefault="00C91173">
      <w:pPr>
        <w:pStyle w:val="110"/>
        <w:snapToGrid/>
        <w:spacing w:line="360" w:lineRule="auto"/>
        <w:rPr>
          <w:rFonts w:ascii="宋体" w:eastAsia="宋体" w:hAnsi="宋体" w:cs="宋体"/>
          <w:color w:val="000000"/>
          <w:sz w:val="21"/>
          <w:szCs w:val="21"/>
        </w:rPr>
      </w:pPr>
      <w:r>
        <w:rPr>
          <w:rFonts w:ascii="宋体" w:eastAsia="宋体" w:hAnsi="宋体" w:cs="宋体" w:hint="eastAsia"/>
          <w:b/>
          <w:sz w:val="21"/>
          <w:szCs w:val="21"/>
        </w:rPr>
        <w:t>熟练掌握</w:t>
      </w:r>
      <w:r>
        <w:rPr>
          <w:rFonts w:ascii="宋体" w:eastAsia="宋体" w:hAnsi="宋体" w:cs="宋体" w:hint="eastAsia"/>
          <w:color w:val="000000"/>
          <w:sz w:val="21"/>
          <w:szCs w:val="21"/>
        </w:rPr>
        <w:t>：</w:t>
      </w:r>
      <w:r>
        <w:rPr>
          <w:rFonts w:ascii="宋体" w:eastAsia="宋体" w:hAnsi="宋体" w:hint="eastAsia"/>
          <w:sz w:val="21"/>
          <w:szCs w:val="21"/>
        </w:rPr>
        <w:t>设施水环境的特点及调节</w:t>
      </w:r>
    </w:p>
    <w:p w14:paraId="781EE863" w14:textId="77777777" w:rsidR="00F5289E" w:rsidRDefault="00C91173">
      <w:pPr>
        <w:spacing w:line="360" w:lineRule="auto"/>
        <w:rPr>
          <w:szCs w:val="21"/>
        </w:rPr>
      </w:pPr>
      <w:r>
        <w:rPr>
          <w:b/>
          <w:szCs w:val="21"/>
        </w:rPr>
        <w:lastRenderedPageBreak/>
        <w:t>（二）考核内容</w:t>
      </w:r>
    </w:p>
    <w:p w14:paraId="54C62702" w14:textId="77777777" w:rsidR="00F5289E" w:rsidRDefault="00C91173">
      <w:pPr>
        <w:pStyle w:val="110"/>
        <w:snapToGrid/>
        <w:spacing w:line="360" w:lineRule="auto"/>
        <w:rPr>
          <w:rFonts w:ascii="宋体" w:eastAsia="宋体" w:hAnsi="宋体"/>
          <w:sz w:val="21"/>
          <w:szCs w:val="21"/>
        </w:rPr>
      </w:pPr>
      <w:r>
        <w:rPr>
          <w:rFonts w:ascii="宋体" w:eastAsia="宋体" w:hAnsi="宋体" w:cs="宋体" w:hint="eastAsia"/>
          <w:color w:val="000000" w:themeColor="text1"/>
          <w:sz w:val="21"/>
          <w:szCs w:val="21"/>
        </w:rPr>
        <w:t>不同作物对空气湿度的要求，园艺设施空气湿度的表示方法与测量，</w:t>
      </w:r>
      <w:r>
        <w:rPr>
          <w:rFonts w:ascii="宋体" w:eastAsia="宋体" w:hAnsi="宋体" w:cs="宋体" w:hint="eastAsia"/>
          <w:bCs/>
          <w:color w:val="000000" w:themeColor="text1"/>
          <w:sz w:val="21"/>
          <w:szCs w:val="21"/>
        </w:rPr>
        <w:t>设施内的空气湿度特点</w:t>
      </w:r>
      <w:r>
        <w:rPr>
          <w:rFonts w:ascii="宋体" w:eastAsia="宋体" w:hAnsi="宋体" w:cs="宋体" w:hint="eastAsia"/>
          <w:color w:val="000000" w:themeColor="text1"/>
          <w:sz w:val="21"/>
          <w:szCs w:val="21"/>
        </w:rPr>
        <w:t>及调控，园艺设施内土壤水分环境的特点及调控，</w:t>
      </w:r>
      <w:r>
        <w:rPr>
          <w:rFonts w:ascii="宋体" w:eastAsia="宋体" w:hAnsi="宋体" w:hint="eastAsia"/>
          <w:sz w:val="21"/>
          <w:szCs w:val="21"/>
        </w:rPr>
        <w:t>设施灌溉系统的组成</w:t>
      </w:r>
      <w:r>
        <w:rPr>
          <w:rFonts w:ascii="宋体" w:eastAsia="宋体" w:hAnsi="宋体" w:cs="宋体" w:hint="eastAsia"/>
          <w:color w:val="000000" w:themeColor="text1"/>
          <w:sz w:val="21"/>
          <w:szCs w:val="21"/>
        </w:rPr>
        <w:t>，</w:t>
      </w:r>
      <w:r>
        <w:rPr>
          <w:rFonts w:ascii="宋体" w:eastAsia="宋体" w:hAnsi="宋体" w:hint="eastAsia"/>
          <w:sz w:val="21"/>
          <w:szCs w:val="21"/>
        </w:rPr>
        <w:t>设施灌溉系统主要类型</w:t>
      </w:r>
      <w:r>
        <w:rPr>
          <w:rFonts w:ascii="宋体" w:eastAsia="宋体" w:hAnsi="宋体" w:cs="宋体" w:hint="eastAsia"/>
          <w:color w:val="000000" w:themeColor="text1"/>
          <w:sz w:val="21"/>
          <w:szCs w:val="21"/>
        </w:rPr>
        <w:t>，</w:t>
      </w:r>
      <w:r>
        <w:rPr>
          <w:rFonts w:ascii="宋体" w:eastAsia="宋体" w:hAnsi="宋体" w:hint="eastAsia"/>
          <w:sz w:val="21"/>
          <w:szCs w:val="21"/>
        </w:rPr>
        <w:t>设施主要灌溉技术及设备。</w:t>
      </w:r>
    </w:p>
    <w:p w14:paraId="50D35A1B" w14:textId="77777777" w:rsidR="00F5289E" w:rsidRDefault="00C91173">
      <w:pPr>
        <w:spacing w:line="360" w:lineRule="auto"/>
        <w:rPr>
          <w:b/>
          <w:szCs w:val="21"/>
        </w:rPr>
      </w:pPr>
      <w:r>
        <w:rPr>
          <w:b/>
          <w:szCs w:val="21"/>
        </w:rPr>
        <w:t>（三）考核要求</w:t>
      </w:r>
    </w:p>
    <w:p w14:paraId="5734AA9A" w14:textId="77777777" w:rsidR="00F5289E" w:rsidRDefault="00C91173">
      <w:pPr>
        <w:spacing w:line="360" w:lineRule="auto"/>
        <w:ind w:firstLineChars="50" w:firstLine="105"/>
        <w:rPr>
          <w:rFonts w:ascii="宋体" w:hAnsi="宋体"/>
          <w:bCs/>
        </w:rPr>
      </w:pPr>
      <w:r>
        <w:rPr>
          <w:rFonts w:ascii="宋体" w:hAnsi="宋体" w:hint="eastAsia"/>
          <w:b/>
          <w:szCs w:val="21"/>
        </w:rPr>
        <w:t>1、识记</w:t>
      </w:r>
      <w:r>
        <w:rPr>
          <w:rFonts w:ascii="宋体" w:hAnsi="宋体" w:hint="eastAsia"/>
          <w:szCs w:val="21"/>
        </w:rPr>
        <w:t>：</w:t>
      </w:r>
      <w:r>
        <w:rPr>
          <w:rFonts w:ascii="宋体" w:hAnsi="宋体" w:cs="宋体" w:hint="eastAsia"/>
          <w:color w:val="000000" w:themeColor="text1"/>
          <w:szCs w:val="21"/>
        </w:rPr>
        <w:t>不同作物对空气湿度的要求，园艺设施空气湿度的表示方法与测量</w:t>
      </w:r>
    </w:p>
    <w:p w14:paraId="1A81CC42" w14:textId="77777777" w:rsidR="00F5289E" w:rsidRDefault="00C91173">
      <w:pPr>
        <w:spacing w:line="360" w:lineRule="auto"/>
        <w:ind w:firstLineChars="50" w:firstLine="105"/>
        <w:rPr>
          <w:rFonts w:ascii="宋体" w:hAnsi="宋体"/>
          <w:bCs/>
        </w:rPr>
      </w:pPr>
      <w:r>
        <w:rPr>
          <w:rFonts w:ascii="宋体" w:hAnsi="宋体" w:hint="eastAsia"/>
          <w:b/>
          <w:szCs w:val="21"/>
        </w:rPr>
        <w:t>2、领会</w:t>
      </w:r>
      <w:r>
        <w:rPr>
          <w:rFonts w:ascii="宋体" w:hAnsi="宋体" w:hint="eastAsia"/>
          <w:szCs w:val="21"/>
        </w:rPr>
        <w:t>：设施灌溉系统的组成</w:t>
      </w:r>
      <w:r>
        <w:rPr>
          <w:rFonts w:ascii="宋体" w:hAnsi="宋体" w:cs="宋体" w:hint="eastAsia"/>
          <w:color w:val="000000" w:themeColor="text1"/>
          <w:szCs w:val="21"/>
        </w:rPr>
        <w:t>及主要</w:t>
      </w:r>
      <w:r>
        <w:rPr>
          <w:rFonts w:ascii="宋体" w:hAnsi="宋体" w:hint="eastAsia"/>
          <w:szCs w:val="21"/>
        </w:rPr>
        <w:t>类型</w:t>
      </w:r>
    </w:p>
    <w:p w14:paraId="0085D28D" w14:textId="77777777" w:rsidR="00F5289E" w:rsidRDefault="00C91173">
      <w:pPr>
        <w:spacing w:line="360" w:lineRule="auto"/>
        <w:ind w:firstLineChars="50" w:firstLine="105"/>
        <w:rPr>
          <w:rFonts w:ascii="宋体" w:hAnsi="宋体" w:cs="宋体"/>
          <w:color w:val="000000" w:themeColor="text1"/>
          <w:szCs w:val="21"/>
        </w:rPr>
      </w:pPr>
      <w:r>
        <w:rPr>
          <w:rFonts w:ascii="宋体" w:hAnsi="宋体" w:hint="eastAsia"/>
          <w:b/>
          <w:szCs w:val="21"/>
        </w:rPr>
        <w:t>3、简单应用</w:t>
      </w:r>
      <w:r>
        <w:rPr>
          <w:rFonts w:ascii="宋体" w:hAnsi="宋体" w:hint="eastAsia"/>
          <w:szCs w:val="21"/>
        </w:rPr>
        <w:t>：</w:t>
      </w:r>
      <w:r>
        <w:rPr>
          <w:rFonts w:ascii="宋体" w:hAnsi="宋体" w:cs="宋体" w:hint="eastAsia"/>
          <w:bCs/>
          <w:color w:val="000000" w:themeColor="text1"/>
          <w:szCs w:val="21"/>
        </w:rPr>
        <w:t>设施内的空气湿度特点</w:t>
      </w:r>
      <w:r>
        <w:rPr>
          <w:rFonts w:ascii="宋体" w:hAnsi="宋体" w:cs="宋体" w:hint="eastAsia"/>
          <w:color w:val="000000" w:themeColor="text1"/>
          <w:szCs w:val="21"/>
        </w:rPr>
        <w:t>及调控；园艺设施内土壤水分环境的特点及调控</w:t>
      </w:r>
    </w:p>
    <w:p w14:paraId="28EB2525" w14:textId="77777777" w:rsidR="00F5289E" w:rsidRDefault="00C91173">
      <w:pPr>
        <w:spacing w:line="360" w:lineRule="auto"/>
        <w:ind w:firstLineChars="50" w:firstLine="105"/>
        <w:rPr>
          <w:color w:val="0000FF"/>
          <w:szCs w:val="21"/>
        </w:rPr>
      </w:pPr>
      <w:r>
        <w:rPr>
          <w:rFonts w:ascii="宋体" w:hAnsi="宋体" w:hint="eastAsia"/>
          <w:b/>
          <w:szCs w:val="21"/>
        </w:rPr>
        <w:t>4、综合应用</w:t>
      </w:r>
      <w:r>
        <w:rPr>
          <w:rFonts w:ascii="宋体" w:hAnsi="宋体" w:hint="eastAsia"/>
          <w:szCs w:val="21"/>
        </w:rPr>
        <w:t>：设施主要灌溉技术及设备</w:t>
      </w:r>
    </w:p>
    <w:p w14:paraId="5FFCBF94" w14:textId="77777777" w:rsidR="00F5289E" w:rsidRDefault="00C91173">
      <w:pPr>
        <w:widowControl/>
        <w:tabs>
          <w:tab w:val="left" w:pos="1440"/>
        </w:tabs>
        <w:adjustRightInd w:val="0"/>
        <w:spacing w:line="360" w:lineRule="auto"/>
        <w:jc w:val="center"/>
        <w:rPr>
          <w:b/>
          <w:color w:val="262600"/>
        </w:rPr>
      </w:pPr>
      <w:r>
        <w:rPr>
          <w:b/>
          <w:bCs/>
          <w:color w:val="000000"/>
          <w:kern w:val="0"/>
          <w:szCs w:val="21"/>
        </w:rPr>
        <w:t>第四章</w:t>
      </w:r>
      <w:r>
        <w:rPr>
          <w:b/>
          <w:bCs/>
          <w:color w:val="000000"/>
          <w:kern w:val="0"/>
          <w:szCs w:val="21"/>
        </w:rPr>
        <w:t>  </w:t>
      </w:r>
      <w:r>
        <w:rPr>
          <w:b/>
          <w:color w:val="262600"/>
        </w:rPr>
        <w:t>设施气体环境特点与调控技术</w:t>
      </w:r>
    </w:p>
    <w:p w14:paraId="7E4E6C83" w14:textId="77777777" w:rsidR="00F5289E" w:rsidRDefault="00C91173">
      <w:pPr>
        <w:spacing w:line="360" w:lineRule="auto"/>
        <w:rPr>
          <w:b/>
          <w:szCs w:val="21"/>
        </w:rPr>
      </w:pPr>
      <w:r>
        <w:rPr>
          <w:b/>
          <w:szCs w:val="21"/>
        </w:rPr>
        <w:t>（一）学习目标</w:t>
      </w:r>
    </w:p>
    <w:p w14:paraId="21A5DAB9" w14:textId="77777777" w:rsidR="00F5289E" w:rsidRDefault="00C91173">
      <w:pPr>
        <w:widowControl/>
        <w:adjustRightInd w:val="0"/>
        <w:spacing w:line="360" w:lineRule="auto"/>
        <w:ind w:firstLineChars="100" w:firstLine="211"/>
        <w:jc w:val="left"/>
        <w:rPr>
          <w:bCs/>
          <w:color w:val="000000"/>
          <w:szCs w:val="21"/>
        </w:rPr>
      </w:pPr>
      <w:r>
        <w:rPr>
          <w:rFonts w:ascii="宋体" w:hAnsi="宋体" w:cs="宋体" w:hint="eastAsia"/>
          <w:b/>
          <w:szCs w:val="21"/>
        </w:rPr>
        <w:t>一般了解</w:t>
      </w:r>
      <w:r>
        <w:rPr>
          <w:bCs/>
          <w:color w:val="000000"/>
          <w:szCs w:val="21"/>
        </w:rPr>
        <w:t xml:space="preserve">: </w:t>
      </w:r>
      <w:r>
        <w:rPr>
          <w:rFonts w:ascii="宋体" w:hAnsi="宋体" w:hint="eastAsia"/>
          <w:bCs/>
          <w:szCs w:val="21"/>
        </w:rPr>
        <w:t>设施内有害气体及其排除</w:t>
      </w:r>
    </w:p>
    <w:p w14:paraId="72C4ABDE" w14:textId="77777777" w:rsidR="00F5289E" w:rsidRDefault="00C91173">
      <w:pPr>
        <w:widowControl/>
        <w:adjustRightInd w:val="0"/>
        <w:spacing w:line="360" w:lineRule="auto"/>
        <w:ind w:firstLineChars="100" w:firstLine="211"/>
        <w:jc w:val="left"/>
        <w:rPr>
          <w:color w:val="000000"/>
          <w:szCs w:val="21"/>
        </w:rPr>
      </w:pPr>
      <w:r>
        <w:rPr>
          <w:b/>
          <w:bCs/>
          <w:color w:val="000000"/>
          <w:kern w:val="0"/>
          <w:szCs w:val="21"/>
        </w:rPr>
        <w:t>一般掌握</w:t>
      </w:r>
      <w:r>
        <w:rPr>
          <w:color w:val="000000"/>
          <w:kern w:val="0"/>
          <w:szCs w:val="21"/>
        </w:rPr>
        <w:t>：</w:t>
      </w:r>
      <w:r>
        <w:rPr>
          <w:rFonts w:ascii="宋体" w:hAnsi="宋体" w:hint="eastAsia"/>
          <w:bCs/>
          <w:szCs w:val="21"/>
        </w:rPr>
        <w:t>设施内气体环境特点；</w:t>
      </w:r>
      <w:r>
        <w:rPr>
          <w:color w:val="000000"/>
          <w:szCs w:val="21"/>
        </w:rPr>
        <w:t>温室内气流的调控</w:t>
      </w:r>
    </w:p>
    <w:p w14:paraId="7E025A7B" w14:textId="77777777" w:rsidR="00F5289E" w:rsidRDefault="00C91173">
      <w:pPr>
        <w:widowControl/>
        <w:adjustRightInd w:val="0"/>
        <w:spacing w:line="360" w:lineRule="auto"/>
        <w:ind w:firstLineChars="100" w:firstLine="211"/>
        <w:jc w:val="left"/>
        <w:rPr>
          <w:color w:val="000000"/>
          <w:szCs w:val="21"/>
        </w:rPr>
      </w:pPr>
      <w:r>
        <w:rPr>
          <w:rFonts w:ascii="宋体" w:hAnsi="宋体" w:cs="宋体" w:hint="eastAsia"/>
          <w:b/>
          <w:szCs w:val="21"/>
        </w:rPr>
        <w:t>熟练掌握：</w:t>
      </w:r>
      <w:r>
        <w:rPr>
          <w:rFonts w:asciiTheme="minorEastAsia" w:eastAsiaTheme="minorEastAsia" w:hAnsiTheme="minorEastAsia" w:cstheme="minorEastAsia" w:hint="eastAsia"/>
          <w:color w:val="000000" w:themeColor="text1"/>
          <w:szCs w:val="21"/>
        </w:rPr>
        <w:t>设施内二氧化碳气体状况及其调控</w:t>
      </w:r>
    </w:p>
    <w:p w14:paraId="3B56242F" w14:textId="77777777" w:rsidR="00F5289E" w:rsidRDefault="00C91173">
      <w:pPr>
        <w:spacing w:line="360" w:lineRule="auto"/>
        <w:rPr>
          <w:szCs w:val="21"/>
        </w:rPr>
      </w:pPr>
      <w:r>
        <w:rPr>
          <w:b/>
          <w:szCs w:val="21"/>
        </w:rPr>
        <w:t>（二）考核内容</w:t>
      </w:r>
    </w:p>
    <w:p w14:paraId="72B6F085" w14:textId="77777777" w:rsidR="00F5289E" w:rsidRDefault="00C91173">
      <w:pPr>
        <w:adjustRightInd w:val="0"/>
        <w:spacing w:line="360" w:lineRule="auto"/>
        <w:rPr>
          <w:szCs w:val="21"/>
        </w:rPr>
      </w:pPr>
      <w:r>
        <w:rPr>
          <w:bCs/>
          <w:color w:val="000000"/>
          <w:szCs w:val="21"/>
        </w:rPr>
        <w:t>温室内气体环境的特点</w:t>
      </w:r>
      <w:r>
        <w:rPr>
          <w:b/>
          <w:bCs/>
          <w:color w:val="000000"/>
          <w:szCs w:val="21"/>
        </w:rPr>
        <w:t>；</w:t>
      </w:r>
      <w:r>
        <w:rPr>
          <w:bCs/>
          <w:color w:val="000000"/>
          <w:szCs w:val="21"/>
        </w:rPr>
        <w:t>温室内有害气体的产生及预防措施</w:t>
      </w:r>
      <w:r>
        <w:rPr>
          <w:b/>
          <w:bCs/>
          <w:color w:val="000000"/>
          <w:szCs w:val="21"/>
        </w:rPr>
        <w:t>；</w:t>
      </w:r>
      <w:r>
        <w:rPr>
          <w:szCs w:val="21"/>
        </w:rPr>
        <w:t>温室通风原理、设计要求、基本形式与特点；通风量的计算；通风设备的结构与性能；二氧化碳的施用方式与设备</w:t>
      </w:r>
    </w:p>
    <w:p w14:paraId="6F360929" w14:textId="77777777" w:rsidR="00F5289E" w:rsidRDefault="00C91173">
      <w:pPr>
        <w:spacing w:line="360" w:lineRule="auto"/>
        <w:rPr>
          <w:b/>
          <w:szCs w:val="21"/>
        </w:rPr>
      </w:pPr>
      <w:r>
        <w:rPr>
          <w:b/>
          <w:szCs w:val="21"/>
        </w:rPr>
        <w:t>（三）考核要求</w:t>
      </w:r>
    </w:p>
    <w:p w14:paraId="070A6B00" w14:textId="77777777" w:rsidR="00F5289E" w:rsidRDefault="00C91173">
      <w:pPr>
        <w:spacing w:line="360" w:lineRule="auto"/>
        <w:jc w:val="left"/>
        <w:rPr>
          <w:rFonts w:ascii="宋体" w:hAnsi="宋体" w:cs="宋体"/>
          <w:bCs/>
          <w:color w:val="000000"/>
          <w:szCs w:val="21"/>
        </w:rPr>
      </w:pPr>
      <w:r>
        <w:rPr>
          <w:rFonts w:ascii="宋体" w:hAnsi="宋体" w:hint="eastAsia"/>
          <w:b/>
          <w:szCs w:val="21"/>
        </w:rPr>
        <w:t>1、识记</w:t>
      </w:r>
      <w:r>
        <w:rPr>
          <w:rFonts w:ascii="宋体" w:hAnsi="宋体" w:hint="eastAsia"/>
          <w:szCs w:val="21"/>
        </w:rPr>
        <w:t>：</w:t>
      </w:r>
      <w:r>
        <w:rPr>
          <w:rFonts w:ascii="宋体" w:hAnsi="宋体" w:hint="eastAsia"/>
          <w:bCs/>
          <w:szCs w:val="21"/>
        </w:rPr>
        <w:t>空气</w:t>
      </w:r>
      <w:r>
        <w:rPr>
          <w:rFonts w:ascii="宋体" w:hAnsi="宋体" w:cs="宋体" w:hint="eastAsia"/>
          <w:bCs/>
          <w:color w:val="000000"/>
          <w:szCs w:val="21"/>
        </w:rPr>
        <w:t>流动与蔬菜生长发育的关系；</w:t>
      </w:r>
      <w:r>
        <w:rPr>
          <w:bCs/>
          <w:color w:val="000000"/>
          <w:szCs w:val="21"/>
        </w:rPr>
        <w:t>温室内有害气体的产生及预防措施</w:t>
      </w:r>
    </w:p>
    <w:p w14:paraId="35B79147" w14:textId="77777777" w:rsidR="00F5289E" w:rsidRDefault="00C91173">
      <w:pPr>
        <w:spacing w:line="360" w:lineRule="auto"/>
        <w:jc w:val="left"/>
        <w:rPr>
          <w:rFonts w:ascii="宋体" w:hAnsi="宋体"/>
          <w:bCs/>
        </w:rPr>
      </w:pPr>
      <w:r>
        <w:rPr>
          <w:rFonts w:ascii="宋体" w:hAnsi="宋体" w:hint="eastAsia"/>
          <w:b/>
          <w:szCs w:val="21"/>
        </w:rPr>
        <w:t>2、领会</w:t>
      </w:r>
      <w:r>
        <w:rPr>
          <w:rFonts w:ascii="宋体" w:hAnsi="宋体" w:hint="eastAsia"/>
          <w:szCs w:val="21"/>
        </w:rPr>
        <w:t>：</w:t>
      </w:r>
      <w:r>
        <w:rPr>
          <w:rFonts w:ascii="宋体" w:hAnsi="宋体" w:hint="eastAsia"/>
          <w:bCs/>
          <w:szCs w:val="21"/>
        </w:rPr>
        <w:t>设施内气体环境特点及调控</w:t>
      </w:r>
    </w:p>
    <w:p w14:paraId="5E4D260F" w14:textId="77777777" w:rsidR="00F5289E" w:rsidRDefault="00C91173">
      <w:pPr>
        <w:spacing w:line="360" w:lineRule="auto"/>
        <w:jc w:val="left"/>
        <w:rPr>
          <w:szCs w:val="21"/>
        </w:rPr>
      </w:pPr>
      <w:r>
        <w:rPr>
          <w:rFonts w:ascii="宋体" w:hAnsi="宋体" w:hint="eastAsia"/>
          <w:b/>
          <w:szCs w:val="21"/>
        </w:rPr>
        <w:t>3、简单应用</w:t>
      </w:r>
      <w:r>
        <w:rPr>
          <w:rFonts w:ascii="宋体" w:hAnsi="宋体" w:hint="eastAsia"/>
          <w:szCs w:val="21"/>
        </w:rPr>
        <w:t>：</w:t>
      </w:r>
      <w:r>
        <w:rPr>
          <w:szCs w:val="21"/>
        </w:rPr>
        <w:t>温室通风原理、设计要求、基本形式与特点；通风量的计算；通风设备的结构与性能</w:t>
      </w:r>
    </w:p>
    <w:p w14:paraId="50BA0269" w14:textId="77777777" w:rsidR="00F5289E" w:rsidRDefault="00C91173">
      <w:pPr>
        <w:spacing w:line="360" w:lineRule="auto"/>
        <w:jc w:val="left"/>
        <w:rPr>
          <w:b/>
          <w:bCs/>
          <w:color w:val="000000"/>
          <w:kern w:val="0"/>
          <w:szCs w:val="21"/>
        </w:rPr>
      </w:pPr>
      <w:r>
        <w:rPr>
          <w:rFonts w:ascii="宋体" w:hAnsi="宋体" w:hint="eastAsia"/>
          <w:b/>
          <w:szCs w:val="21"/>
        </w:rPr>
        <w:t>4、综合应用</w:t>
      </w:r>
      <w:r>
        <w:rPr>
          <w:rFonts w:ascii="宋体" w:hAnsi="宋体" w:hint="eastAsia"/>
          <w:szCs w:val="21"/>
        </w:rPr>
        <w:t>：</w:t>
      </w:r>
      <w:r>
        <w:rPr>
          <w:rFonts w:ascii="宋体" w:hAnsi="宋体" w:cs="宋体" w:hint="eastAsia"/>
          <w:color w:val="000000"/>
          <w:szCs w:val="21"/>
        </w:rPr>
        <w:t>二氧化碳施用方式和施用设备</w:t>
      </w:r>
    </w:p>
    <w:p w14:paraId="0AFB64BE" w14:textId="77777777" w:rsidR="00F5289E" w:rsidRDefault="00C91173">
      <w:pPr>
        <w:widowControl/>
        <w:tabs>
          <w:tab w:val="left" w:pos="1440"/>
        </w:tabs>
        <w:adjustRightInd w:val="0"/>
        <w:spacing w:line="360" w:lineRule="auto"/>
        <w:jc w:val="center"/>
        <w:rPr>
          <w:color w:val="000000"/>
          <w:kern w:val="0"/>
          <w:szCs w:val="21"/>
        </w:rPr>
      </w:pPr>
      <w:r>
        <w:rPr>
          <w:b/>
          <w:bCs/>
          <w:color w:val="000000"/>
          <w:kern w:val="0"/>
          <w:szCs w:val="21"/>
        </w:rPr>
        <w:t>第五章</w:t>
      </w:r>
      <w:r>
        <w:rPr>
          <w:b/>
          <w:bCs/>
          <w:color w:val="000000"/>
          <w:kern w:val="0"/>
          <w:szCs w:val="21"/>
        </w:rPr>
        <w:t>  </w:t>
      </w:r>
      <w:r>
        <w:rPr>
          <w:b/>
          <w:color w:val="262600"/>
        </w:rPr>
        <w:t>设施土壤环境特点与调控技术</w:t>
      </w:r>
    </w:p>
    <w:p w14:paraId="69548465" w14:textId="77777777" w:rsidR="00F5289E" w:rsidRDefault="00C91173">
      <w:pPr>
        <w:spacing w:line="360" w:lineRule="auto"/>
        <w:rPr>
          <w:b/>
          <w:szCs w:val="21"/>
        </w:rPr>
      </w:pPr>
      <w:r>
        <w:rPr>
          <w:b/>
          <w:szCs w:val="21"/>
        </w:rPr>
        <w:t>（一）学习目标</w:t>
      </w:r>
    </w:p>
    <w:p w14:paraId="6A67F972" w14:textId="77777777" w:rsidR="00F5289E" w:rsidRDefault="00C91173">
      <w:pPr>
        <w:widowControl/>
        <w:adjustRightInd w:val="0"/>
        <w:spacing w:line="360" w:lineRule="auto"/>
        <w:jc w:val="left"/>
        <w:rPr>
          <w:color w:val="000000" w:themeColor="text1"/>
        </w:rPr>
      </w:pPr>
      <w:r>
        <w:rPr>
          <w:rFonts w:ascii="宋体" w:hAnsi="宋体" w:cs="宋体" w:hint="eastAsia"/>
          <w:b/>
          <w:color w:val="000000" w:themeColor="text1"/>
          <w:szCs w:val="21"/>
        </w:rPr>
        <w:t>一般了解</w:t>
      </w:r>
      <w:r>
        <w:rPr>
          <w:color w:val="000000" w:themeColor="text1"/>
          <w:kern w:val="0"/>
          <w:szCs w:val="21"/>
        </w:rPr>
        <w:t>：</w:t>
      </w:r>
      <w:r>
        <w:rPr>
          <w:rFonts w:hint="eastAsia"/>
          <w:bCs/>
          <w:color w:val="000000" w:themeColor="text1"/>
        </w:rPr>
        <w:t>作物对土壤环境的要求；</w:t>
      </w:r>
      <w:r>
        <w:rPr>
          <w:rFonts w:hint="eastAsia"/>
          <w:bCs/>
          <w:color w:val="000000" w:themeColor="text1"/>
          <w:szCs w:val="21"/>
        </w:rPr>
        <w:t>无土栽培</w:t>
      </w:r>
    </w:p>
    <w:p w14:paraId="31D973B1" w14:textId="77777777" w:rsidR="00F5289E" w:rsidRDefault="00C91173">
      <w:pPr>
        <w:widowControl/>
        <w:adjustRightInd w:val="0"/>
        <w:spacing w:line="360" w:lineRule="auto"/>
        <w:jc w:val="left"/>
        <w:rPr>
          <w:color w:val="000000" w:themeColor="text1"/>
        </w:rPr>
      </w:pPr>
      <w:r>
        <w:rPr>
          <w:rFonts w:ascii="宋体" w:hAnsi="宋体" w:hint="eastAsia"/>
          <w:b/>
          <w:color w:val="000000" w:themeColor="text1"/>
          <w:szCs w:val="21"/>
        </w:rPr>
        <w:t>一般掌握</w:t>
      </w:r>
      <w:r>
        <w:rPr>
          <w:rFonts w:ascii="宋体" w:hAnsi="宋体" w:hint="eastAsia"/>
          <w:color w:val="000000" w:themeColor="text1"/>
          <w:szCs w:val="21"/>
        </w:rPr>
        <w:t>：</w:t>
      </w:r>
      <w:r>
        <w:rPr>
          <w:bCs/>
          <w:color w:val="000000" w:themeColor="text1"/>
          <w:szCs w:val="21"/>
        </w:rPr>
        <w:t>设施土壤环境特点</w:t>
      </w:r>
    </w:p>
    <w:p w14:paraId="7E3808A4" w14:textId="77777777" w:rsidR="00F5289E" w:rsidRDefault="00C91173">
      <w:pPr>
        <w:spacing w:line="360" w:lineRule="auto"/>
        <w:rPr>
          <w:rFonts w:ascii="宋体" w:hAnsi="宋体" w:cs="宋体"/>
          <w:b/>
          <w:color w:val="000000" w:themeColor="text1"/>
          <w:szCs w:val="21"/>
        </w:rPr>
      </w:pPr>
      <w:r>
        <w:rPr>
          <w:rFonts w:ascii="宋体" w:hAnsi="宋体" w:cs="宋体" w:hint="eastAsia"/>
          <w:b/>
          <w:color w:val="000000" w:themeColor="text1"/>
          <w:szCs w:val="21"/>
        </w:rPr>
        <w:t>熟练掌握：</w:t>
      </w:r>
      <w:r>
        <w:rPr>
          <w:bCs/>
          <w:color w:val="000000" w:themeColor="text1"/>
          <w:szCs w:val="21"/>
        </w:rPr>
        <w:t>设施土壤环境的调控</w:t>
      </w:r>
    </w:p>
    <w:p w14:paraId="46B07663" w14:textId="77777777" w:rsidR="00F5289E" w:rsidRDefault="00C91173">
      <w:pPr>
        <w:spacing w:line="360" w:lineRule="auto"/>
        <w:rPr>
          <w:szCs w:val="21"/>
        </w:rPr>
      </w:pPr>
      <w:r>
        <w:rPr>
          <w:b/>
          <w:szCs w:val="21"/>
        </w:rPr>
        <w:t>（二）考核内容</w:t>
      </w:r>
    </w:p>
    <w:p w14:paraId="7ABA82B6" w14:textId="77777777" w:rsidR="00F5289E" w:rsidRDefault="00C91173">
      <w:pPr>
        <w:pStyle w:val="a9"/>
        <w:spacing w:line="360" w:lineRule="auto"/>
        <w:jc w:val="left"/>
        <w:rPr>
          <w:rFonts w:ascii="Times New Roman" w:hAnsi="Times New Roman" w:cs="Times New Roman"/>
          <w:bCs/>
          <w:color w:val="262600"/>
        </w:rPr>
      </w:pPr>
      <w:r>
        <w:rPr>
          <w:rFonts w:ascii="Times New Roman" w:hAnsi="Times New Roman" w:cs="Times New Roman"/>
          <w:bCs/>
          <w:color w:val="262600"/>
        </w:rPr>
        <w:lastRenderedPageBreak/>
        <w:t>设施土壤养分、酸碱、生物环境</w:t>
      </w:r>
      <w:r>
        <w:rPr>
          <w:rFonts w:ascii="Times New Roman" w:hAnsi="Times New Roman" w:cs="Times New Roman" w:hint="eastAsia"/>
          <w:bCs/>
          <w:color w:val="262600"/>
        </w:rPr>
        <w:t>特点</w:t>
      </w:r>
      <w:r>
        <w:rPr>
          <w:rFonts w:ascii="Times New Roman" w:hAnsi="Times New Roman" w:cs="Times New Roman"/>
          <w:bCs/>
          <w:color w:val="262600"/>
        </w:rPr>
        <w:t>，</w:t>
      </w:r>
      <w:r>
        <w:rPr>
          <w:rFonts w:ascii="Times New Roman" w:hAnsi="Times New Roman" w:cs="Times New Roman"/>
        </w:rPr>
        <w:t>设施</w:t>
      </w:r>
      <w:r>
        <w:rPr>
          <w:rFonts w:ascii="Times New Roman" w:hAnsi="Times New Roman" w:cs="Times New Roman" w:hint="eastAsia"/>
        </w:rPr>
        <w:t>土壤环境的调控</w:t>
      </w:r>
      <w:r>
        <w:rPr>
          <w:rFonts w:ascii="Times New Roman" w:hAnsi="Times New Roman" w:cs="Times New Roman"/>
        </w:rPr>
        <w:t>，</w:t>
      </w:r>
      <w:r>
        <w:rPr>
          <w:rFonts w:ascii="Times New Roman" w:hAnsi="Times New Roman" w:cs="Times New Roman" w:hint="eastAsia"/>
          <w:bCs/>
          <w:color w:val="262600"/>
        </w:rPr>
        <w:t>无土栽培</w:t>
      </w:r>
    </w:p>
    <w:p w14:paraId="60357CA5" w14:textId="77777777" w:rsidR="00F5289E" w:rsidRDefault="00C91173">
      <w:pPr>
        <w:spacing w:line="360" w:lineRule="auto"/>
        <w:ind w:firstLineChars="50" w:firstLine="105"/>
        <w:rPr>
          <w:rFonts w:ascii="宋体" w:hAnsi="宋体" w:cs="宋体"/>
          <w:bCs/>
          <w:color w:val="000000"/>
          <w:szCs w:val="21"/>
        </w:rPr>
      </w:pPr>
      <w:r>
        <w:rPr>
          <w:rFonts w:ascii="宋体" w:hAnsi="宋体" w:hint="eastAsia"/>
          <w:b/>
          <w:szCs w:val="21"/>
        </w:rPr>
        <w:t>1、识记</w:t>
      </w:r>
      <w:r>
        <w:rPr>
          <w:rFonts w:ascii="宋体" w:hAnsi="宋体" w:hint="eastAsia"/>
          <w:szCs w:val="21"/>
        </w:rPr>
        <w:t>：</w:t>
      </w:r>
      <w:r>
        <w:rPr>
          <w:rFonts w:hint="eastAsia"/>
          <w:bCs/>
          <w:color w:val="262600"/>
        </w:rPr>
        <w:t>作物对土壤环境的要求；</w:t>
      </w:r>
      <w:r>
        <w:rPr>
          <w:rFonts w:hint="eastAsia"/>
          <w:bCs/>
          <w:color w:val="262600"/>
          <w:szCs w:val="21"/>
        </w:rPr>
        <w:t>无土栽培</w:t>
      </w:r>
    </w:p>
    <w:p w14:paraId="7EFBC1F2" w14:textId="77777777" w:rsidR="00F5289E" w:rsidRDefault="00C91173">
      <w:pPr>
        <w:spacing w:line="360" w:lineRule="auto"/>
        <w:ind w:firstLineChars="50" w:firstLine="105"/>
        <w:rPr>
          <w:bCs/>
          <w:color w:val="262600"/>
          <w:szCs w:val="21"/>
        </w:rPr>
      </w:pPr>
      <w:r>
        <w:rPr>
          <w:rFonts w:ascii="宋体" w:hAnsi="宋体" w:hint="eastAsia"/>
          <w:b/>
          <w:szCs w:val="21"/>
        </w:rPr>
        <w:t>2、领会</w:t>
      </w:r>
      <w:r>
        <w:rPr>
          <w:rFonts w:ascii="宋体" w:hAnsi="宋体" w:hint="eastAsia"/>
          <w:szCs w:val="21"/>
        </w:rPr>
        <w:t>：</w:t>
      </w:r>
      <w:r>
        <w:rPr>
          <w:bCs/>
          <w:color w:val="262600"/>
          <w:szCs w:val="21"/>
        </w:rPr>
        <w:t>设施土壤环境特点</w:t>
      </w:r>
    </w:p>
    <w:p w14:paraId="1B4C525C" w14:textId="77777777" w:rsidR="00F5289E" w:rsidRDefault="00C91173">
      <w:pPr>
        <w:spacing w:line="360" w:lineRule="auto"/>
        <w:ind w:firstLineChars="50" w:firstLine="105"/>
        <w:rPr>
          <w:bCs/>
          <w:color w:val="262600"/>
          <w:szCs w:val="21"/>
        </w:rPr>
      </w:pPr>
      <w:r>
        <w:rPr>
          <w:rFonts w:ascii="宋体" w:hAnsi="宋体" w:hint="eastAsia"/>
          <w:b/>
          <w:szCs w:val="21"/>
        </w:rPr>
        <w:t>3、综合应用</w:t>
      </w:r>
      <w:r>
        <w:rPr>
          <w:rFonts w:ascii="宋体" w:hAnsi="宋体" w:hint="eastAsia"/>
          <w:szCs w:val="21"/>
        </w:rPr>
        <w:t>：</w:t>
      </w:r>
      <w:r>
        <w:rPr>
          <w:bCs/>
          <w:color w:val="262600"/>
          <w:szCs w:val="21"/>
        </w:rPr>
        <w:t>设施土壤环境的调控</w:t>
      </w:r>
    </w:p>
    <w:p w14:paraId="5A004732" w14:textId="77777777" w:rsidR="00F5289E" w:rsidRDefault="00C91173">
      <w:pPr>
        <w:spacing w:line="360" w:lineRule="auto"/>
        <w:rPr>
          <w:rFonts w:ascii="宋体" w:hAnsi="宋体"/>
          <w:b/>
          <w:szCs w:val="21"/>
        </w:rPr>
      </w:pPr>
      <w:r>
        <w:rPr>
          <w:rFonts w:ascii="宋体" w:hAnsi="宋体" w:hint="eastAsia"/>
          <w:b/>
          <w:szCs w:val="21"/>
        </w:rPr>
        <w:t>三、实验、实习教学部分的考核要求</w:t>
      </w:r>
    </w:p>
    <w:p w14:paraId="57B836B5" w14:textId="77777777" w:rsidR="00F5289E" w:rsidRDefault="00C91173">
      <w:pPr>
        <w:widowControl/>
        <w:spacing w:line="360" w:lineRule="auto"/>
        <w:jc w:val="left"/>
        <w:rPr>
          <w:rFonts w:ascii="宋体" w:hAnsi="宋体" w:cs="宋体"/>
        </w:rPr>
      </w:pPr>
      <w:r>
        <w:rPr>
          <w:bCs/>
          <w:kern w:val="0"/>
          <w:szCs w:val="21"/>
        </w:rPr>
        <w:t>（</w:t>
      </w:r>
      <w:r>
        <w:rPr>
          <w:bCs/>
          <w:kern w:val="0"/>
          <w:szCs w:val="21"/>
        </w:rPr>
        <w:t>1</w:t>
      </w:r>
      <w:r>
        <w:rPr>
          <w:bCs/>
          <w:kern w:val="0"/>
          <w:szCs w:val="21"/>
        </w:rPr>
        <w:t>）</w:t>
      </w:r>
      <w:r>
        <w:rPr>
          <w:rFonts w:hint="eastAsia"/>
          <w:bCs/>
          <w:kern w:val="0"/>
          <w:szCs w:val="21"/>
        </w:rPr>
        <w:t>《</w:t>
      </w:r>
      <w:r>
        <w:rPr>
          <w:kern w:val="0"/>
          <w:szCs w:val="21"/>
        </w:rPr>
        <w:t>设施环境与调控</w:t>
      </w:r>
      <w:r>
        <w:rPr>
          <w:rFonts w:hint="eastAsia"/>
          <w:bCs/>
          <w:kern w:val="0"/>
          <w:szCs w:val="21"/>
        </w:rPr>
        <w:t>》</w:t>
      </w:r>
      <w:r>
        <w:rPr>
          <w:kern w:val="0"/>
          <w:szCs w:val="21"/>
        </w:rPr>
        <w:t>实验课是在学习理论课的基础上学生运用已学知识设计实验或进行验证性的实验，巩固和加深对课程中基本理论知识的理解，训练学生理论知识的运用能力、实验操作技能、实验数据的处理和分析能力。</w:t>
      </w:r>
      <w:r>
        <w:rPr>
          <w:rFonts w:ascii="宋体" w:hAnsi="宋体" w:cs="宋体" w:hint="eastAsia"/>
        </w:rPr>
        <w:t>学生应完成实验课程，写出实验报告。</w:t>
      </w:r>
    </w:p>
    <w:p w14:paraId="5117AD06" w14:textId="77777777" w:rsidR="00F5289E" w:rsidRDefault="00C91173">
      <w:pPr>
        <w:widowControl/>
        <w:spacing w:line="360" w:lineRule="auto"/>
        <w:jc w:val="left"/>
        <w:rPr>
          <w:rFonts w:ascii="宋体" w:hAnsi="宋体" w:cs="宋体"/>
        </w:rPr>
      </w:pPr>
      <w:r>
        <w:rPr>
          <w:rFonts w:ascii="宋体" w:hAnsi="宋体" w:cs="宋体" w:hint="eastAsia"/>
        </w:rPr>
        <w:t>（2）</w:t>
      </w:r>
      <w:r>
        <w:rPr>
          <w:rFonts w:hint="eastAsia"/>
          <w:bCs/>
          <w:kern w:val="0"/>
          <w:szCs w:val="21"/>
        </w:rPr>
        <w:t>《</w:t>
      </w:r>
      <w:r>
        <w:rPr>
          <w:kern w:val="0"/>
          <w:szCs w:val="21"/>
        </w:rPr>
        <w:t>设施环境与调控</w:t>
      </w:r>
      <w:r>
        <w:rPr>
          <w:rFonts w:hint="eastAsia"/>
          <w:bCs/>
          <w:kern w:val="0"/>
          <w:szCs w:val="21"/>
        </w:rPr>
        <w:t>》</w:t>
      </w:r>
      <w:r>
        <w:rPr>
          <w:rFonts w:ascii="宋体" w:hAnsi="宋体" w:cs="宋体" w:hint="eastAsia"/>
        </w:rPr>
        <w:t>教学实习主要安排室外实践活动，是学生学习园艺设施学的重要实践教学环节。其目的是通过实习让学生对园艺设施的类型、结构、设施环境调控设备等进行现场观摩，加深学生对所学理论知识的了解。学生应完成教学实习，写出实习报告，根据实习报告和在实习中的实际表现，按优秀、良好、及格和不及格四级评定成绩。</w:t>
      </w:r>
    </w:p>
    <w:p w14:paraId="14558EE8" w14:textId="77777777" w:rsidR="00F5289E" w:rsidRDefault="00C91173">
      <w:pPr>
        <w:spacing w:line="360" w:lineRule="auto"/>
        <w:rPr>
          <w:rFonts w:ascii="宋体" w:hAnsi="宋体"/>
          <w:b/>
          <w:szCs w:val="21"/>
        </w:rPr>
      </w:pPr>
      <w:r>
        <w:rPr>
          <w:rFonts w:ascii="宋体" w:hAnsi="宋体" w:hint="eastAsia"/>
          <w:b/>
          <w:szCs w:val="21"/>
        </w:rPr>
        <w:t>四、考核方式</w:t>
      </w:r>
    </w:p>
    <w:p w14:paraId="315817F3" w14:textId="77777777" w:rsidR="00F5289E" w:rsidRDefault="00C91173">
      <w:pPr>
        <w:spacing w:line="360" w:lineRule="auto"/>
        <w:jc w:val="left"/>
        <w:rPr>
          <w:b/>
          <w:szCs w:val="21"/>
        </w:rPr>
      </w:pPr>
      <w:r>
        <w:rPr>
          <w:szCs w:val="21"/>
        </w:rPr>
        <w:t>理论课为</w:t>
      </w:r>
      <w:r>
        <w:rPr>
          <w:rFonts w:hint="eastAsia"/>
          <w:szCs w:val="21"/>
        </w:rPr>
        <w:t>期末</w:t>
      </w:r>
      <w:r>
        <w:rPr>
          <w:szCs w:val="21"/>
        </w:rPr>
        <w:t>闭卷笔试考试；实验课考查实验报告和出勤；教学实习考查</w:t>
      </w:r>
      <w:r>
        <w:rPr>
          <w:rFonts w:hint="eastAsia"/>
          <w:szCs w:val="21"/>
        </w:rPr>
        <w:t>出勤和实习</w:t>
      </w:r>
      <w:r>
        <w:rPr>
          <w:szCs w:val="21"/>
        </w:rPr>
        <w:t>报告</w:t>
      </w:r>
      <w:r>
        <w:rPr>
          <w:rFonts w:hint="eastAsia"/>
          <w:szCs w:val="21"/>
        </w:rPr>
        <w:t>。</w:t>
      </w:r>
    </w:p>
    <w:p w14:paraId="1B9B8B90" w14:textId="77777777" w:rsidR="00F5289E" w:rsidRDefault="00C91173">
      <w:pPr>
        <w:spacing w:line="360" w:lineRule="auto"/>
        <w:rPr>
          <w:rFonts w:ascii="宋体" w:hAnsi="宋体"/>
          <w:b/>
          <w:szCs w:val="21"/>
        </w:rPr>
      </w:pPr>
      <w:r>
        <w:rPr>
          <w:rFonts w:ascii="宋体" w:hAnsi="宋体" w:hint="eastAsia"/>
          <w:b/>
          <w:szCs w:val="21"/>
        </w:rPr>
        <w:t>五、成绩评定</w:t>
      </w:r>
    </w:p>
    <w:p w14:paraId="3945D553" w14:textId="77777777" w:rsidR="00F5289E" w:rsidRDefault="00C91173">
      <w:pPr>
        <w:spacing w:line="360" w:lineRule="auto"/>
        <w:rPr>
          <w:color w:val="000000" w:themeColor="text1"/>
          <w:szCs w:val="21"/>
        </w:rPr>
      </w:pPr>
      <w:r>
        <w:rPr>
          <w:color w:val="000000" w:themeColor="text1"/>
          <w:szCs w:val="21"/>
        </w:rPr>
        <w:t>1.</w:t>
      </w:r>
      <w:r>
        <w:rPr>
          <w:color w:val="000000" w:themeColor="text1"/>
          <w:szCs w:val="21"/>
        </w:rPr>
        <w:t>平时成绩的评价方法</w:t>
      </w:r>
      <w:r>
        <w:rPr>
          <w:rFonts w:hint="eastAsia"/>
          <w:bCs/>
          <w:color w:val="000000" w:themeColor="text1"/>
          <w:szCs w:val="21"/>
        </w:rPr>
        <w:t>：</w:t>
      </w:r>
      <w:r>
        <w:rPr>
          <w:color w:val="000000" w:themeColor="text1"/>
          <w:szCs w:val="21"/>
        </w:rPr>
        <w:t>平时成绩的考核主要包括学生的出勤情况，上课回答问题情况，实验报告完成情况，期中考试情况等，占最终成绩的</w:t>
      </w:r>
      <w:r>
        <w:rPr>
          <w:color w:val="000000" w:themeColor="text1"/>
          <w:szCs w:val="21"/>
        </w:rPr>
        <w:t>30%</w:t>
      </w:r>
      <w:r>
        <w:rPr>
          <w:rFonts w:hint="eastAsia"/>
          <w:color w:val="000000" w:themeColor="text1"/>
          <w:szCs w:val="21"/>
        </w:rPr>
        <w:t>-4</w:t>
      </w:r>
      <w:r>
        <w:rPr>
          <w:color w:val="000000" w:themeColor="text1"/>
          <w:szCs w:val="21"/>
        </w:rPr>
        <w:t>0%</w:t>
      </w:r>
      <w:r>
        <w:rPr>
          <w:rFonts w:hint="eastAsia"/>
          <w:bCs/>
          <w:color w:val="000000" w:themeColor="text1"/>
          <w:szCs w:val="21"/>
        </w:rPr>
        <w:t>。</w:t>
      </w:r>
    </w:p>
    <w:p w14:paraId="4715ABF7" w14:textId="77777777" w:rsidR="00F5289E" w:rsidRDefault="00C91173">
      <w:pPr>
        <w:spacing w:line="360" w:lineRule="auto"/>
        <w:rPr>
          <w:rFonts w:ascii="宋体" w:hAnsi="宋体"/>
          <w:b/>
          <w:szCs w:val="21"/>
        </w:rPr>
      </w:pPr>
      <w:r>
        <w:rPr>
          <w:color w:val="000000" w:themeColor="text1"/>
          <w:szCs w:val="21"/>
        </w:rPr>
        <w:t>2.</w:t>
      </w:r>
      <w:r>
        <w:rPr>
          <w:color w:val="000000" w:themeColor="text1"/>
          <w:szCs w:val="21"/>
        </w:rPr>
        <w:t>最终成绩评价方法</w:t>
      </w:r>
      <w:r>
        <w:rPr>
          <w:rFonts w:hint="eastAsia"/>
          <w:color w:val="000000" w:themeColor="text1"/>
          <w:szCs w:val="21"/>
        </w:rPr>
        <w:t>：</w:t>
      </w:r>
      <w:r>
        <w:rPr>
          <w:bCs/>
          <w:color w:val="000000" w:themeColor="text1"/>
          <w:szCs w:val="21"/>
        </w:rPr>
        <w:t>最终成绩</w:t>
      </w:r>
      <w:r>
        <w:rPr>
          <w:bCs/>
          <w:color w:val="000000" w:themeColor="text1"/>
          <w:szCs w:val="21"/>
        </w:rPr>
        <w:t>=</w:t>
      </w:r>
      <w:r>
        <w:rPr>
          <w:bCs/>
          <w:color w:val="000000" w:themeColor="text1"/>
          <w:szCs w:val="21"/>
        </w:rPr>
        <w:t>期末笔试成绩</w:t>
      </w:r>
      <w:r>
        <w:rPr>
          <w:rFonts w:hint="eastAsia"/>
          <w:bCs/>
          <w:color w:val="000000" w:themeColor="text1"/>
          <w:szCs w:val="21"/>
        </w:rPr>
        <w:t>6</w:t>
      </w:r>
      <w:r>
        <w:rPr>
          <w:bCs/>
          <w:color w:val="000000" w:themeColor="text1"/>
          <w:szCs w:val="21"/>
        </w:rPr>
        <w:t>0%</w:t>
      </w:r>
      <w:r>
        <w:rPr>
          <w:rFonts w:hint="eastAsia"/>
          <w:bCs/>
          <w:color w:val="000000" w:themeColor="text1"/>
          <w:szCs w:val="21"/>
        </w:rPr>
        <w:t>-</w:t>
      </w:r>
      <w:r>
        <w:rPr>
          <w:bCs/>
          <w:color w:val="000000" w:themeColor="text1"/>
          <w:szCs w:val="21"/>
        </w:rPr>
        <w:t>70%+</w:t>
      </w:r>
      <w:r>
        <w:rPr>
          <w:bCs/>
          <w:color w:val="000000" w:themeColor="text1"/>
          <w:szCs w:val="21"/>
        </w:rPr>
        <w:t>平时成绩占</w:t>
      </w:r>
      <w:r>
        <w:rPr>
          <w:color w:val="000000" w:themeColor="text1"/>
          <w:szCs w:val="21"/>
        </w:rPr>
        <w:t>30%</w:t>
      </w:r>
      <w:r>
        <w:rPr>
          <w:rFonts w:hint="eastAsia"/>
          <w:color w:val="000000" w:themeColor="text1"/>
          <w:szCs w:val="21"/>
        </w:rPr>
        <w:t>-4</w:t>
      </w:r>
      <w:r>
        <w:rPr>
          <w:color w:val="000000" w:themeColor="text1"/>
          <w:szCs w:val="21"/>
        </w:rPr>
        <w:t>0%</w:t>
      </w:r>
      <w:r>
        <w:rPr>
          <w:rFonts w:hint="eastAsia"/>
          <w:bCs/>
          <w:color w:val="000000" w:themeColor="text1"/>
          <w:szCs w:val="21"/>
        </w:rPr>
        <w:t>。</w:t>
      </w:r>
    </w:p>
    <w:p w14:paraId="25730244" w14:textId="77777777" w:rsidR="00F5289E" w:rsidRDefault="00C91173">
      <w:pPr>
        <w:spacing w:line="360" w:lineRule="auto"/>
        <w:rPr>
          <w:rFonts w:ascii="宋体" w:hAnsi="宋体"/>
          <w:bCs/>
          <w:color w:val="0000FF"/>
          <w:szCs w:val="21"/>
        </w:rPr>
      </w:pPr>
      <w:r>
        <w:rPr>
          <w:rFonts w:ascii="宋体" w:hAnsi="宋体" w:hint="eastAsia"/>
          <w:b/>
          <w:szCs w:val="21"/>
        </w:rPr>
        <w:t>六、考核结果分析反馈</w:t>
      </w:r>
    </w:p>
    <w:p w14:paraId="482AB4E2" w14:textId="77777777" w:rsidR="00F5289E" w:rsidRDefault="00C91173">
      <w:pPr>
        <w:spacing w:line="360" w:lineRule="auto"/>
        <w:ind w:firstLineChars="200" w:firstLine="420"/>
        <w:rPr>
          <w:rFonts w:ascii="宋体" w:hAnsi="宋体"/>
          <w:bCs/>
          <w:szCs w:val="21"/>
        </w:rPr>
      </w:pPr>
      <w:r>
        <w:rPr>
          <w:rFonts w:ascii="宋体" w:hAnsi="宋体" w:hint="eastAsia"/>
          <w:bCs/>
          <w:szCs w:val="21"/>
        </w:rPr>
        <w:t>由于本课程设计的理论知识比较多，同时实践性要求也比较高，且随着我国设施园艺的不断发展变化，知识的更新也比较快。为了让学生更好地掌握设施环境调控的基本原理和方法，同时可以理论知识同实践联系起来，及时的了解掌握学生的学习情况非常有必要。为了提高学习的有效性和考核结果的可反馈性，我们采取了很多的方法：</w:t>
      </w:r>
    </w:p>
    <w:p w14:paraId="296A1533" w14:textId="77777777" w:rsidR="00F5289E" w:rsidRDefault="00C91173" w:rsidP="00A115EF">
      <w:pPr>
        <w:numPr>
          <w:ilvl w:val="0"/>
          <w:numId w:val="57"/>
        </w:numPr>
        <w:spacing w:line="360" w:lineRule="auto"/>
        <w:ind w:firstLineChars="200" w:firstLine="420"/>
        <w:rPr>
          <w:rFonts w:ascii="宋体" w:hAnsi="宋体"/>
          <w:bCs/>
          <w:szCs w:val="21"/>
        </w:rPr>
      </w:pPr>
      <w:r>
        <w:rPr>
          <w:rFonts w:ascii="宋体" w:hAnsi="宋体" w:hint="eastAsia"/>
          <w:bCs/>
          <w:szCs w:val="21"/>
        </w:rPr>
        <w:t>每次上课前我们都会简单的让学生回顾一下上一节课的主要内容，掌握重点和难点，然后同本节课联系起来；为了调动学生的注意力，上课的过程中，经常通过提问的方式了解学生对于知识点的掌握情况，及时发现问题并解决问题；为了充分加深学生对于知识点的掌握并调动学生的积极性，对于需要重点掌握的知识点采用专题的形式让学生自己来讲解。</w:t>
      </w:r>
    </w:p>
    <w:p w14:paraId="65BC09DC" w14:textId="77777777" w:rsidR="00F5289E" w:rsidRDefault="00C91173">
      <w:pPr>
        <w:adjustRightInd w:val="0"/>
        <w:spacing w:line="360" w:lineRule="auto"/>
        <w:ind w:firstLineChars="200" w:firstLine="420"/>
      </w:pPr>
      <w:r>
        <w:rPr>
          <w:bCs/>
          <w:szCs w:val="21"/>
        </w:rPr>
        <w:t>（</w:t>
      </w:r>
      <w:r>
        <w:rPr>
          <w:bCs/>
          <w:szCs w:val="21"/>
        </w:rPr>
        <w:t>2</w:t>
      </w:r>
      <w:r>
        <w:rPr>
          <w:bCs/>
          <w:szCs w:val="21"/>
        </w:rPr>
        <w:t>）为了充分考察学生对于专业知识的掌握情况，</w:t>
      </w:r>
      <w:r>
        <w:rPr>
          <w:szCs w:val="21"/>
        </w:rPr>
        <w:t>该课程考试的出题以基本理论知识、基本概念为主（占考试总分数的</w:t>
      </w:r>
      <w:r>
        <w:rPr>
          <w:szCs w:val="21"/>
        </w:rPr>
        <w:t>60%</w:t>
      </w:r>
      <w:r>
        <w:rPr>
          <w:szCs w:val="21"/>
        </w:rPr>
        <w:t>左右），</w:t>
      </w:r>
      <w:r>
        <w:rPr>
          <w:rFonts w:hint="eastAsia"/>
          <w:szCs w:val="21"/>
        </w:rPr>
        <w:t>重点考察学生对于基本知识的掌握情况，</w:t>
      </w:r>
      <w:r>
        <w:rPr>
          <w:szCs w:val="21"/>
        </w:rPr>
        <w:t>提高题目占</w:t>
      </w:r>
      <w:r>
        <w:rPr>
          <w:szCs w:val="21"/>
        </w:rPr>
        <w:t>40%</w:t>
      </w:r>
      <w:r>
        <w:rPr>
          <w:szCs w:val="21"/>
        </w:rPr>
        <w:lastRenderedPageBreak/>
        <w:t>左右，主要</w:t>
      </w:r>
      <w:r>
        <w:rPr>
          <w:rFonts w:hint="eastAsia"/>
          <w:szCs w:val="21"/>
        </w:rPr>
        <w:t>考察</w:t>
      </w:r>
      <w:r>
        <w:rPr>
          <w:szCs w:val="21"/>
        </w:rPr>
        <w:t>学生</w:t>
      </w:r>
      <w:r>
        <w:rPr>
          <w:rFonts w:hint="eastAsia"/>
          <w:szCs w:val="21"/>
        </w:rPr>
        <w:t>对于知识的灵活运用能力</w:t>
      </w:r>
      <w:r>
        <w:rPr>
          <w:szCs w:val="21"/>
        </w:rPr>
        <w:t>。考试成绩出来后，</w:t>
      </w:r>
      <w:r>
        <w:rPr>
          <w:rFonts w:hint="eastAsia"/>
          <w:szCs w:val="21"/>
        </w:rPr>
        <w:t>分析哪些方面的题目答案正确率较高，哪些方面的题目失分较多，分析普遍掌握较为薄弱的知识点，哪些是较难的、综合性的题目。</w:t>
      </w:r>
    </w:p>
    <w:p w14:paraId="79D32FEF" w14:textId="77777777" w:rsidR="00F5289E" w:rsidRDefault="00C91173">
      <w:pPr>
        <w:widowControl/>
        <w:jc w:val="left"/>
        <w:rPr>
          <w:rFonts w:ascii="宋体" w:hAnsi="宋体" w:cs="Arial Unicode MS"/>
          <w:kern w:val="0"/>
        </w:rPr>
      </w:pPr>
      <w:r>
        <w:rPr>
          <w:rFonts w:ascii="宋体" w:hAnsi="宋体"/>
        </w:rPr>
        <w:br w:type="page"/>
      </w:r>
    </w:p>
    <w:p w14:paraId="35E2DD0F" w14:textId="77777777" w:rsidR="00F5289E" w:rsidRDefault="00C91173">
      <w:pPr>
        <w:pStyle w:val="1"/>
      </w:pPr>
      <w:bookmarkStart w:id="180" w:name="_Toc138606277"/>
      <w:r>
        <w:rPr>
          <w:rFonts w:hint="eastAsia"/>
        </w:rPr>
        <w:lastRenderedPageBreak/>
        <w:t>工厂化育苗原理与技术考核大纲</w:t>
      </w:r>
      <w:bookmarkEnd w:id="180"/>
    </w:p>
    <w:p w14:paraId="5B475E64" w14:textId="77777777" w:rsidR="00F5289E" w:rsidRDefault="001B3040">
      <w:pPr>
        <w:snapToGrid w:val="0"/>
        <w:spacing w:line="360" w:lineRule="auto"/>
        <w:jc w:val="center"/>
        <w:rPr>
          <w:sz w:val="24"/>
        </w:rPr>
      </w:pPr>
      <w:r>
        <w:rPr>
          <w:sz w:val="24"/>
        </w:rPr>
        <w:t>(Principles and Technologies for Industrialized Seedling Production)</w:t>
      </w:r>
    </w:p>
    <w:p w14:paraId="5BFD0947" w14:textId="77777777" w:rsidR="00F5289E" w:rsidRDefault="00F5289E">
      <w:pPr>
        <w:widowControl/>
        <w:wordWrap w:val="0"/>
        <w:spacing w:before="120" w:after="120"/>
        <w:jc w:val="center"/>
        <w:outlineLvl w:val="0"/>
        <w:rPr>
          <w:rFonts w:eastAsia="黑体" w:hAnsi="宋体" w:cs="宋体"/>
          <w:b/>
          <w:bCs/>
          <w:kern w:val="36"/>
          <w:sz w:val="24"/>
        </w:rPr>
      </w:pPr>
    </w:p>
    <w:p w14:paraId="1559D8AA"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1DE2B971" w14:textId="77777777">
        <w:tc>
          <w:tcPr>
            <w:tcW w:w="1665" w:type="pct"/>
          </w:tcPr>
          <w:p w14:paraId="32D9AC81"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w:t>
            </w:r>
            <w:r>
              <w:rPr>
                <w:rFonts w:ascii="宋体" w:hAnsi="宋体"/>
                <w:szCs w:val="21"/>
              </w:rPr>
              <w:t>9011131</w:t>
            </w:r>
            <w:r>
              <w:rPr>
                <w:rFonts w:ascii="宋体" w:hAnsi="宋体" w:hint="eastAsia"/>
                <w:szCs w:val="21"/>
              </w:rPr>
              <w:t>h</w:t>
            </w:r>
          </w:p>
        </w:tc>
        <w:tc>
          <w:tcPr>
            <w:tcW w:w="1234" w:type="pct"/>
          </w:tcPr>
          <w:p w14:paraId="63BB93EC"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hint="eastAsia"/>
                <w:szCs w:val="21"/>
              </w:rPr>
              <w:t>4</w:t>
            </w:r>
            <w:r>
              <w:rPr>
                <w:rFonts w:ascii="宋体" w:hAnsi="宋体"/>
                <w:szCs w:val="21"/>
              </w:rPr>
              <w:t>0</w:t>
            </w:r>
          </w:p>
        </w:tc>
        <w:tc>
          <w:tcPr>
            <w:tcW w:w="2100" w:type="pct"/>
          </w:tcPr>
          <w:p w14:paraId="2E26B461"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hint="eastAsia"/>
                <w:szCs w:val="21"/>
              </w:rPr>
              <w:t>2</w:t>
            </w:r>
            <w:r>
              <w:rPr>
                <w:rFonts w:ascii="宋体" w:hAnsi="宋体"/>
                <w:szCs w:val="21"/>
              </w:rPr>
              <w:t>.5</w:t>
            </w:r>
          </w:p>
        </w:tc>
      </w:tr>
      <w:tr w:rsidR="00F5289E" w14:paraId="5AB8C4DE" w14:textId="77777777">
        <w:tc>
          <w:tcPr>
            <w:tcW w:w="1665" w:type="pct"/>
          </w:tcPr>
          <w:p w14:paraId="1DF0F37A"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李阳</w:t>
            </w:r>
          </w:p>
        </w:tc>
        <w:tc>
          <w:tcPr>
            <w:tcW w:w="1234" w:type="pct"/>
          </w:tcPr>
          <w:p w14:paraId="3FB9577A"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李胜利</w:t>
            </w:r>
          </w:p>
        </w:tc>
        <w:tc>
          <w:tcPr>
            <w:tcW w:w="2100" w:type="pct"/>
          </w:tcPr>
          <w:p w14:paraId="445DBA16"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w:t>
            </w:r>
            <w:r>
              <w:rPr>
                <w:rFonts w:ascii="宋体" w:hAnsi="宋体"/>
                <w:szCs w:val="21"/>
              </w:rPr>
              <w:t>023.05</w:t>
            </w:r>
          </w:p>
        </w:tc>
      </w:tr>
    </w:tbl>
    <w:p w14:paraId="7D65618B" w14:textId="77777777" w:rsidR="00F5289E" w:rsidRDefault="00F5289E">
      <w:pPr>
        <w:widowControl/>
        <w:snapToGrid w:val="0"/>
        <w:spacing w:line="360" w:lineRule="auto"/>
        <w:jc w:val="left"/>
        <w:outlineLvl w:val="1"/>
        <w:rPr>
          <w:rFonts w:asciiTheme="majorEastAsia" w:eastAsiaTheme="majorEastAsia" w:hAnsiTheme="majorEastAsia" w:cstheme="majorEastAsia"/>
          <w:b/>
          <w:bCs/>
          <w:kern w:val="0"/>
          <w:szCs w:val="21"/>
        </w:rPr>
      </w:pPr>
    </w:p>
    <w:p w14:paraId="355C1D17" w14:textId="77777777" w:rsidR="00F5289E" w:rsidRDefault="00C91173">
      <w:pPr>
        <w:pStyle w:val="a9"/>
        <w:spacing w:line="360" w:lineRule="auto"/>
        <w:rPr>
          <w:b/>
          <w:bCs/>
        </w:rPr>
      </w:pPr>
      <w:r>
        <w:rPr>
          <w:rFonts w:hint="eastAsia"/>
          <w:b/>
          <w:bCs/>
        </w:rPr>
        <w:t>一、课程的性质和地位</w:t>
      </w:r>
    </w:p>
    <w:p w14:paraId="29D4BE1E"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工厂化育苗原理与技术》是设施园艺学的一个重要分支，是设施农业科学与工程专业必修的专业课。近年来以蔬菜和花卉穴盘育苗为代表的工厂化育苗技术发展迅速，所形成的种苗产业是我国设施农业应用的主要领域，工厂化育苗已成为我国园艺作物实现标准化生产的重要组成部分。课程内容主要包括育苗基础知识、育苗设施与设备、育苗基质、育苗方式、育苗质量控制、主要园艺作物工厂化育苗技术、种苗的经营与管理等内容，是一门涉及现代生物技术、工程技术、环境调控技术、信息技术等方面的跨学科综合性课程。通过课程学习，培养学生掌握现代化、集约化、机械化、智能化园艺作物育苗相关的基本知识和理论，课程重在拓宽学生的专业视野，强化园艺植物育苗方面的知识与技能，使学生具备能够从事种苗科学研究、种苗生产技术指导及与育苗产业相关工作的知识和能力，满足现代种苗产业兴起和快速发展对高素质专门人才的需求，实现宽口径培养人才的目标。</w:t>
      </w:r>
    </w:p>
    <w:p w14:paraId="618E58AB" w14:textId="77777777" w:rsidR="00F5289E" w:rsidRDefault="00C91173">
      <w:pPr>
        <w:pStyle w:val="a9"/>
        <w:spacing w:line="360" w:lineRule="auto"/>
        <w:rPr>
          <w:b/>
          <w:bCs/>
        </w:rPr>
      </w:pPr>
      <w:r>
        <w:rPr>
          <w:rFonts w:hint="eastAsia"/>
          <w:b/>
          <w:bCs/>
        </w:rPr>
        <w:t>二、理论教学部分的考核目标</w:t>
      </w:r>
    </w:p>
    <w:p w14:paraId="2CEC74CF" w14:textId="77777777" w:rsidR="00F5289E" w:rsidRDefault="00C91173">
      <w:pPr>
        <w:snapToGrid w:val="0"/>
        <w:spacing w:line="360" w:lineRule="auto"/>
        <w:ind w:firstLineChars="200" w:firstLine="420"/>
        <w:rPr>
          <w:rFonts w:ascii="宋体" w:hAnsi="宋体"/>
          <w:szCs w:val="21"/>
        </w:rPr>
      </w:pPr>
      <w:r>
        <w:rPr>
          <w:rFonts w:ascii="宋体" w:hAnsi="宋体" w:hint="eastAsia"/>
          <w:bCs/>
          <w:szCs w:val="21"/>
        </w:rPr>
        <w:t>学习本课程的主要目的是使学生系统掌握作物幼苗的生长发育规律及其对环境条件的要求，工厂化育苗的基本原理、方式和技术，掌握育苗质量调控、园艺作物工厂化育苗技术和工厂化的经营与管理，学会根据不同作物生物学特性理论联系实际地制定具体育苗措施。主要任务是利用现代生物科学理论和先进的管理技术创造适宜工厂化育苗的方法和技术，以适应种苗产业的快速发展。</w:t>
      </w:r>
    </w:p>
    <w:p w14:paraId="0649F721"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绪论</w:t>
      </w:r>
    </w:p>
    <w:p w14:paraId="5E9A5CD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62E98D1C"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工厂化育苗的发展历史；国内外工厂化育苗发展现状和趋势。</w:t>
      </w:r>
    </w:p>
    <w:p w14:paraId="34D74A8E"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bCs/>
          <w:szCs w:val="21"/>
        </w:rPr>
        <w:t>国内外工厂化育苗的特点；工厂化育苗在人们生活，农业生产和国民经济中的地位和作用。</w:t>
      </w:r>
    </w:p>
    <w:p w14:paraId="42540C31"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szCs w:val="21"/>
        </w:rPr>
        <w:t>工厂化育苗的概念与特点。</w:t>
      </w:r>
    </w:p>
    <w:p w14:paraId="2D648F24"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5D41BAB" w14:textId="77777777" w:rsidR="00F5289E" w:rsidRDefault="00C91173">
      <w:pPr>
        <w:snapToGrid w:val="0"/>
        <w:spacing w:line="360" w:lineRule="auto"/>
        <w:ind w:firstLineChars="200" w:firstLine="420"/>
        <w:rPr>
          <w:rFonts w:ascii="宋体" w:hAnsi="宋体"/>
          <w:szCs w:val="21"/>
        </w:rPr>
      </w:pPr>
      <w:r>
        <w:rPr>
          <w:rFonts w:ascii="宋体" w:hAnsi="宋体" w:hint="eastAsia"/>
          <w:bCs/>
          <w:szCs w:val="21"/>
        </w:rPr>
        <w:t>工厂化育苗的基本概念，工厂化育苗的发展史，国内外工厂化育苗的特征，工厂化育苗未来的发展趋势。</w:t>
      </w:r>
    </w:p>
    <w:p w14:paraId="35361C74"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（三）考核要求</w:t>
      </w:r>
    </w:p>
    <w:p w14:paraId="77EE63D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rFonts w:hint="eastAsia"/>
          <w:kern w:val="0"/>
          <w:szCs w:val="21"/>
        </w:rPr>
        <w:t>理解工厂化育苗的概念</w:t>
      </w:r>
    </w:p>
    <w:p w14:paraId="0F79C0F9"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rFonts w:hint="eastAsia"/>
          <w:szCs w:val="21"/>
        </w:rPr>
        <w:t>国内外</w:t>
      </w:r>
      <w:r>
        <w:rPr>
          <w:rFonts w:hint="eastAsia"/>
          <w:kern w:val="0"/>
          <w:szCs w:val="21"/>
        </w:rPr>
        <w:t>工厂化育苗的特点</w:t>
      </w:r>
    </w:p>
    <w:p w14:paraId="4CECC00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rFonts w:hint="eastAsia"/>
          <w:szCs w:val="21"/>
        </w:rPr>
        <w:t>国内外</w:t>
      </w:r>
      <w:r>
        <w:rPr>
          <w:rFonts w:hint="eastAsia"/>
          <w:kern w:val="0"/>
          <w:szCs w:val="21"/>
        </w:rPr>
        <w:t>工厂化育苗存在的异同和差距</w:t>
      </w:r>
    </w:p>
    <w:p w14:paraId="31900039"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ascii="宋体" w:hAnsi="宋体" w:hint="eastAsia"/>
          <w:bCs/>
          <w:szCs w:val="21"/>
        </w:rPr>
        <w:t>国内外工厂化育苗水平差异存在的原因</w:t>
      </w:r>
    </w:p>
    <w:p w14:paraId="7C655435"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5.综合</w:t>
      </w:r>
      <w:r>
        <w:rPr>
          <w:rFonts w:ascii="宋体" w:hAnsi="宋体" w:hint="eastAsia"/>
          <w:szCs w:val="21"/>
        </w:rPr>
        <w:t>：</w:t>
      </w:r>
      <w:r>
        <w:rPr>
          <w:rFonts w:ascii="宋体" w:hAnsi="宋体" w:hint="eastAsia"/>
          <w:bCs/>
          <w:szCs w:val="21"/>
        </w:rPr>
        <w:t>工厂化育苗产业发展的趋势</w:t>
      </w:r>
    </w:p>
    <w:p w14:paraId="565C7CB9"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ascii="宋体" w:hAnsi="宋体" w:hint="eastAsia"/>
          <w:bCs/>
          <w:szCs w:val="21"/>
        </w:rPr>
        <w:t>工厂化育苗在现代农业中的地位</w:t>
      </w:r>
    </w:p>
    <w:p w14:paraId="3529AEA2" w14:textId="77777777" w:rsidR="00F5289E" w:rsidRDefault="00C91173">
      <w:pPr>
        <w:pStyle w:val="a9"/>
        <w:snapToGrid w:val="0"/>
        <w:spacing w:line="360" w:lineRule="auto"/>
        <w:jc w:val="center"/>
        <w:rPr>
          <w:rFonts w:hAnsi="宋体"/>
          <w:b/>
        </w:rPr>
      </w:pPr>
      <w:r>
        <w:rPr>
          <w:rFonts w:hAnsi="宋体" w:hint="eastAsia"/>
          <w:b/>
        </w:rPr>
        <w:t>第一章  育苗基础知识</w:t>
      </w:r>
    </w:p>
    <w:p w14:paraId="1B1D462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D18528E"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：种子形态与结构；种子萌发条件</w:t>
      </w:r>
    </w:p>
    <w:p w14:paraId="3923E103"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：种子催芽；壮苗的判断及其指标</w:t>
      </w:r>
    </w:p>
    <w:p w14:paraId="307BF83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szCs w:val="21"/>
        </w:rPr>
        <w:t>种子质量</w:t>
      </w:r>
      <w:r>
        <w:rPr>
          <w:rFonts w:hint="eastAsia"/>
          <w:szCs w:val="21"/>
        </w:rPr>
        <w:t>检验</w:t>
      </w:r>
      <w:r>
        <w:rPr>
          <w:szCs w:val="21"/>
        </w:rPr>
        <w:t>与播前处理技术</w:t>
      </w:r>
    </w:p>
    <w:p w14:paraId="1EEF5FA8"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035708B"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种子的形态结构，种子萌发所需要的环境条件，种子质量检验指标及其测定，种子播种前的</w:t>
      </w:r>
      <w:r>
        <w:rPr>
          <w:rFonts w:ascii="宋体" w:hAnsi="宋体"/>
          <w:bCs/>
          <w:szCs w:val="21"/>
        </w:rPr>
        <w:t>处理</w:t>
      </w:r>
      <w:r>
        <w:rPr>
          <w:rFonts w:ascii="宋体" w:hAnsi="宋体" w:hint="eastAsia"/>
          <w:bCs/>
          <w:szCs w:val="21"/>
        </w:rPr>
        <w:t>方法，种子催芽和种子引发的方法。</w:t>
      </w:r>
    </w:p>
    <w:p w14:paraId="7D2B6D6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610A0E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：种子形态与结构</w:t>
      </w:r>
    </w:p>
    <w:p w14:paraId="46FA407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：种子萌发的环境条件</w:t>
      </w:r>
    </w:p>
    <w:p w14:paraId="09891BE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rFonts w:hint="eastAsia"/>
          <w:kern w:val="0"/>
          <w:szCs w:val="21"/>
        </w:rPr>
        <w:t>播种前种子的处理方法</w:t>
      </w:r>
    </w:p>
    <w:p w14:paraId="6C006FF7"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szCs w:val="21"/>
        </w:rPr>
        <w:t>不同种子处理方法对种子萌发的影响</w:t>
      </w:r>
    </w:p>
    <w:p w14:paraId="67D44B0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：种子处理技术在工厂化育苗种的应用</w:t>
      </w:r>
    </w:p>
    <w:p w14:paraId="564ED50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6.评价：</w:t>
      </w:r>
      <w:r>
        <w:rPr>
          <w:rFonts w:ascii="宋体" w:hAnsi="宋体" w:hint="eastAsia"/>
          <w:szCs w:val="21"/>
        </w:rPr>
        <w:t>不同种子引发技术优缺点对比分析</w:t>
      </w:r>
    </w:p>
    <w:p w14:paraId="29507CEA" w14:textId="77777777" w:rsidR="00F5289E" w:rsidRDefault="00C91173">
      <w:pPr>
        <w:pStyle w:val="a9"/>
        <w:snapToGrid w:val="0"/>
        <w:spacing w:line="360" w:lineRule="auto"/>
        <w:jc w:val="center"/>
        <w:rPr>
          <w:rFonts w:hAnsi="宋体"/>
          <w:b/>
        </w:rPr>
      </w:pPr>
      <w:r>
        <w:rPr>
          <w:rFonts w:hAnsi="宋体" w:hint="eastAsia"/>
          <w:b/>
        </w:rPr>
        <w:t>第二章  植物组织培养</w:t>
      </w:r>
    </w:p>
    <w:p w14:paraId="0FD4D60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323AD2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rFonts w:hint="eastAsia"/>
          <w:kern w:val="0"/>
          <w:szCs w:val="21"/>
        </w:rPr>
        <w:t>植物组织培养的发展史，植物组织培养在农业中的应用</w:t>
      </w:r>
    </w:p>
    <w:p w14:paraId="3AB66625"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r>
        <w:rPr>
          <w:rFonts w:hint="eastAsia"/>
          <w:kern w:val="0"/>
          <w:szCs w:val="21"/>
        </w:rPr>
        <w:t>细胞的全能性和器官发生进程</w:t>
      </w:r>
    </w:p>
    <w:p w14:paraId="02795D1B"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：植物组织培养实验室的构成、植物组织培养的基本方法与技术</w:t>
      </w:r>
    </w:p>
    <w:p w14:paraId="04F5891D" w14:textId="77777777" w:rsidR="00F5289E" w:rsidRDefault="00C91173">
      <w:pPr>
        <w:adjustRightInd w:val="0"/>
        <w:snapToGrid w:val="0"/>
        <w:spacing w:beforeLines="50" w:before="156" w:line="360" w:lineRule="auto"/>
        <w:rPr>
          <w:rFonts w:ascii="宋体" w:hAnsi="宋体"/>
          <w:szCs w:val="21"/>
        </w:rPr>
      </w:pPr>
      <w:r>
        <w:rPr>
          <w:rFonts w:ascii="宋体" w:hAnsi="宋体" w:hint="eastAsia"/>
          <w:b/>
          <w:szCs w:val="21"/>
        </w:rPr>
        <w:t>（二）考核内容</w:t>
      </w:r>
    </w:p>
    <w:p w14:paraId="5A99C8C5" w14:textId="77777777" w:rsidR="00F5289E" w:rsidRDefault="00C91173">
      <w:pPr>
        <w:adjustRightInd w:val="0"/>
        <w:snapToGrid w:val="0"/>
        <w:spacing w:beforeLines="50" w:before="156" w:line="360" w:lineRule="auto"/>
        <w:ind w:firstLineChars="200" w:firstLine="420"/>
        <w:rPr>
          <w:kern w:val="0"/>
          <w:szCs w:val="21"/>
        </w:rPr>
      </w:pPr>
      <w:r>
        <w:rPr>
          <w:rFonts w:hint="eastAsia"/>
          <w:szCs w:val="21"/>
        </w:rPr>
        <w:t>植物组织培养技术的历史沿革</w:t>
      </w:r>
      <w:r>
        <w:rPr>
          <w:rFonts w:hint="eastAsia"/>
          <w:kern w:val="0"/>
          <w:szCs w:val="21"/>
        </w:rPr>
        <w:t>，</w:t>
      </w:r>
      <w:r>
        <w:rPr>
          <w:rFonts w:hint="eastAsia"/>
          <w:szCs w:val="21"/>
        </w:rPr>
        <w:t>植物组织培养技术的理论基础</w:t>
      </w:r>
      <w:r>
        <w:rPr>
          <w:rFonts w:hint="eastAsia"/>
          <w:kern w:val="0"/>
          <w:szCs w:val="21"/>
        </w:rPr>
        <w:t>，</w:t>
      </w:r>
      <w:r>
        <w:rPr>
          <w:rFonts w:hint="eastAsia"/>
          <w:szCs w:val="21"/>
        </w:rPr>
        <w:t>植物组织培养实验室的构成</w:t>
      </w:r>
      <w:r>
        <w:rPr>
          <w:rFonts w:hint="eastAsia"/>
          <w:kern w:val="0"/>
          <w:szCs w:val="21"/>
        </w:rPr>
        <w:t>，</w:t>
      </w:r>
      <w:r>
        <w:rPr>
          <w:rFonts w:hint="eastAsia"/>
          <w:szCs w:val="21"/>
        </w:rPr>
        <w:t>植物组织培养所需要的设备</w:t>
      </w:r>
      <w:r>
        <w:rPr>
          <w:rFonts w:hint="eastAsia"/>
          <w:kern w:val="0"/>
          <w:szCs w:val="21"/>
        </w:rPr>
        <w:t>，</w:t>
      </w:r>
      <w:r>
        <w:rPr>
          <w:rFonts w:hint="eastAsia"/>
          <w:szCs w:val="21"/>
        </w:rPr>
        <w:t>植物组织培养中培养基的配制技术</w:t>
      </w:r>
      <w:r>
        <w:rPr>
          <w:rFonts w:hint="eastAsia"/>
          <w:kern w:val="0"/>
          <w:szCs w:val="21"/>
        </w:rPr>
        <w:t>，植物组织培养的操作技术</w:t>
      </w:r>
    </w:p>
    <w:p w14:paraId="58B816FB" w14:textId="77777777" w:rsidR="00F5289E" w:rsidRDefault="00C91173">
      <w:pPr>
        <w:adjustRightInd w:val="0"/>
        <w:snapToGrid w:val="0"/>
        <w:spacing w:beforeLines="50" w:before="156" w:line="360" w:lineRule="auto"/>
        <w:rPr>
          <w:rFonts w:ascii="宋体" w:hAnsi="宋体"/>
          <w:b/>
          <w:szCs w:val="21"/>
        </w:rPr>
      </w:pPr>
      <w:r>
        <w:rPr>
          <w:rFonts w:ascii="宋体" w:hAnsi="宋体" w:hint="eastAsia"/>
          <w:b/>
          <w:szCs w:val="21"/>
        </w:rPr>
        <w:t>（三）考核要求</w:t>
      </w:r>
    </w:p>
    <w:p w14:paraId="29567B8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rFonts w:hint="eastAsia"/>
          <w:szCs w:val="21"/>
        </w:rPr>
        <w:t>植物组织培养的由来</w:t>
      </w:r>
    </w:p>
    <w:p w14:paraId="75CE4D99"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rFonts w:hint="eastAsia"/>
          <w:szCs w:val="21"/>
        </w:rPr>
        <w:t>细胞的全能性与器官发生途径</w:t>
      </w:r>
    </w:p>
    <w:p w14:paraId="0683D91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lastRenderedPageBreak/>
        <w:t>3.应用</w:t>
      </w:r>
      <w:r>
        <w:rPr>
          <w:rFonts w:ascii="宋体" w:hAnsi="宋体" w:hint="eastAsia"/>
          <w:szCs w:val="21"/>
        </w:rPr>
        <w:t>：</w:t>
      </w:r>
      <w:r>
        <w:rPr>
          <w:rFonts w:hint="eastAsia"/>
          <w:szCs w:val="21"/>
        </w:rPr>
        <w:t>植物组织培养实验室的建设</w:t>
      </w:r>
    </w:p>
    <w:p w14:paraId="0B2B765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植物组织培养失败的原因及对策</w:t>
      </w:r>
    </w:p>
    <w:p w14:paraId="1D6873B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w:t>
      </w:r>
      <w:r>
        <w:rPr>
          <w:rFonts w:hint="eastAsia"/>
          <w:szCs w:val="21"/>
        </w:rPr>
        <w:t>植物组织培养在园艺生产中的应用</w:t>
      </w:r>
    </w:p>
    <w:p w14:paraId="4B2B706B"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6.评价：</w:t>
      </w:r>
      <w:r>
        <w:rPr>
          <w:rFonts w:ascii="宋体" w:hAnsi="宋体" w:hint="eastAsia"/>
          <w:bCs/>
          <w:szCs w:val="21"/>
        </w:rPr>
        <w:t>植物组织培养在工厂化育苗中的普及与应用</w:t>
      </w:r>
    </w:p>
    <w:p w14:paraId="5C84A345" w14:textId="77777777" w:rsidR="00F5289E" w:rsidRDefault="00C91173">
      <w:pPr>
        <w:pStyle w:val="a9"/>
        <w:snapToGrid w:val="0"/>
        <w:spacing w:line="360" w:lineRule="auto"/>
        <w:jc w:val="center"/>
        <w:rPr>
          <w:rFonts w:hAnsi="宋体"/>
          <w:b/>
        </w:rPr>
      </w:pPr>
      <w:r>
        <w:rPr>
          <w:rFonts w:hAnsi="宋体" w:hint="eastAsia"/>
          <w:b/>
        </w:rPr>
        <w:t>第三章  工厂化育苗设施与设备</w:t>
      </w:r>
    </w:p>
    <w:p w14:paraId="6778653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0CF859D"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rFonts w:ascii="宋体" w:hAnsi="宋体" w:hint="eastAsia"/>
          <w:bCs/>
          <w:szCs w:val="21"/>
        </w:rPr>
        <w:t>灌溉施肥设备；穴盘育苗</w:t>
      </w:r>
    </w:p>
    <w:p w14:paraId="044585F8"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r>
        <w:rPr>
          <w:rFonts w:hint="eastAsia"/>
          <w:kern w:val="0"/>
          <w:szCs w:val="21"/>
        </w:rPr>
        <w:t>工厂化育苗的工艺流程</w:t>
      </w:r>
    </w:p>
    <w:p w14:paraId="7A313BD4"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int="eastAsia"/>
          <w:szCs w:val="21"/>
        </w:rPr>
        <w:t>工厂化育苗的设施和生产设备的类型及其应用</w:t>
      </w:r>
    </w:p>
    <w:p w14:paraId="4DD131D2" w14:textId="77777777" w:rsidR="00F5289E" w:rsidRDefault="00C91173">
      <w:pPr>
        <w:adjustRightInd w:val="0"/>
        <w:snapToGrid w:val="0"/>
        <w:spacing w:beforeLines="50" w:before="156" w:line="360" w:lineRule="auto"/>
        <w:rPr>
          <w:rFonts w:ascii="宋体" w:hAnsi="宋体"/>
          <w:szCs w:val="21"/>
        </w:rPr>
      </w:pPr>
      <w:r>
        <w:rPr>
          <w:rFonts w:ascii="宋体" w:hAnsi="宋体" w:hint="eastAsia"/>
          <w:b/>
          <w:szCs w:val="21"/>
        </w:rPr>
        <w:t>（二）考核内容</w:t>
      </w:r>
    </w:p>
    <w:p w14:paraId="6D711E3A" w14:textId="77777777" w:rsidR="00F5289E" w:rsidRDefault="00C91173">
      <w:pPr>
        <w:adjustRightInd w:val="0"/>
        <w:snapToGrid w:val="0"/>
        <w:spacing w:line="360" w:lineRule="auto"/>
        <w:ind w:firstLineChars="200" w:firstLine="420"/>
        <w:rPr>
          <w:szCs w:val="21"/>
        </w:rPr>
      </w:pPr>
      <w:r>
        <w:rPr>
          <w:rFonts w:hint="eastAsia"/>
          <w:szCs w:val="21"/>
        </w:rPr>
        <w:t>工厂化基质育苗的工艺流程，育苗设施的组成部分，育苗温室环境控制系统，厂化育苗的生产设备，灌溉施肥设备，辅助育苗设备。</w:t>
      </w:r>
    </w:p>
    <w:p w14:paraId="27A18837" w14:textId="77777777" w:rsidR="00F5289E" w:rsidRDefault="00C91173">
      <w:pPr>
        <w:adjustRightInd w:val="0"/>
        <w:snapToGrid w:val="0"/>
        <w:spacing w:beforeLines="50" w:before="156" w:line="360" w:lineRule="auto"/>
        <w:rPr>
          <w:rFonts w:ascii="宋体" w:hAnsi="宋体"/>
          <w:b/>
          <w:szCs w:val="21"/>
        </w:rPr>
      </w:pPr>
      <w:r>
        <w:rPr>
          <w:rFonts w:ascii="宋体" w:hAnsi="宋体" w:hint="eastAsia"/>
          <w:b/>
          <w:szCs w:val="21"/>
        </w:rPr>
        <w:t>（三）考核要求</w:t>
      </w:r>
    </w:p>
    <w:p w14:paraId="7AF3643E"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：工厂化育苗的设施和生产设备类型</w:t>
      </w:r>
    </w:p>
    <w:p w14:paraId="66599C8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rFonts w:hint="eastAsia"/>
          <w:szCs w:val="21"/>
        </w:rPr>
        <w:t>工厂化育苗的设施和生产设备的应用</w:t>
      </w:r>
    </w:p>
    <w:p w14:paraId="16D7BB2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rFonts w:hint="eastAsia"/>
          <w:szCs w:val="21"/>
        </w:rPr>
        <w:t>工厂化育苗的环境控制与设备需求</w:t>
      </w:r>
    </w:p>
    <w:p w14:paraId="6D333FD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hint="eastAsia"/>
          <w:szCs w:val="21"/>
        </w:rPr>
        <w:t>工厂化基质育苗工艺各环节的衔接与改进</w:t>
      </w:r>
    </w:p>
    <w:p w14:paraId="6224632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w:t>
      </w:r>
      <w:r>
        <w:rPr>
          <w:rFonts w:hint="eastAsia"/>
          <w:szCs w:val="21"/>
        </w:rPr>
        <w:t>工厂化育苗场的设计与建造</w:t>
      </w:r>
    </w:p>
    <w:p w14:paraId="28FBF555"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6.评价：</w:t>
      </w:r>
      <w:r>
        <w:rPr>
          <w:rFonts w:ascii="宋体" w:hAnsi="宋体" w:hint="eastAsia"/>
          <w:bCs/>
          <w:szCs w:val="21"/>
        </w:rPr>
        <w:t>工厂化育苗设施布局、装备技术先进性和产能预估</w:t>
      </w:r>
    </w:p>
    <w:p w14:paraId="64FF7985" w14:textId="77777777" w:rsidR="00F5289E" w:rsidRDefault="00C91173">
      <w:pPr>
        <w:pStyle w:val="a9"/>
        <w:snapToGrid w:val="0"/>
        <w:spacing w:line="360" w:lineRule="auto"/>
        <w:jc w:val="center"/>
        <w:rPr>
          <w:rFonts w:hAnsi="宋体"/>
          <w:b/>
        </w:rPr>
      </w:pPr>
      <w:r>
        <w:rPr>
          <w:rFonts w:hAnsi="宋体" w:hint="eastAsia"/>
          <w:b/>
        </w:rPr>
        <w:t>第四章  工厂化育苗方式</w:t>
      </w:r>
    </w:p>
    <w:p w14:paraId="37E5D3A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6F4D26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：不同育苗方式所需要的设施与设备</w:t>
      </w:r>
    </w:p>
    <w:p w14:paraId="7938B07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：不同育苗方式的特点和不同方式育苗相关技术</w:t>
      </w:r>
    </w:p>
    <w:p w14:paraId="0ED72A37"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：不同方式育苗的技术流程</w:t>
      </w:r>
    </w:p>
    <w:p w14:paraId="6F7B370D"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4FBDAF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穴盘育苗、水培育苗、容器育苗的概念和技术流程、设施和关键设备和技术要点</w:t>
      </w:r>
    </w:p>
    <w:p w14:paraId="2D0C2FA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478C6E5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：不同育苗方式的概念</w:t>
      </w:r>
    </w:p>
    <w:p w14:paraId="717299B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：不同育苗方式的特征</w:t>
      </w:r>
    </w:p>
    <w:p w14:paraId="547FB03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rFonts w:hint="eastAsia"/>
          <w:kern w:val="0"/>
          <w:szCs w:val="21"/>
        </w:rPr>
        <w:t>不同育苗方式的技术流程</w:t>
      </w:r>
    </w:p>
    <w:p w14:paraId="4198D4D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szCs w:val="21"/>
        </w:rPr>
        <w:t>不同育苗方式的优缺点</w:t>
      </w:r>
    </w:p>
    <w:p w14:paraId="1F29732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：根据作物类型和生活习性如何选择适宜的育苗方式</w:t>
      </w:r>
    </w:p>
    <w:p w14:paraId="14326F9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szCs w:val="21"/>
        </w:rPr>
        <w:t>不同育苗方式在果类蔬菜和叶类蔬菜的应用效果</w:t>
      </w:r>
    </w:p>
    <w:p w14:paraId="6DF09D78" w14:textId="77777777" w:rsidR="00F5289E" w:rsidRDefault="00C91173">
      <w:pPr>
        <w:pStyle w:val="a9"/>
        <w:snapToGrid w:val="0"/>
        <w:spacing w:line="360" w:lineRule="auto"/>
        <w:jc w:val="center"/>
        <w:rPr>
          <w:rFonts w:hAnsi="宋体"/>
          <w:b/>
        </w:rPr>
      </w:pPr>
      <w:r>
        <w:rPr>
          <w:rFonts w:hAnsi="宋体" w:hint="eastAsia"/>
          <w:b/>
        </w:rPr>
        <w:lastRenderedPageBreak/>
        <w:t>第五章  育苗基质与营养</w:t>
      </w:r>
    </w:p>
    <w:p w14:paraId="42D5F0B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4807A8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000000"/>
          <w:szCs w:val="21"/>
        </w:rPr>
        <w:t>基质</w:t>
      </w:r>
      <w:r>
        <w:rPr>
          <w:rFonts w:hint="eastAsia"/>
          <w:color w:val="000000"/>
          <w:szCs w:val="21"/>
        </w:rPr>
        <w:t>的种类和</w:t>
      </w:r>
      <w:r>
        <w:rPr>
          <w:color w:val="000000"/>
          <w:szCs w:val="21"/>
        </w:rPr>
        <w:t>理化性状指标</w:t>
      </w:r>
      <w:r>
        <w:rPr>
          <w:rFonts w:hint="eastAsia"/>
          <w:color w:val="000000"/>
          <w:szCs w:val="21"/>
        </w:rPr>
        <w:t>。</w:t>
      </w:r>
    </w:p>
    <w:p w14:paraId="6FE8F237"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000000"/>
          <w:szCs w:val="21"/>
        </w:rPr>
        <w:t>育苗对基质要求及不同基质特性</w:t>
      </w:r>
      <w:r>
        <w:rPr>
          <w:rFonts w:ascii="宋体" w:hAnsi="宋体" w:hint="eastAsia"/>
          <w:szCs w:val="21"/>
        </w:rPr>
        <w:t>。</w:t>
      </w:r>
    </w:p>
    <w:p w14:paraId="56A1272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000000"/>
          <w:szCs w:val="21"/>
        </w:rPr>
        <w:t>育苗基质理化性状检测及复合基质组配。</w:t>
      </w:r>
    </w:p>
    <w:p w14:paraId="7F6726A1"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341E22E"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育苗基质的概念、种类和各自特点，育苗对基质理化性状的要求，育苗基质的消毒目的和方法，育苗各个阶段幼苗对营养的需求特性，种苗不同阶段养分管理的策略。</w:t>
      </w:r>
    </w:p>
    <w:p w14:paraId="018EC393" w14:textId="77777777" w:rsidR="00F5289E" w:rsidRDefault="00C91173">
      <w:pPr>
        <w:snapToGrid w:val="0"/>
        <w:spacing w:line="360" w:lineRule="auto"/>
        <w:rPr>
          <w:rFonts w:ascii="宋体" w:hAnsi="宋体"/>
          <w:bCs/>
          <w:szCs w:val="21"/>
        </w:rPr>
      </w:pPr>
      <w:r>
        <w:rPr>
          <w:rFonts w:ascii="宋体" w:hAnsi="宋体" w:hint="eastAsia"/>
          <w:b/>
          <w:szCs w:val="21"/>
        </w:rPr>
        <w:t>（三）考核要求</w:t>
      </w:r>
    </w:p>
    <w:p w14:paraId="5CF18F1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：育苗基质的概念和分类</w:t>
      </w:r>
    </w:p>
    <w:p w14:paraId="3A0BDB32"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：育苗基质理化性质的概念</w:t>
      </w:r>
    </w:p>
    <w:p w14:paraId="73E4F10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：根据不同单一基质的理化性质特征配制育苗基质</w:t>
      </w:r>
    </w:p>
    <w:p w14:paraId="310011B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：新型环保基质优缺点对比</w:t>
      </w:r>
    </w:p>
    <w:p w14:paraId="6AB4170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：根据作物特点选择适宜的基质配方</w:t>
      </w:r>
    </w:p>
    <w:p w14:paraId="19E381C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如何根据作物类型和生活习性合理进行养分管理</w:t>
      </w:r>
    </w:p>
    <w:p w14:paraId="47F708F6" w14:textId="77777777" w:rsidR="00F5289E" w:rsidRDefault="00C91173">
      <w:pPr>
        <w:pStyle w:val="a9"/>
        <w:snapToGrid w:val="0"/>
        <w:spacing w:line="360" w:lineRule="auto"/>
        <w:jc w:val="center"/>
        <w:rPr>
          <w:rFonts w:hAnsi="宋体"/>
          <w:b/>
        </w:rPr>
      </w:pPr>
      <w:r>
        <w:rPr>
          <w:rFonts w:hAnsi="宋体" w:hint="eastAsia"/>
          <w:b/>
        </w:rPr>
        <w:t>第六章  工厂化嫁接育苗</w:t>
      </w:r>
    </w:p>
    <w:p w14:paraId="6B1F926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53FFC0B"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rFonts w:ascii="宋体" w:hAnsi="宋体" w:hint="eastAsia"/>
          <w:color w:val="000000" w:themeColor="text1"/>
          <w:szCs w:val="21"/>
        </w:rPr>
        <w:t>嫁接技术的发展与应用；园艺植物嫁接育苗的意义和作用</w:t>
      </w:r>
    </w:p>
    <w:p w14:paraId="72B4F34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rFonts w:ascii="宋体" w:hAnsi="宋体" w:hint="eastAsia"/>
          <w:color w:val="000000" w:themeColor="text1"/>
          <w:szCs w:val="21"/>
        </w:rPr>
        <w:t>嫁接成活机理及其影响因素。</w:t>
      </w:r>
    </w:p>
    <w:p w14:paraId="22E50CD6"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rFonts w:ascii="宋体" w:hAnsi="宋体" w:hint="eastAsia"/>
          <w:color w:val="000000" w:themeColor="text1"/>
          <w:szCs w:val="21"/>
        </w:rPr>
        <w:t>不同园艺作物嫁接的方法和各自的技术要点</w:t>
      </w:r>
      <w:r>
        <w:rPr>
          <w:rFonts w:ascii="宋体" w:hAnsi="宋体"/>
          <w:color w:val="000000" w:themeColor="text1"/>
          <w:szCs w:val="21"/>
        </w:rPr>
        <w:t>。</w:t>
      </w:r>
    </w:p>
    <w:p w14:paraId="482A29E9"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1496A404"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园艺植物嫁接育苗的意义与作用，嫁接成活的机理，影响嫁接成活的主要因素，嫁接育苗砧木选择的原则和条件，主要蔬菜、果树、花卉嫁接育苗常用的砧木种类及其特点，蔬菜嫁接常用的方法及其技术要点，蔬菜果树和花卉嫁接苗的管理技术，果树和花卉嫁接常用的方法及其技术要点。</w:t>
      </w:r>
    </w:p>
    <w:p w14:paraId="721EF528" w14:textId="77777777" w:rsidR="00F5289E" w:rsidRDefault="00C91173">
      <w:pPr>
        <w:snapToGrid w:val="0"/>
        <w:spacing w:line="360" w:lineRule="auto"/>
        <w:rPr>
          <w:rFonts w:ascii="宋体" w:hAnsi="宋体"/>
          <w:bCs/>
          <w:szCs w:val="21"/>
        </w:rPr>
      </w:pPr>
      <w:r>
        <w:rPr>
          <w:rFonts w:ascii="宋体" w:hAnsi="宋体" w:hint="eastAsia"/>
          <w:b/>
          <w:szCs w:val="21"/>
        </w:rPr>
        <w:t>（三）考核要求</w:t>
      </w:r>
    </w:p>
    <w:p w14:paraId="28AFF937"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：园艺植物嫁接的意义和目的</w:t>
      </w:r>
    </w:p>
    <w:p w14:paraId="01F88C39"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：嫁接成活的机理</w:t>
      </w:r>
    </w:p>
    <w:p w14:paraId="372826F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：影响嫁接成活的主要因素</w:t>
      </w:r>
    </w:p>
    <w:p w14:paraId="1A6CD8A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：不同嫁接方法的优点和缺点</w:t>
      </w:r>
    </w:p>
    <w:p w14:paraId="5CBFA11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：针对不同蔬菜作物茎秆特征选择适宜的嫁接方法</w:t>
      </w:r>
    </w:p>
    <w:p w14:paraId="3E93817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嫁接育苗的工艺流程及嫁接苗的管理技术</w:t>
      </w:r>
    </w:p>
    <w:p w14:paraId="3BDB709A" w14:textId="77777777" w:rsidR="00F5289E" w:rsidRDefault="00C91173">
      <w:pPr>
        <w:pStyle w:val="a9"/>
        <w:snapToGrid w:val="0"/>
        <w:spacing w:line="360" w:lineRule="auto"/>
        <w:jc w:val="center"/>
        <w:rPr>
          <w:rFonts w:hAnsi="宋体"/>
          <w:b/>
        </w:rPr>
      </w:pPr>
      <w:r>
        <w:rPr>
          <w:rFonts w:hAnsi="宋体" w:hint="eastAsia"/>
          <w:b/>
        </w:rPr>
        <w:t>第七章  工厂化育苗质量控制</w:t>
      </w:r>
    </w:p>
    <w:p w14:paraId="6C7B95C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C2D678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rFonts w:hint="eastAsia"/>
          <w:color w:val="000000"/>
          <w:szCs w:val="21"/>
        </w:rPr>
        <w:t>秧苗质量的概念及其控制的意义；秧苗的贮藏和运输</w:t>
      </w:r>
    </w:p>
    <w:p w14:paraId="54E99277"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lastRenderedPageBreak/>
        <w:t>2. 一般掌握：</w:t>
      </w:r>
      <w:r>
        <w:rPr>
          <w:rFonts w:hint="eastAsia"/>
          <w:color w:val="000000"/>
          <w:szCs w:val="21"/>
        </w:rPr>
        <w:t>工厂化育苗的质量标准，影响</w:t>
      </w:r>
      <w:r>
        <w:rPr>
          <w:color w:val="000000"/>
          <w:szCs w:val="21"/>
        </w:rPr>
        <w:t>育苗质量的因素</w:t>
      </w:r>
      <w:r>
        <w:rPr>
          <w:rFonts w:hint="eastAsia"/>
          <w:color w:val="000000"/>
          <w:szCs w:val="21"/>
        </w:rPr>
        <w:t>和调控。</w:t>
      </w:r>
    </w:p>
    <w:p w14:paraId="1FA4B2B4"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int="eastAsia"/>
          <w:color w:val="000000"/>
          <w:szCs w:val="21"/>
        </w:rPr>
        <w:t>秧苗质量控制的关键技术</w:t>
      </w:r>
      <w:r>
        <w:rPr>
          <w:color w:val="000000"/>
          <w:szCs w:val="21"/>
        </w:rPr>
        <w:t>。</w:t>
      </w:r>
    </w:p>
    <w:p w14:paraId="0C686435" w14:textId="77777777" w:rsidR="00F5289E" w:rsidRDefault="00C91173">
      <w:pPr>
        <w:adjustRightInd w:val="0"/>
        <w:snapToGrid w:val="0"/>
        <w:spacing w:beforeLines="50" w:before="156" w:line="360" w:lineRule="auto"/>
        <w:rPr>
          <w:rFonts w:ascii="宋体" w:hAnsi="宋体"/>
          <w:szCs w:val="21"/>
        </w:rPr>
      </w:pPr>
      <w:r>
        <w:rPr>
          <w:rFonts w:ascii="宋体" w:hAnsi="宋体" w:hint="eastAsia"/>
          <w:b/>
          <w:szCs w:val="21"/>
        </w:rPr>
        <w:t>（二）考核内容</w:t>
      </w:r>
    </w:p>
    <w:p w14:paraId="1BD8FD4E" w14:textId="77777777" w:rsidR="00F5289E" w:rsidRDefault="00C91173">
      <w:pPr>
        <w:adjustRightInd w:val="0"/>
        <w:snapToGrid w:val="0"/>
        <w:spacing w:line="360" w:lineRule="auto"/>
        <w:ind w:firstLineChars="200" w:firstLine="420"/>
        <w:rPr>
          <w:szCs w:val="21"/>
        </w:rPr>
      </w:pPr>
      <w:r>
        <w:rPr>
          <w:rFonts w:hint="eastAsia"/>
          <w:szCs w:val="21"/>
        </w:rPr>
        <w:t>工厂化育苗不同阶段的环境调控，工厂化育苗的质量标准包含的含义，工厂化育苗质量控制的关键技术，工厂化育苗贮运质量保持的技术手段，预防幼苗贮运过程中冻害、热害和风干的措施，育苗过程中主要生理性病害、传染性病害和虫害的种类和防治方法</w:t>
      </w:r>
    </w:p>
    <w:p w14:paraId="6E7A47B7" w14:textId="77777777" w:rsidR="00F5289E" w:rsidRDefault="00C91173">
      <w:pPr>
        <w:adjustRightInd w:val="0"/>
        <w:snapToGrid w:val="0"/>
        <w:spacing w:beforeLines="50" w:before="156" w:line="360" w:lineRule="auto"/>
        <w:rPr>
          <w:rFonts w:ascii="宋体" w:hAnsi="宋体"/>
          <w:b/>
          <w:szCs w:val="21"/>
        </w:rPr>
      </w:pPr>
      <w:r>
        <w:rPr>
          <w:rFonts w:ascii="宋体" w:hAnsi="宋体" w:hint="eastAsia"/>
          <w:b/>
          <w:szCs w:val="21"/>
        </w:rPr>
        <w:t>（三）考核要求</w:t>
      </w:r>
    </w:p>
    <w:p w14:paraId="641E2207"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：工厂化育苗的质量标准包含的含义</w:t>
      </w:r>
    </w:p>
    <w:p w14:paraId="730C4BC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：工厂化育苗的质量控制的重要性和意义</w:t>
      </w:r>
    </w:p>
    <w:p w14:paraId="39C3AD9E"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：培育优质壮苗技术和育苗过程中病虫害的防治方法</w:t>
      </w:r>
    </w:p>
    <w:p w14:paraId="22E8535A"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育苗过程和运输过程中出现残次苗的原因与对策</w:t>
      </w:r>
    </w:p>
    <w:p w14:paraId="45D26C13"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w:t>
      </w:r>
      <w:r>
        <w:rPr>
          <w:rFonts w:hint="eastAsia"/>
          <w:szCs w:val="21"/>
        </w:rPr>
        <w:t>工厂化育苗质量控制的关键技术</w:t>
      </w:r>
    </w:p>
    <w:p w14:paraId="34890093"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6.评价：</w:t>
      </w:r>
      <w:r>
        <w:rPr>
          <w:rFonts w:ascii="宋体" w:hAnsi="宋体" w:hint="eastAsia"/>
          <w:bCs/>
          <w:szCs w:val="21"/>
        </w:rPr>
        <w:t>种苗质量评价和贮运质量保持评价</w:t>
      </w:r>
    </w:p>
    <w:p w14:paraId="06E7E1EB" w14:textId="77777777" w:rsidR="00F5289E" w:rsidRDefault="00C91173">
      <w:pPr>
        <w:pStyle w:val="a9"/>
        <w:snapToGrid w:val="0"/>
        <w:spacing w:line="360" w:lineRule="auto"/>
        <w:jc w:val="center"/>
        <w:rPr>
          <w:rFonts w:hAnsi="宋体"/>
          <w:b/>
        </w:rPr>
      </w:pPr>
      <w:r>
        <w:rPr>
          <w:rFonts w:hAnsi="宋体" w:hint="eastAsia"/>
          <w:b/>
        </w:rPr>
        <w:t>第八章  蔬菜工厂化育苗</w:t>
      </w:r>
    </w:p>
    <w:p w14:paraId="08D2B809"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6EAE593"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color w:val="000000"/>
          <w:szCs w:val="21"/>
        </w:rPr>
        <w:t>蔬菜幼苗对环境</w:t>
      </w:r>
      <w:r>
        <w:rPr>
          <w:rFonts w:hint="eastAsia"/>
          <w:color w:val="000000"/>
          <w:szCs w:val="21"/>
        </w:rPr>
        <w:t>条件</w:t>
      </w:r>
      <w:r>
        <w:rPr>
          <w:color w:val="000000"/>
          <w:szCs w:val="21"/>
        </w:rPr>
        <w:t>的要求</w:t>
      </w:r>
      <w:r>
        <w:rPr>
          <w:rFonts w:hint="eastAsia"/>
          <w:color w:val="000000"/>
          <w:szCs w:val="21"/>
        </w:rPr>
        <w:t>。</w:t>
      </w:r>
    </w:p>
    <w:p w14:paraId="4C75E3A3"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bookmarkStart w:id="181" w:name="_Hlk136422786"/>
      <w:r>
        <w:rPr>
          <w:rFonts w:ascii="宋体" w:hAnsi="宋体" w:hint="eastAsia"/>
          <w:szCs w:val="21"/>
        </w:rPr>
        <w:t>芦笋、生菜、甘蓝类蔬菜穴盘育苗技术</w:t>
      </w:r>
    </w:p>
    <w:p w14:paraId="61AAB6A2"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int="eastAsia"/>
          <w:color w:val="000000"/>
          <w:szCs w:val="21"/>
        </w:rPr>
        <w:t>茄果类和瓜类蔬菜的穴盘育苗技术</w:t>
      </w:r>
      <w:r>
        <w:rPr>
          <w:color w:val="000000"/>
          <w:szCs w:val="21"/>
        </w:rPr>
        <w:t>。</w:t>
      </w:r>
    </w:p>
    <w:bookmarkEnd w:id="181"/>
    <w:p w14:paraId="6D2D5D8F" w14:textId="77777777" w:rsidR="00F5289E" w:rsidRDefault="00C91173">
      <w:pPr>
        <w:adjustRightInd w:val="0"/>
        <w:snapToGrid w:val="0"/>
        <w:spacing w:beforeLines="50" w:before="156" w:line="360" w:lineRule="auto"/>
        <w:rPr>
          <w:rFonts w:ascii="宋体" w:hAnsi="宋体"/>
          <w:szCs w:val="21"/>
        </w:rPr>
      </w:pPr>
      <w:r>
        <w:rPr>
          <w:rFonts w:ascii="宋体" w:hAnsi="宋体" w:hint="eastAsia"/>
          <w:b/>
          <w:szCs w:val="21"/>
        </w:rPr>
        <w:t>（二）考核内容</w:t>
      </w:r>
    </w:p>
    <w:p w14:paraId="006B28B2" w14:textId="77777777" w:rsidR="00F5289E" w:rsidRDefault="00C91173">
      <w:pPr>
        <w:adjustRightInd w:val="0"/>
        <w:snapToGrid w:val="0"/>
        <w:spacing w:line="360" w:lineRule="auto"/>
        <w:ind w:firstLineChars="200" w:firstLine="420"/>
        <w:rPr>
          <w:szCs w:val="21"/>
        </w:rPr>
      </w:pPr>
      <w:r>
        <w:rPr>
          <w:rFonts w:hint="eastAsia"/>
          <w:szCs w:val="21"/>
        </w:rPr>
        <w:t>瓜类蔬菜直播苗穴盘育苗技术要点，黄瓜嫁接苗穴盘育苗技术要点，西瓜嫁接苗穴盘育苗技术要点，番茄直播苗穴盘育苗的技术要点，斜切嫁接法进行工厂化番茄嫁接苗的生产技术要点，茄子、辣椒的穴盘育苗技术要点，芦笋、生菜、甘蓝类蔬菜穴盘育苗技术，蔬菜穴盘育苗常见问题与对策</w:t>
      </w:r>
    </w:p>
    <w:p w14:paraId="2A04DDF4" w14:textId="77777777" w:rsidR="00F5289E" w:rsidRDefault="00C91173">
      <w:pPr>
        <w:adjustRightInd w:val="0"/>
        <w:snapToGrid w:val="0"/>
        <w:spacing w:beforeLines="50" w:before="156" w:line="360" w:lineRule="auto"/>
        <w:rPr>
          <w:rFonts w:ascii="宋体" w:hAnsi="宋体"/>
          <w:b/>
          <w:szCs w:val="21"/>
        </w:rPr>
      </w:pPr>
      <w:r>
        <w:rPr>
          <w:rFonts w:ascii="宋体" w:hAnsi="宋体" w:hint="eastAsia"/>
          <w:b/>
          <w:szCs w:val="21"/>
        </w:rPr>
        <w:t>（三）考核要求</w:t>
      </w:r>
    </w:p>
    <w:p w14:paraId="17C3905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w:t>
      </w:r>
      <w:r>
        <w:rPr>
          <w:color w:val="000000"/>
          <w:szCs w:val="21"/>
        </w:rPr>
        <w:t>蔬菜幼苗对环境</w:t>
      </w:r>
      <w:r>
        <w:rPr>
          <w:rFonts w:hint="eastAsia"/>
          <w:color w:val="000000"/>
          <w:szCs w:val="21"/>
        </w:rPr>
        <w:t>条件</w:t>
      </w:r>
      <w:r>
        <w:rPr>
          <w:color w:val="000000"/>
          <w:szCs w:val="21"/>
        </w:rPr>
        <w:t>的要求</w:t>
      </w:r>
      <w:r>
        <w:rPr>
          <w:rFonts w:hint="eastAsia"/>
          <w:color w:val="000000"/>
          <w:szCs w:val="21"/>
        </w:rPr>
        <w:t>。</w:t>
      </w:r>
    </w:p>
    <w:p w14:paraId="44852F8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：蔬菜穴盘直播育苗和嫁接育苗的差异</w:t>
      </w:r>
    </w:p>
    <w:p w14:paraId="447C84E0"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：茄果类蔬菜、瓜类蔬菜、芦笋、生菜、甘蓝类蔬菜优质穴盘育苗生产技术</w:t>
      </w:r>
    </w:p>
    <w:p w14:paraId="78026415"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4.分析：</w:t>
      </w:r>
      <w:r>
        <w:rPr>
          <w:rFonts w:ascii="宋体" w:hAnsi="宋体" w:hint="eastAsia"/>
          <w:bCs/>
          <w:szCs w:val="21"/>
        </w:rPr>
        <w:t>蔬菜工厂化育苗关键技术各环节注意事项</w:t>
      </w:r>
    </w:p>
    <w:p w14:paraId="0EC66A4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：蔬菜工厂化育苗全要素生产技术应用</w:t>
      </w:r>
    </w:p>
    <w:p w14:paraId="6CE6CD06"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6.评价：</w:t>
      </w:r>
      <w:r>
        <w:rPr>
          <w:rFonts w:ascii="宋体" w:hAnsi="宋体" w:hint="eastAsia"/>
          <w:szCs w:val="21"/>
        </w:rPr>
        <w:t>蔬菜工厂化商品苗质量标准</w:t>
      </w:r>
    </w:p>
    <w:p w14:paraId="6D544CB9" w14:textId="77777777" w:rsidR="00F5289E" w:rsidRDefault="00C91173">
      <w:pPr>
        <w:pStyle w:val="a9"/>
        <w:snapToGrid w:val="0"/>
        <w:spacing w:line="360" w:lineRule="auto"/>
        <w:jc w:val="center"/>
        <w:rPr>
          <w:rFonts w:hAnsi="宋体"/>
          <w:b/>
        </w:rPr>
      </w:pPr>
      <w:r>
        <w:rPr>
          <w:rFonts w:hAnsi="宋体" w:hint="eastAsia"/>
          <w:b/>
        </w:rPr>
        <w:t>第九章  闭锁型育苗系统的科学原理与应用</w:t>
      </w:r>
    </w:p>
    <w:p w14:paraId="561044A0"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9258BD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lastRenderedPageBreak/>
        <w:t>1. 一般了解</w:t>
      </w:r>
      <w:r>
        <w:rPr>
          <w:rFonts w:ascii="宋体" w:hAnsi="宋体" w:hint="eastAsia"/>
          <w:szCs w:val="21"/>
        </w:rPr>
        <w:t>：闭锁型育苗系统产生的背景</w:t>
      </w:r>
    </w:p>
    <w:p w14:paraId="407359AD"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：闭锁型育苗系统的硬件组成</w:t>
      </w:r>
    </w:p>
    <w:p w14:paraId="24442B2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：闭锁型育苗系统运行的原理及日常管理</w:t>
      </w:r>
    </w:p>
    <w:p w14:paraId="663725F7"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CB86F89" w14:textId="77777777" w:rsidR="00F5289E" w:rsidRDefault="00C91173">
      <w:pPr>
        <w:snapToGrid w:val="0"/>
        <w:spacing w:line="360" w:lineRule="auto"/>
        <w:ind w:firstLineChars="200" w:firstLine="420"/>
        <w:rPr>
          <w:rFonts w:ascii="宋体" w:hAnsi="宋体"/>
          <w:bCs/>
          <w:szCs w:val="21"/>
        </w:rPr>
      </w:pPr>
      <w:r>
        <w:rPr>
          <w:rFonts w:ascii="宋体" w:hAnsi="宋体" w:hint="eastAsia"/>
          <w:szCs w:val="21"/>
        </w:rPr>
        <w:t>闭锁型育苗系统产生的背景，闭锁型育苗系统产生的软件和硬件构成，闭锁型育苗系统运行的原理。</w:t>
      </w:r>
    </w:p>
    <w:p w14:paraId="7A9BCFCE" w14:textId="77777777" w:rsidR="00F5289E" w:rsidRDefault="00C91173">
      <w:pPr>
        <w:snapToGrid w:val="0"/>
        <w:spacing w:line="360" w:lineRule="auto"/>
        <w:rPr>
          <w:rFonts w:ascii="宋体" w:hAnsi="宋体"/>
          <w:bCs/>
          <w:szCs w:val="21"/>
        </w:rPr>
      </w:pPr>
      <w:r>
        <w:rPr>
          <w:rFonts w:ascii="宋体" w:hAnsi="宋体" w:hint="eastAsia"/>
          <w:b/>
          <w:szCs w:val="21"/>
        </w:rPr>
        <w:t>（三）考核要求</w:t>
      </w:r>
    </w:p>
    <w:p w14:paraId="4680078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：根据目前育苗产业的水平，分析闭锁型育苗系统产生的背景</w:t>
      </w:r>
    </w:p>
    <w:p w14:paraId="38AE6D7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：闭锁型育苗系统给植物生长提供温、光、水、气、肥等环节条件所需的硬件设备</w:t>
      </w:r>
    </w:p>
    <w:p w14:paraId="16AB0FE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：闭锁型育苗系统在不同种类蔬菜和不同规格穴盘苗上的应用效果</w:t>
      </w:r>
    </w:p>
    <w:p w14:paraId="3B8DF34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：对比闭锁型育苗系统和连栋温室在设施设备上的投入和运行的费用</w:t>
      </w:r>
    </w:p>
    <w:p w14:paraId="4FBB976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：闭锁型育苗系统各硬件之间如何配合运行</w:t>
      </w:r>
    </w:p>
    <w:p w14:paraId="6AAC40BA"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闭锁型育苗系统在未来工厂化育苗产业中的应用前景</w:t>
      </w:r>
    </w:p>
    <w:p w14:paraId="6D3C1881" w14:textId="77777777" w:rsidR="00F5289E" w:rsidRDefault="00C91173">
      <w:pPr>
        <w:pStyle w:val="a9"/>
        <w:snapToGrid w:val="0"/>
        <w:spacing w:line="360" w:lineRule="auto"/>
        <w:jc w:val="center"/>
        <w:rPr>
          <w:rFonts w:hAnsi="宋体"/>
          <w:b/>
        </w:rPr>
      </w:pPr>
      <w:r>
        <w:rPr>
          <w:rFonts w:hAnsi="宋体" w:hint="eastAsia"/>
          <w:b/>
        </w:rPr>
        <w:t>第十章  工厂化育苗的经营与管理</w:t>
      </w:r>
    </w:p>
    <w:p w14:paraId="3584ED26"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78A8E0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rFonts w:hint="eastAsia"/>
          <w:szCs w:val="21"/>
        </w:rPr>
        <w:t>种苗厂规划的概念、目的及原则。</w:t>
      </w:r>
    </w:p>
    <w:p w14:paraId="297706A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szCs w:val="21"/>
        </w:rPr>
        <w:t>如何控制育苗经营成本</w:t>
      </w:r>
      <w:r>
        <w:rPr>
          <w:rFonts w:hint="eastAsia"/>
          <w:szCs w:val="21"/>
        </w:rPr>
        <w:t>，</w:t>
      </w:r>
      <w:r>
        <w:rPr>
          <w:szCs w:val="21"/>
        </w:rPr>
        <w:t>种苗的销售与售后服务</w:t>
      </w:r>
      <w:r>
        <w:rPr>
          <w:rFonts w:hint="eastAsia"/>
          <w:szCs w:val="21"/>
        </w:rPr>
        <w:t>。</w:t>
      </w:r>
    </w:p>
    <w:p w14:paraId="5647B87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szCs w:val="21"/>
        </w:rPr>
        <w:t>育苗工厂规划设计和生产计划制定</w:t>
      </w:r>
      <w:r>
        <w:rPr>
          <w:color w:val="000000"/>
          <w:szCs w:val="21"/>
        </w:rPr>
        <w:t>。</w:t>
      </w:r>
    </w:p>
    <w:p w14:paraId="187BBD97"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E250AF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种苗厂规划的概念和目的，规划的设计原则的内容，如何制定种苗厂的播种计划表，种苗厂的经济核算，种苗厂的营销策略。</w:t>
      </w:r>
    </w:p>
    <w:p w14:paraId="4E22A003" w14:textId="77777777" w:rsidR="00F5289E" w:rsidRDefault="00C91173">
      <w:pPr>
        <w:snapToGrid w:val="0"/>
        <w:spacing w:line="360" w:lineRule="auto"/>
        <w:rPr>
          <w:rFonts w:ascii="宋体" w:hAnsi="宋体"/>
          <w:bCs/>
          <w:szCs w:val="21"/>
        </w:rPr>
      </w:pPr>
      <w:r>
        <w:rPr>
          <w:rFonts w:ascii="宋体" w:hAnsi="宋体" w:hint="eastAsia"/>
          <w:b/>
          <w:szCs w:val="21"/>
        </w:rPr>
        <w:t>（三）考核要求</w:t>
      </w:r>
    </w:p>
    <w:p w14:paraId="21617DB7"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rFonts w:hint="eastAsia"/>
          <w:szCs w:val="21"/>
        </w:rPr>
        <w:t>种苗厂规划的概念</w:t>
      </w:r>
    </w:p>
    <w:p w14:paraId="34209B2A"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rFonts w:hint="eastAsia"/>
          <w:szCs w:val="21"/>
        </w:rPr>
        <w:t>种苗厂规划目的和原则</w:t>
      </w:r>
    </w:p>
    <w:p w14:paraId="61ED713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szCs w:val="21"/>
        </w:rPr>
        <w:t>如何</w:t>
      </w:r>
      <w:r>
        <w:rPr>
          <w:rFonts w:hint="eastAsia"/>
          <w:szCs w:val="21"/>
        </w:rPr>
        <w:t>通过</w:t>
      </w:r>
      <w:r>
        <w:rPr>
          <w:szCs w:val="21"/>
        </w:rPr>
        <w:t>控制</w:t>
      </w:r>
      <w:r>
        <w:rPr>
          <w:rFonts w:hint="eastAsia"/>
          <w:szCs w:val="21"/>
        </w:rPr>
        <w:t>种子、基质、穴盘和环境调控成本来降低</w:t>
      </w:r>
      <w:r>
        <w:rPr>
          <w:szCs w:val="21"/>
        </w:rPr>
        <w:t>育苗经营成本</w:t>
      </w:r>
    </w:p>
    <w:p w14:paraId="6D1E79AA"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：种苗厂各个环节成本分析</w:t>
      </w:r>
    </w:p>
    <w:p w14:paraId="452E71A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w:t>
      </w:r>
      <w:r>
        <w:rPr>
          <w:rFonts w:hint="eastAsia"/>
          <w:szCs w:val="21"/>
        </w:rPr>
        <w:t>园艺植物种苗的营销策略制订</w:t>
      </w:r>
    </w:p>
    <w:p w14:paraId="21CB2076"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szCs w:val="21"/>
        </w:rPr>
        <w:t>育苗工厂规划设计和生产计划制定</w:t>
      </w:r>
    </w:p>
    <w:p w14:paraId="08A90DF6" w14:textId="77777777" w:rsidR="00F5289E" w:rsidRDefault="00C91173">
      <w:pPr>
        <w:pStyle w:val="a9"/>
        <w:spacing w:line="360" w:lineRule="auto"/>
        <w:rPr>
          <w:b/>
          <w:bCs/>
        </w:rPr>
      </w:pPr>
      <w:r>
        <w:rPr>
          <w:rFonts w:hint="eastAsia"/>
          <w:b/>
          <w:bCs/>
        </w:rPr>
        <w:t>三、实验、实习教学部分的考核要求</w:t>
      </w:r>
    </w:p>
    <w:p w14:paraId="58894798" w14:textId="77777777" w:rsidR="00F5289E" w:rsidRDefault="00C91173">
      <w:pPr>
        <w:pStyle w:val="a9"/>
        <w:spacing w:line="360" w:lineRule="auto"/>
        <w:ind w:firstLineChars="200" w:firstLine="420"/>
      </w:pPr>
      <w:r>
        <w:rPr>
          <w:rFonts w:hint="eastAsia"/>
        </w:rPr>
        <w:t>1.工厂化育苗原理与技术实验课是在理论课掌握的基础上进行的实践操作，主要考察学生将理论知识应用于实践的能力和数据的分析能力。实验成绩结果部分占</w:t>
      </w:r>
      <w:r>
        <w:t>80%</w:t>
      </w:r>
      <w:r>
        <w:rPr>
          <w:rFonts w:hint="eastAsia"/>
        </w:rPr>
        <w:t>，考勤占2</w:t>
      </w:r>
      <w:r>
        <w:t>0%</w:t>
      </w:r>
      <w:r>
        <w:rPr>
          <w:rFonts w:hint="eastAsia"/>
        </w:rPr>
        <w:t>。</w:t>
      </w:r>
    </w:p>
    <w:p w14:paraId="258C7906" w14:textId="77777777" w:rsidR="00F5289E" w:rsidRDefault="00C91173">
      <w:pPr>
        <w:pStyle w:val="a9"/>
        <w:spacing w:line="360" w:lineRule="auto"/>
        <w:ind w:firstLineChars="200" w:firstLine="420"/>
      </w:pPr>
      <w:r>
        <w:rPr>
          <w:rFonts w:hint="eastAsia"/>
        </w:rPr>
        <w:t>2.工厂化育苗原理与技术教学实习主要安排育苗企业和农业园区实践活动，是学生学习工厂化育苗原理与技术的重要实践教学环节，使学生通过现场调查，动手操作，锻炼学生归纳总结和实</w:t>
      </w:r>
      <w:r>
        <w:rPr>
          <w:rFonts w:hint="eastAsia"/>
        </w:rPr>
        <w:lastRenderedPageBreak/>
        <w:t>践能力。学生应在完成教学实习写出实习报告，根据实习报告教师给出实习成绩。</w:t>
      </w:r>
    </w:p>
    <w:p w14:paraId="190B96C0" w14:textId="77777777" w:rsidR="00F5289E" w:rsidRDefault="00C91173">
      <w:pPr>
        <w:pStyle w:val="a9"/>
        <w:spacing w:line="360" w:lineRule="auto"/>
        <w:rPr>
          <w:b/>
          <w:bCs/>
        </w:rPr>
      </w:pPr>
      <w:r>
        <w:rPr>
          <w:rFonts w:hint="eastAsia"/>
          <w:b/>
          <w:bCs/>
        </w:rPr>
        <w:t>四、考核方式</w:t>
      </w:r>
    </w:p>
    <w:p w14:paraId="6CA306BC" w14:textId="77777777" w:rsidR="00F5289E" w:rsidRDefault="00C91173">
      <w:pPr>
        <w:snapToGrid w:val="0"/>
        <w:spacing w:line="360" w:lineRule="auto"/>
        <w:ind w:firstLineChars="200" w:firstLine="420"/>
        <w:rPr>
          <w:rFonts w:eastAsiaTheme="majorEastAsia"/>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w:t>
      </w:r>
      <w:r>
        <w:rPr>
          <w:rFonts w:eastAsiaTheme="majorEastAsia" w:hint="eastAsia"/>
          <w:szCs w:val="21"/>
        </w:rPr>
        <w:t>占比</w:t>
      </w:r>
      <w:r>
        <w:rPr>
          <w:rFonts w:eastAsiaTheme="majorEastAsia" w:hint="eastAsia"/>
          <w:szCs w:val="21"/>
        </w:rPr>
        <w:t>4</w:t>
      </w:r>
      <w:r>
        <w:rPr>
          <w:rFonts w:eastAsiaTheme="majorEastAsia"/>
          <w:szCs w:val="21"/>
        </w:rPr>
        <w:t>0%</w:t>
      </w:r>
      <w:r>
        <w:rPr>
          <w:rFonts w:eastAsiaTheme="majorEastAsia" w:hint="eastAsia"/>
          <w:szCs w:val="21"/>
        </w:rPr>
        <w:t>，</w:t>
      </w:r>
      <w:r>
        <w:rPr>
          <w:rFonts w:eastAsiaTheme="majorEastAsia"/>
          <w:szCs w:val="21"/>
        </w:rPr>
        <w:t>终结性评价</w:t>
      </w:r>
      <w:r>
        <w:rPr>
          <w:rFonts w:eastAsiaTheme="majorEastAsia" w:hint="eastAsia"/>
          <w:szCs w:val="21"/>
        </w:rPr>
        <w:t>占比</w:t>
      </w:r>
      <w:r>
        <w:rPr>
          <w:rFonts w:eastAsiaTheme="majorEastAsia"/>
          <w:szCs w:val="21"/>
        </w:rPr>
        <w:t>60%</w:t>
      </w:r>
      <w:r>
        <w:rPr>
          <w:rFonts w:eastAsiaTheme="majorEastAsia"/>
          <w:szCs w:val="21"/>
        </w:rPr>
        <w:t>。</w:t>
      </w:r>
    </w:p>
    <w:p w14:paraId="454642F9"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1.</w:t>
      </w:r>
      <w:r>
        <w:rPr>
          <w:rFonts w:hAnsi="宋体" w:hint="eastAsia"/>
          <w:b/>
          <w:bCs/>
          <w:kern w:val="0"/>
          <w:szCs w:val="21"/>
        </w:rPr>
        <w:t>过程性评价：</w:t>
      </w:r>
      <w:r>
        <w:rPr>
          <w:rFonts w:eastAsiaTheme="majorEastAsia"/>
          <w:szCs w:val="21"/>
        </w:rPr>
        <w:t>过程</w:t>
      </w:r>
      <w:r>
        <w:rPr>
          <w:rFonts w:eastAsiaTheme="majorEastAsia" w:hint="eastAsia"/>
          <w:szCs w:val="21"/>
        </w:rPr>
        <w:t>性</w:t>
      </w:r>
      <w:r>
        <w:rPr>
          <w:rFonts w:eastAsiaTheme="majorEastAsia"/>
          <w:szCs w:val="21"/>
        </w:rPr>
        <w:t>评价计分点主要包括对课前学习、考勤、课堂</w:t>
      </w:r>
      <w:r>
        <w:rPr>
          <w:rFonts w:eastAsiaTheme="majorEastAsia" w:hint="eastAsia"/>
          <w:szCs w:val="21"/>
        </w:rPr>
        <w:t>问答</w:t>
      </w:r>
      <w:r>
        <w:rPr>
          <w:rFonts w:eastAsiaTheme="majorEastAsia"/>
          <w:szCs w:val="21"/>
        </w:rPr>
        <w:t>、</w:t>
      </w:r>
      <w:r>
        <w:rPr>
          <w:rFonts w:eastAsiaTheme="majorEastAsia" w:hint="eastAsia"/>
          <w:szCs w:val="21"/>
        </w:rPr>
        <w:t>课后作业、实验报告，嫁接竞赛</w:t>
      </w:r>
      <w:r>
        <w:rPr>
          <w:rFonts w:eastAsiaTheme="majorEastAsia"/>
          <w:szCs w:val="21"/>
        </w:rPr>
        <w:t>的考评</w:t>
      </w:r>
      <w:r>
        <w:rPr>
          <w:rFonts w:eastAsiaTheme="majorEastAsia" w:hint="eastAsia"/>
          <w:szCs w:val="21"/>
        </w:rPr>
        <w:t>结果</w:t>
      </w:r>
      <w:r>
        <w:rPr>
          <w:rFonts w:eastAsiaTheme="majorEastAsia"/>
          <w:szCs w:val="21"/>
        </w:rPr>
        <w:t>。</w:t>
      </w:r>
    </w:p>
    <w:p w14:paraId="33841ADB" w14:textId="77777777" w:rsidR="00F5289E" w:rsidRDefault="00C91173">
      <w:pPr>
        <w:spacing w:line="360" w:lineRule="auto"/>
        <w:ind w:firstLineChars="200" w:firstLine="422"/>
        <w:jc w:val="left"/>
        <w:rPr>
          <w:rFonts w:hAnsi="宋体"/>
          <w:b/>
          <w:bCs/>
          <w:color w:val="0000FF"/>
          <w:kern w:val="0"/>
          <w:szCs w:val="21"/>
        </w:rPr>
      </w:pPr>
      <w:r>
        <w:rPr>
          <w:rFonts w:hAnsi="宋体" w:hint="eastAsia"/>
          <w:b/>
          <w:bCs/>
          <w:kern w:val="0"/>
          <w:szCs w:val="21"/>
        </w:rPr>
        <w:t>2.</w:t>
      </w:r>
      <w:r>
        <w:rPr>
          <w:rFonts w:hAnsi="宋体" w:hint="eastAsia"/>
          <w:b/>
          <w:bCs/>
          <w:kern w:val="0"/>
          <w:szCs w:val="21"/>
        </w:rPr>
        <w:t>终结性评价：</w:t>
      </w:r>
      <w:r>
        <w:rPr>
          <w:rFonts w:eastAsiaTheme="majorEastAsia"/>
          <w:szCs w:val="21"/>
        </w:rPr>
        <w:t>终结性考核以产业需要和行业</w:t>
      </w:r>
      <w:r>
        <w:rPr>
          <w:rFonts w:eastAsiaTheme="majorEastAsia" w:hint="eastAsia"/>
          <w:szCs w:val="21"/>
        </w:rPr>
        <w:t>研究前沿</w:t>
      </w:r>
      <w:r>
        <w:rPr>
          <w:rFonts w:eastAsiaTheme="majorEastAsia"/>
          <w:szCs w:val="21"/>
        </w:rPr>
        <w:t>为导向，设计具有综合性、开放性、延伸性的题目。</w:t>
      </w:r>
    </w:p>
    <w:p w14:paraId="6E071993" w14:textId="77777777" w:rsidR="00F5289E" w:rsidRDefault="00C91173">
      <w:pPr>
        <w:pStyle w:val="a9"/>
        <w:spacing w:line="360" w:lineRule="auto"/>
        <w:rPr>
          <w:b/>
          <w:bCs/>
        </w:rPr>
      </w:pPr>
      <w:r>
        <w:rPr>
          <w:rFonts w:hint="eastAsia"/>
          <w:b/>
          <w:bCs/>
        </w:rPr>
        <w:t>五、成绩评定</w:t>
      </w:r>
    </w:p>
    <w:p w14:paraId="216D0A5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1.平时成绩主要包括对线上平台预习、考勤、课堂问答参与度、实验报告和嫁接比赛的考评。学生在学习过程中的行为均被记录并评分，得出平时成绩，其中，线上平台学习、考勤、课堂问答各占</w:t>
      </w:r>
      <w:r>
        <w:rPr>
          <w:rFonts w:ascii="宋体" w:hAnsi="宋体"/>
          <w:szCs w:val="21"/>
        </w:rPr>
        <w:t>10</w:t>
      </w:r>
      <w:r>
        <w:rPr>
          <w:rFonts w:ascii="宋体" w:hAnsi="宋体" w:hint="eastAsia"/>
          <w:szCs w:val="21"/>
        </w:rPr>
        <w:t>%，3次实验报告各占15%，嫁接竞赛成绩占</w:t>
      </w:r>
      <w:r>
        <w:rPr>
          <w:rFonts w:ascii="宋体" w:hAnsi="宋体"/>
          <w:szCs w:val="21"/>
        </w:rPr>
        <w:t>25</w:t>
      </w:r>
      <w:r>
        <w:rPr>
          <w:rFonts w:ascii="宋体" w:hAnsi="宋体" w:hint="eastAsia"/>
          <w:szCs w:val="21"/>
        </w:rPr>
        <w:t>%，并采取学生和教师共同评价的方式。</w:t>
      </w:r>
    </w:p>
    <w:p w14:paraId="6F31D79C" w14:textId="77777777" w:rsidR="00F5289E" w:rsidRDefault="00C91173">
      <w:pPr>
        <w:snapToGrid w:val="0"/>
        <w:spacing w:line="360" w:lineRule="auto"/>
        <w:ind w:firstLineChars="200" w:firstLine="420"/>
        <w:rPr>
          <w:rFonts w:ascii="宋体" w:hAnsi="宋体"/>
          <w:bCs/>
          <w:szCs w:val="21"/>
        </w:rPr>
      </w:pPr>
      <w:r>
        <w:rPr>
          <w:rFonts w:ascii="宋体" w:hAnsi="宋体" w:hint="eastAsia"/>
        </w:rPr>
        <w:t>2.期末成绩</w:t>
      </w:r>
      <w:r>
        <w:rPr>
          <w:rFonts w:ascii="宋体" w:hAnsi="宋体" w:hint="eastAsia"/>
          <w:bCs/>
          <w:szCs w:val="21"/>
        </w:rPr>
        <w:t>采用闭卷考试进行，占总成绩的6</w:t>
      </w:r>
      <w:r>
        <w:rPr>
          <w:rFonts w:ascii="宋体" w:hAnsi="宋体"/>
          <w:bCs/>
          <w:szCs w:val="21"/>
        </w:rPr>
        <w:t>0%</w:t>
      </w:r>
      <w:r>
        <w:rPr>
          <w:rFonts w:ascii="宋体" w:hAnsi="宋体" w:hint="eastAsia"/>
          <w:bCs/>
          <w:szCs w:val="21"/>
        </w:rPr>
        <w:t>。</w:t>
      </w:r>
    </w:p>
    <w:p w14:paraId="6629641F" w14:textId="77777777" w:rsidR="00F5289E" w:rsidRDefault="00C91173">
      <w:pPr>
        <w:snapToGrid w:val="0"/>
        <w:spacing w:line="360" w:lineRule="auto"/>
        <w:ind w:firstLineChars="200" w:firstLine="420"/>
        <w:rPr>
          <w:rFonts w:ascii="宋体" w:hAnsi="宋体"/>
          <w:bCs/>
          <w:szCs w:val="21"/>
        </w:rPr>
      </w:pPr>
      <w:r>
        <w:rPr>
          <w:rFonts w:ascii="宋体" w:hAnsi="宋体" w:hint="eastAsia"/>
        </w:rPr>
        <w:t>3.综合成绩</w:t>
      </w:r>
      <w:r>
        <w:rPr>
          <w:rFonts w:ascii="宋体" w:hAnsi="宋体" w:hint="eastAsia"/>
          <w:bCs/>
          <w:szCs w:val="21"/>
        </w:rPr>
        <w:t>中平时成绩占4</w:t>
      </w:r>
      <w:r>
        <w:rPr>
          <w:rFonts w:ascii="宋体" w:hAnsi="宋体"/>
          <w:bCs/>
          <w:szCs w:val="21"/>
        </w:rPr>
        <w:t>0%</w:t>
      </w:r>
      <w:r>
        <w:rPr>
          <w:rFonts w:ascii="宋体" w:hAnsi="宋体" w:hint="eastAsia"/>
          <w:bCs/>
          <w:szCs w:val="21"/>
        </w:rPr>
        <w:t>，期末成绩占6</w:t>
      </w:r>
      <w:r>
        <w:rPr>
          <w:rFonts w:ascii="宋体" w:hAnsi="宋体"/>
          <w:bCs/>
          <w:szCs w:val="21"/>
        </w:rPr>
        <w:t>0%</w:t>
      </w:r>
      <w:r>
        <w:rPr>
          <w:rFonts w:ascii="宋体" w:hAnsi="宋体" w:hint="eastAsia"/>
          <w:bCs/>
          <w:szCs w:val="21"/>
        </w:rPr>
        <w:t>。</w:t>
      </w:r>
    </w:p>
    <w:p w14:paraId="5CF2DB31" w14:textId="77777777" w:rsidR="00F5289E" w:rsidRDefault="00C91173">
      <w:pPr>
        <w:pStyle w:val="a9"/>
        <w:spacing w:line="360" w:lineRule="auto"/>
        <w:rPr>
          <w:b/>
          <w:bCs/>
        </w:rPr>
      </w:pPr>
      <w:r>
        <w:rPr>
          <w:rFonts w:hint="eastAsia"/>
          <w:b/>
          <w:bCs/>
        </w:rPr>
        <w:t>六、考核结果分析反馈</w:t>
      </w:r>
    </w:p>
    <w:p w14:paraId="6BCFD026" w14:textId="77777777" w:rsidR="00F5289E" w:rsidRDefault="00C91173">
      <w:pPr>
        <w:snapToGrid w:val="0"/>
        <w:spacing w:line="360" w:lineRule="auto"/>
        <w:ind w:firstLineChars="200" w:firstLine="420"/>
        <w:rPr>
          <w:rFonts w:hAnsi="宋体"/>
          <w:bCs/>
          <w:szCs w:val="21"/>
        </w:rPr>
      </w:pPr>
      <w:r>
        <w:rPr>
          <w:rFonts w:hAnsi="宋体" w:hint="eastAsia"/>
          <w:bCs/>
          <w:szCs w:val="21"/>
        </w:rPr>
        <w:t>考核结果是对学生掌握本课程知识理论体系的直接体现，也是对教学效果的最直观反馈，因此有必要对考核结果进行分析并改进教学手段。考核分为过程性考核和终结性考核，需从这两部分逐一分析。</w:t>
      </w:r>
    </w:p>
    <w:p w14:paraId="1E712A7B" w14:textId="77777777" w:rsidR="00F5289E" w:rsidRDefault="00C91173">
      <w:pPr>
        <w:snapToGrid w:val="0"/>
        <w:spacing w:line="360" w:lineRule="auto"/>
        <w:ind w:firstLineChars="200" w:firstLine="420"/>
        <w:rPr>
          <w:rFonts w:hAnsi="宋体"/>
          <w:bCs/>
          <w:szCs w:val="21"/>
        </w:rPr>
      </w:pPr>
      <w:r>
        <w:rPr>
          <w:rFonts w:hAnsi="宋体" w:hint="eastAsia"/>
          <w:bCs/>
          <w:szCs w:val="21"/>
        </w:rPr>
        <w:t>1</w:t>
      </w:r>
      <w:r>
        <w:rPr>
          <w:rFonts w:hAnsi="宋体"/>
          <w:bCs/>
          <w:szCs w:val="21"/>
        </w:rPr>
        <w:t xml:space="preserve">. </w:t>
      </w:r>
      <w:r>
        <w:rPr>
          <w:rFonts w:hAnsi="宋体" w:hint="eastAsia"/>
          <w:bCs/>
          <w:szCs w:val="21"/>
        </w:rPr>
        <w:t>过程性考核结果分析</w:t>
      </w:r>
    </w:p>
    <w:p w14:paraId="76778114"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1</w:t>
      </w:r>
      <w:r>
        <w:rPr>
          <w:rFonts w:hAnsi="宋体" w:hint="eastAsia"/>
          <w:bCs/>
          <w:szCs w:val="21"/>
        </w:rPr>
        <w:t>）课前预习和课堂提问互动是检验学生对本科课程认识的第一个环节，可从学生的课堂反馈引导学生学习的方法和方式。</w:t>
      </w:r>
    </w:p>
    <w:p w14:paraId="619FD8A5"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2</w:t>
      </w:r>
      <w:r>
        <w:rPr>
          <w:rFonts w:hAnsi="宋体" w:hint="eastAsia"/>
          <w:bCs/>
          <w:szCs w:val="21"/>
        </w:rPr>
        <w:t>）课后作业是经过预习和教师讲授后学生对本章节知识点的反馈，通过一些开放性题目的设置反馈出学生对章节知识点的总体掌握程度，教师针对作业情况掌握难点，并在下一堂课对难点进行复习解析。</w:t>
      </w:r>
    </w:p>
    <w:p w14:paraId="4C471FDC"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3</w:t>
      </w:r>
      <w:r>
        <w:rPr>
          <w:rFonts w:hAnsi="宋体" w:hint="eastAsia"/>
          <w:bCs/>
          <w:szCs w:val="21"/>
        </w:rPr>
        <w:t>）实验是检验学生实践能力和数据分析能力的体现，针对学生在实验课现场表现和实验报告书写质量掌握学生学习情况，并当场对学生进行指导。</w:t>
      </w:r>
    </w:p>
    <w:p w14:paraId="5F9E26AB"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4</w:t>
      </w:r>
      <w:r>
        <w:rPr>
          <w:rFonts w:hAnsi="宋体" w:hint="eastAsia"/>
          <w:bCs/>
          <w:szCs w:val="21"/>
        </w:rPr>
        <w:t>）嫁接作为本门课程的关键知识点，采用竞赛的方式进行考核，通过设置比赛细则，教师可对实验的每个细节得分点进行把握，有重点地引导学生复习巩固。</w:t>
      </w:r>
    </w:p>
    <w:p w14:paraId="513E4F9A" w14:textId="77777777" w:rsidR="00F5289E" w:rsidRDefault="00C91173">
      <w:pPr>
        <w:snapToGrid w:val="0"/>
        <w:spacing w:line="360" w:lineRule="auto"/>
        <w:ind w:firstLineChars="200" w:firstLine="420"/>
        <w:rPr>
          <w:rFonts w:hAnsi="宋体"/>
          <w:bCs/>
          <w:szCs w:val="21"/>
        </w:rPr>
      </w:pPr>
      <w:r>
        <w:rPr>
          <w:rFonts w:hAnsi="宋体"/>
          <w:bCs/>
          <w:szCs w:val="21"/>
        </w:rPr>
        <w:t xml:space="preserve">2. </w:t>
      </w:r>
      <w:r>
        <w:rPr>
          <w:rFonts w:hAnsi="宋体" w:hint="eastAsia"/>
          <w:bCs/>
          <w:szCs w:val="21"/>
        </w:rPr>
        <w:t>终结性考核结果分析</w:t>
      </w:r>
    </w:p>
    <w:p w14:paraId="5E80ACD9"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1</w:t>
      </w:r>
      <w:r>
        <w:rPr>
          <w:rFonts w:hAnsi="宋体" w:hint="eastAsia"/>
          <w:bCs/>
          <w:szCs w:val="21"/>
        </w:rPr>
        <w:t>）结合成绩在不同班级的分布总结试卷出题情况，包括知识点覆盖范围、难易度、是否符合培养目标。</w:t>
      </w:r>
    </w:p>
    <w:p w14:paraId="0973DBE0"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2</w:t>
      </w:r>
      <w:r>
        <w:rPr>
          <w:rFonts w:hAnsi="宋体" w:hint="eastAsia"/>
          <w:bCs/>
          <w:szCs w:val="21"/>
        </w:rPr>
        <w:t>）对试卷每个题型、同一题型不同章节知识点的得分情况进行分析，分析学生知识点掌握理解情况，在今后的教学工作中有针对性的加强难点和易错点的讲解。</w:t>
      </w:r>
    </w:p>
    <w:p w14:paraId="3CC6C816" w14:textId="77777777" w:rsidR="00F5289E" w:rsidRDefault="00C91173">
      <w:pPr>
        <w:snapToGrid w:val="0"/>
        <w:spacing w:line="360" w:lineRule="auto"/>
        <w:ind w:firstLineChars="200" w:firstLine="420"/>
        <w:rPr>
          <w:rFonts w:hAnsi="宋体"/>
          <w:bCs/>
          <w:szCs w:val="21"/>
        </w:rPr>
      </w:pPr>
      <w:r>
        <w:rPr>
          <w:rFonts w:hAnsi="宋体" w:hint="eastAsia"/>
          <w:bCs/>
          <w:szCs w:val="21"/>
        </w:rPr>
        <w:t>（</w:t>
      </w:r>
      <w:r>
        <w:rPr>
          <w:rFonts w:hAnsi="宋体" w:hint="eastAsia"/>
          <w:bCs/>
          <w:szCs w:val="21"/>
        </w:rPr>
        <w:t>3</w:t>
      </w:r>
      <w:r>
        <w:rPr>
          <w:rFonts w:hAnsi="宋体" w:hint="eastAsia"/>
          <w:bCs/>
          <w:szCs w:val="21"/>
        </w:rPr>
        <w:t>）根据考核情况，梳理分析结果并在下一学年的做出修改和调整，形成持续改进的闭环。</w:t>
      </w:r>
      <w:r>
        <w:rPr>
          <w:rFonts w:hAnsi="宋体"/>
          <w:bCs/>
          <w:szCs w:val="21"/>
        </w:rPr>
        <w:br w:type="page"/>
      </w:r>
    </w:p>
    <w:p w14:paraId="30F6D82C" w14:textId="77777777" w:rsidR="00F5289E" w:rsidRDefault="00C91173">
      <w:pPr>
        <w:pStyle w:val="1"/>
      </w:pPr>
      <w:bookmarkStart w:id="182" w:name="_Toc138606278"/>
      <w:r>
        <w:rPr>
          <w:rFonts w:hint="eastAsia"/>
        </w:rPr>
        <w:lastRenderedPageBreak/>
        <w:t>设施蔬菜栽培学考核大纲</w:t>
      </w:r>
      <w:bookmarkEnd w:id="182"/>
    </w:p>
    <w:p w14:paraId="08CFE435" w14:textId="77777777" w:rsidR="00F5289E" w:rsidRDefault="00C91173">
      <w:pPr>
        <w:snapToGrid w:val="0"/>
        <w:spacing w:line="360" w:lineRule="auto"/>
        <w:jc w:val="center"/>
        <w:rPr>
          <w:rFonts w:hAnsi="宋体"/>
          <w:color w:val="000000"/>
          <w:sz w:val="28"/>
          <w:szCs w:val="28"/>
        </w:rPr>
      </w:pPr>
      <w:r>
        <w:rPr>
          <w:rFonts w:hAnsi="宋体" w:hint="eastAsia"/>
          <w:color w:val="000000"/>
          <w:sz w:val="28"/>
          <w:szCs w:val="28"/>
        </w:rPr>
        <w:t>（</w:t>
      </w:r>
      <w:r>
        <w:rPr>
          <w:rFonts w:hint="eastAsia"/>
          <w:iCs/>
          <w:color w:val="000000"/>
          <w:sz w:val="28"/>
          <w:szCs w:val="28"/>
        </w:rPr>
        <w:t xml:space="preserve">Protected </w:t>
      </w:r>
      <w:r>
        <w:rPr>
          <w:iCs/>
          <w:color w:val="000000"/>
          <w:sz w:val="28"/>
          <w:szCs w:val="28"/>
        </w:rPr>
        <w:t>V</w:t>
      </w:r>
      <w:r>
        <w:rPr>
          <w:rFonts w:hint="eastAsia"/>
          <w:iCs/>
          <w:color w:val="000000"/>
          <w:sz w:val="28"/>
          <w:szCs w:val="28"/>
        </w:rPr>
        <w:t xml:space="preserve">egetable </w:t>
      </w:r>
      <w:r>
        <w:rPr>
          <w:iCs/>
          <w:color w:val="000000"/>
          <w:sz w:val="28"/>
          <w:szCs w:val="28"/>
        </w:rPr>
        <w:t>C</w:t>
      </w:r>
      <w:r>
        <w:rPr>
          <w:rFonts w:hint="eastAsia"/>
          <w:iCs/>
          <w:color w:val="000000"/>
          <w:sz w:val="28"/>
          <w:szCs w:val="28"/>
        </w:rPr>
        <w:t>ulture</w:t>
      </w:r>
      <w:r>
        <w:rPr>
          <w:rFonts w:hAnsi="宋体" w:hint="eastAsia"/>
          <w:color w:val="000000"/>
          <w:sz w:val="28"/>
          <w:szCs w:val="28"/>
        </w:rPr>
        <w:t>）</w:t>
      </w:r>
    </w:p>
    <w:p w14:paraId="2A727F06" w14:textId="77777777" w:rsidR="00F5289E" w:rsidRDefault="00C91173">
      <w:pPr>
        <w:snapToGrid w:val="0"/>
        <w:spacing w:line="360" w:lineRule="auto"/>
        <w:jc w:val="center"/>
        <w:rPr>
          <w:b/>
          <w:szCs w:val="21"/>
        </w:rPr>
      </w:pPr>
      <w:r>
        <w:rPr>
          <w:rFonts w:hint="eastAsia"/>
          <w:b/>
          <w:szCs w:val="21"/>
        </w:rPr>
        <w:t>课程基本信息</w:t>
      </w:r>
    </w:p>
    <w:tbl>
      <w:tblPr>
        <w:tblW w:w="0" w:type="auto"/>
        <w:tblLayout w:type="fixed"/>
        <w:tblLook w:val="04A0" w:firstRow="1" w:lastRow="0" w:firstColumn="1" w:lastColumn="0" w:noHBand="0" w:noVBand="1"/>
      </w:tblPr>
      <w:tblGrid>
        <w:gridCol w:w="2840"/>
        <w:gridCol w:w="2476"/>
        <w:gridCol w:w="3206"/>
      </w:tblGrid>
      <w:tr w:rsidR="00F5289E" w14:paraId="0002C75E" w14:textId="77777777">
        <w:tc>
          <w:tcPr>
            <w:tcW w:w="2840" w:type="dxa"/>
          </w:tcPr>
          <w:p w14:paraId="057FE4BF"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cs="宋体" w:hint="eastAsia"/>
                <w:bCs/>
                <w:kern w:val="0"/>
                <w:szCs w:val="21"/>
              </w:rPr>
              <w:t>1901102</w:t>
            </w:r>
            <w:r>
              <w:rPr>
                <w:rFonts w:ascii="宋体" w:hAnsi="宋体" w:cs="宋体"/>
                <w:bCs/>
                <w:kern w:val="0"/>
                <w:szCs w:val="21"/>
              </w:rPr>
              <w:t>1h</w:t>
            </w:r>
          </w:p>
        </w:tc>
        <w:tc>
          <w:tcPr>
            <w:tcW w:w="2476" w:type="dxa"/>
          </w:tcPr>
          <w:p w14:paraId="16772584"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bCs/>
                <w:szCs w:val="21"/>
              </w:rPr>
              <w:t>64</w:t>
            </w:r>
          </w:p>
        </w:tc>
        <w:tc>
          <w:tcPr>
            <w:tcW w:w="3206" w:type="dxa"/>
          </w:tcPr>
          <w:p w14:paraId="73E70048"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bCs/>
                <w:szCs w:val="21"/>
              </w:rPr>
              <w:t>4</w:t>
            </w:r>
          </w:p>
        </w:tc>
      </w:tr>
      <w:tr w:rsidR="00F5289E" w14:paraId="57C3E570" w14:textId="77777777">
        <w:tc>
          <w:tcPr>
            <w:tcW w:w="2840" w:type="dxa"/>
          </w:tcPr>
          <w:p w14:paraId="05A70258"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bCs/>
                <w:szCs w:val="21"/>
              </w:rPr>
              <w:t>李娟起</w:t>
            </w:r>
          </w:p>
        </w:tc>
        <w:tc>
          <w:tcPr>
            <w:tcW w:w="2476" w:type="dxa"/>
          </w:tcPr>
          <w:p w14:paraId="7311AF5A"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bCs/>
                <w:szCs w:val="21"/>
              </w:rPr>
              <w:t>王吉庆</w:t>
            </w:r>
          </w:p>
        </w:tc>
        <w:tc>
          <w:tcPr>
            <w:tcW w:w="3206" w:type="dxa"/>
          </w:tcPr>
          <w:p w14:paraId="0880FF04"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bCs/>
                <w:szCs w:val="21"/>
              </w:rPr>
              <w:t>2023.05</w:t>
            </w:r>
          </w:p>
        </w:tc>
      </w:tr>
    </w:tbl>
    <w:p w14:paraId="1145E13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一、课程的性质和地位</w:t>
      </w:r>
    </w:p>
    <w:p w14:paraId="40DEBC0C" w14:textId="77777777" w:rsidR="00F5289E" w:rsidRDefault="00C91173">
      <w:pPr>
        <w:spacing w:line="360" w:lineRule="auto"/>
        <w:ind w:firstLineChars="200" w:firstLine="420"/>
        <w:rPr>
          <w:rFonts w:ascii="宋体" w:hAnsi="宋体" w:cs="宋体"/>
          <w:bCs/>
          <w:kern w:val="0"/>
          <w:szCs w:val="21"/>
        </w:rPr>
      </w:pPr>
      <w:r>
        <w:rPr>
          <w:rFonts w:hint="eastAsia"/>
          <w:kern w:val="0"/>
          <w:szCs w:val="21"/>
        </w:rPr>
        <w:t>《设施蔬菜栽培学》</w:t>
      </w:r>
      <w:r>
        <w:rPr>
          <w:rFonts w:ascii="宋体" w:hAnsi="宋体" w:cs="宋体" w:hint="eastAsia"/>
          <w:bCs/>
          <w:kern w:val="0"/>
          <w:szCs w:val="21"/>
        </w:rPr>
        <w:t xml:space="preserve">是设施农业科学与工程专业的一门专业必修课，属核心课程。该课程以生物学和设施环境学知识为理论基础，研究设施条件下主要蔬菜生长、发育的规律及其对外界环境条件的要求；研究设施条件下蔬菜的栽培的原理和管理技术，属应用科学，在培养学生理论联系实际和专业实践操作技能及创新意识方面有重要地位。 </w:t>
      </w:r>
    </w:p>
    <w:p w14:paraId="3BE0FED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419E2A58" w14:textId="77777777" w:rsidR="00F5289E" w:rsidRDefault="00C91173">
      <w:pPr>
        <w:widowControl/>
        <w:adjustRightInd w:val="0"/>
        <w:snapToGrid w:val="0"/>
        <w:spacing w:line="360" w:lineRule="auto"/>
        <w:ind w:firstLineChars="200" w:firstLine="420"/>
        <w:rPr>
          <w:rFonts w:cs="宋体"/>
          <w:bCs/>
          <w:kern w:val="0"/>
          <w:szCs w:val="21"/>
        </w:rPr>
      </w:pPr>
      <w:r>
        <w:rPr>
          <w:rFonts w:cs="宋体" w:hint="eastAsia"/>
          <w:bCs/>
          <w:kern w:val="0"/>
          <w:szCs w:val="21"/>
        </w:rPr>
        <w:t xml:space="preserve">1. </w:t>
      </w:r>
      <w:r>
        <w:rPr>
          <w:rFonts w:cs="宋体" w:hint="eastAsia"/>
          <w:bCs/>
          <w:kern w:val="0"/>
          <w:szCs w:val="21"/>
        </w:rPr>
        <w:t>了解蔬菜对人们身体健康的重要性，了解设施蔬菜发展的历史、现状和发展趋势，了解设施蔬菜对国民经济发展的重要性。</w:t>
      </w:r>
    </w:p>
    <w:p w14:paraId="6BCB4570" w14:textId="77777777" w:rsidR="00F5289E" w:rsidRDefault="00C91173">
      <w:pPr>
        <w:widowControl/>
        <w:adjustRightInd w:val="0"/>
        <w:snapToGrid w:val="0"/>
        <w:spacing w:line="360" w:lineRule="auto"/>
        <w:ind w:firstLineChars="200" w:firstLine="420"/>
        <w:rPr>
          <w:rFonts w:cs="宋体"/>
          <w:bCs/>
          <w:kern w:val="0"/>
          <w:szCs w:val="21"/>
        </w:rPr>
      </w:pPr>
      <w:r>
        <w:rPr>
          <w:rFonts w:cs="宋体" w:hint="eastAsia"/>
          <w:bCs/>
          <w:kern w:val="0"/>
          <w:szCs w:val="21"/>
        </w:rPr>
        <w:t xml:space="preserve">2. </w:t>
      </w:r>
      <w:r>
        <w:rPr>
          <w:rFonts w:cs="宋体" w:hint="eastAsia"/>
          <w:bCs/>
          <w:kern w:val="0"/>
          <w:szCs w:val="21"/>
        </w:rPr>
        <w:t>了解蔬菜起源地环境与蔬菜对环境条件要求的关系，掌握蔬菜农业生物学分类法；能够熟练运用蔬菜生长发育理论、休眠理论、生长相关理论、产量形成理论、开花坐果理论、化学调控理论、生态调控理论指导蔬菜生产；了解不同蔬菜种类、生育阶段对环境条件的要求，掌握在“作物</w:t>
      </w:r>
      <w:r>
        <w:rPr>
          <w:rFonts w:cs="宋体" w:hint="eastAsia"/>
          <w:bCs/>
          <w:kern w:val="0"/>
          <w:szCs w:val="21"/>
        </w:rPr>
        <w:t>-</w:t>
      </w:r>
      <w:r>
        <w:rPr>
          <w:rFonts w:cs="宋体" w:hint="eastAsia"/>
          <w:bCs/>
          <w:kern w:val="0"/>
          <w:szCs w:val="21"/>
        </w:rPr>
        <w:t>环境</w:t>
      </w:r>
      <w:r>
        <w:rPr>
          <w:rFonts w:cs="宋体" w:hint="eastAsia"/>
          <w:bCs/>
          <w:kern w:val="0"/>
          <w:szCs w:val="21"/>
        </w:rPr>
        <w:t>-</w:t>
      </w:r>
      <w:r>
        <w:rPr>
          <w:rFonts w:cs="宋体" w:hint="eastAsia"/>
          <w:bCs/>
          <w:kern w:val="0"/>
          <w:szCs w:val="21"/>
        </w:rPr>
        <w:t>措施”三者之间</w:t>
      </w:r>
      <w:r>
        <w:rPr>
          <w:rFonts w:ascii="宋体" w:hAnsi="宋体" w:cs="宋体" w:hint="eastAsia"/>
          <w:bCs/>
          <w:kern w:val="0"/>
          <w:szCs w:val="21"/>
        </w:rPr>
        <w:t>的关系及调控的标准与方法</w:t>
      </w:r>
      <w:r>
        <w:rPr>
          <w:rFonts w:cs="宋体" w:hint="eastAsia"/>
          <w:bCs/>
          <w:kern w:val="0"/>
          <w:szCs w:val="21"/>
        </w:rPr>
        <w:t>；掌握设施蔬菜种植的播种育苗、整地、定植、肥水管理、植株调整、花果调整的基本技术；了解蔬菜种植制度的概念，了解设施栽培在蔬菜供应中的作用，掌握制定设施蔬菜间套作种的方案和技术。</w:t>
      </w:r>
    </w:p>
    <w:p w14:paraId="7033C0DC" w14:textId="77777777" w:rsidR="00F5289E" w:rsidRDefault="00C91173">
      <w:pPr>
        <w:widowControl/>
        <w:adjustRightInd w:val="0"/>
        <w:snapToGrid w:val="0"/>
        <w:spacing w:line="360" w:lineRule="auto"/>
        <w:rPr>
          <w:rFonts w:ascii="宋体" w:hAnsi="宋体" w:cs="宋体"/>
          <w:kern w:val="0"/>
          <w:szCs w:val="21"/>
        </w:rPr>
      </w:pPr>
      <w:r>
        <w:rPr>
          <w:rFonts w:cs="宋体" w:hint="eastAsia"/>
          <w:bCs/>
          <w:kern w:val="0"/>
          <w:szCs w:val="21"/>
        </w:rPr>
        <w:t xml:space="preserve">    3. </w:t>
      </w:r>
      <w:r>
        <w:rPr>
          <w:rFonts w:cs="宋体" w:hint="eastAsia"/>
          <w:bCs/>
          <w:kern w:val="0"/>
          <w:szCs w:val="21"/>
        </w:rPr>
        <w:t>了解蔬菜起源地环境条件与栽培环境条件的关系，</w:t>
      </w:r>
      <w:r>
        <w:rPr>
          <w:rFonts w:ascii="宋体" w:hAnsi="宋体" w:cs="宋体" w:hint="eastAsia"/>
          <w:kern w:val="0"/>
          <w:szCs w:val="21"/>
        </w:rPr>
        <w:t>主要蔬菜的生物学特性、掌握主要蔬菜设施栽培茬次和栽培管理的技术要点。</w:t>
      </w:r>
    </w:p>
    <w:p w14:paraId="0C7ABCC6" w14:textId="77777777" w:rsidR="00F5289E" w:rsidRDefault="00C91173">
      <w:pPr>
        <w:snapToGrid w:val="0"/>
        <w:spacing w:beforeLines="50" w:before="156" w:afterLines="50" w:after="156" w:line="360" w:lineRule="auto"/>
        <w:ind w:firstLineChars="49" w:firstLine="103"/>
        <w:jc w:val="center"/>
        <w:rPr>
          <w:rFonts w:ascii="黑体" w:eastAsia="黑体" w:hAnsi="宋体"/>
          <w:szCs w:val="21"/>
        </w:rPr>
      </w:pPr>
      <w:r>
        <w:rPr>
          <w:rFonts w:ascii="宋体" w:hAnsi="宋体" w:hint="eastAsia"/>
          <w:b/>
          <w:szCs w:val="21"/>
        </w:rPr>
        <w:t xml:space="preserve">绪  论   </w:t>
      </w:r>
      <w:r>
        <w:rPr>
          <w:rFonts w:ascii="黑体" w:eastAsia="黑体" w:hAnsi="宋体" w:hint="eastAsia"/>
          <w:szCs w:val="21"/>
        </w:rPr>
        <w:t xml:space="preserve">                    </w:t>
      </w:r>
    </w:p>
    <w:p w14:paraId="5BA8AD5A" w14:textId="77777777" w:rsidR="00F5289E" w:rsidRDefault="00C91173">
      <w:pPr>
        <w:spacing w:line="360" w:lineRule="auto"/>
        <w:rPr>
          <w:rFonts w:ascii="宋体" w:hAnsi="宋体"/>
          <w:b/>
          <w:szCs w:val="21"/>
        </w:rPr>
      </w:pPr>
      <w:r>
        <w:rPr>
          <w:rFonts w:ascii="宋体" w:hAnsi="宋体" w:hint="eastAsia"/>
          <w:b/>
          <w:szCs w:val="21"/>
        </w:rPr>
        <w:t>（一）学习目标</w:t>
      </w:r>
    </w:p>
    <w:p w14:paraId="710F4317"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一般了解:(1)设施蔬菜产业发展的历史和现状；(2) 设施蔬菜生产和供应的特点。</w:t>
      </w:r>
    </w:p>
    <w:p w14:paraId="718DAAAF"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一般掌握:(1)蔬菜的概念；(2) 设施蔬菜在人们生活，农业生产和国民经济中的地位和作用。</w:t>
      </w:r>
    </w:p>
    <w:p w14:paraId="62D9F9FA"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熟练掌握:(1)蔬菜的概念范畴；(2)蔬菜的营养价值及在国民经济中的地位；（3）我国设施蔬菜科学研究及产业发展存在的不足</w:t>
      </w:r>
    </w:p>
    <w:p w14:paraId="5F57D624"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7BF199D" w14:textId="77777777" w:rsidR="00F5289E" w:rsidRDefault="00C91173">
      <w:pPr>
        <w:spacing w:line="360" w:lineRule="auto"/>
        <w:ind w:firstLineChars="200" w:firstLine="420"/>
        <w:rPr>
          <w:szCs w:val="21"/>
        </w:rPr>
      </w:pPr>
      <w:r>
        <w:rPr>
          <w:rFonts w:hint="eastAsia"/>
          <w:szCs w:val="21"/>
        </w:rPr>
        <w:lastRenderedPageBreak/>
        <w:t xml:space="preserve">1. </w:t>
      </w:r>
      <w:r>
        <w:rPr>
          <w:rFonts w:hint="eastAsia"/>
          <w:szCs w:val="21"/>
        </w:rPr>
        <w:t>蔬菜的概念；</w:t>
      </w:r>
    </w:p>
    <w:p w14:paraId="09468384" w14:textId="77777777" w:rsidR="00F5289E" w:rsidRDefault="00C91173">
      <w:pPr>
        <w:spacing w:line="360" w:lineRule="auto"/>
        <w:ind w:firstLineChars="200" w:firstLine="420"/>
        <w:rPr>
          <w:szCs w:val="21"/>
        </w:rPr>
      </w:pPr>
      <w:r>
        <w:rPr>
          <w:rFonts w:hint="eastAsia"/>
          <w:szCs w:val="21"/>
        </w:rPr>
        <w:t xml:space="preserve">2. </w:t>
      </w:r>
      <w:r>
        <w:rPr>
          <w:rFonts w:hint="eastAsia"/>
          <w:szCs w:val="21"/>
        </w:rPr>
        <w:t>蔬菜的营养价值；</w:t>
      </w:r>
    </w:p>
    <w:p w14:paraId="71300C82" w14:textId="77777777" w:rsidR="00F5289E" w:rsidRDefault="00C91173">
      <w:pPr>
        <w:spacing w:line="360" w:lineRule="auto"/>
        <w:ind w:firstLineChars="200" w:firstLine="420"/>
        <w:rPr>
          <w:szCs w:val="21"/>
        </w:rPr>
      </w:pPr>
      <w:r>
        <w:rPr>
          <w:rFonts w:hint="eastAsia"/>
          <w:szCs w:val="21"/>
        </w:rPr>
        <w:t xml:space="preserve">3. </w:t>
      </w:r>
      <w:r>
        <w:rPr>
          <w:rFonts w:hint="eastAsia"/>
          <w:szCs w:val="21"/>
        </w:rPr>
        <w:t>蔬菜生产和供应的特点；</w:t>
      </w:r>
    </w:p>
    <w:p w14:paraId="5B5CC1D9" w14:textId="77777777" w:rsidR="00F5289E" w:rsidRDefault="00C91173">
      <w:pPr>
        <w:spacing w:line="360" w:lineRule="auto"/>
        <w:ind w:firstLineChars="200" w:firstLine="420"/>
        <w:rPr>
          <w:szCs w:val="21"/>
        </w:rPr>
      </w:pPr>
      <w:r>
        <w:rPr>
          <w:rFonts w:hint="eastAsia"/>
          <w:szCs w:val="21"/>
        </w:rPr>
        <w:t xml:space="preserve">4. </w:t>
      </w:r>
      <w:r>
        <w:rPr>
          <w:rFonts w:hint="eastAsia"/>
          <w:szCs w:val="21"/>
        </w:rPr>
        <w:t>我国</w:t>
      </w:r>
      <w:r>
        <w:rPr>
          <w:rFonts w:ascii="宋体" w:hAnsi="宋体" w:cs="宋体" w:hint="eastAsia"/>
          <w:color w:val="353535"/>
          <w:kern w:val="0"/>
          <w:szCs w:val="21"/>
        </w:rPr>
        <w:t>设施蔬菜栽培存在的问题与发展趋势。</w:t>
      </w:r>
    </w:p>
    <w:p w14:paraId="10858DF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EA3A799" w14:textId="77777777" w:rsidR="00F5289E" w:rsidRDefault="00C91173">
      <w:pPr>
        <w:spacing w:line="360" w:lineRule="auto"/>
        <w:ind w:firstLineChars="200" w:firstLine="420"/>
        <w:rPr>
          <w:szCs w:val="21"/>
        </w:rPr>
      </w:pPr>
      <w:r>
        <w:rPr>
          <w:rFonts w:hint="eastAsia"/>
          <w:szCs w:val="21"/>
        </w:rPr>
        <w:t xml:space="preserve">1. </w:t>
      </w:r>
      <w:r>
        <w:rPr>
          <w:rFonts w:hint="eastAsia"/>
          <w:szCs w:val="21"/>
        </w:rPr>
        <w:t>识记</w:t>
      </w:r>
      <w:r>
        <w:rPr>
          <w:rFonts w:hint="eastAsia"/>
          <w:szCs w:val="21"/>
        </w:rPr>
        <w:t xml:space="preserve">: </w:t>
      </w:r>
      <w:r>
        <w:rPr>
          <w:rFonts w:hint="eastAsia"/>
          <w:szCs w:val="21"/>
        </w:rPr>
        <w:t>理解蔬菜的概念、蔬菜的营养价值；</w:t>
      </w:r>
    </w:p>
    <w:p w14:paraId="1761903F" w14:textId="77777777" w:rsidR="00F5289E" w:rsidRDefault="00C91173">
      <w:pPr>
        <w:spacing w:line="360" w:lineRule="auto"/>
        <w:ind w:firstLineChars="200" w:firstLine="420"/>
        <w:rPr>
          <w:szCs w:val="21"/>
        </w:rPr>
      </w:pPr>
      <w:r>
        <w:rPr>
          <w:rFonts w:hint="eastAsia"/>
          <w:szCs w:val="21"/>
        </w:rPr>
        <w:t xml:space="preserve">2. </w:t>
      </w:r>
      <w:r>
        <w:rPr>
          <w:rFonts w:hint="eastAsia"/>
          <w:szCs w:val="21"/>
        </w:rPr>
        <w:t>领会</w:t>
      </w:r>
      <w:r>
        <w:rPr>
          <w:rFonts w:hint="eastAsia"/>
          <w:szCs w:val="21"/>
        </w:rPr>
        <w:t xml:space="preserve">: </w:t>
      </w:r>
      <w:r>
        <w:rPr>
          <w:rFonts w:hint="eastAsia"/>
          <w:szCs w:val="21"/>
        </w:rPr>
        <w:t>掌握蔬菜有哪些营养价值；</w:t>
      </w:r>
    </w:p>
    <w:p w14:paraId="14E77783" w14:textId="77777777" w:rsidR="00F5289E" w:rsidRDefault="00C91173">
      <w:pPr>
        <w:spacing w:line="360" w:lineRule="auto"/>
        <w:ind w:firstLineChars="200" w:firstLine="420"/>
        <w:rPr>
          <w:szCs w:val="21"/>
        </w:rPr>
      </w:pPr>
      <w:r>
        <w:rPr>
          <w:rFonts w:hint="eastAsia"/>
          <w:szCs w:val="21"/>
        </w:rPr>
        <w:t xml:space="preserve">3. </w:t>
      </w:r>
      <w:r>
        <w:rPr>
          <w:rFonts w:hint="eastAsia"/>
          <w:szCs w:val="21"/>
        </w:rPr>
        <w:t>应用：如何科学买菜、做菜、吃菜；</w:t>
      </w:r>
    </w:p>
    <w:p w14:paraId="0EE0A007" w14:textId="77777777" w:rsidR="00F5289E" w:rsidRDefault="00C91173">
      <w:pPr>
        <w:spacing w:line="360" w:lineRule="auto"/>
        <w:ind w:firstLineChars="200" w:firstLine="420"/>
        <w:rPr>
          <w:szCs w:val="21"/>
        </w:rPr>
      </w:pPr>
      <w:r>
        <w:rPr>
          <w:rFonts w:hint="eastAsia"/>
          <w:szCs w:val="21"/>
        </w:rPr>
        <w:t xml:space="preserve">4. </w:t>
      </w:r>
      <w:r>
        <w:rPr>
          <w:rFonts w:hint="eastAsia"/>
          <w:szCs w:val="21"/>
        </w:rPr>
        <w:t>分析：我国蔬菜设施存在的问题；</w:t>
      </w:r>
    </w:p>
    <w:p w14:paraId="5A67F24D" w14:textId="77777777" w:rsidR="00F5289E" w:rsidRDefault="00C91173">
      <w:pPr>
        <w:spacing w:line="360" w:lineRule="auto"/>
        <w:ind w:firstLineChars="200" w:firstLine="420"/>
        <w:rPr>
          <w:szCs w:val="21"/>
        </w:rPr>
      </w:pPr>
      <w:r>
        <w:rPr>
          <w:rFonts w:hint="eastAsia"/>
          <w:szCs w:val="21"/>
        </w:rPr>
        <w:t xml:space="preserve">5. </w:t>
      </w:r>
      <w:r>
        <w:rPr>
          <w:rFonts w:hint="eastAsia"/>
          <w:szCs w:val="21"/>
        </w:rPr>
        <w:t>综合：设施蔬菜产业发展的趋势；</w:t>
      </w:r>
    </w:p>
    <w:p w14:paraId="60C751EE" w14:textId="77777777" w:rsidR="00F5289E" w:rsidRDefault="00C91173">
      <w:pPr>
        <w:spacing w:line="360" w:lineRule="auto"/>
        <w:ind w:firstLineChars="200" w:firstLine="420"/>
        <w:rPr>
          <w:szCs w:val="21"/>
        </w:rPr>
      </w:pPr>
      <w:r>
        <w:rPr>
          <w:rFonts w:hint="eastAsia"/>
          <w:szCs w:val="21"/>
        </w:rPr>
        <w:t xml:space="preserve">6. </w:t>
      </w:r>
      <w:r>
        <w:rPr>
          <w:rFonts w:hint="eastAsia"/>
          <w:szCs w:val="21"/>
        </w:rPr>
        <w:t>评价：我国不同类型设施的优缺点及地区适应性。</w:t>
      </w:r>
    </w:p>
    <w:p w14:paraId="599F0F1F" w14:textId="77777777" w:rsidR="00F5289E" w:rsidRDefault="00F5289E">
      <w:pPr>
        <w:spacing w:line="360" w:lineRule="auto"/>
        <w:ind w:firstLineChars="200" w:firstLine="420"/>
        <w:rPr>
          <w:szCs w:val="21"/>
        </w:rPr>
      </w:pPr>
    </w:p>
    <w:p w14:paraId="4613F52C"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第一章 蔬菜栽培的生物学基础</w:t>
      </w:r>
    </w:p>
    <w:p w14:paraId="06B17BD2" w14:textId="77777777" w:rsidR="00F5289E" w:rsidRDefault="00C91173">
      <w:pPr>
        <w:spacing w:line="360" w:lineRule="auto"/>
        <w:rPr>
          <w:rFonts w:ascii="宋体" w:hAnsi="宋体"/>
          <w:b/>
          <w:szCs w:val="21"/>
        </w:rPr>
      </w:pPr>
      <w:r>
        <w:rPr>
          <w:rFonts w:ascii="宋体" w:hAnsi="宋体" w:hint="eastAsia"/>
          <w:b/>
          <w:szCs w:val="21"/>
        </w:rPr>
        <w:t>（一）学习目标</w:t>
      </w:r>
    </w:p>
    <w:p w14:paraId="61E7CACE" w14:textId="77777777" w:rsidR="00F5289E" w:rsidRDefault="00C91173">
      <w:pPr>
        <w:spacing w:line="360" w:lineRule="auto"/>
        <w:ind w:firstLineChars="100" w:firstLine="210"/>
        <w:rPr>
          <w:rFonts w:ascii="宋体" w:hAnsi="宋体"/>
          <w:szCs w:val="21"/>
        </w:rPr>
      </w:pPr>
      <w:r>
        <w:rPr>
          <w:rFonts w:ascii="宋体" w:hAnsi="宋体" w:hint="eastAsia"/>
          <w:szCs w:val="21"/>
        </w:rPr>
        <w:t>1. 一般了解:(1)主要蔬菜起源区的气候特点；(2)蔬菜分类方法；（3）蔬菜作物的生长发育规律；(2)蔬菜作物对温、光、水、肥、气等条件的要求及对逆境条件的反应。</w:t>
      </w:r>
    </w:p>
    <w:p w14:paraId="145C1E6D" w14:textId="77777777" w:rsidR="00F5289E" w:rsidRDefault="00C91173">
      <w:pPr>
        <w:spacing w:line="360" w:lineRule="auto"/>
        <w:ind w:firstLineChars="100" w:firstLine="210"/>
        <w:rPr>
          <w:rFonts w:ascii="宋体" w:hAnsi="宋体"/>
          <w:szCs w:val="21"/>
        </w:rPr>
      </w:pPr>
      <w:r>
        <w:rPr>
          <w:rFonts w:ascii="宋体" w:hAnsi="宋体" w:hint="eastAsia"/>
          <w:szCs w:val="21"/>
        </w:rPr>
        <w:t>2. 一般掌握:(1) 主要蔬菜起源区的气候特点；(2)蔬菜分类方法；(3)蔬菜作物的起源,分类与分布；（4）蔬菜植物生长相关理论对栽培的指导作用。</w:t>
      </w:r>
    </w:p>
    <w:p w14:paraId="2D07EA0E" w14:textId="77777777" w:rsidR="00F5289E" w:rsidRDefault="00C91173">
      <w:pPr>
        <w:spacing w:line="360" w:lineRule="auto"/>
        <w:ind w:firstLineChars="100" w:firstLine="210"/>
        <w:rPr>
          <w:rFonts w:ascii="宋体" w:hAnsi="宋体"/>
          <w:szCs w:val="21"/>
        </w:rPr>
      </w:pPr>
      <w:r>
        <w:rPr>
          <w:rFonts w:ascii="宋体" w:hAnsi="宋体" w:hint="eastAsia"/>
          <w:szCs w:val="21"/>
        </w:rPr>
        <w:t>3. 熟练掌握:</w:t>
      </w:r>
    </w:p>
    <w:p w14:paraId="23AAE63E" w14:textId="77777777" w:rsidR="00F5289E" w:rsidRDefault="00C91173">
      <w:pPr>
        <w:spacing w:line="360" w:lineRule="auto"/>
        <w:ind w:firstLineChars="150" w:firstLine="315"/>
        <w:rPr>
          <w:rFonts w:ascii="宋体" w:hAnsi="宋体"/>
          <w:szCs w:val="21"/>
        </w:rPr>
      </w:pPr>
      <w:r>
        <w:rPr>
          <w:rFonts w:ascii="宋体" w:hAnsi="宋体" w:hint="eastAsia"/>
          <w:szCs w:val="21"/>
        </w:rPr>
        <w:t>(1)蔬菜起源地环境条件与蔬菜对栽培环境要求的关系；</w:t>
      </w:r>
    </w:p>
    <w:p w14:paraId="6E4F931D" w14:textId="77777777" w:rsidR="00F5289E" w:rsidRDefault="00C91173">
      <w:pPr>
        <w:spacing w:line="360" w:lineRule="auto"/>
        <w:ind w:firstLineChars="150" w:firstLine="315"/>
        <w:rPr>
          <w:rFonts w:ascii="宋体" w:hAnsi="宋体"/>
          <w:szCs w:val="21"/>
        </w:rPr>
      </w:pPr>
      <w:r>
        <w:rPr>
          <w:rFonts w:ascii="宋体" w:hAnsi="宋体" w:hint="eastAsia"/>
          <w:szCs w:val="21"/>
        </w:rPr>
        <w:t>(2)蔬菜农业生物学分类法；</w:t>
      </w:r>
    </w:p>
    <w:p w14:paraId="7DCBC162" w14:textId="77777777" w:rsidR="00F5289E" w:rsidRDefault="00C91173">
      <w:pPr>
        <w:spacing w:line="360" w:lineRule="auto"/>
        <w:rPr>
          <w:rFonts w:ascii="宋体" w:hAnsi="宋体"/>
          <w:szCs w:val="21"/>
        </w:rPr>
      </w:pPr>
      <w:r>
        <w:rPr>
          <w:rFonts w:ascii="宋体" w:hAnsi="宋体" w:hint="eastAsia"/>
          <w:szCs w:val="21"/>
        </w:rPr>
        <w:t xml:space="preserve">   (3)充分利用光能提高光合性能的途径和方法；</w:t>
      </w:r>
    </w:p>
    <w:p w14:paraId="0CC6C491" w14:textId="77777777" w:rsidR="00F5289E" w:rsidRDefault="00C91173">
      <w:pPr>
        <w:spacing w:line="360" w:lineRule="auto"/>
        <w:rPr>
          <w:rFonts w:ascii="宋体" w:hAnsi="宋体"/>
          <w:szCs w:val="21"/>
        </w:rPr>
      </w:pPr>
      <w:r>
        <w:rPr>
          <w:rFonts w:ascii="宋体" w:hAnsi="宋体" w:hint="eastAsia"/>
          <w:szCs w:val="21"/>
        </w:rPr>
        <w:t xml:space="preserve">   (4)生长发育理论、生长相关理论、休眠理论、落花落果、源库关系理论对栽培的指导作用。</w:t>
      </w:r>
    </w:p>
    <w:p w14:paraId="406F9AC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492D084" w14:textId="77777777" w:rsidR="00F5289E" w:rsidRDefault="00C91173">
      <w:pPr>
        <w:spacing w:line="360" w:lineRule="auto"/>
        <w:rPr>
          <w:rFonts w:ascii="宋体" w:hAnsi="宋体"/>
          <w:szCs w:val="21"/>
        </w:rPr>
      </w:pPr>
      <w:r>
        <w:rPr>
          <w:rFonts w:ascii="宋体" w:hAnsi="宋体" w:hint="eastAsia"/>
          <w:szCs w:val="21"/>
        </w:rPr>
        <w:t xml:space="preserve">  1. 蔬菜起源理论对指导蔬菜栽培的作用；</w:t>
      </w:r>
    </w:p>
    <w:p w14:paraId="5F561F35" w14:textId="77777777" w:rsidR="00F5289E" w:rsidRDefault="00C91173">
      <w:pPr>
        <w:spacing w:line="360" w:lineRule="auto"/>
        <w:rPr>
          <w:rFonts w:ascii="宋体" w:hAnsi="宋体"/>
          <w:szCs w:val="21"/>
        </w:rPr>
      </w:pPr>
      <w:r>
        <w:rPr>
          <w:rFonts w:ascii="宋体" w:hAnsi="宋体" w:hint="eastAsia"/>
          <w:szCs w:val="21"/>
        </w:rPr>
        <w:t xml:space="preserve">  2. 蔬菜植物的分类方法；</w:t>
      </w:r>
    </w:p>
    <w:p w14:paraId="05F82A7F" w14:textId="77777777" w:rsidR="00F5289E" w:rsidRDefault="00C91173">
      <w:pPr>
        <w:spacing w:line="360" w:lineRule="auto"/>
        <w:ind w:firstLineChars="100" w:firstLine="210"/>
        <w:rPr>
          <w:rFonts w:ascii="宋体" w:hAnsi="宋体"/>
          <w:szCs w:val="21"/>
        </w:rPr>
      </w:pPr>
      <w:r>
        <w:rPr>
          <w:rFonts w:ascii="宋体" w:hAnsi="宋体" w:hint="eastAsia"/>
          <w:szCs w:val="21"/>
        </w:rPr>
        <w:t>3. 蔬菜植物不同生长阶段的生长特点及对栽培措施的要求；</w:t>
      </w:r>
    </w:p>
    <w:p w14:paraId="1C82EF61" w14:textId="77777777" w:rsidR="00F5289E" w:rsidRDefault="00C91173">
      <w:pPr>
        <w:spacing w:line="360" w:lineRule="auto"/>
        <w:ind w:firstLineChars="100" w:firstLine="210"/>
        <w:rPr>
          <w:rFonts w:ascii="宋体" w:hAnsi="宋体"/>
          <w:szCs w:val="21"/>
        </w:rPr>
      </w:pPr>
      <w:r>
        <w:rPr>
          <w:rFonts w:ascii="宋体" w:hAnsi="宋体" w:hint="eastAsia"/>
          <w:szCs w:val="21"/>
        </w:rPr>
        <w:t>4. 生长发育理论对生产的指导作用；</w:t>
      </w:r>
    </w:p>
    <w:p w14:paraId="66261A47" w14:textId="77777777" w:rsidR="00F5289E" w:rsidRDefault="00C91173">
      <w:pPr>
        <w:spacing w:line="360" w:lineRule="auto"/>
        <w:ind w:firstLineChars="100" w:firstLine="210"/>
        <w:rPr>
          <w:rFonts w:ascii="宋体" w:hAnsi="宋体"/>
          <w:szCs w:val="21"/>
        </w:rPr>
      </w:pPr>
      <w:r>
        <w:rPr>
          <w:rFonts w:ascii="宋体" w:hAnsi="宋体" w:hint="eastAsia"/>
          <w:szCs w:val="21"/>
        </w:rPr>
        <w:lastRenderedPageBreak/>
        <w:t>5. 生长相关理论对生产的指导作用；</w:t>
      </w:r>
    </w:p>
    <w:p w14:paraId="5ECAFEEA" w14:textId="77777777" w:rsidR="00F5289E" w:rsidRDefault="00C91173">
      <w:pPr>
        <w:spacing w:line="360" w:lineRule="auto"/>
        <w:ind w:firstLineChars="100" w:firstLine="210"/>
        <w:rPr>
          <w:rFonts w:ascii="宋体" w:hAnsi="宋体"/>
          <w:szCs w:val="21"/>
        </w:rPr>
      </w:pPr>
      <w:r>
        <w:rPr>
          <w:rFonts w:ascii="宋体" w:hAnsi="宋体" w:hint="eastAsia"/>
          <w:szCs w:val="21"/>
        </w:rPr>
        <w:t>6. 不同蔬菜作物对温、光、水、肥、气等条件的要求；</w:t>
      </w:r>
    </w:p>
    <w:p w14:paraId="2CA25124" w14:textId="77777777" w:rsidR="00F5289E" w:rsidRDefault="00C91173">
      <w:pPr>
        <w:spacing w:line="360" w:lineRule="auto"/>
        <w:ind w:firstLineChars="100" w:firstLine="210"/>
        <w:rPr>
          <w:rFonts w:ascii="宋体" w:hAnsi="宋体"/>
          <w:szCs w:val="21"/>
        </w:rPr>
      </w:pPr>
      <w:r>
        <w:rPr>
          <w:rFonts w:ascii="宋体" w:hAnsi="宋体" w:hint="eastAsia"/>
          <w:szCs w:val="21"/>
        </w:rPr>
        <w:t>7. 提高蔬菜产量和品质的原理和方法。</w:t>
      </w:r>
    </w:p>
    <w:p w14:paraId="6A0FAEC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6B06320" w14:textId="77777777" w:rsidR="00F5289E" w:rsidRDefault="00C91173">
      <w:pPr>
        <w:spacing w:line="360" w:lineRule="auto"/>
        <w:ind w:firstLineChars="150" w:firstLine="315"/>
        <w:rPr>
          <w:rFonts w:ascii="宋体" w:hAnsi="宋体"/>
          <w:szCs w:val="21"/>
        </w:rPr>
      </w:pPr>
      <w:r>
        <w:rPr>
          <w:rFonts w:ascii="宋体" w:hAnsi="宋体" w:hint="eastAsia"/>
          <w:szCs w:val="21"/>
        </w:rPr>
        <w:t>1. 识记：（1）主要蔬菜的起源地、起源中国的蔬菜种类；（2）蔬菜分类的三种方法，主要蔬菜在三种分类方法中的地位；（3）生长发育理论、生长相关理论、休眠理论、光合性能等；(4)主要蔬菜对温、光、水、肥、气等条件的要求；（5）蔬菜产品质量安全划分的等级、</w:t>
      </w:r>
      <w:r>
        <w:rPr>
          <w:rFonts w:ascii="宋体" w:hAnsi="宋体" w:cs="宋体" w:hint="eastAsia"/>
          <w:color w:val="353535"/>
          <w:kern w:val="0"/>
          <w:szCs w:val="21"/>
        </w:rPr>
        <w:t>蔬菜品质的内涵。</w:t>
      </w:r>
    </w:p>
    <w:p w14:paraId="67D7BF3B" w14:textId="77777777" w:rsidR="00F5289E" w:rsidRDefault="00C91173">
      <w:pPr>
        <w:spacing w:line="360" w:lineRule="auto"/>
        <w:ind w:firstLineChars="150" w:firstLine="315"/>
        <w:rPr>
          <w:rFonts w:ascii="宋体" w:hAnsi="宋体"/>
          <w:szCs w:val="21"/>
        </w:rPr>
      </w:pPr>
      <w:r>
        <w:rPr>
          <w:rFonts w:ascii="宋体" w:hAnsi="宋体" w:hint="eastAsia"/>
          <w:szCs w:val="21"/>
        </w:rPr>
        <w:t>2. 领会：（1）中国栽培蔬菜的来源，蔬菜栽培环境与原产地环境的关系；（2）蔬菜作物生长发育时期、特点及对栽培措施的要求。</w:t>
      </w:r>
    </w:p>
    <w:p w14:paraId="5AD016F8"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3. 应用：依据起源地确定蔬菜对环境的要求，确定栽培季节；依据设施环境条件确定栽培作物。</w:t>
      </w:r>
    </w:p>
    <w:p w14:paraId="7C0E0E71"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4. 分析：依据蔬菜作物长相判断作物经历环境条件；依据环境条件预测蔬菜未来的长势。</w:t>
      </w:r>
    </w:p>
    <w:p w14:paraId="424D09E6"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5. 综合：（1）蔬菜作物的春化作用和光周期反应特点及对设施蔬菜生产的指导作用；（2）设施栽培条件下，充分利用光能</w:t>
      </w:r>
      <w:r>
        <w:rPr>
          <w:rFonts w:ascii="宋体" w:hAnsi="宋体" w:cs="宋体" w:hint="eastAsia"/>
          <w:color w:val="000000"/>
          <w:kern w:val="0"/>
          <w:szCs w:val="21"/>
        </w:rPr>
        <w:t>提高光合性能的途径和方法；</w:t>
      </w:r>
      <w:r>
        <w:rPr>
          <w:rFonts w:ascii="宋体" w:hAnsi="宋体" w:hint="eastAsia"/>
          <w:color w:val="000000"/>
          <w:szCs w:val="21"/>
        </w:rPr>
        <w:t>（3）提高设施蔬菜产量和品质的原理和主要方法。</w:t>
      </w:r>
    </w:p>
    <w:p w14:paraId="20819858"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6.评价：三种蔬菜分类方法的优缺点。</w:t>
      </w:r>
    </w:p>
    <w:p w14:paraId="26BE2F01" w14:textId="77777777" w:rsidR="00F5289E" w:rsidRDefault="00C91173">
      <w:pPr>
        <w:spacing w:line="360" w:lineRule="auto"/>
        <w:ind w:firstLineChars="1412" w:firstLine="2977"/>
        <w:rPr>
          <w:rFonts w:ascii="宋体" w:hAnsi="宋体"/>
          <w:szCs w:val="21"/>
        </w:rPr>
      </w:pPr>
      <w:r>
        <w:rPr>
          <w:rFonts w:hAnsi="宋体" w:hint="eastAsia"/>
          <w:b/>
          <w:bCs/>
          <w:kern w:val="0"/>
          <w:szCs w:val="21"/>
        </w:rPr>
        <w:t>第二章</w:t>
      </w:r>
      <w:r>
        <w:rPr>
          <w:rFonts w:hAnsi="宋体" w:hint="eastAsia"/>
          <w:b/>
          <w:bCs/>
          <w:kern w:val="0"/>
          <w:szCs w:val="21"/>
        </w:rPr>
        <w:t xml:space="preserve"> </w:t>
      </w:r>
      <w:r>
        <w:rPr>
          <w:rFonts w:hAnsi="宋体" w:hint="eastAsia"/>
          <w:b/>
          <w:bCs/>
          <w:kern w:val="0"/>
          <w:szCs w:val="21"/>
        </w:rPr>
        <w:t>设施蔬菜育苗</w:t>
      </w:r>
    </w:p>
    <w:p w14:paraId="691DF454" w14:textId="77777777" w:rsidR="00F5289E" w:rsidRDefault="00C91173">
      <w:pPr>
        <w:spacing w:line="360" w:lineRule="auto"/>
        <w:rPr>
          <w:rFonts w:ascii="宋体" w:hAnsi="宋体"/>
          <w:b/>
          <w:szCs w:val="21"/>
        </w:rPr>
      </w:pPr>
      <w:r>
        <w:rPr>
          <w:rFonts w:ascii="宋体" w:hAnsi="宋体" w:hint="eastAsia"/>
          <w:b/>
          <w:szCs w:val="21"/>
        </w:rPr>
        <w:t>（一）学习目标</w:t>
      </w:r>
    </w:p>
    <w:p w14:paraId="3D3338D8"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一般了解:蔬菜生产上的“种子”概念，蔬菜种子质量评价内容。</w:t>
      </w:r>
    </w:p>
    <w:p w14:paraId="711899BF"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 蔬菜种子播前处理的内容。</w:t>
      </w:r>
    </w:p>
    <w:p w14:paraId="57CF2813"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熟练掌握:蔬菜种子温汤浸种技术、蔬菜穴盘播种温度管理技术要点。</w:t>
      </w:r>
    </w:p>
    <w:p w14:paraId="41414C20" w14:textId="77777777" w:rsidR="00F5289E" w:rsidRDefault="00C91173">
      <w:pPr>
        <w:spacing w:line="360" w:lineRule="auto"/>
        <w:rPr>
          <w:rFonts w:ascii="宋体" w:hAnsi="宋体"/>
          <w:b/>
          <w:szCs w:val="21"/>
        </w:rPr>
      </w:pPr>
      <w:r>
        <w:rPr>
          <w:rFonts w:ascii="宋体" w:hAnsi="宋体" w:hint="eastAsia"/>
          <w:b/>
          <w:szCs w:val="21"/>
        </w:rPr>
        <w:t>（二）考核内容</w:t>
      </w:r>
    </w:p>
    <w:p w14:paraId="01123EB2" w14:textId="77777777" w:rsidR="00F5289E" w:rsidRDefault="00C91173">
      <w:pPr>
        <w:spacing w:line="360" w:lineRule="auto"/>
        <w:ind w:firstLineChars="200" w:firstLine="420"/>
        <w:rPr>
          <w:rFonts w:ascii="宋体" w:hAnsi="宋体"/>
          <w:szCs w:val="21"/>
        </w:rPr>
      </w:pPr>
      <w:r>
        <w:rPr>
          <w:rFonts w:ascii="宋体" w:hAnsi="宋体" w:hint="eastAsia"/>
          <w:szCs w:val="21"/>
        </w:rPr>
        <w:t>1. 蔬菜生产上的“种子”概念；</w:t>
      </w:r>
    </w:p>
    <w:p w14:paraId="33FBE8B0" w14:textId="77777777" w:rsidR="00F5289E" w:rsidRDefault="00C91173">
      <w:pPr>
        <w:spacing w:line="360" w:lineRule="auto"/>
        <w:ind w:firstLineChars="200" w:firstLine="420"/>
        <w:rPr>
          <w:rFonts w:ascii="宋体" w:hAnsi="宋体"/>
          <w:szCs w:val="21"/>
        </w:rPr>
      </w:pPr>
      <w:r>
        <w:rPr>
          <w:rFonts w:ascii="宋体" w:hAnsi="宋体" w:hint="eastAsia"/>
          <w:szCs w:val="21"/>
        </w:rPr>
        <w:t>2.蔬菜种子质量评价内容；</w:t>
      </w:r>
    </w:p>
    <w:p w14:paraId="621A805A" w14:textId="77777777" w:rsidR="00F5289E" w:rsidRDefault="00C91173">
      <w:pPr>
        <w:spacing w:line="360" w:lineRule="auto"/>
        <w:ind w:firstLineChars="200" w:firstLine="420"/>
        <w:rPr>
          <w:rFonts w:ascii="宋体" w:hAnsi="宋体"/>
          <w:szCs w:val="21"/>
        </w:rPr>
      </w:pPr>
      <w:r>
        <w:rPr>
          <w:rFonts w:ascii="宋体" w:hAnsi="宋体" w:hint="eastAsia"/>
          <w:szCs w:val="21"/>
        </w:rPr>
        <w:t>2. 蔬菜种子播前处理的内容与方法；</w:t>
      </w:r>
    </w:p>
    <w:p w14:paraId="2DBAEEED" w14:textId="77777777" w:rsidR="00F5289E" w:rsidRDefault="00C91173">
      <w:pPr>
        <w:spacing w:line="360" w:lineRule="auto"/>
        <w:ind w:firstLineChars="200" w:firstLine="420"/>
        <w:rPr>
          <w:rFonts w:ascii="宋体" w:hAnsi="宋体"/>
          <w:szCs w:val="21"/>
        </w:rPr>
      </w:pPr>
      <w:r>
        <w:rPr>
          <w:rFonts w:ascii="宋体" w:hAnsi="宋体" w:hint="eastAsia"/>
          <w:szCs w:val="21"/>
        </w:rPr>
        <w:t>3.蔬菜穴盘播种育苗工艺流程及育苗水肥、环境温、湿度、光照管理技术要点。</w:t>
      </w:r>
    </w:p>
    <w:p w14:paraId="776CBD61"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1AA36CA" w14:textId="77777777" w:rsidR="00F5289E" w:rsidRDefault="00C91173">
      <w:pPr>
        <w:spacing w:line="360" w:lineRule="auto"/>
        <w:ind w:firstLineChars="200" w:firstLine="420"/>
        <w:rPr>
          <w:rFonts w:ascii="宋体" w:hAnsi="宋体"/>
          <w:szCs w:val="21"/>
        </w:rPr>
      </w:pPr>
      <w:r>
        <w:rPr>
          <w:rFonts w:ascii="宋体" w:hAnsi="宋体" w:hint="eastAsia"/>
          <w:szCs w:val="21"/>
        </w:rPr>
        <w:t>1. 识记: 蔬菜生产上的“种子”概念、。</w:t>
      </w:r>
    </w:p>
    <w:p w14:paraId="1A04A34D" w14:textId="77777777" w:rsidR="00F5289E" w:rsidRDefault="00C91173">
      <w:pPr>
        <w:spacing w:line="360" w:lineRule="auto"/>
        <w:ind w:firstLineChars="200" w:firstLine="420"/>
        <w:rPr>
          <w:rFonts w:ascii="宋体" w:hAnsi="宋体"/>
          <w:szCs w:val="21"/>
        </w:rPr>
      </w:pPr>
      <w:r>
        <w:rPr>
          <w:rFonts w:ascii="宋体" w:hAnsi="宋体" w:hint="eastAsia"/>
          <w:szCs w:val="21"/>
        </w:rPr>
        <w:t>2. 领会: 蔬菜种子质量评价内容的生物学意义。</w:t>
      </w:r>
    </w:p>
    <w:p w14:paraId="3EF97220" w14:textId="77777777" w:rsidR="00F5289E" w:rsidRDefault="00C91173">
      <w:pPr>
        <w:spacing w:line="360" w:lineRule="auto"/>
        <w:ind w:firstLineChars="200" w:firstLine="420"/>
        <w:rPr>
          <w:rFonts w:ascii="宋体" w:hAnsi="宋体"/>
          <w:szCs w:val="21"/>
        </w:rPr>
      </w:pPr>
      <w:r>
        <w:rPr>
          <w:rFonts w:ascii="宋体" w:hAnsi="宋体" w:hint="eastAsia"/>
          <w:szCs w:val="21"/>
        </w:rPr>
        <w:lastRenderedPageBreak/>
        <w:t>3. 应用: 蔬菜种子播前处理方法。</w:t>
      </w:r>
    </w:p>
    <w:p w14:paraId="029C1576"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 xml:space="preserve">4. 分析：蔬菜“高腿苗”、“徒长苗”、“小老苗”、 </w:t>
      </w:r>
      <w:r>
        <w:rPr>
          <w:rFonts w:ascii="宋体" w:hAnsi="宋体"/>
          <w:color w:val="000000"/>
          <w:szCs w:val="21"/>
        </w:rPr>
        <w:t>“</w:t>
      </w:r>
      <w:r>
        <w:rPr>
          <w:rFonts w:ascii="宋体" w:hAnsi="宋体" w:hint="eastAsia"/>
          <w:color w:val="000000"/>
          <w:szCs w:val="21"/>
        </w:rPr>
        <w:t>带帽出土”形成的原因。</w:t>
      </w:r>
    </w:p>
    <w:p w14:paraId="38F00F8F"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 蔬菜种子播前处理多种方法组合应该注意的问题。</w:t>
      </w:r>
    </w:p>
    <w:p w14:paraId="6C91A38F" w14:textId="77777777" w:rsidR="00F5289E" w:rsidRDefault="00C91173">
      <w:pPr>
        <w:snapToGrid w:val="0"/>
        <w:spacing w:line="360" w:lineRule="auto"/>
        <w:ind w:firstLineChars="200" w:firstLine="420"/>
        <w:jc w:val="left"/>
        <w:rPr>
          <w:rFonts w:ascii="宋体" w:hAnsi="宋体"/>
          <w:b/>
          <w:szCs w:val="21"/>
        </w:rPr>
      </w:pPr>
      <w:r>
        <w:rPr>
          <w:rFonts w:ascii="宋体" w:hAnsi="宋体" w:hint="eastAsia"/>
          <w:color w:val="000000"/>
          <w:szCs w:val="21"/>
        </w:rPr>
        <w:t>6. 评价：不同环境因素对培育壮苗的影响程度及关键时期。</w:t>
      </w:r>
    </w:p>
    <w:p w14:paraId="2A3CA826"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第三章 蔬菜栽培的技术基础</w:t>
      </w:r>
    </w:p>
    <w:p w14:paraId="740B95BD" w14:textId="77777777" w:rsidR="00F5289E" w:rsidRDefault="00C91173">
      <w:pPr>
        <w:spacing w:line="360" w:lineRule="auto"/>
        <w:rPr>
          <w:rFonts w:ascii="宋体" w:hAnsi="宋体"/>
          <w:b/>
          <w:szCs w:val="21"/>
        </w:rPr>
      </w:pPr>
      <w:r>
        <w:rPr>
          <w:rFonts w:ascii="宋体" w:hAnsi="宋体" w:hint="eastAsia"/>
          <w:b/>
          <w:szCs w:val="21"/>
        </w:rPr>
        <w:t>（一）学习目标</w:t>
      </w:r>
    </w:p>
    <w:p w14:paraId="7B7C6EFD" w14:textId="77777777" w:rsidR="00F5289E" w:rsidRDefault="00C91173">
      <w:pPr>
        <w:spacing w:line="360" w:lineRule="auto"/>
        <w:ind w:firstLineChars="100" w:firstLine="210"/>
        <w:rPr>
          <w:rFonts w:ascii="宋体" w:hAnsi="宋体"/>
          <w:szCs w:val="21"/>
        </w:rPr>
      </w:pPr>
      <w:r>
        <w:rPr>
          <w:rFonts w:ascii="宋体" w:hAnsi="宋体" w:hint="eastAsia"/>
          <w:szCs w:val="21"/>
        </w:rPr>
        <w:t>1. 一般了解: （1）设施菜田土壤养分状况与淋溶特点；（2）土壤耕作；（3）病虫草害防治技术；</w:t>
      </w:r>
    </w:p>
    <w:p w14:paraId="6FBADF83" w14:textId="77777777" w:rsidR="00F5289E" w:rsidRDefault="00C91173">
      <w:pPr>
        <w:spacing w:line="360" w:lineRule="auto"/>
        <w:ind w:firstLineChars="100" w:firstLine="210"/>
        <w:rPr>
          <w:rFonts w:ascii="宋体" w:hAnsi="宋体"/>
          <w:szCs w:val="21"/>
        </w:rPr>
      </w:pPr>
      <w:r>
        <w:rPr>
          <w:rFonts w:ascii="宋体" w:hAnsi="宋体" w:hint="eastAsia"/>
          <w:szCs w:val="21"/>
        </w:rPr>
        <w:t xml:space="preserve">2. 一般掌握: </w:t>
      </w:r>
      <w:r>
        <w:rPr>
          <w:rFonts w:hint="eastAsia"/>
          <w:kern w:val="0"/>
          <w:szCs w:val="21"/>
        </w:rPr>
        <w:t>（</w:t>
      </w:r>
      <w:r>
        <w:rPr>
          <w:rFonts w:hint="eastAsia"/>
          <w:kern w:val="0"/>
          <w:szCs w:val="21"/>
        </w:rPr>
        <w:t>1</w:t>
      </w:r>
      <w:r>
        <w:rPr>
          <w:rFonts w:hint="eastAsia"/>
          <w:kern w:val="0"/>
          <w:szCs w:val="21"/>
        </w:rPr>
        <w:t>）掌握清园、土壤消毒、整地做垄的方法；</w:t>
      </w:r>
      <w:r>
        <w:rPr>
          <w:rFonts w:ascii="宋体" w:hAnsi="宋体" w:hint="eastAsia"/>
          <w:szCs w:val="21"/>
        </w:rPr>
        <w:t>(2)定植、地面覆盖及植株调整方法；</w:t>
      </w:r>
      <w:r>
        <w:rPr>
          <w:rFonts w:hint="eastAsia"/>
          <w:kern w:val="0"/>
          <w:szCs w:val="21"/>
        </w:rPr>
        <w:t>（</w:t>
      </w:r>
      <w:r>
        <w:rPr>
          <w:rFonts w:hint="eastAsia"/>
          <w:kern w:val="0"/>
          <w:szCs w:val="21"/>
        </w:rPr>
        <w:t>3</w:t>
      </w:r>
      <w:r>
        <w:rPr>
          <w:rFonts w:hint="eastAsia"/>
          <w:kern w:val="0"/>
          <w:szCs w:val="21"/>
        </w:rPr>
        <w:t>）土壤水分监控方法、植物养分诊断方法</w:t>
      </w:r>
      <w:r>
        <w:rPr>
          <w:rFonts w:ascii="宋体" w:hAnsi="宋体" w:hint="eastAsia"/>
          <w:szCs w:val="21"/>
        </w:rPr>
        <w:t>。</w:t>
      </w:r>
    </w:p>
    <w:p w14:paraId="6F1D8B50" w14:textId="77777777" w:rsidR="00F5289E" w:rsidRDefault="00C91173">
      <w:pPr>
        <w:spacing w:line="360" w:lineRule="auto"/>
        <w:ind w:firstLineChars="100" w:firstLine="210"/>
        <w:rPr>
          <w:rFonts w:ascii="宋体" w:hAnsi="宋体"/>
          <w:szCs w:val="21"/>
        </w:rPr>
      </w:pPr>
      <w:r>
        <w:rPr>
          <w:rFonts w:ascii="宋体" w:hAnsi="宋体" w:hint="eastAsia"/>
          <w:szCs w:val="21"/>
        </w:rPr>
        <w:t>3. 熟练掌握:（1）滴灌设备安装与精确灌水施肥技术；(2)主要蔬菜设施栽培温光环境调控技术；（3）生长调节应用技术。</w:t>
      </w:r>
    </w:p>
    <w:p w14:paraId="5B767D76" w14:textId="77777777" w:rsidR="00F5289E" w:rsidRDefault="00C91173">
      <w:pPr>
        <w:spacing w:line="360" w:lineRule="auto"/>
        <w:rPr>
          <w:rFonts w:ascii="宋体" w:hAnsi="宋体"/>
          <w:b/>
          <w:szCs w:val="21"/>
        </w:rPr>
      </w:pPr>
      <w:r>
        <w:rPr>
          <w:rFonts w:ascii="宋体" w:hAnsi="宋体" w:hint="eastAsia"/>
          <w:b/>
          <w:szCs w:val="21"/>
        </w:rPr>
        <w:t>（二）考核内容</w:t>
      </w:r>
    </w:p>
    <w:p w14:paraId="6BB80C61" w14:textId="77777777" w:rsidR="00F5289E" w:rsidRDefault="00C91173">
      <w:pPr>
        <w:spacing w:line="360" w:lineRule="auto"/>
        <w:ind w:firstLineChars="150" w:firstLine="315"/>
        <w:rPr>
          <w:rFonts w:ascii="宋体" w:hAnsi="宋体"/>
          <w:szCs w:val="21"/>
        </w:rPr>
      </w:pPr>
      <w:r>
        <w:rPr>
          <w:rFonts w:ascii="宋体" w:hAnsi="宋体" w:hint="eastAsia"/>
          <w:szCs w:val="21"/>
        </w:rPr>
        <w:t xml:space="preserve">1. </w:t>
      </w:r>
      <w:r>
        <w:rPr>
          <w:rFonts w:hint="eastAsia"/>
          <w:kern w:val="0"/>
          <w:szCs w:val="21"/>
        </w:rPr>
        <w:t>掌握清园、土壤消毒、整地做垄的方法；</w:t>
      </w:r>
    </w:p>
    <w:p w14:paraId="0EBFD064" w14:textId="77777777" w:rsidR="00F5289E" w:rsidRDefault="00C91173">
      <w:pPr>
        <w:spacing w:line="360" w:lineRule="auto"/>
        <w:ind w:firstLineChars="150" w:firstLine="315"/>
        <w:rPr>
          <w:kern w:val="0"/>
          <w:szCs w:val="21"/>
        </w:rPr>
      </w:pPr>
      <w:r>
        <w:rPr>
          <w:rFonts w:ascii="宋体" w:hAnsi="宋体" w:hint="eastAsia"/>
          <w:szCs w:val="21"/>
        </w:rPr>
        <w:t xml:space="preserve">2. </w:t>
      </w:r>
      <w:r>
        <w:rPr>
          <w:rFonts w:hint="eastAsia"/>
          <w:kern w:val="0"/>
          <w:szCs w:val="21"/>
        </w:rPr>
        <w:t>确定播种期、定植时期方法；</w:t>
      </w:r>
    </w:p>
    <w:p w14:paraId="6FAA3636" w14:textId="77777777" w:rsidR="00F5289E" w:rsidRDefault="00C91173">
      <w:pPr>
        <w:spacing w:line="360" w:lineRule="auto"/>
        <w:ind w:firstLineChars="150" w:firstLine="315"/>
        <w:rPr>
          <w:rFonts w:ascii="宋体" w:hAnsi="宋体"/>
          <w:szCs w:val="21"/>
        </w:rPr>
      </w:pPr>
      <w:r>
        <w:rPr>
          <w:rFonts w:hint="eastAsia"/>
          <w:kern w:val="0"/>
          <w:szCs w:val="21"/>
        </w:rPr>
        <w:t>3</w:t>
      </w:r>
      <w:r>
        <w:rPr>
          <w:rFonts w:ascii="宋体" w:hAnsi="宋体" w:hint="eastAsia"/>
          <w:szCs w:val="21"/>
        </w:rPr>
        <w:t xml:space="preserve">. </w:t>
      </w:r>
      <w:r>
        <w:rPr>
          <w:rFonts w:hint="eastAsia"/>
          <w:kern w:val="0"/>
          <w:szCs w:val="21"/>
        </w:rPr>
        <w:t>果菜、叶菜直播的方法，果菜定植方法，地面覆盖方法；</w:t>
      </w:r>
    </w:p>
    <w:p w14:paraId="6FEEA40F" w14:textId="77777777" w:rsidR="00F5289E" w:rsidRDefault="00C91173">
      <w:pPr>
        <w:spacing w:line="360" w:lineRule="auto"/>
        <w:ind w:firstLineChars="150" w:firstLine="315"/>
        <w:rPr>
          <w:rFonts w:ascii="宋体" w:hAnsi="宋体"/>
          <w:szCs w:val="21"/>
        </w:rPr>
      </w:pPr>
      <w:r>
        <w:rPr>
          <w:rFonts w:ascii="宋体" w:hAnsi="宋体" w:hint="eastAsia"/>
          <w:szCs w:val="21"/>
        </w:rPr>
        <w:t xml:space="preserve">4. </w:t>
      </w:r>
      <w:r>
        <w:rPr>
          <w:rFonts w:hint="eastAsia"/>
          <w:kern w:val="0"/>
          <w:szCs w:val="21"/>
        </w:rPr>
        <w:t>水肥一体化设备安装、精准灌溉施肥技术；</w:t>
      </w:r>
    </w:p>
    <w:p w14:paraId="3118C9C3" w14:textId="77777777" w:rsidR="00F5289E" w:rsidRDefault="00C91173">
      <w:pPr>
        <w:spacing w:line="360" w:lineRule="auto"/>
        <w:ind w:firstLineChars="150" w:firstLine="315"/>
        <w:rPr>
          <w:rFonts w:ascii="宋体" w:hAnsi="宋体"/>
          <w:szCs w:val="21"/>
        </w:rPr>
      </w:pPr>
      <w:r>
        <w:rPr>
          <w:rFonts w:ascii="宋体" w:hAnsi="宋体" w:hint="eastAsia"/>
          <w:szCs w:val="21"/>
        </w:rPr>
        <w:t>5. 蔬菜营养诊断标准；</w:t>
      </w:r>
    </w:p>
    <w:p w14:paraId="1F01107D" w14:textId="77777777" w:rsidR="00F5289E" w:rsidRDefault="00C91173">
      <w:pPr>
        <w:spacing w:line="360" w:lineRule="auto"/>
        <w:ind w:firstLineChars="150" w:firstLine="315"/>
        <w:rPr>
          <w:rFonts w:ascii="宋体" w:hAnsi="宋体"/>
          <w:szCs w:val="21"/>
        </w:rPr>
      </w:pPr>
      <w:r>
        <w:rPr>
          <w:rFonts w:ascii="宋体" w:hAnsi="宋体" w:hint="eastAsia"/>
          <w:szCs w:val="21"/>
        </w:rPr>
        <w:t>6. 菜田土壤耕作方法，除草剂应用与“飘移”危害；</w:t>
      </w:r>
    </w:p>
    <w:p w14:paraId="06E24C4D" w14:textId="77777777" w:rsidR="00F5289E" w:rsidRDefault="00C91173">
      <w:pPr>
        <w:spacing w:line="360" w:lineRule="auto"/>
        <w:ind w:firstLineChars="150" w:firstLine="315"/>
        <w:rPr>
          <w:rFonts w:ascii="宋体" w:hAnsi="宋体" w:cs="宋体"/>
          <w:color w:val="353535"/>
          <w:kern w:val="0"/>
          <w:szCs w:val="21"/>
        </w:rPr>
      </w:pPr>
      <w:r>
        <w:rPr>
          <w:rFonts w:ascii="宋体" w:hAnsi="宋体" w:hint="eastAsia"/>
          <w:szCs w:val="21"/>
        </w:rPr>
        <w:t>7. 蔬菜植株调整的概念,内容,原理和方法；</w:t>
      </w:r>
    </w:p>
    <w:p w14:paraId="3295E4FD" w14:textId="77777777" w:rsidR="00F5289E" w:rsidRDefault="00C91173">
      <w:pPr>
        <w:spacing w:line="360" w:lineRule="auto"/>
        <w:ind w:firstLineChars="150" w:firstLine="315"/>
        <w:rPr>
          <w:rFonts w:ascii="宋体" w:hAnsi="宋体"/>
          <w:szCs w:val="21"/>
        </w:rPr>
      </w:pPr>
      <w:r>
        <w:rPr>
          <w:rFonts w:ascii="宋体" w:hAnsi="宋体" w:hint="eastAsia"/>
          <w:szCs w:val="21"/>
        </w:rPr>
        <w:t>8. 植物生长调节剂在蔬菜上的应用。</w:t>
      </w:r>
    </w:p>
    <w:p w14:paraId="3B7E8E8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12EE255" w14:textId="77777777" w:rsidR="00F5289E" w:rsidRDefault="00C91173">
      <w:pPr>
        <w:spacing w:line="360" w:lineRule="auto"/>
        <w:ind w:firstLineChars="150" w:firstLine="315"/>
        <w:rPr>
          <w:rFonts w:ascii="宋体" w:hAnsi="宋体"/>
          <w:szCs w:val="21"/>
        </w:rPr>
      </w:pPr>
      <w:r>
        <w:rPr>
          <w:rFonts w:ascii="宋体" w:hAnsi="宋体" w:hint="eastAsia"/>
          <w:szCs w:val="21"/>
        </w:rPr>
        <w:t>1. 识记：(1)；土壤耕作、植株调整、灌溉施肥有关概念；（2）蔬菜植株营养失衡症状。</w:t>
      </w:r>
    </w:p>
    <w:p w14:paraId="7EAD9212" w14:textId="77777777" w:rsidR="00F5289E" w:rsidRDefault="00C91173">
      <w:pPr>
        <w:spacing w:line="360" w:lineRule="auto"/>
        <w:ind w:firstLineChars="150" w:firstLine="315"/>
        <w:rPr>
          <w:rFonts w:ascii="宋体" w:hAnsi="宋体"/>
          <w:szCs w:val="21"/>
        </w:rPr>
      </w:pPr>
      <w:r>
        <w:rPr>
          <w:rFonts w:ascii="宋体" w:hAnsi="宋体" w:hint="eastAsia"/>
          <w:szCs w:val="21"/>
        </w:rPr>
        <w:t>2. 领会：(1)</w:t>
      </w:r>
      <w:r>
        <w:rPr>
          <w:rFonts w:hint="eastAsia"/>
          <w:kern w:val="0"/>
          <w:szCs w:val="21"/>
        </w:rPr>
        <w:t xml:space="preserve"> </w:t>
      </w:r>
      <w:r>
        <w:rPr>
          <w:rFonts w:hint="eastAsia"/>
          <w:kern w:val="0"/>
          <w:szCs w:val="21"/>
        </w:rPr>
        <w:t>确定播种期、定植时期的依据</w:t>
      </w:r>
      <w:r>
        <w:rPr>
          <w:rFonts w:ascii="宋体" w:hAnsi="宋体" w:hint="eastAsia"/>
          <w:szCs w:val="21"/>
        </w:rPr>
        <w:t>；(2)生长调节及应用的原理。</w:t>
      </w:r>
    </w:p>
    <w:p w14:paraId="63C9A969" w14:textId="77777777" w:rsidR="00F5289E" w:rsidRDefault="00C91173">
      <w:pPr>
        <w:spacing w:line="360" w:lineRule="auto"/>
        <w:ind w:firstLineChars="150" w:firstLine="315"/>
        <w:rPr>
          <w:rFonts w:ascii="宋体" w:hAnsi="宋体"/>
          <w:szCs w:val="21"/>
        </w:rPr>
      </w:pPr>
      <w:r>
        <w:rPr>
          <w:rFonts w:ascii="宋体" w:hAnsi="宋体" w:hint="eastAsia"/>
          <w:szCs w:val="21"/>
        </w:rPr>
        <w:t>3. 应用：依据气象条件确定蔬菜播种期、定植期；生长调节剂应用。</w:t>
      </w:r>
    </w:p>
    <w:p w14:paraId="4A7503AD"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4. 分析：根据蔬菜植株生长点状态判断蔬菜水分供应状态，确实是否需要灌溉；根据蔬菜植株叶片状态判断蔬菜营养状况，确实是否需要施肥。</w:t>
      </w:r>
    </w:p>
    <w:p w14:paraId="061AD839"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5. 综合：(1)设施蔬菜水肥调控技术；(2)设施蔬菜温光管理技术。</w:t>
      </w:r>
    </w:p>
    <w:p w14:paraId="4EE5A40D"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6.</w:t>
      </w:r>
      <w:r>
        <w:rPr>
          <w:rFonts w:ascii="宋体" w:hAnsi="宋体"/>
          <w:color w:val="000000"/>
          <w:szCs w:val="21"/>
        </w:rPr>
        <w:t xml:space="preserve"> </w:t>
      </w:r>
      <w:r>
        <w:rPr>
          <w:rFonts w:ascii="宋体" w:hAnsi="宋体" w:hint="eastAsia"/>
          <w:color w:val="000000"/>
          <w:szCs w:val="21"/>
        </w:rPr>
        <w:t>评价：高垄栽培与平畦栽培的优缺点与适用条件；评价表层土壤管理不同方法的优缺点及</w:t>
      </w:r>
      <w:r>
        <w:rPr>
          <w:rFonts w:ascii="宋体" w:hAnsi="宋体" w:hint="eastAsia"/>
          <w:color w:val="000000"/>
          <w:szCs w:val="21"/>
        </w:rPr>
        <w:lastRenderedPageBreak/>
        <w:t>适用条件；几种灌溉方法的优缺点及适用条件。</w:t>
      </w:r>
    </w:p>
    <w:p w14:paraId="5AD35A0B"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第四章 设施蔬菜栽培制度</w:t>
      </w:r>
    </w:p>
    <w:p w14:paraId="7932313C" w14:textId="77777777" w:rsidR="00F5289E" w:rsidRDefault="00C91173">
      <w:pPr>
        <w:spacing w:line="360" w:lineRule="auto"/>
        <w:rPr>
          <w:rFonts w:ascii="宋体" w:hAnsi="宋体"/>
          <w:b/>
          <w:szCs w:val="21"/>
        </w:rPr>
      </w:pPr>
      <w:r>
        <w:rPr>
          <w:rFonts w:ascii="宋体" w:hAnsi="宋体" w:hint="eastAsia"/>
          <w:b/>
          <w:szCs w:val="21"/>
        </w:rPr>
        <w:t>（一）学习目标</w:t>
      </w:r>
    </w:p>
    <w:p w14:paraId="1597B174" w14:textId="77777777" w:rsidR="00F5289E" w:rsidRDefault="00C91173">
      <w:pPr>
        <w:spacing w:line="360" w:lineRule="auto"/>
        <w:ind w:firstLineChars="150" w:firstLine="315"/>
        <w:rPr>
          <w:rFonts w:ascii="宋体" w:hAnsi="宋体"/>
          <w:szCs w:val="21"/>
        </w:rPr>
      </w:pPr>
      <w:r>
        <w:rPr>
          <w:rFonts w:ascii="宋体" w:hAnsi="宋体" w:hint="eastAsia"/>
          <w:szCs w:val="21"/>
        </w:rPr>
        <w:t>1. 一般了解:（1）蔬菜淡旺季形成的原因；（2）蔬菜的区域布局；（3）了解种植制度的概念。</w:t>
      </w:r>
    </w:p>
    <w:p w14:paraId="777F5CEB" w14:textId="77777777" w:rsidR="00F5289E" w:rsidRDefault="00C91173">
      <w:pPr>
        <w:spacing w:line="360" w:lineRule="auto"/>
        <w:ind w:firstLineChars="150" w:firstLine="315"/>
        <w:rPr>
          <w:rFonts w:ascii="宋体" w:hAnsi="宋体"/>
          <w:szCs w:val="21"/>
        </w:rPr>
      </w:pPr>
      <w:r>
        <w:rPr>
          <w:rFonts w:ascii="宋体" w:hAnsi="宋体" w:hint="eastAsia"/>
          <w:szCs w:val="21"/>
        </w:rPr>
        <w:t>2. 一般掌握:（1）连作,轮作,间作，套作等种植制度的特点；（2）设施优质蔬菜生产季节与茬口安排。</w:t>
      </w:r>
    </w:p>
    <w:p w14:paraId="6C1CA2E6" w14:textId="77777777" w:rsidR="00F5289E" w:rsidRDefault="00C91173">
      <w:pPr>
        <w:spacing w:line="360" w:lineRule="auto"/>
        <w:ind w:firstLineChars="150" w:firstLine="315"/>
        <w:rPr>
          <w:rFonts w:ascii="宋体" w:hAnsi="宋体"/>
          <w:szCs w:val="21"/>
        </w:rPr>
      </w:pPr>
      <w:r>
        <w:rPr>
          <w:rFonts w:ascii="宋体" w:hAnsi="宋体" w:hint="eastAsia"/>
          <w:szCs w:val="21"/>
        </w:rPr>
        <w:t>3. 熟练掌握:（1）区域蔬菜主导产业；（2）设施蔬菜茬口安排的原理与方法。</w:t>
      </w:r>
    </w:p>
    <w:p w14:paraId="21A23164" w14:textId="77777777" w:rsidR="00F5289E" w:rsidRDefault="00C91173">
      <w:pPr>
        <w:spacing w:line="360" w:lineRule="auto"/>
        <w:rPr>
          <w:rFonts w:ascii="宋体" w:hAnsi="宋体"/>
          <w:b/>
          <w:szCs w:val="21"/>
        </w:rPr>
      </w:pPr>
      <w:r>
        <w:rPr>
          <w:rFonts w:ascii="宋体" w:hAnsi="宋体" w:hint="eastAsia"/>
          <w:b/>
          <w:szCs w:val="21"/>
        </w:rPr>
        <w:t>（二）考核内容</w:t>
      </w:r>
    </w:p>
    <w:p w14:paraId="664D8917" w14:textId="77777777" w:rsidR="00F5289E" w:rsidRDefault="00C91173">
      <w:pPr>
        <w:spacing w:line="360" w:lineRule="auto"/>
        <w:ind w:firstLineChars="150" w:firstLine="315"/>
        <w:rPr>
          <w:rFonts w:ascii="宋体" w:hAnsi="宋体"/>
          <w:szCs w:val="21"/>
        </w:rPr>
      </w:pPr>
      <w:r>
        <w:rPr>
          <w:rFonts w:ascii="宋体" w:hAnsi="宋体" w:hint="eastAsia"/>
          <w:szCs w:val="21"/>
        </w:rPr>
        <w:t>1. 蔬菜淡旺季形成的原因；</w:t>
      </w:r>
    </w:p>
    <w:p w14:paraId="4791274C" w14:textId="77777777" w:rsidR="00F5289E" w:rsidRDefault="00C91173">
      <w:pPr>
        <w:spacing w:line="360" w:lineRule="auto"/>
        <w:ind w:firstLineChars="150" w:firstLine="315"/>
        <w:rPr>
          <w:rFonts w:ascii="宋体" w:hAnsi="宋体"/>
          <w:szCs w:val="21"/>
        </w:rPr>
      </w:pPr>
      <w:r>
        <w:rPr>
          <w:rFonts w:ascii="宋体" w:hAnsi="宋体" w:hint="eastAsia"/>
          <w:szCs w:val="21"/>
        </w:rPr>
        <w:t>2. 我国及河南省蔬菜产业的规划布局；</w:t>
      </w:r>
    </w:p>
    <w:p w14:paraId="269D76B0" w14:textId="77777777" w:rsidR="00F5289E" w:rsidRDefault="00C91173">
      <w:pPr>
        <w:spacing w:line="360" w:lineRule="auto"/>
        <w:ind w:firstLineChars="150" w:firstLine="315"/>
        <w:rPr>
          <w:rFonts w:ascii="宋体" w:hAnsi="宋体"/>
          <w:szCs w:val="21"/>
        </w:rPr>
      </w:pPr>
      <w:r>
        <w:rPr>
          <w:rFonts w:ascii="宋体" w:hAnsi="宋体" w:hint="eastAsia"/>
          <w:szCs w:val="21"/>
        </w:rPr>
        <w:t>3. 种植制度的相关概念；</w:t>
      </w:r>
    </w:p>
    <w:p w14:paraId="01DEFCE2" w14:textId="77777777" w:rsidR="00F5289E" w:rsidRDefault="00C91173">
      <w:pPr>
        <w:spacing w:line="360" w:lineRule="auto"/>
        <w:ind w:firstLineChars="150" w:firstLine="315"/>
        <w:rPr>
          <w:rFonts w:ascii="宋体" w:hAnsi="宋体"/>
          <w:szCs w:val="21"/>
        </w:rPr>
      </w:pPr>
      <w:r>
        <w:rPr>
          <w:rFonts w:ascii="宋体" w:hAnsi="宋体" w:hint="eastAsia"/>
          <w:szCs w:val="21"/>
        </w:rPr>
        <w:t>4. 设施优质蔬菜栽培集结与茬口的安排依据；</w:t>
      </w:r>
    </w:p>
    <w:p w14:paraId="62980D64" w14:textId="77777777" w:rsidR="00F5289E" w:rsidRDefault="00C91173">
      <w:pPr>
        <w:spacing w:line="360" w:lineRule="auto"/>
        <w:ind w:firstLineChars="150" w:firstLine="315"/>
        <w:rPr>
          <w:rFonts w:ascii="宋体" w:hAnsi="宋体"/>
          <w:szCs w:val="21"/>
        </w:rPr>
      </w:pPr>
      <w:r>
        <w:rPr>
          <w:rFonts w:ascii="宋体" w:hAnsi="宋体" w:hint="eastAsia"/>
          <w:szCs w:val="21"/>
        </w:rPr>
        <w:t>5. 区域设施蔬菜优势茬口。</w:t>
      </w:r>
    </w:p>
    <w:p w14:paraId="7E46A45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71CC8B2" w14:textId="77777777" w:rsidR="00F5289E" w:rsidRDefault="00C91173">
      <w:pPr>
        <w:spacing w:line="360" w:lineRule="auto"/>
        <w:ind w:firstLineChars="150" w:firstLine="315"/>
        <w:rPr>
          <w:rFonts w:ascii="宋体" w:hAnsi="宋体"/>
          <w:szCs w:val="21"/>
        </w:rPr>
      </w:pPr>
      <w:r>
        <w:rPr>
          <w:rFonts w:ascii="宋体" w:hAnsi="宋体" w:hint="eastAsia"/>
          <w:szCs w:val="21"/>
        </w:rPr>
        <w:t>1. 识记: （1）连作、轮作、间作等种植制度的概念和特点；</w:t>
      </w:r>
    </w:p>
    <w:p w14:paraId="264C3BFE" w14:textId="77777777" w:rsidR="00F5289E" w:rsidRDefault="00C91173">
      <w:pPr>
        <w:spacing w:line="360" w:lineRule="auto"/>
        <w:ind w:firstLineChars="150" w:firstLine="315"/>
        <w:rPr>
          <w:rFonts w:ascii="宋体" w:hAnsi="宋体"/>
          <w:szCs w:val="21"/>
        </w:rPr>
      </w:pPr>
      <w:r>
        <w:rPr>
          <w:rFonts w:ascii="宋体" w:hAnsi="宋体" w:hint="eastAsia"/>
          <w:szCs w:val="21"/>
        </w:rPr>
        <w:t>2. 领会: （1）蔬菜淡旺季形成的原因，（2）蔬菜茬口安排和合理布局的原理；</w:t>
      </w:r>
    </w:p>
    <w:p w14:paraId="55A64555" w14:textId="77777777" w:rsidR="00F5289E" w:rsidRDefault="00C91173">
      <w:pPr>
        <w:spacing w:line="360" w:lineRule="auto"/>
        <w:ind w:firstLineChars="150" w:firstLine="315"/>
        <w:rPr>
          <w:rFonts w:ascii="宋体" w:hAnsi="宋体"/>
          <w:szCs w:val="21"/>
        </w:rPr>
      </w:pPr>
      <w:r>
        <w:rPr>
          <w:rFonts w:ascii="宋体" w:hAnsi="宋体" w:hint="eastAsia"/>
          <w:szCs w:val="21"/>
        </w:rPr>
        <w:t>3. 应用: 安排设施蔬菜复种、轮作的茬口；</w:t>
      </w:r>
    </w:p>
    <w:p w14:paraId="66BEA159"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4. 分析：连作障碍的原因与克服措施；</w:t>
      </w:r>
    </w:p>
    <w:p w14:paraId="3A40BA82" w14:textId="77777777" w:rsidR="00F5289E" w:rsidRDefault="00C91173">
      <w:pPr>
        <w:spacing w:line="360" w:lineRule="auto"/>
        <w:rPr>
          <w:rFonts w:ascii="宋体" w:hAnsi="宋体"/>
          <w:color w:val="000000"/>
          <w:szCs w:val="21"/>
        </w:rPr>
      </w:pPr>
      <w:r>
        <w:rPr>
          <w:rFonts w:ascii="宋体" w:hAnsi="宋体" w:hint="eastAsia"/>
          <w:color w:val="000000"/>
          <w:szCs w:val="21"/>
        </w:rPr>
        <w:t xml:space="preserve">   5. 综合: 设计设施蔬菜间作、套作的模式；</w:t>
      </w:r>
    </w:p>
    <w:p w14:paraId="603FEBA2" w14:textId="77777777" w:rsidR="00F5289E" w:rsidRDefault="00C91173">
      <w:pPr>
        <w:spacing w:line="360" w:lineRule="auto"/>
        <w:ind w:firstLineChars="150" w:firstLine="315"/>
        <w:rPr>
          <w:rFonts w:ascii="宋体" w:hAnsi="宋体"/>
          <w:color w:val="000000"/>
          <w:szCs w:val="21"/>
        </w:rPr>
      </w:pPr>
      <w:r>
        <w:rPr>
          <w:rFonts w:ascii="宋体" w:hAnsi="宋体" w:hint="eastAsia"/>
          <w:color w:val="000000"/>
          <w:szCs w:val="21"/>
        </w:rPr>
        <w:t>6. 评价：我国不同地区夏秋蔬菜淡季生产基地的优劣与劣势。</w:t>
      </w:r>
    </w:p>
    <w:p w14:paraId="0F3FA0F6" w14:textId="77777777" w:rsidR="00F5289E" w:rsidRDefault="00F5289E">
      <w:pPr>
        <w:spacing w:line="360" w:lineRule="auto"/>
        <w:ind w:firstLineChars="200" w:firstLine="420"/>
        <w:rPr>
          <w:rFonts w:ascii="宋体" w:hAnsi="宋体"/>
          <w:color w:val="000000"/>
          <w:szCs w:val="21"/>
        </w:rPr>
      </w:pPr>
    </w:p>
    <w:p w14:paraId="170EC18E" w14:textId="77777777" w:rsidR="00F5289E" w:rsidRDefault="00C91173">
      <w:pPr>
        <w:spacing w:beforeLines="50" w:before="156" w:afterLines="50" w:after="156" w:line="360" w:lineRule="auto"/>
        <w:ind w:firstLineChars="1472" w:firstLine="3103"/>
        <w:rPr>
          <w:rFonts w:ascii="宋体" w:hAnsi="宋体"/>
          <w:szCs w:val="21"/>
        </w:rPr>
      </w:pPr>
      <w:r>
        <w:rPr>
          <w:rFonts w:hAnsi="宋体" w:hint="eastAsia"/>
          <w:b/>
          <w:bCs/>
          <w:kern w:val="0"/>
          <w:szCs w:val="21"/>
        </w:rPr>
        <w:t>第五章</w:t>
      </w:r>
      <w:r>
        <w:rPr>
          <w:rFonts w:hAnsi="宋体" w:hint="eastAsia"/>
          <w:b/>
          <w:bCs/>
          <w:kern w:val="0"/>
          <w:szCs w:val="21"/>
        </w:rPr>
        <w:t xml:space="preserve"> </w:t>
      </w:r>
      <w:r>
        <w:rPr>
          <w:rFonts w:hAnsi="宋体" w:hint="eastAsia"/>
          <w:b/>
          <w:bCs/>
          <w:kern w:val="0"/>
          <w:szCs w:val="21"/>
        </w:rPr>
        <w:t>设施茄果类蔬菜栽培</w:t>
      </w:r>
    </w:p>
    <w:p w14:paraId="2C24234D" w14:textId="77777777" w:rsidR="00F5289E" w:rsidRDefault="00C91173">
      <w:pPr>
        <w:spacing w:line="360" w:lineRule="auto"/>
        <w:rPr>
          <w:rFonts w:ascii="宋体" w:hAnsi="宋体"/>
          <w:b/>
          <w:szCs w:val="21"/>
        </w:rPr>
      </w:pPr>
      <w:r>
        <w:rPr>
          <w:rFonts w:ascii="宋体" w:hAnsi="宋体" w:hint="eastAsia"/>
          <w:b/>
          <w:szCs w:val="21"/>
        </w:rPr>
        <w:t>（一）学习目标</w:t>
      </w:r>
    </w:p>
    <w:p w14:paraId="016B1C17"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 主要茄果类蔬菜起源与栽培历史，营养价值特点，在周年供应中的地位。</w:t>
      </w:r>
    </w:p>
    <w:p w14:paraId="05214D0A"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 主要茄果类蔬菜的生物学特性、品种类型、设施主栽茬次。</w:t>
      </w:r>
    </w:p>
    <w:p w14:paraId="69953254"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 番茄、辣椒、茄子生育期划分、不同生育阶段生长特点及对环境条件的要求，主栽茬次的栽培技术要点。</w:t>
      </w:r>
    </w:p>
    <w:p w14:paraId="1BB8A09C" w14:textId="77777777" w:rsidR="00F5289E" w:rsidRDefault="00C91173">
      <w:pPr>
        <w:spacing w:line="360" w:lineRule="auto"/>
        <w:rPr>
          <w:rFonts w:ascii="宋体" w:hAnsi="宋体"/>
          <w:b/>
          <w:szCs w:val="21"/>
        </w:rPr>
      </w:pPr>
      <w:r>
        <w:rPr>
          <w:rFonts w:ascii="宋体" w:hAnsi="宋体" w:hint="eastAsia"/>
          <w:b/>
          <w:szCs w:val="21"/>
        </w:rPr>
        <w:t>（二）考核内容</w:t>
      </w:r>
    </w:p>
    <w:p w14:paraId="14F63DF7" w14:textId="77777777" w:rsidR="00F5289E" w:rsidRDefault="00C91173">
      <w:pPr>
        <w:spacing w:line="360" w:lineRule="auto"/>
        <w:ind w:firstLineChars="200" w:firstLine="420"/>
        <w:rPr>
          <w:rFonts w:ascii="宋体" w:hAnsi="宋体"/>
          <w:szCs w:val="21"/>
        </w:rPr>
      </w:pPr>
      <w:r>
        <w:rPr>
          <w:rFonts w:ascii="宋体" w:hAnsi="宋体" w:hint="eastAsia"/>
          <w:szCs w:val="21"/>
        </w:rPr>
        <w:lastRenderedPageBreak/>
        <w:t>1. 主要茄果类蔬菜起源地、生物学特征特性，设施栽培茬次。</w:t>
      </w:r>
    </w:p>
    <w:p w14:paraId="45B3F689" w14:textId="77777777" w:rsidR="00F5289E" w:rsidRDefault="00C91173">
      <w:pPr>
        <w:spacing w:line="360" w:lineRule="auto"/>
        <w:ind w:firstLineChars="200" w:firstLine="420"/>
        <w:rPr>
          <w:rFonts w:ascii="宋体" w:hAnsi="宋体"/>
          <w:szCs w:val="21"/>
        </w:rPr>
      </w:pPr>
      <w:r>
        <w:rPr>
          <w:rFonts w:ascii="宋体" w:hAnsi="宋体" w:hint="eastAsia"/>
          <w:szCs w:val="21"/>
        </w:rPr>
        <w:t>2. 茄果类蔬菜花芽分化特点、落花落果原因。</w:t>
      </w:r>
    </w:p>
    <w:p w14:paraId="2405BC63" w14:textId="77777777" w:rsidR="00F5289E" w:rsidRDefault="00C91173">
      <w:pPr>
        <w:spacing w:line="360" w:lineRule="auto"/>
        <w:ind w:firstLineChars="200" w:firstLine="420"/>
        <w:rPr>
          <w:rFonts w:ascii="宋体" w:hAnsi="宋体"/>
          <w:szCs w:val="21"/>
        </w:rPr>
      </w:pPr>
      <w:r>
        <w:rPr>
          <w:rFonts w:ascii="宋体" w:hAnsi="宋体" w:hint="eastAsia"/>
          <w:szCs w:val="21"/>
        </w:rPr>
        <w:t>3. 主要茄果类蔬菜的栽培管理技术，如品种选用、茬口安排、栽培季节、栽培管理、病虫防治、采收贮运等关键技术。主要茄果类蔬菜栽培的生理障碍与防止措施。</w:t>
      </w:r>
    </w:p>
    <w:p w14:paraId="0B18FAE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85E610F" w14:textId="77777777" w:rsidR="00F5289E" w:rsidRDefault="00C91173">
      <w:pPr>
        <w:spacing w:line="360" w:lineRule="auto"/>
        <w:ind w:firstLineChars="200" w:firstLine="420"/>
        <w:rPr>
          <w:rFonts w:ascii="宋体" w:hAnsi="宋体"/>
          <w:szCs w:val="21"/>
        </w:rPr>
      </w:pPr>
      <w:r>
        <w:rPr>
          <w:rFonts w:ascii="宋体" w:hAnsi="宋体" w:hint="eastAsia"/>
          <w:szCs w:val="21"/>
        </w:rPr>
        <w:t>1. 识记: 茄果类蔬菜起源地、分枝习性、品种类型、设施主栽茬次。</w:t>
      </w:r>
    </w:p>
    <w:p w14:paraId="37BE60EE" w14:textId="77777777" w:rsidR="00F5289E" w:rsidRDefault="00C91173">
      <w:pPr>
        <w:spacing w:line="360" w:lineRule="auto"/>
        <w:ind w:firstLineChars="200" w:firstLine="420"/>
        <w:rPr>
          <w:rFonts w:ascii="宋体" w:hAnsi="宋体"/>
          <w:szCs w:val="21"/>
        </w:rPr>
      </w:pPr>
      <w:r>
        <w:rPr>
          <w:rFonts w:ascii="宋体" w:hAnsi="宋体" w:hint="eastAsia"/>
          <w:szCs w:val="21"/>
        </w:rPr>
        <w:t>2. 领会: 主要茄果类蔬菜生物学特性对栽培技术的要求。</w:t>
      </w:r>
    </w:p>
    <w:p w14:paraId="1D995431" w14:textId="77777777" w:rsidR="00F5289E" w:rsidRDefault="00C91173">
      <w:pPr>
        <w:spacing w:line="360" w:lineRule="auto"/>
        <w:ind w:firstLineChars="200" w:firstLine="420"/>
        <w:rPr>
          <w:rFonts w:ascii="宋体" w:hAnsi="宋体"/>
          <w:szCs w:val="21"/>
        </w:rPr>
      </w:pPr>
      <w:r>
        <w:rPr>
          <w:rFonts w:ascii="宋体" w:hAnsi="宋体" w:hint="eastAsia"/>
          <w:szCs w:val="21"/>
        </w:rPr>
        <w:t>3. 应用: 主要茄果类蔬菜设施栽培技术要点。</w:t>
      </w:r>
    </w:p>
    <w:p w14:paraId="1E3FAB74"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4. 分析：夏季、冬季番茄育苗花芽分化不良的原因。</w:t>
      </w:r>
    </w:p>
    <w:p w14:paraId="0BA137D8"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综合应用: 设施逆境条件下茄果类蔬菜栽培管理对策；植株、果实生理障碍的诊断与克服。</w:t>
      </w:r>
    </w:p>
    <w:p w14:paraId="42E7FD82"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6.评价：河南和山东日光温室越冬一大茬番茄生产的优势比较。</w:t>
      </w:r>
    </w:p>
    <w:p w14:paraId="58F54C3A" w14:textId="77777777" w:rsidR="00F5289E" w:rsidRDefault="00C91173">
      <w:pPr>
        <w:spacing w:beforeLines="50" w:before="156" w:afterLines="50" w:after="156" w:line="360" w:lineRule="auto"/>
        <w:ind w:firstLineChars="1475" w:firstLine="3110"/>
        <w:rPr>
          <w:rFonts w:ascii="宋体" w:hAnsi="宋体" w:cs="宋体"/>
          <w:b/>
          <w:bCs/>
          <w:color w:val="353535"/>
          <w:kern w:val="0"/>
          <w:szCs w:val="21"/>
        </w:rPr>
      </w:pPr>
      <w:r>
        <w:rPr>
          <w:rFonts w:ascii="宋体" w:hAnsi="宋体" w:cs="宋体" w:hint="eastAsia"/>
          <w:b/>
          <w:bCs/>
          <w:kern w:val="0"/>
          <w:szCs w:val="21"/>
        </w:rPr>
        <w:t>第六章  设施瓜类蔬菜栽培</w:t>
      </w:r>
    </w:p>
    <w:p w14:paraId="557A2B67" w14:textId="77777777" w:rsidR="00F5289E" w:rsidRDefault="00C91173">
      <w:pPr>
        <w:spacing w:line="360" w:lineRule="auto"/>
        <w:rPr>
          <w:rFonts w:ascii="宋体" w:hAnsi="宋体"/>
          <w:b/>
          <w:szCs w:val="21"/>
        </w:rPr>
      </w:pPr>
      <w:r>
        <w:rPr>
          <w:rFonts w:ascii="宋体" w:hAnsi="宋体" w:hint="eastAsia"/>
          <w:b/>
          <w:szCs w:val="21"/>
        </w:rPr>
        <w:t>（一）学习目标</w:t>
      </w:r>
    </w:p>
    <w:p w14:paraId="4AE0028E"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w:t>
      </w:r>
      <w:r>
        <w:rPr>
          <w:rFonts w:hint="eastAsia"/>
          <w:szCs w:val="21"/>
        </w:rPr>
        <w:t xml:space="preserve"> </w:t>
      </w:r>
      <w:r>
        <w:rPr>
          <w:rFonts w:ascii="宋体" w:hAnsi="宋体" w:hint="eastAsia"/>
          <w:szCs w:val="21"/>
        </w:rPr>
        <w:t>瓜类蔬菜起源地与栽培的关系，瓜类蔬菜的营养特点，区域产业优势。</w:t>
      </w:r>
    </w:p>
    <w:p w14:paraId="0ECEF042"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 瓜类蔬菜分枝习性、花芽分化特点，设施主要栽培茬次，坐果特点，产量和品质形成与肥水管理技术。</w:t>
      </w:r>
    </w:p>
    <w:p w14:paraId="33E3D251"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 主要瓜类蔬菜品种特性、生育期划分、不同生育阶段的特点、主栽茬次栽培技术。</w:t>
      </w:r>
    </w:p>
    <w:p w14:paraId="46084C0F" w14:textId="77777777" w:rsidR="00F5289E" w:rsidRDefault="00C91173">
      <w:pPr>
        <w:spacing w:line="360" w:lineRule="auto"/>
        <w:rPr>
          <w:rFonts w:ascii="宋体" w:hAnsi="宋体"/>
          <w:b/>
          <w:szCs w:val="21"/>
        </w:rPr>
      </w:pPr>
      <w:r>
        <w:rPr>
          <w:rFonts w:ascii="宋体" w:hAnsi="宋体" w:hint="eastAsia"/>
          <w:b/>
          <w:szCs w:val="21"/>
        </w:rPr>
        <w:t>（二）考核内容</w:t>
      </w:r>
    </w:p>
    <w:p w14:paraId="475AC519" w14:textId="77777777" w:rsidR="00F5289E" w:rsidRDefault="00C91173">
      <w:pPr>
        <w:spacing w:line="360" w:lineRule="auto"/>
        <w:ind w:firstLineChars="200" w:firstLine="420"/>
        <w:rPr>
          <w:rFonts w:ascii="宋体" w:hAnsi="宋体"/>
          <w:szCs w:val="21"/>
        </w:rPr>
      </w:pPr>
      <w:r>
        <w:rPr>
          <w:rFonts w:ascii="宋体" w:hAnsi="宋体" w:hint="eastAsia"/>
          <w:szCs w:val="21"/>
        </w:rPr>
        <w:t>1. 主要瓜类蔬菜起源地、营养特点、分枝习性、结果习性、花芽分化特点、品种类型、主栽设施茬次。</w:t>
      </w:r>
    </w:p>
    <w:p w14:paraId="00482E45" w14:textId="77777777" w:rsidR="00F5289E" w:rsidRDefault="00C91173">
      <w:pPr>
        <w:spacing w:line="360" w:lineRule="auto"/>
        <w:ind w:firstLineChars="200" w:firstLine="420"/>
        <w:rPr>
          <w:rFonts w:ascii="宋体" w:hAnsi="宋体"/>
          <w:szCs w:val="21"/>
        </w:rPr>
      </w:pPr>
      <w:r>
        <w:rPr>
          <w:rFonts w:ascii="宋体" w:hAnsi="宋体" w:hint="eastAsia"/>
          <w:szCs w:val="21"/>
        </w:rPr>
        <w:t>2. 主要瓜类蔬菜生物学特性对栽培技术的特殊要求。</w:t>
      </w:r>
    </w:p>
    <w:p w14:paraId="6C23CCE7" w14:textId="77777777" w:rsidR="00F5289E" w:rsidRDefault="00C91173">
      <w:pPr>
        <w:spacing w:line="360" w:lineRule="auto"/>
        <w:ind w:firstLineChars="200" w:firstLine="420"/>
        <w:rPr>
          <w:rFonts w:ascii="宋体" w:hAnsi="宋体"/>
          <w:szCs w:val="21"/>
        </w:rPr>
      </w:pPr>
      <w:r>
        <w:rPr>
          <w:rFonts w:ascii="宋体" w:hAnsi="宋体" w:hint="eastAsia"/>
          <w:szCs w:val="21"/>
        </w:rPr>
        <w:t>3. 主要瓜类蔬菜设施栽培管理技术要点，如品种选用、茬口安排、栽培季节、栽培管理、病虫防治、采收贮运等关键技术。</w:t>
      </w:r>
    </w:p>
    <w:p w14:paraId="3478B0D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524A76F" w14:textId="77777777" w:rsidR="00F5289E" w:rsidRDefault="00C91173">
      <w:pPr>
        <w:spacing w:line="360" w:lineRule="auto"/>
        <w:ind w:firstLineChars="200" w:firstLine="420"/>
        <w:rPr>
          <w:rFonts w:ascii="宋体" w:hAnsi="宋体"/>
          <w:szCs w:val="21"/>
        </w:rPr>
      </w:pPr>
      <w:r>
        <w:rPr>
          <w:rFonts w:ascii="宋体" w:hAnsi="宋体" w:hint="eastAsia"/>
          <w:szCs w:val="21"/>
        </w:rPr>
        <w:t>1. 识记: 瓜类蔬菜起源地、分枝习性、品种类型、设施主栽茬次。</w:t>
      </w:r>
    </w:p>
    <w:p w14:paraId="3A380ED0" w14:textId="77777777" w:rsidR="00F5289E" w:rsidRDefault="00C91173">
      <w:pPr>
        <w:spacing w:line="360" w:lineRule="auto"/>
        <w:ind w:firstLineChars="200" w:firstLine="420"/>
        <w:rPr>
          <w:rFonts w:ascii="宋体" w:hAnsi="宋体"/>
          <w:szCs w:val="21"/>
        </w:rPr>
      </w:pPr>
      <w:r>
        <w:rPr>
          <w:rFonts w:ascii="宋体" w:hAnsi="宋体" w:hint="eastAsia"/>
          <w:szCs w:val="21"/>
        </w:rPr>
        <w:t>2. 领会: 瓜类蔬菜生物学特性对栽培技术的要求。</w:t>
      </w:r>
    </w:p>
    <w:p w14:paraId="139D11F7" w14:textId="77777777" w:rsidR="00F5289E" w:rsidRDefault="00C91173">
      <w:pPr>
        <w:spacing w:line="360" w:lineRule="auto"/>
        <w:ind w:firstLineChars="200" w:firstLine="420"/>
        <w:rPr>
          <w:rFonts w:ascii="宋体" w:hAnsi="宋体"/>
          <w:szCs w:val="21"/>
        </w:rPr>
      </w:pPr>
      <w:r>
        <w:rPr>
          <w:rFonts w:ascii="宋体" w:hAnsi="宋体" w:hint="eastAsia"/>
          <w:szCs w:val="21"/>
        </w:rPr>
        <w:t>3. 应用: 瓜类蔬菜设施主要茬次栽培技术。</w:t>
      </w:r>
    </w:p>
    <w:p w14:paraId="0BC6E063"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lastRenderedPageBreak/>
        <w:t>4. 分析：为什么夏秋黄瓜栽培应采用乙烯利调控雌花分化，增加雌花节率还有其他途径吗？</w:t>
      </w:r>
    </w:p>
    <w:p w14:paraId="679AFD85"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 设施栽培条件下瓜类蔬菜优质、高产栽培技术措施；生理障碍的克服措施。</w:t>
      </w:r>
    </w:p>
    <w:p w14:paraId="3FFCC310"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6.评价：为什么设施黄瓜产量比露地的3-5倍？</w:t>
      </w:r>
    </w:p>
    <w:p w14:paraId="5ED41E4B" w14:textId="77777777" w:rsidR="00F5289E" w:rsidRDefault="00F5289E">
      <w:pPr>
        <w:spacing w:line="360" w:lineRule="auto"/>
        <w:ind w:firstLineChars="200" w:firstLine="420"/>
        <w:rPr>
          <w:rFonts w:ascii="宋体" w:hAnsi="宋体"/>
          <w:szCs w:val="21"/>
        </w:rPr>
      </w:pPr>
    </w:p>
    <w:p w14:paraId="0A9B0927" w14:textId="77777777" w:rsidR="00F5289E" w:rsidRDefault="00C91173">
      <w:pPr>
        <w:adjustRightInd w:val="0"/>
        <w:snapToGrid w:val="0"/>
        <w:spacing w:beforeLines="50" w:before="156" w:afterLines="50" w:after="156" w:line="360" w:lineRule="auto"/>
        <w:ind w:firstLineChars="1316" w:firstLine="2774"/>
        <w:rPr>
          <w:rFonts w:ascii="宋体" w:hAnsi="宋体" w:cs="宋体"/>
          <w:b/>
          <w:bCs/>
          <w:color w:val="353535"/>
          <w:kern w:val="0"/>
          <w:szCs w:val="21"/>
        </w:rPr>
      </w:pPr>
      <w:r>
        <w:rPr>
          <w:rFonts w:ascii="宋体" w:hAnsi="宋体" w:cs="宋体" w:hint="eastAsia"/>
          <w:b/>
          <w:bCs/>
          <w:kern w:val="0"/>
          <w:szCs w:val="21"/>
        </w:rPr>
        <w:t>第七章  设施薯芋类蔬菜栽培</w:t>
      </w:r>
    </w:p>
    <w:p w14:paraId="78BAD1D7" w14:textId="77777777" w:rsidR="00F5289E" w:rsidRDefault="00C91173">
      <w:pPr>
        <w:spacing w:line="360" w:lineRule="auto"/>
        <w:rPr>
          <w:rFonts w:ascii="宋体" w:hAnsi="宋体"/>
          <w:b/>
          <w:szCs w:val="21"/>
        </w:rPr>
      </w:pPr>
      <w:r>
        <w:rPr>
          <w:rFonts w:ascii="宋体" w:hAnsi="宋体" w:hint="eastAsia"/>
          <w:b/>
          <w:szCs w:val="21"/>
        </w:rPr>
        <w:t>（一）学习目标</w:t>
      </w:r>
    </w:p>
    <w:p w14:paraId="3211198C"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w:t>
      </w:r>
      <w:r>
        <w:rPr>
          <w:rFonts w:hint="eastAsia"/>
          <w:szCs w:val="21"/>
        </w:rPr>
        <w:t xml:space="preserve"> </w:t>
      </w:r>
      <w:r>
        <w:rPr>
          <w:rFonts w:ascii="宋体" w:hAnsi="宋体" w:hint="eastAsia"/>
          <w:szCs w:val="21"/>
        </w:rPr>
        <w:t>薯芋类蔬菜起源地与栽培的关系、栽培历史、营养价值特点、在周年供应中的地位、区域产业优势。</w:t>
      </w:r>
    </w:p>
    <w:p w14:paraId="550DCDD3" w14:textId="77777777" w:rsidR="00F5289E" w:rsidRDefault="00C91173">
      <w:pPr>
        <w:spacing w:line="360" w:lineRule="auto"/>
        <w:ind w:firstLineChars="200" w:firstLine="420"/>
        <w:rPr>
          <w:rFonts w:ascii="宋体" w:hAnsi="宋体"/>
          <w:szCs w:val="21"/>
        </w:rPr>
      </w:pPr>
      <w:r>
        <w:rPr>
          <w:rFonts w:ascii="宋体" w:hAnsi="宋体" w:hint="eastAsia"/>
          <w:szCs w:val="21"/>
        </w:rPr>
        <w:t xml:space="preserve">2. 一般掌握: </w:t>
      </w:r>
      <w:r>
        <w:rPr>
          <w:rFonts w:hint="eastAsia"/>
          <w:szCs w:val="21"/>
        </w:rPr>
        <w:t>薯芋</w:t>
      </w:r>
      <w:r>
        <w:rPr>
          <w:rFonts w:ascii="宋体" w:hAnsi="宋体" w:hint="eastAsia"/>
          <w:szCs w:val="21"/>
        </w:rPr>
        <w:t>类蔬菜的生物学特性，不同生育阶段的特点及对栽培技术的要求，设施栽培的主要茬次。</w:t>
      </w:r>
    </w:p>
    <w:p w14:paraId="0D9DF9D0" w14:textId="77777777" w:rsidR="00F5289E" w:rsidRDefault="00C91173">
      <w:pPr>
        <w:spacing w:line="360" w:lineRule="auto"/>
        <w:ind w:firstLineChars="200" w:firstLine="420"/>
        <w:rPr>
          <w:rFonts w:ascii="宋体" w:hAnsi="宋体"/>
          <w:szCs w:val="21"/>
        </w:rPr>
      </w:pPr>
      <w:r>
        <w:rPr>
          <w:rFonts w:ascii="宋体" w:hAnsi="宋体" w:hint="eastAsia"/>
          <w:szCs w:val="21"/>
        </w:rPr>
        <w:t xml:space="preserve">3. 熟练掌握: </w:t>
      </w:r>
      <w:r>
        <w:rPr>
          <w:rFonts w:hint="eastAsia"/>
          <w:szCs w:val="21"/>
        </w:rPr>
        <w:t>薯芋</w:t>
      </w:r>
      <w:r>
        <w:rPr>
          <w:rFonts w:ascii="宋体" w:hAnsi="宋体" w:hint="eastAsia"/>
          <w:szCs w:val="21"/>
        </w:rPr>
        <w:t>类蔬菜品种类型与区域适应性，设施主栽茬次的栽培技术要点。</w:t>
      </w:r>
    </w:p>
    <w:p w14:paraId="00855218" w14:textId="77777777" w:rsidR="00F5289E" w:rsidRDefault="00C91173">
      <w:pPr>
        <w:spacing w:line="360" w:lineRule="auto"/>
        <w:rPr>
          <w:rFonts w:ascii="宋体" w:hAnsi="宋体"/>
          <w:b/>
          <w:szCs w:val="21"/>
        </w:rPr>
      </w:pPr>
      <w:r>
        <w:rPr>
          <w:rFonts w:ascii="宋体" w:hAnsi="宋体" w:hint="eastAsia"/>
          <w:b/>
          <w:szCs w:val="21"/>
        </w:rPr>
        <w:t>（二）考核内容</w:t>
      </w:r>
    </w:p>
    <w:p w14:paraId="15AB18AC" w14:textId="77777777" w:rsidR="00F5289E" w:rsidRDefault="00C91173">
      <w:pPr>
        <w:spacing w:line="360" w:lineRule="auto"/>
        <w:ind w:firstLineChars="200" w:firstLine="420"/>
        <w:rPr>
          <w:rFonts w:ascii="宋体" w:hAnsi="宋体"/>
          <w:szCs w:val="21"/>
        </w:rPr>
      </w:pPr>
      <w:r>
        <w:rPr>
          <w:rFonts w:ascii="宋体" w:hAnsi="宋体" w:hint="eastAsia"/>
          <w:szCs w:val="21"/>
        </w:rPr>
        <w:t>1.马铃薯块茎结构，如植物学特性，生长发育过程，对环境条件要求等。</w:t>
      </w:r>
    </w:p>
    <w:p w14:paraId="5FDE2991" w14:textId="77777777" w:rsidR="00F5289E" w:rsidRDefault="00C91173">
      <w:pPr>
        <w:spacing w:line="360" w:lineRule="auto"/>
        <w:ind w:firstLineChars="200" w:firstLine="420"/>
        <w:rPr>
          <w:rFonts w:ascii="宋体" w:hAnsi="宋体"/>
          <w:szCs w:val="21"/>
        </w:rPr>
      </w:pPr>
      <w:r>
        <w:rPr>
          <w:rFonts w:ascii="宋体" w:hAnsi="宋体" w:hint="eastAsia"/>
          <w:szCs w:val="21"/>
        </w:rPr>
        <w:t>2.马铃薯休眠类型及打破休眠的措施、马铃薯退化原因及克服措施。</w:t>
      </w:r>
    </w:p>
    <w:p w14:paraId="68ED9606" w14:textId="77777777" w:rsidR="00F5289E" w:rsidRDefault="00C91173">
      <w:pPr>
        <w:spacing w:line="360" w:lineRule="auto"/>
        <w:ind w:firstLineChars="200" w:firstLine="420"/>
        <w:rPr>
          <w:rFonts w:ascii="宋体" w:hAnsi="宋体"/>
          <w:szCs w:val="21"/>
        </w:rPr>
      </w:pPr>
      <w:r>
        <w:rPr>
          <w:rFonts w:ascii="宋体" w:hAnsi="宋体" w:hint="eastAsia"/>
          <w:szCs w:val="21"/>
        </w:rPr>
        <w:t>3.设施马铃薯栽培管理技术，如品种选用、茬口安排、栽培季节、栽培管理、病虫防治、采收贮运等关键技术。</w:t>
      </w:r>
    </w:p>
    <w:p w14:paraId="7DA14D60"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0225CFA" w14:textId="77777777" w:rsidR="00F5289E" w:rsidRDefault="00C91173">
      <w:pPr>
        <w:spacing w:line="360" w:lineRule="auto"/>
        <w:ind w:firstLineChars="200" w:firstLine="420"/>
        <w:rPr>
          <w:rFonts w:ascii="宋体" w:hAnsi="宋体"/>
          <w:szCs w:val="21"/>
        </w:rPr>
      </w:pPr>
      <w:r>
        <w:rPr>
          <w:rFonts w:ascii="宋体" w:hAnsi="宋体" w:hint="eastAsia"/>
          <w:szCs w:val="21"/>
        </w:rPr>
        <w:t xml:space="preserve">1. 识记: </w:t>
      </w:r>
      <w:r>
        <w:rPr>
          <w:rFonts w:hint="eastAsia"/>
          <w:szCs w:val="21"/>
        </w:rPr>
        <w:t>马铃薯块茎结构、休眠、退化原因相关概念与理论</w:t>
      </w:r>
      <w:r>
        <w:rPr>
          <w:rFonts w:ascii="宋体" w:hAnsi="宋体" w:hint="eastAsia"/>
          <w:szCs w:val="21"/>
        </w:rPr>
        <w:t>。</w:t>
      </w:r>
    </w:p>
    <w:p w14:paraId="3155BB76" w14:textId="77777777" w:rsidR="00F5289E" w:rsidRDefault="00C91173">
      <w:pPr>
        <w:spacing w:line="360" w:lineRule="auto"/>
        <w:ind w:firstLineChars="200" w:firstLine="420"/>
        <w:rPr>
          <w:rFonts w:ascii="宋体" w:hAnsi="宋体"/>
          <w:szCs w:val="21"/>
        </w:rPr>
      </w:pPr>
      <w:r>
        <w:rPr>
          <w:rFonts w:ascii="宋体" w:hAnsi="宋体" w:hint="eastAsia"/>
          <w:szCs w:val="21"/>
        </w:rPr>
        <w:t>2. 领会: 打破马铃薯休眠、防治马铃薯退化技术的生理学基础；马铃薯不同生育阶段生长特点对栽培技术的要求。</w:t>
      </w:r>
    </w:p>
    <w:p w14:paraId="41057323" w14:textId="77777777" w:rsidR="00F5289E" w:rsidRDefault="00C91173">
      <w:pPr>
        <w:spacing w:line="360" w:lineRule="auto"/>
        <w:ind w:firstLineChars="200" w:firstLine="420"/>
        <w:rPr>
          <w:rFonts w:ascii="宋体" w:hAnsi="宋体"/>
          <w:szCs w:val="21"/>
        </w:rPr>
      </w:pPr>
      <w:r>
        <w:rPr>
          <w:rFonts w:ascii="宋体" w:hAnsi="宋体" w:hint="eastAsia"/>
          <w:szCs w:val="21"/>
        </w:rPr>
        <w:t>3. 简单应用: 设施马铃薯栽培技术要点。</w:t>
      </w:r>
    </w:p>
    <w:p w14:paraId="091ED451"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4. 分析：马铃薯异地调种增产的原因；中原地区采用中早熟马玲品种的原因。</w:t>
      </w:r>
    </w:p>
    <w:p w14:paraId="7EC3EFA7"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 设施马铃薯高产优质栽培提早播种、延迟采收、控制徒长、促进养分回流、延长贮藏期等新技术的试验设计。</w:t>
      </w:r>
    </w:p>
    <w:p w14:paraId="3DCDDDC4"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6.评价：脱毒马铃薯种的经济性评价。</w:t>
      </w:r>
    </w:p>
    <w:p w14:paraId="1DC18B09" w14:textId="77777777" w:rsidR="00F5289E" w:rsidRDefault="00F5289E">
      <w:pPr>
        <w:spacing w:line="360" w:lineRule="auto"/>
        <w:ind w:firstLineChars="200" w:firstLine="420"/>
        <w:rPr>
          <w:rFonts w:ascii="宋体" w:hAnsi="宋体"/>
          <w:szCs w:val="21"/>
        </w:rPr>
      </w:pPr>
    </w:p>
    <w:p w14:paraId="24FFA227" w14:textId="77777777" w:rsidR="00F5289E" w:rsidRDefault="00C91173">
      <w:pPr>
        <w:spacing w:line="360" w:lineRule="auto"/>
        <w:ind w:firstLineChars="1420" w:firstLine="2994"/>
        <w:rPr>
          <w:rFonts w:ascii="宋体" w:hAnsi="宋体" w:cs="宋体"/>
          <w:b/>
          <w:bCs/>
          <w:kern w:val="0"/>
          <w:szCs w:val="21"/>
        </w:rPr>
      </w:pPr>
      <w:r>
        <w:rPr>
          <w:rFonts w:ascii="宋体" w:hAnsi="宋体" w:cs="宋体" w:hint="eastAsia"/>
          <w:b/>
          <w:bCs/>
          <w:kern w:val="0"/>
          <w:szCs w:val="21"/>
        </w:rPr>
        <w:t>第八章  设施葱蒜类蔬菜栽培</w:t>
      </w:r>
    </w:p>
    <w:p w14:paraId="7DFC6963" w14:textId="77777777" w:rsidR="00F5289E" w:rsidRDefault="00C91173">
      <w:pPr>
        <w:spacing w:line="360" w:lineRule="auto"/>
        <w:rPr>
          <w:rFonts w:ascii="宋体" w:hAnsi="宋体"/>
          <w:b/>
          <w:szCs w:val="21"/>
        </w:rPr>
      </w:pPr>
      <w:r>
        <w:rPr>
          <w:rFonts w:ascii="宋体" w:hAnsi="宋体" w:hint="eastAsia"/>
          <w:b/>
          <w:szCs w:val="21"/>
        </w:rPr>
        <w:t>（一）学习目标</w:t>
      </w:r>
    </w:p>
    <w:p w14:paraId="5763F625" w14:textId="77777777" w:rsidR="00F5289E" w:rsidRDefault="00C91173">
      <w:pPr>
        <w:spacing w:line="360" w:lineRule="auto"/>
        <w:ind w:firstLineChars="200" w:firstLine="420"/>
        <w:rPr>
          <w:rFonts w:ascii="宋体" w:hAnsi="宋体"/>
          <w:szCs w:val="21"/>
        </w:rPr>
      </w:pPr>
      <w:r>
        <w:rPr>
          <w:rFonts w:ascii="宋体" w:hAnsi="宋体" w:hint="eastAsia"/>
          <w:szCs w:val="21"/>
        </w:rPr>
        <w:t>1.一般了解: 葱蒜类蔬菜起源地与栽培的关系、栽培历史、营养价值特点、在周年供应中的地</w:t>
      </w:r>
      <w:r>
        <w:rPr>
          <w:rFonts w:ascii="宋体" w:hAnsi="宋体" w:hint="eastAsia"/>
          <w:szCs w:val="21"/>
        </w:rPr>
        <w:lastRenderedPageBreak/>
        <w:t>位，区域产业优势。</w:t>
      </w:r>
    </w:p>
    <w:p w14:paraId="30E6DAF6" w14:textId="77777777" w:rsidR="00F5289E" w:rsidRDefault="00C91173">
      <w:pPr>
        <w:spacing w:line="360" w:lineRule="auto"/>
        <w:ind w:firstLineChars="200" w:firstLine="420"/>
        <w:rPr>
          <w:rFonts w:ascii="宋体" w:hAnsi="宋体"/>
          <w:szCs w:val="21"/>
        </w:rPr>
      </w:pPr>
      <w:r>
        <w:rPr>
          <w:rFonts w:ascii="宋体" w:hAnsi="宋体" w:hint="eastAsia"/>
          <w:szCs w:val="21"/>
        </w:rPr>
        <w:t>2.一般掌握:</w:t>
      </w:r>
      <w:r>
        <w:rPr>
          <w:rFonts w:hint="eastAsia"/>
          <w:szCs w:val="21"/>
        </w:rPr>
        <w:t xml:space="preserve"> </w:t>
      </w:r>
      <w:r>
        <w:rPr>
          <w:rFonts w:ascii="宋体" w:hAnsi="宋体" w:hint="eastAsia"/>
          <w:szCs w:val="21"/>
        </w:rPr>
        <w:t>韭菜的生物学特性，不同生育阶段的特点及对栽培技术的要求，设施栽培的主要韭菜品种类型与栽培茬次。</w:t>
      </w:r>
    </w:p>
    <w:p w14:paraId="236AC9F7" w14:textId="77777777" w:rsidR="00F5289E" w:rsidRDefault="00C91173">
      <w:pPr>
        <w:spacing w:line="360" w:lineRule="auto"/>
        <w:ind w:firstLineChars="200" w:firstLine="420"/>
        <w:rPr>
          <w:rFonts w:ascii="宋体" w:hAnsi="宋体"/>
          <w:szCs w:val="21"/>
        </w:rPr>
      </w:pPr>
      <w:r>
        <w:rPr>
          <w:rFonts w:ascii="宋体" w:hAnsi="宋体" w:hint="eastAsia"/>
          <w:szCs w:val="21"/>
        </w:rPr>
        <w:t xml:space="preserve">3.熟练掌握:  </w:t>
      </w:r>
      <w:r>
        <w:rPr>
          <w:rFonts w:hint="eastAsia"/>
          <w:szCs w:val="21"/>
        </w:rPr>
        <w:t>韭菜</w:t>
      </w:r>
      <w:r>
        <w:rPr>
          <w:rFonts w:ascii="宋体" w:hAnsi="宋体" w:hint="eastAsia"/>
          <w:szCs w:val="21"/>
        </w:rPr>
        <w:t>品种类型、不同韭菜品种类型与栽培设施茬次的适应性，设施韭菜栽培技术要点。</w:t>
      </w:r>
    </w:p>
    <w:p w14:paraId="52D2BDDB" w14:textId="77777777" w:rsidR="00F5289E" w:rsidRDefault="00C91173">
      <w:pPr>
        <w:spacing w:line="360" w:lineRule="auto"/>
        <w:rPr>
          <w:rFonts w:ascii="宋体" w:hAnsi="宋体"/>
          <w:b/>
          <w:szCs w:val="21"/>
        </w:rPr>
      </w:pPr>
      <w:r>
        <w:rPr>
          <w:rFonts w:ascii="宋体" w:hAnsi="宋体" w:hint="eastAsia"/>
          <w:b/>
          <w:szCs w:val="21"/>
        </w:rPr>
        <w:t>（二）考核内容</w:t>
      </w:r>
    </w:p>
    <w:p w14:paraId="79CA4C14" w14:textId="77777777" w:rsidR="00F5289E" w:rsidRDefault="00C91173">
      <w:pPr>
        <w:spacing w:line="360" w:lineRule="auto"/>
        <w:ind w:firstLineChars="200" w:firstLine="420"/>
        <w:rPr>
          <w:rFonts w:ascii="宋体" w:hAnsi="宋体"/>
          <w:szCs w:val="21"/>
        </w:rPr>
      </w:pPr>
      <w:r>
        <w:rPr>
          <w:rFonts w:ascii="宋体" w:hAnsi="宋体" w:hint="eastAsia"/>
          <w:szCs w:val="21"/>
        </w:rPr>
        <w:t>1. 韭菜植物学特征，分蘖、跳根现象。</w:t>
      </w:r>
    </w:p>
    <w:p w14:paraId="60D58D14" w14:textId="77777777" w:rsidR="00F5289E" w:rsidRDefault="00C91173">
      <w:pPr>
        <w:spacing w:line="360" w:lineRule="auto"/>
        <w:ind w:firstLineChars="200" w:firstLine="420"/>
        <w:rPr>
          <w:rFonts w:ascii="宋体" w:hAnsi="宋体"/>
          <w:szCs w:val="21"/>
        </w:rPr>
      </w:pPr>
      <w:r>
        <w:rPr>
          <w:rFonts w:ascii="宋体" w:hAnsi="宋体" w:hint="eastAsia"/>
          <w:szCs w:val="21"/>
        </w:rPr>
        <w:t>2. 韭菜根茎休眠特点，不同品种类型的设施栽培适应性。</w:t>
      </w:r>
    </w:p>
    <w:p w14:paraId="7B92352B" w14:textId="77777777" w:rsidR="00F5289E" w:rsidRDefault="00C91173">
      <w:pPr>
        <w:spacing w:line="360" w:lineRule="auto"/>
        <w:ind w:firstLineChars="200" w:firstLine="420"/>
        <w:rPr>
          <w:rFonts w:ascii="宋体" w:hAnsi="宋体"/>
          <w:szCs w:val="21"/>
        </w:rPr>
      </w:pPr>
      <w:r>
        <w:rPr>
          <w:rFonts w:ascii="宋体" w:hAnsi="宋体" w:hint="eastAsia"/>
          <w:szCs w:val="21"/>
        </w:rPr>
        <w:t>3. 韭菜设施栽培管理技术，如品种选用、茬口安排、栽培季节、栽培管理、病虫防治、采收贮运等关键技术。</w:t>
      </w:r>
    </w:p>
    <w:p w14:paraId="330EAAF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4C1480D" w14:textId="77777777" w:rsidR="00F5289E" w:rsidRDefault="00C91173">
      <w:pPr>
        <w:spacing w:line="360" w:lineRule="auto"/>
        <w:ind w:firstLineChars="200" w:firstLine="420"/>
        <w:rPr>
          <w:rFonts w:ascii="宋体" w:hAnsi="宋体"/>
          <w:szCs w:val="21"/>
        </w:rPr>
      </w:pPr>
      <w:r>
        <w:rPr>
          <w:rFonts w:ascii="宋体" w:hAnsi="宋体" w:hint="eastAsia"/>
          <w:szCs w:val="21"/>
        </w:rPr>
        <w:t>1. 识记: 韭菜分蘖、跳根、休眠特性有关概念。</w:t>
      </w:r>
    </w:p>
    <w:p w14:paraId="15F60CC4" w14:textId="77777777" w:rsidR="00F5289E" w:rsidRDefault="00C91173">
      <w:pPr>
        <w:spacing w:line="360" w:lineRule="auto"/>
        <w:ind w:firstLineChars="200" w:firstLine="420"/>
        <w:rPr>
          <w:rFonts w:ascii="宋体" w:hAnsi="宋体"/>
          <w:szCs w:val="21"/>
        </w:rPr>
      </w:pPr>
      <w:r>
        <w:rPr>
          <w:rFonts w:ascii="宋体" w:hAnsi="宋体" w:hint="eastAsia"/>
          <w:szCs w:val="21"/>
        </w:rPr>
        <w:t>2. 领会: 韭菜栽培生物学特性，如植物学特性，生长发育过程，对环境条件要求等。</w:t>
      </w:r>
    </w:p>
    <w:p w14:paraId="1B548037" w14:textId="77777777" w:rsidR="00F5289E" w:rsidRDefault="00C91173">
      <w:pPr>
        <w:spacing w:line="360" w:lineRule="auto"/>
        <w:ind w:firstLineChars="200" w:firstLine="420"/>
        <w:rPr>
          <w:rFonts w:ascii="宋体" w:hAnsi="宋体"/>
          <w:szCs w:val="21"/>
        </w:rPr>
      </w:pPr>
      <w:r>
        <w:rPr>
          <w:rFonts w:ascii="宋体" w:hAnsi="宋体" w:hint="eastAsia"/>
          <w:szCs w:val="21"/>
        </w:rPr>
        <w:t>3. 简单应用: 韭菜设施栽培技术。</w:t>
      </w:r>
    </w:p>
    <w:p w14:paraId="13C77CA0"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4. 分析：我国生产韭黄的最适宜地区在哪里？</w:t>
      </w:r>
    </w:p>
    <w:p w14:paraId="6704B3E7"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综合应用: 设施韭菜高产优质、高效栽培关键技术。</w:t>
      </w:r>
    </w:p>
    <w:p w14:paraId="3A76A472"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6.评价：韭蛆绿色防控技术比较</w:t>
      </w:r>
    </w:p>
    <w:p w14:paraId="748F8918" w14:textId="77777777" w:rsidR="00F5289E" w:rsidRDefault="00F5289E">
      <w:pPr>
        <w:spacing w:line="360" w:lineRule="auto"/>
        <w:ind w:firstLineChars="200" w:firstLine="420"/>
        <w:rPr>
          <w:rFonts w:ascii="宋体" w:hAnsi="宋体"/>
          <w:color w:val="FF0000"/>
          <w:szCs w:val="21"/>
        </w:rPr>
      </w:pPr>
    </w:p>
    <w:p w14:paraId="418B5C33" w14:textId="77777777" w:rsidR="00F5289E" w:rsidRDefault="00C91173">
      <w:pPr>
        <w:spacing w:line="360" w:lineRule="auto"/>
        <w:ind w:firstLineChars="1468" w:firstLine="3095"/>
        <w:rPr>
          <w:rFonts w:ascii="宋体" w:hAnsi="宋体" w:cs="宋体"/>
          <w:b/>
          <w:bCs/>
          <w:kern w:val="0"/>
          <w:szCs w:val="21"/>
        </w:rPr>
      </w:pPr>
      <w:r>
        <w:rPr>
          <w:rFonts w:ascii="宋体" w:hAnsi="宋体" w:cs="宋体" w:hint="eastAsia"/>
          <w:b/>
          <w:bCs/>
          <w:kern w:val="0"/>
          <w:szCs w:val="21"/>
        </w:rPr>
        <w:t>第九章  设施绿叶蔬菜栽培</w:t>
      </w:r>
    </w:p>
    <w:p w14:paraId="1A5CDB62" w14:textId="77777777" w:rsidR="00F5289E" w:rsidRDefault="00C91173">
      <w:pPr>
        <w:spacing w:line="360" w:lineRule="auto"/>
        <w:rPr>
          <w:rFonts w:ascii="宋体" w:hAnsi="宋体"/>
          <w:b/>
          <w:szCs w:val="21"/>
        </w:rPr>
      </w:pPr>
      <w:r>
        <w:rPr>
          <w:rFonts w:ascii="宋体" w:hAnsi="宋体" w:hint="eastAsia"/>
          <w:b/>
          <w:szCs w:val="21"/>
        </w:rPr>
        <w:t>（一）学习目标</w:t>
      </w:r>
    </w:p>
    <w:p w14:paraId="775903AF"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w:t>
      </w:r>
      <w:r>
        <w:rPr>
          <w:rFonts w:hint="eastAsia"/>
          <w:szCs w:val="21"/>
        </w:rPr>
        <w:t xml:space="preserve"> </w:t>
      </w:r>
      <w:r>
        <w:rPr>
          <w:rFonts w:ascii="宋体" w:hAnsi="宋体" w:hint="eastAsia"/>
          <w:szCs w:val="21"/>
        </w:rPr>
        <w:t>绿叶类蔬菜、营养价值特点、在周年供应中的地位。</w:t>
      </w:r>
    </w:p>
    <w:p w14:paraId="2CEF3C8C"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w:t>
      </w:r>
      <w:r>
        <w:rPr>
          <w:rFonts w:hint="eastAsia"/>
          <w:szCs w:val="21"/>
        </w:rPr>
        <w:t xml:space="preserve"> </w:t>
      </w:r>
      <w:r>
        <w:rPr>
          <w:rFonts w:ascii="宋体" w:hAnsi="宋体" w:hint="eastAsia"/>
          <w:szCs w:val="21"/>
        </w:rPr>
        <w:t>绿叶类蔬菜的生物学特性，不同生育阶段的特点及对栽培技术的要求，设施栽培的主要种类与茬次。</w:t>
      </w:r>
    </w:p>
    <w:p w14:paraId="70F296F4"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 ;芹菜、生菜设施主栽茬次栽培技术。</w:t>
      </w:r>
    </w:p>
    <w:p w14:paraId="25961583" w14:textId="77777777" w:rsidR="00F5289E" w:rsidRDefault="00C91173">
      <w:pPr>
        <w:spacing w:line="360" w:lineRule="auto"/>
        <w:rPr>
          <w:rFonts w:ascii="宋体" w:hAnsi="宋体"/>
          <w:b/>
          <w:szCs w:val="21"/>
        </w:rPr>
      </w:pPr>
      <w:r>
        <w:rPr>
          <w:rFonts w:ascii="宋体" w:hAnsi="宋体" w:hint="eastAsia"/>
          <w:b/>
          <w:szCs w:val="21"/>
        </w:rPr>
        <w:t>（二）考核内容</w:t>
      </w:r>
    </w:p>
    <w:p w14:paraId="09C41AA2" w14:textId="77777777" w:rsidR="00F5289E" w:rsidRDefault="00C91173">
      <w:pPr>
        <w:spacing w:line="360" w:lineRule="auto"/>
        <w:ind w:firstLineChars="200" w:firstLine="420"/>
        <w:rPr>
          <w:rFonts w:ascii="宋体" w:hAnsi="宋体"/>
          <w:szCs w:val="21"/>
        </w:rPr>
      </w:pPr>
      <w:r>
        <w:rPr>
          <w:rFonts w:ascii="宋体" w:hAnsi="宋体" w:hint="eastAsia"/>
          <w:szCs w:val="21"/>
        </w:rPr>
        <w:t>1. 芹菜、生菜的植物学特性，生长发育过程，对环境条件要求等。</w:t>
      </w:r>
    </w:p>
    <w:p w14:paraId="433E7CBD" w14:textId="77777777" w:rsidR="00F5289E" w:rsidRDefault="00C91173">
      <w:pPr>
        <w:spacing w:line="360" w:lineRule="auto"/>
        <w:ind w:firstLineChars="200" w:firstLine="420"/>
        <w:rPr>
          <w:rFonts w:ascii="宋体" w:hAnsi="宋体"/>
          <w:szCs w:val="21"/>
        </w:rPr>
      </w:pPr>
      <w:r>
        <w:rPr>
          <w:rFonts w:ascii="宋体" w:hAnsi="宋体" w:hint="eastAsia"/>
          <w:szCs w:val="21"/>
        </w:rPr>
        <w:t>2. 芹菜、生菜的栽培管理技术，如品种选用、茬口安排、栽培季节、栽培管理、病虫防治、采收贮运等关键技术。</w:t>
      </w:r>
    </w:p>
    <w:p w14:paraId="4F4427D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4BA34E3" w14:textId="77777777" w:rsidR="00F5289E" w:rsidRDefault="00C91173">
      <w:pPr>
        <w:spacing w:line="360" w:lineRule="auto"/>
        <w:ind w:firstLineChars="200" w:firstLine="420"/>
        <w:rPr>
          <w:rFonts w:ascii="宋体" w:hAnsi="宋体"/>
          <w:szCs w:val="21"/>
        </w:rPr>
      </w:pPr>
      <w:r>
        <w:rPr>
          <w:rFonts w:ascii="宋体" w:hAnsi="宋体" w:hint="eastAsia"/>
          <w:szCs w:val="21"/>
        </w:rPr>
        <w:lastRenderedPageBreak/>
        <w:t>1. 识记: 绿叶类蔬菜所包括的主要种类和品种。</w:t>
      </w:r>
    </w:p>
    <w:p w14:paraId="768B95A5" w14:textId="77777777" w:rsidR="00F5289E" w:rsidRDefault="00C91173">
      <w:pPr>
        <w:spacing w:line="360" w:lineRule="auto"/>
        <w:ind w:firstLineChars="200" w:firstLine="420"/>
        <w:rPr>
          <w:rFonts w:ascii="宋体" w:hAnsi="宋体"/>
          <w:szCs w:val="21"/>
        </w:rPr>
      </w:pPr>
      <w:r>
        <w:rPr>
          <w:rFonts w:ascii="宋体" w:hAnsi="宋体" w:hint="eastAsia"/>
          <w:szCs w:val="21"/>
        </w:rPr>
        <w:t>2. 领会: 芹菜、生菜生物学特性对栽培技术的要求。</w:t>
      </w:r>
    </w:p>
    <w:p w14:paraId="63F8C916" w14:textId="77777777" w:rsidR="00F5289E" w:rsidRDefault="00C91173">
      <w:pPr>
        <w:spacing w:line="360" w:lineRule="auto"/>
        <w:ind w:firstLineChars="200" w:firstLine="420"/>
        <w:rPr>
          <w:rFonts w:ascii="宋体" w:hAnsi="宋体"/>
          <w:szCs w:val="21"/>
        </w:rPr>
      </w:pPr>
      <w:r>
        <w:rPr>
          <w:rFonts w:ascii="宋体" w:hAnsi="宋体" w:hint="eastAsia"/>
          <w:szCs w:val="21"/>
        </w:rPr>
        <w:t>3. 简单应用: 芹菜、生菜设施栽培技术。</w:t>
      </w:r>
    </w:p>
    <w:p w14:paraId="5A472B6E"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4. 分析：提高夏季生产喜欢冷凉绿叶蔬菜的技术措施。</w:t>
      </w:r>
    </w:p>
    <w:p w14:paraId="7759FE03"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综合应用: 芹菜、生菜高产、优质周年栽培关键技术。</w:t>
      </w:r>
    </w:p>
    <w:p w14:paraId="5272BE3D"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6.评价：比较设施栽培和异地栽培进行夏季喜冷凉绿叶蔬菜栽培的优势和劣势。</w:t>
      </w:r>
    </w:p>
    <w:p w14:paraId="16F8FB76" w14:textId="77777777" w:rsidR="00F5289E" w:rsidRDefault="00F5289E">
      <w:pPr>
        <w:spacing w:line="360" w:lineRule="auto"/>
        <w:ind w:firstLineChars="200" w:firstLine="420"/>
        <w:rPr>
          <w:rFonts w:ascii="宋体" w:hAnsi="宋体"/>
          <w:color w:val="000000"/>
          <w:szCs w:val="21"/>
        </w:rPr>
      </w:pPr>
    </w:p>
    <w:p w14:paraId="68D3946A" w14:textId="77777777" w:rsidR="00F5289E" w:rsidRDefault="00C91173">
      <w:pPr>
        <w:adjustRightInd w:val="0"/>
        <w:snapToGrid w:val="0"/>
        <w:spacing w:beforeLines="50" w:before="156" w:afterLines="50" w:after="156" w:line="360" w:lineRule="auto"/>
        <w:ind w:firstLineChars="1323" w:firstLine="2789"/>
        <w:rPr>
          <w:rFonts w:ascii="宋体" w:hAnsi="宋体" w:cs="宋体"/>
          <w:b/>
          <w:bCs/>
          <w:kern w:val="0"/>
          <w:szCs w:val="21"/>
        </w:rPr>
      </w:pPr>
      <w:r>
        <w:rPr>
          <w:rFonts w:ascii="宋体" w:hAnsi="宋体" w:cs="宋体" w:hint="eastAsia"/>
          <w:b/>
          <w:bCs/>
          <w:kern w:val="0"/>
          <w:szCs w:val="21"/>
        </w:rPr>
        <w:t>第十章  设施白菜类</w:t>
      </w:r>
      <w:r>
        <w:rPr>
          <w:rFonts w:ascii="宋体" w:hAnsi="宋体" w:cs="宋体"/>
          <w:b/>
          <w:bCs/>
          <w:kern w:val="0"/>
          <w:szCs w:val="21"/>
        </w:rPr>
        <w:t>蔬菜</w:t>
      </w:r>
      <w:r>
        <w:rPr>
          <w:rFonts w:ascii="宋体" w:hAnsi="宋体" w:cs="宋体" w:hint="eastAsia"/>
          <w:b/>
          <w:bCs/>
          <w:kern w:val="0"/>
          <w:szCs w:val="21"/>
        </w:rPr>
        <w:t>栽培</w:t>
      </w:r>
    </w:p>
    <w:p w14:paraId="17F18957" w14:textId="77777777" w:rsidR="00F5289E" w:rsidRDefault="00C91173">
      <w:pPr>
        <w:spacing w:line="360" w:lineRule="auto"/>
        <w:rPr>
          <w:rFonts w:ascii="宋体" w:hAnsi="宋体"/>
          <w:b/>
          <w:szCs w:val="21"/>
        </w:rPr>
      </w:pPr>
      <w:r>
        <w:rPr>
          <w:rFonts w:ascii="宋体" w:hAnsi="宋体" w:hint="eastAsia"/>
          <w:b/>
          <w:szCs w:val="21"/>
        </w:rPr>
        <w:t>（一）学习目标</w:t>
      </w:r>
    </w:p>
    <w:p w14:paraId="282E987D" w14:textId="77777777" w:rsidR="00F5289E" w:rsidRDefault="00C91173">
      <w:pPr>
        <w:spacing w:line="360" w:lineRule="auto"/>
        <w:ind w:firstLineChars="200" w:firstLine="420"/>
        <w:rPr>
          <w:rFonts w:ascii="宋体" w:hAnsi="宋体"/>
          <w:szCs w:val="21"/>
        </w:rPr>
      </w:pPr>
      <w:r>
        <w:rPr>
          <w:rFonts w:ascii="宋体" w:hAnsi="宋体" w:hint="eastAsia"/>
          <w:szCs w:val="21"/>
        </w:rPr>
        <w:t>1. 一般了解:主要白菜类蔬菜起源与栽培历史，在周年供应中的地位。</w:t>
      </w:r>
    </w:p>
    <w:p w14:paraId="1E9CAAA2" w14:textId="77777777" w:rsidR="00F5289E" w:rsidRDefault="00C91173">
      <w:pPr>
        <w:spacing w:line="360" w:lineRule="auto"/>
        <w:ind w:firstLineChars="200" w:firstLine="420"/>
        <w:rPr>
          <w:rFonts w:ascii="宋体" w:hAnsi="宋体"/>
          <w:szCs w:val="21"/>
        </w:rPr>
      </w:pPr>
      <w:r>
        <w:rPr>
          <w:rFonts w:ascii="宋体" w:hAnsi="宋体" w:hint="eastAsia"/>
          <w:szCs w:val="21"/>
        </w:rPr>
        <w:t>2. 一般掌握: 大白菜、结球甘蓝主要品种特性、生育期划分、不同生育阶段的特点。</w:t>
      </w:r>
    </w:p>
    <w:p w14:paraId="7B4ADDAB" w14:textId="77777777" w:rsidR="00F5289E" w:rsidRDefault="00C91173">
      <w:pPr>
        <w:spacing w:line="360" w:lineRule="auto"/>
        <w:ind w:firstLineChars="200" w:firstLine="420"/>
        <w:rPr>
          <w:rFonts w:ascii="宋体" w:hAnsi="宋体"/>
          <w:szCs w:val="21"/>
        </w:rPr>
      </w:pPr>
      <w:r>
        <w:rPr>
          <w:rFonts w:ascii="宋体" w:hAnsi="宋体" w:hint="eastAsia"/>
          <w:szCs w:val="21"/>
        </w:rPr>
        <w:t>3. 熟练掌握:设施春茬大白菜、结球甘蓝的栽培技术。</w:t>
      </w:r>
    </w:p>
    <w:p w14:paraId="0226DAA4" w14:textId="77777777" w:rsidR="00F5289E" w:rsidRDefault="00C91173">
      <w:pPr>
        <w:spacing w:line="360" w:lineRule="auto"/>
        <w:rPr>
          <w:rFonts w:ascii="宋体" w:hAnsi="宋体"/>
          <w:b/>
          <w:szCs w:val="21"/>
        </w:rPr>
      </w:pPr>
      <w:r>
        <w:rPr>
          <w:rFonts w:ascii="宋体" w:hAnsi="宋体" w:hint="eastAsia"/>
          <w:b/>
          <w:szCs w:val="21"/>
        </w:rPr>
        <w:t>（二）考核内容</w:t>
      </w:r>
    </w:p>
    <w:p w14:paraId="279E8040" w14:textId="77777777" w:rsidR="00F5289E" w:rsidRDefault="00C91173">
      <w:pPr>
        <w:spacing w:line="360" w:lineRule="auto"/>
        <w:ind w:firstLineChars="200" w:firstLine="420"/>
        <w:rPr>
          <w:rFonts w:ascii="宋体" w:hAnsi="宋体"/>
          <w:szCs w:val="21"/>
        </w:rPr>
      </w:pPr>
      <w:r>
        <w:rPr>
          <w:rFonts w:ascii="宋体" w:hAnsi="宋体" w:hint="eastAsia"/>
          <w:szCs w:val="21"/>
        </w:rPr>
        <w:t>1. 大白菜、结球甘蓝的植物学特性，生长发育过程，对环境条件要求。</w:t>
      </w:r>
    </w:p>
    <w:p w14:paraId="06AAD359" w14:textId="77777777" w:rsidR="00F5289E" w:rsidRDefault="00C91173">
      <w:pPr>
        <w:spacing w:line="360" w:lineRule="auto"/>
        <w:ind w:firstLineChars="200" w:firstLine="420"/>
        <w:rPr>
          <w:rFonts w:ascii="宋体" w:hAnsi="宋体"/>
          <w:szCs w:val="21"/>
        </w:rPr>
      </w:pPr>
      <w:r>
        <w:rPr>
          <w:rFonts w:ascii="宋体" w:hAnsi="宋体" w:hint="eastAsia"/>
          <w:szCs w:val="21"/>
        </w:rPr>
        <w:t>2. 大白菜、结球甘蓝春化类型，防治“未熟抽苔”的措施。</w:t>
      </w:r>
    </w:p>
    <w:p w14:paraId="627ABB5F" w14:textId="77777777" w:rsidR="00F5289E" w:rsidRDefault="00C91173">
      <w:pPr>
        <w:spacing w:line="360" w:lineRule="auto"/>
        <w:ind w:firstLineChars="200" w:firstLine="420"/>
        <w:rPr>
          <w:rFonts w:ascii="宋体" w:hAnsi="宋体"/>
          <w:szCs w:val="21"/>
        </w:rPr>
      </w:pPr>
      <w:r>
        <w:rPr>
          <w:rFonts w:ascii="宋体" w:hAnsi="宋体" w:hint="eastAsia"/>
          <w:szCs w:val="21"/>
        </w:rPr>
        <w:t>2. 大白菜、结球甘蓝栽培管理技术要点。</w:t>
      </w:r>
    </w:p>
    <w:p w14:paraId="197314A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EEB84FB" w14:textId="77777777" w:rsidR="00F5289E" w:rsidRDefault="00C91173">
      <w:pPr>
        <w:spacing w:line="360" w:lineRule="auto"/>
        <w:ind w:firstLineChars="200" w:firstLine="420"/>
        <w:rPr>
          <w:rFonts w:ascii="宋体" w:hAnsi="宋体"/>
          <w:szCs w:val="21"/>
        </w:rPr>
      </w:pPr>
      <w:r>
        <w:rPr>
          <w:rFonts w:ascii="宋体" w:hAnsi="宋体" w:hint="eastAsia"/>
          <w:szCs w:val="21"/>
        </w:rPr>
        <w:t>1. 识记: 白菜类蔬菜所包括的主要种类和品种。</w:t>
      </w:r>
    </w:p>
    <w:p w14:paraId="5C59943B" w14:textId="77777777" w:rsidR="00F5289E" w:rsidRDefault="00C91173">
      <w:pPr>
        <w:spacing w:line="360" w:lineRule="auto"/>
        <w:ind w:firstLineChars="200" w:firstLine="420"/>
        <w:rPr>
          <w:rFonts w:ascii="宋体" w:hAnsi="宋体"/>
          <w:szCs w:val="21"/>
        </w:rPr>
      </w:pPr>
      <w:r>
        <w:rPr>
          <w:rFonts w:ascii="宋体" w:hAnsi="宋体" w:hint="eastAsia"/>
          <w:szCs w:val="21"/>
        </w:rPr>
        <w:t>2. 领会: 大白菜、结球甘蓝“未熟抽苔”的原因。</w:t>
      </w:r>
    </w:p>
    <w:p w14:paraId="73988FCB" w14:textId="77777777" w:rsidR="00F5289E" w:rsidRDefault="00C91173">
      <w:pPr>
        <w:spacing w:line="360" w:lineRule="auto"/>
        <w:ind w:firstLineChars="200" w:firstLine="420"/>
        <w:rPr>
          <w:rFonts w:ascii="宋体" w:hAnsi="宋体"/>
          <w:szCs w:val="21"/>
        </w:rPr>
      </w:pPr>
      <w:r>
        <w:rPr>
          <w:rFonts w:ascii="宋体" w:hAnsi="宋体" w:hint="eastAsia"/>
          <w:szCs w:val="21"/>
        </w:rPr>
        <w:t>3. 应用: 大白菜、结球甘蓝设施春茬栽培技术。</w:t>
      </w:r>
    </w:p>
    <w:p w14:paraId="3ED16252"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4. 分析：北纬30</w:t>
      </w:r>
      <w:r>
        <w:rPr>
          <w:rFonts w:ascii="宋体" w:hAnsi="宋体" w:hint="eastAsia"/>
          <w:color w:val="000000"/>
          <w:szCs w:val="21"/>
          <w:vertAlign w:val="superscript"/>
        </w:rPr>
        <w:t>。</w:t>
      </w:r>
      <w:r>
        <w:rPr>
          <w:rFonts w:ascii="宋体" w:hAnsi="宋体" w:hint="eastAsia"/>
          <w:color w:val="000000"/>
          <w:szCs w:val="21"/>
        </w:rPr>
        <w:t>地区夏季大白菜种植成功的原因；我国应如何开展夏季大白菜“适地栽培”？</w:t>
      </w:r>
    </w:p>
    <w:p w14:paraId="01B5BC22" w14:textId="77777777" w:rsidR="00F5289E" w:rsidRDefault="00C91173">
      <w:pPr>
        <w:spacing w:line="360" w:lineRule="auto"/>
        <w:ind w:firstLineChars="200" w:firstLine="420"/>
        <w:rPr>
          <w:rFonts w:ascii="宋体" w:hAnsi="宋体"/>
          <w:color w:val="000000"/>
          <w:szCs w:val="21"/>
        </w:rPr>
      </w:pPr>
      <w:r>
        <w:rPr>
          <w:rFonts w:ascii="宋体" w:hAnsi="宋体" w:hint="eastAsia"/>
          <w:color w:val="000000"/>
          <w:szCs w:val="21"/>
        </w:rPr>
        <w:t>5. 综合: 大白菜、结球甘蓝春季提前、秋季延后及夏季栽培关键技术。</w:t>
      </w:r>
    </w:p>
    <w:p w14:paraId="33FF1DBF" w14:textId="77777777" w:rsidR="00F5289E" w:rsidRDefault="00C91173">
      <w:pPr>
        <w:snapToGrid w:val="0"/>
        <w:spacing w:beforeLines="50" w:before="156" w:afterLines="50" w:after="156" w:line="360" w:lineRule="auto"/>
        <w:rPr>
          <w:rFonts w:ascii="宋体" w:hAnsi="宋体"/>
          <w:szCs w:val="21"/>
        </w:rPr>
      </w:pPr>
      <w:r>
        <w:rPr>
          <w:rFonts w:ascii="宋体" w:hAnsi="宋体" w:hint="eastAsia"/>
          <w:color w:val="000000"/>
          <w:szCs w:val="21"/>
        </w:rPr>
        <w:t>6. 评价：不同设施进行春季大白菜、结球甘蓝生产的优势。</w:t>
      </w:r>
    </w:p>
    <w:p w14:paraId="5D250779"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三、实验、实习教学部分的考核要求</w:t>
      </w:r>
    </w:p>
    <w:p w14:paraId="709C8AB1"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t>1. 熟练掌握主要蔬菜种子播前处理、播种、育苗和嫁接育苗的方法；</w:t>
      </w:r>
    </w:p>
    <w:p w14:paraId="40818B0E"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t>2. 掌握设施蔬菜</w:t>
      </w:r>
      <w:r>
        <w:rPr>
          <w:rFonts w:ascii="宋体" w:hAnsi="宋体" w:hint="eastAsia"/>
          <w:szCs w:val="21"/>
        </w:rPr>
        <w:t>整地、做垄、定植的方法；</w:t>
      </w:r>
    </w:p>
    <w:p w14:paraId="44C08183"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t>3. 掌握设施蔬菜植株调整、化学调控和精确灌溉施肥的方法；</w:t>
      </w:r>
    </w:p>
    <w:p w14:paraId="283547DF"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t>4. 掌握蔬菜产品营养品质分析和植株营养诊断分析化验的方法；</w:t>
      </w:r>
    </w:p>
    <w:p w14:paraId="1F130237"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lastRenderedPageBreak/>
        <w:t>5. 了解蔬菜种植园、蔬菜生产基地的构成要素；了解蔬菜生产经营过程，掌握生产方案制定，用工估算和人员编制、生产成本概算、经济效益评价的方法；熟悉生产资料购进和产品销售渠道环节。</w:t>
      </w:r>
    </w:p>
    <w:p w14:paraId="3748C768"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四、考核方式</w:t>
      </w:r>
    </w:p>
    <w:p w14:paraId="7E16A8EF" w14:textId="77777777" w:rsidR="00F5289E" w:rsidRDefault="00C91173">
      <w:pPr>
        <w:snapToGrid w:val="0"/>
        <w:spacing w:line="360" w:lineRule="auto"/>
        <w:ind w:firstLineChars="200" w:firstLine="420"/>
        <w:rPr>
          <w:color w:val="353535"/>
          <w:kern w:val="0"/>
          <w:szCs w:val="21"/>
        </w:rPr>
      </w:pPr>
      <w:r>
        <w:rPr>
          <w:color w:val="000000"/>
          <w:szCs w:val="21"/>
        </w:rPr>
        <w:t>过程性考核评价</w:t>
      </w:r>
      <w:r>
        <w:rPr>
          <w:rFonts w:hint="eastAsia"/>
          <w:color w:val="000000"/>
          <w:szCs w:val="21"/>
        </w:rPr>
        <w:t>包括：</w:t>
      </w:r>
      <w:r>
        <w:rPr>
          <w:color w:val="000000"/>
          <w:szCs w:val="21"/>
        </w:rPr>
        <w:t>线上平台</w:t>
      </w:r>
      <w:r>
        <w:rPr>
          <w:rFonts w:hint="eastAsia"/>
          <w:color w:val="000000"/>
          <w:szCs w:val="21"/>
        </w:rPr>
        <w:t>考核、</w:t>
      </w:r>
      <w:r>
        <w:rPr>
          <w:color w:val="353535"/>
          <w:kern w:val="0"/>
          <w:szCs w:val="21"/>
        </w:rPr>
        <w:t>考勤、作业、阶段测评及讨论等环节行评价</w:t>
      </w:r>
      <w:r>
        <w:rPr>
          <w:rFonts w:hint="eastAsia"/>
          <w:color w:val="353535"/>
          <w:kern w:val="0"/>
          <w:szCs w:val="21"/>
        </w:rPr>
        <w:t>；线下包括</w:t>
      </w:r>
      <w:r>
        <w:rPr>
          <w:color w:val="353535"/>
          <w:kern w:val="0"/>
          <w:szCs w:val="21"/>
        </w:rPr>
        <w:t>课堂表现</w:t>
      </w:r>
      <w:r>
        <w:rPr>
          <w:rFonts w:hint="eastAsia"/>
          <w:color w:val="353535"/>
          <w:kern w:val="0"/>
          <w:szCs w:val="21"/>
        </w:rPr>
        <w:t>，过程性实验报告（学生试验设计以及对实践环节中发现的问题进行分析和解决情况）和实习报告（小组撰写报告并进行课堂展示），</w:t>
      </w:r>
      <w:r>
        <w:rPr>
          <w:color w:val="000000"/>
          <w:szCs w:val="21"/>
        </w:rPr>
        <w:t>理论教学内容的考试方式为笔试、闭卷，考试时间为</w:t>
      </w:r>
      <w:r>
        <w:rPr>
          <w:color w:val="000000"/>
          <w:szCs w:val="21"/>
        </w:rPr>
        <w:t>100</w:t>
      </w:r>
      <w:r>
        <w:rPr>
          <w:color w:val="000000"/>
          <w:szCs w:val="21"/>
        </w:rPr>
        <w:t>分钟</w:t>
      </w:r>
      <w:r>
        <w:rPr>
          <w:rFonts w:hint="eastAsia"/>
          <w:color w:val="000000"/>
          <w:szCs w:val="21"/>
        </w:rPr>
        <w:t>，结合实践教学环节增加开放性试题的比例。</w:t>
      </w:r>
      <w:r>
        <w:rPr>
          <w:color w:val="353535"/>
          <w:kern w:val="0"/>
          <w:szCs w:val="21"/>
        </w:rPr>
        <w:t xml:space="preserve"> </w:t>
      </w:r>
    </w:p>
    <w:p w14:paraId="465BD5F4"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五、成绩评定</w:t>
      </w:r>
    </w:p>
    <w:p w14:paraId="4C2BD8A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w:t>
      </w:r>
      <w:r>
        <w:rPr>
          <w:rFonts w:ascii="宋体" w:hAnsi="宋体"/>
          <w:szCs w:val="21"/>
        </w:rPr>
        <w:t xml:space="preserve">. </w:t>
      </w:r>
      <w:r>
        <w:rPr>
          <w:rFonts w:ascii="宋体" w:hAnsi="宋体" w:hint="eastAsia"/>
          <w:szCs w:val="21"/>
        </w:rPr>
        <w:t>平时成绩。采用过程性评价，线上评价包括对</w:t>
      </w:r>
      <w:r>
        <w:rPr>
          <w:rFonts w:ascii="宋体" w:hAnsi="宋体" w:cs="DengXian" w:hint="eastAsia"/>
          <w:color w:val="353535"/>
          <w:kern w:val="0"/>
          <w:szCs w:val="21"/>
        </w:rPr>
        <w:t>课程学习、考勤、作业、阶段测评、及讨论等环节的评价，线下评价包括学生在课堂及实践中的表现，过程性实验报告等，占总成绩的4</w:t>
      </w:r>
      <w:r>
        <w:rPr>
          <w:rFonts w:ascii="宋体" w:hAnsi="宋体" w:cs="DengXian"/>
          <w:color w:val="353535"/>
          <w:kern w:val="0"/>
          <w:szCs w:val="21"/>
        </w:rPr>
        <w:t>0</w:t>
      </w:r>
      <w:r>
        <w:rPr>
          <w:rFonts w:ascii="宋体" w:hAnsi="宋体" w:cs="DengXian" w:hint="eastAsia"/>
          <w:color w:val="353535"/>
          <w:kern w:val="0"/>
          <w:szCs w:val="21"/>
        </w:rPr>
        <w:t>%。</w:t>
      </w:r>
    </w:p>
    <w:p w14:paraId="4923E898"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期末成绩。闭卷考试，占6</w:t>
      </w:r>
      <w:r>
        <w:rPr>
          <w:rFonts w:ascii="宋体" w:hAnsi="宋体"/>
          <w:szCs w:val="21"/>
        </w:rPr>
        <w:t>0</w:t>
      </w:r>
      <w:r>
        <w:rPr>
          <w:rFonts w:ascii="宋体" w:hAnsi="宋体" w:hint="eastAsia"/>
          <w:szCs w:val="21"/>
        </w:rPr>
        <w:t>%。</w:t>
      </w:r>
      <w:r>
        <w:rPr>
          <w:rFonts w:ascii="宋体" w:hAnsi="宋体"/>
          <w:szCs w:val="21"/>
        </w:rPr>
        <w:t xml:space="preserve"> </w:t>
      </w:r>
    </w:p>
    <w:p w14:paraId="019EEC35" w14:textId="77777777" w:rsidR="00F5289E" w:rsidRDefault="00C91173">
      <w:pPr>
        <w:snapToGrid w:val="0"/>
        <w:spacing w:line="360" w:lineRule="auto"/>
        <w:ind w:firstLineChars="200" w:firstLine="420"/>
        <w:rPr>
          <w:rFonts w:ascii="宋体" w:hAnsi="宋体"/>
          <w:szCs w:val="21"/>
        </w:rPr>
      </w:pPr>
      <w:r>
        <w:rPr>
          <w:rFonts w:ascii="宋体" w:hAnsi="宋体"/>
          <w:szCs w:val="21"/>
        </w:rPr>
        <w:t xml:space="preserve">3. </w:t>
      </w:r>
      <w:r>
        <w:rPr>
          <w:rFonts w:ascii="宋体" w:hAnsi="宋体" w:hint="eastAsia"/>
          <w:szCs w:val="21"/>
        </w:rPr>
        <w:t>综合成绩。平时成绩×</w:t>
      </w:r>
      <w:r>
        <w:rPr>
          <w:rFonts w:ascii="宋体" w:hAnsi="宋体"/>
          <w:szCs w:val="21"/>
        </w:rPr>
        <w:t>4</w:t>
      </w:r>
      <w:r>
        <w:rPr>
          <w:rFonts w:ascii="宋体" w:hAnsi="宋体" w:hint="eastAsia"/>
          <w:szCs w:val="21"/>
        </w:rPr>
        <w:t>0%+期末成绩×</w:t>
      </w:r>
      <w:r>
        <w:rPr>
          <w:rFonts w:ascii="宋体" w:hAnsi="宋体"/>
          <w:szCs w:val="21"/>
        </w:rPr>
        <w:t>6</w:t>
      </w:r>
      <w:r>
        <w:rPr>
          <w:rFonts w:ascii="宋体" w:hAnsi="宋体" w:hint="eastAsia"/>
          <w:szCs w:val="21"/>
        </w:rPr>
        <w:t>0%。</w:t>
      </w:r>
    </w:p>
    <w:p w14:paraId="48D870B0" w14:textId="77777777" w:rsidR="00F5289E" w:rsidRDefault="00C91173">
      <w:pPr>
        <w:snapToGrid w:val="0"/>
        <w:spacing w:beforeLines="50" w:before="156" w:afterLines="50" w:after="156" w:line="360" w:lineRule="auto"/>
        <w:rPr>
          <w:rFonts w:ascii="宋体" w:hAnsi="宋体"/>
          <w:b/>
          <w:szCs w:val="21"/>
        </w:rPr>
      </w:pPr>
      <w:r>
        <w:rPr>
          <w:rFonts w:ascii="宋体" w:hAnsi="宋体" w:hint="eastAsia"/>
          <w:b/>
          <w:szCs w:val="21"/>
        </w:rPr>
        <w:t>六、考核结果分析反馈</w:t>
      </w:r>
    </w:p>
    <w:p w14:paraId="3267FC10" w14:textId="77777777" w:rsidR="00F5289E" w:rsidRDefault="00C91173">
      <w:pPr>
        <w:spacing w:line="360" w:lineRule="auto"/>
        <w:ind w:firstLineChars="200" w:firstLine="420"/>
        <w:rPr>
          <w:rFonts w:ascii="宋体" w:hAnsi="宋体"/>
          <w:szCs w:val="21"/>
        </w:rPr>
      </w:pPr>
      <w:r>
        <w:rPr>
          <w:rFonts w:ascii="宋体" w:hAnsi="宋体" w:hint="eastAsia"/>
          <w:szCs w:val="21"/>
        </w:rPr>
        <w:t>利用线上教学平台，将作业完成情况及时反馈给学生，并利用微信、QQ等平台与学生交流课堂教学情况，对课堂教学及时做出调整。及时接受教学督导听课评价、接受教师听课评价、接受学生评教，改进教学内容与方法，不断提高教学效果。</w:t>
      </w:r>
    </w:p>
    <w:p w14:paraId="5A3DB4DF" w14:textId="77777777" w:rsidR="00F5289E" w:rsidRDefault="00C91173">
      <w:pPr>
        <w:widowControl/>
        <w:jc w:val="left"/>
        <w:rPr>
          <w:b/>
          <w:sz w:val="28"/>
          <w:szCs w:val="28"/>
        </w:rPr>
      </w:pPr>
      <w:r>
        <w:rPr>
          <w:b/>
          <w:sz w:val="28"/>
          <w:szCs w:val="28"/>
        </w:rPr>
        <w:br w:type="page"/>
      </w:r>
    </w:p>
    <w:p w14:paraId="0C50BEA9" w14:textId="77777777" w:rsidR="00F5289E" w:rsidRDefault="00C91173">
      <w:pPr>
        <w:pStyle w:val="1"/>
      </w:pPr>
      <w:bookmarkStart w:id="183" w:name="_Toc138606279"/>
      <w:r>
        <w:lastRenderedPageBreak/>
        <w:t>试验设计与统计分析考核大纲</w:t>
      </w:r>
      <w:bookmarkEnd w:id="183"/>
    </w:p>
    <w:p w14:paraId="10AEFF3D" w14:textId="77777777" w:rsidR="00F5289E" w:rsidRDefault="00C91173">
      <w:pPr>
        <w:snapToGrid w:val="0"/>
        <w:spacing w:line="360" w:lineRule="auto"/>
        <w:jc w:val="center"/>
        <w:rPr>
          <w:color w:val="0000FF"/>
          <w:sz w:val="24"/>
        </w:rPr>
      </w:pPr>
      <w:r>
        <w:rPr>
          <w:sz w:val="24"/>
        </w:rPr>
        <w:t>（</w:t>
      </w:r>
      <w:r>
        <w:rPr>
          <w:sz w:val="24"/>
        </w:rPr>
        <w:t>Experimental Design and Statistical Analysis</w:t>
      </w:r>
      <w:r>
        <w:rPr>
          <w:sz w:val="24"/>
        </w:rPr>
        <w:t>）</w:t>
      </w:r>
    </w:p>
    <w:p w14:paraId="24827039" w14:textId="77777777" w:rsidR="00F5289E" w:rsidRDefault="00F5289E">
      <w:pPr>
        <w:widowControl/>
        <w:wordWrap w:val="0"/>
        <w:spacing w:before="120" w:after="120"/>
        <w:jc w:val="center"/>
        <w:outlineLvl w:val="0"/>
        <w:rPr>
          <w:rFonts w:eastAsia="黑体"/>
          <w:b/>
          <w:bCs/>
          <w:kern w:val="36"/>
          <w:sz w:val="24"/>
        </w:rPr>
      </w:pPr>
    </w:p>
    <w:p w14:paraId="3B1802DD"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277"/>
        <w:gridCol w:w="3740"/>
      </w:tblGrid>
      <w:tr w:rsidR="00F5289E" w14:paraId="6A7ADDE9" w14:textId="77777777">
        <w:tc>
          <w:tcPr>
            <w:tcW w:w="1619" w:type="pct"/>
          </w:tcPr>
          <w:p w14:paraId="2332AF0E" w14:textId="77777777" w:rsidR="00F5289E" w:rsidRDefault="00C91173">
            <w:pPr>
              <w:spacing w:line="300" w:lineRule="auto"/>
              <w:rPr>
                <w:b/>
                <w:bCs/>
                <w:szCs w:val="21"/>
              </w:rPr>
            </w:pPr>
            <w:r>
              <w:rPr>
                <w:b/>
                <w:bCs/>
                <w:szCs w:val="21"/>
              </w:rPr>
              <w:t>课程编号：</w:t>
            </w:r>
            <w:r>
              <w:rPr>
                <w:rFonts w:ascii="宋体" w:hAnsi="宋体" w:hint="eastAsia"/>
                <w:szCs w:val="21"/>
              </w:rPr>
              <w:t>1</w:t>
            </w:r>
            <w:r>
              <w:rPr>
                <w:rFonts w:ascii="宋体" w:hAnsi="宋体"/>
                <w:szCs w:val="21"/>
              </w:rPr>
              <w:t>9011007</w:t>
            </w:r>
          </w:p>
        </w:tc>
        <w:tc>
          <w:tcPr>
            <w:tcW w:w="1279" w:type="pct"/>
          </w:tcPr>
          <w:p w14:paraId="6A726C99" w14:textId="77777777" w:rsidR="00F5289E" w:rsidRDefault="00C91173">
            <w:pPr>
              <w:spacing w:line="300" w:lineRule="auto"/>
              <w:rPr>
                <w:b/>
                <w:bCs/>
                <w:szCs w:val="21"/>
              </w:rPr>
            </w:pPr>
            <w:r>
              <w:rPr>
                <w:b/>
                <w:bCs/>
                <w:szCs w:val="21"/>
              </w:rPr>
              <w:t>课程学时：</w:t>
            </w:r>
            <w:r>
              <w:rPr>
                <w:rFonts w:hint="eastAsia"/>
                <w:szCs w:val="21"/>
              </w:rPr>
              <w:t>48</w:t>
            </w:r>
          </w:p>
        </w:tc>
        <w:tc>
          <w:tcPr>
            <w:tcW w:w="2100" w:type="pct"/>
          </w:tcPr>
          <w:p w14:paraId="42BD127B" w14:textId="77777777" w:rsidR="00F5289E" w:rsidRDefault="00C91173">
            <w:pPr>
              <w:spacing w:line="300" w:lineRule="auto"/>
              <w:rPr>
                <w:b/>
                <w:bCs/>
                <w:szCs w:val="21"/>
              </w:rPr>
            </w:pPr>
            <w:r>
              <w:rPr>
                <w:b/>
                <w:bCs/>
                <w:szCs w:val="21"/>
              </w:rPr>
              <w:t>课程学分：</w:t>
            </w:r>
            <w:r>
              <w:rPr>
                <w:rFonts w:hint="eastAsia"/>
                <w:szCs w:val="21"/>
              </w:rPr>
              <w:t>3</w:t>
            </w:r>
          </w:p>
        </w:tc>
      </w:tr>
      <w:tr w:rsidR="00F5289E" w14:paraId="0C8DF830" w14:textId="77777777">
        <w:tc>
          <w:tcPr>
            <w:tcW w:w="1619" w:type="pct"/>
          </w:tcPr>
          <w:p w14:paraId="06A01CB3" w14:textId="77777777" w:rsidR="00F5289E" w:rsidRDefault="00C91173">
            <w:pPr>
              <w:spacing w:line="300" w:lineRule="auto"/>
              <w:rPr>
                <w:b/>
                <w:bCs/>
                <w:szCs w:val="21"/>
              </w:rPr>
            </w:pPr>
            <w:r>
              <w:rPr>
                <w:b/>
                <w:bCs/>
                <w:szCs w:val="21"/>
              </w:rPr>
              <w:t>主撰人：</w:t>
            </w:r>
            <w:r>
              <w:rPr>
                <w:szCs w:val="21"/>
              </w:rPr>
              <w:t>李志谦</w:t>
            </w:r>
            <w:r>
              <w:rPr>
                <w:rFonts w:hint="eastAsia"/>
                <w:szCs w:val="21"/>
              </w:rPr>
              <w:t>、</w:t>
            </w:r>
            <w:r>
              <w:rPr>
                <w:rFonts w:ascii="宋体" w:hAnsi="宋体" w:hint="eastAsia"/>
                <w:szCs w:val="21"/>
              </w:rPr>
              <w:t>万然、张郎郎、薛东齐、侯楠、崔丹丹</w:t>
            </w:r>
          </w:p>
        </w:tc>
        <w:tc>
          <w:tcPr>
            <w:tcW w:w="1279" w:type="pct"/>
          </w:tcPr>
          <w:p w14:paraId="4779A577" w14:textId="77777777" w:rsidR="00F5289E" w:rsidRDefault="00C91173">
            <w:pPr>
              <w:spacing w:line="300" w:lineRule="auto"/>
              <w:rPr>
                <w:b/>
                <w:bCs/>
                <w:szCs w:val="21"/>
              </w:rPr>
            </w:pPr>
            <w:r>
              <w:rPr>
                <w:b/>
                <w:bCs/>
                <w:szCs w:val="21"/>
              </w:rPr>
              <w:t>审核人：</w:t>
            </w:r>
            <w:r>
              <w:rPr>
                <w:szCs w:val="21"/>
              </w:rPr>
              <w:t>宋尚伟</w:t>
            </w:r>
            <w:r>
              <w:rPr>
                <w:szCs w:val="21"/>
              </w:rPr>
              <w:t xml:space="preserve"> </w:t>
            </w:r>
            <w:r>
              <w:rPr>
                <w:szCs w:val="21"/>
              </w:rPr>
              <w:t>朱华玉</w:t>
            </w:r>
          </w:p>
        </w:tc>
        <w:tc>
          <w:tcPr>
            <w:tcW w:w="2100" w:type="pct"/>
          </w:tcPr>
          <w:p w14:paraId="20CDA70A" w14:textId="77777777" w:rsidR="00F5289E" w:rsidRDefault="00C91173">
            <w:pPr>
              <w:spacing w:line="300" w:lineRule="auto"/>
              <w:rPr>
                <w:b/>
                <w:bCs/>
                <w:szCs w:val="21"/>
              </w:rPr>
            </w:pPr>
            <w:r>
              <w:rPr>
                <w:b/>
                <w:bCs/>
                <w:szCs w:val="21"/>
              </w:rPr>
              <w:t>大纲制定（修订）日期：</w:t>
            </w:r>
            <w:r>
              <w:rPr>
                <w:szCs w:val="21"/>
              </w:rPr>
              <w:t>202</w:t>
            </w:r>
            <w:r w:rsidR="001B3040">
              <w:rPr>
                <w:szCs w:val="21"/>
              </w:rPr>
              <w:t>3.05</w:t>
            </w:r>
          </w:p>
        </w:tc>
      </w:tr>
    </w:tbl>
    <w:p w14:paraId="3D76FCD7" w14:textId="77777777" w:rsidR="00F5289E" w:rsidRDefault="00F5289E">
      <w:pPr>
        <w:widowControl/>
        <w:snapToGrid w:val="0"/>
        <w:spacing w:line="360" w:lineRule="auto"/>
        <w:jc w:val="left"/>
        <w:outlineLvl w:val="1"/>
        <w:rPr>
          <w:rFonts w:eastAsiaTheme="majorEastAsia"/>
          <w:b/>
          <w:bCs/>
          <w:kern w:val="0"/>
          <w:szCs w:val="21"/>
        </w:rPr>
      </w:pPr>
    </w:p>
    <w:p w14:paraId="18CE8ED0" w14:textId="77777777" w:rsidR="00F5289E" w:rsidRDefault="00C91173">
      <w:pPr>
        <w:pStyle w:val="a9"/>
        <w:spacing w:line="360" w:lineRule="auto"/>
        <w:rPr>
          <w:b/>
          <w:bCs/>
        </w:rPr>
      </w:pPr>
      <w:r>
        <w:rPr>
          <w:b/>
          <w:bCs/>
        </w:rPr>
        <w:t>一、课程的性质和地位</w:t>
      </w:r>
    </w:p>
    <w:p w14:paraId="474978B6" w14:textId="77777777" w:rsidR="00F5289E" w:rsidRDefault="00C91173">
      <w:pPr>
        <w:snapToGrid w:val="0"/>
        <w:spacing w:line="360" w:lineRule="auto"/>
        <w:ind w:firstLineChars="200" w:firstLine="420"/>
      </w:pPr>
      <w:r>
        <w:rPr>
          <w:rFonts w:hint="eastAsia"/>
        </w:rPr>
        <w:t>《试验设计与统计分析》是设施农业科学与工程专业本科生必修专业课程，是数理统计学在园艺科学领域的应用课程，是进行科学研究的基础性工具。</w:t>
      </w:r>
    </w:p>
    <w:p w14:paraId="68A8ABF7" w14:textId="77777777" w:rsidR="00F5289E" w:rsidRDefault="00C91173">
      <w:pPr>
        <w:pStyle w:val="a9"/>
        <w:spacing w:line="360" w:lineRule="auto"/>
        <w:rPr>
          <w:b/>
          <w:bCs/>
        </w:rPr>
      </w:pPr>
      <w:r>
        <w:rPr>
          <w:b/>
          <w:bCs/>
        </w:rPr>
        <w:t>二、理论教学部分的考核目标</w:t>
      </w:r>
    </w:p>
    <w:p w14:paraId="29DA185F" w14:textId="77777777" w:rsidR="00F5289E" w:rsidRDefault="00C91173">
      <w:pPr>
        <w:snapToGrid w:val="0"/>
        <w:spacing w:line="360" w:lineRule="auto"/>
        <w:ind w:firstLineChars="200" w:firstLine="420"/>
        <w:rPr>
          <w:color w:val="0000FF"/>
          <w:szCs w:val="21"/>
        </w:rPr>
      </w:pPr>
      <w:r>
        <w:t>要求学生通过该课程的学习，能够了解科学研究方法的一般知识，掌握根据园艺作物特点进行试验设计和调查研究的理论和方法，掌握根据园艺作物特点进行试验设计和调查研究的理论和方法，学会对常见试验结果进行科学的数据整理与分析，能够使用常见的计算工具和统计软件进行统计分析，并推断出正确结论。</w:t>
      </w:r>
    </w:p>
    <w:p w14:paraId="2EE5AEBB" w14:textId="77777777" w:rsidR="00F5289E" w:rsidRDefault="00F5289E">
      <w:pPr>
        <w:snapToGrid w:val="0"/>
        <w:spacing w:line="360" w:lineRule="auto"/>
        <w:ind w:firstLineChars="49" w:firstLine="103"/>
        <w:jc w:val="center"/>
        <w:rPr>
          <w:b/>
          <w:szCs w:val="21"/>
        </w:rPr>
      </w:pPr>
    </w:p>
    <w:p w14:paraId="3C6D1AF1" w14:textId="77777777" w:rsidR="00F5289E" w:rsidRDefault="00C91173">
      <w:pPr>
        <w:snapToGrid w:val="0"/>
        <w:spacing w:line="360" w:lineRule="auto"/>
        <w:ind w:firstLineChars="49" w:firstLine="103"/>
        <w:jc w:val="center"/>
        <w:rPr>
          <w:b/>
          <w:szCs w:val="21"/>
        </w:rPr>
      </w:pPr>
      <w:r>
        <w:rPr>
          <w:b/>
          <w:szCs w:val="21"/>
        </w:rPr>
        <w:t>绪论</w:t>
      </w:r>
    </w:p>
    <w:p w14:paraId="40AF75AE" w14:textId="77777777" w:rsidR="00F5289E" w:rsidRDefault="00C91173">
      <w:pPr>
        <w:snapToGrid w:val="0"/>
        <w:spacing w:line="360" w:lineRule="auto"/>
        <w:rPr>
          <w:b/>
          <w:szCs w:val="21"/>
        </w:rPr>
      </w:pPr>
      <w:r>
        <w:rPr>
          <w:b/>
          <w:szCs w:val="21"/>
        </w:rPr>
        <w:t>（一）学习目标</w:t>
      </w:r>
    </w:p>
    <w:p w14:paraId="26425DCB"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：课程性质、地位与要求；</w:t>
      </w:r>
      <w:r>
        <w:t>研究方法在农业科学研究中的地位和作用；生物统计的概念、作用和发展概况</w:t>
      </w:r>
      <w:r>
        <w:rPr>
          <w:rFonts w:hint="eastAsia"/>
        </w:rPr>
        <w:t>；</w:t>
      </w:r>
      <w:r>
        <w:t>选定研究课题的依据和途径</w:t>
      </w:r>
      <w:r>
        <w:rPr>
          <w:szCs w:val="21"/>
        </w:rPr>
        <w:t>。</w:t>
      </w:r>
      <w:r>
        <w:t>。</w:t>
      </w:r>
    </w:p>
    <w:p w14:paraId="5B14F675"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：科学研究的一般程序</w:t>
      </w:r>
      <w:r>
        <w:t>和试验方案。</w:t>
      </w:r>
    </w:p>
    <w:p w14:paraId="4E3FCBCE"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：生物统计的概念和作用</w:t>
      </w:r>
      <w:r>
        <w:rPr>
          <w:rFonts w:hint="eastAsia"/>
          <w:szCs w:val="21"/>
        </w:rPr>
        <w:t>；</w:t>
      </w:r>
      <w:r>
        <w:rPr>
          <w:rFonts w:hint="eastAsia"/>
        </w:rPr>
        <w:t>试验研究计划书的一般格式和拟定方法</w:t>
      </w:r>
      <w:r>
        <w:rPr>
          <w:szCs w:val="21"/>
        </w:rPr>
        <w:t>。</w:t>
      </w:r>
    </w:p>
    <w:p w14:paraId="007A8DDC" w14:textId="77777777" w:rsidR="00F5289E" w:rsidRDefault="00C91173">
      <w:pPr>
        <w:snapToGrid w:val="0"/>
        <w:spacing w:line="360" w:lineRule="auto"/>
        <w:rPr>
          <w:szCs w:val="21"/>
        </w:rPr>
      </w:pPr>
      <w:r>
        <w:rPr>
          <w:b/>
          <w:szCs w:val="21"/>
        </w:rPr>
        <w:t>（二）考核内容</w:t>
      </w:r>
    </w:p>
    <w:p w14:paraId="78A0D33C" w14:textId="77777777" w:rsidR="00F5289E" w:rsidRDefault="00C91173">
      <w:pPr>
        <w:spacing w:line="360" w:lineRule="auto"/>
        <w:ind w:firstLineChars="200" w:firstLine="420"/>
        <w:rPr>
          <w:szCs w:val="21"/>
        </w:rPr>
      </w:pPr>
      <w:r>
        <w:rPr>
          <w:szCs w:val="21"/>
        </w:rPr>
        <w:t>1</w:t>
      </w:r>
      <w:r>
        <w:rPr>
          <w:b/>
          <w:szCs w:val="21"/>
        </w:rPr>
        <w:t>.</w:t>
      </w:r>
      <w:r>
        <w:rPr>
          <w:szCs w:val="21"/>
        </w:rPr>
        <w:t>生物统计的概念和作用。</w:t>
      </w:r>
    </w:p>
    <w:p w14:paraId="4CD4AC58" w14:textId="77777777" w:rsidR="00F5289E" w:rsidRDefault="00C91173">
      <w:pPr>
        <w:spacing w:line="360" w:lineRule="auto"/>
        <w:ind w:firstLineChars="200" w:firstLine="420"/>
        <w:rPr>
          <w:bCs/>
          <w:szCs w:val="21"/>
        </w:rPr>
      </w:pPr>
      <w:r>
        <w:rPr>
          <w:szCs w:val="21"/>
        </w:rPr>
        <w:t>2</w:t>
      </w:r>
      <w:r>
        <w:rPr>
          <w:b/>
          <w:szCs w:val="21"/>
        </w:rPr>
        <w:t>.</w:t>
      </w:r>
      <w:r>
        <w:rPr>
          <w:szCs w:val="21"/>
        </w:rPr>
        <w:t>科学研究的一般程序</w:t>
      </w:r>
      <w:r>
        <w:rPr>
          <w:rFonts w:hint="eastAsia"/>
          <w:szCs w:val="21"/>
        </w:rPr>
        <w:t>和选题原则。</w:t>
      </w:r>
    </w:p>
    <w:p w14:paraId="15E4819D" w14:textId="77777777" w:rsidR="00F5289E" w:rsidRDefault="00C91173">
      <w:pPr>
        <w:snapToGrid w:val="0"/>
        <w:spacing w:line="360" w:lineRule="auto"/>
        <w:ind w:firstLineChars="200" w:firstLine="420"/>
        <w:rPr>
          <w:bCs/>
          <w:szCs w:val="21"/>
        </w:rPr>
      </w:pPr>
      <w:r>
        <w:rPr>
          <w:rFonts w:hint="eastAsia"/>
          <w:bCs/>
          <w:szCs w:val="21"/>
        </w:rPr>
        <w:t>3.</w:t>
      </w:r>
      <w:r>
        <w:rPr>
          <w:bCs/>
          <w:szCs w:val="21"/>
        </w:rPr>
        <w:t>选定研究课题的依据和途径。</w:t>
      </w:r>
    </w:p>
    <w:p w14:paraId="7A4D2F1C" w14:textId="77777777" w:rsidR="00F5289E" w:rsidRDefault="00C91173">
      <w:pPr>
        <w:snapToGrid w:val="0"/>
        <w:spacing w:line="360" w:lineRule="auto"/>
        <w:ind w:firstLineChars="200" w:firstLine="420"/>
        <w:rPr>
          <w:bCs/>
          <w:szCs w:val="21"/>
        </w:rPr>
      </w:pPr>
      <w:r>
        <w:rPr>
          <w:rFonts w:hint="eastAsia"/>
          <w:bCs/>
          <w:szCs w:val="21"/>
        </w:rPr>
        <w:t>4.</w:t>
      </w:r>
      <w:r>
        <w:rPr>
          <w:szCs w:val="21"/>
        </w:rPr>
        <w:t>资料收集和分析常用的途径与方法。</w:t>
      </w:r>
    </w:p>
    <w:p w14:paraId="7E154585" w14:textId="77777777" w:rsidR="00F5289E" w:rsidRDefault="00C91173">
      <w:pPr>
        <w:spacing w:line="360" w:lineRule="auto"/>
        <w:ind w:firstLineChars="200" w:firstLine="420"/>
        <w:rPr>
          <w:szCs w:val="21"/>
        </w:rPr>
      </w:pPr>
      <w:r>
        <w:rPr>
          <w:rFonts w:hint="eastAsia"/>
          <w:szCs w:val="21"/>
        </w:rPr>
        <w:t>5.</w:t>
      </w:r>
      <w:r>
        <w:rPr>
          <w:rFonts w:hint="eastAsia"/>
        </w:rPr>
        <w:t>试验研究计划书的一般格式和拟定方法。</w:t>
      </w:r>
    </w:p>
    <w:p w14:paraId="1119055E" w14:textId="77777777" w:rsidR="00F5289E" w:rsidRDefault="00C91173">
      <w:pPr>
        <w:snapToGrid w:val="0"/>
        <w:spacing w:line="360" w:lineRule="auto"/>
        <w:rPr>
          <w:b/>
          <w:szCs w:val="21"/>
        </w:rPr>
      </w:pPr>
      <w:r>
        <w:rPr>
          <w:b/>
          <w:szCs w:val="21"/>
        </w:rPr>
        <w:t>（三）考核要求</w:t>
      </w:r>
    </w:p>
    <w:p w14:paraId="07EF98FB"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：生物统计的概念和作用</w:t>
      </w:r>
      <w:r>
        <w:rPr>
          <w:rFonts w:hint="eastAsia"/>
          <w:szCs w:val="21"/>
        </w:rPr>
        <w:t>；</w:t>
      </w:r>
      <w:r>
        <w:rPr>
          <w:szCs w:val="21"/>
        </w:rPr>
        <w:t>试验研究计划书的要求和主要内容。</w:t>
      </w:r>
    </w:p>
    <w:p w14:paraId="0DCC80A5" w14:textId="77777777" w:rsidR="00F5289E" w:rsidRDefault="00C91173">
      <w:pPr>
        <w:snapToGrid w:val="0"/>
        <w:spacing w:line="360" w:lineRule="auto"/>
        <w:ind w:firstLineChars="200" w:firstLine="422"/>
        <w:rPr>
          <w:szCs w:val="21"/>
        </w:rPr>
      </w:pPr>
      <w:r>
        <w:rPr>
          <w:b/>
          <w:szCs w:val="21"/>
        </w:rPr>
        <w:t>2.</w:t>
      </w:r>
      <w:r>
        <w:rPr>
          <w:b/>
          <w:szCs w:val="21"/>
        </w:rPr>
        <w:t>领会</w:t>
      </w:r>
      <w:r>
        <w:rPr>
          <w:szCs w:val="21"/>
        </w:rPr>
        <w:t>：科学研究的一般程序</w:t>
      </w:r>
      <w:r>
        <w:rPr>
          <w:rFonts w:hint="eastAsia"/>
          <w:szCs w:val="21"/>
        </w:rPr>
        <w:t>；</w:t>
      </w:r>
      <w:r>
        <w:rPr>
          <w:szCs w:val="21"/>
        </w:rPr>
        <w:t>选定研究课题的依据和途径。</w:t>
      </w:r>
    </w:p>
    <w:p w14:paraId="796FFAE7" w14:textId="77777777" w:rsidR="00F5289E" w:rsidRDefault="00C91173">
      <w:pPr>
        <w:snapToGrid w:val="0"/>
        <w:spacing w:line="360" w:lineRule="auto"/>
        <w:ind w:firstLineChars="200" w:firstLine="422"/>
        <w:rPr>
          <w:szCs w:val="21"/>
        </w:rPr>
      </w:pPr>
      <w:r>
        <w:rPr>
          <w:b/>
          <w:szCs w:val="21"/>
        </w:rPr>
        <w:lastRenderedPageBreak/>
        <w:t>3.</w:t>
      </w:r>
      <w:r>
        <w:rPr>
          <w:b/>
          <w:szCs w:val="21"/>
        </w:rPr>
        <w:t>应用</w:t>
      </w:r>
      <w:r>
        <w:rPr>
          <w:szCs w:val="21"/>
        </w:rPr>
        <w:t>：资料收集和分析常用的途径与方法；初步掌握试验研究计划书的一般格式和拟定方法。</w:t>
      </w:r>
    </w:p>
    <w:p w14:paraId="57F95C43" w14:textId="77777777" w:rsidR="00F5289E" w:rsidRDefault="00F5289E">
      <w:pPr>
        <w:snapToGrid w:val="0"/>
        <w:spacing w:line="360" w:lineRule="auto"/>
        <w:ind w:firstLineChars="49" w:firstLine="103"/>
        <w:jc w:val="center"/>
        <w:rPr>
          <w:b/>
          <w:szCs w:val="21"/>
        </w:rPr>
      </w:pPr>
    </w:p>
    <w:p w14:paraId="1455695C" w14:textId="77777777" w:rsidR="00F5289E" w:rsidRDefault="00F5289E">
      <w:pPr>
        <w:spacing w:line="360" w:lineRule="auto"/>
        <w:ind w:firstLineChars="200" w:firstLine="420"/>
        <w:rPr>
          <w:szCs w:val="21"/>
        </w:rPr>
      </w:pPr>
    </w:p>
    <w:p w14:paraId="2BB79AEE" w14:textId="77777777" w:rsidR="00F5289E" w:rsidRDefault="00C91173">
      <w:pPr>
        <w:snapToGrid w:val="0"/>
        <w:spacing w:line="360" w:lineRule="auto"/>
        <w:ind w:firstLineChars="49" w:firstLine="103"/>
        <w:jc w:val="center"/>
        <w:rPr>
          <w:b/>
          <w:bCs/>
        </w:rPr>
      </w:pPr>
      <w:r>
        <w:rPr>
          <w:b/>
          <w:bCs/>
        </w:rPr>
        <w:t>第</w:t>
      </w:r>
      <w:r>
        <w:rPr>
          <w:rFonts w:hint="eastAsia"/>
          <w:b/>
          <w:bCs/>
        </w:rPr>
        <w:t>一</w:t>
      </w:r>
      <w:r>
        <w:rPr>
          <w:b/>
          <w:bCs/>
        </w:rPr>
        <w:t>章</w:t>
      </w:r>
      <w:r>
        <w:rPr>
          <w:b/>
          <w:bCs/>
        </w:rPr>
        <w:t xml:space="preserve"> </w:t>
      </w:r>
      <w:r>
        <w:rPr>
          <w:rFonts w:hint="eastAsia"/>
          <w:b/>
          <w:bCs/>
        </w:rPr>
        <w:t>试验设计与实施</w:t>
      </w:r>
    </w:p>
    <w:p w14:paraId="3DBF7241" w14:textId="77777777" w:rsidR="00F5289E" w:rsidRDefault="00C91173">
      <w:pPr>
        <w:snapToGrid w:val="0"/>
        <w:spacing w:line="360" w:lineRule="auto"/>
        <w:rPr>
          <w:b/>
          <w:szCs w:val="21"/>
        </w:rPr>
      </w:pPr>
      <w:r>
        <w:rPr>
          <w:b/>
          <w:szCs w:val="21"/>
        </w:rPr>
        <w:t>（一）学习目标</w:t>
      </w:r>
    </w:p>
    <w:p w14:paraId="748F00A0" w14:textId="77777777" w:rsidR="00F5289E" w:rsidRDefault="00C91173">
      <w:pPr>
        <w:spacing w:line="360" w:lineRule="auto"/>
        <w:ind w:firstLineChars="200" w:firstLine="422"/>
        <w:rPr>
          <w:szCs w:val="21"/>
        </w:rPr>
      </w:pPr>
      <w:r>
        <w:rPr>
          <w:b/>
          <w:szCs w:val="21"/>
        </w:rPr>
        <w:t xml:space="preserve">1. </w:t>
      </w:r>
      <w:r>
        <w:rPr>
          <w:b/>
          <w:szCs w:val="21"/>
        </w:rPr>
        <w:t>一般了解</w:t>
      </w:r>
      <w:r>
        <w:rPr>
          <w:szCs w:val="21"/>
        </w:rPr>
        <w:t>：</w:t>
      </w:r>
      <w:r>
        <w:t>园艺作物试验的特点、方法、要求，试验方案及种类</w:t>
      </w:r>
      <w:r>
        <w:rPr>
          <w:szCs w:val="21"/>
        </w:rPr>
        <w:t>。</w:t>
      </w:r>
    </w:p>
    <w:p w14:paraId="2D17F23D" w14:textId="77777777" w:rsidR="00F5289E" w:rsidRDefault="00C91173">
      <w:pPr>
        <w:spacing w:line="360" w:lineRule="auto"/>
        <w:ind w:firstLineChars="200" w:firstLine="422"/>
        <w:rPr>
          <w:szCs w:val="21"/>
        </w:rPr>
      </w:pPr>
      <w:r>
        <w:rPr>
          <w:b/>
          <w:szCs w:val="21"/>
        </w:rPr>
        <w:t xml:space="preserve">2. </w:t>
      </w:r>
      <w:r>
        <w:rPr>
          <w:b/>
          <w:szCs w:val="21"/>
        </w:rPr>
        <w:t>一般掌握</w:t>
      </w:r>
      <w:r>
        <w:rPr>
          <w:szCs w:val="21"/>
        </w:rPr>
        <w:t>：试验指标、因素、处理、水平、效应、互作、小区等概念；掌握试验误差控制途径与方法；试验小区、重复与区组的概念及其设置方法。</w:t>
      </w:r>
    </w:p>
    <w:p w14:paraId="0AB4C83C" w14:textId="77777777" w:rsidR="00F5289E" w:rsidRDefault="00C91173">
      <w:pPr>
        <w:spacing w:line="360" w:lineRule="auto"/>
        <w:ind w:firstLineChars="200" w:firstLine="422"/>
        <w:rPr>
          <w:color w:val="0000FF"/>
          <w:szCs w:val="21"/>
        </w:rPr>
      </w:pPr>
      <w:r>
        <w:rPr>
          <w:b/>
          <w:szCs w:val="21"/>
        </w:rPr>
        <w:t xml:space="preserve">3. </w:t>
      </w:r>
      <w:r>
        <w:rPr>
          <w:b/>
          <w:szCs w:val="21"/>
        </w:rPr>
        <w:t>熟练掌握</w:t>
      </w:r>
      <w:r>
        <w:rPr>
          <w:szCs w:val="21"/>
        </w:rPr>
        <w:t>：完全随机、随机区组、拉丁方和裂区设计等常用试验设计方法的特点及其应用；掌握常用的取样技术。</w:t>
      </w:r>
    </w:p>
    <w:p w14:paraId="54725081" w14:textId="77777777" w:rsidR="00F5289E" w:rsidRDefault="00C91173">
      <w:pPr>
        <w:snapToGrid w:val="0"/>
        <w:spacing w:line="360" w:lineRule="auto"/>
        <w:rPr>
          <w:szCs w:val="21"/>
        </w:rPr>
      </w:pPr>
      <w:r>
        <w:rPr>
          <w:b/>
          <w:szCs w:val="21"/>
        </w:rPr>
        <w:t>（二）考核内容</w:t>
      </w:r>
    </w:p>
    <w:p w14:paraId="4087533C" w14:textId="77777777" w:rsidR="00F5289E" w:rsidRDefault="00C91173">
      <w:pPr>
        <w:spacing w:line="360" w:lineRule="auto"/>
        <w:ind w:firstLineChars="200" w:firstLine="420"/>
        <w:rPr>
          <w:szCs w:val="21"/>
        </w:rPr>
      </w:pPr>
      <w:r>
        <w:rPr>
          <w:szCs w:val="21"/>
        </w:rPr>
        <w:t>1</w:t>
      </w:r>
      <w:r>
        <w:rPr>
          <w:b/>
          <w:szCs w:val="21"/>
        </w:rPr>
        <w:t>.</w:t>
      </w:r>
      <w:r>
        <w:rPr>
          <w:szCs w:val="21"/>
        </w:rPr>
        <w:t>园艺试验的特点；园艺试验研究的方法；田间试验的基本要求。</w:t>
      </w:r>
    </w:p>
    <w:p w14:paraId="2290EDA1" w14:textId="77777777" w:rsidR="00F5289E" w:rsidRDefault="00C91173">
      <w:pPr>
        <w:spacing w:line="360" w:lineRule="auto"/>
        <w:ind w:firstLineChars="200" w:firstLine="420"/>
        <w:rPr>
          <w:szCs w:val="21"/>
        </w:rPr>
      </w:pPr>
      <w:r>
        <w:rPr>
          <w:szCs w:val="21"/>
        </w:rPr>
        <w:t>2</w:t>
      </w:r>
      <w:r>
        <w:rPr>
          <w:b/>
          <w:szCs w:val="21"/>
        </w:rPr>
        <w:t>.</w:t>
      </w:r>
      <w:r>
        <w:rPr>
          <w:szCs w:val="21"/>
        </w:rPr>
        <w:t>试验方案和试验设计相关的基本概念。</w:t>
      </w:r>
    </w:p>
    <w:p w14:paraId="2CF9023F" w14:textId="77777777" w:rsidR="00F5289E" w:rsidRDefault="00C91173">
      <w:pPr>
        <w:spacing w:line="360" w:lineRule="auto"/>
        <w:ind w:firstLineChars="200" w:firstLine="420"/>
        <w:rPr>
          <w:szCs w:val="21"/>
        </w:rPr>
      </w:pPr>
      <w:r>
        <w:rPr>
          <w:szCs w:val="21"/>
        </w:rPr>
        <w:t>3</w:t>
      </w:r>
      <w:r>
        <w:rPr>
          <w:b/>
          <w:szCs w:val="21"/>
        </w:rPr>
        <w:t>.</w:t>
      </w:r>
      <w:r>
        <w:rPr>
          <w:szCs w:val="21"/>
        </w:rPr>
        <w:t>试验误差的概念；试验误差的来源和控制途径。</w:t>
      </w:r>
    </w:p>
    <w:p w14:paraId="67D7ECAC" w14:textId="77777777" w:rsidR="00F5289E" w:rsidRDefault="00C91173">
      <w:pPr>
        <w:spacing w:line="360" w:lineRule="auto"/>
        <w:ind w:firstLineChars="200" w:firstLine="420"/>
        <w:rPr>
          <w:szCs w:val="21"/>
        </w:rPr>
      </w:pPr>
      <w:r>
        <w:rPr>
          <w:szCs w:val="21"/>
        </w:rPr>
        <w:t>4.</w:t>
      </w:r>
      <w:r>
        <w:rPr>
          <w:szCs w:val="21"/>
        </w:rPr>
        <w:t>田间试验设计的原则及其作用。</w:t>
      </w:r>
    </w:p>
    <w:p w14:paraId="619F6EC1" w14:textId="77777777" w:rsidR="00F5289E" w:rsidRDefault="00C91173">
      <w:pPr>
        <w:spacing w:line="360" w:lineRule="auto"/>
        <w:ind w:firstLineChars="200" w:firstLine="420"/>
        <w:rPr>
          <w:szCs w:val="21"/>
        </w:rPr>
      </w:pPr>
      <w:r>
        <w:rPr>
          <w:szCs w:val="21"/>
        </w:rPr>
        <w:t>5.</w:t>
      </w:r>
      <w:r>
        <w:rPr>
          <w:szCs w:val="21"/>
        </w:rPr>
        <w:t>小区技术。</w:t>
      </w:r>
    </w:p>
    <w:p w14:paraId="3C68CE03" w14:textId="77777777" w:rsidR="00F5289E" w:rsidRDefault="00C91173">
      <w:pPr>
        <w:spacing w:line="360" w:lineRule="auto"/>
        <w:ind w:firstLineChars="200" w:firstLine="420"/>
        <w:rPr>
          <w:szCs w:val="21"/>
        </w:rPr>
      </w:pPr>
      <w:r>
        <w:rPr>
          <w:szCs w:val="21"/>
        </w:rPr>
        <w:t>6.</w:t>
      </w:r>
      <w:r>
        <w:rPr>
          <w:szCs w:val="21"/>
        </w:rPr>
        <w:t>常用的试验设计方法及其优缺点、适用范围。</w:t>
      </w:r>
    </w:p>
    <w:p w14:paraId="1BB41226" w14:textId="77777777" w:rsidR="00F5289E" w:rsidRDefault="00C91173">
      <w:pPr>
        <w:snapToGrid w:val="0"/>
        <w:spacing w:line="360" w:lineRule="auto"/>
        <w:rPr>
          <w:b/>
          <w:szCs w:val="21"/>
        </w:rPr>
      </w:pPr>
      <w:r>
        <w:rPr>
          <w:b/>
          <w:szCs w:val="21"/>
        </w:rPr>
        <w:t>（三）考核要求</w:t>
      </w:r>
    </w:p>
    <w:p w14:paraId="6628F31A" w14:textId="77777777" w:rsidR="00F5289E" w:rsidRDefault="00C91173">
      <w:pPr>
        <w:spacing w:line="360" w:lineRule="auto"/>
        <w:ind w:firstLineChars="200" w:firstLine="422"/>
        <w:rPr>
          <w:szCs w:val="21"/>
        </w:rPr>
      </w:pPr>
      <w:r>
        <w:rPr>
          <w:b/>
          <w:szCs w:val="21"/>
        </w:rPr>
        <w:t>1.</w:t>
      </w:r>
      <w:r>
        <w:rPr>
          <w:b/>
          <w:szCs w:val="21"/>
        </w:rPr>
        <w:t>识记</w:t>
      </w:r>
      <w:r>
        <w:rPr>
          <w:szCs w:val="21"/>
        </w:rPr>
        <w:t>：园艺试验的特点、方法和要求；有关试验设计的基本概念；试验设计的原则及其作用。</w:t>
      </w:r>
    </w:p>
    <w:p w14:paraId="4C03083B" w14:textId="77777777" w:rsidR="00F5289E" w:rsidRDefault="00C91173">
      <w:pPr>
        <w:snapToGrid w:val="0"/>
        <w:spacing w:line="360" w:lineRule="auto"/>
        <w:ind w:firstLineChars="200" w:firstLine="422"/>
        <w:rPr>
          <w:szCs w:val="21"/>
        </w:rPr>
      </w:pPr>
      <w:r>
        <w:rPr>
          <w:b/>
          <w:szCs w:val="21"/>
        </w:rPr>
        <w:t>2.</w:t>
      </w:r>
      <w:r>
        <w:rPr>
          <w:b/>
          <w:szCs w:val="21"/>
        </w:rPr>
        <w:t>领会</w:t>
      </w:r>
      <w:r>
        <w:rPr>
          <w:szCs w:val="21"/>
        </w:rPr>
        <w:t>：试验误差的来源和控制途径。</w:t>
      </w:r>
    </w:p>
    <w:p w14:paraId="2B5FACD5" w14:textId="77777777" w:rsidR="00F5289E" w:rsidRDefault="00C91173">
      <w:pPr>
        <w:spacing w:line="360" w:lineRule="auto"/>
        <w:ind w:firstLineChars="200" w:firstLine="422"/>
        <w:rPr>
          <w:szCs w:val="21"/>
        </w:rPr>
      </w:pPr>
      <w:r>
        <w:rPr>
          <w:b/>
          <w:szCs w:val="21"/>
        </w:rPr>
        <w:t>3.</w:t>
      </w:r>
      <w:r>
        <w:rPr>
          <w:b/>
          <w:szCs w:val="21"/>
        </w:rPr>
        <w:t>应用</w:t>
      </w:r>
      <w:r>
        <w:rPr>
          <w:szCs w:val="21"/>
        </w:rPr>
        <w:t>：小区技术、对比法、间比法、完全随机、随机区组、拉丁方、裂区等常用试验设计方法。</w:t>
      </w:r>
    </w:p>
    <w:p w14:paraId="1076225A" w14:textId="77777777" w:rsidR="00F5289E" w:rsidRDefault="00F5289E">
      <w:pPr>
        <w:snapToGrid w:val="0"/>
        <w:spacing w:line="360" w:lineRule="auto"/>
        <w:ind w:firstLineChars="49" w:firstLine="103"/>
        <w:jc w:val="center"/>
        <w:rPr>
          <w:b/>
          <w:szCs w:val="21"/>
        </w:rPr>
      </w:pPr>
    </w:p>
    <w:p w14:paraId="1F10884D" w14:textId="77777777" w:rsidR="00F5289E" w:rsidRDefault="00C91173">
      <w:pPr>
        <w:snapToGrid w:val="0"/>
        <w:spacing w:line="360" w:lineRule="auto"/>
        <w:ind w:firstLineChars="49" w:firstLine="103"/>
        <w:jc w:val="center"/>
        <w:rPr>
          <w:b/>
          <w:bCs/>
        </w:rPr>
      </w:pPr>
      <w:r>
        <w:rPr>
          <w:b/>
          <w:bCs/>
        </w:rPr>
        <w:t>第</w:t>
      </w:r>
      <w:r>
        <w:rPr>
          <w:rFonts w:hint="eastAsia"/>
          <w:b/>
          <w:bCs/>
        </w:rPr>
        <w:t>二</w:t>
      </w:r>
      <w:r>
        <w:rPr>
          <w:b/>
          <w:bCs/>
        </w:rPr>
        <w:t>章</w:t>
      </w:r>
      <w:r>
        <w:rPr>
          <w:b/>
          <w:bCs/>
        </w:rPr>
        <w:t xml:space="preserve"> </w:t>
      </w:r>
      <w:r>
        <w:rPr>
          <w:rFonts w:hint="eastAsia"/>
          <w:b/>
          <w:bCs/>
        </w:rPr>
        <w:t>描述统计</w:t>
      </w:r>
    </w:p>
    <w:p w14:paraId="5849AEE3" w14:textId="77777777" w:rsidR="00F5289E" w:rsidRDefault="00C91173">
      <w:pPr>
        <w:snapToGrid w:val="0"/>
        <w:spacing w:line="360" w:lineRule="auto"/>
        <w:rPr>
          <w:b/>
          <w:szCs w:val="21"/>
        </w:rPr>
      </w:pPr>
      <w:r>
        <w:rPr>
          <w:b/>
          <w:szCs w:val="21"/>
        </w:rPr>
        <w:t>（一）学习目标</w:t>
      </w:r>
    </w:p>
    <w:p w14:paraId="1DC72E28"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w:t>
      </w:r>
      <w:r>
        <w:t>试验数据的性质，资料平均数种类，掌握常用变异数的种类、特点及计算方法等。</w:t>
      </w:r>
    </w:p>
    <w:p w14:paraId="7D427963"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t>总体与样本、参数与统计数、变数与变量等常用生物统计学术语。</w:t>
      </w:r>
    </w:p>
    <w:p w14:paraId="7A37C864"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w:t>
      </w:r>
      <w:r>
        <w:t>资料特征数的计算，次数分布表的制作方法及关键步骤，次数分布图的制作方法。</w:t>
      </w:r>
    </w:p>
    <w:p w14:paraId="490FA73A" w14:textId="77777777" w:rsidR="00F5289E" w:rsidRDefault="00C91173">
      <w:pPr>
        <w:snapToGrid w:val="0"/>
        <w:spacing w:line="360" w:lineRule="auto"/>
        <w:rPr>
          <w:szCs w:val="21"/>
        </w:rPr>
      </w:pPr>
      <w:r>
        <w:rPr>
          <w:b/>
          <w:szCs w:val="21"/>
        </w:rPr>
        <w:t>（二）考核内容</w:t>
      </w:r>
    </w:p>
    <w:p w14:paraId="788F427F" w14:textId="77777777" w:rsidR="00F5289E" w:rsidRDefault="00C91173">
      <w:pPr>
        <w:spacing w:line="360" w:lineRule="auto"/>
        <w:ind w:firstLineChars="200" w:firstLine="420"/>
      </w:pPr>
      <w:r>
        <w:rPr>
          <w:szCs w:val="21"/>
        </w:rPr>
        <w:lastRenderedPageBreak/>
        <w:t>1</w:t>
      </w:r>
      <w:r>
        <w:rPr>
          <w:b/>
          <w:szCs w:val="21"/>
        </w:rPr>
        <w:t>.</w:t>
      </w:r>
      <w:r>
        <w:t>总体和样本的概念及关系；试验资料的性质与分类。</w:t>
      </w:r>
      <w:r>
        <w:t xml:space="preserve"> </w:t>
      </w:r>
    </w:p>
    <w:p w14:paraId="2AF6E797" w14:textId="77777777" w:rsidR="00F5289E" w:rsidRDefault="00C91173">
      <w:pPr>
        <w:spacing w:line="360" w:lineRule="auto"/>
        <w:ind w:firstLineChars="200" w:firstLine="420"/>
      </w:pPr>
      <w:r>
        <w:t>2</w:t>
      </w:r>
      <w:r>
        <w:rPr>
          <w:b/>
          <w:szCs w:val="21"/>
        </w:rPr>
        <w:t>.</w:t>
      </w:r>
      <w:r>
        <w:t>次数分布表；次数分布图。</w:t>
      </w:r>
    </w:p>
    <w:p w14:paraId="5D1F6398" w14:textId="77777777" w:rsidR="00F5289E" w:rsidRDefault="00C91173">
      <w:pPr>
        <w:spacing w:line="360" w:lineRule="auto"/>
        <w:ind w:firstLineChars="200" w:firstLine="420"/>
        <w:rPr>
          <w:bCs/>
          <w:szCs w:val="21"/>
        </w:rPr>
      </w:pPr>
      <w:r>
        <w:rPr>
          <w:szCs w:val="21"/>
        </w:rPr>
        <w:t>3</w:t>
      </w:r>
      <w:r>
        <w:rPr>
          <w:b/>
          <w:szCs w:val="21"/>
        </w:rPr>
        <w:t>.</w:t>
      </w:r>
      <w:r>
        <w:rPr>
          <w:bCs/>
          <w:szCs w:val="21"/>
        </w:rPr>
        <w:t>平均数的种类和计算方法；算术平均数的重要特性。</w:t>
      </w:r>
    </w:p>
    <w:p w14:paraId="183CB2F6" w14:textId="77777777" w:rsidR="00F5289E" w:rsidRDefault="00C91173">
      <w:pPr>
        <w:spacing w:line="360" w:lineRule="auto"/>
        <w:ind w:firstLineChars="200" w:firstLine="420"/>
        <w:rPr>
          <w:szCs w:val="21"/>
        </w:rPr>
      </w:pPr>
      <w:r>
        <w:rPr>
          <w:szCs w:val="21"/>
        </w:rPr>
        <w:t>4</w:t>
      </w:r>
      <w:r>
        <w:rPr>
          <w:b/>
          <w:szCs w:val="21"/>
        </w:rPr>
        <w:t>.</w:t>
      </w:r>
      <w:r>
        <w:rPr>
          <w:szCs w:val="21"/>
        </w:rPr>
        <w:t>常用的变异数及其特点和计算方法。</w:t>
      </w:r>
    </w:p>
    <w:p w14:paraId="6BAA3AB1" w14:textId="77777777" w:rsidR="00F5289E" w:rsidRDefault="00C91173">
      <w:pPr>
        <w:snapToGrid w:val="0"/>
        <w:spacing w:line="360" w:lineRule="auto"/>
        <w:rPr>
          <w:b/>
          <w:szCs w:val="21"/>
        </w:rPr>
      </w:pPr>
      <w:r>
        <w:rPr>
          <w:b/>
          <w:szCs w:val="21"/>
        </w:rPr>
        <w:t>（三）考核要求</w:t>
      </w:r>
    </w:p>
    <w:p w14:paraId="7C9A8265" w14:textId="77777777" w:rsidR="00F5289E" w:rsidRDefault="00C91173">
      <w:pPr>
        <w:pStyle w:val="a9"/>
        <w:spacing w:line="360" w:lineRule="auto"/>
        <w:ind w:firstLineChars="200" w:firstLine="422"/>
        <w:rPr>
          <w:rFonts w:ascii="Times New Roman" w:hAnsi="Times New Roman" w:cs="Times New Roman"/>
          <w:b/>
        </w:rPr>
      </w:pPr>
      <w:r>
        <w:rPr>
          <w:rFonts w:ascii="Times New Roman" w:hAnsi="Times New Roman" w:cs="Times New Roman"/>
          <w:b/>
        </w:rPr>
        <w:t>1.</w:t>
      </w:r>
      <w:r>
        <w:rPr>
          <w:rFonts w:ascii="Times New Roman" w:hAnsi="Times New Roman" w:cs="Times New Roman"/>
          <w:b/>
        </w:rPr>
        <w:t>识记</w:t>
      </w:r>
      <w:r>
        <w:rPr>
          <w:rFonts w:ascii="Times New Roman" w:hAnsi="Times New Roman" w:cs="Times New Roman"/>
        </w:rPr>
        <w:t>：变数和变量。</w:t>
      </w:r>
    </w:p>
    <w:p w14:paraId="4E8964B0" w14:textId="77777777" w:rsidR="00F5289E" w:rsidRDefault="00C91173">
      <w:pPr>
        <w:pStyle w:val="a9"/>
        <w:spacing w:line="360" w:lineRule="auto"/>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b/>
        </w:rPr>
        <w:t>领会</w:t>
      </w:r>
      <w:r>
        <w:rPr>
          <w:rFonts w:ascii="Times New Roman" w:hAnsi="Times New Roman" w:cs="Times New Roman"/>
          <w:b/>
        </w:rPr>
        <w:t xml:space="preserve">: </w:t>
      </w:r>
      <w:r>
        <w:rPr>
          <w:rFonts w:ascii="Times New Roman" w:hAnsi="Times New Roman" w:cs="Times New Roman"/>
        </w:rPr>
        <w:t>总体和样本、参数和统计数等常用的统计术语。</w:t>
      </w:r>
    </w:p>
    <w:p w14:paraId="07E8817E" w14:textId="77777777" w:rsidR="00F5289E" w:rsidRDefault="00C91173">
      <w:pPr>
        <w:spacing w:line="360" w:lineRule="auto"/>
        <w:ind w:firstLineChars="200" w:firstLine="422"/>
        <w:rPr>
          <w:szCs w:val="21"/>
        </w:rPr>
      </w:pPr>
      <w:r>
        <w:rPr>
          <w:b/>
          <w:szCs w:val="21"/>
        </w:rPr>
        <w:t>3.</w:t>
      </w:r>
      <w:r>
        <w:rPr>
          <w:b/>
          <w:szCs w:val="21"/>
        </w:rPr>
        <w:t>应用</w:t>
      </w:r>
      <w:r>
        <w:rPr>
          <w:szCs w:val="21"/>
        </w:rPr>
        <w:t>：属性资料次数分布表和次数分布图的制作、</w:t>
      </w:r>
      <w:r>
        <w:t>次数分布表和次数分布图的制作；平均数和变异数的计算。</w:t>
      </w:r>
    </w:p>
    <w:p w14:paraId="7DBC722C" w14:textId="77777777" w:rsidR="00F5289E" w:rsidRDefault="00F5289E">
      <w:pPr>
        <w:snapToGrid w:val="0"/>
        <w:spacing w:line="360" w:lineRule="auto"/>
        <w:jc w:val="center"/>
        <w:rPr>
          <w:b/>
          <w:bCs/>
        </w:rPr>
      </w:pPr>
    </w:p>
    <w:p w14:paraId="4174F30D" w14:textId="77777777" w:rsidR="00F5289E" w:rsidRDefault="00C91173">
      <w:pPr>
        <w:snapToGrid w:val="0"/>
        <w:spacing w:line="360" w:lineRule="auto"/>
        <w:jc w:val="center"/>
        <w:rPr>
          <w:szCs w:val="21"/>
        </w:rPr>
      </w:pPr>
      <w:r>
        <w:rPr>
          <w:b/>
          <w:bCs/>
        </w:rPr>
        <w:t>第</w:t>
      </w:r>
      <w:r>
        <w:rPr>
          <w:rFonts w:hint="eastAsia"/>
          <w:b/>
          <w:bCs/>
        </w:rPr>
        <w:t>三</w:t>
      </w:r>
      <w:r>
        <w:rPr>
          <w:b/>
          <w:bCs/>
        </w:rPr>
        <w:t>章</w:t>
      </w:r>
      <w:r>
        <w:rPr>
          <w:b/>
          <w:bCs/>
        </w:rPr>
        <w:t xml:space="preserve">  </w:t>
      </w:r>
      <w:r>
        <w:rPr>
          <w:rFonts w:hint="eastAsia"/>
          <w:b/>
          <w:bCs/>
        </w:rPr>
        <w:t>抽样分布和统计假设检验</w:t>
      </w:r>
    </w:p>
    <w:p w14:paraId="3E9D174F" w14:textId="77777777" w:rsidR="00F5289E" w:rsidRDefault="00C91173">
      <w:pPr>
        <w:snapToGrid w:val="0"/>
        <w:spacing w:line="360" w:lineRule="auto"/>
        <w:rPr>
          <w:b/>
          <w:szCs w:val="21"/>
        </w:rPr>
      </w:pPr>
      <w:r>
        <w:rPr>
          <w:b/>
          <w:szCs w:val="21"/>
        </w:rPr>
        <w:t>（一）学习目标</w:t>
      </w:r>
    </w:p>
    <w:p w14:paraId="2B940685"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：概率的概念和基本运算，理论分布，常用统计数的分布。</w:t>
      </w:r>
    </w:p>
    <w:p w14:paraId="68CAE778"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：统计假设检验的几何意义和两类错误；参数的区间估计等。</w:t>
      </w:r>
    </w:p>
    <w:p w14:paraId="4B1EC78D"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：统计假设检验的原理和步骤；单个和两个样本平均数的假设检验。</w:t>
      </w:r>
    </w:p>
    <w:p w14:paraId="76DA47B5" w14:textId="77777777" w:rsidR="00F5289E" w:rsidRDefault="00C91173">
      <w:pPr>
        <w:snapToGrid w:val="0"/>
        <w:spacing w:line="360" w:lineRule="auto"/>
        <w:rPr>
          <w:szCs w:val="21"/>
        </w:rPr>
      </w:pPr>
      <w:r>
        <w:rPr>
          <w:b/>
          <w:szCs w:val="21"/>
        </w:rPr>
        <w:t>（二）考核内容</w:t>
      </w:r>
    </w:p>
    <w:p w14:paraId="2EFDE2A4" w14:textId="77777777" w:rsidR="00F5289E" w:rsidRDefault="00C91173">
      <w:pPr>
        <w:snapToGrid w:val="0"/>
        <w:spacing w:line="360" w:lineRule="auto"/>
        <w:ind w:firstLineChars="200" w:firstLine="420"/>
        <w:rPr>
          <w:bCs/>
          <w:szCs w:val="21"/>
        </w:rPr>
      </w:pPr>
      <w:r>
        <w:rPr>
          <w:bCs/>
          <w:szCs w:val="21"/>
        </w:rPr>
        <w:t xml:space="preserve">1. </w:t>
      </w:r>
      <w:r>
        <w:rPr>
          <w:bCs/>
          <w:szCs w:val="21"/>
        </w:rPr>
        <w:t>统计推断的概念；小概率事件不可能性原理；二项分布和正态分布；正态曲线下一定区间的概率计算。</w:t>
      </w:r>
    </w:p>
    <w:p w14:paraId="5CEC7908" w14:textId="77777777" w:rsidR="00F5289E" w:rsidRDefault="00C91173">
      <w:pPr>
        <w:snapToGrid w:val="0"/>
        <w:spacing w:line="360" w:lineRule="auto"/>
        <w:ind w:firstLineChars="200" w:firstLine="420"/>
        <w:rPr>
          <w:bCs/>
          <w:szCs w:val="21"/>
        </w:rPr>
      </w:pPr>
      <w:r>
        <w:rPr>
          <w:bCs/>
          <w:szCs w:val="21"/>
        </w:rPr>
        <w:t xml:space="preserve">2. </w:t>
      </w:r>
      <w:r>
        <w:rPr>
          <w:bCs/>
          <w:szCs w:val="21"/>
        </w:rPr>
        <w:t>样本平均数的分布、样本平均数差数的分布、</w:t>
      </w:r>
      <w:r>
        <w:rPr>
          <w:bCs/>
          <w:szCs w:val="21"/>
        </w:rPr>
        <w:t>t</w:t>
      </w:r>
      <w:r>
        <w:rPr>
          <w:bCs/>
          <w:szCs w:val="21"/>
        </w:rPr>
        <w:t>分布。</w:t>
      </w:r>
    </w:p>
    <w:p w14:paraId="76EBFE5F" w14:textId="77777777" w:rsidR="00F5289E" w:rsidRDefault="00C91173">
      <w:pPr>
        <w:snapToGrid w:val="0"/>
        <w:spacing w:line="360" w:lineRule="auto"/>
        <w:ind w:firstLineChars="200" w:firstLine="420"/>
        <w:rPr>
          <w:bCs/>
          <w:szCs w:val="21"/>
        </w:rPr>
      </w:pPr>
      <w:r>
        <w:rPr>
          <w:bCs/>
          <w:szCs w:val="21"/>
        </w:rPr>
        <w:t xml:space="preserve">3. </w:t>
      </w:r>
      <w:r>
        <w:rPr>
          <w:bCs/>
          <w:szCs w:val="21"/>
        </w:rPr>
        <w:t>统计假设检验的方法步骤；统计假设检验的几何意义和两类错误。</w:t>
      </w:r>
    </w:p>
    <w:p w14:paraId="568A73E1" w14:textId="77777777" w:rsidR="00F5289E" w:rsidRDefault="00C91173">
      <w:pPr>
        <w:snapToGrid w:val="0"/>
        <w:spacing w:line="360" w:lineRule="auto"/>
        <w:ind w:firstLineChars="200" w:firstLine="420"/>
        <w:rPr>
          <w:bCs/>
          <w:szCs w:val="21"/>
        </w:rPr>
      </w:pPr>
      <w:r>
        <w:rPr>
          <w:bCs/>
          <w:szCs w:val="21"/>
        </w:rPr>
        <w:t xml:space="preserve">4. </w:t>
      </w:r>
      <w:r>
        <w:rPr>
          <w:bCs/>
          <w:szCs w:val="21"/>
        </w:rPr>
        <w:t>单个样本平均数的假设检验；两个样本平均数的假设检验。</w:t>
      </w:r>
    </w:p>
    <w:p w14:paraId="188C51D6" w14:textId="77777777" w:rsidR="00F5289E" w:rsidRDefault="00C91173">
      <w:pPr>
        <w:snapToGrid w:val="0"/>
        <w:spacing w:line="360" w:lineRule="auto"/>
        <w:ind w:firstLineChars="200" w:firstLine="420"/>
        <w:rPr>
          <w:bCs/>
          <w:szCs w:val="21"/>
        </w:rPr>
      </w:pPr>
      <w:r>
        <w:rPr>
          <w:bCs/>
          <w:szCs w:val="21"/>
        </w:rPr>
        <w:t xml:space="preserve">5. </w:t>
      </w:r>
      <w:r>
        <w:rPr>
          <w:bCs/>
          <w:szCs w:val="21"/>
        </w:rPr>
        <w:t>参数的区间估计。</w:t>
      </w:r>
    </w:p>
    <w:p w14:paraId="5A2C4313" w14:textId="77777777" w:rsidR="00F5289E" w:rsidRDefault="00C91173">
      <w:pPr>
        <w:snapToGrid w:val="0"/>
        <w:spacing w:line="360" w:lineRule="auto"/>
        <w:rPr>
          <w:b/>
          <w:szCs w:val="21"/>
        </w:rPr>
      </w:pPr>
      <w:r>
        <w:rPr>
          <w:b/>
          <w:szCs w:val="21"/>
        </w:rPr>
        <w:t>（三）考核要求</w:t>
      </w:r>
    </w:p>
    <w:p w14:paraId="6F1622EA" w14:textId="77777777" w:rsidR="00F5289E" w:rsidRDefault="00C91173">
      <w:pPr>
        <w:spacing w:line="360" w:lineRule="auto"/>
        <w:ind w:firstLine="420"/>
        <w:rPr>
          <w:szCs w:val="21"/>
        </w:rPr>
      </w:pPr>
      <w:r>
        <w:rPr>
          <w:b/>
          <w:szCs w:val="21"/>
        </w:rPr>
        <w:t>1</w:t>
      </w:r>
      <w:r>
        <w:rPr>
          <w:szCs w:val="21"/>
        </w:rPr>
        <w:t xml:space="preserve">. </w:t>
      </w:r>
      <w:r>
        <w:rPr>
          <w:b/>
          <w:szCs w:val="21"/>
        </w:rPr>
        <w:t>识记</w:t>
      </w:r>
      <w:r>
        <w:rPr>
          <w:szCs w:val="21"/>
        </w:rPr>
        <w:t>：统计推断的相关概念和理论分布。</w:t>
      </w:r>
    </w:p>
    <w:p w14:paraId="3F46643E" w14:textId="77777777" w:rsidR="00F5289E" w:rsidRDefault="00C91173">
      <w:pPr>
        <w:spacing w:line="360" w:lineRule="auto"/>
        <w:ind w:firstLine="420"/>
        <w:rPr>
          <w:szCs w:val="21"/>
        </w:rPr>
      </w:pPr>
      <w:r>
        <w:rPr>
          <w:b/>
          <w:szCs w:val="21"/>
        </w:rPr>
        <w:t>2</w:t>
      </w:r>
      <w:r>
        <w:rPr>
          <w:szCs w:val="21"/>
        </w:rPr>
        <w:t xml:space="preserve">. </w:t>
      </w:r>
      <w:r>
        <w:rPr>
          <w:b/>
          <w:szCs w:val="21"/>
        </w:rPr>
        <w:t>领会</w:t>
      </w:r>
      <w:r>
        <w:rPr>
          <w:szCs w:val="21"/>
        </w:rPr>
        <w:t>：统计假设检验的几何意义和两类错误。</w:t>
      </w:r>
    </w:p>
    <w:p w14:paraId="0A807478" w14:textId="77777777" w:rsidR="00F5289E" w:rsidRDefault="00C91173">
      <w:pPr>
        <w:spacing w:line="360" w:lineRule="auto"/>
        <w:ind w:firstLine="420"/>
        <w:rPr>
          <w:szCs w:val="21"/>
        </w:rPr>
      </w:pPr>
      <w:r>
        <w:rPr>
          <w:b/>
          <w:szCs w:val="21"/>
        </w:rPr>
        <w:t>3</w:t>
      </w:r>
      <w:r>
        <w:rPr>
          <w:szCs w:val="21"/>
        </w:rPr>
        <w:t xml:space="preserve">. </w:t>
      </w:r>
      <w:r>
        <w:rPr>
          <w:b/>
          <w:szCs w:val="21"/>
        </w:rPr>
        <w:t>应用</w:t>
      </w:r>
      <w:r>
        <w:rPr>
          <w:szCs w:val="21"/>
        </w:rPr>
        <w:t>：正态曲线下一定区间的概率计算</w:t>
      </w:r>
      <w:r>
        <w:rPr>
          <w:bCs/>
          <w:szCs w:val="21"/>
        </w:rPr>
        <w:t>；</w:t>
      </w:r>
      <w:r>
        <w:rPr>
          <w:szCs w:val="21"/>
        </w:rPr>
        <w:t>参数的区间估计。</w:t>
      </w:r>
    </w:p>
    <w:p w14:paraId="7D00E02E" w14:textId="77777777" w:rsidR="00F5289E" w:rsidRDefault="00C91173">
      <w:pPr>
        <w:spacing w:line="360" w:lineRule="auto"/>
        <w:ind w:firstLine="420"/>
        <w:rPr>
          <w:b/>
          <w:szCs w:val="21"/>
        </w:rPr>
      </w:pPr>
      <w:r>
        <w:rPr>
          <w:b/>
          <w:szCs w:val="21"/>
        </w:rPr>
        <w:t>4</w:t>
      </w:r>
      <w:r>
        <w:rPr>
          <w:szCs w:val="21"/>
        </w:rPr>
        <w:t xml:space="preserve">. </w:t>
      </w:r>
      <w:r>
        <w:rPr>
          <w:b/>
          <w:szCs w:val="21"/>
        </w:rPr>
        <w:t>分析与综合</w:t>
      </w:r>
      <w:r>
        <w:rPr>
          <w:szCs w:val="21"/>
        </w:rPr>
        <w:t>：单个和两个样本平均数的假设检验。</w:t>
      </w:r>
    </w:p>
    <w:p w14:paraId="25A53495" w14:textId="77777777" w:rsidR="00F5289E" w:rsidRDefault="00C91173">
      <w:pPr>
        <w:spacing w:line="360" w:lineRule="auto"/>
        <w:ind w:firstLine="420"/>
        <w:rPr>
          <w:b/>
          <w:szCs w:val="21"/>
        </w:rPr>
      </w:pPr>
      <w:r>
        <w:rPr>
          <w:b/>
          <w:szCs w:val="21"/>
        </w:rPr>
        <w:t xml:space="preserve">5. </w:t>
      </w:r>
      <w:r>
        <w:rPr>
          <w:b/>
          <w:szCs w:val="21"/>
        </w:rPr>
        <w:t>评价</w:t>
      </w:r>
      <w:r>
        <w:rPr>
          <w:bCs/>
          <w:szCs w:val="21"/>
        </w:rPr>
        <w:t>：试验结果中两组平均数之间的差异显著性。</w:t>
      </w:r>
    </w:p>
    <w:p w14:paraId="4DDEF2F2" w14:textId="77777777" w:rsidR="00F5289E" w:rsidRDefault="00F5289E">
      <w:pPr>
        <w:snapToGrid w:val="0"/>
        <w:spacing w:line="360" w:lineRule="auto"/>
        <w:jc w:val="center"/>
        <w:rPr>
          <w:b/>
          <w:bCs/>
        </w:rPr>
      </w:pPr>
    </w:p>
    <w:p w14:paraId="7D1B1E4E" w14:textId="77777777" w:rsidR="00F5289E" w:rsidRDefault="00C91173">
      <w:pPr>
        <w:snapToGrid w:val="0"/>
        <w:spacing w:line="360" w:lineRule="auto"/>
        <w:jc w:val="center"/>
        <w:rPr>
          <w:b/>
          <w:szCs w:val="21"/>
        </w:rPr>
      </w:pPr>
      <w:r>
        <w:rPr>
          <w:b/>
          <w:bCs/>
        </w:rPr>
        <w:t>第</w:t>
      </w:r>
      <w:r>
        <w:rPr>
          <w:rFonts w:hint="eastAsia"/>
          <w:b/>
          <w:bCs/>
        </w:rPr>
        <w:t>四</w:t>
      </w:r>
      <w:r>
        <w:rPr>
          <w:b/>
          <w:bCs/>
        </w:rPr>
        <w:t>章</w:t>
      </w:r>
      <w:r>
        <w:rPr>
          <w:b/>
          <w:bCs/>
        </w:rPr>
        <w:t xml:space="preserve">  </w:t>
      </w:r>
      <w:r>
        <w:rPr>
          <w:b/>
          <w:bCs/>
        </w:rPr>
        <w:t>方差分析</w:t>
      </w:r>
    </w:p>
    <w:p w14:paraId="146681DC" w14:textId="77777777" w:rsidR="00F5289E" w:rsidRDefault="00C91173">
      <w:pPr>
        <w:snapToGrid w:val="0"/>
        <w:spacing w:line="360" w:lineRule="auto"/>
        <w:rPr>
          <w:b/>
          <w:szCs w:val="21"/>
        </w:rPr>
      </w:pPr>
      <w:r>
        <w:rPr>
          <w:b/>
          <w:szCs w:val="21"/>
        </w:rPr>
        <w:t>（一）学习目标</w:t>
      </w:r>
    </w:p>
    <w:p w14:paraId="3B90A193"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：方差分析的基本假定；方差分析的数学模型。</w:t>
      </w:r>
    </w:p>
    <w:p w14:paraId="36935746" w14:textId="77777777" w:rsidR="00F5289E" w:rsidRDefault="00C91173">
      <w:pPr>
        <w:snapToGrid w:val="0"/>
        <w:spacing w:line="360" w:lineRule="auto"/>
        <w:ind w:firstLineChars="200" w:firstLine="422"/>
        <w:rPr>
          <w:color w:val="0000FF"/>
          <w:szCs w:val="21"/>
        </w:rPr>
      </w:pPr>
      <w:r>
        <w:rPr>
          <w:b/>
          <w:szCs w:val="21"/>
        </w:rPr>
        <w:lastRenderedPageBreak/>
        <w:t xml:space="preserve">2. </w:t>
      </w:r>
      <w:r>
        <w:rPr>
          <w:b/>
          <w:szCs w:val="21"/>
        </w:rPr>
        <w:t>一般掌握</w:t>
      </w:r>
      <w:r>
        <w:rPr>
          <w:szCs w:val="21"/>
        </w:rPr>
        <w:t>：数据转换的方法</w:t>
      </w:r>
      <w:r>
        <w:t>。</w:t>
      </w:r>
    </w:p>
    <w:p w14:paraId="4D87EE39"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：方差分析的基本原理和步骤；</w:t>
      </w:r>
      <w:r>
        <w:rPr>
          <w:szCs w:val="21"/>
        </w:rPr>
        <w:t>LSD</w:t>
      </w:r>
      <w:r>
        <w:rPr>
          <w:szCs w:val="21"/>
        </w:rPr>
        <w:t>、</w:t>
      </w:r>
      <w:r>
        <w:rPr>
          <w:szCs w:val="21"/>
        </w:rPr>
        <w:t>SSR</w:t>
      </w:r>
      <w:r>
        <w:rPr>
          <w:szCs w:val="21"/>
        </w:rPr>
        <w:t>、</w:t>
      </w:r>
      <w:r>
        <w:rPr>
          <w:szCs w:val="21"/>
        </w:rPr>
        <w:t>q</w:t>
      </w:r>
      <w:r>
        <w:rPr>
          <w:szCs w:val="21"/>
        </w:rPr>
        <w:t>检验等多重比较的常用方法，用字母标记法表示差异显著性。</w:t>
      </w:r>
    </w:p>
    <w:p w14:paraId="72CAD9B8" w14:textId="77777777" w:rsidR="00F5289E" w:rsidRDefault="00C91173">
      <w:pPr>
        <w:snapToGrid w:val="0"/>
        <w:spacing w:line="360" w:lineRule="auto"/>
        <w:rPr>
          <w:szCs w:val="21"/>
        </w:rPr>
      </w:pPr>
      <w:r>
        <w:rPr>
          <w:b/>
          <w:szCs w:val="21"/>
        </w:rPr>
        <w:t>（二）考核内容</w:t>
      </w:r>
    </w:p>
    <w:p w14:paraId="6B0F5FF4" w14:textId="77777777" w:rsidR="00F5289E" w:rsidRDefault="00C91173">
      <w:pPr>
        <w:spacing w:line="360" w:lineRule="auto"/>
        <w:ind w:firstLineChars="200" w:firstLine="420"/>
        <w:rPr>
          <w:szCs w:val="21"/>
        </w:rPr>
      </w:pPr>
      <w:r>
        <w:rPr>
          <w:szCs w:val="21"/>
        </w:rPr>
        <w:t>1</w:t>
      </w:r>
      <w:r>
        <w:rPr>
          <w:b/>
          <w:szCs w:val="21"/>
        </w:rPr>
        <w:t xml:space="preserve">. </w:t>
      </w:r>
      <w:r>
        <w:rPr>
          <w:szCs w:val="21"/>
        </w:rPr>
        <w:t>方差分析的基本原理和方法步骤。</w:t>
      </w:r>
    </w:p>
    <w:p w14:paraId="47E0F413" w14:textId="77777777" w:rsidR="00F5289E" w:rsidRDefault="00C91173">
      <w:pPr>
        <w:spacing w:line="360" w:lineRule="auto"/>
        <w:ind w:firstLineChars="200" w:firstLine="420"/>
        <w:rPr>
          <w:szCs w:val="21"/>
        </w:rPr>
      </w:pPr>
      <w:r>
        <w:rPr>
          <w:szCs w:val="21"/>
        </w:rPr>
        <w:t>2</w:t>
      </w:r>
      <w:r>
        <w:rPr>
          <w:b/>
          <w:szCs w:val="21"/>
        </w:rPr>
        <w:t xml:space="preserve">. </w:t>
      </w:r>
      <w:r>
        <w:rPr>
          <w:szCs w:val="21"/>
        </w:rPr>
        <w:t>F</w:t>
      </w:r>
      <w:r>
        <w:rPr>
          <w:szCs w:val="21"/>
        </w:rPr>
        <w:t>检验和多重比较的常用方法。</w:t>
      </w:r>
    </w:p>
    <w:p w14:paraId="1C004E0D" w14:textId="77777777" w:rsidR="00F5289E" w:rsidRDefault="00C91173">
      <w:pPr>
        <w:spacing w:line="360" w:lineRule="auto"/>
        <w:ind w:firstLineChars="200" w:firstLine="420"/>
        <w:rPr>
          <w:szCs w:val="21"/>
        </w:rPr>
      </w:pPr>
      <w:r>
        <w:rPr>
          <w:szCs w:val="21"/>
        </w:rPr>
        <w:t>3</w:t>
      </w:r>
      <w:r>
        <w:rPr>
          <w:b/>
          <w:szCs w:val="21"/>
        </w:rPr>
        <w:t xml:space="preserve">. </w:t>
      </w:r>
      <w:r>
        <w:rPr>
          <w:szCs w:val="21"/>
        </w:rPr>
        <w:t>用字母标记法表示差异显著性。</w:t>
      </w:r>
    </w:p>
    <w:p w14:paraId="52BF17B2" w14:textId="77777777" w:rsidR="00F5289E" w:rsidRDefault="00C91173">
      <w:pPr>
        <w:spacing w:line="360" w:lineRule="auto"/>
        <w:ind w:firstLineChars="200" w:firstLine="420"/>
        <w:rPr>
          <w:szCs w:val="21"/>
        </w:rPr>
      </w:pPr>
      <w:r>
        <w:rPr>
          <w:szCs w:val="21"/>
        </w:rPr>
        <w:t>4</w:t>
      </w:r>
      <w:r>
        <w:rPr>
          <w:b/>
          <w:szCs w:val="21"/>
        </w:rPr>
        <w:t xml:space="preserve">. </w:t>
      </w:r>
      <w:r>
        <w:rPr>
          <w:szCs w:val="21"/>
        </w:rPr>
        <w:t>单向与两向分组资料进行方差分析的过程。</w:t>
      </w:r>
    </w:p>
    <w:p w14:paraId="07FCF2BE" w14:textId="77777777" w:rsidR="00F5289E" w:rsidRDefault="00C91173">
      <w:pPr>
        <w:snapToGrid w:val="0"/>
        <w:spacing w:line="360" w:lineRule="auto"/>
        <w:rPr>
          <w:b/>
          <w:szCs w:val="21"/>
        </w:rPr>
      </w:pPr>
      <w:r>
        <w:rPr>
          <w:b/>
          <w:szCs w:val="21"/>
        </w:rPr>
        <w:t>（三）考核要求</w:t>
      </w:r>
    </w:p>
    <w:p w14:paraId="0DF905CB" w14:textId="77777777" w:rsidR="00F5289E" w:rsidRDefault="00C91173">
      <w:pPr>
        <w:spacing w:line="360" w:lineRule="auto"/>
        <w:ind w:firstLine="420"/>
        <w:rPr>
          <w:szCs w:val="21"/>
        </w:rPr>
      </w:pPr>
      <w:r>
        <w:rPr>
          <w:b/>
          <w:szCs w:val="21"/>
        </w:rPr>
        <w:t xml:space="preserve">1. </w:t>
      </w:r>
      <w:r>
        <w:rPr>
          <w:b/>
          <w:szCs w:val="21"/>
        </w:rPr>
        <w:t>识记与领会</w:t>
      </w:r>
      <w:r>
        <w:rPr>
          <w:bCs/>
          <w:szCs w:val="21"/>
        </w:rPr>
        <w:t>：</w:t>
      </w:r>
      <w:r>
        <w:rPr>
          <w:szCs w:val="21"/>
        </w:rPr>
        <w:t>方差分析的基本原理，领会方差分析的基本特点。</w:t>
      </w:r>
    </w:p>
    <w:p w14:paraId="255FFB03" w14:textId="77777777" w:rsidR="00F5289E" w:rsidRDefault="00C91173">
      <w:pPr>
        <w:spacing w:line="360" w:lineRule="auto"/>
        <w:ind w:firstLine="420"/>
        <w:rPr>
          <w:szCs w:val="21"/>
        </w:rPr>
      </w:pPr>
      <w:r>
        <w:rPr>
          <w:b/>
          <w:szCs w:val="21"/>
        </w:rPr>
        <w:t xml:space="preserve">2. </w:t>
      </w:r>
      <w:r>
        <w:rPr>
          <w:b/>
          <w:szCs w:val="21"/>
        </w:rPr>
        <w:t>应用</w:t>
      </w:r>
      <w:r>
        <w:rPr>
          <w:bCs/>
          <w:szCs w:val="21"/>
        </w:rPr>
        <w:t>：</w:t>
      </w:r>
      <w:r>
        <w:rPr>
          <w:szCs w:val="21"/>
        </w:rPr>
        <w:t>方差分析的过程；多重比较及字母标记法。</w:t>
      </w:r>
    </w:p>
    <w:p w14:paraId="6E2D79C1" w14:textId="77777777" w:rsidR="00F5289E" w:rsidRDefault="00C91173">
      <w:pPr>
        <w:spacing w:line="360" w:lineRule="auto"/>
        <w:ind w:firstLine="420"/>
        <w:rPr>
          <w:szCs w:val="21"/>
        </w:rPr>
      </w:pPr>
      <w:r>
        <w:rPr>
          <w:b/>
          <w:bCs/>
          <w:szCs w:val="21"/>
        </w:rPr>
        <w:t xml:space="preserve">3. </w:t>
      </w:r>
      <w:r>
        <w:rPr>
          <w:b/>
          <w:bCs/>
          <w:szCs w:val="21"/>
        </w:rPr>
        <w:t>分析与综合：</w:t>
      </w:r>
      <w:r>
        <w:rPr>
          <w:szCs w:val="21"/>
        </w:rPr>
        <w:t>方差分析的数据转换；对单向与两向分组资料进行统计假设检验。</w:t>
      </w:r>
    </w:p>
    <w:p w14:paraId="61A4CEE2" w14:textId="77777777" w:rsidR="00F5289E" w:rsidRDefault="00C91173">
      <w:pPr>
        <w:spacing w:line="360" w:lineRule="auto"/>
        <w:ind w:firstLine="420"/>
        <w:rPr>
          <w:szCs w:val="21"/>
        </w:rPr>
      </w:pPr>
      <w:r>
        <w:rPr>
          <w:b/>
          <w:bCs/>
          <w:szCs w:val="21"/>
        </w:rPr>
        <w:t xml:space="preserve">4. </w:t>
      </w:r>
      <w:r>
        <w:rPr>
          <w:b/>
          <w:bCs/>
          <w:szCs w:val="21"/>
        </w:rPr>
        <w:t>评价：</w:t>
      </w:r>
      <w:r>
        <w:rPr>
          <w:szCs w:val="21"/>
        </w:rPr>
        <w:t>单向与两向分组资料的多个平均数之间的差异显著性。</w:t>
      </w:r>
    </w:p>
    <w:p w14:paraId="0AA191FE" w14:textId="77777777" w:rsidR="00F5289E" w:rsidRDefault="00F5289E">
      <w:pPr>
        <w:spacing w:line="360" w:lineRule="auto"/>
        <w:ind w:firstLine="420"/>
        <w:rPr>
          <w:szCs w:val="21"/>
        </w:rPr>
      </w:pPr>
    </w:p>
    <w:p w14:paraId="736A613C" w14:textId="77777777" w:rsidR="00F5289E" w:rsidRDefault="00C91173">
      <w:pPr>
        <w:snapToGrid w:val="0"/>
        <w:spacing w:line="360" w:lineRule="auto"/>
        <w:jc w:val="center"/>
        <w:rPr>
          <w:b/>
          <w:szCs w:val="21"/>
        </w:rPr>
      </w:pPr>
      <w:r>
        <w:rPr>
          <w:b/>
          <w:bCs/>
        </w:rPr>
        <w:t>第</w:t>
      </w:r>
      <w:r>
        <w:rPr>
          <w:rFonts w:hint="eastAsia"/>
          <w:b/>
          <w:bCs/>
        </w:rPr>
        <w:t>五</w:t>
      </w:r>
      <w:r>
        <w:rPr>
          <w:b/>
          <w:bCs/>
        </w:rPr>
        <w:t>章</w:t>
      </w:r>
      <w:r>
        <w:rPr>
          <w:b/>
          <w:bCs/>
        </w:rPr>
        <w:t xml:space="preserve">  </w:t>
      </w:r>
      <w:r>
        <w:rPr>
          <w:b/>
          <w:bCs/>
        </w:rPr>
        <w:t>常</w:t>
      </w:r>
      <w:r>
        <w:rPr>
          <w:rFonts w:hint="eastAsia"/>
          <w:b/>
          <w:bCs/>
        </w:rPr>
        <w:t>用</w:t>
      </w:r>
      <w:r>
        <w:rPr>
          <w:b/>
          <w:bCs/>
        </w:rPr>
        <w:t>试验设计试验结果的统计分析</w:t>
      </w:r>
    </w:p>
    <w:p w14:paraId="53214231" w14:textId="77777777" w:rsidR="00F5289E" w:rsidRDefault="00C91173">
      <w:pPr>
        <w:snapToGrid w:val="0"/>
        <w:spacing w:line="360" w:lineRule="auto"/>
        <w:rPr>
          <w:b/>
          <w:szCs w:val="21"/>
        </w:rPr>
      </w:pPr>
      <w:r>
        <w:rPr>
          <w:b/>
          <w:szCs w:val="21"/>
        </w:rPr>
        <w:t>（一）学习目标</w:t>
      </w:r>
    </w:p>
    <w:p w14:paraId="3DF53455" w14:textId="77777777" w:rsidR="00F5289E" w:rsidRDefault="00C91173">
      <w:pPr>
        <w:snapToGrid w:val="0"/>
        <w:spacing w:line="360" w:lineRule="auto"/>
        <w:ind w:firstLineChars="200" w:firstLine="422"/>
        <w:rPr>
          <w:szCs w:val="21"/>
        </w:rPr>
      </w:pPr>
      <w:r>
        <w:rPr>
          <w:b/>
          <w:szCs w:val="21"/>
        </w:rPr>
        <w:t xml:space="preserve">1. </w:t>
      </w:r>
      <w:r>
        <w:rPr>
          <w:b/>
          <w:szCs w:val="21"/>
        </w:rPr>
        <w:t>一般掌握</w:t>
      </w:r>
      <w:r>
        <w:rPr>
          <w:szCs w:val="21"/>
        </w:rPr>
        <w:t>：顺序排列设计试验结果的比较分析；缺区估计。</w:t>
      </w:r>
    </w:p>
    <w:p w14:paraId="02E57541"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熟练掌握</w:t>
      </w:r>
      <w:r>
        <w:rPr>
          <w:szCs w:val="21"/>
        </w:rPr>
        <w:t>：常用随机排列试验设计试验结果的统计分析。</w:t>
      </w:r>
    </w:p>
    <w:p w14:paraId="37CFDFF5" w14:textId="77777777" w:rsidR="00F5289E" w:rsidRDefault="00C91173">
      <w:pPr>
        <w:snapToGrid w:val="0"/>
        <w:spacing w:line="360" w:lineRule="auto"/>
        <w:rPr>
          <w:szCs w:val="21"/>
        </w:rPr>
      </w:pPr>
      <w:r>
        <w:rPr>
          <w:b/>
          <w:szCs w:val="21"/>
        </w:rPr>
        <w:t>（二）考核内容</w:t>
      </w:r>
    </w:p>
    <w:p w14:paraId="3CCF8D54" w14:textId="77777777" w:rsidR="00F5289E" w:rsidRDefault="00C91173">
      <w:pPr>
        <w:spacing w:line="360" w:lineRule="auto"/>
        <w:ind w:firstLine="420"/>
        <w:rPr>
          <w:szCs w:val="21"/>
        </w:rPr>
      </w:pPr>
      <w:r>
        <w:rPr>
          <w:szCs w:val="21"/>
        </w:rPr>
        <w:t>1</w:t>
      </w:r>
      <w:r>
        <w:rPr>
          <w:b/>
          <w:szCs w:val="21"/>
        </w:rPr>
        <w:t xml:space="preserve">. </w:t>
      </w:r>
      <w:r>
        <w:rPr>
          <w:szCs w:val="21"/>
        </w:rPr>
        <w:t>对比法、间比法设计结果的比较分析。</w:t>
      </w:r>
    </w:p>
    <w:p w14:paraId="016D9966" w14:textId="77777777" w:rsidR="00F5289E" w:rsidRDefault="00C91173">
      <w:pPr>
        <w:spacing w:line="360" w:lineRule="auto"/>
        <w:ind w:firstLine="420"/>
        <w:rPr>
          <w:szCs w:val="21"/>
        </w:rPr>
      </w:pPr>
      <w:r>
        <w:rPr>
          <w:szCs w:val="21"/>
        </w:rPr>
        <w:t>2</w:t>
      </w:r>
      <w:r>
        <w:rPr>
          <w:b/>
          <w:szCs w:val="21"/>
        </w:rPr>
        <w:t xml:space="preserve">. </w:t>
      </w:r>
      <w:r>
        <w:rPr>
          <w:szCs w:val="21"/>
        </w:rPr>
        <w:t>单因素完全随机、随机区组、拉丁方设计试验结果的统计分析方法。</w:t>
      </w:r>
    </w:p>
    <w:p w14:paraId="64A29546" w14:textId="77777777" w:rsidR="00F5289E" w:rsidRDefault="00C91173">
      <w:pPr>
        <w:spacing w:line="360" w:lineRule="auto"/>
        <w:ind w:firstLineChars="200" w:firstLine="420"/>
        <w:rPr>
          <w:szCs w:val="21"/>
        </w:rPr>
      </w:pPr>
      <w:r>
        <w:rPr>
          <w:szCs w:val="21"/>
        </w:rPr>
        <w:t>3</w:t>
      </w:r>
      <w:r>
        <w:rPr>
          <w:b/>
          <w:szCs w:val="21"/>
        </w:rPr>
        <w:t xml:space="preserve">. </w:t>
      </w:r>
      <w:r>
        <w:rPr>
          <w:szCs w:val="21"/>
        </w:rPr>
        <w:t>二因素完全随机、随机区组等设计试验结果的统计分析方法。</w:t>
      </w:r>
    </w:p>
    <w:p w14:paraId="4C45999D" w14:textId="77777777" w:rsidR="00F5289E" w:rsidRDefault="00C91173">
      <w:pPr>
        <w:snapToGrid w:val="0"/>
        <w:spacing w:line="360" w:lineRule="auto"/>
        <w:rPr>
          <w:b/>
          <w:szCs w:val="21"/>
        </w:rPr>
      </w:pPr>
      <w:r>
        <w:rPr>
          <w:b/>
          <w:szCs w:val="21"/>
        </w:rPr>
        <w:t>（三）考核要求</w:t>
      </w:r>
    </w:p>
    <w:p w14:paraId="2522F2A7" w14:textId="77777777" w:rsidR="00F5289E" w:rsidRDefault="00C91173">
      <w:pPr>
        <w:spacing w:line="360" w:lineRule="auto"/>
        <w:ind w:firstLineChars="200" w:firstLine="422"/>
        <w:rPr>
          <w:szCs w:val="21"/>
        </w:rPr>
      </w:pPr>
      <w:r>
        <w:rPr>
          <w:b/>
          <w:szCs w:val="21"/>
        </w:rPr>
        <w:t xml:space="preserve">1. </w:t>
      </w:r>
      <w:r>
        <w:rPr>
          <w:b/>
          <w:szCs w:val="21"/>
        </w:rPr>
        <w:t>应用与分析</w:t>
      </w:r>
      <w:r>
        <w:rPr>
          <w:bCs/>
          <w:szCs w:val="21"/>
        </w:rPr>
        <w:t>：</w:t>
      </w:r>
      <w:r>
        <w:rPr>
          <w:szCs w:val="21"/>
        </w:rPr>
        <w:t>常用顺序排列试验设计试验结果的统计分析；常用随机排列试验设计试验结果的统计分析。</w:t>
      </w:r>
    </w:p>
    <w:p w14:paraId="48C3C99C" w14:textId="77777777" w:rsidR="00F5289E" w:rsidRDefault="00F5289E">
      <w:pPr>
        <w:pStyle w:val="a9"/>
        <w:snapToGrid w:val="0"/>
        <w:spacing w:line="360" w:lineRule="auto"/>
        <w:jc w:val="center"/>
        <w:rPr>
          <w:rFonts w:ascii="Times New Roman" w:hAnsi="Times New Roman" w:cs="Times New Roman"/>
          <w:b/>
          <w:bCs/>
        </w:rPr>
      </w:pPr>
    </w:p>
    <w:p w14:paraId="1A1A3074" w14:textId="02A1B7DA" w:rsidR="00F5289E" w:rsidRDefault="0011687D">
      <w:pPr>
        <w:pStyle w:val="a9"/>
        <w:snapToGrid w:val="0"/>
        <w:spacing w:line="360" w:lineRule="auto"/>
        <w:jc w:val="center"/>
        <w:rPr>
          <w:rFonts w:ascii="Times New Roman" w:hAnsi="Times New Roman" w:cs="Times New Roman"/>
          <w:b/>
          <w:bCs/>
        </w:rPr>
      </w:pPr>
      <w:r>
        <w:rPr>
          <w:rFonts w:ascii="Times New Roman" w:hAnsi="Times New Roman" w:cs="Times New Roman" w:hint="eastAsia"/>
          <w:b/>
          <w:bCs/>
        </w:rPr>
        <w:t>第六章</w:t>
      </w: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b/>
          <w:bCs/>
        </w:rPr>
        <w:t>卡平方检验</w:t>
      </w:r>
    </w:p>
    <w:p w14:paraId="79C19041" w14:textId="77777777" w:rsidR="00F5289E" w:rsidRDefault="00C91173">
      <w:pPr>
        <w:snapToGrid w:val="0"/>
        <w:spacing w:line="360" w:lineRule="auto"/>
        <w:rPr>
          <w:b/>
          <w:szCs w:val="21"/>
        </w:rPr>
      </w:pPr>
      <w:r>
        <w:rPr>
          <w:b/>
          <w:szCs w:val="21"/>
        </w:rPr>
        <w:t>（一）学习目标</w:t>
      </w:r>
    </w:p>
    <w:p w14:paraId="11C7FDB6"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w:t>
      </w:r>
      <w:r>
        <w:rPr>
          <w:szCs w:val="21"/>
        </w:rPr>
        <w:t>χ</w:t>
      </w:r>
      <w:r>
        <w:rPr>
          <w:szCs w:val="21"/>
          <w:vertAlign w:val="superscript"/>
        </w:rPr>
        <w:t>2</w:t>
      </w:r>
      <w:r>
        <w:rPr>
          <w:szCs w:val="21"/>
        </w:rPr>
        <w:t>检验在方差同质性测验中的应用。</w:t>
      </w:r>
    </w:p>
    <w:p w14:paraId="405CD867"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：卡平方的概念。</w:t>
      </w:r>
    </w:p>
    <w:p w14:paraId="44E6C47B"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：适合性检验和独立性检验的方法；连续性矫正的方法。</w:t>
      </w:r>
    </w:p>
    <w:p w14:paraId="640C6D16" w14:textId="77777777" w:rsidR="00F5289E" w:rsidRDefault="00C91173">
      <w:pPr>
        <w:snapToGrid w:val="0"/>
        <w:spacing w:line="360" w:lineRule="auto"/>
        <w:rPr>
          <w:szCs w:val="21"/>
        </w:rPr>
      </w:pPr>
      <w:r>
        <w:rPr>
          <w:b/>
          <w:szCs w:val="21"/>
        </w:rPr>
        <w:t>（二）考核内容</w:t>
      </w:r>
    </w:p>
    <w:p w14:paraId="4BC1CCFE" w14:textId="77777777" w:rsidR="00F5289E" w:rsidRDefault="00C91173">
      <w:pPr>
        <w:spacing w:line="360" w:lineRule="auto"/>
        <w:ind w:firstLineChars="200" w:firstLine="420"/>
        <w:rPr>
          <w:rFonts w:eastAsiaTheme="minorEastAsia"/>
          <w:szCs w:val="21"/>
        </w:rPr>
      </w:pPr>
      <w:r>
        <w:rPr>
          <w:rFonts w:eastAsiaTheme="minorEastAsia"/>
          <w:szCs w:val="21"/>
        </w:rPr>
        <w:lastRenderedPageBreak/>
        <w:t>1</w:t>
      </w:r>
      <w:r>
        <w:rPr>
          <w:rFonts w:eastAsiaTheme="minorEastAsia"/>
          <w:b/>
          <w:szCs w:val="21"/>
        </w:rPr>
        <w:t xml:space="preserve">. </w:t>
      </w:r>
      <w:r>
        <w:rPr>
          <w:rFonts w:eastAsiaTheme="minorEastAsia"/>
          <w:szCs w:val="21"/>
        </w:rPr>
        <w:t>卡平方、方差同质性检验、适合性检验和独立性检验的概念。</w:t>
      </w:r>
    </w:p>
    <w:p w14:paraId="64E20A9B" w14:textId="77777777" w:rsidR="00F5289E" w:rsidRDefault="00C91173">
      <w:pPr>
        <w:spacing w:line="360" w:lineRule="auto"/>
        <w:ind w:firstLineChars="200" w:firstLine="420"/>
        <w:rPr>
          <w:rFonts w:eastAsiaTheme="minorEastAsia"/>
          <w:szCs w:val="21"/>
        </w:rPr>
      </w:pPr>
      <w:r>
        <w:rPr>
          <w:rFonts w:eastAsiaTheme="minorEastAsia"/>
          <w:szCs w:val="21"/>
        </w:rPr>
        <w:t>2</w:t>
      </w:r>
      <w:r>
        <w:rPr>
          <w:rFonts w:eastAsiaTheme="minorEastAsia"/>
          <w:b/>
          <w:szCs w:val="21"/>
        </w:rPr>
        <w:t xml:space="preserve">. </w:t>
      </w:r>
      <w:r>
        <w:rPr>
          <w:rFonts w:eastAsiaTheme="minorEastAsia"/>
          <w:szCs w:val="21"/>
        </w:rPr>
        <w:t>理论次数的计算；适合性检验和独立性检验的方法。</w:t>
      </w:r>
    </w:p>
    <w:p w14:paraId="4EBDD072" w14:textId="77777777" w:rsidR="00F5289E" w:rsidRDefault="00C91173">
      <w:pPr>
        <w:spacing w:line="360" w:lineRule="auto"/>
        <w:ind w:firstLineChars="200" w:firstLine="420"/>
        <w:rPr>
          <w:rFonts w:eastAsiaTheme="minorEastAsia"/>
          <w:szCs w:val="21"/>
        </w:rPr>
      </w:pPr>
      <w:r>
        <w:rPr>
          <w:rFonts w:eastAsiaTheme="minorEastAsia"/>
          <w:szCs w:val="21"/>
        </w:rPr>
        <w:t>3</w:t>
      </w:r>
      <w:r>
        <w:rPr>
          <w:rFonts w:eastAsiaTheme="minorEastAsia"/>
          <w:b/>
          <w:szCs w:val="21"/>
        </w:rPr>
        <w:t xml:space="preserve">. </w:t>
      </w:r>
      <w:r>
        <w:rPr>
          <w:rFonts w:eastAsiaTheme="minorEastAsia"/>
          <w:szCs w:val="21"/>
        </w:rPr>
        <w:t>连续性矫正的方法。</w:t>
      </w:r>
    </w:p>
    <w:p w14:paraId="62F29415" w14:textId="77777777" w:rsidR="00F5289E" w:rsidRDefault="00C91173">
      <w:pPr>
        <w:snapToGrid w:val="0"/>
        <w:spacing w:line="360" w:lineRule="auto"/>
        <w:rPr>
          <w:b/>
          <w:szCs w:val="21"/>
        </w:rPr>
      </w:pPr>
      <w:r>
        <w:rPr>
          <w:b/>
          <w:szCs w:val="21"/>
        </w:rPr>
        <w:t>（三）考核要求</w:t>
      </w:r>
    </w:p>
    <w:p w14:paraId="0F27CE56" w14:textId="77777777" w:rsidR="00F5289E" w:rsidRDefault="00C91173">
      <w:pPr>
        <w:spacing w:line="360" w:lineRule="auto"/>
        <w:ind w:firstLineChars="200" w:firstLine="422"/>
        <w:rPr>
          <w:szCs w:val="21"/>
        </w:rPr>
      </w:pPr>
      <w:r>
        <w:rPr>
          <w:b/>
          <w:szCs w:val="21"/>
        </w:rPr>
        <w:t xml:space="preserve">1. </w:t>
      </w:r>
      <w:r>
        <w:rPr>
          <w:b/>
          <w:szCs w:val="21"/>
        </w:rPr>
        <w:t>识记与领会</w:t>
      </w:r>
      <w:r>
        <w:rPr>
          <w:bCs/>
          <w:szCs w:val="21"/>
        </w:rPr>
        <w:t>：</w:t>
      </w:r>
      <w:r>
        <w:rPr>
          <w:szCs w:val="21"/>
        </w:rPr>
        <w:t>卡平方、适合性检验和独立性检验的概念。</w:t>
      </w:r>
    </w:p>
    <w:p w14:paraId="05237184" w14:textId="77777777" w:rsidR="00F5289E" w:rsidRDefault="00C91173">
      <w:pPr>
        <w:spacing w:line="360" w:lineRule="auto"/>
        <w:ind w:firstLineChars="200" w:firstLine="422"/>
        <w:rPr>
          <w:szCs w:val="21"/>
        </w:rPr>
      </w:pPr>
      <w:r>
        <w:rPr>
          <w:b/>
          <w:szCs w:val="21"/>
        </w:rPr>
        <w:t xml:space="preserve">2. </w:t>
      </w:r>
      <w:r>
        <w:rPr>
          <w:b/>
          <w:szCs w:val="21"/>
        </w:rPr>
        <w:t>应用</w:t>
      </w:r>
      <w:r>
        <w:rPr>
          <w:bCs/>
          <w:szCs w:val="21"/>
        </w:rPr>
        <w:t>：</w:t>
      </w:r>
      <w:r>
        <w:rPr>
          <w:rFonts w:eastAsiaTheme="minorEastAsia"/>
          <w:szCs w:val="21"/>
        </w:rPr>
        <w:t>方差同质性检验</w:t>
      </w:r>
      <w:r>
        <w:rPr>
          <w:szCs w:val="21"/>
        </w:rPr>
        <w:t>。</w:t>
      </w:r>
    </w:p>
    <w:p w14:paraId="3BC6983D" w14:textId="77777777" w:rsidR="00F5289E" w:rsidRDefault="00C91173">
      <w:pPr>
        <w:spacing w:line="360" w:lineRule="auto"/>
        <w:ind w:firstLineChars="200" w:firstLine="422"/>
        <w:rPr>
          <w:szCs w:val="21"/>
        </w:rPr>
      </w:pPr>
      <w:r>
        <w:rPr>
          <w:b/>
          <w:szCs w:val="21"/>
        </w:rPr>
        <w:t xml:space="preserve">3. </w:t>
      </w:r>
      <w:r>
        <w:rPr>
          <w:b/>
          <w:szCs w:val="21"/>
        </w:rPr>
        <w:t>分析与综合</w:t>
      </w:r>
      <w:r>
        <w:rPr>
          <w:bCs/>
          <w:szCs w:val="21"/>
        </w:rPr>
        <w:t>：</w:t>
      </w:r>
      <w:r>
        <w:rPr>
          <w:szCs w:val="21"/>
        </w:rPr>
        <w:t>连续性矫正的方法；理论次数的计算；适合性检验和独立性检验的方法。</w:t>
      </w:r>
    </w:p>
    <w:p w14:paraId="4CCB3A58" w14:textId="77777777" w:rsidR="00F5289E" w:rsidRDefault="00F5289E">
      <w:pPr>
        <w:pStyle w:val="a9"/>
        <w:snapToGrid w:val="0"/>
        <w:spacing w:line="360" w:lineRule="auto"/>
        <w:jc w:val="center"/>
        <w:rPr>
          <w:rFonts w:ascii="Times New Roman" w:hAnsi="Times New Roman" w:cs="Times New Roman"/>
          <w:b/>
          <w:bCs/>
        </w:rPr>
      </w:pPr>
    </w:p>
    <w:p w14:paraId="2B8A282C" w14:textId="77777777" w:rsidR="00F5289E" w:rsidRDefault="00C91173" w:rsidP="00A115EF">
      <w:pPr>
        <w:pStyle w:val="a9"/>
        <w:numPr>
          <w:ilvl w:val="0"/>
          <w:numId w:val="58"/>
        </w:numPr>
        <w:snapToGrid w:val="0"/>
        <w:spacing w:line="360" w:lineRule="auto"/>
        <w:jc w:val="center"/>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直线回归与相关</w:t>
      </w:r>
    </w:p>
    <w:p w14:paraId="6E33F088" w14:textId="77777777" w:rsidR="00F5289E" w:rsidRDefault="00C91173">
      <w:pPr>
        <w:snapToGrid w:val="0"/>
        <w:spacing w:line="360" w:lineRule="auto"/>
        <w:rPr>
          <w:b/>
          <w:szCs w:val="21"/>
        </w:rPr>
      </w:pPr>
      <w:r>
        <w:rPr>
          <w:b/>
          <w:szCs w:val="21"/>
        </w:rPr>
        <w:t>（一）学习目标</w:t>
      </w:r>
    </w:p>
    <w:p w14:paraId="599F755C"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：回归与相关分析方法的适用范围。</w:t>
      </w:r>
    </w:p>
    <w:p w14:paraId="55663040"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：回归与相关的概念；回归关系的统计假设检验。</w:t>
      </w:r>
    </w:p>
    <w:p w14:paraId="4C55DB52"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：直线回归与相关分析的一般程序和方法。</w:t>
      </w:r>
    </w:p>
    <w:p w14:paraId="14CBAAFD" w14:textId="77777777" w:rsidR="00F5289E" w:rsidRDefault="00C91173">
      <w:pPr>
        <w:snapToGrid w:val="0"/>
        <w:spacing w:line="360" w:lineRule="auto"/>
        <w:rPr>
          <w:szCs w:val="21"/>
        </w:rPr>
      </w:pPr>
      <w:r>
        <w:rPr>
          <w:b/>
          <w:szCs w:val="21"/>
        </w:rPr>
        <w:t>（二）考核内容</w:t>
      </w:r>
    </w:p>
    <w:p w14:paraId="646B6959" w14:textId="77777777" w:rsidR="00F5289E" w:rsidRDefault="00C91173">
      <w:pPr>
        <w:spacing w:line="360" w:lineRule="auto"/>
        <w:ind w:firstLineChars="200" w:firstLine="420"/>
        <w:rPr>
          <w:szCs w:val="21"/>
        </w:rPr>
      </w:pPr>
      <w:r>
        <w:rPr>
          <w:szCs w:val="21"/>
        </w:rPr>
        <w:t>1</w:t>
      </w:r>
      <w:r>
        <w:rPr>
          <w:b/>
          <w:szCs w:val="21"/>
        </w:rPr>
        <w:t xml:space="preserve">. </w:t>
      </w:r>
      <w:r>
        <w:rPr>
          <w:szCs w:val="21"/>
        </w:rPr>
        <w:t>回归与相关的概念</w:t>
      </w:r>
    </w:p>
    <w:p w14:paraId="07B57971" w14:textId="77777777" w:rsidR="00F5289E" w:rsidRDefault="00C91173">
      <w:pPr>
        <w:spacing w:line="360" w:lineRule="auto"/>
        <w:ind w:firstLineChars="200" w:firstLine="420"/>
        <w:rPr>
          <w:szCs w:val="21"/>
        </w:rPr>
      </w:pPr>
      <w:r>
        <w:rPr>
          <w:szCs w:val="21"/>
        </w:rPr>
        <w:t>2</w:t>
      </w:r>
      <w:r>
        <w:rPr>
          <w:b/>
          <w:szCs w:val="21"/>
        </w:rPr>
        <w:t xml:space="preserve">. </w:t>
      </w:r>
      <w:r>
        <w:rPr>
          <w:szCs w:val="21"/>
        </w:rPr>
        <w:t>直线回归与相关分析的一般程序和方法。</w:t>
      </w:r>
    </w:p>
    <w:p w14:paraId="58008C10" w14:textId="77777777" w:rsidR="00F5289E" w:rsidRDefault="00C91173">
      <w:pPr>
        <w:spacing w:line="360" w:lineRule="auto"/>
        <w:ind w:firstLineChars="200" w:firstLine="420"/>
        <w:rPr>
          <w:szCs w:val="21"/>
        </w:rPr>
      </w:pPr>
      <w:r>
        <w:rPr>
          <w:szCs w:val="21"/>
        </w:rPr>
        <w:t>3</w:t>
      </w:r>
      <w:r>
        <w:rPr>
          <w:b/>
          <w:szCs w:val="21"/>
        </w:rPr>
        <w:t xml:space="preserve">. </w:t>
      </w:r>
      <w:r>
        <w:rPr>
          <w:szCs w:val="21"/>
        </w:rPr>
        <w:t>直线回归方程的计算及回归关系的统计假设检验，回归图的制作。</w:t>
      </w:r>
    </w:p>
    <w:p w14:paraId="280A1B81" w14:textId="77777777" w:rsidR="00F5289E" w:rsidRDefault="00C91173">
      <w:pPr>
        <w:spacing w:line="360" w:lineRule="auto"/>
        <w:ind w:firstLineChars="200" w:firstLine="420"/>
        <w:rPr>
          <w:szCs w:val="21"/>
        </w:rPr>
      </w:pPr>
      <w:r>
        <w:rPr>
          <w:szCs w:val="21"/>
        </w:rPr>
        <w:t>4</w:t>
      </w:r>
      <w:r>
        <w:rPr>
          <w:b/>
          <w:szCs w:val="21"/>
        </w:rPr>
        <w:t xml:space="preserve">. </w:t>
      </w:r>
      <w:r>
        <w:rPr>
          <w:szCs w:val="21"/>
        </w:rPr>
        <w:t>相关系数的计算和假设检验。</w:t>
      </w:r>
    </w:p>
    <w:p w14:paraId="26CDE79A" w14:textId="77777777" w:rsidR="00F5289E" w:rsidRDefault="00C91173">
      <w:pPr>
        <w:spacing w:line="360" w:lineRule="auto"/>
        <w:ind w:firstLineChars="200" w:firstLine="420"/>
        <w:rPr>
          <w:szCs w:val="21"/>
        </w:rPr>
      </w:pPr>
      <w:r>
        <w:rPr>
          <w:szCs w:val="21"/>
        </w:rPr>
        <w:t>5</w:t>
      </w:r>
      <w:r>
        <w:rPr>
          <w:b/>
          <w:szCs w:val="21"/>
        </w:rPr>
        <w:t xml:space="preserve">. </w:t>
      </w:r>
      <w:r>
        <w:rPr>
          <w:szCs w:val="21"/>
        </w:rPr>
        <w:t>直线回归与相关分析的注意事项。</w:t>
      </w:r>
    </w:p>
    <w:p w14:paraId="443ABA37" w14:textId="77777777" w:rsidR="00F5289E" w:rsidRDefault="00C91173">
      <w:pPr>
        <w:snapToGrid w:val="0"/>
        <w:spacing w:line="360" w:lineRule="auto"/>
        <w:rPr>
          <w:b/>
          <w:szCs w:val="21"/>
        </w:rPr>
      </w:pPr>
      <w:r>
        <w:rPr>
          <w:b/>
          <w:szCs w:val="21"/>
        </w:rPr>
        <w:t>（三）考核要求</w:t>
      </w:r>
    </w:p>
    <w:p w14:paraId="1C069D75" w14:textId="77777777" w:rsidR="00F5289E" w:rsidRDefault="00C91173">
      <w:pPr>
        <w:spacing w:line="360" w:lineRule="auto"/>
        <w:ind w:firstLineChars="200" w:firstLine="422"/>
        <w:rPr>
          <w:szCs w:val="21"/>
        </w:rPr>
      </w:pPr>
      <w:r>
        <w:rPr>
          <w:b/>
          <w:szCs w:val="21"/>
        </w:rPr>
        <w:t xml:space="preserve">1. </w:t>
      </w:r>
      <w:r>
        <w:rPr>
          <w:b/>
          <w:szCs w:val="21"/>
        </w:rPr>
        <w:t>识记与领会</w:t>
      </w:r>
      <w:r>
        <w:rPr>
          <w:bCs/>
          <w:szCs w:val="21"/>
        </w:rPr>
        <w:t>：</w:t>
      </w:r>
      <w:r>
        <w:rPr>
          <w:szCs w:val="21"/>
        </w:rPr>
        <w:t>回归与相关、回归系数、相关系数和决定系数的概念。</w:t>
      </w:r>
    </w:p>
    <w:p w14:paraId="44D3644D" w14:textId="77777777" w:rsidR="00F5289E" w:rsidRDefault="00C91173">
      <w:pPr>
        <w:spacing w:line="360" w:lineRule="auto"/>
        <w:ind w:firstLineChars="200" w:firstLine="422"/>
        <w:rPr>
          <w:szCs w:val="21"/>
        </w:rPr>
      </w:pPr>
      <w:r>
        <w:rPr>
          <w:b/>
          <w:szCs w:val="21"/>
        </w:rPr>
        <w:t xml:space="preserve">2. </w:t>
      </w:r>
      <w:r>
        <w:rPr>
          <w:b/>
          <w:szCs w:val="21"/>
        </w:rPr>
        <w:t>应用</w:t>
      </w:r>
      <w:r>
        <w:rPr>
          <w:bCs/>
          <w:szCs w:val="21"/>
        </w:rPr>
        <w:t>：</w:t>
      </w:r>
      <w:r>
        <w:rPr>
          <w:szCs w:val="21"/>
        </w:rPr>
        <w:t>回归关系的统计假设检验；直线回归与相关分析的一般程序和方法。</w:t>
      </w:r>
    </w:p>
    <w:p w14:paraId="7CBBACCB" w14:textId="77777777" w:rsidR="00F5289E" w:rsidRDefault="00C91173">
      <w:pPr>
        <w:snapToGrid w:val="0"/>
        <w:spacing w:line="360" w:lineRule="auto"/>
        <w:ind w:firstLineChars="200" w:firstLine="422"/>
        <w:rPr>
          <w:szCs w:val="21"/>
        </w:rPr>
      </w:pPr>
      <w:r>
        <w:rPr>
          <w:rFonts w:eastAsiaTheme="minorEastAsia"/>
          <w:b/>
          <w:szCs w:val="21"/>
        </w:rPr>
        <w:t xml:space="preserve">3. </w:t>
      </w:r>
      <w:r>
        <w:rPr>
          <w:rFonts w:eastAsiaTheme="minorEastAsia"/>
          <w:b/>
          <w:szCs w:val="21"/>
        </w:rPr>
        <w:t>分析</w:t>
      </w:r>
      <w:r>
        <w:rPr>
          <w:bCs/>
          <w:szCs w:val="21"/>
        </w:rPr>
        <w:t>：对两个变数进行直线相关与回归分析</w:t>
      </w:r>
      <w:r>
        <w:rPr>
          <w:szCs w:val="21"/>
        </w:rPr>
        <w:t>。</w:t>
      </w:r>
    </w:p>
    <w:p w14:paraId="46E0EB3F" w14:textId="77777777" w:rsidR="00F5289E" w:rsidRDefault="00F5289E">
      <w:pPr>
        <w:pStyle w:val="a9"/>
        <w:snapToGrid w:val="0"/>
        <w:spacing w:line="360" w:lineRule="auto"/>
        <w:rPr>
          <w:rFonts w:ascii="Times New Roman" w:hAnsi="Times New Roman" w:cs="Times New Roman"/>
          <w:b/>
          <w:bCs/>
        </w:rPr>
      </w:pPr>
    </w:p>
    <w:p w14:paraId="3DADA156" w14:textId="77777777" w:rsidR="00F5289E" w:rsidRDefault="00C91173">
      <w:pPr>
        <w:pStyle w:val="a9"/>
        <w:spacing w:line="360" w:lineRule="auto"/>
        <w:rPr>
          <w:b/>
          <w:bCs/>
        </w:rPr>
      </w:pPr>
      <w:r>
        <w:rPr>
          <w:b/>
          <w:bCs/>
        </w:rPr>
        <w:t>三、实验、实习教学部分的考核要求</w:t>
      </w:r>
    </w:p>
    <w:p w14:paraId="491324BA" w14:textId="77777777" w:rsidR="00F5289E" w:rsidRDefault="00C91173">
      <w:pPr>
        <w:widowControl/>
        <w:adjustRightInd w:val="0"/>
        <w:snapToGrid w:val="0"/>
        <w:spacing w:beforeLines="50" w:before="156" w:line="360" w:lineRule="auto"/>
        <w:ind w:firstLineChars="200" w:firstLine="420"/>
        <w:jc w:val="left"/>
        <w:rPr>
          <w:bCs/>
          <w:kern w:val="0"/>
          <w:szCs w:val="21"/>
        </w:rPr>
      </w:pPr>
      <w:r>
        <w:rPr>
          <w:bCs/>
          <w:kern w:val="0"/>
          <w:szCs w:val="21"/>
        </w:rPr>
        <w:t>（</w:t>
      </w:r>
      <w:r>
        <w:rPr>
          <w:bCs/>
          <w:kern w:val="0"/>
          <w:szCs w:val="21"/>
        </w:rPr>
        <w:t>1</w:t>
      </w:r>
      <w:r>
        <w:rPr>
          <w:bCs/>
          <w:kern w:val="0"/>
          <w:szCs w:val="21"/>
        </w:rPr>
        <w:t>）</w:t>
      </w:r>
      <w:r>
        <w:rPr>
          <w:szCs w:val="21"/>
        </w:rPr>
        <w:t>掌握根据试验环境和试验材料的具体情况进行常规试验设计的技术和方法。</w:t>
      </w:r>
    </w:p>
    <w:p w14:paraId="7E74CE28" w14:textId="77777777" w:rsidR="00F5289E" w:rsidRDefault="00C91173">
      <w:pPr>
        <w:widowControl/>
        <w:adjustRightInd w:val="0"/>
        <w:snapToGrid w:val="0"/>
        <w:spacing w:beforeLines="50" w:before="156" w:line="360" w:lineRule="auto"/>
        <w:ind w:firstLineChars="200" w:firstLine="420"/>
        <w:jc w:val="left"/>
        <w:rPr>
          <w:bCs/>
          <w:kern w:val="0"/>
          <w:szCs w:val="21"/>
        </w:rPr>
      </w:pPr>
      <w:r>
        <w:rPr>
          <w:bCs/>
          <w:kern w:val="0"/>
          <w:szCs w:val="21"/>
        </w:rPr>
        <w:t>（</w:t>
      </w:r>
      <w:r>
        <w:rPr>
          <w:bCs/>
          <w:kern w:val="0"/>
          <w:szCs w:val="21"/>
        </w:rPr>
        <w:t>2</w:t>
      </w:r>
      <w:r>
        <w:rPr>
          <w:bCs/>
          <w:kern w:val="0"/>
          <w:szCs w:val="21"/>
        </w:rPr>
        <w:t>）</w:t>
      </w:r>
      <w:r>
        <w:rPr>
          <w:szCs w:val="21"/>
        </w:rPr>
        <w:t>学会对常见试验结果进行整理和统计分析，并得出科学结论。</w:t>
      </w:r>
    </w:p>
    <w:p w14:paraId="6215C585" w14:textId="77777777" w:rsidR="00F5289E" w:rsidRDefault="00C91173">
      <w:pPr>
        <w:widowControl/>
        <w:adjustRightInd w:val="0"/>
        <w:snapToGrid w:val="0"/>
        <w:spacing w:beforeLines="50" w:before="156" w:line="360" w:lineRule="auto"/>
        <w:ind w:firstLineChars="200" w:firstLine="420"/>
        <w:jc w:val="left"/>
        <w:rPr>
          <w:bCs/>
          <w:kern w:val="0"/>
          <w:szCs w:val="21"/>
        </w:rPr>
      </w:pPr>
      <w:r>
        <w:rPr>
          <w:bCs/>
          <w:kern w:val="0"/>
          <w:szCs w:val="21"/>
        </w:rPr>
        <w:t>（</w:t>
      </w:r>
      <w:r>
        <w:rPr>
          <w:bCs/>
          <w:kern w:val="0"/>
          <w:szCs w:val="21"/>
        </w:rPr>
        <w:t>3</w:t>
      </w:r>
      <w:r>
        <w:rPr>
          <w:bCs/>
          <w:kern w:val="0"/>
          <w:szCs w:val="21"/>
        </w:rPr>
        <w:t>）</w:t>
      </w:r>
      <w:r>
        <w:rPr>
          <w:szCs w:val="21"/>
        </w:rPr>
        <w:t>初步</w:t>
      </w:r>
      <w:r>
        <w:rPr>
          <w:bCs/>
          <w:kern w:val="0"/>
          <w:szCs w:val="21"/>
        </w:rPr>
        <w:t>掌握</w:t>
      </w:r>
      <w:r>
        <w:rPr>
          <w:szCs w:val="21"/>
        </w:rPr>
        <w:t>主要数据库的检索、课题选择和研究计划拟定的方法。</w:t>
      </w:r>
    </w:p>
    <w:p w14:paraId="78477C38" w14:textId="77777777" w:rsidR="00F5289E" w:rsidRDefault="00C91173">
      <w:pPr>
        <w:widowControl/>
        <w:adjustRightInd w:val="0"/>
        <w:snapToGrid w:val="0"/>
        <w:spacing w:beforeLines="50" w:before="156" w:line="360" w:lineRule="auto"/>
        <w:ind w:firstLineChars="200" w:firstLine="420"/>
        <w:jc w:val="left"/>
        <w:rPr>
          <w:bCs/>
          <w:kern w:val="0"/>
          <w:szCs w:val="21"/>
        </w:rPr>
      </w:pPr>
      <w:r>
        <w:rPr>
          <w:bCs/>
          <w:kern w:val="0"/>
          <w:szCs w:val="21"/>
        </w:rPr>
        <w:t>（</w:t>
      </w:r>
      <w:r>
        <w:rPr>
          <w:bCs/>
          <w:kern w:val="0"/>
          <w:szCs w:val="21"/>
        </w:rPr>
        <w:t>4</w:t>
      </w:r>
      <w:r>
        <w:rPr>
          <w:bCs/>
          <w:kern w:val="0"/>
          <w:szCs w:val="21"/>
        </w:rPr>
        <w:t>）掌握</w:t>
      </w:r>
      <w:r>
        <w:rPr>
          <w:bCs/>
          <w:kern w:val="0"/>
          <w:szCs w:val="21"/>
        </w:rPr>
        <w:t>Excel</w:t>
      </w:r>
      <w:r>
        <w:rPr>
          <w:bCs/>
          <w:kern w:val="0"/>
          <w:szCs w:val="21"/>
        </w:rPr>
        <w:t>、初步掌握</w:t>
      </w:r>
      <w:r>
        <w:rPr>
          <w:bCs/>
          <w:kern w:val="0"/>
          <w:szCs w:val="21"/>
        </w:rPr>
        <w:t>DPS</w:t>
      </w:r>
      <w:r>
        <w:rPr>
          <w:bCs/>
          <w:kern w:val="0"/>
          <w:szCs w:val="21"/>
        </w:rPr>
        <w:t>、</w:t>
      </w:r>
      <w:r>
        <w:rPr>
          <w:bCs/>
          <w:kern w:val="0"/>
          <w:szCs w:val="21"/>
        </w:rPr>
        <w:t>SPSS</w:t>
      </w:r>
      <w:r>
        <w:rPr>
          <w:bCs/>
          <w:kern w:val="0"/>
          <w:szCs w:val="21"/>
        </w:rPr>
        <w:t>等软件在统计分析中的应用方法。</w:t>
      </w:r>
    </w:p>
    <w:p w14:paraId="697568AD" w14:textId="77777777" w:rsidR="00F5289E" w:rsidRDefault="00C91173">
      <w:pPr>
        <w:pStyle w:val="a9"/>
        <w:spacing w:line="360" w:lineRule="auto"/>
        <w:rPr>
          <w:b/>
          <w:bCs/>
        </w:rPr>
      </w:pPr>
      <w:r>
        <w:rPr>
          <w:b/>
          <w:bCs/>
        </w:rPr>
        <w:t>四、考核方式</w:t>
      </w:r>
    </w:p>
    <w:p w14:paraId="583DAA42" w14:textId="77777777" w:rsidR="00F5289E" w:rsidRDefault="00C91173">
      <w:pPr>
        <w:spacing w:afterLines="50" w:after="156" w:line="440" w:lineRule="exact"/>
        <w:ind w:firstLineChars="200" w:firstLine="420"/>
        <w:jc w:val="left"/>
        <w:rPr>
          <w:b/>
          <w:szCs w:val="21"/>
        </w:rPr>
      </w:pPr>
      <w:r>
        <w:rPr>
          <w:bCs/>
          <w:color w:val="000000"/>
          <w:szCs w:val="21"/>
        </w:rPr>
        <w:lastRenderedPageBreak/>
        <w:t>课程考核主要通过课堂考勤、课堂提问、</w:t>
      </w:r>
      <w:r>
        <w:rPr>
          <w:rFonts w:hint="eastAsia"/>
          <w:bCs/>
          <w:color w:val="000000"/>
          <w:szCs w:val="21"/>
        </w:rPr>
        <w:t>线上线下</w:t>
      </w:r>
      <w:r>
        <w:rPr>
          <w:bCs/>
          <w:color w:val="000000"/>
          <w:szCs w:val="21"/>
        </w:rPr>
        <w:t>练习与讨论、作业反馈、实验实践、期末综合考试等多种方式对学生的学习表现和学习</w:t>
      </w:r>
      <w:r>
        <w:rPr>
          <w:rFonts w:hint="eastAsia"/>
          <w:bCs/>
          <w:color w:val="000000"/>
          <w:szCs w:val="21"/>
        </w:rPr>
        <w:t>成</w:t>
      </w:r>
      <w:r>
        <w:rPr>
          <w:bCs/>
          <w:color w:val="000000"/>
          <w:szCs w:val="21"/>
        </w:rPr>
        <w:t>果进行过程性和综合性评价。在课堂教学与实践过程中，设置项目计划书拟定、翻转课堂、学生互评、线上实践等环节，加深学生对理论知识的理解，加强学生独立思考和科学实践能力。期末综合考试设置在课程学习结束后，属于综合测评，测评试题包括基础题目、应用题目和开放性题目，综合考察学生的学习</w:t>
      </w:r>
      <w:r>
        <w:rPr>
          <w:rFonts w:hint="eastAsia"/>
          <w:bCs/>
          <w:color w:val="000000"/>
          <w:szCs w:val="21"/>
        </w:rPr>
        <w:t>成</w:t>
      </w:r>
      <w:r>
        <w:rPr>
          <w:bCs/>
          <w:color w:val="000000"/>
          <w:szCs w:val="21"/>
        </w:rPr>
        <w:t>果。</w:t>
      </w:r>
    </w:p>
    <w:p w14:paraId="50B99804" w14:textId="77777777" w:rsidR="00F5289E" w:rsidRDefault="00C91173">
      <w:pPr>
        <w:pStyle w:val="a9"/>
        <w:spacing w:line="360" w:lineRule="auto"/>
        <w:rPr>
          <w:b/>
          <w:bCs/>
        </w:rPr>
      </w:pPr>
      <w:r>
        <w:rPr>
          <w:b/>
          <w:bCs/>
        </w:rPr>
        <w:t>五、成绩评定</w:t>
      </w:r>
    </w:p>
    <w:p w14:paraId="7B09BCD2" w14:textId="77777777" w:rsidR="00F5289E" w:rsidRDefault="00C91173">
      <w:pPr>
        <w:snapToGrid w:val="0"/>
        <w:spacing w:line="360" w:lineRule="auto"/>
        <w:ind w:firstLine="420"/>
        <w:rPr>
          <w:szCs w:val="21"/>
        </w:rPr>
      </w:pPr>
      <w:r>
        <w:rPr>
          <w:szCs w:val="21"/>
        </w:rPr>
        <w:t>1.</w:t>
      </w:r>
      <w:r>
        <w:rPr>
          <w:szCs w:val="21"/>
        </w:rPr>
        <w:t>平时成绩：由课堂表现、实验实践组成，包括学生在课堂内外学习效果、线上线下实验实践过程、翻转课堂及实验报告成绩等，满分</w:t>
      </w:r>
      <w:r>
        <w:rPr>
          <w:szCs w:val="21"/>
        </w:rPr>
        <w:t>100</w:t>
      </w:r>
      <w:r>
        <w:rPr>
          <w:szCs w:val="21"/>
        </w:rPr>
        <w:t>分。</w:t>
      </w:r>
    </w:p>
    <w:p w14:paraId="3F9DCFA8" w14:textId="77777777" w:rsidR="00F5289E" w:rsidRDefault="00C91173">
      <w:pPr>
        <w:snapToGrid w:val="0"/>
        <w:spacing w:line="360" w:lineRule="auto"/>
        <w:ind w:firstLineChars="200" w:firstLine="420"/>
        <w:rPr>
          <w:bCs/>
          <w:color w:val="0000FF"/>
          <w:szCs w:val="21"/>
        </w:rPr>
      </w:pPr>
      <w:r>
        <w:rPr>
          <w:color w:val="000000" w:themeColor="text1"/>
        </w:rPr>
        <w:t>2.</w:t>
      </w:r>
      <w:r>
        <w:rPr>
          <w:color w:val="000000" w:themeColor="text1"/>
        </w:rPr>
        <w:t>期末成绩：</w:t>
      </w:r>
      <w:r>
        <w:rPr>
          <w:bCs/>
          <w:color w:val="000000"/>
          <w:szCs w:val="21"/>
        </w:rPr>
        <w:t>期末综合考试一般采用闭卷</w:t>
      </w:r>
      <w:r>
        <w:rPr>
          <w:rFonts w:hint="eastAsia"/>
          <w:bCs/>
          <w:color w:val="000000"/>
          <w:szCs w:val="21"/>
        </w:rPr>
        <w:t>或有限开卷</w:t>
      </w:r>
      <w:r>
        <w:rPr>
          <w:bCs/>
          <w:color w:val="000000"/>
          <w:szCs w:val="21"/>
        </w:rPr>
        <w:t>考试方式，成绩满分为</w:t>
      </w:r>
      <w:r>
        <w:rPr>
          <w:bCs/>
          <w:color w:val="000000"/>
          <w:szCs w:val="21"/>
        </w:rPr>
        <w:t>100</w:t>
      </w:r>
      <w:r>
        <w:rPr>
          <w:bCs/>
          <w:color w:val="000000"/>
          <w:szCs w:val="21"/>
        </w:rPr>
        <w:t>分。</w:t>
      </w:r>
    </w:p>
    <w:p w14:paraId="2434342E" w14:textId="77777777" w:rsidR="00F5289E" w:rsidRDefault="00C91173">
      <w:pPr>
        <w:snapToGrid w:val="0"/>
        <w:spacing w:line="360" w:lineRule="auto"/>
        <w:ind w:firstLine="420"/>
        <w:rPr>
          <w:bCs/>
          <w:color w:val="0000FF"/>
          <w:szCs w:val="21"/>
        </w:rPr>
      </w:pPr>
      <w:r>
        <w:rPr>
          <w:color w:val="000000" w:themeColor="text1"/>
        </w:rPr>
        <w:t>3.</w:t>
      </w:r>
      <w:r>
        <w:rPr>
          <w:color w:val="000000" w:themeColor="text1"/>
        </w:rPr>
        <w:t>综合成绩：</w:t>
      </w:r>
      <w:r>
        <w:rPr>
          <w:szCs w:val="21"/>
        </w:rPr>
        <w:t>课程成绩由平时成绩和期末综合考试成绩组成，满分</w:t>
      </w:r>
      <w:r>
        <w:rPr>
          <w:szCs w:val="21"/>
        </w:rPr>
        <w:t>100</w:t>
      </w:r>
      <w:r>
        <w:rPr>
          <w:szCs w:val="21"/>
        </w:rPr>
        <w:t>分，其中平时成绩</w:t>
      </w:r>
      <w:r>
        <w:rPr>
          <w:bCs/>
          <w:color w:val="000000"/>
          <w:szCs w:val="21"/>
        </w:rPr>
        <w:t>占课程最终成绩的</w:t>
      </w:r>
      <w:r>
        <w:rPr>
          <w:bCs/>
          <w:color w:val="000000"/>
          <w:szCs w:val="21"/>
        </w:rPr>
        <w:t>40%~60%</w:t>
      </w:r>
      <w:r>
        <w:rPr>
          <w:bCs/>
          <w:color w:val="000000"/>
          <w:szCs w:val="21"/>
        </w:rPr>
        <w:t>，期末成绩占课程最终成绩的</w:t>
      </w:r>
      <w:r>
        <w:rPr>
          <w:bCs/>
          <w:color w:val="000000"/>
          <w:szCs w:val="21"/>
        </w:rPr>
        <w:t>40%~60%</w:t>
      </w:r>
      <w:r>
        <w:rPr>
          <w:szCs w:val="21"/>
        </w:rPr>
        <w:t>。</w:t>
      </w:r>
    </w:p>
    <w:p w14:paraId="01C27B84" w14:textId="77777777" w:rsidR="00F5289E" w:rsidRDefault="00C91173">
      <w:pPr>
        <w:pStyle w:val="a9"/>
        <w:spacing w:line="360" w:lineRule="auto"/>
        <w:rPr>
          <w:b/>
          <w:bCs/>
        </w:rPr>
      </w:pPr>
      <w:r>
        <w:rPr>
          <w:b/>
          <w:bCs/>
        </w:rPr>
        <w:t>六、考核结果分析反馈</w:t>
      </w:r>
    </w:p>
    <w:p w14:paraId="1D093047" w14:textId="77777777" w:rsidR="00F5289E" w:rsidRDefault="00C91173">
      <w:pPr>
        <w:snapToGrid w:val="0"/>
        <w:spacing w:line="360" w:lineRule="auto"/>
        <w:ind w:firstLineChars="200" w:firstLine="420"/>
        <w:rPr>
          <w:color w:val="0000FF"/>
          <w:szCs w:val="21"/>
        </w:rPr>
      </w:pPr>
      <w:r>
        <w:rPr>
          <w:bCs/>
          <w:color w:val="000000"/>
          <w:szCs w:val="21"/>
        </w:rPr>
        <w:t>课程考核主要通过不同环节、多种方式对学生的学习表现和学习</w:t>
      </w:r>
      <w:r>
        <w:rPr>
          <w:rFonts w:hint="eastAsia"/>
          <w:bCs/>
          <w:color w:val="000000"/>
          <w:szCs w:val="21"/>
        </w:rPr>
        <w:t>成</w:t>
      </w:r>
      <w:r>
        <w:rPr>
          <w:bCs/>
          <w:color w:val="000000"/>
          <w:szCs w:val="21"/>
        </w:rPr>
        <w:t>果进行全过程及综合性评价。根据学生课堂表现、线上线下作业练习、实验完成、翻转课堂汇报成绩等情况，围绕专业要求和培养目标，实时追踪和评价学生学习动态和学习</w:t>
      </w:r>
      <w:r>
        <w:rPr>
          <w:rFonts w:hint="eastAsia"/>
          <w:bCs/>
          <w:color w:val="000000"/>
          <w:szCs w:val="21"/>
        </w:rPr>
        <w:t>成</w:t>
      </w:r>
      <w:r>
        <w:rPr>
          <w:bCs/>
          <w:color w:val="000000"/>
          <w:szCs w:val="21"/>
        </w:rPr>
        <w:t>果。</w:t>
      </w:r>
      <w:r>
        <w:rPr>
          <w:szCs w:val="21"/>
        </w:rPr>
        <w:t>在教学过程中，针对出现的问题，及时与学生沟通交流，分析总结学生学习情况，调整、优化教学进程、内容或方法等，以更有效地提高学生理论学习效果和科学实践能力。通过期末考试对学生综合学习</w:t>
      </w:r>
      <w:r>
        <w:rPr>
          <w:rFonts w:hint="eastAsia"/>
          <w:szCs w:val="21"/>
        </w:rPr>
        <w:t>成</w:t>
      </w:r>
      <w:r>
        <w:rPr>
          <w:szCs w:val="21"/>
        </w:rPr>
        <w:t>果和本课程整体教学效果进行检测，由主讲教师进行考试分析和课程总结，内容包括考试分数分布状态分析、得失分原因分析、试卷信度与效度分析，</w:t>
      </w:r>
      <w:r>
        <w:rPr>
          <w:rFonts w:hint="eastAsia"/>
          <w:szCs w:val="21"/>
        </w:rPr>
        <w:t>分析总结出现的问题</w:t>
      </w:r>
      <w:r>
        <w:rPr>
          <w:szCs w:val="21"/>
        </w:rPr>
        <w:t>，并提出解决问题的办法，以及时调整和完善教学大纲、考试大纲和教学方案等，并由此形成对本课程教学和学习效果评价、反馈和不断改进的良性循环。</w:t>
      </w:r>
    </w:p>
    <w:p w14:paraId="048DC58D" w14:textId="77777777" w:rsidR="00F5289E" w:rsidRDefault="00F5289E">
      <w:pPr>
        <w:snapToGrid w:val="0"/>
        <w:spacing w:line="360" w:lineRule="auto"/>
        <w:rPr>
          <w:color w:val="0000FF"/>
          <w:szCs w:val="21"/>
        </w:rPr>
      </w:pPr>
    </w:p>
    <w:p w14:paraId="4DE06DB7" w14:textId="77777777" w:rsidR="00F5289E" w:rsidRDefault="00C91173">
      <w:pPr>
        <w:widowControl/>
        <w:jc w:val="left"/>
        <w:rPr>
          <w:rFonts w:ascii="宋体" w:hAnsi="宋体"/>
          <w:b/>
          <w:sz w:val="28"/>
          <w:szCs w:val="28"/>
        </w:rPr>
      </w:pPr>
      <w:r>
        <w:rPr>
          <w:rFonts w:ascii="宋体" w:hAnsi="宋体"/>
          <w:b/>
          <w:sz w:val="28"/>
          <w:szCs w:val="28"/>
        </w:rPr>
        <w:br w:type="page"/>
      </w:r>
    </w:p>
    <w:p w14:paraId="35DDE7DD" w14:textId="77777777" w:rsidR="00F5289E" w:rsidRDefault="00C91173">
      <w:pPr>
        <w:pStyle w:val="1"/>
        <w:rPr>
          <w:strike/>
          <w:color w:val="0000FF"/>
        </w:rPr>
      </w:pPr>
      <w:bookmarkStart w:id="184" w:name="_Toc138606280"/>
      <w:r>
        <w:rPr>
          <w:rFonts w:hint="eastAsia"/>
        </w:rPr>
        <w:lastRenderedPageBreak/>
        <w:t>无土栽培学考核大纲</w:t>
      </w:r>
      <w:bookmarkEnd w:id="184"/>
    </w:p>
    <w:p w14:paraId="1D14CFB8" w14:textId="77777777" w:rsidR="00F5289E" w:rsidRDefault="00C91173">
      <w:pPr>
        <w:snapToGrid w:val="0"/>
        <w:spacing w:line="360" w:lineRule="auto"/>
        <w:jc w:val="center"/>
        <w:rPr>
          <w:rFonts w:hAnsi="宋体"/>
          <w:color w:val="000000" w:themeColor="text1"/>
          <w:sz w:val="28"/>
          <w:szCs w:val="28"/>
        </w:rPr>
      </w:pPr>
      <w:r>
        <w:rPr>
          <w:rFonts w:hAnsi="宋体" w:hint="eastAsia"/>
          <w:color w:val="000000" w:themeColor="text1"/>
          <w:sz w:val="28"/>
          <w:szCs w:val="28"/>
        </w:rPr>
        <w:t>（</w:t>
      </w:r>
      <w:r>
        <w:rPr>
          <w:rFonts w:eastAsia="黑体" w:hAnsi="宋体" w:cs="宋体" w:hint="eastAsia"/>
          <w:iCs/>
          <w:color w:val="000000" w:themeColor="text1"/>
          <w:kern w:val="36"/>
          <w:sz w:val="24"/>
        </w:rPr>
        <w:t>Soilless Culture</w:t>
      </w:r>
      <w:r>
        <w:rPr>
          <w:rFonts w:hAnsi="宋体" w:hint="eastAsia"/>
          <w:color w:val="000000" w:themeColor="text1"/>
          <w:sz w:val="28"/>
          <w:szCs w:val="28"/>
        </w:rPr>
        <w:t>）</w:t>
      </w:r>
    </w:p>
    <w:p w14:paraId="427195CB" w14:textId="77777777" w:rsidR="00F5289E" w:rsidRDefault="00F5289E">
      <w:pPr>
        <w:widowControl/>
        <w:wordWrap w:val="0"/>
        <w:spacing w:before="120" w:after="120"/>
        <w:jc w:val="center"/>
        <w:outlineLvl w:val="0"/>
        <w:rPr>
          <w:rFonts w:eastAsia="黑体" w:hAnsi="宋体" w:cs="宋体"/>
          <w:b/>
          <w:bCs/>
          <w:kern w:val="36"/>
          <w:sz w:val="24"/>
        </w:rPr>
      </w:pPr>
    </w:p>
    <w:p w14:paraId="1A8C5F52"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3232"/>
        <w:gridCol w:w="3348"/>
      </w:tblGrid>
      <w:tr w:rsidR="00F5289E" w14:paraId="7508CE5D" w14:textId="77777777">
        <w:tc>
          <w:tcPr>
            <w:tcW w:w="1303" w:type="pct"/>
          </w:tcPr>
          <w:p w14:paraId="163186B6"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szCs w:val="21"/>
              </w:rPr>
              <w:t>19011133h</w:t>
            </w:r>
          </w:p>
        </w:tc>
        <w:tc>
          <w:tcPr>
            <w:tcW w:w="1816" w:type="pct"/>
          </w:tcPr>
          <w:p w14:paraId="0509B742"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szCs w:val="21"/>
              </w:rPr>
              <w:t>40</w:t>
            </w:r>
          </w:p>
        </w:tc>
        <w:tc>
          <w:tcPr>
            <w:tcW w:w="1881" w:type="pct"/>
          </w:tcPr>
          <w:p w14:paraId="60C808DC"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szCs w:val="21"/>
              </w:rPr>
              <w:t>2.5</w:t>
            </w:r>
          </w:p>
        </w:tc>
      </w:tr>
      <w:tr w:rsidR="00F5289E" w14:paraId="1E221022" w14:textId="77777777">
        <w:tc>
          <w:tcPr>
            <w:tcW w:w="1303" w:type="pct"/>
          </w:tcPr>
          <w:p w14:paraId="6DE1BBF2"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吴帼秀</w:t>
            </w:r>
          </w:p>
        </w:tc>
        <w:tc>
          <w:tcPr>
            <w:tcW w:w="1816" w:type="pct"/>
          </w:tcPr>
          <w:p w14:paraId="07F41DFE"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李胜利</w:t>
            </w:r>
          </w:p>
        </w:tc>
        <w:tc>
          <w:tcPr>
            <w:tcW w:w="1881" w:type="pct"/>
          </w:tcPr>
          <w:p w14:paraId="3B2F3C1E"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szCs w:val="21"/>
              </w:rPr>
              <w:t>2023.05</w:t>
            </w:r>
          </w:p>
        </w:tc>
      </w:tr>
    </w:tbl>
    <w:p w14:paraId="1BD1BBE6" w14:textId="77777777" w:rsidR="00F5289E" w:rsidRDefault="00C91173">
      <w:pPr>
        <w:pStyle w:val="a9"/>
        <w:spacing w:line="360" w:lineRule="auto"/>
        <w:rPr>
          <w:b/>
          <w:bCs/>
        </w:rPr>
      </w:pPr>
      <w:r>
        <w:rPr>
          <w:rFonts w:hint="eastAsia"/>
          <w:b/>
          <w:bCs/>
        </w:rPr>
        <w:t>一、课程的性质和地位</w:t>
      </w:r>
    </w:p>
    <w:p w14:paraId="58222E56" w14:textId="77777777" w:rsidR="00F5289E" w:rsidRDefault="00C91173">
      <w:pPr>
        <w:widowControl/>
        <w:spacing w:line="360" w:lineRule="auto"/>
        <w:ind w:firstLineChars="175" w:firstLine="368"/>
        <w:jc w:val="left"/>
        <w:rPr>
          <w:rFonts w:cs="宋体"/>
          <w:bCs/>
          <w:kern w:val="0"/>
          <w:szCs w:val="21"/>
        </w:rPr>
      </w:pPr>
      <w:r>
        <w:rPr>
          <w:rFonts w:hint="eastAsia"/>
          <w:szCs w:val="21"/>
        </w:rPr>
        <w:t>《无土栽培学》是一门研究无土栽培技术原理、栽培方式和管理技术的一门综合性应用科学，是设施农业科学与工程专业的专业核心课程。通过本课程的学习，认识植物在无土栽培条件下对养分、水分、氧气的需求规律，掌握营养液的配制及管理技术、固体基质的性质及选配原则、常用无土栽培生产设施与管理办法，为从事无土栽培生产及科学研究奠定基础，并为改造传统农业及在不适宜作物生产的地方提供新的思路与方法。</w:t>
      </w:r>
    </w:p>
    <w:p w14:paraId="3258738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0654FD87"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 xml:space="preserve">第一章  </w:t>
      </w:r>
      <w:r>
        <w:rPr>
          <w:rFonts w:ascii="宋体" w:hAnsi="宋体" w:hint="eastAsia"/>
          <w:b/>
          <w:color w:val="000000" w:themeColor="text1"/>
          <w:szCs w:val="21"/>
        </w:rPr>
        <w:t>绪论</w:t>
      </w:r>
    </w:p>
    <w:p w14:paraId="058EE4B6"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55E8C43A" w14:textId="77777777" w:rsidR="00F5289E" w:rsidRDefault="00C91173">
      <w:pPr>
        <w:spacing w:line="360" w:lineRule="auto"/>
        <w:rPr>
          <w:rFonts w:ascii="宋体" w:hAnsi="宋体"/>
          <w:sz w:val="24"/>
        </w:rPr>
      </w:pPr>
      <w:r>
        <w:rPr>
          <w:rFonts w:ascii="宋体" w:hAnsi="宋体" w:hint="eastAsia"/>
          <w:b/>
          <w:szCs w:val="21"/>
        </w:rPr>
        <w:t>1. 一般了解</w:t>
      </w:r>
      <w:r>
        <w:rPr>
          <w:rFonts w:ascii="宋体" w:hAnsi="宋体" w:hint="eastAsia"/>
          <w:szCs w:val="21"/>
        </w:rPr>
        <w:t>：无土栽培发展的历史、现状和应用范围</w:t>
      </w:r>
    </w:p>
    <w:p w14:paraId="5DBCC20E"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：无土栽培的优点与缺点</w:t>
      </w:r>
    </w:p>
    <w:p w14:paraId="2D6D7CE3" w14:textId="77777777" w:rsidR="00F5289E" w:rsidRDefault="00C91173">
      <w:pPr>
        <w:snapToGrid w:val="0"/>
        <w:spacing w:beforeLines="50" w:before="156" w:line="360" w:lineRule="auto"/>
        <w:rPr>
          <w:rFonts w:ascii="宋体" w:hAnsi="宋体"/>
          <w:szCs w:val="21"/>
        </w:rPr>
      </w:pPr>
      <w:r>
        <w:rPr>
          <w:rFonts w:ascii="宋体" w:hAnsi="宋体" w:hint="eastAsia"/>
          <w:b/>
          <w:szCs w:val="21"/>
        </w:rPr>
        <w:t>3. 熟练掌握</w:t>
      </w:r>
      <w:r>
        <w:rPr>
          <w:rFonts w:ascii="宋体" w:hAnsi="宋体" w:hint="eastAsia"/>
          <w:szCs w:val="21"/>
        </w:rPr>
        <w:t>：无土栽培的含义、类型</w:t>
      </w:r>
    </w:p>
    <w:p w14:paraId="5C5CD639"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709326AA" w14:textId="77777777" w:rsidR="00F5289E" w:rsidRDefault="00C91173">
      <w:pPr>
        <w:spacing w:line="360" w:lineRule="auto"/>
        <w:ind w:firstLineChars="50" w:firstLine="105"/>
        <w:rPr>
          <w:rFonts w:ascii="宋体" w:hAnsi="宋体"/>
          <w:szCs w:val="21"/>
        </w:rPr>
      </w:pPr>
      <w:r>
        <w:rPr>
          <w:rFonts w:ascii="宋体" w:hAnsi="宋体" w:hint="eastAsia"/>
          <w:szCs w:val="21"/>
        </w:rPr>
        <w:t>知识</w:t>
      </w:r>
      <w:r>
        <w:rPr>
          <w:rFonts w:ascii="宋体" w:hAnsi="宋体"/>
          <w:szCs w:val="21"/>
        </w:rPr>
        <w:t>方面</w:t>
      </w:r>
      <w:r>
        <w:rPr>
          <w:rFonts w:ascii="宋体" w:hAnsi="宋体" w:hint="eastAsia"/>
          <w:szCs w:val="21"/>
        </w:rPr>
        <w:t>：掌握无土栽培的概念、无土栽培的类型、无土栽培的优点与缺点。</w:t>
      </w:r>
    </w:p>
    <w:p w14:paraId="583F3F6B" w14:textId="77777777" w:rsidR="00F5289E" w:rsidRDefault="00C91173">
      <w:pPr>
        <w:spacing w:line="360" w:lineRule="auto"/>
        <w:ind w:firstLineChars="50" w:firstLine="105"/>
        <w:rPr>
          <w:rFonts w:ascii="宋体" w:hAnsi="宋体"/>
          <w:szCs w:val="21"/>
        </w:rPr>
      </w:pPr>
      <w:r>
        <w:rPr>
          <w:rFonts w:ascii="宋体" w:hAnsi="宋体" w:hint="eastAsia"/>
          <w:szCs w:val="21"/>
        </w:rPr>
        <w:t>能力</w:t>
      </w:r>
      <w:r>
        <w:rPr>
          <w:rFonts w:ascii="宋体" w:hAnsi="宋体"/>
          <w:szCs w:val="21"/>
        </w:rPr>
        <w:t>方面：认识到领域发展的必然性。</w:t>
      </w:r>
    </w:p>
    <w:p w14:paraId="0D70C8DC" w14:textId="77777777" w:rsidR="00F5289E" w:rsidRDefault="00C91173">
      <w:pPr>
        <w:spacing w:line="360" w:lineRule="auto"/>
        <w:ind w:firstLineChars="50" w:firstLine="105"/>
        <w:rPr>
          <w:rFonts w:ascii="宋体" w:hAnsi="宋体"/>
          <w:szCs w:val="21"/>
        </w:rPr>
      </w:pPr>
      <w:r>
        <w:rPr>
          <w:rFonts w:ascii="宋体" w:hAnsi="宋体" w:hint="eastAsia"/>
          <w:szCs w:val="21"/>
        </w:rPr>
        <w:t>素质</w:t>
      </w:r>
      <w:r>
        <w:rPr>
          <w:rFonts w:ascii="宋体" w:hAnsi="宋体"/>
          <w:szCs w:val="21"/>
        </w:rPr>
        <w:t>方面：</w:t>
      </w:r>
      <w:r>
        <w:rPr>
          <w:rFonts w:ascii="宋体" w:hAnsi="宋体" w:hint="eastAsia"/>
          <w:szCs w:val="21"/>
        </w:rPr>
        <w:t>培养</w:t>
      </w:r>
      <w:r>
        <w:rPr>
          <w:rFonts w:ascii="宋体" w:hAnsi="宋体"/>
          <w:szCs w:val="21"/>
        </w:rPr>
        <w:t>创新</w:t>
      </w:r>
      <w:r>
        <w:rPr>
          <w:rFonts w:ascii="宋体" w:hAnsi="宋体" w:hint="eastAsia"/>
          <w:szCs w:val="21"/>
        </w:rPr>
        <w:t>意识</w:t>
      </w:r>
      <w:r>
        <w:rPr>
          <w:rFonts w:ascii="宋体" w:hAnsi="宋体"/>
          <w:szCs w:val="21"/>
        </w:rPr>
        <w:t>及服务三农的责任感</w:t>
      </w:r>
      <w:r>
        <w:rPr>
          <w:rFonts w:ascii="宋体" w:hAnsi="宋体" w:hint="eastAsia"/>
          <w:szCs w:val="21"/>
        </w:rPr>
        <w:t>。</w:t>
      </w:r>
    </w:p>
    <w:p w14:paraId="3AD6635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DAE862E"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识记</w:t>
      </w:r>
      <w:r>
        <w:rPr>
          <w:rFonts w:ascii="宋体" w:hAnsi="宋体" w:hint="eastAsia"/>
          <w:szCs w:val="21"/>
        </w:rPr>
        <w:t>：无土栽培的概念、类型</w:t>
      </w:r>
    </w:p>
    <w:p w14:paraId="3B5E70AC"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领会</w:t>
      </w:r>
      <w:r>
        <w:rPr>
          <w:rFonts w:ascii="宋体" w:hAnsi="宋体" w:hint="eastAsia"/>
          <w:szCs w:val="21"/>
        </w:rPr>
        <w:t>：无土栽培的优点与缺点</w:t>
      </w:r>
    </w:p>
    <w:p w14:paraId="311547C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简单应用</w:t>
      </w:r>
      <w:r>
        <w:rPr>
          <w:rFonts w:ascii="宋体" w:hAnsi="宋体" w:hint="eastAsia"/>
          <w:szCs w:val="21"/>
        </w:rPr>
        <w:t>：无土栽培的分类</w:t>
      </w:r>
    </w:p>
    <w:p w14:paraId="186FA09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 综合应用</w:t>
      </w:r>
      <w:r>
        <w:rPr>
          <w:rFonts w:ascii="宋体" w:hAnsi="宋体" w:hint="eastAsia"/>
          <w:szCs w:val="21"/>
        </w:rPr>
        <w:t>：无土栽培的应用领域</w:t>
      </w:r>
    </w:p>
    <w:p w14:paraId="0D6FBD82" w14:textId="77777777" w:rsidR="00F5289E" w:rsidRDefault="00F5289E">
      <w:pPr>
        <w:snapToGrid w:val="0"/>
        <w:spacing w:line="360" w:lineRule="auto"/>
        <w:ind w:firstLineChars="50" w:firstLine="105"/>
        <w:rPr>
          <w:rFonts w:ascii="宋体" w:hAnsi="宋体"/>
          <w:szCs w:val="21"/>
        </w:rPr>
      </w:pPr>
    </w:p>
    <w:p w14:paraId="12C5EE1C" w14:textId="77777777" w:rsidR="00F5289E" w:rsidRDefault="00C91173">
      <w:pPr>
        <w:pStyle w:val="a9"/>
        <w:snapToGrid w:val="0"/>
        <w:spacing w:line="360" w:lineRule="auto"/>
        <w:jc w:val="center"/>
        <w:rPr>
          <w:b/>
          <w:bCs/>
          <w:kern w:val="0"/>
        </w:rPr>
      </w:pPr>
      <w:r>
        <w:rPr>
          <w:rFonts w:hAnsi="宋体" w:hint="eastAsia"/>
          <w:b/>
        </w:rPr>
        <w:t xml:space="preserve">第二章 </w:t>
      </w:r>
      <w:r>
        <w:rPr>
          <w:rFonts w:hint="eastAsia"/>
          <w:b/>
          <w:bCs/>
          <w:kern w:val="0"/>
        </w:rPr>
        <w:t>无土栽培的理论基础</w:t>
      </w:r>
      <w:r>
        <w:rPr>
          <w:b/>
          <w:bCs/>
          <w:kern w:val="0"/>
        </w:rPr>
        <w:t>  </w:t>
      </w:r>
    </w:p>
    <w:p w14:paraId="4E4C5F65" w14:textId="77777777" w:rsidR="00F5289E" w:rsidRDefault="00C91173">
      <w:pPr>
        <w:pStyle w:val="a9"/>
        <w:snapToGrid w:val="0"/>
        <w:spacing w:line="360" w:lineRule="auto"/>
        <w:jc w:val="center"/>
        <w:rPr>
          <w:b/>
          <w:bCs/>
          <w:kern w:val="0"/>
        </w:rPr>
      </w:pPr>
      <w:r>
        <w:rPr>
          <w:b/>
          <w:bCs/>
          <w:kern w:val="0"/>
        </w:rPr>
        <w:t> </w:t>
      </w:r>
    </w:p>
    <w:p w14:paraId="62F47A82"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580CBEBE" w14:textId="77777777" w:rsidR="00F5289E" w:rsidRDefault="00C91173">
      <w:pPr>
        <w:spacing w:line="360" w:lineRule="auto"/>
        <w:rPr>
          <w:rFonts w:ascii="宋体" w:hAnsi="宋体"/>
          <w:sz w:val="24"/>
        </w:rPr>
      </w:pPr>
      <w:r>
        <w:rPr>
          <w:rFonts w:ascii="宋体" w:hAnsi="宋体" w:hint="eastAsia"/>
          <w:b/>
          <w:szCs w:val="21"/>
        </w:rPr>
        <w:t>1. 一般了解</w:t>
      </w:r>
      <w:r>
        <w:rPr>
          <w:rFonts w:ascii="宋体" w:hAnsi="宋体" w:hint="eastAsia"/>
          <w:szCs w:val="21"/>
        </w:rPr>
        <w:t>：</w:t>
      </w:r>
      <w:r>
        <w:rPr>
          <w:rFonts w:ascii="宋体" w:hAnsi="宋体" w:hint="eastAsia"/>
        </w:rPr>
        <w:t>植物必需营养元素的功能及缺乏所产生的功能障碍</w:t>
      </w:r>
    </w:p>
    <w:p w14:paraId="7BFE5FFA" w14:textId="77777777" w:rsidR="00F5289E" w:rsidRDefault="00C91173">
      <w:pPr>
        <w:snapToGrid w:val="0"/>
        <w:spacing w:beforeLines="50" w:before="156" w:line="360" w:lineRule="auto"/>
        <w:rPr>
          <w:rFonts w:hAnsi="宋体"/>
          <w:kern w:val="0"/>
          <w:szCs w:val="21"/>
        </w:rPr>
      </w:pPr>
      <w:r>
        <w:rPr>
          <w:rFonts w:ascii="宋体" w:hAnsi="宋体" w:hint="eastAsia"/>
          <w:b/>
          <w:szCs w:val="21"/>
        </w:rPr>
        <w:t>2. 一般掌握</w:t>
      </w:r>
      <w:r>
        <w:rPr>
          <w:rFonts w:ascii="宋体" w:hAnsi="宋体" w:hint="eastAsia"/>
          <w:szCs w:val="21"/>
        </w:rPr>
        <w:t>：</w:t>
      </w:r>
      <w:r>
        <w:rPr>
          <w:rFonts w:ascii="宋体" w:hAnsi="宋体" w:hint="eastAsia"/>
        </w:rPr>
        <w:t>矿质营养学说</w:t>
      </w:r>
    </w:p>
    <w:p w14:paraId="68B4FBAB" w14:textId="77777777" w:rsidR="00F5289E" w:rsidRDefault="00C91173">
      <w:pPr>
        <w:snapToGrid w:val="0"/>
        <w:spacing w:beforeLines="50" w:before="156" w:line="360" w:lineRule="auto"/>
        <w:rPr>
          <w:rFonts w:ascii="宋体" w:hAnsi="宋体"/>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植物根系对水分和养分的吸收过程和影响因素</w:t>
      </w:r>
    </w:p>
    <w:p w14:paraId="0227C716"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4B0D430D" w14:textId="77777777" w:rsidR="00F5289E" w:rsidRDefault="00C91173">
      <w:pPr>
        <w:widowControl/>
        <w:snapToGrid w:val="0"/>
        <w:spacing w:line="360" w:lineRule="auto"/>
        <w:rPr>
          <w:rFonts w:ascii="宋体" w:hAnsi="宋体"/>
          <w:szCs w:val="21"/>
        </w:rPr>
      </w:pPr>
      <w:r>
        <w:rPr>
          <w:rFonts w:ascii="宋体" w:hAnsi="宋体" w:hint="eastAsia"/>
          <w:szCs w:val="21"/>
        </w:rPr>
        <w:t>知识</w:t>
      </w:r>
      <w:r>
        <w:rPr>
          <w:rFonts w:ascii="宋体" w:hAnsi="宋体"/>
          <w:szCs w:val="21"/>
        </w:rPr>
        <w:t>方面：</w:t>
      </w:r>
      <w:r>
        <w:rPr>
          <w:rFonts w:ascii="宋体" w:hAnsi="宋体" w:hint="eastAsia"/>
          <w:szCs w:val="21"/>
        </w:rPr>
        <w:t>掌握</w:t>
      </w:r>
      <w:r>
        <w:rPr>
          <w:rFonts w:hAnsi="宋体" w:hint="eastAsia"/>
          <w:kern w:val="0"/>
          <w:szCs w:val="21"/>
        </w:rPr>
        <w:t>矿质营养学说与无土栽培的关系</w:t>
      </w:r>
      <w:r>
        <w:rPr>
          <w:rFonts w:ascii="宋体" w:hAnsi="宋体" w:cs="宋体" w:hint="eastAsia"/>
          <w:kern w:val="0"/>
          <w:szCs w:val="21"/>
        </w:rPr>
        <w:t>、</w:t>
      </w:r>
      <w:r>
        <w:rPr>
          <w:rFonts w:hAnsi="宋体" w:hint="eastAsia"/>
          <w:kern w:val="0"/>
          <w:szCs w:val="21"/>
        </w:rPr>
        <w:t>植物根系对水分和养分的吸收过程和影响因素。</w:t>
      </w:r>
      <w:r>
        <w:rPr>
          <w:rFonts w:ascii="宋体" w:hAnsi="宋体" w:hint="eastAsia"/>
          <w:szCs w:val="21"/>
        </w:rPr>
        <w:t>能力方面</w:t>
      </w:r>
      <w:r>
        <w:rPr>
          <w:rFonts w:ascii="宋体" w:hAnsi="宋体"/>
          <w:szCs w:val="21"/>
        </w:rPr>
        <w:t>：</w:t>
      </w:r>
      <w:r>
        <w:rPr>
          <w:rFonts w:ascii="宋体" w:hAnsi="宋体" w:hint="eastAsia"/>
          <w:szCs w:val="21"/>
        </w:rPr>
        <w:t>判断</w:t>
      </w:r>
      <w:r>
        <w:rPr>
          <w:rFonts w:ascii="宋体" w:hAnsi="宋体"/>
          <w:szCs w:val="21"/>
        </w:rPr>
        <w:t>植物缺素</w:t>
      </w:r>
      <w:r>
        <w:rPr>
          <w:rFonts w:ascii="宋体" w:hAnsi="宋体" w:hint="eastAsia"/>
          <w:szCs w:val="21"/>
        </w:rPr>
        <w:t>症状</w:t>
      </w:r>
      <w:r>
        <w:rPr>
          <w:rFonts w:ascii="宋体" w:hAnsi="宋体"/>
          <w:szCs w:val="21"/>
        </w:rPr>
        <w:t>及营养</w:t>
      </w:r>
      <w:r>
        <w:rPr>
          <w:rFonts w:ascii="宋体" w:hAnsi="宋体" w:hint="eastAsia"/>
          <w:szCs w:val="21"/>
        </w:rPr>
        <w:t>合理</w:t>
      </w:r>
      <w:r>
        <w:rPr>
          <w:rFonts w:ascii="宋体" w:hAnsi="宋体"/>
          <w:szCs w:val="21"/>
        </w:rPr>
        <w:t>供应</w:t>
      </w:r>
      <w:r>
        <w:rPr>
          <w:rFonts w:ascii="宋体" w:hAnsi="宋体" w:hint="eastAsia"/>
          <w:szCs w:val="21"/>
        </w:rPr>
        <w:t>的</w:t>
      </w:r>
      <w:r>
        <w:rPr>
          <w:rFonts w:ascii="宋体" w:hAnsi="宋体"/>
          <w:szCs w:val="21"/>
        </w:rPr>
        <w:t>能力</w:t>
      </w:r>
      <w:r>
        <w:rPr>
          <w:rFonts w:ascii="宋体" w:hAnsi="宋体" w:hint="eastAsia"/>
          <w:szCs w:val="21"/>
        </w:rPr>
        <w:t>。</w:t>
      </w:r>
    </w:p>
    <w:p w14:paraId="56D21C12" w14:textId="77777777" w:rsidR="00F5289E" w:rsidRDefault="00C91173">
      <w:pPr>
        <w:widowControl/>
        <w:snapToGrid w:val="0"/>
        <w:spacing w:line="360" w:lineRule="auto"/>
        <w:rPr>
          <w:rFonts w:hAnsi="宋体"/>
          <w:b/>
          <w:bCs/>
          <w:kern w:val="0"/>
          <w:szCs w:val="21"/>
        </w:rPr>
      </w:pPr>
      <w:r>
        <w:rPr>
          <w:rFonts w:ascii="宋体" w:hAnsi="宋体" w:hint="eastAsia"/>
          <w:szCs w:val="21"/>
        </w:rPr>
        <w:t>素质</w:t>
      </w:r>
      <w:r>
        <w:rPr>
          <w:rFonts w:ascii="宋体" w:hAnsi="宋体"/>
          <w:szCs w:val="21"/>
        </w:rPr>
        <w:t>方面：</w:t>
      </w:r>
      <w:r>
        <w:rPr>
          <w:rFonts w:ascii="宋体" w:hAnsi="宋体" w:hint="eastAsia"/>
          <w:szCs w:val="21"/>
        </w:rPr>
        <w:t>善于</w:t>
      </w:r>
      <w:r>
        <w:rPr>
          <w:rFonts w:ascii="宋体" w:hAnsi="宋体"/>
          <w:szCs w:val="21"/>
        </w:rPr>
        <w:t>思考</w:t>
      </w:r>
      <w:r>
        <w:rPr>
          <w:rFonts w:ascii="宋体" w:hAnsi="宋体" w:hint="eastAsia"/>
          <w:szCs w:val="21"/>
        </w:rPr>
        <w:t>、</w:t>
      </w:r>
      <w:r>
        <w:rPr>
          <w:rFonts w:ascii="宋体" w:hAnsi="宋体"/>
          <w:szCs w:val="21"/>
        </w:rPr>
        <w:t>观察</w:t>
      </w:r>
      <w:r>
        <w:rPr>
          <w:rFonts w:ascii="宋体" w:hAnsi="宋体" w:hint="eastAsia"/>
          <w:szCs w:val="21"/>
        </w:rPr>
        <w:t>。</w:t>
      </w:r>
    </w:p>
    <w:p w14:paraId="558BC0E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D74E42A"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识记</w:t>
      </w:r>
      <w:r>
        <w:rPr>
          <w:rFonts w:ascii="宋体" w:hAnsi="宋体" w:hint="eastAsia"/>
          <w:szCs w:val="21"/>
        </w:rPr>
        <w:t>：李比希矿质营养学说</w:t>
      </w:r>
    </w:p>
    <w:p w14:paraId="38621592" w14:textId="77777777" w:rsidR="00F5289E" w:rsidRDefault="00C91173">
      <w:pPr>
        <w:snapToGrid w:val="0"/>
        <w:spacing w:beforeLines="50" w:before="156" w:line="360" w:lineRule="auto"/>
        <w:rPr>
          <w:rFonts w:ascii="宋体" w:hAnsi="宋体"/>
        </w:rPr>
      </w:pPr>
      <w:r>
        <w:rPr>
          <w:rFonts w:ascii="宋体" w:hAnsi="宋体"/>
          <w:b/>
          <w:szCs w:val="21"/>
        </w:rPr>
        <w:t xml:space="preserve">2. </w:t>
      </w:r>
      <w:r>
        <w:rPr>
          <w:rFonts w:ascii="宋体" w:hAnsi="宋体" w:hint="eastAsia"/>
          <w:b/>
          <w:szCs w:val="21"/>
        </w:rPr>
        <w:t>领会</w:t>
      </w:r>
      <w:r>
        <w:rPr>
          <w:rFonts w:ascii="宋体" w:hAnsi="宋体" w:hint="eastAsia"/>
          <w:szCs w:val="21"/>
        </w:rPr>
        <w:t>：</w:t>
      </w:r>
      <w:r>
        <w:rPr>
          <w:rFonts w:ascii="宋体" w:hAnsi="宋体" w:hint="eastAsia"/>
        </w:rPr>
        <w:t>表观吸收成分组成浓度在作物专用营养液配方研究中的原理与作用</w:t>
      </w:r>
    </w:p>
    <w:p w14:paraId="25E254B0" w14:textId="77777777" w:rsidR="00F5289E" w:rsidRDefault="00C91173">
      <w:pPr>
        <w:snapToGrid w:val="0"/>
        <w:spacing w:beforeLines="50" w:before="156" w:line="360" w:lineRule="auto"/>
        <w:rPr>
          <w:rFonts w:ascii="宋体" w:hAnsi="宋体"/>
        </w:rPr>
      </w:pPr>
      <w:r>
        <w:rPr>
          <w:rFonts w:ascii="宋体" w:hAnsi="宋体"/>
          <w:b/>
          <w:szCs w:val="21"/>
        </w:rPr>
        <w:t xml:space="preserve">3. </w:t>
      </w:r>
      <w:r>
        <w:rPr>
          <w:rFonts w:ascii="宋体" w:hAnsi="宋体" w:hint="eastAsia"/>
          <w:b/>
          <w:szCs w:val="21"/>
        </w:rPr>
        <w:t>简单应用</w:t>
      </w:r>
      <w:r>
        <w:rPr>
          <w:rFonts w:ascii="宋体" w:hAnsi="宋体" w:hint="eastAsia"/>
          <w:szCs w:val="21"/>
        </w:rPr>
        <w:t>：</w:t>
      </w:r>
      <w:r>
        <w:rPr>
          <w:rFonts w:ascii="宋体" w:hAnsi="宋体" w:hint="eastAsia"/>
        </w:rPr>
        <w:t>植物必需营养元素的功能及缺乏所产生的功能障碍</w:t>
      </w:r>
    </w:p>
    <w:p w14:paraId="76D7A4D3" w14:textId="77777777" w:rsidR="00F5289E" w:rsidRDefault="00C91173">
      <w:pPr>
        <w:snapToGrid w:val="0"/>
        <w:spacing w:beforeLines="50" w:before="156" w:line="360" w:lineRule="auto"/>
        <w:rPr>
          <w:rFonts w:hAnsi="宋体"/>
          <w:kern w:val="0"/>
          <w:szCs w:val="21"/>
        </w:rPr>
      </w:pPr>
      <w:r>
        <w:rPr>
          <w:rFonts w:ascii="宋体" w:hAnsi="宋体"/>
          <w:b/>
          <w:szCs w:val="21"/>
        </w:rPr>
        <w:t xml:space="preserve">4. </w:t>
      </w:r>
      <w:r>
        <w:rPr>
          <w:rFonts w:ascii="宋体" w:hAnsi="宋体" w:hint="eastAsia"/>
          <w:b/>
          <w:szCs w:val="21"/>
        </w:rPr>
        <w:t>综合应用</w:t>
      </w:r>
      <w:r>
        <w:rPr>
          <w:rFonts w:ascii="宋体" w:hAnsi="宋体" w:hint="eastAsia"/>
          <w:szCs w:val="21"/>
        </w:rPr>
        <w:t>：</w:t>
      </w:r>
      <w:r>
        <w:rPr>
          <w:rFonts w:hAnsi="宋体" w:hint="eastAsia"/>
          <w:kern w:val="0"/>
          <w:szCs w:val="21"/>
        </w:rPr>
        <w:t>植物根系对水分和养分的吸收过程和影响因素</w:t>
      </w:r>
    </w:p>
    <w:p w14:paraId="49DB1808" w14:textId="77777777" w:rsidR="00F5289E" w:rsidRDefault="00C91173">
      <w:pPr>
        <w:snapToGrid w:val="0"/>
        <w:spacing w:beforeLines="50" w:before="156" w:line="360" w:lineRule="auto"/>
        <w:ind w:firstLineChars="1250" w:firstLine="2635"/>
        <w:rPr>
          <w:rFonts w:ascii="宋体" w:hAnsi="宋体"/>
          <w:b/>
          <w:bCs/>
        </w:rPr>
      </w:pPr>
      <w:r>
        <w:rPr>
          <w:rFonts w:ascii="宋体" w:hAnsi="宋体" w:hint="eastAsia"/>
          <w:b/>
          <w:bCs/>
        </w:rPr>
        <w:t>第三章 营养液</w:t>
      </w:r>
    </w:p>
    <w:p w14:paraId="7535BB9A" w14:textId="77777777" w:rsidR="00F5289E" w:rsidRDefault="00F5289E">
      <w:pPr>
        <w:snapToGrid w:val="0"/>
        <w:spacing w:beforeLines="50" w:before="156" w:line="360" w:lineRule="auto"/>
        <w:ind w:firstLineChars="1250" w:firstLine="2635"/>
        <w:rPr>
          <w:rFonts w:ascii="宋体" w:hAnsi="宋体"/>
          <w:b/>
          <w:bCs/>
        </w:rPr>
      </w:pPr>
    </w:p>
    <w:p w14:paraId="296AF4D7"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073F932E" w14:textId="77777777" w:rsidR="00F5289E" w:rsidRDefault="00C91173">
      <w:pPr>
        <w:spacing w:line="360" w:lineRule="auto"/>
        <w:rPr>
          <w:rFonts w:ascii="宋体" w:hAnsi="宋体"/>
          <w:sz w:val="24"/>
        </w:rPr>
      </w:pPr>
      <w:r>
        <w:rPr>
          <w:rFonts w:ascii="宋体" w:hAnsi="宋体" w:hint="eastAsia"/>
          <w:b/>
          <w:szCs w:val="21"/>
        </w:rPr>
        <w:t>1. 一般了解</w:t>
      </w:r>
      <w:r>
        <w:rPr>
          <w:rFonts w:ascii="宋体" w:hAnsi="宋体" w:hint="eastAsia"/>
          <w:szCs w:val="21"/>
        </w:rPr>
        <w:t>：</w:t>
      </w:r>
      <w:r>
        <w:rPr>
          <w:rFonts w:hAnsi="宋体" w:hint="eastAsia"/>
          <w:kern w:val="0"/>
          <w:szCs w:val="21"/>
        </w:rPr>
        <w:t>营养液原料及性质，营养液的组成。</w:t>
      </w:r>
    </w:p>
    <w:p w14:paraId="2CFE1298" w14:textId="77777777" w:rsidR="00F5289E" w:rsidRDefault="00C91173">
      <w:pPr>
        <w:spacing w:line="360" w:lineRule="auto"/>
        <w:rPr>
          <w:rFonts w:hAnsi="宋体"/>
          <w:kern w:val="0"/>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营养液浓度表示方法；园艺作物对营养液浓度的要求。</w:t>
      </w:r>
    </w:p>
    <w:p w14:paraId="2A1C249E" w14:textId="77777777" w:rsidR="00F5289E" w:rsidRDefault="00C91173">
      <w:pPr>
        <w:spacing w:line="360" w:lineRule="auto"/>
        <w:rPr>
          <w:rFonts w:hAnsi="宋体"/>
          <w:kern w:val="0"/>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营养液配方设计；营养液配制技术；营养液的管理。</w:t>
      </w:r>
    </w:p>
    <w:p w14:paraId="14B57B3F" w14:textId="77777777" w:rsidR="00F5289E" w:rsidRDefault="00C91173">
      <w:pPr>
        <w:spacing w:line="360" w:lineRule="auto"/>
        <w:rPr>
          <w:rFonts w:ascii="宋体" w:hAnsi="宋体"/>
          <w:szCs w:val="21"/>
        </w:rPr>
      </w:pPr>
      <w:r>
        <w:rPr>
          <w:rFonts w:ascii="宋体" w:hAnsi="宋体" w:hint="eastAsia"/>
          <w:b/>
          <w:szCs w:val="21"/>
        </w:rPr>
        <w:t>（二）考核知识点</w:t>
      </w:r>
    </w:p>
    <w:p w14:paraId="1145DC0F" w14:textId="77777777" w:rsidR="00F5289E" w:rsidRDefault="00C91173">
      <w:pPr>
        <w:spacing w:line="360" w:lineRule="auto"/>
        <w:rPr>
          <w:rFonts w:ascii="宋体" w:hAnsi="宋体"/>
          <w:bCs/>
        </w:rPr>
      </w:pPr>
      <w:r>
        <w:rPr>
          <w:rFonts w:hint="eastAsia"/>
          <w:szCs w:val="21"/>
        </w:rPr>
        <w:t>知识</w:t>
      </w:r>
      <w:r>
        <w:rPr>
          <w:szCs w:val="21"/>
        </w:rPr>
        <w:t>方面：掌握</w:t>
      </w:r>
      <w:r>
        <w:rPr>
          <w:kern w:val="0"/>
          <w:szCs w:val="21"/>
        </w:rPr>
        <w:t>营养液的概念</w:t>
      </w:r>
      <w:r>
        <w:rPr>
          <w:rFonts w:hint="eastAsia"/>
          <w:kern w:val="0"/>
          <w:szCs w:val="21"/>
        </w:rPr>
        <w:t>、</w:t>
      </w:r>
      <w:r>
        <w:rPr>
          <w:rFonts w:ascii="宋体" w:hAnsi="宋体" w:hint="eastAsia"/>
          <w:bCs/>
        </w:rPr>
        <w:t>营养液的表示方法、组成原则和确定方法</w:t>
      </w:r>
      <w:r>
        <w:rPr>
          <w:rFonts w:hint="eastAsia"/>
          <w:kern w:val="0"/>
          <w:szCs w:val="21"/>
        </w:rPr>
        <w:t>、</w:t>
      </w:r>
      <w:r>
        <w:rPr>
          <w:kern w:val="0"/>
          <w:szCs w:val="21"/>
        </w:rPr>
        <w:t>生理平衡、化学平衡</w:t>
      </w:r>
      <w:r>
        <w:rPr>
          <w:rFonts w:hint="eastAsia"/>
          <w:kern w:val="0"/>
          <w:szCs w:val="21"/>
        </w:rPr>
        <w:t>、</w:t>
      </w:r>
      <w:r>
        <w:rPr>
          <w:rFonts w:ascii="宋体" w:hAnsi="宋体" w:hint="eastAsia"/>
          <w:bCs/>
        </w:rPr>
        <w:t>营养液的配制方法及管理技术。</w:t>
      </w:r>
    </w:p>
    <w:p w14:paraId="4017D975" w14:textId="77777777" w:rsidR="00F5289E" w:rsidRDefault="00C91173">
      <w:pPr>
        <w:spacing w:line="360" w:lineRule="auto"/>
        <w:rPr>
          <w:rFonts w:ascii="宋体" w:hAnsi="宋体"/>
          <w:bCs/>
        </w:rPr>
      </w:pPr>
      <w:r>
        <w:rPr>
          <w:rFonts w:ascii="宋体" w:hAnsi="宋体" w:hint="eastAsia"/>
          <w:bCs/>
        </w:rPr>
        <w:t>能力</w:t>
      </w:r>
      <w:r>
        <w:rPr>
          <w:rFonts w:ascii="宋体" w:hAnsi="宋体"/>
          <w:bCs/>
        </w:rPr>
        <w:t>方面：</w:t>
      </w:r>
      <w:r>
        <w:rPr>
          <w:rFonts w:ascii="宋体" w:hAnsi="宋体" w:hint="eastAsia"/>
          <w:bCs/>
        </w:rPr>
        <w:t>正确</w:t>
      </w:r>
      <w:r>
        <w:rPr>
          <w:rFonts w:ascii="宋体" w:hAnsi="宋体"/>
          <w:bCs/>
        </w:rPr>
        <w:t>配制并管理营养液</w:t>
      </w:r>
      <w:r>
        <w:rPr>
          <w:rFonts w:ascii="宋体" w:hAnsi="宋体" w:hint="eastAsia"/>
          <w:bCs/>
        </w:rPr>
        <w:t>的</w:t>
      </w:r>
      <w:r>
        <w:rPr>
          <w:rFonts w:ascii="宋体" w:hAnsi="宋体"/>
          <w:bCs/>
        </w:rPr>
        <w:t>能力。</w:t>
      </w:r>
    </w:p>
    <w:p w14:paraId="6DFE2535" w14:textId="77777777" w:rsidR="00F5289E" w:rsidRDefault="00C91173">
      <w:pPr>
        <w:spacing w:line="360" w:lineRule="auto"/>
        <w:rPr>
          <w:kern w:val="0"/>
          <w:szCs w:val="21"/>
        </w:rPr>
      </w:pPr>
      <w:r>
        <w:rPr>
          <w:rFonts w:ascii="宋体" w:hAnsi="宋体" w:hint="eastAsia"/>
          <w:bCs/>
        </w:rPr>
        <w:t>素质</w:t>
      </w:r>
      <w:r>
        <w:rPr>
          <w:rFonts w:ascii="宋体" w:hAnsi="宋体"/>
          <w:bCs/>
        </w:rPr>
        <w:t>方面：</w:t>
      </w:r>
      <w:r>
        <w:rPr>
          <w:rFonts w:ascii="宋体" w:hAnsi="宋体" w:hint="eastAsia"/>
          <w:bCs/>
        </w:rPr>
        <w:t>态度</w:t>
      </w:r>
      <w:r>
        <w:rPr>
          <w:rFonts w:ascii="宋体" w:hAnsi="宋体"/>
          <w:bCs/>
        </w:rPr>
        <w:t>严谨、扎实肯干</w:t>
      </w:r>
    </w:p>
    <w:p w14:paraId="49E65BF0" w14:textId="77777777" w:rsidR="00F5289E" w:rsidRDefault="00C91173">
      <w:pPr>
        <w:spacing w:line="360" w:lineRule="auto"/>
        <w:ind w:firstLineChars="50" w:firstLine="105"/>
        <w:rPr>
          <w:rFonts w:ascii="宋体" w:hAnsi="宋体"/>
          <w:b/>
          <w:szCs w:val="21"/>
        </w:rPr>
      </w:pPr>
      <w:r>
        <w:rPr>
          <w:rFonts w:ascii="宋体" w:hAnsi="宋体" w:hint="eastAsia"/>
          <w:b/>
          <w:szCs w:val="21"/>
        </w:rPr>
        <w:t>（三）考核要求</w:t>
      </w:r>
    </w:p>
    <w:p w14:paraId="2561DF6E" w14:textId="77777777" w:rsidR="00F5289E" w:rsidRDefault="00C91173">
      <w:pPr>
        <w:snapToGrid w:val="0"/>
        <w:spacing w:beforeLines="50" w:before="156" w:line="360" w:lineRule="auto"/>
        <w:rPr>
          <w:rFonts w:ascii="宋体" w:hAnsi="宋体"/>
          <w:szCs w:val="21"/>
        </w:rPr>
      </w:pPr>
      <w:r>
        <w:rPr>
          <w:rFonts w:ascii="宋体" w:hAnsi="宋体" w:hint="eastAsia"/>
          <w:b/>
          <w:szCs w:val="21"/>
        </w:rPr>
        <w:lastRenderedPageBreak/>
        <w:t>1. 识记</w:t>
      </w:r>
      <w:r>
        <w:rPr>
          <w:rFonts w:ascii="宋体" w:hAnsi="宋体" w:hint="eastAsia"/>
          <w:szCs w:val="21"/>
        </w:rPr>
        <w:t>：</w:t>
      </w:r>
      <w:r>
        <w:rPr>
          <w:rFonts w:ascii="宋体" w:hAnsi="宋体" w:hint="eastAsia"/>
          <w:bCs/>
        </w:rPr>
        <w:t>主要为考核知识点的几个概念</w:t>
      </w:r>
    </w:p>
    <w:p w14:paraId="36C53F40" w14:textId="77777777" w:rsidR="00F5289E" w:rsidRDefault="00C91173">
      <w:pPr>
        <w:snapToGrid w:val="0"/>
        <w:spacing w:beforeLines="50" w:before="156" w:line="360" w:lineRule="auto"/>
        <w:rPr>
          <w:rFonts w:ascii="宋体" w:hAnsi="宋体"/>
          <w:bCs/>
        </w:rPr>
      </w:pPr>
      <w:r>
        <w:rPr>
          <w:rFonts w:ascii="宋体" w:hAnsi="宋体"/>
          <w:b/>
          <w:szCs w:val="21"/>
        </w:rPr>
        <w:t xml:space="preserve">2. </w:t>
      </w:r>
      <w:r>
        <w:rPr>
          <w:rFonts w:ascii="宋体" w:hAnsi="宋体" w:hint="eastAsia"/>
          <w:b/>
          <w:szCs w:val="21"/>
        </w:rPr>
        <w:t>领会</w:t>
      </w:r>
      <w:r>
        <w:rPr>
          <w:rFonts w:ascii="宋体" w:hAnsi="宋体" w:hint="eastAsia"/>
          <w:szCs w:val="21"/>
        </w:rPr>
        <w:t>：</w:t>
      </w:r>
      <w:r>
        <w:rPr>
          <w:rFonts w:ascii="宋体" w:hAnsi="宋体" w:hint="eastAsia"/>
          <w:bCs/>
        </w:rPr>
        <w:t>配方设计应考虑的其它因素（N源的选择、PH、铁源、微量元素）</w:t>
      </w:r>
    </w:p>
    <w:p w14:paraId="48184E3F" w14:textId="77777777" w:rsidR="00F5289E" w:rsidRDefault="00C91173">
      <w:pPr>
        <w:snapToGrid w:val="0"/>
        <w:spacing w:beforeLines="50" w:before="156" w:line="360" w:lineRule="auto"/>
        <w:rPr>
          <w:rFonts w:ascii="宋体" w:hAnsi="宋体"/>
          <w:bCs/>
        </w:rPr>
      </w:pPr>
      <w:r>
        <w:rPr>
          <w:rFonts w:ascii="宋体" w:hAnsi="宋体"/>
          <w:b/>
          <w:szCs w:val="21"/>
        </w:rPr>
        <w:t xml:space="preserve">3. </w:t>
      </w:r>
      <w:r>
        <w:rPr>
          <w:rFonts w:ascii="宋体" w:hAnsi="宋体" w:hint="eastAsia"/>
          <w:b/>
          <w:szCs w:val="21"/>
        </w:rPr>
        <w:t>简单应用</w:t>
      </w:r>
      <w:r>
        <w:rPr>
          <w:rFonts w:ascii="宋体" w:hAnsi="宋体" w:hint="eastAsia"/>
          <w:szCs w:val="21"/>
        </w:rPr>
        <w:t>：</w:t>
      </w:r>
      <w:r>
        <w:rPr>
          <w:rFonts w:ascii="宋体" w:hAnsi="宋体" w:hint="eastAsia"/>
          <w:bCs/>
        </w:rPr>
        <w:t>营养液配制的操作程序；PH的管理</w:t>
      </w:r>
    </w:p>
    <w:p w14:paraId="677E921D" w14:textId="77777777" w:rsidR="00F5289E" w:rsidRDefault="00C91173">
      <w:pPr>
        <w:spacing w:line="360" w:lineRule="auto"/>
        <w:ind w:leftChars="15" w:left="31"/>
        <w:rPr>
          <w:rFonts w:ascii="宋体" w:hAnsi="宋体"/>
          <w:bCs/>
        </w:rPr>
      </w:pPr>
      <w:r>
        <w:rPr>
          <w:rFonts w:ascii="宋体" w:hAnsi="宋体"/>
          <w:b/>
          <w:szCs w:val="21"/>
        </w:rPr>
        <w:t xml:space="preserve">4. </w:t>
      </w:r>
      <w:r>
        <w:rPr>
          <w:rFonts w:ascii="宋体" w:hAnsi="宋体" w:hint="eastAsia"/>
          <w:b/>
          <w:szCs w:val="21"/>
        </w:rPr>
        <w:t>综合应用</w:t>
      </w:r>
      <w:r>
        <w:rPr>
          <w:rFonts w:ascii="宋体" w:hAnsi="宋体" w:hint="eastAsia"/>
          <w:szCs w:val="21"/>
        </w:rPr>
        <w:t>：</w:t>
      </w:r>
      <w:r>
        <w:rPr>
          <w:rFonts w:ascii="宋体" w:hAnsi="宋体" w:hint="eastAsia"/>
          <w:bCs/>
        </w:rPr>
        <w:t>根据生理平衡、化学平衡能进行营养液配方的设计；根据EC进行营养液浓度的管理；营养液中溶解氧和温度的管理。</w:t>
      </w:r>
    </w:p>
    <w:p w14:paraId="7DB84A75" w14:textId="77777777" w:rsidR="00F5289E" w:rsidRDefault="00F5289E">
      <w:pPr>
        <w:snapToGrid w:val="0"/>
        <w:spacing w:line="360" w:lineRule="auto"/>
        <w:ind w:firstLineChars="1450" w:firstLine="3057"/>
        <w:rPr>
          <w:rFonts w:ascii="宋体" w:hAnsi="宋体"/>
          <w:b/>
          <w:bCs/>
        </w:rPr>
      </w:pPr>
    </w:p>
    <w:p w14:paraId="220D683C" w14:textId="77777777" w:rsidR="00F5289E" w:rsidRDefault="00C91173">
      <w:pPr>
        <w:snapToGrid w:val="0"/>
        <w:spacing w:line="360" w:lineRule="auto"/>
        <w:ind w:firstLineChars="1450" w:firstLine="3057"/>
        <w:rPr>
          <w:rFonts w:ascii="宋体" w:hAnsi="宋体"/>
          <w:b/>
          <w:bCs/>
        </w:rPr>
      </w:pPr>
      <w:r>
        <w:rPr>
          <w:rFonts w:ascii="宋体" w:hAnsi="宋体" w:hint="eastAsia"/>
          <w:b/>
          <w:bCs/>
        </w:rPr>
        <w:t xml:space="preserve">第四章 水培和雾培设施与管理技术  </w:t>
      </w:r>
    </w:p>
    <w:p w14:paraId="776497D7" w14:textId="77777777" w:rsidR="00F5289E" w:rsidRDefault="00F5289E">
      <w:pPr>
        <w:snapToGrid w:val="0"/>
        <w:spacing w:line="360" w:lineRule="auto"/>
        <w:ind w:firstLineChars="1600" w:firstLine="3373"/>
        <w:rPr>
          <w:rFonts w:ascii="宋体" w:hAnsi="宋体"/>
          <w:b/>
          <w:szCs w:val="21"/>
        </w:rPr>
      </w:pPr>
    </w:p>
    <w:p w14:paraId="69220F56"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5AB33660" w14:textId="77777777" w:rsidR="00F5289E" w:rsidRDefault="00C91173">
      <w:pPr>
        <w:spacing w:line="360" w:lineRule="auto"/>
        <w:rPr>
          <w:rFonts w:ascii="宋体" w:hAnsi="宋体"/>
          <w:bCs/>
        </w:rPr>
      </w:pPr>
      <w:r>
        <w:rPr>
          <w:rFonts w:ascii="宋体" w:hAnsi="宋体" w:hint="eastAsia"/>
          <w:b/>
          <w:szCs w:val="21"/>
        </w:rPr>
        <w:t>1. 一般了解</w:t>
      </w:r>
      <w:r>
        <w:rPr>
          <w:rFonts w:ascii="宋体" w:hAnsi="宋体" w:hint="eastAsia"/>
          <w:szCs w:val="21"/>
        </w:rPr>
        <w:t>：</w:t>
      </w:r>
      <w:r>
        <w:rPr>
          <w:rFonts w:ascii="宋体" w:hAnsi="宋体" w:hint="eastAsia"/>
          <w:bCs/>
        </w:rPr>
        <w:t>雾培设施结构特点</w:t>
      </w:r>
    </w:p>
    <w:p w14:paraId="2839DC70" w14:textId="77777777" w:rsidR="00F5289E" w:rsidRDefault="00C91173">
      <w:pPr>
        <w:spacing w:line="360" w:lineRule="auto"/>
        <w:rPr>
          <w:rFonts w:ascii="宋体" w:hAnsi="宋体"/>
          <w:bCs/>
        </w:rPr>
      </w:pPr>
      <w:r>
        <w:rPr>
          <w:rFonts w:ascii="宋体" w:hAnsi="宋体" w:hint="eastAsia"/>
          <w:b/>
          <w:szCs w:val="21"/>
        </w:rPr>
        <w:t>2. 一般掌握</w:t>
      </w:r>
      <w:r>
        <w:rPr>
          <w:rFonts w:ascii="宋体" w:hAnsi="宋体" w:hint="eastAsia"/>
          <w:szCs w:val="21"/>
        </w:rPr>
        <w:t>：</w:t>
      </w:r>
      <w:r>
        <w:rPr>
          <w:rFonts w:ascii="宋体" w:hAnsi="宋体" w:hint="eastAsia"/>
          <w:bCs/>
        </w:rPr>
        <w:t>营养液膜技术的设施结构</w:t>
      </w:r>
    </w:p>
    <w:p w14:paraId="4ECA8D2D" w14:textId="77777777" w:rsidR="00F5289E" w:rsidRDefault="00C91173">
      <w:pPr>
        <w:spacing w:line="360" w:lineRule="auto"/>
        <w:rPr>
          <w:rFonts w:ascii="宋体" w:hAnsi="宋体"/>
          <w:sz w:val="24"/>
        </w:rPr>
      </w:pPr>
      <w:r>
        <w:rPr>
          <w:rFonts w:ascii="宋体" w:hAnsi="宋体" w:hint="eastAsia"/>
          <w:b/>
          <w:szCs w:val="21"/>
        </w:rPr>
        <w:t>3. 熟练掌握</w:t>
      </w:r>
      <w:r>
        <w:rPr>
          <w:rFonts w:ascii="宋体" w:hAnsi="宋体" w:hint="eastAsia"/>
          <w:szCs w:val="21"/>
        </w:rPr>
        <w:t>：</w:t>
      </w:r>
      <w:r>
        <w:rPr>
          <w:rFonts w:ascii="宋体" w:hAnsi="宋体" w:hint="eastAsia"/>
          <w:bCs/>
        </w:rPr>
        <w:t>深夜流栽培的设施结构及管理要点</w:t>
      </w:r>
    </w:p>
    <w:p w14:paraId="4B96E50B" w14:textId="77777777" w:rsidR="00F5289E" w:rsidRDefault="00C91173">
      <w:pPr>
        <w:spacing w:line="360" w:lineRule="auto"/>
        <w:rPr>
          <w:rFonts w:ascii="宋体" w:hAnsi="宋体"/>
          <w:szCs w:val="21"/>
        </w:rPr>
      </w:pPr>
      <w:r>
        <w:rPr>
          <w:rFonts w:ascii="宋体" w:hAnsi="宋体" w:hint="eastAsia"/>
          <w:b/>
          <w:szCs w:val="21"/>
        </w:rPr>
        <w:t>（二）考核知识点</w:t>
      </w:r>
    </w:p>
    <w:p w14:paraId="76DDADD6" w14:textId="77777777" w:rsidR="00F5289E" w:rsidRDefault="00C91173">
      <w:pPr>
        <w:spacing w:line="360" w:lineRule="auto"/>
        <w:rPr>
          <w:rFonts w:ascii="宋体" w:hAnsi="宋体"/>
          <w:bCs/>
        </w:rPr>
      </w:pPr>
      <w:r>
        <w:rPr>
          <w:rFonts w:ascii="宋体" w:hAnsi="宋体" w:hint="eastAsia"/>
          <w:bCs/>
        </w:rPr>
        <w:t>知识</w:t>
      </w:r>
      <w:r>
        <w:rPr>
          <w:rFonts w:ascii="宋体" w:hAnsi="宋体"/>
          <w:bCs/>
        </w:rPr>
        <w:t>方面：</w:t>
      </w:r>
      <w:r>
        <w:rPr>
          <w:rFonts w:ascii="宋体" w:hAnsi="宋体" w:hint="eastAsia"/>
          <w:bCs/>
        </w:rPr>
        <w:t>掌握水培、雾培的类型及特点、营养液膜技术的概念、特征及管理要点、深夜流栽培的概念、结构特征、管理要点。</w:t>
      </w:r>
    </w:p>
    <w:p w14:paraId="3162D897" w14:textId="77777777" w:rsidR="00F5289E" w:rsidRDefault="00C91173">
      <w:pPr>
        <w:spacing w:line="360" w:lineRule="auto"/>
        <w:rPr>
          <w:rFonts w:ascii="宋体" w:hAnsi="宋体"/>
          <w:bCs/>
        </w:rPr>
      </w:pPr>
      <w:r>
        <w:rPr>
          <w:rFonts w:ascii="宋体" w:hAnsi="宋体" w:hint="eastAsia"/>
          <w:bCs/>
        </w:rPr>
        <w:t>能力</w:t>
      </w:r>
      <w:r>
        <w:rPr>
          <w:rFonts w:ascii="宋体" w:hAnsi="宋体"/>
          <w:bCs/>
        </w:rPr>
        <w:t>方面：</w:t>
      </w:r>
      <w:r>
        <w:rPr>
          <w:rFonts w:ascii="宋体" w:hAnsi="宋体" w:hint="eastAsia"/>
          <w:bCs/>
        </w:rPr>
        <w:t>能够</w:t>
      </w:r>
      <w:r>
        <w:rPr>
          <w:rFonts w:ascii="宋体" w:hAnsi="宋体"/>
          <w:bCs/>
        </w:rPr>
        <w:t>从事水培设施结构的设计及建造、水培植物的日常管理</w:t>
      </w:r>
      <w:r>
        <w:rPr>
          <w:rFonts w:ascii="宋体" w:hAnsi="宋体" w:hint="eastAsia"/>
          <w:bCs/>
        </w:rPr>
        <w:t>等</w:t>
      </w:r>
      <w:r>
        <w:rPr>
          <w:rFonts w:ascii="宋体" w:hAnsi="宋体"/>
          <w:bCs/>
        </w:rPr>
        <w:t>工作。</w:t>
      </w:r>
    </w:p>
    <w:p w14:paraId="381BD76C" w14:textId="77777777" w:rsidR="00F5289E" w:rsidRDefault="00C91173">
      <w:pPr>
        <w:spacing w:line="360" w:lineRule="auto"/>
        <w:rPr>
          <w:rFonts w:ascii="宋体" w:hAnsi="宋体"/>
          <w:bCs/>
        </w:rPr>
      </w:pPr>
      <w:r>
        <w:rPr>
          <w:rFonts w:ascii="宋体" w:hAnsi="宋体" w:hint="eastAsia"/>
          <w:bCs/>
        </w:rPr>
        <w:t>素质</w:t>
      </w:r>
      <w:r>
        <w:rPr>
          <w:rFonts w:ascii="宋体" w:hAnsi="宋体"/>
          <w:bCs/>
        </w:rPr>
        <w:t>方面：</w:t>
      </w:r>
      <w:r>
        <w:rPr>
          <w:rFonts w:ascii="宋体" w:hAnsi="宋体" w:hint="eastAsia"/>
          <w:bCs/>
        </w:rPr>
        <w:t>乐于</w:t>
      </w:r>
      <w:r>
        <w:rPr>
          <w:rFonts w:ascii="宋体" w:hAnsi="宋体"/>
          <w:bCs/>
        </w:rPr>
        <w:t>创新、扎实肯干。</w:t>
      </w:r>
    </w:p>
    <w:p w14:paraId="1F24176A" w14:textId="77777777" w:rsidR="00F5289E" w:rsidRDefault="00C91173">
      <w:pPr>
        <w:spacing w:line="360" w:lineRule="auto"/>
        <w:ind w:firstLineChars="50" w:firstLine="105"/>
        <w:rPr>
          <w:rFonts w:ascii="宋体" w:hAnsi="宋体"/>
          <w:b/>
          <w:szCs w:val="21"/>
        </w:rPr>
      </w:pPr>
      <w:r>
        <w:rPr>
          <w:rFonts w:ascii="宋体" w:hAnsi="宋体" w:hint="eastAsia"/>
          <w:b/>
          <w:szCs w:val="21"/>
        </w:rPr>
        <w:t>（三）考核要求</w:t>
      </w:r>
    </w:p>
    <w:p w14:paraId="46A2F46E" w14:textId="77777777" w:rsidR="00F5289E" w:rsidRDefault="00C91173">
      <w:pPr>
        <w:spacing w:line="360" w:lineRule="auto"/>
        <w:ind w:firstLineChars="50" w:firstLine="105"/>
        <w:rPr>
          <w:rFonts w:ascii="宋体" w:hAnsi="宋体"/>
          <w:bCs/>
        </w:rPr>
      </w:pPr>
      <w:r>
        <w:rPr>
          <w:rFonts w:ascii="宋体" w:hAnsi="宋体"/>
          <w:b/>
          <w:szCs w:val="21"/>
        </w:rPr>
        <w:t xml:space="preserve">1. </w:t>
      </w:r>
      <w:r>
        <w:rPr>
          <w:rFonts w:ascii="宋体" w:hAnsi="宋体" w:hint="eastAsia"/>
          <w:b/>
          <w:szCs w:val="21"/>
        </w:rPr>
        <w:t>识记</w:t>
      </w:r>
      <w:r>
        <w:rPr>
          <w:rFonts w:ascii="宋体" w:hAnsi="宋体" w:hint="eastAsia"/>
          <w:szCs w:val="21"/>
        </w:rPr>
        <w:t>：</w:t>
      </w:r>
      <w:r>
        <w:rPr>
          <w:rFonts w:ascii="宋体" w:hAnsi="宋体" w:hint="eastAsia"/>
          <w:bCs/>
        </w:rPr>
        <w:t>深夜流栽培的概念、营养液膜技术的概念</w:t>
      </w:r>
    </w:p>
    <w:p w14:paraId="7487FF44" w14:textId="77777777" w:rsidR="00F5289E" w:rsidRDefault="00C91173">
      <w:pPr>
        <w:snapToGrid w:val="0"/>
        <w:spacing w:beforeLines="50" w:before="156" w:line="360" w:lineRule="auto"/>
        <w:ind w:firstLineChars="50" w:firstLine="105"/>
        <w:rPr>
          <w:rFonts w:ascii="宋体" w:hAnsi="宋体"/>
          <w:bCs/>
        </w:rPr>
      </w:pPr>
      <w:r>
        <w:rPr>
          <w:rFonts w:ascii="宋体" w:hAnsi="宋体"/>
          <w:b/>
          <w:szCs w:val="21"/>
        </w:rPr>
        <w:t xml:space="preserve">2. </w:t>
      </w:r>
      <w:r>
        <w:rPr>
          <w:rFonts w:ascii="宋体" w:hAnsi="宋体" w:hint="eastAsia"/>
          <w:b/>
          <w:szCs w:val="21"/>
        </w:rPr>
        <w:t>领会</w:t>
      </w:r>
      <w:r>
        <w:rPr>
          <w:rFonts w:ascii="宋体" w:hAnsi="宋体" w:hint="eastAsia"/>
          <w:szCs w:val="21"/>
        </w:rPr>
        <w:t>：</w:t>
      </w:r>
      <w:r>
        <w:rPr>
          <w:rFonts w:ascii="宋体" w:hAnsi="宋体" w:hint="eastAsia"/>
          <w:bCs/>
        </w:rPr>
        <w:t>水培和雾培设施的主要类型、基本特征及组成结构</w:t>
      </w:r>
    </w:p>
    <w:p w14:paraId="2058D5B5"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3. 简单应用</w:t>
      </w:r>
      <w:r>
        <w:rPr>
          <w:rFonts w:ascii="宋体" w:hAnsi="宋体" w:hint="eastAsia"/>
          <w:szCs w:val="21"/>
        </w:rPr>
        <w:t>：营养液膜、</w:t>
      </w:r>
      <w:r>
        <w:rPr>
          <w:rFonts w:ascii="宋体" w:hAnsi="宋体" w:hint="eastAsia"/>
          <w:bCs/>
        </w:rPr>
        <w:t>深夜流栽培结构设计</w:t>
      </w:r>
    </w:p>
    <w:p w14:paraId="0B0B39EE"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4. 综合应用</w:t>
      </w:r>
      <w:r>
        <w:rPr>
          <w:rFonts w:ascii="宋体" w:hAnsi="宋体" w:hint="eastAsia"/>
          <w:szCs w:val="21"/>
        </w:rPr>
        <w:t>：营养液膜、</w:t>
      </w:r>
      <w:r>
        <w:rPr>
          <w:rFonts w:ascii="宋体" w:hAnsi="宋体" w:hint="eastAsia"/>
          <w:bCs/>
        </w:rPr>
        <w:t>深夜流栽培的管理。</w:t>
      </w:r>
    </w:p>
    <w:p w14:paraId="48BA0347" w14:textId="77777777" w:rsidR="00F5289E" w:rsidRDefault="00F5289E">
      <w:pPr>
        <w:snapToGrid w:val="0"/>
        <w:spacing w:beforeLines="50" w:before="156" w:line="360" w:lineRule="auto"/>
        <w:ind w:firstLineChars="1650" w:firstLine="3479"/>
        <w:rPr>
          <w:rFonts w:ascii="宋体" w:hAnsi="宋体"/>
          <w:b/>
          <w:bCs/>
        </w:rPr>
      </w:pPr>
    </w:p>
    <w:p w14:paraId="231C8DE4" w14:textId="77777777" w:rsidR="00F5289E" w:rsidRDefault="00C91173">
      <w:pPr>
        <w:snapToGrid w:val="0"/>
        <w:spacing w:beforeLines="50" w:before="156" w:line="360" w:lineRule="auto"/>
        <w:ind w:firstLineChars="1650" w:firstLine="3479"/>
        <w:rPr>
          <w:rFonts w:ascii="宋体" w:hAnsi="宋体"/>
          <w:b/>
          <w:bCs/>
        </w:rPr>
      </w:pPr>
      <w:r>
        <w:rPr>
          <w:rFonts w:ascii="宋体" w:hAnsi="宋体" w:hint="eastAsia"/>
          <w:b/>
          <w:bCs/>
        </w:rPr>
        <w:t>第五章 固体基质</w:t>
      </w:r>
    </w:p>
    <w:p w14:paraId="197C282A" w14:textId="77777777" w:rsidR="00F5289E" w:rsidRDefault="00F5289E">
      <w:pPr>
        <w:snapToGrid w:val="0"/>
        <w:spacing w:beforeLines="50" w:before="156" w:line="360" w:lineRule="auto"/>
        <w:jc w:val="center"/>
        <w:rPr>
          <w:rFonts w:ascii="宋体" w:hAnsi="宋体"/>
          <w:b/>
          <w:bCs/>
        </w:rPr>
      </w:pPr>
    </w:p>
    <w:p w14:paraId="4B1D9FE9"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4A8C8084" w14:textId="77777777" w:rsidR="00F5289E" w:rsidRDefault="00C91173">
      <w:pPr>
        <w:spacing w:line="360" w:lineRule="auto"/>
        <w:rPr>
          <w:rFonts w:ascii="宋体" w:hAnsi="宋体"/>
          <w:bCs/>
        </w:rPr>
      </w:pPr>
      <w:r>
        <w:rPr>
          <w:rFonts w:ascii="宋体" w:hAnsi="宋体" w:hint="eastAsia"/>
          <w:b/>
          <w:szCs w:val="21"/>
        </w:rPr>
        <w:t>1. 一般了解</w:t>
      </w:r>
      <w:r>
        <w:rPr>
          <w:rFonts w:ascii="宋体" w:hAnsi="宋体" w:hint="eastAsia"/>
          <w:szCs w:val="21"/>
        </w:rPr>
        <w:t>：</w:t>
      </w:r>
      <w:r>
        <w:rPr>
          <w:rFonts w:ascii="宋体" w:hAnsi="宋体" w:hint="eastAsia"/>
          <w:bCs/>
        </w:rPr>
        <w:t>常用基质的性能及合理利用。</w:t>
      </w:r>
    </w:p>
    <w:p w14:paraId="0B2B1DC0" w14:textId="77777777" w:rsidR="00F5289E" w:rsidRDefault="00C91173">
      <w:pPr>
        <w:spacing w:line="360" w:lineRule="auto"/>
        <w:rPr>
          <w:rFonts w:ascii="宋体" w:hAnsi="宋体"/>
          <w:bCs/>
        </w:rPr>
      </w:pPr>
      <w:r>
        <w:rPr>
          <w:rFonts w:ascii="宋体" w:hAnsi="宋体" w:hint="eastAsia"/>
          <w:b/>
          <w:szCs w:val="21"/>
        </w:rPr>
        <w:t>2. 一般掌握</w:t>
      </w:r>
      <w:r>
        <w:rPr>
          <w:rFonts w:ascii="宋体" w:hAnsi="宋体" w:hint="eastAsia"/>
          <w:szCs w:val="21"/>
        </w:rPr>
        <w:t>：</w:t>
      </w:r>
      <w:r>
        <w:rPr>
          <w:rFonts w:ascii="宋体" w:hAnsi="宋体" w:hint="eastAsia"/>
          <w:bCs/>
        </w:rPr>
        <w:t>根据基质的来源、组成、性质和使用时的组分进行分类。</w:t>
      </w:r>
    </w:p>
    <w:p w14:paraId="10210168" w14:textId="77777777" w:rsidR="00F5289E" w:rsidRDefault="00C91173">
      <w:pPr>
        <w:spacing w:line="360" w:lineRule="auto"/>
        <w:rPr>
          <w:rFonts w:ascii="宋体" w:hAnsi="宋体"/>
          <w:sz w:val="24"/>
        </w:rPr>
      </w:pPr>
      <w:r>
        <w:rPr>
          <w:rFonts w:ascii="宋体" w:hAnsi="宋体" w:hint="eastAsia"/>
          <w:b/>
          <w:szCs w:val="21"/>
        </w:rPr>
        <w:lastRenderedPageBreak/>
        <w:t>3. 熟练掌握</w:t>
      </w:r>
      <w:r>
        <w:rPr>
          <w:rFonts w:ascii="宋体" w:hAnsi="宋体" w:hint="eastAsia"/>
          <w:szCs w:val="21"/>
        </w:rPr>
        <w:t>：</w:t>
      </w:r>
      <w:r>
        <w:rPr>
          <w:rFonts w:ascii="宋体" w:hAnsi="宋体" w:hint="eastAsia"/>
          <w:bCs/>
        </w:rPr>
        <w:t>固体基质的作用；理化特性；选用的原则。</w:t>
      </w:r>
    </w:p>
    <w:p w14:paraId="5D3F9E2A" w14:textId="77777777" w:rsidR="00F5289E" w:rsidRDefault="00C91173">
      <w:pPr>
        <w:spacing w:line="360" w:lineRule="auto"/>
        <w:rPr>
          <w:rFonts w:ascii="宋体" w:hAnsi="宋体"/>
          <w:szCs w:val="21"/>
        </w:rPr>
      </w:pPr>
      <w:r>
        <w:rPr>
          <w:rFonts w:ascii="宋体" w:hAnsi="宋体" w:hint="eastAsia"/>
          <w:b/>
          <w:szCs w:val="21"/>
        </w:rPr>
        <w:t>（二）考核知识点</w:t>
      </w:r>
    </w:p>
    <w:p w14:paraId="6CA3919D" w14:textId="77777777" w:rsidR="00F5289E" w:rsidRDefault="00C91173">
      <w:pPr>
        <w:spacing w:line="360" w:lineRule="auto"/>
        <w:rPr>
          <w:rFonts w:ascii="宋体" w:hAnsi="宋体"/>
          <w:bCs/>
        </w:rPr>
      </w:pPr>
      <w:r>
        <w:rPr>
          <w:rFonts w:ascii="宋体" w:hAnsi="宋体" w:hint="eastAsia"/>
          <w:bCs/>
        </w:rPr>
        <w:t>知识</w:t>
      </w:r>
      <w:r>
        <w:rPr>
          <w:rFonts w:ascii="宋体" w:hAnsi="宋体"/>
          <w:bCs/>
        </w:rPr>
        <w:t>方面：掌握</w:t>
      </w:r>
      <w:r>
        <w:rPr>
          <w:rFonts w:ascii="宋体" w:hAnsi="宋体" w:hint="eastAsia"/>
          <w:bCs/>
        </w:rPr>
        <w:t>容重、比重、总孔隙度、气水比的</w:t>
      </w:r>
      <w:r>
        <w:rPr>
          <w:rFonts w:ascii="宋体" w:hAnsi="宋体"/>
          <w:bCs/>
        </w:rPr>
        <w:t>概念，</w:t>
      </w:r>
      <w:r>
        <w:rPr>
          <w:rFonts w:ascii="宋体" w:hAnsi="宋体" w:hint="eastAsia"/>
          <w:bCs/>
        </w:rPr>
        <w:t>基质的化学稳定性、基质的PH、阳离子代换量、基质的缓冲能力、基质的电导率，常用</w:t>
      </w:r>
      <w:r>
        <w:rPr>
          <w:rFonts w:ascii="宋体" w:hAnsi="宋体"/>
          <w:bCs/>
        </w:rPr>
        <w:t>基质的理化特性</w:t>
      </w:r>
      <w:r>
        <w:rPr>
          <w:rFonts w:ascii="宋体" w:hAnsi="宋体" w:hint="eastAsia"/>
          <w:bCs/>
        </w:rPr>
        <w:t>。</w:t>
      </w:r>
    </w:p>
    <w:p w14:paraId="5A162480" w14:textId="77777777" w:rsidR="00F5289E" w:rsidRDefault="00C91173">
      <w:pPr>
        <w:spacing w:line="360" w:lineRule="auto"/>
        <w:rPr>
          <w:rFonts w:ascii="宋体" w:hAnsi="宋体"/>
          <w:bCs/>
        </w:rPr>
      </w:pPr>
      <w:r>
        <w:rPr>
          <w:rFonts w:ascii="宋体" w:hAnsi="宋体" w:hint="eastAsia"/>
          <w:bCs/>
        </w:rPr>
        <w:t>能力</w:t>
      </w:r>
      <w:r>
        <w:rPr>
          <w:rFonts w:ascii="宋体" w:hAnsi="宋体"/>
          <w:bCs/>
        </w:rPr>
        <w:t>方面：</w:t>
      </w:r>
      <w:r>
        <w:rPr>
          <w:rFonts w:ascii="宋体" w:hAnsi="宋体" w:hint="eastAsia"/>
          <w:bCs/>
        </w:rPr>
        <w:t>正确</w:t>
      </w:r>
      <w:r>
        <w:rPr>
          <w:rFonts w:ascii="宋体" w:hAnsi="宋体"/>
          <w:bCs/>
        </w:rPr>
        <w:t>配制</w:t>
      </w:r>
      <w:r>
        <w:rPr>
          <w:rFonts w:ascii="宋体" w:hAnsi="宋体" w:hint="eastAsia"/>
          <w:bCs/>
        </w:rPr>
        <w:t>及</w:t>
      </w:r>
      <w:r>
        <w:rPr>
          <w:rFonts w:ascii="宋体" w:hAnsi="宋体"/>
          <w:bCs/>
        </w:rPr>
        <w:t>管理基质</w:t>
      </w:r>
      <w:r>
        <w:rPr>
          <w:rFonts w:ascii="宋体" w:hAnsi="宋体" w:hint="eastAsia"/>
          <w:bCs/>
        </w:rPr>
        <w:t>的</w:t>
      </w:r>
      <w:r>
        <w:rPr>
          <w:rFonts w:ascii="宋体" w:hAnsi="宋体"/>
          <w:bCs/>
        </w:rPr>
        <w:t>能力。</w:t>
      </w:r>
    </w:p>
    <w:p w14:paraId="1E833511" w14:textId="77777777" w:rsidR="00F5289E" w:rsidRDefault="00C91173">
      <w:pPr>
        <w:spacing w:line="360" w:lineRule="auto"/>
        <w:rPr>
          <w:rFonts w:ascii="宋体" w:hAnsi="宋体"/>
          <w:bCs/>
        </w:rPr>
      </w:pPr>
      <w:r>
        <w:rPr>
          <w:rFonts w:ascii="宋体" w:hAnsi="宋体" w:hint="eastAsia"/>
          <w:bCs/>
        </w:rPr>
        <w:t>素质</w:t>
      </w:r>
      <w:r>
        <w:rPr>
          <w:rFonts w:ascii="宋体" w:hAnsi="宋体"/>
          <w:bCs/>
        </w:rPr>
        <w:t>方面：</w:t>
      </w:r>
      <w:r>
        <w:rPr>
          <w:rFonts w:ascii="宋体" w:hAnsi="宋体" w:hint="eastAsia"/>
          <w:bCs/>
        </w:rPr>
        <w:t>吃苦耐劳</w:t>
      </w:r>
      <w:r>
        <w:rPr>
          <w:rFonts w:ascii="宋体" w:hAnsi="宋体"/>
          <w:bCs/>
        </w:rPr>
        <w:t>、</w:t>
      </w:r>
      <w:r>
        <w:rPr>
          <w:rFonts w:ascii="宋体" w:hAnsi="宋体" w:hint="eastAsia"/>
          <w:bCs/>
        </w:rPr>
        <w:t>勇于</w:t>
      </w:r>
      <w:r>
        <w:rPr>
          <w:rFonts w:ascii="宋体" w:hAnsi="宋体"/>
          <w:bCs/>
        </w:rPr>
        <w:t>创新。</w:t>
      </w:r>
    </w:p>
    <w:p w14:paraId="2A979C9A" w14:textId="77777777" w:rsidR="00F5289E" w:rsidRDefault="00C91173">
      <w:pPr>
        <w:spacing w:line="360" w:lineRule="auto"/>
        <w:ind w:firstLineChars="50" w:firstLine="105"/>
        <w:rPr>
          <w:rFonts w:ascii="宋体" w:hAnsi="宋体"/>
          <w:b/>
          <w:szCs w:val="21"/>
        </w:rPr>
      </w:pPr>
      <w:r>
        <w:rPr>
          <w:rFonts w:ascii="宋体" w:hAnsi="宋体" w:hint="eastAsia"/>
          <w:b/>
          <w:szCs w:val="21"/>
        </w:rPr>
        <w:t>（三）考核要求</w:t>
      </w:r>
    </w:p>
    <w:p w14:paraId="155F881B" w14:textId="77777777" w:rsidR="00F5289E" w:rsidRDefault="00C91173">
      <w:pPr>
        <w:snapToGrid w:val="0"/>
        <w:spacing w:beforeLines="50" w:before="156" w:line="360" w:lineRule="auto"/>
        <w:rPr>
          <w:rFonts w:ascii="宋体" w:hAnsi="宋体"/>
          <w:bCs/>
        </w:rPr>
      </w:pPr>
      <w:r>
        <w:rPr>
          <w:rFonts w:ascii="宋体" w:hAnsi="宋体" w:hint="eastAsia"/>
          <w:b/>
          <w:szCs w:val="21"/>
        </w:rPr>
        <w:t>1. 识记</w:t>
      </w:r>
      <w:r>
        <w:rPr>
          <w:rFonts w:ascii="宋体" w:hAnsi="宋体" w:hint="eastAsia"/>
          <w:szCs w:val="21"/>
        </w:rPr>
        <w:t>：</w:t>
      </w:r>
      <w:r>
        <w:rPr>
          <w:rFonts w:ascii="宋体" w:hAnsi="宋体" w:hint="eastAsia"/>
          <w:bCs/>
        </w:rPr>
        <w:t>有关基质理化特性的概念</w:t>
      </w:r>
    </w:p>
    <w:p w14:paraId="0CF52437" w14:textId="77777777" w:rsidR="00F5289E" w:rsidRDefault="00C91173">
      <w:pPr>
        <w:spacing w:line="360" w:lineRule="auto"/>
        <w:rPr>
          <w:rFonts w:ascii="宋体" w:hAnsi="宋体"/>
          <w:bCs/>
        </w:rPr>
      </w:pPr>
      <w:r>
        <w:rPr>
          <w:rFonts w:ascii="宋体" w:hAnsi="宋体" w:hint="eastAsia"/>
          <w:b/>
          <w:szCs w:val="21"/>
        </w:rPr>
        <w:t>2. 领会</w:t>
      </w:r>
      <w:r>
        <w:rPr>
          <w:rFonts w:ascii="宋体" w:hAnsi="宋体" w:hint="eastAsia"/>
          <w:szCs w:val="21"/>
        </w:rPr>
        <w:t>：</w:t>
      </w:r>
      <w:r>
        <w:rPr>
          <w:rFonts w:ascii="宋体" w:hAnsi="宋体" w:hint="eastAsia"/>
          <w:bCs/>
        </w:rPr>
        <w:t>固体基质的作用、及选用原则</w:t>
      </w:r>
    </w:p>
    <w:p w14:paraId="337B127F" w14:textId="77777777" w:rsidR="00F5289E" w:rsidRDefault="00C91173">
      <w:pPr>
        <w:snapToGrid w:val="0"/>
        <w:spacing w:beforeLines="50" w:before="156" w:line="360" w:lineRule="auto"/>
        <w:rPr>
          <w:rFonts w:ascii="宋体" w:hAnsi="宋体"/>
          <w:bCs/>
        </w:rPr>
      </w:pPr>
      <w:r>
        <w:rPr>
          <w:rFonts w:ascii="宋体" w:hAnsi="宋体" w:hint="eastAsia"/>
          <w:b/>
          <w:szCs w:val="21"/>
        </w:rPr>
        <w:t>3. 简单应用</w:t>
      </w:r>
      <w:r>
        <w:rPr>
          <w:rFonts w:ascii="宋体" w:hAnsi="宋体" w:hint="eastAsia"/>
          <w:szCs w:val="21"/>
        </w:rPr>
        <w:t>：</w:t>
      </w:r>
      <w:r>
        <w:rPr>
          <w:rFonts w:ascii="宋体" w:hAnsi="宋体" w:hint="eastAsia"/>
          <w:bCs/>
        </w:rPr>
        <w:t>进行基质配方的设计</w:t>
      </w:r>
    </w:p>
    <w:p w14:paraId="138154AD" w14:textId="77777777" w:rsidR="00F5289E" w:rsidRDefault="00C91173">
      <w:pPr>
        <w:spacing w:line="360" w:lineRule="auto"/>
        <w:rPr>
          <w:rFonts w:ascii="宋体" w:hAnsi="宋体"/>
          <w:sz w:val="24"/>
        </w:rPr>
      </w:pPr>
      <w:r>
        <w:rPr>
          <w:rFonts w:ascii="宋体" w:hAnsi="宋体"/>
          <w:b/>
          <w:szCs w:val="21"/>
        </w:rPr>
        <w:t xml:space="preserve">4. </w:t>
      </w:r>
      <w:r>
        <w:rPr>
          <w:rFonts w:ascii="宋体" w:hAnsi="宋体" w:hint="eastAsia"/>
          <w:b/>
          <w:szCs w:val="21"/>
        </w:rPr>
        <w:t>综合应用</w:t>
      </w:r>
      <w:r>
        <w:rPr>
          <w:rFonts w:ascii="宋体" w:hAnsi="宋体" w:hint="eastAsia"/>
          <w:szCs w:val="21"/>
        </w:rPr>
        <w:t>：</w:t>
      </w:r>
      <w:r>
        <w:rPr>
          <w:rFonts w:ascii="宋体" w:hAnsi="宋体" w:hint="eastAsia"/>
          <w:bCs/>
        </w:rPr>
        <w:t>根据基质理化特性进行适宜基质的选择</w:t>
      </w:r>
    </w:p>
    <w:p w14:paraId="639A2FB6" w14:textId="77777777" w:rsidR="00F5289E" w:rsidRDefault="00F5289E">
      <w:pPr>
        <w:snapToGrid w:val="0"/>
        <w:spacing w:beforeLines="50" w:before="156" w:line="360" w:lineRule="auto"/>
        <w:rPr>
          <w:rFonts w:ascii="宋体" w:hAnsi="宋体"/>
          <w:bCs/>
        </w:rPr>
      </w:pPr>
    </w:p>
    <w:p w14:paraId="2D25422B" w14:textId="77777777" w:rsidR="00F5289E" w:rsidRDefault="00C91173">
      <w:pPr>
        <w:snapToGrid w:val="0"/>
        <w:spacing w:beforeLines="50" w:before="156" w:line="360" w:lineRule="auto"/>
        <w:ind w:firstLineChars="1050" w:firstLine="2214"/>
        <w:rPr>
          <w:rFonts w:ascii="宋体" w:hAnsi="宋体"/>
          <w:b/>
          <w:bCs/>
        </w:rPr>
      </w:pPr>
      <w:r>
        <w:rPr>
          <w:rFonts w:ascii="宋体" w:hAnsi="宋体" w:hint="eastAsia"/>
          <w:b/>
          <w:bCs/>
        </w:rPr>
        <w:t xml:space="preserve">第六章 固体基质栽培设施构成与管理技术  </w:t>
      </w:r>
    </w:p>
    <w:p w14:paraId="0968386D" w14:textId="77777777" w:rsidR="00F5289E" w:rsidRDefault="00F5289E">
      <w:pPr>
        <w:snapToGrid w:val="0"/>
        <w:spacing w:beforeLines="50" w:before="156" w:line="360" w:lineRule="auto"/>
        <w:ind w:firstLineChars="1050" w:firstLine="2214"/>
        <w:rPr>
          <w:rFonts w:ascii="宋体" w:hAnsi="宋体"/>
          <w:b/>
          <w:bCs/>
        </w:rPr>
      </w:pPr>
    </w:p>
    <w:p w14:paraId="7E49680A"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61293B8C" w14:textId="77777777" w:rsidR="00F5289E" w:rsidRDefault="00C91173">
      <w:pPr>
        <w:spacing w:line="360" w:lineRule="auto"/>
        <w:rPr>
          <w:rFonts w:ascii="宋体" w:hAnsi="宋体"/>
          <w:sz w:val="24"/>
        </w:rPr>
      </w:pPr>
      <w:r>
        <w:rPr>
          <w:rFonts w:ascii="宋体" w:hAnsi="宋体" w:hint="eastAsia"/>
          <w:b/>
          <w:szCs w:val="21"/>
        </w:rPr>
        <w:t>1. 一般了解</w:t>
      </w:r>
      <w:r>
        <w:rPr>
          <w:rFonts w:ascii="宋体" w:hAnsi="宋体" w:hint="eastAsia"/>
          <w:szCs w:val="21"/>
        </w:rPr>
        <w:t>：基质栽培的发展</w:t>
      </w:r>
    </w:p>
    <w:p w14:paraId="05DE43B4" w14:textId="77777777" w:rsidR="00F5289E" w:rsidRDefault="00C91173">
      <w:pPr>
        <w:spacing w:line="360" w:lineRule="auto"/>
        <w:rPr>
          <w:rFonts w:ascii="宋体" w:hAnsi="宋体"/>
          <w:sz w:val="24"/>
        </w:rPr>
      </w:pPr>
      <w:r>
        <w:rPr>
          <w:rFonts w:ascii="宋体" w:hAnsi="宋体" w:hint="eastAsia"/>
          <w:b/>
          <w:szCs w:val="21"/>
        </w:rPr>
        <w:t>2. 一般掌握</w:t>
      </w:r>
      <w:r>
        <w:rPr>
          <w:rFonts w:ascii="宋体" w:hAnsi="宋体" w:hint="eastAsia"/>
          <w:szCs w:val="21"/>
        </w:rPr>
        <w:t>：基质栽培的分类</w:t>
      </w:r>
    </w:p>
    <w:p w14:paraId="3AD7FBB3" w14:textId="77777777" w:rsidR="00F5289E" w:rsidRDefault="00C91173">
      <w:pPr>
        <w:spacing w:line="360" w:lineRule="auto"/>
        <w:rPr>
          <w:rFonts w:ascii="宋体" w:hAnsi="宋体"/>
          <w:sz w:val="24"/>
        </w:rPr>
      </w:pPr>
      <w:r>
        <w:rPr>
          <w:rFonts w:ascii="宋体" w:hAnsi="宋体" w:hint="eastAsia"/>
          <w:b/>
          <w:szCs w:val="21"/>
        </w:rPr>
        <w:t>3. 熟练掌握</w:t>
      </w:r>
      <w:r>
        <w:rPr>
          <w:rFonts w:ascii="宋体" w:hAnsi="宋体" w:hint="eastAsia"/>
          <w:szCs w:val="21"/>
        </w:rPr>
        <w:t>：常用的基质栽培类型袋培、槽培、立体栽培的结构</w:t>
      </w:r>
    </w:p>
    <w:p w14:paraId="0ADFDB6C" w14:textId="77777777" w:rsidR="00F5289E" w:rsidRDefault="00C91173">
      <w:pPr>
        <w:spacing w:line="360" w:lineRule="auto"/>
        <w:rPr>
          <w:rFonts w:ascii="宋体" w:hAnsi="宋体"/>
          <w:szCs w:val="21"/>
        </w:rPr>
      </w:pPr>
      <w:r>
        <w:rPr>
          <w:rFonts w:ascii="宋体" w:hAnsi="宋体" w:hint="eastAsia"/>
          <w:b/>
          <w:szCs w:val="21"/>
        </w:rPr>
        <w:t>（二）考核知识点</w:t>
      </w:r>
    </w:p>
    <w:p w14:paraId="48F16619" w14:textId="77777777" w:rsidR="00F5289E" w:rsidRDefault="00C91173">
      <w:pPr>
        <w:spacing w:line="360" w:lineRule="auto"/>
        <w:rPr>
          <w:rFonts w:ascii="宋体" w:hAnsi="宋体"/>
          <w:szCs w:val="21"/>
        </w:rPr>
      </w:pPr>
      <w:r>
        <w:rPr>
          <w:rFonts w:ascii="宋体" w:hAnsi="宋体" w:hint="eastAsia"/>
          <w:szCs w:val="21"/>
        </w:rPr>
        <w:t>知识</w:t>
      </w:r>
      <w:r>
        <w:rPr>
          <w:rFonts w:ascii="宋体" w:hAnsi="宋体"/>
          <w:szCs w:val="21"/>
        </w:rPr>
        <w:t>方面：</w:t>
      </w:r>
      <w:r>
        <w:rPr>
          <w:rFonts w:ascii="宋体" w:hAnsi="宋体" w:hint="eastAsia"/>
          <w:szCs w:val="21"/>
        </w:rPr>
        <w:t>基质栽培、袋培、槽培、岩棉栽培的概念及特点、有机生态型无土栽培的特点及应用。</w:t>
      </w:r>
    </w:p>
    <w:p w14:paraId="6FE698D5" w14:textId="77777777" w:rsidR="00F5289E" w:rsidRDefault="00C91173">
      <w:pPr>
        <w:spacing w:line="360" w:lineRule="auto"/>
        <w:rPr>
          <w:rFonts w:ascii="宋体" w:hAnsi="宋体"/>
          <w:szCs w:val="21"/>
        </w:rPr>
      </w:pPr>
      <w:r>
        <w:rPr>
          <w:rFonts w:ascii="宋体" w:hAnsi="宋体" w:hint="eastAsia"/>
          <w:szCs w:val="21"/>
        </w:rPr>
        <w:t>能力</w:t>
      </w:r>
      <w:r>
        <w:rPr>
          <w:rFonts w:ascii="宋体" w:hAnsi="宋体"/>
          <w:szCs w:val="21"/>
        </w:rPr>
        <w:t>方面：</w:t>
      </w:r>
      <w:r>
        <w:rPr>
          <w:rFonts w:ascii="宋体" w:hAnsi="宋体" w:hint="eastAsia"/>
          <w:szCs w:val="21"/>
        </w:rPr>
        <w:t>能够</w:t>
      </w:r>
      <w:r>
        <w:rPr>
          <w:rFonts w:ascii="宋体" w:hAnsi="宋体"/>
          <w:szCs w:val="21"/>
        </w:rPr>
        <w:t>从事基质栽培设施结构的设计及建造、基质培植物的日常管理等工作。</w:t>
      </w:r>
    </w:p>
    <w:p w14:paraId="7C8215B7" w14:textId="77777777" w:rsidR="00F5289E" w:rsidRDefault="00C91173">
      <w:pPr>
        <w:spacing w:line="360" w:lineRule="auto"/>
        <w:rPr>
          <w:rFonts w:ascii="宋体" w:hAnsi="宋体"/>
          <w:szCs w:val="21"/>
        </w:rPr>
      </w:pPr>
      <w:r>
        <w:rPr>
          <w:rFonts w:ascii="宋体" w:hAnsi="宋体" w:hint="eastAsia"/>
          <w:szCs w:val="21"/>
        </w:rPr>
        <w:t>素质</w:t>
      </w:r>
      <w:r>
        <w:rPr>
          <w:rFonts w:ascii="宋体" w:hAnsi="宋体"/>
          <w:szCs w:val="21"/>
        </w:rPr>
        <w:t>方面：</w:t>
      </w:r>
      <w:r>
        <w:rPr>
          <w:rFonts w:ascii="宋体" w:hAnsi="宋体" w:hint="eastAsia"/>
          <w:bCs/>
        </w:rPr>
        <w:t>乐于</w:t>
      </w:r>
      <w:r>
        <w:rPr>
          <w:rFonts w:ascii="宋体" w:hAnsi="宋体"/>
          <w:bCs/>
        </w:rPr>
        <w:t>创新、扎实肯干。</w:t>
      </w:r>
    </w:p>
    <w:p w14:paraId="258814E1" w14:textId="77777777" w:rsidR="00F5289E" w:rsidRDefault="00C91173">
      <w:pPr>
        <w:spacing w:line="360" w:lineRule="auto"/>
        <w:ind w:firstLineChars="50" w:firstLine="105"/>
        <w:rPr>
          <w:rFonts w:ascii="宋体" w:hAnsi="宋体"/>
          <w:b/>
          <w:szCs w:val="21"/>
        </w:rPr>
      </w:pPr>
      <w:r>
        <w:rPr>
          <w:rFonts w:ascii="宋体" w:hAnsi="宋体" w:hint="eastAsia"/>
          <w:b/>
          <w:szCs w:val="21"/>
        </w:rPr>
        <w:t>（三）考核要求</w:t>
      </w:r>
    </w:p>
    <w:p w14:paraId="7095B7E7" w14:textId="77777777" w:rsidR="00F5289E" w:rsidRDefault="00C91173">
      <w:pPr>
        <w:spacing w:line="360" w:lineRule="auto"/>
        <w:ind w:firstLineChars="50" w:firstLine="105"/>
        <w:rPr>
          <w:rFonts w:ascii="宋体" w:hAnsi="宋体"/>
          <w:szCs w:val="21"/>
        </w:rPr>
      </w:pPr>
      <w:r>
        <w:rPr>
          <w:rFonts w:ascii="宋体" w:hAnsi="宋体" w:hint="eastAsia"/>
          <w:b/>
          <w:szCs w:val="21"/>
        </w:rPr>
        <w:t>1. 识记</w:t>
      </w:r>
      <w:r>
        <w:rPr>
          <w:rFonts w:ascii="宋体" w:hAnsi="宋体" w:hint="eastAsia"/>
          <w:szCs w:val="21"/>
        </w:rPr>
        <w:t>：基质栽培概念</w:t>
      </w:r>
    </w:p>
    <w:p w14:paraId="3ABD13A7"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2. 领会</w:t>
      </w:r>
      <w:r>
        <w:rPr>
          <w:rFonts w:ascii="宋体" w:hAnsi="宋体" w:hint="eastAsia"/>
          <w:szCs w:val="21"/>
        </w:rPr>
        <w:t>：有机生态型无土栽培的特点及应用</w:t>
      </w:r>
    </w:p>
    <w:p w14:paraId="02A7B587" w14:textId="77777777" w:rsidR="00F5289E" w:rsidRDefault="00C91173">
      <w:pPr>
        <w:snapToGrid w:val="0"/>
        <w:spacing w:beforeLines="50" w:before="156" w:line="360" w:lineRule="auto"/>
        <w:ind w:firstLineChars="50" w:firstLine="105"/>
        <w:rPr>
          <w:rFonts w:ascii="宋体" w:hAnsi="宋体"/>
          <w:sz w:val="24"/>
        </w:rPr>
      </w:pPr>
      <w:r>
        <w:rPr>
          <w:rFonts w:ascii="宋体" w:hAnsi="宋体"/>
          <w:b/>
          <w:szCs w:val="21"/>
        </w:rPr>
        <w:t xml:space="preserve">3. </w:t>
      </w:r>
      <w:r>
        <w:rPr>
          <w:rFonts w:ascii="宋体" w:hAnsi="宋体" w:hint="eastAsia"/>
          <w:b/>
          <w:szCs w:val="21"/>
        </w:rPr>
        <w:t>简单应用</w:t>
      </w:r>
      <w:r>
        <w:rPr>
          <w:rFonts w:ascii="宋体" w:hAnsi="宋体" w:hint="eastAsia"/>
          <w:szCs w:val="21"/>
        </w:rPr>
        <w:t>：袋培、槽培、岩棉栽培设施结构的设计</w:t>
      </w:r>
    </w:p>
    <w:p w14:paraId="76EBB6EF" w14:textId="77777777" w:rsidR="00F5289E" w:rsidRDefault="00C91173">
      <w:pPr>
        <w:snapToGrid w:val="0"/>
        <w:spacing w:beforeLines="50" w:before="156" w:line="360" w:lineRule="auto"/>
        <w:ind w:firstLineChars="50" w:firstLine="105"/>
        <w:rPr>
          <w:rFonts w:ascii="宋体" w:hAnsi="宋体"/>
          <w:szCs w:val="21"/>
        </w:rPr>
      </w:pPr>
      <w:r>
        <w:rPr>
          <w:rFonts w:ascii="宋体" w:hAnsi="宋体"/>
          <w:b/>
          <w:szCs w:val="21"/>
        </w:rPr>
        <w:t xml:space="preserve">4. </w:t>
      </w:r>
      <w:r>
        <w:rPr>
          <w:rFonts w:ascii="宋体" w:hAnsi="宋体" w:hint="eastAsia"/>
          <w:b/>
          <w:szCs w:val="21"/>
        </w:rPr>
        <w:t>综合应用</w:t>
      </w:r>
      <w:r>
        <w:rPr>
          <w:rFonts w:ascii="宋体" w:hAnsi="宋体" w:hint="eastAsia"/>
          <w:szCs w:val="21"/>
        </w:rPr>
        <w:t>：开放式和封闭式岩棉栽培床结构及供液和排液方式</w:t>
      </w:r>
    </w:p>
    <w:p w14:paraId="4BD5E630" w14:textId="77777777" w:rsidR="00F5289E" w:rsidRDefault="00F5289E">
      <w:pPr>
        <w:snapToGrid w:val="0"/>
        <w:spacing w:beforeLines="50" w:before="156" w:line="360" w:lineRule="auto"/>
        <w:rPr>
          <w:rFonts w:ascii="宋体" w:hAnsi="宋体"/>
          <w:bCs/>
        </w:rPr>
      </w:pPr>
    </w:p>
    <w:p w14:paraId="67EC977A" w14:textId="77777777" w:rsidR="00F5289E" w:rsidRDefault="00C91173">
      <w:pPr>
        <w:snapToGrid w:val="0"/>
        <w:spacing w:beforeLines="50" w:before="156" w:line="360" w:lineRule="auto"/>
        <w:ind w:firstLineChars="1200" w:firstLine="2530"/>
        <w:rPr>
          <w:rFonts w:ascii="宋体" w:hAnsi="宋体"/>
          <w:bCs/>
        </w:rPr>
      </w:pPr>
      <w:r>
        <w:rPr>
          <w:rFonts w:ascii="宋体" w:hAnsi="宋体" w:hint="eastAsia"/>
          <w:b/>
          <w:bCs/>
        </w:rPr>
        <w:lastRenderedPageBreak/>
        <w:t>第七章 无土育苗技术</w:t>
      </w:r>
    </w:p>
    <w:p w14:paraId="7A7C0D91" w14:textId="77777777" w:rsidR="00F5289E" w:rsidRDefault="00F5289E">
      <w:pPr>
        <w:snapToGrid w:val="0"/>
        <w:spacing w:line="360" w:lineRule="auto"/>
        <w:rPr>
          <w:rFonts w:ascii="宋体" w:hAnsi="宋体"/>
          <w:b/>
          <w:szCs w:val="21"/>
        </w:rPr>
      </w:pPr>
    </w:p>
    <w:p w14:paraId="0421633F"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0FE92D33" w14:textId="77777777" w:rsidR="00F5289E" w:rsidRDefault="00C91173">
      <w:pPr>
        <w:spacing w:line="360" w:lineRule="auto"/>
        <w:rPr>
          <w:rFonts w:ascii="宋体" w:hAnsi="宋体"/>
          <w:sz w:val="24"/>
        </w:rPr>
      </w:pPr>
      <w:r>
        <w:rPr>
          <w:rFonts w:ascii="宋体" w:hAnsi="宋体" w:hint="eastAsia"/>
          <w:b/>
          <w:szCs w:val="21"/>
        </w:rPr>
        <w:t>1. 一般了解</w:t>
      </w:r>
      <w:r>
        <w:rPr>
          <w:rFonts w:ascii="宋体" w:hAnsi="宋体" w:hint="eastAsia"/>
          <w:szCs w:val="21"/>
        </w:rPr>
        <w:t>：</w:t>
      </w:r>
      <w:r>
        <w:rPr>
          <w:rFonts w:ascii="宋体" w:hAnsi="宋体" w:hint="eastAsia"/>
          <w:sz w:val="24"/>
        </w:rPr>
        <w:t>无土育苗的优点</w:t>
      </w:r>
    </w:p>
    <w:p w14:paraId="7F77B1AD" w14:textId="77777777" w:rsidR="00F5289E" w:rsidRDefault="00C91173">
      <w:pPr>
        <w:widowControl/>
        <w:snapToGrid w:val="0"/>
        <w:spacing w:line="360" w:lineRule="auto"/>
        <w:jc w:val="left"/>
        <w:rPr>
          <w:rFonts w:ascii="宋体" w:hAnsi="宋体"/>
          <w:b/>
          <w:bCs/>
        </w:rPr>
      </w:pPr>
      <w:r>
        <w:rPr>
          <w:rFonts w:ascii="宋体" w:hAnsi="宋体" w:hint="eastAsia"/>
          <w:b/>
          <w:szCs w:val="21"/>
        </w:rPr>
        <w:t>2. 一般掌握</w:t>
      </w:r>
      <w:r>
        <w:rPr>
          <w:rFonts w:ascii="宋体" w:hAnsi="宋体" w:hint="eastAsia"/>
          <w:szCs w:val="21"/>
        </w:rPr>
        <w:t>：</w:t>
      </w:r>
      <w:r>
        <w:rPr>
          <w:rFonts w:ascii="宋体" w:hAnsi="宋体" w:hint="eastAsia"/>
          <w:bCs/>
        </w:rPr>
        <w:t>穴盘无土育苗的工艺流程及其对基质的要求</w:t>
      </w:r>
    </w:p>
    <w:p w14:paraId="2DE823DF" w14:textId="77777777" w:rsidR="00F5289E" w:rsidRDefault="00C91173">
      <w:pPr>
        <w:spacing w:line="360" w:lineRule="auto"/>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rPr>
        <w:t>基质养分管理要点，水培育苗营养液的管理</w:t>
      </w:r>
    </w:p>
    <w:p w14:paraId="3DB4FCC0" w14:textId="77777777" w:rsidR="00F5289E" w:rsidRDefault="00C91173">
      <w:pPr>
        <w:spacing w:line="360" w:lineRule="auto"/>
        <w:rPr>
          <w:rFonts w:ascii="宋体" w:hAnsi="宋体"/>
          <w:szCs w:val="21"/>
        </w:rPr>
      </w:pPr>
      <w:r>
        <w:rPr>
          <w:rFonts w:ascii="宋体" w:hAnsi="宋体" w:hint="eastAsia"/>
          <w:b/>
          <w:szCs w:val="21"/>
        </w:rPr>
        <w:t>（二）考核知识点</w:t>
      </w:r>
    </w:p>
    <w:p w14:paraId="63512A50" w14:textId="77777777" w:rsidR="00F5289E" w:rsidRDefault="00C91173">
      <w:pPr>
        <w:spacing w:line="360" w:lineRule="auto"/>
        <w:rPr>
          <w:rFonts w:ascii="宋体" w:hAnsi="宋体"/>
          <w:bCs/>
        </w:rPr>
      </w:pPr>
      <w:r>
        <w:rPr>
          <w:rFonts w:ascii="宋体" w:hAnsi="宋体" w:hint="eastAsia"/>
          <w:bCs/>
        </w:rPr>
        <w:t>知识</w:t>
      </w:r>
      <w:r>
        <w:rPr>
          <w:rFonts w:ascii="宋体" w:hAnsi="宋体"/>
          <w:bCs/>
        </w:rPr>
        <w:t>方面：</w:t>
      </w:r>
      <w:r>
        <w:rPr>
          <w:rFonts w:ascii="宋体" w:hAnsi="宋体" w:hint="eastAsia"/>
          <w:bCs/>
        </w:rPr>
        <w:t>掌握穴盘育苗、无土育苗的主要方式、穴盘育苗的技术要点。</w:t>
      </w:r>
    </w:p>
    <w:p w14:paraId="3BD133BA" w14:textId="77777777" w:rsidR="00F5289E" w:rsidRDefault="00C91173">
      <w:pPr>
        <w:spacing w:line="360" w:lineRule="auto"/>
        <w:rPr>
          <w:rFonts w:ascii="宋体" w:hAnsi="宋体"/>
          <w:bCs/>
        </w:rPr>
      </w:pPr>
      <w:r>
        <w:rPr>
          <w:rFonts w:ascii="宋体" w:hAnsi="宋体" w:hint="eastAsia"/>
          <w:bCs/>
        </w:rPr>
        <w:t>能力</w:t>
      </w:r>
      <w:r>
        <w:rPr>
          <w:rFonts w:ascii="宋体" w:hAnsi="宋体"/>
          <w:bCs/>
        </w:rPr>
        <w:t>方面：</w:t>
      </w:r>
      <w:r>
        <w:rPr>
          <w:rFonts w:ascii="宋体" w:hAnsi="宋体" w:hint="eastAsia"/>
          <w:bCs/>
        </w:rPr>
        <w:t>独立指导</w:t>
      </w:r>
      <w:r>
        <w:rPr>
          <w:rFonts w:ascii="宋体" w:hAnsi="宋体"/>
          <w:bCs/>
        </w:rPr>
        <w:t>及从事</w:t>
      </w:r>
      <w:r>
        <w:rPr>
          <w:rFonts w:ascii="宋体" w:hAnsi="宋体" w:hint="eastAsia"/>
          <w:bCs/>
        </w:rPr>
        <w:t>无土</w:t>
      </w:r>
      <w:r>
        <w:rPr>
          <w:rFonts w:ascii="宋体" w:hAnsi="宋体"/>
          <w:bCs/>
        </w:rPr>
        <w:t>育苗相关工作。</w:t>
      </w:r>
    </w:p>
    <w:p w14:paraId="63BA394A" w14:textId="77777777" w:rsidR="00F5289E" w:rsidRDefault="00C91173">
      <w:pPr>
        <w:spacing w:line="360" w:lineRule="auto"/>
        <w:rPr>
          <w:rFonts w:ascii="宋体" w:hAnsi="宋体"/>
          <w:bCs/>
        </w:rPr>
      </w:pPr>
      <w:r>
        <w:rPr>
          <w:rFonts w:ascii="宋体" w:hAnsi="宋体" w:hint="eastAsia"/>
          <w:bCs/>
        </w:rPr>
        <w:t>素质</w:t>
      </w:r>
      <w:r>
        <w:rPr>
          <w:rFonts w:ascii="宋体" w:hAnsi="宋体"/>
          <w:bCs/>
        </w:rPr>
        <w:t>方面：认真严谨、勇于探索。</w:t>
      </w:r>
    </w:p>
    <w:p w14:paraId="7A34BA19" w14:textId="77777777" w:rsidR="00F5289E" w:rsidRDefault="00C91173">
      <w:pPr>
        <w:spacing w:line="360" w:lineRule="auto"/>
        <w:ind w:firstLineChars="50" w:firstLine="105"/>
        <w:rPr>
          <w:rFonts w:ascii="宋体" w:hAnsi="宋体"/>
          <w:b/>
          <w:szCs w:val="21"/>
        </w:rPr>
      </w:pPr>
      <w:r>
        <w:rPr>
          <w:rFonts w:ascii="宋体" w:hAnsi="宋体" w:hint="eastAsia"/>
          <w:b/>
          <w:szCs w:val="21"/>
        </w:rPr>
        <w:t>（三）考核要求</w:t>
      </w:r>
    </w:p>
    <w:p w14:paraId="53D458B4" w14:textId="77777777" w:rsidR="00F5289E" w:rsidRDefault="00C91173">
      <w:pPr>
        <w:spacing w:line="360" w:lineRule="auto"/>
        <w:ind w:firstLineChars="50" w:firstLine="105"/>
        <w:rPr>
          <w:rFonts w:ascii="宋体" w:hAnsi="宋体"/>
          <w:szCs w:val="21"/>
        </w:rPr>
      </w:pPr>
      <w:r>
        <w:rPr>
          <w:rFonts w:ascii="宋体" w:hAnsi="宋体" w:hint="eastAsia"/>
          <w:b/>
          <w:szCs w:val="21"/>
        </w:rPr>
        <w:t>1. 识记</w:t>
      </w:r>
      <w:r>
        <w:rPr>
          <w:rFonts w:ascii="宋体" w:hAnsi="宋体" w:hint="eastAsia"/>
          <w:szCs w:val="21"/>
        </w:rPr>
        <w:t>：穴盘育苗的概念</w:t>
      </w:r>
    </w:p>
    <w:p w14:paraId="145BC28A"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2. 领会</w:t>
      </w:r>
      <w:r>
        <w:rPr>
          <w:rFonts w:ascii="宋体" w:hAnsi="宋体" w:hint="eastAsia"/>
          <w:szCs w:val="21"/>
        </w:rPr>
        <w:t>：</w:t>
      </w:r>
      <w:r>
        <w:rPr>
          <w:rFonts w:ascii="宋体" w:hAnsi="宋体" w:hint="eastAsia"/>
          <w:bCs/>
        </w:rPr>
        <w:t>无土育苗的主要设施设备及特点</w:t>
      </w:r>
    </w:p>
    <w:p w14:paraId="1F42F71C" w14:textId="77777777" w:rsidR="00F5289E" w:rsidRDefault="00C91173">
      <w:pPr>
        <w:snapToGrid w:val="0"/>
        <w:spacing w:beforeLines="50" w:before="156" w:line="360" w:lineRule="auto"/>
        <w:ind w:firstLineChars="50" w:firstLine="105"/>
        <w:rPr>
          <w:rFonts w:ascii="宋体" w:hAnsi="宋体"/>
          <w:bCs/>
        </w:rPr>
      </w:pPr>
      <w:r>
        <w:rPr>
          <w:rFonts w:ascii="宋体" w:hAnsi="宋体"/>
          <w:b/>
          <w:szCs w:val="21"/>
        </w:rPr>
        <w:t xml:space="preserve">3. </w:t>
      </w:r>
      <w:r>
        <w:rPr>
          <w:rFonts w:ascii="宋体" w:hAnsi="宋体" w:hint="eastAsia"/>
          <w:b/>
          <w:szCs w:val="21"/>
        </w:rPr>
        <w:t>简单应用</w:t>
      </w:r>
      <w:r>
        <w:rPr>
          <w:rFonts w:ascii="宋体" w:hAnsi="宋体" w:hint="eastAsia"/>
          <w:szCs w:val="21"/>
        </w:rPr>
        <w:t>：</w:t>
      </w:r>
      <w:r>
        <w:rPr>
          <w:rFonts w:ascii="宋体" w:hAnsi="宋体" w:hint="eastAsia"/>
          <w:bCs/>
        </w:rPr>
        <w:t>穴盘育苗工艺流程的主要部分，水培育苗的关键技术</w:t>
      </w:r>
    </w:p>
    <w:p w14:paraId="670EB1E1" w14:textId="77777777" w:rsidR="00F5289E" w:rsidRDefault="00C91173">
      <w:pPr>
        <w:snapToGrid w:val="0"/>
        <w:spacing w:beforeLines="50" w:before="156" w:line="360" w:lineRule="auto"/>
        <w:ind w:firstLineChars="50" w:firstLine="105"/>
        <w:rPr>
          <w:rFonts w:ascii="宋体" w:hAnsi="宋体"/>
          <w:bCs/>
        </w:rPr>
      </w:pPr>
      <w:r>
        <w:rPr>
          <w:rFonts w:ascii="宋体" w:hAnsi="宋体"/>
          <w:b/>
          <w:szCs w:val="21"/>
        </w:rPr>
        <w:t xml:space="preserve">4. </w:t>
      </w:r>
      <w:r>
        <w:rPr>
          <w:rFonts w:ascii="宋体" w:hAnsi="宋体" w:hint="eastAsia"/>
          <w:b/>
          <w:szCs w:val="21"/>
        </w:rPr>
        <w:t>综合应用</w:t>
      </w:r>
      <w:r>
        <w:rPr>
          <w:rFonts w:ascii="宋体" w:hAnsi="宋体" w:hint="eastAsia"/>
          <w:szCs w:val="21"/>
        </w:rPr>
        <w:t>：</w:t>
      </w:r>
      <w:r>
        <w:rPr>
          <w:rFonts w:ascii="宋体" w:hAnsi="宋体" w:hint="eastAsia"/>
          <w:bCs/>
        </w:rPr>
        <w:t>无土育苗对育苗基质的要求及养分管理技术要点</w:t>
      </w:r>
    </w:p>
    <w:p w14:paraId="39CAF43B" w14:textId="77777777" w:rsidR="00F5289E" w:rsidRDefault="00F5289E">
      <w:pPr>
        <w:snapToGrid w:val="0"/>
        <w:spacing w:beforeLines="50" w:before="156" w:line="360" w:lineRule="auto"/>
        <w:ind w:firstLineChars="1000" w:firstLine="2108"/>
        <w:rPr>
          <w:rFonts w:ascii="宋体" w:hAnsi="宋体"/>
          <w:b/>
          <w:bCs/>
        </w:rPr>
      </w:pPr>
    </w:p>
    <w:p w14:paraId="3A086010" w14:textId="77777777" w:rsidR="00F5289E" w:rsidRDefault="00C91173">
      <w:pPr>
        <w:snapToGrid w:val="0"/>
        <w:spacing w:beforeLines="50" w:before="156" w:line="360" w:lineRule="auto"/>
        <w:ind w:firstLineChars="1000" w:firstLine="2108"/>
        <w:rPr>
          <w:rFonts w:ascii="宋体" w:hAnsi="宋体"/>
          <w:bCs/>
        </w:rPr>
      </w:pPr>
      <w:r>
        <w:rPr>
          <w:rFonts w:ascii="宋体" w:hAnsi="宋体" w:hint="eastAsia"/>
          <w:b/>
          <w:bCs/>
        </w:rPr>
        <w:t>第八章 蔬菜及观赏植物无土栽培技术</w:t>
      </w:r>
      <w:r>
        <w:rPr>
          <w:rFonts w:ascii="宋体" w:hAnsi="宋体" w:hint="eastAsia"/>
          <w:bCs/>
        </w:rPr>
        <w:t xml:space="preserve">   </w:t>
      </w:r>
    </w:p>
    <w:p w14:paraId="6E5A1D7A" w14:textId="77777777" w:rsidR="00F5289E" w:rsidRDefault="00F5289E">
      <w:pPr>
        <w:snapToGrid w:val="0"/>
        <w:spacing w:beforeLines="50" w:before="156" w:line="360" w:lineRule="auto"/>
        <w:ind w:firstLineChars="1000" w:firstLine="2100"/>
        <w:rPr>
          <w:rFonts w:ascii="宋体" w:hAnsi="宋体"/>
          <w:bCs/>
        </w:rPr>
      </w:pPr>
    </w:p>
    <w:p w14:paraId="1229BF18" w14:textId="77777777" w:rsidR="00F5289E" w:rsidRDefault="00C91173">
      <w:pPr>
        <w:snapToGrid w:val="0"/>
        <w:spacing w:line="360" w:lineRule="auto"/>
        <w:rPr>
          <w:rFonts w:ascii="宋体" w:hAnsi="宋体"/>
          <w:b/>
          <w:szCs w:val="21"/>
        </w:rPr>
      </w:pPr>
      <w:r>
        <w:rPr>
          <w:rFonts w:ascii="宋体" w:hAnsi="宋体" w:hint="eastAsia"/>
          <w:b/>
          <w:szCs w:val="21"/>
        </w:rPr>
        <w:t>（一</w:t>
      </w:r>
      <w:r>
        <w:rPr>
          <w:rFonts w:ascii="宋体" w:hAnsi="宋体"/>
          <w:b/>
          <w:szCs w:val="21"/>
        </w:rPr>
        <w:t>）</w:t>
      </w:r>
      <w:r>
        <w:rPr>
          <w:rFonts w:ascii="宋体" w:hAnsi="宋体" w:hint="eastAsia"/>
          <w:b/>
          <w:szCs w:val="21"/>
        </w:rPr>
        <w:t>一般学习目的与要求</w:t>
      </w:r>
    </w:p>
    <w:p w14:paraId="6694B33D" w14:textId="77777777" w:rsidR="00F5289E" w:rsidRDefault="00C91173">
      <w:pPr>
        <w:spacing w:line="360" w:lineRule="auto"/>
        <w:rPr>
          <w:rFonts w:ascii="宋体" w:hAnsi="宋体"/>
          <w:bCs/>
        </w:rPr>
      </w:pPr>
      <w:r>
        <w:rPr>
          <w:rFonts w:ascii="宋体" w:hAnsi="宋体" w:hint="eastAsia"/>
          <w:b/>
          <w:szCs w:val="21"/>
        </w:rPr>
        <w:t>1. 一般了解</w:t>
      </w:r>
      <w:r>
        <w:rPr>
          <w:rFonts w:ascii="宋体" w:hAnsi="宋体" w:hint="eastAsia"/>
          <w:szCs w:val="21"/>
        </w:rPr>
        <w:t>：</w:t>
      </w:r>
      <w:r>
        <w:rPr>
          <w:rFonts w:ascii="宋体" w:hAnsi="宋体" w:hint="eastAsia"/>
          <w:bCs/>
        </w:rPr>
        <w:t>芽苗菜的无土栽培技术及观赏植物常用无土栽培技术</w:t>
      </w:r>
    </w:p>
    <w:p w14:paraId="71AD1BD9" w14:textId="77777777" w:rsidR="00F5289E" w:rsidRDefault="00C91173">
      <w:pPr>
        <w:widowControl/>
        <w:snapToGrid w:val="0"/>
        <w:spacing w:line="360" w:lineRule="auto"/>
        <w:jc w:val="left"/>
        <w:rPr>
          <w:rFonts w:ascii="宋体" w:hAnsi="宋体"/>
          <w:bCs/>
        </w:rPr>
      </w:pPr>
      <w:r>
        <w:rPr>
          <w:rFonts w:ascii="宋体" w:hAnsi="宋体" w:hint="eastAsia"/>
          <w:b/>
          <w:szCs w:val="21"/>
        </w:rPr>
        <w:t>2. 一般掌握</w:t>
      </w:r>
      <w:r>
        <w:rPr>
          <w:rFonts w:ascii="宋体" w:hAnsi="宋体" w:hint="eastAsia"/>
          <w:szCs w:val="21"/>
        </w:rPr>
        <w:t>：</w:t>
      </w:r>
      <w:r>
        <w:rPr>
          <w:rFonts w:ascii="宋体" w:hAnsi="宋体" w:hint="eastAsia"/>
          <w:bCs/>
        </w:rPr>
        <w:t>黄瓜、番茄、生菜的植物学特性及无土栽培方式的选择</w:t>
      </w:r>
    </w:p>
    <w:p w14:paraId="19125B3B" w14:textId="77777777" w:rsidR="00F5289E" w:rsidRDefault="00C91173">
      <w:pPr>
        <w:widowControl/>
        <w:snapToGrid w:val="0"/>
        <w:spacing w:line="360" w:lineRule="auto"/>
        <w:jc w:val="left"/>
        <w:rPr>
          <w:rFonts w:ascii="宋体" w:hAnsi="宋体"/>
          <w:bCs/>
        </w:rPr>
      </w:pPr>
      <w:r>
        <w:rPr>
          <w:rFonts w:ascii="宋体" w:hAnsi="宋体" w:hint="eastAsia"/>
          <w:b/>
          <w:szCs w:val="21"/>
        </w:rPr>
        <w:t>3. 熟练掌握</w:t>
      </w:r>
      <w:r>
        <w:rPr>
          <w:rFonts w:ascii="宋体" w:hAnsi="宋体" w:hint="eastAsia"/>
          <w:szCs w:val="21"/>
        </w:rPr>
        <w:t>：</w:t>
      </w:r>
      <w:r>
        <w:rPr>
          <w:rFonts w:ascii="宋体" w:hAnsi="宋体" w:hint="eastAsia"/>
          <w:bCs/>
        </w:rPr>
        <w:t>黄瓜、番茄的基质栽培技术、生菜的水培技术</w:t>
      </w:r>
    </w:p>
    <w:p w14:paraId="7042A299" w14:textId="77777777" w:rsidR="00F5289E" w:rsidRDefault="00C91173">
      <w:pPr>
        <w:spacing w:line="360" w:lineRule="auto"/>
        <w:rPr>
          <w:rFonts w:ascii="宋体" w:hAnsi="宋体"/>
          <w:szCs w:val="21"/>
        </w:rPr>
      </w:pPr>
      <w:r>
        <w:rPr>
          <w:rFonts w:ascii="宋体" w:hAnsi="宋体" w:hint="eastAsia"/>
          <w:b/>
          <w:szCs w:val="21"/>
        </w:rPr>
        <w:t>(二)考核知识点</w:t>
      </w:r>
    </w:p>
    <w:p w14:paraId="4764C251" w14:textId="77777777" w:rsidR="00F5289E" w:rsidRDefault="00C91173">
      <w:pPr>
        <w:spacing w:line="360" w:lineRule="auto"/>
        <w:ind w:firstLineChars="50" w:firstLine="105"/>
        <w:rPr>
          <w:rFonts w:ascii="宋体" w:hAnsi="宋体"/>
          <w:bCs/>
        </w:rPr>
      </w:pPr>
      <w:r>
        <w:rPr>
          <w:rFonts w:ascii="宋体" w:hAnsi="宋体" w:hint="eastAsia"/>
          <w:bCs/>
        </w:rPr>
        <w:t>知识</w:t>
      </w:r>
      <w:r>
        <w:rPr>
          <w:rFonts w:ascii="宋体" w:hAnsi="宋体"/>
          <w:bCs/>
        </w:rPr>
        <w:t>方面：</w:t>
      </w:r>
      <w:r>
        <w:rPr>
          <w:rFonts w:ascii="宋体" w:hAnsi="宋体" w:hint="eastAsia"/>
          <w:bCs/>
        </w:rPr>
        <w:t>掌握番茄、黄瓜、生菜无土栽培技术要点。</w:t>
      </w:r>
    </w:p>
    <w:p w14:paraId="7F7F6547" w14:textId="77777777" w:rsidR="00F5289E" w:rsidRDefault="00C91173">
      <w:pPr>
        <w:spacing w:line="360" w:lineRule="auto"/>
        <w:ind w:firstLineChars="50" w:firstLine="105"/>
        <w:rPr>
          <w:rFonts w:ascii="宋体" w:hAnsi="宋体"/>
          <w:bCs/>
        </w:rPr>
      </w:pPr>
      <w:r>
        <w:rPr>
          <w:rFonts w:ascii="宋体" w:hAnsi="宋体" w:hint="eastAsia"/>
          <w:bCs/>
        </w:rPr>
        <w:t>能力方面</w:t>
      </w:r>
      <w:r>
        <w:rPr>
          <w:rFonts w:ascii="宋体" w:hAnsi="宋体"/>
          <w:bCs/>
        </w:rPr>
        <w:t>：独立指导及从事蔬菜、花卉无土栽培</w:t>
      </w:r>
      <w:r>
        <w:rPr>
          <w:rFonts w:ascii="宋体" w:hAnsi="宋体" w:hint="eastAsia"/>
          <w:bCs/>
        </w:rPr>
        <w:t>的</w:t>
      </w:r>
      <w:r>
        <w:rPr>
          <w:rFonts w:ascii="宋体" w:hAnsi="宋体"/>
          <w:bCs/>
        </w:rPr>
        <w:t>能力。</w:t>
      </w:r>
    </w:p>
    <w:p w14:paraId="555D5C6A" w14:textId="77777777" w:rsidR="00F5289E" w:rsidRDefault="00C91173">
      <w:pPr>
        <w:spacing w:line="360" w:lineRule="auto"/>
        <w:ind w:firstLineChars="50" w:firstLine="105"/>
        <w:rPr>
          <w:rFonts w:ascii="宋体" w:hAnsi="宋体"/>
          <w:bCs/>
        </w:rPr>
      </w:pPr>
      <w:r>
        <w:rPr>
          <w:rFonts w:ascii="宋体" w:hAnsi="宋体" w:hint="eastAsia"/>
          <w:bCs/>
        </w:rPr>
        <w:t>素质</w:t>
      </w:r>
      <w:r>
        <w:rPr>
          <w:rFonts w:ascii="宋体" w:hAnsi="宋体"/>
          <w:bCs/>
        </w:rPr>
        <w:t>方面：</w:t>
      </w:r>
      <w:r>
        <w:rPr>
          <w:rFonts w:ascii="宋体" w:hAnsi="宋体" w:hint="eastAsia"/>
          <w:bCs/>
        </w:rPr>
        <w:t>扎实</w:t>
      </w:r>
      <w:r>
        <w:rPr>
          <w:rFonts w:ascii="宋体" w:hAnsi="宋体"/>
          <w:bCs/>
        </w:rPr>
        <w:t>肯干，能够服务于</w:t>
      </w:r>
      <w:r>
        <w:rPr>
          <w:rFonts w:ascii="宋体" w:hAnsi="宋体" w:hint="eastAsia"/>
          <w:bCs/>
        </w:rPr>
        <w:t>“</w:t>
      </w:r>
      <w:r>
        <w:rPr>
          <w:rFonts w:ascii="宋体" w:hAnsi="宋体"/>
          <w:bCs/>
        </w:rPr>
        <w:t>三农</w:t>
      </w:r>
      <w:r>
        <w:rPr>
          <w:rFonts w:ascii="宋体" w:hAnsi="宋体" w:hint="eastAsia"/>
          <w:bCs/>
        </w:rPr>
        <w:t>”</w:t>
      </w:r>
      <w:r>
        <w:rPr>
          <w:rFonts w:ascii="宋体" w:hAnsi="宋体"/>
          <w:bCs/>
        </w:rPr>
        <w:t>工作。</w:t>
      </w:r>
    </w:p>
    <w:p w14:paraId="79AF1FA7" w14:textId="77777777" w:rsidR="00F5289E" w:rsidRDefault="00C91173">
      <w:pPr>
        <w:spacing w:line="360" w:lineRule="auto"/>
        <w:rPr>
          <w:rFonts w:ascii="宋体" w:hAnsi="宋体"/>
          <w:b/>
          <w:szCs w:val="21"/>
        </w:rPr>
      </w:pPr>
      <w:r>
        <w:rPr>
          <w:rFonts w:ascii="宋体" w:hAnsi="宋体" w:hint="eastAsia"/>
          <w:b/>
          <w:szCs w:val="21"/>
        </w:rPr>
        <w:t>(三)考核要求</w:t>
      </w:r>
    </w:p>
    <w:p w14:paraId="4E5E3F01" w14:textId="77777777" w:rsidR="00F5289E" w:rsidRDefault="00C91173">
      <w:pPr>
        <w:spacing w:line="360" w:lineRule="auto"/>
        <w:ind w:firstLineChars="50" w:firstLine="105"/>
        <w:rPr>
          <w:rFonts w:ascii="宋体" w:hAnsi="宋体"/>
          <w:szCs w:val="21"/>
        </w:rPr>
      </w:pPr>
      <w:r>
        <w:rPr>
          <w:rFonts w:ascii="宋体" w:hAnsi="宋体" w:hint="eastAsia"/>
          <w:b/>
          <w:szCs w:val="21"/>
        </w:rPr>
        <w:t>1. 识记</w:t>
      </w:r>
      <w:r>
        <w:rPr>
          <w:rFonts w:ascii="宋体" w:hAnsi="宋体" w:hint="eastAsia"/>
          <w:szCs w:val="21"/>
        </w:rPr>
        <w:t>：番茄、黄瓜、生菜无土栽培的关键技术</w:t>
      </w:r>
    </w:p>
    <w:p w14:paraId="10A3F497"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2. 领会</w:t>
      </w:r>
      <w:r>
        <w:rPr>
          <w:rFonts w:ascii="宋体" w:hAnsi="宋体" w:hint="eastAsia"/>
          <w:szCs w:val="21"/>
        </w:rPr>
        <w:t>：</w:t>
      </w:r>
      <w:r>
        <w:rPr>
          <w:rFonts w:ascii="宋体" w:hAnsi="宋体" w:hint="eastAsia"/>
          <w:bCs/>
        </w:rPr>
        <w:t>黄瓜、番茄、生菜的植物学特性</w:t>
      </w:r>
    </w:p>
    <w:p w14:paraId="7CEAF58E" w14:textId="77777777" w:rsidR="00F5289E" w:rsidRDefault="00C91173">
      <w:pPr>
        <w:snapToGrid w:val="0"/>
        <w:spacing w:beforeLines="50" w:before="156" w:line="360" w:lineRule="auto"/>
        <w:ind w:firstLineChars="50" w:firstLine="105"/>
        <w:rPr>
          <w:rFonts w:ascii="宋体" w:hAnsi="宋体"/>
          <w:bCs/>
        </w:rPr>
      </w:pPr>
      <w:r>
        <w:rPr>
          <w:rFonts w:ascii="宋体" w:hAnsi="宋体"/>
          <w:b/>
          <w:szCs w:val="21"/>
        </w:rPr>
        <w:lastRenderedPageBreak/>
        <w:t xml:space="preserve">3. </w:t>
      </w:r>
      <w:r>
        <w:rPr>
          <w:rFonts w:ascii="宋体" w:hAnsi="宋体" w:hint="eastAsia"/>
          <w:b/>
          <w:szCs w:val="21"/>
        </w:rPr>
        <w:t>简单应用</w:t>
      </w:r>
      <w:r>
        <w:rPr>
          <w:rFonts w:ascii="宋体" w:hAnsi="宋体" w:hint="eastAsia"/>
          <w:szCs w:val="21"/>
        </w:rPr>
        <w:t>：</w:t>
      </w:r>
      <w:r>
        <w:rPr>
          <w:rFonts w:ascii="宋体" w:hAnsi="宋体" w:hint="eastAsia"/>
          <w:bCs/>
        </w:rPr>
        <w:t>芽苗菜的无土栽培方式及关键管理技术</w:t>
      </w:r>
    </w:p>
    <w:p w14:paraId="5CDB4B56" w14:textId="77777777" w:rsidR="00F5289E" w:rsidRDefault="00C91173">
      <w:pPr>
        <w:snapToGrid w:val="0"/>
        <w:spacing w:beforeLines="50" w:before="156" w:line="360" w:lineRule="auto"/>
        <w:ind w:firstLineChars="50" w:firstLine="105"/>
        <w:rPr>
          <w:rFonts w:ascii="宋体" w:hAnsi="宋体"/>
          <w:bCs/>
        </w:rPr>
      </w:pPr>
      <w:r>
        <w:rPr>
          <w:rFonts w:ascii="宋体" w:hAnsi="宋体"/>
          <w:b/>
          <w:szCs w:val="21"/>
        </w:rPr>
        <w:t xml:space="preserve">4. </w:t>
      </w:r>
      <w:r>
        <w:rPr>
          <w:rFonts w:ascii="宋体" w:hAnsi="宋体" w:hint="eastAsia"/>
          <w:b/>
          <w:szCs w:val="21"/>
        </w:rPr>
        <w:t>综合应用</w:t>
      </w:r>
      <w:r>
        <w:rPr>
          <w:rFonts w:ascii="宋体" w:hAnsi="宋体" w:hint="eastAsia"/>
          <w:szCs w:val="21"/>
        </w:rPr>
        <w:t>：</w:t>
      </w:r>
      <w:r>
        <w:rPr>
          <w:rFonts w:ascii="宋体" w:hAnsi="宋体" w:hint="eastAsia"/>
          <w:bCs/>
        </w:rPr>
        <w:t>黄瓜、番茄的基质栽培技术、生菜的水培技术</w:t>
      </w:r>
    </w:p>
    <w:p w14:paraId="63E5FABB" w14:textId="77777777" w:rsidR="00F5289E" w:rsidRDefault="00F5289E">
      <w:pPr>
        <w:snapToGrid w:val="0"/>
        <w:spacing w:beforeLines="50" w:before="156" w:line="360" w:lineRule="auto"/>
        <w:ind w:firstLineChars="800" w:firstLine="1687"/>
        <w:rPr>
          <w:rFonts w:ascii="宋体" w:hAnsi="宋体"/>
          <w:b/>
          <w:bCs/>
        </w:rPr>
      </w:pPr>
    </w:p>
    <w:p w14:paraId="08D0C5A2" w14:textId="77777777" w:rsidR="00F5289E" w:rsidRDefault="00C91173">
      <w:pPr>
        <w:snapToGrid w:val="0"/>
        <w:spacing w:beforeLines="50" w:before="156" w:line="360" w:lineRule="auto"/>
        <w:ind w:firstLineChars="800" w:firstLine="1687"/>
        <w:rPr>
          <w:rFonts w:ascii="宋体" w:hAnsi="宋体"/>
          <w:b/>
          <w:bCs/>
        </w:rPr>
      </w:pPr>
      <w:r>
        <w:rPr>
          <w:rFonts w:ascii="宋体" w:hAnsi="宋体" w:hint="eastAsia"/>
          <w:b/>
          <w:bCs/>
        </w:rPr>
        <w:t xml:space="preserve">第九章 无土栽培技术的拓展应用 </w:t>
      </w:r>
    </w:p>
    <w:p w14:paraId="4C3A8854" w14:textId="77777777" w:rsidR="00F5289E" w:rsidRDefault="00C91173">
      <w:pPr>
        <w:snapToGrid w:val="0"/>
        <w:spacing w:beforeLines="50" w:before="156" w:line="360" w:lineRule="auto"/>
        <w:ind w:firstLineChars="800" w:firstLine="1687"/>
        <w:rPr>
          <w:rFonts w:ascii="宋体" w:hAnsi="宋体"/>
          <w:bCs/>
        </w:rPr>
      </w:pPr>
      <w:r>
        <w:rPr>
          <w:rFonts w:ascii="宋体" w:hAnsi="宋体" w:hint="eastAsia"/>
          <w:b/>
          <w:bCs/>
        </w:rPr>
        <w:t xml:space="preserve">   </w:t>
      </w:r>
    </w:p>
    <w:p w14:paraId="7C8CEC5B"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45546A33" w14:textId="77777777" w:rsidR="00F5289E" w:rsidRDefault="00C91173">
      <w:pPr>
        <w:spacing w:line="360" w:lineRule="auto"/>
        <w:rPr>
          <w:rFonts w:ascii="宋体" w:hAnsi="宋体"/>
          <w:bCs/>
        </w:rPr>
      </w:pPr>
      <w:r>
        <w:rPr>
          <w:rFonts w:ascii="宋体" w:hAnsi="宋体" w:hint="eastAsia"/>
          <w:b/>
          <w:szCs w:val="21"/>
        </w:rPr>
        <w:t>1. 一般了解</w:t>
      </w:r>
      <w:r>
        <w:rPr>
          <w:rFonts w:ascii="宋体" w:hAnsi="宋体" w:hint="eastAsia"/>
          <w:szCs w:val="21"/>
        </w:rPr>
        <w:t>：</w:t>
      </w:r>
      <w:r>
        <w:rPr>
          <w:rFonts w:ascii="宋体" w:hAnsi="宋体" w:hint="eastAsia"/>
          <w:bCs/>
        </w:rPr>
        <w:t>屋顶绿化对建筑的要求及适宜屋顶绿化的无土栽培方式</w:t>
      </w:r>
    </w:p>
    <w:p w14:paraId="527B0C34" w14:textId="77777777" w:rsidR="00F5289E" w:rsidRDefault="00C91173">
      <w:pPr>
        <w:spacing w:line="360" w:lineRule="auto"/>
        <w:rPr>
          <w:rFonts w:ascii="宋体" w:hAnsi="宋体"/>
          <w:bCs/>
        </w:rPr>
      </w:pPr>
      <w:r>
        <w:rPr>
          <w:rFonts w:ascii="宋体" w:hAnsi="宋体" w:hint="eastAsia"/>
          <w:b/>
          <w:szCs w:val="21"/>
        </w:rPr>
        <w:t>2. 一般掌握</w:t>
      </w:r>
      <w:r>
        <w:rPr>
          <w:rFonts w:ascii="宋体" w:hAnsi="宋体" w:hint="eastAsia"/>
          <w:szCs w:val="21"/>
        </w:rPr>
        <w:t>：</w:t>
      </w:r>
      <w:r>
        <w:rPr>
          <w:rFonts w:ascii="宋体" w:hAnsi="宋体" w:hint="eastAsia"/>
          <w:bCs/>
        </w:rPr>
        <w:t>观光型雾培技术、立柱栽培技术、管道栽培技术</w:t>
      </w:r>
    </w:p>
    <w:p w14:paraId="55901363" w14:textId="77777777" w:rsidR="00F5289E" w:rsidRDefault="00C91173">
      <w:pPr>
        <w:widowControl/>
        <w:snapToGrid w:val="0"/>
        <w:spacing w:line="360" w:lineRule="auto"/>
        <w:jc w:val="left"/>
        <w:rPr>
          <w:rFonts w:ascii="宋体" w:hAnsi="宋体"/>
          <w:bCs/>
        </w:rPr>
      </w:pPr>
      <w:r>
        <w:rPr>
          <w:rFonts w:ascii="宋体" w:hAnsi="宋体" w:hint="eastAsia"/>
          <w:b/>
          <w:szCs w:val="21"/>
        </w:rPr>
        <w:t>3. 熟练掌握</w:t>
      </w:r>
      <w:r>
        <w:rPr>
          <w:rFonts w:ascii="宋体" w:hAnsi="宋体" w:hint="eastAsia"/>
          <w:szCs w:val="21"/>
        </w:rPr>
        <w:t>：</w:t>
      </w:r>
      <w:r>
        <w:rPr>
          <w:rFonts w:ascii="宋体" w:hAnsi="宋体" w:hint="eastAsia"/>
          <w:bCs/>
        </w:rPr>
        <w:t>蔬菜树式栽培关键技术、家庭无土栽培的类型及特点</w:t>
      </w:r>
    </w:p>
    <w:p w14:paraId="13449768" w14:textId="77777777" w:rsidR="00F5289E" w:rsidRDefault="00C91173">
      <w:pPr>
        <w:widowControl/>
        <w:snapToGrid w:val="0"/>
        <w:spacing w:line="360" w:lineRule="auto"/>
        <w:jc w:val="left"/>
        <w:rPr>
          <w:rFonts w:ascii="宋体" w:hAnsi="宋体"/>
          <w:szCs w:val="21"/>
        </w:rPr>
      </w:pPr>
      <w:r>
        <w:rPr>
          <w:rFonts w:ascii="宋体" w:hAnsi="宋体" w:hint="eastAsia"/>
          <w:b/>
          <w:szCs w:val="21"/>
        </w:rPr>
        <w:t>(二)考核知识点</w:t>
      </w:r>
    </w:p>
    <w:p w14:paraId="49712D79" w14:textId="77777777" w:rsidR="00F5289E" w:rsidRDefault="00C91173">
      <w:pPr>
        <w:widowControl/>
        <w:snapToGrid w:val="0"/>
        <w:spacing w:line="360" w:lineRule="auto"/>
        <w:jc w:val="left"/>
        <w:rPr>
          <w:rFonts w:ascii="宋体" w:hAnsi="宋体"/>
          <w:bCs/>
        </w:rPr>
      </w:pPr>
      <w:r>
        <w:rPr>
          <w:rFonts w:ascii="宋体" w:hAnsi="宋体" w:hint="eastAsia"/>
          <w:szCs w:val="21"/>
        </w:rPr>
        <w:t>知识</w:t>
      </w:r>
      <w:r>
        <w:rPr>
          <w:rFonts w:ascii="宋体" w:hAnsi="宋体"/>
          <w:szCs w:val="21"/>
        </w:rPr>
        <w:t>方面：掌握</w:t>
      </w:r>
      <w:r>
        <w:rPr>
          <w:rFonts w:ascii="宋体" w:hAnsi="宋体" w:hint="eastAsia"/>
          <w:bCs/>
        </w:rPr>
        <w:t>家庭无土栽培的类型及特点</w:t>
      </w:r>
      <w:r>
        <w:rPr>
          <w:rFonts w:ascii="宋体" w:hAnsi="宋体" w:hint="eastAsia"/>
          <w:szCs w:val="21"/>
        </w:rPr>
        <w:t>、</w:t>
      </w:r>
      <w:r>
        <w:rPr>
          <w:rFonts w:ascii="宋体" w:hAnsi="宋体" w:hint="eastAsia"/>
          <w:bCs/>
        </w:rPr>
        <w:t>观光型无土栽培类型及观光型作物树式栽培关键技术。</w:t>
      </w:r>
    </w:p>
    <w:p w14:paraId="15EA59BF" w14:textId="77777777" w:rsidR="00F5289E" w:rsidRDefault="00C91173">
      <w:pPr>
        <w:widowControl/>
        <w:snapToGrid w:val="0"/>
        <w:spacing w:line="360" w:lineRule="auto"/>
        <w:jc w:val="left"/>
        <w:rPr>
          <w:rFonts w:ascii="宋体" w:hAnsi="宋体"/>
          <w:bCs/>
        </w:rPr>
      </w:pPr>
      <w:r>
        <w:rPr>
          <w:rFonts w:ascii="宋体" w:hAnsi="宋体" w:hint="eastAsia"/>
          <w:bCs/>
        </w:rPr>
        <w:t>能力</w:t>
      </w:r>
      <w:r>
        <w:rPr>
          <w:rFonts w:ascii="宋体" w:hAnsi="宋体"/>
          <w:bCs/>
        </w:rPr>
        <w:t>方面：指导观光、家庭等无土栽培领域的相关工作。</w:t>
      </w:r>
    </w:p>
    <w:p w14:paraId="5A819F3F" w14:textId="77777777" w:rsidR="00F5289E" w:rsidRDefault="00C91173">
      <w:pPr>
        <w:widowControl/>
        <w:snapToGrid w:val="0"/>
        <w:spacing w:line="360" w:lineRule="auto"/>
        <w:jc w:val="left"/>
        <w:rPr>
          <w:rFonts w:ascii="宋体" w:hAnsi="宋体"/>
          <w:szCs w:val="21"/>
        </w:rPr>
      </w:pPr>
      <w:r>
        <w:rPr>
          <w:rFonts w:ascii="宋体" w:hAnsi="宋体" w:hint="eastAsia"/>
          <w:bCs/>
        </w:rPr>
        <w:t>素质</w:t>
      </w:r>
      <w:r>
        <w:rPr>
          <w:rFonts w:ascii="宋体" w:hAnsi="宋体"/>
          <w:bCs/>
        </w:rPr>
        <w:t>方面：灵活运用所学知识，服务于乡村振兴。</w:t>
      </w:r>
    </w:p>
    <w:p w14:paraId="39C709D5" w14:textId="77777777" w:rsidR="00F5289E" w:rsidRDefault="00C91173">
      <w:pPr>
        <w:spacing w:line="360" w:lineRule="auto"/>
        <w:rPr>
          <w:rFonts w:ascii="宋体" w:hAnsi="宋体"/>
          <w:b/>
          <w:szCs w:val="21"/>
        </w:rPr>
      </w:pPr>
      <w:r>
        <w:rPr>
          <w:rFonts w:ascii="宋体" w:hAnsi="宋体" w:hint="eastAsia"/>
          <w:b/>
          <w:szCs w:val="21"/>
        </w:rPr>
        <w:t>(三)考核要求</w:t>
      </w:r>
    </w:p>
    <w:p w14:paraId="23D0F0F8" w14:textId="77777777" w:rsidR="00F5289E" w:rsidRDefault="00C91173">
      <w:pPr>
        <w:spacing w:line="360" w:lineRule="auto"/>
        <w:ind w:firstLineChars="50" w:firstLine="105"/>
        <w:rPr>
          <w:rFonts w:ascii="宋体" w:hAnsi="宋体"/>
          <w:bCs/>
        </w:rPr>
      </w:pPr>
      <w:r>
        <w:rPr>
          <w:rFonts w:ascii="宋体" w:hAnsi="宋体" w:hint="eastAsia"/>
          <w:b/>
          <w:szCs w:val="21"/>
        </w:rPr>
        <w:t>1. 识记</w:t>
      </w:r>
      <w:r>
        <w:rPr>
          <w:rFonts w:ascii="宋体" w:hAnsi="宋体" w:hint="eastAsia"/>
          <w:szCs w:val="21"/>
        </w:rPr>
        <w:t>：</w:t>
      </w:r>
      <w:r>
        <w:rPr>
          <w:rFonts w:ascii="宋体" w:hAnsi="宋体" w:hint="eastAsia"/>
          <w:bCs/>
        </w:rPr>
        <w:t>屋顶绿化对建筑的要求</w:t>
      </w:r>
    </w:p>
    <w:p w14:paraId="21B9239A" w14:textId="77777777" w:rsidR="00F5289E" w:rsidRDefault="00C91173">
      <w:pPr>
        <w:spacing w:line="360" w:lineRule="auto"/>
        <w:ind w:firstLineChars="50" w:firstLine="105"/>
        <w:rPr>
          <w:rFonts w:ascii="宋体" w:hAnsi="宋体"/>
          <w:bCs/>
        </w:rPr>
      </w:pPr>
      <w:r>
        <w:rPr>
          <w:rFonts w:ascii="宋体" w:hAnsi="宋体" w:hint="eastAsia"/>
          <w:b/>
          <w:szCs w:val="21"/>
        </w:rPr>
        <w:t>2. 领会</w:t>
      </w:r>
      <w:r>
        <w:rPr>
          <w:rFonts w:ascii="宋体" w:hAnsi="宋体" w:hint="eastAsia"/>
          <w:szCs w:val="21"/>
        </w:rPr>
        <w:t>：</w:t>
      </w:r>
      <w:r>
        <w:rPr>
          <w:rFonts w:ascii="宋体" w:hAnsi="宋体" w:hint="eastAsia"/>
          <w:bCs/>
        </w:rPr>
        <w:t>观光型无土栽培的种类及特点</w:t>
      </w:r>
    </w:p>
    <w:p w14:paraId="569785B0"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3. 简单应用</w:t>
      </w:r>
      <w:r>
        <w:rPr>
          <w:rFonts w:ascii="宋体" w:hAnsi="宋体" w:hint="eastAsia"/>
          <w:szCs w:val="21"/>
        </w:rPr>
        <w:t>：</w:t>
      </w:r>
      <w:r>
        <w:rPr>
          <w:rFonts w:ascii="宋体" w:hAnsi="宋体" w:hint="eastAsia"/>
          <w:bCs/>
        </w:rPr>
        <w:t>番茄树栽培技术</w:t>
      </w:r>
    </w:p>
    <w:p w14:paraId="0DF09A5D" w14:textId="77777777" w:rsidR="00F5289E" w:rsidRDefault="00C91173">
      <w:pPr>
        <w:snapToGrid w:val="0"/>
        <w:spacing w:beforeLines="50" w:before="156" w:line="360" w:lineRule="auto"/>
        <w:ind w:firstLineChars="50" w:firstLine="105"/>
        <w:rPr>
          <w:rFonts w:ascii="宋体" w:hAnsi="宋体"/>
          <w:bCs/>
        </w:rPr>
      </w:pPr>
      <w:r>
        <w:rPr>
          <w:rFonts w:ascii="宋体" w:hAnsi="宋体" w:hint="eastAsia"/>
          <w:b/>
          <w:szCs w:val="21"/>
        </w:rPr>
        <w:t>4. 综合应用</w:t>
      </w:r>
      <w:r>
        <w:rPr>
          <w:rFonts w:ascii="宋体" w:hAnsi="宋体" w:hint="eastAsia"/>
          <w:szCs w:val="21"/>
        </w:rPr>
        <w:t>：</w:t>
      </w:r>
      <w:r>
        <w:rPr>
          <w:rFonts w:ascii="宋体" w:hAnsi="宋体" w:hint="eastAsia"/>
          <w:bCs/>
        </w:rPr>
        <w:t>家庭无土栽培的类型及应用技术</w:t>
      </w:r>
    </w:p>
    <w:p w14:paraId="625EAB10" w14:textId="77777777" w:rsidR="00F5289E" w:rsidRDefault="00C91173">
      <w:pPr>
        <w:snapToGrid w:val="0"/>
        <w:spacing w:line="360" w:lineRule="auto"/>
        <w:rPr>
          <w:rFonts w:ascii="宋体" w:hAnsi="宋体"/>
          <w:b/>
          <w:szCs w:val="21"/>
        </w:rPr>
      </w:pPr>
      <w:r>
        <w:rPr>
          <w:rFonts w:ascii="宋体" w:hAnsi="宋体" w:hint="eastAsia"/>
          <w:b/>
          <w:szCs w:val="21"/>
        </w:rPr>
        <w:t>三、实验、实习教学部分的考核要求</w:t>
      </w:r>
    </w:p>
    <w:p w14:paraId="64D57760"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1. 实验教学</w:t>
      </w:r>
      <w:r>
        <w:rPr>
          <w:rFonts w:ascii="宋体" w:hAnsi="宋体" w:cs="宋体"/>
          <w:bCs/>
          <w:kern w:val="0"/>
          <w:szCs w:val="21"/>
        </w:rPr>
        <w:t>部分</w:t>
      </w:r>
    </w:p>
    <w:p w14:paraId="6C5193A9"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（1）掌握</w:t>
      </w:r>
      <w:r>
        <w:rPr>
          <w:rFonts w:ascii="宋体" w:hAnsi="宋体" w:hint="eastAsia"/>
          <w:szCs w:val="21"/>
        </w:rPr>
        <w:t>基质理化特性的测定方法。</w:t>
      </w:r>
    </w:p>
    <w:p w14:paraId="109AA8EB"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（2）熟练掌握营养液配方的设计、配制及管理技术。</w:t>
      </w:r>
    </w:p>
    <w:p w14:paraId="184EEFDA"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（3）掌握常见</w:t>
      </w:r>
      <w:r>
        <w:rPr>
          <w:rFonts w:ascii="宋体" w:hAnsi="宋体" w:cs="宋体"/>
          <w:bCs/>
          <w:kern w:val="0"/>
          <w:szCs w:val="21"/>
        </w:rPr>
        <w:t>无土</w:t>
      </w:r>
      <w:r>
        <w:rPr>
          <w:rFonts w:ascii="宋体" w:hAnsi="宋体" w:cs="宋体" w:hint="eastAsia"/>
          <w:bCs/>
          <w:kern w:val="0"/>
          <w:szCs w:val="21"/>
        </w:rPr>
        <w:t>育苗技术。</w:t>
      </w:r>
    </w:p>
    <w:p w14:paraId="275445AE"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（4）掌握常用基质栽培装置与水培装置的制作。</w:t>
      </w:r>
    </w:p>
    <w:p w14:paraId="6701E2A0"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2. 实习</w:t>
      </w:r>
      <w:r>
        <w:rPr>
          <w:rFonts w:ascii="宋体" w:hAnsi="宋体" w:cs="宋体"/>
          <w:bCs/>
          <w:kern w:val="0"/>
          <w:szCs w:val="21"/>
        </w:rPr>
        <w:t>教学部分</w:t>
      </w:r>
    </w:p>
    <w:p w14:paraId="4E5FF9BA" w14:textId="77777777" w:rsidR="00F5289E" w:rsidRDefault="00C91173">
      <w:pPr>
        <w:widowControl/>
        <w:adjustRightInd w:val="0"/>
        <w:snapToGrid w:val="0"/>
        <w:spacing w:line="360" w:lineRule="auto"/>
        <w:ind w:firstLineChars="50" w:firstLine="105"/>
        <w:jc w:val="left"/>
        <w:rPr>
          <w:rFonts w:ascii="宋体" w:hAnsi="宋体" w:cs="宋体"/>
          <w:bCs/>
          <w:kern w:val="0"/>
          <w:szCs w:val="21"/>
        </w:rPr>
      </w:pPr>
      <w:r>
        <w:rPr>
          <w:rFonts w:ascii="宋体" w:hAnsi="宋体" w:cs="宋体" w:hint="eastAsia"/>
          <w:bCs/>
          <w:kern w:val="0"/>
          <w:szCs w:val="21"/>
        </w:rPr>
        <w:t xml:space="preserve">   了解</w:t>
      </w:r>
      <w:r>
        <w:rPr>
          <w:rFonts w:ascii="宋体" w:hAnsi="宋体" w:cs="宋体"/>
          <w:bCs/>
          <w:kern w:val="0"/>
          <w:szCs w:val="21"/>
        </w:rPr>
        <w:t>无土栽培企业发展现状</w:t>
      </w:r>
      <w:r>
        <w:rPr>
          <w:rFonts w:ascii="宋体" w:hAnsi="宋体" w:cs="宋体" w:hint="eastAsia"/>
          <w:bCs/>
          <w:kern w:val="0"/>
          <w:szCs w:val="21"/>
        </w:rPr>
        <w:t>、不同</w:t>
      </w:r>
      <w:r>
        <w:rPr>
          <w:rFonts w:ascii="宋体" w:hAnsi="宋体" w:cs="宋体"/>
          <w:bCs/>
          <w:kern w:val="0"/>
          <w:szCs w:val="21"/>
        </w:rPr>
        <w:t>无土栽培</w:t>
      </w:r>
      <w:r>
        <w:rPr>
          <w:rFonts w:ascii="宋体" w:hAnsi="宋体" w:cs="宋体" w:hint="eastAsia"/>
          <w:bCs/>
          <w:kern w:val="0"/>
          <w:szCs w:val="21"/>
        </w:rPr>
        <w:t>方式</w:t>
      </w:r>
      <w:r>
        <w:rPr>
          <w:rFonts w:ascii="宋体" w:hAnsi="宋体" w:cs="宋体"/>
          <w:bCs/>
          <w:kern w:val="0"/>
          <w:szCs w:val="21"/>
        </w:rPr>
        <w:t>的运行模式及成本</w:t>
      </w:r>
      <w:r>
        <w:rPr>
          <w:rFonts w:ascii="宋体" w:hAnsi="宋体" w:cs="宋体" w:hint="eastAsia"/>
          <w:bCs/>
          <w:kern w:val="0"/>
          <w:szCs w:val="21"/>
        </w:rPr>
        <w:t>、</w:t>
      </w:r>
      <w:r>
        <w:rPr>
          <w:rFonts w:ascii="宋体" w:hAnsi="宋体" w:cs="宋体"/>
          <w:bCs/>
          <w:kern w:val="0"/>
          <w:szCs w:val="21"/>
        </w:rPr>
        <w:t>蔬菜</w:t>
      </w:r>
      <w:r>
        <w:rPr>
          <w:rFonts w:ascii="宋体" w:hAnsi="宋体" w:cs="宋体" w:hint="eastAsia"/>
          <w:bCs/>
          <w:kern w:val="0"/>
          <w:szCs w:val="21"/>
        </w:rPr>
        <w:t>主要</w:t>
      </w:r>
      <w:r>
        <w:rPr>
          <w:rFonts w:ascii="宋体" w:hAnsi="宋体" w:cs="宋体"/>
          <w:bCs/>
          <w:kern w:val="0"/>
          <w:szCs w:val="21"/>
        </w:rPr>
        <w:t>无土栽培</w:t>
      </w:r>
      <w:r>
        <w:rPr>
          <w:rFonts w:ascii="宋体" w:hAnsi="宋体" w:cs="宋体" w:hint="eastAsia"/>
          <w:bCs/>
          <w:kern w:val="0"/>
          <w:szCs w:val="21"/>
        </w:rPr>
        <w:t>方法</w:t>
      </w:r>
      <w:r>
        <w:rPr>
          <w:rFonts w:ascii="宋体" w:hAnsi="宋体" w:cs="宋体"/>
          <w:bCs/>
          <w:kern w:val="0"/>
          <w:szCs w:val="21"/>
        </w:rPr>
        <w:t>及存在的问题及思考。</w:t>
      </w:r>
    </w:p>
    <w:p w14:paraId="52FC3A19" w14:textId="77777777" w:rsidR="00F5289E" w:rsidRDefault="00C91173">
      <w:pPr>
        <w:snapToGrid w:val="0"/>
        <w:spacing w:line="360" w:lineRule="auto"/>
        <w:rPr>
          <w:rFonts w:ascii="宋体" w:hAnsi="宋体"/>
          <w:b/>
          <w:szCs w:val="21"/>
        </w:rPr>
      </w:pPr>
      <w:r>
        <w:rPr>
          <w:rFonts w:ascii="宋体" w:hAnsi="宋体" w:hint="eastAsia"/>
          <w:b/>
          <w:szCs w:val="21"/>
        </w:rPr>
        <w:t>四、考核方式</w:t>
      </w:r>
    </w:p>
    <w:p w14:paraId="314DAFA5" w14:textId="77777777" w:rsidR="00F5289E" w:rsidRDefault="00C91173">
      <w:pPr>
        <w:spacing w:line="360" w:lineRule="auto"/>
        <w:ind w:firstLineChars="200" w:firstLine="420"/>
        <w:rPr>
          <w:rFonts w:ascii="宋体" w:hAnsi="宋体"/>
          <w:szCs w:val="21"/>
        </w:rPr>
      </w:pPr>
      <w:r>
        <w:rPr>
          <w:rFonts w:ascii="宋体" w:hAnsi="宋体" w:hint="eastAsia"/>
          <w:szCs w:val="21"/>
        </w:rPr>
        <w:t>1. 过程性</w:t>
      </w:r>
      <w:r>
        <w:rPr>
          <w:rFonts w:ascii="宋体" w:hAnsi="宋体"/>
          <w:szCs w:val="21"/>
        </w:rPr>
        <w:t>考核</w:t>
      </w:r>
    </w:p>
    <w:p w14:paraId="0C580943" w14:textId="77777777" w:rsidR="00F5289E" w:rsidRDefault="00C91173">
      <w:pPr>
        <w:spacing w:line="360" w:lineRule="auto"/>
        <w:ind w:firstLineChars="200" w:firstLine="420"/>
        <w:rPr>
          <w:rFonts w:hAnsi="宋体"/>
          <w:bCs/>
          <w:kern w:val="0"/>
          <w:szCs w:val="21"/>
        </w:rPr>
      </w:pPr>
      <w:r>
        <w:rPr>
          <w:rFonts w:ascii="宋体" w:hAnsi="宋体" w:hint="eastAsia"/>
          <w:szCs w:val="21"/>
        </w:rPr>
        <w:lastRenderedPageBreak/>
        <w:t>包括</w:t>
      </w:r>
      <w:r>
        <w:rPr>
          <w:rFonts w:hAnsi="宋体" w:hint="eastAsia"/>
          <w:bCs/>
          <w:kern w:val="0"/>
          <w:szCs w:val="21"/>
        </w:rPr>
        <w:t>线上</w:t>
      </w:r>
      <w:r>
        <w:rPr>
          <w:rFonts w:hAnsi="宋体"/>
          <w:bCs/>
          <w:kern w:val="0"/>
          <w:szCs w:val="21"/>
        </w:rPr>
        <w:t>学习、课后作业、实验报告、考勤</w:t>
      </w:r>
      <w:r>
        <w:rPr>
          <w:rFonts w:hAnsi="宋体" w:hint="eastAsia"/>
          <w:bCs/>
          <w:kern w:val="0"/>
          <w:szCs w:val="21"/>
        </w:rPr>
        <w:t>、</w:t>
      </w:r>
      <w:r>
        <w:rPr>
          <w:rFonts w:hAnsi="宋体"/>
          <w:bCs/>
          <w:kern w:val="0"/>
          <w:szCs w:val="21"/>
        </w:rPr>
        <w:t>提问讨论</w:t>
      </w:r>
      <w:r>
        <w:rPr>
          <w:rFonts w:hAnsi="宋体" w:hint="eastAsia"/>
          <w:bCs/>
          <w:kern w:val="0"/>
          <w:szCs w:val="21"/>
        </w:rPr>
        <w:t>等。</w:t>
      </w:r>
    </w:p>
    <w:p w14:paraId="28680B49" w14:textId="77777777" w:rsidR="00F5289E" w:rsidRDefault="00C91173">
      <w:pPr>
        <w:spacing w:line="360" w:lineRule="auto"/>
        <w:ind w:firstLineChars="200" w:firstLine="420"/>
        <w:rPr>
          <w:rFonts w:hAnsi="宋体"/>
          <w:bCs/>
          <w:kern w:val="0"/>
          <w:szCs w:val="21"/>
        </w:rPr>
      </w:pPr>
      <w:r>
        <w:rPr>
          <w:rFonts w:hAnsi="宋体"/>
          <w:bCs/>
          <w:kern w:val="0"/>
          <w:szCs w:val="21"/>
        </w:rPr>
        <w:t xml:space="preserve">2. </w:t>
      </w:r>
      <w:r>
        <w:rPr>
          <w:rFonts w:hAnsi="宋体" w:hint="eastAsia"/>
          <w:bCs/>
          <w:kern w:val="0"/>
          <w:szCs w:val="21"/>
        </w:rPr>
        <w:t>终结</w:t>
      </w:r>
      <w:r>
        <w:rPr>
          <w:rFonts w:hAnsi="宋体"/>
          <w:bCs/>
          <w:kern w:val="0"/>
          <w:szCs w:val="21"/>
        </w:rPr>
        <w:t>性考核</w:t>
      </w:r>
    </w:p>
    <w:p w14:paraId="3A85AEFC" w14:textId="77777777" w:rsidR="00F5289E" w:rsidRDefault="00C91173">
      <w:pPr>
        <w:spacing w:line="360" w:lineRule="auto"/>
        <w:ind w:firstLineChars="200" w:firstLine="420"/>
        <w:rPr>
          <w:rFonts w:ascii="宋体" w:hAnsi="宋体"/>
          <w:szCs w:val="21"/>
        </w:rPr>
      </w:pPr>
      <w:r>
        <w:rPr>
          <w:rFonts w:hAnsi="宋体" w:hint="eastAsia"/>
          <w:bCs/>
          <w:kern w:val="0"/>
          <w:szCs w:val="21"/>
        </w:rPr>
        <w:t>主要指</w:t>
      </w:r>
      <w:r>
        <w:rPr>
          <w:rFonts w:hAnsi="宋体"/>
          <w:bCs/>
          <w:kern w:val="0"/>
          <w:szCs w:val="21"/>
        </w:rPr>
        <w:t>期末笔试</w:t>
      </w:r>
      <w:r>
        <w:rPr>
          <w:rFonts w:hAnsi="宋体" w:hint="eastAsia"/>
          <w:bCs/>
          <w:kern w:val="0"/>
          <w:szCs w:val="21"/>
        </w:rPr>
        <w:t>，包括</w:t>
      </w:r>
      <w:r>
        <w:rPr>
          <w:rFonts w:hAnsi="宋体"/>
          <w:bCs/>
          <w:kern w:val="0"/>
          <w:szCs w:val="21"/>
        </w:rPr>
        <w:t>填空题、判断题、名词解释、简答题、论述题等，</w:t>
      </w:r>
      <w:r>
        <w:rPr>
          <w:rFonts w:hAnsi="宋体" w:hint="eastAsia"/>
          <w:bCs/>
          <w:kern w:val="0"/>
          <w:szCs w:val="21"/>
        </w:rPr>
        <w:t>其中</w:t>
      </w:r>
      <w:r>
        <w:rPr>
          <w:rFonts w:hAnsi="宋体"/>
          <w:bCs/>
          <w:kern w:val="0"/>
          <w:szCs w:val="21"/>
        </w:rPr>
        <w:t>论述题</w:t>
      </w:r>
      <w:r>
        <w:rPr>
          <w:rFonts w:hAnsi="宋体" w:hint="eastAsia"/>
          <w:bCs/>
          <w:kern w:val="0"/>
          <w:szCs w:val="21"/>
        </w:rPr>
        <w:t>具有</w:t>
      </w:r>
      <w:r>
        <w:rPr>
          <w:rFonts w:hAnsi="宋体"/>
          <w:bCs/>
          <w:kern w:val="0"/>
          <w:szCs w:val="21"/>
        </w:rPr>
        <w:t>一定的开放性。</w:t>
      </w:r>
    </w:p>
    <w:p w14:paraId="3596CD9E" w14:textId="77777777" w:rsidR="00F5289E" w:rsidRDefault="00C91173">
      <w:pPr>
        <w:snapToGrid w:val="0"/>
        <w:spacing w:line="360" w:lineRule="auto"/>
        <w:rPr>
          <w:rFonts w:ascii="宋体" w:hAnsi="宋体"/>
          <w:b/>
          <w:szCs w:val="21"/>
        </w:rPr>
      </w:pPr>
      <w:r>
        <w:rPr>
          <w:rFonts w:ascii="宋体" w:hAnsi="宋体" w:hint="eastAsia"/>
          <w:b/>
          <w:szCs w:val="21"/>
        </w:rPr>
        <w:t>五、成绩评定</w:t>
      </w:r>
    </w:p>
    <w:p w14:paraId="755AF898" w14:textId="77777777" w:rsidR="00F5289E" w:rsidRDefault="00C91173">
      <w:pPr>
        <w:spacing w:line="360" w:lineRule="auto"/>
        <w:ind w:firstLineChars="200" w:firstLine="420"/>
        <w:rPr>
          <w:rFonts w:ascii="宋体" w:hAnsi="宋体"/>
          <w:szCs w:val="21"/>
        </w:rPr>
      </w:pPr>
      <w:r>
        <w:rPr>
          <w:rFonts w:ascii="宋体" w:hAnsi="宋体" w:hint="eastAsia"/>
          <w:szCs w:val="21"/>
        </w:rPr>
        <w:t>1. 平时</w:t>
      </w:r>
      <w:r>
        <w:rPr>
          <w:rFonts w:ascii="宋体" w:hAnsi="宋体"/>
          <w:szCs w:val="21"/>
        </w:rPr>
        <w:t>成绩</w:t>
      </w:r>
    </w:p>
    <w:p w14:paraId="3DFFC306" w14:textId="77777777" w:rsidR="00F5289E" w:rsidRDefault="00C91173">
      <w:pPr>
        <w:spacing w:line="360" w:lineRule="auto"/>
        <w:ind w:firstLineChars="200" w:firstLine="420"/>
        <w:rPr>
          <w:rFonts w:ascii="宋体" w:hAnsi="宋体"/>
          <w:szCs w:val="21"/>
        </w:rPr>
      </w:pPr>
      <w:r>
        <w:rPr>
          <w:rFonts w:ascii="宋体" w:hAnsi="宋体" w:hint="eastAsia"/>
          <w:szCs w:val="21"/>
        </w:rPr>
        <w:t>包括线上学习、课堂</w:t>
      </w:r>
      <w:r>
        <w:rPr>
          <w:rFonts w:ascii="宋体" w:hAnsi="宋体"/>
          <w:szCs w:val="21"/>
        </w:rPr>
        <w:t>表现、</w:t>
      </w:r>
      <w:r>
        <w:rPr>
          <w:rFonts w:ascii="宋体" w:hAnsi="宋体" w:hint="eastAsia"/>
          <w:szCs w:val="21"/>
        </w:rPr>
        <w:t>课后</w:t>
      </w:r>
      <w:r>
        <w:rPr>
          <w:rFonts w:ascii="宋体" w:hAnsi="宋体"/>
          <w:szCs w:val="21"/>
        </w:rPr>
        <w:t>作业、</w:t>
      </w:r>
      <w:r>
        <w:rPr>
          <w:rFonts w:ascii="宋体" w:hAnsi="宋体" w:hint="eastAsia"/>
          <w:szCs w:val="21"/>
        </w:rPr>
        <w:t>实验情况</w:t>
      </w:r>
      <w:r>
        <w:rPr>
          <w:rFonts w:ascii="宋体" w:hAnsi="宋体"/>
          <w:szCs w:val="21"/>
        </w:rPr>
        <w:t>、无土栽培装置设计与制作比赛，共占</w:t>
      </w:r>
      <w:r>
        <w:rPr>
          <w:rFonts w:ascii="宋体" w:hAnsi="宋体" w:hint="eastAsia"/>
          <w:szCs w:val="21"/>
        </w:rPr>
        <w:t>40</w:t>
      </w:r>
      <w:r>
        <w:rPr>
          <w:rFonts w:ascii="宋体" w:hAnsi="宋体"/>
          <w:szCs w:val="21"/>
        </w:rPr>
        <w:t>%。</w:t>
      </w:r>
    </w:p>
    <w:p w14:paraId="17E994EC" w14:textId="77777777" w:rsidR="00F5289E" w:rsidRDefault="00C91173">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期末</w:t>
      </w:r>
      <w:r>
        <w:rPr>
          <w:rFonts w:ascii="宋体" w:hAnsi="宋体"/>
          <w:szCs w:val="21"/>
        </w:rPr>
        <w:t>成绩</w:t>
      </w:r>
    </w:p>
    <w:p w14:paraId="7702F01B" w14:textId="77777777" w:rsidR="00F5289E" w:rsidRDefault="00C91173">
      <w:pPr>
        <w:spacing w:line="360" w:lineRule="auto"/>
        <w:ind w:firstLineChars="200" w:firstLine="420"/>
        <w:rPr>
          <w:rFonts w:ascii="宋体" w:hAnsi="宋体"/>
          <w:szCs w:val="21"/>
        </w:rPr>
      </w:pPr>
      <w:r>
        <w:rPr>
          <w:rFonts w:ascii="宋体" w:hAnsi="宋体" w:hint="eastAsia"/>
          <w:szCs w:val="21"/>
        </w:rPr>
        <w:t>指期末</w:t>
      </w:r>
      <w:r>
        <w:rPr>
          <w:rFonts w:ascii="宋体" w:hAnsi="宋体"/>
          <w:szCs w:val="21"/>
        </w:rPr>
        <w:t>笔试</w:t>
      </w:r>
      <w:r>
        <w:rPr>
          <w:rFonts w:ascii="宋体" w:hAnsi="宋体" w:hint="eastAsia"/>
          <w:szCs w:val="21"/>
        </w:rPr>
        <w:t>，</w:t>
      </w:r>
      <w:r>
        <w:rPr>
          <w:rFonts w:ascii="宋体" w:hAnsi="宋体"/>
          <w:szCs w:val="21"/>
        </w:rPr>
        <w:t>闭卷，占</w:t>
      </w:r>
      <w:r>
        <w:rPr>
          <w:rFonts w:ascii="宋体" w:hAnsi="宋体" w:hint="eastAsia"/>
          <w:szCs w:val="21"/>
        </w:rPr>
        <w:t>60</w:t>
      </w:r>
      <w:r>
        <w:rPr>
          <w:rFonts w:ascii="宋体" w:hAnsi="宋体"/>
          <w:szCs w:val="21"/>
        </w:rPr>
        <w:t>%。</w:t>
      </w:r>
    </w:p>
    <w:p w14:paraId="46C23BDC" w14:textId="77777777" w:rsidR="00F5289E" w:rsidRDefault="00C91173">
      <w:pPr>
        <w:snapToGrid w:val="0"/>
        <w:spacing w:line="360" w:lineRule="auto"/>
        <w:rPr>
          <w:rFonts w:ascii="宋体" w:hAnsi="宋体"/>
          <w:b/>
          <w:szCs w:val="21"/>
        </w:rPr>
      </w:pPr>
      <w:r>
        <w:rPr>
          <w:rFonts w:ascii="宋体" w:hAnsi="宋体" w:hint="eastAsia"/>
          <w:b/>
          <w:szCs w:val="21"/>
        </w:rPr>
        <w:t>六、考核结果</w:t>
      </w:r>
      <w:r>
        <w:rPr>
          <w:rFonts w:ascii="宋体" w:hAnsi="宋体"/>
          <w:b/>
          <w:szCs w:val="21"/>
        </w:rPr>
        <w:t>分析反馈</w:t>
      </w:r>
    </w:p>
    <w:p w14:paraId="247F5119" w14:textId="77777777" w:rsidR="00F5289E" w:rsidRDefault="00C91173">
      <w:pPr>
        <w:spacing w:line="360" w:lineRule="auto"/>
        <w:rPr>
          <w:rFonts w:ascii="宋体" w:hAnsi="宋体"/>
          <w:szCs w:val="21"/>
        </w:rPr>
      </w:pPr>
      <w:r>
        <w:rPr>
          <w:rFonts w:ascii="宋体" w:hAnsi="宋体" w:hint="eastAsia"/>
          <w:szCs w:val="21"/>
        </w:rPr>
        <w:t>1.</w:t>
      </w:r>
      <w:r>
        <w:rPr>
          <w:rFonts w:ascii="宋体" w:hAnsi="宋体"/>
          <w:szCs w:val="21"/>
        </w:rPr>
        <w:t xml:space="preserve"> </w:t>
      </w:r>
      <w:r>
        <w:rPr>
          <w:rFonts w:ascii="宋体" w:hAnsi="宋体" w:hint="eastAsia"/>
          <w:szCs w:val="21"/>
        </w:rPr>
        <w:t>平时</w:t>
      </w:r>
      <w:r>
        <w:rPr>
          <w:rFonts w:ascii="宋体" w:hAnsi="宋体"/>
          <w:szCs w:val="21"/>
        </w:rPr>
        <w:t>成绩在上课的过程中及时评定，以</w:t>
      </w:r>
      <w:r>
        <w:rPr>
          <w:rFonts w:ascii="宋体" w:hAnsi="宋体" w:hint="eastAsia"/>
          <w:szCs w:val="21"/>
        </w:rPr>
        <w:t>提高</w:t>
      </w:r>
      <w:r>
        <w:rPr>
          <w:rFonts w:ascii="宋体" w:hAnsi="宋体"/>
          <w:szCs w:val="21"/>
        </w:rPr>
        <w:t>学生</w:t>
      </w:r>
      <w:r>
        <w:rPr>
          <w:rFonts w:ascii="宋体" w:hAnsi="宋体" w:hint="eastAsia"/>
          <w:szCs w:val="21"/>
        </w:rPr>
        <w:t>学习</w:t>
      </w:r>
      <w:r>
        <w:rPr>
          <w:rFonts w:ascii="宋体" w:hAnsi="宋体"/>
          <w:szCs w:val="21"/>
        </w:rPr>
        <w:t>积极性</w:t>
      </w:r>
      <w:r>
        <w:rPr>
          <w:rFonts w:ascii="宋体" w:hAnsi="宋体" w:hint="eastAsia"/>
          <w:szCs w:val="21"/>
        </w:rPr>
        <w:t>。期末</w:t>
      </w:r>
      <w:r>
        <w:rPr>
          <w:rFonts w:ascii="宋体" w:hAnsi="宋体"/>
          <w:szCs w:val="21"/>
        </w:rPr>
        <w:t>成绩统一上传教务处系统。</w:t>
      </w:r>
    </w:p>
    <w:p w14:paraId="4356EE52" w14:textId="77777777" w:rsidR="00F5289E" w:rsidRDefault="00C91173">
      <w:pPr>
        <w:spacing w:line="360" w:lineRule="auto"/>
        <w:ind w:firstLineChars="200" w:firstLine="420"/>
        <w:rPr>
          <w:rFonts w:ascii="宋体" w:hAnsi="宋体"/>
          <w:szCs w:val="21"/>
        </w:rPr>
      </w:pPr>
      <w:r>
        <w:rPr>
          <w:rFonts w:ascii="宋体" w:hAnsi="宋体" w:hint="eastAsia"/>
          <w:szCs w:val="21"/>
        </w:rPr>
        <w:t>线上</w:t>
      </w:r>
      <w:r>
        <w:rPr>
          <w:rFonts w:ascii="宋体" w:hAnsi="宋体"/>
          <w:szCs w:val="21"/>
        </w:rPr>
        <w:t>学习情况及时向学生</w:t>
      </w:r>
      <w:r>
        <w:rPr>
          <w:rFonts w:ascii="宋体" w:hAnsi="宋体" w:hint="eastAsia"/>
          <w:szCs w:val="21"/>
        </w:rPr>
        <w:t>反馈</w:t>
      </w:r>
      <w:r>
        <w:rPr>
          <w:rFonts w:ascii="宋体" w:hAnsi="宋体"/>
          <w:szCs w:val="21"/>
        </w:rPr>
        <w:t>，鼓励积极性高的同学，同时带动积极性差的</w:t>
      </w:r>
      <w:r>
        <w:rPr>
          <w:rFonts w:ascii="宋体" w:hAnsi="宋体" w:hint="eastAsia"/>
          <w:szCs w:val="21"/>
        </w:rPr>
        <w:t>同学</w:t>
      </w:r>
      <w:r>
        <w:rPr>
          <w:rFonts w:ascii="宋体" w:hAnsi="宋体"/>
          <w:szCs w:val="21"/>
        </w:rPr>
        <w:t>；课堂上采用提问、讨论、翻转课堂、讲授等多种形式展开，鼓励学生积极参与，提高学习效率；课后作业在下节课上课时进行讲解，并对完成情况进行总结；</w:t>
      </w:r>
      <w:r>
        <w:rPr>
          <w:rFonts w:ascii="宋体" w:hAnsi="宋体" w:hint="eastAsia"/>
          <w:szCs w:val="21"/>
        </w:rPr>
        <w:t>比赛</w:t>
      </w:r>
      <w:r>
        <w:rPr>
          <w:rFonts w:ascii="宋体" w:hAnsi="宋体"/>
          <w:szCs w:val="21"/>
        </w:rPr>
        <w:t>以小组合作的形式展开，并由专业老师进行点评。</w:t>
      </w:r>
    </w:p>
    <w:p w14:paraId="79018924" w14:textId="77777777" w:rsidR="00F5289E" w:rsidRDefault="00C91173">
      <w:pPr>
        <w:spacing w:line="360" w:lineRule="auto"/>
        <w:rPr>
          <w:rFonts w:ascii="宋体" w:hAnsi="宋体"/>
          <w:szCs w:val="21"/>
        </w:rPr>
      </w:pPr>
      <w:r>
        <w:rPr>
          <w:rFonts w:ascii="宋体" w:hAnsi="宋体"/>
          <w:szCs w:val="21"/>
        </w:rPr>
        <w:t xml:space="preserve">2. </w:t>
      </w:r>
      <w:r>
        <w:rPr>
          <w:rFonts w:ascii="宋体" w:hAnsi="宋体" w:hint="eastAsia"/>
          <w:szCs w:val="21"/>
        </w:rPr>
        <w:t>课后</w:t>
      </w:r>
      <w:r>
        <w:rPr>
          <w:rFonts w:ascii="宋体" w:hAnsi="宋体"/>
          <w:szCs w:val="21"/>
        </w:rPr>
        <w:t>对课前学生</w:t>
      </w:r>
      <w:r>
        <w:rPr>
          <w:rFonts w:ascii="宋体" w:hAnsi="宋体" w:hint="eastAsia"/>
          <w:szCs w:val="21"/>
        </w:rPr>
        <w:t>自主</w:t>
      </w:r>
      <w:r>
        <w:rPr>
          <w:rFonts w:ascii="宋体" w:hAnsi="宋体"/>
          <w:szCs w:val="21"/>
        </w:rPr>
        <w:t>学习情况</w:t>
      </w:r>
      <w:r>
        <w:rPr>
          <w:rFonts w:ascii="宋体" w:hAnsi="宋体" w:hint="eastAsia"/>
          <w:szCs w:val="21"/>
        </w:rPr>
        <w:t>、</w:t>
      </w:r>
      <w:r>
        <w:rPr>
          <w:rFonts w:ascii="宋体" w:hAnsi="宋体"/>
          <w:szCs w:val="21"/>
        </w:rPr>
        <w:t>课堂表现情况</w:t>
      </w:r>
      <w:r>
        <w:rPr>
          <w:rFonts w:ascii="宋体" w:hAnsi="宋体" w:hint="eastAsia"/>
          <w:szCs w:val="21"/>
        </w:rPr>
        <w:t>及</w:t>
      </w:r>
      <w:r>
        <w:rPr>
          <w:rFonts w:ascii="宋体" w:hAnsi="宋体"/>
          <w:szCs w:val="21"/>
        </w:rPr>
        <w:t>教师授课情况进行反思，以改进教学方法，提高教学效果；坚持以学生为中心，最大化的提高学生学习积极性及学习效率；丰富教学方法，</w:t>
      </w:r>
      <w:r>
        <w:rPr>
          <w:rFonts w:ascii="宋体" w:hAnsi="宋体" w:hint="eastAsia"/>
          <w:szCs w:val="21"/>
        </w:rPr>
        <w:t>根据</w:t>
      </w:r>
      <w:r>
        <w:rPr>
          <w:rFonts w:ascii="宋体" w:hAnsi="宋体"/>
          <w:szCs w:val="21"/>
        </w:rPr>
        <w:t>学生的学习效果</w:t>
      </w:r>
      <w:r>
        <w:rPr>
          <w:rFonts w:ascii="宋体" w:hAnsi="宋体" w:hint="eastAsia"/>
          <w:szCs w:val="21"/>
        </w:rPr>
        <w:t>反馈</w:t>
      </w:r>
      <w:r>
        <w:rPr>
          <w:rFonts w:ascii="宋体" w:hAnsi="宋体"/>
          <w:szCs w:val="21"/>
        </w:rPr>
        <w:t>情况，找出有效的教学方式。</w:t>
      </w:r>
    </w:p>
    <w:p w14:paraId="4AF7239D" w14:textId="77777777" w:rsidR="00F5289E" w:rsidRDefault="00C91173">
      <w:pPr>
        <w:widowControl/>
        <w:jc w:val="left"/>
        <w:rPr>
          <w:b/>
          <w:sz w:val="28"/>
          <w:szCs w:val="28"/>
        </w:rPr>
      </w:pPr>
      <w:r>
        <w:rPr>
          <w:b/>
          <w:sz w:val="28"/>
          <w:szCs w:val="28"/>
        </w:rPr>
        <w:br w:type="page"/>
      </w:r>
    </w:p>
    <w:p w14:paraId="061E097E" w14:textId="77777777" w:rsidR="00F5289E" w:rsidRDefault="00C91173">
      <w:pPr>
        <w:pStyle w:val="1"/>
      </w:pPr>
      <w:bookmarkStart w:id="185" w:name="_Toc138606281"/>
      <w:r>
        <w:lastRenderedPageBreak/>
        <w:t>农业园区规划与管理考核大纲</w:t>
      </w:r>
      <w:bookmarkEnd w:id="185"/>
      <w:r>
        <w:t xml:space="preserve"> </w:t>
      </w:r>
    </w:p>
    <w:p w14:paraId="495ED6E1" w14:textId="77777777" w:rsidR="00F5289E" w:rsidRDefault="00C91173">
      <w:pPr>
        <w:snapToGrid w:val="0"/>
        <w:spacing w:line="360" w:lineRule="auto"/>
        <w:jc w:val="center"/>
        <w:rPr>
          <w:sz w:val="24"/>
        </w:rPr>
      </w:pPr>
      <w:r>
        <w:rPr>
          <w:rFonts w:hint="eastAsia"/>
          <w:sz w:val="24"/>
        </w:rPr>
        <w:t>（</w:t>
      </w:r>
      <w:r>
        <w:rPr>
          <w:sz w:val="24"/>
        </w:rPr>
        <w:t>Programming and Management of Agriculture Garden</w:t>
      </w:r>
      <w:r>
        <w:rPr>
          <w:rFonts w:hint="eastAsia"/>
          <w:sz w:val="24"/>
        </w:rPr>
        <w:t>）</w:t>
      </w:r>
    </w:p>
    <w:p w14:paraId="566640BE" w14:textId="77777777" w:rsidR="00F5289E" w:rsidRDefault="00F5289E">
      <w:pPr>
        <w:widowControl/>
        <w:wordWrap w:val="0"/>
        <w:spacing w:before="120" w:after="120"/>
        <w:jc w:val="center"/>
        <w:outlineLvl w:val="0"/>
        <w:rPr>
          <w:rFonts w:eastAsia="黑体"/>
          <w:b/>
          <w:bCs/>
          <w:kern w:val="36"/>
          <w:sz w:val="24"/>
        </w:rPr>
      </w:pPr>
    </w:p>
    <w:p w14:paraId="2BCE8C0C"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2804919F" w14:textId="77777777">
        <w:tc>
          <w:tcPr>
            <w:tcW w:w="1665" w:type="pct"/>
          </w:tcPr>
          <w:p w14:paraId="2DDF65BA" w14:textId="77777777" w:rsidR="00F5289E" w:rsidRDefault="00C91173">
            <w:pPr>
              <w:spacing w:line="300" w:lineRule="auto"/>
              <w:rPr>
                <w:b/>
                <w:bCs/>
                <w:szCs w:val="21"/>
              </w:rPr>
            </w:pPr>
            <w:r>
              <w:rPr>
                <w:b/>
                <w:bCs/>
                <w:szCs w:val="21"/>
              </w:rPr>
              <w:t>课程编号：</w:t>
            </w:r>
            <w:r>
              <w:rPr>
                <w:szCs w:val="21"/>
              </w:rPr>
              <w:t>19011136</w:t>
            </w:r>
            <w:r>
              <w:rPr>
                <w:rFonts w:hint="eastAsia"/>
                <w:szCs w:val="21"/>
              </w:rPr>
              <w:t>h</w:t>
            </w:r>
          </w:p>
        </w:tc>
        <w:tc>
          <w:tcPr>
            <w:tcW w:w="1234" w:type="pct"/>
          </w:tcPr>
          <w:p w14:paraId="6E4E6157" w14:textId="77777777" w:rsidR="00F5289E" w:rsidRDefault="00C91173">
            <w:pPr>
              <w:spacing w:line="300" w:lineRule="auto"/>
              <w:rPr>
                <w:b/>
                <w:bCs/>
                <w:szCs w:val="21"/>
              </w:rPr>
            </w:pPr>
            <w:r>
              <w:rPr>
                <w:b/>
                <w:bCs/>
                <w:szCs w:val="21"/>
              </w:rPr>
              <w:t>课程学时：</w:t>
            </w:r>
            <w:r>
              <w:rPr>
                <w:rFonts w:hint="eastAsia"/>
                <w:szCs w:val="21"/>
              </w:rPr>
              <w:t>4</w:t>
            </w:r>
            <w:r>
              <w:rPr>
                <w:szCs w:val="21"/>
              </w:rPr>
              <w:t>8</w:t>
            </w:r>
          </w:p>
        </w:tc>
        <w:tc>
          <w:tcPr>
            <w:tcW w:w="2100" w:type="pct"/>
          </w:tcPr>
          <w:p w14:paraId="4FF93F77" w14:textId="77777777" w:rsidR="00F5289E" w:rsidRDefault="00C91173">
            <w:pPr>
              <w:spacing w:line="300" w:lineRule="auto"/>
              <w:rPr>
                <w:b/>
                <w:bCs/>
                <w:szCs w:val="21"/>
              </w:rPr>
            </w:pPr>
            <w:r>
              <w:rPr>
                <w:b/>
                <w:bCs/>
                <w:szCs w:val="21"/>
              </w:rPr>
              <w:t>课程学分：</w:t>
            </w:r>
            <w:r>
              <w:rPr>
                <w:rFonts w:hint="eastAsia"/>
                <w:szCs w:val="21"/>
              </w:rPr>
              <w:t>3</w:t>
            </w:r>
            <w:r>
              <w:rPr>
                <w:szCs w:val="21"/>
              </w:rPr>
              <w:t>.0</w:t>
            </w:r>
          </w:p>
        </w:tc>
      </w:tr>
      <w:tr w:rsidR="00F5289E" w14:paraId="764FC12D" w14:textId="77777777">
        <w:tc>
          <w:tcPr>
            <w:tcW w:w="1665" w:type="pct"/>
          </w:tcPr>
          <w:p w14:paraId="52534EFC" w14:textId="77777777" w:rsidR="00F5289E" w:rsidRDefault="00C91173">
            <w:pPr>
              <w:spacing w:line="300" w:lineRule="auto"/>
              <w:rPr>
                <w:b/>
                <w:bCs/>
                <w:szCs w:val="21"/>
              </w:rPr>
            </w:pPr>
            <w:r>
              <w:rPr>
                <w:b/>
                <w:bCs/>
                <w:szCs w:val="21"/>
              </w:rPr>
              <w:t>主撰人：</w:t>
            </w:r>
            <w:r>
              <w:rPr>
                <w:szCs w:val="21"/>
              </w:rPr>
              <w:t>李胜利</w:t>
            </w:r>
          </w:p>
        </w:tc>
        <w:tc>
          <w:tcPr>
            <w:tcW w:w="1234" w:type="pct"/>
          </w:tcPr>
          <w:p w14:paraId="610A0BA9" w14:textId="77777777" w:rsidR="00F5289E" w:rsidRDefault="00C91173">
            <w:pPr>
              <w:spacing w:line="300" w:lineRule="auto"/>
              <w:rPr>
                <w:b/>
                <w:bCs/>
                <w:szCs w:val="21"/>
              </w:rPr>
            </w:pPr>
            <w:r>
              <w:rPr>
                <w:b/>
                <w:bCs/>
                <w:szCs w:val="21"/>
              </w:rPr>
              <w:t>审核人：</w:t>
            </w:r>
            <w:r>
              <w:rPr>
                <w:rFonts w:hint="eastAsia"/>
                <w:szCs w:val="21"/>
              </w:rPr>
              <w:t>李阳</w:t>
            </w:r>
          </w:p>
        </w:tc>
        <w:tc>
          <w:tcPr>
            <w:tcW w:w="2100" w:type="pct"/>
          </w:tcPr>
          <w:p w14:paraId="596E44BC" w14:textId="77777777" w:rsidR="00F5289E" w:rsidRDefault="00C91173">
            <w:pPr>
              <w:spacing w:line="300" w:lineRule="auto"/>
              <w:rPr>
                <w:b/>
                <w:bCs/>
                <w:szCs w:val="21"/>
              </w:rPr>
            </w:pPr>
            <w:r>
              <w:rPr>
                <w:b/>
                <w:bCs/>
                <w:szCs w:val="21"/>
              </w:rPr>
              <w:t>大纲制定（修订）日期：</w:t>
            </w:r>
            <w:r>
              <w:rPr>
                <w:szCs w:val="21"/>
              </w:rPr>
              <w:t>2023.05</w:t>
            </w:r>
          </w:p>
        </w:tc>
      </w:tr>
    </w:tbl>
    <w:p w14:paraId="6CB2D63A" w14:textId="77777777" w:rsidR="00F5289E" w:rsidRDefault="00F5289E">
      <w:pPr>
        <w:widowControl/>
        <w:snapToGrid w:val="0"/>
        <w:spacing w:line="360" w:lineRule="auto"/>
        <w:jc w:val="left"/>
        <w:outlineLvl w:val="1"/>
        <w:rPr>
          <w:rFonts w:eastAsiaTheme="majorEastAsia"/>
          <w:b/>
          <w:bCs/>
          <w:kern w:val="0"/>
          <w:szCs w:val="21"/>
        </w:rPr>
      </w:pPr>
    </w:p>
    <w:p w14:paraId="23D16B14" w14:textId="77777777" w:rsidR="00F5289E" w:rsidRDefault="00C91173">
      <w:pPr>
        <w:pStyle w:val="a9"/>
        <w:spacing w:line="360" w:lineRule="auto"/>
        <w:rPr>
          <w:b/>
          <w:bCs/>
        </w:rPr>
      </w:pPr>
      <w:r>
        <w:rPr>
          <w:b/>
          <w:bCs/>
        </w:rPr>
        <w:t>一、课程的性质和地位</w:t>
      </w:r>
    </w:p>
    <w:p w14:paraId="3405A96B" w14:textId="77777777" w:rsidR="00F5289E" w:rsidRDefault="00C91173">
      <w:pPr>
        <w:pStyle w:val="a9"/>
        <w:spacing w:line="360" w:lineRule="auto"/>
        <w:ind w:firstLineChars="200" w:firstLine="420"/>
      </w:pPr>
      <w:r>
        <w:t>《农业园区规划与管理》是设施农业科学与工程专业的核心课程之一，是一门以课堂讲授为主、结合案例分析的专业课程。它在研究农业园区的内涵、类型和基本特征的基础上，系统地阐述了关于农业园区的基本知识、规划原理和管理方法。规划部分旨在使学生较为系统地掌握规划原理、农业园区规划的区域规划、总体规划、详细规划，对各种类型的农业园区规划从理论到实际进行了论述；管理部分旨在使学生了解并掌握农业园区的战略管理、农业园区的组织和领导、农业园区的营销管理、农业园区的生产管理、农业园区的要素管理和农业园区的技术管理等。</w:t>
      </w:r>
    </w:p>
    <w:p w14:paraId="58414ED4" w14:textId="77777777" w:rsidR="00F5289E" w:rsidRDefault="00C91173">
      <w:pPr>
        <w:pStyle w:val="a9"/>
        <w:spacing w:line="360" w:lineRule="auto"/>
        <w:rPr>
          <w:b/>
          <w:bCs/>
        </w:rPr>
      </w:pPr>
      <w:r>
        <w:rPr>
          <w:b/>
          <w:bCs/>
        </w:rPr>
        <w:t>二、理论教学部分的考核目标</w:t>
      </w:r>
    </w:p>
    <w:p w14:paraId="5C79F680"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1</w:t>
      </w:r>
      <w:r>
        <w:rPr>
          <w:rFonts w:eastAsiaTheme="minorEastAsia"/>
          <w:szCs w:val="21"/>
        </w:rPr>
        <w:t>、了解农业园区的内涵、作用和类型。</w:t>
      </w:r>
    </w:p>
    <w:p w14:paraId="4DF28462"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2</w:t>
      </w:r>
      <w:r>
        <w:rPr>
          <w:rFonts w:eastAsiaTheme="minorEastAsia"/>
          <w:szCs w:val="21"/>
        </w:rPr>
        <w:t>、理解农业园区规划的任务与原则，掌握农业园区规划的工作内容与工作特点，熟悉农业园区规划的调查研究方法与基础资料的内容，了解农业园区规划的层面及其主要内容。</w:t>
      </w:r>
    </w:p>
    <w:p w14:paraId="6BCD956A"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3</w:t>
      </w:r>
      <w:r>
        <w:rPr>
          <w:rFonts w:eastAsiaTheme="minorEastAsia"/>
          <w:szCs w:val="21"/>
        </w:rPr>
        <w:t>、掌握农业园区区域规划的相关理论，熟练掌握农业园区区域规划应遵循的原则和规划方法，掌握园区农业的发展战略及区域农业结构调整的主要工作。</w:t>
      </w:r>
    </w:p>
    <w:p w14:paraId="48EA0057"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4</w:t>
      </w:r>
      <w:r>
        <w:rPr>
          <w:rFonts w:eastAsiaTheme="minorEastAsia"/>
          <w:szCs w:val="21"/>
        </w:rPr>
        <w:t>、掌握农业园区总体规划、详细规划方法，了解不同类型农业园区的规划设计的相关理论，重点掌握不同类型农业园区的规划设计要点。</w:t>
      </w:r>
    </w:p>
    <w:p w14:paraId="541BD4C2"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5</w:t>
      </w:r>
      <w:r>
        <w:rPr>
          <w:rFonts w:eastAsiaTheme="minorEastAsia"/>
          <w:szCs w:val="21"/>
        </w:rPr>
        <w:t>、了解农业园区战略管理的概念、特征、作用及管理过程，掌握农业园区环境分析和农业园区战略选择依据和方法。</w:t>
      </w:r>
    </w:p>
    <w:p w14:paraId="4ABDF76F" w14:textId="77777777" w:rsidR="00F5289E" w:rsidRDefault="00C91173">
      <w:pPr>
        <w:widowControl/>
        <w:wordWrap w:val="0"/>
        <w:spacing w:line="360" w:lineRule="auto"/>
        <w:ind w:firstLineChars="200" w:firstLine="420"/>
        <w:jc w:val="left"/>
        <w:rPr>
          <w:rFonts w:eastAsiaTheme="minorEastAsia"/>
          <w:szCs w:val="21"/>
        </w:rPr>
      </w:pPr>
      <w:r>
        <w:rPr>
          <w:rFonts w:eastAsiaTheme="minorEastAsia"/>
          <w:szCs w:val="21"/>
        </w:rPr>
        <w:t>6</w:t>
      </w:r>
      <w:r>
        <w:rPr>
          <w:rFonts w:eastAsiaTheme="minorEastAsia"/>
          <w:szCs w:val="21"/>
        </w:rPr>
        <w:t>、了解农业园区的经营管理机制；了解组织管理中组织设计的任务、依据及原则，了解常见的组织形式，掌握农业园区的领导与激励的有关理论。</w:t>
      </w:r>
    </w:p>
    <w:p w14:paraId="74CA38CF" w14:textId="77777777" w:rsidR="00F5289E" w:rsidRDefault="00C91173">
      <w:pPr>
        <w:snapToGrid w:val="0"/>
        <w:spacing w:line="360" w:lineRule="auto"/>
        <w:ind w:firstLineChars="200" w:firstLine="420"/>
        <w:rPr>
          <w:rFonts w:eastAsiaTheme="minorEastAsia"/>
          <w:szCs w:val="21"/>
        </w:rPr>
      </w:pPr>
      <w:r>
        <w:rPr>
          <w:rFonts w:eastAsiaTheme="minorEastAsia"/>
          <w:szCs w:val="21"/>
        </w:rPr>
        <w:t>7</w:t>
      </w:r>
      <w:r>
        <w:rPr>
          <w:rFonts w:eastAsiaTheme="minorEastAsia"/>
          <w:szCs w:val="21"/>
        </w:rPr>
        <w:t>、对农业园区的营销管理、生产管理、要素管理和技术管理有较充分的理解和把握。</w:t>
      </w:r>
    </w:p>
    <w:p w14:paraId="0CF25517"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第一章</w:t>
      </w:r>
      <w:r>
        <w:rPr>
          <w:rFonts w:eastAsiaTheme="minorEastAsia"/>
          <w:b/>
          <w:szCs w:val="21"/>
        </w:rPr>
        <w:t xml:space="preserve">  </w:t>
      </w:r>
      <w:r>
        <w:rPr>
          <w:rFonts w:eastAsiaTheme="minorEastAsia"/>
          <w:b/>
          <w:bCs/>
          <w:kern w:val="0"/>
          <w:szCs w:val="21"/>
        </w:rPr>
        <w:t>农业园区的概念、作用和类型</w:t>
      </w:r>
    </w:p>
    <w:p w14:paraId="47B6F872" w14:textId="77777777" w:rsidR="00F5289E" w:rsidRDefault="00C91173">
      <w:pPr>
        <w:snapToGrid w:val="0"/>
        <w:spacing w:line="360" w:lineRule="auto"/>
        <w:rPr>
          <w:rFonts w:eastAsiaTheme="minorEastAsia"/>
          <w:b/>
          <w:szCs w:val="21"/>
        </w:rPr>
      </w:pPr>
      <w:r>
        <w:rPr>
          <w:rFonts w:eastAsiaTheme="minorEastAsia"/>
          <w:b/>
          <w:szCs w:val="21"/>
        </w:rPr>
        <w:t>一、一般学习目的与要求</w:t>
      </w:r>
    </w:p>
    <w:p w14:paraId="516603E1"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w:t>
      </w:r>
      <w:r>
        <w:rPr>
          <w:rFonts w:eastAsiaTheme="minorEastAsia"/>
          <w:kern w:val="0"/>
          <w:szCs w:val="21"/>
        </w:rPr>
        <w:t>了解农业园区的内涵、作用和类型；了解其他国家或地区农业园区的发展现状与发</w:t>
      </w:r>
      <w:r>
        <w:rPr>
          <w:rFonts w:eastAsiaTheme="minorEastAsia"/>
          <w:kern w:val="0"/>
          <w:szCs w:val="21"/>
        </w:rPr>
        <w:lastRenderedPageBreak/>
        <w:t>展趋势和我国农业园区的发展现状与发展遇到的问题。</w:t>
      </w:r>
    </w:p>
    <w:p w14:paraId="51AFC01B"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w:t>
      </w:r>
      <w:r>
        <w:rPr>
          <w:rFonts w:eastAsiaTheme="minorEastAsia"/>
          <w:kern w:val="0"/>
          <w:szCs w:val="21"/>
        </w:rPr>
        <w:t>农业园区的内涵；农业园区的基本功能。</w:t>
      </w:r>
    </w:p>
    <w:p w14:paraId="5E699ED4" w14:textId="77777777" w:rsidR="00F5289E" w:rsidRDefault="00C91173">
      <w:pPr>
        <w:snapToGrid w:val="0"/>
        <w:spacing w:line="360" w:lineRule="auto"/>
        <w:rPr>
          <w:rFonts w:eastAsiaTheme="minorEastAsia"/>
          <w:b/>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农业园区的概念、农业园区的特点、现代农业园区的基本功能、农业园区的作用、农业园区的类型。</w:t>
      </w:r>
    </w:p>
    <w:p w14:paraId="14FF0EC0"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17E5862A" w14:textId="77777777" w:rsidR="00F5289E" w:rsidRDefault="00C91173">
      <w:pPr>
        <w:widowControl/>
        <w:spacing w:line="360" w:lineRule="auto"/>
        <w:ind w:firstLine="210"/>
        <w:jc w:val="left"/>
        <w:rPr>
          <w:rFonts w:eastAsiaTheme="minorEastAsia"/>
          <w:kern w:val="0"/>
          <w:szCs w:val="21"/>
        </w:rPr>
      </w:pPr>
      <w:r>
        <w:rPr>
          <w:rFonts w:eastAsiaTheme="minorEastAsia"/>
          <w:kern w:val="0"/>
          <w:szCs w:val="21"/>
        </w:rPr>
        <w:t>1</w:t>
      </w:r>
      <w:r>
        <w:rPr>
          <w:rFonts w:eastAsiaTheme="minorEastAsia"/>
          <w:kern w:val="0"/>
          <w:szCs w:val="21"/>
        </w:rPr>
        <w:t>、农业园区的概念和特点；</w:t>
      </w:r>
    </w:p>
    <w:p w14:paraId="5B58A564" w14:textId="77777777" w:rsidR="00F5289E" w:rsidRDefault="00C91173">
      <w:pPr>
        <w:widowControl/>
        <w:spacing w:line="360" w:lineRule="auto"/>
        <w:ind w:firstLine="210"/>
        <w:jc w:val="left"/>
        <w:rPr>
          <w:rFonts w:eastAsiaTheme="minorEastAsia"/>
          <w:kern w:val="0"/>
          <w:szCs w:val="21"/>
        </w:rPr>
      </w:pPr>
      <w:r>
        <w:rPr>
          <w:rFonts w:eastAsiaTheme="minorEastAsia"/>
          <w:kern w:val="0"/>
          <w:szCs w:val="21"/>
        </w:rPr>
        <w:t>2</w:t>
      </w:r>
      <w:r>
        <w:rPr>
          <w:rFonts w:eastAsiaTheme="minorEastAsia"/>
          <w:kern w:val="0"/>
          <w:szCs w:val="21"/>
        </w:rPr>
        <w:t>、现代农业园区的基本功能；</w:t>
      </w:r>
    </w:p>
    <w:p w14:paraId="72CDC6A4" w14:textId="77777777" w:rsidR="00F5289E" w:rsidRDefault="00C91173">
      <w:pPr>
        <w:widowControl/>
        <w:spacing w:line="360" w:lineRule="auto"/>
        <w:ind w:firstLine="210"/>
        <w:jc w:val="left"/>
        <w:rPr>
          <w:rFonts w:eastAsiaTheme="minorEastAsia"/>
          <w:kern w:val="0"/>
          <w:szCs w:val="21"/>
        </w:rPr>
      </w:pPr>
      <w:r>
        <w:rPr>
          <w:rFonts w:eastAsiaTheme="minorEastAsia"/>
          <w:kern w:val="0"/>
          <w:szCs w:val="21"/>
        </w:rPr>
        <w:t>3</w:t>
      </w:r>
      <w:r>
        <w:rPr>
          <w:rFonts w:eastAsiaTheme="minorEastAsia"/>
          <w:kern w:val="0"/>
          <w:szCs w:val="21"/>
        </w:rPr>
        <w:t>、农业园区的作用；</w:t>
      </w:r>
    </w:p>
    <w:p w14:paraId="5B4A6F32" w14:textId="77777777" w:rsidR="00F5289E" w:rsidRDefault="00C91173">
      <w:pPr>
        <w:snapToGrid w:val="0"/>
        <w:spacing w:line="360" w:lineRule="auto"/>
        <w:ind w:firstLine="210"/>
        <w:rPr>
          <w:rFonts w:eastAsiaTheme="minorEastAsia"/>
          <w:b/>
          <w:szCs w:val="21"/>
        </w:rPr>
      </w:pPr>
      <w:r>
        <w:rPr>
          <w:rFonts w:eastAsiaTheme="minorEastAsia"/>
          <w:kern w:val="0"/>
          <w:szCs w:val="21"/>
        </w:rPr>
        <w:t>4</w:t>
      </w:r>
      <w:r>
        <w:rPr>
          <w:rFonts w:eastAsiaTheme="minorEastAsia"/>
          <w:kern w:val="0"/>
          <w:szCs w:val="21"/>
        </w:rPr>
        <w:t>、农业园区的类型。</w:t>
      </w:r>
    </w:p>
    <w:p w14:paraId="5198C77A"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6D2965E4"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：农业园区的概念、类型。</w:t>
      </w:r>
    </w:p>
    <w:p w14:paraId="6836BC1C" w14:textId="77777777" w:rsidR="00F5289E" w:rsidRDefault="00C91173">
      <w:pPr>
        <w:snapToGrid w:val="0"/>
        <w:spacing w:line="360" w:lineRule="auto"/>
        <w:rPr>
          <w:rFonts w:eastAsiaTheme="minorEastAsia"/>
          <w:b/>
          <w:szCs w:val="21"/>
        </w:rPr>
      </w:pPr>
      <w:r>
        <w:rPr>
          <w:rFonts w:eastAsiaTheme="minorEastAsia"/>
          <w:b/>
          <w:szCs w:val="21"/>
        </w:rPr>
        <w:t>2</w:t>
      </w:r>
      <w:r>
        <w:rPr>
          <w:rFonts w:eastAsiaTheme="minorEastAsia"/>
          <w:b/>
          <w:szCs w:val="21"/>
        </w:rPr>
        <w:t>、领会</w:t>
      </w:r>
      <w:r>
        <w:rPr>
          <w:rFonts w:eastAsiaTheme="minorEastAsia"/>
          <w:szCs w:val="21"/>
        </w:rPr>
        <w:t>：农业园区的功能和基本作用。</w:t>
      </w:r>
    </w:p>
    <w:p w14:paraId="16DB67C0" w14:textId="77777777" w:rsidR="00F5289E" w:rsidRDefault="00C91173">
      <w:pPr>
        <w:snapToGrid w:val="0"/>
        <w:spacing w:line="360" w:lineRule="auto"/>
        <w:rPr>
          <w:rFonts w:eastAsiaTheme="minorEastAsia"/>
          <w:b/>
          <w:szCs w:val="21"/>
        </w:rPr>
      </w:pPr>
      <w:r>
        <w:rPr>
          <w:rFonts w:eastAsiaTheme="minorEastAsia"/>
          <w:b/>
          <w:szCs w:val="21"/>
        </w:rPr>
        <w:t>3</w:t>
      </w:r>
      <w:r>
        <w:rPr>
          <w:rFonts w:eastAsiaTheme="minorEastAsia"/>
          <w:b/>
          <w:szCs w:val="21"/>
        </w:rPr>
        <w:t>、简单应用</w:t>
      </w:r>
      <w:r>
        <w:rPr>
          <w:rFonts w:eastAsiaTheme="minorEastAsia"/>
          <w:szCs w:val="21"/>
        </w:rPr>
        <w:t>：农业园区类型划分。</w:t>
      </w:r>
    </w:p>
    <w:p w14:paraId="7A27E19A" w14:textId="77777777" w:rsidR="00F5289E" w:rsidRDefault="00C91173">
      <w:pPr>
        <w:snapToGrid w:val="0"/>
        <w:spacing w:line="360" w:lineRule="auto"/>
        <w:rPr>
          <w:rFonts w:eastAsiaTheme="minorEastAsia"/>
          <w:szCs w:val="21"/>
        </w:rPr>
      </w:pPr>
      <w:r>
        <w:rPr>
          <w:rFonts w:eastAsiaTheme="minorEastAsia"/>
          <w:b/>
          <w:szCs w:val="21"/>
        </w:rPr>
        <w:t>4</w:t>
      </w:r>
      <w:r>
        <w:rPr>
          <w:rFonts w:eastAsiaTheme="minorEastAsia"/>
          <w:b/>
          <w:szCs w:val="21"/>
        </w:rPr>
        <w:t>、综合应用</w:t>
      </w:r>
      <w:r>
        <w:rPr>
          <w:rFonts w:eastAsiaTheme="minorEastAsia"/>
          <w:szCs w:val="21"/>
        </w:rPr>
        <w:t>：现代农业园区建设与发展遇到的问题和发展趋势。</w:t>
      </w:r>
    </w:p>
    <w:p w14:paraId="6706BB44" w14:textId="77777777" w:rsidR="00F5289E" w:rsidRDefault="00F5289E">
      <w:pPr>
        <w:snapToGrid w:val="0"/>
        <w:spacing w:line="360" w:lineRule="auto"/>
        <w:rPr>
          <w:rFonts w:eastAsiaTheme="minorEastAsia"/>
          <w:b/>
          <w:szCs w:val="21"/>
        </w:rPr>
      </w:pPr>
    </w:p>
    <w:p w14:paraId="084B1651"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第二章</w:t>
      </w:r>
      <w:r>
        <w:rPr>
          <w:rFonts w:eastAsiaTheme="minorEastAsia"/>
          <w:b/>
          <w:szCs w:val="21"/>
        </w:rPr>
        <w:t xml:space="preserve">  </w:t>
      </w:r>
      <w:r>
        <w:rPr>
          <w:rFonts w:eastAsiaTheme="minorEastAsia"/>
          <w:b/>
          <w:bCs/>
          <w:kern w:val="0"/>
          <w:szCs w:val="21"/>
        </w:rPr>
        <w:t>农业园区规划的内容和布局</w:t>
      </w:r>
    </w:p>
    <w:p w14:paraId="43A3E982" w14:textId="77777777" w:rsidR="00F5289E" w:rsidRDefault="00C91173">
      <w:pPr>
        <w:snapToGrid w:val="0"/>
        <w:spacing w:line="360" w:lineRule="auto"/>
        <w:rPr>
          <w:rFonts w:eastAsiaTheme="minorEastAsia"/>
          <w:b/>
          <w:szCs w:val="21"/>
        </w:rPr>
      </w:pPr>
      <w:r>
        <w:rPr>
          <w:rFonts w:eastAsiaTheme="minorEastAsia"/>
          <w:b/>
          <w:szCs w:val="21"/>
        </w:rPr>
        <w:t>一、一般学习目的与要求</w:t>
      </w:r>
    </w:p>
    <w:p w14:paraId="0241F007"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w:t>
      </w:r>
      <w:r>
        <w:rPr>
          <w:rFonts w:eastAsiaTheme="minorEastAsia"/>
          <w:kern w:val="0"/>
          <w:szCs w:val="21"/>
        </w:rPr>
        <w:t>了解农业园区规划的层面，理解农业园区规划的任务与原则。</w:t>
      </w:r>
    </w:p>
    <w:p w14:paraId="36A2012E"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w:t>
      </w:r>
      <w:r>
        <w:rPr>
          <w:rFonts w:eastAsiaTheme="minorEastAsia"/>
          <w:kern w:val="0"/>
          <w:szCs w:val="21"/>
        </w:rPr>
        <w:t>掌握农业园区规划的工作内容与工作特点；区域规划的理论。</w:t>
      </w:r>
    </w:p>
    <w:p w14:paraId="001403E1" w14:textId="77777777" w:rsidR="00F5289E" w:rsidRDefault="00C91173">
      <w:pPr>
        <w:snapToGrid w:val="0"/>
        <w:spacing w:line="360" w:lineRule="auto"/>
        <w:rPr>
          <w:rFonts w:eastAsiaTheme="minorEastAsia"/>
          <w:kern w:val="0"/>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熟悉农业园区规划的调查研究方法与基础资料的内容，掌握不同层次农业园区规划的内容。</w:t>
      </w:r>
    </w:p>
    <w:p w14:paraId="1AE581C4"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71B00A6D"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1</w:t>
      </w:r>
      <w:r>
        <w:rPr>
          <w:rFonts w:eastAsiaTheme="minorEastAsia"/>
          <w:kern w:val="0"/>
          <w:szCs w:val="21"/>
        </w:rPr>
        <w:t>、农业园区规划的原则；</w:t>
      </w:r>
    </w:p>
    <w:p w14:paraId="098CF75B"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2</w:t>
      </w:r>
      <w:r>
        <w:rPr>
          <w:rFonts w:eastAsiaTheme="minorEastAsia"/>
          <w:kern w:val="0"/>
          <w:szCs w:val="21"/>
        </w:rPr>
        <w:t>、农业园区规划的工作程序；</w:t>
      </w:r>
    </w:p>
    <w:p w14:paraId="7FFA05FE"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3</w:t>
      </w:r>
      <w:r>
        <w:rPr>
          <w:rFonts w:eastAsiaTheme="minorEastAsia"/>
          <w:kern w:val="0"/>
          <w:szCs w:val="21"/>
        </w:rPr>
        <w:t>、我国农业园区规划的特殊性和复杂性；</w:t>
      </w:r>
    </w:p>
    <w:p w14:paraId="35C4DA5C"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4</w:t>
      </w:r>
      <w:r>
        <w:rPr>
          <w:rFonts w:eastAsiaTheme="minorEastAsia"/>
          <w:kern w:val="0"/>
          <w:szCs w:val="21"/>
        </w:rPr>
        <w:t>、农业园区规划的层次；</w:t>
      </w:r>
    </w:p>
    <w:p w14:paraId="5BF9C347"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5</w:t>
      </w:r>
      <w:r>
        <w:rPr>
          <w:rFonts w:eastAsiaTheme="minorEastAsia"/>
          <w:kern w:val="0"/>
          <w:szCs w:val="21"/>
        </w:rPr>
        <w:t>、区域规划的理论。</w:t>
      </w:r>
    </w:p>
    <w:p w14:paraId="17C55C0D"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09692FB9"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：农业园区规划的基本内容和程序。</w:t>
      </w:r>
    </w:p>
    <w:p w14:paraId="23588D3F" w14:textId="77777777" w:rsidR="00F5289E" w:rsidRDefault="00C91173">
      <w:pPr>
        <w:snapToGrid w:val="0"/>
        <w:spacing w:line="360" w:lineRule="auto"/>
        <w:rPr>
          <w:rFonts w:eastAsiaTheme="minorEastAsia"/>
          <w:b/>
          <w:szCs w:val="21"/>
        </w:rPr>
      </w:pPr>
      <w:r>
        <w:rPr>
          <w:rFonts w:eastAsiaTheme="minorEastAsia"/>
          <w:b/>
          <w:szCs w:val="21"/>
        </w:rPr>
        <w:t>2</w:t>
      </w:r>
      <w:r>
        <w:rPr>
          <w:rFonts w:eastAsiaTheme="minorEastAsia"/>
          <w:b/>
          <w:szCs w:val="21"/>
        </w:rPr>
        <w:t>、领会</w:t>
      </w:r>
      <w:r>
        <w:rPr>
          <w:rFonts w:eastAsiaTheme="minorEastAsia"/>
          <w:szCs w:val="21"/>
        </w:rPr>
        <w:t>：农业园区规划的任务与原则。</w:t>
      </w:r>
    </w:p>
    <w:p w14:paraId="172F76D7" w14:textId="77777777" w:rsidR="00F5289E" w:rsidRDefault="00C91173">
      <w:pPr>
        <w:snapToGrid w:val="0"/>
        <w:spacing w:line="360" w:lineRule="auto"/>
        <w:rPr>
          <w:rFonts w:eastAsiaTheme="minorEastAsia"/>
          <w:b/>
          <w:szCs w:val="21"/>
        </w:rPr>
      </w:pPr>
      <w:r>
        <w:rPr>
          <w:rFonts w:eastAsiaTheme="minorEastAsia"/>
          <w:b/>
          <w:szCs w:val="21"/>
        </w:rPr>
        <w:t>3</w:t>
      </w:r>
      <w:r>
        <w:rPr>
          <w:rFonts w:eastAsiaTheme="minorEastAsia"/>
          <w:b/>
          <w:szCs w:val="21"/>
        </w:rPr>
        <w:t>、简单应用</w:t>
      </w:r>
      <w:r>
        <w:rPr>
          <w:rFonts w:eastAsiaTheme="minorEastAsia"/>
          <w:szCs w:val="21"/>
        </w:rPr>
        <w:t>：农业园区规划调查研究的方法、资料的收集。</w:t>
      </w:r>
    </w:p>
    <w:p w14:paraId="12EEDE7D" w14:textId="77777777" w:rsidR="00F5289E" w:rsidRDefault="00C91173">
      <w:pPr>
        <w:snapToGrid w:val="0"/>
        <w:spacing w:line="360" w:lineRule="auto"/>
        <w:rPr>
          <w:rFonts w:eastAsiaTheme="minorEastAsia"/>
          <w:b/>
          <w:szCs w:val="21"/>
        </w:rPr>
      </w:pPr>
      <w:r>
        <w:rPr>
          <w:rFonts w:eastAsiaTheme="minorEastAsia"/>
          <w:b/>
          <w:szCs w:val="21"/>
        </w:rPr>
        <w:t>4</w:t>
      </w:r>
      <w:r>
        <w:rPr>
          <w:rFonts w:eastAsiaTheme="minorEastAsia"/>
          <w:b/>
          <w:szCs w:val="21"/>
        </w:rPr>
        <w:t>、综合应用</w:t>
      </w:r>
      <w:r>
        <w:rPr>
          <w:rFonts w:eastAsiaTheme="minorEastAsia"/>
          <w:szCs w:val="21"/>
        </w:rPr>
        <w:t>：现代农业园区规划的层次，不同层次规划的主要内容；区域规划的理论。</w:t>
      </w:r>
    </w:p>
    <w:p w14:paraId="70DA26B7"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第三章</w:t>
      </w:r>
      <w:r>
        <w:rPr>
          <w:rFonts w:eastAsiaTheme="minorEastAsia"/>
          <w:b/>
          <w:szCs w:val="21"/>
        </w:rPr>
        <w:t xml:space="preserve">  </w:t>
      </w:r>
      <w:r>
        <w:rPr>
          <w:rFonts w:eastAsiaTheme="minorEastAsia"/>
          <w:b/>
          <w:szCs w:val="21"/>
        </w:rPr>
        <w:t>农业园区的总体规划</w:t>
      </w:r>
    </w:p>
    <w:p w14:paraId="7C0C3B5B" w14:textId="77777777" w:rsidR="00F5289E" w:rsidRDefault="00C91173">
      <w:pPr>
        <w:snapToGrid w:val="0"/>
        <w:spacing w:line="360" w:lineRule="auto"/>
        <w:rPr>
          <w:rFonts w:eastAsiaTheme="minorEastAsia"/>
          <w:b/>
          <w:szCs w:val="21"/>
        </w:rPr>
      </w:pPr>
      <w:r>
        <w:rPr>
          <w:rFonts w:eastAsiaTheme="minorEastAsia"/>
          <w:b/>
          <w:szCs w:val="21"/>
        </w:rPr>
        <w:lastRenderedPageBreak/>
        <w:t>一、一般学习目的与要求</w:t>
      </w:r>
    </w:p>
    <w:p w14:paraId="7C4DFC14"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w:t>
      </w:r>
      <w:r>
        <w:rPr>
          <w:rFonts w:eastAsiaTheme="minorEastAsia"/>
          <w:kern w:val="0"/>
          <w:szCs w:val="21"/>
        </w:rPr>
        <w:t>理解农业园区总体规划的现状分析方法，包括基础资料的收集和优势与主要矛盾的分析。</w:t>
      </w:r>
    </w:p>
    <w:p w14:paraId="56CC8C5E"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w:t>
      </w:r>
      <w:r>
        <w:rPr>
          <w:rFonts w:eastAsiaTheme="minorEastAsia"/>
          <w:kern w:val="0"/>
          <w:szCs w:val="21"/>
        </w:rPr>
        <w:t>理解农业园区发展定位的原则、农业园区的功能设置及项目构成，会进行可行性分析。</w:t>
      </w:r>
    </w:p>
    <w:p w14:paraId="0031CACB" w14:textId="77777777" w:rsidR="00F5289E" w:rsidRDefault="00C91173">
      <w:pPr>
        <w:snapToGrid w:val="0"/>
        <w:spacing w:line="360" w:lineRule="auto"/>
        <w:rPr>
          <w:rFonts w:eastAsiaTheme="minorEastAsia"/>
          <w:kern w:val="0"/>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掌握农业园区总体规划的主要内容，包括：总体规划的理念、总体规划的原则、功能分区规划、农业园区的景观分区规划、土地规划、总体规划各类指标的确定、道路系统规划和管线规划等；可行性研究包括的编写。</w:t>
      </w:r>
    </w:p>
    <w:p w14:paraId="113D7CA8"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7EE3E144"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1</w:t>
      </w:r>
      <w:r>
        <w:rPr>
          <w:rFonts w:eastAsiaTheme="minorEastAsia"/>
          <w:kern w:val="0"/>
          <w:szCs w:val="21"/>
        </w:rPr>
        <w:t>、农业园区总体规划的主要内容；</w:t>
      </w:r>
    </w:p>
    <w:p w14:paraId="0745EAAB"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2</w:t>
      </w:r>
      <w:r>
        <w:rPr>
          <w:rFonts w:eastAsiaTheme="minorEastAsia"/>
          <w:kern w:val="0"/>
          <w:szCs w:val="21"/>
        </w:rPr>
        <w:t>、环境保护和防灾规划方法；</w:t>
      </w:r>
    </w:p>
    <w:p w14:paraId="20485CA4"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3</w:t>
      </w:r>
      <w:r>
        <w:rPr>
          <w:rFonts w:eastAsiaTheme="minorEastAsia"/>
          <w:kern w:val="0"/>
          <w:szCs w:val="21"/>
        </w:rPr>
        <w:t>、农业园区的功能设置及项目构成；</w:t>
      </w:r>
    </w:p>
    <w:p w14:paraId="1316D41A"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4</w:t>
      </w:r>
      <w:r>
        <w:rPr>
          <w:rFonts w:eastAsiaTheme="minorEastAsia"/>
          <w:kern w:val="0"/>
          <w:szCs w:val="21"/>
        </w:rPr>
        <w:t>、农业园区总体规划的理念。</w:t>
      </w:r>
    </w:p>
    <w:p w14:paraId="6DD398B9"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6996E2A5"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：基础资料收集的主要内容。</w:t>
      </w:r>
    </w:p>
    <w:p w14:paraId="5C81D471" w14:textId="77777777" w:rsidR="00F5289E" w:rsidRDefault="00C91173">
      <w:pPr>
        <w:snapToGrid w:val="0"/>
        <w:spacing w:line="360" w:lineRule="auto"/>
        <w:rPr>
          <w:rFonts w:eastAsiaTheme="minorEastAsia"/>
          <w:szCs w:val="21"/>
        </w:rPr>
      </w:pPr>
      <w:r>
        <w:rPr>
          <w:rFonts w:eastAsiaTheme="minorEastAsia"/>
          <w:b/>
          <w:szCs w:val="21"/>
        </w:rPr>
        <w:t>2</w:t>
      </w:r>
      <w:r>
        <w:rPr>
          <w:rFonts w:eastAsiaTheme="minorEastAsia"/>
          <w:b/>
          <w:szCs w:val="21"/>
        </w:rPr>
        <w:t>、领会</w:t>
      </w:r>
      <w:r>
        <w:rPr>
          <w:rFonts w:eastAsiaTheme="minorEastAsia"/>
          <w:szCs w:val="21"/>
        </w:rPr>
        <w:t>：农业园区的功能设置及项目构成。</w:t>
      </w:r>
    </w:p>
    <w:p w14:paraId="7BBFE098" w14:textId="77777777" w:rsidR="00F5289E" w:rsidRDefault="00C91173">
      <w:pPr>
        <w:snapToGrid w:val="0"/>
        <w:spacing w:line="360" w:lineRule="auto"/>
        <w:rPr>
          <w:rFonts w:eastAsiaTheme="minorEastAsia"/>
          <w:b/>
          <w:szCs w:val="21"/>
        </w:rPr>
      </w:pPr>
      <w:r>
        <w:rPr>
          <w:rFonts w:eastAsiaTheme="minorEastAsia"/>
          <w:b/>
          <w:szCs w:val="21"/>
        </w:rPr>
        <w:t>3</w:t>
      </w:r>
      <w:r>
        <w:rPr>
          <w:rFonts w:eastAsiaTheme="minorEastAsia"/>
          <w:b/>
          <w:szCs w:val="21"/>
        </w:rPr>
        <w:t>、简单应用</w:t>
      </w:r>
      <w:r>
        <w:rPr>
          <w:rFonts w:eastAsiaTheme="minorEastAsia"/>
          <w:szCs w:val="21"/>
        </w:rPr>
        <w:t>：</w:t>
      </w:r>
      <w:r>
        <w:rPr>
          <w:rFonts w:eastAsiaTheme="minorEastAsia"/>
          <w:kern w:val="0"/>
          <w:szCs w:val="21"/>
        </w:rPr>
        <w:t>农业园区发展定位的原则、农业园区的功能设置及项目构成，会进行可行性分析</w:t>
      </w:r>
      <w:r>
        <w:rPr>
          <w:rFonts w:eastAsiaTheme="minorEastAsia"/>
          <w:szCs w:val="21"/>
        </w:rPr>
        <w:t>。</w:t>
      </w:r>
    </w:p>
    <w:p w14:paraId="0B18167E" w14:textId="77777777" w:rsidR="00F5289E" w:rsidRDefault="00C91173">
      <w:pPr>
        <w:snapToGrid w:val="0"/>
        <w:spacing w:line="360" w:lineRule="auto"/>
        <w:rPr>
          <w:rFonts w:eastAsiaTheme="minorEastAsia"/>
          <w:b/>
          <w:szCs w:val="21"/>
        </w:rPr>
      </w:pPr>
      <w:r>
        <w:rPr>
          <w:rFonts w:eastAsiaTheme="minorEastAsia"/>
          <w:b/>
          <w:szCs w:val="21"/>
        </w:rPr>
        <w:t>4</w:t>
      </w:r>
      <w:r>
        <w:rPr>
          <w:rFonts w:eastAsiaTheme="minorEastAsia"/>
          <w:b/>
          <w:szCs w:val="21"/>
        </w:rPr>
        <w:t>、综合应用</w:t>
      </w:r>
      <w:r>
        <w:rPr>
          <w:rFonts w:eastAsiaTheme="minorEastAsia"/>
          <w:szCs w:val="21"/>
        </w:rPr>
        <w:t>：会对农业园区进行总体规划设计；会编写可行性研究报告。</w:t>
      </w:r>
    </w:p>
    <w:p w14:paraId="36238936"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第四章</w:t>
      </w:r>
      <w:r>
        <w:rPr>
          <w:rFonts w:eastAsiaTheme="minorEastAsia"/>
          <w:b/>
          <w:szCs w:val="21"/>
        </w:rPr>
        <w:t xml:space="preserve">  </w:t>
      </w:r>
      <w:r>
        <w:rPr>
          <w:rFonts w:eastAsiaTheme="minorEastAsia"/>
          <w:b/>
          <w:szCs w:val="21"/>
        </w:rPr>
        <w:t>农业园区的详细规划</w:t>
      </w:r>
    </w:p>
    <w:p w14:paraId="0C53A141" w14:textId="77777777" w:rsidR="00F5289E" w:rsidRDefault="00C91173">
      <w:pPr>
        <w:snapToGrid w:val="0"/>
        <w:spacing w:line="360" w:lineRule="auto"/>
        <w:rPr>
          <w:rFonts w:eastAsiaTheme="minorEastAsia"/>
          <w:b/>
          <w:szCs w:val="21"/>
        </w:rPr>
      </w:pPr>
      <w:r>
        <w:rPr>
          <w:rFonts w:eastAsiaTheme="minorEastAsia"/>
          <w:b/>
          <w:szCs w:val="21"/>
        </w:rPr>
        <w:t>一、一般学习目的与要求</w:t>
      </w:r>
    </w:p>
    <w:p w14:paraId="7F5DFCC5"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：园区</w:t>
      </w:r>
      <w:r>
        <w:rPr>
          <w:rFonts w:eastAsiaTheme="minorEastAsia"/>
          <w:kern w:val="0"/>
          <w:szCs w:val="21"/>
        </w:rPr>
        <w:t>建设条件分析，包括社会条件和自然条件；技术经济论证。</w:t>
      </w:r>
    </w:p>
    <w:p w14:paraId="53B720AE"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w:t>
      </w:r>
      <w:r>
        <w:rPr>
          <w:rFonts w:eastAsiaTheme="minorEastAsia"/>
          <w:kern w:val="0"/>
          <w:szCs w:val="21"/>
        </w:rPr>
        <w:t>对农业园区各单体项目的定位、定性、定量，并能对规划设计的风格、特点、技术要求、技术指标以及经营管理方式等做出明确说明。</w:t>
      </w:r>
    </w:p>
    <w:p w14:paraId="336D8AA7" w14:textId="77777777" w:rsidR="00F5289E" w:rsidRDefault="00C91173">
      <w:pPr>
        <w:snapToGrid w:val="0"/>
        <w:spacing w:line="360" w:lineRule="auto"/>
        <w:rPr>
          <w:rFonts w:eastAsiaTheme="minorEastAsia"/>
          <w:kern w:val="0"/>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产业规划，包括农业园区产业规划的原则和农业园区产业的具体内容；专项规划；会进行投资估算与效益分析；能编制规划文件及绘制各专项规划的平面布局图。</w:t>
      </w:r>
    </w:p>
    <w:p w14:paraId="0C6D0189"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4CE0A894"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1</w:t>
      </w:r>
      <w:r>
        <w:rPr>
          <w:rFonts w:eastAsiaTheme="minorEastAsia"/>
          <w:kern w:val="0"/>
          <w:szCs w:val="21"/>
        </w:rPr>
        <w:t>、产业规划；</w:t>
      </w:r>
    </w:p>
    <w:p w14:paraId="61B01E5D"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2</w:t>
      </w:r>
      <w:r>
        <w:rPr>
          <w:rFonts w:eastAsiaTheme="minorEastAsia"/>
          <w:kern w:val="0"/>
          <w:szCs w:val="21"/>
        </w:rPr>
        <w:t>、专项规划；</w:t>
      </w:r>
    </w:p>
    <w:p w14:paraId="3C89C581"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3</w:t>
      </w:r>
      <w:r>
        <w:rPr>
          <w:rFonts w:eastAsiaTheme="minorEastAsia"/>
          <w:kern w:val="0"/>
          <w:szCs w:val="21"/>
        </w:rPr>
        <w:t>、投资估算与效益分析；</w:t>
      </w:r>
    </w:p>
    <w:p w14:paraId="0C6AB90A"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4</w:t>
      </w:r>
      <w:r>
        <w:rPr>
          <w:rFonts w:eastAsiaTheme="minorEastAsia"/>
          <w:kern w:val="0"/>
          <w:szCs w:val="21"/>
        </w:rPr>
        <w:t>、规划文件的编制、规划图的绘制。</w:t>
      </w:r>
    </w:p>
    <w:p w14:paraId="75495992"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19FE24F0"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w:t>
      </w:r>
      <w:r>
        <w:rPr>
          <w:rFonts w:eastAsiaTheme="minorEastAsia"/>
          <w:kern w:val="0"/>
          <w:szCs w:val="21"/>
        </w:rPr>
        <w:t>农业园区详细规划、竖向规划设计</w:t>
      </w:r>
      <w:r>
        <w:rPr>
          <w:rFonts w:eastAsiaTheme="minorEastAsia"/>
          <w:szCs w:val="21"/>
        </w:rPr>
        <w:t>。</w:t>
      </w:r>
    </w:p>
    <w:p w14:paraId="45DBB812" w14:textId="77777777" w:rsidR="00F5289E" w:rsidRDefault="00C91173">
      <w:pPr>
        <w:snapToGrid w:val="0"/>
        <w:spacing w:line="360" w:lineRule="auto"/>
        <w:rPr>
          <w:rFonts w:eastAsiaTheme="minorEastAsia"/>
          <w:szCs w:val="21"/>
        </w:rPr>
      </w:pPr>
      <w:r>
        <w:rPr>
          <w:rFonts w:eastAsiaTheme="minorEastAsia"/>
          <w:b/>
          <w:szCs w:val="21"/>
        </w:rPr>
        <w:t>2</w:t>
      </w:r>
      <w:r>
        <w:rPr>
          <w:rFonts w:eastAsiaTheme="minorEastAsia"/>
          <w:b/>
          <w:szCs w:val="21"/>
        </w:rPr>
        <w:t>、领会</w:t>
      </w:r>
      <w:r>
        <w:rPr>
          <w:rFonts w:eastAsiaTheme="minorEastAsia"/>
          <w:szCs w:val="21"/>
        </w:rPr>
        <w:t>：</w:t>
      </w:r>
      <w:r>
        <w:rPr>
          <w:rFonts w:eastAsiaTheme="minorEastAsia"/>
          <w:kern w:val="0"/>
          <w:szCs w:val="21"/>
        </w:rPr>
        <w:t>景观生态学原理、景观美学原理、景观安全格局原理。</w:t>
      </w:r>
    </w:p>
    <w:p w14:paraId="19315CD0" w14:textId="77777777" w:rsidR="00F5289E" w:rsidRDefault="00C91173">
      <w:pPr>
        <w:snapToGrid w:val="0"/>
        <w:spacing w:line="360" w:lineRule="auto"/>
        <w:rPr>
          <w:rFonts w:eastAsiaTheme="minorEastAsia"/>
          <w:b/>
          <w:szCs w:val="21"/>
        </w:rPr>
      </w:pPr>
      <w:r>
        <w:rPr>
          <w:rFonts w:eastAsiaTheme="minorEastAsia"/>
          <w:b/>
          <w:szCs w:val="21"/>
        </w:rPr>
        <w:lastRenderedPageBreak/>
        <w:t>3</w:t>
      </w:r>
      <w:r>
        <w:rPr>
          <w:rFonts w:eastAsiaTheme="minorEastAsia"/>
          <w:b/>
          <w:szCs w:val="21"/>
        </w:rPr>
        <w:t>、简单应用</w:t>
      </w:r>
      <w:r>
        <w:rPr>
          <w:rFonts w:eastAsiaTheme="minorEastAsia"/>
          <w:szCs w:val="21"/>
        </w:rPr>
        <w:t>：</w:t>
      </w:r>
      <w:r>
        <w:rPr>
          <w:rFonts w:eastAsiaTheme="minorEastAsia"/>
          <w:kern w:val="0"/>
          <w:szCs w:val="21"/>
        </w:rPr>
        <w:t>农业园区产业规划应遵循的原则。</w:t>
      </w:r>
    </w:p>
    <w:p w14:paraId="15C25BFA" w14:textId="77777777" w:rsidR="00F5289E" w:rsidRDefault="00C91173">
      <w:pPr>
        <w:snapToGrid w:val="0"/>
        <w:spacing w:line="360" w:lineRule="auto"/>
        <w:rPr>
          <w:rFonts w:eastAsiaTheme="minorEastAsia"/>
          <w:b/>
          <w:szCs w:val="21"/>
        </w:rPr>
      </w:pPr>
      <w:r>
        <w:rPr>
          <w:rFonts w:eastAsiaTheme="minorEastAsia"/>
          <w:b/>
          <w:szCs w:val="21"/>
        </w:rPr>
        <w:t>4</w:t>
      </w:r>
      <w:r>
        <w:rPr>
          <w:rFonts w:eastAsiaTheme="minorEastAsia"/>
          <w:b/>
          <w:szCs w:val="21"/>
        </w:rPr>
        <w:t>、综合应用</w:t>
      </w:r>
      <w:r>
        <w:rPr>
          <w:rFonts w:eastAsiaTheme="minorEastAsia"/>
          <w:szCs w:val="21"/>
        </w:rPr>
        <w:t>：会对农业产业园区进行详细规划设计。</w:t>
      </w:r>
    </w:p>
    <w:p w14:paraId="5C4F3313"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第五章</w:t>
      </w:r>
      <w:r>
        <w:rPr>
          <w:rFonts w:eastAsiaTheme="minorEastAsia"/>
          <w:b/>
          <w:szCs w:val="21"/>
        </w:rPr>
        <w:t xml:space="preserve">  </w:t>
      </w:r>
      <w:r>
        <w:rPr>
          <w:rFonts w:eastAsiaTheme="minorEastAsia"/>
          <w:b/>
          <w:szCs w:val="21"/>
        </w:rPr>
        <w:t>生态休闲类园区的详细规划</w:t>
      </w:r>
    </w:p>
    <w:p w14:paraId="65675503" w14:textId="77777777" w:rsidR="00F5289E" w:rsidRDefault="00C91173">
      <w:pPr>
        <w:snapToGrid w:val="0"/>
        <w:spacing w:line="360" w:lineRule="auto"/>
        <w:rPr>
          <w:rFonts w:eastAsiaTheme="minorEastAsia"/>
          <w:b/>
          <w:szCs w:val="21"/>
        </w:rPr>
      </w:pPr>
      <w:r>
        <w:rPr>
          <w:rFonts w:eastAsiaTheme="minorEastAsia"/>
          <w:b/>
          <w:szCs w:val="21"/>
        </w:rPr>
        <w:t>一、一般学习目的与要求</w:t>
      </w:r>
    </w:p>
    <w:p w14:paraId="4835509F"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：生态休闲类园区的发展趋势和特点</w:t>
      </w:r>
      <w:r>
        <w:rPr>
          <w:rFonts w:eastAsiaTheme="minorEastAsia"/>
          <w:kern w:val="0"/>
          <w:szCs w:val="21"/>
        </w:rPr>
        <w:t>。</w:t>
      </w:r>
    </w:p>
    <w:p w14:paraId="4062B941"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w:t>
      </w:r>
      <w:r>
        <w:rPr>
          <w:rFonts w:eastAsiaTheme="minorEastAsia"/>
          <w:kern w:val="0"/>
          <w:szCs w:val="21"/>
        </w:rPr>
        <w:t>对不同类型生态休闲农业园区各单体项目的定位、定性、定量，并能对规划设计的风格、特点、技术要求、技术指标以及经营管理方式等做出明确说明。</w:t>
      </w:r>
    </w:p>
    <w:p w14:paraId="2669D61F" w14:textId="77777777" w:rsidR="00F5289E" w:rsidRDefault="00C91173">
      <w:pPr>
        <w:snapToGrid w:val="0"/>
        <w:spacing w:line="360" w:lineRule="auto"/>
        <w:rPr>
          <w:rFonts w:eastAsiaTheme="minorEastAsia"/>
          <w:kern w:val="0"/>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项目规划，包括生态休闲农业园区项目规划的原则和项目的具体内容；专项规划；能编制规划文件及绘制各专项规划的平面布局图。</w:t>
      </w:r>
    </w:p>
    <w:p w14:paraId="45481F21"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7ADF13D8"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1</w:t>
      </w:r>
      <w:r>
        <w:rPr>
          <w:rFonts w:eastAsiaTheme="minorEastAsia"/>
          <w:kern w:val="0"/>
          <w:szCs w:val="21"/>
        </w:rPr>
        <w:t>、生态休闲农业概念和相关理论；</w:t>
      </w:r>
    </w:p>
    <w:p w14:paraId="5B094405"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2</w:t>
      </w:r>
      <w:r>
        <w:rPr>
          <w:rFonts w:eastAsiaTheme="minorEastAsia"/>
          <w:kern w:val="0"/>
          <w:szCs w:val="21"/>
        </w:rPr>
        <w:t>、园区规划；</w:t>
      </w:r>
    </w:p>
    <w:p w14:paraId="0D836C14"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3</w:t>
      </w:r>
      <w:r>
        <w:rPr>
          <w:rFonts w:eastAsiaTheme="minorEastAsia"/>
          <w:kern w:val="0"/>
          <w:szCs w:val="21"/>
        </w:rPr>
        <w:t>、专项规划；</w:t>
      </w:r>
    </w:p>
    <w:p w14:paraId="05D60333"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4</w:t>
      </w:r>
      <w:r>
        <w:rPr>
          <w:rFonts w:eastAsiaTheme="minorEastAsia"/>
          <w:kern w:val="0"/>
          <w:szCs w:val="21"/>
        </w:rPr>
        <w:t>、规划文件的编制、规划图的绘制。</w:t>
      </w:r>
    </w:p>
    <w:p w14:paraId="7E457D63"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4AE83234"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w:t>
      </w:r>
      <w:r>
        <w:rPr>
          <w:rFonts w:eastAsiaTheme="minorEastAsia"/>
          <w:kern w:val="0"/>
          <w:szCs w:val="21"/>
        </w:rPr>
        <w:t>都市农业相关概念、规划的相关原理</w:t>
      </w:r>
      <w:r>
        <w:rPr>
          <w:rFonts w:eastAsiaTheme="minorEastAsia"/>
          <w:szCs w:val="21"/>
        </w:rPr>
        <w:t>。</w:t>
      </w:r>
    </w:p>
    <w:p w14:paraId="48DADCD1" w14:textId="77777777" w:rsidR="00F5289E" w:rsidRDefault="00C91173">
      <w:pPr>
        <w:snapToGrid w:val="0"/>
        <w:spacing w:line="360" w:lineRule="auto"/>
        <w:rPr>
          <w:rFonts w:eastAsiaTheme="minorEastAsia"/>
          <w:szCs w:val="21"/>
        </w:rPr>
      </w:pPr>
      <w:r>
        <w:rPr>
          <w:rFonts w:eastAsiaTheme="minorEastAsia"/>
          <w:b/>
          <w:szCs w:val="21"/>
        </w:rPr>
        <w:t>2</w:t>
      </w:r>
      <w:r>
        <w:rPr>
          <w:rFonts w:eastAsiaTheme="minorEastAsia"/>
          <w:b/>
          <w:szCs w:val="21"/>
        </w:rPr>
        <w:t>、领会</w:t>
      </w:r>
      <w:r>
        <w:rPr>
          <w:rFonts w:eastAsiaTheme="minorEastAsia"/>
          <w:szCs w:val="21"/>
        </w:rPr>
        <w:t>：</w:t>
      </w:r>
      <w:r>
        <w:rPr>
          <w:rFonts w:eastAsiaTheme="minorEastAsia"/>
          <w:kern w:val="0"/>
          <w:szCs w:val="21"/>
        </w:rPr>
        <w:t>不同类型生态休闲农业园区的特点和规划重点。</w:t>
      </w:r>
    </w:p>
    <w:p w14:paraId="0F56154C" w14:textId="77777777" w:rsidR="00F5289E" w:rsidRDefault="00C91173">
      <w:pPr>
        <w:snapToGrid w:val="0"/>
        <w:spacing w:line="360" w:lineRule="auto"/>
        <w:rPr>
          <w:rFonts w:eastAsiaTheme="minorEastAsia"/>
          <w:b/>
          <w:szCs w:val="21"/>
        </w:rPr>
      </w:pPr>
      <w:r>
        <w:rPr>
          <w:rFonts w:eastAsiaTheme="minorEastAsia"/>
          <w:b/>
          <w:szCs w:val="21"/>
        </w:rPr>
        <w:t>3</w:t>
      </w:r>
      <w:r>
        <w:rPr>
          <w:rFonts w:eastAsiaTheme="minorEastAsia"/>
          <w:b/>
          <w:szCs w:val="21"/>
        </w:rPr>
        <w:t>、简单应用</w:t>
      </w:r>
      <w:r>
        <w:rPr>
          <w:rFonts w:eastAsiaTheme="minorEastAsia"/>
          <w:szCs w:val="21"/>
        </w:rPr>
        <w:t>：生态休闲</w:t>
      </w:r>
      <w:r>
        <w:rPr>
          <w:rFonts w:eastAsiaTheme="minorEastAsia"/>
          <w:kern w:val="0"/>
          <w:szCs w:val="21"/>
        </w:rPr>
        <w:t>农业园区产业规划应遵循的原则。</w:t>
      </w:r>
    </w:p>
    <w:p w14:paraId="747BB024" w14:textId="77777777" w:rsidR="00F5289E" w:rsidRDefault="00C91173">
      <w:pPr>
        <w:snapToGrid w:val="0"/>
        <w:spacing w:line="360" w:lineRule="auto"/>
        <w:rPr>
          <w:rFonts w:eastAsiaTheme="minorEastAsia"/>
          <w:b/>
          <w:szCs w:val="21"/>
        </w:rPr>
      </w:pPr>
      <w:r>
        <w:rPr>
          <w:rFonts w:eastAsiaTheme="minorEastAsia"/>
          <w:b/>
          <w:szCs w:val="21"/>
        </w:rPr>
        <w:t>4</w:t>
      </w:r>
      <w:r>
        <w:rPr>
          <w:rFonts w:eastAsiaTheme="minorEastAsia"/>
          <w:b/>
          <w:szCs w:val="21"/>
        </w:rPr>
        <w:t>、综合应用</w:t>
      </w:r>
      <w:r>
        <w:rPr>
          <w:rFonts w:eastAsiaTheme="minorEastAsia"/>
          <w:szCs w:val="21"/>
        </w:rPr>
        <w:t>：会对生态休闲农业园区进行详细规划设计。</w:t>
      </w:r>
    </w:p>
    <w:p w14:paraId="4821435F" w14:textId="77777777" w:rsidR="00F5289E" w:rsidRDefault="00C91173">
      <w:pPr>
        <w:snapToGrid w:val="0"/>
        <w:spacing w:line="360" w:lineRule="auto"/>
        <w:ind w:firstLineChars="49" w:firstLine="103"/>
        <w:jc w:val="center"/>
        <w:rPr>
          <w:rFonts w:eastAsiaTheme="minorEastAsia"/>
          <w:b/>
          <w:szCs w:val="21"/>
        </w:rPr>
      </w:pPr>
      <w:r>
        <w:rPr>
          <w:rFonts w:eastAsiaTheme="minorEastAsia"/>
          <w:b/>
          <w:szCs w:val="21"/>
        </w:rPr>
        <w:t>第六章</w:t>
      </w:r>
      <w:r>
        <w:rPr>
          <w:rFonts w:eastAsiaTheme="minorEastAsia"/>
          <w:b/>
          <w:szCs w:val="21"/>
        </w:rPr>
        <w:t xml:space="preserve">  </w:t>
      </w:r>
      <w:r>
        <w:rPr>
          <w:rFonts w:eastAsiaTheme="minorEastAsia"/>
          <w:b/>
          <w:szCs w:val="21"/>
        </w:rPr>
        <w:t>农业园区的管理</w:t>
      </w:r>
    </w:p>
    <w:p w14:paraId="3F227BBD" w14:textId="77777777" w:rsidR="00F5289E" w:rsidRDefault="00C91173">
      <w:pPr>
        <w:snapToGrid w:val="0"/>
        <w:spacing w:line="360" w:lineRule="auto"/>
        <w:rPr>
          <w:rFonts w:eastAsiaTheme="minorEastAsia"/>
          <w:b/>
          <w:szCs w:val="21"/>
        </w:rPr>
      </w:pPr>
      <w:r>
        <w:rPr>
          <w:rFonts w:eastAsiaTheme="minorEastAsia"/>
          <w:b/>
          <w:szCs w:val="21"/>
        </w:rPr>
        <w:t>一、一般学习目的与要求</w:t>
      </w:r>
    </w:p>
    <w:p w14:paraId="28F1CE8A" w14:textId="77777777" w:rsidR="00F5289E" w:rsidRDefault="00C91173">
      <w:pPr>
        <w:snapToGrid w:val="0"/>
        <w:spacing w:line="360" w:lineRule="auto"/>
        <w:rPr>
          <w:rFonts w:eastAsiaTheme="minorEastAsia"/>
          <w:szCs w:val="21"/>
        </w:rPr>
      </w:pPr>
      <w:r>
        <w:rPr>
          <w:rFonts w:eastAsiaTheme="minorEastAsia"/>
          <w:b/>
          <w:szCs w:val="21"/>
        </w:rPr>
        <w:t xml:space="preserve">1. </w:t>
      </w:r>
      <w:r>
        <w:rPr>
          <w:rFonts w:eastAsiaTheme="minorEastAsia"/>
          <w:b/>
          <w:szCs w:val="21"/>
        </w:rPr>
        <w:t>一般了解</w:t>
      </w:r>
      <w:r>
        <w:rPr>
          <w:rFonts w:eastAsiaTheme="minorEastAsia"/>
          <w:szCs w:val="21"/>
        </w:rPr>
        <w:t>：</w:t>
      </w:r>
      <w:r>
        <w:rPr>
          <w:rFonts w:eastAsiaTheme="minorEastAsia"/>
          <w:kern w:val="0"/>
          <w:szCs w:val="21"/>
        </w:rPr>
        <w:t>了解生产过程的概念、生产过程组织的要求、生产类型、生产运作组织方式的选择、流水生产组织。</w:t>
      </w:r>
    </w:p>
    <w:p w14:paraId="5F8D458B" w14:textId="77777777" w:rsidR="00F5289E" w:rsidRDefault="00C91173">
      <w:pPr>
        <w:snapToGrid w:val="0"/>
        <w:spacing w:line="360" w:lineRule="auto"/>
        <w:rPr>
          <w:rFonts w:eastAsiaTheme="minorEastAsia"/>
          <w:szCs w:val="21"/>
        </w:rPr>
      </w:pPr>
      <w:r>
        <w:rPr>
          <w:rFonts w:eastAsiaTheme="minorEastAsia"/>
          <w:b/>
          <w:szCs w:val="21"/>
        </w:rPr>
        <w:t xml:space="preserve">2. </w:t>
      </w:r>
      <w:r>
        <w:rPr>
          <w:rFonts w:eastAsiaTheme="minorEastAsia"/>
          <w:b/>
          <w:szCs w:val="21"/>
        </w:rPr>
        <w:t>一般掌握</w:t>
      </w:r>
      <w:r>
        <w:rPr>
          <w:rFonts w:eastAsiaTheme="minorEastAsia"/>
          <w:szCs w:val="21"/>
        </w:rPr>
        <w:t>：农业园区的组织管理和战略领导；</w:t>
      </w:r>
      <w:r>
        <w:rPr>
          <w:rFonts w:eastAsiaTheme="minorEastAsia"/>
          <w:kern w:val="0"/>
          <w:szCs w:val="21"/>
        </w:rPr>
        <w:t>掌握现代先进的生产管理方式；掌握质量管理理论、全面质量管理，质量管理的常规方法。</w:t>
      </w:r>
    </w:p>
    <w:p w14:paraId="49B1D54A" w14:textId="77777777" w:rsidR="00F5289E" w:rsidRDefault="00C91173">
      <w:pPr>
        <w:snapToGrid w:val="0"/>
        <w:spacing w:line="360" w:lineRule="auto"/>
        <w:rPr>
          <w:rFonts w:eastAsiaTheme="minorEastAsia"/>
          <w:kern w:val="0"/>
          <w:szCs w:val="21"/>
        </w:rPr>
      </w:pPr>
      <w:r>
        <w:rPr>
          <w:rFonts w:eastAsiaTheme="minorEastAsia"/>
          <w:b/>
          <w:szCs w:val="21"/>
        </w:rPr>
        <w:t xml:space="preserve">3. </w:t>
      </w:r>
      <w:r>
        <w:rPr>
          <w:rFonts w:eastAsiaTheme="minorEastAsia"/>
          <w:b/>
          <w:szCs w:val="21"/>
        </w:rPr>
        <w:t>熟练掌握</w:t>
      </w:r>
      <w:r>
        <w:rPr>
          <w:rFonts w:eastAsiaTheme="minorEastAsia"/>
          <w:szCs w:val="21"/>
        </w:rPr>
        <w:t>：</w:t>
      </w:r>
      <w:r>
        <w:rPr>
          <w:rFonts w:eastAsiaTheme="minorEastAsia"/>
          <w:kern w:val="0"/>
          <w:szCs w:val="21"/>
        </w:rPr>
        <w:t>掌握生产与运作管理的基本概念、生产与运作管理的目标、生产与运作管理的要素、生产运作管理的内容；掌握要素管理的内容；掌握技术管理的内容。</w:t>
      </w:r>
    </w:p>
    <w:p w14:paraId="46505206" w14:textId="77777777" w:rsidR="00F5289E" w:rsidRDefault="00C91173">
      <w:pPr>
        <w:snapToGrid w:val="0"/>
        <w:spacing w:line="360" w:lineRule="auto"/>
        <w:rPr>
          <w:rFonts w:eastAsiaTheme="minorEastAsia"/>
          <w:szCs w:val="21"/>
        </w:rPr>
      </w:pPr>
      <w:r>
        <w:rPr>
          <w:rFonts w:eastAsiaTheme="minorEastAsia"/>
          <w:b/>
          <w:szCs w:val="21"/>
        </w:rPr>
        <w:t>二、考核知识点</w:t>
      </w:r>
    </w:p>
    <w:p w14:paraId="1267775D"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1</w:t>
      </w:r>
      <w:r>
        <w:rPr>
          <w:rFonts w:eastAsiaTheme="minorEastAsia"/>
          <w:kern w:val="0"/>
          <w:szCs w:val="21"/>
        </w:rPr>
        <w:t>、生产与运作管理的基本概念；</w:t>
      </w:r>
    </w:p>
    <w:p w14:paraId="265AF3B1"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2</w:t>
      </w:r>
      <w:r>
        <w:rPr>
          <w:rFonts w:eastAsiaTheme="minorEastAsia"/>
          <w:kern w:val="0"/>
          <w:szCs w:val="21"/>
        </w:rPr>
        <w:t>、生产与运作管理的目标、要素和内容；</w:t>
      </w:r>
    </w:p>
    <w:p w14:paraId="0A439D07" w14:textId="77777777" w:rsidR="00F5289E" w:rsidRDefault="00C91173">
      <w:pPr>
        <w:widowControl/>
        <w:spacing w:line="360" w:lineRule="auto"/>
        <w:ind w:firstLineChars="200" w:firstLine="420"/>
        <w:jc w:val="left"/>
        <w:rPr>
          <w:rFonts w:eastAsiaTheme="minorEastAsia"/>
          <w:kern w:val="0"/>
          <w:szCs w:val="21"/>
        </w:rPr>
      </w:pPr>
      <w:r>
        <w:rPr>
          <w:rFonts w:eastAsiaTheme="minorEastAsia"/>
          <w:kern w:val="0"/>
          <w:szCs w:val="21"/>
        </w:rPr>
        <w:t>3</w:t>
      </w:r>
      <w:r>
        <w:rPr>
          <w:rFonts w:eastAsiaTheme="minorEastAsia"/>
          <w:kern w:val="0"/>
          <w:szCs w:val="21"/>
        </w:rPr>
        <w:t>、现代先进的生产管理方式；</w:t>
      </w:r>
    </w:p>
    <w:p w14:paraId="5EEBD335"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4</w:t>
      </w:r>
      <w:r>
        <w:rPr>
          <w:rFonts w:eastAsiaTheme="minorEastAsia"/>
          <w:kern w:val="0"/>
          <w:szCs w:val="21"/>
        </w:rPr>
        <w:t>、质量管理理论、全面质量管理；</w:t>
      </w:r>
    </w:p>
    <w:p w14:paraId="181284E7"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t>5</w:t>
      </w:r>
      <w:r>
        <w:rPr>
          <w:rFonts w:eastAsiaTheme="minorEastAsia"/>
          <w:kern w:val="0"/>
          <w:szCs w:val="21"/>
        </w:rPr>
        <w:t>、要素管理方式；</w:t>
      </w:r>
    </w:p>
    <w:p w14:paraId="198153EF" w14:textId="77777777" w:rsidR="00F5289E" w:rsidRDefault="00C91173">
      <w:pPr>
        <w:snapToGrid w:val="0"/>
        <w:spacing w:line="360" w:lineRule="auto"/>
        <w:ind w:firstLineChars="200" w:firstLine="420"/>
        <w:rPr>
          <w:rFonts w:eastAsiaTheme="minorEastAsia"/>
          <w:kern w:val="0"/>
          <w:szCs w:val="21"/>
        </w:rPr>
      </w:pPr>
      <w:r>
        <w:rPr>
          <w:rFonts w:eastAsiaTheme="minorEastAsia"/>
          <w:kern w:val="0"/>
          <w:szCs w:val="21"/>
        </w:rPr>
        <w:lastRenderedPageBreak/>
        <w:t>6</w:t>
      </w:r>
      <w:r>
        <w:rPr>
          <w:rFonts w:eastAsiaTheme="minorEastAsia"/>
          <w:kern w:val="0"/>
          <w:szCs w:val="21"/>
        </w:rPr>
        <w:t>、技术管理方式。</w:t>
      </w:r>
    </w:p>
    <w:p w14:paraId="117DAC47" w14:textId="77777777" w:rsidR="00F5289E" w:rsidRDefault="00C91173">
      <w:pPr>
        <w:snapToGrid w:val="0"/>
        <w:spacing w:line="360" w:lineRule="auto"/>
        <w:rPr>
          <w:rFonts w:eastAsiaTheme="minorEastAsia"/>
          <w:b/>
          <w:szCs w:val="21"/>
        </w:rPr>
      </w:pPr>
      <w:r>
        <w:rPr>
          <w:rFonts w:eastAsiaTheme="minorEastAsia"/>
          <w:b/>
          <w:szCs w:val="21"/>
        </w:rPr>
        <w:t>三、考核要求</w:t>
      </w:r>
    </w:p>
    <w:p w14:paraId="1D46D8F7" w14:textId="77777777" w:rsidR="00F5289E" w:rsidRDefault="00C91173">
      <w:pPr>
        <w:snapToGrid w:val="0"/>
        <w:spacing w:line="360" w:lineRule="auto"/>
        <w:rPr>
          <w:rFonts w:eastAsiaTheme="minorEastAsia"/>
          <w:b/>
          <w:szCs w:val="21"/>
        </w:rPr>
      </w:pPr>
      <w:r>
        <w:rPr>
          <w:rFonts w:eastAsiaTheme="minorEastAsia"/>
          <w:b/>
          <w:szCs w:val="21"/>
        </w:rPr>
        <w:t>1</w:t>
      </w:r>
      <w:r>
        <w:rPr>
          <w:rFonts w:eastAsiaTheme="minorEastAsia"/>
          <w:b/>
          <w:szCs w:val="21"/>
        </w:rPr>
        <w:t>、识记</w:t>
      </w:r>
      <w:r>
        <w:rPr>
          <w:rFonts w:eastAsiaTheme="minorEastAsia"/>
          <w:szCs w:val="21"/>
        </w:rPr>
        <w:t>：</w:t>
      </w:r>
      <w:r>
        <w:rPr>
          <w:rFonts w:eastAsiaTheme="minorEastAsia"/>
          <w:kern w:val="0"/>
          <w:szCs w:val="21"/>
        </w:rPr>
        <w:t>生产管理的基本概念、要素及内容</w:t>
      </w:r>
      <w:r>
        <w:rPr>
          <w:rFonts w:eastAsiaTheme="minorEastAsia"/>
          <w:szCs w:val="21"/>
        </w:rPr>
        <w:t>。</w:t>
      </w:r>
    </w:p>
    <w:p w14:paraId="41FE45E9" w14:textId="77777777" w:rsidR="00F5289E" w:rsidRDefault="00C91173">
      <w:pPr>
        <w:snapToGrid w:val="0"/>
        <w:spacing w:line="360" w:lineRule="auto"/>
        <w:rPr>
          <w:rFonts w:eastAsiaTheme="minorEastAsia"/>
          <w:szCs w:val="21"/>
        </w:rPr>
      </w:pPr>
      <w:r>
        <w:rPr>
          <w:rFonts w:eastAsiaTheme="minorEastAsia"/>
          <w:b/>
          <w:szCs w:val="21"/>
        </w:rPr>
        <w:t>2</w:t>
      </w:r>
      <w:r>
        <w:rPr>
          <w:rFonts w:eastAsiaTheme="minorEastAsia"/>
          <w:b/>
          <w:szCs w:val="21"/>
        </w:rPr>
        <w:t>、领会</w:t>
      </w:r>
      <w:r>
        <w:rPr>
          <w:rFonts w:eastAsiaTheme="minorEastAsia"/>
          <w:szCs w:val="21"/>
        </w:rPr>
        <w:t>：</w:t>
      </w:r>
      <w:r>
        <w:rPr>
          <w:rFonts w:eastAsiaTheme="minorEastAsia"/>
          <w:kern w:val="0"/>
          <w:szCs w:val="21"/>
        </w:rPr>
        <w:t>生产管理、要素管理和质量管理的目标。</w:t>
      </w:r>
    </w:p>
    <w:p w14:paraId="52CCCEBD" w14:textId="77777777" w:rsidR="00F5289E" w:rsidRDefault="00C91173">
      <w:pPr>
        <w:snapToGrid w:val="0"/>
        <w:spacing w:line="360" w:lineRule="auto"/>
        <w:rPr>
          <w:rFonts w:eastAsiaTheme="minorEastAsia"/>
          <w:b/>
          <w:szCs w:val="21"/>
        </w:rPr>
      </w:pPr>
      <w:r>
        <w:rPr>
          <w:rFonts w:eastAsiaTheme="minorEastAsia"/>
          <w:b/>
          <w:szCs w:val="21"/>
        </w:rPr>
        <w:t>3</w:t>
      </w:r>
      <w:r>
        <w:rPr>
          <w:rFonts w:eastAsiaTheme="minorEastAsia"/>
          <w:b/>
          <w:szCs w:val="21"/>
        </w:rPr>
        <w:t>、简单应用</w:t>
      </w:r>
      <w:r>
        <w:rPr>
          <w:rFonts w:eastAsiaTheme="minorEastAsia"/>
          <w:szCs w:val="21"/>
        </w:rPr>
        <w:t>：</w:t>
      </w:r>
      <w:r>
        <w:rPr>
          <w:rFonts w:eastAsiaTheme="minorEastAsia"/>
          <w:kern w:val="0"/>
          <w:szCs w:val="21"/>
        </w:rPr>
        <w:t>现代先进的生产、要素和技术管理方式。</w:t>
      </w:r>
    </w:p>
    <w:p w14:paraId="1624135C" w14:textId="77777777" w:rsidR="00F5289E" w:rsidRDefault="00C91173">
      <w:pPr>
        <w:snapToGrid w:val="0"/>
        <w:spacing w:line="360" w:lineRule="auto"/>
        <w:rPr>
          <w:rFonts w:eastAsiaTheme="minorEastAsia"/>
          <w:b/>
          <w:szCs w:val="21"/>
        </w:rPr>
      </w:pPr>
      <w:r>
        <w:rPr>
          <w:rFonts w:eastAsiaTheme="minorEastAsia"/>
          <w:b/>
          <w:szCs w:val="21"/>
        </w:rPr>
        <w:t>4</w:t>
      </w:r>
      <w:r>
        <w:rPr>
          <w:rFonts w:eastAsiaTheme="minorEastAsia"/>
          <w:b/>
          <w:szCs w:val="21"/>
        </w:rPr>
        <w:t>、综合应用</w:t>
      </w:r>
      <w:r>
        <w:rPr>
          <w:rFonts w:eastAsiaTheme="minorEastAsia"/>
          <w:szCs w:val="21"/>
        </w:rPr>
        <w:t>：质量管理理论。</w:t>
      </w:r>
    </w:p>
    <w:p w14:paraId="01077D14" w14:textId="77777777" w:rsidR="00F5289E" w:rsidRDefault="00C91173">
      <w:pPr>
        <w:snapToGrid w:val="0"/>
        <w:spacing w:line="360" w:lineRule="auto"/>
        <w:rPr>
          <w:rFonts w:eastAsiaTheme="minorEastAsia"/>
          <w:b/>
          <w:szCs w:val="21"/>
        </w:rPr>
      </w:pPr>
      <w:r>
        <w:rPr>
          <w:rFonts w:eastAsiaTheme="minorEastAsia"/>
          <w:b/>
          <w:szCs w:val="21"/>
        </w:rPr>
        <w:t>三、实验、实习教学部分的考核要求</w:t>
      </w:r>
    </w:p>
    <w:p w14:paraId="175614C7" w14:textId="77777777" w:rsidR="00F5289E" w:rsidRDefault="00C91173">
      <w:pPr>
        <w:widowControl/>
        <w:adjustRightInd w:val="0"/>
        <w:snapToGrid w:val="0"/>
        <w:spacing w:line="360" w:lineRule="auto"/>
        <w:ind w:firstLineChars="50" w:firstLine="105"/>
        <w:jc w:val="left"/>
        <w:rPr>
          <w:rFonts w:eastAsiaTheme="minorEastAsia"/>
          <w:b/>
          <w:bCs/>
          <w:kern w:val="0"/>
          <w:szCs w:val="21"/>
        </w:rPr>
      </w:pPr>
      <w:r>
        <w:rPr>
          <w:rFonts w:eastAsiaTheme="minorEastAsia"/>
          <w:b/>
          <w:bCs/>
          <w:kern w:val="0"/>
          <w:szCs w:val="21"/>
        </w:rPr>
        <w:t>1</w:t>
      </w:r>
      <w:r>
        <w:rPr>
          <w:rFonts w:eastAsiaTheme="minorEastAsia"/>
          <w:b/>
          <w:bCs/>
          <w:kern w:val="0"/>
          <w:szCs w:val="21"/>
        </w:rPr>
        <w:t>、实验教学考核要求</w:t>
      </w:r>
    </w:p>
    <w:p w14:paraId="5C67C5B9" w14:textId="77777777" w:rsidR="00F5289E" w:rsidRDefault="00C91173">
      <w:pPr>
        <w:widowControl/>
        <w:adjustRightInd w:val="0"/>
        <w:snapToGrid w:val="0"/>
        <w:spacing w:line="360" w:lineRule="auto"/>
        <w:ind w:firstLineChars="50" w:firstLine="105"/>
        <w:jc w:val="left"/>
        <w:rPr>
          <w:rFonts w:eastAsiaTheme="minorEastAsia"/>
          <w:bCs/>
          <w:kern w:val="0"/>
          <w:szCs w:val="21"/>
        </w:rPr>
      </w:pPr>
      <w:r>
        <w:rPr>
          <w:rFonts w:eastAsiaTheme="minorEastAsia"/>
          <w:bCs/>
          <w:kern w:val="0"/>
          <w:szCs w:val="21"/>
        </w:rPr>
        <w:t>（</w:t>
      </w:r>
      <w:r>
        <w:rPr>
          <w:rFonts w:eastAsiaTheme="minorEastAsia"/>
          <w:bCs/>
          <w:kern w:val="0"/>
          <w:szCs w:val="21"/>
        </w:rPr>
        <w:t>1</w:t>
      </w:r>
      <w:r>
        <w:rPr>
          <w:rFonts w:eastAsiaTheme="minorEastAsia"/>
          <w:bCs/>
          <w:kern w:val="0"/>
          <w:szCs w:val="21"/>
        </w:rPr>
        <w:t>）工厂化育苗场的规划：明确工厂化育苗场应具备的功能分区和相关的设备；能根据育苗工厂的工艺流程，科学设计育苗场功能分区的布局；能进行各功能区的详细设计</w:t>
      </w:r>
      <w:r>
        <w:rPr>
          <w:rFonts w:eastAsiaTheme="minorEastAsia" w:hint="eastAsia"/>
          <w:bCs/>
          <w:kern w:val="0"/>
          <w:szCs w:val="21"/>
        </w:rPr>
        <w:t>。</w:t>
      </w:r>
      <w:r>
        <w:rPr>
          <w:rFonts w:eastAsiaTheme="minorEastAsia"/>
          <w:bCs/>
          <w:kern w:val="0"/>
          <w:szCs w:val="21"/>
        </w:rPr>
        <w:t>绘制育苗场平面布局图。</w:t>
      </w:r>
    </w:p>
    <w:p w14:paraId="14192EBA" w14:textId="77777777" w:rsidR="00F5289E" w:rsidRDefault="00C91173">
      <w:pPr>
        <w:widowControl/>
        <w:adjustRightInd w:val="0"/>
        <w:snapToGrid w:val="0"/>
        <w:spacing w:line="360" w:lineRule="auto"/>
        <w:ind w:firstLineChars="50" w:firstLine="105"/>
        <w:jc w:val="left"/>
        <w:rPr>
          <w:rFonts w:eastAsiaTheme="minorEastAsia"/>
          <w:bCs/>
          <w:kern w:val="0"/>
          <w:szCs w:val="21"/>
        </w:rPr>
      </w:pPr>
      <w:r>
        <w:rPr>
          <w:rFonts w:eastAsiaTheme="minorEastAsia"/>
          <w:bCs/>
          <w:kern w:val="0"/>
          <w:szCs w:val="21"/>
        </w:rPr>
        <w:t>（</w:t>
      </w:r>
      <w:r>
        <w:rPr>
          <w:rFonts w:eastAsiaTheme="minorEastAsia"/>
          <w:bCs/>
          <w:kern w:val="0"/>
          <w:szCs w:val="21"/>
        </w:rPr>
        <w:t>2</w:t>
      </w:r>
      <w:r>
        <w:rPr>
          <w:rFonts w:eastAsiaTheme="minorEastAsia"/>
          <w:bCs/>
          <w:kern w:val="0"/>
          <w:szCs w:val="21"/>
        </w:rPr>
        <w:t>）设施蔬菜标准园的规划：明确设施蔬菜标准园应具备的功能；能根据栽培和管理的需求科学进行蔬菜标准园的布局；能进行各功能区的详细设计。绘制育蔬菜标准园平面布局图。</w:t>
      </w:r>
    </w:p>
    <w:p w14:paraId="25224F91" w14:textId="77777777" w:rsidR="00F5289E" w:rsidRDefault="00C91173">
      <w:pPr>
        <w:widowControl/>
        <w:adjustRightInd w:val="0"/>
        <w:snapToGrid w:val="0"/>
        <w:spacing w:line="360" w:lineRule="auto"/>
        <w:ind w:firstLineChars="50" w:firstLine="105"/>
        <w:jc w:val="left"/>
        <w:rPr>
          <w:rFonts w:eastAsiaTheme="minorEastAsia"/>
          <w:bCs/>
          <w:kern w:val="0"/>
          <w:szCs w:val="21"/>
        </w:rPr>
      </w:pPr>
      <w:r>
        <w:rPr>
          <w:rFonts w:eastAsiaTheme="minorEastAsia"/>
          <w:bCs/>
          <w:kern w:val="0"/>
          <w:szCs w:val="21"/>
        </w:rPr>
        <w:t>（</w:t>
      </w:r>
      <w:r>
        <w:rPr>
          <w:rFonts w:eastAsiaTheme="minorEastAsia"/>
          <w:bCs/>
          <w:kern w:val="0"/>
          <w:szCs w:val="21"/>
        </w:rPr>
        <w:t>3</w:t>
      </w:r>
      <w:r>
        <w:rPr>
          <w:rFonts w:eastAsiaTheme="minorEastAsia"/>
          <w:bCs/>
          <w:kern w:val="0"/>
          <w:szCs w:val="21"/>
        </w:rPr>
        <w:t>）现代农产品物流园的规划：明确农产品物流园应具备的功能分区和相关的设备；能根据农产品物流园的物流流程，科学设计物流园功能分区的布局；能进行各功能区的详细设计。绘制物流园平面布局图。</w:t>
      </w:r>
    </w:p>
    <w:p w14:paraId="305337C8" w14:textId="77777777" w:rsidR="00F5289E" w:rsidRDefault="00C91173">
      <w:pPr>
        <w:widowControl/>
        <w:adjustRightInd w:val="0"/>
        <w:snapToGrid w:val="0"/>
        <w:spacing w:line="360" w:lineRule="auto"/>
        <w:ind w:firstLineChars="50" w:firstLine="105"/>
        <w:jc w:val="left"/>
        <w:rPr>
          <w:rFonts w:eastAsiaTheme="minorEastAsia"/>
          <w:bCs/>
          <w:kern w:val="0"/>
          <w:szCs w:val="21"/>
        </w:rPr>
      </w:pPr>
      <w:r>
        <w:rPr>
          <w:rFonts w:eastAsiaTheme="minorEastAsia"/>
          <w:bCs/>
          <w:kern w:val="0"/>
          <w:szCs w:val="21"/>
        </w:rPr>
        <w:t>（</w:t>
      </w:r>
      <w:r>
        <w:rPr>
          <w:rFonts w:eastAsiaTheme="minorEastAsia"/>
          <w:bCs/>
          <w:kern w:val="0"/>
          <w:szCs w:val="21"/>
        </w:rPr>
        <w:t>4</w:t>
      </w:r>
      <w:r>
        <w:rPr>
          <w:rFonts w:eastAsiaTheme="minorEastAsia"/>
          <w:bCs/>
          <w:kern w:val="0"/>
          <w:szCs w:val="21"/>
        </w:rPr>
        <w:t>）科普教育农园的规划：明确科普教育农园应具备的功能分区；能科学设计科普教育农园的布局；能进行各功能区的详细设计。绘制育科普教育农园平面布局图。</w:t>
      </w:r>
    </w:p>
    <w:p w14:paraId="038FBFCA" w14:textId="77777777" w:rsidR="00F5289E" w:rsidRDefault="00C91173">
      <w:pPr>
        <w:widowControl/>
        <w:adjustRightInd w:val="0"/>
        <w:snapToGrid w:val="0"/>
        <w:spacing w:line="360" w:lineRule="auto"/>
        <w:ind w:firstLineChars="50" w:firstLine="105"/>
        <w:jc w:val="left"/>
        <w:rPr>
          <w:rFonts w:eastAsiaTheme="minorEastAsia"/>
          <w:bCs/>
          <w:kern w:val="0"/>
          <w:szCs w:val="21"/>
        </w:rPr>
      </w:pPr>
      <w:r>
        <w:rPr>
          <w:rFonts w:eastAsiaTheme="minorEastAsia"/>
          <w:bCs/>
          <w:kern w:val="0"/>
          <w:szCs w:val="21"/>
        </w:rPr>
        <w:t>（</w:t>
      </w:r>
      <w:r>
        <w:rPr>
          <w:rFonts w:eastAsiaTheme="minorEastAsia"/>
          <w:bCs/>
          <w:kern w:val="0"/>
          <w:szCs w:val="21"/>
        </w:rPr>
        <w:t>5</w:t>
      </w:r>
      <w:r>
        <w:rPr>
          <w:rFonts w:eastAsiaTheme="minorEastAsia"/>
          <w:bCs/>
          <w:kern w:val="0"/>
          <w:szCs w:val="21"/>
        </w:rPr>
        <w:t>）生态休闲采摘园的规划：明确生态休闲采摘园应具备的功能分区；能科学设计生态休闲采摘园的布局；能进行各功能区的详细设计。绘制生态休闲采摘园平面布局图。</w:t>
      </w:r>
    </w:p>
    <w:p w14:paraId="3CBD4A7A" w14:textId="77777777" w:rsidR="00F5289E" w:rsidRDefault="00C91173">
      <w:pPr>
        <w:widowControl/>
        <w:adjustRightInd w:val="0"/>
        <w:snapToGrid w:val="0"/>
        <w:spacing w:line="360" w:lineRule="auto"/>
        <w:ind w:firstLineChars="50" w:firstLine="105"/>
        <w:jc w:val="left"/>
        <w:rPr>
          <w:rFonts w:eastAsiaTheme="minorEastAsia"/>
          <w:b/>
          <w:bCs/>
          <w:kern w:val="0"/>
          <w:szCs w:val="21"/>
        </w:rPr>
      </w:pPr>
      <w:r>
        <w:rPr>
          <w:rFonts w:eastAsiaTheme="minorEastAsia"/>
          <w:b/>
          <w:bCs/>
          <w:kern w:val="0"/>
          <w:szCs w:val="21"/>
        </w:rPr>
        <w:t>2</w:t>
      </w:r>
      <w:r>
        <w:rPr>
          <w:rFonts w:eastAsiaTheme="minorEastAsia"/>
          <w:b/>
          <w:bCs/>
          <w:kern w:val="0"/>
          <w:szCs w:val="21"/>
        </w:rPr>
        <w:t>、实习教学部分考核要求</w:t>
      </w:r>
    </w:p>
    <w:p w14:paraId="44DEF699" w14:textId="77777777" w:rsidR="00F5289E" w:rsidRDefault="00C91173">
      <w:pPr>
        <w:widowControl/>
        <w:tabs>
          <w:tab w:val="left" w:pos="2730"/>
        </w:tabs>
        <w:snapToGrid w:val="0"/>
        <w:spacing w:line="360" w:lineRule="auto"/>
        <w:ind w:firstLineChars="250" w:firstLine="525"/>
        <w:jc w:val="left"/>
        <w:rPr>
          <w:rFonts w:eastAsiaTheme="minorEastAsia"/>
          <w:kern w:val="0"/>
          <w:szCs w:val="21"/>
        </w:rPr>
      </w:pPr>
      <w:r>
        <w:rPr>
          <w:rFonts w:eastAsiaTheme="minorEastAsia"/>
          <w:kern w:val="0"/>
          <w:szCs w:val="21"/>
        </w:rPr>
        <w:t>于实习结束后</w:t>
      </w:r>
      <w:r>
        <w:rPr>
          <w:rFonts w:eastAsiaTheme="minorEastAsia"/>
          <w:kern w:val="0"/>
          <w:szCs w:val="21"/>
        </w:rPr>
        <w:t>1</w:t>
      </w:r>
      <w:r>
        <w:rPr>
          <w:rFonts w:eastAsiaTheme="minorEastAsia"/>
          <w:kern w:val="0"/>
          <w:szCs w:val="21"/>
        </w:rPr>
        <w:t>周内，每位同学提交实习报告一份。实习成绩根据学生在实习过程中三个方面的表现评定成绩。</w:t>
      </w:r>
    </w:p>
    <w:p w14:paraId="38A721FA" w14:textId="77777777" w:rsidR="00F5289E" w:rsidRDefault="00C91173">
      <w:pPr>
        <w:widowControl/>
        <w:tabs>
          <w:tab w:val="left" w:pos="2730"/>
        </w:tabs>
        <w:snapToGrid w:val="0"/>
        <w:spacing w:line="360" w:lineRule="auto"/>
        <w:ind w:firstLineChars="200" w:firstLine="420"/>
        <w:jc w:val="left"/>
        <w:rPr>
          <w:rFonts w:eastAsiaTheme="minorEastAsia"/>
          <w:kern w:val="0"/>
          <w:szCs w:val="21"/>
        </w:rPr>
      </w:pPr>
      <w:r>
        <w:rPr>
          <w:rFonts w:eastAsiaTheme="minorEastAsia"/>
          <w:kern w:val="0"/>
          <w:szCs w:val="21"/>
        </w:rPr>
        <w:t>其中：（</w:t>
      </w:r>
      <w:r>
        <w:rPr>
          <w:rFonts w:eastAsiaTheme="minorEastAsia"/>
          <w:kern w:val="0"/>
          <w:szCs w:val="21"/>
        </w:rPr>
        <w:t>1</w:t>
      </w:r>
      <w:r>
        <w:rPr>
          <w:rFonts w:eastAsiaTheme="minorEastAsia"/>
          <w:kern w:val="0"/>
          <w:szCs w:val="21"/>
        </w:rPr>
        <w:t>）综合表现（思想表现、实习态度、团结互助、劳动观念以及遵守纪律等）占</w:t>
      </w:r>
      <w:r>
        <w:rPr>
          <w:rFonts w:eastAsiaTheme="minorEastAsia"/>
          <w:kern w:val="0"/>
          <w:szCs w:val="21"/>
        </w:rPr>
        <w:t>20%</w:t>
      </w:r>
      <w:r>
        <w:rPr>
          <w:rFonts w:eastAsiaTheme="minorEastAsia"/>
          <w:kern w:val="0"/>
          <w:szCs w:val="21"/>
        </w:rPr>
        <w:t>；（</w:t>
      </w:r>
      <w:r>
        <w:rPr>
          <w:rFonts w:eastAsiaTheme="minorEastAsia"/>
          <w:kern w:val="0"/>
          <w:szCs w:val="21"/>
        </w:rPr>
        <w:t>2</w:t>
      </w:r>
      <w:r>
        <w:rPr>
          <w:rFonts w:eastAsiaTheme="minorEastAsia"/>
          <w:kern w:val="0"/>
          <w:szCs w:val="21"/>
        </w:rPr>
        <w:t>）实际观察能力占</w:t>
      </w:r>
      <w:r>
        <w:rPr>
          <w:rFonts w:eastAsiaTheme="minorEastAsia"/>
          <w:kern w:val="0"/>
          <w:szCs w:val="21"/>
        </w:rPr>
        <w:t>30%</w:t>
      </w:r>
      <w:r>
        <w:rPr>
          <w:rFonts w:eastAsiaTheme="minorEastAsia"/>
          <w:kern w:val="0"/>
          <w:szCs w:val="21"/>
        </w:rPr>
        <w:t>；（</w:t>
      </w:r>
      <w:r>
        <w:rPr>
          <w:rFonts w:eastAsiaTheme="minorEastAsia"/>
          <w:kern w:val="0"/>
          <w:szCs w:val="21"/>
        </w:rPr>
        <w:t>3</w:t>
      </w:r>
      <w:r>
        <w:rPr>
          <w:rFonts w:eastAsiaTheme="minorEastAsia"/>
          <w:kern w:val="0"/>
          <w:szCs w:val="21"/>
        </w:rPr>
        <w:t>）实习报告占</w:t>
      </w:r>
      <w:r>
        <w:rPr>
          <w:rFonts w:eastAsiaTheme="minorEastAsia"/>
          <w:kern w:val="0"/>
          <w:szCs w:val="21"/>
        </w:rPr>
        <w:t>50%</w:t>
      </w:r>
      <w:r>
        <w:rPr>
          <w:rFonts w:eastAsiaTheme="minorEastAsia"/>
          <w:kern w:val="0"/>
          <w:szCs w:val="21"/>
        </w:rPr>
        <w:t>。</w:t>
      </w:r>
    </w:p>
    <w:p w14:paraId="7ECF37DA" w14:textId="77777777" w:rsidR="00F5289E" w:rsidRDefault="00C91173">
      <w:pPr>
        <w:snapToGrid w:val="0"/>
        <w:spacing w:line="360" w:lineRule="auto"/>
        <w:rPr>
          <w:rFonts w:eastAsiaTheme="minorEastAsia"/>
          <w:b/>
          <w:szCs w:val="21"/>
        </w:rPr>
      </w:pPr>
      <w:r>
        <w:rPr>
          <w:rFonts w:eastAsiaTheme="minorEastAsia" w:hint="eastAsia"/>
          <w:b/>
          <w:szCs w:val="21"/>
        </w:rPr>
        <w:t>四</w:t>
      </w:r>
      <w:r>
        <w:rPr>
          <w:rFonts w:eastAsiaTheme="minorEastAsia"/>
          <w:b/>
          <w:szCs w:val="21"/>
        </w:rPr>
        <w:t>、考</w:t>
      </w:r>
      <w:r>
        <w:rPr>
          <w:rFonts w:eastAsiaTheme="minorEastAsia" w:hint="eastAsia"/>
          <w:b/>
          <w:szCs w:val="21"/>
        </w:rPr>
        <w:t>核</w:t>
      </w:r>
      <w:r>
        <w:rPr>
          <w:rFonts w:eastAsiaTheme="minorEastAsia"/>
          <w:b/>
          <w:szCs w:val="21"/>
        </w:rPr>
        <w:t>方式</w:t>
      </w:r>
    </w:p>
    <w:p w14:paraId="6E9EA3B3" w14:textId="77777777" w:rsidR="00F5289E" w:rsidRDefault="00C91173">
      <w:pPr>
        <w:snapToGrid w:val="0"/>
        <w:spacing w:line="360" w:lineRule="auto"/>
        <w:ind w:firstLineChars="200" w:firstLine="420"/>
        <w:rPr>
          <w:rFonts w:eastAsiaTheme="minorEastAsia"/>
          <w:szCs w:val="21"/>
        </w:rPr>
      </w:pPr>
      <w:r>
        <w:rPr>
          <w:rFonts w:eastAsiaTheme="minorEastAsia"/>
          <w:szCs w:val="21"/>
        </w:rPr>
        <w:t>考试包括过程性评价和终结性评价。</w:t>
      </w:r>
    </w:p>
    <w:p w14:paraId="56FAED75" w14:textId="77777777" w:rsidR="00F5289E" w:rsidRDefault="00C91173">
      <w:pPr>
        <w:snapToGrid w:val="0"/>
        <w:spacing w:line="360" w:lineRule="auto"/>
        <w:ind w:firstLineChars="200" w:firstLine="420"/>
        <w:rPr>
          <w:rFonts w:eastAsiaTheme="minorEastAsia"/>
          <w:szCs w:val="21"/>
        </w:rPr>
      </w:pPr>
      <w:r>
        <w:rPr>
          <w:rFonts w:eastAsiaTheme="minorEastAsia"/>
          <w:szCs w:val="21"/>
        </w:rPr>
        <w:t>过程性评价包括课堂表现、实验实践、小组讨论等。</w:t>
      </w:r>
    </w:p>
    <w:p w14:paraId="73747CD7" w14:textId="77777777" w:rsidR="00F5289E" w:rsidRDefault="00C91173">
      <w:pPr>
        <w:snapToGrid w:val="0"/>
        <w:spacing w:line="360" w:lineRule="auto"/>
        <w:ind w:firstLineChars="200" w:firstLine="420"/>
        <w:rPr>
          <w:rFonts w:eastAsiaTheme="minorEastAsia"/>
          <w:szCs w:val="21"/>
        </w:rPr>
      </w:pPr>
      <w:r>
        <w:rPr>
          <w:rFonts w:eastAsiaTheme="minorEastAsia"/>
          <w:szCs w:val="21"/>
        </w:rPr>
        <w:t>终结性评价采取设计作品大赛的方式进行。以《农业园区规划与管理》课程为主，结合教学实习所了解园区的情况。以自己所在的家乡为项目实施区域，根据家乡所在地区的实际情况，设计一份</w:t>
      </w:r>
      <w:r>
        <w:rPr>
          <w:rFonts w:eastAsiaTheme="minorEastAsia"/>
          <w:szCs w:val="21"/>
        </w:rPr>
        <w:t>“</w:t>
      </w:r>
      <w:r>
        <w:rPr>
          <w:rFonts w:eastAsiaTheme="minorEastAsia"/>
          <w:szCs w:val="21"/>
        </w:rPr>
        <w:t>心目中的家乡现代高效农业园区</w:t>
      </w:r>
      <w:r>
        <w:rPr>
          <w:rFonts w:eastAsiaTheme="minorEastAsia"/>
          <w:szCs w:val="21"/>
        </w:rPr>
        <w:t>”</w:t>
      </w:r>
      <w:r>
        <w:rPr>
          <w:rFonts w:eastAsiaTheme="minorEastAsia"/>
          <w:szCs w:val="21"/>
        </w:rPr>
        <w:t>，以此作为《农业园区规划与管理》这门课程的期末考试。</w:t>
      </w:r>
    </w:p>
    <w:p w14:paraId="56E62E0E" w14:textId="77777777" w:rsidR="00F5289E" w:rsidRDefault="00C91173">
      <w:pPr>
        <w:snapToGrid w:val="0"/>
        <w:spacing w:line="360" w:lineRule="auto"/>
        <w:rPr>
          <w:rFonts w:eastAsiaTheme="minorEastAsia"/>
          <w:b/>
          <w:szCs w:val="21"/>
        </w:rPr>
      </w:pPr>
      <w:r>
        <w:rPr>
          <w:rFonts w:eastAsiaTheme="minorEastAsia" w:hint="eastAsia"/>
          <w:b/>
          <w:szCs w:val="21"/>
        </w:rPr>
        <w:t>五</w:t>
      </w:r>
      <w:r>
        <w:rPr>
          <w:rFonts w:eastAsiaTheme="minorEastAsia"/>
          <w:b/>
          <w:szCs w:val="21"/>
        </w:rPr>
        <w:t>、成绩评定</w:t>
      </w:r>
    </w:p>
    <w:p w14:paraId="5781A2EE" w14:textId="77777777" w:rsidR="00F5289E" w:rsidRDefault="00C91173">
      <w:pPr>
        <w:snapToGrid w:val="0"/>
        <w:spacing w:line="360" w:lineRule="auto"/>
        <w:ind w:firstLineChars="200" w:firstLine="420"/>
        <w:rPr>
          <w:rFonts w:eastAsiaTheme="minorEastAsia"/>
          <w:szCs w:val="21"/>
        </w:rPr>
      </w:pPr>
      <w:r>
        <w:rPr>
          <w:rFonts w:eastAsiaTheme="minorEastAsia"/>
          <w:szCs w:val="21"/>
        </w:rPr>
        <w:t>成绩评定</w:t>
      </w:r>
      <w:r>
        <w:rPr>
          <w:rFonts w:eastAsiaTheme="minorEastAsia" w:hint="eastAsia"/>
          <w:szCs w:val="21"/>
        </w:rPr>
        <w:t>由</w:t>
      </w:r>
      <w:r>
        <w:rPr>
          <w:rFonts w:eastAsiaTheme="minorEastAsia"/>
          <w:szCs w:val="21"/>
        </w:rPr>
        <w:t>平时成绩、实验报告成绩和期末规划报告成绩三部分组成，其中平时成绩占</w:t>
      </w:r>
      <w:r>
        <w:rPr>
          <w:rFonts w:eastAsiaTheme="minorEastAsia"/>
          <w:szCs w:val="21"/>
        </w:rPr>
        <w:t>20%</w:t>
      </w:r>
      <w:r>
        <w:rPr>
          <w:rFonts w:eastAsiaTheme="minorEastAsia"/>
          <w:szCs w:val="21"/>
        </w:rPr>
        <w:t>，实验报告成绩占</w:t>
      </w:r>
      <w:r>
        <w:rPr>
          <w:rFonts w:eastAsiaTheme="minorEastAsia"/>
          <w:szCs w:val="21"/>
        </w:rPr>
        <w:t>30%</w:t>
      </w:r>
      <w:r>
        <w:rPr>
          <w:rFonts w:eastAsiaTheme="minorEastAsia"/>
          <w:szCs w:val="21"/>
        </w:rPr>
        <w:t>，期末规划报告成绩占</w:t>
      </w:r>
      <w:r>
        <w:rPr>
          <w:rFonts w:eastAsiaTheme="minorEastAsia"/>
          <w:szCs w:val="21"/>
        </w:rPr>
        <w:t>50%</w:t>
      </w:r>
      <w:r>
        <w:rPr>
          <w:rFonts w:eastAsiaTheme="minorEastAsia"/>
          <w:szCs w:val="21"/>
        </w:rPr>
        <w:t>。</w:t>
      </w:r>
    </w:p>
    <w:p w14:paraId="2354681E" w14:textId="77777777" w:rsidR="00F5289E" w:rsidRDefault="00C91173">
      <w:pPr>
        <w:snapToGrid w:val="0"/>
        <w:spacing w:line="360" w:lineRule="auto"/>
        <w:ind w:firstLineChars="200" w:firstLine="420"/>
        <w:rPr>
          <w:rFonts w:eastAsiaTheme="minorEastAsia"/>
          <w:szCs w:val="21"/>
        </w:rPr>
      </w:pPr>
      <w:r>
        <w:rPr>
          <w:rFonts w:eastAsiaTheme="minorEastAsia"/>
          <w:szCs w:val="21"/>
        </w:rPr>
        <w:lastRenderedPageBreak/>
        <w:t>综合成绩</w:t>
      </w:r>
      <w:r>
        <w:rPr>
          <w:rFonts w:eastAsiaTheme="minorEastAsia"/>
          <w:szCs w:val="21"/>
        </w:rPr>
        <w:t>=</w:t>
      </w:r>
      <w:r>
        <w:rPr>
          <w:rFonts w:eastAsiaTheme="minorEastAsia"/>
          <w:szCs w:val="21"/>
        </w:rPr>
        <w:t>平时成绩</w:t>
      </w:r>
      <w:r>
        <w:rPr>
          <w:rFonts w:eastAsiaTheme="minorEastAsia"/>
          <w:szCs w:val="21"/>
        </w:rPr>
        <w:t>×20%+</w:t>
      </w:r>
      <w:r>
        <w:rPr>
          <w:rFonts w:eastAsiaTheme="minorEastAsia"/>
          <w:szCs w:val="21"/>
        </w:rPr>
        <w:t>实验报告成绩</w:t>
      </w:r>
      <w:r>
        <w:rPr>
          <w:rFonts w:eastAsiaTheme="minorEastAsia"/>
          <w:szCs w:val="21"/>
        </w:rPr>
        <w:t>×30%+</w:t>
      </w:r>
      <w:r>
        <w:rPr>
          <w:rFonts w:eastAsiaTheme="minorEastAsia"/>
          <w:szCs w:val="21"/>
        </w:rPr>
        <w:t>期末成绩</w:t>
      </w:r>
      <w:r>
        <w:rPr>
          <w:rFonts w:eastAsiaTheme="minorEastAsia"/>
          <w:szCs w:val="21"/>
        </w:rPr>
        <w:t>×50%</w:t>
      </w:r>
    </w:p>
    <w:p w14:paraId="782B10B3" w14:textId="77777777" w:rsidR="00F5289E" w:rsidRDefault="00C91173">
      <w:pPr>
        <w:pStyle w:val="a9"/>
        <w:spacing w:line="360" w:lineRule="auto"/>
        <w:rPr>
          <w:b/>
          <w:bCs/>
        </w:rPr>
      </w:pPr>
      <w:r>
        <w:rPr>
          <w:rFonts w:hint="eastAsia"/>
          <w:b/>
          <w:bCs/>
        </w:rPr>
        <w:t>六</w:t>
      </w:r>
      <w:r>
        <w:rPr>
          <w:b/>
          <w:bCs/>
        </w:rPr>
        <w:t>、考核结果分析反馈</w:t>
      </w:r>
    </w:p>
    <w:p w14:paraId="272CA002" w14:textId="77777777" w:rsidR="00F5289E" w:rsidRDefault="00C91173">
      <w:pPr>
        <w:snapToGrid w:val="0"/>
        <w:spacing w:line="360" w:lineRule="auto"/>
        <w:ind w:firstLineChars="200" w:firstLine="420"/>
        <w:rPr>
          <w:szCs w:val="21"/>
        </w:rPr>
      </w:pPr>
      <w:r>
        <w:rPr>
          <w:szCs w:val="21"/>
        </w:rPr>
        <w:t>考试结束后，通过综合成绩的评定，得出最终成绩并反馈给学生。对学生</w:t>
      </w:r>
      <w:r>
        <w:rPr>
          <w:rFonts w:hint="eastAsia"/>
          <w:szCs w:val="21"/>
        </w:rPr>
        <w:t>提交的规划设计报告</w:t>
      </w:r>
      <w:r>
        <w:rPr>
          <w:szCs w:val="21"/>
        </w:rPr>
        <w:t>进行分析，掌握学生的成绩分布，判断是否符合正态分布。根据学生考试成绩分布判断期末考试的难易程度是否合适，对今后</w:t>
      </w:r>
      <w:r>
        <w:rPr>
          <w:rFonts w:hint="eastAsia"/>
          <w:szCs w:val="21"/>
        </w:rPr>
        <w:t>课堂授课内容的</w:t>
      </w:r>
      <w:r>
        <w:rPr>
          <w:szCs w:val="21"/>
        </w:rPr>
        <w:t>重点和难点进行调整，提高教学效果。</w:t>
      </w:r>
    </w:p>
    <w:p w14:paraId="760345AA" w14:textId="77777777" w:rsidR="00F5289E" w:rsidRDefault="00C91173">
      <w:pPr>
        <w:widowControl/>
        <w:jc w:val="left"/>
        <w:rPr>
          <w:rFonts w:hAnsi="宋体"/>
          <w:bCs/>
          <w:szCs w:val="21"/>
        </w:rPr>
      </w:pPr>
      <w:r>
        <w:rPr>
          <w:rFonts w:hAnsi="宋体"/>
          <w:bCs/>
          <w:szCs w:val="21"/>
        </w:rPr>
        <w:br w:type="page"/>
      </w:r>
    </w:p>
    <w:p w14:paraId="76947BE6" w14:textId="77777777" w:rsidR="00F5289E" w:rsidRDefault="00C91173">
      <w:pPr>
        <w:pStyle w:val="1"/>
        <w:rPr>
          <w:szCs w:val="28"/>
        </w:rPr>
      </w:pPr>
      <w:bookmarkStart w:id="186" w:name="_Toc138606282"/>
      <w:r>
        <w:rPr>
          <w:rFonts w:hint="eastAsia"/>
        </w:rPr>
        <w:lastRenderedPageBreak/>
        <w:t>设施装备与智能化</w:t>
      </w:r>
      <w:r>
        <w:rPr>
          <w:rFonts w:hint="eastAsia"/>
          <w:szCs w:val="28"/>
        </w:rPr>
        <w:t>考核大纲</w:t>
      </w:r>
      <w:bookmarkEnd w:id="186"/>
    </w:p>
    <w:p w14:paraId="39620B2F" w14:textId="77777777" w:rsidR="00F5289E" w:rsidRDefault="00C91173">
      <w:pPr>
        <w:shd w:val="solid" w:color="FFFFFF" w:fill="auto"/>
        <w:autoSpaceDN w:val="0"/>
        <w:spacing w:line="360" w:lineRule="auto"/>
        <w:ind w:right="369"/>
        <w:jc w:val="center"/>
        <w:rPr>
          <w:bCs/>
          <w:iCs/>
          <w:color w:val="000000" w:themeColor="text1"/>
          <w:sz w:val="24"/>
          <w:shd w:val="clear" w:color="auto" w:fill="FFFFFF"/>
        </w:rPr>
      </w:pPr>
      <w:r>
        <w:rPr>
          <w:bCs/>
          <w:iCs/>
          <w:color w:val="000000" w:themeColor="text1"/>
          <w:sz w:val="24"/>
        </w:rPr>
        <w:t>（</w:t>
      </w:r>
      <w:r>
        <w:rPr>
          <w:bCs/>
          <w:iCs/>
          <w:color w:val="000000" w:themeColor="text1"/>
          <w:sz w:val="24"/>
        </w:rPr>
        <w:t>Facility Equipment and Intellectualization</w:t>
      </w:r>
      <w:r>
        <w:rPr>
          <w:rFonts w:hint="eastAsia"/>
          <w:bCs/>
          <w:iCs/>
          <w:color w:val="000000" w:themeColor="text1"/>
          <w:sz w:val="24"/>
        </w:rPr>
        <w:t>）</w:t>
      </w:r>
    </w:p>
    <w:p w14:paraId="0153E1D2" w14:textId="77777777" w:rsidR="00F5289E" w:rsidRDefault="00F5289E">
      <w:pPr>
        <w:shd w:val="solid" w:color="FFFFFF" w:fill="auto"/>
        <w:autoSpaceDN w:val="0"/>
        <w:spacing w:line="360" w:lineRule="auto"/>
        <w:ind w:right="369"/>
        <w:jc w:val="center"/>
        <w:rPr>
          <w:b/>
          <w:bCs/>
          <w:iCs/>
          <w:color w:val="000000" w:themeColor="text1"/>
          <w:sz w:val="24"/>
        </w:rPr>
      </w:pPr>
    </w:p>
    <w:p w14:paraId="0A0ADD4E"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3A79898A" w14:textId="77777777">
        <w:tc>
          <w:tcPr>
            <w:tcW w:w="1665" w:type="pct"/>
          </w:tcPr>
          <w:p w14:paraId="5DD8ACA9" w14:textId="77777777" w:rsidR="00F5289E" w:rsidRDefault="00C91173">
            <w:pPr>
              <w:spacing w:line="300" w:lineRule="auto"/>
              <w:rPr>
                <w:b/>
                <w:bCs/>
                <w:szCs w:val="21"/>
              </w:rPr>
            </w:pPr>
            <w:r>
              <w:rPr>
                <w:b/>
                <w:bCs/>
                <w:szCs w:val="21"/>
              </w:rPr>
              <w:t>课程编号：</w:t>
            </w:r>
            <w:r>
              <w:rPr>
                <w:color w:val="000000" w:themeColor="text1"/>
                <w:szCs w:val="21"/>
              </w:rPr>
              <w:t>19011137</w:t>
            </w:r>
            <w:r>
              <w:rPr>
                <w:rFonts w:hint="eastAsia"/>
                <w:color w:val="000000" w:themeColor="text1"/>
                <w:szCs w:val="21"/>
              </w:rPr>
              <w:t>h</w:t>
            </w:r>
          </w:p>
        </w:tc>
        <w:tc>
          <w:tcPr>
            <w:tcW w:w="1234" w:type="pct"/>
          </w:tcPr>
          <w:p w14:paraId="5C64C4FE" w14:textId="77777777" w:rsidR="00F5289E" w:rsidRDefault="00C91173">
            <w:pPr>
              <w:spacing w:line="300" w:lineRule="auto"/>
              <w:rPr>
                <w:b/>
                <w:bCs/>
                <w:szCs w:val="21"/>
              </w:rPr>
            </w:pPr>
            <w:r>
              <w:rPr>
                <w:b/>
                <w:bCs/>
                <w:szCs w:val="21"/>
              </w:rPr>
              <w:t>课程学时：</w:t>
            </w:r>
            <w:r>
              <w:rPr>
                <w:rFonts w:hint="eastAsia"/>
                <w:szCs w:val="21"/>
              </w:rPr>
              <w:t>32</w:t>
            </w:r>
          </w:p>
        </w:tc>
        <w:tc>
          <w:tcPr>
            <w:tcW w:w="2100" w:type="pct"/>
          </w:tcPr>
          <w:p w14:paraId="20E63485" w14:textId="77777777" w:rsidR="00F5289E" w:rsidRDefault="00C91173">
            <w:pPr>
              <w:spacing w:line="300" w:lineRule="auto"/>
              <w:rPr>
                <w:b/>
                <w:bCs/>
                <w:szCs w:val="21"/>
              </w:rPr>
            </w:pPr>
            <w:r>
              <w:rPr>
                <w:b/>
                <w:bCs/>
                <w:szCs w:val="21"/>
              </w:rPr>
              <w:t>课程学分：</w:t>
            </w:r>
            <w:r>
              <w:rPr>
                <w:rFonts w:hint="eastAsia"/>
                <w:szCs w:val="21"/>
              </w:rPr>
              <w:t>2</w:t>
            </w:r>
            <w:r>
              <w:rPr>
                <w:szCs w:val="21"/>
              </w:rPr>
              <w:t>.0</w:t>
            </w:r>
          </w:p>
        </w:tc>
      </w:tr>
      <w:tr w:rsidR="00F5289E" w14:paraId="34A946E1" w14:textId="77777777">
        <w:tc>
          <w:tcPr>
            <w:tcW w:w="1665" w:type="pct"/>
          </w:tcPr>
          <w:p w14:paraId="639E47F3" w14:textId="77777777" w:rsidR="00F5289E" w:rsidRDefault="00C91173">
            <w:pPr>
              <w:spacing w:line="300" w:lineRule="auto"/>
              <w:rPr>
                <w:b/>
                <w:bCs/>
                <w:szCs w:val="21"/>
              </w:rPr>
            </w:pPr>
            <w:r>
              <w:rPr>
                <w:b/>
                <w:bCs/>
                <w:szCs w:val="21"/>
              </w:rPr>
              <w:t>主撰人：</w:t>
            </w:r>
            <w:r>
              <w:rPr>
                <w:rFonts w:hint="eastAsia"/>
                <w:szCs w:val="21"/>
              </w:rPr>
              <w:t>国志信</w:t>
            </w:r>
          </w:p>
        </w:tc>
        <w:tc>
          <w:tcPr>
            <w:tcW w:w="1234" w:type="pct"/>
          </w:tcPr>
          <w:p w14:paraId="4A3B26CB" w14:textId="77777777" w:rsidR="00F5289E" w:rsidRDefault="00C91173">
            <w:pPr>
              <w:spacing w:line="300" w:lineRule="auto"/>
              <w:rPr>
                <w:b/>
                <w:bCs/>
                <w:szCs w:val="21"/>
              </w:rPr>
            </w:pPr>
            <w:r>
              <w:rPr>
                <w:b/>
                <w:bCs/>
                <w:szCs w:val="21"/>
              </w:rPr>
              <w:t>审核人：</w:t>
            </w:r>
            <w:r>
              <w:rPr>
                <w:rFonts w:hint="eastAsia"/>
                <w:szCs w:val="21"/>
              </w:rPr>
              <w:t>董韩</w:t>
            </w:r>
          </w:p>
        </w:tc>
        <w:tc>
          <w:tcPr>
            <w:tcW w:w="2100" w:type="pct"/>
          </w:tcPr>
          <w:p w14:paraId="5A4C1AB4" w14:textId="77777777" w:rsidR="00F5289E" w:rsidRDefault="00C91173">
            <w:pPr>
              <w:spacing w:line="300" w:lineRule="auto"/>
              <w:rPr>
                <w:b/>
                <w:bCs/>
                <w:szCs w:val="21"/>
              </w:rPr>
            </w:pPr>
            <w:r>
              <w:rPr>
                <w:b/>
                <w:bCs/>
                <w:szCs w:val="21"/>
              </w:rPr>
              <w:t>大纲制定（修订）日期：</w:t>
            </w:r>
            <w:r>
              <w:rPr>
                <w:szCs w:val="21"/>
              </w:rPr>
              <w:t>2023.05</w:t>
            </w:r>
          </w:p>
        </w:tc>
      </w:tr>
    </w:tbl>
    <w:p w14:paraId="5D10F742" w14:textId="77777777" w:rsidR="00F5289E" w:rsidRDefault="00F5289E">
      <w:pPr>
        <w:widowControl/>
        <w:snapToGrid w:val="0"/>
        <w:spacing w:before="156" w:after="156" w:line="360" w:lineRule="auto"/>
        <w:jc w:val="left"/>
        <w:outlineLvl w:val="1"/>
        <w:rPr>
          <w:rFonts w:ascii="宋体" w:hAnsi="宋体" w:cs="宋体"/>
          <w:b/>
          <w:bCs/>
          <w:color w:val="000000" w:themeColor="text1"/>
          <w:kern w:val="0"/>
          <w:szCs w:val="21"/>
        </w:rPr>
      </w:pPr>
    </w:p>
    <w:p w14:paraId="6EEA90CA" w14:textId="77777777" w:rsidR="00F5289E" w:rsidRDefault="00C91173">
      <w:pPr>
        <w:pStyle w:val="a9"/>
        <w:spacing w:line="360" w:lineRule="auto"/>
        <w:rPr>
          <w:b/>
          <w:bCs/>
        </w:rPr>
      </w:pPr>
      <w:r>
        <w:rPr>
          <w:rFonts w:hint="eastAsia"/>
          <w:b/>
          <w:bCs/>
        </w:rPr>
        <w:t>一、课程的性质和地位</w:t>
      </w:r>
    </w:p>
    <w:p w14:paraId="37C19237" w14:textId="77777777" w:rsidR="00F5289E" w:rsidRDefault="00C91173">
      <w:pPr>
        <w:snapToGrid w:val="0"/>
        <w:spacing w:line="360" w:lineRule="auto"/>
        <w:ind w:firstLineChars="200" w:firstLine="420"/>
        <w:rPr>
          <w:color w:val="000000" w:themeColor="text1"/>
          <w:szCs w:val="21"/>
        </w:rPr>
      </w:pPr>
      <w:r>
        <w:rPr>
          <w:rFonts w:ascii="宋体" w:hAnsi="宋体" w:hint="eastAsia"/>
          <w:color w:val="000000" w:themeColor="text1"/>
          <w:szCs w:val="21"/>
        </w:rPr>
        <w:t>《设施农业装备与智能化》是园艺作物设施生产的一门基础理论与应用技术相结合的科学。是一门集现代园艺科学、环境工程科学、信息技术科学和现代农业经济科学等为一体的多学科交叉的综合学科领域。是设施农业与工程专业的专业深化类课程。通过课堂教学，使学生能了解设施农业装备及智能化的基本概念和特点，了解设施</w:t>
      </w:r>
      <w:bookmarkStart w:id="187" w:name="_Hlk137764294"/>
      <w:r>
        <w:rPr>
          <w:rFonts w:ascii="宋体" w:hAnsi="宋体" w:hint="eastAsia"/>
          <w:color w:val="000000" w:themeColor="text1"/>
          <w:szCs w:val="21"/>
        </w:rPr>
        <w:t>农业装备与智能化</w:t>
      </w:r>
      <w:bookmarkEnd w:id="187"/>
      <w:r>
        <w:rPr>
          <w:rFonts w:ascii="宋体" w:hAnsi="宋体" w:hint="eastAsia"/>
          <w:color w:val="000000" w:themeColor="text1"/>
          <w:szCs w:val="21"/>
        </w:rPr>
        <w:t>产业在农业及农业现代化中的地位及作用，了解国内外设施农业装备与智能化发展概况和趋势；学习设施农业机械化生产的类型、种类、性能和基础理论；掌握整地、播种、育苗、移栽、植保、灌溉、采收、物流等机械化装备的类型、结构与性能；掌握植保无人机、智慧灌溉、水肥一体化、智慧农业、农业机器人、植物工厂等的概念、类型和技术要点；能够灵活运用设施农业装备的基本理论，能够因地制宜选用合适的农机、农艺和农业技术、实现我国设施农业的机械化、智能化、自动化、信息化发展；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为学生将从事园艺作物设施栽培生产实践打下基础。</w:t>
      </w:r>
    </w:p>
    <w:p w14:paraId="18131323" w14:textId="77777777" w:rsidR="00F5289E" w:rsidRDefault="00C91173">
      <w:pPr>
        <w:snapToGrid w:val="0"/>
        <w:spacing w:beforeLines="50" w:before="156" w:line="360" w:lineRule="auto"/>
        <w:rPr>
          <w:rFonts w:ascii="宋体" w:hAnsi="宋体"/>
          <w:b/>
          <w:color w:val="000000" w:themeColor="text1"/>
          <w:szCs w:val="21"/>
        </w:rPr>
      </w:pPr>
      <w:r>
        <w:rPr>
          <w:rFonts w:ascii="宋体" w:hAnsi="宋体" w:hint="eastAsia"/>
          <w:b/>
          <w:color w:val="000000" w:themeColor="text1"/>
          <w:szCs w:val="21"/>
        </w:rPr>
        <w:t>二、理论教学部分的考核目标</w:t>
      </w:r>
    </w:p>
    <w:p w14:paraId="2ED1E04F" w14:textId="77777777" w:rsidR="00F5289E" w:rsidRDefault="00C91173">
      <w:pPr>
        <w:spacing w:line="360" w:lineRule="auto"/>
        <w:ind w:firstLineChars="200" w:firstLine="420"/>
        <w:rPr>
          <w:color w:val="000000" w:themeColor="text1"/>
          <w:szCs w:val="21"/>
        </w:rPr>
      </w:pPr>
      <w:r>
        <w:rPr>
          <w:rFonts w:ascii="宋体" w:hAnsi="宋体"/>
          <w:color w:val="000000" w:themeColor="text1"/>
          <w:szCs w:val="21"/>
        </w:rPr>
        <w:t>主要考核学生对该门可课程基本理论、基本知识和核心技术的掌握状况</w:t>
      </w:r>
    </w:p>
    <w:p w14:paraId="44971230" w14:textId="77777777" w:rsidR="00F5289E" w:rsidRDefault="00C91173">
      <w:pPr>
        <w:snapToGrid w:val="0"/>
        <w:spacing w:line="360" w:lineRule="auto"/>
        <w:ind w:firstLineChars="49" w:firstLine="103"/>
        <w:jc w:val="center"/>
        <w:rPr>
          <w:b/>
          <w:bCs/>
          <w:color w:val="000000" w:themeColor="text1"/>
          <w:szCs w:val="21"/>
        </w:rPr>
      </w:pPr>
      <w:r>
        <w:rPr>
          <w:rFonts w:ascii="宋体" w:hAnsi="宋体" w:hint="eastAsia"/>
          <w:b/>
          <w:color w:val="000000" w:themeColor="text1"/>
          <w:szCs w:val="21"/>
        </w:rPr>
        <w:t xml:space="preserve">第一章  </w:t>
      </w:r>
      <w:r>
        <w:rPr>
          <w:rFonts w:ascii="宋体" w:hAnsi="宋体"/>
          <w:b/>
          <w:bCs/>
          <w:color w:val="000000" w:themeColor="text1"/>
        </w:rPr>
        <w:t>绪论</w:t>
      </w:r>
    </w:p>
    <w:p w14:paraId="72A18CF5"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3AA984D2"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w:t>
      </w:r>
      <w:r>
        <w:rPr>
          <w:rFonts w:ascii="宋体" w:hAnsi="宋体" w:hint="eastAsia"/>
          <w:bCs/>
          <w:color w:val="000000" w:themeColor="text1"/>
          <w:szCs w:val="21"/>
        </w:rPr>
        <w:t>了解发展设施</w:t>
      </w:r>
      <w:r>
        <w:rPr>
          <w:rFonts w:ascii="宋体" w:hAnsi="宋体" w:hint="eastAsia"/>
          <w:color w:val="000000" w:themeColor="text1"/>
          <w:szCs w:val="21"/>
        </w:rPr>
        <w:t>农业装备与智能化</w:t>
      </w:r>
      <w:r>
        <w:rPr>
          <w:rFonts w:ascii="宋体" w:hAnsi="宋体" w:hint="eastAsia"/>
          <w:bCs/>
          <w:color w:val="000000" w:themeColor="text1"/>
          <w:szCs w:val="21"/>
        </w:rPr>
        <w:t>的目的和作用及国家关于农业智能化装备和农业信息化的政策。</w:t>
      </w:r>
    </w:p>
    <w:p w14:paraId="145942D6" w14:textId="77777777" w:rsidR="00F5289E" w:rsidRDefault="00C91173">
      <w:pPr>
        <w:snapToGrid w:val="0"/>
        <w:spacing w:beforeLines="50" w:before="156" w:line="360" w:lineRule="auto"/>
        <w:ind w:firstLineChars="200" w:firstLine="422"/>
        <w:rPr>
          <w:rFonts w:ascii="宋体" w:hAnsi="宋体"/>
          <w:bCs/>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w:t>
      </w:r>
      <w:r>
        <w:rPr>
          <w:rFonts w:ascii="宋体" w:hAnsi="宋体" w:hint="eastAsia"/>
          <w:bCs/>
          <w:color w:val="000000" w:themeColor="text1"/>
          <w:szCs w:val="21"/>
        </w:rPr>
        <w:t>国际国内设施</w:t>
      </w:r>
      <w:r>
        <w:rPr>
          <w:rFonts w:ascii="宋体" w:hAnsi="宋体" w:hint="eastAsia"/>
          <w:color w:val="000000" w:themeColor="text1"/>
          <w:szCs w:val="21"/>
        </w:rPr>
        <w:t>农业装备与智能化</w:t>
      </w:r>
      <w:r>
        <w:rPr>
          <w:rFonts w:ascii="宋体" w:hAnsi="宋体" w:hint="eastAsia"/>
          <w:bCs/>
          <w:color w:val="000000" w:themeColor="text1"/>
          <w:szCs w:val="21"/>
        </w:rPr>
        <w:t>的现状、发展趋势。</w:t>
      </w:r>
    </w:p>
    <w:p w14:paraId="3F65B75A"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w:t>
      </w:r>
      <w:r>
        <w:rPr>
          <w:rFonts w:ascii="宋体" w:hAnsi="宋体" w:hint="eastAsia"/>
          <w:bCs/>
          <w:color w:val="000000" w:themeColor="text1"/>
          <w:szCs w:val="21"/>
        </w:rPr>
        <w:t>掌握设施智能化装备、农业信息化等相关概念和主要内容；</w:t>
      </w:r>
    </w:p>
    <w:p w14:paraId="3C37C698"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color w:val="000000" w:themeColor="text1"/>
          <w:szCs w:val="21"/>
        </w:rPr>
        <w:t>（二）考核内容</w:t>
      </w:r>
    </w:p>
    <w:p w14:paraId="42CA9953" w14:textId="77777777" w:rsidR="00F5289E" w:rsidRDefault="00C91173">
      <w:pPr>
        <w:snapToGrid w:val="0"/>
        <w:spacing w:beforeLines="50" w:before="156" w:line="360" w:lineRule="auto"/>
        <w:ind w:firstLineChars="200" w:firstLine="420"/>
        <w:rPr>
          <w:rFonts w:ascii="宋体" w:hAnsi="宋体"/>
          <w:bCs/>
          <w:color w:val="000000" w:themeColor="text1"/>
          <w:szCs w:val="21"/>
        </w:rPr>
      </w:pPr>
      <w:r>
        <w:rPr>
          <w:rFonts w:ascii="宋体" w:hAnsi="宋体" w:hint="eastAsia"/>
          <w:bCs/>
          <w:color w:val="000000" w:themeColor="text1"/>
          <w:szCs w:val="21"/>
        </w:rPr>
        <w:lastRenderedPageBreak/>
        <w:t>知识：设施智能化装备、农业信息化概念及发展目的</w:t>
      </w:r>
    </w:p>
    <w:p w14:paraId="7168D267" w14:textId="77777777" w:rsidR="00F5289E" w:rsidRDefault="00C91173">
      <w:pPr>
        <w:snapToGrid w:val="0"/>
        <w:spacing w:beforeLines="50" w:before="156"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能力和素质：国际国内设施农业装备和信息化的现状和发展趋势；设施农业每个发展阶段的理解（机械化、自动化、信息化、智能化）施园艺发展史、设施园艺发展前景。</w:t>
      </w:r>
    </w:p>
    <w:p w14:paraId="5D5C9DAC" w14:textId="77777777" w:rsidR="00F5289E" w:rsidRDefault="00C91173">
      <w:pPr>
        <w:snapToGrid w:val="0"/>
        <w:spacing w:beforeLines="50" w:before="156" w:line="360" w:lineRule="auto"/>
        <w:rPr>
          <w:rFonts w:ascii="宋体" w:hAnsi="宋体"/>
          <w:b/>
          <w:color w:val="000000" w:themeColor="text1"/>
          <w:szCs w:val="21"/>
        </w:rPr>
      </w:pPr>
      <w:r>
        <w:rPr>
          <w:rFonts w:ascii="宋体" w:hAnsi="宋体" w:hint="eastAsia"/>
          <w:b/>
          <w:color w:val="000000" w:themeColor="text1"/>
          <w:szCs w:val="21"/>
        </w:rPr>
        <w:t>（三）考核要求</w:t>
      </w:r>
    </w:p>
    <w:p w14:paraId="4519AAD2"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1.</w:t>
      </w:r>
      <w:r>
        <w:rPr>
          <w:rFonts w:ascii="宋体" w:hAnsi="宋体" w:hint="eastAsia"/>
          <w:b/>
          <w:color w:val="000000" w:themeColor="text1"/>
          <w:szCs w:val="21"/>
        </w:rPr>
        <w:t>识记</w:t>
      </w:r>
      <w:r>
        <w:rPr>
          <w:rFonts w:ascii="宋体" w:hAnsi="宋体" w:hint="eastAsia"/>
          <w:color w:val="000000" w:themeColor="text1"/>
          <w:szCs w:val="21"/>
        </w:rPr>
        <w:t>：设施智能化装备、农业信息化概念。</w:t>
      </w:r>
    </w:p>
    <w:p w14:paraId="04BB243E" w14:textId="77777777" w:rsidR="00F5289E" w:rsidRDefault="00C91173">
      <w:pPr>
        <w:snapToGrid w:val="0"/>
        <w:spacing w:beforeLines="50" w:before="156"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：国际国内设施农业装备和信息化的现状和发展趋势</w:t>
      </w:r>
      <w:r>
        <w:rPr>
          <w:rFonts w:ascii="宋体" w:hAnsi="宋体" w:hint="eastAsia"/>
          <w:bCs/>
          <w:color w:val="000000" w:themeColor="text1"/>
          <w:szCs w:val="21"/>
        </w:rPr>
        <w:t>。</w:t>
      </w:r>
    </w:p>
    <w:p w14:paraId="1A6A0BDC" w14:textId="77777777" w:rsidR="00F5289E" w:rsidRDefault="00C91173">
      <w:pPr>
        <w:spacing w:line="360" w:lineRule="auto"/>
        <w:ind w:firstLineChars="200" w:firstLine="422"/>
        <w:jc w:val="center"/>
        <w:rPr>
          <w:color w:val="000000" w:themeColor="text1"/>
          <w:szCs w:val="21"/>
        </w:rPr>
      </w:pPr>
      <w:r>
        <w:rPr>
          <w:rFonts w:ascii="宋体" w:hAnsi="宋体" w:hint="eastAsia"/>
          <w:b/>
          <w:bCs/>
          <w:color w:val="000000" w:themeColor="text1"/>
          <w:szCs w:val="21"/>
        </w:rPr>
        <w:t>第二章 设施蔬菜机械化发展及趋势</w:t>
      </w:r>
    </w:p>
    <w:p w14:paraId="7155A646"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7DD8C3D6"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1. 一般了解：</w:t>
      </w:r>
      <w:r>
        <w:rPr>
          <w:rFonts w:ascii="宋体" w:hAnsi="宋体" w:hint="eastAsia"/>
          <w:color w:val="000000" w:themeColor="text1"/>
          <w:szCs w:val="21"/>
        </w:rPr>
        <w:t>了解设施蔬菜生产机械化发展过程中存在的主要问题。</w:t>
      </w:r>
    </w:p>
    <w:p w14:paraId="7FDDE50B" w14:textId="77777777" w:rsidR="00F5289E" w:rsidRDefault="00C91173">
      <w:pPr>
        <w:snapToGrid w:val="0"/>
        <w:spacing w:beforeLines="50" w:before="156" w:line="360" w:lineRule="auto"/>
        <w:ind w:firstLineChars="200" w:firstLine="422"/>
        <w:rPr>
          <w:rFonts w:ascii="宋体" w:hAnsi="宋体"/>
          <w:b/>
          <w:color w:val="000000" w:themeColor="text1"/>
          <w:szCs w:val="21"/>
        </w:rPr>
      </w:pPr>
      <w:r>
        <w:rPr>
          <w:rFonts w:ascii="宋体" w:hAnsi="宋体"/>
          <w:b/>
          <w:color w:val="000000" w:themeColor="text1"/>
          <w:szCs w:val="21"/>
        </w:rPr>
        <w:t>2. 一般掌握：</w:t>
      </w:r>
      <w:r>
        <w:rPr>
          <w:rFonts w:ascii="宋体" w:hAnsi="宋体" w:hint="eastAsia"/>
          <w:color w:val="000000" w:themeColor="text1"/>
          <w:szCs w:val="21"/>
        </w:rPr>
        <w:t>熟悉日光温室和塑料大棚蔬菜生产过程中现有的机械装备。</w:t>
      </w:r>
    </w:p>
    <w:p w14:paraId="7EA8E462" w14:textId="77777777" w:rsidR="00F5289E" w:rsidRDefault="00C91173">
      <w:pPr>
        <w:snapToGrid w:val="0"/>
        <w:spacing w:beforeLines="50" w:before="156" w:line="360" w:lineRule="auto"/>
        <w:ind w:firstLineChars="200" w:firstLine="422"/>
        <w:rPr>
          <w:rFonts w:ascii="宋体" w:hAnsi="宋体"/>
          <w:b/>
          <w:color w:val="000000" w:themeColor="text1"/>
          <w:szCs w:val="21"/>
        </w:rPr>
      </w:pPr>
      <w:r>
        <w:rPr>
          <w:rFonts w:ascii="宋体" w:hAnsi="宋体"/>
          <w:b/>
          <w:color w:val="000000" w:themeColor="text1"/>
          <w:szCs w:val="21"/>
        </w:rPr>
        <w:t>3. 熟练掌握：</w:t>
      </w:r>
      <w:r>
        <w:rPr>
          <w:rFonts w:ascii="宋体" w:hAnsi="宋体" w:hint="eastAsia"/>
          <w:color w:val="000000" w:themeColor="text1"/>
          <w:szCs w:val="21"/>
        </w:rPr>
        <w:t>掌握发展设施机械化生产的方法和技术体系</w:t>
      </w:r>
      <w:r>
        <w:rPr>
          <w:rFonts w:ascii="宋体" w:hAnsi="宋体"/>
          <w:color w:val="000000" w:themeColor="text1"/>
          <w:szCs w:val="21"/>
        </w:rPr>
        <w:t>。</w:t>
      </w:r>
    </w:p>
    <w:p w14:paraId="304E7A84"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color w:val="000000" w:themeColor="text1"/>
          <w:szCs w:val="21"/>
        </w:rPr>
        <w:t>（二）考核内容</w:t>
      </w:r>
    </w:p>
    <w:p w14:paraId="4DBED79E"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知识：限制设施蔬菜机械化发展的原因及目前存在问题；建设施蔬菜机械化生产技术的方法</w:t>
      </w:r>
      <w:r>
        <w:rPr>
          <w:rFonts w:ascii="宋体" w:hAnsi="宋体"/>
          <w:color w:val="000000" w:themeColor="text1"/>
          <w:szCs w:val="21"/>
        </w:rPr>
        <w:t>。</w:t>
      </w:r>
    </w:p>
    <w:p w14:paraId="2D62B50C" w14:textId="77777777" w:rsidR="00F5289E" w:rsidRDefault="00C91173">
      <w:pPr>
        <w:snapToGrid w:val="0"/>
        <w:spacing w:line="360" w:lineRule="auto"/>
        <w:ind w:firstLineChars="200" w:firstLine="420"/>
        <w:rPr>
          <w:color w:val="000000" w:themeColor="text1"/>
          <w:szCs w:val="21"/>
        </w:rPr>
      </w:pPr>
      <w:r>
        <w:rPr>
          <w:rFonts w:ascii="宋体" w:hAnsi="宋体" w:hint="eastAsia"/>
          <w:color w:val="000000" w:themeColor="text1"/>
          <w:szCs w:val="21"/>
        </w:rPr>
        <w:t>能力和素质：日光温室和塑料大棚在发展蔬菜机械化发展过程中的异同点。</w:t>
      </w:r>
    </w:p>
    <w:p w14:paraId="3EC84F5F"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szCs w:val="21"/>
        </w:rPr>
        <w:t>（三）考核要求</w:t>
      </w:r>
    </w:p>
    <w:p w14:paraId="2599CA54" w14:textId="77777777" w:rsidR="00F5289E" w:rsidRDefault="00C91173">
      <w:pPr>
        <w:snapToGrid w:val="0"/>
        <w:spacing w:beforeLines="50" w:before="156" w:line="360" w:lineRule="auto"/>
        <w:ind w:firstLineChars="200" w:firstLine="422"/>
        <w:rPr>
          <w:rFonts w:ascii="宋体" w:hAnsi="宋体"/>
          <w:b/>
          <w:color w:val="000000" w:themeColor="text1"/>
          <w:szCs w:val="21"/>
        </w:rPr>
      </w:pPr>
      <w:r>
        <w:rPr>
          <w:rFonts w:ascii="宋体" w:hAnsi="宋体"/>
          <w:b/>
          <w:color w:val="000000" w:themeColor="text1"/>
          <w:szCs w:val="21"/>
        </w:rPr>
        <w:t>1</w:t>
      </w:r>
      <w:r>
        <w:rPr>
          <w:rFonts w:ascii="宋体" w:hAnsi="宋体" w:hint="eastAsia"/>
          <w:b/>
          <w:color w:val="000000" w:themeColor="text1"/>
          <w:szCs w:val="21"/>
        </w:rPr>
        <w:t>．</w:t>
      </w:r>
      <w:r>
        <w:rPr>
          <w:rFonts w:ascii="宋体" w:hAnsi="宋体"/>
          <w:b/>
          <w:color w:val="000000" w:themeColor="text1"/>
          <w:szCs w:val="21"/>
        </w:rPr>
        <w:t>识记：</w:t>
      </w:r>
      <w:r>
        <w:rPr>
          <w:rFonts w:ascii="宋体" w:hAnsi="宋体" w:hint="eastAsia"/>
          <w:color w:val="000000" w:themeColor="text1"/>
          <w:szCs w:val="21"/>
        </w:rPr>
        <w:t>构建机械化生产模式的方法</w:t>
      </w:r>
      <w:r>
        <w:rPr>
          <w:rFonts w:ascii="宋体" w:hAnsi="宋体"/>
          <w:color w:val="000000" w:themeColor="text1"/>
          <w:szCs w:val="21"/>
        </w:rPr>
        <w:t>园艺设施的各种类型</w:t>
      </w:r>
      <w:r>
        <w:rPr>
          <w:rFonts w:ascii="宋体" w:hAnsi="宋体" w:hint="eastAsia"/>
          <w:color w:val="000000" w:themeColor="text1"/>
          <w:szCs w:val="21"/>
        </w:rPr>
        <w:t>。</w:t>
      </w:r>
    </w:p>
    <w:p w14:paraId="17F3B1B0"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2</w:t>
      </w:r>
      <w:r>
        <w:rPr>
          <w:rFonts w:ascii="宋体" w:hAnsi="宋体" w:hint="eastAsia"/>
          <w:b/>
          <w:color w:val="000000" w:themeColor="text1"/>
          <w:szCs w:val="21"/>
        </w:rPr>
        <w:t>．</w:t>
      </w:r>
      <w:r>
        <w:rPr>
          <w:rFonts w:ascii="宋体" w:hAnsi="宋体"/>
          <w:b/>
          <w:color w:val="000000" w:themeColor="text1"/>
          <w:szCs w:val="21"/>
        </w:rPr>
        <w:t>领会：</w:t>
      </w:r>
      <w:r>
        <w:rPr>
          <w:rFonts w:ascii="宋体" w:hAnsi="宋体" w:hint="eastAsia"/>
          <w:color w:val="000000" w:themeColor="text1"/>
          <w:szCs w:val="21"/>
        </w:rPr>
        <w:t>设施蔬菜机械化发展存在的问题及产生原因。</w:t>
      </w:r>
    </w:p>
    <w:p w14:paraId="7AF4771D" w14:textId="77777777" w:rsidR="00F5289E" w:rsidRDefault="00C91173">
      <w:pPr>
        <w:snapToGrid w:val="0"/>
        <w:spacing w:beforeLines="50" w:before="156" w:line="360" w:lineRule="auto"/>
        <w:ind w:firstLineChars="200" w:firstLine="422"/>
        <w:rPr>
          <w:rFonts w:ascii="宋体" w:hAnsi="宋体"/>
          <w:b/>
          <w:color w:val="000000" w:themeColor="text1"/>
          <w:szCs w:val="21"/>
        </w:rPr>
      </w:pPr>
      <w:r>
        <w:rPr>
          <w:rFonts w:ascii="宋体" w:hAnsi="宋体"/>
          <w:b/>
          <w:color w:val="000000" w:themeColor="text1"/>
          <w:szCs w:val="21"/>
        </w:rPr>
        <w:t>3</w:t>
      </w:r>
      <w:r>
        <w:rPr>
          <w:rFonts w:ascii="宋体" w:hAnsi="宋体" w:hint="eastAsia"/>
          <w:b/>
          <w:color w:val="000000" w:themeColor="text1"/>
          <w:szCs w:val="21"/>
        </w:rPr>
        <w:t>．</w:t>
      </w:r>
      <w:r>
        <w:rPr>
          <w:rFonts w:ascii="宋体" w:hAnsi="宋体"/>
          <w:b/>
          <w:color w:val="000000" w:themeColor="text1"/>
          <w:szCs w:val="21"/>
        </w:rPr>
        <w:t>简单应用：</w:t>
      </w:r>
      <w:r>
        <w:rPr>
          <w:rFonts w:ascii="宋体" w:hAnsi="宋体" w:hint="eastAsia"/>
          <w:color w:val="000000" w:themeColor="text1"/>
          <w:szCs w:val="21"/>
        </w:rPr>
        <w:t>日光温室和塑料大棚在发展蔬菜机械化发展过程中的异同点</w:t>
      </w:r>
    </w:p>
    <w:p w14:paraId="0F8A8CFF"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4</w:t>
      </w:r>
      <w:r>
        <w:rPr>
          <w:rFonts w:ascii="宋体" w:hAnsi="宋体" w:hint="eastAsia"/>
          <w:b/>
          <w:color w:val="000000" w:themeColor="text1"/>
          <w:szCs w:val="21"/>
        </w:rPr>
        <w:t>．</w:t>
      </w:r>
      <w:r>
        <w:rPr>
          <w:rFonts w:ascii="宋体" w:hAnsi="宋体"/>
          <w:b/>
          <w:color w:val="000000" w:themeColor="text1"/>
          <w:szCs w:val="21"/>
        </w:rPr>
        <w:t>综合应用：</w:t>
      </w:r>
      <w:r>
        <w:rPr>
          <w:rFonts w:ascii="宋体" w:hAnsi="宋体"/>
          <w:color w:val="000000" w:themeColor="text1"/>
          <w:szCs w:val="21"/>
        </w:rPr>
        <w:t>根据设施类型安排</w:t>
      </w:r>
      <w:r>
        <w:rPr>
          <w:rFonts w:ascii="宋体" w:hAnsi="宋体" w:hint="eastAsia"/>
          <w:color w:val="000000" w:themeColor="text1"/>
          <w:szCs w:val="21"/>
        </w:rPr>
        <w:t>和建立设施机械化生产方式和技术体系。</w:t>
      </w:r>
    </w:p>
    <w:p w14:paraId="514FD70C"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第三章</w:t>
      </w:r>
      <w:r>
        <w:rPr>
          <w:b/>
          <w:bCs/>
          <w:color w:val="000000" w:themeColor="text1"/>
          <w:szCs w:val="21"/>
        </w:rPr>
        <w:t xml:space="preserve">  </w:t>
      </w:r>
      <w:r>
        <w:rPr>
          <w:rFonts w:ascii="宋体" w:hAnsi="宋体" w:hint="eastAsia"/>
          <w:b/>
          <w:bCs/>
          <w:color w:val="000000" w:themeColor="text1"/>
          <w:szCs w:val="21"/>
        </w:rPr>
        <w:t>整地与播种机械化装备</w:t>
      </w:r>
    </w:p>
    <w:p w14:paraId="7EF9BAFA"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4D86FDEF"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1. 一般了解：</w:t>
      </w:r>
      <w:r>
        <w:rPr>
          <w:rFonts w:ascii="宋体" w:hAnsi="宋体" w:hint="eastAsia"/>
          <w:color w:val="000000" w:themeColor="text1"/>
          <w:szCs w:val="21"/>
        </w:rPr>
        <w:t>设施园艺整地的目的，机械类型、工作原理；</w:t>
      </w:r>
    </w:p>
    <w:p w14:paraId="4EC89011"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2. 一般掌握：</w:t>
      </w:r>
      <w:r>
        <w:rPr>
          <w:rFonts w:ascii="宋体" w:hAnsi="宋体" w:hint="eastAsia"/>
          <w:color w:val="000000" w:themeColor="text1"/>
          <w:szCs w:val="21"/>
        </w:rPr>
        <w:t>掌握和熟悉常见整地播种机械的作业特点。</w:t>
      </w:r>
    </w:p>
    <w:p w14:paraId="7F4BB8A2"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b/>
          <w:color w:val="000000" w:themeColor="text1"/>
          <w:szCs w:val="21"/>
        </w:rPr>
        <w:t>3. 熟练掌握：</w:t>
      </w:r>
      <w:r>
        <w:rPr>
          <w:rFonts w:ascii="宋体" w:hAnsi="宋体" w:hint="eastAsia"/>
          <w:color w:val="000000" w:themeColor="text1"/>
          <w:szCs w:val="21"/>
        </w:rPr>
        <w:t>常见整地机械、播种机械的分类、结构和技术要点和应用。</w:t>
      </w:r>
    </w:p>
    <w:p w14:paraId="16F7249A"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color w:val="000000" w:themeColor="text1"/>
          <w:szCs w:val="21"/>
        </w:rPr>
        <w:t>（二）考核内容</w:t>
      </w:r>
    </w:p>
    <w:p w14:paraId="2243E444"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知识：</w:t>
      </w:r>
      <w:r>
        <w:rPr>
          <w:rFonts w:ascii="宋体" w:hAnsi="宋体"/>
          <w:color w:val="000000" w:themeColor="text1"/>
          <w:szCs w:val="21"/>
        </w:rPr>
        <w:t>各种</w:t>
      </w:r>
      <w:r>
        <w:rPr>
          <w:rFonts w:ascii="宋体" w:hAnsi="宋体" w:hint="eastAsia"/>
          <w:color w:val="000000" w:themeColor="text1"/>
          <w:szCs w:val="21"/>
        </w:rPr>
        <w:t>整地和播种机械的结构、</w:t>
      </w:r>
      <w:r>
        <w:rPr>
          <w:rFonts w:ascii="宋体" w:hAnsi="宋体"/>
          <w:color w:val="000000" w:themeColor="text1"/>
          <w:szCs w:val="21"/>
        </w:rPr>
        <w:t>特性和作用。</w:t>
      </w:r>
    </w:p>
    <w:p w14:paraId="2198C0A6" w14:textId="77777777" w:rsidR="00F5289E" w:rsidRDefault="00C91173">
      <w:pPr>
        <w:snapToGrid w:val="0"/>
        <w:spacing w:line="360" w:lineRule="auto"/>
        <w:ind w:firstLineChars="200" w:firstLine="420"/>
        <w:rPr>
          <w:color w:val="000000" w:themeColor="text1"/>
          <w:szCs w:val="21"/>
        </w:rPr>
      </w:pPr>
      <w:r>
        <w:rPr>
          <w:rFonts w:ascii="宋体" w:hAnsi="宋体" w:hint="eastAsia"/>
          <w:color w:val="000000" w:themeColor="text1"/>
          <w:szCs w:val="21"/>
        </w:rPr>
        <w:t>能力和素质：不同整地与播种机械装备应用范围的选择。</w:t>
      </w:r>
    </w:p>
    <w:p w14:paraId="7C235FC4"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szCs w:val="21"/>
        </w:rPr>
        <w:lastRenderedPageBreak/>
        <w:t>（三）考核要求</w:t>
      </w:r>
    </w:p>
    <w:p w14:paraId="741DDCA2" w14:textId="77777777" w:rsidR="00F5289E" w:rsidRDefault="00C91173">
      <w:pPr>
        <w:snapToGrid w:val="0"/>
        <w:spacing w:line="360" w:lineRule="auto"/>
        <w:ind w:firstLineChars="300" w:firstLine="63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：各种</w:t>
      </w:r>
      <w:r>
        <w:rPr>
          <w:rFonts w:ascii="宋体" w:hAnsi="宋体" w:hint="eastAsia"/>
          <w:color w:val="000000" w:themeColor="text1"/>
          <w:szCs w:val="21"/>
        </w:rPr>
        <w:t>设施整地播种机械</w:t>
      </w:r>
      <w:r>
        <w:rPr>
          <w:rFonts w:ascii="宋体" w:hAnsi="宋体"/>
          <w:color w:val="000000" w:themeColor="text1"/>
          <w:szCs w:val="21"/>
        </w:rPr>
        <w:t>的种类和类型</w:t>
      </w:r>
      <w:r>
        <w:rPr>
          <w:rFonts w:ascii="宋体" w:hAnsi="宋体" w:hint="eastAsia"/>
          <w:color w:val="000000" w:themeColor="text1"/>
          <w:szCs w:val="21"/>
        </w:rPr>
        <w:t>。</w:t>
      </w:r>
    </w:p>
    <w:p w14:paraId="38A62B90" w14:textId="77777777" w:rsidR="00F5289E" w:rsidRDefault="00C91173">
      <w:pPr>
        <w:snapToGrid w:val="0"/>
        <w:spacing w:line="360" w:lineRule="auto"/>
        <w:ind w:firstLineChars="300" w:firstLine="632"/>
        <w:rPr>
          <w:b/>
          <w:bCs/>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：各种</w:t>
      </w:r>
      <w:r>
        <w:rPr>
          <w:rFonts w:ascii="宋体" w:hAnsi="宋体" w:hint="eastAsia"/>
          <w:color w:val="000000" w:themeColor="text1"/>
          <w:szCs w:val="21"/>
        </w:rPr>
        <w:t>设施整地播种机械</w:t>
      </w:r>
      <w:r>
        <w:rPr>
          <w:rFonts w:ascii="宋体" w:hAnsi="宋体"/>
          <w:color w:val="000000" w:themeColor="text1"/>
          <w:szCs w:val="21"/>
        </w:rPr>
        <w:t>特性和</w:t>
      </w:r>
      <w:r>
        <w:rPr>
          <w:rFonts w:ascii="宋体" w:hAnsi="宋体" w:hint="eastAsia"/>
          <w:color w:val="000000" w:themeColor="text1"/>
          <w:szCs w:val="21"/>
        </w:rPr>
        <w:t>应用。</w:t>
      </w:r>
    </w:p>
    <w:p w14:paraId="59E1FEC4" w14:textId="77777777" w:rsidR="00F5289E" w:rsidRDefault="00C91173">
      <w:pPr>
        <w:snapToGrid w:val="0"/>
        <w:spacing w:line="360" w:lineRule="auto"/>
        <w:ind w:firstLineChars="300" w:firstLine="63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ascii="宋体" w:hAnsi="宋体" w:hint="eastAsia"/>
          <w:color w:val="000000" w:themeColor="text1"/>
          <w:szCs w:val="21"/>
        </w:rPr>
        <w:t>常见整地机械、播种机械的分类、结构和技术要点和应用。</w:t>
      </w:r>
    </w:p>
    <w:p w14:paraId="4DF77BAB" w14:textId="77777777" w:rsidR="00F5289E" w:rsidRDefault="00C91173">
      <w:pPr>
        <w:snapToGrid w:val="0"/>
        <w:spacing w:line="360" w:lineRule="auto"/>
        <w:ind w:firstLineChars="300" w:firstLine="632"/>
        <w:rPr>
          <w:b/>
          <w:bCs/>
          <w:color w:val="000000" w:themeColor="text1"/>
          <w:szCs w:val="21"/>
        </w:rPr>
      </w:pPr>
      <w:r>
        <w:rPr>
          <w:b/>
          <w:bCs/>
          <w:color w:val="000000" w:themeColor="text1"/>
          <w:szCs w:val="21"/>
        </w:rPr>
        <w:t>4</w:t>
      </w:r>
      <w:r>
        <w:rPr>
          <w:rFonts w:hint="eastAsia"/>
          <w:b/>
          <w:bCs/>
          <w:color w:val="000000" w:themeColor="text1"/>
          <w:szCs w:val="21"/>
        </w:rPr>
        <w:t>．</w:t>
      </w:r>
      <w:r>
        <w:rPr>
          <w:rFonts w:ascii="宋体" w:hAnsi="宋体" w:hint="eastAsia"/>
          <w:b/>
          <w:bCs/>
          <w:color w:val="000000" w:themeColor="text1"/>
          <w:szCs w:val="21"/>
        </w:rPr>
        <w:t>分析</w:t>
      </w:r>
      <w:r>
        <w:rPr>
          <w:rFonts w:ascii="宋体" w:hAnsi="宋体"/>
          <w:color w:val="000000" w:themeColor="text1"/>
          <w:szCs w:val="21"/>
        </w:rPr>
        <w:t>：</w:t>
      </w:r>
      <w:r>
        <w:rPr>
          <w:b/>
          <w:bCs/>
          <w:color w:val="000000" w:themeColor="text1"/>
          <w:szCs w:val="21"/>
        </w:rPr>
        <w:t xml:space="preserve"> </w:t>
      </w:r>
      <w:r>
        <w:rPr>
          <w:rFonts w:ascii="宋体" w:hAnsi="宋体"/>
          <w:color w:val="000000" w:themeColor="text1"/>
          <w:szCs w:val="21"/>
        </w:rPr>
        <w:t>各种</w:t>
      </w:r>
      <w:r>
        <w:rPr>
          <w:rFonts w:ascii="宋体" w:hAnsi="宋体" w:hint="eastAsia"/>
          <w:color w:val="000000" w:themeColor="text1"/>
          <w:szCs w:val="21"/>
        </w:rPr>
        <w:t>整地、播种机械</w:t>
      </w:r>
      <w:r>
        <w:rPr>
          <w:rFonts w:ascii="宋体" w:hAnsi="宋体"/>
          <w:color w:val="000000" w:themeColor="text1"/>
          <w:szCs w:val="21"/>
        </w:rPr>
        <w:t>对设施内环境的影响</w:t>
      </w:r>
      <w:r>
        <w:rPr>
          <w:rFonts w:ascii="宋体" w:hAnsi="宋体" w:hint="eastAsia"/>
          <w:color w:val="000000" w:themeColor="text1"/>
          <w:szCs w:val="21"/>
        </w:rPr>
        <w:t>和使用要点及发展现状和趋势。</w:t>
      </w:r>
    </w:p>
    <w:p w14:paraId="2A50407D" w14:textId="77777777" w:rsidR="00F5289E" w:rsidRDefault="00C91173">
      <w:pPr>
        <w:spacing w:line="360" w:lineRule="auto"/>
        <w:ind w:firstLineChars="200" w:firstLine="422"/>
        <w:jc w:val="center"/>
        <w:rPr>
          <w:b/>
          <w:bCs/>
          <w:color w:val="000000" w:themeColor="text1"/>
          <w:szCs w:val="21"/>
        </w:rPr>
      </w:pPr>
      <w:r>
        <w:rPr>
          <w:rFonts w:hint="eastAsia"/>
          <w:b/>
          <w:color w:val="000000" w:themeColor="text1"/>
        </w:rPr>
        <w:t>第四章</w:t>
      </w:r>
      <w:r>
        <w:rPr>
          <w:b/>
          <w:bCs/>
          <w:color w:val="000000" w:themeColor="text1"/>
          <w:szCs w:val="21"/>
        </w:rPr>
        <w:t xml:space="preserve">  </w:t>
      </w:r>
      <w:r>
        <w:rPr>
          <w:rFonts w:hint="eastAsia"/>
          <w:b/>
          <w:color w:val="000000" w:themeColor="text1"/>
        </w:rPr>
        <w:t>育苗移栽机械装备</w:t>
      </w:r>
    </w:p>
    <w:p w14:paraId="63C6CE6E"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5CEA35B0" w14:textId="77777777" w:rsidR="00F5289E" w:rsidRDefault="00C91173">
      <w:pPr>
        <w:snapToGrid w:val="0"/>
        <w:spacing w:line="360" w:lineRule="auto"/>
        <w:ind w:firstLineChars="300" w:firstLine="632"/>
        <w:rPr>
          <w:color w:val="000000" w:themeColor="text1"/>
          <w:szCs w:val="21"/>
        </w:rPr>
      </w:pPr>
      <w:r>
        <w:rPr>
          <w:b/>
          <w:bCs/>
          <w:color w:val="000000" w:themeColor="text1"/>
          <w:szCs w:val="21"/>
        </w:rPr>
        <w:t xml:space="preserve">1.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我国移苗定植机械化装备技术水平概况、存在问题及发展方向</w:t>
      </w:r>
      <w:r>
        <w:rPr>
          <w:rFonts w:ascii="宋体" w:hAnsi="宋体" w:hint="eastAsia"/>
          <w:color w:val="000000" w:themeColor="text1"/>
          <w:szCs w:val="21"/>
        </w:rPr>
        <w:t>。</w:t>
      </w:r>
    </w:p>
    <w:p w14:paraId="201A9813" w14:textId="77777777" w:rsidR="00F5289E" w:rsidRDefault="00C91173">
      <w:pPr>
        <w:snapToGrid w:val="0"/>
        <w:spacing w:line="360" w:lineRule="auto"/>
        <w:ind w:firstLineChars="300" w:firstLine="63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移苗定植机械化装备的概念、意义、方法</w:t>
      </w:r>
      <w:r>
        <w:rPr>
          <w:rFonts w:ascii="宋体" w:hAnsi="宋体" w:hint="eastAsia"/>
          <w:color w:val="000000" w:themeColor="text1"/>
          <w:szCs w:val="21"/>
        </w:rPr>
        <w:t>。</w:t>
      </w:r>
    </w:p>
    <w:p w14:paraId="3748E366" w14:textId="77777777" w:rsidR="00F5289E" w:rsidRDefault="00C91173">
      <w:pPr>
        <w:spacing w:line="360" w:lineRule="auto"/>
        <w:ind w:firstLineChars="300" w:firstLine="63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移苗定植机械化装备的技术要求、种类、特点、类型及结构组成</w:t>
      </w:r>
      <w:r>
        <w:rPr>
          <w:rFonts w:ascii="宋体" w:hAnsi="宋体" w:hint="eastAsia"/>
          <w:color w:val="000000" w:themeColor="text1"/>
          <w:szCs w:val="21"/>
        </w:rPr>
        <w:t>。</w:t>
      </w:r>
    </w:p>
    <w:p w14:paraId="02489960"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363098C5" w14:textId="77777777" w:rsidR="00F5289E" w:rsidRDefault="00C91173">
      <w:pPr>
        <w:spacing w:line="360" w:lineRule="auto"/>
        <w:rPr>
          <w:color w:val="000000" w:themeColor="text1"/>
        </w:rPr>
      </w:pPr>
      <w:r>
        <w:rPr>
          <w:rFonts w:hint="eastAsia"/>
          <w:color w:val="000000" w:themeColor="text1"/>
          <w:szCs w:val="21"/>
        </w:rPr>
        <w:t>知识：</w:t>
      </w:r>
      <w:r>
        <w:rPr>
          <w:rFonts w:hint="eastAsia"/>
          <w:color w:val="000000" w:themeColor="text1"/>
        </w:rPr>
        <w:t>育苗移苗机械化装备的概念、意义、方法；育苗移栽机械装备常见种类、结构、特点及工作原理。</w:t>
      </w:r>
    </w:p>
    <w:p w14:paraId="01618D72" w14:textId="77777777" w:rsidR="00F5289E" w:rsidRDefault="00C91173">
      <w:pPr>
        <w:spacing w:line="360" w:lineRule="auto"/>
        <w:rPr>
          <w:color w:val="000000" w:themeColor="text1"/>
        </w:rPr>
      </w:pPr>
      <w:r>
        <w:rPr>
          <w:rFonts w:ascii="宋体" w:hAnsi="宋体" w:hint="eastAsia"/>
          <w:color w:val="000000" w:themeColor="text1"/>
          <w:szCs w:val="21"/>
        </w:rPr>
        <w:t>能力和素质：</w:t>
      </w:r>
      <w:r>
        <w:rPr>
          <w:rFonts w:hint="eastAsia"/>
          <w:color w:val="000000" w:themeColor="text1"/>
        </w:rPr>
        <w:t>育苗移栽机械装备技术水平概况、存在问题及发展趋势。</w:t>
      </w:r>
    </w:p>
    <w:p w14:paraId="167C0AA9"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2FB1AA5F"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rFonts w:hint="eastAsia"/>
          <w:color w:val="000000" w:themeColor="text1"/>
        </w:rPr>
        <w:t>育苗移苗机械化装备的概念、意义、方法</w:t>
      </w:r>
      <w:r>
        <w:rPr>
          <w:rFonts w:ascii="宋体" w:hAnsi="宋体" w:hint="eastAsia"/>
          <w:color w:val="000000" w:themeColor="text1"/>
          <w:szCs w:val="21"/>
        </w:rPr>
        <w:t>。</w:t>
      </w:r>
    </w:p>
    <w:p w14:paraId="4DE1CD99"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rFonts w:hint="eastAsia"/>
          <w:color w:val="000000" w:themeColor="text1"/>
        </w:rPr>
        <w:t>育苗移栽机械装备常见种类、结构、特点及工作原理</w:t>
      </w:r>
      <w:r>
        <w:rPr>
          <w:rFonts w:ascii="宋体" w:hAnsi="宋体" w:hint="eastAsia"/>
          <w:color w:val="000000" w:themeColor="text1"/>
          <w:szCs w:val="21"/>
        </w:rPr>
        <w:t>。</w:t>
      </w:r>
    </w:p>
    <w:p w14:paraId="6A9948EC"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掌握蔬菜移栽机和嫁接机械的使用</w:t>
      </w:r>
      <w:r>
        <w:rPr>
          <w:rFonts w:ascii="宋体" w:hAnsi="宋体" w:hint="eastAsia"/>
          <w:color w:val="000000" w:themeColor="text1"/>
          <w:szCs w:val="21"/>
        </w:rPr>
        <w:t>。</w:t>
      </w:r>
    </w:p>
    <w:p w14:paraId="158F8245"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4</w:t>
      </w:r>
      <w:r>
        <w:rPr>
          <w:rFonts w:hint="eastAsia"/>
          <w:b/>
          <w:bCs/>
          <w:color w:val="000000" w:themeColor="text1"/>
          <w:szCs w:val="21"/>
        </w:rPr>
        <w:t>．</w:t>
      </w:r>
      <w:r>
        <w:rPr>
          <w:rFonts w:ascii="宋体" w:hAnsi="宋体" w:hint="eastAsia"/>
          <w:b/>
          <w:bCs/>
          <w:color w:val="000000" w:themeColor="text1"/>
          <w:szCs w:val="21"/>
        </w:rPr>
        <w:t>分析</w:t>
      </w:r>
      <w:r>
        <w:rPr>
          <w:rFonts w:ascii="宋体" w:hAnsi="宋体"/>
          <w:color w:val="000000" w:themeColor="text1"/>
          <w:szCs w:val="21"/>
        </w:rPr>
        <w:t>：</w:t>
      </w:r>
      <w:r>
        <w:rPr>
          <w:rFonts w:hint="eastAsia"/>
          <w:color w:val="000000" w:themeColor="text1"/>
        </w:rPr>
        <w:t>育苗移栽机械装备技术水平概况、存在问题及发展趋势</w:t>
      </w:r>
      <w:r>
        <w:rPr>
          <w:rFonts w:ascii="宋体" w:hAnsi="宋体"/>
          <w:color w:val="000000" w:themeColor="text1"/>
          <w:szCs w:val="21"/>
        </w:rPr>
        <w:t>。</w:t>
      </w:r>
    </w:p>
    <w:p w14:paraId="3D854032"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第五章</w:t>
      </w:r>
      <w:r>
        <w:rPr>
          <w:b/>
          <w:bCs/>
          <w:color w:val="000000" w:themeColor="text1"/>
          <w:szCs w:val="21"/>
        </w:rPr>
        <w:t xml:space="preserve">  </w:t>
      </w:r>
      <w:r>
        <w:rPr>
          <w:rFonts w:hint="eastAsia"/>
          <w:b/>
          <w:bCs/>
          <w:color w:val="000000" w:themeColor="text1"/>
        </w:rPr>
        <w:t>节水灌溉与施肥机械化装备</w:t>
      </w:r>
    </w:p>
    <w:p w14:paraId="3BFCA1AB"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65D2FF5A"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1. </w:t>
      </w:r>
      <w:r>
        <w:rPr>
          <w:rFonts w:ascii="宋体" w:hAnsi="宋体"/>
          <w:b/>
          <w:bCs/>
          <w:color w:val="000000" w:themeColor="text1"/>
          <w:szCs w:val="21"/>
        </w:rPr>
        <w:t>一般了解</w:t>
      </w:r>
      <w:r>
        <w:rPr>
          <w:rFonts w:ascii="宋体" w:hAnsi="宋体"/>
          <w:color w:val="000000" w:themeColor="text1"/>
          <w:szCs w:val="21"/>
        </w:rPr>
        <w:t>：</w:t>
      </w:r>
      <w:r>
        <w:rPr>
          <w:color w:val="000000" w:themeColor="text1"/>
        </w:rPr>
        <w:t>设施</w:t>
      </w:r>
      <w:r>
        <w:rPr>
          <w:rFonts w:hint="eastAsia"/>
          <w:color w:val="000000" w:themeColor="text1"/>
        </w:rPr>
        <w:t>节水灌溉的发展</w:t>
      </w:r>
      <w:r>
        <w:rPr>
          <w:color w:val="000000" w:themeColor="text1"/>
        </w:rPr>
        <w:t>概况</w:t>
      </w:r>
      <w:r>
        <w:rPr>
          <w:rFonts w:ascii="宋体" w:hAnsi="宋体" w:hint="eastAsia"/>
          <w:color w:val="000000" w:themeColor="text1"/>
          <w:szCs w:val="21"/>
        </w:rPr>
        <w:t>。</w:t>
      </w:r>
    </w:p>
    <w:p w14:paraId="6A9AFE8D"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节水灌溉、施肥机械化的概念、意义、方法</w:t>
      </w:r>
      <w:r>
        <w:rPr>
          <w:rFonts w:ascii="宋体" w:hAnsi="宋体" w:hint="eastAsia"/>
          <w:color w:val="000000" w:themeColor="text1"/>
          <w:szCs w:val="21"/>
        </w:rPr>
        <w:t>。</w:t>
      </w:r>
    </w:p>
    <w:p w14:paraId="572465C7" w14:textId="77777777" w:rsidR="00F5289E" w:rsidRDefault="00C91173">
      <w:pPr>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节水灌溉与施肥机械化装备的特点和</w:t>
      </w:r>
      <w:r>
        <w:rPr>
          <w:color w:val="000000" w:themeColor="text1"/>
        </w:rPr>
        <w:t>关键技术</w:t>
      </w:r>
      <w:r>
        <w:rPr>
          <w:rFonts w:ascii="宋体" w:hAnsi="宋体" w:hint="eastAsia"/>
          <w:color w:val="000000" w:themeColor="text1"/>
          <w:szCs w:val="21"/>
        </w:rPr>
        <w:t>。</w:t>
      </w:r>
    </w:p>
    <w:p w14:paraId="2A61551E"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730B20DC" w14:textId="77777777" w:rsidR="00F5289E" w:rsidRDefault="00C91173">
      <w:pPr>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节水灌溉的定义和方式；设施灌溉系统的组成和工作原理</w:t>
      </w:r>
      <w:r>
        <w:rPr>
          <w:rFonts w:hint="eastAsia"/>
          <w:color w:val="000000" w:themeColor="text1"/>
        </w:rPr>
        <w:t xml:space="preserve"> </w:t>
      </w:r>
      <w:r>
        <w:rPr>
          <w:rFonts w:hint="eastAsia"/>
          <w:color w:val="000000" w:themeColor="text1"/>
        </w:rPr>
        <w:t>；智慧灌溉、水肥一体化的概念和技术特点</w:t>
      </w:r>
      <w:r>
        <w:rPr>
          <w:rFonts w:ascii="宋体" w:hAnsi="宋体" w:hint="eastAsia"/>
          <w:color w:val="000000" w:themeColor="text1"/>
          <w:szCs w:val="21"/>
        </w:rPr>
        <w:t>。</w:t>
      </w:r>
    </w:p>
    <w:p w14:paraId="0CF88446" w14:textId="77777777" w:rsidR="00F5289E" w:rsidRDefault="00C91173">
      <w:pPr>
        <w:spacing w:line="360" w:lineRule="auto"/>
        <w:ind w:firstLineChars="200" w:firstLine="420"/>
        <w:rPr>
          <w:color w:val="000000" w:themeColor="text1"/>
          <w:szCs w:val="21"/>
        </w:rPr>
      </w:pPr>
      <w:r>
        <w:rPr>
          <w:rFonts w:ascii="宋体" w:hAnsi="宋体" w:hint="eastAsia"/>
          <w:color w:val="000000" w:themeColor="text1"/>
          <w:szCs w:val="21"/>
        </w:rPr>
        <w:t>能力和素质：掌握</w:t>
      </w:r>
      <w:r>
        <w:rPr>
          <w:rFonts w:hint="eastAsia"/>
          <w:color w:val="000000" w:themeColor="text1"/>
        </w:rPr>
        <w:t>节水灌溉与施肥机械化装备的特点和</w:t>
      </w:r>
      <w:r>
        <w:rPr>
          <w:color w:val="000000" w:themeColor="text1"/>
        </w:rPr>
        <w:t>关键技术</w:t>
      </w:r>
      <w:r>
        <w:rPr>
          <w:rFonts w:hint="eastAsia"/>
          <w:color w:val="000000" w:themeColor="text1"/>
        </w:rPr>
        <w:t>，分析我国节水灌溉与施肥机械化装备应用案例</w:t>
      </w:r>
      <w:r>
        <w:rPr>
          <w:rFonts w:ascii="宋体" w:hAnsi="宋体"/>
          <w:color w:val="000000" w:themeColor="text1"/>
          <w:szCs w:val="21"/>
        </w:rPr>
        <w:t>。</w:t>
      </w:r>
    </w:p>
    <w:p w14:paraId="34F717B8"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szCs w:val="21"/>
        </w:rPr>
        <w:t>（三）考核要求</w:t>
      </w:r>
    </w:p>
    <w:p w14:paraId="0655C0B8"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rFonts w:hint="eastAsia"/>
          <w:color w:val="000000" w:themeColor="text1"/>
        </w:rPr>
        <w:t>节水灌溉、施肥机械化的概念、意义、方法</w:t>
      </w:r>
      <w:r>
        <w:rPr>
          <w:rFonts w:ascii="宋体" w:hAnsi="宋体" w:hint="eastAsia"/>
          <w:color w:val="000000" w:themeColor="text1"/>
          <w:szCs w:val="21"/>
        </w:rPr>
        <w:t>。</w:t>
      </w:r>
    </w:p>
    <w:p w14:paraId="22CF0247"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lastRenderedPageBreak/>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rFonts w:hint="eastAsia"/>
          <w:color w:val="000000" w:themeColor="text1"/>
        </w:rPr>
        <w:t>设施灌溉系统的组成和工作原理</w:t>
      </w:r>
      <w:r>
        <w:rPr>
          <w:rFonts w:ascii="宋体" w:hAnsi="宋体" w:hint="eastAsia"/>
          <w:color w:val="000000" w:themeColor="text1"/>
          <w:szCs w:val="21"/>
        </w:rPr>
        <w:t>。</w:t>
      </w:r>
    </w:p>
    <w:p w14:paraId="7A971071"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ascii="宋体" w:hAnsi="宋体" w:hint="eastAsia"/>
          <w:color w:val="000000" w:themeColor="text1"/>
          <w:szCs w:val="21"/>
        </w:rPr>
        <w:t>掌握</w:t>
      </w:r>
      <w:r>
        <w:rPr>
          <w:rFonts w:hint="eastAsia"/>
          <w:color w:val="000000" w:themeColor="text1"/>
        </w:rPr>
        <w:t>节水灌溉与施肥机械化装备的特点和</w:t>
      </w:r>
      <w:r>
        <w:rPr>
          <w:color w:val="000000" w:themeColor="text1"/>
        </w:rPr>
        <w:t>关键技术</w:t>
      </w:r>
      <w:r>
        <w:rPr>
          <w:rFonts w:ascii="宋体" w:hAnsi="宋体" w:hint="eastAsia"/>
          <w:color w:val="000000" w:themeColor="text1"/>
          <w:szCs w:val="21"/>
        </w:rPr>
        <w:t>。</w:t>
      </w:r>
    </w:p>
    <w:p w14:paraId="105EB72A"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hint="eastAsia"/>
          <w:color w:val="000000" w:themeColor="text1"/>
        </w:rPr>
        <w:t>分析我国节水灌溉与施肥机械化装备应用案例</w:t>
      </w:r>
      <w:r>
        <w:rPr>
          <w:rFonts w:ascii="宋体" w:hAnsi="宋体"/>
          <w:color w:val="000000" w:themeColor="text1"/>
          <w:szCs w:val="21"/>
        </w:rPr>
        <w:t>。</w:t>
      </w:r>
    </w:p>
    <w:p w14:paraId="1CA58054"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六</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植物保护机械装备</w:t>
      </w:r>
    </w:p>
    <w:p w14:paraId="1438E797"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661953DC"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无人机植保机械在我国的应用和发展现状</w:t>
      </w:r>
      <w:r>
        <w:rPr>
          <w:rFonts w:ascii="宋体" w:hAnsi="宋体" w:hint="eastAsia"/>
          <w:color w:val="000000" w:themeColor="text1"/>
          <w:szCs w:val="21"/>
        </w:rPr>
        <w:t>。</w:t>
      </w:r>
    </w:p>
    <w:p w14:paraId="74B30E1D"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植物保护的概念、意义、方法</w:t>
      </w:r>
      <w:r>
        <w:rPr>
          <w:rFonts w:ascii="宋体" w:hAnsi="宋体" w:hint="eastAsia"/>
          <w:color w:val="000000" w:themeColor="text1"/>
          <w:szCs w:val="21"/>
        </w:rPr>
        <w:t>。</w:t>
      </w:r>
    </w:p>
    <w:p w14:paraId="14315DA8"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植保机械的概念、类型，工作原理与应用</w:t>
      </w:r>
      <w:r>
        <w:rPr>
          <w:rFonts w:ascii="宋体" w:hAnsi="宋体" w:hint="eastAsia"/>
          <w:color w:val="000000" w:themeColor="text1"/>
          <w:szCs w:val="21"/>
        </w:rPr>
        <w:t>。</w:t>
      </w:r>
    </w:p>
    <w:p w14:paraId="44E2B7E5"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48B59911" w14:textId="77777777" w:rsidR="00F5289E" w:rsidRDefault="00C91173">
      <w:pPr>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植物保护的概念、意义、方法；植保机械的概念、类型，工作原理与应用，土壤消毒的概念和类型</w:t>
      </w:r>
      <w:r>
        <w:rPr>
          <w:rFonts w:ascii="宋体" w:hAnsi="宋体"/>
          <w:color w:val="000000" w:themeColor="text1"/>
          <w:szCs w:val="21"/>
        </w:rPr>
        <w:t>等。</w:t>
      </w:r>
    </w:p>
    <w:p w14:paraId="79BE08F3" w14:textId="77777777" w:rsidR="00F5289E" w:rsidRDefault="00C91173">
      <w:pPr>
        <w:spacing w:line="360" w:lineRule="auto"/>
        <w:ind w:firstLineChars="200" w:firstLine="420"/>
        <w:rPr>
          <w:color w:val="000000" w:themeColor="text1"/>
          <w:szCs w:val="21"/>
        </w:rPr>
      </w:pPr>
      <w:r>
        <w:rPr>
          <w:rFonts w:ascii="宋体" w:hAnsi="宋体" w:hint="eastAsia"/>
          <w:color w:val="000000" w:themeColor="text1"/>
          <w:szCs w:val="21"/>
        </w:rPr>
        <w:t>能力和素质：</w:t>
      </w:r>
      <w:r>
        <w:rPr>
          <w:rFonts w:hint="eastAsia"/>
          <w:color w:val="000000" w:themeColor="text1"/>
        </w:rPr>
        <w:t>我国和国外植保机械化技术水平现状、存在问题及发展方向</w:t>
      </w:r>
      <w:r>
        <w:rPr>
          <w:rFonts w:ascii="宋体" w:hAnsi="宋体" w:hint="eastAsia"/>
          <w:color w:val="000000" w:themeColor="text1"/>
          <w:szCs w:val="21"/>
        </w:rPr>
        <w:t>。</w:t>
      </w:r>
    </w:p>
    <w:p w14:paraId="0A6A4213"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297586AE"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植物保护的概念、意义、方法</w:t>
      </w:r>
      <w:r>
        <w:rPr>
          <w:rFonts w:ascii="宋体" w:hAnsi="宋体" w:hint="eastAsia"/>
          <w:color w:val="000000" w:themeColor="text1"/>
          <w:szCs w:val="21"/>
        </w:rPr>
        <w:t>。</w:t>
      </w:r>
    </w:p>
    <w:p w14:paraId="1CBC8865"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植保机械的概念、类型，工作原理与应用，土壤消毒的概念和类型</w:t>
      </w:r>
      <w:r>
        <w:rPr>
          <w:rFonts w:ascii="宋体" w:hAnsi="宋体" w:hint="eastAsia"/>
          <w:color w:val="000000" w:themeColor="text1"/>
          <w:szCs w:val="21"/>
        </w:rPr>
        <w:t>。</w:t>
      </w:r>
    </w:p>
    <w:p w14:paraId="07C9539A"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保机械的应用</w:t>
      </w:r>
      <w:r>
        <w:rPr>
          <w:rFonts w:ascii="宋体" w:hAnsi="宋体" w:hint="eastAsia"/>
          <w:color w:val="000000" w:themeColor="text1"/>
          <w:szCs w:val="21"/>
        </w:rPr>
        <w:t>。</w:t>
      </w:r>
    </w:p>
    <w:p w14:paraId="5198E44E"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国外植保机械的现状及发展趋势</w:t>
      </w:r>
      <w:r>
        <w:rPr>
          <w:rFonts w:ascii="宋体" w:hAnsi="宋体" w:hint="eastAsia"/>
          <w:color w:val="000000" w:themeColor="text1"/>
          <w:szCs w:val="21"/>
        </w:rPr>
        <w:t>。</w:t>
      </w:r>
    </w:p>
    <w:p w14:paraId="717B685D"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七</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收获机械装备</w:t>
      </w:r>
      <w:r>
        <w:rPr>
          <w:rFonts w:hint="eastAsia"/>
          <w:b/>
          <w:bCs/>
          <w:color w:val="000000" w:themeColor="text1"/>
        </w:rPr>
        <w:t xml:space="preserve"> </w:t>
      </w:r>
    </w:p>
    <w:p w14:paraId="265FA46F"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3E33F87D"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茶叶机械化装备发展现状和意义</w:t>
      </w:r>
      <w:r>
        <w:rPr>
          <w:rFonts w:ascii="宋体" w:hAnsi="宋体" w:hint="eastAsia"/>
          <w:color w:val="000000" w:themeColor="text1"/>
          <w:szCs w:val="21"/>
        </w:rPr>
        <w:t>。</w:t>
      </w:r>
    </w:p>
    <w:p w14:paraId="6AD095CB"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设施园艺收获机械结构、工作原理和分类</w:t>
      </w:r>
      <w:r>
        <w:rPr>
          <w:rFonts w:ascii="宋体" w:hAnsi="宋体" w:hint="eastAsia"/>
          <w:color w:val="000000" w:themeColor="text1"/>
          <w:szCs w:val="21"/>
        </w:rPr>
        <w:t>。</w:t>
      </w:r>
    </w:p>
    <w:p w14:paraId="5F0F8A66"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掌握叶类蔬菜收获的意义、分类和存在困境、关键技术环节、收获方式和性能指标体系</w:t>
      </w:r>
      <w:r>
        <w:rPr>
          <w:rFonts w:ascii="宋体" w:hAnsi="宋体" w:hint="eastAsia"/>
          <w:color w:val="000000" w:themeColor="text1"/>
          <w:szCs w:val="21"/>
        </w:rPr>
        <w:t>。</w:t>
      </w:r>
    </w:p>
    <w:p w14:paraId="723D5C6B"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370F6E41" w14:textId="77777777" w:rsidR="00F5289E" w:rsidRDefault="00C91173">
      <w:pPr>
        <w:tabs>
          <w:tab w:val="left" w:pos="4770"/>
        </w:tabs>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蔬菜收获机械的分类及机械结构、工作原理</w:t>
      </w:r>
      <w:r>
        <w:rPr>
          <w:rFonts w:ascii="宋体" w:hAnsi="宋体"/>
          <w:color w:val="000000" w:themeColor="text1"/>
          <w:szCs w:val="21"/>
        </w:rPr>
        <w:t>等。</w:t>
      </w:r>
    </w:p>
    <w:p w14:paraId="66059757"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w:t>
      </w:r>
      <w:r>
        <w:rPr>
          <w:rFonts w:hint="eastAsia"/>
          <w:color w:val="000000" w:themeColor="text1"/>
        </w:rPr>
        <w:t>熟悉我国蔬菜、水果、茶叶收获机械的发展现状、存在问题和前景</w:t>
      </w:r>
      <w:r>
        <w:rPr>
          <w:rFonts w:ascii="宋体" w:hAnsi="宋体" w:hint="eastAsia"/>
          <w:color w:val="000000" w:themeColor="text1"/>
          <w:szCs w:val="21"/>
        </w:rPr>
        <w:t>。</w:t>
      </w:r>
    </w:p>
    <w:p w14:paraId="7F8BDBBD"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3379DA85"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设施园艺收获机械结构、工作原理和分类</w:t>
      </w:r>
      <w:r>
        <w:rPr>
          <w:rFonts w:ascii="宋体" w:hAnsi="宋体" w:hint="eastAsia"/>
          <w:color w:val="000000" w:themeColor="text1"/>
          <w:szCs w:val="21"/>
        </w:rPr>
        <w:t>。</w:t>
      </w:r>
    </w:p>
    <w:p w14:paraId="64C0F9B4"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设施园艺收获的意义和必要性</w:t>
      </w:r>
      <w:r>
        <w:rPr>
          <w:rFonts w:ascii="宋体" w:hAnsi="宋体" w:hint="eastAsia"/>
          <w:color w:val="000000" w:themeColor="text1"/>
          <w:szCs w:val="21"/>
        </w:rPr>
        <w:t>。</w:t>
      </w:r>
    </w:p>
    <w:p w14:paraId="5A3862FA"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蔬菜收获机械的应用</w:t>
      </w:r>
      <w:r>
        <w:rPr>
          <w:rFonts w:ascii="宋体" w:hAnsi="宋体" w:hint="eastAsia"/>
          <w:color w:val="000000" w:themeColor="text1"/>
          <w:szCs w:val="21"/>
        </w:rPr>
        <w:t>。</w:t>
      </w:r>
    </w:p>
    <w:p w14:paraId="403A02F0"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蔬菜收获机械发展现状、存在问题及发展方向</w:t>
      </w:r>
      <w:r>
        <w:rPr>
          <w:rFonts w:ascii="宋体" w:hAnsi="宋体" w:hint="eastAsia"/>
          <w:color w:val="000000" w:themeColor="text1"/>
          <w:szCs w:val="21"/>
        </w:rPr>
        <w:t>。</w:t>
      </w:r>
    </w:p>
    <w:p w14:paraId="0C8F7D2B"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lastRenderedPageBreak/>
        <w:t>第</w:t>
      </w:r>
      <w:r>
        <w:rPr>
          <w:rFonts w:ascii="宋体" w:hAnsi="宋体" w:hint="eastAsia"/>
          <w:b/>
          <w:bCs/>
          <w:color w:val="000000" w:themeColor="text1"/>
          <w:szCs w:val="21"/>
        </w:rPr>
        <w:t>八</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专题讨论</w:t>
      </w:r>
      <w:r>
        <w:rPr>
          <w:rFonts w:hint="eastAsia"/>
          <w:b/>
          <w:bCs/>
          <w:color w:val="000000" w:themeColor="text1"/>
        </w:rPr>
        <w:t xml:space="preserve"> </w:t>
      </w:r>
      <w:r>
        <w:rPr>
          <w:rFonts w:hint="eastAsia"/>
          <w:b/>
          <w:bCs/>
          <w:color w:val="000000" w:themeColor="text1"/>
        </w:rPr>
        <w:t>农业机器人和植物工厂</w:t>
      </w:r>
      <w:r>
        <w:rPr>
          <w:rFonts w:hint="eastAsia"/>
          <w:b/>
          <w:bCs/>
          <w:color w:val="000000" w:themeColor="text1"/>
        </w:rPr>
        <w:t xml:space="preserve"> </w:t>
      </w:r>
    </w:p>
    <w:p w14:paraId="77C19523"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58835A99"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我国农业机器人和植物工厂发展现状、存在问题和前景</w:t>
      </w:r>
      <w:r>
        <w:rPr>
          <w:rFonts w:ascii="宋体" w:hAnsi="宋体" w:hint="eastAsia"/>
          <w:color w:val="000000" w:themeColor="text1"/>
          <w:szCs w:val="21"/>
        </w:rPr>
        <w:t>。</w:t>
      </w:r>
    </w:p>
    <w:p w14:paraId="4237753A"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我国农业机器人和植物工厂的概念</w:t>
      </w:r>
      <w:r>
        <w:rPr>
          <w:rFonts w:ascii="宋体" w:hAnsi="宋体" w:hint="eastAsia"/>
          <w:color w:val="000000" w:themeColor="text1"/>
          <w:szCs w:val="21"/>
        </w:rPr>
        <w:t>。</w:t>
      </w:r>
    </w:p>
    <w:p w14:paraId="6498FD26"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我国农业机器人和植物工厂的分类及应用</w:t>
      </w:r>
      <w:r>
        <w:rPr>
          <w:rFonts w:ascii="宋体" w:hAnsi="宋体" w:hint="eastAsia"/>
          <w:color w:val="000000" w:themeColor="text1"/>
          <w:szCs w:val="21"/>
        </w:rPr>
        <w:t>。</w:t>
      </w:r>
    </w:p>
    <w:p w14:paraId="5C3474CB"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63716F5A" w14:textId="77777777" w:rsidR="00F5289E" w:rsidRDefault="00C91173">
      <w:pPr>
        <w:tabs>
          <w:tab w:val="left" w:pos="4770"/>
        </w:tabs>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农业机器人和植物工厂的概念、发展现状</w:t>
      </w:r>
      <w:r>
        <w:rPr>
          <w:rFonts w:ascii="宋体" w:hAnsi="宋体"/>
          <w:color w:val="000000" w:themeColor="text1"/>
          <w:szCs w:val="21"/>
        </w:rPr>
        <w:t>等。</w:t>
      </w:r>
    </w:p>
    <w:p w14:paraId="11C9C736"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能力和素质：学会分析</w:t>
      </w:r>
      <w:r>
        <w:rPr>
          <w:rFonts w:hint="eastAsia"/>
          <w:color w:val="000000" w:themeColor="text1"/>
        </w:rPr>
        <w:t>我国农业机器人和植物工厂发展现状、存在问题和前景</w:t>
      </w:r>
      <w:r>
        <w:rPr>
          <w:rFonts w:ascii="宋体" w:hAnsi="宋体" w:hint="eastAsia"/>
          <w:color w:val="000000" w:themeColor="text1"/>
          <w:szCs w:val="21"/>
        </w:rPr>
        <w:t>。</w:t>
      </w:r>
    </w:p>
    <w:p w14:paraId="04EC0B3B"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6E779B24"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农业机器人和植物工厂的概念</w:t>
      </w:r>
      <w:r>
        <w:rPr>
          <w:rFonts w:ascii="宋体" w:hAnsi="宋体" w:hint="eastAsia"/>
          <w:color w:val="000000" w:themeColor="text1"/>
          <w:szCs w:val="21"/>
        </w:rPr>
        <w:t>。</w:t>
      </w:r>
    </w:p>
    <w:p w14:paraId="7D87A391"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农业机器人和植物工厂发展现状、存在问题和前景</w:t>
      </w:r>
      <w:r>
        <w:rPr>
          <w:rFonts w:ascii="宋体" w:hAnsi="宋体" w:hint="eastAsia"/>
          <w:color w:val="000000" w:themeColor="text1"/>
          <w:szCs w:val="21"/>
        </w:rPr>
        <w:t>。</w:t>
      </w:r>
    </w:p>
    <w:p w14:paraId="579AFCAB"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农业机器人和植物工厂的应用</w:t>
      </w:r>
      <w:r>
        <w:rPr>
          <w:rFonts w:ascii="宋体" w:hAnsi="宋体" w:hint="eastAsia"/>
          <w:color w:val="000000" w:themeColor="text1"/>
          <w:szCs w:val="21"/>
        </w:rPr>
        <w:t>。</w:t>
      </w:r>
    </w:p>
    <w:p w14:paraId="6FDC03DC"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农业机器人和植物工厂存在的问题和前景</w:t>
      </w:r>
      <w:r>
        <w:rPr>
          <w:rFonts w:ascii="宋体" w:hAnsi="宋体" w:hint="eastAsia"/>
          <w:color w:val="000000" w:themeColor="text1"/>
          <w:szCs w:val="21"/>
        </w:rPr>
        <w:t>。</w:t>
      </w:r>
    </w:p>
    <w:p w14:paraId="668D03A8"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九</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农业生产信息化技术</w:t>
      </w:r>
    </w:p>
    <w:p w14:paraId="4AD2443C"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7F908377"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国内研究农业信息化的专家和团队；设施农业控制技术和远程诊断技术应用案例</w:t>
      </w:r>
      <w:r>
        <w:rPr>
          <w:rFonts w:ascii="宋体" w:hAnsi="宋体" w:hint="eastAsia"/>
          <w:color w:val="000000" w:themeColor="text1"/>
          <w:szCs w:val="21"/>
        </w:rPr>
        <w:t>。</w:t>
      </w:r>
    </w:p>
    <w:p w14:paraId="66106BFB"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农业信息化的概念、目的和特征；设施农业控制技术和远程诊断技术的组成、技术要求和应用</w:t>
      </w:r>
      <w:r>
        <w:rPr>
          <w:rFonts w:ascii="宋体" w:hAnsi="宋体" w:hint="eastAsia"/>
          <w:color w:val="000000" w:themeColor="text1"/>
          <w:szCs w:val="21"/>
        </w:rPr>
        <w:t>。</w:t>
      </w:r>
    </w:p>
    <w:p w14:paraId="1F0B70D9"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农业专家系统的概念、结构、特点与应用</w:t>
      </w:r>
      <w:r>
        <w:rPr>
          <w:rFonts w:ascii="宋体" w:hAnsi="宋体" w:hint="eastAsia"/>
          <w:color w:val="000000" w:themeColor="text1"/>
          <w:szCs w:val="21"/>
        </w:rPr>
        <w:t>。</w:t>
      </w:r>
    </w:p>
    <w:p w14:paraId="14F5078E"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172F9A72" w14:textId="77777777" w:rsidR="00F5289E" w:rsidRDefault="00C91173">
      <w:pPr>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农业信息化技术、</w:t>
      </w:r>
      <w:r>
        <w:rPr>
          <w:rFonts w:hint="eastAsia"/>
          <w:color w:val="000000" w:themeColor="text1"/>
        </w:rPr>
        <w:t xml:space="preserve"> </w:t>
      </w:r>
      <w:r>
        <w:rPr>
          <w:rFonts w:hint="eastAsia"/>
          <w:color w:val="000000" w:themeColor="text1"/>
        </w:rPr>
        <w:t>农业专家系统农业信息化</w:t>
      </w:r>
      <w:r>
        <w:rPr>
          <w:rFonts w:ascii="宋体" w:hAnsi="宋体"/>
          <w:color w:val="000000" w:themeColor="text1"/>
          <w:szCs w:val="21"/>
        </w:rPr>
        <w:t>等。</w:t>
      </w:r>
    </w:p>
    <w:p w14:paraId="1844C24F"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能力和素质：学会分析</w:t>
      </w:r>
      <w:r>
        <w:rPr>
          <w:rFonts w:hint="eastAsia"/>
          <w:color w:val="000000" w:themeColor="text1"/>
        </w:rPr>
        <w:t>农业信息化的现状和发展方向</w:t>
      </w:r>
      <w:r>
        <w:rPr>
          <w:rFonts w:ascii="宋体" w:hAnsi="宋体" w:hint="eastAsia"/>
          <w:color w:val="000000" w:themeColor="text1"/>
          <w:szCs w:val="21"/>
        </w:rPr>
        <w:t>。</w:t>
      </w:r>
    </w:p>
    <w:p w14:paraId="20DF21B3"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2B1C9111"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农业信息化的概念、目的、特征和内涵</w:t>
      </w:r>
      <w:r>
        <w:rPr>
          <w:rFonts w:ascii="宋体" w:hAnsi="宋体" w:hint="eastAsia"/>
          <w:color w:val="000000" w:themeColor="text1"/>
          <w:szCs w:val="21"/>
        </w:rPr>
        <w:t>。</w:t>
      </w:r>
    </w:p>
    <w:p w14:paraId="01F60622"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农业专家系统的概念、结构、特点；设施农业控制技术和远程诊断技术发展现状</w:t>
      </w:r>
      <w:r>
        <w:rPr>
          <w:rFonts w:ascii="宋体" w:hAnsi="宋体" w:hint="eastAsia"/>
          <w:color w:val="000000" w:themeColor="text1"/>
          <w:szCs w:val="21"/>
        </w:rPr>
        <w:t>。</w:t>
      </w:r>
    </w:p>
    <w:p w14:paraId="5655E85E"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农业专家系统的应用</w:t>
      </w:r>
      <w:r>
        <w:rPr>
          <w:rFonts w:ascii="宋体" w:hAnsi="宋体" w:hint="eastAsia"/>
          <w:color w:val="000000" w:themeColor="text1"/>
          <w:szCs w:val="21"/>
        </w:rPr>
        <w:t>。</w:t>
      </w:r>
    </w:p>
    <w:p w14:paraId="38C049D3"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国内外农业信息化的现状和发展方向；设施农业控制技术和远程诊断技术应用案例</w:t>
      </w:r>
      <w:r>
        <w:rPr>
          <w:rFonts w:ascii="宋体" w:hAnsi="宋体" w:hint="eastAsia"/>
          <w:color w:val="000000" w:themeColor="text1"/>
          <w:szCs w:val="21"/>
        </w:rPr>
        <w:t>。</w:t>
      </w:r>
    </w:p>
    <w:p w14:paraId="43DCEECE"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十</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智慧农业</w:t>
      </w:r>
      <w:r>
        <w:rPr>
          <w:rFonts w:hint="eastAsia"/>
          <w:b/>
          <w:bCs/>
          <w:color w:val="000000" w:themeColor="text1"/>
        </w:rPr>
        <w:t xml:space="preserve"> </w:t>
      </w:r>
    </w:p>
    <w:p w14:paraId="0DC235CC"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6E96883B"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lastRenderedPageBreak/>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智慧农业的误区与壁垒</w:t>
      </w:r>
      <w:r>
        <w:rPr>
          <w:rFonts w:ascii="宋体" w:hAnsi="宋体" w:hint="eastAsia"/>
          <w:color w:val="000000" w:themeColor="text1"/>
          <w:szCs w:val="21"/>
        </w:rPr>
        <w:t>。</w:t>
      </w:r>
    </w:p>
    <w:p w14:paraId="1FF53752"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互联网</w:t>
      </w:r>
      <w:r>
        <w:rPr>
          <w:rFonts w:hint="eastAsia"/>
          <w:color w:val="000000" w:themeColor="text1"/>
        </w:rPr>
        <w:t>+</w:t>
      </w:r>
      <w:r>
        <w:rPr>
          <w:rFonts w:hint="eastAsia"/>
          <w:color w:val="000000" w:themeColor="text1"/>
        </w:rPr>
        <w:t>农业的概念和必然性</w:t>
      </w:r>
      <w:r>
        <w:rPr>
          <w:rFonts w:ascii="宋体" w:hAnsi="宋体" w:hint="eastAsia"/>
          <w:color w:val="000000" w:themeColor="text1"/>
          <w:szCs w:val="21"/>
        </w:rPr>
        <w:t>。</w:t>
      </w:r>
    </w:p>
    <w:p w14:paraId="1D58103F"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智慧农业的基本内涵与特征、建设内容和发展的基本路径</w:t>
      </w:r>
      <w:r>
        <w:rPr>
          <w:rFonts w:ascii="宋体" w:hAnsi="宋体" w:hint="eastAsia"/>
          <w:color w:val="000000" w:themeColor="text1"/>
          <w:szCs w:val="21"/>
        </w:rPr>
        <w:t>。</w:t>
      </w:r>
    </w:p>
    <w:p w14:paraId="5673F0FD"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38F10B47" w14:textId="77777777" w:rsidR="00F5289E" w:rsidRDefault="00C91173">
      <w:pPr>
        <w:tabs>
          <w:tab w:val="left" w:pos="4770"/>
        </w:tabs>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智慧农业的基本内涵与特征、建设内容和发展的基本路径</w:t>
      </w:r>
      <w:r>
        <w:rPr>
          <w:rFonts w:ascii="宋体" w:hAnsi="宋体"/>
          <w:color w:val="000000" w:themeColor="text1"/>
          <w:szCs w:val="21"/>
        </w:rPr>
        <w:t>等。</w:t>
      </w:r>
    </w:p>
    <w:p w14:paraId="124A75D1"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能力和素质：学会分析</w:t>
      </w:r>
      <w:r>
        <w:rPr>
          <w:rFonts w:hint="eastAsia"/>
          <w:color w:val="000000" w:themeColor="text1"/>
        </w:rPr>
        <w:t>我国智慧农业的建议依据和必要性，存在问题和发展方向</w:t>
      </w:r>
      <w:r>
        <w:rPr>
          <w:rFonts w:ascii="宋体" w:hAnsi="宋体" w:hint="eastAsia"/>
          <w:color w:val="000000" w:themeColor="text1"/>
          <w:szCs w:val="21"/>
        </w:rPr>
        <w:t>。</w:t>
      </w:r>
    </w:p>
    <w:p w14:paraId="4D96904B"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242A5E05"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智慧农业的基本内涵与特征</w:t>
      </w:r>
      <w:r>
        <w:rPr>
          <w:rFonts w:ascii="宋体" w:hAnsi="宋体" w:hint="eastAsia"/>
          <w:color w:val="000000" w:themeColor="text1"/>
          <w:szCs w:val="21"/>
        </w:rPr>
        <w:t>。</w:t>
      </w:r>
    </w:p>
    <w:p w14:paraId="0865B851"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智慧农业的误区与壁垒；互联网</w:t>
      </w:r>
      <w:r>
        <w:rPr>
          <w:rFonts w:hint="eastAsia"/>
          <w:color w:val="000000" w:themeColor="text1"/>
        </w:rPr>
        <w:t>+</w:t>
      </w:r>
      <w:r>
        <w:rPr>
          <w:rFonts w:hint="eastAsia"/>
          <w:color w:val="000000" w:themeColor="text1"/>
        </w:rPr>
        <w:t>农业的概念和必然性</w:t>
      </w:r>
      <w:r>
        <w:rPr>
          <w:rFonts w:ascii="宋体" w:hAnsi="宋体" w:hint="eastAsia"/>
          <w:color w:val="000000" w:themeColor="text1"/>
          <w:szCs w:val="21"/>
        </w:rPr>
        <w:t>。</w:t>
      </w:r>
    </w:p>
    <w:p w14:paraId="415CAE61"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智慧农业与大数据结合</w:t>
      </w:r>
      <w:r>
        <w:rPr>
          <w:rFonts w:ascii="宋体" w:hAnsi="宋体" w:hint="eastAsia"/>
          <w:color w:val="000000" w:themeColor="text1"/>
          <w:szCs w:val="21"/>
        </w:rPr>
        <w:t>。</w:t>
      </w:r>
    </w:p>
    <w:p w14:paraId="1B9A867F"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智慧农业案例</w:t>
      </w:r>
      <w:r>
        <w:rPr>
          <w:rFonts w:ascii="宋体" w:hAnsi="宋体" w:hint="eastAsia"/>
          <w:color w:val="000000" w:themeColor="text1"/>
          <w:szCs w:val="21"/>
        </w:rPr>
        <w:t>。</w:t>
      </w:r>
    </w:p>
    <w:p w14:paraId="12268603"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十一</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农业推广信息服务</w:t>
      </w:r>
      <w:r>
        <w:rPr>
          <w:rFonts w:hint="eastAsia"/>
          <w:b/>
          <w:bCs/>
          <w:color w:val="000000" w:themeColor="text1"/>
        </w:rPr>
        <w:t xml:space="preserve">  </w:t>
      </w:r>
    </w:p>
    <w:p w14:paraId="6AEFECB1"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115826B5"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农业信息的种类和内容、农业信息的来源与特性、农业信息化和信息农业</w:t>
      </w:r>
      <w:r>
        <w:rPr>
          <w:rFonts w:ascii="宋体" w:hAnsi="宋体" w:hint="eastAsia"/>
          <w:color w:val="000000" w:themeColor="text1"/>
          <w:szCs w:val="21"/>
        </w:rPr>
        <w:t>。</w:t>
      </w:r>
    </w:p>
    <w:p w14:paraId="7DD1B083"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农业信息和农业信息化的含义、农业推广信息系统的相关概念</w:t>
      </w:r>
      <w:r>
        <w:rPr>
          <w:rFonts w:ascii="宋体" w:hAnsi="宋体" w:hint="eastAsia"/>
          <w:color w:val="000000" w:themeColor="text1"/>
          <w:szCs w:val="21"/>
        </w:rPr>
        <w:t>。</w:t>
      </w:r>
    </w:p>
    <w:p w14:paraId="706D8BB8"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农业推广信息系统的利用途径、农业推广信息系统的应用技术</w:t>
      </w:r>
      <w:r>
        <w:rPr>
          <w:rFonts w:ascii="宋体" w:hAnsi="宋体" w:hint="eastAsia"/>
          <w:color w:val="000000" w:themeColor="text1"/>
          <w:szCs w:val="21"/>
        </w:rPr>
        <w:t>。</w:t>
      </w:r>
    </w:p>
    <w:p w14:paraId="3596150B"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59B222EF" w14:textId="77777777" w:rsidR="00F5289E" w:rsidRDefault="00C91173">
      <w:pPr>
        <w:tabs>
          <w:tab w:val="left" w:pos="4770"/>
        </w:tabs>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农业信息和农业信息化的含义、农业推广信息系统的相关概念；农业推广信息系统的利用途径、农业推广信息系统的应用技术</w:t>
      </w:r>
      <w:r>
        <w:rPr>
          <w:rFonts w:ascii="宋体" w:hAnsi="宋体"/>
          <w:color w:val="000000" w:themeColor="text1"/>
          <w:szCs w:val="21"/>
        </w:rPr>
        <w:t>等。</w:t>
      </w:r>
    </w:p>
    <w:p w14:paraId="21F2FFCC"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w:t>
      </w:r>
      <w:r>
        <w:rPr>
          <w:rFonts w:hint="eastAsia"/>
          <w:color w:val="000000" w:themeColor="text1"/>
        </w:rPr>
        <w:t>掌握提高促进农业推广信息服务的理论知识和实践技能</w:t>
      </w:r>
      <w:r>
        <w:rPr>
          <w:rFonts w:ascii="宋体" w:hAnsi="宋体" w:hint="eastAsia"/>
          <w:color w:val="000000" w:themeColor="text1"/>
          <w:szCs w:val="21"/>
        </w:rPr>
        <w:t>。</w:t>
      </w:r>
    </w:p>
    <w:p w14:paraId="024BE7D7"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3509D575"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农业信息和农业信息化的含义、农业推广信息系统的相关概念</w:t>
      </w:r>
      <w:r>
        <w:rPr>
          <w:rFonts w:ascii="宋体" w:hAnsi="宋体" w:hint="eastAsia"/>
          <w:color w:val="000000" w:themeColor="text1"/>
          <w:szCs w:val="21"/>
        </w:rPr>
        <w:t>。</w:t>
      </w:r>
    </w:p>
    <w:p w14:paraId="554EC5BE"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农业信息的种类和内容、农业信息的来源与特性、农业信息化和信息农业</w:t>
      </w:r>
      <w:r>
        <w:rPr>
          <w:rFonts w:ascii="宋体" w:hAnsi="宋体" w:hint="eastAsia"/>
          <w:color w:val="000000" w:themeColor="text1"/>
          <w:szCs w:val="21"/>
        </w:rPr>
        <w:t>。</w:t>
      </w:r>
    </w:p>
    <w:p w14:paraId="4A04EB81"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农业推广信息系统的应用</w:t>
      </w:r>
      <w:r>
        <w:rPr>
          <w:rFonts w:ascii="宋体" w:hAnsi="宋体" w:hint="eastAsia"/>
          <w:color w:val="000000" w:themeColor="text1"/>
          <w:szCs w:val="21"/>
        </w:rPr>
        <w:t>。</w:t>
      </w:r>
    </w:p>
    <w:p w14:paraId="39CB99C4"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hint="eastAsia"/>
          <w:color w:val="000000" w:themeColor="text1"/>
        </w:rPr>
        <w:t>探讨提高农业推广信息服务质量的基本途径</w:t>
      </w:r>
      <w:r>
        <w:rPr>
          <w:rFonts w:ascii="宋体" w:hAnsi="宋体" w:hint="eastAsia"/>
          <w:color w:val="000000" w:themeColor="text1"/>
          <w:szCs w:val="21"/>
        </w:rPr>
        <w:t>。</w:t>
      </w:r>
    </w:p>
    <w:p w14:paraId="52D6CF3D"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十二</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农业经营与管理信息化</w:t>
      </w:r>
      <w:r>
        <w:rPr>
          <w:rFonts w:hint="eastAsia"/>
          <w:b/>
          <w:bCs/>
          <w:color w:val="000000" w:themeColor="text1"/>
        </w:rPr>
        <w:t xml:space="preserve">  </w:t>
      </w:r>
    </w:p>
    <w:p w14:paraId="15D94B9A"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4C3610C3"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电子商务在促进农业经营信息化中的作用</w:t>
      </w:r>
      <w:r>
        <w:rPr>
          <w:rFonts w:ascii="宋体" w:hAnsi="宋体" w:hint="eastAsia"/>
          <w:color w:val="000000" w:themeColor="text1"/>
          <w:szCs w:val="21"/>
        </w:rPr>
        <w:t>。</w:t>
      </w:r>
    </w:p>
    <w:p w14:paraId="512DDD0F"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农业经营、管理信息化的概念和提升水平的相关措施</w:t>
      </w:r>
      <w:r>
        <w:rPr>
          <w:rFonts w:ascii="宋体" w:hAnsi="宋体" w:hint="eastAsia"/>
          <w:color w:val="000000" w:themeColor="text1"/>
          <w:szCs w:val="21"/>
        </w:rPr>
        <w:t>。</w:t>
      </w:r>
    </w:p>
    <w:p w14:paraId="67866895"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农业农村政务管理信息化、社会管理信息化的发展现状和趋势</w:t>
      </w:r>
      <w:r>
        <w:rPr>
          <w:rFonts w:ascii="宋体" w:hAnsi="宋体" w:hint="eastAsia"/>
          <w:color w:val="000000" w:themeColor="text1"/>
          <w:szCs w:val="21"/>
        </w:rPr>
        <w:t>。</w:t>
      </w:r>
    </w:p>
    <w:p w14:paraId="2A66F7B1"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4B3919CA" w14:textId="77777777" w:rsidR="00F5289E" w:rsidRDefault="00C91173">
      <w:pPr>
        <w:spacing w:line="360" w:lineRule="auto"/>
        <w:rPr>
          <w:rFonts w:ascii="宋体" w:hAnsi="宋体"/>
          <w:color w:val="000000" w:themeColor="text1"/>
          <w:szCs w:val="21"/>
        </w:rPr>
      </w:pPr>
      <w:r>
        <w:rPr>
          <w:rFonts w:ascii="宋体" w:hAnsi="宋体" w:hint="eastAsia"/>
          <w:color w:val="000000" w:themeColor="text1"/>
          <w:szCs w:val="21"/>
        </w:rPr>
        <w:lastRenderedPageBreak/>
        <w:t>知识：</w:t>
      </w:r>
      <w:r>
        <w:rPr>
          <w:rFonts w:hint="eastAsia"/>
          <w:color w:val="000000" w:themeColor="text1"/>
        </w:rPr>
        <w:t>农业经营、管理信息化的概念和提升水平的相关措施；电子商务的概念及农业经营信息化的作用；农业农村政务管理信息化、社会管理信息化的发展现状、趋势和政策</w:t>
      </w:r>
      <w:r>
        <w:rPr>
          <w:rFonts w:ascii="宋体" w:hAnsi="宋体"/>
          <w:color w:val="000000" w:themeColor="text1"/>
          <w:szCs w:val="21"/>
        </w:rPr>
        <w:t>等。</w:t>
      </w:r>
    </w:p>
    <w:p w14:paraId="689F4813"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能力和素质：学会分</w:t>
      </w:r>
      <w:r>
        <w:rPr>
          <w:rFonts w:hint="eastAsia"/>
          <w:color w:val="000000" w:themeColor="text1"/>
        </w:rPr>
        <w:t>析农业经营与管理信息化的发展现状、存在问题和前景</w:t>
      </w:r>
      <w:r>
        <w:rPr>
          <w:rFonts w:ascii="宋体" w:hAnsi="宋体" w:hint="eastAsia"/>
          <w:color w:val="000000" w:themeColor="text1"/>
          <w:szCs w:val="21"/>
        </w:rPr>
        <w:t>。</w:t>
      </w:r>
    </w:p>
    <w:p w14:paraId="419CFE1C"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3ECD3FA7"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农业经营、管理信息化的概念</w:t>
      </w:r>
      <w:r>
        <w:rPr>
          <w:rFonts w:ascii="宋体" w:hAnsi="宋体" w:hint="eastAsia"/>
          <w:color w:val="000000" w:themeColor="text1"/>
          <w:szCs w:val="21"/>
        </w:rPr>
        <w:t>。</w:t>
      </w:r>
    </w:p>
    <w:p w14:paraId="630FCE72"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农业经营、管理信息化提升水平的相关措施</w:t>
      </w:r>
      <w:r>
        <w:rPr>
          <w:rFonts w:ascii="宋体" w:hAnsi="宋体" w:hint="eastAsia"/>
          <w:color w:val="000000" w:themeColor="text1"/>
          <w:szCs w:val="21"/>
        </w:rPr>
        <w:t>。</w:t>
      </w:r>
    </w:p>
    <w:p w14:paraId="706FD104"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农业经营与管理信息化的应用</w:t>
      </w:r>
      <w:r>
        <w:rPr>
          <w:rFonts w:ascii="宋体" w:hAnsi="宋体" w:hint="eastAsia"/>
          <w:color w:val="000000" w:themeColor="text1"/>
          <w:szCs w:val="21"/>
        </w:rPr>
        <w:t>。</w:t>
      </w:r>
    </w:p>
    <w:p w14:paraId="0CB26BFC"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农业农村政务管理信息化、社会管理信息化的发展现状、趋势和政策</w:t>
      </w:r>
      <w:r>
        <w:rPr>
          <w:rFonts w:ascii="宋体" w:hAnsi="宋体" w:hint="eastAsia"/>
          <w:color w:val="000000" w:themeColor="text1"/>
          <w:szCs w:val="21"/>
        </w:rPr>
        <w:t>。</w:t>
      </w:r>
    </w:p>
    <w:p w14:paraId="33E55AD2" w14:textId="77777777" w:rsidR="00F5289E" w:rsidRDefault="00C91173">
      <w:pPr>
        <w:spacing w:line="360" w:lineRule="auto"/>
        <w:ind w:firstLineChars="200" w:firstLine="422"/>
        <w:jc w:val="center"/>
        <w:rPr>
          <w:b/>
          <w:bCs/>
          <w:color w:val="000000" w:themeColor="text1"/>
          <w:szCs w:val="21"/>
        </w:rPr>
      </w:pPr>
      <w:r>
        <w:rPr>
          <w:rFonts w:ascii="宋体" w:hAnsi="宋体"/>
          <w:b/>
          <w:bCs/>
          <w:color w:val="000000" w:themeColor="text1"/>
          <w:szCs w:val="21"/>
        </w:rPr>
        <w:t>第</w:t>
      </w:r>
      <w:r>
        <w:rPr>
          <w:rFonts w:ascii="宋体" w:hAnsi="宋体" w:hint="eastAsia"/>
          <w:b/>
          <w:bCs/>
          <w:color w:val="000000" w:themeColor="text1"/>
          <w:szCs w:val="21"/>
        </w:rPr>
        <w:t>十三</w:t>
      </w:r>
      <w:r>
        <w:rPr>
          <w:rFonts w:ascii="宋体" w:hAnsi="宋体"/>
          <w:b/>
          <w:bCs/>
          <w:color w:val="000000" w:themeColor="text1"/>
          <w:szCs w:val="21"/>
        </w:rPr>
        <w:t>章</w:t>
      </w:r>
      <w:r>
        <w:rPr>
          <w:b/>
          <w:bCs/>
          <w:color w:val="000000" w:themeColor="text1"/>
          <w:szCs w:val="21"/>
        </w:rPr>
        <w:t xml:space="preserve">  </w:t>
      </w:r>
      <w:r>
        <w:rPr>
          <w:rFonts w:hint="eastAsia"/>
          <w:b/>
          <w:bCs/>
          <w:color w:val="000000" w:themeColor="text1"/>
        </w:rPr>
        <w:t>农业数字化理论与案例分析</w:t>
      </w:r>
      <w:r>
        <w:rPr>
          <w:rFonts w:hint="eastAsia"/>
          <w:b/>
          <w:bCs/>
          <w:color w:val="000000" w:themeColor="text1"/>
        </w:rPr>
        <w:t xml:space="preserve">  </w:t>
      </w:r>
    </w:p>
    <w:p w14:paraId="00D9ED94" w14:textId="77777777" w:rsidR="00F5289E" w:rsidRDefault="00C91173">
      <w:pPr>
        <w:snapToGrid w:val="0"/>
        <w:spacing w:line="360" w:lineRule="auto"/>
        <w:rPr>
          <w:rFonts w:ascii="宋体" w:hAnsi="宋体"/>
          <w:b/>
          <w:bCs/>
          <w:color w:val="000000" w:themeColor="text1"/>
          <w:szCs w:val="21"/>
        </w:rPr>
      </w:pPr>
      <w:r>
        <w:rPr>
          <w:rFonts w:ascii="宋体" w:hAnsi="宋体" w:hint="eastAsia"/>
          <w:b/>
          <w:bCs/>
          <w:color w:val="000000" w:themeColor="text1"/>
        </w:rPr>
        <w:t>（一）学习目标</w:t>
      </w:r>
    </w:p>
    <w:p w14:paraId="437BFE96" w14:textId="77777777" w:rsidR="00F5289E" w:rsidRDefault="00C91173">
      <w:pPr>
        <w:snapToGrid w:val="0"/>
        <w:spacing w:line="360" w:lineRule="auto"/>
        <w:ind w:firstLineChars="200" w:firstLine="422"/>
        <w:rPr>
          <w:color w:val="000000" w:themeColor="text1"/>
          <w:szCs w:val="21"/>
        </w:rPr>
      </w:pPr>
      <w:r>
        <w:rPr>
          <w:rFonts w:hint="eastAsia"/>
          <w:b/>
          <w:bCs/>
          <w:color w:val="000000" w:themeColor="text1"/>
          <w:szCs w:val="21"/>
        </w:rPr>
        <w:t>1</w:t>
      </w:r>
      <w:r>
        <w:rPr>
          <w:b/>
          <w:bCs/>
          <w:color w:val="000000" w:themeColor="text1"/>
          <w:szCs w:val="21"/>
        </w:rPr>
        <w:t>.</w:t>
      </w:r>
      <w:r>
        <w:rPr>
          <w:rFonts w:hint="eastAsia"/>
          <w:b/>
          <w:bCs/>
          <w:color w:val="000000" w:themeColor="text1"/>
          <w:szCs w:val="21"/>
        </w:rPr>
        <w:t xml:space="preserve"> </w:t>
      </w:r>
      <w:r>
        <w:rPr>
          <w:rFonts w:ascii="宋体" w:hAnsi="宋体"/>
          <w:b/>
          <w:bCs/>
          <w:color w:val="000000" w:themeColor="text1"/>
          <w:szCs w:val="21"/>
        </w:rPr>
        <w:t>一般了解</w:t>
      </w:r>
      <w:r>
        <w:rPr>
          <w:rFonts w:ascii="宋体" w:hAnsi="宋体"/>
          <w:color w:val="000000" w:themeColor="text1"/>
          <w:szCs w:val="21"/>
        </w:rPr>
        <w:t>：</w:t>
      </w:r>
      <w:r>
        <w:rPr>
          <w:rFonts w:hint="eastAsia"/>
          <w:color w:val="000000" w:themeColor="text1"/>
        </w:rPr>
        <w:t>国内外农业数字化现状、我国农业数字化的政策、存在问题和发展前景</w:t>
      </w:r>
      <w:r>
        <w:rPr>
          <w:rFonts w:ascii="宋体" w:hAnsi="宋体" w:hint="eastAsia"/>
          <w:color w:val="000000" w:themeColor="text1"/>
          <w:szCs w:val="21"/>
        </w:rPr>
        <w:t>。</w:t>
      </w:r>
    </w:p>
    <w:p w14:paraId="06E2A6B3"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2. </w:t>
      </w:r>
      <w:r>
        <w:rPr>
          <w:rFonts w:ascii="宋体" w:hAnsi="宋体"/>
          <w:b/>
          <w:bCs/>
          <w:color w:val="000000" w:themeColor="text1"/>
          <w:szCs w:val="21"/>
        </w:rPr>
        <w:t>一般掌握</w:t>
      </w:r>
      <w:r>
        <w:rPr>
          <w:rFonts w:ascii="宋体" w:hAnsi="宋体"/>
          <w:color w:val="000000" w:themeColor="text1"/>
          <w:szCs w:val="21"/>
        </w:rPr>
        <w:t>：</w:t>
      </w:r>
      <w:r>
        <w:rPr>
          <w:rFonts w:hint="eastAsia"/>
          <w:color w:val="000000" w:themeColor="text1"/>
        </w:rPr>
        <w:t>农业数字化基本内涵与特征</w:t>
      </w:r>
      <w:r>
        <w:rPr>
          <w:rFonts w:ascii="宋体" w:hAnsi="宋体" w:hint="eastAsia"/>
          <w:color w:val="000000" w:themeColor="text1"/>
          <w:szCs w:val="21"/>
        </w:rPr>
        <w:t>。</w:t>
      </w:r>
    </w:p>
    <w:p w14:paraId="4021D6AD"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 xml:space="preserve">3. </w:t>
      </w:r>
      <w:r>
        <w:rPr>
          <w:rFonts w:ascii="宋体" w:hAnsi="宋体"/>
          <w:b/>
          <w:bCs/>
          <w:color w:val="000000" w:themeColor="text1"/>
          <w:szCs w:val="21"/>
        </w:rPr>
        <w:t>熟练掌握</w:t>
      </w:r>
      <w:r>
        <w:rPr>
          <w:rFonts w:ascii="宋体" w:hAnsi="宋体"/>
          <w:color w:val="000000" w:themeColor="text1"/>
          <w:szCs w:val="21"/>
        </w:rPr>
        <w:t>：</w:t>
      </w:r>
      <w:r>
        <w:rPr>
          <w:rFonts w:hint="eastAsia"/>
          <w:color w:val="000000" w:themeColor="text1"/>
        </w:rPr>
        <w:t>农业数字化的具体应用和案例分析</w:t>
      </w:r>
      <w:r>
        <w:rPr>
          <w:rFonts w:ascii="宋体" w:hAnsi="宋体" w:hint="eastAsia"/>
          <w:color w:val="000000" w:themeColor="text1"/>
          <w:szCs w:val="21"/>
        </w:rPr>
        <w:t>。</w:t>
      </w:r>
    </w:p>
    <w:p w14:paraId="6D3586C8" w14:textId="77777777" w:rsidR="00F5289E" w:rsidRDefault="00C91173">
      <w:pPr>
        <w:snapToGrid w:val="0"/>
        <w:spacing w:beforeLines="50" w:before="156" w:line="360" w:lineRule="auto"/>
        <w:rPr>
          <w:rFonts w:ascii="宋体" w:hAnsi="宋体"/>
          <w:color w:val="000000" w:themeColor="text1"/>
          <w:szCs w:val="21"/>
        </w:rPr>
      </w:pPr>
      <w:r>
        <w:rPr>
          <w:rFonts w:ascii="宋体" w:hAnsi="宋体" w:hint="eastAsia"/>
          <w:b/>
          <w:bCs/>
          <w:color w:val="000000" w:themeColor="text1"/>
        </w:rPr>
        <w:t>（二）考核内容</w:t>
      </w:r>
    </w:p>
    <w:p w14:paraId="3980A1FD" w14:textId="77777777" w:rsidR="00F5289E" w:rsidRDefault="00C91173">
      <w:pPr>
        <w:spacing w:line="360" w:lineRule="auto"/>
        <w:rPr>
          <w:rFonts w:ascii="宋体" w:hAnsi="宋体"/>
          <w:color w:val="000000" w:themeColor="text1"/>
          <w:szCs w:val="21"/>
        </w:rPr>
      </w:pPr>
      <w:r>
        <w:rPr>
          <w:rFonts w:ascii="宋体" w:hAnsi="宋体" w:hint="eastAsia"/>
          <w:color w:val="000000" w:themeColor="text1"/>
          <w:szCs w:val="21"/>
        </w:rPr>
        <w:t>知识：</w:t>
      </w:r>
      <w:r>
        <w:rPr>
          <w:rFonts w:hint="eastAsia"/>
          <w:color w:val="000000" w:themeColor="text1"/>
        </w:rPr>
        <w:t>农业数字化基本概念与特征；国内外农业数字化现状</w:t>
      </w:r>
      <w:r>
        <w:rPr>
          <w:rFonts w:ascii="宋体" w:hAnsi="宋体"/>
          <w:color w:val="000000" w:themeColor="text1"/>
          <w:szCs w:val="21"/>
        </w:rPr>
        <w:t>等。</w:t>
      </w:r>
    </w:p>
    <w:p w14:paraId="16D34027" w14:textId="77777777" w:rsidR="00F5289E" w:rsidRDefault="00C91173">
      <w:pPr>
        <w:spacing w:line="360" w:lineRule="auto"/>
        <w:rPr>
          <w:color w:val="000000" w:themeColor="text1"/>
          <w:szCs w:val="21"/>
        </w:rPr>
      </w:pPr>
      <w:r>
        <w:rPr>
          <w:rFonts w:ascii="宋体" w:hAnsi="宋体" w:hint="eastAsia"/>
          <w:color w:val="000000" w:themeColor="text1"/>
          <w:szCs w:val="21"/>
        </w:rPr>
        <w:t>能力和素质：学会分</w:t>
      </w:r>
      <w:r>
        <w:rPr>
          <w:rFonts w:hint="eastAsia"/>
          <w:color w:val="000000" w:themeColor="text1"/>
        </w:rPr>
        <w:t>析农业数字化经典案列</w:t>
      </w:r>
      <w:r>
        <w:rPr>
          <w:rFonts w:ascii="宋体" w:hAnsi="宋体" w:hint="eastAsia"/>
          <w:color w:val="000000" w:themeColor="text1"/>
          <w:szCs w:val="21"/>
        </w:rPr>
        <w:t>。</w:t>
      </w:r>
    </w:p>
    <w:p w14:paraId="4150D875" w14:textId="77777777" w:rsidR="00F5289E" w:rsidRDefault="00C91173">
      <w:pPr>
        <w:snapToGrid w:val="0"/>
        <w:spacing w:beforeLines="50" w:before="156" w:line="360" w:lineRule="auto"/>
        <w:rPr>
          <w:rFonts w:ascii="宋体" w:hAnsi="宋体"/>
          <w:b/>
          <w:bCs/>
          <w:color w:val="000000" w:themeColor="text1"/>
          <w:szCs w:val="21"/>
        </w:rPr>
      </w:pPr>
      <w:r>
        <w:rPr>
          <w:rFonts w:ascii="宋体" w:hAnsi="宋体" w:hint="eastAsia"/>
          <w:b/>
          <w:bCs/>
          <w:color w:val="000000" w:themeColor="text1"/>
        </w:rPr>
        <w:t>（三）考核要求</w:t>
      </w:r>
    </w:p>
    <w:p w14:paraId="558CD47F"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1</w:t>
      </w:r>
      <w:r>
        <w:rPr>
          <w:rFonts w:hint="eastAsia"/>
          <w:b/>
          <w:bCs/>
          <w:color w:val="000000" w:themeColor="text1"/>
          <w:szCs w:val="21"/>
        </w:rPr>
        <w:t>．</w:t>
      </w:r>
      <w:r>
        <w:rPr>
          <w:rFonts w:ascii="宋体" w:hAnsi="宋体"/>
          <w:b/>
          <w:bCs/>
          <w:color w:val="000000" w:themeColor="text1"/>
          <w:szCs w:val="21"/>
        </w:rPr>
        <w:t>识记</w:t>
      </w:r>
      <w:r>
        <w:rPr>
          <w:rFonts w:ascii="宋体" w:hAnsi="宋体"/>
          <w:color w:val="000000" w:themeColor="text1"/>
          <w:szCs w:val="21"/>
        </w:rPr>
        <w:t>：</w:t>
      </w:r>
      <w:r>
        <w:rPr>
          <w:color w:val="000000" w:themeColor="text1"/>
        </w:rPr>
        <w:t xml:space="preserve"> </w:t>
      </w:r>
      <w:r>
        <w:rPr>
          <w:rFonts w:hint="eastAsia"/>
          <w:color w:val="000000" w:themeColor="text1"/>
        </w:rPr>
        <w:t>农业数字化基本概念与特征</w:t>
      </w:r>
      <w:r>
        <w:rPr>
          <w:rFonts w:ascii="宋体" w:hAnsi="宋体" w:hint="eastAsia"/>
          <w:color w:val="000000" w:themeColor="text1"/>
          <w:szCs w:val="21"/>
        </w:rPr>
        <w:t>。</w:t>
      </w:r>
    </w:p>
    <w:p w14:paraId="16C0FDBB" w14:textId="77777777" w:rsidR="00F5289E" w:rsidRDefault="00C91173">
      <w:pPr>
        <w:snapToGrid w:val="0"/>
        <w:spacing w:line="360" w:lineRule="auto"/>
        <w:ind w:firstLineChars="200" w:firstLine="422"/>
        <w:rPr>
          <w:color w:val="000000" w:themeColor="text1"/>
          <w:szCs w:val="21"/>
        </w:rPr>
      </w:pPr>
      <w:r>
        <w:rPr>
          <w:b/>
          <w:bCs/>
          <w:color w:val="000000" w:themeColor="text1"/>
          <w:szCs w:val="21"/>
        </w:rPr>
        <w:t>2</w:t>
      </w:r>
      <w:r>
        <w:rPr>
          <w:rFonts w:hint="eastAsia"/>
          <w:b/>
          <w:bCs/>
          <w:color w:val="000000" w:themeColor="text1"/>
          <w:szCs w:val="21"/>
        </w:rPr>
        <w:t>．</w:t>
      </w:r>
      <w:r>
        <w:rPr>
          <w:rFonts w:ascii="宋体" w:hAnsi="宋体"/>
          <w:b/>
          <w:bCs/>
          <w:color w:val="000000" w:themeColor="text1"/>
          <w:szCs w:val="21"/>
        </w:rPr>
        <w:t>领会</w:t>
      </w:r>
      <w:r>
        <w:rPr>
          <w:rFonts w:ascii="宋体" w:hAnsi="宋体"/>
          <w:color w:val="000000" w:themeColor="text1"/>
          <w:szCs w:val="21"/>
        </w:rPr>
        <w:t>：</w:t>
      </w:r>
      <w:r>
        <w:rPr>
          <w:color w:val="000000" w:themeColor="text1"/>
        </w:rPr>
        <w:t xml:space="preserve"> </w:t>
      </w:r>
      <w:r>
        <w:rPr>
          <w:rFonts w:hint="eastAsia"/>
          <w:color w:val="000000" w:themeColor="text1"/>
        </w:rPr>
        <w:t>国内外农业数字化现状（政策、存在问题和发展前景）</w:t>
      </w:r>
      <w:r>
        <w:rPr>
          <w:rFonts w:ascii="宋体" w:hAnsi="宋体" w:hint="eastAsia"/>
          <w:color w:val="000000" w:themeColor="text1"/>
          <w:szCs w:val="21"/>
        </w:rPr>
        <w:t>。</w:t>
      </w:r>
    </w:p>
    <w:p w14:paraId="04D2B080" w14:textId="77777777" w:rsidR="00F5289E" w:rsidRDefault="00C91173">
      <w:pPr>
        <w:snapToGrid w:val="0"/>
        <w:spacing w:line="360" w:lineRule="auto"/>
        <w:ind w:firstLineChars="200" w:firstLine="422"/>
        <w:rPr>
          <w:b/>
          <w:bCs/>
          <w:color w:val="000000" w:themeColor="text1"/>
          <w:szCs w:val="21"/>
        </w:rPr>
      </w:pPr>
      <w:r>
        <w:rPr>
          <w:b/>
          <w:bCs/>
          <w:color w:val="000000" w:themeColor="text1"/>
          <w:szCs w:val="21"/>
        </w:rPr>
        <w:t>3</w:t>
      </w:r>
      <w:r>
        <w:rPr>
          <w:rFonts w:hint="eastAsia"/>
          <w:b/>
          <w:bCs/>
          <w:color w:val="000000" w:themeColor="text1"/>
          <w:szCs w:val="21"/>
        </w:rPr>
        <w:t>．</w:t>
      </w:r>
      <w:r>
        <w:rPr>
          <w:rFonts w:ascii="宋体" w:hAnsi="宋体"/>
          <w:b/>
          <w:bCs/>
          <w:color w:val="000000" w:themeColor="text1"/>
          <w:szCs w:val="21"/>
        </w:rPr>
        <w:t>应用</w:t>
      </w:r>
      <w:r>
        <w:rPr>
          <w:rFonts w:ascii="宋体" w:hAnsi="宋体"/>
          <w:color w:val="000000" w:themeColor="text1"/>
          <w:szCs w:val="21"/>
        </w:rPr>
        <w:t>：</w:t>
      </w:r>
      <w:r>
        <w:rPr>
          <w:rFonts w:hint="eastAsia"/>
          <w:color w:val="000000" w:themeColor="text1"/>
        </w:rPr>
        <w:t>农业数字化应用</w:t>
      </w:r>
      <w:r>
        <w:rPr>
          <w:rFonts w:ascii="宋体" w:hAnsi="宋体" w:hint="eastAsia"/>
          <w:color w:val="000000" w:themeColor="text1"/>
          <w:szCs w:val="21"/>
        </w:rPr>
        <w:t>。</w:t>
      </w:r>
    </w:p>
    <w:p w14:paraId="21C9CF81" w14:textId="77777777" w:rsidR="00F5289E" w:rsidRDefault="00C91173">
      <w:pPr>
        <w:snapToGrid w:val="0"/>
        <w:spacing w:line="360" w:lineRule="auto"/>
        <w:ind w:firstLineChars="200" w:firstLine="422"/>
        <w:rPr>
          <w:rFonts w:ascii="宋体" w:hAnsi="宋体"/>
          <w:color w:val="000000" w:themeColor="text1"/>
          <w:szCs w:val="21"/>
        </w:rPr>
      </w:pPr>
      <w:r>
        <w:rPr>
          <w:b/>
          <w:bCs/>
          <w:color w:val="000000" w:themeColor="text1"/>
          <w:szCs w:val="21"/>
        </w:rPr>
        <w:t>4</w:t>
      </w:r>
      <w:r>
        <w:rPr>
          <w:rFonts w:hint="eastAsia"/>
          <w:b/>
          <w:bCs/>
          <w:color w:val="000000" w:themeColor="text1"/>
          <w:szCs w:val="21"/>
        </w:rPr>
        <w:t>．</w:t>
      </w:r>
      <w:r>
        <w:rPr>
          <w:rFonts w:ascii="宋体" w:hAnsi="宋体"/>
          <w:b/>
          <w:bCs/>
          <w:color w:val="000000" w:themeColor="text1"/>
          <w:szCs w:val="21"/>
        </w:rPr>
        <w:t>综合</w:t>
      </w:r>
      <w:r>
        <w:rPr>
          <w:rFonts w:ascii="宋体" w:hAnsi="宋体"/>
          <w:color w:val="000000" w:themeColor="text1"/>
          <w:szCs w:val="21"/>
        </w:rPr>
        <w:t>：</w:t>
      </w:r>
      <w:r>
        <w:rPr>
          <w:rFonts w:ascii="宋体" w:hAnsi="宋体" w:hint="eastAsia"/>
          <w:color w:val="000000" w:themeColor="text1"/>
          <w:szCs w:val="21"/>
        </w:rPr>
        <w:t>分析</w:t>
      </w:r>
      <w:r>
        <w:rPr>
          <w:rFonts w:hint="eastAsia"/>
          <w:color w:val="000000" w:themeColor="text1"/>
        </w:rPr>
        <w:t>国内外农业数字化现状、我国农业数字化的政策、存在问题和发展前景</w:t>
      </w:r>
      <w:r>
        <w:rPr>
          <w:rFonts w:ascii="宋体" w:hAnsi="宋体" w:hint="eastAsia"/>
          <w:color w:val="000000" w:themeColor="text1"/>
          <w:szCs w:val="21"/>
        </w:rPr>
        <w:t>。</w:t>
      </w:r>
    </w:p>
    <w:p w14:paraId="562A59C2" w14:textId="77777777" w:rsidR="00F5289E" w:rsidRDefault="00F5289E">
      <w:pPr>
        <w:snapToGrid w:val="0"/>
        <w:spacing w:line="360" w:lineRule="auto"/>
        <w:rPr>
          <w:rFonts w:ascii="宋体" w:hAnsi="宋体"/>
          <w:b/>
          <w:bCs/>
          <w:color w:val="000000" w:themeColor="text1"/>
          <w:szCs w:val="21"/>
        </w:rPr>
      </w:pPr>
    </w:p>
    <w:p w14:paraId="31C255C6"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三、考核方式</w:t>
      </w:r>
    </w:p>
    <w:p w14:paraId="07614ECC" w14:textId="77777777" w:rsidR="00F5289E" w:rsidRDefault="00C91173">
      <w:pPr>
        <w:spacing w:line="400" w:lineRule="exact"/>
        <w:ind w:firstLineChars="200" w:firstLine="420"/>
        <w:rPr>
          <w:rFonts w:ascii="Calibri" w:hAnsi="Calibri"/>
          <w:color w:val="000000" w:themeColor="text1"/>
          <w:szCs w:val="21"/>
        </w:rPr>
      </w:pPr>
      <w:r>
        <w:rPr>
          <w:rFonts w:ascii="宋体" w:hAnsi="宋体"/>
          <w:color w:val="000000" w:themeColor="text1"/>
          <w:szCs w:val="21"/>
        </w:rPr>
        <w:t>本课程考核</w:t>
      </w:r>
      <w:r>
        <w:rPr>
          <w:rFonts w:ascii="宋体" w:hAnsi="宋体" w:hint="eastAsia"/>
          <w:color w:val="000000" w:themeColor="text1"/>
          <w:szCs w:val="21"/>
        </w:rPr>
        <w:t>采用理论与实践教学相结合的方式进行。根据课程的学习情况，采用课堂提问、课堂测试、小组讨论、期中测试与期末考试测评等多种考核评价方式。平时成绩的考核方式包括含课堂表现、P</w:t>
      </w:r>
      <w:r>
        <w:rPr>
          <w:rFonts w:ascii="宋体" w:hAnsi="宋体"/>
          <w:color w:val="000000" w:themeColor="text1"/>
          <w:szCs w:val="21"/>
        </w:rPr>
        <w:t>PT</w:t>
      </w:r>
      <w:r>
        <w:rPr>
          <w:rFonts w:ascii="宋体" w:hAnsi="宋体" w:hint="eastAsia"/>
          <w:color w:val="000000" w:themeColor="text1"/>
          <w:szCs w:val="21"/>
        </w:rPr>
        <w:t>汇报、小组交流讨论、考勤、课后作业等。</w:t>
      </w:r>
    </w:p>
    <w:p w14:paraId="3B188EA0" w14:textId="77777777" w:rsidR="00F5289E" w:rsidRDefault="00C91173">
      <w:pPr>
        <w:snapToGrid w:val="0"/>
        <w:spacing w:beforeLines="50" w:before="156" w:line="360" w:lineRule="auto"/>
        <w:ind w:firstLineChars="200" w:firstLine="420"/>
        <w:rPr>
          <w:rFonts w:ascii="宋体" w:hAnsi="宋体"/>
          <w:color w:val="000000" w:themeColor="text1"/>
          <w:szCs w:val="21"/>
        </w:rPr>
      </w:pPr>
      <w:r>
        <w:rPr>
          <w:rFonts w:ascii="宋体" w:hAnsi="宋体" w:hint="eastAsia"/>
          <w:color w:val="000000" w:themeColor="text1"/>
          <w:szCs w:val="21"/>
        </w:rPr>
        <w:t>考试时间为课程结束后1～3周内进行，其他考核随课程单元学习过程的进展进行。</w:t>
      </w:r>
    </w:p>
    <w:p w14:paraId="3824518A"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四、成绩评定</w:t>
      </w:r>
    </w:p>
    <w:p w14:paraId="6458E490"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1.平时成绩</w:t>
      </w:r>
    </w:p>
    <w:p w14:paraId="41454274"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平时成绩（40%）：含课堂表现、PPT汇报、小组交流讨论、考勤、课后作业等。</w:t>
      </w:r>
    </w:p>
    <w:p w14:paraId="19132353"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2.终结性评价：期末成绩以试卷考试（60%）</w:t>
      </w:r>
    </w:p>
    <w:p w14:paraId="0E3EF010"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3.课程综合评价：平时成绩（40%）+期末成绩（60%）</w:t>
      </w:r>
    </w:p>
    <w:p w14:paraId="2FEC2EAC"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五、考核结果分析反馈</w:t>
      </w:r>
    </w:p>
    <w:p w14:paraId="12C7574D"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1．通过作业的汇报与展示、实验操作实训、课堂提问等方式进行，教师对完成情况在课堂上进行指导与点评，及时进行反馈。</w:t>
      </w:r>
    </w:p>
    <w:p w14:paraId="046CDE26" w14:textId="77777777" w:rsidR="00F5289E" w:rsidRDefault="00C91173">
      <w:pPr>
        <w:snapToGrid w:val="0"/>
        <w:spacing w:line="360" w:lineRule="auto"/>
        <w:ind w:firstLineChars="200" w:firstLine="420"/>
        <w:rPr>
          <w:rFonts w:ascii="宋体" w:hAnsi="宋体"/>
          <w:color w:val="000000" w:themeColor="text1"/>
        </w:rPr>
      </w:pPr>
      <w:r>
        <w:rPr>
          <w:rFonts w:ascii="宋体" w:hAnsi="宋体"/>
          <w:bCs/>
          <w:color w:val="000000" w:themeColor="text1"/>
          <w:szCs w:val="21"/>
        </w:rPr>
        <w:t>2</w:t>
      </w:r>
      <w:r>
        <w:rPr>
          <w:rFonts w:ascii="宋体" w:hAnsi="宋体" w:hint="eastAsia"/>
          <w:bCs/>
          <w:color w:val="000000" w:themeColor="text1"/>
          <w:szCs w:val="21"/>
        </w:rPr>
        <w:t>．基于学生考核结果，学生评教及建议，改进课堂教学。</w:t>
      </w:r>
    </w:p>
    <w:p w14:paraId="5F92FB9E" w14:textId="77777777" w:rsidR="00F5289E" w:rsidRDefault="00C91173">
      <w:pPr>
        <w:widowControl/>
        <w:jc w:val="left"/>
        <w:rPr>
          <w:rFonts w:hAnsi="宋体"/>
          <w:bCs/>
          <w:szCs w:val="21"/>
        </w:rPr>
      </w:pPr>
      <w:r>
        <w:rPr>
          <w:rFonts w:hAnsi="宋体"/>
          <w:bCs/>
          <w:szCs w:val="21"/>
        </w:rPr>
        <w:br w:type="page"/>
      </w:r>
    </w:p>
    <w:p w14:paraId="24CBD5DC" w14:textId="77777777" w:rsidR="00F5289E" w:rsidRDefault="00C91173">
      <w:pPr>
        <w:pStyle w:val="1"/>
      </w:pPr>
      <w:bookmarkStart w:id="188" w:name="_Toc138606283"/>
      <w:r>
        <w:rPr>
          <w:rFonts w:hint="eastAsia"/>
        </w:rPr>
        <w:lastRenderedPageBreak/>
        <w:t>设施花卉栽培学考核大纲</w:t>
      </w:r>
      <w:bookmarkEnd w:id="188"/>
      <w:r>
        <w:rPr>
          <w:rFonts w:hint="eastAsia"/>
        </w:rPr>
        <w:t xml:space="preserve"> </w:t>
      </w:r>
    </w:p>
    <w:p w14:paraId="3AD81D42" w14:textId="77777777" w:rsidR="00F5289E" w:rsidRDefault="00C91173">
      <w:pPr>
        <w:snapToGrid w:val="0"/>
        <w:spacing w:line="360" w:lineRule="auto"/>
        <w:jc w:val="center"/>
        <w:rPr>
          <w:rFonts w:eastAsia="黑体" w:hAnsi="宋体" w:cs="宋体"/>
          <w:b/>
          <w:bCs/>
          <w:kern w:val="36"/>
          <w:sz w:val="24"/>
        </w:rPr>
      </w:pPr>
      <w:r>
        <w:rPr>
          <w:sz w:val="24"/>
        </w:rPr>
        <w:t>（</w:t>
      </w:r>
      <w:r>
        <w:rPr>
          <w:iCs/>
          <w:sz w:val="24"/>
        </w:rPr>
        <w:t>Protected Floriculture</w:t>
      </w:r>
      <w:r>
        <w:rPr>
          <w:sz w:val="24"/>
        </w:rPr>
        <w:t>）</w:t>
      </w:r>
    </w:p>
    <w:p w14:paraId="0FE739A2"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75AF2561" w14:textId="77777777">
        <w:tc>
          <w:tcPr>
            <w:tcW w:w="1665" w:type="pct"/>
          </w:tcPr>
          <w:p w14:paraId="349AA85C"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kern w:val="0"/>
                <w:sz w:val="20"/>
                <w:szCs w:val="21"/>
              </w:rPr>
              <w:t>19011156h</w:t>
            </w:r>
          </w:p>
        </w:tc>
        <w:tc>
          <w:tcPr>
            <w:tcW w:w="1234" w:type="pct"/>
          </w:tcPr>
          <w:p w14:paraId="2C39A737"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32</w:t>
            </w:r>
          </w:p>
        </w:tc>
        <w:tc>
          <w:tcPr>
            <w:tcW w:w="2100" w:type="pct"/>
          </w:tcPr>
          <w:p w14:paraId="3AD0C1FF"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p>
        </w:tc>
      </w:tr>
      <w:tr w:rsidR="00F5289E" w14:paraId="1C967D3B" w14:textId="77777777">
        <w:tc>
          <w:tcPr>
            <w:tcW w:w="1665" w:type="pct"/>
          </w:tcPr>
          <w:p w14:paraId="5B3A00F5"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豆峻岭</w:t>
            </w:r>
          </w:p>
        </w:tc>
        <w:tc>
          <w:tcPr>
            <w:tcW w:w="1234" w:type="pct"/>
          </w:tcPr>
          <w:p w14:paraId="5B43A79F"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薛东齐</w:t>
            </w:r>
          </w:p>
        </w:tc>
        <w:tc>
          <w:tcPr>
            <w:tcW w:w="2100" w:type="pct"/>
          </w:tcPr>
          <w:p w14:paraId="4D8258D3"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2023</w:t>
            </w:r>
            <w:r w:rsidR="001B3040">
              <w:rPr>
                <w:rFonts w:ascii="宋体" w:hAnsi="宋体" w:hint="eastAsia"/>
                <w:szCs w:val="21"/>
              </w:rPr>
              <w:t>.</w:t>
            </w:r>
            <w:r w:rsidR="001B3040">
              <w:rPr>
                <w:rFonts w:ascii="宋体" w:hAnsi="宋体"/>
                <w:szCs w:val="21"/>
              </w:rPr>
              <w:t>05</w:t>
            </w:r>
          </w:p>
        </w:tc>
      </w:tr>
    </w:tbl>
    <w:p w14:paraId="544F0D75" w14:textId="77777777" w:rsidR="00F5289E" w:rsidRDefault="00F5289E">
      <w:pPr>
        <w:widowControl/>
        <w:snapToGrid w:val="0"/>
        <w:spacing w:line="360" w:lineRule="auto"/>
        <w:jc w:val="left"/>
        <w:outlineLvl w:val="1"/>
        <w:rPr>
          <w:rFonts w:asciiTheme="majorEastAsia" w:eastAsiaTheme="majorEastAsia" w:hAnsiTheme="majorEastAsia" w:cstheme="majorEastAsia"/>
          <w:b/>
          <w:bCs/>
          <w:kern w:val="0"/>
          <w:szCs w:val="21"/>
        </w:rPr>
      </w:pPr>
    </w:p>
    <w:p w14:paraId="77C43737" w14:textId="77777777" w:rsidR="00F5289E" w:rsidRDefault="00C91173">
      <w:pPr>
        <w:pStyle w:val="a9"/>
        <w:spacing w:line="360" w:lineRule="auto"/>
        <w:rPr>
          <w:b/>
          <w:bCs/>
        </w:rPr>
      </w:pPr>
      <w:r>
        <w:rPr>
          <w:rFonts w:hint="eastAsia"/>
          <w:b/>
          <w:bCs/>
        </w:rPr>
        <w:t>一、课程的性质和地位</w:t>
      </w:r>
    </w:p>
    <w:p w14:paraId="3D872088" w14:textId="77777777" w:rsidR="00F5289E" w:rsidRDefault="00C91173">
      <w:pPr>
        <w:snapToGrid w:val="0"/>
        <w:spacing w:line="360" w:lineRule="auto"/>
        <w:ind w:firstLineChars="200" w:firstLine="420"/>
        <w:rPr>
          <w:rFonts w:ascii="宋体" w:hAnsi="宋体"/>
          <w:szCs w:val="21"/>
        </w:rPr>
      </w:pPr>
      <w:r>
        <w:rPr>
          <w:rFonts w:ascii="宋体" w:hAnsi="宋体" w:hint="eastAsia"/>
          <w:bCs/>
          <w:szCs w:val="21"/>
        </w:rPr>
        <w:t>设施花卉栽培学是设施农业科学与工程专业的专业课，是是研究花卉的分类、生物学特性、繁殖方法、栽培技术、经营管理与应用的科学，其综合性很强。通过课程的学习，学生可以掌握花卉产业化生产和经营管理的基础理论和实践技能。</w:t>
      </w:r>
    </w:p>
    <w:p w14:paraId="03F7DC73" w14:textId="77777777" w:rsidR="00F5289E" w:rsidRDefault="00C91173">
      <w:pPr>
        <w:pStyle w:val="a9"/>
        <w:spacing w:line="360" w:lineRule="auto"/>
        <w:rPr>
          <w:b/>
          <w:bCs/>
        </w:rPr>
      </w:pPr>
      <w:r>
        <w:rPr>
          <w:rFonts w:hint="eastAsia"/>
          <w:b/>
          <w:bCs/>
        </w:rPr>
        <w:t>二、理论教学部分的考核目标</w:t>
      </w:r>
    </w:p>
    <w:p w14:paraId="56D0CF7D"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在理论知识方面，要求学生掌握花卉分类的原理与方法、花卉种质资源及其分布特点、花卉的生态习性及花卉生长发育基本规律、花卉繁殖、栽培的原理及花卉应用的基本原则等；在实践技能方面，要求考生熟练识别250～300种花卉、掌握各类花卉繁殖栽培的方法和步骤、能够根据不同的园林应用形式选择不同的花卉，并采用不同的栽培管理措施。</w:t>
      </w:r>
    </w:p>
    <w:p w14:paraId="23B4D297" w14:textId="77777777" w:rsidR="00F5289E" w:rsidRDefault="00C91173">
      <w:pPr>
        <w:adjustRightInd w:val="0"/>
        <w:snapToGrid w:val="0"/>
        <w:spacing w:beforeLines="50" w:before="156" w:line="360" w:lineRule="auto"/>
        <w:ind w:firstLineChars="49" w:firstLine="103"/>
        <w:jc w:val="center"/>
        <w:rPr>
          <w:rFonts w:ascii="宋体" w:hAnsi="宋体"/>
          <w:b/>
          <w:szCs w:val="21"/>
        </w:rPr>
      </w:pPr>
      <w:r>
        <w:rPr>
          <w:rFonts w:ascii="宋体" w:hAnsi="宋体" w:hint="eastAsia"/>
          <w:b/>
          <w:szCs w:val="21"/>
        </w:rPr>
        <w:t xml:space="preserve">第一章  </w:t>
      </w:r>
      <w:r>
        <w:rPr>
          <w:b/>
        </w:rPr>
        <w:t>花卉的分类与分布</w:t>
      </w:r>
    </w:p>
    <w:p w14:paraId="6AFFBF1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0521C0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不同气候型的花卉分布状况，同时了解什么是一年生花卉、二年生花卉、多年生花卉、宿根花卉、球根花卉、温室花卉、露地花卉、水生花卉、岩石花卉等。能够正确识别常见的花卉。</w:t>
      </w:r>
    </w:p>
    <w:p w14:paraId="190A60E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bCs/>
          <w:szCs w:val="21"/>
        </w:rPr>
        <w:t>不同种类花卉的分类方法与观赏特性。</w:t>
      </w:r>
    </w:p>
    <w:p w14:paraId="3E3483D1"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FB1B31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花卉按观赏特性、按栽培方式、按园林用途、按生活类型及综合分类的结果。花卉原产地气候型分区的结果、各区特点及其所形成的花卉分布中心的类别。</w:t>
      </w:r>
    </w:p>
    <w:p w14:paraId="5F30E5E7"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1F0B9B0" w14:textId="77777777" w:rsidR="00F5289E" w:rsidRDefault="00C91173">
      <w:pPr>
        <w:adjustRightInd w:val="0"/>
        <w:snapToGrid w:val="0"/>
        <w:spacing w:line="360" w:lineRule="auto"/>
        <w:ind w:firstLineChars="200" w:firstLine="422"/>
        <w:rPr>
          <w:color w:val="000000"/>
          <w:spacing w:val="7"/>
          <w:sz w:val="24"/>
          <w:shd w:val="clear" w:color="auto" w:fill="FFFFFF"/>
        </w:rPr>
      </w:pPr>
      <w:r>
        <w:rPr>
          <w:rFonts w:ascii="宋体" w:hAnsi="宋体" w:hint="eastAsia"/>
          <w:b/>
          <w:szCs w:val="21"/>
        </w:rPr>
        <w:t>1、识记</w:t>
      </w:r>
      <w:r>
        <w:rPr>
          <w:rFonts w:ascii="宋体" w:hAnsi="宋体" w:hint="eastAsia"/>
          <w:szCs w:val="21"/>
        </w:rPr>
        <w:t>：</w:t>
      </w:r>
      <w:r>
        <w:rPr>
          <w:shd w:val="clear" w:color="auto" w:fill="FFFFFF"/>
        </w:rPr>
        <w:t>对常见花卉按各类标准进行分类</w:t>
      </w:r>
      <w:r>
        <w:rPr>
          <w:rFonts w:hint="eastAsia"/>
          <w:shd w:val="clear" w:color="auto" w:fill="FFFFFF"/>
        </w:rPr>
        <w:t>。</w:t>
      </w:r>
    </w:p>
    <w:p w14:paraId="3B108EEC" w14:textId="77777777" w:rsidR="00F5289E" w:rsidRDefault="00C91173">
      <w:pPr>
        <w:adjustRightInd w:val="0"/>
        <w:snapToGrid w:val="0"/>
        <w:spacing w:line="360" w:lineRule="auto"/>
        <w:ind w:firstLineChars="200" w:firstLine="422"/>
      </w:pPr>
      <w:r>
        <w:rPr>
          <w:rFonts w:ascii="宋体" w:hAnsi="宋体" w:hint="eastAsia"/>
          <w:b/>
          <w:szCs w:val="21"/>
        </w:rPr>
        <w:t>2、领会</w:t>
      </w:r>
      <w:r>
        <w:rPr>
          <w:rFonts w:ascii="宋体" w:hAnsi="宋体" w:hint="eastAsia"/>
          <w:szCs w:val="21"/>
        </w:rPr>
        <w:t>：</w:t>
      </w:r>
      <w:r>
        <w:t>常见花卉的观赏特点。</w:t>
      </w:r>
    </w:p>
    <w:p w14:paraId="0547C27D" w14:textId="77777777" w:rsidR="00F5289E" w:rsidRDefault="00C91173">
      <w:pPr>
        <w:adjustRightInd w:val="0"/>
        <w:snapToGrid w:val="0"/>
        <w:spacing w:line="360" w:lineRule="auto"/>
        <w:ind w:firstLineChars="200" w:firstLine="422"/>
        <w:rPr>
          <w:rFonts w:ascii="宋体" w:hAnsi="宋体"/>
          <w:szCs w:val="21"/>
        </w:rPr>
      </w:pPr>
      <w:r>
        <w:rPr>
          <w:b/>
          <w:szCs w:val="21"/>
        </w:rPr>
        <w:t>3</w:t>
      </w:r>
      <w:r>
        <w:rPr>
          <w:rFonts w:hint="eastAsia"/>
          <w:b/>
          <w:szCs w:val="21"/>
        </w:rPr>
        <w:t>、评价：</w:t>
      </w:r>
      <w:r>
        <w:rPr>
          <w:rFonts w:hint="eastAsia"/>
          <w:szCs w:val="21"/>
        </w:rPr>
        <w:t>课堂</w:t>
      </w:r>
      <w:r>
        <w:rPr>
          <w:szCs w:val="21"/>
        </w:rPr>
        <w:t>提问和课后</w:t>
      </w:r>
      <w:r>
        <w:rPr>
          <w:rFonts w:hint="eastAsia"/>
          <w:szCs w:val="21"/>
        </w:rPr>
        <w:t>互动、小组讨论。</w:t>
      </w:r>
    </w:p>
    <w:p w14:paraId="2CFCE537" w14:textId="77777777" w:rsidR="00F5289E" w:rsidRDefault="00C91173">
      <w:pPr>
        <w:adjustRightInd w:val="0"/>
        <w:snapToGrid w:val="0"/>
        <w:spacing w:beforeLines="50" w:before="156" w:line="360" w:lineRule="auto"/>
        <w:ind w:firstLineChars="49" w:firstLine="103"/>
        <w:jc w:val="center"/>
      </w:pPr>
      <w:r>
        <w:rPr>
          <w:rFonts w:ascii="宋体" w:hAnsi="宋体" w:hint="eastAsia"/>
          <w:b/>
          <w:szCs w:val="21"/>
        </w:rPr>
        <w:t xml:space="preserve">第二章  </w:t>
      </w:r>
      <w:r>
        <w:rPr>
          <w:b/>
          <w:bCs/>
        </w:rPr>
        <w:t>花卉生长发育与环境</w:t>
      </w:r>
    </w:p>
    <w:p w14:paraId="7CF24478" w14:textId="77777777" w:rsidR="00F5289E" w:rsidRDefault="00C91173">
      <w:pPr>
        <w:adjustRightInd w:val="0"/>
        <w:snapToGrid w:val="0"/>
        <w:spacing w:line="360" w:lineRule="auto"/>
        <w:rPr>
          <w:rFonts w:ascii="宋体" w:hAnsi="宋体"/>
          <w:b/>
          <w:szCs w:val="21"/>
        </w:rPr>
      </w:pPr>
      <w:r>
        <w:rPr>
          <w:rFonts w:ascii="宋体" w:hAnsi="宋体" w:hint="eastAsia"/>
          <w:b/>
          <w:szCs w:val="21"/>
        </w:rPr>
        <w:t>（一）、学习目标</w:t>
      </w:r>
    </w:p>
    <w:p w14:paraId="7539B975"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1. 一般掌握</w:t>
      </w:r>
      <w:r>
        <w:rPr>
          <w:rFonts w:ascii="宋体" w:hAnsi="宋体" w:hint="eastAsia"/>
          <w:szCs w:val="21"/>
        </w:rPr>
        <w:t>：</w:t>
      </w:r>
      <w:r>
        <w:rPr>
          <w:shd w:val="clear" w:color="auto" w:fill="FFFFFF"/>
        </w:rPr>
        <w:t>花卉生长发育的规律性</w:t>
      </w:r>
      <w:r>
        <w:rPr>
          <w:rFonts w:hint="eastAsia"/>
          <w:shd w:val="clear" w:color="auto" w:fill="FFFFFF"/>
        </w:rPr>
        <w:t>，</w:t>
      </w:r>
      <w:r>
        <w:rPr>
          <w:shd w:val="clear" w:color="auto" w:fill="FFFFFF"/>
        </w:rPr>
        <w:t>各类花卉的生育特点</w:t>
      </w:r>
      <w:r>
        <w:rPr>
          <w:rFonts w:hint="eastAsia"/>
          <w:shd w:val="clear" w:color="auto" w:fill="FFFFFF"/>
        </w:rPr>
        <w:t>，</w:t>
      </w:r>
      <w:r>
        <w:rPr>
          <w:shd w:val="clear" w:color="auto" w:fill="FFFFFF"/>
        </w:rPr>
        <w:t>花芽分化的理论</w:t>
      </w:r>
      <w:r>
        <w:rPr>
          <w:rFonts w:hint="eastAsia"/>
          <w:shd w:val="clear" w:color="auto" w:fill="FFFFFF"/>
        </w:rPr>
        <w:t>。</w:t>
      </w:r>
    </w:p>
    <w:p w14:paraId="428CC619"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熟练掌握</w:t>
      </w:r>
      <w:r>
        <w:rPr>
          <w:rFonts w:ascii="宋体" w:hAnsi="宋体" w:hint="eastAsia"/>
          <w:szCs w:val="21"/>
        </w:rPr>
        <w:t>：</w:t>
      </w:r>
      <w:r>
        <w:rPr>
          <w:rFonts w:hint="eastAsia"/>
        </w:rPr>
        <w:t>光照、温度、水分环境因子对花卉生长的影响，土壤及营养对对花卉生长的影</w:t>
      </w:r>
      <w:r>
        <w:rPr>
          <w:rFonts w:hint="eastAsia"/>
        </w:rPr>
        <w:lastRenderedPageBreak/>
        <w:t>响。</w:t>
      </w:r>
      <w:r>
        <w:t xml:space="preserve">  </w:t>
      </w:r>
    </w:p>
    <w:p w14:paraId="2D988C05" w14:textId="77777777" w:rsidR="00F5289E" w:rsidRDefault="00C91173">
      <w:pPr>
        <w:adjustRightInd w:val="0"/>
        <w:snapToGrid w:val="0"/>
        <w:spacing w:line="360" w:lineRule="auto"/>
        <w:rPr>
          <w:rFonts w:ascii="宋体" w:hAnsi="宋体"/>
          <w:szCs w:val="21"/>
        </w:rPr>
      </w:pPr>
      <w:r>
        <w:rPr>
          <w:rFonts w:ascii="宋体" w:hAnsi="宋体" w:hint="eastAsia"/>
          <w:b/>
          <w:szCs w:val="21"/>
        </w:rPr>
        <w:t>（二）、考核内容</w:t>
      </w:r>
    </w:p>
    <w:p w14:paraId="5040549D" w14:textId="77777777" w:rsidR="00F5289E" w:rsidRDefault="00C91173">
      <w:pPr>
        <w:adjustRightInd w:val="0"/>
        <w:snapToGrid w:val="0"/>
        <w:spacing w:line="360" w:lineRule="auto"/>
        <w:ind w:firstLineChars="200" w:firstLine="420"/>
      </w:pPr>
      <w:r>
        <w:t>观赏植物与外界环境因子温度、光照、水分、土壤、肥料的关系，花卉植物生物学特性和对环境条件的要求。</w:t>
      </w:r>
    </w:p>
    <w:p w14:paraId="4EFAD8BC"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08598C00" w14:textId="77777777" w:rsidR="00F5289E" w:rsidRDefault="00C91173">
      <w:pPr>
        <w:adjustRightInd w:val="0"/>
        <w:snapToGrid w:val="0"/>
        <w:spacing w:line="360" w:lineRule="auto"/>
        <w:ind w:firstLineChars="200" w:firstLine="422"/>
      </w:pPr>
      <w:r>
        <w:rPr>
          <w:rFonts w:hint="eastAsia"/>
          <w:b/>
          <w:bCs/>
        </w:rPr>
        <w:t>1</w:t>
      </w:r>
      <w:r>
        <w:rPr>
          <w:rFonts w:hint="eastAsia"/>
          <w:b/>
          <w:bCs/>
        </w:rPr>
        <w:t>、识记：</w:t>
      </w:r>
      <w:r>
        <w:t>花卉植物生物学特性</w:t>
      </w:r>
      <w:r>
        <w:rPr>
          <w:rFonts w:hint="eastAsia"/>
        </w:rPr>
        <w:t>。</w:t>
      </w:r>
    </w:p>
    <w:p w14:paraId="6E5C9E75" w14:textId="77777777" w:rsidR="00F5289E" w:rsidRDefault="00C91173">
      <w:pPr>
        <w:adjustRightInd w:val="0"/>
        <w:snapToGrid w:val="0"/>
        <w:spacing w:line="360" w:lineRule="auto"/>
        <w:ind w:firstLineChars="200" w:firstLine="422"/>
      </w:pPr>
      <w:r>
        <w:rPr>
          <w:rFonts w:hint="eastAsia"/>
          <w:b/>
          <w:bCs/>
        </w:rPr>
        <w:t>2</w:t>
      </w:r>
      <w:r>
        <w:rPr>
          <w:rFonts w:hint="eastAsia"/>
          <w:b/>
          <w:bCs/>
        </w:rPr>
        <w:t>、应用：</w:t>
      </w:r>
      <w:r>
        <w:t>花卉植物</w:t>
      </w:r>
      <w:r>
        <w:rPr>
          <w:rFonts w:hint="eastAsia"/>
        </w:rPr>
        <w:t>对</w:t>
      </w:r>
      <w:r>
        <w:t>环境条件要求</w:t>
      </w:r>
      <w:r>
        <w:rPr>
          <w:rFonts w:hint="eastAsia"/>
        </w:rPr>
        <w:t>。</w:t>
      </w:r>
    </w:p>
    <w:p w14:paraId="7237F320" w14:textId="77777777" w:rsidR="00F5289E" w:rsidRDefault="00C91173">
      <w:pPr>
        <w:adjustRightInd w:val="0"/>
        <w:snapToGrid w:val="0"/>
        <w:spacing w:line="360" w:lineRule="auto"/>
        <w:ind w:firstLineChars="200" w:firstLine="422"/>
      </w:pPr>
      <w:r>
        <w:rPr>
          <w:b/>
          <w:szCs w:val="21"/>
        </w:rPr>
        <w:t>3</w:t>
      </w:r>
      <w:r>
        <w:rPr>
          <w:rFonts w:hint="eastAsia"/>
          <w:b/>
          <w:szCs w:val="21"/>
        </w:rPr>
        <w:t>、评价：</w:t>
      </w:r>
      <w:r>
        <w:rPr>
          <w:rFonts w:hint="eastAsia"/>
          <w:szCs w:val="21"/>
        </w:rPr>
        <w:t>课堂</w:t>
      </w:r>
      <w:r>
        <w:rPr>
          <w:szCs w:val="21"/>
        </w:rPr>
        <w:t>提问和课后</w:t>
      </w:r>
      <w:r>
        <w:rPr>
          <w:rFonts w:hint="eastAsia"/>
          <w:szCs w:val="21"/>
        </w:rPr>
        <w:t>互动、作业。</w:t>
      </w:r>
    </w:p>
    <w:p w14:paraId="6776FFF1" w14:textId="77777777" w:rsidR="00F5289E" w:rsidRDefault="00C91173">
      <w:pPr>
        <w:adjustRightInd w:val="0"/>
        <w:snapToGrid w:val="0"/>
        <w:spacing w:beforeLines="50" w:before="156" w:line="360" w:lineRule="auto"/>
        <w:ind w:firstLineChars="200" w:firstLine="422"/>
        <w:jc w:val="center"/>
        <w:rPr>
          <w:b/>
          <w:color w:val="000000"/>
          <w:spacing w:val="7"/>
          <w:sz w:val="28"/>
          <w:shd w:val="clear" w:color="auto" w:fill="FFFFFF"/>
        </w:rPr>
      </w:pPr>
      <w:r>
        <w:rPr>
          <w:rFonts w:ascii="宋体" w:hAnsi="宋体" w:hint="eastAsia"/>
          <w:b/>
          <w:szCs w:val="21"/>
        </w:rPr>
        <w:t xml:space="preserve">第三章 </w:t>
      </w:r>
      <w:r>
        <w:rPr>
          <w:rFonts w:ascii="宋体" w:hAnsi="宋体"/>
          <w:b/>
          <w:szCs w:val="21"/>
        </w:rPr>
        <w:t>花卉栽培的设施</w:t>
      </w:r>
    </w:p>
    <w:p w14:paraId="5B45C15A" w14:textId="77777777" w:rsidR="00F5289E" w:rsidRDefault="00C91173">
      <w:pPr>
        <w:adjustRightInd w:val="0"/>
        <w:snapToGrid w:val="0"/>
        <w:spacing w:line="360" w:lineRule="auto"/>
        <w:rPr>
          <w:rFonts w:ascii="宋体" w:hAnsi="宋体"/>
          <w:b/>
          <w:szCs w:val="21"/>
        </w:rPr>
      </w:pPr>
      <w:r>
        <w:rPr>
          <w:rFonts w:ascii="宋体" w:hAnsi="宋体" w:hint="eastAsia"/>
          <w:b/>
          <w:szCs w:val="21"/>
        </w:rPr>
        <w:t>（一）、学习目标</w:t>
      </w:r>
    </w:p>
    <w:p w14:paraId="1E177CC1" w14:textId="77777777" w:rsidR="00F5289E" w:rsidRDefault="00C91173">
      <w:pPr>
        <w:adjustRightInd w:val="0"/>
        <w:snapToGrid w:val="0"/>
        <w:spacing w:line="360" w:lineRule="auto"/>
        <w:ind w:firstLineChars="200" w:firstLine="422"/>
        <w:rPr>
          <w:rFonts w:ascii="宋体" w:hAnsi="宋体"/>
        </w:rPr>
      </w:pPr>
      <w:r>
        <w:rPr>
          <w:rFonts w:ascii="宋体" w:hAnsi="宋体" w:hint="eastAsia"/>
          <w:b/>
          <w:szCs w:val="21"/>
        </w:rPr>
        <w:t>1. 一般了解</w:t>
      </w:r>
      <w:r>
        <w:rPr>
          <w:rFonts w:ascii="宋体" w:hAnsi="宋体" w:hint="eastAsia"/>
          <w:szCs w:val="21"/>
        </w:rPr>
        <w:t>：</w:t>
      </w:r>
      <w:r>
        <w:rPr>
          <w:rFonts w:ascii="宋体" w:hAnsi="宋体" w:hint="eastAsia"/>
        </w:rPr>
        <w:t>花卉栽培的主要设施及其作用</w:t>
      </w:r>
    </w:p>
    <w:p w14:paraId="0619B08A"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rPr>
        <w:t>各类花卉对温室环境的要求</w:t>
      </w:r>
    </w:p>
    <w:p w14:paraId="229648FE"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ascii="宋体" w:hAnsi="宋体" w:hint="eastAsia"/>
        </w:rPr>
        <w:t xml:space="preserve"> 温室的结构、设计及内部环境控制 </w:t>
      </w:r>
    </w:p>
    <w:p w14:paraId="7A7B0E37" w14:textId="77777777" w:rsidR="00F5289E" w:rsidRDefault="00C91173">
      <w:pPr>
        <w:adjustRightInd w:val="0"/>
        <w:snapToGrid w:val="0"/>
        <w:spacing w:line="360" w:lineRule="auto"/>
        <w:rPr>
          <w:rFonts w:ascii="宋体" w:hAnsi="宋体"/>
          <w:szCs w:val="21"/>
        </w:rPr>
      </w:pPr>
      <w:r>
        <w:rPr>
          <w:rFonts w:ascii="宋体" w:hAnsi="宋体" w:hint="eastAsia"/>
          <w:b/>
          <w:szCs w:val="21"/>
        </w:rPr>
        <w:t>（二）、考核内容</w:t>
      </w:r>
    </w:p>
    <w:p w14:paraId="5DDD3AEE" w14:textId="77777777" w:rsidR="00F5289E" w:rsidRDefault="00C91173">
      <w:pPr>
        <w:adjustRightInd w:val="0"/>
        <w:snapToGrid w:val="0"/>
        <w:spacing w:line="360" w:lineRule="auto"/>
        <w:ind w:firstLineChars="200" w:firstLine="508"/>
        <w:rPr>
          <w:color w:val="000000"/>
          <w:spacing w:val="7"/>
          <w:sz w:val="24"/>
          <w:shd w:val="clear" w:color="auto" w:fill="FFFFFF"/>
        </w:rPr>
      </w:pPr>
      <w:r>
        <w:rPr>
          <w:color w:val="000000"/>
          <w:spacing w:val="7"/>
          <w:sz w:val="24"/>
          <w:shd w:val="clear" w:color="auto" w:fill="FFFFFF"/>
        </w:rPr>
        <w:t>温室的类型、构造、设计；大棚的类型、构造、设计。</w:t>
      </w:r>
    </w:p>
    <w:p w14:paraId="0B2AAC7B"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7F27B35C" w14:textId="77777777" w:rsidR="00F5289E" w:rsidRDefault="00C91173">
      <w:pPr>
        <w:adjustRightInd w:val="0"/>
        <w:snapToGrid w:val="0"/>
        <w:spacing w:line="360" w:lineRule="auto"/>
        <w:ind w:firstLineChars="200" w:firstLine="422"/>
      </w:pPr>
      <w:r>
        <w:rPr>
          <w:rFonts w:ascii="宋体" w:hAnsi="宋体" w:hint="eastAsia"/>
          <w:b/>
          <w:szCs w:val="21"/>
        </w:rPr>
        <w:t>1、应用</w:t>
      </w:r>
      <w:r>
        <w:rPr>
          <w:rFonts w:ascii="宋体" w:hAnsi="宋体" w:hint="eastAsia"/>
          <w:szCs w:val="21"/>
        </w:rPr>
        <w:t>：</w:t>
      </w:r>
      <w:r>
        <w:t>大棚在花卉栽培中的应用</w:t>
      </w:r>
      <w:r>
        <w:rPr>
          <w:rFonts w:hint="eastAsia"/>
        </w:rPr>
        <w:t>，</w:t>
      </w:r>
      <w:r>
        <w:t>荫棚在花卉栽培中的应用</w:t>
      </w:r>
      <w:r>
        <w:rPr>
          <w:rFonts w:hint="eastAsia"/>
        </w:rPr>
        <w:t>。</w:t>
      </w:r>
    </w:p>
    <w:p w14:paraId="3118D7F8" w14:textId="77777777" w:rsidR="00F5289E" w:rsidRDefault="00C91173">
      <w:pPr>
        <w:adjustRightInd w:val="0"/>
        <w:snapToGrid w:val="0"/>
        <w:spacing w:line="360" w:lineRule="auto"/>
        <w:ind w:firstLineChars="200" w:firstLine="422"/>
        <w:rPr>
          <w:color w:val="000000"/>
          <w:spacing w:val="7"/>
          <w:sz w:val="24"/>
          <w:shd w:val="clear" w:color="auto" w:fill="FFFFFF"/>
        </w:rPr>
      </w:pPr>
      <w:r>
        <w:rPr>
          <w:rFonts w:ascii="宋体" w:hAnsi="宋体" w:hint="eastAsia"/>
          <w:b/>
          <w:szCs w:val="21"/>
        </w:rPr>
        <w:t>2、综合</w:t>
      </w:r>
      <w:r>
        <w:rPr>
          <w:rFonts w:ascii="宋体" w:hAnsi="宋体" w:hint="eastAsia"/>
          <w:szCs w:val="21"/>
        </w:rPr>
        <w:t>：</w:t>
      </w:r>
      <w:r>
        <w:t>利用温室进行花卉的周年生产</w:t>
      </w:r>
      <w:r>
        <w:rPr>
          <w:rFonts w:hint="eastAsia"/>
        </w:rPr>
        <w:t>。</w:t>
      </w:r>
    </w:p>
    <w:p w14:paraId="21220F33" w14:textId="77777777" w:rsidR="00F5289E" w:rsidRDefault="00C91173">
      <w:pPr>
        <w:adjustRightInd w:val="0"/>
        <w:snapToGrid w:val="0"/>
        <w:spacing w:line="360" w:lineRule="auto"/>
        <w:ind w:firstLineChars="200" w:firstLine="422"/>
        <w:rPr>
          <w:rFonts w:ascii="宋体" w:hAnsi="宋体"/>
          <w:szCs w:val="21"/>
        </w:rPr>
      </w:pPr>
      <w:r>
        <w:rPr>
          <w:b/>
          <w:szCs w:val="21"/>
        </w:rPr>
        <w:t>3</w:t>
      </w:r>
      <w:r>
        <w:rPr>
          <w:rFonts w:hint="eastAsia"/>
          <w:b/>
          <w:szCs w:val="21"/>
        </w:rPr>
        <w:t>、评价：</w:t>
      </w:r>
      <w:r>
        <w:rPr>
          <w:rFonts w:hint="eastAsia"/>
          <w:szCs w:val="21"/>
        </w:rPr>
        <w:t>课堂提问和作业、小组讨论。</w:t>
      </w:r>
    </w:p>
    <w:p w14:paraId="32ADE3A8" w14:textId="77777777" w:rsidR="00F5289E" w:rsidRDefault="00C91173">
      <w:pPr>
        <w:adjustRightInd w:val="0"/>
        <w:snapToGrid w:val="0"/>
        <w:spacing w:beforeLines="50" w:before="156" w:line="360" w:lineRule="auto"/>
        <w:ind w:firstLineChars="200" w:firstLine="422"/>
        <w:jc w:val="center"/>
        <w:rPr>
          <w:rFonts w:ascii="宋体" w:hAnsi="宋体"/>
          <w:b/>
          <w:szCs w:val="21"/>
        </w:rPr>
      </w:pPr>
      <w:r>
        <w:rPr>
          <w:rFonts w:ascii="宋体" w:hAnsi="宋体" w:hint="eastAsia"/>
          <w:b/>
          <w:szCs w:val="21"/>
        </w:rPr>
        <w:t xml:space="preserve">第四章  </w:t>
      </w:r>
      <w:r>
        <w:rPr>
          <w:rFonts w:ascii="宋体" w:hAnsi="宋体"/>
          <w:b/>
          <w:szCs w:val="21"/>
        </w:rPr>
        <w:t>花卉的繁殖</w:t>
      </w:r>
    </w:p>
    <w:p w14:paraId="54036C7C" w14:textId="77777777" w:rsidR="00F5289E" w:rsidRDefault="00C91173">
      <w:pPr>
        <w:adjustRightInd w:val="0"/>
        <w:snapToGrid w:val="0"/>
        <w:spacing w:line="360" w:lineRule="auto"/>
        <w:rPr>
          <w:rFonts w:ascii="宋体" w:hAnsi="宋体"/>
          <w:b/>
          <w:szCs w:val="21"/>
        </w:rPr>
      </w:pPr>
      <w:r>
        <w:rPr>
          <w:rFonts w:ascii="宋体" w:hAnsi="宋体" w:hint="eastAsia"/>
          <w:b/>
          <w:szCs w:val="21"/>
        </w:rPr>
        <w:t>（一）、学习目标</w:t>
      </w:r>
    </w:p>
    <w:p w14:paraId="2265C3B0" w14:textId="77777777" w:rsidR="00F5289E" w:rsidRDefault="00C91173">
      <w:pPr>
        <w:adjustRightInd w:val="0"/>
        <w:snapToGrid w:val="0"/>
        <w:spacing w:line="360" w:lineRule="auto"/>
        <w:ind w:firstLineChars="200" w:firstLine="422"/>
      </w:pPr>
      <w:r>
        <w:rPr>
          <w:rFonts w:ascii="宋体" w:hAnsi="宋体" w:hint="eastAsia"/>
          <w:b/>
          <w:szCs w:val="21"/>
        </w:rPr>
        <w:t>1. 一般了解</w:t>
      </w:r>
      <w:r>
        <w:rPr>
          <w:rFonts w:ascii="宋体" w:hAnsi="宋体" w:hint="eastAsia"/>
          <w:szCs w:val="21"/>
        </w:rPr>
        <w:t>：</w:t>
      </w:r>
      <w:r>
        <w:rPr>
          <w:rFonts w:ascii="宋体" w:hAnsi="宋体" w:hint="eastAsia"/>
        </w:rPr>
        <w:t>种</w:t>
      </w:r>
      <w:r>
        <w:rPr>
          <w:rFonts w:hint="eastAsia"/>
        </w:rPr>
        <w:t>子</w:t>
      </w:r>
      <w:r>
        <w:t>繁殖</w:t>
      </w:r>
      <w:r>
        <w:rPr>
          <w:rFonts w:hint="eastAsia"/>
        </w:rPr>
        <w:t>的特点，</w:t>
      </w:r>
      <w:r>
        <w:rPr>
          <w:shd w:val="clear" w:color="auto" w:fill="FFFFFF"/>
        </w:rPr>
        <w:t>无性繁殖的特点</w:t>
      </w:r>
      <w:r>
        <w:rPr>
          <w:rFonts w:hint="eastAsia"/>
          <w:shd w:val="clear" w:color="auto" w:fill="FFFFFF"/>
        </w:rPr>
        <w:t>。</w:t>
      </w:r>
      <w:r>
        <w:rPr>
          <w:rFonts w:ascii="宋体" w:hAnsi="宋体" w:hint="eastAsia"/>
        </w:rPr>
        <w:t xml:space="preserve"> </w:t>
      </w:r>
    </w:p>
    <w:p w14:paraId="35110D55"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种子的获取、贮藏与检验方法</w:t>
      </w:r>
      <w:r>
        <w:rPr>
          <w:rFonts w:ascii="宋体" w:hAnsi="宋体" w:hint="eastAsia"/>
        </w:rPr>
        <w:t>，</w:t>
      </w:r>
      <w:r>
        <w:rPr>
          <w:rFonts w:hint="eastAsia"/>
        </w:rPr>
        <w:t>播种前种子处理方法及播种时期的选择，</w:t>
      </w:r>
      <w:r>
        <w:rPr>
          <w:rFonts w:ascii="宋体" w:hAnsi="宋体" w:hint="eastAsia"/>
        </w:rPr>
        <w:t>分生繁殖的方法，</w:t>
      </w:r>
      <w:r>
        <w:rPr>
          <w:shd w:val="clear" w:color="auto" w:fill="FFFFFF"/>
        </w:rPr>
        <w:t>扦插和压条，嫁接</w:t>
      </w:r>
      <w:r>
        <w:rPr>
          <w:rFonts w:hint="eastAsia"/>
          <w:shd w:val="clear" w:color="auto" w:fill="FFFFFF"/>
        </w:rPr>
        <w:t>等方法。</w:t>
      </w:r>
    </w:p>
    <w:p w14:paraId="6A3939E9"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shd w:val="clear" w:color="auto" w:fill="FFFFFF"/>
        </w:rPr>
        <w:t>组织培养</w:t>
      </w:r>
      <w:r>
        <w:rPr>
          <w:rFonts w:hint="eastAsia"/>
          <w:shd w:val="clear" w:color="auto" w:fill="FFFFFF"/>
        </w:rPr>
        <w:t xml:space="preserve">。　</w:t>
      </w:r>
    </w:p>
    <w:p w14:paraId="306F9D27" w14:textId="77777777" w:rsidR="00F5289E" w:rsidRDefault="00C91173">
      <w:pPr>
        <w:adjustRightInd w:val="0"/>
        <w:snapToGrid w:val="0"/>
        <w:spacing w:line="360" w:lineRule="auto"/>
        <w:rPr>
          <w:rFonts w:ascii="宋体" w:hAnsi="宋体"/>
          <w:szCs w:val="21"/>
        </w:rPr>
      </w:pPr>
      <w:r>
        <w:rPr>
          <w:rFonts w:ascii="宋体" w:hAnsi="宋体" w:hint="eastAsia"/>
          <w:b/>
          <w:szCs w:val="21"/>
        </w:rPr>
        <w:t>（二）、考核内容</w:t>
      </w:r>
    </w:p>
    <w:p w14:paraId="44EC9E29" w14:textId="77777777" w:rsidR="00F5289E" w:rsidRDefault="00C91173">
      <w:pPr>
        <w:adjustRightInd w:val="0"/>
        <w:snapToGrid w:val="0"/>
        <w:spacing w:line="360" w:lineRule="auto"/>
        <w:ind w:firstLineChars="200" w:firstLine="420"/>
        <w:rPr>
          <w:rFonts w:ascii="宋体" w:hAnsi="宋体"/>
        </w:rPr>
      </w:pPr>
      <w:r>
        <w:rPr>
          <w:rFonts w:ascii="宋体" w:hAnsi="宋体"/>
        </w:rPr>
        <w:t>花卉的播种繁殖、花卉的营养繁殖。</w:t>
      </w:r>
    </w:p>
    <w:p w14:paraId="447C5F30"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725C9B89" w14:textId="77777777" w:rsidR="00F5289E" w:rsidRDefault="00C91173">
      <w:pPr>
        <w:adjustRightInd w:val="0"/>
        <w:snapToGrid w:val="0"/>
        <w:spacing w:line="360" w:lineRule="auto"/>
        <w:ind w:firstLineChars="200" w:firstLine="422"/>
      </w:pPr>
      <w:r>
        <w:rPr>
          <w:rFonts w:ascii="宋体" w:hAnsi="宋体" w:hint="eastAsia"/>
          <w:b/>
          <w:szCs w:val="21"/>
        </w:rPr>
        <w:t>1、应用</w:t>
      </w:r>
      <w:r>
        <w:rPr>
          <w:rFonts w:ascii="宋体" w:hAnsi="宋体" w:hint="eastAsia"/>
          <w:szCs w:val="21"/>
        </w:rPr>
        <w:t>：</w:t>
      </w:r>
      <w:r>
        <w:t>营养繁殖方法的理解与掌握</w:t>
      </w:r>
      <w:r>
        <w:rPr>
          <w:rFonts w:hint="eastAsia"/>
        </w:rPr>
        <w:t>。</w:t>
      </w:r>
    </w:p>
    <w:p w14:paraId="65C7D492" w14:textId="77777777" w:rsidR="00F5289E" w:rsidRDefault="00C91173">
      <w:pPr>
        <w:adjustRightInd w:val="0"/>
        <w:snapToGrid w:val="0"/>
        <w:spacing w:line="360" w:lineRule="auto"/>
        <w:ind w:firstLineChars="200" w:firstLine="422"/>
      </w:pPr>
      <w:r>
        <w:rPr>
          <w:rFonts w:ascii="宋体" w:hAnsi="宋体" w:hint="eastAsia"/>
          <w:b/>
          <w:szCs w:val="21"/>
        </w:rPr>
        <w:t>2、综合</w:t>
      </w:r>
      <w:r>
        <w:rPr>
          <w:rFonts w:ascii="宋体" w:hAnsi="宋体" w:hint="eastAsia"/>
          <w:szCs w:val="21"/>
        </w:rPr>
        <w:t>：</w:t>
      </w:r>
      <w:r>
        <w:t>花卉的播种繁殖</w:t>
      </w:r>
      <w:r>
        <w:rPr>
          <w:rFonts w:hint="eastAsia"/>
        </w:rPr>
        <w:t>。</w:t>
      </w:r>
    </w:p>
    <w:p w14:paraId="3E32E458" w14:textId="77777777" w:rsidR="00F5289E" w:rsidRDefault="00C91173">
      <w:pPr>
        <w:adjustRightInd w:val="0"/>
        <w:snapToGrid w:val="0"/>
        <w:spacing w:line="360" w:lineRule="auto"/>
        <w:ind w:firstLineChars="200" w:firstLine="422"/>
        <w:rPr>
          <w:szCs w:val="21"/>
        </w:rPr>
      </w:pPr>
      <w:r>
        <w:rPr>
          <w:b/>
          <w:szCs w:val="21"/>
        </w:rPr>
        <w:t>3</w:t>
      </w:r>
      <w:r>
        <w:rPr>
          <w:rFonts w:hint="eastAsia"/>
          <w:b/>
          <w:szCs w:val="21"/>
        </w:rPr>
        <w:t>、评价：</w:t>
      </w:r>
      <w:r>
        <w:rPr>
          <w:rFonts w:hint="eastAsia"/>
          <w:szCs w:val="21"/>
        </w:rPr>
        <w:t>课堂提问和课后互动、小组讨论。</w:t>
      </w:r>
    </w:p>
    <w:p w14:paraId="416ECEBF" w14:textId="77777777" w:rsidR="00F5289E" w:rsidRDefault="00F5289E">
      <w:pPr>
        <w:adjustRightInd w:val="0"/>
        <w:snapToGrid w:val="0"/>
        <w:spacing w:line="360" w:lineRule="auto"/>
        <w:ind w:firstLineChars="200" w:firstLine="420"/>
        <w:rPr>
          <w:szCs w:val="21"/>
        </w:rPr>
      </w:pPr>
    </w:p>
    <w:p w14:paraId="52FE59DD" w14:textId="77777777" w:rsidR="00F5289E" w:rsidRDefault="00F5289E">
      <w:pPr>
        <w:adjustRightInd w:val="0"/>
        <w:snapToGrid w:val="0"/>
        <w:spacing w:line="360" w:lineRule="auto"/>
        <w:ind w:firstLineChars="200" w:firstLine="420"/>
        <w:rPr>
          <w:szCs w:val="21"/>
        </w:rPr>
      </w:pPr>
    </w:p>
    <w:p w14:paraId="02CA6362" w14:textId="77777777" w:rsidR="00F5289E" w:rsidRDefault="00F5289E">
      <w:pPr>
        <w:adjustRightInd w:val="0"/>
        <w:snapToGrid w:val="0"/>
        <w:spacing w:line="360" w:lineRule="auto"/>
        <w:ind w:firstLineChars="200" w:firstLine="420"/>
        <w:rPr>
          <w:szCs w:val="21"/>
        </w:rPr>
      </w:pPr>
    </w:p>
    <w:p w14:paraId="29534FE4" w14:textId="77777777" w:rsidR="00F5289E" w:rsidRDefault="00C91173">
      <w:pPr>
        <w:adjustRightInd w:val="0"/>
        <w:snapToGrid w:val="0"/>
        <w:spacing w:beforeLines="50" w:before="156" w:line="360" w:lineRule="auto"/>
        <w:ind w:firstLineChars="200" w:firstLine="422"/>
        <w:jc w:val="center"/>
      </w:pPr>
      <w:r>
        <w:rPr>
          <w:rFonts w:ascii="宋体" w:hAnsi="宋体" w:hint="eastAsia"/>
          <w:b/>
          <w:szCs w:val="21"/>
        </w:rPr>
        <w:t xml:space="preserve">第五章  </w:t>
      </w:r>
      <w:r>
        <w:rPr>
          <w:rFonts w:ascii="宋体" w:hAnsi="宋体"/>
          <w:b/>
          <w:szCs w:val="21"/>
        </w:rPr>
        <w:t>花卉的栽培管理</w:t>
      </w:r>
    </w:p>
    <w:p w14:paraId="7C2C9486" w14:textId="77777777" w:rsidR="00F5289E" w:rsidRDefault="00C91173">
      <w:pPr>
        <w:adjustRightInd w:val="0"/>
        <w:snapToGrid w:val="0"/>
        <w:spacing w:line="360" w:lineRule="auto"/>
        <w:rPr>
          <w:rFonts w:ascii="宋体" w:hAnsi="宋体"/>
          <w:b/>
          <w:szCs w:val="21"/>
        </w:rPr>
      </w:pPr>
      <w:r>
        <w:rPr>
          <w:rFonts w:ascii="宋体" w:hAnsi="宋体" w:hint="eastAsia"/>
          <w:b/>
          <w:szCs w:val="21"/>
        </w:rPr>
        <w:t>（一）、学习目标</w:t>
      </w:r>
    </w:p>
    <w:p w14:paraId="554AE073" w14:textId="77777777" w:rsidR="00F5289E" w:rsidRDefault="00C91173">
      <w:pPr>
        <w:adjustRightInd w:val="0"/>
        <w:snapToGrid w:val="0"/>
        <w:spacing w:line="360" w:lineRule="auto"/>
        <w:ind w:firstLineChars="200" w:firstLine="422"/>
        <w:rPr>
          <w:rFonts w:ascii="宋体" w:hAnsi="宋体"/>
        </w:rPr>
      </w:pPr>
      <w:r>
        <w:rPr>
          <w:rFonts w:ascii="宋体" w:hAnsi="宋体" w:hint="eastAsia"/>
          <w:b/>
          <w:szCs w:val="21"/>
        </w:rPr>
        <w:t xml:space="preserve"> 熟练掌握</w:t>
      </w:r>
      <w:r>
        <w:rPr>
          <w:rFonts w:ascii="宋体" w:hAnsi="宋体" w:hint="eastAsia"/>
          <w:szCs w:val="21"/>
        </w:rPr>
        <w:t>：</w:t>
      </w:r>
      <w:r>
        <w:rPr>
          <w:shd w:val="clear" w:color="auto" w:fill="FFFFFF"/>
        </w:rPr>
        <w:t>露地花卉的栽培管理</w:t>
      </w:r>
      <w:r>
        <w:rPr>
          <w:rFonts w:ascii="宋体" w:hAnsi="宋体" w:hint="eastAsia"/>
        </w:rPr>
        <w:t>，</w:t>
      </w:r>
      <w:r>
        <w:rPr>
          <w:rFonts w:hint="eastAsia"/>
          <w:shd w:val="clear" w:color="auto" w:fill="FFFFFF"/>
        </w:rPr>
        <w:t>温室</w:t>
      </w:r>
      <w:r>
        <w:rPr>
          <w:shd w:val="clear" w:color="auto" w:fill="FFFFFF"/>
        </w:rPr>
        <w:t>花卉的栽培管理</w:t>
      </w:r>
      <w:r>
        <w:rPr>
          <w:rFonts w:hint="eastAsia"/>
          <w:shd w:val="clear" w:color="auto" w:fill="FFFFFF"/>
        </w:rPr>
        <w:t>。</w:t>
      </w:r>
      <w:r>
        <w:rPr>
          <w:rFonts w:ascii="宋体" w:hAnsi="宋体" w:hint="eastAsia"/>
        </w:rPr>
        <w:t xml:space="preserve"> </w:t>
      </w:r>
    </w:p>
    <w:p w14:paraId="34917AB6" w14:textId="77777777" w:rsidR="00F5289E" w:rsidRDefault="00C91173">
      <w:pPr>
        <w:adjustRightInd w:val="0"/>
        <w:snapToGrid w:val="0"/>
        <w:spacing w:line="360" w:lineRule="auto"/>
        <w:rPr>
          <w:rFonts w:ascii="宋体" w:hAnsi="宋体"/>
          <w:szCs w:val="21"/>
        </w:rPr>
      </w:pPr>
      <w:r>
        <w:rPr>
          <w:rFonts w:ascii="宋体" w:hAnsi="宋体" w:hint="eastAsia"/>
          <w:b/>
          <w:szCs w:val="21"/>
        </w:rPr>
        <w:t>（二）、考核内容</w:t>
      </w:r>
    </w:p>
    <w:p w14:paraId="4C1D7747" w14:textId="77777777" w:rsidR="00F5289E" w:rsidRDefault="00C91173">
      <w:pPr>
        <w:adjustRightInd w:val="0"/>
        <w:snapToGrid w:val="0"/>
        <w:spacing w:line="360" w:lineRule="auto"/>
        <w:ind w:firstLineChars="200" w:firstLine="420"/>
        <w:rPr>
          <w:shd w:val="clear" w:color="auto" w:fill="FFFFFF"/>
        </w:rPr>
      </w:pPr>
      <w:r>
        <w:rPr>
          <w:shd w:val="clear" w:color="auto" w:fill="FFFFFF"/>
        </w:rPr>
        <w:t>上盆、转盆、倒盆、换盆等栽培环节的定义；无土栽培的定义。露地花卉施肥注意事项；温、光、湿调节在温室花卉栽培中的意义；露地、盆栽花卉栽培管理上的差别；营养液的配制时的注意事项。</w:t>
      </w:r>
    </w:p>
    <w:p w14:paraId="2175AC7F"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3A67457A" w14:textId="77777777" w:rsidR="00F5289E" w:rsidRDefault="00C91173">
      <w:pPr>
        <w:adjustRightInd w:val="0"/>
        <w:snapToGrid w:val="0"/>
        <w:spacing w:line="360" w:lineRule="auto"/>
        <w:ind w:firstLineChars="200" w:firstLine="422"/>
      </w:pPr>
      <w:r>
        <w:rPr>
          <w:rFonts w:ascii="宋体" w:hAnsi="宋体" w:hint="eastAsia"/>
          <w:b/>
          <w:szCs w:val="21"/>
        </w:rPr>
        <w:t>1、识记</w:t>
      </w:r>
      <w:r>
        <w:rPr>
          <w:rFonts w:ascii="宋体" w:hAnsi="宋体" w:hint="eastAsia"/>
          <w:szCs w:val="21"/>
        </w:rPr>
        <w:t>：</w:t>
      </w:r>
      <w:r>
        <w:t>无土栽培的定义</w:t>
      </w:r>
      <w:r>
        <w:rPr>
          <w:rFonts w:hint="eastAsia"/>
        </w:rPr>
        <w:t>。</w:t>
      </w:r>
    </w:p>
    <w:p w14:paraId="26E11BC9" w14:textId="77777777" w:rsidR="00F5289E" w:rsidRDefault="00C91173">
      <w:pPr>
        <w:adjustRightInd w:val="0"/>
        <w:snapToGrid w:val="0"/>
        <w:spacing w:line="360" w:lineRule="auto"/>
        <w:ind w:firstLineChars="200" w:firstLine="422"/>
        <w:rPr>
          <w:shd w:val="clear" w:color="auto" w:fill="FFFFFF"/>
        </w:rPr>
      </w:pPr>
      <w:r>
        <w:rPr>
          <w:rFonts w:ascii="宋体" w:hAnsi="宋体" w:hint="eastAsia"/>
          <w:b/>
          <w:szCs w:val="21"/>
        </w:rPr>
        <w:t>2、领会</w:t>
      </w:r>
      <w:r>
        <w:rPr>
          <w:rFonts w:ascii="宋体" w:hAnsi="宋体" w:hint="eastAsia"/>
          <w:szCs w:val="21"/>
        </w:rPr>
        <w:t>：</w:t>
      </w:r>
      <w:r>
        <w:rPr>
          <w:shd w:val="clear" w:color="auto" w:fill="FFFFFF"/>
        </w:rPr>
        <w:t>进行露地、盆栽花卉栽培时的栽培管理技术要领</w:t>
      </w:r>
      <w:r>
        <w:rPr>
          <w:rFonts w:hint="eastAsia"/>
          <w:shd w:val="clear" w:color="auto" w:fill="FFFFFF"/>
        </w:rPr>
        <w:t>。</w:t>
      </w:r>
    </w:p>
    <w:p w14:paraId="24F3A5EB" w14:textId="77777777" w:rsidR="00F5289E" w:rsidRDefault="00C91173">
      <w:pPr>
        <w:adjustRightInd w:val="0"/>
        <w:snapToGrid w:val="0"/>
        <w:spacing w:line="360" w:lineRule="auto"/>
        <w:ind w:firstLineChars="200" w:firstLine="422"/>
      </w:pPr>
      <w:r>
        <w:rPr>
          <w:rFonts w:ascii="宋体" w:hAnsi="宋体" w:hint="eastAsia"/>
          <w:b/>
          <w:szCs w:val="21"/>
        </w:rPr>
        <w:t>3、应用</w:t>
      </w:r>
      <w:r>
        <w:rPr>
          <w:rFonts w:ascii="宋体" w:hAnsi="宋体" w:hint="eastAsia"/>
          <w:szCs w:val="21"/>
        </w:rPr>
        <w:t>：</w:t>
      </w:r>
      <w:r>
        <w:t>营养液的配制</w:t>
      </w:r>
      <w:r>
        <w:rPr>
          <w:rFonts w:hint="eastAsia"/>
        </w:rPr>
        <w:t>。</w:t>
      </w:r>
    </w:p>
    <w:p w14:paraId="3230EF2E" w14:textId="77777777" w:rsidR="00F5289E" w:rsidRDefault="00C91173">
      <w:pPr>
        <w:adjustRightInd w:val="0"/>
        <w:snapToGrid w:val="0"/>
        <w:spacing w:line="360" w:lineRule="auto"/>
        <w:ind w:firstLineChars="200" w:firstLine="422"/>
        <w:rPr>
          <w:szCs w:val="21"/>
        </w:rPr>
      </w:pPr>
      <w:r>
        <w:rPr>
          <w:b/>
          <w:szCs w:val="21"/>
        </w:rPr>
        <w:t>4</w:t>
      </w:r>
      <w:r>
        <w:rPr>
          <w:rFonts w:hint="eastAsia"/>
          <w:b/>
          <w:szCs w:val="21"/>
        </w:rPr>
        <w:t>、评价：</w:t>
      </w:r>
      <w:r>
        <w:rPr>
          <w:rFonts w:hint="eastAsia"/>
          <w:szCs w:val="21"/>
        </w:rPr>
        <w:t>课堂提问和课后互动、小组讨论。</w:t>
      </w:r>
    </w:p>
    <w:p w14:paraId="1A548424" w14:textId="77777777" w:rsidR="00F5289E" w:rsidRDefault="00C91173">
      <w:pPr>
        <w:adjustRightInd w:val="0"/>
        <w:snapToGrid w:val="0"/>
        <w:spacing w:beforeLines="50" w:before="156" w:line="360" w:lineRule="auto"/>
        <w:ind w:firstLineChars="200" w:firstLine="422"/>
        <w:jc w:val="center"/>
        <w:rPr>
          <w:rFonts w:ascii="宋体" w:hAnsi="宋体" w:cs="宋体"/>
          <w:kern w:val="0"/>
          <w:sz w:val="24"/>
        </w:rPr>
      </w:pPr>
      <w:r>
        <w:rPr>
          <w:rFonts w:ascii="宋体" w:hAnsi="宋体" w:hint="eastAsia"/>
          <w:b/>
          <w:szCs w:val="21"/>
        </w:rPr>
        <w:t xml:space="preserve">第六章  </w:t>
      </w:r>
      <w:r>
        <w:rPr>
          <w:b/>
          <w:bCs/>
          <w:kern w:val="0"/>
          <w:szCs w:val="21"/>
        </w:rPr>
        <w:t>花卉的</w:t>
      </w:r>
      <w:r>
        <w:rPr>
          <w:rFonts w:hint="eastAsia"/>
          <w:b/>
          <w:bCs/>
          <w:kern w:val="0"/>
          <w:szCs w:val="21"/>
        </w:rPr>
        <w:t>应用</w:t>
      </w:r>
    </w:p>
    <w:p w14:paraId="375E170B" w14:textId="77777777" w:rsidR="00F5289E" w:rsidRDefault="00C91173">
      <w:pPr>
        <w:adjustRightInd w:val="0"/>
        <w:snapToGrid w:val="0"/>
        <w:spacing w:line="360" w:lineRule="auto"/>
        <w:rPr>
          <w:rFonts w:ascii="宋体" w:hAnsi="宋体"/>
          <w:b/>
          <w:szCs w:val="21"/>
        </w:rPr>
      </w:pPr>
      <w:r>
        <w:rPr>
          <w:rFonts w:ascii="宋体" w:hAnsi="宋体" w:hint="eastAsia"/>
          <w:b/>
          <w:szCs w:val="21"/>
        </w:rPr>
        <w:t>（一）、学习目标</w:t>
      </w:r>
    </w:p>
    <w:p w14:paraId="2FA6E327" w14:textId="77777777" w:rsidR="00F5289E" w:rsidRDefault="00C91173">
      <w:pPr>
        <w:adjustRightInd w:val="0"/>
        <w:snapToGrid w:val="0"/>
        <w:spacing w:line="360" w:lineRule="auto"/>
        <w:ind w:firstLineChars="200" w:firstLine="422"/>
        <w:rPr>
          <w:shd w:val="clear" w:color="auto" w:fill="FFFFFF"/>
        </w:rPr>
      </w:pPr>
      <w:r>
        <w:rPr>
          <w:rFonts w:ascii="宋体" w:hAnsi="宋体" w:hint="eastAsia"/>
          <w:b/>
          <w:szCs w:val="21"/>
        </w:rPr>
        <w:t>1. 一般了解</w:t>
      </w:r>
      <w:r>
        <w:rPr>
          <w:rFonts w:ascii="宋体" w:hAnsi="宋体" w:hint="eastAsia"/>
          <w:szCs w:val="21"/>
        </w:rPr>
        <w:t>：</w:t>
      </w:r>
      <w:r>
        <w:rPr>
          <w:shd w:val="clear" w:color="auto" w:fill="FFFFFF"/>
        </w:rPr>
        <w:t>各种花卉应用的方式与方法</w:t>
      </w:r>
      <w:r>
        <w:rPr>
          <w:rFonts w:hint="eastAsia"/>
          <w:shd w:val="clear" w:color="auto" w:fill="FFFFFF"/>
        </w:rPr>
        <w:t>。</w:t>
      </w:r>
    </w:p>
    <w:p w14:paraId="3065270F" w14:textId="77777777" w:rsidR="00F5289E" w:rsidRDefault="00C91173">
      <w:pPr>
        <w:adjustRightInd w:val="0"/>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shd w:val="clear" w:color="auto" w:fill="FFFFFF"/>
        </w:rPr>
        <w:t>花卉在园林应用中的养护</w:t>
      </w:r>
      <w:r>
        <w:rPr>
          <w:rFonts w:ascii="宋体" w:hAnsi="宋体" w:hint="eastAsia"/>
          <w:szCs w:val="21"/>
        </w:rPr>
        <w:t>，</w:t>
      </w:r>
      <w:r>
        <w:rPr>
          <w:shd w:val="clear" w:color="auto" w:fill="FFFFFF"/>
        </w:rPr>
        <w:t>花卉装饰材料与应用</w:t>
      </w:r>
      <w:r>
        <w:rPr>
          <w:rFonts w:hint="eastAsia"/>
          <w:shd w:val="clear" w:color="auto" w:fill="FFFFFF"/>
        </w:rPr>
        <w:t>，</w:t>
      </w:r>
      <w:r>
        <w:rPr>
          <w:shd w:val="clear" w:color="auto" w:fill="FFFFFF"/>
        </w:rPr>
        <w:t>花卉装饰的设计</w:t>
      </w:r>
      <w:r>
        <w:rPr>
          <w:rFonts w:hint="eastAsia"/>
          <w:shd w:val="clear" w:color="auto" w:fill="FFFFFF"/>
        </w:rPr>
        <w:t>。</w:t>
      </w:r>
    </w:p>
    <w:p w14:paraId="339846C3" w14:textId="77777777" w:rsidR="00F5289E" w:rsidRDefault="00C91173">
      <w:pPr>
        <w:adjustRightInd w:val="0"/>
        <w:snapToGrid w:val="0"/>
        <w:spacing w:line="360" w:lineRule="auto"/>
        <w:rPr>
          <w:rFonts w:ascii="宋体" w:hAnsi="宋体"/>
          <w:szCs w:val="21"/>
        </w:rPr>
      </w:pPr>
      <w:r>
        <w:rPr>
          <w:rFonts w:ascii="宋体" w:hAnsi="宋体" w:hint="eastAsia"/>
          <w:b/>
          <w:szCs w:val="21"/>
        </w:rPr>
        <w:t>（二）、考核内容</w:t>
      </w:r>
    </w:p>
    <w:p w14:paraId="73DF7849" w14:textId="77777777" w:rsidR="00F5289E" w:rsidRDefault="00C91173">
      <w:pPr>
        <w:adjustRightInd w:val="0"/>
        <w:snapToGrid w:val="0"/>
        <w:spacing w:line="360" w:lineRule="auto"/>
        <w:ind w:firstLineChars="200" w:firstLine="420"/>
        <w:rPr>
          <w:shd w:val="clear" w:color="auto" w:fill="FFFFFF"/>
        </w:rPr>
      </w:pPr>
      <w:r>
        <w:rPr>
          <w:shd w:val="clear" w:color="auto" w:fill="FFFFFF"/>
        </w:rPr>
        <w:t>花卉的应用方式。</w:t>
      </w:r>
    </w:p>
    <w:p w14:paraId="5F16735E"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7B54B7E2" w14:textId="77777777" w:rsidR="00F5289E" w:rsidRDefault="00C91173">
      <w:pPr>
        <w:adjustRightInd w:val="0"/>
        <w:snapToGrid w:val="0"/>
        <w:spacing w:line="360" w:lineRule="auto"/>
        <w:ind w:firstLineChars="200" w:firstLine="422"/>
      </w:pPr>
      <w:r>
        <w:rPr>
          <w:rFonts w:ascii="宋体" w:hAnsi="宋体" w:hint="eastAsia"/>
          <w:b/>
          <w:szCs w:val="21"/>
        </w:rPr>
        <w:t>1、领会</w:t>
      </w:r>
      <w:r>
        <w:rPr>
          <w:rFonts w:ascii="宋体" w:hAnsi="宋体" w:hint="eastAsia"/>
          <w:szCs w:val="21"/>
        </w:rPr>
        <w:t>：</w:t>
      </w:r>
      <w:r>
        <w:t>花卉植物配置与应用的原则</w:t>
      </w:r>
      <w:r>
        <w:rPr>
          <w:rFonts w:hint="eastAsia"/>
        </w:rPr>
        <w:t>。</w:t>
      </w:r>
    </w:p>
    <w:p w14:paraId="7C1F5807" w14:textId="77777777" w:rsidR="00F5289E" w:rsidRDefault="00C91173">
      <w:pPr>
        <w:adjustRightInd w:val="0"/>
        <w:snapToGrid w:val="0"/>
        <w:spacing w:line="360" w:lineRule="auto"/>
        <w:ind w:firstLineChars="200" w:firstLine="422"/>
      </w:pPr>
      <w:r>
        <w:rPr>
          <w:rFonts w:ascii="宋体" w:hAnsi="宋体" w:hint="eastAsia"/>
          <w:b/>
          <w:szCs w:val="21"/>
        </w:rPr>
        <w:t>2、应用</w:t>
      </w:r>
      <w:r>
        <w:rPr>
          <w:rFonts w:ascii="宋体" w:hAnsi="宋体" w:hint="eastAsia"/>
          <w:szCs w:val="21"/>
        </w:rPr>
        <w:t>：</w:t>
      </w:r>
      <w:r>
        <w:t>卉为主的植物配置与应用</w:t>
      </w:r>
      <w:r>
        <w:rPr>
          <w:rFonts w:hint="eastAsia"/>
        </w:rPr>
        <w:t>。</w:t>
      </w:r>
    </w:p>
    <w:p w14:paraId="5980F95B" w14:textId="77777777" w:rsidR="00F5289E" w:rsidRDefault="00C91173">
      <w:pPr>
        <w:adjustRightInd w:val="0"/>
        <w:snapToGrid w:val="0"/>
        <w:spacing w:line="360" w:lineRule="auto"/>
        <w:ind w:firstLineChars="200" w:firstLine="422"/>
        <w:rPr>
          <w:rFonts w:hAnsi="宋体"/>
          <w:b/>
        </w:rPr>
      </w:pPr>
      <w:r>
        <w:rPr>
          <w:b/>
          <w:szCs w:val="21"/>
        </w:rPr>
        <w:t>3</w:t>
      </w:r>
      <w:r>
        <w:rPr>
          <w:rFonts w:hint="eastAsia"/>
          <w:b/>
          <w:szCs w:val="21"/>
        </w:rPr>
        <w:t>、评价：</w:t>
      </w:r>
      <w:r>
        <w:rPr>
          <w:rFonts w:hint="eastAsia"/>
          <w:szCs w:val="21"/>
        </w:rPr>
        <w:t>课堂提问和课后互动、作业。</w:t>
      </w:r>
    </w:p>
    <w:p w14:paraId="43EAF8CB" w14:textId="77777777" w:rsidR="00F5289E" w:rsidRDefault="00C91173">
      <w:pPr>
        <w:pStyle w:val="a9"/>
        <w:spacing w:line="360" w:lineRule="auto"/>
        <w:rPr>
          <w:b/>
          <w:bCs/>
        </w:rPr>
      </w:pPr>
      <w:r>
        <w:rPr>
          <w:rFonts w:hint="eastAsia"/>
          <w:b/>
          <w:bCs/>
        </w:rPr>
        <w:t>三、实验、实习教学部分的考核要求</w:t>
      </w:r>
    </w:p>
    <w:p w14:paraId="28574A55"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w:t>
      </w:r>
      <w:r>
        <w:rPr>
          <w:rFonts w:ascii="宋体" w:hAnsi="宋体"/>
          <w:szCs w:val="21"/>
        </w:rPr>
        <w:t>实</w:t>
      </w:r>
      <w:r>
        <w:rPr>
          <w:rFonts w:ascii="宋体" w:hAnsi="宋体" w:hint="eastAsia"/>
          <w:szCs w:val="21"/>
        </w:rPr>
        <w:t>验</w:t>
      </w:r>
      <w:r>
        <w:rPr>
          <w:rFonts w:ascii="宋体" w:hAnsi="宋体"/>
          <w:szCs w:val="21"/>
        </w:rPr>
        <w:t>教学以考核方式进行成绩评定，</w:t>
      </w:r>
      <w:r>
        <w:rPr>
          <w:rFonts w:ascii="宋体" w:hAnsi="宋体" w:hint="eastAsia"/>
          <w:szCs w:val="21"/>
        </w:rPr>
        <w:t>考核内容包括实验过程、实验纪律、实验结果、实验报告成绩。</w:t>
      </w:r>
    </w:p>
    <w:p w14:paraId="37CB5667" w14:textId="77777777" w:rsidR="00F5289E" w:rsidRDefault="00C91173">
      <w:pPr>
        <w:snapToGrid w:val="0"/>
        <w:spacing w:line="360" w:lineRule="auto"/>
        <w:ind w:firstLineChars="200" w:firstLine="420"/>
        <w:rPr>
          <w:rFonts w:asciiTheme="majorEastAsia" w:eastAsiaTheme="majorEastAsia" w:hAnsiTheme="majorEastAsia" w:cstheme="majorEastAsia"/>
          <w:b/>
          <w:bCs/>
          <w:kern w:val="0"/>
          <w:szCs w:val="21"/>
        </w:rPr>
      </w:pPr>
      <w:r>
        <w:rPr>
          <w:rFonts w:ascii="宋体" w:hAnsi="宋体" w:hint="eastAsia"/>
          <w:szCs w:val="21"/>
        </w:rPr>
        <w:t>（2）实习教学以考核方式进行成绩评定，考核内容包括实习过程、实习纪律、实习报告成绩。</w:t>
      </w:r>
    </w:p>
    <w:p w14:paraId="0EBE77C0" w14:textId="77777777" w:rsidR="00F5289E" w:rsidRDefault="00C91173">
      <w:pPr>
        <w:pStyle w:val="a9"/>
        <w:spacing w:line="360" w:lineRule="auto"/>
        <w:rPr>
          <w:b/>
          <w:bCs/>
        </w:rPr>
      </w:pPr>
      <w:r>
        <w:rPr>
          <w:rFonts w:hint="eastAsia"/>
          <w:b/>
          <w:bCs/>
        </w:rPr>
        <w:t>四、考核方式</w:t>
      </w:r>
    </w:p>
    <w:p w14:paraId="3C04BB6B" w14:textId="77777777" w:rsidR="00F5289E" w:rsidRDefault="00C91173">
      <w:pPr>
        <w:spacing w:line="360" w:lineRule="auto"/>
        <w:ind w:firstLineChars="154" w:firstLine="323"/>
        <w:rPr>
          <w:rFonts w:ascii="宋体" w:hAnsi="宋体"/>
          <w:color w:val="0000FF"/>
          <w:szCs w:val="21"/>
        </w:rPr>
      </w:pPr>
      <w:r>
        <w:rPr>
          <w:rFonts w:hint="eastAsia"/>
        </w:rPr>
        <w:t>教学过程中使用多元化评价考核体系。把学生上课的出勤率、课堂上的参与度、活跃度、课堂表现及讨论参与度、在线课程资源相关教学活动纳入到平时考核中，注重过程性评价考核；平时考核与阶段性考核相结合，阶段性考核主要包括课后作业和测试，形成阶段性考核成绩；自评与生生互评相结合，小组思维导图展示，采用自评和生生互评方式，线上评价打分，各小组成员把自己做</w:t>
      </w:r>
      <w:r>
        <w:rPr>
          <w:rFonts w:hint="eastAsia"/>
        </w:rPr>
        <w:lastRenderedPageBreak/>
        <w:t>的那部分呈现出来，听取同伴的评价后反思进行修改，小组与小组之间进行互评，利用学习通的统计数据评价学生的参与情况并计入形成性评价，以此鼓励学生广泛参与课程深入学习。</w:t>
      </w:r>
    </w:p>
    <w:p w14:paraId="1C96DA54" w14:textId="77777777" w:rsidR="00F5289E" w:rsidRDefault="00C91173">
      <w:pPr>
        <w:pStyle w:val="a9"/>
        <w:spacing w:line="360" w:lineRule="auto"/>
        <w:rPr>
          <w:b/>
          <w:bCs/>
        </w:rPr>
      </w:pPr>
      <w:r>
        <w:rPr>
          <w:rFonts w:hint="eastAsia"/>
          <w:b/>
          <w:bCs/>
        </w:rPr>
        <w:t>五、成绩评定</w:t>
      </w:r>
    </w:p>
    <w:p w14:paraId="624295EA" w14:textId="77777777" w:rsidR="00F5289E" w:rsidRDefault="00C91173">
      <w:pPr>
        <w:widowControl/>
        <w:spacing w:line="360" w:lineRule="auto"/>
        <w:ind w:firstLineChars="200" w:firstLine="420"/>
        <w:jc w:val="left"/>
        <w:rPr>
          <w:color w:val="0000FF"/>
          <w:szCs w:val="21"/>
        </w:rPr>
      </w:pPr>
      <w:r>
        <w:rPr>
          <w:color w:val="000000" w:themeColor="text1"/>
          <w:szCs w:val="21"/>
        </w:rPr>
        <w:t>1.</w:t>
      </w:r>
      <w:r>
        <w:rPr>
          <w:rFonts w:hint="eastAsia"/>
          <w:color w:val="000000" w:themeColor="text1"/>
          <w:szCs w:val="21"/>
        </w:rPr>
        <w:t xml:space="preserve"> </w:t>
      </w:r>
      <w:r>
        <w:rPr>
          <w:color w:val="000000" w:themeColor="text1"/>
          <w:szCs w:val="21"/>
        </w:rPr>
        <w:t>平时成绩：</w:t>
      </w:r>
      <w:r>
        <w:rPr>
          <w:color w:val="353535"/>
          <w:kern w:val="0"/>
          <w:szCs w:val="21"/>
        </w:rPr>
        <w:t>平时成绩包括平时学习情况、课堂提问、小组讨论表现、作业、考勤等，占比</w:t>
      </w:r>
      <w:r>
        <w:rPr>
          <w:color w:val="353535"/>
          <w:kern w:val="0"/>
          <w:szCs w:val="21"/>
        </w:rPr>
        <w:t>10%</w:t>
      </w:r>
      <w:r>
        <w:rPr>
          <w:color w:val="353535"/>
          <w:kern w:val="0"/>
          <w:szCs w:val="21"/>
        </w:rPr>
        <w:t>；实验成绩包括考勤和实验报告，占比</w:t>
      </w:r>
      <w:r>
        <w:rPr>
          <w:color w:val="353535"/>
          <w:kern w:val="0"/>
          <w:szCs w:val="21"/>
        </w:rPr>
        <w:t>10%</w:t>
      </w:r>
      <w:r>
        <w:rPr>
          <w:color w:val="353535"/>
          <w:kern w:val="0"/>
          <w:szCs w:val="21"/>
        </w:rPr>
        <w:t>；实习考核包括考勤、实习报告，占比</w:t>
      </w:r>
      <w:r>
        <w:rPr>
          <w:color w:val="353535"/>
          <w:kern w:val="0"/>
          <w:szCs w:val="21"/>
        </w:rPr>
        <w:t>10%</w:t>
      </w:r>
      <w:r>
        <w:rPr>
          <w:color w:val="353535"/>
          <w:kern w:val="0"/>
          <w:szCs w:val="21"/>
        </w:rPr>
        <w:t>；翻转课堂主要是分小组进行课程相关内容讲解，占比</w:t>
      </w:r>
      <w:r>
        <w:rPr>
          <w:color w:val="353535"/>
          <w:kern w:val="0"/>
          <w:szCs w:val="21"/>
        </w:rPr>
        <w:t>10%</w:t>
      </w:r>
      <w:r>
        <w:rPr>
          <w:color w:val="353535"/>
          <w:kern w:val="0"/>
          <w:szCs w:val="21"/>
        </w:rPr>
        <w:t>。</w:t>
      </w:r>
    </w:p>
    <w:p w14:paraId="2F7E2433" w14:textId="77777777" w:rsidR="00F5289E" w:rsidRDefault="00C91173">
      <w:pPr>
        <w:widowControl/>
        <w:snapToGrid w:val="0"/>
        <w:spacing w:line="360" w:lineRule="auto"/>
        <w:ind w:firstLine="420"/>
        <w:jc w:val="left"/>
        <w:rPr>
          <w:bCs/>
          <w:color w:val="0000FF"/>
          <w:szCs w:val="21"/>
        </w:rPr>
      </w:pPr>
      <w:r>
        <w:rPr>
          <w:color w:val="000000" w:themeColor="text1"/>
        </w:rPr>
        <w:t>2.</w:t>
      </w:r>
      <w:r>
        <w:rPr>
          <w:rFonts w:hint="eastAsia"/>
          <w:color w:val="000000" w:themeColor="text1"/>
        </w:rPr>
        <w:t xml:space="preserve"> </w:t>
      </w:r>
      <w:r>
        <w:rPr>
          <w:color w:val="000000" w:themeColor="text1"/>
        </w:rPr>
        <w:t>期末成绩：</w:t>
      </w:r>
      <w:r>
        <w:rPr>
          <w:kern w:val="0"/>
          <w:szCs w:val="21"/>
        </w:rPr>
        <w:t>主要以期末考试为主，占比</w:t>
      </w:r>
      <w:r>
        <w:rPr>
          <w:kern w:val="0"/>
          <w:szCs w:val="21"/>
        </w:rPr>
        <w:t>60%</w:t>
      </w:r>
      <w:r>
        <w:rPr>
          <w:kern w:val="0"/>
          <w:szCs w:val="21"/>
        </w:rPr>
        <w:t>。其中固定答案试题占比</w:t>
      </w:r>
      <w:r>
        <w:rPr>
          <w:kern w:val="0"/>
          <w:szCs w:val="21"/>
        </w:rPr>
        <w:t>40%</w:t>
      </w:r>
      <w:r>
        <w:rPr>
          <w:kern w:val="0"/>
          <w:szCs w:val="21"/>
        </w:rPr>
        <w:t>，开放性试题占比</w:t>
      </w:r>
      <w:r>
        <w:rPr>
          <w:kern w:val="0"/>
          <w:szCs w:val="21"/>
        </w:rPr>
        <w:t>20%</w:t>
      </w:r>
      <w:r>
        <w:rPr>
          <w:kern w:val="0"/>
          <w:szCs w:val="21"/>
        </w:rPr>
        <w:t>。</w:t>
      </w:r>
    </w:p>
    <w:p w14:paraId="153F8B7A" w14:textId="77777777" w:rsidR="00F5289E" w:rsidRDefault="00C91173">
      <w:pPr>
        <w:snapToGrid w:val="0"/>
        <w:spacing w:line="360" w:lineRule="auto"/>
        <w:ind w:firstLineChars="200" w:firstLine="420"/>
        <w:rPr>
          <w:bCs/>
          <w:color w:val="0000FF"/>
          <w:szCs w:val="21"/>
        </w:rPr>
      </w:pPr>
      <w:r>
        <w:rPr>
          <w:color w:val="000000" w:themeColor="text1"/>
        </w:rPr>
        <w:t>3.</w:t>
      </w:r>
      <w:r>
        <w:rPr>
          <w:rFonts w:hint="eastAsia"/>
          <w:color w:val="000000" w:themeColor="text1"/>
        </w:rPr>
        <w:t xml:space="preserve"> </w:t>
      </w:r>
      <w:r>
        <w:rPr>
          <w:color w:val="000000" w:themeColor="text1"/>
        </w:rPr>
        <w:t>综合成绩：</w:t>
      </w:r>
      <w:r>
        <w:rPr>
          <w:kern w:val="0"/>
          <w:szCs w:val="21"/>
        </w:rPr>
        <w:t>平时成绩</w:t>
      </w:r>
      <w:r>
        <w:rPr>
          <w:kern w:val="0"/>
          <w:szCs w:val="21"/>
        </w:rPr>
        <w:t>40%+</w:t>
      </w:r>
      <w:r>
        <w:rPr>
          <w:kern w:val="0"/>
          <w:szCs w:val="21"/>
        </w:rPr>
        <w:t>期末考试成绩</w:t>
      </w:r>
      <w:r>
        <w:rPr>
          <w:kern w:val="0"/>
          <w:szCs w:val="21"/>
        </w:rPr>
        <w:t>60%</w:t>
      </w:r>
    </w:p>
    <w:p w14:paraId="41D67DB8" w14:textId="77777777" w:rsidR="00F5289E" w:rsidRDefault="00C91173">
      <w:pPr>
        <w:pStyle w:val="a9"/>
        <w:spacing w:line="360" w:lineRule="auto"/>
        <w:rPr>
          <w:b/>
          <w:bCs/>
        </w:rPr>
      </w:pPr>
      <w:r>
        <w:rPr>
          <w:rFonts w:hint="eastAsia"/>
          <w:b/>
          <w:bCs/>
        </w:rPr>
        <w:t>六、考核结果分析反馈</w:t>
      </w:r>
    </w:p>
    <w:p w14:paraId="5CA1D0BC" w14:textId="77777777" w:rsidR="00F5289E" w:rsidRDefault="00C91173">
      <w:pPr>
        <w:snapToGrid w:val="0"/>
        <w:spacing w:line="360" w:lineRule="auto"/>
        <w:ind w:firstLineChars="200" w:firstLine="420"/>
        <w:rPr>
          <w:rFonts w:ascii="宋体" w:hAnsi="宋体"/>
          <w:b/>
          <w:sz w:val="24"/>
        </w:rPr>
      </w:pPr>
      <w:r>
        <w:rPr>
          <w:rFonts w:ascii="宋体" w:hAnsi="宋体" w:hint="eastAsia"/>
          <w:szCs w:val="21"/>
        </w:rPr>
        <w:t>任课教师要结合形成性评价各方面的内容，随时观察、分析每一位同学在学习、评价中的情况，及时反馈其存在的问题、不足及优点，并给出学习建议。学期结束后，对本门课程的整体考试情况、本次试卷的特点、对试卷的具体分析、反映出的问题及教师根据学情进行的改进办法等以书面形式呈现。</w:t>
      </w:r>
    </w:p>
    <w:p w14:paraId="46D1B4C8" w14:textId="77777777" w:rsidR="00F5289E" w:rsidRDefault="00C91173">
      <w:pPr>
        <w:widowControl/>
        <w:jc w:val="left"/>
        <w:rPr>
          <w:rFonts w:ascii="宋体" w:hAnsi="宋体"/>
          <w:b/>
          <w:sz w:val="24"/>
        </w:rPr>
      </w:pPr>
      <w:r>
        <w:rPr>
          <w:rFonts w:ascii="宋体" w:hAnsi="宋体"/>
          <w:b/>
          <w:sz w:val="24"/>
        </w:rPr>
        <w:br w:type="page"/>
      </w:r>
    </w:p>
    <w:p w14:paraId="7611397D" w14:textId="77777777" w:rsidR="00F5289E" w:rsidRDefault="00C91173">
      <w:pPr>
        <w:pStyle w:val="1"/>
        <w:rPr>
          <w:color w:val="0000FF"/>
        </w:rPr>
      </w:pPr>
      <w:bookmarkStart w:id="189" w:name="_Toc138606284"/>
      <w:r>
        <w:rPr>
          <w:rFonts w:hint="eastAsia"/>
        </w:rPr>
        <w:lastRenderedPageBreak/>
        <w:t>设施果树栽培学考核大纲</w:t>
      </w:r>
      <w:bookmarkEnd w:id="189"/>
    </w:p>
    <w:p w14:paraId="0DD772A4" w14:textId="77777777" w:rsidR="00F5289E" w:rsidRDefault="00C91173">
      <w:pPr>
        <w:pStyle w:val="a9"/>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Protected Pomology</w:t>
      </w:r>
      <w:r>
        <w:rPr>
          <w:rFonts w:ascii="Times New Roman" w:hAnsi="Times New Roman" w:cs="Times New Roman"/>
          <w:sz w:val="24"/>
          <w:szCs w:val="24"/>
        </w:rPr>
        <w:t>）</w:t>
      </w:r>
    </w:p>
    <w:p w14:paraId="1D55A55E" w14:textId="77777777" w:rsidR="00F5289E" w:rsidRDefault="00F5289E">
      <w:pPr>
        <w:widowControl/>
        <w:wordWrap w:val="0"/>
        <w:spacing w:before="120" w:after="120"/>
        <w:jc w:val="center"/>
        <w:outlineLvl w:val="0"/>
        <w:rPr>
          <w:rFonts w:eastAsia="黑体" w:hAnsi="宋体" w:cs="宋体"/>
          <w:b/>
          <w:bCs/>
          <w:kern w:val="36"/>
          <w:sz w:val="24"/>
        </w:rPr>
      </w:pPr>
    </w:p>
    <w:p w14:paraId="79B5CBEE"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565"/>
        <w:gridCol w:w="3738"/>
      </w:tblGrid>
      <w:tr w:rsidR="00F5289E" w14:paraId="2930CB74" w14:textId="77777777">
        <w:tc>
          <w:tcPr>
            <w:tcW w:w="1459" w:type="pct"/>
          </w:tcPr>
          <w:p w14:paraId="4E5D5FEC"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ascii="宋体" w:hAnsi="宋体"/>
                <w:szCs w:val="21"/>
              </w:rPr>
              <w:t>19011</w:t>
            </w:r>
            <w:r w:rsidRPr="001B3040">
              <w:rPr>
                <w:rFonts w:ascii="宋体" w:hAnsi="宋体" w:hint="eastAsia"/>
                <w:szCs w:val="21"/>
              </w:rPr>
              <w:t>158</w:t>
            </w:r>
            <w:r w:rsidRPr="001B3040">
              <w:rPr>
                <w:rFonts w:ascii="宋体" w:hAnsi="宋体"/>
                <w:szCs w:val="21"/>
              </w:rPr>
              <w:t>h</w:t>
            </w:r>
          </w:p>
        </w:tc>
        <w:tc>
          <w:tcPr>
            <w:tcW w:w="1441" w:type="pct"/>
          </w:tcPr>
          <w:p w14:paraId="6F35C150"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szCs w:val="21"/>
              </w:rPr>
              <w:t>40</w:t>
            </w:r>
          </w:p>
        </w:tc>
        <w:tc>
          <w:tcPr>
            <w:tcW w:w="2100" w:type="pct"/>
          </w:tcPr>
          <w:p w14:paraId="7C461F6E"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r w:rsidRPr="001B3040">
              <w:rPr>
                <w:rFonts w:ascii="宋体" w:hAnsi="宋体"/>
                <w:szCs w:val="21"/>
              </w:rPr>
              <w:t>5</w:t>
            </w:r>
          </w:p>
        </w:tc>
      </w:tr>
      <w:tr w:rsidR="00F5289E" w14:paraId="0AA08EB5" w14:textId="77777777">
        <w:tc>
          <w:tcPr>
            <w:tcW w:w="1459" w:type="pct"/>
          </w:tcPr>
          <w:p w14:paraId="4FF9EACB"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焦健、简在海</w:t>
            </w:r>
          </w:p>
        </w:tc>
        <w:tc>
          <w:tcPr>
            <w:tcW w:w="1441" w:type="pct"/>
          </w:tcPr>
          <w:p w14:paraId="41B15CCA"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郑先波、白团辉</w:t>
            </w:r>
          </w:p>
        </w:tc>
        <w:tc>
          <w:tcPr>
            <w:tcW w:w="2100" w:type="pct"/>
          </w:tcPr>
          <w:p w14:paraId="4C419290"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2023.</w:t>
            </w:r>
            <w:r w:rsidR="001B3040">
              <w:rPr>
                <w:rFonts w:ascii="宋体" w:hAnsi="宋体"/>
                <w:szCs w:val="21"/>
              </w:rPr>
              <w:t>05</w:t>
            </w:r>
          </w:p>
        </w:tc>
      </w:tr>
    </w:tbl>
    <w:p w14:paraId="4C8F7AEA" w14:textId="77777777" w:rsidR="00F5289E" w:rsidRDefault="00F5289E">
      <w:pPr>
        <w:widowControl/>
        <w:snapToGrid w:val="0"/>
        <w:spacing w:line="360" w:lineRule="auto"/>
        <w:jc w:val="left"/>
        <w:outlineLvl w:val="1"/>
        <w:rPr>
          <w:rFonts w:asciiTheme="majorEastAsia" w:eastAsiaTheme="majorEastAsia" w:hAnsiTheme="majorEastAsia" w:cstheme="majorEastAsia"/>
          <w:b/>
          <w:bCs/>
          <w:kern w:val="0"/>
          <w:szCs w:val="21"/>
        </w:rPr>
      </w:pPr>
    </w:p>
    <w:p w14:paraId="376B2F96" w14:textId="77777777" w:rsidR="00F5289E" w:rsidRDefault="00C91173">
      <w:pPr>
        <w:pStyle w:val="a9"/>
        <w:spacing w:line="360" w:lineRule="auto"/>
        <w:rPr>
          <w:b/>
          <w:bCs/>
        </w:rPr>
      </w:pPr>
      <w:r>
        <w:rPr>
          <w:rFonts w:hint="eastAsia"/>
          <w:b/>
          <w:bCs/>
        </w:rPr>
        <w:t>一、课程的性质和地位</w:t>
      </w:r>
    </w:p>
    <w:p w14:paraId="260D5965"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本课程为设施专业本科生必修的专业课。学习本课程的主要目的是使学生系统掌握设施果树的生长发育规律及其对环境条件的要求，从育苗、栽植、水肥管理到植株调整等基本设施栽培技术和原理，掌握多种设施果树的生物学特性及其栽培技术、各项栽培技术与其栽培作物生物学特性的联系，学会根据生物学特性理论联系实际地制定栽培技术措施。主要任务是利用现代生物科学理论和先进的管理技术来创造适宜栽培果树生长的环境条件，以获得高产、优质、安全卫生的设施果品。</w:t>
      </w:r>
    </w:p>
    <w:p w14:paraId="692B519A" w14:textId="77777777" w:rsidR="00F5289E" w:rsidRDefault="00C91173">
      <w:pPr>
        <w:pStyle w:val="a9"/>
        <w:spacing w:line="360" w:lineRule="auto"/>
        <w:rPr>
          <w:b/>
          <w:bCs/>
        </w:rPr>
      </w:pPr>
      <w:r>
        <w:rPr>
          <w:rFonts w:hint="eastAsia"/>
          <w:b/>
          <w:bCs/>
        </w:rPr>
        <w:t>二、理论教学部分的考核目标</w:t>
      </w:r>
    </w:p>
    <w:p w14:paraId="3DE67FF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课程教学以课堂讲授和田间观察相结合，力求内容全面、通俗易懂、理论联系实际；尽量补充与课程内容相关的最新研究进展和学科前缘动态。通过学习，使学生掌握果树保护地栽培常见的设施类型、结构特点及建造；掌握多种设施果树的生物学特性及其栽培技术、各项栽培技术与其栽培作物生物学特性的联系，学会根据生物学特性理论联系实际地制定栽培技术措施。</w:t>
      </w:r>
    </w:p>
    <w:p w14:paraId="4EC7628C" w14:textId="77777777" w:rsidR="00F5289E" w:rsidRDefault="00C91173">
      <w:pPr>
        <w:snapToGrid w:val="0"/>
        <w:spacing w:line="360" w:lineRule="auto"/>
        <w:ind w:firstLineChars="200" w:firstLine="422"/>
        <w:jc w:val="center"/>
        <w:rPr>
          <w:rFonts w:ascii="宋体" w:hAnsi="宋体"/>
          <w:b/>
          <w:szCs w:val="21"/>
        </w:rPr>
      </w:pPr>
      <w:r>
        <w:rPr>
          <w:rFonts w:ascii="宋体" w:hAnsi="宋体" w:hint="eastAsia"/>
          <w:b/>
          <w:szCs w:val="21"/>
        </w:rPr>
        <w:t>绪 论</w:t>
      </w:r>
    </w:p>
    <w:p w14:paraId="521C637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6206E1A"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了解本课程的特点、目的和要求以及学习方法 。</w:t>
      </w:r>
    </w:p>
    <w:p w14:paraId="452C92D1"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掌握本课程的研究内容及主要任务。</w:t>
      </w:r>
    </w:p>
    <w:p w14:paraId="5A093EAE"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果树栽培学的内容及果树生产概况。</w:t>
      </w:r>
    </w:p>
    <w:p w14:paraId="2FB6827D"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07B8B0C2"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果树生产的特点、重要意义、发展趋势及我国果树生产现状和存在问题。</w:t>
      </w:r>
    </w:p>
    <w:p w14:paraId="5361B08E"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65BF2C9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 识记：果树生产的特点、重要意义。</w:t>
      </w:r>
    </w:p>
    <w:p w14:paraId="721FC552"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第一章 果树栽培生物学基础</w:t>
      </w:r>
    </w:p>
    <w:p w14:paraId="47E1DAC4"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3E927455"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果树根系的功能、类型、结构、分布，根颈与菌根，根系的生长动态，影响根系生长的因子；叶片的功能、叶幕的形成及类型；果实的生长动态及其图型；年龄时期的概念，不同年龄时期的特点及控制。</w:t>
      </w:r>
    </w:p>
    <w:p w14:paraId="1385C6A2" w14:textId="77777777" w:rsidR="00F5289E" w:rsidRDefault="00C91173">
      <w:pPr>
        <w:snapToGrid w:val="0"/>
        <w:spacing w:line="360" w:lineRule="auto"/>
        <w:ind w:firstLineChars="200" w:firstLine="422"/>
        <w:rPr>
          <w:rFonts w:ascii="宋体" w:hAnsi="宋体"/>
          <w:b/>
          <w:bCs/>
          <w:szCs w:val="21"/>
        </w:rPr>
      </w:pPr>
      <w:r>
        <w:rPr>
          <w:rFonts w:ascii="宋体" w:hAnsi="宋体" w:hint="eastAsia"/>
          <w:b/>
          <w:bCs/>
          <w:szCs w:val="21"/>
        </w:rPr>
        <w:lastRenderedPageBreak/>
        <w:t>2. 一般掌握：</w:t>
      </w:r>
      <w:r>
        <w:rPr>
          <w:rFonts w:ascii="宋体" w:hAnsi="宋体" w:hint="eastAsia"/>
          <w:szCs w:val="21"/>
        </w:rPr>
        <w:t>芽的概念及其性质，花芽的种类及特性；枝的种类与特性：枝梢的种类与作用，枝梢生长的特点，影响枝梢生长的因子；叶面积指数及其意义；物候期的概念，果树主要的物候期。</w:t>
      </w:r>
    </w:p>
    <w:p w14:paraId="0E2201F5"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果树花芽分化的特点及其机制；影响花芽分化的内外条件及其控制措施；授粉的类型、人工授粉，受精的过程与最佳时间、环境条件；自交不结实的概念、原因及其对策；坐果率的概念及提高坐果率的措施；影响果实生长的因素；果实的外观和内在品质构成及影响因素；休眠的标志，自然休眠和被迫休眠的概念，需冷量；树体进入或解除休眠的生理特点，影响进入或解除休眠的因素。</w:t>
      </w:r>
    </w:p>
    <w:p w14:paraId="49B1C3F5"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43B7716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果树根系的功能、类型、结构、分布，根颈与菌根，根系的生长动态，影响根系生长的因子；叶片的功能、叶幕的形成及类型；果实的生长动态及其图型；年龄时期的概念，不同年龄时期的特点及控制。</w:t>
      </w:r>
    </w:p>
    <w:p w14:paraId="6F878A9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芽的概念及其性质，花芽的种类及特性；枝的种类与特性：枝梢的种类与作用，枝梢生长的特点，影响枝梢生长的因子；叶面积指数及其意义；物候期的概念，果树主要的物候期。</w:t>
      </w:r>
    </w:p>
    <w:p w14:paraId="3DDC7F79"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果树花芽分化的特点及其机制；影响花芽分化的内外条件及其控制措施；授粉的类型、人工授粉，受精的过程与最佳时间、环境条件；自交不结实的概念、原因及其对策；坐果率的概念及提高坐果率的措施；影响果实生长的因素；果实的外观和内在品质构成及影响因素；休眠的标志，自然休眠和被迫休眠的概念，需冷量；树体进入或解除休眠的生理特点，影响进入或解除休眠的因素。</w:t>
      </w:r>
    </w:p>
    <w:p w14:paraId="4F131CD9"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2B468D25"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果树根系的功能、类型、结构、分布，根颈与菌根，根系的生长动态，影响根系生长的因子；叶片的功能、叶幕的形成及类型；果实的生长动态及其图型；年龄时期的概念，不同年龄时期的特点及控制。</w:t>
      </w:r>
    </w:p>
    <w:p w14:paraId="4CA195E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芽的概念及其性质，花芽的种类及特性；枝的种类与特性：枝梢的种类与作用，枝梢生长的特点，影响枝梢生长的因子；叶面积指数及其意义；物候期的概念，果树主要的物候期。</w:t>
      </w:r>
    </w:p>
    <w:p w14:paraId="6E00104F"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果树花芽分化的特点及其机制；授粉的类型、人工授粉，受精的过程与最佳时间、环境条件；自交不结实的概念、原因及其对策；影响果实生长的因素；休眠的标志，自然休眠和被迫休眠的概念，需冷量；</w:t>
      </w:r>
    </w:p>
    <w:p w14:paraId="137EA7A7"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4. 分析：</w:t>
      </w:r>
      <w:r>
        <w:rPr>
          <w:rFonts w:ascii="宋体" w:hAnsi="宋体" w:hint="eastAsia"/>
          <w:szCs w:val="21"/>
        </w:rPr>
        <w:t>影响花芽分化的内外条件及其控制措施；坐果率的概念及提高坐果率的措施；果实的外观和内在品质构成及影响因素；树体进入或解除休眠的生理特点，影响进入或解除休眠的因素。</w:t>
      </w:r>
    </w:p>
    <w:p w14:paraId="7CF27C5E"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 xml:space="preserve">第二章   </w:t>
      </w:r>
      <w:r>
        <w:rPr>
          <w:rFonts w:ascii="宋体" w:hAnsi="宋体" w:hint="eastAsia"/>
          <w:b/>
          <w:szCs w:val="21"/>
        </w:rPr>
        <w:t>果树整形修剪</w:t>
      </w:r>
    </w:p>
    <w:p w14:paraId="7D9A260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DB1820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果树群体结构、果树个体结构。</w:t>
      </w:r>
    </w:p>
    <w:p w14:paraId="3DD63C41"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bCs/>
          <w:szCs w:val="21"/>
        </w:rPr>
        <w:t>整形修剪时期；整形修剪的调节作用。</w:t>
      </w:r>
    </w:p>
    <w:p w14:paraId="5ED2712A"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szCs w:val="21"/>
        </w:rPr>
        <w:t>主要树形的特点；果树修剪的生物学基础；修剪方法及作用。</w:t>
      </w:r>
    </w:p>
    <w:p w14:paraId="4A4C3325" w14:textId="77777777" w:rsidR="00F5289E" w:rsidRDefault="00C91173">
      <w:pPr>
        <w:snapToGrid w:val="0"/>
        <w:spacing w:line="360" w:lineRule="auto"/>
        <w:rPr>
          <w:rFonts w:ascii="宋体" w:hAnsi="宋体"/>
          <w:szCs w:val="21"/>
        </w:rPr>
      </w:pPr>
      <w:r>
        <w:rPr>
          <w:rFonts w:ascii="宋体" w:hAnsi="宋体" w:hint="eastAsia"/>
          <w:b/>
          <w:szCs w:val="21"/>
        </w:rPr>
        <w:lastRenderedPageBreak/>
        <w:t>（二）考核内容</w:t>
      </w:r>
    </w:p>
    <w:p w14:paraId="6852F8F1" w14:textId="77777777" w:rsidR="00F5289E" w:rsidRDefault="00C91173">
      <w:pPr>
        <w:snapToGrid w:val="0"/>
        <w:spacing w:line="360" w:lineRule="auto"/>
        <w:ind w:leftChars="200" w:left="420"/>
        <w:rPr>
          <w:rFonts w:ascii="宋体" w:hAnsi="宋体"/>
          <w:bCs/>
          <w:szCs w:val="21"/>
        </w:rPr>
      </w:pPr>
      <w:r>
        <w:rPr>
          <w:rFonts w:ascii="宋体" w:hAnsi="宋体" w:hint="eastAsia"/>
          <w:bCs/>
          <w:szCs w:val="21"/>
        </w:rPr>
        <w:t>整形修剪的概念；主要树形的特点；果树修剪的生物学基础；修剪方法及作用。</w:t>
      </w:r>
    </w:p>
    <w:p w14:paraId="522521F9"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59520ED"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szCs w:val="21"/>
        </w:rPr>
        <w:t>整形修剪的概念；果树修剪的生物学基础。</w:t>
      </w:r>
    </w:p>
    <w:p w14:paraId="751D0B4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szCs w:val="21"/>
        </w:rPr>
        <w:t>树体结构分析及整形修剪的方法和作用。</w:t>
      </w:r>
    </w:p>
    <w:p w14:paraId="76465AE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hint="eastAsia"/>
          <w:bCs/>
          <w:szCs w:val="21"/>
        </w:rPr>
        <w:t>果树修剪方法的综合运用。</w:t>
      </w:r>
    </w:p>
    <w:p w14:paraId="041A9ECD" w14:textId="77777777" w:rsidR="00F5289E" w:rsidRDefault="00C91173">
      <w:pPr>
        <w:snapToGrid w:val="0"/>
        <w:spacing w:line="360" w:lineRule="auto"/>
        <w:ind w:firstLineChars="200" w:firstLine="422"/>
        <w:rPr>
          <w:rFonts w:ascii="宋体" w:hAnsi="宋体"/>
          <w:bCs/>
          <w:szCs w:val="21"/>
        </w:rPr>
      </w:pPr>
      <w:r>
        <w:rPr>
          <w:rFonts w:ascii="宋体" w:hAnsi="宋体" w:hint="eastAsia"/>
          <w:b/>
          <w:szCs w:val="21"/>
        </w:rPr>
        <w:t>4.分析：</w:t>
      </w:r>
      <w:r>
        <w:rPr>
          <w:rFonts w:ascii="宋体" w:hAnsi="宋体" w:hint="eastAsia"/>
          <w:bCs/>
          <w:szCs w:val="21"/>
        </w:rPr>
        <w:t>主要树形的特点。</w:t>
      </w:r>
    </w:p>
    <w:p w14:paraId="0C4ABF38" w14:textId="77777777" w:rsidR="00F5289E" w:rsidRDefault="00C91173">
      <w:pPr>
        <w:snapToGrid w:val="0"/>
        <w:spacing w:line="360" w:lineRule="auto"/>
        <w:ind w:firstLineChars="200" w:firstLine="422"/>
        <w:rPr>
          <w:rFonts w:ascii="宋体" w:hAnsi="宋体"/>
          <w:bCs/>
          <w:szCs w:val="21"/>
        </w:rPr>
      </w:pPr>
      <w:r>
        <w:rPr>
          <w:rFonts w:ascii="宋体" w:hAnsi="宋体" w:hint="eastAsia"/>
          <w:b/>
          <w:szCs w:val="21"/>
        </w:rPr>
        <w:t>5.综合</w:t>
      </w:r>
      <w:r>
        <w:rPr>
          <w:rFonts w:ascii="宋体" w:hAnsi="宋体" w:hint="eastAsia"/>
          <w:szCs w:val="21"/>
        </w:rPr>
        <w:t>：</w:t>
      </w:r>
      <w:r>
        <w:rPr>
          <w:rFonts w:ascii="宋体" w:hAnsi="宋体" w:hint="eastAsia"/>
          <w:bCs/>
          <w:szCs w:val="21"/>
        </w:rPr>
        <w:t>修剪方法及作用。</w:t>
      </w:r>
    </w:p>
    <w:p w14:paraId="2A968948"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第三章   葡萄设施栽培</w:t>
      </w:r>
    </w:p>
    <w:p w14:paraId="6C1D6300"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3E6BDAA8"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葡萄设施栽培现状；葡萄设施栽培趋势；品种选择；越夏更新方法。</w:t>
      </w:r>
    </w:p>
    <w:p w14:paraId="4AB028FC"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园地设计；与葡萄设施栽培相关的生物学习性；促长促花技术；扣棚升温及调控技术。</w:t>
      </w:r>
    </w:p>
    <w:p w14:paraId="6321301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整形修剪技术；设施葡萄栽培关键技术。</w:t>
      </w:r>
    </w:p>
    <w:p w14:paraId="0B3F2626"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10A724F9"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葡萄设施栽培现状；葡萄设施栽培趋势；设施葡萄栽培的品种选择技术；越夏更新方法；园地设计；与葡萄设施栽培相关的生物学习性；促长促花技术；扣棚升温及调控技术；整形修剪技术；设施葡萄栽培关键技术。</w:t>
      </w:r>
    </w:p>
    <w:p w14:paraId="77421B87"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3E26F74A"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葡萄设施栽培现状；葡萄设施栽培趋势</w:t>
      </w:r>
    </w:p>
    <w:p w14:paraId="77E9A56D"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葡萄设施栽培的品种选择技术；越夏更新方法；园地设计；与葡萄设施栽培相关的生物学习性；</w:t>
      </w:r>
    </w:p>
    <w:p w14:paraId="597C34BE"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促长促花技术；扣棚升温及调控技术。</w:t>
      </w:r>
    </w:p>
    <w:p w14:paraId="0D003777"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4. 分析：</w:t>
      </w:r>
      <w:r>
        <w:rPr>
          <w:rFonts w:ascii="宋体" w:hAnsi="宋体" w:hint="eastAsia"/>
          <w:szCs w:val="21"/>
        </w:rPr>
        <w:t>整形修剪技术；葡萄设施栽培关键技术。</w:t>
      </w:r>
    </w:p>
    <w:p w14:paraId="5C5C8CEC"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第四章   草莓设施栽培</w:t>
      </w:r>
    </w:p>
    <w:p w14:paraId="65971884"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7094778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草莓设施栽培现状；草莓设施栽培趋势；品种选择。</w:t>
      </w:r>
    </w:p>
    <w:p w14:paraId="0ABABF14"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园地设计；与草莓设施栽培相关的生物学习性；促长促花技术；扣棚升温及调控技术；草莓育苗技术；草莓周年生产技术。</w:t>
      </w:r>
    </w:p>
    <w:p w14:paraId="394122EE"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设施草莓栽培关键技术。</w:t>
      </w:r>
    </w:p>
    <w:p w14:paraId="12E5D4F0"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1626B1D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草莓设施栽培现状；草莓设施栽培趋势；设施葡萄栽培的品种选择技术；草莓育苗技术；园地设计；与草莓设施栽培相关的生物学习性；促长促花技术；扣棚升温及调控技术；草莓育苗技术；草莓周年生产技术；草莓设施栽培关键技术。</w:t>
      </w:r>
    </w:p>
    <w:p w14:paraId="65803BFF" w14:textId="77777777" w:rsidR="00F5289E" w:rsidRDefault="00C91173">
      <w:pPr>
        <w:snapToGrid w:val="0"/>
        <w:spacing w:line="360" w:lineRule="auto"/>
        <w:rPr>
          <w:rFonts w:ascii="宋体" w:hAnsi="宋体"/>
          <w:b/>
          <w:bCs/>
          <w:szCs w:val="21"/>
        </w:rPr>
      </w:pPr>
      <w:r>
        <w:rPr>
          <w:rFonts w:ascii="宋体" w:hAnsi="宋体" w:hint="eastAsia"/>
          <w:b/>
          <w:bCs/>
          <w:szCs w:val="21"/>
        </w:rPr>
        <w:lastRenderedPageBreak/>
        <w:t>（三）考核要求</w:t>
      </w:r>
    </w:p>
    <w:p w14:paraId="038A91C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草莓设施栽培现状；草莓设施栽培趋势</w:t>
      </w:r>
    </w:p>
    <w:p w14:paraId="76069D6F"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草莓设施栽培的品种选择技术；越夏更新方法；园地设计；与草莓设施栽培相关的生物学习性；</w:t>
      </w:r>
    </w:p>
    <w:p w14:paraId="76D2A2FB"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草莓育苗技术；促长促花技术；扣棚升温及调控技术；</w:t>
      </w:r>
    </w:p>
    <w:p w14:paraId="09C37A8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4. 分析：</w:t>
      </w:r>
      <w:r>
        <w:rPr>
          <w:rFonts w:ascii="宋体" w:hAnsi="宋体" w:hint="eastAsia"/>
          <w:szCs w:val="21"/>
        </w:rPr>
        <w:t>草莓周年生产技术；草莓设施栽培关键技术。</w:t>
      </w:r>
    </w:p>
    <w:p w14:paraId="2B409D48"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第五章   桃树设施栽培</w:t>
      </w:r>
    </w:p>
    <w:p w14:paraId="68DE9FE1"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3FA87AF1"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桃设施栽培现状；桃设施栽培趋势；品种选择；越夏更新方法。</w:t>
      </w:r>
    </w:p>
    <w:p w14:paraId="3D81413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建园技术；与桃设施栽培相关的生物学习性；桃器官与发育；生育期环境条件的控制。</w:t>
      </w:r>
    </w:p>
    <w:p w14:paraId="22B0011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桃整形修剪技术；设施桃栽培关键技术。</w:t>
      </w:r>
    </w:p>
    <w:p w14:paraId="5526EA4E"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50F7A47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桃设施栽培现状；桃设施栽培趋势；桃设施栽培的品种选择技术；建园技术；与桃设施栽培相关的生物学习性；桃生育期环境条件的控制；桃整形修剪技术；桃设施栽培关键技术。</w:t>
      </w:r>
    </w:p>
    <w:p w14:paraId="476CC21E"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325FD9C8"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桃设施栽培现状；桃设施栽培趋势。</w:t>
      </w:r>
    </w:p>
    <w:p w14:paraId="2232A22D"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桃设施栽培的品种选择技术；建园技术；与桃设施栽培相关的生物学习性。</w:t>
      </w:r>
    </w:p>
    <w:p w14:paraId="0B846DFF"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桃生育期环境条件的控制；桃定植及第一年管理技术。</w:t>
      </w:r>
    </w:p>
    <w:p w14:paraId="727C7459"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4. 分析：</w:t>
      </w:r>
      <w:r>
        <w:rPr>
          <w:rFonts w:ascii="宋体" w:hAnsi="宋体" w:hint="eastAsia"/>
          <w:szCs w:val="21"/>
        </w:rPr>
        <w:t>桃设施栽培常规管理技术；桃设施栽培关键技术。</w:t>
      </w:r>
    </w:p>
    <w:p w14:paraId="2B887AB0"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第六章   樱桃设施栽培</w:t>
      </w:r>
    </w:p>
    <w:p w14:paraId="2DD76B42"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3C3A9B18"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樱桃设施栽培现状；樱桃设施栽培趋势；品种选择。</w:t>
      </w:r>
    </w:p>
    <w:p w14:paraId="2F5CB29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园地设计；与樱桃设施栽培相关的生物学习性；促长促花技术；扣棚升温及调控技术。</w:t>
      </w:r>
    </w:p>
    <w:p w14:paraId="123B767D"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整形修剪技术；设施樱桃栽培关键技术。</w:t>
      </w:r>
    </w:p>
    <w:p w14:paraId="0E3D5F06"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637312D7"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樱桃设施栽培现状；樱桃设施栽培趋势；樱桃设施栽培的品种选择技术；园地设计；与樱桃设施栽培相关的生物学习性；促长促花技术；扣棚升温及调控技术；整形修剪技术；樱桃设施栽培关键技术。</w:t>
      </w:r>
    </w:p>
    <w:p w14:paraId="50A69BA5"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22ADE51B"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樱桃设施栽培现状；樱桃设施栽培趋势</w:t>
      </w:r>
    </w:p>
    <w:p w14:paraId="043B005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樱桃设施栽培的品种选择技术；园地设计；与樱桃设施栽培相关的生物学习性。</w:t>
      </w:r>
    </w:p>
    <w:p w14:paraId="6688168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促长促花技术；扣棚升温及调控技术。</w:t>
      </w:r>
    </w:p>
    <w:p w14:paraId="0DD49FCC" w14:textId="77777777" w:rsidR="00F5289E" w:rsidRDefault="00C91173">
      <w:pPr>
        <w:tabs>
          <w:tab w:val="left" w:pos="5774"/>
        </w:tabs>
        <w:snapToGrid w:val="0"/>
        <w:spacing w:line="360" w:lineRule="auto"/>
        <w:ind w:firstLineChars="200" w:firstLine="422"/>
        <w:rPr>
          <w:rFonts w:ascii="宋体" w:hAnsi="宋体"/>
          <w:szCs w:val="21"/>
        </w:rPr>
      </w:pPr>
      <w:r>
        <w:rPr>
          <w:rFonts w:ascii="宋体" w:hAnsi="宋体" w:hint="eastAsia"/>
          <w:b/>
          <w:bCs/>
          <w:szCs w:val="21"/>
        </w:rPr>
        <w:lastRenderedPageBreak/>
        <w:t>4. 分析：</w:t>
      </w:r>
      <w:r>
        <w:rPr>
          <w:rFonts w:ascii="宋体" w:hAnsi="宋体" w:hint="eastAsia"/>
          <w:szCs w:val="21"/>
        </w:rPr>
        <w:t>整形修剪技术；樱桃设施栽培关键技术。</w:t>
      </w:r>
      <w:r>
        <w:rPr>
          <w:rFonts w:ascii="宋体" w:hAnsi="宋体"/>
          <w:szCs w:val="21"/>
        </w:rPr>
        <w:tab/>
      </w:r>
    </w:p>
    <w:p w14:paraId="3103006B" w14:textId="77777777" w:rsidR="00F5289E" w:rsidRDefault="00C91173">
      <w:pPr>
        <w:snapToGrid w:val="0"/>
        <w:spacing w:line="360" w:lineRule="auto"/>
        <w:ind w:firstLineChars="200" w:firstLine="422"/>
        <w:jc w:val="center"/>
        <w:rPr>
          <w:rFonts w:ascii="宋体" w:hAnsi="宋体"/>
          <w:b/>
          <w:bCs/>
          <w:szCs w:val="21"/>
        </w:rPr>
      </w:pPr>
      <w:r>
        <w:rPr>
          <w:rFonts w:ascii="宋体" w:hAnsi="宋体" w:hint="eastAsia"/>
          <w:b/>
          <w:bCs/>
          <w:szCs w:val="21"/>
        </w:rPr>
        <w:t>第七章   枣设施栽培</w:t>
      </w:r>
    </w:p>
    <w:p w14:paraId="5B33E242" w14:textId="77777777" w:rsidR="00F5289E" w:rsidRDefault="00C91173">
      <w:pPr>
        <w:snapToGrid w:val="0"/>
        <w:spacing w:line="360" w:lineRule="auto"/>
        <w:rPr>
          <w:rFonts w:ascii="宋体" w:hAnsi="宋体"/>
          <w:b/>
          <w:bCs/>
          <w:szCs w:val="21"/>
        </w:rPr>
      </w:pPr>
      <w:r>
        <w:rPr>
          <w:rFonts w:ascii="宋体" w:hAnsi="宋体" w:hint="eastAsia"/>
          <w:b/>
          <w:bCs/>
          <w:szCs w:val="21"/>
        </w:rPr>
        <w:t>（一）学习目标</w:t>
      </w:r>
    </w:p>
    <w:p w14:paraId="707BF290"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一般了解：</w:t>
      </w:r>
      <w:r>
        <w:rPr>
          <w:rFonts w:ascii="宋体" w:hAnsi="宋体" w:hint="eastAsia"/>
          <w:szCs w:val="21"/>
        </w:rPr>
        <w:t>枣设施栽培现状；枣设施栽培趋势；品种选择。</w:t>
      </w:r>
    </w:p>
    <w:p w14:paraId="5E15706D"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一般掌握：</w:t>
      </w:r>
      <w:r>
        <w:rPr>
          <w:rFonts w:ascii="宋体" w:hAnsi="宋体" w:hint="eastAsia"/>
          <w:szCs w:val="21"/>
        </w:rPr>
        <w:t>园地设计；与枣设施栽培相关的生物学习性；促长促花技术；扣棚升温及调控技术。</w:t>
      </w:r>
    </w:p>
    <w:p w14:paraId="7786F80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熟练掌握：</w:t>
      </w:r>
      <w:r>
        <w:rPr>
          <w:rFonts w:ascii="宋体" w:hAnsi="宋体" w:hint="eastAsia"/>
          <w:szCs w:val="21"/>
        </w:rPr>
        <w:t>枣整形修剪技术；设施枣栽培关键技术。</w:t>
      </w:r>
    </w:p>
    <w:p w14:paraId="0FE572F2" w14:textId="77777777" w:rsidR="00F5289E" w:rsidRDefault="00C91173">
      <w:pPr>
        <w:snapToGrid w:val="0"/>
        <w:spacing w:line="360" w:lineRule="auto"/>
        <w:rPr>
          <w:rFonts w:ascii="宋体" w:hAnsi="宋体"/>
          <w:b/>
          <w:bCs/>
          <w:szCs w:val="21"/>
        </w:rPr>
      </w:pPr>
      <w:r>
        <w:rPr>
          <w:rFonts w:ascii="宋体" w:hAnsi="宋体" w:hint="eastAsia"/>
          <w:b/>
          <w:bCs/>
          <w:szCs w:val="21"/>
        </w:rPr>
        <w:t>（二）考核内容</w:t>
      </w:r>
    </w:p>
    <w:p w14:paraId="70775819"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枣设施栽培现状；枣设施栽培趋势；设施枣栽培的品种选择技术；园地设计；与枣设施栽培相关的生物学习性；促长促花技术；扣棚升温及调控技术；整形修剪技术；设施枣栽培关键技术。</w:t>
      </w:r>
    </w:p>
    <w:p w14:paraId="2D7B9B0A" w14:textId="77777777" w:rsidR="00F5289E" w:rsidRDefault="00C91173">
      <w:pPr>
        <w:snapToGrid w:val="0"/>
        <w:spacing w:line="360" w:lineRule="auto"/>
        <w:rPr>
          <w:rFonts w:ascii="宋体" w:hAnsi="宋体"/>
          <w:b/>
          <w:bCs/>
          <w:szCs w:val="21"/>
        </w:rPr>
      </w:pPr>
      <w:r>
        <w:rPr>
          <w:rFonts w:ascii="宋体" w:hAnsi="宋体" w:hint="eastAsia"/>
          <w:b/>
          <w:bCs/>
          <w:szCs w:val="21"/>
        </w:rPr>
        <w:t>（三）考核要求</w:t>
      </w:r>
    </w:p>
    <w:p w14:paraId="79F78E18"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1. 识记：</w:t>
      </w:r>
      <w:r>
        <w:rPr>
          <w:rFonts w:ascii="宋体" w:hAnsi="宋体" w:hint="eastAsia"/>
          <w:szCs w:val="21"/>
        </w:rPr>
        <w:t>枣设施栽培现状；枣设施栽培趋势</w:t>
      </w:r>
    </w:p>
    <w:p w14:paraId="29132927"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2. 领会：</w:t>
      </w:r>
      <w:r>
        <w:rPr>
          <w:rFonts w:ascii="宋体" w:hAnsi="宋体" w:hint="eastAsia"/>
          <w:szCs w:val="21"/>
        </w:rPr>
        <w:t>枣设施栽培的品种选择技术；园地设计；与枣设施栽培相关的生物学习性；</w:t>
      </w:r>
    </w:p>
    <w:p w14:paraId="5F1E8F83"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3. 应用：</w:t>
      </w:r>
      <w:r>
        <w:rPr>
          <w:rFonts w:ascii="宋体" w:hAnsi="宋体" w:hint="eastAsia"/>
          <w:szCs w:val="21"/>
        </w:rPr>
        <w:t>促长促花技术；扣棚升温及调控技术。</w:t>
      </w:r>
    </w:p>
    <w:p w14:paraId="32748655" w14:textId="77777777" w:rsidR="00F5289E" w:rsidRDefault="00C91173">
      <w:pPr>
        <w:snapToGrid w:val="0"/>
        <w:spacing w:line="360" w:lineRule="auto"/>
        <w:ind w:firstLineChars="200" w:firstLine="422"/>
        <w:rPr>
          <w:rFonts w:ascii="宋体" w:hAnsi="宋体"/>
          <w:szCs w:val="21"/>
        </w:rPr>
      </w:pPr>
      <w:r>
        <w:rPr>
          <w:rFonts w:ascii="宋体" w:hAnsi="宋体" w:hint="eastAsia"/>
          <w:b/>
          <w:bCs/>
          <w:szCs w:val="21"/>
        </w:rPr>
        <w:t>4. 分析：</w:t>
      </w:r>
      <w:r>
        <w:rPr>
          <w:rFonts w:ascii="宋体" w:hAnsi="宋体" w:hint="eastAsia"/>
          <w:szCs w:val="21"/>
        </w:rPr>
        <w:t>整形修剪技术；枣设施栽培关键技术。</w:t>
      </w:r>
    </w:p>
    <w:p w14:paraId="3B523A61" w14:textId="77777777" w:rsidR="00F5289E" w:rsidRDefault="00C91173">
      <w:pPr>
        <w:snapToGrid w:val="0"/>
        <w:spacing w:line="360" w:lineRule="auto"/>
        <w:rPr>
          <w:rFonts w:ascii="宋体" w:hAnsi="宋体"/>
          <w:b/>
          <w:bCs/>
          <w:szCs w:val="21"/>
        </w:rPr>
      </w:pPr>
      <w:r>
        <w:rPr>
          <w:rFonts w:ascii="宋体" w:hAnsi="宋体" w:hint="eastAsia"/>
          <w:b/>
          <w:bCs/>
          <w:szCs w:val="21"/>
        </w:rPr>
        <w:t>三、实验、实习教学部分的考核要求</w:t>
      </w:r>
    </w:p>
    <w:p w14:paraId="5C966A5C" w14:textId="77777777" w:rsidR="00F5289E" w:rsidRDefault="00C91173">
      <w:pPr>
        <w:snapToGrid w:val="0"/>
        <w:spacing w:line="360" w:lineRule="auto"/>
        <w:ind w:firstLineChars="200" w:firstLine="422"/>
        <w:rPr>
          <w:rFonts w:ascii="宋体" w:hAnsi="宋体"/>
          <w:b/>
          <w:bCs/>
          <w:szCs w:val="21"/>
        </w:rPr>
      </w:pPr>
      <w:r>
        <w:rPr>
          <w:rFonts w:ascii="宋体" w:hAnsi="宋体" w:hint="eastAsia"/>
          <w:b/>
          <w:bCs/>
          <w:szCs w:val="21"/>
        </w:rPr>
        <w:t>1. 实验考核：</w:t>
      </w:r>
    </w:p>
    <w:p w14:paraId="117B446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通过实验课程的学习和实际操作，使学生掌握果树栽培、管理的基础理论，基本技术知识和操作技能，掌握有关调查研究、观察分析、测试分析，科学试验方法和生产实践的基本技能，重点培养学生的动手能力及分析解决实际生产问题的能力，使学生的创新能力得到提高。在实验教学过程中，要求学生始终严谨，规范的进行操作，耐心，细致的进行观察，独立思考，综合分析实验结果，充分理解后认真地完成实验报告。</w:t>
      </w:r>
    </w:p>
    <w:p w14:paraId="40FD1736" w14:textId="77777777" w:rsidR="00F5289E" w:rsidRDefault="00C91173">
      <w:pPr>
        <w:snapToGrid w:val="0"/>
        <w:spacing w:line="360" w:lineRule="auto"/>
        <w:ind w:firstLineChars="200" w:firstLine="422"/>
        <w:rPr>
          <w:rFonts w:ascii="宋体" w:hAnsi="宋体"/>
          <w:b/>
          <w:bCs/>
          <w:szCs w:val="21"/>
        </w:rPr>
      </w:pPr>
      <w:r>
        <w:rPr>
          <w:rFonts w:ascii="宋体" w:hAnsi="宋体" w:hint="eastAsia"/>
          <w:b/>
          <w:bCs/>
          <w:szCs w:val="21"/>
        </w:rPr>
        <w:t>2. 实习考核：</w:t>
      </w:r>
    </w:p>
    <w:p w14:paraId="487057F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教学实习的目的旨在加深学生对课堂教学内容的直观现实的认识，训练与提高学生的专业分析和实际操作技能，学习并完成调查、记录和分析等方法，要求学生结合实际，综合运用所学知识评价和分析实际生产中存在的问题并提出合理有效的解决方案。实习部分要求每个学生全程参加课程实习的每一环节，学习掌握果树嫁接、扦插、施肥、修剪、采摘和果园管理体系建立，灵活运用所学的理论知识分析解决果树生产中存在问题。学生撰写实习报告和课程论文，进行小组内和小组之间交流，总结课程实习的经验与不足，根据学生的出勤情况、实习态度、实习报告等考核。</w:t>
      </w:r>
    </w:p>
    <w:p w14:paraId="18ECA243" w14:textId="77777777" w:rsidR="00F5289E" w:rsidRDefault="00C91173">
      <w:pPr>
        <w:snapToGrid w:val="0"/>
        <w:spacing w:line="360" w:lineRule="auto"/>
        <w:rPr>
          <w:rFonts w:ascii="宋体" w:hAnsi="宋体"/>
          <w:b/>
          <w:bCs/>
          <w:szCs w:val="21"/>
        </w:rPr>
      </w:pPr>
      <w:r>
        <w:rPr>
          <w:rFonts w:ascii="宋体" w:hAnsi="宋体" w:hint="eastAsia"/>
          <w:b/>
          <w:bCs/>
          <w:szCs w:val="21"/>
        </w:rPr>
        <w:t>四、考核方式</w:t>
      </w:r>
    </w:p>
    <w:p w14:paraId="4919A8E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课程设置多元丰富的过程性考核评价办法，最终成绩由考勤分、课堂分、实践评价、实验过程考核分以及期中、期末理论考试6部分构成。</w:t>
      </w:r>
    </w:p>
    <w:p w14:paraId="7871611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 实践报告设置开放性题目，激活学生的思路和想法，最终装订成册，统一打分。</w:t>
      </w:r>
    </w:p>
    <w:p w14:paraId="30A75C0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 课堂授课安排考勤，计入平时成绩；课堂表现通过提问、抢答以及课堂讨论进行综合评价。</w:t>
      </w:r>
    </w:p>
    <w:p w14:paraId="1F82E8FD"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lastRenderedPageBreak/>
        <w:t>3. 加强线上教学和考核，利用学习通等软件发布课堂任务，线上提交作业，进行统一考核。</w:t>
      </w:r>
    </w:p>
    <w:p w14:paraId="7C31075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4. 理论考试部分，设置期中和期末两次考试，试题的题型有：名词解释、填空题、判读题、选择题、简答题、论述题，材料分析题。理论教学部分的考试方式为笔试，闭卷，考试时间为120分钟。</w:t>
      </w:r>
    </w:p>
    <w:p w14:paraId="7FF2FE0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5. 实验教学部分，分别在修剪和田间管理两个阶段，设置实践考核，加强学生的动手实践能力。</w:t>
      </w:r>
    </w:p>
    <w:p w14:paraId="28091F27" w14:textId="77777777" w:rsidR="00F5289E" w:rsidRDefault="00C91173">
      <w:pPr>
        <w:snapToGrid w:val="0"/>
        <w:spacing w:line="360" w:lineRule="auto"/>
        <w:rPr>
          <w:rFonts w:ascii="宋体" w:hAnsi="宋体"/>
          <w:b/>
          <w:bCs/>
          <w:szCs w:val="21"/>
        </w:rPr>
      </w:pPr>
      <w:r>
        <w:rPr>
          <w:rFonts w:ascii="宋体" w:hAnsi="宋体" w:hint="eastAsia"/>
          <w:b/>
          <w:bCs/>
          <w:szCs w:val="21"/>
        </w:rPr>
        <w:t>五、成绩评定</w:t>
      </w:r>
    </w:p>
    <w:p w14:paraId="00FCDA5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 平时成绩的评价方法（平时成绩由考勤分、课堂表现、实践报告以及线上作业四个部分组成。总成绩100分，四个部分各占比25%）。</w:t>
      </w:r>
    </w:p>
    <w:p w14:paraId="7F50CD6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实验教学成绩（现场考核、实验实践积累两部分组成，总成绩100分，两个部分各占比50%）。</w:t>
      </w:r>
    </w:p>
    <w:p w14:paraId="59E6245E"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w:t>
      </w:r>
      <w:r>
        <w:rPr>
          <w:rFonts w:ascii="宋体" w:hAnsi="宋体"/>
          <w:szCs w:val="21"/>
        </w:rPr>
        <w:t xml:space="preserve"> 理论考试</w:t>
      </w:r>
      <w:r>
        <w:rPr>
          <w:rFonts w:ascii="宋体" w:hAnsi="宋体" w:hint="eastAsia"/>
          <w:szCs w:val="21"/>
        </w:rPr>
        <w:t>（闭卷考试考核方式，</w:t>
      </w:r>
      <w:r>
        <w:rPr>
          <w:rFonts w:ascii="宋体" w:hAnsi="宋体"/>
          <w:szCs w:val="21"/>
        </w:rPr>
        <w:t>期中、期末考试成绩分别占比</w:t>
      </w:r>
      <w:r>
        <w:rPr>
          <w:rFonts w:ascii="宋体" w:hAnsi="宋体" w:hint="eastAsia"/>
          <w:szCs w:val="21"/>
        </w:rPr>
        <w:t>4</w:t>
      </w:r>
      <w:r>
        <w:rPr>
          <w:rFonts w:ascii="宋体" w:hAnsi="宋体"/>
          <w:szCs w:val="21"/>
        </w:rPr>
        <w:t>0%和</w:t>
      </w:r>
      <w:r>
        <w:rPr>
          <w:rFonts w:ascii="宋体" w:hAnsi="宋体" w:hint="eastAsia"/>
          <w:szCs w:val="21"/>
        </w:rPr>
        <w:t>6</w:t>
      </w:r>
      <w:r>
        <w:rPr>
          <w:rFonts w:ascii="宋体" w:hAnsi="宋体"/>
          <w:szCs w:val="21"/>
        </w:rPr>
        <w:t>0%</w:t>
      </w:r>
      <w:r>
        <w:rPr>
          <w:rFonts w:ascii="宋体" w:hAnsi="宋体" w:hint="eastAsia"/>
          <w:szCs w:val="21"/>
        </w:rPr>
        <w:t>）。</w:t>
      </w:r>
    </w:p>
    <w:p w14:paraId="6D0E1811"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4. 综合成绩（理论考试成绩×50%+实验教学成绩×20%+平时成绩×30%）</w:t>
      </w:r>
    </w:p>
    <w:p w14:paraId="50BE2FEC" w14:textId="77777777" w:rsidR="00F5289E" w:rsidRDefault="00C91173">
      <w:pPr>
        <w:snapToGrid w:val="0"/>
        <w:spacing w:line="360" w:lineRule="auto"/>
        <w:rPr>
          <w:rFonts w:ascii="宋体" w:hAnsi="宋体"/>
          <w:b/>
          <w:bCs/>
          <w:szCs w:val="21"/>
        </w:rPr>
      </w:pPr>
      <w:r>
        <w:rPr>
          <w:rFonts w:ascii="宋体" w:hAnsi="宋体" w:hint="eastAsia"/>
          <w:b/>
          <w:bCs/>
          <w:szCs w:val="21"/>
        </w:rPr>
        <w:t>六、考核结果分析反馈</w:t>
      </w:r>
    </w:p>
    <w:p w14:paraId="2B41525E" w14:textId="77777777" w:rsidR="00F5289E" w:rsidRDefault="00C91173">
      <w:pPr>
        <w:snapToGrid w:val="0"/>
        <w:spacing w:line="360" w:lineRule="auto"/>
        <w:ind w:firstLineChars="200" w:firstLine="420"/>
        <w:rPr>
          <w:color w:val="0000FF"/>
          <w:szCs w:val="21"/>
        </w:rPr>
      </w:pPr>
      <w:r>
        <w:rPr>
          <w:rFonts w:ascii="宋体" w:hAnsi="宋体" w:hint="eastAsia"/>
          <w:szCs w:val="21"/>
        </w:rPr>
        <w:t>建立多元化的考核评价结果反馈机制，制定考核结果反馈表，通过问卷调查的形式，征求学生对课程学习中遇到的问题，以及改进方式；积极实时的向学生反馈平时成绩、作业效果以及实习报告成绩，以达成督促、鼓励的学习氛围；对优秀作业和实习报告进行展示，设立加分机制，促进课堂学习兴趣。</w:t>
      </w:r>
    </w:p>
    <w:p w14:paraId="0401ADA1" w14:textId="77777777" w:rsidR="00F5289E" w:rsidRDefault="00F5289E">
      <w:pPr>
        <w:snapToGrid w:val="0"/>
        <w:spacing w:line="360" w:lineRule="auto"/>
        <w:rPr>
          <w:rFonts w:ascii="宋体" w:hAnsi="宋体"/>
          <w:color w:val="0000FF"/>
          <w:szCs w:val="21"/>
        </w:rPr>
      </w:pPr>
    </w:p>
    <w:p w14:paraId="4F6EA5EC" w14:textId="77777777" w:rsidR="00F5289E" w:rsidRDefault="00C91173">
      <w:pPr>
        <w:widowControl/>
        <w:jc w:val="left"/>
        <w:rPr>
          <w:rFonts w:hAnsi="宋体"/>
          <w:bCs/>
          <w:szCs w:val="21"/>
        </w:rPr>
      </w:pPr>
      <w:r>
        <w:rPr>
          <w:rFonts w:hAnsi="宋体"/>
          <w:bCs/>
          <w:szCs w:val="21"/>
        </w:rPr>
        <w:br w:type="page"/>
      </w:r>
    </w:p>
    <w:p w14:paraId="62E01D8F" w14:textId="77777777" w:rsidR="00F5289E" w:rsidRDefault="00C91173">
      <w:pPr>
        <w:pStyle w:val="1"/>
      </w:pPr>
      <w:bookmarkStart w:id="190" w:name="_Toc138606285"/>
      <w:r>
        <w:rPr>
          <w:rFonts w:hint="eastAsia"/>
        </w:rPr>
        <w:lastRenderedPageBreak/>
        <w:t>设施农业工程预概算考核大纲</w:t>
      </w:r>
      <w:bookmarkEnd w:id="190"/>
    </w:p>
    <w:p w14:paraId="4ADAD416" w14:textId="77777777" w:rsidR="00F5289E" w:rsidRDefault="00C91173">
      <w:pPr>
        <w:snapToGrid w:val="0"/>
        <w:spacing w:line="360" w:lineRule="auto"/>
        <w:jc w:val="center"/>
        <w:rPr>
          <w:b/>
          <w:szCs w:val="21"/>
        </w:rPr>
      </w:pPr>
      <w:r>
        <w:rPr>
          <w:rFonts w:hAnsi="宋体" w:hint="eastAsia"/>
          <w:sz w:val="28"/>
          <w:szCs w:val="28"/>
        </w:rPr>
        <w:t>（</w:t>
      </w:r>
      <w:r>
        <w:rPr>
          <w:rFonts w:hAnsi="宋体"/>
          <w:sz w:val="28"/>
          <w:szCs w:val="28"/>
        </w:rPr>
        <w:t>Protected Agriculture Engineering Budget</w:t>
      </w:r>
      <w:r>
        <w:rPr>
          <w:rFonts w:hAnsi="宋体" w:hint="eastAsia"/>
          <w:sz w:val="28"/>
          <w:szCs w:val="28"/>
        </w:rPr>
        <w:t>）</w:t>
      </w:r>
    </w:p>
    <w:p w14:paraId="4807215D" w14:textId="77777777" w:rsidR="00F5289E" w:rsidRDefault="00F5289E">
      <w:pPr>
        <w:widowControl/>
        <w:wordWrap w:val="0"/>
        <w:spacing w:before="120" w:after="120"/>
        <w:jc w:val="center"/>
        <w:outlineLvl w:val="0"/>
        <w:rPr>
          <w:rFonts w:eastAsia="黑体" w:hAnsi="宋体" w:cs="宋体"/>
          <w:b/>
          <w:bCs/>
          <w:kern w:val="36"/>
          <w:sz w:val="24"/>
        </w:rPr>
      </w:pPr>
    </w:p>
    <w:p w14:paraId="5497D0AA"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5D5892C4" w14:textId="77777777">
        <w:tc>
          <w:tcPr>
            <w:tcW w:w="1665" w:type="pct"/>
          </w:tcPr>
          <w:p w14:paraId="5F2CE877"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szCs w:val="21"/>
              </w:rPr>
              <w:t>19011138h</w:t>
            </w:r>
          </w:p>
        </w:tc>
        <w:tc>
          <w:tcPr>
            <w:tcW w:w="1234" w:type="pct"/>
          </w:tcPr>
          <w:p w14:paraId="58DF0DD9"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32</w:t>
            </w:r>
          </w:p>
        </w:tc>
        <w:tc>
          <w:tcPr>
            <w:tcW w:w="2100" w:type="pct"/>
          </w:tcPr>
          <w:p w14:paraId="002317E6"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p>
        </w:tc>
      </w:tr>
      <w:tr w:rsidR="00F5289E" w14:paraId="142562F8" w14:textId="77777777">
        <w:tc>
          <w:tcPr>
            <w:tcW w:w="1665" w:type="pct"/>
          </w:tcPr>
          <w:p w14:paraId="2A035C99"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董晓星</w:t>
            </w:r>
          </w:p>
        </w:tc>
        <w:tc>
          <w:tcPr>
            <w:tcW w:w="1234" w:type="pct"/>
          </w:tcPr>
          <w:p w14:paraId="5E0410F4" w14:textId="77777777" w:rsidR="00F5289E" w:rsidRDefault="00C91173">
            <w:pPr>
              <w:spacing w:line="300" w:lineRule="auto"/>
              <w:rPr>
                <w:rFonts w:ascii="宋体" w:hAnsi="宋体"/>
                <w:b/>
                <w:bCs/>
                <w:szCs w:val="21"/>
              </w:rPr>
            </w:pPr>
            <w:r>
              <w:rPr>
                <w:rFonts w:ascii="宋体" w:hAnsi="宋体" w:hint="eastAsia"/>
                <w:b/>
                <w:bCs/>
                <w:szCs w:val="21"/>
              </w:rPr>
              <w:t>审核人：</w:t>
            </w:r>
            <w:r w:rsidR="001B3040" w:rsidRPr="001B3040">
              <w:rPr>
                <w:rFonts w:ascii="宋体" w:hAnsi="宋体" w:hint="eastAsia"/>
                <w:szCs w:val="21"/>
              </w:rPr>
              <w:t>李阳</w:t>
            </w:r>
          </w:p>
        </w:tc>
        <w:tc>
          <w:tcPr>
            <w:tcW w:w="2100" w:type="pct"/>
          </w:tcPr>
          <w:p w14:paraId="5D0B4365"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79527F6F" w14:textId="77777777" w:rsidR="00F5289E" w:rsidRDefault="00F5289E">
      <w:pPr>
        <w:pStyle w:val="a9"/>
      </w:pPr>
    </w:p>
    <w:p w14:paraId="6CEFC021" w14:textId="77777777" w:rsidR="00F5289E" w:rsidRDefault="00C91173">
      <w:pPr>
        <w:pStyle w:val="a9"/>
        <w:spacing w:line="360" w:lineRule="auto"/>
        <w:rPr>
          <w:b/>
          <w:bCs/>
        </w:rPr>
      </w:pPr>
      <w:r>
        <w:rPr>
          <w:rFonts w:hint="eastAsia"/>
          <w:b/>
          <w:bCs/>
        </w:rPr>
        <w:t>一、课程的性质和地位</w:t>
      </w:r>
    </w:p>
    <w:p w14:paraId="44AAA71A" w14:textId="77777777" w:rsidR="00F5289E" w:rsidRDefault="00C91173">
      <w:pPr>
        <w:widowControl/>
        <w:snapToGrid w:val="0"/>
        <w:spacing w:line="360" w:lineRule="auto"/>
        <w:ind w:firstLineChars="200" w:firstLine="420"/>
        <w:jc w:val="left"/>
        <w:rPr>
          <w:kern w:val="0"/>
          <w:szCs w:val="21"/>
        </w:rPr>
      </w:pPr>
      <w:r>
        <w:rPr>
          <w:rFonts w:ascii="宋体" w:hAnsi="宋体" w:hint="eastAsia"/>
          <w:szCs w:val="21"/>
        </w:rPr>
        <w:t>《设施农业工程预概算》是设施农业科学与工程专业的一门专业核心课。课程主要</w:t>
      </w:r>
      <w:r>
        <w:rPr>
          <w:rFonts w:ascii="宋体" w:hAnsi="宋体"/>
          <w:szCs w:val="21"/>
        </w:rPr>
        <w:t>包括</w:t>
      </w:r>
      <w:r>
        <w:rPr>
          <w:rFonts w:ascii="宋体" w:hAnsi="宋体" w:hint="eastAsia"/>
          <w:szCs w:val="21"/>
        </w:rPr>
        <w:t>农业工程造价</w:t>
      </w:r>
      <w:r>
        <w:rPr>
          <w:rFonts w:ascii="宋体" w:hAnsi="宋体"/>
          <w:szCs w:val="21"/>
        </w:rPr>
        <w:t>的构成与计算</w:t>
      </w:r>
      <w:r>
        <w:rPr>
          <w:rFonts w:ascii="宋体" w:hAnsi="宋体" w:hint="eastAsia"/>
          <w:szCs w:val="21"/>
        </w:rPr>
        <w:t>，农业工程计价</w:t>
      </w:r>
      <w:r>
        <w:rPr>
          <w:rFonts w:ascii="宋体" w:hAnsi="宋体"/>
          <w:szCs w:val="21"/>
        </w:rPr>
        <w:t>依据、计价</w:t>
      </w:r>
      <w:r>
        <w:rPr>
          <w:rFonts w:ascii="宋体" w:hAnsi="宋体" w:hint="eastAsia"/>
          <w:szCs w:val="21"/>
        </w:rPr>
        <w:t>方法</w:t>
      </w:r>
      <w:r>
        <w:rPr>
          <w:rFonts w:ascii="宋体" w:hAnsi="宋体"/>
          <w:szCs w:val="21"/>
        </w:rPr>
        <w:t>、</w:t>
      </w:r>
      <w:r>
        <w:rPr>
          <w:rFonts w:ascii="宋体" w:hAnsi="宋体" w:hint="eastAsia"/>
          <w:szCs w:val="21"/>
        </w:rPr>
        <w:t>计量规则的基本</w:t>
      </w:r>
      <w:r>
        <w:rPr>
          <w:rFonts w:ascii="宋体" w:hAnsi="宋体"/>
          <w:szCs w:val="21"/>
        </w:rPr>
        <w:t>理论</w:t>
      </w:r>
      <w:r>
        <w:rPr>
          <w:rFonts w:ascii="宋体" w:hAnsi="宋体" w:hint="eastAsia"/>
          <w:szCs w:val="21"/>
        </w:rPr>
        <w:t>与</w:t>
      </w:r>
      <w:r>
        <w:rPr>
          <w:rFonts w:ascii="宋体" w:hAnsi="宋体"/>
          <w:szCs w:val="21"/>
        </w:rPr>
        <w:t>方法</w:t>
      </w:r>
      <w:r>
        <w:rPr>
          <w:rFonts w:ascii="宋体" w:hAnsi="宋体" w:hint="eastAsia"/>
          <w:szCs w:val="21"/>
        </w:rPr>
        <w:t>，</w:t>
      </w:r>
      <w:r>
        <w:rPr>
          <w:rFonts w:ascii="宋体" w:hAnsi="宋体"/>
          <w:szCs w:val="21"/>
        </w:rPr>
        <w:t>是一门专业性、技术性、实践性、综合性和政策性都很强的课程</w:t>
      </w:r>
      <w:r>
        <w:rPr>
          <w:rFonts w:ascii="宋体" w:hAnsi="宋体" w:hint="eastAsia"/>
          <w:szCs w:val="21"/>
        </w:rPr>
        <w:t>。通过本课程的学习，学生能了解</w:t>
      </w:r>
      <w:r>
        <w:rPr>
          <w:rFonts w:ascii="宋体" w:hAnsi="宋体"/>
          <w:szCs w:val="21"/>
        </w:rPr>
        <w:t>工程项目</w:t>
      </w:r>
      <w:r>
        <w:rPr>
          <w:rFonts w:ascii="宋体" w:hAnsi="宋体" w:hint="eastAsia"/>
          <w:szCs w:val="21"/>
        </w:rPr>
        <w:t>预算组成</w:t>
      </w:r>
      <w:r>
        <w:rPr>
          <w:rFonts w:ascii="宋体" w:hAnsi="宋体"/>
          <w:szCs w:val="21"/>
        </w:rPr>
        <w:t>和方法的</w:t>
      </w:r>
      <w:r>
        <w:rPr>
          <w:rFonts w:ascii="宋体" w:hAnsi="宋体" w:hint="eastAsia"/>
          <w:szCs w:val="21"/>
        </w:rPr>
        <w:t>相关原理</w:t>
      </w:r>
      <w:r>
        <w:rPr>
          <w:rFonts w:ascii="宋体" w:hAnsi="宋体"/>
          <w:szCs w:val="21"/>
        </w:rPr>
        <w:t>和方法，</w:t>
      </w:r>
      <w:r>
        <w:rPr>
          <w:rFonts w:ascii="宋体" w:hAnsi="宋体" w:hint="eastAsia"/>
          <w:szCs w:val="21"/>
        </w:rPr>
        <w:t>掌握定额和</w:t>
      </w:r>
      <w:r>
        <w:rPr>
          <w:rFonts w:ascii="宋体" w:hAnsi="宋体"/>
          <w:szCs w:val="21"/>
        </w:rPr>
        <w:t>计量规则</w:t>
      </w:r>
      <w:r>
        <w:rPr>
          <w:rFonts w:ascii="宋体" w:hAnsi="宋体" w:hint="eastAsia"/>
          <w:szCs w:val="21"/>
        </w:rPr>
        <w:t>制定的基本原理</w:t>
      </w:r>
      <w:r>
        <w:rPr>
          <w:rFonts w:ascii="宋体" w:hAnsi="宋体"/>
          <w:szCs w:val="21"/>
        </w:rPr>
        <w:t>和方法，</w:t>
      </w:r>
      <w:r>
        <w:rPr>
          <w:rFonts w:ascii="宋体" w:hAnsi="宋体" w:hint="eastAsia"/>
          <w:szCs w:val="21"/>
        </w:rPr>
        <w:t>掌握</w:t>
      </w:r>
      <w:r>
        <w:rPr>
          <w:rFonts w:ascii="宋体" w:hAnsi="宋体"/>
          <w:szCs w:val="21"/>
        </w:rPr>
        <w:t>常见分项工程</w:t>
      </w:r>
      <w:r>
        <w:rPr>
          <w:rFonts w:ascii="宋体" w:hAnsi="宋体" w:hint="eastAsia"/>
          <w:szCs w:val="21"/>
        </w:rPr>
        <w:t>计量</w:t>
      </w:r>
      <w:r>
        <w:rPr>
          <w:rFonts w:ascii="宋体" w:hAnsi="宋体"/>
          <w:szCs w:val="21"/>
        </w:rPr>
        <w:t>和计价的基本方法，</w:t>
      </w:r>
      <w:r>
        <w:rPr>
          <w:rFonts w:ascii="宋体" w:hAnsi="宋体" w:hint="eastAsia"/>
          <w:szCs w:val="21"/>
        </w:rPr>
        <w:t>具备</w:t>
      </w:r>
      <w:r>
        <w:rPr>
          <w:rFonts w:ascii="宋体" w:hAnsi="宋体"/>
          <w:szCs w:val="21"/>
        </w:rPr>
        <w:t>农业工程造价的基本能力</w:t>
      </w:r>
      <w:r>
        <w:rPr>
          <w:rFonts w:ascii="宋体" w:hAnsi="宋体" w:hint="eastAsia"/>
          <w:szCs w:val="21"/>
        </w:rPr>
        <w:t>。通过课程的学习和实践，培养学生对园艺设施工程报价、估价的能力，为今后从事园艺设施管理工作奠定良好的专业基础。</w:t>
      </w:r>
    </w:p>
    <w:p w14:paraId="61D966B0" w14:textId="77777777" w:rsidR="00F5289E" w:rsidRDefault="00C91173">
      <w:pPr>
        <w:pStyle w:val="a9"/>
        <w:spacing w:line="360" w:lineRule="auto"/>
        <w:rPr>
          <w:b/>
          <w:bCs/>
        </w:rPr>
      </w:pPr>
      <w:r>
        <w:rPr>
          <w:rFonts w:hint="eastAsia"/>
          <w:b/>
          <w:bCs/>
        </w:rPr>
        <w:t>二、理论教学部分的考核目标</w:t>
      </w:r>
    </w:p>
    <w:p w14:paraId="6C454A66" w14:textId="77777777" w:rsidR="00F5289E" w:rsidRDefault="00C91173">
      <w:pPr>
        <w:snapToGrid w:val="0"/>
        <w:spacing w:line="360" w:lineRule="auto"/>
        <w:jc w:val="center"/>
        <w:rPr>
          <w:b/>
          <w:bCs/>
          <w:kern w:val="0"/>
          <w:szCs w:val="21"/>
        </w:rPr>
      </w:pPr>
      <w:r>
        <w:rPr>
          <w:b/>
          <w:bCs/>
          <w:kern w:val="0"/>
          <w:szCs w:val="21"/>
        </w:rPr>
        <w:t> </w:t>
      </w:r>
      <w:r>
        <w:rPr>
          <w:rFonts w:hint="eastAsia"/>
          <w:b/>
          <w:bCs/>
          <w:kern w:val="0"/>
          <w:szCs w:val="21"/>
        </w:rPr>
        <w:t>绪论</w:t>
      </w:r>
    </w:p>
    <w:p w14:paraId="39440A70"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02514D5F"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我国造价人员从业制度和工程造价咨询制度。</w:t>
      </w:r>
    </w:p>
    <w:p w14:paraId="0411F175"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造价文件的类型。</w:t>
      </w:r>
    </w:p>
    <w:p w14:paraId="3F68D4F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基本建设的概念和含义及基本建设程序，建设项目的划分。</w:t>
      </w:r>
    </w:p>
    <w:p w14:paraId="33BF1928"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4534F3BD" w14:textId="77777777" w:rsidR="00F5289E" w:rsidRDefault="00C91173">
      <w:pPr>
        <w:snapToGrid w:val="0"/>
        <w:spacing w:beforeLines="50" w:before="156" w:line="360" w:lineRule="auto"/>
        <w:rPr>
          <w:rFonts w:hAnsi="宋体"/>
          <w:kern w:val="0"/>
          <w:szCs w:val="21"/>
        </w:rPr>
      </w:pPr>
      <w:r>
        <w:rPr>
          <w:rFonts w:hAnsi="宋体" w:hint="eastAsia"/>
          <w:kern w:val="0"/>
          <w:szCs w:val="21"/>
        </w:rPr>
        <w:t>基本建设的概念，基本建设程序，建设项目的划分，工程造价人员从业制度和工程造价咨询制度的一般规定。</w:t>
      </w:r>
    </w:p>
    <w:p w14:paraId="1B777C3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1E4382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：基本建设的概念，建设项目的划分。</w:t>
      </w:r>
    </w:p>
    <w:p w14:paraId="3B4BB7B1" w14:textId="77777777" w:rsidR="00F5289E" w:rsidRDefault="00C91173">
      <w:pPr>
        <w:snapToGrid w:val="0"/>
        <w:spacing w:beforeLines="50" w:before="156" w:line="360" w:lineRule="auto"/>
        <w:rPr>
          <w:rFonts w:ascii="宋体" w:hAnsi="宋体"/>
          <w:szCs w:val="21"/>
        </w:rPr>
      </w:pPr>
      <w:r>
        <w:rPr>
          <w:rFonts w:ascii="宋体" w:hAnsi="宋体" w:hint="eastAsia"/>
          <w:b/>
          <w:szCs w:val="21"/>
        </w:rPr>
        <w:t>2.领会</w:t>
      </w:r>
      <w:r>
        <w:rPr>
          <w:rFonts w:ascii="宋体" w:hAnsi="宋体" w:hint="eastAsia"/>
          <w:szCs w:val="21"/>
        </w:rPr>
        <w:t>：基本建设程序，工程造价文件分类，我国工程造价人员从业制度，我国工程造价咨询制度。</w:t>
      </w:r>
    </w:p>
    <w:p w14:paraId="62D2D49F" w14:textId="77777777" w:rsidR="00F5289E" w:rsidRDefault="00C91173">
      <w:pPr>
        <w:widowControl/>
        <w:snapToGrid w:val="0"/>
        <w:spacing w:line="360" w:lineRule="auto"/>
        <w:jc w:val="center"/>
        <w:rPr>
          <w:kern w:val="0"/>
          <w:szCs w:val="21"/>
        </w:rPr>
      </w:pPr>
      <w:r>
        <w:rPr>
          <w:rFonts w:hAnsi="宋体"/>
          <w:b/>
          <w:bCs/>
          <w:kern w:val="0"/>
          <w:szCs w:val="21"/>
        </w:rPr>
        <w:t>第</w:t>
      </w:r>
      <w:r>
        <w:rPr>
          <w:rFonts w:hAnsi="宋体" w:hint="eastAsia"/>
          <w:b/>
          <w:bCs/>
          <w:kern w:val="0"/>
          <w:szCs w:val="21"/>
        </w:rPr>
        <w:t>一</w:t>
      </w:r>
      <w:r>
        <w:rPr>
          <w:rFonts w:hAnsi="宋体"/>
          <w:b/>
          <w:bCs/>
          <w:kern w:val="0"/>
          <w:szCs w:val="21"/>
        </w:rPr>
        <w:t>章</w:t>
      </w:r>
      <w:r>
        <w:rPr>
          <w:b/>
          <w:bCs/>
          <w:kern w:val="0"/>
          <w:szCs w:val="21"/>
        </w:rPr>
        <w:t>    </w:t>
      </w:r>
      <w:r>
        <w:rPr>
          <w:rFonts w:hint="eastAsia"/>
          <w:b/>
          <w:bCs/>
          <w:kern w:val="0"/>
          <w:szCs w:val="21"/>
        </w:rPr>
        <w:t xml:space="preserve"> </w:t>
      </w:r>
      <w:r>
        <w:rPr>
          <w:b/>
          <w:bCs/>
          <w:kern w:val="0"/>
          <w:szCs w:val="21"/>
        </w:rPr>
        <w:t> </w:t>
      </w:r>
      <w:r>
        <w:rPr>
          <w:rFonts w:hint="eastAsia"/>
          <w:b/>
          <w:bCs/>
          <w:kern w:val="0"/>
          <w:szCs w:val="21"/>
        </w:rPr>
        <w:t>工程造价的构成与计算</w:t>
      </w:r>
    </w:p>
    <w:p w14:paraId="4D33B100"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531A33A7"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工程造价的特点。</w:t>
      </w:r>
    </w:p>
    <w:p w14:paraId="2F3C61AA" w14:textId="77777777" w:rsidR="00F5289E" w:rsidRDefault="00C91173">
      <w:pPr>
        <w:snapToGrid w:val="0"/>
        <w:spacing w:beforeLines="50" w:before="156" w:line="360" w:lineRule="auto"/>
        <w:rPr>
          <w:rFonts w:ascii="宋体" w:hAnsi="宋体"/>
          <w:szCs w:val="21"/>
        </w:rPr>
      </w:pPr>
      <w:r>
        <w:rPr>
          <w:rFonts w:ascii="宋体" w:hAnsi="宋体" w:hint="eastAsia"/>
          <w:b/>
          <w:szCs w:val="21"/>
        </w:rPr>
        <w:lastRenderedPageBreak/>
        <w:t>2. 一般掌握</w:t>
      </w:r>
      <w:r>
        <w:rPr>
          <w:rFonts w:ascii="宋体" w:hAnsi="宋体" w:hint="eastAsia"/>
          <w:szCs w:val="21"/>
        </w:rPr>
        <w:t>：</w:t>
      </w:r>
      <w:r>
        <w:rPr>
          <w:rFonts w:hAnsi="宋体" w:hint="eastAsia"/>
          <w:kern w:val="0"/>
          <w:szCs w:val="21"/>
        </w:rPr>
        <w:t>工程造价的定义，工程造价的构成，设备及工器具购置费用的确定。</w:t>
      </w:r>
    </w:p>
    <w:p w14:paraId="3A7B81F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建筑安装工程费用的构成。</w:t>
      </w:r>
    </w:p>
    <w:p w14:paraId="2F368879"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5A1E6152" w14:textId="77777777" w:rsidR="00F5289E" w:rsidRDefault="00C91173">
      <w:pPr>
        <w:snapToGrid w:val="0"/>
        <w:spacing w:beforeLines="50" w:before="156" w:line="360" w:lineRule="auto"/>
        <w:rPr>
          <w:rFonts w:hAnsi="宋体"/>
          <w:kern w:val="0"/>
          <w:szCs w:val="21"/>
        </w:rPr>
      </w:pPr>
      <w:r>
        <w:rPr>
          <w:rFonts w:hAnsi="宋体" w:hint="eastAsia"/>
          <w:kern w:val="0"/>
          <w:szCs w:val="21"/>
        </w:rPr>
        <w:t>工程造价的定义，工程造价的特点，工程造价的构成，按生产要素建筑安装工程费用的构成，按工程造价组成形式建筑安装工程费用的构成，设备及工器具购置费用的确定。</w:t>
      </w:r>
    </w:p>
    <w:p w14:paraId="5A887F0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17EDDA7"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1.识记</w:t>
      </w:r>
      <w:r>
        <w:rPr>
          <w:rFonts w:ascii="宋体" w:hAnsi="宋体" w:cs="宋体" w:hint="eastAsia"/>
          <w:szCs w:val="21"/>
        </w:rPr>
        <w:t>：</w:t>
      </w:r>
      <w:r>
        <w:rPr>
          <w:rFonts w:ascii="宋体" w:hAnsi="宋体" w:cs="宋体" w:hint="eastAsia"/>
          <w:kern w:val="0"/>
          <w:szCs w:val="21"/>
        </w:rPr>
        <w:t>工程造价的定义，工程造价的构成，建筑安装过程费用的构成</w:t>
      </w:r>
      <w:r>
        <w:rPr>
          <w:rFonts w:ascii="宋体" w:hAnsi="宋体" w:cs="宋体" w:hint="eastAsia"/>
          <w:szCs w:val="21"/>
        </w:rPr>
        <w:t>。</w:t>
      </w:r>
    </w:p>
    <w:p w14:paraId="3B0A37E5"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2.领会</w:t>
      </w:r>
      <w:r>
        <w:rPr>
          <w:rFonts w:ascii="宋体" w:hAnsi="宋体" w:cs="宋体" w:hint="eastAsia"/>
          <w:szCs w:val="21"/>
        </w:rPr>
        <w:t>：</w:t>
      </w:r>
      <w:r>
        <w:rPr>
          <w:rFonts w:ascii="宋体" w:hAnsi="宋体" w:cs="宋体" w:hint="eastAsia"/>
          <w:kern w:val="0"/>
          <w:szCs w:val="21"/>
        </w:rPr>
        <w:t>工程造价的特点。</w:t>
      </w:r>
    </w:p>
    <w:p w14:paraId="120F1912" w14:textId="77777777" w:rsidR="00F5289E" w:rsidRDefault="00C91173">
      <w:pPr>
        <w:snapToGrid w:val="0"/>
        <w:spacing w:beforeLines="50" w:before="156" w:line="360" w:lineRule="auto"/>
        <w:rPr>
          <w:rFonts w:ascii="宋体" w:hAnsi="宋体" w:cs="宋体"/>
          <w:kern w:val="0"/>
          <w:szCs w:val="21"/>
        </w:rPr>
      </w:pPr>
      <w:r>
        <w:rPr>
          <w:rFonts w:ascii="宋体" w:hAnsi="宋体" w:cs="宋体" w:hint="eastAsia"/>
          <w:b/>
          <w:szCs w:val="21"/>
        </w:rPr>
        <w:t>3.应用</w:t>
      </w:r>
      <w:r>
        <w:rPr>
          <w:rFonts w:ascii="宋体" w:hAnsi="宋体" w:cs="宋体" w:hint="eastAsia"/>
          <w:szCs w:val="21"/>
        </w:rPr>
        <w:t>：</w:t>
      </w:r>
      <w:r>
        <w:rPr>
          <w:rFonts w:ascii="宋体" w:hAnsi="宋体" w:cs="宋体" w:hint="eastAsia"/>
          <w:kern w:val="0"/>
          <w:szCs w:val="21"/>
        </w:rPr>
        <w:t>设备及工器具购置费用的确定。</w:t>
      </w:r>
    </w:p>
    <w:p w14:paraId="684188F3" w14:textId="77777777" w:rsidR="00F5289E" w:rsidRDefault="00C91173">
      <w:pPr>
        <w:snapToGrid w:val="0"/>
        <w:spacing w:beforeLines="50" w:before="156" w:line="360" w:lineRule="auto"/>
        <w:rPr>
          <w:rFonts w:ascii="宋体" w:hAnsi="宋体" w:cs="宋体"/>
          <w:b/>
          <w:bCs/>
          <w:kern w:val="0"/>
          <w:szCs w:val="21"/>
        </w:rPr>
      </w:pPr>
      <w:r>
        <w:rPr>
          <w:rFonts w:ascii="宋体" w:hAnsi="宋体" w:cs="宋体" w:hint="eastAsia"/>
          <w:b/>
          <w:bCs/>
          <w:kern w:val="0"/>
          <w:szCs w:val="21"/>
        </w:rPr>
        <w:t>4.分析：</w:t>
      </w:r>
      <w:r>
        <w:rPr>
          <w:rFonts w:ascii="宋体" w:hAnsi="宋体" w:cs="宋体" w:hint="eastAsia"/>
          <w:kern w:val="0"/>
          <w:szCs w:val="21"/>
        </w:rPr>
        <w:t>按生产要素和工程造价组成形式建筑安装工程费用的构成的区别和联系。</w:t>
      </w:r>
    </w:p>
    <w:p w14:paraId="352FC212" w14:textId="77777777" w:rsidR="00F5289E" w:rsidRDefault="00C91173">
      <w:pPr>
        <w:widowControl/>
        <w:snapToGrid w:val="0"/>
        <w:spacing w:line="360" w:lineRule="auto"/>
        <w:jc w:val="center"/>
        <w:rPr>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b/>
          <w:bCs/>
          <w:kern w:val="0"/>
          <w:szCs w:val="21"/>
        </w:rPr>
        <w:t>     </w:t>
      </w:r>
      <w:r>
        <w:rPr>
          <w:rFonts w:hint="eastAsia"/>
          <w:b/>
          <w:bCs/>
          <w:kern w:val="0"/>
          <w:szCs w:val="21"/>
        </w:rPr>
        <w:t xml:space="preserve"> </w:t>
      </w:r>
      <w:r>
        <w:rPr>
          <w:rFonts w:ascii="Tahoma" w:eastAsia="Tahoma" w:hAnsi="Tahoma" w:cs="Tahoma" w:hint="eastAsia"/>
          <w:b/>
          <w:bCs/>
          <w:szCs w:val="21"/>
          <w:shd w:val="clear" w:color="auto" w:fill="FFFFFF"/>
        </w:rPr>
        <w:t>工程计价依据</w:t>
      </w:r>
    </w:p>
    <w:p w14:paraId="043506AF"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014E0866"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概算定额、概算指标和企业定额的性质和作用。人工工日消耗量、材料消耗量、机械台班消耗量的确定和人工单价、材料单价、机械台班单价的确定，</w:t>
      </w:r>
    </w:p>
    <w:p w14:paraId="29A4D399"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概算定额、概算指标和企业定额的概念。</w:t>
      </w:r>
    </w:p>
    <w:p w14:paraId="3356644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定额的概念、作用和分类，预算定额的概念和作用，预算定额的套用，预算定额的换算。</w:t>
      </w:r>
    </w:p>
    <w:p w14:paraId="1452F3D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4D626094" w14:textId="77777777" w:rsidR="00F5289E" w:rsidRDefault="00C91173">
      <w:pPr>
        <w:snapToGrid w:val="0"/>
        <w:spacing w:beforeLines="50" w:before="156" w:line="360" w:lineRule="auto"/>
        <w:rPr>
          <w:rFonts w:hAnsi="宋体"/>
          <w:kern w:val="0"/>
          <w:szCs w:val="21"/>
        </w:rPr>
      </w:pPr>
      <w:r>
        <w:rPr>
          <w:rFonts w:hAnsi="宋体" w:hint="eastAsia"/>
          <w:kern w:val="0"/>
          <w:szCs w:val="21"/>
        </w:rPr>
        <w:t>定额的概念、作用和分类，预算定额的概念和作用，人工工日消耗量、材料消耗量、机械台班消耗量的确定和人工单价、材料单价、机械台班单价的确定，预算定额的套用，预算定额的换算，概算定额、概算指标和企业定额的概念、性质和作用。</w:t>
      </w:r>
    </w:p>
    <w:p w14:paraId="521FF68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F426D3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w:t>
      </w:r>
      <w:r>
        <w:rPr>
          <w:rFonts w:hAnsi="宋体" w:hint="eastAsia"/>
          <w:kern w:val="0"/>
          <w:szCs w:val="21"/>
        </w:rPr>
        <w:t>定额的概念，预算定额、概算定额、概算指标和企业定额的概念</w:t>
      </w:r>
      <w:r>
        <w:rPr>
          <w:rFonts w:ascii="宋体" w:hAnsi="宋体" w:hint="eastAsia"/>
          <w:szCs w:val="21"/>
        </w:rPr>
        <w:t>。</w:t>
      </w:r>
    </w:p>
    <w:p w14:paraId="2264C9B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w:t>
      </w:r>
      <w:r>
        <w:rPr>
          <w:rFonts w:hAnsi="宋体" w:hint="eastAsia"/>
          <w:kern w:val="0"/>
          <w:szCs w:val="21"/>
        </w:rPr>
        <w:t>定额的作用和分类，预算定额的性质和作用，概算定额、概算指标和企业定额的概念、性质和作用。</w:t>
      </w:r>
    </w:p>
    <w:p w14:paraId="0F9A8F0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3、应用</w:t>
      </w:r>
      <w:r>
        <w:rPr>
          <w:rFonts w:ascii="宋体" w:hAnsi="宋体" w:hint="eastAsia"/>
          <w:szCs w:val="21"/>
        </w:rPr>
        <w:t>：</w:t>
      </w:r>
      <w:r>
        <w:rPr>
          <w:rFonts w:hAnsi="宋体" w:hint="eastAsia"/>
          <w:kern w:val="0"/>
          <w:szCs w:val="21"/>
        </w:rPr>
        <w:t>人工工日消耗量、材料消耗量、机械台班消耗量的确定和人工单价、材料单价、机械台班单价的确定。</w:t>
      </w:r>
    </w:p>
    <w:p w14:paraId="376DBF7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lastRenderedPageBreak/>
        <w:t>4、综合</w:t>
      </w:r>
      <w:r>
        <w:rPr>
          <w:rFonts w:ascii="宋体" w:hAnsi="宋体" w:hint="eastAsia"/>
          <w:szCs w:val="21"/>
        </w:rPr>
        <w:t>：</w:t>
      </w:r>
      <w:r>
        <w:rPr>
          <w:rFonts w:hAnsi="宋体" w:hint="eastAsia"/>
          <w:kern w:val="0"/>
          <w:szCs w:val="21"/>
        </w:rPr>
        <w:t>预算定额的套用和预算定额的换算。</w:t>
      </w:r>
    </w:p>
    <w:p w14:paraId="0856C306" w14:textId="77777777" w:rsidR="00F5289E" w:rsidRDefault="00C91173">
      <w:pPr>
        <w:snapToGrid w:val="0"/>
        <w:spacing w:line="360" w:lineRule="auto"/>
        <w:jc w:val="center"/>
        <w:rPr>
          <w:rFonts w:ascii="宋体" w:hAnsi="宋体"/>
          <w:b/>
          <w:szCs w:val="21"/>
        </w:rPr>
      </w:pPr>
      <w:r>
        <w:rPr>
          <w:rFonts w:ascii="宋体" w:hAnsi="宋体" w:hint="eastAsia"/>
          <w:b/>
          <w:szCs w:val="21"/>
        </w:rPr>
        <w:t>第三章  工程计价方法</w:t>
      </w:r>
    </w:p>
    <w:p w14:paraId="038476A7"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0BC8A45C"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int="eastAsia"/>
        </w:rPr>
        <w:t>定额计价的编制依据</w:t>
      </w:r>
      <w:r>
        <w:rPr>
          <w:rFonts w:hAnsi="宋体" w:hint="eastAsia"/>
          <w:kern w:val="0"/>
          <w:szCs w:val="21"/>
        </w:rPr>
        <w:t>。</w:t>
      </w:r>
    </w:p>
    <w:p w14:paraId="2B562009"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定额计价模式的定义和特点，工程量清单计价的定义，工程量清单计价方法的特点</w:t>
      </w:r>
      <w:r>
        <w:rPr>
          <w:rFonts w:hAnsi="宋体" w:hint="eastAsia"/>
          <w:kern w:val="0"/>
          <w:szCs w:val="21"/>
        </w:rPr>
        <w:t>。</w:t>
      </w:r>
    </w:p>
    <w:p w14:paraId="2217BF1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rPr>
        <w:t>定额价价的编制方法，工程量清单的内容，工程量清单的编制步骤和方法</w:t>
      </w:r>
      <w:r>
        <w:rPr>
          <w:rFonts w:hAnsi="宋体" w:hint="eastAsia"/>
          <w:kern w:val="0"/>
          <w:szCs w:val="21"/>
        </w:rPr>
        <w:t>。</w:t>
      </w:r>
    </w:p>
    <w:p w14:paraId="040B2D6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3BD8890D" w14:textId="77777777" w:rsidR="00F5289E" w:rsidRDefault="00C91173">
      <w:pPr>
        <w:snapToGrid w:val="0"/>
        <w:spacing w:beforeLines="50" w:before="156" w:line="360" w:lineRule="auto"/>
      </w:pPr>
      <w:r>
        <w:rPr>
          <w:rFonts w:hint="eastAsia"/>
        </w:rPr>
        <w:t>定额计价模式的定义和特点，定额计价的编制依据，定额价价的编制方法，工程量清单计价的定义和工程量清单计价方法的优缺点，工程量清单的内容，工程量清单的编制步骤和方法。</w:t>
      </w:r>
    </w:p>
    <w:p w14:paraId="7D0E9501"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3774D09"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1.识记</w:t>
      </w:r>
      <w:r>
        <w:rPr>
          <w:rFonts w:ascii="宋体" w:hAnsi="宋体" w:cs="宋体" w:hint="eastAsia"/>
          <w:szCs w:val="21"/>
        </w:rPr>
        <w:t>：</w:t>
      </w:r>
      <w:r>
        <w:rPr>
          <w:rFonts w:ascii="宋体" w:hAnsi="宋体" w:cs="宋体" w:hint="eastAsia"/>
        </w:rPr>
        <w:t>定额计价模式的定义，工程量清单计价的定义，工程量清单的内容，综合单价的概念</w:t>
      </w:r>
      <w:r>
        <w:rPr>
          <w:rFonts w:ascii="宋体" w:hAnsi="宋体" w:cs="宋体" w:hint="eastAsia"/>
          <w:szCs w:val="21"/>
        </w:rPr>
        <w:t>。</w:t>
      </w:r>
    </w:p>
    <w:p w14:paraId="02D32DE9"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2.领会</w:t>
      </w:r>
      <w:r>
        <w:rPr>
          <w:rFonts w:ascii="宋体" w:hAnsi="宋体" w:cs="宋体" w:hint="eastAsia"/>
          <w:szCs w:val="21"/>
        </w:rPr>
        <w:t>：</w:t>
      </w:r>
      <w:r>
        <w:rPr>
          <w:rFonts w:ascii="宋体" w:hAnsi="宋体" w:cs="宋体" w:hint="eastAsia"/>
        </w:rPr>
        <w:t>定额计价模式的特点</w:t>
      </w:r>
      <w:r>
        <w:rPr>
          <w:rFonts w:ascii="宋体" w:hAnsi="宋体" w:cs="宋体" w:hint="eastAsia"/>
          <w:kern w:val="0"/>
          <w:szCs w:val="21"/>
        </w:rPr>
        <w:t>，</w:t>
      </w:r>
      <w:r>
        <w:rPr>
          <w:rFonts w:ascii="宋体" w:hAnsi="宋体" w:cs="宋体" w:hint="eastAsia"/>
        </w:rPr>
        <w:t>定额计价的编制依据，工程量清单计价方法的优缺点</w:t>
      </w:r>
      <w:r>
        <w:rPr>
          <w:rFonts w:ascii="宋体" w:hAnsi="宋体" w:cs="宋体" w:hint="eastAsia"/>
          <w:kern w:val="0"/>
          <w:szCs w:val="21"/>
        </w:rPr>
        <w:t>。</w:t>
      </w:r>
    </w:p>
    <w:p w14:paraId="7A94FCBD" w14:textId="77777777" w:rsidR="00F5289E" w:rsidRDefault="00C91173">
      <w:pPr>
        <w:snapToGrid w:val="0"/>
        <w:spacing w:beforeLines="50" w:before="156" w:line="360" w:lineRule="auto"/>
        <w:rPr>
          <w:rFonts w:ascii="宋体" w:hAnsi="宋体" w:cs="宋体"/>
          <w:kern w:val="0"/>
          <w:szCs w:val="21"/>
        </w:rPr>
      </w:pPr>
      <w:r>
        <w:rPr>
          <w:rFonts w:ascii="宋体" w:hAnsi="宋体" w:cs="宋体" w:hint="eastAsia"/>
          <w:b/>
          <w:szCs w:val="21"/>
        </w:rPr>
        <w:t>3.应用</w:t>
      </w:r>
      <w:r>
        <w:rPr>
          <w:rFonts w:ascii="宋体" w:hAnsi="宋体" w:cs="宋体" w:hint="eastAsia"/>
          <w:szCs w:val="21"/>
        </w:rPr>
        <w:t>：</w:t>
      </w:r>
      <w:r>
        <w:rPr>
          <w:rFonts w:ascii="宋体" w:hAnsi="宋体" w:cs="宋体" w:hint="eastAsia"/>
        </w:rPr>
        <w:t>工程量清单的编制步骤和方法，综合单价的计算方法</w:t>
      </w:r>
      <w:r>
        <w:rPr>
          <w:rFonts w:ascii="宋体" w:hAnsi="宋体" w:cs="宋体" w:hint="eastAsia"/>
          <w:kern w:val="0"/>
          <w:szCs w:val="21"/>
        </w:rPr>
        <w:t>。</w:t>
      </w:r>
    </w:p>
    <w:p w14:paraId="40B0C83D" w14:textId="77777777" w:rsidR="00F5289E" w:rsidRDefault="00C91173">
      <w:pPr>
        <w:snapToGrid w:val="0"/>
        <w:spacing w:beforeLines="50" w:before="156" w:line="360" w:lineRule="auto"/>
        <w:rPr>
          <w:rFonts w:ascii="宋体" w:hAnsi="宋体" w:cs="宋体"/>
          <w:kern w:val="0"/>
          <w:szCs w:val="21"/>
        </w:rPr>
      </w:pPr>
      <w:r>
        <w:rPr>
          <w:rFonts w:ascii="宋体" w:hAnsi="宋体" w:cs="宋体" w:hint="eastAsia"/>
          <w:b/>
          <w:bCs/>
          <w:kern w:val="0"/>
          <w:szCs w:val="21"/>
        </w:rPr>
        <w:t>4.分析：</w:t>
      </w:r>
      <w:r>
        <w:rPr>
          <w:rFonts w:ascii="宋体" w:hAnsi="宋体" w:cs="宋体" w:hint="eastAsia"/>
        </w:rPr>
        <w:t>定额计价法和工程量清单计价法的异同点。</w:t>
      </w:r>
    </w:p>
    <w:p w14:paraId="58FE9404" w14:textId="77777777" w:rsidR="00F5289E" w:rsidRDefault="00C91173">
      <w:pPr>
        <w:snapToGrid w:val="0"/>
        <w:spacing w:beforeLines="50" w:before="156" w:line="360" w:lineRule="auto"/>
        <w:rPr>
          <w:rFonts w:ascii="宋体" w:hAnsi="宋体" w:cs="宋体"/>
          <w:kern w:val="0"/>
          <w:szCs w:val="21"/>
        </w:rPr>
      </w:pPr>
      <w:r>
        <w:rPr>
          <w:rFonts w:ascii="宋体" w:hAnsi="宋体" w:cs="宋体" w:hint="eastAsia"/>
          <w:b/>
          <w:szCs w:val="21"/>
        </w:rPr>
        <w:t>5.综合</w:t>
      </w:r>
      <w:r>
        <w:rPr>
          <w:rFonts w:ascii="宋体" w:hAnsi="宋体" w:cs="宋体" w:hint="eastAsia"/>
          <w:szCs w:val="21"/>
        </w:rPr>
        <w:t>：</w:t>
      </w:r>
      <w:r>
        <w:rPr>
          <w:rFonts w:ascii="宋体" w:hAnsi="宋体" w:cs="宋体" w:hint="eastAsia"/>
        </w:rPr>
        <w:t>分部分项工程费的计算方法</w:t>
      </w:r>
      <w:r>
        <w:rPr>
          <w:rFonts w:ascii="宋体" w:hAnsi="宋体" w:cs="宋体" w:hint="eastAsia"/>
          <w:kern w:val="0"/>
          <w:szCs w:val="21"/>
        </w:rPr>
        <w:t>。</w:t>
      </w:r>
    </w:p>
    <w:p w14:paraId="39813EB6" w14:textId="77777777" w:rsidR="00F5289E" w:rsidRDefault="00F5289E">
      <w:pPr>
        <w:snapToGrid w:val="0"/>
        <w:spacing w:beforeLines="50" w:before="156" w:line="360" w:lineRule="auto"/>
        <w:rPr>
          <w:rFonts w:hAnsi="宋体"/>
          <w:kern w:val="0"/>
          <w:szCs w:val="21"/>
        </w:rPr>
      </w:pPr>
    </w:p>
    <w:p w14:paraId="2E4F9D1E" w14:textId="77777777" w:rsidR="00F5289E" w:rsidRDefault="00C91173">
      <w:pPr>
        <w:snapToGrid w:val="0"/>
        <w:spacing w:line="360" w:lineRule="auto"/>
        <w:jc w:val="center"/>
        <w:rPr>
          <w:b/>
          <w:bCs/>
          <w:kern w:val="0"/>
          <w:szCs w:val="21"/>
        </w:rPr>
      </w:pPr>
      <w:r>
        <w:rPr>
          <w:rFonts w:hAnsi="宋体"/>
          <w:b/>
          <w:bCs/>
          <w:kern w:val="0"/>
          <w:szCs w:val="21"/>
        </w:rPr>
        <w:t>第</w:t>
      </w:r>
      <w:r>
        <w:rPr>
          <w:rFonts w:hAnsi="宋体" w:hint="eastAsia"/>
          <w:b/>
          <w:bCs/>
          <w:kern w:val="0"/>
          <w:szCs w:val="21"/>
        </w:rPr>
        <w:t>四</w:t>
      </w:r>
      <w:r>
        <w:rPr>
          <w:rFonts w:hAnsi="宋体"/>
          <w:b/>
          <w:bCs/>
          <w:kern w:val="0"/>
          <w:szCs w:val="21"/>
        </w:rPr>
        <w:t>章</w:t>
      </w:r>
      <w:r>
        <w:rPr>
          <w:b/>
          <w:bCs/>
          <w:kern w:val="0"/>
          <w:szCs w:val="21"/>
        </w:rPr>
        <w:t>   </w:t>
      </w:r>
      <w:r>
        <w:rPr>
          <w:rFonts w:hint="eastAsia"/>
          <w:b/>
          <w:bCs/>
          <w:kern w:val="0"/>
          <w:szCs w:val="21"/>
        </w:rPr>
        <w:t xml:space="preserve">  </w:t>
      </w:r>
      <w:r>
        <w:rPr>
          <w:b/>
          <w:bCs/>
          <w:kern w:val="0"/>
          <w:szCs w:val="21"/>
        </w:rPr>
        <w:t>  </w:t>
      </w:r>
      <w:r>
        <w:rPr>
          <w:b/>
          <w:bCs/>
          <w:kern w:val="0"/>
          <w:szCs w:val="21"/>
        </w:rPr>
        <w:t>建筑面积计算</w:t>
      </w:r>
    </w:p>
    <w:p w14:paraId="3F4B48F0"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4639EC24"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int="eastAsia"/>
        </w:rPr>
        <w:t>建筑面积的作用和意义</w:t>
      </w:r>
      <w:r>
        <w:rPr>
          <w:rFonts w:ascii="宋体" w:hAnsi="宋体" w:hint="eastAsia"/>
        </w:rPr>
        <w:t>。</w:t>
      </w:r>
    </w:p>
    <w:p w14:paraId="3724E976"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建筑面积的概念</w:t>
      </w:r>
      <w:r>
        <w:rPr>
          <w:rFonts w:hAnsi="宋体" w:hint="eastAsia"/>
          <w:kern w:val="0"/>
          <w:szCs w:val="21"/>
        </w:rPr>
        <w:t>。</w:t>
      </w:r>
    </w:p>
    <w:p w14:paraId="1E1D192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rPr>
        <w:t>建筑面积的计算规则</w:t>
      </w:r>
      <w:r>
        <w:rPr>
          <w:rFonts w:hAnsi="宋体" w:hint="eastAsia"/>
          <w:kern w:val="0"/>
          <w:szCs w:val="21"/>
        </w:rPr>
        <w:t>。</w:t>
      </w:r>
    </w:p>
    <w:p w14:paraId="5D5BADD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2129BAF3" w14:textId="77777777" w:rsidR="00F5289E" w:rsidRDefault="00C91173">
      <w:pPr>
        <w:snapToGrid w:val="0"/>
        <w:spacing w:beforeLines="50" w:before="156" w:line="360" w:lineRule="auto"/>
      </w:pPr>
      <w:r>
        <w:rPr>
          <w:rFonts w:hint="eastAsia"/>
        </w:rPr>
        <w:t>建筑面积的概念，建筑面积的计算规则</w:t>
      </w:r>
    </w:p>
    <w:p w14:paraId="58F5B09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483EF5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w:t>
      </w:r>
      <w:r>
        <w:rPr>
          <w:rFonts w:hint="eastAsia"/>
        </w:rPr>
        <w:t>建筑面积的概念</w:t>
      </w:r>
      <w:r>
        <w:rPr>
          <w:rFonts w:hAnsi="宋体" w:hint="eastAsia"/>
          <w:kern w:val="0"/>
          <w:szCs w:val="21"/>
        </w:rPr>
        <w:t>。</w:t>
      </w:r>
    </w:p>
    <w:p w14:paraId="3482953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w:t>
      </w:r>
      <w:r>
        <w:rPr>
          <w:rFonts w:hint="eastAsia"/>
        </w:rPr>
        <w:t>建筑面积的作用和意义</w:t>
      </w:r>
      <w:r>
        <w:rPr>
          <w:rFonts w:ascii="宋体" w:hAnsi="宋体" w:hint="eastAsia"/>
        </w:rPr>
        <w:t>。</w:t>
      </w:r>
    </w:p>
    <w:p w14:paraId="10A2E49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lastRenderedPageBreak/>
        <w:t>3.应用</w:t>
      </w:r>
      <w:r>
        <w:rPr>
          <w:rFonts w:ascii="宋体" w:hAnsi="宋体" w:hint="eastAsia"/>
          <w:szCs w:val="21"/>
        </w:rPr>
        <w:t>：</w:t>
      </w:r>
      <w:r>
        <w:rPr>
          <w:rFonts w:hint="eastAsia"/>
        </w:rPr>
        <w:t>建筑面积的计算规则</w:t>
      </w:r>
      <w:r>
        <w:rPr>
          <w:rFonts w:hAnsi="宋体" w:hint="eastAsia"/>
          <w:kern w:val="0"/>
          <w:szCs w:val="21"/>
        </w:rPr>
        <w:t>。</w:t>
      </w:r>
    </w:p>
    <w:p w14:paraId="5428B353" w14:textId="77777777" w:rsidR="00F5289E" w:rsidRDefault="00C91173">
      <w:pPr>
        <w:snapToGrid w:val="0"/>
        <w:spacing w:line="360" w:lineRule="auto"/>
        <w:jc w:val="center"/>
        <w:rPr>
          <w:rFonts w:ascii="宋体" w:hAnsi="宋体"/>
          <w:b/>
          <w:szCs w:val="21"/>
        </w:rPr>
      </w:pPr>
      <w:r>
        <w:rPr>
          <w:rFonts w:ascii="宋体" w:hAnsi="宋体" w:hint="eastAsia"/>
          <w:b/>
          <w:szCs w:val="21"/>
        </w:rPr>
        <w:t>第五章   土方工程计量与计价</w:t>
      </w:r>
    </w:p>
    <w:p w14:paraId="387446A7"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5FC743CA"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int="eastAsia"/>
        </w:rPr>
        <w:t>土方工程的清单分项</w:t>
      </w:r>
      <w:r>
        <w:rPr>
          <w:rFonts w:hAnsi="宋体" w:hint="eastAsia"/>
          <w:kern w:val="0"/>
          <w:szCs w:val="21"/>
        </w:rPr>
        <w:t>。</w:t>
      </w:r>
    </w:p>
    <w:p w14:paraId="7A809564"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土方工程的清单分项</w:t>
      </w:r>
      <w:r>
        <w:rPr>
          <w:rFonts w:hAnsi="宋体" w:hint="eastAsia"/>
          <w:kern w:val="0"/>
          <w:szCs w:val="21"/>
        </w:rPr>
        <w:t>。</w:t>
      </w:r>
    </w:p>
    <w:p w14:paraId="31F0049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rPr>
        <w:t>土方工程的计量方法和计价方法</w:t>
      </w:r>
      <w:r>
        <w:rPr>
          <w:rFonts w:hAnsi="宋体" w:hint="eastAsia"/>
          <w:kern w:val="0"/>
          <w:szCs w:val="21"/>
        </w:rPr>
        <w:t>。</w:t>
      </w:r>
    </w:p>
    <w:p w14:paraId="5FEC874B"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100F26CF" w14:textId="77777777" w:rsidR="00F5289E" w:rsidRDefault="00C91173">
      <w:pPr>
        <w:snapToGrid w:val="0"/>
        <w:spacing w:beforeLines="50" w:before="156" w:line="360" w:lineRule="auto"/>
        <w:rPr>
          <w:rFonts w:ascii="宋体" w:hAnsi="宋体"/>
        </w:rPr>
      </w:pPr>
      <w:r>
        <w:rPr>
          <w:rFonts w:hint="eastAsia"/>
        </w:rPr>
        <w:t>土方工程的清单分项，平整场地、挖土方、挖基础土方、土方回填工程的计量方法和计价方法</w:t>
      </w:r>
      <w:r>
        <w:rPr>
          <w:rFonts w:ascii="宋体" w:hAnsi="宋体" w:hint="eastAsia"/>
        </w:rPr>
        <w:t>。</w:t>
      </w:r>
    </w:p>
    <w:p w14:paraId="30508F8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D9E9D4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hint="eastAsia"/>
        </w:rPr>
        <w:t>平整场地、挖土方、挖基础土方、土方回填工程工程量计算规则。</w:t>
      </w:r>
    </w:p>
    <w:p w14:paraId="6903D2C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w:t>
      </w:r>
      <w:r>
        <w:rPr>
          <w:rFonts w:hint="eastAsia"/>
        </w:rPr>
        <w:t>平整场地、挖土方、挖基础土方、土方回填工程的清单分项规则</w:t>
      </w:r>
      <w:r>
        <w:rPr>
          <w:rFonts w:hAnsi="宋体" w:hint="eastAsia"/>
          <w:kern w:val="0"/>
          <w:szCs w:val="21"/>
        </w:rPr>
        <w:t>。</w:t>
      </w:r>
    </w:p>
    <w:p w14:paraId="52BAFCE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3.应用</w:t>
      </w:r>
      <w:r>
        <w:rPr>
          <w:rFonts w:ascii="宋体" w:hAnsi="宋体" w:hint="eastAsia"/>
          <w:szCs w:val="21"/>
        </w:rPr>
        <w:t>：</w:t>
      </w:r>
      <w:r>
        <w:rPr>
          <w:rFonts w:hint="eastAsia"/>
        </w:rPr>
        <w:t>平整场地、挖土方、挖基础土方、土方回填工程的计量方法</w:t>
      </w:r>
      <w:r>
        <w:rPr>
          <w:rFonts w:hAnsi="宋体" w:hint="eastAsia"/>
          <w:kern w:val="0"/>
          <w:szCs w:val="21"/>
        </w:rPr>
        <w:t>。</w:t>
      </w:r>
    </w:p>
    <w:p w14:paraId="6A85227A" w14:textId="77777777" w:rsidR="00F5289E" w:rsidRDefault="00C91173">
      <w:pPr>
        <w:snapToGrid w:val="0"/>
        <w:spacing w:beforeLines="50" w:before="156" w:line="360" w:lineRule="auto"/>
        <w:rPr>
          <w:rFonts w:ascii="宋体" w:hAnsi="宋体"/>
          <w:szCs w:val="21"/>
        </w:rPr>
      </w:pPr>
      <w:r>
        <w:rPr>
          <w:rFonts w:ascii="宋体" w:hAnsi="宋体" w:hint="eastAsia"/>
          <w:b/>
          <w:szCs w:val="21"/>
        </w:rPr>
        <w:t>4.综合</w:t>
      </w:r>
      <w:r>
        <w:rPr>
          <w:rFonts w:ascii="宋体" w:hAnsi="宋体" w:hint="eastAsia"/>
          <w:szCs w:val="21"/>
        </w:rPr>
        <w:t>：</w:t>
      </w:r>
      <w:r>
        <w:rPr>
          <w:rFonts w:hint="eastAsia"/>
        </w:rPr>
        <w:t>平整场地、挖土方、挖基础土方、土方回填工程的综合单价计算</w:t>
      </w:r>
      <w:r>
        <w:rPr>
          <w:rFonts w:hAnsi="宋体" w:hint="eastAsia"/>
          <w:kern w:val="0"/>
          <w:szCs w:val="21"/>
        </w:rPr>
        <w:t>。</w:t>
      </w:r>
    </w:p>
    <w:p w14:paraId="10888621" w14:textId="77777777" w:rsidR="00F5289E" w:rsidRDefault="00C91173">
      <w:pPr>
        <w:snapToGrid w:val="0"/>
        <w:spacing w:line="360" w:lineRule="auto"/>
        <w:jc w:val="center"/>
        <w:rPr>
          <w:rFonts w:ascii="宋体" w:hAnsi="宋体"/>
          <w:b/>
          <w:szCs w:val="21"/>
        </w:rPr>
      </w:pPr>
      <w:r>
        <w:rPr>
          <w:rFonts w:ascii="宋体" w:hAnsi="宋体" w:hint="eastAsia"/>
          <w:b/>
          <w:szCs w:val="21"/>
        </w:rPr>
        <w:t>第六章  </w:t>
      </w:r>
      <w:r>
        <w:rPr>
          <w:rFonts w:ascii="宋体" w:hAnsi="宋体"/>
          <w:b/>
          <w:szCs w:val="21"/>
        </w:rPr>
        <w:t>砌筑工程计量与计价</w:t>
      </w:r>
    </w:p>
    <w:p w14:paraId="608E515D"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4ED45186" w14:textId="77777777" w:rsidR="00F5289E" w:rsidRDefault="00C91173">
      <w:pPr>
        <w:snapToGrid w:val="0"/>
        <w:spacing w:beforeLines="50" w:before="156" w:line="360" w:lineRule="auto"/>
        <w:rPr>
          <w:rFonts w:ascii="宋体" w:hAnsi="宋体"/>
          <w:szCs w:val="21"/>
        </w:rPr>
      </w:pPr>
      <w:r>
        <w:rPr>
          <w:rFonts w:ascii="宋体" w:hAnsi="宋体" w:hint="eastAsia"/>
          <w:b/>
          <w:szCs w:val="21"/>
        </w:rPr>
        <w:t>1. 一般了解</w:t>
      </w:r>
      <w:r>
        <w:rPr>
          <w:rFonts w:ascii="宋体" w:hAnsi="宋体" w:hint="eastAsia"/>
          <w:szCs w:val="21"/>
        </w:rPr>
        <w:t>：</w:t>
      </w:r>
      <w:r>
        <w:rPr>
          <w:rFonts w:hint="eastAsia"/>
        </w:rPr>
        <w:t>砖基础大放脚的形式</w:t>
      </w:r>
      <w:r>
        <w:rPr>
          <w:rFonts w:hAnsi="宋体" w:hint="eastAsia"/>
          <w:kern w:val="0"/>
          <w:szCs w:val="21"/>
        </w:rPr>
        <w:t>。</w:t>
      </w:r>
    </w:p>
    <w:p w14:paraId="42485B5E" w14:textId="77777777" w:rsidR="00F5289E" w:rsidRDefault="00C91173">
      <w:pPr>
        <w:snapToGrid w:val="0"/>
        <w:spacing w:beforeLines="50" w:before="156" w:line="360" w:lineRule="auto"/>
        <w:rPr>
          <w:rFonts w:ascii="宋体" w:hAnsi="宋体"/>
          <w:szCs w:val="21"/>
        </w:rPr>
      </w:pPr>
      <w:r>
        <w:rPr>
          <w:rFonts w:ascii="宋体" w:hAnsi="宋体" w:hint="eastAsia"/>
          <w:b/>
          <w:szCs w:val="21"/>
        </w:rPr>
        <w:t>2. 一般掌握</w:t>
      </w:r>
      <w:r>
        <w:rPr>
          <w:rFonts w:ascii="宋体" w:hAnsi="宋体" w:hint="eastAsia"/>
          <w:szCs w:val="21"/>
        </w:rPr>
        <w:t>：</w:t>
      </w:r>
      <w:r>
        <w:rPr>
          <w:rFonts w:hint="eastAsia"/>
        </w:rPr>
        <w:t>砌筑工程的清单分项</w:t>
      </w:r>
      <w:r>
        <w:rPr>
          <w:rFonts w:hAnsi="宋体" w:hint="eastAsia"/>
          <w:kern w:val="0"/>
          <w:szCs w:val="21"/>
        </w:rPr>
        <w:t>。</w:t>
      </w:r>
    </w:p>
    <w:p w14:paraId="6CE60F3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rPr>
        <w:t>砖基础、砖墙工程的计量，砖基础、砖墙工程的计价</w:t>
      </w:r>
      <w:r>
        <w:rPr>
          <w:rFonts w:hAnsi="宋体" w:hint="eastAsia"/>
          <w:kern w:val="0"/>
          <w:szCs w:val="21"/>
        </w:rPr>
        <w:t>。</w:t>
      </w:r>
    </w:p>
    <w:p w14:paraId="50E3C585"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4D1D4CDE" w14:textId="77777777" w:rsidR="00F5289E" w:rsidRDefault="00C91173">
      <w:pPr>
        <w:snapToGrid w:val="0"/>
        <w:spacing w:beforeLines="50" w:before="156" w:line="360" w:lineRule="auto"/>
        <w:rPr>
          <w:rFonts w:ascii="宋体" w:hAnsi="宋体"/>
        </w:rPr>
      </w:pPr>
      <w:r>
        <w:rPr>
          <w:rFonts w:hint="eastAsia"/>
        </w:rPr>
        <w:t>砌筑工程的清单分项，砖基础、砖墙工程的计量，砖基础、砖墙工程的计价</w:t>
      </w:r>
      <w:r>
        <w:rPr>
          <w:rFonts w:ascii="宋体" w:hAnsi="宋体" w:hint="eastAsia"/>
        </w:rPr>
        <w:t>。</w:t>
      </w:r>
    </w:p>
    <w:p w14:paraId="781ABA6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46E3F36" w14:textId="77777777" w:rsidR="00F5289E" w:rsidRDefault="00C91173">
      <w:pPr>
        <w:snapToGrid w:val="0"/>
        <w:spacing w:beforeLines="50" w:before="156" w:line="360" w:lineRule="auto"/>
        <w:rPr>
          <w:rFonts w:ascii="宋体" w:hAnsi="宋体" w:cs="宋体"/>
          <w:szCs w:val="21"/>
          <w:shd w:val="clear" w:color="auto" w:fill="FFFFFF"/>
        </w:rPr>
      </w:pPr>
      <w:r>
        <w:rPr>
          <w:rFonts w:ascii="宋体" w:hAnsi="宋体" w:cs="宋体" w:hint="eastAsia"/>
          <w:b/>
          <w:szCs w:val="21"/>
        </w:rPr>
        <w:t>1.识记</w:t>
      </w:r>
      <w:r>
        <w:rPr>
          <w:rFonts w:ascii="宋体" w:hAnsi="宋体" w:cs="宋体" w:hint="eastAsia"/>
          <w:szCs w:val="21"/>
        </w:rPr>
        <w:t>：</w:t>
      </w:r>
      <w:r>
        <w:rPr>
          <w:rFonts w:ascii="宋体" w:hAnsi="宋体" w:cs="宋体" w:hint="eastAsia"/>
          <w:szCs w:val="21"/>
          <w:shd w:val="clear" w:color="auto" w:fill="FFFFFF"/>
        </w:rPr>
        <w:t>砖基础与砖墙（柱）的划分 ，砌体计算厚度的确定。</w:t>
      </w:r>
    </w:p>
    <w:p w14:paraId="047BD835"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bCs/>
          <w:szCs w:val="21"/>
          <w:shd w:val="clear" w:color="auto" w:fill="FFFFFF"/>
        </w:rPr>
        <w:t>2</w:t>
      </w:r>
      <w:r>
        <w:rPr>
          <w:rFonts w:ascii="宋体" w:hAnsi="宋体" w:cs="宋体" w:hint="eastAsia"/>
          <w:b/>
          <w:szCs w:val="21"/>
        </w:rPr>
        <w:t>.</w:t>
      </w:r>
      <w:r>
        <w:rPr>
          <w:rFonts w:ascii="宋体" w:hAnsi="宋体" w:cs="宋体" w:hint="eastAsia"/>
          <w:b/>
          <w:bCs/>
          <w:szCs w:val="21"/>
          <w:shd w:val="clear" w:color="auto" w:fill="FFFFFF"/>
        </w:rPr>
        <w:t>领会：</w:t>
      </w:r>
      <w:r>
        <w:rPr>
          <w:rFonts w:ascii="宋体" w:hAnsi="宋体" w:cs="宋体" w:hint="eastAsia"/>
        </w:rPr>
        <w:t>砌筑工程的清单分项，砖墙的工程量计算规则。</w:t>
      </w:r>
    </w:p>
    <w:p w14:paraId="1E2217B6"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3.应用</w:t>
      </w:r>
      <w:r>
        <w:rPr>
          <w:rFonts w:ascii="宋体" w:hAnsi="宋体" w:cs="宋体" w:hint="eastAsia"/>
          <w:szCs w:val="21"/>
        </w:rPr>
        <w:t>：</w:t>
      </w:r>
      <w:r>
        <w:rPr>
          <w:rFonts w:ascii="宋体" w:hAnsi="宋体" w:cs="宋体" w:hint="eastAsia"/>
        </w:rPr>
        <w:t>砖基础、砖墙工程的计量方法</w:t>
      </w:r>
      <w:r>
        <w:rPr>
          <w:rFonts w:ascii="宋体" w:hAnsi="宋体" w:cs="宋体" w:hint="eastAsia"/>
          <w:kern w:val="0"/>
          <w:szCs w:val="21"/>
        </w:rPr>
        <w:t>。</w:t>
      </w:r>
    </w:p>
    <w:p w14:paraId="1CF46C46" w14:textId="77777777" w:rsidR="00F5289E" w:rsidRDefault="00C91173">
      <w:pPr>
        <w:snapToGrid w:val="0"/>
        <w:spacing w:beforeLines="50" w:before="156" w:line="360" w:lineRule="auto"/>
        <w:rPr>
          <w:rFonts w:ascii="宋体" w:hAnsi="宋体" w:cs="宋体"/>
          <w:szCs w:val="21"/>
        </w:rPr>
      </w:pPr>
      <w:r>
        <w:rPr>
          <w:rFonts w:ascii="宋体" w:hAnsi="宋体" w:cs="宋体" w:hint="eastAsia"/>
          <w:b/>
          <w:szCs w:val="21"/>
        </w:rPr>
        <w:t>4.综合</w:t>
      </w:r>
      <w:r>
        <w:rPr>
          <w:rFonts w:ascii="宋体" w:hAnsi="宋体" w:cs="宋体" w:hint="eastAsia"/>
          <w:szCs w:val="21"/>
        </w:rPr>
        <w:t>：</w:t>
      </w:r>
      <w:r>
        <w:rPr>
          <w:rFonts w:ascii="宋体" w:hAnsi="宋体" w:cs="宋体" w:hint="eastAsia"/>
        </w:rPr>
        <w:t>砖基础、砖墙工程的的综合单价计算</w:t>
      </w:r>
      <w:r>
        <w:rPr>
          <w:rFonts w:ascii="宋体" w:hAnsi="宋体" w:cs="宋体" w:hint="eastAsia"/>
          <w:kern w:val="0"/>
          <w:szCs w:val="21"/>
        </w:rPr>
        <w:t>。</w:t>
      </w:r>
    </w:p>
    <w:p w14:paraId="67EA7406" w14:textId="77777777" w:rsidR="00F5289E" w:rsidRDefault="00C91173">
      <w:pPr>
        <w:snapToGrid w:val="0"/>
        <w:spacing w:line="360" w:lineRule="auto"/>
        <w:jc w:val="center"/>
        <w:rPr>
          <w:rFonts w:ascii="宋体" w:hAnsi="宋体"/>
          <w:b/>
          <w:szCs w:val="21"/>
        </w:rPr>
      </w:pPr>
      <w:r>
        <w:rPr>
          <w:rFonts w:ascii="宋体" w:hAnsi="宋体"/>
          <w:b/>
          <w:szCs w:val="21"/>
        </w:rPr>
        <w:t>第</w:t>
      </w:r>
      <w:r>
        <w:rPr>
          <w:rFonts w:ascii="宋体" w:hAnsi="宋体" w:hint="eastAsia"/>
          <w:b/>
          <w:szCs w:val="21"/>
        </w:rPr>
        <w:t>七</w:t>
      </w:r>
      <w:r>
        <w:rPr>
          <w:rFonts w:ascii="宋体" w:hAnsi="宋体"/>
          <w:b/>
          <w:szCs w:val="21"/>
        </w:rPr>
        <w:t>章 </w:t>
      </w:r>
      <w:r>
        <w:rPr>
          <w:rFonts w:ascii="宋体" w:hAnsi="宋体" w:hint="eastAsia"/>
          <w:b/>
          <w:szCs w:val="21"/>
        </w:rPr>
        <w:t xml:space="preserve">  </w:t>
      </w:r>
      <w:r>
        <w:rPr>
          <w:rFonts w:ascii="宋体" w:hAnsi="宋体"/>
          <w:b/>
          <w:szCs w:val="21"/>
        </w:rPr>
        <w:t>混凝土和钢筋混凝土工程计量与计价</w:t>
      </w:r>
    </w:p>
    <w:p w14:paraId="2871E5AB"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（一）学习目的</w:t>
      </w:r>
    </w:p>
    <w:p w14:paraId="3484A2A5" w14:textId="77777777" w:rsidR="00F5289E" w:rsidRDefault="00C91173">
      <w:pPr>
        <w:snapToGrid w:val="0"/>
        <w:spacing w:beforeLines="50" w:before="156" w:line="360" w:lineRule="auto"/>
        <w:rPr>
          <w:rFonts w:ascii="宋体" w:hAnsi="宋体" w:cs="宋体"/>
          <w:szCs w:val="21"/>
        </w:rPr>
      </w:pPr>
      <w:r>
        <w:rPr>
          <w:rFonts w:ascii="宋体" w:hAnsi="宋体" w:cs="宋体" w:hint="eastAsia"/>
          <w:b/>
          <w:szCs w:val="21"/>
        </w:rPr>
        <w:t>1. 一般了解</w:t>
      </w:r>
      <w:r>
        <w:rPr>
          <w:rFonts w:ascii="宋体" w:hAnsi="宋体" w:cs="宋体" w:hint="eastAsia"/>
          <w:szCs w:val="21"/>
        </w:rPr>
        <w:t>：现浇</w:t>
      </w:r>
      <w:r>
        <w:rPr>
          <w:rFonts w:ascii="宋体" w:hAnsi="宋体" w:cs="宋体" w:hint="eastAsia"/>
        </w:rPr>
        <w:t>混凝土工程和预制混凝土工程的清单分项特点</w:t>
      </w:r>
      <w:r>
        <w:rPr>
          <w:rFonts w:ascii="宋体" w:hAnsi="宋体" w:cs="宋体" w:hint="eastAsia"/>
          <w:kern w:val="0"/>
          <w:szCs w:val="21"/>
        </w:rPr>
        <w:t>。</w:t>
      </w:r>
    </w:p>
    <w:p w14:paraId="5F605F65" w14:textId="77777777" w:rsidR="00F5289E" w:rsidRDefault="00C91173">
      <w:pPr>
        <w:snapToGrid w:val="0"/>
        <w:spacing w:beforeLines="50" w:before="156" w:line="360" w:lineRule="auto"/>
        <w:rPr>
          <w:rFonts w:ascii="宋体" w:hAnsi="宋体" w:cs="宋体"/>
          <w:szCs w:val="21"/>
        </w:rPr>
      </w:pPr>
      <w:r>
        <w:rPr>
          <w:rFonts w:ascii="宋体" w:hAnsi="宋体" w:cs="宋体" w:hint="eastAsia"/>
          <w:b/>
          <w:szCs w:val="21"/>
        </w:rPr>
        <w:t>2. 一般掌握</w:t>
      </w:r>
      <w:r>
        <w:rPr>
          <w:rFonts w:ascii="宋体" w:hAnsi="宋体" w:cs="宋体" w:hint="eastAsia"/>
          <w:szCs w:val="21"/>
        </w:rPr>
        <w:t>：现浇</w:t>
      </w:r>
      <w:r>
        <w:rPr>
          <w:rFonts w:ascii="宋体" w:hAnsi="宋体" w:cs="宋体" w:hint="eastAsia"/>
        </w:rPr>
        <w:t>混凝土工程和预制混凝土工程的清单分项，钢筋工程的计量</w:t>
      </w:r>
      <w:r>
        <w:rPr>
          <w:rFonts w:ascii="宋体" w:hAnsi="宋体" w:cs="宋体" w:hint="eastAsia"/>
          <w:kern w:val="0"/>
          <w:szCs w:val="21"/>
        </w:rPr>
        <w:t>。</w:t>
      </w:r>
    </w:p>
    <w:p w14:paraId="0F387C29"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3. 熟练掌握</w:t>
      </w:r>
      <w:r>
        <w:rPr>
          <w:rFonts w:ascii="宋体" w:hAnsi="宋体" w:cs="宋体" w:hint="eastAsia"/>
          <w:szCs w:val="21"/>
        </w:rPr>
        <w:t>：现浇</w:t>
      </w:r>
      <w:r>
        <w:rPr>
          <w:rFonts w:ascii="宋体" w:hAnsi="宋体" w:cs="宋体" w:hint="eastAsia"/>
          <w:szCs w:val="21"/>
          <w:shd w:val="clear" w:color="auto" w:fill="FFFFFF"/>
        </w:rPr>
        <w:t>混凝土工程垫层、基础、构造柱、圈梁和压顶</w:t>
      </w:r>
      <w:r>
        <w:rPr>
          <w:rFonts w:ascii="宋体" w:hAnsi="宋体" w:cs="宋体" w:hint="eastAsia"/>
        </w:rPr>
        <w:t>工程量计算方法和计价方法</w:t>
      </w:r>
      <w:r>
        <w:rPr>
          <w:rFonts w:ascii="宋体" w:hAnsi="宋体" w:cs="宋体" w:hint="eastAsia"/>
          <w:kern w:val="0"/>
          <w:szCs w:val="21"/>
        </w:rPr>
        <w:t>。</w:t>
      </w:r>
    </w:p>
    <w:p w14:paraId="04FFFBE7"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6B6F7993" w14:textId="77777777" w:rsidR="00F5289E" w:rsidRDefault="00C91173">
      <w:pPr>
        <w:snapToGrid w:val="0"/>
        <w:spacing w:beforeLines="50" w:before="156" w:line="360" w:lineRule="auto"/>
        <w:rPr>
          <w:rFonts w:ascii="宋体" w:hAnsi="宋体" w:cs="宋体"/>
        </w:rPr>
      </w:pPr>
      <w:r>
        <w:rPr>
          <w:rFonts w:ascii="宋体" w:hAnsi="宋体" w:cs="宋体" w:hint="eastAsia"/>
        </w:rPr>
        <w:t>现浇混凝土工程和预制混凝土工程的清单分项，</w:t>
      </w:r>
      <w:r>
        <w:rPr>
          <w:rFonts w:ascii="宋体" w:hAnsi="宋体" w:cs="宋体" w:hint="eastAsia"/>
          <w:szCs w:val="21"/>
        </w:rPr>
        <w:t>现浇</w:t>
      </w:r>
      <w:r>
        <w:rPr>
          <w:rFonts w:ascii="宋体" w:hAnsi="宋体" w:cs="宋体" w:hint="eastAsia"/>
          <w:szCs w:val="21"/>
          <w:shd w:val="clear" w:color="auto" w:fill="FFFFFF"/>
        </w:rPr>
        <w:t>混凝土工程垫层、基础、构造柱、圈梁</w:t>
      </w:r>
      <w:r>
        <w:rPr>
          <w:rFonts w:ascii="宋体" w:hAnsi="宋体" w:cs="宋体" w:hint="eastAsia"/>
        </w:rPr>
        <w:t>工程量计算方法和计价方法，</w:t>
      </w:r>
      <w:r>
        <w:rPr>
          <w:rFonts w:ascii="宋体" w:hAnsi="宋体" w:cs="宋体" w:hint="eastAsia"/>
          <w:szCs w:val="21"/>
          <w:shd w:val="clear" w:color="auto" w:fill="FFFFFF"/>
        </w:rPr>
        <w:t>钢筋</w:t>
      </w:r>
      <w:r>
        <w:rPr>
          <w:rFonts w:ascii="宋体" w:hAnsi="宋体" w:cs="宋体" w:hint="eastAsia"/>
        </w:rPr>
        <w:t>工程量计算方法和计价方法。</w:t>
      </w:r>
    </w:p>
    <w:p w14:paraId="2E97E02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37E4934" w14:textId="77777777" w:rsidR="00F5289E" w:rsidRDefault="00C91173">
      <w:pPr>
        <w:tabs>
          <w:tab w:val="left" w:pos="1397"/>
        </w:tabs>
        <w:snapToGrid w:val="0"/>
        <w:spacing w:beforeLines="50" w:before="156" w:line="360" w:lineRule="auto"/>
        <w:rPr>
          <w:rFonts w:ascii="宋体" w:hAnsi="宋体" w:cs="宋体"/>
          <w:b/>
          <w:szCs w:val="21"/>
        </w:rPr>
      </w:pPr>
      <w:r>
        <w:rPr>
          <w:rFonts w:ascii="宋体" w:hAnsi="宋体" w:cs="宋体" w:hint="eastAsia"/>
          <w:b/>
          <w:szCs w:val="21"/>
        </w:rPr>
        <w:t>1.识记：</w:t>
      </w:r>
      <w:r>
        <w:rPr>
          <w:rFonts w:ascii="宋体" w:hAnsi="宋体" w:cs="宋体" w:hint="eastAsia"/>
        </w:rPr>
        <w:t>现浇混凝土工程和预制混凝土工程的清单工程量计算规则。</w:t>
      </w:r>
    </w:p>
    <w:p w14:paraId="6ECB02FD"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2.领会</w:t>
      </w:r>
      <w:r>
        <w:rPr>
          <w:rFonts w:ascii="宋体" w:hAnsi="宋体" w:cs="宋体" w:hint="eastAsia"/>
          <w:szCs w:val="21"/>
        </w:rPr>
        <w:t>：</w:t>
      </w:r>
      <w:r>
        <w:rPr>
          <w:rFonts w:ascii="宋体" w:hAnsi="宋体" w:cs="宋体" w:hint="eastAsia"/>
        </w:rPr>
        <w:t>现浇混凝土工程和预制混凝土工程的清单分项和</w:t>
      </w:r>
      <w:r>
        <w:rPr>
          <w:rFonts w:ascii="宋体" w:hAnsi="宋体" w:cs="宋体" w:hint="eastAsia"/>
          <w:kern w:val="0"/>
          <w:szCs w:val="21"/>
        </w:rPr>
        <w:t>。</w:t>
      </w:r>
    </w:p>
    <w:p w14:paraId="7D3E9F77"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3.应用</w:t>
      </w:r>
      <w:r>
        <w:rPr>
          <w:rFonts w:ascii="宋体" w:hAnsi="宋体" w:cs="宋体" w:hint="eastAsia"/>
          <w:szCs w:val="21"/>
        </w:rPr>
        <w:t>：</w:t>
      </w:r>
      <w:r>
        <w:rPr>
          <w:rFonts w:ascii="宋体" w:hAnsi="宋体" w:cs="宋体" w:hint="eastAsia"/>
          <w:szCs w:val="21"/>
          <w:shd w:val="clear" w:color="auto" w:fill="FFFFFF"/>
        </w:rPr>
        <w:t>混凝土工程垫层、基础、构造柱、圈梁</w:t>
      </w:r>
      <w:r>
        <w:rPr>
          <w:rFonts w:ascii="宋体" w:hAnsi="宋体" w:cs="宋体" w:hint="eastAsia"/>
        </w:rPr>
        <w:t>工程量计算</w:t>
      </w:r>
      <w:r>
        <w:rPr>
          <w:rFonts w:ascii="宋体" w:hAnsi="宋体" w:cs="宋体" w:hint="eastAsia"/>
          <w:kern w:val="0"/>
          <w:szCs w:val="21"/>
        </w:rPr>
        <w:t>。</w:t>
      </w:r>
    </w:p>
    <w:p w14:paraId="6678864C" w14:textId="77777777" w:rsidR="00F5289E" w:rsidRDefault="00C91173">
      <w:pPr>
        <w:snapToGrid w:val="0"/>
        <w:spacing w:beforeLines="50" w:before="156" w:line="360" w:lineRule="auto"/>
        <w:rPr>
          <w:rFonts w:ascii="宋体" w:hAnsi="宋体" w:cs="宋体"/>
          <w:kern w:val="0"/>
          <w:szCs w:val="21"/>
        </w:rPr>
      </w:pPr>
      <w:r>
        <w:rPr>
          <w:rFonts w:ascii="宋体" w:hAnsi="宋体" w:cs="宋体" w:hint="eastAsia"/>
          <w:b/>
          <w:szCs w:val="21"/>
        </w:rPr>
        <w:t>4.综合</w:t>
      </w:r>
      <w:r>
        <w:rPr>
          <w:rFonts w:ascii="宋体" w:hAnsi="宋体" w:cs="宋体" w:hint="eastAsia"/>
          <w:szCs w:val="21"/>
        </w:rPr>
        <w:t>：</w:t>
      </w:r>
      <w:r>
        <w:rPr>
          <w:rFonts w:ascii="宋体" w:hAnsi="宋体" w:cs="宋体" w:hint="eastAsia"/>
          <w:szCs w:val="21"/>
          <w:shd w:val="clear" w:color="auto" w:fill="FFFFFF"/>
        </w:rPr>
        <w:t>混凝土工程垫层、基础、构造柱、圈梁</w:t>
      </w:r>
      <w:r>
        <w:rPr>
          <w:rFonts w:ascii="宋体" w:hAnsi="宋体" w:cs="宋体" w:hint="eastAsia"/>
        </w:rPr>
        <w:t>的综合单价计算</w:t>
      </w:r>
      <w:r>
        <w:rPr>
          <w:rFonts w:ascii="宋体" w:hAnsi="宋体" w:cs="宋体" w:hint="eastAsia"/>
          <w:kern w:val="0"/>
          <w:szCs w:val="21"/>
        </w:rPr>
        <w:t>。</w:t>
      </w:r>
    </w:p>
    <w:p w14:paraId="38C50B5E" w14:textId="77777777" w:rsidR="00F5289E" w:rsidRDefault="00C91173">
      <w:pPr>
        <w:snapToGrid w:val="0"/>
        <w:spacing w:line="360" w:lineRule="auto"/>
        <w:jc w:val="center"/>
        <w:rPr>
          <w:rFonts w:ascii="宋体" w:hAnsi="宋体"/>
          <w:b/>
          <w:szCs w:val="21"/>
        </w:rPr>
      </w:pPr>
      <w:r>
        <w:rPr>
          <w:rFonts w:hAnsi="宋体"/>
          <w:b/>
          <w:bCs/>
          <w:kern w:val="0"/>
          <w:szCs w:val="21"/>
        </w:rPr>
        <w:t>第</w:t>
      </w:r>
      <w:r>
        <w:rPr>
          <w:rFonts w:hAnsi="宋体" w:hint="eastAsia"/>
          <w:b/>
          <w:bCs/>
          <w:kern w:val="0"/>
          <w:szCs w:val="21"/>
        </w:rPr>
        <w:t>八</w:t>
      </w:r>
      <w:r>
        <w:rPr>
          <w:rFonts w:hAnsi="宋体"/>
          <w:b/>
          <w:bCs/>
          <w:kern w:val="0"/>
          <w:szCs w:val="21"/>
        </w:rPr>
        <w:t>章</w:t>
      </w:r>
      <w:r>
        <w:rPr>
          <w:b/>
          <w:bCs/>
          <w:kern w:val="0"/>
          <w:szCs w:val="21"/>
        </w:rPr>
        <w:t>     </w:t>
      </w:r>
      <w:r>
        <w:rPr>
          <w:rFonts w:hAnsi="宋体" w:hint="eastAsia"/>
          <w:b/>
          <w:bCs/>
          <w:kern w:val="0"/>
          <w:szCs w:val="21"/>
        </w:rPr>
        <w:t>金属</w:t>
      </w:r>
      <w:r>
        <w:rPr>
          <w:rFonts w:hAnsi="宋体"/>
          <w:b/>
          <w:bCs/>
          <w:kern w:val="0"/>
          <w:szCs w:val="21"/>
        </w:rPr>
        <w:t>工程计量与计价</w:t>
      </w:r>
    </w:p>
    <w:p w14:paraId="7A51F55A" w14:textId="77777777" w:rsidR="00F5289E" w:rsidRDefault="00C91173">
      <w:pPr>
        <w:snapToGrid w:val="0"/>
        <w:spacing w:line="360" w:lineRule="auto"/>
        <w:rPr>
          <w:rFonts w:ascii="宋体" w:hAnsi="宋体"/>
          <w:b/>
          <w:szCs w:val="21"/>
        </w:rPr>
      </w:pPr>
      <w:r>
        <w:rPr>
          <w:rFonts w:ascii="宋体" w:hAnsi="宋体" w:hint="eastAsia"/>
          <w:b/>
          <w:szCs w:val="21"/>
        </w:rPr>
        <w:t>（一）学习目的</w:t>
      </w:r>
    </w:p>
    <w:p w14:paraId="353E8697" w14:textId="77777777" w:rsidR="00F5289E" w:rsidRDefault="00C91173">
      <w:pPr>
        <w:snapToGrid w:val="0"/>
        <w:spacing w:beforeLines="50" w:before="156" w:line="360" w:lineRule="auto"/>
        <w:rPr>
          <w:rFonts w:ascii="宋体" w:hAnsi="宋体" w:cs="宋体"/>
          <w:szCs w:val="21"/>
        </w:rPr>
      </w:pPr>
      <w:r>
        <w:rPr>
          <w:rFonts w:ascii="宋体" w:hAnsi="宋体" w:cs="宋体" w:hint="eastAsia"/>
          <w:b/>
          <w:szCs w:val="21"/>
        </w:rPr>
        <w:t>1. 一般了解</w:t>
      </w:r>
      <w:r>
        <w:rPr>
          <w:rFonts w:ascii="宋体" w:hAnsi="宋体" w:cs="宋体" w:hint="eastAsia"/>
          <w:szCs w:val="21"/>
        </w:rPr>
        <w:t>：</w:t>
      </w:r>
      <w:r>
        <w:rPr>
          <w:rFonts w:ascii="宋体" w:hAnsi="宋体" w:cs="宋体" w:hint="eastAsia"/>
          <w:szCs w:val="21"/>
          <w:shd w:val="clear" w:color="auto" w:fill="FFFFFF"/>
        </w:rPr>
        <w:t>常见钢材的规格和表示方法</w:t>
      </w:r>
      <w:r>
        <w:rPr>
          <w:rFonts w:ascii="宋体" w:hAnsi="宋体" w:cs="宋体" w:hint="eastAsia"/>
        </w:rPr>
        <w:t>。</w:t>
      </w:r>
    </w:p>
    <w:p w14:paraId="3ABE234D" w14:textId="77777777" w:rsidR="00F5289E" w:rsidRDefault="00C91173">
      <w:pPr>
        <w:snapToGrid w:val="0"/>
        <w:spacing w:beforeLines="50" w:before="156" w:line="360" w:lineRule="auto"/>
        <w:rPr>
          <w:rFonts w:ascii="宋体" w:hAnsi="宋体" w:cs="宋体"/>
          <w:szCs w:val="21"/>
        </w:rPr>
      </w:pPr>
      <w:r>
        <w:rPr>
          <w:rFonts w:ascii="宋体" w:hAnsi="宋体" w:cs="宋体" w:hint="eastAsia"/>
          <w:b/>
          <w:szCs w:val="21"/>
        </w:rPr>
        <w:t>2. 一般掌握</w:t>
      </w:r>
      <w:r>
        <w:rPr>
          <w:rFonts w:ascii="宋体" w:hAnsi="宋体" w:cs="宋体" w:hint="eastAsia"/>
          <w:szCs w:val="21"/>
        </w:rPr>
        <w:t>：</w:t>
      </w:r>
      <w:r>
        <w:rPr>
          <w:rFonts w:ascii="宋体" w:hAnsi="宋体" w:cs="宋体" w:hint="eastAsia"/>
          <w:szCs w:val="21"/>
          <w:shd w:val="clear" w:color="auto" w:fill="FFFFFF"/>
        </w:rPr>
        <w:t>金属</w:t>
      </w:r>
      <w:r>
        <w:rPr>
          <w:rFonts w:ascii="宋体" w:hAnsi="宋体" w:cs="宋体" w:hint="eastAsia"/>
        </w:rPr>
        <w:t>工程的清单分项，</w:t>
      </w:r>
      <w:r>
        <w:rPr>
          <w:rFonts w:ascii="宋体" w:hAnsi="宋体" w:cs="宋体" w:hint="eastAsia"/>
          <w:szCs w:val="21"/>
          <w:shd w:val="clear" w:color="auto" w:fill="FFFFFF"/>
        </w:rPr>
        <w:t>金属</w:t>
      </w:r>
      <w:r>
        <w:rPr>
          <w:rFonts w:ascii="宋体" w:hAnsi="宋体" w:cs="宋体" w:hint="eastAsia"/>
        </w:rPr>
        <w:t>工程的报价方法</w:t>
      </w:r>
      <w:r>
        <w:rPr>
          <w:rFonts w:ascii="宋体" w:hAnsi="宋体" w:cs="宋体" w:hint="eastAsia"/>
          <w:kern w:val="0"/>
          <w:szCs w:val="21"/>
        </w:rPr>
        <w:t>。</w:t>
      </w:r>
    </w:p>
    <w:p w14:paraId="2B5D0FA6" w14:textId="77777777" w:rsidR="00F5289E" w:rsidRDefault="00C91173">
      <w:pPr>
        <w:snapToGrid w:val="0"/>
        <w:spacing w:beforeLines="50" w:before="156" w:line="360" w:lineRule="auto"/>
        <w:rPr>
          <w:rFonts w:ascii="宋体" w:hAnsi="宋体" w:cs="宋体"/>
          <w:b/>
          <w:szCs w:val="21"/>
        </w:rPr>
      </w:pPr>
      <w:r>
        <w:rPr>
          <w:rFonts w:ascii="宋体" w:hAnsi="宋体" w:cs="宋体" w:hint="eastAsia"/>
          <w:b/>
          <w:szCs w:val="21"/>
        </w:rPr>
        <w:t>3. 熟练掌握</w:t>
      </w:r>
      <w:r>
        <w:rPr>
          <w:rFonts w:ascii="宋体" w:hAnsi="宋体" w:cs="宋体" w:hint="eastAsia"/>
          <w:szCs w:val="21"/>
        </w:rPr>
        <w:t>：</w:t>
      </w:r>
      <w:r>
        <w:rPr>
          <w:rFonts w:ascii="宋体" w:hAnsi="宋体" w:cs="宋体" w:hint="eastAsia"/>
          <w:szCs w:val="21"/>
          <w:shd w:val="clear" w:color="auto" w:fill="FFFFFF"/>
        </w:rPr>
        <w:t>钢骨架</w:t>
      </w:r>
      <w:r>
        <w:rPr>
          <w:rFonts w:ascii="宋体" w:hAnsi="宋体" w:cs="宋体" w:hint="eastAsia"/>
        </w:rPr>
        <w:t>工程量计算规则和方法</w:t>
      </w:r>
      <w:r>
        <w:rPr>
          <w:rFonts w:ascii="宋体" w:hAnsi="宋体" w:cs="宋体" w:hint="eastAsia"/>
          <w:kern w:val="0"/>
          <w:szCs w:val="21"/>
        </w:rPr>
        <w:t>。</w:t>
      </w:r>
    </w:p>
    <w:p w14:paraId="2C2E228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（二）考核知识点</w:t>
      </w:r>
    </w:p>
    <w:p w14:paraId="00EE887B" w14:textId="77777777" w:rsidR="00F5289E" w:rsidRDefault="00C91173">
      <w:pPr>
        <w:widowControl/>
        <w:snapToGrid w:val="0"/>
        <w:spacing w:line="360" w:lineRule="auto"/>
      </w:pPr>
      <w:r>
        <w:rPr>
          <w:rFonts w:ascii="Tahoma" w:hAnsi="Tahoma" w:cs="Tahoma"/>
          <w:szCs w:val="21"/>
          <w:shd w:val="clear" w:color="auto" w:fill="FFFFFF"/>
        </w:rPr>
        <w:t>钢骨架</w:t>
      </w:r>
      <w:r>
        <w:rPr>
          <w:rFonts w:hint="eastAsia"/>
        </w:rPr>
        <w:t>的清单分项，</w:t>
      </w:r>
      <w:r>
        <w:rPr>
          <w:rFonts w:ascii="Tahoma" w:hAnsi="Tahoma" w:cs="Tahoma" w:hint="eastAsia"/>
          <w:szCs w:val="21"/>
          <w:shd w:val="clear" w:color="auto" w:fill="FFFFFF"/>
        </w:rPr>
        <w:t>钢骨架</w:t>
      </w:r>
      <w:r>
        <w:rPr>
          <w:rFonts w:hint="eastAsia"/>
        </w:rPr>
        <w:t>工程量计算规则</w:t>
      </w:r>
      <w:r>
        <w:t>和</w:t>
      </w:r>
      <w:r>
        <w:rPr>
          <w:rFonts w:hint="eastAsia"/>
        </w:rPr>
        <w:t>方法，</w:t>
      </w:r>
      <w:r>
        <w:rPr>
          <w:rFonts w:ascii="Tahoma" w:hAnsi="Tahoma" w:cs="Tahoma" w:hint="eastAsia"/>
          <w:szCs w:val="21"/>
          <w:shd w:val="clear" w:color="auto" w:fill="FFFFFF"/>
        </w:rPr>
        <w:t>钢骨架</w:t>
      </w:r>
      <w:r>
        <w:rPr>
          <w:rFonts w:hint="eastAsia"/>
        </w:rPr>
        <w:t>计价方法。</w:t>
      </w:r>
    </w:p>
    <w:p w14:paraId="59F6937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383888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Tahoma" w:hAnsi="Tahoma" w:cs="Tahoma" w:hint="eastAsia"/>
          <w:szCs w:val="21"/>
          <w:shd w:val="clear" w:color="auto" w:fill="FFFFFF"/>
        </w:rPr>
        <w:t>金属</w:t>
      </w:r>
      <w:r>
        <w:rPr>
          <w:rFonts w:ascii="宋体" w:hAnsi="宋体" w:hint="eastAsia"/>
          <w:szCs w:val="21"/>
        </w:rPr>
        <w:t>工程</w:t>
      </w:r>
      <w:r>
        <w:rPr>
          <w:rFonts w:hint="eastAsia"/>
        </w:rPr>
        <w:t>工程量的计算规则。</w:t>
      </w:r>
    </w:p>
    <w:p w14:paraId="4819A1F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w:t>
      </w:r>
      <w:r>
        <w:rPr>
          <w:rFonts w:ascii="Tahoma" w:hAnsi="Tahoma" w:cs="Tahoma" w:hint="eastAsia"/>
          <w:szCs w:val="21"/>
          <w:shd w:val="clear" w:color="auto" w:fill="FFFFFF"/>
        </w:rPr>
        <w:t>钢骨架</w:t>
      </w:r>
      <w:r>
        <w:rPr>
          <w:rFonts w:ascii="宋体" w:hAnsi="宋体" w:hint="eastAsia"/>
          <w:szCs w:val="21"/>
        </w:rPr>
        <w:t>工程的清单分项</w:t>
      </w:r>
      <w:r>
        <w:rPr>
          <w:rFonts w:hAnsi="宋体" w:hint="eastAsia"/>
          <w:kern w:val="0"/>
          <w:szCs w:val="21"/>
        </w:rPr>
        <w:t>。</w:t>
      </w:r>
    </w:p>
    <w:p w14:paraId="1A679BC2" w14:textId="77777777" w:rsidR="00F5289E" w:rsidRDefault="00C91173">
      <w:pPr>
        <w:snapToGrid w:val="0"/>
        <w:spacing w:beforeLines="50" w:before="156" w:line="360" w:lineRule="auto"/>
        <w:rPr>
          <w:rFonts w:hAnsi="宋体"/>
          <w:kern w:val="0"/>
          <w:szCs w:val="21"/>
        </w:rPr>
      </w:pPr>
      <w:r>
        <w:rPr>
          <w:rFonts w:ascii="宋体" w:hAnsi="宋体" w:hint="eastAsia"/>
          <w:b/>
          <w:szCs w:val="21"/>
        </w:rPr>
        <w:t>3.应用</w:t>
      </w:r>
      <w:r>
        <w:rPr>
          <w:rFonts w:ascii="宋体" w:hAnsi="宋体" w:hint="eastAsia"/>
          <w:szCs w:val="21"/>
        </w:rPr>
        <w:t>：</w:t>
      </w:r>
      <w:r>
        <w:rPr>
          <w:rFonts w:ascii="Tahoma" w:hAnsi="Tahoma" w:cs="Tahoma" w:hint="eastAsia"/>
          <w:szCs w:val="21"/>
          <w:shd w:val="clear" w:color="auto" w:fill="FFFFFF"/>
        </w:rPr>
        <w:t>钢骨架</w:t>
      </w:r>
      <w:r>
        <w:rPr>
          <w:rFonts w:hint="eastAsia"/>
        </w:rPr>
        <w:t>工程量的计算方法</w:t>
      </w:r>
      <w:r>
        <w:rPr>
          <w:rFonts w:hAnsi="宋体" w:hint="eastAsia"/>
          <w:kern w:val="0"/>
          <w:szCs w:val="21"/>
        </w:rPr>
        <w:t>。</w:t>
      </w:r>
    </w:p>
    <w:p w14:paraId="13CF343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4.综合：</w:t>
      </w:r>
      <w:r>
        <w:rPr>
          <w:rFonts w:ascii="Tahoma" w:hAnsi="Tahoma" w:cs="Tahoma" w:hint="eastAsia"/>
          <w:szCs w:val="21"/>
          <w:shd w:val="clear" w:color="auto" w:fill="FFFFFF"/>
        </w:rPr>
        <w:t>钢骨架</w:t>
      </w:r>
      <w:r>
        <w:rPr>
          <w:rFonts w:hint="eastAsia"/>
        </w:rPr>
        <w:t>工程量的综合单价计算</w:t>
      </w:r>
      <w:r>
        <w:rPr>
          <w:rFonts w:hAnsi="宋体" w:hint="eastAsia"/>
          <w:kern w:val="0"/>
          <w:szCs w:val="21"/>
        </w:rPr>
        <w:t>。</w:t>
      </w:r>
    </w:p>
    <w:p w14:paraId="0F125063" w14:textId="77777777" w:rsidR="00F5289E" w:rsidRDefault="00C91173">
      <w:pPr>
        <w:pStyle w:val="a9"/>
        <w:spacing w:line="360" w:lineRule="auto"/>
        <w:rPr>
          <w:b/>
          <w:bCs/>
        </w:rPr>
      </w:pPr>
      <w:r>
        <w:rPr>
          <w:rFonts w:hint="eastAsia"/>
          <w:b/>
          <w:bCs/>
        </w:rPr>
        <w:t>三、考核方式</w:t>
      </w:r>
    </w:p>
    <w:p w14:paraId="4CA2A0DC" w14:textId="77777777" w:rsidR="00F5289E" w:rsidRDefault="00C91173">
      <w:pPr>
        <w:snapToGrid w:val="0"/>
        <w:spacing w:line="360" w:lineRule="auto"/>
        <w:ind w:leftChars="42" w:left="88" w:rightChars="58" w:right="122" w:firstLineChars="154" w:firstLine="323"/>
        <w:jc w:val="left"/>
        <w:rPr>
          <w:rFonts w:ascii="宋体" w:hAnsi="宋体" w:cs="宋体"/>
          <w:szCs w:val="21"/>
        </w:rPr>
      </w:pPr>
      <w:r>
        <w:rPr>
          <w:rFonts w:ascii="宋体" w:hAnsi="宋体" w:cs="宋体" w:hint="eastAsia"/>
          <w:szCs w:val="21"/>
        </w:rPr>
        <w:t>课程采用</w:t>
      </w:r>
      <w:r>
        <w:rPr>
          <w:rFonts w:ascii="宋体" w:hAnsi="宋体" w:cs="宋体" w:hint="eastAsia"/>
          <w:bCs/>
          <w:szCs w:val="21"/>
        </w:rPr>
        <w:t>过程考核和终结性考核相结合的方法</w:t>
      </w:r>
      <w:r>
        <w:rPr>
          <w:rFonts w:ascii="宋体" w:hAnsi="宋体" w:cs="宋体" w:hint="eastAsia"/>
          <w:szCs w:val="21"/>
        </w:rPr>
        <w:t>。过程性考核包括考勤、课堂讨论参与度、4</w:t>
      </w:r>
      <w:r>
        <w:rPr>
          <w:rFonts w:ascii="宋体" w:hAnsi="宋体" w:cs="宋体" w:hint="eastAsia"/>
          <w:szCs w:val="21"/>
        </w:rPr>
        <w:lastRenderedPageBreak/>
        <w:t>次单元测试、3次课后作业。</w:t>
      </w:r>
      <w:r>
        <w:rPr>
          <w:rFonts w:ascii="宋体" w:hAnsi="宋体" w:cs="宋体" w:hint="eastAsia"/>
          <w:bCs/>
          <w:szCs w:val="21"/>
        </w:rPr>
        <w:t>终结性考核</w:t>
      </w:r>
      <w:r>
        <w:rPr>
          <w:rFonts w:ascii="宋体" w:hAnsi="宋体" w:cs="宋体" w:hint="eastAsia"/>
          <w:szCs w:val="21"/>
        </w:rPr>
        <w:t>采用笔试，闭卷，考试时间为120分钟。试卷中非标准答案考核不少于30%。</w:t>
      </w:r>
    </w:p>
    <w:p w14:paraId="1601E8EC" w14:textId="77777777" w:rsidR="00F5289E" w:rsidRDefault="00C91173">
      <w:pPr>
        <w:pStyle w:val="a9"/>
        <w:spacing w:line="360" w:lineRule="auto"/>
        <w:rPr>
          <w:b/>
          <w:bCs/>
        </w:rPr>
      </w:pPr>
      <w:r>
        <w:rPr>
          <w:rFonts w:hint="eastAsia"/>
          <w:b/>
          <w:bCs/>
        </w:rPr>
        <w:t>五、成绩评定</w:t>
      </w:r>
    </w:p>
    <w:p w14:paraId="625166C5" w14:textId="77777777" w:rsidR="00F5289E" w:rsidRDefault="00C91173">
      <w:pPr>
        <w:widowControl/>
        <w:snapToGrid w:val="0"/>
        <w:spacing w:line="360" w:lineRule="auto"/>
        <w:ind w:firstLine="420"/>
        <w:jc w:val="left"/>
        <w:rPr>
          <w:kern w:val="0"/>
          <w:szCs w:val="21"/>
        </w:rPr>
      </w:pPr>
      <w:r>
        <w:rPr>
          <w:kern w:val="0"/>
          <w:szCs w:val="21"/>
        </w:rPr>
        <w:t>1.</w:t>
      </w:r>
      <w:r>
        <w:rPr>
          <w:kern w:val="0"/>
          <w:szCs w:val="21"/>
        </w:rPr>
        <w:t>过程性评价：过程性评价成绩占课程成绩的</w:t>
      </w:r>
      <w:r>
        <w:rPr>
          <w:kern w:val="0"/>
          <w:szCs w:val="21"/>
        </w:rPr>
        <w:t>40%</w:t>
      </w:r>
      <w:r>
        <w:rPr>
          <w:kern w:val="0"/>
          <w:szCs w:val="21"/>
        </w:rPr>
        <w:t>。通过线上教学平台，学生在</w:t>
      </w:r>
      <w:r>
        <w:rPr>
          <w:szCs w:val="21"/>
        </w:rPr>
        <w:t>教学过程中的学习行为</w:t>
      </w:r>
      <w:r>
        <w:rPr>
          <w:kern w:val="0"/>
          <w:szCs w:val="21"/>
        </w:rPr>
        <w:t>被记录并评分，得出过程性评价成绩。过程性评价计分点</w:t>
      </w:r>
      <w:r>
        <w:rPr>
          <w:szCs w:val="21"/>
        </w:rPr>
        <w:t>由考勤、课堂讨论参与度、</w:t>
      </w:r>
      <w:r>
        <w:rPr>
          <w:szCs w:val="21"/>
        </w:rPr>
        <w:t>4</w:t>
      </w:r>
      <w:r>
        <w:rPr>
          <w:szCs w:val="21"/>
        </w:rPr>
        <w:t>次单元测试、</w:t>
      </w:r>
      <w:r>
        <w:rPr>
          <w:szCs w:val="21"/>
        </w:rPr>
        <w:t>3</w:t>
      </w:r>
      <w:r>
        <w:rPr>
          <w:szCs w:val="21"/>
        </w:rPr>
        <w:t>次课后作业组成</w:t>
      </w:r>
      <w:r>
        <w:rPr>
          <w:kern w:val="0"/>
          <w:szCs w:val="21"/>
        </w:rPr>
        <w:t>，分别占</w:t>
      </w:r>
      <w:r>
        <w:rPr>
          <w:kern w:val="0"/>
          <w:szCs w:val="21"/>
        </w:rPr>
        <w:t>10%</w:t>
      </w:r>
      <w:r>
        <w:rPr>
          <w:kern w:val="0"/>
          <w:szCs w:val="21"/>
        </w:rPr>
        <w:t>、</w:t>
      </w:r>
      <w:r>
        <w:rPr>
          <w:kern w:val="0"/>
          <w:szCs w:val="21"/>
        </w:rPr>
        <w:t>20%</w:t>
      </w:r>
      <w:r>
        <w:rPr>
          <w:kern w:val="0"/>
          <w:szCs w:val="21"/>
        </w:rPr>
        <w:t>、</w:t>
      </w:r>
      <w:r>
        <w:rPr>
          <w:kern w:val="0"/>
          <w:szCs w:val="21"/>
        </w:rPr>
        <w:t>40%</w:t>
      </w:r>
      <w:r>
        <w:rPr>
          <w:kern w:val="0"/>
          <w:szCs w:val="21"/>
        </w:rPr>
        <w:t>、</w:t>
      </w:r>
      <w:r>
        <w:rPr>
          <w:kern w:val="0"/>
          <w:szCs w:val="21"/>
        </w:rPr>
        <w:t>30%</w:t>
      </w:r>
      <w:r>
        <w:rPr>
          <w:kern w:val="0"/>
          <w:szCs w:val="21"/>
        </w:rPr>
        <w:t>；</w:t>
      </w:r>
    </w:p>
    <w:p w14:paraId="67E086E1" w14:textId="77777777" w:rsidR="00F5289E" w:rsidRDefault="00C91173">
      <w:pPr>
        <w:snapToGrid w:val="0"/>
        <w:spacing w:line="360" w:lineRule="auto"/>
        <w:ind w:leftChars="42" w:left="88" w:rightChars="58" w:right="122" w:firstLineChars="154" w:firstLine="323"/>
        <w:jc w:val="left"/>
        <w:rPr>
          <w:rFonts w:ascii="宋体" w:hAnsi="宋体"/>
        </w:rPr>
      </w:pPr>
      <w:r>
        <w:rPr>
          <w:kern w:val="0"/>
          <w:szCs w:val="21"/>
        </w:rPr>
        <w:t>2.</w:t>
      </w:r>
      <w:r>
        <w:rPr>
          <w:kern w:val="0"/>
          <w:szCs w:val="21"/>
        </w:rPr>
        <w:t>终结性评价：占课程成绩的</w:t>
      </w:r>
      <w:r>
        <w:rPr>
          <w:kern w:val="0"/>
          <w:szCs w:val="21"/>
        </w:rPr>
        <w:t>60%</w:t>
      </w:r>
      <w:r>
        <w:rPr>
          <w:rFonts w:hint="eastAsia"/>
          <w:kern w:val="0"/>
          <w:szCs w:val="21"/>
        </w:rPr>
        <w:t>。</w:t>
      </w:r>
      <w:r>
        <w:rPr>
          <w:szCs w:val="21"/>
        </w:rPr>
        <w:t>笔试，闭卷，</w:t>
      </w:r>
      <w:r>
        <w:rPr>
          <w:rFonts w:ascii="宋体" w:hAnsi="宋体" w:hint="eastAsia"/>
        </w:rPr>
        <w:t>试卷</w:t>
      </w:r>
      <w:r>
        <w:rPr>
          <w:rFonts w:ascii="宋体" w:hAnsi="宋体"/>
        </w:rPr>
        <w:t>分</w:t>
      </w:r>
      <w:r>
        <w:rPr>
          <w:rFonts w:ascii="宋体" w:hAnsi="宋体" w:hint="eastAsia"/>
        </w:rPr>
        <w:t>A、B卷</w:t>
      </w:r>
      <w:r>
        <w:rPr>
          <w:rFonts w:ascii="宋体" w:hAnsi="宋体"/>
        </w:rPr>
        <w:t>，随机抽取</w:t>
      </w:r>
      <w:r>
        <w:rPr>
          <w:rFonts w:ascii="宋体" w:hAnsi="宋体" w:hint="eastAsia"/>
        </w:rPr>
        <w:t>。</w:t>
      </w:r>
      <w:r>
        <w:rPr>
          <w:rFonts w:ascii="宋体" w:hAnsi="宋体"/>
        </w:rPr>
        <w:t>教师</w:t>
      </w:r>
      <w:r>
        <w:rPr>
          <w:rFonts w:ascii="宋体" w:hAnsi="宋体" w:hint="eastAsia"/>
        </w:rPr>
        <w:t>阅卷</w:t>
      </w:r>
      <w:r>
        <w:rPr>
          <w:rFonts w:ascii="宋体" w:hAnsi="宋体"/>
        </w:rPr>
        <w:t>采用流水判卷的方式。</w:t>
      </w:r>
    </w:p>
    <w:p w14:paraId="2BA3547C" w14:textId="77777777" w:rsidR="00F5289E" w:rsidRDefault="00C91173">
      <w:pPr>
        <w:snapToGrid w:val="0"/>
        <w:spacing w:line="360" w:lineRule="auto"/>
        <w:ind w:firstLineChars="200" w:firstLine="420"/>
        <w:rPr>
          <w:szCs w:val="21"/>
        </w:rPr>
      </w:pPr>
      <w:r>
        <w:rPr>
          <w:kern w:val="0"/>
          <w:szCs w:val="21"/>
        </w:rPr>
        <w:t>3.</w:t>
      </w:r>
      <w:r>
        <w:rPr>
          <w:kern w:val="0"/>
          <w:szCs w:val="21"/>
        </w:rPr>
        <w:t>课程综合评价：</w:t>
      </w:r>
      <w:r>
        <w:rPr>
          <w:szCs w:val="21"/>
        </w:rPr>
        <w:t>总成绩</w:t>
      </w:r>
      <w:r>
        <w:rPr>
          <w:szCs w:val="21"/>
        </w:rPr>
        <w:t>=</w:t>
      </w:r>
      <w:r>
        <w:rPr>
          <w:rFonts w:hint="eastAsia"/>
          <w:szCs w:val="21"/>
        </w:rPr>
        <w:t>4</w:t>
      </w:r>
      <w:r>
        <w:rPr>
          <w:szCs w:val="21"/>
        </w:rPr>
        <w:t>0%</w:t>
      </w:r>
      <w:r>
        <w:rPr>
          <w:kern w:val="0"/>
          <w:szCs w:val="21"/>
        </w:rPr>
        <w:t>过程性评价成绩</w:t>
      </w:r>
      <w:r>
        <w:rPr>
          <w:szCs w:val="21"/>
        </w:rPr>
        <w:t>+</w:t>
      </w:r>
      <w:r>
        <w:rPr>
          <w:rFonts w:hint="eastAsia"/>
          <w:szCs w:val="21"/>
        </w:rPr>
        <w:t>60</w:t>
      </w:r>
      <w:r>
        <w:rPr>
          <w:szCs w:val="21"/>
        </w:rPr>
        <w:t>%</w:t>
      </w:r>
      <w:r>
        <w:rPr>
          <w:szCs w:val="21"/>
        </w:rPr>
        <w:t>终结性评价成绩</w:t>
      </w:r>
      <w:r>
        <w:rPr>
          <w:rFonts w:hint="eastAsia"/>
          <w:szCs w:val="21"/>
        </w:rPr>
        <w:t>。</w:t>
      </w:r>
    </w:p>
    <w:p w14:paraId="33ECDE5B" w14:textId="77777777" w:rsidR="00F5289E" w:rsidRDefault="00C91173">
      <w:pPr>
        <w:pStyle w:val="a9"/>
        <w:spacing w:line="360" w:lineRule="auto"/>
        <w:rPr>
          <w:b/>
          <w:bCs/>
        </w:rPr>
      </w:pPr>
      <w:r>
        <w:rPr>
          <w:rFonts w:hint="eastAsia"/>
          <w:b/>
          <w:bCs/>
        </w:rPr>
        <w:t>六、考核结果分析反馈</w:t>
      </w:r>
    </w:p>
    <w:p w14:paraId="211B2393" w14:textId="77777777" w:rsidR="00F5289E" w:rsidRDefault="00C91173">
      <w:pPr>
        <w:adjustRightInd w:val="0"/>
        <w:snapToGrid w:val="0"/>
        <w:spacing w:line="360" w:lineRule="auto"/>
        <w:ind w:firstLineChars="150" w:firstLine="315"/>
        <w:rPr>
          <w:rFonts w:ascii="宋体" w:hAnsi="宋体" w:cs="宋体"/>
          <w:bCs/>
          <w:szCs w:val="21"/>
        </w:rPr>
      </w:pPr>
      <w:r>
        <w:rPr>
          <w:rFonts w:ascii="宋体" w:hAnsi="宋体" w:cs="宋体" w:hint="eastAsia"/>
          <w:bCs/>
          <w:szCs w:val="21"/>
        </w:rPr>
        <w:t>为了教学目标能够有效达成，非常有必要了解学生情况，及时引导学生，调整授课手段和模式。从过程性考核和结果性考核两个方面，通过以下方式提高学习的有效性和考核结果的可反馈性：</w:t>
      </w:r>
    </w:p>
    <w:p w14:paraId="29308210" w14:textId="77777777" w:rsidR="00F5289E" w:rsidRDefault="00C91173">
      <w:pPr>
        <w:adjustRightInd w:val="0"/>
        <w:snapToGrid w:val="0"/>
        <w:spacing w:line="360" w:lineRule="auto"/>
        <w:ind w:firstLineChars="150" w:firstLine="315"/>
        <w:rPr>
          <w:rFonts w:ascii="宋体" w:hAnsi="宋体" w:cs="宋体"/>
          <w:bCs/>
          <w:szCs w:val="21"/>
        </w:rPr>
      </w:pPr>
      <w:r>
        <w:rPr>
          <w:rFonts w:ascii="宋体" w:hAnsi="宋体" w:cs="宋体" w:hint="eastAsia"/>
          <w:bCs/>
          <w:szCs w:val="21"/>
        </w:rPr>
        <w:t>1.过程性考核结果分析</w:t>
      </w:r>
    </w:p>
    <w:p w14:paraId="44FA7A7A" w14:textId="77777777" w:rsidR="00F5289E" w:rsidRDefault="00C91173">
      <w:pPr>
        <w:adjustRightInd w:val="0"/>
        <w:snapToGrid w:val="0"/>
        <w:spacing w:line="360" w:lineRule="auto"/>
        <w:ind w:firstLineChars="150" w:firstLine="315"/>
        <w:rPr>
          <w:rFonts w:ascii="宋体" w:hAnsi="宋体" w:cs="宋体"/>
          <w:szCs w:val="21"/>
        </w:rPr>
      </w:pPr>
      <w:r>
        <w:rPr>
          <w:rFonts w:ascii="宋体" w:hAnsi="宋体" w:cs="宋体" w:hint="eastAsia"/>
          <w:szCs w:val="21"/>
        </w:rPr>
        <w:t>（1）通过课堂提问，教师及时发现学生课前学习中存在的问题、不足；</w:t>
      </w:r>
    </w:p>
    <w:p w14:paraId="58396BEB" w14:textId="77777777" w:rsidR="00F5289E" w:rsidRDefault="00C91173">
      <w:pPr>
        <w:adjustRightInd w:val="0"/>
        <w:snapToGrid w:val="0"/>
        <w:spacing w:line="360" w:lineRule="auto"/>
        <w:ind w:firstLineChars="150" w:firstLine="315"/>
        <w:rPr>
          <w:rFonts w:ascii="宋体" w:hAnsi="宋体" w:cs="宋体"/>
          <w:szCs w:val="21"/>
        </w:rPr>
      </w:pPr>
      <w:r>
        <w:rPr>
          <w:rFonts w:ascii="宋体" w:hAnsi="宋体" w:cs="宋体" w:hint="eastAsia"/>
          <w:szCs w:val="21"/>
        </w:rPr>
        <w:t>（2）通过课堂导入问题讨论，及时发现学生认知的难点，解决相应问题；</w:t>
      </w:r>
    </w:p>
    <w:p w14:paraId="2DEDE8CB" w14:textId="77777777" w:rsidR="00F5289E" w:rsidRDefault="00C91173">
      <w:pPr>
        <w:adjustRightInd w:val="0"/>
        <w:snapToGrid w:val="0"/>
        <w:spacing w:line="360" w:lineRule="auto"/>
        <w:ind w:firstLineChars="150" w:firstLine="315"/>
        <w:rPr>
          <w:rFonts w:ascii="宋体" w:hAnsi="宋体" w:cs="宋体"/>
          <w:szCs w:val="21"/>
        </w:rPr>
      </w:pPr>
      <w:r>
        <w:rPr>
          <w:rFonts w:ascii="宋体" w:hAnsi="宋体" w:cs="宋体" w:hint="eastAsia"/>
          <w:szCs w:val="21"/>
        </w:rPr>
        <w:t>（3）通过平时作业，及时发现学生认知偏差，及时纠正。</w:t>
      </w:r>
    </w:p>
    <w:p w14:paraId="1B088618" w14:textId="77777777" w:rsidR="00F5289E" w:rsidRDefault="00C91173">
      <w:pPr>
        <w:adjustRightInd w:val="0"/>
        <w:snapToGrid w:val="0"/>
        <w:spacing w:line="360" w:lineRule="auto"/>
        <w:ind w:firstLineChars="150" w:firstLine="315"/>
        <w:rPr>
          <w:rFonts w:ascii="宋体" w:hAnsi="宋体" w:cs="宋体"/>
          <w:szCs w:val="21"/>
        </w:rPr>
      </w:pPr>
      <w:r>
        <w:rPr>
          <w:rFonts w:ascii="宋体" w:hAnsi="宋体" w:cs="宋体" w:hint="eastAsia"/>
          <w:szCs w:val="21"/>
        </w:rPr>
        <w:t>2.结果性考核结果分析</w:t>
      </w:r>
    </w:p>
    <w:p w14:paraId="310D1219" w14:textId="77777777" w:rsidR="00F5289E" w:rsidRDefault="00C91173">
      <w:pPr>
        <w:adjustRightInd w:val="0"/>
        <w:snapToGrid w:val="0"/>
        <w:spacing w:line="360" w:lineRule="auto"/>
        <w:ind w:firstLineChars="200" w:firstLine="420"/>
        <w:rPr>
          <w:rFonts w:ascii="宋体" w:hAnsi="宋体" w:cs="宋体"/>
          <w:szCs w:val="21"/>
        </w:rPr>
      </w:pPr>
      <w:r>
        <w:rPr>
          <w:rFonts w:ascii="宋体" w:hAnsi="宋体" w:cs="宋体" w:hint="eastAsia"/>
          <w:szCs w:val="21"/>
        </w:rPr>
        <w:t>（1）本门课程的整体考试情况（包括使用同一试卷考试班级和本班考试成绩情况）：结合成绩分布情况，从难度、信度、效度、区分度等方面进行分析。</w:t>
      </w:r>
    </w:p>
    <w:p w14:paraId="5D7C1894" w14:textId="77777777" w:rsidR="00F5289E" w:rsidRDefault="00C91173">
      <w:pPr>
        <w:adjustRightInd w:val="0"/>
        <w:snapToGrid w:val="0"/>
        <w:spacing w:line="360" w:lineRule="auto"/>
        <w:ind w:firstLineChars="200" w:firstLine="420"/>
        <w:rPr>
          <w:rFonts w:ascii="宋体" w:hAnsi="宋体" w:cs="宋体"/>
          <w:szCs w:val="21"/>
        </w:rPr>
      </w:pPr>
      <w:r>
        <w:rPr>
          <w:rFonts w:ascii="宋体" w:hAnsi="宋体" w:cs="宋体" w:hint="eastAsia"/>
          <w:szCs w:val="21"/>
        </w:rPr>
        <w:t>（2）本次试卷的特点：知识点覆盖范围、难易度情况、重点考核同学们哪些方面的能力、是否符合培养目标等。</w:t>
      </w:r>
    </w:p>
    <w:p w14:paraId="7CC7DB40" w14:textId="77777777" w:rsidR="00F5289E" w:rsidRDefault="00C91173">
      <w:pPr>
        <w:adjustRightInd w:val="0"/>
        <w:snapToGrid w:val="0"/>
        <w:spacing w:line="360" w:lineRule="auto"/>
        <w:ind w:firstLineChars="200" w:firstLine="420"/>
        <w:rPr>
          <w:rFonts w:ascii="宋体" w:hAnsi="宋体" w:cs="宋体"/>
          <w:szCs w:val="21"/>
        </w:rPr>
      </w:pPr>
      <w:r>
        <w:rPr>
          <w:rFonts w:ascii="宋体" w:hAnsi="宋体" w:cs="宋体" w:hint="eastAsia"/>
          <w:szCs w:val="21"/>
        </w:rPr>
        <w:t>（3）对试卷的具体分析：如哪些方面的题目答案正确率较高；哪些方面的题目失分较多；普遍掌握较为薄弱的知识点；哪些是较难的、综合性的题目；等等。</w:t>
      </w:r>
    </w:p>
    <w:p w14:paraId="1A331F43" w14:textId="77777777" w:rsidR="00F5289E" w:rsidRDefault="00C91173">
      <w:pPr>
        <w:adjustRightInd w:val="0"/>
        <w:snapToGrid w:val="0"/>
        <w:spacing w:line="360" w:lineRule="auto"/>
        <w:ind w:firstLineChars="200" w:firstLine="420"/>
        <w:rPr>
          <w:rFonts w:ascii="宋体" w:hAnsi="宋体" w:cs="宋体"/>
          <w:szCs w:val="21"/>
        </w:rPr>
      </w:pPr>
      <w:r>
        <w:rPr>
          <w:rFonts w:ascii="宋体" w:hAnsi="宋体" w:cs="宋体" w:hint="eastAsia"/>
          <w:szCs w:val="21"/>
        </w:rPr>
        <w:t>（4）反映出的问题：包括形成性考核和终结性考核中所反映出来的问题。如学生在知识掌握、实验操作、学习报告撰写、学习方法等方面的问题；教师在教学过程中存在的问题等。</w:t>
      </w:r>
    </w:p>
    <w:p w14:paraId="36430E4E" w14:textId="77777777" w:rsidR="00F5289E" w:rsidRDefault="00C91173">
      <w:pPr>
        <w:adjustRightInd w:val="0"/>
        <w:snapToGrid w:val="0"/>
        <w:spacing w:line="360" w:lineRule="auto"/>
        <w:ind w:firstLineChars="200" w:firstLine="420"/>
        <w:rPr>
          <w:rFonts w:ascii="宋体" w:hAnsi="宋体" w:cs="宋体"/>
          <w:color w:val="0000FF"/>
          <w:szCs w:val="21"/>
        </w:rPr>
      </w:pPr>
      <w:r>
        <w:rPr>
          <w:rFonts w:ascii="宋体" w:hAnsi="宋体" w:cs="宋体" w:hint="eastAsia"/>
          <w:szCs w:val="21"/>
        </w:rPr>
        <w:t>（5）针对上述的分析反馈，教师修改下学期的授课计划和课程设计，形成持续改进的闭环。</w:t>
      </w:r>
    </w:p>
    <w:p w14:paraId="45888C52" w14:textId="77777777" w:rsidR="00F5289E" w:rsidRDefault="00C91173">
      <w:pPr>
        <w:widowControl/>
        <w:jc w:val="left"/>
        <w:rPr>
          <w:rFonts w:ascii="宋体" w:hAnsi="宋体"/>
          <w:b/>
          <w:sz w:val="28"/>
          <w:szCs w:val="28"/>
        </w:rPr>
      </w:pPr>
      <w:r>
        <w:rPr>
          <w:rFonts w:ascii="宋体" w:hAnsi="宋体"/>
          <w:b/>
          <w:sz w:val="28"/>
          <w:szCs w:val="28"/>
        </w:rPr>
        <w:br w:type="page"/>
      </w:r>
    </w:p>
    <w:p w14:paraId="227BF24B" w14:textId="77777777" w:rsidR="00F5289E" w:rsidRDefault="00C91173">
      <w:pPr>
        <w:pStyle w:val="1"/>
      </w:pPr>
      <w:bookmarkStart w:id="191" w:name="_Toc138606286"/>
      <w:r>
        <w:rPr>
          <w:rFonts w:hint="eastAsia"/>
        </w:rPr>
        <w:lastRenderedPageBreak/>
        <w:t>茶艺考核大纲</w:t>
      </w:r>
      <w:bookmarkEnd w:id="191"/>
    </w:p>
    <w:p w14:paraId="080AEC2F" w14:textId="77777777" w:rsidR="00F5289E" w:rsidRDefault="00C91173">
      <w:pPr>
        <w:jc w:val="center"/>
        <w:rPr>
          <w:sz w:val="24"/>
        </w:rPr>
      </w:pPr>
      <w:r>
        <w:rPr>
          <w:sz w:val="24"/>
        </w:rPr>
        <w:t>（</w:t>
      </w:r>
      <w:r>
        <w:rPr>
          <w:rFonts w:eastAsia="????" w:hint="eastAsia"/>
          <w:sz w:val="24"/>
          <w:szCs w:val="36"/>
        </w:rPr>
        <w:t>T</w:t>
      </w:r>
      <w:r>
        <w:rPr>
          <w:rFonts w:eastAsia="????"/>
          <w:sz w:val="24"/>
          <w:szCs w:val="36"/>
        </w:rPr>
        <w:t>ea Ceremony</w:t>
      </w:r>
      <w:r>
        <w:rPr>
          <w:sz w:val="24"/>
        </w:rPr>
        <w:t>）</w:t>
      </w:r>
    </w:p>
    <w:p w14:paraId="26137EBF" w14:textId="77777777" w:rsidR="00F5289E" w:rsidRDefault="00F5289E">
      <w:pPr>
        <w:widowControl/>
        <w:wordWrap w:val="0"/>
        <w:spacing w:before="120" w:after="120"/>
        <w:jc w:val="center"/>
        <w:outlineLvl w:val="0"/>
        <w:rPr>
          <w:rFonts w:eastAsia="黑体" w:hAnsi="宋体" w:cs="宋体"/>
          <w:b/>
          <w:bCs/>
          <w:kern w:val="36"/>
          <w:sz w:val="24"/>
        </w:rPr>
      </w:pPr>
    </w:p>
    <w:p w14:paraId="54F23DA7"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5A98984D" w14:textId="77777777">
        <w:tc>
          <w:tcPr>
            <w:tcW w:w="1665" w:type="pct"/>
          </w:tcPr>
          <w:p w14:paraId="6C340875"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ascii="宋体" w:hAnsi="宋体" w:hint="eastAsia"/>
                <w:szCs w:val="21"/>
              </w:rPr>
              <w:t>19011</w:t>
            </w:r>
            <w:r w:rsidRPr="001B3040">
              <w:rPr>
                <w:rFonts w:ascii="宋体" w:hAnsi="宋体"/>
                <w:szCs w:val="21"/>
              </w:rPr>
              <w:t>047</w:t>
            </w:r>
          </w:p>
        </w:tc>
        <w:tc>
          <w:tcPr>
            <w:tcW w:w="1234" w:type="pct"/>
          </w:tcPr>
          <w:p w14:paraId="233553B6"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szCs w:val="21"/>
              </w:rPr>
              <w:t>32</w:t>
            </w:r>
          </w:p>
        </w:tc>
        <w:tc>
          <w:tcPr>
            <w:tcW w:w="2100" w:type="pct"/>
          </w:tcPr>
          <w:p w14:paraId="4FD93379"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w:t>
            </w:r>
            <w:r w:rsidRPr="001B3040">
              <w:rPr>
                <w:rFonts w:ascii="宋体" w:hAnsi="宋体"/>
                <w:szCs w:val="21"/>
              </w:rPr>
              <w:t>2</w:t>
            </w:r>
          </w:p>
        </w:tc>
      </w:tr>
      <w:tr w:rsidR="00F5289E" w14:paraId="41489E26" w14:textId="77777777">
        <w:tc>
          <w:tcPr>
            <w:tcW w:w="1665" w:type="pct"/>
          </w:tcPr>
          <w:p w14:paraId="2B1798AB"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苏会</w:t>
            </w:r>
          </w:p>
        </w:tc>
        <w:tc>
          <w:tcPr>
            <w:tcW w:w="1234" w:type="pct"/>
          </w:tcPr>
          <w:p w14:paraId="434891AB" w14:textId="77777777" w:rsidR="00F5289E" w:rsidRDefault="00C91173">
            <w:pPr>
              <w:spacing w:line="300" w:lineRule="auto"/>
              <w:rPr>
                <w:rFonts w:ascii="宋体" w:hAnsi="宋体"/>
                <w:b/>
                <w:bCs/>
                <w:szCs w:val="21"/>
              </w:rPr>
            </w:pPr>
            <w:r>
              <w:rPr>
                <w:rFonts w:ascii="宋体" w:hAnsi="宋体" w:hint="eastAsia"/>
                <w:b/>
                <w:bCs/>
                <w:szCs w:val="21"/>
              </w:rPr>
              <w:t>审核人：</w:t>
            </w:r>
            <w:r w:rsidR="001B3040" w:rsidRPr="001B3040">
              <w:rPr>
                <w:rFonts w:ascii="宋体" w:hAnsi="宋体" w:hint="eastAsia"/>
                <w:szCs w:val="21"/>
              </w:rPr>
              <w:t>贺巍</w:t>
            </w:r>
          </w:p>
        </w:tc>
        <w:tc>
          <w:tcPr>
            <w:tcW w:w="2100" w:type="pct"/>
          </w:tcPr>
          <w:p w14:paraId="520913C7"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19E7DE04" w14:textId="77777777" w:rsidR="00F5289E" w:rsidRDefault="00F5289E">
      <w:pPr>
        <w:pStyle w:val="a9"/>
        <w:spacing w:line="360" w:lineRule="auto"/>
        <w:rPr>
          <w:b/>
          <w:bCs/>
        </w:rPr>
      </w:pPr>
    </w:p>
    <w:p w14:paraId="6F3CFA7E" w14:textId="77777777" w:rsidR="00F5289E" w:rsidRDefault="00C91173">
      <w:pPr>
        <w:pStyle w:val="a9"/>
        <w:spacing w:line="360" w:lineRule="auto"/>
        <w:rPr>
          <w:b/>
          <w:bCs/>
        </w:rPr>
      </w:pPr>
      <w:r>
        <w:rPr>
          <w:rFonts w:hint="eastAsia"/>
          <w:b/>
          <w:bCs/>
        </w:rPr>
        <w:t>一、课程的性质和地位</w:t>
      </w:r>
    </w:p>
    <w:p w14:paraId="1162B913" w14:textId="77777777" w:rsidR="00F5289E" w:rsidRDefault="00C91173">
      <w:pPr>
        <w:snapToGrid w:val="0"/>
        <w:spacing w:line="360" w:lineRule="auto"/>
        <w:ind w:firstLineChars="200" w:firstLine="420"/>
        <w:rPr>
          <w:rFonts w:ascii="宋体" w:hAnsi="宋体"/>
          <w:color w:val="0000FF"/>
          <w:szCs w:val="21"/>
        </w:rPr>
      </w:pPr>
      <w:r>
        <w:rPr>
          <w:rFonts w:ascii="宋体" w:hAnsi="宋体" w:cs="宋体" w:hint="eastAsia"/>
          <w:color w:val="000000" w:themeColor="text1"/>
          <w:kern w:val="0"/>
          <w:szCs w:val="21"/>
        </w:rPr>
        <w:t>《茶艺》课程是</w:t>
      </w:r>
      <w:r>
        <w:rPr>
          <w:rFonts w:ascii="宋体" w:hAnsi="宋体" w:cs="宋体" w:hint="eastAsia"/>
          <w:kern w:val="0"/>
          <w:szCs w:val="21"/>
        </w:rPr>
        <w:t>专业选修课，针对大二学生于第四学期开设。</w:t>
      </w:r>
      <w:r>
        <w:rPr>
          <w:rFonts w:hAnsi="宋体" w:hint="eastAsia"/>
          <w:color w:val="000000" w:themeColor="text1"/>
          <w:kern w:val="0"/>
          <w:szCs w:val="21"/>
        </w:rPr>
        <w:t>课程主要讲授茶叶基础知识，茶文化，茶具和泡茶用水的选择，茶席设计及插花与音乐，不同茶叶的冲泡技巧，茶艺表演，茶艺服务礼仪等。旨在培养能够适应从茶叶生产到茶叶销售中都能适应良好的人才，承担着培养茶学专业复合应用型人才和使用技能型人才的双重任务。</w:t>
      </w:r>
    </w:p>
    <w:p w14:paraId="1362C6C7" w14:textId="77777777" w:rsidR="00F5289E" w:rsidRDefault="00C91173">
      <w:pPr>
        <w:pStyle w:val="a9"/>
        <w:spacing w:line="360" w:lineRule="auto"/>
        <w:rPr>
          <w:b/>
          <w:bCs/>
        </w:rPr>
      </w:pPr>
      <w:r>
        <w:rPr>
          <w:rFonts w:hint="eastAsia"/>
          <w:b/>
          <w:bCs/>
        </w:rPr>
        <w:t>二、理论教学部分的考核目标</w:t>
      </w:r>
    </w:p>
    <w:p w14:paraId="4F706E99"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1.掌握茶叶基础知识；</w:t>
      </w:r>
    </w:p>
    <w:p w14:paraId="274FC72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2.掌握茶艺概念与分类；</w:t>
      </w:r>
    </w:p>
    <w:p w14:paraId="3A985918"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3.掌握茶艺基本要素（水，器，冲泡条件）及特点；</w:t>
      </w:r>
    </w:p>
    <w:p w14:paraId="019EC876"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4.掌握茶艺基本手法</w:t>
      </w:r>
    </w:p>
    <w:p w14:paraId="437D0912"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5.掌握茶艺基本礼仪；</w:t>
      </w:r>
    </w:p>
    <w:p w14:paraId="2ED1C5D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6.掌握茶席设计原则；</w:t>
      </w:r>
    </w:p>
    <w:p w14:paraId="409FA74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7.掌握玻璃杯、盖碗及紫砂壶茶艺；</w:t>
      </w:r>
    </w:p>
    <w:p w14:paraId="47E1A816" w14:textId="77777777" w:rsidR="00F5289E" w:rsidRDefault="00C91173">
      <w:pPr>
        <w:snapToGrid w:val="0"/>
        <w:spacing w:line="360" w:lineRule="auto"/>
        <w:ind w:firstLineChars="200" w:firstLine="420"/>
        <w:rPr>
          <w:rFonts w:ascii="宋体" w:hAnsi="宋体"/>
          <w:szCs w:val="21"/>
        </w:rPr>
      </w:pPr>
      <w:r>
        <w:rPr>
          <w:rFonts w:ascii="宋体" w:hAnsi="宋体" w:hint="eastAsia"/>
          <w:bCs/>
          <w:szCs w:val="21"/>
        </w:rPr>
        <w:t>8.掌握茶艺编创原则。</w:t>
      </w:r>
    </w:p>
    <w:p w14:paraId="36FA248A"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第一章  茶艺概论</w:t>
      </w:r>
    </w:p>
    <w:p w14:paraId="3558A61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4E87FA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：茶艺发展历史；</w:t>
      </w:r>
    </w:p>
    <w:p w14:paraId="0676AF9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：茶叶基础知识；茶艺与茶道的关系；</w:t>
      </w:r>
    </w:p>
    <w:p w14:paraId="123C1AD7"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：茶艺概念，茶艺的分类与特性。</w:t>
      </w:r>
    </w:p>
    <w:p w14:paraId="26DE66CD"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D1A7EE5"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1.茶艺概念与分类，茶叶形态特征与特征性成分；</w:t>
      </w:r>
    </w:p>
    <w:p w14:paraId="3C82E86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2.茶艺几种不同分类方法及内涵；</w:t>
      </w:r>
    </w:p>
    <w:p w14:paraId="051B0074"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szCs w:val="21"/>
        </w:rPr>
        <w:t>3.茶艺的文化内涵</w:t>
      </w:r>
      <w:r>
        <w:rPr>
          <w:rFonts w:ascii="宋体" w:hAnsi="宋体" w:hint="eastAsia"/>
          <w:bCs/>
          <w:color w:val="0000FF"/>
          <w:szCs w:val="21"/>
        </w:rPr>
        <w:t>。</w:t>
      </w:r>
    </w:p>
    <w:p w14:paraId="77ED22BA"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5F5A2970"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：茶艺发展历史；</w:t>
      </w:r>
    </w:p>
    <w:p w14:paraId="20F48ED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：茶艺分类与特性；茶叶基础知识；</w:t>
      </w:r>
    </w:p>
    <w:p w14:paraId="6119CB0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lastRenderedPageBreak/>
        <w:t>3.应用</w:t>
      </w:r>
      <w:r>
        <w:rPr>
          <w:rFonts w:ascii="宋体" w:hAnsi="宋体" w:hint="eastAsia"/>
          <w:szCs w:val="21"/>
        </w:rPr>
        <w:t>：茶艺的分类依据；茶叶特征性成分；</w:t>
      </w:r>
    </w:p>
    <w:p w14:paraId="358F2A28"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茶艺与茶道的关系；六大茶类品质特征；</w:t>
      </w:r>
    </w:p>
    <w:p w14:paraId="50510D1B"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：茶艺的分类与内涵；</w:t>
      </w:r>
    </w:p>
    <w:p w14:paraId="5070B71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茶艺在茶产业发展中的作用。</w:t>
      </w:r>
    </w:p>
    <w:p w14:paraId="0F2C2DD2" w14:textId="77777777" w:rsidR="00F5289E" w:rsidRDefault="00C91173">
      <w:pPr>
        <w:pStyle w:val="a9"/>
        <w:snapToGrid w:val="0"/>
        <w:spacing w:line="360" w:lineRule="auto"/>
        <w:jc w:val="center"/>
        <w:rPr>
          <w:rFonts w:hAnsi="宋体"/>
          <w:b/>
        </w:rPr>
      </w:pPr>
      <w:r>
        <w:rPr>
          <w:rFonts w:hAnsi="宋体" w:hint="eastAsia"/>
          <w:b/>
        </w:rPr>
        <w:t xml:space="preserve">第二章  </w:t>
      </w:r>
      <w:r>
        <w:rPr>
          <w:rFonts w:hint="eastAsia"/>
          <w:b/>
          <w:bCs/>
          <w:kern w:val="0"/>
        </w:rPr>
        <w:t>水与器的选择</w:t>
      </w:r>
    </w:p>
    <w:p w14:paraId="2CE6839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25226F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：泡茶用水与器具的发展历史；</w:t>
      </w:r>
    </w:p>
    <w:p w14:paraId="44ACE084"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：茶叶水质的分类与茶器的分类；</w:t>
      </w:r>
    </w:p>
    <w:p w14:paraId="372DF02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：适宜泡茶的用水选择，不同茶类的泡茶选择及搭配。</w:t>
      </w:r>
    </w:p>
    <w:p w14:paraId="786418CE" w14:textId="77777777" w:rsidR="00F5289E" w:rsidRDefault="00F5289E">
      <w:pPr>
        <w:snapToGrid w:val="0"/>
        <w:spacing w:line="360" w:lineRule="auto"/>
        <w:ind w:firstLineChars="200" w:firstLine="420"/>
        <w:rPr>
          <w:rFonts w:ascii="宋体" w:hAnsi="宋体"/>
          <w:szCs w:val="21"/>
        </w:rPr>
      </w:pPr>
    </w:p>
    <w:p w14:paraId="33189FF5"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2BD3D10"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1.适宜泡茶的用水要求；</w:t>
      </w:r>
    </w:p>
    <w:p w14:paraId="40DC7E75"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2.分析不同水质对茶汤品质的影响；</w:t>
      </w:r>
    </w:p>
    <w:p w14:paraId="65EC1AB4"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3.不同材质的茶具对茶汤品质的影响。</w:t>
      </w:r>
    </w:p>
    <w:p w14:paraId="2DC9612E"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1A1E9DE"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：水质分类，茶具分类；</w:t>
      </w:r>
    </w:p>
    <w:p w14:paraId="5B95C06A"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：不同水质和茶具的优缺点；</w:t>
      </w:r>
    </w:p>
    <w:p w14:paraId="1B038963"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：不同茶类冲泡所需水和器具的选择；</w:t>
      </w:r>
    </w:p>
    <w:p w14:paraId="71BA5D80"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4.分析：</w:t>
      </w:r>
      <w:r>
        <w:rPr>
          <w:rFonts w:ascii="宋体" w:hAnsi="宋体" w:hint="eastAsia"/>
          <w:bCs/>
          <w:szCs w:val="21"/>
        </w:rPr>
        <w:t>水与器影响茶汤品质的形成因素；</w:t>
      </w:r>
    </w:p>
    <w:p w14:paraId="15A1DCBB"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：对不同茶汤品质形成原因进行分析；</w:t>
      </w:r>
    </w:p>
    <w:p w14:paraId="7D9DB4B1"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用不同水质与茶具冲泡同一茶叶的品质比较。</w:t>
      </w:r>
    </w:p>
    <w:p w14:paraId="2629E470" w14:textId="77777777" w:rsidR="00F5289E" w:rsidRDefault="00F5289E">
      <w:pPr>
        <w:pStyle w:val="a9"/>
        <w:snapToGrid w:val="0"/>
        <w:spacing w:line="360" w:lineRule="auto"/>
        <w:rPr>
          <w:rFonts w:hAnsi="宋体"/>
          <w:b/>
        </w:rPr>
      </w:pPr>
    </w:p>
    <w:p w14:paraId="302D5329" w14:textId="77777777" w:rsidR="00F5289E" w:rsidRDefault="00C91173">
      <w:pPr>
        <w:pStyle w:val="a9"/>
        <w:snapToGrid w:val="0"/>
        <w:spacing w:line="360" w:lineRule="auto"/>
        <w:jc w:val="center"/>
        <w:rPr>
          <w:rFonts w:hAnsi="宋体"/>
          <w:b/>
        </w:rPr>
      </w:pPr>
      <w:r>
        <w:rPr>
          <w:rFonts w:hAnsi="宋体" w:hint="eastAsia"/>
          <w:b/>
        </w:rPr>
        <w:t>第三章 茶艺基本礼仪</w:t>
      </w:r>
    </w:p>
    <w:p w14:paraId="55DC27C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9EE0B7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：茶艺发展历史；</w:t>
      </w:r>
    </w:p>
    <w:p w14:paraId="3C3B248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：茶艺礼仪的内涵；</w:t>
      </w:r>
    </w:p>
    <w:p w14:paraId="43F54DB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：茶艺中的常用礼仪。</w:t>
      </w:r>
    </w:p>
    <w:p w14:paraId="34B47825"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A72028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1.茶艺礼仪的内涵；</w:t>
      </w:r>
    </w:p>
    <w:p w14:paraId="52D7BBC6"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2.茶艺仪容仪态；</w:t>
      </w:r>
    </w:p>
    <w:p w14:paraId="394B86C1"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3.茶艺常用礼节及寓意。</w:t>
      </w:r>
    </w:p>
    <w:p w14:paraId="217D5C3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146F24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：茶艺礼仪的概念；</w:t>
      </w:r>
    </w:p>
    <w:p w14:paraId="79CA9C1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：茶艺礼仪的内涵；</w:t>
      </w:r>
    </w:p>
    <w:p w14:paraId="6CD3CF16"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lastRenderedPageBreak/>
        <w:t>3.应用</w:t>
      </w:r>
      <w:r>
        <w:rPr>
          <w:rFonts w:ascii="宋体" w:hAnsi="宋体" w:hint="eastAsia"/>
          <w:szCs w:val="21"/>
        </w:rPr>
        <w:t>：茶艺礼仪的仪容仪态要求；</w:t>
      </w:r>
    </w:p>
    <w:p w14:paraId="14BC7502"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茶艺寓意礼的内涵；</w:t>
      </w:r>
    </w:p>
    <w:p w14:paraId="1CE1848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：茶艺中的常用礼仪奉茶礼及叩手礼等；</w:t>
      </w:r>
    </w:p>
    <w:p w14:paraId="12A4F3E0"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礼仪在茶艺展示中的意义。</w:t>
      </w:r>
    </w:p>
    <w:p w14:paraId="5D2C95E4" w14:textId="77777777" w:rsidR="00F5289E" w:rsidRDefault="00F5289E">
      <w:pPr>
        <w:pStyle w:val="a9"/>
        <w:snapToGrid w:val="0"/>
        <w:spacing w:line="360" w:lineRule="auto"/>
        <w:rPr>
          <w:rFonts w:hAnsi="宋体"/>
          <w:b/>
        </w:rPr>
      </w:pPr>
    </w:p>
    <w:p w14:paraId="127F2A8A" w14:textId="77777777" w:rsidR="00F5289E" w:rsidRDefault="00C91173">
      <w:pPr>
        <w:pStyle w:val="a9"/>
        <w:snapToGrid w:val="0"/>
        <w:spacing w:line="360" w:lineRule="auto"/>
        <w:jc w:val="center"/>
        <w:rPr>
          <w:rFonts w:hAnsi="宋体"/>
          <w:b/>
        </w:rPr>
      </w:pPr>
      <w:r>
        <w:rPr>
          <w:rFonts w:hAnsi="宋体" w:hint="eastAsia"/>
          <w:b/>
        </w:rPr>
        <w:t>第四章 茶席设计</w:t>
      </w:r>
    </w:p>
    <w:p w14:paraId="338FBA6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BEE420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：茶席演变历史；</w:t>
      </w:r>
    </w:p>
    <w:p w14:paraId="6E67ED1E"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：茶席特性；</w:t>
      </w:r>
    </w:p>
    <w:p w14:paraId="24008B4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：茶席设计遵循原则。</w:t>
      </w:r>
    </w:p>
    <w:p w14:paraId="43EC653B"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EF46FFC"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1.茶席概念；</w:t>
      </w:r>
    </w:p>
    <w:p w14:paraId="6278F16F"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2.茶席设计原则；</w:t>
      </w:r>
    </w:p>
    <w:p w14:paraId="54D315D3"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3.茶席要素及特性。</w:t>
      </w:r>
    </w:p>
    <w:p w14:paraId="40F92C13"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321CA860"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：茶席的演变过程；</w:t>
      </w:r>
    </w:p>
    <w:p w14:paraId="10742BB1"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：茶席设计的概念；</w:t>
      </w:r>
    </w:p>
    <w:p w14:paraId="53BCDD5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：茶席设计原则；</w:t>
      </w:r>
    </w:p>
    <w:p w14:paraId="0F847414"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bCs/>
          <w:szCs w:val="21"/>
        </w:rPr>
        <w:t>茶席设计要素茶桌，铺垫，插花等特点；</w:t>
      </w:r>
    </w:p>
    <w:p w14:paraId="6765E773"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：茶席设计赏析；</w:t>
      </w:r>
    </w:p>
    <w:p w14:paraId="4B6D0BD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茶席在茶艺展示中的重要性。</w:t>
      </w:r>
    </w:p>
    <w:p w14:paraId="316CABAC" w14:textId="77777777" w:rsidR="00F5289E" w:rsidRDefault="00C91173">
      <w:pPr>
        <w:pStyle w:val="a9"/>
        <w:snapToGrid w:val="0"/>
        <w:spacing w:line="360" w:lineRule="auto"/>
        <w:jc w:val="center"/>
        <w:rPr>
          <w:rFonts w:hAnsi="宋体"/>
          <w:b/>
        </w:rPr>
      </w:pPr>
      <w:r>
        <w:rPr>
          <w:rFonts w:hAnsi="宋体" w:hint="eastAsia"/>
          <w:b/>
        </w:rPr>
        <w:t>第五章 基础茶艺</w:t>
      </w:r>
    </w:p>
    <w:p w14:paraId="3102BA8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0BAAD1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：茶艺分类；</w:t>
      </w:r>
    </w:p>
    <w:p w14:paraId="248F930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：茶艺基本流程；</w:t>
      </w:r>
    </w:p>
    <w:p w14:paraId="3308C33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：茶艺基本手法。</w:t>
      </w:r>
    </w:p>
    <w:p w14:paraId="72370ED7"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5414ED5"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1.茶艺基本流程；</w:t>
      </w:r>
    </w:p>
    <w:p w14:paraId="757A1D9D"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2，茶艺温杯，提壶，冲泡，分杯，奉茶等基本手法。</w:t>
      </w:r>
    </w:p>
    <w:p w14:paraId="68CF00E0"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861807E"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：茶艺主要分类；</w:t>
      </w:r>
    </w:p>
    <w:p w14:paraId="7F8B49E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：不同茶艺特点；</w:t>
      </w:r>
    </w:p>
    <w:p w14:paraId="1D9FCF0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：玻璃杯，盖碗，紫砂壶等主泡茶具的取用手法；</w:t>
      </w:r>
    </w:p>
    <w:p w14:paraId="16D54556"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szCs w:val="21"/>
        </w:rPr>
        <w:t>茶艺过程中主要器具取用手法的要点；</w:t>
      </w:r>
    </w:p>
    <w:p w14:paraId="0ED1C44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lastRenderedPageBreak/>
        <w:t>5.综合</w:t>
      </w:r>
      <w:r>
        <w:rPr>
          <w:rFonts w:ascii="宋体" w:hAnsi="宋体" w:hint="eastAsia"/>
          <w:szCs w:val="21"/>
        </w:rPr>
        <w:t>：不同茶艺的展示流程；</w:t>
      </w:r>
    </w:p>
    <w:p w14:paraId="20633E3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茶艺中的基本流程动作要点与内涵。</w:t>
      </w:r>
    </w:p>
    <w:p w14:paraId="1A57ACB0" w14:textId="77777777" w:rsidR="00F5289E" w:rsidRDefault="00F5289E">
      <w:pPr>
        <w:pStyle w:val="a9"/>
        <w:snapToGrid w:val="0"/>
        <w:spacing w:line="360" w:lineRule="auto"/>
        <w:rPr>
          <w:rFonts w:hAnsi="宋体"/>
          <w:b/>
        </w:rPr>
      </w:pPr>
    </w:p>
    <w:p w14:paraId="30889F73" w14:textId="77777777" w:rsidR="00F5289E" w:rsidRDefault="00C91173">
      <w:pPr>
        <w:pStyle w:val="a9"/>
        <w:snapToGrid w:val="0"/>
        <w:spacing w:line="360" w:lineRule="auto"/>
        <w:jc w:val="center"/>
        <w:rPr>
          <w:rFonts w:hAnsi="宋体"/>
          <w:b/>
        </w:rPr>
      </w:pPr>
      <w:r>
        <w:rPr>
          <w:rFonts w:hAnsi="宋体" w:hint="eastAsia"/>
          <w:b/>
        </w:rPr>
        <w:t>第六章 主题茶艺</w:t>
      </w:r>
    </w:p>
    <w:p w14:paraId="0459CB8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3E0EDB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：主题茶艺的概念；</w:t>
      </w:r>
    </w:p>
    <w:p w14:paraId="670BE40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：主题茶艺的特点；</w:t>
      </w:r>
    </w:p>
    <w:p w14:paraId="4E39133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：主题茶艺的编创原则。</w:t>
      </w:r>
    </w:p>
    <w:p w14:paraId="7EA2801D"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B19CAA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1.主题茶艺的概念与特点；</w:t>
      </w:r>
    </w:p>
    <w:p w14:paraId="678034B8"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2.主题茶艺的编创原则。</w:t>
      </w:r>
    </w:p>
    <w:p w14:paraId="3C735EB2"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3104A310"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：主题茶艺概念；</w:t>
      </w:r>
    </w:p>
    <w:p w14:paraId="19F072D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：主题茶艺特点；</w:t>
      </w:r>
    </w:p>
    <w:p w14:paraId="38721CF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：主题茶艺编创原则；</w:t>
      </w:r>
    </w:p>
    <w:p w14:paraId="0CCCE89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rFonts w:ascii="宋体" w:hAnsi="宋体" w:hint="eastAsia"/>
          <w:szCs w:val="21"/>
        </w:rPr>
        <w:t>不同主题茶艺核心要素特点；</w:t>
      </w:r>
    </w:p>
    <w:p w14:paraId="2C030A86"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：不同环境下主题茶艺的编创；</w:t>
      </w:r>
    </w:p>
    <w:p w14:paraId="0BB77639"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6.评价：</w:t>
      </w:r>
      <w:r>
        <w:rPr>
          <w:rFonts w:ascii="宋体" w:hAnsi="宋体" w:hint="eastAsia"/>
          <w:bCs/>
          <w:szCs w:val="21"/>
        </w:rPr>
        <w:t>主题茶艺与基础茶艺的区别与关系。</w:t>
      </w:r>
    </w:p>
    <w:p w14:paraId="183F1D62" w14:textId="77777777" w:rsidR="00F5289E" w:rsidRDefault="00F5289E">
      <w:pPr>
        <w:pStyle w:val="a9"/>
        <w:snapToGrid w:val="0"/>
        <w:spacing w:line="360" w:lineRule="auto"/>
        <w:rPr>
          <w:rFonts w:hAnsi="宋体"/>
          <w:b/>
        </w:rPr>
      </w:pPr>
    </w:p>
    <w:p w14:paraId="485706AD" w14:textId="77777777" w:rsidR="00F5289E" w:rsidRDefault="00F5289E">
      <w:pPr>
        <w:pStyle w:val="a9"/>
        <w:snapToGrid w:val="0"/>
        <w:spacing w:line="360" w:lineRule="auto"/>
        <w:rPr>
          <w:rFonts w:hAnsi="宋体"/>
          <w:b/>
        </w:rPr>
      </w:pPr>
    </w:p>
    <w:p w14:paraId="4DA7FF07" w14:textId="77777777" w:rsidR="00F5289E" w:rsidRDefault="00C91173">
      <w:pPr>
        <w:pStyle w:val="a9"/>
        <w:spacing w:line="360" w:lineRule="auto"/>
        <w:rPr>
          <w:b/>
          <w:bCs/>
        </w:rPr>
      </w:pPr>
      <w:r>
        <w:rPr>
          <w:rFonts w:hint="eastAsia"/>
          <w:b/>
          <w:bCs/>
        </w:rPr>
        <w:t>三、实验、实习教学部分的考核要求</w:t>
      </w:r>
    </w:p>
    <w:p w14:paraId="40EF83C3" w14:textId="77777777" w:rsidR="00F5289E" w:rsidRDefault="00C91173">
      <w:pPr>
        <w:widowControl/>
        <w:spacing w:line="360" w:lineRule="auto"/>
        <w:ind w:firstLineChars="200" w:firstLine="420"/>
        <w:jc w:val="left"/>
        <w:rPr>
          <w:rFonts w:ascii="宋体"/>
          <w:color w:val="000000" w:themeColor="text1"/>
          <w:szCs w:val="21"/>
        </w:rPr>
      </w:pPr>
      <w:r>
        <w:rPr>
          <w:rFonts w:ascii="宋体" w:hAnsi="宋体" w:hint="eastAsia"/>
          <w:bCs/>
          <w:color w:val="000000" w:themeColor="text1"/>
          <w:szCs w:val="21"/>
        </w:rPr>
        <w:t>实验：茶艺技能考核，占比20%。</w:t>
      </w:r>
    </w:p>
    <w:p w14:paraId="3F9EAFF9" w14:textId="77777777" w:rsidR="00F5289E" w:rsidRDefault="00C91173">
      <w:pPr>
        <w:pStyle w:val="a9"/>
        <w:spacing w:line="360" w:lineRule="auto"/>
        <w:rPr>
          <w:b/>
          <w:bCs/>
        </w:rPr>
      </w:pPr>
      <w:r>
        <w:rPr>
          <w:rFonts w:hint="eastAsia"/>
          <w:b/>
          <w:bCs/>
        </w:rPr>
        <w:t>考核方式</w:t>
      </w:r>
    </w:p>
    <w:p w14:paraId="45D1BF05" w14:textId="77777777" w:rsidR="00F5289E" w:rsidRDefault="00C91173">
      <w:pPr>
        <w:pStyle w:val="a9"/>
        <w:spacing w:line="360" w:lineRule="auto"/>
        <w:ind w:firstLineChars="200" w:firstLine="420"/>
        <w:rPr>
          <w:rFonts w:ascii="Times New Roman" w:eastAsiaTheme="majorEastAsia" w:hAnsi="Times New Roman" w:cs="Times New Roman"/>
          <w:b/>
          <w:bCs/>
        </w:rPr>
      </w:pPr>
      <w:r>
        <w:rPr>
          <w:rFonts w:ascii="Times New Roman" w:hAnsi="Times New Roman" w:cs="Times New Roman"/>
          <w:bCs/>
        </w:rPr>
        <w:t>课程以教师讲授结合实践教学进行，在整个教学过程中，</w:t>
      </w:r>
      <w:r>
        <w:rPr>
          <w:rFonts w:ascii="Times New Roman" w:hAnsi="Times New Roman" w:cs="Times New Roman"/>
        </w:rPr>
        <w:t>布置相关的作业让学生完成，通过课堂表现、平时作业以及随堂测验、茶艺技能考核等方式对学生的学习效果进行考查。本课程期末考核采用闭卷考试与技能考试相结合的方式。总成绩计算办法为期末考试占</w:t>
      </w:r>
      <w:r>
        <w:rPr>
          <w:rFonts w:ascii="Times New Roman" w:hAnsi="Times New Roman" w:cs="Times New Roman"/>
        </w:rPr>
        <w:t>50%</w:t>
      </w:r>
      <w:r>
        <w:rPr>
          <w:rFonts w:ascii="Times New Roman" w:hAnsi="Times New Roman" w:cs="Times New Roman"/>
        </w:rPr>
        <w:t>，实验技能考试占</w:t>
      </w:r>
      <w:r>
        <w:rPr>
          <w:rFonts w:ascii="Times New Roman" w:hAnsi="Times New Roman" w:cs="Times New Roman"/>
        </w:rPr>
        <w:t>20%</w:t>
      </w:r>
      <w:r>
        <w:rPr>
          <w:rFonts w:ascii="Times New Roman" w:hAnsi="Times New Roman" w:cs="Times New Roman"/>
        </w:rPr>
        <w:t>，课堂展示占</w:t>
      </w:r>
      <w:r>
        <w:rPr>
          <w:rFonts w:ascii="Times New Roman" w:hAnsi="Times New Roman" w:cs="Times New Roman"/>
        </w:rPr>
        <w:t>10%</w:t>
      </w:r>
      <w:r>
        <w:rPr>
          <w:rFonts w:ascii="Times New Roman" w:hAnsi="Times New Roman" w:cs="Times New Roman"/>
        </w:rPr>
        <w:t>，平时成绩为</w:t>
      </w:r>
      <w:r>
        <w:rPr>
          <w:rFonts w:ascii="Times New Roman" w:hAnsi="Times New Roman" w:cs="Times New Roman"/>
        </w:rPr>
        <w:t>20%</w:t>
      </w:r>
      <w:r>
        <w:rPr>
          <w:rFonts w:ascii="Times New Roman" w:hAnsi="Times New Roman" w:cs="Times New Roman"/>
        </w:rPr>
        <w:t>。</w:t>
      </w:r>
    </w:p>
    <w:p w14:paraId="1A99FB4F" w14:textId="77777777" w:rsidR="00F5289E" w:rsidRDefault="00C91173">
      <w:pPr>
        <w:pStyle w:val="a9"/>
        <w:spacing w:line="360" w:lineRule="auto"/>
        <w:rPr>
          <w:b/>
          <w:bCs/>
        </w:rPr>
      </w:pPr>
      <w:r>
        <w:rPr>
          <w:rFonts w:hint="eastAsia"/>
          <w:b/>
          <w:bCs/>
        </w:rPr>
        <w:t>五、成绩评定</w:t>
      </w:r>
    </w:p>
    <w:p w14:paraId="204ACD09" w14:textId="77777777" w:rsidR="00F5289E" w:rsidRDefault="00C91173">
      <w:pPr>
        <w:snapToGrid w:val="0"/>
        <w:spacing w:line="360" w:lineRule="auto"/>
        <w:ind w:firstLineChars="200" w:firstLine="420"/>
        <w:rPr>
          <w:rFonts w:ascii="宋体" w:hAnsi="宋体"/>
          <w:szCs w:val="21"/>
        </w:rPr>
      </w:pPr>
      <w:r>
        <w:rPr>
          <w:rFonts w:ascii="宋体" w:hAnsi="宋体" w:hint="eastAsia"/>
          <w:color w:val="000000" w:themeColor="text1"/>
          <w:szCs w:val="21"/>
        </w:rPr>
        <w:t>1.</w:t>
      </w:r>
      <w:r>
        <w:rPr>
          <w:rFonts w:ascii="宋体" w:hAnsi="宋体" w:hint="eastAsia"/>
          <w:szCs w:val="21"/>
        </w:rPr>
        <w:t>平时成绩：课堂展示、课堂签到、学习通作业，茶艺技能考核</w:t>
      </w:r>
      <w:r>
        <w:rPr>
          <w:rFonts w:ascii="宋体" w:hAnsi="宋体" w:hint="eastAsia"/>
          <w:bCs/>
          <w:szCs w:val="21"/>
        </w:rPr>
        <w:t>占比50%；</w:t>
      </w:r>
    </w:p>
    <w:p w14:paraId="70A882BF" w14:textId="77777777" w:rsidR="00F5289E" w:rsidRDefault="00C91173">
      <w:pPr>
        <w:snapToGrid w:val="0"/>
        <w:spacing w:line="360" w:lineRule="auto"/>
        <w:ind w:firstLineChars="200" w:firstLine="420"/>
        <w:rPr>
          <w:rFonts w:ascii="宋体" w:hAnsi="宋体"/>
          <w:bCs/>
          <w:szCs w:val="21"/>
        </w:rPr>
      </w:pPr>
      <w:r>
        <w:rPr>
          <w:rFonts w:ascii="宋体" w:hAnsi="宋体" w:hint="eastAsia"/>
        </w:rPr>
        <w:t>2.期末成绩：</w:t>
      </w:r>
      <w:r>
        <w:rPr>
          <w:rFonts w:ascii="宋体" w:hAnsi="宋体" w:hint="eastAsia"/>
          <w:bCs/>
          <w:szCs w:val="21"/>
        </w:rPr>
        <w:t>闭卷考试，占比50%；</w:t>
      </w:r>
    </w:p>
    <w:p w14:paraId="0BACC73C" w14:textId="77777777" w:rsidR="00F5289E" w:rsidRDefault="00C91173">
      <w:pPr>
        <w:snapToGrid w:val="0"/>
        <w:spacing w:line="360" w:lineRule="auto"/>
        <w:ind w:firstLineChars="200" w:firstLine="420"/>
        <w:rPr>
          <w:rFonts w:ascii="宋体" w:hAnsi="宋体"/>
          <w:bCs/>
          <w:szCs w:val="21"/>
        </w:rPr>
      </w:pPr>
      <w:r>
        <w:rPr>
          <w:rFonts w:ascii="宋体" w:hAnsi="宋体" w:hint="eastAsia"/>
        </w:rPr>
        <w:t>3.综合成绩</w:t>
      </w:r>
      <w:r>
        <w:rPr>
          <w:rFonts w:ascii="宋体" w:hAnsi="宋体" w:hint="eastAsia"/>
          <w:bCs/>
          <w:szCs w:val="21"/>
        </w:rPr>
        <w:t>（平时成绩×20%+课堂展示10%+</w:t>
      </w:r>
      <w:r>
        <w:rPr>
          <w:rFonts w:ascii="宋体" w:hAnsi="宋体" w:hint="eastAsia"/>
          <w:szCs w:val="21"/>
        </w:rPr>
        <w:t>茶艺技能考核</w:t>
      </w:r>
      <w:r>
        <w:rPr>
          <w:rFonts w:ascii="宋体" w:hAnsi="宋体" w:hint="eastAsia"/>
          <w:bCs/>
          <w:szCs w:val="21"/>
        </w:rPr>
        <w:t>×20%+期末成绩×50%）。</w:t>
      </w:r>
    </w:p>
    <w:p w14:paraId="7E64075C" w14:textId="77777777" w:rsidR="00F5289E" w:rsidRDefault="00C91173">
      <w:pPr>
        <w:pStyle w:val="a9"/>
        <w:spacing w:line="360" w:lineRule="auto"/>
        <w:rPr>
          <w:b/>
          <w:bCs/>
        </w:rPr>
      </w:pPr>
      <w:r>
        <w:rPr>
          <w:rFonts w:hint="eastAsia"/>
          <w:b/>
          <w:bCs/>
        </w:rPr>
        <w:t>六、考核结果分析反馈</w:t>
      </w:r>
    </w:p>
    <w:p w14:paraId="5E7B47F6" w14:textId="77777777" w:rsidR="00F5289E" w:rsidRDefault="00C91173">
      <w:pPr>
        <w:pStyle w:val="a9"/>
        <w:spacing w:line="360" w:lineRule="auto"/>
      </w:pPr>
      <w:r>
        <w:rPr>
          <w:rFonts w:hint="eastAsia"/>
        </w:rPr>
        <w:lastRenderedPageBreak/>
        <w:t>1.平时表现情况：通过学生课堂互动情况，课后作业完成质量分析问题所在，及时对课堂内容和教学模式进行调整；</w:t>
      </w:r>
    </w:p>
    <w:p w14:paraId="3A8485CE" w14:textId="77777777" w:rsidR="00F5289E" w:rsidRDefault="00C91173">
      <w:pPr>
        <w:pStyle w:val="a9"/>
        <w:spacing w:line="360" w:lineRule="auto"/>
      </w:pPr>
      <w:r>
        <w:rPr>
          <w:rFonts w:hint="eastAsia"/>
        </w:rPr>
        <w:t>2.学生课程评价：学期过半，让学生进行课程评价，对学生提出的合理建议进行及时调整，不断完善教学效果，利于学生综合素质的提升。</w:t>
      </w:r>
    </w:p>
    <w:p w14:paraId="090DF6B9" w14:textId="77777777" w:rsidR="00F5289E" w:rsidRDefault="00C91173">
      <w:pPr>
        <w:snapToGrid w:val="0"/>
        <w:spacing w:line="360" w:lineRule="auto"/>
        <w:rPr>
          <w:rFonts w:ascii="宋体" w:hAnsi="宋体"/>
          <w:szCs w:val="21"/>
        </w:rPr>
      </w:pPr>
      <w:r>
        <w:rPr>
          <w:rFonts w:ascii="宋体" w:hAnsi="宋体" w:hint="eastAsia"/>
          <w:szCs w:val="21"/>
        </w:rPr>
        <w:t>3.期末成绩分析：通过期末成绩分布情况进行分析，对下学期课程进行调整和完善。</w:t>
      </w:r>
    </w:p>
    <w:p w14:paraId="77BEC43C" w14:textId="77777777" w:rsidR="00F5289E" w:rsidRDefault="00F5289E">
      <w:pPr>
        <w:spacing w:line="360" w:lineRule="auto"/>
        <w:ind w:firstLineChars="200" w:firstLine="420"/>
        <w:rPr>
          <w:rFonts w:ascii="宋体" w:hAnsi="宋体"/>
          <w:bCs/>
          <w:color w:val="000000" w:themeColor="text1"/>
          <w:szCs w:val="21"/>
        </w:rPr>
      </w:pPr>
    </w:p>
    <w:p w14:paraId="6C7B385E" w14:textId="77777777" w:rsidR="00F5289E" w:rsidRDefault="00C91173">
      <w:pPr>
        <w:widowControl/>
        <w:jc w:val="left"/>
        <w:rPr>
          <w:rFonts w:ascii="宋体" w:hAnsi="宋体"/>
          <w:b/>
          <w:sz w:val="28"/>
          <w:szCs w:val="28"/>
        </w:rPr>
      </w:pPr>
      <w:r>
        <w:rPr>
          <w:rFonts w:ascii="宋体" w:hAnsi="宋体"/>
          <w:b/>
          <w:sz w:val="28"/>
          <w:szCs w:val="28"/>
        </w:rPr>
        <w:br w:type="page"/>
      </w:r>
    </w:p>
    <w:p w14:paraId="4E2E50AE" w14:textId="77777777" w:rsidR="00F5289E" w:rsidRDefault="00C91173">
      <w:pPr>
        <w:pStyle w:val="1"/>
      </w:pPr>
      <w:bookmarkStart w:id="192" w:name="_Toc138606287"/>
      <w:r>
        <w:rPr>
          <w:rFonts w:hint="eastAsia"/>
        </w:rPr>
        <w:lastRenderedPageBreak/>
        <w:t>茶文化学考核大纲</w:t>
      </w:r>
      <w:bookmarkEnd w:id="192"/>
    </w:p>
    <w:p w14:paraId="61D9F7A7" w14:textId="77777777" w:rsidR="00F5289E" w:rsidRDefault="00C91173">
      <w:pPr>
        <w:snapToGrid w:val="0"/>
        <w:spacing w:line="360" w:lineRule="auto"/>
        <w:jc w:val="center"/>
        <w:rPr>
          <w:rFonts w:hAnsi="宋体"/>
          <w:sz w:val="24"/>
          <w:szCs w:val="28"/>
        </w:rPr>
      </w:pPr>
      <w:r>
        <w:rPr>
          <w:rFonts w:hAnsi="宋体" w:hint="eastAsia"/>
          <w:sz w:val="24"/>
          <w:szCs w:val="28"/>
        </w:rPr>
        <w:t>（</w:t>
      </w:r>
      <w:r>
        <w:rPr>
          <w:rFonts w:hAnsi="宋体" w:hint="eastAsia"/>
          <w:sz w:val="24"/>
          <w:szCs w:val="28"/>
        </w:rPr>
        <w:t xml:space="preserve">Tea </w:t>
      </w:r>
      <w:r>
        <w:rPr>
          <w:rFonts w:hAnsi="宋体"/>
          <w:sz w:val="24"/>
          <w:szCs w:val="28"/>
        </w:rPr>
        <w:t>Culture</w:t>
      </w:r>
      <w:r>
        <w:rPr>
          <w:rFonts w:hAnsi="宋体" w:hint="eastAsia"/>
          <w:sz w:val="24"/>
          <w:szCs w:val="28"/>
        </w:rPr>
        <w:t>）</w:t>
      </w:r>
    </w:p>
    <w:p w14:paraId="01FEB6B6" w14:textId="77777777" w:rsidR="00F5289E" w:rsidRDefault="00F5289E">
      <w:pPr>
        <w:snapToGrid w:val="0"/>
        <w:spacing w:line="360" w:lineRule="auto"/>
        <w:jc w:val="center"/>
        <w:rPr>
          <w:b/>
          <w:szCs w:val="21"/>
        </w:rPr>
      </w:pPr>
    </w:p>
    <w:p w14:paraId="23B40CF5" w14:textId="77777777" w:rsidR="00F5289E" w:rsidRDefault="00C91173">
      <w:pPr>
        <w:snapToGrid w:val="0"/>
        <w:spacing w:line="360" w:lineRule="auto"/>
        <w:jc w:val="center"/>
        <w:rPr>
          <w:b/>
          <w:szCs w:val="21"/>
        </w:rPr>
      </w:pPr>
      <w:r>
        <w:rPr>
          <w:rFonts w:hint="eastAsia"/>
          <w:b/>
          <w:szCs w:val="21"/>
        </w:rPr>
        <w:t>课程基本信息</w:t>
      </w:r>
    </w:p>
    <w:tbl>
      <w:tblPr>
        <w:tblW w:w="5000" w:type="pct"/>
        <w:tblLook w:val="04A0" w:firstRow="1" w:lastRow="0" w:firstColumn="1" w:lastColumn="0" w:noHBand="0" w:noVBand="1"/>
      </w:tblPr>
      <w:tblGrid>
        <w:gridCol w:w="2966"/>
        <w:gridCol w:w="2586"/>
        <w:gridCol w:w="3348"/>
      </w:tblGrid>
      <w:tr w:rsidR="00F5289E" w14:paraId="4C133FD4" w14:textId="77777777">
        <w:tc>
          <w:tcPr>
            <w:tcW w:w="1666" w:type="pct"/>
          </w:tcPr>
          <w:p w14:paraId="4D61C642"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课程编号：</w:t>
            </w:r>
            <w:r w:rsidRPr="001B3040">
              <w:rPr>
                <w:rFonts w:ascii="宋体" w:hAnsi="宋体"/>
                <w:kern w:val="0"/>
                <w:sz w:val="20"/>
                <w:szCs w:val="21"/>
              </w:rPr>
              <w:t>19011048</w:t>
            </w:r>
          </w:p>
        </w:tc>
        <w:tc>
          <w:tcPr>
            <w:tcW w:w="1453" w:type="pct"/>
          </w:tcPr>
          <w:p w14:paraId="3AFFA5BF"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课程学时：</w:t>
            </w:r>
            <w:r w:rsidRPr="001B3040">
              <w:rPr>
                <w:rFonts w:ascii="宋体" w:hAnsi="宋体" w:hint="eastAsia"/>
                <w:kern w:val="0"/>
                <w:sz w:val="20"/>
                <w:szCs w:val="21"/>
              </w:rPr>
              <w:t>32</w:t>
            </w:r>
          </w:p>
        </w:tc>
        <w:tc>
          <w:tcPr>
            <w:tcW w:w="1881" w:type="pct"/>
          </w:tcPr>
          <w:p w14:paraId="7C866D12"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课程学分：</w:t>
            </w:r>
            <w:r w:rsidRPr="001B3040">
              <w:rPr>
                <w:rFonts w:ascii="宋体" w:hAnsi="宋体" w:hint="eastAsia"/>
                <w:kern w:val="0"/>
                <w:sz w:val="20"/>
                <w:szCs w:val="21"/>
              </w:rPr>
              <w:t>2</w:t>
            </w:r>
          </w:p>
        </w:tc>
      </w:tr>
      <w:tr w:rsidR="00F5289E" w14:paraId="0868D326" w14:textId="77777777">
        <w:tc>
          <w:tcPr>
            <w:tcW w:w="1666" w:type="pct"/>
          </w:tcPr>
          <w:p w14:paraId="19847E43"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主撰人：</w:t>
            </w:r>
            <w:r w:rsidRPr="001B3040">
              <w:rPr>
                <w:rFonts w:ascii="宋体" w:hAnsi="宋体" w:hint="eastAsia"/>
                <w:kern w:val="0"/>
                <w:sz w:val="20"/>
                <w:szCs w:val="21"/>
              </w:rPr>
              <w:t>贺巍</w:t>
            </w:r>
          </w:p>
        </w:tc>
        <w:tc>
          <w:tcPr>
            <w:tcW w:w="1453" w:type="pct"/>
          </w:tcPr>
          <w:p w14:paraId="0AEC8671" w14:textId="52D65D4C" w:rsidR="00F5289E" w:rsidRDefault="00C91173">
            <w:pPr>
              <w:spacing w:line="300" w:lineRule="auto"/>
              <w:rPr>
                <w:rFonts w:ascii="宋体"/>
                <w:b/>
                <w:bCs/>
                <w:kern w:val="0"/>
                <w:sz w:val="20"/>
                <w:szCs w:val="21"/>
              </w:rPr>
            </w:pPr>
            <w:r>
              <w:rPr>
                <w:rFonts w:ascii="宋体" w:hAnsi="宋体" w:hint="eastAsia"/>
                <w:b/>
                <w:bCs/>
                <w:kern w:val="0"/>
                <w:sz w:val="20"/>
                <w:szCs w:val="21"/>
              </w:rPr>
              <w:t>审核人：</w:t>
            </w:r>
            <w:r w:rsidR="00BE4986" w:rsidRPr="00BE4986">
              <w:rPr>
                <w:rFonts w:ascii="宋体" w:hAnsi="宋体" w:hint="eastAsia"/>
                <w:kern w:val="0"/>
                <w:sz w:val="20"/>
                <w:szCs w:val="21"/>
              </w:rPr>
              <w:t>赵仁亮</w:t>
            </w:r>
          </w:p>
        </w:tc>
        <w:tc>
          <w:tcPr>
            <w:tcW w:w="1881" w:type="pct"/>
          </w:tcPr>
          <w:p w14:paraId="2EEE5613" w14:textId="77777777" w:rsidR="00F5289E" w:rsidRDefault="00C91173">
            <w:pPr>
              <w:spacing w:line="300" w:lineRule="auto"/>
              <w:rPr>
                <w:rFonts w:ascii="宋体"/>
                <w:b/>
                <w:bCs/>
                <w:kern w:val="0"/>
                <w:sz w:val="20"/>
                <w:szCs w:val="21"/>
              </w:rPr>
            </w:pPr>
            <w:r>
              <w:rPr>
                <w:rFonts w:ascii="宋体" w:hAnsi="宋体" w:hint="eastAsia"/>
                <w:b/>
                <w:bCs/>
                <w:kern w:val="0"/>
                <w:sz w:val="20"/>
                <w:szCs w:val="21"/>
              </w:rPr>
              <w:t>大纲制定（修订）日期：</w:t>
            </w:r>
            <w:r w:rsidRPr="001B3040">
              <w:rPr>
                <w:rFonts w:ascii="宋体" w:hAnsi="宋体" w:hint="eastAsia"/>
                <w:kern w:val="0"/>
                <w:sz w:val="20"/>
                <w:szCs w:val="21"/>
              </w:rPr>
              <w:t>202</w:t>
            </w:r>
            <w:r w:rsidR="001B3040">
              <w:rPr>
                <w:rFonts w:ascii="宋体" w:hAnsi="宋体"/>
                <w:kern w:val="0"/>
                <w:sz w:val="20"/>
                <w:szCs w:val="21"/>
              </w:rPr>
              <w:t>3.05</w:t>
            </w:r>
          </w:p>
        </w:tc>
      </w:tr>
    </w:tbl>
    <w:p w14:paraId="38790DC8" w14:textId="77777777" w:rsidR="00F5289E" w:rsidRDefault="00C91173">
      <w:pPr>
        <w:snapToGrid w:val="0"/>
        <w:spacing w:beforeLines="50" w:before="156" w:line="360" w:lineRule="auto"/>
        <w:rPr>
          <w:rFonts w:ascii="宋体"/>
          <w:b/>
          <w:szCs w:val="21"/>
        </w:rPr>
      </w:pPr>
      <w:r>
        <w:rPr>
          <w:rFonts w:ascii="宋体" w:hAnsi="宋体" w:hint="eastAsia"/>
          <w:b/>
          <w:szCs w:val="21"/>
        </w:rPr>
        <w:t>一、课程的性质和地位</w:t>
      </w:r>
    </w:p>
    <w:p w14:paraId="1712753F" w14:textId="77777777" w:rsidR="00F5289E" w:rsidRDefault="00C91173">
      <w:pPr>
        <w:spacing w:line="360" w:lineRule="auto"/>
        <w:ind w:firstLine="420"/>
        <w:jc w:val="left"/>
        <w:rPr>
          <w:kern w:val="0"/>
          <w:szCs w:val="21"/>
        </w:rPr>
      </w:pPr>
      <w:r>
        <w:rPr>
          <w:kern w:val="0"/>
          <w:szCs w:val="21"/>
        </w:rPr>
        <w:t>《茶文化学》课程旨在让学生了解中国茶文化，了解中国是茶树、茶叶和茶文化的发源地，在中国茶文化有着非常深厚的底蕴，了解中国茶文化的特点。《茶文化学》是</w:t>
      </w:r>
      <w:r>
        <w:rPr>
          <w:kern w:val="0"/>
          <w:szCs w:val="21"/>
        </w:rPr>
        <w:t>—</w:t>
      </w:r>
      <w:r>
        <w:rPr>
          <w:kern w:val="0"/>
          <w:szCs w:val="21"/>
        </w:rPr>
        <w:t>门茶学、历史学与文化学的交叉学科。本课程蕴含的内容丰富，包括茶的历史发展，茶的发现利用，茶类和茶具的发展演变，茶艺与茶道，饮茶习俗，茶对社会生活的影响，茶事文学艺术、茶的传播、茶对古代社会生活的影响、世界各国的茶文化特点等；主要从物质形态、制度形态、精神形态和行为形态等方面阐述了茶文化。承担着提高</w:t>
      </w:r>
      <w:r>
        <w:rPr>
          <w:rFonts w:hint="eastAsia"/>
          <w:kern w:val="0"/>
          <w:szCs w:val="21"/>
        </w:rPr>
        <w:t>学生</w:t>
      </w:r>
      <w:r>
        <w:rPr>
          <w:kern w:val="0"/>
          <w:szCs w:val="21"/>
        </w:rPr>
        <w:t>对茶叶、茶文化乃至传统文化的认知，弘扬传统文化的任务。</w:t>
      </w:r>
    </w:p>
    <w:p w14:paraId="3A289F38" w14:textId="77777777" w:rsidR="00F5289E" w:rsidRDefault="00C91173">
      <w:pPr>
        <w:snapToGrid w:val="0"/>
        <w:spacing w:beforeLines="50" w:before="156" w:line="360" w:lineRule="auto"/>
        <w:rPr>
          <w:rFonts w:ascii="宋体"/>
          <w:b/>
          <w:szCs w:val="21"/>
        </w:rPr>
      </w:pPr>
      <w:r>
        <w:rPr>
          <w:rFonts w:ascii="宋体" w:hAnsi="宋体" w:hint="eastAsia"/>
          <w:b/>
          <w:szCs w:val="21"/>
        </w:rPr>
        <w:t>二、理论教学部分的考核目标</w:t>
      </w:r>
    </w:p>
    <w:p w14:paraId="4370FD10" w14:textId="77777777" w:rsidR="00F5289E" w:rsidRDefault="00C91173">
      <w:pPr>
        <w:spacing w:line="360" w:lineRule="auto"/>
        <w:ind w:firstLine="420"/>
        <w:jc w:val="left"/>
      </w:pPr>
      <w:r>
        <w:rPr>
          <w:szCs w:val="18"/>
        </w:rPr>
        <w:t>通过本课程各教学环节，简明、系统地向学生阐述茶文化的基本理论及其发展规律</w:t>
      </w:r>
      <w:r>
        <w:t>。让学生对茶文化的形成与发展，茶树与茶叶，茶对社会生活的影响，茶事艺术文化作品，茶叶与茶文化的对外传播，饮茶习俗等有系统的</w:t>
      </w:r>
      <w:r>
        <w:rPr>
          <w:rFonts w:hint="eastAsia"/>
        </w:rPr>
        <w:t>掌握</w:t>
      </w:r>
      <w:r>
        <w:t>和学习。</w:t>
      </w:r>
    </w:p>
    <w:p w14:paraId="60A920DB"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第一章</w:t>
      </w:r>
      <w:r>
        <w:rPr>
          <w:rFonts w:ascii="宋体"/>
          <w:b/>
          <w:szCs w:val="21"/>
        </w:rPr>
        <w:t>     </w:t>
      </w:r>
      <w:r>
        <w:rPr>
          <w:b/>
          <w:szCs w:val="21"/>
        </w:rPr>
        <w:t> </w:t>
      </w:r>
      <w:r>
        <w:rPr>
          <w:rFonts w:hint="eastAsia"/>
          <w:b/>
        </w:rPr>
        <w:t>茶文化简史</w:t>
      </w:r>
    </w:p>
    <w:p w14:paraId="535E6DCA" w14:textId="77777777" w:rsidR="00F5289E" w:rsidRDefault="00C91173">
      <w:pPr>
        <w:snapToGrid w:val="0"/>
        <w:spacing w:line="360" w:lineRule="auto"/>
        <w:rPr>
          <w:rFonts w:ascii="宋体"/>
          <w:b/>
          <w:szCs w:val="21"/>
        </w:rPr>
      </w:pPr>
      <w:r>
        <w:rPr>
          <w:rFonts w:ascii="宋体" w:hAnsi="宋体" w:hint="eastAsia"/>
          <w:b/>
          <w:szCs w:val="21"/>
        </w:rPr>
        <w:t>（一）学习目标</w:t>
      </w:r>
    </w:p>
    <w:p w14:paraId="68A6BE5D"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rPr>
        <w:t>茶树的起源，饮茶的起源与演变，茶具的发展，茶文化的对外传播。</w:t>
      </w:r>
    </w:p>
    <w:p w14:paraId="5FE1E9C6"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2. </w:t>
      </w:r>
      <w:r>
        <w:rPr>
          <w:rFonts w:ascii="宋体" w:hAnsi="宋体" w:hint="eastAsia"/>
          <w:b/>
          <w:szCs w:val="21"/>
        </w:rPr>
        <w:t>一般掌握</w:t>
      </w:r>
      <w:r>
        <w:rPr>
          <w:rFonts w:ascii="宋体" w:hAnsi="宋体" w:hint="eastAsia"/>
          <w:szCs w:val="21"/>
        </w:rPr>
        <w:t>：茶树的原产地，</w:t>
      </w:r>
      <w:r>
        <w:rPr>
          <w:rFonts w:hint="eastAsia"/>
          <w:kern w:val="0"/>
          <w:szCs w:val="21"/>
        </w:rPr>
        <w:t>茶文化的形成与发展。</w:t>
      </w:r>
    </w:p>
    <w:p w14:paraId="78D231A9"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32C80D57" w14:textId="77777777" w:rsidR="00F5289E" w:rsidRDefault="00C91173">
      <w:pPr>
        <w:snapToGrid w:val="0"/>
        <w:spacing w:beforeLines="50" w:before="156" w:line="360" w:lineRule="auto"/>
        <w:ind w:firstLineChars="200" w:firstLine="420"/>
        <w:rPr>
          <w:rFonts w:ascii="宋体"/>
          <w:b/>
          <w:szCs w:val="21"/>
        </w:rPr>
      </w:pPr>
      <w:r>
        <w:rPr>
          <w:rFonts w:hint="eastAsia"/>
          <w:szCs w:val="21"/>
        </w:rPr>
        <w:t>茶树的起源学说，茶树的原产地，饮茶的起源与演变，，唐代煮茶法，宋代点茶法，明代以后泡茶法，茶具的发展过程与茶具的种类，茶文化的对外传播，茶叶在世界历史发展进程中的重要意义，茶文化的形成与发展。</w:t>
      </w:r>
    </w:p>
    <w:p w14:paraId="3FB4A0A4"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0F838BD9"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茶树的起源学说，茶树的原产地，饮茶的起源与演变，，唐代煮茶法，宋代点茶法，</w:t>
      </w:r>
      <w:r>
        <w:rPr>
          <w:rFonts w:hint="eastAsia"/>
          <w:szCs w:val="21"/>
        </w:rPr>
        <w:lastRenderedPageBreak/>
        <w:t>明代以后泡茶法，茶具的发展过程与茶具的种类，茶文化的对外传播，茶叶在世界历史发展进程中的重要意义，茶文化的形成与发展。</w:t>
      </w:r>
    </w:p>
    <w:p w14:paraId="4498B642"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第二章</w:t>
      </w:r>
      <w:r>
        <w:rPr>
          <w:rFonts w:ascii="宋体"/>
          <w:b/>
          <w:szCs w:val="21"/>
        </w:rPr>
        <w:t>    </w:t>
      </w:r>
      <w:r>
        <w:rPr>
          <w:rFonts w:ascii="宋体" w:hAnsi="宋体" w:hint="eastAsia"/>
          <w:b/>
          <w:szCs w:val="21"/>
        </w:rPr>
        <w:t>茶树与茶叶</w:t>
      </w:r>
    </w:p>
    <w:p w14:paraId="3194E52F" w14:textId="77777777" w:rsidR="00F5289E" w:rsidRDefault="00C91173">
      <w:pPr>
        <w:snapToGrid w:val="0"/>
        <w:spacing w:line="360" w:lineRule="auto"/>
        <w:rPr>
          <w:rFonts w:ascii="宋体"/>
          <w:b/>
          <w:szCs w:val="21"/>
        </w:rPr>
      </w:pPr>
      <w:r>
        <w:rPr>
          <w:rFonts w:ascii="宋体" w:hAnsi="宋体" w:hint="eastAsia"/>
          <w:b/>
          <w:szCs w:val="21"/>
        </w:rPr>
        <w:t>（一）学习目标</w:t>
      </w:r>
    </w:p>
    <w:p w14:paraId="3829026F"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kern w:val="0"/>
          <w:szCs w:val="21"/>
        </w:rPr>
        <w:t>茶树的生育特性，茶树的适生环境，茶叶的分类。</w:t>
      </w:r>
    </w:p>
    <w:p w14:paraId="184F254F"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2. </w:t>
      </w:r>
      <w:r>
        <w:rPr>
          <w:rFonts w:ascii="宋体" w:hAnsi="宋体" w:hint="eastAsia"/>
          <w:b/>
          <w:szCs w:val="21"/>
        </w:rPr>
        <w:t>一般掌握</w:t>
      </w:r>
      <w:r>
        <w:rPr>
          <w:rFonts w:ascii="宋体" w:hAnsi="宋体" w:hint="eastAsia"/>
          <w:szCs w:val="21"/>
        </w:rPr>
        <w:t>：</w:t>
      </w:r>
      <w:r>
        <w:rPr>
          <w:rFonts w:hAnsi="宋体" w:hint="eastAsia"/>
          <w:kern w:val="0"/>
          <w:szCs w:val="21"/>
        </w:rPr>
        <w:t>基本茶类的初制工艺和品质特点。</w:t>
      </w:r>
    </w:p>
    <w:p w14:paraId="2F56F808"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36760474" w14:textId="77777777" w:rsidR="00F5289E" w:rsidRDefault="00C91173">
      <w:pPr>
        <w:snapToGrid w:val="0"/>
        <w:spacing w:beforeLines="50" w:before="156" w:line="360" w:lineRule="auto"/>
        <w:ind w:firstLineChars="200" w:firstLine="420"/>
      </w:pPr>
      <w:r>
        <w:rPr>
          <w:rFonts w:hint="eastAsia"/>
        </w:rPr>
        <w:t>茶树的一生，茶树的根茎叶花果，“花果香会”，茶树的适生环境，茶类的形成与发展，茶叶的分类，基本茶类的初制工艺和品质特点，再加工茶类。</w:t>
      </w:r>
    </w:p>
    <w:p w14:paraId="68959CCC"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4EAD22F6"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rPr>
        <w:t>茶树的一生，茶树的根茎叶花果，“花果香会”，茶树的适生环境，茶类的形成与发展，茶叶的分类，再加工茶类。</w:t>
      </w:r>
    </w:p>
    <w:p w14:paraId="632323F0"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2</w:t>
      </w:r>
      <w:r>
        <w:rPr>
          <w:rFonts w:ascii="宋体" w:hAnsi="宋体" w:hint="eastAsia"/>
          <w:b/>
          <w:szCs w:val="21"/>
        </w:rPr>
        <w:t>．领会</w:t>
      </w:r>
      <w:r>
        <w:rPr>
          <w:rFonts w:ascii="宋体" w:hAnsi="宋体" w:hint="eastAsia"/>
          <w:szCs w:val="21"/>
        </w:rPr>
        <w:t>：</w:t>
      </w:r>
      <w:r>
        <w:rPr>
          <w:rFonts w:hint="eastAsia"/>
        </w:rPr>
        <w:t>基本茶类的初制工艺和品质特点。</w:t>
      </w:r>
    </w:p>
    <w:p w14:paraId="56268F98"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第三章</w:t>
      </w:r>
      <w:r>
        <w:rPr>
          <w:rFonts w:ascii="宋体"/>
          <w:b/>
          <w:szCs w:val="21"/>
        </w:rPr>
        <w:t>     </w:t>
      </w:r>
      <w:r>
        <w:rPr>
          <w:rFonts w:ascii="宋体" w:hAnsi="宋体" w:hint="eastAsia"/>
          <w:b/>
          <w:szCs w:val="21"/>
        </w:rPr>
        <w:t>茶与社会</w:t>
      </w:r>
    </w:p>
    <w:p w14:paraId="205F9928" w14:textId="77777777" w:rsidR="00F5289E" w:rsidRDefault="00C91173">
      <w:pPr>
        <w:snapToGrid w:val="0"/>
        <w:spacing w:line="360" w:lineRule="auto"/>
        <w:rPr>
          <w:rFonts w:ascii="宋体"/>
          <w:b/>
          <w:szCs w:val="21"/>
        </w:rPr>
      </w:pPr>
      <w:r>
        <w:rPr>
          <w:rFonts w:ascii="宋体" w:hAnsi="宋体" w:hint="eastAsia"/>
          <w:b/>
          <w:szCs w:val="21"/>
        </w:rPr>
        <w:t>（一）学习目标</w:t>
      </w:r>
    </w:p>
    <w:p w14:paraId="0E834C55"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szCs w:val="21"/>
        </w:rPr>
        <w:t>历代的茶政与茶法，茶与儒释道的关系，茶馆文化的发展。</w:t>
      </w:r>
    </w:p>
    <w:p w14:paraId="5E140037"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2. </w:t>
      </w:r>
      <w:r>
        <w:rPr>
          <w:rFonts w:ascii="宋体" w:hAnsi="宋体" w:hint="eastAsia"/>
          <w:b/>
          <w:szCs w:val="21"/>
        </w:rPr>
        <w:t>一般掌握</w:t>
      </w:r>
      <w:r>
        <w:rPr>
          <w:rFonts w:ascii="宋体" w:hAnsi="宋体" w:hint="eastAsia"/>
          <w:szCs w:val="21"/>
        </w:rPr>
        <w:t>：“茶马互市”和“榷茶制”的确立与发展。</w:t>
      </w:r>
    </w:p>
    <w:p w14:paraId="405925AE"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37076D09" w14:textId="77777777" w:rsidR="00F5289E" w:rsidRDefault="00C91173">
      <w:pPr>
        <w:snapToGrid w:val="0"/>
        <w:spacing w:beforeLines="50" w:before="156" w:line="360" w:lineRule="auto"/>
        <w:ind w:firstLineChars="200" w:firstLine="420"/>
        <w:rPr>
          <w:rFonts w:ascii="宋体"/>
          <w:b/>
          <w:szCs w:val="21"/>
        </w:rPr>
      </w:pPr>
      <w:r>
        <w:rPr>
          <w:rFonts w:hint="eastAsia"/>
          <w:szCs w:val="21"/>
        </w:rPr>
        <w:t>历代的茶政与茶法；“茶马互市”和“榷茶制”的确立与发展；儒释道三家在茶文化发展中的作用；茶馆的发展与变迁；现代茶馆的分类与特征。</w:t>
      </w:r>
    </w:p>
    <w:p w14:paraId="32EED088"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0EC2B838" w14:textId="77777777" w:rsidR="00F5289E" w:rsidRDefault="00C91173">
      <w:pPr>
        <w:snapToGrid w:val="0"/>
        <w:spacing w:beforeLines="50" w:before="156" w:line="360" w:lineRule="auto"/>
        <w:ind w:firstLineChars="200" w:firstLine="422"/>
        <w:rPr>
          <w:rFonts w:ascii="宋体"/>
          <w:b/>
          <w:szCs w:val="21"/>
        </w:rPr>
      </w:pPr>
      <w:r>
        <w:rPr>
          <w:rFonts w:ascii="宋体" w:hAnsi="宋体" w:hint="eastAsia"/>
          <w:b/>
          <w:szCs w:val="21"/>
        </w:rPr>
        <w:t>1.识记</w:t>
      </w:r>
      <w:r>
        <w:rPr>
          <w:rFonts w:ascii="宋体" w:hAnsi="宋体" w:hint="eastAsia"/>
          <w:szCs w:val="21"/>
        </w:rPr>
        <w:t>：</w:t>
      </w:r>
      <w:r>
        <w:rPr>
          <w:rFonts w:hint="eastAsia"/>
          <w:szCs w:val="21"/>
        </w:rPr>
        <w:t>历代的茶政与茶法，茶与儒释道的关系，茶馆文化的发展。</w:t>
      </w:r>
    </w:p>
    <w:p w14:paraId="5F21E268"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第四章</w:t>
      </w:r>
      <w:r>
        <w:rPr>
          <w:rFonts w:ascii="宋体"/>
          <w:b/>
          <w:szCs w:val="21"/>
        </w:rPr>
        <w:t>    </w:t>
      </w:r>
      <w:r>
        <w:rPr>
          <w:rFonts w:ascii="宋体" w:hAnsi="宋体" w:hint="eastAsia"/>
          <w:b/>
          <w:szCs w:val="21"/>
        </w:rPr>
        <w:t>茶事艺文</w:t>
      </w:r>
    </w:p>
    <w:p w14:paraId="31F7941D" w14:textId="77777777" w:rsidR="00F5289E" w:rsidRDefault="00C91173">
      <w:pPr>
        <w:snapToGrid w:val="0"/>
        <w:spacing w:line="360" w:lineRule="auto"/>
        <w:rPr>
          <w:rFonts w:ascii="宋体"/>
          <w:b/>
          <w:szCs w:val="21"/>
        </w:rPr>
      </w:pPr>
      <w:r>
        <w:rPr>
          <w:rFonts w:ascii="宋体" w:hAnsi="宋体" w:hint="eastAsia"/>
          <w:b/>
          <w:szCs w:val="21"/>
        </w:rPr>
        <w:t>（一）学习目标</w:t>
      </w:r>
    </w:p>
    <w:p w14:paraId="01F9D855"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szCs w:val="21"/>
        </w:rPr>
        <w:t>历代的茶事诗词、茶事书画、茶事楹联及其他文学艺术作品</w:t>
      </w:r>
    </w:p>
    <w:p w14:paraId="68ECE668"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2. </w:t>
      </w:r>
      <w:r>
        <w:rPr>
          <w:rFonts w:ascii="宋体" w:hAnsi="宋体" w:hint="eastAsia"/>
          <w:b/>
          <w:szCs w:val="21"/>
        </w:rPr>
        <w:t>一般掌握</w:t>
      </w:r>
      <w:r>
        <w:rPr>
          <w:rFonts w:ascii="宋体" w:hAnsi="宋体" w:hint="eastAsia"/>
          <w:szCs w:val="21"/>
        </w:rPr>
        <w:t>：</w:t>
      </w:r>
      <w:r>
        <w:rPr>
          <w:rFonts w:hint="eastAsia"/>
          <w:szCs w:val="21"/>
        </w:rPr>
        <w:t>历代茶事艺文的代表作。</w:t>
      </w:r>
    </w:p>
    <w:p w14:paraId="63500018" w14:textId="77777777" w:rsidR="00F5289E" w:rsidRDefault="00C91173">
      <w:pPr>
        <w:snapToGrid w:val="0"/>
        <w:spacing w:beforeLines="50" w:before="156" w:line="360" w:lineRule="auto"/>
        <w:rPr>
          <w:rFonts w:ascii="宋体"/>
          <w:szCs w:val="21"/>
        </w:rPr>
      </w:pPr>
      <w:r>
        <w:rPr>
          <w:rFonts w:ascii="宋体" w:hAnsi="宋体" w:hint="eastAsia"/>
          <w:b/>
          <w:szCs w:val="21"/>
        </w:rPr>
        <w:lastRenderedPageBreak/>
        <w:t>（二）考核内容</w:t>
      </w:r>
    </w:p>
    <w:p w14:paraId="0F20812C" w14:textId="77777777" w:rsidR="00F5289E" w:rsidRDefault="00C91173">
      <w:pPr>
        <w:snapToGrid w:val="0"/>
        <w:spacing w:beforeLines="50" w:before="156" w:line="360" w:lineRule="auto"/>
        <w:ind w:firstLineChars="200" w:firstLine="420"/>
        <w:rPr>
          <w:rFonts w:ascii="宋体"/>
          <w:b/>
          <w:szCs w:val="21"/>
        </w:rPr>
      </w:pPr>
      <w:r>
        <w:rPr>
          <w:rFonts w:hint="eastAsia"/>
          <w:szCs w:val="21"/>
        </w:rPr>
        <w:t>历代茶事诗词；唐代元稹《一至七字诗</w:t>
      </w:r>
      <w:r>
        <w:rPr>
          <w:rFonts w:hint="eastAsia"/>
          <w:szCs w:val="21"/>
        </w:rPr>
        <w:t xml:space="preserve"> </w:t>
      </w:r>
      <w:r>
        <w:rPr>
          <w:rFonts w:hint="eastAsia"/>
          <w:szCs w:val="21"/>
        </w:rPr>
        <w:t>茶》、卢仝《七碗茶歌》等诗词作品；历代茶树书画；唐代《宫乐图》、《萧翼赚兰亭图》，宋代《文会图》、《茗园赌市图》，明代《惠山茶会图》等书画作品中展现的茶文化；历代茶事楹联及其他文学艺术作品；《红楼梦》等作品中的茶文化。</w:t>
      </w:r>
    </w:p>
    <w:p w14:paraId="6D083066"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6E35BAD4"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历代的茶事艺文作品。</w:t>
      </w:r>
    </w:p>
    <w:p w14:paraId="1E4D47EF"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第五章</w:t>
      </w:r>
      <w:r>
        <w:rPr>
          <w:rFonts w:ascii="宋体"/>
          <w:b/>
          <w:szCs w:val="21"/>
        </w:rPr>
        <w:t>     </w:t>
      </w:r>
      <w:r>
        <w:rPr>
          <w:rFonts w:ascii="宋体" w:hint="eastAsia"/>
          <w:b/>
          <w:szCs w:val="21"/>
        </w:rPr>
        <w:t>中华</w:t>
      </w:r>
      <w:r>
        <w:rPr>
          <w:rFonts w:ascii="宋体" w:hAnsi="宋体" w:hint="eastAsia"/>
          <w:b/>
          <w:szCs w:val="21"/>
        </w:rPr>
        <w:t>民族茶俗</w:t>
      </w:r>
    </w:p>
    <w:p w14:paraId="15CD6B7A" w14:textId="77777777" w:rsidR="00F5289E" w:rsidRDefault="00C91173">
      <w:pPr>
        <w:snapToGrid w:val="0"/>
        <w:spacing w:line="360" w:lineRule="auto"/>
        <w:rPr>
          <w:rFonts w:ascii="宋体"/>
          <w:b/>
          <w:szCs w:val="21"/>
        </w:rPr>
      </w:pPr>
      <w:r>
        <w:rPr>
          <w:rFonts w:ascii="宋体" w:hAnsi="宋体" w:hint="eastAsia"/>
          <w:b/>
          <w:szCs w:val="21"/>
        </w:rPr>
        <w:t>（一）学习目标</w:t>
      </w:r>
    </w:p>
    <w:p w14:paraId="04A0DE06"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szCs w:val="21"/>
        </w:rPr>
        <w:t>汉族不同地区的饮茶习惯与茶俗，不同少数民族的茶俗。</w:t>
      </w:r>
    </w:p>
    <w:p w14:paraId="2A723039"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79B0BC57" w14:textId="77777777" w:rsidR="00F5289E" w:rsidRDefault="00C91173">
      <w:pPr>
        <w:snapToGrid w:val="0"/>
        <w:spacing w:beforeLines="50" w:before="156" w:line="360" w:lineRule="auto"/>
        <w:ind w:firstLineChars="200" w:firstLine="420"/>
        <w:rPr>
          <w:szCs w:val="21"/>
        </w:rPr>
      </w:pPr>
      <w:r>
        <w:rPr>
          <w:rFonts w:hint="eastAsia"/>
          <w:szCs w:val="21"/>
        </w:rPr>
        <w:t>汉族不同地区的茶俗；；茶在汉族婚仪、祭祀、丧葬等习俗中扮演的角色；不同少数民族的茶俗；藏族酥油茶、内蒙古咸奶茶、傣族竹筒香茶、白族“三道茶”、回族“三炮台盖碗茶”、南疆北疆不同饮茶习惯、基诺族吃茶、拉祜族饮烤茶、土家族擂茶、罐罐茶、打油茶、九道茶等饮茶习俗。</w:t>
      </w:r>
    </w:p>
    <w:p w14:paraId="0C365A4F"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1C333030"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汉族不同地区的饮茶习惯与茶俗，不同少数民族的茶俗。</w:t>
      </w:r>
    </w:p>
    <w:p w14:paraId="72CC70B5"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第六章</w:t>
      </w:r>
      <w:r>
        <w:rPr>
          <w:rFonts w:ascii="宋体"/>
          <w:b/>
          <w:szCs w:val="21"/>
        </w:rPr>
        <w:t>     </w:t>
      </w:r>
      <w:r>
        <w:rPr>
          <w:rFonts w:ascii="宋体" w:hAnsi="宋体" w:hint="eastAsia"/>
          <w:b/>
          <w:szCs w:val="21"/>
        </w:rPr>
        <w:t>外国茶文化</w:t>
      </w:r>
    </w:p>
    <w:p w14:paraId="280CD6B4" w14:textId="77777777" w:rsidR="00F5289E" w:rsidRDefault="00C91173">
      <w:pPr>
        <w:snapToGrid w:val="0"/>
        <w:spacing w:line="360" w:lineRule="auto"/>
        <w:rPr>
          <w:rFonts w:ascii="宋体"/>
          <w:b/>
          <w:szCs w:val="21"/>
        </w:rPr>
      </w:pPr>
      <w:r>
        <w:rPr>
          <w:rFonts w:ascii="宋体" w:hAnsi="宋体" w:hint="eastAsia"/>
          <w:b/>
          <w:szCs w:val="21"/>
        </w:rPr>
        <w:t>（一）学习目标</w:t>
      </w:r>
    </w:p>
    <w:p w14:paraId="0F95701D" w14:textId="77777777" w:rsidR="00F5289E" w:rsidRDefault="00C91173">
      <w:pPr>
        <w:snapToGrid w:val="0"/>
        <w:spacing w:beforeLines="50" w:before="156" w:line="360" w:lineRule="auto"/>
        <w:ind w:firstLineChars="200" w:firstLine="422"/>
        <w:rPr>
          <w:rFonts w:ascii="宋体"/>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szCs w:val="21"/>
        </w:rPr>
        <w:t>不同国家的茶文化。</w:t>
      </w:r>
    </w:p>
    <w:p w14:paraId="72FACF44"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1AEE4F87" w14:textId="77777777" w:rsidR="00F5289E" w:rsidRDefault="00C91173">
      <w:pPr>
        <w:snapToGrid w:val="0"/>
        <w:spacing w:beforeLines="50" w:before="156" w:line="360" w:lineRule="auto"/>
        <w:ind w:firstLineChars="200" w:firstLine="420"/>
        <w:rPr>
          <w:szCs w:val="21"/>
        </w:rPr>
      </w:pPr>
      <w:r>
        <w:rPr>
          <w:rFonts w:hint="eastAsia"/>
          <w:szCs w:val="21"/>
        </w:rPr>
        <w:t>日本茶道，韩国茶礼，英国下午茶，巴基斯坦、阿富汗、土耳其、新加坡、泰国、印度尼西亚、越南、美国、俄罗斯，摩洛哥等国家的茶文化。</w:t>
      </w:r>
    </w:p>
    <w:p w14:paraId="436DB034"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620DA3A3" w14:textId="77777777" w:rsidR="00F5289E" w:rsidRDefault="00C91173">
      <w:pPr>
        <w:snapToGrid w:val="0"/>
        <w:spacing w:beforeLines="50" w:before="156" w:line="360" w:lineRule="auto"/>
        <w:ind w:firstLineChars="200" w:firstLine="422"/>
        <w:rPr>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不同国家的茶文化。</w:t>
      </w:r>
    </w:p>
    <w:p w14:paraId="404BA1DF"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第七章</w:t>
      </w:r>
      <w:r>
        <w:rPr>
          <w:rFonts w:ascii="宋体"/>
          <w:b/>
          <w:szCs w:val="21"/>
        </w:rPr>
        <w:t>     </w:t>
      </w:r>
      <w:r>
        <w:rPr>
          <w:rFonts w:ascii="宋体" w:hAnsi="宋体" w:hint="eastAsia"/>
          <w:b/>
          <w:szCs w:val="21"/>
        </w:rPr>
        <w:t>茶与健康</w:t>
      </w:r>
    </w:p>
    <w:p w14:paraId="308DB2F1" w14:textId="77777777" w:rsidR="00F5289E" w:rsidRDefault="00C91173">
      <w:pPr>
        <w:snapToGrid w:val="0"/>
        <w:spacing w:line="360" w:lineRule="auto"/>
        <w:rPr>
          <w:rFonts w:ascii="宋体"/>
          <w:b/>
          <w:szCs w:val="21"/>
        </w:rPr>
      </w:pPr>
      <w:r>
        <w:rPr>
          <w:rFonts w:ascii="宋体" w:hAnsi="宋体" w:hint="eastAsia"/>
          <w:b/>
          <w:szCs w:val="21"/>
        </w:rPr>
        <w:t>（一）学习目标</w:t>
      </w:r>
    </w:p>
    <w:p w14:paraId="4716939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w:t>
      </w:r>
      <w:r>
        <w:rPr>
          <w:rFonts w:ascii="宋体" w:hAnsi="宋体"/>
          <w:b/>
          <w:szCs w:val="21"/>
        </w:rPr>
        <w:t xml:space="preserve">. </w:t>
      </w:r>
      <w:r>
        <w:rPr>
          <w:rFonts w:ascii="宋体" w:hAnsi="宋体" w:hint="eastAsia"/>
          <w:b/>
          <w:szCs w:val="21"/>
        </w:rPr>
        <w:t>一般了解：</w:t>
      </w:r>
      <w:r>
        <w:rPr>
          <w:rFonts w:ascii="宋体" w:hAnsi="宋体" w:hint="eastAsia"/>
          <w:szCs w:val="21"/>
        </w:rPr>
        <w:t>科学的饮茶方法。</w:t>
      </w:r>
    </w:p>
    <w:p w14:paraId="482962CC" w14:textId="77777777" w:rsidR="00F5289E" w:rsidRDefault="00C91173">
      <w:pPr>
        <w:snapToGrid w:val="0"/>
        <w:spacing w:beforeLines="50" w:before="156" w:line="360" w:lineRule="auto"/>
        <w:ind w:firstLineChars="200" w:firstLine="422"/>
        <w:rPr>
          <w:rFonts w:ascii="宋体"/>
          <w:szCs w:val="21"/>
        </w:rPr>
      </w:pPr>
      <w:r>
        <w:rPr>
          <w:rFonts w:ascii="宋体" w:hAnsi="宋体" w:hint="eastAsia"/>
          <w:b/>
          <w:szCs w:val="21"/>
        </w:rPr>
        <w:lastRenderedPageBreak/>
        <w:t>2. 一般掌握</w:t>
      </w:r>
      <w:r>
        <w:rPr>
          <w:rFonts w:ascii="宋体" w:hAnsi="宋体" w:hint="eastAsia"/>
          <w:szCs w:val="21"/>
        </w:rPr>
        <w:t>：</w:t>
      </w:r>
      <w:r>
        <w:rPr>
          <w:rFonts w:hint="eastAsia"/>
          <w:szCs w:val="21"/>
        </w:rPr>
        <w:t>茶叶中的主要功能性成分，及茶叶的保健功能。</w:t>
      </w:r>
    </w:p>
    <w:p w14:paraId="76BFFC81"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3E46DD3F" w14:textId="77777777" w:rsidR="00F5289E" w:rsidRDefault="00C91173">
      <w:pPr>
        <w:snapToGrid w:val="0"/>
        <w:spacing w:beforeLines="50" w:before="156" w:line="360" w:lineRule="auto"/>
        <w:ind w:firstLineChars="200" w:firstLine="420"/>
        <w:rPr>
          <w:szCs w:val="21"/>
        </w:rPr>
      </w:pPr>
      <w:r>
        <w:rPr>
          <w:rFonts w:hint="eastAsia"/>
          <w:szCs w:val="21"/>
        </w:rPr>
        <w:t>茶叶中的主要功能性成分，茶多酚的主要生理功能，咖啡碱的主要生理功能，氨基酸的主要生理功能，茶皂素的主要生理功能，氟的主要生理功能，茶叶的保健功能，适时饮茶，因人饮茶，适度饮茶。</w:t>
      </w:r>
    </w:p>
    <w:p w14:paraId="3FA28172"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584CB7CC" w14:textId="77777777" w:rsidR="00F5289E" w:rsidRDefault="00C91173">
      <w:pPr>
        <w:snapToGrid w:val="0"/>
        <w:spacing w:beforeLines="50" w:before="156" w:line="360" w:lineRule="auto"/>
        <w:ind w:firstLineChars="200" w:firstLine="422"/>
        <w:rPr>
          <w:rFonts w:ascii="宋体"/>
          <w:b/>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科学的饮茶方法。</w:t>
      </w:r>
    </w:p>
    <w:p w14:paraId="1233EE98" w14:textId="77777777" w:rsidR="00F5289E" w:rsidRDefault="00C91173">
      <w:pPr>
        <w:snapToGrid w:val="0"/>
        <w:spacing w:beforeLines="50" w:before="156" w:afterLines="50" w:after="156" w:line="360" w:lineRule="auto"/>
        <w:ind w:firstLineChars="200" w:firstLine="422"/>
        <w:jc w:val="left"/>
        <w:rPr>
          <w:szCs w:val="21"/>
        </w:rPr>
      </w:pPr>
      <w:r>
        <w:rPr>
          <w:rFonts w:ascii="宋体" w:hAnsi="宋体" w:hint="eastAsia"/>
          <w:b/>
          <w:szCs w:val="21"/>
        </w:rPr>
        <w:t>2. 简单应用</w:t>
      </w:r>
      <w:r>
        <w:rPr>
          <w:rFonts w:ascii="宋体" w:hAnsi="宋体" w:hint="eastAsia"/>
          <w:szCs w:val="21"/>
        </w:rPr>
        <w:t>：</w:t>
      </w:r>
      <w:r>
        <w:rPr>
          <w:rFonts w:hint="eastAsia"/>
          <w:szCs w:val="21"/>
        </w:rPr>
        <w:t>茶叶中的主要功能性成分及茶叶的保健功能。</w:t>
      </w:r>
    </w:p>
    <w:p w14:paraId="6D54FCC1" w14:textId="77777777" w:rsidR="00F5289E" w:rsidRDefault="00C91173">
      <w:pPr>
        <w:snapToGrid w:val="0"/>
        <w:spacing w:beforeLines="50" w:before="156" w:afterLines="50" w:after="156" w:line="360" w:lineRule="auto"/>
        <w:ind w:firstLineChars="49" w:firstLine="103"/>
        <w:jc w:val="center"/>
        <w:rPr>
          <w:rFonts w:ascii="宋体"/>
          <w:b/>
          <w:szCs w:val="21"/>
        </w:rPr>
      </w:pPr>
      <w:r>
        <w:rPr>
          <w:rFonts w:ascii="宋体" w:hAnsi="宋体" w:hint="eastAsia"/>
          <w:b/>
          <w:szCs w:val="21"/>
        </w:rPr>
        <w:t>第七章</w:t>
      </w:r>
      <w:r>
        <w:rPr>
          <w:rFonts w:ascii="宋体"/>
          <w:b/>
          <w:szCs w:val="21"/>
        </w:rPr>
        <w:t>     </w:t>
      </w:r>
      <w:r>
        <w:rPr>
          <w:rFonts w:ascii="宋体" w:hAnsi="宋体" w:hint="eastAsia"/>
          <w:b/>
          <w:szCs w:val="21"/>
        </w:rPr>
        <w:t>茶艺</w:t>
      </w:r>
    </w:p>
    <w:p w14:paraId="70717983" w14:textId="77777777" w:rsidR="00F5289E" w:rsidRDefault="00C91173">
      <w:pPr>
        <w:snapToGrid w:val="0"/>
        <w:spacing w:line="360" w:lineRule="auto"/>
        <w:rPr>
          <w:rFonts w:ascii="宋体"/>
          <w:b/>
          <w:szCs w:val="21"/>
        </w:rPr>
      </w:pPr>
      <w:r>
        <w:rPr>
          <w:rFonts w:ascii="宋体" w:hAnsi="宋体" w:hint="eastAsia"/>
          <w:b/>
          <w:szCs w:val="21"/>
        </w:rPr>
        <w:t>（一）学习目标</w:t>
      </w:r>
    </w:p>
    <w:p w14:paraId="4C4F8B1A" w14:textId="77777777" w:rsidR="00F5289E" w:rsidRDefault="00C91173">
      <w:pPr>
        <w:snapToGrid w:val="0"/>
        <w:spacing w:beforeLines="50" w:before="156" w:line="360" w:lineRule="auto"/>
        <w:ind w:firstLineChars="200" w:firstLine="422"/>
        <w:rPr>
          <w:szCs w:val="21"/>
        </w:rPr>
      </w:pPr>
      <w:r>
        <w:rPr>
          <w:rFonts w:ascii="宋体" w:hAnsi="宋体"/>
          <w:b/>
          <w:szCs w:val="21"/>
        </w:rPr>
        <w:t xml:space="preserve">1. </w:t>
      </w:r>
      <w:r>
        <w:rPr>
          <w:rFonts w:ascii="宋体" w:hAnsi="宋体" w:hint="eastAsia"/>
          <w:b/>
          <w:szCs w:val="21"/>
        </w:rPr>
        <w:t>一般了解</w:t>
      </w:r>
      <w:r>
        <w:rPr>
          <w:rFonts w:ascii="宋体" w:hAnsi="宋体" w:hint="eastAsia"/>
          <w:szCs w:val="21"/>
        </w:rPr>
        <w:t>：</w:t>
      </w:r>
      <w:r>
        <w:rPr>
          <w:rFonts w:hint="eastAsia"/>
          <w:szCs w:val="21"/>
        </w:rPr>
        <w:t>了解茶席的布置与茶席插花。</w:t>
      </w:r>
    </w:p>
    <w:p w14:paraId="22984FAB" w14:textId="77777777" w:rsidR="00F5289E" w:rsidRDefault="00C91173">
      <w:pPr>
        <w:snapToGrid w:val="0"/>
        <w:spacing w:beforeLines="50" w:before="156" w:line="360" w:lineRule="auto"/>
        <w:ind w:firstLineChars="200" w:firstLine="422"/>
        <w:rPr>
          <w:rFonts w:ascii="宋体"/>
          <w:szCs w:val="21"/>
        </w:rPr>
      </w:pPr>
      <w:r>
        <w:rPr>
          <w:rFonts w:hint="eastAsia"/>
          <w:b/>
          <w:szCs w:val="21"/>
        </w:rPr>
        <w:t xml:space="preserve">2. </w:t>
      </w:r>
      <w:r>
        <w:rPr>
          <w:rFonts w:hint="eastAsia"/>
          <w:b/>
          <w:szCs w:val="21"/>
        </w:rPr>
        <w:t>一般掌握：</w:t>
      </w:r>
      <w:r>
        <w:rPr>
          <w:rFonts w:hint="eastAsia"/>
          <w:szCs w:val="21"/>
        </w:rPr>
        <w:t>泡茶用水的选择；绿茶、红茶及乌龙茶茶艺。</w:t>
      </w:r>
    </w:p>
    <w:p w14:paraId="48352A30" w14:textId="77777777" w:rsidR="00F5289E" w:rsidRDefault="00C91173">
      <w:pPr>
        <w:snapToGrid w:val="0"/>
        <w:spacing w:beforeLines="50" w:before="156" w:line="360" w:lineRule="auto"/>
        <w:rPr>
          <w:rFonts w:ascii="宋体"/>
          <w:szCs w:val="21"/>
        </w:rPr>
      </w:pPr>
      <w:r>
        <w:rPr>
          <w:rFonts w:ascii="宋体" w:hAnsi="宋体" w:hint="eastAsia"/>
          <w:b/>
          <w:szCs w:val="21"/>
        </w:rPr>
        <w:t>（二）考核内容</w:t>
      </w:r>
    </w:p>
    <w:p w14:paraId="3AA04FD3" w14:textId="77777777" w:rsidR="00F5289E" w:rsidRDefault="00C91173">
      <w:pPr>
        <w:snapToGrid w:val="0"/>
        <w:spacing w:beforeLines="50" w:before="156" w:line="360" w:lineRule="auto"/>
        <w:ind w:firstLineChars="200" w:firstLine="420"/>
        <w:rPr>
          <w:szCs w:val="21"/>
        </w:rPr>
      </w:pPr>
      <w:r>
        <w:rPr>
          <w:rFonts w:hint="eastAsia"/>
          <w:szCs w:val="21"/>
        </w:rPr>
        <w:t>茶艺，茶艺表演，茶席，泡茶用水的选择，绿茶、红茶及乌龙茶茶艺。</w:t>
      </w:r>
    </w:p>
    <w:p w14:paraId="33232A12" w14:textId="77777777" w:rsidR="00F5289E" w:rsidRDefault="00C91173">
      <w:pPr>
        <w:snapToGrid w:val="0"/>
        <w:spacing w:beforeLines="50" w:before="156" w:line="360" w:lineRule="auto"/>
        <w:rPr>
          <w:rFonts w:ascii="宋体"/>
          <w:b/>
          <w:szCs w:val="21"/>
        </w:rPr>
      </w:pPr>
      <w:r>
        <w:rPr>
          <w:rFonts w:ascii="宋体" w:hAnsi="宋体" w:hint="eastAsia"/>
          <w:b/>
          <w:szCs w:val="21"/>
        </w:rPr>
        <w:t>（三）考核要求</w:t>
      </w:r>
    </w:p>
    <w:p w14:paraId="6711B4E7" w14:textId="77777777" w:rsidR="00F5289E" w:rsidRDefault="00C91173">
      <w:pPr>
        <w:snapToGrid w:val="0"/>
        <w:spacing w:beforeLines="50" w:before="156" w:line="360" w:lineRule="auto"/>
        <w:ind w:firstLineChars="200" w:firstLine="422"/>
        <w:rPr>
          <w:szCs w:val="21"/>
        </w:rPr>
      </w:pPr>
      <w:r>
        <w:rPr>
          <w:rFonts w:ascii="宋体" w:hAnsi="宋体"/>
          <w:b/>
          <w:szCs w:val="21"/>
        </w:rPr>
        <w:t>1</w:t>
      </w:r>
      <w:r>
        <w:rPr>
          <w:rFonts w:ascii="宋体" w:hAnsi="宋体" w:hint="eastAsia"/>
          <w:b/>
          <w:szCs w:val="21"/>
        </w:rPr>
        <w:t>．识记</w:t>
      </w:r>
      <w:r>
        <w:rPr>
          <w:rFonts w:ascii="宋体" w:hAnsi="宋体" w:hint="eastAsia"/>
          <w:szCs w:val="21"/>
        </w:rPr>
        <w:t>：</w:t>
      </w:r>
      <w:r>
        <w:rPr>
          <w:rFonts w:hint="eastAsia"/>
          <w:szCs w:val="21"/>
        </w:rPr>
        <w:t>茶艺，茶艺表演，茶席，泡茶用水的选择，绿茶、红茶及乌龙茶茶艺。</w:t>
      </w:r>
    </w:p>
    <w:p w14:paraId="2D55DCE2" w14:textId="77777777" w:rsidR="00F5289E" w:rsidRDefault="00F5289E">
      <w:pPr>
        <w:spacing w:line="400" w:lineRule="atLeast"/>
        <w:ind w:firstLineChars="200" w:firstLine="420"/>
        <w:rPr>
          <w:rFonts w:ascii="宋体"/>
          <w:szCs w:val="21"/>
        </w:rPr>
      </w:pPr>
    </w:p>
    <w:p w14:paraId="5207913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三、考核方式</w:t>
      </w:r>
    </w:p>
    <w:p w14:paraId="075A868F" w14:textId="77777777" w:rsidR="00F5289E" w:rsidRDefault="00C91173">
      <w:pPr>
        <w:widowControl/>
        <w:snapToGrid w:val="0"/>
        <w:spacing w:line="360" w:lineRule="auto"/>
        <w:ind w:firstLine="420"/>
        <w:jc w:val="left"/>
        <w:rPr>
          <w:rFonts w:ascii="宋体" w:hAnsi="宋体"/>
          <w:bCs/>
          <w:szCs w:val="21"/>
        </w:rPr>
      </w:pPr>
      <w:r>
        <w:rPr>
          <w:rFonts w:hAnsi="宋体" w:hint="eastAsia"/>
          <w:b/>
          <w:bCs/>
          <w:kern w:val="0"/>
          <w:szCs w:val="21"/>
        </w:rPr>
        <w:t>过程性评价：</w:t>
      </w:r>
      <w:r>
        <w:t>在章节学习的过程中针对每一章节的教学目标和教学内容布置</w:t>
      </w:r>
      <w:r>
        <w:rPr>
          <w:rFonts w:hint="eastAsia"/>
        </w:rPr>
        <w:t>课前、课中、课后任务</w:t>
      </w:r>
      <w:r>
        <w:t>让学生完成</w:t>
      </w:r>
      <w:r>
        <w:rPr>
          <w:rFonts w:hint="eastAsia"/>
        </w:rPr>
        <w:t>，通过任务完成度、教学活动参与度、作业、</w:t>
      </w:r>
      <w:r>
        <w:t>定期进行随堂测验</w:t>
      </w:r>
      <w:r>
        <w:rPr>
          <w:rFonts w:hint="eastAsia"/>
        </w:rPr>
        <w:t>来对学生进行过程性评价。同时</w:t>
      </w:r>
      <w:r>
        <w:t>学期中进行期中考试</w:t>
      </w:r>
      <w:r>
        <w:rPr>
          <w:rFonts w:hint="eastAsia"/>
        </w:rPr>
        <w:t>、学期末进行期末考试来对学生进行阶段式评价</w:t>
      </w:r>
      <w:r>
        <w:t>。</w:t>
      </w:r>
      <w:r>
        <w:rPr>
          <w:rFonts w:hAnsi="宋体" w:hint="eastAsia"/>
          <w:b/>
          <w:bCs/>
          <w:kern w:val="0"/>
          <w:szCs w:val="21"/>
        </w:rPr>
        <w:t>终结性评价：</w:t>
      </w:r>
      <w:r>
        <w:rPr>
          <w:rFonts w:hint="eastAsia"/>
        </w:rPr>
        <w:t>期末进行</w:t>
      </w:r>
      <w:r>
        <w:t>闭卷考试</w:t>
      </w:r>
      <w:r>
        <w:rPr>
          <w:rFonts w:hint="eastAsia"/>
        </w:rPr>
        <w:t>来对学生进行终结性评价</w:t>
      </w:r>
      <w:r>
        <w:t>。</w:t>
      </w:r>
    </w:p>
    <w:p w14:paraId="36E8C96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四、成绩评定</w:t>
      </w:r>
    </w:p>
    <w:p w14:paraId="1B84649E"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1.平时成绩的评价方法：平时成绩以现场签到1</w:t>
      </w:r>
      <w:r>
        <w:rPr>
          <w:rFonts w:ascii="宋体" w:hAnsi="宋体"/>
          <w:szCs w:val="21"/>
        </w:rPr>
        <w:t>0</w:t>
      </w:r>
      <w:r>
        <w:rPr>
          <w:rFonts w:ascii="宋体" w:hAnsi="宋体" w:hint="eastAsia"/>
          <w:szCs w:val="21"/>
        </w:rPr>
        <w:t>%＋作业成绩3</w:t>
      </w:r>
      <w:r>
        <w:rPr>
          <w:rFonts w:ascii="宋体" w:hAnsi="宋体"/>
          <w:szCs w:val="21"/>
        </w:rPr>
        <w:t>0</w:t>
      </w:r>
      <w:r>
        <w:rPr>
          <w:rFonts w:ascii="宋体" w:hAnsi="宋体" w:hint="eastAsia"/>
          <w:szCs w:val="21"/>
        </w:rPr>
        <w:t>%+任务成绩3</w:t>
      </w:r>
      <w:r>
        <w:rPr>
          <w:rFonts w:ascii="宋体" w:hAnsi="宋体"/>
          <w:szCs w:val="21"/>
        </w:rPr>
        <w:t>0</w:t>
      </w:r>
      <w:r>
        <w:rPr>
          <w:rFonts w:ascii="宋体" w:hAnsi="宋体" w:hint="eastAsia"/>
          <w:szCs w:val="21"/>
        </w:rPr>
        <w:t>%+项目成绩3</w:t>
      </w:r>
      <w:r>
        <w:rPr>
          <w:rFonts w:ascii="宋体" w:hAnsi="宋体"/>
          <w:szCs w:val="21"/>
        </w:rPr>
        <w:t>0</w:t>
      </w:r>
      <w:r>
        <w:rPr>
          <w:rFonts w:ascii="宋体" w:hAnsi="宋体" w:hint="eastAsia"/>
          <w:szCs w:val="21"/>
        </w:rPr>
        <w:t>%进行评价。</w:t>
      </w:r>
    </w:p>
    <w:p w14:paraId="4114CB34"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2.最终成绩评价方法：以期末理论考试（</w:t>
      </w:r>
      <w:r>
        <w:rPr>
          <w:rFonts w:ascii="宋体" w:hAnsi="宋体"/>
          <w:szCs w:val="21"/>
        </w:rPr>
        <w:t>50</w:t>
      </w:r>
      <w:r>
        <w:rPr>
          <w:rFonts w:ascii="宋体" w:hAnsi="宋体" w:hint="eastAsia"/>
          <w:szCs w:val="21"/>
        </w:rPr>
        <w:t>%）+期中考试（20%）+平时成绩（</w:t>
      </w:r>
      <w:r>
        <w:rPr>
          <w:rFonts w:ascii="宋体" w:hAnsi="宋体"/>
          <w:szCs w:val="21"/>
        </w:rPr>
        <w:t>30</w:t>
      </w:r>
      <w:r>
        <w:rPr>
          <w:rFonts w:ascii="宋体" w:hAnsi="宋体" w:hint="eastAsia"/>
          <w:szCs w:val="21"/>
        </w:rPr>
        <w:t>%）计算最终成绩。</w:t>
      </w:r>
    </w:p>
    <w:p w14:paraId="55C4608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五、考核结果分析反馈</w:t>
      </w:r>
    </w:p>
    <w:p w14:paraId="69B7342A" w14:textId="77777777" w:rsidR="00F5289E" w:rsidRDefault="00C91173">
      <w:pPr>
        <w:snapToGrid w:val="0"/>
        <w:spacing w:line="360" w:lineRule="auto"/>
        <w:ind w:firstLineChars="200" w:firstLine="420"/>
        <w:rPr>
          <w:rFonts w:ascii="宋体"/>
          <w:szCs w:val="21"/>
        </w:rPr>
      </w:pPr>
      <w:r>
        <w:rPr>
          <w:rFonts w:ascii="宋体" w:hAnsi="宋体" w:hint="eastAsia"/>
          <w:bCs/>
          <w:szCs w:val="21"/>
        </w:rPr>
        <w:lastRenderedPageBreak/>
        <w:t>学生的作业、任务完成结果、项目完成结果会、期中考试成绩等及时反馈给学生；学生在学习中提出的完善建议、学生对课堂的评价、课堂实际情况、督导和其他教师的听课结果等会适时地反馈给授课教师；学生的择业偏好，最终的就业去向等会经过一定分析结合专业达成度进行反馈。最后，根据教师收到的多方反馈结果及时对教学内容、教学方法、教学过程进行调整，并持续收集多方反馈的结果，持续改进。</w:t>
      </w:r>
    </w:p>
    <w:p w14:paraId="34592067" w14:textId="77777777" w:rsidR="00F5289E" w:rsidRDefault="00C91173">
      <w:pPr>
        <w:widowControl/>
        <w:jc w:val="left"/>
        <w:rPr>
          <w:rFonts w:ascii="宋体" w:hAnsi="宋体"/>
          <w:b/>
          <w:sz w:val="28"/>
          <w:szCs w:val="28"/>
        </w:rPr>
      </w:pPr>
      <w:r>
        <w:rPr>
          <w:rFonts w:ascii="宋体" w:hAnsi="宋体"/>
          <w:b/>
          <w:sz w:val="28"/>
          <w:szCs w:val="28"/>
        </w:rPr>
        <w:br w:type="page"/>
      </w:r>
    </w:p>
    <w:p w14:paraId="5A3CCD88" w14:textId="77777777" w:rsidR="00F5289E" w:rsidRDefault="00C91173">
      <w:pPr>
        <w:pStyle w:val="1"/>
        <w:rPr>
          <w:szCs w:val="28"/>
        </w:rPr>
      </w:pPr>
      <w:bookmarkStart w:id="193" w:name="_Toc138606288"/>
      <w:r>
        <w:rPr>
          <w:szCs w:val="28"/>
        </w:rPr>
        <w:lastRenderedPageBreak/>
        <w:t>葡萄酒</w:t>
      </w:r>
      <w:r>
        <w:rPr>
          <w:rFonts w:hint="eastAsia"/>
          <w:szCs w:val="28"/>
        </w:rPr>
        <w:t>文化考核大纲</w:t>
      </w:r>
      <w:bookmarkEnd w:id="193"/>
    </w:p>
    <w:p w14:paraId="69A5CA7F" w14:textId="77777777" w:rsidR="00F5289E" w:rsidRDefault="00C91173">
      <w:pPr>
        <w:snapToGrid w:val="0"/>
        <w:spacing w:line="360" w:lineRule="auto"/>
        <w:jc w:val="center"/>
        <w:rPr>
          <w:color w:val="0000FF"/>
          <w:sz w:val="24"/>
        </w:rPr>
      </w:pPr>
      <w:r>
        <w:rPr>
          <w:color w:val="000000" w:themeColor="text1"/>
          <w:sz w:val="24"/>
        </w:rPr>
        <w:t>（</w:t>
      </w:r>
      <w:bookmarkStart w:id="194" w:name="_Hlk137820532"/>
      <w:r>
        <w:rPr>
          <w:iCs/>
          <w:sz w:val="24"/>
          <w:szCs w:val="20"/>
        </w:rPr>
        <w:t xml:space="preserve">Wine </w:t>
      </w:r>
      <w:bookmarkEnd w:id="194"/>
      <w:r>
        <w:rPr>
          <w:iCs/>
          <w:sz w:val="24"/>
          <w:szCs w:val="20"/>
        </w:rPr>
        <w:t>Culture</w:t>
      </w:r>
      <w:r>
        <w:rPr>
          <w:color w:val="000000" w:themeColor="text1"/>
          <w:sz w:val="24"/>
        </w:rPr>
        <w:t>）</w:t>
      </w:r>
    </w:p>
    <w:p w14:paraId="18566027" w14:textId="77777777" w:rsidR="00F5289E" w:rsidRDefault="00F5289E">
      <w:pPr>
        <w:widowControl/>
        <w:wordWrap w:val="0"/>
        <w:spacing w:before="120" w:after="120"/>
        <w:jc w:val="center"/>
        <w:outlineLvl w:val="0"/>
        <w:rPr>
          <w:rFonts w:eastAsia="黑体" w:hAnsi="宋体" w:cs="宋体"/>
          <w:b/>
          <w:bCs/>
          <w:kern w:val="36"/>
          <w:sz w:val="24"/>
        </w:rPr>
      </w:pPr>
    </w:p>
    <w:p w14:paraId="44B36EDE"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4342C046" w14:textId="77777777">
        <w:tc>
          <w:tcPr>
            <w:tcW w:w="1665" w:type="pct"/>
          </w:tcPr>
          <w:p w14:paraId="32B1050E"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19011149</w:t>
            </w:r>
          </w:p>
        </w:tc>
        <w:tc>
          <w:tcPr>
            <w:tcW w:w="1234" w:type="pct"/>
          </w:tcPr>
          <w:p w14:paraId="4C1BABB9"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hint="eastAsia"/>
                <w:szCs w:val="21"/>
              </w:rPr>
              <w:t>32</w:t>
            </w:r>
          </w:p>
        </w:tc>
        <w:tc>
          <w:tcPr>
            <w:tcW w:w="2100" w:type="pct"/>
          </w:tcPr>
          <w:p w14:paraId="5C97B68A"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hint="eastAsia"/>
                <w:szCs w:val="21"/>
              </w:rPr>
              <w:t>2</w:t>
            </w:r>
          </w:p>
        </w:tc>
      </w:tr>
      <w:tr w:rsidR="00F5289E" w14:paraId="04AC4881" w14:textId="77777777">
        <w:tc>
          <w:tcPr>
            <w:tcW w:w="1665" w:type="pct"/>
          </w:tcPr>
          <w:p w14:paraId="72D705BC"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焦健，万然，王磊</w:t>
            </w:r>
          </w:p>
        </w:tc>
        <w:tc>
          <w:tcPr>
            <w:tcW w:w="1234" w:type="pct"/>
          </w:tcPr>
          <w:p w14:paraId="3E03E200"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叶霞</w:t>
            </w:r>
          </w:p>
        </w:tc>
        <w:tc>
          <w:tcPr>
            <w:tcW w:w="2100" w:type="pct"/>
          </w:tcPr>
          <w:p w14:paraId="3601F8A3"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hint="eastAsia"/>
                <w:szCs w:val="21"/>
              </w:rPr>
              <w:t>2</w:t>
            </w:r>
            <w:r>
              <w:rPr>
                <w:rFonts w:ascii="宋体" w:hAnsi="宋体"/>
                <w:szCs w:val="21"/>
              </w:rPr>
              <w:t>02</w:t>
            </w:r>
            <w:r w:rsidR="001B3040">
              <w:rPr>
                <w:rFonts w:ascii="宋体" w:hAnsi="宋体"/>
                <w:szCs w:val="21"/>
              </w:rPr>
              <w:t>3.05</w:t>
            </w:r>
          </w:p>
        </w:tc>
      </w:tr>
    </w:tbl>
    <w:p w14:paraId="606634AF" w14:textId="77777777" w:rsidR="00F5289E" w:rsidRDefault="00F5289E">
      <w:pPr>
        <w:pStyle w:val="a9"/>
        <w:spacing w:line="360" w:lineRule="auto"/>
        <w:rPr>
          <w:b/>
          <w:bCs/>
        </w:rPr>
      </w:pPr>
    </w:p>
    <w:p w14:paraId="4C0003C7" w14:textId="77777777" w:rsidR="00F5289E" w:rsidRDefault="00C91173">
      <w:pPr>
        <w:pStyle w:val="a9"/>
        <w:spacing w:line="360" w:lineRule="auto"/>
        <w:rPr>
          <w:b/>
          <w:bCs/>
        </w:rPr>
      </w:pPr>
      <w:r>
        <w:rPr>
          <w:rFonts w:hint="eastAsia"/>
          <w:b/>
          <w:bCs/>
        </w:rPr>
        <w:t>一、课程的性质和地位</w:t>
      </w:r>
    </w:p>
    <w:p w14:paraId="379DB9D7" w14:textId="77777777" w:rsidR="00F5289E" w:rsidRDefault="00C91173">
      <w:pPr>
        <w:snapToGrid w:val="0"/>
        <w:spacing w:line="360" w:lineRule="auto"/>
        <w:ind w:firstLineChars="200" w:firstLine="420"/>
      </w:pPr>
      <w:r>
        <w:t>《葡萄酒</w:t>
      </w:r>
      <w:r>
        <w:rPr>
          <w:rFonts w:hint="eastAsia"/>
        </w:rPr>
        <w:t>文化</w:t>
      </w:r>
      <w:r>
        <w:t>》主要讲述葡萄酒品尝过程中所涉及的基本理论和技术、葡萄酒类型特点以及不同产区葡萄酒典型风格等，是设施农业</w:t>
      </w:r>
      <w:r>
        <w:rPr>
          <w:rFonts w:hint="eastAsia"/>
        </w:rPr>
        <w:t>科学</w:t>
      </w:r>
      <w:r>
        <w:t>与工程和茶学专业本科选修课之一。本门课程主要通过对葡萄酒起源、产地、产区、文化内涵、饮用习惯的讲解，使学生能够掌握葡萄酒文化的基础知识；学习葡萄酒的外观、品种分类、等级、品酒技巧、菜肴搭配以及侍酒流程等葡萄酒的品鉴过程，全面掌握葡萄酒鉴别和品酒方法。通过对学生各种感觉能力的训练，提高他们的感觉敏锐度，并学会葡萄酒品尝基本理论和方法，去鉴别葡萄酒的品质，提高感知鉴赏能力，为学生进一步在各专业深造开拓知识。</w:t>
      </w:r>
    </w:p>
    <w:p w14:paraId="38EF5110" w14:textId="77777777" w:rsidR="00F5289E" w:rsidRDefault="00C91173">
      <w:pPr>
        <w:pStyle w:val="a9"/>
        <w:spacing w:line="360" w:lineRule="auto"/>
        <w:rPr>
          <w:b/>
          <w:bCs/>
        </w:rPr>
      </w:pPr>
      <w:r>
        <w:rPr>
          <w:rFonts w:hint="eastAsia"/>
          <w:b/>
          <w:bCs/>
        </w:rPr>
        <w:t>二、理论教学部分的考核目标</w:t>
      </w:r>
    </w:p>
    <w:p w14:paraId="50059220" w14:textId="77777777" w:rsidR="00F5289E" w:rsidRDefault="00C91173">
      <w:pPr>
        <w:snapToGrid w:val="0"/>
        <w:spacing w:line="360" w:lineRule="auto"/>
        <w:ind w:firstLineChars="200" w:firstLine="420"/>
        <w:rPr>
          <w:color w:val="272C30"/>
        </w:rPr>
      </w:pPr>
      <w:r>
        <w:t>通过本课程学习后，主要考核学生以下内容：</w:t>
      </w:r>
      <w:r>
        <w:rPr>
          <w:color w:val="272C30"/>
        </w:rPr>
        <w:t>理解新旧世界葡萄酒生产国概况；</w:t>
      </w:r>
      <w:r>
        <w:t>熟练掌握酿酒葡萄品种分类及其特性；了解</w:t>
      </w:r>
      <w:r>
        <w:rPr>
          <w:color w:val="272C30"/>
        </w:rPr>
        <w:t>现代工业葡萄酒酿造工艺，发酵前的准备；理解干红、干白、甜型、气泡、加强葡萄酒的酿造工艺；掌握家庭葡萄酒酿造简单工艺；</w:t>
      </w:r>
      <w:r>
        <w:rPr>
          <w:color w:val="000000"/>
        </w:rPr>
        <w:t>理解和掌握</w:t>
      </w:r>
      <w:r>
        <w:rPr>
          <w:color w:val="272C30"/>
        </w:rPr>
        <w:t>产区的概念；掌握中国主要葡萄酒产区分布；熟练掌握新旧世界葡萄酒的风格差异；</w:t>
      </w:r>
      <w:r>
        <w:rPr>
          <w:color w:val="000000"/>
        </w:rPr>
        <w:t>掌握国外</w:t>
      </w:r>
      <w:r>
        <w:rPr>
          <w:color w:val="272C30"/>
        </w:rPr>
        <w:t>葡萄酒庄园文化，法律条例，法国葡萄酒主要产区、名庄、名品以及等级制度；理解意大利、西班牙葡萄酒等级制度；理解并掌握旧世界葡萄酒酒标；掌握葡萄酒的侍酒法；掌握葡萄酒的选购和餐饮搭配；掌握葡萄酒品评前的准备，外观分析，香气分析，口感分析等。</w:t>
      </w:r>
    </w:p>
    <w:p w14:paraId="00C3C220"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 xml:space="preserve">第一章  </w:t>
      </w:r>
      <w:r>
        <w:rPr>
          <w:b/>
          <w:bCs/>
          <w:kern w:val="0"/>
          <w:szCs w:val="21"/>
        </w:rPr>
        <w:t>葡萄酒的起源和分类</w:t>
      </w:r>
    </w:p>
    <w:p w14:paraId="70FAF9B3" w14:textId="77777777" w:rsidR="00F5289E" w:rsidRDefault="00C91173">
      <w:pPr>
        <w:snapToGrid w:val="0"/>
        <w:spacing w:line="360" w:lineRule="auto"/>
        <w:rPr>
          <w:rFonts w:ascii="宋体" w:hAnsi="宋体"/>
          <w:b/>
          <w:szCs w:val="21"/>
        </w:rPr>
      </w:pPr>
      <w:bookmarkStart w:id="195" w:name="_Hlk137821236"/>
      <w:r>
        <w:rPr>
          <w:rFonts w:ascii="宋体" w:hAnsi="宋体" w:hint="eastAsia"/>
          <w:b/>
          <w:szCs w:val="21"/>
        </w:rPr>
        <w:t>（一）学习目标</w:t>
      </w:r>
    </w:p>
    <w:p w14:paraId="674A2B1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272C30"/>
        </w:rPr>
        <w:t>开设本课程的意义，以及葡萄酒历史与宗教的关系。</w:t>
      </w:r>
    </w:p>
    <w:p w14:paraId="2363AEF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272C30"/>
        </w:rPr>
        <w:t>新旧世界葡萄酒生产国概况。</w:t>
      </w:r>
    </w:p>
    <w:p w14:paraId="423B96D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272C30"/>
        </w:rPr>
        <w:t>葡萄酒中主要的营养功能成分及作用，葡萄酒的定义和分类方法。</w:t>
      </w:r>
    </w:p>
    <w:p w14:paraId="0315910B"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D6A008D" w14:textId="77777777" w:rsidR="00F5289E" w:rsidRDefault="00C91173">
      <w:pPr>
        <w:snapToGrid w:val="0"/>
        <w:spacing w:line="360" w:lineRule="auto"/>
        <w:ind w:firstLineChars="200" w:firstLine="420"/>
        <w:rPr>
          <w:rFonts w:ascii="宋体" w:hAnsi="宋体"/>
          <w:bCs/>
          <w:color w:val="0000FF"/>
          <w:szCs w:val="21"/>
        </w:rPr>
      </w:pPr>
      <w:r>
        <w:rPr>
          <w:color w:val="272C30"/>
        </w:rPr>
        <w:t>葡萄酒的定义和分类标准，葡萄酒营养功能成分</w:t>
      </w:r>
      <w:r>
        <w:rPr>
          <w:rFonts w:hint="eastAsia"/>
          <w:color w:val="272C30"/>
        </w:rPr>
        <w:t>。</w:t>
      </w:r>
    </w:p>
    <w:p w14:paraId="16A40BDA"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E676085" w14:textId="77777777" w:rsidR="00F5289E" w:rsidRDefault="00C91173">
      <w:pPr>
        <w:snapToGrid w:val="0"/>
        <w:spacing w:line="360" w:lineRule="auto"/>
        <w:ind w:firstLineChars="200" w:firstLine="422"/>
        <w:rPr>
          <w:rFonts w:ascii="宋体" w:hAnsi="宋体"/>
          <w:b/>
          <w:color w:val="0000FF"/>
          <w:szCs w:val="21"/>
        </w:rPr>
      </w:pPr>
      <w:bookmarkStart w:id="196" w:name="_Hlk137821249"/>
      <w:bookmarkEnd w:id="195"/>
      <w:r>
        <w:rPr>
          <w:rFonts w:ascii="宋体" w:hAnsi="宋体" w:hint="eastAsia"/>
          <w:b/>
          <w:szCs w:val="21"/>
        </w:rPr>
        <w:t>1.识记</w:t>
      </w:r>
      <w:r>
        <w:rPr>
          <w:rFonts w:ascii="宋体" w:hAnsi="宋体" w:hint="eastAsia"/>
          <w:szCs w:val="21"/>
        </w:rPr>
        <w:t>：</w:t>
      </w:r>
      <w:r>
        <w:rPr>
          <w:color w:val="272C30"/>
        </w:rPr>
        <w:t>葡萄酒的起源、传说</w:t>
      </w:r>
      <w:r>
        <w:rPr>
          <w:rFonts w:hint="eastAsia"/>
          <w:color w:val="272C30"/>
        </w:rPr>
        <w:t>。</w:t>
      </w:r>
    </w:p>
    <w:p w14:paraId="4EEE9C3E"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lastRenderedPageBreak/>
        <w:t>2.领会</w:t>
      </w:r>
      <w:r>
        <w:rPr>
          <w:rFonts w:ascii="宋体" w:hAnsi="宋体" w:hint="eastAsia"/>
          <w:szCs w:val="21"/>
        </w:rPr>
        <w:t>：</w:t>
      </w:r>
      <w:r>
        <w:rPr>
          <w:szCs w:val="21"/>
        </w:rPr>
        <w:t>葡萄酒的定义和</w:t>
      </w:r>
      <w:r>
        <w:rPr>
          <w:color w:val="272C30"/>
        </w:rPr>
        <w:t>种类</w:t>
      </w:r>
      <w:r>
        <w:rPr>
          <w:rFonts w:hint="eastAsia"/>
          <w:color w:val="272C30"/>
        </w:rPr>
        <w:t>。</w:t>
      </w:r>
    </w:p>
    <w:p w14:paraId="32ECCCC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color w:val="272C30"/>
        </w:rPr>
        <w:t>葡萄酒中主要的营养功能成分及作用。</w:t>
      </w:r>
    </w:p>
    <w:p w14:paraId="417857AA" w14:textId="77777777" w:rsidR="00F5289E" w:rsidRDefault="00C91173">
      <w:pPr>
        <w:pStyle w:val="a9"/>
        <w:snapToGrid w:val="0"/>
        <w:spacing w:line="360" w:lineRule="auto"/>
        <w:ind w:firstLine="422"/>
        <w:jc w:val="center"/>
        <w:rPr>
          <w:rFonts w:hAnsi="宋体"/>
          <w:b/>
        </w:rPr>
      </w:pPr>
      <w:bookmarkStart w:id="197" w:name="_Hlk137821293"/>
      <w:bookmarkEnd w:id="196"/>
      <w:r>
        <w:rPr>
          <w:rFonts w:hAnsi="宋体" w:hint="eastAsia"/>
          <w:b/>
        </w:rPr>
        <w:t xml:space="preserve">第二章  </w:t>
      </w:r>
      <w:r>
        <w:rPr>
          <w:rFonts w:ascii="Times New Roman" w:hAnsi="Times New Roman" w:cs="Times New Roman"/>
          <w:b/>
          <w:bCs/>
          <w:kern w:val="0"/>
        </w:rPr>
        <w:t>酿酒葡萄品种概况</w:t>
      </w:r>
    </w:p>
    <w:p w14:paraId="40C7F42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1EDEBA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t>葡萄的起源和演化历程，酿酒葡萄在葡萄属植物中的地位</w:t>
      </w:r>
      <w:r>
        <w:rPr>
          <w:rFonts w:hint="eastAsia"/>
        </w:rPr>
        <w:t>。</w:t>
      </w:r>
    </w:p>
    <w:p w14:paraId="2F7773E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t>葡萄园地点的选择和管理以及葡萄生长的影响因素，葡萄果粒的构造和成分</w:t>
      </w:r>
      <w:r>
        <w:rPr>
          <w:color w:val="272C30"/>
        </w:rPr>
        <w:t>。</w:t>
      </w:r>
    </w:p>
    <w:p w14:paraId="14A69B9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t>酿酒葡萄品种的分类及其特性</w:t>
      </w:r>
      <w:r>
        <w:rPr>
          <w:color w:val="272C30"/>
        </w:rPr>
        <w:t>。</w:t>
      </w:r>
    </w:p>
    <w:p w14:paraId="56ABE9EA"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1C398BBA" w14:textId="77777777" w:rsidR="00F5289E" w:rsidRDefault="00C91173">
      <w:pPr>
        <w:snapToGrid w:val="0"/>
        <w:spacing w:line="360" w:lineRule="auto"/>
        <w:ind w:firstLineChars="200" w:firstLine="420"/>
        <w:rPr>
          <w:color w:val="272C30"/>
        </w:rPr>
      </w:pPr>
      <w:r>
        <w:rPr>
          <w:color w:val="272C30"/>
        </w:rPr>
        <w:t>酿酒葡萄品种分类，栽培条件和葡萄园管理</w:t>
      </w:r>
      <w:r>
        <w:rPr>
          <w:rFonts w:hint="eastAsia"/>
          <w:color w:val="272C30"/>
        </w:rPr>
        <w:t>。</w:t>
      </w:r>
    </w:p>
    <w:p w14:paraId="66B2309D"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5CFFF344"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t>葡萄属植物的起源和分类</w:t>
      </w:r>
      <w:r>
        <w:rPr>
          <w:rFonts w:hint="eastAsia"/>
          <w:color w:val="272C30"/>
        </w:rPr>
        <w:t>。</w:t>
      </w:r>
    </w:p>
    <w:p w14:paraId="622457A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t>酿酒葡萄品种分类和特性</w:t>
      </w:r>
      <w:r>
        <w:rPr>
          <w:rFonts w:hint="eastAsia"/>
          <w:color w:val="272C30"/>
        </w:rPr>
        <w:t>。</w:t>
      </w:r>
    </w:p>
    <w:p w14:paraId="2744C89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t>学会葡萄园常规栽培管理措施</w:t>
      </w:r>
      <w:r>
        <w:rPr>
          <w:color w:val="272C30"/>
        </w:rPr>
        <w:t>。</w:t>
      </w:r>
    </w:p>
    <w:p w14:paraId="14CF1D0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t>通过葡萄品种对一款葡萄酒的特点进行初步预判。</w:t>
      </w:r>
    </w:p>
    <w:bookmarkEnd w:id="197"/>
    <w:p w14:paraId="689A1BF1" w14:textId="77777777" w:rsidR="00F5289E" w:rsidRDefault="00C91173">
      <w:pPr>
        <w:pStyle w:val="a9"/>
        <w:snapToGrid w:val="0"/>
        <w:spacing w:line="360" w:lineRule="auto"/>
        <w:ind w:firstLine="422"/>
        <w:jc w:val="center"/>
        <w:rPr>
          <w:rFonts w:hAnsi="宋体"/>
          <w:b/>
        </w:rPr>
      </w:pPr>
      <w:r>
        <w:rPr>
          <w:rFonts w:hAnsi="宋体" w:hint="eastAsia"/>
          <w:b/>
        </w:rPr>
        <w:t xml:space="preserve">第三章  </w:t>
      </w:r>
      <w:r>
        <w:rPr>
          <w:rFonts w:ascii="Times New Roman" w:hAnsi="Times New Roman" w:cs="Times New Roman"/>
          <w:b/>
          <w:bCs/>
          <w:kern w:val="0"/>
        </w:rPr>
        <w:t>葡萄酒酿造工艺</w:t>
      </w:r>
    </w:p>
    <w:p w14:paraId="7B2ECA6F"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D18F50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272C30"/>
        </w:rPr>
        <w:t>现代工业葡萄酒酿造工艺，发酵前的准备。</w:t>
      </w:r>
    </w:p>
    <w:p w14:paraId="517C7B7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272C30"/>
        </w:rPr>
        <w:t>干红、干白、甜型、气泡、加强葡萄酒的酿造工艺。</w:t>
      </w:r>
    </w:p>
    <w:p w14:paraId="2F9A268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272C30"/>
        </w:rPr>
        <w:t>家庭葡萄酒酿造简单工艺，葡萄酒发酵微生物的种类及其作用，葡萄酒橡木桶陈放的作用。</w:t>
      </w:r>
    </w:p>
    <w:p w14:paraId="47C3F044"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2E52C88" w14:textId="77777777" w:rsidR="00F5289E" w:rsidRDefault="00C91173">
      <w:pPr>
        <w:snapToGrid w:val="0"/>
        <w:spacing w:line="360" w:lineRule="auto"/>
        <w:ind w:firstLineChars="200" w:firstLine="420"/>
        <w:rPr>
          <w:rFonts w:ascii="宋体" w:hAnsi="宋体"/>
          <w:bCs/>
          <w:color w:val="0000FF"/>
          <w:szCs w:val="21"/>
        </w:rPr>
      </w:pPr>
      <w:r>
        <w:rPr>
          <w:color w:val="272C30"/>
        </w:rPr>
        <w:t>不同类型葡萄酒工艺，葡萄酒微生物和辅料作用</w:t>
      </w:r>
      <w:r>
        <w:rPr>
          <w:rFonts w:hint="eastAsia"/>
          <w:color w:val="272C30"/>
        </w:rPr>
        <w:t>。</w:t>
      </w:r>
    </w:p>
    <w:p w14:paraId="6CEA3059"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F4DC974"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color w:val="272C30"/>
        </w:rPr>
        <w:t>不同类型葡萄酒的工艺特点、工程设备以及辅料选择</w:t>
      </w:r>
      <w:r>
        <w:rPr>
          <w:rFonts w:hint="eastAsia"/>
          <w:color w:val="272C30"/>
        </w:rPr>
        <w:t>。</w:t>
      </w:r>
    </w:p>
    <w:p w14:paraId="1636628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color w:val="272C30"/>
        </w:rPr>
        <w:t>干红葡萄酒酿造工艺，葡萄酒微生物和辅料作用</w:t>
      </w:r>
      <w:r>
        <w:rPr>
          <w:rFonts w:hint="eastAsia"/>
          <w:color w:val="272C30"/>
        </w:rPr>
        <w:t>。</w:t>
      </w:r>
    </w:p>
    <w:p w14:paraId="3F6F74FE"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color w:val="272C30"/>
        </w:rPr>
        <w:t>通过学习简易家庭葡萄酒发酵流程，能在生活中酿造健康美味的葡萄酒。</w:t>
      </w:r>
    </w:p>
    <w:p w14:paraId="31E80FD6" w14:textId="77777777" w:rsidR="00F5289E" w:rsidRDefault="00C91173">
      <w:pPr>
        <w:pStyle w:val="a9"/>
        <w:snapToGrid w:val="0"/>
        <w:spacing w:line="360" w:lineRule="auto"/>
        <w:ind w:firstLine="422"/>
        <w:jc w:val="center"/>
        <w:rPr>
          <w:rFonts w:hAnsi="宋体"/>
          <w:b/>
        </w:rPr>
      </w:pPr>
      <w:r>
        <w:rPr>
          <w:rFonts w:hAnsi="宋体" w:hint="eastAsia"/>
          <w:b/>
        </w:rPr>
        <w:t xml:space="preserve">第四章  </w:t>
      </w:r>
      <w:r>
        <w:rPr>
          <w:rFonts w:ascii="Times New Roman" w:hAnsi="Times New Roman" w:cs="Times New Roman"/>
          <w:b/>
          <w:color w:val="272C30"/>
        </w:rPr>
        <w:t>中外优质葡萄酒产区介绍</w:t>
      </w:r>
    </w:p>
    <w:p w14:paraId="2EB45D3C"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8698E2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000000"/>
        </w:rPr>
        <w:t>理解和掌握</w:t>
      </w:r>
      <w:r>
        <w:rPr>
          <w:color w:val="272C30"/>
        </w:rPr>
        <w:t>产区的概念，</w:t>
      </w:r>
      <w:r>
        <w:rPr>
          <w:color w:val="000000"/>
        </w:rPr>
        <w:t>国外</w:t>
      </w:r>
      <w:r>
        <w:rPr>
          <w:color w:val="272C30"/>
        </w:rPr>
        <w:t>葡萄酒庄园文化，法律条例。</w:t>
      </w:r>
    </w:p>
    <w:p w14:paraId="647E5ED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272C30"/>
        </w:rPr>
        <w:t>中国主要葡萄酒产区分布。</w:t>
      </w:r>
    </w:p>
    <w:p w14:paraId="5F08D8D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272C30"/>
        </w:rPr>
        <w:t>新旧世界葡萄酒的风格差异，法国葡萄酒主要产区、名庄、名品以及等级制度。</w:t>
      </w:r>
    </w:p>
    <w:p w14:paraId="717454B3"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16E23CA2" w14:textId="77777777" w:rsidR="00F5289E" w:rsidRDefault="00C91173">
      <w:pPr>
        <w:snapToGrid w:val="0"/>
        <w:spacing w:line="360" w:lineRule="auto"/>
        <w:ind w:firstLineChars="200" w:firstLine="420"/>
        <w:rPr>
          <w:rFonts w:ascii="宋体" w:hAnsi="宋体"/>
          <w:bCs/>
          <w:color w:val="0000FF"/>
          <w:szCs w:val="21"/>
        </w:rPr>
      </w:pPr>
      <w:r>
        <w:rPr>
          <w:color w:val="272C30"/>
        </w:rPr>
        <w:t>新旧世界葡萄酒概况，法国、意大利、西班牙葡萄酒等级制度</w:t>
      </w:r>
      <w:r>
        <w:rPr>
          <w:rFonts w:hint="eastAsia"/>
          <w:color w:val="272C30"/>
        </w:rPr>
        <w:t>。</w:t>
      </w:r>
    </w:p>
    <w:p w14:paraId="003CD20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3851C20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lastRenderedPageBreak/>
        <w:t>1.识记</w:t>
      </w:r>
      <w:r>
        <w:rPr>
          <w:rFonts w:ascii="宋体" w:hAnsi="宋体" w:hint="eastAsia"/>
          <w:szCs w:val="21"/>
        </w:rPr>
        <w:t>：</w:t>
      </w:r>
      <w:r>
        <w:rPr>
          <w:color w:val="000000"/>
        </w:rPr>
        <w:t>国外</w:t>
      </w:r>
      <w:r>
        <w:rPr>
          <w:color w:val="272C30"/>
        </w:rPr>
        <w:t>葡萄酒庄园文化和主要葡萄酒产区</w:t>
      </w:r>
      <w:r>
        <w:rPr>
          <w:rFonts w:hint="eastAsia"/>
          <w:color w:val="272C30"/>
        </w:rPr>
        <w:t>。</w:t>
      </w:r>
    </w:p>
    <w:p w14:paraId="338CCFC6"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color w:val="272C30"/>
        </w:rPr>
        <w:t>葡萄酒风土的概念，中外葡萄酒产区气候特点</w:t>
      </w:r>
      <w:r>
        <w:rPr>
          <w:rFonts w:hint="eastAsia"/>
          <w:color w:val="272C30"/>
        </w:rPr>
        <w:t>。</w:t>
      </w:r>
    </w:p>
    <w:p w14:paraId="3C0BA942"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color w:val="272C30"/>
        </w:rPr>
        <w:t>环境因素对葡萄酒品质的影响。</w:t>
      </w:r>
    </w:p>
    <w:p w14:paraId="26692A03" w14:textId="77777777" w:rsidR="00F5289E" w:rsidRDefault="00C91173">
      <w:pPr>
        <w:pStyle w:val="a9"/>
        <w:snapToGrid w:val="0"/>
        <w:spacing w:line="360" w:lineRule="auto"/>
        <w:ind w:firstLine="422"/>
        <w:jc w:val="center"/>
        <w:rPr>
          <w:rFonts w:hAnsi="宋体"/>
          <w:b/>
        </w:rPr>
      </w:pPr>
      <w:r>
        <w:rPr>
          <w:rFonts w:hAnsi="宋体" w:hint="eastAsia"/>
          <w:b/>
        </w:rPr>
        <w:t xml:space="preserve">第五章  </w:t>
      </w:r>
      <w:r>
        <w:rPr>
          <w:rFonts w:ascii="Times New Roman" w:hAnsi="Times New Roman" w:cs="Times New Roman"/>
          <w:b/>
          <w:color w:val="272C30"/>
        </w:rPr>
        <w:t>葡萄酒酒标及品酒专业术语</w:t>
      </w:r>
    </w:p>
    <w:p w14:paraId="2B7D712F"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66BE57B"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272C30"/>
        </w:rPr>
        <w:t>葡萄酒氧化和还原气味及气体异常气味。</w:t>
      </w:r>
    </w:p>
    <w:p w14:paraId="744F452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272C30"/>
        </w:rPr>
        <w:t>旧世界葡萄酒酒标，葡萄酒品评相关术语。</w:t>
      </w:r>
    </w:p>
    <w:p w14:paraId="201C95C1"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272C30"/>
        </w:rPr>
        <w:t>葡萄酒香气、葡萄酒结构和酒体的描述，葡萄酒品质的评判标准。</w:t>
      </w:r>
    </w:p>
    <w:p w14:paraId="03A9C397"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22C12D5B" w14:textId="77777777" w:rsidR="00F5289E" w:rsidRDefault="00C91173">
      <w:pPr>
        <w:snapToGrid w:val="0"/>
        <w:spacing w:line="360" w:lineRule="auto"/>
        <w:ind w:firstLineChars="200" w:firstLine="420"/>
        <w:rPr>
          <w:rFonts w:ascii="宋体" w:hAnsi="宋体"/>
          <w:bCs/>
          <w:color w:val="0000FF"/>
          <w:szCs w:val="21"/>
        </w:rPr>
      </w:pPr>
      <w:r>
        <w:rPr>
          <w:color w:val="272C30"/>
        </w:rPr>
        <w:t>旧世界葡萄酒酒标，葡萄酒感官品质评价相关术语</w:t>
      </w:r>
      <w:r>
        <w:rPr>
          <w:rFonts w:hint="eastAsia"/>
          <w:color w:val="272C30"/>
        </w:rPr>
        <w:t>。</w:t>
      </w:r>
    </w:p>
    <w:p w14:paraId="67F5CA0F"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5B557EA9"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color w:val="272C30"/>
        </w:rPr>
        <w:t>新旧世界葡萄酒酒标特点</w:t>
      </w:r>
      <w:r>
        <w:rPr>
          <w:rFonts w:hint="eastAsia"/>
          <w:color w:val="272C30"/>
        </w:rPr>
        <w:t>。</w:t>
      </w:r>
    </w:p>
    <w:p w14:paraId="79E8F1BB"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color w:val="272C30"/>
        </w:rPr>
        <w:t>葡萄酒相关的法律法规</w:t>
      </w:r>
      <w:r>
        <w:rPr>
          <w:rFonts w:hint="eastAsia"/>
          <w:color w:val="272C30"/>
        </w:rPr>
        <w:t>。</w:t>
      </w:r>
    </w:p>
    <w:p w14:paraId="788E990D"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color w:val="272C30"/>
        </w:rPr>
        <w:t>葡萄酒感官品质评价相关术语，能对葡萄酒的结构加以简单阐述。</w:t>
      </w:r>
    </w:p>
    <w:p w14:paraId="11928D53"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color w:val="272C30"/>
        </w:rPr>
        <w:t>葡萄酒感官品质的影响因素</w:t>
      </w:r>
      <w:r>
        <w:rPr>
          <w:rFonts w:hint="eastAsia"/>
          <w:color w:val="272C30"/>
        </w:rPr>
        <w:t>。</w:t>
      </w:r>
    </w:p>
    <w:p w14:paraId="3E445789" w14:textId="77777777" w:rsidR="00F5289E" w:rsidRDefault="00C91173">
      <w:pPr>
        <w:pStyle w:val="a9"/>
        <w:snapToGrid w:val="0"/>
        <w:spacing w:line="360" w:lineRule="auto"/>
        <w:ind w:firstLine="422"/>
        <w:jc w:val="center"/>
        <w:rPr>
          <w:rFonts w:hAnsi="宋体"/>
          <w:b/>
        </w:rPr>
      </w:pPr>
      <w:r>
        <w:rPr>
          <w:rFonts w:hAnsi="宋体" w:hint="eastAsia"/>
          <w:b/>
        </w:rPr>
        <w:t xml:space="preserve">第六章  </w:t>
      </w:r>
      <w:r>
        <w:rPr>
          <w:rFonts w:ascii="Times New Roman" w:hAnsi="Times New Roman" w:cs="Times New Roman"/>
          <w:b/>
          <w:color w:val="272C30"/>
        </w:rPr>
        <w:t>葡萄酒的品尝与餐饮搭配</w:t>
      </w:r>
    </w:p>
    <w:p w14:paraId="5EDEE6F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84F03B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color w:val="272C30"/>
        </w:rPr>
        <w:t>葡萄酒品尝的基本知识，品尝的定义、品酒的分类、品酒的要点、品酒的顺序、葡萄酒品尝的感官描述词汇。</w:t>
      </w:r>
    </w:p>
    <w:p w14:paraId="7A4E84F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color w:val="272C30"/>
        </w:rPr>
        <w:t>葡萄酒侍酒法：温酒、开瓶、换瓶、酒杯、礼仪、封瓶、配套用具，葡萄酒的选购和餐饮搭配。</w:t>
      </w:r>
    </w:p>
    <w:p w14:paraId="314F800C"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color w:val="272C30"/>
        </w:rPr>
        <w:t>葡萄酒品评前的准备，外观分析，香气分析，口感分析，白葡萄酒和红葡萄酒的品尝。</w:t>
      </w:r>
    </w:p>
    <w:p w14:paraId="51F02C7E"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5E7B957" w14:textId="77777777" w:rsidR="00F5289E" w:rsidRDefault="00C91173">
      <w:pPr>
        <w:snapToGrid w:val="0"/>
        <w:spacing w:line="360" w:lineRule="auto"/>
        <w:ind w:firstLineChars="200" w:firstLine="420"/>
        <w:rPr>
          <w:rFonts w:ascii="宋体" w:hAnsi="宋体"/>
          <w:bCs/>
          <w:color w:val="0000FF"/>
          <w:szCs w:val="21"/>
        </w:rPr>
      </w:pPr>
      <w:r>
        <w:rPr>
          <w:color w:val="272C30"/>
        </w:rPr>
        <w:t>葡萄酒品评鉴赏</w:t>
      </w:r>
      <w:r>
        <w:t>，</w:t>
      </w:r>
      <w:r>
        <w:rPr>
          <w:color w:val="272C30"/>
        </w:rPr>
        <w:t>葡萄酒品尝的感官描述</w:t>
      </w:r>
      <w:r>
        <w:rPr>
          <w:rFonts w:hint="eastAsia"/>
          <w:color w:val="272C30"/>
        </w:rPr>
        <w:t>。</w:t>
      </w:r>
    </w:p>
    <w:p w14:paraId="25BDF0BC"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2C923A2"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w:t>
      </w:r>
      <w:r>
        <w:rPr>
          <w:color w:val="272C30"/>
        </w:rPr>
        <w:t>葡萄酒品饮前的准备及注意事项</w:t>
      </w:r>
      <w:r>
        <w:rPr>
          <w:rFonts w:hint="eastAsia"/>
          <w:color w:val="272C30"/>
        </w:rPr>
        <w:t>。</w:t>
      </w:r>
    </w:p>
    <w:p w14:paraId="7968AE54"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w:t>
      </w:r>
      <w:r>
        <w:rPr>
          <w:color w:val="272C30"/>
        </w:rPr>
        <w:t>葡萄酒的开启，酒杯的选择</w:t>
      </w:r>
      <w:r>
        <w:rPr>
          <w:rFonts w:hint="eastAsia"/>
          <w:color w:val="272C30"/>
        </w:rPr>
        <w:t>。</w:t>
      </w:r>
    </w:p>
    <w:p w14:paraId="3FF4BA5D"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w:t>
      </w:r>
      <w:r>
        <w:rPr>
          <w:color w:val="272C30"/>
        </w:rPr>
        <w:t>葡萄酒侍酒法。</w:t>
      </w:r>
    </w:p>
    <w:p w14:paraId="2A9E5748"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4.分析：</w:t>
      </w:r>
      <w:r>
        <w:rPr>
          <w:color w:val="272C30"/>
        </w:rPr>
        <w:t>通过器官对葡萄酒的品质进行分析和鉴赏</w:t>
      </w:r>
      <w:r>
        <w:rPr>
          <w:rFonts w:hint="eastAsia"/>
          <w:color w:val="272C30"/>
        </w:rPr>
        <w:t>。</w:t>
      </w:r>
    </w:p>
    <w:p w14:paraId="1787224D"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5.综合</w:t>
      </w:r>
      <w:r>
        <w:rPr>
          <w:rFonts w:ascii="宋体" w:hAnsi="宋体" w:hint="eastAsia"/>
          <w:szCs w:val="21"/>
        </w:rPr>
        <w:t>：</w:t>
      </w:r>
      <w:r>
        <w:rPr>
          <w:rFonts w:hint="eastAsia"/>
          <w:color w:val="272C30"/>
        </w:rPr>
        <w:t>指导葡萄酒的选购和美食搭配。</w:t>
      </w:r>
    </w:p>
    <w:p w14:paraId="363B9FD7" w14:textId="77777777" w:rsidR="00F5289E" w:rsidRDefault="00C91173">
      <w:pPr>
        <w:pStyle w:val="a9"/>
        <w:snapToGrid w:val="0"/>
        <w:spacing w:line="360" w:lineRule="auto"/>
        <w:ind w:firstLineChars="200" w:firstLine="422"/>
        <w:rPr>
          <w:rFonts w:hAnsi="宋体"/>
          <w:b/>
        </w:rPr>
      </w:pPr>
      <w:r>
        <w:rPr>
          <w:rFonts w:hAnsi="宋体" w:hint="eastAsia"/>
          <w:b/>
        </w:rPr>
        <w:t>6.评价：</w:t>
      </w:r>
      <w:r>
        <w:rPr>
          <w:rFonts w:ascii="Times New Roman" w:hAnsi="Times New Roman" w:cs="Times New Roman" w:hint="eastAsia"/>
          <w:color w:val="272C30"/>
          <w:szCs w:val="24"/>
        </w:rPr>
        <w:t>学会盲评葡萄酒流程。</w:t>
      </w:r>
    </w:p>
    <w:p w14:paraId="286FD9F7" w14:textId="77777777" w:rsidR="00F5289E" w:rsidRDefault="00C91173">
      <w:pPr>
        <w:pStyle w:val="a9"/>
        <w:spacing w:line="360" w:lineRule="auto"/>
        <w:rPr>
          <w:b/>
          <w:bCs/>
        </w:rPr>
      </w:pPr>
      <w:r>
        <w:rPr>
          <w:rFonts w:hint="eastAsia"/>
          <w:b/>
          <w:bCs/>
        </w:rPr>
        <w:t>三、实验、实习教学部分的考核要求</w:t>
      </w:r>
    </w:p>
    <w:p w14:paraId="6609B0EB"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cs="宋体" w:hint="eastAsia"/>
          <w:bCs/>
          <w:kern w:val="0"/>
          <w:szCs w:val="21"/>
        </w:rPr>
        <w:t>无</w:t>
      </w:r>
    </w:p>
    <w:p w14:paraId="1CD51F8F" w14:textId="77777777" w:rsidR="00F5289E" w:rsidRDefault="00C91173">
      <w:pPr>
        <w:pStyle w:val="a9"/>
        <w:spacing w:line="360" w:lineRule="auto"/>
        <w:rPr>
          <w:b/>
          <w:bCs/>
        </w:rPr>
      </w:pPr>
      <w:r>
        <w:rPr>
          <w:rFonts w:hint="eastAsia"/>
          <w:b/>
          <w:bCs/>
        </w:rPr>
        <w:lastRenderedPageBreak/>
        <w:t>四、考核方式</w:t>
      </w:r>
    </w:p>
    <w:p w14:paraId="372871EA" w14:textId="77777777" w:rsidR="00F5289E" w:rsidRDefault="00C91173">
      <w:pPr>
        <w:widowControl/>
        <w:spacing w:line="360" w:lineRule="auto"/>
        <w:ind w:firstLineChars="200" w:firstLine="420"/>
        <w:rPr>
          <w:szCs w:val="21"/>
        </w:rPr>
      </w:pPr>
      <w:r>
        <w:rPr>
          <w:rFonts w:hint="eastAsia"/>
          <w:szCs w:val="21"/>
        </w:rPr>
        <w:t>教学评价不再唯分数论，以分数评价学生表现，综合考虑课堂表现、创新能力、动手能力等多重因素，更加注重过程性评价。利用现代信息技术手段，实施课堂教学动态评价，推进教学评价由结果评价向过程评价、硬性评价向弹性评价转变。建立学习效果多元评价机制，完善学业考核评价体系，鼓励学生通过参加竞赛活动、社会实践、科学研究、创新创业等获取学分。</w:t>
      </w:r>
    </w:p>
    <w:p w14:paraId="25A6E3FE" w14:textId="77777777" w:rsidR="00F5289E" w:rsidRDefault="00C91173">
      <w:pPr>
        <w:widowControl/>
        <w:spacing w:line="360" w:lineRule="auto"/>
        <w:ind w:firstLineChars="200" w:firstLine="420"/>
        <w:rPr>
          <w:szCs w:val="21"/>
        </w:rPr>
      </w:pPr>
      <w:r>
        <w:rPr>
          <w:rFonts w:hint="eastAsia"/>
          <w:szCs w:val="21"/>
        </w:rPr>
        <w:t>结合课堂提问、课后作业、平时测验、案例分析、实际操作训练、考试情况综合评价学生成绩。具体考核方案为：平时成绩</w:t>
      </w:r>
      <w:r>
        <w:rPr>
          <w:rFonts w:hint="eastAsia"/>
          <w:szCs w:val="21"/>
        </w:rPr>
        <w:t>100</w:t>
      </w:r>
      <w:r>
        <w:rPr>
          <w:rFonts w:hint="eastAsia"/>
          <w:szCs w:val="21"/>
        </w:rPr>
        <w:t>分，包含出勤情况及课堂表现</w:t>
      </w:r>
      <w:r>
        <w:rPr>
          <w:rFonts w:hint="eastAsia"/>
          <w:szCs w:val="21"/>
        </w:rPr>
        <w:t>20%</w:t>
      </w:r>
      <w:r>
        <w:rPr>
          <w:rFonts w:hint="eastAsia"/>
          <w:szCs w:val="21"/>
        </w:rPr>
        <w:t>，课堂实训</w:t>
      </w:r>
      <w:r>
        <w:rPr>
          <w:rFonts w:hint="eastAsia"/>
          <w:szCs w:val="21"/>
        </w:rPr>
        <w:t>40%</w:t>
      </w:r>
      <w:r>
        <w:rPr>
          <w:rFonts w:hint="eastAsia"/>
          <w:szCs w:val="21"/>
        </w:rPr>
        <w:t>，课后作业论文</w:t>
      </w:r>
      <w:r>
        <w:rPr>
          <w:rFonts w:hint="eastAsia"/>
          <w:szCs w:val="21"/>
        </w:rPr>
        <w:t>40%</w:t>
      </w:r>
      <w:r>
        <w:rPr>
          <w:rFonts w:hint="eastAsia"/>
          <w:szCs w:val="21"/>
        </w:rPr>
        <w:t>；期末终结性考核（论文）</w:t>
      </w:r>
      <w:r>
        <w:rPr>
          <w:rFonts w:hint="eastAsia"/>
          <w:szCs w:val="21"/>
        </w:rPr>
        <w:t>100</w:t>
      </w:r>
      <w:r>
        <w:rPr>
          <w:rFonts w:hint="eastAsia"/>
          <w:szCs w:val="21"/>
        </w:rPr>
        <w:t>分。</w:t>
      </w:r>
    </w:p>
    <w:p w14:paraId="0E8553C7" w14:textId="77777777" w:rsidR="00F5289E" w:rsidRDefault="00C91173">
      <w:pPr>
        <w:pStyle w:val="a9"/>
        <w:spacing w:line="360" w:lineRule="auto"/>
        <w:rPr>
          <w:b/>
          <w:bCs/>
        </w:rPr>
      </w:pPr>
      <w:r>
        <w:rPr>
          <w:rFonts w:hint="eastAsia"/>
          <w:b/>
          <w:bCs/>
        </w:rPr>
        <w:t>五、成绩评定</w:t>
      </w:r>
    </w:p>
    <w:p w14:paraId="2BEBBE3B"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szCs w:val="21"/>
        </w:rPr>
        <w:t>1.平时成绩</w:t>
      </w:r>
    </w:p>
    <w:p w14:paraId="0DED951C" w14:textId="77777777" w:rsidR="00F5289E" w:rsidRDefault="00C91173">
      <w:pPr>
        <w:snapToGrid w:val="0"/>
        <w:spacing w:line="360" w:lineRule="auto"/>
        <w:ind w:firstLineChars="200" w:firstLine="420"/>
        <w:rPr>
          <w:szCs w:val="21"/>
        </w:rPr>
      </w:pPr>
      <w:r>
        <w:rPr>
          <w:rFonts w:hint="eastAsia"/>
          <w:szCs w:val="21"/>
        </w:rPr>
        <w:t>平时成绩</w:t>
      </w:r>
      <w:r>
        <w:rPr>
          <w:rFonts w:hint="eastAsia"/>
          <w:szCs w:val="21"/>
        </w:rPr>
        <w:t>100</w:t>
      </w:r>
      <w:r>
        <w:rPr>
          <w:rFonts w:hint="eastAsia"/>
          <w:szCs w:val="21"/>
        </w:rPr>
        <w:t>分，包含出勤情况及课堂表现</w:t>
      </w:r>
      <w:r>
        <w:rPr>
          <w:rFonts w:hint="eastAsia"/>
          <w:szCs w:val="21"/>
        </w:rPr>
        <w:t>20%</w:t>
      </w:r>
      <w:r>
        <w:rPr>
          <w:rFonts w:hint="eastAsia"/>
          <w:szCs w:val="21"/>
        </w:rPr>
        <w:t>，课堂实训</w:t>
      </w:r>
      <w:r>
        <w:rPr>
          <w:rFonts w:hint="eastAsia"/>
          <w:szCs w:val="21"/>
        </w:rPr>
        <w:t>40%</w:t>
      </w:r>
      <w:r>
        <w:rPr>
          <w:rFonts w:hint="eastAsia"/>
          <w:szCs w:val="21"/>
        </w:rPr>
        <w:t>，课后作业论文</w:t>
      </w:r>
      <w:r>
        <w:rPr>
          <w:rFonts w:hint="eastAsia"/>
          <w:szCs w:val="21"/>
        </w:rPr>
        <w:t>40%.</w:t>
      </w:r>
    </w:p>
    <w:p w14:paraId="6E7E0512" w14:textId="77777777" w:rsidR="00F5289E" w:rsidRDefault="00C91173">
      <w:pPr>
        <w:snapToGrid w:val="0"/>
        <w:spacing w:line="360" w:lineRule="auto"/>
        <w:ind w:firstLineChars="200" w:firstLine="420"/>
        <w:rPr>
          <w:rFonts w:ascii="宋体" w:hAnsi="宋体"/>
          <w:color w:val="000000" w:themeColor="text1"/>
        </w:rPr>
      </w:pPr>
      <w:r>
        <w:rPr>
          <w:rFonts w:ascii="宋体" w:hAnsi="宋体" w:hint="eastAsia"/>
          <w:color w:val="000000" w:themeColor="text1"/>
        </w:rPr>
        <w:t>2.期末成绩</w:t>
      </w:r>
    </w:p>
    <w:p w14:paraId="739582B1" w14:textId="77777777" w:rsidR="00F5289E" w:rsidRDefault="00C91173">
      <w:pPr>
        <w:snapToGrid w:val="0"/>
        <w:spacing w:line="360" w:lineRule="auto"/>
        <w:ind w:firstLineChars="200" w:firstLine="420"/>
        <w:rPr>
          <w:szCs w:val="21"/>
        </w:rPr>
      </w:pPr>
      <w:r>
        <w:rPr>
          <w:rFonts w:hint="eastAsia"/>
          <w:szCs w:val="21"/>
        </w:rPr>
        <w:t>课程论文考核方式，占比</w:t>
      </w:r>
      <w:r>
        <w:rPr>
          <w:rFonts w:hint="eastAsia"/>
          <w:szCs w:val="21"/>
        </w:rPr>
        <w:t>50%</w:t>
      </w:r>
      <w:r>
        <w:rPr>
          <w:rFonts w:hint="eastAsia"/>
          <w:szCs w:val="21"/>
        </w:rPr>
        <w:t>。</w:t>
      </w:r>
    </w:p>
    <w:p w14:paraId="49C3A395"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3.综合成绩</w:t>
      </w:r>
    </w:p>
    <w:p w14:paraId="71675887" w14:textId="77777777" w:rsidR="00F5289E" w:rsidRDefault="00C91173">
      <w:pPr>
        <w:spacing w:line="360" w:lineRule="auto"/>
        <w:ind w:leftChars="200" w:left="420"/>
        <w:rPr>
          <w:szCs w:val="21"/>
        </w:rPr>
      </w:pPr>
      <w:r>
        <w:rPr>
          <w:szCs w:val="21"/>
        </w:rPr>
        <w:t>最终成绩满分</w:t>
      </w:r>
      <w:r>
        <w:rPr>
          <w:rFonts w:ascii="宋体" w:hAnsi="宋体"/>
          <w:szCs w:val="21"/>
        </w:rPr>
        <w:t>100</w:t>
      </w:r>
      <w:r>
        <w:rPr>
          <w:szCs w:val="21"/>
        </w:rPr>
        <w:t>分，由</w:t>
      </w:r>
      <w:r>
        <w:rPr>
          <w:rFonts w:hint="eastAsia"/>
          <w:szCs w:val="21"/>
        </w:rPr>
        <w:t>课程论文</w:t>
      </w:r>
      <w:r>
        <w:rPr>
          <w:szCs w:val="21"/>
        </w:rPr>
        <w:t>以及平时成绩两个部分组成：</w:t>
      </w:r>
      <w:r>
        <w:rPr>
          <w:rFonts w:hint="eastAsia"/>
          <w:szCs w:val="21"/>
        </w:rPr>
        <w:t>总成绩</w:t>
      </w:r>
      <w:r>
        <w:rPr>
          <w:rFonts w:hint="eastAsia"/>
          <w:szCs w:val="21"/>
        </w:rPr>
        <w:t>=</w:t>
      </w:r>
      <w:r>
        <w:rPr>
          <w:rFonts w:hint="eastAsia"/>
          <w:szCs w:val="21"/>
        </w:rPr>
        <w:t>平时成绩</w:t>
      </w:r>
      <w:r>
        <w:rPr>
          <w:rFonts w:hint="eastAsia"/>
          <w:szCs w:val="21"/>
        </w:rPr>
        <w:t xml:space="preserve"> 50</w:t>
      </w:r>
      <w:r>
        <w:rPr>
          <w:rFonts w:hint="eastAsia"/>
          <w:szCs w:val="21"/>
        </w:rPr>
        <w:t>％＋结课论文</w:t>
      </w:r>
      <w:r>
        <w:rPr>
          <w:rFonts w:hint="eastAsia"/>
          <w:szCs w:val="21"/>
        </w:rPr>
        <w:t xml:space="preserve"> 50</w:t>
      </w:r>
      <w:r>
        <w:rPr>
          <w:rFonts w:hint="eastAsia"/>
          <w:szCs w:val="21"/>
        </w:rPr>
        <w:t>％</w:t>
      </w:r>
      <w:r>
        <w:rPr>
          <w:szCs w:val="21"/>
        </w:rPr>
        <w:t>。</w:t>
      </w:r>
    </w:p>
    <w:p w14:paraId="24BC253C" w14:textId="77777777" w:rsidR="00F5289E" w:rsidRDefault="00C91173">
      <w:pPr>
        <w:pStyle w:val="a9"/>
        <w:spacing w:line="360" w:lineRule="auto"/>
        <w:rPr>
          <w:b/>
          <w:bCs/>
        </w:rPr>
      </w:pPr>
      <w:r>
        <w:rPr>
          <w:rFonts w:hint="eastAsia"/>
          <w:b/>
          <w:bCs/>
        </w:rPr>
        <w:t>六、考核结果分析反馈</w:t>
      </w:r>
    </w:p>
    <w:p w14:paraId="60ED41BE" w14:textId="77777777" w:rsidR="00F5289E" w:rsidRDefault="00C91173">
      <w:pPr>
        <w:snapToGrid w:val="0"/>
        <w:spacing w:line="360" w:lineRule="auto"/>
        <w:ind w:firstLineChars="200" w:firstLine="420"/>
        <w:rPr>
          <w:szCs w:val="21"/>
        </w:rPr>
      </w:pPr>
      <w:r>
        <w:rPr>
          <w:szCs w:val="21"/>
        </w:rPr>
        <w:t>建立多元化的考核评价结果反馈机制，制定考核结果反馈表，通过问卷调查的形式，征求学生对课程学习中遇到的问题，以及改进方式；积极实时的向学生反馈平时成绩、作业效果，以达成督促、鼓励的学习氛围；对优秀作业和报告进行展示，设立加分机制，促进课堂学习兴趣。</w:t>
      </w:r>
    </w:p>
    <w:p w14:paraId="08FFF2CA" w14:textId="77777777" w:rsidR="00F5289E" w:rsidRDefault="00C91173">
      <w:pPr>
        <w:widowControl/>
        <w:jc w:val="left"/>
        <w:rPr>
          <w:rFonts w:ascii="宋体" w:hAnsi="宋体" w:cs="宋体"/>
          <w:b/>
          <w:bCs/>
          <w:kern w:val="36"/>
          <w:sz w:val="28"/>
          <w:szCs w:val="28"/>
        </w:rPr>
      </w:pPr>
      <w:r>
        <w:rPr>
          <w:rFonts w:ascii="宋体" w:hAnsi="宋体" w:cs="宋体"/>
          <w:b/>
          <w:bCs/>
          <w:kern w:val="36"/>
          <w:sz w:val="28"/>
          <w:szCs w:val="28"/>
        </w:rPr>
        <w:br w:type="page"/>
      </w:r>
    </w:p>
    <w:p w14:paraId="5E11DDE9" w14:textId="77777777" w:rsidR="00F5289E" w:rsidRDefault="00C91173">
      <w:pPr>
        <w:pStyle w:val="1"/>
      </w:pPr>
      <w:bookmarkStart w:id="198" w:name="_Toc138606289"/>
      <w:r>
        <w:rPr>
          <w:rFonts w:hint="eastAsia"/>
        </w:rPr>
        <w:lastRenderedPageBreak/>
        <w:t>智慧园艺考核大纲</w:t>
      </w:r>
      <w:bookmarkEnd w:id="198"/>
    </w:p>
    <w:p w14:paraId="6E7B2C20" w14:textId="77777777" w:rsidR="00F5289E" w:rsidRDefault="00C91173">
      <w:pPr>
        <w:shd w:val="clear" w:color="auto" w:fill="FFFFFF"/>
        <w:spacing w:line="360" w:lineRule="auto"/>
        <w:ind w:right="369"/>
        <w:jc w:val="center"/>
        <w:rPr>
          <w:b/>
          <w:bCs/>
          <w:sz w:val="24"/>
        </w:rPr>
      </w:pPr>
      <w:r>
        <w:rPr>
          <w:rFonts w:ascii="宋体" w:hAnsi="宋体" w:hint="eastAsia"/>
          <w:sz w:val="24"/>
        </w:rPr>
        <w:t>（</w:t>
      </w:r>
      <w:r>
        <w:rPr>
          <w:rFonts w:hint="eastAsia"/>
          <w:sz w:val="24"/>
          <w:shd w:val="clear" w:color="auto" w:fill="FFFFFF"/>
        </w:rPr>
        <w:t>Intelligent Horticulture</w:t>
      </w:r>
      <w:r>
        <w:rPr>
          <w:sz w:val="24"/>
          <w:shd w:val="clear" w:color="auto" w:fill="FFFFFF"/>
        </w:rPr>
        <w:t>)</w:t>
      </w:r>
    </w:p>
    <w:p w14:paraId="0658CAD4" w14:textId="77777777" w:rsidR="00F5289E" w:rsidRDefault="00F5289E">
      <w:pPr>
        <w:widowControl/>
        <w:wordWrap w:val="0"/>
        <w:spacing w:before="120" w:after="120"/>
        <w:jc w:val="center"/>
        <w:outlineLvl w:val="0"/>
        <w:rPr>
          <w:rFonts w:eastAsia="黑体" w:hAnsi="宋体" w:cs="宋体"/>
          <w:b/>
          <w:bCs/>
          <w:kern w:val="36"/>
          <w:sz w:val="24"/>
        </w:rPr>
      </w:pPr>
    </w:p>
    <w:p w14:paraId="1769DC98"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6CFFEFE5" w14:textId="77777777">
        <w:tc>
          <w:tcPr>
            <w:tcW w:w="1666" w:type="pct"/>
          </w:tcPr>
          <w:p w14:paraId="534061D3"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hint="eastAsia"/>
                <w:szCs w:val="21"/>
              </w:rPr>
              <w:t xml:space="preserve">19011121 </w:t>
            </w:r>
          </w:p>
        </w:tc>
        <w:tc>
          <w:tcPr>
            <w:tcW w:w="1453" w:type="pct"/>
          </w:tcPr>
          <w:p w14:paraId="67F5B4BD"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szCs w:val="21"/>
              </w:rPr>
              <w:t>32</w:t>
            </w:r>
          </w:p>
        </w:tc>
        <w:tc>
          <w:tcPr>
            <w:tcW w:w="1881" w:type="pct"/>
          </w:tcPr>
          <w:p w14:paraId="5823B5BD"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szCs w:val="21"/>
              </w:rPr>
              <w:t>2</w:t>
            </w:r>
          </w:p>
        </w:tc>
      </w:tr>
      <w:tr w:rsidR="00F5289E" w14:paraId="367B73CA" w14:textId="77777777">
        <w:tc>
          <w:tcPr>
            <w:tcW w:w="1666" w:type="pct"/>
          </w:tcPr>
          <w:p w14:paraId="31A31509"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张涛</w:t>
            </w:r>
          </w:p>
        </w:tc>
        <w:tc>
          <w:tcPr>
            <w:tcW w:w="1453" w:type="pct"/>
          </w:tcPr>
          <w:p w14:paraId="586AC306"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董韩</w:t>
            </w:r>
          </w:p>
        </w:tc>
        <w:tc>
          <w:tcPr>
            <w:tcW w:w="1881" w:type="pct"/>
          </w:tcPr>
          <w:p w14:paraId="12C8A555"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szCs w:val="21"/>
              </w:rPr>
              <w:t>202</w:t>
            </w:r>
            <w:r w:rsidR="001B3040">
              <w:rPr>
                <w:rFonts w:ascii="宋体" w:hAnsi="宋体"/>
                <w:szCs w:val="21"/>
              </w:rPr>
              <w:t>3.05</w:t>
            </w:r>
          </w:p>
        </w:tc>
      </w:tr>
    </w:tbl>
    <w:p w14:paraId="3915D1EB" w14:textId="77777777" w:rsidR="00F5289E" w:rsidRDefault="00C91173">
      <w:pPr>
        <w:pStyle w:val="a9"/>
        <w:spacing w:line="360" w:lineRule="auto"/>
        <w:rPr>
          <w:b/>
          <w:bCs/>
        </w:rPr>
      </w:pPr>
      <w:r>
        <w:rPr>
          <w:rFonts w:hint="eastAsia"/>
          <w:b/>
          <w:bCs/>
        </w:rPr>
        <w:t>一、课程的性质和地位</w:t>
      </w:r>
    </w:p>
    <w:p w14:paraId="1522ED6E" w14:textId="77777777" w:rsidR="00F5289E" w:rsidRDefault="00C91173">
      <w:pPr>
        <w:snapToGrid w:val="0"/>
        <w:spacing w:line="360" w:lineRule="auto"/>
        <w:ind w:firstLineChars="200" w:firstLine="420"/>
        <w:rPr>
          <w:szCs w:val="21"/>
        </w:rPr>
      </w:pPr>
      <w:r>
        <w:rPr>
          <w:rFonts w:ascii="宋体" w:hAnsi="宋体" w:hint="eastAsia"/>
          <w:szCs w:val="21"/>
        </w:rPr>
        <w:t>《智慧园艺》</w:t>
      </w:r>
      <w:r>
        <w:rPr>
          <w:rFonts w:ascii="宋体" w:hAnsi="宋体"/>
          <w:szCs w:val="21"/>
        </w:rPr>
        <w:t>为</w:t>
      </w:r>
      <w:r>
        <w:rPr>
          <w:rFonts w:ascii="宋体" w:hAnsi="宋体" w:hint="eastAsia"/>
          <w:szCs w:val="21"/>
        </w:rPr>
        <w:t>园艺</w:t>
      </w:r>
      <w:r>
        <w:rPr>
          <w:rFonts w:ascii="宋体" w:hAnsi="宋体"/>
          <w:szCs w:val="21"/>
        </w:rPr>
        <w:t>专业的</w:t>
      </w:r>
      <w:r>
        <w:rPr>
          <w:rFonts w:ascii="宋体" w:hAnsi="宋体" w:hint="eastAsia"/>
          <w:szCs w:val="21"/>
        </w:rPr>
        <w:t>选修课、专业拓展</w:t>
      </w:r>
      <w:r>
        <w:rPr>
          <w:rFonts w:ascii="宋体" w:hAnsi="宋体"/>
          <w:szCs w:val="21"/>
        </w:rPr>
        <w:t>课。</w:t>
      </w:r>
      <w:r>
        <w:rPr>
          <w:rFonts w:ascii="宋体" w:hAnsi="宋体" w:hint="eastAsia"/>
          <w:szCs w:val="21"/>
        </w:rPr>
        <w:t>就是将</w:t>
      </w:r>
      <w:hyperlink r:id="rId29" w:tgtFrame="https://baike.baidu.com/item/%E6%99%BA%E6%85%A7%E5%86%9C%E4%B8%9A/_blank" w:history="1">
        <w:r>
          <w:rPr>
            <w:rFonts w:ascii="宋体" w:hAnsi="宋体" w:hint="eastAsia"/>
            <w:szCs w:val="21"/>
          </w:rPr>
          <w:t>物联网</w:t>
        </w:r>
      </w:hyperlink>
      <w:r>
        <w:rPr>
          <w:rFonts w:ascii="宋体" w:hAnsi="宋体" w:hint="eastAsia"/>
          <w:szCs w:val="21"/>
        </w:rPr>
        <w:t>技术运用到传统园艺产业中去，运用传感器和软件通过移动平台或者电脑平台对园艺生产进行控制，使传统园艺产业更具有“智慧”，主要内容包括智慧园艺概况、智慧园艺育种、园艺大数据、园艺物联网、园艺植物智慧生产技术、园艺信息服务及智能化装备，为学生将从事园艺作物现代化栽培生产实践打下基础</w:t>
      </w:r>
      <w:r>
        <w:rPr>
          <w:rFonts w:ascii="宋体" w:hAnsi="宋体"/>
          <w:szCs w:val="21"/>
        </w:rPr>
        <w:t>，</w:t>
      </w:r>
      <w:r>
        <w:rPr>
          <w:rFonts w:ascii="宋体" w:hAnsi="宋体" w:hint="eastAsia"/>
          <w:szCs w:val="21"/>
        </w:rPr>
        <w:t>因此</w:t>
      </w:r>
      <w:r>
        <w:rPr>
          <w:rFonts w:ascii="宋体" w:hAnsi="宋体"/>
          <w:szCs w:val="21"/>
        </w:rPr>
        <w:t>有必要开始</w:t>
      </w:r>
      <w:r>
        <w:rPr>
          <w:rFonts w:ascii="宋体" w:hAnsi="宋体" w:hint="eastAsia"/>
          <w:szCs w:val="21"/>
        </w:rPr>
        <w:t>《智慧园艺》这门选修课</w:t>
      </w:r>
      <w:r>
        <w:rPr>
          <w:rFonts w:ascii="宋体" w:hAnsi="宋体"/>
          <w:szCs w:val="21"/>
        </w:rPr>
        <w:t>。</w:t>
      </w:r>
    </w:p>
    <w:p w14:paraId="77FB4C41"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7EA95BC3" w14:textId="77777777" w:rsidR="00F5289E" w:rsidRDefault="00C91173">
      <w:pPr>
        <w:spacing w:line="360" w:lineRule="auto"/>
        <w:ind w:firstLineChars="200" w:firstLine="420"/>
        <w:rPr>
          <w:szCs w:val="21"/>
        </w:rPr>
      </w:pPr>
      <w:r>
        <w:rPr>
          <w:rFonts w:ascii="宋体" w:hAnsi="宋体"/>
          <w:szCs w:val="21"/>
        </w:rPr>
        <w:t>主要考核学生对该门可课程基本理论、基本知识和核心技术的掌握状况</w:t>
      </w:r>
    </w:p>
    <w:p w14:paraId="4232354F" w14:textId="77777777" w:rsidR="00F5289E" w:rsidRDefault="00C91173">
      <w:pPr>
        <w:snapToGrid w:val="0"/>
        <w:spacing w:line="360" w:lineRule="auto"/>
        <w:ind w:firstLineChars="49" w:firstLine="103"/>
        <w:jc w:val="center"/>
        <w:rPr>
          <w:b/>
          <w:bCs/>
          <w:szCs w:val="21"/>
        </w:rPr>
      </w:pPr>
      <w:r>
        <w:rPr>
          <w:rFonts w:ascii="宋体" w:hAnsi="宋体" w:hint="eastAsia"/>
          <w:b/>
          <w:szCs w:val="21"/>
        </w:rPr>
        <w:t xml:space="preserve">第一章  </w:t>
      </w:r>
      <w:r>
        <w:rPr>
          <w:rFonts w:ascii="宋体" w:hAnsi="宋体"/>
          <w:b/>
          <w:bCs/>
        </w:rPr>
        <w:t>绪论</w:t>
      </w:r>
    </w:p>
    <w:p w14:paraId="1B34001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4F3B3B7" w14:textId="77777777" w:rsidR="00F5289E" w:rsidRDefault="00C91173">
      <w:pPr>
        <w:snapToGrid w:val="0"/>
        <w:spacing w:beforeLines="50" w:before="156" w:line="360" w:lineRule="auto"/>
        <w:ind w:firstLineChars="200" w:firstLine="422"/>
        <w:rPr>
          <w:rFonts w:ascii="宋体" w:hAnsi="宋体"/>
          <w:color w:val="000000"/>
          <w:szCs w:val="21"/>
        </w:rPr>
      </w:pPr>
      <w:r>
        <w:rPr>
          <w:rFonts w:ascii="宋体" w:hAnsi="宋体" w:hint="eastAsia"/>
          <w:b/>
          <w:szCs w:val="21"/>
        </w:rPr>
        <w:t>1. 一般了解</w:t>
      </w:r>
      <w:r>
        <w:rPr>
          <w:rFonts w:ascii="宋体" w:hAnsi="宋体" w:hint="eastAsia"/>
          <w:color w:val="000000"/>
          <w:szCs w:val="21"/>
        </w:rPr>
        <w:t>：</w:t>
      </w:r>
      <w:r>
        <w:rPr>
          <w:rFonts w:ascii="宋体" w:hAnsi="宋体" w:hint="eastAsia"/>
          <w:color w:val="262600"/>
        </w:rPr>
        <w:t>智慧园艺国内外发展现状与未来发展趋势</w:t>
      </w:r>
      <w:r>
        <w:rPr>
          <w:rFonts w:ascii="宋体" w:hAnsi="宋体" w:hint="eastAsia"/>
          <w:bCs/>
          <w:color w:val="000000"/>
          <w:szCs w:val="21"/>
        </w:rPr>
        <w:t>。</w:t>
      </w:r>
    </w:p>
    <w:p w14:paraId="04425305" w14:textId="77777777" w:rsidR="00F5289E" w:rsidRDefault="00C91173">
      <w:pPr>
        <w:snapToGrid w:val="0"/>
        <w:spacing w:beforeLines="50" w:before="156" w:line="360" w:lineRule="auto"/>
        <w:ind w:firstLineChars="200" w:firstLine="422"/>
        <w:rPr>
          <w:rFonts w:ascii="宋体" w:hAnsi="宋体"/>
          <w:bCs/>
          <w:color w:val="000000"/>
          <w:szCs w:val="21"/>
        </w:rPr>
      </w:pPr>
      <w:r>
        <w:rPr>
          <w:rFonts w:ascii="宋体" w:hAnsi="宋体" w:hint="eastAsia"/>
          <w:b/>
          <w:color w:val="000000"/>
          <w:szCs w:val="21"/>
        </w:rPr>
        <w:t>2. 一般掌握</w:t>
      </w:r>
      <w:r>
        <w:rPr>
          <w:rFonts w:ascii="宋体" w:hAnsi="宋体" w:hint="eastAsia"/>
          <w:color w:val="000000"/>
          <w:szCs w:val="21"/>
        </w:rPr>
        <w:t>：</w:t>
      </w:r>
      <w:r>
        <w:rPr>
          <w:rFonts w:ascii="宋体" w:hAnsi="宋体" w:hint="eastAsia"/>
          <w:color w:val="262600"/>
        </w:rPr>
        <w:t>智慧园艺关键技术内容及特点</w:t>
      </w:r>
      <w:r>
        <w:rPr>
          <w:rFonts w:ascii="宋体" w:hAnsi="宋体" w:hint="eastAsia"/>
          <w:bCs/>
          <w:color w:val="000000"/>
          <w:szCs w:val="21"/>
        </w:rPr>
        <w:t>。</w:t>
      </w:r>
    </w:p>
    <w:p w14:paraId="7F778AA1" w14:textId="77777777" w:rsidR="00F5289E" w:rsidRDefault="00C91173">
      <w:pPr>
        <w:snapToGrid w:val="0"/>
        <w:spacing w:beforeLines="50" w:before="156" w:line="360" w:lineRule="auto"/>
        <w:ind w:firstLineChars="200" w:firstLine="422"/>
        <w:rPr>
          <w:rFonts w:ascii="宋体" w:hAnsi="宋体"/>
          <w:color w:val="000000"/>
          <w:szCs w:val="21"/>
        </w:rPr>
      </w:pPr>
      <w:r>
        <w:rPr>
          <w:rFonts w:ascii="宋体" w:hAnsi="宋体" w:hint="eastAsia"/>
          <w:b/>
          <w:color w:val="000000"/>
          <w:szCs w:val="21"/>
        </w:rPr>
        <w:t>3. 熟练掌握</w:t>
      </w:r>
      <w:r>
        <w:rPr>
          <w:rFonts w:ascii="宋体" w:hAnsi="宋体" w:hint="eastAsia"/>
          <w:color w:val="000000"/>
          <w:szCs w:val="21"/>
        </w:rPr>
        <w:t>：</w:t>
      </w:r>
      <w:r>
        <w:rPr>
          <w:rFonts w:ascii="宋体" w:hAnsi="宋体" w:hint="eastAsia"/>
          <w:color w:val="262600"/>
        </w:rPr>
        <w:t>智慧园艺的概念，与传统农业的区别</w:t>
      </w:r>
      <w:r>
        <w:rPr>
          <w:rFonts w:ascii="宋体" w:hAnsi="宋体" w:hint="eastAsia"/>
          <w:bCs/>
          <w:color w:val="000000"/>
          <w:szCs w:val="21"/>
        </w:rPr>
        <w:t>。</w:t>
      </w:r>
    </w:p>
    <w:p w14:paraId="280E3BF3"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51E9DB0" w14:textId="77777777" w:rsidR="00F5289E" w:rsidRDefault="00C91173">
      <w:pPr>
        <w:snapToGrid w:val="0"/>
        <w:spacing w:beforeLines="50" w:before="156" w:line="360" w:lineRule="auto"/>
        <w:ind w:firstLineChars="200" w:firstLine="420"/>
        <w:rPr>
          <w:rFonts w:ascii="宋体" w:hAnsi="宋体"/>
          <w:bCs/>
          <w:color w:val="000000"/>
          <w:szCs w:val="21"/>
        </w:rPr>
      </w:pPr>
      <w:r>
        <w:rPr>
          <w:rFonts w:ascii="宋体" w:hAnsi="宋体" w:hint="eastAsia"/>
          <w:bCs/>
          <w:color w:val="000000"/>
          <w:szCs w:val="21"/>
        </w:rPr>
        <w:t>知识：</w:t>
      </w:r>
      <w:r>
        <w:rPr>
          <w:rFonts w:ascii="宋体" w:hAnsi="宋体" w:hint="eastAsia"/>
          <w:color w:val="262600"/>
        </w:rPr>
        <w:t>智慧园艺关键技术内容及特点。</w:t>
      </w:r>
    </w:p>
    <w:p w14:paraId="42943C8F" w14:textId="77777777" w:rsidR="00F5289E" w:rsidRDefault="00C91173">
      <w:pPr>
        <w:snapToGrid w:val="0"/>
        <w:spacing w:beforeLines="50" w:before="156" w:line="360" w:lineRule="auto"/>
        <w:ind w:firstLineChars="200" w:firstLine="420"/>
        <w:rPr>
          <w:rFonts w:ascii="宋体" w:hAnsi="宋体"/>
          <w:bCs/>
          <w:color w:val="000000"/>
          <w:szCs w:val="21"/>
        </w:rPr>
      </w:pPr>
      <w:r>
        <w:rPr>
          <w:rFonts w:ascii="宋体" w:hAnsi="宋体" w:hint="eastAsia"/>
          <w:bCs/>
          <w:color w:val="000000"/>
          <w:szCs w:val="21"/>
        </w:rPr>
        <w:t>能力和素质：智慧园艺的概念、类型和作用。</w:t>
      </w:r>
    </w:p>
    <w:p w14:paraId="4BE408B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62E913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w:t>
      </w:r>
      <w:r>
        <w:rPr>
          <w:rFonts w:ascii="宋体" w:hAnsi="宋体" w:hint="eastAsia"/>
          <w:color w:val="262600"/>
        </w:rPr>
        <w:t>智慧园艺关键技术内容</w:t>
      </w:r>
      <w:r>
        <w:rPr>
          <w:rFonts w:ascii="宋体" w:hAnsi="宋体" w:hint="eastAsia"/>
          <w:szCs w:val="21"/>
        </w:rPr>
        <w:t>。</w:t>
      </w:r>
    </w:p>
    <w:p w14:paraId="438500A8"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color w:val="000000"/>
          <w:szCs w:val="21"/>
        </w:rPr>
        <w:t>智慧园艺</w:t>
      </w:r>
      <w:r>
        <w:rPr>
          <w:rFonts w:ascii="宋体" w:hAnsi="宋体" w:hint="eastAsia"/>
          <w:bCs/>
          <w:color w:val="000000"/>
          <w:szCs w:val="21"/>
        </w:rPr>
        <w:t>概念。</w:t>
      </w:r>
    </w:p>
    <w:p w14:paraId="60771089" w14:textId="77777777" w:rsidR="00F5289E" w:rsidRDefault="00C91173">
      <w:pPr>
        <w:spacing w:line="360" w:lineRule="auto"/>
        <w:ind w:firstLineChars="200" w:firstLine="422"/>
        <w:jc w:val="center"/>
        <w:rPr>
          <w:color w:val="262600"/>
          <w:szCs w:val="21"/>
        </w:rPr>
      </w:pPr>
      <w:r>
        <w:rPr>
          <w:rFonts w:ascii="宋体" w:hAnsi="宋体"/>
          <w:b/>
          <w:bCs/>
          <w:color w:val="262600"/>
          <w:szCs w:val="21"/>
        </w:rPr>
        <w:t>第二章</w:t>
      </w:r>
      <w:r>
        <w:rPr>
          <w:b/>
          <w:bCs/>
          <w:color w:val="262600"/>
          <w:szCs w:val="21"/>
        </w:rPr>
        <w:t xml:space="preserve">  </w:t>
      </w:r>
      <w:r>
        <w:rPr>
          <w:rFonts w:hint="eastAsia"/>
          <w:b/>
          <w:bCs/>
        </w:rPr>
        <w:t>园艺产业模拟模型技术及其应用</w:t>
      </w:r>
    </w:p>
    <w:p w14:paraId="52C23A00"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037F0DD"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hint="eastAsia"/>
          <w:color w:val="262600"/>
        </w:rPr>
        <w:t>在园艺产业科学研究与生产中运用模拟模型技术</w:t>
      </w:r>
      <w:r>
        <w:rPr>
          <w:rFonts w:ascii="宋体" w:hAnsi="宋体" w:hint="eastAsia"/>
          <w:szCs w:val="21"/>
        </w:rPr>
        <w:t>。</w:t>
      </w:r>
    </w:p>
    <w:p w14:paraId="7D20001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lastRenderedPageBreak/>
        <w:t>2. 一般掌握：</w:t>
      </w:r>
      <w:r>
        <w:rPr>
          <w:rFonts w:hint="eastAsia"/>
          <w:color w:val="262600"/>
        </w:rPr>
        <w:t>园艺产业模拟模型基本作用、原理和方法</w:t>
      </w:r>
      <w:r>
        <w:rPr>
          <w:rFonts w:ascii="宋体" w:hAnsi="宋体" w:hint="eastAsia"/>
          <w:szCs w:val="21"/>
        </w:rPr>
        <w:t>。</w:t>
      </w:r>
    </w:p>
    <w:p w14:paraId="4FB12A5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3. 熟练掌握：</w:t>
      </w:r>
      <w:r>
        <w:rPr>
          <w:rFonts w:hint="eastAsia"/>
          <w:color w:val="262600"/>
        </w:rPr>
        <w:t>园艺产业模拟模型基本概念</w:t>
      </w:r>
      <w:r>
        <w:rPr>
          <w:rFonts w:ascii="宋体" w:hAnsi="宋体"/>
          <w:szCs w:val="21"/>
        </w:rPr>
        <w:t>。</w:t>
      </w:r>
    </w:p>
    <w:p w14:paraId="5AB2DAC5"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A7F9F1F"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知识：</w:t>
      </w:r>
      <w:r>
        <w:rPr>
          <w:rFonts w:hint="eastAsia"/>
          <w:color w:val="262600"/>
        </w:rPr>
        <w:t>园艺产业模拟模型基本概念、作用、原理和方法</w:t>
      </w:r>
      <w:r>
        <w:rPr>
          <w:rFonts w:ascii="宋体" w:hAnsi="宋体"/>
          <w:szCs w:val="21"/>
        </w:rPr>
        <w:t>。</w:t>
      </w:r>
    </w:p>
    <w:p w14:paraId="2D081CCA" w14:textId="77777777" w:rsidR="00F5289E" w:rsidRDefault="00C91173">
      <w:pPr>
        <w:snapToGrid w:val="0"/>
        <w:spacing w:line="360" w:lineRule="auto"/>
        <w:ind w:firstLineChars="200" w:firstLine="420"/>
        <w:rPr>
          <w:szCs w:val="21"/>
        </w:rPr>
      </w:pPr>
      <w:r>
        <w:rPr>
          <w:rFonts w:ascii="宋体" w:hAnsi="宋体" w:hint="eastAsia"/>
          <w:szCs w:val="21"/>
        </w:rPr>
        <w:t>能力和素质：</w:t>
      </w:r>
      <w:r>
        <w:rPr>
          <w:rFonts w:hint="eastAsia"/>
          <w:color w:val="262600"/>
        </w:rPr>
        <w:t>在园艺产业科学研究与生产中运用模拟模型技术</w:t>
      </w:r>
      <w:r>
        <w:rPr>
          <w:rFonts w:ascii="宋体" w:hAnsi="宋体" w:hint="eastAsia"/>
          <w:szCs w:val="21"/>
        </w:rPr>
        <w:t>。</w:t>
      </w:r>
    </w:p>
    <w:p w14:paraId="2B453186"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1889A7B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1、识记：</w:t>
      </w:r>
      <w:r>
        <w:rPr>
          <w:rFonts w:hint="eastAsia"/>
          <w:color w:val="262600"/>
        </w:rPr>
        <w:t>园艺产业模拟模型基本概念</w:t>
      </w:r>
      <w:r>
        <w:rPr>
          <w:rFonts w:ascii="宋体" w:hAnsi="宋体" w:hint="eastAsia"/>
          <w:szCs w:val="21"/>
        </w:rPr>
        <w:t>。</w:t>
      </w:r>
    </w:p>
    <w:p w14:paraId="73F4D121"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2、领会：</w:t>
      </w:r>
      <w:r>
        <w:rPr>
          <w:rFonts w:hint="eastAsia"/>
          <w:color w:val="262600"/>
        </w:rPr>
        <w:t>园艺产业模拟模型基本作用、原理和方法</w:t>
      </w:r>
      <w:r>
        <w:rPr>
          <w:rFonts w:ascii="宋体" w:hAnsi="宋体" w:hint="eastAsia"/>
          <w:szCs w:val="21"/>
        </w:rPr>
        <w:t>。</w:t>
      </w:r>
    </w:p>
    <w:p w14:paraId="1207C62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3、简单应用：</w:t>
      </w:r>
      <w:r>
        <w:rPr>
          <w:rFonts w:hint="eastAsia"/>
          <w:color w:val="262600"/>
        </w:rPr>
        <w:t>模拟模型技术在园艺产业科学研究与生产中运用</w:t>
      </w:r>
      <w:r>
        <w:rPr>
          <w:rFonts w:ascii="宋体" w:hAnsi="宋体" w:hint="eastAsia"/>
          <w:szCs w:val="21"/>
        </w:rPr>
        <w:t>。</w:t>
      </w:r>
    </w:p>
    <w:p w14:paraId="4F4A17BE"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第三章</w:t>
      </w:r>
      <w:r>
        <w:rPr>
          <w:b/>
          <w:bCs/>
          <w:color w:val="262600"/>
          <w:szCs w:val="21"/>
        </w:rPr>
        <w:t xml:space="preserve">  </w:t>
      </w:r>
      <w:r>
        <w:rPr>
          <w:rFonts w:hint="eastAsia"/>
          <w:b/>
          <w:bCs/>
          <w:color w:val="262600"/>
        </w:rPr>
        <w:t>园艺产业决策支持系统</w:t>
      </w:r>
    </w:p>
    <w:p w14:paraId="687DAFBC"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38CBA5B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hint="eastAsia"/>
          <w:color w:val="262600"/>
        </w:rPr>
        <w:t>园艺产业模拟模型与专家系统耦合的方法</w:t>
      </w:r>
      <w:r>
        <w:rPr>
          <w:rFonts w:ascii="宋体" w:hAnsi="宋体" w:hint="eastAsia"/>
          <w:szCs w:val="21"/>
        </w:rPr>
        <w:t>。</w:t>
      </w:r>
    </w:p>
    <w:p w14:paraId="77A18FA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2. 一般掌握：</w:t>
      </w:r>
      <w:r>
        <w:rPr>
          <w:rFonts w:hint="eastAsia"/>
          <w:color w:val="262600"/>
        </w:rPr>
        <w:t>园艺产业专家系统、园艺产业决策支持系统的作用、构建方法</w:t>
      </w:r>
      <w:r>
        <w:rPr>
          <w:rFonts w:ascii="宋体" w:hAnsi="宋体" w:hint="eastAsia"/>
          <w:szCs w:val="21"/>
        </w:rPr>
        <w:t>。</w:t>
      </w:r>
    </w:p>
    <w:p w14:paraId="0C111DFD"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3. 熟练掌握：</w:t>
      </w:r>
      <w:r>
        <w:rPr>
          <w:rFonts w:hint="eastAsia"/>
          <w:color w:val="262600"/>
        </w:rPr>
        <w:t>园艺产业专家系统、园艺产业决策支持系统的基本概念</w:t>
      </w:r>
      <w:r>
        <w:rPr>
          <w:rFonts w:ascii="宋体" w:hAnsi="宋体" w:hint="eastAsia"/>
          <w:szCs w:val="21"/>
        </w:rPr>
        <w:t>。</w:t>
      </w:r>
    </w:p>
    <w:p w14:paraId="07B8336D"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0999F22" w14:textId="77777777" w:rsidR="00F5289E" w:rsidRDefault="00C91173">
      <w:pPr>
        <w:snapToGrid w:val="0"/>
        <w:spacing w:line="360" w:lineRule="auto"/>
        <w:ind w:firstLineChars="200" w:firstLine="420"/>
        <w:rPr>
          <w:rFonts w:ascii="宋体" w:hAnsi="宋体"/>
          <w:szCs w:val="21"/>
        </w:rPr>
      </w:pPr>
      <w:r>
        <w:rPr>
          <w:rFonts w:ascii="宋体" w:hAnsi="宋体" w:hint="eastAsia"/>
          <w:color w:val="262600"/>
          <w:szCs w:val="21"/>
        </w:rPr>
        <w:t>知识：</w:t>
      </w:r>
      <w:r>
        <w:rPr>
          <w:rFonts w:hint="eastAsia"/>
          <w:color w:val="262600"/>
        </w:rPr>
        <w:t>园艺产业专家系统、园艺产业决策支持系统的基本概念</w:t>
      </w:r>
      <w:r>
        <w:rPr>
          <w:rFonts w:ascii="宋体" w:hAnsi="宋体"/>
          <w:szCs w:val="21"/>
        </w:rPr>
        <w:t>。</w:t>
      </w:r>
    </w:p>
    <w:p w14:paraId="607AC094" w14:textId="77777777" w:rsidR="00F5289E" w:rsidRDefault="00C91173">
      <w:pPr>
        <w:snapToGrid w:val="0"/>
        <w:spacing w:line="360" w:lineRule="auto"/>
        <w:ind w:firstLineChars="200" w:firstLine="420"/>
        <w:rPr>
          <w:szCs w:val="21"/>
        </w:rPr>
      </w:pPr>
      <w:r>
        <w:rPr>
          <w:rFonts w:ascii="宋体" w:hAnsi="宋体" w:hint="eastAsia"/>
          <w:szCs w:val="21"/>
        </w:rPr>
        <w:t>能力和素质：</w:t>
      </w:r>
      <w:r>
        <w:rPr>
          <w:rFonts w:hint="eastAsia"/>
          <w:color w:val="262600"/>
        </w:rPr>
        <w:t>园艺产业模拟模型与专家系统耦合的方法</w:t>
      </w:r>
      <w:r>
        <w:rPr>
          <w:rFonts w:ascii="宋体" w:hAnsi="宋体" w:hint="eastAsia"/>
          <w:szCs w:val="21"/>
        </w:rPr>
        <w:t>。</w:t>
      </w:r>
    </w:p>
    <w:p w14:paraId="603AD6D0"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4C4FDCBA" w14:textId="77777777" w:rsidR="00F5289E" w:rsidRDefault="00C91173">
      <w:pPr>
        <w:snapToGrid w:val="0"/>
        <w:spacing w:line="360" w:lineRule="auto"/>
        <w:ind w:firstLineChars="300" w:firstLine="632"/>
        <w:rPr>
          <w:b/>
          <w:bCs/>
          <w:szCs w:val="21"/>
        </w:rPr>
      </w:pPr>
      <w:r>
        <w:rPr>
          <w:b/>
          <w:bCs/>
          <w:szCs w:val="21"/>
        </w:rPr>
        <w:t>1</w:t>
      </w:r>
      <w:r>
        <w:rPr>
          <w:rFonts w:ascii="宋体" w:hAnsi="宋体"/>
          <w:b/>
          <w:bCs/>
          <w:szCs w:val="21"/>
        </w:rPr>
        <w:t>、识记</w:t>
      </w:r>
      <w:r>
        <w:rPr>
          <w:rFonts w:ascii="宋体" w:hAnsi="宋体"/>
          <w:szCs w:val="21"/>
        </w:rPr>
        <w:t>：</w:t>
      </w:r>
      <w:r>
        <w:rPr>
          <w:rFonts w:hint="eastAsia"/>
          <w:color w:val="262600"/>
        </w:rPr>
        <w:t>园艺产业专家系统、园艺产业决策支持系统的基本概念</w:t>
      </w:r>
      <w:r>
        <w:rPr>
          <w:rFonts w:ascii="宋体" w:hAnsi="宋体" w:hint="eastAsia"/>
          <w:szCs w:val="21"/>
        </w:rPr>
        <w:t>。</w:t>
      </w:r>
    </w:p>
    <w:p w14:paraId="2ED3AC61" w14:textId="77777777" w:rsidR="00F5289E" w:rsidRDefault="00C91173">
      <w:pPr>
        <w:snapToGrid w:val="0"/>
        <w:spacing w:line="360" w:lineRule="auto"/>
        <w:ind w:firstLineChars="300" w:firstLine="632"/>
        <w:rPr>
          <w:b/>
          <w:bCs/>
          <w:szCs w:val="21"/>
        </w:rPr>
      </w:pPr>
      <w:r>
        <w:rPr>
          <w:b/>
          <w:bCs/>
          <w:szCs w:val="21"/>
        </w:rPr>
        <w:t>2</w:t>
      </w:r>
      <w:r>
        <w:rPr>
          <w:rFonts w:ascii="宋体" w:hAnsi="宋体"/>
          <w:b/>
          <w:bCs/>
          <w:szCs w:val="21"/>
        </w:rPr>
        <w:t>、领会</w:t>
      </w:r>
      <w:r>
        <w:rPr>
          <w:rFonts w:ascii="宋体" w:hAnsi="宋体"/>
          <w:szCs w:val="21"/>
        </w:rPr>
        <w:t>：</w:t>
      </w:r>
      <w:r>
        <w:rPr>
          <w:rFonts w:hint="eastAsia"/>
          <w:color w:val="262600"/>
        </w:rPr>
        <w:t>园艺产业专家系统、园艺产业决策支持系统的作用、构建方法</w:t>
      </w:r>
      <w:r>
        <w:rPr>
          <w:rFonts w:ascii="宋体" w:hAnsi="宋体" w:hint="eastAsia"/>
          <w:color w:val="262600"/>
          <w:szCs w:val="21"/>
        </w:rPr>
        <w:t>。</w:t>
      </w:r>
    </w:p>
    <w:p w14:paraId="0988D2CB" w14:textId="77777777" w:rsidR="00F5289E" w:rsidRDefault="00C91173">
      <w:pPr>
        <w:snapToGrid w:val="0"/>
        <w:spacing w:line="360" w:lineRule="auto"/>
        <w:ind w:firstLineChars="300" w:firstLine="632"/>
        <w:rPr>
          <w:b/>
          <w:bCs/>
          <w:szCs w:val="21"/>
        </w:rPr>
      </w:pPr>
      <w:r>
        <w:rPr>
          <w:b/>
          <w:bCs/>
          <w:szCs w:val="21"/>
        </w:rPr>
        <w:t>3</w:t>
      </w:r>
      <w:r>
        <w:rPr>
          <w:rFonts w:ascii="宋体" w:hAnsi="宋体"/>
          <w:b/>
          <w:bCs/>
          <w:szCs w:val="21"/>
        </w:rPr>
        <w:t>、应用</w:t>
      </w:r>
      <w:r>
        <w:rPr>
          <w:rFonts w:ascii="宋体" w:hAnsi="宋体"/>
          <w:szCs w:val="21"/>
        </w:rPr>
        <w:t>：</w:t>
      </w:r>
      <w:r>
        <w:rPr>
          <w:rFonts w:hint="eastAsia"/>
          <w:color w:val="262600"/>
        </w:rPr>
        <w:t>园艺产业模拟模型与专家系统耦合的方法</w:t>
      </w:r>
      <w:r>
        <w:rPr>
          <w:rFonts w:ascii="宋体" w:hAnsi="宋体" w:hint="eastAsia"/>
          <w:szCs w:val="21"/>
        </w:rPr>
        <w:t>。</w:t>
      </w:r>
    </w:p>
    <w:p w14:paraId="610B6925"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第四章</w:t>
      </w:r>
      <w:r>
        <w:rPr>
          <w:b/>
          <w:bCs/>
          <w:color w:val="262600"/>
          <w:szCs w:val="21"/>
        </w:rPr>
        <w:t xml:space="preserve">  </w:t>
      </w:r>
      <w:r>
        <w:rPr>
          <w:rFonts w:hint="eastAsia"/>
          <w:b/>
          <w:color w:val="262600"/>
        </w:rPr>
        <w:t>智慧园艺育种</w:t>
      </w:r>
      <w:r>
        <w:rPr>
          <w:b/>
          <w:color w:val="262600"/>
        </w:rPr>
        <w:t>技术</w:t>
      </w:r>
    </w:p>
    <w:p w14:paraId="0DCDA183"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24B9D5BD" w14:textId="77777777" w:rsidR="00F5289E" w:rsidRDefault="00C91173">
      <w:pPr>
        <w:snapToGrid w:val="0"/>
        <w:spacing w:line="360" w:lineRule="auto"/>
        <w:ind w:firstLineChars="300" w:firstLine="632"/>
        <w:rPr>
          <w:szCs w:val="21"/>
        </w:rPr>
      </w:pPr>
      <w:r>
        <w:rPr>
          <w:b/>
          <w:bCs/>
          <w:szCs w:val="21"/>
        </w:rPr>
        <w:t xml:space="preserve">1. </w:t>
      </w:r>
      <w:r>
        <w:rPr>
          <w:rFonts w:ascii="宋体" w:hAnsi="宋体"/>
          <w:b/>
          <w:bCs/>
          <w:szCs w:val="21"/>
        </w:rPr>
        <w:t>一般了解</w:t>
      </w:r>
      <w:r>
        <w:rPr>
          <w:rFonts w:ascii="宋体" w:hAnsi="宋体"/>
          <w:szCs w:val="21"/>
        </w:rPr>
        <w:t>：</w:t>
      </w:r>
      <w:r>
        <w:rPr>
          <w:rFonts w:hint="eastAsia"/>
          <w:color w:val="262600"/>
        </w:rPr>
        <w:t>智慧园艺育种采用的云计算技术等</w:t>
      </w:r>
      <w:r>
        <w:rPr>
          <w:rFonts w:ascii="宋体" w:hAnsi="宋体" w:hint="eastAsia"/>
          <w:color w:val="262600"/>
          <w:szCs w:val="21"/>
        </w:rPr>
        <w:t>。</w:t>
      </w:r>
    </w:p>
    <w:p w14:paraId="08498184" w14:textId="77777777" w:rsidR="00F5289E" w:rsidRDefault="00C91173">
      <w:pPr>
        <w:snapToGrid w:val="0"/>
        <w:spacing w:line="360" w:lineRule="auto"/>
        <w:ind w:firstLineChars="300" w:firstLine="632"/>
        <w:rPr>
          <w:szCs w:val="21"/>
        </w:rPr>
      </w:pPr>
      <w:r>
        <w:rPr>
          <w:b/>
          <w:bCs/>
          <w:szCs w:val="21"/>
        </w:rPr>
        <w:t xml:space="preserve">2. </w:t>
      </w:r>
      <w:r>
        <w:rPr>
          <w:rFonts w:ascii="宋体" w:hAnsi="宋体"/>
          <w:b/>
          <w:bCs/>
          <w:szCs w:val="21"/>
        </w:rPr>
        <w:t>一般掌握</w:t>
      </w:r>
      <w:r>
        <w:rPr>
          <w:rFonts w:ascii="宋体" w:hAnsi="宋体"/>
          <w:szCs w:val="21"/>
        </w:rPr>
        <w:t>：</w:t>
      </w:r>
      <w:r>
        <w:rPr>
          <w:rFonts w:hint="eastAsia"/>
          <w:color w:val="262600"/>
        </w:rPr>
        <w:t>智慧园艺育种采用的分子标记、基因工程技术等</w:t>
      </w:r>
      <w:r>
        <w:rPr>
          <w:rFonts w:ascii="宋体" w:hAnsi="宋体" w:hint="eastAsia"/>
          <w:color w:val="262600"/>
          <w:szCs w:val="21"/>
        </w:rPr>
        <w:t>。</w:t>
      </w:r>
    </w:p>
    <w:p w14:paraId="06FA4DDE" w14:textId="77777777" w:rsidR="00F5289E" w:rsidRDefault="00C91173">
      <w:pPr>
        <w:spacing w:line="360" w:lineRule="auto"/>
        <w:ind w:firstLineChars="300" w:firstLine="63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color w:val="262600"/>
        </w:rPr>
        <w:t>智慧园艺育种采用的遗传信息的智能化育种手段</w:t>
      </w:r>
      <w:r>
        <w:rPr>
          <w:rFonts w:ascii="宋体" w:hAnsi="宋体" w:hint="eastAsia"/>
          <w:color w:val="262600"/>
          <w:szCs w:val="21"/>
        </w:rPr>
        <w:t>。</w:t>
      </w:r>
    </w:p>
    <w:p w14:paraId="4B89F7DE"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06F6DEA9" w14:textId="77777777" w:rsidR="00F5289E" w:rsidRDefault="00C91173">
      <w:pPr>
        <w:snapToGrid w:val="0"/>
        <w:spacing w:line="360" w:lineRule="auto"/>
        <w:ind w:firstLineChars="200" w:firstLine="420"/>
        <w:rPr>
          <w:rFonts w:ascii="宋体" w:hAnsi="宋体"/>
          <w:szCs w:val="21"/>
        </w:rPr>
      </w:pPr>
      <w:r>
        <w:rPr>
          <w:rFonts w:ascii="宋体" w:hAnsi="宋体" w:hint="eastAsia"/>
          <w:color w:val="262600"/>
          <w:szCs w:val="21"/>
        </w:rPr>
        <w:t>知识：</w:t>
      </w:r>
      <w:r>
        <w:rPr>
          <w:rFonts w:hint="eastAsia"/>
          <w:color w:val="262600"/>
        </w:rPr>
        <w:t>智慧园艺育种概念以及采用的遗传信息的智能化育种手段</w:t>
      </w:r>
      <w:r>
        <w:rPr>
          <w:rFonts w:ascii="宋体" w:hAnsi="宋体"/>
          <w:szCs w:val="21"/>
        </w:rPr>
        <w:t>。</w:t>
      </w:r>
    </w:p>
    <w:p w14:paraId="47C8B929" w14:textId="77777777" w:rsidR="00F5289E" w:rsidRDefault="00C91173">
      <w:pPr>
        <w:spacing w:line="360" w:lineRule="auto"/>
        <w:ind w:firstLineChars="200" w:firstLine="420"/>
        <w:rPr>
          <w:color w:val="262600"/>
          <w:szCs w:val="21"/>
        </w:rPr>
      </w:pPr>
      <w:r>
        <w:rPr>
          <w:rFonts w:ascii="宋体" w:hAnsi="宋体" w:hint="eastAsia"/>
          <w:szCs w:val="21"/>
        </w:rPr>
        <w:lastRenderedPageBreak/>
        <w:t>能力和素质：</w:t>
      </w:r>
      <w:r>
        <w:rPr>
          <w:color w:val="262600"/>
        </w:rPr>
        <w:t>从</w:t>
      </w:r>
      <w:r>
        <w:rPr>
          <w:rFonts w:hint="eastAsia"/>
          <w:color w:val="262600"/>
        </w:rPr>
        <w:t>生物技术、信息技术和智能技术与传统园艺育种深度融合</w:t>
      </w:r>
      <w:r>
        <w:rPr>
          <w:rFonts w:ascii="宋体" w:hAnsi="宋体"/>
          <w:color w:val="262600"/>
          <w:szCs w:val="21"/>
        </w:rPr>
        <w:t>。</w:t>
      </w:r>
    </w:p>
    <w:p w14:paraId="7A742379"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5481C108"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hint="eastAsia"/>
          <w:color w:val="262600"/>
        </w:rPr>
        <w:t>智慧园艺育种概念</w:t>
      </w:r>
      <w:r>
        <w:rPr>
          <w:rFonts w:ascii="宋体" w:hAnsi="宋体" w:hint="eastAsia"/>
          <w:color w:val="262600"/>
        </w:rPr>
        <w:t>及其作用</w:t>
      </w:r>
      <w:r>
        <w:rPr>
          <w:rFonts w:ascii="宋体" w:hAnsi="宋体" w:hint="eastAsia"/>
          <w:color w:val="262600"/>
          <w:szCs w:val="21"/>
        </w:rPr>
        <w:t>。</w:t>
      </w:r>
    </w:p>
    <w:p w14:paraId="10D7354A" w14:textId="77777777" w:rsidR="00F5289E" w:rsidRDefault="00C91173">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w:t>
      </w:r>
      <w:r>
        <w:rPr>
          <w:rFonts w:ascii="宋体" w:hAnsi="宋体" w:hint="eastAsia"/>
          <w:color w:val="262600"/>
        </w:rPr>
        <w:t>智慧园艺育种关键技术</w:t>
      </w:r>
      <w:r>
        <w:rPr>
          <w:rFonts w:ascii="宋体" w:hAnsi="宋体" w:hint="eastAsia"/>
          <w:color w:val="262600"/>
          <w:szCs w:val="21"/>
        </w:rPr>
        <w:t>。</w:t>
      </w:r>
    </w:p>
    <w:p w14:paraId="2B240225"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ascii="宋体" w:hAnsi="宋体" w:hint="eastAsia"/>
          <w:color w:val="262600"/>
        </w:rPr>
        <w:t>基因工程和分子标记在园艺植物育种中的应用</w:t>
      </w:r>
      <w:r>
        <w:rPr>
          <w:rFonts w:ascii="宋体" w:hAnsi="宋体" w:hint="eastAsia"/>
          <w:color w:val="262600"/>
          <w:szCs w:val="21"/>
        </w:rPr>
        <w:t>。</w:t>
      </w:r>
    </w:p>
    <w:p w14:paraId="1F730A01"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第五章</w:t>
      </w:r>
      <w:r>
        <w:rPr>
          <w:b/>
          <w:bCs/>
          <w:color w:val="262600"/>
          <w:szCs w:val="21"/>
        </w:rPr>
        <w:t xml:space="preserve">  </w:t>
      </w:r>
      <w:r>
        <w:rPr>
          <w:rFonts w:hint="eastAsia"/>
          <w:b/>
          <w:bCs/>
          <w:color w:val="262600"/>
        </w:rPr>
        <w:t>园艺产业物联网及其应用</w:t>
      </w:r>
    </w:p>
    <w:p w14:paraId="1B53838F"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6DEACB74" w14:textId="77777777" w:rsidR="00F5289E" w:rsidRDefault="00C91173">
      <w:pPr>
        <w:snapToGrid w:val="0"/>
        <w:spacing w:line="360" w:lineRule="auto"/>
        <w:ind w:firstLineChars="200" w:firstLine="422"/>
        <w:rPr>
          <w:szCs w:val="21"/>
        </w:rPr>
      </w:pPr>
      <w:r>
        <w:rPr>
          <w:b/>
          <w:bCs/>
          <w:szCs w:val="21"/>
        </w:rPr>
        <w:t xml:space="preserve">1. </w:t>
      </w:r>
      <w:r>
        <w:rPr>
          <w:rFonts w:ascii="宋体" w:hAnsi="宋体"/>
          <w:b/>
          <w:bCs/>
          <w:szCs w:val="21"/>
        </w:rPr>
        <w:t>一般了解</w:t>
      </w:r>
      <w:r>
        <w:rPr>
          <w:rFonts w:ascii="宋体" w:hAnsi="宋体"/>
          <w:szCs w:val="21"/>
        </w:rPr>
        <w:t>：</w:t>
      </w:r>
      <w:r>
        <w:rPr>
          <w:rFonts w:hint="eastAsia"/>
        </w:rPr>
        <w:t>运用物联网技术建立农产品质量追溯体系的一般方法</w:t>
      </w:r>
      <w:r>
        <w:rPr>
          <w:rFonts w:ascii="宋体" w:hAnsi="宋体" w:hint="eastAsia"/>
          <w:color w:val="262600"/>
          <w:szCs w:val="21"/>
        </w:rPr>
        <w:t>。</w:t>
      </w:r>
    </w:p>
    <w:p w14:paraId="638C1E6B"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w:t>
      </w:r>
      <w:r>
        <w:rPr>
          <w:rFonts w:hint="eastAsia"/>
        </w:rPr>
        <w:t>运用物联网技术进行作物精确化管理的一般方法</w:t>
      </w:r>
      <w:r>
        <w:rPr>
          <w:rFonts w:ascii="宋体" w:hAnsi="宋体" w:hint="eastAsia"/>
          <w:color w:val="262600"/>
          <w:szCs w:val="21"/>
        </w:rPr>
        <w:t>。</w:t>
      </w:r>
    </w:p>
    <w:p w14:paraId="1177E3B0" w14:textId="77777777" w:rsidR="00F5289E" w:rsidRDefault="00C91173">
      <w:pPr>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rPr>
        <w:t>园艺产业物联网概念及其基本技术</w:t>
      </w:r>
      <w:r>
        <w:rPr>
          <w:rFonts w:ascii="宋体" w:hAnsi="宋体" w:hint="eastAsia"/>
          <w:color w:val="262600"/>
          <w:szCs w:val="21"/>
        </w:rPr>
        <w:t>。</w:t>
      </w:r>
    </w:p>
    <w:p w14:paraId="3F66913B"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5CDE6A69"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知识：园艺物联网概念及其特征。</w:t>
      </w:r>
    </w:p>
    <w:p w14:paraId="5BA52026"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w:t>
      </w:r>
      <w:r>
        <w:rPr>
          <w:rFonts w:ascii="宋体" w:hAnsi="宋体" w:hint="eastAsia"/>
          <w:color w:val="262600"/>
        </w:rPr>
        <w:t>园艺物联网在作物精准化管理中的应用，园艺物联网与农产品质量追溯体系</w:t>
      </w:r>
      <w:r>
        <w:rPr>
          <w:rFonts w:ascii="宋体" w:hAnsi="宋体"/>
          <w:color w:val="262600"/>
          <w:szCs w:val="21"/>
        </w:rPr>
        <w:t>。</w:t>
      </w:r>
    </w:p>
    <w:p w14:paraId="68CF421F"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722883D0"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color w:val="262600"/>
          <w:szCs w:val="21"/>
        </w:rPr>
        <w:t>园艺物联网概念及其特征。</w:t>
      </w:r>
    </w:p>
    <w:p w14:paraId="1755B9A0" w14:textId="77777777" w:rsidR="00F5289E" w:rsidRDefault="00C91173">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w:t>
      </w:r>
      <w:r>
        <w:rPr>
          <w:rFonts w:hint="eastAsia"/>
        </w:rPr>
        <w:t>运用物联网技术进行作物精确化管理的一般方法</w:t>
      </w:r>
      <w:r>
        <w:rPr>
          <w:rFonts w:ascii="宋体" w:hAnsi="宋体" w:hint="eastAsia"/>
          <w:color w:val="262600"/>
          <w:szCs w:val="21"/>
        </w:rPr>
        <w:t>。</w:t>
      </w:r>
    </w:p>
    <w:p w14:paraId="4EBEFABA" w14:textId="77777777" w:rsidR="00F5289E" w:rsidRDefault="00C91173">
      <w:pPr>
        <w:snapToGrid w:val="0"/>
        <w:spacing w:line="360" w:lineRule="auto"/>
        <w:ind w:firstLineChars="200" w:firstLine="422"/>
        <w:rPr>
          <w:color w:val="262600"/>
          <w:szCs w:val="21"/>
        </w:rPr>
      </w:pPr>
      <w:r>
        <w:rPr>
          <w:b/>
          <w:bCs/>
          <w:szCs w:val="21"/>
        </w:rPr>
        <w:t>3</w:t>
      </w:r>
      <w:r>
        <w:rPr>
          <w:rFonts w:ascii="宋体" w:hAnsi="宋体"/>
          <w:b/>
          <w:bCs/>
          <w:szCs w:val="21"/>
        </w:rPr>
        <w:t>、应用</w:t>
      </w:r>
      <w:r>
        <w:rPr>
          <w:rFonts w:ascii="宋体" w:hAnsi="宋体"/>
          <w:szCs w:val="21"/>
        </w:rPr>
        <w:t>：</w:t>
      </w:r>
      <w:r>
        <w:rPr>
          <w:rFonts w:hint="eastAsia"/>
        </w:rPr>
        <w:t>运用物联网技术建立农产品质量追溯体系的一般方法</w:t>
      </w:r>
      <w:r>
        <w:rPr>
          <w:rFonts w:ascii="宋体" w:hAnsi="宋体" w:hint="eastAsia"/>
          <w:color w:val="262600"/>
          <w:szCs w:val="21"/>
        </w:rPr>
        <w:t>。</w:t>
      </w:r>
    </w:p>
    <w:p w14:paraId="0FA595FA"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w:t>
      </w:r>
      <w:r>
        <w:rPr>
          <w:rFonts w:ascii="宋体" w:hAnsi="宋体"/>
          <w:color w:val="262600"/>
          <w:szCs w:val="21"/>
        </w:rPr>
        <w:t>能够</w:t>
      </w:r>
      <w:r>
        <w:rPr>
          <w:rFonts w:ascii="宋体" w:hAnsi="宋体" w:hint="eastAsia"/>
          <w:color w:val="262600"/>
          <w:szCs w:val="21"/>
        </w:rPr>
        <w:t>将</w:t>
      </w:r>
      <w:r>
        <w:rPr>
          <w:rFonts w:ascii="宋体" w:hAnsi="宋体" w:hint="eastAsia"/>
          <w:color w:val="262600"/>
        </w:rPr>
        <w:t>园艺物联网与农产品质量追溯体系融合应用</w:t>
      </w:r>
      <w:r>
        <w:rPr>
          <w:rFonts w:ascii="宋体" w:hAnsi="宋体"/>
          <w:szCs w:val="21"/>
        </w:rPr>
        <w:t>。</w:t>
      </w:r>
    </w:p>
    <w:p w14:paraId="5E775A94"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w:t>
      </w:r>
      <w:r>
        <w:rPr>
          <w:rFonts w:ascii="宋体" w:hAnsi="宋体" w:hint="eastAsia"/>
          <w:b/>
          <w:bCs/>
          <w:color w:val="262600"/>
          <w:szCs w:val="21"/>
        </w:rPr>
        <w:t>六</w:t>
      </w:r>
      <w:r>
        <w:rPr>
          <w:rFonts w:ascii="宋体" w:hAnsi="宋体"/>
          <w:b/>
          <w:bCs/>
          <w:color w:val="262600"/>
          <w:szCs w:val="21"/>
        </w:rPr>
        <w:t>章</w:t>
      </w:r>
      <w:r>
        <w:rPr>
          <w:b/>
          <w:bCs/>
          <w:color w:val="262600"/>
          <w:szCs w:val="21"/>
        </w:rPr>
        <w:t xml:space="preserve">  </w:t>
      </w:r>
      <w:r>
        <w:rPr>
          <w:rFonts w:hint="eastAsia"/>
          <w:b/>
          <w:bCs/>
          <w:color w:val="262600"/>
        </w:rPr>
        <w:t>大数据技术及其园艺产业应用</w:t>
      </w:r>
    </w:p>
    <w:p w14:paraId="23DAD9E7"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1DE6293E" w14:textId="77777777" w:rsidR="00F5289E" w:rsidRDefault="00C91173">
      <w:pPr>
        <w:snapToGrid w:val="0"/>
        <w:spacing w:line="360" w:lineRule="auto"/>
        <w:ind w:firstLineChars="200" w:firstLine="422"/>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hint="eastAsia"/>
          <w:color w:val="262600"/>
        </w:rPr>
        <w:t>运用大数据技术进行农情分析、作物精细化管理的一般方法</w:t>
      </w:r>
      <w:r>
        <w:rPr>
          <w:rFonts w:ascii="宋体" w:hAnsi="宋体" w:hint="eastAsia"/>
          <w:color w:val="262600"/>
          <w:szCs w:val="21"/>
        </w:rPr>
        <w:t>。</w:t>
      </w:r>
    </w:p>
    <w:p w14:paraId="21C8FD73"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hint="eastAsia"/>
          <w:szCs w:val="21"/>
        </w:rPr>
        <w:t>大数据采集技术、分析技术。</w:t>
      </w:r>
    </w:p>
    <w:p w14:paraId="36AFFB05" w14:textId="77777777" w:rsidR="00F5289E" w:rsidRDefault="00C91173">
      <w:pPr>
        <w:snapToGrid w:val="0"/>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color w:val="262600"/>
        </w:rPr>
        <w:t>大数据概念及其技术特征</w:t>
      </w:r>
      <w:r>
        <w:rPr>
          <w:rFonts w:ascii="宋体" w:hAnsi="宋体" w:hint="eastAsia"/>
          <w:szCs w:val="21"/>
        </w:rPr>
        <w:t>。</w:t>
      </w:r>
    </w:p>
    <w:p w14:paraId="183DCB48"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15AC422E"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知识：大数据概念及其技术特征</w:t>
      </w:r>
      <w:r>
        <w:rPr>
          <w:rFonts w:ascii="宋体" w:hAnsi="宋体"/>
          <w:color w:val="262600"/>
          <w:szCs w:val="21"/>
        </w:rPr>
        <w:t>和</w:t>
      </w:r>
      <w:r>
        <w:rPr>
          <w:rFonts w:ascii="宋体" w:hAnsi="宋体" w:hint="eastAsia"/>
          <w:color w:val="262600"/>
          <w:szCs w:val="21"/>
        </w:rPr>
        <w:t>大数据采集、处理技术</w:t>
      </w:r>
      <w:r>
        <w:rPr>
          <w:rFonts w:ascii="宋体" w:hAnsi="宋体"/>
          <w:color w:val="262600"/>
          <w:szCs w:val="21"/>
        </w:rPr>
        <w:t>等。</w:t>
      </w:r>
    </w:p>
    <w:p w14:paraId="0C739AF5"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w:t>
      </w:r>
      <w:r>
        <w:rPr>
          <w:rFonts w:ascii="宋体" w:hAnsi="宋体" w:hint="eastAsia"/>
          <w:color w:val="262600"/>
        </w:rPr>
        <w:t>大数据技术在园艺产业链</w:t>
      </w:r>
      <w:r>
        <w:rPr>
          <w:rFonts w:ascii="宋体" w:hAnsi="宋体" w:cs="宋体" w:hint="eastAsia"/>
          <w:color w:val="000000"/>
          <w:kern w:val="0"/>
          <w:szCs w:val="21"/>
          <w:lang w:bidi="ar"/>
        </w:rPr>
        <w:t>中的应用</w:t>
      </w:r>
      <w:r>
        <w:rPr>
          <w:rFonts w:ascii="宋体" w:hAnsi="宋体" w:hint="eastAsia"/>
          <w:color w:val="262600"/>
          <w:szCs w:val="21"/>
        </w:rPr>
        <w:t>。</w:t>
      </w:r>
    </w:p>
    <w:p w14:paraId="4A0C5DFA"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577E29C5"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color w:val="262600"/>
          <w:szCs w:val="21"/>
        </w:rPr>
        <w:t>大数据概念及其技术特征</w:t>
      </w:r>
      <w:r>
        <w:rPr>
          <w:rFonts w:ascii="宋体" w:hAnsi="宋体" w:hint="eastAsia"/>
          <w:szCs w:val="21"/>
        </w:rPr>
        <w:t>。</w:t>
      </w:r>
    </w:p>
    <w:p w14:paraId="1E153E44" w14:textId="77777777" w:rsidR="00F5289E" w:rsidRDefault="00C91173">
      <w:pPr>
        <w:snapToGrid w:val="0"/>
        <w:spacing w:line="360" w:lineRule="auto"/>
        <w:ind w:firstLineChars="200" w:firstLine="422"/>
        <w:rPr>
          <w:color w:val="262600"/>
          <w:szCs w:val="21"/>
        </w:rPr>
      </w:pPr>
      <w:r>
        <w:rPr>
          <w:b/>
          <w:bCs/>
          <w:szCs w:val="21"/>
        </w:rPr>
        <w:t>2</w:t>
      </w:r>
      <w:r>
        <w:rPr>
          <w:rFonts w:ascii="宋体" w:hAnsi="宋体"/>
          <w:b/>
          <w:bCs/>
          <w:szCs w:val="21"/>
        </w:rPr>
        <w:t>、领会</w:t>
      </w:r>
      <w:r>
        <w:rPr>
          <w:rFonts w:ascii="宋体" w:hAnsi="宋体"/>
          <w:szCs w:val="21"/>
        </w:rPr>
        <w:t>：</w:t>
      </w:r>
      <w:r>
        <w:rPr>
          <w:rFonts w:ascii="宋体" w:hAnsi="宋体" w:hint="eastAsia"/>
          <w:color w:val="262600"/>
          <w:szCs w:val="21"/>
        </w:rPr>
        <w:t>大数据采集技术、</w:t>
      </w:r>
      <w:r>
        <w:rPr>
          <w:rFonts w:ascii="宋体" w:hAnsi="宋体" w:cs="宋体" w:hint="eastAsia"/>
          <w:color w:val="000000"/>
          <w:kern w:val="0"/>
          <w:szCs w:val="21"/>
          <w:lang w:bidi="ar"/>
        </w:rPr>
        <w:t>大数据处理技术（分析与决策）</w:t>
      </w:r>
      <w:r>
        <w:rPr>
          <w:rFonts w:ascii="宋体" w:hAnsi="宋体" w:hint="eastAsia"/>
          <w:color w:val="262600"/>
          <w:szCs w:val="21"/>
        </w:rPr>
        <w:t>。</w:t>
      </w:r>
    </w:p>
    <w:p w14:paraId="3002660F"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hint="eastAsia"/>
          <w:color w:val="262600"/>
        </w:rPr>
        <w:t>运用大数据技术进行农情分析、作物精细化管理</w:t>
      </w:r>
      <w:r>
        <w:rPr>
          <w:rFonts w:ascii="宋体" w:hAnsi="宋体" w:hint="eastAsia"/>
          <w:szCs w:val="21"/>
        </w:rPr>
        <w:t>。</w:t>
      </w:r>
    </w:p>
    <w:p w14:paraId="67121F7E"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：能够</w:t>
      </w:r>
      <w:r>
        <w:rPr>
          <w:rFonts w:ascii="宋体" w:hAnsi="宋体" w:hint="eastAsia"/>
          <w:szCs w:val="21"/>
        </w:rPr>
        <w:t>将大数据技术在园艺产业中应用。</w:t>
      </w:r>
    </w:p>
    <w:p w14:paraId="3D4F2101"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lastRenderedPageBreak/>
        <w:t>第</w:t>
      </w:r>
      <w:r>
        <w:rPr>
          <w:rFonts w:ascii="宋体" w:hAnsi="宋体" w:hint="eastAsia"/>
          <w:b/>
          <w:bCs/>
          <w:color w:val="262600"/>
          <w:szCs w:val="21"/>
        </w:rPr>
        <w:t>七</w:t>
      </w:r>
      <w:r>
        <w:rPr>
          <w:rFonts w:ascii="宋体" w:hAnsi="宋体"/>
          <w:b/>
          <w:bCs/>
          <w:color w:val="262600"/>
          <w:szCs w:val="21"/>
        </w:rPr>
        <w:t>章</w:t>
      </w:r>
      <w:r>
        <w:rPr>
          <w:b/>
          <w:bCs/>
          <w:color w:val="262600"/>
          <w:szCs w:val="21"/>
        </w:rPr>
        <w:t xml:space="preserve">  </w:t>
      </w:r>
      <w:r>
        <w:rPr>
          <w:rFonts w:hint="eastAsia"/>
          <w:b/>
          <w:bCs/>
          <w:color w:val="262600"/>
        </w:rPr>
        <w:t>园艺信息化服务与智能化装备</w:t>
      </w:r>
    </w:p>
    <w:p w14:paraId="1FB20359"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0B373AF6" w14:textId="77777777" w:rsidR="00F5289E" w:rsidRDefault="00C91173">
      <w:pPr>
        <w:snapToGrid w:val="0"/>
        <w:spacing w:line="360" w:lineRule="auto"/>
        <w:ind w:firstLineChars="200" w:firstLine="422"/>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szCs w:val="21"/>
        </w:rPr>
        <w:t>园艺产业智能化装备在园艺产业现代化生产中的应用现状及其发展前景</w:t>
      </w:r>
      <w:r>
        <w:rPr>
          <w:rFonts w:ascii="宋体" w:hAnsi="宋体" w:hint="eastAsia"/>
          <w:color w:val="262600"/>
          <w:szCs w:val="21"/>
        </w:rPr>
        <w:t>。</w:t>
      </w:r>
    </w:p>
    <w:p w14:paraId="60DDA9BC"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cs="宋体" w:hint="eastAsia"/>
          <w:color w:val="000000"/>
          <w:kern w:val="0"/>
          <w:szCs w:val="21"/>
          <w:lang w:bidi="ar"/>
        </w:rPr>
        <w:t>园艺信息化服务、农机与农艺融合的现状及存在的问题</w:t>
      </w:r>
      <w:r>
        <w:rPr>
          <w:rFonts w:ascii="宋体" w:hAnsi="宋体" w:hint="eastAsia"/>
          <w:szCs w:val="21"/>
        </w:rPr>
        <w:t>。</w:t>
      </w:r>
    </w:p>
    <w:p w14:paraId="32C57E3E" w14:textId="77777777" w:rsidR="00F5289E" w:rsidRDefault="00C91173">
      <w:pPr>
        <w:snapToGrid w:val="0"/>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cs="宋体" w:hint="eastAsia"/>
          <w:color w:val="000000"/>
          <w:kern w:val="0"/>
          <w:szCs w:val="21"/>
          <w:lang w:bidi="ar"/>
        </w:rPr>
        <w:t>园艺信息服务、农机、农艺和信息技术融合的必要性及其技术途径</w:t>
      </w:r>
      <w:r>
        <w:rPr>
          <w:rFonts w:ascii="宋体" w:hAnsi="宋体" w:hint="eastAsia"/>
          <w:szCs w:val="21"/>
        </w:rPr>
        <w:t>。</w:t>
      </w:r>
    </w:p>
    <w:p w14:paraId="5D88EE68"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692EFC79"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知识：</w:t>
      </w:r>
      <w:r>
        <w:rPr>
          <w:rFonts w:ascii="宋体" w:hAnsi="宋体" w:cs="宋体" w:hint="eastAsia"/>
          <w:color w:val="000000"/>
          <w:kern w:val="0"/>
          <w:szCs w:val="21"/>
          <w:lang w:bidi="ar"/>
        </w:rPr>
        <w:t>园艺信息服务、农机、农艺和信息技术融合的必要性及其技术途径</w:t>
      </w:r>
      <w:r>
        <w:rPr>
          <w:rFonts w:ascii="宋体" w:hAnsi="宋体"/>
          <w:color w:val="262600"/>
          <w:szCs w:val="21"/>
        </w:rPr>
        <w:t>等。</w:t>
      </w:r>
    </w:p>
    <w:p w14:paraId="4A988EFD"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w:t>
      </w:r>
      <w:r>
        <w:rPr>
          <w:szCs w:val="21"/>
        </w:rPr>
        <w:t>园艺产业智能化装备在园艺产业现代化生产中的应用</w:t>
      </w:r>
      <w:r>
        <w:rPr>
          <w:rFonts w:ascii="宋体" w:hAnsi="宋体" w:hint="eastAsia"/>
          <w:color w:val="262600"/>
          <w:szCs w:val="21"/>
        </w:rPr>
        <w:t>。</w:t>
      </w:r>
    </w:p>
    <w:p w14:paraId="59B2625D"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2B747D8D"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cs="宋体" w:hint="eastAsia"/>
          <w:color w:val="000000"/>
          <w:kern w:val="0"/>
          <w:szCs w:val="21"/>
          <w:lang w:bidi="ar"/>
        </w:rPr>
        <w:t>园艺信息服务、农机、农艺和信息技术融合的技术途径</w:t>
      </w:r>
      <w:r>
        <w:rPr>
          <w:rFonts w:ascii="宋体" w:hAnsi="宋体" w:hint="eastAsia"/>
          <w:szCs w:val="21"/>
        </w:rPr>
        <w:t>。</w:t>
      </w:r>
    </w:p>
    <w:p w14:paraId="2F01560D" w14:textId="77777777" w:rsidR="00F5289E" w:rsidRDefault="00C91173">
      <w:pPr>
        <w:snapToGrid w:val="0"/>
        <w:spacing w:line="360" w:lineRule="auto"/>
        <w:ind w:firstLineChars="200" w:firstLine="422"/>
        <w:rPr>
          <w:color w:val="262600"/>
          <w:szCs w:val="21"/>
        </w:rPr>
      </w:pPr>
      <w:r>
        <w:rPr>
          <w:b/>
          <w:bCs/>
          <w:szCs w:val="21"/>
        </w:rPr>
        <w:t>2</w:t>
      </w:r>
      <w:r>
        <w:rPr>
          <w:rFonts w:ascii="宋体" w:hAnsi="宋体"/>
          <w:b/>
          <w:bCs/>
          <w:szCs w:val="21"/>
        </w:rPr>
        <w:t>、领会</w:t>
      </w:r>
      <w:r>
        <w:rPr>
          <w:rFonts w:ascii="宋体" w:hAnsi="宋体"/>
          <w:szCs w:val="21"/>
        </w:rPr>
        <w:t>：</w:t>
      </w:r>
      <w:r>
        <w:rPr>
          <w:rFonts w:ascii="宋体" w:hAnsi="宋体" w:cs="宋体" w:hint="eastAsia"/>
          <w:color w:val="000000"/>
          <w:kern w:val="0"/>
          <w:szCs w:val="21"/>
          <w:lang w:bidi="ar"/>
        </w:rPr>
        <w:t>园艺信息化服务、农机与农艺融合的现状及存在的问题</w:t>
      </w:r>
      <w:r>
        <w:rPr>
          <w:rFonts w:ascii="宋体" w:hAnsi="宋体" w:hint="eastAsia"/>
          <w:color w:val="262600"/>
          <w:szCs w:val="21"/>
        </w:rPr>
        <w:t>。</w:t>
      </w:r>
    </w:p>
    <w:p w14:paraId="614F03AB"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ascii="宋体" w:hAnsi="宋体" w:hint="eastAsia"/>
          <w:szCs w:val="21"/>
        </w:rPr>
        <w:t>能够利用</w:t>
      </w:r>
      <w:r>
        <w:rPr>
          <w:szCs w:val="21"/>
        </w:rPr>
        <w:t>园艺产业智能化装备</w:t>
      </w:r>
      <w:r>
        <w:rPr>
          <w:rFonts w:hint="eastAsia"/>
          <w:szCs w:val="21"/>
        </w:rPr>
        <w:t>融合应用</w:t>
      </w:r>
      <w:r>
        <w:rPr>
          <w:szCs w:val="21"/>
        </w:rPr>
        <w:t>在园艺产业现代化生产中</w:t>
      </w:r>
      <w:r>
        <w:rPr>
          <w:rFonts w:ascii="宋体" w:hAnsi="宋体" w:hint="eastAsia"/>
          <w:szCs w:val="21"/>
        </w:rPr>
        <w:t>。</w:t>
      </w:r>
    </w:p>
    <w:p w14:paraId="2F4C93E2" w14:textId="77777777" w:rsidR="00F5289E" w:rsidRDefault="00F5289E">
      <w:pPr>
        <w:snapToGrid w:val="0"/>
        <w:spacing w:line="360" w:lineRule="auto"/>
        <w:rPr>
          <w:rFonts w:ascii="宋体" w:hAnsi="宋体"/>
          <w:b/>
          <w:bCs/>
          <w:color w:val="262600"/>
          <w:szCs w:val="21"/>
        </w:rPr>
      </w:pPr>
    </w:p>
    <w:p w14:paraId="27D219FF" w14:textId="77777777" w:rsidR="00F5289E" w:rsidRDefault="00C91173">
      <w:pPr>
        <w:snapToGrid w:val="0"/>
        <w:spacing w:line="360" w:lineRule="auto"/>
        <w:rPr>
          <w:rFonts w:ascii="宋体" w:hAnsi="宋体"/>
          <w:b/>
          <w:szCs w:val="21"/>
        </w:rPr>
      </w:pPr>
      <w:r>
        <w:rPr>
          <w:rFonts w:ascii="宋体" w:hAnsi="宋体" w:hint="eastAsia"/>
          <w:b/>
          <w:szCs w:val="21"/>
        </w:rPr>
        <w:t>三、实验、实习教学部分的考核要求</w:t>
      </w:r>
    </w:p>
    <w:p w14:paraId="423C1DC2"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1.具有良好的团队精神，在实验操作与实习过程中能够相互协作、相互帮助。</w:t>
      </w:r>
    </w:p>
    <w:p w14:paraId="174E7851"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2.能够正确使用实验中所使用的仪器设备，规范操作。</w:t>
      </w:r>
    </w:p>
    <w:p w14:paraId="386A70ED"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3.能够根据实验与实习的任务、目的，设计合理的实验、实习方案与步骤，并合理安排。</w:t>
      </w:r>
    </w:p>
    <w:p w14:paraId="667B0219" w14:textId="77777777" w:rsidR="00F5289E" w:rsidRDefault="00C91173">
      <w:pPr>
        <w:snapToGrid w:val="0"/>
        <w:spacing w:line="360" w:lineRule="auto"/>
        <w:ind w:firstLineChars="200" w:firstLine="420"/>
        <w:rPr>
          <w:rFonts w:ascii="宋体" w:hAnsi="Calibri"/>
          <w:color w:val="000000"/>
          <w:szCs w:val="21"/>
        </w:rPr>
      </w:pPr>
      <w:r>
        <w:rPr>
          <w:rFonts w:ascii="宋体" w:hAnsi="宋体"/>
          <w:color w:val="000000"/>
          <w:szCs w:val="21"/>
        </w:rPr>
        <w:t>4</w:t>
      </w:r>
      <w:r>
        <w:rPr>
          <w:rFonts w:ascii="宋体" w:hAnsi="宋体" w:hint="eastAsia"/>
          <w:color w:val="000000"/>
          <w:szCs w:val="21"/>
        </w:rPr>
        <w:t>.正确分析试验结果，能够结合理论知识，对实验现象、实验结果做出正确合理的解释。</w:t>
      </w:r>
    </w:p>
    <w:p w14:paraId="180C564C" w14:textId="77777777" w:rsidR="00F5289E" w:rsidRDefault="00C91173">
      <w:pPr>
        <w:snapToGrid w:val="0"/>
        <w:spacing w:line="360" w:lineRule="auto"/>
        <w:ind w:firstLineChars="200" w:firstLine="420"/>
        <w:rPr>
          <w:rFonts w:ascii="宋体" w:hAnsi="宋体"/>
          <w:color w:val="000000"/>
          <w:szCs w:val="21"/>
        </w:rPr>
      </w:pPr>
      <w:r>
        <w:rPr>
          <w:rFonts w:ascii="宋体" w:hAnsi="宋体"/>
          <w:color w:val="000000"/>
          <w:szCs w:val="21"/>
        </w:rPr>
        <w:t>5</w:t>
      </w:r>
      <w:r>
        <w:rPr>
          <w:rFonts w:ascii="宋体" w:hAnsi="宋体" w:hint="eastAsia"/>
          <w:color w:val="000000"/>
          <w:szCs w:val="21"/>
        </w:rPr>
        <w:t>.掌握正确的数据处理方法，能够独立撰写实验、实习报告。</w:t>
      </w:r>
    </w:p>
    <w:p w14:paraId="2C575397" w14:textId="77777777" w:rsidR="00F5289E" w:rsidRDefault="00C91173">
      <w:pPr>
        <w:snapToGrid w:val="0"/>
        <w:spacing w:line="360" w:lineRule="auto"/>
        <w:rPr>
          <w:rFonts w:ascii="宋体" w:hAnsi="宋体"/>
          <w:b/>
          <w:szCs w:val="21"/>
        </w:rPr>
      </w:pPr>
      <w:r>
        <w:rPr>
          <w:rFonts w:ascii="宋体" w:hAnsi="宋体" w:hint="eastAsia"/>
          <w:b/>
          <w:szCs w:val="21"/>
        </w:rPr>
        <w:t>四、考核方式</w:t>
      </w:r>
    </w:p>
    <w:p w14:paraId="2D2E8141" w14:textId="77777777" w:rsidR="00F5289E" w:rsidRDefault="00C91173">
      <w:pPr>
        <w:spacing w:line="400" w:lineRule="exact"/>
        <w:ind w:firstLineChars="200" w:firstLine="420"/>
        <w:rPr>
          <w:rFonts w:ascii="Calibri" w:hAnsi="Calibri"/>
          <w:szCs w:val="21"/>
        </w:rPr>
      </w:pPr>
      <w:r>
        <w:rPr>
          <w:rFonts w:ascii="宋体" w:hAnsi="宋体"/>
          <w:szCs w:val="21"/>
        </w:rPr>
        <w:t>本课程考核</w:t>
      </w:r>
      <w:r>
        <w:rPr>
          <w:rFonts w:ascii="宋体" w:hAnsi="宋体" w:hint="eastAsia"/>
          <w:szCs w:val="21"/>
        </w:rPr>
        <w:t>采用理论与实践教学相结合的方式进行。根据课程的学习情况，采用课堂提问、课堂测试、小组讨论、期中测试与期末考试或论文式测评等多种考核评价方式。平时成绩的考核方式包括课堂表现、线上学习（小测验）、课后作业、小组学习讨论、实验实践、期中考试等。</w:t>
      </w:r>
    </w:p>
    <w:p w14:paraId="6C215355" w14:textId="77777777" w:rsidR="00F5289E" w:rsidRDefault="00C91173">
      <w:pPr>
        <w:snapToGrid w:val="0"/>
        <w:spacing w:beforeLines="50" w:before="156" w:line="360" w:lineRule="auto"/>
        <w:ind w:firstLineChars="200" w:firstLine="420"/>
        <w:rPr>
          <w:rFonts w:ascii="宋体" w:hAnsi="宋体"/>
          <w:color w:val="000000"/>
          <w:szCs w:val="21"/>
        </w:rPr>
      </w:pPr>
      <w:r>
        <w:rPr>
          <w:rFonts w:ascii="宋体" w:hAnsi="宋体" w:hint="eastAsia"/>
          <w:color w:val="000000"/>
          <w:szCs w:val="21"/>
        </w:rPr>
        <w:t>考试时间为课程结束后1～3周内进行，其他考核随课程单元学习过程的进展进行。</w:t>
      </w:r>
    </w:p>
    <w:p w14:paraId="5586D0F9" w14:textId="77777777" w:rsidR="00F5289E" w:rsidRDefault="00C91173">
      <w:pPr>
        <w:snapToGrid w:val="0"/>
        <w:spacing w:line="360" w:lineRule="auto"/>
        <w:rPr>
          <w:rFonts w:ascii="宋体" w:hAnsi="宋体"/>
          <w:b/>
          <w:szCs w:val="21"/>
        </w:rPr>
      </w:pPr>
      <w:r>
        <w:rPr>
          <w:rFonts w:ascii="宋体" w:hAnsi="宋体" w:hint="eastAsia"/>
          <w:b/>
          <w:szCs w:val="21"/>
        </w:rPr>
        <w:t>五、成绩评定</w:t>
      </w:r>
    </w:p>
    <w:p w14:paraId="300BCC48"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p>
    <w:p w14:paraId="4FA8A83E" w14:textId="77777777" w:rsidR="00F5289E" w:rsidRDefault="00C91173">
      <w:pPr>
        <w:snapToGrid w:val="0"/>
        <w:spacing w:line="360" w:lineRule="auto"/>
        <w:ind w:firstLineChars="200" w:firstLine="420"/>
        <w:rPr>
          <w:rFonts w:ascii="Calibri" w:hAnsi="Calibri"/>
          <w:szCs w:val="21"/>
        </w:rPr>
      </w:pPr>
      <w:r>
        <w:rPr>
          <w:rFonts w:ascii="宋体" w:hAnsi="宋体" w:hint="eastAsia"/>
          <w:szCs w:val="21"/>
        </w:rPr>
        <w:t>平时成绩的考核环节包括实验实践环节、作业完成情况以及课堂表现、考勤考纪等。其中实验实践</w:t>
      </w:r>
      <w:r>
        <w:rPr>
          <w:rFonts w:ascii="宋体" w:hAnsi="宋体"/>
          <w:szCs w:val="21"/>
        </w:rPr>
        <w:t>环节占平时成绩的</w:t>
      </w:r>
      <w:r>
        <w:rPr>
          <w:rFonts w:ascii="Calibri" w:hAnsi="Calibri"/>
          <w:szCs w:val="21"/>
        </w:rPr>
        <w:t>50%</w:t>
      </w:r>
      <w:r>
        <w:rPr>
          <w:rFonts w:ascii="宋体" w:hAnsi="宋体"/>
          <w:szCs w:val="21"/>
        </w:rPr>
        <w:t>，</w:t>
      </w:r>
      <w:r>
        <w:rPr>
          <w:rFonts w:ascii="宋体" w:hAnsi="宋体" w:hint="eastAsia"/>
          <w:szCs w:val="21"/>
        </w:rPr>
        <w:t>出勤状况和实验实习参与度</w:t>
      </w:r>
      <w:r>
        <w:rPr>
          <w:rFonts w:ascii="宋体" w:hAnsi="宋体"/>
          <w:szCs w:val="21"/>
        </w:rPr>
        <w:t>其他占</w:t>
      </w:r>
      <w:r>
        <w:rPr>
          <w:rFonts w:ascii="Calibri" w:hAnsi="Calibri"/>
          <w:szCs w:val="21"/>
        </w:rPr>
        <w:t>50%</w:t>
      </w:r>
      <w:r>
        <w:rPr>
          <w:rFonts w:ascii="宋体" w:hAnsi="宋体"/>
          <w:szCs w:val="21"/>
        </w:rPr>
        <w:t>。</w:t>
      </w:r>
    </w:p>
    <w:p w14:paraId="144B344F" w14:textId="77777777" w:rsidR="00F5289E" w:rsidRDefault="00C91173">
      <w:pPr>
        <w:snapToGrid w:val="0"/>
        <w:spacing w:line="360" w:lineRule="auto"/>
        <w:ind w:firstLineChars="200" w:firstLine="420"/>
        <w:rPr>
          <w:rFonts w:ascii="Calibri" w:hAnsi="Calibri"/>
          <w:szCs w:val="21"/>
        </w:rPr>
      </w:pPr>
      <w:r>
        <w:rPr>
          <w:szCs w:val="21"/>
        </w:rPr>
        <w:t xml:space="preserve">2. </w:t>
      </w:r>
      <w:r>
        <w:rPr>
          <w:rFonts w:ascii="Calibri" w:hAnsi="Calibri" w:hint="eastAsia"/>
          <w:szCs w:val="21"/>
        </w:rPr>
        <w:t>期末成绩</w:t>
      </w:r>
    </w:p>
    <w:p w14:paraId="24226FC0"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期末成绩以课程论文形式进行，占比6</w:t>
      </w:r>
      <w:r>
        <w:rPr>
          <w:rFonts w:ascii="宋体" w:hAnsi="宋体"/>
          <w:szCs w:val="21"/>
        </w:rPr>
        <w:t>0%</w:t>
      </w:r>
      <w:r>
        <w:rPr>
          <w:rFonts w:ascii="宋体" w:hAnsi="宋体" w:hint="eastAsia"/>
          <w:szCs w:val="21"/>
        </w:rPr>
        <w:t>。</w:t>
      </w:r>
    </w:p>
    <w:p w14:paraId="5825E34D" w14:textId="77777777" w:rsidR="00F5289E" w:rsidRDefault="00C91173">
      <w:pPr>
        <w:snapToGrid w:val="0"/>
        <w:spacing w:beforeLines="50" w:before="156" w:line="360" w:lineRule="auto"/>
        <w:ind w:firstLineChars="200" w:firstLine="420"/>
        <w:rPr>
          <w:szCs w:val="21"/>
        </w:rPr>
      </w:pPr>
      <w:r>
        <w:rPr>
          <w:rFonts w:hint="eastAsia"/>
          <w:szCs w:val="21"/>
        </w:rPr>
        <w:t>3.</w:t>
      </w:r>
      <w:r>
        <w:rPr>
          <w:rFonts w:hint="eastAsia"/>
          <w:szCs w:val="21"/>
        </w:rPr>
        <w:t>综合成绩（平时成绩×</w:t>
      </w:r>
      <w:r>
        <w:rPr>
          <w:rFonts w:hint="eastAsia"/>
          <w:szCs w:val="21"/>
        </w:rPr>
        <w:t>2</w:t>
      </w:r>
      <w:r>
        <w:rPr>
          <w:szCs w:val="21"/>
        </w:rPr>
        <w:t>0%</w:t>
      </w:r>
      <w:r>
        <w:rPr>
          <w:rFonts w:hint="eastAsia"/>
          <w:szCs w:val="21"/>
        </w:rPr>
        <w:t>+</w:t>
      </w:r>
      <w:r>
        <w:rPr>
          <w:rFonts w:hint="eastAsia"/>
          <w:szCs w:val="21"/>
        </w:rPr>
        <w:t>实验课成绩×</w:t>
      </w:r>
      <w:r>
        <w:rPr>
          <w:rFonts w:hint="eastAsia"/>
          <w:szCs w:val="21"/>
        </w:rPr>
        <w:t>2</w:t>
      </w:r>
      <w:r>
        <w:rPr>
          <w:szCs w:val="21"/>
        </w:rPr>
        <w:t>0%</w:t>
      </w:r>
      <w:r>
        <w:rPr>
          <w:rFonts w:hint="eastAsia"/>
          <w:szCs w:val="21"/>
        </w:rPr>
        <w:t>+</w:t>
      </w:r>
      <w:r>
        <w:rPr>
          <w:rFonts w:hint="eastAsia"/>
          <w:szCs w:val="21"/>
        </w:rPr>
        <w:t>期末成绩×</w:t>
      </w:r>
      <w:r>
        <w:rPr>
          <w:rFonts w:hint="eastAsia"/>
          <w:szCs w:val="21"/>
        </w:rPr>
        <w:t>6</w:t>
      </w:r>
      <w:r>
        <w:rPr>
          <w:szCs w:val="21"/>
        </w:rPr>
        <w:t>0</w:t>
      </w:r>
      <w:r>
        <w:rPr>
          <w:rFonts w:hint="eastAsia"/>
          <w:szCs w:val="21"/>
        </w:rPr>
        <w:t>%</w:t>
      </w:r>
      <w:r>
        <w:rPr>
          <w:rFonts w:hint="eastAsia"/>
          <w:szCs w:val="21"/>
        </w:rPr>
        <w:t>）</w:t>
      </w:r>
    </w:p>
    <w:p w14:paraId="408DF6E9" w14:textId="77777777" w:rsidR="00F5289E" w:rsidRDefault="00C91173">
      <w:pPr>
        <w:snapToGrid w:val="0"/>
        <w:spacing w:line="360" w:lineRule="auto"/>
        <w:rPr>
          <w:rFonts w:ascii="宋体" w:hAnsi="宋体"/>
          <w:b/>
          <w:szCs w:val="21"/>
        </w:rPr>
      </w:pPr>
      <w:r>
        <w:rPr>
          <w:rFonts w:ascii="宋体" w:hAnsi="宋体" w:hint="eastAsia"/>
          <w:b/>
          <w:szCs w:val="21"/>
        </w:rPr>
        <w:lastRenderedPageBreak/>
        <w:t>六、考核结果分析反馈</w:t>
      </w:r>
    </w:p>
    <w:p w14:paraId="21461EBD"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1、通过作业的汇报与展示、实验操作实训、课堂提问等方式进行，教师对完成情况在课堂上进行指导与点评，及时进行反馈。</w:t>
      </w:r>
    </w:p>
    <w:p w14:paraId="1A160730" w14:textId="77777777" w:rsidR="00F5289E" w:rsidRDefault="00C91173">
      <w:pPr>
        <w:snapToGrid w:val="0"/>
        <w:spacing w:line="360" w:lineRule="auto"/>
        <w:ind w:firstLineChars="200" w:firstLine="420"/>
      </w:pPr>
      <w:r>
        <w:rPr>
          <w:rFonts w:ascii="宋体" w:hAnsi="宋体"/>
          <w:bCs/>
          <w:szCs w:val="21"/>
        </w:rPr>
        <w:t>2</w:t>
      </w:r>
      <w:r>
        <w:rPr>
          <w:rFonts w:ascii="宋体" w:hAnsi="宋体" w:hint="eastAsia"/>
          <w:bCs/>
          <w:szCs w:val="21"/>
        </w:rPr>
        <w:t>、基于学生考核结果，学生评教及建议，改进课堂教学。</w:t>
      </w:r>
    </w:p>
    <w:p w14:paraId="5A1E7DB3" w14:textId="77777777" w:rsidR="00F5289E" w:rsidRDefault="00C91173">
      <w:pPr>
        <w:widowControl/>
        <w:jc w:val="left"/>
        <w:rPr>
          <w:b/>
          <w:sz w:val="28"/>
          <w:szCs w:val="28"/>
        </w:rPr>
      </w:pPr>
      <w:r>
        <w:rPr>
          <w:b/>
          <w:sz w:val="28"/>
          <w:szCs w:val="28"/>
        </w:rPr>
        <w:br w:type="page"/>
      </w:r>
    </w:p>
    <w:p w14:paraId="5EC91DE2" w14:textId="77777777" w:rsidR="00F5289E" w:rsidRDefault="00C91173">
      <w:pPr>
        <w:pStyle w:val="1"/>
      </w:pPr>
      <w:bookmarkStart w:id="199" w:name="_Toc138606290"/>
      <w:r>
        <w:lastRenderedPageBreak/>
        <w:t>创意农业</w:t>
      </w:r>
      <w:r>
        <w:rPr>
          <w:rFonts w:hint="eastAsia"/>
        </w:rPr>
        <w:t>考核大纲</w:t>
      </w:r>
      <w:bookmarkEnd w:id="199"/>
    </w:p>
    <w:p w14:paraId="648C497B" w14:textId="77777777" w:rsidR="00F5289E" w:rsidRDefault="00C91173">
      <w:pPr>
        <w:snapToGrid w:val="0"/>
        <w:spacing w:line="360" w:lineRule="auto"/>
        <w:jc w:val="center"/>
        <w:rPr>
          <w:sz w:val="24"/>
        </w:rPr>
      </w:pPr>
      <w:r>
        <w:rPr>
          <w:rFonts w:hint="eastAsia"/>
          <w:sz w:val="24"/>
        </w:rPr>
        <w:t>（</w:t>
      </w:r>
      <w:r>
        <w:rPr>
          <w:sz w:val="24"/>
        </w:rPr>
        <w:t>Creative Agriculture</w:t>
      </w:r>
      <w:r>
        <w:rPr>
          <w:rFonts w:hint="eastAsia"/>
          <w:sz w:val="24"/>
        </w:rPr>
        <w:t>）</w:t>
      </w:r>
    </w:p>
    <w:p w14:paraId="74EBE07A" w14:textId="77777777" w:rsidR="00F5289E" w:rsidRDefault="00F5289E">
      <w:pPr>
        <w:widowControl/>
        <w:snapToGrid w:val="0"/>
        <w:spacing w:before="120" w:after="120" w:line="360" w:lineRule="auto"/>
        <w:jc w:val="center"/>
        <w:outlineLvl w:val="0"/>
        <w:rPr>
          <w:rFonts w:eastAsia="黑体"/>
          <w:b/>
          <w:bCs/>
          <w:kern w:val="36"/>
          <w:sz w:val="24"/>
        </w:rPr>
      </w:pPr>
    </w:p>
    <w:p w14:paraId="180F9EA3" w14:textId="77777777" w:rsidR="00F5289E" w:rsidRDefault="00C91173">
      <w:pPr>
        <w:snapToGrid w:val="0"/>
        <w:spacing w:line="360" w:lineRule="auto"/>
        <w:jc w:val="center"/>
        <w:rPr>
          <w:b/>
          <w:szCs w:val="21"/>
        </w:rPr>
      </w:pPr>
      <w:r>
        <w:rPr>
          <w:b/>
          <w:szCs w:val="21"/>
        </w:rPr>
        <w:t>课程基本信息</w:t>
      </w:r>
    </w:p>
    <w:tbl>
      <w:tblPr>
        <w:tblStyle w:val="af6"/>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2221"/>
        <w:gridCol w:w="3780"/>
      </w:tblGrid>
      <w:tr w:rsidR="00F5289E" w14:paraId="0E081198" w14:textId="77777777">
        <w:trPr>
          <w:trHeight w:val="485"/>
        </w:trPr>
        <w:tc>
          <w:tcPr>
            <w:tcW w:w="1666" w:type="pct"/>
            <w:vAlign w:val="center"/>
          </w:tcPr>
          <w:p w14:paraId="2A457F80" w14:textId="77777777" w:rsidR="00F5289E" w:rsidRDefault="00C91173">
            <w:pPr>
              <w:tabs>
                <w:tab w:val="left" w:pos="1740"/>
              </w:tabs>
              <w:snapToGrid w:val="0"/>
              <w:rPr>
                <w:b/>
                <w:bCs/>
                <w:szCs w:val="21"/>
              </w:rPr>
            </w:pPr>
            <w:r>
              <w:rPr>
                <w:b/>
                <w:bCs/>
                <w:szCs w:val="21"/>
              </w:rPr>
              <w:t>课程编号：</w:t>
            </w:r>
            <w:r w:rsidRPr="001B3040">
              <w:rPr>
                <w:szCs w:val="21"/>
              </w:rPr>
              <w:t>19011122</w:t>
            </w:r>
          </w:p>
        </w:tc>
        <w:tc>
          <w:tcPr>
            <w:tcW w:w="1234" w:type="pct"/>
            <w:vAlign w:val="center"/>
          </w:tcPr>
          <w:p w14:paraId="47391263" w14:textId="77777777" w:rsidR="00F5289E" w:rsidRDefault="00C91173">
            <w:pPr>
              <w:snapToGrid w:val="0"/>
              <w:rPr>
                <w:b/>
                <w:bCs/>
                <w:szCs w:val="21"/>
              </w:rPr>
            </w:pPr>
            <w:r>
              <w:rPr>
                <w:b/>
                <w:bCs/>
                <w:szCs w:val="21"/>
              </w:rPr>
              <w:t>课程学时：</w:t>
            </w:r>
            <w:r w:rsidRPr="001B3040">
              <w:rPr>
                <w:szCs w:val="21"/>
              </w:rPr>
              <w:t>24</w:t>
            </w:r>
          </w:p>
        </w:tc>
        <w:tc>
          <w:tcPr>
            <w:tcW w:w="2100" w:type="pct"/>
            <w:vAlign w:val="center"/>
          </w:tcPr>
          <w:p w14:paraId="73834557" w14:textId="77777777" w:rsidR="00F5289E" w:rsidRDefault="00C91173">
            <w:pPr>
              <w:snapToGrid w:val="0"/>
              <w:rPr>
                <w:b/>
                <w:bCs/>
                <w:szCs w:val="21"/>
              </w:rPr>
            </w:pPr>
            <w:r>
              <w:rPr>
                <w:b/>
                <w:bCs/>
                <w:szCs w:val="21"/>
              </w:rPr>
              <w:t>课程学分：</w:t>
            </w:r>
            <w:r w:rsidRPr="001B3040">
              <w:rPr>
                <w:szCs w:val="21"/>
              </w:rPr>
              <w:t>1.5</w:t>
            </w:r>
          </w:p>
        </w:tc>
      </w:tr>
      <w:tr w:rsidR="00F5289E" w14:paraId="51D4004F" w14:textId="77777777">
        <w:trPr>
          <w:trHeight w:val="485"/>
        </w:trPr>
        <w:tc>
          <w:tcPr>
            <w:tcW w:w="1666" w:type="pct"/>
            <w:vAlign w:val="center"/>
          </w:tcPr>
          <w:p w14:paraId="6697B8C7" w14:textId="77777777" w:rsidR="00F5289E" w:rsidRDefault="00C91173">
            <w:pPr>
              <w:snapToGrid w:val="0"/>
              <w:rPr>
                <w:b/>
                <w:bCs/>
                <w:szCs w:val="21"/>
              </w:rPr>
            </w:pPr>
            <w:r>
              <w:rPr>
                <w:b/>
                <w:bCs/>
                <w:szCs w:val="21"/>
              </w:rPr>
              <w:t>主撰人：</w:t>
            </w:r>
            <w:r w:rsidR="001B3040" w:rsidRPr="001B3040">
              <w:rPr>
                <w:rFonts w:hint="eastAsia"/>
                <w:szCs w:val="21"/>
              </w:rPr>
              <w:t>杜清洁</w:t>
            </w:r>
          </w:p>
        </w:tc>
        <w:tc>
          <w:tcPr>
            <w:tcW w:w="1234" w:type="pct"/>
            <w:vAlign w:val="center"/>
          </w:tcPr>
          <w:p w14:paraId="65988BD9" w14:textId="77777777" w:rsidR="00F5289E" w:rsidRDefault="00C91173">
            <w:pPr>
              <w:snapToGrid w:val="0"/>
              <w:rPr>
                <w:b/>
                <w:bCs/>
                <w:szCs w:val="21"/>
              </w:rPr>
            </w:pPr>
            <w:r>
              <w:rPr>
                <w:b/>
                <w:bCs/>
                <w:szCs w:val="21"/>
              </w:rPr>
              <w:t>审核人：</w:t>
            </w:r>
            <w:r w:rsidR="001B3040" w:rsidRPr="001B3040">
              <w:rPr>
                <w:rFonts w:hint="eastAsia"/>
                <w:szCs w:val="21"/>
              </w:rPr>
              <w:t>王吉庆</w:t>
            </w:r>
          </w:p>
        </w:tc>
        <w:tc>
          <w:tcPr>
            <w:tcW w:w="2100" w:type="pct"/>
            <w:vAlign w:val="center"/>
          </w:tcPr>
          <w:p w14:paraId="2839F0B4" w14:textId="77777777" w:rsidR="00F5289E" w:rsidRDefault="00C91173">
            <w:pPr>
              <w:snapToGrid w:val="0"/>
              <w:rPr>
                <w:b/>
                <w:bCs/>
                <w:szCs w:val="21"/>
              </w:rPr>
            </w:pPr>
            <w:r>
              <w:rPr>
                <w:b/>
                <w:bCs/>
                <w:szCs w:val="21"/>
              </w:rPr>
              <w:t>大纲制定（修订）日期</w:t>
            </w:r>
            <w:r w:rsidRPr="001B3040">
              <w:rPr>
                <w:szCs w:val="21"/>
              </w:rPr>
              <w:t>：</w:t>
            </w:r>
            <w:r w:rsidR="001B3040" w:rsidRPr="001B3040">
              <w:rPr>
                <w:szCs w:val="21"/>
              </w:rPr>
              <w:t>2023.05</w:t>
            </w:r>
          </w:p>
        </w:tc>
      </w:tr>
    </w:tbl>
    <w:p w14:paraId="4D1CA526" w14:textId="77777777" w:rsidR="00F5289E" w:rsidRDefault="00F5289E">
      <w:pPr>
        <w:pStyle w:val="a9"/>
        <w:spacing w:line="360" w:lineRule="auto"/>
        <w:rPr>
          <w:b/>
          <w:bCs/>
        </w:rPr>
      </w:pPr>
    </w:p>
    <w:p w14:paraId="5EF88376" w14:textId="77777777" w:rsidR="00F5289E" w:rsidRDefault="00C91173">
      <w:pPr>
        <w:pStyle w:val="a9"/>
        <w:spacing w:line="360" w:lineRule="auto"/>
        <w:rPr>
          <w:b/>
          <w:bCs/>
        </w:rPr>
      </w:pPr>
      <w:r>
        <w:rPr>
          <w:b/>
          <w:bCs/>
        </w:rPr>
        <w:t>一、课程的性质和地位</w:t>
      </w:r>
    </w:p>
    <w:p w14:paraId="7ED82BD7" w14:textId="77777777" w:rsidR="00F5289E" w:rsidRDefault="00C91173">
      <w:pPr>
        <w:adjustRightInd w:val="0"/>
        <w:snapToGrid w:val="0"/>
        <w:spacing w:line="360" w:lineRule="auto"/>
        <w:ind w:firstLineChars="200" w:firstLine="420"/>
        <w:rPr>
          <w:szCs w:val="21"/>
        </w:rPr>
      </w:pPr>
      <w:r>
        <w:rPr>
          <w:kern w:val="0"/>
          <w:szCs w:val="21"/>
        </w:rPr>
        <w:t>《创意农业》</w:t>
      </w:r>
      <w:r>
        <w:rPr>
          <w:bCs/>
          <w:kern w:val="0"/>
          <w:szCs w:val="21"/>
        </w:rPr>
        <w:t>是园艺、茶学、设施农业科学与工程专业的一门选修课。该课程以附加价值理论、美学经济理论、价值链理论为指导，以园艺植物栽培学、农产品贮藏加工学、农产品市场营销学、园林景观设计等知识为基础，通过讲授创意农业设计的基本理论、基本方法，分析创意农业的典型案例，使学生了解创意农业、初步具备对农业产业链各环节进行创意加工，将农产品与文化、艺术等创意结合的知识和能力，属应用科学，在培养学生理论联系实际和专业实践操作技能及创新意识方面有重要地位。</w:t>
      </w:r>
    </w:p>
    <w:p w14:paraId="4616DF7A" w14:textId="77777777" w:rsidR="00F5289E" w:rsidRDefault="00C91173">
      <w:pPr>
        <w:pStyle w:val="a9"/>
        <w:spacing w:line="360" w:lineRule="auto"/>
        <w:rPr>
          <w:b/>
          <w:bCs/>
        </w:rPr>
      </w:pPr>
      <w:r>
        <w:rPr>
          <w:b/>
          <w:bCs/>
        </w:rPr>
        <w:t>二、理论教学部分的考核目标</w:t>
      </w:r>
    </w:p>
    <w:p w14:paraId="76881546" w14:textId="77777777" w:rsidR="00F5289E" w:rsidRDefault="00C91173">
      <w:pPr>
        <w:widowControl/>
        <w:adjustRightInd w:val="0"/>
        <w:snapToGrid w:val="0"/>
        <w:spacing w:line="360" w:lineRule="auto"/>
        <w:ind w:firstLineChars="200" w:firstLine="420"/>
        <w:jc w:val="left"/>
        <w:rPr>
          <w:bCs/>
          <w:kern w:val="0"/>
          <w:szCs w:val="21"/>
        </w:rPr>
      </w:pPr>
      <w:r>
        <w:rPr>
          <w:kern w:val="0"/>
          <w:szCs w:val="21"/>
        </w:rPr>
        <w:t>1.</w:t>
      </w:r>
      <w:r>
        <w:rPr>
          <w:kern w:val="0"/>
          <w:szCs w:val="21"/>
        </w:rPr>
        <w:t>了解</w:t>
      </w:r>
      <w:r>
        <w:rPr>
          <w:bCs/>
          <w:kern w:val="0"/>
          <w:szCs w:val="21"/>
        </w:rPr>
        <w:t>创意农业的附加价值理论、美学经济理论、价值链理论等基本理论，理解相关理论对创意农业的指导意义。</w:t>
      </w:r>
    </w:p>
    <w:p w14:paraId="5DA502FB" w14:textId="77777777" w:rsidR="00F5289E" w:rsidRDefault="00C91173">
      <w:pPr>
        <w:widowControl/>
        <w:adjustRightInd w:val="0"/>
        <w:snapToGrid w:val="0"/>
        <w:spacing w:line="360" w:lineRule="auto"/>
        <w:ind w:firstLineChars="200" w:firstLine="420"/>
        <w:jc w:val="left"/>
        <w:rPr>
          <w:bCs/>
          <w:kern w:val="0"/>
          <w:szCs w:val="21"/>
        </w:rPr>
      </w:pPr>
      <w:r>
        <w:rPr>
          <w:kern w:val="0"/>
          <w:szCs w:val="21"/>
        </w:rPr>
        <w:t>2.</w:t>
      </w:r>
      <w:r>
        <w:rPr>
          <w:bCs/>
          <w:kern w:val="0"/>
          <w:szCs w:val="21"/>
        </w:rPr>
        <w:t>了解农业产业链各环节在创意农业中增加附加值中的地位。</w:t>
      </w:r>
    </w:p>
    <w:p w14:paraId="1E704E66"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3.</w:t>
      </w:r>
      <w:r>
        <w:rPr>
          <w:bCs/>
          <w:kern w:val="0"/>
          <w:szCs w:val="21"/>
        </w:rPr>
        <w:t>了解创意农业的基本类型和主类型，掌握创意农业进行产品深度开发必需的生物学理论。</w:t>
      </w:r>
    </w:p>
    <w:p w14:paraId="557C5228" w14:textId="77777777" w:rsidR="00F5289E" w:rsidRDefault="00C91173">
      <w:pPr>
        <w:snapToGrid w:val="0"/>
        <w:spacing w:afterLines="50" w:after="156" w:line="360" w:lineRule="auto"/>
        <w:ind w:firstLineChars="49" w:firstLine="103"/>
        <w:jc w:val="center"/>
        <w:rPr>
          <w:b/>
          <w:szCs w:val="21"/>
        </w:rPr>
      </w:pPr>
      <w:r>
        <w:rPr>
          <w:b/>
          <w:szCs w:val="21"/>
        </w:rPr>
        <w:t>绪</w:t>
      </w:r>
      <w:r>
        <w:rPr>
          <w:b/>
          <w:szCs w:val="21"/>
        </w:rPr>
        <w:t xml:space="preserve"> </w:t>
      </w:r>
      <w:r>
        <w:rPr>
          <w:b/>
          <w:szCs w:val="21"/>
        </w:rPr>
        <w:t>论</w:t>
      </w:r>
    </w:p>
    <w:p w14:paraId="1D689DBA" w14:textId="77777777" w:rsidR="00F5289E" w:rsidRDefault="00C91173">
      <w:pPr>
        <w:snapToGrid w:val="0"/>
        <w:spacing w:line="360" w:lineRule="auto"/>
        <w:rPr>
          <w:b/>
          <w:szCs w:val="21"/>
        </w:rPr>
      </w:pPr>
      <w:r>
        <w:rPr>
          <w:b/>
          <w:szCs w:val="21"/>
        </w:rPr>
        <w:t>（一）学习目标</w:t>
      </w:r>
    </w:p>
    <w:p w14:paraId="5177B033"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kern w:val="0"/>
          <w:szCs w:val="21"/>
        </w:rPr>
        <w:t>创意农业的发展历程、创意农业兴起的原因。</w:t>
      </w:r>
    </w:p>
    <w:p w14:paraId="77AF873D"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kern w:val="0"/>
          <w:szCs w:val="21"/>
        </w:rPr>
        <w:t>创意农业的特点，创意农业在农村经济中的作用。</w:t>
      </w:r>
    </w:p>
    <w:p w14:paraId="23E432E3"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kern w:val="0"/>
          <w:szCs w:val="21"/>
        </w:rPr>
        <w:t>创意农业的概念，创意农业发展面临的问题及对策。</w:t>
      </w:r>
    </w:p>
    <w:p w14:paraId="0480EE88" w14:textId="77777777" w:rsidR="00F5289E" w:rsidRDefault="00C91173">
      <w:pPr>
        <w:snapToGrid w:val="0"/>
        <w:spacing w:line="360" w:lineRule="auto"/>
        <w:rPr>
          <w:szCs w:val="21"/>
        </w:rPr>
      </w:pPr>
      <w:r>
        <w:rPr>
          <w:b/>
          <w:szCs w:val="21"/>
        </w:rPr>
        <w:t>（二）考核内容</w:t>
      </w:r>
    </w:p>
    <w:p w14:paraId="614B967F" w14:textId="77777777" w:rsidR="00F5289E" w:rsidRDefault="00C91173">
      <w:pPr>
        <w:snapToGrid w:val="0"/>
        <w:spacing w:line="360" w:lineRule="auto"/>
        <w:ind w:firstLineChars="200" w:firstLine="420"/>
        <w:rPr>
          <w:szCs w:val="21"/>
        </w:rPr>
      </w:pPr>
      <w:r>
        <w:rPr>
          <w:kern w:val="0"/>
          <w:szCs w:val="21"/>
        </w:rPr>
        <w:t>创意农业的概念；创意农业的特点；创意农业的发展历程；创意农业发展面临的问题及对策。</w:t>
      </w:r>
    </w:p>
    <w:p w14:paraId="2BD95DBB" w14:textId="77777777" w:rsidR="00F5289E" w:rsidRDefault="00C91173">
      <w:pPr>
        <w:snapToGrid w:val="0"/>
        <w:spacing w:line="360" w:lineRule="auto"/>
        <w:rPr>
          <w:b/>
          <w:szCs w:val="21"/>
        </w:rPr>
      </w:pPr>
      <w:r>
        <w:rPr>
          <w:b/>
          <w:szCs w:val="21"/>
        </w:rPr>
        <w:t>（三）考核要求</w:t>
      </w:r>
    </w:p>
    <w:p w14:paraId="4CED8F5F" w14:textId="77777777" w:rsidR="00F5289E" w:rsidRDefault="00C91173">
      <w:pPr>
        <w:snapToGrid w:val="0"/>
        <w:spacing w:line="360" w:lineRule="auto"/>
        <w:ind w:firstLineChars="200" w:firstLine="422"/>
        <w:rPr>
          <w:bCs/>
          <w:szCs w:val="21"/>
        </w:rPr>
      </w:pPr>
      <w:r>
        <w:rPr>
          <w:b/>
          <w:szCs w:val="21"/>
        </w:rPr>
        <w:t xml:space="preserve">1. </w:t>
      </w:r>
      <w:r>
        <w:rPr>
          <w:b/>
          <w:szCs w:val="21"/>
        </w:rPr>
        <w:t>识记</w:t>
      </w:r>
      <w:r>
        <w:rPr>
          <w:szCs w:val="21"/>
        </w:rPr>
        <w:t>：</w:t>
      </w:r>
      <w:r>
        <w:rPr>
          <w:kern w:val="0"/>
          <w:szCs w:val="21"/>
        </w:rPr>
        <w:t>创意农业的概念</w:t>
      </w:r>
    </w:p>
    <w:p w14:paraId="50A21171"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kern w:val="0"/>
          <w:szCs w:val="21"/>
        </w:rPr>
        <w:t>创意农业的特点</w:t>
      </w:r>
    </w:p>
    <w:p w14:paraId="74840566"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kern w:val="0"/>
          <w:szCs w:val="21"/>
        </w:rPr>
        <w:t>创意农业发展面临的问题及对策</w:t>
      </w:r>
    </w:p>
    <w:p w14:paraId="07D002BC" w14:textId="77777777" w:rsidR="00F5289E" w:rsidRDefault="00C91173">
      <w:pPr>
        <w:snapToGrid w:val="0"/>
        <w:spacing w:line="360" w:lineRule="auto"/>
        <w:ind w:firstLineChars="200" w:firstLine="422"/>
        <w:rPr>
          <w:b/>
          <w:szCs w:val="21"/>
        </w:rPr>
      </w:pPr>
      <w:r>
        <w:rPr>
          <w:b/>
          <w:szCs w:val="21"/>
        </w:rPr>
        <w:t xml:space="preserve">4. </w:t>
      </w:r>
      <w:r>
        <w:rPr>
          <w:b/>
          <w:szCs w:val="21"/>
        </w:rPr>
        <w:t>分析：</w:t>
      </w:r>
      <w:r>
        <w:rPr>
          <w:kern w:val="0"/>
          <w:szCs w:val="21"/>
        </w:rPr>
        <w:t>创意农业兴起的原因</w:t>
      </w:r>
    </w:p>
    <w:p w14:paraId="52059055" w14:textId="77777777" w:rsidR="00F5289E" w:rsidRDefault="00C91173">
      <w:pPr>
        <w:snapToGrid w:val="0"/>
        <w:spacing w:line="360" w:lineRule="auto"/>
        <w:ind w:firstLineChars="200" w:firstLine="422"/>
        <w:rPr>
          <w:b/>
          <w:szCs w:val="21"/>
        </w:rPr>
      </w:pPr>
      <w:r>
        <w:rPr>
          <w:b/>
          <w:szCs w:val="21"/>
        </w:rPr>
        <w:lastRenderedPageBreak/>
        <w:t xml:space="preserve">5. </w:t>
      </w:r>
      <w:r>
        <w:rPr>
          <w:b/>
          <w:szCs w:val="21"/>
        </w:rPr>
        <w:t>评价：</w:t>
      </w:r>
      <w:r>
        <w:rPr>
          <w:kern w:val="0"/>
          <w:szCs w:val="21"/>
        </w:rPr>
        <w:t>创意农业在农村经济中的作用</w:t>
      </w:r>
    </w:p>
    <w:p w14:paraId="3A7EE2E6" w14:textId="77777777" w:rsidR="00F5289E" w:rsidRDefault="00C91173">
      <w:pPr>
        <w:pStyle w:val="a9"/>
        <w:snapToGrid w:val="0"/>
        <w:spacing w:line="360" w:lineRule="auto"/>
        <w:ind w:firstLine="422"/>
        <w:jc w:val="center"/>
        <w:rPr>
          <w:rFonts w:ascii="Times New Roman" w:hAnsi="Times New Roman" w:cs="Times New Roman"/>
          <w:b/>
        </w:rPr>
      </w:pPr>
      <w:r>
        <w:rPr>
          <w:rFonts w:ascii="Times New Roman" w:hAnsi="Times New Roman" w:cs="Times New Roman"/>
          <w:b/>
        </w:rPr>
        <w:t>第一章</w:t>
      </w:r>
      <w:r>
        <w:rPr>
          <w:rFonts w:ascii="Times New Roman" w:hAnsi="Times New Roman" w:cs="Times New Roman"/>
          <w:b/>
        </w:rPr>
        <w:t xml:space="preserve">  </w:t>
      </w:r>
      <w:r>
        <w:rPr>
          <w:rFonts w:ascii="Times New Roman" w:hAnsi="Times New Roman" w:cs="Times New Roman"/>
          <w:b/>
          <w:kern w:val="0"/>
        </w:rPr>
        <w:t>创意农业的基本理论与模式</w:t>
      </w:r>
    </w:p>
    <w:p w14:paraId="30D3591D" w14:textId="77777777" w:rsidR="00F5289E" w:rsidRDefault="00C91173">
      <w:pPr>
        <w:snapToGrid w:val="0"/>
        <w:spacing w:line="360" w:lineRule="auto"/>
        <w:rPr>
          <w:b/>
          <w:szCs w:val="21"/>
        </w:rPr>
      </w:pPr>
      <w:r>
        <w:rPr>
          <w:b/>
          <w:szCs w:val="21"/>
        </w:rPr>
        <w:t>（一）学习目标</w:t>
      </w:r>
    </w:p>
    <w:p w14:paraId="370E72EB"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kern w:val="0"/>
          <w:szCs w:val="21"/>
        </w:rPr>
        <w:t>附加价值理论、美学经济理论、价值链理论。</w:t>
      </w:r>
    </w:p>
    <w:p w14:paraId="405B82DA"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kern w:val="0"/>
          <w:szCs w:val="21"/>
        </w:rPr>
        <w:t>附加价值理论、美学经济理论、价值链理论指导创意农业方法</w:t>
      </w:r>
      <w:r>
        <w:rPr>
          <w:bCs/>
          <w:szCs w:val="21"/>
        </w:rPr>
        <w:t>。</w:t>
      </w:r>
    </w:p>
    <w:p w14:paraId="11B7CB1A" w14:textId="77777777" w:rsidR="00F5289E" w:rsidRDefault="00C91173">
      <w:pPr>
        <w:snapToGrid w:val="0"/>
        <w:spacing w:line="360" w:lineRule="auto"/>
        <w:ind w:firstLineChars="200" w:firstLine="422"/>
        <w:rPr>
          <w:b/>
          <w:szCs w:val="21"/>
        </w:rPr>
      </w:pPr>
      <w:r>
        <w:rPr>
          <w:b/>
          <w:szCs w:val="21"/>
        </w:rPr>
        <w:t xml:space="preserve">3. </w:t>
      </w:r>
      <w:r>
        <w:rPr>
          <w:b/>
          <w:szCs w:val="21"/>
        </w:rPr>
        <w:t>熟练掌握</w:t>
      </w:r>
      <w:r>
        <w:rPr>
          <w:szCs w:val="21"/>
        </w:rPr>
        <w:t>：</w:t>
      </w:r>
      <w:r>
        <w:rPr>
          <w:kern w:val="0"/>
          <w:szCs w:val="21"/>
        </w:rPr>
        <w:t>通过创意提高基本活动环节中研发、生产、加工、销售环节附加值的方法</w:t>
      </w:r>
      <w:r>
        <w:rPr>
          <w:bCs/>
          <w:szCs w:val="21"/>
        </w:rPr>
        <w:t>。</w:t>
      </w:r>
    </w:p>
    <w:p w14:paraId="52F7591E" w14:textId="77777777" w:rsidR="00F5289E" w:rsidRDefault="00C91173">
      <w:pPr>
        <w:snapToGrid w:val="0"/>
        <w:spacing w:line="360" w:lineRule="auto"/>
        <w:rPr>
          <w:szCs w:val="21"/>
        </w:rPr>
      </w:pPr>
      <w:r>
        <w:rPr>
          <w:b/>
          <w:szCs w:val="21"/>
        </w:rPr>
        <w:t>（二）考核内容</w:t>
      </w:r>
    </w:p>
    <w:p w14:paraId="7622C856" w14:textId="77777777" w:rsidR="00F5289E" w:rsidRDefault="00C91173">
      <w:pPr>
        <w:widowControl/>
        <w:snapToGrid w:val="0"/>
        <w:spacing w:line="360" w:lineRule="auto"/>
        <w:ind w:firstLineChars="250" w:firstLine="525"/>
        <w:jc w:val="left"/>
        <w:rPr>
          <w:kern w:val="0"/>
          <w:szCs w:val="21"/>
        </w:rPr>
      </w:pPr>
      <w:r>
        <w:rPr>
          <w:kern w:val="0"/>
          <w:szCs w:val="21"/>
        </w:rPr>
        <w:t>附加价值理论、美学经济理论、价值链理论；价值链理论包含的的基本活动环节和支持性活动环节内容；基本活动环节和支持性活动环节对增加农业附加值的重要性；研发环节、生产环节、加工环节、销售环节的创意农业模式。</w:t>
      </w:r>
    </w:p>
    <w:p w14:paraId="2F6C6F6C" w14:textId="77777777" w:rsidR="00F5289E" w:rsidRDefault="00C91173">
      <w:pPr>
        <w:snapToGrid w:val="0"/>
        <w:spacing w:line="360" w:lineRule="auto"/>
        <w:rPr>
          <w:b/>
          <w:szCs w:val="21"/>
        </w:rPr>
      </w:pPr>
      <w:r>
        <w:rPr>
          <w:b/>
          <w:szCs w:val="21"/>
        </w:rPr>
        <w:t>（三）考核要求</w:t>
      </w:r>
    </w:p>
    <w:p w14:paraId="6DFB5687"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kern w:val="0"/>
          <w:szCs w:val="21"/>
        </w:rPr>
        <w:t>附加价值理论、美学经济理论、价值链理论。</w:t>
      </w:r>
    </w:p>
    <w:p w14:paraId="5E336025" w14:textId="77777777" w:rsidR="00F5289E" w:rsidRDefault="00C91173">
      <w:pPr>
        <w:widowControl/>
        <w:snapToGrid w:val="0"/>
        <w:spacing w:line="360" w:lineRule="auto"/>
        <w:ind w:firstLineChars="200" w:firstLine="422"/>
        <w:jc w:val="left"/>
        <w:rPr>
          <w:kern w:val="0"/>
          <w:szCs w:val="21"/>
        </w:rPr>
      </w:pPr>
      <w:r>
        <w:rPr>
          <w:b/>
          <w:szCs w:val="21"/>
        </w:rPr>
        <w:t xml:space="preserve">2. </w:t>
      </w:r>
      <w:r>
        <w:rPr>
          <w:b/>
          <w:szCs w:val="21"/>
        </w:rPr>
        <w:t>领会</w:t>
      </w:r>
      <w:r>
        <w:rPr>
          <w:szCs w:val="21"/>
        </w:rPr>
        <w:t>：</w:t>
      </w:r>
      <w:r>
        <w:rPr>
          <w:kern w:val="0"/>
          <w:szCs w:val="21"/>
        </w:rPr>
        <w:t>附加价值理论、美学经济理论、价值链理论对创意农业的指导作用。</w:t>
      </w:r>
    </w:p>
    <w:p w14:paraId="73FC42E1" w14:textId="77777777" w:rsidR="00F5289E" w:rsidRDefault="00C91173">
      <w:pPr>
        <w:snapToGrid w:val="0"/>
        <w:spacing w:line="360" w:lineRule="auto"/>
        <w:ind w:firstLineChars="200" w:firstLine="422"/>
        <w:rPr>
          <w:kern w:val="0"/>
          <w:szCs w:val="21"/>
        </w:rPr>
      </w:pPr>
      <w:r>
        <w:rPr>
          <w:b/>
          <w:szCs w:val="21"/>
        </w:rPr>
        <w:t xml:space="preserve">3. </w:t>
      </w:r>
      <w:r>
        <w:rPr>
          <w:b/>
          <w:szCs w:val="21"/>
        </w:rPr>
        <w:t>应用</w:t>
      </w:r>
      <w:r>
        <w:rPr>
          <w:szCs w:val="21"/>
        </w:rPr>
        <w:t>：</w:t>
      </w:r>
      <w:r>
        <w:rPr>
          <w:kern w:val="0"/>
          <w:szCs w:val="21"/>
        </w:rPr>
        <w:t>通过创意提高基本活动环节中研发、生产、加工、销售环节附加值的方法。</w:t>
      </w:r>
    </w:p>
    <w:p w14:paraId="2F9EB0F8" w14:textId="77777777" w:rsidR="00F5289E" w:rsidRDefault="00C91173">
      <w:pPr>
        <w:snapToGrid w:val="0"/>
        <w:spacing w:line="360" w:lineRule="auto"/>
        <w:ind w:firstLineChars="200" w:firstLine="422"/>
        <w:rPr>
          <w:b/>
          <w:szCs w:val="21"/>
        </w:rPr>
      </w:pPr>
      <w:r>
        <w:rPr>
          <w:b/>
          <w:szCs w:val="21"/>
        </w:rPr>
        <w:t xml:space="preserve">4. </w:t>
      </w:r>
      <w:r>
        <w:rPr>
          <w:b/>
          <w:szCs w:val="21"/>
        </w:rPr>
        <w:t>分析：</w:t>
      </w:r>
      <w:r>
        <w:rPr>
          <w:kern w:val="0"/>
          <w:szCs w:val="21"/>
        </w:rPr>
        <w:t>支持性活动环节中农业资源基础、地理空间、技术环境、政策环境对发展创意农业的重要性。</w:t>
      </w:r>
    </w:p>
    <w:p w14:paraId="75F7DE0D" w14:textId="77777777" w:rsidR="00F5289E" w:rsidRDefault="00C91173">
      <w:pPr>
        <w:pStyle w:val="a9"/>
        <w:snapToGrid w:val="0"/>
        <w:spacing w:line="360" w:lineRule="auto"/>
        <w:ind w:firstLine="422"/>
        <w:jc w:val="center"/>
        <w:rPr>
          <w:rFonts w:ascii="Times New Roman" w:hAnsi="Times New Roman" w:cs="Times New Roman"/>
          <w:b/>
        </w:rPr>
      </w:pPr>
      <w:r>
        <w:rPr>
          <w:rFonts w:ascii="Times New Roman" w:hAnsi="Times New Roman" w:cs="Times New Roman"/>
          <w:b/>
        </w:rPr>
        <w:t>第二章</w:t>
      </w:r>
      <w:r>
        <w:rPr>
          <w:rFonts w:ascii="Times New Roman" w:hAnsi="Times New Roman" w:cs="Times New Roman"/>
          <w:b/>
        </w:rPr>
        <w:t xml:space="preserve">  </w:t>
      </w:r>
      <w:r>
        <w:rPr>
          <w:rFonts w:ascii="Times New Roman" w:hAnsi="Times New Roman" w:cs="Times New Roman"/>
          <w:b/>
          <w:bCs/>
          <w:kern w:val="0"/>
        </w:rPr>
        <w:t>创意农业开发途径与方法</w:t>
      </w:r>
      <w:r>
        <w:rPr>
          <w:rFonts w:ascii="Times New Roman" w:hAnsi="Times New Roman" w:cs="Times New Roman"/>
          <w:b/>
          <w:bCs/>
          <w:kern w:val="0"/>
        </w:rPr>
        <w:t xml:space="preserve">  </w:t>
      </w:r>
    </w:p>
    <w:p w14:paraId="410E8F42" w14:textId="77777777" w:rsidR="00F5289E" w:rsidRDefault="00C91173">
      <w:pPr>
        <w:snapToGrid w:val="0"/>
        <w:spacing w:line="360" w:lineRule="auto"/>
        <w:rPr>
          <w:b/>
          <w:szCs w:val="21"/>
        </w:rPr>
      </w:pPr>
      <w:r>
        <w:rPr>
          <w:b/>
          <w:szCs w:val="21"/>
        </w:rPr>
        <w:t>（一）学习目标</w:t>
      </w:r>
    </w:p>
    <w:p w14:paraId="669ABE9A" w14:textId="77777777" w:rsidR="00F5289E" w:rsidRDefault="00C91173">
      <w:pPr>
        <w:snapToGrid w:val="0"/>
        <w:spacing w:line="360" w:lineRule="auto"/>
        <w:ind w:firstLineChars="200" w:firstLine="422"/>
        <w:rPr>
          <w:kern w:val="0"/>
          <w:szCs w:val="21"/>
        </w:rPr>
      </w:pPr>
      <w:r>
        <w:rPr>
          <w:b/>
          <w:szCs w:val="21"/>
        </w:rPr>
        <w:t xml:space="preserve">1. </w:t>
      </w:r>
      <w:r>
        <w:rPr>
          <w:b/>
          <w:szCs w:val="21"/>
        </w:rPr>
        <w:t>一般了解</w:t>
      </w:r>
      <w:r>
        <w:rPr>
          <w:szCs w:val="21"/>
        </w:rPr>
        <w:t>：</w:t>
      </w:r>
      <w:r>
        <w:rPr>
          <w:kern w:val="0"/>
          <w:szCs w:val="21"/>
        </w:rPr>
        <w:t>研发环节创意农业设计的内涵，农业主题公园、农业节庆开发创意农业设计的要素，参观销售、节庆销售、线上销售、个性化需求销售的方法。</w:t>
      </w:r>
    </w:p>
    <w:p w14:paraId="598EFBCD"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kern w:val="0"/>
          <w:szCs w:val="21"/>
        </w:rPr>
        <w:t>提高基本活动环节中研发、生产、加工、销售环节附加值的方法</w:t>
      </w:r>
      <w:r>
        <w:rPr>
          <w:bCs/>
          <w:szCs w:val="21"/>
        </w:rPr>
        <w:t>。</w:t>
      </w:r>
    </w:p>
    <w:p w14:paraId="5D5EC9DA"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kern w:val="0"/>
          <w:szCs w:val="21"/>
        </w:rPr>
        <w:t>科技创意设计的类别，栽培创意设计的原理和方法，大地景观设计的生物学原则，资源循环利用创意类型，包装创意的类型和途径</w:t>
      </w:r>
      <w:r>
        <w:rPr>
          <w:bCs/>
          <w:szCs w:val="21"/>
        </w:rPr>
        <w:t>。</w:t>
      </w:r>
    </w:p>
    <w:p w14:paraId="18729CFE" w14:textId="77777777" w:rsidR="00F5289E" w:rsidRDefault="00C91173">
      <w:pPr>
        <w:snapToGrid w:val="0"/>
        <w:spacing w:line="360" w:lineRule="auto"/>
        <w:rPr>
          <w:szCs w:val="21"/>
        </w:rPr>
      </w:pPr>
      <w:r>
        <w:rPr>
          <w:b/>
          <w:szCs w:val="21"/>
        </w:rPr>
        <w:t>（二）考核内容</w:t>
      </w:r>
    </w:p>
    <w:p w14:paraId="7FFD8C38" w14:textId="77777777" w:rsidR="00F5289E" w:rsidRDefault="00C91173">
      <w:pPr>
        <w:snapToGrid w:val="0"/>
        <w:spacing w:line="360" w:lineRule="auto"/>
        <w:ind w:firstLineChars="200" w:firstLine="420"/>
        <w:rPr>
          <w:kern w:val="0"/>
          <w:szCs w:val="21"/>
        </w:rPr>
      </w:pPr>
      <w:r>
        <w:rPr>
          <w:kern w:val="0"/>
          <w:szCs w:val="21"/>
        </w:rPr>
        <w:t>研发环节创意农业设计的内涵；农业主题公园、农业节庆开发创意农业设计的要素；科技创意设计的类别；亲情创意、寓意祝福设计的类型和途径；农产品形色创意、用途创意设计的类型和途径；资源循环利用创意类型；包装创意的类型和途径；熟练掌握大地景观设计的生物学原则；巨型园艺产品创意设计的生物学原理；栽培创意设计的原理；品牌创建的途径和方法；参观销售、节庆销售、线上销售、个性化需求销售的方法。</w:t>
      </w:r>
    </w:p>
    <w:p w14:paraId="3CF93947" w14:textId="77777777" w:rsidR="00F5289E" w:rsidRDefault="00C91173">
      <w:pPr>
        <w:snapToGrid w:val="0"/>
        <w:spacing w:line="360" w:lineRule="auto"/>
        <w:rPr>
          <w:b/>
          <w:szCs w:val="21"/>
        </w:rPr>
      </w:pPr>
      <w:r>
        <w:rPr>
          <w:b/>
          <w:szCs w:val="21"/>
        </w:rPr>
        <w:t>（三）考核要求</w:t>
      </w:r>
    </w:p>
    <w:p w14:paraId="4017393A" w14:textId="77777777" w:rsidR="00F5289E" w:rsidRDefault="00C91173">
      <w:pPr>
        <w:snapToGrid w:val="0"/>
        <w:spacing w:line="360" w:lineRule="auto"/>
        <w:ind w:firstLineChars="200" w:firstLine="422"/>
        <w:rPr>
          <w:kern w:val="0"/>
          <w:szCs w:val="21"/>
        </w:rPr>
      </w:pPr>
      <w:r>
        <w:rPr>
          <w:b/>
          <w:szCs w:val="21"/>
        </w:rPr>
        <w:t xml:space="preserve">1. </w:t>
      </w:r>
      <w:r>
        <w:rPr>
          <w:b/>
          <w:szCs w:val="21"/>
        </w:rPr>
        <w:t>识记</w:t>
      </w:r>
      <w:r>
        <w:rPr>
          <w:szCs w:val="21"/>
        </w:rPr>
        <w:t>：</w:t>
      </w:r>
      <w:r>
        <w:rPr>
          <w:kern w:val="0"/>
          <w:szCs w:val="21"/>
        </w:rPr>
        <w:t>研发环节创意农业设计的内涵。</w:t>
      </w:r>
    </w:p>
    <w:p w14:paraId="55FB3724" w14:textId="77777777" w:rsidR="00F5289E" w:rsidRDefault="00C91173">
      <w:pPr>
        <w:snapToGrid w:val="0"/>
        <w:spacing w:line="360" w:lineRule="auto"/>
        <w:ind w:firstLineChars="200" w:firstLine="422"/>
        <w:rPr>
          <w:bCs/>
          <w:szCs w:val="21"/>
        </w:rPr>
      </w:pPr>
      <w:r>
        <w:rPr>
          <w:b/>
          <w:szCs w:val="21"/>
        </w:rPr>
        <w:t xml:space="preserve">2. </w:t>
      </w:r>
      <w:r>
        <w:rPr>
          <w:b/>
          <w:szCs w:val="21"/>
        </w:rPr>
        <w:t>领会</w:t>
      </w:r>
      <w:r>
        <w:rPr>
          <w:szCs w:val="21"/>
        </w:rPr>
        <w:t>：</w:t>
      </w:r>
      <w:r>
        <w:rPr>
          <w:kern w:val="0"/>
          <w:szCs w:val="21"/>
        </w:rPr>
        <w:t>大地景观设计的生物学原则，巨型园艺产品创意设计的生物学原理，栽培创意设计的原理和方法。</w:t>
      </w:r>
    </w:p>
    <w:p w14:paraId="217F4E73"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kern w:val="0"/>
          <w:szCs w:val="21"/>
        </w:rPr>
        <w:t>巨型园艺产品创意设计方法，亲情创意、寓意祝福设计方法</w:t>
      </w:r>
      <w:r>
        <w:rPr>
          <w:bCs/>
          <w:szCs w:val="21"/>
        </w:rPr>
        <w:t>。</w:t>
      </w:r>
    </w:p>
    <w:p w14:paraId="2BF15A9C" w14:textId="77777777" w:rsidR="00F5289E" w:rsidRDefault="00C91173">
      <w:pPr>
        <w:snapToGrid w:val="0"/>
        <w:spacing w:line="360" w:lineRule="auto"/>
        <w:ind w:firstLineChars="200" w:firstLine="422"/>
        <w:rPr>
          <w:kern w:val="0"/>
          <w:szCs w:val="21"/>
        </w:rPr>
      </w:pPr>
      <w:r>
        <w:rPr>
          <w:b/>
          <w:szCs w:val="21"/>
        </w:rPr>
        <w:lastRenderedPageBreak/>
        <w:t xml:space="preserve">4. </w:t>
      </w:r>
      <w:r>
        <w:rPr>
          <w:b/>
          <w:szCs w:val="21"/>
        </w:rPr>
        <w:t>分析：</w:t>
      </w:r>
      <w:r>
        <w:rPr>
          <w:kern w:val="0"/>
          <w:szCs w:val="21"/>
        </w:rPr>
        <w:t>参观销售、节庆销售、线上销售、个性化需求销售的方法。</w:t>
      </w:r>
    </w:p>
    <w:p w14:paraId="652DDB6D" w14:textId="77777777" w:rsidR="00F5289E" w:rsidRDefault="00C91173">
      <w:pPr>
        <w:snapToGrid w:val="0"/>
        <w:spacing w:line="360" w:lineRule="auto"/>
        <w:ind w:firstLineChars="200" w:firstLine="422"/>
        <w:rPr>
          <w:szCs w:val="21"/>
        </w:rPr>
      </w:pPr>
      <w:r>
        <w:rPr>
          <w:b/>
          <w:szCs w:val="21"/>
        </w:rPr>
        <w:t xml:space="preserve">5. </w:t>
      </w:r>
      <w:r>
        <w:rPr>
          <w:b/>
          <w:szCs w:val="21"/>
        </w:rPr>
        <w:t>综合</w:t>
      </w:r>
      <w:r>
        <w:rPr>
          <w:szCs w:val="21"/>
        </w:rPr>
        <w:t>：</w:t>
      </w:r>
      <w:r>
        <w:rPr>
          <w:kern w:val="0"/>
          <w:szCs w:val="21"/>
        </w:rPr>
        <w:t>栽培创意设计。</w:t>
      </w:r>
    </w:p>
    <w:p w14:paraId="2B47CCC0" w14:textId="77777777" w:rsidR="00F5289E" w:rsidRDefault="00C91173">
      <w:pPr>
        <w:snapToGrid w:val="0"/>
        <w:spacing w:line="360" w:lineRule="auto"/>
        <w:ind w:firstLineChars="200" w:firstLine="422"/>
        <w:rPr>
          <w:b/>
          <w:szCs w:val="21"/>
        </w:rPr>
      </w:pPr>
      <w:r>
        <w:rPr>
          <w:b/>
          <w:szCs w:val="21"/>
        </w:rPr>
        <w:t xml:space="preserve">6. </w:t>
      </w:r>
      <w:r>
        <w:rPr>
          <w:b/>
          <w:szCs w:val="21"/>
        </w:rPr>
        <w:t>评价：</w:t>
      </w:r>
      <w:r>
        <w:rPr>
          <w:kern w:val="0"/>
          <w:szCs w:val="21"/>
        </w:rPr>
        <w:t>品牌创建的途径和方法。</w:t>
      </w:r>
    </w:p>
    <w:p w14:paraId="7C86A7A8" w14:textId="77777777" w:rsidR="00F5289E" w:rsidRDefault="00C91173">
      <w:pPr>
        <w:pStyle w:val="a9"/>
        <w:snapToGrid w:val="0"/>
        <w:spacing w:line="360" w:lineRule="auto"/>
        <w:ind w:firstLine="422"/>
        <w:jc w:val="center"/>
        <w:rPr>
          <w:rFonts w:ascii="Times New Roman" w:hAnsi="Times New Roman" w:cs="Times New Roman"/>
          <w:b/>
        </w:rPr>
      </w:pPr>
      <w:r>
        <w:rPr>
          <w:rFonts w:ascii="Times New Roman" w:hAnsi="Times New Roman" w:cs="Times New Roman"/>
          <w:b/>
        </w:rPr>
        <w:t>第三章</w:t>
      </w:r>
      <w:r>
        <w:rPr>
          <w:rFonts w:ascii="Times New Roman" w:hAnsi="Times New Roman" w:cs="Times New Roman"/>
          <w:b/>
        </w:rPr>
        <w:t xml:space="preserve">  </w:t>
      </w:r>
      <w:r>
        <w:rPr>
          <w:rFonts w:ascii="Times New Roman" w:hAnsi="Times New Roman" w:cs="Times New Roman"/>
          <w:b/>
          <w:bCs/>
          <w:kern w:val="0"/>
        </w:rPr>
        <w:t>创意农业案例分析</w:t>
      </w:r>
    </w:p>
    <w:p w14:paraId="54DAC3ED" w14:textId="77777777" w:rsidR="00F5289E" w:rsidRDefault="00C91173">
      <w:pPr>
        <w:snapToGrid w:val="0"/>
        <w:spacing w:line="360" w:lineRule="auto"/>
        <w:rPr>
          <w:b/>
          <w:szCs w:val="21"/>
        </w:rPr>
      </w:pPr>
      <w:r>
        <w:rPr>
          <w:b/>
          <w:szCs w:val="21"/>
        </w:rPr>
        <w:t>（一）学习目标</w:t>
      </w:r>
    </w:p>
    <w:p w14:paraId="679B4A84" w14:textId="77777777" w:rsidR="00F5289E" w:rsidRDefault="00C91173">
      <w:pPr>
        <w:snapToGrid w:val="0"/>
        <w:spacing w:line="360" w:lineRule="auto"/>
        <w:ind w:firstLineChars="200" w:firstLine="422"/>
        <w:rPr>
          <w:kern w:val="0"/>
          <w:szCs w:val="21"/>
        </w:rPr>
      </w:pPr>
      <w:r>
        <w:rPr>
          <w:b/>
          <w:szCs w:val="21"/>
        </w:rPr>
        <w:t xml:space="preserve">1. </w:t>
      </w:r>
      <w:r>
        <w:rPr>
          <w:b/>
          <w:szCs w:val="21"/>
        </w:rPr>
        <w:t>一般了解</w:t>
      </w:r>
      <w:r>
        <w:rPr>
          <w:szCs w:val="21"/>
        </w:rPr>
        <w:t>：</w:t>
      </w:r>
      <w:r>
        <w:rPr>
          <w:kern w:val="0"/>
          <w:szCs w:val="21"/>
        </w:rPr>
        <w:t>研发环节创意模式案例、生产环节创意模式案例、销售环节创意模式案例。</w:t>
      </w:r>
    </w:p>
    <w:p w14:paraId="4B86879D"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kern w:val="0"/>
          <w:szCs w:val="21"/>
        </w:rPr>
        <w:t>突出优势设计创意农业组合模式的方法。</w:t>
      </w:r>
    </w:p>
    <w:p w14:paraId="030D6DD4" w14:textId="77777777" w:rsidR="00F5289E" w:rsidRDefault="00C91173">
      <w:pPr>
        <w:snapToGrid w:val="0"/>
        <w:spacing w:line="360" w:lineRule="auto"/>
        <w:ind w:firstLineChars="200" w:firstLine="422"/>
        <w:rPr>
          <w:b/>
          <w:szCs w:val="21"/>
        </w:rPr>
      </w:pPr>
      <w:r>
        <w:rPr>
          <w:b/>
          <w:szCs w:val="21"/>
        </w:rPr>
        <w:t xml:space="preserve">3. </w:t>
      </w:r>
      <w:r>
        <w:rPr>
          <w:b/>
          <w:szCs w:val="21"/>
        </w:rPr>
        <w:t>熟练掌握</w:t>
      </w:r>
      <w:r>
        <w:rPr>
          <w:szCs w:val="21"/>
        </w:rPr>
        <w:t>：</w:t>
      </w:r>
      <w:r>
        <w:rPr>
          <w:kern w:val="0"/>
          <w:szCs w:val="21"/>
        </w:rPr>
        <w:t>创意农业组合模式要素间的关系，突出优势设计单一模式创意农业的方法。</w:t>
      </w:r>
    </w:p>
    <w:p w14:paraId="353AFEAF" w14:textId="77777777" w:rsidR="00F5289E" w:rsidRDefault="00C91173">
      <w:pPr>
        <w:snapToGrid w:val="0"/>
        <w:spacing w:line="360" w:lineRule="auto"/>
        <w:rPr>
          <w:szCs w:val="21"/>
        </w:rPr>
      </w:pPr>
      <w:r>
        <w:rPr>
          <w:b/>
          <w:szCs w:val="21"/>
        </w:rPr>
        <w:t>（二）考核内容</w:t>
      </w:r>
    </w:p>
    <w:p w14:paraId="334960E9" w14:textId="77777777" w:rsidR="00F5289E" w:rsidRDefault="00C91173">
      <w:pPr>
        <w:snapToGrid w:val="0"/>
        <w:spacing w:line="360" w:lineRule="auto"/>
        <w:ind w:firstLineChars="250" w:firstLine="525"/>
        <w:rPr>
          <w:kern w:val="0"/>
          <w:szCs w:val="21"/>
        </w:rPr>
      </w:pPr>
      <w:r>
        <w:rPr>
          <w:kern w:val="0"/>
          <w:szCs w:val="21"/>
        </w:rPr>
        <w:t>分析不同单一模式创意农业案例特点；分析组合模式创意农业案例的特点；设计单一模式创意农业的方法；设计组合模式创意农业的方法。</w:t>
      </w:r>
    </w:p>
    <w:p w14:paraId="21179341" w14:textId="77777777" w:rsidR="00F5289E" w:rsidRDefault="00C91173">
      <w:pPr>
        <w:snapToGrid w:val="0"/>
        <w:spacing w:line="360" w:lineRule="auto"/>
        <w:rPr>
          <w:b/>
          <w:szCs w:val="21"/>
        </w:rPr>
      </w:pPr>
      <w:r>
        <w:rPr>
          <w:b/>
          <w:szCs w:val="21"/>
        </w:rPr>
        <w:t>（三）考核要求</w:t>
      </w:r>
    </w:p>
    <w:p w14:paraId="2078D877" w14:textId="77777777" w:rsidR="00F5289E" w:rsidRDefault="00C91173">
      <w:pPr>
        <w:snapToGrid w:val="0"/>
        <w:spacing w:line="360" w:lineRule="auto"/>
        <w:ind w:firstLineChars="200" w:firstLine="422"/>
        <w:rPr>
          <w:b/>
          <w:szCs w:val="21"/>
        </w:rPr>
      </w:pPr>
      <w:r>
        <w:rPr>
          <w:b/>
          <w:szCs w:val="21"/>
        </w:rPr>
        <w:t xml:space="preserve">1. </w:t>
      </w:r>
      <w:r>
        <w:rPr>
          <w:b/>
          <w:szCs w:val="21"/>
        </w:rPr>
        <w:t>识记</w:t>
      </w:r>
      <w:r>
        <w:rPr>
          <w:szCs w:val="21"/>
        </w:rPr>
        <w:t>：</w:t>
      </w:r>
      <w:r>
        <w:rPr>
          <w:kern w:val="0"/>
          <w:szCs w:val="21"/>
        </w:rPr>
        <w:t>单一模式创意农业、组合模式创意农业的概念。</w:t>
      </w:r>
    </w:p>
    <w:p w14:paraId="57151B61" w14:textId="77777777" w:rsidR="00F5289E" w:rsidRDefault="00C91173">
      <w:pPr>
        <w:snapToGrid w:val="0"/>
        <w:spacing w:line="360" w:lineRule="auto"/>
        <w:ind w:firstLineChars="200" w:firstLine="422"/>
        <w:rPr>
          <w:b/>
          <w:szCs w:val="21"/>
        </w:rPr>
      </w:pPr>
      <w:r>
        <w:rPr>
          <w:b/>
          <w:szCs w:val="21"/>
        </w:rPr>
        <w:t xml:space="preserve">2. </w:t>
      </w:r>
      <w:r>
        <w:rPr>
          <w:b/>
          <w:szCs w:val="21"/>
        </w:rPr>
        <w:t>领会</w:t>
      </w:r>
      <w:r>
        <w:rPr>
          <w:szCs w:val="21"/>
        </w:rPr>
        <w:t>：</w:t>
      </w:r>
      <w:r>
        <w:rPr>
          <w:kern w:val="0"/>
          <w:szCs w:val="21"/>
        </w:rPr>
        <w:t>单一模式创意农业、组合模式创意农业的联系。</w:t>
      </w:r>
    </w:p>
    <w:p w14:paraId="5FC84362" w14:textId="77777777" w:rsidR="00F5289E" w:rsidRDefault="00C91173">
      <w:pPr>
        <w:snapToGrid w:val="0"/>
        <w:spacing w:line="360" w:lineRule="auto"/>
        <w:ind w:firstLineChars="200" w:firstLine="422"/>
        <w:rPr>
          <w:szCs w:val="21"/>
        </w:rPr>
      </w:pPr>
      <w:r>
        <w:rPr>
          <w:b/>
          <w:szCs w:val="21"/>
        </w:rPr>
        <w:t xml:space="preserve">3. </w:t>
      </w:r>
      <w:r>
        <w:rPr>
          <w:b/>
          <w:szCs w:val="21"/>
        </w:rPr>
        <w:t>应用</w:t>
      </w:r>
      <w:r>
        <w:rPr>
          <w:szCs w:val="21"/>
        </w:rPr>
        <w:t>：</w:t>
      </w:r>
      <w:r>
        <w:rPr>
          <w:kern w:val="0"/>
          <w:szCs w:val="21"/>
        </w:rPr>
        <w:t>设计单一模式创意农业。</w:t>
      </w:r>
    </w:p>
    <w:p w14:paraId="20CDFD11" w14:textId="77777777" w:rsidR="00F5289E" w:rsidRDefault="00C91173">
      <w:pPr>
        <w:snapToGrid w:val="0"/>
        <w:spacing w:line="360" w:lineRule="auto"/>
        <w:ind w:firstLineChars="200" w:firstLine="422"/>
        <w:rPr>
          <w:b/>
          <w:szCs w:val="21"/>
        </w:rPr>
      </w:pPr>
      <w:r>
        <w:rPr>
          <w:b/>
          <w:szCs w:val="21"/>
        </w:rPr>
        <w:t xml:space="preserve">4. </w:t>
      </w:r>
      <w:r>
        <w:rPr>
          <w:b/>
          <w:szCs w:val="21"/>
        </w:rPr>
        <w:t>分析：</w:t>
      </w:r>
      <w:r>
        <w:rPr>
          <w:kern w:val="0"/>
          <w:szCs w:val="21"/>
        </w:rPr>
        <w:t>创意农业组合模式要素间的关系。</w:t>
      </w:r>
    </w:p>
    <w:p w14:paraId="19722F53" w14:textId="77777777" w:rsidR="00F5289E" w:rsidRDefault="00C91173">
      <w:pPr>
        <w:snapToGrid w:val="0"/>
        <w:spacing w:line="360" w:lineRule="auto"/>
        <w:ind w:firstLineChars="200" w:firstLine="422"/>
        <w:rPr>
          <w:szCs w:val="21"/>
        </w:rPr>
      </w:pPr>
      <w:r>
        <w:rPr>
          <w:b/>
          <w:szCs w:val="21"/>
        </w:rPr>
        <w:t xml:space="preserve">5. </w:t>
      </w:r>
      <w:r>
        <w:rPr>
          <w:b/>
          <w:szCs w:val="21"/>
        </w:rPr>
        <w:t>综合</w:t>
      </w:r>
      <w:r>
        <w:rPr>
          <w:szCs w:val="21"/>
        </w:rPr>
        <w:t>：</w:t>
      </w:r>
      <w:r>
        <w:rPr>
          <w:kern w:val="0"/>
          <w:szCs w:val="21"/>
        </w:rPr>
        <w:t>设计创意农业组合模式。</w:t>
      </w:r>
    </w:p>
    <w:p w14:paraId="4C8E34D4" w14:textId="77777777" w:rsidR="00F5289E" w:rsidRDefault="00C91173">
      <w:pPr>
        <w:snapToGrid w:val="0"/>
        <w:spacing w:line="360" w:lineRule="auto"/>
        <w:ind w:firstLineChars="200" w:firstLine="422"/>
        <w:rPr>
          <w:b/>
          <w:szCs w:val="21"/>
        </w:rPr>
      </w:pPr>
      <w:r>
        <w:rPr>
          <w:b/>
          <w:szCs w:val="21"/>
        </w:rPr>
        <w:t xml:space="preserve">6. </w:t>
      </w:r>
      <w:r>
        <w:rPr>
          <w:b/>
          <w:szCs w:val="21"/>
        </w:rPr>
        <w:t>评价：</w:t>
      </w:r>
      <w:r>
        <w:rPr>
          <w:kern w:val="0"/>
          <w:szCs w:val="21"/>
        </w:rPr>
        <w:t>研发环节创意模式案例、生产环节创意模式案例、销售环节创意模式案例的优势。</w:t>
      </w:r>
    </w:p>
    <w:p w14:paraId="068D9345" w14:textId="77777777" w:rsidR="00F5289E" w:rsidRDefault="00C91173">
      <w:pPr>
        <w:pStyle w:val="a9"/>
        <w:spacing w:line="360" w:lineRule="auto"/>
        <w:rPr>
          <w:b/>
          <w:bCs/>
        </w:rPr>
      </w:pPr>
      <w:r>
        <w:rPr>
          <w:b/>
          <w:bCs/>
        </w:rPr>
        <w:t>三、实验、实习教学部分的考核要求</w:t>
      </w:r>
    </w:p>
    <w:p w14:paraId="005760EA"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1.</w:t>
      </w:r>
      <w:r>
        <w:rPr>
          <w:kern w:val="0"/>
          <w:sz w:val="18"/>
          <w:szCs w:val="18"/>
        </w:rPr>
        <w:t xml:space="preserve"> </w:t>
      </w:r>
      <w:r>
        <w:rPr>
          <w:kern w:val="0"/>
          <w:szCs w:val="21"/>
        </w:rPr>
        <w:t>了解同科多种园艺植物嫁接培育景观植物的设计原理，掌握嫁接和培育的操作方法。</w:t>
      </w:r>
    </w:p>
    <w:p w14:paraId="332D8FE1"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2.</w:t>
      </w:r>
      <w:r>
        <w:t xml:space="preserve"> </w:t>
      </w:r>
      <w:r>
        <w:t>了解</w:t>
      </w:r>
      <w:r>
        <w:rPr>
          <w:bCs/>
          <w:kern w:val="0"/>
          <w:szCs w:val="21"/>
        </w:rPr>
        <w:t>培育二年生巨型蔬菜的创意农业设计原理、掌握培育方法与操作技能。</w:t>
      </w:r>
    </w:p>
    <w:p w14:paraId="75F57E48" w14:textId="77777777" w:rsidR="00F5289E" w:rsidRDefault="00C91173">
      <w:pPr>
        <w:widowControl/>
        <w:adjustRightInd w:val="0"/>
        <w:snapToGrid w:val="0"/>
        <w:spacing w:line="360" w:lineRule="auto"/>
        <w:ind w:firstLineChars="200" w:firstLine="420"/>
        <w:jc w:val="left"/>
        <w:rPr>
          <w:kern w:val="0"/>
          <w:szCs w:val="21"/>
        </w:rPr>
      </w:pPr>
      <w:r>
        <w:rPr>
          <w:kern w:val="0"/>
          <w:szCs w:val="21"/>
        </w:rPr>
        <w:t xml:space="preserve">3. </w:t>
      </w:r>
      <w:r>
        <w:rPr>
          <w:kern w:val="0"/>
          <w:szCs w:val="21"/>
        </w:rPr>
        <w:t>了解组合模式创意农业设计的案例，初步掌握设计组合模式创意农业项目的方法。</w:t>
      </w:r>
    </w:p>
    <w:p w14:paraId="65FA8CAF" w14:textId="77777777" w:rsidR="00F5289E" w:rsidRDefault="00C91173">
      <w:pPr>
        <w:pStyle w:val="a9"/>
        <w:spacing w:line="360" w:lineRule="auto"/>
        <w:rPr>
          <w:b/>
          <w:bCs/>
        </w:rPr>
      </w:pPr>
      <w:r>
        <w:rPr>
          <w:b/>
          <w:bCs/>
        </w:rPr>
        <w:t>四、考核方式</w:t>
      </w:r>
    </w:p>
    <w:p w14:paraId="57F41194"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本课程根据过程性评价和期末成绩考核。其中，理论与实践教学的考核方式采用期末课程论文；过程性考核评价包括：出勤、课堂提问、讨论、学习笔记、作业、实验报告、小组汇报等。</w:t>
      </w:r>
    </w:p>
    <w:p w14:paraId="49534C35" w14:textId="77777777" w:rsidR="00F5289E" w:rsidRDefault="00C91173">
      <w:pPr>
        <w:pStyle w:val="a9"/>
        <w:spacing w:line="360" w:lineRule="auto"/>
        <w:rPr>
          <w:b/>
          <w:bCs/>
        </w:rPr>
      </w:pPr>
      <w:r>
        <w:rPr>
          <w:b/>
          <w:bCs/>
        </w:rPr>
        <w:t>五、成绩评定</w:t>
      </w:r>
    </w:p>
    <w:p w14:paraId="1B9F673F" w14:textId="77777777" w:rsidR="00F5289E" w:rsidRDefault="00C91173">
      <w:pPr>
        <w:snapToGrid w:val="0"/>
        <w:spacing w:line="360" w:lineRule="auto"/>
        <w:ind w:firstLineChars="200" w:firstLine="420"/>
        <w:rPr>
          <w:szCs w:val="21"/>
        </w:rPr>
      </w:pPr>
      <w:r>
        <w:rPr>
          <w:szCs w:val="21"/>
        </w:rPr>
        <w:t xml:space="preserve">1. </w:t>
      </w:r>
      <w:r>
        <w:rPr>
          <w:szCs w:val="21"/>
        </w:rPr>
        <w:t>平时成绩的评价方法。</w:t>
      </w:r>
      <w:r>
        <w:rPr>
          <w:bCs/>
          <w:kern w:val="0"/>
          <w:szCs w:val="21"/>
        </w:rPr>
        <w:t>考勤、课堂测验及讨论等环节评价</w:t>
      </w:r>
      <w:r>
        <w:rPr>
          <w:kern w:val="0"/>
          <w:szCs w:val="21"/>
        </w:rPr>
        <w:t>，占总成绩的</w:t>
      </w:r>
      <w:r>
        <w:rPr>
          <w:kern w:val="0"/>
          <w:szCs w:val="21"/>
        </w:rPr>
        <w:t>50%</w:t>
      </w:r>
      <w:r>
        <w:rPr>
          <w:kern w:val="0"/>
          <w:szCs w:val="21"/>
        </w:rPr>
        <w:t>；实验环节（</w:t>
      </w:r>
      <w:r>
        <w:rPr>
          <w:bCs/>
          <w:kern w:val="0"/>
          <w:szCs w:val="21"/>
        </w:rPr>
        <w:t>实验报告、实验作品</w:t>
      </w:r>
      <w:r>
        <w:rPr>
          <w:kern w:val="0"/>
          <w:szCs w:val="21"/>
        </w:rPr>
        <w:t>）和创意设计课堂汇报占</w:t>
      </w:r>
      <w:r>
        <w:rPr>
          <w:kern w:val="0"/>
          <w:szCs w:val="21"/>
        </w:rPr>
        <w:t>50%</w:t>
      </w:r>
      <w:r>
        <w:rPr>
          <w:kern w:val="0"/>
          <w:szCs w:val="21"/>
        </w:rPr>
        <w:t>。</w:t>
      </w:r>
    </w:p>
    <w:p w14:paraId="4D489522" w14:textId="77777777" w:rsidR="00F5289E" w:rsidRDefault="00C91173">
      <w:pPr>
        <w:snapToGrid w:val="0"/>
        <w:spacing w:line="360" w:lineRule="auto"/>
        <w:ind w:firstLineChars="200" w:firstLine="420"/>
        <w:rPr>
          <w:szCs w:val="21"/>
        </w:rPr>
      </w:pPr>
      <w:r>
        <w:rPr>
          <w:szCs w:val="21"/>
        </w:rPr>
        <w:t xml:space="preserve">2. </w:t>
      </w:r>
      <w:r>
        <w:t>期末成绩：撰写课程论文</w:t>
      </w:r>
      <w:r>
        <w:rPr>
          <w:szCs w:val="21"/>
        </w:rPr>
        <w:t>。</w:t>
      </w:r>
    </w:p>
    <w:p w14:paraId="748E0A7F" w14:textId="77777777" w:rsidR="00F5289E" w:rsidRDefault="00C91173">
      <w:pPr>
        <w:snapToGrid w:val="0"/>
        <w:spacing w:line="360" w:lineRule="auto"/>
        <w:ind w:firstLineChars="200" w:firstLine="420"/>
        <w:rPr>
          <w:szCs w:val="21"/>
        </w:rPr>
      </w:pPr>
      <w:r>
        <w:rPr>
          <w:szCs w:val="21"/>
        </w:rPr>
        <w:t xml:space="preserve">3. </w:t>
      </w:r>
      <w:r>
        <w:rPr>
          <w:szCs w:val="21"/>
        </w:rPr>
        <w:t>综合成绩：平时成绩</w:t>
      </w:r>
      <w:r>
        <w:rPr>
          <w:szCs w:val="21"/>
        </w:rPr>
        <w:t>×40%+</w:t>
      </w:r>
      <w:r>
        <w:rPr>
          <w:szCs w:val="21"/>
        </w:rPr>
        <w:t>期末成绩</w:t>
      </w:r>
      <w:r>
        <w:rPr>
          <w:szCs w:val="21"/>
        </w:rPr>
        <w:t>×60%</w:t>
      </w:r>
    </w:p>
    <w:p w14:paraId="08359F7A" w14:textId="77777777" w:rsidR="00F5289E" w:rsidRDefault="00C91173">
      <w:pPr>
        <w:pStyle w:val="a9"/>
        <w:spacing w:line="360" w:lineRule="auto"/>
        <w:rPr>
          <w:b/>
          <w:bCs/>
        </w:rPr>
      </w:pPr>
      <w:r>
        <w:rPr>
          <w:b/>
          <w:bCs/>
        </w:rPr>
        <w:t>六、考核结果分析反馈</w:t>
      </w:r>
    </w:p>
    <w:p w14:paraId="78807828" w14:textId="77777777" w:rsidR="00890F27" w:rsidRPr="00386757" w:rsidRDefault="00890F27" w:rsidP="00890F27">
      <w:pPr>
        <w:snapToGrid w:val="0"/>
        <w:spacing w:line="360" w:lineRule="auto"/>
        <w:ind w:firstLineChars="200" w:firstLine="420"/>
        <w:rPr>
          <w:szCs w:val="21"/>
        </w:rPr>
      </w:pPr>
      <w:r>
        <w:rPr>
          <w:rFonts w:hint="eastAsia"/>
          <w:szCs w:val="21"/>
        </w:rPr>
        <w:t>通过对学生进行过程性评价和期末撰写论文考核两种方式，了解学生对整体知识点的掌握程度。强化过程性评价的</w:t>
      </w:r>
      <w:r w:rsidRPr="00386757">
        <w:rPr>
          <w:bCs/>
          <w:kern w:val="0"/>
          <w:szCs w:val="21"/>
        </w:rPr>
        <w:t>课堂测验、实验报告、</w:t>
      </w:r>
      <w:r w:rsidRPr="00386757">
        <w:rPr>
          <w:szCs w:val="21"/>
        </w:rPr>
        <w:t>线上教学作业</w:t>
      </w:r>
      <w:r>
        <w:rPr>
          <w:rFonts w:hint="eastAsia"/>
          <w:szCs w:val="21"/>
        </w:rPr>
        <w:t>、课堂提问、课堂讨论等，在课堂上及</w:t>
      </w:r>
      <w:r>
        <w:rPr>
          <w:rFonts w:hint="eastAsia"/>
          <w:szCs w:val="21"/>
        </w:rPr>
        <w:lastRenderedPageBreak/>
        <w:t>时进行指导和反馈，并建立有效的沟通机制，梳理共性问题进行统一讲解。此外，对于各环节成绩进行分析，</w:t>
      </w:r>
      <w:r w:rsidRPr="00AD4789">
        <w:rPr>
          <w:rFonts w:hint="eastAsia"/>
          <w:szCs w:val="21"/>
        </w:rPr>
        <w:t>为教师有针对性调整教学内容、改进教学方法提供依据，提高教学质量。</w:t>
      </w:r>
    </w:p>
    <w:p w14:paraId="3AC64BC7" w14:textId="77777777" w:rsidR="00F5289E" w:rsidRDefault="00C91173">
      <w:pPr>
        <w:widowControl/>
        <w:jc w:val="left"/>
        <w:rPr>
          <w:rFonts w:ascii="宋体" w:hAnsi="宋体"/>
          <w:b/>
          <w:sz w:val="28"/>
          <w:szCs w:val="28"/>
        </w:rPr>
      </w:pPr>
      <w:r>
        <w:rPr>
          <w:rFonts w:ascii="宋体" w:hAnsi="宋体"/>
          <w:b/>
          <w:sz w:val="28"/>
          <w:szCs w:val="28"/>
        </w:rPr>
        <w:br w:type="page"/>
      </w:r>
    </w:p>
    <w:p w14:paraId="6455EDAD" w14:textId="77777777" w:rsidR="00F5289E" w:rsidRDefault="00C91173">
      <w:pPr>
        <w:pStyle w:val="1"/>
      </w:pPr>
      <w:bookmarkStart w:id="200" w:name="_Toc138606291"/>
      <w:r>
        <w:rPr>
          <w:rFonts w:hint="eastAsia"/>
        </w:rPr>
        <w:lastRenderedPageBreak/>
        <w:t>园艺产业创业案例考核大纲</w:t>
      </w:r>
      <w:bookmarkEnd w:id="200"/>
    </w:p>
    <w:p w14:paraId="4F8C04A0" w14:textId="77777777" w:rsidR="00F5289E" w:rsidRDefault="00C91173">
      <w:pPr>
        <w:snapToGrid w:val="0"/>
        <w:spacing w:line="360" w:lineRule="auto"/>
        <w:jc w:val="center"/>
        <w:rPr>
          <w:color w:val="000000" w:themeColor="text1"/>
          <w:sz w:val="24"/>
        </w:rPr>
      </w:pPr>
      <w:r>
        <w:rPr>
          <w:rFonts w:hint="eastAsia"/>
          <w:color w:val="000000" w:themeColor="text1"/>
          <w:sz w:val="24"/>
        </w:rPr>
        <w:t>（</w:t>
      </w:r>
      <w:r>
        <w:rPr>
          <w:rFonts w:hint="eastAsia"/>
          <w:color w:val="000000" w:themeColor="text1"/>
          <w:sz w:val="24"/>
        </w:rPr>
        <w:t xml:space="preserve">Horticultural </w:t>
      </w:r>
      <w:r w:rsidR="001B3040">
        <w:rPr>
          <w:rFonts w:hint="eastAsia"/>
          <w:color w:val="000000" w:themeColor="text1"/>
          <w:sz w:val="24"/>
        </w:rPr>
        <w:t>I</w:t>
      </w:r>
      <w:r>
        <w:rPr>
          <w:rFonts w:hint="eastAsia"/>
          <w:color w:val="000000" w:themeColor="text1"/>
          <w:sz w:val="24"/>
        </w:rPr>
        <w:t xml:space="preserve">ndustry </w:t>
      </w:r>
      <w:r>
        <w:rPr>
          <w:color w:val="000000" w:themeColor="text1"/>
          <w:sz w:val="24"/>
        </w:rPr>
        <w:t>E</w:t>
      </w:r>
      <w:r>
        <w:rPr>
          <w:rFonts w:hint="eastAsia"/>
          <w:color w:val="000000" w:themeColor="text1"/>
          <w:sz w:val="24"/>
        </w:rPr>
        <w:t xml:space="preserve">ntrepreneurship </w:t>
      </w:r>
      <w:r>
        <w:rPr>
          <w:color w:val="000000" w:themeColor="text1"/>
          <w:sz w:val="24"/>
        </w:rPr>
        <w:t>C</w:t>
      </w:r>
      <w:r>
        <w:rPr>
          <w:rFonts w:hint="eastAsia"/>
          <w:color w:val="000000" w:themeColor="text1"/>
          <w:sz w:val="24"/>
        </w:rPr>
        <w:t>ase</w:t>
      </w:r>
      <w:r>
        <w:rPr>
          <w:rFonts w:hint="eastAsia"/>
          <w:color w:val="000000" w:themeColor="text1"/>
          <w:sz w:val="24"/>
        </w:rPr>
        <w:t>）</w:t>
      </w:r>
    </w:p>
    <w:p w14:paraId="499A54DA" w14:textId="77777777" w:rsidR="00F5289E" w:rsidRDefault="00F5289E">
      <w:pPr>
        <w:snapToGrid w:val="0"/>
        <w:spacing w:line="360" w:lineRule="auto"/>
        <w:jc w:val="center"/>
        <w:rPr>
          <w:i/>
          <w:sz w:val="24"/>
        </w:rPr>
      </w:pPr>
    </w:p>
    <w:p w14:paraId="40B60A29" w14:textId="77777777" w:rsidR="00F5289E" w:rsidRDefault="00C91173">
      <w:pPr>
        <w:snapToGrid w:val="0"/>
        <w:spacing w:line="360" w:lineRule="auto"/>
        <w:jc w:val="center"/>
        <w:rPr>
          <w:b/>
          <w:szCs w:val="21"/>
        </w:rPr>
      </w:pPr>
      <w:r>
        <w:rPr>
          <w:rFonts w:hint="eastAsia"/>
          <w:b/>
          <w:szCs w:val="21"/>
        </w:rPr>
        <w:t>课程基本信息</w:t>
      </w:r>
    </w:p>
    <w:tbl>
      <w:tblPr>
        <w:tblStyle w:val="af6"/>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2062"/>
        <w:gridCol w:w="3429"/>
      </w:tblGrid>
      <w:tr w:rsidR="00F5289E" w14:paraId="13A0EC95" w14:textId="77777777">
        <w:tc>
          <w:tcPr>
            <w:tcW w:w="3625" w:type="dxa"/>
          </w:tcPr>
          <w:p w14:paraId="22B08E01" w14:textId="77777777" w:rsidR="00F5289E" w:rsidRDefault="00C91173">
            <w:pPr>
              <w:spacing w:line="360" w:lineRule="auto"/>
              <w:rPr>
                <w:rFonts w:ascii="宋体" w:hAnsi="宋体"/>
                <w:b/>
                <w:bCs/>
                <w:szCs w:val="21"/>
              </w:rPr>
            </w:pPr>
            <w:r>
              <w:rPr>
                <w:rFonts w:ascii="宋体" w:hAnsi="宋体" w:hint="eastAsia"/>
                <w:b/>
                <w:bCs/>
                <w:szCs w:val="21"/>
              </w:rPr>
              <w:t>课程编号：</w:t>
            </w:r>
            <w:r>
              <w:rPr>
                <w:rFonts w:ascii="宋体" w:hAnsi="宋体" w:hint="eastAsia"/>
                <w:color w:val="000000" w:themeColor="text1"/>
                <w:szCs w:val="21"/>
              </w:rPr>
              <w:t>19011037</w:t>
            </w:r>
          </w:p>
        </w:tc>
        <w:tc>
          <w:tcPr>
            <w:tcW w:w="2062" w:type="dxa"/>
          </w:tcPr>
          <w:p w14:paraId="6A447E4C" w14:textId="77777777" w:rsidR="00F5289E" w:rsidRDefault="00C91173">
            <w:pPr>
              <w:spacing w:line="360" w:lineRule="auto"/>
              <w:rPr>
                <w:rFonts w:ascii="宋体" w:hAnsi="宋体"/>
                <w:b/>
                <w:bCs/>
                <w:szCs w:val="21"/>
              </w:rPr>
            </w:pPr>
            <w:r>
              <w:rPr>
                <w:rFonts w:ascii="宋体" w:hAnsi="宋体" w:hint="eastAsia"/>
                <w:b/>
                <w:bCs/>
                <w:szCs w:val="21"/>
              </w:rPr>
              <w:t>课程学时：</w:t>
            </w:r>
            <w:r>
              <w:rPr>
                <w:rFonts w:ascii="宋体" w:hAnsi="宋体" w:hint="eastAsia"/>
                <w:szCs w:val="21"/>
              </w:rPr>
              <w:t>24</w:t>
            </w:r>
          </w:p>
        </w:tc>
        <w:tc>
          <w:tcPr>
            <w:tcW w:w="3429" w:type="dxa"/>
          </w:tcPr>
          <w:p w14:paraId="60AE23D1" w14:textId="77777777" w:rsidR="00F5289E" w:rsidRDefault="00C91173">
            <w:pPr>
              <w:spacing w:line="360" w:lineRule="auto"/>
              <w:rPr>
                <w:rFonts w:ascii="宋体" w:hAnsi="宋体"/>
                <w:b/>
                <w:bCs/>
                <w:szCs w:val="21"/>
              </w:rPr>
            </w:pPr>
            <w:r>
              <w:rPr>
                <w:rFonts w:ascii="宋体" w:hAnsi="宋体" w:hint="eastAsia"/>
                <w:b/>
                <w:bCs/>
                <w:szCs w:val="21"/>
              </w:rPr>
              <w:t>课程学分：</w:t>
            </w:r>
            <w:r>
              <w:rPr>
                <w:rFonts w:ascii="宋体" w:hAnsi="宋体" w:hint="eastAsia"/>
                <w:szCs w:val="21"/>
              </w:rPr>
              <w:t>1.5</w:t>
            </w:r>
          </w:p>
        </w:tc>
      </w:tr>
      <w:tr w:rsidR="00F5289E" w14:paraId="60B88220" w14:textId="77777777">
        <w:tc>
          <w:tcPr>
            <w:tcW w:w="3625" w:type="dxa"/>
          </w:tcPr>
          <w:p w14:paraId="1FA0D9F0" w14:textId="77777777" w:rsidR="00F5289E" w:rsidRDefault="00C91173">
            <w:pPr>
              <w:spacing w:line="360" w:lineRule="auto"/>
              <w:rPr>
                <w:rFonts w:ascii="宋体" w:hAnsi="宋体"/>
                <w:b/>
                <w:bCs/>
                <w:szCs w:val="21"/>
              </w:rPr>
            </w:pPr>
            <w:r>
              <w:rPr>
                <w:rFonts w:ascii="宋体" w:hAnsi="宋体" w:hint="eastAsia"/>
                <w:b/>
                <w:bCs/>
                <w:szCs w:val="21"/>
              </w:rPr>
              <w:t>主撰人：</w:t>
            </w:r>
            <w:r>
              <w:rPr>
                <w:rFonts w:ascii="宋体" w:hAnsi="宋体" w:hint="eastAsia"/>
                <w:color w:val="000000" w:themeColor="text1"/>
                <w:szCs w:val="21"/>
              </w:rPr>
              <w:t>王永，张涛</w:t>
            </w:r>
          </w:p>
        </w:tc>
        <w:tc>
          <w:tcPr>
            <w:tcW w:w="2062" w:type="dxa"/>
          </w:tcPr>
          <w:p w14:paraId="78D57C70" w14:textId="77777777" w:rsidR="00F5289E" w:rsidRDefault="00C91173">
            <w:pPr>
              <w:spacing w:line="360" w:lineRule="auto"/>
              <w:rPr>
                <w:rFonts w:ascii="宋体" w:hAnsi="宋体"/>
                <w:b/>
                <w:bCs/>
                <w:szCs w:val="21"/>
              </w:rPr>
            </w:pPr>
            <w:r>
              <w:rPr>
                <w:rFonts w:ascii="宋体" w:hAnsi="宋体" w:hint="eastAsia"/>
                <w:b/>
                <w:bCs/>
                <w:szCs w:val="21"/>
              </w:rPr>
              <w:t>审核人：</w:t>
            </w:r>
            <w:r>
              <w:rPr>
                <w:rFonts w:ascii="宋体" w:hAnsi="宋体" w:hint="eastAsia"/>
                <w:color w:val="000000" w:themeColor="text1"/>
                <w:szCs w:val="21"/>
              </w:rPr>
              <w:t>马长生</w:t>
            </w:r>
          </w:p>
        </w:tc>
        <w:tc>
          <w:tcPr>
            <w:tcW w:w="3429" w:type="dxa"/>
          </w:tcPr>
          <w:p w14:paraId="3113D3FE" w14:textId="77777777" w:rsidR="00F5289E" w:rsidRDefault="00C91173">
            <w:pPr>
              <w:spacing w:line="360" w:lineRule="auto"/>
              <w:rPr>
                <w:rFonts w:ascii="宋体" w:hAnsi="宋体"/>
                <w:b/>
                <w:bCs/>
                <w:szCs w:val="21"/>
              </w:rPr>
            </w:pPr>
            <w:r>
              <w:rPr>
                <w:rFonts w:ascii="宋体" w:hAnsi="宋体" w:hint="eastAsia"/>
                <w:b/>
                <w:bCs/>
                <w:szCs w:val="21"/>
              </w:rPr>
              <w:t>大纲制定（修订）日期：</w:t>
            </w:r>
            <w:r>
              <w:rPr>
                <w:rFonts w:ascii="宋体" w:hAnsi="宋体" w:hint="eastAsia"/>
                <w:color w:val="000000" w:themeColor="text1"/>
                <w:szCs w:val="21"/>
              </w:rPr>
              <w:t>202</w:t>
            </w:r>
            <w:r w:rsidR="001B3040">
              <w:rPr>
                <w:rFonts w:ascii="宋体" w:hAnsi="宋体"/>
                <w:color w:val="000000" w:themeColor="text1"/>
                <w:szCs w:val="21"/>
              </w:rPr>
              <w:t>3.05</w:t>
            </w:r>
          </w:p>
        </w:tc>
      </w:tr>
    </w:tbl>
    <w:p w14:paraId="2164F113" w14:textId="77777777" w:rsidR="00F5289E" w:rsidRDefault="00C91173">
      <w:pPr>
        <w:pStyle w:val="a9"/>
        <w:spacing w:line="360" w:lineRule="auto"/>
        <w:rPr>
          <w:b/>
          <w:bCs/>
        </w:rPr>
      </w:pPr>
      <w:r>
        <w:rPr>
          <w:rFonts w:hint="eastAsia"/>
          <w:b/>
          <w:bCs/>
        </w:rPr>
        <w:t>一、课程的性质和地位</w:t>
      </w:r>
    </w:p>
    <w:p w14:paraId="38812B83"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园艺产业创业案例》是园艺学专业选修课，是一门对园艺专业学生具有开发创业思维的非常重要的一门课程。本课程对我国园艺产业的规模、现状、存在的问题、发展潜力会有一个总体的概述；对农业（园艺）产业化、园艺产品营销、农产品品牌打造、农业园区实际创业案例等方面进行较多的阐述和分析。</w:t>
      </w:r>
    </w:p>
    <w:p w14:paraId="4E6F109D" w14:textId="77777777" w:rsidR="00F5289E" w:rsidRDefault="00C91173" w:rsidP="00A115EF">
      <w:pPr>
        <w:numPr>
          <w:ilvl w:val="0"/>
          <w:numId w:val="59"/>
        </w:numPr>
        <w:snapToGrid w:val="0"/>
        <w:spacing w:beforeLines="50" w:before="156" w:line="360" w:lineRule="auto"/>
        <w:rPr>
          <w:rFonts w:ascii="宋体" w:hAnsi="宋体" w:cs="宋体"/>
          <w:szCs w:val="21"/>
        </w:rPr>
      </w:pPr>
      <w:r>
        <w:rPr>
          <w:rFonts w:ascii="宋体" w:hAnsi="宋体" w:hint="eastAsia"/>
          <w:b/>
          <w:szCs w:val="21"/>
        </w:rPr>
        <w:t>理论教学部分的考核目标</w:t>
      </w:r>
    </w:p>
    <w:p w14:paraId="15DD3094" w14:textId="77777777" w:rsidR="00F5289E" w:rsidRDefault="00C91173">
      <w:pPr>
        <w:spacing w:line="360" w:lineRule="auto"/>
        <w:ind w:firstLineChars="200" w:firstLine="420"/>
        <w:rPr>
          <w:color w:val="000000" w:themeColor="text1"/>
          <w:kern w:val="0"/>
          <w:szCs w:val="21"/>
        </w:rPr>
      </w:pPr>
      <w:r>
        <w:rPr>
          <w:rFonts w:hint="eastAsia"/>
          <w:color w:val="000000" w:themeColor="text1"/>
          <w:kern w:val="0"/>
          <w:szCs w:val="21"/>
        </w:rPr>
        <w:t>通过该课程的学习，将使学生们能较全面地了解园艺产业的整体情况，树立专业信心和行业自信，热爱园艺；同时，具有初步的园艺产业的概念、创业思路和认识，掌握基本的园艺产业的经营运作方法，提高在园艺行业的就业信心和能力；再者，为农业园区、农业企业、农业产业化等培养有高度、有格局的高级从业人才、管理人才和创业人才。</w:t>
      </w:r>
    </w:p>
    <w:p w14:paraId="619D5390"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绪论</w:t>
      </w:r>
    </w:p>
    <w:p w14:paraId="6B9BA52F"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D1CEF2A"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hAnsi="宋体" w:hint="eastAsia"/>
          <w:bCs/>
        </w:rPr>
        <w:t>园艺产业是一个大产业，是一个充满活力的产业。园艺产业创业案例这门课的重要性，</w:t>
      </w:r>
      <w:r>
        <w:rPr>
          <w:rFonts w:hAnsi="宋体" w:hint="eastAsia"/>
        </w:rPr>
        <w:t>如何</w:t>
      </w:r>
      <w:r>
        <w:rPr>
          <w:rFonts w:hAnsi="宋体" w:hint="eastAsia"/>
          <w:bCs/>
        </w:rPr>
        <w:t>学习好这门课</w:t>
      </w:r>
      <w:r>
        <w:rPr>
          <w:rFonts w:ascii="宋体" w:hAnsi="宋体" w:cs="宋体" w:hint="eastAsia"/>
          <w:szCs w:val="21"/>
        </w:rPr>
        <w:t>。</w:t>
      </w:r>
    </w:p>
    <w:p w14:paraId="6A0FF81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hAnsi="宋体" w:hint="eastAsia"/>
          <w:bCs/>
        </w:rPr>
        <w:t>我国园艺产业的现状和问题。</w:t>
      </w:r>
    </w:p>
    <w:p w14:paraId="01ADA8C2" w14:textId="77777777" w:rsidR="00F5289E" w:rsidRDefault="00C91173">
      <w:pPr>
        <w:pStyle w:val="a9"/>
        <w:spacing w:line="360" w:lineRule="auto"/>
        <w:ind w:firstLine="422"/>
        <w:rPr>
          <w:rFonts w:hAnsi="宋体" w:cs="宋体"/>
        </w:rPr>
      </w:pPr>
      <w:r>
        <w:rPr>
          <w:rFonts w:hAnsi="宋体" w:hint="eastAsia"/>
          <w:b/>
        </w:rPr>
        <w:t>3．熟练掌握</w:t>
      </w:r>
      <w:r>
        <w:rPr>
          <w:rFonts w:hAnsi="宋体" w:hint="eastAsia"/>
        </w:rPr>
        <w:t>：</w:t>
      </w:r>
      <w:r>
        <w:rPr>
          <w:rFonts w:hint="eastAsia"/>
        </w:rPr>
        <w:t>我国园艺产业的发展方向，以及在农业结构供给侧改革中的作用</w:t>
      </w:r>
      <w:r>
        <w:rPr>
          <w:rFonts w:hAnsi="宋体" w:hint="eastAsia"/>
          <w:bCs/>
        </w:rPr>
        <w:t>。</w:t>
      </w:r>
    </w:p>
    <w:p w14:paraId="7E2FCD80"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AEB9C18" w14:textId="77777777" w:rsidR="00F5289E" w:rsidRDefault="00C91173">
      <w:pPr>
        <w:snapToGrid w:val="0"/>
        <w:spacing w:line="360" w:lineRule="auto"/>
        <w:ind w:firstLineChars="200" w:firstLine="420"/>
        <w:rPr>
          <w:rFonts w:ascii="宋体" w:hAnsi="宋体" w:cs="宋体"/>
          <w:szCs w:val="21"/>
        </w:rPr>
      </w:pPr>
      <w:r>
        <w:rPr>
          <w:rFonts w:hAnsi="宋体" w:hint="eastAsia"/>
          <w:bCs/>
        </w:rPr>
        <w:t>我国园艺产业的现状、问题、</w:t>
      </w:r>
      <w:r>
        <w:rPr>
          <w:rFonts w:hint="eastAsia"/>
        </w:rPr>
        <w:t>发展方向，以及在农业结构供给侧改革中的作用</w:t>
      </w:r>
      <w:r>
        <w:rPr>
          <w:rFonts w:ascii="宋体" w:hAnsi="宋体" w:cs="宋体" w:hint="eastAsia"/>
          <w:szCs w:val="21"/>
        </w:rPr>
        <w:t>。</w:t>
      </w:r>
    </w:p>
    <w:p w14:paraId="0BD00130"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5CA5851"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1．识记</w:t>
      </w:r>
      <w:r>
        <w:rPr>
          <w:rFonts w:ascii="宋体" w:hAnsi="宋体" w:hint="eastAsia"/>
          <w:szCs w:val="21"/>
        </w:rPr>
        <w:t>：我</w:t>
      </w:r>
      <w:r>
        <w:rPr>
          <w:rFonts w:hAnsi="宋体" w:hint="eastAsia"/>
          <w:bCs/>
        </w:rPr>
        <w:t>国园艺产业的现状、问题、</w:t>
      </w:r>
      <w:r>
        <w:rPr>
          <w:rFonts w:hint="eastAsia"/>
        </w:rPr>
        <w:t>发展方向</w:t>
      </w:r>
      <w:r>
        <w:rPr>
          <w:rFonts w:ascii="宋体" w:hAnsi="宋体" w:cs="宋体" w:hint="eastAsia"/>
          <w:szCs w:val="21"/>
        </w:rPr>
        <w:t>。</w:t>
      </w:r>
    </w:p>
    <w:p w14:paraId="7EAAF902"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园艺产业创业案例这门课的重要性。</w:t>
      </w:r>
    </w:p>
    <w:p w14:paraId="001FBCEA"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：不同园艺作物在我国园艺产业的应用潜力</w:t>
      </w:r>
      <w:r>
        <w:rPr>
          <w:rFonts w:ascii="宋体" w:hAnsi="宋体" w:cs="宋体" w:hint="eastAsia"/>
          <w:szCs w:val="21"/>
        </w:rPr>
        <w:t>。</w:t>
      </w:r>
    </w:p>
    <w:p w14:paraId="5C9F01CC"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hAnsi="宋体" w:hint="eastAsia"/>
          <w:bCs/>
        </w:rPr>
        <w:t>我国园艺产业</w:t>
      </w:r>
      <w:r>
        <w:rPr>
          <w:rFonts w:hint="eastAsia"/>
        </w:rPr>
        <w:t>在农业结构供给侧改革中的作用</w:t>
      </w:r>
      <w:r>
        <w:rPr>
          <w:rFonts w:ascii="宋体" w:hAnsi="宋体" w:cs="宋体" w:hint="eastAsia"/>
          <w:szCs w:val="21"/>
        </w:rPr>
        <w:t>。</w:t>
      </w:r>
    </w:p>
    <w:p w14:paraId="5B14D011"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lastRenderedPageBreak/>
        <w:t>5．综合</w:t>
      </w:r>
      <w:r>
        <w:rPr>
          <w:rFonts w:ascii="宋体" w:hAnsi="宋体" w:hint="eastAsia"/>
          <w:szCs w:val="21"/>
        </w:rPr>
        <w:t>：</w:t>
      </w:r>
      <w:r>
        <w:rPr>
          <w:rFonts w:hAnsi="宋体" w:hint="eastAsia"/>
          <w:bCs/>
        </w:rPr>
        <w:t>园艺产业发展过程中各种因素的关联性</w:t>
      </w:r>
      <w:r>
        <w:rPr>
          <w:rFonts w:ascii="宋体" w:hAnsi="宋体" w:cs="宋体" w:hint="eastAsia"/>
          <w:szCs w:val="21"/>
        </w:rPr>
        <w:t>。</w:t>
      </w:r>
    </w:p>
    <w:p w14:paraId="487F060D" w14:textId="77777777" w:rsidR="00F5289E" w:rsidRDefault="00C91173">
      <w:pPr>
        <w:snapToGrid w:val="0"/>
        <w:spacing w:line="360" w:lineRule="auto"/>
        <w:ind w:firstLineChars="200" w:firstLine="422"/>
        <w:rPr>
          <w:rFonts w:ascii="宋体" w:hAnsi="宋体" w:cs="宋体"/>
          <w:b/>
          <w:bCs/>
          <w:szCs w:val="21"/>
        </w:rPr>
      </w:pPr>
      <w:r>
        <w:rPr>
          <w:rFonts w:ascii="宋体" w:hAnsi="宋体" w:cs="宋体" w:hint="eastAsia"/>
          <w:b/>
          <w:bCs/>
          <w:szCs w:val="21"/>
        </w:rPr>
        <w:t>6．评价：</w:t>
      </w:r>
      <w:r>
        <w:rPr>
          <w:rFonts w:hAnsi="宋体" w:hint="eastAsia"/>
          <w:bCs/>
        </w:rPr>
        <w:t>国园艺掌握我产业的现状、问题、</w:t>
      </w:r>
      <w:r>
        <w:rPr>
          <w:rFonts w:hint="eastAsia"/>
        </w:rPr>
        <w:t>发展方向，以及在农业结构供给侧改革中的作用</w:t>
      </w:r>
      <w:r>
        <w:rPr>
          <w:rFonts w:ascii="宋体" w:hAnsi="宋体" w:cs="宋体" w:hint="eastAsia"/>
          <w:szCs w:val="21"/>
        </w:rPr>
        <w:t>。</w:t>
      </w:r>
    </w:p>
    <w:p w14:paraId="4C17ED73"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 xml:space="preserve">第一章 </w:t>
      </w:r>
      <w:r>
        <w:rPr>
          <w:rFonts w:hint="eastAsia"/>
          <w:b/>
          <w:color w:val="000000" w:themeColor="text1"/>
          <w:szCs w:val="21"/>
        </w:rPr>
        <w:t>农业（园艺）产业化</w:t>
      </w:r>
    </w:p>
    <w:p w14:paraId="4CFD2E9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7F23512"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cs="宋体" w:hint="eastAsia"/>
          <w:szCs w:val="21"/>
        </w:rPr>
        <w:t>农业产业化的基本概念。</w:t>
      </w:r>
    </w:p>
    <w:p w14:paraId="11EACCE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现代农业六化：区域化布局，专业化生产，规模化建设，系列化加工，社会化服务，企业化管理。</w:t>
      </w:r>
    </w:p>
    <w:p w14:paraId="77C494AF" w14:textId="77777777" w:rsidR="00F5289E" w:rsidRDefault="00C91173">
      <w:pPr>
        <w:snapToGrid w:val="0"/>
        <w:spacing w:line="360" w:lineRule="auto"/>
        <w:ind w:firstLineChars="200" w:firstLine="422"/>
        <w:rPr>
          <w:rFonts w:ascii="宋体" w:hAnsi="宋体" w:cs="宋体"/>
          <w:b/>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现代农业六化之间的联系。</w:t>
      </w:r>
    </w:p>
    <w:p w14:paraId="4B88EFB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5F60255A" w14:textId="77777777" w:rsidR="00F5289E" w:rsidRDefault="00C91173">
      <w:pPr>
        <w:snapToGrid w:val="0"/>
        <w:spacing w:beforeLines="50" w:before="156" w:line="360" w:lineRule="auto"/>
        <w:ind w:firstLineChars="200" w:firstLine="420"/>
        <w:rPr>
          <w:rFonts w:hAnsi="宋体"/>
          <w:color w:val="000000" w:themeColor="text1"/>
        </w:rPr>
      </w:pPr>
      <w:r>
        <w:rPr>
          <w:rFonts w:hAnsi="宋体" w:hint="eastAsia"/>
          <w:color w:val="000000" w:themeColor="text1"/>
        </w:rPr>
        <w:t>区域化、专业化、规模化、系列化、社会化和企业化的概念和案例；</w:t>
      </w:r>
      <w:r>
        <w:rPr>
          <w:rFonts w:ascii="宋体" w:hAnsi="宋体" w:cs="宋体" w:hint="eastAsia"/>
          <w:szCs w:val="21"/>
        </w:rPr>
        <w:t>现代农业六化之间的联系；</w:t>
      </w:r>
      <w:r>
        <w:rPr>
          <w:rFonts w:hAnsi="宋体" w:hint="eastAsia"/>
          <w:color w:val="000000" w:themeColor="text1"/>
        </w:rPr>
        <w:t>如何以市场为导向、以经济效益为中心、以主导产业、主导产品为重点？产品和市场的定位问题；</w:t>
      </w:r>
      <w:r>
        <w:rPr>
          <w:rFonts w:ascii="宋体" w:hAnsi="宋体" w:hint="eastAsia"/>
          <w:color w:val="000000" w:themeColor="text1"/>
        </w:rPr>
        <w:t>农业产业化的基本类型，及各自的特点；农业产业化的八个特征及</w:t>
      </w:r>
      <w:r>
        <w:rPr>
          <w:rFonts w:asciiTheme="minorEastAsia" w:eastAsiaTheme="minorEastAsia" w:hAnsiTheme="minorEastAsia" w:cstheme="minorEastAsia" w:hint="eastAsia"/>
          <w:color w:val="000000" w:themeColor="text1"/>
        </w:rPr>
        <w:t>一体化经营方式。</w:t>
      </w:r>
    </w:p>
    <w:p w14:paraId="0685D58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75E2C4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Ansi="宋体" w:hint="eastAsia"/>
          <w:color w:val="000000" w:themeColor="text1"/>
        </w:rPr>
        <w:t>现代农业六化和</w:t>
      </w:r>
      <w:r>
        <w:rPr>
          <w:rFonts w:ascii="宋体" w:hAnsi="宋体" w:hint="eastAsia"/>
          <w:color w:val="000000" w:themeColor="text1"/>
        </w:rPr>
        <w:t>农业产业化的八个特征</w:t>
      </w:r>
      <w:r>
        <w:rPr>
          <w:rFonts w:ascii="宋体" w:hAnsi="宋体" w:cs="宋体" w:hint="eastAsia"/>
          <w:szCs w:val="21"/>
        </w:rPr>
        <w:t>。</w:t>
      </w:r>
    </w:p>
    <w:p w14:paraId="52D4B5F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hAnsi="宋体" w:hint="eastAsia"/>
          <w:color w:val="000000" w:themeColor="text1"/>
        </w:rPr>
        <w:t>农业产业化是一个系统工程</w:t>
      </w:r>
      <w:r>
        <w:rPr>
          <w:rFonts w:ascii="宋体" w:hAnsi="宋体" w:cs="宋体" w:hint="eastAsia"/>
          <w:szCs w:val="21"/>
        </w:rPr>
        <w:t>。</w:t>
      </w:r>
    </w:p>
    <w:p w14:paraId="4556BF31"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龙头企业在农业产业化中的重要作用。</w:t>
      </w:r>
    </w:p>
    <w:p w14:paraId="2BF1A68D"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ascii="宋体" w:hAnsi="宋体" w:cs="宋体" w:hint="eastAsia"/>
          <w:szCs w:val="21"/>
        </w:rPr>
        <w:t>现代农业六化之间的联系</w:t>
      </w:r>
      <w:r>
        <w:rPr>
          <w:rFonts w:ascii="宋体" w:hAnsi="宋体" w:hint="eastAsia"/>
          <w:color w:val="000000" w:themeColor="text1"/>
        </w:rPr>
        <w:t>；</w:t>
      </w:r>
      <w:r>
        <w:rPr>
          <w:rFonts w:ascii="宋体" w:hAnsi="宋体" w:cs="宋体" w:hint="eastAsia"/>
          <w:szCs w:val="21"/>
        </w:rPr>
        <w:t>农业产业化的基本类型，及各自的特点。</w:t>
      </w:r>
    </w:p>
    <w:p w14:paraId="708F2A57"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5．综合</w:t>
      </w:r>
      <w:r>
        <w:rPr>
          <w:rFonts w:ascii="宋体" w:hAnsi="宋体" w:hint="eastAsia"/>
          <w:szCs w:val="21"/>
        </w:rPr>
        <w:t>：</w:t>
      </w:r>
      <w:r>
        <w:rPr>
          <w:rFonts w:hAnsi="宋体" w:hint="eastAsia"/>
          <w:color w:val="000000" w:themeColor="text1"/>
        </w:rPr>
        <w:t>一体化是农业产业化的瓶颈，企业化管理是农业第一产业的必须</w:t>
      </w:r>
      <w:r>
        <w:rPr>
          <w:rFonts w:ascii="宋体" w:hAnsi="宋体" w:cs="宋体" w:hint="eastAsia"/>
          <w:szCs w:val="21"/>
        </w:rPr>
        <w:t>。</w:t>
      </w:r>
    </w:p>
    <w:p w14:paraId="3F583182"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6．评价：</w:t>
      </w:r>
      <w:r>
        <w:rPr>
          <w:rFonts w:ascii="宋体" w:hAnsi="宋体" w:cs="宋体" w:hint="eastAsia"/>
          <w:szCs w:val="21"/>
        </w:rPr>
        <w:t>现代农业六化、</w:t>
      </w:r>
      <w:r>
        <w:rPr>
          <w:rFonts w:ascii="宋体" w:hAnsi="宋体" w:hint="eastAsia"/>
          <w:color w:val="000000" w:themeColor="text1"/>
        </w:rPr>
        <w:t>农业产业化的八个特征及农业产业化的基本类型，及各自的特点</w:t>
      </w:r>
      <w:r>
        <w:rPr>
          <w:rFonts w:ascii="宋体" w:hAnsi="宋体" w:cs="宋体" w:hint="eastAsia"/>
          <w:szCs w:val="21"/>
        </w:rPr>
        <w:t>。</w:t>
      </w:r>
    </w:p>
    <w:p w14:paraId="35702344"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第二章</w:t>
      </w:r>
      <w:r>
        <w:rPr>
          <w:rFonts w:ascii="宋体" w:hAnsi="宋体" w:cs="宋体"/>
          <w:b/>
          <w:bCs/>
          <w:kern w:val="0"/>
          <w:szCs w:val="21"/>
        </w:rPr>
        <w:t xml:space="preserve"> </w:t>
      </w:r>
      <w:r>
        <w:rPr>
          <w:rFonts w:ascii="宋体" w:hAnsi="宋体" w:cs="宋体" w:hint="eastAsia"/>
          <w:b/>
          <w:bCs/>
          <w:kern w:val="0"/>
          <w:szCs w:val="21"/>
        </w:rPr>
        <w:t>园艺企业做大做强的机会</w:t>
      </w:r>
    </w:p>
    <w:p w14:paraId="2A05B5C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81B777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hint="eastAsia"/>
        </w:rPr>
        <w:t>自然资源的珍贵和不可再生性；</w:t>
      </w:r>
      <w:r>
        <w:rPr>
          <w:rFonts w:hAnsi="宋体" w:hint="eastAsia"/>
        </w:rPr>
        <w:t>品意识，品牌意识和市场意识</w:t>
      </w:r>
      <w:r>
        <w:rPr>
          <w:rFonts w:ascii="宋体" w:hAnsi="宋体" w:cs="宋体" w:hint="eastAsia"/>
          <w:szCs w:val="21"/>
        </w:rPr>
        <w:t>。</w:t>
      </w:r>
    </w:p>
    <w:p w14:paraId="10C3312E"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园艺特色品种资源、品牌及市场的重要作用。</w:t>
      </w:r>
    </w:p>
    <w:p w14:paraId="2B426B7B"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资源类、产品类和市场类机会。</w:t>
      </w:r>
    </w:p>
    <w:p w14:paraId="2E22293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（二）考核知识点</w:t>
      </w:r>
    </w:p>
    <w:p w14:paraId="6F952E60" w14:textId="77777777" w:rsidR="00F5289E" w:rsidRDefault="00C91173">
      <w:pPr>
        <w:snapToGrid w:val="0"/>
        <w:spacing w:beforeLines="50" w:before="156" w:line="360" w:lineRule="auto"/>
        <w:ind w:firstLineChars="200" w:firstLine="420"/>
        <w:rPr>
          <w:rFonts w:ascii="宋体" w:hAnsi="宋体"/>
          <w:color w:val="000000" w:themeColor="text1"/>
        </w:rPr>
      </w:pPr>
      <w:r>
        <w:rPr>
          <w:rFonts w:hAnsi="宋体" w:hint="eastAsia"/>
          <w:color w:val="000000" w:themeColor="text1"/>
        </w:rPr>
        <w:t>园艺特色品种资源及不同</w:t>
      </w:r>
      <w:r>
        <w:rPr>
          <w:rFonts w:ascii="宋体" w:hAnsi="宋体" w:hint="eastAsia"/>
          <w:color w:val="000000" w:themeColor="text1"/>
        </w:rPr>
        <w:t>产地品牌资源；产品差异化的重要性；</w:t>
      </w:r>
      <w:r>
        <w:rPr>
          <w:rFonts w:hAnsi="宋体" w:hint="eastAsia"/>
          <w:color w:val="000000" w:themeColor="text1"/>
        </w:rPr>
        <w:t>园艺产品区域市场机会的把握以及</w:t>
      </w:r>
      <w:r>
        <w:rPr>
          <w:rFonts w:ascii="宋体" w:hAnsi="宋体" w:hint="eastAsia"/>
          <w:color w:val="000000" w:themeColor="text1"/>
        </w:rPr>
        <w:t>开发市场的能力。</w:t>
      </w:r>
    </w:p>
    <w:p w14:paraId="4921069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305E5E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资源类、产品类和市场类机会的概念。</w:t>
      </w:r>
    </w:p>
    <w:p w14:paraId="6450D69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：自然资源的珍贵和</w:t>
      </w:r>
      <w:r>
        <w:rPr>
          <w:rFonts w:ascii="宋体" w:hAnsi="宋体" w:hint="eastAsia"/>
          <w:color w:val="000000" w:themeColor="text1"/>
        </w:rPr>
        <w:t>产品差异化的重要性</w:t>
      </w:r>
      <w:r>
        <w:rPr>
          <w:rFonts w:ascii="宋体" w:hAnsi="宋体" w:cs="宋体" w:hint="eastAsia"/>
          <w:szCs w:val="21"/>
        </w:rPr>
        <w:t>。</w:t>
      </w:r>
    </w:p>
    <w:p w14:paraId="0C44F6E9"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lastRenderedPageBreak/>
        <w:t>3．应用</w:t>
      </w:r>
      <w:r>
        <w:rPr>
          <w:rFonts w:ascii="宋体" w:hAnsi="宋体" w:hint="eastAsia"/>
          <w:szCs w:val="21"/>
        </w:rPr>
        <w:t>：</w:t>
      </w:r>
      <w:r>
        <w:rPr>
          <w:rFonts w:ascii="宋体" w:hAnsi="宋体" w:hint="eastAsia"/>
          <w:color w:val="000000" w:themeColor="text1"/>
        </w:rPr>
        <w:t>学会市场运作</w:t>
      </w:r>
      <w:r>
        <w:rPr>
          <w:rFonts w:ascii="宋体" w:hAnsi="宋体" w:cs="宋体" w:hint="eastAsia"/>
          <w:szCs w:val="21"/>
        </w:rPr>
        <w:t>。</w:t>
      </w:r>
    </w:p>
    <w:p w14:paraId="4CC107E2"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hAnsi="宋体" w:hint="eastAsia"/>
          <w:color w:val="000000" w:themeColor="text1"/>
        </w:rPr>
        <w:t>园艺特色品种资源及不同</w:t>
      </w:r>
      <w:r>
        <w:rPr>
          <w:rFonts w:ascii="宋体" w:hAnsi="宋体" w:hint="eastAsia"/>
          <w:color w:val="000000" w:themeColor="text1"/>
        </w:rPr>
        <w:t>产地品牌资源</w:t>
      </w:r>
      <w:r>
        <w:rPr>
          <w:rFonts w:ascii="宋体" w:hAnsi="宋体" w:cs="宋体" w:hint="eastAsia"/>
          <w:szCs w:val="21"/>
        </w:rPr>
        <w:t>。</w:t>
      </w:r>
    </w:p>
    <w:p w14:paraId="24584EA2"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5．综合</w:t>
      </w:r>
      <w:r>
        <w:rPr>
          <w:rFonts w:ascii="宋体" w:hAnsi="宋体" w:hint="eastAsia"/>
          <w:szCs w:val="21"/>
        </w:rPr>
        <w:t>：</w:t>
      </w:r>
      <w:r>
        <w:rPr>
          <w:rFonts w:ascii="宋体" w:hAnsi="宋体" w:cs="宋体" w:hint="eastAsia"/>
          <w:szCs w:val="21"/>
        </w:rPr>
        <w:t>三种机会之间的联系</w:t>
      </w:r>
      <w:r>
        <w:rPr>
          <w:rFonts w:ascii="宋体" w:hAnsi="宋体" w:hint="eastAsia"/>
          <w:szCs w:val="21"/>
        </w:rPr>
        <w:t>。</w:t>
      </w:r>
    </w:p>
    <w:p w14:paraId="6ACD550C"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6．评价：</w:t>
      </w:r>
      <w:r>
        <w:rPr>
          <w:rFonts w:hAnsi="宋体" w:hint="eastAsia"/>
          <w:color w:val="000000" w:themeColor="text1"/>
        </w:rPr>
        <w:t>园艺特色品种资源及不同</w:t>
      </w:r>
      <w:r>
        <w:rPr>
          <w:rFonts w:ascii="宋体" w:hAnsi="宋体" w:hint="eastAsia"/>
          <w:color w:val="000000" w:themeColor="text1"/>
        </w:rPr>
        <w:t>产地品牌资源；产品差异化的重要性；</w:t>
      </w:r>
      <w:r>
        <w:rPr>
          <w:rFonts w:hAnsi="宋体" w:hint="eastAsia"/>
          <w:color w:val="000000" w:themeColor="text1"/>
        </w:rPr>
        <w:t>园艺产品区域市场机会的把握以及</w:t>
      </w:r>
      <w:r>
        <w:rPr>
          <w:rFonts w:ascii="宋体" w:hAnsi="宋体" w:hint="eastAsia"/>
          <w:color w:val="000000" w:themeColor="text1"/>
        </w:rPr>
        <w:t>开发市场的能力。</w:t>
      </w:r>
    </w:p>
    <w:p w14:paraId="6244900A"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第三章</w:t>
      </w:r>
      <w:r>
        <w:rPr>
          <w:rFonts w:ascii="宋体" w:hAnsi="宋体" w:cs="宋体"/>
          <w:b/>
          <w:bCs/>
          <w:kern w:val="0"/>
          <w:szCs w:val="21"/>
        </w:rPr>
        <w:t xml:space="preserve"> </w:t>
      </w:r>
      <w:r>
        <w:rPr>
          <w:rFonts w:hint="eastAsia"/>
          <w:b/>
          <w:bCs/>
          <w:color w:val="000000" w:themeColor="text1"/>
          <w:kern w:val="0"/>
          <w:szCs w:val="21"/>
        </w:rPr>
        <w:t>农业园区的创业之路</w:t>
      </w:r>
      <w:r>
        <w:rPr>
          <w:rFonts w:hint="eastAsia"/>
          <w:b/>
          <w:color w:val="000000" w:themeColor="text1"/>
          <w:szCs w:val="21"/>
        </w:rPr>
        <w:t xml:space="preserve"> </w:t>
      </w:r>
    </w:p>
    <w:p w14:paraId="7B56B203"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47F809E3"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hint="eastAsia"/>
          <w:color w:val="000000" w:themeColor="text1"/>
        </w:rPr>
        <w:t>地流转的现状，正确认识农业园区存在的问题与土地流转政策的关系</w:t>
      </w:r>
      <w:r>
        <w:rPr>
          <w:rFonts w:ascii="宋体" w:hAnsi="宋体" w:cs="宋体" w:hint="eastAsia"/>
          <w:szCs w:val="21"/>
        </w:rPr>
        <w:t>。</w:t>
      </w:r>
    </w:p>
    <w:p w14:paraId="11A0196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hint="eastAsia"/>
          <w:color w:val="000000" w:themeColor="text1"/>
        </w:rPr>
        <w:t>农业园区经营的八点思考及创业要注意的问题。</w:t>
      </w:r>
    </w:p>
    <w:p w14:paraId="45FBCA14"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3．熟练掌握</w:t>
      </w:r>
      <w:r>
        <w:rPr>
          <w:rFonts w:ascii="宋体" w:hAnsi="宋体" w:hint="eastAsia"/>
          <w:szCs w:val="21"/>
        </w:rPr>
        <w:t>：</w:t>
      </w:r>
      <w:r>
        <w:rPr>
          <w:rFonts w:hAnsi="宋体" w:hint="eastAsia"/>
          <w:color w:val="000000" w:themeColor="text1"/>
        </w:rPr>
        <w:t>农业园区的健康发展之路。</w:t>
      </w:r>
    </w:p>
    <w:p w14:paraId="6784418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（二）考核知识点</w:t>
      </w:r>
    </w:p>
    <w:p w14:paraId="57D3815B"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sz w:val="21"/>
          <w:szCs w:val="21"/>
        </w:rPr>
        <w:t>了解土地流转的现状，正确认识农业园区存在的问题与土地流转政策的关系；了解农业园区目前的现状、问题；了解农园区和园艺产业创业要注意的问题。掌握农业园区的健康发展之路和优秀品种在园艺产业发展中的重要作用。</w:t>
      </w:r>
    </w:p>
    <w:p w14:paraId="681676A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0D36C91"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农业园区经营的八点思考及创业要注意的问题。</w:t>
      </w:r>
    </w:p>
    <w:p w14:paraId="09F8C67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土地流转的现状，正确认识农业园区存在的问题与土地流转政策的关系。</w:t>
      </w:r>
    </w:p>
    <w:p w14:paraId="27E2FAF5"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农业园区经营和市场预测。</w:t>
      </w:r>
    </w:p>
    <w:p w14:paraId="49C24B2A"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4．分析：</w:t>
      </w:r>
      <w:r>
        <w:rPr>
          <w:rFonts w:ascii="宋体" w:hAnsi="宋体" w:cs="宋体" w:hint="eastAsia"/>
          <w:szCs w:val="21"/>
        </w:rPr>
        <w:t>农业园区的健康发展之路和优秀品种在园艺产业发展中的重要作用。</w:t>
      </w:r>
    </w:p>
    <w:p w14:paraId="3DCA730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5．综合：</w:t>
      </w:r>
      <w:r>
        <w:rPr>
          <w:rFonts w:ascii="宋体" w:hAnsi="宋体" w:cs="宋体" w:hint="eastAsia"/>
          <w:szCs w:val="21"/>
        </w:rPr>
        <w:t>农业园区的经营和园艺产业创业是一个系统工程，需要优秀的综合型人才。</w:t>
      </w:r>
    </w:p>
    <w:p w14:paraId="1AAAEB0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ascii="宋体" w:hAnsi="宋体" w:cs="宋体" w:hint="eastAsia"/>
          <w:szCs w:val="21"/>
        </w:rPr>
        <w:t>农业园区的健康发展之路的理解和掌握。</w:t>
      </w:r>
    </w:p>
    <w:p w14:paraId="2A06E9BF"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第四章</w:t>
      </w:r>
      <w:r>
        <w:rPr>
          <w:rFonts w:ascii="宋体" w:hAnsi="宋体" w:cs="宋体"/>
          <w:b/>
          <w:bCs/>
          <w:kern w:val="0"/>
          <w:szCs w:val="21"/>
        </w:rPr>
        <w:t xml:space="preserve"> </w:t>
      </w:r>
      <w:r>
        <w:rPr>
          <w:rFonts w:ascii="宋体" w:hAnsi="宋体" w:cs="宋体" w:hint="eastAsia"/>
          <w:b/>
          <w:bCs/>
          <w:kern w:val="0"/>
          <w:szCs w:val="21"/>
        </w:rPr>
        <w:t>优质瓜菜品种、创品牌品种介绍及运作要点</w:t>
      </w:r>
    </w:p>
    <w:p w14:paraId="66421070"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0F7D808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cs="宋体" w:hint="eastAsia"/>
          <w:szCs w:val="21"/>
        </w:rPr>
        <w:t>目前适合农业园区种植和运作的优质瓜类及其他蔬菜品种。</w:t>
      </w:r>
    </w:p>
    <w:p w14:paraId="5CB8FE8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color w:val="000000" w:themeColor="text1"/>
        </w:rPr>
        <w:t>市场上现有的优质品种及其特点</w:t>
      </w:r>
      <w:r>
        <w:rPr>
          <w:rFonts w:ascii="宋体" w:hAnsi="宋体" w:cs="宋体" w:hint="eastAsia"/>
          <w:szCs w:val="21"/>
        </w:rPr>
        <w:t>。</w:t>
      </w:r>
    </w:p>
    <w:p w14:paraId="40097D6D"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color w:val="000000" w:themeColor="text1"/>
        </w:rPr>
        <w:t>农业园区的品种差异化发展之路</w:t>
      </w:r>
      <w:r>
        <w:rPr>
          <w:rFonts w:ascii="宋体" w:hAnsi="宋体" w:cs="宋体" w:hint="eastAsia"/>
          <w:szCs w:val="21"/>
        </w:rPr>
        <w:t>。</w:t>
      </w:r>
    </w:p>
    <w:p w14:paraId="471D862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（二）考核内容</w:t>
      </w:r>
    </w:p>
    <w:p w14:paraId="52B071EA" w14:textId="77777777" w:rsidR="00F5289E" w:rsidRDefault="00C91173">
      <w:pPr>
        <w:snapToGrid w:val="0"/>
        <w:spacing w:line="360" w:lineRule="auto"/>
        <w:ind w:firstLineChars="200" w:firstLine="420"/>
        <w:rPr>
          <w:rFonts w:ascii="宋体" w:hAnsi="宋体"/>
          <w:b/>
          <w:szCs w:val="21"/>
        </w:rPr>
      </w:pPr>
      <w:r>
        <w:rPr>
          <w:rFonts w:ascii="宋体" w:hAnsi="宋体" w:cs="宋体" w:hint="eastAsia"/>
          <w:szCs w:val="21"/>
        </w:rPr>
        <w:t>了解目前市场上有特色的优质、有特色的几个西甜瓜品种及其他类型的蔬菜品种，及其卖点；培养</w:t>
      </w:r>
      <w:r>
        <w:rPr>
          <w:rFonts w:hAnsi="宋体" w:hint="eastAsia"/>
          <w:color w:val="000000" w:themeColor="text1"/>
        </w:rPr>
        <w:t>差异化运作思路；掌握</w:t>
      </w:r>
      <w:r>
        <w:rPr>
          <w:rFonts w:ascii="宋体" w:hAnsi="宋体" w:cs="宋体" w:hint="eastAsia"/>
          <w:szCs w:val="21"/>
        </w:rPr>
        <w:t>农业园区的品种差异化发展之路。</w:t>
      </w:r>
    </w:p>
    <w:p w14:paraId="560EFF7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86C4451"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lastRenderedPageBreak/>
        <w:t>1．识记</w:t>
      </w:r>
      <w:r>
        <w:rPr>
          <w:rFonts w:ascii="宋体" w:hAnsi="宋体" w:hint="eastAsia"/>
          <w:szCs w:val="21"/>
        </w:rPr>
        <w:t>：</w:t>
      </w:r>
      <w:r>
        <w:rPr>
          <w:rFonts w:ascii="宋体" w:hAnsi="宋体" w:hint="eastAsia"/>
          <w:color w:val="000000" w:themeColor="text1"/>
        </w:rPr>
        <w:t>市场上现有的优质品种及其特点</w:t>
      </w:r>
      <w:r>
        <w:rPr>
          <w:rFonts w:ascii="宋体" w:hAnsi="宋体" w:cs="宋体" w:hint="eastAsia"/>
          <w:szCs w:val="21"/>
        </w:rPr>
        <w:t>。</w:t>
      </w:r>
    </w:p>
    <w:p w14:paraId="0C858C1B"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hAnsi="宋体" w:hint="eastAsia"/>
          <w:color w:val="000000" w:themeColor="text1"/>
        </w:rPr>
        <w:t>差异化品种的差异化运作思路</w:t>
      </w:r>
      <w:r>
        <w:rPr>
          <w:rFonts w:ascii="宋体" w:hAnsi="宋体" w:cs="宋体" w:hint="eastAsia"/>
          <w:szCs w:val="21"/>
        </w:rPr>
        <w:t>。</w:t>
      </w:r>
    </w:p>
    <w:p w14:paraId="7A5C8F84"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hAnsi="宋体" w:hint="eastAsia"/>
          <w:color w:val="000000" w:themeColor="text1"/>
        </w:rPr>
        <w:t>农业园区的品种差异化发展之路</w:t>
      </w:r>
      <w:r>
        <w:rPr>
          <w:rFonts w:ascii="宋体" w:hAnsi="宋体" w:cs="宋体" w:hint="eastAsia"/>
          <w:szCs w:val="21"/>
        </w:rPr>
        <w:t>。</w:t>
      </w:r>
    </w:p>
    <w:p w14:paraId="4BFAC57F"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hAnsi="宋体" w:hint="eastAsia"/>
          <w:color w:val="000000" w:themeColor="text1"/>
        </w:rPr>
        <w:t>市场上现有的优质品种及独特优势和</w:t>
      </w:r>
      <w:r>
        <w:rPr>
          <w:rFonts w:asciiTheme="minorEastAsia" w:eastAsiaTheme="minorEastAsia" w:hAnsiTheme="minorEastAsia" w:cstheme="minorEastAsia" w:hint="eastAsia"/>
          <w:color w:val="000000" w:themeColor="text1"/>
          <w:kern w:val="0"/>
          <w:szCs w:val="21"/>
        </w:rPr>
        <w:t>运作案例</w:t>
      </w:r>
      <w:r>
        <w:rPr>
          <w:rFonts w:ascii="宋体" w:hAnsi="宋体" w:cs="宋体" w:hint="eastAsia"/>
          <w:szCs w:val="21"/>
        </w:rPr>
        <w:t>。</w:t>
      </w:r>
    </w:p>
    <w:p w14:paraId="6E776D6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5．综合：</w:t>
      </w:r>
      <w:r>
        <w:rPr>
          <w:rFonts w:asciiTheme="minorEastAsia" w:eastAsiaTheme="minorEastAsia" w:hAnsiTheme="minorEastAsia" w:cstheme="minorEastAsia" w:hint="eastAsia"/>
          <w:color w:val="000000" w:themeColor="text1"/>
          <w:kern w:val="0"/>
          <w:szCs w:val="21"/>
        </w:rPr>
        <w:t>差异化的运作思路和意识的形成和培养</w:t>
      </w:r>
      <w:r>
        <w:rPr>
          <w:rFonts w:ascii="宋体" w:hAnsi="宋体" w:cs="宋体" w:hint="eastAsia"/>
          <w:szCs w:val="21"/>
        </w:rPr>
        <w:t>。</w:t>
      </w:r>
    </w:p>
    <w:p w14:paraId="76ADFC0F"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hAnsi="宋体" w:hint="eastAsia"/>
          <w:color w:val="000000" w:themeColor="text1"/>
        </w:rPr>
        <w:t>掌握</w:t>
      </w:r>
      <w:r>
        <w:rPr>
          <w:rFonts w:ascii="宋体" w:hAnsi="宋体" w:cs="宋体" w:hint="eastAsia"/>
          <w:szCs w:val="21"/>
        </w:rPr>
        <w:t>农业园区的品种差异化发展之路。</w:t>
      </w:r>
    </w:p>
    <w:p w14:paraId="0BABC942" w14:textId="77777777" w:rsidR="00F5289E" w:rsidRDefault="00C91173">
      <w:pPr>
        <w:snapToGrid w:val="0"/>
        <w:spacing w:line="360" w:lineRule="auto"/>
        <w:rPr>
          <w:rFonts w:ascii="宋体" w:hAnsi="宋体"/>
          <w:b/>
          <w:szCs w:val="21"/>
        </w:rPr>
      </w:pPr>
      <w:r>
        <w:rPr>
          <w:rFonts w:ascii="宋体" w:hAnsi="宋体" w:hint="eastAsia"/>
          <w:b/>
          <w:szCs w:val="21"/>
        </w:rPr>
        <w:t>三、实验、实习教学部分的考核要求</w:t>
      </w:r>
    </w:p>
    <w:p w14:paraId="58549B8D"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无。</w:t>
      </w:r>
    </w:p>
    <w:p w14:paraId="40E0615D" w14:textId="77777777" w:rsidR="00F5289E" w:rsidRDefault="00C91173">
      <w:pPr>
        <w:snapToGrid w:val="0"/>
        <w:spacing w:line="360" w:lineRule="auto"/>
        <w:rPr>
          <w:rFonts w:ascii="宋体" w:hAnsi="宋体"/>
          <w:b/>
          <w:szCs w:val="21"/>
        </w:rPr>
      </w:pPr>
      <w:r>
        <w:rPr>
          <w:rFonts w:ascii="宋体" w:hAnsi="宋体" w:hint="eastAsia"/>
          <w:b/>
          <w:szCs w:val="21"/>
        </w:rPr>
        <w:t>四、</w:t>
      </w:r>
      <w:r>
        <w:rPr>
          <w:rFonts w:asciiTheme="majorEastAsia" w:eastAsiaTheme="majorEastAsia" w:hAnsiTheme="majorEastAsia" w:cstheme="majorEastAsia" w:hint="eastAsia"/>
          <w:b/>
          <w:bCs/>
          <w:kern w:val="0"/>
          <w:szCs w:val="21"/>
        </w:rPr>
        <w:t>考核方式</w:t>
      </w:r>
    </w:p>
    <w:p w14:paraId="7B041143"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平时</w:t>
      </w:r>
      <w:r>
        <w:rPr>
          <w:rFonts w:ascii="宋体" w:hAnsi="宋体"/>
          <w:bCs/>
          <w:szCs w:val="21"/>
        </w:rPr>
        <w:t>成绩（</w:t>
      </w:r>
      <w:r>
        <w:rPr>
          <w:rFonts w:ascii="宋体" w:hAnsi="宋体" w:hint="eastAsia"/>
        </w:rPr>
        <w:t>课堂表现、考勤、课后作业、小组学习讨论</w:t>
      </w:r>
      <w:r>
        <w:rPr>
          <w:rFonts w:ascii="宋体" w:hAnsi="宋体"/>
          <w:bCs/>
          <w:szCs w:val="21"/>
        </w:rPr>
        <w:t>）</w:t>
      </w:r>
      <w:r>
        <w:rPr>
          <w:rFonts w:ascii="宋体" w:hAnsi="宋体" w:hint="eastAsia"/>
          <w:bCs/>
          <w:szCs w:val="21"/>
        </w:rPr>
        <w:t>和课程论文。</w:t>
      </w:r>
    </w:p>
    <w:p w14:paraId="6617276E" w14:textId="77777777" w:rsidR="00F5289E" w:rsidRDefault="00C91173">
      <w:pPr>
        <w:snapToGrid w:val="0"/>
        <w:spacing w:line="360" w:lineRule="auto"/>
        <w:rPr>
          <w:rFonts w:ascii="宋体" w:hAnsi="宋体"/>
          <w:b/>
          <w:szCs w:val="21"/>
        </w:rPr>
      </w:pPr>
      <w:r>
        <w:rPr>
          <w:rFonts w:ascii="宋体" w:hAnsi="宋体" w:hint="eastAsia"/>
          <w:b/>
          <w:szCs w:val="21"/>
        </w:rPr>
        <w:t>五、</w:t>
      </w:r>
      <w:r>
        <w:rPr>
          <w:rFonts w:asciiTheme="majorEastAsia" w:eastAsiaTheme="majorEastAsia" w:hAnsiTheme="majorEastAsia" w:cstheme="majorEastAsia" w:hint="eastAsia"/>
          <w:b/>
          <w:bCs/>
          <w:kern w:val="0"/>
          <w:szCs w:val="21"/>
        </w:rPr>
        <w:t>成绩评定</w:t>
      </w:r>
    </w:p>
    <w:p w14:paraId="21509CFA"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r>
        <w:rPr>
          <w:rFonts w:ascii="宋体" w:hAnsi="宋体" w:hint="eastAsia"/>
          <w:bCs/>
          <w:szCs w:val="21"/>
        </w:rPr>
        <w:t>（</w:t>
      </w:r>
      <w:r>
        <w:rPr>
          <w:rFonts w:ascii="宋体" w:hAnsi="宋体" w:hint="eastAsia"/>
        </w:rPr>
        <w:t>课堂表现、考勤、课后作业、小组学习讨论等；</w:t>
      </w:r>
      <w:r>
        <w:rPr>
          <w:rFonts w:ascii="宋体" w:hAnsi="宋体" w:hint="eastAsia"/>
          <w:szCs w:val="21"/>
        </w:rPr>
        <w:t>所占比例</w:t>
      </w:r>
      <w:r>
        <w:rPr>
          <w:rFonts w:ascii="宋体" w:hAnsi="宋体"/>
          <w:szCs w:val="21"/>
        </w:rPr>
        <w:t>30%</w:t>
      </w:r>
      <w:r>
        <w:rPr>
          <w:rFonts w:ascii="宋体" w:hAnsi="宋体" w:hint="eastAsia"/>
          <w:bCs/>
          <w:szCs w:val="21"/>
        </w:rPr>
        <w:t>）</w:t>
      </w:r>
    </w:p>
    <w:p w14:paraId="2CA2D985" w14:textId="77777777" w:rsidR="00F5289E" w:rsidRDefault="00C91173">
      <w:pPr>
        <w:snapToGrid w:val="0"/>
        <w:spacing w:line="360" w:lineRule="auto"/>
        <w:ind w:firstLineChars="200" w:firstLine="420"/>
        <w:rPr>
          <w:rFonts w:ascii="宋体" w:hAnsi="宋体"/>
          <w:bCs/>
          <w:szCs w:val="21"/>
        </w:rPr>
      </w:pPr>
      <w:r>
        <w:rPr>
          <w:rFonts w:ascii="宋体" w:hAnsi="宋体" w:hint="eastAsia"/>
        </w:rPr>
        <w:t>2．期末成绩</w:t>
      </w:r>
      <w:r>
        <w:rPr>
          <w:rFonts w:ascii="宋体" w:hAnsi="宋体" w:hint="eastAsia"/>
          <w:bCs/>
          <w:szCs w:val="21"/>
        </w:rPr>
        <w:t>（</w:t>
      </w:r>
      <w:r>
        <w:rPr>
          <w:rFonts w:ascii="宋体" w:hAnsi="宋体" w:hint="eastAsia"/>
          <w:szCs w:val="21"/>
        </w:rPr>
        <w:t>课程论文；所占比例7</w:t>
      </w:r>
      <w:r>
        <w:rPr>
          <w:rFonts w:ascii="宋体" w:hAnsi="宋体"/>
          <w:szCs w:val="21"/>
        </w:rPr>
        <w:t>0%</w:t>
      </w:r>
      <w:r>
        <w:rPr>
          <w:rFonts w:ascii="宋体" w:hAnsi="宋体" w:hint="eastAsia"/>
          <w:bCs/>
          <w:szCs w:val="21"/>
        </w:rPr>
        <w:t>）</w:t>
      </w:r>
    </w:p>
    <w:p w14:paraId="7E7F8DB7" w14:textId="77777777" w:rsidR="00F5289E" w:rsidRDefault="00C91173">
      <w:pPr>
        <w:snapToGrid w:val="0"/>
        <w:spacing w:line="360" w:lineRule="auto"/>
        <w:ind w:firstLineChars="200" w:firstLine="420"/>
        <w:rPr>
          <w:rFonts w:ascii="宋体" w:hAnsi="宋体"/>
          <w:bCs/>
          <w:szCs w:val="21"/>
        </w:rPr>
      </w:pPr>
      <w:r>
        <w:rPr>
          <w:rFonts w:ascii="宋体" w:hAnsi="宋体" w:hint="eastAsia"/>
        </w:rPr>
        <w:t>3．综合成（</w:t>
      </w:r>
      <w:r>
        <w:rPr>
          <w:rFonts w:hint="eastAsia"/>
          <w:szCs w:val="21"/>
        </w:rPr>
        <w:t>平时成绩</w:t>
      </w:r>
      <w:r>
        <w:rPr>
          <w:rFonts w:ascii="宋体" w:hAnsi="宋体" w:hint="eastAsia"/>
          <w:bCs/>
          <w:szCs w:val="21"/>
        </w:rPr>
        <w:t>×</w:t>
      </w:r>
      <w:r>
        <w:rPr>
          <w:rFonts w:hint="eastAsia"/>
          <w:szCs w:val="21"/>
        </w:rPr>
        <w:t>30%+</w:t>
      </w:r>
      <w:r>
        <w:rPr>
          <w:rFonts w:hint="eastAsia"/>
          <w:szCs w:val="21"/>
        </w:rPr>
        <w:t>课程论文</w:t>
      </w:r>
      <w:r>
        <w:rPr>
          <w:rFonts w:ascii="宋体" w:hAnsi="宋体" w:hint="eastAsia"/>
          <w:bCs/>
          <w:szCs w:val="21"/>
        </w:rPr>
        <w:t>×</w:t>
      </w:r>
      <w:r>
        <w:rPr>
          <w:rFonts w:hint="eastAsia"/>
          <w:szCs w:val="21"/>
        </w:rPr>
        <w:t>70</w:t>
      </w:r>
      <w:r>
        <w:rPr>
          <w:rFonts w:hint="eastAsia"/>
          <w:szCs w:val="21"/>
        </w:rPr>
        <w:t>％</w:t>
      </w:r>
      <w:r>
        <w:rPr>
          <w:rFonts w:ascii="宋体" w:hAnsi="宋体" w:hint="eastAsia"/>
        </w:rPr>
        <w:t>）</w:t>
      </w:r>
    </w:p>
    <w:p w14:paraId="7E6CB3D7" w14:textId="77777777" w:rsidR="00F5289E" w:rsidRDefault="00C91173">
      <w:pPr>
        <w:pStyle w:val="a9"/>
        <w:spacing w:line="360" w:lineRule="auto"/>
        <w:rPr>
          <w:b/>
          <w:bCs/>
        </w:rPr>
      </w:pPr>
      <w:r>
        <w:rPr>
          <w:rFonts w:hint="eastAsia"/>
          <w:b/>
          <w:bCs/>
        </w:rPr>
        <w:t>六、考核结果分析反馈</w:t>
      </w:r>
    </w:p>
    <w:p w14:paraId="2B3C43CE" w14:textId="77777777" w:rsidR="00F5289E" w:rsidRDefault="00C91173">
      <w:pPr>
        <w:snapToGrid w:val="0"/>
        <w:spacing w:line="360" w:lineRule="auto"/>
        <w:ind w:firstLineChars="200" w:firstLine="420"/>
        <w:rPr>
          <w:rFonts w:hAnsi="宋体"/>
          <w:bCs/>
          <w:szCs w:val="21"/>
        </w:rPr>
      </w:pPr>
      <w:r>
        <w:rPr>
          <w:rFonts w:hAnsi="宋体" w:hint="eastAsia"/>
          <w:bCs/>
          <w:szCs w:val="21"/>
        </w:rPr>
        <w:t>1</w:t>
      </w:r>
      <w:r>
        <w:rPr>
          <w:rFonts w:hAnsi="宋体" w:hint="eastAsia"/>
          <w:bCs/>
          <w:szCs w:val="21"/>
        </w:rPr>
        <w:t>．平时考核可立即或下一次上课反馈给学生，课程论文存在的问题，线下或线上反馈给学生。</w:t>
      </w:r>
    </w:p>
    <w:p w14:paraId="420203B0" w14:textId="77777777" w:rsidR="00F5289E" w:rsidRDefault="00C91173">
      <w:pPr>
        <w:snapToGrid w:val="0"/>
        <w:spacing w:line="360" w:lineRule="auto"/>
        <w:ind w:firstLineChars="200" w:firstLine="420"/>
      </w:pPr>
      <w:r>
        <w:rPr>
          <w:rFonts w:hAnsi="宋体" w:hint="eastAsia"/>
          <w:szCs w:val="21"/>
        </w:rPr>
        <w:t>2</w:t>
      </w:r>
      <w:r>
        <w:rPr>
          <w:rFonts w:hAnsi="宋体" w:hint="eastAsia"/>
          <w:szCs w:val="21"/>
        </w:rPr>
        <w:t>．</w:t>
      </w:r>
      <w:r>
        <w:rPr>
          <w:rFonts w:hAnsi="宋体" w:hint="eastAsia"/>
          <w:bCs/>
          <w:szCs w:val="21"/>
        </w:rPr>
        <w:t>在平时考核中发现的问题，针对具体问题，在下节课中改进教学方法、教学内容。期末考核中存在的问题，在下一学期中改进。</w:t>
      </w:r>
    </w:p>
    <w:p w14:paraId="62544636" w14:textId="77777777" w:rsidR="00F5289E" w:rsidRDefault="00C91173">
      <w:pPr>
        <w:widowControl/>
        <w:jc w:val="left"/>
        <w:rPr>
          <w:rFonts w:ascii="宋体" w:hAnsi="宋体"/>
          <w:b/>
          <w:sz w:val="28"/>
          <w:szCs w:val="28"/>
        </w:rPr>
      </w:pPr>
      <w:r>
        <w:rPr>
          <w:rFonts w:ascii="宋体" w:hAnsi="宋体"/>
          <w:b/>
          <w:sz w:val="28"/>
          <w:szCs w:val="28"/>
        </w:rPr>
        <w:br w:type="page"/>
      </w:r>
    </w:p>
    <w:p w14:paraId="56166633" w14:textId="77777777" w:rsidR="00F5289E" w:rsidRDefault="00C91173">
      <w:pPr>
        <w:pStyle w:val="1"/>
      </w:pPr>
      <w:bookmarkStart w:id="201" w:name="_Toc138606292"/>
      <w:r>
        <w:rPr>
          <w:rStyle w:val="10"/>
          <w:rFonts w:hint="eastAsia"/>
          <w:b/>
          <w:bCs/>
        </w:rPr>
        <w:lastRenderedPageBreak/>
        <w:t>园艺产品营销学考核大纲</w:t>
      </w:r>
      <w:bookmarkEnd w:id="201"/>
    </w:p>
    <w:p w14:paraId="345B918A" w14:textId="77777777" w:rsidR="00F5289E" w:rsidRDefault="00C91173">
      <w:pPr>
        <w:snapToGrid w:val="0"/>
        <w:spacing w:line="360" w:lineRule="auto"/>
        <w:jc w:val="center"/>
        <w:rPr>
          <w:sz w:val="24"/>
        </w:rPr>
      </w:pPr>
      <w:r>
        <w:rPr>
          <w:sz w:val="24"/>
        </w:rPr>
        <w:t>（</w:t>
      </w:r>
      <w:r>
        <w:rPr>
          <w:sz w:val="24"/>
        </w:rPr>
        <w:t>Horticultural Products Marketing</w:t>
      </w:r>
      <w:r>
        <w:rPr>
          <w:sz w:val="24"/>
        </w:rPr>
        <w:t>）</w:t>
      </w:r>
    </w:p>
    <w:p w14:paraId="37EB1AE6" w14:textId="77777777" w:rsidR="00F5289E" w:rsidRDefault="00F5289E">
      <w:pPr>
        <w:widowControl/>
        <w:wordWrap w:val="0"/>
        <w:spacing w:before="120" w:after="120"/>
        <w:jc w:val="center"/>
        <w:outlineLvl w:val="0"/>
        <w:rPr>
          <w:rFonts w:eastAsia="黑体" w:hAnsi="宋体" w:cs="宋体"/>
          <w:b/>
          <w:bCs/>
          <w:kern w:val="36"/>
          <w:sz w:val="24"/>
        </w:rPr>
      </w:pPr>
    </w:p>
    <w:p w14:paraId="5173B322"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2C3DE816" w14:textId="77777777">
        <w:tc>
          <w:tcPr>
            <w:tcW w:w="1665" w:type="pct"/>
          </w:tcPr>
          <w:p w14:paraId="5EAC076D"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ascii="宋体" w:hAnsi="宋体"/>
                <w:szCs w:val="21"/>
              </w:rPr>
              <w:t>19011054</w:t>
            </w:r>
          </w:p>
        </w:tc>
        <w:tc>
          <w:tcPr>
            <w:tcW w:w="1234" w:type="pct"/>
          </w:tcPr>
          <w:p w14:paraId="08A5C5E8"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3</w:t>
            </w:r>
            <w:r w:rsidRPr="001B3040">
              <w:rPr>
                <w:rFonts w:ascii="宋体" w:hAnsi="宋体"/>
                <w:szCs w:val="21"/>
              </w:rPr>
              <w:t>2</w:t>
            </w:r>
          </w:p>
        </w:tc>
        <w:tc>
          <w:tcPr>
            <w:tcW w:w="2100" w:type="pct"/>
          </w:tcPr>
          <w:p w14:paraId="5AA5F892"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p>
        </w:tc>
      </w:tr>
      <w:tr w:rsidR="00F5289E" w14:paraId="571414D0" w14:textId="77777777">
        <w:tc>
          <w:tcPr>
            <w:tcW w:w="1665" w:type="pct"/>
          </w:tcPr>
          <w:p w14:paraId="5DFD4ECF"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王苗苗、张世文、张郎郎</w:t>
            </w:r>
          </w:p>
        </w:tc>
        <w:tc>
          <w:tcPr>
            <w:tcW w:w="1234" w:type="pct"/>
          </w:tcPr>
          <w:p w14:paraId="59C54B97"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杨森</w:t>
            </w:r>
          </w:p>
        </w:tc>
        <w:tc>
          <w:tcPr>
            <w:tcW w:w="2100" w:type="pct"/>
          </w:tcPr>
          <w:p w14:paraId="00F1CB62"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w:t>
            </w:r>
            <w:r w:rsidRPr="001B3040">
              <w:rPr>
                <w:rFonts w:ascii="宋体" w:hAnsi="宋体"/>
                <w:szCs w:val="21"/>
              </w:rPr>
              <w:t>02</w:t>
            </w:r>
            <w:r w:rsidR="001B3040">
              <w:rPr>
                <w:rFonts w:ascii="宋体" w:hAnsi="宋体"/>
                <w:szCs w:val="21"/>
              </w:rPr>
              <w:t>3.05</w:t>
            </w:r>
          </w:p>
        </w:tc>
      </w:tr>
    </w:tbl>
    <w:p w14:paraId="386F61D5" w14:textId="77777777" w:rsidR="00F5289E" w:rsidRDefault="00F5289E">
      <w:pPr>
        <w:pStyle w:val="a9"/>
        <w:spacing w:line="360" w:lineRule="auto"/>
        <w:rPr>
          <w:b/>
          <w:bCs/>
        </w:rPr>
      </w:pPr>
    </w:p>
    <w:p w14:paraId="2408E765" w14:textId="77777777" w:rsidR="00F5289E" w:rsidRDefault="00C91173">
      <w:pPr>
        <w:pStyle w:val="a9"/>
        <w:spacing w:line="360" w:lineRule="auto"/>
        <w:rPr>
          <w:b/>
          <w:bCs/>
        </w:rPr>
      </w:pPr>
      <w:r>
        <w:rPr>
          <w:rFonts w:hint="eastAsia"/>
          <w:b/>
          <w:bCs/>
        </w:rPr>
        <w:t>一、课程的性质和地位</w:t>
      </w:r>
    </w:p>
    <w:p w14:paraId="04A1DE51" w14:textId="77777777" w:rsidR="00F5289E" w:rsidRDefault="00C91173">
      <w:pPr>
        <w:snapToGrid w:val="0"/>
        <w:spacing w:line="360" w:lineRule="auto"/>
        <w:ind w:firstLineChars="200" w:firstLine="420"/>
        <w:rPr>
          <w:rStyle w:val="aa"/>
          <w:b/>
          <w:bCs/>
        </w:rPr>
      </w:pPr>
      <w:r>
        <w:rPr>
          <w:rFonts w:ascii="宋体" w:hAnsi="宋体" w:hint="eastAsia"/>
          <w:bCs/>
          <w:szCs w:val="21"/>
        </w:rPr>
        <w:t>本课程是研究园艺产品营销整体活动及其发展规律的学科，融市场营销学和农业经济学的原理、思想和方法为一体新型交叉性边缘学科。在农业进入新的发展阶段、园艺产品市场竞争日益激烈的背景下产生和发展的。在园艺专业课基础上和掌握市场营销基本原理的基础上，进一步了解我国主要园艺产品的供求状况、区域布局和营销特点，能够进行园艺产品的营销策划和管理。通过本课程的学习，学生应该建立正确的市场营销观念，掌握市场分析的原理与方法。能够正确地运用市场营销策略来开展市场营销活</w:t>
      </w:r>
      <w:r>
        <w:rPr>
          <w:rFonts w:hAnsi="宋体" w:hint="eastAsia"/>
        </w:rPr>
        <w:t>动。</w:t>
      </w:r>
    </w:p>
    <w:p w14:paraId="50DA8DFC" w14:textId="77777777" w:rsidR="00F5289E" w:rsidRDefault="00C91173">
      <w:pPr>
        <w:pStyle w:val="a9"/>
        <w:spacing w:line="360" w:lineRule="auto"/>
        <w:rPr>
          <w:b/>
          <w:bCs/>
        </w:rPr>
      </w:pPr>
      <w:r>
        <w:rPr>
          <w:rFonts w:hint="eastAsia"/>
          <w:b/>
          <w:bCs/>
        </w:rPr>
        <w:t>二、理论教学部分的考核目标</w:t>
      </w:r>
    </w:p>
    <w:p w14:paraId="6B85DE1A" w14:textId="77777777" w:rsidR="00F5289E" w:rsidRDefault="00C91173">
      <w:pPr>
        <w:snapToGrid w:val="0"/>
        <w:spacing w:line="360" w:lineRule="auto"/>
        <w:ind w:firstLineChars="200" w:firstLine="420"/>
        <w:rPr>
          <w:color w:val="0000FF"/>
          <w:szCs w:val="21"/>
        </w:rPr>
      </w:pPr>
      <w:r>
        <w:t>要求学生通过该课程的学习，能够了解</w:t>
      </w:r>
      <w:r>
        <w:rPr>
          <w:rFonts w:hint="eastAsia"/>
        </w:rPr>
        <w:t>市场营销的基本理论</w:t>
      </w:r>
      <w:r>
        <w:t>，掌握</w:t>
      </w:r>
      <w:r>
        <w:rPr>
          <w:rFonts w:hint="eastAsia"/>
        </w:rPr>
        <w:t>市场营销环境、消费者心理与购买行为、市场定位和市场细分等市场分析</w:t>
      </w:r>
      <w:r>
        <w:t>，掌握根据园艺</w:t>
      </w:r>
      <w:r>
        <w:rPr>
          <w:rFonts w:hint="eastAsia"/>
        </w:rPr>
        <w:t>产品市场营销策略</w:t>
      </w:r>
      <w:r>
        <w:t>，学会</w:t>
      </w:r>
      <w:r>
        <w:rPr>
          <w:rFonts w:hint="eastAsia"/>
        </w:rPr>
        <w:t>利用市场营销策略进行园艺产品的营销策划和管理并开展市场营销活动</w:t>
      </w:r>
      <w:r>
        <w:t>。</w:t>
      </w:r>
    </w:p>
    <w:p w14:paraId="09A67852" w14:textId="77777777" w:rsidR="00F5289E" w:rsidRDefault="00C91173">
      <w:pPr>
        <w:pStyle w:val="a9"/>
        <w:snapToGrid w:val="0"/>
        <w:spacing w:line="360" w:lineRule="auto"/>
        <w:jc w:val="center"/>
        <w:rPr>
          <w:rFonts w:hAnsi="宋体"/>
          <w:b/>
        </w:rPr>
      </w:pPr>
      <w:r>
        <w:rPr>
          <w:rFonts w:hAnsi="宋体"/>
          <w:b/>
          <w:bCs/>
          <w:kern w:val="0"/>
        </w:rPr>
        <w:t>第一章</w:t>
      </w:r>
      <w:r>
        <w:rPr>
          <w:b/>
          <w:bCs/>
          <w:kern w:val="0"/>
        </w:rPr>
        <w:t>  </w:t>
      </w:r>
      <w:r>
        <w:rPr>
          <w:rFonts w:hint="eastAsia"/>
          <w:b/>
          <w:bCs/>
        </w:rPr>
        <w:t>园艺产品概述</w:t>
      </w:r>
      <w:r>
        <w:rPr>
          <w:b/>
          <w:bCs/>
          <w:kern w:val="0"/>
        </w:rPr>
        <w:t>   </w:t>
      </w:r>
    </w:p>
    <w:p w14:paraId="5262926B" w14:textId="77777777" w:rsidR="00F5289E" w:rsidRDefault="00C91173">
      <w:pPr>
        <w:pStyle w:val="a9"/>
        <w:snapToGrid w:val="0"/>
        <w:spacing w:line="360" w:lineRule="auto"/>
        <w:rPr>
          <w:rFonts w:hAnsi="宋体"/>
          <w:b/>
        </w:rPr>
      </w:pPr>
      <w:r>
        <w:rPr>
          <w:rFonts w:hAnsi="宋体" w:hint="eastAsia"/>
          <w:b/>
        </w:rPr>
        <w:t>（一）一般学习目的与要求</w:t>
      </w:r>
    </w:p>
    <w:p w14:paraId="2A97E84A" w14:textId="77777777" w:rsidR="00F5289E" w:rsidRDefault="00C91173">
      <w:pPr>
        <w:pStyle w:val="a9"/>
        <w:snapToGrid w:val="0"/>
        <w:spacing w:line="360" w:lineRule="auto"/>
        <w:ind w:firstLineChars="200" w:firstLine="422"/>
        <w:rPr>
          <w:rFonts w:hAnsi="宋体"/>
        </w:rPr>
      </w:pPr>
      <w:r>
        <w:rPr>
          <w:rFonts w:hAnsi="宋体" w:hint="eastAsia"/>
          <w:b/>
        </w:rPr>
        <w:t>1. 一般了解</w:t>
      </w:r>
      <w:r>
        <w:rPr>
          <w:rFonts w:hAnsi="宋体" w:hint="eastAsia"/>
          <w:bCs/>
        </w:rPr>
        <w:t>：</w:t>
      </w:r>
      <w:r>
        <w:rPr>
          <w:rFonts w:hAnsi="宋体" w:hint="eastAsia"/>
        </w:rPr>
        <w:t>园艺产品的多种分类标准。</w:t>
      </w:r>
    </w:p>
    <w:p w14:paraId="20B73B6C" w14:textId="77777777" w:rsidR="00F5289E" w:rsidRDefault="00C91173">
      <w:pPr>
        <w:pStyle w:val="a9"/>
        <w:snapToGrid w:val="0"/>
        <w:spacing w:line="360" w:lineRule="auto"/>
        <w:ind w:firstLineChars="200" w:firstLine="422"/>
        <w:rPr>
          <w:rFonts w:hAnsi="宋体"/>
          <w:b/>
        </w:rPr>
      </w:pPr>
      <w:r>
        <w:rPr>
          <w:rFonts w:hAnsi="宋体" w:hint="eastAsia"/>
          <w:b/>
        </w:rPr>
        <w:t>2. 一般掌握</w:t>
      </w:r>
      <w:r>
        <w:rPr>
          <w:rFonts w:hAnsi="宋体" w:hint="eastAsia"/>
          <w:bCs/>
        </w:rPr>
        <w:t>：</w:t>
      </w:r>
      <w:r>
        <w:rPr>
          <w:rFonts w:hAnsi="宋体" w:hint="eastAsia"/>
        </w:rPr>
        <w:t>园艺产品的自然属性和社会属性。</w:t>
      </w:r>
    </w:p>
    <w:p w14:paraId="306F5E39" w14:textId="77777777" w:rsidR="00F5289E" w:rsidRDefault="00C91173">
      <w:pPr>
        <w:pStyle w:val="a9"/>
        <w:snapToGrid w:val="0"/>
        <w:spacing w:line="360" w:lineRule="auto"/>
        <w:ind w:firstLineChars="200" w:firstLine="422"/>
        <w:rPr>
          <w:rFonts w:hAnsi="宋体"/>
        </w:rPr>
      </w:pPr>
      <w:r>
        <w:rPr>
          <w:rFonts w:hAnsi="宋体" w:hint="eastAsia"/>
          <w:b/>
        </w:rPr>
        <w:t>3. 熟练掌握</w:t>
      </w:r>
      <w:r>
        <w:rPr>
          <w:rFonts w:hAnsi="宋体" w:hint="eastAsia"/>
          <w:bCs/>
        </w:rPr>
        <w:t>：</w:t>
      </w:r>
      <w:r>
        <w:rPr>
          <w:rFonts w:hAnsi="宋体" w:hint="eastAsia"/>
        </w:rPr>
        <w:t>园艺产品的生产特点和营销特点。</w:t>
      </w:r>
    </w:p>
    <w:p w14:paraId="3B7E8F31"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1482684" w14:textId="77777777" w:rsidR="00F5289E" w:rsidRDefault="00C91173">
      <w:pPr>
        <w:pStyle w:val="a9"/>
        <w:snapToGrid w:val="0"/>
        <w:spacing w:line="360" w:lineRule="auto"/>
        <w:ind w:firstLineChars="200" w:firstLine="420"/>
        <w:rPr>
          <w:rFonts w:hAnsi="宋体"/>
        </w:rPr>
      </w:pPr>
      <w:r>
        <w:rPr>
          <w:rFonts w:hAnsi="宋体" w:hint="eastAsia"/>
        </w:rPr>
        <w:t>1. 园艺产品的自然属性和社会属性的概念。</w:t>
      </w:r>
    </w:p>
    <w:p w14:paraId="47FA5604" w14:textId="77777777" w:rsidR="00F5289E" w:rsidRDefault="00C91173">
      <w:pPr>
        <w:pStyle w:val="a9"/>
        <w:snapToGrid w:val="0"/>
        <w:spacing w:line="360" w:lineRule="auto"/>
        <w:ind w:firstLineChars="200" w:firstLine="420"/>
        <w:rPr>
          <w:rFonts w:hAnsi="宋体"/>
          <w:b/>
        </w:rPr>
      </w:pPr>
      <w:r>
        <w:rPr>
          <w:rFonts w:hAnsi="宋体" w:hint="eastAsia"/>
        </w:rPr>
        <w:t>2. 园艺产品的生产特点。</w:t>
      </w:r>
    </w:p>
    <w:p w14:paraId="69C2BCE8" w14:textId="77777777" w:rsidR="00F5289E" w:rsidRDefault="00C91173">
      <w:pPr>
        <w:pStyle w:val="a9"/>
        <w:snapToGrid w:val="0"/>
        <w:spacing w:line="360" w:lineRule="auto"/>
        <w:ind w:firstLineChars="200" w:firstLine="420"/>
        <w:rPr>
          <w:rFonts w:hAnsi="宋体"/>
        </w:rPr>
      </w:pPr>
      <w:r>
        <w:rPr>
          <w:rFonts w:hAnsi="宋体" w:hint="eastAsia"/>
        </w:rPr>
        <w:t>3. 园艺产品的营销特点。</w:t>
      </w:r>
    </w:p>
    <w:p w14:paraId="6ED5F35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0E50907" w14:textId="77777777" w:rsidR="00F5289E" w:rsidRDefault="00C91173">
      <w:pPr>
        <w:pStyle w:val="a9"/>
        <w:snapToGrid w:val="0"/>
        <w:spacing w:line="360" w:lineRule="auto"/>
        <w:ind w:firstLineChars="200" w:firstLine="422"/>
        <w:rPr>
          <w:rFonts w:hAnsi="宋体"/>
        </w:rPr>
      </w:pPr>
      <w:r>
        <w:rPr>
          <w:rFonts w:hAnsi="宋体" w:hint="eastAsia"/>
          <w:b/>
        </w:rPr>
        <w:t>1、识记</w:t>
      </w:r>
      <w:r>
        <w:rPr>
          <w:rFonts w:hAnsi="宋体" w:hint="eastAsia"/>
          <w:bCs/>
        </w:rPr>
        <w:t>：</w:t>
      </w:r>
      <w:r>
        <w:rPr>
          <w:rFonts w:hAnsi="宋体" w:hint="eastAsia"/>
        </w:rPr>
        <w:t>各个基础概念。</w:t>
      </w:r>
    </w:p>
    <w:p w14:paraId="0D9822D8" w14:textId="77777777" w:rsidR="00F5289E" w:rsidRDefault="00C91173">
      <w:pPr>
        <w:pStyle w:val="a9"/>
        <w:snapToGrid w:val="0"/>
        <w:spacing w:line="360" w:lineRule="auto"/>
        <w:ind w:firstLineChars="200" w:firstLine="422"/>
        <w:rPr>
          <w:rFonts w:hAnsi="宋体"/>
        </w:rPr>
      </w:pPr>
      <w:r>
        <w:rPr>
          <w:rFonts w:hAnsi="宋体" w:hint="eastAsia"/>
          <w:b/>
        </w:rPr>
        <w:t>2、领会</w:t>
      </w:r>
      <w:r>
        <w:rPr>
          <w:rFonts w:hAnsi="宋体" w:hint="eastAsia"/>
          <w:bCs/>
        </w:rPr>
        <w:t>：</w:t>
      </w:r>
      <w:r>
        <w:rPr>
          <w:rFonts w:hAnsi="宋体" w:hint="eastAsia"/>
        </w:rPr>
        <w:t>园艺产品的多种分类标准。</w:t>
      </w:r>
    </w:p>
    <w:p w14:paraId="207D6F05" w14:textId="77777777" w:rsidR="00F5289E" w:rsidRDefault="00C91173">
      <w:pPr>
        <w:spacing w:line="360" w:lineRule="auto"/>
        <w:ind w:firstLineChars="200" w:firstLine="422"/>
        <w:rPr>
          <w:rFonts w:hAnsi="Courier New"/>
        </w:rPr>
      </w:pPr>
      <w:r>
        <w:rPr>
          <w:rFonts w:hAnsi="Courier New"/>
          <w:b/>
          <w:bCs/>
        </w:rPr>
        <w:t>3</w:t>
      </w:r>
      <w:r>
        <w:rPr>
          <w:rFonts w:hAnsi="Courier New"/>
          <w:b/>
          <w:bCs/>
        </w:rPr>
        <w:t>、应用</w:t>
      </w:r>
      <w:r>
        <w:rPr>
          <w:rFonts w:hAnsi="Courier New"/>
        </w:rPr>
        <w:t>：能够</w:t>
      </w:r>
      <w:r>
        <w:rPr>
          <w:rFonts w:hAnsi="Courier New" w:hint="eastAsia"/>
        </w:rPr>
        <w:t>利用园艺产品的生产特点总结出园艺产品特有的营销特点，并根据营销特点初</w:t>
      </w:r>
      <w:r>
        <w:rPr>
          <w:rFonts w:hAnsi="Courier New" w:hint="eastAsia"/>
        </w:rPr>
        <w:lastRenderedPageBreak/>
        <w:t>步设想适合园艺产品销售的</w:t>
      </w:r>
      <w:r>
        <w:rPr>
          <w:rFonts w:hAnsi="Courier New"/>
        </w:rPr>
        <w:t>理念</w:t>
      </w:r>
      <w:r>
        <w:rPr>
          <w:rFonts w:hAnsi="Courier New" w:hint="eastAsia"/>
        </w:rPr>
        <w:t>。</w:t>
      </w:r>
    </w:p>
    <w:p w14:paraId="0718CF4A" w14:textId="77777777" w:rsidR="00F5289E" w:rsidRDefault="00C91173">
      <w:pPr>
        <w:snapToGrid w:val="0"/>
        <w:spacing w:line="360" w:lineRule="auto"/>
        <w:jc w:val="center"/>
        <w:rPr>
          <w:rFonts w:hAnsi="宋体"/>
          <w:b/>
          <w:bCs/>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b/>
          <w:bCs/>
          <w:kern w:val="0"/>
          <w:szCs w:val="21"/>
        </w:rPr>
        <w:t>   </w:t>
      </w:r>
      <w:r>
        <w:rPr>
          <w:rFonts w:hAnsi="宋体" w:hint="eastAsia"/>
          <w:b/>
          <w:bCs/>
          <w:kern w:val="0"/>
          <w:szCs w:val="21"/>
        </w:rPr>
        <w:t>园艺产品营销理念</w:t>
      </w:r>
    </w:p>
    <w:p w14:paraId="5DD4ED66" w14:textId="77777777" w:rsidR="00F5289E" w:rsidRDefault="00C91173">
      <w:pPr>
        <w:pStyle w:val="a9"/>
        <w:snapToGrid w:val="0"/>
        <w:spacing w:line="360" w:lineRule="auto"/>
        <w:rPr>
          <w:rFonts w:hAnsi="宋体"/>
          <w:b/>
        </w:rPr>
      </w:pPr>
      <w:r>
        <w:rPr>
          <w:rFonts w:hAnsi="宋体" w:hint="eastAsia"/>
          <w:b/>
        </w:rPr>
        <w:t>（一）一般学习目的与要求</w:t>
      </w:r>
    </w:p>
    <w:p w14:paraId="4CA43FA4" w14:textId="77777777" w:rsidR="00F5289E" w:rsidRDefault="00C91173">
      <w:pPr>
        <w:snapToGrid w:val="0"/>
        <w:spacing w:line="360" w:lineRule="auto"/>
        <w:ind w:firstLineChars="200" w:firstLine="422"/>
        <w:rPr>
          <w:rFonts w:ascii="宋体" w:hAnsi="宋体"/>
          <w:b/>
          <w:szCs w:val="21"/>
        </w:rPr>
      </w:pPr>
      <w:r>
        <w:rPr>
          <w:rFonts w:ascii="宋体" w:hAnsi="宋体"/>
          <w:b/>
          <w:szCs w:val="21"/>
        </w:rPr>
        <w:t>1</w:t>
      </w:r>
      <w:r>
        <w:rPr>
          <w:rFonts w:ascii="宋体" w:hAnsi="宋体" w:hint="eastAsia"/>
          <w:b/>
          <w:szCs w:val="21"/>
        </w:rPr>
        <w:t>. 一般了解：</w:t>
      </w:r>
      <w:r>
        <w:rPr>
          <w:rFonts w:ascii="宋体" w:hAnsi="宋体" w:hint="eastAsia"/>
        </w:rPr>
        <w:t>理解</w:t>
      </w:r>
      <w:r>
        <w:rPr>
          <w:rFonts w:ascii="宋体" w:hAnsi="宋体" w:hint="eastAsia"/>
          <w:bCs/>
        </w:rPr>
        <w:t>市场营销管理的概念、实质和分类。</w:t>
      </w:r>
    </w:p>
    <w:p w14:paraId="542A4B65"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w:t>
      </w:r>
      <w:r>
        <w:rPr>
          <w:rFonts w:ascii="宋体" w:hAnsi="宋体"/>
          <w:b/>
          <w:szCs w:val="21"/>
        </w:rPr>
        <w:t>.</w:t>
      </w:r>
      <w:r>
        <w:rPr>
          <w:rFonts w:ascii="宋体" w:hAnsi="宋体" w:hint="eastAsia"/>
          <w:b/>
          <w:szCs w:val="21"/>
        </w:rPr>
        <w:t>一般掌握</w:t>
      </w:r>
      <w:r>
        <w:rPr>
          <w:rFonts w:ascii="宋体" w:hAnsi="宋体" w:cs="Courier New" w:hint="eastAsia"/>
          <w:bCs/>
          <w:szCs w:val="21"/>
        </w:rPr>
        <w:t>：</w:t>
      </w:r>
      <w:r>
        <w:rPr>
          <w:rFonts w:ascii="宋体" w:hAnsi="宋体" w:hint="eastAsia"/>
        </w:rPr>
        <w:t>市场的概念，组成及分类</w:t>
      </w:r>
      <w:r>
        <w:rPr>
          <w:rFonts w:ascii="宋体" w:hAnsi="宋体" w:hint="eastAsia"/>
          <w:szCs w:val="21"/>
        </w:rPr>
        <w:t>。</w:t>
      </w:r>
    </w:p>
    <w:p w14:paraId="759B5334" w14:textId="77777777" w:rsidR="00F5289E" w:rsidRDefault="00C91173">
      <w:pPr>
        <w:pStyle w:val="a7"/>
        <w:snapToGrid w:val="0"/>
        <w:spacing w:line="360" w:lineRule="auto"/>
        <w:ind w:firstLine="422"/>
        <w:jc w:val="left"/>
        <w:rPr>
          <w:rFonts w:ascii="宋体" w:hAnsi="宋体"/>
          <w:b/>
        </w:rPr>
      </w:pPr>
      <w:r>
        <w:rPr>
          <w:rFonts w:ascii="宋体" w:hAnsi="宋体"/>
          <w:b/>
          <w:szCs w:val="21"/>
        </w:rPr>
        <w:t>3</w:t>
      </w:r>
      <w:r>
        <w:rPr>
          <w:rFonts w:ascii="宋体" w:hAnsi="宋体" w:hint="eastAsia"/>
          <w:b/>
          <w:szCs w:val="21"/>
        </w:rPr>
        <w:t>. 熟练掌握</w:t>
      </w:r>
      <w:r>
        <w:rPr>
          <w:rFonts w:ascii="宋体" w:hAnsi="宋体" w:hint="eastAsia"/>
          <w:szCs w:val="21"/>
        </w:rPr>
        <w:t>：</w:t>
      </w:r>
      <w:r>
        <w:rPr>
          <w:rFonts w:ascii="宋体" w:hAnsi="宋体" w:hint="eastAsia"/>
        </w:rPr>
        <w:t>掌握市场营销及相关概念及市场营销管理观念的实质和发展历程</w:t>
      </w:r>
      <w:r>
        <w:rPr>
          <w:rFonts w:ascii="宋体" w:hAnsi="宋体" w:hint="eastAsia"/>
          <w:szCs w:val="21"/>
        </w:rPr>
        <w:t>。</w:t>
      </w:r>
    </w:p>
    <w:p w14:paraId="62D3F936"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90C684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 市场营销的相关概念和市场营销观念的发展历程。</w:t>
      </w:r>
    </w:p>
    <w:p w14:paraId="6C086512"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2. 市场营销理论。</w:t>
      </w:r>
    </w:p>
    <w:p w14:paraId="191A4D44"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 各个案例分析。</w:t>
      </w:r>
    </w:p>
    <w:p w14:paraId="2112E892"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D70EBB9"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：市场营销中的各种观念，市场营销理论中的各种理论。</w:t>
      </w:r>
    </w:p>
    <w:p w14:paraId="20100B60"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：4P理论作为营销理论的基础在实践中的作用。</w:t>
      </w:r>
    </w:p>
    <w:p w14:paraId="22911C6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3、应用</w:t>
      </w:r>
      <w:r>
        <w:rPr>
          <w:rFonts w:ascii="宋体" w:hAnsi="宋体" w:hint="eastAsia"/>
          <w:szCs w:val="21"/>
        </w:rPr>
        <w:t>：围绕产品、价格、目的地、分销渠道四个方面设计在实践中如何开展工作。</w:t>
      </w:r>
    </w:p>
    <w:p w14:paraId="33FB233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4、综合</w:t>
      </w:r>
      <w:r>
        <w:rPr>
          <w:rFonts w:ascii="宋体" w:hAnsi="宋体" w:hint="eastAsia"/>
          <w:szCs w:val="21"/>
        </w:rPr>
        <w:t>：将非洲卖鞋和华为发展史等案例综合运用。</w:t>
      </w:r>
    </w:p>
    <w:p w14:paraId="4482A443" w14:textId="77777777" w:rsidR="00F5289E" w:rsidRDefault="00C91173">
      <w:pPr>
        <w:snapToGrid w:val="0"/>
        <w:spacing w:line="360" w:lineRule="auto"/>
        <w:jc w:val="center"/>
        <w:rPr>
          <w:b/>
          <w:bCs/>
          <w:kern w:val="0"/>
          <w:szCs w:val="21"/>
        </w:rPr>
      </w:pPr>
      <w:r>
        <w:rPr>
          <w:rFonts w:hAnsi="宋体"/>
          <w:b/>
          <w:bCs/>
          <w:kern w:val="0"/>
          <w:szCs w:val="21"/>
        </w:rPr>
        <w:t>第</w:t>
      </w:r>
      <w:r>
        <w:rPr>
          <w:rFonts w:hAnsi="宋体" w:hint="eastAsia"/>
          <w:b/>
          <w:bCs/>
          <w:kern w:val="0"/>
          <w:szCs w:val="21"/>
        </w:rPr>
        <w:t>三</w:t>
      </w:r>
      <w:r>
        <w:rPr>
          <w:rFonts w:hAnsi="宋体"/>
          <w:b/>
          <w:bCs/>
          <w:kern w:val="0"/>
          <w:szCs w:val="21"/>
        </w:rPr>
        <w:t>章</w:t>
      </w:r>
      <w:r>
        <w:rPr>
          <w:b/>
          <w:bCs/>
          <w:kern w:val="0"/>
          <w:szCs w:val="21"/>
        </w:rPr>
        <w:t>   </w:t>
      </w:r>
      <w:r>
        <w:rPr>
          <w:rFonts w:hAnsi="宋体" w:hint="eastAsia"/>
          <w:b/>
          <w:bCs/>
          <w:kern w:val="0"/>
          <w:szCs w:val="21"/>
        </w:rPr>
        <w:t>市场营销环境</w:t>
      </w:r>
    </w:p>
    <w:p w14:paraId="62E4696B" w14:textId="77777777" w:rsidR="00F5289E" w:rsidRDefault="00C91173">
      <w:pPr>
        <w:pStyle w:val="a9"/>
        <w:snapToGrid w:val="0"/>
        <w:spacing w:line="360" w:lineRule="auto"/>
        <w:rPr>
          <w:rFonts w:hAnsi="宋体"/>
          <w:b/>
        </w:rPr>
      </w:pPr>
      <w:r>
        <w:rPr>
          <w:rFonts w:hAnsi="宋体" w:hint="eastAsia"/>
          <w:b/>
        </w:rPr>
        <w:t>（一）一般学习目的与要求</w:t>
      </w:r>
    </w:p>
    <w:p w14:paraId="6FAD07D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int="eastAsia"/>
          <w:kern w:val="0"/>
          <w:szCs w:val="21"/>
        </w:rPr>
        <w:t>了解市场营销环境对营销管理的作用</w:t>
      </w:r>
      <w:r>
        <w:rPr>
          <w:kern w:val="0"/>
          <w:szCs w:val="21"/>
        </w:rPr>
        <w:t>。</w:t>
      </w:r>
    </w:p>
    <w:p w14:paraId="5C136287"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cs="Courier New" w:hint="eastAsia"/>
          <w:bCs/>
          <w:szCs w:val="21"/>
        </w:rPr>
        <w:t>：</w:t>
      </w:r>
      <w:r>
        <w:rPr>
          <w:rFonts w:hint="eastAsia"/>
          <w:kern w:val="0"/>
          <w:szCs w:val="21"/>
        </w:rPr>
        <w:t>市场营销环境的整体概念</w:t>
      </w:r>
      <w:r>
        <w:rPr>
          <w:kern w:val="0"/>
          <w:szCs w:val="21"/>
        </w:rPr>
        <w:t>。</w:t>
      </w:r>
    </w:p>
    <w:p w14:paraId="6EB7CC8D"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cs="Courier New" w:hint="eastAsia"/>
          <w:bCs/>
          <w:szCs w:val="21"/>
        </w:rPr>
        <w:t>：</w:t>
      </w:r>
      <w:r>
        <w:rPr>
          <w:rFonts w:hint="eastAsia"/>
          <w:kern w:val="0"/>
          <w:szCs w:val="21"/>
        </w:rPr>
        <w:t>分析和评价市场机会与环境威胁的基本方法。</w:t>
      </w:r>
    </w:p>
    <w:p w14:paraId="1C2F3290"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9B3832C" w14:textId="77777777" w:rsidR="00F5289E" w:rsidRDefault="00C91173" w:rsidP="00A115EF">
      <w:pPr>
        <w:pStyle w:val="afd"/>
        <w:widowControl/>
        <w:numPr>
          <w:ilvl w:val="0"/>
          <w:numId w:val="60"/>
        </w:numPr>
        <w:adjustRightInd w:val="0"/>
        <w:snapToGrid w:val="0"/>
        <w:spacing w:line="360" w:lineRule="auto"/>
        <w:ind w:firstLineChars="0"/>
        <w:rPr>
          <w:kern w:val="0"/>
          <w:szCs w:val="21"/>
        </w:rPr>
      </w:pPr>
      <w:r>
        <w:rPr>
          <w:rFonts w:hint="eastAsia"/>
          <w:kern w:val="0"/>
          <w:szCs w:val="21"/>
        </w:rPr>
        <w:t>市场营销环境</w:t>
      </w:r>
      <w:r>
        <w:rPr>
          <w:kern w:val="0"/>
          <w:szCs w:val="21"/>
        </w:rPr>
        <w:t>概念的提出及</w:t>
      </w:r>
      <w:r>
        <w:rPr>
          <w:rFonts w:hint="eastAsia"/>
          <w:kern w:val="0"/>
          <w:szCs w:val="21"/>
        </w:rPr>
        <w:t>作用</w:t>
      </w:r>
      <w:r>
        <w:rPr>
          <w:kern w:val="0"/>
          <w:szCs w:val="21"/>
        </w:rPr>
        <w:t>。</w:t>
      </w:r>
    </w:p>
    <w:p w14:paraId="56BC060D" w14:textId="77777777" w:rsidR="00F5289E" w:rsidRDefault="00C91173" w:rsidP="00A115EF">
      <w:pPr>
        <w:widowControl/>
        <w:numPr>
          <w:ilvl w:val="0"/>
          <w:numId w:val="60"/>
        </w:numPr>
        <w:adjustRightInd w:val="0"/>
        <w:snapToGrid w:val="0"/>
        <w:spacing w:line="360" w:lineRule="auto"/>
        <w:ind w:leftChars="200" w:left="777" w:hangingChars="170" w:hanging="357"/>
        <w:rPr>
          <w:kern w:val="0"/>
          <w:szCs w:val="21"/>
        </w:rPr>
      </w:pPr>
      <w:r>
        <w:rPr>
          <w:rFonts w:hint="eastAsia"/>
          <w:kern w:val="0"/>
          <w:szCs w:val="21"/>
        </w:rPr>
        <w:t>市场营销微观环境和宏观环境的构成因素</w:t>
      </w:r>
      <w:r>
        <w:rPr>
          <w:kern w:val="0"/>
          <w:szCs w:val="21"/>
        </w:rPr>
        <w:t>。</w:t>
      </w:r>
    </w:p>
    <w:p w14:paraId="0640FD1D" w14:textId="77777777" w:rsidR="00F5289E" w:rsidRDefault="00C91173" w:rsidP="00A115EF">
      <w:pPr>
        <w:widowControl/>
        <w:numPr>
          <w:ilvl w:val="0"/>
          <w:numId w:val="60"/>
        </w:numPr>
        <w:adjustRightInd w:val="0"/>
        <w:snapToGrid w:val="0"/>
        <w:spacing w:line="360" w:lineRule="auto"/>
        <w:ind w:leftChars="200" w:left="777" w:hangingChars="170" w:hanging="357"/>
        <w:rPr>
          <w:kern w:val="0"/>
          <w:szCs w:val="21"/>
        </w:rPr>
      </w:pPr>
      <w:r>
        <w:rPr>
          <w:rFonts w:hint="eastAsia"/>
          <w:kern w:val="0"/>
          <w:szCs w:val="21"/>
        </w:rPr>
        <w:t>经营者对市场环境影响的对策</w:t>
      </w:r>
      <w:r>
        <w:rPr>
          <w:kern w:val="0"/>
          <w:szCs w:val="21"/>
        </w:rPr>
        <w:t>。</w:t>
      </w:r>
    </w:p>
    <w:p w14:paraId="063AF397"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1E9FA839" w14:textId="77777777" w:rsidR="00F5289E" w:rsidRDefault="00C91173">
      <w:pPr>
        <w:pStyle w:val="a9"/>
        <w:snapToGrid w:val="0"/>
        <w:spacing w:line="360" w:lineRule="auto"/>
        <w:ind w:firstLineChars="200" w:firstLine="422"/>
        <w:rPr>
          <w:rFonts w:hAnsi="宋体"/>
        </w:rPr>
      </w:pPr>
      <w:r>
        <w:rPr>
          <w:rFonts w:hAnsi="宋体" w:hint="eastAsia"/>
          <w:b/>
        </w:rPr>
        <w:t>1、识记</w:t>
      </w:r>
      <w:r>
        <w:rPr>
          <w:rFonts w:hAnsi="宋体" w:hint="eastAsia"/>
          <w:bCs/>
        </w:rPr>
        <w:t>：</w:t>
      </w:r>
      <w:r>
        <w:rPr>
          <w:rFonts w:hint="eastAsia"/>
          <w:kern w:val="0"/>
        </w:rPr>
        <w:t>市场营销环境</w:t>
      </w:r>
      <w:r>
        <w:rPr>
          <w:kern w:val="0"/>
        </w:rPr>
        <w:t>概念</w:t>
      </w:r>
      <w:r>
        <w:rPr>
          <w:rFonts w:hAnsi="宋体" w:hint="eastAsia"/>
          <w:bCs/>
        </w:rPr>
        <w:t>。</w:t>
      </w:r>
    </w:p>
    <w:p w14:paraId="6E05474E" w14:textId="77777777" w:rsidR="00F5289E" w:rsidRDefault="00C91173">
      <w:pPr>
        <w:pStyle w:val="a9"/>
        <w:snapToGrid w:val="0"/>
        <w:spacing w:line="360" w:lineRule="auto"/>
        <w:ind w:firstLineChars="200" w:firstLine="422"/>
        <w:rPr>
          <w:rFonts w:hAnsi="宋体"/>
        </w:rPr>
      </w:pPr>
      <w:r>
        <w:rPr>
          <w:rFonts w:hAnsi="宋体" w:hint="eastAsia"/>
          <w:b/>
        </w:rPr>
        <w:t>2、领会</w:t>
      </w:r>
      <w:r>
        <w:rPr>
          <w:rFonts w:hAnsi="宋体" w:hint="eastAsia"/>
          <w:bCs/>
        </w:rPr>
        <w:t>：</w:t>
      </w:r>
      <w:r>
        <w:rPr>
          <w:rFonts w:hint="eastAsia"/>
          <w:kern w:val="0"/>
        </w:rPr>
        <w:t>市场营销环境的</w:t>
      </w:r>
      <w:r>
        <w:rPr>
          <w:rFonts w:hAnsi="宋体" w:hint="eastAsia"/>
          <w:bCs/>
        </w:rPr>
        <w:t>作用和组成。</w:t>
      </w:r>
    </w:p>
    <w:p w14:paraId="5B8D68CE" w14:textId="77777777" w:rsidR="00F5289E" w:rsidRDefault="00C91173">
      <w:pPr>
        <w:pStyle w:val="a9"/>
        <w:snapToGrid w:val="0"/>
        <w:spacing w:line="360" w:lineRule="auto"/>
        <w:ind w:firstLineChars="200" w:firstLine="422"/>
        <w:rPr>
          <w:rFonts w:hAnsi="宋体"/>
        </w:rPr>
      </w:pPr>
      <w:r>
        <w:rPr>
          <w:rFonts w:hAnsi="宋体" w:hint="eastAsia"/>
          <w:b/>
        </w:rPr>
        <w:t>3、应用</w:t>
      </w:r>
      <w:r>
        <w:rPr>
          <w:rFonts w:hAnsi="宋体" w:hint="eastAsia"/>
          <w:bCs/>
        </w:rPr>
        <w:t>：</w:t>
      </w:r>
      <w:r>
        <w:rPr>
          <w:rFonts w:hAnsi="宋体" w:hint="eastAsia"/>
        </w:rPr>
        <w:t>利用市场营销环境制定合适的科学的营销对策。</w:t>
      </w:r>
    </w:p>
    <w:p w14:paraId="5AFA8F36" w14:textId="77777777" w:rsidR="00F5289E" w:rsidRDefault="00C91173">
      <w:pPr>
        <w:pStyle w:val="a9"/>
        <w:snapToGrid w:val="0"/>
        <w:spacing w:line="360" w:lineRule="auto"/>
        <w:ind w:firstLineChars="200" w:firstLine="422"/>
        <w:rPr>
          <w:rFonts w:hAnsi="宋体"/>
          <w:bCs/>
        </w:rPr>
      </w:pPr>
      <w:r>
        <w:rPr>
          <w:rFonts w:hAnsi="宋体" w:hint="eastAsia"/>
          <w:b/>
        </w:rPr>
        <w:t>4、分析</w:t>
      </w:r>
      <w:r>
        <w:rPr>
          <w:rFonts w:hAnsi="宋体" w:hint="eastAsia"/>
          <w:bCs/>
        </w:rPr>
        <w:t>：设想作为一个企业管理人员，根据多方面的市场营销环境，如何评估营销环境机会与营销环境威胁，并以此进行综合分析，进行促销。</w:t>
      </w:r>
    </w:p>
    <w:p w14:paraId="5954E56E"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第四章  消费者心理与购买行为</w:t>
      </w:r>
    </w:p>
    <w:p w14:paraId="28F28C7F" w14:textId="77777777" w:rsidR="00F5289E" w:rsidRDefault="00C91173">
      <w:pPr>
        <w:pStyle w:val="a9"/>
        <w:snapToGrid w:val="0"/>
        <w:spacing w:line="360" w:lineRule="auto"/>
        <w:rPr>
          <w:rFonts w:hAnsi="宋体"/>
          <w:b/>
        </w:rPr>
      </w:pPr>
      <w:r>
        <w:rPr>
          <w:rFonts w:hAnsi="宋体" w:hint="eastAsia"/>
          <w:b/>
        </w:rPr>
        <w:t>（一）一般学习目的与要求</w:t>
      </w:r>
    </w:p>
    <w:p w14:paraId="7C04AE50" w14:textId="77777777" w:rsidR="00F5289E" w:rsidRDefault="00C91173">
      <w:pPr>
        <w:snapToGrid w:val="0"/>
        <w:spacing w:line="360" w:lineRule="auto"/>
        <w:ind w:firstLineChars="200" w:firstLine="422"/>
        <w:rPr>
          <w:kern w:val="0"/>
          <w:szCs w:val="21"/>
        </w:rPr>
      </w:pPr>
      <w:r>
        <w:rPr>
          <w:rFonts w:hint="eastAsia"/>
          <w:b/>
          <w:kern w:val="0"/>
          <w:szCs w:val="21"/>
        </w:rPr>
        <w:t xml:space="preserve">1. </w:t>
      </w:r>
      <w:r>
        <w:rPr>
          <w:rFonts w:hint="eastAsia"/>
          <w:b/>
          <w:kern w:val="0"/>
          <w:szCs w:val="21"/>
        </w:rPr>
        <w:t>一般了解：</w:t>
      </w:r>
      <w:r>
        <w:rPr>
          <w:rFonts w:hint="eastAsia"/>
          <w:kern w:val="0"/>
          <w:szCs w:val="21"/>
        </w:rPr>
        <w:t>了解消费者购买活动的基本规律与类型。</w:t>
      </w:r>
    </w:p>
    <w:p w14:paraId="5AA02C85" w14:textId="77777777" w:rsidR="00F5289E" w:rsidRDefault="00C91173">
      <w:pPr>
        <w:snapToGrid w:val="0"/>
        <w:spacing w:line="360" w:lineRule="auto"/>
        <w:ind w:firstLineChars="200" w:firstLine="422"/>
        <w:rPr>
          <w:kern w:val="0"/>
          <w:szCs w:val="21"/>
        </w:rPr>
      </w:pPr>
      <w:r>
        <w:rPr>
          <w:rFonts w:hint="eastAsia"/>
          <w:b/>
          <w:kern w:val="0"/>
          <w:szCs w:val="21"/>
        </w:rPr>
        <w:lastRenderedPageBreak/>
        <w:t xml:space="preserve">2. </w:t>
      </w:r>
      <w:r>
        <w:rPr>
          <w:rFonts w:hint="eastAsia"/>
          <w:b/>
          <w:kern w:val="0"/>
          <w:szCs w:val="21"/>
        </w:rPr>
        <w:t>一般掌握：</w:t>
      </w:r>
      <w:r>
        <w:rPr>
          <w:rFonts w:hint="eastAsia"/>
          <w:kern w:val="0"/>
          <w:szCs w:val="21"/>
        </w:rPr>
        <w:t>影响消费者行为的因素，马斯洛的需要层次论。</w:t>
      </w:r>
    </w:p>
    <w:p w14:paraId="4DD8D517" w14:textId="77777777" w:rsidR="00F5289E" w:rsidRDefault="00C91173">
      <w:pPr>
        <w:snapToGrid w:val="0"/>
        <w:spacing w:line="360" w:lineRule="auto"/>
        <w:ind w:firstLineChars="200" w:firstLine="422"/>
        <w:rPr>
          <w:kern w:val="0"/>
          <w:szCs w:val="21"/>
        </w:rPr>
      </w:pPr>
      <w:r>
        <w:rPr>
          <w:rFonts w:hint="eastAsia"/>
          <w:b/>
          <w:kern w:val="0"/>
          <w:szCs w:val="21"/>
        </w:rPr>
        <w:t xml:space="preserve">3. </w:t>
      </w:r>
      <w:r>
        <w:rPr>
          <w:rFonts w:hint="eastAsia"/>
          <w:b/>
          <w:kern w:val="0"/>
          <w:szCs w:val="21"/>
        </w:rPr>
        <w:t>熟练掌握：</w:t>
      </w:r>
      <w:r>
        <w:rPr>
          <w:rFonts w:hint="eastAsia"/>
          <w:kern w:val="0"/>
          <w:szCs w:val="21"/>
        </w:rPr>
        <w:t>掌握消费者行为的概念与过程。</w:t>
      </w:r>
    </w:p>
    <w:p w14:paraId="1273A6FB"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9D99391" w14:textId="77777777" w:rsidR="00F5289E" w:rsidRDefault="00C91173">
      <w:pPr>
        <w:pStyle w:val="a7"/>
        <w:adjustRightInd w:val="0"/>
        <w:snapToGrid w:val="0"/>
        <w:spacing w:line="360" w:lineRule="auto"/>
        <w:rPr>
          <w:rFonts w:ascii="宋体" w:hAnsi="宋体"/>
          <w:szCs w:val="21"/>
        </w:rPr>
      </w:pPr>
      <w:r>
        <w:rPr>
          <w:rFonts w:ascii="宋体" w:hAnsi="宋体" w:hint="eastAsia"/>
        </w:rPr>
        <w:t>1</w:t>
      </w:r>
      <w:r>
        <w:rPr>
          <w:rFonts w:ascii="宋体" w:hAnsi="宋体"/>
        </w:rPr>
        <w:t xml:space="preserve">. </w:t>
      </w:r>
      <w:r>
        <w:rPr>
          <w:rFonts w:ascii="宋体" w:hAnsi="宋体" w:hint="eastAsia"/>
          <w:szCs w:val="21"/>
        </w:rPr>
        <w:t>消费者行为的概念与过程。</w:t>
      </w:r>
    </w:p>
    <w:p w14:paraId="2AFF1E35" w14:textId="77777777" w:rsidR="00F5289E" w:rsidRDefault="00C91173">
      <w:pPr>
        <w:pStyle w:val="a7"/>
        <w:adjustRightInd w:val="0"/>
        <w:snapToGrid w:val="0"/>
        <w:spacing w:line="360" w:lineRule="auto"/>
        <w:rPr>
          <w:rFonts w:ascii="宋体" w:hAnsi="宋体"/>
          <w:szCs w:val="21"/>
        </w:rPr>
      </w:pPr>
      <w:r>
        <w:rPr>
          <w:rFonts w:ascii="宋体" w:hAnsi="宋体"/>
          <w:szCs w:val="21"/>
        </w:rPr>
        <w:t xml:space="preserve">2. </w:t>
      </w:r>
      <w:r>
        <w:rPr>
          <w:rFonts w:ascii="宋体" w:hAnsi="宋体" w:hint="eastAsia"/>
          <w:szCs w:val="21"/>
        </w:rPr>
        <w:t>影响消费者行为的因素。</w:t>
      </w:r>
    </w:p>
    <w:p w14:paraId="1836ACE6" w14:textId="77777777" w:rsidR="00F5289E" w:rsidRDefault="00C91173">
      <w:pPr>
        <w:pStyle w:val="a7"/>
        <w:adjustRightInd w:val="0"/>
        <w:snapToGrid w:val="0"/>
        <w:spacing w:line="360" w:lineRule="auto"/>
        <w:rPr>
          <w:rFonts w:ascii="宋体" w:hAnsi="宋体"/>
          <w:color w:val="0000FF"/>
        </w:rPr>
      </w:pPr>
      <w:r>
        <w:rPr>
          <w:rFonts w:ascii="宋体" w:hAnsi="宋体" w:hint="eastAsia"/>
          <w:szCs w:val="21"/>
        </w:rPr>
        <w:t>3</w:t>
      </w:r>
      <w:r>
        <w:rPr>
          <w:rFonts w:ascii="宋体" w:hAnsi="宋体"/>
          <w:szCs w:val="21"/>
        </w:rPr>
        <w:t xml:space="preserve">. </w:t>
      </w:r>
      <w:r>
        <w:rPr>
          <w:rFonts w:ascii="宋体" w:hAnsi="宋体" w:hint="eastAsia"/>
          <w:szCs w:val="21"/>
        </w:rPr>
        <w:t>消费者购买活动的基本规律与类型。</w:t>
      </w:r>
    </w:p>
    <w:p w14:paraId="0493BEA3" w14:textId="77777777" w:rsidR="00F5289E" w:rsidRDefault="00C91173">
      <w:pPr>
        <w:adjustRightInd w:val="0"/>
        <w:snapToGrid w:val="0"/>
        <w:spacing w:line="360" w:lineRule="auto"/>
        <w:rPr>
          <w:rFonts w:ascii="宋体" w:hAnsi="宋体"/>
          <w:b/>
          <w:szCs w:val="21"/>
        </w:rPr>
      </w:pPr>
      <w:r>
        <w:rPr>
          <w:rFonts w:ascii="宋体" w:hAnsi="宋体" w:hint="eastAsia"/>
          <w:b/>
          <w:szCs w:val="21"/>
        </w:rPr>
        <w:t>（三）考核要求</w:t>
      </w:r>
    </w:p>
    <w:p w14:paraId="330526D7"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rPr>
        <w:t>影响消费者行为的因素，马斯洛的需要层次论。</w:t>
      </w:r>
    </w:p>
    <w:p w14:paraId="67AFE5B6" w14:textId="77777777" w:rsidR="00F5289E" w:rsidRDefault="00C91173">
      <w:pPr>
        <w:adjustRightInd w:val="0"/>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rPr>
        <w:t>消费者购买活动的基本规律与类型。</w:t>
      </w:r>
    </w:p>
    <w:p w14:paraId="620C6EA0" w14:textId="77777777" w:rsidR="00F5289E" w:rsidRDefault="00C91173">
      <w:pPr>
        <w:adjustRightInd w:val="0"/>
        <w:snapToGrid w:val="0"/>
        <w:spacing w:line="360" w:lineRule="auto"/>
        <w:ind w:firstLineChars="200" w:firstLine="422"/>
        <w:rPr>
          <w:rFonts w:ascii="宋体" w:hAnsi="宋体"/>
          <w:bCs/>
        </w:rPr>
      </w:pPr>
      <w:r>
        <w:rPr>
          <w:rFonts w:ascii="宋体" w:hAnsi="宋体" w:hint="eastAsia"/>
          <w:b/>
          <w:szCs w:val="21"/>
        </w:rPr>
        <w:t>3.应用</w:t>
      </w:r>
      <w:r>
        <w:rPr>
          <w:rFonts w:ascii="宋体" w:hAnsi="宋体" w:hint="eastAsia"/>
          <w:szCs w:val="21"/>
        </w:rPr>
        <w:t>：</w:t>
      </w:r>
      <w:r>
        <w:rPr>
          <w:rFonts w:ascii="宋体" w:hAnsi="宋体" w:hint="eastAsia"/>
          <w:bCs/>
        </w:rPr>
        <w:t>消费者行为的概念与过程。</w:t>
      </w:r>
    </w:p>
    <w:p w14:paraId="11FCE577" w14:textId="77777777" w:rsidR="00F5289E" w:rsidRDefault="00C91173">
      <w:pPr>
        <w:pStyle w:val="a9"/>
        <w:snapToGrid w:val="0"/>
        <w:spacing w:line="360" w:lineRule="auto"/>
        <w:jc w:val="center"/>
        <w:rPr>
          <w:rFonts w:hAnsi="宋体"/>
          <w:b/>
        </w:rPr>
      </w:pPr>
      <w:r>
        <w:rPr>
          <w:rFonts w:hAnsi="宋体" w:hint="eastAsia"/>
          <w:b/>
        </w:rPr>
        <w:t xml:space="preserve">第五章  </w:t>
      </w:r>
      <w:r>
        <w:rPr>
          <w:rFonts w:hAnsi="宋体" w:hint="eastAsia"/>
          <w:b/>
          <w:bCs/>
          <w:kern w:val="0"/>
        </w:rPr>
        <w:t>市场细分与市场定位</w:t>
      </w:r>
      <w:r>
        <w:rPr>
          <w:b/>
          <w:bCs/>
          <w:kern w:val="0"/>
        </w:rPr>
        <w:t>  </w:t>
      </w:r>
    </w:p>
    <w:p w14:paraId="2DFBCAF1" w14:textId="77777777" w:rsidR="00F5289E" w:rsidRDefault="00C91173">
      <w:pPr>
        <w:pStyle w:val="a9"/>
        <w:snapToGrid w:val="0"/>
        <w:spacing w:line="360" w:lineRule="auto"/>
        <w:rPr>
          <w:rFonts w:hAnsi="宋体"/>
          <w:b/>
        </w:rPr>
      </w:pPr>
      <w:r>
        <w:rPr>
          <w:rFonts w:hAnsi="宋体" w:hint="eastAsia"/>
          <w:b/>
        </w:rPr>
        <w:t>（一）一般学习目的与要求</w:t>
      </w:r>
    </w:p>
    <w:p w14:paraId="2FA548AF" w14:textId="77777777" w:rsidR="00F5289E" w:rsidRDefault="00C91173">
      <w:pPr>
        <w:widowControl/>
        <w:snapToGrid w:val="0"/>
        <w:spacing w:line="360" w:lineRule="auto"/>
        <w:ind w:firstLineChars="200" w:firstLine="422"/>
        <w:rPr>
          <w:rFonts w:hAnsi="宋体"/>
          <w:b/>
          <w:bCs/>
          <w:kern w:val="0"/>
          <w:szCs w:val="21"/>
        </w:rPr>
      </w:pPr>
      <w:r>
        <w:rPr>
          <w:rFonts w:ascii="宋体" w:hAnsi="宋体" w:hint="eastAsia"/>
          <w:b/>
          <w:szCs w:val="21"/>
        </w:rPr>
        <w:t>1. 一般了解</w:t>
      </w:r>
      <w:r>
        <w:rPr>
          <w:rFonts w:ascii="宋体" w:hAnsi="宋体" w:hint="eastAsia"/>
          <w:szCs w:val="21"/>
        </w:rPr>
        <w:t>：</w:t>
      </w:r>
      <w:r>
        <w:rPr>
          <w:rFonts w:ascii="宋体" w:hAnsi="宋体" w:hint="eastAsia"/>
          <w:bCs/>
        </w:rPr>
        <w:t>市场细分的重要作用。</w:t>
      </w:r>
    </w:p>
    <w:p w14:paraId="72E21FD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hint="eastAsia"/>
          <w:bCs/>
        </w:rPr>
        <w:t>掌握目标市场策略的选择。</w:t>
      </w:r>
    </w:p>
    <w:p w14:paraId="67EC52C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rFonts w:ascii="宋体" w:hAnsi="宋体" w:hint="eastAsia"/>
          <w:bCs/>
        </w:rPr>
        <w:t>掌握市场细分和市场定位的概念、依据和方法。</w:t>
      </w:r>
    </w:p>
    <w:p w14:paraId="70303D7C"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5B3A9CC" w14:textId="77777777" w:rsidR="00F5289E" w:rsidRDefault="00C91173">
      <w:pPr>
        <w:snapToGrid w:val="0"/>
        <w:spacing w:line="360" w:lineRule="auto"/>
        <w:ind w:firstLineChars="200" w:firstLine="420"/>
        <w:rPr>
          <w:rFonts w:ascii="宋体" w:hAnsi="宋体"/>
          <w:szCs w:val="20"/>
        </w:rPr>
      </w:pPr>
      <w:r>
        <w:rPr>
          <w:rFonts w:ascii="宋体" w:hAnsi="宋体" w:hint="eastAsia"/>
          <w:szCs w:val="20"/>
        </w:rPr>
        <w:t>1</w:t>
      </w:r>
      <w:r>
        <w:rPr>
          <w:rFonts w:ascii="宋体" w:hAnsi="宋体"/>
          <w:szCs w:val="20"/>
        </w:rPr>
        <w:t xml:space="preserve">. </w:t>
      </w:r>
      <w:r>
        <w:rPr>
          <w:rFonts w:ascii="宋体" w:hAnsi="宋体" w:hint="eastAsia"/>
          <w:szCs w:val="20"/>
        </w:rPr>
        <w:t>市场细分的概念、依据和方法。</w:t>
      </w:r>
    </w:p>
    <w:p w14:paraId="5885B260" w14:textId="77777777" w:rsidR="00F5289E" w:rsidRDefault="00C91173">
      <w:pPr>
        <w:snapToGrid w:val="0"/>
        <w:spacing w:line="360" w:lineRule="auto"/>
        <w:ind w:firstLineChars="200" w:firstLine="420"/>
        <w:rPr>
          <w:rFonts w:ascii="宋体" w:hAnsi="宋体"/>
          <w:szCs w:val="20"/>
        </w:rPr>
      </w:pPr>
      <w:r>
        <w:rPr>
          <w:rFonts w:ascii="宋体" w:hAnsi="宋体" w:hint="eastAsia"/>
          <w:szCs w:val="20"/>
        </w:rPr>
        <w:t>2</w:t>
      </w:r>
      <w:r>
        <w:rPr>
          <w:rFonts w:ascii="宋体" w:hAnsi="宋体"/>
          <w:szCs w:val="20"/>
        </w:rPr>
        <w:t xml:space="preserve">. </w:t>
      </w:r>
      <w:r>
        <w:rPr>
          <w:rFonts w:ascii="宋体" w:hAnsi="宋体" w:hint="eastAsia"/>
          <w:szCs w:val="20"/>
        </w:rPr>
        <w:t>市场细分的重要作用。</w:t>
      </w:r>
    </w:p>
    <w:p w14:paraId="1C1900B7" w14:textId="77777777" w:rsidR="00F5289E" w:rsidRDefault="00C91173">
      <w:pPr>
        <w:snapToGrid w:val="0"/>
        <w:spacing w:line="360" w:lineRule="auto"/>
        <w:ind w:firstLineChars="200" w:firstLine="420"/>
        <w:rPr>
          <w:rFonts w:ascii="宋体" w:hAnsi="宋体"/>
          <w:szCs w:val="20"/>
        </w:rPr>
      </w:pPr>
      <w:r>
        <w:rPr>
          <w:rFonts w:ascii="宋体" w:hAnsi="宋体" w:hint="eastAsia"/>
          <w:szCs w:val="20"/>
        </w:rPr>
        <w:t>3</w:t>
      </w:r>
      <w:r>
        <w:rPr>
          <w:rFonts w:ascii="宋体" w:hAnsi="宋体"/>
          <w:szCs w:val="20"/>
        </w:rPr>
        <w:t xml:space="preserve">. </w:t>
      </w:r>
      <w:r>
        <w:rPr>
          <w:rFonts w:ascii="宋体" w:hAnsi="宋体" w:hint="eastAsia"/>
          <w:szCs w:val="20"/>
        </w:rPr>
        <w:t>目标市场策略的选择。</w:t>
      </w:r>
    </w:p>
    <w:p w14:paraId="063D3F48" w14:textId="77777777" w:rsidR="00F5289E" w:rsidRDefault="00C91173">
      <w:pPr>
        <w:snapToGrid w:val="0"/>
        <w:spacing w:line="360" w:lineRule="auto"/>
        <w:ind w:firstLineChars="200" w:firstLine="420"/>
        <w:rPr>
          <w:rFonts w:ascii="宋体" w:hAnsi="宋体"/>
          <w:szCs w:val="20"/>
        </w:rPr>
      </w:pPr>
      <w:r>
        <w:rPr>
          <w:rFonts w:ascii="宋体" w:hAnsi="宋体" w:hint="eastAsia"/>
          <w:szCs w:val="20"/>
        </w:rPr>
        <w:t>4</w:t>
      </w:r>
      <w:r>
        <w:rPr>
          <w:rFonts w:ascii="宋体" w:hAnsi="宋体"/>
          <w:szCs w:val="20"/>
        </w:rPr>
        <w:t xml:space="preserve">. </w:t>
      </w:r>
      <w:r>
        <w:rPr>
          <w:rFonts w:ascii="宋体" w:hAnsi="宋体" w:hint="eastAsia"/>
          <w:szCs w:val="20"/>
        </w:rPr>
        <w:t>市场定位的方法。</w:t>
      </w:r>
    </w:p>
    <w:p w14:paraId="76B1559D"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C2E6B8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hint="eastAsia"/>
          <w:bCs/>
        </w:rPr>
        <w:t>市场细分和市场定位的概念、依据和方法。</w:t>
      </w:r>
    </w:p>
    <w:p w14:paraId="6BE0383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rPr>
        <w:t>市场细分的重要作用。</w:t>
      </w:r>
    </w:p>
    <w:p w14:paraId="13D980D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：能够对某产品进行</w:t>
      </w:r>
      <w:r>
        <w:rPr>
          <w:rFonts w:ascii="宋体" w:hAnsi="宋体" w:hint="eastAsia"/>
          <w:bCs/>
        </w:rPr>
        <w:t>市场细分；能够对某企业、品牌或城市进行市场定位。</w:t>
      </w:r>
    </w:p>
    <w:p w14:paraId="1A301FC2"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 xml:space="preserve">第六章  </w:t>
      </w:r>
      <w:r>
        <w:rPr>
          <w:rFonts w:hint="eastAsia"/>
          <w:b/>
          <w:bCs/>
          <w:kern w:val="0"/>
          <w:szCs w:val="21"/>
        </w:rPr>
        <w:t>园艺产品营销策略及选择</w:t>
      </w:r>
    </w:p>
    <w:p w14:paraId="433F07AE" w14:textId="77777777" w:rsidR="00F5289E" w:rsidRDefault="00C91173">
      <w:pPr>
        <w:pStyle w:val="a9"/>
        <w:snapToGrid w:val="0"/>
        <w:spacing w:line="360" w:lineRule="auto"/>
        <w:rPr>
          <w:rFonts w:hAnsi="宋体"/>
          <w:b/>
        </w:rPr>
      </w:pPr>
      <w:r>
        <w:rPr>
          <w:rFonts w:hAnsi="宋体" w:hint="eastAsia"/>
          <w:b/>
        </w:rPr>
        <w:t>（一）一般学习目的与要求</w:t>
      </w:r>
    </w:p>
    <w:p w14:paraId="64166C82" w14:textId="77777777" w:rsidR="00F5289E" w:rsidRDefault="00C91173">
      <w:pPr>
        <w:snapToGrid w:val="0"/>
        <w:spacing w:line="360" w:lineRule="auto"/>
        <w:ind w:firstLineChars="200" w:firstLine="422"/>
        <w:rPr>
          <w:rFonts w:ascii="宋体" w:eastAsiaTheme="minorEastAsia"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rPr>
        <w:t>产品生命周期；新产品开发的组织、程序及市场扩散；园艺产品价格制定程序；园艺产品市场流通渠道的类型及现有渠道的现状与特点；</w:t>
      </w:r>
      <w:r>
        <w:rPr>
          <w:rFonts w:ascii="宋体" w:hAnsi="宋体" w:cs="宋体" w:hint="eastAsia"/>
          <w:bCs/>
          <w:szCs w:val="21"/>
        </w:rPr>
        <w:t>促销与促销组合的概念，各种促销方式的基本原则；</w:t>
      </w:r>
      <w:r>
        <w:rPr>
          <w:rFonts w:ascii="宋体" w:hAnsi="宋体" w:cs="宋体" w:hint="eastAsia"/>
          <w:bCs/>
        </w:rPr>
        <w:t>营销组合及营销组合战略的含义、营销组合的意义。</w:t>
      </w:r>
    </w:p>
    <w:p w14:paraId="4B4DB04F" w14:textId="77777777" w:rsidR="00F5289E" w:rsidRDefault="00C91173">
      <w:pPr>
        <w:snapToGrid w:val="0"/>
        <w:spacing w:line="360" w:lineRule="auto"/>
        <w:ind w:firstLineChars="200" w:firstLine="422"/>
        <w:rPr>
          <w:rFonts w:ascii="宋体" w:eastAsiaTheme="minorEastAsia" w:hAnsi="宋体"/>
          <w:szCs w:val="21"/>
        </w:rPr>
      </w:pPr>
      <w:r>
        <w:rPr>
          <w:rFonts w:ascii="宋体" w:hAnsi="宋体" w:hint="eastAsia"/>
          <w:b/>
          <w:szCs w:val="21"/>
        </w:rPr>
        <w:t>2. 一般掌握</w:t>
      </w:r>
      <w:r>
        <w:rPr>
          <w:rFonts w:ascii="宋体" w:hAnsi="宋体" w:hint="eastAsia"/>
          <w:szCs w:val="21"/>
        </w:rPr>
        <w:t>：</w:t>
      </w:r>
      <w:r>
        <w:rPr>
          <w:rFonts w:ascii="宋体" w:hAnsi="宋体" w:hint="eastAsia"/>
          <w:bCs/>
        </w:rPr>
        <w:t>园艺产品的整体概念；园艺产品品牌与包装的功能及策略；园艺新产品的类型及新产品开发过程；影响园艺产品价格的因素；市场流通渠道的概念；</w:t>
      </w:r>
      <w:r>
        <w:rPr>
          <w:rFonts w:ascii="宋体" w:hAnsi="宋体" w:cs="宋体" w:hint="eastAsia"/>
          <w:bCs/>
          <w:szCs w:val="21"/>
        </w:rPr>
        <w:t>促销策略的作用与原则，促销的四种方式及各方式的概念及特点；</w:t>
      </w:r>
      <w:r>
        <w:rPr>
          <w:rFonts w:ascii="宋体" w:hAnsi="宋体" w:cs="宋体" w:hint="eastAsia"/>
          <w:bCs/>
        </w:rPr>
        <w:t>我国园艺产品国际营销组合战略中的产品、价格、促销以及渠道策略。</w:t>
      </w:r>
    </w:p>
    <w:p w14:paraId="7E71B4EA" w14:textId="77777777" w:rsidR="00F5289E" w:rsidRDefault="00C91173">
      <w:pPr>
        <w:spacing w:line="360" w:lineRule="auto"/>
        <w:ind w:firstLineChars="200" w:firstLine="422"/>
        <w:rPr>
          <w:rFonts w:ascii="宋体" w:eastAsiaTheme="minorEastAsia" w:hAnsi="宋体"/>
          <w:color w:val="0000FF"/>
          <w:szCs w:val="21"/>
        </w:rPr>
      </w:pPr>
      <w:r>
        <w:rPr>
          <w:rFonts w:ascii="宋体" w:hAnsi="宋体" w:hint="eastAsia"/>
          <w:b/>
          <w:szCs w:val="21"/>
        </w:rPr>
        <w:lastRenderedPageBreak/>
        <w:t>3. 熟练掌握</w:t>
      </w:r>
      <w:r>
        <w:rPr>
          <w:rFonts w:ascii="宋体" w:hAnsi="宋体" w:hint="eastAsia"/>
          <w:szCs w:val="21"/>
        </w:rPr>
        <w:t>：</w:t>
      </w:r>
      <w:r>
        <w:rPr>
          <w:rFonts w:ascii="宋体" w:hAnsi="宋体" w:hint="eastAsia"/>
          <w:bCs/>
        </w:rPr>
        <w:t>园艺产品生命周期各阶段的营销特点及营销策略；园艺产品定价策略；</w:t>
      </w:r>
      <w:r>
        <w:rPr>
          <w:rFonts w:ascii="宋体" w:hAnsi="宋体" w:cs="宋体" w:hint="eastAsia"/>
          <w:bCs/>
          <w:szCs w:val="21"/>
        </w:rPr>
        <w:t>四种促销方式的具体形式；促销组合策略的种类以及影响选择促销组合策略的因素；</w:t>
      </w:r>
      <w:r>
        <w:rPr>
          <w:rFonts w:ascii="宋体" w:hAnsi="宋体" w:cs="宋体" w:hint="eastAsia"/>
          <w:bCs/>
        </w:rPr>
        <w:t>国际营销组合策略和国内营销组合策略的区别。</w:t>
      </w:r>
    </w:p>
    <w:p w14:paraId="6B367CA0" w14:textId="77777777" w:rsidR="00F5289E" w:rsidRDefault="00C91173">
      <w:pPr>
        <w:snapToGrid w:val="0"/>
        <w:spacing w:line="360" w:lineRule="auto"/>
        <w:rPr>
          <w:rFonts w:ascii="宋体" w:hAnsi="宋体"/>
          <w:b/>
          <w:szCs w:val="21"/>
        </w:rPr>
      </w:pPr>
      <w:r>
        <w:rPr>
          <w:rFonts w:ascii="宋体" w:hAnsi="宋体" w:hint="eastAsia"/>
          <w:b/>
          <w:szCs w:val="21"/>
        </w:rPr>
        <w:t>（二）考核内容</w:t>
      </w:r>
    </w:p>
    <w:p w14:paraId="2457FDA3" w14:textId="77777777" w:rsidR="00F5289E" w:rsidRDefault="00C91173">
      <w:pPr>
        <w:spacing w:line="360" w:lineRule="auto"/>
        <w:ind w:firstLineChars="200" w:firstLine="420"/>
        <w:rPr>
          <w:rFonts w:ascii="宋体" w:hAnsi="宋体"/>
          <w:bCs/>
          <w:szCs w:val="21"/>
        </w:rPr>
      </w:pPr>
      <w:r>
        <w:rPr>
          <w:rFonts w:ascii="宋体" w:hAnsi="宋体" w:hint="eastAsia"/>
          <w:bCs/>
          <w:szCs w:val="21"/>
        </w:rPr>
        <w:t>1</w:t>
      </w:r>
      <w:r>
        <w:rPr>
          <w:rFonts w:ascii="宋体" w:hAnsi="宋体"/>
          <w:bCs/>
          <w:szCs w:val="21"/>
        </w:rPr>
        <w:t xml:space="preserve">. </w:t>
      </w:r>
      <w:r>
        <w:rPr>
          <w:rFonts w:ascii="宋体" w:hAnsi="宋体" w:hint="eastAsia"/>
          <w:bCs/>
          <w:szCs w:val="21"/>
        </w:rPr>
        <w:t>园艺产品营销的4大策略。</w:t>
      </w:r>
    </w:p>
    <w:p w14:paraId="5EAA2543" w14:textId="77777777" w:rsidR="00F5289E" w:rsidRDefault="00C91173">
      <w:pPr>
        <w:spacing w:line="360" w:lineRule="auto"/>
        <w:ind w:firstLineChars="200" w:firstLine="420"/>
        <w:rPr>
          <w:rFonts w:ascii="宋体" w:hAnsi="宋体"/>
          <w:bCs/>
        </w:rPr>
      </w:pPr>
      <w:r>
        <w:rPr>
          <w:rFonts w:ascii="宋体" w:hAnsi="宋体" w:hint="eastAsia"/>
          <w:bCs/>
          <w:szCs w:val="21"/>
        </w:rPr>
        <w:t>2</w:t>
      </w:r>
      <w:r>
        <w:rPr>
          <w:rFonts w:ascii="宋体" w:hAnsi="宋体"/>
          <w:bCs/>
          <w:szCs w:val="21"/>
        </w:rPr>
        <w:t xml:space="preserve">. </w:t>
      </w:r>
      <w:r>
        <w:rPr>
          <w:rFonts w:ascii="宋体" w:hAnsi="宋体" w:hint="eastAsia"/>
          <w:bCs/>
          <w:szCs w:val="21"/>
        </w:rPr>
        <w:t>通过开发新产品、设计产品包装、打造产品品牌</w:t>
      </w:r>
      <w:r>
        <w:rPr>
          <w:rFonts w:hint="eastAsia"/>
          <w:szCs w:val="21"/>
        </w:rPr>
        <w:t>提升产品价值</w:t>
      </w:r>
      <w:r>
        <w:rPr>
          <w:rFonts w:ascii="宋体" w:hAnsi="宋体" w:hint="eastAsia"/>
          <w:bCs/>
          <w:szCs w:val="21"/>
        </w:rPr>
        <w:t>，能够在企业营销管理中根据产品所处生命周期的阶段进行产品组合以创造出能最大满足消费者需求的产品。</w:t>
      </w:r>
    </w:p>
    <w:p w14:paraId="40646D62" w14:textId="77777777" w:rsidR="00F5289E" w:rsidRDefault="00C91173">
      <w:pPr>
        <w:spacing w:line="360" w:lineRule="auto"/>
        <w:ind w:firstLineChars="200" w:firstLine="420"/>
        <w:rPr>
          <w:rFonts w:ascii="宋体" w:hAnsi="宋体"/>
          <w:bCs/>
        </w:rPr>
      </w:pPr>
      <w:r>
        <w:rPr>
          <w:rFonts w:ascii="宋体" w:hAnsi="宋体" w:hint="eastAsia"/>
          <w:bCs/>
        </w:rPr>
        <w:t>3</w:t>
      </w:r>
      <w:r>
        <w:rPr>
          <w:rFonts w:ascii="宋体" w:hAnsi="宋体"/>
          <w:bCs/>
        </w:rPr>
        <w:t xml:space="preserve">. </w:t>
      </w:r>
      <w:r>
        <w:rPr>
          <w:rFonts w:ascii="宋体" w:hAnsi="宋体" w:hint="eastAsia"/>
          <w:bCs/>
        </w:rPr>
        <w:t>结合园艺产品的市场案例理解供需规律引起的价格变化，并运用价格策略去进行不同类型产品的价格设定。</w:t>
      </w:r>
    </w:p>
    <w:p w14:paraId="67C50D9C" w14:textId="77777777" w:rsidR="00F5289E" w:rsidRDefault="00C91173">
      <w:pPr>
        <w:spacing w:line="360" w:lineRule="auto"/>
        <w:ind w:firstLineChars="200" w:firstLine="420"/>
        <w:rPr>
          <w:rFonts w:ascii="宋体" w:hAnsi="宋体"/>
          <w:bCs/>
        </w:rPr>
      </w:pPr>
      <w:r>
        <w:rPr>
          <w:rFonts w:ascii="宋体" w:hAnsi="宋体" w:hint="eastAsia"/>
          <w:bCs/>
        </w:rPr>
        <w:t>4</w:t>
      </w:r>
      <w:r>
        <w:rPr>
          <w:rFonts w:ascii="宋体" w:hAnsi="宋体"/>
          <w:bCs/>
        </w:rPr>
        <w:t xml:space="preserve">. </w:t>
      </w:r>
      <w:r>
        <w:rPr>
          <w:rFonts w:ascii="宋体" w:hAnsi="宋体" w:hint="eastAsia"/>
          <w:bCs/>
        </w:rPr>
        <w:t>能够针对不同园艺企业、产品，制定适宜的促销策略。</w:t>
      </w:r>
    </w:p>
    <w:p w14:paraId="0DA7FEAE" w14:textId="77777777" w:rsidR="00F5289E" w:rsidRDefault="00C91173">
      <w:pPr>
        <w:spacing w:line="360" w:lineRule="auto"/>
        <w:ind w:firstLineChars="200" w:firstLine="420"/>
        <w:rPr>
          <w:rFonts w:ascii="宋体" w:eastAsiaTheme="minorEastAsia" w:hAnsi="宋体"/>
          <w:bCs/>
        </w:rPr>
      </w:pPr>
      <w:r>
        <w:rPr>
          <w:rFonts w:ascii="宋体" w:hAnsi="宋体" w:hint="eastAsia"/>
          <w:bCs/>
        </w:rPr>
        <w:t>5</w:t>
      </w:r>
      <w:r>
        <w:rPr>
          <w:rFonts w:ascii="宋体" w:hAnsi="宋体"/>
          <w:bCs/>
        </w:rPr>
        <w:t xml:space="preserve">. </w:t>
      </w:r>
      <w:r>
        <w:rPr>
          <w:rFonts w:ascii="宋体" w:hAnsi="宋体" w:hint="eastAsia"/>
          <w:bCs/>
        </w:rPr>
        <w:t>理解</w:t>
      </w:r>
      <w:r>
        <w:rPr>
          <w:rFonts w:ascii="宋体" w:hAnsi="宋体" w:cs="宋体" w:hint="eastAsia"/>
        </w:rPr>
        <w:t>园艺产品营销组合的概念、意义；我国园艺产品国际营销组合战略中产品、价格、促销、渠道四种策略的内容及与国内营销组合策略的区别。</w:t>
      </w:r>
    </w:p>
    <w:p w14:paraId="00E206FF"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A33176F" w14:textId="77777777" w:rsidR="00F5289E" w:rsidRDefault="00C91173">
      <w:pPr>
        <w:snapToGrid w:val="0"/>
        <w:spacing w:line="360" w:lineRule="auto"/>
        <w:ind w:firstLineChars="200" w:firstLine="422"/>
        <w:rPr>
          <w:rFonts w:ascii="宋体" w:eastAsiaTheme="minorEastAsia" w:hAnsi="宋体"/>
          <w:b/>
          <w:szCs w:val="21"/>
        </w:rPr>
      </w:pPr>
      <w:r>
        <w:rPr>
          <w:rFonts w:ascii="宋体" w:hAnsi="宋体" w:hint="eastAsia"/>
          <w:b/>
          <w:szCs w:val="21"/>
        </w:rPr>
        <w:t>1.识记</w:t>
      </w:r>
      <w:r>
        <w:rPr>
          <w:rFonts w:ascii="宋体" w:hAnsi="宋体" w:hint="eastAsia"/>
          <w:szCs w:val="21"/>
        </w:rPr>
        <w:t>：产品生命周期、园艺新产品的类型、品牌和包装的功能、园艺产品的流通渠道；</w:t>
      </w:r>
      <w:r>
        <w:rPr>
          <w:rFonts w:ascii="宋体" w:hAnsi="宋体" w:cs="宋体" w:hint="eastAsia"/>
          <w:bCs/>
          <w:szCs w:val="21"/>
        </w:rPr>
        <w:t>促销与促销组合的概念，促销的原则、意义和作用；促销的四种方式及各方式的概念及特点；</w:t>
      </w:r>
      <w:r>
        <w:rPr>
          <w:rFonts w:ascii="宋体" w:hAnsi="宋体" w:cs="宋体" w:hint="eastAsia"/>
          <w:bCs/>
        </w:rPr>
        <w:t>营销组合及营销组合战略的含义。</w:t>
      </w:r>
    </w:p>
    <w:p w14:paraId="15170360" w14:textId="77777777" w:rsidR="00F5289E" w:rsidRDefault="00C91173">
      <w:pPr>
        <w:snapToGrid w:val="0"/>
        <w:spacing w:line="360" w:lineRule="auto"/>
        <w:ind w:firstLineChars="200" w:firstLine="422"/>
        <w:rPr>
          <w:rFonts w:ascii="宋体" w:hAnsi="宋体" w:cs="宋体"/>
          <w:bCs/>
        </w:rPr>
      </w:pPr>
      <w:r>
        <w:rPr>
          <w:rFonts w:ascii="宋体" w:hAnsi="宋体" w:hint="eastAsia"/>
          <w:b/>
          <w:szCs w:val="21"/>
        </w:rPr>
        <w:t>2.领会</w:t>
      </w:r>
      <w:r>
        <w:rPr>
          <w:rFonts w:ascii="宋体" w:hAnsi="宋体" w:hint="eastAsia"/>
          <w:szCs w:val="21"/>
        </w:rPr>
        <w:t>：园艺产品的整体概念的意义、市场供求对产品价格的影响、园艺产品流通渠道的重要性；</w:t>
      </w:r>
      <w:r>
        <w:rPr>
          <w:rFonts w:ascii="宋体" w:hAnsi="宋体" w:cs="宋体" w:hint="eastAsia"/>
          <w:bCs/>
        </w:rPr>
        <w:t>我国园艺产品国际营销组合战略中的产品、价格、促销以及渠道策略</w:t>
      </w:r>
      <w:r>
        <w:rPr>
          <w:rFonts w:ascii="宋体" w:hAnsi="宋体" w:hint="eastAsia"/>
          <w:bCs/>
          <w:color w:val="0000FF"/>
          <w:szCs w:val="21"/>
        </w:rPr>
        <w:t>；</w:t>
      </w:r>
      <w:r>
        <w:rPr>
          <w:rFonts w:ascii="宋体" w:hAnsi="宋体" w:cs="宋体" w:hint="eastAsia"/>
          <w:bCs/>
        </w:rPr>
        <w:t>营销组合的意义。</w:t>
      </w:r>
    </w:p>
    <w:p w14:paraId="2EE9373E" w14:textId="77777777" w:rsidR="00F5289E" w:rsidRDefault="00C91173">
      <w:pPr>
        <w:snapToGrid w:val="0"/>
        <w:spacing w:line="360" w:lineRule="auto"/>
        <w:ind w:firstLineChars="200" w:firstLine="422"/>
        <w:rPr>
          <w:rFonts w:ascii="宋体" w:eastAsiaTheme="minorEastAsia" w:hAnsi="宋体" w:cs="宋体"/>
          <w:bCs/>
          <w:szCs w:val="21"/>
        </w:rPr>
      </w:pPr>
      <w:r>
        <w:rPr>
          <w:rFonts w:ascii="宋体" w:hAnsi="宋体" w:hint="eastAsia"/>
          <w:b/>
          <w:szCs w:val="21"/>
        </w:rPr>
        <w:t>3.应用</w:t>
      </w:r>
      <w:r>
        <w:rPr>
          <w:rFonts w:ascii="宋体" w:hAnsi="宋体" w:hint="eastAsia"/>
          <w:szCs w:val="21"/>
        </w:rPr>
        <w:t>：熟练运用园艺产品的产品策略、定价策略、渠道策略及促销策略分析企业营销管理；</w:t>
      </w:r>
      <w:r>
        <w:rPr>
          <w:rFonts w:ascii="宋体" w:hAnsi="宋体" w:cs="宋体" w:hint="eastAsia"/>
          <w:bCs/>
          <w:szCs w:val="21"/>
        </w:rPr>
        <w:t>四种促销方式的具体形式。</w:t>
      </w:r>
    </w:p>
    <w:p w14:paraId="43F9164C"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ascii="宋体" w:hAnsi="宋体" w:hint="eastAsia"/>
          <w:szCs w:val="21"/>
        </w:rPr>
        <w:t>针对某一种特定的园艺产品，结合市场调查，能够简述该产品所采用的营销组合策略。结合调查结果，分析该园艺产品营销过程中存在的问题并给出相应的对策和建议。</w:t>
      </w:r>
    </w:p>
    <w:p w14:paraId="45D9341B" w14:textId="77777777" w:rsidR="00F5289E" w:rsidRDefault="00C91173">
      <w:pPr>
        <w:snapToGrid w:val="0"/>
        <w:spacing w:line="360" w:lineRule="auto"/>
        <w:ind w:firstLineChars="200" w:firstLine="422"/>
        <w:rPr>
          <w:rFonts w:ascii="宋体" w:eastAsiaTheme="minorEastAsia" w:hAnsi="宋体"/>
          <w:color w:val="0000FF"/>
          <w:szCs w:val="21"/>
        </w:rPr>
      </w:pPr>
      <w:r>
        <w:rPr>
          <w:rFonts w:ascii="宋体" w:hAnsi="宋体" w:hint="eastAsia"/>
          <w:b/>
          <w:szCs w:val="21"/>
        </w:rPr>
        <w:t>5.综合</w:t>
      </w:r>
      <w:r>
        <w:rPr>
          <w:rFonts w:ascii="宋体" w:hAnsi="宋体" w:hint="eastAsia"/>
          <w:szCs w:val="21"/>
        </w:rPr>
        <w:t>：</w:t>
      </w:r>
      <w:r>
        <w:rPr>
          <w:rFonts w:ascii="宋体" w:hAnsi="宋体" w:cs="宋体" w:hint="eastAsia"/>
          <w:bCs/>
        </w:rPr>
        <w:t>国际营销组合策略和国内营销组合策略的区别。</w:t>
      </w:r>
    </w:p>
    <w:p w14:paraId="38B0C920" w14:textId="77777777" w:rsidR="00F5289E" w:rsidRDefault="00C91173">
      <w:pPr>
        <w:snapToGrid w:val="0"/>
        <w:spacing w:line="360" w:lineRule="auto"/>
        <w:ind w:firstLineChars="200" w:firstLine="422"/>
        <w:rPr>
          <w:rFonts w:ascii="宋体" w:hAnsi="宋体"/>
          <w:bCs/>
          <w:szCs w:val="21"/>
        </w:rPr>
      </w:pPr>
      <w:r>
        <w:rPr>
          <w:rFonts w:ascii="宋体" w:hAnsi="宋体" w:hint="eastAsia"/>
          <w:b/>
          <w:szCs w:val="21"/>
        </w:rPr>
        <w:t>6.评价：</w:t>
      </w:r>
      <w:r>
        <w:rPr>
          <w:rFonts w:ascii="宋体" w:hAnsi="宋体" w:hint="eastAsia"/>
          <w:bCs/>
          <w:szCs w:val="21"/>
        </w:rPr>
        <w:t>营销组合策略的制定效果</w:t>
      </w:r>
    </w:p>
    <w:p w14:paraId="712097E1" w14:textId="77777777" w:rsidR="00F5289E" w:rsidRDefault="00C91173">
      <w:pPr>
        <w:pStyle w:val="a9"/>
        <w:spacing w:line="360" w:lineRule="auto"/>
        <w:rPr>
          <w:b/>
          <w:bCs/>
        </w:rPr>
      </w:pPr>
      <w:r>
        <w:rPr>
          <w:rFonts w:hint="eastAsia"/>
          <w:b/>
          <w:bCs/>
        </w:rPr>
        <w:t>四、考核方式</w:t>
      </w:r>
    </w:p>
    <w:p w14:paraId="0A6F88FB" w14:textId="77777777" w:rsidR="00F5289E" w:rsidRDefault="00C91173">
      <w:pPr>
        <w:spacing w:line="440" w:lineRule="exact"/>
        <w:ind w:firstLineChars="200" w:firstLine="420"/>
        <w:jc w:val="left"/>
        <w:rPr>
          <w:b/>
          <w:szCs w:val="21"/>
        </w:rPr>
      </w:pPr>
      <w:r>
        <w:rPr>
          <w:bCs/>
          <w:color w:val="000000"/>
          <w:szCs w:val="21"/>
        </w:rPr>
        <w:t>课程考核主要通过课堂考勤、课堂提问、</w:t>
      </w:r>
      <w:r>
        <w:rPr>
          <w:rFonts w:hint="eastAsia"/>
          <w:bCs/>
          <w:color w:val="000000"/>
          <w:szCs w:val="21"/>
        </w:rPr>
        <w:t>线上线下</w:t>
      </w:r>
      <w:r>
        <w:rPr>
          <w:bCs/>
          <w:color w:val="000000"/>
          <w:szCs w:val="21"/>
        </w:rPr>
        <w:t>练习与讨论、作业反馈、</w:t>
      </w:r>
      <w:r>
        <w:rPr>
          <w:rFonts w:hint="eastAsia"/>
          <w:bCs/>
          <w:color w:val="000000"/>
          <w:szCs w:val="21"/>
        </w:rPr>
        <w:t>课程论文</w:t>
      </w:r>
      <w:r>
        <w:rPr>
          <w:bCs/>
          <w:color w:val="000000"/>
          <w:szCs w:val="21"/>
        </w:rPr>
        <w:t>等多种方式对学生的学习表现和学习效果进行过程性和综合性评价。在课堂教学过程中，设置</w:t>
      </w:r>
      <w:r>
        <w:rPr>
          <w:rFonts w:hint="eastAsia"/>
          <w:bCs/>
          <w:color w:val="000000"/>
          <w:szCs w:val="21"/>
        </w:rPr>
        <w:t>营销案例分析、</w:t>
      </w:r>
      <w:r>
        <w:rPr>
          <w:rFonts w:hint="eastAsia"/>
          <w:bCs/>
          <w:color w:val="000000"/>
          <w:szCs w:val="21"/>
        </w:rPr>
        <w:t>P</w:t>
      </w:r>
      <w:r>
        <w:rPr>
          <w:bCs/>
          <w:color w:val="000000"/>
          <w:szCs w:val="21"/>
        </w:rPr>
        <w:t>PT</w:t>
      </w:r>
      <w:r>
        <w:rPr>
          <w:rFonts w:hint="eastAsia"/>
          <w:bCs/>
          <w:color w:val="000000"/>
          <w:szCs w:val="21"/>
        </w:rPr>
        <w:t>汇报等环节</w:t>
      </w:r>
      <w:r>
        <w:rPr>
          <w:bCs/>
          <w:color w:val="000000"/>
          <w:szCs w:val="21"/>
        </w:rPr>
        <w:t>，加强学生独立思考</w:t>
      </w:r>
      <w:r>
        <w:rPr>
          <w:rFonts w:hint="eastAsia"/>
          <w:bCs/>
          <w:color w:val="000000"/>
          <w:szCs w:val="21"/>
        </w:rPr>
        <w:t>和知识的理解应用</w:t>
      </w:r>
      <w:r>
        <w:rPr>
          <w:bCs/>
          <w:color w:val="000000"/>
          <w:szCs w:val="21"/>
        </w:rPr>
        <w:t>能力。</w:t>
      </w:r>
      <w:r>
        <w:rPr>
          <w:rFonts w:hint="eastAsia"/>
          <w:bCs/>
          <w:color w:val="000000"/>
          <w:szCs w:val="21"/>
        </w:rPr>
        <w:t>课程论文</w:t>
      </w:r>
      <w:r>
        <w:rPr>
          <w:bCs/>
          <w:color w:val="000000"/>
          <w:szCs w:val="21"/>
        </w:rPr>
        <w:t>设置在课程学习结束后，包括</w:t>
      </w:r>
      <w:r>
        <w:rPr>
          <w:rFonts w:hint="eastAsia"/>
          <w:bCs/>
          <w:color w:val="000000"/>
          <w:szCs w:val="21"/>
        </w:rPr>
        <w:t>对营销策略的综合性分析与应用，营销案例分析等</w:t>
      </w:r>
      <w:r>
        <w:rPr>
          <w:bCs/>
          <w:color w:val="000000"/>
          <w:szCs w:val="21"/>
        </w:rPr>
        <w:t>开放性题目，综合考察学生的学习效果。</w:t>
      </w:r>
    </w:p>
    <w:p w14:paraId="73E6AA92" w14:textId="77777777" w:rsidR="00F5289E" w:rsidRDefault="00C91173">
      <w:pPr>
        <w:pStyle w:val="a9"/>
        <w:spacing w:line="360" w:lineRule="auto"/>
        <w:rPr>
          <w:b/>
          <w:bCs/>
        </w:rPr>
      </w:pPr>
      <w:r>
        <w:rPr>
          <w:rFonts w:hint="eastAsia"/>
          <w:b/>
          <w:bCs/>
        </w:rPr>
        <w:t>五、成绩评定</w:t>
      </w:r>
    </w:p>
    <w:p w14:paraId="732A9560"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color w:val="000000" w:themeColor="text1"/>
          <w:szCs w:val="21"/>
        </w:rPr>
        <w:lastRenderedPageBreak/>
        <w:t>1.平时成绩：</w:t>
      </w:r>
      <w:r>
        <w:rPr>
          <w:szCs w:val="21"/>
        </w:rPr>
        <w:t>由课堂表现、</w:t>
      </w:r>
      <w:r>
        <w:rPr>
          <w:rFonts w:hint="eastAsia"/>
          <w:szCs w:val="21"/>
        </w:rPr>
        <w:t>课堂作业</w:t>
      </w:r>
      <w:r>
        <w:rPr>
          <w:szCs w:val="21"/>
        </w:rPr>
        <w:t>组成，满分</w:t>
      </w:r>
      <w:r>
        <w:rPr>
          <w:szCs w:val="21"/>
        </w:rPr>
        <w:t>100</w:t>
      </w:r>
      <w:r>
        <w:rPr>
          <w:szCs w:val="21"/>
        </w:rPr>
        <w:t>分。</w:t>
      </w:r>
    </w:p>
    <w:p w14:paraId="43B18B45"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2.期末成绩：主要是课程论文，满分1</w:t>
      </w:r>
      <w:r>
        <w:rPr>
          <w:rFonts w:ascii="宋体" w:hAnsi="宋体"/>
          <w:color w:val="000000" w:themeColor="text1"/>
        </w:rPr>
        <w:t>00</w:t>
      </w:r>
      <w:r>
        <w:rPr>
          <w:rFonts w:ascii="宋体" w:hAnsi="宋体" w:hint="eastAsia"/>
          <w:color w:val="000000" w:themeColor="text1"/>
        </w:rPr>
        <w:t>分。</w:t>
      </w:r>
    </w:p>
    <w:p w14:paraId="0D38B89A"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3.综合成绩：</w:t>
      </w:r>
      <w:r>
        <w:rPr>
          <w:szCs w:val="21"/>
        </w:rPr>
        <w:t>课程成绩由平时成绩和期末</w:t>
      </w:r>
      <w:r>
        <w:rPr>
          <w:rFonts w:hint="eastAsia"/>
          <w:szCs w:val="21"/>
        </w:rPr>
        <w:t>课程论文</w:t>
      </w:r>
      <w:r>
        <w:rPr>
          <w:szCs w:val="21"/>
        </w:rPr>
        <w:t>成绩组成，满分</w:t>
      </w:r>
      <w:r>
        <w:rPr>
          <w:szCs w:val="21"/>
        </w:rPr>
        <w:t>100</w:t>
      </w:r>
      <w:r>
        <w:rPr>
          <w:szCs w:val="21"/>
        </w:rPr>
        <w:t>分，其中平时成绩</w:t>
      </w:r>
      <w:r>
        <w:rPr>
          <w:bCs/>
          <w:color w:val="000000"/>
          <w:szCs w:val="21"/>
        </w:rPr>
        <w:t>占课程最终成绩的</w:t>
      </w:r>
      <w:r>
        <w:rPr>
          <w:bCs/>
          <w:color w:val="000000"/>
          <w:szCs w:val="21"/>
        </w:rPr>
        <w:t>50%</w:t>
      </w:r>
      <w:r>
        <w:rPr>
          <w:bCs/>
          <w:color w:val="000000"/>
          <w:szCs w:val="21"/>
        </w:rPr>
        <w:t>，</w:t>
      </w:r>
      <w:r>
        <w:rPr>
          <w:rFonts w:hint="eastAsia"/>
          <w:bCs/>
          <w:color w:val="000000"/>
          <w:szCs w:val="21"/>
        </w:rPr>
        <w:t>课程论文</w:t>
      </w:r>
      <w:r>
        <w:rPr>
          <w:bCs/>
          <w:color w:val="000000"/>
          <w:szCs w:val="21"/>
        </w:rPr>
        <w:t>成绩占课程最终成绩的</w:t>
      </w:r>
      <w:r>
        <w:rPr>
          <w:bCs/>
          <w:color w:val="000000"/>
          <w:szCs w:val="21"/>
        </w:rPr>
        <w:t>50%</w:t>
      </w:r>
      <w:r>
        <w:rPr>
          <w:szCs w:val="21"/>
        </w:rPr>
        <w:t>。</w:t>
      </w:r>
    </w:p>
    <w:p w14:paraId="540E99F3" w14:textId="77777777" w:rsidR="00F5289E" w:rsidRDefault="00C91173">
      <w:pPr>
        <w:pStyle w:val="a9"/>
        <w:spacing w:line="360" w:lineRule="auto"/>
        <w:rPr>
          <w:b/>
          <w:bCs/>
        </w:rPr>
      </w:pPr>
      <w:r>
        <w:rPr>
          <w:rFonts w:hint="eastAsia"/>
          <w:b/>
          <w:bCs/>
        </w:rPr>
        <w:t>六、考核结果分析反馈</w:t>
      </w:r>
    </w:p>
    <w:p w14:paraId="4F34ED59" w14:textId="77777777" w:rsidR="00F5289E" w:rsidRDefault="00C91173">
      <w:pPr>
        <w:snapToGrid w:val="0"/>
        <w:spacing w:line="360" w:lineRule="auto"/>
        <w:ind w:firstLineChars="200" w:firstLine="420"/>
        <w:rPr>
          <w:rFonts w:hAnsi="宋体"/>
          <w:bCs/>
          <w:szCs w:val="21"/>
        </w:rPr>
      </w:pPr>
      <w:r>
        <w:rPr>
          <w:rFonts w:hAnsi="宋体" w:hint="eastAsia"/>
          <w:bCs/>
          <w:szCs w:val="21"/>
        </w:rPr>
        <w:t>由于本课程涉及的理论知识和案例分析相对较多，而且基本知识比较抽象复杂。为了让学生更好的掌握园艺产品营销学的基本内容和案例分析，有必要及时跟踪了解学生的学习情况。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14:paraId="3C8242A7" w14:textId="77777777" w:rsidR="00F5289E" w:rsidRDefault="00C91173">
      <w:pPr>
        <w:snapToGrid w:val="0"/>
        <w:spacing w:line="360" w:lineRule="auto"/>
        <w:ind w:firstLineChars="200" w:firstLine="420"/>
        <w:rPr>
          <w:rFonts w:hAnsi="宋体"/>
          <w:bCs/>
          <w:szCs w:val="21"/>
        </w:rPr>
      </w:pPr>
      <w:r>
        <w:rPr>
          <w:rFonts w:hAnsi="宋体" w:hint="eastAsia"/>
          <w:bCs/>
          <w:szCs w:val="21"/>
        </w:rPr>
        <w:t>1</w:t>
      </w:r>
      <w:r>
        <w:rPr>
          <w:rFonts w:hAnsi="宋体" w:hint="eastAsia"/>
          <w:bCs/>
          <w:szCs w:val="21"/>
        </w:rPr>
        <w:t>．</w:t>
      </w:r>
      <w:r>
        <w:rPr>
          <w:rFonts w:hAnsi="宋体" w:hint="eastAsia"/>
          <w:bCs/>
          <w:szCs w:val="21"/>
        </w:rPr>
        <w:tab/>
      </w:r>
      <w:r>
        <w:rPr>
          <w:rFonts w:hAnsi="宋体" w:hint="eastAsia"/>
          <w:bCs/>
          <w:szCs w:val="21"/>
        </w:rPr>
        <w:t>考核结果分析</w:t>
      </w:r>
    </w:p>
    <w:p w14:paraId="6C43D9E8" w14:textId="77777777" w:rsidR="00F5289E" w:rsidRDefault="00C91173">
      <w:pPr>
        <w:snapToGrid w:val="0"/>
        <w:spacing w:line="360" w:lineRule="auto"/>
        <w:ind w:firstLineChars="200" w:firstLine="420"/>
        <w:rPr>
          <w:rFonts w:hAnsi="宋体"/>
          <w:bCs/>
          <w:szCs w:val="21"/>
        </w:rPr>
      </w:pPr>
      <w:r>
        <w:rPr>
          <w:rFonts w:hAnsi="宋体" w:hint="eastAsia"/>
          <w:bCs/>
          <w:szCs w:val="21"/>
        </w:rPr>
        <w:t>任课教师提供的本门课程考核结果分析应包括各环节成绩分析和总评成绩分析两部分。成绩分析应包括平均分、最高分、最低分、标准差等，主要体现课程成绩总体分布情况。分析报告应包括分析依据、分析内容、综合评价，以及总结或建议。</w:t>
      </w:r>
    </w:p>
    <w:p w14:paraId="020B7FF0" w14:textId="77777777" w:rsidR="00F5289E" w:rsidRDefault="00C91173">
      <w:pPr>
        <w:snapToGrid w:val="0"/>
        <w:spacing w:line="360" w:lineRule="auto"/>
        <w:ind w:firstLineChars="200" w:firstLine="420"/>
        <w:rPr>
          <w:rFonts w:hAnsi="宋体"/>
          <w:bCs/>
          <w:szCs w:val="21"/>
        </w:rPr>
      </w:pPr>
      <w:r>
        <w:rPr>
          <w:rFonts w:hAnsi="宋体" w:hint="eastAsia"/>
          <w:bCs/>
          <w:szCs w:val="21"/>
        </w:rPr>
        <w:t>2</w:t>
      </w:r>
      <w:r>
        <w:rPr>
          <w:rFonts w:hAnsi="宋体" w:hint="eastAsia"/>
          <w:bCs/>
          <w:szCs w:val="21"/>
        </w:rPr>
        <w:t>．</w:t>
      </w:r>
      <w:r>
        <w:rPr>
          <w:rFonts w:hAnsi="宋体" w:hint="eastAsia"/>
          <w:bCs/>
          <w:szCs w:val="21"/>
        </w:rPr>
        <w:tab/>
      </w:r>
      <w:r>
        <w:rPr>
          <w:rFonts w:hAnsi="宋体" w:hint="eastAsia"/>
          <w:bCs/>
          <w:szCs w:val="21"/>
        </w:rPr>
        <w:t>考核结果反馈</w:t>
      </w:r>
    </w:p>
    <w:p w14:paraId="0E37C7F9" w14:textId="77777777" w:rsidR="00F5289E" w:rsidRDefault="00C91173">
      <w:pPr>
        <w:snapToGrid w:val="0"/>
        <w:spacing w:line="360" w:lineRule="auto"/>
        <w:ind w:firstLineChars="200" w:firstLine="420"/>
        <w:rPr>
          <w:rFonts w:ascii="宋体" w:hAnsi="宋体"/>
          <w:szCs w:val="21"/>
        </w:rPr>
      </w:pPr>
      <w:r>
        <w:rPr>
          <w:rFonts w:hAnsi="宋体" w:hint="eastAsia"/>
          <w:bCs/>
          <w:szCs w:val="21"/>
        </w:rPr>
        <w:t>针对本门课程提高学生园艺产品营销的综合素质的教学目标，在理论课教学考核中，反馈形式体现在平时的教学过程中，采用课堂集中形式对考核结果的共性问题进行统一讲解，查找原因。</w:t>
      </w:r>
    </w:p>
    <w:p w14:paraId="0CFF4E44" w14:textId="77777777" w:rsidR="00F5289E" w:rsidRDefault="00C91173">
      <w:pPr>
        <w:widowControl/>
        <w:jc w:val="left"/>
        <w:rPr>
          <w:rFonts w:ascii="宋体" w:hAnsi="宋体"/>
          <w:b/>
          <w:sz w:val="28"/>
          <w:szCs w:val="28"/>
        </w:rPr>
      </w:pPr>
      <w:r>
        <w:rPr>
          <w:rFonts w:ascii="宋体" w:hAnsi="宋体"/>
          <w:b/>
          <w:sz w:val="28"/>
          <w:szCs w:val="28"/>
        </w:rPr>
        <w:br w:type="page"/>
      </w:r>
    </w:p>
    <w:p w14:paraId="396A30AA" w14:textId="77777777" w:rsidR="00F5289E" w:rsidRDefault="00C91173">
      <w:pPr>
        <w:pStyle w:val="1"/>
      </w:pPr>
      <w:bookmarkStart w:id="202" w:name="_Toc138606293"/>
      <w:r>
        <w:rPr>
          <w:rFonts w:hint="eastAsia"/>
        </w:rPr>
        <w:lastRenderedPageBreak/>
        <w:t>盆景学考核大纲</w:t>
      </w:r>
      <w:bookmarkEnd w:id="202"/>
    </w:p>
    <w:p w14:paraId="39D9B8CF" w14:textId="77777777" w:rsidR="00F5289E" w:rsidRDefault="00C91173">
      <w:pPr>
        <w:snapToGrid w:val="0"/>
        <w:spacing w:line="360" w:lineRule="auto"/>
        <w:jc w:val="center"/>
        <w:rPr>
          <w:sz w:val="24"/>
        </w:rPr>
      </w:pPr>
      <w:r>
        <w:rPr>
          <w:sz w:val="24"/>
        </w:rPr>
        <w:t>（</w:t>
      </w:r>
      <w:proofErr w:type="spellStart"/>
      <w:r>
        <w:rPr>
          <w:rFonts w:hint="eastAsia"/>
          <w:sz w:val="24"/>
        </w:rPr>
        <w:t>Pen</w:t>
      </w:r>
      <w:r>
        <w:rPr>
          <w:sz w:val="24"/>
        </w:rPr>
        <w:t>fing</w:t>
      </w:r>
      <w:proofErr w:type="spellEnd"/>
      <w:r>
        <w:rPr>
          <w:sz w:val="24"/>
        </w:rPr>
        <w:t>）</w:t>
      </w:r>
    </w:p>
    <w:p w14:paraId="7093A8E0" w14:textId="77777777" w:rsidR="00F5289E" w:rsidRDefault="00F5289E">
      <w:pPr>
        <w:snapToGrid w:val="0"/>
        <w:spacing w:line="360" w:lineRule="auto"/>
        <w:jc w:val="center"/>
        <w:rPr>
          <w:rFonts w:ascii="宋体" w:hAnsi="宋体" w:cs="宋体"/>
          <w:sz w:val="24"/>
        </w:rPr>
      </w:pPr>
    </w:p>
    <w:p w14:paraId="6BC284BF" w14:textId="77777777" w:rsidR="00F5289E" w:rsidRDefault="00C91173">
      <w:pPr>
        <w:snapToGrid w:val="0"/>
        <w:spacing w:line="360" w:lineRule="auto"/>
        <w:jc w:val="center"/>
        <w:rPr>
          <w:rFonts w:ascii="宋体" w:hAnsi="宋体" w:cs="宋体"/>
          <w:b/>
          <w:szCs w:val="21"/>
        </w:rPr>
      </w:pPr>
      <w:r>
        <w:rPr>
          <w:rFonts w:ascii="宋体" w:hAnsi="宋体" w:cs="宋体" w:hint="eastAsia"/>
          <w:b/>
          <w:szCs w:val="21"/>
        </w:rPr>
        <w:t xml:space="preserve">课程基本信息 </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0167160B" w14:textId="77777777">
        <w:tc>
          <w:tcPr>
            <w:tcW w:w="1665" w:type="pct"/>
          </w:tcPr>
          <w:p w14:paraId="206B7878" w14:textId="77777777" w:rsidR="00F5289E" w:rsidRDefault="00C91173">
            <w:pPr>
              <w:spacing w:line="360" w:lineRule="auto"/>
              <w:rPr>
                <w:rFonts w:ascii="宋体" w:hAnsi="宋体" w:cs="宋体"/>
                <w:b/>
                <w:bCs/>
                <w:szCs w:val="21"/>
              </w:rPr>
            </w:pPr>
            <w:r>
              <w:rPr>
                <w:rFonts w:ascii="宋体" w:hAnsi="宋体" w:cs="宋体" w:hint="eastAsia"/>
                <w:b/>
                <w:bCs/>
                <w:szCs w:val="21"/>
              </w:rPr>
              <w:t>课程编号：</w:t>
            </w:r>
            <w:r>
              <w:rPr>
                <w:rFonts w:ascii="宋体" w:hAnsi="宋体"/>
                <w:szCs w:val="21"/>
              </w:rPr>
              <w:t>19011124</w:t>
            </w:r>
          </w:p>
        </w:tc>
        <w:tc>
          <w:tcPr>
            <w:tcW w:w="1234" w:type="pct"/>
          </w:tcPr>
          <w:p w14:paraId="55F9486B" w14:textId="77777777" w:rsidR="00F5289E" w:rsidRDefault="00C91173">
            <w:pPr>
              <w:spacing w:line="360" w:lineRule="auto"/>
              <w:rPr>
                <w:rFonts w:ascii="宋体" w:hAnsi="宋体" w:cs="宋体"/>
                <w:b/>
                <w:bCs/>
                <w:szCs w:val="21"/>
              </w:rPr>
            </w:pPr>
            <w:r>
              <w:rPr>
                <w:rFonts w:ascii="宋体" w:hAnsi="宋体" w:cs="宋体" w:hint="eastAsia"/>
                <w:b/>
                <w:bCs/>
                <w:szCs w:val="21"/>
              </w:rPr>
              <w:t>课程学时：</w:t>
            </w:r>
            <w:r>
              <w:rPr>
                <w:rFonts w:ascii="宋体" w:hAnsi="宋体" w:cs="宋体" w:hint="eastAsia"/>
                <w:bCs/>
                <w:szCs w:val="21"/>
              </w:rPr>
              <w:t>32</w:t>
            </w:r>
          </w:p>
        </w:tc>
        <w:tc>
          <w:tcPr>
            <w:tcW w:w="2100" w:type="pct"/>
          </w:tcPr>
          <w:p w14:paraId="575C0CE2" w14:textId="77777777" w:rsidR="00F5289E" w:rsidRDefault="00C91173">
            <w:pPr>
              <w:spacing w:line="360" w:lineRule="auto"/>
              <w:rPr>
                <w:rFonts w:ascii="宋体" w:hAnsi="宋体" w:cs="宋体"/>
                <w:b/>
                <w:bCs/>
                <w:szCs w:val="21"/>
              </w:rPr>
            </w:pPr>
            <w:r>
              <w:rPr>
                <w:rFonts w:ascii="宋体" w:hAnsi="宋体" w:cs="宋体" w:hint="eastAsia"/>
                <w:b/>
                <w:bCs/>
                <w:szCs w:val="21"/>
              </w:rPr>
              <w:t>课程学分：</w:t>
            </w:r>
            <w:r>
              <w:rPr>
                <w:rFonts w:ascii="宋体" w:hAnsi="宋体" w:cs="宋体" w:hint="eastAsia"/>
                <w:bCs/>
                <w:szCs w:val="21"/>
              </w:rPr>
              <w:t>2</w:t>
            </w:r>
          </w:p>
        </w:tc>
      </w:tr>
      <w:tr w:rsidR="00F5289E" w14:paraId="0876A7BE" w14:textId="77777777">
        <w:tc>
          <w:tcPr>
            <w:tcW w:w="1665" w:type="pct"/>
          </w:tcPr>
          <w:p w14:paraId="6AC55299" w14:textId="77777777" w:rsidR="00F5289E" w:rsidRDefault="00C91173">
            <w:pPr>
              <w:spacing w:line="360" w:lineRule="auto"/>
              <w:rPr>
                <w:rFonts w:ascii="宋体" w:hAnsi="宋体" w:cs="宋体"/>
                <w:bCs/>
                <w:szCs w:val="21"/>
              </w:rPr>
            </w:pPr>
            <w:r>
              <w:rPr>
                <w:rFonts w:ascii="宋体" w:hAnsi="宋体" w:cs="宋体" w:hint="eastAsia"/>
                <w:b/>
                <w:bCs/>
                <w:szCs w:val="21"/>
              </w:rPr>
              <w:t>主撰人：</w:t>
            </w:r>
            <w:r>
              <w:rPr>
                <w:rFonts w:ascii="宋体" w:hAnsi="宋体" w:hint="eastAsia"/>
                <w:bCs/>
                <w:szCs w:val="21"/>
              </w:rPr>
              <w:t>花卉栽培学课程组</w:t>
            </w:r>
          </w:p>
        </w:tc>
        <w:tc>
          <w:tcPr>
            <w:tcW w:w="1234" w:type="pct"/>
          </w:tcPr>
          <w:p w14:paraId="2EFEB70A" w14:textId="77777777" w:rsidR="00F5289E" w:rsidRDefault="00C91173">
            <w:pPr>
              <w:spacing w:line="360" w:lineRule="auto"/>
              <w:rPr>
                <w:rFonts w:ascii="宋体" w:hAnsi="宋体" w:cs="宋体"/>
                <w:b/>
                <w:bCs/>
                <w:szCs w:val="21"/>
              </w:rPr>
            </w:pPr>
            <w:r>
              <w:rPr>
                <w:rFonts w:ascii="宋体" w:hAnsi="宋体" w:cs="宋体" w:hint="eastAsia"/>
                <w:b/>
                <w:bCs/>
                <w:szCs w:val="21"/>
              </w:rPr>
              <w:t>审核人：</w:t>
            </w:r>
            <w:r>
              <w:rPr>
                <w:rFonts w:ascii="宋体" w:hAnsi="宋体" w:cs="宋体" w:hint="eastAsia"/>
                <w:bCs/>
                <w:szCs w:val="21"/>
              </w:rPr>
              <w:t>薛东齐</w:t>
            </w:r>
          </w:p>
        </w:tc>
        <w:tc>
          <w:tcPr>
            <w:tcW w:w="2100" w:type="pct"/>
          </w:tcPr>
          <w:p w14:paraId="7CC0B898" w14:textId="77777777" w:rsidR="00F5289E" w:rsidRDefault="00C91173">
            <w:pPr>
              <w:spacing w:line="360" w:lineRule="auto"/>
              <w:rPr>
                <w:rFonts w:ascii="宋体" w:hAnsi="宋体" w:cs="宋体"/>
                <w:b/>
                <w:bCs/>
                <w:szCs w:val="21"/>
              </w:rPr>
            </w:pPr>
            <w:r>
              <w:rPr>
                <w:rFonts w:ascii="宋体" w:hAnsi="宋体" w:cs="宋体" w:hint="eastAsia"/>
                <w:b/>
                <w:bCs/>
                <w:szCs w:val="21"/>
              </w:rPr>
              <w:t>大纲制定（修订）日期：</w:t>
            </w:r>
            <w:r>
              <w:rPr>
                <w:rFonts w:ascii="宋体" w:hAnsi="宋体" w:cs="宋体" w:hint="eastAsia"/>
                <w:bCs/>
                <w:szCs w:val="21"/>
              </w:rPr>
              <w:t>202</w:t>
            </w:r>
            <w:r w:rsidR="001B3040">
              <w:rPr>
                <w:rFonts w:ascii="宋体" w:hAnsi="宋体" w:cs="宋体"/>
                <w:bCs/>
                <w:szCs w:val="21"/>
              </w:rPr>
              <w:t>3.05</w:t>
            </w:r>
          </w:p>
        </w:tc>
      </w:tr>
    </w:tbl>
    <w:p w14:paraId="4B0DD5B3" w14:textId="77777777" w:rsidR="00F5289E" w:rsidRDefault="00C91173">
      <w:pPr>
        <w:pStyle w:val="a9"/>
        <w:spacing w:line="360" w:lineRule="auto"/>
        <w:rPr>
          <w:b/>
          <w:bCs/>
        </w:rPr>
      </w:pPr>
      <w:r>
        <w:rPr>
          <w:rFonts w:hint="eastAsia"/>
          <w:b/>
          <w:bCs/>
        </w:rPr>
        <w:t>一、课程的性质和地位</w:t>
      </w:r>
    </w:p>
    <w:p w14:paraId="6CCC1E46" w14:textId="77777777" w:rsidR="00F5289E" w:rsidRDefault="00C91173">
      <w:pPr>
        <w:spacing w:line="360" w:lineRule="auto"/>
        <w:ind w:firstLineChars="200" w:firstLine="420"/>
        <w:rPr>
          <w:rFonts w:hAnsi="宋体"/>
          <w:bCs/>
          <w:kern w:val="0"/>
          <w:szCs w:val="21"/>
        </w:rPr>
      </w:pPr>
      <w:r>
        <w:rPr>
          <w:rFonts w:hAnsi="宋体" w:hint="eastAsia"/>
          <w:bCs/>
          <w:kern w:val="0"/>
          <w:szCs w:val="21"/>
        </w:rPr>
        <w:t>本课程为园艺、设工、茶学等专业学生的选修课程，重点在于培养学生热爱自然的兴趣，拓宽专业视野，利用学习的知识为社会服务。盆景即在盆中表现自然景观的艺术品，是在盆栽和赏石基础上发展起来的，据考据这一园艺艺术的珍宝，起源于我国，它在为国争光，搞好经济，丰富文化生活，美化环境等方面都起着一起的作用，随着物质文明和精神文明建设的不断提高，盆景艺术也不断向前发展。教学任务是让学生了解盆景起源、流派与发展历史，国内外现状及发展趋势，系统地掌握树桩盆景和山水盆景的制作方法及艺术表现技艺的基本理论和技术。通过学习本课程，使学生掌握盆景艺术的基本理论及基本技法</w:t>
      </w:r>
      <w:r>
        <w:rPr>
          <w:rFonts w:hAnsi="宋体" w:hint="eastAsia"/>
          <w:bCs/>
          <w:kern w:val="0"/>
          <w:szCs w:val="21"/>
        </w:rPr>
        <w:t>,</w:t>
      </w:r>
      <w:r>
        <w:rPr>
          <w:rFonts w:hAnsi="宋体" w:hint="eastAsia"/>
          <w:bCs/>
          <w:kern w:val="0"/>
          <w:szCs w:val="21"/>
        </w:rPr>
        <w:t>并能利用基本知识指导实际操作。</w:t>
      </w:r>
    </w:p>
    <w:p w14:paraId="6DB252FF" w14:textId="77777777" w:rsidR="00F5289E" w:rsidRDefault="00C91173">
      <w:pPr>
        <w:spacing w:line="360" w:lineRule="auto"/>
        <w:rPr>
          <w:rFonts w:ascii="宋体" w:hAnsi="宋体" w:cs="宋体"/>
          <w:b/>
          <w:bCs/>
          <w:kern w:val="0"/>
          <w:szCs w:val="21"/>
        </w:rPr>
      </w:pPr>
      <w:r>
        <w:rPr>
          <w:rFonts w:ascii="宋体" w:hAnsi="宋体" w:cs="宋体" w:hint="eastAsia"/>
          <w:b/>
          <w:bCs/>
          <w:kern w:val="0"/>
          <w:szCs w:val="21"/>
        </w:rPr>
        <w:t>二、理论教学部分的考核目标</w:t>
      </w:r>
    </w:p>
    <w:p w14:paraId="6D26EC4E" w14:textId="77777777" w:rsidR="00F5289E" w:rsidRDefault="00C91173">
      <w:pPr>
        <w:spacing w:line="360" w:lineRule="auto"/>
        <w:ind w:firstLineChars="200" w:firstLine="420"/>
        <w:rPr>
          <w:rFonts w:ascii="宋体" w:hAnsi="宋体" w:cs="宋体"/>
          <w:kern w:val="0"/>
          <w:szCs w:val="21"/>
        </w:rPr>
      </w:pPr>
      <w:r>
        <w:rPr>
          <w:rFonts w:ascii="宋体" w:hAnsi="宋体" w:cs="宋体" w:hint="eastAsia"/>
          <w:szCs w:val="21"/>
        </w:rPr>
        <w:t>通过系统的教学使学生能够掌握盆景的制作原理及制作技艺，盆景的养护及管理方式及方法。内容尽可能反映出该学科的国内外最新发展态势。</w:t>
      </w:r>
    </w:p>
    <w:p w14:paraId="09446D4B" w14:textId="77777777" w:rsidR="00F5289E" w:rsidRDefault="00C91173">
      <w:pPr>
        <w:spacing w:line="360" w:lineRule="auto"/>
        <w:jc w:val="center"/>
        <w:rPr>
          <w:rFonts w:ascii="宋体" w:hAnsi="宋体" w:cs="宋体"/>
          <w:b/>
          <w:bCs/>
          <w:szCs w:val="21"/>
        </w:rPr>
      </w:pPr>
      <w:r>
        <w:rPr>
          <w:rFonts w:ascii="宋体" w:hAnsi="宋体" w:cs="宋体" w:hint="eastAsia"/>
          <w:b/>
        </w:rPr>
        <w:t xml:space="preserve">第一章  </w:t>
      </w:r>
      <w:r>
        <w:rPr>
          <w:rFonts w:ascii="宋体" w:hAnsi="宋体" w:cs="宋体" w:hint="eastAsia"/>
          <w:b/>
          <w:bCs/>
          <w:szCs w:val="21"/>
        </w:rPr>
        <w:t>中国盆景史</w:t>
      </w:r>
    </w:p>
    <w:p w14:paraId="21217A97" w14:textId="77777777" w:rsidR="00F5289E" w:rsidRDefault="00C91173">
      <w:pPr>
        <w:snapToGrid w:val="0"/>
        <w:spacing w:line="360" w:lineRule="auto"/>
        <w:rPr>
          <w:rFonts w:ascii="宋体" w:hAnsi="宋体" w:cs="宋体"/>
          <w:b/>
          <w:szCs w:val="21"/>
        </w:rPr>
      </w:pPr>
      <w:r>
        <w:rPr>
          <w:rFonts w:ascii="宋体" w:hAnsi="宋体" w:cs="宋体" w:hint="eastAsia"/>
          <w:b/>
          <w:szCs w:val="21"/>
        </w:rPr>
        <w:t>（一）学习目标</w:t>
      </w:r>
    </w:p>
    <w:p w14:paraId="1C68AA01"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1．</w:t>
      </w:r>
      <w:r>
        <w:rPr>
          <w:rFonts w:ascii="宋体" w:hAnsi="宋体" w:cs="宋体" w:hint="eastAsia"/>
          <w:b/>
          <w:bCs/>
          <w:szCs w:val="21"/>
        </w:rPr>
        <w:t>一般了解：</w:t>
      </w:r>
      <w:r>
        <w:rPr>
          <w:rFonts w:ascii="宋体" w:hAnsi="宋体" w:cs="宋体" w:hint="eastAsia"/>
          <w:bCs/>
          <w:szCs w:val="21"/>
        </w:rPr>
        <w:t>中国盆景史的意义、关于盆景起源的几种学说</w:t>
      </w:r>
      <w:r>
        <w:rPr>
          <w:rFonts w:ascii="宋体" w:hAnsi="宋体" w:cs="宋体" w:hint="eastAsia"/>
          <w:szCs w:val="21"/>
        </w:rPr>
        <w:t>。</w:t>
      </w:r>
    </w:p>
    <w:p w14:paraId="764EB636"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2．</w:t>
      </w:r>
      <w:r>
        <w:rPr>
          <w:rFonts w:ascii="宋体" w:hAnsi="宋体" w:cs="宋体" w:hint="eastAsia"/>
          <w:b/>
          <w:bCs/>
          <w:szCs w:val="21"/>
        </w:rPr>
        <w:t>一般掌握：</w:t>
      </w:r>
      <w:r>
        <w:rPr>
          <w:rFonts w:ascii="宋体" w:hAnsi="宋体" w:cs="宋体" w:hint="eastAsia"/>
          <w:szCs w:val="21"/>
        </w:rPr>
        <w:t>近代盆景史略</w:t>
      </w:r>
      <w:r>
        <w:rPr>
          <w:rFonts w:ascii="宋体" w:hAnsi="宋体" w:cs="宋体" w:hint="eastAsia"/>
          <w:bCs/>
          <w:szCs w:val="21"/>
        </w:rPr>
        <w:t>、中国盆景通过日本传向西方、现代盆景简史及盆景著述与期刊</w:t>
      </w:r>
      <w:r>
        <w:rPr>
          <w:rFonts w:ascii="宋体" w:hAnsi="宋体" w:cs="宋体" w:hint="eastAsia"/>
          <w:szCs w:val="21"/>
        </w:rPr>
        <w:t>。</w:t>
      </w:r>
    </w:p>
    <w:p w14:paraId="44B12B41"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3．</w:t>
      </w:r>
      <w:r>
        <w:rPr>
          <w:rFonts w:ascii="宋体" w:hAnsi="宋体" w:cs="宋体" w:hint="eastAsia"/>
          <w:b/>
          <w:bCs/>
          <w:szCs w:val="21"/>
        </w:rPr>
        <w:t>熟练掌握：</w:t>
      </w:r>
      <w:r>
        <w:rPr>
          <w:rFonts w:ascii="宋体" w:hAnsi="宋体" w:cs="宋体" w:hint="eastAsia"/>
          <w:bCs/>
          <w:szCs w:val="21"/>
        </w:rPr>
        <w:t>新石器时期草本盆栽与夏商石玩、汉代木本盆栽与缶景、水盆景起源、唐代盆栽、盆池、小滩及赏石、宋代盆景、盆玩、盆山、明清盆景。</w:t>
      </w:r>
    </w:p>
    <w:p w14:paraId="5BD53D58" w14:textId="77777777" w:rsidR="00F5289E" w:rsidRDefault="00C91173">
      <w:pPr>
        <w:spacing w:line="360" w:lineRule="auto"/>
        <w:rPr>
          <w:rFonts w:ascii="宋体" w:hAnsi="宋体" w:cs="宋体"/>
          <w:b/>
          <w:szCs w:val="21"/>
        </w:rPr>
      </w:pPr>
      <w:r>
        <w:rPr>
          <w:rFonts w:ascii="宋体" w:hAnsi="宋体" w:cs="宋体" w:hint="eastAsia"/>
          <w:b/>
          <w:szCs w:val="21"/>
        </w:rPr>
        <w:t>（二）考核内容</w:t>
      </w:r>
    </w:p>
    <w:p w14:paraId="1E9F45EB" w14:textId="77777777" w:rsidR="00F5289E" w:rsidRDefault="00C91173">
      <w:pPr>
        <w:spacing w:line="360" w:lineRule="auto"/>
        <w:ind w:firstLine="420"/>
        <w:rPr>
          <w:rFonts w:ascii="宋体" w:hAnsi="宋体" w:cs="宋体"/>
          <w:szCs w:val="21"/>
        </w:rPr>
      </w:pPr>
      <w:r>
        <w:rPr>
          <w:rFonts w:ascii="宋体" w:hAnsi="宋体" w:cs="宋体" w:hint="eastAsia"/>
          <w:szCs w:val="21"/>
        </w:rPr>
        <w:t>盆景发展的几个重大历史飞越、各时期盆景发展的代表作。</w:t>
      </w:r>
    </w:p>
    <w:p w14:paraId="5F49FFE4"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34EABE85"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bCs/>
          <w:szCs w:val="21"/>
        </w:rPr>
        <w:t>盆玩、盆山、盆池、小滩及赏石</w:t>
      </w:r>
      <w:r>
        <w:rPr>
          <w:rFonts w:ascii="宋体" w:hAnsi="宋体" w:cs="宋体" w:hint="eastAsia"/>
          <w:szCs w:val="21"/>
        </w:rPr>
        <w:t>。</w:t>
      </w:r>
    </w:p>
    <w:p w14:paraId="2C9BD55A"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bCs/>
          <w:szCs w:val="21"/>
        </w:rPr>
        <w:t>中国盆景史的意义、关于盆景起源的几种学说</w:t>
      </w:r>
      <w:r>
        <w:rPr>
          <w:rFonts w:ascii="宋体" w:hAnsi="宋体" w:cs="宋体" w:hint="eastAsia"/>
          <w:szCs w:val="21"/>
        </w:rPr>
        <w:t>。</w:t>
      </w:r>
    </w:p>
    <w:p w14:paraId="715499C9"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简单应用：</w:t>
      </w:r>
      <w:r>
        <w:rPr>
          <w:rFonts w:ascii="宋体" w:hAnsi="宋体" w:cs="宋体" w:hint="eastAsia"/>
          <w:bCs/>
          <w:szCs w:val="21"/>
        </w:rPr>
        <w:t>新石器时期草本盆栽与夏商石玩、汉代木本盆栽与缶景、水盆景起源、唐代盆栽、</w:t>
      </w:r>
      <w:r>
        <w:rPr>
          <w:rFonts w:ascii="宋体" w:hAnsi="宋体" w:cs="宋体" w:hint="eastAsia"/>
          <w:bCs/>
          <w:szCs w:val="21"/>
        </w:rPr>
        <w:lastRenderedPageBreak/>
        <w:t>宋代盆景、元代些子景、明清盆景。</w:t>
      </w:r>
    </w:p>
    <w:p w14:paraId="559CA7C8"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各时期盆景发展的代表作。</w:t>
      </w:r>
    </w:p>
    <w:p w14:paraId="75DD95EB"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5.综合</w:t>
      </w:r>
      <w:r>
        <w:rPr>
          <w:rFonts w:ascii="宋体" w:hAnsi="宋体" w:cs="宋体" w:hint="eastAsia"/>
          <w:szCs w:val="21"/>
        </w:rPr>
        <w:t>：</w:t>
      </w:r>
      <w:r>
        <w:rPr>
          <w:rFonts w:ascii="宋体" w:hAnsi="宋体" w:cs="宋体" w:hint="eastAsia"/>
          <w:bCs/>
          <w:szCs w:val="21"/>
        </w:rPr>
        <w:t>盆景飞跃期的条件</w:t>
      </w:r>
    </w:p>
    <w:p w14:paraId="50CD58A6"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bCs/>
          <w:szCs w:val="21"/>
        </w:rPr>
        <w:t>盆景的发展历程。</w:t>
      </w:r>
    </w:p>
    <w:p w14:paraId="70CEB0F1"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第二章  中国盆景分类</w:t>
      </w:r>
    </w:p>
    <w:p w14:paraId="4467092F"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3FD81ED3" w14:textId="77777777" w:rsidR="00F5289E" w:rsidRDefault="00C91173">
      <w:pPr>
        <w:spacing w:line="360" w:lineRule="auto"/>
        <w:ind w:firstLineChars="200" w:firstLine="420"/>
        <w:rPr>
          <w:rFonts w:ascii="宋体" w:hAnsi="宋体" w:cs="宋体"/>
          <w:bCs/>
          <w:szCs w:val="21"/>
        </w:rPr>
      </w:pPr>
      <w:r>
        <w:rPr>
          <w:rFonts w:ascii="宋体" w:hAnsi="宋体" w:cs="宋体" w:hint="eastAsia"/>
          <w:szCs w:val="21"/>
        </w:rPr>
        <w:t>通过对“中国盆景分类”部分的学习，使同学们了解盆景分类方法，掌握各类型盆景的特点。</w:t>
      </w:r>
    </w:p>
    <w:p w14:paraId="61235AD1"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bCs/>
          <w:szCs w:val="21"/>
        </w:rPr>
        <w:t>分类法总述</w:t>
      </w:r>
      <w:r>
        <w:rPr>
          <w:rFonts w:ascii="宋体" w:hAnsi="宋体" w:cs="宋体" w:hint="eastAsia"/>
          <w:szCs w:val="21"/>
        </w:rPr>
        <w:t>。</w:t>
      </w:r>
    </w:p>
    <w:p w14:paraId="245FFFC9"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2．一般掌握：</w:t>
      </w:r>
      <w:r>
        <w:rPr>
          <w:rFonts w:ascii="宋体" w:hAnsi="宋体" w:cs="宋体" w:hint="eastAsia"/>
          <w:bCs/>
          <w:szCs w:val="21"/>
        </w:rPr>
        <w:t>系统分类</w:t>
      </w:r>
      <w:r>
        <w:rPr>
          <w:rFonts w:ascii="宋体" w:hAnsi="宋体" w:cs="宋体" w:hint="eastAsia"/>
          <w:szCs w:val="21"/>
        </w:rPr>
        <w:t>方法。</w:t>
      </w:r>
    </w:p>
    <w:p w14:paraId="11E47F2A"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3．熟练掌握：</w:t>
      </w:r>
      <w:r>
        <w:rPr>
          <w:rFonts w:ascii="宋体" w:hAnsi="宋体" w:cs="宋体" w:hint="eastAsia"/>
          <w:bCs/>
          <w:szCs w:val="21"/>
        </w:rPr>
        <w:t>各类型盆景简介</w:t>
      </w:r>
      <w:r>
        <w:rPr>
          <w:rFonts w:ascii="宋体" w:hAnsi="宋体" w:cs="宋体" w:hint="eastAsia"/>
          <w:szCs w:val="21"/>
        </w:rPr>
        <w:t>。</w:t>
      </w:r>
    </w:p>
    <w:p w14:paraId="05EF2A21" w14:textId="77777777" w:rsidR="00F5289E" w:rsidRDefault="00C91173">
      <w:pPr>
        <w:spacing w:line="360" w:lineRule="auto"/>
        <w:rPr>
          <w:rFonts w:ascii="宋体" w:hAnsi="宋体" w:cs="宋体"/>
          <w:b/>
          <w:szCs w:val="21"/>
        </w:rPr>
      </w:pPr>
      <w:r>
        <w:rPr>
          <w:rFonts w:ascii="宋体" w:hAnsi="宋体" w:cs="宋体" w:hint="eastAsia"/>
          <w:b/>
          <w:szCs w:val="21"/>
        </w:rPr>
        <w:t>（二）考核内容</w:t>
      </w:r>
    </w:p>
    <w:p w14:paraId="432FEC7C"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系统分类法及各类型盆景的特点。</w:t>
      </w:r>
    </w:p>
    <w:p w14:paraId="2090293D"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558ADAFB"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szCs w:val="21"/>
        </w:rPr>
        <w:t>盆景实用分类。</w:t>
      </w:r>
    </w:p>
    <w:p w14:paraId="4AFFB682"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bCs/>
          <w:szCs w:val="21"/>
        </w:rPr>
        <w:t>系统分类</w:t>
      </w:r>
      <w:r>
        <w:rPr>
          <w:rFonts w:ascii="宋体" w:hAnsi="宋体" w:cs="宋体" w:hint="eastAsia"/>
          <w:szCs w:val="21"/>
        </w:rPr>
        <w:t>方法。</w:t>
      </w:r>
    </w:p>
    <w:p w14:paraId="4F098593"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简单应用：</w:t>
      </w:r>
      <w:r>
        <w:rPr>
          <w:rFonts w:ascii="宋体" w:hAnsi="宋体" w:cs="宋体" w:hint="eastAsia"/>
          <w:bCs/>
          <w:szCs w:val="21"/>
        </w:rPr>
        <w:t>各类型盆景形式与表现</w:t>
      </w:r>
      <w:r>
        <w:rPr>
          <w:rFonts w:ascii="宋体" w:hAnsi="宋体" w:cs="宋体" w:hint="eastAsia"/>
          <w:szCs w:val="21"/>
        </w:rPr>
        <w:t>。</w:t>
      </w:r>
    </w:p>
    <w:p w14:paraId="3B5624E8"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4.分析：</w:t>
      </w:r>
      <w:r>
        <w:rPr>
          <w:rFonts w:ascii="宋体" w:hAnsi="宋体" w:cs="宋体" w:hint="eastAsia"/>
          <w:bCs/>
          <w:szCs w:val="21"/>
        </w:rPr>
        <w:t>不同类型盆景的差异与统一。</w:t>
      </w:r>
    </w:p>
    <w:p w14:paraId="72D29D36"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5.综合</w:t>
      </w:r>
      <w:r>
        <w:rPr>
          <w:rFonts w:ascii="宋体" w:hAnsi="宋体" w:cs="宋体" w:hint="eastAsia"/>
          <w:szCs w:val="21"/>
        </w:rPr>
        <w:t>：</w:t>
      </w:r>
      <w:r>
        <w:rPr>
          <w:rFonts w:ascii="宋体" w:hAnsi="宋体" w:cs="宋体" w:hint="eastAsia"/>
          <w:bCs/>
          <w:szCs w:val="21"/>
        </w:rPr>
        <w:t>盆景分类的必要性。</w:t>
      </w:r>
    </w:p>
    <w:p w14:paraId="14E62505"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bCs/>
          <w:szCs w:val="21"/>
        </w:rPr>
        <w:t>盆景分类的科学性。</w:t>
      </w:r>
    </w:p>
    <w:p w14:paraId="5C26E2CB"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第三章  盆景风格及风格类型和流派</w:t>
      </w:r>
    </w:p>
    <w:p w14:paraId="5AD76581"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145DE4F3" w14:textId="77777777" w:rsidR="00F5289E" w:rsidRDefault="00C91173">
      <w:pPr>
        <w:spacing w:line="360" w:lineRule="auto"/>
        <w:ind w:firstLineChars="200" w:firstLine="420"/>
        <w:rPr>
          <w:rFonts w:ascii="宋体" w:hAnsi="宋体" w:cs="宋体"/>
          <w:bCs/>
          <w:szCs w:val="21"/>
        </w:rPr>
      </w:pPr>
      <w:r>
        <w:rPr>
          <w:rFonts w:ascii="宋体" w:hAnsi="宋体" w:cs="宋体" w:hint="eastAsia"/>
          <w:szCs w:val="21"/>
        </w:rPr>
        <w:t>通过对“盆景风格及风格类型—流派”部分的学习，使同学们了解盆景流派的形成与发展，掌握盆景流派的概念、划分、命名及属性以及</w:t>
      </w:r>
      <w:r>
        <w:rPr>
          <w:rFonts w:ascii="宋体" w:hAnsi="宋体" w:cs="宋体" w:hint="eastAsia"/>
          <w:bCs/>
          <w:szCs w:val="21"/>
        </w:rPr>
        <w:t>各流派造型技艺特点</w:t>
      </w:r>
      <w:r>
        <w:rPr>
          <w:rFonts w:ascii="宋体" w:hAnsi="宋体" w:cs="宋体" w:hint="eastAsia"/>
          <w:szCs w:val="21"/>
        </w:rPr>
        <w:t>。</w:t>
      </w:r>
    </w:p>
    <w:p w14:paraId="71250502"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szCs w:val="21"/>
        </w:rPr>
        <w:t>盆景流派的概念。</w:t>
      </w:r>
    </w:p>
    <w:p w14:paraId="343E098D"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2．一般掌握：</w:t>
      </w:r>
      <w:r>
        <w:rPr>
          <w:rFonts w:ascii="宋体" w:hAnsi="宋体" w:cs="宋体" w:hint="eastAsia"/>
          <w:szCs w:val="21"/>
        </w:rPr>
        <w:t>盆景流派的划分、命名及属性。</w:t>
      </w:r>
    </w:p>
    <w:p w14:paraId="4B012862"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3．熟练掌握：</w:t>
      </w:r>
      <w:r>
        <w:rPr>
          <w:rFonts w:ascii="宋体" w:hAnsi="宋体" w:cs="宋体" w:hint="eastAsia"/>
          <w:szCs w:val="21"/>
        </w:rPr>
        <w:t>盆景流派的形成与发展</w:t>
      </w:r>
      <w:r>
        <w:rPr>
          <w:rFonts w:ascii="宋体" w:hAnsi="宋体" w:cs="宋体" w:hint="eastAsia"/>
          <w:bCs/>
          <w:szCs w:val="21"/>
        </w:rPr>
        <w:t>。</w:t>
      </w:r>
    </w:p>
    <w:p w14:paraId="0677205B" w14:textId="77777777" w:rsidR="00F5289E" w:rsidRDefault="00C91173">
      <w:pPr>
        <w:spacing w:line="360" w:lineRule="auto"/>
        <w:rPr>
          <w:rFonts w:ascii="宋体" w:hAnsi="宋体" w:cs="宋体"/>
          <w:b/>
          <w:szCs w:val="21"/>
        </w:rPr>
      </w:pPr>
      <w:r>
        <w:rPr>
          <w:rFonts w:ascii="宋体" w:hAnsi="宋体" w:cs="宋体" w:hint="eastAsia"/>
          <w:b/>
          <w:szCs w:val="21"/>
        </w:rPr>
        <w:t>（二）考核内容</w:t>
      </w:r>
    </w:p>
    <w:p w14:paraId="2320F3FD" w14:textId="77777777" w:rsidR="00F5289E" w:rsidRDefault="00C91173">
      <w:pPr>
        <w:spacing w:line="360" w:lineRule="auto"/>
        <w:ind w:firstLine="420"/>
        <w:rPr>
          <w:rFonts w:ascii="宋体" w:hAnsi="宋体" w:cs="宋体"/>
          <w:szCs w:val="21"/>
        </w:rPr>
      </w:pPr>
      <w:r>
        <w:rPr>
          <w:rFonts w:ascii="宋体" w:hAnsi="宋体" w:cs="宋体" w:hint="eastAsia"/>
          <w:szCs w:val="21"/>
        </w:rPr>
        <w:t>盆景流派的概念、划分、命名及属性以及</w:t>
      </w:r>
      <w:r>
        <w:rPr>
          <w:rFonts w:ascii="宋体" w:hAnsi="宋体" w:cs="宋体" w:hint="eastAsia"/>
          <w:bCs/>
          <w:szCs w:val="21"/>
        </w:rPr>
        <w:t>各流派造型技艺特点</w:t>
      </w:r>
      <w:r>
        <w:rPr>
          <w:rFonts w:ascii="宋体" w:hAnsi="宋体" w:cs="宋体" w:hint="eastAsia"/>
          <w:szCs w:val="21"/>
        </w:rPr>
        <w:t>。</w:t>
      </w:r>
    </w:p>
    <w:p w14:paraId="423CFBD7"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38963329"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lastRenderedPageBreak/>
        <w:t>1</w:t>
      </w:r>
      <w:r>
        <w:rPr>
          <w:rFonts w:ascii="宋体" w:hAnsi="宋体" w:cs="宋体" w:hint="eastAsia"/>
          <w:b/>
          <w:szCs w:val="21"/>
        </w:rPr>
        <w:t>.</w:t>
      </w:r>
      <w:r>
        <w:rPr>
          <w:rFonts w:ascii="宋体" w:hAnsi="宋体" w:cs="宋体" w:hint="eastAsia"/>
          <w:b/>
          <w:bCs/>
          <w:szCs w:val="21"/>
        </w:rPr>
        <w:t>识记：</w:t>
      </w:r>
      <w:r>
        <w:rPr>
          <w:rFonts w:ascii="宋体" w:hAnsi="宋体" w:cs="宋体" w:hint="eastAsia"/>
          <w:bCs/>
          <w:szCs w:val="21"/>
        </w:rPr>
        <w:t>8大流派的艺术特点</w:t>
      </w:r>
      <w:r>
        <w:rPr>
          <w:rFonts w:ascii="宋体" w:hAnsi="宋体" w:cs="宋体" w:hint="eastAsia"/>
          <w:szCs w:val="21"/>
        </w:rPr>
        <w:t>。</w:t>
      </w:r>
    </w:p>
    <w:p w14:paraId="75356D61"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szCs w:val="21"/>
        </w:rPr>
        <w:t>盆景流派的划分、命名及属性。</w:t>
      </w:r>
    </w:p>
    <w:p w14:paraId="1DB21901"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szCs w:val="21"/>
        </w:rPr>
        <w:t>盆景流派的形成</w:t>
      </w:r>
      <w:r>
        <w:rPr>
          <w:rFonts w:ascii="宋体" w:hAnsi="宋体" w:cs="宋体" w:hint="eastAsia"/>
          <w:bCs/>
          <w:szCs w:val="21"/>
        </w:rPr>
        <w:t>。</w:t>
      </w:r>
    </w:p>
    <w:p w14:paraId="5475EB17"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盆景流派的历史与发展的代表作。</w:t>
      </w:r>
    </w:p>
    <w:p w14:paraId="4AC8C63E" w14:textId="77777777" w:rsidR="00F5289E" w:rsidRDefault="00C91173">
      <w:pPr>
        <w:spacing w:line="360" w:lineRule="auto"/>
        <w:ind w:firstLineChars="200" w:firstLine="422"/>
        <w:rPr>
          <w:rFonts w:ascii="宋体" w:hAnsi="宋体" w:cs="宋体"/>
          <w:bCs/>
          <w:szCs w:val="21"/>
        </w:rPr>
      </w:pPr>
      <w:r>
        <w:rPr>
          <w:rFonts w:ascii="宋体" w:hAnsi="宋体" w:cs="宋体" w:hint="eastAsia"/>
          <w:b/>
          <w:szCs w:val="21"/>
        </w:rPr>
        <w:t>5.综合</w:t>
      </w:r>
      <w:r>
        <w:rPr>
          <w:rFonts w:ascii="宋体" w:hAnsi="宋体" w:cs="宋体" w:hint="eastAsia"/>
          <w:szCs w:val="21"/>
        </w:rPr>
        <w:t>：</w:t>
      </w:r>
      <w:r>
        <w:rPr>
          <w:rFonts w:ascii="宋体" w:hAnsi="宋体" w:cs="宋体" w:hint="eastAsia"/>
          <w:bCs/>
          <w:szCs w:val="21"/>
        </w:rPr>
        <w:t>盆景流派的现状。</w:t>
      </w:r>
    </w:p>
    <w:p w14:paraId="136A2027"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盆景流派的传承与发展</w:t>
      </w:r>
      <w:r>
        <w:rPr>
          <w:rFonts w:ascii="宋体" w:hAnsi="宋体" w:cs="宋体" w:hint="eastAsia"/>
          <w:bCs/>
          <w:szCs w:val="21"/>
        </w:rPr>
        <w:t>。</w:t>
      </w:r>
    </w:p>
    <w:p w14:paraId="696033A9"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第四章  盆景美学</w:t>
      </w:r>
    </w:p>
    <w:p w14:paraId="2AAABCC7"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7318E4B9" w14:textId="77777777" w:rsidR="00F5289E" w:rsidRDefault="00C91173">
      <w:pPr>
        <w:spacing w:line="360" w:lineRule="auto"/>
        <w:ind w:firstLineChars="200" w:firstLine="420"/>
        <w:rPr>
          <w:rFonts w:ascii="宋体" w:hAnsi="宋体" w:cs="宋体"/>
          <w:bCs/>
          <w:szCs w:val="21"/>
        </w:rPr>
      </w:pPr>
      <w:r>
        <w:rPr>
          <w:rFonts w:ascii="宋体" w:hAnsi="宋体" w:cs="宋体" w:hint="eastAsia"/>
          <w:szCs w:val="21"/>
        </w:rPr>
        <w:t>通过对“盆景美学”部分的学习，使同学们了解盆景美学的概念、盆景艺术的特征、盆景美的形态以及盆景与画论、诗词的关系，掌握盆景的形式与内容、盆景艺术风格与流派。</w:t>
      </w:r>
    </w:p>
    <w:p w14:paraId="1D0B8385"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bCs/>
          <w:szCs w:val="21"/>
        </w:rPr>
        <w:t>盆景美学的概念、盆景艺术活动概观</w:t>
      </w:r>
      <w:r>
        <w:rPr>
          <w:rFonts w:ascii="宋体" w:hAnsi="宋体" w:cs="宋体" w:hint="eastAsia"/>
          <w:szCs w:val="21"/>
        </w:rPr>
        <w:t>。</w:t>
      </w:r>
    </w:p>
    <w:p w14:paraId="5DC157F6"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2．一般掌握：</w:t>
      </w:r>
      <w:r>
        <w:rPr>
          <w:rFonts w:ascii="宋体" w:hAnsi="宋体" w:cs="宋体" w:hint="eastAsia"/>
          <w:bCs/>
          <w:szCs w:val="21"/>
        </w:rPr>
        <w:t>盆景与画论、盆景与诗词。</w:t>
      </w:r>
    </w:p>
    <w:p w14:paraId="5D585F9E"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3．熟练掌握：</w:t>
      </w:r>
      <w:r>
        <w:rPr>
          <w:rFonts w:ascii="宋体" w:hAnsi="宋体" w:cs="宋体" w:hint="eastAsia"/>
        </w:rPr>
        <w:t>盆景艺术的特征、盆景美的形态、盆景形式美法则、盆景意境美原则、盆景的形式与内容。</w:t>
      </w:r>
    </w:p>
    <w:p w14:paraId="225915C7" w14:textId="77777777" w:rsidR="00F5289E" w:rsidRDefault="00C91173">
      <w:pPr>
        <w:snapToGrid w:val="0"/>
        <w:spacing w:line="360" w:lineRule="auto"/>
        <w:rPr>
          <w:rFonts w:ascii="宋体" w:hAnsi="宋体" w:cs="宋体"/>
          <w:szCs w:val="21"/>
        </w:rPr>
      </w:pPr>
      <w:r>
        <w:rPr>
          <w:rFonts w:ascii="宋体" w:hAnsi="宋体" w:cs="宋体" w:hint="eastAsia"/>
          <w:b/>
          <w:szCs w:val="21"/>
        </w:rPr>
        <w:t>（二）考核内容</w:t>
      </w:r>
    </w:p>
    <w:p w14:paraId="4EA543EA"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盆景的形式与内容、盆景艺术风格与流派。</w:t>
      </w:r>
    </w:p>
    <w:p w14:paraId="352B52EE"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5A195604"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rPr>
        <w:t>盆景形式美法则、盆景意境美原则</w:t>
      </w:r>
      <w:r>
        <w:rPr>
          <w:rFonts w:ascii="宋体" w:hAnsi="宋体" w:cs="宋体" w:hint="eastAsia"/>
          <w:szCs w:val="21"/>
        </w:rPr>
        <w:t>。</w:t>
      </w:r>
    </w:p>
    <w:p w14:paraId="1905C454"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bCs/>
          <w:szCs w:val="21"/>
        </w:rPr>
        <w:t>盆景美学的概念、盆景艺术活动概观</w:t>
      </w:r>
      <w:r>
        <w:rPr>
          <w:rFonts w:ascii="宋体" w:hAnsi="宋体" w:cs="宋体" w:hint="eastAsia"/>
          <w:szCs w:val="21"/>
        </w:rPr>
        <w:t>。</w:t>
      </w:r>
    </w:p>
    <w:p w14:paraId="0D497B13"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bCs/>
          <w:szCs w:val="21"/>
        </w:rPr>
        <w:t>盆景与画论、盆景与诗词。</w:t>
      </w:r>
    </w:p>
    <w:p w14:paraId="57032FFD"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盆景的诗意。</w:t>
      </w:r>
    </w:p>
    <w:p w14:paraId="3054DD92" w14:textId="77777777" w:rsidR="00F5289E" w:rsidRDefault="00C91173">
      <w:pPr>
        <w:spacing w:line="360" w:lineRule="auto"/>
        <w:ind w:firstLineChars="200" w:firstLine="422"/>
        <w:rPr>
          <w:rFonts w:ascii="宋体" w:hAnsi="宋体" w:cs="宋体"/>
        </w:rPr>
      </w:pPr>
      <w:r>
        <w:rPr>
          <w:rFonts w:ascii="宋体" w:hAnsi="宋体" w:cs="宋体" w:hint="eastAsia"/>
          <w:b/>
          <w:szCs w:val="21"/>
        </w:rPr>
        <w:t>5.综合</w:t>
      </w:r>
      <w:r>
        <w:rPr>
          <w:rFonts w:ascii="宋体" w:hAnsi="宋体" w:cs="宋体" w:hint="eastAsia"/>
          <w:szCs w:val="21"/>
        </w:rPr>
        <w:t>：</w:t>
      </w:r>
      <w:r>
        <w:rPr>
          <w:rFonts w:ascii="宋体" w:hAnsi="宋体" w:cs="宋体" w:hint="eastAsia"/>
        </w:rPr>
        <w:t>盆景的形式与内容。</w:t>
      </w:r>
    </w:p>
    <w:p w14:paraId="42C4E9A7"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盆景的中国美</w:t>
      </w:r>
      <w:r>
        <w:rPr>
          <w:rFonts w:ascii="宋体" w:hAnsi="宋体" w:cs="宋体" w:hint="eastAsia"/>
          <w:bCs/>
          <w:szCs w:val="21"/>
        </w:rPr>
        <w:t>。</w:t>
      </w:r>
    </w:p>
    <w:p w14:paraId="17448DAD"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第五章  桩景创作</w:t>
      </w:r>
    </w:p>
    <w:p w14:paraId="3BFBEFCD"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4B2B7007" w14:textId="77777777" w:rsidR="00F5289E" w:rsidRDefault="00C91173">
      <w:pPr>
        <w:spacing w:line="360" w:lineRule="auto"/>
        <w:ind w:firstLineChars="200" w:firstLine="420"/>
        <w:rPr>
          <w:rFonts w:ascii="宋体" w:hAnsi="宋体" w:cs="宋体"/>
          <w:bCs/>
          <w:szCs w:val="21"/>
        </w:rPr>
      </w:pPr>
      <w:r>
        <w:rPr>
          <w:rFonts w:ascii="宋体" w:hAnsi="宋体" w:cs="宋体" w:hint="eastAsia"/>
          <w:szCs w:val="21"/>
        </w:rPr>
        <w:t>通过对“桩景创作”部分的学习，使同学们了解各流派造型技艺，掌握桩景制作的基本技艺，重点所讲的几种特殊造型制作的要点。</w:t>
      </w:r>
    </w:p>
    <w:p w14:paraId="5C758D3D"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szCs w:val="21"/>
        </w:rPr>
        <w:t>桩景创作</w:t>
      </w:r>
      <w:r>
        <w:rPr>
          <w:rFonts w:ascii="宋体" w:hAnsi="宋体" w:cs="宋体" w:hint="eastAsia"/>
          <w:bCs/>
          <w:szCs w:val="21"/>
        </w:rPr>
        <w:t>基本技艺</w:t>
      </w:r>
      <w:r>
        <w:rPr>
          <w:rFonts w:ascii="宋体" w:hAnsi="宋体" w:cs="宋体" w:hint="eastAsia"/>
          <w:szCs w:val="21"/>
        </w:rPr>
        <w:t>。</w:t>
      </w:r>
    </w:p>
    <w:p w14:paraId="24B84F0E"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2．一般掌握：</w:t>
      </w:r>
      <w:r>
        <w:rPr>
          <w:rFonts w:ascii="宋体" w:hAnsi="宋体" w:cs="宋体" w:hint="eastAsia"/>
          <w:bCs/>
          <w:szCs w:val="21"/>
        </w:rPr>
        <w:t>各流派造</w:t>
      </w:r>
      <w:r>
        <w:rPr>
          <w:rFonts w:ascii="宋体" w:hAnsi="宋体" w:cs="宋体" w:hint="eastAsia"/>
          <w:szCs w:val="21"/>
        </w:rPr>
        <w:t>型技艺综述。</w:t>
      </w:r>
    </w:p>
    <w:p w14:paraId="4DBD8328"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lastRenderedPageBreak/>
        <w:t>3．熟练掌握：</w:t>
      </w:r>
      <w:r>
        <w:rPr>
          <w:rFonts w:ascii="宋体" w:hAnsi="宋体" w:cs="宋体" w:hint="eastAsia"/>
          <w:szCs w:val="21"/>
        </w:rPr>
        <w:t>桩景造型制作要点。</w:t>
      </w:r>
    </w:p>
    <w:p w14:paraId="7A5D82C6" w14:textId="77777777" w:rsidR="00F5289E" w:rsidRDefault="00C91173">
      <w:pPr>
        <w:spacing w:line="360" w:lineRule="auto"/>
        <w:rPr>
          <w:rFonts w:ascii="宋体" w:hAnsi="宋体" w:cs="宋体"/>
          <w:szCs w:val="21"/>
        </w:rPr>
      </w:pPr>
      <w:r>
        <w:rPr>
          <w:rFonts w:ascii="宋体" w:hAnsi="宋体" w:cs="宋体" w:hint="eastAsia"/>
          <w:b/>
          <w:szCs w:val="21"/>
        </w:rPr>
        <w:t>（二）考核内容</w:t>
      </w:r>
    </w:p>
    <w:p w14:paraId="706EDFAF"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桩景制作的基本技艺，重点所讲的几种特殊造型制作的要点。</w:t>
      </w:r>
    </w:p>
    <w:p w14:paraId="68884338"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4E87A4EB"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bCs/>
          <w:szCs w:val="21"/>
        </w:rPr>
        <w:t>各流派造</w:t>
      </w:r>
      <w:r>
        <w:rPr>
          <w:rFonts w:ascii="宋体" w:hAnsi="宋体" w:cs="宋体" w:hint="eastAsia"/>
          <w:szCs w:val="21"/>
        </w:rPr>
        <w:t>型技艺。</w:t>
      </w:r>
    </w:p>
    <w:p w14:paraId="44CEA296"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szCs w:val="21"/>
        </w:rPr>
        <w:t>桩景制作的基本技艺流程。</w:t>
      </w:r>
    </w:p>
    <w:p w14:paraId="46403ED1"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bCs/>
          <w:szCs w:val="21"/>
        </w:rPr>
        <w:t>根据各流派造型技艺的特点进行模仿与评价。</w:t>
      </w:r>
    </w:p>
    <w:p w14:paraId="29B6A81A"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桩景制作的成本与效益。</w:t>
      </w:r>
    </w:p>
    <w:p w14:paraId="5F5BAE8E"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5.综合</w:t>
      </w:r>
      <w:r>
        <w:rPr>
          <w:rFonts w:ascii="宋体" w:hAnsi="宋体" w:cs="宋体" w:hint="eastAsia"/>
          <w:szCs w:val="21"/>
        </w:rPr>
        <w:t>：桩景制作的基本技艺应用。</w:t>
      </w:r>
    </w:p>
    <w:p w14:paraId="5B4477DE"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桩景制作市场行情</w:t>
      </w:r>
      <w:r>
        <w:rPr>
          <w:rFonts w:ascii="宋体" w:hAnsi="宋体" w:cs="宋体" w:hint="eastAsia"/>
          <w:bCs/>
          <w:szCs w:val="21"/>
        </w:rPr>
        <w:t>。</w:t>
      </w:r>
    </w:p>
    <w:p w14:paraId="6CB76A45"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第六章  山水盆景创作</w:t>
      </w:r>
    </w:p>
    <w:p w14:paraId="5374C51D"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41BAC0AD"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通过对“山水盆景创作”部分的学习，使同学们了解山水盆景制作中的相石与布局以及山水盆景的题名，掌握山水盆景的基本技艺，配置与点缀及几种特殊形式山水盆景的制作要点。</w:t>
      </w:r>
    </w:p>
    <w:p w14:paraId="347E9034"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szCs w:val="21"/>
        </w:rPr>
        <w:t>盆景题名。</w:t>
      </w:r>
    </w:p>
    <w:p w14:paraId="766EEF2F"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2．一般掌握：</w:t>
      </w:r>
      <w:r>
        <w:rPr>
          <w:rFonts w:ascii="宋体" w:hAnsi="宋体" w:cs="宋体" w:hint="eastAsia"/>
          <w:szCs w:val="21"/>
        </w:rPr>
        <w:t>山水盆景的相石与布局。</w:t>
      </w:r>
    </w:p>
    <w:p w14:paraId="18DAC52E"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3．熟练掌握：</w:t>
      </w:r>
      <w:r>
        <w:rPr>
          <w:rFonts w:ascii="宋体" w:hAnsi="宋体" w:cs="宋体" w:hint="eastAsia"/>
          <w:szCs w:val="21"/>
        </w:rPr>
        <w:t>山水盆景制作技艺、配植与点缀、几种特殊形式的山水盆景的制作要点。</w:t>
      </w:r>
    </w:p>
    <w:p w14:paraId="1BCB26CB" w14:textId="77777777" w:rsidR="00F5289E" w:rsidRDefault="00C91173">
      <w:pPr>
        <w:spacing w:line="360" w:lineRule="auto"/>
        <w:rPr>
          <w:rFonts w:ascii="宋体" w:hAnsi="宋体" w:cs="宋体"/>
          <w:szCs w:val="21"/>
        </w:rPr>
      </w:pPr>
      <w:r>
        <w:rPr>
          <w:rFonts w:ascii="宋体" w:hAnsi="宋体" w:cs="宋体" w:hint="eastAsia"/>
          <w:b/>
          <w:szCs w:val="21"/>
        </w:rPr>
        <w:t>（二）考核内容</w:t>
      </w:r>
    </w:p>
    <w:p w14:paraId="5B9BEC3F"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山水盆景的基本技艺，配置与点缀及几种特殊形式山水盆景的制作要点。</w:t>
      </w:r>
    </w:p>
    <w:p w14:paraId="07C31710"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6258830C"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bCs/>
          <w:szCs w:val="21"/>
        </w:rPr>
        <w:t>各风格造</w:t>
      </w:r>
      <w:r>
        <w:rPr>
          <w:rFonts w:ascii="宋体" w:hAnsi="宋体" w:cs="宋体" w:hint="eastAsia"/>
          <w:szCs w:val="21"/>
        </w:rPr>
        <w:t>型技艺。</w:t>
      </w:r>
    </w:p>
    <w:p w14:paraId="78A85313"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szCs w:val="21"/>
        </w:rPr>
        <w:t>山水盆景制作的基本技艺流程。</w:t>
      </w:r>
    </w:p>
    <w:p w14:paraId="6C87F96F"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bCs/>
          <w:szCs w:val="21"/>
        </w:rPr>
        <w:t>根据各风格造型技艺的特点进行模仿与评价。</w:t>
      </w:r>
    </w:p>
    <w:p w14:paraId="37790924"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山水盆景制作的成本与效益。</w:t>
      </w:r>
    </w:p>
    <w:p w14:paraId="3960809F"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5.综合</w:t>
      </w:r>
      <w:r>
        <w:rPr>
          <w:rFonts w:ascii="宋体" w:hAnsi="宋体" w:cs="宋体" w:hint="eastAsia"/>
          <w:szCs w:val="21"/>
        </w:rPr>
        <w:t>：山水盆景制作的基本技艺应用。</w:t>
      </w:r>
    </w:p>
    <w:p w14:paraId="463325BC"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山水盆景制作市场行情</w:t>
      </w:r>
      <w:r>
        <w:rPr>
          <w:rFonts w:ascii="宋体" w:hAnsi="宋体" w:cs="宋体" w:hint="eastAsia"/>
          <w:bCs/>
          <w:szCs w:val="21"/>
        </w:rPr>
        <w:t>。</w:t>
      </w:r>
    </w:p>
    <w:p w14:paraId="333B6C33" w14:textId="77777777" w:rsidR="00F5289E" w:rsidRDefault="00C91173">
      <w:pPr>
        <w:spacing w:line="360" w:lineRule="auto"/>
        <w:jc w:val="center"/>
        <w:rPr>
          <w:rFonts w:ascii="宋体" w:hAnsi="宋体" w:cs="宋体"/>
          <w:b/>
          <w:bCs/>
          <w:szCs w:val="21"/>
        </w:rPr>
      </w:pPr>
      <w:r>
        <w:rPr>
          <w:rFonts w:ascii="宋体" w:hAnsi="宋体" w:cs="宋体" w:hint="eastAsia"/>
          <w:b/>
          <w:bCs/>
          <w:szCs w:val="21"/>
        </w:rPr>
        <w:t>第七章  花草盆景创作</w:t>
      </w:r>
    </w:p>
    <w:p w14:paraId="09B29E46"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246E8A52"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通过对“花草盆景创作”部分的学习，使同学们了解花草盆景制作中的花草布局以及花草盆景</w:t>
      </w:r>
      <w:r>
        <w:rPr>
          <w:rFonts w:ascii="宋体" w:hAnsi="宋体" w:cs="宋体" w:hint="eastAsia"/>
          <w:szCs w:val="21"/>
        </w:rPr>
        <w:lastRenderedPageBreak/>
        <w:t>的题名，掌握花草盆景的基本技艺，配置与点缀及几种特殊形式花草盆景的制作要点。</w:t>
      </w:r>
    </w:p>
    <w:p w14:paraId="3FBD29AE"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szCs w:val="21"/>
        </w:rPr>
        <w:t>盆景题名。</w:t>
      </w:r>
    </w:p>
    <w:p w14:paraId="56F4D366"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2．一般掌握：</w:t>
      </w:r>
      <w:r>
        <w:rPr>
          <w:rFonts w:ascii="宋体" w:hAnsi="宋体" w:cs="宋体" w:hint="eastAsia"/>
          <w:szCs w:val="21"/>
        </w:rPr>
        <w:t>花草盆景的花草布局。</w:t>
      </w:r>
    </w:p>
    <w:p w14:paraId="095ECC12"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3．熟练掌握：</w:t>
      </w:r>
      <w:r>
        <w:rPr>
          <w:rFonts w:ascii="宋体" w:hAnsi="宋体" w:cs="宋体" w:hint="eastAsia"/>
          <w:szCs w:val="21"/>
        </w:rPr>
        <w:t>花草盆景制作技艺、配植与点缀、几种特殊形式的花草盆景的制作要点。</w:t>
      </w:r>
    </w:p>
    <w:p w14:paraId="14C7841E" w14:textId="77777777" w:rsidR="00F5289E" w:rsidRDefault="00C91173">
      <w:pPr>
        <w:spacing w:line="360" w:lineRule="auto"/>
        <w:rPr>
          <w:rFonts w:ascii="宋体" w:hAnsi="宋体" w:cs="宋体"/>
          <w:szCs w:val="21"/>
        </w:rPr>
      </w:pPr>
      <w:r>
        <w:rPr>
          <w:rFonts w:ascii="宋体" w:hAnsi="宋体" w:cs="宋体" w:hint="eastAsia"/>
          <w:b/>
          <w:szCs w:val="21"/>
        </w:rPr>
        <w:t>（二）考核内容</w:t>
      </w:r>
    </w:p>
    <w:p w14:paraId="45242181"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花草盆景制作中的花草布局以及花草盆景的题名，花草盆景的基本技艺，配置与点缀及几种特殊形式花草盆景的制作要点</w:t>
      </w:r>
    </w:p>
    <w:p w14:paraId="16262AF5"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514AAB5B"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szCs w:val="21"/>
        </w:rPr>
        <w:t>花草盆景概念。</w:t>
      </w:r>
    </w:p>
    <w:p w14:paraId="389C9E4C"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szCs w:val="21"/>
        </w:rPr>
        <w:t>花草盆景与中国画的关系。</w:t>
      </w:r>
    </w:p>
    <w:p w14:paraId="6B719416"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szCs w:val="21"/>
        </w:rPr>
        <w:t>花草盆景制作</w:t>
      </w:r>
      <w:r>
        <w:rPr>
          <w:rFonts w:ascii="宋体" w:hAnsi="宋体" w:cs="宋体" w:hint="eastAsia"/>
          <w:bCs/>
          <w:szCs w:val="21"/>
        </w:rPr>
        <w:t>。</w:t>
      </w:r>
    </w:p>
    <w:p w14:paraId="7F4AFEF5"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花草盆景制作的成本与效益。</w:t>
      </w:r>
    </w:p>
    <w:p w14:paraId="7B23FDA7"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5.综合</w:t>
      </w:r>
      <w:r>
        <w:rPr>
          <w:rFonts w:ascii="宋体" w:hAnsi="宋体" w:cs="宋体" w:hint="eastAsia"/>
          <w:szCs w:val="21"/>
        </w:rPr>
        <w:t>：花草盆景制作的基本技艺应用。</w:t>
      </w:r>
    </w:p>
    <w:p w14:paraId="2EC6EB3A"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花草盆景制作市场行情</w:t>
      </w:r>
      <w:r>
        <w:rPr>
          <w:rFonts w:ascii="宋体" w:hAnsi="宋体" w:cs="宋体" w:hint="eastAsia"/>
          <w:bCs/>
          <w:szCs w:val="21"/>
        </w:rPr>
        <w:t>。</w:t>
      </w:r>
    </w:p>
    <w:p w14:paraId="203AD7C7" w14:textId="77777777" w:rsidR="00F5289E" w:rsidRDefault="00C91173">
      <w:pPr>
        <w:spacing w:line="360" w:lineRule="auto"/>
        <w:jc w:val="center"/>
        <w:rPr>
          <w:b/>
          <w:bCs/>
        </w:rPr>
      </w:pPr>
      <w:r>
        <w:rPr>
          <w:rFonts w:ascii="宋体" w:hAnsi="宋体" w:cs="宋体" w:hint="eastAsia"/>
          <w:b/>
        </w:rPr>
        <w:t xml:space="preserve">第八章  </w:t>
      </w:r>
      <w:r>
        <w:rPr>
          <w:rFonts w:hint="eastAsia"/>
          <w:b/>
          <w:bCs/>
          <w:kern w:val="0"/>
          <w:szCs w:val="21"/>
        </w:rPr>
        <w:t>挂壁</w:t>
      </w:r>
      <w:r>
        <w:rPr>
          <w:rFonts w:hint="eastAsia"/>
          <w:b/>
          <w:bCs/>
        </w:rPr>
        <w:t>盆景创作</w:t>
      </w:r>
    </w:p>
    <w:p w14:paraId="0C74C09E" w14:textId="77777777" w:rsidR="00F5289E" w:rsidRDefault="00C91173">
      <w:pPr>
        <w:spacing w:line="360" w:lineRule="auto"/>
        <w:rPr>
          <w:rFonts w:ascii="宋体" w:hAnsi="宋体" w:cs="宋体"/>
          <w:b/>
          <w:bCs/>
          <w:szCs w:val="21"/>
        </w:rPr>
      </w:pPr>
      <w:r>
        <w:rPr>
          <w:rFonts w:ascii="宋体" w:hAnsi="宋体" w:cs="宋体" w:hint="eastAsia"/>
          <w:b/>
          <w:bCs/>
          <w:szCs w:val="21"/>
        </w:rPr>
        <w:t>（一）学习目标</w:t>
      </w:r>
    </w:p>
    <w:p w14:paraId="760E2046"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通过对“挂壁盆景创作”部分的学习，使同学们了解挂壁盆景制作中的元素布局以及挂壁盆景的题名，掌握挂壁盆景的基本技艺，配置与点缀及几种特殊形式挂壁盆景的制作要点。</w:t>
      </w:r>
    </w:p>
    <w:p w14:paraId="16F90416"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1．一般了解：</w:t>
      </w:r>
      <w:r>
        <w:rPr>
          <w:rFonts w:ascii="宋体" w:hAnsi="宋体" w:cs="宋体" w:hint="eastAsia"/>
          <w:szCs w:val="21"/>
        </w:rPr>
        <w:t>挂壁盆景题名。</w:t>
      </w:r>
    </w:p>
    <w:p w14:paraId="6A1E6DC5"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2．一般掌握：</w:t>
      </w:r>
      <w:r>
        <w:rPr>
          <w:rFonts w:ascii="宋体" w:hAnsi="宋体" w:cs="宋体" w:hint="eastAsia"/>
          <w:szCs w:val="21"/>
        </w:rPr>
        <w:t>挂壁盆景的元素布局。</w:t>
      </w:r>
    </w:p>
    <w:p w14:paraId="2C661E19"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3．熟练掌握：</w:t>
      </w:r>
      <w:r>
        <w:rPr>
          <w:rFonts w:ascii="宋体" w:hAnsi="宋体" w:cs="宋体" w:hint="eastAsia"/>
          <w:szCs w:val="21"/>
        </w:rPr>
        <w:t>挂壁盆景制作技艺、配植与点缀、几种特殊形式的挂壁盆景的制作要点。</w:t>
      </w:r>
    </w:p>
    <w:p w14:paraId="649D5E66" w14:textId="77777777" w:rsidR="00F5289E" w:rsidRDefault="00C91173">
      <w:pPr>
        <w:spacing w:line="360" w:lineRule="auto"/>
        <w:rPr>
          <w:rFonts w:ascii="宋体" w:hAnsi="宋体" w:cs="宋体"/>
          <w:szCs w:val="21"/>
        </w:rPr>
      </w:pPr>
      <w:r>
        <w:rPr>
          <w:rFonts w:ascii="宋体" w:hAnsi="宋体" w:cs="宋体" w:hint="eastAsia"/>
          <w:b/>
          <w:szCs w:val="21"/>
        </w:rPr>
        <w:t>（二）考核内容</w:t>
      </w:r>
    </w:p>
    <w:p w14:paraId="043B6D8A" w14:textId="77777777" w:rsidR="00F5289E" w:rsidRDefault="00C91173">
      <w:pPr>
        <w:spacing w:line="360" w:lineRule="auto"/>
        <w:ind w:firstLineChars="200" w:firstLine="420"/>
        <w:rPr>
          <w:rFonts w:ascii="宋体" w:hAnsi="宋体" w:cs="宋体"/>
          <w:szCs w:val="21"/>
        </w:rPr>
      </w:pPr>
      <w:r>
        <w:rPr>
          <w:rFonts w:ascii="宋体" w:hAnsi="宋体" w:cs="宋体" w:hint="eastAsia"/>
          <w:szCs w:val="21"/>
        </w:rPr>
        <w:t>挂壁盆景制作中的元素布局以及挂壁盆景的题名，挂壁盆景的基本技艺，配置与点缀及几种特殊形式挂壁盆景的制作要点</w:t>
      </w:r>
    </w:p>
    <w:p w14:paraId="76E5EB9F" w14:textId="77777777" w:rsidR="00F5289E" w:rsidRDefault="00C91173">
      <w:pPr>
        <w:spacing w:line="360" w:lineRule="auto"/>
        <w:rPr>
          <w:rFonts w:ascii="宋体" w:hAnsi="宋体" w:cs="宋体"/>
          <w:b/>
          <w:szCs w:val="21"/>
        </w:rPr>
      </w:pPr>
      <w:r>
        <w:rPr>
          <w:rFonts w:ascii="宋体" w:hAnsi="宋体" w:cs="宋体" w:hint="eastAsia"/>
          <w:b/>
          <w:szCs w:val="21"/>
        </w:rPr>
        <w:t>（三）考核要求</w:t>
      </w:r>
    </w:p>
    <w:p w14:paraId="6D8D1E35" w14:textId="77777777" w:rsidR="00F5289E" w:rsidRDefault="00C91173">
      <w:pPr>
        <w:spacing w:line="360" w:lineRule="auto"/>
        <w:ind w:firstLineChars="200" w:firstLine="422"/>
        <w:rPr>
          <w:rFonts w:ascii="宋体" w:hAnsi="宋体" w:cs="宋体"/>
          <w:szCs w:val="21"/>
        </w:rPr>
      </w:pPr>
      <w:r>
        <w:rPr>
          <w:rFonts w:ascii="宋体" w:hAnsi="宋体" w:cs="宋体" w:hint="eastAsia"/>
          <w:b/>
          <w:bCs/>
          <w:szCs w:val="21"/>
        </w:rPr>
        <w:t>1</w:t>
      </w:r>
      <w:r>
        <w:rPr>
          <w:rFonts w:ascii="宋体" w:hAnsi="宋体" w:cs="宋体" w:hint="eastAsia"/>
          <w:b/>
          <w:szCs w:val="21"/>
        </w:rPr>
        <w:t>.</w:t>
      </w:r>
      <w:r>
        <w:rPr>
          <w:rFonts w:ascii="宋体" w:hAnsi="宋体" w:cs="宋体" w:hint="eastAsia"/>
          <w:b/>
          <w:bCs/>
          <w:szCs w:val="21"/>
        </w:rPr>
        <w:t>识记：</w:t>
      </w:r>
      <w:r>
        <w:rPr>
          <w:rFonts w:ascii="宋体" w:hAnsi="宋体" w:cs="宋体" w:hint="eastAsia"/>
          <w:szCs w:val="21"/>
        </w:rPr>
        <w:t>挂壁盆景概念。</w:t>
      </w:r>
    </w:p>
    <w:p w14:paraId="59CCC360"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2</w:t>
      </w:r>
      <w:r>
        <w:rPr>
          <w:rFonts w:ascii="宋体" w:hAnsi="宋体" w:cs="宋体" w:hint="eastAsia"/>
          <w:b/>
          <w:szCs w:val="21"/>
        </w:rPr>
        <w:t>.</w:t>
      </w:r>
      <w:r>
        <w:rPr>
          <w:rFonts w:ascii="宋体" w:hAnsi="宋体" w:cs="宋体" w:hint="eastAsia"/>
          <w:b/>
          <w:bCs/>
          <w:szCs w:val="21"/>
        </w:rPr>
        <w:t>领会：</w:t>
      </w:r>
      <w:r>
        <w:rPr>
          <w:rFonts w:ascii="宋体" w:hAnsi="宋体" w:cs="宋体" w:hint="eastAsia"/>
          <w:szCs w:val="21"/>
        </w:rPr>
        <w:t>挂壁盆景与中国画的关系。</w:t>
      </w:r>
    </w:p>
    <w:p w14:paraId="1F7017EA" w14:textId="77777777" w:rsidR="00F5289E" w:rsidRDefault="00C91173">
      <w:pPr>
        <w:spacing w:line="360" w:lineRule="auto"/>
        <w:ind w:firstLineChars="200" w:firstLine="422"/>
        <w:rPr>
          <w:rFonts w:ascii="宋体" w:hAnsi="宋体" w:cs="宋体"/>
          <w:bCs/>
          <w:szCs w:val="21"/>
        </w:rPr>
      </w:pPr>
      <w:r>
        <w:rPr>
          <w:rFonts w:ascii="宋体" w:hAnsi="宋体" w:cs="宋体" w:hint="eastAsia"/>
          <w:b/>
          <w:bCs/>
          <w:szCs w:val="21"/>
        </w:rPr>
        <w:t>3</w:t>
      </w:r>
      <w:r>
        <w:rPr>
          <w:rFonts w:ascii="宋体" w:hAnsi="宋体" w:cs="宋体" w:hint="eastAsia"/>
          <w:b/>
          <w:szCs w:val="21"/>
        </w:rPr>
        <w:t>.</w:t>
      </w:r>
      <w:r>
        <w:rPr>
          <w:rFonts w:ascii="宋体" w:hAnsi="宋体" w:cs="宋体" w:hint="eastAsia"/>
          <w:b/>
          <w:bCs/>
          <w:szCs w:val="21"/>
        </w:rPr>
        <w:t>应用：</w:t>
      </w:r>
      <w:r>
        <w:rPr>
          <w:rFonts w:ascii="宋体" w:hAnsi="宋体" w:cs="宋体" w:hint="eastAsia"/>
          <w:szCs w:val="21"/>
        </w:rPr>
        <w:t>挂壁盆景制作</w:t>
      </w:r>
      <w:r>
        <w:rPr>
          <w:rFonts w:ascii="宋体" w:hAnsi="宋体" w:cs="宋体" w:hint="eastAsia"/>
          <w:bCs/>
          <w:szCs w:val="21"/>
        </w:rPr>
        <w:t>。</w:t>
      </w:r>
    </w:p>
    <w:p w14:paraId="2A521DE9"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t>4.分析：</w:t>
      </w:r>
      <w:r>
        <w:rPr>
          <w:rFonts w:ascii="宋体" w:hAnsi="宋体" w:cs="宋体" w:hint="eastAsia"/>
          <w:szCs w:val="21"/>
        </w:rPr>
        <w:t>挂壁盆景制作的成本与效益。</w:t>
      </w:r>
    </w:p>
    <w:p w14:paraId="2B524C70" w14:textId="77777777" w:rsidR="00F5289E" w:rsidRDefault="00C91173">
      <w:pPr>
        <w:spacing w:line="360" w:lineRule="auto"/>
        <w:ind w:firstLineChars="200" w:firstLine="422"/>
        <w:rPr>
          <w:rFonts w:ascii="宋体" w:hAnsi="宋体" w:cs="宋体"/>
          <w:szCs w:val="21"/>
        </w:rPr>
      </w:pPr>
      <w:r>
        <w:rPr>
          <w:rFonts w:ascii="宋体" w:hAnsi="宋体" w:cs="宋体" w:hint="eastAsia"/>
          <w:b/>
          <w:szCs w:val="21"/>
        </w:rPr>
        <w:lastRenderedPageBreak/>
        <w:t>5.综合</w:t>
      </w:r>
      <w:r>
        <w:rPr>
          <w:rFonts w:ascii="宋体" w:hAnsi="宋体" w:cs="宋体" w:hint="eastAsia"/>
          <w:szCs w:val="21"/>
        </w:rPr>
        <w:t>：挂壁盆景制作的基本技艺应用。</w:t>
      </w:r>
    </w:p>
    <w:p w14:paraId="0F4B2188" w14:textId="77777777" w:rsidR="00F5289E" w:rsidRDefault="00C91173">
      <w:pPr>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szCs w:val="21"/>
        </w:rPr>
        <w:t>挂壁盆景制作市场行情</w:t>
      </w:r>
      <w:r>
        <w:rPr>
          <w:rFonts w:ascii="宋体" w:hAnsi="宋体" w:cs="宋体" w:hint="eastAsia"/>
          <w:bCs/>
          <w:szCs w:val="21"/>
        </w:rPr>
        <w:t>。</w:t>
      </w:r>
    </w:p>
    <w:p w14:paraId="505224C3" w14:textId="77777777" w:rsidR="00F5289E" w:rsidRDefault="00C91173">
      <w:pPr>
        <w:spacing w:line="360" w:lineRule="auto"/>
        <w:jc w:val="center"/>
        <w:rPr>
          <w:rFonts w:ascii="宋体" w:hAnsi="宋体" w:cs="宋体"/>
          <w:b/>
          <w:bCs/>
          <w:szCs w:val="21"/>
        </w:rPr>
      </w:pPr>
      <w:r>
        <w:rPr>
          <w:rFonts w:hAnsi="宋体"/>
          <w:b/>
          <w:bCs/>
          <w:kern w:val="0"/>
          <w:szCs w:val="21"/>
        </w:rPr>
        <w:t>第</w:t>
      </w:r>
      <w:r>
        <w:rPr>
          <w:rFonts w:hAnsi="宋体" w:hint="eastAsia"/>
          <w:b/>
          <w:bCs/>
          <w:kern w:val="0"/>
          <w:szCs w:val="21"/>
        </w:rPr>
        <w:t>九</w:t>
      </w:r>
      <w:r>
        <w:rPr>
          <w:rFonts w:hAnsi="宋体"/>
          <w:b/>
          <w:bCs/>
          <w:kern w:val="0"/>
          <w:szCs w:val="21"/>
        </w:rPr>
        <w:t>章</w:t>
      </w:r>
      <w:r>
        <w:rPr>
          <w:rFonts w:hAnsi="宋体" w:hint="eastAsia"/>
          <w:b/>
          <w:bCs/>
          <w:kern w:val="0"/>
          <w:szCs w:val="21"/>
        </w:rPr>
        <w:t xml:space="preserve">  </w:t>
      </w:r>
      <w:r>
        <w:rPr>
          <w:rFonts w:hint="eastAsia"/>
          <w:b/>
          <w:bCs/>
          <w:kern w:val="0"/>
          <w:szCs w:val="21"/>
        </w:rPr>
        <w:t>世界盆景园</w:t>
      </w:r>
    </w:p>
    <w:p w14:paraId="7A593C2E" w14:textId="77777777" w:rsidR="00F5289E" w:rsidRDefault="00C91173">
      <w:pPr>
        <w:snapToGrid w:val="0"/>
        <w:spacing w:line="360" w:lineRule="auto"/>
        <w:rPr>
          <w:rFonts w:ascii="宋体" w:hAnsi="宋体" w:cs="宋体"/>
          <w:b/>
          <w:szCs w:val="21"/>
        </w:rPr>
      </w:pPr>
      <w:r>
        <w:rPr>
          <w:rFonts w:ascii="宋体" w:hAnsi="宋体" w:cs="宋体" w:hint="eastAsia"/>
          <w:b/>
          <w:szCs w:val="21"/>
        </w:rPr>
        <w:t>（一）学习目标</w:t>
      </w:r>
    </w:p>
    <w:p w14:paraId="4C66ADC4" w14:textId="77777777" w:rsidR="00F5289E" w:rsidRDefault="00C91173">
      <w:pPr>
        <w:snapToGrid w:val="0"/>
        <w:spacing w:line="360" w:lineRule="auto"/>
        <w:ind w:firstLineChars="200" w:firstLine="422"/>
        <w:rPr>
          <w:rStyle w:val="af7"/>
          <w:b w:val="0"/>
          <w:szCs w:val="21"/>
        </w:rPr>
      </w:pPr>
      <w:r>
        <w:rPr>
          <w:rFonts w:ascii="宋体" w:hAnsi="宋体" w:cs="宋体" w:hint="eastAsia"/>
          <w:b/>
          <w:szCs w:val="21"/>
        </w:rPr>
        <w:t>1.一般了解</w:t>
      </w:r>
      <w:r>
        <w:rPr>
          <w:rFonts w:ascii="宋体" w:hAnsi="宋体" w:cs="宋体" w:hint="eastAsia"/>
          <w:szCs w:val="21"/>
        </w:rPr>
        <w:t>：世界盆景园有哪些。</w:t>
      </w:r>
    </w:p>
    <w:p w14:paraId="1A251830"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2.一般掌握</w:t>
      </w:r>
      <w:r>
        <w:rPr>
          <w:rFonts w:ascii="宋体" w:hAnsi="宋体" w:cs="宋体" w:hint="eastAsia"/>
          <w:szCs w:val="21"/>
        </w:rPr>
        <w:t>：</w:t>
      </w:r>
      <w:r>
        <w:rPr>
          <w:rFonts w:hint="eastAsia"/>
        </w:rPr>
        <w:t>盆景</w:t>
      </w:r>
      <w:r>
        <w:rPr>
          <w:rStyle w:val="af7"/>
          <w:rFonts w:hint="eastAsia"/>
          <w:szCs w:val="21"/>
        </w:rPr>
        <w:t>布展</w:t>
      </w:r>
      <w:r>
        <w:rPr>
          <w:rFonts w:ascii="宋体" w:hAnsi="宋体" w:cs="宋体" w:hint="eastAsia"/>
          <w:bCs/>
          <w:szCs w:val="21"/>
        </w:rPr>
        <w:t>。</w:t>
      </w:r>
    </w:p>
    <w:p w14:paraId="1C1DB711"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3.熟练掌握</w:t>
      </w:r>
      <w:r>
        <w:rPr>
          <w:rFonts w:ascii="宋体" w:hAnsi="宋体" w:cs="宋体" w:hint="eastAsia"/>
          <w:szCs w:val="21"/>
        </w:rPr>
        <w:t>：</w:t>
      </w:r>
      <w:r>
        <w:rPr>
          <w:rFonts w:hint="eastAsia"/>
        </w:rPr>
        <w:t>盆景作品的养护与</w:t>
      </w:r>
      <w:r>
        <w:rPr>
          <w:rStyle w:val="af7"/>
          <w:rFonts w:hint="eastAsia"/>
          <w:szCs w:val="21"/>
        </w:rPr>
        <w:t>管理原理与方法</w:t>
      </w:r>
      <w:r>
        <w:rPr>
          <w:rFonts w:ascii="宋体" w:hAnsi="宋体" w:cs="宋体" w:hint="eastAsia"/>
          <w:bCs/>
          <w:szCs w:val="21"/>
        </w:rPr>
        <w:t>。</w:t>
      </w:r>
    </w:p>
    <w:p w14:paraId="3B04C18C" w14:textId="77777777" w:rsidR="00F5289E" w:rsidRDefault="00C91173">
      <w:pPr>
        <w:snapToGrid w:val="0"/>
        <w:spacing w:line="360" w:lineRule="auto"/>
        <w:rPr>
          <w:rFonts w:ascii="宋体" w:hAnsi="宋体" w:cs="宋体"/>
          <w:szCs w:val="21"/>
        </w:rPr>
      </w:pPr>
      <w:r>
        <w:rPr>
          <w:rFonts w:ascii="宋体" w:hAnsi="宋体" w:cs="宋体" w:hint="eastAsia"/>
          <w:b/>
          <w:szCs w:val="21"/>
        </w:rPr>
        <w:t>（二）考核内容</w:t>
      </w:r>
    </w:p>
    <w:p w14:paraId="4081DE71" w14:textId="77777777" w:rsidR="00F5289E" w:rsidRDefault="00C91173">
      <w:pPr>
        <w:snapToGrid w:val="0"/>
        <w:spacing w:line="360" w:lineRule="auto"/>
        <w:ind w:firstLineChars="200" w:firstLine="420"/>
        <w:rPr>
          <w:rFonts w:ascii="宋体" w:hAnsi="宋体" w:cs="宋体"/>
          <w:bCs/>
          <w:szCs w:val="21"/>
        </w:rPr>
      </w:pPr>
      <w:r>
        <w:rPr>
          <w:rFonts w:hint="eastAsia"/>
        </w:rPr>
        <w:t>盆景</w:t>
      </w:r>
      <w:r>
        <w:rPr>
          <w:rStyle w:val="af7"/>
          <w:rFonts w:hint="eastAsia"/>
          <w:szCs w:val="21"/>
        </w:rPr>
        <w:t>布展</w:t>
      </w:r>
      <w:r>
        <w:rPr>
          <w:rFonts w:hint="eastAsia"/>
        </w:rPr>
        <w:t>，盆景作品的养护与</w:t>
      </w:r>
      <w:r>
        <w:rPr>
          <w:rStyle w:val="af7"/>
          <w:rFonts w:hint="eastAsia"/>
          <w:szCs w:val="21"/>
        </w:rPr>
        <w:t>管理原理与方法</w:t>
      </w:r>
    </w:p>
    <w:p w14:paraId="513F72EF" w14:textId="77777777" w:rsidR="00F5289E" w:rsidRDefault="00C91173">
      <w:pPr>
        <w:snapToGrid w:val="0"/>
        <w:spacing w:line="360" w:lineRule="auto"/>
        <w:rPr>
          <w:rFonts w:ascii="宋体" w:hAnsi="宋体" w:cs="宋体"/>
          <w:b/>
          <w:szCs w:val="21"/>
        </w:rPr>
      </w:pPr>
      <w:r>
        <w:rPr>
          <w:rFonts w:ascii="宋体" w:hAnsi="宋体" w:cs="宋体" w:hint="eastAsia"/>
          <w:b/>
          <w:szCs w:val="21"/>
        </w:rPr>
        <w:t>（三）考核要求</w:t>
      </w:r>
    </w:p>
    <w:p w14:paraId="0A292B85"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1.识记</w:t>
      </w:r>
      <w:r>
        <w:rPr>
          <w:rFonts w:ascii="宋体" w:hAnsi="宋体" w:cs="宋体" w:hint="eastAsia"/>
          <w:szCs w:val="21"/>
        </w:rPr>
        <w:t>：</w:t>
      </w:r>
      <w:r>
        <w:rPr>
          <w:rFonts w:ascii="宋体" w:hAnsi="宋体" w:cs="宋体" w:hint="eastAsia"/>
          <w:bCs/>
          <w:szCs w:val="21"/>
        </w:rPr>
        <w:t>盆景园的概念。</w:t>
      </w:r>
    </w:p>
    <w:p w14:paraId="687747FC"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2.领会</w:t>
      </w:r>
      <w:r>
        <w:rPr>
          <w:rFonts w:ascii="宋体" w:hAnsi="宋体" w:cs="宋体" w:hint="eastAsia"/>
          <w:bCs/>
          <w:szCs w:val="21"/>
        </w:rPr>
        <w:t>：盆景园的特点、。</w:t>
      </w:r>
    </w:p>
    <w:p w14:paraId="43117101"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3.应用</w:t>
      </w:r>
      <w:r>
        <w:rPr>
          <w:rFonts w:ascii="宋体" w:hAnsi="宋体" w:cs="宋体" w:hint="eastAsia"/>
          <w:szCs w:val="21"/>
        </w:rPr>
        <w:t>：</w:t>
      </w:r>
      <w:r>
        <w:rPr>
          <w:rFonts w:hint="eastAsia"/>
        </w:rPr>
        <w:t>盆景</w:t>
      </w:r>
      <w:r>
        <w:rPr>
          <w:rStyle w:val="af7"/>
          <w:rFonts w:hint="eastAsia"/>
          <w:szCs w:val="21"/>
        </w:rPr>
        <w:t>布展</w:t>
      </w:r>
      <w:r>
        <w:rPr>
          <w:rFonts w:ascii="宋体" w:hAnsi="宋体" w:cs="宋体" w:hint="eastAsia"/>
          <w:bCs/>
          <w:szCs w:val="21"/>
        </w:rPr>
        <w:t>。</w:t>
      </w:r>
    </w:p>
    <w:p w14:paraId="0F2900C4" w14:textId="77777777" w:rsidR="00F5289E" w:rsidRDefault="00C91173">
      <w:pPr>
        <w:snapToGrid w:val="0"/>
        <w:spacing w:line="360" w:lineRule="auto"/>
        <w:ind w:firstLineChars="200" w:firstLine="422"/>
        <w:rPr>
          <w:rFonts w:ascii="宋体" w:hAnsi="宋体" w:cs="宋体"/>
          <w:b/>
          <w:szCs w:val="21"/>
        </w:rPr>
      </w:pPr>
      <w:r>
        <w:rPr>
          <w:rFonts w:ascii="宋体" w:hAnsi="宋体" w:cs="宋体" w:hint="eastAsia"/>
          <w:b/>
          <w:szCs w:val="21"/>
        </w:rPr>
        <w:t>4.分析：</w:t>
      </w:r>
      <w:r>
        <w:rPr>
          <w:rFonts w:ascii="宋体" w:hAnsi="宋体" w:cs="宋体" w:hint="eastAsia"/>
          <w:bCs/>
          <w:szCs w:val="21"/>
        </w:rPr>
        <w:t>盆景园的效益。</w:t>
      </w:r>
    </w:p>
    <w:p w14:paraId="330F2B08" w14:textId="77777777" w:rsidR="00F5289E" w:rsidRDefault="00C91173">
      <w:pPr>
        <w:snapToGrid w:val="0"/>
        <w:spacing w:line="360" w:lineRule="auto"/>
        <w:ind w:firstLineChars="200" w:firstLine="422"/>
        <w:rPr>
          <w:rFonts w:ascii="宋体" w:hAnsi="宋体" w:cs="宋体"/>
          <w:bCs/>
          <w:szCs w:val="21"/>
        </w:rPr>
      </w:pPr>
      <w:r>
        <w:rPr>
          <w:rFonts w:ascii="宋体" w:hAnsi="宋体" w:cs="宋体" w:hint="eastAsia"/>
          <w:b/>
          <w:szCs w:val="21"/>
        </w:rPr>
        <w:t>5.综合</w:t>
      </w:r>
      <w:r>
        <w:rPr>
          <w:rFonts w:ascii="宋体" w:hAnsi="宋体" w:cs="宋体" w:hint="eastAsia"/>
          <w:szCs w:val="21"/>
        </w:rPr>
        <w:t>：</w:t>
      </w:r>
      <w:r>
        <w:rPr>
          <w:rFonts w:hint="eastAsia"/>
        </w:rPr>
        <w:t>盆景作品的养护与</w:t>
      </w:r>
      <w:r>
        <w:rPr>
          <w:rStyle w:val="af7"/>
          <w:rFonts w:hint="eastAsia"/>
          <w:szCs w:val="21"/>
        </w:rPr>
        <w:t>管理原理与方法。</w:t>
      </w:r>
    </w:p>
    <w:p w14:paraId="67F2A4DA" w14:textId="77777777" w:rsidR="00F5289E" w:rsidRDefault="00C91173">
      <w:pPr>
        <w:snapToGrid w:val="0"/>
        <w:spacing w:line="360" w:lineRule="auto"/>
        <w:ind w:firstLineChars="200" w:firstLine="422"/>
        <w:rPr>
          <w:rFonts w:ascii="宋体" w:hAnsi="宋体" w:cs="宋体"/>
          <w:b/>
          <w:szCs w:val="21"/>
        </w:rPr>
      </w:pPr>
      <w:r>
        <w:rPr>
          <w:rFonts w:ascii="宋体" w:hAnsi="宋体" w:cs="宋体" w:hint="eastAsia"/>
          <w:b/>
          <w:szCs w:val="21"/>
        </w:rPr>
        <w:t>6.评价：</w:t>
      </w:r>
      <w:r>
        <w:rPr>
          <w:rFonts w:ascii="宋体" w:hAnsi="宋体" w:cs="宋体" w:hint="eastAsia"/>
          <w:bCs/>
          <w:szCs w:val="21"/>
        </w:rPr>
        <w:t>盆景园未来展望。</w:t>
      </w:r>
    </w:p>
    <w:p w14:paraId="62AB1BF4" w14:textId="77777777" w:rsidR="00F5289E" w:rsidRDefault="00C91173">
      <w:pPr>
        <w:pStyle w:val="a9"/>
        <w:spacing w:line="360" w:lineRule="auto"/>
        <w:rPr>
          <w:b/>
          <w:bCs/>
        </w:rPr>
      </w:pPr>
      <w:r>
        <w:rPr>
          <w:rFonts w:hint="eastAsia"/>
          <w:b/>
          <w:bCs/>
        </w:rPr>
        <w:t>四、考核方式</w:t>
      </w:r>
    </w:p>
    <w:p w14:paraId="595C5AE5" w14:textId="77777777" w:rsidR="00F5289E" w:rsidRDefault="00C91173">
      <w:pPr>
        <w:pStyle w:val="a9"/>
        <w:spacing w:line="360" w:lineRule="auto"/>
        <w:ind w:firstLineChars="200" w:firstLine="420"/>
      </w:pPr>
      <w:r>
        <w:rPr>
          <w:rFonts w:hint="eastAsia"/>
        </w:rPr>
        <w:t>包括过程性考核评价主要包括课堂表现、小组讨论、课程作业情况等形式。每次理论课有一次小组讨论，主要针对</w:t>
      </w:r>
      <w:r>
        <w:t>当节课程内容所面临的现实问题。课程作业为实验课程考核的主要成绩标准。</w:t>
      </w:r>
    </w:p>
    <w:p w14:paraId="4717FBAD" w14:textId="77777777" w:rsidR="00F5289E" w:rsidRDefault="00C91173">
      <w:pPr>
        <w:pStyle w:val="a9"/>
        <w:spacing w:line="360" w:lineRule="auto"/>
        <w:ind w:firstLineChars="200" w:firstLine="420"/>
      </w:pPr>
      <w:r>
        <w:t>本课程考核评价的广度有所拓宽，考核评价中加入项目书撰写作业，该项目是课程内容相结合的创业项目或科研项目，比如盆景园项目书、盆景刊物项目书等等，让学生学有所用、学有能用。期末考核是现场制作作品，</w:t>
      </w:r>
      <w:r>
        <w:rPr>
          <w:color w:val="000000"/>
        </w:rPr>
        <w:t>根据要求现场独立制作一件作品，时间为120分钟</w:t>
      </w:r>
      <w:r>
        <w:t>，主要考查学生综合知识的理解与应用。最后作品成绩占总成绩的50%，过程性评价总成绩占比50%。以制作盆景为考核内容，主要考虑到本课程实践性较强，内容要与现实紧密结合，理论要为社会服务等因素。</w:t>
      </w:r>
    </w:p>
    <w:p w14:paraId="7E1EF8AE" w14:textId="77777777" w:rsidR="00F5289E" w:rsidRDefault="00C91173">
      <w:pPr>
        <w:pStyle w:val="a9"/>
        <w:spacing w:line="360" w:lineRule="auto"/>
        <w:rPr>
          <w:b/>
          <w:bCs/>
        </w:rPr>
      </w:pPr>
      <w:r>
        <w:rPr>
          <w:b/>
          <w:bCs/>
        </w:rPr>
        <w:t>五、成绩评定</w:t>
      </w:r>
    </w:p>
    <w:p w14:paraId="05372D71" w14:textId="77777777" w:rsidR="00F5289E" w:rsidRDefault="00C91173">
      <w:pPr>
        <w:snapToGrid w:val="0"/>
        <w:spacing w:line="360" w:lineRule="auto"/>
        <w:ind w:firstLineChars="200" w:firstLine="420"/>
      </w:pPr>
      <w:r>
        <w:rPr>
          <w:szCs w:val="21"/>
        </w:rPr>
        <w:t>1.</w:t>
      </w:r>
      <w:r>
        <w:rPr>
          <w:rFonts w:hAnsi="宋体"/>
          <w:szCs w:val="21"/>
        </w:rPr>
        <w:t>平时成绩：</w:t>
      </w:r>
      <w:r>
        <w:rPr>
          <w:rFonts w:hAnsi="宋体"/>
        </w:rPr>
        <w:t>平时上课表现</w:t>
      </w:r>
      <w:r>
        <w:t>×20%+</w:t>
      </w:r>
      <w:r>
        <w:rPr>
          <w:rFonts w:hAnsi="宋体"/>
        </w:rPr>
        <w:t>小组学习讨论</w:t>
      </w:r>
      <w:r>
        <w:t>×20%+</w:t>
      </w:r>
      <w:r>
        <w:rPr>
          <w:rFonts w:hAnsi="宋体"/>
        </w:rPr>
        <w:t>课程作业</w:t>
      </w:r>
      <w:r>
        <w:t>×60%</w:t>
      </w:r>
      <w:r>
        <w:rPr>
          <w:rFonts w:hAnsi="宋体"/>
        </w:rPr>
        <w:t>。</w:t>
      </w:r>
    </w:p>
    <w:p w14:paraId="30D6EFD7" w14:textId="77777777" w:rsidR="00F5289E" w:rsidRDefault="00C91173">
      <w:pPr>
        <w:widowControl/>
        <w:snapToGrid w:val="0"/>
        <w:spacing w:line="360" w:lineRule="auto"/>
        <w:ind w:firstLine="420"/>
        <w:jc w:val="left"/>
      </w:pPr>
      <w:r>
        <w:t>2.</w:t>
      </w:r>
      <w:r>
        <w:rPr>
          <w:rFonts w:hAnsi="宋体"/>
        </w:rPr>
        <w:t>期末成绩：</w:t>
      </w:r>
      <w:r>
        <w:rPr>
          <w:kern w:val="0"/>
          <w:szCs w:val="21"/>
        </w:rPr>
        <w:t>制作大作品，占比</w:t>
      </w:r>
      <w:r>
        <w:rPr>
          <w:kern w:val="0"/>
          <w:szCs w:val="21"/>
        </w:rPr>
        <w:t>50%</w:t>
      </w:r>
      <w:r>
        <w:rPr>
          <w:rFonts w:hAnsi="宋体"/>
        </w:rPr>
        <w:t>。</w:t>
      </w:r>
    </w:p>
    <w:p w14:paraId="40BBCFE4" w14:textId="77777777" w:rsidR="00F5289E" w:rsidRDefault="00C91173">
      <w:pPr>
        <w:widowControl/>
        <w:snapToGrid w:val="0"/>
        <w:spacing w:line="360" w:lineRule="auto"/>
        <w:ind w:firstLine="420"/>
        <w:jc w:val="left"/>
      </w:pPr>
      <w:r>
        <w:t>3.</w:t>
      </w:r>
      <w:r>
        <w:rPr>
          <w:rFonts w:hAnsi="宋体"/>
        </w:rPr>
        <w:t>综合成绩：过程性评价</w:t>
      </w:r>
      <w:r>
        <w:rPr>
          <w:bCs/>
          <w:szCs w:val="21"/>
        </w:rPr>
        <w:t>×</w:t>
      </w:r>
      <w:r>
        <w:t>50%+</w:t>
      </w:r>
      <w:r>
        <w:rPr>
          <w:rFonts w:hAnsi="宋体"/>
        </w:rPr>
        <w:t>终结性评价</w:t>
      </w:r>
      <w:r>
        <w:t>×50%</w:t>
      </w:r>
      <w:r>
        <w:rPr>
          <w:rFonts w:hAnsi="宋体"/>
        </w:rPr>
        <w:t>。</w:t>
      </w:r>
    </w:p>
    <w:p w14:paraId="00232DEE" w14:textId="77777777" w:rsidR="00F5289E" w:rsidRDefault="00C91173">
      <w:pPr>
        <w:pStyle w:val="a9"/>
        <w:spacing w:line="360" w:lineRule="auto"/>
        <w:rPr>
          <w:b/>
          <w:bCs/>
        </w:rPr>
      </w:pPr>
      <w:r>
        <w:rPr>
          <w:rFonts w:hint="eastAsia"/>
          <w:b/>
          <w:bCs/>
        </w:rPr>
        <w:t>六、考核结果分析反馈</w:t>
      </w:r>
    </w:p>
    <w:p w14:paraId="60A5BD9B" w14:textId="77777777" w:rsidR="00F5289E" w:rsidRDefault="00C91173">
      <w:pPr>
        <w:snapToGrid w:val="0"/>
        <w:spacing w:line="360" w:lineRule="auto"/>
        <w:ind w:firstLineChars="200" w:firstLine="420"/>
        <w:rPr>
          <w:szCs w:val="21"/>
        </w:rPr>
      </w:pPr>
      <w:r>
        <w:rPr>
          <w:rFonts w:hAnsi="宋体" w:hint="eastAsia"/>
          <w:bCs/>
          <w:szCs w:val="21"/>
        </w:rPr>
        <w:t>考核记过分析反馈主要集中在过程性评价上，将每次讨论的情况、平时作业或者报告的完成情况，通过下一节课向学生反馈，讨论并总结问题所在。最终考核结果通过教学系统向学生反馈</w:t>
      </w:r>
      <w:r>
        <w:rPr>
          <w:rFonts w:hAnsi="宋体" w:hint="eastAsia"/>
          <w:szCs w:val="21"/>
        </w:rPr>
        <w:t>。</w:t>
      </w:r>
      <w:r>
        <w:rPr>
          <w:rFonts w:ascii="宋体" w:hAnsi="宋体"/>
          <w:b/>
          <w:sz w:val="28"/>
          <w:szCs w:val="28"/>
        </w:rPr>
        <w:br w:type="page"/>
      </w:r>
    </w:p>
    <w:p w14:paraId="5167BB5A" w14:textId="77777777" w:rsidR="00F5289E" w:rsidRDefault="00C91173">
      <w:pPr>
        <w:pStyle w:val="1"/>
      </w:pPr>
      <w:bookmarkStart w:id="203" w:name="_Toc138606294"/>
      <w:r>
        <w:rPr>
          <w:rFonts w:hint="eastAsia"/>
        </w:rPr>
        <w:lastRenderedPageBreak/>
        <w:t>CAD制图考核大纲</w:t>
      </w:r>
      <w:bookmarkEnd w:id="203"/>
    </w:p>
    <w:p w14:paraId="138B3DF8" w14:textId="77777777" w:rsidR="00F5289E" w:rsidRDefault="00C91173">
      <w:pPr>
        <w:snapToGrid w:val="0"/>
        <w:spacing w:line="360" w:lineRule="auto"/>
        <w:jc w:val="center"/>
        <w:rPr>
          <w:sz w:val="24"/>
        </w:rPr>
      </w:pPr>
      <w:r>
        <w:rPr>
          <w:sz w:val="24"/>
        </w:rPr>
        <w:t>（</w:t>
      </w:r>
      <w:r>
        <w:rPr>
          <w:rFonts w:hint="eastAsia"/>
          <w:sz w:val="24"/>
        </w:rPr>
        <w:t>CAD Drawing</w:t>
      </w:r>
      <w:r>
        <w:rPr>
          <w:sz w:val="24"/>
        </w:rPr>
        <w:t>）</w:t>
      </w:r>
    </w:p>
    <w:p w14:paraId="5FD51780" w14:textId="77777777" w:rsidR="00F5289E" w:rsidRDefault="00F5289E">
      <w:pPr>
        <w:widowControl/>
        <w:wordWrap w:val="0"/>
        <w:spacing w:before="120" w:after="120"/>
        <w:jc w:val="center"/>
        <w:outlineLvl w:val="0"/>
        <w:rPr>
          <w:rFonts w:eastAsia="黑体" w:hAnsi="宋体" w:cs="宋体"/>
          <w:b/>
          <w:bCs/>
          <w:kern w:val="36"/>
          <w:sz w:val="24"/>
        </w:rPr>
      </w:pPr>
    </w:p>
    <w:p w14:paraId="0CF3837D"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79EF12C3" w14:textId="77777777">
        <w:tc>
          <w:tcPr>
            <w:tcW w:w="1665" w:type="pct"/>
          </w:tcPr>
          <w:p w14:paraId="7507FACB" w14:textId="77777777" w:rsidR="00F5289E" w:rsidRDefault="00C91173">
            <w:pPr>
              <w:spacing w:line="300" w:lineRule="auto"/>
              <w:rPr>
                <w:rFonts w:ascii="宋体" w:hAnsi="宋体"/>
                <w:b/>
                <w:bCs/>
                <w:szCs w:val="21"/>
              </w:rPr>
            </w:pPr>
            <w:r>
              <w:rPr>
                <w:rFonts w:ascii="宋体" w:hAnsi="宋体" w:hint="eastAsia"/>
                <w:b/>
                <w:bCs/>
                <w:szCs w:val="21"/>
              </w:rPr>
              <w:t>课程编号：</w:t>
            </w:r>
            <w:r>
              <w:rPr>
                <w:rFonts w:ascii="宋体" w:hAnsi="宋体" w:hint="eastAsia"/>
                <w:szCs w:val="21"/>
              </w:rPr>
              <w:t>19011152</w:t>
            </w:r>
          </w:p>
        </w:tc>
        <w:tc>
          <w:tcPr>
            <w:tcW w:w="1234" w:type="pct"/>
          </w:tcPr>
          <w:p w14:paraId="4E2D3A47" w14:textId="77777777" w:rsidR="00F5289E" w:rsidRDefault="00C91173">
            <w:pPr>
              <w:spacing w:line="300" w:lineRule="auto"/>
              <w:rPr>
                <w:rFonts w:ascii="宋体" w:hAnsi="宋体"/>
                <w:b/>
                <w:bCs/>
                <w:szCs w:val="21"/>
              </w:rPr>
            </w:pPr>
            <w:r>
              <w:rPr>
                <w:rFonts w:ascii="宋体" w:hAnsi="宋体" w:hint="eastAsia"/>
                <w:b/>
                <w:bCs/>
                <w:szCs w:val="21"/>
              </w:rPr>
              <w:t>课程学时：</w:t>
            </w:r>
            <w:r>
              <w:rPr>
                <w:rFonts w:ascii="宋体" w:hAnsi="宋体" w:hint="eastAsia"/>
                <w:szCs w:val="21"/>
              </w:rPr>
              <w:t>24</w:t>
            </w:r>
          </w:p>
        </w:tc>
        <w:tc>
          <w:tcPr>
            <w:tcW w:w="2100" w:type="pct"/>
          </w:tcPr>
          <w:p w14:paraId="38218B70" w14:textId="77777777" w:rsidR="00F5289E" w:rsidRDefault="00C91173">
            <w:pPr>
              <w:spacing w:line="300" w:lineRule="auto"/>
              <w:rPr>
                <w:rFonts w:ascii="宋体" w:hAnsi="宋体"/>
                <w:b/>
                <w:bCs/>
                <w:szCs w:val="21"/>
              </w:rPr>
            </w:pPr>
            <w:r>
              <w:rPr>
                <w:rFonts w:ascii="宋体" w:hAnsi="宋体" w:hint="eastAsia"/>
                <w:b/>
                <w:bCs/>
                <w:szCs w:val="21"/>
              </w:rPr>
              <w:t>课程学分：</w:t>
            </w:r>
            <w:r>
              <w:rPr>
                <w:rFonts w:ascii="宋体" w:hAnsi="宋体" w:hint="eastAsia"/>
                <w:szCs w:val="21"/>
              </w:rPr>
              <w:t>1.5</w:t>
            </w:r>
          </w:p>
        </w:tc>
      </w:tr>
      <w:tr w:rsidR="00F5289E" w14:paraId="53ECAD1C" w14:textId="77777777">
        <w:tc>
          <w:tcPr>
            <w:tcW w:w="1665" w:type="pct"/>
          </w:tcPr>
          <w:p w14:paraId="63AFC331" w14:textId="77777777" w:rsidR="00F5289E" w:rsidRDefault="00C91173">
            <w:pPr>
              <w:spacing w:line="300" w:lineRule="auto"/>
              <w:rPr>
                <w:rFonts w:ascii="宋体" w:hAnsi="宋体"/>
                <w:b/>
                <w:bCs/>
                <w:szCs w:val="21"/>
              </w:rPr>
            </w:pPr>
            <w:r>
              <w:rPr>
                <w:rFonts w:ascii="宋体" w:hAnsi="宋体" w:hint="eastAsia"/>
                <w:b/>
                <w:bCs/>
                <w:szCs w:val="21"/>
              </w:rPr>
              <w:t>主撰人：</w:t>
            </w:r>
            <w:r>
              <w:rPr>
                <w:rFonts w:ascii="宋体" w:hAnsi="宋体" w:hint="eastAsia"/>
                <w:szCs w:val="21"/>
              </w:rPr>
              <w:t>董晓星</w:t>
            </w:r>
          </w:p>
        </w:tc>
        <w:tc>
          <w:tcPr>
            <w:tcW w:w="1234" w:type="pct"/>
          </w:tcPr>
          <w:p w14:paraId="68E00E7B" w14:textId="77777777" w:rsidR="00F5289E" w:rsidRDefault="00C91173">
            <w:pPr>
              <w:spacing w:line="300" w:lineRule="auto"/>
              <w:rPr>
                <w:rFonts w:ascii="宋体" w:hAnsi="宋体"/>
                <w:b/>
                <w:bCs/>
                <w:szCs w:val="21"/>
              </w:rPr>
            </w:pPr>
            <w:r>
              <w:rPr>
                <w:rFonts w:ascii="宋体" w:hAnsi="宋体" w:hint="eastAsia"/>
                <w:b/>
                <w:bCs/>
                <w:szCs w:val="21"/>
              </w:rPr>
              <w:t>审核人：</w:t>
            </w:r>
            <w:r>
              <w:rPr>
                <w:rFonts w:ascii="宋体" w:hAnsi="宋体" w:hint="eastAsia"/>
                <w:szCs w:val="21"/>
              </w:rPr>
              <w:t>杜清洁</w:t>
            </w:r>
          </w:p>
        </w:tc>
        <w:tc>
          <w:tcPr>
            <w:tcW w:w="2100" w:type="pct"/>
          </w:tcPr>
          <w:p w14:paraId="76988329"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ascii="宋体" w:hAnsi="宋体"/>
                <w:szCs w:val="21"/>
              </w:rPr>
              <w:t>2023.05</w:t>
            </w:r>
          </w:p>
        </w:tc>
      </w:tr>
    </w:tbl>
    <w:p w14:paraId="39B9F6B2" w14:textId="77777777" w:rsidR="00F5289E" w:rsidRDefault="00F5289E">
      <w:pPr>
        <w:pStyle w:val="a9"/>
        <w:spacing w:line="360" w:lineRule="auto"/>
        <w:rPr>
          <w:b/>
          <w:bCs/>
        </w:rPr>
      </w:pPr>
    </w:p>
    <w:p w14:paraId="2E39D73E" w14:textId="77777777" w:rsidR="00F5289E" w:rsidRDefault="00C91173">
      <w:pPr>
        <w:pStyle w:val="a9"/>
        <w:spacing w:line="360" w:lineRule="auto"/>
        <w:rPr>
          <w:b/>
          <w:bCs/>
        </w:rPr>
      </w:pPr>
      <w:r>
        <w:rPr>
          <w:rFonts w:hint="eastAsia"/>
          <w:b/>
          <w:bCs/>
        </w:rPr>
        <w:t>一、课程的性质和地位</w:t>
      </w:r>
    </w:p>
    <w:p w14:paraId="7C03316C" w14:textId="77777777" w:rsidR="00F5289E" w:rsidRDefault="00C91173">
      <w:pPr>
        <w:snapToGrid w:val="0"/>
        <w:spacing w:line="360" w:lineRule="auto"/>
        <w:ind w:firstLineChars="200" w:firstLine="420"/>
        <w:rPr>
          <w:rFonts w:ascii="宋体" w:hAnsi="宋体"/>
          <w:szCs w:val="21"/>
        </w:rPr>
      </w:pPr>
      <w:r>
        <w:rPr>
          <w:rFonts w:hint="eastAsia"/>
          <w:kern w:val="0"/>
          <w:szCs w:val="21"/>
        </w:rPr>
        <w:t>CAD</w:t>
      </w:r>
      <w:r>
        <w:rPr>
          <w:rFonts w:hint="eastAsia"/>
          <w:kern w:val="0"/>
          <w:szCs w:val="21"/>
        </w:rPr>
        <w:t>制图使设施农业科学与工程专业的一门选修课。本课程通过对</w:t>
      </w:r>
      <w:r>
        <w:rPr>
          <w:rFonts w:hint="eastAsia"/>
          <w:kern w:val="0"/>
          <w:szCs w:val="21"/>
        </w:rPr>
        <w:t>CAD</w:t>
      </w:r>
      <w:r>
        <w:rPr>
          <w:rFonts w:hint="eastAsia"/>
          <w:kern w:val="0"/>
          <w:szCs w:val="21"/>
        </w:rPr>
        <w:t>软件的基本知识、基本操作的介绍，学生可了解和掌握计算机辅助制图的基本方法，掌握</w:t>
      </w:r>
      <w:r>
        <w:rPr>
          <w:rFonts w:hint="eastAsia"/>
          <w:kern w:val="0"/>
          <w:szCs w:val="21"/>
        </w:rPr>
        <w:t>CAD</w:t>
      </w:r>
      <w:r>
        <w:rPr>
          <w:rFonts w:hint="eastAsia"/>
          <w:kern w:val="0"/>
          <w:szCs w:val="21"/>
        </w:rPr>
        <w:t>软件的使用方法，能够运用计算机辅助进行农业设施工程制图，能熟练运用计算机绘制简单的农业设施工程施工图。通过学习，学生可</w:t>
      </w:r>
      <w:r>
        <w:rPr>
          <w:rFonts w:hAnsi="宋体" w:hint="eastAsia"/>
          <w:szCs w:val="21"/>
        </w:rPr>
        <w:t>获得综合运用</w:t>
      </w:r>
      <w:r>
        <w:rPr>
          <w:rFonts w:hAnsi="宋体" w:hint="eastAsia"/>
          <w:szCs w:val="21"/>
        </w:rPr>
        <w:t>CAD</w:t>
      </w:r>
      <w:r>
        <w:rPr>
          <w:rFonts w:hAnsi="宋体" w:hint="eastAsia"/>
          <w:szCs w:val="21"/>
        </w:rPr>
        <w:t>命令完成图样绘制的能力，能够以图纸的形式进行陈述和交流，准确表达自己的设计观点。</w:t>
      </w:r>
    </w:p>
    <w:p w14:paraId="218BFC84" w14:textId="77777777" w:rsidR="00F5289E" w:rsidRDefault="00C91173">
      <w:pPr>
        <w:pStyle w:val="a9"/>
        <w:spacing w:line="360" w:lineRule="auto"/>
        <w:rPr>
          <w:b/>
          <w:bCs/>
        </w:rPr>
      </w:pPr>
      <w:r>
        <w:rPr>
          <w:rFonts w:hint="eastAsia"/>
          <w:b/>
          <w:bCs/>
        </w:rPr>
        <w:t>二、理论教学部分的考核目标</w:t>
      </w:r>
    </w:p>
    <w:p w14:paraId="1263063C" w14:textId="77777777" w:rsidR="00F5289E" w:rsidRDefault="00C91173">
      <w:pPr>
        <w:snapToGrid w:val="0"/>
        <w:spacing w:line="360" w:lineRule="auto"/>
        <w:ind w:firstLineChars="200" w:firstLine="420"/>
        <w:rPr>
          <w:rFonts w:ascii="宋体" w:hAnsi="宋体"/>
          <w:szCs w:val="21"/>
        </w:rPr>
      </w:pPr>
      <w:r>
        <w:rPr>
          <w:rFonts w:hAnsi="宋体" w:hint="eastAsia"/>
          <w:kern w:val="0"/>
          <w:szCs w:val="21"/>
        </w:rPr>
        <w:t>掌</w:t>
      </w:r>
      <w:r>
        <w:rPr>
          <w:rFonts w:ascii="宋体" w:hAnsi="宋体" w:hint="eastAsia"/>
          <w:bCs/>
          <w:szCs w:val="21"/>
        </w:rPr>
        <w:t>握基本绘图命令、基本编辑命令、文本与标注绘制和编辑命令的具体操作流程。</w:t>
      </w:r>
    </w:p>
    <w:p w14:paraId="7BF2DAB3" w14:textId="77777777" w:rsidR="00F5289E" w:rsidRDefault="00C91173">
      <w:pPr>
        <w:snapToGrid w:val="0"/>
        <w:spacing w:line="360" w:lineRule="auto"/>
        <w:ind w:firstLineChars="49" w:firstLine="103"/>
        <w:jc w:val="center"/>
        <w:rPr>
          <w:rFonts w:ascii="宋体" w:hAnsi="宋体"/>
          <w:b/>
          <w:szCs w:val="21"/>
        </w:rPr>
      </w:pPr>
      <w:r>
        <w:rPr>
          <w:rFonts w:ascii="宋体" w:hAnsi="宋体" w:hint="eastAsia"/>
          <w:b/>
          <w:szCs w:val="21"/>
        </w:rPr>
        <w:t xml:space="preserve">绪论  </w:t>
      </w:r>
      <w:r>
        <w:rPr>
          <w:rFonts w:ascii="宋体" w:hAnsi="宋体" w:hint="eastAsia"/>
          <w:b/>
          <w:bCs/>
        </w:rPr>
        <w:t>初识Auto CAD</w:t>
      </w:r>
      <w:r>
        <w:rPr>
          <w:rFonts w:ascii="宋体" w:hAnsi="宋体" w:hint="eastAsia"/>
          <w:b/>
          <w:szCs w:val="21"/>
        </w:rPr>
        <w:t>容</w:t>
      </w:r>
    </w:p>
    <w:p w14:paraId="2EBCF9F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2CF4D95"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cs="宋体" w:hint="eastAsia"/>
          <w:kern w:val="0"/>
          <w:szCs w:val="21"/>
        </w:rPr>
        <w:t>Auto CAD软件的发展历程，Auto CAD软件制图的基本流程，Auto CAD软件的操作特点，工作区和绘图页面、文件菜单、坐标系、窗口显示的调整。</w:t>
      </w:r>
    </w:p>
    <w:p w14:paraId="05E00B7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cs="宋体" w:hint="eastAsia"/>
          <w:kern w:val="0"/>
          <w:szCs w:val="21"/>
        </w:rPr>
        <w:t>点的精确定位</w:t>
      </w:r>
    </w:p>
    <w:p w14:paraId="7F24D93A"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cs="宋体" w:hint="eastAsia"/>
          <w:kern w:val="0"/>
          <w:szCs w:val="21"/>
        </w:rPr>
        <w:t>捕捉工具，追踪工具的应用</w:t>
      </w:r>
    </w:p>
    <w:p w14:paraId="43AE6FB8"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1600C42E" w14:textId="77777777" w:rsidR="00F5289E" w:rsidRDefault="00C91173">
      <w:pPr>
        <w:snapToGrid w:val="0"/>
        <w:spacing w:line="360" w:lineRule="auto"/>
        <w:ind w:firstLineChars="200" w:firstLine="420"/>
        <w:rPr>
          <w:rFonts w:ascii="宋体" w:hAnsi="宋体"/>
          <w:szCs w:val="21"/>
        </w:rPr>
      </w:pPr>
      <w:r>
        <w:rPr>
          <w:rFonts w:ascii="宋体" w:hAnsi="宋体" w:cs="宋体" w:hint="eastAsia"/>
          <w:kern w:val="0"/>
          <w:szCs w:val="21"/>
        </w:rPr>
        <w:t>工作区和绘图页面、文件菜单、坐标系、窗口显示的调整、点的精确定位</w:t>
      </w:r>
      <w:r>
        <w:rPr>
          <w:rFonts w:ascii="宋体" w:hAnsi="宋体" w:hint="eastAsia"/>
          <w:szCs w:val="21"/>
        </w:rPr>
        <w:t>、</w:t>
      </w:r>
      <w:r>
        <w:rPr>
          <w:rFonts w:ascii="宋体" w:hAnsi="宋体" w:cs="宋体" w:hint="eastAsia"/>
          <w:kern w:val="0"/>
          <w:szCs w:val="21"/>
        </w:rPr>
        <w:t>捕捉工具，追踪工具的应用</w:t>
      </w:r>
    </w:p>
    <w:p w14:paraId="3672E67D"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10111B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1.领会</w:t>
      </w:r>
      <w:r>
        <w:rPr>
          <w:rFonts w:ascii="宋体" w:hAnsi="宋体" w:hint="eastAsia"/>
          <w:szCs w:val="21"/>
        </w:rPr>
        <w:t>：</w:t>
      </w:r>
      <w:r>
        <w:rPr>
          <w:rFonts w:ascii="宋体" w:hAnsi="宋体" w:cs="宋体" w:hint="eastAsia"/>
          <w:kern w:val="0"/>
          <w:szCs w:val="21"/>
        </w:rPr>
        <w:t>Auto CAD软件的操作特点，坐标系、窗口显示的调整</w:t>
      </w:r>
    </w:p>
    <w:p w14:paraId="51117E2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2.应用</w:t>
      </w:r>
      <w:r>
        <w:rPr>
          <w:rFonts w:ascii="宋体" w:hAnsi="宋体" w:hint="eastAsia"/>
          <w:szCs w:val="21"/>
        </w:rPr>
        <w:t>：</w:t>
      </w:r>
      <w:r>
        <w:rPr>
          <w:rFonts w:ascii="宋体" w:hAnsi="宋体" w:cs="宋体" w:hint="eastAsia"/>
          <w:kern w:val="0"/>
          <w:szCs w:val="21"/>
        </w:rPr>
        <w:t>捕捉工具，追踪工具的应用</w:t>
      </w:r>
    </w:p>
    <w:p w14:paraId="2722AFB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3.综合</w:t>
      </w:r>
      <w:r>
        <w:rPr>
          <w:rFonts w:ascii="宋体" w:hAnsi="宋体" w:hint="eastAsia"/>
          <w:szCs w:val="21"/>
        </w:rPr>
        <w:t>：</w:t>
      </w:r>
      <w:r>
        <w:rPr>
          <w:rFonts w:ascii="宋体" w:hAnsi="宋体" w:cs="宋体" w:hint="eastAsia"/>
          <w:kern w:val="0"/>
          <w:szCs w:val="21"/>
        </w:rPr>
        <w:t>文件菜单、坐标系、窗口显示的调整</w:t>
      </w:r>
    </w:p>
    <w:p w14:paraId="78BB9C66" w14:textId="77777777" w:rsidR="00F5289E" w:rsidRDefault="00C91173">
      <w:pPr>
        <w:pStyle w:val="a9"/>
        <w:snapToGrid w:val="0"/>
        <w:spacing w:line="360" w:lineRule="auto"/>
        <w:jc w:val="center"/>
        <w:rPr>
          <w:rFonts w:hAnsi="宋体"/>
          <w:b/>
        </w:rPr>
      </w:pPr>
      <w:r>
        <w:rPr>
          <w:rFonts w:hAnsi="宋体" w:hint="eastAsia"/>
          <w:b/>
        </w:rPr>
        <w:t xml:space="preserve">第一章  </w:t>
      </w:r>
      <w:r>
        <w:rPr>
          <w:rFonts w:hint="eastAsia"/>
          <w:b/>
          <w:bCs/>
          <w:kern w:val="0"/>
        </w:rPr>
        <w:t>基本绘图命令</w:t>
      </w:r>
    </w:p>
    <w:p w14:paraId="506BF99A"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9536F3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rPr>
        <w:t>点、矩形、多段线、多线、圆弧、圆、椭圆、椭圆弧、正多边形工具</w:t>
      </w:r>
    </w:p>
    <w:p w14:paraId="70DEB538" w14:textId="77777777" w:rsidR="00F5289E" w:rsidRDefault="00C91173">
      <w:pPr>
        <w:snapToGrid w:val="0"/>
        <w:spacing w:line="360" w:lineRule="auto"/>
        <w:ind w:firstLineChars="200" w:firstLine="422"/>
        <w:rPr>
          <w:rFonts w:ascii="宋体" w:hAnsi="宋体"/>
        </w:rPr>
      </w:pPr>
      <w:r>
        <w:rPr>
          <w:rFonts w:ascii="宋体" w:hAnsi="宋体" w:hint="eastAsia"/>
          <w:b/>
          <w:szCs w:val="21"/>
        </w:rPr>
        <w:t>2. 一般掌握</w:t>
      </w:r>
      <w:r>
        <w:rPr>
          <w:rFonts w:ascii="宋体" w:hAnsi="宋体" w:hint="eastAsia"/>
          <w:szCs w:val="21"/>
        </w:rPr>
        <w:t>：</w:t>
      </w:r>
      <w:r>
        <w:rPr>
          <w:rFonts w:ascii="宋体" w:hAnsi="宋体" w:hint="eastAsia"/>
        </w:rPr>
        <w:t>多线、椭圆、椭圆弧、正多边形的操作方法</w:t>
      </w:r>
    </w:p>
    <w:p w14:paraId="2ADB2B8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lastRenderedPageBreak/>
        <w:t>3. 熟练掌握</w:t>
      </w:r>
      <w:r>
        <w:rPr>
          <w:rFonts w:ascii="宋体" w:hAnsi="宋体" w:hint="eastAsia"/>
          <w:szCs w:val="21"/>
        </w:rPr>
        <w:t>：</w:t>
      </w:r>
      <w:r>
        <w:rPr>
          <w:rFonts w:ascii="宋体" w:hAnsi="宋体" w:hint="eastAsia"/>
        </w:rPr>
        <w:t>掌握点、矩形、多段线、圆弧、圆命令的操作方法</w:t>
      </w:r>
    </w:p>
    <w:p w14:paraId="35223343"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C155AEB" w14:textId="77777777" w:rsidR="00F5289E" w:rsidRDefault="00C91173">
      <w:pPr>
        <w:widowControl/>
        <w:snapToGrid w:val="0"/>
        <w:spacing w:line="360" w:lineRule="auto"/>
        <w:ind w:firstLineChars="200" w:firstLine="420"/>
        <w:rPr>
          <w:rFonts w:ascii="宋体" w:hAnsi="宋体"/>
          <w:szCs w:val="21"/>
        </w:rPr>
      </w:pPr>
      <w:r>
        <w:rPr>
          <w:rFonts w:ascii="宋体" w:hAnsi="宋体" w:hint="eastAsia"/>
        </w:rPr>
        <w:t>了解点、矩形、多段线、多线、圆弧、圆、椭圆、椭圆弧、正多边形工具，掌握点、矩形、多段线、圆弧、圆命令的操作方法。</w:t>
      </w:r>
    </w:p>
    <w:p w14:paraId="5A4DD172"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668E7C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1.领会</w:t>
      </w:r>
      <w:r>
        <w:rPr>
          <w:rFonts w:ascii="宋体" w:hAnsi="宋体" w:hint="eastAsia"/>
          <w:szCs w:val="21"/>
        </w:rPr>
        <w:t>：</w:t>
      </w:r>
      <w:r>
        <w:rPr>
          <w:rFonts w:ascii="宋体" w:hAnsi="宋体" w:hint="eastAsia"/>
        </w:rPr>
        <w:t>点、矩形、多段线、多线、圆弧、圆、椭圆、椭圆弧、正多边形工具</w:t>
      </w:r>
    </w:p>
    <w:p w14:paraId="3191275F"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2.应用</w:t>
      </w:r>
      <w:r>
        <w:rPr>
          <w:rFonts w:ascii="宋体" w:hAnsi="宋体" w:hint="eastAsia"/>
          <w:szCs w:val="21"/>
        </w:rPr>
        <w:t>：</w:t>
      </w:r>
      <w:r>
        <w:rPr>
          <w:rFonts w:ascii="宋体" w:hAnsi="宋体" w:hint="eastAsia"/>
        </w:rPr>
        <w:t>多线、椭圆、椭圆弧、正多边形的操作方法</w:t>
      </w:r>
    </w:p>
    <w:p w14:paraId="28A02C13"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3.综合</w:t>
      </w:r>
      <w:r>
        <w:rPr>
          <w:rFonts w:ascii="宋体" w:hAnsi="宋体" w:hint="eastAsia"/>
          <w:szCs w:val="21"/>
        </w:rPr>
        <w:t>：</w:t>
      </w:r>
      <w:r>
        <w:rPr>
          <w:rFonts w:ascii="宋体" w:hAnsi="宋体" w:hint="eastAsia"/>
        </w:rPr>
        <w:t>掌握点、矩形、多段线、圆弧、圆命令的操作方法</w:t>
      </w:r>
    </w:p>
    <w:p w14:paraId="23C79019" w14:textId="77777777" w:rsidR="00F5289E" w:rsidRDefault="00C91173">
      <w:pPr>
        <w:pStyle w:val="a9"/>
        <w:snapToGrid w:val="0"/>
        <w:spacing w:line="360" w:lineRule="auto"/>
        <w:jc w:val="center"/>
        <w:rPr>
          <w:rFonts w:hAnsi="宋体"/>
          <w:b/>
        </w:rPr>
      </w:pPr>
      <w:r>
        <w:rPr>
          <w:rFonts w:hAnsi="宋体" w:hint="eastAsia"/>
          <w:b/>
        </w:rPr>
        <w:t xml:space="preserve">第二章  </w:t>
      </w:r>
      <w:r>
        <w:rPr>
          <w:rFonts w:hint="eastAsia"/>
          <w:b/>
          <w:bCs/>
          <w:kern w:val="0"/>
        </w:rPr>
        <w:t>基本编辑命令</w:t>
      </w:r>
    </w:p>
    <w:p w14:paraId="39EFD59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0E1D8C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rPr>
        <w:t>了解删除、旋转、复制、偏移、延伸、倒角、打断和合并、多线的修改、移动、拉长、缩放、镜像、修剪、圆角、阵列、分解、打断于点、拉伸、对齐、特性匹配、多段线编辑的基本编辑修改工具</w:t>
      </w:r>
    </w:p>
    <w:p w14:paraId="3345F261" w14:textId="77777777" w:rsidR="00F5289E" w:rsidRDefault="00C91173">
      <w:pPr>
        <w:snapToGrid w:val="0"/>
        <w:spacing w:line="360" w:lineRule="auto"/>
        <w:ind w:firstLineChars="200" w:firstLine="422"/>
        <w:rPr>
          <w:rFonts w:ascii="宋体" w:hAnsi="宋体"/>
        </w:rPr>
      </w:pPr>
      <w:r>
        <w:rPr>
          <w:rFonts w:ascii="宋体" w:hAnsi="宋体" w:hint="eastAsia"/>
          <w:b/>
          <w:szCs w:val="21"/>
        </w:rPr>
        <w:t>2. 一般掌握</w:t>
      </w:r>
      <w:r>
        <w:rPr>
          <w:rFonts w:ascii="宋体" w:hAnsi="宋体" w:hint="eastAsia"/>
          <w:szCs w:val="21"/>
        </w:rPr>
        <w:t>：</w:t>
      </w:r>
      <w:r>
        <w:rPr>
          <w:rFonts w:ascii="宋体" w:hAnsi="宋体" w:hint="eastAsia"/>
        </w:rPr>
        <w:t>掌握延伸、倒角、合并、移动、拉长、缩放、镜像、圆角、阵列、分解、拉伸、对齐的操作方法</w:t>
      </w:r>
    </w:p>
    <w:p w14:paraId="1D7053E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rPr>
        <w:t>掌握删除、旋转、复制、偏移、修剪、特性匹配、多段线编辑命令的操作方法</w:t>
      </w:r>
    </w:p>
    <w:p w14:paraId="794F5E2A"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4DC79A0" w14:textId="77777777" w:rsidR="00F5289E" w:rsidRDefault="00C91173">
      <w:pPr>
        <w:snapToGrid w:val="0"/>
        <w:spacing w:line="360" w:lineRule="auto"/>
        <w:ind w:firstLineChars="200" w:firstLine="420"/>
        <w:rPr>
          <w:rFonts w:ascii="宋体" w:hAnsi="宋体"/>
          <w:szCs w:val="21"/>
        </w:rPr>
      </w:pPr>
      <w:r>
        <w:rPr>
          <w:rFonts w:ascii="宋体" w:hAnsi="宋体" w:hint="eastAsia"/>
        </w:rPr>
        <w:t>删除、旋转、复制、偏移、延伸、倒角、合并、移动、拉长、缩放、镜像、修剪、圆角、阵列、分解、拉伸、对齐、特性匹配、多段线编辑工具的操作方法</w:t>
      </w:r>
    </w:p>
    <w:p w14:paraId="4932DF71"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3FB2D6A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1.领会</w:t>
      </w:r>
      <w:r>
        <w:rPr>
          <w:rFonts w:ascii="宋体" w:hAnsi="宋体" w:hint="eastAsia"/>
          <w:szCs w:val="21"/>
        </w:rPr>
        <w:t>：</w:t>
      </w:r>
      <w:r>
        <w:rPr>
          <w:rFonts w:ascii="宋体" w:hAnsi="宋体" w:hint="eastAsia"/>
        </w:rPr>
        <w:t>删除、旋转、复制、偏移、延伸、倒角、打断和合并、多线的修改、移动、拉长、缩放、镜像、修剪、圆角、阵列、分解、打断于点、拉伸、对齐、特性匹配、多段线编辑的基本编辑修改工具的功能</w:t>
      </w:r>
    </w:p>
    <w:p w14:paraId="4AE2A8E0"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2.应用</w:t>
      </w:r>
      <w:r>
        <w:rPr>
          <w:rFonts w:ascii="宋体" w:hAnsi="宋体" w:hint="eastAsia"/>
          <w:szCs w:val="21"/>
        </w:rPr>
        <w:t>：</w:t>
      </w:r>
      <w:r>
        <w:rPr>
          <w:rFonts w:ascii="宋体" w:hAnsi="宋体" w:hint="eastAsia"/>
        </w:rPr>
        <w:t>延伸、倒角、合并、移动、拉长、缩放、镜像、圆角、阵列、分解、拉伸、对齐的操作方法</w:t>
      </w:r>
    </w:p>
    <w:p w14:paraId="74758724"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3.综合</w:t>
      </w:r>
      <w:r>
        <w:rPr>
          <w:rFonts w:ascii="宋体" w:hAnsi="宋体" w:hint="eastAsia"/>
          <w:szCs w:val="21"/>
        </w:rPr>
        <w:t>：</w:t>
      </w:r>
      <w:r>
        <w:rPr>
          <w:rFonts w:ascii="宋体" w:hAnsi="宋体" w:hint="eastAsia"/>
        </w:rPr>
        <w:t>删除、旋转、复制、偏移、修剪、特性匹配、多段线编辑命令的操作方法</w:t>
      </w:r>
    </w:p>
    <w:p w14:paraId="5BCE7440" w14:textId="77777777" w:rsidR="00F5289E" w:rsidRDefault="00C91173">
      <w:pPr>
        <w:pStyle w:val="a9"/>
        <w:snapToGrid w:val="0"/>
        <w:spacing w:line="360" w:lineRule="auto"/>
        <w:jc w:val="center"/>
        <w:rPr>
          <w:rFonts w:hAnsi="宋体"/>
          <w:b/>
        </w:rPr>
      </w:pPr>
      <w:r>
        <w:rPr>
          <w:rFonts w:hAnsi="宋体" w:hint="eastAsia"/>
          <w:b/>
        </w:rPr>
        <w:t xml:space="preserve">第三章  </w:t>
      </w:r>
      <w:r>
        <w:rPr>
          <w:rFonts w:hint="eastAsia"/>
          <w:b/>
          <w:bCs/>
          <w:kern w:val="0"/>
        </w:rPr>
        <w:t>基本绘图命令</w:t>
      </w:r>
    </w:p>
    <w:p w14:paraId="1A4EA4FA"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61BC99C"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文本样式的命令和应用方法</w:t>
      </w:r>
    </w:p>
    <w:p w14:paraId="031247C2"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文本编辑的命令和应用方法</w:t>
      </w:r>
    </w:p>
    <w:p w14:paraId="6F578809"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标注样式的命令和应用方法、标注绘制的命令和应用方法</w:t>
      </w:r>
    </w:p>
    <w:p w14:paraId="0C0AA1B5"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EEA5E78" w14:textId="77777777" w:rsidR="00F5289E" w:rsidRDefault="00C91173">
      <w:pPr>
        <w:widowControl/>
        <w:snapToGrid w:val="0"/>
        <w:spacing w:line="360" w:lineRule="auto"/>
        <w:ind w:firstLineChars="200" w:firstLine="420"/>
        <w:jc w:val="left"/>
        <w:rPr>
          <w:rFonts w:ascii="宋体" w:hAnsi="宋体"/>
          <w:szCs w:val="21"/>
        </w:rPr>
      </w:pPr>
      <w:r>
        <w:rPr>
          <w:rFonts w:hAnsi="宋体" w:hint="eastAsia"/>
          <w:kern w:val="0"/>
          <w:szCs w:val="21"/>
        </w:rPr>
        <w:t>文本样式的命令和应用方法、文本编辑的命令和应用方法、标注样式的命令和应用方法、标注绘制的命令和应用方法、标注编辑的命令和应用方法</w:t>
      </w:r>
    </w:p>
    <w:p w14:paraId="5036E088"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（三）考核要求</w:t>
      </w:r>
    </w:p>
    <w:p w14:paraId="6450B16C"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1.领会</w:t>
      </w:r>
      <w:r>
        <w:rPr>
          <w:rFonts w:ascii="宋体" w:hAnsi="宋体" w:hint="eastAsia"/>
          <w:szCs w:val="21"/>
        </w:rPr>
        <w:t>：</w:t>
      </w:r>
      <w:r>
        <w:rPr>
          <w:rFonts w:ascii="宋体" w:hAnsi="宋体" w:hint="eastAsia"/>
          <w:bCs/>
        </w:rPr>
        <w:t>文本样式、文本编辑、标注样式、标准编辑模块的功能</w:t>
      </w:r>
    </w:p>
    <w:p w14:paraId="06B36B48"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2.应用</w:t>
      </w:r>
      <w:r>
        <w:rPr>
          <w:rFonts w:ascii="宋体" w:hAnsi="宋体" w:hint="eastAsia"/>
          <w:szCs w:val="21"/>
        </w:rPr>
        <w:t>：</w:t>
      </w:r>
      <w:r>
        <w:rPr>
          <w:rFonts w:hAnsi="宋体" w:hint="eastAsia"/>
          <w:kern w:val="0"/>
          <w:szCs w:val="21"/>
        </w:rPr>
        <w:t>文本样式的命令和应用方法、标注样式的命令和应用方法</w:t>
      </w:r>
    </w:p>
    <w:p w14:paraId="2C2763FA"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3.综合</w:t>
      </w:r>
      <w:r>
        <w:rPr>
          <w:rFonts w:ascii="宋体" w:hAnsi="宋体" w:hint="eastAsia"/>
          <w:szCs w:val="21"/>
        </w:rPr>
        <w:t>：</w:t>
      </w:r>
      <w:r>
        <w:rPr>
          <w:rFonts w:hAnsi="宋体" w:hint="eastAsia"/>
          <w:kern w:val="0"/>
          <w:szCs w:val="21"/>
        </w:rPr>
        <w:t>文本编辑的命令和应用方法、标注绘制的命令和应用方法、标注编辑的命令和应用方法</w:t>
      </w:r>
    </w:p>
    <w:p w14:paraId="7E3337D9" w14:textId="77777777" w:rsidR="00F5289E" w:rsidRDefault="00C91173">
      <w:pPr>
        <w:pStyle w:val="a9"/>
        <w:spacing w:line="360" w:lineRule="auto"/>
        <w:rPr>
          <w:b/>
          <w:bCs/>
        </w:rPr>
      </w:pPr>
      <w:r>
        <w:rPr>
          <w:rFonts w:hint="eastAsia"/>
          <w:b/>
          <w:bCs/>
        </w:rPr>
        <w:t>三、实验、实习教学部分的考核要求</w:t>
      </w:r>
    </w:p>
    <w:p w14:paraId="0DF26B5C" w14:textId="77777777" w:rsidR="00F5289E" w:rsidRDefault="00C91173">
      <w:pPr>
        <w:snapToGrid w:val="0"/>
        <w:spacing w:line="360" w:lineRule="auto"/>
        <w:ind w:firstLineChars="200" w:firstLine="420"/>
        <w:rPr>
          <w:rFonts w:ascii="宋体" w:hAnsi="宋体"/>
          <w:b/>
          <w:bCs/>
          <w:szCs w:val="21"/>
        </w:rPr>
      </w:pPr>
      <w:r>
        <w:rPr>
          <w:rFonts w:ascii="宋体" w:hAnsi="宋体" w:hint="eastAsia"/>
          <w:bCs/>
          <w:szCs w:val="21"/>
        </w:rPr>
        <w:t>采用上机实操进行实验，要求学生能够掌握基本绘图命令、基本编辑命令、文本与标注绘制和编辑命令的具体操作方法，能够利用CAD完成样图绘制。</w:t>
      </w:r>
      <w:r>
        <w:rPr>
          <w:rFonts w:hAnsi="宋体" w:hint="eastAsia"/>
          <w:kern w:val="0"/>
          <w:szCs w:val="21"/>
        </w:rPr>
        <w:t>实验课成绩评定包括出勤和实验成果两部分，实验成果为实验课上绘制的图样，由学生互评和教师评价共同评定成绩</w:t>
      </w:r>
      <w:r>
        <w:rPr>
          <w:rFonts w:eastAsiaTheme="majorEastAsia"/>
          <w:szCs w:val="21"/>
        </w:rPr>
        <w:t>。</w:t>
      </w:r>
    </w:p>
    <w:p w14:paraId="280D4EB6" w14:textId="77777777" w:rsidR="00F5289E" w:rsidRDefault="00C91173">
      <w:pPr>
        <w:pStyle w:val="a9"/>
        <w:spacing w:line="360" w:lineRule="auto"/>
        <w:rPr>
          <w:b/>
          <w:bCs/>
        </w:rPr>
      </w:pPr>
      <w:r>
        <w:rPr>
          <w:rFonts w:hint="eastAsia"/>
          <w:b/>
          <w:bCs/>
        </w:rPr>
        <w:t>四、考核方式</w:t>
      </w:r>
    </w:p>
    <w:p w14:paraId="21916EFD" w14:textId="77777777" w:rsidR="00F5289E" w:rsidRDefault="00C91173">
      <w:pPr>
        <w:snapToGrid w:val="0"/>
        <w:spacing w:line="360" w:lineRule="auto"/>
        <w:ind w:firstLineChars="200" w:firstLine="420"/>
        <w:rPr>
          <w:rFonts w:eastAsiaTheme="majorEastAsia"/>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eastAsiaTheme="majorEastAsia" w:hint="eastAsia"/>
          <w:szCs w:val="21"/>
        </w:rPr>
        <w:t>性</w:t>
      </w:r>
      <w:r>
        <w:rPr>
          <w:rFonts w:eastAsiaTheme="majorEastAsia"/>
          <w:szCs w:val="21"/>
        </w:rPr>
        <w:t>评价和终结性评价各占</w:t>
      </w:r>
      <w:r>
        <w:rPr>
          <w:rFonts w:eastAsiaTheme="majorEastAsia"/>
          <w:szCs w:val="21"/>
        </w:rPr>
        <w:t>50%</w:t>
      </w:r>
      <w:r>
        <w:rPr>
          <w:rFonts w:eastAsiaTheme="majorEastAsia"/>
          <w:szCs w:val="21"/>
        </w:rPr>
        <w:t>。</w:t>
      </w:r>
    </w:p>
    <w:p w14:paraId="635BB5B4" w14:textId="77777777" w:rsidR="00F5289E" w:rsidRDefault="00C91173">
      <w:pPr>
        <w:snapToGrid w:val="0"/>
        <w:spacing w:line="360" w:lineRule="auto"/>
        <w:ind w:firstLineChars="200" w:firstLine="422"/>
        <w:rPr>
          <w:rFonts w:ascii="宋体" w:hAnsi="宋体"/>
          <w:szCs w:val="21"/>
        </w:rPr>
      </w:pPr>
      <w:r>
        <w:rPr>
          <w:rFonts w:hAnsi="宋体" w:hint="eastAsia"/>
          <w:b/>
          <w:bCs/>
          <w:kern w:val="0"/>
          <w:szCs w:val="21"/>
        </w:rPr>
        <w:t>1.</w:t>
      </w:r>
      <w:r>
        <w:rPr>
          <w:rFonts w:hAnsi="宋体" w:hint="eastAsia"/>
          <w:b/>
          <w:bCs/>
          <w:kern w:val="0"/>
          <w:szCs w:val="21"/>
        </w:rPr>
        <w:t>过程性评价：</w:t>
      </w:r>
      <w:r>
        <w:rPr>
          <w:rFonts w:eastAsiaTheme="majorEastAsia"/>
          <w:szCs w:val="21"/>
        </w:rPr>
        <w:t>过程</w:t>
      </w:r>
      <w:r>
        <w:rPr>
          <w:rFonts w:eastAsiaTheme="majorEastAsia" w:hint="eastAsia"/>
          <w:szCs w:val="21"/>
        </w:rPr>
        <w:t>性</w:t>
      </w:r>
      <w:r>
        <w:rPr>
          <w:rFonts w:eastAsiaTheme="majorEastAsia"/>
          <w:szCs w:val="21"/>
        </w:rPr>
        <w:t>评价计分点主要包括课前学习、考勤、</w:t>
      </w:r>
      <w:r>
        <w:rPr>
          <w:rFonts w:eastAsiaTheme="majorEastAsia" w:hint="eastAsia"/>
          <w:szCs w:val="21"/>
        </w:rPr>
        <w:t>实验报告</w:t>
      </w:r>
      <w:r>
        <w:rPr>
          <w:rFonts w:eastAsiaTheme="majorEastAsia"/>
          <w:szCs w:val="21"/>
        </w:rPr>
        <w:t>的考评</w:t>
      </w:r>
      <w:r>
        <w:rPr>
          <w:rFonts w:eastAsiaTheme="majorEastAsia" w:hint="eastAsia"/>
          <w:szCs w:val="21"/>
        </w:rPr>
        <w:t>结果</w:t>
      </w:r>
      <w:r>
        <w:rPr>
          <w:rFonts w:eastAsiaTheme="majorEastAsia"/>
          <w:szCs w:val="21"/>
        </w:rPr>
        <w:t>。</w:t>
      </w:r>
    </w:p>
    <w:p w14:paraId="50569368" w14:textId="77777777" w:rsidR="00F5289E" w:rsidRDefault="00C91173">
      <w:pPr>
        <w:pStyle w:val="a9"/>
        <w:spacing w:line="360" w:lineRule="auto"/>
        <w:ind w:firstLineChars="200" w:firstLine="422"/>
      </w:pPr>
      <w:r>
        <w:rPr>
          <w:rFonts w:hAnsi="宋体" w:hint="eastAsia"/>
          <w:b/>
          <w:bCs/>
          <w:kern w:val="0"/>
        </w:rPr>
        <w:t>2.终结性评价：</w:t>
      </w:r>
      <w:r>
        <w:t>终结性考核</w:t>
      </w:r>
      <w:r>
        <w:rPr>
          <w:rFonts w:hint="eastAsia"/>
        </w:rPr>
        <w:t>为上机实践操作，学生在2个小时内完成教师所给样图的绘制，并打印成为PDF格式提交。</w:t>
      </w:r>
    </w:p>
    <w:p w14:paraId="2461CE88" w14:textId="77777777" w:rsidR="00F5289E" w:rsidRDefault="00C91173">
      <w:pPr>
        <w:pStyle w:val="a9"/>
        <w:spacing w:line="360" w:lineRule="auto"/>
        <w:rPr>
          <w:b/>
          <w:bCs/>
        </w:rPr>
      </w:pPr>
      <w:r>
        <w:rPr>
          <w:rFonts w:hint="eastAsia"/>
          <w:b/>
          <w:bCs/>
        </w:rPr>
        <w:t>五、成绩评定</w:t>
      </w:r>
    </w:p>
    <w:p w14:paraId="573CF166"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r>
        <w:rPr>
          <w:rFonts w:ascii="宋体" w:hAnsi="宋体" w:hint="eastAsia"/>
          <w:bCs/>
          <w:szCs w:val="21"/>
        </w:rPr>
        <w:t>：</w:t>
      </w:r>
      <w:r>
        <w:rPr>
          <w:rFonts w:ascii="宋体" w:hAnsi="宋体" w:hint="eastAsia"/>
          <w:szCs w:val="21"/>
        </w:rPr>
        <w:t>平时成绩</w:t>
      </w:r>
      <w:r>
        <w:rPr>
          <w:rFonts w:eastAsiaTheme="majorEastAsia"/>
          <w:szCs w:val="21"/>
        </w:rPr>
        <w:t>计分点主要包括对课前学习、考勤、</w:t>
      </w:r>
      <w:r>
        <w:rPr>
          <w:rFonts w:eastAsiaTheme="majorEastAsia" w:hint="eastAsia"/>
          <w:szCs w:val="21"/>
        </w:rPr>
        <w:t>课后作业、实验报告</w:t>
      </w:r>
      <w:r>
        <w:rPr>
          <w:rFonts w:eastAsiaTheme="majorEastAsia"/>
          <w:szCs w:val="21"/>
        </w:rPr>
        <w:t>的考评</w:t>
      </w:r>
      <w:r>
        <w:rPr>
          <w:rFonts w:eastAsiaTheme="majorEastAsia" w:hint="eastAsia"/>
          <w:szCs w:val="21"/>
        </w:rPr>
        <w:t>，分别</w:t>
      </w:r>
      <w:r>
        <w:rPr>
          <w:rFonts w:eastAsiaTheme="majorEastAsia"/>
          <w:szCs w:val="21"/>
        </w:rPr>
        <w:t>占</w:t>
      </w:r>
      <w:r>
        <w:rPr>
          <w:rFonts w:eastAsiaTheme="majorEastAsia" w:hint="eastAsia"/>
          <w:szCs w:val="21"/>
        </w:rPr>
        <w:t>平时成绩的</w:t>
      </w:r>
      <w:r>
        <w:rPr>
          <w:rFonts w:eastAsiaTheme="majorEastAsia" w:hint="eastAsia"/>
          <w:szCs w:val="21"/>
        </w:rPr>
        <w:t>20</w:t>
      </w:r>
      <w:r>
        <w:rPr>
          <w:rFonts w:eastAsiaTheme="majorEastAsia"/>
          <w:szCs w:val="21"/>
        </w:rPr>
        <w:t>%</w:t>
      </w:r>
      <w:r>
        <w:rPr>
          <w:rFonts w:eastAsiaTheme="majorEastAsia" w:hint="eastAsia"/>
          <w:szCs w:val="21"/>
        </w:rPr>
        <w:t>、</w:t>
      </w:r>
      <w:r>
        <w:rPr>
          <w:rFonts w:eastAsiaTheme="majorEastAsia" w:hint="eastAsia"/>
          <w:szCs w:val="21"/>
        </w:rPr>
        <w:t>20</w:t>
      </w:r>
      <w:r>
        <w:rPr>
          <w:rFonts w:eastAsiaTheme="majorEastAsia"/>
          <w:szCs w:val="21"/>
        </w:rPr>
        <w:t>%</w:t>
      </w:r>
      <w:r>
        <w:rPr>
          <w:rFonts w:eastAsiaTheme="majorEastAsia" w:hint="eastAsia"/>
          <w:szCs w:val="21"/>
        </w:rPr>
        <w:t>、</w:t>
      </w:r>
      <w:r>
        <w:rPr>
          <w:rFonts w:eastAsiaTheme="majorEastAsia" w:hint="eastAsia"/>
          <w:szCs w:val="21"/>
        </w:rPr>
        <w:t>20%</w:t>
      </w:r>
      <w:r>
        <w:rPr>
          <w:rFonts w:eastAsiaTheme="majorEastAsia" w:hint="eastAsia"/>
          <w:szCs w:val="21"/>
        </w:rPr>
        <w:t>、</w:t>
      </w:r>
      <w:r>
        <w:rPr>
          <w:rFonts w:eastAsiaTheme="majorEastAsia" w:hint="eastAsia"/>
          <w:szCs w:val="21"/>
        </w:rPr>
        <w:t>40</w:t>
      </w:r>
      <w:r>
        <w:rPr>
          <w:rFonts w:eastAsiaTheme="majorEastAsia"/>
          <w:szCs w:val="21"/>
        </w:rPr>
        <w:t>%</w:t>
      </w:r>
      <w:r>
        <w:rPr>
          <w:rFonts w:eastAsiaTheme="majorEastAsia" w:hint="eastAsia"/>
          <w:szCs w:val="21"/>
        </w:rPr>
        <w:t>。</w:t>
      </w:r>
    </w:p>
    <w:p w14:paraId="5805C685" w14:textId="77777777" w:rsidR="00F5289E" w:rsidRDefault="00C91173">
      <w:pPr>
        <w:snapToGrid w:val="0"/>
        <w:spacing w:line="360" w:lineRule="auto"/>
        <w:ind w:firstLineChars="200" w:firstLine="420"/>
        <w:rPr>
          <w:rFonts w:ascii="宋体" w:hAnsi="宋体"/>
          <w:bCs/>
          <w:szCs w:val="21"/>
        </w:rPr>
      </w:pPr>
      <w:r>
        <w:rPr>
          <w:rFonts w:ascii="宋体" w:hAnsi="宋体" w:hint="eastAsia"/>
        </w:rPr>
        <w:t>2.期末成绩</w:t>
      </w:r>
      <w:r>
        <w:rPr>
          <w:rFonts w:ascii="宋体" w:hAnsi="宋体" w:hint="eastAsia"/>
          <w:bCs/>
          <w:szCs w:val="21"/>
        </w:rPr>
        <w:t>：</w:t>
      </w:r>
      <w:r>
        <w:rPr>
          <w:rFonts w:ascii="宋体" w:hAnsi="宋体" w:hint="eastAsia"/>
        </w:rPr>
        <w:t>期末成绩</w:t>
      </w:r>
      <w:r>
        <w:rPr>
          <w:rFonts w:eastAsiaTheme="majorEastAsia" w:hint="eastAsia"/>
          <w:szCs w:val="21"/>
        </w:rPr>
        <w:t>为上机实践操作，学生在</w:t>
      </w:r>
      <w:r>
        <w:rPr>
          <w:rFonts w:eastAsiaTheme="majorEastAsia" w:hint="eastAsia"/>
          <w:szCs w:val="21"/>
        </w:rPr>
        <w:t>2</w:t>
      </w:r>
      <w:r>
        <w:rPr>
          <w:rFonts w:eastAsiaTheme="majorEastAsia" w:hint="eastAsia"/>
          <w:szCs w:val="21"/>
        </w:rPr>
        <w:t>个小时内完成教师所给样图的绘制，并打印成为</w:t>
      </w:r>
      <w:r>
        <w:rPr>
          <w:rFonts w:eastAsiaTheme="majorEastAsia" w:hint="eastAsia"/>
          <w:szCs w:val="21"/>
        </w:rPr>
        <w:t>PDF</w:t>
      </w:r>
      <w:r>
        <w:rPr>
          <w:rFonts w:eastAsiaTheme="majorEastAsia" w:hint="eastAsia"/>
          <w:szCs w:val="21"/>
        </w:rPr>
        <w:t>格式提交，终结性评价占总成绩的</w:t>
      </w:r>
      <w:r>
        <w:rPr>
          <w:rFonts w:eastAsiaTheme="majorEastAsia" w:hint="eastAsia"/>
          <w:szCs w:val="21"/>
        </w:rPr>
        <w:t>50%</w:t>
      </w:r>
      <w:r>
        <w:rPr>
          <w:rFonts w:eastAsiaTheme="majorEastAsia" w:hint="eastAsia"/>
          <w:szCs w:val="21"/>
        </w:rPr>
        <w:t>。</w:t>
      </w:r>
    </w:p>
    <w:p w14:paraId="709DCECE" w14:textId="77777777" w:rsidR="00F5289E" w:rsidRDefault="00C91173">
      <w:pPr>
        <w:snapToGrid w:val="0"/>
        <w:spacing w:line="360" w:lineRule="auto"/>
        <w:ind w:firstLineChars="200" w:firstLine="420"/>
        <w:rPr>
          <w:rFonts w:ascii="宋体" w:hAnsi="宋体"/>
          <w:bCs/>
          <w:szCs w:val="21"/>
        </w:rPr>
      </w:pPr>
      <w:r>
        <w:rPr>
          <w:rFonts w:ascii="宋体" w:hAnsi="宋体" w:hint="eastAsia"/>
        </w:rPr>
        <w:t>3.综合成绩包括平时成绩和期末成绩，综合成绩=</w:t>
      </w:r>
      <w:r>
        <w:rPr>
          <w:rFonts w:ascii="宋体" w:hAnsi="宋体" w:hint="eastAsia"/>
          <w:bCs/>
          <w:szCs w:val="21"/>
        </w:rPr>
        <w:t>平时成绩×50%+期末成绩×50%</w:t>
      </w:r>
    </w:p>
    <w:p w14:paraId="7113A3A7" w14:textId="77777777" w:rsidR="00F5289E" w:rsidRDefault="00C91173">
      <w:pPr>
        <w:pStyle w:val="a9"/>
        <w:spacing w:line="360" w:lineRule="auto"/>
        <w:rPr>
          <w:b/>
          <w:bCs/>
        </w:rPr>
      </w:pPr>
      <w:r>
        <w:rPr>
          <w:rFonts w:hint="eastAsia"/>
          <w:b/>
          <w:bCs/>
        </w:rPr>
        <w:t>六、考核结果分析反馈</w:t>
      </w:r>
    </w:p>
    <w:p w14:paraId="197A3063" w14:textId="77777777" w:rsidR="00F5289E" w:rsidRDefault="00C91173">
      <w:pPr>
        <w:snapToGrid w:val="0"/>
        <w:spacing w:line="360" w:lineRule="auto"/>
        <w:ind w:firstLineChars="200" w:firstLine="420"/>
        <w:rPr>
          <w:rFonts w:hAnsi="宋体"/>
          <w:szCs w:val="21"/>
        </w:rPr>
      </w:pPr>
      <w:r>
        <w:rPr>
          <w:rFonts w:hAnsi="宋体" w:hint="eastAsia"/>
          <w:bCs/>
          <w:szCs w:val="21"/>
        </w:rPr>
        <w:t xml:space="preserve">1. </w:t>
      </w:r>
      <w:r>
        <w:rPr>
          <w:rFonts w:hAnsi="宋体" w:hint="eastAsia"/>
          <w:bCs/>
          <w:szCs w:val="21"/>
        </w:rPr>
        <w:t>在平时学习过程中，通过课堂样图绘制，及时反映学生本节课内容的掌握情况，通过实验报告样图的绘制及时对学生学习的疑难点进行指导</w:t>
      </w:r>
      <w:r>
        <w:rPr>
          <w:rFonts w:hAnsi="宋体" w:hint="eastAsia"/>
          <w:szCs w:val="21"/>
        </w:rPr>
        <w:t>。</w:t>
      </w:r>
    </w:p>
    <w:p w14:paraId="7F9EFD09" w14:textId="77777777" w:rsidR="00F5289E" w:rsidRDefault="00C91173">
      <w:pPr>
        <w:snapToGrid w:val="0"/>
        <w:spacing w:line="360" w:lineRule="auto"/>
        <w:ind w:firstLineChars="200" w:firstLine="420"/>
        <w:rPr>
          <w:rFonts w:hAnsi="宋体"/>
          <w:szCs w:val="21"/>
        </w:rPr>
      </w:pPr>
      <w:r>
        <w:rPr>
          <w:rFonts w:hAnsi="宋体" w:hint="eastAsia"/>
          <w:szCs w:val="21"/>
        </w:rPr>
        <w:t xml:space="preserve">2. </w:t>
      </w:r>
      <w:r>
        <w:rPr>
          <w:rFonts w:hAnsi="宋体" w:hint="eastAsia"/>
          <w:szCs w:val="21"/>
        </w:rPr>
        <w:t>在终结性考核中，根据学生图面的完成度、准确度，分析学生软件学习的薄弱点，</w:t>
      </w:r>
      <w:r>
        <w:rPr>
          <w:szCs w:val="21"/>
        </w:rPr>
        <w:t>教师</w:t>
      </w:r>
      <w:r>
        <w:rPr>
          <w:rFonts w:hint="eastAsia"/>
          <w:szCs w:val="21"/>
        </w:rPr>
        <w:t>修改</w:t>
      </w:r>
      <w:r>
        <w:rPr>
          <w:szCs w:val="21"/>
        </w:rPr>
        <w:t>下学期的</w:t>
      </w:r>
      <w:r>
        <w:rPr>
          <w:rFonts w:hint="eastAsia"/>
          <w:szCs w:val="21"/>
        </w:rPr>
        <w:t>授课计划</w:t>
      </w:r>
      <w:r>
        <w:rPr>
          <w:szCs w:val="21"/>
        </w:rPr>
        <w:t>和课程设计，形成</w:t>
      </w:r>
      <w:r>
        <w:rPr>
          <w:rFonts w:hint="eastAsia"/>
          <w:szCs w:val="21"/>
        </w:rPr>
        <w:t>持续改进</w:t>
      </w:r>
      <w:r>
        <w:rPr>
          <w:szCs w:val="21"/>
        </w:rPr>
        <w:t>的闭环</w:t>
      </w:r>
      <w:r>
        <w:rPr>
          <w:rFonts w:hAnsi="宋体" w:hint="eastAsia"/>
          <w:szCs w:val="21"/>
        </w:rPr>
        <w:t>。</w:t>
      </w:r>
    </w:p>
    <w:p w14:paraId="115E2F85" w14:textId="77777777" w:rsidR="00F5289E" w:rsidRDefault="00F5289E">
      <w:pPr>
        <w:adjustRightInd w:val="0"/>
        <w:snapToGrid w:val="0"/>
        <w:spacing w:line="360" w:lineRule="auto"/>
        <w:ind w:firstLineChars="200" w:firstLine="420"/>
        <w:rPr>
          <w:rFonts w:ascii="宋体" w:hAnsi="宋体"/>
          <w:color w:val="0000FF"/>
          <w:szCs w:val="21"/>
        </w:rPr>
      </w:pPr>
    </w:p>
    <w:p w14:paraId="6551AE7F" w14:textId="77777777" w:rsidR="00F5289E" w:rsidRDefault="00F5289E">
      <w:pPr>
        <w:spacing w:line="360" w:lineRule="auto"/>
        <w:ind w:firstLineChars="200" w:firstLine="420"/>
        <w:rPr>
          <w:rFonts w:eastAsiaTheme="minorEastAsia"/>
          <w:szCs w:val="21"/>
        </w:rPr>
      </w:pPr>
    </w:p>
    <w:p w14:paraId="09A02C49" w14:textId="77777777" w:rsidR="00F5289E" w:rsidRDefault="00F5289E">
      <w:pPr>
        <w:snapToGrid w:val="0"/>
        <w:spacing w:line="360" w:lineRule="auto"/>
        <w:ind w:firstLineChars="200" w:firstLine="420"/>
        <w:rPr>
          <w:szCs w:val="21"/>
        </w:rPr>
      </w:pPr>
    </w:p>
    <w:p w14:paraId="60CFA071" w14:textId="77777777" w:rsidR="00F5289E" w:rsidRDefault="00F5289E">
      <w:pPr>
        <w:snapToGrid w:val="0"/>
        <w:spacing w:line="360" w:lineRule="auto"/>
        <w:ind w:firstLineChars="200" w:firstLine="420"/>
        <w:rPr>
          <w:rFonts w:hAnsi="宋体"/>
          <w:bCs/>
          <w:szCs w:val="21"/>
        </w:rPr>
      </w:pPr>
    </w:p>
    <w:p w14:paraId="184B0A89" w14:textId="77777777" w:rsidR="00F5289E" w:rsidRDefault="00F5289E">
      <w:pPr>
        <w:snapToGrid w:val="0"/>
        <w:spacing w:line="360" w:lineRule="auto"/>
        <w:rPr>
          <w:rFonts w:ascii="宋体" w:hAnsi="宋体"/>
          <w:color w:val="0000FF"/>
          <w:szCs w:val="21"/>
        </w:rPr>
      </w:pPr>
    </w:p>
    <w:p w14:paraId="11DFEA70" w14:textId="77777777" w:rsidR="00F5289E" w:rsidRDefault="00C91173">
      <w:pPr>
        <w:widowControl/>
        <w:jc w:val="left"/>
        <w:rPr>
          <w:rFonts w:ascii="宋体" w:hAnsi="宋体" w:cs="Arial Unicode MS"/>
          <w:kern w:val="0"/>
        </w:rPr>
      </w:pPr>
      <w:r>
        <w:rPr>
          <w:rFonts w:ascii="宋体" w:hAnsi="宋体"/>
        </w:rPr>
        <w:br w:type="page"/>
      </w:r>
    </w:p>
    <w:p w14:paraId="563174CC" w14:textId="77777777" w:rsidR="00F5289E" w:rsidRDefault="00C91173">
      <w:pPr>
        <w:pStyle w:val="1"/>
      </w:pPr>
      <w:bookmarkStart w:id="204" w:name="_Toc138606295"/>
      <w:r>
        <w:rPr>
          <w:rFonts w:hint="eastAsia"/>
        </w:rPr>
        <w:lastRenderedPageBreak/>
        <w:t>园艺植物遗传育种学考核大纲</w:t>
      </w:r>
      <w:bookmarkEnd w:id="204"/>
      <w:r>
        <w:rPr>
          <w:rFonts w:hint="eastAsia"/>
        </w:rPr>
        <w:t xml:space="preserve"> </w:t>
      </w:r>
    </w:p>
    <w:p w14:paraId="425A9318" w14:textId="77777777" w:rsidR="00F5289E" w:rsidRDefault="00C91173">
      <w:pPr>
        <w:snapToGrid w:val="0"/>
        <w:spacing w:line="360" w:lineRule="auto"/>
        <w:jc w:val="center"/>
        <w:rPr>
          <w:rFonts w:hAnsi="宋体"/>
          <w:sz w:val="28"/>
          <w:szCs w:val="28"/>
        </w:rPr>
      </w:pPr>
      <w:r>
        <w:rPr>
          <w:rFonts w:hAnsi="宋体" w:hint="eastAsia"/>
          <w:sz w:val="28"/>
          <w:szCs w:val="28"/>
        </w:rPr>
        <w:t>（</w:t>
      </w:r>
      <w:r>
        <w:rPr>
          <w:iCs/>
          <w:kern w:val="0"/>
          <w:sz w:val="24"/>
        </w:rPr>
        <w:t xml:space="preserve">Genetics and </w:t>
      </w:r>
      <w:r>
        <w:rPr>
          <w:rFonts w:cs="宋体" w:hint="eastAsia"/>
          <w:kern w:val="36"/>
          <w:sz w:val="24"/>
        </w:rPr>
        <w:t>Breeding</w:t>
      </w:r>
      <w:r>
        <w:rPr>
          <w:iCs/>
          <w:kern w:val="0"/>
          <w:sz w:val="24"/>
        </w:rPr>
        <w:t xml:space="preserve"> of Horticultural Plants</w:t>
      </w:r>
      <w:r>
        <w:rPr>
          <w:rFonts w:hAnsi="宋体"/>
          <w:sz w:val="28"/>
          <w:szCs w:val="28"/>
        </w:rPr>
        <w:t>）</w:t>
      </w:r>
    </w:p>
    <w:p w14:paraId="27C9E985" w14:textId="77777777" w:rsidR="00F5289E" w:rsidRDefault="00F5289E">
      <w:pPr>
        <w:snapToGrid w:val="0"/>
        <w:spacing w:line="360" w:lineRule="auto"/>
        <w:jc w:val="center"/>
        <w:rPr>
          <w:rFonts w:eastAsia="黑体" w:hAnsi="宋体" w:cs="宋体"/>
          <w:b/>
          <w:bCs/>
          <w:kern w:val="36"/>
          <w:sz w:val="24"/>
        </w:rPr>
      </w:pPr>
    </w:p>
    <w:p w14:paraId="08105914" w14:textId="77777777" w:rsidR="00F5289E" w:rsidRDefault="00C91173">
      <w:pPr>
        <w:snapToGrid w:val="0"/>
        <w:spacing w:line="360" w:lineRule="auto"/>
        <w:jc w:val="center"/>
        <w:rPr>
          <w:b/>
          <w:szCs w:val="21"/>
        </w:rPr>
      </w:pPr>
      <w:r>
        <w:rPr>
          <w:rFonts w:hint="eastAsia"/>
          <w:b/>
          <w:szCs w:val="21"/>
        </w:rPr>
        <w:t>课程基本信息</w:t>
      </w:r>
    </w:p>
    <w:tbl>
      <w:tblPr>
        <w:tblStyle w:val="af6"/>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8"/>
        <w:gridCol w:w="2649"/>
        <w:gridCol w:w="3429"/>
      </w:tblGrid>
      <w:tr w:rsidR="00F5289E" w14:paraId="5A49ED55" w14:textId="77777777">
        <w:tc>
          <w:tcPr>
            <w:tcW w:w="3038" w:type="dxa"/>
          </w:tcPr>
          <w:p w14:paraId="76360BDC" w14:textId="77777777" w:rsidR="00F5289E" w:rsidRDefault="00C91173">
            <w:pPr>
              <w:spacing w:line="360" w:lineRule="auto"/>
              <w:rPr>
                <w:rFonts w:ascii="宋体" w:hAnsi="宋体"/>
                <w:b/>
                <w:bCs/>
                <w:szCs w:val="21"/>
              </w:rPr>
            </w:pPr>
            <w:r>
              <w:rPr>
                <w:rFonts w:ascii="宋体" w:hAnsi="宋体" w:hint="eastAsia"/>
                <w:b/>
                <w:bCs/>
                <w:szCs w:val="21"/>
              </w:rPr>
              <w:t>课程编号：</w:t>
            </w:r>
            <w:r w:rsidRPr="001B3040">
              <w:rPr>
                <w:rFonts w:ascii="宋体" w:hAnsi="宋体"/>
                <w:szCs w:val="21"/>
              </w:rPr>
              <w:t>19011030</w:t>
            </w:r>
          </w:p>
        </w:tc>
        <w:tc>
          <w:tcPr>
            <w:tcW w:w="2649" w:type="dxa"/>
          </w:tcPr>
          <w:p w14:paraId="1271EE96" w14:textId="77777777" w:rsidR="00F5289E" w:rsidRDefault="00C91173">
            <w:pPr>
              <w:spacing w:line="360" w:lineRule="auto"/>
              <w:rPr>
                <w:rFonts w:ascii="宋体" w:hAnsi="宋体"/>
                <w:b/>
                <w:bCs/>
                <w:szCs w:val="21"/>
              </w:rPr>
            </w:pPr>
            <w:r>
              <w:rPr>
                <w:rFonts w:ascii="宋体" w:hAnsi="宋体" w:hint="eastAsia"/>
                <w:b/>
                <w:bCs/>
                <w:szCs w:val="21"/>
              </w:rPr>
              <w:t>课程总学时：</w:t>
            </w:r>
            <w:r w:rsidRPr="001B3040">
              <w:rPr>
                <w:rFonts w:ascii="宋体" w:hAnsi="宋体"/>
                <w:szCs w:val="21"/>
              </w:rPr>
              <w:t>48</w:t>
            </w:r>
          </w:p>
        </w:tc>
        <w:tc>
          <w:tcPr>
            <w:tcW w:w="3429" w:type="dxa"/>
          </w:tcPr>
          <w:p w14:paraId="37DAA71E" w14:textId="77777777" w:rsidR="00F5289E" w:rsidRDefault="00C91173">
            <w:pPr>
              <w:spacing w:line="360" w:lineRule="auto"/>
              <w:rPr>
                <w:rFonts w:ascii="宋体" w:hAnsi="宋体"/>
                <w:b/>
                <w:bCs/>
                <w:szCs w:val="21"/>
              </w:rPr>
            </w:pPr>
            <w:r>
              <w:rPr>
                <w:rFonts w:ascii="宋体" w:hAnsi="宋体" w:hint="eastAsia"/>
                <w:b/>
                <w:bCs/>
                <w:szCs w:val="21"/>
              </w:rPr>
              <w:t>课程学分：</w:t>
            </w:r>
            <w:r w:rsidRPr="001B3040">
              <w:rPr>
                <w:rFonts w:ascii="宋体" w:hAnsi="宋体"/>
                <w:szCs w:val="21"/>
              </w:rPr>
              <w:t>3</w:t>
            </w:r>
          </w:p>
        </w:tc>
      </w:tr>
      <w:tr w:rsidR="00F5289E" w14:paraId="6E86DBAB" w14:textId="77777777">
        <w:tc>
          <w:tcPr>
            <w:tcW w:w="3038" w:type="dxa"/>
          </w:tcPr>
          <w:p w14:paraId="6122C200" w14:textId="77777777" w:rsidR="00F5289E" w:rsidRDefault="00C91173">
            <w:pPr>
              <w:spacing w:line="360" w:lineRule="auto"/>
              <w:rPr>
                <w:rFonts w:ascii="宋体" w:hAnsi="宋体"/>
                <w:b/>
                <w:bCs/>
                <w:szCs w:val="21"/>
              </w:rPr>
            </w:pPr>
            <w:r>
              <w:rPr>
                <w:rFonts w:ascii="宋体" w:hAnsi="宋体" w:hint="eastAsia"/>
                <w:b/>
                <w:bCs/>
                <w:szCs w:val="21"/>
              </w:rPr>
              <w:t>主撰人：</w:t>
            </w:r>
            <w:r w:rsidRPr="001B3040">
              <w:rPr>
                <w:rFonts w:ascii="宋体" w:hAnsi="宋体" w:hint="eastAsia"/>
                <w:szCs w:val="21"/>
              </w:rPr>
              <w:t>张世文，</w:t>
            </w:r>
            <w:r w:rsidRPr="001B3040">
              <w:rPr>
                <w:rFonts w:ascii="宋体" w:hAnsi="宋体"/>
                <w:szCs w:val="21"/>
              </w:rPr>
              <w:t>刘东明</w:t>
            </w:r>
          </w:p>
        </w:tc>
        <w:tc>
          <w:tcPr>
            <w:tcW w:w="2649" w:type="dxa"/>
          </w:tcPr>
          <w:p w14:paraId="0D7957F7" w14:textId="77777777" w:rsidR="00F5289E" w:rsidRDefault="00C91173">
            <w:pPr>
              <w:spacing w:line="360" w:lineRule="auto"/>
              <w:rPr>
                <w:rFonts w:ascii="宋体" w:hAnsi="宋体"/>
                <w:b/>
                <w:bCs/>
                <w:szCs w:val="21"/>
              </w:rPr>
            </w:pPr>
            <w:r>
              <w:rPr>
                <w:rFonts w:ascii="宋体" w:hAnsi="宋体" w:hint="eastAsia"/>
                <w:b/>
                <w:bCs/>
                <w:szCs w:val="21"/>
              </w:rPr>
              <w:t>审核人：</w:t>
            </w:r>
            <w:r w:rsidRPr="001B3040">
              <w:rPr>
                <w:rFonts w:ascii="宋体" w:hAnsi="宋体" w:hint="eastAsia"/>
                <w:szCs w:val="21"/>
              </w:rPr>
              <w:t>谭彬</w:t>
            </w:r>
          </w:p>
        </w:tc>
        <w:tc>
          <w:tcPr>
            <w:tcW w:w="3429" w:type="dxa"/>
          </w:tcPr>
          <w:p w14:paraId="033049AB" w14:textId="77777777" w:rsidR="00F5289E" w:rsidRPr="001B3040" w:rsidRDefault="00C91173">
            <w:pPr>
              <w:spacing w:line="36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w:t>
            </w:r>
            <w:r w:rsidRPr="001B3040">
              <w:rPr>
                <w:rFonts w:ascii="宋体" w:hAnsi="宋体"/>
                <w:szCs w:val="21"/>
              </w:rPr>
              <w:t>2</w:t>
            </w:r>
            <w:r w:rsidR="001B3040">
              <w:rPr>
                <w:rFonts w:ascii="宋体" w:hAnsi="宋体"/>
                <w:szCs w:val="21"/>
              </w:rPr>
              <w:t>3.05</w:t>
            </w:r>
          </w:p>
        </w:tc>
      </w:tr>
    </w:tbl>
    <w:p w14:paraId="46A611F4" w14:textId="77777777" w:rsidR="00F5289E" w:rsidRDefault="00C91173">
      <w:pPr>
        <w:pStyle w:val="a9"/>
        <w:spacing w:line="360" w:lineRule="auto"/>
        <w:rPr>
          <w:b/>
          <w:bCs/>
        </w:rPr>
      </w:pPr>
      <w:r>
        <w:rPr>
          <w:rFonts w:hint="eastAsia"/>
          <w:b/>
          <w:bCs/>
        </w:rPr>
        <w:t>一、课程的性质和地位</w:t>
      </w:r>
    </w:p>
    <w:p w14:paraId="6C0B9E85" w14:textId="77777777" w:rsidR="00F5289E" w:rsidRDefault="00C91173">
      <w:pPr>
        <w:pStyle w:val="a9"/>
        <w:spacing w:line="360" w:lineRule="auto"/>
        <w:ind w:firstLineChars="200" w:firstLine="420"/>
      </w:pPr>
      <w:r>
        <w:t>该课程为</w:t>
      </w:r>
      <w:r>
        <w:rPr>
          <w:rFonts w:hint="eastAsia"/>
        </w:rPr>
        <w:t>设工专业</w:t>
      </w:r>
      <w:r>
        <w:rPr>
          <w:rFonts w:ascii="Verdana" w:hAnsi="Verdana" w:cs="宋体" w:hint="eastAsia"/>
        </w:rPr>
        <w:t>专业选修</w:t>
      </w:r>
      <w:r>
        <w:rPr>
          <w:rFonts w:ascii="Verdana" w:hAnsi="Verdana" w:cs="宋体"/>
        </w:rPr>
        <w:t>课</w:t>
      </w:r>
      <w:r>
        <w:rPr>
          <w:rFonts w:hint="eastAsia"/>
        </w:rPr>
        <w:t>之一</w:t>
      </w:r>
      <w:r>
        <w:t>。要求</w:t>
      </w:r>
      <w:r>
        <w:rPr>
          <w:rFonts w:hint="eastAsia"/>
        </w:rPr>
        <w:t>在</w:t>
      </w:r>
      <w:r>
        <w:t>数、理、化、植物学、植物生理学和生物化学等课程</w:t>
      </w:r>
      <w:r>
        <w:rPr>
          <w:rFonts w:hint="eastAsia"/>
        </w:rPr>
        <w:t>学习的基础上，</w:t>
      </w:r>
      <w:r>
        <w:t>通过学习本课程，使学生掌握遗传与变异的基本规律</w:t>
      </w:r>
      <w:r>
        <w:rPr>
          <w:rFonts w:hint="eastAsia"/>
        </w:rPr>
        <w:t>，具备从事园艺植物遗传育种领域研究的能力和素养，并</w:t>
      </w:r>
      <w:r>
        <w:t>能</w:t>
      </w:r>
      <w:r>
        <w:rPr>
          <w:rFonts w:hint="eastAsia"/>
        </w:rPr>
        <w:t>够</w:t>
      </w:r>
      <w:r>
        <w:t>利用其基本知识指导园艺</w:t>
      </w:r>
      <w:r>
        <w:rPr>
          <w:rFonts w:hint="eastAsia"/>
        </w:rPr>
        <w:t>植物</w:t>
      </w:r>
      <w:r>
        <w:t>的育种实践</w:t>
      </w:r>
      <w:r>
        <w:rPr>
          <w:rFonts w:hint="eastAsia"/>
        </w:rPr>
        <w:t>。</w:t>
      </w:r>
      <w:r w:rsidR="001B3040" w:rsidRPr="001B3040">
        <w:rPr>
          <w:noProof/>
        </w:rPr>
        <w:drawing>
          <wp:inline distT="0" distB="0" distL="0" distR="0" wp14:anchorId="44034513" wp14:editId="4C7DCC6F">
            <wp:extent cx="5651500" cy="2866390"/>
            <wp:effectExtent l="0" t="0" r="0" b="3810"/>
            <wp:docPr id="30744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912" name=""/>
                    <pic:cNvPicPr/>
                  </pic:nvPicPr>
                  <pic:blipFill>
                    <a:blip r:embed="rId30"/>
                    <a:stretch>
                      <a:fillRect/>
                    </a:stretch>
                  </pic:blipFill>
                  <pic:spPr>
                    <a:xfrm>
                      <a:off x="0" y="0"/>
                      <a:ext cx="5651500" cy="2866390"/>
                    </a:xfrm>
                    <a:prstGeom prst="rect">
                      <a:avLst/>
                    </a:prstGeom>
                  </pic:spPr>
                </pic:pic>
              </a:graphicData>
            </a:graphic>
          </wp:inline>
        </w:drawing>
      </w:r>
    </w:p>
    <w:p w14:paraId="14CD4F3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23642D2C" w14:textId="77777777" w:rsidR="00F5289E" w:rsidRDefault="00C91173">
      <w:pPr>
        <w:snapToGrid w:val="0"/>
        <w:spacing w:beforeLines="50" w:before="156" w:line="360" w:lineRule="auto"/>
        <w:ind w:firstLineChars="200" w:firstLine="420"/>
        <w:rPr>
          <w:rFonts w:hAnsi="宋体"/>
          <w:kern w:val="0"/>
          <w:szCs w:val="21"/>
        </w:rPr>
      </w:pPr>
      <w:r>
        <w:rPr>
          <w:rFonts w:hAnsi="宋体"/>
          <w:kern w:val="0"/>
          <w:szCs w:val="21"/>
        </w:rPr>
        <w:t>掌握遗传变异的基本理论、基本规律</w:t>
      </w:r>
      <w:r>
        <w:rPr>
          <w:rFonts w:hAnsi="宋体" w:hint="eastAsia"/>
          <w:kern w:val="0"/>
          <w:szCs w:val="21"/>
        </w:rPr>
        <w:t>及其</w:t>
      </w:r>
      <w:r>
        <w:rPr>
          <w:rFonts w:hAnsi="宋体"/>
          <w:kern w:val="0"/>
          <w:szCs w:val="21"/>
        </w:rPr>
        <w:t>细胞学基础，了解遗传与</w:t>
      </w:r>
      <w:r>
        <w:rPr>
          <w:rFonts w:hAnsi="宋体" w:hint="eastAsia"/>
          <w:kern w:val="0"/>
          <w:szCs w:val="21"/>
        </w:rPr>
        <w:t>变异的分子生物学基础</w:t>
      </w:r>
      <w:r>
        <w:rPr>
          <w:rFonts w:hAnsi="宋体"/>
          <w:kern w:val="0"/>
          <w:szCs w:val="21"/>
        </w:rPr>
        <w:t>，并</w:t>
      </w:r>
      <w:r>
        <w:rPr>
          <w:rFonts w:hAnsi="宋体" w:hint="eastAsia"/>
          <w:kern w:val="0"/>
          <w:szCs w:val="21"/>
        </w:rPr>
        <w:t>熟悉</w:t>
      </w:r>
      <w:r>
        <w:rPr>
          <w:rFonts w:hAnsi="宋体"/>
          <w:kern w:val="0"/>
          <w:szCs w:val="21"/>
        </w:rPr>
        <w:t>遗传学理论在育种上的应用概况。</w:t>
      </w:r>
    </w:p>
    <w:p w14:paraId="5525BC10" w14:textId="77777777" w:rsidR="00F5289E" w:rsidRDefault="00C91173">
      <w:pPr>
        <w:snapToGrid w:val="0"/>
        <w:spacing w:beforeLines="50" w:before="156" w:line="360" w:lineRule="auto"/>
        <w:rPr>
          <w:rFonts w:hAnsi="宋体"/>
          <w:b/>
          <w:kern w:val="0"/>
          <w:szCs w:val="21"/>
        </w:rPr>
      </w:pPr>
      <w:r>
        <w:rPr>
          <w:rFonts w:hAnsi="宋体" w:hint="eastAsia"/>
          <w:b/>
          <w:kern w:val="0"/>
          <w:szCs w:val="21"/>
        </w:rPr>
        <w:t>上篇遗传学部分</w:t>
      </w:r>
    </w:p>
    <w:p w14:paraId="23AC8BCE"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hAnsi="宋体" w:hint="eastAsia"/>
          <w:b/>
          <w:bCs/>
          <w:kern w:val="0"/>
          <w:szCs w:val="21"/>
        </w:rPr>
        <w:t>绪</w:t>
      </w:r>
      <w:r>
        <w:rPr>
          <w:rFonts w:hAnsi="宋体" w:hint="eastAsia"/>
          <w:b/>
          <w:bCs/>
          <w:kern w:val="0"/>
          <w:szCs w:val="21"/>
        </w:rPr>
        <w:t xml:space="preserve">  </w:t>
      </w:r>
      <w:r>
        <w:rPr>
          <w:rFonts w:hAnsi="宋体" w:hint="eastAsia"/>
          <w:b/>
          <w:bCs/>
          <w:kern w:val="0"/>
          <w:szCs w:val="21"/>
        </w:rPr>
        <w:t>论</w:t>
      </w:r>
      <w:r>
        <w:rPr>
          <w:rFonts w:hAnsi="宋体" w:hint="eastAsia"/>
          <w:b/>
          <w:bCs/>
          <w:kern w:val="0"/>
          <w:szCs w:val="21"/>
        </w:rPr>
        <w:t xml:space="preserve"> </w:t>
      </w:r>
    </w:p>
    <w:p w14:paraId="2D7C171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C8E51C8" w14:textId="77777777" w:rsidR="00F5289E" w:rsidRDefault="00C91173">
      <w:pPr>
        <w:spacing w:beforeLines="50" w:before="156" w:line="360" w:lineRule="auto"/>
        <w:ind w:firstLineChars="200" w:firstLine="422"/>
      </w:pPr>
      <w:r>
        <w:rPr>
          <w:rFonts w:ascii="宋体" w:hAnsi="宋体" w:hint="eastAsia"/>
          <w:b/>
          <w:szCs w:val="21"/>
        </w:rPr>
        <w:t>1. 一般了解</w:t>
      </w:r>
      <w:r>
        <w:rPr>
          <w:rFonts w:ascii="宋体" w:hAnsi="宋体" w:hint="eastAsia"/>
          <w:szCs w:val="21"/>
        </w:rPr>
        <w:t>：</w:t>
      </w:r>
      <w:r>
        <w:rPr>
          <w:rFonts w:hint="eastAsia"/>
        </w:rPr>
        <w:t>通过绪论的学习，应该熟悉遗传学的历史、现状及未来发展趋势。了解遗传学在国民经济中的地位，从工、农、医、环境保护等方面介绍遗传学的应用。</w:t>
      </w:r>
    </w:p>
    <w:p w14:paraId="4AE40E44"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lastRenderedPageBreak/>
        <w:t>2. 一般掌握</w:t>
      </w:r>
      <w:r>
        <w:rPr>
          <w:rFonts w:ascii="宋体" w:hAnsi="宋体" w:hint="eastAsia"/>
          <w:szCs w:val="21"/>
        </w:rPr>
        <w:t>：遗传学研究内容和任务。</w:t>
      </w:r>
    </w:p>
    <w:p w14:paraId="2A0431C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：遗传、变异的概念和遗传学的概念。</w:t>
      </w:r>
    </w:p>
    <w:p w14:paraId="7DF6686B"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110DBDC"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szCs w:val="21"/>
        </w:rPr>
        <w:t>1.</w:t>
      </w:r>
      <w:r>
        <w:rPr>
          <w:rFonts w:ascii="宋体" w:hAnsi="宋体" w:hint="eastAsia"/>
          <w:szCs w:val="21"/>
        </w:rPr>
        <w:t xml:space="preserve">遗传和变异的概念、遗传学的概念；遗传学的任务。 </w:t>
      </w:r>
    </w:p>
    <w:p w14:paraId="2ECF8507"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szCs w:val="21"/>
        </w:rPr>
        <w:t>2.</w:t>
      </w:r>
      <w:r>
        <w:rPr>
          <w:rFonts w:ascii="宋体" w:hAnsi="宋体" w:hint="eastAsia"/>
          <w:szCs w:val="21"/>
        </w:rPr>
        <w:t>遗传与变异的辨证关系。</w:t>
      </w:r>
    </w:p>
    <w:p w14:paraId="6A2F2BF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EB78FEF"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int="eastAsia"/>
        </w:rPr>
        <w:t>遗传、变异的基本概念。</w:t>
      </w:r>
    </w:p>
    <w:p w14:paraId="53198370" w14:textId="77777777" w:rsidR="00F5289E" w:rsidRDefault="00C91173">
      <w:pPr>
        <w:snapToGrid w:val="0"/>
        <w:spacing w:beforeLines="50" w:before="156" w:line="360" w:lineRule="auto"/>
        <w:ind w:firstLineChars="200" w:firstLine="422"/>
      </w:pPr>
      <w:r>
        <w:rPr>
          <w:rFonts w:ascii="宋体" w:hAnsi="宋体" w:hint="eastAsia"/>
          <w:b/>
          <w:szCs w:val="21"/>
        </w:rPr>
        <w:t>2.领会</w:t>
      </w:r>
      <w:r>
        <w:rPr>
          <w:rFonts w:ascii="宋体" w:hAnsi="宋体" w:hint="eastAsia"/>
          <w:szCs w:val="21"/>
        </w:rPr>
        <w:t>：</w:t>
      </w:r>
      <w:r>
        <w:rPr>
          <w:rFonts w:hint="eastAsia"/>
        </w:rPr>
        <w:t>选择在园艺植物进化和发展中的创造性作用，遗传学在园艺植物育种中的作用。</w:t>
      </w:r>
    </w:p>
    <w:p w14:paraId="14D441B2"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w:t>
      </w:r>
      <w:r>
        <w:rPr>
          <w:rFonts w:hint="eastAsia"/>
        </w:rPr>
        <w:t>能够利用本章知识解释生物后代性状表现的多样性。</w:t>
      </w:r>
    </w:p>
    <w:p w14:paraId="2DE9139F"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hint="eastAsia"/>
        </w:rPr>
        <w:t>能够利用本章知识初步分析</w:t>
      </w:r>
      <w:r>
        <w:t>变异</w:t>
      </w:r>
      <w:r>
        <w:rPr>
          <w:rFonts w:hint="eastAsia"/>
        </w:rPr>
        <w:t>的来源。</w:t>
      </w:r>
    </w:p>
    <w:p w14:paraId="61A278F3"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能够利用本章知识解释</w:t>
      </w:r>
      <w:r>
        <w:t>创造新变异在育种中的作用</w:t>
      </w:r>
      <w:r>
        <w:rPr>
          <w:rFonts w:hint="eastAsia"/>
        </w:rPr>
        <w:t>。</w:t>
      </w:r>
    </w:p>
    <w:p w14:paraId="3106F95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6.评价：</w:t>
      </w:r>
      <w:r>
        <w:rPr>
          <w:rFonts w:hint="eastAsia"/>
        </w:rPr>
        <w:t>能够利用本章知识初步评价变异的特点。</w:t>
      </w:r>
    </w:p>
    <w:p w14:paraId="73984A21" w14:textId="77777777" w:rsidR="00F5289E" w:rsidRDefault="00C91173">
      <w:pPr>
        <w:pStyle w:val="a9"/>
        <w:snapToGrid w:val="0"/>
        <w:spacing w:beforeLines="100" w:before="312" w:line="360" w:lineRule="auto"/>
        <w:ind w:firstLine="422"/>
        <w:jc w:val="center"/>
        <w:rPr>
          <w:rFonts w:hAnsi="宋体"/>
          <w:b/>
        </w:rPr>
      </w:pPr>
      <w:r>
        <w:rPr>
          <w:rFonts w:hAnsi="宋体" w:hint="eastAsia"/>
          <w:b/>
        </w:rPr>
        <w:t>第</w:t>
      </w:r>
      <w:r>
        <w:rPr>
          <w:rFonts w:hAnsi="宋体"/>
          <w:b/>
        </w:rPr>
        <w:t>一</w:t>
      </w:r>
      <w:r>
        <w:rPr>
          <w:rFonts w:hAnsi="宋体" w:hint="eastAsia"/>
          <w:b/>
        </w:rPr>
        <w:t xml:space="preserve">章 </w:t>
      </w:r>
      <w:r>
        <w:rPr>
          <w:rFonts w:hAnsi="宋体"/>
          <w:b/>
        </w:rPr>
        <w:t xml:space="preserve"> </w:t>
      </w:r>
      <w:r>
        <w:rPr>
          <w:rFonts w:hint="eastAsia"/>
          <w:b/>
          <w:bCs/>
          <w:kern w:val="0"/>
        </w:rPr>
        <w:t>遗传的细胞学基础</w:t>
      </w:r>
    </w:p>
    <w:p w14:paraId="3460D7CA" w14:textId="77777777" w:rsidR="00F5289E" w:rsidRDefault="00C91173">
      <w:pPr>
        <w:snapToGrid w:val="0"/>
        <w:spacing w:line="360" w:lineRule="auto"/>
        <w:rPr>
          <w:rFonts w:ascii="宋体" w:hAnsi="宋体"/>
          <w:b/>
          <w:szCs w:val="21"/>
        </w:rPr>
      </w:pPr>
      <w:r>
        <w:rPr>
          <w:rFonts w:ascii="宋体" w:hAnsi="宋体" w:hint="eastAsia"/>
          <w:b/>
          <w:szCs w:val="21"/>
        </w:rPr>
        <w:t>（一）学习目的与要求</w:t>
      </w:r>
    </w:p>
    <w:p w14:paraId="0243275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细胞的结构、核内和核外遗传体系的概念</w:t>
      </w:r>
      <w:r>
        <w:rPr>
          <w:rFonts w:hint="eastAsia"/>
        </w:rPr>
        <w:t>。</w:t>
      </w:r>
    </w:p>
    <w:p w14:paraId="65490EF8"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细胞中遗传物质的存在方式、</w:t>
      </w:r>
      <w:r>
        <w:rPr>
          <w:rFonts w:ascii="宋体" w:hAnsi="宋体" w:cs="宋体" w:hint="eastAsia"/>
          <w:kern w:val="0"/>
          <w:szCs w:val="21"/>
        </w:rPr>
        <w:t>染色体在细胞分裂过程中分离和重组规律，</w:t>
      </w:r>
      <w:r>
        <w:rPr>
          <w:rFonts w:hAnsi="宋体" w:hint="eastAsia"/>
          <w:kern w:val="0"/>
          <w:szCs w:val="21"/>
        </w:rPr>
        <w:t>细胞分裂周期的控制理论。</w:t>
      </w:r>
    </w:p>
    <w:p w14:paraId="3ED01C2F"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染色体概念、结构特点，能够从细胞学水平解释园艺植物有性、无性繁殖时，遗传物质在上下代之间传递规律及性状的表达规律。</w:t>
      </w:r>
    </w:p>
    <w:p w14:paraId="50D60A9E"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3E623D8B" w14:textId="77777777" w:rsidR="00F5289E" w:rsidRDefault="00C91173">
      <w:pPr>
        <w:snapToGrid w:val="0"/>
        <w:spacing w:beforeLines="50" w:before="156" w:line="360" w:lineRule="auto"/>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细胞的结构和核内、核外遗传体系的概念；遗传物质在细胞中的主要形态、数目和结构特点。</w:t>
      </w:r>
    </w:p>
    <w:p w14:paraId="59DFD7C9" w14:textId="77777777" w:rsidR="00F5289E" w:rsidRDefault="00C91173">
      <w:pPr>
        <w:snapToGrid w:val="0"/>
        <w:spacing w:beforeLines="50" w:before="156" w:line="360" w:lineRule="auto"/>
        <w:ind w:firstLineChars="200" w:firstLine="420"/>
        <w:rPr>
          <w:rFonts w:ascii="宋体" w:hAnsi="宋体"/>
          <w:kern w:val="0"/>
          <w:szCs w:val="21"/>
        </w:rPr>
      </w:pPr>
      <w:r>
        <w:rPr>
          <w:rFonts w:ascii="宋体" w:hAnsi="宋体" w:hint="eastAsia"/>
          <w:kern w:val="0"/>
          <w:szCs w:val="21"/>
        </w:rPr>
        <w:t>2.染色体在细胞分裂过程中分离和重组的特点，即染色体的复制、分裂、交换理论以及园艺植物细胞的分裂周期理论。</w:t>
      </w:r>
    </w:p>
    <w:p w14:paraId="7B660F23" w14:textId="77777777" w:rsidR="00F5289E" w:rsidRDefault="00C91173">
      <w:pPr>
        <w:snapToGrid w:val="0"/>
        <w:spacing w:beforeLines="50" w:before="156" w:line="360" w:lineRule="auto"/>
        <w:ind w:firstLineChars="200" w:firstLine="420"/>
        <w:rPr>
          <w:rFonts w:ascii="宋体" w:hAnsi="宋体"/>
          <w:kern w:val="0"/>
          <w:szCs w:val="21"/>
        </w:rPr>
      </w:pPr>
      <w:r>
        <w:rPr>
          <w:rFonts w:ascii="宋体" w:hAnsi="宋体"/>
          <w:kern w:val="0"/>
          <w:szCs w:val="21"/>
        </w:rPr>
        <w:t>3.</w:t>
      </w:r>
      <w:r>
        <w:rPr>
          <w:rFonts w:ascii="宋体" w:hAnsi="宋体" w:hint="eastAsia"/>
          <w:kern w:val="0"/>
          <w:szCs w:val="21"/>
        </w:rPr>
        <w:t>园艺植物有性、无性繁殖时，遗传物质在上下代之间传递规律及性状的表达特点。</w:t>
      </w:r>
    </w:p>
    <w:p w14:paraId="155F98B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F738193"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lastRenderedPageBreak/>
        <w:t>1.识记</w:t>
      </w:r>
      <w:r>
        <w:rPr>
          <w:rFonts w:ascii="宋体" w:hAnsi="宋体" w:hint="eastAsia"/>
          <w:szCs w:val="21"/>
        </w:rPr>
        <w:t>：</w:t>
      </w:r>
      <w:r>
        <w:rPr>
          <w:rFonts w:hint="eastAsia"/>
        </w:rPr>
        <w:t>孢子体、雌配子体、雄配子体、同源染色体、异源染色体、染色质、有丝分裂、减数分裂、染色体、单倍体、联会、无融合生殖等基本概念</w:t>
      </w:r>
      <w:r>
        <w:rPr>
          <w:rFonts w:hAnsi="宋体"/>
          <w:kern w:val="0"/>
          <w:szCs w:val="21"/>
        </w:rPr>
        <w:t>。</w:t>
      </w:r>
    </w:p>
    <w:p w14:paraId="5D3EA1FE"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：细胞周期；</w:t>
      </w:r>
      <w:r>
        <w:rPr>
          <w:rFonts w:hint="eastAsia"/>
        </w:rPr>
        <w:t>有丝分裂与减数分裂的遗传学意义，双受精过程等</w:t>
      </w:r>
      <w:r>
        <w:rPr>
          <w:rFonts w:hAnsi="宋体"/>
          <w:kern w:val="0"/>
          <w:szCs w:val="21"/>
        </w:rPr>
        <w:t>。</w:t>
      </w:r>
    </w:p>
    <w:p w14:paraId="46D972F3"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w:t>
      </w:r>
      <w:r>
        <w:rPr>
          <w:rFonts w:hint="eastAsia"/>
        </w:rPr>
        <w:t>能够利用本章知识解释生物后代性状表现的多样性。</w:t>
      </w:r>
    </w:p>
    <w:p w14:paraId="1F1BC0C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hint="eastAsia"/>
        </w:rPr>
        <w:t>能够利用本章知识从细胞学水平分析遗传变异的来源。</w:t>
      </w:r>
    </w:p>
    <w:p w14:paraId="06BF465F"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能够利用本章知识解释</w:t>
      </w:r>
      <w:r>
        <w:rPr>
          <w:rFonts w:hAnsi="宋体" w:hint="eastAsia"/>
          <w:kern w:val="0"/>
          <w:szCs w:val="21"/>
        </w:rPr>
        <w:t>园艺植物有性、无性繁殖时，遗传物质在上下代之间传递规律及性状的表达特点</w:t>
      </w:r>
      <w:r>
        <w:rPr>
          <w:rFonts w:hint="eastAsia"/>
        </w:rPr>
        <w:t>。</w:t>
      </w:r>
    </w:p>
    <w:p w14:paraId="72FB6733"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6.评价：</w:t>
      </w:r>
      <w:r>
        <w:rPr>
          <w:rFonts w:hint="eastAsia"/>
        </w:rPr>
        <w:t>能够利用本章初步评价</w:t>
      </w:r>
      <w:r>
        <w:rPr>
          <w:rFonts w:hAnsi="宋体" w:hint="eastAsia"/>
          <w:kern w:val="0"/>
          <w:szCs w:val="21"/>
        </w:rPr>
        <w:t>园艺植物有性、无性繁殖的在生产中价值。</w:t>
      </w:r>
    </w:p>
    <w:p w14:paraId="31B314AD" w14:textId="77777777" w:rsidR="00F5289E" w:rsidRDefault="00C91173">
      <w:pPr>
        <w:pStyle w:val="a9"/>
        <w:snapToGrid w:val="0"/>
        <w:spacing w:beforeLines="100" w:before="312" w:line="360" w:lineRule="auto"/>
        <w:ind w:firstLine="422"/>
        <w:jc w:val="center"/>
        <w:rPr>
          <w:rFonts w:hAnsi="宋体"/>
          <w:b/>
        </w:rPr>
      </w:pPr>
      <w:r>
        <w:rPr>
          <w:rFonts w:hAnsi="宋体" w:hint="eastAsia"/>
          <w:b/>
        </w:rPr>
        <w:t>第二章</w:t>
      </w:r>
      <w:r>
        <w:rPr>
          <w:b/>
          <w:bCs/>
          <w:kern w:val="0"/>
        </w:rPr>
        <w:t> </w:t>
      </w:r>
      <w:r>
        <w:rPr>
          <w:b/>
          <w:bCs/>
          <w:kern w:val="0"/>
        </w:rPr>
        <w:t xml:space="preserve"> </w:t>
      </w:r>
      <w:r>
        <w:rPr>
          <w:rFonts w:hint="eastAsia"/>
          <w:b/>
          <w:bCs/>
          <w:kern w:val="0"/>
        </w:rPr>
        <w:t xml:space="preserve">孟德尔遗传规律 </w:t>
      </w:r>
      <w:r>
        <w:rPr>
          <w:b/>
          <w:bCs/>
          <w:kern w:val="0"/>
        </w:rPr>
        <w:t xml:space="preserve"> </w:t>
      </w:r>
      <w:r>
        <w:rPr>
          <w:rFonts w:hAnsi="宋体" w:hint="eastAsia"/>
          <w:b/>
          <w:bCs/>
          <w:kern w:val="0"/>
        </w:rPr>
        <w:t xml:space="preserve"> </w:t>
      </w:r>
      <w:r>
        <w:rPr>
          <w:rFonts w:hAnsi="宋体"/>
          <w:b/>
          <w:bCs/>
          <w:kern w:val="0"/>
        </w:rPr>
        <w:t xml:space="preserve"> </w:t>
      </w:r>
    </w:p>
    <w:p w14:paraId="3E2D022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FB8225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了解</w:t>
      </w:r>
      <w:r>
        <w:rPr>
          <w:rFonts w:ascii="宋体" w:hAnsi="宋体" w:cs="宋体" w:hint="eastAsia"/>
          <w:kern w:val="0"/>
          <w:szCs w:val="21"/>
        </w:rPr>
        <w:t>分离规律的现象及验证方法；</w:t>
      </w:r>
      <w:r>
        <w:rPr>
          <w:rFonts w:ascii="宋体" w:hAnsi="宋体" w:hint="eastAsia"/>
          <w:szCs w:val="21"/>
        </w:rPr>
        <w:t>两对和两对以上的独立性状的遗传现象</w:t>
      </w:r>
      <w:r>
        <w:rPr>
          <w:rFonts w:ascii="宋体" w:hAnsi="宋体" w:cs="宋体" w:hint="eastAsia"/>
          <w:kern w:val="0"/>
          <w:szCs w:val="21"/>
        </w:rPr>
        <w:t>及验证方法；</w:t>
      </w:r>
      <w:r>
        <w:rPr>
          <w:rFonts w:hAnsi="宋体" w:hint="eastAsia"/>
          <w:kern w:val="0"/>
          <w:szCs w:val="21"/>
        </w:rPr>
        <w:t>理解</w:t>
      </w:r>
      <w:r>
        <w:rPr>
          <w:rFonts w:ascii="宋体" w:hAnsi="宋体" w:cs="宋体" w:hint="eastAsia"/>
          <w:kern w:val="0"/>
          <w:szCs w:val="21"/>
        </w:rPr>
        <w:t>基因互作和性状的表现的关系</w:t>
      </w:r>
      <w:r>
        <w:rPr>
          <w:rFonts w:ascii="宋体" w:hAnsi="宋体" w:hint="eastAsia"/>
          <w:szCs w:val="21"/>
        </w:rPr>
        <w:t>。了解以及利用测交法和自交法进行</w:t>
      </w:r>
      <w:r>
        <w:rPr>
          <w:rFonts w:ascii="宋体" w:hAnsi="宋体" w:cs="宋体" w:hint="eastAsia"/>
          <w:kern w:val="0"/>
          <w:szCs w:val="21"/>
        </w:rPr>
        <w:t>分离规律，</w:t>
      </w:r>
      <w:r>
        <w:rPr>
          <w:rFonts w:ascii="宋体" w:hAnsi="宋体" w:hint="eastAsia"/>
          <w:szCs w:val="21"/>
        </w:rPr>
        <w:t>独立分配规律验证的方法。</w:t>
      </w:r>
    </w:p>
    <w:p w14:paraId="360AB98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掌握</w:t>
      </w:r>
      <w:r>
        <w:rPr>
          <w:rFonts w:ascii="宋体" w:hAnsi="宋体" w:cs="宋体" w:hint="eastAsia"/>
          <w:kern w:val="0"/>
          <w:szCs w:val="21"/>
        </w:rPr>
        <w:t>性状表现及其与环境的关系。</w:t>
      </w:r>
      <w:r>
        <w:rPr>
          <w:rFonts w:hint="eastAsia"/>
        </w:rPr>
        <w:t>六种基本的基因互作方式及其概念、机理及作用特点；一因多效和多因一效的现象和概念，并能从生理生化角度解释一因多效和多因一效的机理。</w:t>
      </w:r>
    </w:p>
    <w:p w14:paraId="547C39E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ascii="宋体" w:hAnsi="宋体" w:cs="宋体" w:hint="eastAsia"/>
          <w:kern w:val="0"/>
          <w:szCs w:val="21"/>
        </w:rPr>
        <w:t>概率原理在遗传研究中的应用。一对基因分离，</w:t>
      </w:r>
      <w:r>
        <w:rPr>
          <w:rFonts w:hint="eastAsia"/>
        </w:rPr>
        <w:t>两对和两对以上的独立性状的遗传规律、配子形成类型以及杂交后代性状、基因组成的分析方法；运用乘法定理、加法定理进行后代个体基因型、表现型的类型及比例推算。</w:t>
      </w:r>
    </w:p>
    <w:p w14:paraId="3CC6F052"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36FE4E9C"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．分离规律的现象及验证方法，显性性状表现及其与环境的关系，利用分离规律在育种实践中进行后代性状预测、群体大小预测的方法。</w:t>
      </w:r>
    </w:p>
    <w:p w14:paraId="551A81D3"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．两对相对性状的遗传及验证方法，多对相对性状的遗传，概率原理在遗传研究中的应用，基因互作和性状的表现的关系，独立分配规律在育种实践中的重要意义。</w:t>
      </w:r>
    </w:p>
    <w:p w14:paraId="74F35C9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734A829"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1.识记</w:t>
      </w:r>
      <w:r>
        <w:rPr>
          <w:rFonts w:ascii="宋体" w:hAnsi="宋体" w:hint="eastAsia"/>
          <w:szCs w:val="21"/>
        </w:rPr>
        <w:t>：</w:t>
      </w:r>
      <w:r>
        <w:rPr>
          <w:rFonts w:hint="eastAsia"/>
        </w:rPr>
        <w:t>单位性状、相对性状、显性性状、隐性性状、测交、自交、基因型、表现型、纯合体、杂合体、完全显性、不完全显性、等位基因、基因互作、返祖遗传、多因一效、一因多效等概念。</w:t>
      </w:r>
    </w:p>
    <w:p w14:paraId="7A23FE7D"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int="eastAsia"/>
        </w:rPr>
        <w:t>分离规律的现象和实质，独立分配规律和基因互作的现象和实质</w:t>
      </w:r>
      <w:r>
        <w:rPr>
          <w:rFonts w:hAnsi="宋体"/>
          <w:kern w:val="0"/>
          <w:szCs w:val="21"/>
        </w:rPr>
        <w:t>。</w:t>
      </w:r>
    </w:p>
    <w:p w14:paraId="51E6FA32" w14:textId="77777777" w:rsidR="00F5289E" w:rsidRDefault="00C91173">
      <w:pPr>
        <w:snapToGrid w:val="0"/>
        <w:spacing w:beforeLines="50" w:before="156" w:line="360" w:lineRule="auto"/>
        <w:ind w:firstLineChars="200" w:firstLine="422"/>
      </w:pPr>
      <w:r>
        <w:rPr>
          <w:rFonts w:ascii="宋体" w:hAnsi="宋体" w:hint="eastAsia"/>
          <w:b/>
          <w:szCs w:val="21"/>
        </w:rPr>
        <w:lastRenderedPageBreak/>
        <w:t>3.应用</w:t>
      </w:r>
      <w:r>
        <w:rPr>
          <w:rFonts w:ascii="宋体" w:hAnsi="宋体" w:hint="eastAsia"/>
          <w:szCs w:val="21"/>
        </w:rPr>
        <w:t>：利用本章所学知识，</w:t>
      </w:r>
      <w:r>
        <w:rPr>
          <w:rFonts w:hint="eastAsia"/>
        </w:rPr>
        <w:t>根据性状的遗传规律和选择目标，设计适宜的杂交组合。</w:t>
      </w:r>
    </w:p>
    <w:p w14:paraId="2519228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4.分析</w:t>
      </w:r>
      <w:r>
        <w:rPr>
          <w:rFonts w:ascii="宋体" w:hAnsi="宋体"/>
          <w:b/>
          <w:szCs w:val="21"/>
        </w:rPr>
        <w:t>：</w:t>
      </w:r>
      <w:r>
        <w:rPr>
          <w:rFonts w:ascii="宋体" w:hAnsi="宋体" w:hint="eastAsia"/>
          <w:szCs w:val="21"/>
        </w:rPr>
        <w:t>利用</w:t>
      </w:r>
      <w:r>
        <w:rPr>
          <w:rFonts w:ascii="宋体" w:hAnsi="宋体"/>
          <w:szCs w:val="21"/>
        </w:rPr>
        <w:t>本章所</w:t>
      </w:r>
      <w:r>
        <w:rPr>
          <w:rFonts w:ascii="宋体" w:hAnsi="宋体" w:hint="eastAsia"/>
          <w:szCs w:val="21"/>
        </w:rPr>
        <w:t>学</w:t>
      </w:r>
      <w:r>
        <w:rPr>
          <w:rFonts w:ascii="宋体" w:hAnsi="宋体"/>
          <w:szCs w:val="21"/>
        </w:rPr>
        <w:t>知识，</w:t>
      </w:r>
      <w:r>
        <w:rPr>
          <w:rFonts w:ascii="宋体" w:hAnsi="宋体" w:hint="eastAsia"/>
          <w:szCs w:val="21"/>
        </w:rPr>
        <w:t>能</w:t>
      </w:r>
      <w:r>
        <w:rPr>
          <w:rFonts w:ascii="宋体" w:hAnsi="宋体"/>
          <w:szCs w:val="21"/>
        </w:rPr>
        <w:t>对性状分离现象</w:t>
      </w:r>
      <w:r>
        <w:rPr>
          <w:rFonts w:ascii="宋体" w:hAnsi="宋体" w:hint="eastAsia"/>
          <w:szCs w:val="21"/>
        </w:rPr>
        <w:t>、独立</w:t>
      </w:r>
      <w:r>
        <w:rPr>
          <w:rFonts w:ascii="宋体" w:hAnsi="宋体"/>
          <w:szCs w:val="21"/>
        </w:rPr>
        <w:t>分配现象及后代</w:t>
      </w:r>
      <w:r>
        <w:rPr>
          <w:rFonts w:ascii="宋体" w:hAnsi="宋体" w:hint="eastAsia"/>
          <w:szCs w:val="21"/>
        </w:rPr>
        <w:t>表型</w:t>
      </w:r>
      <w:r>
        <w:rPr>
          <w:rFonts w:ascii="宋体" w:hAnsi="宋体"/>
          <w:szCs w:val="21"/>
        </w:rPr>
        <w:t>分离比进行合理分析。</w:t>
      </w:r>
    </w:p>
    <w:p w14:paraId="504DC6F8"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：利用本章所学知识，</w:t>
      </w:r>
      <w:r>
        <w:rPr>
          <w:rFonts w:hint="eastAsia"/>
        </w:rPr>
        <w:t>对杂交组合后代个体的性状进行预测、确定群体的大小。</w:t>
      </w:r>
    </w:p>
    <w:p w14:paraId="52D6E798" w14:textId="77777777" w:rsidR="00F5289E" w:rsidRDefault="00C91173">
      <w:pPr>
        <w:snapToGrid w:val="0"/>
        <w:spacing w:beforeLines="50" w:before="156" w:line="360" w:lineRule="auto"/>
        <w:ind w:firstLineChars="200" w:firstLine="422"/>
      </w:pPr>
      <w:r>
        <w:rPr>
          <w:rFonts w:ascii="宋体" w:hAnsi="宋体" w:hint="eastAsia"/>
          <w:b/>
          <w:szCs w:val="21"/>
        </w:rPr>
        <w:t>6.评价：</w:t>
      </w:r>
      <w:r>
        <w:rPr>
          <w:rFonts w:ascii="宋体" w:hAnsi="宋体" w:hint="eastAsia"/>
          <w:szCs w:val="21"/>
        </w:rPr>
        <w:t>利用本章</w:t>
      </w:r>
      <w:r>
        <w:rPr>
          <w:rFonts w:ascii="宋体" w:hAnsi="宋体"/>
          <w:szCs w:val="21"/>
        </w:rPr>
        <w:t>知识，对</w:t>
      </w:r>
      <w:r>
        <w:rPr>
          <w:rFonts w:ascii="宋体" w:hAnsi="宋体" w:hint="eastAsia"/>
          <w:szCs w:val="21"/>
        </w:rPr>
        <w:t>园艺</w:t>
      </w:r>
      <w:r>
        <w:rPr>
          <w:rFonts w:ascii="宋体" w:hAnsi="宋体"/>
          <w:szCs w:val="21"/>
        </w:rPr>
        <w:t>作物性状</w:t>
      </w:r>
      <w:r>
        <w:rPr>
          <w:rFonts w:ascii="宋体" w:hAnsi="宋体" w:hint="eastAsia"/>
          <w:szCs w:val="21"/>
        </w:rPr>
        <w:t>常见</w:t>
      </w:r>
      <w:r>
        <w:rPr>
          <w:rFonts w:ascii="宋体" w:hAnsi="宋体"/>
          <w:szCs w:val="21"/>
        </w:rPr>
        <w:t>的</w:t>
      </w:r>
      <w:r>
        <w:rPr>
          <w:rFonts w:ascii="宋体" w:hAnsi="宋体" w:hint="eastAsia"/>
          <w:szCs w:val="21"/>
        </w:rPr>
        <w:t>分离</w:t>
      </w:r>
      <w:r>
        <w:rPr>
          <w:rFonts w:ascii="宋体" w:hAnsi="宋体"/>
          <w:szCs w:val="21"/>
        </w:rPr>
        <w:t>及自由组合现象</w:t>
      </w:r>
      <w:r>
        <w:rPr>
          <w:rFonts w:ascii="宋体" w:hAnsi="宋体" w:hint="eastAsia"/>
          <w:szCs w:val="21"/>
        </w:rPr>
        <w:t>进行</w:t>
      </w:r>
      <w:r>
        <w:rPr>
          <w:rFonts w:ascii="宋体" w:hAnsi="宋体"/>
          <w:szCs w:val="21"/>
        </w:rPr>
        <w:t>评价分析</w:t>
      </w:r>
      <w:r>
        <w:rPr>
          <w:rFonts w:ascii="宋体" w:hAnsi="宋体" w:hint="eastAsia"/>
          <w:szCs w:val="21"/>
        </w:rPr>
        <w:t>。</w:t>
      </w:r>
    </w:p>
    <w:p w14:paraId="197F8159" w14:textId="77777777" w:rsidR="00F5289E" w:rsidRDefault="00C91173">
      <w:pPr>
        <w:pStyle w:val="a9"/>
        <w:snapToGrid w:val="0"/>
        <w:spacing w:beforeLines="100" w:before="312" w:line="360" w:lineRule="auto"/>
        <w:ind w:firstLine="422"/>
        <w:jc w:val="center"/>
        <w:rPr>
          <w:rFonts w:hAnsi="宋体"/>
          <w:b/>
        </w:rPr>
      </w:pPr>
      <w:r>
        <w:rPr>
          <w:rFonts w:hAnsi="宋体" w:hint="eastAsia"/>
          <w:b/>
        </w:rPr>
        <w:t>第</w:t>
      </w:r>
      <w:r>
        <w:rPr>
          <w:rFonts w:hAnsi="宋体"/>
          <w:b/>
        </w:rPr>
        <w:t>三</w:t>
      </w:r>
      <w:r>
        <w:rPr>
          <w:rFonts w:hAnsi="宋体" w:hint="eastAsia"/>
          <w:b/>
        </w:rPr>
        <w:t xml:space="preserve">章 </w:t>
      </w:r>
      <w:r>
        <w:rPr>
          <w:rFonts w:hAnsi="宋体"/>
          <w:b/>
        </w:rPr>
        <w:t xml:space="preserve"> </w:t>
      </w:r>
      <w:r>
        <w:rPr>
          <w:rFonts w:hint="eastAsia"/>
          <w:b/>
          <w:bCs/>
          <w:kern w:val="0"/>
        </w:rPr>
        <w:t xml:space="preserve">连锁遗传规律 </w:t>
      </w:r>
    </w:p>
    <w:p w14:paraId="4B91DF9D"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63C714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：连锁遗传的现象</w:t>
      </w:r>
      <w:r>
        <w:rPr>
          <w:rFonts w:ascii="宋体" w:hAnsi="宋体"/>
          <w:szCs w:val="21"/>
        </w:rPr>
        <w:t>及</w:t>
      </w:r>
      <w:r>
        <w:rPr>
          <w:rFonts w:ascii="宋体" w:hAnsi="宋体" w:hint="eastAsia"/>
          <w:szCs w:val="21"/>
        </w:rPr>
        <w:t>概念，相引相、相斥相、重组率等概念。</w:t>
      </w:r>
    </w:p>
    <w:p w14:paraId="47D2E2E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：完全连锁与不完全连锁、交换与不完全连锁的概念及形成机理；</w:t>
      </w:r>
      <w:r>
        <w:rPr>
          <w:rFonts w:hint="eastAsia"/>
        </w:rPr>
        <w:t>了解性染色体与性别决定，性别决定的畸变，植物的性别决定和环境条件与性别分化的关系。</w:t>
      </w:r>
    </w:p>
    <w:p w14:paraId="0057622F"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交换值的概念、遗传距离的概念以及用自交法和测交法求交换值的方法；基因定位及连锁遗传图的概念；两点测验三点测验的试验方法和优缺点，符合系数的概念及意义；利用连锁遗传原理提高园艺作物选择效果的方法，熟悉交换值在育种实践上应用。</w:t>
      </w:r>
    </w:p>
    <w:p w14:paraId="335E4345"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2478FA0"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．连锁遗传的概念、遗传机理。</w:t>
      </w:r>
    </w:p>
    <w:p w14:paraId="4E5DC205"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．交换值与遗传距离的概念，利用自交法和测交法求交换值的方法，以及两点测验、三点测验的基因定位方法。</w:t>
      </w:r>
    </w:p>
    <w:p w14:paraId="7DE90BEF"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．利用连锁遗传原理提高园艺作物选择效果的方法，交换值在育种实践上的应用。</w:t>
      </w:r>
    </w:p>
    <w:p w14:paraId="707BD30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95B691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int="eastAsia"/>
        </w:rPr>
        <w:t>完全连锁、不完全连锁、符合系数、性染色体、性连锁等概念。</w:t>
      </w:r>
    </w:p>
    <w:p w14:paraId="22DC78F2"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int="eastAsia"/>
        </w:rPr>
        <w:t>连锁遗传规律的现象和实质</w:t>
      </w:r>
      <w:r>
        <w:rPr>
          <w:rFonts w:hAnsi="宋体"/>
          <w:kern w:val="0"/>
          <w:szCs w:val="21"/>
        </w:rPr>
        <w:t>。</w:t>
      </w:r>
    </w:p>
    <w:p w14:paraId="7F18959B"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：利用本章所学知识</w:t>
      </w:r>
      <w:r>
        <w:rPr>
          <w:rFonts w:hint="eastAsia"/>
        </w:rPr>
        <w:t>解释生物后代性状表现的多样性。</w:t>
      </w:r>
    </w:p>
    <w:p w14:paraId="6D30564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4.分析</w:t>
      </w:r>
      <w:r>
        <w:rPr>
          <w:rFonts w:ascii="宋体" w:hAnsi="宋体"/>
          <w:b/>
          <w:szCs w:val="21"/>
        </w:rPr>
        <w:t>：</w:t>
      </w:r>
      <w:r>
        <w:rPr>
          <w:rFonts w:ascii="宋体" w:hAnsi="宋体" w:hint="eastAsia"/>
          <w:szCs w:val="21"/>
        </w:rPr>
        <w:t>利用</w:t>
      </w:r>
      <w:r>
        <w:rPr>
          <w:rFonts w:ascii="宋体" w:hAnsi="宋体"/>
          <w:szCs w:val="21"/>
        </w:rPr>
        <w:t>本章所</w:t>
      </w:r>
      <w:r>
        <w:rPr>
          <w:rFonts w:ascii="宋体" w:hAnsi="宋体" w:hint="eastAsia"/>
          <w:szCs w:val="21"/>
        </w:rPr>
        <w:t>学</w:t>
      </w:r>
      <w:r>
        <w:rPr>
          <w:rFonts w:ascii="宋体" w:hAnsi="宋体"/>
          <w:szCs w:val="21"/>
        </w:rPr>
        <w:t>知识，</w:t>
      </w:r>
      <w:r>
        <w:rPr>
          <w:rFonts w:ascii="宋体" w:hAnsi="宋体" w:hint="eastAsia"/>
          <w:szCs w:val="21"/>
        </w:rPr>
        <w:t>能</w:t>
      </w:r>
      <w:r>
        <w:rPr>
          <w:rFonts w:ascii="宋体" w:hAnsi="宋体"/>
          <w:szCs w:val="21"/>
        </w:rPr>
        <w:t>对</w:t>
      </w:r>
      <w:r>
        <w:rPr>
          <w:rFonts w:ascii="宋体" w:hAnsi="宋体" w:hint="eastAsia"/>
          <w:szCs w:val="21"/>
        </w:rPr>
        <w:t>连锁遗传</w:t>
      </w:r>
      <w:r>
        <w:rPr>
          <w:rFonts w:ascii="宋体" w:hAnsi="宋体"/>
          <w:szCs w:val="21"/>
        </w:rPr>
        <w:t>现象及后代</w:t>
      </w:r>
      <w:r>
        <w:rPr>
          <w:rFonts w:ascii="宋体" w:hAnsi="宋体" w:hint="eastAsia"/>
          <w:szCs w:val="21"/>
        </w:rPr>
        <w:t>表型</w:t>
      </w:r>
      <w:r>
        <w:rPr>
          <w:rFonts w:ascii="宋体" w:hAnsi="宋体"/>
          <w:szCs w:val="21"/>
        </w:rPr>
        <w:t>分离比进行合理分析。</w:t>
      </w:r>
    </w:p>
    <w:p w14:paraId="726A4B63"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根据性状的遗传规律和选择目标，设计一定的杂交组合，并能够对后代个体的性状进行预测、确定群体的大小。</w:t>
      </w:r>
    </w:p>
    <w:p w14:paraId="72DB0953" w14:textId="77777777" w:rsidR="00F5289E" w:rsidRDefault="00C91173">
      <w:pPr>
        <w:snapToGrid w:val="0"/>
        <w:spacing w:beforeLines="50" w:before="156" w:line="360" w:lineRule="auto"/>
        <w:ind w:firstLineChars="200" w:firstLine="422"/>
      </w:pPr>
      <w:r>
        <w:rPr>
          <w:rFonts w:ascii="宋体" w:hAnsi="宋体" w:hint="eastAsia"/>
          <w:b/>
          <w:szCs w:val="21"/>
        </w:rPr>
        <w:t>6.评价：</w:t>
      </w:r>
      <w:r>
        <w:rPr>
          <w:rFonts w:ascii="宋体" w:hAnsi="宋体" w:hint="eastAsia"/>
          <w:szCs w:val="21"/>
        </w:rPr>
        <w:t>利用本章</w:t>
      </w:r>
      <w:r>
        <w:rPr>
          <w:rFonts w:ascii="宋体" w:hAnsi="宋体"/>
          <w:szCs w:val="21"/>
        </w:rPr>
        <w:t>知识，对</w:t>
      </w:r>
      <w:r>
        <w:rPr>
          <w:rFonts w:ascii="宋体" w:hAnsi="宋体" w:hint="eastAsia"/>
          <w:szCs w:val="21"/>
        </w:rPr>
        <w:t>园艺</w:t>
      </w:r>
      <w:r>
        <w:rPr>
          <w:rFonts w:ascii="宋体" w:hAnsi="宋体"/>
          <w:szCs w:val="21"/>
        </w:rPr>
        <w:t>作物性状</w:t>
      </w:r>
      <w:r>
        <w:rPr>
          <w:rFonts w:ascii="宋体" w:hAnsi="宋体" w:hint="eastAsia"/>
          <w:szCs w:val="21"/>
        </w:rPr>
        <w:t>性状连锁</w:t>
      </w:r>
      <w:r>
        <w:rPr>
          <w:rFonts w:ascii="宋体" w:hAnsi="宋体"/>
          <w:szCs w:val="21"/>
        </w:rPr>
        <w:t>遗传现象</w:t>
      </w:r>
      <w:r>
        <w:rPr>
          <w:rFonts w:ascii="宋体" w:hAnsi="宋体" w:hint="eastAsia"/>
          <w:szCs w:val="21"/>
        </w:rPr>
        <w:t>进行</w:t>
      </w:r>
      <w:r>
        <w:rPr>
          <w:rFonts w:ascii="宋体" w:hAnsi="宋体"/>
          <w:szCs w:val="21"/>
        </w:rPr>
        <w:t>评价分析</w:t>
      </w:r>
      <w:r>
        <w:rPr>
          <w:rFonts w:ascii="宋体" w:hAnsi="宋体" w:hint="eastAsia"/>
          <w:szCs w:val="21"/>
        </w:rPr>
        <w:t>。</w:t>
      </w:r>
    </w:p>
    <w:p w14:paraId="5801B8CD" w14:textId="77777777" w:rsidR="00F5289E" w:rsidRDefault="00C91173">
      <w:pPr>
        <w:pStyle w:val="a9"/>
        <w:snapToGrid w:val="0"/>
        <w:spacing w:beforeLines="100" w:before="312" w:line="360" w:lineRule="auto"/>
        <w:ind w:firstLine="422"/>
        <w:jc w:val="center"/>
        <w:rPr>
          <w:rFonts w:hAnsi="宋体"/>
          <w:b/>
        </w:rPr>
      </w:pPr>
      <w:r>
        <w:rPr>
          <w:rFonts w:hAnsi="宋体" w:hint="eastAsia"/>
          <w:b/>
        </w:rPr>
        <w:lastRenderedPageBreak/>
        <w:t>第</w:t>
      </w:r>
      <w:r>
        <w:rPr>
          <w:rFonts w:hAnsi="宋体"/>
          <w:b/>
        </w:rPr>
        <w:t>四</w:t>
      </w:r>
      <w:r>
        <w:rPr>
          <w:rFonts w:hAnsi="宋体" w:hint="eastAsia"/>
          <w:b/>
        </w:rPr>
        <w:t xml:space="preserve">章  </w:t>
      </w:r>
      <w:r>
        <w:rPr>
          <w:rFonts w:hint="eastAsia"/>
          <w:b/>
          <w:bCs/>
          <w:kern w:val="0"/>
        </w:rPr>
        <w:t xml:space="preserve">数量性状的遗传 </w:t>
      </w:r>
    </w:p>
    <w:p w14:paraId="551B6FDB"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89F072B"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kern w:val="0"/>
          <w:szCs w:val="21"/>
        </w:rPr>
        <w:t>平均数、方差及标准差在数量性状分析中的意义</w:t>
      </w:r>
      <w:r>
        <w:rPr>
          <w:rFonts w:hAnsi="宋体" w:hint="eastAsia"/>
          <w:kern w:val="0"/>
          <w:szCs w:val="21"/>
        </w:rPr>
        <w:t>。</w:t>
      </w:r>
    </w:p>
    <w:p w14:paraId="27E2B199"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kern w:val="0"/>
          <w:szCs w:val="21"/>
        </w:rPr>
        <w:t>数量性状及质量性状的概念和区别</w:t>
      </w:r>
      <w:r>
        <w:rPr>
          <w:rFonts w:hAnsi="宋体" w:hint="eastAsia"/>
          <w:kern w:val="0"/>
          <w:szCs w:val="21"/>
        </w:rPr>
        <w:t>；</w:t>
      </w:r>
      <w:r>
        <w:rPr>
          <w:rFonts w:hAnsi="宋体"/>
          <w:kern w:val="0"/>
          <w:szCs w:val="21"/>
        </w:rPr>
        <w:t>多基因假说</w:t>
      </w:r>
      <w:r>
        <w:rPr>
          <w:rFonts w:hAnsi="宋体" w:hint="eastAsia"/>
          <w:kern w:val="0"/>
          <w:szCs w:val="21"/>
        </w:rPr>
        <w:t>和</w:t>
      </w:r>
      <w:r>
        <w:rPr>
          <w:rFonts w:hAnsi="宋体"/>
          <w:kern w:val="0"/>
          <w:szCs w:val="21"/>
        </w:rPr>
        <w:t>遗传率的应用</w:t>
      </w:r>
      <w:r>
        <w:rPr>
          <w:rFonts w:hAnsi="宋体" w:hint="eastAsia"/>
          <w:kern w:val="0"/>
          <w:szCs w:val="21"/>
        </w:rPr>
        <w:t>；</w:t>
      </w:r>
      <w:r>
        <w:rPr>
          <w:rFonts w:hAnsi="宋体"/>
          <w:kern w:val="0"/>
          <w:szCs w:val="21"/>
        </w:rPr>
        <w:t>数量性状基因定位的</w:t>
      </w:r>
      <w:r>
        <w:rPr>
          <w:rFonts w:hAnsi="宋体" w:hint="eastAsia"/>
          <w:kern w:val="0"/>
          <w:szCs w:val="21"/>
        </w:rPr>
        <w:t>途径</w:t>
      </w:r>
      <w:r>
        <w:rPr>
          <w:rFonts w:hAnsi="宋体"/>
          <w:kern w:val="0"/>
          <w:szCs w:val="21"/>
        </w:rPr>
        <w:t>和方法</w:t>
      </w:r>
      <w:r>
        <w:rPr>
          <w:rFonts w:hAnsi="宋体" w:hint="eastAsia"/>
          <w:kern w:val="0"/>
          <w:szCs w:val="21"/>
        </w:rPr>
        <w:t>。</w:t>
      </w:r>
    </w:p>
    <w:p w14:paraId="3EC3FE2B"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kern w:val="0"/>
          <w:szCs w:val="21"/>
        </w:rPr>
        <w:t>遗传率的两种概</w:t>
      </w:r>
      <w:r>
        <w:rPr>
          <w:rFonts w:hAnsi="宋体" w:hint="eastAsia"/>
          <w:kern w:val="0"/>
          <w:szCs w:val="21"/>
        </w:rPr>
        <w:t>念和</w:t>
      </w:r>
      <w:r>
        <w:rPr>
          <w:rFonts w:hAnsi="宋体"/>
          <w:kern w:val="0"/>
          <w:szCs w:val="21"/>
        </w:rPr>
        <w:t>估算方法以及在育种上的应用</w:t>
      </w:r>
      <w:r>
        <w:rPr>
          <w:rFonts w:hAnsi="宋体" w:hint="eastAsia"/>
          <w:kern w:val="0"/>
          <w:szCs w:val="21"/>
        </w:rPr>
        <w:t>。</w:t>
      </w:r>
    </w:p>
    <w:p w14:paraId="7FFA8B50"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9BF7825"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．数量性状及质量性状的概念和区别，数量性状遗传的多基因假说。</w:t>
      </w:r>
    </w:p>
    <w:p w14:paraId="5170F57D"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．遗传率的两种概念、估算方法以及在育种上的应用。</w:t>
      </w:r>
    </w:p>
    <w:p w14:paraId="75869246"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．分离</w:t>
      </w:r>
      <w:r>
        <w:rPr>
          <w:rFonts w:hAnsi="宋体"/>
          <w:kern w:val="0"/>
          <w:szCs w:val="21"/>
        </w:rPr>
        <w:t>群体的类型、</w:t>
      </w:r>
      <w:r>
        <w:rPr>
          <w:rFonts w:hAnsi="宋体" w:hint="eastAsia"/>
          <w:kern w:val="0"/>
          <w:szCs w:val="21"/>
        </w:rPr>
        <w:t>QTL</w:t>
      </w:r>
      <w:r>
        <w:rPr>
          <w:rFonts w:hAnsi="宋体" w:hint="eastAsia"/>
          <w:kern w:val="0"/>
          <w:szCs w:val="21"/>
        </w:rPr>
        <w:t>定位</w:t>
      </w:r>
      <w:r>
        <w:rPr>
          <w:rFonts w:hAnsi="宋体"/>
          <w:kern w:val="0"/>
          <w:szCs w:val="21"/>
        </w:rPr>
        <w:t>的方法。</w:t>
      </w:r>
    </w:p>
    <w:p w14:paraId="46A68DC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E99D8FD"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int="eastAsia"/>
        </w:rPr>
        <w:t>质量性状、数量性状、遗传率、微效多基因、修饰基因、超亲遗传等概念。</w:t>
      </w:r>
    </w:p>
    <w:p w14:paraId="6F266FF9"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int="eastAsia"/>
        </w:rPr>
        <w:t>数量性状遗传的现象和实质</w:t>
      </w:r>
      <w:r>
        <w:rPr>
          <w:rFonts w:hAnsi="宋体"/>
          <w:kern w:val="0"/>
          <w:szCs w:val="21"/>
        </w:rPr>
        <w:t>。</w:t>
      </w:r>
    </w:p>
    <w:p w14:paraId="30A28C48"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：利用本章所学知识，</w:t>
      </w:r>
      <w:r>
        <w:rPr>
          <w:rFonts w:hint="eastAsia"/>
        </w:rPr>
        <w:t>解释数量性状在育种上的应用；利用</w:t>
      </w:r>
      <w:r>
        <w:t>适宜的遗传群体发掘数量性状基因的</w:t>
      </w:r>
      <w:r>
        <w:rPr>
          <w:rFonts w:hint="eastAsia"/>
        </w:rPr>
        <w:t>途径</w:t>
      </w:r>
      <w:r>
        <w:t>和基本方法</w:t>
      </w:r>
      <w:r>
        <w:rPr>
          <w:rFonts w:hint="eastAsia"/>
        </w:rPr>
        <w:t>。</w:t>
      </w:r>
    </w:p>
    <w:p w14:paraId="66EC847D" w14:textId="77777777" w:rsidR="00F5289E" w:rsidRDefault="00C91173">
      <w:pPr>
        <w:snapToGrid w:val="0"/>
        <w:spacing w:beforeLines="50" w:before="156" w:line="360" w:lineRule="auto"/>
        <w:ind w:firstLineChars="200" w:firstLine="422"/>
      </w:pPr>
      <w:r>
        <w:rPr>
          <w:rFonts w:ascii="宋体" w:hAnsi="宋体" w:cs="宋体" w:hint="eastAsia"/>
          <w:b/>
          <w:bCs/>
        </w:rPr>
        <w:t>4.分析：</w:t>
      </w:r>
      <w:r>
        <w:rPr>
          <w:rFonts w:hint="eastAsia"/>
        </w:rPr>
        <w:t>利用本章所学知识，能够对数量性状遗传特点及其规律进行分析。</w:t>
      </w:r>
    </w:p>
    <w:p w14:paraId="1AA3A38D" w14:textId="77777777" w:rsidR="00F5289E" w:rsidRDefault="00C91173">
      <w:pPr>
        <w:snapToGrid w:val="0"/>
        <w:spacing w:beforeLines="50" w:before="156" w:line="360" w:lineRule="auto"/>
        <w:ind w:firstLineChars="200" w:firstLine="422"/>
      </w:pPr>
      <w:r>
        <w:rPr>
          <w:rFonts w:ascii="宋体" w:hAnsi="宋体" w:hint="eastAsia"/>
          <w:b/>
          <w:szCs w:val="21"/>
        </w:rPr>
        <w:t>5.综合</w:t>
      </w:r>
      <w:r>
        <w:rPr>
          <w:rFonts w:ascii="宋体" w:hAnsi="宋体" w:hint="eastAsia"/>
          <w:szCs w:val="21"/>
        </w:rPr>
        <w:t>：利用本章所学知识，</w:t>
      </w:r>
      <w:r>
        <w:rPr>
          <w:rFonts w:hint="eastAsia"/>
        </w:rPr>
        <w:t>自设杂交方案并进行园艺植物的特定数量性状的狭义遗传率、广义遗传率的估算。</w:t>
      </w:r>
    </w:p>
    <w:p w14:paraId="12C62088" w14:textId="77777777" w:rsidR="00F5289E" w:rsidRDefault="00C91173">
      <w:pPr>
        <w:snapToGrid w:val="0"/>
        <w:spacing w:beforeLines="50" w:before="156" w:line="360" w:lineRule="auto"/>
        <w:ind w:firstLineChars="200" w:firstLine="422"/>
      </w:pPr>
      <w:r>
        <w:rPr>
          <w:rFonts w:ascii="宋体" w:hAnsi="宋体" w:cs="宋体" w:hint="eastAsia"/>
          <w:b/>
          <w:bCs/>
        </w:rPr>
        <w:t>6.评价：</w:t>
      </w:r>
      <w:r>
        <w:rPr>
          <w:rFonts w:hint="eastAsia"/>
        </w:rPr>
        <w:t>对数量性状在育种应用中的效果进行评价。</w:t>
      </w:r>
    </w:p>
    <w:p w14:paraId="55DABFBF" w14:textId="77777777" w:rsidR="00F5289E" w:rsidRDefault="00C91173">
      <w:pPr>
        <w:pStyle w:val="a9"/>
        <w:snapToGrid w:val="0"/>
        <w:spacing w:beforeLines="100" w:before="312" w:line="360" w:lineRule="auto"/>
        <w:ind w:firstLine="422"/>
        <w:jc w:val="center"/>
        <w:rPr>
          <w:rFonts w:hAnsi="宋体"/>
          <w:b/>
        </w:rPr>
      </w:pPr>
      <w:r>
        <w:rPr>
          <w:rFonts w:hAnsi="宋体" w:hint="eastAsia"/>
          <w:b/>
        </w:rPr>
        <w:t>第</w:t>
      </w:r>
      <w:r>
        <w:rPr>
          <w:rFonts w:hAnsi="宋体"/>
          <w:b/>
        </w:rPr>
        <w:t>五</w:t>
      </w:r>
      <w:r>
        <w:rPr>
          <w:rFonts w:hAnsi="宋体" w:hint="eastAsia"/>
          <w:b/>
        </w:rPr>
        <w:t xml:space="preserve">章 </w:t>
      </w:r>
      <w:r>
        <w:rPr>
          <w:rFonts w:hAnsi="宋体"/>
          <w:b/>
        </w:rPr>
        <w:t xml:space="preserve"> </w:t>
      </w:r>
      <w:r>
        <w:rPr>
          <w:b/>
          <w:bCs/>
          <w:kern w:val="0"/>
        </w:rPr>
        <w:t>近亲繁殖</w:t>
      </w:r>
      <w:r>
        <w:rPr>
          <w:rFonts w:hAnsi="宋体"/>
          <w:b/>
          <w:bCs/>
          <w:kern w:val="0"/>
        </w:rPr>
        <w:t>和杂种优势</w:t>
      </w:r>
      <w:r>
        <w:rPr>
          <w:rFonts w:hAnsi="宋体" w:hint="eastAsia"/>
          <w:b/>
          <w:bCs/>
          <w:kern w:val="0"/>
        </w:rPr>
        <w:t xml:space="preserve"> </w:t>
      </w:r>
    </w:p>
    <w:p w14:paraId="43FAE10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A97667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kern w:val="0"/>
          <w:szCs w:val="21"/>
        </w:rPr>
        <w:t>近亲繁殖</w:t>
      </w:r>
      <w:r>
        <w:rPr>
          <w:rFonts w:hAnsi="宋体" w:hint="eastAsia"/>
          <w:kern w:val="0"/>
          <w:szCs w:val="21"/>
        </w:rPr>
        <w:t>和</w:t>
      </w:r>
      <w:r>
        <w:rPr>
          <w:rFonts w:hAnsi="宋体"/>
          <w:kern w:val="0"/>
          <w:szCs w:val="21"/>
        </w:rPr>
        <w:t>杂种优势的概念</w:t>
      </w:r>
      <w:r>
        <w:rPr>
          <w:rFonts w:ascii="宋体" w:hAnsi="宋体" w:hint="eastAsia"/>
          <w:szCs w:val="21"/>
        </w:rPr>
        <w:t>；</w:t>
      </w:r>
      <w:r>
        <w:rPr>
          <w:rFonts w:hint="eastAsia"/>
        </w:rPr>
        <w:t>杂种优势利用过程中应用注意的问题。</w:t>
      </w:r>
    </w:p>
    <w:p w14:paraId="6D42C16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kern w:val="0"/>
          <w:szCs w:val="21"/>
        </w:rPr>
        <w:t>多代自交后代群体的遗传效应和多代回交后代群体的遗传效应</w:t>
      </w:r>
      <w:r>
        <w:rPr>
          <w:rFonts w:hAnsi="宋体" w:hint="eastAsia"/>
          <w:kern w:val="0"/>
          <w:szCs w:val="21"/>
        </w:rPr>
        <w:t>。</w:t>
      </w:r>
    </w:p>
    <w:p w14:paraId="3502E5B6"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kern w:val="0"/>
          <w:szCs w:val="21"/>
        </w:rPr>
        <w:t>杂种优势</w:t>
      </w:r>
      <w:r>
        <w:rPr>
          <w:rFonts w:hAnsi="宋体" w:hint="eastAsia"/>
          <w:kern w:val="0"/>
          <w:szCs w:val="21"/>
        </w:rPr>
        <w:t>的</w:t>
      </w:r>
      <w:r>
        <w:rPr>
          <w:rFonts w:hAnsi="宋体"/>
          <w:kern w:val="0"/>
          <w:szCs w:val="21"/>
        </w:rPr>
        <w:t>基本特点</w:t>
      </w:r>
      <w:r>
        <w:rPr>
          <w:rFonts w:hAnsi="宋体" w:hint="eastAsia"/>
          <w:kern w:val="0"/>
          <w:szCs w:val="21"/>
        </w:rPr>
        <w:t>，遗传理论；</w:t>
      </w:r>
      <w:r>
        <w:rPr>
          <w:rFonts w:hAnsi="宋体" w:hint="eastAsia"/>
          <w:kern w:val="0"/>
          <w:szCs w:val="21"/>
        </w:rPr>
        <w:t>F</w:t>
      </w:r>
      <w:r>
        <w:rPr>
          <w:rFonts w:hAnsi="宋体" w:hint="eastAsia"/>
          <w:kern w:val="0"/>
          <w:szCs w:val="21"/>
          <w:vertAlign w:val="subscript"/>
        </w:rPr>
        <w:t>2</w:t>
      </w:r>
      <w:r>
        <w:rPr>
          <w:rFonts w:hAnsi="宋体" w:hint="eastAsia"/>
          <w:kern w:val="0"/>
          <w:szCs w:val="21"/>
        </w:rPr>
        <w:t>衰退表现及原因。</w:t>
      </w:r>
    </w:p>
    <w:p w14:paraId="4B3347A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95128B7"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．近亲繁殖的概念，多代自交后代群体的遗传效应和多代回交后代群体的遗传效应。</w:t>
      </w:r>
    </w:p>
    <w:p w14:paraId="0993B3CC"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lastRenderedPageBreak/>
        <w:t>2</w:t>
      </w:r>
      <w:r>
        <w:rPr>
          <w:rFonts w:hAnsi="宋体" w:hint="eastAsia"/>
          <w:kern w:val="0"/>
          <w:szCs w:val="21"/>
        </w:rPr>
        <w:t>．杂种优势的概念、类型及</w:t>
      </w:r>
      <w:r>
        <w:rPr>
          <w:rFonts w:hAnsi="宋体" w:hint="eastAsia"/>
          <w:kern w:val="0"/>
          <w:szCs w:val="21"/>
        </w:rPr>
        <w:t>F</w:t>
      </w:r>
      <w:r>
        <w:rPr>
          <w:rFonts w:hAnsi="宋体" w:hint="eastAsia"/>
          <w:kern w:val="0"/>
          <w:szCs w:val="21"/>
          <w:vertAlign w:val="subscript"/>
        </w:rPr>
        <w:t>l</w:t>
      </w:r>
      <w:r>
        <w:rPr>
          <w:rFonts w:hAnsi="宋体" w:hint="eastAsia"/>
          <w:kern w:val="0"/>
          <w:szCs w:val="21"/>
        </w:rPr>
        <w:t>杂种优势表现，</w:t>
      </w:r>
      <w:r>
        <w:rPr>
          <w:rFonts w:hAnsi="宋体"/>
          <w:kern w:val="0"/>
          <w:szCs w:val="21"/>
        </w:rPr>
        <w:t>及其</w:t>
      </w:r>
      <w:r>
        <w:rPr>
          <w:rFonts w:hAnsi="宋体" w:hint="eastAsia"/>
          <w:kern w:val="0"/>
          <w:szCs w:val="21"/>
        </w:rPr>
        <w:t>基本特点。</w:t>
      </w:r>
    </w:p>
    <w:p w14:paraId="02655F3F"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w:t>
      </w:r>
      <w:r>
        <w:rPr>
          <w:rFonts w:hAnsi="宋体" w:hint="eastAsia"/>
          <w:kern w:val="0"/>
          <w:szCs w:val="21"/>
        </w:rPr>
        <w:t>F</w:t>
      </w:r>
      <w:r>
        <w:rPr>
          <w:rFonts w:hAnsi="宋体" w:hint="eastAsia"/>
          <w:kern w:val="0"/>
          <w:szCs w:val="21"/>
          <w:vertAlign w:val="subscript"/>
        </w:rPr>
        <w:t>2</w:t>
      </w:r>
      <w:r>
        <w:rPr>
          <w:rFonts w:hAnsi="宋体" w:hint="eastAsia"/>
          <w:kern w:val="0"/>
          <w:szCs w:val="21"/>
        </w:rPr>
        <w:t>的衰退现象及原因。</w:t>
      </w:r>
    </w:p>
    <w:p w14:paraId="0603A7F7"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4</w:t>
      </w:r>
      <w:r>
        <w:rPr>
          <w:rFonts w:hAnsi="宋体" w:hint="eastAsia"/>
          <w:kern w:val="0"/>
          <w:szCs w:val="21"/>
        </w:rPr>
        <w:t>．显性假说、超显性假说的内容及异同点。</w:t>
      </w:r>
    </w:p>
    <w:p w14:paraId="554F6B6C"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5</w:t>
      </w:r>
      <w:r>
        <w:rPr>
          <w:rFonts w:hAnsi="宋体" w:hint="eastAsia"/>
          <w:kern w:val="0"/>
          <w:szCs w:val="21"/>
        </w:rPr>
        <w:t>．近亲繁殖在自花授粉作物和异花授粉作物育种中的利用特点，以及杂种优势利用过程中应注意的问题。</w:t>
      </w:r>
    </w:p>
    <w:p w14:paraId="62D9040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A7BC653"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hint="eastAsia"/>
        </w:rPr>
        <w:t>超亲遗传、近亲繁殖、杂种优势、显性假说、超显性假说等含义与概念</w:t>
      </w:r>
      <w:r>
        <w:rPr>
          <w:rFonts w:hAnsi="宋体"/>
          <w:kern w:val="0"/>
          <w:szCs w:val="21"/>
        </w:rPr>
        <w:t>。</w:t>
      </w:r>
    </w:p>
    <w:p w14:paraId="397432D2"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Ansi="宋体" w:hint="eastAsia"/>
          <w:kern w:val="0"/>
          <w:szCs w:val="21"/>
        </w:rPr>
        <w:t>近亲繁殖的遗传效应，杂种优势的表现和实质。</w:t>
      </w:r>
    </w:p>
    <w:p w14:paraId="39CE85DF"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：利用本章所学知识，</w:t>
      </w:r>
      <w:r>
        <w:rPr>
          <w:rFonts w:hint="eastAsia"/>
        </w:rPr>
        <w:t>解释杂交种出现衰退的原因。</w:t>
      </w:r>
    </w:p>
    <w:p w14:paraId="42F27ED9" w14:textId="77777777" w:rsidR="00F5289E" w:rsidRDefault="00C91173">
      <w:pPr>
        <w:snapToGrid w:val="0"/>
        <w:spacing w:beforeLines="50" w:before="156" w:line="360" w:lineRule="auto"/>
        <w:ind w:firstLineChars="200" w:firstLine="422"/>
        <w:rPr>
          <w:rFonts w:ascii="宋体" w:hAnsi="宋体" w:cs="宋体"/>
        </w:rPr>
      </w:pPr>
      <w:r>
        <w:rPr>
          <w:rFonts w:ascii="宋体" w:hAnsi="宋体" w:cs="宋体" w:hint="eastAsia"/>
          <w:b/>
          <w:bCs/>
        </w:rPr>
        <w:t>4.分析：</w:t>
      </w:r>
      <w:r>
        <w:rPr>
          <w:rFonts w:ascii="宋体" w:hAnsi="宋体" w:cs="宋体" w:hint="eastAsia"/>
        </w:rPr>
        <w:t>利用本章所学知识，分析近亲繁殖后代的遗传效应以及杂种优势的利用方式。</w:t>
      </w:r>
    </w:p>
    <w:p w14:paraId="6BF92591" w14:textId="77777777" w:rsidR="00F5289E" w:rsidRDefault="00C91173">
      <w:pPr>
        <w:snapToGrid w:val="0"/>
        <w:spacing w:beforeLines="50" w:before="156" w:line="360" w:lineRule="auto"/>
        <w:ind w:firstLineChars="200" w:firstLine="422"/>
      </w:pPr>
      <w:r>
        <w:rPr>
          <w:rFonts w:ascii="宋体" w:hAnsi="宋体" w:hint="eastAsia"/>
          <w:b/>
          <w:szCs w:val="21"/>
        </w:rPr>
        <w:t>5.综合</w:t>
      </w:r>
      <w:r>
        <w:rPr>
          <w:rFonts w:ascii="宋体" w:hAnsi="宋体" w:hint="eastAsia"/>
          <w:szCs w:val="21"/>
        </w:rPr>
        <w:t>：利用本章所学知识，</w:t>
      </w:r>
      <w:r>
        <w:rPr>
          <w:rFonts w:hint="eastAsia"/>
        </w:rPr>
        <w:t>解释杂种优势的原理及其利用</w:t>
      </w:r>
      <w:r>
        <w:t>方式</w:t>
      </w:r>
      <w:r>
        <w:rPr>
          <w:rFonts w:hint="eastAsia"/>
        </w:rPr>
        <w:t>，能够根据目标</w:t>
      </w:r>
      <w:r>
        <w:t>自行</w:t>
      </w:r>
      <w:r>
        <w:rPr>
          <w:rFonts w:hint="eastAsia"/>
        </w:rPr>
        <w:t>设计杂交组合，制定获得</w:t>
      </w:r>
      <w:r>
        <w:t>杂种优势的</w:t>
      </w:r>
      <w:r>
        <w:rPr>
          <w:rFonts w:hint="eastAsia"/>
        </w:rPr>
        <w:t>技术路线，并预测杂交结果。</w:t>
      </w:r>
    </w:p>
    <w:p w14:paraId="50232A9B" w14:textId="77777777" w:rsidR="00F5289E" w:rsidRDefault="00C91173">
      <w:pPr>
        <w:snapToGrid w:val="0"/>
        <w:spacing w:beforeLines="50" w:before="156" w:line="360" w:lineRule="auto"/>
        <w:ind w:firstLineChars="200" w:firstLine="422"/>
        <w:rPr>
          <w:rFonts w:ascii="宋体" w:hAnsi="宋体" w:cs="宋体"/>
        </w:rPr>
      </w:pPr>
      <w:r>
        <w:rPr>
          <w:rFonts w:ascii="宋体" w:hAnsi="宋体" w:cs="宋体" w:hint="eastAsia"/>
          <w:b/>
          <w:bCs/>
        </w:rPr>
        <w:t>6.评价：</w:t>
      </w:r>
      <w:r>
        <w:rPr>
          <w:rFonts w:ascii="宋体" w:hAnsi="宋体" w:cs="宋体" w:hint="eastAsia"/>
        </w:rPr>
        <w:t>近亲繁殖和杂种优势在育种中的应用价值。</w:t>
      </w:r>
    </w:p>
    <w:p w14:paraId="70264AC2" w14:textId="77777777" w:rsidR="00F5289E" w:rsidRDefault="00C91173">
      <w:pPr>
        <w:pStyle w:val="a9"/>
        <w:snapToGrid w:val="0"/>
        <w:spacing w:beforeLines="100" w:before="312" w:line="360" w:lineRule="auto"/>
        <w:ind w:firstLine="422"/>
        <w:jc w:val="center"/>
        <w:rPr>
          <w:rFonts w:hAnsi="宋体"/>
          <w:b/>
        </w:rPr>
      </w:pPr>
      <w:r>
        <w:rPr>
          <w:rFonts w:hAnsi="宋体"/>
          <w:b/>
          <w:bCs/>
          <w:kern w:val="0"/>
        </w:rPr>
        <w:t>第</w:t>
      </w:r>
      <w:r>
        <w:rPr>
          <w:rFonts w:hAnsi="宋体" w:hint="eastAsia"/>
          <w:b/>
          <w:bCs/>
          <w:kern w:val="0"/>
        </w:rPr>
        <w:t>六</w:t>
      </w:r>
      <w:r>
        <w:rPr>
          <w:rFonts w:hAnsi="宋体"/>
          <w:b/>
          <w:bCs/>
          <w:kern w:val="0"/>
        </w:rPr>
        <w:t>章</w:t>
      </w:r>
      <w:r>
        <w:rPr>
          <w:b/>
          <w:bCs/>
          <w:kern w:val="0"/>
        </w:rPr>
        <w:t> </w:t>
      </w:r>
      <w:r>
        <w:rPr>
          <w:b/>
          <w:bCs/>
          <w:kern w:val="0"/>
        </w:rPr>
        <w:t xml:space="preserve"> </w:t>
      </w:r>
      <w:r>
        <w:rPr>
          <w:rFonts w:hAnsi="宋体" w:hint="eastAsia"/>
          <w:b/>
          <w:bCs/>
          <w:kern w:val="0"/>
        </w:rPr>
        <w:t>遗传物质</w:t>
      </w:r>
      <w:r>
        <w:rPr>
          <w:rFonts w:hAnsi="宋体"/>
          <w:b/>
          <w:bCs/>
          <w:kern w:val="0"/>
        </w:rPr>
        <w:t>的</w:t>
      </w:r>
      <w:r>
        <w:rPr>
          <w:rFonts w:hAnsi="宋体" w:hint="eastAsia"/>
          <w:b/>
          <w:bCs/>
          <w:kern w:val="0"/>
        </w:rPr>
        <w:t xml:space="preserve">变异 </w:t>
      </w:r>
    </w:p>
    <w:p w14:paraId="080ED52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C135F7B"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基因突变率及基因突变的一般特征</w:t>
      </w:r>
      <w:r>
        <w:rPr>
          <w:rFonts w:ascii="宋体" w:hAnsi="宋体" w:hint="eastAsia"/>
          <w:szCs w:val="21"/>
        </w:rPr>
        <w:t>；</w:t>
      </w:r>
      <w:r>
        <w:rPr>
          <w:rFonts w:hAnsi="宋体" w:hint="eastAsia"/>
          <w:kern w:val="0"/>
          <w:szCs w:val="21"/>
        </w:rPr>
        <w:t>染色体结构变异和染色体数目变异的类型。</w:t>
      </w:r>
    </w:p>
    <w:p w14:paraId="4E42BB43"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：基因</w:t>
      </w:r>
      <w:r>
        <w:rPr>
          <w:rFonts w:ascii="宋体" w:hAnsi="宋体"/>
          <w:szCs w:val="21"/>
        </w:rPr>
        <w:t>的概念，</w:t>
      </w:r>
      <w:r>
        <w:rPr>
          <w:rFonts w:hAnsi="宋体" w:hint="eastAsia"/>
          <w:kern w:val="0"/>
          <w:szCs w:val="21"/>
        </w:rPr>
        <w:t>自然条件下基因突变、染色体结构变异和数目变异的发生原因；</w:t>
      </w:r>
      <w:r>
        <w:rPr>
          <w:rFonts w:hAnsi="宋体"/>
          <w:kern w:val="0"/>
          <w:szCs w:val="21"/>
        </w:rPr>
        <w:t>人工诱导</w:t>
      </w:r>
      <w:r>
        <w:rPr>
          <w:rFonts w:hAnsi="宋体" w:hint="eastAsia"/>
          <w:kern w:val="0"/>
          <w:szCs w:val="21"/>
        </w:rPr>
        <w:t>基因突变原理。</w:t>
      </w:r>
    </w:p>
    <w:p w14:paraId="7116E16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kern w:val="0"/>
          <w:szCs w:val="21"/>
        </w:rPr>
        <w:t>人工诱导多倍体</w:t>
      </w:r>
      <w:r>
        <w:rPr>
          <w:rFonts w:hAnsi="宋体" w:hint="eastAsia"/>
          <w:kern w:val="0"/>
          <w:szCs w:val="21"/>
        </w:rPr>
        <w:t>的理论和方法。</w:t>
      </w:r>
    </w:p>
    <w:p w14:paraId="15D284D0"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83DE938"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w:t>
      </w:r>
      <w:r>
        <w:rPr>
          <w:rFonts w:hAnsi="宋体"/>
          <w:kern w:val="0"/>
          <w:szCs w:val="21"/>
        </w:rPr>
        <w:t>基因突变率及基因突变的一般特征</w:t>
      </w:r>
      <w:r>
        <w:rPr>
          <w:rFonts w:hAnsi="宋体" w:hint="eastAsia"/>
          <w:kern w:val="0"/>
          <w:szCs w:val="21"/>
        </w:rPr>
        <w:t>，基因突变的类型和发生机理，</w:t>
      </w:r>
      <w:r>
        <w:rPr>
          <w:rFonts w:hAnsi="宋体"/>
          <w:kern w:val="0"/>
          <w:szCs w:val="21"/>
        </w:rPr>
        <w:t>遗传变异与</w:t>
      </w:r>
      <w:r>
        <w:rPr>
          <w:rFonts w:hAnsi="宋体" w:hint="eastAsia"/>
          <w:kern w:val="0"/>
          <w:szCs w:val="21"/>
        </w:rPr>
        <w:t>非</w:t>
      </w:r>
      <w:r>
        <w:rPr>
          <w:rFonts w:hAnsi="宋体"/>
          <w:kern w:val="0"/>
          <w:szCs w:val="21"/>
        </w:rPr>
        <w:t>遗传变异的鉴定</w:t>
      </w:r>
      <w:r>
        <w:rPr>
          <w:rFonts w:hAnsi="宋体" w:hint="eastAsia"/>
          <w:kern w:val="0"/>
          <w:szCs w:val="21"/>
        </w:rPr>
        <w:t>方法。</w:t>
      </w:r>
    </w:p>
    <w:p w14:paraId="0A28D207"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w:t>
      </w:r>
      <w:r>
        <w:rPr>
          <w:rFonts w:hAnsi="宋体"/>
          <w:kern w:val="0"/>
          <w:szCs w:val="21"/>
        </w:rPr>
        <w:t>缺失</w:t>
      </w:r>
      <w:r>
        <w:rPr>
          <w:rFonts w:hAnsi="宋体" w:hint="eastAsia"/>
          <w:kern w:val="0"/>
          <w:szCs w:val="21"/>
        </w:rPr>
        <w:t>、重复、倒位、易位</w:t>
      </w:r>
      <w:r>
        <w:rPr>
          <w:rFonts w:hAnsi="宋体"/>
          <w:kern w:val="0"/>
          <w:szCs w:val="21"/>
        </w:rPr>
        <w:t>染色体的概念、类型，形成原因和遗传效应</w:t>
      </w:r>
      <w:r>
        <w:rPr>
          <w:rFonts w:hAnsi="宋体" w:hint="eastAsia"/>
          <w:kern w:val="0"/>
          <w:szCs w:val="21"/>
        </w:rPr>
        <w:t>。</w:t>
      </w:r>
    </w:p>
    <w:p w14:paraId="5B0E115C"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w:t>
      </w:r>
      <w:r>
        <w:rPr>
          <w:rFonts w:hAnsi="宋体"/>
          <w:kern w:val="0"/>
          <w:szCs w:val="21"/>
        </w:rPr>
        <w:t>染色体结构变异诱发的因素及特点</w:t>
      </w:r>
      <w:r>
        <w:rPr>
          <w:rFonts w:hAnsi="宋体" w:hint="eastAsia"/>
          <w:kern w:val="0"/>
          <w:szCs w:val="21"/>
        </w:rPr>
        <w:t>。</w:t>
      </w:r>
    </w:p>
    <w:p w14:paraId="45BCE6D0" w14:textId="77777777" w:rsidR="00F5289E" w:rsidRDefault="00C91173">
      <w:pPr>
        <w:snapToGrid w:val="0"/>
        <w:spacing w:line="360" w:lineRule="auto"/>
        <w:ind w:firstLineChars="200" w:firstLine="420"/>
        <w:rPr>
          <w:rFonts w:hAnsi="宋体"/>
          <w:kern w:val="0"/>
          <w:szCs w:val="21"/>
        </w:rPr>
      </w:pPr>
      <w:r>
        <w:rPr>
          <w:rFonts w:hAnsi="宋体"/>
          <w:kern w:val="0"/>
          <w:szCs w:val="21"/>
        </w:rPr>
        <w:t>4</w:t>
      </w:r>
      <w:r>
        <w:rPr>
          <w:rFonts w:hAnsi="宋体" w:hint="eastAsia"/>
          <w:kern w:val="0"/>
          <w:szCs w:val="21"/>
        </w:rPr>
        <w:t>．</w:t>
      </w:r>
      <w:r>
        <w:rPr>
          <w:rFonts w:hAnsi="宋体"/>
          <w:kern w:val="0"/>
          <w:szCs w:val="21"/>
        </w:rPr>
        <w:t>染色体组、整倍体、一倍体、同源</w:t>
      </w:r>
      <w:r>
        <w:rPr>
          <w:rFonts w:hAnsi="宋体" w:hint="eastAsia"/>
          <w:kern w:val="0"/>
          <w:szCs w:val="21"/>
        </w:rPr>
        <w:t>和</w:t>
      </w:r>
      <w:r>
        <w:rPr>
          <w:rFonts w:hAnsi="宋体"/>
          <w:kern w:val="0"/>
          <w:szCs w:val="21"/>
        </w:rPr>
        <w:t>异源</w:t>
      </w:r>
      <w:r>
        <w:rPr>
          <w:rFonts w:hAnsi="宋体" w:hint="eastAsia"/>
          <w:kern w:val="0"/>
          <w:szCs w:val="21"/>
        </w:rPr>
        <w:t>多倍体</w:t>
      </w:r>
      <w:r>
        <w:rPr>
          <w:rFonts w:hAnsi="宋体"/>
          <w:kern w:val="0"/>
          <w:szCs w:val="21"/>
        </w:rPr>
        <w:t>的概念</w:t>
      </w:r>
      <w:r>
        <w:rPr>
          <w:rFonts w:hAnsi="宋体" w:hint="eastAsia"/>
          <w:kern w:val="0"/>
          <w:szCs w:val="21"/>
        </w:rPr>
        <w:t>以及单倍体研究意义和应用。</w:t>
      </w:r>
    </w:p>
    <w:p w14:paraId="7AEFA515" w14:textId="77777777" w:rsidR="00F5289E" w:rsidRDefault="00C91173">
      <w:pPr>
        <w:snapToGrid w:val="0"/>
        <w:spacing w:line="360" w:lineRule="auto"/>
        <w:ind w:firstLineChars="200" w:firstLine="420"/>
        <w:rPr>
          <w:rFonts w:hAnsi="宋体"/>
          <w:kern w:val="0"/>
          <w:szCs w:val="21"/>
        </w:rPr>
      </w:pPr>
      <w:r>
        <w:rPr>
          <w:rFonts w:hAnsi="宋体"/>
          <w:kern w:val="0"/>
          <w:szCs w:val="21"/>
        </w:rPr>
        <w:t>5</w:t>
      </w:r>
      <w:r>
        <w:rPr>
          <w:rFonts w:hAnsi="宋体" w:hint="eastAsia"/>
          <w:kern w:val="0"/>
          <w:szCs w:val="21"/>
        </w:rPr>
        <w:t>．</w:t>
      </w:r>
      <w:r>
        <w:rPr>
          <w:rFonts w:hAnsi="宋体"/>
          <w:kern w:val="0"/>
          <w:szCs w:val="21"/>
        </w:rPr>
        <w:t>同源多倍体的形态特征，</w:t>
      </w:r>
      <w:r>
        <w:rPr>
          <w:rFonts w:hAnsi="宋体" w:hint="eastAsia"/>
          <w:kern w:val="0"/>
          <w:szCs w:val="21"/>
        </w:rPr>
        <w:t>常见</w:t>
      </w:r>
      <w:r>
        <w:rPr>
          <w:rFonts w:hAnsi="宋体"/>
          <w:kern w:val="0"/>
          <w:szCs w:val="21"/>
        </w:rPr>
        <w:t>的同源多倍体</w:t>
      </w:r>
      <w:r>
        <w:rPr>
          <w:rFonts w:hAnsi="宋体" w:hint="eastAsia"/>
          <w:kern w:val="0"/>
          <w:szCs w:val="21"/>
        </w:rPr>
        <w:t>和</w:t>
      </w:r>
      <w:r>
        <w:rPr>
          <w:rFonts w:hAnsi="宋体"/>
          <w:kern w:val="0"/>
          <w:szCs w:val="21"/>
        </w:rPr>
        <w:t>异源多倍体</w:t>
      </w:r>
      <w:r>
        <w:rPr>
          <w:rFonts w:hAnsi="宋体" w:hint="eastAsia"/>
          <w:kern w:val="0"/>
          <w:szCs w:val="21"/>
        </w:rPr>
        <w:t>的</w:t>
      </w:r>
      <w:r>
        <w:rPr>
          <w:rFonts w:hAnsi="宋体"/>
          <w:kern w:val="0"/>
          <w:szCs w:val="21"/>
        </w:rPr>
        <w:t>联会及分离特点</w:t>
      </w:r>
      <w:r>
        <w:rPr>
          <w:rFonts w:hAnsi="宋体" w:hint="eastAsia"/>
          <w:kern w:val="0"/>
          <w:szCs w:val="21"/>
        </w:rPr>
        <w:t>。</w:t>
      </w:r>
    </w:p>
    <w:p w14:paraId="569D0991" w14:textId="77777777" w:rsidR="00F5289E" w:rsidRDefault="00C91173">
      <w:pPr>
        <w:snapToGrid w:val="0"/>
        <w:spacing w:line="360" w:lineRule="auto"/>
        <w:ind w:firstLineChars="200" w:firstLine="420"/>
        <w:rPr>
          <w:rFonts w:hAnsi="宋体"/>
          <w:kern w:val="0"/>
          <w:szCs w:val="21"/>
        </w:rPr>
      </w:pPr>
      <w:r>
        <w:rPr>
          <w:rFonts w:hAnsi="宋体"/>
          <w:kern w:val="0"/>
          <w:szCs w:val="21"/>
        </w:rPr>
        <w:t>6</w:t>
      </w:r>
      <w:r>
        <w:rPr>
          <w:rFonts w:hAnsi="宋体" w:hint="eastAsia"/>
          <w:kern w:val="0"/>
          <w:szCs w:val="21"/>
        </w:rPr>
        <w:t>．多倍体</w:t>
      </w:r>
      <w:r>
        <w:rPr>
          <w:rFonts w:hAnsi="宋体"/>
          <w:kern w:val="0"/>
          <w:szCs w:val="21"/>
        </w:rPr>
        <w:t>形成</w:t>
      </w:r>
      <w:r>
        <w:rPr>
          <w:rFonts w:hAnsi="宋体" w:hint="eastAsia"/>
          <w:kern w:val="0"/>
          <w:szCs w:val="21"/>
        </w:rPr>
        <w:t>的</w:t>
      </w:r>
      <w:r>
        <w:rPr>
          <w:rFonts w:hAnsi="宋体"/>
          <w:kern w:val="0"/>
          <w:szCs w:val="21"/>
        </w:rPr>
        <w:t>途径</w:t>
      </w:r>
      <w:r>
        <w:rPr>
          <w:rFonts w:hAnsi="宋体" w:hint="eastAsia"/>
          <w:kern w:val="0"/>
          <w:szCs w:val="21"/>
        </w:rPr>
        <w:t>。</w:t>
      </w:r>
    </w:p>
    <w:p w14:paraId="6184F217"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4448443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：基因</w:t>
      </w:r>
      <w:r>
        <w:rPr>
          <w:rFonts w:ascii="宋体" w:hAnsi="宋体"/>
          <w:szCs w:val="21"/>
        </w:rPr>
        <w:t>、</w:t>
      </w:r>
      <w:r>
        <w:rPr>
          <w:rFonts w:hint="eastAsia"/>
        </w:rPr>
        <w:t>复等位基因、拮抗作用、正突变、反突变、显性突变、隐性突变、染色体缺失、</w:t>
      </w:r>
      <w:r>
        <w:rPr>
          <w:rFonts w:hint="eastAsia"/>
        </w:rPr>
        <w:lastRenderedPageBreak/>
        <w:t>重复、倒位、易位、染色体组、整倍体、非整倍体、一倍体、单倍体、同源、异源多倍体、超倍体、亚倍体等基本概念</w:t>
      </w:r>
      <w:r>
        <w:rPr>
          <w:rFonts w:hAnsi="宋体"/>
          <w:kern w:val="0"/>
          <w:szCs w:val="21"/>
        </w:rPr>
        <w:t>。</w:t>
      </w:r>
    </w:p>
    <w:p w14:paraId="236D75A7" w14:textId="77777777" w:rsidR="00F5289E" w:rsidRDefault="00C91173">
      <w:pPr>
        <w:snapToGrid w:val="0"/>
        <w:spacing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int="eastAsia"/>
        </w:rPr>
        <w:t>基因突变的机制；染色体缺失、重复、倒位、易位的遗传学效应</w:t>
      </w:r>
      <w:r>
        <w:rPr>
          <w:rFonts w:hAnsi="宋体" w:hint="eastAsia"/>
          <w:kern w:val="0"/>
          <w:szCs w:val="21"/>
        </w:rPr>
        <w:t>；</w:t>
      </w:r>
      <w:r>
        <w:rPr>
          <w:rFonts w:hint="eastAsia"/>
        </w:rPr>
        <w:t>多倍体的两种形成途径、同源多倍体联会及分离特点及多倍体的形态特征。</w:t>
      </w:r>
    </w:p>
    <w:p w14:paraId="39475DB0" w14:textId="77777777" w:rsidR="00F5289E" w:rsidRDefault="00C91173">
      <w:pPr>
        <w:snapToGrid w:val="0"/>
        <w:spacing w:line="360" w:lineRule="auto"/>
        <w:ind w:firstLineChars="200" w:firstLine="422"/>
      </w:pPr>
      <w:r>
        <w:rPr>
          <w:rFonts w:ascii="宋体" w:hAnsi="宋体" w:hint="eastAsia"/>
          <w:b/>
          <w:szCs w:val="21"/>
        </w:rPr>
        <w:t>3.应用</w:t>
      </w:r>
      <w:r>
        <w:rPr>
          <w:rFonts w:ascii="宋体" w:hAnsi="宋体" w:hint="eastAsia"/>
          <w:szCs w:val="21"/>
        </w:rPr>
        <w:t>：利用本章所学知识，</w:t>
      </w:r>
      <w:r>
        <w:rPr>
          <w:rFonts w:hint="eastAsia"/>
        </w:rPr>
        <w:t>解释理化因素诱发遗传</w:t>
      </w:r>
      <w:r>
        <w:t>物质变异</w:t>
      </w:r>
      <w:r>
        <w:rPr>
          <w:rFonts w:hint="eastAsia"/>
        </w:rPr>
        <w:t>的原理。</w:t>
      </w:r>
    </w:p>
    <w:p w14:paraId="01E1F080" w14:textId="77777777" w:rsidR="00F5289E" w:rsidRDefault="00C91173">
      <w:pPr>
        <w:snapToGrid w:val="0"/>
        <w:spacing w:line="360" w:lineRule="auto"/>
        <w:ind w:firstLineChars="200" w:firstLine="422"/>
      </w:pPr>
      <w:r>
        <w:rPr>
          <w:rFonts w:ascii="宋体" w:hAnsi="宋体" w:cs="宋体" w:hint="eastAsia"/>
          <w:b/>
          <w:bCs/>
        </w:rPr>
        <w:t>4.分析：</w:t>
      </w:r>
      <w:r>
        <w:rPr>
          <w:rFonts w:hint="eastAsia"/>
        </w:rPr>
        <w:t>解释园艺植物中存在的自交不亲和现象及其</w:t>
      </w:r>
      <w:r>
        <w:t>原因</w:t>
      </w:r>
    </w:p>
    <w:p w14:paraId="53D3FD85" w14:textId="77777777" w:rsidR="00F5289E" w:rsidRDefault="00C91173">
      <w:pPr>
        <w:snapToGrid w:val="0"/>
        <w:spacing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：利用本章所学知识，</w:t>
      </w:r>
      <w:r>
        <w:rPr>
          <w:rFonts w:hint="eastAsia"/>
        </w:rPr>
        <w:t>解释三倍体西瓜等常见</w:t>
      </w:r>
      <w:r>
        <w:t>多倍体</w:t>
      </w:r>
      <w:r>
        <w:rPr>
          <w:rFonts w:hint="eastAsia"/>
        </w:rPr>
        <w:t>园艺植物的生产方法</w:t>
      </w:r>
      <w:r>
        <w:t>及其原理</w:t>
      </w:r>
      <w:r>
        <w:rPr>
          <w:rFonts w:hint="eastAsia"/>
        </w:rPr>
        <w:t>，现代园艺植物物种形成的可能途径。</w:t>
      </w:r>
    </w:p>
    <w:p w14:paraId="06B1B8CE" w14:textId="77777777" w:rsidR="00F5289E" w:rsidRDefault="00C91173">
      <w:pPr>
        <w:snapToGrid w:val="0"/>
        <w:spacing w:line="360" w:lineRule="auto"/>
        <w:ind w:firstLineChars="200" w:firstLine="422"/>
        <w:rPr>
          <w:highlight w:val="yellow"/>
        </w:rPr>
      </w:pPr>
      <w:r>
        <w:rPr>
          <w:rFonts w:ascii="宋体" w:hAnsi="宋体" w:cs="宋体" w:hint="eastAsia"/>
          <w:b/>
          <w:bCs/>
        </w:rPr>
        <w:t>6.评价：</w:t>
      </w:r>
      <w:r>
        <w:rPr>
          <w:rFonts w:hint="eastAsia"/>
        </w:rPr>
        <w:t>利用染色体结构变异进行育种学研究的可能性及其利用</w:t>
      </w:r>
      <w:r>
        <w:t>方式</w:t>
      </w:r>
      <w:r>
        <w:rPr>
          <w:rFonts w:hint="eastAsia"/>
        </w:rPr>
        <w:t>。</w:t>
      </w:r>
    </w:p>
    <w:p w14:paraId="6B0B6703" w14:textId="77777777" w:rsidR="00F5289E" w:rsidRDefault="00C91173">
      <w:pPr>
        <w:pStyle w:val="a9"/>
        <w:snapToGrid w:val="0"/>
        <w:spacing w:beforeLines="100" w:before="312" w:line="360" w:lineRule="auto"/>
        <w:ind w:firstLine="422"/>
        <w:jc w:val="center"/>
        <w:rPr>
          <w:rFonts w:hAnsi="宋体"/>
          <w:b/>
        </w:rPr>
      </w:pPr>
      <w:r>
        <w:rPr>
          <w:rFonts w:hAnsi="宋体"/>
          <w:b/>
          <w:bCs/>
          <w:kern w:val="0"/>
        </w:rPr>
        <w:t>第</w:t>
      </w:r>
      <w:r>
        <w:rPr>
          <w:rFonts w:hAnsi="宋体" w:hint="eastAsia"/>
          <w:b/>
          <w:bCs/>
          <w:kern w:val="0"/>
        </w:rPr>
        <w:t>七</w:t>
      </w:r>
      <w:r>
        <w:rPr>
          <w:rFonts w:hAnsi="宋体"/>
          <w:b/>
          <w:bCs/>
          <w:kern w:val="0"/>
        </w:rPr>
        <w:t>章</w:t>
      </w:r>
      <w:r>
        <w:rPr>
          <w:b/>
          <w:bCs/>
          <w:kern w:val="0"/>
        </w:rPr>
        <w:t> </w:t>
      </w:r>
      <w:r>
        <w:rPr>
          <w:b/>
          <w:bCs/>
          <w:kern w:val="0"/>
        </w:rPr>
        <w:t xml:space="preserve"> </w:t>
      </w:r>
      <w:r>
        <w:rPr>
          <w:rFonts w:hAnsi="宋体"/>
          <w:b/>
          <w:bCs/>
          <w:kern w:val="0"/>
        </w:rPr>
        <w:t>遗传物质的分子基础</w:t>
      </w:r>
      <w:r>
        <w:rPr>
          <w:rFonts w:hAnsi="宋体" w:hint="eastAsia"/>
          <w:b/>
          <w:bCs/>
          <w:kern w:val="0"/>
        </w:rPr>
        <w:t xml:space="preserve"> </w:t>
      </w:r>
    </w:p>
    <w:p w14:paraId="2F7BD66D"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CDDE2A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：基因工程的概念，遗传物质的组成方式和特点。</w:t>
      </w:r>
    </w:p>
    <w:p w14:paraId="274CC5FC" w14:textId="77777777" w:rsidR="00F5289E" w:rsidRDefault="00C91173">
      <w:pPr>
        <w:snapToGrid w:val="0"/>
        <w:spacing w:line="360" w:lineRule="auto"/>
        <w:ind w:firstLineChars="200" w:firstLine="422"/>
        <w:rPr>
          <w:rFonts w:ascii="宋体" w:hAnsi="宋体" w:cs="宋体"/>
          <w:kern w:val="0"/>
          <w:szCs w:val="21"/>
        </w:rPr>
      </w:pPr>
      <w:r>
        <w:rPr>
          <w:rFonts w:ascii="宋体" w:hAnsi="宋体" w:hint="eastAsia"/>
          <w:b/>
          <w:szCs w:val="21"/>
        </w:rPr>
        <w:t>2. 一般掌握</w:t>
      </w:r>
      <w:r>
        <w:rPr>
          <w:rFonts w:ascii="宋体" w:hAnsi="宋体" w:hint="eastAsia"/>
          <w:szCs w:val="21"/>
        </w:rPr>
        <w:t>：基因转录和翻译的过程，遗传密码子；</w:t>
      </w:r>
      <w:r>
        <w:rPr>
          <w:rFonts w:ascii="宋体" w:hAnsi="宋体" w:cs="宋体" w:hint="eastAsia"/>
          <w:kern w:val="0"/>
          <w:szCs w:val="21"/>
        </w:rPr>
        <w:t>遗传工程概念和原理，</w:t>
      </w:r>
      <w:r>
        <w:rPr>
          <w:rFonts w:hAnsi="宋体" w:hint="eastAsia"/>
          <w:kern w:val="0"/>
          <w:szCs w:val="21"/>
        </w:rPr>
        <w:t>基因突变修复</w:t>
      </w:r>
      <w:r>
        <w:rPr>
          <w:rFonts w:ascii="宋体" w:hAnsi="宋体" w:cs="宋体" w:hint="eastAsia"/>
          <w:kern w:val="0"/>
          <w:szCs w:val="21"/>
        </w:rPr>
        <w:t>机制。</w:t>
      </w:r>
      <w:r>
        <w:rPr>
          <w:rFonts w:hint="eastAsia"/>
        </w:rPr>
        <w:t>基因分离与合成方法，运输工具与限制性内切酶，重组</w:t>
      </w:r>
      <w:r>
        <w:rPr>
          <w:rFonts w:hint="eastAsia"/>
        </w:rPr>
        <w:t>DNA</w:t>
      </w:r>
      <w:r>
        <w:rPr>
          <w:rFonts w:hint="eastAsia"/>
        </w:rPr>
        <w:t>分子的形成及</w:t>
      </w:r>
      <w:r>
        <w:rPr>
          <w:rFonts w:hint="eastAsia"/>
        </w:rPr>
        <w:t>DNA</w:t>
      </w:r>
      <w:r>
        <w:rPr>
          <w:rFonts w:hint="eastAsia"/>
        </w:rPr>
        <w:t>分子克隆的建立和目的基因的表达。</w:t>
      </w:r>
    </w:p>
    <w:p w14:paraId="4754198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：DNA复制的过程和特点。密码子的简并性。</w:t>
      </w:r>
      <w:r>
        <w:rPr>
          <w:rFonts w:ascii="宋体" w:hAnsi="宋体" w:cs="宋体" w:hint="eastAsia"/>
          <w:kern w:val="0"/>
          <w:szCs w:val="21"/>
        </w:rPr>
        <w:t>DNA的防护理论。细胞工程的概念及植物体细胞杂交过程的关键步骤。</w:t>
      </w:r>
    </w:p>
    <w:p w14:paraId="00654198"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7921200"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．遗传物质的组成方式和特点，</w:t>
      </w:r>
      <w:r>
        <w:rPr>
          <w:rFonts w:hAnsi="宋体" w:hint="eastAsia"/>
          <w:kern w:val="0"/>
          <w:szCs w:val="21"/>
        </w:rPr>
        <w:t>DNA</w:t>
      </w:r>
      <w:r>
        <w:rPr>
          <w:rFonts w:hAnsi="宋体" w:hint="eastAsia"/>
          <w:kern w:val="0"/>
          <w:szCs w:val="21"/>
        </w:rPr>
        <w:t>复制的过程和特点。</w:t>
      </w:r>
    </w:p>
    <w:p w14:paraId="49C9632A"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．基因转录和翻译的过程和特点，遗传密码子及其简并性。</w:t>
      </w:r>
    </w:p>
    <w:p w14:paraId="4DEE3054"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．基因、遗传工程的概念，基因分离与合成方法，载体与限制性内切酶作用。</w:t>
      </w:r>
    </w:p>
    <w:p w14:paraId="45C0D9D6"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4</w:t>
      </w:r>
      <w:r>
        <w:rPr>
          <w:rFonts w:hAnsi="宋体" w:hint="eastAsia"/>
          <w:kern w:val="0"/>
          <w:szCs w:val="21"/>
        </w:rPr>
        <w:t>．重组</w:t>
      </w:r>
      <w:r>
        <w:rPr>
          <w:rFonts w:hAnsi="宋体" w:hint="eastAsia"/>
          <w:kern w:val="0"/>
          <w:szCs w:val="21"/>
        </w:rPr>
        <w:t>DNA</w:t>
      </w:r>
      <w:r>
        <w:rPr>
          <w:rFonts w:hAnsi="宋体" w:hint="eastAsia"/>
          <w:kern w:val="0"/>
          <w:szCs w:val="21"/>
        </w:rPr>
        <w:t>分子的形成及</w:t>
      </w:r>
      <w:r>
        <w:rPr>
          <w:rFonts w:hAnsi="宋体" w:hint="eastAsia"/>
          <w:kern w:val="0"/>
          <w:szCs w:val="21"/>
        </w:rPr>
        <w:t>DNA</w:t>
      </w:r>
      <w:r>
        <w:rPr>
          <w:rFonts w:hAnsi="宋体" w:hint="eastAsia"/>
          <w:kern w:val="0"/>
          <w:szCs w:val="21"/>
        </w:rPr>
        <w:t>分子克隆的建立和目的基因的表达。</w:t>
      </w:r>
    </w:p>
    <w:p w14:paraId="1271BFFC" w14:textId="77777777" w:rsidR="00F5289E" w:rsidRDefault="00C91173">
      <w:pPr>
        <w:snapToGrid w:val="0"/>
        <w:spacing w:line="360" w:lineRule="auto"/>
        <w:ind w:firstLineChars="200" w:firstLine="420"/>
        <w:rPr>
          <w:rFonts w:hAnsi="宋体"/>
          <w:kern w:val="0"/>
          <w:szCs w:val="21"/>
        </w:rPr>
      </w:pPr>
      <w:r>
        <w:rPr>
          <w:rFonts w:hAnsi="宋体" w:hint="eastAsia"/>
          <w:kern w:val="0"/>
          <w:szCs w:val="21"/>
        </w:rPr>
        <w:t>5</w:t>
      </w:r>
      <w:r>
        <w:rPr>
          <w:rFonts w:hAnsi="宋体" w:hint="eastAsia"/>
          <w:kern w:val="0"/>
          <w:szCs w:val="21"/>
        </w:rPr>
        <w:t>．基因工程领域的成就和展望、细胞工程的概念及植物细胞杂交过程的关键步骤。</w:t>
      </w:r>
    </w:p>
    <w:p w14:paraId="30DEE6D6"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724A73BC"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：基因、</w:t>
      </w:r>
      <w:r>
        <w:rPr>
          <w:rFonts w:hint="eastAsia"/>
        </w:rPr>
        <w:t>DNA</w:t>
      </w:r>
      <w:r>
        <w:rPr>
          <w:rFonts w:hint="eastAsia"/>
        </w:rPr>
        <w:t>、</w:t>
      </w:r>
      <w:r>
        <w:rPr>
          <w:rFonts w:hint="eastAsia"/>
        </w:rPr>
        <w:t>RNA</w:t>
      </w:r>
      <w:r>
        <w:rPr>
          <w:rFonts w:hint="eastAsia"/>
        </w:rPr>
        <w:t>、分子生物学中心法则、遗传工程、</w:t>
      </w:r>
      <w:r>
        <w:rPr>
          <w:rFonts w:ascii="宋体" w:hAnsi="宋体" w:hint="eastAsia"/>
          <w:szCs w:val="21"/>
        </w:rPr>
        <w:t>遗传密码子、简并性、半保留复制、半不连续复制、</w:t>
      </w:r>
      <w:r>
        <w:rPr>
          <w:rFonts w:hint="eastAsia"/>
        </w:rPr>
        <w:t>限制性内切酶</w:t>
      </w:r>
      <w:r>
        <w:rPr>
          <w:rFonts w:ascii="宋体" w:hAnsi="宋体" w:cs="宋体" w:hint="eastAsia"/>
          <w:kern w:val="0"/>
          <w:szCs w:val="21"/>
        </w:rPr>
        <w:t>、载体等基本概念</w:t>
      </w:r>
      <w:r>
        <w:rPr>
          <w:rFonts w:hAnsi="宋体"/>
          <w:kern w:val="0"/>
          <w:szCs w:val="21"/>
        </w:rPr>
        <w:t>。</w:t>
      </w:r>
    </w:p>
    <w:p w14:paraId="2D46E4E4" w14:textId="77777777" w:rsidR="00F5289E" w:rsidRDefault="00C91173">
      <w:pPr>
        <w:snapToGrid w:val="0"/>
        <w:spacing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：DNA复制的过程特点；RNA的种类，转录的过程和特点；蛋白质的遗传密码子和简并性；转基因的原理。</w:t>
      </w:r>
    </w:p>
    <w:p w14:paraId="13C7C065"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hint="eastAsia"/>
        </w:rPr>
        <w:t>要求学生能够解释</w:t>
      </w:r>
      <w:r>
        <w:rPr>
          <w:rFonts w:ascii="宋体" w:hAnsi="宋体" w:hint="eastAsia"/>
          <w:szCs w:val="21"/>
        </w:rPr>
        <w:t>转基因在园艺植物育种工作中的作用。</w:t>
      </w:r>
    </w:p>
    <w:p w14:paraId="712C93B1" w14:textId="77777777" w:rsidR="00F5289E" w:rsidRDefault="00C91173">
      <w:pPr>
        <w:snapToGrid w:val="0"/>
        <w:spacing w:line="360" w:lineRule="auto"/>
        <w:ind w:firstLineChars="200" w:firstLine="422"/>
        <w:rPr>
          <w:rFonts w:ascii="宋体" w:hAnsi="宋体"/>
          <w:szCs w:val="21"/>
        </w:rPr>
      </w:pPr>
      <w:r>
        <w:rPr>
          <w:rFonts w:ascii="宋体" w:hAnsi="宋体" w:cs="宋体" w:hint="eastAsia"/>
          <w:b/>
          <w:bCs/>
        </w:rPr>
        <w:t>4.分析：</w:t>
      </w:r>
      <w:r>
        <w:rPr>
          <w:rFonts w:hint="eastAsia"/>
        </w:rPr>
        <w:t>利用本章知识，解释基因和性状的关系</w:t>
      </w:r>
      <w:r>
        <w:rPr>
          <w:rFonts w:ascii="宋体" w:hAnsi="宋体" w:hint="eastAsia"/>
          <w:szCs w:val="21"/>
        </w:rPr>
        <w:t>。</w:t>
      </w:r>
    </w:p>
    <w:p w14:paraId="562AE58F" w14:textId="77777777" w:rsidR="00F5289E" w:rsidRDefault="00C91173">
      <w:pPr>
        <w:snapToGrid w:val="0"/>
        <w:spacing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要求学生能够利用本章知识，理解</w:t>
      </w:r>
      <w:r>
        <w:t>传统</w:t>
      </w:r>
      <w:r>
        <w:rPr>
          <w:rFonts w:hint="eastAsia"/>
        </w:rPr>
        <w:t>有性</w:t>
      </w:r>
      <w:r>
        <w:t>重组育种与</w:t>
      </w:r>
      <w:r>
        <w:rPr>
          <w:rFonts w:hint="eastAsia"/>
        </w:rPr>
        <w:t>现代生物</w:t>
      </w:r>
      <w:r>
        <w:t>育种的</w:t>
      </w:r>
      <w:r>
        <w:rPr>
          <w:rFonts w:hint="eastAsia"/>
        </w:rPr>
        <w:t>优缺点</w:t>
      </w:r>
      <w:r>
        <w:t>，</w:t>
      </w:r>
      <w:r>
        <w:rPr>
          <w:rFonts w:hint="eastAsia"/>
        </w:rPr>
        <w:t>提出改造现有园艺植物的</w:t>
      </w:r>
      <w:r>
        <w:t>途径</w:t>
      </w:r>
      <w:r>
        <w:rPr>
          <w:rFonts w:hint="eastAsia"/>
        </w:rPr>
        <w:t>。</w:t>
      </w:r>
    </w:p>
    <w:p w14:paraId="46B58D52" w14:textId="77777777" w:rsidR="00F5289E" w:rsidRDefault="00C91173">
      <w:pPr>
        <w:snapToGrid w:val="0"/>
        <w:spacing w:line="360" w:lineRule="auto"/>
        <w:ind w:firstLineChars="200" w:firstLine="422"/>
        <w:rPr>
          <w:highlight w:val="yellow"/>
        </w:rPr>
      </w:pPr>
      <w:r>
        <w:rPr>
          <w:rFonts w:ascii="宋体" w:hAnsi="宋体" w:cs="宋体" w:hint="eastAsia"/>
          <w:b/>
          <w:bCs/>
        </w:rPr>
        <w:t>6.评价：</w:t>
      </w:r>
      <w:r>
        <w:rPr>
          <w:rFonts w:hint="eastAsia"/>
        </w:rPr>
        <w:t>对转基因生物安全进行正确评价。</w:t>
      </w:r>
    </w:p>
    <w:p w14:paraId="3DFB4B9F" w14:textId="77777777" w:rsidR="00F5289E" w:rsidRDefault="00C91173">
      <w:pPr>
        <w:pStyle w:val="a9"/>
        <w:snapToGrid w:val="0"/>
        <w:spacing w:beforeLines="100" w:before="312" w:line="360" w:lineRule="auto"/>
        <w:ind w:firstLine="422"/>
        <w:jc w:val="center"/>
        <w:rPr>
          <w:rFonts w:hAnsi="宋体"/>
          <w:b/>
        </w:rPr>
      </w:pPr>
      <w:r>
        <w:rPr>
          <w:rFonts w:hAnsi="宋体"/>
          <w:b/>
          <w:bCs/>
          <w:kern w:val="0"/>
        </w:rPr>
        <w:lastRenderedPageBreak/>
        <w:t>第</w:t>
      </w:r>
      <w:r>
        <w:rPr>
          <w:rFonts w:hAnsi="宋体" w:hint="eastAsia"/>
          <w:b/>
          <w:bCs/>
          <w:kern w:val="0"/>
        </w:rPr>
        <w:t>八</w:t>
      </w:r>
      <w:r>
        <w:rPr>
          <w:rFonts w:hAnsi="宋体"/>
          <w:b/>
          <w:bCs/>
          <w:kern w:val="0"/>
        </w:rPr>
        <w:t>章</w:t>
      </w:r>
      <w:r>
        <w:rPr>
          <w:rFonts w:hAnsi="宋体" w:hint="eastAsia"/>
          <w:b/>
          <w:bCs/>
          <w:kern w:val="0"/>
        </w:rPr>
        <w:t xml:space="preserve"> </w:t>
      </w:r>
      <w:r>
        <w:rPr>
          <w:b/>
          <w:bCs/>
          <w:kern w:val="0"/>
        </w:rPr>
        <w:t> </w:t>
      </w:r>
      <w:r>
        <w:rPr>
          <w:rFonts w:hint="eastAsia"/>
          <w:b/>
          <w:bCs/>
          <w:kern w:val="0"/>
        </w:rPr>
        <w:t xml:space="preserve">细胞质遗传 </w:t>
      </w:r>
    </w:p>
    <w:p w14:paraId="6C90DB8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C423F1B"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细胞质遗传的现象</w:t>
      </w:r>
      <w:r>
        <w:rPr>
          <w:rFonts w:ascii="宋体" w:hAnsi="宋体" w:hint="eastAsia"/>
          <w:szCs w:val="21"/>
        </w:rPr>
        <w:t>。</w:t>
      </w:r>
    </w:p>
    <w:p w14:paraId="647BB4DD"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细胞质遗传的概念和特点；叶绿体、线粒体遗传的现象及遗传的分子学基础。</w:t>
      </w:r>
    </w:p>
    <w:p w14:paraId="78D67C1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kern w:val="0"/>
          <w:szCs w:val="21"/>
        </w:rPr>
        <w:t>雄性不育发生的机理及质核不育型在三系配套制种中的应用。</w:t>
      </w:r>
    </w:p>
    <w:p w14:paraId="57647213"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3792163"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．细胞质遗传的概念和特点，母性影响及与细胞质遗传的区别。</w:t>
      </w:r>
    </w:p>
    <w:p w14:paraId="1902AEAE"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2</w:t>
      </w:r>
      <w:r>
        <w:rPr>
          <w:rFonts w:hAnsi="宋体" w:hint="eastAsia"/>
          <w:kern w:val="0"/>
          <w:szCs w:val="21"/>
        </w:rPr>
        <w:t>．叶绿体遗传的现象及遗传的分子基础；线粒体遗传的现象及遗传的分子学基础。</w:t>
      </w:r>
    </w:p>
    <w:p w14:paraId="16F40947"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．雄性不育的类型及遗传特点，雄性不育发生的机理及质核不育型在三系配套制种中的应用。</w:t>
      </w:r>
    </w:p>
    <w:p w14:paraId="2B14A7E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27960B1"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：细胞质遗传、</w:t>
      </w:r>
      <w:r>
        <w:rPr>
          <w:rFonts w:hint="eastAsia"/>
        </w:rPr>
        <w:t>母性遗传与母性影响、质核不育型</w:t>
      </w:r>
      <w:r>
        <w:rPr>
          <w:rFonts w:hAnsi="宋体"/>
          <w:kern w:val="0"/>
          <w:szCs w:val="21"/>
        </w:rPr>
        <w:t>。</w:t>
      </w:r>
    </w:p>
    <w:p w14:paraId="157F4D1B"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w:t>
      </w:r>
      <w:r>
        <w:rPr>
          <w:rFonts w:hint="eastAsia"/>
        </w:rPr>
        <w:t>母性遗传与母性影响的区别、质核不育型的特点及遗传机理</w:t>
      </w:r>
      <w:r>
        <w:rPr>
          <w:rFonts w:hAnsi="宋体"/>
          <w:kern w:val="0"/>
          <w:szCs w:val="21"/>
        </w:rPr>
        <w:t>。</w:t>
      </w:r>
    </w:p>
    <w:p w14:paraId="4FBDC060"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w:t>
      </w:r>
      <w:r>
        <w:rPr>
          <w:rFonts w:hint="eastAsia"/>
        </w:rPr>
        <w:t>要求学生能够利用本章知识，解释杂交种产生的原理，</w:t>
      </w:r>
      <w:r>
        <w:t>以及降低制种成本的途径</w:t>
      </w:r>
      <w:r>
        <w:rPr>
          <w:rFonts w:hint="eastAsia"/>
        </w:rPr>
        <w:t>。</w:t>
      </w:r>
    </w:p>
    <w:p w14:paraId="3D8A0C3A" w14:textId="77777777" w:rsidR="00F5289E" w:rsidRDefault="00C91173">
      <w:pPr>
        <w:snapToGrid w:val="0"/>
        <w:spacing w:beforeLines="50" w:before="156" w:line="360" w:lineRule="auto"/>
        <w:ind w:firstLineChars="200" w:firstLine="422"/>
        <w:rPr>
          <w:rFonts w:ascii="宋体" w:hAnsi="宋体"/>
          <w:b/>
          <w:szCs w:val="21"/>
        </w:rPr>
      </w:pPr>
      <w:r>
        <w:rPr>
          <w:b/>
          <w:bCs/>
        </w:rPr>
        <w:t xml:space="preserve">4. </w:t>
      </w:r>
      <w:r>
        <w:rPr>
          <w:rFonts w:hint="eastAsia"/>
          <w:b/>
          <w:bCs/>
        </w:rPr>
        <w:t>分析：</w:t>
      </w:r>
      <w:r>
        <w:rPr>
          <w:rFonts w:hint="eastAsia"/>
        </w:rPr>
        <w:t>利用本章所学知识，分析细胞质遗传特点及制种方法和原理</w:t>
      </w:r>
      <w:r>
        <w:rPr>
          <w:rFonts w:ascii="宋体" w:hAnsi="宋体" w:hint="eastAsia"/>
          <w:b/>
          <w:szCs w:val="21"/>
        </w:rPr>
        <w:t>。</w:t>
      </w:r>
    </w:p>
    <w:p w14:paraId="7403CF61"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要求学生能够利用本章知识，解释质核不育型在三系配套制种中的应用，</w:t>
      </w:r>
      <w:r>
        <w:t>提高杂种纯度的方法</w:t>
      </w:r>
      <w:r>
        <w:rPr>
          <w:rFonts w:hint="eastAsia"/>
        </w:rPr>
        <w:t>。</w:t>
      </w:r>
    </w:p>
    <w:p w14:paraId="5137B2ED" w14:textId="77777777" w:rsidR="00F5289E" w:rsidRDefault="00C91173">
      <w:pPr>
        <w:snapToGrid w:val="0"/>
        <w:spacing w:beforeLines="50" w:before="156" w:line="360" w:lineRule="auto"/>
        <w:ind w:firstLineChars="200" w:firstLine="422"/>
        <w:rPr>
          <w:rFonts w:ascii="宋体" w:hAnsi="宋体"/>
          <w:szCs w:val="21"/>
        </w:rPr>
      </w:pPr>
      <w:r>
        <w:rPr>
          <w:b/>
          <w:bCs/>
        </w:rPr>
        <w:t xml:space="preserve">6. </w:t>
      </w:r>
      <w:r>
        <w:rPr>
          <w:rFonts w:hint="eastAsia"/>
          <w:b/>
          <w:bCs/>
        </w:rPr>
        <w:t>评价：</w:t>
      </w:r>
      <w:r>
        <w:rPr>
          <w:rFonts w:hint="eastAsia"/>
        </w:rPr>
        <w:t>要求学生通过本章节内容的学习，评价细胞质遗传的重要性，对遗传规律有进一步的认知。</w:t>
      </w:r>
    </w:p>
    <w:p w14:paraId="60D7FD25" w14:textId="77777777" w:rsidR="00F5289E" w:rsidRDefault="00C91173">
      <w:pPr>
        <w:pStyle w:val="a9"/>
        <w:snapToGrid w:val="0"/>
        <w:spacing w:beforeLines="100" w:before="312" w:line="360" w:lineRule="auto"/>
        <w:ind w:firstLineChars="200" w:firstLine="422"/>
        <w:jc w:val="center"/>
        <w:rPr>
          <w:rFonts w:hAnsi="宋体"/>
          <w:b/>
        </w:rPr>
      </w:pPr>
      <w:r>
        <w:rPr>
          <w:rFonts w:hAnsi="宋体"/>
          <w:b/>
          <w:bCs/>
          <w:kern w:val="0"/>
        </w:rPr>
        <w:t>第</w:t>
      </w:r>
      <w:r>
        <w:rPr>
          <w:rFonts w:hAnsi="宋体" w:hint="eastAsia"/>
          <w:b/>
          <w:bCs/>
          <w:kern w:val="0"/>
        </w:rPr>
        <w:t>九</w:t>
      </w:r>
      <w:r>
        <w:rPr>
          <w:rFonts w:hAnsi="宋体"/>
          <w:b/>
          <w:bCs/>
          <w:kern w:val="0"/>
        </w:rPr>
        <w:t>章</w:t>
      </w:r>
      <w:r>
        <w:rPr>
          <w:rFonts w:hAnsi="宋体" w:hint="eastAsia"/>
          <w:b/>
          <w:bCs/>
          <w:kern w:val="0"/>
        </w:rPr>
        <w:t xml:space="preserve"> </w:t>
      </w:r>
      <w:r>
        <w:rPr>
          <w:b/>
          <w:bCs/>
          <w:kern w:val="0"/>
        </w:rPr>
        <w:t> </w:t>
      </w:r>
      <w:r>
        <w:rPr>
          <w:rFonts w:hint="eastAsia"/>
          <w:b/>
          <w:bCs/>
          <w:kern w:val="0"/>
        </w:rPr>
        <w:t xml:space="preserve">细菌和病毒的遗传 </w:t>
      </w:r>
    </w:p>
    <w:p w14:paraId="5917667B" w14:textId="77777777" w:rsidR="00F5289E" w:rsidRDefault="00C91173">
      <w:pPr>
        <w:snapToGrid w:val="0"/>
        <w:spacing w:line="360" w:lineRule="auto"/>
        <w:jc w:val="left"/>
        <w:rPr>
          <w:rFonts w:ascii="宋体" w:hAnsi="宋体"/>
          <w:b/>
          <w:szCs w:val="21"/>
        </w:rPr>
      </w:pPr>
      <w:r>
        <w:rPr>
          <w:rFonts w:ascii="宋体" w:hAnsi="宋体" w:hint="eastAsia"/>
          <w:b/>
          <w:szCs w:val="21"/>
        </w:rPr>
        <w:t>（一）学习目标</w:t>
      </w:r>
    </w:p>
    <w:p w14:paraId="71C3680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kern w:val="0"/>
          <w:szCs w:val="21"/>
        </w:rPr>
        <w:t>细菌和病毒的特点</w:t>
      </w:r>
      <w:r>
        <w:rPr>
          <w:rFonts w:ascii="宋体" w:hAnsi="宋体" w:hint="eastAsia"/>
          <w:szCs w:val="21"/>
        </w:rPr>
        <w:t>。</w:t>
      </w:r>
    </w:p>
    <w:p w14:paraId="707BC61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hAnsi="宋体" w:hint="eastAsia"/>
          <w:kern w:val="0"/>
          <w:szCs w:val="21"/>
        </w:rPr>
        <w:t>细菌和病毒在遗传学研究中的作用。</w:t>
      </w:r>
    </w:p>
    <w:p w14:paraId="576B348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：细菌遗传重组的四个途径：</w:t>
      </w:r>
      <w:r>
        <w:rPr>
          <w:rFonts w:hAnsi="宋体" w:hint="eastAsia"/>
          <w:kern w:val="0"/>
          <w:szCs w:val="21"/>
        </w:rPr>
        <w:t>接合、转导、性导、转化。</w:t>
      </w:r>
    </w:p>
    <w:p w14:paraId="46C9EBBD"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B659850"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1</w:t>
      </w:r>
      <w:r>
        <w:rPr>
          <w:rFonts w:hAnsi="宋体" w:hint="eastAsia"/>
          <w:kern w:val="0"/>
          <w:szCs w:val="21"/>
        </w:rPr>
        <w:t>．</w:t>
      </w:r>
      <w:r>
        <w:rPr>
          <w:rFonts w:hAnsi="宋体"/>
          <w:kern w:val="0"/>
          <w:szCs w:val="21"/>
        </w:rPr>
        <w:t>介绍</w:t>
      </w:r>
      <w:r>
        <w:rPr>
          <w:rFonts w:hAnsi="宋体" w:hint="eastAsia"/>
          <w:kern w:val="0"/>
          <w:szCs w:val="21"/>
        </w:rPr>
        <w:t>细菌的特点及在遗传学研究中的作用。</w:t>
      </w:r>
    </w:p>
    <w:p w14:paraId="1391090F"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lastRenderedPageBreak/>
        <w:t>2</w:t>
      </w:r>
      <w:r>
        <w:rPr>
          <w:rFonts w:hAnsi="宋体" w:hint="eastAsia"/>
          <w:kern w:val="0"/>
          <w:szCs w:val="21"/>
        </w:rPr>
        <w:t>．介绍病毒的特点及在遗传学研究中的作用。</w:t>
      </w:r>
    </w:p>
    <w:p w14:paraId="3E154FAD" w14:textId="77777777" w:rsidR="00F5289E" w:rsidRDefault="00C91173">
      <w:pPr>
        <w:snapToGrid w:val="0"/>
        <w:spacing w:beforeLines="50" w:before="156" w:line="360" w:lineRule="auto"/>
        <w:ind w:firstLineChars="200" w:firstLine="420"/>
        <w:rPr>
          <w:rFonts w:hAnsi="宋体"/>
          <w:kern w:val="0"/>
          <w:szCs w:val="21"/>
        </w:rPr>
      </w:pPr>
      <w:r>
        <w:rPr>
          <w:rFonts w:hAnsi="宋体" w:hint="eastAsia"/>
          <w:kern w:val="0"/>
          <w:szCs w:val="21"/>
        </w:rPr>
        <w:t>3</w:t>
      </w:r>
      <w:r>
        <w:rPr>
          <w:rFonts w:hAnsi="宋体" w:hint="eastAsia"/>
          <w:kern w:val="0"/>
          <w:szCs w:val="21"/>
        </w:rPr>
        <w:t>．细菌</w:t>
      </w:r>
      <w:r>
        <w:rPr>
          <w:rFonts w:hAnsi="宋体" w:hint="eastAsia"/>
          <w:kern w:val="0"/>
          <w:szCs w:val="21"/>
        </w:rPr>
        <w:t>DNA</w:t>
      </w:r>
      <w:r>
        <w:rPr>
          <w:rFonts w:hAnsi="宋体" w:hint="eastAsia"/>
          <w:kern w:val="0"/>
          <w:szCs w:val="21"/>
        </w:rPr>
        <w:t>交换重组的</w:t>
      </w:r>
      <w:r>
        <w:rPr>
          <w:rFonts w:hAnsi="宋体" w:hint="eastAsia"/>
          <w:kern w:val="0"/>
          <w:szCs w:val="21"/>
        </w:rPr>
        <w:t>4</w:t>
      </w:r>
      <w:r>
        <w:rPr>
          <w:rFonts w:hAnsi="宋体" w:hint="eastAsia"/>
          <w:kern w:val="0"/>
          <w:szCs w:val="21"/>
        </w:rPr>
        <w:t>种不同方式：转化、接合、性导和转导的概念和转化的过程。</w:t>
      </w:r>
    </w:p>
    <w:p w14:paraId="529E87C6"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6CB8E4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：细菌、病毒、转化、接合、性导、转导等概念</w:t>
      </w:r>
      <w:r>
        <w:rPr>
          <w:rFonts w:hAnsi="宋体"/>
          <w:kern w:val="0"/>
          <w:szCs w:val="21"/>
        </w:rPr>
        <w:t>。</w:t>
      </w:r>
    </w:p>
    <w:p w14:paraId="6A1ECB81" w14:textId="77777777" w:rsidR="00F5289E" w:rsidRDefault="00C91173">
      <w:pPr>
        <w:snapToGrid w:val="0"/>
        <w:spacing w:beforeLines="50" w:before="156" w:line="360" w:lineRule="auto"/>
        <w:ind w:firstLineChars="200" w:firstLine="422"/>
        <w:rPr>
          <w:rFonts w:hAnsi="宋体"/>
          <w:kern w:val="0"/>
          <w:szCs w:val="21"/>
        </w:rPr>
      </w:pPr>
      <w:r>
        <w:rPr>
          <w:rFonts w:ascii="宋体" w:hAnsi="宋体" w:hint="eastAsia"/>
          <w:b/>
          <w:szCs w:val="21"/>
        </w:rPr>
        <w:t>2.领会</w:t>
      </w:r>
      <w:r>
        <w:rPr>
          <w:rFonts w:ascii="宋体" w:hAnsi="宋体" w:hint="eastAsia"/>
          <w:szCs w:val="21"/>
        </w:rPr>
        <w:t>：细菌遗传重组的三个途径：接合、转导、转化的概念、过程、原理，掌握细菌重组的特点</w:t>
      </w:r>
      <w:r>
        <w:rPr>
          <w:rFonts w:hAnsi="宋体"/>
          <w:kern w:val="0"/>
          <w:szCs w:val="21"/>
        </w:rPr>
        <w:t>。</w:t>
      </w:r>
    </w:p>
    <w:p w14:paraId="3A720229" w14:textId="77777777" w:rsidR="00F5289E" w:rsidRDefault="00C91173">
      <w:pPr>
        <w:snapToGrid w:val="0"/>
        <w:spacing w:beforeLines="50" w:before="156" w:line="360" w:lineRule="auto"/>
        <w:ind w:firstLineChars="200" w:firstLine="422"/>
      </w:pPr>
      <w:r>
        <w:rPr>
          <w:rFonts w:ascii="宋体" w:hAnsi="宋体" w:hint="eastAsia"/>
          <w:b/>
          <w:szCs w:val="21"/>
        </w:rPr>
        <w:t>3.应用</w:t>
      </w:r>
      <w:r>
        <w:rPr>
          <w:rFonts w:ascii="宋体" w:hAnsi="宋体" w:hint="eastAsia"/>
          <w:szCs w:val="21"/>
        </w:rPr>
        <w:t>：</w:t>
      </w:r>
      <w:r>
        <w:rPr>
          <w:rFonts w:hint="eastAsia"/>
        </w:rPr>
        <w:t>要求学生能够利用本章知识解释</w:t>
      </w:r>
      <w:r>
        <w:rPr>
          <w:rFonts w:ascii="宋体" w:hAnsi="宋体" w:hint="eastAsia"/>
          <w:szCs w:val="21"/>
        </w:rPr>
        <w:t>细菌和病毒在园艺植物遗传和育种中的作用</w:t>
      </w:r>
      <w:r>
        <w:rPr>
          <w:rFonts w:hint="eastAsia"/>
        </w:rPr>
        <w:t>。</w:t>
      </w:r>
    </w:p>
    <w:p w14:paraId="42C9A0C2" w14:textId="77777777" w:rsidR="00F5289E" w:rsidRDefault="00C91173">
      <w:pPr>
        <w:snapToGrid w:val="0"/>
        <w:spacing w:beforeLines="50" w:before="156" w:line="360" w:lineRule="auto"/>
        <w:ind w:firstLineChars="200" w:firstLine="422"/>
        <w:rPr>
          <w:rFonts w:ascii="宋体" w:hAnsi="宋体"/>
          <w:b/>
          <w:bCs/>
          <w:szCs w:val="21"/>
        </w:rPr>
      </w:pPr>
      <w:r>
        <w:rPr>
          <w:b/>
          <w:bCs/>
        </w:rPr>
        <w:t xml:space="preserve">4. </w:t>
      </w:r>
      <w:r>
        <w:rPr>
          <w:rFonts w:hint="eastAsia"/>
          <w:b/>
          <w:bCs/>
        </w:rPr>
        <w:t>分析：</w:t>
      </w:r>
      <w:r>
        <w:rPr>
          <w:rFonts w:hint="eastAsia"/>
        </w:rPr>
        <w:t>利用本章节所学知识，了解分析细菌、病毒遗传特征。</w:t>
      </w:r>
    </w:p>
    <w:p w14:paraId="4C28FF5A" w14:textId="77777777" w:rsidR="00F5289E" w:rsidRDefault="00C91173">
      <w:pPr>
        <w:snapToGrid w:val="0"/>
        <w:spacing w:beforeLines="50" w:before="156" w:line="360" w:lineRule="auto"/>
        <w:ind w:firstLineChars="200" w:firstLine="422"/>
      </w:pPr>
      <w:r>
        <w:rPr>
          <w:rFonts w:ascii="宋体" w:hAnsi="宋体"/>
          <w:b/>
          <w:szCs w:val="21"/>
        </w:rPr>
        <w:t>5</w:t>
      </w:r>
      <w:r>
        <w:rPr>
          <w:rFonts w:ascii="宋体" w:hAnsi="宋体" w:hint="eastAsia"/>
          <w:b/>
          <w:szCs w:val="21"/>
        </w:rPr>
        <w:t>．综合</w:t>
      </w:r>
      <w:r>
        <w:rPr>
          <w:rFonts w:ascii="宋体" w:hAnsi="宋体" w:hint="eastAsia"/>
          <w:szCs w:val="21"/>
        </w:rPr>
        <w:t>：</w:t>
      </w:r>
      <w:r>
        <w:rPr>
          <w:rFonts w:hint="eastAsia"/>
        </w:rPr>
        <w:t>要求学生能够利用本章知识说明细菌在园艺植物转基因中的作用和原理。</w:t>
      </w:r>
    </w:p>
    <w:p w14:paraId="5BD90778" w14:textId="77777777" w:rsidR="00F5289E" w:rsidRDefault="00C91173">
      <w:pPr>
        <w:snapToGrid w:val="0"/>
        <w:spacing w:beforeLines="50" w:before="156" w:line="360" w:lineRule="auto"/>
        <w:ind w:firstLineChars="200" w:firstLine="422"/>
      </w:pPr>
      <w:r>
        <w:rPr>
          <w:b/>
          <w:bCs/>
        </w:rPr>
        <w:t xml:space="preserve">6. </w:t>
      </w:r>
      <w:r>
        <w:rPr>
          <w:rFonts w:hint="eastAsia"/>
          <w:b/>
          <w:bCs/>
        </w:rPr>
        <w:t>评价：</w:t>
      </w:r>
      <w:r>
        <w:rPr>
          <w:rFonts w:hint="eastAsia"/>
        </w:rPr>
        <w:t>通过本章学习，对细菌等微生物在园艺植物生物工程中的应用进行评价。</w:t>
      </w:r>
    </w:p>
    <w:p w14:paraId="30007663" w14:textId="77777777" w:rsidR="00F5289E" w:rsidRDefault="00C91173">
      <w:pPr>
        <w:snapToGrid w:val="0"/>
        <w:spacing w:line="360" w:lineRule="auto"/>
        <w:rPr>
          <w:rFonts w:ascii="宋体" w:hAnsi="宋体"/>
          <w:b/>
          <w:szCs w:val="21"/>
        </w:rPr>
      </w:pPr>
      <w:r>
        <w:rPr>
          <w:rFonts w:hAnsi="宋体" w:hint="eastAsia"/>
          <w:b/>
          <w:kern w:val="0"/>
          <w:szCs w:val="21"/>
        </w:rPr>
        <w:t>下篇育种学部分</w:t>
      </w:r>
    </w:p>
    <w:p w14:paraId="1CCA8E1B"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绪 论</w:t>
      </w:r>
    </w:p>
    <w:p w14:paraId="21BA68F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75AA12F"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cs="宋体"/>
          <w:bCs/>
          <w:kern w:val="0"/>
          <w:szCs w:val="21"/>
        </w:rPr>
        <w:t>园艺</w:t>
      </w:r>
      <w:r>
        <w:rPr>
          <w:rFonts w:ascii="宋体" w:hAnsi="宋体"/>
          <w:szCs w:val="21"/>
        </w:rPr>
        <w:t>植物育种学发展的历史和概况</w:t>
      </w:r>
      <w:r>
        <w:rPr>
          <w:rFonts w:ascii="宋体" w:hAnsi="宋体" w:hint="eastAsia"/>
          <w:szCs w:val="21"/>
        </w:rPr>
        <w:t>；</w:t>
      </w:r>
      <w:r>
        <w:rPr>
          <w:rFonts w:cs="宋体"/>
          <w:bCs/>
          <w:kern w:val="0"/>
          <w:szCs w:val="21"/>
        </w:rPr>
        <w:t>园艺</w:t>
      </w:r>
      <w:r>
        <w:rPr>
          <w:rFonts w:ascii="宋体" w:hAnsi="宋体"/>
          <w:szCs w:val="21"/>
        </w:rPr>
        <w:t>植物</w:t>
      </w:r>
      <w:r>
        <w:rPr>
          <w:rFonts w:ascii="宋体" w:hAnsi="宋体" w:hint="eastAsia"/>
          <w:szCs w:val="21"/>
        </w:rPr>
        <w:t>品种选育的特点。</w:t>
      </w:r>
    </w:p>
    <w:p w14:paraId="3AE6316F"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品种的概念；</w:t>
      </w:r>
      <w:r>
        <w:rPr>
          <w:rFonts w:cs="宋体"/>
          <w:bCs/>
          <w:kern w:val="0"/>
          <w:szCs w:val="21"/>
        </w:rPr>
        <w:t>园艺</w:t>
      </w:r>
      <w:r>
        <w:rPr>
          <w:rFonts w:ascii="宋体" w:hAnsi="宋体"/>
          <w:szCs w:val="21"/>
        </w:rPr>
        <w:t>植物</w:t>
      </w:r>
      <w:r>
        <w:rPr>
          <w:rFonts w:ascii="宋体" w:hAnsi="宋体" w:hint="eastAsia"/>
          <w:szCs w:val="21"/>
        </w:rPr>
        <w:t>在人们生活、农业生产和国民经济中的地位和作用。</w:t>
      </w:r>
    </w:p>
    <w:p w14:paraId="2C03535B"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品种的概念范畴；优良品种的作用。</w:t>
      </w:r>
    </w:p>
    <w:p w14:paraId="16A19058" w14:textId="77777777" w:rsidR="00F5289E" w:rsidRDefault="00C91173">
      <w:pPr>
        <w:spacing w:line="360" w:lineRule="auto"/>
        <w:rPr>
          <w:b/>
          <w:szCs w:val="21"/>
        </w:rPr>
      </w:pPr>
      <w:r>
        <w:rPr>
          <w:rFonts w:hint="eastAsia"/>
          <w:b/>
          <w:szCs w:val="21"/>
        </w:rPr>
        <w:t>（二）考核内容</w:t>
      </w:r>
    </w:p>
    <w:p w14:paraId="4F2B41FB" w14:textId="77777777" w:rsidR="00F5289E" w:rsidRDefault="00C91173">
      <w:pPr>
        <w:spacing w:line="360" w:lineRule="auto"/>
        <w:ind w:firstLineChars="200" w:firstLine="422"/>
        <w:rPr>
          <w:szCs w:val="21"/>
        </w:rPr>
      </w:pPr>
      <w:r>
        <w:rPr>
          <w:rFonts w:hint="eastAsia"/>
          <w:b/>
          <w:szCs w:val="21"/>
        </w:rPr>
        <w:t>1</w:t>
      </w:r>
      <w:r>
        <w:rPr>
          <w:rFonts w:hint="eastAsia"/>
          <w:b/>
          <w:szCs w:val="21"/>
        </w:rPr>
        <w:t>．</w:t>
      </w:r>
      <w:r>
        <w:rPr>
          <w:rFonts w:ascii="宋体" w:hAnsi="宋体" w:hint="eastAsia"/>
          <w:szCs w:val="21"/>
        </w:rPr>
        <w:t>品种的概念。</w:t>
      </w:r>
    </w:p>
    <w:p w14:paraId="498F14FF" w14:textId="77777777" w:rsidR="00F5289E" w:rsidRDefault="00C91173">
      <w:pPr>
        <w:spacing w:line="360" w:lineRule="auto"/>
        <w:ind w:firstLineChars="200" w:firstLine="422"/>
        <w:rPr>
          <w:szCs w:val="21"/>
        </w:rPr>
      </w:pPr>
      <w:r>
        <w:rPr>
          <w:rFonts w:hint="eastAsia"/>
          <w:b/>
          <w:szCs w:val="21"/>
        </w:rPr>
        <w:t>2</w:t>
      </w:r>
      <w:r>
        <w:rPr>
          <w:rFonts w:hint="eastAsia"/>
          <w:b/>
          <w:szCs w:val="21"/>
        </w:rPr>
        <w:t>．</w:t>
      </w:r>
      <w:r>
        <w:rPr>
          <w:rFonts w:cs="宋体"/>
          <w:bCs/>
          <w:kern w:val="0"/>
          <w:szCs w:val="21"/>
        </w:rPr>
        <w:t>园艺</w:t>
      </w:r>
      <w:r>
        <w:rPr>
          <w:rFonts w:ascii="宋体" w:hAnsi="宋体"/>
          <w:szCs w:val="21"/>
        </w:rPr>
        <w:t>植物育种学发展的历史和</w:t>
      </w:r>
      <w:r>
        <w:rPr>
          <w:rFonts w:hint="eastAsia"/>
          <w:szCs w:val="21"/>
        </w:rPr>
        <w:t>现状。</w:t>
      </w:r>
    </w:p>
    <w:p w14:paraId="11255A2C" w14:textId="77777777" w:rsidR="00F5289E" w:rsidRDefault="00C91173">
      <w:pPr>
        <w:spacing w:line="360" w:lineRule="auto"/>
        <w:rPr>
          <w:b/>
          <w:szCs w:val="21"/>
        </w:rPr>
      </w:pPr>
      <w:r>
        <w:rPr>
          <w:rFonts w:hint="eastAsia"/>
          <w:b/>
          <w:szCs w:val="21"/>
        </w:rPr>
        <w:t>（三）考核要求</w:t>
      </w:r>
    </w:p>
    <w:p w14:paraId="61011429" w14:textId="77777777" w:rsidR="00F5289E" w:rsidRDefault="00C91173">
      <w:pPr>
        <w:spacing w:line="360" w:lineRule="auto"/>
        <w:ind w:firstLineChars="200" w:firstLine="422"/>
        <w:rPr>
          <w:szCs w:val="21"/>
        </w:rPr>
      </w:pPr>
      <w:r>
        <w:rPr>
          <w:rFonts w:hint="eastAsia"/>
          <w:b/>
          <w:szCs w:val="21"/>
        </w:rPr>
        <w:t>1</w:t>
      </w:r>
      <w:r>
        <w:rPr>
          <w:rFonts w:hint="eastAsia"/>
          <w:b/>
          <w:szCs w:val="21"/>
        </w:rPr>
        <w:t>．识记：</w:t>
      </w:r>
      <w:r>
        <w:rPr>
          <w:rFonts w:hint="eastAsia"/>
          <w:szCs w:val="21"/>
        </w:rPr>
        <w:t>理解品种的概念。</w:t>
      </w:r>
    </w:p>
    <w:p w14:paraId="016F625C" w14:textId="77777777" w:rsidR="00F5289E" w:rsidRDefault="00C91173">
      <w:pPr>
        <w:spacing w:line="360" w:lineRule="auto"/>
        <w:ind w:firstLineChars="200" w:firstLine="422"/>
        <w:rPr>
          <w:rFonts w:ascii="宋体" w:hAnsi="宋体"/>
          <w:szCs w:val="21"/>
        </w:rPr>
      </w:pPr>
      <w:r>
        <w:rPr>
          <w:rFonts w:hint="eastAsia"/>
          <w:b/>
          <w:szCs w:val="21"/>
        </w:rPr>
        <w:t>2</w:t>
      </w:r>
      <w:r>
        <w:rPr>
          <w:rFonts w:hint="eastAsia"/>
          <w:b/>
          <w:szCs w:val="21"/>
        </w:rPr>
        <w:t>．领会：</w:t>
      </w:r>
      <w:r>
        <w:rPr>
          <w:rFonts w:ascii="宋体" w:hAnsi="宋体" w:hint="eastAsia"/>
          <w:szCs w:val="21"/>
        </w:rPr>
        <w:t>优良品种的作用。</w:t>
      </w:r>
    </w:p>
    <w:p w14:paraId="291D0165" w14:textId="77777777" w:rsidR="00F5289E" w:rsidRDefault="00C91173">
      <w:pPr>
        <w:spacing w:line="360" w:lineRule="auto"/>
        <w:ind w:firstLineChars="200" w:firstLine="422"/>
        <w:rPr>
          <w:rFonts w:ascii="宋体" w:hAnsi="宋体"/>
          <w:szCs w:val="21"/>
        </w:rPr>
      </w:pPr>
      <w:r>
        <w:rPr>
          <w:rFonts w:hint="eastAsia"/>
          <w:b/>
          <w:szCs w:val="21"/>
        </w:rPr>
        <w:t>3</w:t>
      </w:r>
      <w:r>
        <w:rPr>
          <w:rFonts w:hint="eastAsia"/>
          <w:b/>
          <w:szCs w:val="21"/>
        </w:rPr>
        <w:t>．综合：</w:t>
      </w:r>
      <w:r>
        <w:rPr>
          <w:rFonts w:hint="eastAsia"/>
          <w:szCs w:val="21"/>
        </w:rPr>
        <w:t>了解育种发展的历史和现状</w:t>
      </w:r>
    </w:p>
    <w:p w14:paraId="58CB4C58" w14:textId="77777777" w:rsidR="00F5289E" w:rsidRDefault="00C91173">
      <w:pPr>
        <w:spacing w:line="360" w:lineRule="auto"/>
        <w:ind w:firstLineChars="400" w:firstLine="843"/>
        <w:jc w:val="center"/>
        <w:rPr>
          <w:rFonts w:ascii="宋体" w:hAnsi="宋体" w:cs="Courier New"/>
          <w:b/>
          <w:bCs/>
          <w:kern w:val="0"/>
          <w:szCs w:val="21"/>
        </w:rPr>
      </w:pPr>
      <w:r>
        <w:rPr>
          <w:rFonts w:ascii="宋体" w:hAnsi="宋体" w:cs="Courier New" w:hint="eastAsia"/>
          <w:b/>
          <w:bCs/>
          <w:kern w:val="0"/>
          <w:szCs w:val="21"/>
        </w:rPr>
        <w:t>第一章 园艺植物的育种目标</w:t>
      </w:r>
    </w:p>
    <w:p w14:paraId="0A3CAA58" w14:textId="77777777" w:rsidR="00F5289E" w:rsidRDefault="00C91173">
      <w:pPr>
        <w:spacing w:line="360" w:lineRule="auto"/>
        <w:rPr>
          <w:rFonts w:ascii="宋体" w:hAnsi="宋体"/>
          <w:b/>
          <w:szCs w:val="21"/>
        </w:rPr>
      </w:pPr>
      <w:r>
        <w:rPr>
          <w:rFonts w:ascii="宋体" w:hAnsi="宋体" w:hint="eastAsia"/>
          <w:b/>
          <w:szCs w:val="21"/>
        </w:rPr>
        <w:t>（一）学习目标</w:t>
      </w:r>
    </w:p>
    <w:p w14:paraId="545FB002"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经济性状与育种目标的相互关系。</w:t>
      </w:r>
    </w:p>
    <w:p w14:paraId="75F025D9"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优良葡萄品种的形态特征。</w:t>
      </w:r>
    </w:p>
    <w:p w14:paraId="18E8EFF8" w14:textId="77777777" w:rsidR="00F5289E" w:rsidRDefault="00C91173">
      <w:pPr>
        <w:spacing w:line="360" w:lineRule="auto"/>
        <w:ind w:firstLineChars="200" w:firstLine="422"/>
        <w:jc w:val="left"/>
        <w:rPr>
          <w:rFonts w:ascii="宋体" w:hAnsi="宋体"/>
          <w:szCs w:val="21"/>
        </w:rPr>
      </w:pPr>
      <w:r>
        <w:rPr>
          <w:rFonts w:ascii="宋体" w:hAnsi="宋体" w:hint="eastAsia"/>
          <w:b/>
          <w:szCs w:val="21"/>
        </w:rPr>
        <w:t>3. 熟练掌握：</w:t>
      </w:r>
      <w:r>
        <w:rPr>
          <w:rFonts w:ascii="宋体" w:hAnsi="宋体"/>
          <w:szCs w:val="21"/>
        </w:rPr>
        <w:t>育种目标的概念</w:t>
      </w:r>
      <w:r>
        <w:rPr>
          <w:rFonts w:ascii="宋体" w:hAnsi="宋体" w:hint="eastAsia"/>
          <w:szCs w:val="21"/>
        </w:rPr>
        <w:t>；</w:t>
      </w:r>
      <w:r>
        <w:rPr>
          <w:rFonts w:ascii="宋体" w:hAnsi="宋体"/>
          <w:szCs w:val="21"/>
        </w:rPr>
        <w:t>现代</w:t>
      </w:r>
      <w:r>
        <w:rPr>
          <w:rFonts w:ascii="宋体" w:hAnsi="宋体" w:hint="eastAsia"/>
          <w:szCs w:val="21"/>
        </w:rPr>
        <w:t>园艺</w:t>
      </w:r>
      <w:r>
        <w:rPr>
          <w:rFonts w:ascii="宋体" w:hAnsi="宋体"/>
          <w:szCs w:val="21"/>
        </w:rPr>
        <w:t>植物的主要育种目标</w:t>
      </w:r>
      <w:r>
        <w:rPr>
          <w:rFonts w:ascii="宋体" w:hAnsi="宋体" w:hint="eastAsia"/>
          <w:szCs w:val="21"/>
        </w:rPr>
        <w:t>。</w:t>
      </w:r>
    </w:p>
    <w:p w14:paraId="3B4AB391" w14:textId="77777777" w:rsidR="00F5289E" w:rsidRDefault="00C91173">
      <w:pPr>
        <w:spacing w:line="360" w:lineRule="auto"/>
        <w:rPr>
          <w:rFonts w:ascii="宋体" w:hAnsi="宋体"/>
          <w:b/>
          <w:szCs w:val="21"/>
        </w:rPr>
      </w:pPr>
      <w:r>
        <w:rPr>
          <w:rFonts w:ascii="宋体" w:hAnsi="宋体" w:hint="eastAsia"/>
          <w:b/>
          <w:szCs w:val="21"/>
        </w:rPr>
        <w:lastRenderedPageBreak/>
        <w:t>（二）考核内容</w:t>
      </w:r>
    </w:p>
    <w:p w14:paraId="3BD79D8A" w14:textId="77777777" w:rsidR="00F5289E" w:rsidRDefault="00C91173">
      <w:pPr>
        <w:spacing w:line="360" w:lineRule="auto"/>
        <w:ind w:firstLineChars="200" w:firstLine="422"/>
        <w:rPr>
          <w:rFonts w:ascii="宋体" w:hAnsi="宋体"/>
          <w:szCs w:val="21"/>
        </w:rPr>
      </w:pPr>
      <w:r>
        <w:rPr>
          <w:rFonts w:ascii="宋体" w:hAnsi="宋体" w:hint="eastAsia"/>
          <w:b/>
          <w:szCs w:val="21"/>
        </w:rPr>
        <w:t>1．</w:t>
      </w:r>
      <w:r>
        <w:rPr>
          <w:rFonts w:ascii="宋体" w:hAnsi="宋体"/>
          <w:szCs w:val="21"/>
        </w:rPr>
        <w:t>育种目标的概念</w:t>
      </w:r>
      <w:r>
        <w:rPr>
          <w:rFonts w:ascii="宋体" w:hAnsi="宋体" w:hint="eastAsia"/>
          <w:szCs w:val="21"/>
        </w:rPr>
        <w:t>。</w:t>
      </w:r>
    </w:p>
    <w:p w14:paraId="59C38522"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szCs w:val="21"/>
        </w:rPr>
        <w:t>制订育种目标的基本原则</w:t>
      </w:r>
      <w:r>
        <w:rPr>
          <w:rFonts w:ascii="宋体" w:hAnsi="宋体" w:hint="eastAsia"/>
          <w:szCs w:val="21"/>
        </w:rPr>
        <w:t>。</w:t>
      </w:r>
    </w:p>
    <w:p w14:paraId="3CD74690" w14:textId="77777777" w:rsidR="00F5289E" w:rsidRDefault="00C91173">
      <w:pPr>
        <w:spacing w:line="360" w:lineRule="auto"/>
        <w:rPr>
          <w:rFonts w:ascii="宋体" w:hAnsi="宋体"/>
          <w:b/>
          <w:szCs w:val="21"/>
        </w:rPr>
      </w:pPr>
      <w:r>
        <w:rPr>
          <w:rFonts w:ascii="宋体" w:hAnsi="宋体" w:hint="eastAsia"/>
          <w:b/>
          <w:szCs w:val="21"/>
        </w:rPr>
        <w:t>（三）考核要求</w:t>
      </w:r>
    </w:p>
    <w:p w14:paraId="29BADAA8"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szCs w:val="21"/>
        </w:rPr>
        <w:t>育种目标的概念</w:t>
      </w:r>
      <w:r>
        <w:rPr>
          <w:rFonts w:ascii="宋体" w:hAnsi="宋体" w:hint="eastAsia"/>
          <w:szCs w:val="21"/>
        </w:rPr>
        <w:t>；</w:t>
      </w:r>
      <w:r>
        <w:rPr>
          <w:rFonts w:ascii="宋体" w:hAnsi="宋体"/>
          <w:szCs w:val="21"/>
        </w:rPr>
        <w:t>现代</w:t>
      </w:r>
      <w:r>
        <w:rPr>
          <w:rFonts w:ascii="宋体" w:hAnsi="宋体" w:hint="eastAsia"/>
          <w:szCs w:val="21"/>
        </w:rPr>
        <w:t>园艺</w:t>
      </w:r>
      <w:r>
        <w:rPr>
          <w:rFonts w:ascii="宋体" w:hAnsi="宋体"/>
          <w:szCs w:val="21"/>
        </w:rPr>
        <w:t>植物的主要育种目标</w:t>
      </w:r>
      <w:r>
        <w:rPr>
          <w:rFonts w:ascii="宋体" w:hAnsi="宋体" w:hint="eastAsia"/>
          <w:szCs w:val="21"/>
        </w:rPr>
        <w:t>。</w:t>
      </w:r>
    </w:p>
    <w:p w14:paraId="0063186E"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szCs w:val="21"/>
        </w:rPr>
        <w:t>制订育种目标的基本原则</w:t>
      </w:r>
      <w:r>
        <w:rPr>
          <w:rFonts w:ascii="宋体" w:hAnsi="宋体" w:hint="eastAsia"/>
          <w:szCs w:val="21"/>
        </w:rPr>
        <w:t>。</w:t>
      </w:r>
    </w:p>
    <w:p w14:paraId="74ACECAE"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园艺植物生长发育规律与经济性状的关系。</w:t>
      </w:r>
    </w:p>
    <w:p w14:paraId="2900BC4F" w14:textId="77777777" w:rsidR="00F5289E" w:rsidRDefault="00C91173">
      <w:pPr>
        <w:spacing w:line="360" w:lineRule="auto"/>
        <w:ind w:firstLineChars="200" w:firstLine="422"/>
        <w:rPr>
          <w:rFonts w:ascii="宋体" w:hAnsi="宋体"/>
          <w:szCs w:val="21"/>
        </w:rPr>
      </w:pPr>
      <w:r>
        <w:rPr>
          <w:rFonts w:ascii="宋体" w:hAnsi="宋体" w:hint="eastAsia"/>
          <w:b/>
          <w:szCs w:val="21"/>
        </w:rPr>
        <w:t>4．综合：</w:t>
      </w:r>
      <w:r>
        <w:rPr>
          <w:rFonts w:ascii="宋体" w:hAnsi="宋体"/>
          <w:szCs w:val="21"/>
        </w:rPr>
        <w:t>制订育种目标的基本原则</w:t>
      </w:r>
      <w:r>
        <w:rPr>
          <w:rFonts w:ascii="宋体" w:hAnsi="宋体" w:hint="eastAsia"/>
          <w:szCs w:val="21"/>
        </w:rPr>
        <w:t>。</w:t>
      </w:r>
    </w:p>
    <w:p w14:paraId="1C44F68C"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第二章  园艺植物种质资源</w:t>
      </w:r>
    </w:p>
    <w:p w14:paraId="1CB31627" w14:textId="77777777" w:rsidR="00F5289E" w:rsidRDefault="00C91173">
      <w:pPr>
        <w:spacing w:line="360" w:lineRule="auto"/>
        <w:rPr>
          <w:rFonts w:ascii="宋体" w:hAnsi="宋体"/>
          <w:b/>
          <w:szCs w:val="21"/>
        </w:rPr>
      </w:pPr>
      <w:r>
        <w:rPr>
          <w:rFonts w:ascii="宋体" w:hAnsi="宋体" w:hint="eastAsia"/>
          <w:b/>
          <w:szCs w:val="21"/>
        </w:rPr>
        <w:t>（一）学习目标</w:t>
      </w:r>
    </w:p>
    <w:p w14:paraId="1D659FFA"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ascii="宋体" w:hAnsi="宋体"/>
          <w:szCs w:val="21"/>
        </w:rPr>
        <w:t>我国</w:t>
      </w:r>
      <w:r>
        <w:rPr>
          <w:rFonts w:ascii="宋体" w:hAnsi="宋体" w:hint="eastAsia"/>
          <w:szCs w:val="21"/>
        </w:rPr>
        <w:t>园艺</w:t>
      </w:r>
      <w:r>
        <w:rPr>
          <w:rFonts w:ascii="宋体" w:hAnsi="宋体"/>
          <w:szCs w:val="21"/>
        </w:rPr>
        <w:t>植物种质资源的特点和现状</w:t>
      </w:r>
      <w:r>
        <w:rPr>
          <w:rFonts w:ascii="宋体" w:hAnsi="宋体" w:hint="eastAsia"/>
          <w:szCs w:val="21"/>
        </w:rPr>
        <w:t>；园艺</w:t>
      </w:r>
      <w:r>
        <w:rPr>
          <w:rFonts w:ascii="宋体" w:hAnsi="宋体"/>
          <w:szCs w:val="21"/>
        </w:rPr>
        <w:t>植物种质资源的</w:t>
      </w:r>
      <w:r>
        <w:rPr>
          <w:rFonts w:ascii="宋体" w:hAnsi="宋体" w:hint="eastAsia"/>
          <w:szCs w:val="21"/>
        </w:rPr>
        <w:t>保存现状。</w:t>
      </w:r>
    </w:p>
    <w:p w14:paraId="5EB6EA13"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szCs w:val="21"/>
        </w:rPr>
        <w:t>种质资源的概念和意义</w:t>
      </w:r>
      <w:r>
        <w:rPr>
          <w:rFonts w:ascii="宋体" w:hAnsi="宋体" w:hint="eastAsia"/>
          <w:szCs w:val="21"/>
        </w:rPr>
        <w:t>；</w:t>
      </w:r>
      <w:r>
        <w:rPr>
          <w:rFonts w:ascii="宋体" w:hAnsi="宋体"/>
          <w:szCs w:val="21"/>
        </w:rPr>
        <w:t>种质资源的分类</w:t>
      </w:r>
      <w:r>
        <w:rPr>
          <w:rFonts w:ascii="宋体" w:hAnsi="宋体" w:hint="eastAsia"/>
          <w:szCs w:val="21"/>
        </w:rPr>
        <w:t>。</w:t>
      </w:r>
    </w:p>
    <w:p w14:paraId="2A3EB3D8"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szCs w:val="21"/>
        </w:rPr>
        <w:t>种质资源的概念</w:t>
      </w:r>
      <w:r>
        <w:rPr>
          <w:rFonts w:ascii="宋体" w:hAnsi="宋体" w:hint="eastAsia"/>
          <w:szCs w:val="21"/>
        </w:rPr>
        <w:t>；</w:t>
      </w:r>
      <w:r>
        <w:rPr>
          <w:rFonts w:ascii="宋体" w:hAnsi="宋体"/>
          <w:szCs w:val="21"/>
        </w:rPr>
        <w:t>种质资源的研究和利用</w:t>
      </w:r>
      <w:r>
        <w:rPr>
          <w:rFonts w:ascii="宋体" w:hAnsi="宋体" w:hint="eastAsia"/>
          <w:szCs w:val="21"/>
        </w:rPr>
        <w:t>。</w:t>
      </w:r>
    </w:p>
    <w:p w14:paraId="4286303F" w14:textId="77777777" w:rsidR="00F5289E" w:rsidRDefault="00C91173">
      <w:pPr>
        <w:spacing w:line="360" w:lineRule="auto"/>
        <w:rPr>
          <w:rFonts w:ascii="宋体" w:hAnsi="宋体"/>
          <w:b/>
          <w:szCs w:val="21"/>
        </w:rPr>
      </w:pPr>
      <w:r>
        <w:rPr>
          <w:rFonts w:ascii="宋体" w:hAnsi="宋体" w:hint="eastAsia"/>
          <w:b/>
          <w:szCs w:val="21"/>
        </w:rPr>
        <w:t>（二）考核内容</w:t>
      </w:r>
    </w:p>
    <w:p w14:paraId="30F5C55E" w14:textId="77777777" w:rsidR="00F5289E" w:rsidRDefault="00C91173">
      <w:pPr>
        <w:spacing w:line="360" w:lineRule="auto"/>
        <w:ind w:firstLineChars="200" w:firstLine="422"/>
        <w:rPr>
          <w:rFonts w:ascii="宋体" w:hAnsi="宋体"/>
          <w:szCs w:val="21"/>
        </w:rPr>
      </w:pPr>
      <w:r>
        <w:rPr>
          <w:rFonts w:ascii="宋体" w:hAnsi="宋体" w:hint="eastAsia"/>
          <w:b/>
          <w:szCs w:val="21"/>
        </w:rPr>
        <w:t>1．</w:t>
      </w:r>
      <w:r>
        <w:rPr>
          <w:rFonts w:ascii="宋体" w:hAnsi="宋体"/>
          <w:szCs w:val="21"/>
        </w:rPr>
        <w:t>种质的概念</w:t>
      </w:r>
      <w:r>
        <w:rPr>
          <w:rFonts w:ascii="宋体" w:hAnsi="宋体" w:hint="eastAsia"/>
          <w:szCs w:val="21"/>
        </w:rPr>
        <w:t>。</w:t>
      </w:r>
    </w:p>
    <w:p w14:paraId="5FA170E0"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szCs w:val="21"/>
        </w:rPr>
        <w:t>种质资源的概念</w:t>
      </w:r>
      <w:r>
        <w:rPr>
          <w:rFonts w:ascii="宋体" w:hAnsi="宋体" w:hint="eastAsia"/>
          <w:szCs w:val="21"/>
        </w:rPr>
        <w:t>。</w:t>
      </w:r>
    </w:p>
    <w:p w14:paraId="4F743763" w14:textId="77777777" w:rsidR="00F5289E" w:rsidRDefault="00C91173">
      <w:pPr>
        <w:spacing w:line="360" w:lineRule="auto"/>
        <w:ind w:firstLineChars="200" w:firstLine="422"/>
        <w:rPr>
          <w:rFonts w:ascii="宋体" w:hAnsi="宋体"/>
          <w:szCs w:val="21"/>
        </w:rPr>
      </w:pPr>
      <w:r>
        <w:rPr>
          <w:rFonts w:ascii="宋体" w:hAnsi="宋体" w:hint="eastAsia"/>
          <w:b/>
          <w:szCs w:val="21"/>
        </w:rPr>
        <w:t xml:space="preserve">3. </w:t>
      </w:r>
      <w:r>
        <w:rPr>
          <w:rFonts w:ascii="宋体" w:hAnsi="宋体"/>
          <w:szCs w:val="21"/>
        </w:rPr>
        <w:t>种质资源的</w:t>
      </w:r>
      <w:r>
        <w:rPr>
          <w:rFonts w:ascii="宋体" w:hAnsi="宋体" w:hint="eastAsia"/>
          <w:szCs w:val="21"/>
        </w:rPr>
        <w:t>分类。</w:t>
      </w:r>
    </w:p>
    <w:p w14:paraId="387DAE07" w14:textId="77777777" w:rsidR="00F5289E" w:rsidRDefault="00C91173">
      <w:pPr>
        <w:spacing w:line="360" w:lineRule="auto"/>
        <w:ind w:firstLineChars="200" w:firstLine="422"/>
        <w:rPr>
          <w:rFonts w:ascii="宋体" w:hAnsi="宋体"/>
          <w:szCs w:val="21"/>
        </w:rPr>
      </w:pPr>
      <w:r>
        <w:rPr>
          <w:rFonts w:ascii="宋体" w:hAnsi="宋体" w:hint="eastAsia"/>
          <w:b/>
          <w:szCs w:val="21"/>
        </w:rPr>
        <w:t>4．</w:t>
      </w:r>
      <w:r>
        <w:rPr>
          <w:rFonts w:ascii="宋体" w:hAnsi="宋体"/>
          <w:szCs w:val="21"/>
        </w:rPr>
        <w:t>种质资源的</w:t>
      </w:r>
      <w:r>
        <w:rPr>
          <w:rFonts w:ascii="宋体" w:hAnsi="宋体" w:hint="eastAsia"/>
          <w:szCs w:val="21"/>
        </w:rPr>
        <w:t>保存方法。</w:t>
      </w:r>
    </w:p>
    <w:p w14:paraId="488A0CF2" w14:textId="77777777" w:rsidR="00F5289E" w:rsidRDefault="00C91173">
      <w:pPr>
        <w:spacing w:line="360" w:lineRule="auto"/>
        <w:rPr>
          <w:rFonts w:ascii="宋体" w:hAnsi="宋体"/>
          <w:b/>
          <w:szCs w:val="21"/>
        </w:rPr>
      </w:pPr>
      <w:r>
        <w:rPr>
          <w:rFonts w:ascii="宋体" w:hAnsi="宋体" w:hint="eastAsia"/>
          <w:b/>
          <w:szCs w:val="21"/>
        </w:rPr>
        <w:t xml:space="preserve">（三）考核要求  </w:t>
      </w:r>
    </w:p>
    <w:p w14:paraId="731F87E9"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szCs w:val="21"/>
        </w:rPr>
        <w:t>种质的概念</w:t>
      </w:r>
      <w:r>
        <w:rPr>
          <w:rFonts w:ascii="宋体" w:hAnsi="宋体" w:hint="eastAsia"/>
          <w:szCs w:val="21"/>
        </w:rPr>
        <w:t>；</w:t>
      </w:r>
      <w:r>
        <w:rPr>
          <w:rFonts w:ascii="宋体" w:hAnsi="宋体"/>
          <w:szCs w:val="21"/>
        </w:rPr>
        <w:t>种质资源的概念</w:t>
      </w:r>
      <w:r>
        <w:rPr>
          <w:rFonts w:ascii="宋体" w:hAnsi="宋体" w:hint="eastAsia"/>
          <w:szCs w:val="21"/>
        </w:rPr>
        <w:t>。</w:t>
      </w:r>
    </w:p>
    <w:p w14:paraId="1BADFA58"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szCs w:val="21"/>
        </w:rPr>
        <w:t>种质资源的</w:t>
      </w:r>
      <w:r>
        <w:rPr>
          <w:rFonts w:ascii="宋体" w:hAnsi="宋体" w:hint="eastAsia"/>
          <w:szCs w:val="21"/>
        </w:rPr>
        <w:t>作用；</w:t>
      </w:r>
      <w:r>
        <w:rPr>
          <w:rFonts w:ascii="宋体" w:hAnsi="宋体"/>
          <w:szCs w:val="21"/>
        </w:rPr>
        <w:t>种质资源</w:t>
      </w:r>
      <w:r>
        <w:rPr>
          <w:rFonts w:ascii="宋体" w:hAnsi="宋体" w:hint="eastAsia"/>
          <w:szCs w:val="21"/>
        </w:rPr>
        <w:t>保存</w:t>
      </w:r>
      <w:r>
        <w:rPr>
          <w:rFonts w:ascii="宋体" w:hAnsi="宋体"/>
          <w:szCs w:val="21"/>
        </w:rPr>
        <w:t>的</w:t>
      </w:r>
      <w:r>
        <w:rPr>
          <w:rFonts w:ascii="宋体" w:hAnsi="宋体" w:hint="eastAsia"/>
          <w:szCs w:val="21"/>
        </w:rPr>
        <w:t>原理；</w:t>
      </w:r>
      <w:r>
        <w:rPr>
          <w:rFonts w:ascii="宋体" w:hAnsi="宋体"/>
          <w:szCs w:val="21"/>
        </w:rPr>
        <w:t>种质资源的</w:t>
      </w:r>
      <w:r>
        <w:rPr>
          <w:rFonts w:ascii="宋体" w:hAnsi="宋体" w:hint="eastAsia"/>
          <w:szCs w:val="21"/>
        </w:rPr>
        <w:t>流失。</w:t>
      </w:r>
    </w:p>
    <w:p w14:paraId="7C69CFD1"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蔬菜播种育苗技术。</w:t>
      </w:r>
    </w:p>
    <w:p w14:paraId="02567A91" w14:textId="77777777" w:rsidR="00F5289E" w:rsidRDefault="00C91173">
      <w:pPr>
        <w:spacing w:line="360" w:lineRule="auto"/>
        <w:ind w:firstLineChars="200" w:firstLine="422"/>
        <w:rPr>
          <w:rFonts w:ascii="宋体" w:hAnsi="宋体"/>
          <w:szCs w:val="21"/>
        </w:rPr>
      </w:pPr>
      <w:r>
        <w:rPr>
          <w:rFonts w:ascii="宋体" w:hAnsi="宋体" w:hint="eastAsia"/>
          <w:b/>
          <w:szCs w:val="21"/>
        </w:rPr>
        <w:t>4．综合：</w:t>
      </w:r>
      <w:r>
        <w:rPr>
          <w:rFonts w:ascii="宋体" w:hAnsi="宋体"/>
          <w:szCs w:val="21"/>
        </w:rPr>
        <w:t>种质资源</w:t>
      </w:r>
      <w:r>
        <w:rPr>
          <w:rFonts w:ascii="宋体" w:hAnsi="宋体" w:hint="eastAsia"/>
          <w:szCs w:val="21"/>
        </w:rPr>
        <w:t>对现代</w:t>
      </w:r>
      <w:r>
        <w:rPr>
          <w:rFonts w:cs="宋体"/>
          <w:bCs/>
          <w:kern w:val="0"/>
          <w:szCs w:val="21"/>
        </w:rPr>
        <w:t>园艺</w:t>
      </w:r>
      <w:r>
        <w:rPr>
          <w:rFonts w:ascii="宋体" w:hAnsi="宋体" w:hint="eastAsia"/>
          <w:szCs w:val="21"/>
        </w:rPr>
        <w:t>植物育种的贡献。</w:t>
      </w:r>
    </w:p>
    <w:p w14:paraId="4AA8C70B"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第三章 引种驯化</w:t>
      </w:r>
    </w:p>
    <w:p w14:paraId="47E8DDF2" w14:textId="77777777" w:rsidR="00F5289E" w:rsidRDefault="00C91173">
      <w:pPr>
        <w:spacing w:line="360" w:lineRule="auto"/>
        <w:rPr>
          <w:rFonts w:ascii="宋体" w:hAnsi="宋体"/>
          <w:b/>
          <w:szCs w:val="21"/>
        </w:rPr>
      </w:pPr>
      <w:r>
        <w:rPr>
          <w:rFonts w:ascii="宋体" w:hAnsi="宋体" w:hint="eastAsia"/>
          <w:b/>
          <w:szCs w:val="21"/>
        </w:rPr>
        <w:t>（一）学习目标</w:t>
      </w:r>
    </w:p>
    <w:p w14:paraId="4B975B70"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引种的类型；引种的程序。</w:t>
      </w:r>
    </w:p>
    <w:p w14:paraId="089BBF51"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szCs w:val="21"/>
        </w:rPr>
        <w:t>引种驯化的工作程序</w:t>
      </w:r>
      <w:r>
        <w:rPr>
          <w:rFonts w:ascii="宋体" w:hAnsi="宋体" w:hint="eastAsia"/>
          <w:szCs w:val="21"/>
        </w:rPr>
        <w:t>。</w:t>
      </w:r>
    </w:p>
    <w:p w14:paraId="5A0741EB"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szCs w:val="21"/>
        </w:rPr>
        <w:t>引种驯化的概念和意义</w:t>
      </w:r>
      <w:r>
        <w:rPr>
          <w:rFonts w:ascii="宋体" w:hAnsi="宋体" w:hint="eastAsia"/>
          <w:szCs w:val="21"/>
        </w:rPr>
        <w:t>；</w:t>
      </w:r>
      <w:r>
        <w:rPr>
          <w:rFonts w:ascii="宋体" w:hAnsi="宋体"/>
          <w:szCs w:val="21"/>
        </w:rPr>
        <w:t>引种驯化的技术措施</w:t>
      </w:r>
      <w:r>
        <w:rPr>
          <w:rFonts w:ascii="宋体" w:hAnsi="宋体" w:hint="eastAsia"/>
          <w:szCs w:val="21"/>
        </w:rPr>
        <w:t>。</w:t>
      </w:r>
    </w:p>
    <w:p w14:paraId="6378B6C0" w14:textId="77777777" w:rsidR="00F5289E" w:rsidRDefault="00C91173">
      <w:pPr>
        <w:spacing w:line="360" w:lineRule="auto"/>
        <w:rPr>
          <w:rFonts w:ascii="宋体" w:hAnsi="宋体"/>
          <w:b/>
          <w:szCs w:val="21"/>
        </w:rPr>
      </w:pPr>
      <w:r>
        <w:rPr>
          <w:rFonts w:ascii="宋体" w:hAnsi="宋体" w:hint="eastAsia"/>
          <w:b/>
          <w:szCs w:val="21"/>
        </w:rPr>
        <w:lastRenderedPageBreak/>
        <w:t>（二）考核内容</w:t>
      </w:r>
    </w:p>
    <w:p w14:paraId="2907D08C" w14:textId="77777777" w:rsidR="00F5289E" w:rsidRDefault="00C91173">
      <w:pPr>
        <w:spacing w:line="360" w:lineRule="auto"/>
        <w:ind w:firstLineChars="200" w:firstLine="422"/>
        <w:rPr>
          <w:rFonts w:ascii="宋体" w:hAnsi="宋体"/>
          <w:szCs w:val="21"/>
        </w:rPr>
      </w:pPr>
      <w:r>
        <w:rPr>
          <w:rFonts w:ascii="宋体" w:hAnsi="宋体" w:hint="eastAsia"/>
          <w:b/>
          <w:szCs w:val="21"/>
        </w:rPr>
        <w:t>1．</w:t>
      </w:r>
      <w:r>
        <w:rPr>
          <w:rFonts w:ascii="宋体" w:hAnsi="宋体" w:hint="eastAsia"/>
          <w:szCs w:val="21"/>
        </w:rPr>
        <w:t>引种的类型。</w:t>
      </w:r>
    </w:p>
    <w:p w14:paraId="2BD85ACF"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hint="eastAsia"/>
          <w:szCs w:val="21"/>
        </w:rPr>
        <w:t>引种的程序划。</w:t>
      </w:r>
    </w:p>
    <w:p w14:paraId="262089C6" w14:textId="77777777" w:rsidR="00F5289E" w:rsidRDefault="00C91173">
      <w:pPr>
        <w:spacing w:line="360" w:lineRule="auto"/>
        <w:ind w:firstLineChars="200" w:firstLine="422"/>
        <w:rPr>
          <w:rFonts w:ascii="宋体" w:hAnsi="宋体"/>
          <w:szCs w:val="21"/>
        </w:rPr>
      </w:pPr>
      <w:r>
        <w:rPr>
          <w:rFonts w:ascii="宋体" w:hAnsi="宋体" w:hint="eastAsia"/>
          <w:b/>
          <w:szCs w:val="21"/>
        </w:rPr>
        <w:t xml:space="preserve">3. </w:t>
      </w:r>
      <w:r>
        <w:rPr>
          <w:rFonts w:ascii="宋体" w:hAnsi="宋体"/>
          <w:szCs w:val="21"/>
        </w:rPr>
        <w:t>引种驯化时应考虑的因素</w:t>
      </w:r>
      <w:r>
        <w:rPr>
          <w:rFonts w:ascii="宋体" w:hAnsi="宋体" w:hint="eastAsia"/>
          <w:szCs w:val="21"/>
        </w:rPr>
        <w:t>。</w:t>
      </w:r>
    </w:p>
    <w:p w14:paraId="49522AD9" w14:textId="77777777" w:rsidR="00F5289E" w:rsidRDefault="00C91173">
      <w:pPr>
        <w:spacing w:line="360" w:lineRule="auto"/>
        <w:rPr>
          <w:rFonts w:ascii="宋体" w:hAnsi="宋体"/>
          <w:b/>
          <w:szCs w:val="21"/>
        </w:rPr>
      </w:pPr>
      <w:r>
        <w:rPr>
          <w:rFonts w:ascii="宋体" w:hAnsi="宋体" w:hint="eastAsia"/>
          <w:b/>
          <w:szCs w:val="21"/>
        </w:rPr>
        <w:t>（三）考核要求</w:t>
      </w:r>
    </w:p>
    <w:p w14:paraId="7042B054"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引种的概念；简单引种的概念；驯化引种的概念。</w:t>
      </w:r>
    </w:p>
    <w:p w14:paraId="49737D20"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驯化引种的原理。</w:t>
      </w:r>
    </w:p>
    <w:p w14:paraId="6E942324"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简单引种的技术方法。</w:t>
      </w:r>
    </w:p>
    <w:p w14:paraId="44151935" w14:textId="77777777" w:rsidR="00F5289E" w:rsidRDefault="00C91173">
      <w:pPr>
        <w:spacing w:line="360" w:lineRule="auto"/>
        <w:ind w:firstLineChars="200" w:firstLine="422"/>
        <w:rPr>
          <w:rFonts w:ascii="宋体" w:hAnsi="宋体"/>
          <w:szCs w:val="21"/>
        </w:rPr>
      </w:pPr>
      <w:r>
        <w:rPr>
          <w:rFonts w:ascii="宋体" w:hAnsi="宋体" w:hint="eastAsia"/>
          <w:b/>
          <w:szCs w:val="21"/>
        </w:rPr>
        <w:t>4．综合：</w:t>
      </w:r>
      <w:r>
        <w:rPr>
          <w:rFonts w:ascii="宋体" w:hAnsi="宋体" w:hint="eastAsia"/>
          <w:szCs w:val="21"/>
        </w:rPr>
        <w:t>驯化引种的技术方法。</w:t>
      </w:r>
    </w:p>
    <w:p w14:paraId="7874ED47"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第四章 选择育种</w:t>
      </w:r>
    </w:p>
    <w:p w14:paraId="38BFB3A1" w14:textId="77777777" w:rsidR="00F5289E" w:rsidRDefault="00C91173">
      <w:pPr>
        <w:spacing w:line="360" w:lineRule="auto"/>
        <w:rPr>
          <w:rFonts w:ascii="宋体" w:hAnsi="宋体"/>
          <w:b/>
          <w:szCs w:val="21"/>
        </w:rPr>
      </w:pPr>
      <w:r>
        <w:rPr>
          <w:rFonts w:ascii="宋体" w:hAnsi="宋体" w:hint="eastAsia"/>
          <w:b/>
          <w:szCs w:val="21"/>
        </w:rPr>
        <w:t>（一）学习目标</w:t>
      </w:r>
    </w:p>
    <w:p w14:paraId="2D5B04A0"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选择的原理；芽变的原理。</w:t>
      </w:r>
    </w:p>
    <w:p w14:paraId="17CD3F80"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芽变选种的特点；实生选种的特定。</w:t>
      </w:r>
    </w:p>
    <w:p w14:paraId="3809CF04"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 xml:space="preserve"> 芽变选种的方法；实生选种的方法。</w:t>
      </w:r>
    </w:p>
    <w:p w14:paraId="6B57AB29" w14:textId="77777777" w:rsidR="00F5289E" w:rsidRDefault="00C91173">
      <w:pPr>
        <w:spacing w:line="360" w:lineRule="auto"/>
        <w:rPr>
          <w:rFonts w:ascii="宋体" w:hAnsi="宋体"/>
          <w:b/>
          <w:szCs w:val="21"/>
        </w:rPr>
      </w:pPr>
      <w:r>
        <w:rPr>
          <w:rFonts w:ascii="宋体" w:hAnsi="宋体" w:hint="eastAsia"/>
          <w:b/>
          <w:szCs w:val="21"/>
        </w:rPr>
        <w:t>（二）考核内容</w:t>
      </w:r>
    </w:p>
    <w:p w14:paraId="1D4E3484" w14:textId="77777777" w:rsidR="00F5289E" w:rsidRDefault="00C91173">
      <w:pPr>
        <w:spacing w:line="360" w:lineRule="auto"/>
        <w:ind w:firstLineChars="200" w:firstLine="422"/>
        <w:rPr>
          <w:rFonts w:ascii="宋体" w:hAnsi="宋体"/>
          <w:szCs w:val="21"/>
        </w:rPr>
      </w:pPr>
      <w:r>
        <w:rPr>
          <w:rFonts w:ascii="宋体" w:hAnsi="宋体" w:hint="eastAsia"/>
          <w:b/>
          <w:szCs w:val="21"/>
        </w:rPr>
        <w:t>1．</w:t>
      </w:r>
      <w:r>
        <w:rPr>
          <w:rFonts w:ascii="宋体" w:hAnsi="宋体" w:hint="eastAsia"/>
          <w:szCs w:val="21"/>
        </w:rPr>
        <w:t>实生选种。</w:t>
      </w:r>
    </w:p>
    <w:p w14:paraId="5C415FBA"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hint="eastAsia"/>
          <w:szCs w:val="21"/>
        </w:rPr>
        <w:t>芽变选种。</w:t>
      </w:r>
    </w:p>
    <w:p w14:paraId="5302501D" w14:textId="77777777" w:rsidR="00F5289E" w:rsidRDefault="00C91173">
      <w:pPr>
        <w:spacing w:line="360" w:lineRule="auto"/>
        <w:rPr>
          <w:rFonts w:ascii="宋体" w:hAnsi="宋体"/>
          <w:b/>
          <w:szCs w:val="21"/>
        </w:rPr>
      </w:pPr>
      <w:r>
        <w:rPr>
          <w:rFonts w:ascii="宋体" w:hAnsi="宋体" w:hint="eastAsia"/>
          <w:b/>
          <w:szCs w:val="21"/>
        </w:rPr>
        <w:t>（三）考核要求</w:t>
      </w:r>
    </w:p>
    <w:p w14:paraId="1AC857CE"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芽变选种的特点及作用；实生选种的概念及作用。</w:t>
      </w:r>
    </w:p>
    <w:p w14:paraId="12DD4990"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：选择育种的原理。</w:t>
      </w:r>
    </w:p>
    <w:p w14:paraId="4E5BD6FA" w14:textId="77777777" w:rsidR="00F5289E" w:rsidRDefault="00C91173">
      <w:pPr>
        <w:spacing w:line="360" w:lineRule="auto"/>
        <w:ind w:firstLineChars="200" w:firstLine="422"/>
        <w:rPr>
          <w:rFonts w:ascii="宋体" w:hAnsi="宋体"/>
          <w:szCs w:val="21"/>
        </w:rPr>
      </w:pPr>
      <w:r>
        <w:rPr>
          <w:rFonts w:ascii="宋体" w:hAnsi="宋体" w:hint="eastAsia"/>
          <w:b/>
          <w:szCs w:val="21"/>
        </w:rPr>
        <w:t>3. 应用：</w:t>
      </w:r>
      <w:r>
        <w:rPr>
          <w:rFonts w:ascii="宋体" w:hAnsi="宋体"/>
          <w:szCs w:val="21"/>
        </w:rPr>
        <w:t>选择育种的一般程序</w:t>
      </w:r>
      <w:r>
        <w:rPr>
          <w:rFonts w:ascii="宋体" w:hAnsi="宋体" w:hint="eastAsia"/>
          <w:szCs w:val="21"/>
        </w:rPr>
        <w:t>。</w:t>
      </w:r>
    </w:p>
    <w:p w14:paraId="34532178" w14:textId="77777777" w:rsidR="00F5289E" w:rsidRDefault="00C91173">
      <w:pPr>
        <w:spacing w:line="360" w:lineRule="auto"/>
        <w:ind w:firstLineChars="200" w:firstLine="422"/>
        <w:rPr>
          <w:rFonts w:ascii="宋体" w:hAnsi="宋体"/>
          <w:szCs w:val="21"/>
        </w:rPr>
      </w:pPr>
      <w:r>
        <w:rPr>
          <w:rFonts w:ascii="宋体" w:hAnsi="宋体" w:hint="eastAsia"/>
          <w:b/>
          <w:szCs w:val="21"/>
        </w:rPr>
        <w:t>4．综合：</w:t>
      </w:r>
      <w:r>
        <w:rPr>
          <w:rFonts w:ascii="宋体" w:hAnsi="宋体" w:hint="eastAsia"/>
          <w:szCs w:val="21"/>
        </w:rPr>
        <w:t>芽变</w:t>
      </w:r>
      <w:r>
        <w:rPr>
          <w:rFonts w:ascii="宋体" w:hAnsi="宋体"/>
          <w:szCs w:val="21"/>
        </w:rPr>
        <w:t>选</w:t>
      </w:r>
      <w:r>
        <w:rPr>
          <w:rFonts w:ascii="宋体" w:hAnsi="宋体" w:hint="eastAsia"/>
          <w:szCs w:val="21"/>
        </w:rPr>
        <w:t>种</w:t>
      </w:r>
      <w:r>
        <w:rPr>
          <w:rFonts w:ascii="宋体" w:hAnsi="宋体"/>
          <w:szCs w:val="21"/>
        </w:rPr>
        <w:t>的方法</w:t>
      </w:r>
      <w:r>
        <w:rPr>
          <w:rFonts w:ascii="宋体" w:hAnsi="宋体" w:hint="eastAsia"/>
          <w:szCs w:val="21"/>
        </w:rPr>
        <w:t>所依据的生物学原理及其应用。</w:t>
      </w:r>
    </w:p>
    <w:p w14:paraId="7437BA9A"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第五章  杂交育种</w:t>
      </w:r>
    </w:p>
    <w:p w14:paraId="18FEA720" w14:textId="77777777" w:rsidR="00F5289E" w:rsidRDefault="00C91173">
      <w:pPr>
        <w:spacing w:line="360" w:lineRule="auto"/>
        <w:rPr>
          <w:rFonts w:ascii="宋体" w:hAnsi="宋体"/>
          <w:b/>
          <w:szCs w:val="21"/>
        </w:rPr>
      </w:pPr>
      <w:r>
        <w:rPr>
          <w:rFonts w:ascii="宋体" w:hAnsi="宋体" w:hint="eastAsia"/>
          <w:b/>
          <w:szCs w:val="21"/>
        </w:rPr>
        <w:t>（一）学习目标</w:t>
      </w:r>
    </w:p>
    <w:p w14:paraId="7C5E2FCB" w14:textId="77777777" w:rsidR="00F5289E" w:rsidRDefault="00C91173">
      <w:pPr>
        <w:spacing w:line="360" w:lineRule="auto"/>
        <w:ind w:firstLineChars="200" w:firstLine="422"/>
        <w:rPr>
          <w:rFonts w:ascii="宋体" w:hAnsi="宋体"/>
          <w:szCs w:val="21"/>
        </w:rPr>
      </w:pPr>
      <w:r>
        <w:rPr>
          <w:rFonts w:ascii="宋体" w:hAnsi="宋体" w:hint="eastAsia"/>
          <w:b/>
          <w:szCs w:val="21"/>
        </w:rPr>
        <w:t>1．一般了解：</w:t>
      </w:r>
      <w:r>
        <w:rPr>
          <w:rFonts w:ascii="宋体" w:hAnsi="宋体"/>
          <w:szCs w:val="21"/>
        </w:rPr>
        <w:t>杂交育种的意义和类别</w:t>
      </w:r>
      <w:r>
        <w:rPr>
          <w:rFonts w:ascii="宋体" w:hAnsi="宋体" w:hint="eastAsia"/>
          <w:szCs w:val="21"/>
        </w:rPr>
        <w:t>。</w:t>
      </w:r>
    </w:p>
    <w:p w14:paraId="445C6F4A" w14:textId="77777777" w:rsidR="00F5289E" w:rsidRDefault="00C91173">
      <w:pPr>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：根据开花生物学特性分析、了解其育种技术特点。</w:t>
      </w:r>
    </w:p>
    <w:p w14:paraId="29263D21"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szCs w:val="21"/>
        </w:rPr>
        <w:t>杂交育种的概念</w:t>
      </w:r>
      <w:r>
        <w:rPr>
          <w:rFonts w:ascii="宋体" w:hAnsi="宋体" w:hint="eastAsia"/>
          <w:szCs w:val="21"/>
        </w:rPr>
        <w:t>、原理和技术。</w:t>
      </w:r>
    </w:p>
    <w:p w14:paraId="3B03ED43" w14:textId="77777777" w:rsidR="00F5289E" w:rsidRDefault="00C91173">
      <w:pPr>
        <w:spacing w:line="360" w:lineRule="auto"/>
        <w:rPr>
          <w:rFonts w:ascii="宋体" w:hAnsi="宋体"/>
          <w:b/>
          <w:szCs w:val="21"/>
        </w:rPr>
      </w:pPr>
      <w:r>
        <w:rPr>
          <w:rFonts w:ascii="宋体" w:hAnsi="宋体" w:hint="eastAsia"/>
          <w:b/>
          <w:szCs w:val="21"/>
        </w:rPr>
        <w:t>（二）考核内容</w:t>
      </w:r>
    </w:p>
    <w:p w14:paraId="20B1E7C0" w14:textId="77777777" w:rsidR="00F5289E" w:rsidRDefault="00C91173">
      <w:pPr>
        <w:spacing w:line="360" w:lineRule="auto"/>
        <w:ind w:firstLineChars="200" w:firstLine="422"/>
        <w:rPr>
          <w:rFonts w:ascii="宋体" w:hAnsi="宋体"/>
          <w:szCs w:val="21"/>
        </w:rPr>
      </w:pPr>
      <w:r>
        <w:rPr>
          <w:rFonts w:ascii="宋体" w:hAnsi="宋体" w:hint="eastAsia"/>
          <w:b/>
          <w:szCs w:val="21"/>
        </w:rPr>
        <w:lastRenderedPageBreak/>
        <w:t>1．</w:t>
      </w:r>
      <w:r>
        <w:rPr>
          <w:rFonts w:ascii="宋体" w:hAnsi="宋体"/>
          <w:szCs w:val="21"/>
        </w:rPr>
        <w:t>杂交育种的概念</w:t>
      </w:r>
      <w:r>
        <w:rPr>
          <w:rFonts w:ascii="宋体" w:hAnsi="宋体" w:hint="eastAsia"/>
          <w:szCs w:val="21"/>
        </w:rPr>
        <w:t>。</w:t>
      </w:r>
    </w:p>
    <w:p w14:paraId="6414845E"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szCs w:val="21"/>
        </w:rPr>
        <w:t>杂交育种的</w:t>
      </w:r>
      <w:r>
        <w:rPr>
          <w:rFonts w:ascii="宋体" w:hAnsi="宋体" w:hint="eastAsia"/>
          <w:szCs w:val="21"/>
        </w:rPr>
        <w:t>原理和技术。</w:t>
      </w:r>
    </w:p>
    <w:p w14:paraId="0226FF44" w14:textId="77777777" w:rsidR="00F5289E" w:rsidRDefault="00C91173">
      <w:pPr>
        <w:spacing w:line="360" w:lineRule="auto"/>
        <w:ind w:firstLineChars="200" w:firstLine="422"/>
        <w:rPr>
          <w:rFonts w:ascii="宋体" w:hAnsi="宋体"/>
          <w:szCs w:val="21"/>
        </w:rPr>
      </w:pPr>
      <w:r>
        <w:rPr>
          <w:rFonts w:ascii="宋体" w:hAnsi="宋体" w:hint="eastAsia"/>
          <w:b/>
          <w:szCs w:val="21"/>
        </w:rPr>
        <w:t xml:space="preserve">3. </w:t>
      </w:r>
      <w:r>
        <w:rPr>
          <w:rFonts w:ascii="宋体" w:hAnsi="宋体"/>
          <w:szCs w:val="21"/>
        </w:rPr>
        <w:t>远</w:t>
      </w:r>
      <w:r>
        <w:rPr>
          <w:rFonts w:ascii="宋体" w:hAnsi="宋体" w:hint="eastAsia"/>
          <w:szCs w:val="21"/>
        </w:rPr>
        <w:t>缘</w:t>
      </w:r>
      <w:r>
        <w:rPr>
          <w:rFonts w:ascii="宋体" w:hAnsi="宋体"/>
          <w:szCs w:val="21"/>
        </w:rPr>
        <w:t>杂交</w:t>
      </w:r>
      <w:r>
        <w:rPr>
          <w:rFonts w:ascii="宋体" w:hAnsi="宋体" w:hint="eastAsia"/>
          <w:szCs w:val="21"/>
        </w:rPr>
        <w:t>。</w:t>
      </w:r>
    </w:p>
    <w:p w14:paraId="2D1B8382" w14:textId="77777777" w:rsidR="00F5289E" w:rsidRDefault="00C91173">
      <w:pPr>
        <w:spacing w:line="360" w:lineRule="auto"/>
        <w:rPr>
          <w:rFonts w:ascii="宋体" w:hAnsi="宋体"/>
          <w:b/>
          <w:szCs w:val="21"/>
        </w:rPr>
      </w:pPr>
      <w:r>
        <w:rPr>
          <w:rFonts w:ascii="宋体" w:hAnsi="宋体" w:hint="eastAsia"/>
          <w:b/>
          <w:szCs w:val="21"/>
        </w:rPr>
        <w:t>（三）考核要求</w:t>
      </w:r>
    </w:p>
    <w:p w14:paraId="1390E7BA"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szCs w:val="21"/>
        </w:rPr>
        <w:t>杂交育种</w:t>
      </w:r>
      <w:r>
        <w:rPr>
          <w:rFonts w:ascii="宋体" w:hAnsi="宋体" w:hint="eastAsia"/>
          <w:szCs w:val="21"/>
        </w:rPr>
        <w:t>、</w:t>
      </w:r>
      <w:r>
        <w:rPr>
          <w:rFonts w:ascii="宋体" w:hAnsi="宋体"/>
          <w:szCs w:val="21"/>
        </w:rPr>
        <w:t>远</w:t>
      </w:r>
      <w:r>
        <w:rPr>
          <w:rFonts w:ascii="宋体" w:hAnsi="宋体" w:hint="eastAsia"/>
          <w:szCs w:val="21"/>
        </w:rPr>
        <w:t>缘</w:t>
      </w:r>
      <w:r>
        <w:rPr>
          <w:rFonts w:ascii="宋体" w:hAnsi="宋体"/>
          <w:szCs w:val="21"/>
        </w:rPr>
        <w:t>杂交</w:t>
      </w:r>
      <w:r>
        <w:rPr>
          <w:rFonts w:ascii="宋体" w:hAnsi="宋体" w:hint="eastAsia"/>
          <w:szCs w:val="21"/>
        </w:rPr>
        <w:t>。</w:t>
      </w:r>
    </w:p>
    <w:p w14:paraId="3916785A"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根据开花生物学特性分析、了解其育种技术特点。</w:t>
      </w:r>
    </w:p>
    <w:p w14:paraId="2E13EDDD"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rFonts w:ascii="宋体" w:hAnsi="宋体"/>
          <w:szCs w:val="21"/>
        </w:rPr>
        <w:t>杂交的一般技术</w:t>
      </w:r>
      <w:r>
        <w:rPr>
          <w:rFonts w:ascii="宋体" w:hAnsi="宋体" w:hint="eastAsia"/>
          <w:szCs w:val="21"/>
        </w:rPr>
        <w:t>。</w:t>
      </w:r>
    </w:p>
    <w:p w14:paraId="4D98F09B" w14:textId="77777777" w:rsidR="00F5289E" w:rsidRDefault="00C91173">
      <w:pPr>
        <w:spacing w:line="360" w:lineRule="auto"/>
        <w:ind w:firstLineChars="200" w:firstLine="422"/>
        <w:rPr>
          <w:rFonts w:ascii="宋体" w:hAnsi="宋体"/>
          <w:szCs w:val="21"/>
        </w:rPr>
      </w:pPr>
      <w:r>
        <w:rPr>
          <w:rFonts w:ascii="宋体" w:hAnsi="宋体" w:hint="eastAsia"/>
          <w:b/>
          <w:szCs w:val="21"/>
        </w:rPr>
        <w:t>4．综合：</w:t>
      </w:r>
      <w:r>
        <w:rPr>
          <w:rFonts w:ascii="宋体" w:hAnsi="宋体"/>
          <w:szCs w:val="21"/>
        </w:rPr>
        <w:t>杂交育种计划的制订和准备工作</w:t>
      </w:r>
      <w:r>
        <w:rPr>
          <w:rFonts w:ascii="宋体" w:hAnsi="宋体" w:hint="eastAsia"/>
          <w:szCs w:val="21"/>
        </w:rPr>
        <w:t>；</w:t>
      </w:r>
      <w:r>
        <w:rPr>
          <w:rFonts w:ascii="宋体" w:hAnsi="宋体"/>
          <w:szCs w:val="21"/>
        </w:rPr>
        <w:t>杂种后代的选育</w:t>
      </w:r>
      <w:r>
        <w:rPr>
          <w:rFonts w:ascii="宋体" w:hAnsi="宋体" w:hint="eastAsia"/>
          <w:szCs w:val="21"/>
        </w:rPr>
        <w:t>技术。</w:t>
      </w:r>
    </w:p>
    <w:p w14:paraId="7F53426C"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第六章  诱变和倍性育种</w:t>
      </w:r>
    </w:p>
    <w:p w14:paraId="38281A74" w14:textId="77777777" w:rsidR="00F5289E" w:rsidRDefault="00C91173">
      <w:pPr>
        <w:spacing w:line="360" w:lineRule="auto"/>
        <w:rPr>
          <w:rFonts w:ascii="宋体" w:hAnsi="宋体"/>
          <w:b/>
          <w:szCs w:val="21"/>
        </w:rPr>
      </w:pPr>
      <w:r>
        <w:rPr>
          <w:rFonts w:ascii="宋体" w:hAnsi="宋体" w:hint="eastAsia"/>
          <w:b/>
          <w:szCs w:val="21"/>
        </w:rPr>
        <w:t>（一）学习目标</w:t>
      </w:r>
    </w:p>
    <w:p w14:paraId="758B994C"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ascii="宋体" w:hAnsi="宋体"/>
          <w:szCs w:val="21"/>
        </w:rPr>
        <w:t>射线的种类</w:t>
      </w:r>
      <w:r>
        <w:rPr>
          <w:rFonts w:ascii="宋体" w:hAnsi="宋体" w:hint="eastAsia"/>
          <w:szCs w:val="21"/>
        </w:rPr>
        <w:t>及</w:t>
      </w:r>
      <w:r>
        <w:rPr>
          <w:rFonts w:ascii="宋体" w:hAnsi="宋体"/>
          <w:szCs w:val="21"/>
        </w:rPr>
        <w:t>辐射的作用理论</w:t>
      </w:r>
      <w:r>
        <w:rPr>
          <w:rFonts w:ascii="宋体" w:hAnsi="宋体" w:hint="eastAsia"/>
          <w:szCs w:val="21"/>
        </w:rPr>
        <w:t>；倍性的概念及特点。</w:t>
      </w:r>
    </w:p>
    <w:p w14:paraId="0784EB8E"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szCs w:val="21"/>
        </w:rPr>
        <w:t>辐射剂量和剂量单位</w:t>
      </w:r>
      <w:r>
        <w:rPr>
          <w:rFonts w:ascii="宋体" w:hAnsi="宋体" w:hint="eastAsia"/>
          <w:szCs w:val="21"/>
        </w:rPr>
        <w:t>；</w:t>
      </w:r>
      <w:r>
        <w:rPr>
          <w:rFonts w:ascii="宋体" w:hAnsi="宋体"/>
          <w:szCs w:val="21"/>
        </w:rPr>
        <w:t>单倍体植物的特点及其产生途径</w:t>
      </w:r>
      <w:r>
        <w:rPr>
          <w:rFonts w:ascii="宋体" w:hAnsi="宋体" w:hint="eastAsia"/>
          <w:szCs w:val="21"/>
        </w:rPr>
        <w:t>。</w:t>
      </w:r>
    </w:p>
    <w:p w14:paraId="114D4C47"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szCs w:val="21"/>
        </w:rPr>
        <w:t>多倍体的鉴定</w:t>
      </w:r>
      <w:r>
        <w:rPr>
          <w:rFonts w:ascii="宋体" w:hAnsi="宋体" w:hint="eastAsia"/>
          <w:szCs w:val="21"/>
        </w:rPr>
        <w:t>方法。</w:t>
      </w:r>
    </w:p>
    <w:p w14:paraId="5D740147" w14:textId="77777777" w:rsidR="00F5289E" w:rsidRDefault="00C91173">
      <w:pPr>
        <w:spacing w:line="360" w:lineRule="auto"/>
        <w:rPr>
          <w:rFonts w:ascii="宋体" w:hAnsi="宋体"/>
          <w:b/>
          <w:szCs w:val="21"/>
        </w:rPr>
      </w:pPr>
      <w:r>
        <w:rPr>
          <w:rFonts w:ascii="宋体" w:hAnsi="宋体" w:hint="eastAsia"/>
          <w:b/>
          <w:szCs w:val="21"/>
        </w:rPr>
        <w:t>（二）考核内容</w:t>
      </w:r>
    </w:p>
    <w:p w14:paraId="4661F78E" w14:textId="77777777" w:rsidR="00F5289E" w:rsidRDefault="00C91173">
      <w:pPr>
        <w:spacing w:line="360" w:lineRule="auto"/>
        <w:ind w:firstLineChars="200" w:firstLine="422"/>
        <w:rPr>
          <w:rFonts w:ascii="宋体" w:hAnsi="宋体"/>
          <w:szCs w:val="21"/>
        </w:rPr>
      </w:pPr>
      <w:r>
        <w:rPr>
          <w:rFonts w:ascii="宋体" w:hAnsi="宋体" w:hint="eastAsia"/>
          <w:b/>
          <w:szCs w:val="21"/>
        </w:rPr>
        <w:t>1．</w:t>
      </w:r>
      <w:r>
        <w:rPr>
          <w:rFonts w:ascii="宋体" w:hAnsi="宋体"/>
          <w:szCs w:val="21"/>
        </w:rPr>
        <w:t>射线的种类及其特性</w:t>
      </w:r>
      <w:r>
        <w:rPr>
          <w:rFonts w:ascii="宋体" w:hAnsi="宋体" w:hint="eastAsia"/>
          <w:szCs w:val="21"/>
        </w:rPr>
        <w:t>。</w:t>
      </w:r>
    </w:p>
    <w:p w14:paraId="3762D89B"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szCs w:val="21"/>
        </w:rPr>
        <w:t>辐射剂量和剂量单位</w:t>
      </w:r>
      <w:r>
        <w:rPr>
          <w:rFonts w:ascii="宋体" w:hAnsi="宋体" w:hint="eastAsia"/>
          <w:szCs w:val="21"/>
        </w:rPr>
        <w:t>。</w:t>
      </w:r>
    </w:p>
    <w:p w14:paraId="661C79DD" w14:textId="77777777" w:rsidR="00F5289E" w:rsidRDefault="00C91173">
      <w:pPr>
        <w:spacing w:line="360" w:lineRule="auto"/>
        <w:ind w:firstLineChars="200" w:firstLine="422"/>
        <w:rPr>
          <w:rFonts w:ascii="宋体" w:hAnsi="宋体"/>
          <w:szCs w:val="21"/>
        </w:rPr>
      </w:pPr>
      <w:r>
        <w:rPr>
          <w:rFonts w:ascii="宋体" w:hAnsi="宋体" w:hint="eastAsia"/>
          <w:b/>
          <w:szCs w:val="21"/>
        </w:rPr>
        <w:t xml:space="preserve">3. </w:t>
      </w:r>
      <w:r>
        <w:rPr>
          <w:rFonts w:ascii="宋体" w:hAnsi="宋体"/>
          <w:szCs w:val="21"/>
        </w:rPr>
        <w:t>辐射的作用理论</w:t>
      </w:r>
      <w:r>
        <w:rPr>
          <w:rFonts w:ascii="宋体" w:hAnsi="宋体" w:hint="eastAsia"/>
          <w:szCs w:val="21"/>
        </w:rPr>
        <w:t>。</w:t>
      </w:r>
    </w:p>
    <w:p w14:paraId="6D7BFF08" w14:textId="77777777" w:rsidR="00F5289E" w:rsidRDefault="00C91173">
      <w:pPr>
        <w:spacing w:line="360" w:lineRule="auto"/>
        <w:ind w:firstLineChars="200" w:firstLine="422"/>
        <w:rPr>
          <w:rFonts w:ascii="宋体" w:hAnsi="宋体"/>
          <w:szCs w:val="21"/>
        </w:rPr>
      </w:pPr>
      <w:r>
        <w:rPr>
          <w:rFonts w:ascii="宋体" w:hAnsi="宋体" w:hint="eastAsia"/>
          <w:b/>
          <w:szCs w:val="21"/>
        </w:rPr>
        <w:t>4．</w:t>
      </w:r>
      <w:r>
        <w:rPr>
          <w:rFonts w:ascii="宋体" w:hAnsi="宋体"/>
          <w:szCs w:val="21"/>
        </w:rPr>
        <w:t>空间诱变育种</w:t>
      </w:r>
      <w:r>
        <w:rPr>
          <w:rFonts w:ascii="宋体" w:hAnsi="宋体" w:hint="eastAsia"/>
          <w:szCs w:val="21"/>
        </w:rPr>
        <w:t>技术。</w:t>
      </w:r>
    </w:p>
    <w:p w14:paraId="48F3B763" w14:textId="77777777" w:rsidR="00F5289E" w:rsidRDefault="00C91173">
      <w:pPr>
        <w:spacing w:line="360" w:lineRule="auto"/>
        <w:rPr>
          <w:rFonts w:ascii="宋体" w:hAnsi="宋体"/>
          <w:b/>
          <w:szCs w:val="21"/>
        </w:rPr>
      </w:pPr>
      <w:r>
        <w:rPr>
          <w:rFonts w:ascii="宋体" w:hAnsi="宋体" w:hint="eastAsia"/>
          <w:b/>
          <w:szCs w:val="21"/>
        </w:rPr>
        <w:t>（三）考核要求</w:t>
      </w:r>
    </w:p>
    <w:p w14:paraId="48CF36F1"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hint="eastAsia"/>
          <w:kern w:val="0"/>
          <w:szCs w:val="21"/>
        </w:rPr>
        <w:t>外照射、内照射、临界剂量、半致死剂量的概念；多倍体、单倍体、双单倍体的概念。</w:t>
      </w:r>
    </w:p>
    <w:p w14:paraId="507B9D8E" w14:textId="77777777" w:rsidR="00F5289E" w:rsidRDefault="00C91173">
      <w:pPr>
        <w:spacing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诱变的作用理论；</w:t>
      </w:r>
      <w:r>
        <w:rPr>
          <w:rFonts w:ascii="宋体" w:hAnsi="宋体"/>
          <w:szCs w:val="21"/>
        </w:rPr>
        <w:t>单倍体</w:t>
      </w:r>
      <w:r>
        <w:rPr>
          <w:rFonts w:ascii="宋体" w:hAnsi="宋体" w:hint="eastAsia"/>
          <w:szCs w:val="21"/>
        </w:rPr>
        <w:t>、多倍体植物的特性，如植物学特性，生长发育过程，对环境条件要求等。</w:t>
      </w:r>
    </w:p>
    <w:p w14:paraId="315840E8"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化学诱变技术。</w:t>
      </w:r>
    </w:p>
    <w:p w14:paraId="21BEC279" w14:textId="77777777" w:rsidR="00F5289E" w:rsidRDefault="00C91173">
      <w:pPr>
        <w:spacing w:line="360" w:lineRule="auto"/>
        <w:ind w:firstLineChars="200" w:firstLine="422"/>
        <w:rPr>
          <w:rFonts w:ascii="黑体" w:hAnsi="宋体"/>
          <w:szCs w:val="21"/>
        </w:rPr>
      </w:pPr>
      <w:r>
        <w:rPr>
          <w:rFonts w:ascii="宋体" w:hAnsi="宋体" w:hint="eastAsia"/>
          <w:b/>
          <w:szCs w:val="21"/>
        </w:rPr>
        <w:t>4．综合：</w:t>
      </w:r>
      <w:r>
        <w:rPr>
          <w:rFonts w:ascii="宋体" w:hAnsi="宋体"/>
          <w:szCs w:val="21"/>
        </w:rPr>
        <w:t>化学诱变后代的选育</w:t>
      </w:r>
      <w:r>
        <w:rPr>
          <w:rFonts w:ascii="宋体" w:hAnsi="宋体" w:hint="eastAsia"/>
          <w:szCs w:val="21"/>
        </w:rPr>
        <w:t>技术；</w:t>
      </w:r>
      <w:r>
        <w:rPr>
          <w:rFonts w:ascii="宋体" w:hAnsi="宋体"/>
          <w:szCs w:val="21"/>
        </w:rPr>
        <w:t>空间诱变育种的工作程序</w:t>
      </w:r>
      <w:r>
        <w:rPr>
          <w:rFonts w:ascii="宋体" w:hAnsi="宋体" w:hint="eastAsia"/>
          <w:szCs w:val="21"/>
        </w:rPr>
        <w:t>。</w:t>
      </w:r>
    </w:p>
    <w:p w14:paraId="2E376CA8" w14:textId="77777777" w:rsidR="00F5289E" w:rsidRDefault="00C91173">
      <w:pPr>
        <w:pStyle w:val="a9"/>
        <w:snapToGrid w:val="0"/>
        <w:spacing w:beforeLines="100" w:before="312" w:line="360" w:lineRule="auto"/>
        <w:ind w:firstLineChars="200" w:firstLine="422"/>
        <w:jc w:val="center"/>
        <w:rPr>
          <w:rFonts w:hAnsi="宋体"/>
          <w:b/>
          <w:bCs/>
          <w:kern w:val="0"/>
        </w:rPr>
      </w:pPr>
      <w:r>
        <w:rPr>
          <w:rFonts w:hAnsi="宋体" w:hint="eastAsia"/>
          <w:b/>
          <w:bCs/>
          <w:kern w:val="0"/>
        </w:rPr>
        <w:t xml:space="preserve">第七章  </w:t>
      </w:r>
      <w:r>
        <w:rPr>
          <w:rFonts w:cs="宋体" w:hint="eastAsia"/>
          <w:b/>
          <w:bCs/>
          <w:kern w:val="0"/>
        </w:rPr>
        <w:t>生物技术在园艺植物育种中的应用</w:t>
      </w:r>
      <w:r>
        <w:rPr>
          <w:rFonts w:hAnsi="宋体" w:hint="eastAsia"/>
          <w:b/>
          <w:bCs/>
          <w:kern w:val="0"/>
        </w:rPr>
        <w:t xml:space="preserve"> </w:t>
      </w:r>
    </w:p>
    <w:p w14:paraId="1F503490" w14:textId="77777777" w:rsidR="00F5289E" w:rsidRDefault="00C91173">
      <w:pPr>
        <w:spacing w:line="360" w:lineRule="auto"/>
        <w:rPr>
          <w:rFonts w:ascii="宋体" w:hAnsi="宋体"/>
          <w:b/>
          <w:szCs w:val="21"/>
        </w:rPr>
      </w:pPr>
      <w:r>
        <w:rPr>
          <w:rFonts w:ascii="宋体" w:hAnsi="宋体" w:hint="eastAsia"/>
          <w:b/>
          <w:szCs w:val="21"/>
        </w:rPr>
        <w:t>（一）学习目标</w:t>
      </w:r>
    </w:p>
    <w:p w14:paraId="62FD2F62"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rFonts w:hint="eastAsia"/>
          <w:szCs w:val="21"/>
        </w:rPr>
        <w:t>生物技术发展历程。</w:t>
      </w:r>
    </w:p>
    <w:p w14:paraId="260FAFD9" w14:textId="77777777" w:rsidR="00F5289E" w:rsidRDefault="00C91173">
      <w:pPr>
        <w:spacing w:line="360" w:lineRule="auto"/>
        <w:ind w:firstLineChars="200" w:firstLine="422"/>
        <w:rPr>
          <w:szCs w:val="21"/>
        </w:rPr>
      </w:pPr>
      <w:r>
        <w:rPr>
          <w:rFonts w:ascii="宋体" w:hAnsi="宋体" w:hint="eastAsia"/>
          <w:b/>
          <w:szCs w:val="21"/>
        </w:rPr>
        <w:lastRenderedPageBreak/>
        <w:t>2. 一般掌握：</w:t>
      </w:r>
      <w:r>
        <w:rPr>
          <w:rFonts w:hint="eastAsia"/>
          <w:szCs w:val="21"/>
        </w:rPr>
        <w:t>掌握组织和器官培养的类型；花药培养的基本程序；体细胞突变体的筛选；原生质体培养和体细胞杂交的程序；植物基因工程的基本步骤。</w:t>
      </w:r>
    </w:p>
    <w:p w14:paraId="42D9EB3A" w14:textId="77777777" w:rsidR="00F5289E" w:rsidRDefault="00C91173">
      <w:pPr>
        <w:snapToGrid w:val="0"/>
        <w:spacing w:beforeLines="50" w:before="156" w:line="360" w:lineRule="auto"/>
        <w:ind w:firstLineChars="200" w:firstLine="422"/>
        <w:rPr>
          <w:szCs w:val="21"/>
        </w:rPr>
      </w:pPr>
      <w:r>
        <w:rPr>
          <w:rFonts w:ascii="宋体" w:hAnsi="宋体" w:hint="eastAsia"/>
          <w:b/>
          <w:szCs w:val="21"/>
        </w:rPr>
        <w:t>3. 熟练掌握</w:t>
      </w:r>
      <w:r>
        <w:rPr>
          <w:rFonts w:ascii="宋体" w:hAnsi="宋体" w:hint="eastAsia"/>
          <w:szCs w:val="21"/>
        </w:rPr>
        <w:t>：</w:t>
      </w:r>
      <w:r>
        <w:rPr>
          <w:rFonts w:hint="eastAsia"/>
          <w:kern w:val="0"/>
          <w:szCs w:val="21"/>
        </w:rPr>
        <w:t>细胞工程在园艺植物育种中的应用；植物基因工程在园艺植物育种中的应用；分子标记在育种中的应用。</w:t>
      </w:r>
    </w:p>
    <w:p w14:paraId="3D21F047" w14:textId="77777777" w:rsidR="00F5289E" w:rsidRDefault="00C91173">
      <w:pPr>
        <w:spacing w:line="360" w:lineRule="auto"/>
        <w:rPr>
          <w:rFonts w:ascii="宋体" w:hAnsi="宋体"/>
          <w:b/>
          <w:szCs w:val="21"/>
        </w:rPr>
      </w:pPr>
      <w:r>
        <w:rPr>
          <w:rFonts w:ascii="宋体" w:hAnsi="宋体" w:hint="eastAsia"/>
          <w:b/>
          <w:szCs w:val="21"/>
        </w:rPr>
        <w:t>（二）考核内容</w:t>
      </w:r>
    </w:p>
    <w:p w14:paraId="5A0BB653" w14:textId="77777777" w:rsidR="00F5289E" w:rsidRDefault="00C91173">
      <w:pPr>
        <w:spacing w:line="360" w:lineRule="auto"/>
        <w:ind w:firstLineChars="200" w:firstLine="420"/>
        <w:rPr>
          <w:rFonts w:ascii="宋体" w:hAnsi="宋体"/>
          <w:szCs w:val="21"/>
        </w:rPr>
      </w:pPr>
      <w:r>
        <w:rPr>
          <w:rFonts w:hint="eastAsia"/>
          <w:szCs w:val="21"/>
        </w:rPr>
        <w:t>组织与器官培养、花粉花药培养、原生质体培养与体细胞杂交、植物细胞突变体的离体筛选；细胞工程、基因工程、分子标记原理及在育种中应用。</w:t>
      </w:r>
      <w:r>
        <w:rPr>
          <w:rFonts w:hint="eastAsia"/>
          <w:kern w:val="0"/>
          <w:szCs w:val="21"/>
        </w:rPr>
        <w:t xml:space="preserve"> </w:t>
      </w:r>
    </w:p>
    <w:p w14:paraId="0E5E6286" w14:textId="77777777" w:rsidR="00F5289E" w:rsidRDefault="00C91173">
      <w:pPr>
        <w:spacing w:line="360" w:lineRule="auto"/>
        <w:rPr>
          <w:rFonts w:ascii="宋体" w:hAnsi="宋体"/>
          <w:b/>
          <w:szCs w:val="21"/>
        </w:rPr>
      </w:pPr>
      <w:r>
        <w:rPr>
          <w:rFonts w:ascii="宋体" w:hAnsi="宋体" w:hint="eastAsia"/>
          <w:b/>
          <w:szCs w:val="21"/>
        </w:rPr>
        <w:t>（三）考核要求</w:t>
      </w:r>
    </w:p>
    <w:p w14:paraId="55F67663"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hint="eastAsia"/>
          <w:szCs w:val="21"/>
        </w:rPr>
        <w:t>组织与器官培养、花粉花药培养、原生质体培养与体细胞杂交的概念。</w:t>
      </w:r>
    </w:p>
    <w:p w14:paraId="6B288748" w14:textId="77777777" w:rsidR="00F5289E" w:rsidRDefault="00C91173">
      <w:pPr>
        <w:spacing w:line="360" w:lineRule="auto"/>
        <w:ind w:firstLineChars="200" w:firstLine="422"/>
        <w:rPr>
          <w:kern w:val="0"/>
          <w:szCs w:val="21"/>
        </w:rPr>
      </w:pPr>
      <w:r>
        <w:rPr>
          <w:rFonts w:ascii="宋体" w:hAnsi="宋体" w:hint="eastAsia"/>
          <w:b/>
          <w:szCs w:val="21"/>
        </w:rPr>
        <w:t>2．领会：</w:t>
      </w:r>
      <w:r>
        <w:rPr>
          <w:rFonts w:hint="eastAsia"/>
          <w:kern w:val="0"/>
          <w:szCs w:val="21"/>
        </w:rPr>
        <w:t>生物技术发展历程；体细胞突变体的筛选。</w:t>
      </w:r>
    </w:p>
    <w:p w14:paraId="0CDAD4C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hint="eastAsia"/>
          <w:kern w:val="0"/>
          <w:szCs w:val="21"/>
        </w:rPr>
        <w:t>组织和器官培养的类型；花药培养的基本程序。</w:t>
      </w:r>
    </w:p>
    <w:p w14:paraId="4220FD34"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4．综合：</w:t>
      </w:r>
      <w:r>
        <w:rPr>
          <w:rFonts w:ascii="宋体" w:hAnsi="宋体" w:hint="eastAsia"/>
          <w:szCs w:val="21"/>
        </w:rPr>
        <w:t>细胞工程、</w:t>
      </w:r>
      <w:r>
        <w:rPr>
          <w:rFonts w:hint="eastAsia"/>
          <w:szCs w:val="21"/>
        </w:rPr>
        <w:t>基因工程、分子标记原理及在育种中应用。</w:t>
      </w:r>
    </w:p>
    <w:p w14:paraId="069E8EDB" w14:textId="77777777" w:rsidR="00F5289E" w:rsidRDefault="00F5289E">
      <w:pPr>
        <w:spacing w:line="360" w:lineRule="auto"/>
        <w:ind w:firstLineChars="200" w:firstLine="420"/>
        <w:rPr>
          <w:kern w:val="0"/>
          <w:szCs w:val="21"/>
        </w:rPr>
      </w:pPr>
    </w:p>
    <w:p w14:paraId="0BDB2EAB" w14:textId="77777777" w:rsidR="00F5289E" w:rsidRDefault="00C91173">
      <w:pPr>
        <w:pStyle w:val="a9"/>
        <w:snapToGrid w:val="0"/>
        <w:spacing w:line="360" w:lineRule="auto"/>
        <w:ind w:firstLine="422"/>
        <w:jc w:val="center"/>
        <w:rPr>
          <w:rFonts w:hAnsi="宋体"/>
          <w:b/>
          <w:bCs/>
          <w:kern w:val="0"/>
        </w:rPr>
      </w:pPr>
      <w:r>
        <w:rPr>
          <w:rFonts w:hAnsi="宋体" w:hint="eastAsia"/>
          <w:b/>
          <w:bCs/>
          <w:kern w:val="0"/>
        </w:rPr>
        <w:t xml:space="preserve">第八章  </w:t>
      </w:r>
      <w:r>
        <w:rPr>
          <w:rFonts w:cs="宋体" w:hint="eastAsia"/>
          <w:b/>
          <w:bCs/>
          <w:kern w:val="0"/>
        </w:rPr>
        <w:t>品种审定、保护与良种繁育</w:t>
      </w:r>
    </w:p>
    <w:p w14:paraId="729A180E" w14:textId="77777777" w:rsidR="00F5289E" w:rsidRDefault="00C91173">
      <w:pPr>
        <w:spacing w:line="360" w:lineRule="auto"/>
        <w:rPr>
          <w:rFonts w:asciiTheme="majorEastAsia" w:eastAsiaTheme="majorEastAsia" w:hAnsiTheme="majorEastAsia"/>
          <w:b/>
          <w:szCs w:val="21"/>
        </w:rPr>
      </w:pPr>
      <w:r>
        <w:rPr>
          <w:rFonts w:asciiTheme="majorEastAsia" w:eastAsiaTheme="majorEastAsia" w:hAnsiTheme="majorEastAsia" w:hint="eastAsia"/>
          <w:b/>
          <w:szCs w:val="21"/>
        </w:rPr>
        <w:t>（一）学习目标</w:t>
      </w:r>
    </w:p>
    <w:p w14:paraId="1C99CB4C" w14:textId="77777777" w:rsidR="00F5289E" w:rsidRDefault="00C91173">
      <w:pPr>
        <w:spacing w:line="360" w:lineRule="auto"/>
        <w:ind w:firstLineChars="200" w:firstLine="422"/>
        <w:rPr>
          <w:rFonts w:ascii="宋体" w:hAnsi="宋体"/>
          <w:szCs w:val="21"/>
        </w:rPr>
      </w:pPr>
      <w:r>
        <w:rPr>
          <w:rFonts w:ascii="宋体" w:hAnsi="宋体" w:hint="eastAsia"/>
          <w:b/>
          <w:szCs w:val="21"/>
        </w:rPr>
        <w:t>1. 一般了解：</w:t>
      </w:r>
      <w:r>
        <w:rPr>
          <w:szCs w:val="21"/>
        </w:rPr>
        <w:t>申请保护的品种必须具备的条件</w:t>
      </w:r>
      <w:r>
        <w:rPr>
          <w:rFonts w:hint="eastAsia"/>
          <w:szCs w:val="21"/>
        </w:rPr>
        <w:t>；</w:t>
      </w:r>
      <w:r>
        <w:rPr>
          <w:rFonts w:ascii="宋体" w:hAnsi="宋体"/>
          <w:szCs w:val="21"/>
        </w:rPr>
        <w:t>良种繁育的任务</w:t>
      </w:r>
      <w:r>
        <w:rPr>
          <w:rFonts w:ascii="宋体" w:hAnsi="宋体" w:hint="eastAsia"/>
          <w:szCs w:val="21"/>
        </w:rPr>
        <w:t>。</w:t>
      </w:r>
    </w:p>
    <w:p w14:paraId="5318DFFA" w14:textId="77777777" w:rsidR="00F5289E" w:rsidRDefault="00C91173">
      <w:pPr>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根据园艺</w:t>
      </w:r>
      <w:r>
        <w:rPr>
          <w:rFonts w:ascii="宋体" w:hAnsi="宋体"/>
          <w:szCs w:val="21"/>
        </w:rPr>
        <w:t>植物的品种退化</w:t>
      </w:r>
      <w:r>
        <w:rPr>
          <w:rFonts w:ascii="宋体" w:hAnsi="宋体" w:hint="eastAsia"/>
          <w:szCs w:val="21"/>
        </w:rPr>
        <w:t>特性分析、了解其繁育技术特点。</w:t>
      </w:r>
    </w:p>
    <w:p w14:paraId="7C554A97" w14:textId="77777777" w:rsidR="00F5289E" w:rsidRDefault="00C91173">
      <w:pPr>
        <w:spacing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防止</w:t>
      </w:r>
      <w:r>
        <w:rPr>
          <w:rFonts w:ascii="宋体" w:hAnsi="宋体"/>
          <w:szCs w:val="21"/>
        </w:rPr>
        <w:t>品种退化</w:t>
      </w:r>
      <w:r>
        <w:rPr>
          <w:rFonts w:ascii="宋体" w:hAnsi="宋体" w:hint="eastAsia"/>
          <w:szCs w:val="21"/>
        </w:rPr>
        <w:t>技术。</w:t>
      </w:r>
    </w:p>
    <w:p w14:paraId="6F1B7BB6" w14:textId="77777777" w:rsidR="00F5289E" w:rsidRDefault="00C91173">
      <w:pPr>
        <w:spacing w:line="360" w:lineRule="auto"/>
        <w:rPr>
          <w:rFonts w:ascii="宋体" w:hAnsi="宋体"/>
          <w:b/>
          <w:szCs w:val="21"/>
        </w:rPr>
      </w:pPr>
      <w:r>
        <w:rPr>
          <w:rFonts w:ascii="宋体" w:hAnsi="宋体" w:hint="eastAsia"/>
          <w:b/>
          <w:szCs w:val="21"/>
        </w:rPr>
        <w:t>（二）考核内容</w:t>
      </w:r>
    </w:p>
    <w:p w14:paraId="0C65F4E0" w14:textId="77777777" w:rsidR="00F5289E" w:rsidRDefault="00C91173">
      <w:pPr>
        <w:spacing w:line="360" w:lineRule="auto"/>
        <w:ind w:firstLineChars="200" w:firstLine="422"/>
        <w:rPr>
          <w:rFonts w:ascii="宋体" w:hAnsi="宋体"/>
          <w:b/>
          <w:szCs w:val="21"/>
        </w:rPr>
      </w:pPr>
      <w:r>
        <w:rPr>
          <w:rFonts w:ascii="宋体" w:hAnsi="宋体" w:hint="eastAsia"/>
          <w:b/>
          <w:szCs w:val="21"/>
        </w:rPr>
        <w:t>1．</w:t>
      </w:r>
      <w:r>
        <w:rPr>
          <w:kern w:val="0"/>
          <w:szCs w:val="21"/>
        </w:rPr>
        <w:t>品种审定的程序</w:t>
      </w:r>
      <w:r>
        <w:rPr>
          <w:rFonts w:hint="eastAsia"/>
          <w:kern w:val="0"/>
          <w:szCs w:val="21"/>
        </w:rPr>
        <w:t>。</w:t>
      </w:r>
    </w:p>
    <w:p w14:paraId="3E6FDD50" w14:textId="77777777" w:rsidR="00F5289E" w:rsidRDefault="00C91173">
      <w:pPr>
        <w:spacing w:line="360" w:lineRule="auto"/>
        <w:ind w:firstLineChars="200" w:firstLine="422"/>
        <w:rPr>
          <w:rFonts w:ascii="宋体" w:hAnsi="宋体"/>
          <w:szCs w:val="21"/>
        </w:rPr>
      </w:pPr>
      <w:r>
        <w:rPr>
          <w:rFonts w:ascii="宋体" w:hAnsi="宋体" w:hint="eastAsia"/>
          <w:b/>
          <w:szCs w:val="21"/>
        </w:rPr>
        <w:t>2．</w:t>
      </w:r>
      <w:r>
        <w:rPr>
          <w:rFonts w:ascii="宋体" w:hAnsi="宋体"/>
          <w:szCs w:val="21"/>
        </w:rPr>
        <w:t>品种退化</w:t>
      </w:r>
      <w:r>
        <w:rPr>
          <w:rFonts w:ascii="宋体" w:hAnsi="宋体" w:hint="eastAsia"/>
          <w:szCs w:val="21"/>
        </w:rPr>
        <w:t>。</w:t>
      </w:r>
    </w:p>
    <w:p w14:paraId="648A18C8" w14:textId="77777777" w:rsidR="00F5289E" w:rsidRDefault="00C91173">
      <w:pPr>
        <w:spacing w:line="360" w:lineRule="auto"/>
        <w:ind w:firstLineChars="200" w:firstLine="422"/>
        <w:rPr>
          <w:rFonts w:ascii="宋体" w:hAnsi="宋体"/>
          <w:szCs w:val="21"/>
        </w:rPr>
      </w:pPr>
      <w:r>
        <w:rPr>
          <w:rFonts w:ascii="宋体" w:hAnsi="宋体" w:hint="eastAsia"/>
          <w:b/>
          <w:szCs w:val="21"/>
        </w:rPr>
        <w:t>3．</w:t>
      </w:r>
      <w:r>
        <w:rPr>
          <w:rFonts w:ascii="宋体" w:hAnsi="宋体"/>
          <w:szCs w:val="21"/>
        </w:rPr>
        <w:t>良种繁育</w:t>
      </w:r>
      <w:r>
        <w:rPr>
          <w:rFonts w:ascii="宋体" w:hAnsi="宋体" w:hint="eastAsia"/>
          <w:szCs w:val="21"/>
        </w:rPr>
        <w:t>。番茄、葡萄的栽培管理技术，如品种选用、茬口安排、栽培季节、栽培管理、病虫防治、采收贮运等关键技术。</w:t>
      </w:r>
    </w:p>
    <w:p w14:paraId="20E59EE1" w14:textId="77777777" w:rsidR="00F5289E" w:rsidRDefault="00C91173">
      <w:pPr>
        <w:spacing w:line="360" w:lineRule="auto"/>
        <w:rPr>
          <w:rFonts w:ascii="宋体" w:hAnsi="宋体"/>
          <w:b/>
          <w:szCs w:val="21"/>
        </w:rPr>
      </w:pPr>
      <w:r>
        <w:rPr>
          <w:rFonts w:ascii="宋体" w:hAnsi="宋体" w:hint="eastAsia"/>
          <w:b/>
          <w:szCs w:val="21"/>
        </w:rPr>
        <w:t>（三）考核要求</w:t>
      </w:r>
    </w:p>
    <w:p w14:paraId="240CD8A2" w14:textId="77777777" w:rsidR="00F5289E" w:rsidRDefault="00C91173">
      <w:pPr>
        <w:spacing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果菜类蔬菜所包括的主要种类和品种。</w:t>
      </w:r>
    </w:p>
    <w:p w14:paraId="1BDF8FDA" w14:textId="77777777" w:rsidR="00F5289E" w:rsidRDefault="00C91173">
      <w:pPr>
        <w:spacing w:line="360" w:lineRule="auto"/>
        <w:ind w:firstLineChars="200" w:firstLine="422"/>
        <w:rPr>
          <w:rFonts w:ascii="宋体" w:hAnsi="宋体"/>
          <w:szCs w:val="21"/>
        </w:rPr>
      </w:pPr>
      <w:r>
        <w:rPr>
          <w:rFonts w:ascii="宋体" w:hAnsi="宋体" w:hint="eastAsia"/>
          <w:b/>
          <w:szCs w:val="21"/>
        </w:rPr>
        <w:t>2．领会：品种</w:t>
      </w:r>
      <w:r>
        <w:rPr>
          <w:kern w:val="0"/>
          <w:szCs w:val="21"/>
        </w:rPr>
        <w:t>申请保护的品种必须具备的条件</w:t>
      </w:r>
      <w:r>
        <w:rPr>
          <w:rFonts w:hint="eastAsia"/>
          <w:kern w:val="0"/>
          <w:szCs w:val="21"/>
        </w:rPr>
        <w:t>；</w:t>
      </w:r>
      <w:r>
        <w:rPr>
          <w:rFonts w:ascii="宋体" w:hAnsi="宋体"/>
          <w:szCs w:val="21"/>
        </w:rPr>
        <w:t>良种繁育组织与制度</w:t>
      </w:r>
      <w:r>
        <w:rPr>
          <w:rFonts w:ascii="宋体" w:hAnsi="宋体" w:hint="eastAsia"/>
          <w:szCs w:val="21"/>
        </w:rPr>
        <w:t>。</w:t>
      </w:r>
    </w:p>
    <w:p w14:paraId="6A9E5F3B" w14:textId="77777777" w:rsidR="00F5289E" w:rsidRDefault="00C91173">
      <w:pPr>
        <w:spacing w:line="360" w:lineRule="auto"/>
        <w:ind w:firstLineChars="200" w:firstLine="422"/>
        <w:rPr>
          <w:rFonts w:ascii="宋体" w:hAnsi="宋体"/>
          <w:szCs w:val="21"/>
        </w:rPr>
      </w:pPr>
      <w:r>
        <w:rPr>
          <w:rFonts w:ascii="宋体" w:hAnsi="宋体" w:hint="eastAsia"/>
          <w:b/>
          <w:szCs w:val="21"/>
        </w:rPr>
        <w:t>3．应用：</w:t>
      </w:r>
      <w:r>
        <w:rPr>
          <w:kern w:val="0"/>
          <w:szCs w:val="21"/>
        </w:rPr>
        <w:t>品种审定的程序</w:t>
      </w:r>
      <w:r>
        <w:rPr>
          <w:rFonts w:hint="eastAsia"/>
          <w:kern w:val="0"/>
          <w:szCs w:val="21"/>
        </w:rPr>
        <w:t>；</w:t>
      </w:r>
      <w:r>
        <w:rPr>
          <w:rFonts w:ascii="宋体" w:hAnsi="宋体"/>
          <w:szCs w:val="21"/>
        </w:rPr>
        <w:t>良种繁育的方法</w:t>
      </w:r>
      <w:r>
        <w:rPr>
          <w:rFonts w:ascii="宋体" w:hAnsi="宋体" w:hint="eastAsia"/>
          <w:szCs w:val="21"/>
        </w:rPr>
        <w:t>。</w:t>
      </w:r>
    </w:p>
    <w:p w14:paraId="58B84DBF"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4．综合</w:t>
      </w:r>
      <w:r>
        <w:rPr>
          <w:rFonts w:ascii="宋体" w:hAnsi="宋体" w:hint="eastAsia"/>
          <w:szCs w:val="21"/>
        </w:rPr>
        <w:t>：</w:t>
      </w:r>
      <w:r>
        <w:rPr>
          <w:kern w:val="0"/>
          <w:szCs w:val="21"/>
        </w:rPr>
        <w:t>无性繁殖园艺植物良种繁育的措施；有性繁殖园艺植物良种繁育的措施。</w:t>
      </w:r>
    </w:p>
    <w:p w14:paraId="318B872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三、实验、实习教学部分的考核要求</w:t>
      </w:r>
    </w:p>
    <w:p w14:paraId="50CBE8A9"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lastRenderedPageBreak/>
        <w:t>1．掌握染色体核型分析的基本方法。</w:t>
      </w:r>
    </w:p>
    <w:p w14:paraId="39A975E9"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2．了解基因分离规律的表现，掌握其验证方法。</w:t>
      </w:r>
    </w:p>
    <w:p w14:paraId="351D2F4E"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3．了解独立分配规律、基因互作的表现，掌握其验证方法。</w:t>
      </w:r>
    </w:p>
    <w:p w14:paraId="3BAC9E00"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4．了解连锁遗传现象的表现，掌握交换值测定基本方法。</w:t>
      </w:r>
    </w:p>
    <w:p w14:paraId="68363798"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5．掌握遗传力的估算基本方法。</w:t>
      </w:r>
    </w:p>
    <w:p w14:paraId="02FFBB02"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6．掌握植物细胞有丝分裂的制片基本方法，了解有丝分裂的过程。</w:t>
      </w:r>
    </w:p>
    <w:p w14:paraId="27B5E7B6" w14:textId="77777777" w:rsidR="00F5289E" w:rsidRDefault="00C91173">
      <w:pPr>
        <w:snapToGrid w:val="0"/>
        <w:spacing w:beforeLines="50" w:before="156" w:line="360" w:lineRule="auto"/>
        <w:ind w:firstLineChars="200" w:firstLine="420"/>
        <w:rPr>
          <w:rFonts w:ascii="宋体" w:hAnsi="宋体" w:cs="宋体"/>
        </w:rPr>
      </w:pPr>
      <w:r>
        <w:rPr>
          <w:rFonts w:ascii="宋体" w:hAnsi="宋体" w:cs="宋体" w:hint="eastAsia"/>
        </w:rPr>
        <w:t>7．了解性状定位的分离群体，掌握基本的分子标记技术。</w:t>
      </w:r>
    </w:p>
    <w:p w14:paraId="0886FC80" w14:textId="77777777" w:rsidR="00F5289E" w:rsidRDefault="00C91173">
      <w:pPr>
        <w:snapToGrid w:val="0"/>
        <w:spacing w:beforeLines="50" w:before="156" w:line="360" w:lineRule="auto"/>
        <w:ind w:firstLineChars="200" w:firstLine="420"/>
      </w:pPr>
      <w:r>
        <w:rPr>
          <w:rFonts w:hint="eastAsia"/>
        </w:rPr>
        <w:t>8</w:t>
      </w:r>
      <w:r>
        <w:rPr>
          <w:rFonts w:hint="eastAsia"/>
        </w:rPr>
        <w:t>．了解桃（或月季、大白菜等）开花习性的主要特点，作为制定杂交计划的主要依据。</w:t>
      </w:r>
    </w:p>
    <w:p w14:paraId="3D917AA4" w14:textId="77777777" w:rsidR="00F5289E" w:rsidRDefault="00C91173">
      <w:pPr>
        <w:snapToGrid w:val="0"/>
        <w:spacing w:beforeLines="50" w:before="156" w:line="360" w:lineRule="auto"/>
        <w:ind w:firstLineChars="200" w:firstLine="420"/>
        <w:rPr>
          <w:szCs w:val="21"/>
        </w:rPr>
      </w:pPr>
      <w:r>
        <w:rPr>
          <w:rFonts w:hint="eastAsia"/>
        </w:rPr>
        <w:t>9</w:t>
      </w:r>
      <w:r>
        <w:rPr>
          <w:rFonts w:hint="eastAsia"/>
        </w:rPr>
        <w:t>．掌握花粉采集与花粉生活力测定的基本方法。</w:t>
      </w:r>
    </w:p>
    <w:p w14:paraId="111AABA4" w14:textId="77777777" w:rsidR="00F5289E" w:rsidRDefault="00C91173">
      <w:pPr>
        <w:spacing w:line="360" w:lineRule="auto"/>
        <w:ind w:firstLineChars="200" w:firstLine="420"/>
        <w:rPr>
          <w:sz w:val="24"/>
        </w:rPr>
      </w:pPr>
      <w:r>
        <w:rPr>
          <w:rFonts w:hint="eastAsia"/>
        </w:rPr>
        <w:t>10</w:t>
      </w:r>
      <w:r>
        <w:rPr>
          <w:rFonts w:hint="eastAsia"/>
        </w:rPr>
        <w:t>．</w:t>
      </w:r>
      <w:r>
        <w:rPr>
          <w:szCs w:val="21"/>
        </w:rPr>
        <w:t>掌握杂交计划的制定和实施过程中的具体操作技术和方法。</w:t>
      </w:r>
    </w:p>
    <w:p w14:paraId="47375FAF" w14:textId="77777777" w:rsidR="00F5289E" w:rsidRDefault="00C91173">
      <w:pPr>
        <w:snapToGrid w:val="0"/>
        <w:spacing w:beforeLines="50" w:before="156" w:line="360" w:lineRule="auto"/>
        <w:ind w:firstLineChars="200" w:firstLine="420"/>
        <w:rPr>
          <w:szCs w:val="21"/>
        </w:rPr>
      </w:pPr>
      <w:r>
        <w:rPr>
          <w:rFonts w:hint="eastAsia"/>
        </w:rPr>
        <w:t xml:space="preserve">11. </w:t>
      </w:r>
      <w:r>
        <w:rPr>
          <w:szCs w:val="21"/>
        </w:rPr>
        <w:t>了解抗寒育种中的主要生理指标，掌握电导率测定育种材料抗寒性的方法。</w:t>
      </w:r>
    </w:p>
    <w:p w14:paraId="325EA3C0"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四、考核</w:t>
      </w:r>
      <w:r>
        <w:rPr>
          <w:rFonts w:ascii="宋体" w:hAnsi="宋体"/>
          <w:b/>
          <w:szCs w:val="21"/>
        </w:rPr>
        <w:t>方式</w:t>
      </w:r>
    </w:p>
    <w:p w14:paraId="73BCDB28"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1.期中</w:t>
      </w:r>
      <w:r>
        <w:rPr>
          <w:rFonts w:ascii="宋体" w:hAnsi="宋体"/>
          <w:szCs w:val="21"/>
        </w:rPr>
        <w:t>、期末考试</w:t>
      </w:r>
      <w:r>
        <w:rPr>
          <w:rFonts w:ascii="宋体" w:hAnsi="宋体" w:hint="eastAsia"/>
          <w:szCs w:val="21"/>
        </w:rPr>
        <w:t>采用</w:t>
      </w:r>
      <w:r>
        <w:rPr>
          <w:rFonts w:ascii="宋体" w:hAnsi="宋体"/>
          <w:szCs w:val="21"/>
        </w:rPr>
        <w:t>闭卷考试，时间为</w:t>
      </w:r>
      <w:r>
        <w:rPr>
          <w:rFonts w:ascii="宋体" w:hAnsi="宋体" w:hint="eastAsia"/>
          <w:szCs w:val="21"/>
        </w:rPr>
        <w:t>2个</w:t>
      </w:r>
      <w:r>
        <w:rPr>
          <w:rFonts w:ascii="宋体" w:hAnsi="宋体"/>
          <w:szCs w:val="21"/>
        </w:rPr>
        <w:t>小时。</w:t>
      </w:r>
    </w:p>
    <w:p w14:paraId="2F3088A4"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szCs w:val="21"/>
        </w:rPr>
        <w:t>2.阶段</w:t>
      </w:r>
      <w:r>
        <w:rPr>
          <w:rFonts w:ascii="宋体" w:hAnsi="宋体" w:hint="eastAsia"/>
          <w:szCs w:val="21"/>
        </w:rPr>
        <w:t>性测评为每章内容</w:t>
      </w:r>
      <w:r>
        <w:rPr>
          <w:rFonts w:ascii="宋体" w:hAnsi="宋体"/>
          <w:szCs w:val="21"/>
        </w:rPr>
        <w:t>学习</w:t>
      </w:r>
      <w:r>
        <w:rPr>
          <w:rFonts w:ascii="宋体" w:hAnsi="宋体" w:hint="eastAsia"/>
          <w:szCs w:val="21"/>
        </w:rPr>
        <w:t>结束</w:t>
      </w:r>
      <w:r>
        <w:rPr>
          <w:rFonts w:ascii="宋体" w:hAnsi="宋体"/>
          <w:szCs w:val="21"/>
        </w:rPr>
        <w:t>进行，</w:t>
      </w:r>
      <w:r>
        <w:rPr>
          <w:rFonts w:ascii="宋体" w:hAnsi="宋体" w:hint="eastAsia"/>
          <w:szCs w:val="21"/>
        </w:rPr>
        <w:t>开卷</w:t>
      </w:r>
      <w:r>
        <w:rPr>
          <w:rFonts w:ascii="宋体" w:hAnsi="宋体"/>
          <w:szCs w:val="21"/>
        </w:rPr>
        <w:t>考试，时间</w:t>
      </w:r>
      <w:r>
        <w:rPr>
          <w:rFonts w:ascii="宋体" w:hAnsi="宋体" w:hint="eastAsia"/>
          <w:szCs w:val="21"/>
        </w:rPr>
        <w:t>为15-20分钟</w:t>
      </w:r>
      <w:r>
        <w:rPr>
          <w:rFonts w:ascii="宋体" w:hAnsi="宋体"/>
          <w:szCs w:val="21"/>
        </w:rPr>
        <w:t>。</w:t>
      </w:r>
    </w:p>
    <w:p w14:paraId="73F6BFD6"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3.课堂</w:t>
      </w:r>
      <w:r>
        <w:rPr>
          <w:rFonts w:ascii="宋体" w:hAnsi="宋体"/>
          <w:szCs w:val="21"/>
        </w:rPr>
        <w:t>表现</w:t>
      </w:r>
      <w:r>
        <w:rPr>
          <w:rFonts w:ascii="宋体" w:hAnsi="宋体" w:hint="eastAsia"/>
          <w:szCs w:val="21"/>
        </w:rPr>
        <w:t>主要</w:t>
      </w:r>
      <w:r>
        <w:rPr>
          <w:rFonts w:ascii="宋体" w:hAnsi="宋体"/>
          <w:szCs w:val="21"/>
        </w:rPr>
        <w:t>根据课堂考勤、上课回答问题</w:t>
      </w:r>
      <w:r>
        <w:rPr>
          <w:rFonts w:ascii="宋体" w:hAnsi="宋体" w:hint="eastAsia"/>
          <w:szCs w:val="21"/>
        </w:rPr>
        <w:t>情况进行打分</w:t>
      </w:r>
      <w:r>
        <w:rPr>
          <w:rFonts w:ascii="宋体" w:hAnsi="宋体"/>
          <w:szCs w:val="21"/>
        </w:rPr>
        <w:t>。</w:t>
      </w:r>
    </w:p>
    <w:p w14:paraId="5C2A60CA"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4.课程</w:t>
      </w:r>
      <w:r>
        <w:rPr>
          <w:rFonts w:ascii="宋体" w:hAnsi="宋体"/>
          <w:szCs w:val="21"/>
        </w:rPr>
        <w:t>实验</w:t>
      </w:r>
      <w:r>
        <w:rPr>
          <w:rFonts w:ascii="宋体" w:hAnsi="宋体" w:hint="eastAsia"/>
          <w:szCs w:val="21"/>
        </w:rPr>
        <w:t>主要</w:t>
      </w:r>
      <w:r>
        <w:rPr>
          <w:rFonts w:ascii="宋体" w:hAnsi="宋体"/>
          <w:szCs w:val="21"/>
        </w:rPr>
        <w:t>根据学生</w:t>
      </w:r>
      <w:r>
        <w:rPr>
          <w:rFonts w:ascii="宋体" w:hAnsi="宋体" w:hint="eastAsia"/>
          <w:szCs w:val="21"/>
        </w:rPr>
        <w:t>操作的</w:t>
      </w:r>
      <w:r>
        <w:rPr>
          <w:rFonts w:ascii="宋体" w:hAnsi="宋体"/>
          <w:szCs w:val="21"/>
        </w:rPr>
        <w:t>熟练程度、</w:t>
      </w:r>
      <w:r>
        <w:rPr>
          <w:rFonts w:ascii="宋体" w:hAnsi="宋体" w:hint="eastAsia"/>
          <w:szCs w:val="21"/>
        </w:rPr>
        <w:t>实验</w:t>
      </w:r>
      <w:r>
        <w:rPr>
          <w:rFonts w:ascii="宋体" w:hAnsi="宋体"/>
          <w:szCs w:val="21"/>
        </w:rPr>
        <w:t>结果的正确性及实验报告的撰写</w:t>
      </w:r>
      <w:r>
        <w:rPr>
          <w:rFonts w:ascii="宋体" w:hAnsi="宋体" w:hint="eastAsia"/>
          <w:szCs w:val="21"/>
        </w:rPr>
        <w:t>情况打分</w:t>
      </w:r>
      <w:r>
        <w:rPr>
          <w:rFonts w:ascii="宋体" w:hAnsi="宋体"/>
          <w:szCs w:val="21"/>
        </w:rPr>
        <w:t>。</w:t>
      </w:r>
    </w:p>
    <w:p w14:paraId="60CFFC86"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五、成绩评定</w:t>
      </w:r>
    </w:p>
    <w:p w14:paraId="26178409" w14:textId="77777777" w:rsidR="00F5289E" w:rsidRDefault="00C91173">
      <w:pPr>
        <w:snapToGrid w:val="0"/>
        <w:spacing w:beforeLines="50" w:before="156" w:line="360" w:lineRule="auto"/>
        <w:ind w:firstLineChars="200" w:firstLine="420"/>
        <w:rPr>
          <w:rFonts w:ascii="宋体" w:hAnsi="宋体" w:cs="宋体"/>
          <w:bCs/>
          <w:kern w:val="0"/>
          <w:szCs w:val="21"/>
        </w:rPr>
      </w:pPr>
      <w:r>
        <w:rPr>
          <w:rFonts w:ascii="宋体" w:hAnsi="宋体" w:cs="宋体" w:hint="eastAsia"/>
          <w:bCs/>
          <w:kern w:val="0"/>
          <w:szCs w:val="21"/>
        </w:rPr>
        <w:t>1.平时成绩</w:t>
      </w:r>
    </w:p>
    <w:p w14:paraId="6F312190" w14:textId="77777777" w:rsidR="00F5289E" w:rsidRDefault="00C91173">
      <w:pPr>
        <w:snapToGrid w:val="0"/>
        <w:spacing w:beforeLines="50" w:before="156" w:line="360" w:lineRule="auto"/>
        <w:ind w:firstLineChars="200" w:firstLine="420"/>
        <w:rPr>
          <w:rFonts w:ascii="宋体" w:hAnsi="宋体" w:cs="宋体"/>
          <w:bCs/>
          <w:kern w:val="0"/>
          <w:szCs w:val="21"/>
        </w:rPr>
      </w:pPr>
      <w:r>
        <w:rPr>
          <w:rFonts w:ascii="宋体" w:hAnsi="宋体" w:cs="宋体" w:hint="eastAsia"/>
          <w:bCs/>
          <w:kern w:val="0"/>
          <w:szCs w:val="21"/>
        </w:rPr>
        <w:t>平时</w:t>
      </w:r>
      <w:r>
        <w:rPr>
          <w:rFonts w:ascii="宋体" w:hAnsi="宋体" w:cs="宋体"/>
          <w:bCs/>
          <w:kern w:val="0"/>
          <w:szCs w:val="21"/>
        </w:rPr>
        <w:t>成绩</w:t>
      </w:r>
      <w:r>
        <w:rPr>
          <w:rFonts w:ascii="宋体" w:hAnsi="宋体" w:cs="宋体" w:hint="eastAsia"/>
          <w:bCs/>
          <w:kern w:val="0"/>
          <w:szCs w:val="21"/>
        </w:rPr>
        <w:t>由</w:t>
      </w:r>
      <w:r>
        <w:rPr>
          <w:rFonts w:ascii="宋体" w:hAnsi="宋体" w:cs="宋体"/>
          <w:bCs/>
          <w:kern w:val="0"/>
          <w:szCs w:val="21"/>
        </w:rPr>
        <w:t>三部分组成</w:t>
      </w:r>
      <w:r>
        <w:rPr>
          <w:rFonts w:ascii="宋体" w:hAnsi="宋体" w:cs="宋体" w:hint="eastAsia"/>
          <w:bCs/>
          <w:kern w:val="0"/>
          <w:szCs w:val="21"/>
        </w:rPr>
        <w:t>，</w:t>
      </w:r>
      <w:r>
        <w:rPr>
          <w:rFonts w:ascii="宋体" w:hAnsi="宋体" w:cs="宋体"/>
          <w:bCs/>
          <w:kern w:val="0"/>
          <w:szCs w:val="21"/>
        </w:rPr>
        <w:t>分别为</w:t>
      </w:r>
      <w:r>
        <w:rPr>
          <w:rFonts w:ascii="宋体" w:hAnsi="宋体" w:cs="宋体" w:hint="eastAsia"/>
          <w:bCs/>
          <w:kern w:val="0"/>
          <w:szCs w:val="21"/>
        </w:rPr>
        <w:t>阶段</w:t>
      </w:r>
      <w:r>
        <w:rPr>
          <w:rFonts w:ascii="宋体" w:hAnsi="宋体" w:cs="宋体"/>
          <w:bCs/>
          <w:kern w:val="0"/>
          <w:szCs w:val="21"/>
        </w:rPr>
        <w:t>测评</w:t>
      </w:r>
      <w:r>
        <w:rPr>
          <w:rFonts w:ascii="宋体" w:hAnsi="宋体" w:cs="宋体" w:hint="eastAsia"/>
          <w:bCs/>
          <w:kern w:val="0"/>
          <w:szCs w:val="21"/>
        </w:rPr>
        <w:t>、课堂</w:t>
      </w:r>
      <w:r>
        <w:rPr>
          <w:rFonts w:ascii="宋体" w:hAnsi="宋体" w:cs="宋体"/>
          <w:bCs/>
          <w:kern w:val="0"/>
          <w:szCs w:val="21"/>
        </w:rPr>
        <w:t>表现</w:t>
      </w:r>
      <w:r>
        <w:rPr>
          <w:rFonts w:ascii="宋体" w:hAnsi="宋体" w:cs="宋体" w:hint="eastAsia"/>
          <w:bCs/>
          <w:kern w:val="0"/>
          <w:szCs w:val="21"/>
        </w:rPr>
        <w:t>和课程实验成绩</w:t>
      </w:r>
      <w:r>
        <w:rPr>
          <w:rFonts w:ascii="宋体" w:hAnsi="宋体" w:cs="宋体"/>
          <w:bCs/>
          <w:kern w:val="0"/>
          <w:szCs w:val="21"/>
        </w:rPr>
        <w:t>。</w:t>
      </w:r>
      <w:r>
        <w:rPr>
          <w:rFonts w:ascii="宋体" w:hAnsi="宋体" w:cs="宋体" w:hint="eastAsia"/>
          <w:bCs/>
          <w:kern w:val="0"/>
          <w:szCs w:val="21"/>
        </w:rPr>
        <w:t>阶段</w:t>
      </w:r>
      <w:r>
        <w:rPr>
          <w:rFonts w:ascii="宋体" w:hAnsi="宋体" w:cs="宋体"/>
          <w:bCs/>
          <w:kern w:val="0"/>
          <w:szCs w:val="21"/>
        </w:rPr>
        <w:t>测评</w:t>
      </w:r>
      <w:r>
        <w:rPr>
          <w:rFonts w:ascii="宋体" w:hAnsi="宋体" w:cs="宋体" w:hint="eastAsia"/>
          <w:bCs/>
          <w:kern w:val="0"/>
          <w:szCs w:val="21"/>
        </w:rPr>
        <w:t>：</w:t>
      </w:r>
      <w:r>
        <w:rPr>
          <w:rFonts w:ascii="宋体" w:hAnsi="宋体" w:cs="宋体"/>
          <w:bCs/>
          <w:kern w:val="0"/>
          <w:szCs w:val="21"/>
        </w:rPr>
        <w:t>根据</w:t>
      </w:r>
      <w:r>
        <w:rPr>
          <w:rFonts w:ascii="宋体" w:hAnsi="宋体" w:cs="宋体" w:hint="eastAsia"/>
          <w:bCs/>
          <w:kern w:val="0"/>
          <w:szCs w:val="21"/>
        </w:rPr>
        <w:t>阶段</w:t>
      </w:r>
      <w:r>
        <w:rPr>
          <w:rFonts w:ascii="宋体" w:hAnsi="宋体" w:cs="宋体"/>
          <w:bCs/>
          <w:kern w:val="0"/>
          <w:szCs w:val="21"/>
        </w:rPr>
        <w:t>测评的</w:t>
      </w:r>
      <w:r>
        <w:rPr>
          <w:rFonts w:ascii="宋体" w:hAnsi="宋体" w:cs="宋体" w:hint="eastAsia"/>
          <w:bCs/>
          <w:kern w:val="0"/>
          <w:szCs w:val="21"/>
        </w:rPr>
        <w:t>成绩</w:t>
      </w:r>
      <w:r>
        <w:rPr>
          <w:rFonts w:ascii="宋体" w:hAnsi="宋体" w:cs="宋体"/>
          <w:bCs/>
          <w:kern w:val="0"/>
          <w:szCs w:val="21"/>
        </w:rPr>
        <w:t>评定。</w:t>
      </w:r>
      <w:r>
        <w:rPr>
          <w:rFonts w:ascii="宋体" w:hAnsi="宋体" w:cs="宋体" w:hint="eastAsia"/>
          <w:bCs/>
          <w:kern w:val="0"/>
          <w:szCs w:val="21"/>
        </w:rPr>
        <w:t>课堂</w:t>
      </w:r>
      <w:r>
        <w:rPr>
          <w:rFonts w:ascii="宋体" w:hAnsi="宋体" w:cs="宋体"/>
          <w:bCs/>
          <w:kern w:val="0"/>
          <w:szCs w:val="21"/>
        </w:rPr>
        <w:t>表现</w:t>
      </w:r>
      <w:r>
        <w:rPr>
          <w:rFonts w:ascii="宋体" w:hAnsi="宋体" w:cs="宋体" w:hint="eastAsia"/>
          <w:bCs/>
          <w:kern w:val="0"/>
          <w:szCs w:val="21"/>
        </w:rPr>
        <w:t>：</w:t>
      </w:r>
      <w:r>
        <w:rPr>
          <w:rFonts w:ascii="宋体" w:hAnsi="宋体" w:cs="宋体"/>
          <w:bCs/>
          <w:kern w:val="0"/>
          <w:szCs w:val="21"/>
        </w:rPr>
        <w:t>根据学生课堂考勤、上课回答问题</w:t>
      </w:r>
      <w:r>
        <w:rPr>
          <w:rFonts w:ascii="宋体" w:hAnsi="宋体" w:cs="宋体" w:hint="eastAsia"/>
          <w:bCs/>
          <w:kern w:val="0"/>
          <w:szCs w:val="21"/>
        </w:rPr>
        <w:t>情况</w:t>
      </w:r>
      <w:r>
        <w:rPr>
          <w:rFonts w:ascii="宋体" w:hAnsi="宋体" w:cs="宋体"/>
          <w:bCs/>
          <w:kern w:val="0"/>
          <w:szCs w:val="21"/>
        </w:rPr>
        <w:t>进行综合评定。</w:t>
      </w:r>
      <w:r>
        <w:rPr>
          <w:rFonts w:ascii="宋体" w:hAnsi="宋体" w:cs="宋体" w:hint="eastAsia"/>
          <w:bCs/>
          <w:kern w:val="0"/>
          <w:szCs w:val="21"/>
        </w:rPr>
        <w:t>课程实验：依照学生实验</w:t>
      </w:r>
      <w:r>
        <w:rPr>
          <w:rFonts w:ascii="宋体" w:hAnsi="宋体" w:cs="宋体"/>
          <w:bCs/>
          <w:kern w:val="0"/>
          <w:szCs w:val="21"/>
        </w:rPr>
        <w:t>课程</w:t>
      </w:r>
      <w:r>
        <w:rPr>
          <w:rFonts w:ascii="宋体" w:hAnsi="宋体" w:cs="宋体" w:hint="eastAsia"/>
          <w:bCs/>
          <w:kern w:val="0"/>
          <w:szCs w:val="21"/>
        </w:rPr>
        <w:t>课堂表现及实验报告进行综合评定。平时成绩所占比例40%。</w:t>
      </w:r>
    </w:p>
    <w:p w14:paraId="4AE1786A" w14:textId="77777777" w:rsidR="00F5289E" w:rsidRDefault="00C91173">
      <w:pPr>
        <w:snapToGrid w:val="0"/>
        <w:spacing w:beforeLines="50" w:before="156" w:line="360" w:lineRule="auto"/>
        <w:ind w:firstLineChars="200" w:firstLine="420"/>
        <w:rPr>
          <w:rFonts w:ascii="宋体" w:hAnsi="宋体" w:cs="宋体"/>
          <w:bCs/>
          <w:kern w:val="0"/>
          <w:szCs w:val="21"/>
        </w:rPr>
      </w:pPr>
      <w:r>
        <w:rPr>
          <w:rFonts w:ascii="宋体" w:hAnsi="宋体" w:cs="宋体" w:hint="eastAsia"/>
          <w:bCs/>
          <w:kern w:val="0"/>
          <w:szCs w:val="21"/>
        </w:rPr>
        <w:t>2.期末成绩</w:t>
      </w:r>
    </w:p>
    <w:p w14:paraId="46D551F3" w14:textId="77777777" w:rsidR="00F5289E" w:rsidRDefault="00C91173">
      <w:pPr>
        <w:snapToGrid w:val="0"/>
        <w:spacing w:beforeLines="50" w:before="156" w:line="360" w:lineRule="auto"/>
        <w:ind w:firstLineChars="200" w:firstLine="420"/>
        <w:rPr>
          <w:rFonts w:ascii="宋体" w:hAnsi="宋体" w:cs="宋体"/>
          <w:bCs/>
          <w:kern w:val="0"/>
          <w:szCs w:val="21"/>
        </w:rPr>
      </w:pPr>
      <w:r>
        <w:rPr>
          <w:rFonts w:ascii="宋体" w:hAnsi="宋体" w:cs="宋体" w:hint="eastAsia"/>
          <w:bCs/>
          <w:kern w:val="0"/>
          <w:szCs w:val="21"/>
        </w:rPr>
        <w:t>考核方式为闭卷考试，所占比例60%。</w:t>
      </w:r>
    </w:p>
    <w:p w14:paraId="00B5B026" w14:textId="77777777" w:rsidR="00F5289E" w:rsidRDefault="00C91173">
      <w:pPr>
        <w:snapToGrid w:val="0"/>
        <w:spacing w:beforeLines="50" w:before="156" w:line="360" w:lineRule="auto"/>
        <w:ind w:firstLineChars="200" w:firstLine="420"/>
        <w:rPr>
          <w:rFonts w:ascii="宋体" w:hAnsi="宋体"/>
          <w:szCs w:val="21"/>
        </w:rPr>
      </w:pPr>
      <w:r>
        <w:rPr>
          <w:rFonts w:ascii="Times" w:hAnsi="Times"/>
        </w:rPr>
        <w:t>2.</w:t>
      </w:r>
      <w:r>
        <w:rPr>
          <w:rFonts w:ascii="宋体" w:hAnsi="宋体" w:hint="eastAsia"/>
          <w:szCs w:val="21"/>
        </w:rPr>
        <w:t xml:space="preserve"> 综合成绩</w:t>
      </w:r>
    </w:p>
    <w:p w14:paraId="55333F40" w14:textId="77777777" w:rsidR="00F5289E" w:rsidRDefault="00C91173">
      <w:pPr>
        <w:snapToGrid w:val="0"/>
        <w:spacing w:beforeLines="50" w:before="156" w:line="360" w:lineRule="auto"/>
        <w:ind w:firstLineChars="200" w:firstLine="420"/>
        <w:rPr>
          <w:rFonts w:ascii="宋体" w:hAnsi="宋体" w:cs="宋体"/>
          <w:bCs/>
          <w:kern w:val="0"/>
          <w:szCs w:val="21"/>
        </w:rPr>
      </w:pPr>
      <w:r>
        <w:rPr>
          <w:rFonts w:ascii="Times" w:hAnsi="Times" w:hint="eastAsia"/>
        </w:rPr>
        <w:t>最终</w:t>
      </w:r>
      <w:r>
        <w:rPr>
          <w:rFonts w:ascii="Times" w:hAnsi="Times"/>
        </w:rPr>
        <w:t>成绩</w:t>
      </w:r>
      <w:r>
        <w:rPr>
          <w:rFonts w:ascii="Times" w:hAnsi="Times" w:hint="eastAsia"/>
        </w:rPr>
        <w:t>为</w:t>
      </w:r>
      <w:r>
        <w:rPr>
          <w:rFonts w:ascii="Times" w:hAnsi="Times" w:hint="eastAsia"/>
        </w:rPr>
        <w:t>100</w:t>
      </w:r>
      <w:r>
        <w:rPr>
          <w:rFonts w:ascii="Times" w:hAnsi="Times" w:hint="eastAsia"/>
        </w:rPr>
        <w:t>分，</w:t>
      </w:r>
      <w:r>
        <w:rPr>
          <w:rFonts w:ascii="宋体" w:hAnsi="宋体" w:hint="eastAsia"/>
          <w:bCs/>
          <w:szCs w:val="21"/>
        </w:rPr>
        <w:t>平时成绩×40%+期末成绩×60%。</w:t>
      </w:r>
    </w:p>
    <w:p w14:paraId="2A0E62D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lastRenderedPageBreak/>
        <w:t>六、考核结果分析反馈</w:t>
      </w:r>
    </w:p>
    <w:p w14:paraId="04F31A05" w14:textId="77777777" w:rsidR="00F5289E" w:rsidRDefault="00C91173">
      <w:pPr>
        <w:snapToGrid w:val="0"/>
        <w:spacing w:beforeLines="50" w:before="156" w:line="360" w:lineRule="auto"/>
        <w:ind w:firstLineChars="200" w:firstLine="420"/>
        <w:rPr>
          <w:rFonts w:ascii="宋体" w:hAnsi="宋体"/>
        </w:rPr>
      </w:pPr>
      <w:r>
        <w:rPr>
          <w:rFonts w:ascii="宋体" w:hAnsi="宋体" w:hint="eastAsia"/>
        </w:rPr>
        <w:t>1.在</w:t>
      </w:r>
      <w:r>
        <w:rPr>
          <w:rFonts w:ascii="宋体" w:hAnsi="宋体"/>
        </w:rPr>
        <w:t>每章</w:t>
      </w:r>
      <w:r>
        <w:rPr>
          <w:rFonts w:ascii="宋体" w:hAnsi="宋体" w:hint="eastAsia"/>
        </w:rPr>
        <w:t>理论</w:t>
      </w:r>
      <w:r>
        <w:rPr>
          <w:rFonts w:ascii="宋体" w:hAnsi="宋体"/>
        </w:rPr>
        <w:t>课结束</w:t>
      </w:r>
      <w:r>
        <w:rPr>
          <w:rFonts w:ascii="宋体" w:hAnsi="宋体" w:hint="eastAsia"/>
        </w:rPr>
        <w:t>后</w:t>
      </w:r>
      <w:r>
        <w:rPr>
          <w:rFonts w:ascii="宋体" w:hAnsi="宋体"/>
        </w:rPr>
        <w:t>，进行</w:t>
      </w:r>
      <w:r>
        <w:rPr>
          <w:rFonts w:ascii="宋体" w:hAnsi="宋体"/>
          <w:szCs w:val="21"/>
        </w:rPr>
        <w:t>阶段</w:t>
      </w:r>
      <w:r>
        <w:rPr>
          <w:rFonts w:ascii="宋体" w:hAnsi="宋体" w:hint="eastAsia"/>
          <w:szCs w:val="21"/>
        </w:rPr>
        <w:t>测评</w:t>
      </w:r>
      <w:r>
        <w:rPr>
          <w:rFonts w:ascii="宋体" w:hAnsi="宋体"/>
        </w:rPr>
        <w:t>，检</w:t>
      </w:r>
      <w:r>
        <w:rPr>
          <w:rFonts w:ascii="宋体" w:hAnsi="宋体" w:hint="eastAsia"/>
        </w:rPr>
        <w:t>查</w:t>
      </w:r>
      <w:r>
        <w:rPr>
          <w:rFonts w:ascii="宋体" w:hAnsi="宋体"/>
        </w:rPr>
        <w:t>学生章节学习情况，并</w:t>
      </w:r>
      <w:r>
        <w:rPr>
          <w:rFonts w:ascii="宋体" w:hAnsi="宋体" w:hint="eastAsia"/>
        </w:rPr>
        <w:t>在</w:t>
      </w:r>
      <w:r>
        <w:rPr>
          <w:rFonts w:ascii="宋体" w:hAnsi="宋体"/>
        </w:rPr>
        <w:t>课堂上给学生</w:t>
      </w:r>
      <w:r>
        <w:rPr>
          <w:rFonts w:ascii="宋体" w:hAnsi="宋体" w:hint="eastAsia"/>
        </w:rPr>
        <w:t>详细</w:t>
      </w:r>
      <w:r>
        <w:rPr>
          <w:rFonts w:ascii="宋体" w:hAnsi="宋体"/>
        </w:rPr>
        <w:t>讲解</w:t>
      </w:r>
      <w:r>
        <w:rPr>
          <w:rFonts w:ascii="宋体" w:hAnsi="宋体"/>
          <w:szCs w:val="21"/>
        </w:rPr>
        <w:t>阶段</w:t>
      </w:r>
      <w:r>
        <w:rPr>
          <w:rFonts w:ascii="宋体" w:hAnsi="宋体" w:hint="eastAsia"/>
          <w:szCs w:val="21"/>
        </w:rPr>
        <w:t>测评</w:t>
      </w:r>
      <w:r>
        <w:rPr>
          <w:rFonts w:ascii="宋体" w:hAnsi="宋体" w:hint="eastAsia"/>
        </w:rPr>
        <w:t>中</w:t>
      </w:r>
      <w:r>
        <w:rPr>
          <w:rFonts w:ascii="宋体" w:hAnsi="宋体"/>
        </w:rPr>
        <w:t>的重点难点。</w:t>
      </w:r>
      <w:r>
        <w:rPr>
          <w:rFonts w:ascii="宋体" w:hAnsi="宋体" w:hint="eastAsia"/>
        </w:rPr>
        <w:t>实验、</w:t>
      </w:r>
      <w:r>
        <w:rPr>
          <w:rFonts w:ascii="宋体" w:hAnsi="宋体"/>
        </w:rPr>
        <w:t>期末考试成绩及时通告给学生</w:t>
      </w:r>
      <w:r>
        <w:rPr>
          <w:rFonts w:ascii="宋体" w:hAnsi="宋体" w:hint="eastAsia"/>
        </w:rPr>
        <w:t>，</w:t>
      </w:r>
      <w:r>
        <w:rPr>
          <w:rFonts w:ascii="宋体" w:hAnsi="宋体"/>
        </w:rPr>
        <w:t>学生对考试成绩有疑问，可以申请</w:t>
      </w:r>
      <w:r>
        <w:rPr>
          <w:rFonts w:ascii="宋体" w:hAnsi="宋体" w:hint="eastAsia"/>
        </w:rPr>
        <w:t>复查</w:t>
      </w:r>
      <w:r>
        <w:rPr>
          <w:rFonts w:ascii="宋体" w:hAnsi="宋体"/>
        </w:rPr>
        <w:t>试卷</w:t>
      </w:r>
      <w:r>
        <w:rPr>
          <w:rFonts w:ascii="宋体" w:hAnsi="宋体" w:hint="eastAsia"/>
        </w:rPr>
        <w:t>。对</w:t>
      </w:r>
      <w:r>
        <w:rPr>
          <w:rFonts w:ascii="宋体" w:hAnsi="宋体"/>
        </w:rPr>
        <w:t>期末考试</w:t>
      </w:r>
      <w:r>
        <w:rPr>
          <w:rFonts w:ascii="宋体" w:hAnsi="宋体" w:hint="eastAsia"/>
        </w:rPr>
        <w:t>进行</w:t>
      </w:r>
      <w:r>
        <w:rPr>
          <w:rFonts w:ascii="宋体" w:hAnsi="宋体"/>
        </w:rPr>
        <w:t>考试分析，</w:t>
      </w:r>
      <w:r>
        <w:rPr>
          <w:rFonts w:ascii="宋体" w:hAnsi="宋体" w:hint="eastAsia"/>
        </w:rPr>
        <w:t>统计</w:t>
      </w:r>
      <w:r>
        <w:rPr>
          <w:rFonts w:ascii="宋体" w:hAnsi="宋体"/>
        </w:rPr>
        <w:t>学生对于</w:t>
      </w:r>
      <w:r>
        <w:rPr>
          <w:rFonts w:ascii="宋体" w:hAnsi="宋体" w:hint="eastAsia"/>
        </w:rPr>
        <w:t>各</w:t>
      </w:r>
      <w:r>
        <w:rPr>
          <w:rFonts w:ascii="宋体" w:hAnsi="宋体"/>
        </w:rPr>
        <w:t>章节</w:t>
      </w:r>
      <w:r>
        <w:rPr>
          <w:rFonts w:ascii="宋体" w:hAnsi="宋体" w:hint="eastAsia"/>
        </w:rPr>
        <w:t>知识点</w:t>
      </w:r>
      <w:r>
        <w:rPr>
          <w:rFonts w:ascii="宋体" w:hAnsi="宋体"/>
        </w:rPr>
        <w:t>的掌握情况。</w:t>
      </w:r>
    </w:p>
    <w:p w14:paraId="7D39D69A" w14:textId="77777777" w:rsidR="00F5289E" w:rsidRDefault="00C91173">
      <w:pPr>
        <w:snapToGrid w:val="0"/>
        <w:spacing w:beforeLines="50" w:before="156" w:line="360" w:lineRule="auto"/>
        <w:ind w:firstLineChars="200" w:firstLine="420"/>
        <w:rPr>
          <w:rFonts w:ascii="宋体" w:hAnsi="宋体"/>
        </w:rPr>
      </w:pPr>
      <w:r>
        <w:rPr>
          <w:rFonts w:ascii="宋体" w:hAnsi="宋体" w:hint="eastAsia"/>
        </w:rPr>
        <w:t>2.建立</w:t>
      </w:r>
      <w:r>
        <w:rPr>
          <w:rFonts w:ascii="宋体" w:hAnsi="宋体"/>
        </w:rPr>
        <w:t>学生和老师之间的反馈通道，</w:t>
      </w:r>
      <w:r>
        <w:rPr>
          <w:rFonts w:ascii="宋体" w:hAnsi="宋体" w:hint="eastAsia"/>
        </w:rPr>
        <w:t>学生</w:t>
      </w:r>
      <w:r>
        <w:rPr>
          <w:rFonts w:ascii="宋体" w:hAnsi="宋体"/>
        </w:rPr>
        <w:t>在</w:t>
      </w:r>
      <w:r>
        <w:rPr>
          <w:rFonts w:ascii="宋体" w:hAnsi="宋体" w:hint="eastAsia"/>
        </w:rPr>
        <w:t>课堂</w:t>
      </w:r>
      <w:r>
        <w:rPr>
          <w:rFonts w:ascii="宋体" w:hAnsi="宋体"/>
        </w:rPr>
        <w:t>上存在</w:t>
      </w:r>
      <w:r>
        <w:rPr>
          <w:rFonts w:ascii="宋体" w:hAnsi="宋体" w:hint="eastAsia"/>
        </w:rPr>
        <w:t>的疑问</w:t>
      </w:r>
      <w:r>
        <w:rPr>
          <w:rFonts w:ascii="宋体" w:hAnsi="宋体"/>
        </w:rPr>
        <w:t>、对教师上课中存在的问题</w:t>
      </w:r>
      <w:r>
        <w:rPr>
          <w:rFonts w:ascii="宋体" w:hAnsi="宋体" w:hint="eastAsia"/>
        </w:rPr>
        <w:t>或</w:t>
      </w:r>
      <w:r>
        <w:rPr>
          <w:rFonts w:ascii="宋体" w:hAnsi="宋体"/>
        </w:rPr>
        <w:t>建议，及时反馈给授课教师，</w:t>
      </w:r>
      <w:r>
        <w:rPr>
          <w:rFonts w:ascii="宋体" w:hAnsi="宋体" w:hint="eastAsia"/>
        </w:rPr>
        <w:t>授课</w:t>
      </w:r>
      <w:r>
        <w:rPr>
          <w:rFonts w:ascii="宋体" w:hAnsi="宋体"/>
        </w:rPr>
        <w:t>教师及时</w:t>
      </w:r>
      <w:r>
        <w:rPr>
          <w:rFonts w:ascii="宋体" w:hAnsi="宋体" w:hint="eastAsia"/>
        </w:rPr>
        <w:t>解决</w:t>
      </w:r>
      <w:r>
        <w:rPr>
          <w:rFonts w:ascii="宋体" w:hAnsi="宋体"/>
        </w:rPr>
        <w:t>。</w:t>
      </w:r>
      <w:r>
        <w:rPr>
          <w:rFonts w:ascii="宋体" w:hAnsi="宋体" w:hint="eastAsia"/>
        </w:rPr>
        <w:t>通过学生评教，</w:t>
      </w:r>
      <w:r>
        <w:rPr>
          <w:rFonts w:ascii="宋体" w:hAnsi="宋体"/>
        </w:rPr>
        <w:t>对教师的教学工作做出合理的评价。</w:t>
      </w:r>
    </w:p>
    <w:p w14:paraId="2EEAD944" w14:textId="77777777" w:rsidR="00F5289E" w:rsidRDefault="00C91173">
      <w:pPr>
        <w:snapToGrid w:val="0"/>
        <w:spacing w:beforeLines="50" w:before="156" w:line="360" w:lineRule="auto"/>
        <w:ind w:firstLineChars="200" w:firstLine="420"/>
        <w:rPr>
          <w:rFonts w:ascii="宋体" w:hAnsi="宋体"/>
        </w:rPr>
      </w:pPr>
      <w:r>
        <w:rPr>
          <w:rFonts w:ascii="宋体" w:hAnsi="宋体" w:hint="eastAsia"/>
        </w:rPr>
        <w:t>3.</w:t>
      </w:r>
      <w:r>
        <w:rPr>
          <w:rFonts w:hint="eastAsia"/>
          <w:shd w:val="clear" w:color="auto" w:fill="FFFFFF"/>
        </w:rPr>
        <w:t>制定具体、可衡量的评价指标，形成评分表，结合学生的实验报告、</w:t>
      </w:r>
      <w:r>
        <w:rPr>
          <w:rFonts w:ascii="宋体" w:hAnsi="宋体" w:cs="宋体" w:hint="eastAsia"/>
          <w:bCs/>
          <w:kern w:val="0"/>
          <w:szCs w:val="21"/>
        </w:rPr>
        <w:t>阶段</w:t>
      </w:r>
      <w:r>
        <w:rPr>
          <w:rFonts w:ascii="宋体" w:hAnsi="宋体" w:cs="宋体"/>
          <w:bCs/>
          <w:kern w:val="0"/>
          <w:szCs w:val="21"/>
        </w:rPr>
        <w:t>测评</w:t>
      </w:r>
      <w:r>
        <w:rPr>
          <w:rFonts w:hint="eastAsia"/>
          <w:shd w:val="clear" w:color="auto" w:fill="FFFFFF"/>
        </w:rPr>
        <w:t>、课堂表现等评价学生的表现，通过满意程度给出量化分数，从而计算出学习达成度评价结果，</w:t>
      </w:r>
      <w:r>
        <w:rPr>
          <w:shd w:val="clear" w:color="auto" w:fill="FFFFFF"/>
        </w:rPr>
        <w:t>并反馈给</w:t>
      </w:r>
      <w:r>
        <w:rPr>
          <w:rFonts w:hint="eastAsia"/>
          <w:shd w:val="clear" w:color="auto" w:fill="FFFFFF"/>
        </w:rPr>
        <w:t>学生。</w:t>
      </w:r>
    </w:p>
    <w:p w14:paraId="029DE158" w14:textId="77777777" w:rsidR="00F5289E" w:rsidRDefault="00F5289E">
      <w:pPr>
        <w:widowControl/>
        <w:spacing w:line="360" w:lineRule="auto"/>
        <w:jc w:val="left"/>
        <w:rPr>
          <w:rFonts w:ascii="宋体" w:hAnsi="宋体"/>
        </w:rPr>
      </w:pPr>
    </w:p>
    <w:p w14:paraId="7DDAA610" w14:textId="77777777" w:rsidR="00F5289E" w:rsidRDefault="00C91173">
      <w:pPr>
        <w:widowControl/>
        <w:jc w:val="left"/>
        <w:rPr>
          <w:rFonts w:ascii="宋体" w:hAnsi="宋体"/>
          <w:b/>
          <w:sz w:val="28"/>
          <w:szCs w:val="28"/>
        </w:rPr>
      </w:pPr>
      <w:r>
        <w:rPr>
          <w:rFonts w:ascii="宋体" w:hAnsi="宋体"/>
          <w:b/>
          <w:sz w:val="28"/>
          <w:szCs w:val="28"/>
        </w:rPr>
        <w:br w:type="page"/>
      </w:r>
    </w:p>
    <w:p w14:paraId="48219D63" w14:textId="77777777" w:rsidR="00F5289E" w:rsidRDefault="00C91173">
      <w:pPr>
        <w:pStyle w:val="1"/>
      </w:pPr>
      <w:bookmarkStart w:id="205" w:name="_Toc138606296"/>
      <w:r>
        <w:rPr>
          <w:rFonts w:hint="eastAsia"/>
        </w:rPr>
        <w:lastRenderedPageBreak/>
        <w:t>园艺植物组织培养考核大纲</w:t>
      </w:r>
      <w:bookmarkEnd w:id="205"/>
    </w:p>
    <w:p w14:paraId="4C9FCD2F" w14:textId="77777777" w:rsidR="00F5289E" w:rsidRDefault="00C91173">
      <w:pPr>
        <w:snapToGrid w:val="0"/>
        <w:spacing w:line="360" w:lineRule="auto"/>
        <w:jc w:val="center"/>
        <w:rPr>
          <w:color w:val="000000" w:themeColor="text1"/>
          <w:sz w:val="24"/>
        </w:rPr>
      </w:pPr>
      <w:r>
        <w:rPr>
          <w:color w:val="000000" w:themeColor="text1"/>
          <w:sz w:val="24"/>
        </w:rPr>
        <w:t>（</w:t>
      </w:r>
      <w:r>
        <w:rPr>
          <w:color w:val="000000" w:themeColor="text1"/>
          <w:sz w:val="24"/>
        </w:rPr>
        <w:t>Horticultural Plant Tissue Culture</w:t>
      </w:r>
      <w:r>
        <w:rPr>
          <w:color w:val="000000" w:themeColor="text1"/>
          <w:sz w:val="24"/>
        </w:rPr>
        <w:t>）</w:t>
      </w:r>
    </w:p>
    <w:p w14:paraId="298F6555" w14:textId="77777777" w:rsidR="00F5289E" w:rsidRDefault="00F5289E">
      <w:pPr>
        <w:widowControl/>
        <w:wordWrap w:val="0"/>
        <w:spacing w:before="120" w:after="120"/>
        <w:jc w:val="center"/>
        <w:outlineLvl w:val="0"/>
        <w:rPr>
          <w:rFonts w:eastAsia="黑体" w:hAnsi="宋体" w:cs="宋体"/>
          <w:b/>
          <w:bCs/>
          <w:color w:val="000000" w:themeColor="text1"/>
          <w:kern w:val="36"/>
          <w:sz w:val="24"/>
        </w:rPr>
      </w:pPr>
    </w:p>
    <w:p w14:paraId="7D2F3EDF" w14:textId="77777777" w:rsidR="00F5289E" w:rsidRDefault="00C91173">
      <w:pPr>
        <w:snapToGrid w:val="0"/>
        <w:spacing w:line="360" w:lineRule="auto"/>
        <w:jc w:val="center"/>
        <w:rPr>
          <w:b/>
          <w:color w:val="000000" w:themeColor="text1"/>
          <w:szCs w:val="21"/>
        </w:rPr>
      </w:pPr>
      <w:r>
        <w:rPr>
          <w:rFonts w:hint="eastAsia"/>
          <w:b/>
          <w:color w:val="000000" w:themeColor="text1"/>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5EA59E60" w14:textId="77777777">
        <w:tc>
          <w:tcPr>
            <w:tcW w:w="1665" w:type="pct"/>
          </w:tcPr>
          <w:p w14:paraId="188BFEC7"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课程编号：</w:t>
            </w:r>
            <w:r w:rsidRPr="001B3040">
              <w:rPr>
                <w:rFonts w:ascii="宋体" w:hAnsi="宋体"/>
                <w:color w:val="000000" w:themeColor="text1"/>
                <w:szCs w:val="21"/>
              </w:rPr>
              <w:t>19011052</w:t>
            </w:r>
          </w:p>
        </w:tc>
        <w:tc>
          <w:tcPr>
            <w:tcW w:w="1234" w:type="pct"/>
          </w:tcPr>
          <w:p w14:paraId="4DB9E53E"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课程学时：</w:t>
            </w:r>
            <w:r w:rsidRPr="001B3040">
              <w:rPr>
                <w:rFonts w:ascii="宋体" w:hAnsi="宋体" w:hint="eastAsia"/>
                <w:color w:val="000000" w:themeColor="text1"/>
                <w:szCs w:val="21"/>
              </w:rPr>
              <w:t>32</w:t>
            </w:r>
          </w:p>
        </w:tc>
        <w:tc>
          <w:tcPr>
            <w:tcW w:w="2100" w:type="pct"/>
          </w:tcPr>
          <w:p w14:paraId="6F9C6A44"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课程学分：</w:t>
            </w:r>
            <w:r w:rsidRPr="001B3040">
              <w:rPr>
                <w:rFonts w:ascii="宋体" w:hAnsi="宋体" w:hint="eastAsia"/>
                <w:color w:val="000000" w:themeColor="text1"/>
                <w:szCs w:val="21"/>
              </w:rPr>
              <w:t>2</w:t>
            </w:r>
          </w:p>
        </w:tc>
      </w:tr>
      <w:tr w:rsidR="00F5289E" w14:paraId="370510A9" w14:textId="77777777">
        <w:tc>
          <w:tcPr>
            <w:tcW w:w="1665" w:type="pct"/>
          </w:tcPr>
          <w:p w14:paraId="12B9A377" w14:textId="77777777" w:rsidR="00F5289E" w:rsidRPr="001B3040" w:rsidRDefault="00C91173">
            <w:pPr>
              <w:spacing w:line="300" w:lineRule="auto"/>
              <w:rPr>
                <w:rFonts w:ascii="宋体" w:hAnsi="宋体"/>
                <w:color w:val="000000" w:themeColor="text1"/>
                <w:szCs w:val="21"/>
              </w:rPr>
            </w:pPr>
            <w:r>
              <w:rPr>
                <w:rFonts w:ascii="宋体" w:hAnsi="宋体" w:hint="eastAsia"/>
                <w:b/>
                <w:bCs/>
                <w:color w:val="000000" w:themeColor="text1"/>
                <w:szCs w:val="21"/>
              </w:rPr>
              <w:t>主撰人：</w:t>
            </w:r>
            <w:r w:rsidRPr="001B3040">
              <w:rPr>
                <w:rFonts w:ascii="宋体" w:hAnsi="宋体" w:hint="eastAsia"/>
                <w:color w:val="000000" w:themeColor="text1"/>
                <w:szCs w:val="21"/>
              </w:rPr>
              <w:t>孙凯乐、侯娟、</w:t>
            </w:r>
          </w:p>
          <w:p w14:paraId="76C0D6DB" w14:textId="77777777" w:rsidR="00F5289E" w:rsidRDefault="00C91173">
            <w:pPr>
              <w:spacing w:line="300" w:lineRule="auto"/>
              <w:ind w:firstLine="900"/>
              <w:rPr>
                <w:rFonts w:ascii="宋体" w:hAnsi="宋体"/>
                <w:b/>
                <w:bCs/>
                <w:color w:val="000000" w:themeColor="text1"/>
                <w:szCs w:val="21"/>
              </w:rPr>
            </w:pPr>
            <w:r w:rsidRPr="001B3040">
              <w:rPr>
                <w:rFonts w:ascii="宋体" w:hAnsi="宋体" w:hint="eastAsia"/>
                <w:color w:val="000000" w:themeColor="text1"/>
                <w:szCs w:val="21"/>
              </w:rPr>
              <w:t>豆峻岭</w:t>
            </w:r>
          </w:p>
        </w:tc>
        <w:tc>
          <w:tcPr>
            <w:tcW w:w="1234" w:type="pct"/>
          </w:tcPr>
          <w:p w14:paraId="5EFF8C76"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审核人：</w:t>
            </w:r>
            <w:r w:rsidRPr="001B3040">
              <w:rPr>
                <w:rFonts w:ascii="宋体" w:hAnsi="宋体" w:hint="eastAsia"/>
                <w:color w:val="000000" w:themeColor="text1"/>
                <w:szCs w:val="21"/>
              </w:rPr>
              <w:t>胡建斌</w:t>
            </w:r>
          </w:p>
        </w:tc>
        <w:tc>
          <w:tcPr>
            <w:tcW w:w="2100" w:type="pct"/>
          </w:tcPr>
          <w:p w14:paraId="0CBC8348" w14:textId="77777777" w:rsidR="00F5289E" w:rsidRDefault="00C91173">
            <w:pPr>
              <w:spacing w:line="300" w:lineRule="auto"/>
              <w:rPr>
                <w:rFonts w:ascii="宋体" w:hAnsi="宋体"/>
                <w:b/>
                <w:bCs/>
                <w:color w:val="000000" w:themeColor="text1"/>
                <w:szCs w:val="21"/>
              </w:rPr>
            </w:pPr>
            <w:r>
              <w:rPr>
                <w:rFonts w:ascii="宋体" w:hAnsi="宋体" w:hint="eastAsia"/>
                <w:b/>
                <w:bCs/>
                <w:color w:val="000000" w:themeColor="text1"/>
                <w:szCs w:val="21"/>
              </w:rPr>
              <w:t>大纲制定（修订）日期：</w:t>
            </w:r>
            <w:r w:rsidRPr="001B3040">
              <w:rPr>
                <w:rFonts w:ascii="宋体" w:hAnsi="宋体" w:hint="eastAsia"/>
                <w:color w:val="000000" w:themeColor="text1"/>
                <w:szCs w:val="21"/>
              </w:rPr>
              <w:t>202</w:t>
            </w:r>
            <w:r w:rsidR="001B3040">
              <w:rPr>
                <w:rFonts w:ascii="宋体" w:hAnsi="宋体"/>
                <w:color w:val="000000" w:themeColor="text1"/>
                <w:szCs w:val="21"/>
              </w:rPr>
              <w:t>3.05</w:t>
            </w:r>
          </w:p>
        </w:tc>
      </w:tr>
    </w:tbl>
    <w:p w14:paraId="585D0360" w14:textId="77777777" w:rsidR="00F5289E" w:rsidRDefault="00F5289E">
      <w:pPr>
        <w:pStyle w:val="a9"/>
        <w:spacing w:line="360" w:lineRule="auto"/>
        <w:rPr>
          <w:b/>
          <w:bCs/>
        </w:rPr>
      </w:pPr>
    </w:p>
    <w:p w14:paraId="03576DDE" w14:textId="77777777" w:rsidR="00F5289E" w:rsidRDefault="00C91173">
      <w:pPr>
        <w:pStyle w:val="a9"/>
        <w:spacing w:line="360" w:lineRule="auto"/>
        <w:rPr>
          <w:b/>
          <w:bCs/>
        </w:rPr>
      </w:pPr>
      <w:r>
        <w:rPr>
          <w:rFonts w:hint="eastAsia"/>
          <w:b/>
          <w:bCs/>
        </w:rPr>
        <w:t>一、课程的性质和地位</w:t>
      </w:r>
    </w:p>
    <w:p w14:paraId="4C1E9804"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园艺植物组织培养是园艺、茶学、设施农业科学与工程专业的选修课。它是以植物生理学为基础发展起来的一项生物技术，是现代生物技术的重要组成部分之一。目前，植物组织培养技术已渗透到生物科学的各个领域，成为生物科学的重要研究技术和手段，现已广泛应用于农业、林业、工业和医药业，产生了巨大的经济效益、社会效益及生态效益，成为当代生物科学中生命力极强的一门学科。本课程的开设可进一步加强学生的综合素质和创新能力的培养，增强学生在植物生产中发现问题、分析问题和解决问题的能力，推动我国植物生物技术的研究与应用。</w:t>
      </w:r>
    </w:p>
    <w:p w14:paraId="4CBABE66"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p w14:paraId="33272CF1" w14:textId="77777777" w:rsidR="00F5289E" w:rsidRDefault="00C91173">
      <w:pPr>
        <w:pStyle w:val="a9"/>
        <w:spacing w:line="360" w:lineRule="auto"/>
        <w:rPr>
          <w:b/>
          <w:bCs/>
        </w:rPr>
      </w:pPr>
      <w:r>
        <w:rPr>
          <w:rFonts w:hint="eastAsia"/>
          <w:b/>
          <w:bCs/>
        </w:rPr>
        <w:t>二、理论教学部分的考核目标</w:t>
      </w:r>
    </w:p>
    <w:p w14:paraId="00F3E3E2"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掌握植物组织培养的基本理论、基本原理和基本操作技术，了解植株形态发生的细胞学和分子基础，并熟悉组织培养相关理论在园艺植物生产中的应用。</w:t>
      </w:r>
    </w:p>
    <w:p w14:paraId="277A0FC6"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绪论</w:t>
      </w:r>
    </w:p>
    <w:p w14:paraId="10BBDB07"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11CE4E16"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：植物组织培养的发展历史；植物培养在现代生物技术中的地位；园艺植物组织培养学的研究对象及任务。</w:t>
      </w:r>
    </w:p>
    <w:p w14:paraId="3296561B"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：植物组织培养的概念；植物组织培养研究范畴；植物组织培养技术在生产中的作用与意义。</w:t>
      </w:r>
    </w:p>
    <w:p w14:paraId="4C721D2A"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：植物组织培养的概念与内涵；对植物组织培养发展具有重要贡献的科学家及其贡献；组织培养在植物育种上的应用。</w:t>
      </w:r>
    </w:p>
    <w:p w14:paraId="50D5C42A"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33D350A2"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植物组织培养及相关的概念。</w:t>
      </w:r>
    </w:p>
    <w:p w14:paraId="4CC9145E"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lastRenderedPageBreak/>
        <w:t>2. 植物组织培养技术的发展阶段与标志性成就。</w:t>
      </w:r>
    </w:p>
    <w:p w14:paraId="591F38DB"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3. 植物组织培养在植物育种上的应用范畴。</w:t>
      </w:r>
    </w:p>
    <w:p w14:paraId="1DD51A2E"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135A0A6A"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：植物组织培养的概念与内涵。</w:t>
      </w:r>
    </w:p>
    <w:p w14:paraId="004E44BA"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：植物组织培养技术在社会生产实践中的地位与作用。</w:t>
      </w:r>
    </w:p>
    <w:p w14:paraId="55AF3A3B"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：植物组织培养在现代园艺植物育种中的应用。</w:t>
      </w:r>
    </w:p>
    <w:p w14:paraId="3E59DF26"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4.综合</w:t>
      </w:r>
      <w:r>
        <w:rPr>
          <w:rFonts w:ascii="宋体" w:hAnsi="宋体" w:hint="eastAsia"/>
          <w:color w:val="000000" w:themeColor="text1"/>
          <w:szCs w:val="21"/>
        </w:rPr>
        <w:t>：植物组织培养在现代园艺植物生产中的应用。</w:t>
      </w:r>
    </w:p>
    <w:p w14:paraId="18D28462"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第一章  植物组织培养的基本技术与条件</w:t>
      </w:r>
    </w:p>
    <w:p w14:paraId="5F2D5354"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68E2B267"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：植物组织培养实验室的组成、布局、功能；基本实验工具仪器的使用方法；外植体的种类与特点。</w:t>
      </w:r>
    </w:p>
    <w:p w14:paraId="5BE3010B"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：主要组织培养实验室的组成及其功能；培养基的种类、成分、特点；影响组织培养的内因和外因；常用的植物激素的生理作用。</w:t>
      </w:r>
    </w:p>
    <w:p w14:paraId="2EABE4DB"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：MS培养基母液配制及工作培养基的配制方法；无菌操作基本技术；洗涤、灭菌、消毒技术；外植体的灭菌方法。</w:t>
      </w:r>
    </w:p>
    <w:p w14:paraId="13776194"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65E73132"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植物组织培养实验室的构成及其功能。</w:t>
      </w:r>
    </w:p>
    <w:p w14:paraId="71574179"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植物组织培养一般技术方法。</w:t>
      </w:r>
    </w:p>
    <w:p w14:paraId="3B77B7E4"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3. 植物组织培养的培养基的成分及配制。</w:t>
      </w:r>
    </w:p>
    <w:p w14:paraId="7AD68642"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4. 影响植物组织培养培养效果的环境因素和培养基因素。</w:t>
      </w:r>
    </w:p>
    <w:p w14:paraId="12E9896A"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24496FAA"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：植物组织培养实验室的设置和布局。</w:t>
      </w:r>
    </w:p>
    <w:p w14:paraId="304DA387"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：植物组织培养灭菌的方法及无菌操作的原理。</w:t>
      </w:r>
    </w:p>
    <w:p w14:paraId="2D87328F"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：植物组织培养相关的洗涤、灭菌、消毒技术的应用。</w:t>
      </w:r>
    </w:p>
    <w:p w14:paraId="36AB5A7D"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4.分析：</w:t>
      </w:r>
      <w:r>
        <w:rPr>
          <w:rFonts w:ascii="宋体" w:hAnsi="宋体" w:hint="eastAsia"/>
          <w:color w:val="000000" w:themeColor="text1"/>
          <w:szCs w:val="21"/>
        </w:rPr>
        <w:t>能够对培养基、激素种类及其配比进行选择。</w:t>
      </w:r>
    </w:p>
    <w:p w14:paraId="66BB2C46"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5.综合</w:t>
      </w:r>
      <w:r>
        <w:rPr>
          <w:rFonts w:ascii="宋体" w:hAnsi="宋体" w:hint="eastAsia"/>
          <w:color w:val="000000" w:themeColor="text1"/>
          <w:szCs w:val="21"/>
        </w:rPr>
        <w:t>：能够进行植物组织培养室的设计、组织培养外界环境条件的选择与调控。</w:t>
      </w:r>
    </w:p>
    <w:p w14:paraId="359E627B"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第二章  植物细胞全能性与离体形态建成</w:t>
      </w:r>
    </w:p>
    <w:p w14:paraId="1834D57D"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3DEED6DB"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：植物细胞全能性的提出及其内容；植物细胞脱分化的生理及分子机制；细胞分化机理的研究进展。</w:t>
      </w:r>
    </w:p>
    <w:p w14:paraId="0EB55D1D"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：植物细胞全能性、细胞脱分化、再分化、形态建成、器官发生、体细胞胚发生和人工种子的概念；全能性的相对性与绝对性；形态建成的调控途径。</w:t>
      </w:r>
    </w:p>
    <w:p w14:paraId="5EC1D4EF"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：细胞全能性的调控表达；愈伤组织的形成及其特点；形态建成的两种途径（器官发生途径和体细胞胚胎发生途径）、器官发生和体细胞胚发生途径的区别；人工种子的结构。</w:t>
      </w:r>
    </w:p>
    <w:p w14:paraId="4D12C5E4"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lastRenderedPageBreak/>
        <w:t>（二）考核内容</w:t>
      </w:r>
    </w:p>
    <w:p w14:paraId="643E9956"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植物细胞全能性概念、脱分化、再分化、形态建成、器官发生、体细胞胚发生和人工种子等的概念。</w:t>
      </w:r>
    </w:p>
    <w:p w14:paraId="508D6C75"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全能性表达的基本条件。</w:t>
      </w:r>
    </w:p>
    <w:p w14:paraId="5C8693C7"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3. 激素与细胞脱分化与再分化。</w:t>
      </w:r>
    </w:p>
    <w:p w14:paraId="31E019E0"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 离体形态发生及其途径。</w:t>
      </w:r>
    </w:p>
    <w:p w14:paraId="7D4D8561"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5. 体细胞胚的结构特征。</w:t>
      </w:r>
    </w:p>
    <w:p w14:paraId="2202E6BB"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6. 器官发生和体细胞胚发生过程及其区别。</w:t>
      </w:r>
    </w:p>
    <w:p w14:paraId="645A5D96"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7. 影响器官分化的外界因素。</w:t>
      </w:r>
    </w:p>
    <w:p w14:paraId="79C53288"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8. 人工种子结构示意图绘制及包埋剂海藻酸钠的包埋原理。</w:t>
      </w:r>
    </w:p>
    <w:p w14:paraId="1D3092F4"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6B8264BE"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：全能性的概念；脱分化与再分化概念；形态发生、器官发生、体细胞胚发生、生长中心、拟分生组织等概念；体细胞胚的构造与特点；影响器官发生的外界因素；影响器官发生的内在因素。</w:t>
      </w:r>
    </w:p>
    <w:p w14:paraId="045FBF85"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：细胞脱分化的机理；细胞再分化的机理；各种形态建成途径名词概念；植株再生的各种途径；体细胞胚与合子胚在结构上的区别与联系；体细胞胚与器官发生的区别与联系。</w:t>
      </w:r>
    </w:p>
    <w:p w14:paraId="6842F368"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：细胞脱分化与再分化的环境条件控制；利用细胞学知识描述器官发生和体细胞胚发生的过程。</w:t>
      </w:r>
    </w:p>
    <w:p w14:paraId="6B80CF6B"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4.分析：</w:t>
      </w:r>
      <w:r>
        <w:rPr>
          <w:rFonts w:ascii="宋体" w:hAnsi="宋体" w:hint="eastAsia"/>
          <w:color w:val="000000" w:themeColor="text1"/>
          <w:szCs w:val="21"/>
        </w:rPr>
        <w:t>外源激素对细胞脱分化与再分化的调控作用。</w:t>
      </w:r>
    </w:p>
    <w:p w14:paraId="47A238A0" w14:textId="77777777" w:rsidR="00F5289E" w:rsidRDefault="00C91173">
      <w:pPr>
        <w:snapToGrid w:val="0"/>
        <w:spacing w:line="360" w:lineRule="auto"/>
        <w:ind w:firstLineChars="200" w:firstLine="422"/>
        <w:rPr>
          <w:rFonts w:ascii="宋体" w:hAnsi="宋体"/>
          <w:bCs/>
          <w:color w:val="000000" w:themeColor="text1"/>
          <w:szCs w:val="21"/>
        </w:rPr>
      </w:pPr>
      <w:r>
        <w:rPr>
          <w:rFonts w:ascii="宋体" w:hAnsi="宋体" w:hint="eastAsia"/>
          <w:b/>
          <w:color w:val="000000" w:themeColor="text1"/>
          <w:szCs w:val="21"/>
        </w:rPr>
        <w:t>5.综合</w:t>
      </w:r>
      <w:r>
        <w:rPr>
          <w:rFonts w:ascii="宋体" w:hAnsi="宋体" w:hint="eastAsia"/>
          <w:color w:val="000000" w:themeColor="text1"/>
          <w:szCs w:val="21"/>
        </w:rPr>
        <w:t>：</w:t>
      </w:r>
      <w:r>
        <w:rPr>
          <w:rFonts w:ascii="宋体" w:hAnsi="宋体" w:hint="eastAsia"/>
          <w:bCs/>
          <w:color w:val="000000" w:themeColor="text1"/>
          <w:szCs w:val="21"/>
        </w:rPr>
        <w:t>细胞全能性在植物组织培养外植体选取中的应用；器官发生的环境调控途径；提高体细胞胚形成的各种方法；植物激素在器官发生和体细胞胚发生中的作用。</w:t>
      </w:r>
    </w:p>
    <w:p w14:paraId="35633C99"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第三章  体细胞无性系变异</w:t>
      </w:r>
    </w:p>
    <w:p w14:paraId="3B1897B1"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39804089"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：植物组织培养中体细胞无性系变异现象；体细胞无性系变异细胞学与分子学机理。</w:t>
      </w:r>
    </w:p>
    <w:p w14:paraId="08389C71"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：体细胞无性系变异的概念与一般特点；体细胞无性系变异的诱导与选择。</w:t>
      </w:r>
    </w:p>
    <w:p w14:paraId="7ED65844"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：体细胞无性系变异频率与组织培养方式的关系；体细胞无性系变异与植物育种。</w:t>
      </w:r>
    </w:p>
    <w:p w14:paraId="000511E8"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5D8CA5A8"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体细胞无性系变异的概念与一般特点。</w:t>
      </w:r>
    </w:p>
    <w:p w14:paraId="77BBF698"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影响体细胞无性系变异的因素。</w:t>
      </w:r>
    </w:p>
    <w:p w14:paraId="00F027BF"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3. 体细胞无性系变异在植物育种中的应用。</w:t>
      </w:r>
    </w:p>
    <w:p w14:paraId="18318E0D"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40233D06"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：体细胞无性系变异的概念与一般特点；影响体细胞无性系变异的因素。</w:t>
      </w:r>
    </w:p>
    <w:p w14:paraId="22E8EC48"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：影响体细胞无性系变异的因素的遗传学基础；体细胞无性系变异的诱导与选择。</w:t>
      </w:r>
    </w:p>
    <w:p w14:paraId="5CBD40E6"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lastRenderedPageBreak/>
        <w:t>3.应用</w:t>
      </w:r>
      <w:r>
        <w:rPr>
          <w:rFonts w:ascii="宋体" w:hAnsi="宋体" w:hint="eastAsia"/>
          <w:color w:val="000000" w:themeColor="text1"/>
          <w:szCs w:val="21"/>
        </w:rPr>
        <w:t>：控制植物组织培养中体细胞无性系变异的方法和途径。</w:t>
      </w:r>
    </w:p>
    <w:p w14:paraId="636FA0FA"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4.综合</w:t>
      </w:r>
      <w:r>
        <w:rPr>
          <w:rFonts w:ascii="宋体" w:hAnsi="宋体" w:hint="eastAsia"/>
          <w:color w:val="000000" w:themeColor="text1"/>
          <w:szCs w:val="21"/>
        </w:rPr>
        <w:t>：利用培养方式、激素水平等影响因素控制体细胞无性系变异；体细胞无性系变异与园艺植物育种改良。</w:t>
      </w:r>
    </w:p>
    <w:p w14:paraId="4C7F8677"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第四章  植物脱毒与离体快繁</w:t>
      </w:r>
    </w:p>
    <w:p w14:paraId="53564F6F"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313224C0"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：品种退化的原因与脱毒的意义；植物脱毒技术的理论假说。</w:t>
      </w:r>
    </w:p>
    <w:p w14:paraId="6BB8A1E7"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：植物脱毒的概念与方法；影响脱毒效果的因素。</w:t>
      </w:r>
    </w:p>
    <w:p w14:paraId="2528180D"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：热处理脱毒的原理及操作技术规程；茎尖分生组织脱毒原理及操作技术规程；常见的园艺植物组织快速繁殖方式及其特点。</w:t>
      </w:r>
    </w:p>
    <w:p w14:paraId="0E2F6B64"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4C378570"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植物品种退化及其原因。</w:t>
      </w:r>
    </w:p>
    <w:p w14:paraId="0906F6AD"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植物脱毒技术概念与意义。</w:t>
      </w:r>
    </w:p>
    <w:p w14:paraId="6B320E48"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3. 植物脱毒的原理及技术规程。</w:t>
      </w:r>
    </w:p>
    <w:p w14:paraId="7A5ACC46"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4. 离体繁殖的流程、培养物增殖方式及其特点。</w:t>
      </w:r>
    </w:p>
    <w:p w14:paraId="085B9DD5"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3DC2A65B"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：品种退化原因与脱毒意义；植物离体繁殖技术的概念与内涵。</w:t>
      </w:r>
    </w:p>
    <w:p w14:paraId="6F74D0D0"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：植物脱毒的理论假说。</w:t>
      </w:r>
    </w:p>
    <w:p w14:paraId="6F7BC102"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：热处理脱毒和茎尖脱毒的基本方法和基本操作程序。</w:t>
      </w:r>
    </w:p>
    <w:p w14:paraId="79A856E5"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4.分析：</w:t>
      </w:r>
      <w:r>
        <w:rPr>
          <w:rFonts w:ascii="宋体" w:hAnsi="宋体" w:hint="eastAsia"/>
          <w:color w:val="000000" w:themeColor="text1"/>
          <w:szCs w:val="21"/>
        </w:rPr>
        <w:t>影响植物脱毒效果的因素及其控制方法。</w:t>
      </w:r>
    </w:p>
    <w:p w14:paraId="4A1A820E"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5.综合</w:t>
      </w:r>
      <w:r>
        <w:rPr>
          <w:rFonts w:ascii="宋体" w:hAnsi="宋体" w:hint="eastAsia"/>
          <w:color w:val="000000" w:themeColor="text1"/>
          <w:szCs w:val="21"/>
        </w:rPr>
        <w:t>：根据不同目的选择适宜离体繁殖技术；离体繁殖技术与无性系变异的控制。</w:t>
      </w:r>
    </w:p>
    <w:p w14:paraId="75FC3E75"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第五章  离体条件下的倍性操作技术</w:t>
      </w:r>
    </w:p>
    <w:p w14:paraId="68F4F381"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182E9660"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：单倍体在植物育种中的应用潜力；花粉和花药培养单倍体的起源。</w:t>
      </w:r>
    </w:p>
    <w:p w14:paraId="4E4B93AD"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：单倍体的概念与特点；植物形成单倍体的各种途径。</w:t>
      </w:r>
    </w:p>
    <w:p w14:paraId="446D3388"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：花药、花粉培养的概念的基本程序；花药、花粉培养的常用培养基、激素和取材时期；未授粉子房培养的一般程序。</w:t>
      </w:r>
    </w:p>
    <w:p w14:paraId="2C5EC086"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4A0C9F88"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单倍体的特点与应用领域。</w:t>
      </w:r>
    </w:p>
    <w:p w14:paraId="61510FDA"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2. 花药、花粉（小孢子）与未受精子房培养的一般程序及注意事项。</w:t>
      </w:r>
    </w:p>
    <w:p w14:paraId="7DDA0A2A"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30C4E3A5"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：单倍体的概念、特点和应用；花药、花粉（小孢子）和子房培养概念。</w:t>
      </w:r>
    </w:p>
    <w:p w14:paraId="0C5E0A7C"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：花药、花粉培养的一般程序；花药及花粉取样时期的确定。</w:t>
      </w:r>
    </w:p>
    <w:p w14:paraId="0EC4ECD9"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：花粉、花药、子房培养培养基的设计及单倍体植株再生。</w:t>
      </w:r>
    </w:p>
    <w:p w14:paraId="33BF0458"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4.综合</w:t>
      </w:r>
      <w:r>
        <w:rPr>
          <w:rFonts w:ascii="宋体" w:hAnsi="宋体" w:hint="eastAsia"/>
          <w:color w:val="000000" w:themeColor="text1"/>
          <w:szCs w:val="21"/>
        </w:rPr>
        <w:t>：提高花培植株再生效率的各种途径；未受精子房培养的在园艺植物育种中的应用潜</w:t>
      </w:r>
      <w:r>
        <w:rPr>
          <w:rFonts w:ascii="宋体" w:hAnsi="宋体" w:hint="eastAsia"/>
          <w:color w:val="000000" w:themeColor="text1"/>
          <w:szCs w:val="21"/>
        </w:rPr>
        <w:lastRenderedPageBreak/>
        <w:t>力。</w:t>
      </w:r>
    </w:p>
    <w:p w14:paraId="421670B2"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第六章  植物原生质体培养</w:t>
      </w:r>
    </w:p>
    <w:p w14:paraId="71EE3680"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5AADC489"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：原生质体培养的学术意义。</w:t>
      </w:r>
    </w:p>
    <w:p w14:paraId="5759954F"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：原生质体的概念、分类和基本特征。</w:t>
      </w:r>
    </w:p>
    <w:p w14:paraId="22C1D3DD"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：原生质体培养分离、纯化方法及植株再生的基本程序。</w:t>
      </w:r>
    </w:p>
    <w:p w14:paraId="00E988CD"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1A31C6D7"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原生质体的概念。</w:t>
      </w:r>
    </w:p>
    <w:p w14:paraId="02A5D996"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原生质体的分离、纯化方法。</w:t>
      </w:r>
    </w:p>
    <w:p w14:paraId="2F99064E"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3. 原生质体的活力检测方法。</w:t>
      </w:r>
    </w:p>
    <w:p w14:paraId="1C93A004"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666E78BA"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：原生质体的概念、特点和分类。</w:t>
      </w:r>
    </w:p>
    <w:p w14:paraId="371A73C4"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：原生质体再生植株的途径。</w:t>
      </w:r>
    </w:p>
    <w:p w14:paraId="0CD7EF7D"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：原生质体的分离纯化，通过原生质体培养获得再生植株。</w:t>
      </w:r>
    </w:p>
    <w:p w14:paraId="530B3440"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4.综合</w:t>
      </w:r>
      <w:r>
        <w:rPr>
          <w:rFonts w:ascii="宋体" w:hAnsi="宋体" w:hint="eastAsia"/>
          <w:color w:val="000000" w:themeColor="text1"/>
          <w:szCs w:val="21"/>
        </w:rPr>
        <w:t>：原生质体培养作为遗传转化体系的应用潜力。</w:t>
      </w:r>
    </w:p>
    <w:p w14:paraId="6FE04AAC" w14:textId="77777777" w:rsidR="00F5289E" w:rsidRDefault="00C91173">
      <w:pPr>
        <w:snapToGrid w:val="0"/>
        <w:spacing w:line="360" w:lineRule="auto"/>
        <w:ind w:firstLineChars="49" w:firstLine="103"/>
        <w:jc w:val="center"/>
        <w:rPr>
          <w:rFonts w:ascii="宋体" w:hAnsi="宋体"/>
          <w:b/>
          <w:color w:val="000000" w:themeColor="text1"/>
          <w:szCs w:val="21"/>
        </w:rPr>
      </w:pPr>
      <w:r>
        <w:rPr>
          <w:rFonts w:ascii="宋体" w:hAnsi="宋体" w:hint="eastAsia"/>
          <w:b/>
          <w:color w:val="000000" w:themeColor="text1"/>
          <w:szCs w:val="21"/>
        </w:rPr>
        <w:t>第七章  植物原生质体融合</w:t>
      </w:r>
    </w:p>
    <w:p w14:paraId="0A9D9702"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（一）学习目标</w:t>
      </w:r>
    </w:p>
    <w:p w14:paraId="5AB6D834"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1. 一般了解</w:t>
      </w:r>
      <w:r>
        <w:rPr>
          <w:rFonts w:ascii="宋体" w:hAnsi="宋体" w:hint="eastAsia"/>
          <w:color w:val="000000" w:themeColor="text1"/>
          <w:szCs w:val="21"/>
        </w:rPr>
        <w:t>：原生质体融合技术的发展历程；细胞融合技术在种质创新中的作用。</w:t>
      </w:r>
    </w:p>
    <w:p w14:paraId="339130BD"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：原生质体融合技术的基本原理与过程；杂种植株的检测方法。</w:t>
      </w:r>
    </w:p>
    <w:p w14:paraId="64078113"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：原生质体融合的操作技术规范。</w:t>
      </w:r>
    </w:p>
    <w:p w14:paraId="0EEF9B82" w14:textId="77777777" w:rsidR="00F5289E" w:rsidRDefault="00C91173">
      <w:pPr>
        <w:snapToGrid w:val="0"/>
        <w:spacing w:line="360" w:lineRule="auto"/>
        <w:rPr>
          <w:rFonts w:ascii="宋体" w:hAnsi="宋体"/>
          <w:color w:val="000000" w:themeColor="text1"/>
          <w:szCs w:val="21"/>
        </w:rPr>
      </w:pPr>
      <w:r>
        <w:rPr>
          <w:rFonts w:ascii="宋体" w:hAnsi="宋体" w:hint="eastAsia"/>
          <w:b/>
          <w:color w:val="000000" w:themeColor="text1"/>
          <w:szCs w:val="21"/>
        </w:rPr>
        <w:t>（二）考核内容</w:t>
      </w:r>
    </w:p>
    <w:p w14:paraId="192D8965"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原生质体融合技术的基本原理和操作程序。</w:t>
      </w:r>
    </w:p>
    <w:p w14:paraId="02FC9FE4"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bCs/>
          <w:color w:val="000000" w:themeColor="text1"/>
          <w:szCs w:val="21"/>
        </w:rPr>
        <w:t>2. 融合子的成分及杂种植株的检测技术。</w:t>
      </w:r>
    </w:p>
    <w:p w14:paraId="308EAA26" w14:textId="77777777" w:rsidR="00F5289E" w:rsidRDefault="00C91173">
      <w:pPr>
        <w:snapToGrid w:val="0"/>
        <w:spacing w:line="360" w:lineRule="auto"/>
        <w:rPr>
          <w:rFonts w:ascii="宋体" w:hAnsi="宋体"/>
          <w:b/>
          <w:color w:val="000000" w:themeColor="text1"/>
          <w:szCs w:val="21"/>
        </w:rPr>
      </w:pPr>
      <w:r>
        <w:rPr>
          <w:rFonts w:ascii="宋体" w:hAnsi="宋体" w:hint="eastAsia"/>
          <w:b/>
          <w:color w:val="000000" w:themeColor="text1"/>
          <w:szCs w:val="21"/>
        </w:rPr>
        <w:t>（三）考核要求</w:t>
      </w:r>
    </w:p>
    <w:p w14:paraId="6C222FBF"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1.识记</w:t>
      </w:r>
      <w:r>
        <w:rPr>
          <w:rFonts w:ascii="宋体" w:hAnsi="宋体" w:hint="eastAsia"/>
          <w:color w:val="000000" w:themeColor="text1"/>
          <w:szCs w:val="21"/>
        </w:rPr>
        <w:t>：原生质体融合的技术原理。</w:t>
      </w:r>
    </w:p>
    <w:p w14:paraId="768EAF37" w14:textId="77777777" w:rsidR="00F5289E" w:rsidRDefault="00C91173">
      <w:pPr>
        <w:snapToGrid w:val="0"/>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2.领会</w:t>
      </w:r>
      <w:r>
        <w:rPr>
          <w:rFonts w:ascii="宋体" w:hAnsi="宋体" w:hint="eastAsia"/>
          <w:color w:val="000000" w:themeColor="text1"/>
          <w:szCs w:val="21"/>
        </w:rPr>
        <w:t>：融合子的分裂、生长及植株再生。</w:t>
      </w:r>
    </w:p>
    <w:p w14:paraId="5AE4C27F"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3.应用</w:t>
      </w:r>
      <w:r>
        <w:rPr>
          <w:rFonts w:ascii="宋体" w:hAnsi="宋体" w:hint="eastAsia"/>
          <w:color w:val="000000" w:themeColor="text1"/>
          <w:szCs w:val="21"/>
        </w:rPr>
        <w:t>：原生质体融合方法；杂种植株的检测。</w:t>
      </w:r>
    </w:p>
    <w:p w14:paraId="1506632C" w14:textId="77777777" w:rsidR="00F5289E" w:rsidRDefault="00C91173">
      <w:pPr>
        <w:snapToGrid w:val="0"/>
        <w:spacing w:line="360" w:lineRule="auto"/>
        <w:ind w:firstLineChars="200" w:firstLine="422"/>
        <w:rPr>
          <w:rFonts w:ascii="宋体" w:hAnsi="宋体"/>
          <w:color w:val="000000" w:themeColor="text1"/>
          <w:szCs w:val="21"/>
        </w:rPr>
      </w:pPr>
      <w:r>
        <w:rPr>
          <w:rFonts w:ascii="宋体" w:hAnsi="宋体" w:hint="eastAsia"/>
          <w:b/>
          <w:color w:val="000000" w:themeColor="text1"/>
          <w:szCs w:val="21"/>
        </w:rPr>
        <w:t>4.综合</w:t>
      </w:r>
      <w:r>
        <w:rPr>
          <w:rFonts w:ascii="宋体" w:hAnsi="宋体" w:hint="eastAsia"/>
          <w:color w:val="000000" w:themeColor="text1"/>
          <w:szCs w:val="21"/>
        </w:rPr>
        <w:t>：细胞融合技术在植物远缘杂交中的应用。</w:t>
      </w:r>
    </w:p>
    <w:p w14:paraId="31174B14" w14:textId="77777777" w:rsidR="00F5289E" w:rsidRDefault="00C91173">
      <w:pPr>
        <w:pStyle w:val="a9"/>
        <w:spacing w:line="360" w:lineRule="auto"/>
        <w:rPr>
          <w:b/>
          <w:bCs/>
        </w:rPr>
      </w:pPr>
      <w:r>
        <w:rPr>
          <w:rFonts w:hint="eastAsia"/>
          <w:b/>
          <w:bCs/>
        </w:rPr>
        <w:t>三、实验、实习教学部分的考核要求</w:t>
      </w:r>
    </w:p>
    <w:p w14:paraId="65A80BAA" w14:textId="77777777" w:rsidR="00F5289E" w:rsidRDefault="00C91173">
      <w:pPr>
        <w:widowControl/>
        <w:adjustRightInd w:val="0"/>
        <w:snapToGrid w:val="0"/>
        <w:spacing w:line="360" w:lineRule="auto"/>
        <w:ind w:firstLineChars="200" w:firstLine="420"/>
        <w:jc w:val="left"/>
        <w:rPr>
          <w:rFonts w:ascii="宋体" w:hAnsi="宋体" w:cs="宋体"/>
          <w:bCs/>
          <w:color w:val="000000" w:themeColor="text1"/>
          <w:kern w:val="0"/>
          <w:szCs w:val="21"/>
        </w:rPr>
      </w:pPr>
      <w:r>
        <w:rPr>
          <w:rFonts w:ascii="宋体" w:hAnsi="宋体" w:cs="宋体" w:hint="eastAsia"/>
          <w:bCs/>
          <w:color w:val="000000" w:themeColor="text1"/>
          <w:kern w:val="0"/>
          <w:szCs w:val="21"/>
        </w:rPr>
        <w:t>1.</w:t>
      </w:r>
      <w:r>
        <w:rPr>
          <w:rFonts w:hint="eastAsia"/>
          <w:color w:val="000000" w:themeColor="text1"/>
        </w:rPr>
        <w:t xml:space="preserve"> </w:t>
      </w:r>
      <w:r>
        <w:rPr>
          <w:rFonts w:ascii="宋体" w:hAnsi="宋体" w:cs="宋体" w:hint="eastAsia"/>
          <w:bCs/>
          <w:color w:val="000000" w:themeColor="text1"/>
          <w:kern w:val="0"/>
          <w:szCs w:val="21"/>
        </w:rPr>
        <w:t>考核</w:t>
      </w:r>
    </w:p>
    <w:p w14:paraId="7AD46AF2" w14:textId="77777777" w:rsidR="00F5289E" w:rsidRDefault="00C91173">
      <w:pPr>
        <w:widowControl/>
        <w:adjustRightInd w:val="0"/>
        <w:snapToGrid w:val="0"/>
        <w:spacing w:line="360" w:lineRule="auto"/>
        <w:ind w:firstLineChars="200" w:firstLine="420"/>
        <w:jc w:val="left"/>
        <w:rPr>
          <w:rFonts w:ascii="宋体" w:hAnsi="宋体" w:cs="宋体"/>
          <w:bCs/>
          <w:color w:val="000000" w:themeColor="text1"/>
          <w:kern w:val="0"/>
          <w:szCs w:val="21"/>
        </w:rPr>
      </w:pPr>
      <w:r>
        <w:rPr>
          <w:rFonts w:ascii="宋体" w:hAnsi="宋体" w:cs="宋体" w:hint="eastAsia"/>
          <w:bCs/>
          <w:color w:val="000000" w:themeColor="text1"/>
          <w:kern w:val="0"/>
          <w:szCs w:val="21"/>
        </w:rPr>
        <w:t>考核方式：考查。评分标准：实验态度、实验纪律占20%，预习与操作过程占40%，实验报告占40%。每次实验按评分标准实行100分记成绩。实验部分总成绩由各次实验成绩综合后按总分≤30分计入课程总成绩。</w:t>
      </w:r>
    </w:p>
    <w:p w14:paraId="4217BF39" w14:textId="77777777" w:rsidR="00F5289E" w:rsidRDefault="00C91173">
      <w:pPr>
        <w:widowControl/>
        <w:adjustRightInd w:val="0"/>
        <w:snapToGrid w:val="0"/>
        <w:spacing w:line="360" w:lineRule="auto"/>
        <w:ind w:firstLineChars="200" w:firstLine="420"/>
        <w:jc w:val="left"/>
        <w:rPr>
          <w:rFonts w:ascii="宋体" w:hAnsi="宋体"/>
          <w:color w:val="000000" w:themeColor="text1"/>
          <w:szCs w:val="21"/>
        </w:rPr>
      </w:pPr>
      <w:r>
        <w:rPr>
          <w:rFonts w:ascii="宋体" w:hAnsi="宋体" w:cs="宋体" w:hint="eastAsia"/>
          <w:bCs/>
          <w:color w:val="000000" w:themeColor="text1"/>
          <w:kern w:val="0"/>
          <w:szCs w:val="21"/>
        </w:rPr>
        <w:t>2.</w:t>
      </w:r>
      <w:r>
        <w:rPr>
          <w:rFonts w:hint="eastAsia"/>
          <w:color w:val="000000" w:themeColor="text1"/>
        </w:rPr>
        <w:t xml:space="preserve"> </w:t>
      </w:r>
      <w:r>
        <w:rPr>
          <w:rFonts w:ascii="宋体" w:hAnsi="宋体" w:cs="宋体" w:hint="eastAsia"/>
          <w:bCs/>
          <w:color w:val="000000" w:themeColor="text1"/>
          <w:kern w:val="0"/>
          <w:szCs w:val="21"/>
        </w:rPr>
        <w:t>报告要求</w:t>
      </w:r>
    </w:p>
    <w:p w14:paraId="240FCA8C" w14:textId="77777777" w:rsidR="00F5289E" w:rsidRDefault="00C91173">
      <w:pPr>
        <w:widowControl/>
        <w:adjustRightInd w:val="0"/>
        <w:snapToGrid w:val="0"/>
        <w:spacing w:line="360" w:lineRule="auto"/>
        <w:ind w:firstLineChars="200" w:firstLine="420"/>
        <w:jc w:val="left"/>
        <w:rPr>
          <w:rFonts w:ascii="宋体" w:hAnsi="宋体" w:cs="宋体"/>
          <w:bCs/>
          <w:color w:val="000000" w:themeColor="text1"/>
          <w:kern w:val="0"/>
          <w:szCs w:val="21"/>
        </w:rPr>
      </w:pPr>
      <w:r>
        <w:rPr>
          <w:rFonts w:ascii="宋体" w:hAnsi="宋体" w:cs="宋体" w:hint="eastAsia"/>
          <w:bCs/>
          <w:color w:val="000000" w:themeColor="text1"/>
          <w:kern w:val="0"/>
          <w:szCs w:val="21"/>
        </w:rPr>
        <w:lastRenderedPageBreak/>
        <w:t>如实填写实验报告，文字精炼，讨论认真。实验步骤不要照搬，在实验前要做好充分的预习与准备。实验报告使用河南农业大学实验报告纸书写。</w:t>
      </w:r>
    </w:p>
    <w:p w14:paraId="0CDA125D" w14:textId="77777777" w:rsidR="00F5289E" w:rsidRDefault="00C91173">
      <w:pPr>
        <w:pStyle w:val="a9"/>
        <w:spacing w:line="360" w:lineRule="auto"/>
        <w:rPr>
          <w:b/>
          <w:bCs/>
        </w:rPr>
      </w:pPr>
      <w:r>
        <w:rPr>
          <w:rFonts w:hint="eastAsia"/>
          <w:b/>
          <w:bCs/>
        </w:rPr>
        <w:t>四、考核方式</w:t>
      </w:r>
    </w:p>
    <w:p w14:paraId="24FF216D"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1.考试方法：</w:t>
      </w:r>
    </w:p>
    <w:p w14:paraId="6AB20971" w14:textId="50EAA933"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（1）理论教学采用</w:t>
      </w:r>
      <w:r w:rsidR="00FD5ACC">
        <w:rPr>
          <w:rFonts w:ascii="宋体" w:hAnsi="宋体" w:hint="eastAsia"/>
          <w:bCs/>
          <w:color w:val="000000" w:themeColor="text1"/>
          <w:szCs w:val="21"/>
        </w:rPr>
        <w:t>考核制；</w:t>
      </w:r>
    </w:p>
    <w:p w14:paraId="4B2132C1" w14:textId="79A7FBFE"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（2）考试成绩计算方法：平时成绩（相关教学活动、实验）占</w:t>
      </w:r>
      <w:r w:rsidR="00FD5ACC">
        <w:rPr>
          <w:rFonts w:ascii="宋体" w:hAnsi="宋体"/>
          <w:bCs/>
          <w:color w:val="000000" w:themeColor="text1"/>
          <w:szCs w:val="21"/>
        </w:rPr>
        <w:t>6</w:t>
      </w:r>
      <w:r>
        <w:rPr>
          <w:rFonts w:ascii="宋体" w:hAnsi="宋体" w:hint="eastAsia"/>
          <w:bCs/>
          <w:color w:val="000000" w:themeColor="text1"/>
          <w:szCs w:val="21"/>
        </w:rPr>
        <w:t>0%，期末考试成绩占</w:t>
      </w:r>
      <w:r w:rsidR="00FD5ACC">
        <w:rPr>
          <w:rFonts w:ascii="宋体" w:hAnsi="宋体"/>
          <w:bCs/>
          <w:color w:val="000000" w:themeColor="text1"/>
          <w:szCs w:val="21"/>
        </w:rPr>
        <w:t>4</w:t>
      </w:r>
      <w:r>
        <w:rPr>
          <w:rFonts w:ascii="宋体" w:hAnsi="宋体" w:hint="eastAsia"/>
          <w:bCs/>
          <w:color w:val="000000" w:themeColor="text1"/>
          <w:szCs w:val="21"/>
        </w:rPr>
        <w:t>0%。</w:t>
      </w:r>
    </w:p>
    <w:p w14:paraId="53A4F5DF"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2.过程性评价：</w:t>
      </w:r>
    </w:p>
    <w:p w14:paraId="7A794B18"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在教学过程中使用各种评价方法应有利于教学活动的开展，有利于学生综合能力的提高，应简单易行，既要避免使用过于繁琐的程序而干扰日常教学，又要防止评价流于形式。</w:t>
      </w:r>
    </w:p>
    <w:p w14:paraId="1A42C4D1"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（1）定量评价与定性评价相结合</w:t>
      </w:r>
    </w:p>
    <w:p w14:paraId="0E854B63"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定量评价可采用百分制或等级制的方式。定量评价的形式有标准化作业、开放性作业等。定性评价可以采取问卷调查、表现性评价等方法，使用激励性语言全面、客观地描述学生的状况。</w:t>
      </w:r>
    </w:p>
    <w:p w14:paraId="2AA9D70E"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（2）书面测试与试验操作技能测试相结合</w:t>
      </w:r>
    </w:p>
    <w:p w14:paraId="50ABEF81"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根据不同学习内容模块的目标要求，书面测试与试验操作技能测试应结合实施。试验操作技能测试应着重强调学生的操作能力、动手能力，不过分强调数量。书面测试应适当减少客观题，增加有助于学生思维表达的主观题，以检测学生的综合知识运用能力。</w:t>
      </w:r>
    </w:p>
    <w:p w14:paraId="6F100346"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（3）课内与课外相结合</w:t>
      </w:r>
    </w:p>
    <w:p w14:paraId="545A8559" w14:textId="77777777" w:rsidR="00F5289E" w:rsidRDefault="00C91173">
      <w:pPr>
        <w:spacing w:line="360" w:lineRule="auto"/>
        <w:ind w:firstLineChars="154" w:firstLine="323"/>
        <w:rPr>
          <w:rFonts w:ascii="宋体" w:hAnsi="宋体"/>
          <w:bCs/>
          <w:color w:val="000000" w:themeColor="text1"/>
          <w:szCs w:val="21"/>
        </w:rPr>
      </w:pPr>
      <w:r>
        <w:rPr>
          <w:rFonts w:ascii="宋体" w:hAnsi="宋体" w:hint="eastAsia"/>
          <w:bCs/>
          <w:color w:val="000000" w:themeColor="text1"/>
          <w:szCs w:val="21"/>
        </w:rPr>
        <w:t>课内与课外评价相结合，引导学生利用课余时间进行进一步的学习、巩固和提高专业知识。</w:t>
      </w:r>
    </w:p>
    <w:p w14:paraId="2FBA76FB" w14:textId="77777777" w:rsidR="00F5289E" w:rsidRDefault="00C91173">
      <w:pPr>
        <w:pStyle w:val="a9"/>
        <w:spacing w:line="360" w:lineRule="auto"/>
        <w:rPr>
          <w:b/>
          <w:bCs/>
        </w:rPr>
      </w:pPr>
      <w:r>
        <w:rPr>
          <w:rFonts w:hint="eastAsia"/>
          <w:b/>
          <w:bCs/>
        </w:rPr>
        <w:t>五、成绩评定</w:t>
      </w:r>
    </w:p>
    <w:p w14:paraId="652018B5" w14:textId="0D255209" w:rsidR="00FD5ACC" w:rsidRDefault="00FD5ACC" w:rsidP="00FD5ACC">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1.平时成绩 10%</w:t>
      </w:r>
    </w:p>
    <w:p w14:paraId="1B60C3F4" w14:textId="77777777" w:rsidR="00FD5ACC" w:rsidRDefault="00FD5ACC" w:rsidP="00FD5ACC">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（1）加强学风建设，严肃课堂纪律，学生考勤计入平时成绩计算方法。</w:t>
      </w:r>
    </w:p>
    <w:p w14:paraId="6A4A2634" w14:textId="77777777" w:rsidR="00FD5ACC" w:rsidRDefault="00FD5ACC" w:rsidP="00FD5ACC">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（2）鼓励学生参与创新创业活动，调动学生积极性。学生参与讨论、作业等教学内容相关活动，每项活动设定不同分数，通过教学辅助软件后台导出数据，计入平时成绩计算方法。</w:t>
      </w:r>
    </w:p>
    <w:p w14:paraId="39A88C6E" w14:textId="77777777" w:rsidR="00FD5ACC" w:rsidRDefault="00FD5ACC" w:rsidP="00FD5ACC">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2.实验成绩20%</w:t>
      </w:r>
    </w:p>
    <w:p w14:paraId="12203540" w14:textId="77777777" w:rsidR="00FD5ACC" w:rsidRDefault="00FD5ACC" w:rsidP="00FD5ACC">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每次实验课依据学生完成程度进行评分，占比20%。</w:t>
      </w:r>
    </w:p>
    <w:p w14:paraId="78A79131" w14:textId="77777777" w:rsidR="00FD5ACC" w:rsidRDefault="00FD5ACC" w:rsidP="00FD5ACC">
      <w:pPr>
        <w:snapToGrid w:val="0"/>
        <w:spacing w:line="360" w:lineRule="auto"/>
        <w:ind w:firstLineChars="200" w:firstLine="420"/>
        <w:rPr>
          <w:rFonts w:ascii="宋体" w:hAnsi="宋体"/>
          <w:bCs/>
          <w:color w:val="000000" w:themeColor="text1"/>
          <w:szCs w:val="21"/>
        </w:rPr>
      </w:pPr>
      <w:r>
        <w:rPr>
          <w:rFonts w:ascii="宋体" w:hAnsi="宋体" w:hint="eastAsia"/>
          <w:color w:val="000000" w:themeColor="text1"/>
        </w:rPr>
        <w:t>3.翻转课堂30%</w:t>
      </w:r>
    </w:p>
    <w:p w14:paraId="4F7A06CD" w14:textId="77777777" w:rsidR="00FD5ACC" w:rsidRDefault="00FD5ACC" w:rsidP="00FD5ACC">
      <w:pPr>
        <w:snapToGrid w:val="0"/>
        <w:spacing w:line="360" w:lineRule="auto"/>
        <w:ind w:firstLineChars="200" w:firstLine="420"/>
        <w:rPr>
          <w:rFonts w:ascii="宋体" w:hAnsi="宋体"/>
          <w:color w:val="000000" w:themeColor="text1"/>
          <w:szCs w:val="21"/>
        </w:rPr>
      </w:pPr>
      <w:r w:rsidRPr="00717D80">
        <w:rPr>
          <w:szCs w:val="21"/>
        </w:rPr>
        <w:t>分小组进行课程相关内容</w:t>
      </w:r>
      <w:r w:rsidRPr="00717D80">
        <w:rPr>
          <w:rFonts w:hint="eastAsia"/>
          <w:szCs w:val="21"/>
        </w:rPr>
        <w:t>的</w:t>
      </w:r>
      <w:r w:rsidRPr="00717D80">
        <w:rPr>
          <w:rFonts w:hint="eastAsia"/>
          <w:szCs w:val="21"/>
        </w:rPr>
        <w:t>PPT</w:t>
      </w:r>
      <w:r>
        <w:rPr>
          <w:rFonts w:hint="eastAsia"/>
          <w:szCs w:val="21"/>
        </w:rPr>
        <w:t>制作及</w:t>
      </w:r>
      <w:r w:rsidRPr="00717D80">
        <w:rPr>
          <w:szCs w:val="21"/>
        </w:rPr>
        <w:t>讲解，占比</w:t>
      </w:r>
      <w:r w:rsidRPr="00CC0451">
        <w:rPr>
          <w:rFonts w:asciiTheme="minorEastAsia" w:eastAsiaTheme="minorEastAsia" w:hAnsiTheme="minorEastAsia" w:hint="eastAsia"/>
          <w:szCs w:val="21"/>
        </w:rPr>
        <w:t>3</w:t>
      </w:r>
      <w:r w:rsidRPr="00CC0451">
        <w:rPr>
          <w:rFonts w:asciiTheme="minorEastAsia" w:eastAsiaTheme="minorEastAsia" w:hAnsiTheme="minorEastAsia"/>
          <w:szCs w:val="21"/>
        </w:rPr>
        <w:t>0%</w:t>
      </w:r>
      <w:r w:rsidRPr="00717D80">
        <w:rPr>
          <w:szCs w:val="21"/>
        </w:rPr>
        <w:t>。</w:t>
      </w:r>
    </w:p>
    <w:p w14:paraId="1763C602" w14:textId="77777777" w:rsidR="00FD5ACC" w:rsidRDefault="00FD5ACC" w:rsidP="00FD5ACC">
      <w:pPr>
        <w:snapToGrid w:val="0"/>
        <w:spacing w:line="360" w:lineRule="auto"/>
        <w:ind w:firstLineChars="200" w:firstLine="420"/>
        <w:rPr>
          <w:rFonts w:ascii="宋体" w:hAnsi="宋体"/>
          <w:bCs/>
          <w:color w:val="000000" w:themeColor="text1"/>
          <w:szCs w:val="21"/>
        </w:rPr>
      </w:pPr>
      <w:r>
        <w:rPr>
          <w:rFonts w:ascii="宋体" w:hAnsi="宋体" w:hint="eastAsia"/>
          <w:color w:val="000000" w:themeColor="text1"/>
        </w:rPr>
        <w:t>4.期末成绩40%</w:t>
      </w:r>
    </w:p>
    <w:p w14:paraId="69B004E7" w14:textId="77777777" w:rsidR="00FD5ACC" w:rsidRDefault="00FD5ACC" w:rsidP="00FD5ACC">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期末考试采用课程论文，占比40%。</w:t>
      </w:r>
    </w:p>
    <w:p w14:paraId="20B90B61" w14:textId="77777777" w:rsidR="00FD5ACC" w:rsidRDefault="00FD5ACC" w:rsidP="00FD5ACC">
      <w:pPr>
        <w:snapToGrid w:val="0"/>
        <w:spacing w:line="360" w:lineRule="auto"/>
        <w:ind w:firstLineChars="200" w:firstLine="420"/>
        <w:rPr>
          <w:rFonts w:ascii="宋体" w:hAnsi="宋体"/>
          <w:bCs/>
          <w:color w:val="000000" w:themeColor="text1"/>
          <w:szCs w:val="21"/>
        </w:rPr>
      </w:pPr>
      <w:r>
        <w:rPr>
          <w:rFonts w:ascii="宋体" w:hAnsi="宋体" w:hint="eastAsia"/>
          <w:color w:val="000000" w:themeColor="text1"/>
        </w:rPr>
        <w:t>5.综合成绩</w:t>
      </w:r>
    </w:p>
    <w:p w14:paraId="6C9986E8" w14:textId="1BD3315F" w:rsidR="00F5289E" w:rsidRPr="00FD5ACC" w:rsidRDefault="00FD5ACC" w:rsidP="00FD5ACC">
      <w:pPr>
        <w:snapToGrid w:val="0"/>
        <w:spacing w:line="360" w:lineRule="auto"/>
        <w:ind w:firstLineChars="200" w:firstLine="420"/>
        <w:rPr>
          <w:rFonts w:ascii="宋体" w:hAnsi="宋体" w:hint="eastAsia"/>
          <w:bCs/>
          <w:color w:val="000000" w:themeColor="text1"/>
          <w:szCs w:val="21"/>
        </w:rPr>
      </w:pPr>
      <w:r w:rsidRPr="00CC0451">
        <w:rPr>
          <w:rFonts w:ascii="宋体" w:hAnsi="宋体" w:hint="eastAsia"/>
          <w:bCs/>
          <w:color w:val="000000" w:themeColor="text1"/>
          <w:szCs w:val="21"/>
        </w:rPr>
        <w:t>过程性评价60%（平时成绩10%+实验成绩20%+翻转课堂30%）+终结性评价40%（期末课程论</w:t>
      </w:r>
      <w:r w:rsidRPr="00CC0451">
        <w:rPr>
          <w:rFonts w:ascii="宋体" w:hAnsi="宋体" w:hint="eastAsia"/>
          <w:bCs/>
          <w:color w:val="000000" w:themeColor="text1"/>
          <w:szCs w:val="21"/>
        </w:rPr>
        <w:lastRenderedPageBreak/>
        <w:t>文成绩）</w:t>
      </w:r>
      <w:r>
        <w:rPr>
          <w:rFonts w:ascii="宋体" w:hAnsi="宋体" w:hint="eastAsia"/>
          <w:bCs/>
          <w:color w:val="000000" w:themeColor="text1"/>
          <w:szCs w:val="21"/>
        </w:rPr>
        <w:t>。</w:t>
      </w:r>
    </w:p>
    <w:p w14:paraId="58D96FC9" w14:textId="77777777" w:rsidR="00F5289E" w:rsidRDefault="00C91173">
      <w:pPr>
        <w:pStyle w:val="a9"/>
        <w:spacing w:line="360" w:lineRule="auto"/>
        <w:rPr>
          <w:b/>
          <w:bCs/>
        </w:rPr>
      </w:pPr>
      <w:r>
        <w:rPr>
          <w:rFonts w:hint="eastAsia"/>
          <w:b/>
          <w:bCs/>
        </w:rPr>
        <w:t>六、考核结果分析反馈</w:t>
      </w:r>
    </w:p>
    <w:p w14:paraId="28A25573" w14:textId="77777777" w:rsidR="00F5289E" w:rsidRDefault="00C91173">
      <w:pPr>
        <w:snapToGrid w:val="0"/>
        <w:spacing w:line="360" w:lineRule="auto"/>
        <w:ind w:firstLineChars="200" w:firstLine="420"/>
        <w:rPr>
          <w:rFonts w:hAnsi="宋体"/>
          <w:bCs/>
          <w:color w:val="000000" w:themeColor="text1"/>
          <w:szCs w:val="21"/>
        </w:rPr>
      </w:pPr>
      <w:r>
        <w:rPr>
          <w:rFonts w:hAnsi="宋体" w:hint="eastAsia"/>
          <w:bCs/>
          <w:color w:val="000000" w:themeColor="text1"/>
          <w:szCs w:val="21"/>
        </w:rPr>
        <w:t>由于本课程涉及的理论知识和实验操作技能相对较多，为了让学生更好的掌握园艺植物组织培养的基本原理和技术，有必要及时跟踪了解学生的学习情况。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14:paraId="76B4F809" w14:textId="77777777" w:rsidR="00F5289E" w:rsidRDefault="00C91173">
      <w:pPr>
        <w:snapToGrid w:val="0"/>
        <w:spacing w:line="360" w:lineRule="auto"/>
        <w:ind w:firstLineChars="200" w:firstLine="420"/>
        <w:rPr>
          <w:rFonts w:hAnsi="宋体"/>
          <w:bCs/>
          <w:color w:val="000000" w:themeColor="text1"/>
          <w:szCs w:val="21"/>
        </w:rPr>
      </w:pPr>
      <w:r>
        <w:rPr>
          <w:rFonts w:hAnsi="宋体" w:hint="eastAsia"/>
          <w:bCs/>
          <w:color w:val="000000" w:themeColor="text1"/>
          <w:szCs w:val="21"/>
        </w:rPr>
        <w:t xml:space="preserve">1. </w:t>
      </w:r>
      <w:r>
        <w:rPr>
          <w:rFonts w:hAnsi="宋体" w:hint="eastAsia"/>
          <w:bCs/>
          <w:color w:val="000000" w:themeColor="text1"/>
          <w:szCs w:val="21"/>
        </w:rPr>
        <w:t>考核结果分析</w:t>
      </w:r>
    </w:p>
    <w:p w14:paraId="179C7A9E" w14:textId="77777777" w:rsidR="00F5289E" w:rsidRDefault="00C91173">
      <w:pPr>
        <w:snapToGrid w:val="0"/>
        <w:spacing w:line="360" w:lineRule="auto"/>
        <w:ind w:firstLineChars="200" w:firstLine="420"/>
        <w:rPr>
          <w:rFonts w:hAnsi="宋体"/>
          <w:color w:val="000000" w:themeColor="text1"/>
          <w:szCs w:val="21"/>
        </w:rPr>
      </w:pPr>
      <w:r>
        <w:rPr>
          <w:rFonts w:hAnsi="宋体" w:hint="eastAsia"/>
          <w:bCs/>
          <w:color w:val="000000" w:themeColor="text1"/>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考核结果</w:t>
      </w:r>
      <w:r>
        <w:rPr>
          <w:rFonts w:hAnsi="宋体"/>
          <w:color w:val="000000" w:themeColor="text1"/>
          <w:szCs w:val="21"/>
        </w:rPr>
        <w:t>如何向学生反馈</w:t>
      </w:r>
      <w:r>
        <w:rPr>
          <w:rFonts w:hAnsi="宋体" w:hint="eastAsia"/>
          <w:color w:val="000000" w:themeColor="text1"/>
          <w:szCs w:val="21"/>
        </w:rPr>
        <w:t>。</w:t>
      </w:r>
    </w:p>
    <w:p w14:paraId="6918B0ED"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 xml:space="preserve">2. </w:t>
      </w:r>
      <w:r>
        <w:rPr>
          <w:rFonts w:hAnsi="宋体" w:hint="eastAsia"/>
          <w:color w:val="000000" w:themeColor="text1"/>
          <w:szCs w:val="21"/>
        </w:rPr>
        <w:t>考核结果反馈</w:t>
      </w:r>
    </w:p>
    <w:p w14:paraId="73485068" w14:textId="77777777" w:rsidR="00F5289E" w:rsidRDefault="00C91173">
      <w:pPr>
        <w:snapToGrid w:val="0"/>
        <w:spacing w:line="360" w:lineRule="auto"/>
        <w:ind w:firstLineChars="200" w:firstLine="420"/>
        <w:rPr>
          <w:rFonts w:ascii="宋体" w:hAnsi="宋体"/>
          <w:color w:val="0000FF"/>
          <w:szCs w:val="21"/>
        </w:rPr>
      </w:pPr>
      <w:r>
        <w:rPr>
          <w:rFonts w:hAnsi="宋体" w:hint="eastAsia"/>
          <w:color w:val="000000" w:themeColor="text1"/>
          <w:szCs w:val="21"/>
        </w:rPr>
        <w:t>针对本门课程提高学生园艺植物组织培养综合素质的教学目标，考核形式分为理论课教学考核与实验课考核。针对理论课教学考核，反馈形式体现在平时的教学过程中，采用课堂集中形式对考核结果的共性问题进行统一讲解，查找原因。例如：离体形态建成的调控、无性系变异的应用等。对于实验课考核，反馈形式体现在学生对实验的熟练操作的掌握上。针对考核结果分析中成绩严重偏态分布的情况，应及时调整教学内容、教学方法、强化过程性考核。</w:t>
      </w:r>
    </w:p>
    <w:p w14:paraId="38419D98" w14:textId="77777777" w:rsidR="00F5289E" w:rsidRDefault="00C91173">
      <w:pPr>
        <w:widowControl/>
        <w:jc w:val="left"/>
        <w:rPr>
          <w:rFonts w:ascii="宋体" w:hAnsi="宋体"/>
          <w:b/>
          <w:sz w:val="28"/>
          <w:szCs w:val="28"/>
        </w:rPr>
      </w:pPr>
      <w:r>
        <w:rPr>
          <w:rFonts w:ascii="宋体" w:hAnsi="宋体"/>
          <w:b/>
          <w:sz w:val="28"/>
          <w:szCs w:val="28"/>
        </w:rPr>
        <w:br w:type="page"/>
      </w:r>
    </w:p>
    <w:p w14:paraId="484794C7" w14:textId="77777777" w:rsidR="00F5289E" w:rsidRDefault="00C91173">
      <w:pPr>
        <w:pStyle w:val="1"/>
      </w:pPr>
      <w:bookmarkStart w:id="206" w:name="_Toc138606297"/>
      <w:r>
        <w:rPr>
          <w:rFonts w:hint="eastAsia"/>
        </w:rPr>
        <w:lastRenderedPageBreak/>
        <w:t>园艺植物生物技术考核大纲</w:t>
      </w:r>
      <w:bookmarkEnd w:id="206"/>
      <w:r>
        <w:rPr>
          <w:rFonts w:hint="eastAsia"/>
        </w:rPr>
        <w:t xml:space="preserve"> </w:t>
      </w:r>
    </w:p>
    <w:p w14:paraId="7D2377D9" w14:textId="77777777" w:rsidR="00F5289E" w:rsidRDefault="00C91173">
      <w:pPr>
        <w:snapToGrid w:val="0"/>
        <w:spacing w:line="360" w:lineRule="auto"/>
        <w:jc w:val="center"/>
        <w:rPr>
          <w:rFonts w:hAnsi="宋体"/>
          <w:sz w:val="28"/>
          <w:szCs w:val="28"/>
        </w:rPr>
      </w:pPr>
      <w:r>
        <w:rPr>
          <w:rFonts w:hint="eastAsia"/>
          <w:sz w:val="24"/>
        </w:rPr>
        <w:t>（</w:t>
      </w:r>
      <w:r>
        <w:rPr>
          <w:rFonts w:hint="eastAsia"/>
          <w:sz w:val="24"/>
        </w:rPr>
        <w:t>Biotechnology of Horticultural Plants</w:t>
      </w:r>
      <w:r>
        <w:rPr>
          <w:rFonts w:hint="eastAsia"/>
          <w:sz w:val="24"/>
        </w:rPr>
        <w:t>）</w:t>
      </w:r>
    </w:p>
    <w:p w14:paraId="54B9ACB4" w14:textId="77777777" w:rsidR="00F5289E" w:rsidRDefault="00F5289E">
      <w:pPr>
        <w:snapToGrid w:val="0"/>
        <w:spacing w:line="360" w:lineRule="auto"/>
        <w:jc w:val="center"/>
        <w:rPr>
          <w:color w:val="0000FF"/>
          <w:sz w:val="24"/>
        </w:rPr>
      </w:pPr>
    </w:p>
    <w:p w14:paraId="72234C61"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1508C2D9" w14:textId="77777777">
        <w:tc>
          <w:tcPr>
            <w:tcW w:w="1665" w:type="pct"/>
          </w:tcPr>
          <w:p w14:paraId="4F362105"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hint="eastAsia"/>
              </w:rPr>
              <w:t>19011009</w:t>
            </w:r>
          </w:p>
        </w:tc>
        <w:tc>
          <w:tcPr>
            <w:tcW w:w="1234" w:type="pct"/>
          </w:tcPr>
          <w:p w14:paraId="6A9D995A"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32</w:t>
            </w:r>
          </w:p>
        </w:tc>
        <w:tc>
          <w:tcPr>
            <w:tcW w:w="2100" w:type="pct"/>
          </w:tcPr>
          <w:p w14:paraId="3B10F80C"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p>
        </w:tc>
      </w:tr>
      <w:tr w:rsidR="00F5289E" w14:paraId="13D24437" w14:textId="77777777">
        <w:tc>
          <w:tcPr>
            <w:tcW w:w="1665" w:type="pct"/>
          </w:tcPr>
          <w:p w14:paraId="0C27B42F"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李志谦等</w:t>
            </w:r>
          </w:p>
        </w:tc>
        <w:tc>
          <w:tcPr>
            <w:tcW w:w="1234" w:type="pct"/>
          </w:tcPr>
          <w:p w14:paraId="6A382F23"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hAnsi="宋体" w:hint="eastAsia"/>
                <w:szCs w:val="21"/>
              </w:rPr>
              <w:t>谭彬</w:t>
            </w:r>
          </w:p>
        </w:tc>
        <w:tc>
          <w:tcPr>
            <w:tcW w:w="2100" w:type="pct"/>
          </w:tcPr>
          <w:p w14:paraId="0875372C"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048FB26C" w14:textId="77777777" w:rsidR="00F5289E" w:rsidRDefault="00F5289E">
      <w:pPr>
        <w:pStyle w:val="a9"/>
        <w:spacing w:line="360" w:lineRule="auto"/>
        <w:rPr>
          <w:b/>
          <w:bCs/>
        </w:rPr>
      </w:pPr>
    </w:p>
    <w:p w14:paraId="17BC94CE" w14:textId="77777777" w:rsidR="00F5289E" w:rsidRDefault="00C91173">
      <w:pPr>
        <w:pStyle w:val="a9"/>
        <w:spacing w:line="360" w:lineRule="auto"/>
        <w:rPr>
          <w:b/>
          <w:bCs/>
        </w:rPr>
      </w:pPr>
      <w:r>
        <w:rPr>
          <w:rFonts w:hint="eastAsia"/>
          <w:b/>
          <w:bCs/>
        </w:rPr>
        <w:t>一、课程的性质和地位</w:t>
      </w:r>
    </w:p>
    <w:p w14:paraId="38A565D3" w14:textId="77777777" w:rsidR="00F5289E" w:rsidRDefault="00C91173">
      <w:pPr>
        <w:spacing w:line="360" w:lineRule="auto"/>
        <w:ind w:firstLineChars="200" w:firstLine="420"/>
        <w:rPr>
          <w:rFonts w:cs="宋体"/>
          <w:bCs/>
          <w:kern w:val="0"/>
          <w:szCs w:val="21"/>
        </w:rPr>
      </w:pPr>
      <w:r>
        <w:rPr>
          <w:rFonts w:cs="宋体" w:hint="eastAsia"/>
          <w:bCs/>
          <w:kern w:val="0"/>
          <w:szCs w:val="21"/>
        </w:rPr>
        <w:t>园艺植物生物技术是园艺专业学生的专业课。该课程是应用现代生物技术有关基本原理和方法，在个体、细胞、分子水平上研究、评价和改造园艺植物遗传特性的有关理论和技术的科学。要求学生通过本课程的学习，了解现代生物技术的发展概况和趋势，掌握园艺植物组织培养、细胞培养与体细胞杂交、脱毒快繁、</w:t>
      </w:r>
      <w:r>
        <w:rPr>
          <w:rFonts w:cs="宋体"/>
          <w:bCs/>
          <w:kern w:val="0"/>
          <w:szCs w:val="21"/>
        </w:rPr>
        <w:t>DNA</w:t>
      </w:r>
      <w:r>
        <w:rPr>
          <w:rFonts w:cs="宋体" w:hint="eastAsia"/>
          <w:bCs/>
          <w:kern w:val="0"/>
          <w:szCs w:val="21"/>
        </w:rPr>
        <w:t>分子标记、基因克隆以及遗传转化的基本原理和技术，为从事园艺植物生物技术相关研究及其产业应用奠定良好的理论和技术基础。</w:t>
      </w:r>
    </w:p>
    <w:p w14:paraId="3C4011F7" w14:textId="77777777" w:rsidR="00F5289E" w:rsidRDefault="00C91173">
      <w:pPr>
        <w:pStyle w:val="a9"/>
        <w:spacing w:line="360" w:lineRule="auto"/>
        <w:rPr>
          <w:b/>
          <w:bCs/>
        </w:rPr>
      </w:pPr>
      <w:r>
        <w:rPr>
          <w:rFonts w:hint="eastAsia"/>
          <w:b/>
          <w:bCs/>
        </w:rPr>
        <w:t>二、理论教学部分的考核目标</w:t>
      </w:r>
    </w:p>
    <w:p w14:paraId="00FE010F" w14:textId="77777777" w:rsidR="00F5289E" w:rsidRDefault="00C91173">
      <w:pPr>
        <w:snapToGrid w:val="0"/>
        <w:spacing w:beforeLines="50" w:before="156" w:afterLines="50" w:after="156" w:line="360" w:lineRule="auto"/>
        <w:ind w:firstLineChars="199" w:firstLine="418"/>
        <w:rPr>
          <w:kern w:val="0"/>
          <w:szCs w:val="21"/>
        </w:rPr>
      </w:pPr>
      <w:r>
        <w:rPr>
          <w:rFonts w:hint="eastAsia"/>
          <w:bCs/>
          <w:kern w:val="0"/>
          <w:szCs w:val="21"/>
        </w:rPr>
        <w:t>要求学生：（</w:t>
      </w:r>
      <w:r>
        <w:rPr>
          <w:bCs/>
          <w:kern w:val="0"/>
          <w:szCs w:val="21"/>
        </w:rPr>
        <w:t>1</w:t>
      </w:r>
      <w:r>
        <w:rPr>
          <w:rFonts w:hint="eastAsia"/>
          <w:bCs/>
          <w:kern w:val="0"/>
          <w:szCs w:val="21"/>
        </w:rPr>
        <w:t>）系统地掌握园艺植物生物技术的研究历史和发展趋势，明确园艺植物生物技术的任务及其与其他学科的关系，</w:t>
      </w:r>
      <w:r>
        <w:rPr>
          <w:rFonts w:hint="eastAsia"/>
          <w:kern w:val="0"/>
          <w:szCs w:val="21"/>
        </w:rPr>
        <w:t>使学生了解本课程在本专业中的地位；</w:t>
      </w:r>
      <w:r>
        <w:rPr>
          <w:rFonts w:hint="eastAsia"/>
          <w:bCs/>
          <w:kern w:val="0"/>
          <w:szCs w:val="21"/>
        </w:rPr>
        <w:t>（</w:t>
      </w:r>
      <w:r>
        <w:rPr>
          <w:bCs/>
          <w:kern w:val="0"/>
          <w:szCs w:val="21"/>
        </w:rPr>
        <w:t>2</w:t>
      </w:r>
      <w:r>
        <w:rPr>
          <w:rFonts w:hint="eastAsia"/>
          <w:bCs/>
          <w:kern w:val="0"/>
          <w:szCs w:val="21"/>
        </w:rPr>
        <w:t>）明确</w:t>
      </w:r>
      <w:r>
        <w:rPr>
          <w:rFonts w:hint="eastAsia"/>
          <w:kern w:val="0"/>
          <w:szCs w:val="21"/>
        </w:rPr>
        <w:t>组织培养的基本原理和技术，掌握细胞培养、体细胞杂交、脱毒快繁的原理和方法，了解这些方法在园艺植物研究中的应用；（</w:t>
      </w:r>
      <w:r>
        <w:rPr>
          <w:rFonts w:hint="eastAsia"/>
          <w:kern w:val="0"/>
          <w:szCs w:val="21"/>
        </w:rPr>
        <w:t>3</w:t>
      </w:r>
      <w:r>
        <w:rPr>
          <w:rFonts w:hint="eastAsia"/>
          <w:kern w:val="0"/>
          <w:szCs w:val="21"/>
        </w:rPr>
        <w:t>）了解基因分离克隆、遗传转化等知识，掌握转基因技术在园艺植物育种中的应用，为进一步开展园艺植物生物技术相关研究与应用奠定基础；（</w:t>
      </w:r>
      <w:r>
        <w:rPr>
          <w:rFonts w:hint="eastAsia"/>
          <w:kern w:val="0"/>
          <w:szCs w:val="21"/>
        </w:rPr>
        <w:t>4</w:t>
      </w:r>
      <w:r>
        <w:rPr>
          <w:rFonts w:hint="eastAsia"/>
          <w:kern w:val="0"/>
          <w:szCs w:val="21"/>
        </w:rPr>
        <w:t>）了解分子标记技术的类别、原理及特点，及其在园艺植物研究中的应用。</w:t>
      </w:r>
    </w:p>
    <w:p w14:paraId="2B7B4523" w14:textId="77777777" w:rsidR="00F5289E" w:rsidRDefault="00C91173" w:rsidP="00A115EF">
      <w:pPr>
        <w:numPr>
          <w:ilvl w:val="0"/>
          <w:numId w:val="61"/>
        </w:numPr>
        <w:snapToGrid w:val="0"/>
        <w:spacing w:line="360" w:lineRule="auto"/>
        <w:jc w:val="center"/>
        <w:rPr>
          <w:rFonts w:ascii="宋体" w:hAnsi="宋体"/>
          <w:b/>
          <w:szCs w:val="21"/>
        </w:rPr>
      </w:pPr>
      <w:r>
        <w:rPr>
          <w:rFonts w:ascii="宋体" w:hAnsi="宋体" w:hint="eastAsia"/>
          <w:b/>
          <w:szCs w:val="21"/>
        </w:rPr>
        <w:t>植物组织培养与细胞培养技术</w:t>
      </w:r>
    </w:p>
    <w:p w14:paraId="33181B65"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EDFC234"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hAnsi="宋体" w:hint="eastAsia"/>
          <w:bCs/>
        </w:rPr>
        <w:t>组织培养技术的发展简史；了解组织培养实验室的设置及相关仪器设备的使用方法。</w:t>
      </w:r>
    </w:p>
    <w:p w14:paraId="292A122E" w14:textId="77777777" w:rsidR="00F5289E" w:rsidRDefault="00C91173">
      <w:pPr>
        <w:snapToGrid w:val="0"/>
        <w:spacing w:line="360" w:lineRule="auto"/>
        <w:ind w:firstLineChars="200" w:firstLine="422"/>
        <w:rPr>
          <w:rFonts w:hAnsi="宋体"/>
          <w:bCs/>
        </w:rPr>
      </w:pPr>
      <w:r>
        <w:rPr>
          <w:rFonts w:ascii="宋体" w:hAnsi="宋体" w:hint="eastAsia"/>
          <w:b/>
          <w:szCs w:val="21"/>
        </w:rPr>
        <w:t>2. 一般掌握</w:t>
      </w:r>
      <w:r>
        <w:rPr>
          <w:rFonts w:ascii="宋体" w:hAnsi="宋体" w:hint="eastAsia"/>
          <w:szCs w:val="21"/>
        </w:rPr>
        <w:t>：</w:t>
      </w:r>
      <w:r>
        <w:rPr>
          <w:rFonts w:hAnsi="宋体" w:hint="eastAsia"/>
          <w:bCs/>
        </w:rPr>
        <w:t>对组织培养有重大贡献的科学家及其代表性成果；组织培养的理论基础；组织培养所包含的技术种类、特点及适用领域；常见的组织培养技术的步骤与方法。</w:t>
      </w:r>
    </w:p>
    <w:p w14:paraId="4E08433B"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rFonts w:hAnsi="宋体" w:hint="eastAsia"/>
          <w:bCs/>
        </w:rPr>
        <w:t>常用培养基的成分及配制方法；植物组织或器官离体培养及再生。</w:t>
      </w:r>
    </w:p>
    <w:p w14:paraId="2E080414"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4913E59" w14:textId="77777777" w:rsidR="00F5289E" w:rsidRDefault="00C91173">
      <w:pPr>
        <w:snapToGrid w:val="0"/>
        <w:spacing w:beforeLines="50" w:before="156" w:line="360" w:lineRule="auto"/>
        <w:ind w:firstLineChars="200" w:firstLine="420"/>
        <w:rPr>
          <w:rFonts w:hAnsi="宋体"/>
          <w:bCs/>
        </w:rPr>
      </w:pPr>
      <w:r>
        <w:rPr>
          <w:rFonts w:hAnsi="宋体" w:hint="eastAsia"/>
          <w:bCs/>
        </w:rPr>
        <w:t>组织培养概念；组织培养技术范畴；组织培养的理论与技术发展简史；组织培养在科研和生产中的意义；</w:t>
      </w:r>
      <w:r>
        <w:rPr>
          <w:rFonts w:hint="eastAsia"/>
          <w:kern w:val="0"/>
          <w:szCs w:val="21"/>
        </w:rPr>
        <w:t>细胞全能性学说及相关概念；组织培养实验室的构造及布局；组织培养相关仪器设备的</w:t>
      </w:r>
      <w:r>
        <w:rPr>
          <w:rFonts w:hint="eastAsia"/>
          <w:kern w:val="0"/>
          <w:szCs w:val="21"/>
        </w:rPr>
        <w:lastRenderedPageBreak/>
        <w:t>原理及使用方法；组织培养有关培养基的种类与特点、及其配制方法；</w:t>
      </w:r>
      <w:r>
        <w:rPr>
          <w:rFonts w:hAnsi="宋体" w:hint="eastAsia"/>
          <w:bCs/>
        </w:rPr>
        <w:t>器官培养与快速繁殖原理与技术</w:t>
      </w:r>
      <w:r>
        <w:rPr>
          <w:rFonts w:hint="eastAsia"/>
          <w:kern w:val="0"/>
          <w:szCs w:val="21"/>
        </w:rPr>
        <w:t>；</w:t>
      </w:r>
      <w:r>
        <w:rPr>
          <w:rFonts w:hAnsi="宋体" w:hint="eastAsia"/>
          <w:bCs/>
        </w:rPr>
        <w:t>胚胎培养方法，花药、花粉培养方法及单倍体植株再生</w:t>
      </w:r>
      <w:r>
        <w:rPr>
          <w:rFonts w:hint="eastAsia"/>
          <w:kern w:val="0"/>
          <w:szCs w:val="21"/>
        </w:rPr>
        <w:t>；</w:t>
      </w:r>
      <w:r>
        <w:rPr>
          <w:rFonts w:hAnsi="宋体" w:hint="eastAsia"/>
          <w:bCs/>
        </w:rPr>
        <w:t>体细胞无性系变异的概念、诱导及检测方法，及其在育种中的应用。</w:t>
      </w:r>
    </w:p>
    <w:p w14:paraId="53118FF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3CC899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：（1）组织培养概念及其范畴；（2）细胞全能性学说、花粉培养、花药培养、体细胞无性系变异等概念；（3）组织培养发展简史。</w:t>
      </w:r>
    </w:p>
    <w:p w14:paraId="38C81D2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：（1）组织培养实验室的布局；（2）组织培养相关仪器设备的用途；（3）</w:t>
      </w:r>
      <w:r>
        <w:rPr>
          <w:rFonts w:hint="eastAsia"/>
          <w:kern w:val="0"/>
          <w:szCs w:val="21"/>
        </w:rPr>
        <w:t>组织培养有关培养基的种类与特点。</w:t>
      </w:r>
    </w:p>
    <w:p w14:paraId="7014630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3、简单应用</w:t>
      </w:r>
      <w:r>
        <w:rPr>
          <w:rFonts w:ascii="宋体" w:hAnsi="宋体" w:hint="eastAsia"/>
          <w:szCs w:val="21"/>
        </w:rPr>
        <w:t>：（1）组织培养培养及的配置方法；（2）花药、花粉、胚胎培养方法和程序；（3）植物脱毒技术及快速繁殖技术；（4）体细胞无性系变异的诱导与鉴定方法。</w:t>
      </w:r>
    </w:p>
    <w:p w14:paraId="5928AE6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4、综合应用</w:t>
      </w:r>
      <w:r>
        <w:rPr>
          <w:rFonts w:ascii="宋体" w:hAnsi="宋体" w:hint="eastAsia"/>
          <w:szCs w:val="21"/>
        </w:rPr>
        <w:t>：（1）单倍体培养技术在植物育种中的应用；（2）无性系变异在种质资源创新中的应用。</w:t>
      </w:r>
    </w:p>
    <w:p w14:paraId="08B8A188"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第二章  原生质体培养和体细胞杂交</w:t>
      </w:r>
    </w:p>
    <w:p w14:paraId="2E19A3A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8A79E20" w14:textId="77777777" w:rsidR="00F5289E" w:rsidRDefault="00C91173">
      <w:pPr>
        <w:snapToGrid w:val="0"/>
        <w:spacing w:beforeLines="50" w:before="156" w:line="360" w:lineRule="auto"/>
        <w:rPr>
          <w:kern w:val="0"/>
          <w:szCs w:val="21"/>
        </w:rPr>
      </w:pPr>
      <w:r>
        <w:rPr>
          <w:rFonts w:ascii="宋体" w:hAnsi="宋体" w:hint="eastAsia"/>
          <w:b/>
          <w:szCs w:val="21"/>
        </w:rPr>
        <w:t>1. 一般了解</w:t>
      </w:r>
      <w:r>
        <w:rPr>
          <w:rFonts w:ascii="宋体" w:hAnsi="宋体" w:hint="eastAsia"/>
          <w:szCs w:val="21"/>
        </w:rPr>
        <w:t>：</w:t>
      </w:r>
      <w:r>
        <w:rPr>
          <w:rFonts w:hint="eastAsia"/>
          <w:kern w:val="0"/>
          <w:szCs w:val="21"/>
        </w:rPr>
        <w:t>原生质体操作的意义；体细胞杂交技术在园艺植物育种中的应用。</w:t>
      </w:r>
    </w:p>
    <w:p w14:paraId="4169F968" w14:textId="77777777" w:rsidR="00F5289E" w:rsidRDefault="00C91173">
      <w:pPr>
        <w:snapToGrid w:val="0"/>
        <w:spacing w:beforeLines="50" w:before="156" w:line="360" w:lineRule="auto"/>
        <w:rPr>
          <w:b/>
          <w:bCs/>
          <w:kern w:val="0"/>
          <w:szCs w:val="21"/>
        </w:rPr>
      </w:pPr>
      <w:r>
        <w:rPr>
          <w:rFonts w:ascii="宋体" w:hAnsi="宋体" w:hint="eastAsia"/>
          <w:b/>
          <w:szCs w:val="21"/>
        </w:rPr>
        <w:t>2. 一般掌握</w:t>
      </w:r>
      <w:r>
        <w:rPr>
          <w:rFonts w:ascii="宋体" w:hAnsi="宋体" w:hint="eastAsia"/>
          <w:szCs w:val="21"/>
        </w:rPr>
        <w:t>：</w:t>
      </w:r>
      <w:r>
        <w:rPr>
          <w:rFonts w:hAnsi="宋体" w:hint="eastAsia"/>
          <w:bCs/>
        </w:rPr>
        <w:t>原生质体操作的基本步骤；原生质体融合方法、方式；体细胞杂种的遗传鉴定。</w:t>
      </w:r>
    </w:p>
    <w:p w14:paraId="1991E51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bCs/>
        </w:rPr>
        <w:t>原生质体、体细胞杂交的概念；原生质体分离方法。</w:t>
      </w:r>
    </w:p>
    <w:p w14:paraId="0D0DB8A9"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271EC0E" w14:textId="77777777" w:rsidR="00F5289E" w:rsidRDefault="00C91173">
      <w:pPr>
        <w:widowControl/>
        <w:snapToGrid w:val="0"/>
        <w:spacing w:line="360" w:lineRule="auto"/>
        <w:ind w:firstLineChars="200" w:firstLine="420"/>
        <w:rPr>
          <w:kern w:val="0"/>
          <w:szCs w:val="21"/>
        </w:rPr>
      </w:pPr>
      <w:r>
        <w:rPr>
          <w:rFonts w:hint="eastAsia"/>
          <w:kern w:val="0"/>
          <w:szCs w:val="21"/>
        </w:rPr>
        <w:t>原生质体研究的发展与应用；原生质体分离、纯化与活力测定；影响原生质体分离的因素；原生质体培养基与培养方法；原生质体培养与植株再生；原生质体再生植株的遗传变异及其利用；原生质体融合的发展及意义；原生质体融合方法；原生质体融合方式；体细胞杂种筛选与鉴定方法；体细胞杂交在育种中的应用。</w:t>
      </w:r>
    </w:p>
    <w:p w14:paraId="4779CBEC"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690F9B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：（1）原生质体、体细胞杂交的概念；（2）原生质体融合的方式。</w:t>
      </w:r>
    </w:p>
    <w:p w14:paraId="22C8F1A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：（1）原生质体培养、体细胞杂交的意义；（2）</w:t>
      </w:r>
      <w:r>
        <w:rPr>
          <w:rFonts w:hint="eastAsia"/>
          <w:kern w:val="0"/>
          <w:szCs w:val="21"/>
        </w:rPr>
        <w:t>原生质体分离、纯化与活力测定；（</w:t>
      </w:r>
      <w:r>
        <w:rPr>
          <w:rFonts w:hint="eastAsia"/>
          <w:kern w:val="0"/>
          <w:szCs w:val="21"/>
        </w:rPr>
        <w:t>3</w:t>
      </w:r>
      <w:r>
        <w:rPr>
          <w:rFonts w:hint="eastAsia"/>
          <w:kern w:val="0"/>
          <w:szCs w:val="21"/>
        </w:rPr>
        <w:t>）影响原生质体分离的因素；（</w:t>
      </w:r>
      <w:r>
        <w:rPr>
          <w:rFonts w:hint="eastAsia"/>
          <w:kern w:val="0"/>
          <w:szCs w:val="21"/>
        </w:rPr>
        <w:t>4</w:t>
      </w:r>
      <w:r>
        <w:rPr>
          <w:rFonts w:hint="eastAsia"/>
          <w:kern w:val="0"/>
          <w:szCs w:val="21"/>
        </w:rPr>
        <w:t>）；体细胞杂种筛选与鉴定方法。</w:t>
      </w:r>
    </w:p>
    <w:p w14:paraId="11EB0CB4"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3、简单应用</w:t>
      </w:r>
      <w:r>
        <w:rPr>
          <w:rFonts w:ascii="宋体" w:hAnsi="宋体" w:hint="eastAsia"/>
          <w:szCs w:val="21"/>
        </w:rPr>
        <w:t>：（1）</w:t>
      </w:r>
      <w:r>
        <w:rPr>
          <w:rFonts w:hint="eastAsia"/>
          <w:kern w:val="0"/>
          <w:szCs w:val="21"/>
        </w:rPr>
        <w:t>原生质体培养与植株再生；（</w:t>
      </w:r>
      <w:r>
        <w:rPr>
          <w:rFonts w:hint="eastAsia"/>
          <w:kern w:val="0"/>
          <w:szCs w:val="21"/>
        </w:rPr>
        <w:t>2</w:t>
      </w:r>
      <w:r>
        <w:rPr>
          <w:rFonts w:hint="eastAsia"/>
          <w:kern w:val="0"/>
          <w:szCs w:val="21"/>
        </w:rPr>
        <w:t>）体细胞杂交及杂种植株再生。</w:t>
      </w:r>
    </w:p>
    <w:p w14:paraId="01530CF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4、综合应用</w:t>
      </w:r>
      <w:r>
        <w:rPr>
          <w:rFonts w:ascii="宋体" w:hAnsi="宋体" w:hint="eastAsia"/>
          <w:szCs w:val="21"/>
        </w:rPr>
        <w:t>：（1）</w:t>
      </w:r>
      <w:r>
        <w:rPr>
          <w:rFonts w:hint="eastAsia"/>
          <w:kern w:val="0"/>
          <w:szCs w:val="21"/>
        </w:rPr>
        <w:t>体细胞杂交在育种中的应用。</w:t>
      </w:r>
    </w:p>
    <w:p w14:paraId="6A261735"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lastRenderedPageBreak/>
        <w:t>第三章  分子标记原理与应用</w:t>
      </w:r>
    </w:p>
    <w:p w14:paraId="5255292A"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8191E8E" w14:textId="77777777" w:rsidR="00F5289E" w:rsidRDefault="00C91173">
      <w:pPr>
        <w:snapToGrid w:val="0"/>
        <w:spacing w:beforeLines="50" w:before="156" w:line="360" w:lineRule="auto"/>
        <w:rPr>
          <w:kern w:val="0"/>
          <w:szCs w:val="21"/>
        </w:rPr>
      </w:pPr>
      <w:r>
        <w:rPr>
          <w:rFonts w:ascii="宋体" w:hAnsi="宋体" w:hint="eastAsia"/>
          <w:b/>
          <w:szCs w:val="21"/>
        </w:rPr>
        <w:t>1. 一般了解</w:t>
      </w:r>
      <w:r>
        <w:rPr>
          <w:rFonts w:ascii="宋体" w:hAnsi="宋体" w:hint="eastAsia"/>
          <w:szCs w:val="21"/>
        </w:rPr>
        <w:t>：</w:t>
      </w:r>
      <w:r>
        <w:rPr>
          <w:rFonts w:hint="eastAsia"/>
          <w:kern w:val="0"/>
          <w:szCs w:val="21"/>
        </w:rPr>
        <w:t>分子标记在园艺植物研究中的应用。</w:t>
      </w:r>
    </w:p>
    <w:p w14:paraId="66B5EF72" w14:textId="77777777" w:rsidR="00F5289E" w:rsidRDefault="00C91173">
      <w:pPr>
        <w:snapToGrid w:val="0"/>
        <w:spacing w:beforeLines="50" w:before="156" w:line="360" w:lineRule="auto"/>
        <w:rPr>
          <w:b/>
          <w:bCs/>
          <w:kern w:val="0"/>
          <w:szCs w:val="21"/>
        </w:rPr>
      </w:pPr>
      <w:r>
        <w:rPr>
          <w:rFonts w:ascii="宋体" w:hAnsi="宋体" w:hint="eastAsia"/>
          <w:b/>
          <w:szCs w:val="21"/>
        </w:rPr>
        <w:t>2. 一般掌握</w:t>
      </w:r>
      <w:r>
        <w:rPr>
          <w:rFonts w:ascii="宋体" w:hAnsi="宋体" w:hint="eastAsia"/>
          <w:szCs w:val="21"/>
        </w:rPr>
        <w:t>：</w:t>
      </w:r>
      <w:r>
        <w:rPr>
          <w:rFonts w:hAnsi="宋体" w:hint="eastAsia"/>
          <w:bCs/>
        </w:rPr>
        <w:t>分子标记的基本原理</w:t>
      </w:r>
    </w:p>
    <w:p w14:paraId="6CAFDBA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bCs/>
        </w:rPr>
        <w:t>主要分子标记类型及特点。</w:t>
      </w:r>
    </w:p>
    <w:p w14:paraId="318A7D72"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28FB47EC" w14:textId="77777777" w:rsidR="00F5289E" w:rsidRDefault="00C91173">
      <w:pPr>
        <w:snapToGrid w:val="0"/>
        <w:spacing w:beforeLines="50" w:before="156" w:line="360" w:lineRule="auto"/>
        <w:ind w:firstLineChars="200" w:firstLine="420"/>
        <w:rPr>
          <w:kern w:val="0"/>
          <w:szCs w:val="21"/>
        </w:rPr>
      </w:pPr>
      <w:r>
        <w:rPr>
          <w:kern w:val="0"/>
          <w:szCs w:val="21"/>
        </w:rPr>
        <w:t>DNA</w:t>
      </w:r>
      <w:r>
        <w:rPr>
          <w:rFonts w:hint="eastAsia"/>
          <w:kern w:val="0"/>
          <w:szCs w:val="21"/>
        </w:rPr>
        <w:t>是主要的遗传物质；</w:t>
      </w:r>
      <w:r>
        <w:rPr>
          <w:kern w:val="0"/>
          <w:szCs w:val="21"/>
        </w:rPr>
        <w:t>DNA</w:t>
      </w:r>
      <w:r>
        <w:rPr>
          <w:rFonts w:hint="eastAsia"/>
          <w:kern w:val="0"/>
          <w:szCs w:val="21"/>
        </w:rPr>
        <w:t>复制和体外扩增；</w:t>
      </w:r>
      <w:r>
        <w:rPr>
          <w:kern w:val="0"/>
          <w:szCs w:val="21"/>
        </w:rPr>
        <w:t>DNA</w:t>
      </w:r>
      <w:r>
        <w:rPr>
          <w:rFonts w:hint="eastAsia"/>
          <w:kern w:val="0"/>
          <w:szCs w:val="21"/>
        </w:rPr>
        <w:t>显色技术；几种常用的分子标记技术；分子标记在园艺植物研究中的应用（种质评价和核心种质筛选、杂种鉴定和早期辅助选择、遗传连锁图的构建）。</w:t>
      </w:r>
    </w:p>
    <w:p w14:paraId="4B02E37A"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48DDA8B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：（1）分子标记的概念；（2）分子标记的种类。</w:t>
      </w:r>
    </w:p>
    <w:p w14:paraId="7A9F70A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w:t>
      </w:r>
      <w:r>
        <w:rPr>
          <w:kern w:val="0"/>
          <w:szCs w:val="21"/>
        </w:rPr>
        <w:t>DNA</w:t>
      </w:r>
      <w:r>
        <w:rPr>
          <w:rFonts w:hint="eastAsia"/>
          <w:kern w:val="0"/>
          <w:szCs w:val="21"/>
        </w:rPr>
        <w:t>复制和体外扩增；（</w:t>
      </w:r>
      <w:r>
        <w:rPr>
          <w:rFonts w:hint="eastAsia"/>
          <w:kern w:val="0"/>
          <w:szCs w:val="21"/>
        </w:rPr>
        <w:t>2</w:t>
      </w:r>
      <w:r>
        <w:rPr>
          <w:rFonts w:hint="eastAsia"/>
          <w:kern w:val="0"/>
          <w:szCs w:val="21"/>
        </w:rPr>
        <w:t>）</w:t>
      </w:r>
      <w:r>
        <w:rPr>
          <w:kern w:val="0"/>
          <w:szCs w:val="21"/>
        </w:rPr>
        <w:t>DNA</w:t>
      </w:r>
      <w:r>
        <w:rPr>
          <w:rFonts w:hint="eastAsia"/>
          <w:kern w:val="0"/>
          <w:szCs w:val="21"/>
        </w:rPr>
        <w:t>显色技术及原理；（</w:t>
      </w:r>
      <w:r>
        <w:rPr>
          <w:rFonts w:hint="eastAsia"/>
          <w:kern w:val="0"/>
          <w:szCs w:val="21"/>
        </w:rPr>
        <w:t>3</w:t>
      </w:r>
      <w:r>
        <w:rPr>
          <w:rFonts w:hint="eastAsia"/>
          <w:kern w:val="0"/>
          <w:szCs w:val="21"/>
        </w:rPr>
        <w:t>）</w:t>
      </w:r>
      <w:r>
        <w:rPr>
          <w:rFonts w:ascii="宋体" w:hAnsi="宋体" w:hint="eastAsia"/>
          <w:szCs w:val="21"/>
        </w:rPr>
        <w:t>分子标记的原理。</w:t>
      </w:r>
    </w:p>
    <w:p w14:paraId="51B21C53"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3、简单应用</w:t>
      </w:r>
      <w:r>
        <w:rPr>
          <w:rFonts w:ascii="宋体" w:hAnsi="宋体" w:hint="eastAsia"/>
          <w:szCs w:val="21"/>
        </w:rPr>
        <w:t>：（1）酶切技术；（2）PCR扩增技术。</w:t>
      </w:r>
    </w:p>
    <w:p w14:paraId="38F56BA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4、综合应用</w:t>
      </w:r>
      <w:r>
        <w:rPr>
          <w:rFonts w:ascii="宋体" w:hAnsi="宋体" w:hint="eastAsia"/>
          <w:szCs w:val="21"/>
        </w:rPr>
        <w:t>：（1）分子标记在</w:t>
      </w:r>
      <w:r>
        <w:rPr>
          <w:rFonts w:hint="eastAsia"/>
          <w:kern w:val="0"/>
          <w:szCs w:val="21"/>
        </w:rPr>
        <w:t>种质评价和核心种质筛选、杂种鉴定和早期辅助选择、遗传连锁图的构建等领域的应用。</w:t>
      </w:r>
    </w:p>
    <w:p w14:paraId="3A2FB4CB"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第四章  基因分离与克隆</w:t>
      </w:r>
    </w:p>
    <w:p w14:paraId="5337A26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85DBD95" w14:textId="77777777" w:rsidR="00F5289E" w:rsidRDefault="00C91173">
      <w:pPr>
        <w:widowControl/>
        <w:snapToGrid w:val="0"/>
        <w:spacing w:line="360" w:lineRule="auto"/>
        <w:rPr>
          <w:kern w:val="0"/>
          <w:szCs w:val="21"/>
        </w:rPr>
      </w:pPr>
      <w:r>
        <w:rPr>
          <w:rFonts w:ascii="宋体" w:hAnsi="宋体" w:hint="eastAsia"/>
          <w:b/>
          <w:szCs w:val="21"/>
        </w:rPr>
        <w:t>1. 一般了解</w:t>
      </w:r>
      <w:r>
        <w:rPr>
          <w:rFonts w:ascii="宋体" w:hAnsi="宋体" w:hint="eastAsia"/>
          <w:szCs w:val="21"/>
        </w:rPr>
        <w:t>：</w:t>
      </w:r>
      <w:r>
        <w:rPr>
          <w:rFonts w:hint="eastAsia"/>
          <w:kern w:val="0"/>
          <w:szCs w:val="21"/>
        </w:rPr>
        <w:t>基因组文库的构建；</w:t>
      </w:r>
      <w:r>
        <w:rPr>
          <w:rFonts w:hint="eastAsia"/>
          <w:kern w:val="0"/>
          <w:szCs w:val="21"/>
        </w:rPr>
        <w:t>cDNA</w:t>
      </w:r>
      <w:r>
        <w:rPr>
          <w:rFonts w:hint="eastAsia"/>
          <w:kern w:val="0"/>
          <w:szCs w:val="21"/>
        </w:rPr>
        <w:t>文库的构建及目的</w:t>
      </w:r>
      <w:r>
        <w:rPr>
          <w:rFonts w:hint="eastAsia"/>
          <w:kern w:val="0"/>
          <w:szCs w:val="21"/>
        </w:rPr>
        <w:t>cDNA</w:t>
      </w:r>
      <w:r>
        <w:rPr>
          <w:rFonts w:hint="eastAsia"/>
          <w:kern w:val="0"/>
          <w:szCs w:val="21"/>
        </w:rPr>
        <w:t>克隆的筛选。</w:t>
      </w:r>
    </w:p>
    <w:p w14:paraId="5F3EBC24" w14:textId="77777777" w:rsidR="00F5289E" w:rsidRDefault="00C91173">
      <w:pPr>
        <w:snapToGrid w:val="0"/>
        <w:spacing w:beforeLines="50" w:before="156" w:line="360" w:lineRule="auto"/>
        <w:rPr>
          <w:b/>
          <w:bCs/>
          <w:kern w:val="0"/>
          <w:szCs w:val="21"/>
        </w:rPr>
      </w:pPr>
      <w:r>
        <w:rPr>
          <w:rFonts w:ascii="宋体" w:hAnsi="宋体" w:hint="eastAsia"/>
          <w:b/>
          <w:szCs w:val="21"/>
        </w:rPr>
        <w:t>2. 一般掌握</w:t>
      </w:r>
      <w:r>
        <w:rPr>
          <w:rFonts w:ascii="宋体" w:hAnsi="宋体" w:hint="eastAsia"/>
          <w:szCs w:val="21"/>
        </w:rPr>
        <w:t>：</w:t>
      </w:r>
      <w:r>
        <w:rPr>
          <w:rFonts w:hAnsi="宋体" w:hint="eastAsia"/>
          <w:bCs/>
        </w:rPr>
        <w:t>基因分离克隆主要策略；基因组文库和</w:t>
      </w:r>
      <w:r>
        <w:rPr>
          <w:rFonts w:hAnsi="宋体" w:hint="eastAsia"/>
          <w:bCs/>
        </w:rPr>
        <w:t>cDNA</w:t>
      </w:r>
      <w:r>
        <w:rPr>
          <w:rFonts w:hAnsi="宋体" w:hint="eastAsia"/>
          <w:bCs/>
        </w:rPr>
        <w:t>文库的概念。</w:t>
      </w:r>
    </w:p>
    <w:p w14:paraId="04C4A811"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bCs/>
        </w:rPr>
        <w:t>基因的概念和结构；基因克隆的基本原理。</w:t>
      </w:r>
    </w:p>
    <w:p w14:paraId="077058BD"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C0905DA" w14:textId="77777777" w:rsidR="00F5289E" w:rsidRDefault="00C91173">
      <w:pPr>
        <w:widowControl/>
        <w:snapToGrid w:val="0"/>
        <w:spacing w:line="360" w:lineRule="auto"/>
        <w:ind w:firstLineChars="200" w:firstLine="420"/>
        <w:rPr>
          <w:kern w:val="0"/>
          <w:szCs w:val="21"/>
        </w:rPr>
      </w:pPr>
      <w:r>
        <w:rPr>
          <w:rFonts w:hint="eastAsia"/>
          <w:kern w:val="0"/>
          <w:szCs w:val="21"/>
        </w:rPr>
        <w:t>基因的概念；基因的结构。基因分离克隆的基本原理；主要克隆策略。基因组文库的构建；</w:t>
      </w:r>
      <w:r>
        <w:rPr>
          <w:rFonts w:hint="eastAsia"/>
          <w:kern w:val="0"/>
          <w:szCs w:val="21"/>
        </w:rPr>
        <w:t>cDNA</w:t>
      </w:r>
      <w:r>
        <w:rPr>
          <w:rFonts w:hint="eastAsia"/>
          <w:kern w:val="0"/>
          <w:szCs w:val="21"/>
        </w:rPr>
        <w:t>文库的构建及目的</w:t>
      </w:r>
      <w:r>
        <w:rPr>
          <w:rFonts w:hint="eastAsia"/>
          <w:kern w:val="0"/>
          <w:szCs w:val="21"/>
        </w:rPr>
        <w:t>cDNA</w:t>
      </w:r>
      <w:r>
        <w:rPr>
          <w:rFonts w:hint="eastAsia"/>
          <w:kern w:val="0"/>
          <w:szCs w:val="21"/>
        </w:rPr>
        <w:t>克隆的筛选。</w:t>
      </w:r>
    </w:p>
    <w:p w14:paraId="01326912"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5F5882C" w14:textId="77777777" w:rsidR="00F5289E" w:rsidRDefault="00C91173">
      <w:pPr>
        <w:snapToGrid w:val="0"/>
        <w:spacing w:beforeLines="50" w:before="156" w:line="360" w:lineRule="auto"/>
        <w:rPr>
          <w:b/>
          <w:szCs w:val="21"/>
        </w:rPr>
      </w:pPr>
      <w:r>
        <w:rPr>
          <w:b/>
          <w:szCs w:val="21"/>
        </w:rPr>
        <w:t>1</w:t>
      </w:r>
      <w:r>
        <w:rPr>
          <w:b/>
          <w:szCs w:val="21"/>
        </w:rPr>
        <w:t>、识记</w:t>
      </w:r>
      <w:r>
        <w:rPr>
          <w:szCs w:val="21"/>
        </w:rPr>
        <w:t>：（</w:t>
      </w:r>
      <w:r>
        <w:rPr>
          <w:szCs w:val="21"/>
        </w:rPr>
        <w:t>1</w:t>
      </w:r>
      <w:r>
        <w:rPr>
          <w:szCs w:val="21"/>
        </w:rPr>
        <w:t>）基因组文库、</w:t>
      </w:r>
      <w:r>
        <w:rPr>
          <w:szCs w:val="21"/>
        </w:rPr>
        <w:t>cDNA</w:t>
      </w:r>
      <w:r>
        <w:rPr>
          <w:szCs w:val="21"/>
        </w:rPr>
        <w:t>文库的概念；（</w:t>
      </w:r>
      <w:r>
        <w:rPr>
          <w:szCs w:val="21"/>
        </w:rPr>
        <w:t>2</w:t>
      </w:r>
      <w:r>
        <w:rPr>
          <w:szCs w:val="21"/>
        </w:rPr>
        <w:t>）基因分离的基本方法和原理。</w:t>
      </w:r>
    </w:p>
    <w:p w14:paraId="3775AF0B" w14:textId="77777777" w:rsidR="00F5289E" w:rsidRDefault="00C91173">
      <w:pPr>
        <w:snapToGrid w:val="0"/>
        <w:spacing w:beforeLines="50" w:before="156" w:line="360" w:lineRule="auto"/>
        <w:rPr>
          <w:b/>
          <w:szCs w:val="21"/>
        </w:rPr>
      </w:pPr>
      <w:r>
        <w:rPr>
          <w:b/>
          <w:szCs w:val="21"/>
        </w:rPr>
        <w:t>2</w:t>
      </w:r>
      <w:r>
        <w:rPr>
          <w:b/>
          <w:szCs w:val="21"/>
        </w:rPr>
        <w:t>、领会</w:t>
      </w:r>
      <w:r>
        <w:rPr>
          <w:szCs w:val="21"/>
        </w:rPr>
        <w:t>：（</w:t>
      </w:r>
      <w:r>
        <w:rPr>
          <w:szCs w:val="21"/>
        </w:rPr>
        <w:t>1</w:t>
      </w:r>
      <w:r>
        <w:rPr>
          <w:szCs w:val="21"/>
        </w:rPr>
        <w:t>）</w:t>
      </w:r>
      <w:r>
        <w:rPr>
          <w:bCs/>
        </w:rPr>
        <w:t>基因的概念和结构；（</w:t>
      </w:r>
      <w:r>
        <w:rPr>
          <w:bCs/>
        </w:rPr>
        <w:t>2</w:t>
      </w:r>
      <w:r>
        <w:rPr>
          <w:bCs/>
        </w:rPr>
        <w:t>）基因克隆的基本原理。</w:t>
      </w:r>
    </w:p>
    <w:p w14:paraId="38C8FAAB" w14:textId="77777777" w:rsidR="00F5289E" w:rsidRDefault="00C91173">
      <w:pPr>
        <w:snapToGrid w:val="0"/>
        <w:spacing w:beforeLines="50" w:before="156" w:line="360" w:lineRule="auto"/>
        <w:rPr>
          <w:b/>
          <w:szCs w:val="21"/>
        </w:rPr>
      </w:pPr>
      <w:r>
        <w:rPr>
          <w:b/>
          <w:szCs w:val="21"/>
        </w:rPr>
        <w:t>3</w:t>
      </w:r>
      <w:r>
        <w:rPr>
          <w:b/>
          <w:szCs w:val="21"/>
        </w:rPr>
        <w:t>、简单应用</w:t>
      </w:r>
      <w:r>
        <w:rPr>
          <w:szCs w:val="21"/>
        </w:rPr>
        <w:t>：（</w:t>
      </w:r>
      <w:r>
        <w:rPr>
          <w:szCs w:val="21"/>
        </w:rPr>
        <w:t>1</w:t>
      </w:r>
      <w:r>
        <w:rPr>
          <w:szCs w:val="21"/>
        </w:rPr>
        <w:t>）基因组文库、</w:t>
      </w:r>
      <w:r>
        <w:rPr>
          <w:szCs w:val="21"/>
        </w:rPr>
        <w:t>cDNA</w:t>
      </w:r>
      <w:r>
        <w:rPr>
          <w:szCs w:val="21"/>
        </w:rPr>
        <w:t>文库构建的方法；（</w:t>
      </w:r>
      <w:r>
        <w:rPr>
          <w:szCs w:val="21"/>
        </w:rPr>
        <w:t>2</w:t>
      </w:r>
      <w:r>
        <w:rPr>
          <w:szCs w:val="21"/>
        </w:rPr>
        <w:t>）基因组文库、</w:t>
      </w:r>
      <w:r>
        <w:rPr>
          <w:szCs w:val="21"/>
        </w:rPr>
        <w:t>cDNA</w:t>
      </w:r>
      <w:r>
        <w:rPr>
          <w:szCs w:val="21"/>
        </w:rPr>
        <w:t>文库质量检测方法。</w:t>
      </w:r>
    </w:p>
    <w:p w14:paraId="11453928" w14:textId="77777777" w:rsidR="00F5289E" w:rsidRDefault="00C91173">
      <w:pPr>
        <w:snapToGrid w:val="0"/>
        <w:spacing w:beforeLines="50" w:before="156" w:line="360" w:lineRule="auto"/>
        <w:rPr>
          <w:b/>
          <w:szCs w:val="21"/>
        </w:rPr>
      </w:pPr>
      <w:r>
        <w:rPr>
          <w:b/>
          <w:szCs w:val="21"/>
        </w:rPr>
        <w:lastRenderedPageBreak/>
        <w:t>4</w:t>
      </w:r>
      <w:r>
        <w:rPr>
          <w:b/>
          <w:szCs w:val="21"/>
        </w:rPr>
        <w:t>、综合应用</w:t>
      </w:r>
      <w:r>
        <w:rPr>
          <w:szCs w:val="21"/>
        </w:rPr>
        <w:t>：（</w:t>
      </w:r>
      <w:r>
        <w:rPr>
          <w:szCs w:val="21"/>
        </w:rPr>
        <w:t>1</w:t>
      </w:r>
      <w:r>
        <w:rPr>
          <w:szCs w:val="21"/>
        </w:rPr>
        <w:t>）从基因组文库、</w:t>
      </w:r>
      <w:r>
        <w:rPr>
          <w:szCs w:val="21"/>
        </w:rPr>
        <w:t>cDNA</w:t>
      </w:r>
      <w:r>
        <w:rPr>
          <w:szCs w:val="21"/>
        </w:rPr>
        <w:t>文库中分离目的基因。</w:t>
      </w:r>
    </w:p>
    <w:p w14:paraId="27AE6E80"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第五章  植物转基因技术</w:t>
      </w:r>
    </w:p>
    <w:p w14:paraId="69D1FC7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7CF4483" w14:textId="77777777" w:rsidR="00F5289E" w:rsidRDefault="00C91173">
      <w:pPr>
        <w:widowControl/>
        <w:snapToGrid w:val="0"/>
        <w:spacing w:line="360" w:lineRule="auto"/>
        <w:rPr>
          <w:kern w:val="0"/>
          <w:szCs w:val="21"/>
        </w:rPr>
      </w:pPr>
      <w:r>
        <w:rPr>
          <w:rFonts w:ascii="宋体" w:hAnsi="宋体" w:hint="eastAsia"/>
          <w:b/>
          <w:szCs w:val="21"/>
        </w:rPr>
        <w:t>1. 一般了解</w:t>
      </w:r>
      <w:r>
        <w:rPr>
          <w:rFonts w:ascii="宋体" w:hAnsi="宋体" w:hint="eastAsia"/>
          <w:szCs w:val="21"/>
        </w:rPr>
        <w:t>：植物转基因研究概况</w:t>
      </w:r>
      <w:r>
        <w:rPr>
          <w:rFonts w:hint="eastAsia"/>
          <w:kern w:val="0"/>
          <w:szCs w:val="21"/>
        </w:rPr>
        <w:t>；转基因植物的安全性评价。</w:t>
      </w:r>
    </w:p>
    <w:p w14:paraId="258422EB" w14:textId="77777777" w:rsidR="00F5289E" w:rsidRDefault="00C91173">
      <w:pPr>
        <w:snapToGrid w:val="0"/>
        <w:spacing w:beforeLines="50" w:before="156" w:line="360" w:lineRule="auto"/>
        <w:rPr>
          <w:b/>
          <w:bCs/>
          <w:kern w:val="0"/>
          <w:szCs w:val="21"/>
        </w:rPr>
      </w:pPr>
      <w:r>
        <w:rPr>
          <w:rFonts w:ascii="宋体" w:hAnsi="宋体" w:hint="eastAsia"/>
          <w:b/>
          <w:szCs w:val="21"/>
        </w:rPr>
        <w:t>2. 一般掌握</w:t>
      </w:r>
      <w:r>
        <w:rPr>
          <w:rFonts w:ascii="宋体" w:hAnsi="宋体" w:hint="eastAsia"/>
          <w:szCs w:val="21"/>
        </w:rPr>
        <w:t>：</w:t>
      </w:r>
      <w:r>
        <w:rPr>
          <w:rFonts w:hAnsi="宋体" w:hint="eastAsia"/>
          <w:bCs/>
        </w:rPr>
        <w:t>转基因植物的鉴定方法；转基因在园艺植物改良中的应用。</w:t>
      </w:r>
    </w:p>
    <w:p w14:paraId="593C563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Ansi="宋体" w:hint="eastAsia"/>
          <w:bCs/>
        </w:rPr>
        <w:t>转基因技术相关概念；转基因的主要方法及原理；外植体选择特点。</w:t>
      </w:r>
    </w:p>
    <w:p w14:paraId="7AC4EC7F"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6FB1C6E2" w14:textId="77777777" w:rsidR="00F5289E" w:rsidRDefault="00C91173">
      <w:pPr>
        <w:widowControl/>
        <w:snapToGrid w:val="0"/>
        <w:spacing w:line="360" w:lineRule="auto"/>
        <w:ind w:firstLineChars="200" w:firstLine="420"/>
        <w:rPr>
          <w:rFonts w:cs="宋体"/>
          <w:kern w:val="0"/>
          <w:szCs w:val="21"/>
        </w:rPr>
      </w:pPr>
      <w:r>
        <w:rPr>
          <w:rFonts w:hint="eastAsia"/>
          <w:kern w:val="0"/>
          <w:szCs w:val="21"/>
        </w:rPr>
        <w:t>转基因技术相关概念；植物转基因研究概况；原生质体转化法；基因枪法；农杆菌介导法；电击法；花粉管通道法；外植体的选择。外源基因整合的鉴定；外源基因表达的检测；转基因在园艺植物改良中的应用。转基因植物的食品安全性；转基因植物生态环境的安全性；转基因植物的安全性管理办法。</w:t>
      </w:r>
    </w:p>
    <w:p w14:paraId="1227CAF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1BA1E06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w:t>
      </w:r>
      <w:r>
        <w:rPr>
          <w:rFonts w:hAnsi="宋体" w:hint="eastAsia"/>
          <w:bCs/>
        </w:rPr>
        <w:t>转基因技术相关概念；（</w:t>
      </w:r>
      <w:r>
        <w:rPr>
          <w:rFonts w:hAnsi="宋体" w:hint="eastAsia"/>
          <w:bCs/>
        </w:rPr>
        <w:t>2</w:t>
      </w:r>
      <w:r>
        <w:rPr>
          <w:rFonts w:hAnsi="宋体" w:hint="eastAsia"/>
          <w:bCs/>
        </w:rPr>
        <w:t>）转基因的主要方法及原理。</w:t>
      </w:r>
    </w:p>
    <w:p w14:paraId="2C2AF9F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：（1）植物转基因研究概况</w:t>
      </w:r>
      <w:r>
        <w:rPr>
          <w:rFonts w:hint="eastAsia"/>
          <w:kern w:val="0"/>
          <w:szCs w:val="21"/>
        </w:rPr>
        <w:t>；（</w:t>
      </w:r>
      <w:r>
        <w:rPr>
          <w:rFonts w:hint="eastAsia"/>
          <w:kern w:val="0"/>
          <w:szCs w:val="21"/>
        </w:rPr>
        <w:t>2</w:t>
      </w:r>
      <w:r>
        <w:rPr>
          <w:rFonts w:hint="eastAsia"/>
          <w:kern w:val="0"/>
          <w:szCs w:val="21"/>
        </w:rPr>
        <w:t>）转基因植物的安全性评价。</w:t>
      </w:r>
    </w:p>
    <w:p w14:paraId="07C3EF5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3、简单应用</w:t>
      </w:r>
      <w:r>
        <w:rPr>
          <w:rFonts w:ascii="宋体" w:hAnsi="宋体" w:hint="eastAsia"/>
          <w:szCs w:val="21"/>
        </w:rPr>
        <w:t>：（1）</w:t>
      </w:r>
      <w:r>
        <w:rPr>
          <w:rFonts w:hAnsi="宋体" w:hint="eastAsia"/>
          <w:bCs/>
        </w:rPr>
        <w:t>转基因植物的鉴定方法；（</w:t>
      </w:r>
      <w:r>
        <w:rPr>
          <w:rFonts w:hAnsi="宋体" w:hint="eastAsia"/>
          <w:bCs/>
        </w:rPr>
        <w:t>2</w:t>
      </w:r>
      <w:r>
        <w:rPr>
          <w:rFonts w:hAnsi="宋体" w:hint="eastAsia"/>
          <w:bCs/>
        </w:rPr>
        <w:t>）</w:t>
      </w:r>
      <w:r>
        <w:rPr>
          <w:rFonts w:hint="eastAsia"/>
          <w:kern w:val="0"/>
          <w:szCs w:val="21"/>
        </w:rPr>
        <w:t>转基因植物的安全性评价方法。</w:t>
      </w:r>
    </w:p>
    <w:p w14:paraId="02C2A7F1"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4、综合应用</w:t>
      </w:r>
      <w:r>
        <w:rPr>
          <w:rFonts w:ascii="宋体" w:hAnsi="宋体" w:hint="eastAsia"/>
          <w:szCs w:val="21"/>
        </w:rPr>
        <w:t>：（1）</w:t>
      </w:r>
      <w:r>
        <w:rPr>
          <w:rFonts w:hAnsi="宋体" w:hint="eastAsia"/>
          <w:bCs/>
        </w:rPr>
        <w:t>转基因在园艺植物改良中的应用。</w:t>
      </w:r>
    </w:p>
    <w:p w14:paraId="00B18446" w14:textId="77777777" w:rsidR="00F5289E" w:rsidRDefault="00F5289E">
      <w:pPr>
        <w:snapToGrid w:val="0"/>
        <w:spacing w:line="360" w:lineRule="auto"/>
        <w:rPr>
          <w:rFonts w:hAnsi="宋体"/>
          <w:b/>
          <w:bCs/>
          <w:kern w:val="0"/>
          <w:szCs w:val="21"/>
        </w:rPr>
      </w:pPr>
    </w:p>
    <w:p w14:paraId="352C1BFE" w14:textId="77777777" w:rsidR="00F5289E" w:rsidRDefault="00C91173">
      <w:pPr>
        <w:snapToGrid w:val="0"/>
        <w:spacing w:line="360" w:lineRule="auto"/>
        <w:jc w:val="center"/>
        <w:rPr>
          <w:b/>
          <w:bCs/>
          <w:kern w:val="0"/>
          <w:szCs w:val="21"/>
        </w:rPr>
      </w:pPr>
      <w:r>
        <w:rPr>
          <w:rFonts w:hAnsi="宋体"/>
          <w:b/>
          <w:bCs/>
          <w:kern w:val="0"/>
          <w:szCs w:val="21"/>
        </w:rPr>
        <w:t>第</w:t>
      </w:r>
      <w:r>
        <w:rPr>
          <w:rFonts w:hAnsi="宋体" w:hint="eastAsia"/>
          <w:b/>
          <w:bCs/>
          <w:kern w:val="0"/>
          <w:szCs w:val="21"/>
        </w:rPr>
        <w:t>六</w:t>
      </w:r>
      <w:r>
        <w:rPr>
          <w:rFonts w:hAnsi="宋体"/>
          <w:b/>
          <w:bCs/>
          <w:kern w:val="0"/>
          <w:szCs w:val="21"/>
        </w:rPr>
        <w:t>章</w:t>
      </w:r>
      <w:r>
        <w:rPr>
          <w:rFonts w:hint="eastAsia"/>
          <w:b/>
          <w:bCs/>
          <w:kern w:val="0"/>
          <w:szCs w:val="21"/>
        </w:rPr>
        <w:t xml:space="preserve">  </w:t>
      </w:r>
      <w:r>
        <w:rPr>
          <w:rFonts w:hint="eastAsia"/>
          <w:b/>
          <w:bCs/>
          <w:kern w:val="0"/>
          <w:szCs w:val="21"/>
        </w:rPr>
        <w:t>园艺植物生物技术与生物信息学</w:t>
      </w:r>
    </w:p>
    <w:p w14:paraId="783AB056"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E8BD4D4" w14:textId="77777777" w:rsidR="00F5289E" w:rsidRDefault="00C91173">
      <w:pPr>
        <w:widowControl/>
        <w:snapToGrid w:val="0"/>
        <w:spacing w:line="360" w:lineRule="auto"/>
        <w:rPr>
          <w:kern w:val="0"/>
          <w:szCs w:val="21"/>
        </w:rPr>
      </w:pPr>
      <w:r>
        <w:rPr>
          <w:rFonts w:ascii="宋体" w:hAnsi="宋体" w:hint="eastAsia"/>
          <w:b/>
          <w:szCs w:val="21"/>
        </w:rPr>
        <w:t>1. 一般了解</w:t>
      </w:r>
      <w:r>
        <w:rPr>
          <w:rFonts w:ascii="宋体" w:hAnsi="宋体" w:hint="eastAsia"/>
          <w:szCs w:val="21"/>
        </w:rPr>
        <w:t>：</w:t>
      </w:r>
      <w:r>
        <w:rPr>
          <w:bCs/>
          <w:kern w:val="0"/>
          <w:szCs w:val="21"/>
        </w:rPr>
        <w:t>了解</w:t>
      </w:r>
      <w:r>
        <w:rPr>
          <w:rFonts w:hint="eastAsia"/>
          <w:bCs/>
          <w:kern w:val="0"/>
          <w:szCs w:val="21"/>
        </w:rPr>
        <w:t>生物信息学发展史、常用数据库及生物信息学在园艺植物中的应用及前景。</w:t>
      </w:r>
    </w:p>
    <w:p w14:paraId="5570BBBB" w14:textId="77777777" w:rsidR="00F5289E" w:rsidRDefault="00C91173">
      <w:pPr>
        <w:snapToGrid w:val="0"/>
        <w:spacing w:beforeLines="50" w:before="156" w:line="360" w:lineRule="auto"/>
        <w:rPr>
          <w:b/>
          <w:bCs/>
          <w:kern w:val="0"/>
          <w:szCs w:val="21"/>
        </w:rPr>
      </w:pPr>
      <w:r>
        <w:rPr>
          <w:rFonts w:ascii="宋体" w:hAnsi="宋体" w:hint="eastAsia"/>
          <w:b/>
          <w:szCs w:val="21"/>
        </w:rPr>
        <w:t>2. 一般掌握</w:t>
      </w:r>
      <w:r>
        <w:rPr>
          <w:rFonts w:ascii="宋体" w:hAnsi="宋体" w:hint="eastAsia"/>
          <w:szCs w:val="21"/>
        </w:rPr>
        <w:t>：</w:t>
      </w:r>
      <w:r>
        <w:rPr>
          <w:rFonts w:hint="eastAsia"/>
          <w:bCs/>
          <w:kern w:val="0"/>
          <w:szCs w:val="21"/>
        </w:rPr>
        <w:t>常用数据库</w:t>
      </w:r>
      <w:r>
        <w:rPr>
          <w:rFonts w:hint="eastAsia"/>
          <w:bCs/>
          <w:kern w:val="0"/>
          <w:szCs w:val="21"/>
        </w:rPr>
        <w:t>NCBI</w:t>
      </w:r>
      <w:r>
        <w:rPr>
          <w:rFonts w:hint="eastAsia"/>
          <w:bCs/>
          <w:kern w:val="0"/>
          <w:szCs w:val="21"/>
        </w:rPr>
        <w:t>、</w:t>
      </w:r>
      <w:proofErr w:type="spellStart"/>
      <w:r>
        <w:rPr>
          <w:rFonts w:hint="eastAsia"/>
          <w:bCs/>
          <w:kern w:val="0"/>
          <w:szCs w:val="21"/>
        </w:rPr>
        <w:t>phytozome</w:t>
      </w:r>
      <w:proofErr w:type="spellEnd"/>
      <w:r>
        <w:rPr>
          <w:rFonts w:hint="eastAsia"/>
          <w:bCs/>
          <w:kern w:val="0"/>
          <w:szCs w:val="21"/>
        </w:rPr>
        <w:t>、</w:t>
      </w:r>
      <w:r>
        <w:rPr>
          <w:rFonts w:hint="eastAsia"/>
          <w:bCs/>
          <w:kern w:val="0"/>
          <w:szCs w:val="21"/>
        </w:rPr>
        <w:t>KEGG</w:t>
      </w:r>
      <w:r>
        <w:rPr>
          <w:rFonts w:hint="eastAsia"/>
          <w:bCs/>
          <w:kern w:val="0"/>
          <w:szCs w:val="21"/>
        </w:rPr>
        <w:t>、</w:t>
      </w:r>
      <w:r>
        <w:rPr>
          <w:rFonts w:hint="eastAsia"/>
          <w:bCs/>
          <w:kern w:val="0"/>
          <w:szCs w:val="21"/>
        </w:rPr>
        <w:t>uniport</w:t>
      </w:r>
      <w:r>
        <w:rPr>
          <w:rFonts w:hint="eastAsia"/>
          <w:bCs/>
          <w:kern w:val="0"/>
          <w:szCs w:val="21"/>
        </w:rPr>
        <w:t>等的使用方法</w:t>
      </w:r>
      <w:r>
        <w:rPr>
          <w:rFonts w:hAnsi="宋体" w:hint="eastAsia"/>
          <w:bCs/>
        </w:rPr>
        <w:t>。</w:t>
      </w:r>
    </w:p>
    <w:p w14:paraId="60DED25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bCs/>
          <w:kern w:val="0"/>
          <w:szCs w:val="21"/>
        </w:rPr>
        <w:t>利用生物信息学方法从各生物学科众多分散的观测资料中发现联系和规律，进而挖掘潜在的信息与知识</w:t>
      </w:r>
      <w:r>
        <w:rPr>
          <w:rFonts w:hAnsi="宋体" w:hint="eastAsia"/>
          <w:bCs/>
        </w:rPr>
        <w:t>。</w:t>
      </w:r>
    </w:p>
    <w:p w14:paraId="5F394D64"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45AEF16" w14:textId="77777777" w:rsidR="00F5289E" w:rsidRDefault="00C91173">
      <w:pPr>
        <w:widowControl/>
        <w:snapToGrid w:val="0"/>
        <w:spacing w:line="360" w:lineRule="auto"/>
        <w:ind w:firstLineChars="200" w:firstLine="420"/>
        <w:rPr>
          <w:rFonts w:cs="宋体"/>
          <w:kern w:val="0"/>
          <w:szCs w:val="21"/>
        </w:rPr>
      </w:pPr>
      <w:r>
        <w:rPr>
          <w:rFonts w:hint="eastAsia"/>
          <w:kern w:val="0"/>
          <w:szCs w:val="21"/>
        </w:rPr>
        <w:t>生物信息学发展史和生物信息学方法的基本原理和方法；</w:t>
      </w:r>
      <w:r>
        <w:rPr>
          <w:rFonts w:hint="eastAsia"/>
          <w:bCs/>
          <w:kern w:val="0"/>
          <w:szCs w:val="21"/>
        </w:rPr>
        <w:t>常用数据库</w:t>
      </w:r>
      <w:r>
        <w:rPr>
          <w:rFonts w:hint="eastAsia"/>
          <w:bCs/>
          <w:kern w:val="0"/>
          <w:szCs w:val="21"/>
        </w:rPr>
        <w:t>NCBI</w:t>
      </w:r>
      <w:r>
        <w:rPr>
          <w:rFonts w:hint="eastAsia"/>
          <w:bCs/>
          <w:kern w:val="0"/>
          <w:szCs w:val="21"/>
        </w:rPr>
        <w:t>、</w:t>
      </w:r>
      <w:proofErr w:type="spellStart"/>
      <w:r>
        <w:rPr>
          <w:rFonts w:hint="eastAsia"/>
          <w:bCs/>
          <w:kern w:val="0"/>
          <w:szCs w:val="21"/>
        </w:rPr>
        <w:t>phytozome</w:t>
      </w:r>
      <w:proofErr w:type="spellEnd"/>
      <w:r>
        <w:rPr>
          <w:rFonts w:hint="eastAsia"/>
          <w:bCs/>
          <w:kern w:val="0"/>
          <w:szCs w:val="21"/>
        </w:rPr>
        <w:t>、</w:t>
      </w:r>
      <w:r>
        <w:rPr>
          <w:rFonts w:hint="eastAsia"/>
          <w:bCs/>
          <w:kern w:val="0"/>
          <w:szCs w:val="21"/>
        </w:rPr>
        <w:t>KEGG</w:t>
      </w:r>
      <w:r>
        <w:rPr>
          <w:rFonts w:hint="eastAsia"/>
          <w:bCs/>
          <w:kern w:val="0"/>
          <w:szCs w:val="21"/>
        </w:rPr>
        <w:t>、</w:t>
      </w:r>
      <w:r>
        <w:rPr>
          <w:rFonts w:hint="eastAsia"/>
          <w:bCs/>
          <w:kern w:val="0"/>
          <w:szCs w:val="21"/>
        </w:rPr>
        <w:t>uniport</w:t>
      </w:r>
      <w:r>
        <w:rPr>
          <w:rFonts w:hint="eastAsia"/>
          <w:bCs/>
          <w:kern w:val="0"/>
          <w:szCs w:val="21"/>
        </w:rPr>
        <w:t>等的使用方法</w:t>
      </w:r>
      <w:r>
        <w:rPr>
          <w:rFonts w:hint="eastAsia"/>
          <w:kern w:val="0"/>
          <w:szCs w:val="21"/>
        </w:rPr>
        <w:t>；生物信息学方法应用的前景。</w:t>
      </w:r>
    </w:p>
    <w:p w14:paraId="1F92FF3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5552A0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w:t>
      </w:r>
      <w:r>
        <w:rPr>
          <w:rFonts w:hAnsi="宋体" w:hint="eastAsia"/>
          <w:bCs/>
        </w:rPr>
        <w:t>生物信息学的发展史；</w:t>
      </w:r>
      <w:r>
        <w:rPr>
          <w:rFonts w:hint="eastAsia"/>
          <w:kern w:val="0"/>
          <w:szCs w:val="21"/>
        </w:rPr>
        <w:t>（</w:t>
      </w:r>
      <w:r>
        <w:rPr>
          <w:rFonts w:hint="eastAsia"/>
          <w:kern w:val="0"/>
          <w:szCs w:val="21"/>
        </w:rPr>
        <w:t>2</w:t>
      </w:r>
      <w:r>
        <w:rPr>
          <w:rFonts w:hint="eastAsia"/>
          <w:kern w:val="0"/>
          <w:szCs w:val="21"/>
        </w:rPr>
        <w:t>）生物信息学方法的应用前景。</w:t>
      </w:r>
    </w:p>
    <w:p w14:paraId="0F3B55D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：（1）生物信息学的</w:t>
      </w:r>
      <w:r>
        <w:rPr>
          <w:rFonts w:hAnsi="宋体" w:hint="eastAsia"/>
          <w:bCs/>
        </w:rPr>
        <w:t>基本原理和方法</w:t>
      </w:r>
      <w:r>
        <w:rPr>
          <w:rFonts w:hint="eastAsia"/>
          <w:kern w:val="0"/>
          <w:szCs w:val="21"/>
        </w:rPr>
        <w:t>；（</w:t>
      </w:r>
      <w:r>
        <w:rPr>
          <w:rFonts w:hint="eastAsia"/>
          <w:kern w:val="0"/>
          <w:szCs w:val="21"/>
        </w:rPr>
        <w:t>2</w:t>
      </w:r>
      <w:r>
        <w:rPr>
          <w:rFonts w:hint="eastAsia"/>
          <w:kern w:val="0"/>
          <w:szCs w:val="21"/>
        </w:rPr>
        <w:t>）常用数据库。</w:t>
      </w:r>
    </w:p>
    <w:p w14:paraId="725820FE" w14:textId="77777777" w:rsidR="00F5289E" w:rsidRDefault="00C91173">
      <w:pPr>
        <w:snapToGrid w:val="0"/>
        <w:spacing w:beforeLines="50" w:before="156" w:line="360" w:lineRule="auto"/>
        <w:rPr>
          <w:kern w:val="0"/>
          <w:szCs w:val="21"/>
        </w:rPr>
      </w:pPr>
      <w:r>
        <w:rPr>
          <w:rFonts w:ascii="宋体" w:hAnsi="宋体" w:hint="eastAsia"/>
          <w:b/>
          <w:szCs w:val="21"/>
        </w:rPr>
        <w:lastRenderedPageBreak/>
        <w:t>3、简单应用</w:t>
      </w:r>
      <w:r>
        <w:rPr>
          <w:rFonts w:ascii="宋体" w:hAnsi="宋体" w:hint="eastAsia"/>
          <w:szCs w:val="21"/>
        </w:rPr>
        <w:t>：（1）</w:t>
      </w:r>
      <w:r>
        <w:rPr>
          <w:rFonts w:hint="eastAsia"/>
          <w:bCs/>
          <w:kern w:val="0"/>
          <w:szCs w:val="21"/>
        </w:rPr>
        <w:t>NCBI</w:t>
      </w:r>
      <w:r>
        <w:rPr>
          <w:rFonts w:hint="eastAsia"/>
          <w:bCs/>
          <w:kern w:val="0"/>
          <w:szCs w:val="21"/>
        </w:rPr>
        <w:t>、</w:t>
      </w:r>
      <w:proofErr w:type="spellStart"/>
      <w:r>
        <w:rPr>
          <w:rFonts w:hint="eastAsia"/>
          <w:bCs/>
          <w:kern w:val="0"/>
          <w:szCs w:val="21"/>
        </w:rPr>
        <w:t>phytozome</w:t>
      </w:r>
      <w:proofErr w:type="spellEnd"/>
      <w:r>
        <w:rPr>
          <w:rFonts w:hint="eastAsia"/>
          <w:bCs/>
          <w:kern w:val="0"/>
          <w:szCs w:val="21"/>
        </w:rPr>
        <w:t>、</w:t>
      </w:r>
      <w:r>
        <w:rPr>
          <w:rFonts w:hint="eastAsia"/>
          <w:bCs/>
          <w:kern w:val="0"/>
          <w:szCs w:val="21"/>
        </w:rPr>
        <w:t>KEGG</w:t>
      </w:r>
      <w:r>
        <w:rPr>
          <w:rFonts w:hint="eastAsia"/>
          <w:bCs/>
          <w:kern w:val="0"/>
          <w:szCs w:val="21"/>
        </w:rPr>
        <w:t>、</w:t>
      </w:r>
      <w:r>
        <w:rPr>
          <w:rFonts w:hint="eastAsia"/>
          <w:bCs/>
          <w:kern w:val="0"/>
          <w:szCs w:val="21"/>
        </w:rPr>
        <w:t>uniport</w:t>
      </w:r>
      <w:r>
        <w:rPr>
          <w:rFonts w:hint="eastAsia"/>
          <w:bCs/>
          <w:kern w:val="0"/>
          <w:szCs w:val="21"/>
        </w:rPr>
        <w:t>等的使用方法</w:t>
      </w:r>
      <w:r>
        <w:rPr>
          <w:rFonts w:hint="eastAsia"/>
          <w:kern w:val="0"/>
          <w:szCs w:val="21"/>
        </w:rPr>
        <w:t>。</w:t>
      </w:r>
    </w:p>
    <w:p w14:paraId="39F6A9F5" w14:textId="77777777" w:rsidR="00F5289E" w:rsidRDefault="00F5289E">
      <w:pPr>
        <w:snapToGrid w:val="0"/>
        <w:spacing w:beforeLines="50" w:before="156" w:line="360" w:lineRule="auto"/>
        <w:rPr>
          <w:kern w:val="0"/>
          <w:szCs w:val="21"/>
        </w:rPr>
      </w:pPr>
    </w:p>
    <w:p w14:paraId="46E2F53E" w14:textId="77777777" w:rsidR="00F5289E" w:rsidRDefault="00C91173">
      <w:pPr>
        <w:snapToGrid w:val="0"/>
        <w:spacing w:line="360" w:lineRule="auto"/>
        <w:jc w:val="center"/>
        <w:rPr>
          <w:b/>
          <w:bCs/>
          <w:kern w:val="0"/>
          <w:szCs w:val="21"/>
        </w:rPr>
      </w:pPr>
      <w:r>
        <w:rPr>
          <w:rFonts w:hint="eastAsia"/>
          <w:b/>
          <w:bCs/>
          <w:kern w:val="0"/>
          <w:szCs w:val="21"/>
        </w:rPr>
        <w:t>第七章</w:t>
      </w:r>
      <w:r>
        <w:rPr>
          <w:rFonts w:hint="eastAsia"/>
          <w:b/>
          <w:bCs/>
          <w:kern w:val="0"/>
          <w:szCs w:val="21"/>
        </w:rPr>
        <w:t xml:space="preserve">  </w:t>
      </w:r>
      <w:r>
        <w:rPr>
          <w:rFonts w:hint="eastAsia"/>
          <w:b/>
          <w:bCs/>
          <w:kern w:val="0"/>
          <w:szCs w:val="21"/>
        </w:rPr>
        <w:t>园艺植物生物技术研究进展</w:t>
      </w:r>
    </w:p>
    <w:p w14:paraId="0BE7322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F7CBC58" w14:textId="77777777" w:rsidR="00F5289E" w:rsidRDefault="00C91173">
      <w:pPr>
        <w:widowControl/>
        <w:snapToGrid w:val="0"/>
        <w:spacing w:line="360" w:lineRule="auto"/>
        <w:rPr>
          <w:kern w:val="0"/>
          <w:szCs w:val="21"/>
        </w:rPr>
      </w:pPr>
      <w:r>
        <w:rPr>
          <w:rFonts w:ascii="宋体" w:hAnsi="宋体" w:hint="eastAsia"/>
          <w:b/>
          <w:szCs w:val="21"/>
        </w:rPr>
        <w:t>1. 一般了解</w:t>
      </w:r>
      <w:r>
        <w:rPr>
          <w:rFonts w:ascii="宋体" w:hAnsi="宋体" w:hint="eastAsia"/>
          <w:szCs w:val="21"/>
        </w:rPr>
        <w:t>：</w:t>
      </w:r>
      <w:r>
        <w:rPr>
          <w:szCs w:val="21"/>
        </w:rPr>
        <w:t>了解</w:t>
      </w:r>
      <w:r>
        <w:rPr>
          <w:rFonts w:hint="eastAsia"/>
          <w:szCs w:val="21"/>
        </w:rPr>
        <w:t>常见生物技术方法在果树、蔬菜和花卉植物中的应用。</w:t>
      </w:r>
    </w:p>
    <w:p w14:paraId="2F524733" w14:textId="77777777" w:rsidR="00F5289E" w:rsidRDefault="00C91173">
      <w:pPr>
        <w:widowControl/>
        <w:snapToGrid w:val="0"/>
        <w:spacing w:line="360" w:lineRule="auto"/>
        <w:rPr>
          <w:szCs w:val="21"/>
        </w:rPr>
      </w:pPr>
      <w:r>
        <w:rPr>
          <w:rFonts w:ascii="宋体" w:hAnsi="宋体" w:hint="eastAsia"/>
          <w:b/>
          <w:szCs w:val="21"/>
        </w:rPr>
        <w:t>2. 一般掌握</w:t>
      </w:r>
      <w:r>
        <w:rPr>
          <w:rFonts w:ascii="宋体" w:hAnsi="宋体" w:hint="eastAsia"/>
          <w:szCs w:val="21"/>
        </w:rPr>
        <w:t>：</w:t>
      </w:r>
      <w:r>
        <w:rPr>
          <w:rFonts w:hint="eastAsia"/>
          <w:szCs w:val="21"/>
        </w:rPr>
        <w:t>掌握利用现代生物学方法解决园艺植物科学难题的方法。</w:t>
      </w:r>
    </w:p>
    <w:p w14:paraId="02823118" w14:textId="77777777" w:rsidR="00F5289E" w:rsidRDefault="00C91173">
      <w:pPr>
        <w:widowControl/>
        <w:snapToGrid w:val="0"/>
        <w:spacing w:line="360" w:lineRule="auto"/>
        <w:rPr>
          <w:rFonts w:ascii="宋体" w:hAnsi="宋体"/>
          <w:b/>
          <w:szCs w:val="21"/>
        </w:rPr>
      </w:pPr>
      <w:r>
        <w:rPr>
          <w:rFonts w:ascii="宋体" w:hAnsi="宋体" w:hint="eastAsia"/>
          <w:b/>
          <w:szCs w:val="21"/>
        </w:rPr>
        <w:t>3. 熟练掌握</w:t>
      </w:r>
      <w:r>
        <w:rPr>
          <w:rFonts w:ascii="宋体" w:hAnsi="宋体" w:hint="eastAsia"/>
          <w:szCs w:val="21"/>
        </w:rPr>
        <w:t>：</w:t>
      </w:r>
      <w:r>
        <w:rPr>
          <w:rFonts w:hint="eastAsia"/>
          <w:szCs w:val="21"/>
        </w:rPr>
        <w:t>生物技术在园艺植物中应用的技术原理</w:t>
      </w:r>
      <w:r>
        <w:rPr>
          <w:rFonts w:hAnsi="宋体" w:hint="eastAsia"/>
          <w:bCs/>
        </w:rPr>
        <w:t>。</w:t>
      </w:r>
    </w:p>
    <w:p w14:paraId="57A216B9"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04E891C" w14:textId="77777777" w:rsidR="00F5289E" w:rsidRDefault="00C91173">
      <w:pPr>
        <w:widowControl/>
        <w:snapToGrid w:val="0"/>
        <w:spacing w:line="360" w:lineRule="auto"/>
        <w:ind w:firstLineChars="200" w:firstLine="420"/>
        <w:rPr>
          <w:rFonts w:cs="宋体"/>
          <w:kern w:val="0"/>
          <w:szCs w:val="21"/>
        </w:rPr>
      </w:pPr>
      <w:r>
        <w:rPr>
          <w:szCs w:val="21"/>
        </w:rPr>
        <w:t>了解</w:t>
      </w:r>
      <w:r>
        <w:rPr>
          <w:rFonts w:hint="eastAsia"/>
          <w:szCs w:val="21"/>
        </w:rPr>
        <w:t>园艺植物细胞学技术研究的方法和生物技术的发展趋势；</w:t>
      </w:r>
      <w:r>
        <w:rPr>
          <w:rFonts w:hint="eastAsia"/>
          <w:bCs/>
          <w:szCs w:val="21"/>
        </w:rPr>
        <w:t>主要园艺植物转基因的方法、原理及转基因植株鉴定的方法</w:t>
      </w:r>
      <w:r>
        <w:rPr>
          <w:rFonts w:hint="eastAsia"/>
          <w:kern w:val="0"/>
          <w:szCs w:val="21"/>
        </w:rPr>
        <w:t>；</w:t>
      </w:r>
      <w:r>
        <w:rPr>
          <w:rFonts w:hint="eastAsia"/>
          <w:bCs/>
          <w:szCs w:val="21"/>
        </w:rPr>
        <w:t>分子标记的原理和</w:t>
      </w:r>
      <w:r>
        <w:rPr>
          <w:rFonts w:hint="eastAsia"/>
          <w:bCs/>
        </w:rPr>
        <w:t>分子标记辅助选择育种的应用</w:t>
      </w:r>
      <w:r>
        <w:rPr>
          <w:rFonts w:hint="eastAsia"/>
          <w:kern w:val="0"/>
          <w:szCs w:val="21"/>
        </w:rPr>
        <w:t>。</w:t>
      </w:r>
    </w:p>
    <w:p w14:paraId="5FEEAFBE"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2D8EB2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1、识记</w:t>
      </w:r>
      <w:r>
        <w:rPr>
          <w:rFonts w:ascii="宋体" w:hAnsi="宋体" w:hint="eastAsia"/>
          <w:szCs w:val="21"/>
        </w:rPr>
        <w:t>：（1）</w:t>
      </w:r>
      <w:r>
        <w:rPr>
          <w:rFonts w:hAnsi="宋体" w:hint="eastAsia"/>
          <w:bCs/>
        </w:rPr>
        <w:t>常见生物技术在园艺植物中的应用</w:t>
      </w:r>
      <w:r>
        <w:rPr>
          <w:rFonts w:hint="eastAsia"/>
          <w:kern w:val="0"/>
          <w:szCs w:val="21"/>
        </w:rPr>
        <w:t>；（</w:t>
      </w:r>
      <w:r>
        <w:rPr>
          <w:rFonts w:hint="eastAsia"/>
          <w:kern w:val="0"/>
          <w:szCs w:val="21"/>
        </w:rPr>
        <w:t>2</w:t>
      </w:r>
      <w:r>
        <w:rPr>
          <w:rFonts w:hint="eastAsia"/>
          <w:kern w:val="0"/>
          <w:szCs w:val="21"/>
        </w:rPr>
        <w:t>）分子标记的类型及引用。</w:t>
      </w:r>
    </w:p>
    <w:p w14:paraId="36C3462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2、领会</w:t>
      </w:r>
      <w:r>
        <w:rPr>
          <w:rFonts w:ascii="宋体" w:hAnsi="宋体" w:hint="eastAsia"/>
          <w:szCs w:val="21"/>
        </w:rPr>
        <w:t>：（1）</w:t>
      </w:r>
      <w:r>
        <w:rPr>
          <w:rFonts w:hint="eastAsia"/>
          <w:bCs/>
          <w:szCs w:val="21"/>
        </w:rPr>
        <w:t>主要园艺植物转基因的方法</w:t>
      </w:r>
      <w:r>
        <w:rPr>
          <w:rFonts w:hint="eastAsia"/>
          <w:kern w:val="0"/>
          <w:szCs w:val="21"/>
        </w:rPr>
        <w:t>；（</w:t>
      </w:r>
      <w:r>
        <w:rPr>
          <w:rFonts w:hint="eastAsia"/>
          <w:kern w:val="0"/>
          <w:szCs w:val="21"/>
        </w:rPr>
        <w:t>2</w:t>
      </w:r>
      <w:r>
        <w:rPr>
          <w:rFonts w:hint="eastAsia"/>
          <w:kern w:val="0"/>
          <w:szCs w:val="21"/>
        </w:rPr>
        <w:t>）转基因植物的鉴定方法。</w:t>
      </w:r>
    </w:p>
    <w:p w14:paraId="7C6775CC"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3、简单应用</w:t>
      </w:r>
      <w:r>
        <w:rPr>
          <w:rFonts w:ascii="宋体" w:hAnsi="宋体" w:hint="eastAsia"/>
          <w:szCs w:val="21"/>
        </w:rPr>
        <w:t>：（1）</w:t>
      </w:r>
      <w:r>
        <w:rPr>
          <w:rFonts w:hint="eastAsia"/>
          <w:bCs/>
          <w:kern w:val="0"/>
          <w:szCs w:val="21"/>
        </w:rPr>
        <w:t>分子标记辅助育种</w:t>
      </w:r>
      <w:r>
        <w:rPr>
          <w:rFonts w:hint="eastAsia"/>
          <w:kern w:val="0"/>
          <w:szCs w:val="21"/>
        </w:rPr>
        <w:t>。</w:t>
      </w:r>
    </w:p>
    <w:p w14:paraId="281F0A52" w14:textId="77777777" w:rsidR="00F5289E" w:rsidRDefault="00C91173">
      <w:pPr>
        <w:pStyle w:val="a9"/>
        <w:spacing w:line="360" w:lineRule="auto"/>
        <w:rPr>
          <w:b/>
          <w:bCs/>
        </w:rPr>
      </w:pPr>
      <w:r>
        <w:rPr>
          <w:rFonts w:hint="eastAsia"/>
          <w:b/>
          <w:bCs/>
        </w:rPr>
        <w:t>三、实验教学部分的考核要求</w:t>
      </w:r>
    </w:p>
    <w:p w14:paraId="49DBC554" w14:textId="77777777" w:rsidR="00F5289E" w:rsidRDefault="00C91173">
      <w:pPr>
        <w:pStyle w:val="a9"/>
        <w:spacing w:line="360" w:lineRule="auto"/>
      </w:pPr>
      <w:r>
        <w:rPr>
          <w:rFonts w:hint="eastAsia"/>
        </w:rPr>
        <w:t>（1）了解现代生物技术实验室的结构与布局，掌握生物技术相关仪器设备的应用方法；</w:t>
      </w:r>
    </w:p>
    <w:p w14:paraId="0F2E03AE" w14:textId="77777777" w:rsidR="00F5289E" w:rsidRDefault="00C91173">
      <w:pPr>
        <w:pStyle w:val="a9"/>
        <w:spacing w:line="360" w:lineRule="auto"/>
      </w:pPr>
      <w:r>
        <w:rPr>
          <w:rFonts w:hint="eastAsia"/>
        </w:rPr>
        <w:t>（2）掌握常见的组织培养培养基的配制方法；</w:t>
      </w:r>
    </w:p>
    <w:p w14:paraId="734FEDB8" w14:textId="77777777" w:rsidR="00F5289E" w:rsidRDefault="00C91173">
      <w:pPr>
        <w:pStyle w:val="a9"/>
        <w:spacing w:line="360" w:lineRule="auto"/>
      </w:pPr>
      <w:r>
        <w:rPr>
          <w:rFonts w:hint="eastAsia"/>
        </w:rPr>
        <w:t>（3）掌握常见的园艺植物组织培养的方法；</w:t>
      </w:r>
    </w:p>
    <w:p w14:paraId="5C5F9EEF" w14:textId="77777777" w:rsidR="00F5289E" w:rsidRDefault="00C91173">
      <w:pPr>
        <w:pStyle w:val="a9"/>
        <w:spacing w:line="360" w:lineRule="auto"/>
      </w:pPr>
      <w:r>
        <w:rPr>
          <w:rFonts w:hint="eastAsia"/>
        </w:rPr>
        <w:t>（4）掌握质粒DNA酶切的方法，掌握琼脂糖凝胶电泳检测方法。</w:t>
      </w:r>
    </w:p>
    <w:p w14:paraId="5B6110A9" w14:textId="77777777" w:rsidR="00F5289E" w:rsidRDefault="00C91173">
      <w:pPr>
        <w:pStyle w:val="a9"/>
        <w:spacing w:line="360" w:lineRule="auto"/>
        <w:rPr>
          <w:b/>
          <w:bCs/>
        </w:rPr>
      </w:pPr>
      <w:r>
        <w:rPr>
          <w:rFonts w:hint="eastAsia"/>
          <w:b/>
          <w:bCs/>
        </w:rPr>
        <w:t>四、考核方式</w:t>
      </w:r>
    </w:p>
    <w:p w14:paraId="35C91B6E" w14:textId="77777777" w:rsidR="00F5289E" w:rsidRDefault="00C91173">
      <w:pPr>
        <w:spacing w:afterLines="50" w:after="156" w:line="440" w:lineRule="exact"/>
        <w:ind w:firstLineChars="200" w:firstLine="420"/>
        <w:jc w:val="left"/>
        <w:rPr>
          <w:b/>
          <w:szCs w:val="21"/>
        </w:rPr>
      </w:pPr>
      <w:r>
        <w:rPr>
          <w:bCs/>
          <w:color w:val="000000"/>
          <w:szCs w:val="21"/>
        </w:rPr>
        <w:t>课程考核主要通过课堂考勤、课堂提问、</w:t>
      </w:r>
      <w:r>
        <w:rPr>
          <w:rFonts w:hint="eastAsia"/>
          <w:bCs/>
          <w:color w:val="000000"/>
          <w:szCs w:val="21"/>
        </w:rPr>
        <w:t>线上线下</w:t>
      </w:r>
      <w:r>
        <w:rPr>
          <w:bCs/>
          <w:color w:val="000000"/>
          <w:szCs w:val="21"/>
        </w:rPr>
        <w:t>练习与讨论、实验、期末综合考试等多种方式对学生的学习表现和学习</w:t>
      </w:r>
      <w:r>
        <w:rPr>
          <w:rFonts w:hint="eastAsia"/>
          <w:bCs/>
          <w:color w:val="000000"/>
          <w:szCs w:val="21"/>
        </w:rPr>
        <w:t>成</w:t>
      </w:r>
      <w:r>
        <w:rPr>
          <w:bCs/>
          <w:color w:val="000000"/>
          <w:szCs w:val="21"/>
        </w:rPr>
        <w:t>果进行过程性和综合性评价。在课堂教学与实践过程中，</w:t>
      </w:r>
      <w:r>
        <w:rPr>
          <w:rFonts w:hint="eastAsia"/>
          <w:bCs/>
          <w:color w:val="000000"/>
          <w:szCs w:val="21"/>
        </w:rPr>
        <w:t>通过实验教学和线上线下讨论</w:t>
      </w:r>
      <w:r>
        <w:rPr>
          <w:bCs/>
          <w:color w:val="000000"/>
          <w:szCs w:val="21"/>
        </w:rPr>
        <w:t>，加深学生对理论知识的理解，加强学生独立思考和科学实践能力。根据不同专业和课程性质，</w:t>
      </w:r>
      <w:r>
        <w:rPr>
          <w:rFonts w:hint="eastAsia"/>
          <w:bCs/>
          <w:color w:val="000000"/>
          <w:szCs w:val="21"/>
        </w:rPr>
        <w:t>在每个章节结束，设置章节测验</w:t>
      </w:r>
      <w:r>
        <w:rPr>
          <w:bCs/>
          <w:color w:val="000000"/>
          <w:szCs w:val="21"/>
        </w:rPr>
        <w:t>；期末综合考试设置在课程学习结束后，属于综合测评，测评试题包括基础题目和开放性题目，综合考察学生的学习</w:t>
      </w:r>
      <w:r>
        <w:rPr>
          <w:rFonts w:hint="eastAsia"/>
          <w:bCs/>
          <w:color w:val="000000"/>
          <w:szCs w:val="21"/>
        </w:rPr>
        <w:t>成</w:t>
      </w:r>
      <w:r>
        <w:rPr>
          <w:bCs/>
          <w:color w:val="000000"/>
          <w:szCs w:val="21"/>
        </w:rPr>
        <w:t>果。</w:t>
      </w:r>
    </w:p>
    <w:p w14:paraId="7F2E2459" w14:textId="77777777" w:rsidR="00F5289E" w:rsidRDefault="00C91173">
      <w:pPr>
        <w:pStyle w:val="a9"/>
        <w:spacing w:line="360" w:lineRule="auto"/>
        <w:rPr>
          <w:b/>
          <w:bCs/>
        </w:rPr>
      </w:pPr>
      <w:r>
        <w:rPr>
          <w:rFonts w:hint="eastAsia"/>
          <w:b/>
          <w:bCs/>
        </w:rPr>
        <w:t>五、成绩评定</w:t>
      </w:r>
    </w:p>
    <w:p w14:paraId="28355EEC" w14:textId="77777777" w:rsidR="00F5289E" w:rsidRDefault="00C91173">
      <w:pPr>
        <w:snapToGrid w:val="0"/>
        <w:spacing w:line="360" w:lineRule="auto"/>
        <w:ind w:firstLine="420"/>
        <w:rPr>
          <w:szCs w:val="21"/>
        </w:rPr>
      </w:pPr>
      <w:r>
        <w:rPr>
          <w:szCs w:val="21"/>
        </w:rPr>
        <w:t>1.</w:t>
      </w:r>
      <w:r>
        <w:rPr>
          <w:szCs w:val="21"/>
        </w:rPr>
        <w:t>平时成绩：由课堂表现</w:t>
      </w:r>
      <w:r>
        <w:rPr>
          <w:rFonts w:hint="eastAsia"/>
          <w:szCs w:val="21"/>
        </w:rPr>
        <w:t>和</w:t>
      </w:r>
      <w:r>
        <w:rPr>
          <w:szCs w:val="21"/>
        </w:rPr>
        <w:t>实验实践组成，包括学生在课堂内外学习效果、线上线下实验实践过程实验报告成绩等，满分</w:t>
      </w:r>
      <w:r>
        <w:rPr>
          <w:szCs w:val="21"/>
        </w:rPr>
        <w:t>100</w:t>
      </w:r>
      <w:r>
        <w:rPr>
          <w:szCs w:val="21"/>
        </w:rPr>
        <w:t>分。</w:t>
      </w:r>
    </w:p>
    <w:p w14:paraId="22874F7D" w14:textId="77777777" w:rsidR="00F5289E" w:rsidRDefault="00C91173">
      <w:pPr>
        <w:snapToGrid w:val="0"/>
        <w:spacing w:line="360" w:lineRule="auto"/>
        <w:ind w:firstLineChars="200" w:firstLine="420"/>
        <w:rPr>
          <w:bCs/>
          <w:color w:val="0000FF"/>
          <w:szCs w:val="21"/>
        </w:rPr>
      </w:pPr>
      <w:r>
        <w:rPr>
          <w:color w:val="000000" w:themeColor="text1"/>
        </w:rPr>
        <w:t>2.</w:t>
      </w:r>
      <w:r>
        <w:rPr>
          <w:color w:val="000000" w:themeColor="text1"/>
        </w:rPr>
        <w:t>期末成绩：</w:t>
      </w:r>
      <w:r>
        <w:rPr>
          <w:bCs/>
          <w:color w:val="000000"/>
          <w:szCs w:val="21"/>
        </w:rPr>
        <w:t>期末综合考试一般采用闭卷</w:t>
      </w:r>
      <w:r>
        <w:rPr>
          <w:rFonts w:hint="eastAsia"/>
          <w:bCs/>
          <w:color w:val="000000"/>
          <w:szCs w:val="21"/>
        </w:rPr>
        <w:t>或有限开卷</w:t>
      </w:r>
      <w:r>
        <w:rPr>
          <w:bCs/>
          <w:color w:val="000000"/>
          <w:szCs w:val="21"/>
        </w:rPr>
        <w:t>考试方式，成绩满分为</w:t>
      </w:r>
      <w:r>
        <w:rPr>
          <w:bCs/>
          <w:color w:val="000000"/>
          <w:szCs w:val="21"/>
        </w:rPr>
        <w:t>100</w:t>
      </w:r>
      <w:r>
        <w:rPr>
          <w:bCs/>
          <w:color w:val="000000"/>
          <w:szCs w:val="21"/>
        </w:rPr>
        <w:t>分。</w:t>
      </w:r>
    </w:p>
    <w:p w14:paraId="3C013A63" w14:textId="77777777" w:rsidR="00F5289E" w:rsidRDefault="00C91173">
      <w:pPr>
        <w:snapToGrid w:val="0"/>
        <w:spacing w:line="360" w:lineRule="auto"/>
        <w:ind w:firstLine="420"/>
        <w:rPr>
          <w:bCs/>
          <w:color w:val="0000FF"/>
          <w:szCs w:val="21"/>
        </w:rPr>
      </w:pPr>
      <w:r>
        <w:rPr>
          <w:color w:val="000000" w:themeColor="text1"/>
        </w:rPr>
        <w:t>3.</w:t>
      </w:r>
      <w:r>
        <w:rPr>
          <w:color w:val="000000" w:themeColor="text1"/>
        </w:rPr>
        <w:t>综合成绩：</w:t>
      </w:r>
      <w:r>
        <w:rPr>
          <w:szCs w:val="21"/>
        </w:rPr>
        <w:t>课程成绩由平时成绩和期末综合考试成绩组成，满分</w:t>
      </w:r>
      <w:r>
        <w:rPr>
          <w:szCs w:val="21"/>
        </w:rPr>
        <w:t>100</w:t>
      </w:r>
      <w:r>
        <w:rPr>
          <w:szCs w:val="21"/>
        </w:rPr>
        <w:t>分，其中平时成绩</w:t>
      </w:r>
      <w:r>
        <w:rPr>
          <w:bCs/>
          <w:color w:val="000000"/>
          <w:szCs w:val="21"/>
        </w:rPr>
        <w:t>占课</w:t>
      </w:r>
      <w:r>
        <w:rPr>
          <w:bCs/>
          <w:color w:val="000000"/>
          <w:szCs w:val="21"/>
        </w:rPr>
        <w:lastRenderedPageBreak/>
        <w:t>程最终成绩的</w:t>
      </w:r>
      <w:r>
        <w:rPr>
          <w:bCs/>
          <w:color w:val="000000"/>
          <w:szCs w:val="21"/>
        </w:rPr>
        <w:t>40%~60%</w:t>
      </w:r>
      <w:r>
        <w:rPr>
          <w:bCs/>
          <w:color w:val="000000"/>
          <w:szCs w:val="21"/>
        </w:rPr>
        <w:t>，期末成绩占课程最终成绩的</w:t>
      </w:r>
      <w:r>
        <w:rPr>
          <w:bCs/>
          <w:color w:val="000000"/>
          <w:szCs w:val="21"/>
        </w:rPr>
        <w:t>40%~60%</w:t>
      </w:r>
      <w:r>
        <w:rPr>
          <w:szCs w:val="21"/>
        </w:rPr>
        <w:t>。</w:t>
      </w:r>
    </w:p>
    <w:p w14:paraId="1629C8DA" w14:textId="77777777" w:rsidR="00F5289E" w:rsidRDefault="00C91173">
      <w:pPr>
        <w:pStyle w:val="a9"/>
        <w:spacing w:line="360" w:lineRule="auto"/>
        <w:rPr>
          <w:b/>
          <w:bCs/>
        </w:rPr>
      </w:pPr>
      <w:r>
        <w:rPr>
          <w:rFonts w:hint="eastAsia"/>
          <w:b/>
          <w:bCs/>
        </w:rPr>
        <w:t>六、考核结果分析反馈</w:t>
      </w:r>
    </w:p>
    <w:p w14:paraId="5C0B015A" w14:textId="77777777" w:rsidR="00F5289E" w:rsidRDefault="00C91173">
      <w:pPr>
        <w:snapToGrid w:val="0"/>
        <w:spacing w:line="360" w:lineRule="auto"/>
        <w:ind w:firstLineChars="200" w:firstLine="420"/>
        <w:rPr>
          <w:color w:val="0000FF"/>
          <w:szCs w:val="21"/>
        </w:rPr>
      </w:pPr>
      <w:r>
        <w:rPr>
          <w:bCs/>
          <w:color w:val="000000"/>
          <w:szCs w:val="21"/>
        </w:rPr>
        <w:t>课程考核主要通过不同环节、多种方式对学生的学习表现和学习</w:t>
      </w:r>
      <w:r>
        <w:rPr>
          <w:rFonts w:hint="eastAsia"/>
          <w:bCs/>
          <w:color w:val="000000"/>
          <w:szCs w:val="21"/>
        </w:rPr>
        <w:t>成</w:t>
      </w:r>
      <w:r>
        <w:rPr>
          <w:bCs/>
          <w:color w:val="000000"/>
          <w:szCs w:val="21"/>
        </w:rPr>
        <w:t>果进行全过程及综合性评价。根据学生课堂表现、线上线下作业练习、实验完成成绩等情况，围绕专业要求和培养目标，实时追踪和评价学生学习动态和学习</w:t>
      </w:r>
      <w:r>
        <w:rPr>
          <w:rFonts w:hint="eastAsia"/>
          <w:bCs/>
          <w:color w:val="000000"/>
          <w:szCs w:val="21"/>
        </w:rPr>
        <w:t>成</w:t>
      </w:r>
      <w:r>
        <w:rPr>
          <w:bCs/>
          <w:color w:val="000000"/>
          <w:szCs w:val="21"/>
        </w:rPr>
        <w:t>果。</w:t>
      </w:r>
      <w:r>
        <w:rPr>
          <w:szCs w:val="21"/>
        </w:rPr>
        <w:t>在教学过程中，针对出现的问题，及时与学生沟通交流，分析总结学生学习情况，调整、优化教学进程、内容或方法等，以更有效地提高学生理论学习效果和科学实践能力。通过期末考试对学生综合学习</w:t>
      </w:r>
      <w:r>
        <w:rPr>
          <w:rFonts w:hint="eastAsia"/>
          <w:szCs w:val="21"/>
        </w:rPr>
        <w:t>成</w:t>
      </w:r>
      <w:r>
        <w:rPr>
          <w:szCs w:val="21"/>
        </w:rPr>
        <w:t>果和本课程整体教学效果进行检测，由主讲教师进行考试分析和课程总结，</w:t>
      </w:r>
      <w:r>
        <w:rPr>
          <w:rFonts w:hint="eastAsia"/>
          <w:szCs w:val="21"/>
        </w:rPr>
        <w:t>分析总结出现的问题</w:t>
      </w:r>
      <w:r>
        <w:rPr>
          <w:szCs w:val="21"/>
        </w:rPr>
        <w:t>，并提出解决问题的办法，以及时调整和完善教学大纲、考试大纲和教学方案等，并由此形成对本课程教学和学习效果评价、反馈和不断改进的良性循环。</w:t>
      </w:r>
    </w:p>
    <w:p w14:paraId="2D3FAF57" w14:textId="77777777" w:rsidR="00F5289E" w:rsidRDefault="00F5289E">
      <w:pPr>
        <w:snapToGrid w:val="0"/>
        <w:spacing w:line="360" w:lineRule="auto"/>
        <w:ind w:firstLineChars="200" w:firstLine="420"/>
        <w:rPr>
          <w:color w:val="0000FF"/>
          <w:szCs w:val="21"/>
        </w:rPr>
      </w:pPr>
    </w:p>
    <w:p w14:paraId="7F3667AE" w14:textId="77777777" w:rsidR="00F5289E" w:rsidRDefault="00F5289E">
      <w:pPr>
        <w:snapToGrid w:val="0"/>
        <w:spacing w:line="360" w:lineRule="auto"/>
        <w:rPr>
          <w:rFonts w:ascii="宋体" w:hAnsi="宋体"/>
          <w:color w:val="0000FF"/>
          <w:szCs w:val="21"/>
        </w:rPr>
      </w:pPr>
    </w:p>
    <w:p w14:paraId="65347E90" w14:textId="77777777" w:rsidR="00F5289E" w:rsidRDefault="00C91173">
      <w:pPr>
        <w:widowControl/>
        <w:jc w:val="left"/>
        <w:rPr>
          <w:rFonts w:ascii="宋体" w:hAnsi="宋体"/>
          <w:b/>
          <w:sz w:val="28"/>
          <w:szCs w:val="28"/>
        </w:rPr>
      </w:pPr>
      <w:r>
        <w:rPr>
          <w:rFonts w:ascii="宋体" w:hAnsi="宋体"/>
          <w:b/>
          <w:sz w:val="28"/>
          <w:szCs w:val="28"/>
        </w:rPr>
        <w:br w:type="page"/>
      </w:r>
    </w:p>
    <w:p w14:paraId="29E839FF" w14:textId="77777777" w:rsidR="00F5289E" w:rsidRDefault="00C91173">
      <w:pPr>
        <w:pStyle w:val="1"/>
      </w:pPr>
      <w:bookmarkStart w:id="207" w:name="_Toc138606298"/>
      <w:r>
        <w:rPr>
          <w:rFonts w:hint="eastAsia"/>
        </w:rPr>
        <w:lastRenderedPageBreak/>
        <w:t>园艺专业外语考核大纲</w:t>
      </w:r>
      <w:bookmarkEnd w:id="207"/>
    </w:p>
    <w:p w14:paraId="4D05C3C0" w14:textId="77777777" w:rsidR="00F5289E" w:rsidRDefault="00C91173">
      <w:pPr>
        <w:snapToGrid w:val="0"/>
        <w:spacing w:line="360" w:lineRule="auto"/>
        <w:jc w:val="center"/>
        <w:rPr>
          <w:color w:val="0000FF"/>
          <w:sz w:val="24"/>
        </w:rPr>
      </w:pPr>
      <w:r>
        <w:rPr>
          <w:rFonts w:hint="eastAsia"/>
          <w:color w:val="000000" w:themeColor="text1"/>
          <w:sz w:val="24"/>
        </w:rPr>
        <w:t>（</w:t>
      </w:r>
      <w:r>
        <w:rPr>
          <w:color w:val="000000" w:themeColor="text1"/>
          <w:sz w:val="24"/>
        </w:rPr>
        <w:t>Horticulture</w:t>
      </w:r>
      <w:r>
        <w:rPr>
          <w:color w:val="0000FF"/>
          <w:sz w:val="24"/>
        </w:rPr>
        <w:t xml:space="preserve"> </w:t>
      </w:r>
      <w:r>
        <w:rPr>
          <w:color w:val="000000" w:themeColor="text1"/>
          <w:sz w:val="24"/>
        </w:rPr>
        <w:t>English</w:t>
      </w:r>
      <w:r>
        <w:rPr>
          <w:rFonts w:hint="eastAsia"/>
          <w:color w:val="000000" w:themeColor="text1"/>
          <w:sz w:val="24"/>
        </w:rPr>
        <w:t>）</w:t>
      </w:r>
    </w:p>
    <w:p w14:paraId="71338DF7" w14:textId="77777777" w:rsidR="00F5289E" w:rsidRDefault="00F5289E">
      <w:pPr>
        <w:widowControl/>
        <w:wordWrap w:val="0"/>
        <w:spacing w:before="120" w:after="120"/>
        <w:jc w:val="center"/>
        <w:outlineLvl w:val="0"/>
        <w:rPr>
          <w:rFonts w:eastAsia="黑体" w:hAnsi="宋体" w:cs="宋体"/>
          <w:b/>
          <w:bCs/>
          <w:kern w:val="36"/>
          <w:sz w:val="24"/>
        </w:rPr>
      </w:pPr>
    </w:p>
    <w:p w14:paraId="61DA282D"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29F3CE04" w14:textId="77777777">
        <w:tc>
          <w:tcPr>
            <w:tcW w:w="1665" w:type="pct"/>
          </w:tcPr>
          <w:p w14:paraId="09443279"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ascii="宋体" w:hAnsi="宋体"/>
                <w:szCs w:val="21"/>
              </w:rPr>
              <w:t>19011053</w:t>
            </w:r>
          </w:p>
        </w:tc>
        <w:tc>
          <w:tcPr>
            <w:tcW w:w="1234" w:type="pct"/>
          </w:tcPr>
          <w:p w14:paraId="1851038E"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32</w:t>
            </w:r>
          </w:p>
        </w:tc>
        <w:tc>
          <w:tcPr>
            <w:tcW w:w="2100" w:type="pct"/>
          </w:tcPr>
          <w:p w14:paraId="77022FE1"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2</w:t>
            </w:r>
          </w:p>
        </w:tc>
      </w:tr>
      <w:tr w:rsidR="00F5289E" w14:paraId="76468947" w14:textId="77777777">
        <w:tc>
          <w:tcPr>
            <w:tcW w:w="1665" w:type="pct"/>
          </w:tcPr>
          <w:p w14:paraId="09332BED" w14:textId="77777777" w:rsidR="00F5289E" w:rsidRPr="001B3040" w:rsidRDefault="00C91173">
            <w:pPr>
              <w:spacing w:line="300" w:lineRule="auto"/>
              <w:rPr>
                <w:rFonts w:ascii="宋体" w:hAnsi="宋体"/>
                <w:szCs w:val="21"/>
              </w:rPr>
            </w:pPr>
            <w:r>
              <w:rPr>
                <w:rFonts w:ascii="宋体" w:hAnsi="宋体" w:hint="eastAsia"/>
                <w:b/>
                <w:bCs/>
                <w:szCs w:val="21"/>
              </w:rPr>
              <w:t>主撰人：</w:t>
            </w:r>
            <w:r w:rsidRPr="001B3040">
              <w:rPr>
                <w:rFonts w:ascii="宋体" w:hAnsi="宋体" w:hint="eastAsia"/>
                <w:szCs w:val="21"/>
              </w:rPr>
              <w:t>孙凯乐、孟更、</w:t>
            </w:r>
          </w:p>
          <w:p w14:paraId="0B28C69E" w14:textId="77777777" w:rsidR="00F5289E" w:rsidRDefault="00C91173">
            <w:pPr>
              <w:spacing w:line="300" w:lineRule="auto"/>
              <w:ind w:firstLine="900"/>
              <w:rPr>
                <w:rFonts w:ascii="宋体" w:hAnsi="宋体"/>
                <w:b/>
                <w:bCs/>
                <w:szCs w:val="21"/>
              </w:rPr>
            </w:pPr>
            <w:r w:rsidRPr="001B3040">
              <w:rPr>
                <w:rFonts w:ascii="宋体" w:hAnsi="宋体" w:hint="eastAsia"/>
                <w:szCs w:val="21"/>
              </w:rPr>
              <w:t>张坤玺</w:t>
            </w:r>
          </w:p>
        </w:tc>
        <w:tc>
          <w:tcPr>
            <w:tcW w:w="1234" w:type="pct"/>
          </w:tcPr>
          <w:p w14:paraId="3658529F"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朱华玉</w:t>
            </w:r>
          </w:p>
        </w:tc>
        <w:tc>
          <w:tcPr>
            <w:tcW w:w="2100" w:type="pct"/>
          </w:tcPr>
          <w:p w14:paraId="75667294"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hint="eastAsia"/>
                <w:szCs w:val="21"/>
              </w:rPr>
              <w:t>202</w:t>
            </w:r>
            <w:r w:rsidR="001B3040">
              <w:rPr>
                <w:rFonts w:ascii="宋体" w:hAnsi="宋体"/>
                <w:szCs w:val="21"/>
              </w:rPr>
              <w:t>3.05</w:t>
            </w:r>
          </w:p>
        </w:tc>
      </w:tr>
    </w:tbl>
    <w:p w14:paraId="0B0D7031" w14:textId="77777777" w:rsidR="00F5289E" w:rsidRDefault="00F5289E">
      <w:pPr>
        <w:pStyle w:val="a9"/>
        <w:spacing w:line="360" w:lineRule="auto"/>
        <w:rPr>
          <w:b/>
          <w:bCs/>
        </w:rPr>
      </w:pPr>
    </w:p>
    <w:p w14:paraId="1D95C3F8" w14:textId="77777777" w:rsidR="00F5289E" w:rsidRDefault="00C91173">
      <w:pPr>
        <w:pStyle w:val="a9"/>
        <w:spacing w:line="360" w:lineRule="auto"/>
        <w:rPr>
          <w:b/>
          <w:bCs/>
        </w:rPr>
      </w:pPr>
      <w:r>
        <w:rPr>
          <w:rFonts w:hint="eastAsia"/>
          <w:b/>
          <w:bCs/>
        </w:rPr>
        <w:t>一、课程的性质和地位</w:t>
      </w:r>
    </w:p>
    <w:p w14:paraId="158BD577"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园艺专业英语是将英语应用于园艺学科研究与实践的一门应用性课程，是园艺专业和设施工程专业本科学生的一门专业选修课。该课程主要是通过大量阅读本专业的相关英文原文资料，了解并掌握本专业的常用专业词汇，掌握专业文章的翻译技巧，还可以掌握科技英语的特点，提高学生阅读有关园艺科学方面英文文献的水平，为进一步学好有关专业知识奠定良好的英语语言基础。</w:t>
      </w:r>
    </w:p>
    <w:p w14:paraId="3088FDF0" w14:textId="77777777" w:rsidR="00F5289E" w:rsidRDefault="00C91173">
      <w:pPr>
        <w:pStyle w:val="a9"/>
        <w:spacing w:line="360" w:lineRule="auto"/>
        <w:rPr>
          <w:b/>
          <w:bCs/>
        </w:rPr>
      </w:pPr>
      <w:r>
        <w:rPr>
          <w:rFonts w:hint="eastAsia"/>
          <w:b/>
          <w:bCs/>
        </w:rPr>
        <w:t>二、理论教学部分的考核目标</w:t>
      </w:r>
    </w:p>
    <w:p w14:paraId="1282B383"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通过本专业英文文章和相关专题视频的学习，掌握本课程的专业词汇、语法、用词、语句结构、语态等方面与基础英语相区别的地方；掌握本专业常用的专业词汇和术语。通过对专业文章的学习，了解英文文章的书写思路，快速掌握文章主要内容，提高外文资料的阅读能力。</w:t>
      </w:r>
    </w:p>
    <w:p w14:paraId="3B2D5B77" w14:textId="77777777" w:rsidR="00F5289E" w:rsidRDefault="00C91173">
      <w:pPr>
        <w:snapToGrid w:val="0"/>
        <w:spacing w:line="360" w:lineRule="auto"/>
        <w:ind w:firstLineChars="49" w:firstLine="103"/>
        <w:jc w:val="center"/>
        <w:rPr>
          <w:b/>
          <w:szCs w:val="21"/>
        </w:rPr>
      </w:pPr>
      <w:r>
        <w:rPr>
          <w:rFonts w:hint="eastAsia"/>
          <w:b/>
          <w:szCs w:val="21"/>
        </w:rPr>
        <w:t>绪论</w:t>
      </w:r>
      <w:r>
        <w:rPr>
          <w:b/>
          <w:szCs w:val="21"/>
        </w:rPr>
        <w:t xml:space="preserve">  Horticultural terms</w:t>
      </w:r>
    </w:p>
    <w:p w14:paraId="561ACAE2"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CE61418"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rFonts w:ascii="宋体" w:hAnsi="宋体" w:hint="eastAsia"/>
          <w:bCs/>
          <w:color w:val="000000" w:themeColor="text1"/>
          <w:szCs w:val="21"/>
        </w:rPr>
        <w:t>了解园艺专业相关术语、特定词汇。</w:t>
      </w:r>
    </w:p>
    <w:p w14:paraId="019DCE5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rFonts w:ascii="宋体" w:hAnsi="宋体" w:hint="eastAsia"/>
          <w:bCs/>
          <w:color w:val="000000" w:themeColor="text1"/>
          <w:szCs w:val="21"/>
        </w:rPr>
        <w:t>相关术语的概念和含义，特定词汇的英语专业表达方式。</w:t>
      </w:r>
    </w:p>
    <w:p w14:paraId="1E0094A1"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ascii="宋体" w:hAnsi="宋体" w:hint="eastAsia"/>
          <w:bCs/>
          <w:color w:val="000000" w:themeColor="text1"/>
          <w:szCs w:val="21"/>
        </w:rPr>
        <w:t>能够熟练掌握本章的重点词汇和句子，并能够准确理解和翻译。</w:t>
      </w:r>
    </w:p>
    <w:p w14:paraId="1752957F"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563DE02C"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园艺不同分类的英语表达：植物学、果树学、蔬菜学等。</w:t>
      </w:r>
    </w:p>
    <w:p w14:paraId="1ECDCE91"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常见园艺植物分类和拉丁学名。</w:t>
      </w:r>
    </w:p>
    <w:p w14:paraId="587A52E9"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3. 园艺作物常见生理过程的重点英语词汇。</w:t>
      </w:r>
    </w:p>
    <w:p w14:paraId="67CBA45C"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A6D56F6"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：果树学、蔬菜学，观赏园艺学的专业词汇。</w:t>
      </w:r>
    </w:p>
    <w:p w14:paraId="1FADC04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：园艺植物的常见器官的名称。</w:t>
      </w:r>
    </w:p>
    <w:p w14:paraId="67B75F3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：常见园艺植物分类和拉丁学名与园艺作物常见生理过程的英语词汇。</w:t>
      </w:r>
    </w:p>
    <w:p w14:paraId="00CD2DAF"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4.</w:t>
      </w:r>
      <w:r>
        <w:rPr>
          <w:rFonts w:ascii="宋体" w:hAnsi="宋体"/>
          <w:b/>
          <w:color w:val="0000FF"/>
          <w:szCs w:val="21"/>
        </w:rPr>
        <w:t xml:space="preserve"> </w:t>
      </w:r>
      <w:r>
        <w:rPr>
          <w:rFonts w:ascii="宋体" w:hAnsi="宋体" w:hint="eastAsia"/>
          <w:b/>
          <w:szCs w:val="21"/>
        </w:rPr>
        <w:t>综合</w:t>
      </w:r>
      <w:r>
        <w:rPr>
          <w:rFonts w:ascii="宋体" w:hAnsi="宋体" w:hint="eastAsia"/>
          <w:szCs w:val="21"/>
        </w:rPr>
        <w:t>：能用英语简单阐述自己的专业特征和学习经历。</w:t>
      </w:r>
    </w:p>
    <w:p w14:paraId="5A5E3E7B" w14:textId="77777777" w:rsidR="00F5289E" w:rsidRDefault="00C91173">
      <w:pPr>
        <w:snapToGrid w:val="0"/>
        <w:spacing w:line="360" w:lineRule="auto"/>
        <w:ind w:firstLineChars="49" w:firstLine="103"/>
        <w:jc w:val="center"/>
        <w:rPr>
          <w:b/>
          <w:szCs w:val="21"/>
        </w:rPr>
      </w:pPr>
      <w:r>
        <w:rPr>
          <w:rFonts w:hint="eastAsia"/>
          <w:b/>
          <w:szCs w:val="21"/>
        </w:rPr>
        <w:t>第一章</w:t>
      </w:r>
      <w:r>
        <w:rPr>
          <w:b/>
          <w:szCs w:val="21"/>
        </w:rPr>
        <w:t xml:space="preserve">  Protected Cultivation</w:t>
      </w:r>
    </w:p>
    <w:p w14:paraId="6C8FDF75"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（一）学习目标</w:t>
      </w:r>
    </w:p>
    <w:p w14:paraId="667C6A96"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1. 一般了解</w:t>
      </w:r>
      <w:r>
        <w:rPr>
          <w:rFonts w:ascii="宋体" w:hAnsi="宋体" w:hint="eastAsia"/>
          <w:szCs w:val="21"/>
        </w:rPr>
        <w:t>：</w:t>
      </w:r>
      <w:r>
        <w:rPr>
          <w:rFonts w:ascii="宋体" w:hAnsi="宋体" w:hint="eastAsia"/>
          <w:bCs/>
          <w:color w:val="000000" w:themeColor="text1"/>
          <w:szCs w:val="21"/>
        </w:rPr>
        <w:t>了解本章节保护地栽培相关的专业词汇的含义以及温室的历史和发展过程。</w:t>
      </w:r>
    </w:p>
    <w:p w14:paraId="4E11E9A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rFonts w:ascii="宋体" w:hAnsi="宋体" w:hint="eastAsia"/>
          <w:bCs/>
          <w:color w:val="000000" w:themeColor="text1"/>
          <w:szCs w:val="21"/>
        </w:rPr>
        <w:t>不同形式的玻璃温室和塑料覆盖的结构特点和作用。</w:t>
      </w:r>
    </w:p>
    <w:p w14:paraId="203DEB3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rFonts w:ascii="宋体" w:hAnsi="宋体" w:hint="eastAsia"/>
          <w:bCs/>
          <w:color w:val="000000" w:themeColor="text1"/>
          <w:szCs w:val="21"/>
        </w:rPr>
        <w:t>本章重点词汇和重点语句，包括塑料覆盖栽培、小拱棚、温室等常用保护地设施的优缺点。</w:t>
      </w:r>
    </w:p>
    <w:p w14:paraId="02744E68"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2F0A793"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冷床、温床、玻璃罩、单屋顶温室、冬季花园、橘园、暖房和不同形式的玻璃温室和塑料覆盖专业英语表达。</w:t>
      </w:r>
    </w:p>
    <w:p w14:paraId="25598A4C"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每个发展阶段温室特点。</w:t>
      </w:r>
    </w:p>
    <w:p w14:paraId="771B528F"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6E3B26B1" w14:textId="77777777" w:rsidR="00F5289E" w:rsidRDefault="00C91173">
      <w:pPr>
        <w:snapToGrid w:val="0"/>
        <w:spacing w:line="360" w:lineRule="auto"/>
        <w:ind w:firstLineChars="200" w:firstLine="422"/>
        <w:rPr>
          <w:rFonts w:ascii="宋体" w:hAnsi="宋体"/>
          <w:bCs/>
          <w:color w:val="0000FF"/>
          <w:szCs w:val="21"/>
        </w:rPr>
      </w:pPr>
      <w:r>
        <w:rPr>
          <w:rFonts w:ascii="宋体" w:hAnsi="宋体" w:hint="eastAsia"/>
          <w:b/>
          <w:szCs w:val="21"/>
        </w:rPr>
        <w:t>1.识记</w:t>
      </w:r>
      <w:r>
        <w:rPr>
          <w:rFonts w:ascii="宋体" w:hAnsi="宋体" w:hint="eastAsia"/>
          <w:szCs w:val="21"/>
        </w:rPr>
        <w:t>：塑料覆盖栽培、小拱棚、温室等常用保护地设施的优缺点。</w:t>
      </w:r>
    </w:p>
    <w:p w14:paraId="6E48401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：不同发展阶段温室的结构特点和作用。</w:t>
      </w:r>
    </w:p>
    <w:p w14:paraId="64D0CDC9"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：翻译保护地栽培相关文献。</w:t>
      </w:r>
    </w:p>
    <w:p w14:paraId="397380D8"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w:t>
      </w:r>
      <w:r>
        <w:rPr>
          <w:rFonts w:ascii="宋体" w:hAnsi="宋体"/>
          <w:b/>
          <w:color w:val="0000FF"/>
          <w:szCs w:val="21"/>
        </w:rPr>
        <w:t xml:space="preserve"> </w:t>
      </w:r>
      <w:r>
        <w:rPr>
          <w:rFonts w:ascii="宋体" w:hAnsi="宋体" w:hint="eastAsia"/>
          <w:b/>
          <w:szCs w:val="21"/>
        </w:rPr>
        <w:t>评价</w:t>
      </w:r>
      <w:r>
        <w:rPr>
          <w:rFonts w:ascii="宋体" w:hAnsi="宋体" w:hint="eastAsia"/>
          <w:szCs w:val="21"/>
        </w:rPr>
        <w:t>：观看课程相关视频后完成课后作业。</w:t>
      </w:r>
    </w:p>
    <w:p w14:paraId="1F22BCBB" w14:textId="77777777" w:rsidR="00F5289E" w:rsidRDefault="00C91173">
      <w:pPr>
        <w:snapToGrid w:val="0"/>
        <w:spacing w:line="360" w:lineRule="auto"/>
        <w:ind w:firstLineChars="49" w:firstLine="103"/>
        <w:jc w:val="center"/>
        <w:rPr>
          <w:b/>
          <w:szCs w:val="21"/>
        </w:rPr>
      </w:pPr>
      <w:r>
        <w:rPr>
          <w:rFonts w:hint="eastAsia"/>
          <w:b/>
          <w:szCs w:val="21"/>
        </w:rPr>
        <w:t>第二章</w:t>
      </w:r>
      <w:r>
        <w:rPr>
          <w:b/>
          <w:szCs w:val="21"/>
        </w:rPr>
        <w:t xml:space="preserve">  Greenhouse Climate Control</w:t>
      </w:r>
    </w:p>
    <w:p w14:paraId="12AF18B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6254FD73"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rFonts w:ascii="宋体" w:hAnsi="宋体" w:hint="eastAsia"/>
          <w:bCs/>
          <w:color w:val="000000" w:themeColor="text1"/>
          <w:szCs w:val="21"/>
        </w:rPr>
        <w:t>本章节的重点词汇和重点语句的含义，温室气候控制的主要目标。</w:t>
      </w:r>
    </w:p>
    <w:p w14:paraId="718C091B"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rFonts w:ascii="宋体" w:hAnsi="宋体" w:hint="eastAsia"/>
          <w:bCs/>
          <w:color w:val="000000" w:themeColor="text1"/>
          <w:szCs w:val="21"/>
        </w:rPr>
        <w:t>掌握温室气候控制的主要因子。</w:t>
      </w:r>
    </w:p>
    <w:p w14:paraId="244632F7"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 熟练掌握</w:t>
      </w:r>
      <w:r>
        <w:rPr>
          <w:rFonts w:ascii="宋体" w:hAnsi="宋体" w:hint="eastAsia"/>
          <w:szCs w:val="21"/>
        </w:rPr>
        <w:t>：</w:t>
      </w:r>
      <w:r>
        <w:rPr>
          <w:rFonts w:ascii="宋体" w:hAnsi="宋体" w:hint="eastAsia"/>
          <w:bCs/>
          <w:color w:val="000000" w:themeColor="text1"/>
          <w:szCs w:val="21"/>
        </w:rPr>
        <w:t>重点词汇和语句，能准确阅读和翻译，包括温室气候的控制目标和主要影响因子。</w:t>
      </w:r>
    </w:p>
    <w:p w14:paraId="341E05C6"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7ED040D0"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温室气候控制的主要目标。</w:t>
      </w:r>
    </w:p>
    <w:p w14:paraId="16535B22"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控制温室环境的目的。</w:t>
      </w:r>
    </w:p>
    <w:p w14:paraId="16DBECAA"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3. 温室控制的主要环境因子。</w:t>
      </w:r>
    </w:p>
    <w:p w14:paraId="0E12E9E9"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06A4534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：温室气候控制的主要目标。</w:t>
      </w:r>
    </w:p>
    <w:p w14:paraId="691CB1FF"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：控制温室环境的目的。</w:t>
      </w:r>
    </w:p>
    <w:p w14:paraId="0CE57B9A"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：能用英语翻译温室控制的主要环境因子。</w:t>
      </w:r>
    </w:p>
    <w:p w14:paraId="5AC36F00"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4.</w:t>
      </w:r>
      <w:r>
        <w:rPr>
          <w:rFonts w:ascii="宋体" w:hAnsi="宋体"/>
          <w:b/>
          <w:color w:val="0000FF"/>
          <w:szCs w:val="21"/>
        </w:rPr>
        <w:t xml:space="preserve"> </w:t>
      </w:r>
      <w:r>
        <w:rPr>
          <w:rFonts w:ascii="宋体" w:hAnsi="宋体" w:hint="eastAsia"/>
          <w:b/>
          <w:szCs w:val="21"/>
        </w:rPr>
        <w:t>综合</w:t>
      </w:r>
      <w:r>
        <w:rPr>
          <w:rFonts w:ascii="宋体" w:hAnsi="宋体" w:hint="eastAsia"/>
          <w:szCs w:val="21"/>
        </w:rPr>
        <w:t>：能用英语简单阐述温室控制的主要环境因子。</w:t>
      </w:r>
    </w:p>
    <w:p w14:paraId="16864BB6"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5. 评价</w:t>
      </w:r>
      <w:r>
        <w:rPr>
          <w:rFonts w:ascii="宋体" w:hAnsi="宋体" w:hint="eastAsia"/>
          <w:szCs w:val="21"/>
        </w:rPr>
        <w:t>：观看课程相关视频后完成课后作业。</w:t>
      </w:r>
    </w:p>
    <w:p w14:paraId="3913507F" w14:textId="77777777" w:rsidR="00F5289E" w:rsidRDefault="00C91173">
      <w:pPr>
        <w:snapToGrid w:val="0"/>
        <w:spacing w:line="360" w:lineRule="auto"/>
        <w:ind w:firstLineChars="49" w:firstLine="103"/>
        <w:jc w:val="center"/>
        <w:rPr>
          <w:b/>
          <w:szCs w:val="21"/>
        </w:rPr>
      </w:pPr>
      <w:r>
        <w:rPr>
          <w:rFonts w:hint="eastAsia"/>
          <w:b/>
          <w:szCs w:val="21"/>
        </w:rPr>
        <w:t>第三章</w:t>
      </w:r>
      <w:r>
        <w:rPr>
          <w:b/>
          <w:szCs w:val="21"/>
        </w:rPr>
        <w:t xml:space="preserve">  Soilless Cultivation</w:t>
      </w:r>
    </w:p>
    <w:p w14:paraId="3503E7A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1DA2756"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1. 一般了解</w:t>
      </w:r>
      <w:r>
        <w:rPr>
          <w:rFonts w:ascii="宋体" w:hAnsi="宋体" w:hint="eastAsia"/>
          <w:szCs w:val="21"/>
        </w:rPr>
        <w:t>：</w:t>
      </w:r>
      <w:r>
        <w:rPr>
          <w:rFonts w:ascii="宋体" w:hAnsi="宋体" w:hint="eastAsia"/>
          <w:bCs/>
          <w:color w:val="000000" w:themeColor="text1"/>
          <w:szCs w:val="21"/>
        </w:rPr>
        <w:t>无土栽培的种类；不同固体无土栽培的优缺点。</w:t>
      </w:r>
    </w:p>
    <w:p w14:paraId="59240740"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2. 一般掌握</w:t>
      </w:r>
      <w:r>
        <w:rPr>
          <w:rFonts w:ascii="宋体" w:hAnsi="宋体" w:hint="eastAsia"/>
          <w:szCs w:val="21"/>
        </w:rPr>
        <w:t>：</w:t>
      </w:r>
      <w:r>
        <w:rPr>
          <w:rFonts w:ascii="宋体" w:hAnsi="宋体" w:hint="eastAsia"/>
          <w:bCs/>
          <w:color w:val="000000" w:themeColor="text1"/>
          <w:szCs w:val="21"/>
        </w:rPr>
        <w:t>无土栽培的含义，基质栽培的基本用途和常用介质。</w:t>
      </w:r>
    </w:p>
    <w:p w14:paraId="56370993"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lastRenderedPageBreak/>
        <w:t>3. 熟练掌握</w:t>
      </w:r>
      <w:r>
        <w:rPr>
          <w:rFonts w:ascii="宋体" w:hAnsi="宋体" w:hint="eastAsia"/>
          <w:szCs w:val="21"/>
        </w:rPr>
        <w:t>：</w:t>
      </w:r>
      <w:r>
        <w:rPr>
          <w:rFonts w:ascii="宋体" w:hAnsi="宋体" w:hint="eastAsia"/>
          <w:bCs/>
          <w:color w:val="000000" w:themeColor="text1"/>
          <w:szCs w:val="21"/>
        </w:rPr>
        <w:t>本章节重点词汇和语句，包括无土栽培的含义，常用介质和优缺点。</w:t>
      </w:r>
    </w:p>
    <w:p w14:paraId="187738C0"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30C8EA41"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无土栽培的定义。</w:t>
      </w:r>
    </w:p>
    <w:p w14:paraId="26CF848D"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基质栽培常用介质。</w:t>
      </w:r>
    </w:p>
    <w:p w14:paraId="021CCCE6"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3. 岩棉块的优点。</w:t>
      </w:r>
    </w:p>
    <w:p w14:paraId="25ED4575"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1A8E724D"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无土栽培的含义，基质栽培的基本用途和常用介质。</w:t>
      </w:r>
    </w:p>
    <w:p w14:paraId="65C3A174"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2.领会：</w:t>
      </w:r>
      <w:r>
        <w:rPr>
          <w:rFonts w:ascii="宋体" w:hAnsi="宋体" w:hint="eastAsia"/>
          <w:szCs w:val="21"/>
        </w:rPr>
        <w:t>无土栽培的种类；不同固体无土栽培的优缺点。</w:t>
      </w:r>
    </w:p>
    <w:p w14:paraId="1D15C2CC"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3.评价：</w:t>
      </w:r>
      <w:r>
        <w:rPr>
          <w:rFonts w:ascii="宋体" w:hAnsi="宋体" w:hint="eastAsia"/>
          <w:szCs w:val="21"/>
        </w:rPr>
        <w:t>观看课程相关视频后完成课后作业。</w:t>
      </w:r>
    </w:p>
    <w:p w14:paraId="66DED5E9" w14:textId="77777777" w:rsidR="00F5289E" w:rsidRDefault="00C91173">
      <w:pPr>
        <w:snapToGrid w:val="0"/>
        <w:spacing w:line="360" w:lineRule="auto"/>
        <w:ind w:firstLineChars="49" w:firstLine="103"/>
        <w:jc w:val="center"/>
        <w:rPr>
          <w:b/>
          <w:szCs w:val="21"/>
        </w:rPr>
      </w:pPr>
      <w:r>
        <w:rPr>
          <w:rFonts w:hint="eastAsia"/>
          <w:b/>
          <w:szCs w:val="21"/>
        </w:rPr>
        <w:t>第四章</w:t>
      </w:r>
      <w:r>
        <w:rPr>
          <w:b/>
          <w:szCs w:val="21"/>
        </w:rPr>
        <w:t xml:space="preserve">  Postharvest Horticulture</w:t>
      </w:r>
    </w:p>
    <w:p w14:paraId="0DC148A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B0BFB11"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rFonts w:ascii="宋体" w:hAnsi="宋体" w:hint="eastAsia"/>
          <w:szCs w:val="21"/>
        </w:rPr>
        <w:t>本章的重点词汇和重要语句的含义，园艺产品质量定义、收获和采后管理方法。</w:t>
      </w:r>
    </w:p>
    <w:p w14:paraId="25AB85F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 一般掌握：</w:t>
      </w:r>
      <w:r>
        <w:rPr>
          <w:rFonts w:ascii="宋体" w:hAnsi="宋体" w:hint="eastAsia"/>
          <w:szCs w:val="21"/>
        </w:rPr>
        <w:t>新鲜园艺产品质量因子的组成，以及采收，及采后的管理方法和注意事项。</w:t>
      </w:r>
    </w:p>
    <w:p w14:paraId="403EC61F"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本章节课后的重点词汇和句子，并能够准确理解和翻译。</w:t>
      </w:r>
    </w:p>
    <w:p w14:paraId="43435CFE"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0A534BED"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园艺产品质量定义和组成因子。</w:t>
      </w:r>
    </w:p>
    <w:p w14:paraId="389479CC"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2. 园艺产品采后的管理和注意事项。</w:t>
      </w:r>
    </w:p>
    <w:p w14:paraId="33115184"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3A70F697"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：园艺产品质量定义和组成因子。</w:t>
      </w:r>
    </w:p>
    <w:p w14:paraId="1AB0DD31"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：园艺产品采收，及采后的管理方法和注意事项。</w:t>
      </w:r>
    </w:p>
    <w:p w14:paraId="0E226E94"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：理解和翻译课后的园艺成熟、完熟和衰老的过程。</w:t>
      </w:r>
    </w:p>
    <w:p w14:paraId="59F8EC12"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4.评价</w:t>
      </w:r>
      <w:r>
        <w:rPr>
          <w:rFonts w:ascii="宋体" w:hAnsi="宋体" w:hint="eastAsia"/>
          <w:szCs w:val="21"/>
        </w:rPr>
        <w:t>：观看课程相关视频后完成课后作业。</w:t>
      </w:r>
    </w:p>
    <w:p w14:paraId="3D85533E" w14:textId="77777777" w:rsidR="00F5289E" w:rsidRDefault="00C91173">
      <w:pPr>
        <w:snapToGrid w:val="0"/>
        <w:spacing w:line="360" w:lineRule="auto"/>
        <w:ind w:firstLineChars="49" w:firstLine="103"/>
        <w:jc w:val="center"/>
        <w:rPr>
          <w:b/>
          <w:szCs w:val="21"/>
        </w:rPr>
      </w:pPr>
      <w:r>
        <w:rPr>
          <w:rFonts w:hint="eastAsia"/>
          <w:b/>
          <w:szCs w:val="21"/>
        </w:rPr>
        <w:t>第五章</w:t>
      </w:r>
      <w:r>
        <w:rPr>
          <w:b/>
          <w:szCs w:val="21"/>
        </w:rPr>
        <w:t xml:space="preserve">  Biotechnology and Horticulture</w:t>
      </w:r>
    </w:p>
    <w:p w14:paraId="3ED75029"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652AF82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 一般了解：</w:t>
      </w:r>
      <w:r>
        <w:rPr>
          <w:rFonts w:ascii="宋体" w:hAnsi="宋体" w:hint="eastAsia"/>
          <w:szCs w:val="21"/>
        </w:rPr>
        <w:t>生物技术的发展过程，以及在改良园艺作物生物性状的应用现状及前景。</w:t>
      </w:r>
    </w:p>
    <w:p w14:paraId="3C7FDAE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 一般掌握：</w:t>
      </w:r>
      <w:r>
        <w:rPr>
          <w:rFonts w:ascii="宋体" w:hAnsi="宋体" w:hint="eastAsia"/>
          <w:szCs w:val="21"/>
        </w:rPr>
        <w:t>生物技术的含义，以及转基因技术发展现状，以及此类综述性文章的撰写特点。</w:t>
      </w:r>
    </w:p>
    <w:p w14:paraId="0FFD6966"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熟练掌握本章节的重点词汇和重点语句，并能够准确阅读和翻译。</w:t>
      </w:r>
    </w:p>
    <w:p w14:paraId="07C1183E"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15CBC01E" w14:textId="77777777" w:rsidR="00F5289E" w:rsidRDefault="00C91173">
      <w:pPr>
        <w:snapToGrid w:val="0"/>
        <w:spacing w:line="360" w:lineRule="auto"/>
        <w:ind w:firstLine="450"/>
        <w:rPr>
          <w:rFonts w:ascii="宋体" w:hAnsi="宋体"/>
          <w:bCs/>
          <w:color w:val="000000" w:themeColor="text1"/>
          <w:szCs w:val="21"/>
        </w:rPr>
      </w:pPr>
      <w:r>
        <w:rPr>
          <w:rFonts w:ascii="宋体" w:hAnsi="宋体" w:hint="eastAsia"/>
          <w:bCs/>
          <w:color w:val="000000" w:themeColor="text1"/>
          <w:szCs w:val="21"/>
        </w:rPr>
        <w:t>1. 植物基因工程的含义。</w:t>
      </w:r>
    </w:p>
    <w:p w14:paraId="4495FE37" w14:textId="77777777" w:rsidR="00F5289E" w:rsidRDefault="00C91173">
      <w:pPr>
        <w:snapToGrid w:val="0"/>
        <w:spacing w:line="360" w:lineRule="auto"/>
        <w:ind w:firstLine="450"/>
        <w:rPr>
          <w:rFonts w:ascii="宋体" w:hAnsi="宋体"/>
          <w:bCs/>
          <w:color w:val="000000" w:themeColor="text1"/>
          <w:szCs w:val="21"/>
        </w:rPr>
      </w:pPr>
      <w:r>
        <w:rPr>
          <w:rFonts w:ascii="宋体" w:hAnsi="宋体" w:hint="eastAsia"/>
          <w:bCs/>
          <w:color w:val="000000" w:themeColor="text1"/>
          <w:szCs w:val="21"/>
        </w:rPr>
        <w:t>2. 植物基因工程的应用领域。</w:t>
      </w:r>
    </w:p>
    <w:p w14:paraId="49464A1D" w14:textId="77777777" w:rsidR="00F5289E" w:rsidRDefault="00C91173">
      <w:pPr>
        <w:snapToGrid w:val="0"/>
        <w:spacing w:line="360" w:lineRule="auto"/>
        <w:ind w:firstLine="450"/>
        <w:rPr>
          <w:rFonts w:ascii="宋体" w:hAnsi="宋体"/>
          <w:bCs/>
          <w:color w:val="000000" w:themeColor="text1"/>
          <w:szCs w:val="21"/>
        </w:rPr>
      </w:pPr>
      <w:r>
        <w:rPr>
          <w:rFonts w:ascii="宋体" w:hAnsi="宋体" w:hint="eastAsia"/>
          <w:bCs/>
          <w:color w:val="000000" w:themeColor="text1"/>
          <w:szCs w:val="21"/>
        </w:rPr>
        <w:t>3. 对于生物技术前景的认识。</w:t>
      </w:r>
    </w:p>
    <w:p w14:paraId="289614FA"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20AF7784"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：生物技术的应用。</w:t>
      </w:r>
    </w:p>
    <w:p w14:paraId="0688BB61"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：植物基因工程的含义。</w:t>
      </w:r>
    </w:p>
    <w:p w14:paraId="46892319" w14:textId="77777777" w:rsidR="00F5289E" w:rsidRDefault="00C91173">
      <w:pPr>
        <w:snapToGrid w:val="0"/>
        <w:spacing w:line="360" w:lineRule="auto"/>
        <w:ind w:firstLineChars="49" w:firstLine="103"/>
        <w:jc w:val="center"/>
        <w:rPr>
          <w:b/>
          <w:szCs w:val="21"/>
        </w:rPr>
      </w:pPr>
      <w:r>
        <w:rPr>
          <w:rFonts w:hint="eastAsia"/>
          <w:b/>
          <w:szCs w:val="21"/>
        </w:rPr>
        <w:lastRenderedPageBreak/>
        <w:t>第六章</w:t>
      </w:r>
      <w:r>
        <w:rPr>
          <w:b/>
          <w:szCs w:val="21"/>
        </w:rPr>
        <w:t xml:space="preserve">  Low-temperature effects</w:t>
      </w:r>
    </w:p>
    <w:p w14:paraId="16144C0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3B56922"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园艺植物低温胁迫相关的专业英语表达方式。</w:t>
      </w:r>
    </w:p>
    <w:p w14:paraId="018F06DC"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不同植物低温胁迫的表型性状以及细胞生物学的变化及原理。</w:t>
      </w:r>
    </w:p>
    <w:p w14:paraId="6706E0A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园艺植物低温胁迫相关的重点词汇，本文中重要语句，并能够准确理解和翻译。</w:t>
      </w:r>
    </w:p>
    <w:p w14:paraId="0DE5C330" w14:textId="77777777" w:rsidR="00F5289E" w:rsidRDefault="00C91173">
      <w:pPr>
        <w:snapToGrid w:val="0"/>
        <w:spacing w:line="360" w:lineRule="auto"/>
        <w:rPr>
          <w:rFonts w:ascii="宋体" w:hAnsi="宋体"/>
          <w:szCs w:val="21"/>
        </w:rPr>
      </w:pPr>
      <w:r>
        <w:rPr>
          <w:rFonts w:ascii="宋体" w:hAnsi="宋体" w:hint="eastAsia"/>
          <w:b/>
          <w:szCs w:val="21"/>
        </w:rPr>
        <w:t>（二）考核内容</w:t>
      </w:r>
    </w:p>
    <w:p w14:paraId="427DB6D1"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冷害与冻害的定义和区别。</w:t>
      </w:r>
    </w:p>
    <w:p w14:paraId="6BDB5A79"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2. 温度在植物生长发育中的重要作用。</w:t>
      </w:r>
    </w:p>
    <w:p w14:paraId="592AB909"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5709697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：冷害与冻害的定义和区别。</w:t>
      </w:r>
    </w:p>
    <w:p w14:paraId="1F1F8985"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：温度在植物生长发育中的重要作用。</w:t>
      </w:r>
    </w:p>
    <w:p w14:paraId="17EB68E5"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：准确翻译低温胁迫相关专业文献。</w:t>
      </w:r>
    </w:p>
    <w:p w14:paraId="3D23C7CC"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4.</w:t>
      </w:r>
      <w:r>
        <w:rPr>
          <w:rFonts w:ascii="宋体" w:hAnsi="宋体"/>
          <w:b/>
          <w:color w:val="0000FF"/>
          <w:szCs w:val="21"/>
        </w:rPr>
        <w:t xml:space="preserve"> </w:t>
      </w:r>
      <w:r>
        <w:rPr>
          <w:rFonts w:ascii="宋体" w:hAnsi="宋体" w:hint="eastAsia"/>
          <w:b/>
          <w:szCs w:val="21"/>
        </w:rPr>
        <w:t>综合</w:t>
      </w:r>
      <w:r>
        <w:rPr>
          <w:rFonts w:ascii="宋体" w:hAnsi="宋体" w:hint="eastAsia"/>
          <w:szCs w:val="21"/>
        </w:rPr>
        <w:t>：理解低温胁迫对植物的影响。</w:t>
      </w:r>
    </w:p>
    <w:p w14:paraId="20B4B634" w14:textId="77777777" w:rsidR="00F5289E" w:rsidRDefault="00C91173">
      <w:pPr>
        <w:snapToGrid w:val="0"/>
        <w:spacing w:line="360" w:lineRule="auto"/>
        <w:ind w:firstLineChars="49" w:firstLine="103"/>
        <w:jc w:val="center"/>
        <w:rPr>
          <w:b/>
          <w:szCs w:val="21"/>
        </w:rPr>
      </w:pPr>
      <w:r>
        <w:rPr>
          <w:rFonts w:hint="eastAsia"/>
          <w:b/>
          <w:szCs w:val="21"/>
        </w:rPr>
        <w:t>第七章</w:t>
      </w:r>
      <w:r>
        <w:rPr>
          <w:b/>
          <w:szCs w:val="21"/>
        </w:rPr>
        <w:t xml:space="preserve">  Biological Pest Control in Horticulture</w:t>
      </w:r>
    </w:p>
    <w:p w14:paraId="4FBE9B3E"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E5675C2" w14:textId="77777777" w:rsidR="00F5289E" w:rsidRDefault="00C91173">
      <w:pPr>
        <w:snapToGrid w:val="0"/>
        <w:spacing w:line="360" w:lineRule="auto"/>
        <w:ind w:firstLine="360"/>
        <w:rPr>
          <w:rFonts w:ascii="宋体" w:hAnsi="宋体"/>
          <w:b/>
          <w:szCs w:val="21"/>
        </w:rPr>
      </w:pPr>
      <w:r>
        <w:rPr>
          <w:rFonts w:ascii="宋体" w:hAnsi="宋体" w:hint="eastAsia"/>
          <w:b/>
          <w:szCs w:val="21"/>
        </w:rPr>
        <w:t>1. 一般了解：</w:t>
      </w:r>
      <w:r>
        <w:rPr>
          <w:rFonts w:ascii="宋体" w:hAnsi="宋体" w:hint="eastAsia"/>
          <w:szCs w:val="21"/>
        </w:rPr>
        <w:t>生物防治相关的英语专业词汇。</w:t>
      </w:r>
    </w:p>
    <w:p w14:paraId="35F08452" w14:textId="77777777" w:rsidR="00F5289E" w:rsidRDefault="00C91173">
      <w:pPr>
        <w:snapToGrid w:val="0"/>
        <w:spacing w:line="360" w:lineRule="auto"/>
        <w:ind w:firstLine="360"/>
        <w:rPr>
          <w:rFonts w:ascii="宋体" w:hAnsi="宋体"/>
          <w:b/>
          <w:szCs w:val="21"/>
        </w:rPr>
      </w:pPr>
      <w:r>
        <w:rPr>
          <w:rFonts w:ascii="宋体" w:hAnsi="宋体" w:hint="eastAsia"/>
          <w:b/>
          <w:szCs w:val="21"/>
        </w:rPr>
        <w:t>2. 一般掌握：</w:t>
      </w:r>
      <w:r>
        <w:rPr>
          <w:rFonts w:ascii="宋体" w:hAnsi="宋体" w:hint="eastAsia"/>
          <w:szCs w:val="21"/>
        </w:rPr>
        <w:t>生物防治的含义和特点，以及在温室蔬菜和观赏性园艺植物中的应用。</w:t>
      </w:r>
    </w:p>
    <w:p w14:paraId="67110664" w14:textId="77777777" w:rsidR="00F5289E" w:rsidRDefault="00C91173">
      <w:pPr>
        <w:snapToGrid w:val="0"/>
        <w:spacing w:line="360" w:lineRule="auto"/>
        <w:ind w:firstLine="360"/>
        <w:rPr>
          <w:rFonts w:ascii="宋体" w:hAnsi="宋体"/>
          <w:szCs w:val="21"/>
        </w:rPr>
      </w:pPr>
      <w:r>
        <w:rPr>
          <w:rFonts w:ascii="宋体" w:hAnsi="宋体" w:hint="eastAsia"/>
          <w:b/>
          <w:szCs w:val="21"/>
        </w:rPr>
        <w:t>3. 熟练掌握：</w:t>
      </w:r>
      <w:r>
        <w:rPr>
          <w:rFonts w:ascii="宋体" w:hAnsi="宋体" w:hint="eastAsia"/>
          <w:szCs w:val="21"/>
        </w:rPr>
        <w:t>生物防治和生物农药的定义，本章节的重点词汇和重要语句，并准确理解和翻译。</w:t>
      </w:r>
    </w:p>
    <w:p w14:paraId="132F2AE8" w14:textId="77777777" w:rsidR="00F5289E" w:rsidRDefault="00C91173">
      <w:pPr>
        <w:snapToGrid w:val="0"/>
        <w:spacing w:line="360" w:lineRule="auto"/>
        <w:ind w:firstLine="360"/>
        <w:rPr>
          <w:rFonts w:ascii="宋体" w:hAnsi="宋体"/>
          <w:szCs w:val="21"/>
        </w:rPr>
      </w:pPr>
      <w:r>
        <w:rPr>
          <w:rFonts w:ascii="宋体" w:hAnsi="宋体" w:hint="eastAsia"/>
          <w:b/>
          <w:szCs w:val="21"/>
        </w:rPr>
        <w:t>（二）考核内容</w:t>
      </w:r>
    </w:p>
    <w:p w14:paraId="138DD46F"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 生物防治的含义。</w:t>
      </w:r>
    </w:p>
    <w:p w14:paraId="431B6B1C"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2. 生物农药的定义。</w:t>
      </w:r>
    </w:p>
    <w:p w14:paraId="0DE8E146" w14:textId="77777777" w:rsidR="00F5289E" w:rsidRDefault="00C91173">
      <w:pPr>
        <w:snapToGrid w:val="0"/>
        <w:spacing w:line="360" w:lineRule="auto"/>
        <w:ind w:firstLineChars="200" w:firstLine="420"/>
        <w:rPr>
          <w:rFonts w:ascii="宋体" w:hAnsi="宋体"/>
          <w:color w:val="0000FF"/>
          <w:szCs w:val="21"/>
        </w:rPr>
      </w:pPr>
      <w:r>
        <w:rPr>
          <w:rFonts w:ascii="宋体" w:hAnsi="宋体" w:hint="eastAsia"/>
          <w:bCs/>
          <w:color w:val="000000" w:themeColor="text1"/>
          <w:szCs w:val="21"/>
        </w:rPr>
        <w:t>3. 生物防治的优势。</w:t>
      </w:r>
    </w:p>
    <w:p w14:paraId="3A16F493" w14:textId="77777777" w:rsidR="00F5289E" w:rsidRDefault="00C91173">
      <w:pPr>
        <w:snapToGrid w:val="0"/>
        <w:spacing w:line="360" w:lineRule="auto"/>
        <w:rPr>
          <w:rFonts w:ascii="宋体" w:hAnsi="宋体"/>
          <w:b/>
          <w:szCs w:val="21"/>
        </w:rPr>
      </w:pPr>
      <w:r>
        <w:rPr>
          <w:rFonts w:ascii="宋体" w:hAnsi="宋体" w:hint="eastAsia"/>
          <w:b/>
          <w:szCs w:val="21"/>
        </w:rPr>
        <w:t>（三）考核要求</w:t>
      </w:r>
    </w:p>
    <w:p w14:paraId="1DB18372"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1.识记</w:t>
      </w:r>
      <w:r>
        <w:rPr>
          <w:rFonts w:ascii="宋体" w:hAnsi="宋体" w:hint="eastAsia"/>
          <w:szCs w:val="21"/>
        </w:rPr>
        <w:t>：生物防治的含义。</w:t>
      </w:r>
    </w:p>
    <w:p w14:paraId="3E0C704D" w14:textId="77777777" w:rsidR="00F5289E" w:rsidRDefault="00C91173">
      <w:pPr>
        <w:snapToGrid w:val="0"/>
        <w:spacing w:line="360" w:lineRule="auto"/>
        <w:ind w:firstLineChars="200" w:firstLine="422"/>
        <w:rPr>
          <w:rFonts w:ascii="宋体" w:hAnsi="宋体"/>
          <w:b/>
          <w:color w:val="0000FF"/>
          <w:szCs w:val="21"/>
        </w:rPr>
      </w:pPr>
      <w:r>
        <w:rPr>
          <w:rFonts w:ascii="宋体" w:hAnsi="宋体" w:hint="eastAsia"/>
          <w:b/>
          <w:szCs w:val="21"/>
        </w:rPr>
        <w:t>2.领会</w:t>
      </w:r>
      <w:r>
        <w:rPr>
          <w:rFonts w:ascii="宋体" w:hAnsi="宋体" w:hint="eastAsia"/>
          <w:szCs w:val="21"/>
        </w:rPr>
        <w:t>：生物防治的优势。</w:t>
      </w:r>
    </w:p>
    <w:p w14:paraId="7E3D032D" w14:textId="77777777" w:rsidR="00F5289E" w:rsidRDefault="00C91173">
      <w:pPr>
        <w:snapToGrid w:val="0"/>
        <w:spacing w:line="360" w:lineRule="auto"/>
        <w:ind w:firstLineChars="200" w:firstLine="422"/>
        <w:rPr>
          <w:rFonts w:ascii="宋体" w:hAnsi="宋体"/>
          <w:color w:val="0000FF"/>
          <w:szCs w:val="21"/>
        </w:rPr>
      </w:pPr>
      <w:r>
        <w:rPr>
          <w:rFonts w:ascii="宋体" w:hAnsi="宋体" w:hint="eastAsia"/>
          <w:b/>
          <w:szCs w:val="21"/>
        </w:rPr>
        <w:t>3.应用</w:t>
      </w:r>
      <w:r>
        <w:rPr>
          <w:rFonts w:ascii="宋体" w:hAnsi="宋体" w:hint="eastAsia"/>
          <w:szCs w:val="21"/>
        </w:rPr>
        <w:t>：能熟练阅读和翻译生物防治的相关专业文献。</w:t>
      </w:r>
    </w:p>
    <w:p w14:paraId="05AFC0F3" w14:textId="77777777" w:rsidR="00F5289E" w:rsidRDefault="00C91173">
      <w:pPr>
        <w:pStyle w:val="a9"/>
        <w:spacing w:line="360" w:lineRule="auto"/>
        <w:rPr>
          <w:b/>
          <w:bCs/>
        </w:rPr>
      </w:pPr>
      <w:r>
        <w:rPr>
          <w:rFonts w:hint="eastAsia"/>
          <w:b/>
          <w:bCs/>
        </w:rPr>
        <w:t>三、考核方式</w:t>
      </w:r>
    </w:p>
    <w:p w14:paraId="4289D776"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t>1.定量评价与定性评价相结合</w:t>
      </w:r>
    </w:p>
    <w:p w14:paraId="3D1B91A6"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t>定量评价采用百分制或等级制的方式。定量评价的形式有课后标准化作业、开放性作业、阶段测评等。定性评价采取课堂讨论、问卷调查、表现性评价等方法，使用激励性语言全面、客观地描述学生的状况。</w:t>
      </w:r>
    </w:p>
    <w:p w14:paraId="65AF6797"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t>2.书面测试与口头测试相结合</w:t>
      </w:r>
    </w:p>
    <w:p w14:paraId="15260757"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lastRenderedPageBreak/>
        <w:t>根据不用学习内容模块的目标要求，书面测试与口语测试应结合实施。口语测试应着重强调学生的语言表达能力，不过分强调语音、语调。听力测试应着重检测学生理解和获取信息的能力。书面测试应适当减少客观题，增加有助于学生思维表达的主观题，以检测学生的综合语言运用能力。</w:t>
      </w:r>
    </w:p>
    <w:p w14:paraId="6EF45544"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t>3.课内与课外相结合</w:t>
      </w:r>
    </w:p>
    <w:p w14:paraId="2E78088A" w14:textId="77777777" w:rsidR="00F5289E" w:rsidRDefault="00C91173">
      <w:pPr>
        <w:spacing w:line="360" w:lineRule="auto"/>
        <w:ind w:firstLineChars="154" w:firstLine="323"/>
        <w:rPr>
          <w:rFonts w:ascii="宋体" w:hAnsi="宋体"/>
          <w:color w:val="000000" w:themeColor="text1"/>
          <w:szCs w:val="21"/>
        </w:rPr>
      </w:pPr>
      <w:r>
        <w:rPr>
          <w:rFonts w:ascii="宋体" w:hAnsi="宋体" w:hint="eastAsia"/>
          <w:color w:val="000000" w:themeColor="text1"/>
          <w:szCs w:val="21"/>
        </w:rPr>
        <w:t>课内与课外评价相结合，引导学生利用课余时间进行进一步的学习、巩固和提高英语。课外英语评价的方法以形成性评价为主，主要考查学生在实际生活中运用英语的能力，如编排小节目，英语汇报课题等。</w:t>
      </w:r>
    </w:p>
    <w:p w14:paraId="4DEC7345" w14:textId="77777777" w:rsidR="00F5289E" w:rsidRDefault="00C91173">
      <w:pPr>
        <w:pStyle w:val="a9"/>
        <w:spacing w:line="360" w:lineRule="auto"/>
        <w:rPr>
          <w:b/>
          <w:bCs/>
        </w:rPr>
      </w:pPr>
      <w:r>
        <w:rPr>
          <w:rFonts w:hint="eastAsia"/>
          <w:b/>
          <w:bCs/>
        </w:rPr>
        <w:t>四、成绩评定</w:t>
      </w:r>
    </w:p>
    <w:p w14:paraId="030EEF71"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szCs w:val="21"/>
        </w:rPr>
        <w:t>1.平时成绩</w:t>
      </w:r>
    </w:p>
    <w:p w14:paraId="6F047F90"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1）加强学风建设，严肃课堂纪律，学生考勤计入平时成绩计算方法。</w:t>
      </w:r>
    </w:p>
    <w:p w14:paraId="1A9EBC64"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2）鼓励学生参与活动，调动学生积极性。学生参与讨论、作业等教学内容相关活动，每项活动设定不同分数，通过教学辅助软件后台导出数据，计入平时成绩计算方法。</w:t>
      </w:r>
    </w:p>
    <w:p w14:paraId="56AE034C"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3）平时成绩占最终成绩的20%</w:t>
      </w:r>
    </w:p>
    <w:p w14:paraId="6CC15293"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2.个人自我介绍评判</w:t>
      </w:r>
    </w:p>
    <w:p w14:paraId="4F89B4AF"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个人录制英文自我介绍或专业汇报视频，要求：用英文，时间：1-2分钟。该部分占期末成绩30%</w:t>
      </w:r>
    </w:p>
    <w:p w14:paraId="70E56AF9"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3.期末成绩</w:t>
      </w:r>
    </w:p>
    <w:p w14:paraId="2C45C4A6"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期末考试采取小组视频形式，6-8人一组，选择一种园艺植物或园艺技术，查阅资料，拍摄视频详细阐述该园艺植物或园艺技术。要求备注字幕，每个视频5-10分钟。该部分占期末成绩</w:t>
      </w:r>
      <w:r>
        <w:rPr>
          <w:rFonts w:ascii="宋体" w:hAnsi="宋体"/>
          <w:bCs/>
          <w:color w:val="000000" w:themeColor="text1"/>
          <w:szCs w:val="21"/>
        </w:rPr>
        <w:t>50%</w:t>
      </w:r>
      <w:r>
        <w:rPr>
          <w:rFonts w:ascii="宋体" w:hAnsi="宋体" w:hint="eastAsia"/>
          <w:bCs/>
          <w:color w:val="000000" w:themeColor="text1"/>
          <w:szCs w:val="21"/>
        </w:rPr>
        <w:t>。</w:t>
      </w:r>
    </w:p>
    <w:p w14:paraId="0B95E741" w14:textId="77777777" w:rsidR="00F5289E" w:rsidRDefault="00C91173">
      <w:pPr>
        <w:snapToGrid w:val="0"/>
        <w:spacing w:line="360" w:lineRule="auto"/>
        <w:ind w:firstLineChars="200" w:firstLine="420"/>
        <w:rPr>
          <w:rFonts w:ascii="宋体" w:hAnsi="宋体"/>
          <w:bCs/>
          <w:color w:val="0000FF"/>
          <w:szCs w:val="21"/>
        </w:rPr>
      </w:pPr>
      <w:r>
        <w:rPr>
          <w:rFonts w:ascii="宋体" w:hAnsi="宋体" w:hint="eastAsia"/>
          <w:color w:val="000000" w:themeColor="text1"/>
        </w:rPr>
        <w:t>4.综合成绩</w:t>
      </w:r>
    </w:p>
    <w:p w14:paraId="10D55F04" w14:textId="77777777" w:rsidR="00F5289E" w:rsidRDefault="00C91173">
      <w:pPr>
        <w:snapToGrid w:val="0"/>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平时成绩（考勤+参与教学活动）×20%+英文自我介绍或专业汇报成绩×30%+专题视频成绩×50%</w:t>
      </w:r>
    </w:p>
    <w:p w14:paraId="64AACAFB" w14:textId="77777777" w:rsidR="00F5289E" w:rsidRDefault="00C91173">
      <w:pPr>
        <w:pStyle w:val="a9"/>
        <w:spacing w:line="360" w:lineRule="auto"/>
        <w:rPr>
          <w:b/>
          <w:bCs/>
        </w:rPr>
      </w:pPr>
      <w:r>
        <w:rPr>
          <w:rFonts w:hint="eastAsia"/>
          <w:b/>
          <w:bCs/>
        </w:rPr>
        <w:t>五、考核结果分析反馈</w:t>
      </w:r>
    </w:p>
    <w:p w14:paraId="0739F7AC" w14:textId="77777777" w:rsidR="00F5289E" w:rsidRDefault="00C91173">
      <w:pPr>
        <w:snapToGrid w:val="0"/>
        <w:spacing w:line="360" w:lineRule="auto"/>
        <w:ind w:firstLineChars="200" w:firstLine="420"/>
        <w:rPr>
          <w:rFonts w:hAnsi="宋体"/>
          <w:color w:val="000000" w:themeColor="text1"/>
          <w:szCs w:val="21"/>
        </w:rPr>
      </w:pPr>
      <w:r>
        <w:rPr>
          <w:rFonts w:hAnsi="宋体" w:hint="eastAsia"/>
          <w:bCs/>
          <w:color w:val="000000" w:themeColor="text1"/>
          <w:szCs w:val="21"/>
        </w:rPr>
        <w:t xml:space="preserve">1. </w:t>
      </w:r>
      <w:r>
        <w:rPr>
          <w:rFonts w:hAnsi="宋体" w:hint="eastAsia"/>
          <w:bCs/>
          <w:color w:val="000000" w:themeColor="text1"/>
          <w:szCs w:val="21"/>
        </w:rPr>
        <w:t>考核结果</w:t>
      </w:r>
      <w:r>
        <w:rPr>
          <w:rFonts w:hAnsi="宋体"/>
          <w:color w:val="000000" w:themeColor="text1"/>
          <w:szCs w:val="21"/>
        </w:rPr>
        <w:t>如何向学生反馈</w:t>
      </w:r>
      <w:r>
        <w:rPr>
          <w:rFonts w:hAnsi="宋体" w:hint="eastAsia"/>
          <w:color w:val="000000" w:themeColor="text1"/>
          <w:szCs w:val="21"/>
        </w:rPr>
        <w:t>。</w:t>
      </w:r>
    </w:p>
    <w:p w14:paraId="55DF37F5" w14:textId="77777777" w:rsidR="00F5289E" w:rsidRDefault="00C91173">
      <w:pPr>
        <w:snapToGrid w:val="0"/>
        <w:spacing w:line="360" w:lineRule="auto"/>
        <w:ind w:firstLine="450"/>
        <w:rPr>
          <w:rFonts w:ascii="宋体" w:hAnsi="宋体"/>
          <w:color w:val="000000" w:themeColor="text1"/>
          <w:szCs w:val="21"/>
        </w:rPr>
      </w:pPr>
      <w:r>
        <w:rPr>
          <w:rFonts w:ascii="宋体" w:hAnsi="宋体" w:hint="eastAsia"/>
          <w:color w:val="000000" w:themeColor="text1"/>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14:paraId="6F728DDD" w14:textId="77777777" w:rsidR="00F5289E" w:rsidRDefault="00C91173">
      <w:pPr>
        <w:snapToGrid w:val="0"/>
        <w:spacing w:line="360" w:lineRule="auto"/>
        <w:ind w:firstLine="450"/>
        <w:rPr>
          <w:rFonts w:ascii="宋体" w:hAnsi="宋体"/>
          <w:color w:val="000000" w:themeColor="text1"/>
          <w:szCs w:val="21"/>
        </w:rPr>
      </w:pPr>
      <w:r>
        <w:rPr>
          <w:rFonts w:ascii="宋体" w:hAnsi="宋体" w:hint="eastAsia"/>
          <w:color w:val="000000" w:themeColor="text1"/>
          <w:szCs w:val="21"/>
        </w:rPr>
        <w:t>针对本门课程提高学生专业英语综合素质的教学目标，考核方式为过程性考核。针对过程性考核，反馈形式主要体现在平时的教学过程中，采用课堂集中形式对考核结果的共性问题进行统一讲解，查找原因。例如：专业词汇的特殊写法、用法等。针对考核结果分析中成绩严重偏态分布的情况，应及时调整教学内容、教学方法、强化过程性考核。</w:t>
      </w:r>
    </w:p>
    <w:p w14:paraId="18B94BA7" w14:textId="77777777" w:rsidR="00F5289E" w:rsidRDefault="00C91173">
      <w:pPr>
        <w:snapToGrid w:val="0"/>
        <w:spacing w:line="360" w:lineRule="auto"/>
        <w:ind w:firstLineChars="200" w:firstLine="420"/>
        <w:rPr>
          <w:rFonts w:hAnsi="宋体"/>
          <w:color w:val="000000" w:themeColor="text1"/>
          <w:szCs w:val="21"/>
        </w:rPr>
      </w:pPr>
      <w:r>
        <w:rPr>
          <w:rFonts w:hAnsi="宋体" w:hint="eastAsia"/>
          <w:color w:val="000000" w:themeColor="text1"/>
          <w:szCs w:val="21"/>
        </w:rPr>
        <w:t xml:space="preserve">2. </w:t>
      </w:r>
      <w:r>
        <w:rPr>
          <w:rFonts w:hAnsi="宋体" w:hint="eastAsia"/>
          <w:color w:val="000000" w:themeColor="text1"/>
          <w:szCs w:val="21"/>
        </w:rPr>
        <w:t>基于学生考核结果，如何改进</w:t>
      </w:r>
      <w:r>
        <w:rPr>
          <w:rFonts w:hAnsi="宋体"/>
          <w:color w:val="000000" w:themeColor="text1"/>
          <w:szCs w:val="21"/>
        </w:rPr>
        <w:t>课堂教学</w:t>
      </w:r>
      <w:r>
        <w:rPr>
          <w:rFonts w:hAnsi="宋体" w:hint="eastAsia"/>
          <w:color w:val="000000" w:themeColor="text1"/>
          <w:szCs w:val="21"/>
        </w:rPr>
        <w:t>。</w:t>
      </w:r>
    </w:p>
    <w:p w14:paraId="1797FC98" w14:textId="77777777" w:rsidR="00F5289E" w:rsidRDefault="00C91173">
      <w:pPr>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14:paraId="3CC20C2A" w14:textId="77777777" w:rsidR="00F5289E" w:rsidRDefault="00C91173">
      <w:pPr>
        <w:widowControl/>
        <w:jc w:val="left"/>
        <w:rPr>
          <w:rFonts w:ascii="宋体" w:hAnsi="宋体"/>
          <w:color w:val="000000" w:themeColor="text1"/>
          <w:szCs w:val="21"/>
        </w:rPr>
      </w:pPr>
      <w:r>
        <w:rPr>
          <w:rFonts w:ascii="宋体" w:hAnsi="宋体"/>
          <w:color w:val="000000" w:themeColor="text1"/>
          <w:szCs w:val="21"/>
        </w:rPr>
        <w:br w:type="page"/>
      </w:r>
    </w:p>
    <w:p w14:paraId="7B5982E4" w14:textId="77777777" w:rsidR="00F5289E" w:rsidRDefault="00C91173">
      <w:pPr>
        <w:pStyle w:val="1"/>
      </w:pPr>
      <w:bookmarkStart w:id="208" w:name="_Toc138606299"/>
      <w:r>
        <w:lastRenderedPageBreak/>
        <w:t>生物信息学考核大纲</w:t>
      </w:r>
      <w:bookmarkEnd w:id="208"/>
      <w:r>
        <w:t xml:space="preserve"> </w:t>
      </w:r>
    </w:p>
    <w:p w14:paraId="33FF6AA7" w14:textId="77777777" w:rsidR="00F5289E" w:rsidRDefault="00C91173">
      <w:pPr>
        <w:snapToGrid w:val="0"/>
        <w:spacing w:line="360" w:lineRule="auto"/>
        <w:jc w:val="center"/>
        <w:rPr>
          <w:sz w:val="24"/>
        </w:rPr>
      </w:pPr>
      <w:r>
        <w:rPr>
          <w:sz w:val="24"/>
        </w:rPr>
        <w:t>（</w:t>
      </w:r>
      <w:r>
        <w:rPr>
          <w:sz w:val="24"/>
        </w:rPr>
        <w:t>Bioinformatics</w:t>
      </w:r>
      <w:r>
        <w:rPr>
          <w:sz w:val="24"/>
        </w:rPr>
        <w:t>）</w:t>
      </w:r>
    </w:p>
    <w:p w14:paraId="68AB4C07" w14:textId="77777777" w:rsidR="00F5289E" w:rsidRDefault="00F5289E">
      <w:pPr>
        <w:widowControl/>
        <w:wordWrap w:val="0"/>
        <w:spacing w:before="120" w:after="120"/>
        <w:jc w:val="center"/>
        <w:outlineLvl w:val="0"/>
        <w:rPr>
          <w:b/>
          <w:bCs/>
          <w:kern w:val="36"/>
          <w:sz w:val="24"/>
        </w:rPr>
      </w:pPr>
    </w:p>
    <w:p w14:paraId="0E908DB3" w14:textId="77777777" w:rsidR="00F5289E" w:rsidRDefault="00C91173">
      <w:pPr>
        <w:snapToGrid w:val="0"/>
        <w:spacing w:line="360" w:lineRule="auto"/>
        <w:jc w:val="center"/>
        <w:rPr>
          <w:b/>
          <w:szCs w:val="21"/>
        </w:rPr>
      </w:pPr>
      <w:r>
        <w:rPr>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197"/>
        <w:gridCol w:w="3738"/>
      </w:tblGrid>
      <w:tr w:rsidR="00F5289E" w14:paraId="3EE3376D" w14:textId="77777777">
        <w:tc>
          <w:tcPr>
            <w:tcW w:w="1665" w:type="pct"/>
          </w:tcPr>
          <w:p w14:paraId="5A98C7BE" w14:textId="77777777" w:rsidR="00F5289E" w:rsidRDefault="00C91173">
            <w:pPr>
              <w:spacing w:line="300" w:lineRule="auto"/>
              <w:rPr>
                <w:b/>
                <w:bCs/>
                <w:szCs w:val="21"/>
              </w:rPr>
            </w:pPr>
            <w:r>
              <w:rPr>
                <w:b/>
                <w:bCs/>
                <w:szCs w:val="21"/>
              </w:rPr>
              <w:t>课程编号：</w:t>
            </w:r>
            <w:r w:rsidRPr="001B3040">
              <w:rPr>
                <w:szCs w:val="21"/>
              </w:rPr>
              <w:t>19011125</w:t>
            </w:r>
          </w:p>
        </w:tc>
        <w:tc>
          <w:tcPr>
            <w:tcW w:w="1234" w:type="pct"/>
          </w:tcPr>
          <w:p w14:paraId="3233BB4F" w14:textId="77777777" w:rsidR="00F5289E" w:rsidRDefault="00C91173">
            <w:pPr>
              <w:spacing w:line="300" w:lineRule="auto"/>
              <w:rPr>
                <w:b/>
                <w:bCs/>
                <w:szCs w:val="21"/>
              </w:rPr>
            </w:pPr>
            <w:r>
              <w:rPr>
                <w:b/>
                <w:bCs/>
                <w:szCs w:val="21"/>
              </w:rPr>
              <w:t>课程学时：</w:t>
            </w:r>
            <w:r w:rsidRPr="001B3040">
              <w:rPr>
                <w:szCs w:val="21"/>
              </w:rPr>
              <w:t>32</w:t>
            </w:r>
          </w:p>
        </w:tc>
        <w:tc>
          <w:tcPr>
            <w:tcW w:w="2100" w:type="pct"/>
          </w:tcPr>
          <w:p w14:paraId="05A5A623" w14:textId="77777777" w:rsidR="00F5289E" w:rsidRDefault="00C91173">
            <w:pPr>
              <w:spacing w:line="300" w:lineRule="auto"/>
              <w:rPr>
                <w:b/>
                <w:bCs/>
                <w:szCs w:val="21"/>
              </w:rPr>
            </w:pPr>
            <w:r>
              <w:rPr>
                <w:b/>
                <w:bCs/>
                <w:szCs w:val="21"/>
              </w:rPr>
              <w:t>课程学分：</w:t>
            </w:r>
            <w:r w:rsidRPr="001B3040">
              <w:rPr>
                <w:szCs w:val="21"/>
              </w:rPr>
              <w:t>2</w:t>
            </w:r>
          </w:p>
        </w:tc>
      </w:tr>
      <w:tr w:rsidR="00F5289E" w14:paraId="15CCFF9B" w14:textId="77777777">
        <w:tc>
          <w:tcPr>
            <w:tcW w:w="1665" w:type="pct"/>
          </w:tcPr>
          <w:p w14:paraId="2DD2189B" w14:textId="77777777" w:rsidR="00F5289E" w:rsidRDefault="00C91173">
            <w:pPr>
              <w:spacing w:line="300" w:lineRule="auto"/>
              <w:rPr>
                <w:b/>
                <w:bCs/>
                <w:szCs w:val="21"/>
              </w:rPr>
            </w:pPr>
            <w:r>
              <w:rPr>
                <w:b/>
                <w:bCs/>
                <w:szCs w:val="21"/>
              </w:rPr>
              <w:t>主撰人：</w:t>
            </w:r>
            <w:r w:rsidRPr="001B3040">
              <w:rPr>
                <w:szCs w:val="21"/>
              </w:rPr>
              <w:t>王盼乔、安光辉、闫文凯</w:t>
            </w:r>
          </w:p>
        </w:tc>
        <w:tc>
          <w:tcPr>
            <w:tcW w:w="1234" w:type="pct"/>
          </w:tcPr>
          <w:p w14:paraId="7006BB23" w14:textId="77777777" w:rsidR="00F5289E" w:rsidRDefault="00C91173">
            <w:pPr>
              <w:spacing w:line="300" w:lineRule="auto"/>
              <w:rPr>
                <w:b/>
                <w:bCs/>
                <w:szCs w:val="21"/>
              </w:rPr>
            </w:pPr>
            <w:r>
              <w:rPr>
                <w:b/>
                <w:bCs/>
                <w:szCs w:val="21"/>
              </w:rPr>
              <w:t>审核人：</w:t>
            </w:r>
            <w:r w:rsidRPr="001B3040">
              <w:rPr>
                <w:szCs w:val="21"/>
              </w:rPr>
              <w:t>杨路明</w:t>
            </w:r>
          </w:p>
        </w:tc>
        <w:tc>
          <w:tcPr>
            <w:tcW w:w="2100" w:type="pct"/>
          </w:tcPr>
          <w:p w14:paraId="4D461CD5" w14:textId="77777777" w:rsidR="00F5289E" w:rsidRDefault="00C91173">
            <w:pPr>
              <w:spacing w:line="300" w:lineRule="auto"/>
              <w:rPr>
                <w:b/>
                <w:bCs/>
                <w:szCs w:val="21"/>
              </w:rPr>
            </w:pPr>
            <w:r>
              <w:rPr>
                <w:b/>
                <w:bCs/>
                <w:szCs w:val="21"/>
              </w:rPr>
              <w:t>大纲制定（修订）日期：</w:t>
            </w:r>
            <w:r w:rsidRPr="001B3040">
              <w:rPr>
                <w:szCs w:val="21"/>
              </w:rPr>
              <w:t>2023.0</w:t>
            </w:r>
            <w:r w:rsidR="001B3040">
              <w:rPr>
                <w:szCs w:val="21"/>
              </w:rPr>
              <w:t>5</w:t>
            </w:r>
          </w:p>
        </w:tc>
      </w:tr>
    </w:tbl>
    <w:p w14:paraId="7476AA2F" w14:textId="77777777" w:rsidR="00F5289E" w:rsidRDefault="00F5289E">
      <w:pPr>
        <w:pStyle w:val="a9"/>
        <w:spacing w:line="360" w:lineRule="auto"/>
        <w:rPr>
          <w:b/>
          <w:bCs/>
        </w:rPr>
      </w:pPr>
    </w:p>
    <w:p w14:paraId="076BB4DB" w14:textId="77777777" w:rsidR="00F5289E" w:rsidRDefault="00C91173">
      <w:pPr>
        <w:pStyle w:val="a9"/>
        <w:spacing w:line="360" w:lineRule="auto"/>
        <w:rPr>
          <w:b/>
          <w:bCs/>
        </w:rPr>
      </w:pPr>
      <w:r>
        <w:rPr>
          <w:b/>
          <w:bCs/>
        </w:rPr>
        <w:t>一、课程的性质和地位</w:t>
      </w:r>
    </w:p>
    <w:p w14:paraId="4A05D8B3" w14:textId="77777777" w:rsidR="00F5289E" w:rsidRDefault="00C91173">
      <w:pPr>
        <w:snapToGrid w:val="0"/>
        <w:spacing w:line="360" w:lineRule="auto"/>
        <w:ind w:firstLineChars="200" w:firstLine="420"/>
        <w:rPr>
          <w:szCs w:val="21"/>
        </w:rPr>
      </w:pPr>
      <w:r>
        <w:rPr>
          <w:bCs/>
          <w:szCs w:val="21"/>
        </w:rPr>
        <w:t>生物信息学课程是面向园艺、设施农业科学与工程、茶学专业的一门专业选修课程，与生物信息学实验实习课程配套。其主要任务是：使学生了解该课程的基本理论和框架，掌握相关生物信息学分析工具的应用，深入了解本学科发展方向及国际学术研究前沿；并具有能运用所学的理论和方法以及相关学科知识解决生命科学研究中实际问题的能力。</w:t>
      </w:r>
    </w:p>
    <w:p w14:paraId="5D572C22" w14:textId="77777777" w:rsidR="00F5289E" w:rsidRDefault="00C91173">
      <w:pPr>
        <w:pStyle w:val="a9"/>
        <w:spacing w:line="360" w:lineRule="auto"/>
        <w:rPr>
          <w:b/>
          <w:bCs/>
        </w:rPr>
      </w:pPr>
      <w:r>
        <w:rPr>
          <w:b/>
          <w:bCs/>
        </w:rPr>
        <w:t>二、理论教学部分的考核目标</w:t>
      </w:r>
    </w:p>
    <w:p w14:paraId="7444FDC6" w14:textId="77777777" w:rsidR="00F5289E" w:rsidRDefault="00C91173">
      <w:pPr>
        <w:snapToGrid w:val="0"/>
        <w:spacing w:line="360" w:lineRule="auto"/>
        <w:ind w:firstLineChars="200" w:firstLine="420"/>
        <w:rPr>
          <w:szCs w:val="21"/>
        </w:rPr>
      </w:pPr>
      <w:r>
        <w:rPr>
          <w:bCs/>
          <w:szCs w:val="21"/>
        </w:rPr>
        <w:t>掌握生物信息学概念、专业术语及生物信息学研究内容；了解生物信息数据库，掌握数据库使用方法；掌握引物设计及测序原理与方法；掌握针对核酸序列、蛋白质序列的分析原理及方法；掌握系统发育分析的概念及方法。</w:t>
      </w:r>
      <w:r>
        <w:rPr>
          <w:szCs w:val="21"/>
        </w:rPr>
        <w:t>培养学生了解生物信息学知识体系，培养学生借助计算机、互联网及相关软件运用生物信息学理论、原理、方法分析、解决生命科学研究中实际问题的能力。通过课程学习，学生应具有扎实的生物信息学专业知识，了解生物信息学领域最新动态和发展趋势。掌握生物信息学基本分析原理及分析操作，并能正确解读分析结果的生物学含义。具有能够充分应用现代信息技术手段和工具解决生物学研究中实际问题的能力。该课程支撑本专业毕业要求的第</w:t>
      </w:r>
      <w:r>
        <w:rPr>
          <w:szCs w:val="21"/>
        </w:rPr>
        <w:t>2</w:t>
      </w:r>
      <w:r>
        <w:rPr>
          <w:szCs w:val="21"/>
        </w:rPr>
        <w:t>项、第</w:t>
      </w:r>
      <w:r>
        <w:rPr>
          <w:szCs w:val="21"/>
        </w:rPr>
        <w:t>3</w:t>
      </w:r>
      <w:r>
        <w:rPr>
          <w:szCs w:val="21"/>
        </w:rPr>
        <w:t>项、第</w:t>
      </w:r>
      <w:r>
        <w:rPr>
          <w:szCs w:val="21"/>
        </w:rPr>
        <w:t>4</w:t>
      </w:r>
      <w:r>
        <w:rPr>
          <w:szCs w:val="21"/>
        </w:rPr>
        <w:t>项。</w:t>
      </w:r>
    </w:p>
    <w:p w14:paraId="15C88493" w14:textId="77777777" w:rsidR="00F5289E" w:rsidRDefault="00C91173">
      <w:pPr>
        <w:snapToGrid w:val="0"/>
        <w:spacing w:line="360" w:lineRule="auto"/>
        <w:ind w:firstLineChars="49" w:firstLine="103"/>
        <w:jc w:val="center"/>
        <w:rPr>
          <w:b/>
          <w:szCs w:val="21"/>
        </w:rPr>
      </w:pPr>
      <w:r>
        <w:rPr>
          <w:b/>
          <w:szCs w:val="21"/>
        </w:rPr>
        <w:t>第一章</w:t>
      </w:r>
      <w:r>
        <w:rPr>
          <w:b/>
          <w:szCs w:val="21"/>
        </w:rPr>
        <w:t xml:space="preserve">  </w:t>
      </w:r>
      <w:r>
        <w:rPr>
          <w:b/>
          <w:szCs w:val="21"/>
        </w:rPr>
        <w:t>绪论</w:t>
      </w:r>
    </w:p>
    <w:p w14:paraId="4892C7C1" w14:textId="77777777" w:rsidR="00F5289E" w:rsidRDefault="00C91173">
      <w:pPr>
        <w:snapToGrid w:val="0"/>
        <w:spacing w:line="360" w:lineRule="auto"/>
        <w:rPr>
          <w:b/>
          <w:szCs w:val="21"/>
        </w:rPr>
      </w:pPr>
      <w:r>
        <w:rPr>
          <w:b/>
          <w:szCs w:val="21"/>
        </w:rPr>
        <w:t>（一）学习目标</w:t>
      </w:r>
    </w:p>
    <w:p w14:paraId="42061479"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bCs/>
          <w:szCs w:val="21"/>
        </w:rPr>
        <w:t>生物信息学产生与发展</w:t>
      </w:r>
    </w:p>
    <w:p w14:paraId="7E4C4C3B"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生物信息学的应用及学习方法</w:t>
      </w:r>
    </w:p>
    <w:p w14:paraId="50157150"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生物信息学概念</w:t>
      </w:r>
    </w:p>
    <w:p w14:paraId="61A8E9E5" w14:textId="77777777" w:rsidR="00F5289E" w:rsidRDefault="00C91173">
      <w:pPr>
        <w:snapToGrid w:val="0"/>
        <w:spacing w:line="360" w:lineRule="auto"/>
        <w:rPr>
          <w:szCs w:val="21"/>
        </w:rPr>
      </w:pPr>
      <w:r>
        <w:rPr>
          <w:b/>
          <w:szCs w:val="21"/>
        </w:rPr>
        <w:t>（二）考核内容</w:t>
      </w:r>
    </w:p>
    <w:p w14:paraId="2821DC3F" w14:textId="77777777" w:rsidR="00F5289E" w:rsidRDefault="00C91173">
      <w:pPr>
        <w:snapToGrid w:val="0"/>
        <w:spacing w:line="360" w:lineRule="auto"/>
        <w:ind w:firstLineChars="200" w:firstLine="420"/>
        <w:rPr>
          <w:szCs w:val="21"/>
        </w:rPr>
      </w:pPr>
      <w:r>
        <w:rPr>
          <w:bCs/>
          <w:szCs w:val="21"/>
        </w:rPr>
        <w:t>生物信息学的定义，研究内容，发展历史，以及在生命科学研究中的作用</w:t>
      </w:r>
    </w:p>
    <w:p w14:paraId="360B1F80" w14:textId="77777777" w:rsidR="00F5289E" w:rsidRDefault="00C91173">
      <w:pPr>
        <w:snapToGrid w:val="0"/>
        <w:spacing w:line="360" w:lineRule="auto"/>
        <w:rPr>
          <w:b/>
          <w:szCs w:val="21"/>
        </w:rPr>
      </w:pPr>
      <w:r>
        <w:rPr>
          <w:b/>
          <w:szCs w:val="21"/>
        </w:rPr>
        <w:t>（三）考核要求</w:t>
      </w:r>
    </w:p>
    <w:p w14:paraId="63C43755" w14:textId="77777777" w:rsidR="00F5289E" w:rsidRDefault="00C91173">
      <w:pPr>
        <w:snapToGrid w:val="0"/>
        <w:spacing w:line="360" w:lineRule="auto"/>
        <w:ind w:firstLineChars="200" w:firstLine="422"/>
        <w:rPr>
          <w:b/>
          <w:szCs w:val="21"/>
        </w:rPr>
      </w:pPr>
      <w:r>
        <w:rPr>
          <w:b/>
          <w:szCs w:val="21"/>
        </w:rPr>
        <w:t>1.</w:t>
      </w:r>
      <w:r>
        <w:rPr>
          <w:b/>
          <w:szCs w:val="21"/>
        </w:rPr>
        <w:t>识记</w:t>
      </w:r>
      <w:r>
        <w:rPr>
          <w:szCs w:val="21"/>
        </w:rPr>
        <w:t>：生物信息学概念</w:t>
      </w:r>
    </w:p>
    <w:p w14:paraId="798B9CCE" w14:textId="77777777" w:rsidR="00F5289E" w:rsidRDefault="00C91173">
      <w:pPr>
        <w:snapToGrid w:val="0"/>
        <w:spacing w:line="360" w:lineRule="auto"/>
        <w:ind w:firstLineChars="200" w:firstLine="422"/>
        <w:rPr>
          <w:b/>
          <w:szCs w:val="21"/>
        </w:rPr>
      </w:pPr>
      <w:r>
        <w:rPr>
          <w:b/>
          <w:szCs w:val="21"/>
        </w:rPr>
        <w:t>2.</w:t>
      </w:r>
      <w:r>
        <w:rPr>
          <w:b/>
          <w:szCs w:val="21"/>
        </w:rPr>
        <w:t>领会</w:t>
      </w:r>
      <w:r>
        <w:rPr>
          <w:szCs w:val="21"/>
        </w:rPr>
        <w:t>：</w:t>
      </w:r>
      <w:r>
        <w:rPr>
          <w:bCs/>
          <w:szCs w:val="21"/>
        </w:rPr>
        <w:t>生物信息学研究内容，人类基因组计划的意义。</w:t>
      </w:r>
    </w:p>
    <w:p w14:paraId="7C0B7E5F" w14:textId="77777777" w:rsidR="00F5289E" w:rsidRDefault="00C91173">
      <w:pPr>
        <w:snapToGrid w:val="0"/>
        <w:spacing w:line="360" w:lineRule="auto"/>
        <w:ind w:firstLineChars="200" w:firstLine="422"/>
        <w:rPr>
          <w:szCs w:val="21"/>
        </w:rPr>
      </w:pPr>
      <w:r>
        <w:rPr>
          <w:b/>
          <w:szCs w:val="21"/>
        </w:rPr>
        <w:lastRenderedPageBreak/>
        <w:t>3.</w:t>
      </w:r>
      <w:r>
        <w:rPr>
          <w:b/>
          <w:szCs w:val="21"/>
        </w:rPr>
        <w:t>应用</w:t>
      </w:r>
      <w:r>
        <w:rPr>
          <w:szCs w:val="21"/>
        </w:rPr>
        <w:t>：</w:t>
      </w:r>
      <w:r>
        <w:rPr>
          <w:bCs/>
          <w:szCs w:val="21"/>
        </w:rPr>
        <w:t>生物信息学的科学方法和策略。</w:t>
      </w:r>
    </w:p>
    <w:p w14:paraId="5FFC064F" w14:textId="77777777" w:rsidR="00F5289E" w:rsidRDefault="00C91173">
      <w:pPr>
        <w:snapToGrid w:val="0"/>
        <w:spacing w:line="360" w:lineRule="auto"/>
        <w:ind w:firstLineChars="200" w:firstLine="422"/>
        <w:rPr>
          <w:b/>
          <w:szCs w:val="21"/>
        </w:rPr>
      </w:pPr>
      <w:r>
        <w:rPr>
          <w:b/>
          <w:szCs w:val="21"/>
        </w:rPr>
        <w:t>4.</w:t>
      </w:r>
      <w:r>
        <w:rPr>
          <w:b/>
          <w:szCs w:val="21"/>
        </w:rPr>
        <w:t>分析：</w:t>
      </w:r>
      <w:r>
        <w:rPr>
          <w:bCs/>
          <w:szCs w:val="21"/>
        </w:rPr>
        <w:t>大数据在动物植物育种和人类疾病防控中的作用。</w:t>
      </w:r>
    </w:p>
    <w:p w14:paraId="628AF205" w14:textId="77777777" w:rsidR="00F5289E" w:rsidRDefault="00C91173">
      <w:pPr>
        <w:snapToGrid w:val="0"/>
        <w:spacing w:line="360" w:lineRule="auto"/>
        <w:ind w:firstLineChars="200" w:firstLine="422"/>
        <w:rPr>
          <w:szCs w:val="21"/>
        </w:rPr>
      </w:pPr>
      <w:r>
        <w:rPr>
          <w:b/>
          <w:szCs w:val="21"/>
        </w:rPr>
        <w:t>5.</w:t>
      </w:r>
      <w:r>
        <w:rPr>
          <w:b/>
          <w:szCs w:val="21"/>
        </w:rPr>
        <w:t>综合</w:t>
      </w:r>
      <w:r>
        <w:rPr>
          <w:szCs w:val="21"/>
        </w:rPr>
        <w:t>：</w:t>
      </w:r>
      <w:r>
        <w:rPr>
          <w:bCs/>
          <w:szCs w:val="21"/>
        </w:rPr>
        <w:t>认识生物信息学和其它学科之间的关系。</w:t>
      </w:r>
    </w:p>
    <w:p w14:paraId="0773842F" w14:textId="77777777" w:rsidR="00F5289E" w:rsidRDefault="00C91173">
      <w:pPr>
        <w:snapToGrid w:val="0"/>
        <w:spacing w:line="360" w:lineRule="auto"/>
        <w:ind w:firstLineChars="200" w:firstLine="422"/>
        <w:rPr>
          <w:bCs/>
          <w:szCs w:val="21"/>
        </w:rPr>
      </w:pPr>
      <w:r>
        <w:rPr>
          <w:b/>
          <w:szCs w:val="21"/>
        </w:rPr>
        <w:t>6.</w:t>
      </w:r>
      <w:r>
        <w:rPr>
          <w:b/>
          <w:szCs w:val="21"/>
        </w:rPr>
        <w:t>评价：</w:t>
      </w:r>
      <w:r>
        <w:rPr>
          <w:bCs/>
          <w:szCs w:val="21"/>
        </w:rPr>
        <w:t>生物信息学课程在生命科学中的作用和意义。</w:t>
      </w:r>
    </w:p>
    <w:p w14:paraId="75A2B4CB" w14:textId="77777777" w:rsidR="00F5289E" w:rsidRDefault="00C91173">
      <w:pPr>
        <w:snapToGrid w:val="0"/>
        <w:spacing w:line="360" w:lineRule="auto"/>
        <w:ind w:firstLineChars="49" w:firstLine="103"/>
        <w:jc w:val="center"/>
        <w:rPr>
          <w:b/>
          <w:szCs w:val="21"/>
        </w:rPr>
      </w:pPr>
      <w:r>
        <w:rPr>
          <w:b/>
          <w:szCs w:val="21"/>
        </w:rPr>
        <w:t>第二章</w:t>
      </w:r>
      <w:r>
        <w:rPr>
          <w:b/>
          <w:szCs w:val="21"/>
        </w:rPr>
        <w:t xml:space="preserve">  </w:t>
      </w:r>
      <w:r>
        <w:rPr>
          <w:b/>
          <w:szCs w:val="21"/>
        </w:rPr>
        <w:t>生物信息学常用数据库</w:t>
      </w:r>
    </w:p>
    <w:p w14:paraId="7DFED903" w14:textId="77777777" w:rsidR="00F5289E" w:rsidRDefault="00C91173">
      <w:pPr>
        <w:snapToGrid w:val="0"/>
        <w:spacing w:line="360" w:lineRule="auto"/>
        <w:rPr>
          <w:b/>
          <w:szCs w:val="21"/>
        </w:rPr>
      </w:pPr>
      <w:r>
        <w:rPr>
          <w:b/>
          <w:szCs w:val="21"/>
        </w:rPr>
        <w:t>（一）学习目标</w:t>
      </w:r>
    </w:p>
    <w:p w14:paraId="34D83F4D"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bCs/>
          <w:szCs w:val="21"/>
        </w:rPr>
        <w:t>生物信息学常用数据库的种类</w:t>
      </w:r>
    </w:p>
    <w:p w14:paraId="67014683"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数据库的使用场景及其解决问题的方法</w:t>
      </w:r>
    </w:p>
    <w:p w14:paraId="36FAEBC1"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生物信息学常用数据库的应用场景和主要功能</w:t>
      </w:r>
    </w:p>
    <w:p w14:paraId="53330E9F" w14:textId="77777777" w:rsidR="00F5289E" w:rsidRDefault="00C91173">
      <w:pPr>
        <w:snapToGrid w:val="0"/>
        <w:spacing w:line="360" w:lineRule="auto"/>
        <w:rPr>
          <w:szCs w:val="21"/>
        </w:rPr>
      </w:pPr>
      <w:r>
        <w:rPr>
          <w:b/>
          <w:szCs w:val="21"/>
        </w:rPr>
        <w:t>（二）考核内容</w:t>
      </w:r>
    </w:p>
    <w:p w14:paraId="68C4DCD9" w14:textId="77777777" w:rsidR="00F5289E" w:rsidRDefault="00C91173">
      <w:pPr>
        <w:snapToGrid w:val="0"/>
        <w:spacing w:line="360" w:lineRule="auto"/>
        <w:ind w:firstLineChars="200" w:firstLine="420"/>
        <w:rPr>
          <w:szCs w:val="21"/>
        </w:rPr>
      </w:pPr>
      <w:r>
        <w:rPr>
          <w:szCs w:val="21"/>
        </w:rPr>
        <w:t>生物信息学常用数据库的种类、主要功能和应用场景</w:t>
      </w:r>
    </w:p>
    <w:p w14:paraId="63597108" w14:textId="77777777" w:rsidR="00F5289E" w:rsidRDefault="00C91173">
      <w:pPr>
        <w:snapToGrid w:val="0"/>
        <w:spacing w:line="360" w:lineRule="auto"/>
        <w:rPr>
          <w:b/>
          <w:szCs w:val="21"/>
        </w:rPr>
      </w:pPr>
      <w:r>
        <w:rPr>
          <w:b/>
          <w:szCs w:val="21"/>
        </w:rPr>
        <w:t>（三）考核要求</w:t>
      </w:r>
    </w:p>
    <w:p w14:paraId="795237F0" w14:textId="77777777" w:rsidR="00F5289E" w:rsidRDefault="00C91173">
      <w:pPr>
        <w:snapToGrid w:val="0"/>
        <w:spacing w:line="360" w:lineRule="auto"/>
        <w:ind w:firstLineChars="200" w:firstLine="422"/>
        <w:rPr>
          <w:b/>
          <w:szCs w:val="21"/>
        </w:rPr>
      </w:pPr>
      <w:r>
        <w:rPr>
          <w:b/>
          <w:szCs w:val="21"/>
        </w:rPr>
        <w:t>1.</w:t>
      </w:r>
      <w:r>
        <w:rPr>
          <w:b/>
          <w:szCs w:val="21"/>
        </w:rPr>
        <w:t>识记</w:t>
      </w:r>
      <w:r>
        <w:rPr>
          <w:szCs w:val="21"/>
        </w:rPr>
        <w:t>：</w:t>
      </w:r>
      <w:r>
        <w:rPr>
          <w:bCs/>
          <w:szCs w:val="21"/>
        </w:rPr>
        <w:t>生物信息学常用数据库的种类</w:t>
      </w:r>
    </w:p>
    <w:p w14:paraId="6238F1F0" w14:textId="77777777" w:rsidR="00F5289E" w:rsidRDefault="00C91173">
      <w:pPr>
        <w:snapToGrid w:val="0"/>
        <w:spacing w:line="360" w:lineRule="auto"/>
        <w:ind w:firstLineChars="200" w:firstLine="422"/>
        <w:rPr>
          <w:b/>
          <w:szCs w:val="21"/>
        </w:rPr>
      </w:pPr>
      <w:r>
        <w:rPr>
          <w:b/>
          <w:szCs w:val="21"/>
        </w:rPr>
        <w:t>2.</w:t>
      </w:r>
      <w:r>
        <w:rPr>
          <w:b/>
          <w:szCs w:val="21"/>
        </w:rPr>
        <w:t>领会</w:t>
      </w:r>
      <w:r>
        <w:rPr>
          <w:szCs w:val="21"/>
        </w:rPr>
        <w:t>：</w:t>
      </w:r>
      <w:r>
        <w:rPr>
          <w:bCs/>
          <w:szCs w:val="21"/>
        </w:rPr>
        <w:t>常用数据库解决问题的思路</w:t>
      </w:r>
    </w:p>
    <w:p w14:paraId="3DA678DA" w14:textId="77777777" w:rsidR="00F5289E" w:rsidRDefault="00C91173">
      <w:pPr>
        <w:snapToGrid w:val="0"/>
        <w:spacing w:line="360" w:lineRule="auto"/>
        <w:ind w:firstLineChars="200" w:firstLine="422"/>
        <w:rPr>
          <w:szCs w:val="21"/>
        </w:rPr>
      </w:pPr>
      <w:r>
        <w:rPr>
          <w:b/>
          <w:szCs w:val="21"/>
        </w:rPr>
        <w:t>3.</w:t>
      </w:r>
      <w:r>
        <w:rPr>
          <w:b/>
          <w:szCs w:val="21"/>
        </w:rPr>
        <w:t>应用</w:t>
      </w:r>
      <w:r>
        <w:rPr>
          <w:szCs w:val="21"/>
        </w:rPr>
        <w:t>：</w:t>
      </w:r>
      <w:r>
        <w:rPr>
          <w:bCs/>
          <w:szCs w:val="21"/>
        </w:rPr>
        <w:t>常用数据库的应用场景</w:t>
      </w:r>
    </w:p>
    <w:p w14:paraId="367715EB" w14:textId="77777777" w:rsidR="00F5289E" w:rsidRDefault="00C91173">
      <w:pPr>
        <w:snapToGrid w:val="0"/>
        <w:spacing w:line="360" w:lineRule="auto"/>
        <w:ind w:firstLineChars="200" w:firstLine="422"/>
        <w:rPr>
          <w:b/>
          <w:szCs w:val="21"/>
        </w:rPr>
      </w:pPr>
      <w:r>
        <w:rPr>
          <w:b/>
          <w:szCs w:val="21"/>
        </w:rPr>
        <w:t>4.</w:t>
      </w:r>
      <w:r>
        <w:rPr>
          <w:b/>
          <w:szCs w:val="21"/>
        </w:rPr>
        <w:t>分析：</w:t>
      </w:r>
      <w:r>
        <w:rPr>
          <w:bCs/>
          <w:szCs w:val="21"/>
        </w:rPr>
        <w:t>常用数据库的主要功能</w:t>
      </w:r>
    </w:p>
    <w:p w14:paraId="1190A03B" w14:textId="77777777" w:rsidR="00F5289E" w:rsidRDefault="00C91173">
      <w:pPr>
        <w:snapToGrid w:val="0"/>
        <w:spacing w:line="360" w:lineRule="auto"/>
        <w:ind w:firstLineChars="200" w:firstLine="422"/>
        <w:rPr>
          <w:szCs w:val="21"/>
        </w:rPr>
      </w:pPr>
      <w:r>
        <w:rPr>
          <w:b/>
          <w:szCs w:val="21"/>
        </w:rPr>
        <w:t>5.</w:t>
      </w:r>
      <w:r>
        <w:rPr>
          <w:b/>
          <w:szCs w:val="21"/>
        </w:rPr>
        <w:t>综合</w:t>
      </w:r>
      <w:r>
        <w:rPr>
          <w:szCs w:val="21"/>
        </w:rPr>
        <w:t>：</w:t>
      </w:r>
      <w:r>
        <w:rPr>
          <w:bCs/>
          <w:szCs w:val="21"/>
        </w:rPr>
        <w:t>常用数据库解决生物学问题的方法</w:t>
      </w:r>
    </w:p>
    <w:p w14:paraId="745FB253" w14:textId="77777777" w:rsidR="00F5289E" w:rsidRDefault="00C91173">
      <w:pPr>
        <w:snapToGrid w:val="0"/>
        <w:spacing w:line="360" w:lineRule="auto"/>
        <w:ind w:firstLineChars="200" w:firstLine="422"/>
        <w:rPr>
          <w:b/>
          <w:szCs w:val="21"/>
        </w:rPr>
      </w:pPr>
      <w:r>
        <w:rPr>
          <w:b/>
          <w:szCs w:val="21"/>
        </w:rPr>
        <w:t>6.</w:t>
      </w:r>
      <w:r>
        <w:rPr>
          <w:b/>
          <w:szCs w:val="21"/>
        </w:rPr>
        <w:t>评价：</w:t>
      </w:r>
      <w:r>
        <w:rPr>
          <w:bCs/>
          <w:szCs w:val="21"/>
        </w:rPr>
        <w:t>不同数据库之间的优缺点</w:t>
      </w:r>
    </w:p>
    <w:p w14:paraId="16491184" w14:textId="77777777" w:rsidR="00F5289E" w:rsidRDefault="00C91173">
      <w:pPr>
        <w:snapToGrid w:val="0"/>
        <w:spacing w:line="360" w:lineRule="auto"/>
        <w:ind w:firstLineChars="49" w:firstLine="103"/>
        <w:jc w:val="center"/>
        <w:rPr>
          <w:b/>
          <w:szCs w:val="21"/>
        </w:rPr>
      </w:pPr>
      <w:r>
        <w:rPr>
          <w:b/>
          <w:szCs w:val="21"/>
        </w:rPr>
        <w:t>第三章</w:t>
      </w:r>
      <w:r>
        <w:rPr>
          <w:b/>
          <w:szCs w:val="21"/>
        </w:rPr>
        <w:t xml:space="preserve">  </w:t>
      </w:r>
      <w:r>
        <w:rPr>
          <w:b/>
          <w:szCs w:val="21"/>
        </w:rPr>
        <w:t>序列比对与分析</w:t>
      </w:r>
    </w:p>
    <w:p w14:paraId="0C31B612" w14:textId="77777777" w:rsidR="00F5289E" w:rsidRDefault="00C91173">
      <w:pPr>
        <w:snapToGrid w:val="0"/>
        <w:spacing w:line="360" w:lineRule="auto"/>
        <w:rPr>
          <w:b/>
          <w:szCs w:val="21"/>
        </w:rPr>
      </w:pPr>
      <w:r>
        <w:rPr>
          <w:b/>
          <w:szCs w:val="21"/>
        </w:rPr>
        <w:t>（一）学习目标</w:t>
      </w:r>
    </w:p>
    <w:p w14:paraId="6A227E18" w14:textId="77777777" w:rsidR="00F5289E" w:rsidRDefault="00C91173">
      <w:pPr>
        <w:snapToGrid w:val="0"/>
        <w:spacing w:line="360" w:lineRule="auto"/>
        <w:ind w:firstLineChars="200" w:firstLine="422"/>
        <w:rPr>
          <w:szCs w:val="21"/>
        </w:rPr>
      </w:pPr>
      <w:r>
        <w:rPr>
          <w:b/>
          <w:szCs w:val="21"/>
        </w:rPr>
        <w:t xml:space="preserve">1. </w:t>
      </w:r>
      <w:r>
        <w:rPr>
          <w:b/>
          <w:szCs w:val="21"/>
        </w:rPr>
        <w:t>一般了解</w:t>
      </w:r>
      <w:r>
        <w:rPr>
          <w:szCs w:val="21"/>
        </w:rPr>
        <w:t>：</w:t>
      </w:r>
      <w:r>
        <w:rPr>
          <w:bCs/>
          <w:szCs w:val="21"/>
        </w:rPr>
        <w:t>两条序列联配和多序列联配的算法。</w:t>
      </w:r>
    </w:p>
    <w:p w14:paraId="484C4957" w14:textId="77777777" w:rsidR="00F5289E" w:rsidRDefault="00C91173">
      <w:pPr>
        <w:snapToGrid w:val="0"/>
        <w:spacing w:line="360" w:lineRule="auto"/>
        <w:ind w:firstLineChars="200" w:firstLine="422"/>
        <w:rPr>
          <w:szCs w:val="21"/>
        </w:rPr>
      </w:pPr>
      <w:r>
        <w:rPr>
          <w:b/>
          <w:szCs w:val="21"/>
        </w:rPr>
        <w:t xml:space="preserve">2. </w:t>
      </w:r>
      <w:r>
        <w:rPr>
          <w:b/>
          <w:szCs w:val="21"/>
        </w:rPr>
        <w:t>一般掌握</w:t>
      </w:r>
      <w:r>
        <w:rPr>
          <w:szCs w:val="21"/>
        </w:rPr>
        <w:t>：</w:t>
      </w:r>
      <w:r>
        <w:rPr>
          <w:bCs/>
          <w:szCs w:val="21"/>
        </w:rPr>
        <w:t>序列比对的概念。</w:t>
      </w:r>
    </w:p>
    <w:p w14:paraId="31A67AA7" w14:textId="77777777" w:rsidR="00F5289E" w:rsidRDefault="00C91173">
      <w:pPr>
        <w:snapToGrid w:val="0"/>
        <w:spacing w:line="360" w:lineRule="auto"/>
        <w:ind w:firstLineChars="200" w:firstLine="422"/>
        <w:rPr>
          <w:szCs w:val="21"/>
        </w:rPr>
      </w:pPr>
      <w:r>
        <w:rPr>
          <w:b/>
          <w:szCs w:val="21"/>
        </w:rPr>
        <w:t xml:space="preserve">3. </w:t>
      </w:r>
      <w:r>
        <w:rPr>
          <w:b/>
          <w:szCs w:val="21"/>
        </w:rPr>
        <w:t>熟练掌握</w:t>
      </w:r>
      <w:r>
        <w:rPr>
          <w:szCs w:val="21"/>
        </w:rPr>
        <w:t>：</w:t>
      </w:r>
      <w:r>
        <w:rPr>
          <w:bCs/>
          <w:szCs w:val="21"/>
        </w:rPr>
        <w:t>BLAST</w:t>
      </w:r>
      <w:r>
        <w:rPr>
          <w:bCs/>
          <w:szCs w:val="21"/>
        </w:rPr>
        <w:t>、</w:t>
      </w:r>
      <w:r>
        <w:rPr>
          <w:bCs/>
          <w:szCs w:val="21"/>
        </w:rPr>
        <w:t>DNAMAN</w:t>
      </w:r>
      <w:r>
        <w:rPr>
          <w:bCs/>
          <w:szCs w:val="21"/>
        </w:rPr>
        <w:t>、</w:t>
      </w:r>
      <w:proofErr w:type="spellStart"/>
      <w:r>
        <w:rPr>
          <w:bCs/>
          <w:szCs w:val="21"/>
        </w:rPr>
        <w:t>Clustal</w:t>
      </w:r>
      <w:proofErr w:type="spellEnd"/>
      <w:r>
        <w:rPr>
          <w:bCs/>
          <w:szCs w:val="21"/>
        </w:rPr>
        <w:t>工具。</w:t>
      </w:r>
    </w:p>
    <w:p w14:paraId="5ABC2FA9" w14:textId="77777777" w:rsidR="00F5289E" w:rsidRDefault="00C91173">
      <w:pPr>
        <w:snapToGrid w:val="0"/>
        <w:spacing w:line="360" w:lineRule="auto"/>
        <w:rPr>
          <w:szCs w:val="21"/>
        </w:rPr>
      </w:pPr>
      <w:r>
        <w:rPr>
          <w:b/>
          <w:szCs w:val="21"/>
        </w:rPr>
        <w:t>（二）考核内容</w:t>
      </w:r>
    </w:p>
    <w:p w14:paraId="007D3BD1" w14:textId="77777777" w:rsidR="00F5289E" w:rsidRDefault="00C91173">
      <w:pPr>
        <w:snapToGrid w:val="0"/>
        <w:spacing w:line="360" w:lineRule="auto"/>
        <w:ind w:firstLineChars="200" w:firstLine="420"/>
        <w:rPr>
          <w:szCs w:val="21"/>
        </w:rPr>
      </w:pPr>
      <w:r>
        <w:rPr>
          <w:szCs w:val="21"/>
        </w:rPr>
        <w:t>在理解序列比对原理的基础上，通过比对基因序列，蛋白序列发现不同物种之前内在联系，具备发现基本科学问题和创新意识。</w:t>
      </w:r>
    </w:p>
    <w:p w14:paraId="5F6C7719" w14:textId="77777777" w:rsidR="00F5289E" w:rsidRDefault="00C91173">
      <w:pPr>
        <w:snapToGrid w:val="0"/>
        <w:spacing w:line="360" w:lineRule="auto"/>
        <w:rPr>
          <w:b/>
          <w:szCs w:val="21"/>
        </w:rPr>
      </w:pPr>
      <w:r>
        <w:rPr>
          <w:b/>
          <w:szCs w:val="21"/>
        </w:rPr>
        <w:t>（三）考核要求</w:t>
      </w:r>
    </w:p>
    <w:p w14:paraId="5F21E06F" w14:textId="77777777" w:rsidR="00F5289E" w:rsidRDefault="00C91173">
      <w:pPr>
        <w:snapToGrid w:val="0"/>
        <w:spacing w:line="360" w:lineRule="auto"/>
        <w:ind w:firstLineChars="200" w:firstLine="422"/>
        <w:rPr>
          <w:b/>
          <w:szCs w:val="21"/>
        </w:rPr>
      </w:pPr>
      <w:r>
        <w:rPr>
          <w:b/>
          <w:szCs w:val="21"/>
        </w:rPr>
        <w:t>1.</w:t>
      </w:r>
      <w:r>
        <w:rPr>
          <w:b/>
          <w:szCs w:val="21"/>
        </w:rPr>
        <w:t>识记</w:t>
      </w:r>
      <w:r>
        <w:rPr>
          <w:szCs w:val="21"/>
        </w:rPr>
        <w:t>：基因同源性、蛋白相似性、保守功能域，</w:t>
      </w:r>
      <w:r>
        <w:rPr>
          <w:szCs w:val="21"/>
        </w:rPr>
        <w:t>motif</w:t>
      </w:r>
    </w:p>
    <w:p w14:paraId="31ABEC46" w14:textId="77777777" w:rsidR="00F5289E" w:rsidRDefault="00C91173">
      <w:pPr>
        <w:snapToGrid w:val="0"/>
        <w:spacing w:line="360" w:lineRule="auto"/>
        <w:ind w:firstLineChars="200" w:firstLine="422"/>
        <w:rPr>
          <w:b/>
          <w:szCs w:val="21"/>
        </w:rPr>
      </w:pPr>
      <w:r>
        <w:rPr>
          <w:b/>
          <w:szCs w:val="21"/>
        </w:rPr>
        <w:t>2.</w:t>
      </w:r>
      <w:r>
        <w:rPr>
          <w:b/>
          <w:szCs w:val="21"/>
        </w:rPr>
        <w:t>领会</w:t>
      </w:r>
      <w:r>
        <w:rPr>
          <w:szCs w:val="21"/>
        </w:rPr>
        <w:t>：</w:t>
      </w:r>
      <w:r>
        <w:rPr>
          <w:bCs/>
          <w:szCs w:val="21"/>
        </w:rPr>
        <w:t>同源性和相似性之间的联系。</w:t>
      </w:r>
    </w:p>
    <w:p w14:paraId="2B940D20" w14:textId="77777777" w:rsidR="00F5289E" w:rsidRDefault="00C91173">
      <w:pPr>
        <w:snapToGrid w:val="0"/>
        <w:spacing w:line="360" w:lineRule="auto"/>
        <w:ind w:firstLineChars="200" w:firstLine="422"/>
        <w:rPr>
          <w:szCs w:val="21"/>
        </w:rPr>
      </w:pPr>
      <w:r>
        <w:rPr>
          <w:b/>
          <w:szCs w:val="21"/>
        </w:rPr>
        <w:t>3.</w:t>
      </w:r>
      <w:r>
        <w:rPr>
          <w:b/>
          <w:szCs w:val="21"/>
        </w:rPr>
        <w:t>应用</w:t>
      </w:r>
      <w:r>
        <w:rPr>
          <w:szCs w:val="21"/>
        </w:rPr>
        <w:t>：</w:t>
      </w:r>
      <w:r>
        <w:rPr>
          <w:bCs/>
          <w:szCs w:val="21"/>
        </w:rPr>
        <w:t>DNAMAN</w:t>
      </w:r>
      <w:r>
        <w:rPr>
          <w:bCs/>
          <w:szCs w:val="21"/>
        </w:rPr>
        <w:t>进行两序列比对分析、多序列比对分析。</w:t>
      </w:r>
    </w:p>
    <w:p w14:paraId="69C85A57" w14:textId="77777777" w:rsidR="00F5289E" w:rsidRDefault="00C91173">
      <w:pPr>
        <w:snapToGrid w:val="0"/>
        <w:spacing w:line="360" w:lineRule="auto"/>
        <w:ind w:firstLineChars="200" w:firstLine="422"/>
        <w:rPr>
          <w:b/>
          <w:szCs w:val="21"/>
        </w:rPr>
      </w:pPr>
      <w:r>
        <w:rPr>
          <w:b/>
          <w:szCs w:val="21"/>
        </w:rPr>
        <w:t>4.</w:t>
      </w:r>
      <w:r>
        <w:rPr>
          <w:b/>
          <w:szCs w:val="21"/>
        </w:rPr>
        <w:t>分析：</w:t>
      </w:r>
      <w:r>
        <w:rPr>
          <w:bCs/>
          <w:szCs w:val="21"/>
        </w:rPr>
        <w:t>利用序列比对的方法解释物种进化关系。</w:t>
      </w:r>
    </w:p>
    <w:p w14:paraId="463EB404" w14:textId="77777777" w:rsidR="00F5289E" w:rsidRDefault="00C91173">
      <w:pPr>
        <w:snapToGrid w:val="0"/>
        <w:spacing w:line="360" w:lineRule="auto"/>
        <w:ind w:firstLineChars="200" w:firstLine="422"/>
        <w:rPr>
          <w:szCs w:val="21"/>
        </w:rPr>
      </w:pPr>
      <w:r>
        <w:rPr>
          <w:b/>
          <w:szCs w:val="21"/>
        </w:rPr>
        <w:t>5.</w:t>
      </w:r>
      <w:r>
        <w:rPr>
          <w:b/>
          <w:szCs w:val="21"/>
        </w:rPr>
        <w:t>综合</w:t>
      </w:r>
      <w:r>
        <w:rPr>
          <w:szCs w:val="21"/>
        </w:rPr>
        <w:t>：掌握从序列到进化树分析流程和相关软件</w:t>
      </w:r>
      <w:r>
        <w:rPr>
          <w:bCs/>
          <w:szCs w:val="21"/>
        </w:rPr>
        <w:t>。</w:t>
      </w:r>
    </w:p>
    <w:p w14:paraId="6E8CD352" w14:textId="77777777" w:rsidR="00F5289E" w:rsidRDefault="00C91173">
      <w:pPr>
        <w:snapToGrid w:val="0"/>
        <w:spacing w:line="360" w:lineRule="auto"/>
        <w:ind w:firstLineChars="200" w:firstLine="422"/>
        <w:rPr>
          <w:b/>
          <w:szCs w:val="21"/>
        </w:rPr>
      </w:pPr>
      <w:r>
        <w:rPr>
          <w:b/>
          <w:szCs w:val="21"/>
        </w:rPr>
        <w:t>6.</w:t>
      </w:r>
      <w:r>
        <w:rPr>
          <w:b/>
          <w:szCs w:val="21"/>
        </w:rPr>
        <w:t>评价：</w:t>
      </w:r>
      <w:r>
        <w:rPr>
          <w:bCs/>
          <w:szCs w:val="21"/>
        </w:rPr>
        <w:t>两序列比对和多序列比对结果的生物学意义。</w:t>
      </w:r>
    </w:p>
    <w:p w14:paraId="2B93D0C6" w14:textId="77777777" w:rsidR="00F5289E" w:rsidRDefault="00F5289E">
      <w:pPr>
        <w:pStyle w:val="a9"/>
        <w:snapToGrid w:val="0"/>
        <w:spacing w:line="360" w:lineRule="auto"/>
        <w:ind w:firstLine="422"/>
        <w:jc w:val="center"/>
        <w:rPr>
          <w:rFonts w:ascii="Times New Roman" w:hAnsi="Times New Roman" w:cs="Times New Roman"/>
          <w:b/>
        </w:rPr>
      </w:pPr>
    </w:p>
    <w:p w14:paraId="60BD09A1" w14:textId="77777777" w:rsidR="00F5289E" w:rsidRDefault="00F5289E">
      <w:pPr>
        <w:pStyle w:val="a9"/>
        <w:snapToGrid w:val="0"/>
        <w:spacing w:line="360" w:lineRule="auto"/>
        <w:ind w:firstLine="422"/>
        <w:rPr>
          <w:rFonts w:ascii="Times New Roman" w:hAnsi="Times New Roman" w:cs="Times New Roman"/>
          <w:b/>
        </w:rPr>
      </w:pPr>
    </w:p>
    <w:p w14:paraId="4F274D30" w14:textId="77777777" w:rsidR="00F5289E" w:rsidRDefault="00C91173">
      <w:pPr>
        <w:snapToGrid w:val="0"/>
        <w:spacing w:line="360" w:lineRule="auto"/>
        <w:ind w:firstLineChars="49" w:firstLine="103"/>
        <w:jc w:val="center"/>
        <w:rPr>
          <w:b/>
          <w:szCs w:val="21"/>
        </w:rPr>
      </w:pPr>
      <w:r>
        <w:rPr>
          <w:b/>
          <w:szCs w:val="21"/>
        </w:rPr>
        <w:t>第四章</w:t>
      </w:r>
      <w:r>
        <w:rPr>
          <w:b/>
          <w:szCs w:val="21"/>
        </w:rPr>
        <w:t xml:space="preserve">  </w:t>
      </w:r>
      <w:r>
        <w:rPr>
          <w:b/>
          <w:bCs/>
          <w:szCs w:val="21"/>
        </w:rPr>
        <w:t>基因结构与功能注释</w:t>
      </w:r>
    </w:p>
    <w:p w14:paraId="31C91343" w14:textId="77777777" w:rsidR="00F5289E" w:rsidRDefault="00C91173">
      <w:pPr>
        <w:snapToGrid w:val="0"/>
        <w:spacing w:line="360" w:lineRule="auto"/>
        <w:rPr>
          <w:b/>
          <w:szCs w:val="21"/>
        </w:rPr>
      </w:pPr>
      <w:r>
        <w:rPr>
          <w:b/>
          <w:szCs w:val="21"/>
        </w:rPr>
        <w:t>（一）学习目标</w:t>
      </w:r>
    </w:p>
    <w:p w14:paraId="09F4CF9A"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w:t>
      </w:r>
      <w:r>
        <w:rPr>
          <w:bCs/>
        </w:rPr>
        <w:t>生物信息学常用的基因注释工具</w:t>
      </w:r>
    </w:p>
    <w:p w14:paraId="0FCD0DC1"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rPr>
          <w:bCs/>
        </w:rPr>
        <w:t>生物信息学常用基因注释工具的使用方法</w:t>
      </w:r>
    </w:p>
    <w:p w14:paraId="4895718A"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w:t>
      </w:r>
      <w:r>
        <w:rPr>
          <w:kern w:val="0"/>
          <w:szCs w:val="21"/>
        </w:rPr>
        <w:t>基因结构的主要组成部分</w:t>
      </w:r>
    </w:p>
    <w:p w14:paraId="28319F77" w14:textId="77777777" w:rsidR="00F5289E" w:rsidRDefault="00C91173">
      <w:pPr>
        <w:snapToGrid w:val="0"/>
        <w:spacing w:line="360" w:lineRule="auto"/>
        <w:rPr>
          <w:szCs w:val="21"/>
        </w:rPr>
      </w:pPr>
      <w:r>
        <w:rPr>
          <w:b/>
          <w:szCs w:val="21"/>
        </w:rPr>
        <w:t>（二）考核内容</w:t>
      </w:r>
    </w:p>
    <w:p w14:paraId="12BF5407" w14:textId="77777777" w:rsidR="00F5289E" w:rsidRDefault="00C91173">
      <w:pPr>
        <w:snapToGrid w:val="0"/>
        <w:spacing w:line="360" w:lineRule="auto"/>
        <w:ind w:firstLineChars="200" w:firstLine="420"/>
        <w:rPr>
          <w:color w:val="0000FF"/>
          <w:szCs w:val="21"/>
        </w:rPr>
      </w:pPr>
      <w:r>
        <w:rPr>
          <w:kern w:val="0"/>
          <w:szCs w:val="21"/>
        </w:rPr>
        <w:t>了解基因的结构及其分析方法，</w:t>
      </w:r>
      <w:r>
        <w:t>使用生物信息学方法解析基因的结构和功能。</w:t>
      </w:r>
    </w:p>
    <w:p w14:paraId="51074212" w14:textId="77777777" w:rsidR="00F5289E" w:rsidRDefault="00C91173">
      <w:pPr>
        <w:snapToGrid w:val="0"/>
        <w:spacing w:line="360" w:lineRule="auto"/>
        <w:rPr>
          <w:b/>
          <w:szCs w:val="21"/>
        </w:rPr>
      </w:pPr>
      <w:r>
        <w:rPr>
          <w:b/>
          <w:szCs w:val="21"/>
        </w:rPr>
        <w:t>（三）考核要求</w:t>
      </w:r>
    </w:p>
    <w:p w14:paraId="1E7E88DA"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w:t>
      </w:r>
      <w:r>
        <w:rPr>
          <w:bCs/>
        </w:rPr>
        <w:t>生物信息学常用的基因注释工具的种类</w:t>
      </w:r>
    </w:p>
    <w:p w14:paraId="7754E4A4" w14:textId="77777777" w:rsidR="00F5289E" w:rsidRDefault="00C91173">
      <w:pPr>
        <w:snapToGrid w:val="0"/>
        <w:spacing w:line="360" w:lineRule="auto"/>
        <w:ind w:firstLineChars="200" w:firstLine="422"/>
        <w:rPr>
          <w:b/>
          <w:szCs w:val="21"/>
        </w:rPr>
      </w:pPr>
      <w:r>
        <w:rPr>
          <w:b/>
          <w:szCs w:val="21"/>
        </w:rPr>
        <w:t>2.</w:t>
      </w:r>
      <w:r>
        <w:rPr>
          <w:b/>
          <w:szCs w:val="21"/>
        </w:rPr>
        <w:t>领会</w:t>
      </w:r>
      <w:r>
        <w:rPr>
          <w:szCs w:val="21"/>
        </w:rPr>
        <w:t>：</w:t>
      </w:r>
      <w:r>
        <w:rPr>
          <w:bCs/>
        </w:rPr>
        <w:t>基因注释工具的使用方法</w:t>
      </w:r>
    </w:p>
    <w:p w14:paraId="0ED4526E" w14:textId="77777777" w:rsidR="00F5289E" w:rsidRDefault="00C91173">
      <w:pPr>
        <w:snapToGrid w:val="0"/>
        <w:spacing w:line="360" w:lineRule="auto"/>
        <w:ind w:firstLineChars="200" w:firstLine="422"/>
        <w:rPr>
          <w:szCs w:val="21"/>
        </w:rPr>
      </w:pPr>
      <w:r>
        <w:rPr>
          <w:b/>
          <w:szCs w:val="21"/>
        </w:rPr>
        <w:t>3.</w:t>
      </w:r>
      <w:r>
        <w:rPr>
          <w:b/>
          <w:szCs w:val="21"/>
        </w:rPr>
        <w:t>应用</w:t>
      </w:r>
      <w:r>
        <w:rPr>
          <w:szCs w:val="21"/>
        </w:rPr>
        <w:t>：</w:t>
      </w:r>
      <w:r>
        <w:rPr>
          <w:bCs/>
          <w:szCs w:val="21"/>
        </w:rPr>
        <w:t>使用基因注释工具对基因结构和功能进行分析和注释</w:t>
      </w:r>
    </w:p>
    <w:p w14:paraId="026AFA57" w14:textId="77777777" w:rsidR="00F5289E" w:rsidRDefault="00C91173">
      <w:pPr>
        <w:snapToGrid w:val="0"/>
        <w:spacing w:line="360" w:lineRule="auto"/>
        <w:ind w:firstLineChars="200" w:firstLine="422"/>
        <w:rPr>
          <w:b/>
          <w:szCs w:val="21"/>
        </w:rPr>
      </w:pPr>
      <w:r>
        <w:rPr>
          <w:b/>
          <w:szCs w:val="21"/>
        </w:rPr>
        <w:t>4.</w:t>
      </w:r>
      <w:r>
        <w:rPr>
          <w:b/>
          <w:szCs w:val="21"/>
        </w:rPr>
        <w:t>分析：</w:t>
      </w:r>
      <w:r>
        <w:rPr>
          <w:kern w:val="0"/>
          <w:szCs w:val="21"/>
        </w:rPr>
        <w:t>基因结构的主要组成部分</w:t>
      </w:r>
    </w:p>
    <w:p w14:paraId="5D128DCE" w14:textId="77777777" w:rsidR="00F5289E" w:rsidRDefault="00C91173">
      <w:pPr>
        <w:snapToGrid w:val="0"/>
        <w:spacing w:line="360" w:lineRule="auto"/>
        <w:ind w:firstLineChars="200" w:firstLine="422"/>
        <w:rPr>
          <w:szCs w:val="21"/>
        </w:rPr>
      </w:pPr>
      <w:r>
        <w:rPr>
          <w:b/>
          <w:szCs w:val="21"/>
        </w:rPr>
        <w:t>5.</w:t>
      </w:r>
      <w:r>
        <w:rPr>
          <w:b/>
          <w:szCs w:val="21"/>
        </w:rPr>
        <w:t>综合</w:t>
      </w:r>
      <w:r>
        <w:rPr>
          <w:szCs w:val="21"/>
        </w:rPr>
        <w:t>：</w:t>
      </w:r>
      <w:r>
        <w:rPr>
          <w:bCs/>
        </w:rPr>
        <w:t>基因注释常用数据库的分类和功能</w:t>
      </w:r>
    </w:p>
    <w:p w14:paraId="2BD70C81" w14:textId="77777777" w:rsidR="00F5289E" w:rsidRDefault="00C91173">
      <w:pPr>
        <w:snapToGrid w:val="0"/>
        <w:spacing w:line="360" w:lineRule="auto"/>
        <w:ind w:firstLineChars="200" w:firstLine="422"/>
        <w:rPr>
          <w:b/>
          <w:color w:val="0000FF"/>
          <w:szCs w:val="21"/>
        </w:rPr>
      </w:pPr>
      <w:r>
        <w:rPr>
          <w:b/>
          <w:szCs w:val="21"/>
        </w:rPr>
        <w:t>6.</w:t>
      </w:r>
      <w:r>
        <w:rPr>
          <w:b/>
          <w:szCs w:val="21"/>
        </w:rPr>
        <w:t>评价：</w:t>
      </w:r>
      <w:r>
        <w:rPr>
          <w:bCs/>
          <w:szCs w:val="21"/>
        </w:rPr>
        <w:t>熟练使用</w:t>
      </w:r>
      <w:r>
        <w:rPr>
          <w:bCs/>
          <w:kern w:val="0"/>
          <w:szCs w:val="21"/>
        </w:rPr>
        <w:t>生</w:t>
      </w:r>
      <w:r>
        <w:rPr>
          <w:kern w:val="0"/>
          <w:szCs w:val="21"/>
        </w:rPr>
        <w:t>物信息学工具注释基因功能</w:t>
      </w:r>
    </w:p>
    <w:p w14:paraId="74077439" w14:textId="77777777" w:rsidR="00F5289E" w:rsidRDefault="00C91173">
      <w:pPr>
        <w:snapToGrid w:val="0"/>
        <w:spacing w:line="360" w:lineRule="auto"/>
        <w:ind w:firstLineChars="49" w:firstLine="103"/>
        <w:jc w:val="center"/>
        <w:rPr>
          <w:b/>
          <w:szCs w:val="21"/>
        </w:rPr>
      </w:pPr>
      <w:r>
        <w:rPr>
          <w:b/>
          <w:szCs w:val="21"/>
        </w:rPr>
        <w:t>第五章</w:t>
      </w:r>
      <w:r>
        <w:rPr>
          <w:b/>
          <w:szCs w:val="21"/>
        </w:rPr>
        <w:t xml:space="preserve">  </w:t>
      </w:r>
      <w:r>
        <w:rPr>
          <w:b/>
          <w:bCs/>
          <w:kern w:val="0"/>
          <w:szCs w:val="21"/>
        </w:rPr>
        <w:t>高通量测序技术概要</w:t>
      </w:r>
    </w:p>
    <w:p w14:paraId="5D0293DC" w14:textId="77777777" w:rsidR="00F5289E" w:rsidRDefault="00C91173">
      <w:pPr>
        <w:snapToGrid w:val="0"/>
        <w:spacing w:line="360" w:lineRule="auto"/>
        <w:rPr>
          <w:b/>
          <w:szCs w:val="21"/>
        </w:rPr>
      </w:pPr>
      <w:r>
        <w:rPr>
          <w:b/>
          <w:szCs w:val="21"/>
        </w:rPr>
        <w:t>（一）学习目标</w:t>
      </w:r>
    </w:p>
    <w:p w14:paraId="46EF4127"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：高通量测序技术的发展历程</w:t>
      </w:r>
    </w:p>
    <w:p w14:paraId="63A35406"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t>第一代测序技术（双脱氧终止法，化学降解法）；第三代测序技术（</w:t>
      </w:r>
      <w:proofErr w:type="spellStart"/>
      <w:r>
        <w:t>tSMS</w:t>
      </w:r>
      <w:proofErr w:type="spellEnd"/>
      <w:r>
        <w:t>、</w:t>
      </w:r>
      <w:r>
        <w:t>SMRT</w:t>
      </w:r>
      <w:r>
        <w:t>和</w:t>
      </w:r>
      <w:r>
        <w:t>Nanopore</w:t>
      </w:r>
      <w:r>
        <w:t>三种单分子信号检测技术）</w:t>
      </w:r>
    </w:p>
    <w:p w14:paraId="0BDB68BD"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w:t>
      </w:r>
      <w:r>
        <w:t>第二代测序技术（</w:t>
      </w:r>
      <w:r>
        <w:t>454</w:t>
      </w:r>
      <w:r>
        <w:t>测序技术，</w:t>
      </w:r>
      <w:proofErr w:type="spellStart"/>
      <w:r>
        <w:t>Solexa</w:t>
      </w:r>
      <w:proofErr w:type="spellEnd"/>
      <w:r>
        <w:t>和</w:t>
      </w:r>
      <w:proofErr w:type="spellStart"/>
      <w:r>
        <w:t>Hiseq</w:t>
      </w:r>
      <w:proofErr w:type="spellEnd"/>
      <w:r>
        <w:t>测序技术，</w:t>
      </w:r>
      <w:r>
        <w:t>SOLID</w:t>
      </w:r>
      <w:r>
        <w:t>测序技术），其中</w:t>
      </w:r>
      <w:r>
        <w:t>Illumina</w:t>
      </w:r>
      <w:r>
        <w:t>公司的</w:t>
      </w:r>
      <w:proofErr w:type="spellStart"/>
      <w:r>
        <w:t>Solexa</w:t>
      </w:r>
      <w:proofErr w:type="spellEnd"/>
      <w:r>
        <w:t>和</w:t>
      </w:r>
      <w:proofErr w:type="spellStart"/>
      <w:r>
        <w:t>Hiseq</w:t>
      </w:r>
      <w:proofErr w:type="spellEnd"/>
      <w:r>
        <w:t>测序技术的</w:t>
      </w:r>
      <w:r>
        <w:t>“</w:t>
      </w:r>
      <w:r>
        <w:t>边合成边测序</w:t>
      </w:r>
      <w:r>
        <w:t>”</w:t>
      </w:r>
      <w:r>
        <w:t>核心原理为重点学习内容。</w:t>
      </w:r>
    </w:p>
    <w:p w14:paraId="7B4DC61E" w14:textId="77777777" w:rsidR="00F5289E" w:rsidRDefault="00C91173">
      <w:pPr>
        <w:snapToGrid w:val="0"/>
        <w:spacing w:line="360" w:lineRule="auto"/>
        <w:rPr>
          <w:szCs w:val="21"/>
        </w:rPr>
      </w:pPr>
      <w:r>
        <w:rPr>
          <w:b/>
          <w:szCs w:val="21"/>
        </w:rPr>
        <w:t>（二）考核内容</w:t>
      </w:r>
    </w:p>
    <w:p w14:paraId="71B65439" w14:textId="77777777" w:rsidR="00F5289E" w:rsidRDefault="00C91173">
      <w:pPr>
        <w:snapToGrid w:val="0"/>
        <w:spacing w:line="360" w:lineRule="auto"/>
        <w:ind w:firstLineChars="200" w:firstLine="420"/>
        <w:rPr>
          <w:bCs/>
          <w:szCs w:val="21"/>
        </w:rPr>
      </w:pPr>
      <w:r>
        <w:rPr>
          <w:bCs/>
          <w:szCs w:val="21"/>
        </w:rPr>
        <w:t>1.</w:t>
      </w:r>
      <w:r>
        <w:t xml:space="preserve"> </w:t>
      </w:r>
      <w:r>
        <w:rPr>
          <w:bCs/>
          <w:szCs w:val="21"/>
        </w:rPr>
        <w:t>高通量测序技术的发展现状</w:t>
      </w:r>
    </w:p>
    <w:p w14:paraId="7AC9FB20" w14:textId="77777777" w:rsidR="00F5289E" w:rsidRDefault="00C91173">
      <w:pPr>
        <w:snapToGrid w:val="0"/>
        <w:spacing w:line="360" w:lineRule="auto"/>
        <w:ind w:firstLineChars="200" w:firstLine="420"/>
        <w:rPr>
          <w:bCs/>
          <w:szCs w:val="21"/>
        </w:rPr>
      </w:pPr>
      <w:r>
        <w:rPr>
          <w:bCs/>
          <w:szCs w:val="21"/>
        </w:rPr>
        <w:t xml:space="preserve">2. </w:t>
      </w:r>
      <w:r>
        <w:rPr>
          <w:bCs/>
          <w:szCs w:val="21"/>
        </w:rPr>
        <w:t>高通量测序技术的种类及技术原理</w:t>
      </w:r>
    </w:p>
    <w:p w14:paraId="31B3F489" w14:textId="77777777" w:rsidR="00F5289E" w:rsidRDefault="00C91173">
      <w:pPr>
        <w:snapToGrid w:val="0"/>
        <w:spacing w:line="360" w:lineRule="auto"/>
        <w:ind w:firstLineChars="200" w:firstLine="420"/>
        <w:rPr>
          <w:bCs/>
          <w:szCs w:val="21"/>
        </w:rPr>
      </w:pPr>
      <w:r>
        <w:rPr>
          <w:bCs/>
          <w:szCs w:val="21"/>
        </w:rPr>
        <w:t xml:space="preserve">3. </w:t>
      </w:r>
      <w:r>
        <w:rPr>
          <w:bCs/>
          <w:szCs w:val="21"/>
        </w:rPr>
        <w:t>基因组重测序概念和流程</w:t>
      </w:r>
    </w:p>
    <w:p w14:paraId="5FB8F3A0" w14:textId="77777777" w:rsidR="00F5289E" w:rsidRDefault="00C91173">
      <w:pPr>
        <w:snapToGrid w:val="0"/>
        <w:spacing w:line="360" w:lineRule="auto"/>
        <w:ind w:firstLineChars="200" w:firstLine="420"/>
        <w:rPr>
          <w:bCs/>
          <w:szCs w:val="21"/>
        </w:rPr>
      </w:pPr>
      <w:r>
        <w:rPr>
          <w:bCs/>
          <w:szCs w:val="21"/>
        </w:rPr>
        <w:t xml:space="preserve">4. </w:t>
      </w:r>
      <w:r>
        <w:rPr>
          <w:bCs/>
          <w:szCs w:val="21"/>
        </w:rPr>
        <w:t>转录组测序（</w:t>
      </w:r>
      <w:r>
        <w:rPr>
          <w:bCs/>
          <w:szCs w:val="21"/>
        </w:rPr>
        <w:t>RNA-seq</w:t>
      </w:r>
      <w:r>
        <w:rPr>
          <w:bCs/>
          <w:szCs w:val="21"/>
        </w:rPr>
        <w:t>）概念和流程</w:t>
      </w:r>
    </w:p>
    <w:p w14:paraId="55672262" w14:textId="77777777" w:rsidR="00F5289E" w:rsidRDefault="00C91173">
      <w:pPr>
        <w:snapToGrid w:val="0"/>
        <w:spacing w:line="360" w:lineRule="auto"/>
        <w:ind w:firstLineChars="200" w:firstLine="420"/>
        <w:rPr>
          <w:szCs w:val="21"/>
        </w:rPr>
      </w:pPr>
      <w:r>
        <w:rPr>
          <w:bCs/>
          <w:szCs w:val="21"/>
        </w:rPr>
        <w:t xml:space="preserve">5. </w:t>
      </w:r>
      <w:r>
        <w:rPr>
          <w:bCs/>
          <w:szCs w:val="21"/>
        </w:rPr>
        <w:t>染色质免疫共沉淀测序技术（</w:t>
      </w:r>
      <w:proofErr w:type="spellStart"/>
      <w:r>
        <w:rPr>
          <w:bCs/>
          <w:szCs w:val="21"/>
        </w:rPr>
        <w:t>ChIP</w:t>
      </w:r>
      <w:proofErr w:type="spellEnd"/>
      <w:r>
        <w:rPr>
          <w:bCs/>
          <w:szCs w:val="21"/>
        </w:rPr>
        <w:t>-Seq</w:t>
      </w:r>
      <w:r>
        <w:rPr>
          <w:bCs/>
          <w:szCs w:val="21"/>
        </w:rPr>
        <w:t>）概念和流程</w:t>
      </w:r>
    </w:p>
    <w:p w14:paraId="709EDA99" w14:textId="77777777" w:rsidR="00F5289E" w:rsidRDefault="00C91173">
      <w:pPr>
        <w:snapToGrid w:val="0"/>
        <w:spacing w:line="360" w:lineRule="auto"/>
        <w:rPr>
          <w:b/>
          <w:szCs w:val="21"/>
        </w:rPr>
      </w:pPr>
      <w:r>
        <w:rPr>
          <w:b/>
          <w:szCs w:val="21"/>
        </w:rPr>
        <w:t>（三）考核要求</w:t>
      </w:r>
    </w:p>
    <w:p w14:paraId="193506FC"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w:t>
      </w:r>
      <w:r>
        <w:rPr>
          <w:bCs/>
          <w:szCs w:val="21"/>
        </w:rPr>
        <w:t>高通量测序的概念；生物信息数据的主要类型。</w:t>
      </w:r>
    </w:p>
    <w:p w14:paraId="2259BE80"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w:t>
      </w:r>
      <w:r>
        <w:rPr>
          <w:bCs/>
          <w:szCs w:val="21"/>
        </w:rPr>
        <w:t>不同高通量测序技术的优势与劣势。</w:t>
      </w:r>
    </w:p>
    <w:p w14:paraId="67EDFCE1"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：要求学生能够解释</w:t>
      </w:r>
      <w:r>
        <w:rPr>
          <w:bCs/>
          <w:szCs w:val="21"/>
        </w:rPr>
        <w:t>高通量测序技术在园艺植物育种工作中的作用。</w:t>
      </w:r>
    </w:p>
    <w:p w14:paraId="300B2F69" w14:textId="77777777" w:rsidR="00F5289E" w:rsidRDefault="00C91173">
      <w:pPr>
        <w:snapToGrid w:val="0"/>
        <w:spacing w:line="360" w:lineRule="auto"/>
        <w:ind w:firstLineChars="200" w:firstLine="422"/>
        <w:rPr>
          <w:b/>
          <w:szCs w:val="21"/>
        </w:rPr>
      </w:pPr>
      <w:r>
        <w:rPr>
          <w:b/>
          <w:szCs w:val="21"/>
        </w:rPr>
        <w:t>4.</w:t>
      </w:r>
      <w:r>
        <w:rPr>
          <w:b/>
          <w:szCs w:val="21"/>
        </w:rPr>
        <w:t>分析：</w:t>
      </w:r>
      <w:r>
        <w:rPr>
          <w:bCs/>
          <w:szCs w:val="21"/>
        </w:rPr>
        <w:t>利用本章知识，解释多种遗传物质信息获取的方式。</w:t>
      </w:r>
    </w:p>
    <w:p w14:paraId="3826A9A9" w14:textId="77777777" w:rsidR="00F5289E" w:rsidRDefault="00C91173">
      <w:pPr>
        <w:snapToGrid w:val="0"/>
        <w:spacing w:line="360" w:lineRule="auto"/>
        <w:ind w:firstLineChars="200" w:firstLine="422"/>
        <w:rPr>
          <w:szCs w:val="21"/>
        </w:rPr>
      </w:pPr>
      <w:r>
        <w:rPr>
          <w:b/>
          <w:szCs w:val="21"/>
        </w:rPr>
        <w:t>5.</w:t>
      </w:r>
      <w:r>
        <w:rPr>
          <w:b/>
          <w:szCs w:val="21"/>
        </w:rPr>
        <w:t>综合</w:t>
      </w:r>
      <w:r>
        <w:rPr>
          <w:szCs w:val="21"/>
        </w:rPr>
        <w:t>：</w:t>
      </w:r>
      <w:r>
        <w:rPr>
          <w:bCs/>
          <w:szCs w:val="21"/>
        </w:rPr>
        <w:t>要求学生能够利用本章节知识，理解传统测序技术和现代高通量测序技术的优缺点，</w:t>
      </w:r>
      <w:r>
        <w:rPr>
          <w:bCs/>
          <w:szCs w:val="21"/>
        </w:rPr>
        <w:lastRenderedPageBreak/>
        <w:t>提出解析基因组、转录组、蛋白质组等组学信息的方法和途径。</w:t>
      </w:r>
    </w:p>
    <w:p w14:paraId="3E477C0E" w14:textId="77777777" w:rsidR="00F5289E" w:rsidRDefault="00C91173">
      <w:pPr>
        <w:snapToGrid w:val="0"/>
        <w:spacing w:line="360" w:lineRule="auto"/>
        <w:ind w:firstLineChars="200" w:firstLine="422"/>
        <w:rPr>
          <w:bCs/>
          <w:szCs w:val="21"/>
        </w:rPr>
      </w:pPr>
      <w:r>
        <w:rPr>
          <w:b/>
          <w:szCs w:val="21"/>
        </w:rPr>
        <w:t>6.</w:t>
      </w:r>
      <w:r>
        <w:rPr>
          <w:b/>
          <w:szCs w:val="21"/>
        </w:rPr>
        <w:t>评价：</w:t>
      </w:r>
      <w:r>
        <w:rPr>
          <w:bCs/>
          <w:szCs w:val="21"/>
        </w:rPr>
        <w:t>高通量测序技术对分子育种的发展进行评价。</w:t>
      </w:r>
    </w:p>
    <w:p w14:paraId="576EFFC0" w14:textId="77777777" w:rsidR="00F5289E" w:rsidRDefault="00C91173">
      <w:pPr>
        <w:pStyle w:val="a9"/>
        <w:snapToGrid w:val="0"/>
        <w:spacing w:beforeLines="100" w:before="312"/>
        <w:ind w:firstLine="422"/>
        <w:jc w:val="center"/>
        <w:rPr>
          <w:rFonts w:ascii="Times New Roman" w:hAnsi="Times New Roman" w:cs="Times New Roman"/>
          <w:b/>
        </w:rPr>
      </w:pPr>
      <w:r>
        <w:rPr>
          <w:rFonts w:ascii="Times New Roman" w:hAnsi="Times New Roman" w:cs="Times New Roman"/>
          <w:b/>
          <w:bCs/>
          <w:kern w:val="0"/>
        </w:rPr>
        <w:t>第六章</w:t>
      </w:r>
      <w:r>
        <w:rPr>
          <w:rFonts w:ascii="Times New Roman" w:hAnsi="Times New Roman" w:cs="Times New Roman"/>
          <w:b/>
          <w:bCs/>
          <w:kern w:val="0"/>
        </w:rPr>
        <w:t xml:space="preserve">  </w:t>
      </w:r>
      <w:r>
        <w:rPr>
          <w:rFonts w:ascii="Times New Roman" w:hAnsi="Times New Roman" w:cs="Times New Roman"/>
          <w:b/>
          <w:bCs/>
          <w:kern w:val="0"/>
        </w:rPr>
        <w:t>基因表达分析</w:t>
      </w:r>
      <w:r>
        <w:rPr>
          <w:rFonts w:ascii="Times New Roman" w:hAnsi="Times New Roman" w:cs="Times New Roman"/>
          <w:b/>
          <w:bCs/>
          <w:kern w:val="0"/>
        </w:rPr>
        <w:t xml:space="preserve"> </w:t>
      </w:r>
    </w:p>
    <w:p w14:paraId="58563A59" w14:textId="77777777" w:rsidR="00F5289E" w:rsidRDefault="00C91173">
      <w:pPr>
        <w:snapToGrid w:val="0"/>
        <w:rPr>
          <w:b/>
          <w:szCs w:val="21"/>
        </w:rPr>
      </w:pPr>
      <w:r>
        <w:rPr>
          <w:b/>
          <w:szCs w:val="21"/>
        </w:rPr>
        <w:t>（一）学习目标</w:t>
      </w:r>
    </w:p>
    <w:p w14:paraId="7F093AC0" w14:textId="77777777" w:rsidR="00F5289E" w:rsidRDefault="00C91173">
      <w:pPr>
        <w:snapToGrid w:val="0"/>
        <w:spacing w:beforeLines="50" w:before="156"/>
        <w:ind w:firstLineChars="200" w:firstLine="422"/>
        <w:rPr>
          <w:szCs w:val="21"/>
        </w:rPr>
      </w:pPr>
      <w:r>
        <w:rPr>
          <w:b/>
          <w:szCs w:val="21"/>
        </w:rPr>
        <w:t xml:space="preserve">1. </w:t>
      </w:r>
      <w:r>
        <w:rPr>
          <w:b/>
          <w:szCs w:val="21"/>
        </w:rPr>
        <w:t>一般了解</w:t>
      </w:r>
      <w:r>
        <w:rPr>
          <w:szCs w:val="21"/>
        </w:rPr>
        <w:t>：基因表达的生物学意义。</w:t>
      </w:r>
    </w:p>
    <w:p w14:paraId="201FD076" w14:textId="77777777" w:rsidR="00F5289E" w:rsidRDefault="00C91173">
      <w:pPr>
        <w:snapToGrid w:val="0"/>
        <w:spacing w:beforeLines="50" w:before="156"/>
        <w:ind w:firstLineChars="200" w:firstLine="422"/>
        <w:rPr>
          <w:szCs w:val="21"/>
        </w:rPr>
      </w:pPr>
      <w:r>
        <w:rPr>
          <w:b/>
          <w:szCs w:val="21"/>
        </w:rPr>
        <w:t xml:space="preserve">2. </w:t>
      </w:r>
      <w:r>
        <w:rPr>
          <w:b/>
          <w:szCs w:val="21"/>
        </w:rPr>
        <w:t>一般掌握</w:t>
      </w:r>
      <w:r>
        <w:rPr>
          <w:szCs w:val="21"/>
        </w:rPr>
        <w:t>：</w:t>
      </w:r>
      <w:r>
        <w:rPr>
          <w:kern w:val="0"/>
          <w:szCs w:val="21"/>
        </w:rPr>
        <w:t>基因表达的概念和特点；转录组测序的原理和一般步骤。</w:t>
      </w:r>
    </w:p>
    <w:p w14:paraId="7F8D0A51" w14:textId="77777777" w:rsidR="00F5289E" w:rsidRDefault="00C91173">
      <w:pPr>
        <w:snapToGrid w:val="0"/>
        <w:spacing w:beforeLines="50" w:before="156"/>
        <w:ind w:firstLineChars="200" w:firstLine="422"/>
        <w:rPr>
          <w:b/>
          <w:szCs w:val="21"/>
        </w:rPr>
      </w:pPr>
      <w:r>
        <w:rPr>
          <w:b/>
          <w:szCs w:val="21"/>
        </w:rPr>
        <w:t xml:space="preserve">3. </w:t>
      </w:r>
      <w:r>
        <w:rPr>
          <w:b/>
          <w:szCs w:val="21"/>
        </w:rPr>
        <w:t>熟练掌握</w:t>
      </w:r>
      <w:r>
        <w:rPr>
          <w:szCs w:val="21"/>
        </w:rPr>
        <w:t>：转录组数据处理和分析，差异表达基因鉴定与注释</w:t>
      </w:r>
      <w:r>
        <w:rPr>
          <w:kern w:val="0"/>
          <w:szCs w:val="21"/>
        </w:rPr>
        <w:t>。</w:t>
      </w:r>
    </w:p>
    <w:p w14:paraId="60D1C241" w14:textId="77777777" w:rsidR="00F5289E" w:rsidRDefault="00C91173">
      <w:pPr>
        <w:snapToGrid w:val="0"/>
        <w:spacing w:beforeLines="50" w:before="156"/>
        <w:rPr>
          <w:szCs w:val="21"/>
        </w:rPr>
      </w:pPr>
      <w:r>
        <w:rPr>
          <w:b/>
          <w:szCs w:val="21"/>
        </w:rPr>
        <w:t>（二）考核内容</w:t>
      </w:r>
    </w:p>
    <w:p w14:paraId="6A162921" w14:textId="77777777" w:rsidR="00F5289E" w:rsidRDefault="00C91173">
      <w:pPr>
        <w:snapToGrid w:val="0"/>
        <w:spacing w:beforeLines="50" w:before="156"/>
        <w:ind w:firstLineChars="200" w:firstLine="420"/>
        <w:rPr>
          <w:kern w:val="0"/>
          <w:szCs w:val="21"/>
        </w:rPr>
      </w:pPr>
      <w:r>
        <w:rPr>
          <w:kern w:val="0"/>
          <w:szCs w:val="21"/>
        </w:rPr>
        <w:t>1</w:t>
      </w:r>
      <w:r>
        <w:rPr>
          <w:kern w:val="0"/>
          <w:szCs w:val="21"/>
        </w:rPr>
        <w:t>．细胞质遗传的概念和特点，母性影响及与细胞质遗传的区别。</w:t>
      </w:r>
    </w:p>
    <w:p w14:paraId="6F34B7F1" w14:textId="77777777" w:rsidR="00F5289E" w:rsidRDefault="00C91173">
      <w:pPr>
        <w:snapToGrid w:val="0"/>
        <w:spacing w:beforeLines="50" w:before="156"/>
        <w:ind w:firstLineChars="200" w:firstLine="420"/>
        <w:rPr>
          <w:kern w:val="0"/>
          <w:szCs w:val="21"/>
        </w:rPr>
      </w:pPr>
      <w:r>
        <w:rPr>
          <w:kern w:val="0"/>
          <w:szCs w:val="21"/>
        </w:rPr>
        <w:t>2</w:t>
      </w:r>
      <w:r>
        <w:rPr>
          <w:kern w:val="0"/>
          <w:szCs w:val="21"/>
        </w:rPr>
        <w:t>．叶绿体遗传的现象及遗传的分子基础；线粒体遗传的现象及遗传的分子学基础。</w:t>
      </w:r>
    </w:p>
    <w:p w14:paraId="54819A67" w14:textId="77777777" w:rsidR="00F5289E" w:rsidRDefault="00C91173">
      <w:pPr>
        <w:snapToGrid w:val="0"/>
        <w:spacing w:beforeLines="50" w:before="156"/>
        <w:ind w:firstLineChars="200" w:firstLine="420"/>
        <w:rPr>
          <w:kern w:val="0"/>
          <w:szCs w:val="21"/>
        </w:rPr>
      </w:pPr>
      <w:r>
        <w:rPr>
          <w:kern w:val="0"/>
          <w:szCs w:val="21"/>
        </w:rPr>
        <w:t>3</w:t>
      </w:r>
      <w:r>
        <w:rPr>
          <w:kern w:val="0"/>
          <w:szCs w:val="21"/>
        </w:rPr>
        <w:t>．雄性不育的类型及遗传特点，雄性不育发生的机理及质核不育型在三系配套制种中的应用。</w:t>
      </w:r>
    </w:p>
    <w:p w14:paraId="0B0D3305" w14:textId="77777777" w:rsidR="00F5289E" w:rsidRDefault="00C91173">
      <w:pPr>
        <w:snapToGrid w:val="0"/>
        <w:spacing w:beforeLines="50" w:before="156"/>
        <w:rPr>
          <w:b/>
          <w:szCs w:val="21"/>
        </w:rPr>
      </w:pPr>
      <w:r>
        <w:rPr>
          <w:b/>
          <w:szCs w:val="21"/>
        </w:rPr>
        <w:t>（三）考核要求</w:t>
      </w:r>
    </w:p>
    <w:p w14:paraId="146AF2E1" w14:textId="77777777" w:rsidR="00F5289E" w:rsidRDefault="00C91173">
      <w:pPr>
        <w:snapToGrid w:val="0"/>
        <w:spacing w:beforeLines="50" w:before="156"/>
        <w:ind w:firstLineChars="200" w:firstLine="422"/>
        <w:rPr>
          <w:b/>
          <w:szCs w:val="21"/>
        </w:rPr>
      </w:pPr>
      <w:r>
        <w:rPr>
          <w:b/>
          <w:szCs w:val="21"/>
        </w:rPr>
        <w:t>1.</w:t>
      </w:r>
      <w:r>
        <w:rPr>
          <w:b/>
          <w:szCs w:val="21"/>
        </w:rPr>
        <w:t>识记</w:t>
      </w:r>
      <w:r>
        <w:rPr>
          <w:szCs w:val="21"/>
        </w:rPr>
        <w:t>：</w:t>
      </w:r>
      <w:r>
        <w:rPr>
          <w:szCs w:val="21"/>
        </w:rPr>
        <w:t>RNA-seq</w:t>
      </w:r>
      <w:r>
        <w:rPr>
          <w:szCs w:val="21"/>
        </w:rPr>
        <w:t>、</w:t>
      </w:r>
      <w:r>
        <w:t>qPCR</w:t>
      </w:r>
      <w:r>
        <w:t>、</w:t>
      </w:r>
      <w:r>
        <w:t>FPKM</w:t>
      </w:r>
      <w:r>
        <w:rPr>
          <w:kern w:val="0"/>
          <w:szCs w:val="21"/>
        </w:rPr>
        <w:t>。</w:t>
      </w:r>
    </w:p>
    <w:p w14:paraId="65F44DB8" w14:textId="77777777" w:rsidR="00F5289E" w:rsidRDefault="00C91173">
      <w:pPr>
        <w:snapToGrid w:val="0"/>
        <w:spacing w:beforeLines="50" w:before="156"/>
        <w:ind w:firstLineChars="200" w:firstLine="422"/>
        <w:rPr>
          <w:kern w:val="0"/>
          <w:szCs w:val="21"/>
        </w:rPr>
      </w:pPr>
      <w:r>
        <w:rPr>
          <w:b/>
          <w:szCs w:val="21"/>
        </w:rPr>
        <w:t>2.</w:t>
      </w:r>
      <w:r>
        <w:rPr>
          <w:b/>
          <w:szCs w:val="21"/>
        </w:rPr>
        <w:t>领会</w:t>
      </w:r>
      <w:r>
        <w:rPr>
          <w:szCs w:val="21"/>
        </w:rPr>
        <w:t>：</w:t>
      </w:r>
      <w:r>
        <w:t>相对定量和绝对定量的区别、转录组测序的基本原理</w:t>
      </w:r>
      <w:r>
        <w:rPr>
          <w:kern w:val="0"/>
          <w:szCs w:val="21"/>
        </w:rPr>
        <w:t>。</w:t>
      </w:r>
    </w:p>
    <w:p w14:paraId="68567D95" w14:textId="77777777" w:rsidR="00F5289E" w:rsidRDefault="00C91173">
      <w:pPr>
        <w:snapToGrid w:val="0"/>
        <w:spacing w:beforeLines="50" w:before="156"/>
        <w:ind w:firstLineChars="200" w:firstLine="422"/>
      </w:pPr>
      <w:r>
        <w:rPr>
          <w:b/>
          <w:szCs w:val="21"/>
        </w:rPr>
        <w:t>3.</w:t>
      </w:r>
      <w:r>
        <w:rPr>
          <w:b/>
          <w:szCs w:val="21"/>
        </w:rPr>
        <w:t>应用</w:t>
      </w:r>
      <w:r>
        <w:rPr>
          <w:szCs w:val="21"/>
        </w:rPr>
        <w:t>：</w:t>
      </w:r>
      <w:r>
        <w:t>要求学生能够利用本章知识，熟悉转录组分析的软件，完成两个样本的转录比对分析。</w:t>
      </w:r>
    </w:p>
    <w:p w14:paraId="591CB2FD" w14:textId="77777777" w:rsidR="00F5289E" w:rsidRDefault="00C91173">
      <w:pPr>
        <w:snapToGrid w:val="0"/>
        <w:spacing w:beforeLines="50" w:before="156"/>
        <w:ind w:firstLineChars="200" w:firstLine="422"/>
        <w:rPr>
          <w:b/>
          <w:szCs w:val="21"/>
        </w:rPr>
      </w:pPr>
      <w:r>
        <w:rPr>
          <w:b/>
          <w:bCs/>
        </w:rPr>
        <w:t xml:space="preserve">4. </w:t>
      </w:r>
      <w:r>
        <w:rPr>
          <w:b/>
          <w:bCs/>
        </w:rPr>
        <w:t>分析：</w:t>
      </w:r>
      <w:r>
        <w:t>利用本章所学知识，分析差异表达基因在不同样品间作用</w:t>
      </w:r>
      <w:r>
        <w:rPr>
          <w:b/>
          <w:szCs w:val="21"/>
        </w:rPr>
        <w:t>。</w:t>
      </w:r>
    </w:p>
    <w:p w14:paraId="3D0B8966" w14:textId="77777777" w:rsidR="00F5289E" w:rsidRDefault="00C91173">
      <w:pPr>
        <w:snapToGrid w:val="0"/>
        <w:spacing w:beforeLines="50" w:before="156"/>
        <w:ind w:firstLineChars="200" w:firstLine="422"/>
      </w:pPr>
      <w:r>
        <w:rPr>
          <w:b/>
          <w:szCs w:val="21"/>
        </w:rPr>
        <w:t>5</w:t>
      </w:r>
      <w:r>
        <w:rPr>
          <w:b/>
          <w:szCs w:val="21"/>
        </w:rPr>
        <w:t>．综合</w:t>
      </w:r>
      <w:r>
        <w:rPr>
          <w:szCs w:val="21"/>
        </w:rPr>
        <w:t>：</w:t>
      </w:r>
      <w:r>
        <w:t>要求学生能够利用本章知识，掌握转录组分析流程，能够解释基因差异表达的原因。</w:t>
      </w:r>
    </w:p>
    <w:p w14:paraId="7EA2E0B2" w14:textId="77777777" w:rsidR="00F5289E" w:rsidRDefault="00C91173">
      <w:pPr>
        <w:snapToGrid w:val="0"/>
        <w:spacing w:beforeLines="50" w:before="156"/>
        <w:ind w:firstLineChars="200" w:firstLine="422"/>
        <w:rPr>
          <w:szCs w:val="21"/>
        </w:rPr>
      </w:pPr>
      <w:r>
        <w:rPr>
          <w:b/>
          <w:bCs/>
        </w:rPr>
        <w:t xml:space="preserve">6. </w:t>
      </w:r>
      <w:r>
        <w:rPr>
          <w:b/>
          <w:bCs/>
        </w:rPr>
        <w:t>评价：</w:t>
      </w:r>
      <w:r>
        <w:t>要求学生通过本章节内容的学习，评价基因表达在生命活动中的角色，从表达稳定性来评价不同基因的功能重要程度。</w:t>
      </w:r>
    </w:p>
    <w:p w14:paraId="49931A47" w14:textId="77777777" w:rsidR="00F5289E" w:rsidRDefault="00C91173">
      <w:pPr>
        <w:snapToGrid w:val="0"/>
        <w:spacing w:beforeLines="50" w:before="156" w:afterLines="50" w:after="156" w:line="360" w:lineRule="auto"/>
        <w:ind w:firstLineChars="49" w:firstLine="103"/>
        <w:jc w:val="center"/>
        <w:rPr>
          <w:b/>
          <w:szCs w:val="21"/>
        </w:rPr>
      </w:pPr>
      <w:r>
        <w:rPr>
          <w:b/>
          <w:szCs w:val="21"/>
        </w:rPr>
        <w:t>第七章</w:t>
      </w:r>
      <w:r>
        <w:rPr>
          <w:b/>
          <w:szCs w:val="21"/>
        </w:rPr>
        <w:t xml:space="preserve">  </w:t>
      </w:r>
      <w:r>
        <w:rPr>
          <w:b/>
          <w:bCs/>
          <w:szCs w:val="21"/>
        </w:rPr>
        <w:t>网页工具的使用</w:t>
      </w:r>
    </w:p>
    <w:p w14:paraId="2B63FB53" w14:textId="77777777" w:rsidR="00F5289E" w:rsidRDefault="00C91173">
      <w:pPr>
        <w:snapToGrid w:val="0"/>
        <w:spacing w:line="360" w:lineRule="auto"/>
        <w:rPr>
          <w:b/>
          <w:szCs w:val="21"/>
        </w:rPr>
      </w:pPr>
      <w:r>
        <w:rPr>
          <w:b/>
          <w:szCs w:val="21"/>
        </w:rPr>
        <w:t>（一）学习目标</w:t>
      </w:r>
    </w:p>
    <w:p w14:paraId="35AD5759"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w:t>
      </w:r>
      <w:r>
        <w:rPr>
          <w:kern w:val="0"/>
          <w:szCs w:val="21"/>
        </w:rPr>
        <w:t>生物信息学常用</w:t>
      </w:r>
      <w:r>
        <w:rPr>
          <w:szCs w:val="21"/>
        </w:rPr>
        <w:t>网页工具</w:t>
      </w:r>
      <w:r>
        <w:rPr>
          <w:kern w:val="0"/>
          <w:szCs w:val="21"/>
        </w:rPr>
        <w:t>的种类及其功能</w:t>
      </w:r>
    </w:p>
    <w:p w14:paraId="55FCD403"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rPr>
          <w:kern w:val="0"/>
          <w:szCs w:val="21"/>
        </w:rPr>
        <w:t>生物信息学常用</w:t>
      </w:r>
      <w:r>
        <w:rPr>
          <w:szCs w:val="21"/>
        </w:rPr>
        <w:t>网页工具</w:t>
      </w:r>
      <w:r>
        <w:rPr>
          <w:kern w:val="0"/>
          <w:szCs w:val="21"/>
        </w:rPr>
        <w:t>的选用</w:t>
      </w:r>
    </w:p>
    <w:p w14:paraId="5F5E5965"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w:t>
      </w:r>
      <w:r>
        <w:rPr>
          <w:kern w:val="0"/>
          <w:szCs w:val="21"/>
        </w:rPr>
        <w:t>生物信息学常用</w:t>
      </w:r>
      <w:r>
        <w:rPr>
          <w:szCs w:val="21"/>
        </w:rPr>
        <w:t>网页工具</w:t>
      </w:r>
      <w:r>
        <w:rPr>
          <w:bCs/>
        </w:rPr>
        <w:t>解决生物学问题的方法</w:t>
      </w:r>
    </w:p>
    <w:p w14:paraId="41985D85" w14:textId="77777777" w:rsidR="00F5289E" w:rsidRDefault="00C91173">
      <w:pPr>
        <w:snapToGrid w:val="0"/>
        <w:spacing w:line="360" w:lineRule="auto"/>
        <w:rPr>
          <w:szCs w:val="21"/>
        </w:rPr>
      </w:pPr>
      <w:r>
        <w:rPr>
          <w:b/>
          <w:szCs w:val="21"/>
        </w:rPr>
        <w:t>（二）考核内容</w:t>
      </w:r>
    </w:p>
    <w:p w14:paraId="0D488B64" w14:textId="77777777" w:rsidR="00F5289E" w:rsidRDefault="00C91173">
      <w:pPr>
        <w:snapToGrid w:val="0"/>
        <w:spacing w:line="360" w:lineRule="auto"/>
        <w:ind w:firstLineChars="200" w:firstLine="420"/>
        <w:rPr>
          <w:color w:val="0000FF"/>
          <w:szCs w:val="21"/>
        </w:rPr>
      </w:pPr>
      <w:r>
        <w:rPr>
          <w:bCs/>
        </w:rPr>
        <w:t>了解生物信息学常用</w:t>
      </w:r>
      <w:r>
        <w:rPr>
          <w:szCs w:val="21"/>
        </w:rPr>
        <w:t>网页工具</w:t>
      </w:r>
      <w:r>
        <w:rPr>
          <w:bCs/>
        </w:rPr>
        <w:t>的种类和应用场景，</w:t>
      </w:r>
      <w:r>
        <w:rPr>
          <w:kern w:val="0"/>
          <w:szCs w:val="21"/>
        </w:rPr>
        <w:t>熟练掌握生物信息学常用</w:t>
      </w:r>
      <w:r>
        <w:rPr>
          <w:szCs w:val="21"/>
        </w:rPr>
        <w:t>网页工具</w:t>
      </w:r>
      <w:r>
        <w:rPr>
          <w:bCs/>
        </w:rPr>
        <w:t>解决生物学问题的方法和操作步骤。</w:t>
      </w:r>
    </w:p>
    <w:p w14:paraId="3318272A" w14:textId="77777777" w:rsidR="00F5289E" w:rsidRDefault="00C91173">
      <w:pPr>
        <w:snapToGrid w:val="0"/>
        <w:spacing w:line="360" w:lineRule="auto"/>
        <w:rPr>
          <w:b/>
          <w:szCs w:val="21"/>
        </w:rPr>
      </w:pPr>
      <w:r>
        <w:rPr>
          <w:b/>
          <w:szCs w:val="21"/>
        </w:rPr>
        <w:t>（三）考核要求</w:t>
      </w:r>
    </w:p>
    <w:p w14:paraId="40A333B3"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w:t>
      </w:r>
      <w:r>
        <w:rPr>
          <w:bCs/>
        </w:rPr>
        <w:t>生物信息学常用</w:t>
      </w:r>
      <w:r>
        <w:rPr>
          <w:szCs w:val="21"/>
        </w:rPr>
        <w:t>网页工具</w:t>
      </w:r>
      <w:r>
        <w:rPr>
          <w:bCs/>
        </w:rPr>
        <w:t>的种类</w:t>
      </w:r>
    </w:p>
    <w:p w14:paraId="500331C5"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w:t>
      </w:r>
      <w:r>
        <w:rPr>
          <w:bCs/>
        </w:rPr>
        <w:t>常用</w:t>
      </w:r>
      <w:r>
        <w:rPr>
          <w:szCs w:val="21"/>
        </w:rPr>
        <w:t>网页工具</w:t>
      </w:r>
      <w:r>
        <w:rPr>
          <w:bCs/>
        </w:rPr>
        <w:t>的应用场景</w:t>
      </w:r>
    </w:p>
    <w:p w14:paraId="259920F1" w14:textId="77777777" w:rsidR="00F5289E" w:rsidRDefault="00C91173">
      <w:pPr>
        <w:snapToGrid w:val="0"/>
        <w:spacing w:line="360" w:lineRule="auto"/>
        <w:ind w:firstLineChars="200" w:firstLine="422"/>
        <w:rPr>
          <w:color w:val="0000FF"/>
          <w:szCs w:val="21"/>
        </w:rPr>
      </w:pPr>
      <w:r>
        <w:rPr>
          <w:b/>
          <w:szCs w:val="21"/>
        </w:rPr>
        <w:t>3.</w:t>
      </w:r>
      <w:r>
        <w:rPr>
          <w:b/>
          <w:szCs w:val="21"/>
        </w:rPr>
        <w:t>应用</w:t>
      </w:r>
      <w:r>
        <w:rPr>
          <w:szCs w:val="21"/>
        </w:rPr>
        <w:t>：</w:t>
      </w:r>
      <w:r>
        <w:t>使用多种网页工具解决生物学问题</w:t>
      </w:r>
    </w:p>
    <w:p w14:paraId="7E91973D" w14:textId="77777777" w:rsidR="00F5289E" w:rsidRDefault="00C91173">
      <w:pPr>
        <w:snapToGrid w:val="0"/>
        <w:spacing w:line="360" w:lineRule="auto"/>
        <w:ind w:firstLineChars="200" w:firstLine="422"/>
        <w:rPr>
          <w:b/>
          <w:color w:val="0000FF"/>
          <w:szCs w:val="21"/>
        </w:rPr>
      </w:pPr>
      <w:r>
        <w:rPr>
          <w:b/>
          <w:szCs w:val="21"/>
        </w:rPr>
        <w:t>4.</w:t>
      </w:r>
      <w:r>
        <w:rPr>
          <w:b/>
          <w:szCs w:val="21"/>
        </w:rPr>
        <w:t>分析：</w:t>
      </w:r>
      <w:r>
        <w:rPr>
          <w:kern w:val="0"/>
          <w:szCs w:val="21"/>
        </w:rPr>
        <w:t>常用</w:t>
      </w:r>
      <w:r>
        <w:rPr>
          <w:szCs w:val="21"/>
        </w:rPr>
        <w:t>网页工具</w:t>
      </w:r>
      <w:r>
        <w:rPr>
          <w:bCs/>
        </w:rPr>
        <w:t>解决生物学问题的方法</w:t>
      </w:r>
    </w:p>
    <w:p w14:paraId="3263E943" w14:textId="77777777" w:rsidR="00F5289E" w:rsidRDefault="00C91173">
      <w:pPr>
        <w:snapToGrid w:val="0"/>
        <w:spacing w:line="360" w:lineRule="auto"/>
        <w:ind w:firstLineChars="200" w:firstLine="422"/>
        <w:rPr>
          <w:color w:val="0000FF"/>
          <w:szCs w:val="21"/>
        </w:rPr>
      </w:pPr>
      <w:r>
        <w:rPr>
          <w:b/>
          <w:szCs w:val="21"/>
        </w:rPr>
        <w:lastRenderedPageBreak/>
        <w:t>5.</w:t>
      </w:r>
      <w:r>
        <w:rPr>
          <w:b/>
          <w:szCs w:val="21"/>
        </w:rPr>
        <w:t>综合</w:t>
      </w:r>
      <w:r>
        <w:rPr>
          <w:szCs w:val="21"/>
        </w:rPr>
        <w:t>：</w:t>
      </w:r>
      <w:r>
        <w:t>各个网页工具的优缺点</w:t>
      </w:r>
    </w:p>
    <w:p w14:paraId="3DF86A9C" w14:textId="77777777" w:rsidR="00F5289E" w:rsidRDefault="00C91173">
      <w:pPr>
        <w:snapToGrid w:val="0"/>
        <w:spacing w:line="360" w:lineRule="auto"/>
        <w:ind w:firstLineChars="200" w:firstLine="422"/>
        <w:rPr>
          <w:b/>
          <w:color w:val="0000FF"/>
          <w:szCs w:val="21"/>
        </w:rPr>
      </w:pPr>
      <w:r>
        <w:rPr>
          <w:b/>
          <w:szCs w:val="21"/>
        </w:rPr>
        <w:t>6.</w:t>
      </w:r>
      <w:r>
        <w:rPr>
          <w:b/>
          <w:szCs w:val="21"/>
        </w:rPr>
        <w:t>评价：</w:t>
      </w:r>
      <w:r>
        <w:rPr>
          <w:kern w:val="0"/>
          <w:szCs w:val="21"/>
        </w:rPr>
        <w:t>掌握生物信息学常用</w:t>
      </w:r>
      <w:r>
        <w:rPr>
          <w:szCs w:val="21"/>
        </w:rPr>
        <w:t>网页工具</w:t>
      </w:r>
      <w:r>
        <w:rPr>
          <w:kern w:val="0"/>
          <w:szCs w:val="21"/>
        </w:rPr>
        <w:t>的操作步骤</w:t>
      </w:r>
    </w:p>
    <w:p w14:paraId="7E1EB025" w14:textId="77777777" w:rsidR="00F5289E" w:rsidRDefault="00C91173">
      <w:pPr>
        <w:pStyle w:val="a9"/>
        <w:snapToGrid w:val="0"/>
        <w:spacing w:line="360" w:lineRule="auto"/>
        <w:ind w:firstLine="422"/>
        <w:jc w:val="center"/>
        <w:rPr>
          <w:rFonts w:ascii="Times New Roman" w:hAnsi="Times New Roman" w:cs="Times New Roman"/>
          <w:b/>
        </w:rPr>
      </w:pPr>
      <w:r>
        <w:rPr>
          <w:rFonts w:ascii="Times New Roman" w:hAnsi="Times New Roman" w:cs="Times New Roman"/>
          <w:b/>
        </w:rPr>
        <w:t>第八章</w:t>
      </w:r>
      <w:r>
        <w:rPr>
          <w:rFonts w:ascii="Times New Roman" w:hAnsi="Times New Roman" w:cs="Times New Roman"/>
          <w:b/>
        </w:rPr>
        <w:t xml:space="preserve">  </w:t>
      </w:r>
      <w:r>
        <w:rPr>
          <w:rFonts w:ascii="Times New Roman" w:hAnsi="Times New Roman" w:cs="Times New Roman"/>
          <w:b/>
          <w:bCs/>
          <w:kern w:val="0"/>
        </w:rPr>
        <w:t>生物信息学计算机基础</w:t>
      </w:r>
    </w:p>
    <w:p w14:paraId="7A587499" w14:textId="77777777" w:rsidR="00F5289E" w:rsidRDefault="00C91173">
      <w:pPr>
        <w:snapToGrid w:val="0"/>
        <w:spacing w:line="360" w:lineRule="auto"/>
        <w:rPr>
          <w:b/>
          <w:szCs w:val="21"/>
        </w:rPr>
      </w:pPr>
      <w:r>
        <w:rPr>
          <w:b/>
          <w:szCs w:val="21"/>
        </w:rPr>
        <w:t>（一）学习目标</w:t>
      </w:r>
    </w:p>
    <w:p w14:paraId="2E7E06D9" w14:textId="77777777" w:rsidR="00F5289E" w:rsidRDefault="00C91173">
      <w:pPr>
        <w:snapToGrid w:val="0"/>
        <w:spacing w:line="360" w:lineRule="auto"/>
        <w:ind w:firstLineChars="200" w:firstLine="422"/>
        <w:rPr>
          <w:color w:val="0000FF"/>
          <w:szCs w:val="21"/>
        </w:rPr>
      </w:pPr>
      <w:r>
        <w:rPr>
          <w:b/>
          <w:szCs w:val="21"/>
        </w:rPr>
        <w:t xml:space="preserve">1. </w:t>
      </w:r>
      <w:r>
        <w:rPr>
          <w:b/>
          <w:szCs w:val="21"/>
        </w:rPr>
        <w:t>一般了解</w:t>
      </w:r>
      <w:r>
        <w:rPr>
          <w:szCs w:val="21"/>
        </w:rPr>
        <w:t>：计算机科学在生物信息学发展中的重要性；</w:t>
      </w:r>
      <w:r>
        <w:rPr>
          <w:szCs w:val="21"/>
        </w:rPr>
        <w:t>Linux</w:t>
      </w:r>
      <w:r>
        <w:rPr>
          <w:szCs w:val="21"/>
        </w:rPr>
        <w:t>操作系统、</w:t>
      </w:r>
      <w:r>
        <w:rPr>
          <w:szCs w:val="21"/>
        </w:rPr>
        <w:t>Python</w:t>
      </w:r>
      <w:r>
        <w:rPr>
          <w:szCs w:val="21"/>
        </w:rPr>
        <w:t>和</w:t>
      </w:r>
      <w:r>
        <w:rPr>
          <w:szCs w:val="21"/>
        </w:rPr>
        <w:t>R</w:t>
      </w:r>
      <w:r>
        <w:rPr>
          <w:szCs w:val="21"/>
        </w:rPr>
        <w:t>等编程语言的工作原理。</w:t>
      </w:r>
    </w:p>
    <w:p w14:paraId="33D970A6" w14:textId="77777777" w:rsidR="00F5289E" w:rsidRDefault="00C91173">
      <w:pPr>
        <w:snapToGrid w:val="0"/>
        <w:spacing w:line="360" w:lineRule="auto"/>
        <w:ind w:firstLineChars="200" w:firstLine="422"/>
        <w:rPr>
          <w:color w:val="0000FF"/>
          <w:szCs w:val="21"/>
        </w:rPr>
      </w:pPr>
      <w:r>
        <w:rPr>
          <w:b/>
          <w:szCs w:val="21"/>
        </w:rPr>
        <w:t xml:space="preserve">2. </w:t>
      </w:r>
      <w:r>
        <w:rPr>
          <w:b/>
          <w:szCs w:val="21"/>
        </w:rPr>
        <w:t>一般掌握</w:t>
      </w:r>
      <w:r>
        <w:rPr>
          <w:szCs w:val="21"/>
        </w:rPr>
        <w:t>：</w:t>
      </w:r>
      <w:r>
        <w:rPr>
          <w:szCs w:val="21"/>
        </w:rPr>
        <w:t>Linux</w:t>
      </w:r>
      <w:r>
        <w:rPr>
          <w:szCs w:val="21"/>
        </w:rPr>
        <w:t>操作系统的安装、</w:t>
      </w:r>
      <w:r>
        <w:rPr>
          <w:szCs w:val="21"/>
        </w:rPr>
        <w:t>Python</w:t>
      </w:r>
      <w:r>
        <w:rPr>
          <w:szCs w:val="21"/>
        </w:rPr>
        <w:t>和</w:t>
      </w:r>
      <w:r>
        <w:rPr>
          <w:szCs w:val="21"/>
        </w:rPr>
        <w:t>R</w:t>
      </w:r>
      <w:r>
        <w:rPr>
          <w:szCs w:val="21"/>
        </w:rPr>
        <w:t>语言的安装。</w:t>
      </w:r>
    </w:p>
    <w:p w14:paraId="37C36486" w14:textId="77777777" w:rsidR="00F5289E" w:rsidRDefault="00C91173">
      <w:pPr>
        <w:snapToGrid w:val="0"/>
        <w:spacing w:line="360" w:lineRule="auto"/>
        <w:ind w:firstLineChars="200" w:firstLine="422"/>
        <w:rPr>
          <w:color w:val="0000FF"/>
          <w:szCs w:val="21"/>
        </w:rPr>
      </w:pPr>
      <w:r>
        <w:rPr>
          <w:b/>
          <w:szCs w:val="21"/>
        </w:rPr>
        <w:t xml:space="preserve">3. </w:t>
      </w:r>
      <w:r>
        <w:rPr>
          <w:b/>
          <w:szCs w:val="21"/>
        </w:rPr>
        <w:t>熟练掌握</w:t>
      </w:r>
      <w:r>
        <w:rPr>
          <w:szCs w:val="21"/>
        </w:rPr>
        <w:t>：</w:t>
      </w:r>
      <w:r>
        <w:rPr>
          <w:bCs/>
        </w:rPr>
        <w:t>Linux Shell</w:t>
      </w:r>
      <w:r>
        <w:rPr>
          <w:bCs/>
        </w:rPr>
        <w:t>常用命令的使用；</w:t>
      </w:r>
      <w:r>
        <w:rPr>
          <w:szCs w:val="21"/>
        </w:rPr>
        <w:t>Python</w:t>
      </w:r>
      <w:r>
        <w:rPr>
          <w:szCs w:val="21"/>
        </w:rPr>
        <w:t>和</w:t>
      </w:r>
      <w:r>
        <w:rPr>
          <w:szCs w:val="21"/>
        </w:rPr>
        <w:t>R</w:t>
      </w:r>
      <w:r>
        <w:rPr>
          <w:szCs w:val="21"/>
        </w:rPr>
        <w:t>编程语言的语法规则。</w:t>
      </w:r>
    </w:p>
    <w:p w14:paraId="5DF448D0" w14:textId="77777777" w:rsidR="00F5289E" w:rsidRDefault="00C91173">
      <w:pPr>
        <w:snapToGrid w:val="0"/>
        <w:spacing w:line="360" w:lineRule="auto"/>
        <w:rPr>
          <w:szCs w:val="21"/>
        </w:rPr>
      </w:pPr>
      <w:r>
        <w:rPr>
          <w:b/>
          <w:szCs w:val="21"/>
        </w:rPr>
        <w:t>（二）考核内容</w:t>
      </w:r>
    </w:p>
    <w:p w14:paraId="7F9A2F1F" w14:textId="77777777" w:rsidR="00F5289E" w:rsidRDefault="00C91173">
      <w:pPr>
        <w:snapToGrid w:val="0"/>
        <w:spacing w:line="360" w:lineRule="auto"/>
        <w:ind w:firstLineChars="200" w:firstLine="422"/>
        <w:rPr>
          <w:bCs/>
          <w:szCs w:val="21"/>
        </w:rPr>
      </w:pPr>
      <w:r>
        <w:rPr>
          <w:b/>
          <w:szCs w:val="21"/>
        </w:rPr>
        <w:t xml:space="preserve">1. </w:t>
      </w:r>
      <w:r>
        <w:rPr>
          <w:bCs/>
          <w:szCs w:val="21"/>
        </w:rPr>
        <w:t>Linux</w:t>
      </w:r>
      <w:r>
        <w:rPr>
          <w:bCs/>
          <w:szCs w:val="21"/>
        </w:rPr>
        <w:t>系统的安装；文件和目录管理；权限管理；</w:t>
      </w:r>
      <w:proofErr w:type="spellStart"/>
      <w:r>
        <w:rPr>
          <w:bCs/>
          <w:szCs w:val="21"/>
        </w:rPr>
        <w:t>Conda</w:t>
      </w:r>
      <w:proofErr w:type="spellEnd"/>
      <w:r>
        <w:rPr>
          <w:bCs/>
          <w:szCs w:val="21"/>
        </w:rPr>
        <w:t>环境下软件包的管理。</w:t>
      </w:r>
    </w:p>
    <w:p w14:paraId="590EB71D" w14:textId="77777777" w:rsidR="00F5289E" w:rsidRDefault="00C91173">
      <w:pPr>
        <w:snapToGrid w:val="0"/>
        <w:spacing w:line="360" w:lineRule="auto"/>
        <w:ind w:firstLineChars="200" w:firstLine="422"/>
        <w:rPr>
          <w:bCs/>
          <w:color w:val="0000FF"/>
          <w:szCs w:val="21"/>
        </w:rPr>
      </w:pPr>
      <w:r>
        <w:rPr>
          <w:b/>
          <w:szCs w:val="21"/>
        </w:rPr>
        <w:t xml:space="preserve">2. </w:t>
      </w:r>
      <w:r>
        <w:rPr>
          <w:bCs/>
          <w:szCs w:val="21"/>
        </w:rPr>
        <w:t>基本数据类型；字符串和文件；函数和代码复用；程序的控制结构；程序的循环结构；图形的绘制。</w:t>
      </w:r>
    </w:p>
    <w:p w14:paraId="2493C14F" w14:textId="77777777" w:rsidR="00F5289E" w:rsidRDefault="00C91173">
      <w:pPr>
        <w:snapToGrid w:val="0"/>
        <w:spacing w:line="360" w:lineRule="auto"/>
        <w:ind w:firstLineChars="200" w:firstLine="422"/>
        <w:rPr>
          <w:bCs/>
          <w:color w:val="0000FF"/>
          <w:szCs w:val="21"/>
        </w:rPr>
      </w:pPr>
      <w:r>
        <w:rPr>
          <w:b/>
          <w:szCs w:val="21"/>
        </w:rPr>
        <w:t xml:space="preserve">3. </w:t>
      </w:r>
      <w:r>
        <w:rPr>
          <w:bCs/>
          <w:szCs w:val="21"/>
        </w:rPr>
        <w:t>基本数据类型；数据类型的转换；数据的读取和写入；自编函数；图形的绘制。</w:t>
      </w:r>
    </w:p>
    <w:p w14:paraId="536BAB25" w14:textId="77777777" w:rsidR="00F5289E" w:rsidRDefault="00C91173">
      <w:pPr>
        <w:snapToGrid w:val="0"/>
        <w:spacing w:line="360" w:lineRule="auto"/>
        <w:rPr>
          <w:b/>
          <w:szCs w:val="21"/>
        </w:rPr>
      </w:pPr>
      <w:r>
        <w:rPr>
          <w:b/>
          <w:szCs w:val="21"/>
        </w:rPr>
        <w:t>（三）考核要求</w:t>
      </w:r>
    </w:p>
    <w:p w14:paraId="6491942A" w14:textId="77777777" w:rsidR="00F5289E" w:rsidRDefault="00C91173">
      <w:pPr>
        <w:snapToGrid w:val="0"/>
        <w:spacing w:line="360" w:lineRule="auto"/>
        <w:ind w:firstLineChars="200" w:firstLine="422"/>
        <w:rPr>
          <w:b/>
          <w:color w:val="0000FF"/>
          <w:szCs w:val="21"/>
        </w:rPr>
      </w:pPr>
      <w:r>
        <w:rPr>
          <w:b/>
          <w:szCs w:val="21"/>
        </w:rPr>
        <w:t>1.</w:t>
      </w:r>
      <w:r>
        <w:rPr>
          <w:b/>
          <w:szCs w:val="21"/>
        </w:rPr>
        <w:t>识记</w:t>
      </w:r>
      <w:r>
        <w:rPr>
          <w:szCs w:val="21"/>
        </w:rPr>
        <w:t>：</w:t>
      </w:r>
      <w:r>
        <w:rPr>
          <w:bCs/>
          <w:szCs w:val="21"/>
        </w:rPr>
        <w:t>Linux</w:t>
      </w:r>
      <w:r>
        <w:rPr>
          <w:bCs/>
          <w:szCs w:val="21"/>
        </w:rPr>
        <w:t>系统的发展、特点和框架结构。</w:t>
      </w:r>
    </w:p>
    <w:p w14:paraId="3FEDF469" w14:textId="77777777" w:rsidR="00F5289E" w:rsidRDefault="00C91173">
      <w:pPr>
        <w:snapToGrid w:val="0"/>
        <w:spacing w:line="360" w:lineRule="auto"/>
        <w:ind w:firstLineChars="200" w:firstLine="422"/>
        <w:rPr>
          <w:b/>
          <w:color w:val="0000FF"/>
          <w:szCs w:val="21"/>
        </w:rPr>
      </w:pPr>
      <w:r>
        <w:rPr>
          <w:b/>
          <w:szCs w:val="21"/>
        </w:rPr>
        <w:t>2.</w:t>
      </w:r>
      <w:r>
        <w:rPr>
          <w:b/>
          <w:szCs w:val="21"/>
        </w:rPr>
        <w:t>领会</w:t>
      </w:r>
      <w:r>
        <w:rPr>
          <w:szCs w:val="21"/>
        </w:rPr>
        <w:t>：</w:t>
      </w:r>
      <w:r>
        <w:rPr>
          <w:bCs/>
          <w:szCs w:val="21"/>
        </w:rPr>
        <w:t>编程语言在生物信息数据分析过程中的重要性和必要性。</w:t>
      </w:r>
    </w:p>
    <w:p w14:paraId="26C6423A" w14:textId="77777777" w:rsidR="00F5289E" w:rsidRDefault="00C91173">
      <w:pPr>
        <w:snapToGrid w:val="0"/>
        <w:spacing w:line="360" w:lineRule="auto"/>
        <w:ind w:firstLineChars="200" w:firstLine="422"/>
        <w:rPr>
          <w:szCs w:val="21"/>
        </w:rPr>
      </w:pPr>
      <w:r>
        <w:rPr>
          <w:b/>
          <w:szCs w:val="21"/>
        </w:rPr>
        <w:t>3.</w:t>
      </w:r>
      <w:r>
        <w:rPr>
          <w:b/>
          <w:szCs w:val="21"/>
        </w:rPr>
        <w:t>应用</w:t>
      </w:r>
      <w:r>
        <w:rPr>
          <w:szCs w:val="21"/>
        </w:rPr>
        <w:t>：</w:t>
      </w:r>
      <w:r>
        <w:rPr>
          <w:bCs/>
          <w:szCs w:val="21"/>
        </w:rPr>
        <w:t>要求学生编写程序解决实际科研问题。</w:t>
      </w:r>
    </w:p>
    <w:p w14:paraId="1EE77BFF" w14:textId="77777777" w:rsidR="00F5289E" w:rsidRDefault="00C91173">
      <w:pPr>
        <w:snapToGrid w:val="0"/>
        <w:spacing w:line="360" w:lineRule="auto"/>
        <w:ind w:firstLineChars="200" w:firstLine="422"/>
        <w:rPr>
          <w:bCs/>
          <w:color w:val="0000FF"/>
          <w:szCs w:val="21"/>
        </w:rPr>
      </w:pPr>
      <w:r>
        <w:rPr>
          <w:b/>
          <w:szCs w:val="21"/>
        </w:rPr>
        <w:t>4.</w:t>
      </w:r>
      <w:r>
        <w:rPr>
          <w:b/>
          <w:szCs w:val="21"/>
        </w:rPr>
        <w:t>分析：</w:t>
      </w:r>
      <w:r>
        <w:rPr>
          <w:bCs/>
          <w:szCs w:val="21"/>
        </w:rPr>
        <w:t>利用本章节所学知识分析不同类型的生物信息数据。</w:t>
      </w:r>
    </w:p>
    <w:p w14:paraId="318C9FB5" w14:textId="77777777" w:rsidR="00F5289E" w:rsidRDefault="00C91173">
      <w:pPr>
        <w:snapToGrid w:val="0"/>
        <w:spacing w:line="360" w:lineRule="auto"/>
        <w:ind w:firstLineChars="200" w:firstLine="422"/>
        <w:rPr>
          <w:color w:val="0000FF"/>
          <w:szCs w:val="21"/>
        </w:rPr>
      </w:pPr>
      <w:r>
        <w:rPr>
          <w:b/>
          <w:szCs w:val="21"/>
        </w:rPr>
        <w:t>5.</w:t>
      </w:r>
      <w:r>
        <w:rPr>
          <w:b/>
          <w:szCs w:val="21"/>
        </w:rPr>
        <w:t>综合</w:t>
      </w:r>
      <w:r>
        <w:rPr>
          <w:szCs w:val="21"/>
        </w:rPr>
        <w:t>：</w:t>
      </w:r>
      <w:r>
        <w:rPr>
          <w:bCs/>
          <w:szCs w:val="21"/>
        </w:rPr>
        <w:t>要求学生能够利用本章知识，能够独立完成一项组学数据的质量控制，定量分析以及生物学信息的挖掘。</w:t>
      </w:r>
    </w:p>
    <w:p w14:paraId="7AD7B3D3" w14:textId="77777777" w:rsidR="00F5289E" w:rsidRDefault="00C91173">
      <w:pPr>
        <w:snapToGrid w:val="0"/>
        <w:spacing w:line="360" w:lineRule="auto"/>
        <w:ind w:firstLineChars="200" w:firstLine="422"/>
        <w:rPr>
          <w:bCs/>
          <w:szCs w:val="21"/>
        </w:rPr>
      </w:pPr>
      <w:r>
        <w:rPr>
          <w:b/>
          <w:szCs w:val="21"/>
        </w:rPr>
        <w:t>6.</w:t>
      </w:r>
      <w:r>
        <w:rPr>
          <w:b/>
          <w:szCs w:val="21"/>
        </w:rPr>
        <w:t>评价：</w:t>
      </w:r>
      <w:r>
        <w:rPr>
          <w:bCs/>
          <w:szCs w:val="21"/>
        </w:rPr>
        <w:t>从学生对计算机语言的理解程和使用程度，学生编写程序的正确性、整洁性以及高效性三方面进行评价。</w:t>
      </w:r>
    </w:p>
    <w:p w14:paraId="401A9406" w14:textId="77777777" w:rsidR="00F5289E" w:rsidRDefault="00C91173">
      <w:pPr>
        <w:pStyle w:val="a9"/>
        <w:spacing w:line="360" w:lineRule="auto"/>
        <w:rPr>
          <w:b/>
          <w:bCs/>
        </w:rPr>
      </w:pPr>
      <w:r>
        <w:rPr>
          <w:b/>
          <w:bCs/>
        </w:rPr>
        <w:t>三、实验、实习教学部分的考核要求</w:t>
      </w:r>
    </w:p>
    <w:p w14:paraId="56AD7315"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1.</w:t>
      </w:r>
      <w:r>
        <w:rPr>
          <w:bCs/>
          <w:kern w:val="0"/>
          <w:szCs w:val="21"/>
        </w:rPr>
        <w:t>掌握</w:t>
      </w:r>
      <w:r>
        <w:rPr>
          <w:bCs/>
          <w:kern w:val="0"/>
          <w:szCs w:val="21"/>
        </w:rPr>
        <w:t>NCBI</w:t>
      </w:r>
      <w:r>
        <w:rPr>
          <w:bCs/>
          <w:kern w:val="0"/>
          <w:szCs w:val="21"/>
        </w:rPr>
        <w:t>等数据库的使用方法。</w:t>
      </w:r>
    </w:p>
    <w:p w14:paraId="5724E2B7"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2.</w:t>
      </w:r>
      <w:r>
        <w:rPr>
          <w:bCs/>
          <w:kern w:val="0"/>
          <w:szCs w:val="21"/>
        </w:rPr>
        <w:t>了解序列比对的基本原理，掌握进化树构建的方法。</w:t>
      </w:r>
    </w:p>
    <w:p w14:paraId="3D1A6A83"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3.</w:t>
      </w:r>
      <w:r>
        <w:rPr>
          <w:bCs/>
          <w:kern w:val="0"/>
          <w:szCs w:val="21"/>
        </w:rPr>
        <w:t>掌握生信在线工具的使用方法。</w:t>
      </w:r>
    </w:p>
    <w:p w14:paraId="3974E9E0"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4.</w:t>
      </w:r>
      <w:r>
        <w:rPr>
          <w:bCs/>
          <w:kern w:val="0"/>
          <w:szCs w:val="21"/>
        </w:rPr>
        <w:t>了解基因注释的基本原理，完成相关基因功能注释。</w:t>
      </w:r>
    </w:p>
    <w:p w14:paraId="553CF863"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5.</w:t>
      </w:r>
      <w:r>
        <w:t xml:space="preserve"> </w:t>
      </w:r>
      <w:r>
        <w:rPr>
          <w:bCs/>
          <w:kern w:val="0"/>
          <w:szCs w:val="21"/>
        </w:rPr>
        <w:t>掌握蛋白质结构与启动子原件预测的方法。</w:t>
      </w:r>
    </w:p>
    <w:p w14:paraId="1F11C8C8"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6.</w:t>
      </w:r>
      <w:r>
        <w:rPr>
          <w:bCs/>
          <w:kern w:val="0"/>
          <w:szCs w:val="21"/>
        </w:rPr>
        <w:t>理解</w:t>
      </w:r>
      <w:r>
        <w:rPr>
          <w:bCs/>
          <w:kern w:val="0"/>
          <w:szCs w:val="21"/>
        </w:rPr>
        <w:t>RNA-seq</w:t>
      </w:r>
      <w:r>
        <w:rPr>
          <w:bCs/>
          <w:kern w:val="0"/>
          <w:szCs w:val="21"/>
        </w:rPr>
        <w:t>的基本原理，掌握下机数据处理分析方式。</w:t>
      </w:r>
    </w:p>
    <w:p w14:paraId="085059D5" w14:textId="77777777" w:rsidR="00F5289E" w:rsidRDefault="00C91173">
      <w:pPr>
        <w:widowControl/>
        <w:adjustRightInd w:val="0"/>
        <w:snapToGrid w:val="0"/>
        <w:spacing w:line="360" w:lineRule="auto"/>
        <w:ind w:firstLineChars="200" w:firstLine="420"/>
        <w:jc w:val="left"/>
        <w:rPr>
          <w:bCs/>
          <w:kern w:val="0"/>
          <w:szCs w:val="21"/>
        </w:rPr>
      </w:pPr>
      <w:r>
        <w:rPr>
          <w:bCs/>
          <w:kern w:val="0"/>
          <w:szCs w:val="21"/>
        </w:rPr>
        <w:t>7.</w:t>
      </w:r>
      <w:r>
        <w:rPr>
          <w:bCs/>
          <w:kern w:val="0"/>
          <w:szCs w:val="21"/>
        </w:rPr>
        <w:t>了解</w:t>
      </w:r>
      <w:proofErr w:type="spellStart"/>
      <w:r>
        <w:rPr>
          <w:bCs/>
          <w:kern w:val="0"/>
          <w:szCs w:val="21"/>
        </w:rPr>
        <w:t>linux</w:t>
      </w:r>
      <w:proofErr w:type="spellEnd"/>
      <w:r>
        <w:rPr>
          <w:bCs/>
          <w:kern w:val="0"/>
          <w:szCs w:val="21"/>
        </w:rPr>
        <w:t>系统，</w:t>
      </w:r>
      <w:proofErr w:type="spellStart"/>
      <w:r>
        <w:rPr>
          <w:bCs/>
          <w:kern w:val="0"/>
          <w:szCs w:val="21"/>
        </w:rPr>
        <w:t>Python,R</w:t>
      </w:r>
      <w:proofErr w:type="spellEnd"/>
      <w:r>
        <w:rPr>
          <w:bCs/>
          <w:kern w:val="0"/>
          <w:szCs w:val="21"/>
        </w:rPr>
        <w:t>等编程语言。</w:t>
      </w:r>
    </w:p>
    <w:p w14:paraId="0D92E433" w14:textId="77777777" w:rsidR="00F5289E" w:rsidRDefault="00C91173">
      <w:pPr>
        <w:pStyle w:val="a9"/>
        <w:spacing w:line="360" w:lineRule="auto"/>
        <w:rPr>
          <w:b/>
          <w:bCs/>
        </w:rPr>
      </w:pPr>
      <w:r>
        <w:rPr>
          <w:b/>
          <w:bCs/>
        </w:rPr>
        <w:t>四、考核方式</w:t>
      </w:r>
    </w:p>
    <w:p w14:paraId="57492542" w14:textId="77777777" w:rsidR="00F5289E" w:rsidRDefault="00C91173">
      <w:pPr>
        <w:spacing w:line="360" w:lineRule="auto"/>
        <w:ind w:firstLineChars="154" w:firstLine="323"/>
        <w:rPr>
          <w:bCs/>
          <w:szCs w:val="21"/>
        </w:rPr>
      </w:pPr>
      <w:r>
        <w:rPr>
          <w:bCs/>
          <w:szCs w:val="21"/>
        </w:rPr>
        <w:t>1.</w:t>
      </w:r>
      <w:r>
        <w:rPr>
          <w:bCs/>
          <w:szCs w:val="21"/>
        </w:rPr>
        <w:t>期末考试采用课程论文方式进行评价。</w:t>
      </w:r>
    </w:p>
    <w:p w14:paraId="2C273FAD" w14:textId="77777777" w:rsidR="00F5289E" w:rsidRDefault="00C91173">
      <w:pPr>
        <w:spacing w:line="360" w:lineRule="auto"/>
        <w:ind w:firstLineChars="154" w:firstLine="323"/>
        <w:rPr>
          <w:bCs/>
          <w:szCs w:val="21"/>
        </w:rPr>
      </w:pPr>
      <w:r>
        <w:rPr>
          <w:bCs/>
          <w:szCs w:val="21"/>
        </w:rPr>
        <w:t>2.</w:t>
      </w:r>
      <w:r>
        <w:rPr>
          <w:bCs/>
          <w:szCs w:val="21"/>
        </w:rPr>
        <w:t>阶段性测评为每章内容学习结束进行，设置</w:t>
      </w:r>
      <w:r>
        <w:rPr>
          <w:bCs/>
          <w:szCs w:val="21"/>
        </w:rPr>
        <w:t>1-2</w:t>
      </w:r>
      <w:r>
        <w:rPr>
          <w:bCs/>
          <w:szCs w:val="21"/>
        </w:rPr>
        <w:t>道练习题，时间为</w:t>
      </w:r>
      <w:r>
        <w:rPr>
          <w:bCs/>
          <w:szCs w:val="21"/>
        </w:rPr>
        <w:t>15-20</w:t>
      </w:r>
      <w:r>
        <w:rPr>
          <w:bCs/>
          <w:szCs w:val="21"/>
        </w:rPr>
        <w:t>分钟。</w:t>
      </w:r>
    </w:p>
    <w:p w14:paraId="78C29C7F" w14:textId="77777777" w:rsidR="00F5289E" w:rsidRDefault="00C91173">
      <w:pPr>
        <w:spacing w:line="360" w:lineRule="auto"/>
        <w:ind w:firstLineChars="154" w:firstLine="323"/>
        <w:rPr>
          <w:bCs/>
          <w:szCs w:val="21"/>
        </w:rPr>
      </w:pPr>
      <w:r>
        <w:rPr>
          <w:bCs/>
          <w:szCs w:val="21"/>
        </w:rPr>
        <w:lastRenderedPageBreak/>
        <w:t>3.</w:t>
      </w:r>
      <w:r>
        <w:rPr>
          <w:bCs/>
          <w:szCs w:val="21"/>
        </w:rPr>
        <w:t>课堂表现主要根据课堂考勤、上课回答问题情况进行打分。</w:t>
      </w:r>
    </w:p>
    <w:p w14:paraId="5CFAAD5F" w14:textId="77777777" w:rsidR="00F5289E" w:rsidRDefault="00C91173">
      <w:pPr>
        <w:spacing w:line="360" w:lineRule="auto"/>
        <w:ind w:firstLineChars="154" w:firstLine="323"/>
        <w:rPr>
          <w:bCs/>
          <w:szCs w:val="21"/>
        </w:rPr>
      </w:pPr>
      <w:r>
        <w:rPr>
          <w:bCs/>
          <w:szCs w:val="21"/>
        </w:rPr>
        <w:t>4.</w:t>
      </w:r>
      <w:r>
        <w:rPr>
          <w:bCs/>
          <w:szCs w:val="21"/>
        </w:rPr>
        <w:t>课程实验主要根据学生操作的熟练程度、实验结果的正确性及实验报告的撰写情况打分。</w:t>
      </w:r>
    </w:p>
    <w:p w14:paraId="17D9EB75" w14:textId="77777777" w:rsidR="00F5289E" w:rsidRDefault="00C91173">
      <w:pPr>
        <w:pStyle w:val="a9"/>
        <w:spacing w:line="360" w:lineRule="auto"/>
        <w:rPr>
          <w:b/>
          <w:bCs/>
        </w:rPr>
      </w:pPr>
      <w:r>
        <w:rPr>
          <w:b/>
          <w:bCs/>
        </w:rPr>
        <w:t>五、成绩评定</w:t>
      </w:r>
    </w:p>
    <w:p w14:paraId="1E2AA818" w14:textId="77777777" w:rsidR="00F5289E" w:rsidRDefault="00C91173">
      <w:pPr>
        <w:snapToGrid w:val="0"/>
        <w:spacing w:line="360" w:lineRule="auto"/>
        <w:ind w:firstLineChars="200" w:firstLine="420"/>
        <w:rPr>
          <w:szCs w:val="21"/>
        </w:rPr>
      </w:pPr>
      <w:r>
        <w:rPr>
          <w:szCs w:val="21"/>
        </w:rPr>
        <w:t>1.</w:t>
      </w:r>
      <w:r>
        <w:rPr>
          <w:szCs w:val="21"/>
        </w:rPr>
        <w:t>平时成绩</w:t>
      </w:r>
    </w:p>
    <w:p w14:paraId="657F6A39" w14:textId="77777777" w:rsidR="00F5289E" w:rsidRDefault="00C91173">
      <w:pPr>
        <w:snapToGrid w:val="0"/>
        <w:spacing w:line="360" w:lineRule="auto"/>
        <w:ind w:firstLineChars="200" w:firstLine="420"/>
        <w:rPr>
          <w:szCs w:val="21"/>
        </w:rPr>
      </w:pPr>
      <w:r>
        <w:rPr>
          <w:bCs/>
          <w:szCs w:val="21"/>
        </w:rPr>
        <w:t>时成绩由三部分组成，分别为阶段测评、课堂表现和课程实验成绩。阶段测评：根据阶段测评的成绩评定。课堂表现：根据学生课堂考勤、上课回答问题情况进行综合评定。课程实验：依照学生实验课程课堂表现及实验报告进行综合评定。平时成绩所占比例</w:t>
      </w:r>
      <w:r>
        <w:rPr>
          <w:bCs/>
          <w:szCs w:val="21"/>
        </w:rPr>
        <w:t>50%</w:t>
      </w:r>
      <w:r>
        <w:rPr>
          <w:bCs/>
          <w:szCs w:val="21"/>
        </w:rPr>
        <w:t>。</w:t>
      </w:r>
    </w:p>
    <w:p w14:paraId="641AEDD0" w14:textId="77777777" w:rsidR="00F5289E" w:rsidRDefault="00C91173">
      <w:pPr>
        <w:snapToGrid w:val="0"/>
        <w:spacing w:line="360" w:lineRule="auto"/>
        <w:ind w:firstLineChars="200" w:firstLine="420"/>
        <w:rPr>
          <w:bCs/>
          <w:szCs w:val="21"/>
        </w:rPr>
      </w:pPr>
      <w:r>
        <w:t>2.</w:t>
      </w:r>
      <w:r>
        <w:t>期末成绩</w:t>
      </w:r>
    </w:p>
    <w:p w14:paraId="78222DFC" w14:textId="77777777" w:rsidR="00F5289E" w:rsidRDefault="00C91173">
      <w:pPr>
        <w:snapToGrid w:val="0"/>
        <w:spacing w:line="360" w:lineRule="auto"/>
        <w:ind w:firstLineChars="200" w:firstLine="420"/>
        <w:rPr>
          <w:bCs/>
          <w:szCs w:val="21"/>
        </w:rPr>
      </w:pPr>
      <w:r>
        <w:rPr>
          <w:szCs w:val="21"/>
        </w:rPr>
        <w:t>课程论文等考核方式；所占比例</w:t>
      </w:r>
      <w:r>
        <w:rPr>
          <w:bCs/>
          <w:szCs w:val="21"/>
        </w:rPr>
        <w:t>50%</w:t>
      </w:r>
    </w:p>
    <w:p w14:paraId="524B0C30" w14:textId="77777777" w:rsidR="00F5289E" w:rsidRDefault="00C91173">
      <w:pPr>
        <w:snapToGrid w:val="0"/>
        <w:spacing w:line="360" w:lineRule="auto"/>
        <w:ind w:firstLineChars="200" w:firstLine="420"/>
      </w:pPr>
      <w:r>
        <w:t>3.</w:t>
      </w:r>
      <w:r>
        <w:t>综合成绩</w:t>
      </w:r>
    </w:p>
    <w:p w14:paraId="241F8028" w14:textId="77777777" w:rsidR="00F5289E" w:rsidRDefault="00C91173">
      <w:pPr>
        <w:snapToGrid w:val="0"/>
        <w:spacing w:line="360" w:lineRule="auto"/>
        <w:ind w:firstLineChars="200" w:firstLine="420"/>
        <w:rPr>
          <w:bCs/>
          <w:szCs w:val="21"/>
        </w:rPr>
      </w:pPr>
      <w:r>
        <w:rPr>
          <w:bCs/>
          <w:szCs w:val="21"/>
        </w:rPr>
        <w:t>最终成绩</w:t>
      </w:r>
      <w:r>
        <w:rPr>
          <w:bCs/>
          <w:szCs w:val="21"/>
        </w:rPr>
        <w:t>100</w:t>
      </w:r>
      <w:r>
        <w:rPr>
          <w:bCs/>
          <w:szCs w:val="21"/>
        </w:rPr>
        <w:t>分</w:t>
      </w:r>
      <w:r>
        <w:rPr>
          <w:bCs/>
          <w:szCs w:val="21"/>
        </w:rPr>
        <w:t>=</w:t>
      </w:r>
      <w:r>
        <w:rPr>
          <w:bCs/>
          <w:szCs w:val="21"/>
        </w:rPr>
        <w:t>平时成绩</w:t>
      </w:r>
      <w:r>
        <w:rPr>
          <w:bCs/>
          <w:szCs w:val="21"/>
        </w:rPr>
        <w:t xml:space="preserve">×50% + </w:t>
      </w:r>
      <w:r>
        <w:rPr>
          <w:bCs/>
          <w:szCs w:val="21"/>
        </w:rPr>
        <w:t>期末成绩</w:t>
      </w:r>
      <w:r>
        <w:rPr>
          <w:bCs/>
          <w:szCs w:val="21"/>
        </w:rPr>
        <w:t>×50%</w:t>
      </w:r>
    </w:p>
    <w:p w14:paraId="67843587" w14:textId="77777777" w:rsidR="00F5289E" w:rsidRDefault="00C91173">
      <w:pPr>
        <w:pStyle w:val="a9"/>
        <w:spacing w:line="360" w:lineRule="auto"/>
        <w:rPr>
          <w:b/>
          <w:bCs/>
        </w:rPr>
      </w:pPr>
      <w:r>
        <w:rPr>
          <w:b/>
          <w:bCs/>
        </w:rPr>
        <w:t>六、考核结果分析反馈</w:t>
      </w:r>
    </w:p>
    <w:p w14:paraId="56066252" w14:textId="77777777" w:rsidR="00F5289E" w:rsidRDefault="00C91173">
      <w:pPr>
        <w:snapToGrid w:val="0"/>
        <w:spacing w:line="360" w:lineRule="auto"/>
        <w:ind w:firstLineChars="200" w:firstLine="420"/>
        <w:rPr>
          <w:szCs w:val="21"/>
        </w:rPr>
      </w:pPr>
      <w:r>
        <w:rPr>
          <w:bCs/>
          <w:szCs w:val="21"/>
        </w:rPr>
        <w:t xml:space="preserve">1. </w:t>
      </w:r>
      <w:r>
        <w:rPr>
          <w:bCs/>
          <w:szCs w:val="21"/>
        </w:rPr>
        <w:t>每章结束在课程群公布学生学习情况，讲解测试题的难点重点，实验报告和期末论文成绩也及时公布，学生对于有疑问的地方可以提出异议，对实验报告进行分析，统计学生掌握知识点熟练程度</w:t>
      </w:r>
      <w:r>
        <w:rPr>
          <w:szCs w:val="21"/>
        </w:rPr>
        <w:t>。</w:t>
      </w:r>
    </w:p>
    <w:p w14:paraId="4DF6BB4E" w14:textId="77777777" w:rsidR="00F5289E" w:rsidRDefault="00C91173">
      <w:pPr>
        <w:snapToGrid w:val="0"/>
        <w:spacing w:line="360" w:lineRule="auto"/>
        <w:ind w:firstLineChars="200" w:firstLine="420"/>
        <w:rPr>
          <w:szCs w:val="21"/>
        </w:rPr>
      </w:pPr>
      <w:r>
        <w:rPr>
          <w:szCs w:val="21"/>
        </w:rPr>
        <w:t xml:space="preserve">2. </w:t>
      </w:r>
      <w:r>
        <w:rPr>
          <w:szCs w:val="21"/>
        </w:rPr>
        <w:t>建立学生与教师有效沟通机制，在了解学生难以掌握的部分知识点，在下一节课重新进行讲解，并通过学习委员和班长带动学生提问的积极性，从而更好把握课程问题和授课方式的问题，及时做出改进。</w:t>
      </w:r>
    </w:p>
    <w:p w14:paraId="0D7C7F2C" w14:textId="77777777" w:rsidR="00F5289E" w:rsidRDefault="00F5289E">
      <w:pPr>
        <w:snapToGrid w:val="0"/>
        <w:spacing w:line="360" w:lineRule="auto"/>
        <w:rPr>
          <w:color w:val="0000FF"/>
          <w:szCs w:val="21"/>
        </w:rPr>
      </w:pPr>
    </w:p>
    <w:p w14:paraId="7C277AAC" w14:textId="77777777" w:rsidR="00F5289E" w:rsidRDefault="00F5289E">
      <w:pPr>
        <w:widowControl/>
        <w:snapToGrid w:val="0"/>
        <w:spacing w:line="360" w:lineRule="auto"/>
        <w:ind w:firstLine="420"/>
        <w:jc w:val="left"/>
      </w:pPr>
    </w:p>
    <w:p w14:paraId="119A0176" w14:textId="77777777" w:rsidR="00F5289E" w:rsidRDefault="00C91173">
      <w:pPr>
        <w:widowControl/>
        <w:jc w:val="left"/>
        <w:rPr>
          <w:rFonts w:ascii="宋体" w:hAnsi="宋体"/>
          <w:b/>
          <w:sz w:val="28"/>
          <w:szCs w:val="28"/>
        </w:rPr>
      </w:pPr>
      <w:r>
        <w:rPr>
          <w:rFonts w:ascii="宋体" w:hAnsi="宋体"/>
          <w:b/>
          <w:sz w:val="28"/>
          <w:szCs w:val="28"/>
        </w:rPr>
        <w:br w:type="page"/>
      </w:r>
    </w:p>
    <w:p w14:paraId="5C36D1C6" w14:textId="77777777" w:rsidR="00F5289E" w:rsidRDefault="00C91173">
      <w:pPr>
        <w:pStyle w:val="1"/>
      </w:pPr>
      <w:bookmarkStart w:id="209" w:name="_Toc489359152"/>
      <w:bookmarkStart w:id="210" w:name="_Toc138606300"/>
      <w:r>
        <w:rPr>
          <w:rFonts w:hint="eastAsia"/>
        </w:rPr>
        <w:lastRenderedPageBreak/>
        <w:t>园艺产品采后处理学</w:t>
      </w:r>
      <w:bookmarkEnd w:id="209"/>
      <w:r>
        <w:rPr>
          <w:rFonts w:hint="eastAsia"/>
        </w:rPr>
        <w:t>考核大纲</w:t>
      </w:r>
      <w:bookmarkEnd w:id="210"/>
    </w:p>
    <w:p w14:paraId="3E1A84D4" w14:textId="77777777" w:rsidR="00F5289E" w:rsidRDefault="00C91173">
      <w:pPr>
        <w:snapToGrid w:val="0"/>
        <w:spacing w:line="360" w:lineRule="auto"/>
        <w:jc w:val="center"/>
        <w:rPr>
          <w:rFonts w:cs="宋体"/>
          <w:iCs/>
          <w:sz w:val="24"/>
          <w:szCs w:val="20"/>
        </w:rPr>
      </w:pPr>
      <w:r>
        <w:rPr>
          <w:rFonts w:cs="宋体" w:hint="eastAsia"/>
          <w:iCs/>
          <w:sz w:val="24"/>
          <w:szCs w:val="20"/>
        </w:rPr>
        <w:t>（</w:t>
      </w:r>
      <w:r>
        <w:rPr>
          <w:sz w:val="24"/>
          <w:szCs w:val="20"/>
        </w:rPr>
        <w:t>Postharvest Handling of Horticultural Crops</w:t>
      </w:r>
      <w:r>
        <w:rPr>
          <w:rFonts w:cs="宋体" w:hint="eastAsia"/>
          <w:iCs/>
          <w:sz w:val="24"/>
          <w:szCs w:val="20"/>
        </w:rPr>
        <w:t>）</w:t>
      </w:r>
    </w:p>
    <w:p w14:paraId="1A668213" w14:textId="77777777" w:rsidR="00F5289E" w:rsidRDefault="00F5289E">
      <w:pPr>
        <w:snapToGrid w:val="0"/>
        <w:spacing w:line="360" w:lineRule="auto"/>
        <w:jc w:val="center"/>
        <w:rPr>
          <w:rFonts w:cs="宋体"/>
          <w:iCs/>
          <w:sz w:val="24"/>
          <w:szCs w:val="20"/>
        </w:rPr>
      </w:pPr>
    </w:p>
    <w:p w14:paraId="6998CA32" w14:textId="77777777" w:rsidR="00F5289E" w:rsidRDefault="00C91173">
      <w:pPr>
        <w:snapToGrid w:val="0"/>
        <w:spacing w:line="360" w:lineRule="auto"/>
        <w:jc w:val="center"/>
        <w:rPr>
          <w:b/>
        </w:rPr>
      </w:pPr>
      <w:r>
        <w:rPr>
          <w:rFonts w:cs="宋体" w:hint="eastAsia"/>
          <w:b/>
          <w:szCs w:val="20"/>
        </w:rPr>
        <w:t>课程基本信息</w:t>
      </w:r>
    </w:p>
    <w:tbl>
      <w:tblPr>
        <w:tblW w:w="9576" w:type="dxa"/>
        <w:tblLayout w:type="fixed"/>
        <w:tblLook w:val="04A0" w:firstRow="1" w:lastRow="0" w:firstColumn="1" w:lastColumn="0" w:noHBand="0" w:noVBand="1"/>
      </w:tblPr>
      <w:tblGrid>
        <w:gridCol w:w="3717"/>
        <w:gridCol w:w="2257"/>
        <w:gridCol w:w="3602"/>
      </w:tblGrid>
      <w:tr w:rsidR="00F5289E" w14:paraId="348A32B6" w14:textId="77777777">
        <w:tc>
          <w:tcPr>
            <w:tcW w:w="3717" w:type="dxa"/>
            <w:shd w:val="clear" w:color="auto" w:fill="auto"/>
          </w:tcPr>
          <w:p w14:paraId="2591E251" w14:textId="77777777" w:rsidR="00F5289E" w:rsidRDefault="00C91173">
            <w:pPr>
              <w:spacing w:line="300" w:lineRule="auto"/>
              <w:rPr>
                <w:rFonts w:eastAsiaTheme="minorEastAsia"/>
                <w:b/>
              </w:rPr>
            </w:pPr>
            <w:r>
              <w:rPr>
                <w:rFonts w:eastAsiaTheme="minorEastAsia" w:hAnsiTheme="minorEastAsia"/>
                <w:b/>
                <w:szCs w:val="20"/>
              </w:rPr>
              <w:t>课程编号：</w:t>
            </w:r>
            <w:r w:rsidRPr="001B3040">
              <w:rPr>
                <w:rFonts w:eastAsiaTheme="minorEastAsia"/>
                <w:bCs/>
                <w:szCs w:val="21"/>
              </w:rPr>
              <w:t>190110</w:t>
            </w:r>
            <w:r w:rsidRPr="001B3040">
              <w:rPr>
                <w:rFonts w:eastAsiaTheme="minorEastAsia" w:hint="eastAsia"/>
                <w:bCs/>
                <w:szCs w:val="21"/>
              </w:rPr>
              <w:t>5</w:t>
            </w:r>
            <w:r w:rsidRPr="001B3040">
              <w:rPr>
                <w:rFonts w:eastAsiaTheme="minorEastAsia"/>
                <w:bCs/>
                <w:szCs w:val="21"/>
              </w:rPr>
              <w:t>0</w:t>
            </w:r>
          </w:p>
        </w:tc>
        <w:tc>
          <w:tcPr>
            <w:tcW w:w="2257" w:type="dxa"/>
            <w:shd w:val="clear" w:color="auto" w:fill="auto"/>
          </w:tcPr>
          <w:p w14:paraId="68A40475" w14:textId="77777777" w:rsidR="00F5289E" w:rsidRDefault="00C91173">
            <w:pPr>
              <w:spacing w:line="300" w:lineRule="auto"/>
              <w:rPr>
                <w:rFonts w:eastAsiaTheme="minorEastAsia"/>
                <w:b/>
              </w:rPr>
            </w:pPr>
            <w:r>
              <w:rPr>
                <w:rFonts w:eastAsiaTheme="minorEastAsia" w:hAnsiTheme="minorEastAsia"/>
                <w:b/>
                <w:szCs w:val="20"/>
              </w:rPr>
              <w:t>课程学时：</w:t>
            </w:r>
            <w:r w:rsidRPr="001B3040">
              <w:rPr>
                <w:rFonts w:eastAsiaTheme="minorEastAsia" w:hint="eastAsia"/>
                <w:bCs/>
                <w:szCs w:val="20"/>
              </w:rPr>
              <w:t>32</w:t>
            </w:r>
          </w:p>
        </w:tc>
        <w:tc>
          <w:tcPr>
            <w:tcW w:w="3602" w:type="dxa"/>
            <w:shd w:val="clear" w:color="auto" w:fill="auto"/>
          </w:tcPr>
          <w:p w14:paraId="774BDDD5" w14:textId="77777777" w:rsidR="00F5289E" w:rsidRDefault="00C91173">
            <w:pPr>
              <w:spacing w:line="300" w:lineRule="auto"/>
              <w:rPr>
                <w:rFonts w:eastAsiaTheme="minorEastAsia"/>
                <w:b/>
              </w:rPr>
            </w:pPr>
            <w:r>
              <w:rPr>
                <w:rFonts w:eastAsiaTheme="minorEastAsia" w:hAnsiTheme="minorEastAsia"/>
                <w:b/>
                <w:szCs w:val="20"/>
              </w:rPr>
              <w:t>课程学分：</w:t>
            </w:r>
            <w:r w:rsidRPr="001B3040">
              <w:rPr>
                <w:rFonts w:eastAsiaTheme="minorEastAsia" w:hint="eastAsia"/>
                <w:bCs/>
                <w:szCs w:val="20"/>
              </w:rPr>
              <w:t>2</w:t>
            </w:r>
          </w:p>
        </w:tc>
      </w:tr>
      <w:tr w:rsidR="00F5289E" w14:paraId="5654C799" w14:textId="77777777">
        <w:tc>
          <w:tcPr>
            <w:tcW w:w="3717" w:type="dxa"/>
            <w:shd w:val="clear" w:color="auto" w:fill="auto"/>
          </w:tcPr>
          <w:p w14:paraId="34C82D2F" w14:textId="77777777" w:rsidR="00F5289E" w:rsidRDefault="00C91173">
            <w:pPr>
              <w:spacing w:line="300" w:lineRule="auto"/>
              <w:rPr>
                <w:rFonts w:eastAsiaTheme="minorEastAsia"/>
                <w:b/>
              </w:rPr>
            </w:pPr>
            <w:r>
              <w:rPr>
                <w:rFonts w:eastAsiaTheme="minorEastAsia" w:hAnsiTheme="minorEastAsia"/>
                <w:b/>
                <w:szCs w:val="20"/>
              </w:rPr>
              <w:t>主撰人：</w:t>
            </w:r>
            <w:r w:rsidRPr="001B3040">
              <w:rPr>
                <w:rFonts w:eastAsiaTheme="minorEastAsia" w:hAnsiTheme="minorEastAsia"/>
                <w:bCs/>
                <w:szCs w:val="20"/>
              </w:rPr>
              <w:t>胡青霞</w:t>
            </w:r>
            <w:r w:rsidRPr="001B3040">
              <w:rPr>
                <w:rFonts w:eastAsiaTheme="minorEastAsia" w:hint="eastAsia"/>
                <w:bCs/>
                <w:szCs w:val="20"/>
              </w:rPr>
              <w:t>、</w:t>
            </w:r>
            <w:r w:rsidRPr="001B3040">
              <w:rPr>
                <w:rFonts w:eastAsiaTheme="minorEastAsia" w:hAnsiTheme="minorEastAsia"/>
                <w:bCs/>
                <w:szCs w:val="20"/>
              </w:rPr>
              <w:t>叶霞</w:t>
            </w:r>
            <w:r w:rsidRPr="001B3040">
              <w:rPr>
                <w:rFonts w:eastAsiaTheme="minorEastAsia" w:hint="eastAsia"/>
                <w:bCs/>
                <w:szCs w:val="20"/>
              </w:rPr>
              <w:t>、</w:t>
            </w:r>
            <w:r w:rsidRPr="001B3040">
              <w:rPr>
                <w:rFonts w:eastAsiaTheme="minorEastAsia" w:hAnsiTheme="minorEastAsia"/>
                <w:bCs/>
                <w:szCs w:val="20"/>
              </w:rPr>
              <w:t>王伟</w:t>
            </w:r>
            <w:r w:rsidRPr="001B3040">
              <w:rPr>
                <w:rFonts w:eastAsiaTheme="minorEastAsia" w:hAnsiTheme="minorEastAsia" w:hint="eastAsia"/>
                <w:bCs/>
                <w:szCs w:val="20"/>
              </w:rPr>
              <w:t>、侯娟、李营、何畅</w:t>
            </w:r>
          </w:p>
        </w:tc>
        <w:tc>
          <w:tcPr>
            <w:tcW w:w="2257" w:type="dxa"/>
            <w:shd w:val="clear" w:color="auto" w:fill="auto"/>
          </w:tcPr>
          <w:p w14:paraId="7E7A3F55" w14:textId="77777777" w:rsidR="00F5289E" w:rsidRDefault="00C91173">
            <w:pPr>
              <w:spacing w:line="300" w:lineRule="auto"/>
              <w:rPr>
                <w:rFonts w:eastAsiaTheme="minorEastAsia"/>
                <w:b/>
              </w:rPr>
            </w:pPr>
            <w:r>
              <w:rPr>
                <w:rFonts w:eastAsiaTheme="minorEastAsia" w:hAnsiTheme="minorEastAsia"/>
                <w:b/>
                <w:szCs w:val="20"/>
              </w:rPr>
              <w:t>审核人：</w:t>
            </w:r>
            <w:r w:rsidR="001B3040" w:rsidRPr="001B3040">
              <w:rPr>
                <w:rFonts w:eastAsiaTheme="minorEastAsia" w:hAnsiTheme="minorEastAsia" w:hint="eastAsia"/>
                <w:bCs/>
                <w:szCs w:val="20"/>
              </w:rPr>
              <w:t>王兰菊</w:t>
            </w:r>
          </w:p>
        </w:tc>
        <w:tc>
          <w:tcPr>
            <w:tcW w:w="3602" w:type="dxa"/>
            <w:shd w:val="clear" w:color="auto" w:fill="auto"/>
          </w:tcPr>
          <w:p w14:paraId="32DCA939" w14:textId="77777777" w:rsidR="00F5289E" w:rsidRDefault="00C91173">
            <w:pPr>
              <w:spacing w:line="300" w:lineRule="auto"/>
              <w:rPr>
                <w:rFonts w:eastAsiaTheme="minorEastAsia"/>
                <w:b/>
                <w:szCs w:val="20"/>
              </w:rPr>
            </w:pPr>
            <w:r>
              <w:rPr>
                <w:rFonts w:eastAsiaTheme="minorEastAsia" w:hAnsiTheme="minorEastAsia"/>
                <w:b/>
                <w:szCs w:val="20"/>
              </w:rPr>
              <w:t>大纲制定（修订）日期</w:t>
            </w:r>
            <w:r>
              <w:rPr>
                <w:rFonts w:eastAsiaTheme="minorEastAsia"/>
                <w:b/>
                <w:szCs w:val="20"/>
              </w:rPr>
              <w:t xml:space="preserve">: </w:t>
            </w:r>
            <w:r w:rsidRPr="001B3040">
              <w:rPr>
                <w:rFonts w:eastAsiaTheme="minorEastAsia"/>
                <w:bCs/>
                <w:szCs w:val="20"/>
              </w:rPr>
              <w:t>20</w:t>
            </w:r>
            <w:r w:rsidRPr="001B3040">
              <w:rPr>
                <w:rFonts w:eastAsiaTheme="minorEastAsia" w:hint="eastAsia"/>
                <w:bCs/>
                <w:szCs w:val="20"/>
              </w:rPr>
              <w:t>2</w:t>
            </w:r>
            <w:r w:rsidR="001B3040">
              <w:rPr>
                <w:rFonts w:eastAsiaTheme="minorEastAsia"/>
                <w:bCs/>
                <w:szCs w:val="20"/>
              </w:rPr>
              <w:t>3.05</w:t>
            </w:r>
          </w:p>
        </w:tc>
      </w:tr>
    </w:tbl>
    <w:p w14:paraId="0D7A14E6" w14:textId="77777777" w:rsidR="00F5289E" w:rsidRDefault="00C91173">
      <w:pPr>
        <w:pStyle w:val="a9"/>
        <w:spacing w:line="360" w:lineRule="auto"/>
        <w:rPr>
          <w:b/>
          <w:bCs/>
        </w:rPr>
      </w:pPr>
      <w:r>
        <w:rPr>
          <w:rFonts w:hint="eastAsia"/>
          <w:b/>
          <w:bCs/>
        </w:rPr>
        <w:t>一、课程的性质和地位</w:t>
      </w:r>
    </w:p>
    <w:p w14:paraId="1F8066A4" w14:textId="77777777" w:rsidR="00F5289E" w:rsidRDefault="00C91173">
      <w:pPr>
        <w:widowControl/>
        <w:spacing w:line="360" w:lineRule="auto"/>
        <w:ind w:firstLineChars="175" w:firstLine="368"/>
        <w:jc w:val="left"/>
        <w:rPr>
          <w:color w:val="000000"/>
          <w:kern w:val="0"/>
        </w:rPr>
      </w:pPr>
      <w:r>
        <w:rPr>
          <w:rFonts w:cs="宋体" w:hint="eastAsia"/>
          <w:color w:val="000000"/>
          <w:kern w:val="0"/>
          <w:szCs w:val="20"/>
        </w:rPr>
        <w:t>本课程是社工专业学生选修课。课程主要目标是使学生掌握园艺产品采后生理及品质变化的基本规律，掌握园艺产品采收、采后处理、贮藏、运输及流通过程中的系列技术体系及其技术管理关键点，学会应用果蔬保鲜基本原理，解决果蔬贮运、销售中出现的问题，能够制订果蔬贮运关键技术方案，满足从事园艺产品贮藏、运输生产及流通销售的需要。</w:t>
      </w:r>
    </w:p>
    <w:p w14:paraId="1BEE6611" w14:textId="77777777" w:rsidR="00F5289E" w:rsidRDefault="00C91173">
      <w:pPr>
        <w:snapToGrid w:val="0"/>
        <w:spacing w:line="360" w:lineRule="auto"/>
        <w:rPr>
          <w:rFonts w:cs="宋体"/>
          <w:b/>
          <w:szCs w:val="20"/>
        </w:rPr>
      </w:pPr>
      <w:r>
        <w:rPr>
          <w:rFonts w:cs="宋体" w:hint="eastAsia"/>
          <w:b/>
          <w:szCs w:val="20"/>
        </w:rPr>
        <w:t>二、理论教学部分的考核目标</w:t>
      </w:r>
    </w:p>
    <w:p w14:paraId="23CE4E67" w14:textId="77777777" w:rsidR="00F5289E" w:rsidRDefault="00C91173">
      <w:pPr>
        <w:spacing w:line="360" w:lineRule="auto"/>
        <w:jc w:val="center"/>
        <w:rPr>
          <w:b/>
        </w:rPr>
      </w:pPr>
      <w:r>
        <w:rPr>
          <w:rFonts w:cs="宋体" w:hint="eastAsia"/>
          <w:b/>
          <w:szCs w:val="20"/>
        </w:rPr>
        <w:t>绪论</w:t>
      </w:r>
    </w:p>
    <w:p w14:paraId="3CA2900C"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37CF2E7" w14:textId="77777777" w:rsidR="00F5289E" w:rsidRDefault="00C91173">
      <w:pPr>
        <w:snapToGrid w:val="0"/>
        <w:spacing w:line="360" w:lineRule="auto"/>
        <w:ind w:firstLineChars="200" w:firstLine="422"/>
        <w:rPr>
          <w:szCs w:val="21"/>
        </w:rPr>
      </w:pPr>
      <w:r>
        <w:rPr>
          <w:b/>
          <w:szCs w:val="20"/>
        </w:rPr>
        <w:t xml:space="preserve">1. </w:t>
      </w:r>
      <w:r>
        <w:rPr>
          <w:rFonts w:cs="宋体" w:hint="eastAsia"/>
          <w:b/>
          <w:szCs w:val="20"/>
        </w:rPr>
        <w:t>一般了解</w:t>
      </w:r>
      <w:r>
        <w:rPr>
          <w:rFonts w:cs="宋体" w:hint="eastAsia"/>
          <w:bCs/>
          <w:szCs w:val="20"/>
        </w:rPr>
        <w:t>：</w:t>
      </w:r>
      <w:r>
        <w:rPr>
          <w:rFonts w:hint="eastAsia"/>
          <w:kern w:val="0"/>
        </w:rPr>
        <w:t>果品蔬菜贮运保鲜的意义；果品蔬菜贮运保鲜发展历程、产业现状</w:t>
      </w:r>
      <w:r>
        <w:rPr>
          <w:rFonts w:cs="宋体" w:hint="eastAsia"/>
          <w:szCs w:val="21"/>
        </w:rPr>
        <w:t>。</w:t>
      </w:r>
    </w:p>
    <w:p w14:paraId="2B7F59E4" w14:textId="77777777" w:rsidR="00F5289E" w:rsidRDefault="00C91173">
      <w:pPr>
        <w:spacing w:line="360" w:lineRule="auto"/>
        <w:ind w:firstLineChars="200" w:firstLine="422"/>
        <w:rPr>
          <w:szCs w:val="21"/>
        </w:rPr>
      </w:pPr>
      <w:r>
        <w:rPr>
          <w:b/>
          <w:szCs w:val="21"/>
        </w:rPr>
        <w:t xml:space="preserve">2. </w:t>
      </w:r>
      <w:r>
        <w:rPr>
          <w:rFonts w:cs="宋体" w:hint="eastAsia"/>
          <w:b/>
          <w:szCs w:val="21"/>
        </w:rPr>
        <w:t>一般掌握</w:t>
      </w:r>
      <w:r>
        <w:rPr>
          <w:rFonts w:cs="宋体" w:hint="eastAsia"/>
          <w:szCs w:val="21"/>
        </w:rPr>
        <w:t>：</w:t>
      </w:r>
      <w:r>
        <w:rPr>
          <w:rFonts w:hint="eastAsia"/>
          <w:kern w:val="0"/>
        </w:rPr>
        <w:t>果品蔬菜贮运保鲜产业存在主要问题。</w:t>
      </w:r>
      <w:r>
        <w:rPr>
          <w:szCs w:val="21"/>
        </w:rPr>
        <w:t xml:space="preserve"> </w:t>
      </w:r>
    </w:p>
    <w:p w14:paraId="4FA84EBA" w14:textId="77777777" w:rsidR="00F5289E" w:rsidRDefault="00C91173">
      <w:pPr>
        <w:spacing w:line="360" w:lineRule="auto"/>
        <w:ind w:firstLineChars="200" w:firstLine="422"/>
        <w:rPr>
          <w:szCs w:val="21"/>
        </w:rPr>
      </w:pPr>
      <w:r>
        <w:rPr>
          <w:b/>
          <w:szCs w:val="21"/>
        </w:rPr>
        <w:t xml:space="preserve">3. </w:t>
      </w:r>
      <w:r>
        <w:rPr>
          <w:rFonts w:cs="宋体" w:hint="eastAsia"/>
          <w:b/>
          <w:szCs w:val="20"/>
        </w:rPr>
        <w:t>一般</w:t>
      </w:r>
      <w:r>
        <w:rPr>
          <w:rFonts w:cs="宋体" w:hint="eastAsia"/>
          <w:b/>
          <w:szCs w:val="21"/>
        </w:rPr>
        <w:t>掌握</w:t>
      </w:r>
      <w:r>
        <w:rPr>
          <w:rFonts w:cs="宋体" w:hint="eastAsia"/>
          <w:szCs w:val="21"/>
        </w:rPr>
        <w:t>：</w:t>
      </w:r>
      <w:r>
        <w:rPr>
          <w:rFonts w:hint="eastAsia"/>
          <w:kern w:val="0"/>
        </w:rPr>
        <w:t>果品蔬菜贮运保鲜产业今后发展方向。</w:t>
      </w:r>
    </w:p>
    <w:p w14:paraId="06E119AE"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4A2CF1A" w14:textId="77777777" w:rsidR="00F5289E" w:rsidRDefault="00C91173">
      <w:pPr>
        <w:spacing w:line="360" w:lineRule="auto"/>
        <w:ind w:firstLineChars="200" w:firstLine="420"/>
      </w:pPr>
      <w:r>
        <w:rPr>
          <w:szCs w:val="20"/>
        </w:rPr>
        <w:t>1</w:t>
      </w:r>
      <w:r>
        <w:rPr>
          <w:rFonts w:cs="宋体" w:hint="eastAsia"/>
          <w:szCs w:val="20"/>
        </w:rPr>
        <w:t>．</w:t>
      </w:r>
      <w:r>
        <w:rPr>
          <w:rFonts w:ascii="宋体" w:hAnsi="宋体" w:hint="eastAsia"/>
          <w:kern w:val="0"/>
        </w:rPr>
        <w:t>园艺产品流通冷链环节组成、建设存在问题</w:t>
      </w:r>
      <w:r>
        <w:rPr>
          <w:rFonts w:cs="宋体" w:hint="eastAsia"/>
          <w:szCs w:val="20"/>
        </w:rPr>
        <w:t>。</w:t>
      </w:r>
    </w:p>
    <w:p w14:paraId="74EFD655" w14:textId="77777777" w:rsidR="00F5289E" w:rsidRDefault="00C91173">
      <w:pPr>
        <w:spacing w:line="360" w:lineRule="auto"/>
        <w:ind w:firstLineChars="200" w:firstLine="420"/>
      </w:pPr>
      <w:r>
        <w:rPr>
          <w:szCs w:val="20"/>
        </w:rPr>
        <w:t>2</w:t>
      </w:r>
      <w:r>
        <w:rPr>
          <w:rFonts w:cs="宋体" w:hint="eastAsia"/>
          <w:szCs w:val="20"/>
        </w:rPr>
        <w:t>．</w:t>
      </w:r>
      <w:r>
        <w:rPr>
          <w:rFonts w:ascii="宋体" w:hAnsi="宋体" w:hint="eastAsia"/>
          <w:kern w:val="0"/>
        </w:rPr>
        <w:t>引起产品采后损失的主要原因及解决措施</w:t>
      </w:r>
      <w:r>
        <w:rPr>
          <w:rFonts w:cs="宋体" w:hint="eastAsia"/>
          <w:szCs w:val="20"/>
        </w:rPr>
        <w:t>。</w:t>
      </w:r>
    </w:p>
    <w:p w14:paraId="2FFE7C6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50F8640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1</w:t>
      </w:r>
      <w:r>
        <w:rPr>
          <w:rFonts w:ascii="宋体" w:hAnsi="宋体" w:hint="eastAsia"/>
          <w:b/>
          <w:szCs w:val="21"/>
        </w:rPr>
        <w:t>.领会</w:t>
      </w:r>
      <w:r>
        <w:rPr>
          <w:rFonts w:ascii="宋体" w:hAnsi="宋体" w:hint="eastAsia"/>
          <w:szCs w:val="21"/>
        </w:rPr>
        <w:t>：</w:t>
      </w:r>
      <w:r>
        <w:rPr>
          <w:rFonts w:hint="eastAsia"/>
          <w:kern w:val="0"/>
        </w:rPr>
        <w:t>果品蔬菜贮运保鲜的意义</w:t>
      </w:r>
      <w:r>
        <w:rPr>
          <w:rFonts w:cs="宋体" w:hint="eastAsia"/>
          <w:szCs w:val="20"/>
        </w:rPr>
        <w:t>。</w:t>
      </w:r>
    </w:p>
    <w:p w14:paraId="64230343"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2</w:t>
      </w:r>
      <w:r>
        <w:rPr>
          <w:rFonts w:ascii="宋体" w:hAnsi="宋体" w:hint="eastAsia"/>
          <w:b/>
          <w:szCs w:val="21"/>
        </w:rPr>
        <w:t>.应用</w:t>
      </w:r>
      <w:r>
        <w:rPr>
          <w:rFonts w:ascii="宋体" w:hAnsi="宋体" w:hint="eastAsia"/>
          <w:szCs w:val="21"/>
        </w:rPr>
        <w:t>：应用</w:t>
      </w:r>
      <w:r>
        <w:rPr>
          <w:rFonts w:ascii="宋体" w:hAnsi="宋体"/>
          <w:szCs w:val="21"/>
        </w:rPr>
        <w:t>所学理论知识，</w:t>
      </w:r>
      <w:r>
        <w:rPr>
          <w:rFonts w:ascii="宋体" w:hAnsi="宋体" w:hint="eastAsia"/>
          <w:szCs w:val="21"/>
        </w:rPr>
        <w:t>对</w:t>
      </w:r>
      <w:r>
        <w:rPr>
          <w:rFonts w:ascii="宋体" w:hAnsi="宋体" w:cs="宋体" w:hint="eastAsia"/>
          <w:szCs w:val="20"/>
        </w:rPr>
        <w:t>果品蔬菜</w:t>
      </w:r>
      <w:r>
        <w:rPr>
          <w:rFonts w:ascii="宋体" w:hAnsi="宋体" w:cs="宋体"/>
          <w:szCs w:val="20"/>
        </w:rPr>
        <w:t>贮藏保鲜</w:t>
      </w:r>
      <w:r>
        <w:rPr>
          <w:rFonts w:ascii="宋体" w:hAnsi="宋体" w:cs="宋体" w:hint="eastAsia"/>
          <w:szCs w:val="20"/>
        </w:rPr>
        <w:t>技术</w:t>
      </w:r>
      <w:r>
        <w:rPr>
          <w:rFonts w:ascii="宋体" w:hAnsi="宋体" w:cs="宋体"/>
          <w:szCs w:val="20"/>
        </w:rPr>
        <w:t>的</w:t>
      </w:r>
      <w:r>
        <w:rPr>
          <w:rFonts w:ascii="宋体" w:hAnsi="宋体" w:cs="宋体" w:hint="eastAsia"/>
          <w:szCs w:val="20"/>
        </w:rPr>
        <w:t>进行</w:t>
      </w:r>
      <w:r>
        <w:rPr>
          <w:rFonts w:ascii="宋体" w:hAnsi="宋体" w:cs="宋体"/>
          <w:szCs w:val="20"/>
        </w:rPr>
        <w:t>改进和完善</w:t>
      </w:r>
      <w:r>
        <w:rPr>
          <w:rFonts w:cs="宋体" w:hint="eastAsia"/>
          <w:szCs w:val="20"/>
        </w:rPr>
        <w:t>。</w:t>
      </w:r>
    </w:p>
    <w:p w14:paraId="2E41188D"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3</w:t>
      </w:r>
      <w:r>
        <w:rPr>
          <w:rFonts w:ascii="宋体" w:hAnsi="宋体" w:hint="eastAsia"/>
          <w:b/>
          <w:szCs w:val="21"/>
        </w:rPr>
        <w:t>.综合</w:t>
      </w:r>
      <w:r>
        <w:rPr>
          <w:rFonts w:ascii="宋体" w:hAnsi="宋体" w:hint="eastAsia"/>
          <w:szCs w:val="21"/>
        </w:rPr>
        <w:t>：掌握</w:t>
      </w:r>
      <w:r>
        <w:rPr>
          <w:rFonts w:hint="eastAsia"/>
          <w:kern w:val="0"/>
        </w:rPr>
        <w:t>果品蔬菜贮运保鲜发展历程、产业现状以及</w:t>
      </w:r>
      <w:r>
        <w:rPr>
          <w:kern w:val="0"/>
        </w:rPr>
        <w:t>未来的发展方向</w:t>
      </w:r>
      <w:r>
        <w:rPr>
          <w:rFonts w:cs="宋体" w:hint="eastAsia"/>
          <w:szCs w:val="20"/>
        </w:rPr>
        <w:t>。</w:t>
      </w:r>
    </w:p>
    <w:p w14:paraId="1257B2B1" w14:textId="77777777" w:rsidR="00F5289E" w:rsidRDefault="00C91173">
      <w:pPr>
        <w:spacing w:line="360" w:lineRule="auto"/>
        <w:jc w:val="center"/>
        <w:rPr>
          <w:b/>
        </w:rPr>
      </w:pPr>
      <w:r>
        <w:rPr>
          <w:rFonts w:cs="宋体" w:hint="eastAsia"/>
          <w:b/>
          <w:szCs w:val="20"/>
        </w:rPr>
        <w:t>第一章</w:t>
      </w:r>
      <w:r>
        <w:rPr>
          <w:b/>
          <w:szCs w:val="20"/>
        </w:rPr>
        <w:t xml:space="preserve"> </w:t>
      </w:r>
      <w:r>
        <w:rPr>
          <w:rFonts w:hint="eastAsia"/>
          <w:b/>
          <w:szCs w:val="20"/>
        </w:rPr>
        <w:t xml:space="preserve"> </w:t>
      </w:r>
      <w:r>
        <w:rPr>
          <w:rFonts w:hAnsi="宋体" w:hint="eastAsia"/>
          <w:b/>
          <w:kern w:val="0"/>
        </w:rPr>
        <w:t>果品蔬菜的质量构成与评价</w:t>
      </w:r>
    </w:p>
    <w:p w14:paraId="496EDF2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D72E2FC" w14:textId="77777777" w:rsidR="00F5289E" w:rsidRDefault="00C91173">
      <w:pPr>
        <w:snapToGrid w:val="0"/>
        <w:spacing w:line="360" w:lineRule="auto"/>
        <w:ind w:firstLineChars="200" w:firstLine="422"/>
        <w:rPr>
          <w:szCs w:val="21"/>
        </w:rPr>
      </w:pPr>
      <w:r>
        <w:rPr>
          <w:b/>
          <w:szCs w:val="20"/>
        </w:rPr>
        <w:t xml:space="preserve">1. </w:t>
      </w:r>
      <w:r>
        <w:rPr>
          <w:rFonts w:cs="宋体" w:hint="eastAsia"/>
          <w:b/>
          <w:szCs w:val="20"/>
        </w:rPr>
        <w:t>一般了解</w:t>
      </w:r>
      <w:r>
        <w:rPr>
          <w:rFonts w:cs="宋体" w:hint="eastAsia"/>
          <w:bCs/>
          <w:szCs w:val="20"/>
        </w:rPr>
        <w:t>：</w:t>
      </w:r>
      <w:r>
        <w:rPr>
          <w:rFonts w:cs="宋体" w:hint="eastAsia"/>
          <w:szCs w:val="20"/>
        </w:rPr>
        <w:t>标</w:t>
      </w:r>
      <w:r>
        <w:rPr>
          <w:rFonts w:cs="宋体" w:hint="eastAsia"/>
          <w:szCs w:val="21"/>
        </w:rPr>
        <w:t>准的产生、</w:t>
      </w:r>
      <w:r>
        <w:rPr>
          <w:szCs w:val="21"/>
        </w:rPr>
        <w:t>HPCCP</w:t>
      </w:r>
      <w:r>
        <w:rPr>
          <w:rFonts w:cs="宋体" w:hint="eastAsia"/>
          <w:szCs w:val="21"/>
        </w:rPr>
        <w:t>质量管理体系。</w:t>
      </w:r>
    </w:p>
    <w:p w14:paraId="7B7AA9E5" w14:textId="77777777" w:rsidR="00F5289E" w:rsidRDefault="00C91173">
      <w:pPr>
        <w:spacing w:line="360" w:lineRule="auto"/>
        <w:ind w:firstLineChars="200" w:firstLine="422"/>
        <w:rPr>
          <w:szCs w:val="21"/>
        </w:rPr>
      </w:pPr>
      <w:r>
        <w:rPr>
          <w:b/>
          <w:szCs w:val="21"/>
        </w:rPr>
        <w:t xml:space="preserve">2. </w:t>
      </w:r>
      <w:r>
        <w:rPr>
          <w:rFonts w:cs="宋体" w:hint="eastAsia"/>
          <w:b/>
          <w:szCs w:val="21"/>
        </w:rPr>
        <w:t>一般掌握</w:t>
      </w:r>
      <w:r>
        <w:rPr>
          <w:rFonts w:cs="宋体" w:hint="eastAsia"/>
          <w:szCs w:val="21"/>
        </w:rPr>
        <w:t>：无公害果品蔬菜、绿色食品、有机食品定义及标准组成体系及技术管理特点。</w:t>
      </w:r>
      <w:r>
        <w:rPr>
          <w:szCs w:val="21"/>
        </w:rPr>
        <w:t xml:space="preserve"> </w:t>
      </w:r>
    </w:p>
    <w:p w14:paraId="2BD4B9EB" w14:textId="77777777" w:rsidR="00F5289E" w:rsidRDefault="00C91173">
      <w:pPr>
        <w:spacing w:line="360" w:lineRule="auto"/>
        <w:ind w:firstLineChars="200" w:firstLine="422"/>
        <w:rPr>
          <w:szCs w:val="21"/>
        </w:rPr>
      </w:pPr>
      <w:r>
        <w:rPr>
          <w:b/>
          <w:szCs w:val="21"/>
        </w:rPr>
        <w:lastRenderedPageBreak/>
        <w:t xml:space="preserve">3. </w:t>
      </w:r>
      <w:r>
        <w:rPr>
          <w:rFonts w:cs="宋体" w:hint="eastAsia"/>
          <w:b/>
          <w:szCs w:val="20"/>
        </w:rPr>
        <w:t>一般</w:t>
      </w:r>
      <w:r>
        <w:rPr>
          <w:rFonts w:cs="宋体" w:hint="eastAsia"/>
          <w:b/>
          <w:szCs w:val="21"/>
        </w:rPr>
        <w:t>掌握</w:t>
      </w:r>
      <w:r>
        <w:rPr>
          <w:rFonts w:cs="宋体" w:hint="eastAsia"/>
          <w:szCs w:val="21"/>
        </w:rPr>
        <w:t>：园艺产品质量构成、评价方法；评价果蔬的卫生质量指标、方法。</w:t>
      </w:r>
    </w:p>
    <w:p w14:paraId="1AED2C70"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7CE83C8" w14:textId="77777777" w:rsidR="00F5289E" w:rsidRDefault="00C91173">
      <w:pPr>
        <w:spacing w:line="360" w:lineRule="auto"/>
        <w:ind w:firstLineChars="200" w:firstLine="420"/>
      </w:pPr>
      <w:r>
        <w:rPr>
          <w:szCs w:val="20"/>
        </w:rPr>
        <w:t>1</w:t>
      </w:r>
      <w:r>
        <w:rPr>
          <w:rFonts w:cs="宋体" w:hint="eastAsia"/>
          <w:szCs w:val="20"/>
        </w:rPr>
        <w:t>．园艺产品质量构成。</w:t>
      </w:r>
    </w:p>
    <w:p w14:paraId="68A240E2" w14:textId="77777777" w:rsidR="00F5289E" w:rsidRDefault="00C91173">
      <w:pPr>
        <w:spacing w:line="360" w:lineRule="auto"/>
        <w:ind w:firstLineChars="200" w:firstLine="420"/>
      </w:pPr>
      <w:r>
        <w:rPr>
          <w:szCs w:val="20"/>
        </w:rPr>
        <w:t>2</w:t>
      </w:r>
      <w:r>
        <w:rPr>
          <w:rFonts w:cs="宋体" w:hint="eastAsia"/>
          <w:szCs w:val="20"/>
        </w:rPr>
        <w:t>．园艺产</w:t>
      </w:r>
      <w:r>
        <w:rPr>
          <w:rFonts w:ascii="宋体" w:hAnsi="宋体" w:cs="宋体" w:hint="eastAsia"/>
          <w:szCs w:val="20"/>
        </w:rPr>
        <w:t>品的“三品”标准、</w:t>
      </w:r>
      <w:r>
        <w:rPr>
          <w:rFonts w:cs="宋体" w:hint="eastAsia"/>
          <w:szCs w:val="20"/>
        </w:rPr>
        <w:t>生产技术及管理特点。</w:t>
      </w:r>
    </w:p>
    <w:p w14:paraId="33A004E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CE8F3D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1</w:t>
      </w:r>
      <w:r>
        <w:rPr>
          <w:rFonts w:ascii="宋体" w:hAnsi="宋体" w:hint="eastAsia"/>
          <w:b/>
          <w:szCs w:val="21"/>
        </w:rPr>
        <w:t>.领会</w:t>
      </w:r>
      <w:r>
        <w:rPr>
          <w:rFonts w:ascii="宋体" w:hAnsi="宋体" w:hint="eastAsia"/>
          <w:szCs w:val="21"/>
        </w:rPr>
        <w:t>：</w:t>
      </w:r>
      <w:r>
        <w:rPr>
          <w:rFonts w:cs="宋体" w:hint="eastAsia"/>
          <w:szCs w:val="20"/>
        </w:rPr>
        <w:t>果蔬质量的构成、评价果蔬质量的指标及方法。</w:t>
      </w:r>
    </w:p>
    <w:p w14:paraId="2FDFB52F"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2</w:t>
      </w:r>
      <w:r>
        <w:rPr>
          <w:rFonts w:ascii="宋体" w:hAnsi="宋体" w:hint="eastAsia"/>
          <w:b/>
          <w:szCs w:val="21"/>
        </w:rPr>
        <w:t>.应用</w:t>
      </w:r>
      <w:r>
        <w:rPr>
          <w:rFonts w:ascii="宋体" w:hAnsi="宋体" w:hint="eastAsia"/>
          <w:szCs w:val="21"/>
        </w:rPr>
        <w:t>：</w:t>
      </w:r>
      <w:r>
        <w:rPr>
          <w:rFonts w:ascii="宋体" w:hAnsi="宋体" w:cs="宋体" w:hint="eastAsia"/>
          <w:szCs w:val="20"/>
        </w:rPr>
        <w:t>根据“三品”标准体系特</w:t>
      </w:r>
      <w:r>
        <w:rPr>
          <w:rFonts w:cs="宋体" w:hint="eastAsia"/>
          <w:szCs w:val="20"/>
        </w:rPr>
        <w:t>点及申报程序，完成</w:t>
      </w:r>
      <w:r>
        <w:rPr>
          <w:szCs w:val="20"/>
        </w:rPr>
        <w:t>1-2</w:t>
      </w:r>
      <w:r>
        <w:rPr>
          <w:rFonts w:cs="宋体" w:hint="eastAsia"/>
          <w:szCs w:val="20"/>
        </w:rPr>
        <w:t>个果蔬三品申报案例。</w:t>
      </w:r>
    </w:p>
    <w:p w14:paraId="34368E63"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3</w:t>
      </w:r>
      <w:r>
        <w:rPr>
          <w:rFonts w:ascii="宋体" w:hAnsi="宋体" w:hint="eastAsia"/>
          <w:b/>
          <w:szCs w:val="21"/>
        </w:rPr>
        <w:t>.综合</w:t>
      </w:r>
      <w:r>
        <w:rPr>
          <w:rFonts w:ascii="宋体" w:hAnsi="宋体" w:hint="eastAsia"/>
          <w:szCs w:val="21"/>
        </w:rPr>
        <w:t>：</w:t>
      </w:r>
      <w:r>
        <w:rPr>
          <w:rFonts w:cs="宋体" w:hint="eastAsia"/>
          <w:szCs w:val="20"/>
        </w:rPr>
        <w:t>应</w:t>
      </w:r>
      <w:r>
        <w:rPr>
          <w:rFonts w:ascii="宋体" w:hAnsi="宋体" w:cs="宋体" w:hint="eastAsia"/>
          <w:szCs w:val="20"/>
        </w:rPr>
        <w:t>用“三品”标准组</w:t>
      </w:r>
      <w:r>
        <w:rPr>
          <w:rFonts w:cs="宋体" w:hint="eastAsia"/>
          <w:szCs w:val="20"/>
        </w:rPr>
        <w:t>成体系进行果蔬标准化生产，严格控制产品卫生指标。</w:t>
      </w:r>
    </w:p>
    <w:p w14:paraId="2C013C4A" w14:textId="77777777" w:rsidR="00F5289E" w:rsidRDefault="00F5289E">
      <w:pPr>
        <w:spacing w:line="360" w:lineRule="auto"/>
      </w:pPr>
    </w:p>
    <w:p w14:paraId="4672B1EF" w14:textId="77777777" w:rsidR="00F5289E" w:rsidRDefault="00C91173">
      <w:pPr>
        <w:spacing w:line="360" w:lineRule="auto"/>
        <w:jc w:val="center"/>
        <w:rPr>
          <w:b/>
        </w:rPr>
      </w:pPr>
      <w:r>
        <w:rPr>
          <w:rFonts w:cs="宋体" w:hint="eastAsia"/>
          <w:b/>
          <w:szCs w:val="20"/>
        </w:rPr>
        <w:t>第二章</w:t>
      </w:r>
      <w:r>
        <w:rPr>
          <w:b/>
          <w:szCs w:val="20"/>
        </w:rPr>
        <w:t xml:space="preserve">  </w:t>
      </w:r>
      <w:r>
        <w:rPr>
          <w:rFonts w:cs="宋体" w:hint="eastAsia"/>
          <w:b/>
          <w:szCs w:val="20"/>
        </w:rPr>
        <w:t>果品蔬菜的采后生理</w:t>
      </w:r>
    </w:p>
    <w:p w14:paraId="3920E981"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EAABEDF" w14:textId="77777777" w:rsidR="00F5289E" w:rsidRDefault="00C91173">
      <w:pPr>
        <w:spacing w:line="360" w:lineRule="auto"/>
        <w:ind w:firstLineChars="200" w:firstLine="422"/>
        <w:rPr>
          <w:sz w:val="24"/>
          <w:szCs w:val="20"/>
        </w:rPr>
      </w:pPr>
      <w:r>
        <w:rPr>
          <w:b/>
          <w:szCs w:val="20"/>
        </w:rPr>
        <w:t xml:space="preserve">1. </w:t>
      </w:r>
      <w:r>
        <w:rPr>
          <w:rFonts w:cs="宋体" w:hint="eastAsia"/>
          <w:b/>
          <w:szCs w:val="20"/>
        </w:rPr>
        <w:t>一般了解</w:t>
      </w:r>
      <w:r>
        <w:rPr>
          <w:rFonts w:cs="宋体" w:hint="eastAsia"/>
          <w:szCs w:val="20"/>
        </w:rPr>
        <w:t>：</w:t>
      </w:r>
      <w:r>
        <w:rPr>
          <w:rFonts w:cs="宋体" w:hint="eastAsia"/>
          <w:szCs w:val="21"/>
        </w:rPr>
        <w:t>了解果蔬成熟衰老的基本生理变化规律与果品蔬菜贮运保鲜的目的；休眠与蔬菜耐贮藏性的关系。</w:t>
      </w:r>
      <w:r>
        <w:rPr>
          <w:sz w:val="24"/>
          <w:szCs w:val="20"/>
        </w:rPr>
        <w:t xml:space="preserve"> </w:t>
      </w:r>
    </w:p>
    <w:p w14:paraId="37695604" w14:textId="77777777" w:rsidR="00F5289E" w:rsidRDefault="00C91173">
      <w:pPr>
        <w:spacing w:line="360" w:lineRule="auto"/>
        <w:ind w:firstLineChars="200" w:firstLine="422"/>
        <w:rPr>
          <w:bCs/>
        </w:rPr>
      </w:pPr>
      <w:r>
        <w:rPr>
          <w:b/>
          <w:szCs w:val="20"/>
        </w:rPr>
        <w:t xml:space="preserve">2. </w:t>
      </w:r>
      <w:r>
        <w:rPr>
          <w:rFonts w:cs="宋体" w:hint="eastAsia"/>
          <w:b/>
          <w:szCs w:val="20"/>
        </w:rPr>
        <w:t>一般掌握</w:t>
      </w:r>
      <w:r>
        <w:rPr>
          <w:rFonts w:cs="宋体" w:hint="eastAsia"/>
          <w:bCs/>
          <w:szCs w:val="20"/>
        </w:rPr>
        <w:t>：成熟衰老中果蔬品质变化与采后生理的关系；呼吸作用实质与果品蔬菜贮运保鲜的意义。果品蔬菜蒸腾生理规律及贮藏中调控技术措施。</w:t>
      </w:r>
      <w:r>
        <w:rPr>
          <w:bCs/>
          <w:szCs w:val="20"/>
        </w:rPr>
        <w:t xml:space="preserve"> </w:t>
      </w:r>
    </w:p>
    <w:p w14:paraId="5F15AB99" w14:textId="77777777" w:rsidR="00F5289E" w:rsidRDefault="00C91173">
      <w:pPr>
        <w:spacing w:line="360" w:lineRule="auto"/>
        <w:ind w:firstLineChars="200" w:firstLine="422"/>
        <w:rPr>
          <w:sz w:val="24"/>
          <w:szCs w:val="20"/>
        </w:rPr>
      </w:pPr>
      <w:r>
        <w:rPr>
          <w:b/>
          <w:szCs w:val="20"/>
        </w:rPr>
        <w:t xml:space="preserve">3. </w:t>
      </w:r>
      <w:r>
        <w:rPr>
          <w:rFonts w:cs="宋体" w:hint="eastAsia"/>
          <w:b/>
          <w:szCs w:val="20"/>
        </w:rPr>
        <w:t>一般掌握</w:t>
      </w:r>
      <w:r>
        <w:rPr>
          <w:rFonts w:cs="宋体" w:hint="eastAsia"/>
          <w:szCs w:val="20"/>
        </w:rPr>
        <w:t>：呼吸生理及乙烯生物合成与后熟衰老变化规律、影响因素及各项调控技术措施。</w:t>
      </w:r>
    </w:p>
    <w:p w14:paraId="5D64E5B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2CEB013" w14:textId="77777777" w:rsidR="00F5289E" w:rsidRDefault="00C91173">
      <w:pPr>
        <w:snapToGrid w:val="0"/>
        <w:spacing w:line="360" w:lineRule="auto"/>
        <w:ind w:firstLineChars="200" w:firstLine="420"/>
      </w:pPr>
      <w:r>
        <w:rPr>
          <w:szCs w:val="20"/>
        </w:rPr>
        <w:t>1</w:t>
      </w:r>
      <w:r>
        <w:rPr>
          <w:rFonts w:cs="宋体" w:hint="eastAsia"/>
          <w:szCs w:val="20"/>
        </w:rPr>
        <w:t>．呼吸作用的实质、形式、生理意义：呼吸强度与呼吸高峰；呼吸作用与贮藏保鲜的关系；影响呼吸作用的因素；果实呼吸跃变与乙烯、贮藏的关系。</w:t>
      </w:r>
    </w:p>
    <w:p w14:paraId="4E457AA7" w14:textId="77777777" w:rsidR="00F5289E" w:rsidRDefault="00C91173">
      <w:pPr>
        <w:spacing w:line="360" w:lineRule="auto"/>
        <w:ind w:firstLineChars="200" w:firstLine="420"/>
      </w:pPr>
      <w:r>
        <w:rPr>
          <w:szCs w:val="20"/>
        </w:rPr>
        <w:t>2</w:t>
      </w:r>
      <w:r>
        <w:rPr>
          <w:rFonts w:cs="宋体" w:hint="eastAsia"/>
          <w:szCs w:val="20"/>
        </w:rPr>
        <w:t>．影响园艺产品蒸腾失水的内因、外因；贮运中产品结露原因、防止措施。</w:t>
      </w:r>
    </w:p>
    <w:p w14:paraId="5A7F49E3" w14:textId="77777777" w:rsidR="00F5289E" w:rsidRDefault="00C91173">
      <w:pPr>
        <w:spacing w:line="360" w:lineRule="auto"/>
        <w:ind w:firstLineChars="200" w:firstLine="420"/>
      </w:pPr>
      <w:r>
        <w:rPr>
          <w:szCs w:val="20"/>
        </w:rPr>
        <w:t>3</w:t>
      </w:r>
      <w:r>
        <w:rPr>
          <w:rFonts w:cs="宋体" w:hint="eastAsia"/>
          <w:szCs w:val="20"/>
        </w:rPr>
        <w:t>．成熟衰老中园艺产品品质变化与贮藏保鲜的关系及相关调控措施。</w:t>
      </w:r>
    </w:p>
    <w:p w14:paraId="6042658D" w14:textId="77777777" w:rsidR="00F5289E" w:rsidRDefault="00C91173">
      <w:pPr>
        <w:spacing w:line="360" w:lineRule="auto"/>
        <w:ind w:firstLineChars="200" w:firstLine="420"/>
      </w:pPr>
      <w:r>
        <w:rPr>
          <w:szCs w:val="20"/>
        </w:rPr>
        <w:t>4</w:t>
      </w:r>
      <w:r>
        <w:rPr>
          <w:rFonts w:cs="宋体" w:hint="eastAsia"/>
          <w:szCs w:val="20"/>
        </w:rPr>
        <w:t>．乙烯合成与成熟衰老关系及相关调控技术措施。</w:t>
      </w:r>
    </w:p>
    <w:p w14:paraId="6E3EB520" w14:textId="77777777" w:rsidR="00F5289E" w:rsidRDefault="00C91173">
      <w:pPr>
        <w:spacing w:line="360" w:lineRule="auto"/>
        <w:ind w:firstLineChars="200" w:firstLine="420"/>
      </w:pPr>
      <w:r>
        <w:rPr>
          <w:szCs w:val="20"/>
        </w:rPr>
        <w:t>5</w:t>
      </w:r>
      <w:r>
        <w:rPr>
          <w:rFonts w:cs="宋体" w:hint="eastAsia"/>
          <w:szCs w:val="20"/>
        </w:rPr>
        <w:t>．休眠特性与蔬菜贮藏中调控技术措施。</w:t>
      </w:r>
    </w:p>
    <w:p w14:paraId="76B783D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949824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cs="宋体" w:hint="eastAsia"/>
          <w:szCs w:val="20"/>
        </w:rPr>
        <w:t>呼吸作用、缺氧呼吸、呼吸跃变、呼吸高峰、非跃变型果实、呼吸系数、蒸腾作用、耐贮性、抗病性、</w:t>
      </w:r>
      <w:r>
        <w:rPr>
          <w:szCs w:val="20"/>
        </w:rPr>
        <w:t>RI</w:t>
      </w:r>
      <w:r>
        <w:rPr>
          <w:rFonts w:cs="宋体" w:hint="eastAsia"/>
          <w:szCs w:val="20"/>
        </w:rPr>
        <w:t>、</w:t>
      </w:r>
      <w:r>
        <w:rPr>
          <w:szCs w:val="20"/>
        </w:rPr>
        <w:t xml:space="preserve">maturation </w:t>
      </w:r>
      <w:r>
        <w:rPr>
          <w:rFonts w:cs="宋体" w:hint="eastAsia"/>
          <w:szCs w:val="20"/>
        </w:rPr>
        <w:t>、</w:t>
      </w:r>
      <w:r>
        <w:rPr>
          <w:szCs w:val="20"/>
        </w:rPr>
        <w:t xml:space="preserve">ripening </w:t>
      </w:r>
      <w:r>
        <w:rPr>
          <w:rFonts w:cs="宋体" w:hint="eastAsia"/>
          <w:szCs w:val="20"/>
        </w:rPr>
        <w:t>、</w:t>
      </w:r>
      <w:r>
        <w:rPr>
          <w:szCs w:val="20"/>
        </w:rPr>
        <w:t>senescence</w:t>
      </w:r>
      <w:r>
        <w:rPr>
          <w:rFonts w:cs="宋体" w:hint="eastAsia"/>
          <w:szCs w:val="20"/>
        </w:rPr>
        <w:t>。</w:t>
      </w:r>
    </w:p>
    <w:p w14:paraId="1417E065" w14:textId="77777777" w:rsidR="00F5289E" w:rsidRDefault="00C91173">
      <w:pPr>
        <w:spacing w:line="360" w:lineRule="auto"/>
        <w:ind w:firstLineChars="200" w:firstLine="422"/>
        <w:rPr>
          <w:sz w:val="24"/>
          <w:szCs w:val="20"/>
        </w:rPr>
      </w:pPr>
      <w:r>
        <w:rPr>
          <w:rFonts w:ascii="宋体" w:hAnsi="宋体" w:hint="eastAsia"/>
          <w:b/>
          <w:szCs w:val="21"/>
        </w:rPr>
        <w:t>2.领会</w:t>
      </w:r>
      <w:r>
        <w:rPr>
          <w:rFonts w:ascii="宋体" w:hAnsi="宋体" w:hint="eastAsia"/>
          <w:szCs w:val="21"/>
        </w:rPr>
        <w:t>：</w:t>
      </w:r>
      <w:r>
        <w:rPr>
          <w:rFonts w:cs="宋体" w:hint="eastAsia"/>
          <w:szCs w:val="20"/>
        </w:rPr>
        <w:t>呼吸作用实质及控制呼吸作用对于果品蔬菜贮运保鲜的意义；蔬菜休眠特性及贮藏中应用调控技术措施。</w:t>
      </w:r>
    </w:p>
    <w:p w14:paraId="73084D3E"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hint="eastAsia"/>
          <w:b/>
          <w:szCs w:val="21"/>
        </w:rPr>
        <w:lastRenderedPageBreak/>
        <w:t>3.应用</w:t>
      </w:r>
      <w:r>
        <w:rPr>
          <w:rFonts w:ascii="宋体" w:hAnsi="宋体" w:hint="eastAsia"/>
          <w:szCs w:val="21"/>
        </w:rPr>
        <w:t>：</w:t>
      </w:r>
      <w:r>
        <w:rPr>
          <w:rFonts w:cs="宋体" w:hint="eastAsia"/>
          <w:szCs w:val="20"/>
        </w:rPr>
        <w:t>根据呼吸跃变与采后成熟衰老关系，制订相关果蔬贮运调控措施；根据蒸腾代谢生理，制订减少贮运中果品蔬菜的失水与萎焉的各项技术措施。利用休眠特性延长蔬菜贮藏寿命的技术措施。</w:t>
      </w:r>
    </w:p>
    <w:p w14:paraId="20883976"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4</w:t>
      </w:r>
      <w:r>
        <w:rPr>
          <w:rFonts w:ascii="宋体" w:hAnsi="宋体" w:hint="eastAsia"/>
          <w:b/>
          <w:szCs w:val="21"/>
        </w:rPr>
        <w:t>.综合</w:t>
      </w:r>
      <w:r>
        <w:rPr>
          <w:rFonts w:ascii="宋体" w:hAnsi="宋体" w:hint="eastAsia"/>
          <w:szCs w:val="21"/>
        </w:rPr>
        <w:t>：</w:t>
      </w:r>
      <w:r>
        <w:rPr>
          <w:rFonts w:cs="宋体" w:hint="eastAsia"/>
          <w:szCs w:val="20"/>
        </w:rPr>
        <w:t>根据不同果蔬采后生理变化的规律特点，制订贮运实践中调控乙烯产生、作用效果的各项技术措施。</w:t>
      </w:r>
    </w:p>
    <w:p w14:paraId="25113A1D" w14:textId="77777777" w:rsidR="00F5289E" w:rsidRDefault="00C91173">
      <w:pPr>
        <w:spacing w:line="360" w:lineRule="auto"/>
        <w:jc w:val="center"/>
      </w:pPr>
      <w:r>
        <w:rPr>
          <w:rFonts w:cs="宋体" w:hint="eastAsia"/>
          <w:b/>
          <w:szCs w:val="20"/>
        </w:rPr>
        <w:t>第三章</w:t>
      </w:r>
      <w:r>
        <w:rPr>
          <w:b/>
          <w:szCs w:val="20"/>
        </w:rPr>
        <w:t xml:space="preserve">  </w:t>
      </w:r>
      <w:r>
        <w:rPr>
          <w:rFonts w:cs="宋体" w:hint="eastAsia"/>
          <w:b/>
          <w:szCs w:val="20"/>
        </w:rPr>
        <w:t>影响果品蔬菜耐藏性的因素</w:t>
      </w:r>
    </w:p>
    <w:p w14:paraId="20EF20A3"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0C3C63D" w14:textId="77777777" w:rsidR="00F5289E" w:rsidRDefault="00C91173">
      <w:pPr>
        <w:spacing w:line="360" w:lineRule="auto"/>
        <w:ind w:firstLineChars="200" w:firstLine="422"/>
      </w:pPr>
      <w:r>
        <w:rPr>
          <w:b/>
          <w:szCs w:val="20"/>
        </w:rPr>
        <w:t xml:space="preserve">1. </w:t>
      </w:r>
      <w:r>
        <w:rPr>
          <w:rFonts w:cs="宋体" w:hint="eastAsia"/>
          <w:b/>
          <w:szCs w:val="20"/>
        </w:rPr>
        <w:t>一般了解</w:t>
      </w:r>
      <w:r>
        <w:rPr>
          <w:rFonts w:cs="宋体" w:hint="eastAsia"/>
          <w:bCs/>
          <w:szCs w:val="20"/>
        </w:rPr>
        <w:t>：</w:t>
      </w:r>
      <w:r>
        <w:rPr>
          <w:rFonts w:cs="宋体" w:hint="eastAsia"/>
          <w:szCs w:val="20"/>
        </w:rPr>
        <w:t>了解影响果品蔬菜耐藏性的采前、采后因素组成。</w:t>
      </w:r>
    </w:p>
    <w:p w14:paraId="4198CE67" w14:textId="77777777" w:rsidR="00F5289E" w:rsidRDefault="00C91173">
      <w:pPr>
        <w:spacing w:line="360" w:lineRule="auto"/>
        <w:ind w:firstLineChars="200" w:firstLine="422"/>
      </w:pPr>
      <w:r>
        <w:rPr>
          <w:b/>
          <w:szCs w:val="20"/>
        </w:rPr>
        <w:t xml:space="preserve">2. </w:t>
      </w:r>
      <w:r>
        <w:rPr>
          <w:rFonts w:cs="宋体" w:hint="eastAsia"/>
          <w:b/>
          <w:szCs w:val="20"/>
        </w:rPr>
        <w:t>一般掌握</w:t>
      </w:r>
      <w:r>
        <w:rPr>
          <w:rFonts w:cs="宋体" w:hint="eastAsia"/>
          <w:bCs/>
          <w:szCs w:val="20"/>
        </w:rPr>
        <w:t>：</w:t>
      </w:r>
      <w:r>
        <w:rPr>
          <w:rFonts w:cs="宋体" w:hint="eastAsia"/>
          <w:szCs w:val="20"/>
        </w:rPr>
        <w:t>认识果品蔬菜贮藏保鲜是一项系统工程。</w:t>
      </w:r>
    </w:p>
    <w:p w14:paraId="1E3320C2" w14:textId="77777777" w:rsidR="00F5289E" w:rsidRDefault="00C91173">
      <w:pPr>
        <w:spacing w:line="360" w:lineRule="auto"/>
        <w:ind w:firstLineChars="200" w:firstLine="422"/>
      </w:pPr>
      <w:r>
        <w:rPr>
          <w:b/>
          <w:szCs w:val="20"/>
        </w:rPr>
        <w:t xml:space="preserve">3. </w:t>
      </w:r>
      <w:r>
        <w:rPr>
          <w:rFonts w:cs="宋体" w:hint="eastAsia"/>
          <w:b/>
          <w:szCs w:val="20"/>
        </w:rPr>
        <w:t>一般掌握</w:t>
      </w:r>
      <w:r>
        <w:rPr>
          <w:rFonts w:cs="宋体" w:hint="eastAsia"/>
          <w:bCs/>
          <w:szCs w:val="20"/>
        </w:rPr>
        <w:t>：</w:t>
      </w:r>
      <w:r>
        <w:rPr>
          <w:rFonts w:cs="宋体" w:hint="eastAsia"/>
          <w:szCs w:val="20"/>
        </w:rPr>
        <w:t>依据影响果品蔬菜耐藏性的因素，将其应用在果蔬的采前、采收、采后处理及贮藏运销各环节技术管理中，并对</w:t>
      </w:r>
      <w:r>
        <w:rPr>
          <w:szCs w:val="20"/>
        </w:rPr>
        <w:t>3</w:t>
      </w:r>
      <w:r>
        <w:rPr>
          <w:szCs w:val="20"/>
          <w:vertAlign w:val="subscript"/>
        </w:rPr>
        <w:t>~</w:t>
      </w:r>
      <w:r>
        <w:rPr>
          <w:szCs w:val="20"/>
        </w:rPr>
        <w:t>5</w:t>
      </w:r>
      <w:r>
        <w:rPr>
          <w:rFonts w:cs="宋体" w:hint="eastAsia"/>
          <w:szCs w:val="20"/>
        </w:rPr>
        <w:t>种常见的果品蔬菜的贮藏运销等环节提出建设性建议。</w:t>
      </w:r>
    </w:p>
    <w:p w14:paraId="2A7C7610"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3CA1783" w14:textId="77777777" w:rsidR="00F5289E" w:rsidRDefault="00C91173">
      <w:pPr>
        <w:spacing w:line="360" w:lineRule="auto"/>
        <w:ind w:firstLine="420"/>
      </w:pPr>
      <w:r>
        <w:rPr>
          <w:szCs w:val="20"/>
        </w:rPr>
        <w:t>1</w:t>
      </w:r>
      <w:r>
        <w:rPr>
          <w:rFonts w:cs="宋体" w:hint="eastAsia"/>
          <w:szCs w:val="20"/>
        </w:rPr>
        <w:t>．总结影响果蔬耐藏性的内在因素、生态因素及农业因素的组成。</w:t>
      </w:r>
    </w:p>
    <w:p w14:paraId="7AF4ABF1" w14:textId="77777777" w:rsidR="00F5289E" w:rsidRDefault="00C91173">
      <w:pPr>
        <w:spacing w:line="360" w:lineRule="auto"/>
        <w:ind w:firstLine="420"/>
      </w:pPr>
      <w:r>
        <w:rPr>
          <w:szCs w:val="20"/>
        </w:rPr>
        <w:t>2</w:t>
      </w:r>
      <w:r>
        <w:rPr>
          <w:rFonts w:cs="宋体" w:hint="eastAsia"/>
          <w:szCs w:val="20"/>
        </w:rPr>
        <w:t>．影响果蔬贮藏性的贮运环境因素。</w:t>
      </w:r>
    </w:p>
    <w:p w14:paraId="177534F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67D975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cs="宋体" w:hint="eastAsia"/>
          <w:szCs w:val="20"/>
        </w:rPr>
        <w:t>影响果蔬耐藏性的生态因素；栽培因素；贮藏环境因素。</w:t>
      </w:r>
    </w:p>
    <w:p w14:paraId="1B2298A7" w14:textId="77777777" w:rsidR="00F5289E" w:rsidRDefault="00C91173">
      <w:pPr>
        <w:snapToGrid w:val="0"/>
        <w:spacing w:beforeLines="50" w:before="156" w:line="360" w:lineRule="auto"/>
        <w:ind w:firstLineChars="200" w:firstLine="422"/>
        <w:rPr>
          <w:rFonts w:cs="宋体"/>
          <w:szCs w:val="20"/>
        </w:rPr>
      </w:pPr>
      <w:r>
        <w:rPr>
          <w:rFonts w:ascii="宋体" w:hAnsi="宋体" w:hint="eastAsia"/>
          <w:b/>
          <w:szCs w:val="21"/>
        </w:rPr>
        <w:t>2.领会</w:t>
      </w:r>
      <w:r>
        <w:rPr>
          <w:rFonts w:ascii="宋体" w:hAnsi="宋体" w:hint="eastAsia"/>
          <w:szCs w:val="21"/>
        </w:rPr>
        <w:t>：</w:t>
      </w:r>
      <w:r>
        <w:rPr>
          <w:rFonts w:cs="宋体" w:hint="eastAsia"/>
          <w:szCs w:val="20"/>
        </w:rPr>
        <w:t>果品蔬菜贮藏保鲜是一项系统工程。</w:t>
      </w:r>
    </w:p>
    <w:p w14:paraId="1947082D"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3</w:t>
      </w:r>
      <w:r>
        <w:rPr>
          <w:rFonts w:ascii="宋体" w:hAnsi="宋体" w:hint="eastAsia"/>
          <w:b/>
          <w:szCs w:val="21"/>
        </w:rPr>
        <w:t>.综合</w:t>
      </w:r>
      <w:r>
        <w:rPr>
          <w:rFonts w:ascii="宋体" w:hAnsi="宋体" w:hint="eastAsia"/>
          <w:szCs w:val="21"/>
        </w:rPr>
        <w:t>：</w:t>
      </w:r>
      <w:r>
        <w:rPr>
          <w:rFonts w:cs="宋体" w:hint="eastAsia"/>
          <w:szCs w:val="20"/>
        </w:rPr>
        <w:t>综合考虑影响果品蔬菜耐藏性的各类因素，制订贮运保鲜综合技术方案。</w:t>
      </w:r>
    </w:p>
    <w:p w14:paraId="55116117" w14:textId="77777777" w:rsidR="00F5289E" w:rsidRDefault="00C91173">
      <w:pPr>
        <w:spacing w:line="360" w:lineRule="auto"/>
        <w:jc w:val="center"/>
        <w:rPr>
          <w:b/>
        </w:rPr>
      </w:pPr>
      <w:r>
        <w:rPr>
          <w:rFonts w:cs="宋体" w:hint="eastAsia"/>
          <w:b/>
          <w:szCs w:val="20"/>
        </w:rPr>
        <w:t>第四章</w:t>
      </w:r>
      <w:r>
        <w:rPr>
          <w:b/>
          <w:szCs w:val="20"/>
        </w:rPr>
        <w:t xml:space="preserve">  </w:t>
      </w:r>
      <w:r>
        <w:rPr>
          <w:rFonts w:hAnsi="宋体" w:hint="eastAsia"/>
          <w:b/>
          <w:kern w:val="0"/>
        </w:rPr>
        <w:t>果品</w:t>
      </w:r>
      <w:r>
        <w:rPr>
          <w:rFonts w:hAnsi="宋体"/>
          <w:b/>
          <w:kern w:val="0"/>
        </w:rPr>
        <w:t>蔬菜的</w:t>
      </w:r>
      <w:r>
        <w:rPr>
          <w:rFonts w:hAnsi="宋体" w:hint="eastAsia"/>
          <w:b/>
          <w:kern w:val="0"/>
        </w:rPr>
        <w:t>采收和采后处理</w:t>
      </w:r>
    </w:p>
    <w:p w14:paraId="16C698C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BDFF9EF" w14:textId="77777777" w:rsidR="00F5289E" w:rsidRDefault="00C91173">
      <w:pPr>
        <w:spacing w:line="360" w:lineRule="auto"/>
        <w:ind w:firstLineChars="200" w:firstLine="422"/>
      </w:pPr>
      <w:r>
        <w:rPr>
          <w:b/>
          <w:szCs w:val="20"/>
        </w:rPr>
        <w:t xml:space="preserve">1. </w:t>
      </w:r>
      <w:r>
        <w:rPr>
          <w:rFonts w:cs="宋体" w:hint="eastAsia"/>
          <w:b/>
          <w:szCs w:val="20"/>
        </w:rPr>
        <w:t>一般了解</w:t>
      </w:r>
      <w:r>
        <w:rPr>
          <w:rFonts w:cs="宋体" w:hint="eastAsia"/>
          <w:bCs/>
          <w:szCs w:val="20"/>
        </w:rPr>
        <w:t>：</w:t>
      </w:r>
      <w:r>
        <w:rPr>
          <w:rFonts w:cs="宋体" w:hint="eastAsia"/>
          <w:szCs w:val="20"/>
        </w:rPr>
        <w:t>了解确定果品、蔬菜采收期的依据，采收方法、特点。</w:t>
      </w:r>
      <w:r>
        <w:rPr>
          <w:szCs w:val="20"/>
        </w:rPr>
        <w:t xml:space="preserve"> </w:t>
      </w:r>
    </w:p>
    <w:p w14:paraId="3A843864" w14:textId="77777777" w:rsidR="00F5289E" w:rsidRDefault="00C91173">
      <w:pPr>
        <w:snapToGrid w:val="0"/>
        <w:spacing w:line="360" w:lineRule="auto"/>
        <w:ind w:firstLineChars="200" w:firstLine="422"/>
      </w:pPr>
      <w:r>
        <w:rPr>
          <w:b/>
          <w:szCs w:val="20"/>
        </w:rPr>
        <w:t xml:space="preserve">2. </w:t>
      </w:r>
      <w:r>
        <w:rPr>
          <w:rFonts w:cs="宋体" w:hint="eastAsia"/>
          <w:b/>
          <w:szCs w:val="20"/>
        </w:rPr>
        <w:t>一般掌握</w:t>
      </w:r>
      <w:r>
        <w:rPr>
          <w:rFonts w:cs="宋体" w:hint="eastAsia"/>
          <w:bCs/>
          <w:szCs w:val="20"/>
        </w:rPr>
        <w:t>：</w:t>
      </w:r>
      <w:r>
        <w:rPr>
          <w:rFonts w:cs="宋体" w:hint="eastAsia"/>
          <w:szCs w:val="20"/>
        </w:rPr>
        <w:t>果品蔬菜成熟度的判断方法。</w:t>
      </w:r>
    </w:p>
    <w:p w14:paraId="7D7423C0" w14:textId="77777777" w:rsidR="00F5289E" w:rsidRDefault="00C91173">
      <w:pPr>
        <w:snapToGrid w:val="0"/>
        <w:spacing w:line="360" w:lineRule="auto"/>
        <w:ind w:firstLineChars="200" w:firstLine="422"/>
        <w:rPr>
          <w:b/>
        </w:rPr>
      </w:pPr>
      <w:r>
        <w:rPr>
          <w:b/>
          <w:szCs w:val="20"/>
        </w:rPr>
        <w:t xml:space="preserve">3. </w:t>
      </w:r>
      <w:r>
        <w:rPr>
          <w:rFonts w:cs="宋体" w:hint="eastAsia"/>
          <w:b/>
          <w:szCs w:val="20"/>
        </w:rPr>
        <w:t>熟练掌握</w:t>
      </w:r>
      <w:r>
        <w:rPr>
          <w:rFonts w:cs="宋体" w:hint="eastAsia"/>
          <w:bCs/>
          <w:szCs w:val="20"/>
        </w:rPr>
        <w:t>：</w:t>
      </w:r>
      <w:r>
        <w:rPr>
          <w:rFonts w:cs="宋体" w:hint="eastAsia"/>
          <w:szCs w:val="20"/>
        </w:rPr>
        <w:t>园艺产品采收的原则、采收成熟度的判断、果品蔬菜商品化处理程序作用及关键技术点。</w:t>
      </w:r>
    </w:p>
    <w:p w14:paraId="6B8C6B44"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4FC0CEA" w14:textId="77777777" w:rsidR="00F5289E" w:rsidRDefault="00C91173">
      <w:pPr>
        <w:spacing w:line="360" w:lineRule="auto"/>
        <w:ind w:firstLineChars="100" w:firstLine="210"/>
      </w:pPr>
      <w:r>
        <w:rPr>
          <w:szCs w:val="20"/>
        </w:rPr>
        <w:t>1</w:t>
      </w:r>
      <w:r>
        <w:rPr>
          <w:rFonts w:cs="宋体" w:hint="eastAsia"/>
          <w:szCs w:val="20"/>
        </w:rPr>
        <w:t>．果品、蔬菜采收的原则及采收成熟度的判断依据。</w:t>
      </w:r>
    </w:p>
    <w:p w14:paraId="54880E33" w14:textId="77777777" w:rsidR="00F5289E" w:rsidRDefault="00C91173">
      <w:pPr>
        <w:spacing w:line="360" w:lineRule="auto"/>
        <w:ind w:firstLineChars="100" w:firstLine="210"/>
      </w:pPr>
      <w:r>
        <w:rPr>
          <w:szCs w:val="20"/>
        </w:rPr>
        <w:t>2</w:t>
      </w:r>
      <w:r>
        <w:rPr>
          <w:rFonts w:cs="宋体" w:hint="eastAsia"/>
          <w:szCs w:val="20"/>
        </w:rPr>
        <w:t>．果品、蔬菜成熟度的判断方法。</w:t>
      </w:r>
    </w:p>
    <w:p w14:paraId="0295A647" w14:textId="77777777" w:rsidR="00F5289E" w:rsidRDefault="00C91173">
      <w:pPr>
        <w:spacing w:line="360" w:lineRule="auto"/>
        <w:ind w:firstLineChars="100" w:firstLine="210"/>
      </w:pPr>
      <w:r>
        <w:rPr>
          <w:rFonts w:hint="eastAsia"/>
          <w:szCs w:val="20"/>
        </w:rPr>
        <w:t>3</w:t>
      </w:r>
      <w:r>
        <w:rPr>
          <w:rFonts w:cs="宋体" w:hint="eastAsia"/>
          <w:szCs w:val="20"/>
        </w:rPr>
        <w:t>．果品、蔬菜商品化处理程序的作用及特点。</w:t>
      </w:r>
    </w:p>
    <w:p w14:paraId="4218ACE9" w14:textId="77777777" w:rsidR="00F5289E" w:rsidRDefault="00C91173">
      <w:pPr>
        <w:spacing w:line="360" w:lineRule="auto"/>
        <w:ind w:firstLineChars="100" w:firstLine="210"/>
      </w:pPr>
      <w:r>
        <w:rPr>
          <w:rFonts w:hint="eastAsia"/>
          <w:szCs w:val="20"/>
        </w:rPr>
        <w:t>4</w:t>
      </w:r>
      <w:r>
        <w:rPr>
          <w:rFonts w:cs="宋体" w:hint="eastAsia"/>
          <w:szCs w:val="20"/>
        </w:rPr>
        <w:t>．果品、蔬菜预冷方式及特点。</w:t>
      </w:r>
    </w:p>
    <w:p w14:paraId="47AE4C8D" w14:textId="77777777" w:rsidR="00F5289E" w:rsidRDefault="00C91173">
      <w:pPr>
        <w:spacing w:line="360" w:lineRule="auto"/>
        <w:ind w:firstLineChars="100" w:firstLine="210"/>
      </w:pPr>
      <w:r>
        <w:rPr>
          <w:rFonts w:hint="eastAsia"/>
          <w:szCs w:val="20"/>
        </w:rPr>
        <w:lastRenderedPageBreak/>
        <w:t>5</w:t>
      </w:r>
      <w:r>
        <w:rPr>
          <w:rFonts w:hint="eastAsia"/>
          <w:szCs w:val="20"/>
        </w:rPr>
        <w:t>．</w:t>
      </w:r>
      <w:r>
        <w:rPr>
          <w:rFonts w:cs="宋体" w:hint="eastAsia"/>
          <w:szCs w:val="20"/>
        </w:rPr>
        <w:t>果品、蔬菜包装类型及特点。</w:t>
      </w:r>
    </w:p>
    <w:p w14:paraId="04BB88E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97FCAE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cs="宋体" w:hint="eastAsia"/>
          <w:szCs w:val="20"/>
        </w:rPr>
        <w:t>判断成熟度的方法及采收成熟度的依据；果品蔬菜商品化处理程序；果品蔬菜预冷方式；果品蔬菜包装作用及方式。</w:t>
      </w:r>
    </w:p>
    <w:p w14:paraId="2698CB1A" w14:textId="77777777" w:rsidR="00F5289E" w:rsidRDefault="00C91173">
      <w:pPr>
        <w:spacing w:line="360" w:lineRule="auto"/>
        <w:ind w:firstLineChars="200" w:firstLine="422"/>
        <w:rPr>
          <w:b/>
        </w:rPr>
      </w:pPr>
      <w:r>
        <w:rPr>
          <w:rFonts w:ascii="宋体" w:hAnsi="宋体" w:hint="eastAsia"/>
          <w:b/>
          <w:szCs w:val="21"/>
        </w:rPr>
        <w:t>2.领会</w:t>
      </w:r>
      <w:r>
        <w:rPr>
          <w:rFonts w:ascii="宋体" w:hAnsi="宋体" w:hint="eastAsia"/>
          <w:szCs w:val="21"/>
        </w:rPr>
        <w:t>：</w:t>
      </w:r>
      <w:r>
        <w:rPr>
          <w:rFonts w:cs="宋体" w:hint="eastAsia"/>
          <w:szCs w:val="20"/>
        </w:rPr>
        <w:t>果品蔬菜商品化处理程序作用及技术操作管理关键。</w:t>
      </w:r>
    </w:p>
    <w:p w14:paraId="4EB47897" w14:textId="77777777" w:rsidR="00F5289E" w:rsidRDefault="00C91173">
      <w:pPr>
        <w:spacing w:line="360" w:lineRule="auto"/>
        <w:ind w:firstLineChars="200" w:firstLine="422"/>
        <w:rPr>
          <w:b/>
        </w:rPr>
      </w:pPr>
      <w:r>
        <w:rPr>
          <w:rFonts w:ascii="宋体" w:hAnsi="宋体" w:hint="eastAsia"/>
          <w:b/>
          <w:szCs w:val="21"/>
        </w:rPr>
        <w:t>3.应用</w:t>
      </w:r>
      <w:r>
        <w:rPr>
          <w:rFonts w:ascii="宋体" w:hAnsi="宋体" w:hint="eastAsia"/>
          <w:szCs w:val="21"/>
        </w:rPr>
        <w:t>：</w:t>
      </w:r>
      <w:r>
        <w:rPr>
          <w:rFonts w:cs="宋体" w:hint="eastAsia"/>
          <w:szCs w:val="20"/>
        </w:rPr>
        <w:t>确定常见果蔬的采收适期、制订柿子脱涩方案；香蕉、番茄等果实催熟技术措施方案。根据果品蔬菜本身特点，确定预冷方式及技术参数。</w:t>
      </w:r>
    </w:p>
    <w:p w14:paraId="7C831204" w14:textId="77777777" w:rsidR="00F5289E" w:rsidRDefault="00C91173">
      <w:pPr>
        <w:spacing w:line="360" w:lineRule="auto"/>
        <w:ind w:firstLineChars="200" w:firstLine="422"/>
        <w:rPr>
          <w:b/>
        </w:rPr>
      </w:pPr>
      <w:r>
        <w:rPr>
          <w:rFonts w:ascii="宋体" w:hAnsi="宋体"/>
          <w:b/>
          <w:szCs w:val="21"/>
        </w:rPr>
        <w:t>4</w:t>
      </w:r>
      <w:r>
        <w:rPr>
          <w:rFonts w:ascii="宋体" w:hAnsi="宋体" w:hint="eastAsia"/>
          <w:b/>
          <w:szCs w:val="21"/>
        </w:rPr>
        <w:t>.综合</w:t>
      </w:r>
      <w:r>
        <w:rPr>
          <w:rFonts w:ascii="宋体" w:hAnsi="宋体" w:hint="eastAsia"/>
          <w:szCs w:val="21"/>
        </w:rPr>
        <w:t>：</w:t>
      </w:r>
      <w:r>
        <w:rPr>
          <w:rFonts w:cs="宋体" w:hint="eastAsia"/>
          <w:szCs w:val="20"/>
        </w:rPr>
        <w:t>制订几种主要果品蔬菜商品化处理程序及关键技术操作流程。</w:t>
      </w:r>
      <w:r>
        <w:rPr>
          <w:b/>
          <w:szCs w:val="20"/>
        </w:rPr>
        <w:t xml:space="preserve"> </w:t>
      </w:r>
    </w:p>
    <w:p w14:paraId="4B572980" w14:textId="77777777" w:rsidR="00F5289E" w:rsidRDefault="00C91173">
      <w:pPr>
        <w:spacing w:line="360" w:lineRule="auto"/>
        <w:jc w:val="center"/>
        <w:rPr>
          <w:rFonts w:cs="宋体"/>
          <w:b/>
          <w:szCs w:val="20"/>
        </w:rPr>
      </w:pPr>
      <w:r>
        <w:rPr>
          <w:rFonts w:cs="宋体" w:hint="eastAsia"/>
          <w:b/>
          <w:szCs w:val="20"/>
        </w:rPr>
        <w:t>第五章</w:t>
      </w:r>
      <w:r>
        <w:rPr>
          <w:rFonts w:cs="宋体"/>
          <w:b/>
          <w:szCs w:val="20"/>
        </w:rPr>
        <w:t xml:space="preserve">  </w:t>
      </w:r>
      <w:r>
        <w:rPr>
          <w:rFonts w:cs="宋体" w:hint="eastAsia"/>
          <w:b/>
          <w:szCs w:val="20"/>
        </w:rPr>
        <w:t>果品蔬菜的物流</w:t>
      </w:r>
    </w:p>
    <w:p w14:paraId="69DFEBB0"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E61B71F" w14:textId="77777777" w:rsidR="00F5289E" w:rsidRDefault="00C91173">
      <w:pPr>
        <w:spacing w:line="360" w:lineRule="auto"/>
        <w:ind w:firstLineChars="200" w:firstLine="422"/>
      </w:pPr>
      <w:r>
        <w:rPr>
          <w:b/>
          <w:szCs w:val="20"/>
        </w:rPr>
        <w:t xml:space="preserve">1. </w:t>
      </w:r>
      <w:r>
        <w:rPr>
          <w:rFonts w:cs="宋体" w:hint="eastAsia"/>
          <w:b/>
          <w:szCs w:val="20"/>
        </w:rPr>
        <w:t>一般了解</w:t>
      </w:r>
      <w:r>
        <w:rPr>
          <w:rFonts w:cs="宋体" w:hint="eastAsia"/>
          <w:bCs/>
          <w:szCs w:val="20"/>
        </w:rPr>
        <w:t>：</w:t>
      </w:r>
      <w:r>
        <w:rPr>
          <w:rFonts w:cs="宋体" w:hint="eastAsia"/>
          <w:szCs w:val="20"/>
        </w:rPr>
        <w:t>了解物流概念及构成要素；了解果品、蔬菜常用运输方式及工具特点。运输中应注意的事项。</w:t>
      </w:r>
      <w:r>
        <w:rPr>
          <w:szCs w:val="20"/>
        </w:rPr>
        <w:t xml:space="preserve"> </w:t>
      </w:r>
    </w:p>
    <w:p w14:paraId="15BB0797" w14:textId="77777777" w:rsidR="00F5289E" w:rsidRDefault="00C91173">
      <w:pPr>
        <w:snapToGrid w:val="0"/>
        <w:spacing w:line="360" w:lineRule="auto"/>
        <w:ind w:firstLineChars="200" w:firstLine="422"/>
      </w:pPr>
      <w:r>
        <w:rPr>
          <w:b/>
          <w:szCs w:val="20"/>
        </w:rPr>
        <w:t xml:space="preserve">2. </w:t>
      </w:r>
      <w:r>
        <w:rPr>
          <w:rFonts w:cs="宋体" w:hint="eastAsia"/>
          <w:b/>
          <w:szCs w:val="20"/>
        </w:rPr>
        <w:t>一般掌握</w:t>
      </w:r>
      <w:r>
        <w:rPr>
          <w:rFonts w:cs="宋体" w:hint="eastAsia"/>
          <w:szCs w:val="20"/>
        </w:rPr>
        <w:t>：果品蔬菜运输基本要求、运输环境条件对果蔬质量的影响。</w:t>
      </w:r>
    </w:p>
    <w:p w14:paraId="431EF1D7" w14:textId="77777777" w:rsidR="00F5289E" w:rsidRDefault="00C91173">
      <w:pPr>
        <w:snapToGrid w:val="0"/>
        <w:spacing w:line="360" w:lineRule="auto"/>
        <w:ind w:firstLineChars="200" w:firstLine="422"/>
      </w:pPr>
      <w:r>
        <w:rPr>
          <w:b/>
          <w:szCs w:val="20"/>
        </w:rPr>
        <w:t xml:space="preserve">3. </w:t>
      </w:r>
      <w:r>
        <w:rPr>
          <w:rFonts w:cs="宋体" w:hint="eastAsia"/>
          <w:b/>
          <w:szCs w:val="20"/>
        </w:rPr>
        <w:t>一般掌握</w:t>
      </w:r>
      <w:r>
        <w:rPr>
          <w:rFonts w:cs="宋体" w:hint="eastAsia"/>
          <w:bCs/>
          <w:szCs w:val="20"/>
        </w:rPr>
        <w:t>：</w:t>
      </w:r>
      <w:r>
        <w:rPr>
          <w:rFonts w:cs="宋体" w:hint="eastAsia"/>
          <w:szCs w:val="20"/>
        </w:rPr>
        <w:t>影响振动的因素、运输振动对果蔬损伤的关系及其调控措施；果蔬产品冷链贮运流通体系组成、各环节运作原则及实现冷链的条件。</w:t>
      </w:r>
    </w:p>
    <w:p w14:paraId="1530919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34ED29C" w14:textId="77777777" w:rsidR="00F5289E" w:rsidRDefault="00C91173">
      <w:pPr>
        <w:spacing w:line="360" w:lineRule="auto"/>
        <w:ind w:left="206"/>
      </w:pPr>
      <w:r>
        <w:rPr>
          <w:szCs w:val="20"/>
        </w:rPr>
        <w:t>1</w:t>
      </w:r>
      <w:r>
        <w:rPr>
          <w:rFonts w:cs="宋体" w:hint="eastAsia"/>
          <w:szCs w:val="20"/>
        </w:rPr>
        <w:t>．物流概念；实现冷链的三</w:t>
      </w:r>
      <w:r>
        <w:rPr>
          <w:szCs w:val="20"/>
        </w:rPr>
        <w:t>P</w:t>
      </w:r>
      <w:r>
        <w:rPr>
          <w:rFonts w:cs="宋体" w:hint="eastAsia"/>
          <w:szCs w:val="20"/>
        </w:rPr>
        <w:t>、三</w:t>
      </w:r>
      <w:r>
        <w:rPr>
          <w:szCs w:val="20"/>
        </w:rPr>
        <w:t>C</w:t>
      </w:r>
      <w:r>
        <w:rPr>
          <w:rFonts w:cs="宋体" w:hint="eastAsia"/>
          <w:szCs w:val="20"/>
        </w:rPr>
        <w:t>、三</w:t>
      </w:r>
      <w:r>
        <w:rPr>
          <w:szCs w:val="20"/>
        </w:rPr>
        <w:t>T</w:t>
      </w:r>
      <w:r>
        <w:rPr>
          <w:rFonts w:cs="宋体" w:hint="eastAsia"/>
          <w:szCs w:val="20"/>
        </w:rPr>
        <w:t>及三</w:t>
      </w:r>
      <w:r>
        <w:rPr>
          <w:szCs w:val="20"/>
        </w:rPr>
        <w:t>Q</w:t>
      </w:r>
      <w:r>
        <w:rPr>
          <w:rFonts w:cs="宋体" w:hint="eastAsia"/>
          <w:szCs w:val="20"/>
        </w:rPr>
        <w:t>条件。</w:t>
      </w:r>
    </w:p>
    <w:p w14:paraId="01F26259" w14:textId="77777777" w:rsidR="00F5289E" w:rsidRDefault="00C91173">
      <w:pPr>
        <w:spacing w:line="360" w:lineRule="auto"/>
        <w:ind w:firstLineChars="100" w:firstLine="210"/>
      </w:pPr>
      <w:r>
        <w:rPr>
          <w:szCs w:val="20"/>
        </w:rPr>
        <w:t>2</w:t>
      </w:r>
      <w:r>
        <w:rPr>
          <w:rFonts w:cs="宋体" w:hint="eastAsia"/>
          <w:szCs w:val="20"/>
        </w:rPr>
        <w:t>．果品、蔬菜运输基本原则；运输方式及特点。</w:t>
      </w:r>
    </w:p>
    <w:p w14:paraId="4AB3A23C" w14:textId="77777777" w:rsidR="00F5289E" w:rsidRDefault="00C91173">
      <w:pPr>
        <w:spacing w:line="360" w:lineRule="auto"/>
        <w:ind w:firstLineChars="100" w:firstLine="210"/>
      </w:pPr>
      <w:r>
        <w:rPr>
          <w:szCs w:val="20"/>
        </w:rPr>
        <w:t>3</w:t>
      </w:r>
      <w:r>
        <w:rPr>
          <w:rFonts w:cs="宋体" w:hint="eastAsia"/>
          <w:szCs w:val="20"/>
        </w:rPr>
        <w:t>．运输振动与导致的果蔬损伤关系；运输环境条件对果蔬质量的影响。</w:t>
      </w:r>
    </w:p>
    <w:p w14:paraId="6863C795" w14:textId="77777777" w:rsidR="00F5289E" w:rsidRDefault="00C91173">
      <w:pPr>
        <w:spacing w:line="360" w:lineRule="auto"/>
        <w:ind w:firstLineChars="100" w:firstLine="210"/>
      </w:pPr>
      <w:r>
        <w:rPr>
          <w:szCs w:val="20"/>
        </w:rPr>
        <w:t>4</w:t>
      </w:r>
      <w:r>
        <w:rPr>
          <w:rFonts w:cs="宋体" w:hint="eastAsia"/>
          <w:szCs w:val="20"/>
        </w:rPr>
        <w:t>．果蔬冷链贮运流通体系组成、运作管理原则及实现冷链的条件。</w:t>
      </w:r>
    </w:p>
    <w:p w14:paraId="56EC97F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D8F9E39" w14:textId="77777777" w:rsidR="00F5289E" w:rsidRDefault="00C91173">
      <w:pPr>
        <w:spacing w:line="360" w:lineRule="auto"/>
        <w:ind w:firstLineChars="200" w:firstLine="422"/>
      </w:pPr>
      <w:r>
        <w:rPr>
          <w:rFonts w:ascii="宋体" w:hAnsi="宋体" w:hint="eastAsia"/>
          <w:b/>
          <w:szCs w:val="21"/>
        </w:rPr>
        <w:t>1.识记</w:t>
      </w:r>
      <w:r>
        <w:rPr>
          <w:rFonts w:ascii="宋体" w:hAnsi="宋体" w:hint="eastAsia"/>
          <w:szCs w:val="21"/>
        </w:rPr>
        <w:t>：</w:t>
      </w:r>
      <w:r>
        <w:rPr>
          <w:rFonts w:cs="宋体" w:hint="eastAsia"/>
          <w:szCs w:val="20"/>
        </w:rPr>
        <w:t>物流的概念及构成要素；运输振动与果蔬危害；果品蔬菜运输基本原则；实现冷链的三</w:t>
      </w:r>
      <w:r>
        <w:rPr>
          <w:szCs w:val="20"/>
        </w:rPr>
        <w:t xml:space="preserve"> P</w:t>
      </w:r>
      <w:r>
        <w:rPr>
          <w:rFonts w:cs="宋体" w:hint="eastAsia"/>
          <w:szCs w:val="20"/>
        </w:rPr>
        <w:t>、三</w:t>
      </w:r>
      <w:r>
        <w:rPr>
          <w:szCs w:val="20"/>
        </w:rPr>
        <w:t>C</w:t>
      </w:r>
      <w:r>
        <w:rPr>
          <w:rFonts w:cs="宋体" w:hint="eastAsia"/>
          <w:szCs w:val="20"/>
        </w:rPr>
        <w:t>、三</w:t>
      </w:r>
      <w:r>
        <w:rPr>
          <w:szCs w:val="20"/>
        </w:rPr>
        <w:t>T</w:t>
      </w:r>
      <w:r>
        <w:rPr>
          <w:rFonts w:cs="宋体" w:hint="eastAsia"/>
          <w:szCs w:val="20"/>
        </w:rPr>
        <w:t>及三</w:t>
      </w:r>
      <w:r>
        <w:rPr>
          <w:szCs w:val="20"/>
        </w:rPr>
        <w:t>Q</w:t>
      </w:r>
      <w:r>
        <w:rPr>
          <w:rFonts w:cs="宋体" w:hint="eastAsia"/>
          <w:szCs w:val="20"/>
        </w:rPr>
        <w:t>条件。</w:t>
      </w:r>
    </w:p>
    <w:p w14:paraId="19B5DE54"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cs="宋体" w:hint="eastAsia"/>
          <w:szCs w:val="20"/>
        </w:rPr>
        <w:t>实现果品蔬菜冷链流通体系各环节相互协调管理的关系，处理程序作用及技术操作管理关键。</w:t>
      </w:r>
    </w:p>
    <w:p w14:paraId="711F0C63" w14:textId="77777777" w:rsidR="00F5289E" w:rsidRDefault="00C91173">
      <w:pPr>
        <w:snapToGrid w:val="0"/>
        <w:spacing w:beforeLines="50" w:before="156" w:line="360" w:lineRule="auto"/>
        <w:ind w:firstLineChars="200" w:firstLine="422"/>
        <w:rPr>
          <w:rFonts w:cs="宋体"/>
          <w:szCs w:val="20"/>
        </w:rPr>
      </w:pPr>
      <w:r>
        <w:rPr>
          <w:rFonts w:ascii="宋体" w:hAnsi="宋体" w:hint="eastAsia"/>
          <w:b/>
          <w:szCs w:val="21"/>
        </w:rPr>
        <w:t>3.应用</w:t>
      </w:r>
      <w:r>
        <w:rPr>
          <w:rFonts w:ascii="宋体" w:hAnsi="宋体" w:hint="eastAsia"/>
          <w:szCs w:val="21"/>
        </w:rPr>
        <w:t>：</w:t>
      </w:r>
      <w:r>
        <w:rPr>
          <w:rFonts w:cs="宋体" w:hint="eastAsia"/>
          <w:szCs w:val="20"/>
        </w:rPr>
        <w:t>根据产品本身特性，制订</w:t>
      </w:r>
      <w:r>
        <w:rPr>
          <w:szCs w:val="20"/>
        </w:rPr>
        <w:t>2-3</w:t>
      </w:r>
      <w:r>
        <w:rPr>
          <w:rFonts w:cs="宋体" w:hint="eastAsia"/>
          <w:szCs w:val="20"/>
        </w:rPr>
        <w:t>种果品或蔬菜的冷链流通体系组成、运作操作环节及其关键技术参数。</w:t>
      </w:r>
    </w:p>
    <w:p w14:paraId="4F2B23EE" w14:textId="77777777" w:rsidR="00F5289E" w:rsidRDefault="00C91173">
      <w:pPr>
        <w:snapToGrid w:val="0"/>
        <w:spacing w:beforeLines="50" w:before="156" w:line="360" w:lineRule="auto"/>
        <w:ind w:firstLineChars="200" w:firstLine="422"/>
        <w:rPr>
          <w:rFonts w:ascii="宋体" w:hAnsi="宋体"/>
          <w:color w:val="0000FF"/>
          <w:szCs w:val="21"/>
        </w:rPr>
      </w:pPr>
      <w:r>
        <w:rPr>
          <w:rFonts w:ascii="宋体" w:hAnsi="宋体"/>
          <w:b/>
          <w:szCs w:val="21"/>
        </w:rPr>
        <w:t>4</w:t>
      </w:r>
      <w:r>
        <w:rPr>
          <w:rFonts w:ascii="宋体" w:hAnsi="宋体" w:hint="eastAsia"/>
          <w:b/>
          <w:szCs w:val="21"/>
        </w:rPr>
        <w:t>.综合</w:t>
      </w:r>
      <w:r>
        <w:rPr>
          <w:rFonts w:ascii="宋体" w:hAnsi="宋体" w:hint="eastAsia"/>
          <w:szCs w:val="21"/>
        </w:rPr>
        <w:t>：</w:t>
      </w:r>
      <w:r>
        <w:rPr>
          <w:rFonts w:cs="宋体" w:hint="eastAsia"/>
          <w:szCs w:val="20"/>
        </w:rPr>
        <w:t>从冷链贮运流通与果品蔬菜采后生理的关系，分析目前实现我国冷链流通体系的所需解决的技术关键及相关配套设备。</w:t>
      </w:r>
    </w:p>
    <w:p w14:paraId="450E45F1" w14:textId="77777777" w:rsidR="00F5289E" w:rsidRDefault="00C91173">
      <w:pPr>
        <w:spacing w:line="360" w:lineRule="auto"/>
        <w:ind w:firstLineChars="100" w:firstLine="211"/>
        <w:jc w:val="center"/>
        <w:rPr>
          <w:sz w:val="24"/>
          <w:szCs w:val="20"/>
        </w:rPr>
      </w:pPr>
      <w:r>
        <w:rPr>
          <w:rFonts w:cs="宋体" w:hint="eastAsia"/>
          <w:b/>
          <w:szCs w:val="20"/>
        </w:rPr>
        <w:lastRenderedPageBreak/>
        <w:t>第六章</w:t>
      </w:r>
      <w:r>
        <w:rPr>
          <w:b/>
          <w:szCs w:val="20"/>
        </w:rPr>
        <w:t xml:space="preserve">  </w:t>
      </w:r>
      <w:r>
        <w:rPr>
          <w:rFonts w:cs="宋体" w:hint="eastAsia"/>
          <w:b/>
          <w:szCs w:val="20"/>
        </w:rPr>
        <w:t>果品蔬菜贮藏方式与管理</w:t>
      </w:r>
    </w:p>
    <w:p w14:paraId="4F9DF848"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7A4AB1CD" w14:textId="77777777" w:rsidR="00F5289E" w:rsidRDefault="00C91173">
      <w:pPr>
        <w:spacing w:line="360" w:lineRule="auto"/>
        <w:ind w:firstLineChars="200" w:firstLine="422"/>
        <w:rPr>
          <w:b/>
        </w:rPr>
      </w:pPr>
      <w:r>
        <w:rPr>
          <w:b/>
          <w:szCs w:val="20"/>
        </w:rPr>
        <w:t xml:space="preserve">1. </w:t>
      </w:r>
      <w:r>
        <w:rPr>
          <w:rFonts w:cs="宋体" w:hint="eastAsia"/>
          <w:b/>
          <w:szCs w:val="20"/>
        </w:rPr>
        <w:t>一般了解</w:t>
      </w:r>
      <w:r>
        <w:rPr>
          <w:rFonts w:cs="宋体" w:hint="eastAsia"/>
          <w:bCs/>
          <w:szCs w:val="20"/>
        </w:rPr>
        <w:t>：</w:t>
      </w:r>
      <w:r>
        <w:rPr>
          <w:rFonts w:cs="宋体" w:hint="eastAsia"/>
          <w:szCs w:val="20"/>
        </w:rPr>
        <w:t>果品蔬菜主要贮藏方式（简易贮藏、冷藏、气调贮藏、减压贮藏）特点。</w:t>
      </w:r>
    </w:p>
    <w:p w14:paraId="1E9408E6" w14:textId="77777777" w:rsidR="00F5289E" w:rsidRDefault="00C91173">
      <w:pPr>
        <w:spacing w:line="360" w:lineRule="auto"/>
        <w:ind w:firstLineChars="200" w:firstLine="422"/>
        <w:rPr>
          <w:b/>
        </w:rPr>
      </w:pPr>
      <w:r>
        <w:rPr>
          <w:b/>
          <w:szCs w:val="20"/>
        </w:rPr>
        <w:t xml:space="preserve">2. </w:t>
      </w:r>
      <w:r>
        <w:rPr>
          <w:rFonts w:cs="宋体" w:hint="eastAsia"/>
          <w:b/>
          <w:szCs w:val="20"/>
        </w:rPr>
        <w:t>一般掌握</w:t>
      </w:r>
      <w:r>
        <w:rPr>
          <w:rFonts w:cs="宋体" w:hint="eastAsia"/>
          <w:bCs/>
          <w:szCs w:val="20"/>
        </w:rPr>
        <w:t>：</w:t>
      </w:r>
      <w:r>
        <w:rPr>
          <w:rFonts w:cs="宋体" w:hint="eastAsia"/>
          <w:szCs w:val="20"/>
        </w:rPr>
        <w:t>果品蔬菜几种简易贮藏设施及管理要点</w:t>
      </w:r>
      <w:r>
        <w:rPr>
          <w:rFonts w:cs="宋体" w:hint="eastAsia"/>
          <w:b/>
          <w:szCs w:val="20"/>
        </w:rPr>
        <w:t>。</w:t>
      </w:r>
    </w:p>
    <w:p w14:paraId="30262A1C" w14:textId="77777777" w:rsidR="00F5289E" w:rsidRDefault="00C91173">
      <w:pPr>
        <w:spacing w:line="360" w:lineRule="auto"/>
        <w:ind w:firstLineChars="200" w:firstLine="422"/>
      </w:pPr>
      <w:r>
        <w:rPr>
          <w:b/>
          <w:szCs w:val="20"/>
        </w:rPr>
        <w:t xml:space="preserve">3. </w:t>
      </w:r>
      <w:r>
        <w:rPr>
          <w:rFonts w:cs="宋体" w:hint="eastAsia"/>
          <w:b/>
          <w:szCs w:val="20"/>
        </w:rPr>
        <w:t>熟练掌握</w:t>
      </w:r>
      <w:r>
        <w:rPr>
          <w:rFonts w:cs="宋体" w:hint="eastAsia"/>
          <w:bCs/>
          <w:szCs w:val="20"/>
        </w:rPr>
        <w:t>：</w:t>
      </w:r>
      <w:r>
        <w:rPr>
          <w:rFonts w:cs="宋体" w:hint="eastAsia"/>
          <w:szCs w:val="20"/>
        </w:rPr>
        <w:t>机械冷藏、气调贮藏基本原理、贮藏设施特点、主要机械设备组成及贮藏管理技术环节，掌握冷库</w:t>
      </w:r>
      <w:r>
        <w:rPr>
          <w:rFonts w:cs="宋体"/>
          <w:szCs w:val="20"/>
        </w:rPr>
        <w:t>管理</w:t>
      </w:r>
      <w:r>
        <w:rPr>
          <w:rFonts w:cs="宋体" w:hint="eastAsia"/>
          <w:szCs w:val="20"/>
        </w:rPr>
        <w:t>相关</w:t>
      </w:r>
      <w:r>
        <w:rPr>
          <w:rFonts w:cs="宋体"/>
          <w:szCs w:val="20"/>
        </w:rPr>
        <w:t>技术</w:t>
      </w:r>
      <w:r>
        <w:rPr>
          <w:rFonts w:cs="宋体" w:hint="eastAsia"/>
          <w:szCs w:val="20"/>
        </w:rPr>
        <w:t>。</w:t>
      </w:r>
    </w:p>
    <w:p w14:paraId="432A43B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4775CC7B" w14:textId="77777777" w:rsidR="00F5289E" w:rsidRDefault="00C91173">
      <w:pPr>
        <w:widowControl/>
        <w:adjustRightInd w:val="0"/>
        <w:snapToGrid w:val="0"/>
        <w:spacing w:line="360" w:lineRule="auto"/>
        <w:ind w:firstLineChars="150" w:firstLine="315"/>
        <w:jc w:val="left"/>
      </w:pPr>
      <w:r>
        <w:rPr>
          <w:szCs w:val="20"/>
        </w:rPr>
        <w:t>1</w:t>
      </w:r>
      <w:r>
        <w:rPr>
          <w:rFonts w:cs="宋体" w:hint="eastAsia"/>
          <w:szCs w:val="20"/>
        </w:rPr>
        <w:t>．常温贮藏形式、特点及关键管理技术措施。</w:t>
      </w:r>
    </w:p>
    <w:p w14:paraId="0D325936" w14:textId="77777777" w:rsidR="00F5289E" w:rsidRDefault="00C91173">
      <w:pPr>
        <w:widowControl/>
        <w:adjustRightInd w:val="0"/>
        <w:snapToGrid w:val="0"/>
        <w:spacing w:line="360" w:lineRule="auto"/>
        <w:ind w:firstLineChars="150" w:firstLine="315"/>
        <w:jc w:val="left"/>
      </w:pPr>
      <w:r>
        <w:rPr>
          <w:szCs w:val="20"/>
        </w:rPr>
        <w:t>2</w:t>
      </w:r>
      <w:r>
        <w:rPr>
          <w:rFonts w:cs="宋体" w:hint="eastAsia"/>
          <w:szCs w:val="20"/>
        </w:rPr>
        <w:t>．土窑洞贮藏原理、结构改造特点及管理技术。</w:t>
      </w:r>
    </w:p>
    <w:p w14:paraId="5F952DE1" w14:textId="77777777" w:rsidR="00F5289E" w:rsidRDefault="00C91173">
      <w:pPr>
        <w:widowControl/>
        <w:adjustRightInd w:val="0"/>
        <w:snapToGrid w:val="0"/>
        <w:spacing w:line="360" w:lineRule="auto"/>
        <w:ind w:firstLineChars="150" w:firstLine="315"/>
        <w:jc w:val="left"/>
      </w:pPr>
      <w:r>
        <w:rPr>
          <w:szCs w:val="20"/>
        </w:rPr>
        <w:t>3</w:t>
      </w:r>
      <w:r>
        <w:rPr>
          <w:rFonts w:cs="宋体" w:hint="eastAsia"/>
          <w:szCs w:val="20"/>
        </w:rPr>
        <w:t>．机械制冷原理、设备组成、冷库建造特点及管理技术。</w:t>
      </w:r>
    </w:p>
    <w:p w14:paraId="790DF297" w14:textId="77777777" w:rsidR="00F5289E" w:rsidRDefault="00C91173">
      <w:pPr>
        <w:widowControl/>
        <w:adjustRightInd w:val="0"/>
        <w:snapToGrid w:val="0"/>
        <w:spacing w:line="360" w:lineRule="auto"/>
        <w:ind w:firstLineChars="150" w:firstLine="315"/>
        <w:jc w:val="left"/>
      </w:pPr>
      <w:r>
        <w:rPr>
          <w:szCs w:val="20"/>
        </w:rPr>
        <w:t>4</w:t>
      </w:r>
      <w:r>
        <w:rPr>
          <w:rFonts w:cs="宋体" w:hint="eastAsia"/>
          <w:szCs w:val="20"/>
        </w:rPr>
        <w:t>．气调贮藏原理、库体建造特点及</w:t>
      </w:r>
      <w:r>
        <w:rPr>
          <w:szCs w:val="20"/>
        </w:rPr>
        <w:t>CA</w:t>
      </w:r>
      <w:r>
        <w:rPr>
          <w:rFonts w:cs="宋体" w:hint="eastAsia"/>
          <w:szCs w:val="20"/>
        </w:rPr>
        <w:t>库设备组成和贮藏管理技术要点。</w:t>
      </w:r>
    </w:p>
    <w:p w14:paraId="2720939A" w14:textId="77777777" w:rsidR="00F5289E" w:rsidRDefault="00C91173">
      <w:pPr>
        <w:widowControl/>
        <w:adjustRightInd w:val="0"/>
        <w:snapToGrid w:val="0"/>
        <w:spacing w:line="360" w:lineRule="auto"/>
        <w:ind w:firstLineChars="150" w:firstLine="315"/>
        <w:jc w:val="left"/>
        <w:rPr>
          <w:rFonts w:cs="宋体"/>
          <w:szCs w:val="20"/>
        </w:rPr>
      </w:pPr>
      <w:r>
        <w:rPr>
          <w:szCs w:val="20"/>
        </w:rPr>
        <w:t>5</w:t>
      </w:r>
      <w:r>
        <w:rPr>
          <w:rFonts w:cs="宋体" w:hint="eastAsia"/>
          <w:szCs w:val="20"/>
        </w:rPr>
        <w:t>．减压贮藏、冰温贮藏原理、特点。</w:t>
      </w:r>
    </w:p>
    <w:p w14:paraId="27CB4174" w14:textId="77777777" w:rsidR="00F5289E" w:rsidRDefault="00C91173">
      <w:pPr>
        <w:widowControl/>
        <w:adjustRightInd w:val="0"/>
        <w:snapToGrid w:val="0"/>
        <w:spacing w:line="360" w:lineRule="auto"/>
        <w:ind w:firstLineChars="150" w:firstLine="315"/>
        <w:jc w:val="left"/>
        <w:rPr>
          <w:rFonts w:cs="宋体"/>
          <w:szCs w:val="20"/>
        </w:rPr>
      </w:pPr>
      <w:r>
        <w:rPr>
          <w:szCs w:val="20"/>
        </w:rPr>
        <w:t>6</w:t>
      </w:r>
      <w:r>
        <w:rPr>
          <w:rFonts w:cs="宋体" w:hint="eastAsia"/>
          <w:szCs w:val="20"/>
        </w:rPr>
        <w:t>．掌握冷库</w:t>
      </w:r>
      <w:r>
        <w:rPr>
          <w:rFonts w:cs="宋体"/>
          <w:szCs w:val="20"/>
        </w:rPr>
        <w:t>管理</w:t>
      </w:r>
      <w:r>
        <w:rPr>
          <w:rFonts w:cs="宋体" w:hint="eastAsia"/>
          <w:szCs w:val="20"/>
        </w:rPr>
        <w:t>相关</w:t>
      </w:r>
      <w:r>
        <w:rPr>
          <w:rFonts w:cs="宋体"/>
          <w:szCs w:val="20"/>
        </w:rPr>
        <w:t>技术</w:t>
      </w:r>
      <w:r>
        <w:rPr>
          <w:rFonts w:cs="宋体" w:hint="eastAsia"/>
          <w:szCs w:val="20"/>
        </w:rPr>
        <w:t>。</w:t>
      </w:r>
    </w:p>
    <w:p w14:paraId="3B9AD60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E12CBE6" w14:textId="77777777" w:rsidR="00F5289E" w:rsidRDefault="00C91173">
      <w:pPr>
        <w:widowControl/>
        <w:adjustRightInd w:val="0"/>
        <w:snapToGrid w:val="0"/>
        <w:spacing w:line="360" w:lineRule="auto"/>
        <w:ind w:firstLineChars="200" w:firstLine="422"/>
        <w:jc w:val="left"/>
      </w:pPr>
      <w:r>
        <w:rPr>
          <w:rFonts w:ascii="宋体" w:hAnsi="宋体" w:hint="eastAsia"/>
          <w:b/>
          <w:szCs w:val="21"/>
        </w:rPr>
        <w:t>1.识记</w:t>
      </w:r>
      <w:r>
        <w:rPr>
          <w:rFonts w:ascii="宋体" w:hAnsi="宋体" w:hint="eastAsia"/>
          <w:szCs w:val="21"/>
        </w:rPr>
        <w:t>：</w:t>
      </w:r>
      <w:r>
        <w:rPr>
          <w:rFonts w:cs="宋体" w:hint="eastAsia"/>
          <w:szCs w:val="20"/>
        </w:rPr>
        <w:t>通风库贮藏；机械冷藏；气调贮藏；</w:t>
      </w:r>
      <w:r>
        <w:rPr>
          <w:szCs w:val="20"/>
        </w:rPr>
        <w:t>MA</w:t>
      </w:r>
      <w:r>
        <w:rPr>
          <w:rFonts w:cs="宋体" w:hint="eastAsia"/>
          <w:szCs w:val="20"/>
        </w:rPr>
        <w:t>贮藏；减压贮藏、冰温贮藏定义。</w:t>
      </w:r>
    </w:p>
    <w:p w14:paraId="72251736"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cs="宋体" w:hint="eastAsia"/>
          <w:szCs w:val="20"/>
        </w:rPr>
        <w:t>常温贮藏在运用自然冷源方面的特点；机械制冷原理及设备组成；气调贮藏中温度和气体的综合作用对于果蔬贮藏保鲜的意义。</w:t>
      </w:r>
    </w:p>
    <w:p w14:paraId="13F85899" w14:textId="77777777" w:rsidR="00F5289E" w:rsidRDefault="00C91173">
      <w:pPr>
        <w:widowControl/>
        <w:adjustRightInd w:val="0"/>
        <w:snapToGrid w:val="0"/>
        <w:spacing w:line="360" w:lineRule="auto"/>
        <w:ind w:firstLineChars="200" w:firstLine="422"/>
        <w:jc w:val="left"/>
      </w:pPr>
      <w:r>
        <w:rPr>
          <w:rFonts w:ascii="宋体" w:hAnsi="宋体" w:hint="eastAsia"/>
          <w:b/>
          <w:szCs w:val="21"/>
        </w:rPr>
        <w:t>3.应用</w:t>
      </w:r>
      <w:r>
        <w:rPr>
          <w:rFonts w:ascii="宋体" w:hAnsi="宋体" w:hint="eastAsia"/>
          <w:szCs w:val="21"/>
        </w:rPr>
        <w:t>：</w:t>
      </w:r>
      <w:r>
        <w:rPr>
          <w:rFonts w:cs="宋体" w:hint="eastAsia"/>
          <w:szCs w:val="20"/>
        </w:rPr>
        <w:t>运用常温贮藏进行当地常见果蔬的短期保鲜；制订主要果蔬冷藏方案及管理技术关键。</w:t>
      </w:r>
    </w:p>
    <w:p w14:paraId="396BA14D" w14:textId="77777777" w:rsidR="00F5289E" w:rsidRDefault="00C91173">
      <w:pPr>
        <w:snapToGrid w:val="0"/>
        <w:spacing w:beforeLines="50" w:before="156" w:line="360" w:lineRule="auto"/>
        <w:ind w:firstLineChars="200" w:firstLine="422"/>
        <w:rPr>
          <w:rFonts w:cs="宋体"/>
          <w:b/>
          <w:szCs w:val="20"/>
        </w:rPr>
      </w:pPr>
      <w:r>
        <w:rPr>
          <w:rFonts w:ascii="宋体" w:hAnsi="宋体"/>
          <w:b/>
          <w:szCs w:val="21"/>
        </w:rPr>
        <w:t>4</w:t>
      </w:r>
      <w:r>
        <w:rPr>
          <w:rFonts w:ascii="宋体" w:hAnsi="宋体" w:hint="eastAsia"/>
          <w:b/>
          <w:szCs w:val="21"/>
        </w:rPr>
        <w:t>.综合</w:t>
      </w:r>
      <w:r>
        <w:rPr>
          <w:rFonts w:ascii="宋体" w:hAnsi="宋体" w:hint="eastAsia"/>
          <w:szCs w:val="21"/>
        </w:rPr>
        <w:t>：</w:t>
      </w:r>
      <w:r>
        <w:rPr>
          <w:rFonts w:cs="宋体" w:hint="eastAsia"/>
          <w:szCs w:val="20"/>
        </w:rPr>
        <w:t>根据果品蔬菜品种特点，制订其</w:t>
      </w:r>
      <w:r>
        <w:rPr>
          <w:szCs w:val="20"/>
        </w:rPr>
        <w:t>CA</w:t>
      </w:r>
      <w:r>
        <w:rPr>
          <w:rFonts w:cs="宋体" w:hint="eastAsia"/>
          <w:szCs w:val="20"/>
        </w:rPr>
        <w:t>贮藏方案及技术关键点；几种主要果蔬</w:t>
      </w:r>
      <w:r>
        <w:rPr>
          <w:szCs w:val="20"/>
        </w:rPr>
        <w:t xml:space="preserve"> MA</w:t>
      </w:r>
      <w:r>
        <w:rPr>
          <w:rFonts w:cs="宋体" w:hint="eastAsia"/>
          <w:szCs w:val="20"/>
        </w:rPr>
        <w:t>运输及销售包装的关键管理技术</w:t>
      </w:r>
      <w:r>
        <w:rPr>
          <w:rFonts w:cs="宋体" w:hint="eastAsia"/>
          <w:sz w:val="24"/>
          <w:szCs w:val="20"/>
        </w:rPr>
        <w:t>。</w:t>
      </w:r>
    </w:p>
    <w:p w14:paraId="7117D7E4" w14:textId="77777777" w:rsidR="00F5289E" w:rsidRDefault="00C91173">
      <w:pPr>
        <w:spacing w:line="360" w:lineRule="auto"/>
        <w:ind w:firstLineChars="100" w:firstLine="211"/>
        <w:jc w:val="center"/>
        <w:rPr>
          <w:sz w:val="24"/>
          <w:szCs w:val="20"/>
        </w:rPr>
      </w:pPr>
      <w:r>
        <w:rPr>
          <w:rFonts w:cs="宋体" w:hint="eastAsia"/>
          <w:b/>
          <w:szCs w:val="20"/>
        </w:rPr>
        <w:t>第七章</w:t>
      </w:r>
      <w:r>
        <w:rPr>
          <w:b/>
          <w:szCs w:val="20"/>
        </w:rPr>
        <w:t xml:space="preserve">  </w:t>
      </w:r>
      <w:r>
        <w:rPr>
          <w:rFonts w:cs="宋体" w:hint="eastAsia"/>
          <w:b/>
          <w:szCs w:val="20"/>
        </w:rPr>
        <w:t>各类果品、蔬菜、花卉贮藏</w:t>
      </w:r>
    </w:p>
    <w:p w14:paraId="3AC24CA0"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4B026746" w14:textId="77777777" w:rsidR="00F5289E" w:rsidRDefault="00C91173">
      <w:pPr>
        <w:spacing w:line="360" w:lineRule="auto"/>
        <w:ind w:firstLineChars="200" w:firstLine="422"/>
        <w:rPr>
          <w:b/>
        </w:rPr>
      </w:pPr>
      <w:r>
        <w:rPr>
          <w:b/>
          <w:szCs w:val="20"/>
        </w:rPr>
        <w:t xml:space="preserve">1. </w:t>
      </w:r>
      <w:r>
        <w:rPr>
          <w:rFonts w:cs="宋体" w:hint="eastAsia"/>
          <w:b/>
          <w:szCs w:val="20"/>
        </w:rPr>
        <w:t>一般了解</w:t>
      </w:r>
      <w:r>
        <w:rPr>
          <w:rFonts w:cs="宋体" w:hint="eastAsia"/>
          <w:bCs/>
          <w:szCs w:val="20"/>
        </w:rPr>
        <w:t>：</w:t>
      </w:r>
      <w:r>
        <w:rPr>
          <w:rFonts w:ascii="宋体" w:hAnsi="宋体" w:hint="eastAsia"/>
          <w:kern w:val="0"/>
        </w:rPr>
        <w:t>影响主要果品类（苹果、梨、香蕉、柑橘、葡萄、猕猴桃、大枣、核果类（桃、李、杏）、坚果类、浆果类（十字、石榴及草莓）贮藏特性；影响叶菜类（绿叶菜、甘蓝、芹菜）、果菜类（番茄、辣椒、茄子、菜豆和黄瓜、苦瓜、冬瓜和南瓜）、花菜类（花椰菜、青花菜、蒜薹）、地下茎类（萝卜和胡萝卜、马铃薯、洋葱、大蒜、山药）、西甜瓜的贮藏特性；了解常见鲜切花（康乃馨、菊花、非洲菊）等的贮运特性。</w:t>
      </w:r>
    </w:p>
    <w:p w14:paraId="3640B768" w14:textId="77777777" w:rsidR="00F5289E" w:rsidRDefault="00C91173">
      <w:pPr>
        <w:spacing w:line="360" w:lineRule="auto"/>
        <w:ind w:firstLineChars="200" w:firstLine="422"/>
        <w:rPr>
          <w:b/>
        </w:rPr>
      </w:pPr>
      <w:r>
        <w:rPr>
          <w:b/>
          <w:szCs w:val="20"/>
        </w:rPr>
        <w:t xml:space="preserve">2. </w:t>
      </w:r>
      <w:r>
        <w:rPr>
          <w:rFonts w:cs="宋体" w:hint="eastAsia"/>
          <w:b/>
          <w:szCs w:val="20"/>
        </w:rPr>
        <w:t>一般掌握</w:t>
      </w:r>
      <w:r>
        <w:rPr>
          <w:rFonts w:cs="宋体" w:hint="eastAsia"/>
          <w:bCs/>
          <w:szCs w:val="20"/>
        </w:rPr>
        <w:t>：</w:t>
      </w:r>
      <w:r>
        <w:rPr>
          <w:rFonts w:ascii="宋体" w:hAnsi="宋体" w:hint="eastAsia"/>
          <w:kern w:val="0"/>
        </w:rPr>
        <w:t>主要果品、蔬菜种类、常见几种鲜切花的贮藏技术及关键技术参数</w:t>
      </w:r>
      <w:r>
        <w:rPr>
          <w:rFonts w:cs="宋体" w:hint="eastAsia"/>
          <w:szCs w:val="20"/>
        </w:rPr>
        <w:t>。</w:t>
      </w:r>
    </w:p>
    <w:p w14:paraId="6BC8D57D" w14:textId="77777777" w:rsidR="00F5289E" w:rsidRDefault="00C91173">
      <w:pPr>
        <w:spacing w:line="360" w:lineRule="auto"/>
        <w:ind w:firstLineChars="200" w:firstLine="422"/>
      </w:pPr>
      <w:r>
        <w:rPr>
          <w:b/>
          <w:szCs w:val="20"/>
        </w:rPr>
        <w:t xml:space="preserve">3. </w:t>
      </w:r>
      <w:r>
        <w:rPr>
          <w:rFonts w:cs="宋体" w:hint="eastAsia"/>
          <w:b/>
          <w:szCs w:val="20"/>
        </w:rPr>
        <w:t>一般掌握</w:t>
      </w:r>
      <w:r>
        <w:rPr>
          <w:rFonts w:cs="宋体" w:hint="eastAsia"/>
          <w:bCs/>
          <w:szCs w:val="20"/>
        </w:rPr>
        <w:t>：</w:t>
      </w:r>
      <w:r>
        <w:rPr>
          <w:rFonts w:ascii="宋体" w:hAnsi="宋体" w:hint="eastAsia"/>
          <w:kern w:val="0"/>
        </w:rPr>
        <w:t>主要果品、蔬菜及常见几种鲜切花的商业贮藏技术、商品化处理主要程序及</w:t>
      </w:r>
      <w:r>
        <w:rPr>
          <w:rFonts w:hAnsi="宋体" w:hint="eastAsia"/>
          <w:kern w:val="0"/>
        </w:rPr>
        <w:t>冷</w:t>
      </w:r>
      <w:r>
        <w:rPr>
          <w:rFonts w:hAnsi="宋体" w:hint="eastAsia"/>
          <w:kern w:val="0"/>
        </w:rPr>
        <w:lastRenderedPageBreak/>
        <w:t>链</w:t>
      </w:r>
      <w:r>
        <w:rPr>
          <w:rFonts w:ascii="宋体" w:hAnsi="宋体" w:hint="eastAsia"/>
          <w:kern w:val="0"/>
        </w:rPr>
        <w:t>流通环节的技术关键及相关操作管理。</w:t>
      </w:r>
    </w:p>
    <w:p w14:paraId="12B30BE8"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9DC818B" w14:textId="77777777" w:rsidR="00F5289E" w:rsidRDefault="00C91173">
      <w:pPr>
        <w:widowControl/>
        <w:adjustRightInd w:val="0"/>
        <w:snapToGrid w:val="0"/>
        <w:spacing w:line="360" w:lineRule="auto"/>
        <w:ind w:firstLineChars="150" w:firstLine="315"/>
        <w:jc w:val="left"/>
      </w:pPr>
      <w:r>
        <w:rPr>
          <w:szCs w:val="20"/>
        </w:rPr>
        <w:t>1</w:t>
      </w:r>
      <w:r>
        <w:rPr>
          <w:rFonts w:cs="宋体" w:hint="eastAsia"/>
          <w:szCs w:val="20"/>
        </w:rPr>
        <w:t>．</w:t>
      </w:r>
      <w:r>
        <w:rPr>
          <w:rFonts w:ascii="宋体" w:hAnsi="宋体" w:hint="eastAsia"/>
          <w:kern w:val="0"/>
        </w:rPr>
        <w:t>主要果品的贮藏特性</w:t>
      </w:r>
      <w:r>
        <w:rPr>
          <w:rFonts w:ascii="宋体" w:hAnsi="宋体"/>
          <w:kern w:val="0"/>
        </w:rPr>
        <w:t>、方式以及技术要点</w:t>
      </w:r>
      <w:r>
        <w:rPr>
          <w:rFonts w:cs="宋体" w:hint="eastAsia"/>
          <w:szCs w:val="20"/>
        </w:rPr>
        <w:t>。</w:t>
      </w:r>
    </w:p>
    <w:p w14:paraId="1B62AF87" w14:textId="77777777" w:rsidR="00F5289E" w:rsidRDefault="00C91173">
      <w:pPr>
        <w:widowControl/>
        <w:adjustRightInd w:val="0"/>
        <w:snapToGrid w:val="0"/>
        <w:spacing w:line="360" w:lineRule="auto"/>
        <w:ind w:firstLineChars="150" w:firstLine="315"/>
        <w:jc w:val="left"/>
      </w:pPr>
      <w:r>
        <w:rPr>
          <w:szCs w:val="20"/>
        </w:rPr>
        <w:t>2</w:t>
      </w:r>
      <w:r>
        <w:rPr>
          <w:rFonts w:cs="宋体" w:hint="eastAsia"/>
          <w:szCs w:val="20"/>
        </w:rPr>
        <w:t>．</w:t>
      </w:r>
      <w:r>
        <w:rPr>
          <w:rFonts w:ascii="宋体" w:hAnsi="宋体" w:hint="eastAsia"/>
          <w:kern w:val="0"/>
        </w:rPr>
        <w:t>主要蔬菜的贮藏特性</w:t>
      </w:r>
      <w:r>
        <w:rPr>
          <w:rFonts w:ascii="宋体" w:hAnsi="宋体"/>
          <w:kern w:val="0"/>
        </w:rPr>
        <w:t>、方式以及技术要点</w:t>
      </w:r>
      <w:r>
        <w:rPr>
          <w:rFonts w:cs="宋体" w:hint="eastAsia"/>
          <w:szCs w:val="20"/>
        </w:rPr>
        <w:t>。</w:t>
      </w:r>
    </w:p>
    <w:p w14:paraId="33F4959A" w14:textId="77777777" w:rsidR="00F5289E" w:rsidRDefault="00C91173">
      <w:pPr>
        <w:widowControl/>
        <w:adjustRightInd w:val="0"/>
        <w:snapToGrid w:val="0"/>
        <w:spacing w:line="360" w:lineRule="auto"/>
        <w:ind w:firstLineChars="150" w:firstLine="315"/>
        <w:jc w:val="left"/>
      </w:pPr>
      <w:r>
        <w:rPr>
          <w:szCs w:val="20"/>
        </w:rPr>
        <w:t>3</w:t>
      </w:r>
      <w:r>
        <w:rPr>
          <w:rFonts w:cs="宋体" w:hint="eastAsia"/>
          <w:szCs w:val="20"/>
        </w:rPr>
        <w:t>．</w:t>
      </w:r>
      <w:r>
        <w:rPr>
          <w:rFonts w:ascii="宋体" w:hAnsi="宋体" w:hint="eastAsia"/>
          <w:kern w:val="0"/>
        </w:rPr>
        <w:t>常见鲜切花的贮藏特性</w:t>
      </w:r>
      <w:r>
        <w:rPr>
          <w:rFonts w:ascii="宋体" w:hAnsi="宋体"/>
          <w:kern w:val="0"/>
        </w:rPr>
        <w:t>、方式以及技术要点</w:t>
      </w:r>
      <w:r>
        <w:rPr>
          <w:rFonts w:cs="宋体" w:hint="eastAsia"/>
          <w:szCs w:val="20"/>
        </w:rPr>
        <w:t>。</w:t>
      </w:r>
    </w:p>
    <w:p w14:paraId="491BFA54" w14:textId="77777777" w:rsidR="00F5289E" w:rsidRDefault="00C91173">
      <w:pPr>
        <w:widowControl/>
        <w:adjustRightInd w:val="0"/>
        <w:snapToGrid w:val="0"/>
        <w:spacing w:line="360" w:lineRule="auto"/>
        <w:ind w:firstLineChars="150" w:firstLine="315"/>
        <w:jc w:val="left"/>
      </w:pPr>
      <w:r>
        <w:rPr>
          <w:szCs w:val="20"/>
        </w:rPr>
        <w:t>4</w:t>
      </w:r>
      <w:r>
        <w:rPr>
          <w:rFonts w:cs="宋体" w:hint="eastAsia"/>
          <w:szCs w:val="20"/>
        </w:rPr>
        <w:t>．影响鲜切果品蔬菜品质的</w:t>
      </w:r>
      <w:r>
        <w:rPr>
          <w:rFonts w:cs="宋体"/>
          <w:szCs w:val="20"/>
        </w:rPr>
        <w:t>因素</w:t>
      </w:r>
      <w:r>
        <w:rPr>
          <w:rFonts w:cs="宋体" w:hint="eastAsia"/>
          <w:szCs w:val="20"/>
        </w:rPr>
        <w:t>。</w:t>
      </w:r>
    </w:p>
    <w:p w14:paraId="515F49FF" w14:textId="77777777" w:rsidR="00F5289E" w:rsidRDefault="00C91173">
      <w:pPr>
        <w:widowControl/>
        <w:adjustRightInd w:val="0"/>
        <w:snapToGrid w:val="0"/>
        <w:spacing w:line="360" w:lineRule="auto"/>
        <w:ind w:firstLineChars="150" w:firstLine="315"/>
        <w:jc w:val="left"/>
        <w:rPr>
          <w:rFonts w:cs="宋体"/>
          <w:szCs w:val="20"/>
        </w:rPr>
      </w:pPr>
      <w:r>
        <w:rPr>
          <w:szCs w:val="20"/>
        </w:rPr>
        <w:t>5</w:t>
      </w:r>
      <w:r>
        <w:rPr>
          <w:rFonts w:cs="宋体" w:hint="eastAsia"/>
          <w:szCs w:val="20"/>
        </w:rPr>
        <w:t>．鲜切果品蔬菜的</w:t>
      </w:r>
      <w:r>
        <w:rPr>
          <w:rFonts w:cs="宋体"/>
          <w:szCs w:val="20"/>
        </w:rPr>
        <w:t>概念以及鲜切果品蔬菜加工以及</w:t>
      </w:r>
      <w:r>
        <w:rPr>
          <w:rFonts w:cs="宋体" w:hint="eastAsia"/>
          <w:szCs w:val="20"/>
        </w:rPr>
        <w:t>保鲜技术。</w:t>
      </w:r>
    </w:p>
    <w:p w14:paraId="4FA6A18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690062C" w14:textId="77777777" w:rsidR="00F5289E" w:rsidRDefault="00C91173">
      <w:pPr>
        <w:widowControl/>
        <w:adjustRightInd w:val="0"/>
        <w:snapToGrid w:val="0"/>
        <w:spacing w:line="360" w:lineRule="auto"/>
        <w:ind w:firstLineChars="200" w:firstLine="422"/>
        <w:jc w:val="left"/>
      </w:pPr>
      <w:r>
        <w:rPr>
          <w:rFonts w:ascii="宋体" w:hAnsi="宋体" w:hint="eastAsia"/>
          <w:b/>
          <w:szCs w:val="21"/>
        </w:rPr>
        <w:t>1.识记</w:t>
      </w:r>
      <w:r>
        <w:rPr>
          <w:rFonts w:ascii="宋体" w:hAnsi="宋体" w:hint="eastAsia"/>
          <w:szCs w:val="21"/>
        </w:rPr>
        <w:t>：</w:t>
      </w:r>
      <w:r>
        <w:rPr>
          <w:rFonts w:cs="宋体" w:hint="eastAsia"/>
          <w:szCs w:val="20"/>
        </w:rPr>
        <w:t>主要果品、蔬菜、花卉贮藏技术</w:t>
      </w:r>
      <w:r>
        <w:rPr>
          <w:rFonts w:cs="宋体"/>
          <w:szCs w:val="20"/>
        </w:rPr>
        <w:t>要点</w:t>
      </w:r>
      <w:r>
        <w:rPr>
          <w:rFonts w:cs="宋体" w:hint="eastAsia"/>
          <w:szCs w:val="20"/>
        </w:rPr>
        <w:t>。</w:t>
      </w:r>
    </w:p>
    <w:p w14:paraId="1E49941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cs="宋体" w:hint="eastAsia"/>
          <w:szCs w:val="20"/>
        </w:rPr>
        <w:t>主要果品、蔬菜、花卉贮藏的</w:t>
      </w:r>
      <w:r>
        <w:rPr>
          <w:rFonts w:cs="宋体"/>
          <w:szCs w:val="20"/>
        </w:rPr>
        <w:t>意义</w:t>
      </w:r>
      <w:r>
        <w:rPr>
          <w:rFonts w:cs="宋体" w:hint="eastAsia"/>
          <w:szCs w:val="20"/>
        </w:rPr>
        <w:t>。</w:t>
      </w:r>
    </w:p>
    <w:p w14:paraId="07C1E7A2" w14:textId="77777777" w:rsidR="00F5289E" w:rsidRDefault="00C91173">
      <w:pPr>
        <w:widowControl/>
        <w:adjustRightInd w:val="0"/>
        <w:snapToGrid w:val="0"/>
        <w:spacing w:line="360" w:lineRule="auto"/>
        <w:ind w:firstLineChars="200" w:firstLine="422"/>
        <w:jc w:val="left"/>
      </w:pPr>
      <w:r>
        <w:rPr>
          <w:rFonts w:ascii="宋体" w:hAnsi="宋体" w:hint="eastAsia"/>
          <w:b/>
          <w:szCs w:val="21"/>
        </w:rPr>
        <w:t>3.应用</w:t>
      </w:r>
      <w:r>
        <w:rPr>
          <w:rFonts w:ascii="宋体" w:hAnsi="宋体" w:hint="eastAsia"/>
          <w:szCs w:val="21"/>
        </w:rPr>
        <w:t>：</w:t>
      </w:r>
      <w:r>
        <w:rPr>
          <w:rFonts w:cs="宋体" w:hint="eastAsia"/>
          <w:szCs w:val="20"/>
        </w:rPr>
        <w:t>运用所学知识针对</w:t>
      </w:r>
      <w:r>
        <w:rPr>
          <w:rFonts w:cs="宋体"/>
          <w:szCs w:val="20"/>
        </w:rPr>
        <w:t>不同</w:t>
      </w:r>
      <w:r>
        <w:rPr>
          <w:rFonts w:cs="宋体" w:hint="eastAsia"/>
          <w:szCs w:val="20"/>
        </w:rPr>
        <w:t>果品、蔬菜以及花卉提出</w:t>
      </w:r>
      <w:r>
        <w:rPr>
          <w:rFonts w:cs="宋体"/>
          <w:szCs w:val="20"/>
        </w:rPr>
        <w:t>相应贮藏方式。</w:t>
      </w:r>
    </w:p>
    <w:p w14:paraId="34DFDFB5" w14:textId="77777777" w:rsidR="00F5289E" w:rsidRDefault="00C91173">
      <w:pPr>
        <w:snapToGrid w:val="0"/>
        <w:spacing w:beforeLines="50" w:before="156" w:line="360" w:lineRule="auto"/>
        <w:ind w:firstLineChars="200" w:firstLine="422"/>
        <w:rPr>
          <w:rFonts w:cs="宋体"/>
          <w:sz w:val="24"/>
          <w:szCs w:val="20"/>
        </w:rPr>
      </w:pPr>
      <w:r>
        <w:rPr>
          <w:rFonts w:ascii="宋体" w:hAnsi="宋体"/>
          <w:b/>
          <w:szCs w:val="21"/>
        </w:rPr>
        <w:t>4</w:t>
      </w:r>
      <w:r>
        <w:rPr>
          <w:rFonts w:ascii="宋体" w:hAnsi="宋体" w:hint="eastAsia"/>
          <w:b/>
          <w:szCs w:val="21"/>
        </w:rPr>
        <w:t>.综合</w:t>
      </w:r>
      <w:r>
        <w:rPr>
          <w:rFonts w:ascii="宋体" w:hAnsi="宋体" w:hint="eastAsia"/>
          <w:szCs w:val="21"/>
        </w:rPr>
        <w:t>：</w:t>
      </w:r>
      <w:r>
        <w:rPr>
          <w:rFonts w:cs="宋体" w:hint="eastAsia"/>
          <w:szCs w:val="20"/>
        </w:rPr>
        <w:t>综合本章</w:t>
      </w:r>
      <w:r>
        <w:rPr>
          <w:rFonts w:cs="宋体"/>
          <w:szCs w:val="20"/>
        </w:rPr>
        <w:t>内容，掌握</w:t>
      </w:r>
      <w:r>
        <w:rPr>
          <w:rFonts w:cs="宋体" w:hint="eastAsia"/>
          <w:szCs w:val="20"/>
        </w:rPr>
        <w:t>主要果品、蔬菜、花卉贮藏的贮藏</w:t>
      </w:r>
      <w:r>
        <w:rPr>
          <w:rFonts w:cs="宋体"/>
          <w:szCs w:val="20"/>
        </w:rPr>
        <w:t>技术特点以及方式。</w:t>
      </w:r>
      <w:r>
        <w:rPr>
          <w:rFonts w:cs="宋体" w:hint="eastAsia"/>
          <w:szCs w:val="20"/>
        </w:rPr>
        <w:t>能够</w:t>
      </w:r>
      <w:r>
        <w:rPr>
          <w:rFonts w:cs="宋体"/>
          <w:szCs w:val="20"/>
        </w:rPr>
        <w:t>针对不同</w:t>
      </w:r>
      <w:r>
        <w:rPr>
          <w:rFonts w:cs="宋体" w:hint="eastAsia"/>
          <w:szCs w:val="20"/>
        </w:rPr>
        <w:t>果品、蔬菜、花卉的</w:t>
      </w:r>
      <w:r>
        <w:rPr>
          <w:rFonts w:cs="宋体"/>
          <w:szCs w:val="20"/>
        </w:rPr>
        <w:t>特点提出个性化</w:t>
      </w:r>
      <w:r>
        <w:rPr>
          <w:rFonts w:cs="宋体" w:hint="eastAsia"/>
          <w:szCs w:val="20"/>
        </w:rPr>
        <w:t>贮藏</w:t>
      </w:r>
      <w:r>
        <w:rPr>
          <w:rFonts w:cs="宋体"/>
          <w:szCs w:val="20"/>
        </w:rPr>
        <w:t>方式，并对现有贮藏方式加以改进。</w:t>
      </w:r>
    </w:p>
    <w:p w14:paraId="0B9602E4" w14:textId="77777777" w:rsidR="00F5289E" w:rsidRDefault="00F5289E">
      <w:pPr>
        <w:snapToGrid w:val="0"/>
        <w:spacing w:beforeLines="50" w:before="156" w:line="360" w:lineRule="auto"/>
        <w:ind w:firstLineChars="200" w:firstLine="480"/>
        <w:rPr>
          <w:rFonts w:cs="宋体"/>
          <w:sz w:val="24"/>
          <w:szCs w:val="20"/>
        </w:rPr>
      </w:pPr>
    </w:p>
    <w:p w14:paraId="14F99A08" w14:textId="77777777" w:rsidR="00F5289E" w:rsidRDefault="00C91173">
      <w:pPr>
        <w:snapToGrid w:val="0"/>
        <w:spacing w:line="360" w:lineRule="auto"/>
        <w:rPr>
          <w:rFonts w:ascii="宋体" w:hAnsi="宋体"/>
          <w:b/>
          <w:szCs w:val="21"/>
        </w:rPr>
      </w:pPr>
      <w:r>
        <w:rPr>
          <w:rFonts w:ascii="宋体" w:hAnsi="宋体" w:hint="eastAsia"/>
          <w:b/>
          <w:szCs w:val="21"/>
        </w:rPr>
        <w:t>三、实验部分的考核要求</w:t>
      </w:r>
    </w:p>
    <w:p w14:paraId="4696D709" w14:textId="77777777" w:rsidR="00F5289E" w:rsidRDefault="00C91173">
      <w:pPr>
        <w:widowControl/>
        <w:adjustRightInd w:val="0"/>
        <w:snapToGrid w:val="0"/>
        <w:spacing w:line="360" w:lineRule="auto"/>
        <w:ind w:firstLineChars="200" w:firstLine="420"/>
        <w:jc w:val="left"/>
        <w:rPr>
          <w:rFonts w:ascii="宋体" w:hAnsi="宋体" w:cs="宋体"/>
          <w:bCs/>
          <w:kern w:val="0"/>
          <w:szCs w:val="21"/>
        </w:rPr>
      </w:pPr>
      <w:r>
        <w:rPr>
          <w:rFonts w:ascii="宋体" w:hAnsi="宋体" w:hint="eastAsia"/>
          <w:szCs w:val="21"/>
        </w:rPr>
        <w:t>实验部分以考勤、实验报告及与实验相关作业的形式进行考核，采用百分制评分，实验成绩占课程总成绩的20-</w:t>
      </w:r>
      <w:r>
        <w:rPr>
          <w:rFonts w:ascii="宋体" w:hAnsi="宋体"/>
          <w:szCs w:val="21"/>
        </w:rPr>
        <w:t>3</w:t>
      </w:r>
      <w:r>
        <w:rPr>
          <w:rFonts w:ascii="宋体" w:hAnsi="宋体" w:hint="eastAsia"/>
          <w:szCs w:val="21"/>
        </w:rPr>
        <w:t>0%。</w:t>
      </w:r>
    </w:p>
    <w:p w14:paraId="23C43B9A" w14:textId="77777777" w:rsidR="00F5289E" w:rsidRDefault="00C91173">
      <w:pPr>
        <w:snapToGrid w:val="0"/>
        <w:spacing w:line="360" w:lineRule="auto"/>
        <w:rPr>
          <w:rFonts w:ascii="宋体" w:hAnsi="宋体"/>
          <w:b/>
          <w:szCs w:val="21"/>
        </w:rPr>
      </w:pPr>
      <w:r>
        <w:rPr>
          <w:rFonts w:ascii="宋体" w:hAnsi="宋体" w:hint="eastAsia"/>
          <w:b/>
          <w:szCs w:val="21"/>
        </w:rPr>
        <w:t>四、考核方式</w:t>
      </w:r>
    </w:p>
    <w:p w14:paraId="3A2F59CA" w14:textId="77777777" w:rsidR="00F5289E" w:rsidRDefault="00C91173">
      <w:pPr>
        <w:adjustRightInd w:val="0"/>
        <w:snapToGrid w:val="0"/>
        <w:spacing w:line="360" w:lineRule="auto"/>
        <w:ind w:firstLineChars="147" w:firstLine="309"/>
        <w:rPr>
          <w:szCs w:val="21"/>
        </w:rPr>
      </w:pPr>
      <w:r>
        <w:rPr>
          <w:rFonts w:ascii="宋体" w:hAnsi="宋体" w:hint="eastAsia"/>
          <w:bCs/>
          <w:szCs w:val="21"/>
        </w:rPr>
        <w:t>（</w:t>
      </w:r>
      <w:r>
        <w:rPr>
          <w:rFonts w:hint="eastAsia"/>
          <w:szCs w:val="21"/>
        </w:rPr>
        <w:t>1</w:t>
      </w:r>
      <w:r>
        <w:rPr>
          <w:rFonts w:hint="eastAsia"/>
          <w:szCs w:val="21"/>
        </w:rPr>
        <w:t>）结合每章节的线上线下课程考核和课堂讨论，增加理论教学的过程性评价</w:t>
      </w:r>
    </w:p>
    <w:p w14:paraId="459461DD" w14:textId="77777777" w:rsidR="00F5289E" w:rsidRDefault="00C91173">
      <w:pPr>
        <w:adjustRightInd w:val="0"/>
        <w:snapToGrid w:val="0"/>
        <w:spacing w:line="360" w:lineRule="auto"/>
        <w:ind w:firstLineChars="147" w:firstLine="309"/>
        <w:rPr>
          <w:szCs w:val="21"/>
        </w:rPr>
      </w:pPr>
      <w:r>
        <w:rPr>
          <w:rFonts w:hint="eastAsia"/>
          <w:szCs w:val="21"/>
        </w:rPr>
        <w:t>平时成绩的考核增加每章节的线上线下知识点考核和课堂讨论，占比</w:t>
      </w:r>
      <w:r>
        <w:rPr>
          <w:rFonts w:hint="eastAsia"/>
          <w:szCs w:val="21"/>
        </w:rPr>
        <w:t>10%</w:t>
      </w:r>
      <w:r>
        <w:rPr>
          <w:rFonts w:hint="eastAsia"/>
          <w:szCs w:val="21"/>
        </w:rPr>
        <w:t>；</w:t>
      </w:r>
    </w:p>
    <w:p w14:paraId="687B4010" w14:textId="77777777" w:rsidR="00F5289E" w:rsidRDefault="00C91173">
      <w:pPr>
        <w:adjustRightInd w:val="0"/>
        <w:snapToGrid w:val="0"/>
        <w:spacing w:line="360" w:lineRule="auto"/>
        <w:ind w:firstLineChars="147" w:firstLine="309"/>
        <w:rPr>
          <w:szCs w:val="21"/>
        </w:rPr>
      </w:pPr>
      <w:r>
        <w:rPr>
          <w:rFonts w:hint="eastAsia"/>
          <w:szCs w:val="21"/>
        </w:rPr>
        <w:t>期末理论教学采用笔试，闭卷，考试时间为</w:t>
      </w:r>
      <w:r>
        <w:rPr>
          <w:rFonts w:hint="eastAsia"/>
          <w:szCs w:val="21"/>
        </w:rPr>
        <w:t>100</w:t>
      </w:r>
      <w:r>
        <w:rPr>
          <w:rFonts w:hint="eastAsia"/>
          <w:szCs w:val="21"/>
        </w:rPr>
        <w:t>分钟，在课程结束后的期末进行，占比</w:t>
      </w:r>
      <w:r>
        <w:rPr>
          <w:rFonts w:hint="eastAsia"/>
          <w:szCs w:val="21"/>
        </w:rPr>
        <w:t>50%</w:t>
      </w:r>
      <w:r>
        <w:rPr>
          <w:rFonts w:hint="eastAsia"/>
          <w:szCs w:val="21"/>
        </w:rPr>
        <w:t>。</w:t>
      </w:r>
    </w:p>
    <w:p w14:paraId="5B558B6A" w14:textId="77777777" w:rsidR="00F5289E" w:rsidRDefault="00C91173">
      <w:pPr>
        <w:adjustRightInd w:val="0"/>
        <w:snapToGrid w:val="0"/>
        <w:spacing w:line="360" w:lineRule="auto"/>
        <w:ind w:firstLineChars="147" w:firstLine="309"/>
        <w:rPr>
          <w:szCs w:val="21"/>
        </w:rPr>
      </w:pPr>
      <w:r>
        <w:rPr>
          <w:rFonts w:hint="eastAsia"/>
          <w:szCs w:val="21"/>
        </w:rPr>
        <w:t>（</w:t>
      </w:r>
      <w:r>
        <w:rPr>
          <w:rFonts w:hint="eastAsia"/>
          <w:szCs w:val="21"/>
        </w:rPr>
        <w:t>2</w:t>
      </w:r>
      <w:r>
        <w:rPr>
          <w:rFonts w:hint="eastAsia"/>
          <w:szCs w:val="21"/>
        </w:rPr>
        <w:t>）增加果蔬贮藏方法的案例教学，进行翻转课堂考核，拓宽课程考核的广度</w:t>
      </w:r>
    </w:p>
    <w:p w14:paraId="7BD24708" w14:textId="77777777" w:rsidR="00F5289E" w:rsidRDefault="00C91173">
      <w:pPr>
        <w:adjustRightInd w:val="0"/>
        <w:snapToGrid w:val="0"/>
        <w:spacing w:line="360" w:lineRule="auto"/>
        <w:ind w:firstLineChars="147" w:firstLine="309"/>
        <w:rPr>
          <w:color w:val="000000" w:themeColor="text1"/>
          <w:szCs w:val="21"/>
        </w:rPr>
      </w:pPr>
      <w:r>
        <w:rPr>
          <w:rFonts w:hint="eastAsia"/>
          <w:szCs w:val="21"/>
        </w:rPr>
        <w:t>增加果蔬贮藏方法的案例教学，采</w:t>
      </w:r>
      <w:r>
        <w:rPr>
          <w:rFonts w:hint="eastAsia"/>
          <w:color w:val="000000" w:themeColor="text1"/>
          <w:szCs w:val="21"/>
        </w:rPr>
        <w:t>用分小组（每组</w:t>
      </w:r>
      <w:r>
        <w:rPr>
          <w:color w:val="000000" w:themeColor="text1"/>
          <w:szCs w:val="21"/>
        </w:rPr>
        <w:t>2-4</w:t>
      </w:r>
      <w:r>
        <w:rPr>
          <w:rFonts w:hint="eastAsia"/>
          <w:color w:val="000000" w:themeColor="text1"/>
          <w:szCs w:val="21"/>
        </w:rPr>
        <w:t>人）进行课程相关内容的</w:t>
      </w:r>
      <w:r>
        <w:rPr>
          <w:color w:val="000000" w:themeColor="text1"/>
          <w:szCs w:val="21"/>
        </w:rPr>
        <w:t>PPT</w:t>
      </w:r>
      <w:r>
        <w:rPr>
          <w:rFonts w:hint="eastAsia"/>
          <w:color w:val="000000" w:themeColor="text1"/>
          <w:szCs w:val="21"/>
        </w:rPr>
        <w:t>制作和讲解，将理论教学内容和贮藏实践相结合，占比</w:t>
      </w:r>
      <w:r>
        <w:rPr>
          <w:color w:val="000000" w:themeColor="text1"/>
          <w:szCs w:val="21"/>
        </w:rPr>
        <w:t>10%</w:t>
      </w:r>
      <w:r>
        <w:rPr>
          <w:rFonts w:hint="eastAsia"/>
          <w:color w:val="000000" w:themeColor="text1"/>
          <w:szCs w:val="21"/>
        </w:rPr>
        <w:t>；</w:t>
      </w:r>
    </w:p>
    <w:p w14:paraId="4CFC02D4" w14:textId="77777777" w:rsidR="00F5289E" w:rsidRDefault="00C91173">
      <w:pPr>
        <w:adjustRightInd w:val="0"/>
        <w:snapToGrid w:val="0"/>
        <w:spacing w:line="360" w:lineRule="auto"/>
        <w:ind w:firstLineChars="147" w:firstLine="309"/>
        <w:rPr>
          <w:szCs w:val="21"/>
        </w:rPr>
      </w:pPr>
      <w:r>
        <w:rPr>
          <w:rFonts w:hint="eastAsia"/>
          <w:szCs w:val="21"/>
        </w:rPr>
        <w:t>实践教学采用实验操作技能和实验报告撰写的方式进行考评，占比</w:t>
      </w:r>
      <w:r>
        <w:rPr>
          <w:rFonts w:hint="eastAsia"/>
          <w:szCs w:val="21"/>
        </w:rPr>
        <w:t>30%</w:t>
      </w:r>
      <w:r>
        <w:rPr>
          <w:rFonts w:hint="eastAsia"/>
          <w:szCs w:val="21"/>
        </w:rPr>
        <w:t>。</w:t>
      </w:r>
    </w:p>
    <w:p w14:paraId="7B0561D8" w14:textId="77777777" w:rsidR="00F5289E" w:rsidRDefault="00C91173">
      <w:pPr>
        <w:adjustRightInd w:val="0"/>
        <w:snapToGrid w:val="0"/>
        <w:spacing w:line="360" w:lineRule="auto"/>
        <w:ind w:firstLineChars="147" w:firstLine="309"/>
        <w:rPr>
          <w:szCs w:val="21"/>
        </w:rPr>
      </w:pPr>
      <w:r>
        <w:rPr>
          <w:rFonts w:hint="eastAsia"/>
          <w:szCs w:val="21"/>
        </w:rPr>
        <w:t>（</w:t>
      </w:r>
      <w:r>
        <w:rPr>
          <w:rFonts w:hint="eastAsia"/>
          <w:szCs w:val="21"/>
        </w:rPr>
        <w:t>3</w:t>
      </w:r>
      <w:r>
        <w:rPr>
          <w:rFonts w:hint="eastAsia"/>
          <w:szCs w:val="21"/>
        </w:rPr>
        <w:t>）增加开放性试题的比例，加强综合性考核评价</w:t>
      </w:r>
    </w:p>
    <w:p w14:paraId="18878BB7" w14:textId="77777777" w:rsidR="00F5289E" w:rsidRDefault="00C91173">
      <w:pPr>
        <w:adjustRightInd w:val="0"/>
        <w:snapToGrid w:val="0"/>
        <w:spacing w:line="360" w:lineRule="auto"/>
        <w:ind w:firstLineChars="147" w:firstLine="309"/>
        <w:rPr>
          <w:szCs w:val="21"/>
        </w:rPr>
      </w:pPr>
      <w:r>
        <w:rPr>
          <w:rFonts w:hint="eastAsia"/>
          <w:szCs w:val="21"/>
        </w:rPr>
        <w:t>考试题型包括：名词解释、填空题、判断题、简答题和问答题等</w:t>
      </w:r>
      <w:r>
        <w:rPr>
          <w:rFonts w:hint="eastAsia"/>
          <w:szCs w:val="21"/>
        </w:rPr>
        <w:t>5</w:t>
      </w:r>
      <w:r>
        <w:rPr>
          <w:rFonts w:hint="eastAsia"/>
          <w:szCs w:val="21"/>
        </w:rPr>
        <w:t>种类型。问答题侧重能用理论知识结合实践进行应用评价，并与产业的发展相结合，重点考核和评价学生的综合应用能力。</w:t>
      </w:r>
    </w:p>
    <w:p w14:paraId="2307A2DB" w14:textId="77777777" w:rsidR="00F5289E" w:rsidRDefault="00C91173">
      <w:pPr>
        <w:snapToGrid w:val="0"/>
        <w:spacing w:line="360" w:lineRule="auto"/>
        <w:rPr>
          <w:rFonts w:ascii="宋体" w:hAnsi="宋体"/>
          <w:b/>
          <w:szCs w:val="21"/>
        </w:rPr>
      </w:pPr>
      <w:r>
        <w:rPr>
          <w:rFonts w:ascii="宋体" w:hAnsi="宋体" w:hint="eastAsia"/>
          <w:b/>
          <w:szCs w:val="21"/>
        </w:rPr>
        <w:t>五、成绩评定</w:t>
      </w:r>
    </w:p>
    <w:p w14:paraId="76FF67F3"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p>
    <w:p w14:paraId="3F43BE8D" w14:textId="77777777" w:rsidR="00F5289E" w:rsidRDefault="00C91173">
      <w:pPr>
        <w:snapToGrid w:val="0"/>
        <w:spacing w:line="360" w:lineRule="auto"/>
        <w:ind w:firstLineChars="200" w:firstLine="420"/>
        <w:rPr>
          <w:rFonts w:ascii="宋体" w:hAnsi="宋体"/>
          <w:bCs/>
          <w:szCs w:val="21"/>
        </w:rPr>
      </w:pPr>
      <w:r>
        <w:rPr>
          <w:rFonts w:ascii="宋体" w:hAnsi="宋体" w:hint="eastAsia"/>
        </w:rPr>
        <w:t>根据课堂表现、线上学习、课后作业、小组学习讨论等；</w:t>
      </w:r>
      <w:r>
        <w:rPr>
          <w:rFonts w:ascii="宋体" w:hAnsi="宋体" w:hint="eastAsia"/>
          <w:szCs w:val="21"/>
        </w:rPr>
        <w:t>所占比例10%。</w:t>
      </w:r>
    </w:p>
    <w:p w14:paraId="24F20902" w14:textId="77777777" w:rsidR="00F5289E" w:rsidRDefault="00C91173">
      <w:pPr>
        <w:snapToGrid w:val="0"/>
        <w:spacing w:line="360" w:lineRule="auto"/>
        <w:ind w:firstLineChars="200" w:firstLine="420"/>
        <w:rPr>
          <w:rFonts w:ascii="宋体" w:hAnsi="宋体"/>
        </w:rPr>
      </w:pPr>
      <w:r>
        <w:rPr>
          <w:rFonts w:ascii="宋体" w:hAnsi="宋体" w:hint="eastAsia"/>
        </w:rPr>
        <w:t>2.期中成绩</w:t>
      </w:r>
    </w:p>
    <w:p w14:paraId="745046C6" w14:textId="77777777" w:rsidR="00F5289E" w:rsidRDefault="00C91173">
      <w:pPr>
        <w:snapToGrid w:val="0"/>
        <w:spacing w:line="360" w:lineRule="auto"/>
        <w:ind w:firstLineChars="200" w:firstLine="420"/>
        <w:rPr>
          <w:rFonts w:ascii="宋体" w:hAnsi="宋体"/>
          <w:bCs/>
          <w:szCs w:val="21"/>
        </w:rPr>
      </w:pPr>
      <w:r>
        <w:rPr>
          <w:rFonts w:hint="eastAsia"/>
          <w:szCs w:val="21"/>
        </w:rPr>
        <w:lastRenderedPageBreak/>
        <w:t>采用</w:t>
      </w:r>
      <w:r>
        <w:rPr>
          <w:szCs w:val="21"/>
        </w:rPr>
        <w:t>分小组</w:t>
      </w:r>
      <w:r>
        <w:rPr>
          <w:rFonts w:hint="eastAsia"/>
          <w:szCs w:val="21"/>
        </w:rPr>
        <w:t>（每组</w:t>
      </w:r>
      <w:r>
        <w:rPr>
          <w:rFonts w:hint="eastAsia"/>
          <w:szCs w:val="21"/>
        </w:rPr>
        <w:t>2-4</w:t>
      </w:r>
      <w:r>
        <w:rPr>
          <w:rFonts w:hint="eastAsia"/>
          <w:szCs w:val="21"/>
        </w:rPr>
        <w:t>人）</w:t>
      </w:r>
      <w:r>
        <w:rPr>
          <w:szCs w:val="21"/>
        </w:rPr>
        <w:t>进行课程相关内容</w:t>
      </w:r>
      <w:r>
        <w:rPr>
          <w:rFonts w:hint="eastAsia"/>
          <w:szCs w:val="21"/>
        </w:rPr>
        <w:t>的</w:t>
      </w:r>
      <w:r>
        <w:rPr>
          <w:rFonts w:hint="eastAsia"/>
          <w:szCs w:val="21"/>
        </w:rPr>
        <w:t>PPT</w:t>
      </w:r>
      <w:r>
        <w:rPr>
          <w:rFonts w:hint="eastAsia"/>
          <w:szCs w:val="21"/>
        </w:rPr>
        <w:t>制作和</w:t>
      </w:r>
      <w:r>
        <w:rPr>
          <w:szCs w:val="21"/>
        </w:rPr>
        <w:t>讲解</w:t>
      </w:r>
      <w:r>
        <w:rPr>
          <w:rFonts w:hint="eastAsia"/>
          <w:szCs w:val="21"/>
        </w:rPr>
        <w:t>，占比</w:t>
      </w:r>
      <w:r>
        <w:rPr>
          <w:rFonts w:hint="eastAsia"/>
          <w:szCs w:val="21"/>
        </w:rPr>
        <w:t>10%</w:t>
      </w:r>
      <w:r>
        <w:rPr>
          <w:rFonts w:ascii="宋体" w:hAnsi="宋体" w:hint="eastAsia"/>
          <w:bCs/>
          <w:szCs w:val="21"/>
        </w:rPr>
        <w:t>。</w:t>
      </w:r>
    </w:p>
    <w:p w14:paraId="46B80AD9"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3.实践成绩</w:t>
      </w:r>
    </w:p>
    <w:p w14:paraId="1D84F67C" w14:textId="77777777" w:rsidR="00F5289E" w:rsidRDefault="00C91173">
      <w:pPr>
        <w:snapToGrid w:val="0"/>
        <w:spacing w:line="360" w:lineRule="auto"/>
        <w:ind w:firstLineChars="200" w:firstLine="420"/>
        <w:rPr>
          <w:rFonts w:ascii="宋体" w:hAnsi="宋体"/>
          <w:szCs w:val="21"/>
        </w:rPr>
      </w:pPr>
      <w:r>
        <w:rPr>
          <w:rFonts w:hint="eastAsia"/>
          <w:szCs w:val="21"/>
        </w:rPr>
        <w:t>实践教学采用实验操作技能和实验报告撰写的方式进行考评，占比</w:t>
      </w:r>
      <w:r>
        <w:rPr>
          <w:rFonts w:hint="eastAsia"/>
          <w:szCs w:val="21"/>
        </w:rPr>
        <w:t>30%</w:t>
      </w:r>
      <w:r>
        <w:rPr>
          <w:rFonts w:hint="eastAsia"/>
          <w:szCs w:val="21"/>
        </w:rPr>
        <w:t>。</w:t>
      </w:r>
    </w:p>
    <w:p w14:paraId="10F0A9BF" w14:textId="77777777" w:rsidR="00F5289E" w:rsidRDefault="00C91173">
      <w:pPr>
        <w:snapToGrid w:val="0"/>
        <w:spacing w:line="360" w:lineRule="auto"/>
        <w:ind w:firstLineChars="200" w:firstLine="420"/>
        <w:rPr>
          <w:rFonts w:ascii="宋体" w:hAnsi="宋体"/>
        </w:rPr>
      </w:pPr>
      <w:r>
        <w:rPr>
          <w:rFonts w:ascii="宋体" w:hAnsi="宋体" w:hint="eastAsia"/>
        </w:rPr>
        <w:t>4.期末成绩</w:t>
      </w:r>
    </w:p>
    <w:p w14:paraId="7BACCECA"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采用</w:t>
      </w:r>
      <w:r>
        <w:rPr>
          <w:rFonts w:ascii="宋体" w:hAnsi="宋体" w:hint="eastAsia"/>
          <w:szCs w:val="21"/>
        </w:rPr>
        <w:t>开卷考试、闭卷考试、线上考试、课程论文等考核方式，占比例50%。</w:t>
      </w:r>
    </w:p>
    <w:p w14:paraId="2F860362" w14:textId="77777777" w:rsidR="00F5289E" w:rsidRDefault="00C91173">
      <w:pPr>
        <w:snapToGrid w:val="0"/>
        <w:spacing w:line="360" w:lineRule="auto"/>
        <w:ind w:firstLineChars="200" w:firstLine="420"/>
        <w:rPr>
          <w:rFonts w:ascii="宋体" w:hAnsi="宋体"/>
        </w:rPr>
      </w:pPr>
      <w:r>
        <w:rPr>
          <w:rFonts w:ascii="宋体" w:hAnsi="宋体" w:hint="eastAsia"/>
        </w:rPr>
        <w:t>5.综合成绩</w:t>
      </w:r>
    </w:p>
    <w:p w14:paraId="433CA4F0"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平时成绩×10%+期中成绩×10%+实践成绩×30%+期末成绩×50%</w:t>
      </w:r>
    </w:p>
    <w:p w14:paraId="089058F7" w14:textId="77777777" w:rsidR="00F5289E" w:rsidRDefault="00C91173">
      <w:pPr>
        <w:snapToGrid w:val="0"/>
        <w:spacing w:line="360" w:lineRule="auto"/>
        <w:rPr>
          <w:rFonts w:ascii="宋体" w:hAnsi="宋体"/>
          <w:b/>
          <w:szCs w:val="21"/>
        </w:rPr>
      </w:pPr>
      <w:r>
        <w:rPr>
          <w:rFonts w:ascii="宋体" w:hAnsi="宋体" w:hint="eastAsia"/>
          <w:b/>
          <w:szCs w:val="21"/>
        </w:rPr>
        <w:t>六、考核结果分析反馈</w:t>
      </w:r>
    </w:p>
    <w:p w14:paraId="24B1C40A" w14:textId="77777777" w:rsidR="00F5289E" w:rsidRDefault="00C91173">
      <w:pPr>
        <w:snapToGrid w:val="0"/>
        <w:spacing w:line="360" w:lineRule="auto"/>
        <w:ind w:firstLineChars="200" w:firstLine="420"/>
        <w:rPr>
          <w:rFonts w:ascii="宋体" w:hAnsi="宋体"/>
          <w:bCs/>
          <w:szCs w:val="21"/>
        </w:rPr>
      </w:pPr>
      <w:r>
        <w:rPr>
          <w:rFonts w:hint="eastAsia"/>
        </w:rPr>
        <w:t>园艺产品采后处理学</w:t>
      </w:r>
      <w:r>
        <w:rPr>
          <w:rFonts w:ascii="宋体" w:hAnsi="宋体" w:hint="eastAsia"/>
          <w:bCs/>
          <w:szCs w:val="21"/>
        </w:rPr>
        <w:t>是一门理论知识丰富，</w:t>
      </w:r>
      <w:r>
        <w:rPr>
          <w:rFonts w:ascii="宋体" w:hAnsi="宋体"/>
          <w:bCs/>
          <w:szCs w:val="21"/>
        </w:rPr>
        <w:t>应用性较强</w:t>
      </w:r>
      <w:r>
        <w:rPr>
          <w:rFonts w:ascii="宋体" w:hAnsi="宋体" w:hint="eastAsia"/>
          <w:bCs/>
          <w:szCs w:val="21"/>
        </w:rPr>
        <w:t>且实验操作技能较多的</w:t>
      </w:r>
      <w:r>
        <w:rPr>
          <w:rFonts w:ascii="宋体" w:hAnsi="宋体"/>
          <w:bCs/>
          <w:szCs w:val="21"/>
        </w:rPr>
        <w:t>课程</w:t>
      </w:r>
      <w:r>
        <w:rPr>
          <w:rFonts w:ascii="宋体" w:hAnsi="宋体" w:hint="eastAsia"/>
          <w:bCs/>
          <w:szCs w:val="21"/>
        </w:rPr>
        <w:t>，理论与实践</w:t>
      </w:r>
      <w:r>
        <w:rPr>
          <w:rFonts w:ascii="宋体" w:hAnsi="宋体"/>
          <w:bCs/>
          <w:szCs w:val="21"/>
        </w:rPr>
        <w:t>相结合，</w:t>
      </w:r>
      <w:r>
        <w:rPr>
          <w:rFonts w:ascii="宋体" w:hAnsi="宋体" w:hint="eastAsia"/>
          <w:bCs/>
          <w:szCs w:val="21"/>
        </w:rPr>
        <w:t>能够</w:t>
      </w:r>
      <w:r>
        <w:rPr>
          <w:rFonts w:ascii="宋体" w:hAnsi="宋体"/>
          <w:bCs/>
          <w:szCs w:val="21"/>
        </w:rPr>
        <w:t>较好的</w:t>
      </w:r>
      <w:r>
        <w:rPr>
          <w:rFonts w:ascii="宋体" w:hAnsi="宋体" w:hint="eastAsia"/>
          <w:bCs/>
          <w:szCs w:val="21"/>
        </w:rPr>
        <w:t>促进学生对</w:t>
      </w:r>
      <w:r>
        <w:rPr>
          <w:rFonts w:ascii="宋体" w:hAnsi="宋体"/>
          <w:bCs/>
          <w:szCs w:val="21"/>
        </w:rPr>
        <w:t>理论知识的理解。</w:t>
      </w:r>
      <w:r>
        <w:rPr>
          <w:rFonts w:ascii="宋体" w:hAnsi="宋体" w:hint="eastAsia"/>
          <w:bCs/>
          <w:szCs w:val="21"/>
        </w:rPr>
        <w:t>由于本课程</w:t>
      </w:r>
      <w:r>
        <w:rPr>
          <w:rFonts w:ascii="宋体" w:hAnsi="宋体"/>
          <w:bCs/>
          <w:szCs w:val="21"/>
        </w:rPr>
        <w:t>涉及的</w:t>
      </w:r>
      <w:r>
        <w:rPr>
          <w:rFonts w:ascii="宋体" w:hAnsi="宋体" w:hint="eastAsia"/>
          <w:bCs/>
          <w:szCs w:val="21"/>
        </w:rPr>
        <w:t>基本概念和</w:t>
      </w:r>
      <w:r>
        <w:rPr>
          <w:rFonts w:ascii="宋体" w:hAnsi="宋体"/>
          <w:bCs/>
          <w:szCs w:val="21"/>
        </w:rPr>
        <w:t>理论</w:t>
      </w:r>
      <w:r>
        <w:rPr>
          <w:rFonts w:ascii="宋体" w:hAnsi="宋体" w:hint="eastAsia"/>
          <w:bCs/>
          <w:szCs w:val="21"/>
        </w:rPr>
        <w:t>知识较多，有必要</w:t>
      </w:r>
      <w:r>
        <w:rPr>
          <w:rFonts w:ascii="宋体" w:hAnsi="宋体"/>
          <w:bCs/>
          <w:szCs w:val="21"/>
        </w:rPr>
        <w:t>实时跟踪学生</w:t>
      </w:r>
      <w:r>
        <w:rPr>
          <w:rFonts w:ascii="宋体" w:hAnsi="宋体" w:hint="eastAsia"/>
          <w:bCs/>
          <w:szCs w:val="21"/>
        </w:rPr>
        <w:t>的</w:t>
      </w:r>
      <w:r>
        <w:rPr>
          <w:rFonts w:ascii="宋体" w:hAnsi="宋体"/>
          <w:bCs/>
          <w:szCs w:val="21"/>
        </w:rPr>
        <w:t>学习效果，根据学生学校效果反馈，适时改进教学方法，促进教学效果</w:t>
      </w:r>
      <w:r>
        <w:rPr>
          <w:rFonts w:ascii="宋体" w:hAnsi="宋体" w:hint="eastAsia"/>
          <w:bCs/>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14:paraId="52BA71F9"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w:t>
      </w:r>
      <w:r>
        <w:rPr>
          <w:rFonts w:ascii="宋体" w:hAnsi="宋体" w:hint="eastAsia"/>
          <w:bCs/>
          <w:szCs w:val="21"/>
        </w:rPr>
        <w:tab/>
        <w:t>考核结果分析</w:t>
      </w:r>
    </w:p>
    <w:p w14:paraId="55B33C17"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14:paraId="58152801"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2．</w:t>
      </w:r>
      <w:r>
        <w:rPr>
          <w:rFonts w:ascii="宋体" w:hAnsi="宋体" w:hint="eastAsia"/>
          <w:bCs/>
          <w:szCs w:val="21"/>
        </w:rPr>
        <w:tab/>
        <w:t>考核结果反馈</w:t>
      </w:r>
    </w:p>
    <w:p w14:paraId="3EAC8C8C"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针对本门课程提高学生对园艺产品采后处理学的综合能力提高的教学目标，考核形式分为理论课教学考核与实验课考核。针对理论课教学考核，反馈形式体现在课堂教学过程中，采用课堂集中形式对考核结果的共性问题进行统一讲解，查找原因。对于实验课考核，反馈形式体现在学生对实验的操作的熟练程度</w:t>
      </w:r>
      <w:r>
        <w:rPr>
          <w:rFonts w:ascii="宋体" w:hAnsi="宋体"/>
          <w:bCs/>
          <w:szCs w:val="21"/>
        </w:rPr>
        <w:t>以及实验原理的理解，主要体现形式为实验报告的撰写以及对实验结果的分析</w:t>
      </w:r>
      <w:r>
        <w:rPr>
          <w:rFonts w:ascii="宋体" w:hAnsi="宋体" w:hint="eastAsia"/>
          <w:bCs/>
          <w:szCs w:val="21"/>
        </w:rPr>
        <w:t>。针对考核结果分析中成绩严重偏态分布的情况，应及时调整教学内容、教学方法、强化过程性考核。</w:t>
      </w:r>
    </w:p>
    <w:p w14:paraId="7C98BD0F" w14:textId="77777777" w:rsidR="00F5289E" w:rsidRDefault="00C91173">
      <w:pPr>
        <w:widowControl/>
        <w:jc w:val="left"/>
        <w:rPr>
          <w:rFonts w:ascii="宋体" w:hAnsi="宋体"/>
          <w:b/>
          <w:sz w:val="28"/>
          <w:szCs w:val="28"/>
        </w:rPr>
      </w:pPr>
      <w:r>
        <w:rPr>
          <w:rFonts w:ascii="宋体" w:hAnsi="宋体"/>
          <w:b/>
          <w:sz w:val="28"/>
          <w:szCs w:val="28"/>
        </w:rPr>
        <w:br w:type="page"/>
      </w:r>
    </w:p>
    <w:p w14:paraId="0A99DF5D" w14:textId="77777777" w:rsidR="00F5289E" w:rsidRDefault="00C91173">
      <w:pPr>
        <w:pStyle w:val="1"/>
      </w:pPr>
      <w:bookmarkStart w:id="211" w:name="_Toc138606301"/>
      <w:r>
        <w:rPr>
          <w:rFonts w:hint="eastAsia"/>
        </w:rPr>
        <w:lastRenderedPageBreak/>
        <w:t>植物生长调节剂与利用考核大纲</w:t>
      </w:r>
      <w:bookmarkEnd w:id="211"/>
    </w:p>
    <w:p w14:paraId="4C1AB073" w14:textId="77777777" w:rsidR="00F5289E" w:rsidRDefault="00C91173">
      <w:pPr>
        <w:snapToGrid w:val="0"/>
        <w:spacing w:line="360" w:lineRule="auto"/>
        <w:jc w:val="center"/>
        <w:rPr>
          <w:iCs/>
          <w:sz w:val="24"/>
        </w:rPr>
      </w:pPr>
      <w:r>
        <w:rPr>
          <w:rFonts w:hint="eastAsia"/>
          <w:iCs/>
          <w:sz w:val="24"/>
        </w:rPr>
        <w:t>（</w:t>
      </w:r>
      <w:r>
        <w:rPr>
          <w:iCs/>
          <w:sz w:val="24"/>
        </w:rPr>
        <w:t>P</w:t>
      </w:r>
      <w:r>
        <w:rPr>
          <w:rFonts w:hint="eastAsia"/>
          <w:iCs/>
          <w:sz w:val="24"/>
        </w:rPr>
        <w:t xml:space="preserve">lant </w:t>
      </w:r>
      <w:r>
        <w:rPr>
          <w:iCs/>
          <w:sz w:val="24"/>
        </w:rPr>
        <w:t>G</w:t>
      </w:r>
      <w:r>
        <w:rPr>
          <w:rFonts w:hint="eastAsia"/>
          <w:iCs/>
          <w:sz w:val="24"/>
        </w:rPr>
        <w:t xml:space="preserve">rowth </w:t>
      </w:r>
      <w:r>
        <w:rPr>
          <w:iCs/>
          <w:sz w:val="24"/>
        </w:rPr>
        <w:t>R</w:t>
      </w:r>
      <w:r>
        <w:rPr>
          <w:rFonts w:hint="eastAsia"/>
          <w:iCs/>
          <w:sz w:val="24"/>
        </w:rPr>
        <w:t>egulator and Application</w:t>
      </w:r>
      <w:r>
        <w:rPr>
          <w:rFonts w:hint="eastAsia"/>
          <w:iCs/>
          <w:sz w:val="24"/>
        </w:rPr>
        <w:t>）</w:t>
      </w:r>
    </w:p>
    <w:p w14:paraId="36F0186D" w14:textId="77777777" w:rsidR="00F5289E" w:rsidRDefault="00F5289E">
      <w:pPr>
        <w:snapToGrid w:val="0"/>
        <w:spacing w:line="360" w:lineRule="auto"/>
        <w:jc w:val="center"/>
        <w:rPr>
          <w:i/>
          <w:sz w:val="24"/>
        </w:rPr>
      </w:pPr>
    </w:p>
    <w:p w14:paraId="33E5CF9C" w14:textId="77777777" w:rsidR="00F5289E" w:rsidRDefault="00C91173">
      <w:pPr>
        <w:snapToGrid w:val="0"/>
        <w:spacing w:line="360" w:lineRule="auto"/>
        <w:jc w:val="center"/>
        <w:rPr>
          <w:b/>
          <w:szCs w:val="21"/>
        </w:rPr>
      </w:pPr>
      <w:r>
        <w:rPr>
          <w:rFonts w:hint="eastAsia"/>
          <w:b/>
          <w:szCs w:val="21"/>
        </w:rPr>
        <w:t>课程基本信息</w:t>
      </w:r>
    </w:p>
    <w:tbl>
      <w:tblPr>
        <w:tblStyle w:val="af6"/>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2062"/>
        <w:gridCol w:w="3429"/>
      </w:tblGrid>
      <w:tr w:rsidR="00F5289E" w14:paraId="6958C9CB" w14:textId="77777777">
        <w:tc>
          <w:tcPr>
            <w:tcW w:w="3625" w:type="dxa"/>
          </w:tcPr>
          <w:p w14:paraId="125A6E7D" w14:textId="77777777" w:rsidR="00F5289E" w:rsidRDefault="00C91173">
            <w:pPr>
              <w:spacing w:line="360" w:lineRule="auto"/>
              <w:rPr>
                <w:rFonts w:ascii="宋体" w:hAnsi="宋体"/>
                <w:b/>
                <w:bCs/>
                <w:szCs w:val="21"/>
              </w:rPr>
            </w:pPr>
            <w:r>
              <w:rPr>
                <w:rFonts w:ascii="宋体" w:hAnsi="宋体" w:hint="eastAsia"/>
                <w:b/>
                <w:bCs/>
                <w:szCs w:val="21"/>
              </w:rPr>
              <w:t>课程编号：</w:t>
            </w:r>
            <w:r>
              <w:rPr>
                <w:rFonts w:ascii="宋体" w:hAnsi="宋体" w:hint="eastAsia"/>
                <w:szCs w:val="21"/>
              </w:rPr>
              <w:t>19011051</w:t>
            </w:r>
          </w:p>
        </w:tc>
        <w:tc>
          <w:tcPr>
            <w:tcW w:w="2062" w:type="dxa"/>
          </w:tcPr>
          <w:p w14:paraId="324D6A95" w14:textId="77777777" w:rsidR="00F5289E" w:rsidRDefault="00C91173">
            <w:pPr>
              <w:spacing w:line="360" w:lineRule="auto"/>
              <w:rPr>
                <w:rFonts w:ascii="宋体" w:hAnsi="宋体"/>
                <w:b/>
                <w:bCs/>
                <w:szCs w:val="21"/>
              </w:rPr>
            </w:pPr>
            <w:r>
              <w:rPr>
                <w:rFonts w:ascii="宋体" w:hAnsi="宋体" w:hint="eastAsia"/>
                <w:b/>
                <w:bCs/>
                <w:szCs w:val="21"/>
              </w:rPr>
              <w:t>课程学时：</w:t>
            </w:r>
            <w:r>
              <w:rPr>
                <w:rFonts w:ascii="宋体" w:hAnsi="宋体" w:hint="eastAsia"/>
                <w:szCs w:val="21"/>
              </w:rPr>
              <w:t>16</w:t>
            </w:r>
          </w:p>
        </w:tc>
        <w:tc>
          <w:tcPr>
            <w:tcW w:w="3429" w:type="dxa"/>
          </w:tcPr>
          <w:p w14:paraId="5EFEA04E" w14:textId="77777777" w:rsidR="00F5289E" w:rsidRDefault="00C91173">
            <w:pPr>
              <w:spacing w:line="360" w:lineRule="auto"/>
              <w:rPr>
                <w:rFonts w:ascii="宋体" w:hAnsi="宋体"/>
                <w:b/>
                <w:bCs/>
                <w:szCs w:val="21"/>
              </w:rPr>
            </w:pPr>
            <w:r>
              <w:rPr>
                <w:rFonts w:ascii="宋体" w:hAnsi="宋体" w:hint="eastAsia"/>
                <w:b/>
                <w:bCs/>
                <w:szCs w:val="21"/>
              </w:rPr>
              <w:t>课程学分：</w:t>
            </w:r>
            <w:r>
              <w:rPr>
                <w:rFonts w:ascii="宋体" w:hAnsi="宋体" w:hint="eastAsia"/>
                <w:szCs w:val="21"/>
              </w:rPr>
              <w:t>1</w:t>
            </w:r>
          </w:p>
        </w:tc>
      </w:tr>
      <w:tr w:rsidR="00F5289E" w14:paraId="4F725E27" w14:textId="77777777">
        <w:tc>
          <w:tcPr>
            <w:tcW w:w="3625" w:type="dxa"/>
          </w:tcPr>
          <w:p w14:paraId="0E425B73" w14:textId="77777777" w:rsidR="00F5289E" w:rsidRDefault="00C91173">
            <w:pPr>
              <w:spacing w:line="360" w:lineRule="auto"/>
              <w:rPr>
                <w:rFonts w:ascii="宋体" w:hAnsi="宋体"/>
                <w:b/>
                <w:bCs/>
                <w:szCs w:val="21"/>
              </w:rPr>
            </w:pPr>
            <w:r>
              <w:rPr>
                <w:rFonts w:ascii="宋体" w:hAnsi="宋体" w:hint="eastAsia"/>
                <w:b/>
                <w:bCs/>
                <w:szCs w:val="21"/>
              </w:rPr>
              <w:t>主撰人：</w:t>
            </w:r>
            <w:r>
              <w:rPr>
                <w:rFonts w:ascii="宋体" w:hAnsi="宋体" w:hint="eastAsia"/>
                <w:bCs/>
                <w:szCs w:val="21"/>
              </w:rPr>
              <w:t>朱磊，</w:t>
            </w:r>
            <w:r>
              <w:rPr>
                <w:rFonts w:ascii="宋体" w:hAnsi="宋体"/>
                <w:bCs/>
                <w:szCs w:val="21"/>
              </w:rPr>
              <w:t>王永，王伟</w:t>
            </w:r>
            <w:r>
              <w:rPr>
                <w:rFonts w:ascii="宋体" w:hAnsi="宋体" w:hint="eastAsia"/>
                <w:bCs/>
                <w:szCs w:val="21"/>
              </w:rPr>
              <w:t>，</w:t>
            </w:r>
            <w:r>
              <w:rPr>
                <w:rFonts w:ascii="宋体" w:hAnsi="宋体"/>
                <w:bCs/>
                <w:szCs w:val="21"/>
              </w:rPr>
              <w:t>宋春晖</w:t>
            </w:r>
          </w:p>
        </w:tc>
        <w:tc>
          <w:tcPr>
            <w:tcW w:w="2062" w:type="dxa"/>
          </w:tcPr>
          <w:p w14:paraId="22BAF111" w14:textId="77777777" w:rsidR="00F5289E" w:rsidRDefault="00C91173">
            <w:pPr>
              <w:spacing w:line="360" w:lineRule="auto"/>
              <w:rPr>
                <w:rFonts w:ascii="宋体" w:hAnsi="宋体"/>
                <w:b/>
                <w:bCs/>
                <w:szCs w:val="21"/>
              </w:rPr>
            </w:pPr>
            <w:r>
              <w:rPr>
                <w:rFonts w:ascii="宋体" w:hAnsi="宋体" w:hint="eastAsia"/>
                <w:b/>
                <w:bCs/>
                <w:szCs w:val="21"/>
              </w:rPr>
              <w:t>审核人：</w:t>
            </w:r>
            <w:r>
              <w:rPr>
                <w:rFonts w:ascii="宋体" w:hAnsi="宋体" w:hint="eastAsia"/>
                <w:bCs/>
                <w:szCs w:val="21"/>
              </w:rPr>
              <w:t>朱磊</w:t>
            </w:r>
          </w:p>
        </w:tc>
        <w:tc>
          <w:tcPr>
            <w:tcW w:w="3429" w:type="dxa"/>
          </w:tcPr>
          <w:p w14:paraId="78BEEC0B" w14:textId="77777777" w:rsidR="00F5289E" w:rsidRDefault="00C91173">
            <w:pPr>
              <w:spacing w:line="360" w:lineRule="auto"/>
              <w:rPr>
                <w:rFonts w:ascii="宋体" w:hAnsi="宋体"/>
                <w:b/>
                <w:bCs/>
                <w:szCs w:val="21"/>
              </w:rPr>
            </w:pPr>
            <w:r>
              <w:rPr>
                <w:rFonts w:ascii="宋体" w:hAnsi="宋体" w:hint="eastAsia"/>
                <w:b/>
                <w:bCs/>
                <w:szCs w:val="21"/>
              </w:rPr>
              <w:t>大纲制定（修订）日期：</w:t>
            </w:r>
            <w:r>
              <w:rPr>
                <w:rFonts w:ascii="宋体" w:hAnsi="宋体" w:hint="eastAsia"/>
                <w:bCs/>
                <w:szCs w:val="21"/>
              </w:rPr>
              <w:t>2</w:t>
            </w:r>
            <w:r>
              <w:rPr>
                <w:rFonts w:ascii="宋体" w:hAnsi="宋体"/>
                <w:bCs/>
                <w:szCs w:val="21"/>
              </w:rPr>
              <w:t>023.</w:t>
            </w:r>
            <w:r w:rsidR="001B3040">
              <w:rPr>
                <w:rFonts w:ascii="宋体" w:hAnsi="宋体"/>
                <w:bCs/>
                <w:szCs w:val="21"/>
              </w:rPr>
              <w:t>0</w:t>
            </w:r>
            <w:r>
              <w:rPr>
                <w:rFonts w:ascii="宋体" w:hAnsi="宋体"/>
                <w:bCs/>
                <w:szCs w:val="21"/>
              </w:rPr>
              <w:t>5</w:t>
            </w:r>
          </w:p>
        </w:tc>
      </w:tr>
    </w:tbl>
    <w:p w14:paraId="7192D741" w14:textId="77777777" w:rsidR="00F5289E" w:rsidRDefault="00C91173">
      <w:pPr>
        <w:pStyle w:val="a9"/>
        <w:spacing w:line="360" w:lineRule="auto"/>
        <w:rPr>
          <w:b/>
          <w:bCs/>
        </w:rPr>
      </w:pPr>
      <w:r>
        <w:rPr>
          <w:rFonts w:hint="eastAsia"/>
          <w:b/>
          <w:bCs/>
        </w:rPr>
        <w:t>一、课程的性质和地位</w:t>
      </w:r>
    </w:p>
    <w:p w14:paraId="2958D7B2" w14:textId="77777777" w:rsidR="00F5289E" w:rsidRDefault="00C91173">
      <w:pPr>
        <w:snapToGrid w:val="0"/>
        <w:spacing w:line="360" w:lineRule="auto"/>
        <w:ind w:firstLineChars="200" w:firstLine="420"/>
      </w:pPr>
      <w:r>
        <w:rPr>
          <w:rFonts w:hint="eastAsia"/>
        </w:rPr>
        <w:t>本课程是在学习植物生理学和园艺栽培学等专业课程的基础上，对植物生长发育的化学调控的理论和实践进一步深入了解的一门选修课。它的任务是让学生了解在传统栽培的基础上，用化学方法可以调控植物的生长发育，并使学生懂得植物生长调节剂的作用原理和应用实践。</w:t>
      </w:r>
    </w:p>
    <w:p w14:paraId="50577D89" w14:textId="77777777" w:rsidR="00F5289E" w:rsidRDefault="00C91173">
      <w:pPr>
        <w:pStyle w:val="a9"/>
        <w:spacing w:line="360" w:lineRule="auto"/>
        <w:rPr>
          <w:rFonts w:cs="宋体"/>
          <w:b/>
          <w:bCs/>
        </w:rPr>
      </w:pPr>
      <w:r>
        <w:rPr>
          <w:rFonts w:hint="eastAsia"/>
          <w:b/>
          <w:bCs/>
        </w:rPr>
        <w:t>二、理论教学部分的考核目标</w:t>
      </w:r>
    </w:p>
    <w:p w14:paraId="4777E19D" w14:textId="77777777" w:rsidR="00F5289E" w:rsidRDefault="00C91173">
      <w:pPr>
        <w:snapToGrid w:val="0"/>
        <w:spacing w:line="360" w:lineRule="auto"/>
        <w:ind w:firstLineChars="200" w:firstLine="420"/>
        <w:rPr>
          <w:rFonts w:ascii="宋体" w:hAnsi="宋体" w:cs="宋体"/>
          <w:szCs w:val="21"/>
        </w:rPr>
      </w:pPr>
      <w:r>
        <w:rPr>
          <w:rFonts w:ascii="宋体" w:hAnsi="宋体" w:cs="宋体" w:hint="eastAsia"/>
          <w:szCs w:val="21"/>
        </w:rPr>
        <w:t>通过本课程的理论教学目的是培养学生理论联系实际的能力，将植物生长物质知识应用于农业生产，解决生产中存在的问题。要求学生掌握植物生长调节剂的种类、作用原理、生产中的应用实践和今后的应用前景。</w:t>
      </w:r>
    </w:p>
    <w:p w14:paraId="5D170CA4"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绪论</w:t>
      </w:r>
    </w:p>
    <w:p w14:paraId="584CC9CA"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4E63EE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cs="宋体" w:hint="eastAsia"/>
          <w:szCs w:val="21"/>
        </w:rPr>
        <w:t>植物激素和植物生长调节剂的种类。</w:t>
      </w:r>
    </w:p>
    <w:p w14:paraId="6007C256"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植物激素和植物生长调节剂的定义。</w:t>
      </w:r>
    </w:p>
    <w:p w14:paraId="24B753B5"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植物激素和植物生长调节剂的生理作用。</w:t>
      </w:r>
    </w:p>
    <w:p w14:paraId="281300E6"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C164F98" w14:textId="77777777" w:rsidR="00F5289E" w:rsidRDefault="00C91173">
      <w:pPr>
        <w:snapToGrid w:val="0"/>
        <w:spacing w:line="360" w:lineRule="auto"/>
        <w:ind w:firstLineChars="200" w:firstLine="420"/>
        <w:rPr>
          <w:rFonts w:ascii="宋体" w:hAnsi="宋体" w:cs="宋体"/>
          <w:szCs w:val="21"/>
        </w:rPr>
      </w:pPr>
      <w:r>
        <w:rPr>
          <w:rFonts w:ascii="宋体" w:hAnsi="宋体" w:cs="宋体" w:hint="eastAsia"/>
          <w:szCs w:val="21"/>
        </w:rPr>
        <w:t>植物激素和植物生长调节剂的种类；植物激素和植物生长调节剂的定义；5大类植物激素和植物生长调节剂的生理作用。</w:t>
      </w:r>
    </w:p>
    <w:p w14:paraId="7EF8647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1A3318F4"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植物激素和植物生长调节剂的种类和定义。</w:t>
      </w:r>
    </w:p>
    <w:p w14:paraId="3550F586"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植物激素和植物生长调节剂的作用。</w:t>
      </w:r>
    </w:p>
    <w:p w14:paraId="7DE7E7F3"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植物生长调节剂的施用浓度和方法。</w:t>
      </w:r>
    </w:p>
    <w:p w14:paraId="44BA400D"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ascii="宋体" w:hAnsi="宋体" w:cs="宋体" w:hint="eastAsia"/>
          <w:szCs w:val="21"/>
        </w:rPr>
        <w:t>根据植物生长状态和使用目的选用合适的植物生长调节剂。</w:t>
      </w:r>
    </w:p>
    <w:p w14:paraId="3838066B"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5．综合</w:t>
      </w:r>
      <w:r>
        <w:rPr>
          <w:rFonts w:ascii="宋体" w:hAnsi="宋体" w:hint="eastAsia"/>
          <w:szCs w:val="21"/>
        </w:rPr>
        <w:t>：植物</w:t>
      </w:r>
      <w:r>
        <w:rPr>
          <w:rFonts w:ascii="宋体" w:hAnsi="宋体" w:cs="宋体" w:hint="eastAsia"/>
          <w:szCs w:val="21"/>
        </w:rPr>
        <w:t>生长调节剂的相互作用和使用。</w:t>
      </w:r>
    </w:p>
    <w:p w14:paraId="585B0C97" w14:textId="77777777" w:rsidR="00F5289E" w:rsidRDefault="00C91173">
      <w:pPr>
        <w:snapToGrid w:val="0"/>
        <w:spacing w:line="360" w:lineRule="auto"/>
        <w:ind w:firstLineChars="200" w:firstLine="422"/>
        <w:rPr>
          <w:rFonts w:ascii="宋体" w:hAnsi="宋体" w:cs="宋体"/>
          <w:b/>
          <w:bCs/>
          <w:szCs w:val="21"/>
        </w:rPr>
      </w:pPr>
      <w:r>
        <w:rPr>
          <w:rFonts w:ascii="宋体" w:hAnsi="宋体" w:cs="宋体" w:hint="eastAsia"/>
          <w:b/>
          <w:bCs/>
          <w:szCs w:val="21"/>
        </w:rPr>
        <w:t>6．评价：</w:t>
      </w:r>
      <w:r>
        <w:rPr>
          <w:rFonts w:ascii="宋体" w:hAnsi="宋体" w:hint="eastAsia"/>
          <w:szCs w:val="21"/>
        </w:rPr>
        <w:t>植物</w:t>
      </w:r>
      <w:r>
        <w:rPr>
          <w:rFonts w:ascii="宋体" w:hAnsi="宋体" w:cs="宋体" w:hint="eastAsia"/>
          <w:szCs w:val="21"/>
        </w:rPr>
        <w:t>生长调节剂的使用效果和调整措施。</w:t>
      </w:r>
    </w:p>
    <w:p w14:paraId="37FECEE7"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第一章 植物生长调节剂的种类及其性质</w:t>
      </w:r>
    </w:p>
    <w:p w14:paraId="455449C9"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（一）学习目标</w:t>
      </w:r>
    </w:p>
    <w:p w14:paraId="4D9F8401"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cs="宋体" w:hint="eastAsia"/>
          <w:szCs w:val="21"/>
        </w:rPr>
        <w:t>植物生长促进剂、植物生长抑制剂、植物生长延缓剂的种类和调控机理</w:t>
      </w:r>
    </w:p>
    <w:p w14:paraId="7B97E7FC"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植物生长促进剂、植物生长抑制剂、植物生长延缓剂的生理作用</w:t>
      </w:r>
    </w:p>
    <w:p w14:paraId="0DABB5A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植物生长促进剂、植物生长抑制剂、植物生长延缓剂的应用</w:t>
      </w:r>
    </w:p>
    <w:p w14:paraId="0F64419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14356F70" w14:textId="77777777" w:rsidR="00F5289E" w:rsidRDefault="00C91173">
      <w:pPr>
        <w:pStyle w:val="af1"/>
        <w:wordWrap w:val="0"/>
        <w:spacing w:before="0" w:beforeAutospacing="0" w:after="0" w:afterAutospacing="0" w:line="360" w:lineRule="auto"/>
        <w:ind w:firstLineChars="200" w:firstLine="420"/>
        <w:jc w:val="both"/>
        <w:rPr>
          <w:rFonts w:ascii="宋体" w:eastAsia="宋体" w:hAnsi="宋体" w:cs="宋体"/>
          <w:sz w:val="21"/>
          <w:szCs w:val="21"/>
        </w:rPr>
      </w:pPr>
      <w:r>
        <w:rPr>
          <w:rFonts w:ascii="宋体" w:eastAsia="宋体" w:hAnsi="宋体" w:cs="宋体" w:hint="eastAsia"/>
          <w:sz w:val="21"/>
          <w:szCs w:val="21"/>
        </w:rPr>
        <w:t>了解激动素（KT）、CPPU的功能、作用机理和施用方法；理解</w:t>
      </w:r>
      <w:r>
        <w:rPr>
          <w:rFonts w:ascii="宋体" w:eastAsia="宋体" w:hAnsi="宋体" w:cs="宋体"/>
          <w:sz w:val="21"/>
          <w:szCs w:val="21"/>
        </w:rPr>
        <w:t>独角金内酯</w:t>
      </w:r>
      <w:r>
        <w:rPr>
          <w:rFonts w:ascii="宋体" w:eastAsia="宋体" w:hAnsi="宋体" w:cs="宋体" w:hint="eastAsia"/>
          <w:sz w:val="21"/>
          <w:szCs w:val="21"/>
        </w:rPr>
        <w:t>、乙烯利（ETH）、油菜素内酯（BR）、多胺、水杨酸等的功能、作用机理和施用方法；掌握吲哚乙酸（IAA）、吲哚丁酸 (IBA)、 萘乙酸 (NAA)）、2，4－D、防落素（PCPA或4-CPA）、赤霉素（GA</w:t>
      </w:r>
      <w:r>
        <w:rPr>
          <w:rFonts w:ascii="宋体" w:eastAsia="宋体" w:hAnsi="宋体" w:cs="宋体" w:hint="eastAsia"/>
          <w:sz w:val="21"/>
          <w:szCs w:val="21"/>
          <w:vertAlign w:val="subscript"/>
        </w:rPr>
        <w:t>3</w:t>
      </w:r>
      <w:r>
        <w:rPr>
          <w:rFonts w:ascii="宋体" w:eastAsia="宋体" w:hAnsi="宋体" w:cs="宋体" w:hint="eastAsia"/>
          <w:sz w:val="21"/>
          <w:szCs w:val="21"/>
        </w:rPr>
        <w:t>）、6-苄基氨基嘌呤（6－BA）的功能、作用机理和施用方法。了解和理解脱落酸（ABA）、青鲜素（MH）、三碘苯甲酸（TIBA）、整型素、增甘膦等生长抑制剂的功能、作用机制和施用方法等。了解和理解矮壮素（CCC）、比久（B9）、多效唑（PP333）、粉锈宁、氯化胆碱、烯效唑等生长</w:t>
      </w:r>
      <w:r>
        <w:rPr>
          <w:rFonts w:ascii="宋体" w:hAnsi="宋体" w:cs="宋体" w:hint="eastAsia"/>
          <w:sz w:val="21"/>
          <w:szCs w:val="21"/>
        </w:rPr>
        <w:t>延缓</w:t>
      </w:r>
      <w:r>
        <w:rPr>
          <w:rFonts w:ascii="宋体" w:eastAsia="宋体" w:hAnsi="宋体" w:cs="宋体" w:hint="eastAsia"/>
          <w:sz w:val="21"/>
          <w:szCs w:val="21"/>
        </w:rPr>
        <w:t>剂的功能、作用机制和施用方法等。</w:t>
      </w:r>
    </w:p>
    <w:p w14:paraId="6100E1E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9E6EF98"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植物生长促进剂、植物生长抑制剂、植物生长延缓剂的种类。</w:t>
      </w:r>
    </w:p>
    <w:p w14:paraId="2B829F85"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植物生长促进剂、植物生长抑制剂、植物生长延缓剂的生理作用。</w:t>
      </w:r>
    </w:p>
    <w:p w14:paraId="4D2E6A30"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植物生长促进剂、植物生长抑制剂、植物生长延缓剂的应用。</w:t>
      </w:r>
    </w:p>
    <w:p w14:paraId="08AC881C"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ascii="宋体" w:hAnsi="宋体" w:cs="宋体" w:hint="eastAsia"/>
          <w:szCs w:val="21"/>
        </w:rPr>
        <w:t>植物生长促进剂、植物生长抑制剂、植物生长延缓剂的使用效果。</w:t>
      </w:r>
    </w:p>
    <w:p w14:paraId="5DEE5763"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5．综合</w:t>
      </w:r>
      <w:r>
        <w:rPr>
          <w:rFonts w:ascii="宋体" w:hAnsi="宋体" w:hint="eastAsia"/>
          <w:szCs w:val="21"/>
        </w:rPr>
        <w:t>：根作物生产需求选用合适的</w:t>
      </w:r>
      <w:r>
        <w:rPr>
          <w:rFonts w:ascii="宋体" w:hAnsi="宋体" w:cs="宋体" w:hint="eastAsia"/>
          <w:szCs w:val="21"/>
        </w:rPr>
        <w:t>植物生长促进剂、植物生长抑制剂、植物生长延缓剂。</w:t>
      </w:r>
    </w:p>
    <w:p w14:paraId="1B9B5A2B"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6．评价：</w:t>
      </w:r>
      <w:r>
        <w:rPr>
          <w:rFonts w:ascii="宋体" w:hAnsi="宋体" w:cs="宋体" w:hint="eastAsia"/>
          <w:szCs w:val="21"/>
        </w:rPr>
        <w:t>植物生长促进剂、植物生长抑制剂、植物生长延缓剂的使用效果和调整措施。</w:t>
      </w:r>
    </w:p>
    <w:p w14:paraId="31DED7FF"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第二章</w:t>
      </w:r>
      <w:r>
        <w:rPr>
          <w:rFonts w:ascii="宋体" w:hAnsi="宋体" w:cs="宋体"/>
          <w:b/>
          <w:bCs/>
          <w:kern w:val="0"/>
          <w:szCs w:val="21"/>
        </w:rPr>
        <w:t xml:space="preserve"> </w:t>
      </w:r>
      <w:r>
        <w:rPr>
          <w:rFonts w:ascii="宋体" w:hAnsi="宋体" w:cs="宋体" w:hint="eastAsia"/>
          <w:b/>
          <w:bCs/>
          <w:kern w:val="0"/>
          <w:szCs w:val="21"/>
        </w:rPr>
        <w:t>植物生长调节剂施用原理及技术</w:t>
      </w:r>
    </w:p>
    <w:p w14:paraId="4D112A3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68CDB31"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cs="宋体" w:hint="eastAsia"/>
          <w:szCs w:val="21"/>
        </w:rPr>
        <w:t>植物生长调节剂的吸收与运转的信号系统和作用机理。植物生长调节剂的合成路径。</w:t>
      </w:r>
    </w:p>
    <w:p w14:paraId="04C1B987"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植物生长调节的吸收与运转的作用机制。</w:t>
      </w:r>
    </w:p>
    <w:p w14:paraId="16F7118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植物生长调节的剂型和施用方法。实际生产中植物生长调节的具体应用策略。</w:t>
      </w:r>
    </w:p>
    <w:p w14:paraId="1F689607"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（二）考核知识点</w:t>
      </w:r>
    </w:p>
    <w:p w14:paraId="0A505B8B" w14:textId="77777777" w:rsidR="00F5289E" w:rsidRDefault="00C91173">
      <w:pPr>
        <w:pStyle w:val="af1"/>
        <w:wordWrap w:val="0"/>
        <w:spacing w:before="0" w:beforeAutospacing="0" w:after="0" w:afterAutospacing="0" w:line="360" w:lineRule="auto"/>
        <w:ind w:firstLine="420"/>
        <w:jc w:val="both"/>
        <w:rPr>
          <w:rFonts w:ascii="宋体" w:eastAsia="宋体" w:hAnsi="宋体" w:cs="宋体"/>
          <w:sz w:val="21"/>
          <w:szCs w:val="21"/>
        </w:rPr>
      </w:pPr>
      <w:r>
        <w:rPr>
          <w:rFonts w:ascii="宋体" w:eastAsia="宋体" w:hAnsi="宋体" w:cs="宋体" w:hint="eastAsia"/>
          <w:sz w:val="21"/>
          <w:szCs w:val="21"/>
        </w:rPr>
        <w:t>了解生长调节剂是如何进入植物体内的？通过叶片和茎部进入、通过根部进入等不同介入部位的差异与联系。理解植物生长调节剂在植物体内是如何运转的。了解和掌握不同生长调节剂剂型的差异和应用；理解生长调节剂的配合使用；掌握不同生长调节剂的使用浓度和注意事项。了解</w:t>
      </w:r>
      <w:r>
        <w:rPr>
          <w:rFonts w:ascii="宋体" w:eastAsia="宋体" w:hAnsi="宋体" w:cs="宋体" w:hint="eastAsia"/>
          <w:sz w:val="21"/>
          <w:szCs w:val="21"/>
        </w:rPr>
        <w:lastRenderedPageBreak/>
        <w:t>生长调节剂施用中存在问题的实质，掌握适当的处理方案：熟练掌握生长调节剂种类的合理选用、施用时期确定、处理部位、剂型、拟定施用浓度和次数、小规模预备试验及农业配合技术措施等。</w:t>
      </w:r>
    </w:p>
    <w:p w14:paraId="47D4A48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43B8E8B9"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植物生长调节剂的吸收与运转的信号系统和作用机理。</w:t>
      </w:r>
    </w:p>
    <w:p w14:paraId="27C4C997"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植物生长调节剂的合成路径。</w:t>
      </w:r>
    </w:p>
    <w:p w14:paraId="43766B2A"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植物生长调节的剂型；植物生长调节剂的施用方法及注意事项。</w:t>
      </w:r>
    </w:p>
    <w:p w14:paraId="30FA04C6"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4．分析：</w:t>
      </w:r>
      <w:r>
        <w:rPr>
          <w:rFonts w:ascii="宋体" w:hAnsi="宋体" w:cs="宋体" w:hint="eastAsia"/>
          <w:szCs w:val="21"/>
        </w:rPr>
        <w:t>分析植物生长调节剂的作用机理及使用效果。</w:t>
      </w:r>
    </w:p>
    <w:p w14:paraId="0295E398"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5．综合</w:t>
      </w:r>
      <w:r>
        <w:rPr>
          <w:rFonts w:ascii="宋体" w:hAnsi="宋体" w:hint="eastAsia"/>
          <w:szCs w:val="21"/>
        </w:rPr>
        <w:t>：根据作物生产需求选用合适的</w:t>
      </w:r>
      <w:r>
        <w:rPr>
          <w:rFonts w:ascii="宋体" w:hAnsi="宋体" w:cs="宋体" w:hint="eastAsia"/>
          <w:szCs w:val="21"/>
        </w:rPr>
        <w:t>物生长调节剂组合</w:t>
      </w:r>
      <w:r>
        <w:rPr>
          <w:rFonts w:ascii="宋体" w:hAnsi="宋体" w:hint="eastAsia"/>
          <w:szCs w:val="21"/>
        </w:rPr>
        <w:t>。</w:t>
      </w:r>
    </w:p>
    <w:p w14:paraId="4B48F285" w14:textId="77777777" w:rsidR="00F5289E" w:rsidRDefault="00C91173">
      <w:pPr>
        <w:snapToGrid w:val="0"/>
        <w:spacing w:line="360" w:lineRule="auto"/>
        <w:ind w:firstLineChars="200" w:firstLine="422"/>
        <w:rPr>
          <w:rFonts w:ascii="宋体" w:hAnsi="宋体" w:cs="宋体"/>
          <w:szCs w:val="21"/>
        </w:rPr>
      </w:pPr>
      <w:r>
        <w:rPr>
          <w:rFonts w:ascii="宋体" w:hAnsi="宋体" w:cs="宋体" w:hint="eastAsia"/>
          <w:b/>
          <w:bCs/>
          <w:szCs w:val="21"/>
        </w:rPr>
        <w:t>6．评价：</w:t>
      </w:r>
      <w:r>
        <w:rPr>
          <w:rFonts w:ascii="宋体" w:hAnsi="宋体" w:cs="宋体" w:hint="eastAsia"/>
          <w:szCs w:val="21"/>
        </w:rPr>
        <w:t>各种植物生长调节剂的使用效果和调整措施。</w:t>
      </w:r>
    </w:p>
    <w:p w14:paraId="488CA9EA"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第三章</w:t>
      </w:r>
      <w:r>
        <w:rPr>
          <w:rFonts w:ascii="宋体" w:hAnsi="宋体" w:cs="宋体"/>
          <w:b/>
          <w:bCs/>
          <w:kern w:val="0"/>
          <w:szCs w:val="21"/>
        </w:rPr>
        <w:t xml:space="preserve"> </w:t>
      </w:r>
      <w:r>
        <w:rPr>
          <w:rFonts w:ascii="宋体" w:hAnsi="宋体" w:cs="宋体" w:hint="eastAsia"/>
          <w:b/>
          <w:bCs/>
          <w:kern w:val="0"/>
          <w:szCs w:val="21"/>
        </w:rPr>
        <w:t>生长调节剂在植物生长发育中的研究与应用</w:t>
      </w:r>
    </w:p>
    <w:p w14:paraId="575F5F6E"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00DCEE9C"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1．一般了解</w:t>
      </w:r>
      <w:r>
        <w:rPr>
          <w:rFonts w:ascii="宋体" w:hAnsi="宋体" w:hint="eastAsia"/>
          <w:szCs w:val="21"/>
        </w:rPr>
        <w:t>：</w:t>
      </w:r>
      <w:r>
        <w:rPr>
          <w:rFonts w:ascii="宋体" w:hAnsi="宋体" w:cs="宋体" w:hint="eastAsia"/>
          <w:szCs w:val="21"/>
        </w:rPr>
        <w:t>生长调节剂在花芽分化、化学杀雄和切花保鲜等方面的应用技术和方法。</w:t>
      </w:r>
    </w:p>
    <w:p w14:paraId="36BA7C83" w14:textId="77777777" w:rsidR="00F5289E" w:rsidRDefault="00C91173">
      <w:pPr>
        <w:widowControl/>
        <w:snapToGrid w:val="0"/>
        <w:spacing w:line="360" w:lineRule="auto"/>
        <w:ind w:firstLineChars="200" w:firstLine="422"/>
        <w:rPr>
          <w:rFonts w:ascii="宋体" w:hAnsi="宋体" w:cs="宋体"/>
          <w:szCs w:val="21"/>
        </w:rPr>
      </w:pPr>
      <w:r>
        <w:rPr>
          <w:rFonts w:ascii="宋体" w:hAnsi="宋体" w:hint="eastAsia"/>
          <w:b/>
          <w:szCs w:val="21"/>
        </w:rPr>
        <w:t>2．一般掌握</w:t>
      </w:r>
      <w:r>
        <w:rPr>
          <w:rFonts w:ascii="宋体" w:hAnsi="宋体" w:hint="eastAsia"/>
          <w:szCs w:val="21"/>
        </w:rPr>
        <w:t>：</w:t>
      </w:r>
      <w:r>
        <w:rPr>
          <w:rFonts w:ascii="宋体" w:hAnsi="宋体" w:cs="宋体" w:hint="eastAsia"/>
          <w:szCs w:val="21"/>
        </w:rPr>
        <w:t>长调节剂在延长和打破休眠、促进生长、扦插生根和延缓衰老等方面的应</w:t>
      </w:r>
    </w:p>
    <w:p w14:paraId="2B477D04" w14:textId="77777777" w:rsidR="00F5289E" w:rsidRDefault="00C91173">
      <w:pPr>
        <w:snapToGrid w:val="0"/>
        <w:spacing w:line="360" w:lineRule="auto"/>
        <w:ind w:firstLineChars="200" w:firstLine="420"/>
        <w:rPr>
          <w:rFonts w:ascii="宋体" w:hAnsi="宋体"/>
          <w:szCs w:val="21"/>
        </w:rPr>
      </w:pPr>
      <w:r>
        <w:rPr>
          <w:rFonts w:ascii="宋体" w:hAnsi="宋体" w:cs="宋体" w:hint="eastAsia"/>
          <w:szCs w:val="21"/>
        </w:rPr>
        <w:t>用技术和方法。</w:t>
      </w:r>
    </w:p>
    <w:p w14:paraId="7093D61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3．熟练掌握</w:t>
      </w:r>
      <w:r>
        <w:rPr>
          <w:rFonts w:ascii="宋体" w:hAnsi="宋体" w:hint="eastAsia"/>
          <w:szCs w:val="21"/>
        </w:rPr>
        <w:t>：</w:t>
      </w:r>
      <w:r>
        <w:rPr>
          <w:rFonts w:ascii="宋体" w:hAnsi="宋体" w:cs="宋体" w:hint="eastAsia"/>
          <w:szCs w:val="21"/>
        </w:rPr>
        <w:t>生长调节剂在保花保果、果实催熟、改善产量与品质等方面的应用技术和方法。</w:t>
      </w:r>
    </w:p>
    <w:p w14:paraId="728865A6"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（二）考核知识点</w:t>
      </w:r>
    </w:p>
    <w:p w14:paraId="75B08DE8" w14:textId="77777777" w:rsidR="00F5289E" w:rsidRDefault="00C91173">
      <w:pPr>
        <w:pStyle w:val="af1"/>
        <w:wordWrap w:val="0"/>
        <w:spacing w:before="0" w:beforeAutospacing="0" w:after="0" w:afterAutospacing="0" w:line="360" w:lineRule="auto"/>
        <w:ind w:firstLineChars="200" w:firstLine="420"/>
        <w:jc w:val="both"/>
        <w:rPr>
          <w:rFonts w:ascii="宋体" w:hAnsi="宋体"/>
          <w:b/>
          <w:szCs w:val="21"/>
        </w:rPr>
      </w:pPr>
      <w:r>
        <w:rPr>
          <w:rFonts w:ascii="宋体" w:eastAsia="宋体" w:hAnsi="宋体" w:cs="宋体" w:hint="eastAsia"/>
          <w:sz w:val="21"/>
          <w:szCs w:val="21"/>
        </w:rPr>
        <w:t>了解打破休眠和促进萌发的技术；掌握马铃薯、洋葱、大蒜、萝卜、胡萝卜等蔬菜的贮藏技术；掌握营养生长和生殖生长调控技术；掌握延缓叶片衰老技术；熟练掌握扦插生根技术。了解保鲜剂的种类和切花保鲜技术；掌握花芽形成的调控技术；掌握诱导雌花、雄花，化学去雄等调控技术。掌握保花保果和疏花疏果常用生长调节剂的种类和应用技术；掌握乙烯的催熟技术；掌握生长调节剂提高产量、改良品质的技术方法。了解无籽果实生产技术。</w:t>
      </w:r>
    </w:p>
    <w:p w14:paraId="1141002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5B0CB24"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植物生长调节剂打破休眠、促进生根、延缓衰老等方面的相关实例和应用技术。</w:t>
      </w:r>
    </w:p>
    <w:p w14:paraId="6A6DE32A"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植物生长调节剂调控花芽形成的相关实例和应用技术。</w:t>
      </w:r>
    </w:p>
    <w:p w14:paraId="14B0C037"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植物生长调节剂在促进扦插生根等方面的应用技术。</w:t>
      </w:r>
    </w:p>
    <w:p w14:paraId="5BCABE6B"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ascii="宋体" w:hAnsi="宋体" w:cs="宋体" w:hint="eastAsia"/>
          <w:szCs w:val="21"/>
        </w:rPr>
        <w:t>植物生长调节剂在花芽形成等方面的调控技术</w:t>
      </w:r>
    </w:p>
    <w:p w14:paraId="0BF7F0C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5．综合：</w:t>
      </w:r>
      <w:r>
        <w:rPr>
          <w:rFonts w:ascii="宋体" w:hAnsi="宋体" w:cs="宋体" w:hint="eastAsia"/>
          <w:szCs w:val="21"/>
        </w:rPr>
        <w:t>植物生长调节剂在果菜催熟、提高产量和改良品质等方面的相关实例和应用技术。</w:t>
      </w:r>
    </w:p>
    <w:p w14:paraId="41DDD1D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ascii="宋体" w:hAnsi="宋体" w:cs="宋体" w:hint="eastAsia"/>
          <w:szCs w:val="21"/>
        </w:rPr>
        <w:t>植物生长调节剂在保花保果、疏花疏果等方面的相关实例和应用技术。</w:t>
      </w:r>
    </w:p>
    <w:p w14:paraId="75C74DF6" w14:textId="77777777" w:rsidR="00F5289E" w:rsidRDefault="00C91173">
      <w:pPr>
        <w:snapToGrid w:val="0"/>
        <w:spacing w:beforeLines="50" w:before="156" w:afterLines="50" w:after="156" w:line="360" w:lineRule="auto"/>
        <w:ind w:firstLineChars="49" w:firstLine="103"/>
        <w:jc w:val="center"/>
        <w:rPr>
          <w:rFonts w:ascii="宋体" w:hAnsi="宋体" w:cs="宋体"/>
          <w:b/>
          <w:bCs/>
          <w:kern w:val="0"/>
          <w:szCs w:val="21"/>
        </w:rPr>
      </w:pPr>
      <w:r>
        <w:rPr>
          <w:rFonts w:ascii="宋体" w:hAnsi="宋体" w:cs="宋体" w:hint="eastAsia"/>
          <w:b/>
          <w:bCs/>
          <w:kern w:val="0"/>
          <w:szCs w:val="21"/>
        </w:rPr>
        <w:t>第四章</w:t>
      </w:r>
      <w:r>
        <w:rPr>
          <w:rFonts w:ascii="宋体" w:hAnsi="宋体" w:cs="宋体"/>
          <w:b/>
          <w:bCs/>
          <w:kern w:val="0"/>
          <w:szCs w:val="21"/>
        </w:rPr>
        <w:t xml:space="preserve"> </w:t>
      </w:r>
      <w:r>
        <w:rPr>
          <w:rFonts w:ascii="宋体" w:hAnsi="宋体" w:cs="宋体" w:hint="eastAsia"/>
          <w:b/>
          <w:bCs/>
          <w:kern w:val="0"/>
          <w:szCs w:val="21"/>
        </w:rPr>
        <w:t>生长调节剂在植物抗逆性方面的研究与应用</w:t>
      </w:r>
    </w:p>
    <w:p w14:paraId="7A06CD0D" w14:textId="77777777" w:rsidR="00F5289E" w:rsidRDefault="00C91173">
      <w:pPr>
        <w:snapToGrid w:val="0"/>
        <w:spacing w:line="360" w:lineRule="auto"/>
        <w:rPr>
          <w:rFonts w:ascii="宋体" w:hAnsi="宋体"/>
          <w:b/>
          <w:szCs w:val="21"/>
        </w:rPr>
      </w:pPr>
      <w:r>
        <w:rPr>
          <w:rFonts w:ascii="宋体" w:hAnsi="宋体" w:hint="eastAsia"/>
          <w:b/>
          <w:szCs w:val="21"/>
        </w:rPr>
        <w:t>（一）一般学习目的与要求</w:t>
      </w:r>
    </w:p>
    <w:p w14:paraId="71F56122"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lastRenderedPageBreak/>
        <w:t>1. 一般了解</w:t>
      </w:r>
      <w:r>
        <w:rPr>
          <w:rFonts w:ascii="宋体" w:hAnsi="宋体" w:hint="eastAsia"/>
          <w:szCs w:val="21"/>
        </w:rPr>
        <w:t>：</w:t>
      </w:r>
      <w:r>
        <w:rPr>
          <w:rFonts w:ascii="宋体" w:hAnsi="宋体" w:cs="宋体" w:hint="eastAsia"/>
          <w:szCs w:val="21"/>
        </w:rPr>
        <w:t>生长调节剂对植物抗逆性的作用。</w:t>
      </w:r>
    </w:p>
    <w:p w14:paraId="6D9C4777" w14:textId="77777777" w:rsidR="00F5289E" w:rsidRDefault="00C91173">
      <w:pPr>
        <w:snapToGrid w:val="0"/>
        <w:spacing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ascii="宋体" w:hAnsi="宋体" w:cs="宋体" w:hint="eastAsia"/>
          <w:szCs w:val="21"/>
        </w:rPr>
        <w:t>生长调节剂在植物抗逆性中的应用。</w:t>
      </w:r>
    </w:p>
    <w:p w14:paraId="1F6E92A6"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ascii="宋体" w:hAnsi="宋体" w:cs="宋体" w:hint="eastAsia"/>
          <w:szCs w:val="21"/>
        </w:rPr>
        <w:t>了解乙烯、油菜素内酯、脱落酸、茉莉酸、水杨酸等生长调节剂与抗逆性的关系；理解逆境条件下生长调节剂的调控原理，及其交叉应用中的作用和原理。</w:t>
      </w:r>
    </w:p>
    <w:p w14:paraId="6FFCABD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（二）考核内容</w:t>
      </w:r>
    </w:p>
    <w:p w14:paraId="4B5A3B04" w14:textId="77777777" w:rsidR="00F5289E" w:rsidRDefault="00C91173">
      <w:pPr>
        <w:snapToGrid w:val="0"/>
        <w:spacing w:line="360" w:lineRule="auto"/>
        <w:ind w:firstLineChars="200" w:firstLine="420"/>
        <w:rPr>
          <w:rFonts w:ascii="宋体" w:hAnsi="宋体"/>
          <w:b/>
          <w:szCs w:val="21"/>
        </w:rPr>
      </w:pPr>
      <w:r>
        <w:rPr>
          <w:rFonts w:ascii="宋体" w:hAnsi="宋体" w:cs="宋体" w:hint="eastAsia"/>
          <w:szCs w:val="21"/>
        </w:rPr>
        <w:t>了解如何使用植物生长调节剂增强抗冷性，及其在作物上的应用；了解植物生长调节剂在增强抗热性中的应用；了解植物生长调节剂在增强抗旱性中的应用；了解植物生长调节剂在增强抗病性中的应用。了解植物生长调节剂在增强抗虫性中的应用。</w:t>
      </w:r>
    </w:p>
    <w:p w14:paraId="5F96DA7F"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949365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ascii="宋体" w:hAnsi="宋体" w:cs="宋体" w:hint="eastAsia"/>
          <w:szCs w:val="21"/>
        </w:rPr>
        <w:t>不同植物生长调节剂与抗逆性的关系。</w:t>
      </w:r>
    </w:p>
    <w:p w14:paraId="48B79422"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cs="宋体" w:hint="eastAsia"/>
          <w:szCs w:val="21"/>
        </w:rPr>
        <w:t>植物生长调节剂的抗逆性研究进展和作用机理。</w:t>
      </w:r>
    </w:p>
    <w:p w14:paraId="45BAA9FA" w14:textId="77777777" w:rsidR="00F5289E" w:rsidRDefault="00C91173">
      <w:pPr>
        <w:snapToGrid w:val="0"/>
        <w:spacing w:line="360" w:lineRule="auto"/>
        <w:ind w:firstLineChars="200" w:firstLine="422"/>
        <w:rPr>
          <w:rFonts w:ascii="宋体" w:hAnsi="宋体" w:cs="宋体"/>
          <w:szCs w:val="21"/>
        </w:rPr>
      </w:pPr>
      <w:r>
        <w:rPr>
          <w:rFonts w:ascii="宋体" w:hAnsi="宋体" w:hint="eastAsia"/>
          <w:b/>
          <w:szCs w:val="21"/>
        </w:rPr>
        <w:t>3．应用</w:t>
      </w:r>
      <w:r>
        <w:rPr>
          <w:rFonts w:ascii="宋体" w:hAnsi="宋体" w:hint="eastAsia"/>
          <w:szCs w:val="21"/>
        </w:rPr>
        <w:t>：</w:t>
      </w:r>
      <w:r>
        <w:rPr>
          <w:rFonts w:ascii="宋体" w:hAnsi="宋体" w:cs="宋体" w:hint="eastAsia"/>
          <w:szCs w:val="21"/>
        </w:rPr>
        <w:t>植物生长调节剂在增强抗病性中的应用。</w:t>
      </w:r>
    </w:p>
    <w:p w14:paraId="2517BC8E"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4．分析：</w:t>
      </w:r>
      <w:r>
        <w:rPr>
          <w:rFonts w:ascii="宋体" w:hAnsi="宋体" w:cs="宋体" w:hint="eastAsia"/>
          <w:szCs w:val="21"/>
        </w:rPr>
        <w:t>植物生长调节剂在增强抗虫性中的应用。</w:t>
      </w:r>
    </w:p>
    <w:p w14:paraId="1AA95A2C"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5．综合：</w:t>
      </w:r>
      <w:r>
        <w:rPr>
          <w:rFonts w:ascii="宋体" w:hAnsi="宋体" w:cs="宋体" w:hint="eastAsia"/>
          <w:szCs w:val="21"/>
        </w:rPr>
        <w:t>植物生长调节剂在抗逆中的交叉应用。</w:t>
      </w:r>
    </w:p>
    <w:p w14:paraId="6DF50181" w14:textId="77777777" w:rsidR="00F5289E" w:rsidRDefault="00C91173">
      <w:pPr>
        <w:snapToGrid w:val="0"/>
        <w:spacing w:line="360" w:lineRule="auto"/>
        <w:ind w:firstLineChars="200" w:firstLine="422"/>
        <w:rPr>
          <w:rFonts w:ascii="宋体" w:hAnsi="宋体"/>
          <w:b/>
          <w:szCs w:val="21"/>
        </w:rPr>
      </w:pPr>
      <w:r>
        <w:rPr>
          <w:rFonts w:ascii="宋体" w:hAnsi="宋体" w:hint="eastAsia"/>
          <w:b/>
          <w:szCs w:val="21"/>
        </w:rPr>
        <w:t>6．评价：</w:t>
      </w:r>
      <w:r>
        <w:rPr>
          <w:rFonts w:ascii="宋体" w:hAnsi="宋体" w:cs="宋体" w:hint="eastAsia"/>
          <w:szCs w:val="21"/>
        </w:rPr>
        <w:t>植物生长调节剂在调节生长与增强抗逆性的交叉应用。</w:t>
      </w:r>
    </w:p>
    <w:p w14:paraId="6B47A28E" w14:textId="77777777" w:rsidR="00F5289E" w:rsidRDefault="00C91173">
      <w:pPr>
        <w:snapToGrid w:val="0"/>
        <w:spacing w:line="360" w:lineRule="auto"/>
        <w:rPr>
          <w:rFonts w:ascii="宋体" w:hAnsi="宋体"/>
          <w:b/>
          <w:szCs w:val="21"/>
        </w:rPr>
      </w:pPr>
      <w:r>
        <w:rPr>
          <w:rFonts w:ascii="宋体" w:hAnsi="宋体" w:hint="eastAsia"/>
          <w:b/>
          <w:szCs w:val="21"/>
        </w:rPr>
        <w:t>三、实验、实习教学部分的考核要求</w:t>
      </w:r>
    </w:p>
    <w:p w14:paraId="3634029E"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无。</w:t>
      </w:r>
    </w:p>
    <w:p w14:paraId="045549EF" w14:textId="77777777" w:rsidR="00F5289E" w:rsidRDefault="00C91173">
      <w:pPr>
        <w:snapToGrid w:val="0"/>
        <w:spacing w:line="360" w:lineRule="auto"/>
        <w:rPr>
          <w:rFonts w:ascii="宋体" w:hAnsi="宋体"/>
          <w:b/>
          <w:szCs w:val="21"/>
        </w:rPr>
      </w:pPr>
      <w:r>
        <w:rPr>
          <w:rFonts w:ascii="宋体" w:hAnsi="宋体" w:hint="eastAsia"/>
          <w:b/>
          <w:szCs w:val="21"/>
        </w:rPr>
        <w:t>四、</w:t>
      </w:r>
      <w:r>
        <w:rPr>
          <w:rFonts w:asciiTheme="majorEastAsia" w:eastAsiaTheme="majorEastAsia" w:hAnsiTheme="majorEastAsia" w:cstheme="majorEastAsia" w:hint="eastAsia"/>
          <w:b/>
          <w:bCs/>
          <w:kern w:val="0"/>
          <w:szCs w:val="21"/>
        </w:rPr>
        <w:t>考核方式</w:t>
      </w:r>
    </w:p>
    <w:p w14:paraId="570203D4"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平时</w:t>
      </w:r>
      <w:r>
        <w:rPr>
          <w:rFonts w:ascii="宋体" w:hAnsi="宋体"/>
          <w:bCs/>
          <w:szCs w:val="21"/>
        </w:rPr>
        <w:t>成绩（</w:t>
      </w:r>
      <w:r>
        <w:rPr>
          <w:rFonts w:ascii="宋体" w:hAnsi="宋体" w:hint="eastAsia"/>
        </w:rPr>
        <w:t>课堂表现、考勤、课后作业、小组学习讨论</w:t>
      </w:r>
      <w:r>
        <w:rPr>
          <w:rFonts w:ascii="宋体" w:hAnsi="宋体"/>
          <w:bCs/>
          <w:szCs w:val="21"/>
        </w:rPr>
        <w:t>）</w:t>
      </w:r>
      <w:r>
        <w:rPr>
          <w:rFonts w:ascii="宋体" w:hAnsi="宋体" w:hint="eastAsia"/>
          <w:bCs/>
          <w:szCs w:val="21"/>
        </w:rPr>
        <w:t>和课程论文。</w:t>
      </w:r>
    </w:p>
    <w:p w14:paraId="0359CA17" w14:textId="77777777" w:rsidR="00F5289E" w:rsidRDefault="00C91173">
      <w:pPr>
        <w:snapToGrid w:val="0"/>
        <w:spacing w:line="360" w:lineRule="auto"/>
        <w:rPr>
          <w:rFonts w:ascii="宋体" w:hAnsi="宋体"/>
          <w:b/>
          <w:szCs w:val="21"/>
        </w:rPr>
      </w:pPr>
      <w:r>
        <w:rPr>
          <w:rFonts w:ascii="宋体" w:hAnsi="宋体" w:hint="eastAsia"/>
          <w:b/>
          <w:szCs w:val="21"/>
        </w:rPr>
        <w:t>五、</w:t>
      </w:r>
      <w:r>
        <w:rPr>
          <w:rFonts w:asciiTheme="majorEastAsia" w:eastAsiaTheme="majorEastAsia" w:hAnsiTheme="majorEastAsia" w:cstheme="majorEastAsia" w:hint="eastAsia"/>
          <w:b/>
          <w:bCs/>
          <w:kern w:val="0"/>
          <w:szCs w:val="21"/>
        </w:rPr>
        <w:t>成绩评定</w:t>
      </w:r>
    </w:p>
    <w:p w14:paraId="26AA8150"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r>
        <w:rPr>
          <w:rFonts w:ascii="宋体" w:hAnsi="宋体" w:hint="eastAsia"/>
          <w:bCs/>
          <w:szCs w:val="21"/>
        </w:rPr>
        <w:t>（</w:t>
      </w:r>
      <w:r>
        <w:rPr>
          <w:rFonts w:ascii="宋体" w:hAnsi="宋体" w:hint="eastAsia"/>
        </w:rPr>
        <w:t>课堂表现、考勤、课后作业、小组学习讨论等；</w:t>
      </w:r>
      <w:r>
        <w:rPr>
          <w:rFonts w:ascii="宋体" w:hAnsi="宋体" w:hint="eastAsia"/>
          <w:szCs w:val="21"/>
        </w:rPr>
        <w:t>所占比例</w:t>
      </w:r>
      <w:r>
        <w:rPr>
          <w:rFonts w:ascii="宋体" w:hAnsi="宋体"/>
          <w:szCs w:val="21"/>
        </w:rPr>
        <w:t>30%</w:t>
      </w:r>
      <w:r>
        <w:rPr>
          <w:rFonts w:ascii="宋体" w:hAnsi="宋体" w:hint="eastAsia"/>
          <w:bCs/>
          <w:szCs w:val="21"/>
        </w:rPr>
        <w:t>）</w:t>
      </w:r>
    </w:p>
    <w:p w14:paraId="762FB34D" w14:textId="77777777" w:rsidR="00F5289E" w:rsidRDefault="00C91173">
      <w:pPr>
        <w:snapToGrid w:val="0"/>
        <w:spacing w:line="360" w:lineRule="auto"/>
        <w:ind w:firstLineChars="200" w:firstLine="420"/>
        <w:rPr>
          <w:rFonts w:ascii="宋体" w:hAnsi="宋体"/>
          <w:bCs/>
          <w:szCs w:val="21"/>
        </w:rPr>
      </w:pPr>
      <w:r>
        <w:rPr>
          <w:rFonts w:ascii="宋体" w:hAnsi="宋体" w:hint="eastAsia"/>
        </w:rPr>
        <w:t>2．期末成绩</w:t>
      </w:r>
      <w:r>
        <w:rPr>
          <w:rFonts w:ascii="宋体" w:hAnsi="宋体" w:hint="eastAsia"/>
          <w:bCs/>
          <w:szCs w:val="21"/>
        </w:rPr>
        <w:t>（</w:t>
      </w:r>
      <w:r>
        <w:rPr>
          <w:rFonts w:ascii="宋体" w:hAnsi="宋体" w:hint="eastAsia"/>
          <w:szCs w:val="21"/>
        </w:rPr>
        <w:t>课程论文；所占比例7</w:t>
      </w:r>
      <w:r>
        <w:rPr>
          <w:rFonts w:ascii="宋体" w:hAnsi="宋体"/>
          <w:szCs w:val="21"/>
        </w:rPr>
        <w:t>0%</w:t>
      </w:r>
      <w:r>
        <w:rPr>
          <w:rFonts w:ascii="宋体" w:hAnsi="宋体" w:hint="eastAsia"/>
          <w:bCs/>
          <w:szCs w:val="21"/>
        </w:rPr>
        <w:t>）</w:t>
      </w:r>
    </w:p>
    <w:p w14:paraId="1EFE77A0" w14:textId="77777777" w:rsidR="00F5289E" w:rsidRDefault="00C91173">
      <w:pPr>
        <w:snapToGrid w:val="0"/>
        <w:spacing w:line="360" w:lineRule="auto"/>
        <w:ind w:firstLineChars="200" w:firstLine="420"/>
        <w:rPr>
          <w:rFonts w:ascii="宋体" w:hAnsi="宋体"/>
          <w:bCs/>
          <w:szCs w:val="21"/>
        </w:rPr>
      </w:pPr>
      <w:r>
        <w:rPr>
          <w:rFonts w:ascii="宋体" w:hAnsi="宋体" w:hint="eastAsia"/>
        </w:rPr>
        <w:t>3．综合成（</w:t>
      </w:r>
      <w:r>
        <w:rPr>
          <w:rFonts w:hint="eastAsia"/>
          <w:szCs w:val="21"/>
        </w:rPr>
        <w:t>平时成绩</w:t>
      </w:r>
      <w:r>
        <w:rPr>
          <w:rFonts w:ascii="宋体" w:hAnsi="宋体" w:hint="eastAsia"/>
          <w:bCs/>
          <w:szCs w:val="21"/>
        </w:rPr>
        <w:t>×</w:t>
      </w:r>
      <w:r>
        <w:rPr>
          <w:rFonts w:hint="eastAsia"/>
          <w:szCs w:val="21"/>
        </w:rPr>
        <w:t>30%+</w:t>
      </w:r>
      <w:r>
        <w:rPr>
          <w:rFonts w:hint="eastAsia"/>
          <w:szCs w:val="21"/>
        </w:rPr>
        <w:t>课程论文</w:t>
      </w:r>
      <w:r>
        <w:rPr>
          <w:rFonts w:ascii="宋体" w:hAnsi="宋体" w:hint="eastAsia"/>
          <w:bCs/>
          <w:szCs w:val="21"/>
        </w:rPr>
        <w:t>×</w:t>
      </w:r>
      <w:r>
        <w:rPr>
          <w:rFonts w:hint="eastAsia"/>
          <w:szCs w:val="21"/>
        </w:rPr>
        <w:t>70</w:t>
      </w:r>
      <w:r>
        <w:rPr>
          <w:rFonts w:hint="eastAsia"/>
          <w:szCs w:val="21"/>
        </w:rPr>
        <w:t>％</w:t>
      </w:r>
      <w:r>
        <w:rPr>
          <w:rFonts w:ascii="宋体" w:hAnsi="宋体" w:hint="eastAsia"/>
        </w:rPr>
        <w:t>）</w:t>
      </w:r>
    </w:p>
    <w:p w14:paraId="23400946" w14:textId="77777777" w:rsidR="00F5289E" w:rsidRDefault="00C91173">
      <w:pPr>
        <w:pStyle w:val="a9"/>
        <w:spacing w:line="360" w:lineRule="auto"/>
        <w:rPr>
          <w:b/>
          <w:bCs/>
        </w:rPr>
      </w:pPr>
      <w:r>
        <w:rPr>
          <w:rFonts w:hint="eastAsia"/>
          <w:b/>
          <w:bCs/>
        </w:rPr>
        <w:t>六、考核结果分析反馈</w:t>
      </w:r>
    </w:p>
    <w:p w14:paraId="6AB0753B" w14:textId="77777777" w:rsidR="00F5289E" w:rsidRDefault="00C91173">
      <w:pPr>
        <w:snapToGrid w:val="0"/>
        <w:spacing w:line="360" w:lineRule="auto"/>
        <w:ind w:firstLineChars="200" w:firstLine="420"/>
        <w:rPr>
          <w:rFonts w:hAnsi="宋体"/>
          <w:bCs/>
          <w:szCs w:val="21"/>
        </w:rPr>
      </w:pPr>
      <w:r>
        <w:rPr>
          <w:rFonts w:hAnsi="宋体" w:hint="eastAsia"/>
          <w:bCs/>
          <w:szCs w:val="21"/>
        </w:rPr>
        <w:t>1</w:t>
      </w:r>
      <w:r>
        <w:rPr>
          <w:rFonts w:hAnsi="宋体" w:hint="eastAsia"/>
          <w:bCs/>
          <w:szCs w:val="21"/>
        </w:rPr>
        <w:t>．平时考核可立即或下一次上课反馈给学生，课程论文存在的问题，线下或线上反馈给学生。</w:t>
      </w:r>
    </w:p>
    <w:p w14:paraId="0E8E381F" w14:textId="77777777" w:rsidR="00F5289E" w:rsidRDefault="00C91173">
      <w:pPr>
        <w:snapToGrid w:val="0"/>
        <w:spacing w:line="360" w:lineRule="auto"/>
        <w:ind w:firstLineChars="200" w:firstLine="420"/>
      </w:pPr>
      <w:r>
        <w:rPr>
          <w:rFonts w:hAnsi="宋体" w:hint="eastAsia"/>
          <w:szCs w:val="21"/>
        </w:rPr>
        <w:t>2</w:t>
      </w:r>
      <w:r>
        <w:rPr>
          <w:rFonts w:hAnsi="宋体" w:hint="eastAsia"/>
          <w:szCs w:val="21"/>
        </w:rPr>
        <w:t>．</w:t>
      </w:r>
      <w:r>
        <w:rPr>
          <w:rFonts w:hAnsi="宋体" w:hint="eastAsia"/>
          <w:bCs/>
          <w:szCs w:val="21"/>
        </w:rPr>
        <w:t>在平时考核中发现的问题，针对具体问题，在下节课中改进教学方法、教学内容。期末考核中存在的问题，在下一学期中改进。</w:t>
      </w:r>
    </w:p>
    <w:p w14:paraId="010BAF05" w14:textId="77777777" w:rsidR="00F5289E" w:rsidRDefault="00F5289E">
      <w:pPr>
        <w:snapToGrid w:val="0"/>
        <w:spacing w:line="360" w:lineRule="auto"/>
        <w:ind w:firstLineChars="200" w:firstLine="420"/>
        <w:rPr>
          <w:rFonts w:hAnsi="宋体"/>
          <w:color w:val="000000" w:themeColor="text1"/>
          <w:szCs w:val="21"/>
        </w:rPr>
      </w:pPr>
    </w:p>
    <w:p w14:paraId="3845F74F" w14:textId="77777777" w:rsidR="00F5289E" w:rsidRDefault="00C91173">
      <w:pPr>
        <w:widowControl/>
        <w:jc w:val="left"/>
        <w:rPr>
          <w:rFonts w:ascii="宋体" w:hAnsi="宋体" w:cs="Arial Unicode MS"/>
          <w:kern w:val="0"/>
        </w:rPr>
      </w:pPr>
      <w:r>
        <w:rPr>
          <w:rFonts w:ascii="宋体" w:hAnsi="宋体"/>
        </w:rPr>
        <w:br w:type="page"/>
      </w:r>
    </w:p>
    <w:p w14:paraId="6F2D56C8" w14:textId="77777777" w:rsidR="00F5289E" w:rsidRDefault="00C91173">
      <w:pPr>
        <w:pStyle w:val="1"/>
      </w:pPr>
      <w:bookmarkStart w:id="212" w:name="_Toc138606302"/>
      <w:r>
        <w:lastRenderedPageBreak/>
        <w:t>文献检索与科技论文写作</w:t>
      </w:r>
      <w:r>
        <w:rPr>
          <w:rFonts w:hint="eastAsia"/>
        </w:rPr>
        <w:t>考核大纲</w:t>
      </w:r>
      <w:bookmarkEnd w:id="212"/>
    </w:p>
    <w:p w14:paraId="39672E18" w14:textId="77777777" w:rsidR="00F5289E" w:rsidRDefault="00C91173">
      <w:pPr>
        <w:snapToGrid w:val="0"/>
        <w:spacing w:line="360" w:lineRule="auto"/>
        <w:jc w:val="center"/>
        <w:rPr>
          <w:iCs/>
          <w:sz w:val="24"/>
        </w:rPr>
      </w:pPr>
      <w:r>
        <w:rPr>
          <w:iCs/>
          <w:sz w:val="24"/>
        </w:rPr>
        <w:t>（</w:t>
      </w:r>
      <w:r>
        <w:rPr>
          <w:rFonts w:hint="eastAsia"/>
          <w:iCs/>
          <w:sz w:val="24"/>
        </w:rPr>
        <w:t>Literature Search and</w:t>
      </w:r>
      <w:r>
        <w:rPr>
          <w:iCs/>
          <w:sz w:val="24"/>
        </w:rPr>
        <w:t xml:space="preserve"> </w:t>
      </w:r>
      <w:r>
        <w:rPr>
          <w:rFonts w:hint="eastAsia"/>
          <w:iCs/>
          <w:sz w:val="24"/>
        </w:rPr>
        <w:t>Thesis</w:t>
      </w:r>
      <w:r>
        <w:rPr>
          <w:iCs/>
          <w:sz w:val="24"/>
        </w:rPr>
        <w:t>）</w:t>
      </w:r>
      <w:r>
        <w:rPr>
          <w:rFonts w:hint="eastAsia"/>
          <w:iCs/>
          <w:sz w:val="24"/>
        </w:rPr>
        <w:t xml:space="preserve"> </w:t>
      </w:r>
    </w:p>
    <w:p w14:paraId="466016E0" w14:textId="77777777" w:rsidR="00F5289E" w:rsidRDefault="00F5289E">
      <w:pPr>
        <w:snapToGrid w:val="0"/>
        <w:spacing w:line="360" w:lineRule="auto"/>
        <w:jc w:val="center"/>
        <w:rPr>
          <w:iCs/>
          <w:sz w:val="24"/>
        </w:rPr>
      </w:pPr>
    </w:p>
    <w:p w14:paraId="6F5A6624" w14:textId="77777777" w:rsidR="00F5289E" w:rsidRDefault="00C91173">
      <w:pPr>
        <w:snapToGrid w:val="0"/>
        <w:spacing w:line="360" w:lineRule="auto"/>
        <w:jc w:val="center"/>
        <w:rPr>
          <w:b/>
          <w:szCs w:val="21"/>
        </w:rPr>
      </w:pPr>
      <w:r>
        <w:rPr>
          <w:b/>
          <w:szCs w:val="21"/>
        </w:rPr>
        <w:t>课程基本信息</w:t>
      </w:r>
    </w:p>
    <w:tbl>
      <w:tblPr>
        <w:tblW w:w="8619" w:type="dxa"/>
        <w:tblLayout w:type="fixed"/>
        <w:tblLook w:val="04A0" w:firstRow="1" w:lastRow="0" w:firstColumn="1" w:lastColumn="0" w:noHBand="0" w:noVBand="1"/>
      </w:tblPr>
      <w:tblGrid>
        <w:gridCol w:w="3019"/>
        <w:gridCol w:w="2192"/>
        <w:gridCol w:w="3408"/>
      </w:tblGrid>
      <w:tr w:rsidR="00F5289E" w14:paraId="3260214F" w14:textId="77777777">
        <w:tc>
          <w:tcPr>
            <w:tcW w:w="3019" w:type="dxa"/>
          </w:tcPr>
          <w:p w14:paraId="7A0D59F4" w14:textId="77777777" w:rsidR="00F5289E" w:rsidRDefault="00C91173">
            <w:pPr>
              <w:spacing w:line="360" w:lineRule="auto"/>
              <w:rPr>
                <w:b/>
                <w:bCs/>
                <w:szCs w:val="21"/>
              </w:rPr>
            </w:pPr>
            <w:r>
              <w:rPr>
                <w:rFonts w:hAnsi="宋体"/>
                <w:b/>
                <w:bCs/>
                <w:szCs w:val="21"/>
              </w:rPr>
              <w:t>课程编号：</w:t>
            </w:r>
            <w:r w:rsidRPr="001B3040">
              <w:rPr>
                <w:szCs w:val="21"/>
              </w:rPr>
              <w:t>19011055</w:t>
            </w:r>
          </w:p>
        </w:tc>
        <w:tc>
          <w:tcPr>
            <w:tcW w:w="2192" w:type="dxa"/>
          </w:tcPr>
          <w:p w14:paraId="6D40CE9D" w14:textId="77777777" w:rsidR="00F5289E" w:rsidRDefault="00C91173">
            <w:pPr>
              <w:spacing w:line="360" w:lineRule="auto"/>
              <w:rPr>
                <w:b/>
                <w:bCs/>
                <w:szCs w:val="21"/>
              </w:rPr>
            </w:pPr>
            <w:r>
              <w:rPr>
                <w:rFonts w:hAnsi="宋体"/>
                <w:b/>
                <w:bCs/>
                <w:szCs w:val="21"/>
              </w:rPr>
              <w:t>课程学时：</w:t>
            </w:r>
            <w:r w:rsidRPr="001B3040">
              <w:rPr>
                <w:szCs w:val="21"/>
              </w:rPr>
              <w:t>16</w:t>
            </w:r>
          </w:p>
        </w:tc>
        <w:tc>
          <w:tcPr>
            <w:tcW w:w="3408" w:type="dxa"/>
          </w:tcPr>
          <w:p w14:paraId="6A43494E" w14:textId="77777777" w:rsidR="00F5289E" w:rsidRDefault="00C91173">
            <w:pPr>
              <w:spacing w:line="360" w:lineRule="auto"/>
              <w:rPr>
                <w:b/>
                <w:bCs/>
                <w:szCs w:val="21"/>
              </w:rPr>
            </w:pPr>
            <w:r>
              <w:rPr>
                <w:rFonts w:hAnsi="宋体"/>
                <w:b/>
                <w:bCs/>
                <w:szCs w:val="21"/>
              </w:rPr>
              <w:t>课程学分：</w:t>
            </w:r>
            <w:r w:rsidRPr="001B3040">
              <w:rPr>
                <w:szCs w:val="21"/>
              </w:rPr>
              <w:t>1</w:t>
            </w:r>
          </w:p>
        </w:tc>
      </w:tr>
      <w:tr w:rsidR="00F5289E" w14:paraId="5F0764BB" w14:textId="77777777">
        <w:tc>
          <w:tcPr>
            <w:tcW w:w="3019" w:type="dxa"/>
          </w:tcPr>
          <w:p w14:paraId="2CEAA3B9" w14:textId="77777777" w:rsidR="00F5289E" w:rsidRDefault="00C91173">
            <w:pPr>
              <w:spacing w:line="360" w:lineRule="auto"/>
              <w:rPr>
                <w:b/>
                <w:bCs/>
                <w:szCs w:val="21"/>
              </w:rPr>
            </w:pPr>
            <w:r>
              <w:rPr>
                <w:rFonts w:hAnsi="宋体"/>
                <w:b/>
                <w:bCs/>
                <w:szCs w:val="21"/>
              </w:rPr>
              <w:t>主撰人：</w:t>
            </w:r>
            <w:r w:rsidRPr="001B3040">
              <w:rPr>
                <w:rFonts w:hAnsi="宋体" w:hint="eastAsia"/>
                <w:szCs w:val="21"/>
              </w:rPr>
              <w:t>豆峻岭，高艳娜</w:t>
            </w:r>
          </w:p>
        </w:tc>
        <w:tc>
          <w:tcPr>
            <w:tcW w:w="2192" w:type="dxa"/>
          </w:tcPr>
          <w:p w14:paraId="4097C9BF" w14:textId="77777777" w:rsidR="00F5289E" w:rsidRDefault="00C91173">
            <w:pPr>
              <w:spacing w:line="360" w:lineRule="auto"/>
              <w:rPr>
                <w:b/>
                <w:bCs/>
                <w:szCs w:val="21"/>
              </w:rPr>
            </w:pPr>
            <w:r>
              <w:rPr>
                <w:rFonts w:hAnsi="宋体"/>
                <w:b/>
                <w:bCs/>
                <w:szCs w:val="21"/>
              </w:rPr>
              <w:t>审核人：</w:t>
            </w:r>
            <w:r w:rsidRPr="001B3040">
              <w:rPr>
                <w:rFonts w:hAnsi="宋体" w:hint="eastAsia"/>
                <w:szCs w:val="21"/>
              </w:rPr>
              <w:t>薛东齐</w:t>
            </w:r>
          </w:p>
        </w:tc>
        <w:tc>
          <w:tcPr>
            <w:tcW w:w="3408" w:type="dxa"/>
          </w:tcPr>
          <w:p w14:paraId="1A23808D" w14:textId="77777777" w:rsidR="00F5289E" w:rsidRDefault="00C91173">
            <w:pPr>
              <w:spacing w:line="360" w:lineRule="auto"/>
              <w:rPr>
                <w:b/>
                <w:bCs/>
                <w:szCs w:val="21"/>
              </w:rPr>
            </w:pPr>
            <w:r>
              <w:rPr>
                <w:rFonts w:hAnsi="宋体"/>
                <w:b/>
                <w:bCs/>
                <w:szCs w:val="21"/>
              </w:rPr>
              <w:t>大纲制定（修订）日期：</w:t>
            </w:r>
            <w:r w:rsidRPr="001B3040">
              <w:rPr>
                <w:szCs w:val="21"/>
              </w:rPr>
              <w:t>20</w:t>
            </w:r>
            <w:r w:rsidRPr="001B3040">
              <w:rPr>
                <w:rFonts w:hint="eastAsia"/>
                <w:szCs w:val="21"/>
              </w:rPr>
              <w:t>23</w:t>
            </w:r>
            <w:r w:rsidR="001B3040">
              <w:rPr>
                <w:szCs w:val="21"/>
              </w:rPr>
              <w:t>.05</w:t>
            </w:r>
          </w:p>
        </w:tc>
      </w:tr>
    </w:tbl>
    <w:p w14:paraId="39B04D06" w14:textId="77777777" w:rsidR="00F5289E" w:rsidRDefault="00C91173">
      <w:pPr>
        <w:spacing w:beforeLines="50" w:before="156" w:line="360" w:lineRule="auto"/>
        <w:rPr>
          <w:b/>
          <w:bCs/>
          <w:kern w:val="0"/>
          <w:szCs w:val="21"/>
        </w:rPr>
      </w:pPr>
      <w:r>
        <w:rPr>
          <w:rFonts w:hint="eastAsia"/>
          <w:b/>
          <w:bCs/>
          <w:kern w:val="0"/>
          <w:szCs w:val="21"/>
        </w:rPr>
        <w:t>一、</w:t>
      </w:r>
      <w:r>
        <w:rPr>
          <w:b/>
          <w:bCs/>
          <w:kern w:val="0"/>
          <w:szCs w:val="21"/>
        </w:rPr>
        <w:t>课程的性质和地位</w:t>
      </w:r>
    </w:p>
    <w:p w14:paraId="3B87B905" w14:textId="77777777" w:rsidR="00F5289E" w:rsidRDefault="00C91173">
      <w:pPr>
        <w:spacing w:line="360" w:lineRule="auto"/>
        <w:ind w:firstLine="420"/>
        <w:rPr>
          <w:bCs/>
          <w:kern w:val="0"/>
          <w:szCs w:val="21"/>
        </w:rPr>
      </w:pPr>
      <w:r>
        <w:rPr>
          <w:rFonts w:hint="eastAsia"/>
          <w:bCs/>
          <w:kern w:val="0"/>
          <w:szCs w:val="21"/>
        </w:rPr>
        <w:t>课程性质：本课程是园艺学及其它与园艺相近专业本科生的一门专业选修课，授课对象主要是开展毕业论文（或毕业设计）的大四学生，其目的就是使大学生获得一定的文献信息收集、整理、加工与利用能力，以利其课程论文或毕业论文的顺利完成；或通过本课程的系统学习，全面掌握科技文献检索和科技论文写作的方法，为将来走上工作岗位或进一步的深造打下一个坚实的基础。</w:t>
      </w:r>
    </w:p>
    <w:p w14:paraId="60D1C67D" w14:textId="77777777" w:rsidR="00F5289E" w:rsidRDefault="00C91173">
      <w:pPr>
        <w:spacing w:line="360" w:lineRule="auto"/>
        <w:ind w:firstLine="420"/>
        <w:rPr>
          <w:bCs/>
          <w:kern w:val="0"/>
          <w:szCs w:val="21"/>
        </w:rPr>
      </w:pPr>
      <w:r>
        <w:rPr>
          <w:bCs/>
          <w:kern w:val="0"/>
          <w:szCs w:val="21"/>
        </w:rPr>
        <w:t>主要任务：培养学生的信息素质、为提高学生的文献信息检索能力服务；阐明科学研究的基本原理和技术，介绍科学研究的基本规范。通过本课程的教学，使学生了解文献检索的基本知识和检索技术，掌握各种检索工具的使用方法和检索技巧，培养学生运用学术资料的能力、把握科研选题的能力、科研资料分析的能力、试验结果与调查资料的研判能力、撰写科技文章的能力和开展科研创新的基本能力。</w:t>
      </w:r>
    </w:p>
    <w:p w14:paraId="6AB882CC" w14:textId="77777777" w:rsidR="00F5289E" w:rsidRDefault="00C91173">
      <w:pPr>
        <w:widowControl/>
        <w:adjustRightInd w:val="0"/>
        <w:snapToGrid w:val="0"/>
        <w:spacing w:beforeLines="50" w:before="156" w:line="360" w:lineRule="auto"/>
        <w:jc w:val="left"/>
        <w:rPr>
          <w:b/>
          <w:bCs/>
          <w:kern w:val="0"/>
          <w:szCs w:val="21"/>
        </w:rPr>
      </w:pPr>
      <w:r>
        <w:rPr>
          <w:b/>
          <w:bCs/>
          <w:kern w:val="0"/>
          <w:szCs w:val="21"/>
        </w:rPr>
        <w:t>二、理论教学部分的考核目标</w:t>
      </w:r>
    </w:p>
    <w:p w14:paraId="437EC0B3" w14:textId="77777777" w:rsidR="00F5289E" w:rsidRDefault="00C91173">
      <w:pPr>
        <w:spacing w:line="360" w:lineRule="auto"/>
        <w:ind w:firstLineChars="200" w:firstLine="420"/>
        <w:rPr>
          <w:szCs w:val="21"/>
        </w:rPr>
      </w:pPr>
      <w:r>
        <w:rPr>
          <w:szCs w:val="21"/>
        </w:rPr>
        <w:t>通过本课程学习，使同学基本掌握常见</w:t>
      </w:r>
      <w:r>
        <w:rPr>
          <w:bCs/>
          <w:kern w:val="0"/>
          <w:szCs w:val="21"/>
        </w:rPr>
        <w:t>文献检索的基本知识和检索技术，</w:t>
      </w:r>
      <w:r>
        <w:rPr>
          <w:szCs w:val="21"/>
        </w:rPr>
        <w:t>科技论文的类型、特点、查阅方式及撰写要求，并能较自如的学出及阅读国内外最新科技文献，从而达到吸收最新科技信息的目标。</w:t>
      </w:r>
    </w:p>
    <w:p w14:paraId="70B35EC7" w14:textId="77777777" w:rsidR="00F5289E" w:rsidRDefault="00C91173">
      <w:pPr>
        <w:spacing w:line="360" w:lineRule="auto"/>
        <w:jc w:val="center"/>
        <w:rPr>
          <w:rFonts w:hAnsi="宋体"/>
          <w:b/>
          <w:bCs/>
          <w:kern w:val="0"/>
          <w:szCs w:val="21"/>
        </w:rPr>
      </w:pPr>
      <w:r>
        <w:rPr>
          <w:rFonts w:hAnsi="宋体" w:hint="eastAsia"/>
          <w:b/>
          <w:bCs/>
          <w:kern w:val="0"/>
          <w:szCs w:val="21"/>
        </w:rPr>
        <w:t>第一章</w:t>
      </w:r>
      <w:r>
        <w:rPr>
          <w:rFonts w:hAnsi="宋体" w:hint="eastAsia"/>
          <w:b/>
          <w:bCs/>
          <w:kern w:val="0"/>
          <w:szCs w:val="21"/>
        </w:rPr>
        <w:t xml:space="preserve">  </w:t>
      </w:r>
      <w:r>
        <w:rPr>
          <w:rFonts w:hAnsi="宋体" w:hint="eastAsia"/>
          <w:b/>
          <w:bCs/>
          <w:kern w:val="0"/>
          <w:szCs w:val="21"/>
        </w:rPr>
        <w:t>文献检索信息概论</w:t>
      </w:r>
    </w:p>
    <w:p w14:paraId="2C47EAA3"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5E0129E2" w14:textId="77777777" w:rsidR="00F5289E" w:rsidRDefault="00C91173">
      <w:pPr>
        <w:spacing w:line="360" w:lineRule="auto"/>
        <w:ind w:firstLineChars="200" w:firstLine="422"/>
        <w:rPr>
          <w:szCs w:val="21"/>
        </w:rPr>
      </w:pPr>
      <w:r>
        <w:rPr>
          <w:b/>
          <w:szCs w:val="21"/>
        </w:rPr>
        <w:t>1</w:t>
      </w:r>
      <w:r>
        <w:rPr>
          <w:rFonts w:ascii="宋体" w:hAnsi="宋体" w:hint="eastAsia"/>
          <w:b/>
          <w:szCs w:val="21"/>
        </w:rPr>
        <w:t>.</w:t>
      </w:r>
      <w:r>
        <w:rPr>
          <w:b/>
          <w:szCs w:val="21"/>
        </w:rPr>
        <w:t>一般了解</w:t>
      </w:r>
      <w:r>
        <w:rPr>
          <w:rFonts w:hint="eastAsia"/>
          <w:szCs w:val="21"/>
        </w:rPr>
        <w:t>：</w:t>
      </w:r>
    </w:p>
    <w:p w14:paraId="6DB0A58E" w14:textId="77777777" w:rsidR="00F5289E" w:rsidRDefault="00C91173">
      <w:pPr>
        <w:spacing w:line="360" w:lineRule="auto"/>
        <w:ind w:firstLineChars="200" w:firstLine="420"/>
        <w:rPr>
          <w:szCs w:val="21"/>
        </w:rPr>
      </w:pPr>
      <w:r>
        <w:rPr>
          <w:szCs w:val="21"/>
        </w:rPr>
        <w:t>（</w:t>
      </w:r>
      <w:r>
        <w:rPr>
          <w:szCs w:val="21"/>
        </w:rPr>
        <w:t>1</w:t>
      </w:r>
      <w:r>
        <w:rPr>
          <w:szCs w:val="21"/>
        </w:rPr>
        <w:t>）了解理解信息资源类型及相关基础知识和信息检索概念及信息检原理；</w:t>
      </w:r>
    </w:p>
    <w:p w14:paraId="2CCC2C5A" w14:textId="77777777" w:rsidR="00F5289E" w:rsidRDefault="00C91173">
      <w:pPr>
        <w:spacing w:line="360" w:lineRule="auto"/>
        <w:ind w:firstLineChars="200" w:firstLine="420"/>
        <w:rPr>
          <w:szCs w:val="21"/>
        </w:rPr>
      </w:pPr>
      <w:r>
        <w:rPr>
          <w:szCs w:val="21"/>
        </w:rPr>
        <w:t>（</w:t>
      </w:r>
      <w:r>
        <w:rPr>
          <w:szCs w:val="21"/>
        </w:rPr>
        <w:t>2</w:t>
      </w:r>
      <w:r>
        <w:rPr>
          <w:szCs w:val="21"/>
        </w:rPr>
        <w:t>）科技研究方法与写作的发展历史与学习的目的意义，科学研究方法的特性和功能</w:t>
      </w:r>
      <w:r>
        <w:rPr>
          <w:rFonts w:hint="eastAsia"/>
          <w:szCs w:val="21"/>
        </w:rPr>
        <w:t>。</w:t>
      </w:r>
    </w:p>
    <w:p w14:paraId="2FCE4499" w14:textId="77777777" w:rsidR="00F5289E" w:rsidRDefault="00C91173">
      <w:pPr>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rFonts w:hint="eastAsia"/>
          <w:szCs w:val="21"/>
        </w:rPr>
        <w:t>：</w:t>
      </w:r>
    </w:p>
    <w:p w14:paraId="172A7B80" w14:textId="77777777" w:rsidR="00F5289E" w:rsidRDefault="00C91173">
      <w:pPr>
        <w:spacing w:line="360" w:lineRule="auto"/>
        <w:ind w:firstLineChars="200" w:firstLine="420"/>
        <w:rPr>
          <w:szCs w:val="21"/>
        </w:rPr>
      </w:pPr>
      <w:r>
        <w:rPr>
          <w:szCs w:val="21"/>
        </w:rPr>
        <w:t>（</w:t>
      </w:r>
      <w:r>
        <w:rPr>
          <w:szCs w:val="21"/>
        </w:rPr>
        <w:t>1</w:t>
      </w:r>
      <w:r>
        <w:rPr>
          <w:szCs w:val="21"/>
        </w:rPr>
        <w:t>）网络搜索引擎的检索技巧；</w:t>
      </w:r>
    </w:p>
    <w:p w14:paraId="53D08FC7" w14:textId="77777777" w:rsidR="00F5289E" w:rsidRDefault="00C91173">
      <w:pPr>
        <w:spacing w:line="360" w:lineRule="auto"/>
        <w:ind w:firstLineChars="200" w:firstLine="420"/>
        <w:rPr>
          <w:szCs w:val="21"/>
        </w:rPr>
      </w:pPr>
      <w:r>
        <w:rPr>
          <w:szCs w:val="21"/>
        </w:rPr>
        <w:t>（</w:t>
      </w:r>
      <w:r>
        <w:rPr>
          <w:szCs w:val="21"/>
        </w:rPr>
        <w:t>2</w:t>
      </w:r>
      <w:r>
        <w:rPr>
          <w:szCs w:val="21"/>
        </w:rPr>
        <w:t>）科技研究方法的概念</w:t>
      </w:r>
      <w:r>
        <w:rPr>
          <w:rFonts w:hint="eastAsia"/>
          <w:szCs w:val="21"/>
        </w:rPr>
        <w:t>。</w:t>
      </w:r>
    </w:p>
    <w:p w14:paraId="03289A91" w14:textId="77777777" w:rsidR="00F5289E" w:rsidRDefault="00C91173">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47BE54EA" w14:textId="77777777" w:rsidR="00F5289E" w:rsidRDefault="00C91173">
      <w:pPr>
        <w:spacing w:line="360" w:lineRule="auto"/>
        <w:ind w:firstLineChars="200" w:firstLine="420"/>
        <w:rPr>
          <w:szCs w:val="21"/>
        </w:rPr>
      </w:pPr>
      <w:r>
        <w:rPr>
          <w:rFonts w:hint="eastAsia"/>
          <w:szCs w:val="21"/>
        </w:rPr>
        <w:lastRenderedPageBreak/>
        <w:t>1</w:t>
      </w:r>
      <w:r>
        <w:rPr>
          <w:rFonts w:ascii="宋体" w:hAnsi="宋体" w:hint="eastAsia"/>
          <w:b/>
          <w:szCs w:val="21"/>
        </w:rPr>
        <w:t>.</w:t>
      </w:r>
      <w:r>
        <w:rPr>
          <w:szCs w:val="21"/>
        </w:rPr>
        <w:t>理解信息知识、文献、情报的概念和明确资源及其类型</w:t>
      </w:r>
      <w:r>
        <w:rPr>
          <w:rFonts w:hint="eastAsia"/>
          <w:szCs w:val="21"/>
        </w:rPr>
        <w:t>。</w:t>
      </w:r>
    </w:p>
    <w:p w14:paraId="6BCC5D3D" w14:textId="77777777" w:rsidR="00F5289E" w:rsidRDefault="00C91173">
      <w:pPr>
        <w:spacing w:line="360" w:lineRule="auto"/>
        <w:ind w:firstLineChars="200" w:firstLine="420"/>
        <w:rPr>
          <w:szCs w:val="21"/>
        </w:rPr>
      </w:pPr>
      <w:r>
        <w:rPr>
          <w:rFonts w:hint="eastAsia"/>
          <w:szCs w:val="21"/>
        </w:rPr>
        <w:t>2</w:t>
      </w:r>
      <w:r>
        <w:rPr>
          <w:rFonts w:ascii="宋体" w:hAnsi="宋体" w:hint="eastAsia"/>
          <w:b/>
          <w:szCs w:val="21"/>
        </w:rPr>
        <w:t>.</w:t>
      </w:r>
      <w:r>
        <w:rPr>
          <w:szCs w:val="21"/>
        </w:rPr>
        <w:t>论文的要素与功能；科技写作人称的选择与运用</w:t>
      </w:r>
      <w:r>
        <w:rPr>
          <w:rFonts w:hint="eastAsia"/>
          <w:szCs w:val="21"/>
        </w:rPr>
        <w:t>。</w:t>
      </w:r>
    </w:p>
    <w:p w14:paraId="1A21E1E7"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20E40E65" w14:textId="77777777" w:rsidR="00F5289E" w:rsidRDefault="00C91173">
      <w:pPr>
        <w:spacing w:line="360" w:lineRule="auto"/>
        <w:ind w:firstLineChars="200" w:firstLine="422"/>
        <w:rPr>
          <w:szCs w:val="21"/>
        </w:rPr>
      </w:pPr>
      <w:r>
        <w:rPr>
          <w:b/>
          <w:szCs w:val="21"/>
        </w:rPr>
        <w:t>1</w:t>
      </w:r>
      <w:r>
        <w:rPr>
          <w:rFonts w:ascii="宋体" w:hAnsi="宋体" w:hint="eastAsia"/>
          <w:b/>
          <w:szCs w:val="21"/>
        </w:rPr>
        <w:t>.</w:t>
      </w:r>
      <w:r>
        <w:rPr>
          <w:b/>
          <w:szCs w:val="21"/>
        </w:rPr>
        <w:t>识记</w:t>
      </w:r>
      <w:r>
        <w:rPr>
          <w:rFonts w:hint="eastAsia"/>
          <w:szCs w:val="21"/>
        </w:rPr>
        <w:t>：</w:t>
      </w:r>
      <w:r>
        <w:rPr>
          <w:szCs w:val="21"/>
        </w:rPr>
        <w:t>文献、情报的概念</w:t>
      </w:r>
      <w:r>
        <w:rPr>
          <w:rFonts w:hint="eastAsia"/>
          <w:szCs w:val="21"/>
        </w:rPr>
        <w:t>。</w:t>
      </w:r>
    </w:p>
    <w:p w14:paraId="68090A5C" w14:textId="77777777" w:rsidR="00F5289E" w:rsidRDefault="00C91173">
      <w:pPr>
        <w:spacing w:line="360" w:lineRule="auto"/>
        <w:ind w:firstLineChars="200" w:firstLine="422"/>
        <w:rPr>
          <w:szCs w:val="21"/>
        </w:rPr>
      </w:pPr>
      <w:r>
        <w:rPr>
          <w:b/>
          <w:szCs w:val="21"/>
        </w:rPr>
        <w:t>2</w:t>
      </w:r>
      <w:r>
        <w:rPr>
          <w:rFonts w:ascii="宋体" w:hAnsi="宋体" w:hint="eastAsia"/>
          <w:b/>
          <w:szCs w:val="21"/>
        </w:rPr>
        <w:t>.</w:t>
      </w:r>
      <w:r>
        <w:rPr>
          <w:b/>
          <w:szCs w:val="21"/>
        </w:rPr>
        <w:t>领会</w:t>
      </w:r>
      <w:r>
        <w:rPr>
          <w:rFonts w:hint="eastAsia"/>
          <w:szCs w:val="21"/>
        </w:rPr>
        <w:t>：</w:t>
      </w:r>
      <w:r>
        <w:rPr>
          <w:szCs w:val="21"/>
        </w:rPr>
        <w:t>科技写作的作用</w:t>
      </w:r>
      <w:r>
        <w:rPr>
          <w:rFonts w:hint="eastAsia"/>
          <w:szCs w:val="21"/>
        </w:rPr>
        <w:t>。</w:t>
      </w:r>
    </w:p>
    <w:p w14:paraId="3DDF6B2D" w14:textId="77777777" w:rsidR="00F5289E" w:rsidRDefault="00C91173">
      <w:pPr>
        <w:spacing w:line="360" w:lineRule="auto"/>
        <w:ind w:firstLineChars="200" w:firstLine="422"/>
        <w:rPr>
          <w:szCs w:val="21"/>
        </w:rPr>
      </w:pPr>
      <w:r>
        <w:rPr>
          <w:b/>
          <w:szCs w:val="21"/>
        </w:rPr>
        <w:t>3</w:t>
      </w:r>
      <w:r>
        <w:rPr>
          <w:rFonts w:ascii="宋体" w:hAnsi="宋体" w:hint="eastAsia"/>
          <w:b/>
          <w:szCs w:val="21"/>
        </w:rPr>
        <w:t>.</w:t>
      </w:r>
      <w:r>
        <w:rPr>
          <w:b/>
          <w:szCs w:val="21"/>
        </w:rPr>
        <w:t>综合</w:t>
      </w:r>
      <w:r>
        <w:rPr>
          <w:szCs w:val="21"/>
        </w:rPr>
        <w:t>：（</w:t>
      </w:r>
      <w:r>
        <w:rPr>
          <w:szCs w:val="21"/>
        </w:rPr>
        <w:t>1</w:t>
      </w:r>
      <w:r>
        <w:rPr>
          <w:szCs w:val="21"/>
        </w:rPr>
        <w:t>）掌握网络搜索引擎的检索技巧；（</w:t>
      </w:r>
      <w:r>
        <w:rPr>
          <w:szCs w:val="21"/>
        </w:rPr>
        <w:t>2</w:t>
      </w:r>
      <w:r>
        <w:rPr>
          <w:szCs w:val="21"/>
        </w:rPr>
        <w:t>）科学技术研究经历哪些发展阶段？各有何特点？（</w:t>
      </w:r>
      <w:r>
        <w:rPr>
          <w:szCs w:val="21"/>
        </w:rPr>
        <w:t>3</w:t>
      </w:r>
      <w:r>
        <w:rPr>
          <w:szCs w:val="21"/>
        </w:rPr>
        <w:t>）当代大学生如何提高科技写作能力？</w:t>
      </w:r>
    </w:p>
    <w:p w14:paraId="3F1F6B93" w14:textId="77777777" w:rsidR="00F5289E" w:rsidRDefault="00C91173">
      <w:pPr>
        <w:widowControl/>
        <w:snapToGrid w:val="0"/>
        <w:spacing w:beforeLines="50" w:before="156" w:line="360" w:lineRule="auto"/>
        <w:ind w:right="23"/>
        <w:jc w:val="center"/>
        <w:rPr>
          <w:kern w:val="0"/>
          <w:szCs w:val="21"/>
        </w:rPr>
      </w:pPr>
      <w:r>
        <w:rPr>
          <w:rFonts w:hAnsi="宋体"/>
          <w:b/>
          <w:bCs/>
          <w:kern w:val="0"/>
          <w:szCs w:val="21"/>
        </w:rPr>
        <w:t>第</w:t>
      </w:r>
      <w:r>
        <w:rPr>
          <w:rFonts w:hAnsi="宋体" w:hint="eastAsia"/>
          <w:b/>
          <w:bCs/>
          <w:kern w:val="0"/>
          <w:szCs w:val="21"/>
        </w:rPr>
        <w:t>二</w:t>
      </w:r>
      <w:r>
        <w:rPr>
          <w:rFonts w:hAnsi="宋体"/>
          <w:b/>
          <w:bCs/>
          <w:kern w:val="0"/>
          <w:szCs w:val="21"/>
        </w:rPr>
        <w:t>章</w:t>
      </w:r>
      <w:r>
        <w:rPr>
          <w:rFonts w:hint="eastAsia"/>
          <w:b/>
          <w:bCs/>
          <w:kern w:val="0"/>
          <w:szCs w:val="21"/>
        </w:rPr>
        <w:t xml:space="preserve">  </w:t>
      </w:r>
      <w:r>
        <w:rPr>
          <w:rFonts w:hAnsi="宋体"/>
          <w:b/>
          <w:bCs/>
          <w:kern w:val="0"/>
          <w:szCs w:val="21"/>
        </w:rPr>
        <w:t>信息资源及信息检索原理</w:t>
      </w:r>
    </w:p>
    <w:p w14:paraId="336EB228"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38B57482" w14:textId="77777777" w:rsidR="00F5289E" w:rsidRDefault="00C91173">
      <w:pPr>
        <w:spacing w:line="360" w:lineRule="auto"/>
        <w:ind w:firstLineChars="200" w:firstLine="422"/>
        <w:rPr>
          <w:b/>
          <w:szCs w:val="21"/>
        </w:rPr>
      </w:pPr>
      <w:r>
        <w:rPr>
          <w:b/>
          <w:szCs w:val="21"/>
        </w:rPr>
        <w:t>1</w:t>
      </w:r>
      <w:r>
        <w:rPr>
          <w:rFonts w:ascii="宋体" w:hAnsi="宋体" w:hint="eastAsia"/>
          <w:b/>
          <w:szCs w:val="21"/>
        </w:rPr>
        <w:t>.</w:t>
      </w:r>
      <w:r>
        <w:rPr>
          <w:b/>
          <w:szCs w:val="21"/>
        </w:rPr>
        <w:t>一般了解</w:t>
      </w:r>
      <w:r>
        <w:rPr>
          <w:b/>
          <w:szCs w:val="21"/>
        </w:rPr>
        <w:t>:</w:t>
      </w:r>
    </w:p>
    <w:p w14:paraId="2443801C" w14:textId="77777777" w:rsidR="00F5289E" w:rsidRDefault="00C91173">
      <w:pPr>
        <w:spacing w:line="360" w:lineRule="auto"/>
        <w:ind w:firstLineChars="200" w:firstLine="420"/>
        <w:rPr>
          <w:szCs w:val="21"/>
        </w:rPr>
      </w:pPr>
      <w:r>
        <w:rPr>
          <w:szCs w:val="21"/>
        </w:rPr>
        <w:t>（</w:t>
      </w:r>
      <w:r>
        <w:rPr>
          <w:szCs w:val="21"/>
        </w:rPr>
        <w:t>1</w:t>
      </w:r>
      <w:r>
        <w:rPr>
          <w:szCs w:val="21"/>
        </w:rPr>
        <w:t>）理解信息知识、文献、情报的概念和明确资源及其类型；</w:t>
      </w:r>
    </w:p>
    <w:p w14:paraId="4C9686B1" w14:textId="77777777" w:rsidR="00F5289E" w:rsidRDefault="00C91173">
      <w:pPr>
        <w:spacing w:line="360" w:lineRule="auto"/>
        <w:ind w:firstLineChars="200" w:firstLine="420"/>
        <w:rPr>
          <w:szCs w:val="21"/>
        </w:rPr>
      </w:pPr>
      <w:r>
        <w:rPr>
          <w:szCs w:val="21"/>
        </w:rPr>
        <w:t>（</w:t>
      </w:r>
      <w:r>
        <w:rPr>
          <w:szCs w:val="21"/>
        </w:rPr>
        <w:t>2</w:t>
      </w:r>
      <w:r>
        <w:rPr>
          <w:szCs w:val="21"/>
        </w:rPr>
        <w:t>）了解积累资料的作用、科技文献的种类和资料搜集的途径</w:t>
      </w:r>
      <w:r>
        <w:rPr>
          <w:rFonts w:hint="eastAsia"/>
          <w:szCs w:val="21"/>
        </w:rPr>
        <w:t>。</w:t>
      </w:r>
    </w:p>
    <w:p w14:paraId="45BA09F2" w14:textId="77777777" w:rsidR="00F5289E" w:rsidRDefault="00C91173">
      <w:pPr>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szCs w:val="21"/>
        </w:rPr>
        <w:t>：</w:t>
      </w:r>
    </w:p>
    <w:p w14:paraId="0D1C53FF" w14:textId="77777777" w:rsidR="00F5289E" w:rsidRDefault="00C91173">
      <w:pPr>
        <w:spacing w:line="360" w:lineRule="auto"/>
        <w:ind w:firstLineChars="200" w:firstLine="420"/>
        <w:rPr>
          <w:szCs w:val="21"/>
        </w:rPr>
      </w:pPr>
      <w:r>
        <w:rPr>
          <w:szCs w:val="21"/>
        </w:rPr>
        <w:t>不同文献出版形式的信息资源多种类型；信息与知识、文献、情报的关系。科技综述的概念与特点、作用与意义；科技综述写作方法。</w:t>
      </w:r>
    </w:p>
    <w:p w14:paraId="12CF1144" w14:textId="77777777" w:rsidR="00F5289E" w:rsidRDefault="00C91173">
      <w:pPr>
        <w:spacing w:line="360" w:lineRule="auto"/>
        <w:ind w:firstLineChars="200" w:firstLine="422"/>
        <w:rPr>
          <w:szCs w:val="21"/>
        </w:rPr>
      </w:pPr>
      <w:r>
        <w:rPr>
          <w:b/>
          <w:szCs w:val="21"/>
        </w:rPr>
        <w:t>3</w:t>
      </w:r>
      <w:r>
        <w:rPr>
          <w:rFonts w:ascii="宋体" w:hAnsi="宋体" w:hint="eastAsia"/>
          <w:b/>
          <w:szCs w:val="21"/>
        </w:rPr>
        <w:t>.</w:t>
      </w:r>
      <w:r>
        <w:rPr>
          <w:rFonts w:hint="eastAsia"/>
          <w:b/>
          <w:szCs w:val="21"/>
        </w:rPr>
        <w:t>熟练掌握</w:t>
      </w:r>
      <w:r>
        <w:rPr>
          <w:szCs w:val="21"/>
        </w:rPr>
        <w:t>：</w:t>
      </w:r>
    </w:p>
    <w:p w14:paraId="2CD616F3" w14:textId="77777777" w:rsidR="00F5289E" w:rsidRDefault="00C91173">
      <w:pPr>
        <w:spacing w:line="360" w:lineRule="auto"/>
        <w:ind w:firstLineChars="200" w:firstLine="420"/>
        <w:rPr>
          <w:szCs w:val="21"/>
        </w:rPr>
      </w:pPr>
      <w:r>
        <w:rPr>
          <w:szCs w:val="21"/>
        </w:rPr>
        <w:t>学会使用</w:t>
      </w:r>
      <w:r>
        <w:rPr>
          <w:rFonts w:hint="eastAsia"/>
          <w:szCs w:val="21"/>
        </w:rPr>
        <w:t>中国知网</w:t>
      </w:r>
      <w:r>
        <w:rPr>
          <w:szCs w:val="21"/>
        </w:rPr>
        <w:t>数据资源系统的单库检索和跨库检索，能根据检索要求正确选择多个或单个数据库进行检索。</w:t>
      </w:r>
    </w:p>
    <w:p w14:paraId="2C3B396D" w14:textId="77777777" w:rsidR="00F5289E" w:rsidRDefault="00C91173">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7716D992" w14:textId="77777777" w:rsidR="00F5289E" w:rsidRDefault="00C91173">
      <w:pPr>
        <w:snapToGrid w:val="0"/>
        <w:spacing w:line="360" w:lineRule="auto"/>
        <w:ind w:firstLineChars="200" w:firstLine="420"/>
        <w:rPr>
          <w:b/>
          <w:szCs w:val="21"/>
        </w:rPr>
      </w:pPr>
      <w:r>
        <w:rPr>
          <w:szCs w:val="21"/>
        </w:rPr>
        <w:t>搜索引擎，科技文献分类，综述，文献资料检索</w:t>
      </w:r>
      <w:r>
        <w:rPr>
          <w:rFonts w:hint="eastAsia"/>
          <w:szCs w:val="21"/>
        </w:rPr>
        <w:t>。</w:t>
      </w:r>
    </w:p>
    <w:p w14:paraId="42A5A11D"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67229EBD" w14:textId="77777777" w:rsidR="00F5289E" w:rsidRDefault="00C91173">
      <w:pPr>
        <w:snapToGrid w:val="0"/>
        <w:spacing w:line="360" w:lineRule="auto"/>
        <w:ind w:firstLineChars="200" w:firstLine="422"/>
        <w:rPr>
          <w:b/>
          <w:szCs w:val="21"/>
        </w:rPr>
      </w:pPr>
      <w:r>
        <w:rPr>
          <w:b/>
          <w:szCs w:val="21"/>
        </w:rPr>
        <w:t>1</w:t>
      </w:r>
      <w:r>
        <w:rPr>
          <w:rFonts w:ascii="宋体" w:hAnsi="宋体" w:hint="eastAsia"/>
          <w:b/>
          <w:szCs w:val="21"/>
        </w:rPr>
        <w:t>.</w:t>
      </w:r>
      <w:r>
        <w:rPr>
          <w:b/>
          <w:szCs w:val="21"/>
        </w:rPr>
        <w:t>识记</w:t>
      </w:r>
      <w:r>
        <w:rPr>
          <w:szCs w:val="21"/>
        </w:rPr>
        <w:t>：基本概念：信息资源多种类型</w:t>
      </w:r>
      <w:r>
        <w:rPr>
          <w:rFonts w:hint="eastAsia"/>
          <w:szCs w:val="21"/>
        </w:rPr>
        <w:t>。</w:t>
      </w:r>
      <w:r>
        <w:rPr>
          <w:szCs w:val="21"/>
        </w:rPr>
        <w:t xml:space="preserve"> </w:t>
      </w:r>
    </w:p>
    <w:p w14:paraId="3630A442"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领会</w:t>
      </w:r>
      <w:r>
        <w:rPr>
          <w:szCs w:val="21"/>
        </w:rPr>
        <w:t>：信息与知识、文献、情报的关系</w:t>
      </w:r>
      <w:r>
        <w:rPr>
          <w:rFonts w:hint="eastAsia"/>
          <w:szCs w:val="21"/>
        </w:rPr>
        <w:t>。</w:t>
      </w:r>
    </w:p>
    <w:p w14:paraId="031A4B87" w14:textId="77777777" w:rsidR="00F5289E" w:rsidRDefault="00C91173">
      <w:pPr>
        <w:snapToGrid w:val="0"/>
        <w:spacing w:line="360" w:lineRule="auto"/>
        <w:ind w:firstLineChars="200" w:firstLine="422"/>
        <w:rPr>
          <w:b/>
          <w:szCs w:val="21"/>
        </w:rPr>
      </w:pPr>
      <w:r>
        <w:rPr>
          <w:b/>
          <w:szCs w:val="21"/>
        </w:rPr>
        <w:t>3</w:t>
      </w:r>
      <w:r>
        <w:rPr>
          <w:rFonts w:ascii="宋体" w:hAnsi="宋体" w:hint="eastAsia"/>
          <w:b/>
          <w:szCs w:val="21"/>
        </w:rPr>
        <w:t>.</w:t>
      </w:r>
      <w:r>
        <w:rPr>
          <w:b/>
          <w:szCs w:val="21"/>
        </w:rPr>
        <w:t>应用</w:t>
      </w:r>
      <w:r>
        <w:rPr>
          <w:szCs w:val="21"/>
        </w:rPr>
        <w:t>：网络检索方法</w:t>
      </w:r>
      <w:r>
        <w:rPr>
          <w:rFonts w:hint="eastAsia"/>
          <w:szCs w:val="21"/>
        </w:rPr>
        <w:t>。</w:t>
      </w:r>
    </w:p>
    <w:p w14:paraId="22D01B77" w14:textId="77777777" w:rsidR="00F5289E" w:rsidRDefault="00C91173">
      <w:pPr>
        <w:snapToGrid w:val="0"/>
        <w:spacing w:line="360" w:lineRule="auto"/>
        <w:ind w:firstLineChars="200" w:firstLine="422"/>
        <w:rPr>
          <w:b/>
          <w:sz w:val="24"/>
        </w:rPr>
      </w:pPr>
      <w:r>
        <w:rPr>
          <w:b/>
          <w:szCs w:val="21"/>
        </w:rPr>
        <w:t>4</w:t>
      </w:r>
      <w:r>
        <w:rPr>
          <w:rFonts w:ascii="宋体" w:hAnsi="宋体" w:hint="eastAsia"/>
          <w:b/>
          <w:szCs w:val="21"/>
        </w:rPr>
        <w:t>.</w:t>
      </w:r>
      <w:r>
        <w:rPr>
          <w:b/>
          <w:szCs w:val="21"/>
        </w:rPr>
        <w:t>综合</w:t>
      </w:r>
      <w:r>
        <w:rPr>
          <w:szCs w:val="21"/>
        </w:rPr>
        <w:t>：网络检索方法，科技综述观点的提炼</w:t>
      </w:r>
      <w:r>
        <w:rPr>
          <w:rFonts w:hint="eastAsia"/>
          <w:szCs w:val="21"/>
        </w:rPr>
        <w:t>。</w:t>
      </w:r>
    </w:p>
    <w:p w14:paraId="24BA5829" w14:textId="77777777" w:rsidR="00F5289E" w:rsidRDefault="00C91173">
      <w:pPr>
        <w:spacing w:line="360" w:lineRule="auto"/>
        <w:jc w:val="center"/>
        <w:rPr>
          <w:b/>
          <w:kern w:val="0"/>
          <w:szCs w:val="21"/>
        </w:rPr>
      </w:pPr>
      <w:r>
        <w:rPr>
          <w:b/>
          <w:bCs/>
          <w:kern w:val="0"/>
          <w:szCs w:val="21"/>
        </w:rPr>
        <w:t>第</w:t>
      </w:r>
      <w:r>
        <w:rPr>
          <w:rFonts w:hint="eastAsia"/>
          <w:b/>
          <w:bCs/>
          <w:kern w:val="0"/>
          <w:szCs w:val="21"/>
        </w:rPr>
        <w:t>三</w:t>
      </w:r>
      <w:r>
        <w:rPr>
          <w:b/>
          <w:bCs/>
          <w:kern w:val="0"/>
          <w:szCs w:val="21"/>
        </w:rPr>
        <w:t>章</w:t>
      </w:r>
      <w:r>
        <w:rPr>
          <w:b/>
          <w:bCs/>
          <w:kern w:val="0"/>
          <w:szCs w:val="21"/>
        </w:rPr>
        <w:t xml:space="preserve">  </w:t>
      </w:r>
      <w:r>
        <w:rPr>
          <w:b/>
          <w:bCs/>
          <w:kern w:val="0"/>
          <w:szCs w:val="21"/>
        </w:rPr>
        <w:t>课题类型与科研选题</w:t>
      </w:r>
    </w:p>
    <w:p w14:paraId="1BD4E2A8"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5107FEA1" w14:textId="77777777" w:rsidR="00F5289E" w:rsidRDefault="00C91173">
      <w:pPr>
        <w:widowControl/>
        <w:snapToGrid w:val="0"/>
        <w:spacing w:line="360" w:lineRule="auto"/>
        <w:ind w:firstLineChars="200" w:firstLine="422"/>
        <w:rPr>
          <w:b/>
          <w:szCs w:val="21"/>
        </w:rPr>
      </w:pPr>
      <w:r>
        <w:rPr>
          <w:b/>
          <w:szCs w:val="21"/>
        </w:rPr>
        <w:t>1</w:t>
      </w:r>
      <w:r>
        <w:rPr>
          <w:rFonts w:ascii="宋体" w:hAnsi="宋体" w:hint="eastAsia"/>
          <w:b/>
          <w:szCs w:val="21"/>
        </w:rPr>
        <w:t>.</w:t>
      </w:r>
      <w:r>
        <w:rPr>
          <w:b/>
          <w:szCs w:val="21"/>
        </w:rPr>
        <w:t>一般了解</w:t>
      </w:r>
      <w:r>
        <w:rPr>
          <w:rFonts w:hint="eastAsia"/>
          <w:szCs w:val="21"/>
        </w:rPr>
        <w:t>：</w:t>
      </w:r>
    </w:p>
    <w:p w14:paraId="3AC037C9" w14:textId="77777777" w:rsidR="00F5289E" w:rsidRDefault="00C91173">
      <w:pPr>
        <w:widowControl/>
        <w:snapToGrid w:val="0"/>
        <w:spacing w:line="360" w:lineRule="auto"/>
        <w:ind w:firstLineChars="200" w:firstLine="420"/>
        <w:rPr>
          <w:b/>
          <w:kern w:val="0"/>
          <w:szCs w:val="21"/>
        </w:rPr>
      </w:pPr>
      <w:r>
        <w:rPr>
          <w:szCs w:val="21"/>
          <w:lang w:val="zh-CN"/>
        </w:rPr>
        <w:t>科学研究课题的类型、科研选题的基本概念与目的意义</w:t>
      </w:r>
      <w:r>
        <w:rPr>
          <w:rFonts w:hint="eastAsia"/>
          <w:szCs w:val="21"/>
          <w:lang w:val="zh-CN"/>
        </w:rPr>
        <w:t>。</w:t>
      </w:r>
    </w:p>
    <w:p w14:paraId="7B28F6ED" w14:textId="77777777" w:rsidR="00F5289E" w:rsidRDefault="00C91173">
      <w:pPr>
        <w:widowControl/>
        <w:snapToGrid w:val="0"/>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szCs w:val="21"/>
        </w:rPr>
        <w:t>：</w:t>
      </w:r>
    </w:p>
    <w:p w14:paraId="6D95EB4A" w14:textId="77777777" w:rsidR="00F5289E" w:rsidRDefault="00C91173">
      <w:pPr>
        <w:widowControl/>
        <w:snapToGrid w:val="0"/>
        <w:spacing w:line="360" w:lineRule="auto"/>
        <w:ind w:firstLineChars="200" w:firstLine="420"/>
        <w:rPr>
          <w:b/>
        </w:rPr>
      </w:pPr>
      <w:r>
        <w:rPr>
          <w:szCs w:val="21"/>
        </w:rPr>
        <w:lastRenderedPageBreak/>
        <w:t>不同科研项目的类型及申报形式的多种类型；信息与知识、文献、情报的关系。科研选题的概念与特点、作用与意义；科研选题常规作法。</w:t>
      </w:r>
    </w:p>
    <w:p w14:paraId="2B706634" w14:textId="77777777" w:rsidR="00F5289E" w:rsidRDefault="00C91173">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120D9729" w14:textId="77777777" w:rsidR="00F5289E" w:rsidRDefault="00C91173">
      <w:pPr>
        <w:snapToGrid w:val="0"/>
        <w:spacing w:line="360" w:lineRule="auto"/>
        <w:ind w:firstLineChars="200" w:firstLine="420"/>
        <w:rPr>
          <w:b/>
          <w:szCs w:val="21"/>
        </w:rPr>
      </w:pPr>
      <w:r>
        <w:rPr>
          <w:szCs w:val="21"/>
        </w:rPr>
        <w:t>科研项目分类，项目申报程序，选题的主要途径与注意事项，申报书撰写要点</w:t>
      </w:r>
      <w:r>
        <w:rPr>
          <w:rFonts w:hint="eastAsia"/>
          <w:szCs w:val="21"/>
        </w:rPr>
        <w:t>。</w:t>
      </w:r>
    </w:p>
    <w:p w14:paraId="2E6CB133"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1AD6B8F0" w14:textId="77777777" w:rsidR="00F5289E" w:rsidRDefault="00C91173">
      <w:pPr>
        <w:spacing w:line="360" w:lineRule="auto"/>
        <w:ind w:firstLineChars="200" w:firstLine="422"/>
        <w:rPr>
          <w:szCs w:val="21"/>
        </w:rPr>
      </w:pPr>
      <w:r>
        <w:rPr>
          <w:b/>
          <w:szCs w:val="21"/>
        </w:rPr>
        <w:t>1</w:t>
      </w:r>
      <w:r>
        <w:rPr>
          <w:rFonts w:ascii="宋体" w:hAnsi="宋体" w:hint="eastAsia"/>
          <w:b/>
          <w:szCs w:val="21"/>
        </w:rPr>
        <w:t>.</w:t>
      </w:r>
      <w:r>
        <w:rPr>
          <w:b/>
          <w:szCs w:val="21"/>
        </w:rPr>
        <w:t>识记</w:t>
      </w:r>
      <w:r>
        <w:rPr>
          <w:szCs w:val="21"/>
        </w:rPr>
        <w:t>：基本概念：课题；论题；题目；选题。</w:t>
      </w:r>
    </w:p>
    <w:p w14:paraId="3A8186A3"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领会</w:t>
      </w:r>
      <w:r>
        <w:rPr>
          <w:szCs w:val="21"/>
        </w:rPr>
        <w:t>：不同科技项目获取的途径与方法</w:t>
      </w:r>
      <w:r>
        <w:rPr>
          <w:rFonts w:hint="eastAsia"/>
          <w:szCs w:val="21"/>
        </w:rPr>
        <w:t>。</w:t>
      </w:r>
    </w:p>
    <w:p w14:paraId="1616DE94" w14:textId="77777777" w:rsidR="00F5289E" w:rsidRDefault="00C91173">
      <w:pPr>
        <w:snapToGrid w:val="0"/>
        <w:spacing w:line="360" w:lineRule="auto"/>
        <w:ind w:firstLineChars="200" w:firstLine="422"/>
        <w:rPr>
          <w:b/>
          <w:szCs w:val="21"/>
        </w:rPr>
      </w:pPr>
      <w:r>
        <w:rPr>
          <w:b/>
          <w:szCs w:val="21"/>
        </w:rPr>
        <w:t>3</w:t>
      </w:r>
      <w:r>
        <w:rPr>
          <w:rFonts w:ascii="宋体" w:hAnsi="宋体" w:hint="eastAsia"/>
          <w:b/>
          <w:szCs w:val="21"/>
        </w:rPr>
        <w:t>.</w:t>
      </w:r>
      <w:r>
        <w:rPr>
          <w:b/>
          <w:szCs w:val="21"/>
        </w:rPr>
        <w:t>应用</w:t>
      </w:r>
      <w:r>
        <w:rPr>
          <w:szCs w:val="21"/>
        </w:rPr>
        <w:t>：进行正确科研选题的方法步骤</w:t>
      </w:r>
      <w:r>
        <w:rPr>
          <w:rFonts w:hint="eastAsia"/>
          <w:szCs w:val="21"/>
        </w:rPr>
        <w:t>。</w:t>
      </w:r>
    </w:p>
    <w:p w14:paraId="0665928F" w14:textId="77777777" w:rsidR="00F5289E" w:rsidRDefault="00C91173">
      <w:pPr>
        <w:snapToGrid w:val="0"/>
        <w:spacing w:line="360" w:lineRule="auto"/>
        <w:ind w:firstLineChars="200" w:firstLine="422"/>
        <w:rPr>
          <w:szCs w:val="21"/>
        </w:rPr>
      </w:pPr>
      <w:r>
        <w:rPr>
          <w:b/>
          <w:szCs w:val="21"/>
        </w:rPr>
        <w:t>4</w:t>
      </w:r>
      <w:r>
        <w:rPr>
          <w:rFonts w:ascii="宋体" w:hAnsi="宋体" w:hint="eastAsia"/>
          <w:b/>
          <w:szCs w:val="21"/>
        </w:rPr>
        <w:t>.</w:t>
      </w:r>
      <w:r>
        <w:rPr>
          <w:b/>
          <w:szCs w:val="21"/>
        </w:rPr>
        <w:t>综合</w:t>
      </w:r>
      <w:r>
        <w:rPr>
          <w:szCs w:val="21"/>
        </w:rPr>
        <w:t>：科技项目申报书创新点的提炼及项目书撰写。</w:t>
      </w:r>
    </w:p>
    <w:p w14:paraId="01B433AC" w14:textId="77777777" w:rsidR="00F5289E" w:rsidRDefault="00C91173">
      <w:pPr>
        <w:spacing w:line="360" w:lineRule="auto"/>
        <w:jc w:val="center"/>
        <w:rPr>
          <w:b/>
          <w:bCs/>
          <w:kern w:val="0"/>
          <w:szCs w:val="21"/>
        </w:rPr>
      </w:pPr>
      <w:r>
        <w:rPr>
          <w:b/>
          <w:bCs/>
          <w:kern w:val="0"/>
          <w:szCs w:val="21"/>
        </w:rPr>
        <w:t>第</w:t>
      </w:r>
      <w:r>
        <w:rPr>
          <w:rFonts w:hint="eastAsia"/>
          <w:b/>
          <w:bCs/>
          <w:kern w:val="0"/>
          <w:szCs w:val="21"/>
        </w:rPr>
        <w:t>四</w:t>
      </w:r>
      <w:r>
        <w:rPr>
          <w:b/>
          <w:bCs/>
          <w:kern w:val="0"/>
          <w:szCs w:val="21"/>
        </w:rPr>
        <w:t>章</w:t>
      </w:r>
      <w:r>
        <w:rPr>
          <w:b/>
          <w:bCs/>
          <w:kern w:val="0"/>
          <w:szCs w:val="21"/>
        </w:rPr>
        <w:t xml:space="preserve">  </w:t>
      </w:r>
      <w:r>
        <w:rPr>
          <w:b/>
          <w:bCs/>
          <w:kern w:val="0"/>
          <w:szCs w:val="21"/>
        </w:rPr>
        <w:t>论文规范与写作技巧</w:t>
      </w:r>
    </w:p>
    <w:p w14:paraId="792EF80A"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19EE9E6F" w14:textId="77777777" w:rsidR="00F5289E" w:rsidRDefault="00C91173">
      <w:pPr>
        <w:snapToGrid w:val="0"/>
        <w:spacing w:line="360" w:lineRule="auto"/>
        <w:ind w:firstLineChars="200" w:firstLine="422"/>
        <w:rPr>
          <w:szCs w:val="21"/>
        </w:rPr>
      </w:pPr>
      <w:r>
        <w:rPr>
          <w:b/>
          <w:szCs w:val="21"/>
        </w:rPr>
        <w:t>1</w:t>
      </w:r>
      <w:r>
        <w:rPr>
          <w:rFonts w:ascii="宋体" w:hAnsi="宋体" w:hint="eastAsia"/>
          <w:b/>
          <w:szCs w:val="21"/>
        </w:rPr>
        <w:t>.</w:t>
      </w:r>
      <w:r>
        <w:rPr>
          <w:b/>
          <w:szCs w:val="21"/>
        </w:rPr>
        <w:t>一般了解</w:t>
      </w:r>
      <w:r>
        <w:rPr>
          <w:szCs w:val="21"/>
        </w:rPr>
        <w:t>：</w:t>
      </w:r>
      <w:r>
        <w:rPr>
          <w:kern w:val="0"/>
          <w:szCs w:val="21"/>
          <w:lang w:val="zh-CN"/>
        </w:rPr>
        <w:t>技论文的基本要求与撰写步骤</w:t>
      </w:r>
      <w:r>
        <w:rPr>
          <w:rFonts w:hint="eastAsia"/>
          <w:kern w:val="0"/>
          <w:szCs w:val="21"/>
          <w:lang w:val="zh-CN"/>
        </w:rPr>
        <w:t>。</w:t>
      </w:r>
    </w:p>
    <w:p w14:paraId="7240CA09" w14:textId="77777777" w:rsidR="00F5289E" w:rsidRDefault="00C91173">
      <w:pPr>
        <w:snapToGrid w:val="0"/>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szCs w:val="21"/>
        </w:rPr>
        <w:t>：</w:t>
      </w:r>
      <w:r>
        <w:rPr>
          <w:kern w:val="0"/>
          <w:szCs w:val="21"/>
          <w:lang w:val="zh-CN"/>
        </w:rPr>
        <w:t>科技论文的表达方式与写作技巧</w:t>
      </w:r>
      <w:r>
        <w:rPr>
          <w:rFonts w:hint="eastAsia"/>
          <w:kern w:val="0"/>
          <w:szCs w:val="21"/>
          <w:lang w:val="zh-CN"/>
        </w:rPr>
        <w:t>。</w:t>
      </w:r>
    </w:p>
    <w:p w14:paraId="3A93A093" w14:textId="77777777" w:rsidR="00F5289E" w:rsidRDefault="00C91173">
      <w:pPr>
        <w:snapToGrid w:val="0"/>
        <w:spacing w:line="360" w:lineRule="auto"/>
        <w:ind w:firstLineChars="200" w:firstLine="422"/>
        <w:rPr>
          <w:b/>
          <w:szCs w:val="21"/>
        </w:rPr>
      </w:pPr>
      <w:r>
        <w:rPr>
          <w:b/>
          <w:szCs w:val="21"/>
        </w:rPr>
        <w:t>3</w:t>
      </w:r>
      <w:r>
        <w:rPr>
          <w:rFonts w:ascii="宋体" w:hAnsi="宋体" w:hint="eastAsia"/>
          <w:b/>
          <w:szCs w:val="21"/>
        </w:rPr>
        <w:t>.</w:t>
      </w:r>
      <w:r>
        <w:rPr>
          <w:b/>
          <w:szCs w:val="21"/>
        </w:rPr>
        <w:t>熟练掌握</w:t>
      </w:r>
      <w:r>
        <w:rPr>
          <w:szCs w:val="21"/>
        </w:rPr>
        <w:t>：掌握</w:t>
      </w:r>
      <w:r>
        <w:rPr>
          <w:kern w:val="0"/>
          <w:szCs w:val="21"/>
          <w:lang w:val="zh-CN"/>
        </w:rPr>
        <w:t>科技论文的写作格式</w:t>
      </w:r>
      <w:r>
        <w:rPr>
          <w:rFonts w:hint="eastAsia"/>
          <w:kern w:val="0"/>
          <w:szCs w:val="21"/>
          <w:lang w:val="zh-CN"/>
        </w:rPr>
        <w:t>。</w:t>
      </w:r>
    </w:p>
    <w:p w14:paraId="4C83F10E" w14:textId="77777777" w:rsidR="00F5289E" w:rsidRDefault="00C91173">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7CC39520" w14:textId="77777777" w:rsidR="00F5289E" w:rsidRDefault="00C91173">
      <w:pPr>
        <w:snapToGrid w:val="0"/>
        <w:spacing w:line="360" w:lineRule="auto"/>
        <w:ind w:firstLineChars="200" w:firstLine="420"/>
        <w:rPr>
          <w:kern w:val="0"/>
          <w:szCs w:val="21"/>
          <w:lang w:val="zh-CN"/>
        </w:rPr>
      </w:pPr>
      <w:r>
        <w:rPr>
          <w:szCs w:val="21"/>
        </w:rPr>
        <w:t>科研论文；</w:t>
      </w:r>
      <w:r>
        <w:rPr>
          <w:kern w:val="0"/>
          <w:szCs w:val="21"/>
          <w:lang w:val="zh-CN"/>
        </w:rPr>
        <w:t>报道性文摘；指示性文摘；报道</w:t>
      </w:r>
      <w:r>
        <w:rPr>
          <w:kern w:val="0"/>
          <w:szCs w:val="21"/>
          <w:lang w:val="zh-CN"/>
        </w:rPr>
        <w:t>-</w:t>
      </w:r>
      <w:r>
        <w:rPr>
          <w:kern w:val="0"/>
          <w:szCs w:val="21"/>
          <w:lang w:val="zh-CN"/>
        </w:rPr>
        <w:t>指示性文摘；关键词；主题词；分类号；顺序编码制；著者</w:t>
      </w:r>
      <w:r>
        <w:rPr>
          <w:kern w:val="0"/>
          <w:szCs w:val="21"/>
          <w:lang w:val="zh-CN"/>
        </w:rPr>
        <w:t>—</w:t>
      </w:r>
      <w:r>
        <w:rPr>
          <w:kern w:val="0"/>
          <w:szCs w:val="21"/>
          <w:lang w:val="zh-CN"/>
        </w:rPr>
        <w:t>出版年制</w:t>
      </w:r>
      <w:r>
        <w:rPr>
          <w:rFonts w:hint="eastAsia"/>
          <w:kern w:val="0"/>
          <w:szCs w:val="21"/>
          <w:lang w:val="zh-CN"/>
        </w:rPr>
        <w:t>。</w:t>
      </w:r>
    </w:p>
    <w:p w14:paraId="763CF42B"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1B700617" w14:textId="77777777" w:rsidR="00F5289E" w:rsidRDefault="00C91173">
      <w:pPr>
        <w:spacing w:line="360" w:lineRule="auto"/>
        <w:ind w:firstLineChars="200" w:firstLine="422"/>
        <w:rPr>
          <w:b/>
          <w:szCs w:val="21"/>
        </w:rPr>
      </w:pPr>
      <w:r>
        <w:rPr>
          <w:b/>
          <w:szCs w:val="21"/>
        </w:rPr>
        <w:t>1</w:t>
      </w:r>
      <w:r>
        <w:rPr>
          <w:rFonts w:ascii="宋体" w:hAnsi="宋体" w:hint="eastAsia"/>
          <w:b/>
          <w:szCs w:val="21"/>
        </w:rPr>
        <w:t>.</w:t>
      </w:r>
      <w:r>
        <w:rPr>
          <w:b/>
          <w:szCs w:val="21"/>
        </w:rPr>
        <w:t>识记</w:t>
      </w:r>
      <w:r>
        <w:rPr>
          <w:szCs w:val="21"/>
        </w:rPr>
        <w:t>：学术论文分类主要内容</w:t>
      </w:r>
      <w:r>
        <w:rPr>
          <w:rFonts w:hint="eastAsia"/>
          <w:szCs w:val="21"/>
        </w:rPr>
        <w:t>。</w:t>
      </w:r>
    </w:p>
    <w:p w14:paraId="33A66C8F"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领会</w:t>
      </w:r>
      <w:r>
        <w:rPr>
          <w:szCs w:val="21"/>
        </w:rPr>
        <w:t>：学术论文写作标准</w:t>
      </w:r>
      <w:r>
        <w:rPr>
          <w:rFonts w:hint="eastAsia"/>
          <w:szCs w:val="21"/>
        </w:rPr>
        <w:t>。</w:t>
      </w:r>
    </w:p>
    <w:p w14:paraId="129F7960" w14:textId="77777777" w:rsidR="00F5289E" w:rsidRDefault="00C91173">
      <w:pPr>
        <w:snapToGrid w:val="0"/>
        <w:spacing w:line="360" w:lineRule="auto"/>
        <w:ind w:firstLineChars="200" w:firstLine="422"/>
        <w:rPr>
          <w:b/>
          <w:szCs w:val="21"/>
        </w:rPr>
      </w:pPr>
      <w:r>
        <w:rPr>
          <w:b/>
          <w:szCs w:val="21"/>
        </w:rPr>
        <w:t>3</w:t>
      </w:r>
      <w:r>
        <w:rPr>
          <w:rFonts w:ascii="宋体" w:hAnsi="宋体" w:hint="eastAsia"/>
          <w:b/>
          <w:szCs w:val="21"/>
        </w:rPr>
        <w:t>.</w:t>
      </w:r>
      <w:r>
        <w:rPr>
          <w:b/>
          <w:szCs w:val="21"/>
        </w:rPr>
        <w:t>应用</w:t>
      </w:r>
      <w:r>
        <w:rPr>
          <w:szCs w:val="21"/>
        </w:rPr>
        <w:t>：</w:t>
      </w:r>
      <w:r>
        <w:rPr>
          <w:kern w:val="0"/>
          <w:szCs w:val="21"/>
          <w:lang w:val="zh-CN"/>
        </w:rPr>
        <w:t>科技论文的表达方式与写作技巧</w:t>
      </w:r>
      <w:r>
        <w:rPr>
          <w:rFonts w:hint="eastAsia"/>
          <w:kern w:val="0"/>
          <w:szCs w:val="21"/>
          <w:lang w:val="zh-CN"/>
        </w:rPr>
        <w:t>。</w:t>
      </w:r>
    </w:p>
    <w:p w14:paraId="0B002009" w14:textId="77777777" w:rsidR="00F5289E" w:rsidRDefault="00C91173">
      <w:pPr>
        <w:snapToGrid w:val="0"/>
        <w:spacing w:line="360" w:lineRule="auto"/>
        <w:ind w:firstLineChars="200" w:firstLine="422"/>
        <w:rPr>
          <w:b/>
          <w:szCs w:val="21"/>
        </w:rPr>
      </w:pPr>
      <w:r>
        <w:rPr>
          <w:b/>
          <w:szCs w:val="21"/>
        </w:rPr>
        <w:t>4</w:t>
      </w:r>
      <w:r>
        <w:rPr>
          <w:rFonts w:ascii="宋体" w:hAnsi="宋体" w:hint="eastAsia"/>
          <w:b/>
          <w:szCs w:val="21"/>
        </w:rPr>
        <w:t>.</w:t>
      </w:r>
      <w:r>
        <w:rPr>
          <w:b/>
          <w:szCs w:val="21"/>
        </w:rPr>
        <w:t>综合：</w:t>
      </w:r>
      <w:r>
        <w:rPr>
          <w:kern w:val="0"/>
          <w:szCs w:val="21"/>
          <w:lang w:val="zh-CN"/>
        </w:rPr>
        <w:t>科技论文的层次标题</w:t>
      </w:r>
      <w:r>
        <w:rPr>
          <w:rFonts w:hint="eastAsia"/>
          <w:kern w:val="0"/>
          <w:szCs w:val="21"/>
          <w:lang w:val="zh-CN"/>
        </w:rPr>
        <w:t>。</w:t>
      </w:r>
    </w:p>
    <w:p w14:paraId="1ED9A9AD" w14:textId="77777777" w:rsidR="00F5289E" w:rsidRDefault="00C91173">
      <w:pPr>
        <w:spacing w:line="360" w:lineRule="auto"/>
        <w:jc w:val="center"/>
        <w:rPr>
          <w:b/>
          <w:bCs/>
          <w:kern w:val="0"/>
          <w:szCs w:val="21"/>
        </w:rPr>
      </w:pPr>
      <w:r>
        <w:rPr>
          <w:b/>
          <w:bCs/>
          <w:kern w:val="0"/>
          <w:szCs w:val="21"/>
        </w:rPr>
        <w:t>第</w:t>
      </w:r>
      <w:r>
        <w:rPr>
          <w:rFonts w:hint="eastAsia"/>
          <w:b/>
          <w:bCs/>
          <w:kern w:val="0"/>
          <w:szCs w:val="21"/>
        </w:rPr>
        <w:t>五</w:t>
      </w:r>
      <w:r>
        <w:rPr>
          <w:b/>
          <w:bCs/>
          <w:kern w:val="0"/>
          <w:szCs w:val="21"/>
        </w:rPr>
        <w:t>章</w:t>
      </w:r>
      <w:r>
        <w:rPr>
          <w:b/>
          <w:bCs/>
          <w:kern w:val="0"/>
          <w:szCs w:val="21"/>
        </w:rPr>
        <w:t xml:space="preserve">  </w:t>
      </w:r>
      <w:r>
        <w:rPr>
          <w:b/>
          <w:bCs/>
          <w:kern w:val="0"/>
          <w:szCs w:val="21"/>
        </w:rPr>
        <w:t>学位论文与写作要领</w:t>
      </w:r>
    </w:p>
    <w:p w14:paraId="1F4F125D"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37803C53" w14:textId="77777777" w:rsidR="00F5289E" w:rsidRDefault="00C91173">
      <w:pPr>
        <w:snapToGrid w:val="0"/>
        <w:spacing w:line="360" w:lineRule="auto"/>
        <w:ind w:firstLineChars="200" w:firstLine="422"/>
        <w:rPr>
          <w:szCs w:val="21"/>
        </w:rPr>
      </w:pPr>
      <w:r>
        <w:rPr>
          <w:b/>
          <w:szCs w:val="21"/>
        </w:rPr>
        <w:t>1</w:t>
      </w:r>
      <w:r>
        <w:rPr>
          <w:rFonts w:ascii="宋体" w:hAnsi="宋体" w:hint="eastAsia"/>
          <w:b/>
          <w:szCs w:val="21"/>
        </w:rPr>
        <w:t>.</w:t>
      </w:r>
      <w:r>
        <w:rPr>
          <w:b/>
          <w:szCs w:val="21"/>
        </w:rPr>
        <w:t>一般了解</w:t>
      </w:r>
      <w:r>
        <w:rPr>
          <w:szCs w:val="21"/>
        </w:rPr>
        <w:t>：学位论文的概念、特点、作用与要求</w:t>
      </w:r>
      <w:r>
        <w:rPr>
          <w:rFonts w:hint="eastAsia"/>
          <w:szCs w:val="21"/>
        </w:rPr>
        <w:t>。</w:t>
      </w:r>
    </w:p>
    <w:p w14:paraId="4D96FB04" w14:textId="77777777" w:rsidR="00F5289E" w:rsidRDefault="00C91173">
      <w:pPr>
        <w:snapToGrid w:val="0"/>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szCs w:val="21"/>
        </w:rPr>
        <w:t>：学位论文的选题原则，试验结果的正确处理与整理</w:t>
      </w:r>
      <w:r>
        <w:rPr>
          <w:rFonts w:hint="eastAsia"/>
          <w:szCs w:val="21"/>
        </w:rPr>
        <w:t>。</w:t>
      </w:r>
    </w:p>
    <w:p w14:paraId="3428B181" w14:textId="77777777" w:rsidR="00F5289E" w:rsidRDefault="00C91173">
      <w:pPr>
        <w:snapToGrid w:val="0"/>
        <w:spacing w:line="360" w:lineRule="auto"/>
        <w:ind w:firstLineChars="200" w:firstLine="422"/>
        <w:rPr>
          <w:kern w:val="0"/>
          <w:szCs w:val="21"/>
          <w:lang w:val="zh-CN"/>
        </w:rPr>
      </w:pPr>
      <w:r>
        <w:rPr>
          <w:b/>
          <w:szCs w:val="21"/>
        </w:rPr>
        <w:t>3</w:t>
      </w:r>
      <w:r>
        <w:rPr>
          <w:rFonts w:ascii="宋体" w:hAnsi="宋体" w:hint="eastAsia"/>
          <w:b/>
          <w:szCs w:val="21"/>
        </w:rPr>
        <w:t>.</w:t>
      </w:r>
      <w:r>
        <w:rPr>
          <w:b/>
          <w:szCs w:val="21"/>
        </w:rPr>
        <w:t>熟练掌握</w:t>
      </w:r>
      <w:r>
        <w:rPr>
          <w:szCs w:val="21"/>
        </w:rPr>
        <w:t>：</w:t>
      </w:r>
      <w:r>
        <w:rPr>
          <w:kern w:val="0"/>
          <w:szCs w:val="21"/>
          <w:lang w:val="zh-CN"/>
        </w:rPr>
        <w:t>学位论文的撰写与答辩环节要求</w:t>
      </w:r>
      <w:r>
        <w:rPr>
          <w:rFonts w:hint="eastAsia"/>
          <w:kern w:val="0"/>
          <w:szCs w:val="21"/>
          <w:lang w:val="zh-CN"/>
        </w:rPr>
        <w:t>。</w:t>
      </w:r>
    </w:p>
    <w:p w14:paraId="182E6EAB" w14:textId="77777777" w:rsidR="00F5289E" w:rsidRDefault="00C91173">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48585091" w14:textId="77777777" w:rsidR="00F5289E" w:rsidRDefault="00C91173">
      <w:pPr>
        <w:snapToGrid w:val="0"/>
        <w:spacing w:line="360" w:lineRule="auto"/>
        <w:ind w:firstLineChars="200" w:firstLine="420"/>
        <w:rPr>
          <w:b/>
          <w:szCs w:val="21"/>
        </w:rPr>
      </w:pPr>
      <w:r>
        <w:rPr>
          <w:szCs w:val="21"/>
        </w:rPr>
        <w:t>毕业论文；学位论文；毕业设计</w:t>
      </w:r>
      <w:r>
        <w:rPr>
          <w:rFonts w:hint="eastAsia"/>
          <w:szCs w:val="21"/>
        </w:rPr>
        <w:t>。</w:t>
      </w:r>
    </w:p>
    <w:p w14:paraId="7F179839"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4737C2D6" w14:textId="77777777" w:rsidR="00F5289E" w:rsidRDefault="00C91173">
      <w:pPr>
        <w:snapToGrid w:val="0"/>
        <w:spacing w:line="360" w:lineRule="auto"/>
        <w:ind w:firstLineChars="200" w:firstLine="422"/>
        <w:rPr>
          <w:b/>
          <w:szCs w:val="21"/>
        </w:rPr>
      </w:pPr>
      <w:r>
        <w:rPr>
          <w:b/>
          <w:szCs w:val="21"/>
        </w:rPr>
        <w:t>1</w:t>
      </w:r>
      <w:r>
        <w:rPr>
          <w:rFonts w:ascii="宋体" w:hAnsi="宋体" w:hint="eastAsia"/>
          <w:b/>
          <w:szCs w:val="21"/>
        </w:rPr>
        <w:t>.</w:t>
      </w:r>
      <w:r>
        <w:rPr>
          <w:b/>
          <w:szCs w:val="21"/>
        </w:rPr>
        <w:t>识记</w:t>
      </w:r>
      <w:r>
        <w:rPr>
          <w:szCs w:val="21"/>
        </w:rPr>
        <w:t>：</w:t>
      </w:r>
      <w:r>
        <w:rPr>
          <w:kern w:val="0"/>
          <w:szCs w:val="21"/>
          <w:lang w:val="zh-CN"/>
        </w:rPr>
        <w:t>学位论文的概</w:t>
      </w:r>
      <w:r>
        <w:rPr>
          <w:szCs w:val="21"/>
        </w:rPr>
        <w:t>念</w:t>
      </w:r>
      <w:r>
        <w:rPr>
          <w:rFonts w:hint="eastAsia"/>
          <w:szCs w:val="21"/>
        </w:rPr>
        <w:t>。</w:t>
      </w:r>
    </w:p>
    <w:p w14:paraId="413A5699"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领会</w:t>
      </w:r>
      <w:r>
        <w:rPr>
          <w:szCs w:val="21"/>
        </w:rPr>
        <w:t>：</w:t>
      </w:r>
      <w:r>
        <w:rPr>
          <w:kern w:val="0"/>
          <w:szCs w:val="21"/>
          <w:lang w:val="zh-CN"/>
        </w:rPr>
        <w:t>学位论文的特点与撰写</w:t>
      </w:r>
      <w:r>
        <w:rPr>
          <w:rFonts w:hint="eastAsia"/>
          <w:kern w:val="0"/>
          <w:szCs w:val="21"/>
          <w:lang w:val="zh-CN"/>
        </w:rPr>
        <w:t>。</w:t>
      </w:r>
    </w:p>
    <w:p w14:paraId="7618F0AA" w14:textId="77777777" w:rsidR="00F5289E" w:rsidRDefault="00C91173">
      <w:pPr>
        <w:snapToGrid w:val="0"/>
        <w:spacing w:line="360" w:lineRule="auto"/>
        <w:ind w:firstLineChars="200" w:firstLine="422"/>
        <w:rPr>
          <w:szCs w:val="21"/>
        </w:rPr>
      </w:pPr>
      <w:r>
        <w:rPr>
          <w:b/>
          <w:szCs w:val="21"/>
        </w:rPr>
        <w:lastRenderedPageBreak/>
        <w:t>3</w:t>
      </w:r>
      <w:r>
        <w:rPr>
          <w:rFonts w:ascii="宋体" w:hAnsi="宋体" w:hint="eastAsia"/>
          <w:b/>
          <w:szCs w:val="21"/>
        </w:rPr>
        <w:t>.</w:t>
      </w:r>
      <w:r>
        <w:rPr>
          <w:b/>
          <w:szCs w:val="21"/>
        </w:rPr>
        <w:t>综合：</w:t>
      </w:r>
      <w:r>
        <w:rPr>
          <w:szCs w:val="21"/>
        </w:rPr>
        <w:t>学位论文的选题与开题报告的撰写</w:t>
      </w:r>
      <w:r>
        <w:rPr>
          <w:rFonts w:hint="eastAsia"/>
          <w:szCs w:val="21"/>
        </w:rPr>
        <w:t>。</w:t>
      </w:r>
    </w:p>
    <w:p w14:paraId="35D595BB" w14:textId="77777777" w:rsidR="00F5289E" w:rsidRDefault="00C91173">
      <w:pPr>
        <w:spacing w:line="360" w:lineRule="auto"/>
        <w:jc w:val="center"/>
        <w:rPr>
          <w:b/>
          <w:bCs/>
          <w:kern w:val="0"/>
          <w:szCs w:val="21"/>
        </w:rPr>
      </w:pPr>
      <w:r>
        <w:rPr>
          <w:b/>
          <w:bCs/>
          <w:kern w:val="0"/>
          <w:szCs w:val="21"/>
        </w:rPr>
        <w:t>第</w:t>
      </w:r>
      <w:r>
        <w:rPr>
          <w:rFonts w:hint="eastAsia"/>
          <w:b/>
          <w:bCs/>
          <w:kern w:val="0"/>
          <w:szCs w:val="21"/>
        </w:rPr>
        <w:t>六</w:t>
      </w:r>
      <w:r>
        <w:rPr>
          <w:b/>
          <w:bCs/>
          <w:kern w:val="0"/>
          <w:szCs w:val="21"/>
        </w:rPr>
        <w:t>章</w:t>
      </w:r>
      <w:r>
        <w:rPr>
          <w:b/>
          <w:bCs/>
          <w:kern w:val="0"/>
          <w:szCs w:val="21"/>
        </w:rPr>
        <w:t xml:space="preserve">  </w:t>
      </w:r>
      <w:r>
        <w:rPr>
          <w:b/>
          <w:bCs/>
          <w:kern w:val="0"/>
          <w:szCs w:val="21"/>
        </w:rPr>
        <w:t>投稿与论文发表</w:t>
      </w:r>
    </w:p>
    <w:p w14:paraId="5DDDF708"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275ACE6A" w14:textId="77777777" w:rsidR="00F5289E" w:rsidRDefault="00C91173">
      <w:pPr>
        <w:snapToGrid w:val="0"/>
        <w:spacing w:line="360" w:lineRule="auto"/>
        <w:ind w:firstLineChars="200" w:firstLine="422"/>
        <w:rPr>
          <w:szCs w:val="21"/>
        </w:rPr>
      </w:pPr>
      <w:r>
        <w:rPr>
          <w:b/>
          <w:szCs w:val="21"/>
        </w:rPr>
        <w:t>1</w:t>
      </w:r>
      <w:r>
        <w:rPr>
          <w:rFonts w:ascii="宋体" w:hAnsi="宋体" w:hint="eastAsia"/>
          <w:b/>
          <w:szCs w:val="21"/>
        </w:rPr>
        <w:t>.</w:t>
      </w:r>
      <w:r>
        <w:rPr>
          <w:b/>
          <w:szCs w:val="21"/>
        </w:rPr>
        <w:t>一般了解</w:t>
      </w:r>
      <w:r>
        <w:rPr>
          <w:szCs w:val="21"/>
        </w:rPr>
        <w:t>：学术刊物的一般特点与分类</w:t>
      </w:r>
      <w:r>
        <w:rPr>
          <w:rFonts w:hint="eastAsia"/>
          <w:szCs w:val="21"/>
        </w:rPr>
        <w:t>。</w:t>
      </w:r>
    </w:p>
    <w:p w14:paraId="61AD908C" w14:textId="77777777" w:rsidR="00F5289E" w:rsidRDefault="00C91173">
      <w:pPr>
        <w:snapToGrid w:val="0"/>
        <w:spacing w:line="360" w:lineRule="auto"/>
        <w:ind w:firstLineChars="200" w:firstLine="422"/>
        <w:rPr>
          <w:szCs w:val="21"/>
        </w:rPr>
      </w:pPr>
      <w:r>
        <w:rPr>
          <w:b/>
          <w:szCs w:val="21"/>
        </w:rPr>
        <w:t>2</w:t>
      </w:r>
      <w:r>
        <w:rPr>
          <w:rFonts w:ascii="宋体" w:hAnsi="宋体" w:hint="eastAsia"/>
          <w:b/>
          <w:szCs w:val="21"/>
        </w:rPr>
        <w:t>.</w:t>
      </w:r>
      <w:r>
        <w:rPr>
          <w:b/>
          <w:szCs w:val="21"/>
        </w:rPr>
        <w:t>一般掌握</w:t>
      </w:r>
      <w:r>
        <w:rPr>
          <w:szCs w:val="21"/>
        </w:rPr>
        <w:t>：</w:t>
      </w:r>
      <w:r>
        <w:rPr>
          <w:kern w:val="0"/>
          <w:szCs w:val="21"/>
          <w:lang w:val="zh-CN"/>
        </w:rPr>
        <w:t>适合本专业投稿的国外刊物</w:t>
      </w:r>
      <w:r>
        <w:rPr>
          <w:rFonts w:hint="eastAsia"/>
          <w:kern w:val="0"/>
          <w:szCs w:val="21"/>
          <w:lang w:val="zh-CN"/>
        </w:rPr>
        <w:t>。</w:t>
      </w:r>
    </w:p>
    <w:p w14:paraId="5A8F351B" w14:textId="77777777" w:rsidR="00F5289E" w:rsidRDefault="00C91173">
      <w:pPr>
        <w:snapToGrid w:val="0"/>
        <w:spacing w:line="360" w:lineRule="auto"/>
        <w:ind w:firstLineChars="200" w:firstLine="422"/>
        <w:rPr>
          <w:b/>
          <w:szCs w:val="21"/>
        </w:rPr>
      </w:pPr>
      <w:r>
        <w:rPr>
          <w:b/>
          <w:szCs w:val="21"/>
        </w:rPr>
        <w:t>3</w:t>
      </w:r>
      <w:r>
        <w:rPr>
          <w:rFonts w:ascii="宋体" w:hAnsi="宋体" w:hint="eastAsia"/>
          <w:b/>
          <w:szCs w:val="21"/>
        </w:rPr>
        <w:t>.</w:t>
      </w:r>
      <w:r>
        <w:rPr>
          <w:b/>
          <w:szCs w:val="21"/>
        </w:rPr>
        <w:t>熟练掌握</w:t>
      </w:r>
      <w:r>
        <w:rPr>
          <w:szCs w:val="21"/>
        </w:rPr>
        <w:t>：</w:t>
      </w:r>
      <w:r>
        <w:rPr>
          <w:kern w:val="0"/>
          <w:szCs w:val="21"/>
          <w:lang w:val="zh-CN"/>
        </w:rPr>
        <w:t>科技论文的投稿与修改</w:t>
      </w:r>
      <w:r>
        <w:rPr>
          <w:rFonts w:hint="eastAsia"/>
          <w:kern w:val="0"/>
          <w:szCs w:val="21"/>
          <w:lang w:val="zh-CN"/>
        </w:rPr>
        <w:t>。</w:t>
      </w:r>
    </w:p>
    <w:p w14:paraId="42F53C61" w14:textId="77777777" w:rsidR="00F5289E" w:rsidRDefault="00C91173">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551A1A79" w14:textId="77777777" w:rsidR="00F5289E" w:rsidRDefault="00C91173">
      <w:pPr>
        <w:snapToGrid w:val="0"/>
        <w:spacing w:line="360" w:lineRule="auto"/>
        <w:ind w:firstLineChars="200" w:firstLine="420"/>
        <w:rPr>
          <w:b/>
          <w:szCs w:val="21"/>
        </w:rPr>
      </w:pPr>
      <w:r>
        <w:rPr>
          <w:szCs w:val="21"/>
        </w:rPr>
        <w:t>投稿；录用；发表；退修；退稿；校对</w:t>
      </w:r>
      <w:r>
        <w:rPr>
          <w:rFonts w:hint="eastAsia"/>
          <w:szCs w:val="21"/>
        </w:rPr>
        <w:t>。</w:t>
      </w:r>
    </w:p>
    <w:p w14:paraId="65766780"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0A6D87A6" w14:textId="77777777" w:rsidR="00F5289E" w:rsidRDefault="00C91173">
      <w:pPr>
        <w:snapToGrid w:val="0"/>
        <w:spacing w:line="360" w:lineRule="auto"/>
        <w:ind w:firstLineChars="200" w:firstLine="422"/>
        <w:rPr>
          <w:b/>
          <w:szCs w:val="21"/>
        </w:rPr>
      </w:pPr>
      <w:r>
        <w:rPr>
          <w:b/>
          <w:szCs w:val="21"/>
        </w:rPr>
        <w:t>1</w:t>
      </w:r>
      <w:r>
        <w:rPr>
          <w:rFonts w:ascii="宋体" w:hAnsi="宋体" w:hint="eastAsia"/>
          <w:b/>
          <w:szCs w:val="21"/>
        </w:rPr>
        <w:t>.</w:t>
      </w:r>
      <w:r>
        <w:rPr>
          <w:b/>
          <w:szCs w:val="21"/>
        </w:rPr>
        <w:t>识记</w:t>
      </w:r>
      <w:r>
        <w:rPr>
          <w:szCs w:val="21"/>
        </w:rPr>
        <w:t>：学术刊物的一般特点</w:t>
      </w:r>
      <w:r>
        <w:rPr>
          <w:rFonts w:hint="eastAsia"/>
          <w:szCs w:val="21"/>
        </w:rPr>
        <w:t>。</w:t>
      </w:r>
    </w:p>
    <w:p w14:paraId="26F99F3B"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领会</w:t>
      </w:r>
      <w:r>
        <w:rPr>
          <w:szCs w:val="21"/>
        </w:rPr>
        <w:t>：投稿刊物的选择与论文修稿</w:t>
      </w:r>
      <w:r>
        <w:rPr>
          <w:rFonts w:hint="eastAsia"/>
          <w:szCs w:val="21"/>
        </w:rPr>
        <w:t>。</w:t>
      </w:r>
    </w:p>
    <w:p w14:paraId="515E6F8D" w14:textId="77777777" w:rsidR="00F5289E" w:rsidRDefault="00C91173">
      <w:pPr>
        <w:snapToGrid w:val="0"/>
        <w:spacing w:line="360" w:lineRule="auto"/>
        <w:ind w:firstLineChars="200" w:firstLine="422"/>
        <w:rPr>
          <w:szCs w:val="21"/>
        </w:rPr>
      </w:pPr>
      <w:r>
        <w:rPr>
          <w:b/>
          <w:szCs w:val="21"/>
        </w:rPr>
        <w:t>3</w:t>
      </w:r>
      <w:r>
        <w:rPr>
          <w:rFonts w:ascii="宋体" w:hAnsi="宋体" w:hint="eastAsia"/>
          <w:b/>
          <w:szCs w:val="21"/>
        </w:rPr>
        <w:t>.</w:t>
      </w:r>
      <w:r>
        <w:rPr>
          <w:b/>
          <w:szCs w:val="21"/>
        </w:rPr>
        <w:t>应用</w:t>
      </w:r>
      <w:r>
        <w:rPr>
          <w:szCs w:val="21"/>
        </w:rPr>
        <w:t>：学术论文的评审；电子信息类核心期刊及投稿技巧</w:t>
      </w:r>
      <w:r>
        <w:rPr>
          <w:rFonts w:hint="eastAsia"/>
          <w:szCs w:val="21"/>
        </w:rPr>
        <w:t>。</w:t>
      </w:r>
    </w:p>
    <w:p w14:paraId="2EEA5B40" w14:textId="77777777" w:rsidR="00F5289E" w:rsidRDefault="00C91173">
      <w:pPr>
        <w:spacing w:line="360" w:lineRule="auto"/>
        <w:jc w:val="center"/>
        <w:rPr>
          <w:b/>
          <w:bCs/>
          <w:kern w:val="0"/>
          <w:szCs w:val="21"/>
        </w:rPr>
      </w:pPr>
      <w:r>
        <w:rPr>
          <w:b/>
          <w:bCs/>
          <w:kern w:val="0"/>
          <w:szCs w:val="21"/>
        </w:rPr>
        <w:t>第</w:t>
      </w:r>
      <w:r>
        <w:rPr>
          <w:rFonts w:hint="eastAsia"/>
          <w:b/>
          <w:bCs/>
          <w:kern w:val="0"/>
          <w:szCs w:val="21"/>
        </w:rPr>
        <w:t>七</w:t>
      </w:r>
      <w:r>
        <w:rPr>
          <w:b/>
          <w:bCs/>
          <w:kern w:val="0"/>
          <w:szCs w:val="21"/>
        </w:rPr>
        <w:t>章</w:t>
      </w:r>
      <w:r>
        <w:rPr>
          <w:b/>
          <w:bCs/>
          <w:kern w:val="0"/>
          <w:szCs w:val="21"/>
        </w:rPr>
        <w:t xml:space="preserve">  </w:t>
      </w:r>
      <w:r>
        <w:rPr>
          <w:b/>
          <w:bCs/>
          <w:kern w:val="0"/>
          <w:szCs w:val="21"/>
        </w:rPr>
        <w:t>外文科技论文的翻译及示例分析</w:t>
      </w:r>
    </w:p>
    <w:p w14:paraId="6FBB76B8" w14:textId="77777777" w:rsidR="00F5289E" w:rsidRDefault="00C91173">
      <w:pPr>
        <w:spacing w:line="360" w:lineRule="auto"/>
        <w:jc w:val="left"/>
        <w:rPr>
          <w:b/>
          <w:szCs w:val="21"/>
        </w:rPr>
      </w:pPr>
      <w:r>
        <w:rPr>
          <w:rFonts w:hint="eastAsia"/>
          <w:b/>
          <w:szCs w:val="21"/>
        </w:rPr>
        <w:t>（一）</w:t>
      </w:r>
      <w:r>
        <w:rPr>
          <w:b/>
          <w:szCs w:val="21"/>
        </w:rPr>
        <w:t>学习目</w:t>
      </w:r>
      <w:r>
        <w:rPr>
          <w:rFonts w:hint="eastAsia"/>
          <w:b/>
          <w:szCs w:val="21"/>
        </w:rPr>
        <w:t>标</w:t>
      </w:r>
    </w:p>
    <w:p w14:paraId="05C67432" w14:textId="77777777" w:rsidR="00F5289E" w:rsidRDefault="00C91173">
      <w:pPr>
        <w:adjustRightInd w:val="0"/>
        <w:snapToGrid w:val="0"/>
        <w:spacing w:line="360" w:lineRule="auto"/>
        <w:ind w:firstLineChars="200" w:firstLine="422"/>
        <w:rPr>
          <w:szCs w:val="21"/>
        </w:rPr>
      </w:pPr>
      <w:r>
        <w:rPr>
          <w:b/>
          <w:szCs w:val="21"/>
        </w:rPr>
        <w:t>1</w:t>
      </w:r>
      <w:r>
        <w:rPr>
          <w:rFonts w:ascii="宋体" w:hAnsi="宋体" w:hint="eastAsia"/>
          <w:b/>
          <w:szCs w:val="21"/>
        </w:rPr>
        <w:t>.</w:t>
      </w:r>
      <w:r>
        <w:rPr>
          <w:b/>
          <w:szCs w:val="21"/>
        </w:rPr>
        <w:t>一般了解</w:t>
      </w:r>
      <w:r>
        <w:rPr>
          <w:szCs w:val="21"/>
        </w:rPr>
        <w:t>：</w:t>
      </w:r>
      <w:r>
        <w:rPr>
          <w:szCs w:val="21"/>
        </w:rPr>
        <w:t>2</w:t>
      </w:r>
      <w:r>
        <w:rPr>
          <w:szCs w:val="21"/>
        </w:rPr>
        <w:t>到</w:t>
      </w:r>
      <w:r>
        <w:rPr>
          <w:szCs w:val="21"/>
        </w:rPr>
        <w:t>3</w:t>
      </w:r>
      <w:r>
        <w:rPr>
          <w:szCs w:val="21"/>
        </w:rPr>
        <w:t>篇有代表性的与本专业相关的外文科技论文，进行翻译后讲解内容</w:t>
      </w:r>
      <w:r>
        <w:rPr>
          <w:rFonts w:hint="eastAsia"/>
          <w:szCs w:val="21"/>
        </w:rPr>
        <w:t>。</w:t>
      </w:r>
    </w:p>
    <w:p w14:paraId="296465AD" w14:textId="77777777" w:rsidR="00F5289E" w:rsidRDefault="00C91173">
      <w:pPr>
        <w:snapToGrid w:val="0"/>
        <w:spacing w:line="360" w:lineRule="auto"/>
        <w:ind w:firstLineChars="200" w:firstLine="422"/>
        <w:rPr>
          <w:b/>
          <w:szCs w:val="21"/>
        </w:rPr>
      </w:pPr>
      <w:r>
        <w:rPr>
          <w:b/>
          <w:szCs w:val="21"/>
        </w:rPr>
        <w:t>2</w:t>
      </w:r>
      <w:r>
        <w:rPr>
          <w:rFonts w:ascii="宋体" w:hAnsi="宋体" w:hint="eastAsia"/>
          <w:b/>
          <w:szCs w:val="21"/>
        </w:rPr>
        <w:t>.</w:t>
      </w:r>
      <w:r>
        <w:rPr>
          <w:b/>
          <w:szCs w:val="21"/>
        </w:rPr>
        <w:t>一般掌握</w:t>
      </w:r>
      <w:r>
        <w:rPr>
          <w:szCs w:val="21"/>
        </w:rPr>
        <w:t>：外文行文特点。</w:t>
      </w:r>
    </w:p>
    <w:p w14:paraId="0B9D6A94" w14:textId="77777777" w:rsidR="00F5289E" w:rsidRDefault="00C91173">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14:paraId="310E633E" w14:textId="77777777" w:rsidR="00F5289E" w:rsidRDefault="00C91173">
      <w:pPr>
        <w:snapToGrid w:val="0"/>
        <w:spacing w:line="360" w:lineRule="auto"/>
        <w:ind w:firstLineChars="200" w:firstLine="420"/>
        <w:rPr>
          <w:szCs w:val="21"/>
        </w:rPr>
      </w:pPr>
      <w:r>
        <w:rPr>
          <w:szCs w:val="21"/>
        </w:rPr>
        <w:t>专业外语词汇</w:t>
      </w:r>
      <w:r>
        <w:rPr>
          <w:rFonts w:hint="eastAsia"/>
          <w:szCs w:val="21"/>
        </w:rPr>
        <w:t>。</w:t>
      </w:r>
    </w:p>
    <w:p w14:paraId="10021333" w14:textId="77777777" w:rsidR="00F5289E" w:rsidRDefault="00C91173">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14:paraId="3AA73E8E" w14:textId="77777777" w:rsidR="00F5289E" w:rsidRDefault="00C91173">
      <w:pPr>
        <w:snapToGrid w:val="0"/>
        <w:spacing w:line="360" w:lineRule="auto"/>
        <w:ind w:firstLineChars="200" w:firstLine="422"/>
        <w:rPr>
          <w:b/>
          <w:szCs w:val="21"/>
        </w:rPr>
      </w:pPr>
      <w:r>
        <w:rPr>
          <w:b/>
          <w:szCs w:val="21"/>
        </w:rPr>
        <w:t>1</w:t>
      </w:r>
      <w:r>
        <w:rPr>
          <w:rFonts w:ascii="宋体" w:hAnsi="宋体" w:hint="eastAsia"/>
          <w:b/>
          <w:szCs w:val="21"/>
        </w:rPr>
        <w:t>.</w:t>
      </w:r>
      <w:r>
        <w:rPr>
          <w:b/>
          <w:szCs w:val="21"/>
        </w:rPr>
        <w:t>领会</w:t>
      </w:r>
      <w:r>
        <w:rPr>
          <w:szCs w:val="21"/>
        </w:rPr>
        <w:t>：科技论文翻译技巧和方法</w:t>
      </w:r>
      <w:r>
        <w:rPr>
          <w:rFonts w:hint="eastAsia"/>
          <w:szCs w:val="21"/>
        </w:rPr>
        <w:t>。</w:t>
      </w:r>
    </w:p>
    <w:p w14:paraId="3D179BD0" w14:textId="77777777" w:rsidR="00F5289E" w:rsidRDefault="00C91173">
      <w:pPr>
        <w:snapToGrid w:val="0"/>
        <w:spacing w:line="360" w:lineRule="auto"/>
        <w:ind w:firstLineChars="200" w:firstLine="422"/>
        <w:rPr>
          <w:szCs w:val="21"/>
        </w:rPr>
      </w:pPr>
      <w:r>
        <w:rPr>
          <w:b/>
          <w:szCs w:val="21"/>
        </w:rPr>
        <w:t>2</w:t>
      </w:r>
      <w:r>
        <w:rPr>
          <w:rFonts w:ascii="宋体" w:hAnsi="宋体" w:hint="eastAsia"/>
          <w:b/>
          <w:szCs w:val="21"/>
        </w:rPr>
        <w:t>.</w:t>
      </w:r>
      <w:r>
        <w:rPr>
          <w:b/>
          <w:szCs w:val="21"/>
        </w:rPr>
        <w:t>简单应用</w:t>
      </w:r>
      <w:r>
        <w:rPr>
          <w:szCs w:val="21"/>
        </w:rPr>
        <w:t>：外文的写作方法</w:t>
      </w:r>
      <w:r>
        <w:rPr>
          <w:rFonts w:hint="eastAsia"/>
          <w:szCs w:val="21"/>
        </w:rPr>
        <w:t>。</w:t>
      </w:r>
    </w:p>
    <w:p w14:paraId="4DC14651" w14:textId="77777777" w:rsidR="00F5289E" w:rsidRDefault="00C91173">
      <w:pPr>
        <w:snapToGrid w:val="0"/>
        <w:spacing w:beforeLines="50" w:before="156" w:line="360" w:lineRule="auto"/>
        <w:rPr>
          <w:b/>
          <w:szCs w:val="21"/>
        </w:rPr>
      </w:pPr>
      <w:r>
        <w:rPr>
          <w:rFonts w:hint="eastAsia"/>
          <w:b/>
          <w:bCs/>
          <w:kern w:val="0"/>
          <w:szCs w:val="21"/>
        </w:rPr>
        <w:t>三</w:t>
      </w:r>
      <w:r>
        <w:rPr>
          <w:b/>
          <w:bCs/>
          <w:kern w:val="0"/>
          <w:szCs w:val="21"/>
        </w:rPr>
        <w:t>、考核方式</w:t>
      </w:r>
    </w:p>
    <w:p w14:paraId="0AB35D68" w14:textId="77777777" w:rsidR="00F5289E" w:rsidRDefault="00C91173">
      <w:pPr>
        <w:snapToGrid w:val="0"/>
        <w:spacing w:line="360" w:lineRule="auto"/>
        <w:ind w:firstLine="420"/>
        <w:rPr>
          <w:kern w:val="0"/>
          <w:szCs w:val="21"/>
          <w:lang w:val="zh-CN"/>
        </w:rPr>
      </w:pPr>
      <w:r>
        <w:rPr>
          <w:kern w:val="0"/>
          <w:szCs w:val="21"/>
          <w:lang w:val="zh-CN"/>
        </w:rPr>
        <w:t>本课程</w:t>
      </w:r>
      <w:r>
        <w:rPr>
          <w:rFonts w:hint="eastAsia"/>
          <w:kern w:val="0"/>
          <w:szCs w:val="21"/>
          <w:lang w:val="zh-CN"/>
        </w:rPr>
        <w:t>的考试模式为论文式考核，在课程结束后进行，根据学生撰写的科技论文规范程度进行评价，并结合</w:t>
      </w:r>
      <w:r>
        <w:rPr>
          <w:rFonts w:hAnsi="宋体"/>
          <w:color w:val="353535"/>
          <w:kern w:val="0"/>
          <w:szCs w:val="21"/>
        </w:rPr>
        <w:t>课堂提问、小组讨论表现、作业、考勤</w:t>
      </w:r>
      <w:r>
        <w:rPr>
          <w:rFonts w:hint="eastAsia"/>
          <w:kern w:val="0"/>
          <w:szCs w:val="21"/>
          <w:lang w:val="zh-CN"/>
        </w:rPr>
        <w:t>的</w:t>
      </w:r>
      <w:r>
        <w:rPr>
          <w:kern w:val="0"/>
          <w:szCs w:val="21"/>
          <w:lang w:val="zh-CN"/>
        </w:rPr>
        <w:t>情况进行</w:t>
      </w:r>
      <w:r>
        <w:rPr>
          <w:rFonts w:hint="eastAsia"/>
          <w:kern w:val="0"/>
          <w:szCs w:val="21"/>
          <w:lang w:val="zh-CN"/>
        </w:rPr>
        <w:t>综合</w:t>
      </w:r>
      <w:r>
        <w:rPr>
          <w:kern w:val="0"/>
          <w:szCs w:val="21"/>
          <w:lang w:val="zh-CN"/>
        </w:rPr>
        <w:t>评定，课程成绩以百分制计算</w:t>
      </w:r>
      <w:r>
        <w:rPr>
          <w:rFonts w:hint="eastAsia"/>
          <w:kern w:val="0"/>
          <w:szCs w:val="21"/>
          <w:lang w:val="zh-CN"/>
        </w:rPr>
        <w:t>。</w:t>
      </w:r>
    </w:p>
    <w:p w14:paraId="1E13194D" w14:textId="77777777" w:rsidR="00F5289E" w:rsidRDefault="00C91173">
      <w:pPr>
        <w:adjustRightInd w:val="0"/>
        <w:snapToGrid w:val="0"/>
        <w:spacing w:beforeLines="50" w:before="156" w:line="360" w:lineRule="auto"/>
        <w:rPr>
          <w:b/>
          <w:bCs/>
          <w:kern w:val="0"/>
          <w:szCs w:val="21"/>
        </w:rPr>
      </w:pPr>
      <w:r>
        <w:rPr>
          <w:rFonts w:hint="eastAsia"/>
          <w:b/>
          <w:bCs/>
          <w:kern w:val="0"/>
          <w:szCs w:val="21"/>
        </w:rPr>
        <w:t>四</w:t>
      </w:r>
      <w:r>
        <w:rPr>
          <w:b/>
          <w:bCs/>
          <w:kern w:val="0"/>
          <w:szCs w:val="21"/>
        </w:rPr>
        <w:t>、</w:t>
      </w:r>
      <w:r>
        <w:rPr>
          <w:b/>
          <w:szCs w:val="21"/>
        </w:rPr>
        <w:t>成绩评定</w:t>
      </w:r>
    </w:p>
    <w:p w14:paraId="5DBE737E" w14:textId="77777777" w:rsidR="00F5289E" w:rsidRDefault="00C91173">
      <w:pPr>
        <w:snapToGrid w:val="0"/>
        <w:spacing w:line="360" w:lineRule="auto"/>
        <w:ind w:firstLine="420"/>
        <w:rPr>
          <w:szCs w:val="21"/>
        </w:rPr>
      </w:pPr>
      <w:r>
        <w:rPr>
          <w:rFonts w:hint="eastAsia"/>
          <w:szCs w:val="21"/>
        </w:rPr>
        <w:t>本课程总成绩计算办法是：</w:t>
      </w:r>
    </w:p>
    <w:p w14:paraId="6E617E6A" w14:textId="77777777" w:rsidR="00F5289E" w:rsidRDefault="00C91173">
      <w:pPr>
        <w:snapToGrid w:val="0"/>
        <w:spacing w:line="360" w:lineRule="auto"/>
        <w:ind w:firstLine="420"/>
        <w:rPr>
          <w:kern w:val="0"/>
          <w:szCs w:val="21"/>
          <w:lang w:val="zh-CN"/>
        </w:rPr>
      </w:pPr>
      <w:r>
        <w:rPr>
          <w:kern w:val="0"/>
          <w:szCs w:val="21"/>
          <w:lang w:val="zh-CN"/>
        </w:rPr>
        <w:t>（</w:t>
      </w:r>
      <w:r>
        <w:rPr>
          <w:kern w:val="0"/>
          <w:szCs w:val="21"/>
          <w:lang w:val="zh-CN"/>
        </w:rPr>
        <w:t>1</w:t>
      </w:r>
      <w:r>
        <w:rPr>
          <w:kern w:val="0"/>
          <w:szCs w:val="21"/>
          <w:lang w:val="zh-CN"/>
        </w:rPr>
        <w:t>）平时成绩（包括</w:t>
      </w:r>
      <w:r>
        <w:rPr>
          <w:rFonts w:hint="eastAsia"/>
          <w:kern w:val="0"/>
          <w:szCs w:val="21"/>
          <w:lang w:val="zh-CN"/>
        </w:rPr>
        <w:t>小</w:t>
      </w:r>
      <w:r>
        <w:rPr>
          <w:rFonts w:hAnsi="宋体"/>
          <w:color w:val="353535"/>
          <w:kern w:val="0"/>
          <w:szCs w:val="21"/>
        </w:rPr>
        <w:t>组讨论表现、作业、考勤</w:t>
      </w:r>
      <w:r>
        <w:rPr>
          <w:kern w:val="0"/>
          <w:szCs w:val="21"/>
          <w:lang w:val="zh-CN"/>
        </w:rPr>
        <w:t>）</w:t>
      </w:r>
      <w:r>
        <w:rPr>
          <w:rFonts w:hint="eastAsia"/>
          <w:kern w:val="0"/>
          <w:szCs w:val="21"/>
          <w:lang w:val="zh-CN"/>
        </w:rPr>
        <w:t>占总成绩的</w:t>
      </w:r>
      <w:r>
        <w:rPr>
          <w:rFonts w:hint="eastAsia"/>
          <w:kern w:val="0"/>
          <w:szCs w:val="21"/>
        </w:rPr>
        <w:t>4</w:t>
      </w:r>
      <w:r>
        <w:rPr>
          <w:rFonts w:hint="eastAsia"/>
          <w:kern w:val="0"/>
          <w:szCs w:val="21"/>
          <w:lang w:val="zh-CN"/>
        </w:rPr>
        <w:t>0</w:t>
      </w:r>
      <w:r>
        <w:rPr>
          <w:kern w:val="0"/>
          <w:szCs w:val="21"/>
          <w:lang w:val="zh-CN"/>
        </w:rPr>
        <w:t>%</w:t>
      </w:r>
      <w:r>
        <w:rPr>
          <w:rFonts w:hint="eastAsia"/>
          <w:kern w:val="0"/>
          <w:szCs w:val="21"/>
          <w:lang w:val="zh-CN"/>
        </w:rPr>
        <w:t>；</w:t>
      </w:r>
    </w:p>
    <w:p w14:paraId="2D3B99F3" w14:textId="77777777" w:rsidR="00F5289E" w:rsidRDefault="00C91173">
      <w:pPr>
        <w:snapToGrid w:val="0"/>
        <w:spacing w:line="360" w:lineRule="auto"/>
        <w:ind w:firstLine="420"/>
        <w:rPr>
          <w:kern w:val="0"/>
          <w:szCs w:val="21"/>
          <w:lang w:val="zh-CN"/>
        </w:rPr>
      </w:pPr>
      <w:r>
        <w:rPr>
          <w:kern w:val="0"/>
          <w:szCs w:val="21"/>
          <w:lang w:val="zh-CN"/>
        </w:rPr>
        <w:t>（</w:t>
      </w:r>
      <w:r>
        <w:rPr>
          <w:kern w:val="0"/>
          <w:szCs w:val="21"/>
          <w:lang w:val="zh-CN"/>
        </w:rPr>
        <w:t>2</w:t>
      </w:r>
      <w:r>
        <w:rPr>
          <w:kern w:val="0"/>
          <w:szCs w:val="21"/>
          <w:lang w:val="zh-CN"/>
        </w:rPr>
        <w:t>）</w:t>
      </w:r>
      <w:r>
        <w:rPr>
          <w:rFonts w:hAnsi="宋体"/>
          <w:color w:val="353535"/>
          <w:kern w:val="0"/>
          <w:szCs w:val="21"/>
        </w:rPr>
        <w:t>期末课程论文</w:t>
      </w:r>
      <w:r>
        <w:rPr>
          <w:rFonts w:hint="eastAsia"/>
          <w:kern w:val="0"/>
          <w:szCs w:val="21"/>
          <w:lang w:val="zh-CN"/>
        </w:rPr>
        <w:t>占总成绩的</w:t>
      </w:r>
      <w:r>
        <w:rPr>
          <w:rFonts w:hint="eastAsia"/>
          <w:kern w:val="0"/>
          <w:szCs w:val="21"/>
        </w:rPr>
        <w:t>6</w:t>
      </w:r>
      <w:r>
        <w:rPr>
          <w:kern w:val="0"/>
          <w:szCs w:val="21"/>
          <w:lang w:val="zh-CN"/>
        </w:rPr>
        <w:t>0%</w:t>
      </w:r>
      <w:r>
        <w:rPr>
          <w:rFonts w:hint="eastAsia"/>
          <w:kern w:val="0"/>
          <w:szCs w:val="21"/>
          <w:lang w:val="zh-CN"/>
        </w:rPr>
        <w:t>。</w:t>
      </w:r>
    </w:p>
    <w:p w14:paraId="628DD96A" w14:textId="77777777" w:rsidR="00F5289E" w:rsidRDefault="00C91173">
      <w:pPr>
        <w:snapToGrid w:val="0"/>
        <w:spacing w:line="360" w:lineRule="auto"/>
        <w:ind w:firstLineChars="200" w:firstLine="420"/>
        <w:rPr>
          <w:rFonts w:ascii="宋体" w:hAnsi="宋体"/>
          <w:bCs/>
          <w:color w:val="0000FF"/>
          <w:szCs w:val="21"/>
        </w:rPr>
      </w:pPr>
      <w:r>
        <w:rPr>
          <w:rFonts w:hint="eastAsia"/>
          <w:kern w:val="0"/>
          <w:szCs w:val="21"/>
          <w:lang w:val="zh-CN"/>
        </w:rPr>
        <w:t>（</w:t>
      </w:r>
      <w:r>
        <w:rPr>
          <w:rFonts w:hint="eastAsia"/>
          <w:kern w:val="0"/>
          <w:szCs w:val="21"/>
        </w:rPr>
        <w:t>3</w:t>
      </w:r>
      <w:r>
        <w:rPr>
          <w:rFonts w:hint="eastAsia"/>
          <w:kern w:val="0"/>
          <w:szCs w:val="21"/>
          <w:lang w:val="zh-CN"/>
        </w:rPr>
        <w:t>）</w:t>
      </w:r>
      <w:r>
        <w:rPr>
          <w:rFonts w:ascii="宋体" w:hAnsi="宋体" w:hint="eastAsia"/>
          <w:color w:val="000000"/>
        </w:rPr>
        <w:t>综合成绩：</w:t>
      </w:r>
      <w:r>
        <w:rPr>
          <w:rFonts w:hint="eastAsia"/>
          <w:kern w:val="0"/>
          <w:szCs w:val="21"/>
        </w:rPr>
        <w:t>平时成绩</w:t>
      </w:r>
      <w:r>
        <w:rPr>
          <w:kern w:val="0"/>
          <w:szCs w:val="21"/>
        </w:rPr>
        <w:t>40%+</w:t>
      </w:r>
      <w:r>
        <w:rPr>
          <w:kern w:val="0"/>
          <w:szCs w:val="21"/>
        </w:rPr>
        <w:t>期末</w:t>
      </w:r>
      <w:r>
        <w:rPr>
          <w:rFonts w:hint="eastAsia"/>
          <w:kern w:val="0"/>
          <w:szCs w:val="21"/>
        </w:rPr>
        <w:t>课程论文</w:t>
      </w:r>
      <w:r>
        <w:rPr>
          <w:kern w:val="0"/>
          <w:szCs w:val="21"/>
        </w:rPr>
        <w:t>成绩</w:t>
      </w:r>
      <w:r>
        <w:rPr>
          <w:kern w:val="0"/>
          <w:szCs w:val="21"/>
        </w:rPr>
        <w:t>60%</w:t>
      </w:r>
    </w:p>
    <w:p w14:paraId="76DAA50D" w14:textId="77777777" w:rsidR="00F5289E" w:rsidRDefault="00F5289E">
      <w:pPr>
        <w:snapToGrid w:val="0"/>
        <w:spacing w:line="360" w:lineRule="auto"/>
        <w:ind w:firstLine="420"/>
        <w:rPr>
          <w:kern w:val="0"/>
          <w:szCs w:val="21"/>
          <w:lang w:val="zh-CN"/>
        </w:rPr>
      </w:pPr>
    </w:p>
    <w:p w14:paraId="3CFAD2FE" w14:textId="77777777" w:rsidR="00F5289E" w:rsidRDefault="00C91173">
      <w:pPr>
        <w:adjustRightInd w:val="0"/>
        <w:snapToGrid w:val="0"/>
        <w:spacing w:beforeLines="50" w:before="156" w:line="360" w:lineRule="auto"/>
        <w:rPr>
          <w:rFonts w:ascii="宋体" w:hAnsi="宋体"/>
          <w:b/>
          <w:szCs w:val="21"/>
        </w:rPr>
      </w:pPr>
      <w:r>
        <w:rPr>
          <w:rFonts w:ascii="宋体" w:hAnsi="宋体" w:hint="eastAsia"/>
          <w:b/>
          <w:szCs w:val="21"/>
        </w:rPr>
        <w:t>五、考核结果分析反馈</w:t>
      </w:r>
    </w:p>
    <w:p w14:paraId="7D7D2A12" w14:textId="77777777" w:rsidR="00F5289E" w:rsidRDefault="00C91173">
      <w:pPr>
        <w:spacing w:line="360" w:lineRule="auto"/>
        <w:ind w:firstLine="420"/>
        <w:rPr>
          <w:rFonts w:ascii="宋体" w:hAnsi="宋体"/>
          <w:b/>
          <w:szCs w:val="21"/>
        </w:rPr>
      </w:pPr>
      <w:r>
        <w:rPr>
          <w:rFonts w:hint="eastAsia"/>
          <w:szCs w:val="21"/>
        </w:rPr>
        <w:t>本课程</w:t>
      </w:r>
      <w:r>
        <w:rPr>
          <w:rFonts w:hAnsi="宋体" w:hint="eastAsia"/>
          <w:szCs w:val="21"/>
        </w:rPr>
        <w:t>以全新的视角，将一些检索工具与传统的和现代的手段有机地融为一体，要求学生学习</w:t>
      </w:r>
      <w:r>
        <w:rPr>
          <w:rFonts w:hAnsi="宋体"/>
          <w:color w:val="333333"/>
          <w:kern w:val="0"/>
          <w:szCs w:val="21"/>
        </w:rPr>
        <w:lastRenderedPageBreak/>
        <w:t>检索语言、文献记录、检索字段等基本知识；</w:t>
      </w:r>
      <w:r>
        <w:rPr>
          <w:rFonts w:hAnsi="宋体"/>
          <w:kern w:val="0"/>
          <w:szCs w:val="21"/>
        </w:rPr>
        <w:t>熟悉科技论文的体裁、类型及各自写作特点要求，学会分析科技论文的信息，并能正确应用于科研实践</w:t>
      </w:r>
      <w:r>
        <w:rPr>
          <w:rFonts w:hAnsi="宋体" w:hint="eastAsia"/>
          <w:kern w:val="0"/>
          <w:szCs w:val="21"/>
        </w:rPr>
        <w:t>等内容。因此针对课程的考核结果分析反馈将从以下多个方面进行：</w:t>
      </w:r>
    </w:p>
    <w:p w14:paraId="45C3DF89"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1</w:t>
      </w:r>
      <w:r>
        <w:rPr>
          <w:szCs w:val="21"/>
        </w:rPr>
        <w:t>）</w:t>
      </w:r>
      <w:r>
        <w:rPr>
          <w:rFonts w:hint="eastAsia"/>
          <w:szCs w:val="21"/>
        </w:rPr>
        <w:t>本门课程考试成绩的构成情况：如形成性成绩所占比例和评分依据等。</w:t>
      </w:r>
    </w:p>
    <w:p w14:paraId="0663734C"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2</w:t>
      </w:r>
      <w:r>
        <w:rPr>
          <w:rFonts w:hint="eastAsia"/>
          <w:szCs w:val="21"/>
        </w:rPr>
        <w:t>）本门课程的整体考试情况：结合综合成绩分布情况，从难度、信度、效度等方面进行分析。</w:t>
      </w:r>
    </w:p>
    <w:p w14:paraId="304AECFF"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3</w:t>
      </w:r>
      <w:r>
        <w:rPr>
          <w:rFonts w:hint="eastAsia"/>
          <w:szCs w:val="21"/>
        </w:rPr>
        <w:t>）</w:t>
      </w:r>
      <w:r>
        <w:rPr>
          <w:rFonts w:hAnsi="宋体"/>
          <w:color w:val="353535"/>
          <w:kern w:val="0"/>
          <w:szCs w:val="21"/>
        </w:rPr>
        <w:t>期末课程论文</w:t>
      </w:r>
      <w:r>
        <w:rPr>
          <w:rFonts w:hAnsi="宋体" w:hint="eastAsia"/>
          <w:color w:val="353535"/>
          <w:kern w:val="0"/>
          <w:szCs w:val="21"/>
        </w:rPr>
        <w:t>撰写情况</w:t>
      </w:r>
      <w:r>
        <w:rPr>
          <w:rFonts w:hint="eastAsia"/>
          <w:szCs w:val="21"/>
        </w:rPr>
        <w:t>：论文各部分撰写规范程度、文章的逻辑和流畅程度等方面。</w:t>
      </w:r>
    </w:p>
    <w:p w14:paraId="4572C9EE" w14:textId="77777777" w:rsidR="00F5289E" w:rsidRDefault="00C91173">
      <w:pPr>
        <w:adjustRightInd w:val="0"/>
        <w:snapToGrid w:val="0"/>
        <w:spacing w:line="360" w:lineRule="auto"/>
        <w:ind w:firstLineChars="200" w:firstLine="420"/>
        <w:rPr>
          <w:szCs w:val="21"/>
        </w:rPr>
      </w:pPr>
      <w:r>
        <w:rPr>
          <w:rFonts w:hint="eastAsia"/>
          <w:szCs w:val="21"/>
        </w:rPr>
        <w:t>（</w:t>
      </w:r>
      <w:r>
        <w:rPr>
          <w:rFonts w:hint="eastAsia"/>
          <w:szCs w:val="21"/>
        </w:rPr>
        <w:t>4</w:t>
      </w:r>
      <w:r>
        <w:rPr>
          <w:rFonts w:hint="eastAsia"/>
          <w:szCs w:val="21"/>
        </w:rPr>
        <w:t>）反映出的问题：包括形成性考核所反映出来的问题。如学生在知识掌握、论文撰写、学习方法等方面的问题，教师在教学过程中存在的问题等。</w:t>
      </w:r>
    </w:p>
    <w:p w14:paraId="5FB97A63" w14:textId="77777777" w:rsidR="00F5289E" w:rsidRDefault="00C91173">
      <w:pPr>
        <w:adjustRightInd w:val="0"/>
        <w:snapToGrid w:val="0"/>
        <w:spacing w:line="360" w:lineRule="auto"/>
        <w:ind w:firstLineChars="200" w:firstLine="420"/>
        <w:rPr>
          <w:rFonts w:ascii="宋体" w:hAnsi="宋体" w:cs="宋体"/>
          <w:b/>
          <w:bCs/>
          <w:kern w:val="36"/>
          <w:sz w:val="24"/>
          <w:szCs w:val="48"/>
        </w:rPr>
      </w:pPr>
      <w:r>
        <w:rPr>
          <w:rFonts w:hint="eastAsia"/>
          <w:szCs w:val="21"/>
        </w:rPr>
        <w:t>（</w:t>
      </w:r>
      <w:r>
        <w:rPr>
          <w:rFonts w:hint="eastAsia"/>
          <w:szCs w:val="21"/>
        </w:rPr>
        <w:t>5</w:t>
      </w:r>
      <w:r>
        <w:rPr>
          <w:rFonts w:hint="eastAsia"/>
          <w:szCs w:val="21"/>
        </w:rPr>
        <w:t>）给同学们的学习建议及在今后教学中应注意的问题。</w:t>
      </w:r>
    </w:p>
    <w:p w14:paraId="69991A61" w14:textId="77777777" w:rsidR="00F5289E" w:rsidRDefault="00F5289E"/>
    <w:p w14:paraId="3195E317" w14:textId="77777777" w:rsidR="00F5289E" w:rsidRDefault="00C91173">
      <w:pPr>
        <w:widowControl/>
        <w:jc w:val="left"/>
        <w:rPr>
          <w:rFonts w:ascii="宋体" w:hAnsi="宋体" w:cs="Arial Unicode MS"/>
          <w:kern w:val="0"/>
        </w:rPr>
      </w:pPr>
      <w:r>
        <w:rPr>
          <w:rFonts w:ascii="宋体" w:hAnsi="宋体"/>
        </w:rPr>
        <w:br w:type="page"/>
      </w:r>
    </w:p>
    <w:p w14:paraId="5E35B9C1" w14:textId="77777777" w:rsidR="00F5289E" w:rsidRDefault="00C91173">
      <w:pPr>
        <w:pStyle w:val="1"/>
      </w:pPr>
      <w:bookmarkStart w:id="213" w:name="_Toc489359171"/>
      <w:bookmarkStart w:id="214" w:name="_Toc138606303"/>
      <w:r>
        <w:lastRenderedPageBreak/>
        <w:t>园艺产品营养学</w:t>
      </w:r>
      <w:bookmarkEnd w:id="213"/>
      <w:r>
        <w:rPr>
          <w:rFonts w:hint="eastAsia"/>
        </w:rPr>
        <w:t>考核大纲</w:t>
      </w:r>
      <w:bookmarkEnd w:id="214"/>
    </w:p>
    <w:p w14:paraId="4E23F721" w14:textId="77777777" w:rsidR="00F5289E" w:rsidRDefault="00C91173">
      <w:pPr>
        <w:snapToGrid w:val="0"/>
        <w:spacing w:line="360" w:lineRule="auto"/>
        <w:jc w:val="center"/>
        <w:rPr>
          <w:rFonts w:eastAsiaTheme="minorEastAsia"/>
          <w:iCs/>
          <w:sz w:val="24"/>
        </w:rPr>
      </w:pPr>
      <w:r>
        <w:rPr>
          <w:rFonts w:eastAsiaTheme="minorEastAsia"/>
          <w:iCs/>
          <w:sz w:val="24"/>
        </w:rPr>
        <w:t>（</w:t>
      </w:r>
      <w:r>
        <w:rPr>
          <w:rFonts w:eastAsiaTheme="minorEastAsia"/>
          <w:iCs/>
          <w:sz w:val="24"/>
        </w:rPr>
        <w:t xml:space="preserve">Horticultural products </w:t>
      </w:r>
      <w:proofErr w:type="spellStart"/>
      <w:r>
        <w:rPr>
          <w:rFonts w:eastAsiaTheme="minorEastAsia"/>
          <w:iCs/>
          <w:sz w:val="24"/>
        </w:rPr>
        <w:t>nutriology</w:t>
      </w:r>
      <w:proofErr w:type="spellEnd"/>
      <w:r>
        <w:rPr>
          <w:rFonts w:eastAsiaTheme="minorEastAsia"/>
          <w:iCs/>
          <w:sz w:val="24"/>
        </w:rPr>
        <w:t>）</w:t>
      </w:r>
    </w:p>
    <w:p w14:paraId="54CC9AE8" w14:textId="77777777" w:rsidR="00F5289E" w:rsidRDefault="00F5289E">
      <w:pPr>
        <w:widowControl/>
        <w:wordWrap w:val="0"/>
        <w:spacing w:before="120" w:after="120"/>
        <w:jc w:val="center"/>
        <w:outlineLvl w:val="0"/>
        <w:rPr>
          <w:rFonts w:eastAsia="黑体" w:hAnsi="宋体" w:cs="宋体"/>
          <w:b/>
          <w:bCs/>
          <w:kern w:val="36"/>
          <w:sz w:val="24"/>
        </w:rPr>
      </w:pPr>
    </w:p>
    <w:p w14:paraId="485FA207"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54DE8232" w14:textId="77777777">
        <w:tc>
          <w:tcPr>
            <w:tcW w:w="1666" w:type="pct"/>
          </w:tcPr>
          <w:p w14:paraId="17D7C807"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rFonts w:eastAsiaTheme="minorEastAsia"/>
                <w:szCs w:val="21"/>
              </w:rPr>
              <w:t>19011061</w:t>
            </w:r>
          </w:p>
        </w:tc>
        <w:tc>
          <w:tcPr>
            <w:tcW w:w="1453" w:type="pct"/>
          </w:tcPr>
          <w:p w14:paraId="4C217415"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eastAsiaTheme="minorEastAsia"/>
                <w:szCs w:val="21"/>
              </w:rPr>
              <w:t>32</w:t>
            </w:r>
          </w:p>
        </w:tc>
        <w:tc>
          <w:tcPr>
            <w:tcW w:w="1881" w:type="pct"/>
          </w:tcPr>
          <w:p w14:paraId="3A6F24AB"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eastAsiaTheme="minorEastAsia"/>
                <w:szCs w:val="21"/>
              </w:rPr>
              <w:t>2</w:t>
            </w:r>
          </w:p>
        </w:tc>
      </w:tr>
      <w:tr w:rsidR="00F5289E" w14:paraId="2E40199A" w14:textId="77777777">
        <w:tc>
          <w:tcPr>
            <w:tcW w:w="1666" w:type="pct"/>
          </w:tcPr>
          <w:p w14:paraId="77359C57" w14:textId="77777777" w:rsidR="00F5289E" w:rsidRDefault="00C91173">
            <w:pPr>
              <w:spacing w:line="300" w:lineRule="auto"/>
              <w:rPr>
                <w:rFonts w:ascii="宋体" w:eastAsiaTheme="minorEastAsia" w:hAnsi="宋体"/>
                <w:b/>
                <w:bCs/>
                <w:szCs w:val="21"/>
              </w:rPr>
            </w:pPr>
            <w:r>
              <w:rPr>
                <w:rFonts w:ascii="宋体" w:hAnsi="宋体" w:hint="eastAsia"/>
                <w:b/>
                <w:bCs/>
                <w:szCs w:val="21"/>
              </w:rPr>
              <w:t>主撰人：</w:t>
            </w:r>
            <w:r w:rsidRPr="001B3040">
              <w:rPr>
                <w:rFonts w:eastAsiaTheme="minorEastAsia" w:hAnsiTheme="minorEastAsia"/>
                <w:szCs w:val="21"/>
              </w:rPr>
              <w:t>贾芝琪</w:t>
            </w:r>
            <w:r w:rsidRPr="001B3040">
              <w:rPr>
                <w:rFonts w:eastAsiaTheme="minorEastAsia" w:hint="eastAsia"/>
                <w:szCs w:val="21"/>
              </w:rPr>
              <w:t>、</w:t>
            </w:r>
            <w:r w:rsidRPr="001B3040">
              <w:rPr>
                <w:rFonts w:eastAsiaTheme="minorEastAsia" w:hAnsiTheme="minorEastAsia"/>
                <w:szCs w:val="21"/>
              </w:rPr>
              <w:t>侯娟</w:t>
            </w:r>
            <w:r w:rsidRPr="001B3040">
              <w:rPr>
                <w:rFonts w:eastAsiaTheme="minorEastAsia" w:hAnsiTheme="minorEastAsia" w:hint="eastAsia"/>
                <w:szCs w:val="21"/>
              </w:rPr>
              <w:t>、张海朋</w:t>
            </w:r>
          </w:p>
        </w:tc>
        <w:tc>
          <w:tcPr>
            <w:tcW w:w="1453" w:type="pct"/>
          </w:tcPr>
          <w:p w14:paraId="5EBBB030"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eastAsiaTheme="minorEastAsia" w:hAnsiTheme="minorEastAsia"/>
                <w:szCs w:val="21"/>
              </w:rPr>
              <w:t>王兰菊</w:t>
            </w:r>
          </w:p>
        </w:tc>
        <w:tc>
          <w:tcPr>
            <w:tcW w:w="1881" w:type="pct"/>
          </w:tcPr>
          <w:p w14:paraId="61630192"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Pr>
                <w:rFonts w:eastAsiaTheme="minorEastAsia" w:hAnsiTheme="minorEastAsia"/>
                <w:b/>
                <w:bCs/>
                <w:szCs w:val="21"/>
              </w:rPr>
              <w:t>：</w:t>
            </w:r>
            <w:r w:rsidRPr="001B3040">
              <w:rPr>
                <w:rFonts w:eastAsiaTheme="minorEastAsia" w:hAnsiTheme="minorEastAsia" w:hint="eastAsia"/>
                <w:szCs w:val="21"/>
              </w:rPr>
              <w:t>202</w:t>
            </w:r>
            <w:r w:rsidR="001B3040">
              <w:rPr>
                <w:rFonts w:eastAsiaTheme="minorEastAsia" w:hAnsiTheme="minorEastAsia"/>
                <w:szCs w:val="21"/>
              </w:rPr>
              <w:t>3.05</w:t>
            </w:r>
          </w:p>
        </w:tc>
      </w:tr>
    </w:tbl>
    <w:p w14:paraId="6C23016F" w14:textId="77777777" w:rsidR="00F5289E" w:rsidRDefault="00C91173">
      <w:pPr>
        <w:pStyle w:val="a9"/>
        <w:spacing w:line="360" w:lineRule="auto"/>
        <w:rPr>
          <w:b/>
          <w:bCs/>
        </w:rPr>
      </w:pPr>
      <w:r>
        <w:rPr>
          <w:rFonts w:hint="eastAsia"/>
          <w:b/>
          <w:bCs/>
        </w:rPr>
        <w:t>一、课程的性质和地位</w:t>
      </w:r>
    </w:p>
    <w:p w14:paraId="15FAED06" w14:textId="77777777" w:rsidR="00F5289E" w:rsidRDefault="00C91173">
      <w:pPr>
        <w:widowControl/>
        <w:snapToGrid w:val="0"/>
        <w:spacing w:line="360" w:lineRule="auto"/>
        <w:ind w:firstLine="420"/>
        <w:jc w:val="left"/>
        <w:rPr>
          <w:rFonts w:eastAsiaTheme="minorEastAsia" w:hAnsiTheme="minorEastAsia"/>
          <w:szCs w:val="21"/>
        </w:rPr>
      </w:pPr>
      <w:r>
        <w:rPr>
          <w:rFonts w:asciiTheme="minorEastAsia" w:eastAsiaTheme="minorEastAsia" w:hAnsiTheme="minorEastAsia" w:cstheme="minorEastAsia" w:hint="eastAsia"/>
          <w:kern w:val="0"/>
          <w:szCs w:val="21"/>
        </w:rPr>
        <w:t>《园艺产品营养学》是</w:t>
      </w:r>
      <w:r>
        <w:rPr>
          <w:rFonts w:eastAsiaTheme="minorEastAsia" w:hAnsiTheme="minorEastAsia"/>
          <w:szCs w:val="21"/>
        </w:rPr>
        <w:t>园艺、茶学、设施农业科学与工程专业的选修课</w:t>
      </w:r>
      <w:r>
        <w:rPr>
          <w:rFonts w:asciiTheme="minorEastAsia" w:eastAsiaTheme="minorEastAsia" w:hAnsiTheme="minorEastAsia" w:cstheme="minorEastAsia" w:hint="eastAsia"/>
          <w:kern w:val="0"/>
          <w:szCs w:val="21"/>
        </w:rPr>
        <w:t>，</w:t>
      </w:r>
      <w:r>
        <w:rPr>
          <w:rFonts w:hint="eastAsia"/>
          <w:szCs w:val="21"/>
          <w:shd w:val="clear" w:color="auto" w:fill="FFFFFF"/>
        </w:rPr>
        <w:t>园艺产品在人们生活中，最重要的作用之一就是提供人们日常食物中所需的果蔬产品。随着园艺产业的发展以及人们对“吃”的方面要求的提高，目前人们对果蔬等园艺产品的消费需求方向也在不断发生变化，在园艺产品的消费过程中更加注重营养品质，由此园艺产业的发展也从数量型向质量型转变。</w:t>
      </w:r>
      <w:r>
        <w:rPr>
          <w:rFonts w:asciiTheme="minorEastAsia" w:eastAsiaTheme="minorEastAsia" w:hAnsiTheme="minorEastAsia" w:cstheme="minorEastAsia" w:hint="eastAsia"/>
          <w:kern w:val="0"/>
          <w:szCs w:val="21"/>
        </w:rPr>
        <w:t>本课程从营养学角度对不同种类的园艺产品及其功能成分进行分析阐述，重点介绍了基础营养学、园艺产品的营养构成、园艺产品的营养与功能、园艺产品营养的形成与调控等。</w:t>
      </w:r>
      <w:r>
        <w:rPr>
          <w:rFonts w:eastAsiaTheme="minorEastAsia" w:hAnsiTheme="minorEastAsia"/>
          <w:szCs w:val="21"/>
        </w:rPr>
        <w:t>本课程的开设可进一步</w:t>
      </w:r>
      <w:r>
        <w:rPr>
          <w:rFonts w:eastAsiaTheme="minorEastAsia" w:hAnsiTheme="minorEastAsia" w:hint="eastAsia"/>
          <w:szCs w:val="21"/>
        </w:rPr>
        <w:t>让学生了解</w:t>
      </w:r>
      <w:r>
        <w:rPr>
          <w:rFonts w:hint="eastAsia"/>
          <w:szCs w:val="21"/>
          <w:shd w:val="clear" w:color="auto" w:fill="FFFFFF"/>
        </w:rPr>
        <w:t>园艺产品与人类生活、人体健康、产业发展等的联系</w:t>
      </w:r>
      <w:r>
        <w:rPr>
          <w:rFonts w:eastAsiaTheme="minorEastAsia" w:hAnsiTheme="minorEastAsia" w:hint="eastAsia"/>
          <w:szCs w:val="21"/>
        </w:rPr>
        <w:t>，提高对园艺产品的认知水平，</w:t>
      </w:r>
      <w:r>
        <w:rPr>
          <w:rFonts w:eastAsiaTheme="minorEastAsia" w:hAnsiTheme="minorEastAsia"/>
          <w:szCs w:val="21"/>
        </w:rPr>
        <w:t>加强学生的综合素质培养，增强学生发现问题、分析问题和解决问题的能力，推动我国</w:t>
      </w:r>
      <w:r>
        <w:rPr>
          <w:rFonts w:eastAsiaTheme="minorEastAsia" w:hAnsiTheme="minorEastAsia" w:hint="eastAsia"/>
          <w:szCs w:val="21"/>
        </w:rPr>
        <w:t>园艺产品品质调控的</w:t>
      </w:r>
      <w:r>
        <w:rPr>
          <w:rFonts w:eastAsiaTheme="minorEastAsia" w:hAnsiTheme="minorEastAsia"/>
          <w:szCs w:val="21"/>
        </w:rPr>
        <w:t>研究与应用。</w:t>
      </w:r>
      <w:r>
        <w:rPr>
          <w:rFonts w:asciiTheme="minorEastAsia" w:eastAsiaTheme="minorEastAsia" w:hAnsiTheme="minorEastAsia" w:cstheme="minorEastAsia" w:hint="eastAsia"/>
          <w:kern w:val="0"/>
          <w:szCs w:val="21"/>
        </w:rPr>
        <w:t>通过该课程的学习，</w:t>
      </w:r>
      <w:r>
        <w:rPr>
          <w:rFonts w:asciiTheme="minorEastAsia" w:eastAsiaTheme="minorEastAsia" w:hAnsiTheme="minorEastAsia" w:cstheme="minorEastAsia" w:hint="eastAsia"/>
        </w:rPr>
        <w:t>学生能全面了解园艺产品营养学理论，掌握园艺营养保健相关的功能成分、营养价值及其应用前景；熟悉园艺产品的营养保健功能，园艺产品营养形成与调控的路径，为开发高营养价值的园艺产品，调整人们膳食结构提供基本知识和信息。</w:t>
      </w:r>
    </w:p>
    <w:p w14:paraId="5663AFA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4956ADE0" w14:textId="77777777" w:rsidR="00F5289E" w:rsidRDefault="00C91173">
      <w:pPr>
        <w:snapToGrid w:val="0"/>
        <w:spacing w:line="360" w:lineRule="auto"/>
        <w:ind w:firstLineChars="200" w:firstLine="420"/>
        <w:rPr>
          <w:rFonts w:eastAsiaTheme="minorEastAsia"/>
          <w:szCs w:val="21"/>
        </w:rPr>
      </w:pPr>
      <w:r>
        <w:rPr>
          <w:rFonts w:eastAsiaTheme="minorEastAsia"/>
          <w:kern w:val="0"/>
          <w:szCs w:val="21"/>
        </w:rPr>
        <w:t>通过该课程的学习，</w:t>
      </w:r>
      <w:r>
        <w:rPr>
          <w:rFonts w:eastAsiaTheme="minorEastAsia"/>
        </w:rPr>
        <w:t>使学生能全面了解园艺产品营养学</w:t>
      </w:r>
      <w:r>
        <w:rPr>
          <w:rFonts w:eastAsiaTheme="minorEastAsia" w:hint="eastAsia"/>
        </w:rPr>
        <w:t>基础</w:t>
      </w:r>
      <w:r>
        <w:rPr>
          <w:rFonts w:eastAsiaTheme="minorEastAsia"/>
        </w:rPr>
        <w:t>理论，掌握</w:t>
      </w:r>
      <w:r>
        <w:rPr>
          <w:rFonts w:eastAsiaTheme="minorEastAsia" w:hint="eastAsia"/>
        </w:rPr>
        <w:t>园艺产品</w:t>
      </w:r>
      <w:r>
        <w:rPr>
          <w:rFonts w:eastAsiaTheme="minorEastAsia"/>
        </w:rPr>
        <w:t>营养保健相关的功能成分</w:t>
      </w:r>
      <w:r>
        <w:rPr>
          <w:rFonts w:eastAsiaTheme="minorEastAsia" w:hint="eastAsia"/>
        </w:rPr>
        <w:t>、</w:t>
      </w:r>
      <w:r>
        <w:rPr>
          <w:rFonts w:eastAsiaTheme="minorEastAsia"/>
        </w:rPr>
        <w:t>营养价值及其应用前景；熟悉园艺产品的营养保健功能，园艺产品营养形成</w:t>
      </w:r>
      <w:r>
        <w:rPr>
          <w:rFonts w:eastAsiaTheme="minorEastAsia" w:hint="eastAsia"/>
        </w:rPr>
        <w:t>与调控</w:t>
      </w:r>
      <w:r>
        <w:rPr>
          <w:rFonts w:eastAsiaTheme="minorEastAsia"/>
        </w:rPr>
        <w:t>，为</w:t>
      </w:r>
      <w:r>
        <w:rPr>
          <w:rFonts w:eastAsiaTheme="minorEastAsia" w:hint="eastAsia"/>
        </w:rPr>
        <w:t>提高园艺产品营养认知水平、</w:t>
      </w:r>
      <w:r>
        <w:rPr>
          <w:rFonts w:eastAsiaTheme="minorEastAsia"/>
        </w:rPr>
        <w:t>开发高营养价值的园艺产品</w:t>
      </w:r>
      <w:r>
        <w:rPr>
          <w:rFonts w:eastAsiaTheme="minorEastAsia" w:hint="eastAsia"/>
        </w:rPr>
        <w:t>、</w:t>
      </w:r>
      <w:r>
        <w:rPr>
          <w:rFonts w:eastAsiaTheme="minorEastAsia"/>
        </w:rPr>
        <w:t>调整人们膳食结构提供基本知识和信息。</w:t>
      </w:r>
    </w:p>
    <w:p w14:paraId="1D594F28"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绪 论</w:t>
      </w:r>
    </w:p>
    <w:p w14:paraId="063E70C6"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4791B19"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Theme="minorEastAsia" w:eastAsiaTheme="minorEastAsia" w:hAnsiTheme="minorEastAsia" w:cstheme="minorEastAsia" w:hint="eastAsia"/>
          <w:bCs/>
        </w:rPr>
        <w:t>营养学基本概念及发展简史；</w:t>
      </w:r>
      <w:r>
        <w:rPr>
          <w:rFonts w:ascii="宋体" w:hAnsi="宋体" w:hint="eastAsia"/>
          <w:szCs w:val="21"/>
        </w:rPr>
        <w:t>园艺产品营养学概念，主要营养成分组成。</w:t>
      </w:r>
    </w:p>
    <w:p w14:paraId="5511464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：常见园艺产品的营养成分，园艺产品对生活的意义。</w:t>
      </w:r>
    </w:p>
    <w:p w14:paraId="12C1F47A"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w:t>
      </w:r>
      <w:r>
        <w:rPr>
          <w:rFonts w:asciiTheme="minorEastAsia" w:eastAsiaTheme="minorEastAsia" w:hAnsiTheme="minorEastAsia" w:cstheme="minorEastAsia" w:hint="eastAsia"/>
          <w:bCs/>
        </w:rPr>
        <w:t>中国居民膳食指南的内容；</w:t>
      </w:r>
      <w:r>
        <w:rPr>
          <w:rFonts w:ascii="宋体" w:hAnsi="宋体" w:hint="eastAsia"/>
          <w:bCs/>
          <w:szCs w:val="21"/>
        </w:rPr>
        <w:t>园艺产品对生活品质提升的意义和作用。</w:t>
      </w:r>
    </w:p>
    <w:p w14:paraId="35CCA844" w14:textId="77777777" w:rsidR="00F5289E" w:rsidRDefault="00C91173">
      <w:pPr>
        <w:snapToGrid w:val="0"/>
        <w:spacing w:beforeLines="50" w:before="156" w:line="360" w:lineRule="auto"/>
        <w:rPr>
          <w:rFonts w:ascii="宋体" w:hAnsi="宋体"/>
          <w:szCs w:val="21"/>
        </w:rPr>
      </w:pPr>
      <w:r>
        <w:rPr>
          <w:rFonts w:ascii="宋体" w:hAnsi="宋体" w:hint="eastAsia"/>
          <w:b/>
          <w:szCs w:val="21"/>
        </w:rPr>
        <w:lastRenderedPageBreak/>
        <w:t>（二）考核内容</w:t>
      </w:r>
    </w:p>
    <w:p w14:paraId="075FF82C"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bCs/>
          <w:szCs w:val="21"/>
        </w:rPr>
        <w:t>园艺产品主要营养成分；</w:t>
      </w:r>
      <w:r>
        <w:rPr>
          <w:rFonts w:asciiTheme="minorEastAsia" w:eastAsiaTheme="minorEastAsia" w:hAnsiTheme="minorEastAsia" w:cstheme="minorEastAsia" w:hint="eastAsia"/>
        </w:rPr>
        <w:t>营养学的相关概念；</w:t>
      </w:r>
      <w:r>
        <w:rPr>
          <w:rFonts w:asciiTheme="minorEastAsia" w:eastAsiaTheme="minorEastAsia" w:hAnsiTheme="minorEastAsia" w:cstheme="minorEastAsia" w:hint="eastAsia"/>
          <w:bCs/>
        </w:rPr>
        <w:t>园艺产品营养学的重要意义；中国居民膳食指南的内容</w:t>
      </w:r>
      <w:r>
        <w:rPr>
          <w:rFonts w:ascii="宋体" w:hAnsi="宋体" w:hint="eastAsia"/>
          <w:bCs/>
          <w:szCs w:val="21"/>
        </w:rPr>
        <w:t>。</w:t>
      </w:r>
    </w:p>
    <w:p w14:paraId="07C05DB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79D7217E" w14:textId="77777777" w:rsidR="00F5289E" w:rsidRDefault="00C91173">
      <w:pPr>
        <w:snapToGrid w:val="0"/>
        <w:spacing w:beforeLines="50" w:before="156" w:line="360" w:lineRule="auto"/>
        <w:ind w:firstLineChars="200" w:firstLine="422"/>
        <w:rPr>
          <w:rFonts w:ascii="宋体" w:hAnsi="宋体"/>
          <w:bCs/>
          <w:szCs w:val="21"/>
        </w:rPr>
      </w:pPr>
      <w:r>
        <w:rPr>
          <w:rFonts w:ascii="宋体" w:hAnsi="宋体" w:hint="eastAsia"/>
          <w:b/>
          <w:szCs w:val="21"/>
        </w:rPr>
        <w:t>1.识记</w:t>
      </w:r>
      <w:r>
        <w:rPr>
          <w:rFonts w:ascii="宋体" w:hAnsi="宋体" w:hint="eastAsia"/>
          <w:szCs w:val="21"/>
        </w:rPr>
        <w:t>：</w:t>
      </w:r>
      <w:r>
        <w:rPr>
          <w:rFonts w:ascii="宋体" w:hAnsi="宋体" w:hint="eastAsia"/>
          <w:bCs/>
          <w:szCs w:val="21"/>
        </w:rPr>
        <w:t>主要园艺产品中的营养成分。</w:t>
      </w:r>
    </w:p>
    <w:p w14:paraId="4D2CE8F1"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bCs/>
          <w:szCs w:val="21"/>
        </w:rPr>
        <w:t>园艺产品对生活品质提升中的意义。</w:t>
      </w:r>
    </w:p>
    <w:p w14:paraId="4EF13D4B"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ascii="宋体" w:hAnsi="宋体" w:hint="eastAsia"/>
          <w:bCs/>
          <w:szCs w:val="21"/>
        </w:rPr>
        <w:t>综合评价园艺产品营养物质成分；</w:t>
      </w:r>
      <w:r>
        <w:rPr>
          <w:rFonts w:asciiTheme="minorEastAsia" w:eastAsiaTheme="minorEastAsia" w:hAnsiTheme="minorEastAsia" w:cstheme="minorEastAsia" w:hint="eastAsia"/>
          <w:bCs/>
        </w:rPr>
        <w:t>中国居民膳食指南的内容</w:t>
      </w:r>
      <w:r>
        <w:rPr>
          <w:rFonts w:ascii="宋体" w:hAnsi="宋体" w:hint="eastAsia"/>
          <w:bCs/>
          <w:szCs w:val="21"/>
        </w:rPr>
        <w:t>。</w:t>
      </w:r>
    </w:p>
    <w:p w14:paraId="17C934A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ascii="宋体" w:hAnsi="宋体" w:hint="eastAsia"/>
          <w:szCs w:val="21"/>
        </w:rPr>
        <w:t>分析自己的膳食结构；</w:t>
      </w:r>
      <w:r>
        <w:rPr>
          <w:rFonts w:ascii="宋体" w:hAnsi="宋体" w:hint="eastAsia"/>
          <w:bCs/>
          <w:szCs w:val="21"/>
        </w:rPr>
        <w:t>从营养成分的角度分析园艺产品的食用价值。</w:t>
      </w:r>
    </w:p>
    <w:p w14:paraId="1CF49174"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5.综合</w:t>
      </w:r>
      <w:r>
        <w:rPr>
          <w:rFonts w:ascii="宋体" w:hAnsi="宋体" w:hint="eastAsia"/>
          <w:szCs w:val="21"/>
        </w:rPr>
        <w:t>：</w:t>
      </w:r>
      <w:r>
        <w:rPr>
          <w:rFonts w:ascii="宋体" w:hAnsi="宋体" w:hint="eastAsia"/>
          <w:bCs/>
          <w:szCs w:val="21"/>
        </w:rPr>
        <w:t>综合评价园艺产品的营养价值。</w:t>
      </w:r>
    </w:p>
    <w:p w14:paraId="6D7CD2E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6.评价：</w:t>
      </w:r>
      <w:r>
        <w:rPr>
          <w:rFonts w:ascii="宋体" w:hAnsi="宋体" w:hint="eastAsia"/>
          <w:bCs/>
          <w:szCs w:val="21"/>
        </w:rPr>
        <w:t>掌握并明确主要园艺产品的营养价值。</w:t>
      </w:r>
    </w:p>
    <w:p w14:paraId="68B2BD01"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 xml:space="preserve">第一章  </w:t>
      </w:r>
      <w:r>
        <w:rPr>
          <w:rFonts w:eastAsiaTheme="minorEastAsia" w:hint="eastAsia"/>
          <w:b/>
          <w:bCs/>
        </w:rPr>
        <w:t>营养学基础</w:t>
      </w:r>
    </w:p>
    <w:p w14:paraId="2C09C347"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0D95548F"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：六大类营养素对人体的重要作用。</w:t>
      </w:r>
    </w:p>
    <w:p w14:paraId="34D9BCA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：碳水化合物、蛋白质、脂类的分类和功能；六大类营养素的的食物来源和参考摄入量标准。</w:t>
      </w:r>
    </w:p>
    <w:p w14:paraId="2027302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3. 熟练掌握</w:t>
      </w:r>
      <w:r>
        <w:rPr>
          <w:rFonts w:ascii="宋体" w:hAnsi="宋体" w:hint="eastAsia"/>
          <w:szCs w:val="21"/>
        </w:rPr>
        <w:t>：六大类营养素的名称和功能；矿物质、维生素缺乏症表现；</w:t>
      </w:r>
      <w:r>
        <w:rPr>
          <w:rFonts w:asciiTheme="minorEastAsia" w:eastAsiaTheme="minorEastAsia" w:hAnsiTheme="minorEastAsia" w:cstheme="minorEastAsia" w:hint="eastAsia"/>
        </w:rPr>
        <w:t>基础代谢（率）的概念；</w:t>
      </w:r>
      <w:r>
        <w:rPr>
          <w:rFonts w:asciiTheme="minorEastAsia" w:eastAsiaTheme="minorEastAsia" w:hAnsiTheme="minorEastAsia" w:cstheme="minorEastAsia" w:hint="eastAsia"/>
          <w:bCs/>
        </w:rPr>
        <w:t>产能营养素的生理有效能量的计算；</w:t>
      </w:r>
      <w:r>
        <w:rPr>
          <w:rFonts w:asciiTheme="minorEastAsia" w:eastAsiaTheme="minorEastAsia" w:hAnsiTheme="minorEastAsia" w:cstheme="minorEastAsia" w:hint="eastAsia"/>
        </w:rPr>
        <w:t>食物的血糖指生成数的概念和应用；脂溶性维生素和水溶性维生素的种类及其生理功能</w:t>
      </w:r>
      <w:r>
        <w:rPr>
          <w:rFonts w:ascii="宋体" w:hAnsi="宋体" w:hint="eastAsia"/>
          <w:bCs/>
          <w:szCs w:val="21"/>
        </w:rPr>
        <w:t>。</w:t>
      </w:r>
    </w:p>
    <w:p w14:paraId="1A702290"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5AEABD96" w14:textId="77777777" w:rsidR="00F5289E" w:rsidRDefault="00C91173">
      <w:pPr>
        <w:snapToGrid w:val="0"/>
        <w:spacing w:beforeLines="50" w:before="156" w:line="360" w:lineRule="auto"/>
        <w:rPr>
          <w:rFonts w:eastAsiaTheme="minorEastAsia"/>
        </w:rPr>
      </w:pPr>
      <w:r>
        <w:rPr>
          <w:rFonts w:eastAsiaTheme="minorEastAsia" w:hint="eastAsia"/>
        </w:rPr>
        <w:t>基础代谢（率）的概念；产能营养素的的计算；食物的血糖指生成数的概念和应用；脂类的营养价值评价；必需氨基酸、限制氨基酸、蛋白质互补作用的定义；食物蛋白质的营养价值评价；蛋白质的代谢及氮平衡；钙、铁、碘、锌、硒的生理功能及缺乏症表现；脂溶性维生素和水溶性维生素的种类及其生理功能；维生素缺乏的症状表现</w:t>
      </w:r>
    </w:p>
    <w:p w14:paraId="7A780412"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69412BE9" w14:textId="77777777" w:rsidR="00F5289E" w:rsidRDefault="00C91173">
      <w:pPr>
        <w:snapToGrid w:val="0"/>
        <w:spacing w:beforeLines="50" w:before="156" w:line="360" w:lineRule="auto"/>
        <w:ind w:firstLineChars="200" w:firstLine="422"/>
        <w:rPr>
          <w:rFonts w:ascii="宋体" w:eastAsiaTheme="minorEastAsia" w:hAnsi="宋体"/>
          <w:b/>
          <w:szCs w:val="21"/>
        </w:rPr>
      </w:pPr>
      <w:r>
        <w:rPr>
          <w:rFonts w:ascii="宋体" w:hAnsi="宋体" w:hint="eastAsia"/>
          <w:b/>
          <w:szCs w:val="21"/>
        </w:rPr>
        <w:t>1.识记</w:t>
      </w:r>
      <w:r>
        <w:rPr>
          <w:rFonts w:ascii="宋体" w:hAnsi="宋体" w:hint="eastAsia"/>
          <w:szCs w:val="21"/>
        </w:rPr>
        <w:t>：六大类营养素的分类、功能、来源和摄入标准</w:t>
      </w:r>
      <w:r>
        <w:rPr>
          <w:rFonts w:asciiTheme="minorEastAsia" w:eastAsiaTheme="minorEastAsia" w:hAnsiTheme="minorEastAsia" w:cstheme="minorEastAsia" w:hint="eastAsia"/>
        </w:rPr>
        <w:t>；必需氨基酸、限制氨基酸、蛋白质互补作用的定义；不饱和脂肪酸定义；血糖指生成指数的概念。</w:t>
      </w:r>
    </w:p>
    <w:p w14:paraId="043E6FC7" w14:textId="77777777" w:rsidR="00F5289E" w:rsidRDefault="00C91173">
      <w:pPr>
        <w:snapToGrid w:val="0"/>
        <w:spacing w:beforeLines="50" w:before="156" w:line="360" w:lineRule="auto"/>
        <w:ind w:firstLineChars="200" w:firstLine="422"/>
        <w:rPr>
          <w:rFonts w:ascii="宋体" w:eastAsiaTheme="minorEastAsia" w:hAnsi="宋体"/>
          <w:b/>
          <w:szCs w:val="21"/>
        </w:rPr>
      </w:pPr>
      <w:r>
        <w:rPr>
          <w:rFonts w:ascii="宋体" w:hAnsi="宋体" w:hint="eastAsia"/>
          <w:b/>
          <w:szCs w:val="21"/>
        </w:rPr>
        <w:t>2.领会</w:t>
      </w:r>
      <w:r>
        <w:rPr>
          <w:rFonts w:ascii="宋体" w:hAnsi="宋体" w:hint="eastAsia"/>
          <w:szCs w:val="21"/>
        </w:rPr>
        <w:t>：</w:t>
      </w:r>
      <w:r>
        <w:rPr>
          <w:rFonts w:asciiTheme="minorEastAsia" w:eastAsiaTheme="minorEastAsia" w:hAnsiTheme="minorEastAsia" w:cstheme="minorEastAsia" w:hint="eastAsia"/>
        </w:rPr>
        <w:t>必须脂肪酸的定义和生理功能；脂溶性维生素和水溶性维生素的种类；磷脂和胆固醇</w:t>
      </w:r>
      <w:r>
        <w:rPr>
          <w:rFonts w:asciiTheme="minorEastAsia" w:eastAsiaTheme="minorEastAsia" w:hAnsiTheme="minorEastAsia" w:cstheme="minorEastAsia" w:hint="eastAsia"/>
        </w:rPr>
        <w:lastRenderedPageBreak/>
        <w:t>的生理功能。</w:t>
      </w:r>
    </w:p>
    <w:p w14:paraId="6A52C882" w14:textId="77777777" w:rsidR="00F5289E" w:rsidRDefault="00C91173">
      <w:pPr>
        <w:snapToGrid w:val="0"/>
        <w:spacing w:beforeLines="50" w:before="156" w:line="360" w:lineRule="auto"/>
        <w:ind w:firstLineChars="200" w:firstLine="422"/>
        <w:rPr>
          <w:rFonts w:asciiTheme="minorEastAsia" w:eastAsiaTheme="minorEastAsia" w:hAnsiTheme="minorEastAsia" w:cstheme="minorEastAsia"/>
        </w:rPr>
      </w:pPr>
      <w:r>
        <w:rPr>
          <w:rFonts w:ascii="宋体" w:hAnsi="宋体" w:hint="eastAsia"/>
          <w:b/>
          <w:szCs w:val="21"/>
        </w:rPr>
        <w:t>3.应用</w:t>
      </w:r>
      <w:r>
        <w:rPr>
          <w:rFonts w:ascii="宋体" w:hAnsi="宋体" w:hint="eastAsia"/>
          <w:szCs w:val="21"/>
        </w:rPr>
        <w:t>：营养素缺乏表现及判断；</w:t>
      </w:r>
      <w:r>
        <w:rPr>
          <w:rFonts w:asciiTheme="minorEastAsia" w:eastAsiaTheme="minorEastAsia" w:hAnsiTheme="minorEastAsia" w:cstheme="minorEastAsia" w:hint="eastAsia"/>
          <w:bCs/>
        </w:rPr>
        <w:t>产能营养素的计算；</w:t>
      </w:r>
      <w:r>
        <w:rPr>
          <w:rFonts w:asciiTheme="minorEastAsia" w:eastAsiaTheme="minorEastAsia" w:hAnsiTheme="minorEastAsia" w:cstheme="minorEastAsia" w:hint="eastAsia"/>
        </w:rPr>
        <w:t>人体摄入和消耗能量的计算方法；食物的血糖指生成数的应用。</w:t>
      </w:r>
    </w:p>
    <w:p w14:paraId="04E30B4E" w14:textId="77777777" w:rsidR="00F5289E" w:rsidRDefault="00C91173">
      <w:pPr>
        <w:snapToGrid w:val="0"/>
        <w:spacing w:beforeLines="50" w:before="156" w:line="360" w:lineRule="auto"/>
        <w:ind w:firstLineChars="200" w:firstLine="422"/>
        <w:rPr>
          <w:rFonts w:ascii="宋体" w:eastAsiaTheme="minorEastAsia" w:hAnsi="宋体"/>
          <w:color w:val="0000FF"/>
          <w:szCs w:val="21"/>
        </w:rPr>
      </w:pPr>
      <w:r>
        <w:rPr>
          <w:rFonts w:ascii="宋体" w:hAnsi="宋体" w:hint="eastAsia"/>
          <w:b/>
          <w:szCs w:val="21"/>
        </w:rPr>
        <w:t>4.分析：</w:t>
      </w:r>
      <w:r>
        <w:rPr>
          <w:rFonts w:ascii="宋体" w:hAnsi="宋体" w:hint="eastAsia"/>
          <w:szCs w:val="20"/>
        </w:rPr>
        <w:t>计算能量摄入量和能量消耗量是否平衡；</w:t>
      </w:r>
      <w:r>
        <w:rPr>
          <w:rFonts w:ascii="宋体" w:hAnsi="宋体" w:hint="eastAsia"/>
          <w:szCs w:val="21"/>
        </w:rPr>
        <w:t>矿物质、维生素缺乏症表现；膳食结构合理性分析。</w:t>
      </w:r>
    </w:p>
    <w:p w14:paraId="15356E47"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5.综合</w:t>
      </w:r>
      <w:r>
        <w:rPr>
          <w:rFonts w:ascii="宋体" w:hAnsi="宋体" w:hint="eastAsia"/>
          <w:szCs w:val="21"/>
        </w:rPr>
        <w:t>：能够掌握营养物质的基础和在日常生活中做到营养均衡。</w:t>
      </w:r>
    </w:p>
    <w:p w14:paraId="3DD46373"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 xml:space="preserve">第二章  </w:t>
      </w:r>
      <w:r>
        <w:rPr>
          <w:rFonts w:eastAsiaTheme="minorEastAsia"/>
          <w:b/>
          <w:bCs/>
        </w:rPr>
        <w:t>园艺产品营养</w:t>
      </w:r>
      <w:r>
        <w:rPr>
          <w:rFonts w:eastAsiaTheme="minorEastAsia" w:hint="eastAsia"/>
          <w:b/>
          <w:bCs/>
        </w:rPr>
        <w:t>成分</w:t>
      </w:r>
    </w:p>
    <w:p w14:paraId="17F7FB76"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1F7698B0"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eastAsiaTheme="minorEastAsia"/>
        </w:rPr>
        <w:t>园艺产品中</w:t>
      </w:r>
      <w:r>
        <w:rPr>
          <w:rFonts w:eastAsiaTheme="minorEastAsia" w:hint="eastAsia"/>
        </w:rPr>
        <w:t>营养要素</w:t>
      </w:r>
      <w:r>
        <w:rPr>
          <w:rFonts w:eastAsiaTheme="minorEastAsia"/>
        </w:rPr>
        <w:t>的</w:t>
      </w:r>
      <w:r>
        <w:rPr>
          <w:rFonts w:eastAsiaTheme="minorEastAsia" w:hint="eastAsia"/>
        </w:rPr>
        <w:t>构成，生化属性营养物质和感官属性营养物质</w:t>
      </w:r>
      <w:r>
        <w:rPr>
          <w:rFonts w:hint="eastAsia"/>
        </w:rPr>
        <w:t>。</w:t>
      </w:r>
    </w:p>
    <w:p w14:paraId="23CC61F8" w14:textId="77777777" w:rsidR="00F5289E" w:rsidRDefault="00C91173">
      <w:pPr>
        <w:adjustRightInd w:val="0"/>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eastAsiaTheme="minorEastAsia"/>
        </w:rPr>
        <w:t>园艺产品中的</w:t>
      </w:r>
      <w:r>
        <w:rPr>
          <w:rFonts w:eastAsiaTheme="minorEastAsia" w:hint="eastAsia"/>
        </w:rPr>
        <w:t>活性功能成分（</w:t>
      </w:r>
      <w:r>
        <w:rPr>
          <w:rFonts w:eastAsiaTheme="minorEastAsia"/>
        </w:rPr>
        <w:t>酚类、有机硫化合物、萜类、活性多糖、多不饱和脂肪酸、膳食纤维、生物碱、天然色素等</w:t>
      </w:r>
      <w:r>
        <w:rPr>
          <w:rFonts w:eastAsiaTheme="minorEastAsia" w:hint="eastAsia"/>
        </w:rPr>
        <w:t>）</w:t>
      </w:r>
      <w:r>
        <w:rPr>
          <w:rFonts w:eastAsiaTheme="minorEastAsia"/>
        </w:rPr>
        <w:t>的结构与性质、生物学作用及其食物来源。</w:t>
      </w:r>
    </w:p>
    <w:p w14:paraId="72D72C40"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eastAsiaTheme="minorEastAsia"/>
        </w:rPr>
        <w:t>园艺产品中含有的营养成分及其种类。</w:t>
      </w:r>
    </w:p>
    <w:p w14:paraId="43C98631"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252DD1DB" w14:textId="77777777" w:rsidR="00F5289E" w:rsidRDefault="00C91173">
      <w:pPr>
        <w:snapToGrid w:val="0"/>
        <w:spacing w:beforeLines="50" w:before="156" w:line="360" w:lineRule="auto"/>
        <w:ind w:firstLineChars="200" w:firstLine="420"/>
        <w:rPr>
          <w:rFonts w:ascii="宋体" w:hAnsi="宋体"/>
          <w:szCs w:val="21"/>
        </w:rPr>
      </w:pPr>
      <w:r>
        <w:rPr>
          <w:rFonts w:eastAsiaTheme="minorEastAsia"/>
        </w:rPr>
        <w:t>园艺产品的营养特点；园艺产品</w:t>
      </w:r>
      <w:r>
        <w:rPr>
          <w:rFonts w:eastAsiaTheme="minorEastAsia" w:hint="eastAsia"/>
        </w:rPr>
        <w:t>中生化属性营养成分（六大营养素）</w:t>
      </w:r>
      <w:r>
        <w:rPr>
          <w:rFonts w:eastAsiaTheme="minorEastAsia"/>
        </w:rPr>
        <w:t>；</w:t>
      </w:r>
      <w:r>
        <w:rPr>
          <w:rFonts w:eastAsiaTheme="minorEastAsia" w:hint="eastAsia"/>
        </w:rPr>
        <w:t>园艺产品</w:t>
      </w:r>
      <w:r>
        <w:rPr>
          <w:rFonts w:eastAsiaTheme="minorEastAsia"/>
        </w:rPr>
        <w:t>的生物活性物质</w:t>
      </w:r>
      <w:r>
        <w:rPr>
          <w:rFonts w:eastAsiaTheme="minorEastAsia" w:hint="eastAsia"/>
        </w:rPr>
        <w:t>及嫌忌成分</w:t>
      </w:r>
      <w:r>
        <w:rPr>
          <w:rFonts w:eastAsiaTheme="minorEastAsia"/>
        </w:rPr>
        <w:t>的种类。</w:t>
      </w:r>
    </w:p>
    <w:p w14:paraId="69D8800B"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1B51CC2"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eastAsiaTheme="minorEastAsia"/>
        </w:rPr>
        <w:t>园艺产品中含有的营养成分及其种类。</w:t>
      </w:r>
    </w:p>
    <w:p w14:paraId="0C1D147F"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eastAsiaTheme="minorEastAsia"/>
        </w:rPr>
        <w:t>园艺产品中的</w:t>
      </w:r>
      <w:r>
        <w:rPr>
          <w:rFonts w:eastAsiaTheme="minorEastAsia" w:hint="eastAsia"/>
        </w:rPr>
        <w:t>活性成分（</w:t>
      </w:r>
      <w:r>
        <w:rPr>
          <w:rFonts w:eastAsiaTheme="minorEastAsia"/>
        </w:rPr>
        <w:t>酚类、有机硫化合物、萜类、活性多糖、多不饱和脂肪酸、膳食纤维、生物碱、天然色素等</w:t>
      </w:r>
      <w:r>
        <w:rPr>
          <w:rFonts w:eastAsiaTheme="minorEastAsia" w:hint="eastAsia"/>
        </w:rPr>
        <w:t>）</w:t>
      </w:r>
      <w:r>
        <w:rPr>
          <w:rFonts w:eastAsiaTheme="minorEastAsia"/>
        </w:rPr>
        <w:t>的结构与性质、生物学作用及其食物来源。</w:t>
      </w:r>
    </w:p>
    <w:p w14:paraId="52A813B1"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：能够知晓</w:t>
      </w:r>
      <w:r>
        <w:rPr>
          <w:rFonts w:eastAsiaTheme="minorEastAsia"/>
          <w:szCs w:val="21"/>
        </w:rPr>
        <w:t>园艺产品活性物质的</w:t>
      </w:r>
      <w:r>
        <w:rPr>
          <w:rFonts w:eastAsiaTheme="minorEastAsia"/>
        </w:rPr>
        <w:t>食物来源。</w:t>
      </w:r>
    </w:p>
    <w:p w14:paraId="1508590D"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4.分析：</w:t>
      </w:r>
      <w:r>
        <w:rPr>
          <w:rFonts w:eastAsiaTheme="minorEastAsia" w:hint="eastAsia"/>
        </w:rPr>
        <w:t>能够分析</w:t>
      </w:r>
      <w:r>
        <w:rPr>
          <w:rFonts w:eastAsiaTheme="minorEastAsia"/>
        </w:rPr>
        <w:t>果蔬中含有的</w:t>
      </w:r>
      <w:r>
        <w:rPr>
          <w:rFonts w:eastAsiaTheme="minorEastAsia" w:hint="eastAsia"/>
        </w:rPr>
        <w:t>营养</w:t>
      </w:r>
      <w:r>
        <w:rPr>
          <w:rFonts w:eastAsiaTheme="minorEastAsia"/>
        </w:rPr>
        <w:t>物质种类及保健功能</w:t>
      </w:r>
      <w:r>
        <w:rPr>
          <w:rFonts w:eastAsiaTheme="minorEastAsia" w:hint="eastAsia"/>
        </w:rPr>
        <w:t>、嫌忌成分及危害</w:t>
      </w:r>
      <w:r>
        <w:rPr>
          <w:rFonts w:eastAsiaTheme="minorEastAsia"/>
          <w:bCs/>
        </w:rPr>
        <w:t>。</w:t>
      </w:r>
    </w:p>
    <w:p w14:paraId="7C4D02D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5.综合</w:t>
      </w:r>
      <w:r>
        <w:rPr>
          <w:rFonts w:ascii="宋体" w:hAnsi="宋体" w:hint="eastAsia"/>
          <w:szCs w:val="21"/>
        </w:rPr>
        <w:t>：能够掌握</w:t>
      </w:r>
      <w:r>
        <w:rPr>
          <w:rFonts w:eastAsiaTheme="minorEastAsia"/>
          <w:szCs w:val="21"/>
        </w:rPr>
        <w:t>园艺产品</w:t>
      </w:r>
      <w:r>
        <w:rPr>
          <w:rFonts w:eastAsiaTheme="minorEastAsia" w:hint="eastAsia"/>
          <w:szCs w:val="21"/>
        </w:rPr>
        <w:t>中生物活性物质与人体健康的关系</w:t>
      </w:r>
      <w:r>
        <w:rPr>
          <w:rFonts w:ascii="宋体" w:hAnsi="宋体" w:hint="eastAsia"/>
          <w:bCs/>
          <w:szCs w:val="21"/>
        </w:rPr>
        <w:t>。</w:t>
      </w:r>
    </w:p>
    <w:p w14:paraId="3172D802"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 xml:space="preserve">第三章  </w:t>
      </w:r>
      <w:r>
        <w:rPr>
          <w:rFonts w:eastAsiaTheme="minorEastAsia"/>
          <w:b/>
          <w:bCs/>
        </w:rPr>
        <w:t>园艺产品营养</w:t>
      </w:r>
      <w:r>
        <w:rPr>
          <w:rFonts w:eastAsiaTheme="minorEastAsia" w:hint="eastAsia"/>
          <w:b/>
          <w:bCs/>
        </w:rPr>
        <w:t>各论</w:t>
      </w:r>
    </w:p>
    <w:p w14:paraId="1DD59FC4"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275EF04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eastAsiaTheme="minorEastAsia"/>
          <w:kern w:val="0"/>
          <w:szCs w:val="21"/>
        </w:rPr>
        <w:t>各类</w:t>
      </w:r>
      <w:r>
        <w:rPr>
          <w:rFonts w:eastAsiaTheme="minorEastAsia" w:hint="eastAsia"/>
          <w:kern w:val="0"/>
          <w:szCs w:val="21"/>
        </w:rPr>
        <w:t>园艺产品</w:t>
      </w:r>
      <w:r>
        <w:rPr>
          <w:rFonts w:eastAsiaTheme="minorEastAsia"/>
          <w:kern w:val="0"/>
          <w:szCs w:val="21"/>
        </w:rPr>
        <w:t>的基本生物学特性。</w:t>
      </w:r>
    </w:p>
    <w:p w14:paraId="0034B7F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eastAsiaTheme="minorEastAsia"/>
          <w:kern w:val="0"/>
          <w:szCs w:val="21"/>
        </w:rPr>
        <w:t>主要果品和蔬菜所具有的营养成分，以及部分蔬菜中的有害化学成分。</w:t>
      </w:r>
    </w:p>
    <w:p w14:paraId="01829FA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lastRenderedPageBreak/>
        <w:t>3. 熟练掌握</w:t>
      </w:r>
      <w:r>
        <w:rPr>
          <w:rFonts w:ascii="宋体" w:hAnsi="宋体" w:hint="eastAsia"/>
          <w:szCs w:val="21"/>
        </w:rPr>
        <w:t>：</w:t>
      </w:r>
      <w:r>
        <w:rPr>
          <w:rFonts w:eastAsiaTheme="minorEastAsia"/>
          <w:kern w:val="0"/>
          <w:szCs w:val="21"/>
        </w:rPr>
        <w:t>常见果品和蔬菜的营养特点及功能。</w:t>
      </w:r>
    </w:p>
    <w:p w14:paraId="0B348FF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A847A1E" w14:textId="77777777" w:rsidR="00F5289E" w:rsidRDefault="00C91173">
      <w:pPr>
        <w:adjustRightInd w:val="0"/>
        <w:snapToGrid w:val="0"/>
        <w:spacing w:beforeLines="50" w:before="156" w:line="360" w:lineRule="auto"/>
        <w:ind w:firstLineChars="200" w:firstLine="420"/>
        <w:rPr>
          <w:rFonts w:ascii="宋体" w:hAnsi="宋体"/>
          <w:bCs/>
          <w:szCs w:val="21"/>
        </w:rPr>
      </w:pPr>
      <w:r>
        <w:rPr>
          <w:rFonts w:ascii="宋体" w:hAnsi="宋体"/>
          <w:bCs/>
          <w:szCs w:val="21"/>
        </w:rPr>
        <w:t>1. 仁果类、核果类、浆果类、柑果类、荔果类、聚复果类、坚果类主要常见果品（梨、苹果、桃、枣、芒果、猕猴桃、葡萄、香蕉、蓝莓、柑橘、荔枝、草莓、核桃等）所含有的营养成分及功能。</w:t>
      </w:r>
    </w:p>
    <w:p w14:paraId="474DBF91" w14:textId="77777777" w:rsidR="00F5289E" w:rsidRDefault="00C91173">
      <w:pPr>
        <w:adjustRightInd w:val="0"/>
        <w:snapToGrid w:val="0"/>
        <w:spacing w:beforeLines="50" w:before="156" w:line="360" w:lineRule="auto"/>
        <w:ind w:firstLineChars="200" w:firstLine="420"/>
        <w:rPr>
          <w:rFonts w:ascii="宋体" w:hAnsi="宋体"/>
          <w:bCs/>
          <w:szCs w:val="21"/>
        </w:rPr>
      </w:pPr>
      <w:r>
        <w:rPr>
          <w:rFonts w:ascii="宋体" w:hAnsi="宋体"/>
          <w:bCs/>
          <w:szCs w:val="21"/>
        </w:rPr>
        <w:t>2. 叶菜类、根菜类、茄果类、瓜类、豆类、葱蒜类、花菜类、薯芋类、水生类、多年生、食用菌类主要常见蔬菜（大白菜、菠菜、甘蓝、萝卜、胡萝卜、番茄、茄子、辣椒、黄瓜、冬瓜、西瓜、苦瓜、菜豆、扁豆、大葱、大蒜、黄花菜、马铃薯、姜、山药、莲藕、海带、海带、竹笋、百合、黑木耳、香菇、金针菇等）的营养成分和相应</w:t>
      </w:r>
      <w:r>
        <w:rPr>
          <w:rFonts w:ascii="宋体" w:hAnsi="宋体" w:hint="eastAsia"/>
          <w:bCs/>
          <w:szCs w:val="21"/>
        </w:rPr>
        <w:t>保健</w:t>
      </w:r>
      <w:r>
        <w:rPr>
          <w:rFonts w:ascii="宋体" w:hAnsi="宋体"/>
          <w:bCs/>
          <w:szCs w:val="21"/>
        </w:rPr>
        <w:t>功能。</w:t>
      </w:r>
    </w:p>
    <w:p w14:paraId="0CBB0275" w14:textId="77777777" w:rsidR="00F5289E" w:rsidRDefault="00C91173">
      <w:pPr>
        <w:adjustRightInd w:val="0"/>
        <w:snapToGrid w:val="0"/>
        <w:spacing w:beforeLines="50" w:before="156" w:line="360" w:lineRule="auto"/>
        <w:ind w:firstLineChars="200" w:firstLine="420"/>
        <w:rPr>
          <w:rFonts w:ascii="宋体" w:hAnsi="宋体"/>
          <w:bCs/>
          <w:szCs w:val="21"/>
        </w:rPr>
      </w:pPr>
      <w:r>
        <w:rPr>
          <w:rFonts w:ascii="宋体" w:hAnsi="宋体"/>
          <w:bCs/>
          <w:szCs w:val="21"/>
        </w:rPr>
        <w:t>3. 部分常见蔬菜（大豆、扁豆、蚕豆、莴苣、菠菜、黄花菜、马铃薯、番茄、鲜蘑菇、木耳）中的有害化学成分及危害。</w:t>
      </w:r>
    </w:p>
    <w:p w14:paraId="7D5A01BD"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0101BB8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1.识记</w:t>
      </w:r>
      <w:r>
        <w:rPr>
          <w:rFonts w:ascii="宋体" w:hAnsi="宋体" w:hint="eastAsia"/>
          <w:szCs w:val="21"/>
        </w:rPr>
        <w:t>：</w:t>
      </w:r>
      <w:r>
        <w:rPr>
          <w:rFonts w:eastAsiaTheme="minorEastAsia"/>
          <w:szCs w:val="21"/>
        </w:rPr>
        <w:t>主要果品和蔬菜所具有的营养成分。</w:t>
      </w:r>
    </w:p>
    <w:p w14:paraId="3A84EED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eastAsiaTheme="minorEastAsia"/>
          <w:szCs w:val="21"/>
        </w:rPr>
        <w:t>各类果品和蔬菜的营养功能。</w:t>
      </w:r>
    </w:p>
    <w:p w14:paraId="18CC3136"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w:t>
      </w:r>
      <w:r>
        <w:rPr>
          <w:rFonts w:eastAsiaTheme="minorEastAsia"/>
          <w:szCs w:val="21"/>
        </w:rPr>
        <w:t>常见几种蔬菜中的有害化学成分及危害。</w:t>
      </w:r>
    </w:p>
    <w:p w14:paraId="6C88A7E7"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4.综合</w:t>
      </w:r>
      <w:r>
        <w:rPr>
          <w:rFonts w:ascii="宋体" w:hAnsi="宋体" w:hint="eastAsia"/>
          <w:szCs w:val="21"/>
        </w:rPr>
        <w:t>：</w:t>
      </w:r>
      <w:r>
        <w:rPr>
          <w:rFonts w:eastAsiaTheme="minorEastAsia"/>
          <w:szCs w:val="21"/>
        </w:rPr>
        <w:t>根据各类园艺产品营养价值特点，能够提出合理膳食建议。</w:t>
      </w:r>
    </w:p>
    <w:p w14:paraId="519E271A" w14:textId="77777777" w:rsidR="00F5289E" w:rsidRDefault="00C91173">
      <w:pPr>
        <w:snapToGrid w:val="0"/>
        <w:spacing w:beforeLines="50" w:before="156" w:afterLines="50" w:after="156" w:line="360" w:lineRule="auto"/>
        <w:ind w:firstLineChars="49" w:firstLine="103"/>
        <w:jc w:val="center"/>
        <w:rPr>
          <w:rFonts w:ascii="宋体" w:hAnsi="宋体"/>
          <w:b/>
          <w:szCs w:val="21"/>
        </w:rPr>
      </w:pPr>
      <w:r>
        <w:rPr>
          <w:rFonts w:ascii="宋体" w:hAnsi="宋体" w:hint="eastAsia"/>
          <w:b/>
          <w:szCs w:val="21"/>
        </w:rPr>
        <w:t xml:space="preserve">第四章  </w:t>
      </w:r>
      <w:r>
        <w:rPr>
          <w:rFonts w:eastAsiaTheme="minorEastAsia"/>
          <w:b/>
          <w:bCs/>
        </w:rPr>
        <w:t>园艺产品营养</w:t>
      </w:r>
      <w:r>
        <w:rPr>
          <w:rFonts w:eastAsiaTheme="minorEastAsia" w:hint="eastAsia"/>
          <w:b/>
          <w:bCs/>
        </w:rPr>
        <w:t>的形成与调控</w:t>
      </w:r>
    </w:p>
    <w:p w14:paraId="3B4EF6B9"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5F5BEEB9"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eastAsiaTheme="minorEastAsia"/>
          <w:kern w:val="0"/>
          <w:szCs w:val="21"/>
        </w:rPr>
        <w:t>园艺产品营养素的形成、采后贮藏和加工对园艺产品营养素的影响。</w:t>
      </w:r>
    </w:p>
    <w:p w14:paraId="64E20F0A"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2. 一般掌握</w:t>
      </w:r>
      <w:r>
        <w:rPr>
          <w:rFonts w:ascii="宋体" w:hAnsi="宋体" w:hint="eastAsia"/>
          <w:szCs w:val="21"/>
        </w:rPr>
        <w:t>：</w:t>
      </w:r>
      <w:r>
        <w:rPr>
          <w:rFonts w:eastAsiaTheme="minorEastAsia"/>
          <w:kern w:val="0"/>
          <w:szCs w:val="21"/>
        </w:rPr>
        <w:t>园艺产品营养素形成的影响因素。</w:t>
      </w:r>
    </w:p>
    <w:p w14:paraId="4F67D8AF"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eastAsiaTheme="minorEastAsia"/>
          <w:kern w:val="0"/>
          <w:szCs w:val="21"/>
        </w:rPr>
        <w:t>园艺产品营养素的调控技术。</w:t>
      </w:r>
    </w:p>
    <w:p w14:paraId="5DF09A8C"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7265D90E" w14:textId="77777777" w:rsidR="00F5289E" w:rsidRDefault="00C91173">
      <w:pPr>
        <w:adjustRightInd w:val="0"/>
        <w:snapToGrid w:val="0"/>
        <w:spacing w:beforeLines="50" w:before="156" w:line="360" w:lineRule="auto"/>
        <w:ind w:firstLineChars="200" w:firstLine="420"/>
        <w:rPr>
          <w:rFonts w:eastAsiaTheme="minorEastAsia"/>
          <w:kern w:val="0"/>
          <w:szCs w:val="21"/>
        </w:rPr>
      </w:pPr>
      <w:r>
        <w:rPr>
          <w:rFonts w:eastAsiaTheme="minorEastAsia"/>
          <w:szCs w:val="21"/>
        </w:rPr>
        <w:t>1.</w:t>
      </w:r>
      <w:r>
        <w:rPr>
          <w:rFonts w:hint="eastAsia"/>
          <w:szCs w:val="21"/>
        </w:rPr>
        <w:t xml:space="preserve"> </w:t>
      </w:r>
      <w:r>
        <w:rPr>
          <w:rFonts w:eastAsiaTheme="minorEastAsia"/>
          <w:kern w:val="0"/>
          <w:szCs w:val="21"/>
        </w:rPr>
        <w:t>园艺产品中营养素（糖、酸、维生素、色素等）的形成。</w:t>
      </w:r>
    </w:p>
    <w:p w14:paraId="4844D304" w14:textId="77777777" w:rsidR="00F5289E" w:rsidRDefault="00C91173">
      <w:pPr>
        <w:adjustRightInd w:val="0"/>
        <w:snapToGrid w:val="0"/>
        <w:spacing w:beforeLines="50" w:before="156" w:line="360" w:lineRule="auto"/>
        <w:ind w:firstLineChars="200" w:firstLine="420"/>
        <w:rPr>
          <w:rFonts w:eastAsiaTheme="minorEastAsia"/>
          <w:kern w:val="0"/>
          <w:szCs w:val="21"/>
        </w:rPr>
      </w:pPr>
      <w:r>
        <w:rPr>
          <w:rFonts w:eastAsiaTheme="minorEastAsia"/>
          <w:kern w:val="0"/>
          <w:szCs w:val="21"/>
        </w:rPr>
        <w:t>2.</w:t>
      </w:r>
      <w:r>
        <w:rPr>
          <w:rFonts w:hint="eastAsia"/>
          <w:kern w:val="0"/>
          <w:szCs w:val="21"/>
        </w:rPr>
        <w:t xml:space="preserve"> </w:t>
      </w:r>
      <w:r>
        <w:rPr>
          <w:rFonts w:eastAsiaTheme="minorEastAsia"/>
          <w:kern w:val="0"/>
          <w:szCs w:val="21"/>
        </w:rPr>
        <w:t>园艺产品营养素形成</w:t>
      </w:r>
      <w:r>
        <w:rPr>
          <w:rFonts w:eastAsiaTheme="minorEastAsia" w:hint="eastAsia"/>
          <w:kern w:val="0"/>
          <w:szCs w:val="21"/>
        </w:rPr>
        <w:t>、采后营养素变化、</w:t>
      </w:r>
      <w:r>
        <w:rPr>
          <w:rFonts w:eastAsiaTheme="minorEastAsia"/>
          <w:kern w:val="0"/>
          <w:szCs w:val="21"/>
        </w:rPr>
        <w:t>贮藏方式</w:t>
      </w:r>
      <w:r>
        <w:rPr>
          <w:rFonts w:eastAsiaTheme="minorEastAsia" w:hint="eastAsia"/>
          <w:kern w:val="0"/>
          <w:szCs w:val="21"/>
        </w:rPr>
        <w:t>及</w:t>
      </w:r>
      <w:r>
        <w:rPr>
          <w:rFonts w:eastAsiaTheme="minorEastAsia"/>
          <w:kern w:val="0"/>
          <w:szCs w:val="21"/>
        </w:rPr>
        <w:t>加工对营养素影响</w:t>
      </w:r>
      <w:r>
        <w:rPr>
          <w:rFonts w:eastAsiaTheme="minorEastAsia" w:hint="eastAsia"/>
          <w:kern w:val="0"/>
          <w:szCs w:val="21"/>
        </w:rPr>
        <w:t>的影响</w:t>
      </w:r>
      <w:r>
        <w:rPr>
          <w:rFonts w:eastAsiaTheme="minorEastAsia"/>
          <w:kern w:val="0"/>
          <w:szCs w:val="21"/>
        </w:rPr>
        <w:t>因素。</w:t>
      </w:r>
    </w:p>
    <w:p w14:paraId="13600DB5" w14:textId="77777777" w:rsidR="00F5289E" w:rsidRDefault="00C91173">
      <w:pPr>
        <w:adjustRightInd w:val="0"/>
        <w:snapToGrid w:val="0"/>
        <w:spacing w:beforeLines="50" w:before="156" w:line="360" w:lineRule="auto"/>
        <w:ind w:firstLineChars="200" w:firstLine="420"/>
        <w:rPr>
          <w:rFonts w:eastAsiaTheme="minorEastAsia"/>
          <w:kern w:val="0"/>
          <w:szCs w:val="21"/>
        </w:rPr>
      </w:pPr>
      <w:r>
        <w:rPr>
          <w:rFonts w:eastAsiaTheme="minorEastAsia"/>
          <w:kern w:val="0"/>
          <w:szCs w:val="21"/>
        </w:rPr>
        <w:t xml:space="preserve">3. </w:t>
      </w:r>
      <w:r>
        <w:rPr>
          <w:rFonts w:eastAsiaTheme="minorEastAsia"/>
          <w:kern w:val="0"/>
          <w:szCs w:val="21"/>
        </w:rPr>
        <w:t>园艺产品生长过程中营养素形成的调控技术途径。</w:t>
      </w:r>
    </w:p>
    <w:p w14:paraId="66FA96A5"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36721321"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lastRenderedPageBreak/>
        <w:t>1.识记</w:t>
      </w:r>
      <w:r>
        <w:rPr>
          <w:rFonts w:ascii="宋体" w:hAnsi="宋体" w:hint="eastAsia"/>
          <w:szCs w:val="21"/>
        </w:rPr>
        <w:t>：</w:t>
      </w:r>
      <w:r>
        <w:rPr>
          <w:rFonts w:eastAsiaTheme="minorEastAsia"/>
          <w:kern w:val="0"/>
          <w:szCs w:val="21"/>
        </w:rPr>
        <w:t>园艺产品营养素形成及保持的调控技术</w:t>
      </w:r>
      <w:r>
        <w:rPr>
          <w:rFonts w:eastAsiaTheme="minorEastAsia"/>
          <w:szCs w:val="21"/>
        </w:rPr>
        <w:t>。</w:t>
      </w:r>
    </w:p>
    <w:p w14:paraId="5154B500"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eastAsiaTheme="minorEastAsia"/>
          <w:szCs w:val="21"/>
        </w:rPr>
        <w:t>园艺产品生长过程中</w:t>
      </w:r>
      <w:r>
        <w:rPr>
          <w:rFonts w:eastAsiaTheme="minorEastAsia"/>
          <w:kern w:val="0"/>
          <w:szCs w:val="21"/>
        </w:rPr>
        <w:t>营养素形成的影响因素</w:t>
      </w:r>
      <w:r>
        <w:rPr>
          <w:rFonts w:eastAsiaTheme="minorEastAsia"/>
          <w:szCs w:val="21"/>
        </w:rPr>
        <w:t>。</w:t>
      </w:r>
    </w:p>
    <w:p w14:paraId="39B09CF0"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3.应用</w:t>
      </w:r>
      <w:r>
        <w:rPr>
          <w:rFonts w:ascii="宋体" w:hAnsi="宋体" w:hint="eastAsia"/>
          <w:szCs w:val="21"/>
        </w:rPr>
        <w:t>：能够对</w:t>
      </w:r>
      <w:r>
        <w:rPr>
          <w:rFonts w:eastAsiaTheme="minorEastAsia" w:hint="eastAsia"/>
          <w:szCs w:val="21"/>
        </w:rPr>
        <w:t>贮藏</w:t>
      </w:r>
      <w:r>
        <w:rPr>
          <w:rFonts w:eastAsiaTheme="minorEastAsia"/>
          <w:szCs w:val="21"/>
        </w:rPr>
        <w:t>、加工</w:t>
      </w:r>
      <w:r>
        <w:rPr>
          <w:rFonts w:eastAsiaTheme="minorEastAsia" w:hint="eastAsia"/>
          <w:szCs w:val="21"/>
        </w:rPr>
        <w:t>等</w:t>
      </w:r>
      <w:r>
        <w:rPr>
          <w:rFonts w:eastAsiaTheme="minorEastAsia"/>
          <w:szCs w:val="21"/>
        </w:rPr>
        <w:t>对</w:t>
      </w:r>
      <w:r>
        <w:rPr>
          <w:rFonts w:eastAsiaTheme="minorEastAsia"/>
          <w:kern w:val="0"/>
          <w:szCs w:val="21"/>
        </w:rPr>
        <w:t>园艺产品中营养素的</w:t>
      </w:r>
      <w:r>
        <w:rPr>
          <w:rFonts w:eastAsiaTheme="minorEastAsia" w:hint="eastAsia"/>
          <w:kern w:val="0"/>
          <w:szCs w:val="21"/>
        </w:rPr>
        <w:t>调控进行应用</w:t>
      </w:r>
      <w:r>
        <w:rPr>
          <w:rFonts w:eastAsiaTheme="minorEastAsia"/>
          <w:kern w:val="0"/>
          <w:szCs w:val="21"/>
        </w:rPr>
        <w:t>。</w:t>
      </w:r>
    </w:p>
    <w:p w14:paraId="47817828"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三、考核方式</w:t>
      </w:r>
    </w:p>
    <w:p w14:paraId="4CEB6F9F" w14:textId="77777777" w:rsidR="00F5289E" w:rsidRDefault="00C91173">
      <w:pPr>
        <w:snapToGrid w:val="0"/>
        <w:spacing w:line="360" w:lineRule="auto"/>
        <w:ind w:firstLineChars="300" w:firstLine="630"/>
        <w:rPr>
          <w:rFonts w:ascii="宋体" w:hAnsi="宋体"/>
          <w:szCs w:val="21"/>
        </w:rPr>
      </w:pPr>
      <w:r>
        <w:rPr>
          <w:rFonts w:ascii="宋体" w:hAnsi="宋体" w:hint="eastAsia"/>
          <w:szCs w:val="21"/>
        </w:rPr>
        <w:t>本课程全部为理论教学，考核方式采用过程性考核与结果性考核相结合的方式。过程性考核主要体现于考勤、课堂教学活动参与度、分组讲课答辩环节；对于课堂教学活动参与度，是将</w:t>
      </w:r>
      <w:r>
        <w:rPr>
          <w:rFonts w:eastAsiaTheme="minorEastAsia" w:hAnsiTheme="minorEastAsia" w:hint="eastAsia"/>
          <w:szCs w:val="21"/>
        </w:rPr>
        <w:t>学生参与问答、讨论、作业等教学内容相关活动设定不同分数，计入平时成绩；对于</w:t>
      </w:r>
      <w:r>
        <w:rPr>
          <w:rFonts w:ascii="宋体" w:hAnsi="宋体" w:hint="eastAsia"/>
          <w:szCs w:val="21"/>
        </w:rPr>
        <w:t>分组讲课答辩，从学生课程PPT制作、课程内容丰富度、充实度、准确度、层次性、讲解表达仪态等方面进行过程性评价。结果性考核主要应用于课程论文环节，课内与课外相结合，引导学生利用课余时间进一步学习，进行相关资源搜索，撰写课程论文，根据课程论文内容、结构、层次、深度、准确度、前沿性等进行评价。</w:t>
      </w:r>
    </w:p>
    <w:p w14:paraId="7F25FF79"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四、成绩评定</w:t>
      </w:r>
    </w:p>
    <w:p w14:paraId="6FC6C78E"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1.</w:t>
      </w:r>
      <w:r>
        <w:rPr>
          <w:rFonts w:eastAsiaTheme="minorEastAsia" w:hAnsiTheme="minorEastAsia" w:hint="eastAsia"/>
          <w:szCs w:val="21"/>
        </w:rPr>
        <w:t>平时成绩的评价方法。</w:t>
      </w:r>
    </w:p>
    <w:p w14:paraId="37E28381"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szCs w:val="21"/>
        </w:rPr>
        <w:t>1</w:t>
      </w:r>
      <w:r>
        <w:rPr>
          <w:rFonts w:eastAsiaTheme="minorEastAsia" w:hAnsiTheme="minorEastAsia" w:hint="eastAsia"/>
          <w:szCs w:val="21"/>
        </w:rPr>
        <w:t>）加强学风建设，严肃课堂纪律，学生考勤计入平时成绩计算方法。</w:t>
      </w:r>
    </w:p>
    <w:p w14:paraId="07DBBB84"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2</w:t>
      </w:r>
      <w:r>
        <w:rPr>
          <w:rFonts w:eastAsiaTheme="minorEastAsia" w:hAnsiTheme="minorEastAsia" w:hint="eastAsia"/>
          <w:szCs w:val="21"/>
        </w:rPr>
        <w:t>）鼓励学生参与活动，调动学生积极性。学生参与问答、讨论、作业等教学内容相关活动，每项活动设定不同分数，计入平时成绩计算方法。</w:t>
      </w:r>
    </w:p>
    <w:p w14:paraId="13B56DA7"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2.</w:t>
      </w:r>
      <w:r>
        <w:rPr>
          <w:rFonts w:eastAsiaTheme="minorEastAsia" w:hAnsiTheme="minorEastAsia" w:hint="eastAsia"/>
          <w:szCs w:val="21"/>
        </w:rPr>
        <w:t>最终成绩评价方法。</w:t>
      </w:r>
    </w:p>
    <w:p w14:paraId="323C6A13"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szCs w:val="21"/>
        </w:rPr>
        <w:t>平时成绩（考勤</w:t>
      </w:r>
      <w:r>
        <w:rPr>
          <w:rFonts w:eastAsiaTheme="minorEastAsia" w:hAnsiTheme="minorEastAsia"/>
          <w:szCs w:val="21"/>
        </w:rPr>
        <w:t>+</w:t>
      </w:r>
      <w:r>
        <w:rPr>
          <w:rFonts w:eastAsiaTheme="minorEastAsia" w:hAnsiTheme="minorEastAsia"/>
          <w:szCs w:val="21"/>
        </w:rPr>
        <w:t>参与教学活动）</w:t>
      </w:r>
      <w:r>
        <w:rPr>
          <w:rFonts w:eastAsiaTheme="minorEastAsia" w:hAnsiTheme="minorEastAsia"/>
          <w:szCs w:val="21"/>
        </w:rPr>
        <w:t>10%</w:t>
      </w:r>
      <w:r>
        <w:rPr>
          <w:rFonts w:eastAsiaTheme="minorEastAsia" w:hAnsiTheme="minorEastAsia" w:hint="eastAsia"/>
          <w:szCs w:val="21"/>
        </w:rPr>
        <w:t xml:space="preserve"> </w:t>
      </w:r>
      <w:r>
        <w:rPr>
          <w:rFonts w:eastAsiaTheme="minorEastAsia" w:hAnsiTheme="minorEastAsia"/>
          <w:szCs w:val="21"/>
        </w:rPr>
        <w:t>+</w:t>
      </w:r>
      <w:r>
        <w:rPr>
          <w:rFonts w:eastAsiaTheme="minorEastAsia" w:hAnsiTheme="minorEastAsia" w:hint="eastAsia"/>
          <w:szCs w:val="21"/>
        </w:rPr>
        <w:t xml:space="preserve"> </w:t>
      </w:r>
      <w:r>
        <w:rPr>
          <w:rFonts w:eastAsiaTheme="minorEastAsia" w:hAnsiTheme="minorEastAsia"/>
          <w:szCs w:val="21"/>
        </w:rPr>
        <w:t>学生讲课答辩</w:t>
      </w:r>
      <w:r>
        <w:rPr>
          <w:rFonts w:eastAsiaTheme="minorEastAsia" w:hAnsiTheme="minorEastAsia"/>
          <w:szCs w:val="21"/>
        </w:rPr>
        <w:t>45%</w:t>
      </w:r>
      <w:r>
        <w:rPr>
          <w:rFonts w:eastAsiaTheme="minorEastAsia" w:hAnsiTheme="minorEastAsia" w:hint="eastAsia"/>
          <w:szCs w:val="21"/>
        </w:rPr>
        <w:t xml:space="preserve"> </w:t>
      </w:r>
      <w:r>
        <w:rPr>
          <w:rFonts w:eastAsiaTheme="minorEastAsia" w:hAnsiTheme="minorEastAsia"/>
          <w:szCs w:val="21"/>
        </w:rPr>
        <w:t>+</w:t>
      </w:r>
      <w:r>
        <w:rPr>
          <w:rFonts w:eastAsiaTheme="minorEastAsia" w:hAnsiTheme="minorEastAsia" w:hint="eastAsia"/>
          <w:szCs w:val="21"/>
        </w:rPr>
        <w:t xml:space="preserve"> </w:t>
      </w:r>
      <w:r>
        <w:rPr>
          <w:rFonts w:eastAsiaTheme="minorEastAsia" w:hAnsiTheme="minorEastAsia"/>
          <w:szCs w:val="21"/>
        </w:rPr>
        <w:t>课程论文</w:t>
      </w:r>
      <w:r>
        <w:rPr>
          <w:rFonts w:eastAsiaTheme="minorEastAsia" w:hAnsiTheme="minorEastAsia"/>
          <w:szCs w:val="21"/>
        </w:rPr>
        <w:t>45%</w:t>
      </w:r>
    </w:p>
    <w:p w14:paraId="52BE1C8A"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五、考核结果分析反馈</w:t>
      </w:r>
    </w:p>
    <w:p w14:paraId="6259B877"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的调整教学内容、改进教学方法提供依据，提高教学质量。</w:t>
      </w:r>
    </w:p>
    <w:p w14:paraId="2706A15F" w14:textId="77777777" w:rsidR="00F5289E" w:rsidRDefault="00C91173" w:rsidP="00A115EF">
      <w:pPr>
        <w:pStyle w:val="afd"/>
        <w:numPr>
          <w:ilvl w:val="0"/>
          <w:numId w:val="62"/>
        </w:numPr>
        <w:spacing w:after="200" w:line="360" w:lineRule="auto"/>
        <w:ind w:firstLineChars="0"/>
        <w:contextualSpacing/>
        <w:jc w:val="left"/>
        <w:rPr>
          <w:rFonts w:eastAsiaTheme="minorEastAsia" w:hAnsiTheme="minorEastAsia"/>
          <w:szCs w:val="21"/>
        </w:rPr>
      </w:pPr>
      <w:r>
        <w:rPr>
          <w:rFonts w:eastAsiaTheme="minorEastAsia" w:hAnsiTheme="minorEastAsia" w:hint="eastAsia"/>
          <w:szCs w:val="21"/>
        </w:rPr>
        <w:t>考核结果分析</w:t>
      </w:r>
    </w:p>
    <w:p w14:paraId="446981D1"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14:paraId="1EA613A2" w14:textId="77777777" w:rsidR="00F5289E" w:rsidRDefault="00C91173" w:rsidP="00A115EF">
      <w:pPr>
        <w:pStyle w:val="afd"/>
        <w:numPr>
          <w:ilvl w:val="0"/>
          <w:numId w:val="62"/>
        </w:numPr>
        <w:spacing w:after="200" w:line="360" w:lineRule="auto"/>
        <w:ind w:firstLineChars="0"/>
        <w:contextualSpacing/>
        <w:jc w:val="left"/>
        <w:rPr>
          <w:rFonts w:eastAsiaTheme="minorEastAsia" w:hAnsiTheme="minorEastAsia"/>
          <w:szCs w:val="21"/>
        </w:rPr>
      </w:pPr>
      <w:r>
        <w:rPr>
          <w:rFonts w:eastAsiaTheme="minorEastAsia" w:hAnsiTheme="minorEastAsia" w:hint="eastAsia"/>
          <w:szCs w:val="21"/>
        </w:rPr>
        <w:t>考核结果反馈</w:t>
      </w:r>
    </w:p>
    <w:p w14:paraId="644BE61F" w14:textId="77777777" w:rsidR="00F5289E" w:rsidRDefault="00C91173">
      <w:pPr>
        <w:pStyle w:val="afd"/>
        <w:spacing w:line="360" w:lineRule="auto"/>
        <w:jc w:val="left"/>
        <w:rPr>
          <w:rFonts w:eastAsiaTheme="minorEastAsia" w:hAnsiTheme="minorEastAsia"/>
          <w:szCs w:val="21"/>
        </w:rPr>
      </w:pPr>
      <w:r>
        <w:rPr>
          <w:rFonts w:eastAsiaTheme="minorEastAsia" w:hAnsiTheme="minorEastAsia" w:hint="eastAsia"/>
          <w:szCs w:val="21"/>
        </w:rPr>
        <w:t>针对本门课程提高学生园艺产品营养学认知水平的教学目标，考核方式为过程性考核。针对过程性考核，反馈形式主要体现在平时的教学过程中，采用课堂集中形式对考核结果的共性问题</w:t>
      </w:r>
      <w:r>
        <w:rPr>
          <w:rFonts w:eastAsiaTheme="minorEastAsia" w:hAnsiTheme="minorEastAsia" w:hint="eastAsia"/>
          <w:szCs w:val="21"/>
        </w:rPr>
        <w:lastRenderedPageBreak/>
        <w:t>进行统一讲解，查找原因。例如：</w:t>
      </w:r>
      <w:r>
        <w:rPr>
          <w:rFonts w:ascii="宋体" w:hAnsi="宋体" w:hint="eastAsia"/>
          <w:szCs w:val="21"/>
        </w:rPr>
        <w:t>学生讲解答辩部分，从学生课程PPT的制作、课程内容丰富度、充实度、准确度、层次性等方面。</w:t>
      </w:r>
      <w:r>
        <w:rPr>
          <w:rFonts w:eastAsiaTheme="minorEastAsia" w:hAnsiTheme="minorEastAsia" w:hint="eastAsia"/>
          <w:szCs w:val="21"/>
        </w:rPr>
        <w:t>针对考核结果分析中成绩严重偏态分布的情况，应及时调整教学内容、教学方法、强化过程性考核。</w:t>
      </w:r>
    </w:p>
    <w:p w14:paraId="4EC81CE9" w14:textId="77777777" w:rsidR="00F5289E" w:rsidRDefault="00C91173">
      <w:pPr>
        <w:widowControl/>
        <w:jc w:val="left"/>
        <w:rPr>
          <w:rFonts w:eastAsiaTheme="minorEastAsia" w:hAnsiTheme="minorEastAsia"/>
          <w:szCs w:val="21"/>
        </w:rPr>
      </w:pPr>
      <w:r>
        <w:rPr>
          <w:rFonts w:eastAsiaTheme="minorEastAsia" w:hAnsiTheme="minorEastAsia"/>
          <w:szCs w:val="21"/>
        </w:rPr>
        <w:br w:type="page"/>
      </w:r>
    </w:p>
    <w:p w14:paraId="6E09F4D4" w14:textId="77777777" w:rsidR="00F5289E" w:rsidRDefault="00C91173">
      <w:pPr>
        <w:pStyle w:val="1"/>
      </w:pPr>
      <w:bookmarkStart w:id="215" w:name="_Toc138606304"/>
      <w:r>
        <w:rPr>
          <w:rFonts w:hint="eastAsia"/>
        </w:rPr>
        <w:lastRenderedPageBreak/>
        <w:t>设施园艺研究进展考核大纲</w:t>
      </w:r>
      <w:bookmarkEnd w:id="215"/>
    </w:p>
    <w:p w14:paraId="0F024F39" w14:textId="77777777" w:rsidR="00F5289E" w:rsidRDefault="00C91173">
      <w:pPr>
        <w:shd w:val="clear" w:color="auto" w:fill="FFFFFF"/>
        <w:spacing w:line="360" w:lineRule="auto"/>
        <w:ind w:right="369"/>
        <w:jc w:val="center"/>
        <w:rPr>
          <w:b/>
          <w:bCs/>
          <w:sz w:val="24"/>
        </w:rPr>
      </w:pPr>
      <w:r>
        <w:rPr>
          <w:rFonts w:ascii="宋体" w:hAnsi="宋体" w:hint="eastAsia"/>
          <w:sz w:val="24"/>
        </w:rPr>
        <w:t>（</w:t>
      </w:r>
      <w:r>
        <w:rPr>
          <w:rFonts w:hint="eastAsia"/>
          <w:sz w:val="24"/>
          <w:shd w:val="clear" w:color="auto" w:fill="FFFFFF"/>
        </w:rPr>
        <w:t>Process in Protected Horticulture</w:t>
      </w:r>
      <w:r>
        <w:rPr>
          <w:sz w:val="24"/>
          <w:shd w:val="clear" w:color="auto" w:fill="FFFFFF"/>
        </w:rPr>
        <w:t>)</w:t>
      </w:r>
    </w:p>
    <w:p w14:paraId="66A5E7E4" w14:textId="77777777" w:rsidR="00F5289E" w:rsidRDefault="00F5289E">
      <w:pPr>
        <w:widowControl/>
        <w:wordWrap w:val="0"/>
        <w:spacing w:before="120" w:after="120"/>
        <w:jc w:val="center"/>
        <w:outlineLvl w:val="0"/>
        <w:rPr>
          <w:rFonts w:eastAsia="黑体" w:hAnsi="宋体" w:cs="宋体"/>
          <w:b/>
          <w:bCs/>
          <w:kern w:val="36"/>
          <w:sz w:val="24"/>
        </w:rPr>
      </w:pPr>
    </w:p>
    <w:p w14:paraId="05BDF9C9" w14:textId="77777777" w:rsidR="00F5289E" w:rsidRDefault="00C91173">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F5289E" w14:paraId="0D84591F" w14:textId="77777777">
        <w:tc>
          <w:tcPr>
            <w:tcW w:w="1666" w:type="pct"/>
          </w:tcPr>
          <w:p w14:paraId="64245355" w14:textId="77777777" w:rsidR="00F5289E" w:rsidRDefault="00C91173">
            <w:pPr>
              <w:spacing w:line="300" w:lineRule="auto"/>
              <w:rPr>
                <w:rFonts w:ascii="宋体" w:hAnsi="宋体"/>
                <w:b/>
                <w:bCs/>
                <w:szCs w:val="21"/>
              </w:rPr>
            </w:pPr>
            <w:r>
              <w:rPr>
                <w:rFonts w:ascii="宋体" w:hAnsi="宋体" w:hint="eastAsia"/>
                <w:b/>
                <w:bCs/>
                <w:szCs w:val="21"/>
              </w:rPr>
              <w:t>课程编号：</w:t>
            </w:r>
            <w:r w:rsidRPr="001B3040">
              <w:rPr>
                <w:szCs w:val="21"/>
                <w:shd w:val="clear" w:color="auto" w:fill="FFFFFF"/>
              </w:rPr>
              <w:t>19011</w:t>
            </w:r>
            <w:r w:rsidRPr="001B3040">
              <w:rPr>
                <w:rFonts w:hint="eastAsia"/>
                <w:szCs w:val="21"/>
                <w:shd w:val="clear" w:color="auto" w:fill="FFFFFF"/>
              </w:rPr>
              <w:t>153</w:t>
            </w:r>
          </w:p>
        </w:tc>
        <w:tc>
          <w:tcPr>
            <w:tcW w:w="1453" w:type="pct"/>
          </w:tcPr>
          <w:p w14:paraId="609DD060" w14:textId="77777777" w:rsidR="00F5289E" w:rsidRDefault="00C91173">
            <w:pPr>
              <w:spacing w:line="300" w:lineRule="auto"/>
              <w:rPr>
                <w:rFonts w:ascii="宋体" w:hAnsi="宋体"/>
                <w:b/>
                <w:bCs/>
                <w:szCs w:val="21"/>
              </w:rPr>
            </w:pPr>
            <w:r>
              <w:rPr>
                <w:rFonts w:ascii="宋体" w:hAnsi="宋体" w:hint="eastAsia"/>
                <w:b/>
                <w:bCs/>
                <w:szCs w:val="21"/>
              </w:rPr>
              <w:t>课程学时：</w:t>
            </w:r>
            <w:r w:rsidRPr="001B3040">
              <w:rPr>
                <w:rFonts w:ascii="宋体" w:hAnsi="宋体" w:hint="eastAsia"/>
                <w:szCs w:val="21"/>
              </w:rPr>
              <w:t>24</w:t>
            </w:r>
          </w:p>
        </w:tc>
        <w:tc>
          <w:tcPr>
            <w:tcW w:w="1881" w:type="pct"/>
          </w:tcPr>
          <w:p w14:paraId="214FCD51" w14:textId="77777777" w:rsidR="00F5289E" w:rsidRDefault="00C91173">
            <w:pPr>
              <w:spacing w:line="300" w:lineRule="auto"/>
              <w:rPr>
                <w:rFonts w:ascii="宋体" w:hAnsi="宋体"/>
                <w:b/>
                <w:bCs/>
                <w:szCs w:val="21"/>
              </w:rPr>
            </w:pPr>
            <w:r>
              <w:rPr>
                <w:rFonts w:ascii="宋体" w:hAnsi="宋体" w:hint="eastAsia"/>
                <w:b/>
                <w:bCs/>
                <w:szCs w:val="21"/>
              </w:rPr>
              <w:t>课程学分：</w:t>
            </w:r>
            <w:r w:rsidRPr="001B3040">
              <w:rPr>
                <w:rFonts w:ascii="宋体" w:hAnsi="宋体" w:hint="eastAsia"/>
                <w:szCs w:val="21"/>
              </w:rPr>
              <w:t>1.5</w:t>
            </w:r>
          </w:p>
        </w:tc>
      </w:tr>
      <w:tr w:rsidR="00F5289E" w14:paraId="2D26F5AD" w14:textId="77777777">
        <w:tc>
          <w:tcPr>
            <w:tcW w:w="1666" w:type="pct"/>
          </w:tcPr>
          <w:p w14:paraId="295BB2AF" w14:textId="77777777" w:rsidR="00F5289E" w:rsidRDefault="00C91173">
            <w:pPr>
              <w:spacing w:line="300" w:lineRule="auto"/>
              <w:rPr>
                <w:rFonts w:ascii="宋体" w:hAnsi="宋体"/>
                <w:b/>
                <w:bCs/>
                <w:szCs w:val="21"/>
              </w:rPr>
            </w:pPr>
            <w:r>
              <w:rPr>
                <w:rFonts w:ascii="宋体" w:hAnsi="宋体" w:hint="eastAsia"/>
                <w:b/>
                <w:bCs/>
                <w:szCs w:val="21"/>
              </w:rPr>
              <w:t>主撰人：</w:t>
            </w:r>
            <w:r w:rsidRPr="001B3040">
              <w:rPr>
                <w:rFonts w:ascii="宋体" w:hAnsi="宋体" w:hint="eastAsia"/>
                <w:szCs w:val="21"/>
              </w:rPr>
              <w:t>汪虎</w:t>
            </w:r>
          </w:p>
        </w:tc>
        <w:tc>
          <w:tcPr>
            <w:tcW w:w="1453" w:type="pct"/>
          </w:tcPr>
          <w:p w14:paraId="3DE2B4CC" w14:textId="77777777" w:rsidR="00F5289E" w:rsidRDefault="00C91173">
            <w:pPr>
              <w:spacing w:line="300" w:lineRule="auto"/>
              <w:rPr>
                <w:rFonts w:ascii="宋体" w:hAnsi="宋体"/>
                <w:b/>
                <w:bCs/>
                <w:szCs w:val="21"/>
              </w:rPr>
            </w:pPr>
            <w:r>
              <w:rPr>
                <w:rFonts w:ascii="宋体" w:hAnsi="宋体" w:hint="eastAsia"/>
                <w:b/>
                <w:bCs/>
                <w:szCs w:val="21"/>
              </w:rPr>
              <w:t>审核人：</w:t>
            </w:r>
            <w:r w:rsidRPr="001B3040">
              <w:rPr>
                <w:rFonts w:ascii="宋体" w:hAnsi="宋体" w:hint="eastAsia"/>
                <w:szCs w:val="21"/>
              </w:rPr>
              <w:t>杜南山</w:t>
            </w:r>
          </w:p>
        </w:tc>
        <w:tc>
          <w:tcPr>
            <w:tcW w:w="1881" w:type="pct"/>
          </w:tcPr>
          <w:p w14:paraId="3D3ECC0D" w14:textId="77777777" w:rsidR="00F5289E" w:rsidRDefault="00C91173">
            <w:pPr>
              <w:spacing w:line="300" w:lineRule="auto"/>
              <w:rPr>
                <w:rFonts w:ascii="宋体" w:hAnsi="宋体"/>
                <w:b/>
                <w:bCs/>
                <w:szCs w:val="21"/>
              </w:rPr>
            </w:pPr>
            <w:r>
              <w:rPr>
                <w:rFonts w:ascii="宋体" w:hAnsi="宋体" w:hint="eastAsia"/>
                <w:b/>
                <w:bCs/>
                <w:szCs w:val="21"/>
              </w:rPr>
              <w:t>大纲制定（修订）日期：</w:t>
            </w:r>
            <w:r w:rsidRPr="001B3040">
              <w:rPr>
                <w:rFonts w:ascii="宋体" w:hAnsi="宋体"/>
                <w:szCs w:val="21"/>
              </w:rPr>
              <w:t>202</w:t>
            </w:r>
            <w:r w:rsidR="001B3040">
              <w:rPr>
                <w:rFonts w:ascii="宋体" w:hAnsi="宋体"/>
                <w:szCs w:val="21"/>
              </w:rPr>
              <w:t>3.05</w:t>
            </w:r>
          </w:p>
        </w:tc>
      </w:tr>
    </w:tbl>
    <w:p w14:paraId="4AABB75A" w14:textId="77777777" w:rsidR="00F5289E" w:rsidRDefault="00C91173">
      <w:pPr>
        <w:pStyle w:val="a9"/>
        <w:spacing w:line="360" w:lineRule="auto"/>
        <w:rPr>
          <w:b/>
          <w:bCs/>
        </w:rPr>
      </w:pPr>
      <w:r>
        <w:rPr>
          <w:rFonts w:hint="eastAsia"/>
          <w:b/>
          <w:bCs/>
        </w:rPr>
        <w:t>一、课程的性质和地位</w:t>
      </w:r>
    </w:p>
    <w:p w14:paraId="38A5D8CE"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t>《设施园艺研究进展》是一门集现代园艺科学、环境工程科学、信息技术科学和现代农业经济科学等为一体的多学科交叉的学科领域，是新农科建设背景下开设的一门多学科融合的现代农业应用性课程。课程主要基于案例式、项目式教学方法，将专业基础知识与科学研究融合，基于农业现代化大背景和设施园艺领域研究进展，讲授最新科研成果在设施园艺生产中的应用，包括设施类型、环境调控、设施栽培的新技术新设备和新模式以及设施园艺生产相关案例等内容，旨在让学生了解设施农业产业和技术的前沿动态及发展趋势，具备设施农业生产及管理的基础知识和基本理论，增强学生对专业知识的综合应用能力，更好地适应乡村振兴和设施园艺高质量发展的需要。</w:t>
      </w:r>
    </w:p>
    <w:p w14:paraId="4D7B19E5"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二、理论教学部分的考核目标</w:t>
      </w:r>
    </w:p>
    <w:p w14:paraId="069D55D7" w14:textId="77777777" w:rsidR="00F5289E" w:rsidRDefault="00C91173">
      <w:pPr>
        <w:spacing w:line="360" w:lineRule="auto"/>
        <w:ind w:firstLineChars="200" w:firstLine="420"/>
        <w:rPr>
          <w:szCs w:val="21"/>
        </w:rPr>
      </w:pPr>
      <w:r>
        <w:rPr>
          <w:rFonts w:ascii="宋体" w:hAnsi="宋体"/>
          <w:szCs w:val="21"/>
        </w:rPr>
        <w:t>主要考核学生对该门可课程基本理论、基本知识和核心技术的掌握状况</w:t>
      </w:r>
    </w:p>
    <w:p w14:paraId="5CF2BEF1" w14:textId="77777777" w:rsidR="00F5289E" w:rsidRDefault="00C91173">
      <w:pPr>
        <w:snapToGrid w:val="0"/>
        <w:spacing w:line="360" w:lineRule="auto"/>
        <w:ind w:firstLineChars="49" w:firstLine="103"/>
        <w:jc w:val="center"/>
        <w:rPr>
          <w:b/>
          <w:bCs/>
          <w:szCs w:val="21"/>
        </w:rPr>
      </w:pPr>
      <w:r>
        <w:rPr>
          <w:rFonts w:ascii="宋体" w:hAnsi="宋体" w:hint="eastAsia"/>
          <w:b/>
          <w:szCs w:val="21"/>
        </w:rPr>
        <w:t xml:space="preserve">第一章  </w:t>
      </w:r>
      <w:r>
        <w:rPr>
          <w:rFonts w:ascii="宋体" w:hAnsi="宋体"/>
          <w:b/>
          <w:bCs/>
        </w:rPr>
        <w:t>绪论</w:t>
      </w:r>
    </w:p>
    <w:p w14:paraId="67941956" w14:textId="77777777" w:rsidR="00F5289E" w:rsidRDefault="00C91173">
      <w:pPr>
        <w:snapToGrid w:val="0"/>
        <w:spacing w:line="360" w:lineRule="auto"/>
        <w:rPr>
          <w:rFonts w:ascii="宋体" w:hAnsi="宋体"/>
          <w:b/>
          <w:szCs w:val="21"/>
        </w:rPr>
      </w:pPr>
      <w:r>
        <w:rPr>
          <w:rFonts w:ascii="宋体" w:hAnsi="宋体" w:hint="eastAsia"/>
          <w:b/>
          <w:szCs w:val="21"/>
        </w:rPr>
        <w:t>（一）学习目标</w:t>
      </w:r>
    </w:p>
    <w:p w14:paraId="379CE6C3"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hint="eastAsia"/>
          <w:b/>
          <w:szCs w:val="21"/>
        </w:rPr>
        <w:t>1. 一般了解</w:t>
      </w:r>
      <w:r>
        <w:rPr>
          <w:rFonts w:ascii="宋体" w:hAnsi="宋体" w:hint="eastAsia"/>
          <w:color w:val="000000" w:themeColor="text1"/>
          <w:szCs w:val="21"/>
        </w:rPr>
        <w:t>：</w:t>
      </w:r>
      <w:r>
        <w:rPr>
          <w:rFonts w:ascii="宋体" w:hAnsi="宋体" w:hint="eastAsia"/>
          <w:bCs/>
          <w:color w:val="000000" w:themeColor="text1"/>
          <w:szCs w:val="21"/>
        </w:rPr>
        <w:t>设施园艺的历史。</w:t>
      </w:r>
    </w:p>
    <w:p w14:paraId="194D9D9C" w14:textId="77777777" w:rsidR="00F5289E" w:rsidRDefault="00C91173">
      <w:pPr>
        <w:snapToGrid w:val="0"/>
        <w:spacing w:beforeLines="50" w:before="156" w:line="360" w:lineRule="auto"/>
        <w:ind w:firstLineChars="200" w:firstLine="422"/>
        <w:rPr>
          <w:rFonts w:ascii="宋体" w:hAnsi="宋体"/>
          <w:bCs/>
          <w:color w:val="000000" w:themeColor="text1"/>
          <w:szCs w:val="21"/>
        </w:rPr>
      </w:pPr>
      <w:r>
        <w:rPr>
          <w:rFonts w:ascii="宋体" w:hAnsi="宋体" w:hint="eastAsia"/>
          <w:b/>
          <w:color w:val="000000" w:themeColor="text1"/>
          <w:szCs w:val="21"/>
        </w:rPr>
        <w:t>2. 一般掌握</w:t>
      </w:r>
      <w:r>
        <w:rPr>
          <w:rFonts w:ascii="宋体" w:hAnsi="宋体" w:hint="eastAsia"/>
          <w:color w:val="000000" w:themeColor="text1"/>
          <w:szCs w:val="21"/>
        </w:rPr>
        <w:t>：</w:t>
      </w:r>
      <w:r>
        <w:rPr>
          <w:rFonts w:ascii="宋体" w:hAnsi="宋体" w:hint="eastAsia"/>
          <w:bCs/>
          <w:color w:val="000000" w:themeColor="text1"/>
          <w:szCs w:val="21"/>
        </w:rPr>
        <w:t>设施园艺的现状和发展。</w:t>
      </w:r>
    </w:p>
    <w:p w14:paraId="51A42A2F" w14:textId="77777777" w:rsidR="00F5289E" w:rsidRDefault="00C91173">
      <w:pPr>
        <w:snapToGrid w:val="0"/>
        <w:spacing w:beforeLines="50" w:before="156" w:line="360" w:lineRule="auto"/>
        <w:ind w:firstLineChars="200" w:firstLine="422"/>
        <w:rPr>
          <w:rFonts w:ascii="宋体" w:hAnsi="宋体"/>
          <w:color w:val="000000" w:themeColor="text1"/>
          <w:szCs w:val="21"/>
        </w:rPr>
      </w:pPr>
      <w:r>
        <w:rPr>
          <w:rFonts w:ascii="宋体" w:hAnsi="宋体" w:hint="eastAsia"/>
          <w:b/>
          <w:color w:val="000000" w:themeColor="text1"/>
          <w:szCs w:val="21"/>
        </w:rPr>
        <w:t>3. 熟练掌握</w:t>
      </w:r>
      <w:r>
        <w:rPr>
          <w:rFonts w:ascii="宋体" w:hAnsi="宋体" w:hint="eastAsia"/>
          <w:color w:val="000000" w:themeColor="text1"/>
          <w:szCs w:val="21"/>
        </w:rPr>
        <w:t>：</w:t>
      </w:r>
      <w:r>
        <w:rPr>
          <w:rFonts w:ascii="宋体" w:hAnsi="宋体" w:hint="eastAsia"/>
          <w:bCs/>
          <w:color w:val="000000" w:themeColor="text1"/>
          <w:szCs w:val="21"/>
        </w:rPr>
        <w:t>设施园艺的研究进展及发展前沿。</w:t>
      </w:r>
    </w:p>
    <w:p w14:paraId="21F335FA"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0A6A76B0" w14:textId="77777777" w:rsidR="00F5289E" w:rsidRDefault="00C91173">
      <w:pPr>
        <w:snapToGrid w:val="0"/>
        <w:spacing w:beforeLines="50" w:before="156"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知识：设施园艺发展史、设施园艺发展前景</w:t>
      </w:r>
    </w:p>
    <w:p w14:paraId="315800A0" w14:textId="77777777" w:rsidR="00F5289E" w:rsidRDefault="00C91173">
      <w:pPr>
        <w:snapToGrid w:val="0"/>
        <w:spacing w:beforeLines="50" w:before="156"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能力和素质：设施园艺的概念、类型和作用。</w:t>
      </w:r>
    </w:p>
    <w:p w14:paraId="181CC6EE" w14:textId="77777777" w:rsidR="00F5289E" w:rsidRDefault="00C91173">
      <w:pPr>
        <w:snapToGrid w:val="0"/>
        <w:spacing w:beforeLines="50" w:before="156" w:line="360" w:lineRule="auto"/>
        <w:rPr>
          <w:rFonts w:ascii="宋体" w:hAnsi="宋体"/>
          <w:b/>
          <w:szCs w:val="21"/>
        </w:rPr>
      </w:pPr>
      <w:r>
        <w:rPr>
          <w:rFonts w:ascii="宋体" w:hAnsi="宋体" w:hint="eastAsia"/>
          <w:b/>
          <w:szCs w:val="21"/>
        </w:rPr>
        <w:t>（三）考核要求</w:t>
      </w:r>
    </w:p>
    <w:p w14:paraId="230852E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：历史、现状和展望。</w:t>
      </w:r>
    </w:p>
    <w:p w14:paraId="11615BD6"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w:t>
      </w:r>
      <w:r>
        <w:rPr>
          <w:rFonts w:ascii="宋体" w:hAnsi="宋体" w:hint="eastAsia"/>
          <w:color w:val="000000" w:themeColor="text1"/>
          <w:szCs w:val="21"/>
        </w:rPr>
        <w:t>设施园艺在现代农业中的作用地位</w:t>
      </w:r>
      <w:r>
        <w:rPr>
          <w:rFonts w:ascii="宋体" w:hAnsi="宋体" w:hint="eastAsia"/>
          <w:bCs/>
          <w:color w:val="000000" w:themeColor="text1"/>
          <w:szCs w:val="21"/>
        </w:rPr>
        <w:t>。</w:t>
      </w:r>
    </w:p>
    <w:p w14:paraId="5F0CD424" w14:textId="77777777" w:rsidR="00F5289E" w:rsidRDefault="00C91173">
      <w:pPr>
        <w:spacing w:line="360" w:lineRule="auto"/>
        <w:ind w:firstLineChars="200" w:firstLine="422"/>
        <w:jc w:val="center"/>
        <w:rPr>
          <w:color w:val="262600"/>
          <w:szCs w:val="21"/>
        </w:rPr>
      </w:pPr>
      <w:r>
        <w:rPr>
          <w:rFonts w:ascii="宋体" w:hAnsi="宋体"/>
          <w:b/>
          <w:bCs/>
          <w:color w:val="262600"/>
          <w:szCs w:val="21"/>
        </w:rPr>
        <w:t>第二章</w:t>
      </w:r>
      <w:r>
        <w:rPr>
          <w:b/>
          <w:bCs/>
          <w:color w:val="262600"/>
          <w:szCs w:val="21"/>
        </w:rPr>
        <w:t xml:space="preserve">  </w:t>
      </w:r>
      <w:r>
        <w:rPr>
          <w:rFonts w:ascii="宋体" w:hAnsi="宋体" w:hint="eastAsia"/>
          <w:b/>
          <w:bCs/>
          <w:color w:val="262600"/>
          <w:szCs w:val="21"/>
        </w:rPr>
        <w:t>园艺设施结构研究进展</w:t>
      </w:r>
    </w:p>
    <w:p w14:paraId="0A335A26" w14:textId="77777777" w:rsidR="00F5289E" w:rsidRDefault="00C91173">
      <w:pPr>
        <w:snapToGrid w:val="0"/>
        <w:spacing w:line="360" w:lineRule="auto"/>
        <w:rPr>
          <w:rFonts w:ascii="宋体" w:hAnsi="宋体"/>
          <w:b/>
          <w:szCs w:val="21"/>
        </w:rPr>
      </w:pPr>
      <w:r>
        <w:rPr>
          <w:rFonts w:ascii="宋体" w:hAnsi="宋体" w:hint="eastAsia"/>
          <w:b/>
          <w:szCs w:val="21"/>
        </w:rPr>
        <w:lastRenderedPageBreak/>
        <w:t>（一）学习目标</w:t>
      </w:r>
    </w:p>
    <w:p w14:paraId="6F161AF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ascii="宋体" w:hAnsi="宋体"/>
          <w:szCs w:val="21"/>
        </w:rPr>
        <w:t>园艺设施的分类</w:t>
      </w:r>
      <w:r>
        <w:rPr>
          <w:rFonts w:ascii="宋体" w:hAnsi="宋体" w:hint="eastAsia"/>
          <w:szCs w:val="21"/>
        </w:rPr>
        <w:t>。</w:t>
      </w:r>
    </w:p>
    <w:p w14:paraId="3E14D07E"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2. 一般掌握：</w:t>
      </w:r>
      <w:r>
        <w:rPr>
          <w:rFonts w:ascii="宋体" w:hAnsi="宋体"/>
          <w:szCs w:val="21"/>
        </w:rPr>
        <w:t>各种园艺设施的结构、作用</w:t>
      </w:r>
      <w:r>
        <w:rPr>
          <w:rFonts w:ascii="宋体" w:hAnsi="宋体" w:hint="eastAsia"/>
          <w:szCs w:val="21"/>
        </w:rPr>
        <w:t>。</w:t>
      </w:r>
    </w:p>
    <w:p w14:paraId="3F8F411F"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3. 熟练掌握：</w:t>
      </w:r>
      <w:r>
        <w:rPr>
          <w:rFonts w:ascii="宋体" w:hAnsi="宋体"/>
          <w:szCs w:val="21"/>
        </w:rPr>
        <w:t>塑料大棚、日光温室的结构、日光温室的合理结构参数、现代大型温室的各个系统</w:t>
      </w:r>
      <w:r>
        <w:rPr>
          <w:rFonts w:ascii="宋体" w:hAnsi="宋体" w:hint="eastAsia"/>
          <w:szCs w:val="21"/>
        </w:rPr>
        <w:t>及研究进展</w:t>
      </w:r>
      <w:r>
        <w:rPr>
          <w:rFonts w:ascii="宋体" w:hAnsi="宋体"/>
          <w:szCs w:val="21"/>
        </w:rPr>
        <w:t>。</w:t>
      </w:r>
    </w:p>
    <w:p w14:paraId="75C229CF" w14:textId="77777777" w:rsidR="00F5289E" w:rsidRDefault="00C91173">
      <w:pPr>
        <w:snapToGrid w:val="0"/>
        <w:spacing w:beforeLines="50" w:before="156" w:line="360" w:lineRule="auto"/>
        <w:rPr>
          <w:rFonts w:ascii="宋体" w:hAnsi="宋体"/>
          <w:szCs w:val="21"/>
        </w:rPr>
      </w:pPr>
      <w:r>
        <w:rPr>
          <w:rFonts w:ascii="宋体" w:hAnsi="宋体" w:hint="eastAsia"/>
          <w:b/>
          <w:szCs w:val="21"/>
        </w:rPr>
        <w:t>（二）考核内容</w:t>
      </w:r>
    </w:p>
    <w:p w14:paraId="34CAEB74"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知识：不同类型园艺设施的结构、构成和性能，以及各种设施的用途</w:t>
      </w:r>
    </w:p>
    <w:p w14:paraId="67B7815A" w14:textId="77777777" w:rsidR="00F5289E" w:rsidRDefault="00C91173">
      <w:pPr>
        <w:snapToGrid w:val="0"/>
        <w:spacing w:line="360" w:lineRule="auto"/>
        <w:ind w:firstLineChars="200" w:firstLine="420"/>
        <w:rPr>
          <w:szCs w:val="21"/>
        </w:rPr>
      </w:pPr>
      <w:r>
        <w:rPr>
          <w:rFonts w:ascii="宋体" w:hAnsi="宋体" w:hint="eastAsia"/>
          <w:szCs w:val="21"/>
        </w:rPr>
        <w:t>能力和素质：根据设施结构类型及性能，选择不同作物栽培栽培适宜的设施。</w:t>
      </w:r>
    </w:p>
    <w:p w14:paraId="05EA4D17"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089C145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1、识记：</w:t>
      </w:r>
      <w:r>
        <w:rPr>
          <w:rFonts w:ascii="宋体" w:hAnsi="宋体"/>
          <w:szCs w:val="21"/>
        </w:rPr>
        <w:t>园艺设施的各种类型</w:t>
      </w:r>
      <w:r>
        <w:rPr>
          <w:rFonts w:ascii="宋体" w:hAnsi="宋体" w:hint="eastAsia"/>
          <w:szCs w:val="21"/>
        </w:rPr>
        <w:t>。</w:t>
      </w:r>
    </w:p>
    <w:p w14:paraId="66C5352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2、领会：</w:t>
      </w:r>
      <w:r>
        <w:rPr>
          <w:rFonts w:ascii="宋体" w:hAnsi="宋体"/>
          <w:szCs w:val="21"/>
        </w:rPr>
        <w:t>园艺设施内个结构的组成和作用</w:t>
      </w:r>
      <w:r>
        <w:rPr>
          <w:rFonts w:ascii="宋体" w:hAnsi="宋体" w:hint="eastAsia"/>
          <w:szCs w:val="21"/>
        </w:rPr>
        <w:t>。</w:t>
      </w:r>
    </w:p>
    <w:p w14:paraId="36951A6C" w14:textId="77777777" w:rsidR="00F5289E" w:rsidRDefault="00C91173">
      <w:pPr>
        <w:snapToGrid w:val="0"/>
        <w:spacing w:beforeLines="50" w:before="156" w:line="360" w:lineRule="auto"/>
        <w:ind w:firstLineChars="200" w:firstLine="422"/>
        <w:rPr>
          <w:rFonts w:ascii="宋体" w:hAnsi="宋体"/>
          <w:b/>
          <w:szCs w:val="21"/>
        </w:rPr>
      </w:pPr>
      <w:r>
        <w:rPr>
          <w:rFonts w:ascii="宋体" w:hAnsi="宋体"/>
          <w:b/>
          <w:szCs w:val="21"/>
        </w:rPr>
        <w:t>3、简单应用：</w:t>
      </w:r>
      <w:r>
        <w:rPr>
          <w:rFonts w:ascii="宋体" w:hAnsi="宋体"/>
          <w:szCs w:val="21"/>
        </w:rPr>
        <w:t>园艺设施个结构对设施内环境的影响</w:t>
      </w:r>
      <w:r>
        <w:rPr>
          <w:rFonts w:ascii="宋体" w:hAnsi="宋体" w:hint="eastAsia"/>
          <w:szCs w:val="21"/>
        </w:rPr>
        <w:t>。</w:t>
      </w:r>
    </w:p>
    <w:p w14:paraId="11236160"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4、综合应用：</w:t>
      </w:r>
      <w:r>
        <w:rPr>
          <w:rFonts w:ascii="宋体" w:hAnsi="宋体"/>
          <w:szCs w:val="21"/>
        </w:rPr>
        <w:t>根据设施类型安排园艺作生产</w:t>
      </w:r>
      <w:r>
        <w:rPr>
          <w:rFonts w:ascii="宋体" w:hAnsi="宋体" w:hint="eastAsia"/>
          <w:szCs w:val="21"/>
        </w:rPr>
        <w:t>。</w:t>
      </w:r>
    </w:p>
    <w:p w14:paraId="155B65F0"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第三章</w:t>
      </w:r>
      <w:r>
        <w:rPr>
          <w:b/>
          <w:bCs/>
          <w:color w:val="262600"/>
          <w:szCs w:val="21"/>
        </w:rPr>
        <w:t xml:space="preserve">  </w:t>
      </w:r>
      <w:r>
        <w:rPr>
          <w:rFonts w:ascii="宋体" w:hAnsi="宋体" w:hint="eastAsia"/>
          <w:b/>
          <w:bCs/>
          <w:color w:val="262600"/>
          <w:szCs w:val="21"/>
        </w:rPr>
        <w:t>设施温光环境调控研究进展</w:t>
      </w:r>
    </w:p>
    <w:p w14:paraId="6E62554B"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4D6F056C"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ascii="宋体" w:hAnsi="宋体" w:hint="eastAsia"/>
          <w:szCs w:val="21"/>
        </w:rPr>
        <w:t>了解设施内温度和光照环境特征</w:t>
      </w:r>
    </w:p>
    <w:p w14:paraId="372FDEB8"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2. 一般掌握：</w:t>
      </w:r>
      <w:r>
        <w:rPr>
          <w:rFonts w:ascii="宋体" w:hAnsi="宋体" w:hint="eastAsia"/>
          <w:b/>
          <w:szCs w:val="21"/>
        </w:rPr>
        <w:t>我国设施内温光</w:t>
      </w:r>
      <w:r>
        <w:rPr>
          <w:rFonts w:ascii="宋体" w:hAnsi="宋体" w:hint="eastAsia"/>
          <w:szCs w:val="21"/>
        </w:rPr>
        <w:t>调控研究进展</w:t>
      </w:r>
    </w:p>
    <w:p w14:paraId="4280148E"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b/>
          <w:szCs w:val="21"/>
        </w:rPr>
        <w:t>3. 熟练掌握：</w:t>
      </w:r>
      <w:r>
        <w:rPr>
          <w:rFonts w:ascii="宋体" w:hAnsi="宋体" w:hint="eastAsia"/>
          <w:szCs w:val="21"/>
        </w:rPr>
        <w:t>温光环境调控在设施栽培中的研究和应用。</w:t>
      </w:r>
    </w:p>
    <w:p w14:paraId="46A17203" w14:textId="77777777" w:rsidR="00F5289E" w:rsidRDefault="00C91173">
      <w:pPr>
        <w:snapToGrid w:val="0"/>
        <w:spacing w:beforeLines="50" w:before="156" w:line="360" w:lineRule="auto"/>
        <w:ind w:firstLineChars="200" w:firstLine="422"/>
        <w:rPr>
          <w:rFonts w:ascii="宋体" w:hAnsi="宋体"/>
          <w:szCs w:val="21"/>
        </w:rPr>
      </w:pPr>
      <w:r>
        <w:rPr>
          <w:rFonts w:ascii="宋体" w:hAnsi="宋体" w:hint="eastAsia"/>
          <w:b/>
          <w:szCs w:val="21"/>
        </w:rPr>
        <w:t>（二）考核内容</w:t>
      </w:r>
    </w:p>
    <w:p w14:paraId="3A9FC28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知识：温光环境在设施园艺植物栽培中的重要性</w:t>
      </w:r>
      <w:r>
        <w:rPr>
          <w:rFonts w:ascii="宋体" w:hAnsi="宋体"/>
          <w:szCs w:val="21"/>
        </w:rPr>
        <w:t>。</w:t>
      </w:r>
    </w:p>
    <w:p w14:paraId="1DF72617" w14:textId="77777777" w:rsidR="00F5289E" w:rsidRDefault="00C91173">
      <w:pPr>
        <w:snapToGrid w:val="0"/>
        <w:spacing w:line="360" w:lineRule="auto"/>
        <w:ind w:firstLineChars="200" w:firstLine="420"/>
        <w:rPr>
          <w:szCs w:val="21"/>
        </w:rPr>
      </w:pPr>
      <w:r>
        <w:rPr>
          <w:rFonts w:ascii="宋体" w:hAnsi="宋体" w:hint="eastAsia"/>
          <w:szCs w:val="21"/>
        </w:rPr>
        <w:t>能力和素质：不同作物对设施内温度光照环境的选择。</w:t>
      </w:r>
    </w:p>
    <w:p w14:paraId="2D7D00CC"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2F944DAE" w14:textId="77777777" w:rsidR="00F5289E" w:rsidRDefault="00C91173">
      <w:pPr>
        <w:snapToGrid w:val="0"/>
        <w:spacing w:line="360" w:lineRule="auto"/>
        <w:ind w:firstLineChars="300" w:firstLine="63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szCs w:val="21"/>
        </w:rPr>
        <w:t>设施内温光环境特征。</w:t>
      </w:r>
    </w:p>
    <w:p w14:paraId="6774CF32" w14:textId="77777777" w:rsidR="00F5289E" w:rsidRDefault="00C91173">
      <w:pPr>
        <w:snapToGrid w:val="0"/>
        <w:spacing w:line="360" w:lineRule="auto"/>
        <w:ind w:firstLineChars="300" w:firstLine="632"/>
        <w:rPr>
          <w:b/>
          <w:bCs/>
          <w:szCs w:val="21"/>
        </w:rPr>
      </w:pPr>
      <w:r>
        <w:rPr>
          <w:b/>
          <w:bCs/>
          <w:szCs w:val="21"/>
        </w:rPr>
        <w:t>2</w:t>
      </w:r>
      <w:r>
        <w:rPr>
          <w:rFonts w:ascii="宋体" w:hAnsi="宋体"/>
          <w:b/>
          <w:bCs/>
          <w:szCs w:val="21"/>
        </w:rPr>
        <w:t>、领会</w:t>
      </w:r>
      <w:r>
        <w:rPr>
          <w:rFonts w:ascii="宋体" w:hAnsi="宋体"/>
          <w:szCs w:val="21"/>
        </w:rPr>
        <w:t>：</w:t>
      </w:r>
      <w:r>
        <w:rPr>
          <w:rFonts w:ascii="宋体" w:hAnsi="宋体" w:hint="eastAsia"/>
          <w:szCs w:val="21"/>
        </w:rPr>
        <w:t>设施内</w:t>
      </w:r>
      <w:r>
        <w:rPr>
          <w:rFonts w:ascii="宋体" w:hAnsi="宋体"/>
          <w:szCs w:val="21"/>
        </w:rPr>
        <w:t>的光学特性和</w:t>
      </w:r>
      <w:r>
        <w:rPr>
          <w:rFonts w:ascii="宋体" w:hAnsi="宋体" w:hint="eastAsia"/>
          <w:szCs w:val="21"/>
        </w:rPr>
        <w:t>温度</w:t>
      </w:r>
      <w:r>
        <w:rPr>
          <w:rFonts w:ascii="宋体" w:hAnsi="宋体"/>
          <w:szCs w:val="21"/>
        </w:rPr>
        <w:t>特性</w:t>
      </w:r>
      <w:r>
        <w:rPr>
          <w:rFonts w:ascii="宋体" w:hAnsi="宋体" w:hint="eastAsia"/>
          <w:szCs w:val="21"/>
        </w:rPr>
        <w:t>。</w:t>
      </w:r>
    </w:p>
    <w:p w14:paraId="073D99D8" w14:textId="77777777" w:rsidR="00F5289E" w:rsidRDefault="00C91173">
      <w:pPr>
        <w:snapToGrid w:val="0"/>
        <w:spacing w:line="360" w:lineRule="auto"/>
        <w:ind w:firstLineChars="300" w:firstLine="632"/>
        <w:rPr>
          <w:b/>
          <w:bCs/>
          <w:szCs w:val="21"/>
        </w:rPr>
      </w:pPr>
      <w:r>
        <w:rPr>
          <w:b/>
          <w:bCs/>
          <w:szCs w:val="21"/>
        </w:rPr>
        <w:t>3</w:t>
      </w:r>
      <w:r>
        <w:rPr>
          <w:rFonts w:ascii="宋体" w:hAnsi="宋体"/>
          <w:b/>
          <w:bCs/>
          <w:szCs w:val="21"/>
        </w:rPr>
        <w:t>、应用</w:t>
      </w:r>
      <w:r>
        <w:rPr>
          <w:rFonts w:ascii="宋体" w:hAnsi="宋体"/>
          <w:szCs w:val="21"/>
        </w:rPr>
        <w:t>：</w:t>
      </w:r>
      <w:r>
        <w:rPr>
          <w:rFonts w:ascii="宋体" w:hAnsi="宋体" w:hint="eastAsia"/>
          <w:szCs w:val="21"/>
        </w:rPr>
        <w:t>不同作物对温光环境的要求以及</w:t>
      </w:r>
      <w:r>
        <w:rPr>
          <w:rFonts w:ascii="宋体" w:hAnsi="宋体"/>
          <w:szCs w:val="21"/>
        </w:rPr>
        <w:t>不同设施类型的</w:t>
      </w:r>
      <w:r>
        <w:rPr>
          <w:rFonts w:ascii="宋体" w:hAnsi="宋体" w:hint="eastAsia"/>
          <w:szCs w:val="21"/>
        </w:rPr>
        <w:t>选用。</w:t>
      </w:r>
    </w:p>
    <w:p w14:paraId="61439D6D" w14:textId="77777777" w:rsidR="00F5289E" w:rsidRDefault="00C91173">
      <w:pPr>
        <w:snapToGrid w:val="0"/>
        <w:spacing w:line="360" w:lineRule="auto"/>
        <w:ind w:firstLineChars="300" w:firstLine="632"/>
        <w:rPr>
          <w:b/>
          <w:bCs/>
          <w:szCs w:val="21"/>
        </w:rPr>
      </w:pPr>
      <w:r>
        <w:rPr>
          <w:b/>
          <w:bCs/>
          <w:szCs w:val="21"/>
        </w:rPr>
        <w:t>4</w:t>
      </w:r>
      <w:r>
        <w:rPr>
          <w:rFonts w:ascii="宋体" w:hAnsi="宋体"/>
          <w:b/>
          <w:bCs/>
          <w:szCs w:val="21"/>
        </w:rPr>
        <w:t>、</w:t>
      </w:r>
      <w:r>
        <w:rPr>
          <w:rFonts w:ascii="宋体" w:hAnsi="宋体" w:hint="eastAsia"/>
          <w:b/>
          <w:bCs/>
          <w:szCs w:val="21"/>
        </w:rPr>
        <w:t>分析</w:t>
      </w:r>
      <w:r>
        <w:rPr>
          <w:rFonts w:ascii="宋体" w:hAnsi="宋体"/>
          <w:szCs w:val="21"/>
        </w:rPr>
        <w:t>：</w:t>
      </w:r>
      <w:r>
        <w:rPr>
          <w:b/>
          <w:bCs/>
          <w:szCs w:val="21"/>
        </w:rPr>
        <w:t xml:space="preserve"> </w:t>
      </w:r>
      <w:r>
        <w:rPr>
          <w:rFonts w:ascii="宋体" w:hAnsi="宋体" w:hint="eastAsia"/>
          <w:color w:val="262600"/>
          <w:szCs w:val="21"/>
        </w:rPr>
        <w:t>设施温光环境调控在设施生产中研究应用。</w:t>
      </w:r>
    </w:p>
    <w:p w14:paraId="79FB5402"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第四章</w:t>
      </w:r>
      <w:r>
        <w:rPr>
          <w:b/>
          <w:bCs/>
          <w:color w:val="262600"/>
          <w:szCs w:val="21"/>
        </w:rPr>
        <w:t xml:space="preserve">  </w:t>
      </w:r>
      <w:r>
        <w:rPr>
          <w:rFonts w:ascii="宋体" w:hAnsi="宋体" w:hint="eastAsia"/>
          <w:b/>
          <w:bCs/>
          <w:color w:val="262600"/>
          <w:szCs w:val="21"/>
        </w:rPr>
        <w:t>植物工厂科技进展与关键技术问题剖析</w:t>
      </w:r>
    </w:p>
    <w:p w14:paraId="39D2C2C5"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6586C4B9" w14:textId="77777777" w:rsidR="00F5289E" w:rsidRDefault="00C91173">
      <w:pPr>
        <w:snapToGrid w:val="0"/>
        <w:spacing w:line="360" w:lineRule="auto"/>
        <w:ind w:firstLineChars="300" w:firstLine="632"/>
        <w:rPr>
          <w:szCs w:val="21"/>
        </w:rPr>
      </w:pPr>
      <w:r>
        <w:rPr>
          <w:b/>
          <w:bCs/>
          <w:szCs w:val="21"/>
        </w:rPr>
        <w:lastRenderedPageBreak/>
        <w:t xml:space="preserve">1. </w:t>
      </w:r>
      <w:r>
        <w:rPr>
          <w:rFonts w:ascii="宋体" w:hAnsi="宋体"/>
          <w:b/>
          <w:bCs/>
          <w:szCs w:val="21"/>
        </w:rPr>
        <w:t>一般了解</w:t>
      </w:r>
      <w:r>
        <w:rPr>
          <w:rFonts w:ascii="宋体" w:hAnsi="宋体"/>
          <w:szCs w:val="21"/>
        </w:rPr>
        <w:t>：</w:t>
      </w:r>
      <w:r>
        <w:rPr>
          <w:rFonts w:ascii="宋体" w:hAnsi="宋体" w:hint="eastAsia"/>
          <w:color w:val="262600"/>
          <w:szCs w:val="21"/>
        </w:rPr>
        <w:t>植物工厂的特点。</w:t>
      </w:r>
    </w:p>
    <w:p w14:paraId="7E35E025" w14:textId="77777777" w:rsidR="00F5289E" w:rsidRDefault="00C91173">
      <w:pPr>
        <w:snapToGrid w:val="0"/>
        <w:spacing w:line="360" w:lineRule="auto"/>
        <w:ind w:firstLineChars="300" w:firstLine="632"/>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hint="eastAsia"/>
          <w:szCs w:val="21"/>
        </w:rPr>
        <w:t>植物工厂的核心设施设备</w:t>
      </w:r>
      <w:r>
        <w:rPr>
          <w:rFonts w:ascii="宋体" w:hAnsi="宋体" w:hint="eastAsia"/>
          <w:color w:val="262600"/>
          <w:szCs w:val="21"/>
        </w:rPr>
        <w:t>。</w:t>
      </w:r>
    </w:p>
    <w:p w14:paraId="73E4DDB4" w14:textId="77777777" w:rsidR="00F5289E" w:rsidRDefault="00C91173">
      <w:pPr>
        <w:spacing w:line="360" w:lineRule="auto"/>
        <w:ind w:firstLineChars="300" w:firstLine="632"/>
        <w:rPr>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hint="eastAsia"/>
          <w:szCs w:val="21"/>
        </w:rPr>
        <w:t>植物工厂的设计与建造、应用。</w:t>
      </w:r>
    </w:p>
    <w:p w14:paraId="2E1A42BF"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407F52B5" w14:textId="77777777" w:rsidR="00F5289E" w:rsidRDefault="00C91173">
      <w:pPr>
        <w:spacing w:line="360" w:lineRule="auto"/>
        <w:ind w:firstLineChars="200" w:firstLine="420"/>
        <w:rPr>
          <w:szCs w:val="21"/>
        </w:rPr>
      </w:pPr>
      <w:r>
        <w:rPr>
          <w:rFonts w:hint="eastAsia"/>
          <w:szCs w:val="21"/>
        </w:rPr>
        <w:t>知识：植物工厂的定义和发展史。</w:t>
      </w:r>
    </w:p>
    <w:p w14:paraId="6F94C1DE" w14:textId="77777777" w:rsidR="00F5289E" w:rsidRDefault="00C91173">
      <w:pPr>
        <w:spacing w:line="360" w:lineRule="auto"/>
        <w:ind w:firstLineChars="200" w:firstLine="420"/>
        <w:rPr>
          <w:szCs w:val="21"/>
        </w:rPr>
      </w:pPr>
      <w:r>
        <w:rPr>
          <w:rFonts w:ascii="宋体" w:hAnsi="宋体" w:hint="eastAsia"/>
          <w:szCs w:val="21"/>
        </w:rPr>
        <w:t>能力和素质：通过理解植物工厂的特点，熟练掌握植物工厂的管理技术</w:t>
      </w:r>
      <w:r>
        <w:rPr>
          <w:rFonts w:ascii="宋体" w:hAnsi="宋体"/>
          <w:szCs w:val="21"/>
        </w:rPr>
        <w:t>。</w:t>
      </w:r>
    </w:p>
    <w:p w14:paraId="38DE52DE"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441DD3CF"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szCs w:val="21"/>
        </w:rPr>
        <w:t>植物工厂的关键设备和</w:t>
      </w:r>
      <w:r>
        <w:rPr>
          <w:rFonts w:ascii="宋体" w:hAnsi="宋体"/>
          <w:szCs w:val="21"/>
        </w:rPr>
        <w:t>构成</w:t>
      </w:r>
      <w:r>
        <w:rPr>
          <w:rFonts w:ascii="宋体" w:hAnsi="宋体" w:hint="eastAsia"/>
          <w:szCs w:val="21"/>
        </w:rPr>
        <w:t>。</w:t>
      </w:r>
    </w:p>
    <w:p w14:paraId="475378C7" w14:textId="77777777" w:rsidR="00F5289E" w:rsidRDefault="00C91173">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w:t>
      </w:r>
      <w:r>
        <w:rPr>
          <w:rFonts w:ascii="宋体" w:hAnsi="宋体" w:hint="eastAsia"/>
          <w:szCs w:val="21"/>
        </w:rPr>
        <w:t>植物工厂</w:t>
      </w:r>
      <w:r>
        <w:rPr>
          <w:rFonts w:ascii="宋体" w:hAnsi="宋体"/>
          <w:szCs w:val="21"/>
        </w:rPr>
        <w:t>内环境条件的变化与管理技术的关系</w:t>
      </w:r>
      <w:r>
        <w:rPr>
          <w:rFonts w:ascii="宋体" w:hAnsi="宋体" w:hint="eastAsia"/>
          <w:szCs w:val="21"/>
        </w:rPr>
        <w:t>。</w:t>
      </w:r>
    </w:p>
    <w:p w14:paraId="684D3631"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ascii="宋体" w:hAnsi="宋体" w:hint="eastAsia"/>
          <w:szCs w:val="21"/>
        </w:rPr>
        <w:t>植物工厂的应用案例、</w:t>
      </w:r>
      <w:r>
        <w:rPr>
          <w:rFonts w:ascii="宋体" w:hAnsi="宋体"/>
          <w:szCs w:val="21"/>
        </w:rPr>
        <w:t>内环境条件调控技术</w:t>
      </w:r>
      <w:r>
        <w:rPr>
          <w:rFonts w:ascii="宋体" w:hAnsi="宋体" w:hint="eastAsia"/>
          <w:szCs w:val="21"/>
        </w:rPr>
        <w:t>。</w:t>
      </w:r>
    </w:p>
    <w:p w14:paraId="7524F613"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w:t>
      </w:r>
      <w:r>
        <w:rPr>
          <w:rFonts w:ascii="宋体" w:hAnsi="宋体" w:hint="eastAsia"/>
          <w:b/>
          <w:bCs/>
          <w:szCs w:val="21"/>
        </w:rPr>
        <w:t>分析</w:t>
      </w:r>
      <w:r>
        <w:rPr>
          <w:rFonts w:ascii="宋体" w:hAnsi="宋体"/>
          <w:szCs w:val="21"/>
        </w:rPr>
        <w:t>：</w:t>
      </w:r>
      <w:r>
        <w:rPr>
          <w:rFonts w:ascii="宋体" w:hAnsi="宋体" w:hint="eastAsia"/>
          <w:szCs w:val="21"/>
        </w:rPr>
        <w:t>植物工厂在设施发展中研究与</w:t>
      </w:r>
      <w:r>
        <w:rPr>
          <w:rFonts w:ascii="宋体" w:hAnsi="宋体"/>
          <w:szCs w:val="21"/>
        </w:rPr>
        <w:t>利用。</w:t>
      </w:r>
    </w:p>
    <w:p w14:paraId="260135E8"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第五章</w:t>
      </w:r>
      <w:r>
        <w:rPr>
          <w:b/>
          <w:bCs/>
          <w:color w:val="262600"/>
          <w:szCs w:val="21"/>
        </w:rPr>
        <w:t xml:space="preserve">  </w:t>
      </w:r>
      <w:r>
        <w:rPr>
          <w:rFonts w:ascii="宋体" w:hAnsi="宋体" w:hint="eastAsia"/>
          <w:b/>
          <w:bCs/>
          <w:color w:val="262600"/>
          <w:szCs w:val="21"/>
        </w:rPr>
        <w:t>蔬菜设施高效利用与土壤连作障碍防治</w:t>
      </w:r>
    </w:p>
    <w:p w14:paraId="177DDAA1"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523901B1" w14:textId="77777777" w:rsidR="00F5289E" w:rsidRDefault="00C91173">
      <w:pPr>
        <w:snapToGrid w:val="0"/>
        <w:spacing w:line="360" w:lineRule="auto"/>
        <w:ind w:firstLineChars="200" w:firstLine="422"/>
        <w:rPr>
          <w:szCs w:val="21"/>
        </w:rPr>
      </w:pPr>
      <w:r>
        <w:rPr>
          <w:b/>
          <w:bCs/>
          <w:szCs w:val="21"/>
        </w:rPr>
        <w:t xml:space="preserve">1. </w:t>
      </w:r>
      <w:r>
        <w:rPr>
          <w:rFonts w:ascii="宋体" w:hAnsi="宋体"/>
          <w:b/>
          <w:bCs/>
          <w:szCs w:val="21"/>
        </w:rPr>
        <w:t>一般了解</w:t>
      </w:r>
      <w:r>
        <w:rPr>
          <w:rFonts w:ascii="宋体" w:hAnsi="宋体"/>
          <w:szCs w:val="21"/>
        </w:rPr>
        <w:t>：</w:t>
      </w:r>
      <w:r>
        <w:rPr>
          <w:rFonts w:ascii="宋体" w:hAnsi="宋体" w:hint="eastAsia"/>
          <w:szCs w:val="21"/>
        </w:rPr>
        <w:t>主要设施蔬菜在设施生产技术的发展现状</w:t>
      </w:r>
      <w:r>
        <w:rPr>
          <w:rFonts w:ascii="宋体" w:hAnsi="宋体" w:hint="eastAsia"/>
          <w:color w:val="262600"/>
          <w:szCs w:val="21"/>
        </w:rPr>
        <w:t>。</w:t>
      </w:r>
    </w:p>
    <w:p w14:paraId="7002CDC5"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hint="eastAsia"/>
          <w:szCs w:val="21"/>
        </w:rPr>
        <w:t>设施土壤连作障碍发生原因</w:t>
      </w:r>
      <w:r>
        <w:rPr>
          <w:rFonts w:ascii="宋体" w:hAnsi="宋体" w:hint="eastAsia"/>
          <w:color w:val="262600"/>
          <w:szCs w:val="21"/>
        </w:rPr>
        <w:t>。</w:t>
      </w:r>
    </w:p>
    <w:p w14:paraId="369D030A" w14:textId="77777777" w:rsidR="00F5289E" w:rsidRDefault="00C91173">
      <w:pPr>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hint="eastAsia"/>
          <w:szCs w:val="21"/>
        </w:rPr>
        <w:t>主要设施蔬菜的栽培技术和土壤连作障碍防治技术</w:t>
      </w:r>
      <w:r>
        <w:rPr>
          <w:rFonts w:ascii="宋体" w:hAnsi="宋体" w:hint="eastAsia"/>
          <w:color w:val="262600"/>
          <w:szCs w:val="21"/>
        </w:rPr>
        <w:t>。</w:t>
      </w:r>
    </w:p>
    <w:p w14:paraId="408A75DE"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1AD89A52"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知识：设施栽培方式及茬口类型、概念。</w:t>
      </w:r>
    </w:p>
    <w:p w14:paraId="02A4F902"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能力和素质：掌握园艺设施减少连作障危害的原理和措施</w:t>
      </w:r>
      <w:r>
        <w:rPr>
          <w:rFonts w:ascii="宋体" w:hAnsi="宋体"/>
          <w:color w:val="262600"/>
          <w:szCs w:val="21"/>
        </w:rPr>
        <w:t>。</w:t>
      </w:r>
    </w:p>
    <w:p w14:paraId="0DF18491" w14:textId="77777777" w:rsidR="00F5289E" w:rsidRDefault="00C91173">
      <w:pPr>
        <w:snapToGrid w:val="0"/>
        <w:spacing w:beforeLines="50" w:before="156" w:line="360" w:lineRule="auto"/>
        <w:rPr>
          <w:rFonts w:ascii="宋体" w:hAnsi="宋体"/>
          <w:b/>
          <w:bCs/>
          <w:szCs w:val="21"/>
        </w:rPr>
      </w:pPr>
      <w:r>
        <w:rPr>
          <w:rFonts w:ascii="宋体" w:hAnsi="宋体" w:hint="eastAsia"/>
          <w:b/>
          <w:bCs/>
          <w:szCs w:val="21"/>
        </w:rPr>
        <w:t>（三）考核要求</w:t>
      </w:r>
    </w:p>
    <w:p w14:paraId="0577630F"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szCs w:val="21"/>
        </w:rPr>
        <w:t>园艺作物对环境的要求</w:t>
      </w:r>
      <w:r>
        <w:rPr>
          <w:rFonts w:ascii="宋体" w:hAnsi="宋体" w:hint="eastAsia"/>
          <w:color w:val="262600"/>
          <w:szCs w:val="21"/>
        </w:rPr>
        <w:t>。</w:t>
      </w:r>
    </w:p>
    <w:p w14:paraId="501FD94A" w14:textId="77777777" w:rsidR="00F5289E" w:rsidRDefault="00C91173">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：影响</w:t>
      </w:r>
      <w:r>
        <w:rPr>
          <w:rFonts w:ascii="宋体" w:hAnsi="宋体" w:hint="eastAsia"/>
          <w:szCs w:val="21"/>
        </w:rPr>
        <w:t>蔬菜设施高效栽培</w:t>
      </w:r>
      <w:r>
        <w:rPr>
          <w:rFonts w:ascii="宋体" w:hAnsi="宋体"/>
          <w:color w:val="262600"/>
          <w:szCs w:val="21"/>
        </w:rPr>
        <w:t>成败的主要因素</w:t>
      </w:r>
      <w:r>
        <w:rPr>
          <w:rFonts w:ascii="宋体" w:hAnsi="宋体" w:hint="eastAsia"/>
          <w:color w:val="262600"/>
          <w:szCs w:val="21"/>
        </w:rPr>
        <w:t>。</w:t>
      </w:r>
    </w:p>
    <w:p w14:paraId="70DFD77A" w14:textId="77777777" w:rsidR="00F5289E" w:rsidRDefault="00C91173">
      <w:pPr>
        <w:snapToGrid w:val="0"/>
        <w:spacing w:line="360" w:lineRule="auto"/>
        <w:ind w:firstLineChars="200" w:firstLine="422"/>
        <w:rPr>
          <w:color w:val="262600"/>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设施</w:t>
      </w:r>
      <w:r>
        <w:rPr>
          <w:rFonts w:ascii="宋体" w:hAnsi="宋体" w:hint="eastAsia"/>
          <w:color w:val="262600"/>
          <w:szCs w:val="21"/>
        </w:rPr>
        <w:t>蔬菜栽培</w:t>
      </w:r>
      <w:r>
        <w:rPr>
          <w:rFonts w:ascii="宋体" w:hAnsi="宋体"/>
          <w:color w:val="262600"/>
          <w:szCs w:val="21"/>
        </w:rPr>
        <w:t>的</w:t>
      </w:r>
      <w:r>
        <w:rPr>
          <w:rFonts w:ascii="宋体" w:hAnsi="宋体" w:hint="eastAsia"/>
          <w:color w:val="262600"/>
          <w:szCs w:val="21"/>
        </w:rPr>
        <w:t>关键管理技术。</w:t>
      </w:r>
    </w:p>
    <w:p w14:paraId="565A5D3A"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w:t>
      </w:r>
      <w:r>
        <w:rPr>
          <w:rFonts w:ascii="宋体" w:hAnsi="宋体"/>
          <w:color w:val="262600"/>
          <w:szCs w:val="21"/>
        </w:rPr>
        <w:t>能够指导开展设施</w:t>
      </w:r>
      <w:r>
        <w:rPr>
          <w:rFonts w:ascii="宋体" w:hAnsi="宋体" w:hint="eastAsia"/>
          <w:color w:val="262600"/>
          <w:szCs w:val="21"/>
        </w:rPr>
        <w:t>生产</w:t>
      </w:r>
      <w:r>
        <w:rPr>
          <w:rFonts w:ascii="宋体" w:hAnsi="宋体"/>
          <w:szCs w:val="21"/>
        </w:rPr>
        <w:t>。</w:t>
      </w:r>
    </w:p>
    <w:p w14:paraId="63B7684A"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w:t>
      </w:r>
      <w:r>
        <w:rPr>
          <w:rFonts w:ascii="宋体" w:hAnsi="宋体" w:hint="eastAsia"/>
          <w:b/>
          <w:bCs/>
          <w:color w:val="262600"/>
          <w:szCs w:val="21"/>
        </w:rPr>
        <w:t>六</w:t>
      </w:r>
      <w:r>
        <w:rPr>
          <w:rFonts w:ascii="宋体" w:hAnsi="宋体"/>
          <w:b/>
          <w:bCs/>
          <w:color w:val="262600"/>
          <w:szCs w:val="21"/>
        </w:rPr>
        <w:t>章</w:t>
      </w:r>
      <w:r>
        <w:rPr>
          <w:b/>
          <w:bCs/>
          <w:color w:val="262600"/>
          <w:szCs w:val="21"/>
        </w:rPr>
        <w:t xml:space="preserve"> </w:t>
      </w:r>
      <w:r>
        <w:rPr>
          <w:rFonts w:hint="eastAsia"/>
          <w:b/>
          <w:bCs/>
          <w:color w:val="262600"/>
          <w:szCs w:val="21"/>
        </w:rPr>
        <w:t>国内外设施园艺和无土栽培的发展现状与研究热点领域</w:t>
      </w:r>
      <w:r>
        <w:rPr>
          <w:b/>
          <w:bCs/>
          <w:color w:val="262600"/>
          <w:szCs w:val="21"/>
        </w:rPr>
        <w:t xml:space="preserve"> </w:t>
      </w:r>
    </w:p>
    <w:p w14:paraId="0E28C025"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4C5FF613" w14:textId="77777777" w:rsidR="00F5289E" w:rsidRDefault="00C91173">
      <w:pPr>
        <w:snapToGrid w:val="0"/>
        <w:spacing w:line="360" w:lineRule="auto"/>
        <w:ind w:firstLineChars="200" w:firstLine="422"/>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ascii="宋体" w:hAnsi="宋体"/>
          <w:color w:val="262600"/>
          <w:szCs w:val="21"/>
        </w:rPr>
        <w:t>无土栽培技术的概念和主要类型和方法</w:t>
      </w:r>
      <w:r>
        <w:rPr>
          <w:rFonts w:ascii="宋体" w:hAnsi="宋体" w:hint="eastAsia"/>
          <w:color w:val="262600"/>
          <w:szCs w:val="21"/>
        </w:rPr>
        <w:t>。</w:t>
      </w:r>
    </w:p>
    <w:p w14:paraId="18701E4E"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：营养液和基质的理化特点</w:t>
      </w:r>
      <w:r>
        <w:rPr>
          <w:rFonts w:ascii="宋体" w:hAnsi="宋体" w:hint="eastAsia"/>
          <w:szCs w:val="21"/>
        </w:rPr>
        <w:t>。</w:t>
      </w:r>
    </w:p>
    <w:p w14:paraId="2047634A" w14:textId="77777777" w:rsidR="00F5289E" w:rsidRDefault="00C91173">
      <w:pPr>
        <w:snapToGrid w:val="0"/>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：营养液的配制和管理</w:t>
      </w:r>
      <w:r>
        <w:rPr>
          <w:rFonts w:ascii="宋体" w:hAnsi="宋体" w:hint="eastAsia"/>
          <w:szCs w:val="21"/>
        </w:rPr>
        <w:t>。</w:t>
      </w:r>
    </w:p>
    <w:p w14:paraId="6DB8D643"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6700B402"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lastRenderedPageBreak/>
        <w:t>知识：</w:t>
      </w:r>
      <w:r>
        <w:rPr>
          <w:rFonts w:ascii="宋体" w:hAnsi="宋体"/>
          <w:color w:val="262600"/>
          <w:szCs w:val="21"/>
        </w:rPr>
        <w:t>无土栽培的概念、类型、营养液的构成和管理、无土栽培的应用等。</w:t>
      </w:r>
    </w:p>
    <w:p w14:paraId="2106B1AE"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能力和素质：营养液和基质理化性质的测定及管理。</w:t>
      </w:r>
    </w:p>
    <w:p w14:paraId="18DB2AD8"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2B0750A6"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：营养液和基质的理化特性</w:t>
      </w:r>
      <w:r>
        <w:rPr>
          <w:rFonts w:ascii="宋体" w:hAnsi="宋体" w:hint="eastAsia"/>
          <w:szCs w:val="21"/>
        </w:rPr>
        <w:t>。</w:t>
      </w:r>
    </w:p>
    <w:p w14:paraId="52ADC247" w14:textId="77777777" w:rsidR="00F5289E" w:rsidRDefault="00C91173">
      <w:pPr>
        <w:snapToGrid w:val="0"/>
        <w:spacing w:line="360" w:lineRule="auto"/>
        <w:ind w:firstLineChars="200" w:firstLine="422"/>
        <w:rPr>
          <w:color w:val="262600"/>
          <w:szCs w:val="21"/>
        </w:rPr>
      </w:pPr>
      <w:r>
        <w:rPr>
          <w:b/>
          <w:bCs/>
          <w:szCs w:val="21"/>
        </w:rPr>
        <w:t>2</w:t>
      </w:r>
      <w:r>
        <w:rPr>
          <w:rFonts w:ascii="宋体" w:hAnsi="宋体"/>
          <w:b/>
          <w:bCs/>
          <w:szCs w:val="21"/>
        </w:rPr>
        <w:t>、领会</w:t>
      </w:r>
      <w:r>
        <w:rPr>
          <w:rFonts w:ascii="宋体" w:hAnsi="宋体"/>
          <w:szCs w:val="21"/>
        </w:rPr>
        <w:t>：</w:t>
      </w:r>
      <w:r>
        <w:rPr>
          <w:rFonts w:ascii="宋体" w:hAnsi="宋体" w:hint="eastAsia"/>
          <w:szCs w:val="21"/>
        </w:rPr>
        <w:t>各种</w:t>
      </w:r>
      <w:r>
        <w:rPr>
          <w:rFonts w:ascii="宋体" w:hAnsi="宋体"/>
          <w:color w:val="262600"/>
          <w:szCs w:val="21"/>
        </w:rPr>
        <w:t>无土栽培形式各个结构的功能</w:t>
      </w:r>
      <w:r>
        <w:rPr>
          <w:rFonts w:ascii="宋体" w:hAnsi="宋体" w:hint="eastAsia"/>
          <w:color w:val="262600"/>
          <w:szCs w:val="21"/>
        </w:rPr>
        <w:t>。</w:t>
      </w:r>
    </w:p>
    <w:p w14:paraId="6F02ECB1"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无土栽培技术</w:t>
      </w:r>
      <w:r>
        <w:rPr>
          <w:rFonts w:ascii="宋体" w:hAnsi="宋体"/>
          <w:szCs w:val="21"/>
        </w:rPr>
        <w:t>的关键程序</w:t>
      </w:r>
      <w:r>
        <w:rPr>
          <w:rFonts w:ascii="宋体" w:hAnsi="宋体" w:hint="eastAsia"/>
          <w:szCs w:val="21"/>
        </w:rPr>
        <w:t>。</w:t>
      </w:r>
    </w:p>
    <w:p w14:paraId="5E3F2667"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：能够设计无土栽培类型</w:t>
      </w:r>
      <w:r>
        <w:rPr>
          <w:rFonts w:ascii="宋体" w:hAnsi="宋体" w:hint="eastAsia"/>
          <w:szCs w:val="21"/>
        </w:rPr>
        <w:t>。</w:t>
      </w:r>
    </w:p>
    <w:p w14:paraId="37B13108" w14:textId="77777777" w:rsidR="00F5289E" w:rsidRDefault="00C91173">
      <w:pPr>
        <w:spacing w:line="360" w:lineRule="auto"/>
        <w:ind w:firstLineChars="200" w:firstLine="422"/>
        <w:jc w:val="center"/>
        <w:rPr>
          <w:b/>
          <w:bCs/>
          <w:color w:val="262600"/>
          <w:szCs w:val="21"/>
        </w:rPr>
      </w:pPr>
      <w:r>
        <w:rPr>
          <w:rFonts w:ascii="宋体" w:hAnsi="宋体"/>
          <w:b/>
          <w:bCs/>
          <w:color w:val="262600"/>
          <w:szCs w:val="21"/>
        </w:rPr>
        <w:t>第</w:t>
      </w:r>
      <w:r>
        <w:rPr>
          <w:rFonts w:ascii="宋体" w:hAnsi="宋体" w:hint="eastAsia"/>
          <w:b/>
          <w:bCs/>
          <w:color w:val="262600"/>
          <w:szCs w:val="21"/>
        </w:rPr>
        <w:t>七</w:t>
      </w:r>
      <w:r>
        <w:rPr>
          <w:rFonts w:ascii="宋体" w:hAnsi="宋体"/>
          <w:b/>
          <w:bCs/>
          <w:color w:val="262600"/>
          <w:szCs w:val="21"/>
        </w:rPr>
        <w:t>章</w:t>
      </w:r>
      <w:r>
        <w:rPr>
          <w:b/>
          <w:bCs/>
          <w:color w:val="262600"/>
          <w:szCs w:val="21"/>
        </w:rPr>
        <w:t xml:space="preserve"> </w:t>
      </w:r>
      <w:r>
        <w:rPr>
          <w:rFonts w:hint="eastAsia"/>
          <w:b/>
          <w:bCs/>
          <w:color w:val="262600"/>
          <w:szCs w:val="21"/>
        </w:rPr>
        <w:t>设施园艺抗逆调控原理与技术</w:t>
      </w:r>
    </w:p>
    <w:p w14:paraId="23B2E42A" w14:textId="77777777" w:rsidR="00F5289E" w:rsidRDefault="00C91173">
      <w:pPr>
        <w:snapToGrid w:val="0"/>
        <w:spacing w:line="360" w:lineRule="auto"/>
        <w:rPr>
          <w:rFonts w:ascii="宋体" w:hAnsi="宋体"/>
          <w:b/>
          <w:bCs/>
          <w:szCs w:val="21"/>
        </w:rPr>
      </w:pPr>
      <w:r>
        <w:rPr>
          <w:rFonts w:ascii="宋体" w:hAnsi="宋体" w:hint="eastAsia"/>
          <w:b/>
          <w:bCs/>
        </w:rPr>
        <w:t>（一）学习目标</w:t>
      </w:r>
    </w:p>
    <w:p w14:paraId="20E7D416" w14:textId="77777777" w:rsidR="00F5289E" w:rsidRDefault="00C91173">
      <w:pPr>
        <w:snapToGrid w:val="0"/>
        <w:spacing w:line="360" w:lineRule="auto"/>
        <w:ind w:firstLineChars="200" w:firstLine="422"/>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ascii="宋体" w:hAnsi="宋体" w:hint="eastAsia"/>
          <w:color w:val="262600"/>
          <w:szCs w:val="21"/>
        </w:rPr>
        <w:t>了解设施园艺常见蔬菜逆境类型。</w:t>
      </w:r>
    </w:p>
    <w:p w14:paraId="78C005A3" w14:textId="77777777" w:rsidR="00F5289E" w:rsidRDefault="00C91173">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hint="eastAsia"/>
          <w:szCs w:val="21"/>
        </w:rPr>
        <w:t>掌握设施园艺常见逆境调控原理。</w:t>
      </w:r>
    </w:p>
    <w:p w14:paraId="79A54083" w14:textId="77777777" w:rsidR="00F5289E" w:rsidRDefault="00C91173">
      <w:pPr>
        <w:snapToGrid w:val="0"/>
        <w:spacing w:line="360" w:lineRule="auto"/>
        <w:ind w:firstLineChars="200" w:firstLine="422"/>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hint="eastAsia"/>
          <w:szCs w:val="21"/>
        </w:rPr>
        <w:t>熟练掌握逆境调控技术手段。</w:t>
      </w:r>
    </w:p>
    <w:p w14:paraId="53A8DCFF" w14:textId="77777777" w:rsidR="00F5289E" w:rsidRDefault="00C91173">
      <w:pPr>
        <w:snapToGrid w:val="0"/>
        <w:spacing w:beforeLines="50" w:before="156" w:line="360" w:lineRule="auto"/>
        <w:rPr>
          <w:rFonts w:ascii="宋体" w:hAnsi="宋体"/>
          <w:szCs w:val="21"/>
        </w:rPr>
      </w:pPr>
      <w:r>
        <w:rPr>
          <w:rFonts w:ascii="宋体" w:hAnsi="宋体" w:hint="eastAsia"/>
          <w:b/>
          <w:bCs/>
        </w:rPr>
        <w:t>（二）考核内容</w:t>
      </w:r>
    </w:p>
    <w:p w14:paraId="103302C6" w14:textId="77777777" w:rsidR="00F5289E" w:rsidRDefault="00C91173">
      <w:pPr>
        <w:spacing w:line="360" w:lineRule="auto"/>
        <w:ind w:firstLineChars="200" w:firstLine="420"/>
        <w:rPr>
          <w:rFonts w:ascii="宋体" w:hAnsi="宋体"/>
          <w:color w:val="262600"/>
          <w:szCs w:val="21"/>
        </w:rPr>
      </w:pPr>
      <w:r>
        <w:rPr>
          <w:rFonts w:ascii="宋体" w:hAnsi="宋体" w:hint="eastAsia"/>
          <w:color w:val="262600"/>
          <w:szCs w:val="21"/>
        </w:rPr>
        <w:t>知识：设施园艺蔬菜常见逆境障碍因子概念、类型及其危害</w:t>
      </w:r>
      <w:r>
        <w:rPr>
          <w:rFonts w:ascii="宋体" w:hAnsi="宋体"/>
          <w:color w:val="262600"/>
          <w:szCs w:val="21"/>
        </w:rPr>
        <w:t>。</w:t>
      </w:r>
    </w:p>
    <w:p w14:paraId="0FFE1B22" w14:textId="77777777" w:rsidR="00F5289E" w:rsidRDefault="00C91173">
      <w:pPr>
        <w:spacing w:line="360" w:lineRule="auto"/>
        <w:ind w:firstLineChars="200" w:firstLine="420"/>
        <w:rPr>
          <w:color w:val="262600"/>
          <w:szCs w:val="21"/>
        </w:rPr>
      </w:pPr>
      <w:r>
        <w:rPr>
          <w:rFonts w:ascii="宋体" w:hAnsi="宋体" w:hint="eastAsia"/>
          <w:color w:val="262600"/>
          <w:szCs w:val="21"/>
        </w:rPr>
        <w:t>能力和素质：掌握设施园艺蔬菜常见抗逆技术。</w:t>
      </w:r>
    </w:p>
    <w:p w14:paraId="2263997B" w14:textId="77777777" w:rsidR="00F5289E" w:rsidRDefault="00C91173">
      <w:pPr>
        <w:snapToGrid w:val="0"/>
        <w:spacing w:beforeLines="50" w:before="156" w:line="360" w:lineRule="auto"/>
        <w:rPr>
          <w:rFonts w:ascii="宋体" w:hAnsi="宋体"/>
          <w:b/>
          <w:bCs/>
          <w:szCs w:val="21"/>
        </w:rPr>
      </w:pPr>
      <w:r>
        <w:rPr>
          <w:rFonts w:ascii="宋体" w:hAnsi="宋体" w:hint="eastAsia"/>
          <w:b/>
          <w:bCs/>
        </w:rPr>
        <w:t>（三）考核要求</w:t>
      </w:r>
    </w:p>
    <w:p w14:paraId="6203CB03" w14:textId="77777777" w:rsidR="00F5289E" w:rsidRDefault="00C91173">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w:t>
      </w:r>
      <w:r>
        <w:rPr>
          <w:rFonts w:ascii="宋体" w:hAnsi="宋体" w:hint="eastAsia"/>
          <w:szCs w:val="21"/>
        </w:rPr>
        <w:t>生物逆境因子。</w:t>
      </w:r>
    </w:p>
    <w:p w14:paraId="46902F4C" w14:textId="77777777" w:rsidR="00F5289E" w:rsidRDefault="00C91173">
      <w:pPr>
        <w:snapToGrid w:val="0"/>
        <w:spacing w:line="360" w:lineRule="auto"/>
        <w:ind w:firstLineChars="200" w:firstLine="422"/>
        <w:rPr>
          <w:color w:val="262600"/>
          <w:szCs w:val="21"/>
        </w:rPr>
      </w:pPr>
      <w:r>
        <w:rPr>
          <w:b/>
          <w:bCs/>
          <w:szCs w:val="21"/>
        </w:rPr>
        <w:t>2</w:t>
      </w:r>
      <w:r>
        <w:rPr>
          <w:rFonts w:ascii="宋体" w:hAnsi="宋体"/>
          <w:b/>
          <w:bCs/>
          <w:szCs w:val="21"/>
        </w:rPr>
        <w:t>、领会</w:t>
      </w:r>
      <w:r>
        <w:rPr>
          <w:rFonts w:ascii="宋体" w:hAnsi="宋体"/>
          <w:szCs w:val="21"/>
        </w:rPr>
        <w:t>：</w:t>
      </w:r>
      <w:r>
        <w:rPr>
          <w:rFonts w:ascii="宋体" w:hAnsi="宋体" w:hint="eastAsia"/>
          <w:szCs w:val="21"/>
        </w:rPr>
        <w:t>蔬菜逆境适应性和抗逆栽培机制、国内外研究现状</w:t>
      </w:r>
      <w:r>
        <w:rPr>
          <w:rFonts w:ascii="宋体" w:hAnsi="宋体" w:hint="eastAsia"/>
          <w:color w:val="262600"/>
          <w:szCs w:val="21"/>
        </w:rPr>
        <w:t>。</w:t>
      </w:r>
    </w:p>
    <w:p w14:paraId="24733E18" w14:textId="77777777" w:rsidR="00F5289E" w:rsidRDefault="00C91173">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w:t>
      </w:r>
      <w:r>
        <w:rPr>
          <w:rFonts w:ascii="宋体" w:hAnsi="宋体" w:hint="eastAsia"/>
          <w:color w:val="262600"/>
          <w:szCs w:val="21"/>
        </w:rPr>
        <w:t>蔬菜抗逆栽培生产技术</w:t>
      </w:r>
      <w:r>
        <w:rPr>
          <w:rFonts w:ascii="宋体" w:hAnsi="宋体" w:hint="eastAsia"/>
          <w:szCs w:val="21"/>
        </w:rPr>
        <w:t>。</w:t>
      </w:r>
    </w:p>
    <w:p w14:paraId="7421DD22" w14:textId="77777777" w:rsidR="00F5289E" w:rsidRDefault="00C91173">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w:t>
      </w:r>
      <w:r>
        <w:rPr>
          <w:rFonts w:ascii="宋体" w:hAnsi="宋体" w:hint="eastAsia"/>
          <w:szCs w:val="21"/>
        </w:rPr>
        <w:t>能够指导设施园艺逆境调控技术手段。</w:t>
      </w:r>
    </w:p>
    <w:p w14:paraId="522D46F4" w14:textId="77777777" w:rsidR="00F5289E" w:rsidRDefault="00F5289E">
      <w:pPr>
        <w:snapToGrid w:val="0"/>
        <w:spacing w:line="360" w:lineRule="auto"/>
        <w:rPr>
          <w:rFonts w:ascii="宋体" w:hAnsi="宋体"/>
          <w:b/>
          <w:bCs/>
          <w:color w:val="262600"/>
          <w:szCs w:val="21"/>
        </w:rPr>
      </w:pPr>
    </w:p>
    <w:p w14:paraId="2E07E42B" w14:textId="77777777" w:rsidR="00F5289E" w:rsidRDefault="00C91173">
      <w:pPr>
        <w:snapToGrid w:val="0"/>
        <w:spacing w:line="360" w:lineRule="auto"/>
        <w:rPr>
          <w:rFonts w:ascii="宋体" w:hAnsi="宋体"/>
          <w:b/>
          <w:szCs w:val="21"/>
        </w:rPr>
      </w:pPr>
      <w:r>
        <w:rPr>
          <w:rFonts w:ascii="宋体" w:hAnsi="宋体" w:hint="eastAsia"/>
          <w:b/>
          <w:szCs w:val="21"/>
        </w:rPr>
        <w:t>三、实验、实习教学部分的考核要求</w:t>
      </w:r>
    </w:p>
    <w:p w14:paraId="7FC9242D"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1.具有良好的团队精神，在实验操作与实习过程中能够相互协作、相互帮助。</w:t>
      </w:r>
    </w:p>
    <w:p w14:paraId="627DDB64"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2.能够正确使用实验中所使用的仪器设备，规范操作。</w:t>
      </w:r>
    </w:p>
    <w:p w14:paraId="11566DB6" w14:textId="77777777" w:rsidR="00F5289E" w:rsidRDefault="00C91173">
      <w:pPr>
        <w:snapToGrid w:val="0"/>
        <w:spacing w:line="360" w:lineRule="auto"/>
        <w:ind w:firstLineChars="200" w:firstLine="420"/>
        <w:rPr>
          <w:rFonts w:ascii="宋体" w:hAnsi="Calibri"/>
          <w:color w:val="000000"/>
          <w:szCs w:val="21"/>
        </w:rPr>
      </w:pPr>
      <w:r>
        <w:rPr>
          <w:rFonts w:ascii="宋体" w:hAnsi="宋体" w:hint="eastAsia"/>
          <w:color w:val="000000"/>
          <w:szCs w:val="21"/>
        </w:rPr>
        <w:t>3.能够根据实验与实习的任务、目的，设计合理的实验、实习方案与步骤，并合理安排。</w:t>
      </w:r>
    </w:p>
    <w:p w14:paraId="3BBBA58D" w14:textId="77777777" w:rsidR="00F5289E" w:rsidRDefault="00C91173">
      <w:pPr>
        <w:snapToGrid w:val="0"/>
        <w:spacing w:line="360" w:lineRule="auto"/>
        <w:ind w:firstLineChars="200" w:firstLine="420"/>
        <w:rPr>
          <w:rFonts w:ascii="宋体" w:hAnsi="Calibri"/>
          <w:color w:val="000000"/>
          <w:szCs w:val="21"/>
        </w:rPr>
      </w:pPr>
      <w:r>
        <w:rPr>
          <w:rFonts w:ascii="宋体" w:hAnsi="宋体"/>
          <w:color w:val="000000"/>
          <w:szCs w:val="21"/>
        </w:rPr>
        <w:t>4</w:t>
      </w:r>
      <w:r>
        <w:rPr>
          <w:rFonts w:ascii="宋体" w:hAnsi="宋体" w:hint="eastAsia"/>
          <w:color w:val="000000"/>
          <w:szCs w:val="21"/>
        </w:rPr>
        <w:t>.正确分析试验结果，能够结合理论知识，对实验现象、实验结果做出正确合理的解释。</w:t>
      </w:r>
    </w:p>
    <w:p w14:paraId="28CAE22C" w14:textId="77777777" w:rsidR="00F5289E" w:rsidRDefault="00C91173">
      <w:pPr>
        <w:snapToGrid w:val="0"/>
        <w:spacing w:line="360" w:lineRule="auto"/>
        <w:ind w:firstLineChars="200" w:firstLine="420"/>
        <w:rPr>
          <w:rFonts w:ascii="宋体" w:hAnsi="宋体"/>
          <w:color w:val="000000"/>
          <w:szCs w:val="21"/>
        </w:rPr>
      </w:pPr>
      <w:r>
        <w:rPr>
          <w:rFonts w:ascii="宋体" w:hAnsi="宋体"/>
          <w:color w:val="000000"/>
          <w:szCs w:val="21"/>
        </w:rPr>
        <w:t>5</w:t>
      </w:r>
      <w:r>
        <w:rPr>
          <w:rFonts w:ascii="宋体" w:hAnsi="宋体" w:hint="eastAsia"/>
          <w:color w:val="000000"/>
          <w:szCs w:val="21"/>
        </w:rPr>
        <w:t>.掌握正确的数据处理方法，能够独立撰写实验、实习报告。</w:t>
      </w:r>
    </w:p>
    <w:p w14:paraId="0A53848F" w14:textId="77777777" w:rsidR="00F5289E" w:rsidRDefault="00C91173">
      <w:pPr>
        <w:snapToGrid w:val="0"/>
        <w:spacing w:line="360" w:lineRule="auto"/>
        <w:rPr>
          <w:rFonts w:ascii="宋体" w:hAnsi="宋体"/>
          <w:b/>
          <w:szCs w:val="21"/>
        </w:rPr>
      </w:pPr>
      <w:r>
        <w:rPr>
          <w:rFonts w:ascii="宋体" w:hAnsi="宋体" w:hint="eastAsia"/>
          <w:b/>
          <w:szCs w:val="21"/>
        </w:rPr>
        <w:t>四、考核方式</w:t>
      </w:r>
    </w:p>
    <w:p w14:paraId="41111BDE" w14:textId="77777777" w:rsidR="00F5289E" w:rsidRDefault="00C91173">
      <w:pPr>
        <w:spacing w:line="400" w:lineRule="exact"/>
        <w:ind w:firstLineChars="200" w:firstLine="420"/>
        <w:rPr>
          <w:rFonts w:ascii="Calibri" w:hAnsi="Calibri"/>
          <w:szCs w:val="21"/>
        </w:rPr>
      </w:pPr>
      <w:r>
        <w:rPr>
          <w:rFonts w:ascii="宋体" w:hAnsi="宋体"/>
          <w:szCs w:val="21"/>
        </w:rPr>
        <w:t>本课程考核</w:t>
      </w:r>
      <w:r>
        <w:rPr>
          <w:rFonts w:ascii="宋体" w:hAnsi="宋体" w:hint="eastAsia"/>
          <w:szCs w:val="21"/>
        </w:rPr>
        <w:t>采用理论与实践教学相结合的方式进行。根据课程的学习情况，采用课堂提问、课堂测试、小组讨论、期中测试与期末课程论文测评等多种考核评价方式。平时成绩的考核方式包括课堂表现、线上学习（小测验）、课后作业、小组学习讨论、实验实践、期中考试等。</w:t>
      </w:r>
    </w:p>
    <w:p w14:paraId="4866FD26" w14:textId="77777777" w:rsidR="00F5289E" w:rsidRDefault="00C91173">
      <w:pPr>
        <w:snapToGrid w:val="0"/>
        <w:spacing w:beforeLines="50" w:before="156" w:line="360" w:lineRule="auto"/>
        <w:ind w:firstLineChars="200" w:firstLine="420"/>
        <w:rPr>
          <w:rFonts w:ascii="宋体" w:hAnsi="宋体"/>
          <w:szCs w:val="21"/>
        </w:rPr>
      </w:pPr>
      <w:r>
        <w:rPr>
          <w:rFonts w:ascii="宋体" w:hAnsi="宋体" w:hint="eastAsia"/>
          <w:szCs w:val="21"/>
        </w:rPr>
        <w:lastRenderedPageBreak/>
        <w:t>考试时间为课程结束后1～3周内进行，其他考核随课程单元学习过程的进展进行。</w:t>
      </w:r>
    </w:p>
    <w:p w14:paraId="320A6B0E" w14:textId="77777777" w:rsidR="00F5289E" w:rsidRDefault="00C91173">
      <w:pPr>
        <w:snapToGrid w:val="0"/>
        <w:spacing w:line="360" w:lineRule="auto"/>
        <w:rPr>
          <w:rFonts w:ascii="宋体" w:hAnsi="宋体"/>
          <w:b/>
          <w:szCs w:val="21"/>
        </w:rPr>
      </w:pPr>
      <w:r>
        <w:rPr>
          <w:rFonts w:ascii="宋体" w:hAnsi="宋体" w:hint="eastAsia"/>
          <w:b/>
          <w:szCs w:val="21"/>
        </w:rPr>
        <w:t>五、成绩评定</w:t>
      </w:r>
    </w:p>
    <w:p w14:paraId="54B9C02B"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1.平时成绩</w:t>
      </w:r>
    </w:p>
    <w:p w14:paraId="750E016B" w14:textId="77777777" w:rsidR="00F5289E" w:rsidRDefault="00C91173">
      <w:pPr>
        <w:snapToGrid w:val="0"/>
        <w:spacing w:line="360" w:lineRule="auto"/>
        <w:ind w:firstLineChars="200" w:firstLine="420"/>
        <w:rPr>
          <w:rFonts w:ascii="Calibri" w:hAnsi="Calibri"/>
          <w:szCs w:val="21"/>
        </w:rPr>
      </w:pPr>
      <w:r>
        <w:rPr>
          <w:rFonts w:ascii="宋体" w:hAnsi="宋体" w:hint="eastAsia"/>
          <w:szCs w:val="21"/>
        </w:rPr>
        <w:t>平时成绩的考核环节包括实验实践环节、作业完成情况以及课堂表现、考勤考纪等。其中实验实践</w:t>
      </w:r>
      <w:r>
        <w:rPr>
          <w:rFonts w:ascii="宋体" w:hAnsi="宋体"/>
          <w:szCs w:val="21"/>
        </w:rPr>
        <w:t>环节占平时成绩的</w:t>
      </w:r>
      <w:r>
        <w:rPr>
          <w:rFonts w:ascii="Calibri" w:hAnsi="Calibri"/>
          <w:szCs w:val="21"/>
        </w:rPr>
        <w:t>50%</w:t>
      </w:r>
      <w:r>
        <w:rPr>
          <w:rFonts w:ascii="宋体" w:hAnsi="宋体"/>
          <w:szCs w:val="21"/>
        </w:rPr>
        <w:t>，</w:t>
      </w:r>
      <w:r>
        <w:rPr>
          <w:rFonts w:ascii="宋体" w:hAnsi="宋体" w:hint="eastAsia"/>
          <w:szCs w:val="21"/>
        </w:rPr>
        <w:t>出勤状况和实验实习参与度</w:t>
      </w:r>
      <w:r>
        <w:rPr>
          <w:rFonts w:ascii="宋体" w:hAnsi="宋体"/>
          <w:szCs w:val="21"/>
        </w:rPr>
        <w:t>其他占</w:t>
      </w:r>
      <w:r>
        <w:rPr>
          <w:rFonts w:ascii="Calibri" w:hAnsi="Calibri"/>
          <w:szCs w:val="21"/>
        </w:rPr>
        <w:t>50%</w:t>
      </w:r>
      <w:r>
        <w:rPr>
          <w:rFonts w:ascii="宋体" w:hAnsi="宋体"/>
          <w:szCs w:val="21"/>
        </w:rPr>
        <w:t>。</w:t>
      </w:r>
    </w:p>
    <w:p w14:paraId="355950DF" w14:textId="77777777" w:rsidR="00F5289E" w:rsidRDefault="00C91173">
      <w:pPr>
        <w:snapToGrid w:val="0"/>
        <w:spacing w:line="360" w:lineRule="auto"/>
        <w:ind w:firstLineChars="200" w:firstLine="420"/>
        <w:rPr>
          <w:rFonts w:ascii="宋体" w:hAnsi="宋体"/>
          <w:szCs w:val="21"/>
        </w:rPr>
      </w:pPr>
      <w:r>
        <w:rPr>
          <w:rFonts w:ascii="宋体" w:hAnsi="宋体"/>
          <w:szCs w:val="21"/>
        </w:rPr>
        <w:t>2.</w:t>
      </w:r>
      <w:r>
        <w:rPr>
          <w:rFonts w:ascii="宋体" w:hAnsi="宋体" w:hint="eastAsia"/>
          <w:szCs w:val="21"/>
        </w:rPr>
        <w:t xml:space="preserve"> 期末成绩</w:t>
      </w:r>
    </w:p>
    <w:p w14:paraId="3E803D2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期末成绩以课程论文形式进行，占比6</w:t>
      </w:r>
      <w:r>
        <w:rPr>
          <w:rFonts w:ascii="宋体" w:hAnsi="宋体"/>
          <w:szCs w:val="21"/>
        </w:rPr>
        <w:t>0%</w:t>
      </w:r>
      <w:r>
        <w:rPr>
          <w:rFonts w:ascii="宋体" w:hAnsi="宋体" w:hint="eastAsia"/>
          <w:szCs w:val="21"/>
        </w:rPr>
        <w:t>。</w:t>
      </w:r>
    </w:p>
    <w:p w14:paraId="58B7A9BC"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3.综合成绩</w:t>
      </w:r>
    </w:p>
    <w:p w14:paraId="18F76897" w14:textId="77777777" w:rsidR="00F5289E" w:rsidRDefault="00C91173">
      <w:pPr>
        <w:snapToGrid w:val="0"/>
        <w:spacing w:line="360" w:lineRule="auto"/>
        <w:ind w:firstLineChars="200" w:firstLine="420"/>
        <w:rPr>
          <w:rFonts w:ascii="宋体" w:hAnsi="宋体"/>
          <w:szCs w:val="21"/>
        </w:rPr>
      </w:pPr>
      <w:r>
        <w:rPr>
          <w:rFonts w:ascii="宋体" w:hAnsi="宋体" w:hint="eastAsia"/>
          <w:szCs w:val="21"/>
        </w:rPr>
        <w:t>综合成绩=平时成绩×2</w:t>
      </w:r>
      <w:r>
        <w:rPr>
          <w:rFonts w:ascii="宋体" w:hAnsi="宋体"/>
          <w:szCs w:val="21"/>
        </w:rPr>
        <w:t>0%</w:t>
      </w:r>
      <w:r>
        <w:rPr>
          <w:rFonts w:ascii="宋体" w:hAnsi="宋体" w:hint="eastAsia"/>
          <w:szCs w:val="21"/>
        </w:rPr>
        <w:t>+实验课成绩×2</w:t>
      </w:r>
      <w:r>
        <w:rPr>
          <w:rFonts w:ascii="宋体" w:hAnsi="宋体"/>
          <w:szCs w:val="21"/>
        </w:rPr>
        <w:t>0%</w:t>
      </w:r>
      <w:r>
        <w:rPr>
          <w:rFonts w:ascii="宋体" w:hAnsi="宋体" w:hint="eastAsia"/>
          <w:szCs w:val="21"/>
        </w:rPr>
        <w:t>+期末成绩×6</w:t>
      </w:r>
      <w:r>
        <w:rPr>
          <w:rFonts w:ascii="宋体" w:hAnsi="宋体"/>
          <w:szCs w:val="21"/>
        </w:rPr>
        <w:t>0</w:t>
      </w:r>
      <w:r>
        <w:rPr>
          <w:rFonts w:ascii="宋体" w:hAnsi="宋体" w:hint="eastAsia"/>
          <w:szCs w:val="21"/>
        </w:rPr>
        <w:t>%</w:t>
      </w:r>
    </w:p>
    <w:p w14:paraId="667433C8" w14:textId="77777777" w:rsidR="00F5289E" w:rsidRDefault="00C91173">
      <w:pPr>
        <w:snapToGrid w:val="0"/>
        <w:spacing w:line="360" w:lineRule="auto"/>
        <w:rPr>
          <w:rFonts w:ascii="宋体" w:hAnsi="宋体"/>
          <w:b/>
          <w:szCs w:val="21"/>
        </w:rPr>
      </w:pPr>
      <w:r>
        <w:rPr>
          <w:rFonts w:ascii="宋体" w:hAnsi="宋体" w:hint="eastAsia"/>
          <w:b/>
          <w:szCs w:val="21"/>
        </w:rPr>
        <w:t>六、考核结果分析反馈</w:t>
      </w:r>
    </w:p>
    <w:p w14:paraId="12F37213" w14:textId="77777777" w:rsidR="00F5289E" w:rsidRDefault="00C91173">
      <w:pPr>
        <w:snapToGrid w:val="0"/>
        <w:spacing w:line="360" w:lineRule="auto"/>
        <w:ind w:firstLineChars="200" w:firstLine="420"/>
        <w:rPr>
          <w:rFonts w:ascii="宋体" w:hAnsi="宋体"/>
          <w:bCs/>
          <w:szCs w:val="21"/>
        </w:rPr>
      </w:pPr>
      <w:r>
        <w:rPr>
          <w:rFonts w:ascii="宋体" w:hAnsi="宋体" w:hint="eastAsia"/>
          <w:bCs/>
          <w:szCs w:val="21"/>
        </w:rPr>
        <w:t>1、通过作业的汇报与展示、实验操作实训、课堂提问等方式进行，教师对完成情况在课堂上进行指导与点评，及时进行反馈。</w:t>
      </w:r>
    </w:p>
    <w:p w14:paraId="206C0464" w14:textId="77777777" w:rsidR="00F5289E" w:rsidRDefault="00C91173">
      <w:pPr>
        <w:snapToGrid w:val="0"/>
        <w:spacing w:line="360" w:lineRule="auto"/>
        <w:ind w:firstLineChars="200" w:firstLine="420"/>
      </w:pPr>
      <w:r>
        <w:rPr>
          <w:rFonts w:ascii="宋体" w:hAnsi="宋体"/>
          <w:bCs/>
          <w:szCs w:val="21"/>
        </w:rPr>
        <w:t>2</w:t>
      </w:r>
      <w:r>
        <w:rPr>
          <w:rFonts w:ascii="宋体" w:hAnsi="宋体" w:hint="eastAsia"/>
          <w:bCs/>
          <w:szCs w:val="21"/>
        </w:rPr>
        <w:t>、基于学生考核结果，学生评教及建议，改进课堂教学。</w:t>
      </w:r>
    </w:p>
    <w:p w14:paraId="6AF140B9" w14:textId="5669569C" w:rsidR="00374000" w:rsidRDefault="00374000">
      <w:pPr>
        <w:widowControl/>
        <w:jc w:val="left"/>
        <w:rPr>
          <w:rFonts w:eastAsiaTheme="minorEastAsia" w:hAnsiTheme="minorEastAsia"/>
          <w:szCs w:val="21"/>
        </w:rPr>
      </w:pPr>
      <w:r>
        <w:rPr>
          <w:rFonts w:eastAsiaTheme="minorEastAsia" w:hAnsiTheme="minorEastAsia"/>
          <w:szCs w:val="21"/>
        </w:rPr>
        <w:br w:type="page"/>
      </w:r>
    </w:p>
    <w:p w14:paraId="2078C554" w14:textId="70291A4E" w:rsidR="00374000" w:rsidRPr="00374000" w:rsidRDefault="00374000" w:rsidP="00374000">
      <w:pPr>
        <w:pStyle w:val="1"/>
      </w:pPr>
      <w:bookmarkStart w:id="216" w:name="_Toc138606305"/>
      <w:r w:rsidRPr="00374000">
        <w:rPr>
          <w:rFonts w:hint="eastAsia"/>
        </w:rPr>
        <w:lastRenderedPageBreak/>
        <w:t>设施园艺学考核大纲</w:t>
      </w:r>
      <w:bookmarkEnd w:id="216"/>
    </w:p>
    <w:p w14:paraId="5436ED93" w14:textId="77777777" w:rsidR="00374000" w:rsidRPr="00374000" w:rsidRDefault="00374000" w:rsidP="00374000">
      <w:pPr>
        <w:shd w:val="clear" w:color="auto" w:fill="FFFFFF"/>
        <w:spacing w:line="360" w:lineRule="auto"/>
        <w:ind w:right="369"/>
        <w:jc w:val="center"/>
        <w:rPr>
          <w:b/>
          <w:bCs/>
          <w:sz w:val="24"/>
        </w:rPr>
      </w:pPr>
      <w:r w:rsidRPr="00374000">
        <w:rPr>
          <w:rFonts w:ascii="宋体" w:hAnsi="宋体" w:hint="eastAsia"/>
          <w:sz w:val="24"/>
        </w:rPr>
        <w:t>（</w:t>
      </w:r>
      <w:r w:rsidRPr="00374000">
        <w:rPr>
          <w:sz w:val="24"/>
        </w:rPr>
        <w:t>Science of Protected Horticulture</w:t>
      </w:r>
      <w:r w:rsidRPr="00374000">
        <w:rPr>
          <w:sz w:val="24"/>
          <w:shd w:val="clear" w:color="auto" w:fill="FFFFFF"/>
        </w:rPr>
        <w:t>)</w:t>
      </w:r>
    </w:p>
    <w:p w14:paraId="5A44F3DF" w14:textId="77777777" w:rsidR="00374000" w:rsidRDefault="00374000" w:rsidP="00374000">
      <w:pPr>
        <w:widowControl/>
        <w:wordWrap w:val="0"/>
        <w:spacing w:before="120" w:after="120"/>
        <w:jc w:val="center"/>
        <w:outlineLvl w:val="0"/>
        <w:rPr>
          <w:rFonts w:eastAsia="黑体" w:hAnsi="宋体" w:cs="宋体"/>
          <w:b/>
          <w:bCs/>
          <w:kern w:val="36"/>
          <w:sz w:val="24"/>
        </w:rPr>
      </w:pPr>
    </w:p>
    <w:p w14:paraId="224C9931" w14:textId="77777777" w:rsidR="00374000" w:rsidRDefault="00374000" w:rsidP="00374000">
      <w:pPr>
        <w:snapToGrid w:val="0"/>
        <w:spacing w:line="360" w:lineRule="auto"/>
        <w:jc w:val="center"/>
        <w:rPr>
          <w:b/>
          <w:szCs w:val="21"/>
        </w:rPr>
      </w:pPr>
      <w:r>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586"/>
        <w:gridCol w:w="3348"/>
      </w:tblGrid>
      <w:tr w:rsidR="00374000" w14:paraId="612FD139" w14:textId="77777777" w:rsidTr="00C91173">
        <w:tc>
          <w:tcPr>
            <w:tcW w:w="1666" w:type="pct"/>
          </w:tcPr>
          <w:p w14:paraId="6F9DA4D8" w14:textId="3232D0B5" w:rsidR="00374000" w:rsidRDefault="00374000" w:rsidP="00C91173">
            <w:pPr>
              <w:spacing w:line="300" w:lineRule="auto"/>
              <w:rPr>
                <w:rFonts w:ascii="宋体" w:hAnsi="宋体"/>
                <w:b/>
                <w:bCs/>
                <w:szCs w:val="21"/>
              </w:rPr>
            </w:pPr>
            <w:r>
              <w:rPr>
                <w:rFonts w:ascii="宋体" w:hAnsi="宋体" w:hint="eastAsia"/>
                <w:b/>
                <w:bCs/>
                <w:szCs w:val="21"/>
              </w:rPr>
              <w:t>课程编号：</w:t>
            </w:r>
            <w:r w:rsidRPr="00374000">
              <w:rPr>
                <w:rFonts w:ascii="宋体" w:hAnsi="宋体" w:hint="eastAsia"/>
                <w:szCs w:val="21"/>
              </w:rPr>
              <w:t>1</w:t>
            </w:r>
            <w:r w:rsidRPr="00374000">
              <w:rPr>
                <w:rFonts w:ascii="宋体" w:hAnsi="宋体"/>
                <w:szCs w:val="21"/>
              </w:rPr>
              <w:t>9011066</w:t>
            </w:r>
          </w:p>
        </w:tc>
        <w:tc>
          <w:tcPr>
            <w:tcW w:w="1453" w:type="pct"/>
          </w:tcPr>
          <w:p w14:paraId="0DC9ED94" w14:textId="77777777" w:rsidR="00374000" w:rsidRDefault="00374000" w:rsidP="00C91173">
            <w:pPr>
              <w:spacing w:line="300" w:lineRule="auto"/>
              <w:rPr>
                <w:rFonts w:ascii="宋体" w:hAnsi="宋体"/>
                <w:b/>
                <w:bCs/>
                <w:szCs w:val="21"/>
              </w:rPr>
            </w:pPr>
            <w:r>
              <w:rPr>
                <w:rFonts w:ascii="宋体" w:hAnsi="宋体" w:hint="eastAsia"/>
                <w:b/>
                <w:bCs/>
                <w:szCs w:val="21"/>
              </w:rPr>
              <w:t>课程学时：</w:t>
            </w:r>
            <w:r w:rsidRPr="00374000">
              <w:rPr>
                <w:rFonts w:ascii="宋体" w:hAnsi="宋体"/>
                <w:szCs w:val="21"/>
              </w:rPr>
              <w:t>32</w:t>
            </w:r>
          </w:p>
        </w:tc>
        <w:tc>
          <w:tcPr>
            <w:tcW w:w="1881" w:type="pct"/>
          </w:tcPr>
          <w:p w14:paraId="16AC0B07" w14:textId="77777777" w:rsidR="00374000" w:rsidRDefault="00374000" w:rsidP="00C91173">
            <w:pPr>
              <w:spacing w:line="300" w:lineRule="auto"/>
              <w:rPr>
                <w:rFonts w:ascii="宋体" w:hAnsi="宋体"/>
                <w:b/>
                <w:bCs/>
                <w:szCs w:val="21"/>
              </w:rPr>
            </w:pPr>
            <w:r>
              <w:rPr>
                <w:rFonts w:ascii="宋体" w:hAnsi="宋体" w:hint="eastAsia"/>
                <w:b/>
                <w:bCs/>
                <w:szCs w:val="21"/>
              </w:rPr>
              <w:t>课程学分：</w:t>
            </w:r>
            <w:r w:rsidRPr="00374000">
              <w:rPr>
                <w:rFonts w:ascii="宋体" w:hAnsi="宋体"/>
                <w:szCs w:val="21"/>
              </w:rPr>
              <w:t>2</w:t>
            </w:r>
          </w:p>
        </w:tc>
      </w:tr>
      <w:tr w:rsidR="00374000" w14:paraId="53F6CA73" w14:textId="77777777" w:rsidTr="00C91173">
        <w:tc>
          <w:tcPr>
            <w:tcW w:w="1666" w:type="pct"/>
          </w:tcPr>
          <w:p w14:paraId="027A7511" w14:textId="77777777" w:rsidR="00374000" w:rsidRDefault="00374000" w:rsidP="00C91173">
            <w:pPr>
              <w:spacing w:line="300" w:lineRule="auto"/>
              <w:rPr>
                <w:rFonts w:ascii="宋体" w:hAnsi="宋体"/>
                <w:b/>
                <w:bCs/>
                <w:szCs w:val="21"/>
              </w:rPr>
            </w:pPr>
            <w:r>
              <w:rPr>
                <w:rFonts w:ascii="宋体" w:hAnsi="宋体" w:hint="eastAsia"/>
                <w:b/>
                <w:bCs/>
                <w:szCs w:val="21"/>
              </w:rPr>
              <w:t>主撰人：</w:t>
            </w:r>
            <w:r w:rsidRPr="00374000">
              <w:rPr>
                <w:rFonts w:ascii="宋体" w:hAnsi="宋体" w:hint="eastAsia"/>
                <w:szCs w:val="21"/>
              </w:rPr>
              <w:t>肖怀娟</w:t>
            </w:r>
          </w:p>
        </w:tc>
        <w:tc>
          <w:tcPr>
            <w:tcW w:w="1453" w:type="pct"/>
          </w:tcPr>
          <w:p w14:paraId="2EE9BC3B" w14:textId="77777777" w:rsidR="00374000" w:rsidRDefault="00374000" w:rsidP="00C91173">
            <w:pPr>
              <w:spacing w:line="300" w:lineRule="auto"/>
              <w:rPr>
                <w:rFonts w:ascii="宋体" w:hAnsi="宋体"/>
                <w:b/>
                <w:bCs/>
                <w:szCs w:val="21"/>
              </w:rPr>
            </w:pPr>
            <w:r>
              <w:rPr>
                <w:rFonts w:ascii="宋体" w:hAnsi="宋体" w:hint="eastAsia"/>
                <w:b/>
                <w:bCs/>
                <w:szCs w:val="21"/>
              </w:rPr>
              <w:t>审核人：</w:t>
            </w:r>
            <w:r w:rsidRPr="00374000">
              <w:rPr>
                <w:rFonts w:ascii="宋体" w:hAnsi="宋体" w:hint="eastAsia"/>
                <w:szCs w:val="21"/>
              </w:rPr>
              <w:t>李猛</w:t>
            </w:r>
          </w:p>
        </w:tc>
        <w:tc>
          <w:tcPr>
            <w:tcW w:w="1881" w:type="pct"/>
          </w:tcPr>
          <w:p w14:paraId="57E6FFF9" w14:textId="2BFB31BE" w:rsidR="00374000" w:rsidRDefault="00374000" w:rsidP="00C91173">
            <w:pPr>
              <w:spacing w:line="300" w:lineRule="auto"/>
              <w:rPr>
                <w:rFonts w:ascii="宋体" w:hAnsi="宋体"/>
                <w:b/>
                <w:bCs/>
                <w:szCs w:val="21"/>
              </w:rPr>
            </w:pPr>
            <w:r>
              <w:rPr>
                <w:rFonts w:ascii="宋体" w:hAnsi="宋体" w:hint="eastAsia"/>
                <w:b/>
                <w:bCs/>
                <w:szCs w:val="21"/>
              </w:rPr>
              <w:t>大纲制定（修订）日期：</w:t>
            </w:r>
            <w:r w:rsidRPr="00374000">
              <w:rPr>
                <w:rFonts w:ascii="宋体" w:hAnsi="宋体"/>
                <w:szCs w:val="21"/>
              </w:rPr>
              <w:t>202</w:t>
            </w:r>
            <w:r>
              <w:rPr>
                <w:rFonts w:ascii="宋体" w:hAnsi="宋体"/>
                <w:szCs w:val="21"/>
              </w:rPr>
              <w:t>3.05</w:t>
            </w:r>
          </w:p>
        </w:tc>
      </w:tr>
    </w:tbl>
    <w:p w14:paraId="3DC17332" w14:textId="77777777" w:rsidR="00374000" w:rsidRPr="000E3C10" w:rsidRDefault="00374000" w:rsidP="000E3C10">
      <w:pPr>
        <w:pStyle w:val="a7"/>
        <w:spacing w:line="360" w:lineRule="auto"/>
        <w:ind w:firstLineChars="0" w:firstLine="0"/>
        <w:rPr>
          <w:b/>
          <w:bCs/>
        </w:rPr>
      </w:pPr>
      <w:r w:rsidRPr="000E3C10">
        <w:rPr>
          <w:rFonts w:hint="eastAsia"/>
          <w:b/>
          <w:bCs/>
        </w:rPr>
        <w:t>一、课程的性质和地位</w:t>
      </w:r>
    </w:p>
    <w:p w14:paraId="416D21B3" w14:textId="77777777" w:rsidR="00374000" w:rsidRDefault="00374000" w:rsidP="00374000">
      <w:pPr>
        <w:snapToGrid w:val="0"/>
        <w:spacing w:line="360" w:lineRule="auto"/>
        <w:ind w:firstLineChars="200" w:firstLine="420"/>
        <w:rPr>
          <w:szCs w:val="21"/>
        </w:rPr>
      </w:pPr>
      <w:r>
        <w:rPr>
          <w:rFonts w:ascii="宋体" w:hAnsi="宋体" w:hint="eastAsia"/>
          <w:szCs w:val="21"/>
        </w:rPr>
        <w:t>《</w:t>
      </w:r>
      <w:r>
        <w:rPr>
          <w:rFonts w:ascii="宋体" w:hAnsi="宋体"/>
          <w:szCs w:val="21"/>
        </w:rPr>
        <w:t>设施园艺学</w:t>
      </w:r>
      <w:r>
        <w:rPr>
          <w:rFonts w:ascii="宋体" w:hAnsi="宋体" w:hint="eastAsia"/>
          <w:szCs w:val="21"/>
        </w:rPr>
        <w:t>》</w:t>
      </w:r>
      <w:r>
        <w:rPr>
          <w:rFonts w:ascii="宋体" w:hAnsi="宋体"/>
          <w:szCs w:val="21"/>
        </w:rPr>
        <w:t>为</w:t>
      </w:r>
      <w:r>
        <w:rPr>
          <w:rFonts w:ascii="宋体" w:hAnsi="宋体" w:hint="eastAsia"/>
          <w:szCs w:val="21"/>
        </w:rPr>
        <w:t>全校所有</w:t>
      </w:r>
      <w:r>
        <w:rPr>
          <w:rFonts w:ascii="宋体" w:hAnsi="宋体"/>
          <w:szCs w:val="21"/>
        </w:rPr>
        <w:t>专业的</w:t>
      </w:r>
      <w:r>
        <w:rPr>
          <w:rFonts w:ascii="宋体" w:hAnsi="宋体" w:hint="eastAsia"/>
          <w:szCs w:val="21"/>
        </w:rPr>
        <w:t>公选课程</w:t>
      </w:r>
      <w:r>
        <w:rPr>
          <w:rFonts w:ascii="宋体" w:hAnsi="宋体"/>
          <w:szCs w:val="21"/>
        </w:rPr>
        <w:t>。随着社会的进步和现代农业的发展，园艺作物，特别是蔬菜和花卉，已经由露地栽培为主，向以设施生产为主转变，</w:t>
      </w:r>
      <w:r>
        <w:rPr>
          <w:rFonts w:ascii="宋体" w:hAnsi="宋体" w:hint="eastAsia"/>
          <w:szCs w:val="21"/>
        </w:rPr>
        <w:t>而</w:t>
      </w:r>
      <w:r>
        <w:rPr>
          <w:rFonts w:ascii="宋体" w:hAnsi="宋体"/>
          <w:szCs w:val="21"/>
        </w:rPr>
        <w:t>国内茶叶生产过程中也越来越多开始出现</w:t>
      </w:r>
      <w:r>
        <w:rPr>
          <w:rFonts w:ascii="宋体" w:hAnsi="宋体" w:hint="eastAsia"/>
          <w:szCs w:val="21"/>
        </w:rPr>
        <w:t>利用</w:t>
      </w:r>
      <w:r>
        <w:rPr>
          <w:rFonts w:ascii="宋体" w:hAnsi="宋体"/>
          <w:szCs w:val="21"/>
        </w:rPr>
        <w:t>设施</w:t>
      </w:r>
      <w:r>
        <w:rPr>
          <w:rFonts w:ascii="宋体" w:hAnsi="宋体" w:hint="eastAsia"/>
          <w:szCs w:val="21"/>
        </w:rPr>
        <w:t>进行</w:t>
      </w:r>
      <w:r>
        <w:rPr>
          <w:rFonts w:ascii="宋体" w:hAnsi="宋体"/>
          <w:szCs w:val="21"/>
        </w:rPr>
        <w:t>茶苗选育</w:t>
      </w:r>
      <w:r>
        <w:rPr>
          <w:rFonts w:ascii="宋体" w:hAnsi="宋体" w:hint="eastAsia"/>
          <w:szCs w:val="21"/>
        </w:rPr>
        <w:t>甚至</w:t>
      </w:r>
      <w:r>
        <w:rPr>
          <w:rFonts w:ascii="宋体" w:hAnsi="宋体"/>
          <w:szCs w:val="21"/>
        </w:rPr>
        <w:t>设施</w:t>
      </w:r>
      <w:r>
        <w:rPr>
          <w:rFonts w:ascii="宋体" w:hAnsi="宋体" w:hint="eastAsia"/>
          <w:szCs w:val="21"/>
        </w:rPr>
        <w:t>栽培</w:t>
      </w:r>
      <w:r>
        <w:rPr>
          <w:rFonts w:ascii="宋体" w:hAnsi="宋体"/>
          <w:szCs w:val="21"/>
        </w:rPr>
        <w:t>生产</w:t>
      </w:r>
      <w:r>
        <w:rPr>
          <w:rFonts w:ascii="宋体" w:hAnsi="宋体" w:hint="eastAsia"/>
          <w:szCs w:val="21"/>
        </w:rPr>
        <w:t>的</w:t>
      </w:r>
      <w:r>
        <w:rPr>
          <w:rFonts w:ascii="宋体" w:hAnsi="宋体"/>
          <w:szCs w:val="21"/>
        </w:rPr>
        <w:t>现象，</w:t>
      </w:r>
      <w:r>
        <w:rPr>
          <w:rFonts w:ascii="宋体" w:hAnsi="宋体" w:hint="eastAsia"/>
          <w:szCs w:val="21"/>
        </w:rPr>
        <w:t>因此</w:t>
      </w:r>
      <w:r>
        <w:rPr>
          <w:rFonts w:ascii="宋体" w:hAnsi="宋体"/>
          <w:szCs w:val="21"/>
        </w:rPr>
        <w:t>有必要开始</w:t>
      </w:r>
      <w:r>
        <w:rPr>
          <w:rFonts w:ascii="宋体" w:hAnsi="宋体" w:hint="eastAsia"/>
          <w:szCs w:val="21"/>
        </w:rPr>
        <w:t>《</w:t>
      </w:r>
      <w:r>
        <w:rPr>
          <w:rFonts w:ascii="宋体" w:hAnsi="宋体"/>
          <w:szCs w:val="21"/>
        </w:rPr>
        <w:t>设施园艺学</w:t>
      </w:r>
      <w:r>
        <w:rPr>
          <w:rFonts w:ascii="宋体" w:hAnsi="宋体" w:hint="eastAsia"/>
          <w:szCs w:val="21"/>
        </w:rPr>
        <w:t>》这门选修课</w:t>
      </w:r>
      <w:r>
        <w:rPr>
          <w:rFonts w:ascii="宋体" w:hAnsi="宋体"/>
          <w:szCs w:val="21"/>
        </w:rPr>
        <w:t>。</w:t>
      </w:r>
    </w:p>
    <w:p w14:paraId="12B2B662" w14:textId="77777777" w:rsidR="00374000" w:rsidRDefault="00374000" w:rsidP="00374000">
      <w:pPr>
        <w:snapToGrid w:val="0"/>
        <w:spacing w:beforeLines="50" w:before="156" w:line="360" w:lineRule="auto"/>
        <w:rPr>
          <w:rFonts w:ascii="宋体" w:hAnsi="宋体"/>
          <w:b/>
          <w:szCs w:val="21"/>
        </w:rPr>
      </w:pPr>
      <w:r>
        <w:rPr>
          <w:rFonts w:ascii="宋体" w:hAnsi="宋体" w:hint="eastAsia"/>
          <w:b/>
          <w:szCs w:val="21"/>
        </w:rPr>
        <w:t>二、理论教学部分的考核目标</w:t>
      </w:r>
    </w:p>
    <w:p w14:paraId="6D0B85B8" w14:textId="77777777" w:rsidR="00374000" w:rsidRDefault="00374000" w:rsidP="00374000">
      <w:pPr>
        <w:spacing w:line="360" w:lineRule="auto"/>
        <w:ind w:firstLineChars="200" w:firstLine="420"/>
        <w:rPr>
          <w:szCs w:val="21"/>
        </w:rPr>
      </w:pPr>
      <w:r>
        <w:rPr>
          <w:rFonts w:ascii="宋体" w:hAnsi="宋体"/>
          <w:szCs w:val="21"/>
        </w:rPr>
        <w:t>主要考核学生对该门可课程基本理论、基本知识和核心技术的掌握状况</w:t>
      </w:r>
    </w:p>
    <w:p w14:paraId="6E15E5EB" w14:textId="77777777" w:rsidR="00374000" w:rsidRDefault="00374000" w:rsidP="00374000">
      <w:pPr>
        <w:snapToGrid w:val="0"/>
        <w:spacing w:line="360" w:lineRule="auto"/>
        <w:ind w:firstLineChars="49" w:firstLine="103"/>
        <w:jc w:val="center"/>
        <w:rPr>
          <w:b/>
          <w:bCs/>
          <w:szCs w:val="21"/>
        </w:rPr>
      </w:pPr>
      <w:r>
        <w:rPr>
          <w:rFonts w:ascii="宋体" w:hAnsi="宋体" w:hint="eastAsia"/>
          <w:b/>
          <w:szCs w:val="21"/>
        </w:rPr>
        <w:t xml:space="preserve">第一章  </w:t>
      </w:r>
      <w:r>
        <w:rPr>
          <w:rFonts w:ascii="宋体" w:hAnsi="宋体"/>
          <w:b/>
          <w:bCs/>
        </w:rPr>
        <w:t>绪论</w:t>
      </w:r>
    </w:p>
    <w:p w14:paraId="59224ECC" w14:textId="77777777" w:rsidR="00374000" w:rsidRDefault="00374000" w:rsidP="00374000">
      <w:pPr>
        <w:snapToGrid w:val="0"/>
        <w:spacing w:line="360" w:lineRule="auto"/>
        <w:rPr>
          <w:rFonts w:ascii="宋体" w:hAnsi="宋体"/>
          <w:b/>
          <w:szCs w:val="21"/>
        </w:rPr>
      </w:pPr>
      <w:r>
        <w:rPr>
          <w:rFonts w:ascii="宋体" w:hAnsi="宋体" w:hint="eastAsia"/>
          <w:b/>
          <w:szCs w:val="21"/>
        </w:rPr>
        <w:t>（一）学习目标</w:t>
      </w:r>
    </w:p>
    <w:p w14:paraId="1435CDA4"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hint="eastAsia"/>
          <w:b/>
          <w:szCs w:val="21"/>
        </w:rPr>
        <w:t>1. 一般了解</w:t>
      </w:r>
      <w:r>
        <w:rPr>
          <w:rFonts w:ascii="宋体" w:hAnsi="宋体" w:hint="eastAsia"/>
          <w:szCs w:val="21"/>
        </w:rPr>
        <w:t>：</w:t>
      </w:r>
      <w:r>
        <w:rPr>
          <w:rFonts w:ascii="宋体" w:hAnsi="宋体" w:hint="eastAsia"/>
          <w:bCs/>
          <w:szCs w:val="21"/>
        </w:rPr>
        <w:t>设施园艺的历史。</w:t>
      </w:r>
    </w:p>
    <w:p w14:paraId="6F1EC4C6" w14:textId="77777777" w:rsidR="00374000" w:rsidRDefault="00374000" w:rsidP="00374000">
      <w:pPr>
        <w:snapToGrid w:val="0"/>
        <w:spacing w:beforeLines="50" w:before="156" w:line="360" w:lineRule="auto"/>
        <w:ind w:firstLineChars="200" w:firstLine="422"/>
        <w:rPr>
          <w:rFonts w:ascii="宋体" w:hAnsi="宋体"/>
          <w:bCs/>
          <w:szCs w:val="21"/>
        </w:rPr>
      </w:pPr>
      <w:r>
        <w:rPr>
          <w:rFonts w:ascii="宋体" w:hAnsi="宋体" w:hint="eastAsia"/>
          <w:b/>
          <w:szCs w:val="21"/>
        </w:rPr>
        <w:t>2. 一般掌握</w:t>
      </w:r>
      <w:r>
        <w:rPr>
          <w:rFonts w:ascii="宋体" w:hAnsi="宋体" w:hint="eastAsia"/>
          <w:szCs w:val="21"/>
        </w:rPr>
        <w:t>：</w:t>
      </w:r>
      <w:r>
        <w:rPr>
          <w:rFonts w:ascii="宋体" w:hAnsi="宋体" w:hint="eastAsia"/>
          <w:bCs/>
          <w:szCs w:val="21"/>
        </w:rPr>
        <w:t>设施园艺的现状和发展。</w:t>
      </w:r>
    </w:p>
    <w:p w14:paraId="0A6FC29D"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hint="eastAsia"/>
          <w:b/>
          <w:szCs w:val="21"/>
        </w:rPr>
        <w:t>3. 熟练掌握</w:t>
      </w:r>
      <w:r>
        <w:rPr>
          <w:rFonts w:ascii="宋体" w:hAnsi="宋体" w:hint="eastAsia"/>
          <w:szCs w:val="21"/>
        </w:rPr>
        <w:t>：</w:t>
      </w:r>
      <w:r>
        <w:rPr>
          <w:rFonts w:ascii="宋体" w:hAnsi="宋体" w:hint="eastAsia"/>
          <w:bCs/>
          <w:szCs w:val="21"/>
        </w:rPr>
        <w:t>设施园艺的概念、类型和作用。</w:t>
      </w:r>
    </w:p>
    <w:p w14:paraId="7C89BD0D" w14:textId="77777777" w:rsidR="00374000" w:rsidRDefault="00374000" w:rsidP="00374000">
      <w:pPr>
        <w:snapToGrid w:val="0"/>
        <w:spacing w:beforeLines="50" w:before="156" w:line="360" w:lineRule="auto"/>
        <w:rPr>
          <w:rFonts w:ascii="宋体" w:hAnsi="宋体"/>
          <w:szCs w:val="21"/>
        </w:rPr>
      </w:pPr>
      <w:r>
        <w:rPr>
          <w:rFonts w:ascii="宋体" w:hAnsi="宋体" w:hint="eastAsia"/>
          <w:b/>
          <w:szCs w:val="21"/>
        </w:rPr>
        <w:t>（二）考核内容</w:t>
      </w:r>
    </w:p>
    <w:p w14:paraId="4B268885" w14:textId="77777777" w:rsidR="00374000" w:rsidRDefault="00374000" w:rsidP="00374000">
      <w:pPr>
        <w:snapToGrid w:val="0"/>
        <w:spacing w:beforeLines="50" w:before="156" w:line="360" w:lineRule="auto"/>
        <w:ind w:firstLineChars="200" w:firstLine="420"/>
        <w:rPr>
          <w:rFonts w:ascii="宋体" w:hAnsi="宋体"/>
          <w:bCs/>
          <w:szCs w:val="21"/>
        </w:rPr>
      </w:pPr>
      <w:r>
        <w:rPr>
          <w:rFonts w:ascii="宋体" w:hAnsi="宋体" w:hint="eastAsia"/>
          <w:bCs/>
          <w:szCs w:val="21"/>
        </w:rPr>
        <w:t>知识：设施园艺发展史、设施园艺发展前景</w:t>
      </w:r>
    </w:p>
    <w:p w14:paraId="20502644" w14:textId="77777777" w:rsidR="00374000" w:rsidRDefault="00374000" w:rsidP="00374000">
      <w:pPr>
        <w:snapToGrid w:val="0"/>
        <w:spacing w:beforeLines="50" w:before="156" w:line="360" w:lineRule="auto"/>
        <w:ind w:firstLineChars="200" w:firstLine="420"/>
        <w:rPr>
          <w:rFonts w:ascii="宋体" w:hAnsi="宋体"/>
          <w:bCs/>
          <w:szCs w:val="21"/>
        </w:rPr>
      </w:pPr>
      <w:r>
        <w:rPr>
          <w:rFonts w:ascii="宋体" w:hAnsi="宋体" w:hint="eastAsia"/>
          <w:bCs/>
          <w:szCs w:val="21"/>
        </w:rPr>
        <w:t>能力和素质：设施园艺的概念、类型和作用。</w:t>
      </w:r>
    </w:p>
    <w:p w14:paraId="3DD8D146" w14:textId="77777777" w:rsidR="00374000" w:rsidRDefault="00374000" w:rsidP="00374000">
      <w:pPr>
        <w:snapToGrid w:val="0"/>
        <w:spacing w:beforeLines="50" w:before="156" w:line="360" w:lineRule="auto"/>
        <w:rPr>
          <w:rFonts w:ascii="宋体" w:hAnsi="宋体"/>
          <w:b/>
          <w:szCs w:val="21"/>
        </w:rPr>
      </w:pPr>
      <w:r>
        <w:rPr>
          <w:rFonts w:ascii="宋体" w:hAnsi="宋体" w:hint="eastAsia"/>
          <w:b/>
          <w:szCs w:val="21"/>
        </w:rPr>
        <w:t>（三）考核要求</w:t>
      </w:r>
    </w:p>
    <w:p w14:paraId="41E14AB6"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hint="eastAsia"/>
          <w:b/>
          <w:szCs w:val="21"/>
        </w:rPr>
        <w:t>1.识记</w:t>
      </w:r>
      <w:r>
        <w:rPr>
          <w:rFonts w:ascii="宋体" w:hAnsi="宋体" w:hint="eastAsia"/>
          <w:szCs w:val="21"/>
        </w:rPr>
        <w:t>：历史、现状和展望。</w:t>
      </w:r>
    </w:p>
    <w:p w14:paraId="7AFC119D" w14:textId="77777777" w:rsidR="00374000" w:rsidRDefault="00374000" w:rsidP="00374000">
      <w:pPr>
        <w:snapToGrid w:val="0"/>
        <w:spacing w:beforeLines="50" w:before="156" w:line="360" w:lineRule="auto"/>
        <w:ind w:firstLineChars="200" w:firstLine="422"/>
        <w:rPr>
          <w:rFonts w:ascii="宋体" w:hAnsi="宋体"/>
          <w:b/>
          <w:szCs w:val="21"/>
        </w:rPr>
      </w:pPr>
      <w:r>
        <w:rPr>
          <w:rFonts w:ascii="宋体" w:hAnsi="宋体" w:hint="eastAsia"/>
          <w:b/>
          <w:szCs w:val="21"/>
        </w:rPr>
        <w:t>2.领会</w:t>
      </w:r>
      <w:r>
        <w:rPr>
          <w:rFonts w:ascii="宋体" w:hAnsi="宋体" w:hint="eastAsia"/>
          <w:szCs w:val="21"/>
        </w:rPr>
        <w:t>：设施园艺学</w:t>
      </w:r>
      <w:r>
        <w:rPr>
          <w:rFonts w:ascii="宋体" w:hAnsi="宋体" w:hint="eastAsia"/>
          <w:bCs/>
          <w:szCs w:val="21"/>
        </w:rPr>
        <w:t>概念。</w:t>
      </w:r>
    </w:p>
    <w:p w14:paraId="333CAAA6" w14:textId="77777777" w:rsidR="00374000" w:rsidRDefault="00374000" w:rsidP="00374000">
      <w:pPr>
        <w:spacing w:line="360" w:lineRule="auto"/>
        <w:ind w:firstLineChars="200" w:firstLine="422"/>
        <w:jc w:val="center"/>
        <w:rPr>
          <w:szCs w:val="21"/>
        </w:rPr>
      </w:pPr>
      <w:r>
        <w:rPr>
          <w:rFonts w:ascii="宋体" w:hAnsi="宋体"/>
          <w:b/>
          <w:bCs/>
          <w:szCs w:val="21"/>
        </w:rPr>
        <w:t>第二章</w:t>
      </w:r>
      <w:r>
        <w:rPr>
          <w:b/>
          <w:bCs/>
          <w:szCs w:val="21"/>
        </w:rPr>
        <w:t xml:space="preserve">  </w:t>
      </w:r>
      <w:r>
        <w:rPr>
          <w:rFonts w:ascii="宋体" w:hAnsi="宋体"/>
          <w:b/>
          <w:bCs/>
          <w:szCs w:val="21"/>
        </w:rPr>
        <w:t>设施的类型、结构和性能</w:t>
      </w:r>
    </w:p>
    <w:p w14:paraId="396B6A76" w14:textId="77777777" w:rsidR="00374000" w:rsidRDefault="00374000" w:rsidP="00374000">
      <w:pPr>
        <w:snapToGrid w:val="0"/>
        <w:spacing w:line="360" w:lineRule="auto"/>
        <w:rPr>
          <w:rFonts w:ascii="宋体" w:hAnsi="宋体"/>
          <w:b/>
          <w:szCs w:val="21"/>
        </w:rPr>
      </w:pPr>
      <w:r>
        <w:rPr>
          <w:rFonts w:ascii="宋体" w:hAnsi="宋体" w:hint="eastAsia"/>
          <w:b/>
          <w:szCs w:val="21"/>
        </w:rPr>
        <w:t>（一）学习目标</w:t>
      </w:r>
    </w:p>
    <w:p w14:paraId="68E007A2"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ascii="宋体" w:hAnsi="宋体"/>
          <w:szCs w:val="21"/>
        </w:rPr>
        <w:t>园艺设施的分类</w:t>
      </w:r>
      <w:r>
        <w:rPr>
          <w:rFonts w:ascii="宋体" w:hAnsi="宋体" w:hint="eastAsia"/>
          <w:szCs w:val="21"/>
        </w:rPr>
        <w:t>。</w:t>
      </w:r>
    </w:p>
    <w:p w14:paraId="7591B8BA" w14:textId="77777777" w:rsidR="00374000" w:rsidRDefault="00374000" w:rsidP="00374000">
      <w:pPr>
        <w:snapToGrid w:val="0"/>
        <w:spacing w:beforeLines="50" w:before="156" w:line="360" w:lineRule="auto"/>
        <w:ind w:firstLineChars="200" w:firstLine="422"/>
        <w:rPr>
          <w:rFonts w:ascii="宋体" w:hAnsi="宋体"/>
          <w:b/>
          <w:szCs w:val="21"/>
        </w:rPr>
      </w:pPr>
      <w:r>
        <w:rPr>
          <w:rFonts w:ascii="宋体" w:hAnsi="宋体"/>
          <w:b/>
          <w:szCs w:val="21"/>
        </w:rPr>
        <w:t>2. 一般掌握：</w:t>
      </w:r>
      <w:r>
        <w:rPr>
          <w:rFonts w:ascii="宋体" w:hAnsi="宋体"/>
          <w:szCs w:val="21"/>
        </w:rPr>
        <w:t>各种园艺设施的结构、作用</w:t>
      </w:r>
      <w:r>
        <w:rPr>
          <w:rFonts w:ascii="宋体" w:hAnsi="宋体" w:hint="eastAsia"/>
          <w:szCs w:val="21"/>
        </w:rPr>
        <w:t>。</w:t>
      </w:r>
    </w:p>
    <w:p w14:paraId="7268A078" w14:textId="77777777" w:rsidR="00374000" w:rsidRDefault="00374000" w:rsidP="00374000">
      <w:pPr>
        <w:snapToGrid w:val="0"/>
        <w:spacing w:beforeLines="50" w:before="156" w:line="360" w:lineRule="auto"/>
        <w:ind w:firstLineChars="200" w:firstLine="422"/>
        <w:rPr>
          <w:rFonts w:ascii="宋体" w:hAnsi="宋体"/>
          <w:b/>
          <w:szCs w:val="21"/>
        </w:rPr>
      </w:pPr>
      <w:r>
        <w:rPr>
          <w:rFonts w:ascii="宋体" w:hAnsi="宋体"/>
          <w:b/>
          <w:szCs w:val="21"/>
        </w:rPr>
        <w:lastRenderedPageBreak/>
        <w:t>3. 熟练掌握：</w:t>
      </w:r>
      <w:r>
        <w:rPr>
          <w:rFonts w:ascii="宋体" w:hAnsi="宋体"/>
          <w:szCs w:val="21"/>
        </w:rPr>
        <w:t>塑料大棚、日光温室的结构、日光温室的合理结构参数、现代大型温室的各个系统。塑料大棚、日光温室的应用。各类设施的温度变化情况。</w:t>
      </w:r>
    </w:p>
    <w:p w14:paraId="32E100D3" w14:textId="77777777" w:rsidR="00374000" w:rsidRDefault="00374000" w:rsidP="00374000">
      <w:pPr>
        <w:snapToGrid w:val="0"/>
        <w:spacing w:beforeLines="50" w:before="156" w:line="360" w:lineRule="auto"/>
        <w:rPr>
          <w:rFonts w:ascii="宋体" w:hAnsi="宋体"/>
          <w:szCs w:val="21"/>
        </w:rPr>
      </w:pPr>
      <w:r>
        <w:rPr>
          <w:rFonts w:ascii="宋体" w:hAnsi="宋体" w:hint="eastAsia"/>
          <w:b/>
          <w:szCs w:val="21"/>
        </w:rPr>
        <w:t>（二）考核内容</w:t>
      </w:r>
    </w:p>
    <w:p w14:paraId="7CE96169" w14:textId="77777777" w:rsidR="00374000" w:rsidRDefault="00374000" w:rsidP="00374000">
      <w:pPr>
        <w:snapToGrid w:val="0"/>
        <w:spacing w:line="360" w:lineRule="auto"/>
        <w:ind w:firstLineChars="200" w:firstLine="420"/>
        <w:rPr>
          <w:rFonts w:ascii="宋体" w:hAnsi="宋体"/>
          <w:szCs w:val="21"/>
        </w:rPr>
      </w:pPr>
      <w:r>
        <w:rPr>
          <w:rFonts w:ascii="宋体" w:hAnsi="宋体" w:hint="eastAsia"/>
          <w:szCs w:val="21"/>
        </w:rPr>
        <w:t>知识：</w:t>
      </w:r>
      <w:r>
        <w:rPr>
          <w:rFonts w:ascii="宋体" w:hAnsi="宋体"/>
          <w:szCs w:val="21"/>
        </w:rPr>
        <w:t>园艺设施的结构、环境状况、和作用。</w:t>
      </w:r>
    </w:p>
    <w:p w14:paraId="204AF348" w14:textId="77777777" w:rsidR="00374000" w:rsidRDefault="00374000" w:rsidP="00374000">
      <w:pPr>
        <w:snapToGrid w:val="0"/>
        <w:spacing w:line="360" w:lineRule="auto"/>
        <w:ind w:firstLineChars="200" w:firstLine="420"/>
        <w:rPr>
          <w:szCs w:val="21"/>
        </w:rPr>
      </w:pPr>
      <w:r>
        <w:rPr>
          <w:rFonts w:ascii="宋体" w:hAnsi="宋体" w:hint="eastAsia"/>
          <w:szCs w:val="21"/>
        </w:rPr>
        <w:t>能力和素质：根据设施结构类型及性能，选择不同作物栽培栽培适宜的设施。</w:t>
      </w:r>
    </w:p>
    <w:p w14:paraId="7663C7A0" w14:textId="77777777" w:rsidR="00374000" w:rsidRDefault="00374000" w:rsidP="00374000">
      <w:pPr>
        <w:snapToGrid w:val="0"/>
        <w:spacing w:beforeLines="50" w:before="156" w:line="360" w:lineRule="auto"/>
        <w:rPr>
          <w:rFonts w:ascii="宋体" w:hAnsi="宋体"/>
          <w:b/>
          <w:bCs/>
          <w:szCs w:val="21"/>
        </w:rPr>
      </w:pPr>
      <w:r>
        <w:rPr>
          <w:rFonts w:ascii="宋体" w:hAnsi="宋体" w:hint="eastAsia"/>
          <w:b/>
          <w:bCs/>
          <w:szCs w:val="21"/>
        </w:rPr>
        <w:t>（三）考核要求</w:t>
      </w:r>
    </w:p>
    <w:p w14:paraId="6CEE4759"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1、识记：</w:t>
      </w:r>
      <w:r>
        <w:rPr>
          <w:rFonts w:ascii="宋体" w:hAnsi="宋体"/>
          <w:szCs w:val="21"/>
        </w:rPr>
        <w:t>园艺设施的各种类型</w:t>
      </w:r>
      <w:r>
        <w:rPr>
          <w:rFonts w:ascii="宋体" w:hAnsi="宋体" w:hint="eastAsia"/>
          <w:szCs w:val="21"/>
        </w:rPr>
        <w:t>。</w:t>
      </w:r>
    </w:p>
    <w:p w14:paraId="0C3415D9"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2、领会：</w:t>
      </w:r>
      <w:r>
        <w:rPr>
          <w:rFonts w:ascii="宋体" w:hAnsi="宋体"/>
          <w:szCs w:val="21"/>
        </w:rPr>
        <w:t>园艺设施内个结构的组成和作用</w:t>
      </w:r>
      <w:r>
        <w:rPr>
          <w:rFonts w:ascii="宋体" w:hAnsi="宋体" w:hint="eastAsia"/>
          <w:szCs w:val="21"/>
        </w:rPr>
        <w:t>。</w:t>
      </w:r>
    </w:p>
    <w:p w14:paraId="4536EAB1" w14:textId="77777777" w:rsidR="00374000" w:rsidRDefault="00374000" w:rsidP="00374000">
      <w:pPr>
        <w:snapToGrid w:val="0"/>
        <w:spacing w:beforeLines="50" w:before="156" w:line="360" w:lineRule="auto"/>
        <w:ind w:firstLineChars="200" w:firstLine="422"/>
        <w:rPr>
          <w:rFonts w:ascii="宋体" w:hAnsi="宋体"/>
          <w:b/>
          <w:szCs w:val="21"/>
        </w:rPr>
      </w:pPr>
      <w:r>
        <w:rPr>
          <w:rFonts w:ascii="宋体" w:hAnsi="宋体"/>
          <w:b/>
          <w:szCs w:val="21"/>
        </w:rPr>
        <w:t>3、简单应用：</w:t>
      </w:r>
      <w:r>
        <w:rPr>
          <w:rFonts w:ascii="宋体" w:hAnsi="宋体"/>
          <w:szCs w:val="21"/>
        </w:rPr>
        <w:t>园艺设施个结构对设施内环境的影响</w:t>
      </w:r>
      <w:r>
        <w:rPr>
          <w:rFonts w:ascii="宋体" w:hAnsi="宋体" w:hint="eastAsia"/>
          <w:szCs w:val="21"/>
        </w:rPr>
        <w:t>。</w:t>
      </w:r>
    </w:p>
    <w:p w14:paraId="66D65F5E"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4、综合应用：</w:t>
      </w:r>
      <w:r>
        <w:rPr>
          <w:rFonts w:ascii="宋体" w:hAnsi="宋体"/>
          <w:szCs w:val="21"/>
        </w:rPr>
        <w:t>根据设施类型安排园艺作生产</w:t>
      </w:r>
      <w:r>
        <w:rPr>
          <w:rFonts w:ascii="宋体" w:hAnsi="宋体" w:hint="eastAsia"/>
          <w:szCs w:val="21"/>
        </w:rPr>
        <w:t>。</w:t>
      </w:r>
    </w:p>
    <w:p w14:paraId="49157589" w14:textId="77777777" w:rsidR="00374000" w:rsidRDefault="00374000" w:rsidP="00374000">
      <w:pPr>
        <w:spacing w:line="360" w:lineRule="auto"/>
        <w:ind w:firstLineChars="200" w:firstLine="422"/>
        <w:jc w:val="center"/>
        <w:rPr>
          <w:b/>
          <w:bCs/>
          <w:szCs w:val="21"/>
        </w:rPr>
      </w:pPr>
      <w:r>
        <w:rPr>
          <w:rFonts w:ascii="宋体" w:hAnsi="宋体"/>
          <w:b/>
          <w:bCs/>
          <w:szCs w:val="21"/>
        </w:rPr>
        <w:t>第三章</w:t>
      </w:r>
      <w:r>
        <w:rPr>
          <w:b/>
          <w:bCs/>
          <w:szCs w:val="21"/>
        </w:rPr>
        <w:t xml:space="preserve">  </w:t>
      </w:r>
      <w:r>
        <w:rPr>
          <w:rFonts w:ascii="宋体" w:hAnsi="宋体"/>
          <w:b/>
          <w:bCs/>
          <w:szCs w:val="21"/>
        </w:rPr>
        <w:t>覆盖材料的种类和性能</w:t>
      </w:r>
    </w:p>
    <w:p w14:paraId="574AE12F" w14:textId="77777777" w:rsidR="00374000" w:rsidRDefault="00374000" w:rsidP="00374000">
      <w:pPr>
        <w:snapToGrid w:val="0"/>
        <w:spacing w:line="360" w:lineRule="auto"/>
        <w:rPr>
          <w:rFonts w:ascii="宋体" w:hAnsi="宋体"/>
          <w:b/>
          <w:bCs/>
          <w:szCs w:val="21"/>
        </w:rPr>
      </w:pPr>
      <w:r>
        <w:rPr>
          <w:rFonts w:ascii="宋体" w:hAnsi="宋体" w:hint="eastAsia"/>
          <w:b/>
          <w:bCs/>
        </w:rPr>
        <w:t>（一）学习目标</w:t>
      </w:r>
    </w:p>
    <w:p w14:paraId="6EADAECC"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1. 一般了解：</w:t>
      </w:r>
      <w:r>
        <w:rPr>
          <w:rFonts w:ascii="宋体" w:hAnsi="宋体"/>
          <w:szCs w:val="21"/>
        </w:rPr>
        <w:t>园艺设施覆盖材料的分类</w:t>
      </w:r>
      <w:r>
        <w:rPr>
          <w:rFonts w:ascii="宋体" w:hAnsi="宋体" w:hint="eastAsia"/>
          <w:szCs w:val="21"/>
        </w:rPr>
        <w:t>。</w:t>
      </w:r>
    </w:p>
    <w:p w14:paraId="1817C970"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2. 一般掌握：</w:t>
      </w:r>
      <w:r>
        <w:rPr>
          <w:rFonts w:ascii="宋体" w:hAnsi="宋体"/>
          <w:szCs w:val="21"/>
        </w:rPr>
        <w:t>各种覆盖材料的光学特性和热特性</w:t>
      </w:r>
      <w:r>
        <w:rPr>
          <w:rFonts w:ascii="宋体" w:hAnsi="宋体" w:hint="eastAsia"/>
          <w:szCs w:val="21"/>
        </w:rPr>
        <w:t>。</w:t>
      </w:r>
    </w:p>
    <w:p w14:paraId="639794F1" w14:textId="77777777" w:rsidR="00374000" w:rsidRDefault="00374000" w:rsidP="00374000">
      <w:pPr>
        <w:snapToGrid w:val="0"/>
        <w:spacing w:beforeLines="50" w:before="156" w:line="360" w:lineRule="auto"/>
        <w:ind w:firstLineChars="200" w:firstLine="422"/>
        <w:rPr>
          <w:rFonts w:ascii="宋体" w:hAnsi="宋体"/>
          <w:szCs w:val="21"/>
        </w:rPr>
      </w:pPr>
      <w:r>
        <w:rPr>
          <w:rFonts w:ascii="宋体" w:hAnsi="宋体"/>
          <w:b/>
          <w:szCs w:val="21"/>
        </w:rPr>
        <w:t>3. 熟练掌握：</w:t>
      </w:r>
      <w:r>
        <w:rPr>
          <w:rFonts w:ascii="宋体" w:hAnsi="宋体"/>
          <w:szCs w:val="21"/>
        </w:rPr>
        <w:t>透明覆盖材料（塑料薄膜，半硬质塑料膜，硬质塑料板，玻璃，新型多功能覆盖材料）的种类与应用，其它（地膜、透气性覆盖材料）覆盖材料，日光温室外覆盖保温材料的应用</w:t>
      </w:r>
      <w:r>
        <w:rPr>
          <w:rFonts w:ascii="宋体" w:hAnsi="宋体" w:hint="eastAsia"/>
          <w:szCs w:val="21"/>
        </w:rPr>
        <w:t>。</w:t>
      </w:r>
    </w:p>
    <w:p w14:paraId="4939D7CA" w14:textId="77777777" w:rsidR="00374000" w:rsidRDefault="00374000" w:rsidP="00374000">
      <w:pPr>
        <w:snapToGrid w:val="0"/>
        <w:spacing w:beforeLines="50" w:before="156" w:line="360" w:lineRule="auto"/>
        <w:rPr>
          <w:rFonts w:ascii="宋体" w:hAnsi="宋体"/>
          <w:szCs w:val="21"/>
        </w:rPr>
      </w:pPr>
      <w:r>
        <w:rPr>
          <w:rFonts w:ascii="宋体" w:hAnsi="宋体" w:hint="eastAsia"/>
          <w:b/>
          <w:szCs w:val="21"/>
        </w:rPr>
        <w:t>（二）考核内容</w:t>
      </w:r>
    </w:p>
    <w:p w14:paraId="4B182BFC" w14:textId="77777777" w:rsidR="00374000" w:rsidRDefault="00374000" w:rsidP="00374000">
      <w:pPr>
        <w:snapToGrid w:val="0"/>
        <w:spacing w:line="360" w:lineRule="auto"/>
        <w:ind w:firstLineChars="200" w:firstLine="420"/>
        <w:rPr>
          <w:rFonts w:ascii="宋体" w:hAnsi="宋体"/>
          <w:szCs w:val="21"/>
        </w:rPr>
      </w:pPr>
      <w:r>
        <w:rPr>
          <w:rFonts w:ascii="宋体" w:hAnsi="宋体" w:hint="eastAsia"/>
          <w:szCs w:val="21"/>
        </w:rPr>
        <w:t>知识：</w:t>
      </w:r>
      <w:r>
        <w:rPr>
          <w:rFonts w:ascii="宋体" w:hAnsi="宋体"/>
          <w:szCs w:val="21"/>
        </w:rPr>
        <w:t>各种覆盖材料的光学特性和热特性和作用。</w:t>
      </w:r>
    </w:p>
    <w:p w14:paraId="795C46F3" w14:textId="77777777" w:rsidR="00374000" w:rsidRDefault="00374000" w:rsidP="00374000">
      <w:pPr>
        <w:snapToGrid w:val="0"/>
        <w:spacing w:line="360" w:lineRule="auto"/>
        <w:ind w:firstLineChars="200" w:firstLine="420"/>
        <w:rPr>
          <w:szCs w:val="21"/>
        </w:rPr>
      </w:pPr>
      <w:r>
        <w:rPr>
          <w:rFonts w:ascii="宋体" w:hAnsi="宋体" w:hint="eastAsia"/>
          <w:szCs w:val="21"/>
        </w:rPr>
        <w:t>能力和素质：不同覆盖材料应用范围的选择。</w:t>
      </w:r>
    </w:p>
    <w:p w14:paraId="641AC166" w14:textId="77777777" w:rsidR="00374000" w:rsidRDefault="00374000" w:rsidP="00374000">
      <w:pPr>
        <w:snapToGrid w:val="0"/>
        <w:spacing w:beforeLines="50" w:before="156" w:line="360" w:lineRule="auto"/>
        <w:rPr>
          <w:rFonts w:ascii="宋体" w:hAnsi="宋体"/>
          <w:b/>
          <w:bCs/>
          <w:szCs w:val="21"/>
        </w:rPr>
      </w:pPr>
      <w:r>
        <w:rPr>
          <w:rFonts w:ascii="宋体" w:hAnsi="宋体" w:hint="eastAsia"/>
          <w:b/>
          <w:bCs/>
          <w:szCs w:val="21"/>
        </w:rPr>
        <w:t>（三）考核要求</w:t>
      </w:r>
    </w:p>
    <w:p w14:paraId="717A6043" w14:textId="77777777" w:rsidR="00374000" w:rsidRDefault="00374000" w:rsidP="00374000">
      <w:pPr>
        <w:snapToGrid w:val="0"/>
        <w:spacing w:line="360" w:lineRule="auto"/>
        <w:ind w:firstLineChars="300" w:firstLine="632"/>
        <w:rPr>
          <w:b/>
          <w:bCs/>
          <w:szCs w:val="21"/>
        </w:rPr>
      </w:pPr>
      <w:r>
        <w:rPr>
          <w:b/>
          <w:bCs/>
          <w:szCs w:val="21"/>
        </w:rPr>
        <w:t>1</w:t>
      </w:r>
      <w:r>
        <w:rPr>
          <w:rFonts w:ascii="宋体" w:hAnsi="宋体"/>
          <w:b/>
          <w:bCs/>
          <w:szCs w:val="21"/>
        </w:rPr>
        <w:t>、识记</w:t>
      </w:r>
      <w:r>
        <w:rPr>
          <w:rFonts w:ascii="宋体" w:hAnsi="宋体"/>
          <w:szCs w:val="21"/>
        </w:rPr>
        <w:t>：各种覆盖材料的种类和类型</w:t>
      </w:r>
      <w:r>
        <w:rPr>
          <w:rFonts w:ascii="宋体" w:hAnsi="宋体" w:hint="eastAsia"/>
          <w:szCs w:val="21"/>
        </w:rPr>
        <w:t>。</w:t>
      </w:r>
    </w:p>
    <w:p w14:paraId="7ECBCDFE" w14:textId="77777777" w:rsidR="00374000" w:rsidRDefault="00374000" w:rsidP="00374000">
      <w:pPr>
        <w:snapToGrid w:val="0"/>
        <w:spacing w:line="360" w:lineRule="auto"/>
        <w:ind w:firstLineChars="300" w:firstLine="632"/>
        <w:rPr>
          <w:b/>
          <w:bCs/>
          <w:szCs w:val="21"/>
        </w:rPr>
      </w:pPr>
      <w:r>
        <w:rPr>
          <w:b/>
          <w:bCs/>
          <w:szCs w:val="21"/>
        </w:rPr>
        <w:t>2</w:t>
      </w:r>
      <w:r>
        <w:rPr>
          <w:rFonts w:ascii="宋体" w:hAnsi="宋体"/>
          <w:b/>
          <w:bCs/>
          <w:szCs w:val="21"/>
        </w:rPr>
        <w:t>、领会</w:t>
      </w:r>
      <w:r>
        <w:rPr>
          <w:rFonts w:ascii="宋体" w:hAnsi="宋体"/>
          <w:szCs w:val="21"/>
        </w:rPr>
        <w:t>：各种覆盖材料的光学特性和热特性</w:t>
      </w:r>
      <w:r>
        <w:rPr>
          <w:rFonts w:ascii="宋体" w:hAnsi="宋体" w:hint="eastAsia"/>
          <w:szCs w:val="21"/>
        </w:rPr>
        <w:t>。</w:t>
      </w:r>
    </w:p>
    <w:p w14:paraId="6BAA7997" w14:textId="77777777" w:rsidR="00374000" w:rsidRDefault="00374000" w:rsidP="00374000">
      <w:pPr>
        <w:snapToGrid w:val="0"/>
        <w:spacing w:line="360" w:lineRule="auto"/>
        <w:ind w:firstLineChars="300" w:firstLine="632"/>
        <w:rPr>
          <w:b/>
          <w:bCs/>
          <w:szCs w:val="21"/>
        </w:rPr>
      </w:pPr>
      <w:r>
        <w:rPr>
          <w:b/>
          <w:bCs/>
          <w:szCs w:val="21"/>
        </w:rPr>
        <w:t>3</w:t>
      </w:r>
      <w:r>
        <w:rPr>
          <w:rFonts w:ascii="宋体" w:hAnsi="宋体"/>
          <w:b/>
          <w:bCs/>
          <w:szCs w:val="21"/>
        </w:rPr>
        <w:t>、应用</w:t>
      </w:r>
      <w:r>
        <w:rPr>
          <w:rFonts w:ascii="宋体" w:hAnsi="宋体"/>
          <w:szCs w:val="21"/>
        </w:rPr>
        <w:t>：各种覆盖材料的光学特性和热特性在不同设施类型上的应用</w:t>
      </w:r>
      <w:r>
        <w:rPr>
          <w:rFonts w:ascii="宋体" w:hAnsi="宋体" w:hint="eastAsia"/>
          <w:szCs w:val="21"/>
        </w:rPr>
        <w:t>。</w:t>
      </w:r>
    </w:p>
    <w:p w14:paraId="06077A7D" w14:textId="77777777" w:rsidR="00374000" w:rsidRDefault="00374000" w:rsidP="00374000">
      <w:pPr>
        <w:snapToGrid w:val="0"/>
        <w:spacing w:line="360" w:lineRule="auto"/>
        <w:ind w:firstLineChars="300" w:firstLine="632"/>
        <w:rPr>
          <w:b/>
          <w:bCs/>
          <w:szCs w:val="21"/>
        </w:rPr>
      </w:pPr>
      <w:r>
        <w:rPr>
          <w:b/>
          <w:bCs/>
          <w:szCs w:val="21"/>
        </w:rPr>
        <w:t>4</w:t>
      </w:r>
      <w:r>
        <w:rPr>
          <w:rFonts w:ascii="宋体" w:hAnsi="宋体"/>
          <w:b/>
          <w:bCs/>
          <w:szCs w:val="21"/>
        </w:rPr>
        <w:t>、</w:t>
      </w:r>
      <w:r>
        <w:rPr>
          <w:rFonts w:ascii="宋体" w:hAnsi="宋体" w:hint="eastAsia"/>
          <w:b/>
          <w:bCs/>
          <w:szCs w:val="21"/>
        </w:rPr>
        <w:t>分析</w:t>
      </w:r>
      <w:r>
        <w:rPr>
          <w:rFonts w:ascii="宋体" w:hAnsi="宋体"/>
          <w:szCs w:val="21"/>
        </w:rPr>
        <w:t>：</w:t>
      </w:r>
      <w:r>
        <w:rPr>
          <w:b/>
          <w:bCs/>
          <w:szCs w:val="21"/>
        </w:rPr>
        <w:t xml:space="preserve"> </w:t>
      </w:r>
      <w:r>
        <w:rPr>
          <w:rFonts w:ascii="宋体" w:hAnsi="宋体"/>
          <w:szCs w:val="21"/>
        </w:rPr>
        <w:t>各种覆盖材料对设施内环境的影响</w:t>
      </w:r>
      <w:r>
        <w:rPr>
          <w:rFonts w:ascii="宋体" w:hAnsi="宋体" w:hint="eastAsia"/>
          <w:szCs w:val="21"/>
        </w:rPr>
        <w:t>。</w:t>
      </w:r>
    </w:p>
    <w:p w14:paraId="67F2BEC9" w14:textId="77777777" w:rsidR="00374000" w:rsidRDefault="00374000" w:rsidP="00374000">
      <w:pPr>
        <w:spacing w:line="360" w:lineRule="auto"/>
        <w:ind w:firstLineChars="200" w:firstLine="422"/>
        <w:jc w:val="center"/>
        <w:rPr>
          <w:b/>
          <w:bCs/>
          <w:szCs w:val="21"/>
        </w:rPr>
      </w:pPr>
      <w:r>
        <w:rPr>
          <w:rFonts w:ascii="宋体" w:hAnsi="宋体"/>
          <w:b/>
          <w:bCs/>
          <w:szCs w:val="21"/>
        </w:rPr>
        <w:t>第四章</w:t>
      </w:r>
      <w:r>
        <w:rPr>
          <w:b/>
          <w:bCs/>
          <w:szCs w:val="21"/>
        </w:rPr>
        <w:t xml:space="preserve">  </w:t>
      </w:r>
      <w:r>
        <w:rPr>
          <w:rFonts w:ascii="宋体" w:hAnsi="宋体"/>
          <w:b/>
          <w:bCs/>
          <w:szCs w:val="21"/>
        </w:rPr>
        <w:t>设施环境的变化规律及其调控技术</w:t>
      </w:r>
    </w:p>
    <w:p w14:paraId="668E19C1" w14:textId="77777777" w:rsidR="00374000" w:rsidRDefault="00374000" w:rsidP="00374000">
      <w:pPr>
        <w:snapToGrid w:val="0"/>
        <w:spacing w:line="360" w:lineRule="auto"/>
        <w:rPr>
          <w:rFonts w:ascii="宋体" w:hAnsi="宋体"/>
          <w:b/>
          <w:bCs/>
          <w:szCs w:val="21"/>
        </w:rPr>
      </w:pPr>
      <w:r>
        <w:rPr>
          <w:rFonts w:ascii="宋体" w:hAnsi="宋体" w:hint="eastAsia"/>
          <w:b/>
          <w:bCs/>
        </w:rPr>
        <w:t>（一）学习目标</w:t>
      </w:r>
    </w:p>
    <w:p w14:paraId="747F012A" w14:textId="77777777" w:rsidR="00374000" w:rsidRDefault="00374000" w:rsidP="00374000">
      <w:pPr>
        <w:snapToGrid w:val="0"/>
        <w:spacing w:line="360" w:lineRule="auto"/>
        <w:ind w:firstLineChars="300" w:firstLine="632"/>
        <w:rPr>
          <w:szCs w:val="21"/>
        </w:rPr>
      </w:pPr>
      <w:r>
        <w:rPr>
          <w:b/>
          <w:bCs/>
          <w:szCs w:val="21"/>
        </w:rPr>
        <w:t xml:space="preserve">1. </w:t>
      </w:r>
      <w:r>
        <w:rPr>
          <w:rFonts w:ascii="宋体" w:hAnsi="宋体"/>
          <w:b/>
          <w:bCs/>
          <w:szCs w:val="21"/>
        </w:rPr>
        <w:t>一般了解</w:t>
      </w:r>
      <w:r>
        <w:rPr>
          <w:rFonts w:ascii="宋体" w:hAnsi="宋体"/>
          <w:szCs w:val="21"/>
        </w:rPr>
        <w:t>：设施内环境因素和构成</w:t>
      </w:r>
      <w:r>
        <w:rPr>
          <w:rFonts w:ascii="宋体" w:hAnsi="宋体" w:hint="eastAsia"/>
          <w:szCs w:val="21"/>
        </w:rPr>
        <w:t>。</w:t>
      </w:r>
    </w:p>
    <w:p w14:paraId="475C925B" w14:textId="77777777" w:rsidR="00374000" w:rsidRDefault="00374000" w:rsidP="00374000">
      <w:pPr>
        <w:snapToGrid w:val="0"/>
        <w:spacing w:line="360" w:lineRule="auto"/>
        <w:ind w:firstLineChars="300" w:firstLine="632"/>
        <w:rPr>
          <w:szCs w:val="21"/>
        </w:rPr>
      </w:pPr>
      <w:r>
        <w:rPr>
          <w:b/>
          <w:bCs/>
          <w:szCs w:val="21"/>
        </w:rPr>
        <w:t xml:space="preserve">2. </w:t>
      </w:r>
      <w:r>
        <w:rPr>
          <w:rFonts w:ascii="宋体" w:hAnsi="宋体"/>
          <w:b/>
          <w:bCs/>
          <w:szCs w:val="21"/>
        </w:rPr>
        <w:t>一般掌握</w:t>
      </w:r>
      <w:r>
        <w:rPr>
          <w:rFonts w:ascii="宋体" w:hAnsi="宋体"/>
          <w:szCs w:val="21"/>
        </w:rPr>
        <w:t>：设施内环境条件的变化与设施结构与管理技术的关系</w:t>
      </w:r>
      <w:r>
        <w:rPr>
          <w:rFonts w:ascii="宋体" w:hAnsi="宋体" w:hint="eastAsia"/>
          <w:szCs w:val="21"/>
        </w:rPr>
        <w:t>。</w:t>
      </w:r>
    </w:p>
    <w:p w14:paraId="45678EB1" w14:textId="77777777" w:rsidR="00374000" w:rsidRDefault="00374000" w:rsidP="00374000">
      <w:pPr>
        <w:spacing w:line="360" w:lineRule="auto"/>
        <w:ind w:firstLineChars="300" w:firstLine="632"/>
        <w:rPr>
          <w:szCs w:val="21"/>
        </w:rPr>
      </w:pPr>
      <w:r>
        <w:rPr>
          <w:b/>
          <w:bCs/>
          <w:szCs w:val="21"/>
        </w:rPr>
        <w:lastRenderedPageBreak/>
        <w:t xml:space="preserve">3. </w:t>
      </w:r>
      <w:r>
        <w:rPr>
          <w:rFonts w:ascii="宋体" w:hAnsi="宋体"/>
          <w:b/>
          <w:bCs/>
          <w:szCs w:val="21"/>
        </w:rPr>
        <w:t>熟练掌握</w:t>
      </w:r>
      <w:r>
        <w:rPr>
          <w:rFonts w:ascii="宋体" w:hAnsi="宋体"/>
          <w:szCs w:val="21"/>
        </w:rPr>
        <w:t>：设施内环境条件形成的原因和控制措施</w:t>
      </w:r>
      <w:r>
        <w:rPr>
          <w:rFonts w:ascii="宋体" w:hAnsi="宋体" w:hint="eastAsia"/>
          <w:szCs w:val="21"/>
        </w:rPr>
        <w:t>。</w:t>
      </w:r>
    </w:p>
    <w:p w14:paraId="30D9E9C7" w14:textId="77777777" w:rsidR="00374000" w:rsidRDefault="00374000" w:rsidP="00374000">
      <w:pPr>
        <w:snapToGrid w:val="0"/>
        <w:spacing w:beforeLines="50" w:before="156" w:line="360" w:lineRule="auto"/>
        <w:rPr>
          <w:rFonts w:ascii="宋体" w:hAnsi="宋体"/>
          <w:szCs w:val="21"/>
        </w:rPr>
      </w:pPr>
      <w:r>
        <w:rPr>
          <w:rFonts w:ascii="宋体" w:hAnsi="宋体" w:hint="eastAsia"/>
          <w:b/>
          <w:bCs/>
        </w:rPr>
        <w:t>（二）考核内容</w:t>
      </w:r>
    </w:p>
    <w:p w14:paraId="32EA4A17" w14:textId="77777777" w:rsidR="00374000" w:rsidRDefault="00374000" w:rsidP="00374000">
      <w:pPr>
        <w:spacing w:line="360" w:lineRule="auto"/>
        <w:ind w:firstLineChars="200" w:firstLine="420"/>
        <w:rPr>
          <w:szCs w:val="21"/>
        </w:rPr>
      </w:pPr>
      <w:r>
        <w:rPr>
          <w:rFonts w:hint="eastAsia"/>
          <w:szCs w:val="21"/>
        </w:rPr>
        <w:t>知识：</w:t>
      </w:r>
    </w:p>
    <w:p w14:paraId="6129232E" w14:textId="77777777" w:rsidR="00374000" w:rsidRDefault="00374000" w:rsidP="00374000">
      <w:pPr>
        <w:spacing w:line="360" w:lineRule="auto"/>
        <w:ind w:firstLineChars="200" w:firstLine="420"/>
        <w:rPr>
          <w:szCs w:val="21"/>
        </w:rPr>
      </w:pPr>
      <w:r>
        <w:rPr>
          <w:szCs w:val="21"/>
        </w:rPr>
        <w:t>1</w:t>
      </w:r>
      <w:r>
        <w:rPr>
          <w:rFonts w:ascii="宋体" w:hAnsi="宋体"/>
          <w:szCs w:val="21"/>
        </w:rPr>
        <w:t>）设施内的光环境特征，影响设施光环境的主要因素，光环境的调控，光照长度的调控，光质的调控。</w:t>
      </w:r>
    </w:p>
    <w:p w14:paraId="023778DA" w14:textId="77777777" w:rsidR="00374000" w:rsidRDefault="00374000" w:rsidP="00374000">
      <w:pPr>
        <w:spacing w:line="360" w:lineRule="auto"/>
        <w:ind w:firstLineChars="200" w:firstLine="420"/>
        <w:rPr>
          <w:szCs w:val="21"/>
        </w:rPr>
      </w:pPr>
      <w:r>
        <w:rPr>
          <w:szCs w:val="21"/>
        </w:rPr>
        <w:t>2</w:t>
      </w:r>
      <w:r>
        <w:rPr>
          <w:rFonts w:ascii="宋体" w:hAnsi="宋体"/>
          <w:szCs w:val="21"/>
        </w:rPr>
        <w:t>）设施内的</w:t>
      </w:r>
      <w:r>
        <w:rPr>
          <w:szCs w:val="21"/>
        </w:rPr>
        <w:t>CO</w:t>
      </w:r>
      <w:r>
        <w:rPr>
          <w:szCs w:val="21"/>
          <w:vertAlign w:val="subscript"/>
        </w:rPr>
        <w:t>2</w:t>
      </w:r>
      <w:r>
        <w:rPr>
          <w:rFonts w:ascii="宋体" w:hAnsi="宋体"/>
          <w:szCs w:val="21"/>
        </w:rPr>
        <w:t>环境，</w:t>
      </w:r>
      <w:r>
        <w:rPr>
          <w:szCs w:val="21"/>
        </w:rPr>
        <w:t>CO</w:t>
      </w:r>
      <w:r>
        <w:rPr>
          <w:szCs w:val="21"/>
          <w:vertAlign w:val="subscript"/>
        </w:rPr>
        <w:t>2</w:t>
      </w:r>
      <w:r>
        <w:rPr>
          <w:rFonts w:ascii="宋体" w:hAnsi="宋体"/>
          <w:szCs w:val="21"/>
        </w:rPr>
        <w:t>施肥技术，</w:t>
      </w:r>
      <w:r>
        <w:rPr>
          <w:szCs w:val="21"/>
        </w:rPr>
        <w:t>CO</w:t>
      </w:r>
      <w:r>
        <w:rPr>
          <w:szCs w:val="21"/>
          <w:vertAlign w:val="subscript"/>
        </w:rPr>
        <w:t>2</w:t>
      </w:r>
      <w:r>
        <w:rPr>
          <w:rFonts w:ascii="宋体" w:hAnsi="宋体"/>
          <w:szCs w:val="21"/>
        </w:rPr>
        <w:t>肥源，其它提高设施</w:t>
      </w:r>
      <w:r>
        <w:rPr>
          <w:szCs w:val="21"/>
        </w:rPr>
        <w:t>CO</w:t>
      </w:r>
      <w:r>
        <w:rPr>
          <w:szCs w:val="21"/>
          <w:vertAlign w:val="subscript"/>
        </w:rPr>
        <w:t>2</w:t>
      </w:r>
      <w:r>
        <w:rPr>
          <w:rFonts w:ascii="宋体" w:hAnsi="宋体"/>
          <w:szCs w:val="21"/>
        </w:rPr>
        <w:t>浓度的方法。</w:t>
      </w:r>
    </w:p>
    <w:p w14:paraId="2523EE35" w14:textId="77777777" w:rsidR="00374000" w:rsidRDefault="00374000" w:rsidP="00374000">
      <w:pPr>
        <w:spacing w:line="360" w:lineRule="auto"/>
        <w:ind w:firstLineChars="200" w:firstLine="420"/>
        <w:rPr>
          <w:szCs w:val="21"/>
        </w:rPr>
      </w:pPr>
      <w:r>
        <w:rPr>
          <w:szCs w:val="21"/>
        </w:rPr>
        <w:t>3</w:t>
      </w:r>
      <w:r>
        <w:rPr>
          <w:rFonts w:ascii="宋体" w:hAnsi="宋体"/>
          <w:szCs w:val="21"/>
        </w:rPr>
        <w:t>）温室作物对温度的基本要求，温室的温度环境特点与热平衡，温室的热平衡原理，保温与加温技术，降温技术。</w:t>
      </w:r>
    </w:p>
    <w:p w14:paraId="6E7624C5" w14:textId="77777777" w:rsidR="00374000" w:rsidRDefault="00374000" w:rsidP="00374000">
      <w:pPr>
        <w:spacing w:line="360" w:lineRule="auto"/>
        <w:ind w:firstLineChars="200" w:firstLine="420"/>
        <w:rPr>
          <w:szCs w:val="21"/>
        </w:rPr>
      </w:pPr>
      <w:r>
        <w:rPr>
          <w:szCs w:val="21"/>
        </w:rPr>
        <w:t>4</w:t>
      </w:r>
      <w:r>
        <w:rPr>
          <w:rFonts w:ascii="宋体" w:hAnsi="宋体"/>
          <w:szCs w:val="21"/>
        </w:rPr>
        <w:t>）设施内湿度环境特征，湿度与设施作物生长发育，设施内湿度环境与病虫害发生的关系，设施湿度环境的调控。</w:t>
      </w:r>
    </w:p>
    <w:p w14:paraId="456D8F47" w14:textId="77777777" w:rsidR="00374000" w:rsidRDefault="00374000" w:rsidP="00374000">
      <w:pPr>
        <w:spacing w:line="360" w:lineRule="auto"/>
        <w:ind w:firstLineChars="200" w:firstLine="420"/>
        <w:rPr>
          <w:szCs w:val="21"/>
        </w:rPr>
      </w:pPr>
      <w:r>
        <w:rPr>
          <w:szCs w:val="21"/>
        </w:rPr>
        <w:t>5</w:t>
      </w:r>
      <w:r>
        <w:rPr>
          <w:rFonts w:ascii="宋体" w:hAnsi="宋体"/>
          <w:szCs w:val="21"/>
        </w:rPr>
        <w:t>）设施内气流环境和有害气体。</w:t>
      </w:r>
    </w:p>
    <w:p w14:paraId="171E7E6C" w14:textId="77777777" w:rsidR="00374000" w:rsidRDefault="00374000" w:rsidP="00374000">
      <w:pPr>
        <w:spacing w:line="360" w:lineRule="auto"/>
        <w:ind w:firstLineChars="200" w:firstLine="420"/>
        <w:rPr>
          <w:szCs w:val="21"/>
        </w:rPr>
      </w:pPr>
      <w:r>
        <w:rPr>
          <w:szCs w:val="21"/>
        </w:rPr>
        <w:t>6</w:t>
      </w:r>
      <w:r>
        <w:rPr>
          <w:rFonts w:ascii="宋体" w:hAnsi="宋体"/>
          <w:szCs w:val="21"/>
        </w:rPr>
        <w:t>）作物连作障碍产生的原因，连作障碍的防治措施，根际环境及其调控。</w:t>
      </w:r>
    </w:p>
    <w:p w14:paraId="07E4B0BB" w14:textId="77777777" w:rsidR="00374000" w:rsidRDefault="00374000" w:rsidP="00374000">
      <w:pPr>
        <w:spacing w:line="360" w:lineRule="auto"/>
        <w:ind w:firstLineChars="200" w:firstLine="420"/>
        <w:rPr>
          <w:szCs w:val="21"/>
        </w:rPr>
      </w:pPr>
      <w:r>
        <w:rPr>
          <w:rFonts w:ascii="宋体" w:hAnsi="宋体" w:hint="eastAsia"/>
          <w:szCs w:val="21"/>
        </w:rPr>
        <w:t>能力和素质：通过理解设施内环境特点，熟练掌握设施</w:t>
      </w:r>
      <w:r>
        <w:rPr>
          <w:rFonts w:ascii="宋体" w:hAnsi="宋体"/>
          <w:szCs w:val="21"/>
        </w:rPr>
        <w:t>环境调控</w:t>
      </w:r>
      <w:r>
        <w:rPr>
          <w:rFonts w:ascii="宋体" w:hAnsi="宋体" w:hint="eastAsia"/>
          <w:szCs w:val="21"/>
        </w:rPr>
        <w:t>的管理技术</w:t>
      </w:r>
      <w:r>
        <w:rPr>
          <w:rFonts w:ascii="宋体" w:hAnsi="宋体"/>
          <w:szCs w:val="21"/>
        </w:rPr>
        <w:t>。</w:t>
      </w:r>
    </w:p>
    <w:p w14:paraId="6B5CB1F3" w14:textId="77777777" w:rsidR="00374000" w:rsidRDefault="00374000" w:rsidP="00374000">
      <w:pPr>
        <w:snapToGrid w:val="0"/>
        <w:spacing w:beforeLines="50" w:before="156" w:line="360" w:lineRule="auto"/>
        <w:rPr>
          <w:rFonts w:ascii="宋体" w:hAnsi="宋体"/>
          <w:b/>
          <w:bCs/>
          <w:szCs w:val="21"/>
        </w:rPr>
      </w:pPr>
      <w:r>
        <w:rPr>
          <w:rFonts w:ascii="宋体" w:hAnsi="宋体" w:hint="eastAsia"/>
          <w:b/>
          <w:bCs/>
        </w:rPr>
        <w:t>（三）考核要求</w:t>
      </w:r>
    </w:p>
    <w:p w14:paraId="5E23A412" w14:textId="77777777" w:rsidR="00374000" w:rsidRDefault="00374000" w:rsidP="00374000">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：各种环境因素的概念和构成</w:t>
      </w:r>
      <w:r>
        <w:rPr>
          <w:rFonts w:ascii="宋体" w:hAnsi="宋体" w:hint="eastAsia"/>
          <w:szCs w:val="21"/>
        </w:rPr>
        <w:t>。</w:t>
      </w:r>
    </w:p>
    <w:p w14:paraId="185A3CDB" w14:textId="77777777" w:rsidR="00374000" w:rsidRDefault="00374000" w:rsidP="00374000">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：设施内环境条件的变化与设施结构与管理技术的关系</w:t>
      </w:r>
      <w:r>
        <w:rPr>
          <w:rFonts w:ascii="宋体" w:hAnsi="宋体" w:hint="eastAsia"/>
          <w:szCs w:val="21"/>
        </w:rPr>
        <w:t>。</w:t>
      </w:r>
    </w:p>
    <w:p w14:paraId="58DD49C4" w14:textId="77777777" w:rsidR="00374000" w:rsidRDefault="00374000" w:rsidP="00374000">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：设施内环境条件调控技术</w:t>
      </w:r>
      <w:r>
        <w:rPr>
          <w:rFonts w:ascii="宋体" w:hAnsi="宋体" w:hint="eastAsia"/>
          <w:szCs w:val="21"/>
        </w:rPr>
        <w:t>。</w:t>
      </w:r>
    </w:p>
    <w:p w14:paraId="3C63C47D" w14:textId="77777777" w:rsidR="00374000" w:rsidRDefault="00374000" w:rsidP="00374000">
      <w:pPr>
        <w:snapToGrid w:val="0"/>
        <w:spacing w:line="360" w:lineRule="auto"/>
        <w:ind w:firstLineChars="200" w:firstLine="422"/>
        <w:rPr>
          <w:b/>
          <w:bCs/>
          <w:szCs w:val="21"/>
        </w:rPr>
      </w:pPr>
      <w:r>
        <w:rPr>
          <w:b/>
          <w:bCs/>
          <w:szCs w:val="21"/>
        </w:rPr>
        <w:t>4</w:t>
      </w:r>
      <w:r>
        <w:rPr>
          <w:rFonts w:ascii="宋体" w:hAnsi="宋体"/>
          <w:b/>
          <w:bCs/>
          <w:szCs w:val="21"/>
        </w:rPr>
        <w:t>、</w:t>
      </w:r>
      <w:r>
        <w:rPr>
          <w:rFonts w:ascii="宋体" w:hAnsi="宋体" w:hint="eastAsia"/>
          <w:b/>
          <w:bCs/>
          <w:szCs w:val="21"/>
        </w:rPr>
        <w:t>分析</w:t>
      </w:r>
      <w:r>
        <w:rPr>
          <w:rFonts w:ascii="宋体" w:hAnsi="宋体"/>
          <w:szCs w:val="21"/>
        </w:rPr>
        <w:t>：设施环境的综合分析和利用。</w:t>
      </w:r>
    </w:p>
    <w:p w14:paraId="5A75B28B" w14:textId="77777777" w:rsidR="00374000" w:rsidRDefault="00374000" w:rsidP="00374000">
      <w:pPr>
        <w:spacing w:line="360" w:lineRule="auto"/>
        <w:ind w:firstLineChars="200" w:firstLine="422"/>
        <w:jc w:val="center"/>
        <w:rPr>
          <w:b/>
          <w:bCs/>
          <w:szCs w:val="21"/>
        </w:rPr>
      </w:pPr>
      <w:r>
        <w:rPr>
          <w:rFonts w:ascii="宋体" w:hAnsi="宋体"/>
          <w:b/>
          <w:bCs/>
          <w:szCs w:val="21"/>
        </w:rPr>
        <w:t>第五章</w:t>
      </w:r>
      <w:r>
        <w:rPr>
          <w:b/>
          <w:bCs/>
          <w:szCs w:val="21"/>
        </w:rPr>
        <w:t xml:space="preserve">  </w:t>
      </w:r>
      <w:r>
        <w:rPr>
          <w:rFonts w:ascii="宋体" w:hAnsi="宋体"/>
          <w:b/>
          <w:bCs/>
          <w:szCs w:val="21"/>
        </w:rPr>
        <w:t>设施育苗技术</w:t>
      </w:r>
    </w:p>
    <w:p w14:paraId="704F751B" w14:textId="77777777" w:rsidR="00374000" w:rsidRDefault="00374000" w:rsidP="00374000">
      <w:pPr>
        <w:snapToGrid w:val="0"/>
        <w:spacing w:line="360" w:lineRule="auto"/>
        <w:rPr>
          <w:rFonts w:ascii="宋体" w:hAnsi="宋体"/>
          <w:b/>
          <w:bCs/>
          <w:szCs w:val="21"/>
        </w:rPr>
      </w:pPr>
      <w:r>
        <w:rPr>
          <w:rFonts w:ascii="宋体" w:hAnsi="宋体" w:hint="eastAsia"/>
          <w:b/>
          <w:bCs/>
        </w:rPr>
        <w:t>（一）学习目标</w:t>
      </w:r>
    </w:p>
    <w:p w14:paraId="334C7B41" w14:textId="77777777" w:rsidR="00374000" w:rsidRDefault="00374000" w:rsidP="00374000">
      <w:pPr>
        <w:snapToGrid w:val="0"/>
        <w:spacing w:line="360" w:lineRule="auto"/>
        <w:ind w:firstLineChars="200" w:firstLine="422"/>
        <w:rPr>
          <w:szCs w:val="21"/>
        </w:rPr>
      </w:pPr>
      <w:r>
        <w:rPr>
          <w:b/>
          <w:bCs/>
          <w:szCs w:val="21"/>
        </w:rPr>
        <w:t xml:space="preserve">1. </w:t>
      </w:r>
      <w:r>
        <w:rPr>
          <w:rFonts w:ascii="宋体" w:hAnsi="宋体"/>
          <w:b/>
          <w:bCs/>
          <w:szCs w:val="21"/>
        </w:rPr>
        <w:t>一般了解</w:t>
      </w:r>
      <w:r>
        <w:rPr>
          <w:rFonts w:ascii="宋体" w:hAnsi="宋体"/>
          <w:szCs w:val="21"/>
        </w:rPr>
        <w:t>：设施育苗的作用和程序、设备和关键技术</w:t>
      </w:r>
      <w:r>
        <w:rPr>
          <w:rFonts w:ascii="宋体" w:hAnsi="宋体" w:hint="eastAsia"/>
          <w:szCs w:val="21"/>
        </w:rPr>
        <w:t>。</w:t>
      </w:r>
    </w:p>
    <w:p w14:paraId="18213C91" w14:textId="77777777" w:rsidR="00374000" w:rsidRDefault="00374000" w:rsidP="00374000">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：影响设施育苗成败的主要因素</w:t>
      </w:r>
      <w:r>
        <w:rPr>
          <w:rFonts w:ascii="宋体" w:hAnsi="宋体" w:hint="eastAsia"/>
          <w:szCs w:val="21"/>
        </w:rPr>
        <w:t>。</w:t>
      </w:r>
    </w:p>
    <w:p w14:paraId="4E1D32E2" w14:textId="77777777" w:rsidR="00374000" w:rsidRDefault="00374000" w:rsidP="00374000">
      <w:pPr>
        <w:spacing w:line="360" w:lineRule="auto"/>
        <w:ind w:firstLineChars="200" w:firstLine="422"/>
        <w:rPr>
          <w:szCs w:val="21"/>
        </w:rPr>
      </w:pPr>
      <w:r>
        <w:rPr>
          <w:b/>
          <w:bCs/>
          <w:szCs w:val="21"/>
        </w:rPr>
        <w:t xml:space="preserve">3. </w:t>
      </w:r>
      <w:r>
        <w:rPr>
          <w:rFonts w:ascii="宋体" w:hAnsi="宋体"/>
          <w:b/>
          <w:bCs/>
          <w:szCs w:val="21"/>
        </w:rPr>
        <w:t>熟练掌握</w:t>
      </w:r>
      <w:r>
        <w:rPr>
          <w:rFonts w:ascii="宋体" w:hAnsi="宋体"/>
          <w:szCs w:val="21"/>
        </w:rPr>
        <w:t>：设施育苗的所有环节</w:t>
      </w:r>
      <w:r>
        <w:rPr>
          <w:rFonts w:ascii="宋体" w:hAnsi="宋体" w:hint="eastAsia"/>
          <w:szCs w:val="21"/>
        </w:rPr>
        <w:t>。</w:t>
      </w:r>
    </w:p>
    <w:p w14:paraId="5135E862" w14:textId="77777777" w:rsidR="00374000" w:rsidRDefault="00374000" w:rsidP="00374000">
      <w:pPr>
        <w:snapToGrid w:val="0"/>
        <w:spacing w:beforeLines="50" w:before="156" w:line="360" w:lineRule="auto"/>
        <w:rPr>
          <w:rFonts w:ascii="宋体" w:hAnsi="宋体"/>
          <w:szCs w:val="21"/>
        </w:rPr>
      </w:pPr>
      <w:r>
        <w:rPr>
          <w:rFonts w:ascii="宋体" w:hAnsi="宋体" w:hint="eastAsia"/>
          <w:b/>
          <w:bCs/>
        </w:rPr>
        <w:t>（二）考核内容</w:t>
      </w:r>
    </w:p>
    <w:p w14:paraId="1C20E11A" w14:textId="77777777" w:rsidR="00374000" w:rsidRDefault="00374000" w:rsidP="00374000">
      <w:pPr>
        <w:spacing w:line="360" w:lineRule="auto"/>
        <w:ind w:firstLineChars="200" w:firstLine="420"/>
        <w:rPr>
          <w:rFonts w:ascii="宋体" w:hAnsi="宋体"/>
          <w:szCs w:val="21"/>
        </w:rPr>
      </w:pPr>
      <w:r>
        <w:rPr>
          <w:rFonts w:ascii="宋体" w:hAnsi="宋体" w:hint="eastAsia"/>
          <w:szCs w:val="21"/>
        </w:rPr>
        <w:t>知识：</w:t>
      </w:r>
      <w:r>
        <w:rPr>
          <w:rFonts w:ascii="宋体" w:hAnsi="宋体"/>
          <w:szCs w:val="21"/>
        </w:rPr>
        <w:t>基质选配、</w:t>
      </w:r>
      <w:r>
        <w:rPr>
          <w:rFonts w:ascii="宋体" w:hAnsi="宋体" w:hint="eastAsia"/>
          <w:szCs w:val="21"/>
        </w:rPr>
        <w:t>工厂化穴盘</w:t>
      </w:r>
      <w:r>
        <w:rPr>
          <w:rFonts w:ascii="宋体" w:hAnsi="宋体"/>
          <w:szCs w:val="21"/>
        </w:rPr>
        <w:t>育苗</w:t>
      </w:r>
      <w:r>
        <w:rPr>
          <w:rFonts w:ascii="宋体" w:hAnsi="宋体" w:hint="eastAsia"/>
          <w:szCs w:val="21"/>
        </w:rPr>
        <w:t>关键设备及主要流程。</w:t>
      </w:r>
    </w:p>
    <w:p w14:paraId="346872B2" w14:textId="77777777" w:rsidR="00374000" w:rsidRDefault="00374000" w:rsidP="00374000">
      <w:pPr>
        <w:spacing w:line="360" w:lineRule="auto"/>
        <w:ind w:firstLineChars="200" w:firstLine="420"/>
        <w:rPr>
          <w:szCs w:val="21"/>
        </w:rPr>
      </w:pPr>
      <w:r>
        <w:rPr>
          <w:rFonts w:ascii="宋体" w:hAnsi="宋体" w:hint="eastAsia"/>
          <w:szCs w:val="21"/>
        </w:rPr>
        <w:t>能力和素质：掌握</w:t>
      </w:r>
      <w:r>
        <w:rPr>
          <w:rFonts w:ascii="宋体" w:hAnsi="宋体"/>
          <w:szCs w:val="21"/>
        </w:rPr>
        <w:t>营养液配置和苗期管理等</w:t>
      </w:r>
      <w:r>
        <w:rPr>
          <w:rFonts w:ascii="宋体" w:hAnsi="宋体" w:hint="eastAsia"/>
          <w:szCs w:val="21"/>
        </w:rPr>
        <w:t>技术手段</w:t>
      </w:r>
      <w:r>
        <w:rPr>
          <w:rFonts w:ascii="宋体" w:hAnsi="宋体"/>
          <w:szCs w:val="21"/>
        </w:rPr>
        <w:t>。</w:t>
      </w:r>
    </w:p>
    <w:p w14:paraId="2604DEBF" w14:textId="77777777" w:rsidR="00374000" w:rsidRDefault="00374000" w:rsidP="00374000">
      <w:pPr>
        <w:snapToGrid w:val="0"/>
        <w:spacing w:beforeLines="50" w:before="156" w:line="360" w:lineRule="auto"/>
        <w:rPr>
          <w:rFonts w:ascii="宋体" w:hAnsi="宋体"/>
          <w:b/>
          <w:bCs/>
          <w:szCs w:val="21"/>
        </w:rPr>
      </w:pPr>
      <w:r>
        <w:rPr>
          <w:rFonts w:ascii="宋体" w:hAnsi="宋体" w:hint="eastAsia"/>
          <w:b/>
          <w:bCs/>
          <w:szCs w:val="21"/>
        </w:rPr>
        <w:t>（三）考核要求</w:t>
      </w:r>
    </w:p>
    <w:p w14:paraId="23E21530" w14:textId="77777777" w:rsidR="00374000" w:rsidRDefault="00374000" w:rsidP="00374000">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：设施育苗环节的各个概念和构成</w:t>
      </w:r>
      <w:r>
        <w:rPr>
          <w:rFonts w:ascii="宋体" w:hAnsi="宋体" w:hint="eastAsia"/>
          <w:szCs w:val="21"/>
        </w:rPr>
        <w:t>。</w:t>
      </w:r>
    </w:p>
    <w:p w14:paraId="33539713" w14:textId="77777777" w:rsidR="00374000" w:rsidRDefault="00374000" w:rsidP="00374000">
      <w:pPr>
        <w:snapToGrid w:val="0"/>
        <w:spacing w:line="360" w:lineRule="auto"/>
        <w:ind w:firstLineChars="200" w:firstLine="422"/>
        <w:rPr>
          <w:b/>
          <w:bCs/>
          <w:szCs w:val="21"/>
        </w:rPr>
      </w:pPr>
      <w:r>
        <w:rPr>
          <w:b/>
          <w:bCs/>
          <w:szCs w:val="21"/>
        </w:rPr>
        <w:t>2</w:t>
      </w:r>
      <w:r>
        <w:rPr>
          <w:rFonts w:ascii="宋体" w:hAnsi="宋体"/>
          <w:b/>
          <w:bCs/>
          <w:szCs w:val="21"/>
        </w:rPr>
        <w:t>、领会</w:t>
      </w:r>
      <w:r>
        <w:rPr>
          <w:rFonts w:ascii="宋体" w:hAnsi="宋体"/>
          <w:szCs w:val="21"/>
        </w:rPr>
        <w:t>：影响设施育苗成败的主要因素</w:t>
      </w:r>
      <w:r>
        <w:rPr>
          <w:rFonts w:ascii="宋体" w:hAnsi="宋体" w:hint="eastAsia"/>
          <w:szCs w:val="21"/>
        </w:rPr>
        <w:t>。</w:t>
      </w:r>
    </w:p>
    <w:p w14:paraId="28D77611" w14:textId="77777777" w:rsidR="00374000" w:rsidRDefault="00374000" w:rsidP="00374000">
      <w:pPr>
        <w:snapToGrid w:val="0"/>
        <w:spacing w:line="360" w:lineRule="auto"/>
        <w:ind w:firstLineChars="200" w:firstLine="422"/>
        <w:rPr>
          <w:szCs w:val="21"/>
        </w:rPr>
      </w:pPr>
      <w:r>
        <w:rPr>
          <w:b/>
          <w:bCs/>
          <w:szCs w:val="21"/>
        </w:rPr>
        <w:t>3</w:t>
      </w:r>
      <w:r>
        <w:rPr>
          <w:rFonts w:ascii="宋体" w:hAnsi="宋体"/>
          <w:b/>
          <w:bCs/>
          <w:szCs w:val="21"/>
        </w:rPr>
        <w:t>、应用</w:t>
      </w:r>
      <w:r>
        <w:rPr>
          <w:rFonts w:ascii="宋体" w:hAnsi="宋体"/>
          <w:szCs w:val="21"/>
        </w:rPr>
        <w:t>：设施育苗的所有环节</w:t>
      </w:r>
      <w:r>
        <w:rPr>
          <w:rFonts w:ascii="宋体" w:hAnsi="宋体" w:hint="eastAsia"/>
          <w:szCs w:val="21"/>
        </w:rPr>
        <w:t>。</w:t>
      </w:r>
    </w:p>
    <w:p w14:paraId="6CD92C8F" w14:textId="77777777" w:rsidR="00374000" w:rsidRDefault="00374000" w:rsidP="00374000">
      <w:pPr>
        <w:snapToGrid w:val="0"/>
        <w:spacing w:line="360" w:lineRule="auto"/>
        <w:ind w:firstLineChars="200" w:firstLine="422"/>
        <w:rPr>
          <w:b/>
          <w:bCs/>
          <w:szCs w:val="21"/>
        </w:rPr>
      </w:pPr>
      <w:r>
        <w:rPr>
          <w:b/>
          <w:bCs/>
          <w:szCs w:val="21"/>
        </w:rPr>
        <w:lastRenderedPageBreak/>
        <w:t>4</w:t>
      </w:r>
      <w:r>
        <w:rPr>
          <w:rFonts w:ascii="宋体" w:hAnsi="宋体"/>
          <w:b/>
          <w:bCs/>
          <w:szCs w:val="21"/>
        </w:rPr>
        <w:t>、综合</w:t>
      </w:r>
      <w:r>
        <w:rPr>
          <w:rFonts w:ascii="宋体" w:hAnsi="宋体"/>
          <w:szCs w:val="21"/>
        </w:rPr>
        <w:t>：能够指导开展设施育苗。</w:t>
      </w:r>
    </w:p>
    <w:p w14:paraId="628F679A" w14:textId="77777777" w:rsidR="00374000" w:rsidRDefault="00374000" w:rsidP="00374000">
      <w:pPr>
        <w:spacing w:line="360" w:lineRule="auto"/>
        <w:ind w:firstLineChars="200" w:firstLine="422"/>
        <w:jc w:val="center"/>
        <w:rPr>
          <w:b/>
          <w:bCs/>
          <w:szCs w:val="21"/>
        </w:rPr>
      </w:pPr>
      <w:r>
        <w:rPr>
          <w:rFonts w:ascii="宋体" w:hAnsi="宋体"/>
          <w:b/>
          <w:bCs/>
          <w:szCs w:val="21"/>
        </w:rPr>
        <w:t>第</w:t>
      </w:r>
      <w:r>
        <w:rPr>
          <w:rFonts w:ascii="宋体" w:hAnsi="宋体" w:hint="eastAsia"/>
          <w:b/>
          <w:bCs/>
          <w:szCs w:val="21"/>
        </w:rPr>
        <w:t>六</w:t>
      </w:r>
      <w:r>
        <w:rPr>
          <w:rFonts w:ascii="宋体" w:hAnsi="宋体"/>
          <w:b/>
          <w:bCs/>
          <w:szCs w:val="21"/>
        </w:rPr>
        <w:t>章</w:t>
      </w:r>
      <w:r>
        <w:rPr>
          <w:b/>
          <w:bCs/>
          <w:szCs w:val="21"/>
        </w:rPr>
        <w:t xml:space="preserve">  </w:t>
      </w:r>
      <w:r>
        <w:rPr>
          <w:rFonts w:ascii="宋体" w:hAnsi="宋体"/>
          <w:b/>
          <w:bCs/>
          <w:szCs w:val="21"/>
        </w:rPr>
        <w:t>无土栽培</w:t>
      </w:r>
    </w:p>
    <w:p w14:paraId="32867050" w14:textId="77777777" w:rsidR="00374000" w:rsidRDefault="00374000" w:rsidP="00374000">
      <w:pPr>
        <w:snapToGrid w:val="0"/>
        <w:spacing w:line="360" w:lineRule="auto"/>
        <w:rPr>
          <w:rFonts w:ascii="宋体" w:hAnsi="宋体"/>
          <w:b/>
          <w:bCs/>
          <w:szCs w:val="21"/>
        </w:rPr>
      </w:pPr>
      <w:r>
        <w:rPr>
          <w:rFonts w:ascii="宋体" w:hAnsi="宋体" w:hint="eastAsia"/>
          <w:b/>
          <w:bCs/>
        </w:rPr>
        <w:t>（一）学习目标</w:t>
      </w:r>
    </w:p>
    <w:p w14:paraId="6A8F8015" w14:textId="77777777" w:rsidR="00374000" w:rsidRDefault="00374000" w:rsidP="00374000">
      <w:pPr>
        <w:snapToGrid w:val="0"/>
        <w:spacing w:line="360" w:lineRule="auto"/>
        <w:ind w:firstLineChars="200" w:firstLine="422"/>
        <w:rPr>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：无土栽培技术的概念和主要类型和方法</w:t>
      </w:r>
      <w:r>
        <w:rPr>
          <w:rFonts w:ascii="宋体" w:hAnsi="宋体" w:hint="eastAsia"/>
          <w:szCs w:val="21"/>
        </w:rPr>
        <w:t>。</w:t>
      </w:r>
    </w:p>
    <w:p w14:paraId="1E31895C" w14:textId="77777777" w:rsidR="00374000" w:rsidRDefault="00374000" w:rsidP="00374000">
      <w:pPr>
        <w:snapToGrid w:val="0"/>
        <w:spacing w:line="360" w:lineRule="auto"/>
        <w:ind w:firstLineChars="200" w:firstLine="422"/>
        <w:rPr>
          <w:szCs w:val="21"/>
        </w:rPr>
      </w:pPr>
      <w:r>
        <w:rPr>
          <w:b/>
          <w:bCs/>
          <w:szCs w:val="21"/>
        </w:rPr>
        <w:t xml:space="preserve">2. </w:t>
      </w:r>
      <w:r>
        <w:rPr>
          <w:rFonts w:ascii="宋体" w:hAnsi="宋体"/>
          <w:b/>
          <w:bCs/>
          <w:szCs w:val="21"/>
        </w:rPr>
        <w:t>一般掌握</w:t>
      </w:r>
      <w:r>
        <w:rPr>
          <w:rFonts w:ascii="宋体" w:hAnsi="宋体"/>
          <w:szCs w:val="21"/>
        </w:rPr>
        <w:t>：营养液和基质的理化特点</w:t>
      </w:r>
      <w:r>
        <w:rPr>
          <w:rFonts w:ascii="宋体" w:hAnsi="宋体" w:hint="eastAsia"/>
          <w:szCs w:val="21"/>
        </w:rPr>
        <w:t>。</w:t>
      </w:r>
    </w:p>
    <w:p w14:paraId="6D6F5F31" w14:textId="77777777" w:rsidR="00374000" w:rsidRDefault="00374000" w:rsidP="00374000">
      <w:pPr>
        <w:snapToGrid w:val="0"/>
        <w:spacing w:line="360" w:lineRule="auto"/>
        <w:ind w:firstLineChars="200" w:firstLine="422"/>
        <w:rPr>
          <w:szCs w:val="21"/>
        </w:rPr>
      </w:pPr>
      <w:r>
        <w:rPr>
          <w:b/>
          <w:bCs/>
          <w:szCs w:val="21"/>
        </w:rPr>
        <w:t xml:space="preserve">3. </w:t>
      </w:r>
      <w:r>
        <w:rPr>
          <w:rFonts w:ascii="宋体" w:hAnsi="宋体"/>
          <w:b/>
          <w:bCs/>
          <w:szCs w:val="21"/>
        </w:rPr>
        <w:t>熟练掌握</w:t>
      </w:r>
      <w:r>
        <w:rPr>
          <w:rFonts w:ascii="宋体" w:hAnsi="宋体"/>
          <w:szCs w:val="21"/>
        </w:rPr>
        <w:t>：营养液的配制和管理</w:t>
      </w:r>
      <w:r>
        <w:rPr>
          <w:rFonts w:ascii="宋体" w:hAnsi="宋体" w:hint="eastAsia"/>
          <w:szCs w:val="21"/>
        </w:rPr>
        <w:t>。</w:t>
      </w:r>
    </w:p>
    <w:p w14:paraId="64A3D3A9" w14:textId="77777777" w:rsidR="00374000" w:rsidRDefault="00374000" w:rsidP="00374000">
      <w:pPr>
        <w:snapToGrid w:val="0"/>
        <w:spacing w:beforeLines="50" w:before="156" w:line="360" w:lineRule="auto"/>
        <w:rPr>
          <w:rFonts w:ascii="宋体" w:hAnsi="宋体"/>
          <w:szCs w:val="21"/>
        </w:rPr>
      </w:pPr>
      <w:r>
        <w:rPr>
          <w:rFonts w:ascii="宋体" w:hAnsi="宋体" w:hint="eastAsia"/>
          <w:b/>
          <w:bCs/>
        </w:rPr>
        <w:t>（二）考核内容</w:t>
      </w:r>
    </w:p>
    <w:p w14:paraId="7BFBD3C8" w14:textId="77777777" w:rsidR="00374000" w:rsidRDefault="00374000" w:rsidP="00374000">
      <w:pPr>
        <w:spacing w:line="360" w:lineRule="auto"/>
        <w:ind w:firstLineChars="200" w:firstLine="420"/>
        <w:rPr>
          <w:rFonts w:ascii="宋体" w:hAnsi="宋体"/>
          <w:szCs w:val="21"/>
        </w:rPr>
      </w:pPr>
      <w:r>
        <w:rPr>
          <w:rFonts w:ascii="宋体" w:hAnsi="宋体" w:hint="eastAsia"/>
          <w:szCs w:val="21"/>
        </w:rPr>
        <w:t>知识：</w:t>
      </w:r>
      <w:r>
        <w:rPr>
          <w:rFonts w:ascii="宋体" w:hAnsi="宋体"/>
          <w:szCs w:val="21"/>
        </w:rPr>
        <w:t>无土栽培的概念、类型、营养液的构成和管理、无土栽培的应用等。</w:t>
      </w:r>
    </w:p>
    <w:p w14:paraId="06F89440" w14:textId="77777777" w:rsidR="00374000" w:rsidRDefault="00374000" w:rsidP="00374000">
      <w:pPr>
        <w:spacing w:line="360" w:lineRule="auto"/>
        <w:ind w:firstLineChars="200" w:firstLine="420"/>
        <w:rPr>
          <w:szCs w:val="21"/>
        </w:rPr>
      </w:pPr>
      <w:r>
        <w:rPr>
          <w:rFonts w:ascii="宋体" w:hAnsi="宋体" w:hint="eastAsia"/>
          <w:szCs w:val="21"/>
        </w:rPr>
        <w:t>能力和素质：营养液和基质理化性质的测定及管理。</w:t>
      </w:r>
    </w:p>
    <w:p w14:paraId="095C00A5" w14:textId="77777777" w:rsidR="00374000" w:rsidRDefault="00374000" w:rsidP="00374000">
      <w:pPr>
        <w:snapToGrid w:val="0"/>
        <w:spacing w:beforeLines="50" w:before="156" w:line="360" w:lineRule="auto"/>
        <w:rPr>
          <w:rFonts w:ascii="宋体" w:hAnsi="宋体"/>
          <w:b/>
          <w:bCs/>
          <w:szCs w:val="21"/>
        </w:rPr>
      </w:pPr>
      <w:r>
        <w:rPr>
          <w:rFonts w:ascii="宋体" w:hAnsi="宋体" w:hint="eastAsia"/>
          <w:b/>
          <w:bCs/>
        </w:rPr>
        <w:t>（三）考核要求</w:t>
      </w:r>
    </w:p>
    <w:p w14:paraId="29915F8F" w14:textId="77777777" w:rsidR="00374000" w:rsidRDefault="00374000" w:rsidP="00374000">
      <w:pPr>
        <w:snapToGrid w:val="0"/>
        <w:spacing w:line="360" w:lineRule="auto"/>
        <w:ind w:firstLineChars="200" w:firstLine="422"/>
        <w:rPr>
          <w:b/>
          <w:bCs/>
          <w:szCs w:val="21"/>
        </w:rPr>
      </w:pPr>
      <w:r>
        <w:rPr>
          <w:b/>
          <w:bCs/>
          <w:szCs w:val="21"/>
        </w:rPr>
        <w:t>1</w:t>
      </w:r>
      <w:r>
        <w:rPr>
          <w:rFonts w:ascii="宋体" w:hAnsi="宋体"/>
          <w:b/>
          <w:bCs/>
          <w:szCs w:val="21"/>
        </w:rPr>
        <w:t>、识记</w:t>
      </w:r>
      <w:r>
        <w:rPr>
          <w:rFonts w:ascii="宋体" w:hAnsi="宋体"/>
          <w:szCs w:val="21"/>
        </w:rPr>
        <w:t>：营养液和基质的理化特性</w:t>
      </w:r>
      <w:r>
        <w:rPr>
          <w:rFonts w:ascii="宋体" w:hAnsi="宋体" w:hint="eastAsia"/>
          <w:szCs w:val="21"/>
        </w:rPr>
        <w:t>。</w:t>
      </w:r>
    </w:p>
    <w:p w14:paraId="490BAB78" w14:textId="77777777" w:rsidR="00374000" w:rsidRDefault="00374000" w:rsidP="00374000">
      <w:pPr>
        <w:snapToGrid w:val="0"/>
        <w:spacing w:line="360" w:lineRule="auto"/>
        <w:ind w:firstLineChars="200" w:firstLine="422"/>
        <w:rPr>
          <w:szCs w:val="21"/>
        </w:rPr>
      </w:pPr>
      <w:r>
        <w:rPr>
          <w:b/>
          <w:bCs/>
          <w:szCs w:val="21"/>
        </w:rPr>
        <w:t>2</w:t>
      </w:r>
      <w:r>
        <w:rPr>
          <w:rFonts w:ascii="宋体" w:hAnsi="宋体"/>
          <w:b/>
          <w:bCs/>
          <w:szCs w:val="21"/>
        </w:rPr>
        <w:t>、领会</w:t>
      </w:r>
      <w:r>
        <w:rPr>
          <w:rFonts w:ascii="宋体" w:hAnsi="宋体"/>
          <w:szCs w:val="21"/>
        </w:rPr>
        <w:t>：盖章无土栽培形式各个结构的功能</w:t>
      </w:r>
      <w:r>
        <w:rPr>
          <w:rFonts w:ascii="宋体" w:hAnsi="宋体" w:hint="eastAsia"/>
          <w:szCs w:val="21"/>
        </w:rPr>
        <w:t>。</w:t>
      </w:r>
    </w:p>
    <w:p w14:paraId="5FBDEF1C" w14:textId="77777777" w:rsidR="00374000" w:rsidRDefault="00374000" w:rsidP="00374000">
      <w:pPr>
        <w:snapToGrid w:val="0"/>
        <w:spacing w:line="360" w:lineRule="auto"/>
        <w:ind w:firstLineChars="200" w:firstLine="422"/>
        <w:rPr>
          <w:b/>
          <w:bCs/>
          <w:szCs w:val="21"/>
        </w:rPr>
      </w:pPr>
      <w:r>
        <w:rPr>
          <w:b/>
          <w:bCs/>
          <w:szCs w:val="21"/>
        </w:rPr>
        <w:t>3</w:t>
      </w:r>
      <w:r>
        <w:rPr>
          <w:rFonts w:ascii="宋体" w:hAnsi="宋体"/>
          <w:b/>
          <w:bCs/>
          <w:szCs w:val="21"/>
        </w:rPr>
        <w:t>、应用</w:t>
      </w:r>
      <w:r>
        <w:rPr>
          <w:rFonts w:ascii="宋体" w:hAnsi="宋体"/>
          <w:szCs w:val="21"/>
        </w:rPr>
        <w:t>：无土栽培技术的关键程序</w:t>
      </w:r>
      <w:r>
        <w:rPr>
          <w:rFonts w:ascii="宋体" w:hAnsi="宋体" w:hint="eastAsia"/>
          <w:szCs w:val="21"/>
        </w:rPr>
        <w:t>。</w:t>
      </w:r>
    </w:p>
    <w:p w14:paraId="148B012E" w14:textId="77777777" w:rsidR="00374000" w:rsidRDefault="00374000" w:rsidP="00374000">
      <w:pPr>
        <w:snapToGrid w:val="0"/>
        <w:spacing w:line="360" w:lineRule="auto"/>
        <w:ind w:firstLineChars="200" w:firstLine="422"/>
        <w:rPr>
          <w:b/>
          <w:bCs/>
          <w:szCs w:val="21"/>
        </w:rPr>
      </w:pPr>
      <w:r>
        <w:rPr>
          <w:b/>
          <w:bCs/>
          <w:szCs w:val="21"/>
        </w:rPr>
        <w:t>4</w:t>
      </w:r>
      <w:r>
        <w:rPr>
          <w:rFonts w:ascii="宋体" w:hAnsi="宋体"/>
          <w:b/>
          <w:bCs/>
          <w:szCs w:val="21"/>
        </w:rPr>
        <w:t>、综合</w:t>
      </w:r>
      <w:r>
        <w:rPr>
          <w:rFonts w:ascii="宋体" w:hAnsi="宋体"/>
          <w:szCs w:val="21"/>
        </w:rPr>
        <w:t>：能够设计无土栽培类型</w:t>
      </w:r>
      <w:r>
        <w:rPr>
          <w:rFonts w:ascii="宋体" w:hAnsi="宋体" w:hint="eastAsia"/>
          <w:szCs w:val="21"/>
        </w:rPr>
        <w:t>。</w:t>
      </w:r>
    </w:p>
    <w:p w14:paraId="33B90CCA" w14:textId="77777777" w:rsidR="00374000" w:rsidRDefault="00374000" w:rsidP="00374000">
      <w:pPr>
        <w:snapToGrid w:val="0"/>
        <w:spacing w:line="360" w:lineRule="auto"/>
        <w:rPr>
          <w:rFonts w:ascii="宋体" w:hAnsi="宋体"/>
          <w:b/>
          <w:bCs/>
          <w:szCs w:val="21"/>
        </w:rPr>
      </w:pPr>
    </w:p>
    <w:p w14:paraId="5D2C7B5F" w14:textId="77777777" w:rsidR="00374000" w:rsidRDefault="00374000" w:rsidP="00374000">
      <w:pPr>
        <w:snapToGrid w:val="0"/>
        <w:spacing w:line="360" w:lineRule="auto"/>
        <w:rPr>
          <w:rFonts w:ascii="宋体" w:hAnsi="宋体"/>
          <w:b/>
          <w:szCs w:val="21"/>
        </w:rPr>
      </w:pPr>
      <w:r>
        <w:rPr>
          <w:rFonts w:ascii="宋体" w:hAnsi="宋体" w:hint="eastAsia"/>
          <w:b/>
          <w:szCs w:val="21"/>
        </w:rPr>
        <w:t>三、实验、实习教学部分的考核要求</w:t>
      </w:r>
    </w:p>
    <w:p w14:paraId="0E85CB20" w14:textId="77777777" w:rsidR="00374000" w:rsidRDefault="00374000" w:rsidP="00374000">
      <w:pPr>
        <w:snapToGrid w:val="0"/>
        <w:spacing w:line="360" w:lineRule="auto"/>
        <w:ind w:firstLineChars="200" w:firstLine="420"/>
        <w:rPr>
          <w:rFonts w:ascii="宋体" w:hAnsi="Calibri"/>
          <w:szCs w:val="21"/>
        </w:rPr>
      </w:pPr>
      <w:r>
        <w:rPr>
          <w:rFonts w:ascii="宋体" w:hAnsi="宋体" w:hint="eastAsia"/>
          <w:szCs w:val="21"/>
        </w:rPr>
        <w:t>1.具有良好的团队精神，在实验操作与实习过程中能够相互协作、相互帮助。</w:t>
      </w:r>
    </w:p>
    <w:p w14:paraId="3DCE3569" w14:textId="77777777" w:rsidR="00374000" w:rsidRDefault="00374000" w:rsidP="00374000">
      <w:pPr>
        <w:snapToGrid w:val="0"/>
        <w:spacing w:line="360" w:lineRule="auto"/>
        <w:ind w:firstLineChars="200" w:firstLine="420"/>
        <w:rPr>
          <w:rFonts w:ascii="宋体" w:hAnsi="Calibri"/>
          <w:szCs w:val="21"/>
        </w:rPr>
      </w:pPr>
      <w:r>
        <w:rPr>
          <w:rFonts w:ascii="宋体" w:hAnsi="宋体" w:hint="eastAsia"/>
          <w:szCs w:val="21"/>
        </w:rPr>
        <w:t>2.能够正确使用实验中所使用的仪器设备，规范操作。</w:t>
      </w:r>
    </w:p>
    <w:p w14:paraId="2AE3CC1F" w14:textId="77777777" w:rsidR="00374000" w:rsidRDefault="00374000" w:rsidP="00374000">
      <w:pPr>
        <w:snapToGrid w:val="0"/>
        <w:spacing w:line="360" w:lineRule="auto"/>
        <w:ind w:firstLineChars="200" w:firstLine="420"/>
        <w:rPr>
          <w:rFonts w:ascii="宋体" w:hAnsi="Calibri"/>
          <w:szCs w:val="21"/>
        </w:rPr>
      </w:pPr>
      <w:r>
        <w:rPr>
          <w:rFonts w:ascii="宋体" w:hAnsi="宋体" w:hint="eastAsia"/>
          <w:szCs w:val="21"/>
        </w:rPr>
        <w:t>3.能够根据实验与实习的任务、目的，设计合理的实验、实习方案与步骤，并合理安排。</w:t>
      </w:r>
    </w:p>
    <w:p w14:paraId="001A85FA" w14:textId="77777777" w:rsidR="00374000" w:rsidRDefault="00374000" w:rsidP="00374000">
      <w:pPr>
        <w:snapToGrid w:val="0"/>
        <w:spacing w:line="360" w:lineRule="auto"/>
        <w:ind w:firstLineChars="200" w:firstLine="420"/>
        <w:rPr>
          <w:rFonts w:ascii="宋体" w:hAnsi="Calibri"/>
          <w:szCs w:val="21"/>
        </w:rPr>
      </w:pPr>
      <w:r>
        <w:rPr>
          <w:rFonts w:ascii="宋体" w:hAnsi="宋体"/>
          <w:szCs w:val="21"/>
        </w:rPr>
        <w:t>4</w:t>
      </w:r>
      <w:r>
        <w:rPr>
          <w:rFonts w:ascii="宋体" w:hAnsi="宋体" w:hint="eastAsia"/>
          <w:szCs w:val="21"/>
        </w:rPr>
        <w:t>.正确分析试验结果，能够结合理论知识，对实验现象、实验结果做出正确合理的解释。</w:t>
      </w:r>
    </w:p>
    <w:p w14:paraId="14926A97" w14:textId="77777777" w:rsidR="00374000" w:rsidRDefault="00374000" w:rsidP="00374000">
      <w:pPr>
        <w:snapToGrid w:val="0"/>
        <w:spacing w:line="360" w:lineRule="auto"/>
        <w:ind w:firstLineChars="200" w:firstLine="420"/>
        <w:rPr>
          <w:rFonts w:ascii="宋体" w:hAnsi="宋体"/>
          <w:szCs w:val="21"/>
        </w:rPr>
      </w:pPr>
      <w:r>
        <w:rPr>
          <w:rFonts w:ascii="宋体" w:hAnsi="宋体"/>
          <w:szCs w:val="21"/>
        </w:rPr>
        <w:t>5</w:t>
      </w:r>
      <w:r>
        <w:rPr>
          <w:rFonts w:ascii="宋体" w:hAnsi="宋体" w:hint="eastAsia"/>
          <w:szCs w:val="21"/>
        </w:rPr>
        <w:t>.掌握正确的数据处理方法，能够独立撰写实验、实习报告。</w:t>
      </w:r>
    </w:p>
    <w:p w14:paraId="500FE11F" w14:textId="77777777" w:rsidR="00374000" w:rsidRDefault="00374000" w:rsidP="00374000">
      <w:pPr>
        <w:snapToGrid w:val="0"/>
        <w:spacing w:line="360" w:lineRule="auto"/>
        <w:rPr>
          <w:rFonts w:ascii="宋体" w:hAnsi="宋体"/>
          <w:b/>
          <w:szCs w:val="21"/>
        </w:rPr>
      </w:pPr>
      <w:r>
        <w:rPr>
          <w:rFonts w:ascii="宋体" w:hAnsi="宋体" w:hint="eastAsia"/>
          <w:b/>
          <w:szCs w:val="21"/>
        </w:rPr>
        <w:t>四、考核方式</w:t>
      </w:r>
    </w:p>
    <w:p w14:paraId="0C3C484C" w14:textId="77777777" w:rsidR="00374000" w:rsidRDefault="00374000" w:rsidP="00374000">
      <w:pPr>
        <w:spacing w:line="400" w:lineRule="exact"/>
        <w:ind w:firstLineChars="200" w:firstLine="420"/>
        <w:rPr>
          <w:rFonts w:ascii="Calibri" w:hAnsi="Calibri"/>
          <w:szCs w:val="21"/>
        </w:rPr>
      </w:pPr>
      <w:r>
        <w:rPr>
          <w:rFonts w:ascii="宋体" w:hAnsi="宋体"/>
          <w:szCs w:val="21"/>
        </w:rPr>
        <w:t>本课程考核</w:t>
      </w:r>
      <w:r>
        <w:rPr>
          <w:rFonts w:ascii="宋体" w:hAnsi="宋体" w:hint="eastAsia"/>
          <w:szCs w:val="21"/>
        </w:rPr>
        <w:t>采用理论与实践教学相结合的方式进行。根据课程的学习情况，采用课堂提问、课堂测试、小组讨论、期中测试与期末考试或论文式测评等多种考核评价方式。平时成绩的考核方式包括课堂表现、线上学习（小测验）、课后作业、小组学习讨论、实验实践等。</w:t>
      </w:r>
    </w:p>
    <w:p w14:paraId="7FAE5616" w14:textId="77777777" w:rsidR="00374000" w:rsidRDefault="00374000" w:rsidP="00374000">
      <w:pPr>
        <w:snapToGrid w:val="0"/>
        <w:spacing w:beforeLines="50" w:before="156" w:line="360" w:lineRule="auto"/>
        <w:ind w:firstLineChars="200" w:firstLine="420"/>
        <w:rPr>
          <w:rFonts w:ascii="宋体" w:hAnsi="宋体"/>
          <w:szCs w:val="21"/>
        </w:rPr>
      </w:pPr>
      <w:r>
        <w:rPr>
          <w:rFonts w:ascii="宋体" w:hAnsi="宋体" w:hint="eastAsia"/>
          <w:szCs w:val="21"/>
        </w:rPr>
        <w:t>考试时间为课程结束后1～3周内进行，其他考核随课程单元学习过程的进展进行。</w:t>
      </w:r>
    </w:p>
    <w:p w14:paraId="5E2978F6" w14:textId="77777777" w:rsidR="00374000" w:rsidRDefault="00374000" w:rsidP="00374000">
      <w:pPr>
        <w:snapToGrid w:val="0"/>
        <w:spacing w:line="360" w:lineRule="auto"/>
        <w:rPr>
          <w:rFonts w:ascii="宋体" w:hAnsi="宋体"/>
          <w:b/>
          <w:szCs w:val="21"/>
        </w:rPr>
      </w:pPr>
      <w:r>
        <w:rPr>
          <w:rFonts w:ascii="宋体" w:hAnsi="宋体" w:hint="eastAsia"/>
          <w:b/>
          <w:szCs w:val="21"/>
        </w:rPr>
        <w:t>五、成绩评定</w:t>
      </w:r>
    </w:p>
    <w:p w14:paraId="78124FA7" w14:textId="77777777" w:rsidR="00374000" w:rsidRDefault="00374000" w:rsidP="00374000">
      <w:pPr>
        <w:snapToGrid w:val="0"/>
        <w:spacing w:line="360" w:lineRule="auto"/>
        <w:ind w:firstLineChars="200" w:firstLine="420"/>
        <w:rPr>
          <w:rFonts w:ascii="宋体" w:hAnsi="宋体"/>
          <w:szCs w:val="21"/>
        </w:rPr>
      </w:pPr>
      <w:r>
        <w:rPr>
          <w:rFonts w:ascii="宋体" w:hAnsi="宋体" w:hint="eastAsia"/>
          <w:szCs w:val="21"/>
        </w:rPr>
        <w:t>1.平时成绩</w:t>
      </w:r>
    </w:p>
    <w:p w14:paraId="7186B526" w14:textId="77777777" w:rsidR="00374000" w:rsidRDefault="00374000" w:rsidP="00374000">
      <w:pPr>
        <w:snapToGrid w:val="0"/>
        <w:spacing w:line="360" w:lineRule="auto"/>
        <w:ind w:firstLineChars="200" w:firstLine="420"/>
        <w:rPr>
          <w:rFonts w:ascii="宋体" w:hAnsi="宋体"/>
          <w:szCs w:val="21"/>
        </w:rPr>
      </w:pPr>
      <w:r>
        <w:rPr>
          <w:rFonts w:ascii="宋体" w:hAnsi="宋体" w:hint="eastAsia"/>
          <w:szCs w:val="21"/>
        </w:rPr>
        <w:t>平时成绩的考核环节包括作业完成情况以及课堂表现、考勤考纪等。</w:t>
      </w:r>
    </w:p>
    <w:p w14:paraId="57E059D4" w14:textId="77777777" w:rsidR="00374000" w:rsidRDefault="00374000" w:rsidP="00374000">
      <w:pPr>
        <w:snapToGrid w:val="0"/>
        <w:spacing w:line="360" w:lineRule="auto"/>
        <w:ind w:firstLineChars="200" w:firstLine="420"/>
        <w:rPr>
          <w:rFonts w:ascii="Calibri" w:hAnsi="Calibri"/>
          <w:szCs w:val="21"/>
        </w:rPr>
      </w:pPr>
      <w:r>
        <w:rPr>
          <w:rFonts w:ascii="Calibri" w:hAnsi="Calibri"/>
          <w:szCs w:val="21"/>
        </w:rPr>
        <w:t>2.</w:t>
      </w:r>
      <w:r>
        <w:rPr>
          <w:rFonts w:hint="eastAsia"/>
        </w:rPr>
        <w:t xml:space="preserve"> </w:t>
      </w:r>
      <w:r>
        <w:rPr>
          <w:rFonts w:ascii="Calibri" w:hAnsi="Calibri" w:hint="eastAsia"/>
          <w:szCs w:val="21"/>
        </w:rPr>
        <w:t>期末成绩</w:t>
      </w:r>
    </w:p>
    <w:p w14:paraId="54E310ED" w14:textId="77777777" w:rsidR="00374000" w:rsidRDefault="00374000" w:rsidP="00374000">
      <w:pPr>
        <w:snapToGrid w:val="0"/>
        <w:spacing w:beforeLines="50" w:before="156" w:line="360" w:lineRule="auto"/>
        <w:ind w:firstLineChars="200" w:firstLine="420"/>
        <w:rPr>
          <w:rFonts w:ascii="宋体" w:hAnsi="宋体"/>
          <w:szCs w:val="21"/>
        </w:rPr>
      </w:pPr>
      <w:r>
        <w:rPr>
          <w:rFonts w:ascii="宋体" w:hAnsi="宋体" w:hint="eastAsia"/>
          <w:szCs w:val="21"/>
        </w:rPr>
        <w:t>期末成绩以课程论文形式进行，占比6</w:t>
      </w:r>
      <w:r>
        <w:rPr>
          <w:rFonts w:ascii="宋体" w:hAnsi="宋体"/>
          <w:szCs w:val="21"/>
        </w:rPr>
        <w:t>0%</w:t>
      </w:r>
      <w:r>
        <w:rPr>
          <w:rFonts w:ascii="宋体" w:hAnsi="宋体" w:hint="eastAsia"/>
          <w:szCs w:val="21"/>
        </w:rPr>
        <w:t>。</w:t>
      </w:r>
    </w:p>
    <w:p w14:paraId="260D380E" w14:textId="77777777" w:rsidR="00374000" w:rsidRDefault="00374000" w:rsidP="00374000">
      <w:pPr>
        <w:snapToGrid w:val="0"/>
        <w:spacing w:beforeLines="50" w:before="156" w:line="360" w:lineRule="auto"/>
        <w:ind w:firstLineChars="200" w:firstLine="420"/>
        <w:rPr>
          <w:szCs w:val="21"/>
        </w:rPr>
      </w:pPr>
      <w:r>
        <w:rPr>
          <w:rFonts w:hint="eastAsia"/>
          <w:szCs w:val="21"/>
        </w:rPr>
        <w:lastRenderedPageBreak/>
        <w:t>3.</w:t>
      </w:r>
      <w:r>
        <w:rPr>
          <w:rFonts w:hint="eastAsia"/>
          <w:szCs w:val="21"/>
        </w:rPr>
        <w:t>综合成绩（平时成绩×</w:t>
      </w:r>
      <w:r>
        <w:rPr>
          <w:rFonts w:hint="eastAsia"/>
          <w:szCs w:val="21"/>
        </w:rPr>
        <w:t>4</w:t>
      </w:r>
      <w:r>
        <w:rPr>
          <w:szCs w:val="21"/>
        </w:rPr>
        <w:t>0%</w:t>
      </w:r>
      <w:r>
        <w:rPr>
          <w:rFonts w:hint="eastAsia"/>
          <w:szCs w:val="21"/>
        </w:rPr>
        <w:t>+</w:t>
      </w:r>
      <w:r>
        <w:rPr>
          <w:rFonts w:hint="eastAsia"/>
          <w:szCs w:val="21"/>
        </w:rPr>
        <w:t>期末成绩×</w:t>
      </w:r>
      <w:r>
        <w:rPr>
          <w:rFonts w:hint="eastAsia"/>
          <w:szCs w:val="21"/>
        </w:rPr>
        <w:t>6</w:t>
      </w:r>
      <w:r>
        <w:rPr>
          <w:szCs w:val="21"/>
        </w:rPr>
        <w:t>0</w:t>
      </w:r>
      <w:r>
        <w:rPr>
          <w:rFonts w:hint="eastAsia"/>
          <w:szCs w:val="21"/>
        </w:rPr>
        <w:t>%</w:t>
      </w:r>
      <w:r>
        <w:rPr>
          <w:rFonts w:hint="eastAsia"/>
          <w:szCs w:val="21"/>
        </w:rPr>
        <w:t>）</w:t>
      </w:r>
    </w:p>
    <w:p w14:paraId="642C3066" w14:textId="77777777" w:rsidR="00374000" w:rsidRDefault="00374000" w:rsidP="00374000">
      <w:pPr>
        <w:snapToGrid w:val="0"/>
        <w:spacing w:line="360" w:lineRule="auto"/>
        <w:rPr>
          <w:rFonts w:ascii="宋体" w:hAnsi="宋体"/>
          <w:b/>
          <w:szCs w:val="21"/>
        </w:rPr>
      </w:pPr>
      <w:r>
        <w:rPr>
          <w:rFonts w:ascii="宋体" w:hAnsi="宋体" w:hint="eastAsia"/>
          <w:b/>
          <w:szCs w:val="21"/>
        </w:rPr>
        <w:t>六、考核结果分析反馈</w:t>
      </w:r>
    </w:p>
    <w:p w14:paraId="0E49A58E" w14:textId="77777777" w:rsidR="00374000" w:rsidRDefault="00374000" w:rsidP="00374000">
      <w:pPr>
        <w:snapToGrid w:val="0"/>
        <w:spacing w:line="360" w:lineRule="auto"/>
        <w:ind w:firstLineChars="200" w:firstLine="420"/>
        <w:rPr>
          <w:rFonts w:ascii="宋体" w:hAnsi="宋体"/>
          <w:bCs/>
          <w:szCs w:val="21"/>
        </w:rPr>
      </w:pPr>
      <w:r>
        <w:rPr>
          <w:rFonts w:ascii="宋体" w:hAnsi="宋体" w:hint="eastAsia"/>
          <w:bCs/>
          <w:szCs w:val="21"/>
        </w:rPr>
        <w:t>1、通过作业的汇报与展示、实验操作实训、课堂提问等方式进行，教师对完成情况在课堂上进行指导与点评，及时进行反馈。</w:t>
      </w:r>
    </w:p>
    <w:p w14:paraId="3A60ECA9" w14:textId="77777777" w:rsidR="00374000" w:rsidRDefault="00374000" w:rsidP="00374000">
      <w:pPr>
        <w:snapToGrid w:val="0"/>
        <w:spacing w:line="360" w:lineRule="auto"/>
        <w:ind w:firstLineChars="200" w:firstLine="420"/>
      </w:pPr>
      <w:r>
        <w:rPr>
          <w:rFonts w:ascii="宋体" w:hAnsi="宋体"/>
          <w:bCs/>
          <w:szCs w:val="21"/>
        </w:rPr>
        <w:t>2</w:t>
      </w:r>
      <w:r>
        <w:rPr>
          <w:rFonts w:ascii="宋体" w:hAnsi="宋体" w:hint="eastAsia"/>
          <w:bCs/>
          <w:szCs w:val="21"/>
        </w:rPr>
        <w:t>、基于学生考核结果，学生评教及建议，改进课堂教学。</w:t>
      </w:r>
    </w:p>
    <w:p w14:paraId="222C7345" w14:textId="77777777" w:rsidR="00F5289E" w:rsidRDefault="00F5289E">
      <w:pPr>
        <w:pStyle w:val="afd"/>
        <w:spacing w:line="360" w:lineRule="auto"/>
        <w:jc w:val="left"/>
        <w:rPr>
          <w:rFonts w:eastAsiaTheme="minorEastAsia" w:hAnsiTheme="minorEastAsia"/>
          <w:szCs w:val="21"/>
        </w:rPr>
      </w:pPr>
    </w:p>
    <w:p w14:paraId="444CF597" w14:textId="4BEEB8C1" w:rsidR="00374000" w:rsidRDefault="00374000">
      <w:pPr>
        <w:widowControl/>
        <w:jc w:val="left"/>
        <w:rPr>
          <w:rFonts w:ascii="宋体" w:hAnsi="宋体" w:cs="Arial Unicode MS"/>
          <w:kern w:val="0"/>
        </w:rPr>
      </w:pPr>
      <w:r>
        <w:rPr>
          <w:rFonts w:ascii="宋体" w:hAnsi="宋体"/>
        </w:rPr>
        <w:br w:type="page"/>
      </w:r>
    </w:p>
    <w:p w14:paraId="0C4EE840" w14:textId="08A2EBC3" w:rsidR="00374000" w:rsidRPr="00374000" w:rsidRDefault="00374000" w:rsidP="00374000">
      <w:pPr>
        <w:pStyle w:val="1"/>
      </w:pPr>
      <w:bookmarkStart w:id="217" w:name="_Toc138606306"/>
      <w:r w:rsidRPr="00374000">
        <w:rPr>
          <w:rFonts w:hint="eastAsia"/>
        </w:rPr>
        <w:lastRenderedPageBreak/>
        <w:t>无土栽培学考核大纲</w:t>
      </w:r>
      <w:bookmarkEnd w:id="217"/>
    </w:p>
    <w:p w14:paraId="4A3084CA" w14:textId="77777777" w:rsidR="00374000" w:rsidRPr="00374000" w:rsidRDefault="00374000" w:rsidP="00374000">
      <w:pPr>
        <w:snapToGrid w:val="0"/>
        <w:spacing w:line="360" w:lineRule="auto"/>
        <w:jc w:val="center"/>
        <w:rPr>
          <w:color w:val="000000" w:themeColor="text1"/>
          <w:sz w:val="24"/>
        </w:rPr>
      </w:pPr>
      <w:r w:rsidRPr="00374000">
        <w:rPr>
          <w:color w:val="000000" w:themeColor="text1"/>
          <w:sz w:val="24"/>
        </w:rPr>
        <w:t>（</w:t>
      </w:r>
      <w:r w:rsidRPr="00374000">
        <w:rPr>
          <w:rFonts w:eastAsia="黑体" w:hAnsi="宋体" w:cs="宋体" w:hint="eastAsia"/>
          <w:color w:val="000000" w:themeColor="text1"/>
          <w:kern w:val="36"/>
          <w:sz w:val="24"/>
        </w:rPr>
        <w:t>Soilless Culture</w:t>
      </w:r>
      <w:r w:rsidRPr="00374000">
        <w:rPr>
          <w:color w:val="000000" w:themeColor="text1"/>
          <w:sz w:val="24"/>
        </w:rPr>
        <w:t>）</w:t>
      </w:r>
    </w:p>
    <w:p w14:paraId="4263134C" w14:textId="77777777" w:rsidR="00374000" w:rsidRDefault="00374000" w:rsidP="00374000">
      <w:pPr>
        <w:widowControl/>
        <w:wordWrap w:val="0"/>
        <w:spacing w:before="120" w:after="120"/>
        <w:jc w:val="center"/>
        <w:outlineLvl w:val="0"/>
        <w:rPr>
          <w:rFonts w:eastAsia="黑体" w:hAnsi="宋体" w:cs="宋体"/>
          <w:b/>
          <w:bCs/>
          <w:kern w:val="36"/>
          <w:sz w:val="24"/>
        </w:rPr>
      </w:pPr>
    </w:p>
    <w:p w14:paraId="6DE8233F" w14:textId="77777777" w:rsidR="00374000" w:rsidRPr="007A4EE3" w:rsidRDefault="00374000" w:rsidP="00374000">
      <w:pPr>
        <w:snapToGrid w:val="0"/>
        <w:spacing w:line="360" w:lineRule="auto"/>
        <w:jc w:val="center"/>
        <w:rPr>
          <w:b/>
          <w:szCs w:val="21"/>
        </w:rPr>
      </w:pPr>
      <w:r w:rsidRPr="007A4EE3">
        <w:rPr>
          <w:rFonts w:hint="eastAsia"/>
          <w:b/>
          <w:szCs w:val="21"/>
        </w:rPr>
        <w:t>课程基本信息</w:t>
      </w: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6"/>
        <w:gridCol w:w="2586"/>
        <w:gridCol w:w="3348"/>
      </w:tblGrid>
      <w:tr w:rsidR="00374000" w14:paraId="43E69355" w14:textId="77777777" w:rsidTr="00C91173">
        <w:tc>
          <w:tcPr>
            <w:tcW w:w="1666" w:type="pct"/>
          </w:tcPr>
          <w:p w14:paraId="7D9D2384" w14:textId="77777777" w:rsidR="00374000" w:rsidRDefault="00374000" w:rsidP="00374000">
            <w:pPr>
              <w:spacing w:line="300" w:lineRule="auto"/>
              <w:rPr>
                <w:rFonts w:ascii="宋体" w:hAnsi="宋体"/>
                <w:b/>
                <w:bCs/>
                <w:szCs w:val="21"/>
              </w:rPr>
            </w:pPr>
            <w:r>
              <w:rPr>
                <w:rFonts w:ascii="宋体" w:hAnsi="宋体" w:hint="eastAsia"/>
                <w:b/>
                <w:bCs/>
                <w:szCs w:val="21"/>
              </w:rPr>
              <w:t>课程编号：</w:t>
            </w:r>
            <w:r w:rsidRPr="00374000">
              <w:rPr>
                <w:rFonts w:ascii="宋体" w:hAnsi="宋体"/>
                <w:szCs w:val="21"/>
              </w:rPr>
              <w:t>19011163</w:t>
            </w:r>
          </w:p>
        </w:tc>
        <w:tc>
          <w:tcPr>
            <w:tcW w:w="1453" w:type="pct"/>
          </w:tcPr>
          <w:p w14:paraId="10687412" w14:textId="77777777" w:rsidR="00374000" w:rsidRDefault="00374000" w:rsidP="00374000">
            <w:pPr>
              <w:spacing w:line="300" w:lineRule="auto"/>
              <w:rPr>
                <w:rFonts w:ascii="宋体" w:hAnsi="宋体"/>
                <w:b/>
                <w:bCs/>
                <w:szCs w:val="21"/>
              </w:rPr>
            </w:pPr>
            <w:r>
              <w:rPr>
                <w:rFonts w:ascii="宋体" w:hAnsi="宋体" w:hint="eastAsia"/>
                <w:b/>
                <w:bCs/>
                <w:szCs w:val="21"/>
              </w:rPr>
              <w:t>课程学时：</w:t>
            </w:r>
            <w:r w:rsidRPr="00374000">
              <w:rPr>
                <w:rFonts w:ascii="宋体" w:hAnsi="宋体" w:hint="eastAsia"/>
                <w:szCs w:val="21"/>
              </w:rPr>
              <w:t>32</w:t>
            </w:r>
          </w:p>
        </w:tc>
        <w:tc>
          <w:tcPr>
            <w:tcW w:w="1881" w:type="pct"/>
          </w:tcPr>
          <w:p w14:paraId="1239866C" w14:textId="77777777" w:rsidR="00374000" w:rsidRDefault="00374000" w:rsidP="00374000">
            <w:pPr>
              <w:spacing w:line="300" w:lineRule="auto"/>
              <w:rPr>
                <w:rFonts w:ascii="宋体" w:hAnsi="宋体"/>
                <w:b/>
                <w:bCs/>
                <w:szCs w:val="21"/>
              </w:rPr>
            </w:pPr>
            <w:r>
              <w:rPr>
                <w:rFonts w:ascii="宋体" w:hAnsi="宋体" w:hint="eastAsia"/>
                <w:b/>
                <w:bCs/>
                <w:szCs w:val="21"/>
              </w:rPr>
              <w:t>课程学分</w:t>
            </w:r>
            <w:r w:rsidRPr="00374000">
              <w:rPr>
                <w:rFonts w:ascii="宋体" w:hAnsi="宋体" w:hint="eastAsia"/>
                <w:szCs w:val="21"/>
              </w:rPr>
              <w:t>：2</w:t>
            </w:r>
          </w:p>
        </w:tc>
      </w:tr>
      <w:tr w:rsidR="00374000" w14:paraId="3D871F46" w14:textId="77777777" w:rsidTr="00C91173">
        <w:tc>
          <w:tcPr>
            <w:tcW w:w="1666" w:type="pct"/>
          </w:tcPr>
          <w:p w14:paraId="7FAF0342" w14:textId="77777777" w:rsidR="00374000" w:rsidRDefault="00374000" w:rsidP="00374000">
            <w:pPr>
              <w:spacing w:line="300" w:lineRule="auto"/>
              <w:rPr>
                <w:rFonts w:ascii="宋体" w:hAnsi="宋体"/>
                <w:b/>
                <w:bCs/>
                <w:szCs w:val="21"/>
              </w:rPr>
            </w:pPr>
            <w:r>
              <w:rPr>
                <w:rFonts w:ascii="宋体" w:hAnsi="宋体" w:hint="eastAsia"/>
                <w:b/>
                <w:bCs/>
                <w:szCs w:val="21"/>
              </w:rPr>
              <w:t>主撰人：</w:t>
            </w:r>
            <w:r w:rsidRPr="00374000">
              <w:rPr>
                <w:rFonts w:ascii="宋体" w:hAnsi="宋体" w:hint="eastAsia"/>
                <w:szCs w:val="21"/>
              </w:rPr>
              <w:t>吴帼秀</w:t>
            </w:r>
          </w:p>
        </w:tc>
        <w:tc>
          <w:tcPr>
            <w:tcW w:w="1453" w:type="pct"/>
          </w:tcPr>
          <w:p w14:paraId="781D03F1" w14:textId="5264C9CB" w:rsidR="00374000" w:rsidRDefault="00374000" w:rsidP="00374000">
            <w:pPr>
              <w:spacing w:line="300" w:lineRule="auto"/>
              <w:rPr>
                <w:rFonts w:ascii="宋体" w:hAnsi="宋体"/>
                <w:b/>
                <w:bCs/>
                <w:szCs w:val="21"/>
              </w:rPr>
            </w:pPr>
            <w:r>
              <w:rPr>
                <w:rFonts w:ascii="宋体" w:hAnsi="宋体" w:hint="eastAsia"/>
                <w:b/>
                <w:bCs/>
                <w:szCs w:val="21"/>
              </w:rPr>
              <w:t>审核人：</w:t>
            </w:r>
            <w:r w:rsidRPr="00374000">
              <w:rPr>
                <w:rFonts w:ascii="宋体" w:hAnsi="宋体" w:hint="eastAsia"/>
                <w:szCs w:val="21"/>
              </w:rPr>
              <w:t>李阳</w:t>
            </w:r>
          </w:p>
        </w:tc>
        <w:tc>
          <w:tcPr>
            <w:tcW w:w="1881" w:type="pct"/>
          </w:tcPr>
          <w:p w14:paraId="0C2D3641" w14:textId="6FF820F1" w:rsidR="00374000" w:rsidRDefault="00374000" w:rsidP="00374000">
            <w:pPr>
              <w:spacing w:line="300" w:lineRule="auto"/>
              <w:rPr>
                <w:rFonts w:ascii="宋体" w:hAnsi="宋体"/>
                <w:b/>
                <w:bCs/>
                <w:szCs w:val="21"/>
              </w:rPr>
            </w:pPr>
            <w:r>
              <w:rPr>
                <w:rFonts w:ascii="宋体" w:hAnsi="宋体" w:hint="eastAsia"/>
                <w:b/>
                <w:bCs/>
                <w:szCs w:val="21"/>
              </w:rPr>
              <w:t>大纲制定（修订）日期：</w:t>
            </w:r>
            <w:r w:rsidRPr="00374000">
              <w:rPr>
                <w:rFonts w:ascii="宋体" w:hAnsi="宋体" w:hint="eastAsia"/>
                <w:szCs w:val="21"/>
              </w:rPr>
              <w:t>20</w:t>
            </w:r>
            <w:r w:rsidRPr="00374000">
              <w:rPr>
                <w:rFonts w:ascii="宋体" w:hAnsi="宋体"/>
                <w:szCs w:val="21"/>
              </w:rPr>
              <w:t>2</w:t>
            </w:r>
            <w:r>
              <w:rPr>
                <w:rFonts w:ascii="宋体" w:hAnsi="宋体"/>
                <w:szCs w:val="21"/>
              </w:rPr>
              <w:t>3.05</w:t>
            </w:r>
          </w:p>
        </w:tc>
      </w:tr>
    </w:tbl>
    <w:p w14:paraId="03C79B19" w14:textId="77777777" w:rsidR="00374000" w:rsidRPr="000E3C10" w:rsidRDefault="00374000" w:rsidP="000E3C10">
      <w:pPr>
        <w:pStyle w:val="a7"/>
        <w:ind w:firstLineChars="0" w:firstLine="0"/>
        <w:rPr>
          <w:b/>
          <w:bCs/>
        </w:rPr>
      </w:pPr>
      <w:r w:rsidRPr="000E3C10">
        <w:rPr>
          <w:rFonts w:hint="eastAsia"/>
          <w:b/>
          <w:bCs/>
        </w:rPr>
        <w:t>一、课程的性质和地位</w:t>
      </w:r>
    </w:p>
    <w:p w14:paraId="1B95B951" w14:textId="77777777" w:rsidR="00374000" w:rsidRDefault="00374000" w:rsidP="00374000">
      <w:pPr>
        <w:widowControl/>
        <w:spacing w:line="360" w:lineRule="auto"/>
        <w:ind w:firstLineChars="175" w:firstLine="368"/>
        <w:jc w:val="left"/>
        <w:rPr>
          <w:rFonts w:cs="宋体"/>
          <w:bCs/>
          <w:kern w:val="0"/>
          <w:szCs w:val="21"/>
        </w:rPr>
      </w:pPr>
      <w:r w:rsidRPr="00CB6100">
        <w:rPr>
          <w:rFonts w:hint="eastAsia"/>
          <w:szCs w:val="21"/>
        </w:rPr>
        <w:t>《无土栽培学》是一门研究无土栽培</w:t>
      </w:r>
      <w:r>
        <w:rPr>
          <w:rFonts w:hint="eastAsia"/>
          <w:szCs w:val="21"/>
        </w:rPr>
        <w:t>技术原理、栽培方式和管理技术的一门综合性应用科学，是园艺学院的公共选修课程。</w:t>
      </w:r>
      <w:r w:rsidRPr="00CB6100">
        <w:rPr>
          <w:rFonts w:hint="eastAsia"/>
          <w:szCs w:val="21"/>
        </w:rPr>
        <w:t>通过本课程的学习，认识植物在无土栽培条件下对养分、水分、氧气的需求规律，掌握营养液的配制及管理技术、固体基质的性质及选配原则、常用无土栽培生产设施与管理办法，为从事无土栽培生产及科学研究奠定基础，并为改造传统农业及在不适宜作物生产的地方提供新的思路与方法。</w:t>
      </w:r>
    </w:p>
    <w:p w14:paraId="59F32AD8" w14:textId="77777777" w:rsidR="00374000" w:rsidRDefault="00374000" w:rsidP="00374000">
      <w:pPr>
        <w:snapToGrid w:val="0"/>
        <w:spacing w:beforeLines="50" w:before="156" w:line="360" w:lineRule="auto"/>
        <w:rPr>
          <w:rFonts w:ascii="宋体" w:hAnsi="宋体"/>
          <w:b/>
          <w:szCs w:val="21"/>
        </w:rPr>
      </w:pPr>
      <w:r w:rsidRPr="009D66AA">
        <w:rPr>
          <w:rFonts w:ascii="宋体" w:hAnsi="宋体" w:hint="eastAsia"/>
          <w:b/>
          <w:szCs w:val="21"/>
        </w:rPr>
        <w:t>二、</w:t>
      </w:r>
      <w:r>
        <w:rPr>
          <w:rFonts w:ascii="宋体" w:hAnsi="宋体" w:hint="eastAsia"/>
          <w:b/>
          <w:szCs w:val="21"/>
        </w:rPr>
        <w:t>考核方式</w:t>
      </w:r>
    </w:p>
    <w:p w14:paraId="60BF992D" w14:textId="77777777" w:rsidR="00374000" w:rsidRPr="00345B3E" w:rsidRDefault="00374000" w:rsidP="00374000">
      <w:pPr>
        <w:spacing w:line="360" w:lineRule="auto"/>
        <w:ind w:firstLineChars="200" w:firstLine="420"/>
        <w:rPr>
          <w:rFonts w:ascii="宋体" w:hAnsi="宋体"/>
          <w:szCs w:val="21"/>
        </w:rPr>
      </w:pPr>
      <w:r>
        <w:rPr>
          <w:rFonts w:ascii="宋体" w:hAnsi="宋体" w:hint="eastAsia"/>
          <w:szCs w:val="21"/>
        </w:rPr>
        <w:t>1. 过程性</w:t>
      </w:r>
      <w:r>
        <w:rPr>
          <w:rFonts w:ascii="宋体" w:hAnsi="宋体"/>
          <w:szCs w:val="21"/>
        </w:rPr>
        <w:t>考核</w:t>
      </w:r>
      <w:r>
        <w:rPr>
          <w:rFonts w:ascii="宋体" w:hAnsi="宋体" w:hint="eastAsia"/>
          <w:szCs w:val="21"/>
        </w:rPr>
        <w:t>：包括</w:t>
      </w:r>
      <w:r w:rsidRPr="003A6AF5">
        <w:rPr>
          <w:rFonts w:hAnsi="宋体" w:hint="eastAsia"/>
          <w:bCs/>
          <w:kern w:val="0"/>
          <w:szCs w:val="21"/>
        </w:rPr>
        <w:t>线上</w:t>
      </w:r>
      <w:r w:rsidRPr="003A6AF5">
        <w:rPr>
          <w:rFonts w:hAnsi="宋体"/>
          <w:bCs/>
          <w:kern w:val="0"/>
          <w:szCs w:val="21"/>
        </w:rPr>
        <w:t>学习、课后作业、实验报告、考勤</w:t>
      </w:r>
      <w:r>
        <w:rPr>
          <w:rFonts w:hAnsi="宋体" w:hint="eastAsia"/>
          <w:bCs/>
          <w:kern w:val="0"/>
          <w:szCs w:val="21"/>
        </w:rPr>
        <w:t>、</w:t>
      </w:r>
      <w:r>
        <w:rPr>
          <w:rFonts w:hAnsi="宋体"/>
          <w:bCs/>
          <w:kern w:val="0"/>
          <w:szCs w:val="21"/>
        </w:rPr>
        <w:t>提问讨论</w:t>
      </w:r>
      <w:r>
        <w:rPr>
          <w:rFonts w:hAnsi="宋体" w:hint="eastAsia"/>
          <w:bCs/>
          <w:kern w:val="0"/>
          <w:szCs w:val="21"/>
        </w:rPr>
        <w:t>等。</w:t>
      </w:r>
    </w:p>
    <w:p w14:paraId="31644517" w14:textId="77777777" w:rsidR="00374000" w:rsidRDefault="00374000" w:rsidP="00374000">
      <w:pPr>
        <w:spacing w:line="360" w:lineRule="auto"/>
        <w:ind w:firstLineChars="200" w:firstLine="420"/>
        <w:rPr>
          <w:rFonts w:hAnsi="宋体"/>
          <w:bCs/>
          <w:kern w:val="0"/>
          <w:szCs w:val="21"/>
        </w:rPr>
      </w:pPr>
      <w:r>
        <w:rPr>
          <w:rFonts w:hAnsi="宋体"/>
          <w:bCs/>
          <w:kern w:val="0"/>
          <w:szCs w:val="21"/>
        </w:rPr>
        <w:t xml:space="preserve">2. </w:t>
      </w:r>
      <w:r>
        <w:rPr>
          <w:rFonts w:hAnsi="宋体" w:hint="eastAsia"/>
          <w:bCs/>
          <w:kern w:val="0"/>
          <w:szCs w:val="21"/>
        </w:rPr>
        <w:t>终结</w:t>
      </w:r>
      <w:r>
        <w:rPr>
          <w:rFonts w:hAnsi="宋体"/>
          <w:bCs/>
          <w:kern w:val="0"/>
          <w:szCs w:val="21"/>
        </w:rPr>
        <w:t>性考核</w:t>
      </w:r>
      <w:r>
        <w:rPr>
          <w:rFonts w:hAnsi="宋体" w:hint="eastAsia"/>
          <w:bCs/>
          <w:kern w:val="0"/>
          <w:szCs w:val="21"/>
        </w:rPr>
        <w:t>：</w:t>
      </w:r>
      <w:r>
        <w:rPr>
          <w:rFonts w:hAnsi="宋体"/>
          <w:bCs/>
          <w:kern w:val="0"/>
          <w:szCs w:val="21"/>
        </w:rPr>
        <w:t>课程论文。</w:t>
      </w:r>
    </w:p>
    <w:p w14:paraId="6EBB52DA" w14:textId="77777777" w:rsidR="00374000" w:rsidRPr="00B93A5F" w:rsidRDefault="00374000" w:rsidP="00374000">
      <w:pPr>
        <w:snapToGrid w:val="0"/>
        <w:spacing w:line="360" w:lineRule="auto"/>
        <w:ind w:firstLineChars="200" w:firstLine="420"/>
        <w:rPr>
          <w:rFonts w:ascii="宋体" w:hAnsi="宋体"/>
          <w:b/>
          <w:szCs w:val="21"/>
        </w:rPr>
      </w:pPr>
      <w:r w:rsidRPr="00B93A5F">
        <w:rPr>
          <w:rFonts w:ascii="宋体" w:hAnsi="宋体"/>
          <w:szCs w:val="21"/>
        </w:rPr>
        <w:t>课程论文写作要求</w:t>
      </w:r>
      <w:r w:rsidRPr="00B93A5F">
        <w:rPr>
          <w:rFonts w:ascii="宋体" w:hAnsi="宋体" w:hint="eastAsia"/>
          <w:szCs w:val="21"/>
        </w:rPr>
        <w:t>：</w:t>
      </w:r>
      <w:r w:rsidRPr="00B93A5F">
        <w:rPr>
          <w:rFonts w:ascii="宋体" w:hAnsi="宋体"/>
          <w:szCs w:val="21"/>
        </w:rPr>
        <w:t>与</w:t>
      </w:r>
      <w:r w:rsidRPr="00345B3E">
        <w:rPr>
          <w:rFonts w:ascii="宋体" w:hAnsi="宋体"/>
          <w:szCs w:val="21"/>
        </w:rPr>
        <w:t>无土栽培有关的各个方面均可，可以是无土栽培综述，也可对某一方面展开论述，选题要新颖，不要大篇幅摘抄教材或课件内容</w:t>
      </w:r>
      <w:r w:rsidRPr="00B93A5F">
        <w:rPr>
          <w:rFonts w:ascii="宋体" w:hAnsi="宋体" w:hint="eastAsia"/>
          <w:szCs w:val="21"/>
        </w:rPr>
        <w:t>，</w:t>
      </w:r>
      <w:r w:rsidRPr="00B93A5F">
        <w:rPr>
          <w:rFonts w:ascii="宋体" w:hAnsi="宋体"/>
          <w:szCs w:val="21"/>
        </w:rPr>
        <w:t>3</w:t>
      </w:r>
      <w:r w:rsidRPr="00345B3E">
        <w:rPr>
          <w:rFonts w:ascii="宋体" w:hAnsi="宋体"/>
          <w:szCs w:val="21"/>
        </w:rPr>
        <w:t>000字</w:t>
      </w:r>
      <w:r w:rsidRPr="00345B3E">
        <w:rPr>
          <w:rFonts w:ascii="宋体" w:hAnsi="宋体" w:hint="eastAsia"/>
          <w:szCs w:val="21"/>
        </w:rPr>
        <w:t>以上</w:t>
      </w:r>
      <w:r>
        <w:rPr>
          <w:rFonts w:ascii="宋体" w:hAnsi="宋体" w:hint="eastAsia"/>
          <w:szCs w:val="21"/>
        </w:rPr>
        <w:t>。</w:t>
      </w:r>
    </w:p>
    <w:p w14:paraId="23666AAF" w14:textId="77777777" w:rsidR="00374000" w:rsidRPr="00A97DFA" w:rsidRDefault="00374000" w:rsidP="00374000">
      <w:pPr>
        <w:snapToGrid w:val="0"/>
        <w:spacing w:line="360" w:lineRule="auto"/>
        <w:rPr>
          <w:rFonts w:ascii="宋体" w:hAnsi="宋体"/>
          <w:b/>
          <w:szCs w:val="21"/>
        </w:rPr>
      </w:pPr>
      <w:r>
        <w:rPr>
          <w:rFonts w:ascii="宋体" w:hAnsi="宋体" w:hint="eastAsia"/>
          <w:b/>
          <w:szCs w:val="21"/>
        </w:rPr>
        <w:t>三</w:t>
      </w:r>
      <w:r w:rsidRPr="00A97DFA">
        <w:rPr>
          <w:rFonts w:ascii="宋体" w:hAnsi="宋体" w:hint="eastAsia"/>
          <w:b/>
          <w:szCs w:val="21"/>
        </w:rPr>
        <w:t>、成绩评定</w:t>
      </w:r>
    </w:p>
    <w:p w14:paraId="2B178E39" w14:textId="77777777" w:rsidR="00374000" w:rsidRDefault="00374000" w:rsidP="00374000">
      <w:pPr>
        <w:spacing w:line="360" w:lineRule="auto"/>
        <w:ind w:firstLineChars="200" w:firstLine="420"/>
        <w:rPr>
          <w:rFonts w:ascii="宋体" w:hAnsi="宋体"/>
          <w:szCs w:val="21"/>
        </w:rPr>
      </w:pPr>
      <w:r>
        <w:rPr>
          <w:rFonts w:ascii="宋体" w:hAnsi="宋体" w:hint="eastAsia"/>
          <w:szCs w:val="21"/>
        </w:rPr>
        <w:t>1. 平时</w:t>
      </w:r>
      <w:r>
        <w:rPr>
          <w:rFonts w:ascii="宋体" w:hAnsi="宋体"/>
          <w:szCs w:val="21"/>
        </w:rPr>
        <w:t>成绩</w:t>
      </w:r>
      <w:r>
        <w:rPr>
          <w:rFonts w:ascii="宋体" w:hAnsi="宋体" w:hint="eastAsia"/>
          <w:szCs w:val="21"/>
        </w:rPr>
        <w:t>：包括课堂</w:t>
      </w:r>
      <w:r>
        <w:rPr>
          <w:rFonts w:ascii="宋体" w:hAnsi="宋体"/>
          <w:szCs w:val="21"/>
        </w:rPr>
        <w:t>表现、</w:t>
      </w:r>
      <w:r>
        <w:rPr>
          <w:rFonts w:ascii="宋体" w:hAnsi="宋体" w:hint="eastAsia"/>
          <w:szCs w:val="21"/>
        </w:rPr>
        <w:t>课后</w:t>
      </w:r>
      <w:r>
        <w:rPr>
          <w:rFonts w:ascii="宋体" w:hAnsi="宋体"/>
          <w:szCs w:val="21"/>
        </w:rPr>
        <w:t>作业、</w:t>
      </w:r>
      <w:r>
        <w:rPr>
          <w:rFonts w:ascii="宋体" w:hAnsi="宋体" w:hint="eastAsia"/>
          <w:szCs w:val="21"/>
        </w:rPr>
        <w:t>考勤等</w:t>
      </w:r>
      <w:r>
        <w:rPr>
          <w:rFonts w:ascii="宋体" w:hAnsi="宋体"/>
          <w:szCs w:val="21"/>
        </w:rPr>
        <w:t>，共占</w:t>
      </w:r>
      <w:r>
        <w:rPr>
          <w:rFonts w:ascii="宋体" w:hAnsi="宋体" w:hint="eastAsia"/>
          <w:szCs w:val="21"/>
        </w:rPr>
        <w:t>40</w:t>
      </w:r>
      <w:r>
        <w:rPr>
          <w:rFonts w:ascii="宋体" w:hAnsi="宋体"/>
          <w:szCs w:val="21"/>
        </w:rPr>
        <w:t>%。</w:t>
      </w:r>
    </w:p>
    <w:p w14:paraId="41B7E198" w14:textId="77777777" w:rsidR="00374000" w:rsidRDefault="00374000" w:rsidP="00374000">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期末</w:t>
      </w:r>
      <w:r>
        <w:rPr>
          <w:rFonts w:ascii="宋体" w:hAnsi="宋体"/>
          <w:szCs w:val="21"/>
        </w:rPr>
        <w:t>成绩</w:t>
      </w:r>
    </w:p>
    <w:p w14:paraId="46566999" w14:textId="77777777" w:rsidR="00374000" w:rsidRPr="00B93A5F" w:rsidRDefault="00374000" w:rsidP="00374000">
      <w:pPr>
        <w:snapToGrid w:val="0"/>
        <w:spacing w:line="360" w:lineRule="auto"/>
        <w:ind w:firstLineChars="200" w:firstLine="420"/>
        <w:rPr>
          <w:rFonts w:ascii="宋体" w:hAnsi="宋体"/>
          <w:szCs w:val="21"/>
        </w:rPr>
      </w:pPr>
      <w:r w:rsidRPr="00B93A5F">
        <w:rPr>
          <w:rFonts w:ascii="宋体" w:hAnsi="宋体" w:hint="eastAsia"/>
          <w:szCs w:val="21"/>
        </w:rPr>
        <w:t>无土栽培学课程论文评分标准：</w:t>
      </w:r>
    </w:p>
    <w:p w14:paraId="7C1DE334"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（1）</w:t>
      </w:r>
      <w:r w:rsidRPr="00B93A5F">
        <w:rPr>
          <w:rFonts w:ascii="宋体" w:hAnsi="宋体" w:hint="eastAsia"/>
          <w:szCs w:val="21"/>
        </w:rPr>
        <w:t>论述内容与无土栽培有关（50分）</w:t>
      </w:r>
    </w:p>
    <w:p w14:paraId="21A22CD1"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（2）</w:t>
      </w:r>
      <w:r w:rsidRPr="00B93A5F">
        <w:rPr>
          <w:rFonts w:ascii="宋体" w:hAnsi="宋体" w:hint="eastAsia"/>
          <w:szCs w:val="21"/>
        </w:rPr>
        <w:t>选题新颖，内容全面（20分）</w:t>
      </w:r>
    </w:p>
    <w:p w14:paraId="659E0931"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（3）</w:t>
      </w:r>
      <w:r w:rsidRPr="00B93A5F">
        <w:rPr>
          <w:rFonts w:ascii="宋体" w:hAnsi="宋体" w:hint="eastAsia"/>
          <w:szCs w:val="21"/>
        </w:rPr>
        <w:t>字数足够（5分）</w:t>
      </w:r>
    </w:p>
    <w:p w14:paraId="7AD390A3"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（4）</w:t>
      </w:r>
      <w:r w:rsidRPr="00B93A5F">
        <w:rPr>
          <w:rFonts w:ascii="宋体" w:hAnsi="宋体" w:hint="eastAsia"/>
          <w:szCs w:val="21"/>
        </w:rPr>
        <w:t>中文摘要和关键词总结得当（5分）</w:t>
      </w:r>
    </w:p>
    <w:p w14:paraId="2160B660"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（5）</w:t>
      </w:r>
      <w:r w:rsidRPr="00B93A5F">
        <w:rPr>
          <w:rFonts w:ascii="宋体" w:hAnsi="宋体" w:hint="eastAsia"/>
          <w:szCs w:val="21"/>
        </w:rPr>
        <w:t>有英文摘要和关键词（5分）</w:t>
      </w:r>
    </w:p>
    <w:p w14:paraId="16414FC7"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（6）</w:t>
      </w:r>
      <w:r w:rsidRPr="00B93A5F">
        <w:rPr>
          <w:rFonts w:ascii="宋体" w:hAnsi="宋体" w:hint="eastAsia"/>
          <w:szCs w:val="21"/>
        </w:rPr>
        <w:t>英文摘要和关键词书写正确（5分）</w:t>
      </w:r>
    </w:p>
    <w:p w14:paraId="629E4308" w14:textId="77777777" w:rsidR="00374000" w:rsidRPr="00B93A5F" w:rsidRDefault="00374000" w:rsidP="00374000">
      <w:pPr>
        <w:snapToGrid w:val="0"/>
        <w:spacing w:line="360" w:lineRule="auto"/>
        <w:rPr>
          <w:rFonts w:ascii="宋体" w:hAnsi="宋体"/>
          <w:szCs w:val="21"/>
        </w:rPr>
      </w:pPr>
      <w:r>
        <w:rPr>
          <w:rFonts w:ascii="宋体" w:hAnsi="宋体" w:hint="eastAsia"/>
          <w:szCs w:val="21"/>
        </w:rPr>
        <w:t>（7）</w:t>
      </w:r>
      <w:r w:rsidRPr="00B93A5F">
        <w:rPr>
          <w:rFonts w:ascii="宋体" w:hAnsi="宋体" w:hint="eastAsia"/>
          <w:szCs w:val="21"/>
        </w:rPr>
        <w:t>参考文献10篇以上（5分）</w:t>
      </w:r>
    </w:p>
    <w:p w14:paraId="6C7E7D85" w14:textId="77777777" w:rsidR="00374000" w:rsidRPr="00B03423" w:rsidRDefault="00374000" w:rsidP="00374000">
      <w:pPr>
        <w:snapToGrid w:val="0"/>
        <w:spacing w:line="360" w:lineRule="auto"/>
        <w:rPr>
          <w:rFonts w:ascii="宋体" w:hAnsi="宋体"/>
          <w:szCs w:val="21"/>
        </w:rPr>
      </w:pPr>
      <w:r>
        <w:rPr>
          <w:rFonts w:ascii="宋体" w:hAnsi="宋体" w:hint="eastAsia"/>
          <w:szCs w:val="21"/>
        </w:rPr>
        <w:t>（8）</w:t>
      </w:r>
      <w:r w:rsidRPr="00B93A5F">
        <w:rPr>
          <w:rFonts w:ascii="宋体" w:hAnsi="宋体" w:hint="eastAsia"/>
          <w:szCs w:val="21"/>
        </w:rPr>
        <w:t>论文格式标准（5分）</w:t>
      </w:r>
    </w:p>
    <w:p w14:paraId="20329D81" w14:textId="77777777" w:rsidR="00F5289E" w:rsidRDefault="00F5289E">
      <w:pPr>
        <w:pStyle w:val="af1"/>
        <w:widowControl w:val="0"/>
        <w:tabs>
          <w:tab w:val="right" w:leader="dot" w:pos="8820"/>
        </w:tabs>
        <w:snapToGrid w:val="0"/>
        <w:spacing w:before="0" w:beforeAutospacing="0" w:after="0" w:afterAutospacing="0" w:line="400" w:lineRule="exact"/>
        <w:rPr>
          <w:rFonts w:ascii="宋体" w:eastAsia="宋体" w:hAnsi="宋体"/>
          <w:sz w:val="21"/>
        </w:rPr>
      </w:pPr>
    </w:p>
    <w:sectPr w:rsidR="00F5289E" w:rsidSect="00DF3F21">
      <w:footerReference w:type="default" r:id="rId31"/>
      <w:pgSz w:w="11906" w:h="16838"/>
      <w:pgMar w:top="1418" w:right="1588" w:bottom="1588" w:left="1418" w:header="851" w:footer="992" w:gutter="0"/>
      <w:pgNumType w:start="40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092C" w14:textId="77777777" w:rsidR="00192DB5" w:rsidRDefault="00192DB5">
      <w:r>
        <w:separator/>
      </w:r>
    </w:p>
  </w:endnote>
  <w:endnote w:type="continuationSeparator" w:id="0">
    <w:p w14:paraId="129545CB" w14:textId="77777777" w:rsidR="00192DB5" w:rsidRDefault="0019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B0604020202020204"/>
    <w:charset w:val="86"/>
    <w:family w:val="modern"/>
    <w:pitch w:val="fixed"/>
    <w:sig w:usb0="00000001"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ˎ̥">
    <w:altName w:val="Times New Roman"/>
    <w:panose1 w:val="020B0604020202020204"/>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
    <w:altName w:val="宋体"/>
    <w:panose1 w:val="020B0604020202020204"/>
    <w:charset w:val="86"/>
    <w:family w:val="auto"/>
    <w:pitch w:val="default"/>
    <w:sig w:usb0="00000000" w:usb1="0000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982202253"/>
    </w:sdtPr>
    <w:sdtEndPr>
      <w:rPr>
        <w:rStyle w:val="af8"/>
      </w:rPr>
    </w:sdtEndPr>
    <w:sdtContent>
      <w:p w14:paraId="79025F98" w14:textId="77777777" w:rsidR="00C91173" w:rsidRDefault="00C91173" w:rsidP="00DF3F21">
        <w:pPr>
          <w:pStyle w:val="ad"/>
          <w:framePr w:wrap="none" w:vAnchor="text" w:hAnchor="margin" w:xAlign="outside" w:y="1"/>
          <w:rPr>
            <w:rStyle w:val="af8"/>
          </w:rPr>
        </w:pPr>
        <w:r>
          <w:rPr>
            <w:rStyle w:val="af8"/>
          </w:rPr>
          <w:fldChar w:fldCharType="begin"/>
        </w:r>
        <w:r>
          <w:rPr>
            <w:rStyle w:val="af8"/>
          </w:rPr>
          <w:instrText xml:space="preserve"> PAGE </w:instrText>
        </w:r>
        <w:r>
          <w:rPr>
            <w:rStyle w:val="af8"/>
          </w:rPr>
          <w:fldChar w:fldCharType="separate"/>
        </w:r>
        <w:r>
          <w:rPr>
            <w:rStyle w:val="af8"/>
          </w:rPr>
          <w:t>2</w:t>
        </w:r>
        <w:r>
          <w:rPr>
            <w:rStyle w:val="af8"/>
          </w:rPr>
          <w:fldChar w:fldCharType="end"/>
        </w:r>
      </w:p>
    </w:sdtContent>
  </w:sdt>
  <w:p w14:paraId="6B1A427A" w14:textId="77777777" w:rsidR="00C91173" w:rsidRDefault="00C91173">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BF35" w14:textId="77777777" w:rsidR="00C91173" w:rsidRDefault="00C91173">
    <w:pPr>
      <w:pStyle w:val="ad"/>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2112041690"/>
    </w:sdtPr>
    <w:sdtEndPr>
      <w:rPr>
        <w:rStyle w:val="af8"/>
      </w:rPr>
    </w:sdtEndPr>
    <w:sdtContent>
      <w:p w14:paraId="7B3611D9" w14:textId="77777777" w:rsidR="00C91173" w:rsidRDefault="00C91173" w:rsidP="00973FAF">
        <w:pPr>
          <w:pStyle w:val="ad"/>
          <w:framePr w:wrap="none" w:vAnchor="text" w:hAnchor="margin" w:xAlign="outside" w:y="1"/>
          <w:rPr>
            <w:rStyle w:val="af8"/>
          </w:rPr>
        </w:pPr>
        <w:r>
          <w:rPr>
            <w:rStyle w:val="af8"/>
          </w:rPr>
          <w:fldChar w:fldCharType="begin"/>
        </w:r>
        <w:r>
          <w:rPr>
            <w:rStyle w:val="af8"/>
          </w:rPr>
          <w:instrText xml:space="preserve"> PAGE </w:instrText>
        </w:r>
        <w:r>
          <w:rPr>
            <w:rStyle w:val="af8"/>
          </w:rPr>
          <w:fldChar w:fldCharType="separate"/>
        </w:r>
        <w:r>
          <w:rPr>
            <w:rStyle w:val="af8"/>
          </w:rPr>
          <w:t>1</w:t>
        </w:r>
        <w:r>
          <w:rPr>
            <w:rStyle w:val="af8"/>
          </w:rPr>
          <w:fldChar w:fldCharType="end"/>
        </w:r>
      </w:p>
    </w:sdtContent>
  </w:sdt>
  <w:p w14:paraId="64579E8D" w14:textId="77777777" w:rsidR="00C91173" w:rsidRDefault="00C91173">
    <w:pPr>
      <w:pStyle w:val="ad"/>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4F3D" w14:textId="77777777" w:rsidR="00C91173" w:rsidRDefault="00C91173">
    <w:pPr>
      <w:pStyle w:val="ad"/>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408533997"/>
      <w:docPartObj>
        <w:docPartGallery w:val="Page Numbers (Bottom of Page)"/>
        <w:docPartUnique/>
      </w:docPartObj>
    </w:sdtPr>
    <w:sdtEndPr>
      <w:rPr>
        <w:rStyle w:val="af8"/>
      </w:rPr>
    </w:sdtEndPr>
    <w:sdtContent>
      <w:p w14:paraId="6CDE06F5" w14:textId="67E047FC" w:rsidR="00C91173" w:rsidRDefault="00C91173" w:rsidP="00DF3F21">
        <w:pPr>
          <w:pStyle w:val="ad"/>
          <w:framePr w:wrap="none" w:vAnchor="text" w:hAnchor="margin" w:xAlign="inside" w:y="1"/>
          <w:rPr>
            <w:rStyle w:val="af8"/>
          </w:rPr>
        </w:pPr>
        <w:r>
          <w:rPr>
            <w:rStyle w:val="af8"/>
          </w:rPr>
          <w:fldChar w:fldCharType="begin"/>
        </w:r>
        <w:r>
          <w:rPr>
            <w:rStyle w:val="af8"/>
          </w:rPr>
          <w:instrText xml:space="preserve"> PAGE </w:instrText>
        </w:r>
        <w:r>
          <w:rPr>
            <w:rStyle w:val="af8"/>
          </w:rPr>
          <w:fldChar w:fldCharType="separate"/>
        </w:r>
        <w:r>
          <w:rPr>
            <w:rStyle w:val="af8"/>
            <w:noProof/>
          </w:rPr>
          <w:t>364</w:t>
        </w:r>
        <w:r>
          <w:rPr>
            <w:rStyle w:val="af8"/>
          </w:rPr>
          <w:fldChar w:fldCharType="end"/>
        </w:r>
      </w:p>
    </w:sdtContent>
  </w:sdt>
  <w:p w14:paraId="59BBAF71" w14:textId="77777777" w:rsidR="00C91173" w:rsidRDefault="00C91173">
    <w:pPr>
      <w:pStyle w:val="a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81E5" w14:textId="77777777" w:rsidR="00C91173" w:rsidRDefault="00C91173">
    <w:pPr>
      <w:pStyle w:val="ad"/>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1090043369"/>
    </w:sdtPr>
    <w:sdtEndPr>
      <w:rPr>
        <w:rStyle w:val="af8"/>
      </w:rPr>
    </w:sdtEndPr>
    <w:sdtContent>
      <w:p w14:paraId="7676A90A" w14:textId="77777777" w:rsidR="00C91173" w:rsidRDefault="00C91173" w:rsidP="00DF3F21">
        <w:pPr>
          <w:pStyle w:val="ad"/>
          <w:framePr w:wrap="none" w:vAnchor="text" w:hAnchor="margin" w:xAlign="outside" w:y="1"/>
          <w:rPr>
            <w:rStyle w:val="af8"/>
          </w:rPr>
        </w:pPr>
        <w:r>
          <w:rPr>
            <w:rStyle w:val="af8"/>
          </w:rPr>
          <w:fldChar w:fldCharType="begin"/>
        </w:r>
        <w:r>
          <w:rPr>
            <w:rStyle w:val="af8"/>
          </w:rPr>
          <w:instrText xml:space="preserve"> PAGE </w:instrText>
        </w:r>
        <w:r>
          <w:rPr>
            <w:rStyle w:val="af8"/>
          </w:rPr>
          <w:fldChar w:fldCharType="separate"/>
        </w:r>
        <w:r>
          <w:rPr>
            <w:rStyle w:val="af8"/>
          </w:rPr>
          <w:t>1</w:t>
        </w:r>
        <w:r>
          <w:rPr>
            <w:rStyle w:val="af8"/>
          </w:rPr>
          <w:fldChar w:fldCharType="end"/>
        </w:r>
      </w:p>
    </w:sdtContent>
  </w:sdt>
  <w:p w14:paraId="413FE2D0" w14:textId="55169309" w:rsidR="00C91173" w:rsidRDefault="00C91173" w:rsidP="00957CC0">
    <w:pPr>
      <w:pStyle w:val="a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A1A77" w14:textId="77777777" w:rsidR="00192DB5" w:rsidRDefault="00192DB5">
      <w:r>
        <w:separator/>
      </w:r>
    </w:p>
  </w:footnote>
  <w:footnote w:type="continuationSeparator" w:id="0">
    <w:p w14:paraId="47A5EEFE" w14:textId="77777777" w:rsidR="00192DB5" w:rsidRDefault="00192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2684AF"/>
    <w:multiLevelType w:val="singleLevel"/>
    <w:tmpl w:val="822684AF"/>
    <w:lvl w:ilvl="0">
      <w:start w:val="1"/>
      <w:numFmt w:val="chineseCounting"/>
      <w:suff w:val="space"/>
      <w:lvlText w:val="第%1节"/>
      <w:lvlJc w:val="left"/>
      <w:rPr>
        <w:rFonts w:hint="eastAsia"/>
      </w:rPr>
    </w:lvl>
  </w:abstractNum>
  <w:abstractNum w:abstractNumId="1" w15:restartNumberingAfterBreak="0">
    <w:nsid w:val="853119AE"/>
    <w:multiLevelType w:val="singleLevel"/>
    <w:tmpl w:val="853119AE"/>
    <w:lvl w:ilvl="0">
      <w:start w:val="1"/>
      <w:numFmt w:val="chineseCounting"/>
      <w:suff w:val="space"/>
      <w:lvlText w:val="第%1节"/>
      <w:lvlJc w:val="left"/>
      <w:rPr>
        <w:rFonts w:hint="eastAsia"/>
      </w:rPr>
    </w:lvl>
  </w:abstractNum>
  <w:abstractNum w:abstractNumId="2" w15:restartNumberingAfterBreak="0">
    <w:nsid w:val="902DA5EF"/>
    <w:multiLevelType w:val="singleLevel"/>
    <w:tmpl w:val="902DA5EF"/>
    <w:lvl w:ilvl="0">
      <w:start w:val="2"/>
      <w:numFmt w:val="decimal"/>
      <w:lvlText w:val="%1."/>
      <w:lvlJc w:val="left"/>
      <w:pPr>
        <w:tabs>
          <w:tab w:val="left" w:pos="312"/>
        </w:tabs>
      </w:pPr>
    </w:lvl>
  </w:abstractNum>
  <w:abstractNum w:abstractNumId="3" w15:restartNumberingAfterBreak="0">
    <w:nsid w:val="93C305A9"/>
    <w:multiLevelType w:val="singleLevel"/>
    <w:tmpl w:val="93C305A9"/>
    <w:lvl w:ilvl="0">
      <w:start w:val="1"/>
      <w:numFmt w:val="chineseCounting"/>
      <w:suff w:val="space"/>
      <w:lvlText w:val="第%1节"/>
      <w:lvlJc w:val="left"/>
      <w:rPr>
        <w:rFonts w:hint="eastAsia"/>
      </w:rPr>
    </w:lvl>
  </w:abstractNum>
  <w:abstractNum w:abstractNumId="4" w15:restartNumberingAfterBreak="0">
    <w:nsid w:val="9952EF71"/>
    <w:multiLevelType w:val="singleLevel"/>
    <w:tmpl w:val="9952EF71"/>
    <w:lvl w:ilvl="0">
      <w:start w:val="2"/>
      <w:numFmt w:val="chineseCounting"/>
      <w:suff w:val="space"/>
      <w:lvlText w:val="第%1节"/>
      <w:lvlJc w:val="left"/>
      <w:rPr>
        <w:rFonts w:hint="eastAsia"/>
      </w:rPr>
    </w:lvl>
  </w:abstractNum>
  <w:abstractNum w:abstractNumId="5" w15:restartNumberingAfterBreak="0">
    <w:nsid w:val="A75B3FB3"/>
    <w:multiLevelType w:val="singleLevel"/>
    <w:tmpl w:val="A75B3FB3"/>
    <w:lvl w:ilvl="0">
      <w:start w:val="1"/>
      <w:numFmt w:val="chineseCounting"/>
      <w:suff w:val="space"/>
      <w:lvlText w:val="第%1节"/>
      <w:lvlJc w:val="left"/>
      <w:rPr>
        <w:rFonts w:hint="eastAsia"/>
      </w:rPr>
    </w:lvl>
  </w:abstractNum>
  <w:abstractNum w:abstractNumId="6" w15:restartNumberingAfterBreak="0">
    <w:nsid w:val="AE464529"/>
    <w:multiLevelType w:val="singleLevel"/>
    <w:tmpl w:val="AE464529"/>
    <w:lvl w:ilvl="0">
      <w:start w:val="2"/>
      <w:numFmt w:val="decimal"/>
      <w:lvlText w:val="%1."/>
      <w:lvlJc w:val="left"/>
      <w:pPr>
        <w:tabs>
          <w:tab w:val="left" w:pos="312"/>
        </w:tabs>
      </w:pPr>
    </w:lvl>
  </w:abstractNum>
  <w:abstractNum w:abstractNumId="7" w15:restartNumberingAfterBreak="0">
    <w:nsid w:val="C063921C"/>
    <w:multiLevelType w:val="singleLevel"/>
    <w:tmpl w:val="C063921C"/>
    <w:lvl w:ilvl="0">
      <w:start w:val="2"/>
      <w:numFmt w:val="chineseCounting"/>
      <w:suff w:val="nothing"/>
      <w:lvlText w:val="%1、"/>
      <w:lvlJc w:val="left"/>
      <w:rPr>
        <w:rFonts w:hint="eastAsia"/>
      </w:rPr>
    </w:lvl>
  </w:abstractNum>
  <w:abstractNum w:abstractNumId="8" w15:restartNumberingAfterBreak="0">
    <w:nsid w:val="C3EE01A0"/>
    <w:multiLevelType w:val="singleLevel"/>
    <w:tmpl w:val="C3EE01A0"/>
    <w:lvl w:ilvl="0">
      <w:start w:val="4"/>
      <w:numFmt w:val="decimal"/>
      <w:lvlText w:val="%1."/>
      <w:lvlJc w:val="left"/>
      <w:pPr>
        <w:tabs>
          <w:tab w:val="left" w:pos="312"/>
        </w:tabs>
      </w:pPr>
    </w:lvl>
  </w:abstractNum>
  <w:abstractNum w:abstractNumId="9" w15:restartNumberingAfterBreak="0">
    <w:nsid w:val="E11BD7E3"/>
    <w:multiLevelType w:val="singleLevel"/>
    <w:tmpl w:val="E11BD7E3"/>
    <w:lvl w:ilvl="0">
      <w:start w:val="1"/>
      <w:numFmt w:val="chineseCounting"/>
      <w:suff w:val="space"/>
      <w:lvlText w:val="第%1章"/>
      <w:lvlJc w:val="left"/>
      <w:rPr>
        <w:rFonts w:hint="eastAsia"/>
      </w:rPr>
    </w:lvl>
  </w:abstractNum>
  <w:abstractNum w:abstractNumId="10" w15:restartNumberingAfterBreak="0">
    <w:nsid w:val="E99291CE"/>
    <w:multiLevelType w:val="singleLevel"/>
    <w:tmpl w:val="E99291CE"/>
    <w:lvl w:ilvl="0">
      <w:start w:val="1"/>
      <w:numFmt w:val="decimal"/>
      <w:suff w:val="nothing"/>
      <w:lvlText w:val="（%1）"/>
      <w:lvlJc w:val="left"/>
    </w:lvl>
  </w:abstractNum>
  <w:abstractNum w:abstractNumId="11" w15:restartNumberingAfterBreak="0">
    <w:nsid w:val="EB2D9DB2"/>
    <w:multiLevelType w:val="singleLevel"/>
    <w:tmpl w:val="EB2D9DB2"/>
    <w:lvl w:ilvl="0">
      <w:start w:val="6"/>
      <w:numFmt w:val="chineseCounting"/>
      <w:suff w:val="nothing"/>
      <w:lvlText w:val="%1、"/>
      <w:lvlJc w:val="left"/>
      <w:rPr>
        <w:rFonts w:hint="eastAsia"/>
      </w:rPr>
    </w:lvl>
  </w:abstractNum>
  <w:abstractNum w:abstractNumId="12" w15:restartNumberingAfterBreak="0">
    <w:nsid w:val="FC2AE25D"/>
    <w:multiLevelType w:val="singleLevel"/>
    <w:tmpl w:val="FC2AE25D"/>
    <w:lvl w:ilvl="0">
      <w:start w:val="4"/>
      <w:numFmt w:val="chineseCounting"/>
      <w:suff w:val="nothing"/>
      <w:lvlText w:val="%1、"/>
      <w:lvlJc w:val="left"/>
      <w:rPr>
        <w:rFonts w:hint="eastAsia"/>
      </w:rPr>
    </w:lvl>
  </w:abstractNum>
  <w:abstractNum w:abstractNumId="13" w15:restartNumberingAfterBreak="0">
    <w:nsid w:val="03EF0F6D"/>
    <w:multiLevelType w:val="hybridMultilevel"/>
    <w:tmpl w:val="16ECA112"/>
    <w:lvl w:ilvl="0" w:tplc="6DA24CD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6498C62"/>
    <w:multiLevelType w:val="singleLevel"/>
    <w:tmpl w:val="06498C62"/>
    <w:lvl w:ilvl="0">
      <w:start w:val="4"/>
      <w:numFmt w:val="chineseCounting"/>
      <w:suff w:val="nothing"/>
      <w:lvlText w:val="（%1）"/>
      <w:lvlJc w:val="left"/>
      <w:rPr>
        <w:rFonts w:hint="eastAsia"/>
      </w:rPr>
    </w:lvl>
  </w:abstractNum>
  <w:abstractNum w:abstractNumId="15" w15:restartNumberingAfterBreak="0">
    <w:nsid w:val="071852CE"/>
    <w:multiLevelType w:val="multilevel"/>
    <w:tmpl w:val="071852C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093F7991"/>
    <w:multiLevelType w:val="multilevel"/>
    <w:tmpl w:val="093F7991"/>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17" w15:restartNumberingAfterBreak="0">
    <w:nsid w:val="0B82CBEC"/>
    <w:multiLevelType w:val="singleLevel"/>
    <w:tmpl w:val="0B82CBEC"/>
    <w:lvl w:ilvl="0">
      <w:start w:val="6"/>
      <w:numFmt w:val="chineseCounting"/>
      <w:suff w:val="nothing"/>
      <w:lvlText w:val="（%1）"/>
      <w:lvlJc w:val="left"/>
      <w:rPr>
        <w:rFonts w:hint="eastAsia"/>
      </w:rPr>
    </w:lvl>
  </w:abstractNum>
  <w:abstractNum w:abstractNumId="18" w15:restartNumberingAfterBreak="0">
    <w:nsid w:val="0EB01702"/>
    <w:multiLevelType w:val="multilevel"/>
    <w:tmpl w:val="0EB01702"/>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19" w15:restartNumberingAfterBreak="0">
    <w:nsid w:val="138753C7"/>
    <w:multiLevelType w:val="multilevel"/>
    <w:tmpl w:val="138753C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16E21C7B"/>
    <w:multiLevelType w:val="multilevel"/>
    <w:tmpl w:val="16E21C7B"/>
    <w:lvl w:ilvl="0">
      <w:start w:val="1"/>
      <w:numFmt w:val="decimal"/>
      <w:lvlText w:val="%1）"/>
      <w:lvlJc w:val="left"/>
      <w:pPr>
        <w:tabs>
          <w:tab w:val="left" w:pos="360"/>
        </w:tabs>
        <w:ind w:left="360" w:hanging="360"/>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170A052D"/>
    <w:multiLevelType w:val="multilevel"/>
    <w:tmpl w:val="170A052D"/>
    <w:lvl w:ilvl="0">
      <w:start w:val="1"/>
      <w:numFmt w:val="decimal"/>
      <w:lvlText w:val="%1．"/>
      <w:lvlJc w:val="left"/>
      <w:pPr>
        <w:ind w:left="801" w:hanging="375"/>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18D0484C"/>
    <w:multiLevelType w:val="singleLevel"/>
    <w:tmpl w:val="18D0484C"/>
    <w:lvl w:ilvl="0">
      <w:start w:val="7"/>
      <w:numFmt w:val="chineseCounting"/>
      <w:suff w:val="space"/>
      <w:lvlText w:val="第%1章"/>
      <w:lvlJc w:val="left"/>
      <w:rPr>
        <w:rFonts w:hint="eastAsia"/>
      </w:rPr>
    </w:lvl>
  </w:abstractNum>
  <w:abstractNum w:abstractNumId="23" w15:restartNumberingAfterBreak="0">
    <w:nsid w:val="19092932"/>
    <w:multiLevelType w:val="multilevel"/>
    <w:tmpl w:val="19092932"/>
    <w:lvl w:ilvl="0">
      <w:start w:val="1"/>
      <w:numFmt w:val="japaneseCounting"/>
      <w:lvlText w:val="第%1节"/>
      <w:lvlJc w:val="left"/>
      <w:pPr>
        <w:ind w:left="740" w:hanging="7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1952004F"/>
    <w:multiLevelType w:val="singleLevel"/>
    <w:tmpl w:val="1952004F"/>
    <w:lvl w:ilvl="0">
      <w:start w:val="1"/>
      <w:numFmt w:val="chineseCounting"/>
      <w:suff w:val="space"/>
      <w:lvlText w:val="第%1节"/>
      <w:lvlJc w:val="left"/>
      <w:rPr>
        <w:rFonts w:hint="eastAsia"/>
      </w:rPr>
    </w:lvl>
  </w:abstractNum>
  <w:abstractNum w:abstractNumId="25" w15:restartNumberingAfterBreak="0">
    <w:nsid w:val="24F92227"/>
    <w:multiLevelType w:val="multilevel"/>
    <w:tmpl w:val="24F9222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27E54652"/>
    <w:multiLevelType w:val="multilevel"/>
    <w:tmpl w:val="27E54652"/>
    <w:lvl w:ilvl="0">
      <w:start w:val="3"/>
      <w:numFmt w:val="decimal"/>
      <w:lvlText w:val="（%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27" w15:restartNumberingAfterBreak="0">
    <w:nsid w:val="29A150DD"/>
    <w:multiLevelType w:val="multilevel"/>
    <w:tmpl w:val="29A150DD"/>
    <w:lvl w:ilvl="0">
      <w:start w:val="1"/>
      <w:numFmt w:val="japaneseCounting"/>
      <w:lvlText w:val="第%1节"/>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BAD4D42"/>
    <w:multiLevelType w:val="multilevel"/>
    <w:tmpl w:val="2BAD4D4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2EA658AE"/>
    <w:multiLevelType w:val="multilevel"/>
    <w:tmpl w:val="2EA658AE"/>
    <w:lvl w:ilvl="0">
      <w:start w:val="1"/>
      <w:numFmt w:val="decimal"/>
      <w:lvlText w:val="%1）"/>
      <w:lvlJc w:val="left"/>
      <w:pPr>
        <w:tabs>
          <w:tab w:val="left" w:pos="360"/>
        </w:tabs>
        <w:ind w:left="360" w:hanging="360"/>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32022F9D"/>
    <w:multiLevelType w:val="multilevel"/>
    <w:tmpl w:val="32022F9D"/>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31" w15:restartNumberingAfterBreak="0">
    <w:nsid w:val="34AB320D"/>
    <w:multiLevelType w:val="multilevel"/>
    <w:tmpl w:val="34AB320D"/>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32" w15:restartNumberingAfterBreak="0">
    <w:nsid w:val="3845013B"/>
    <w:multiLevelType w:val="multilevel"/>
    <w:tmpl w:val="3845013B"/>
    <w:lvl w:ilvl="0">
      <w:start w:val="1"/>
      <w:numFmt w:val="japaneseCounting"/>
      <w:lvlText w:val="第%1节"/>
      <w:lvlJc w:val="left"/>
      <w:pPr>
        <w:ind w:left="740" w:hanging="7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41597DEB"/>
    <w:multiLevelType w:val="singleLevel"/>
    <w:tmpl w:val="41597DEB"/>
    <w:lvl w:ilvl="0">
      <w:start w:val="4"/>
      <w:numFmt w:val="chineseCounting"/>
      <w:suff w:val="nothing"/>
      <w:lvlText w:val="%1、"/>
      <w:lvlJc w:val="left"/>
      <w:rPr>
        <w:rFonts w:hint="eastAsia"/>
      </w:rPr>
    </w:lvl>
  </w:abstractNum>
  <w:abstractNum w:abstractNumId="34" w15:restartNumberingAfterBreak="0">
    <w:nsid w:val="44830E09"/>
    <w:multiLevelType w:val="multilevel"/>
    <w:tmpl w:val="44830E0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467E070D"/>
    <w:multiLevelType w:val="multilevel"/>
    <w:tmpl w:val="467E070D"/>
    <w:lvl w:ilvl="0">
      <w:start w:val="1"/>
      <w:numFmt w:val="japaneseCounting"/>
      <w:lvlText w:val="第%1节"/>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D30FC2"/>
    <w:multiLevelType w:val="multilevel"/>
    <w:tmpl w:val="48D30FC2"/>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37" w15:restartNumberingAfterBreak="0">
    <w:nsid w:val="4D19770A"/>
    <w:multiLevelType w:val="multilevel"/>
    <w:tmpl w:val="4D19770A"/>
    <w:lvl w:ilvl="0">
      <w:start w:val="1"/>
      <w:numFmt w:val="japaneseCounting"/>
      <w:lvlText w:val="第%1节"/>
      <w:lvlJc w:val="left"/>
      <w:pPr>
        <w:ind w:left="740" w:hanging="7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5165661B"/>
    <w:multiLevelType w:val="hybridMultilevel"/>
    <w:tmpl w:val="B8D43D2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55555EF7"/>
    <w:multiLevelType w:val="multilevel"/>
    <w:tmpl w:val="55555EF7"/>
    <w:lvl w:ilvl="0">
      <w:start w:val="1"/>
      <w:numFmt w:val="japaneseCounting"/>
      <w:lvlText w:val="第%1节"/>
      <w:lvlJc w:val="left"/>
      <w:pPr>
        <w:ind w:left="1140" w:hanging="735"/>
      </w:pPr>
      <w:rPr>
        <w:rFonts w:hint="default"/>
      </w:rPr>
    </w:lvl>
    <w:lvl w:ilvl="1">
      <w:start w:val="1"/>
      <w:numFmt w:val="lowerLetter"/>
      <w:lvlText w:val="%2)"/>
      <w:lvlJc w:val="left"/>
      <w:pPr>
        <w:ind w:left="1245" w:hanging="420"/>
      </w:pPr>
    </w:lvl>
    <w:lvl w:ilvl="2">
      <w:start w:val="1"/>
      <w:numFmt w:val="lowerRoman"/>
      <w:lvlText w:val="%3."/>
      <w:lvlJc w:val="right"/>
      <w:pPr>
        <w:ind w:left="1665" w:hanging="420"/>
      </w:pPr>
    </w:lvl>
    <w:lvl w:ilvl="3">
      <w:start w:val="1"/>
      <w:numFmt w:val="decimal"/>
      <w:lvlText w:val="%4."/>
      <w:lvlJc w:val="left"/>
      <w:pPr>
        <w:ind w:left="2085" w:hanging="420"/>
      </w:pPr>
    </w:lvl>
    <w:lvl w:ilvl="4">
      <w:start w:val="1"/>
      <w:numFmt w:val="lowerLetter"/>
      <w:lvlText w:val="%5)"/>
      <w:lvlJc w:val="left"/>
      <w:pPr>
        <w:ind w:left="2505" w:hanging="420"/>
      </w:pPr>
    </w:lvl>
    <w:lvl w:ilvl="5">
      <w:start w:val="1"/>
      <w:numFmt w:val="lowerRoman"/>
      <w:lvlText w:val="%6."/>
      <w:lvlJc w:val="right"/>
      <w:pPr>
        <w:ind w:left="2925" w:hanging="420"/>
      </w:pPr>
    </w:lvl>
    <w:lvl w:ilvl="6">
      <w:start w:val="1"/>
      <w:numFmt w:val="decimal"/>
      <w:lvlText w:val="%7."/>
      <w:lvlJc w:val="left"/>
      <w:pPr>
        <w:ind w:left="3345" w:hanging="420"/>
      </w:pPr>
    </w:lvl>
    <w:lvl w:ilvl="7">
      <w:start w:val="1"/>
      <w:numFmt w:val="lowerLetter"/>
      <w:lvlText w:val="%8)"/>
      <w:lvlJc w:val="left"/>
      <w:pPr>
        <w:ind w:left="3765" w:hanging="420"/>
      </w:pPr>
    </w:lvl>
    <w:lvl w:ilvl="8">
      <w:start w:val="1"/>
      <w:numFmt w:val="lowerRoman"/>
      <w:lvlText w:val="%9."/>
      <w:lvlJc w:val="right"/>
      <w:pPr>
        <w:ind w:left="4185" w:hanging="420"/>
      </w:pPr>
    </w:lvl>
  </w:abstractNum>
  <w:abstractNum w:abstractNumId="40" w15:restartNumberingAfterBreak="0">
    <w:nsid w:val="5575C1D7"/>
    <w:multiLevelType w:val="singleLevel"/>
    <w:tmpl w:val="5575C1D7"/>
    <w:lvl w:ilvl="0">
      <w:start w:val="7"/>
      <w:numFmt w:val="chineseCounting"/>
      <w:lvlText w:val="(%1)"/>
      <w:lvlJc w:val="left"/>
      <w:pPr>
        <w:tabs>
          <w:tab w:val="left" w:pos="312"/>
        </w:tabs>
      </w:pPr>
      <w:rPr>
        <w:rFonts w:hint="eastAsia"/>
      </w:rPr>
    </w:lvl>
  </w:abstractNum>
  <w:abstractNum w:abstractNumId="41" w15:restartNumberingAfterBreak="0">
    <w:nsid w:val="5954A9CD"/>
    <w:multiLevelType w:val="singleLevel"/>
    <w:tmpl w:val="5954A9CD"/>
    <w:lvl w:ilvl="0">
      <w:start w:val="1"/>
      <w:numFmt w:val="chineseCounting"/>
      <w:suff w:val="space"/>
      <w:lvlText w:val="第%1节"/>
      <w:lvlJc w:val="left"/>
    </w:lvl>
  </w:abstractNum>
  <w:abstractNum w:abstractNumId="42" w15:restartNumberingAfterBreak="0">
    <w:nsid w:val="5954B064"/>
    <w:multiLevelType w:val="singleLevel"/>
    <w:tmpl w:val="5954B064"/>
    <w:lvl w:ilvl="0">
      <w:start w:val="1"/>
      <w:numFmt w:val="chineseCounting"/>
      <w:suff w:val="space"/>
      <w:lvlText w:val="第%1节"/>
      <w:lvlJc w:val="left"/>
    </w:lvl>
  </w:abstractNum>
  <w:abstractNum w:abstractNumId="43" w15:restartNumberingAfterBreak="0">
    <w:nsid w:val="59560168"/>
    <w:multiLevelType w:val="singleLevel"/>
    <w:tmpl w:val="59560168"/>
    <w:lvl w:ilvl="0">
      <w:start w:val="2"/>
      <w:numFmt w:val="chineseCounting"/>
      <w:suff w:val="space"/>
      <w:lvlText w:val="第%1节"/>
      <w:lvlJc w:val="left"/>
    </w:lvl>
  </w:abstractNum>
  <w:abstractNum w:abstractNumId="44" w15:restartNumberingAfterBreak="0">
    <w:nsid w:val="595609AD"/>
    <w:multiLevelType w:val="singleLevel"/>
    <w:tmpl w:val="595609AD"/>
    <w:lvl w:ilvl="0">
      <w:start w:val="2"/>
      <w:numFmt w:val="chineseCounting"/>
      <w:suff w:val="space"/>
      <w:lvlText w:val="第%1节"/>
      <w:lvlJc w:val="left"/>
    </w:lvl>
  </w:abstractNum>
  <w:abstractNum w:abstractNumId="45" w15:restartNumberingAfterBreak="0">
    <w:nsid w:val="5956113A"/>
    <w:multiLevelType w:val="singleLevel"/>
    <w:tmpl w:val="5956113A"/>
    <w:lvl w:ilvl="0">
      <w:start w:val="3"/>
      <w:numFmt w:val="chineseCounting"/>
      <w:suff w:val="space"/>
      <w:lvlText w:val="第%1节"/>
      <w:lvlJc w:val="left"/>
    </w:lvl>
  </w:abstractNum>
  <w:abstractNum w:abstractNumId="46" w15:restartNumberingAfterBreak="0">
    <w:nsid w:val="59561A11"/>
    <w:multiLevelType w:val="singleLevel"/>
    <w:tmpl w:val="59561A11"/>
    <w:lvl w:ilvl="0">
      <w:start w:val="1"/>
      <w:numFmt w:val="decimal"/>
      <w:suff w:val="nothing"/>
      <w:lvlText w:val="%1．"/>
      <w:lvlJc w:val="left"/>
    </w:lvl>
  </w:abstractNum>
  <w:abstractNum w:abstractNumId="47" w15:restartNumberingAfterBreak="0">
    <w:nsid w:val="59561A3B"/>
    <w:multiLevelType w:val="singleLevel"/>
    <w:tmpl w:val="59561A3B"/>
    <w:lvl w:ilvl="0">
      <w:start w:val="2"/>
      <w:numFmt w:val="chineseCounting"/>
      <w:suff w:val="space"/>
      <w:lvlText w:val="第%1节"/>
      <w:lvlJc w:val="left"/>
    </w:lvl>
  </w:abstractNum>
  <w:abstractNum w:abstractNumId="48" w15:restartNumberingAfterBreak="0">
    <w:nsid w:val="59562206"/>
    <w:multiLevelType w:val="singleLevel"/>
    <w:tmpl w:val="59562206"/>
    <w:lvl w:ilvl="0">
      <w:start w:val="2"/>
      <w:numFmt w:val="chineseCounting"/>
      <w:suff w:val="nothing"/>
      <w:lvlText w:val="%1、"/>
      <w:lvlJc w:val="left"/>
    </w:lvl>
  </w:abstractNum>
  <w:abstractNum w:abstractNumId="49" w15:restartNumberingAfterBreak="0">
    <w:nsid w:val="5959DBB5"/>
    <w:multiLevelType w:val="singleLevel"/>
    <w:tmpl w:val="5959DBB5"/>
    <w:lvl w:ilvl="0">
      <w:start w:val="1"/>
      <w:numFmt w:val="chineseCounting"/>
      <w:suff w:val="space"/>
      <w:lvlText w:val="第%1节"/>
      <w:lvlJc w:val="left"/>
    </w:lvl>
  </w:abstractNum>
  <w:abstractNum w:abstractNumId="50" w15:restartNumberingAfterBreak="0">
    <w:nsid w:val="595AEAC3"/>
    <w:multiLevelType w:val="singleLevel"/>
    <w:tmpl w:val="595AEAC3"/>
    <w:lvl w:ilvl="0">
      <w:start w:val="1"/>
      <w:numFmt w:val="chineseCounting"/>
      <w:suff w:val="space"/>
      <w:lvlText w:val="第%1节"/>
      <w:lvlJc w:val="left"/>
    </w:lvl>
  </w:abstractNum>
  <w:abstractNum w:abstractNumId="51" w15:restartNumberingAfterBreak="0">
    <w:nsid w:val="5966FF63"/>
    <w:multiLevelType w:val="singleLevel"/>
    <w:tmpl w:val="5966FF63"/>
    <w:lvl w:ilvl="0">
      <w:start w:val="1"/>
      <w:numFmt w:val="chineseCounting"/>
      <w:suff w:val="space"/>
      <w:lvlText w:val="第%1节"/>
      <w:lvlJc w:val="left"/>
    </w:lvl>
  </w:abstractNum>
  <w:abstractNum w:abstractNumId="52" w15:restartNumberingAfterBreak="0">
    <w:nsid w:val="596C2B0C"/>
    <w:multiLevelType w:val="singleLevel"/>
    <w:tmpl w:val="596C2B0C"/>
    <w:lvl w:ilvl="0">
      <w:start w:val="1"/>
      <w:numFmt w:val="decimal"/>
      <w:suff w:val="nothing"/>
      <w:lvlText w:val="%1."/>
      <w:lvlJc w:val="left"/>
    </w:lvl>
  </w:abstractNum>
  <w:abstractNum w:abstractNumId="53" w15:restartNumberingAfterBreak="0">
    <w:nsid w:val="597D4C3E"/>
    <w:multiLevelType w:val="multilevel"/>
    <w:tmpl w:val="597D4C3E"/>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54" w15:restartNumberingAfterBreak="0">
    <w:nsid w:val="5AE26B0F"/>
    <w:multiLevelType w:val="multilevel"/>
    <w:tmpl w:val="5AE26B0F"/>
    <w:lvl w:ilvl="0">
      <w:start w:val="1"/>
      <w:numFmt w:val="japaneseCounting"/>
      <w:lvlText w:val="%1、"/>
      <w:lvlJc w:val="left"/>
      <w:pPr>
        <w:ind w:left="435" w:hanging="435"/>
      </w:pPr>
      <w:rPr>
        <w:rFonts w:hAnsi="宋体"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D9A34EC"/>
    <w:multiLevelType w:val="multilevel"/>
    <w:tmpl w:val="5D9A34E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637B3AA7"/>
    <w:multiLevelType w:val="multilevel"/>
    <w:tmpl w:val="637B3AA7"/>
    <w:lvl w:ilvl="0">
      <w:start w:val="1"/>
      <w:numFmt w:val="japaneseCounting"/>
      <w:lvlText w:val="第%1节"/>
      <w:lvlJc w:val="left"/>
      <w:pPr>
        <w:ind w:left="1245" w:hanging="735"/>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57" w15:restartNumberingAfterBreak="0">
    <w:nsid w:val="674A592D"/>
    <w:multiLevelType w:val="multilevel"/>
    <w:tmpl w:val="674A592D"/>
    <w:lvl w:ilvl="0">
      <w:start w:val="1"/>
      <w:numFmt w:val="japaneseCounting"/>
      <w:lvlText w:val="第%1节"/>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D5939A6"/>
    <w:multiLevelType w:val="multilevel"/>
    <w:tmpl w:val="6D5939A6"/>
    <w:lvl w:ilvl="0">
      <w:start w:val="1"/>
      <w:numFmt w:val="japaneseCounting"/>
      <w:lvlText w:val="第%1节"/>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05E322D"/>
    <w:multiLevelType w:val="singleLevel"/>
    <w:tmpl w:val="705E322D"/>
    <w:lvl w:ilvl="0">
      <w:start w:val="4"/>
      <w:numFmt w:val="chineseCounting"/>
      <w:suff w:val="nothing"/>
      <w:lvlText w:val="%1、"/>
      <w:lvlJc w:val="left"/>
      <w:rPr>
        <w:rFonts w:hint="eastAsia"/>
      </w:rPr>
    </w:lvl>
  </w:abstractNum>
  <w:abstractNum w:abstractNumId="60" w15:restartNumberingAfterBreak="0">
    <w:nsid w:val="72991818"/>
    <w:multiLevelType w:val="multilevel"/>
    <w:tmpl w:val="72991818"/>
    <w:lvl w:ilvl="0">
      <w:start w:val="1"/>
      <w:numFmt w:val="decimal"/>
      <w:lvlText w:val="%1．"/>
      <w:lvlJc w:val="left"/>
      <w:pPr>
        <w:ind w:left="801" w:hanging="375"/>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15:restartNumberingAfterBreak="0">
    <w:nsid w:val="74F6FD5C"/>
    <w:multiLevelType w:val="singleLevel"/>
    <w:tmpl w:val="74F6FD5C"/>
    <w:lvl w:ilvl="0">
      <w:start w:val="2"/>
      <w:numFmt w:val="chineseCounting"/>
      <w:suff w:val="space"/>
      <w:lvlText w:val="第%1节"/>
      <w:lvlJc w:val="left"/>
      <w:rPr>
        <w:rFonts w:hint="eastAsia"/>
      </w:rPr>
    </w:lvl>
  </w:abstractNum>
  <w:abstractNum w:abstractNumId="62" w15:restartNumberingAfterBreak="0">
    <w:nsid w:val="7791388B"/>
    <w:multiLevelType w:val="hybridMultilevel"/>
    <w:tmpl w:val="CFEC4064"/>
    <w:lvl w:ilvl="0" w:tplc="19DEAFF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3" w15:restartNumberingAfterBreak="0">
    <w:nsid w:val="784D03D7"/>
    <w:multiLevelType w:val="multilevel"/>
    <w:tmpl w:val="784D03D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4" w15:restartNumberingAfterBreak="0">
    <w:nsid w:val="7B287054"/>
    <w:multiLevelType w:val="multilevel"/>
    <w:tmpl w:val="7B287054"/>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208108456">
    <w:abstractNumId w:val="59"/>
  </w:num>
  <w:num w:numId="2" w16cid:durableId="300885291">
    <w:abstractNumId w:val="27"/>
  </w:num>
  <w:num w:numId="3" w16cid:durableId="1807235637">
    <w:abstractNumId w:val="35"/>
  </w:num>
  <w:num w:numId="4" w16cid:durableId="1031536923">
    <w:abstractNumId w:val="64"/>
  </w:num>
  <w:num w:numId="5" w16cid:durableId="2066219461">
    <w:abstractNumId w:val="54"/>
  </w:num>
  <w:num w:numId="6" w16cid:durableId="1380321370">
    <w:abstractNumId w:val="55"/>
  </w:num>
  <w:num w:numId="7" w16cid:durableId="1881817985">
    <w:abstractNumId w:val="15"/>
  </w:num>
  <w:num w:numId="8" w16cid:durableId="967929006">
    <w:abstractNumId w:val="28"/>
  </w:num>
  <w:num w:numId="9" w16cid:durableId="712970536">
    <w:abstractNumId w:val="20"/>
  </w:num>
  <w:num w:numId="10" w16cid:durableId="1943222332">
    <w:abstractNumId w:val="63"/>
  </w:num>
  <w:num w:numId="11" w16cid:durableId="3220046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6518848">
    <w:abstractNumId w:val="25"/>
  </w:num>
  <w:num w:numId="13" w16cid:durableId="1604264198">
    <w:abstractNumId w:val="19"/>
  </w:num>
  <w:num w:numId="14" w16cid:durableId="644088259">
    <w:abstractNumId w:val="7"/>
  </w:num>
  <w:num w:numId="15" w16cid:durableId="380903725">
    <w:abstractNumId w:val="8"/>
  </w:num>
  <w:num w:numId="16" w16cid:durableId="1183015987">
    <w:abstractNumId w:val="11"/>
  </w:num>
  <w:num w:numId="17" w16cid:durableId="2090888080">
    <w:abstractNumId w:val="2"/>
  </w:num>
  <w:num w:numId="18" w16cid:durableId="1074166345">
    <w:abstractNumId w:val="1"/>
  </w:num>
  <w:num w:numId="19" w16cid:durableId="1180700011">
    <w:abstractNumId w:val="16"/>
  </w:num>
  <w:num w:numId="20" w16cid:durableId="995959576">
    <w:abstractNumId w:val="18"/>
  </w:num>
  <w:num w:numId="21" w16cid:durableId="1679235356">
    <w:abstractNumId w:val="30"/>
  </w:num>
  <w:num w:numId="22" w16cid:durableId="1813936121">
    <w:abstractNumId w:val="53"/>
  </w:num>
  <w:num w:numId="23" w16cid:durableId="978875605">
    <w:abstractNumId w:val="31"/>
  </w:num>
  <w:num w:numId="24" w16cid:durableId="2134277078">
    <w:abstractNumId w:val="56"/>
  </w:num>
  <w:num w:numId="25" w16cid:durableId="912201778">
    <w:abstractNumId w:val="39"/>
  </w:num>
  <w:num w:numId="26" w16cid:durableId="570697532">
    <w:abstractNumId w:val="36"/>
  </w:num>
  <w:num w:numId="27" w16cid:durableId="1227254187">
    <w:abstractNumId w:val="26"/>
  </w:num>
  <w:num w:numId="28" w16cid:durableId="329406601">
    <w:abstractNumId w:val="33"/>
  </w:num>
  <w:num w:numId="29" w16cid:durableId="2105417832">
    <w:abstractNumId w:val="4"/>
  </w:num>
  <w:num w:numId="30" w16cid:durableId="1408186598">
    <w:abstractNumId w:val="17"/>
  </w:num>
  <w:num w:numId="31" w16cid:durableId="24063568">
    <w:abstractNumId w:val="37"/>
  </w:num>
  <w:num w:numId="32" w16cid:durableId="860972345">
    <w:abstractNumId w:val="49"/>
  </w:num>
  <w:num w:numId="33" w16cid:durableId="2012680798">
    <w:abstractNumId w:val="23"/>
  </w:num>
  <w:num w:numId="34" w16cid:durableId="852260616">
    <w:abstractNumId w:val="42"/>
  </w:num>
  <w:num w:numId="35" w16cid:durableId="1956129386">
    <w:abstractNumId w:val="41"/>
  </w:num>
  <w:num w:numId="36" w16cid:durableId="300815304">
    <w:abstractNumId w:val="51"/>
  </w:num>
  <w:num w:numId="37" w16cid:durableId="1869484725">
    <w:abstractNumId w:val="32"/>
  </w:num>
  <w:num w:numId="38" w16cid:durableId="1083069558">
    <w:abstractNumId w:val="3"/>
  </w:num>
  <w:num w:numId="39" w16cid:durableId="1266770935">
    <w:abstractNumId w:val="0"/>
  </w:num>
  <w:num w:numId="40" w16cid:durableId="1848669056">
    <w:abstractNumId w:val="5"/>
  </w:num>
  <w:num w:numId="41" w16cid:durableId="1896119725">
    <w:abstractNumId w:val="40"/>
  </w:num>
  <w:num w:numId="42" w16cid:durableId="973371601">
    <w:abstractNumId w:val="57"/>
  </w:num>
  <w:num w:numId="43" w16cid:durableId="869218962">
    <w:abstractNumId w:val="58"/>
  </w:num>
  <w:num w:numId="44" w16cid:durableId="1244610571">
    <w:abstractNumId w:val="61"/>
  </w:num>
  <w:num w:numId="45" w16cid:durableId="328556149">
    <w:abstractNumId w:val="50"/>
  </w:num>
  <w:num w:numId="46" w16cid:durableId="536964933">
    <w:abstractNumId w:val="24"/>
  </w:num>
  <w:num w:numId="47" w16cid:durableId="464203816">
    <w:abstractNumId w:val="14"/>
  </w:num>
  <w:num w:numId="48" w16cid:durableId="1229422304">
    <w:abstractNumId w:val="43"/>
  </w:num>
  <w:num w:numId="49" w16cid:durableId="1907064631">
    <w:abstractNumId w:val="44"/>
  </w:num>
  <w:num w:numId="50" w16cid:durableId="1590314647">
    <w:abstractNumId w:val="45"/>
  </w:num>
  <w:num w:numId="51" w16cid:durableId="1891306405">
    <w:abstractNumId w:val="46"/>
  </w:num>
  <w:num w:numId="52" w16cid:durableId="1596403482">
    <w:abstractNumId w:val="52"/>
  </w:num>
  <w:num w:numId="53" w16cid:durableId="1505197459">
    <w:abstractNumId w:val="47"/>
  </w:num>
  <w:num w:numId="54" w16cid:durableId="1043596653">
    <w:abstractNumId w:val="12"/>
  </w:num>
  <w:num w:numId="55" w16cid:durableId="1404794725">
    <w:abstractNumId w:val="6"/>
  </w:num>
  <w:num w:numId="56" w16cid:durableId="1872761570">
    <w:abstractNumId w:val="60"/>
  </w:num>
  <w:num w:numId="57" w16cid:durableId="265041991">
    <w:abstractNumId w:val="10"/>
  </w:num>
  <w:num w:numId="58" w16cid:durableId="961812233">
    <w:abstractNumId w:val="22"/>
  </w:num>
  <w:num w:numId="59" w16cid:durableId="969818183">
    <w:abstractNumId w:val="48"/>
  </w:num>
  <w:num w:numId="60" w16cid:durableId="1032729149">
    <w:abstractNumId w:val="34"/>
  </w:num>
  <w:num w:numId="61" w16cid:durableId="372578068">
    <w:abstractNumId w:val="9"/>
  </w:num>
  <w:num w:numId="62" w16cid:durableId="170223517">
    <w:abstractNumId w:val="21"/>
  </w:num>
  <w:num w:numId="63" w16cid:durableId="1788425809">
    <w:abstractNumId w:val="38"/>
  </w:num>
  <w:num w:numId="64" w16cid:durableId="134950988">
    <w:abstractNumId w:val="13"/>
  </w:num>
  <w:num w:numId="65" w16cid:durableId="855770156">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ZkZWIzNzgyMzliMDliYzg0OTgwNGU2ZWQ0MDdkYTUifQ=="/>
  </w:docVars>
  <w:rsids>
    <w:rsidRoot w:val="00D84ADE"/>
    <w:rsid w:val="DCC3DFA5"/>
    <w:rsid w:val="FFDFD4F0"/>
    <w:rsid w:val="00007AF5"/>
    <w:rsid w:val="00007FB2"/>
    <w:rsid w:val="00047F90"/>
    <w:rsid w:val="000750BC"/>
    <w:rsid w:val="000755AE"/>
    <w:rsid w:val="000834DB"/>
    <w:rsid w:val="00092F75"/>
    <w:rsid w:val="000B2B2F"/>
    <w:rsid w:val="000D0072"/>
    <w:rsid w:val="000E3C10"/>
    <w:rsid w:val="000E524C"/>
    <w:rsid w:val="000E7F37"/>
    <w:rsid w:val="0011269A"/>
    <w:rsid w:val="00115630"/>
    <w:rsid w:val="0011687D"/>
    <w:rsid w:val="001350D6"/>
    <w:rsid w:val="00165FAF"/>
    <w:rsid w:val="00192DB5"/>
    <w:rsid w:val="001A56C7"/>
    <w:rsid w:val="001B2006"/>
    <w:rsid w:val="001B3040"/>
    <w:rsid w:val="001E1987"/>
    <w:rsid w:val="00202021"/>
    <w:rsid w:val="00211399"/>
    <w:rsid w:val="002124AE"/>
    <w:rsid w:val="00216362"/>
    <w:rsid w:val="00217A7E"/>
    <w:rsid w:val="00226FAF"/>
    <w:rsid w:val="00231F7F"/>
    <w:rsid w:val="00234982"/>
    <w:rsid w:val="00243B58"/>
    <w:rsid w:val="00264B74"/>
    <w:rsid w:val="00272C1C"/>
    <w:rsid w:val="00274A62"/>
    <w:rsid w:val="00306BC8"/>
    <w:rsid w:val="00314747"/>
    <w:rsid w:val="00324865"/>
    <w:rsid w:val="00343C46"/>
    <w:rsid w:val="00356B46"/>
    <w:rsid w:val="00366282"/>
    <w:rsid w:val="003672DE"/>
    <w:rsid w:val="00374000"/>
    <w:rsid w:val="0038572F"/>
    <w:rsid w:val="003963B7"/>
    <w:rsid w:val="003965E2"/>
    <w:rsid w:val="003B6841"/>
    <w:rsid w:val="003B7F66"/>
    <w:rsid w:val="003C19A0"/>
    <w:rsid w:val="003D3C5F"/>
    <w:rsid w:val="003D4C02"/>
    <w:rsid w:val="003E0A32"/>
    <w:rsid w:val="003E3616"/>
    <w:rsid w:val="003E7675"/>
    <w:rsid w:val="003F1610"/>
    <w:rsid w:val="00400AC9"/>
    <w:rsid w:val="00401E9D"/>
    <w:rsid w:val="00402D73"/>
    <w:rsid w:val="004156EB"/>
    <w:rsid w:val="004211EE"/>
    <w:rsid w:val="00426FCD"/>
    <w:rsid w:val="00434F17"/>
    <w:rsid w:val="0047222E"/>
    <w:rsid w:val="00473E15"/>
    <w:rsid w:val="004745FC"/>
    <w:rsid w:val="00481D3B"/>
    <w:rsid w:val="004840F2"/>
    <w:rsid w:val="004936F4"/>
    <w:rsid w:val="004C6B98"/>
    <w:rsid w:val="004D0481"/>
    <w:rsid w:val="004D74FF"/>
    <w:rsid w:val="004E6FD2"/>
    <w:rsid w:val="004F20D1"/>
    <w:rsid w:val="004F721F"/>
    <w:rsid w:val="004F7A36"/>
    <w:rsid w:val="0051230E"/>
    <w:rsid w:val="00515266"/>
    <w:rsid w:val="00521BAD"/>
    <w:rsid w:val="005236DB"/>
    <w:rsid w:val="00563A2A"/>
    <w:rsid w:val="00567D74"/>
    <w:rsid w:val="005734BA"/>
    <w:rsid w:val="0058055E"/>
    <w:rsid w:val="00586ACD"/>
    <w:rsid w:val="00595597"/>
    <w:rsid w:val="005A36E2"/>
    <w:rsid w:val="005C191C"/>
    <w:rsid w:val="005D2F3A"/>
    <w:rsid w:val="005D3525"/>
    <w:rsid w:val="005D5917"/>
    <w:rsid w:val="005E1242"/>
    <w:rsid w:val="00612D5B"/>
    <w:rsid w:val="006436F1"/>
    <w:rsid w:val="00663528"/>
    <w:rsid w:val="00671696"/>
    <w:rsid w:val="00672E59"/>
    <w:rsid w:val="006D02A5"/>
    <w:rsid w:val="006D51B6"/>
    <w:rsid w:val="006F3330"/>
    <w:rsid w:val="0070340D"/>
    <w:rsid w:val="00710769"/>
    <w:rsid w:val="0073696F"/>
    <w:rsid w:val="00736DFF"/>
    <w:rsid w:val="007B1E50"/>
    <w:rsid w:val="007B561A"/>
    <w:rsid w:val="007F4FA1"/>
    <w:rsid w:val="00820FE1"/>
    <w:rsid w:val="00822CE4"/>
    <w:rsid w:val="00875265"/>
    <w:rsid w:val="0088059B"/>
    <w:rsid w:val="0088265A"/>
    <w:rsid w:val="00890F27"/>
    <w:rsid w:val="00893884"/>
    <w:rsid w:val="008B402D"/>
    <w:rsid w:val="008B48A4"/>
    <w:rsid w:val="008D2F2D"/>
    <w:rsid w:val="008E0AEA"/>
    <w:rsid w:val="008F024B"/>
    <w:rsid w:val="009215ED"/>
    <w:rsid w:val="00927A63"/>
    <w:rsid w:val="00957CC0"/>
    <w:rsid w:val="00971A13"/>
    <w:rsid w:val="00973FAF"/>
    <w:rsid w:val="009935E0"/>
    <w:rsid w:val="009A2B04"/>
    <w:rsid w:val="009B6CA9"/>
    <w:rsid w:val="009C7193"/>
    <w:rsid w:val="009C7686"/>
    <w:rsid w:val="009D11E4"/>
    <w:rsid w:val="009F45E4"/>
    <w:rsid w:val="00A008D8"/>
    <w:rsid w:val="00A11013"/>
    <w:rsid w:val="00A115EF"/>
    <w:rsid w:val="00A30E53"/>
    <w:rsid w:val="00A312D3"/>
    <w:rsid w:val="00A52D2B"/>
    <w:rsid w:val="00A81F00"/>
    <w:rsid w:val="00A87DDE"/>
    <w:rsid w:val="00A91573"/>
    <w:rsid w:val="00AE545F"/>
    <w:rsid w:val="00B01190"/>
    <w:rsid w:val="00B44CBD"/>
    <w:rsid w:val="00B60833"/>
    <w:rsid w:val="00B75E19"/>
    <w:rsid w:val="00B95B06"/>
    <w:rsid w:val="00BA22C7"/>
    <w:rsid w:val="00BB7D12"/>
    <w:rsid w:val="00BC1C8D"/>
    <w:rsid w:val="00BD33F4"/>
    <w:rsid w:val="00BE1F60"/>
    <w:rsid w:val="00BE4986"/>
    <w:rsid w:val="00BE5256"/>
    <w:rsid w:val="00BF4F6F"/>
    <w:rsid w:val="00C54DFC"/>
    <w:rsid w:val="00C61DCA"/>
    <w:rsid w:val="00C90DD5"/>
    <w:rsid w:val="00C91173"/>
    <w:rsid w:val="00C94AB1"/>
    <w:rsid w:val="00CA6769"/>
    <w:rsid w:val="00CB488D"/>
    <w:rsid w:val="00CB73E8"/>
    <w:rsid w:val="00CF6BDE"/>
    <w:rsid w:val="00D00BF7"/>
    <w:rsid w:val="00D32C7B"/>
    <w:rsid w:val="00D84ADE"/>
    <w:rsid w:val="00D93479"/>
    <w:rsid w:val="00DB55E7"/>
    <w:rsid w:val="00DD0E51"/>
    <w:rsid w:val="00DF3F21"/>
    <w:rsid w:val="00E23B22"/>
    <w:rsid w:val="00E37BE3"/>
    <w:rsid w:val="00E50F51"/>
    <w:rsid w:val="00E57DFC"/>
    <w:rsid w:val="00E73F67"/>
    <w:rsid w:val="00E745E8"/>
    <w:rsid w:val="00E75156"/>
    <w:rsid w:val="00E8083D"/>
    <w:rsid w:val="00E8219A"/>
    <w:rsid w:val="00E84A94"/>
    <w:rsid w:val="00E945C3"/>
    <w:rsid w:val="00E964D9"/>
    <w:rsid w:val="00EA28BA"/>
    <w:rsid w:val="00EE3706"/>
    <w:rsid w:val="00EF1FD5"/>
    <w:rsid w:val="00F050CA"/>
    <w:rsid w:val="00F21800"/>
    <w:rsid w:val="00F23350"/>
    <w:rsid w:val="00F251E5"/>
    <w:rsid w:val="00F468CB"/>
    <w:rsid w:val="00F47D60"/>
    <w:rsid w:val="00F5289E"/>
    <w:rsid w:val="00F63B33"/>
    <w:rsid w:val="00F92853"/>
    <w:rsid w:val="00FB2F26"/>
    <w:rsid w:val="00FB4000"/>
    <w:rsid w:val="00FC5523"/>
    <w:rsid w:val="00FD0913"/>
    <w:rsid w:val="00FD5ACC"/>
    <w:rsid w:val="00FE145C"/>
    <w:rsid w:val="00FE3AE6"/>
    <w:rsid w:val="21260D15"/>
    <w:rsid w:val="37C314F8"/>
    <w:rsid w:val="3FF7504D"/>
    <w:rsid w:val="55054FC2"/>
    <w:rsid w:val="5ABB0136"/>
    <w:rsid w:val="73BCC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464A6D"/>
  <w15:docId w15:val="{0B0B5E8B-A7B9-2144-B4C5-19B07206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annotation text" w:qFormat="1"/>
    <w:lsdException w:name="header" w:qFormat="1"/>
    <w:lsdException w:name="footer" w:qFormat="1"/>
    <w:lsdException w:name="caption" w:semiHidden="1" w:unhideWhenUsed="1" w:qFormat="1"/>
    <w:lsdException w:name="annotation reference"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Hyperlink" w:uiPriority="99" w:unhideWhenUsed="1" w:qFormat="1"/>
    <w:lsdException w:name="FollowedHyperlink" w:uiPriority="99" w:unhideWhenUsed="1"/>
    <w:lsdException w:name="Strong" w:uiPriority="99"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widowControl/>
      <w:spacing w:line="360" w:lineRule="auto"/>
      <w:jc w:val="center"/>
      <w:outlineLvl w:val="0"/>
    </w:pPr>
    <w:rPr>
      <w:rFonts w:ascii="宋体" w:hAnsi="宋体" w:cs="宋体"/>
      <w:b/>
      <w:bCs/>
      <w:kern w:val="36"/>
      <w:sz w:val="28"/>
      <w:szCs w:val="48"/>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pPr>
    <w:rPr>
      <w:rFonts w:asciiTheme="minorHAnsi" w:eastAsiaTheme="minorEastAsia" w:hAnsiTheme="minorHAnsi" w:cstheme="minorBidi"/>
      <w14:ligatures w14:val="standardContextual"/>
    </w:rPr>
  </w:style>
  <w:style w:type="paragraph" w:styleId="a3">
    <w:name w:val="annotation text"/>
    <w:basedOn w:val="a"/>
    <w:link w:val="a4"/>
    <w:qFormat/>
    <w:pPr>
      <w:jc w:val="left"/>
    </w:pPr>
  </w:style>
  <w:style w:type="paragraph" w:styleId="a5">
    <w:name w:val="Body Text"/>
    <w:basedOn w:val="a"/>
    <w:link w:val="a6"/>
    <w:uiPriority w:val="1"/>
    <w:qFormat/>
    <w:pPr>
      <w:spacing w:after="120"/>
    </w:pPr>
  </w:style>
  <w:style w:type="paragraph" w:styleId="a7">
    <w:name w:val="Body Text Indent"/>
    <w:basedOn w:val="a"/>
    <w:link w:val="a8"/>
    <w:qFormat/>
    <w:pPr>
      <w:tabs>
        <w:tab w:val="left" w:pos="540"/>
      </w:tabs>
      <w:ind w:firstLineChars="200" w:firstLine="420"/>
    </w:pPr>
    <w:rPr>
      <w:rFonts w:ascii="仿宋_GB2312"/>
      <w:szCs w:val="20"/>
    </w:rPr>
  </w:style>
  <w:style w:type="paragraph" w:styleId="TOC5">
    <w:name w:val="toc 5"/>
    <w:basedOn w:val="a"/>
    <w:next w:val="a"/>
    <w:uiPriority w:val="39"/>
    <w:unhideWhenUsed/>
    <w:pPr>
      <w:ind w:leftChars="800" w:left="1680"/>
    </w:pPr>
    <w:rPr>
      <w:rFonts w:asciiTheme="minorHAnsi" w:eastAsiaTheme="minorEastAsia" w:hAnsiTheme="minorHAnsi" w:cstheme="minorBidi"/>
      <w14:ligatures w14:val="standardContextual"/>
    </w:rPr>
  </w:style>
  <w:style w:type="paragraph" w:styleId="TOC3">
    <w:name w:val="toc 3"/>
    <w:basedOn w:val="a"/>
    <w:next w:val="a"/>
    <w:uiPriority w:val="39"/>
    <w:unhideWhenUsed/>
    <w:pPr>
      <w:ind w:leftChars="400" w:left="840"/>
    </w:pPr>
    <w:rPr>
      <w:rFonts w:asciiTheme="minorHAnsi" w:eastAsiaTheme="minorEastAsia" w:hAnsiTheme="minorHAnsi" w:cstheme="minorBidi"/>
      <w14:ligatures w14:val="standardContextual"/>
    </w:rPr>
  </w:style>
  <w:style w:type="paragraph" w:styleId="a9">
    <w:name w:val="Plain Text"/>
    <w:basedOn w:val="a"/>
    <w:link w:val="aa"/>
    <w:qFormat/>
    <w:rPr>
      <w:rFonts w:ascii="宋体" w:hAnsi="Courier New" w:cs="Courier New"/>
      <w:szCs w:val="21"/>
    </w:rPr>
  </w:style>
  <w:style w:type="paragraph" w:styleId="TOC8">
    <w:name w:val="toc 8"/>
    <w:basedOn w:val="a"/>
    <w:next w:val="a"/>
    <w:uiPriority w:val="39"/>
    <w:unhideWhenUsed/>
    <w:pPr>
      <w:ind w:leftChars="1400" w:left="2940"/>
    </w:pPr>
    <w:rPr>
      <w:rFonts w:asciiTheme="minorHAnsi" w:eastAsiaTheme="minorEastAsia" w:hAnsiTheme="minorHAnsi" w:cstheme="minorBidi"/>
      <w14:ligatures w14:val="standardContextual"/>
    </w:rPr>
  </w:style>
  <w:style w:type="paragraph" w:styleId="21">
    <w:name w:val="Body Text Indent 2"/>
    <w:basedOn w:val="a"/>
    <w:link w:val="22"/>
    <w:pPr>
      <w:spacing w:after="120" w:line="480" w:lineRule="auto"/>
      <w:ind w:leftChars="200" w:left="420"/>
    </w:pPr>
  </w:style>
  <w:style w:type="paragraph" w:styleId="ab">
    <w:name w:val="Balloon Text"/>
    <w:basedOn w:val="a"/>
    <w:link w:val="ac"/>
    <w:qFormat/>
    <w:rPr>
      <w:sz w:val="18"/>
      <w:szCs w:val="18"/>
    </w:rPr>
  </w:style>
  <w:style w:type="paragraph" w:styleId="ad">
    <w:name w:val="footer"/>
    <w:basedOn w:val="a"/>
    <w:link w:val="ae"/>
    <w:qFormat/>
    <w:pPr>
      <w:tabs>
        <w:tab w:val="center" w:pos="4153"/>
        <w:tab w:val="right" w:pos="8306"/>
      </w:tabs>
      <w:snapToGrid w:val="0"/>
      <w:jc w:val="left"/>
    </w:pPr>
    <w:rPr>
      <w:sz w:val="18"/>
      <w:szCs w:val="18"/>
    </w:rPr>
  </w:style>
  <w:style w:type="paragraph" w:styleId="af">
    <w:name w:val="header"/>
    <w:basedOn w:val="a"/>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4">
    <w:name w:val="toc 4"/>
    <w:basedOn w:val="a"/>
    <w:next w:val="a"/>
    <w:uiPriority w:val="39"/>
    <w:unhideWhenUsed/>
    <w:pPr>
      <w:ind w:leftChars="600" w:left="1260"/>
    </w:pPr>
    <w:rPr>
      <w:rFonts w:asciiTheme="minorHAnsi" w:eastAsiaTheme="minorEastAsia" w:hAnsiTheme="minorHAnsi" w:cstheme="minorBidi"/>
      <w14:ligatures w14:val="standardContextual"/>
    </w:rPr>
  </w:style>
  <w:style w:type="paragraph" w:styleId="TOC6">
    <w:name w:val="toc 6"/>
    <w:basedOn w:val="a"/>
    <w:next w:val="a"/>
    <w:uiPriority w:val="39"/>
    <w:unhideWhenUsed/>
    <w:pPr>
      <w:ind w:leftChars="1000" w:left="2100"/>
    </w:pPr>
    <w:rPr>
      <w:rFonts w:asciiTheme="minorHAnsi" w:eastAsiaTheme="minorEastAsia" w:hAnsiTheme="minorHAnsi" w:cstheme="minorBidi"/>
      <w14:ligatures w14:val="standardContextual"/>
    </w:rPr>
  </w:style>
  <w:style w:type="paragraph" w:styleId="TOC2">
    <w:name w:val="toc 2"/>
    <w:basedOn w:val="a"/>
    <w:next w:val="a"/>
    <w:uiPriority w:val="39"/>
    <w:qFormat/>
    <w:pPr>
      <w:tabs>
        <w:tab w:val="right" w:leader="dot" w:pos="8890"/>
      </w:tabs>
      <w:ind w:leftChars="200" w:left="420"/>
      <w:jc w:val="left"/>
    </w:pPr>
  </w:style>
  <w:style w:type="paragraph" w:styleId="TOC9">
    <w:name w:val="toc 9"/>
    <w:basedOn w:val="a"/>
    <w:next w:val="a"/>
    <w:uiPriority w:val="39"/>
    <w:unhideWhenUsed/>
    <w:pPr>
      <w:ind w:leftChars="1600" w:left="3360"/>
    </w:pPr>
    <w:rPr>
      <w:rFonts w:asciiTheme="minorHAnsi" w:eastAsiaTheme="minorEastAsia" w:hAnsiTheme="minorHAnsi" w:cstheme="minorBidi"/>
      <w14:ligatures w14:val="standardContextual"/>
    </w:rPr>
  </w:style>
  <w:style w:type="paragraph" w:styleId="af1">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f2">
    <w:name w:val="Title"/>
    <w:basedOn w:val="a"/>
    <w:next w:val="a"/>
    <w:link w:val="af3"/>
    <w:qFormat/>
    <w:pPr>
      <w:spacing w:before="240" w:after="60"/>
      <w:jc w:val="center"/>
      <w:outlineLvl w:val="0"/>
    </w:pPr>
    <w:rPr>
      <w:rFonts w:asciiTheme="majorHAnsi" w:eastAsiaTheme="majorEastAsia" w:hAnsiTheme="majorHAnsi" w:cstheme="majorBidi"/>
      <w:b/>
      <w:bCs/>
      <w:sz w:val="32"/>
      <w:szCs w:val="32"/>
    </w:rPr>
  </w:style>
  <w:style w:type="paragraph" w:styleId="af4">
    <w:name w:val="annotation subject"/>
    <w:basedOn w:val="a3"/>
    <w:next w:val="a3"/>
    <w:link w:val="af5"/>
    <w:unhideWhenUsed/>
    <w:qFormat/>
    <w:rPr>
      <w:b/>
      <w:bCs/>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99"/>
    <w:qFormat/>
    <w:rPr>
      <w:rFonts w:cs="Times New Roman"/>
      <w:b/>
    </w:rPr>
  </w:style>
  <w:style w:type="character" w:styleId="af8">
    <w:name w:val="page number"/>
    <w:basedOn w:val="a0"/>
  </w:style>
  <w:style w:type="character" w:styleId="af9">
    <w:name w:val="FollowedHyperlink"/>
    <w:basedOn w:val="a0"/>
    <w:uiPriority w:val="99"/>
    <w:unhideWhenUsed/>
    <w:rPr>
      <w:color w:val="800080"/>
      <w:u w:val="single"/>
    </w:rPr>
  </w:style>
  <w:style w:type="character" w:styleId="afa">
    <w:name w:val="Hyperlink"/>
    <w:basedOn w:val="a0"/>
    <w:uiPriority w:val="99"/>
    <w:unhideWhenUsed/>
    <w:qFormat/>
    <w:rPr>
      <w:color w:val="0000FF"/>
      <w:u w:val="single"/>
    </w:rPr>
  </w:style>
  <w:style w:type="character" w:styleId="afb">
    <w:name w:val="annotation reference"/>
    <w:unhideWhenUsed/>
    <w:qFormat/>
    <w:rPr>
      <w:sz w:val="21"/>
      <w:szCs w:val="21"/>
    </w:rPr>
  </w:style>
  <w:style w:type="character" w:customStyle="1" w:styleId="af0">
    <w:name w:val="页眉 字符"/>
    <w:basedOn w:val="a0"/>
    <w:link w:val="af"/>
    <w:qFormat/>
    <w:rPr>
      <w:kern w:val="2"/>
      <w:sz w:val="18"/>
      <w:szCs w:val="18"/>
    </w:rPr>
  </w:style>
  <w:style w:type="character" w:customStyle="1" w:styleId="ae">
    <w:name w:val="页脚 字符"/>
    <w:basedOn w:val="a0"/>
    <w:link w:val="ad"/>
    <w:qFormat/>
    <w:rPr>
      <w:kern w:val="2"/>
      <w:sz w:val="18"/>
      <w:szCs w:val="18"/>
    </w:rPr>
  </w:style>
  <w:style w:type="character" w:customStyle="1" w:styleId="ac">
    <w:name w:val="批注框文本 字符"/>
    <w:basedOn w:val="a0"/>
    <w:link w:val="ab"/>
    <w:qFormat/>
    <w:rPr>
      <w:kern w:val="2"/>
      <w:sz w:val="18"/>
      <w:szCs w:val="18"/>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11">
    <w:name w:val="无间隔1"/>
    <w:basedOn w:val="a"/>
    <w:pPr>
      <w:widowControl/>
      <w:jc w:val="left"/>
    </w:pPr>
    <w:rPr>
      <w:rFonts w:ascii="Calibri" w:hAnsi="Calibri"/>
      <w:kern w:val="0"/>
      <w:sz w:val="22"/>
      <w:szCs w:val="22"/>
    </w:rPr>
  </w:style>
  <w:style w:type="character" w:customStyle="1" w:styleId="a8">
    <w:name w:val="正文文本缩进 字符"/>
    <w:basedOn w:val="a0"/>
    <w:link w:val="a7"/>
    <w:qFormat/>
    <w:rPr>
      <w:rFonts w:ascii="仿宋_GB2312"/>
      <w:kern w:val="2"/>
      <w:sz w:val="21"/>
    </w:rPr>
  </w:style>
  <w:style w:type="character" w:customStyle="1" w:styleId="15">
    <w:name w:val="15"/>
    <w:basedOn w:val="a0"/>
    <w:rPr>
      <w:rFonts w:ascii="Times New Roman" w:hAnsi="Times New Roman" w:cs="Times New Roman" w:hint="default"/>
      <w:color w:val="0000FF"/>
      <w:u w:val="single"/>
    </w:rPr>
  </w:style>
  <w:style w:type="paragraph" w:styleId="afc">
    <w:name w:val="No Spacing"/>
    <w:uiPriority w:val="99"/>
    <w:qFormat/>
    <w:rPr>
      <w:rFonts w:ascii="Calibri" w:hAnsi="Calibri"/>
      <w:sz w:val="22"/>
      <w:szCs w:val="22"/>
    </w:rPr>
  </w:style>
  <w:style w:type="character" w:customStyle="1" w:styleId="22">
    <w:name w:val="正文文本缩进 2 字符"/>
    <w:basedOn w:val="a0"/>
    <w:link w:val="21"/>
    <w:rPr>
      <w:kern w:val="2"/>
      <w:sz w:val="21"/>
      <w:szCs w:val="24"/>
    </w:rPr>
  </w:style>
  <w:style w:type="paragraph" w:customStyle="1" w:styleId="110">
    <w:name w:val="无间隔11"/>
    <w:qFormat/>
    <w:pPr>
      <w:adjustRightInd w:val="0"/>
      <w:snapToGrid w:val="0"/>
    </w:pPr>
    <w:rPr>
      <w:rFonts w:ascii="Tahoma" w:eastAsia="微软雅黑" w:hAnsi="Tahoma"/>
      <w:sz w:val="22"/>
      <w:szCs w:val="22"/>
    </w:rPr>
  </w:style>
  <w:style w:type="paragraph" w:styleId="afd">
    <w:name w:val="List Paragraph"/>
    <w:basedOn w:val="a"/>
    <w:uiPriority w:val="34"/>
    <w:qFormat/>
    <w:pPr>
      <w:ind w:firstLineChars="200" w:firstLine="420"/>
    </w:pPr>
  </w:style>
  <w:style w:type="character" w:customStyle="1" w:styleId="12">
    <w:name w:val="未处理的提及1"/>
    <w:basedOn w:val="a0"/>
    <w:uiPriority w:val="99"/>
    <w:semiHidden/>
    <w:unhideWhenUsed/>
    <w:rPr>
      <w:color w:val="605E5C"/>
      <w:shd w:val="clear" w:color="auto" w:fill="E1DFDD"/>
    </w:rPr>
  </w:style>
  <w:style w:type="character" w:customStyle="1" w:styleId="10">
    <w:name w:val="标题 1 字符"/>
    <w:basedOn w:val="a0"/>
    <w:link w:val="1"/>
    <w:qFormat/>
    <w:rPr>
      <w:rFonts w:ascii="宋体" w:hAnsi="宋体" w:cs="宋体"/>
      <w:b/>
      <w:bCs/>
      <w:kern w:val="36"/>
      <w:sz w:val="28"/>
      <w:szCs w:val="48"/>
    </w:rPr>
  </w:style>
  <w:style w:type="paragraph" w:customStyle="1" w:styleId="p0">
    <w:name w:val="p0"/>
    <w:basedOn w:val="a"/>
    <w:qFormat/>
    <w:pPr>
      <w:widowControl/>
    </w:pPr>
    <w:rPr>
      <w:kern w:val="0"/>
      <w:szCs w:val="21"/>
    </w:rPr>
  </w:style>
  <w:style w:type="character" w:customStyle="1" w:styleId="a6">
    <w:name w:val="正文文本 字符"/>
    <w:basedOn w:val="a0"/>
    <w:link w:val="a5"/>
    <w:uiPriority w:val="1"/>
    <w:qFormat/>
    <w:rPr>
      <w:kern w:val="2"/>
      <w:sz w:val="21"/>
      <w:szCs w:val="24"/>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paragraph" w:customStyle="1" w:styleId="13">
    <w:name w:val="列出段落1"/>
    <w:basedOn w:val="a"/>
    <w:qFormat/>
    <w:pPr>
      <w:ind w:firstLineChars="200" w:firstLine="420"/>
    </w:pPr>
    <w:rPr>
      <w:szCs w:val="20"/>
    </w:rPr>
  </w:style>
  <w:style w:type="character" w:customStyle="1" w:styleId="fontstyle01">
    <w:name w:val="fontstyle01"/>
    <w:basedOn w:val="a0"/>
    <w:qFormat/>
    <w:rPr>
      <w:rFonts w:ascii="TimesNewRomanPSMT" w:hAnsi="TimesNewRomanPSMT" w:hint="default"/>
      <w:color w:val="000000"/>
      <w:sz w:val="22"/>
      <w:szCs w:val="22"/>
    </w:rPr>
  </w:style>
  <w:style w:type="character" w:customStyle="1" w:styleId="fontstyle11">
    <w:name w:val="fontstyle11"/>
    <w:basedOn w:val="a0"/>
    <w:qFormat/>
    <w:rPr>
      <w:rFonts w:ascii="宋体" w:eastAsia="宋体" w:hAnsi="宋体" w:hint="eastAsia"/>
      <w:color w:val="000000"/>
      <w:sz w:val="22"/>
      <w:szCs w:val="22"/>
    </w:rPr>
  </w:style>
  <w:style w:type="character" w:customStyle="1" w:styleId="aa">
    <w:name w:val="纯文本 字符"/>
    <w:basedOn w:val="a0"/>
    <w:link w:val="a9"/>
    <w:qFormat/>
    <w:rPr>
      <w:rFonts w:ascii="宋体" w:hAnsi="Courier New" w:cs="Courier New"/>
      <w:kern w:val="2"/>
      <w:sz w:val="21"/>
      <w:szCs w:val="21"/>
    </w:rPr>
  </w:style>
  <w:style w:type="character" w:customStyle="1" w:styleId="subject-cast">
    <w:name w:val="subject-cast"/>
    <w:qFormat/>
  </w:style>
  <w:style w:type="character" w:customStyle="1" w:styleId="20">
    <w:name w:val="标题 2 字符"/>
    <w:basedOn w:val="a0"/>
    <w:link w:val="2"/>
    <w:rPr>
      <w:rFonts w:ascii="Arial" w:eastAsia="黑体" w:hAnsi="Arial"/>
      <w:b/>
      <w:kern w:val="2"/>
      <w:sz w:val="32"/>
      <w:szCs w:val="24"/>
    </w:rPr>
  </w:style>
  <w:style w:type="character" w:customStyle="1" w:styleId="a4">
    <w:name w:val="批注文字 字符"/>
    <w:basedOn w:val="a0"/>
    <w:link w:val="a3"/>
    <w:qFormat/>
    <w:rPr>
      <w:kern w:val="2"/>
      <w:sz w:val="21"/>
      <w:szCs w:val="24"/>
    </w:rPr>
  </w:style>
  <w:style w:type="character" w:customStyle="1" w:styleId="af3">
    <w:name w:val="标题 字符"/>
    <w:basedOn w:val="a0"/>
    <w:link w:val="af2"/>
    <w:qFormat/>
    <w:rPr>
      <w:rFonts w:asciiTheme="majorHAnsi" w:eastAsiaTheme="majorEastAsia" w:hAnsiTheme="majorHAnsi" w:cstheme="majorBidi"/>
      <w:b/>
      <w:bCs/>
      <w:kern w:val="2"/>
      <w:sz w:val="32"/>
      <w:szCs w:val="32"/>
    </w:rPr>
  </w:style>
  <w:style w:type="character" w:customStyle="1" w:styleId="af5">
    <w:name w:val="批注主题 字符"/>
    <w:basedOn w:val="a4"/>
    <w:link w:val="af4"/>
    <w:qFormat/>
    <w:rPr>
      <w:b/>
      <w:bCs/>
      <w:kern w:val="2"/>
      <w:sz w:val="21"/>
      <w:szCs w:val="24"/>
    </w:rPr>
  </w:style>
  <w:style w:type="paragraph" w:customStyle="1" w:styleId="afe">
    <w:name w:val="遗传学名称"/>
    <w:basedOn w:val="af2"/>
    <w:link w:val="aff"/>
    <w:qFormat/>
    <w:pPr>
      <w:snapToGrid w:val="0"/>
      <w:spacing w:line="360" w:lineRule="auto"/>
    </w:pPr>
    <w:rPr>
      <w:rFonts w:ascii="宋体" w:hAnsi="宋体"/>
      <w:b w:val="0"/>
      <w:sz w:val="28"/>
      <w:szCs w:val="28"/>
    </w:rPr>
  </w:style>
  <w:style w:type="paragraph" w:customStyle="1" w:styleId="aff0">
    <w:name w:val="遗传学章节"/>
    <w:basedOn w:val="af2"/>
    <w:next w:val="af2"/>
    <w:link w:val="aff1"/>
    <w:qFormat/>
    <w:pPr>
      <w:widowControl/>
      <w:wordWrap w:val="0"/>
      <w:snapToGrid w:val="0"/>
      <w:spacing w:line="360" w:lineRule="auto"/>
      <w:jc w:val="right"/>
    </w:pPr>
    <w:rPr>
      <w:bCs w:val="0"/>
      <w:kern w:val="0"/>
      <w:sz w:val="21"/>
      <w:szCs w:val="21"/>
    </w:rPr>
  </w:style>
  <w:style w:type="character" w:customStyle="1" w:styleId="aff">
    <w:name w:val="遗传学名称 字符"/>
    <w:basedOn w:val="a0"/>
    <w:link w:val="afe"/>
    <w:qFormat/>
    <w:rPr>
      <w:rFonts w:ascii="宋体" w:eastAsiaTheme="majorEastAsia" w:hAnsi="宋体" w:cstheme="majorBidi"/>
      <w:bCs/>
      <w:kern w:val="2"/>
      <w:sz w:val="28"/>
      <w:szCs w:val="28"/>
    </w:rPr>
  </w:style>
  <w:style w:type="paragraph" w:customStyle="1" w:styleId="aff2">
    <w:name w:val="考试大纲"/>
    <w:basedOn w:val="af2"/>
    <w:link w:val="aff3"/>
    <w:qFormat/>
    <w:pPr>
      <w:snapToGrid w:val="0"/>
      <w:spacing w:beforeLines="50" w:before="156" w:afterLines="50" w:after="156" w:line="360" w:lineRule="auto"/>
      <w:ind w:firstLineChars="49" w:firstLine="103"/>
    </w:pPr>
    <w:rPr>
      <w:rFonts w:hAnsi="宋体"/>
      <w:bCs w:val="0"/>
      <w:sz w:val="21"/>
      <w:szCs w:val="21"/>
    </w:rPr>
  </w:style>
  <w:style w:type="character" w:customStyle="1" w:styleId="aff1">
    <w:name w:val="遗传学章节 字符"/>
    <w:basedOn w:val="a0"/>
    <w:link w:val="aff0"/>
    <w:qFormat/>
    <w:rPr>
      <w:rFonts w:asciiTheme="majorHAnsi" w:eastAsiaTheme="majorEastAsia" w:hAnsiTheme="majorHAnsi" w:cstheme="majorBidi"/>
      <w:b/>
      <w:sz w:val="21"/>
      <w:szCs w:val="21"/>
    </w:rPr>
  </w:style>
  <w:style w:type="character" w:customStyle="1" w:styleId="aff3">
    <w:name w:val="考试大纲 字符"/>
    <w:basedOn w:val="af3"/>
    <w:link w:val="aff2"/>
    <w:qFormat/>
    <w:rPr>
      <w:rFonts w:asciiTheme="majorHAnsi" w:eastAsiaTheme="majorEastAsia" w:hAnsi="宋体" w:cstheme="majorBidi"/>
      <w:b/>
      <w:bCs w:val="0"/>
      <w:kern w:val="2"/>
      <w:sz w:val="21"/>
      <w:szCs w:val="21"/>
    </w:rPr>
  </w:style>
  <w:style w:type="paragraph" w:customStyle="1" w:styleId="TOC10">
    <w:name w:val="TOC 标题1"/>
    <w:basedOn w:val="1"/>
    <w:next w:val="a"/>
    <w:uiPriority w:val="39"/>
    <w:unhideWhenUsed/>
    <w:qFormat/>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234">
    <w:name w:val="遗传学标题234"/>
    <w:basedOn w:val="aff0"/>
    <w:link w:val="2340"/>
    <w:qFormat/>
    <w:pPr>
      <w:jc w:val="left"/>
    </w:pPr>
    <w:rPr>
      <w:rFonts w:hAnsi="宋体"/>
      <w:bCs/>
    </w:rPr>
  </w:style>
  <w:style w:type="character" w:customStyle="1" w:styleId="2340">
    <w:name w:val="遗传学标题234 字符"/>
    <w:basedOn w:val="aff1"/>
    <w:link w:val="234"/>
    <w:qFormat/>
    <w:rPr>
      <w:rFonts w:asciiTheme="majorHAnsi" w:eastAsiaTheme="majorEastAsia" w:hAnsi="宋体" w:cstheme="majorBidi"/>
      <w:b/>
      <w:bCs/>
      <w:sz w:val="21"/>
      <w:szCs w:val="21"/>
    </w:rPr>
  </w:style>
  <w:style w:type="paragraph" w:customStyle="1" w:styleId="14">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100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bookuu.com/search/book_search.jsp?zz=&#24429;&#26149;&#29983;&#31561;&#32534;"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co188.com/" TargetMode="External"/><Relationship Id="rId29" Type="http://schemas.openxmlformats.org/officeDocument/2006/relationships/hyperlink" Target="https://baike.baidu.com/item/%E7%89%A9%E8%81%94%E7%BD%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http://search.dangdang.com/?key2=%CA%F8%B7%C5&amp;medium=01&amp;category_path=01.00.00.00.00.0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earch.dangdang.com/?key2=%C9%DB%D5%F1%C8%F3&amp;medium=01&amp;category_path=01.00.00.00.00.00" TargetMode="Externa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s://book.jd.com/writer/%E5%88%98%E6%B0%B8%E5%BB%BA_1.html" TargetMode="Externa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earch.dangdang.com/?key2=%D5%C5%D7%DA%BC%F3&amp;medium=01&amp;category_path=01.00.00.00.00.00" TargetMode="External"/><Relationship Id="rId27" Type="http://schemas.openxmlformats.org/officeDocument/2006/relationships/footer" Target="footer5.xml"/><Relationship Id="rId30" Type="http://schemas.openxmlformats.org/officeDocument/2006/relationships/image" Target="media/image7.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4857455-7F3F-4E9E-930D-FAE66BD318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615</Pages>
  <Words>423798</Words>
  <Characters>47832</Characters>
  <Application>Microsoft Office Word</Application>
  <DocSecurity>0</DocSecurity>
  <Lines>398</Lines>
  <Paragraphs>941</Paragraphs>
  <ScaleCrop>false</ScaleCrop>
  <Company>微软中国</Company>
  <LinksUpToDate>false</LinksUpToDate>
  <CharactersWithSpaces>470689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Yang Li</cp:lastModifiedBy>
  <cp:revision>13</cp:revision>
  <cp:lastPrinted>2023-06-27T09:38:00Z</cp:lastPrinted>
  <dcterms:created xsi:type="dcterms:W3CDTF">2023-06-25T11:30:00Z</dcterms:created>
  <dcterms:modified xsi:type="dcterms:W3CDTF">2023-06-30T05:03:00Z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7A531F4411ED401BB1CDE88E5F5806B9</vt:lpwstr>
  </property>
</Properties>
</file>